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82367BF">
      <w:pPr>
        <w:spacing w:line="360" w:lineRule="auto"/>
        <w:ind w:firstLine="300" w:firstLineChars="50"/>
        <w:rPr>
          <w:sz w:val="60"/>
          <w:szCs w:val="60"/>
          <w:highlight w:val="none"/>
        </w:rPr>
      </w:pPr>
    </w:p>
    <w:p w14:paraId="109157AC">
      <w:pPr>
        <w:spacing w:line="360" w:lineRule="auto"/>
        <w:ind w:firstLine="300" w:firstLineChars="50"/>
        <w:rPr>
          <w:sz w:val="60"/>
          <w:szCs w:val="60"/>
          <w:highlight w:val="none"/>
        </w:rPr>
      </w:pPr>
    </w:p>
    <w:p w14:paraId="06A7976C">
      <w:pPr>
        <w:jc w:val="center"/>
        <w:rPr>
          <w:b/>
          <w:bCs/>
          <w:sz w:val="60"/>
          <w:szCs w:val="60"/>
          <w:highlight w:val="none"/>
        </w:rPr>
      </w:pPr>
      <w:r>
        <w:rPr>
          <w:rFonts w:hint="eastAsia"/>
          <w:b/>
          <w:bCs/>
          <w:sz w:val="60"/>
          <w:szCs w:val="60"/>
          <w:highlight w:val="none"/>
        </w:rPr>
        <w:t>封闭式框架协议采购</w:t>
      </w:r>
    </w:p>
    <w:p w14:paraId="765F7026">
      <w:pPr>
        <w:jc w:val="center"/>
        <w:rPr>
          <w:b/>
          <w:bCs/>
          <w:sz w:val="60"/>
          <w:szCs w:val="60"/>
          <w:highlight w:val="none"/>
        </w:rPr>
      </w:pPr>
      <w:r>
        <w:rPr>
          <w:rFonts w:hint="eastAsia"/>
          <w:b/>
          <w:bCs/>
          <w:sz w:val="60"/>
          <w:szCs w:val="60"/>
          <w:highlight w:val="none"/>
        </w:rPr>
        <w:t>征集文件</w:t>
      </w:r>
    </w:p>
    <w:p w14:paraId="152958C1">
      <w:pPr>
        <w:spacing w:line="360" w:lineRule="auto"/>
        <w:jc w:val="center"/>
        <w:rPr>
          <w:sz w:val="60"/>
          <w:szCs w:val="60"/>
          <w:highlight w:val="none"/>
        </w:rPr>
      </w:pPr>
    </w:p>
    <w:p w14:paraId="5523409B">
      <w:pPr>
        <w:tabs>
          <w:tab w:val="left" w:pos="3240"/>
          <w:tab w:val="left" w:pos="3420"/>
        </w:tabs>
        <w:spacing w:line="360" w:lineRule="auto"/>
        <w:ind w:left="2832" w:leftChars="444" w:right="-283" w:rightChars="-135" w:hanging="1900" w:hangingChars="528"/>
        <w:jc w:val="left"/>
        <w:rPr>
          <w:bCs/>
          <w:sz w:val="36"/>
          <w:szCs w:val="36"/>
          <w:highlight w:val="none"/>
        </w:rPr>
      </w:pPr>
      <w:r>
        <w:rPr>
          <w:bCs/>
          <w:sz w:val="36"/>
          <w:szCs w:val="36"/>
          <w:highlight w:val="none"/>
        </w:rPr>
        <w:t>项目名称：</w:t>
      </w:r>
      <w:r>
        <w:rPr>
          <w:rFonts w:hint="eastAsia"/>
          <w:bCs/>
          <w:sz w:val="36"/>
          <w:szCs w:val="36"/>
          <w:highlight w:val="none"/>
        </w:rPr>
        <w:t>2027年法律援助补贴封闭式框架协议采购</w:t>
      </w:r>
    </w:p>
    <w:p w14:paraId="33C00100">
      <w:pPr>
        <w:tabs>
          <w:tab w:val="left" w:pos="3240"/>
          <w:tab w:val="left" w:pos="3420"/>
        </w:tabs>
        <w:spacing w:line="360" w:lineRule="auto"/>
        <w:ind w:left="2832" w:leftChars="444" w:hanging="1900" w:hangingChars="528"/>
        <w:jc w:val="left"/>
        <w:rPr>
          <w:bCs/>
          <w:sz w:val="36"/>
          <w:szCs w:val="36"/>
          <w:highlight w:val="none"/>
        </w:rPr>
      </w:pPr>
      <w:r>
        <w:rPr>
          <w:bCs/>
          <w:sz w:val="36"/>
          <w:szCs w:val="36"/>
          <w:highlight w:val="none"/>
        </w:rPr>
        <w:t>项目编号：11011526210200034525-XM001</w:t>
      </w:r>
    </w:p>
    <w:p w14:paraId="481B7B47">
      <w:pPr>
        <w:tabs>
          <w:tab w:val="left" w:pos="3240"/>
          <w:tab w:val="left" w:pos="3420"/>
        </w:tabs>
        <w:spacing w:line="360" w:lineRule="auto"/>
        <w:ind w:left="2832" w:leftChars="444" w:hanging="1900" w:hangingChars="528"/>
        <w:jc w:val="left"/>
        <w:rPr>
          <w:rFonts w:hint="eastAsia"/>
          <w:bCs/>
          <w:sz w:val="36"/>
          <w:szCs w:val="36"/>
          <w:highlight w:val="none"/>
        </w:rPr>
      </w:pPr>
      <w:r>
        <w:rPr>
          <w:rFonts w:hint="eastAsia"/>
          <w:bCs/>
          <w:sz w:val="36"/>
          <w:szCs w:val="36"/>
          <w:highlight w:val="none"/>
        </w:rPr>
        <w:t>征集人</w:t>
      </w:r>
      <w:r>
        <w:rPr>
          <w:bCs/>
          <w:sz w:val="36"/>
          <w:szCs w:val="36"/>
          <w:highlight w:val="none"/>
        </w:rPr>
        <w:t>：</w:t>
      </w:r>
      <w:r>
        <w:rPr>
          <w:rFonts w:hint="eastAsia"/>
          <w:bCs/>
          <w:sz w:val="36"/>
          <w:szCs w:val="36"/>
          <w:highlight w:val="none"/>
        </w:rPr>
        <w:t>北京市大兴区司法局</w:t>
      </w:r>
    </w:p>
    <w:p w14:paraId="35872E7E">
      <w:pPr>
        <w:tabs>
          <w:tab w:val="left" w:pos="3240"/>
          <w:tab w:val="left" w:pos="3420"/>
        </w:tabs>
        <w:spacing w:line="360" w:lineRule="auto"/>
        <w:ind w:left="2832" w:leftChars="444" w:hanging="1900" w:hangingChars="528"/>
        <w:jc w:val="left"/>
        <w:rPr>
          <w:bCs/>
          <w:sz w:val="36"/>
          <w:szCs w:val="36"/>
          <w:highlight w:val="none"/>
        </w:rPr>
      </w:pPr>
      <w:r>
        <w:rPr>
          <w:bCs/>
          <w:sz w:val="36"/>
          <w:szCs w:val="36"/>
          <w:highlight w:val="none"/>
        </w:rPr>
        <w:t>采购代理机构：</w:t>
      </w:r>
      <w:r>
        <w:rPr>
          <w:rFonts w:hint="eastAsia"/>
          <w:bCs/>
          <w:sz w:val="36"/>
          <w:szCs w:val="36"/>
          <w:highlight w:val="none"/>
        </w:rPr>
        <w:t>北京捷迅通力工程咨询有限公司</w:t>
      </w:r>
    </w:p>
    <w:p w14:paraId="6DD2E73F">
      <w:pPr>
        <w:tabs>
          <w:tab w:val="left" w:pos="3240"/>
          <w:tab w:val="left" w:pos="3420"/>
        </w:tabs>
        <w:spacing w:line="360" w:lineRule="auto"/>
        <w:ind w:left="2832" w:leftChars="444" w:hanging="1900" w:hangingChars="528"/>
        <w:jc w:val="left"/>
        <w:rPr>
          <w:rFonts w:hint="eastAsia"/>
          <w:bCs/>
          <w:sz w:val="36"/>
          <w:szCs w:val="36"/>
          <w:highlight w:val="none"/>
        </w:rPr>
      </w:pPr>
      <w:r>
        <w:rPr>
          <w:rFonts w:hint="eastAsia"/>
          <w:bCs/>
          <w:sz w:val="36"/>
          <w:szCs w:val="36"/>
          <w:highlight w:val="none"/>
        </w:rPr>
        <w:t>日 期：202</w:t>
      </w:r>
      <w:r>
        <w:rPr>
          <w:bCs/>
          <w:sz w:val="36"/>
          <w:szCs w:val="36"/>
          <w:highlight w:val="none"/>
        </w:rPr>
        <w:t>6</w:t>
      </w:r>
      <w:r>
        <w:rPr>
          <w:rFonts w:hint="eastAsia"/>
          <w:bCs/>
          <w:sz w:val="36"/>
          <w:szCs w:val="36"/>
          <w:highlight w:val="none"/>
        </w:rPr>
        <w:t>年</w:t>
      </w:r>
      <w:r>
        <w:rPr>
          <w:bCs/>
          <w:sz w:val="36"/>
          <w:szCs w:val="36"/>
          <w:highlight w:val="none"/>
        </w:rPr>
        <w:t>8</w:t>
      </w:r>
      <w:r>
        <w:rPr>
          <w:rFonts w:hint="eastAsia"/>
          <w:bCs/>
          <w:sz w:val="36"/>
          <w:szCs w:val="36"/>
          <w:highlight w:val="none"/>
        </w:rPr>
        <w:t>月</w:t>
      </w:r>
      <w:r>
        <w:rPr>
          <w:bCs/>
          <w:sz w:val="36"/>
          <w:szCs w:val="36"/>
          <w:highlight w:val="none"/>
        </w:rPr>
        <w:t>19</w:t>
      </w:r>
      <w:r>
        <w:rPr>
          <w:rFonts w:hint="eastAsia"/>
          <w:bCs/>
          <w:sz w:val="36"/>
          <w:szCs w:val="36"/>
          <w:highlight w:val="none"/>
        </w:rPr>
        <w:t>日</w:t>
      </w:r>
    </w:p>
    <w:p w14:paraId="671D5D73">
      <w:pPr>
        <w:widowControl/>
        <w:jc w:val="center"/>
        <w:rPr>
          <w:b/>
          <w:sz w:val="36"/>
          <w:szCs w:val="36"/>
          <w:highlight w:val="none"/>
        </w:rPr>
      </w:pPr>
      <w:r>
        <w:rPr>
          <w:b/>
          <w:bCs/>
          <w:sz w:val="44"/>
          <w:highlight w:val="none"/>
        </w:rPr>
        <w:br w:type="page"/>
      </w:r>
      <w:bookmarkStart w:id="0" w:name="_Toc99301418"/>
      <w:r>
        <w:rPr>
          <w:b/>
          <w:sz w:val="36"/>
          <w:szCs w:val="36"/>
          <w:highlight w:val="none"/>
        </w:rPr>
        <w:t>目      录</w:t>
      </w:r>
      <w:bookmarkEnd w:id="0"/>
    </w:p>
    <w:p w14:paraId="4CA909D2">
      <w:pPr>
        <w:pStyle w:val="30"/>
        <w:spacing w:line="360" w:lineRule="auto"/>
        <w:rPr>
          <w:rFonts w:ascii="Calibri" w:hAnsi="Calibri"/>
          <w:b w:val="0"/>
          <w:sz w:val="21"/>
          <w:szCs w:val="22"/>
          <w:highlight w:val="none"/>
        </w:rPr>
      </w:pPr>
      <w:r>
        <w:rPr>
          <w:rFonts w:ascii="Times New Roman" w:hAnsi="Times New Roman"/>
          <w:b w:val="0"/>
          <w:highlight w:val="none"/>
        </w:rPr>
        <w:fldChar w:fldCharType="begin"/>
      </w:r>
      <w:r>
        <w:rPr>
          <w:rFonts w:ascii="Times New Roman" w:hAnsi="Times New Roman"/>
          <w:b w:val="0"/>
          <w:highlight w:val="none"/>
        </w:rPr>
        <w:instrText xml:space="preserve"> TOC \o "1-1" \h \z \u </w:instrText>
      </w:r>
      <w:r>
        <w:rPr>
          <w:rFonts w:ascii="Times New Roman" w:hAnsi="Times New Roman"/>
          <w:b w:val="0"/>
          <w:highlight w:val="none"/>
        </w:rPr>
        <w:fldChar w:fldCharType="separate"/>
      </w:r>
      <w:r>
        <w:rPr>
          <w:rStyle w:val="50"/>
          <w:highlight w:val="none"/>
        </w:rPr>
        <w:fldChar w:fldCharType="begin"/>
      </w:r>
      <w:r>
        <w:rPr>
          <w:rStyle w:val="50"/>
          <w:highlight w:val="none"/>
        </w:rPr>
        <w:instrText xml:space="preserve"> </w:instrText>
      </w:r>
      <w:r>
        <w:rPr>
          <w:highlight w:val="none"/>
        </w:rPr>
        <w:instrText xml:space="preserve">HYPERLINK \l "_Toc206523618"</w:instrText>
      </w:r>
      <w:r>
        <w:rPr>
          <w:rStyle w:val="50"/>
          <w:highlight w:val="none"/>
        </w:rPr>
        <w:instrText xml:space="preserve"> </w:instrText>
      </w:r>
      <w:r>
        <w:rPr>
          <w:rStyle w:val="50"/>
          <w:highlight w:val="none"/>
        </w:rPr>
        <w:fldChar w:fldCharType="separate"/>
      </w:r>
      <w:r>
        <w:rPr>
          <w:rStyle w:val="50"/>
          <w:rFonts w:hint="eastAsia"/>
          <w:highlight w:val="none"/>
        </w:rPr>
        <w:t>第一章</w:t>
      </w:r>
      <w:r>
        <w:rPr>
          <w:rStyle w:val="50"/>
          <w:highlight w:val="none"/>
        </w:rPr>
        <w:t xml:space="preserve">   </w:t>
      </w:r>
      <w:r>
        <w:rPr>
          <w:rStyle w:val="50"/>
          <w:rFonts w:hint="eastAsia"/>
          <w:highlight w:val="none"/>
        </w:rPr>
        <w:t>征集邀请</w:t>
      </w:r>
      <w:r>
        <w:rPr>
          <w:highlight w:val="none"/>
        </w:rPr>
        <w:tab/>
      </w:r>
      <w:r>
        <w:rPr>
          <w:highlight w:val="none"/>
        </w:rPr>
        <w:fldChar w:fldCharType="begin"/>
      </w:r>
      <w:r>
        <w:rPr>
          <w:highlight w:val="none"/>
        </w:rPr>
        <w:instrText xml:space="preserve"> PAGEREF _Toc206523618 \h </w:instrText>
      </w:r>
      <w:r>
        <w:rPr>
          <w:highlight w:val="none"/>
        </w:rPr>
        <w:fldChar w:fldCharType="separate"/>
      </w:r>
      <w:r>
        <w:rPr>
          <w:highlight w:val="none"/>
        </w:rPr>
        <w:t>2</w:t>
      </w:r>
      <w:r>
        <w:rPr>
          <w:highlight w:val="none"/>
        </w:rPr>
        <w:fldChar w:fldCharType="end"/>
      </w:r>
      <w:r>
        <w:rPr>
          <w:rStyle w:val="50"/>
          <w:highlight w:val="none"/>
        </w:rPr>
        <w:fldChar w:fldCharType="end"/>
      </w:r>
    </w:p>
    <w:p w14:paraId="2781F8F9">
      <w:pPr>
        <w:pStyle w:val="30"/>
        <w:spacing w:line="360" w:lineRule="auto"/>
        <w:rPr>
          <w:rFonts w:ascii="Calibri" w:hAnsi="Calibri"/>
          <w:b w:val="0"/>
          <w:sz w:val="21"/>
          <w:szCs w:val="22"/>
          <w:highlight w:val="none"/>
        </w:rPr>
      </w:pPr>
      <w:r>
        <w:rPr>
          <w:rStyle w:val="50"/>
          <w:highlight w:val="none"/>
        </w:rPr>
        <w:fldChar w:fldCharType="begin"/>
      </w:r>
      <w:r>
        <w:rPr>
          <w:rStyle w:val="50"/>
          <w:highlight w:val="none"/>
        </w:rPr>
        <w:instrText xml:space="preserve"> </w:instrText>
      </w:r>
      <w:r>
        <w:rPr>
          <w:highlight w:val="none"/>
        </w:rPr>
        <w:instrText xml:space="preserve">HYPERLINK \l "_Toc206523619"</w:instrText>
      </w:r>
      <w:r>
        <w:rPr>
          <w:rStyle w:val="50"/>
          <w:highlight w:val="none"/>
        </w:rPr>
        <w:instrText xml:space="preserve"> </w:instrText>
      </w:r>
      <w:r>
        <w:rPr>
          <w:rStyle w:val="50"/>
          <w:highlight w:val="none"/>
        </w:rPr>
        <w:fldChar w:fldCharType="separate"/>
      </w:r>
      <w:r>
        <w:rPr>
          <w:rStyle w:val="50"/>
          <w:rFonts w:hint="eastAsia"/>
          <w:highlight w:val="none"/>
        </w:rPr>
        <w:t>第二章</w:t>
      </w:r>
      <w:r>
        <w:rPr>
          <w:rStyle w:val="50"/>
          <w:highlight w:val="none"/>
        </w:rPr>
        <w:t xml:space="preserve">   </w:t>
      </w:r>
      <w:r>
        <w:rPr>
          <w:rStyle w:val="50"/>
          <w:rFonts w:hint="eastAsia"/>
          <w:highlight w:val="none"/>
        </w:rPr>
        <w:t>供应商须知</w:t>
      </w:r>
      <w:r>
        <w:rPr>
          <w:highlight w:val="none"/>
        </w:rPr>
        <w:tab/>
      </w:r>
      <w:r>
        <w:rPr>
          <w:highlight w:val="none"/>
        </w:rPr>
        <w:fldChar w:fldCharType="begin"/>
      </w:r>
      <w:r>
        <w:rPr>
          <w:highlight w:val="none"/>
        </w:rPr>
        <w:instrText xml:space="preserve"> PAGEREF _Toc206523619 \h </w:instrText>
      </w:r>
      <w:r>
        <w:rPr>
          <w:highlight w:val="none"/>
        </w:rPr>
        <w:fldChar w:fldCharType="separate"/>
      </w:r>
      <w:r>
        <w:rPr>
          <w:highlight w:val="none"/>
        </w:rPr>
        <w:t>6</w:t>
      </w:r>
      <w:r>
        <w:rPr>
          <w:highlight w:val="none"/>
        </w:rPr>
        <w:fldChar w:fldCharType="end"/>
      </w:r>
      <w:r>
        <w:rPr>
          <w:rStyle w:val="50"/>
          <w:highlight w:val="none"/>
        </w:rPr>
        <w:fldChar w:fldCharType="end"/>
      </w:r>
    </w:p>
    <w:p w14:paraId="0E9715F9">
      <w:pPr>
        <w:pStyle w:val="30"/>
        <w:spacing w:line="360" w:lineRule="auto"/>
        <w:rPr>
          <w:rFonts w:ascii="Calibri" w:hAnsi="Calibri"/>
          <w:b w:val="0"/>
          <w:sz w:val="21"/>
          <w:szCs w:val="22"/>
          <w:highlight w:val="none"/>
        </w:rPr>
      </w:pPr>
      <w:r>
        <w:rPr>
          <w:rStyle w:val="50"/>
          <w:highlight w:val="none"/>
        </w:rPr>
        <w:fldChar w:fldCharType="begin"/>
      </w:r>
      <w:r>
        <w:rPr>
          <w:rStyle w:val="50"/>
          <w:highlight w:val="none"/>
        </w:rPr>
        <w:instrText xml:space="preserve"> </w:instrText>
      </w:r>
      <w:r>
        <w:rPr>
          <w:highlight w:val="none"/>
        </w:rPr>
        <w:instrText xml:space="preserve">HYPERLINK \l "_Toc206523620"</w:instrText>
      </w:r>
      <w:r>
        <w:rPr>
          <w:rStyle w:val="50"/>
          <w:highlight w:val="none"/>
        </w:rPr>
        <w:instrText xml:space="preserve"> </w:instrText>
      </w:r>
      <w:r>
        <w:rPr>
          <w:rStyle w:val="50"/>
          <w:highlight w:val="none"/>
        </w:rPr>
        <w:fldChar w:fldCharType="separate"/>
      </w:r>
      <w:r>
        <w:rPr>
          <w:rStyle w:val="50"/>
          <w:rFonts w:hint="eastAsia"/>
          <w:highlight w:val="none"/>
        </w:rPr>
        <w:t>第三章</w:t>
      </w:r>
      <w:r>
        <w:rPr>
          <w:rStyle w:val="50"/>
          <w:highlight w:val="none"/>
        </w:rPr>
        <w:t xml:space="preserve">   </w:t>
      </w:r>
      <w:r>
        <w:rPr>
          <w:rStyle w:val="50"/>
          <w:rFonts w:hint="eastAsia"/>
          <w:highlight w:val="none"/>
        </w:rPr>
        <w:t>资格审查</w:t>
      </w:r>
      <w:r>
        <w:rPr>
          <w:highlight w:val="none"/>
        </w:rPr>
        <w:tab/>
      </w:r>
      <w:r>
        <w:rPr>
          <w:highlight w:val="none"/>
        </w:rPr>
        <w:fldChar w:fldCharType="begin"/>
      </w:r>
      <w:r>
        <w:rPr>
          <w:highlight w:val="none"/>
        </w:rPr>
        <w:instrText xml:space="preserve"> PAGEREF _Toc206523620 \h </w:instrText>
      </w:r>
      <w:r>
        <w:rPr>
          <w:highlight w:val="none"/>
        </w:rPr>
        <w:fldChar w:fldCharType="separate"/>
      </w:r>
      <w:r>
        <w:rPr>
          <w:highlight w:val="none"/>
        </w:rPr>
        <w:t>23</w:t>
      </w:r>
      <w:r>
        <w:rPr>
          <w:highlight w:val="none"/>
        </w:rPr>
        <w:fldChar w:fldCharType="end"/>
      </w:r>
      <w:r>
        <w:rPr>
          <w:rStyle w:val="50"/>
          <w:highlight w:val="none"/>
        </w:rPr>
        <w:fldChar w:fldCharType="end"/>
      </w:r>
    </w:p>
    <w:p w14:paraId="39E210DF">
      <w:pPr>
        <w:pStyle w:val="30"/>
        <w:spacing w:line="360" w:lineRule="auto"/>
        <w:rPr>
          <w:rFonts w:ascii="Calibri" w:hAnsi="Calibri"/>
          <w:b w:val="0"/>
          <w:sz w:val="21"/>
          <w:szCs w:val="22"/>
          <w:highlight w:val="none"/>
        </w:rPr>
      </w:pPr>
      <w:r>
        <w:rPr>
          <w:rStyle w:val="50"/>
          <w:highlight w:val="none"/>
        </w:rPr>
        <w:fldChar w:fldCharType="begin"/>
      </w:r>
      <w:r>
        <w:rPr>
          <w:rStyle w:val="50"/>
          <w:highlight w:val="none"/>
        </w:rPr>
        <w:instrText xml:space="preserve"> </w:instrText>
      </w:r>
      <w:r>
        <w:rPr>
          <w:highlight w:val="none"/>
        </w:rPr>
        <w:instrText xml:space="preserve">HYPERLINK \l "_Toc206523621"</w:instrText>
      </w:r>
      <w:r>
        <w:rPr>
          <w:rStyle w:val="50"/>
          <w:highlight w:val="none"/>
        </w:rPr>
        <w:instrText xml:space="preserve"> </w:instrText>
      </w:r>
      <w:r>
        <w:rPr>
          <w:rStyle w:val="50"/>
          <w:highlight w:val="none"/>
        </w:rPr>
        <w:fldChar w:fldCharType="separate"/>
      </w:r>
      <w:r>
        <w:rPr>
          <w:rStyle w:val="50"/>
          <w:rFonts w:hint="eastAsia"/>
          <w:highlight w:val="none"/>
        </w:rPr>
        <w:t>第四章</w:t>
      </w:r>
      <w:r>
        <w:rPr>
          <w:rStyle w:val="50"/>
          <w:highlight w:val="none"/>
        </w:rPr>
        <w:t xml:space="preserve">   </w:t>
      </w:r>
      <w:r>
        <w:rPr>
          <w:rStyle w:val="50"/>
          <w:rFonts w:hint="eastAsia"/>
          <w:highlight w:val="none"/>
        </w:rPr>
        <w:t>评审程序、评审方法和评审标准</w:t>
      </w:r>
      <w:r>
        <w:rPr>
          <w:highlight w:val="none"/>
        </w:rPr>
        <w:tab/>
      </w:r>
      <w:r>
        <w:rPr>
          <w:highlight w:val="none"/>
        </w:rPr>
        <w:fldChar w:fldCharType="begin"/>
      </w:r>
      <w:r>
        <w:rPr>
          <w:highlight w:val="none"/>
        </w:rPr>
        <w:instrText xml:space="preserve"> PAGEREF _Toc206523621 \h </w:instrText>
      </w:r>
      <w:r>
        <w:rPr>
          <w:highlight w:val="none"/>
        </w:rPr>
        <w:fldChar w:fldCharType="separate"/>
      </w:r>
      <w:r>
        <w:rPr>
          <w:highlight w:val="none"/>
        </w:rPr>
        <w:t>26</w:t>
      </w:r>
      <w:r>
        <w:rPr>
          <w:highlight w:val="none"/>
        </w:rPr>
        <w:fldChar w:fldCharType="end"/>
      </w:r>
      <w:r>
        <w:rPr>
          <w:rStyle w:val="50"/>
          <w:highlight w:val="none"/>
        </w:rPr>
        <w:fldChar w:fldCharType="end"/>
      </w:r>
    </w:p>
    <w:p w14:paraId="3475B4C2">
      <w:pPr>
        <w:pStyle w:val="30"/>
        <w:spacing w:line="360" w:lineRule="auto"/>
        <w:rPr>
          <w:rFonts w:ascii="Calibri" w:hAnsi="Calibri"/>
          <w:b w:val="0"/>
          <w:sz w:val="21"/>
          <w:szCs w:val="22"/>
          <w:highlight w:val="none"/>
        </w:rPr>
      </w:pPr>
      <w:r>
        <w:rPr>
          <w:rStyle w:val="50"/>
          <w:highlight w:val="none"/>
        </w:rPr>
        <w:fldChar w:fldCharType="begin"/>
      </w:r>
      <w:r>
        <w:rPr>
          <w:rStyle w:val="50"/>
          <w:highlight w:val="none"/>
        </w:rPr>
        <w:instrText xml:space="preserve"> </w:instrText>
      </w:r>
      <w:r>
        <w:rPr>
          <w:highlight w:val="none"/>
        </w:rPr>
        <w:instrText xml:space="preserve">HYPERLINK \l "_Toc206523622"</w:instrText>
      </w:r>
      <w:r>
        <w:rPr>
          <w:rStyle w:val="50"/>
          <w:highlight w:val="none"/>
        </w:rPr>
        <w:instrText xml:space="preserve"> </w:instrText>
      </w:r>
      <w:r>
        <w:rPr>
          <w:rStyle w:val="50"/>
          <w:highlight w:val="none"/>
        </w:rPr>
        <w:fldChar w:fldCharType="separate"/>
      </w:r>
      <w:r>
        <w:rPr>
          <w:rStyle w:val="50"/>
          <w:rFonts w:hint="eastAsia"/>
          <w:highlight w:val="none"/>
        </w:rPr>
        <w:t>第五章</w:t>
      </w:r>
      <w:r>
        <w:rPr>
          <w:rStyle w:val="50"/>
          <w:highlight w:val="none"/>
        </w:rPr>
        <w:t xml:space="preserve">   </w:t>
      </w:r>
      <w:r>
        <w:rPr>
          <w:rStyle w:val="50"/>
          <w:rFonts w:hint="eastAsia"/>
          <w:highlight w:val="none"/>
        </w:rPr>
        <w:t>采购需求</w:t>
      </w:r>
      <w:r>
        <w:rPr>
          <w:highlight w:val="none"/>
        </w:rPr>
        <w:tab/>
      </w:r>
      <w:r>
        <w:rPr>
          <w:highlight w:val="none"/>
        </w:rPr>
        <w:fldChar w:fldCharType="begin"/>
      </w:r>
      <w:r>
        <w:rPr>
          <w:highlight w:val="none"/>
        </w:rPr>
        <w:instrText xml:space="preserve"> PAGEREF _Toc206523622 \h </w:instrText>
      </w:r>
      <w:r>
        <w:rPr>
          <w:highlight w:val="none"/>
        </w:rPr>
        <w:fldChar w:fldCharType="separate"/>
      </w:r>
      <w:r>
        <w:rPr>
          <w:highlight w:val="none"/>
        </w:rPr>
        <w:t>33</w:t>
      </w:r>
      <w:r>
        <w:rPr>
          <w:highlight w:val="none"/>
        </w:rPr>
        <w:fldChar w:fldCharType="end"/>
      </w:r>
      <w:r>
        <w:rPr>
          <w:rStyle w:val="50"/>
          <w:highlight w:val="none"/>
        </w:rPr>
        <w:fldChar w:fldCharType="end"/>
      </w:r>
    </w:p>
    <w:p w14:paraId="2CD7B1BA">
      <w:pPr>
        <w:pStyle w:val="30"/>
        <w:spacing w:line="360" w:lineRule="auto"/>
        <w:rPr>
          <w:rFonts w:ascii="Calibri" w:hAnsi="Calibri"/>
          <w:b w:val="0"/>
          <w:sz w:val="21"/>
          <w:szCs w:val="22"/>
          <w:highlight w:val="none"/>
        </w:rPr>
      </w:pPr>
      <w:r>
        <w:rPr>
          <w:rStyle w:val="50"/>
          <w:highlight w:val="none"/>
        </w:rPr>
        <w:fldChar w:fldCharType="begin"/>
      </w:r>
      <w:r>
        <w:rPr>
          <w:rStyle w:val="50"/>
          <w:highlight w:val="none"/>
        </w:rPr>
        <w:instrText xml:space="preserve"> </w:instrText>
      </w:r>
      <w:r>
        <w:rPr>
          <w:highlight w:val="none"/>
        </w:rPr>
        <w:instrText xml:space="preserve">HYPERLINK \l "_Toc206523623"</w:instrText>
      </w:r>
      <w:r>
        <w:rPr>
          <w:rStyle w:val="50"/>
          <w:highlight w:val="none"/>
        </w:rPr>
        <w:instrText xml:space="preserve"> </w:instrText>
      </w:r>
      <w:r>
        <w:rPr>
          <w:rStyle w:val="50"/>
          <w:highlight w:val="none"/>
        </w:rPr>
        <w:fldChar w:fldCharType="separate"/>
      </w:r>
      <w:r>
        <w:rPr>
          <w:rStyle w:val="50"/>
          <w:rFonts w:hint="eastAsia"/>
          <w:highlight w:val="none"/>
        </w:rPr>
        <w:t>第六章</w:t>
      </w:r>
      <w:r>
        <w:rPr>
          <w:rStyle w:val="50"/>
          <w:highlight w:val="none"/>
        </w:rPr>
        <w:t xml:space="preserve">   </w:t>
      </w:r>
      <w:r>
        <w:rPr>
          <w:rStyle w:val="50"/>
          <w:rFonts w:hint="eastAsia"/>
          <w:highlight w:val="none"/>
        </w:rPr>
        <w:t>拟签订的框架协议文本</w:t>
      </w:r>
      <w:r>
        <w:rPr>
          <w:highlight w:val="none"/>
        </w:rPr>
        <w:tab/>
      </w:r>
      <w:r>
        <w:rPr>
          <w:highlight w:val="none"/>
        </w:rPr>
        <w:fldChar w:fldCharType="begin"/>
      </w:r>
      <w:r>
        <w:rPr>
          <w:highlight w:val="none"/>
        </w:rPr>
        <w:instrText xml:space="preserve"> PAGEREF _Toc206523623 \h </w:instrText>
      </w:r>
      <w:r>
        <w:rPr>
          <w:highlight w:val="none"/>
        </w:rPr>
        <w:fldChar w:fldCharType="separate"/>
      </w:r>
      <w:r>
        <w:rPr>
          <w:highlight w:val="none"/>
        </w:rPr>
        <w:t>39</w:t>
      </w:r>
      <w:r>
        <w:rPr>
          <w:highlight w:val="none"/>
        </w:rPr>
        <w:fldChar w:fldCharType="end"/>
      </w:r>
      <w:r>
        <w:rPr>
          <w:rStyle w:val="50"/>
          <w:highlight w:val="none"/>
        </w:rPr>
        <w:fldChar w:fldCharType="end"/>
      </w:r>
    </w:p>
    <w:p w14:paraId="0548A186">
      <w:pPr>
        <w:pStyle w:val="30"/>
        <w:spacing w:line="360" w:lineRule="auto"/>
        <w:rPr>
          <w:rFonts w:ascii="Calibri" w:hAnsi="Calibri"/>
          <w:b w:val="0"/>
          <w:sz w:val="21"/>
          <w:szCs w:val="22"/>
          <w:highlight w:val="none"/>
        </w:rPr>
      </w:pPr>
      <w:r>
        <w:rPr>
          <w:rStyle w:val="50"/>
          <w:highlight w:val="none"/>
        </w:rPr>
        <w:fldChar w:fldCharType="begin"/>
      </w:r>
      <w:r>
        <w:rPr>
          <w:rStyle w:val="50"/>
          <w:highlight w:val="none"/>
        </w:rPr>
        <w:instrText xml:space="preserve"> </w:instrText>
      </w:r>
      <w:r>
        <w:rPr>
          <w:highlight w:val="none"/>
        </w:rPr>
        <w:instrText xml:space="preserve">HYPERLINK \l "_Toc206523624"</w:instrText>
      </w:r>
      <w:r>
        <w:rPr>
          <w:rStyle w:val="50"/>
          <w:highlight w:val="none"/>
        </w:rPr>
        <w:instrText xml:space="preserve"> </w:instrText>
      </w:r>
      <w:r>
        <w:rPr>
          <w:rStyle w:val="50"/>
          <w:highlight w:val="none"/>
        </w:rPr>
        <w:fldChar w:fldCharType="separate"/>
      </w:r>
      <w:r>
        <w:rPr>
          <w:rStyle w:val="50"/>
          <w:rFonts w:hint="eastAsia"/>
          <w:highlight w:val="none"/>
        </w:rPr>
        <w:t>第七章</w:t>
      </w:r>
      <w:r>
        <w:rPr>
          <w:rStyle w:val="50"/>
          <w:highlight w:val="none"/>
        </w:rPr>
        <w:t xml:space="preserve">   </w:t>
      </w:r>
      <w:r>
        <w:rPr>
          <w:rStyle w:val="50"/>
          <w:rFonts w:hint="eastAsia"/>
          <w:highlight w:val="none"/>
        </w:rPr>
        <w:t>响应文件格式</w:t>
      </w:r>
      <w:r>
        <w:rPr>
          <w:highlight w:val="none"/>
        </w:rPr>
        <w:tab/>
      </w:r>
      <w:r>
        <w:rPr>
          <w:highlight w:val="none"/>
        </w:rPr>
        <w:fldChar w:fldCharType="begin"/>
      </w:r>
      <w:r>
        <w:rPr>
          <w:highlight w:val="none"/>
        </w:rPr>
        <w:instrText xml:space="preserve"> PAGEREF _Toc206523624 \h </w:instrText>
      </w:r>
      <w:r>
        <w:rPr>
          <w:highlight w:val="none"/>
        </w:rPr>
        <w:fldChar w:fldCharType="separate"/>
      </w:r>
      <w:r>
        <w:rPr>
          <w:highlight w:val="none"/>
        </w:rPr>
        <w:t>51</w:t>
      </w:r>
      <w:r>
        <w:rPr>
          <w:highlight w:val="none"/>
        </w:rPr>
        <w:fldChar w:fldCharType="end"/>
      </w:r>
      <w:r>
        <w:rPr>
          <w:rStyle w:val="50"/>
          <w:highlight w:val="none"/>
        </w:rPr>
        <w:fldChar w:fldCharType="end"/>
      </w:r>
    </w:p>
    <w:p w14:paraId="7B552DC0">
      <w:pPr>
        <w:pStyle w:val="30"/>
        <w:spacing w:line="360" w:lineRule="auto"/>
        <w:rPr>
          <w:rFonts w:ascii="Times New Roman" w:hAnsi="Times New Roman"/>
          <w:b w:val="0"/>
          <w:highlight w:val="none"/>
        </w:rPr>
      </w:pPr>
      <w:r>
        <w:rPr>
          <w:rFonts w:ascii="Times New Roman" w:hAnsi="Times New Roman"/>
          <w:b w:val="0"/>
          <w:highlight w:val="none"/>
        </w:rPr>
        <w:fldChar w:fldCharType="end"/>
      </w:r>
    </w:p>
    <w:p w14:paraId="4FA43C9B">
      <w:pPr>
        <w:rPr>
          <w:highlight w:val="none"/>
        </w:rPr>
      </w:pPr>
    </w:p>
    <w:p w14:paraId="501D29CF">
      <w:pPr>
        <w:spacing w:line="360" w:lineRule="auto"/>
        <w:rPr>
          <w:sz w:val="24"/>
          <w:highlight w:val="none"/>
        </w:rPr>
      </w:pPr>
      <w:r>
        <w:rPr>
          <w:rFonts w:hint="eastAsia"/>
          <w:sz w:val="24"/>
          <w:highlight w:val="none"/>
        </w:rPr>
        <w:t>注：征集文件条款中以</w:t>
      </w:r>
      <w:r>
        <w:rPr>
          <w:sz w:val="24"/>
          <w:highlight w:val="none"/>
        </w:rPr>
        <w:t xml:space="preserve"> “■”</w:t>
      </w:r>
      <w:r>
        <w:rPr>
          <w:rFonts w:hint="eastAsia"/>
          <w:sz w:val="24"/>
          <w:highlight w:val="none"/>
        </w:rPr>
        <w:t>形式标记的内容适用于本项目，以</w:t>
      </w:r>
      <w:r>
        <w:rPr>
          <w:sz w:val="24"/>
          <w:highlight w:val="none"/>
        </w:rPr>
        <w:t>“□”</w:t>
      </w:r>
      <w:r>
        <w:rPr>
          <w:rFonts w:hint="eastAsia"/>
          <w:sz w:val="24"/>
          <w:highlight w:val="none"/>
        </w:rPr>
        <w:t>形式标记的内容不适用于本项目。</w:t>
      </w:r>
    </w:p>
    <w:p w14:paraId="73F946A2">
      <w:pPr>
        <w:pStyle w:val="30"/>
        <w:spacing w:line="360" w:lineRule="auto"/>
        <w:rPr>
          <w:rFonts w:ascii="Times New Roman" w:hAnsi="Times New Roman"/>
          <w:b w:val="0"/>
          <w:highlight w:val="none"/>
        </w:rPr>
      </w:pPr>
    </w:p>
    <w:p w14:paraId="1A1E382B">
      <w:pPr>
        <w:spacing w:line="360" w:lineRule="auto"/>
        <w:jc w:val="center"/>
        <w:outlineLvl w:val="0"/>
        <w:rPr>
          <w:b/>
          <w:sz w:val="36"/>
          <w:szCs w:val="36"/>
          <w:highlight w:val="none"/>
        </w:rPr>
      </w:pPr>
      <w:r>
        <w:rPr>
          <w:sz w:val="24"/>
          <w:highlight w:val="none"/>
        </w:rPr>
        <w:br w:type="page"/>
      </w:r>
      <w:bookmarkStart w:id="1" w:name="_Toc206523618"/>
      <w:r>
        <w:rPr>
          <w:b/>
          <w:sz w:val="36"/>
          <w:szCs w:val="36"/>
          <w:highlight w:val="none"/>
        </w:rPr>
        <w:t xml:space="preserve">第一章   </w:t>
      </w:r>
      <w:r>
        <w:rPr>
          <w:rFonts w:hint="eastAsia"/>
          <w:b/>
          <w:sz w:val="36"/>
          <w:szCs w:val="36"/>
          <w:highlight w:val="none"/>
        </w:rPr>
        <w:t>征集</w:t>
      </w:r>
      <w:r>
        <w:rPr>
          <w:b/>
          <w:sz w:val="36"/>
          <w:szCs w:val="36"/>
          <w:highlight w:val="none"/>
        </w:rPr>
        <w:t>邀请</w:t>
      </w:r>
      <w:bookmarkEnd w:id="1"/>
    </w:p>
    <w:p w14:paraId="7A0A02D5">
      <w:pPr>
        <w:pStyle w:val="3"/>
        <w:spacing w:before="0" w:line="360" w:lineRule="auto"/>
        <w:jc w:val="left"/>
        <w:rPr>
          <w:rFonts w:ascii="Times New Roman" w:hAnsi="Times New Roman" w:eastAsia="宋体"/>
          <w:sz w:val="24"/>
          <w:szCs w:val="24"/>
          <w:highlight w:val="none"/>
        </w:rPr>
      </w:pPr>
      <w:bookmarkStart w:id="2" w:name="_Toc35393621"/>
      <w:bookmarkStart w:id="3" w:name="_Toc28359079"/>
      <w:bookmarkStart w:id="4" w:name="_Toc35393790"/>
      <w:bookmarkStart w:id="5" w:name="_Toc28359002"/>
      <w:bookmarkStart w:id="6" w:name="_Hlk24379207"/>
      <w:r>
        <w:rPr>
          <w:rFonts w:ascii="Times New Roman" w:hAnsi="Times New Roman" w:eastAsia="宋体"/>
          <w:sz w:val="24"/>
          <w:szCs w:val="24"/>
          <w:highlight w:val="none"/>
        </w:rPr>
        <w:t>一、项目基本情况</w:t>
      </w:r>
      <w:bookmarkEnd w:id="2"/>
      <w:bookmarkEnd w:id="3"/>
      <w:bookmarkEnd w:id="4"/>
      <w:bookmarkEnd w:id="5"/>
    </w:p>
    <w:p w14:paraId="00EA8ABE">
      <w:pPr>
        <w:spacing w:line="360" w:lineRule="auto"/>
        <w:ind w:firstLine="480" w:firstLineChars="200"/>
        <w:rPr>
          <w:sz w:val="24"/>
          <w:highlight w:val="none"/>
        </w:rPr>
      </w:pPr>
      <w:r>
        <w:rPr>
          <w:sz w:val="24"/>
          <w:highlight w:val="none"/>
        </w:rPr>
        <w:t>1.项目编号：11011526210200034525-XM001</w:t>
      </w:r>
    </w:p>
    <w:p w14:paraId="013E005C">
      <w:pPr>
        <w:spacing w:line="360" w:lineRule="auto"/>
        <w:ind w:firstLine="480" w:firstLineChars="200"/>
        <w:rPr>
          <w:sz w:val="24"/>
          <w:highlight w:val="none"/>
        </w:rPr>
      </w:pPr>
      <w:r>
        <w:rPr>
          <w:sz w:val="24"/>
          <w:highlight w:val="none"/>
        </w:rPr>
        <w:t>2.项目名称：</w:t>
      </w:r>
      <w:r>
        <w:rPr>
          <w:rFonts w:hint="eastAsia"/>
          <w:sz w:val="24"/>
          <w:highlight w:val="none"/>
        </w:rPr>
        <w:t>2027年法律援助补贴封闭式框架协议采购</w:t>
      </w:r>
    </w:p>
    <w:p w14:paraId="3DFED188">
      <w:pPr>
        <w:spacing w:line="360" w:lineRule="auto"/>
        <w:ind w:firstLine="480" w:firstLineChars="200"/>
        <w:rPr>
          <w:rFonts w:hint="eastAsia"/>
          <w:sz w:val="24"/>
          <w:highlight w:val="none"/>
        </w:rPr>
      </w:pPr>
      <w:r>
        <w:rPr>
          <w:rFonts w:hint="eastAsia"/>
          <w:sz w:val="24"/>
          <w:highlight w:val="none"/>
        </w:rPr>
        <w:t>3</w:t>
      </w:r>
      <w:r>
        <w:rPr>
          <w:sz w:val="24"/>
          <w:highlight w:val="none"/>
        </w:rPr>
        <w:t>.</w:t>
      </w:r>
      <w:r>
        <w:rPr>
          <w:rFonts w:hint="eastAsia"/>
          <w:sz w:val="24"/>
          <w:highlight w:val="none"/>
        </w:rPr>
        <w:t>框架协议采购方式：封闭式框架协议采购</w:t>
      </w:r>
    </w:p>
    <w:bookmarkEnd w:id="6"/>
    <w:p w14:paraId="5D7963D1">
      <w:pPr>
        <w:spacing w:line="360" w:lineRule="auto"/>
        <w:ind w:firstLine="480" w:firstLineChars="200"/>
        <w:rPr>
          <w:sz w:val="24"/>
          <w:highlight w:val="none"/>
        </w:rPr>
      </w:pPr>
      <w:r>
        <w:rPr>
          <w:sz w:val="24"/>
          <w:highlight w:val="none"/>
        </w:rPr>
        <w:t>4.项目预算金额：398万元</w:t>
      </w:r>
    </w:p>
    <w:p w14:paraId="28322AF6">
      <w:pPr>
        <w:spacing w:line="360" w:lineRule="auto"/>
        <w:ind w:right="-567" w:rightChars="-270" w:firstLine="480" w:firstLineChars="200"/>
        <w:rPr>
          <w:sz w:val="24"/>
          <w:highlight w:val="none"/>
        </w:rPr>
      </w:pPr>
      <w:r>
        <w:rPr>
          <w:sz w:val="24"/>
          <w:highlight w:val="none"/>
        </w:rPr>
        <w:t>5.</w:t>
      </w:r>
      <w:r>
        <w:rPr>
          <w:rFonts w:hint="eastAsia"/>
          <w:sz w:val="24"/>
          <w:highlight w:val="none"/>
        </w:rPr>
        <w:t>最高限制单价：按照《北京市法律援助补贴办法》（京司发〔2018〕86号）规定执行</w:t>
      </w:r>
    </w:p>
    <w:p w14:paraId="3BE935DA">
      <w:pPr>
        <w:spacing w:line="360" w:lineRule="auto"/>
        <w:ind w:right="-567" w:rightChars="-270" w:firstLine="480" w:firstLineChars="200"/>
        <w:rPr>
          <w:rFonts w:hint="eastAsia"/>
          <w:sz w:val="24"/>
          <w:highlight w:val="none"/>
        </w:rPr>
      </w:pPr>
      <w:r>
        <w:rPr>
          <w:rFonts w:hint="eastAsia"/>
          <w:sz w:val="24"/>
          <w:highlight w:val="none"/>
        </w:rPr>
        <w:t>6</w:t>
      </w:r>
      <w:r>
        <w:rPr>
          <w:sz w:val="24"/>
          <w:highlight w:val="none"/>
        </w:rPr>
        <w:t>.采购人或服务对象：</w:t>
      </w:r>
      <w:bookmarkStart w:id="7" w:name="OLE_LINK29"/>
      <w:r>
        <w:rPr>
          <w:rFonts w:hint="eastAsia" w:ascii="宋体" w:hAnsi="宋体" w:cs="宋体"/>
          <w:color w:val="000000"/>
          <w:kern w:val="0"/>
          <w:sz w:val="24"/>
          <w:highlight w:val="none"/>
        </w:rPr>
        <w:t>北京市大兴区法律援助中心</w:t>
      </w:r>
      <w:bookmarkEnd w:id="7"/>
    </w:p>
    <w:p w14:paraId="5808B8DE">
      <w:pPr>
        <w:spacing w:line="360" w:lineRule="auto"/>
        <w:ind w:firstLine="480" w:firstLineChars="200"/>
        <w:rPr>
          <w:sz w:val="24"/>
          <w:highlight w:val="none"/>
        </w:rPr>
      </w:pPr>
      <w:r>
        <w:rPr>
          <w:sz w:val="24"/>
          <w:highlight w:val="none"/>
        </w:rPr>
        <w:t>7.采购需求：</w:t>
      </w:r>
    </w:p>
    <w:tbl>
      <w:tblPr>
        <w:tblStyle w:val="42"/>
        <w:tblW w:w="4960" w:type="pct"/>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5"/>
        <w:gridCol w:w="1299"/>
        <w:gridCol w:w="949"/>
        <w:gridCol w:w="5691"/>
      </w:tblGrid>
      <w:tr w14:paraId="2699B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2" w:type="pct"/>
            <w:noWrap w:val="0"/>
            <w:vAlign w:val="center"/>
          </w:tcPr>
          <w:p w14:paraId="7A7397C8">
            <w:pPr>
              <w:jc w:val="center"/>
              <w:rPr>
                <w:rFonts w:ascii="宋体" w:hAnsi="宋体"/>
                <w:bCs/>
                <w:sz w:val="24"/>
                <w:highlight w:val="none"/>
              </w:rPr>
            </w:pPr>
            <w:r>
              <w:rPr>
                <w:rFonts w:ascii="宋体" w:hAnsi="宋体"/>
                <w:bCs/>
                <w:sz w:val="24"/>
                <w:highlight w:val="none"/>
              </w:rPr>
              <w:t>标的名称</w:t>
            </w:r>
          </w:p>
        </w:tc>
        <w:tc>
          <w:tcPr>
            <w:tcW w:w="705" w:type="pct"/>
            <w:noWrap w:val="0"/>
            <w:vAlign w:val="center"/>
          </w:tcPr>
          <w:p w14:paraId="4814F6DF">
            <w:pPr>
              <w:jc w:val="center"/>
              <w:rPr>
                <w:rFonts w:ascii="宋体" w:hAnsi="宋体"/>
                <w:bCs/>
                <w:sz w:val="24"/>
                <w:highlight w:val="none"/>
              </w:rPr>
            </w:pPr>
            <w:r>
              <w:rPr>
                <w:rFonts w:ascii="宋体" w:hAnsi="宋体"/>
                <w:bCs/>
                <w:sz w:val="24"/>
                <w:highlight w:val="none"/>
              </w:rPr>
              <w:t>预算金额</w:t>
            </w:r>
          </w:p>
          <w:p w14:paraId="3E2BCBC4">
            <w:pPr>
              <w:jc w:val="center"/>
              <w:rPr>
                <w:rFonts w:ascii="宋体" w:hAnsi="宋体"/>
                <w:bCs/>
                <w:sz w:val="24"/>
                <w:highlight w:val="none"/>
              </w:rPr>
            </w:pPr>
            <w:r>
              <w:rPr>
                <w:rFonts w:ascii="宋体" w:hAnsi="宋体"/>
                <w:bCs/>
                <w:sz w:val="24"/>
                <w:highlight w:val="none"/>
              </w:rPr>
              <w:t>（万元）</w:t>
            </w:r>
          </w:p>
        </w:tc>
        <w:tc>
          <w:tcPr>
            <w:tcW w:w="515" w:type="pct"/>
            <w:noWrap w:val="0"/>
            <w:vAlign w:val="center"/>
          </w:tcPr>
          <w:p w14:paraId="2D924596">
            <w:pPr>
              <w:jc w:val="center"/>
              <w:rPr>
                <w:rFonts w:ascii="宋体" w:hAnsi="宋体"/>
                <w:bCs/>
                <w:sz w:val="24"/>
                <w:highlight w:val="none"/>
              </w:rPr>
            </w:pPr>
            <w:r>
              <w:rPr>
                <w:rFonts w:ascii="宋体" w:hAnsi="宋体"/>
                <w:bCs/>
                <w:sz w:val="24"/>
                <w:highlight w:val="none"/>
              </w:rPr>
              <w:t>数量</w:t>
            </w:r>
          </w:p>
        </w:tc>
        <w:tc>
          <w:tcPr>
            <w:tcW w:w="3088" w:type="pct"/>
            <w:noWrap w:val="0"/>
            <w:vAlign w:val="center"/>
          </w:tcPr>
          <w:p w14:paraId="6874A61D">
            <w:pPr>
              <w:jc w:val="center"/>
              <w:rPr>
                <w:rFonts w:ascii="宋体" w:hAnsi="宋体"/>
                <w:sz w:val="24"/>
                <w:highlight w:val="none"/>
              </w:rPr>
            </w:pPr>
            <w:r>
              <w:rPr>
                <w:rFonts w:ascii="宋体" w:hAnsi="宋体"/>
                <w:sz w:val="24"/>
                <w:highlight w:val="none"/>
              </w:rPr>
              <w:t>简要技术需求或服务要求</w:t>
            </w:r>
          </w:p>
        </w:tc>
      </w:tr>
      <w:tr w14:paraId="1B180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2" w:type="pct"/>
            <w:noWrap w:val="0"/>
            <w:vAlign w:val="center"/>
          </w:tcPr>
          <w:p w14:paraId="53B239F7">
            <w:pPr>
              <w:jc w:val="center"/>
              <w:rPr>
                <w:rFonts w:ascii="宋体" w:hAnsi="宋体"/>
                <w:bCs/>
                <w:sz w:val="24"/>
                <w:highlight w:val="none"/>
              </w:rPr>
            </w:pPr>
            <w:r>
              <w:rPr>
                <w:rFonts w:hint="eastAsia" w:ascii="宋体" w:hAnsi="宋体"/>
                <w:sz w:val="24"/>
                <w:highlight w:val="none"/>
              </w:rPr>
              <w:t>法律援助</w:t>
            </w:r>
          </w:p>
        </w:tc>
        <w:tc>
          <w:tcPr>
            <w:tcW w:w="705" w:type="pct"/>
            <w:noWrap w:val="0"/>
            <w:vAlign w:val="center"/>
          </w:tcPr>
          <w:p w14:paraId="53B99FB7">
            <w:pPr>
              <w:jc w:val="center"/>
              <w:rPr>
                <w:rFonts w:ascii="宋体" w:hAnsi="宋体"/>
                <w:bCs/>
                <w:sz w:val="24"/>
                <w:highlight w:val="none"/>
              </w:rPr>
            </w:pPr>
            <w:r>
              <w:rPr>
                <w:rFonts w:hint="eastAsia" w:ascii="宋体" w:hAnsi="宋体"/>
                <w:bCs/>
                <w:sz w:val="24"/>
                <w:highlight w:val="none"/>
              </w:rPr>
              <w:t>3</w:t>
            </w:r>
            <w:r>
              <w:rPr>
                <w:rFonts w:ascii="宋体" w:hAnsi="宋体"/>
                <w:bCs/>
                <w:sz w:val="24"/>
                <w:highlight w:val="none"/>
              </w:rPr>
              <w:t>98</w:t>
            </w:r>
          </w:p>
        </w:tc>
        <w:tc>
          <w:tcPr>
            <w:tcW w:w="515" w:type="pct"/>
            <w:noWrap w:val="0"/>
            <w:vAlign w:val="center"/>
          </w:tcPr>
          <w:p w14:paraId="1A34EE10">
            <w:pPr>
              <w:jc w:val="center"/>
              <w:rPr>
                <w:rFonts w:ascii="宋体" w:hAnsi="宋体"/>
                <w:bCs/>
                <w:sz w:val="24"/>
                <w:highlight w:val="none"/>
              </w:rPr>
            </w:pPr>
            <w:r>
              <w:rPr>
                <w:rFonts w:hint="eastAsia" w:ascii="宋体" w:hAnsi="宋体"/>
                <w:bCs/>
                <w:sz w:val="24"/>
                <w:highlight w:val="none"/>
              </w:rPr>
              <w:t>1项</w:t>
            </w:r>
          </w:p>
        </w:tc>
        <w:tc>
          <w:tcPr>
            <w:tcW w:w="3088" w:type="pct"/>
            <w:noWrap w:val="0"/>
            <w:vAlign w:val="center"/>
          </w:tcPr>
          <w:p w14:paraId="081F39BA">
            <w:pPr>
              <w:rPr>
                <w:rFonts w:hint="eastAsia" w:ascii="宋体" w:hAnsi="宋体"/>
                <w:kern w:val="0"/>
                <w:sz w:val="24"/>
                <w:highlight w:val="none"/>
              </w:rPr>
            </w:pPr>
            <w:r>
              <w:rPr>
                <w:rFonts w:hint="eastAsia" w:ascii="宋体" w:hAnsi="宋体"/>
                <w:kern w:val="0"/>
                <w:sz w:val="24"/>
                <w:highlight w:val="none"/>
              </w:rPr>
              <w:t>本项目服务内容为大兴区法律援助中心提供法律援助服务，包括但不限于以下工作内容：法律援助接待大厅值班工作、法律援助工作站值班工作、大兴区社会治安综合治理中心值班工作、北京市12348公共法律服务热线平台值班工作，解答法律咨询、代写法律文书、法律援助案件代理（辩护）、举办法律知识讲座提供法律咨询服务及参加其它法律援助服务工作等。</w:t>
            </w:r>
          </w:p>
        </w:tc>
      </w:tr>
    </w:tbl>
    <w:p w14:paraId="68B5EE22">
      <w:pPr>
        <w:spacing w:line="360" w:lineRule="auto"/>
        <w:ind w:firstLine="220" w:firstLineChars="200"/>
        <w:rPr>
          <w:sz w:val="11"/>
          <w:szCs w:val="11"/>
          <w:highlight w:val="none"/>
        </w:rPr>
      </w:pPr>
    </w:p>
    <w:p w14:paraId="06D10B5E">
      <w:pPr>
        <w:spacing w:line="360" w:lineRule="auto"/>
        <w:ind w:firstLine="480" w:firstLineChars="200"/>
        <w:rPr>
          <w:sz w:val="24"/>
          <w:highlight w:val="none"/>
          <w:u w:val="single"/>
        </w:rPr>
      </w:pPr>
      <w:r>
        <w:rPr>
          <w:sz w:val="24"/>
          <w:highlight w:val="none"/>
        </w:rPr>
        <w:t>8.</w:t>
      </w:r>
      <w:r>
        <w:rPr>
          <w:rFonts w:hint="eastAsia"/>
          <w:sz w:val="24"/>
          <w:highlight w:val="none"/>
        </w:rPr>
        <w:t>框架</w:t>
      </w:r>
      <w:r>
        <w:rPr>
          <w:sz w:val="24"/>
          <w:highlight w:val="none"/>
        </w:rPr>
        <w:t>协议期限：</w:t>
      </w:r>
      <w:r>
        <w:rPr>
          <w:sz w:val="24"/>
          <w:highlight w:val="none"/>
          <w:u w:val="single"/>
        </w:rPr>
        <w:t>协议</w:t>
      </w:r>
      <w:r>
        <w:rPr>
          <w:rFonts w:hint="eastAsia"/>
          <w:sz w:val="24"/>
          <w:highlight w:val="none"/>
          <w:u w:val="single"/>
        </w:rPr>
        <w:t>签订生效之日起1年</w:t>
      </w:r>
    </w:p>
    <w:p w14:paraId="00A0B845">
      <w:pPr>
        <w:spacing w:line="360" w:lineRule="auto"/>
        <w:ind w:firstLine="480" w:firstLineChars="200"/>
        <w:rPr>
          <w:sz w:val="24"/>
          <w:highlight w:val="none"/>
        </w:rPr>
      </w:pPr>
      <w:r>
        <w:rPr>
          <w:sz w:val="24"/>
          <w:highlight w:val="none"/>
        </w:rPr>
        <w:t>9.本项目是否接受联合体响应：</w:t>
      </w:r>
      <w:r>
        <w:rPr>
          <w:b/>
          <w:sz w:val="24"/>
          <w:highlight w:val="none"/>
        </w:rPr>
        <w:t>■</w:t>
      </w:r>
      <w:r>
        <w:rPr>
          <w:sz w:val="24"/>
          <w:highlight w:val="none"/>
        </w:rPr>
        <w:t>是  □否。</w:t>
      </w:r>
    </w:p>
    <w:p w14:paraId="28A92EC8">
      <w:pPr>
        <w:spacing w:line="360" w:lineRule="auto"/>
        <w:ind w:firstLine="480" w:firstLineChars="200"/>
        <w:rPr>
          <w:sz w:val="24"/>
          <w:highlight w:val="none"/>
        </w:rPr>
      </w:pPr>
    </w:p>
    <w:p w14:paraId="24C2C8A0">
      <w:pPr>
        <w:pStyle w:val="3"/>
        <w:spacing w:before="0" w:line="360" w:lineRule="auto"/>
        <w:jc w:val="left"/>
        <w:rPr>
          <w:rFonts w:ascii="Times New Roman" w:hAnsi="Times New Roman" w:eastAsia="宋体"/>
          <w:sz w:val="24"/>
          <w:szCs w:val="24"/>
          <w:highlight w:val="none"/>
        </w:rPr>
      </w:pPr>
      <w:bookmarkStart w:id="8" w:name="_Toc28359003"/>
      <w:bookmarkStart w:id="9" w:name="_Toc35393622"/>
      <w:bookmarkStart w:id="10" w:name="_Toc35393791"/>
      <w:bookmarkStart w:id="11" w:name="_Toc28359080"/>
      <w:r>
        <w:rPr>
          <w:rFonts w:ascii="Times New Roman" w:hAnsi="Times New Roman" w:eastAsia="宋体"/>
          <w:sz w:val="24"/>
          <w:szCs w:val="24"/>
          <w:highlight w:val="none"/>
        </w:rPr>
        <w:t>二、申请人的资格要求（须同时满足）</w:t>
      </w:r>
      <w:bookmarkEnd w:id="8"/>
      <w:bookmarkEnd w:id="9"/>
      <w:bookmarkEnd w:id="10"/>
      <w:bookmarkEnd w:id="11"/>
    </w:p>
    <w:p w14:paraId="4B3B2F02">
      <w:pPr>
        <w:spacing w:line="360" w:lineRule="auto"/>
        <w:ind w:firstLine="480" w:firstLineChars="200"/>
        <w:rPr>
          <w:sz w:val="24"/>
          <w:highlight w:val="none"/>
        </w:rPr>
      </w:pPr>
      <w:r>
        <w:rPr>
          <w:sz w:val="24"/>
          <w:highlight w:val="none"/>
        </w:rPr>
        <w:t>1.满足《中华人民共和国政府采购法》第二十二条规定；</w:t>
      </w:r>
    </w:p>
    <w:p w14:paraId="4CB23182">
      <w:pPr>
        <w:spacing w:line="360" w:lineRule="auto"/>
        <w:ind w:firstLine="480" w:firstLineChars="200"/>
        <w:rPr>
          <w:sz w:val="24"/>
          <w:highlight w:val="none"/>
        </w:rPr>
      </w:pPr>
      <w:bookmarkStart w:id="12" w:name="_Toc28359004"/>
      <w:bookmarkStart w:id="13" w:name="_Toc28359081"/>
      <w:r>
        <w:rPr>
          <w:sz w:val="24"/>
          <w:highlight w:val="none"/>
        </w:rPr>
        <w:t>2.落实政府采购政策需满足的资格要求：</w:t>
      </w:r>
    </w:p>
    <w:p w14:paraId="72D99DD0">
      <w:pPr>
        <w:spacing w:line="360" w:lineRule="auto"/>
        <w:ind w:firstLine="480" w:firstLineChars="200"/>
        <w:rPr>
          <w:sz w:val="24"/>
          <w:highlight w:val="none"/>
        </w:rPr>
      </w:pPr>
      <w:r>
        <w:rPr>
          <w:sz w:val="24"/>
          <w:highlight w:val="none"/>
        </w:rPr>
        <w:t>2.1 中小企业政策</w:t>
      </w:r>
    </w:p>
    <w:p w14:paraId="65061ED1">
      <w:pPr>
        <w:spacing w:line="360" w:lineRule="auto"/>
        <w:ind w:firstLine="482" w:firstLineChars="200"/>
        <w:rPr>
          <w:sz w:val="24"/>
          <w:highlight w:val="none"/>
        </w:rPr>
      </w:pPr>
      <w:r>
        <w:rPr>
          <w:b/>
          <w:sz w:val="24"/>
          <w:highlight w:val="none"/>
        </w:rPr>
        <w:t>■</w:t>
      </w:r>
      <w:r>
        <w:rPr>
          <w:sz w:val="24"/>
          <w:highlight w:val="none"/>
        </w:rPr>
        <w:t>本项目不专门面向中小企业预留采购份额。</w:t>
      </w:r>
    </w:p>
    <w:p w14:paraId="1EBFA81C">
      <w:pPr>
        <w:spacing w:line="360" w:lineRule="auto"/>
        <w:ind w:firstLine="480" w:firstLineChars="200"/>
        <w:rPr>
          <w:sz w:val="24"/>
          <w:highlight w:val="none"/>
        </w:rPr>
      </w:pPr>
      <w:r>
        <w:rPr>
          <w:sz w:val="24"/>
          <w:highlight w:val="none"/>
        </w:rPr>
        <w:t>□本项目专门面向  □中小 □小微企业  采购。即：提供的服务全部由符合政策要求的中小/小微企业承接。</w:t>
      </w:r>
    </w:p>
    <w:p w14:paraId="0E4B850A">
      <w:pPr>
        <w:spacing w:line="360" w:lineRule="auto"/>
        <w:ind w:firstLine="480" w:firstLineChars="200"/>
        <w:rPr>
          <w:rFonts w:hint="eastAsia"/>
          <w:sz w:val="24"/>
          <w:highlight w:val="none"/>
        </w:rPr>
      </w:pPr>
      <w:r>
        <w:rPr>
          <w:sz w:val="24"/>
          <w:highlight w:val="none"/>
        </w:rPr>
        <w:t>□本项目预留部分采购项目预算专门面向中小企业采购。对于预留份额，提供的服务由符合政策要求的中小企业承接。预留份额通过以下措施进行：</w:t>
      </w:r>
      <w:r>
        <w:rPr>
          <w:rFonts w:hint="eastAsia"/>
          <w:sz w:val="24"/>
          <w:highlight w:val="none"/>
          <w:u w:val="single"/>
        </w:rPr>
        <w:t xml:space="preserve"> </w:t>
      </w:r>
      <w:r>
        <w:rPr>
          <w:sz w:val="24"/>
          <w:highlight w:val="none"/>
          <w:u w:val="single"/>
        </w:rPr>
        <w:t xml:space="preserve">/ </w:t>
      </w:r>
      <w:r>
        <w:rPr>
          <w:sz w:val="24"/>
          <w:highlight w:val="none"/>
        </w:rPr>
        <w:t>。</w:t>
      </w:r>
    </w:p>
    <w:p w14:paraId="110EEC97">
      <w:pPr>
        <w:spacing w:line="360" w:lineRule="auto"/>
        <w:ind w:firstLine="480" w:firstLineChars="200"/>
        <w:rPr>
          <w:rFonts w:hint="eastAsia"/>
          <w:sz w:val="24"/>
          <w:highlight w:val="none"/>
        </w:rPr>
      </w:pPr>
      <w:r>
        <w:rPr>
          <w:sz w:val="24"/>
          <w:highlight w:val="none"/>
        </w:rPr>
        <w:t>2.2 其它落实政府采购政策的资格要求（如有）：</w:t>
      </w:r>
      <w:r>
        <w:rPr>
          <w:rFonts w:hint="eastAsia"/>
          <w:sz w:val="24"/>
          <w:highlight w:val="none"/>
          <w:u w:val="single"/>
        </w:rPr>
        <w:t xml:space="preserve"> </w:t>
      </w:r>
      <w:r>
        <w:rPr>
          <w:sz w:val="24"/>
          <w:highlight w:val="none"/>
          <w:u w:val="single"/>
        </w:rPr>
        <w:t xml:space="preserve">/ </w:t>
      </w:r>
      <w:r>
        <w:rPr>
          <w:sz w:val="24"/>
          <w:highlight w:val="none"/>
        </w:rPr>
        <w:t>。</w:t>
      </w:r>
    </w:p>
    <w:p w14:paraId="4E4A0CF1">
      <w:pPr>
        <w:spacing w:line="360" w:lineRule="auto"/>
        <w:ind w:firstLine="480" w:firstLineChars="200"/>
        <w:rPr>
          <w:i/>
          <w:iCs/>
          <w:sz w:val="24"/>
          <w:highlight w:val="none"/>
          <w:u w:val="single"/>
        </w:rPr>
      </w:pPr>
      <w:r>
        <w:rPr>
          <w:sz w:val="24"/>
          <w:highlight w:val="none"/>
        </w:rPr>
        <w:t>3.本项目的特定资格要求：</w:t>
      </w:r>
    </w:p>
    <w:p w14:paraId="5D9046AF">
      <w:pPr>
        <w:tabs>
          <w:tab w:val="left" w:pos="900"/>
          <w:tab w:val="left" w:pos="1134"/>
          <w:tab w:val="left" w:pos="1589"/>
          <w:tab w:val="left" w:pos="5521"/>
        </w:tabs>
        <w:snapToGrid w:val="0"/>
        <w:spacing w:line="360" w:lineRule="auto"/>
        <w:ind w:firstLine="480" w:firstLineChars="200"/>
        <w:rPr>
          <w:sz w:val="24"/>
          <w:highlight w:val="none"/>
        </w:rPr>
      </w:pPr>
      <w:r>
        <w:rPr>
          <w:sz w:val="24"/>
          <w:highlight w:val="none"/>
        </w:rPr>
        <w:t>3.1本项目是否属于政府购买服务：</w:t>
      </w:r>
    </w:p>
    <w:p w14:paraId="3FE077AE">
      <w:pPr>
        <w:tabs>
          <w:tab w:val="left" w:pos="900"/>
          <w:tab w:val="left" w:pos="1134"/>
          <w:tab w:val="left" w:pos="1589"/>
          <w:tab w:val="left" w:pos="5521"/>
        </w:tabs>
        <w:snapToGrid w:val="0"/>
        <w:spacing w:line="360" w:lineRule="auto"/>
        <w:ind w:left="991" w:leftChars="472" w:firstLine="2"/>
        <w:rPr>
          <w:sz w:val="24"/>
          <w:highlight w:val="none"/>
        </w:rPr>
      </w:pPr>
      <w:r>
        <w:rPr>
          <w:b/>
          <w:sz w:val="24"/>
          <w:highlight w:val="none"/>
        </w:rPr>
        <w:t>■</w:t>
      </w:r>
      <w:r>
        <w:rPr>
          <w:sz w:val="24"/>
          <w:highlight w:val="none"/>
        </w:rPr>
        <w:t>否</w:t>
      </w:r>
    </w:p>
    <w:p w14:paraId="00D5B8AF">
      <w:pPr>
        <w:tabs>
          <w:tab w:val="left" w:pos="900"/>
          <w:tab w:val="left" w:pos="1134"/>
          <w:tab w:val="left" w:pos="1589"/>
          <w:tab w:val="left" w:pos="5521"/>
        </w:tabs>
        <w:snapToGrid w:val="0"/>
        <w:spacing w:line="360" w:lineRule="auto"/>
        <w:ind w:left="991" w:leftChars="472" w:firstLine="2"/>
        <w:rPr>
          <w:sz w:val="24"/>
          <w:highlight w:val="none"/>
        </w:rPr>
      </w:pPr>
      <w:r>
        <w:rPr>
          <w:sz w:val="24"/>
          <w:highlight w:val="none"/>
        </w:rPr>
        <w:t>□是，公益一类事业单位、使用事业编制且由财政拨款保障的群团组织，不得作为承接主体；</w:t>
      </w:r>
    </w:p>
    <w:p w14:paraId="1E764433">
      <w:pPr>
        <w:tabs>
          <w:tab w:val="left" w:pos="900"/>
          <w:tab w:val="left" w:pos="1134"/>
          <w:tab w:val="left" w:pos="1589"/>
          <w:tab w:val="left" w:pos="5521"/>
        </w:tabs>
        <w:snapToGrid w:val="0"/>
        <w:spacing w:line="360" w:lineRule="auto"/>
        <w:ind w:firstLine="480" w:firstLineChars="200"/>
        <w:rPr>
          <w:sz w:val="24"/>
          <w:highlight w:val="none"/>
        </w:rPr>
      </w:pPr>
      <w:r>
        <w:rPr>
          <w:sz w:val="24"/>
          <w:highlight w:val="none"/>
        </w:rPr>
        <w:t>3.2其他特定资格要求：</w:t>
      </w:r>
      <w:r>
        <w:rPr>
          <w:rFonts w:hint="eastAsia"/>
          <w:sz w:val="24"/>
          <w:highlight w:val="none"/>
          <w:u w:val="single"/>
        </w:rPr>
        <w:t>供应商应为律师事务所（律师事务所须</w:t>
      </w:r>
      <w:bookmarkStart w:id="14" w:name="OLE_LINK21"/>
      <w:bookmarkStart w:id="15" w:name="OLE_LINK20"/>
      <w:r>
        <w:rPr>
          <w:rFonts w:hint="eastAsia"/>
          <w:sz w:val="24"/>
          <w:highlight w:val="none"/>
          <w:u w:val="single"/>
        </w:rPr>
        <w:t>具备有效的《律师事务所执业许可证》，并正常进行年度考核合格</w:t>
      </w:r>
      <w:bookmarkEnd w:id="14"/>
      <w:bookmarkEnd w:id="15"/>
      <w:r>
        <w:rPr>
          <w:rFonts w:hint="eastAsia"/>
          <w:sz w:val="24"/>
          <w:highlight w:val="none"/>
          <w:u w:val="single"/>
        </w:rPr>
        <w:t>）或基层法律服务所（基层法律服务所须具备有效的《基层法律服务所执业证》，并正常进行年度考核合格）</w:t>
      </w:r>
      <w:r>
        <w:rPr>
          <w:sz w:val="24"/>
          <w:highlight w:val="none"/>
        </w:rPr>
        <w:t>。</w:t>
      </w:r>
    </w:p>
    <w:p w14:paraId="2D304C3F">
      <w:pPr>
        <w:spacing w:line="360" w:lineRule="auto"/>
        <w:ind w:firstLine="480" w:firstLineChars="200"/>
        <w:rPr>
          <w:i/>
          <w:iCs/>
          <w:sz w:val="24"/>
          <w:highlight w:val="none"/>
          <w:u w:val="single"/>
        </w:rPr>
      </w:pPr>
    </w:p>
    <w:bookmarkEnd w:id="12"/>
    <w:bookmarkEnd w:id="13"/>
    <w:p w14:paraId="14D98DBF">
      <w:pPr>
        <w:pStyle w:val="3"/>
        <w:widowControl/>
        <w:spacing w:before="0" w:line="360" w:lineRule="auto"/>
        <w:jc w:val="left"/>
        <w:rPr>
          <w:rFonts w:ascii="Times New Roman" w:hAnsi="Times New Roman" w:eastAsia="宋体"/>
          <w:sz w:val="24"/>
          <w:szCs w:val="24"/>
          <w:highlight w:val="none"/>
        </w:rPr>
      </w:pPr>
      <w:bookmarkStart w:id="16" w:name="_Toc35393792"/>
      <w:bookmarkStart w:id="17" w:name="_Toc35393623"/>
      <w:r>
        <w:rPr>
          <w:rFonts w:ascii="Times New Roman" w:hAnsi="Times New Roman" w:eastAsia="宋体"/>
          <w:sz w:val="24"/>
          <w:szCs w:val="24"/>
          <w:highlight w:val="none"/>
        </w:rPr>
        <w:t>三、获取</w:t>
      </w:r>
      <w:r>
        <w:rPr>
          <w:rFonts w:hint="eastAsia" w:ascii="Times New Roman" w:hAnsi="Times New Roman" w:eastAsia="宋体"/>
          <w:sz w:val="24"/>
          <w:szCs w:val="24"/>
          <w:highlight w:val="none"/>
        </w:rPr>
        <w:t>征集</w:t>
      </w:r>
      <w:r>
        <w:rPr>
          <w:rFonts w:ascii="Times New Roman" w:hAnsi="Times New Roman" w:eastAsia="宋体"/>
          <w:sz w:val="24"/>
          <w:szCs w:val="24"/>
          <w:highlight w:val="none"/>
        </w:rPr>
        <w:t>文件</w:t>
      </w:r>
      <w:bookmarkEnd w:id="16"/>
      <w:bookmarkEnd w:id="17"/>
    </w:p>
    <w:p w14:paraId="18815717">
      <w:pPr>
        <w:adjustRightInd w:val="0"/>
        <w:snapToGrid w:val="0"/>
        <w:spacing w:line="360" w:lineRule="auto"/>
        <w:ind w:firstLine="480" w:firstLineChars="200"/>
        <w:rPr>
          <w:sz w:val="24"/>
          <w:highlight w:val="none"/>
          <w:lang w:bidi="ar"/>
        </w:rPr>
      </w:pPr>
      <w:r>
        <w:rPr>
          <w:sz w:val="24"/>
          <w:highlight w:val="none"/>
          <w:lang w:bidi="ar"/>
        </w:rPr>
        <w:t>1.时间：2026年8月20日至2026年8月26日，</w:t>
      </w:r>
      <w:r>
        <w:rPr>
          <w:color w:val="000000"/>
          <w:sz w:val="24"/>
          <w:highlight w:val="none"/>
          <w:lang w:bidi="ar"/>
        </w:rPr>
        <w:t>每天上午09:00至12:00，下午12:00至17:00</w:t>
      </w:r>
      <w:r>
        <w:rPr>
          <w:sz w:val="24"/>
          <w:highlight w:val="none"/>
          <w:lang w:bidi="ar"/>
        </w:rPr>
        <w:t>。</w:t>
      </w:r>
    </w:p>
    <w:p w14:paraId="18167B0E">
      <w:pPr>
        <w:adjustRightInd w:val="0"/>
        <w:snapToGrid w:val="0"/>
        <w:spacing w:line="360" w:lineRule="auto"/>
        <w:ind w:firstLine="480" w:firstLineChars="200"/>
        <w:rPr>
          <w:sz w:val="24"/>
          <w:highlight w:val="none"/>
        </w:rPr>
      </w:pPr>
      <w:r>
        <w:rPr>
          <w:sz w:val="24"/>
          <w:highlight w:val="none"/>
          <w:lang w:bidi="ar"/>
        </w:rPr>
        <w:t>2.地点：北京市政府采购电子交易平台</w:t>
      </w:r>
    </w:p>
    <w:p w14:paraId="334C18CE">
      <w:pPr>
        <w:widowControl/>
        <w:adjustRightInd w:val="0"/>
        <w:snapToGrid w:val="0"/>
        <w:spacing w:line="360" w:lineRule="auto"/>
        <w:ind w:firstLine="480" w:firstLineChars="200"/>
        <w:jc w:val="left"/>
        <w:rPr>
          <w:sz w:val="24"/>
          <w:highlight w:val="none"/>
          <w:lang w:bidi="ar"/>
        </w:rPr>
      </w:pPr>
      <w:r>
        <w:rPr>
          <w:sz w:val="24"/>
          <w:highlight w:val="none"/>
          <w:lang w:bidi="ar"/>
        </w:rPr>
        <w:t>3.方式：供应商使用CA数字证书或电子营业执照登录北京市政府采购电子交易平台（http://zbcg-bjzc.zhongcy.com/bjczj-portal-site/index.html#/home）获取电子版</w:t>
      </w:r>
      <w:r>
        <w:rPr>
          <w:rFonts w:hint="eastAsia"/>
          <w:sz w:val="24"/>
          <w:highlight w:val="none"/>
        </w:rPr>
        <w:t>征集</w:t>
      </w:r>
      <w:r>
        <w:rPr>
          <w:sz w:val="24"/>
          <w:highlight w:val="none"/>
          <w:lang w:bidi="ar"/>
        </w:rPr>
        <w:t>文件。</w:t>
      </w:r>
    </w:p>
    <w:p w14:paraId="44AFF74A">
      <w:pPr>
        <w:widowControl/>
        <w:adjustRightInd w:val="0"/>
        <w:snapToGrid w:val="0"/>
        <w:spacing w:line="360" w:lineRule="auto"/>
        <w:ind w:firstLine="480" w:firstLineChars="200"/>
        <w:jc w:val="left"/>
        <w:rPr>
          <w:sz w:val="24"/>
          <w:highlight w:val="none"/>
        </w:rPr>
      </w:pPr>
      <w:r>
        <w:rPr>
          <w:sz w:val="24"/>
          <w:highlight w:val="none"/>
          <w:lang w:bidi="ar"/>
        </w:rPr>
        <w:t>4.售价：0元。</w:t>
      </w:r>
    </w:p>
    <w:p w14:paraId="2B66F680">
      <w:pPr>
        <w:tabs>
          <w:tab w:val="left" w:pos="900"/>
          <w:tab w:val="left" w:pos="1980"/>
        </w:tabs>
        <w:snapToGrid w:val="0"/>
        <w:spacing w:line="360" w:lineRule="auto"/>
        <w:ind w:left="840"/>
        <w:rPr>
          <w:sz w:val="24"/>
          <w:highlight w:val="none"/>
        </w:rPr>
      </w:pPr>
    </w:p>
    <w:p w14:paraId="31EA6D26">
      <w:pPr>
        <w:pStyle w:val="3"/>
        <w:widowControl/>
        <w:spacing w:before="0" w:line="360" w:lineRule="auto"/>
        <w:jc w:val="left"/>
        <w:rPr>
          <w:rFonts w:ascii="Times New Roman" w:hAnsi="Times New Roman" w:eastAsia="宋体"/>
          <w:sz w:val="24"/>
          <w:szCs w:val="24"/>
          <w:highlight w:val="none"/>
        </w:rPr>
      </w:pPr>
      <w:bookmarkStart w:id="18" w:name="_Toc28359082"/>
      <w:bookmarkStart w:id="19" w:name="_Toc28359005"/>
      <w:bookmarkStart w:id="20" w:name="_Toc35393624"/>
      <w:bookmarkStart w:id="21" w:name="_Toc35393793"/>
      <w:r>
        <w:rPr>
          <w:rFonts w:ascii="Times New Roman" w:hAnsi="Times New Roman" w:eastAsia="宋体"/>
          <w:sz w:val="24"/>
          <w:szCs w:val="24"/>
          <w:highlight w:val="none"/>
        </w:rPr>
        <w:t>四、提交</w:t>
      </w:r>
      <w:r>
        <w:rPr>
          <w:rFonts w:hint="eastAsia" w:ascii="Times New Roman" w:hAnsi="Times New Roman" w:eastAsia="宋体"/>
          <w:sz w:val="24"/>
          <w:szCs w:val="24"/>
          <w:highlight w:val="none"/>
        </w:rPr>
        <w:t>响应</w:t>
      </w:r>
      <w:r>
        <w:rPr>
          <w:rFonts w:ascii="Times New Roman" w:hAnsi="Times New Roman" w:eastAsia="宋体"/>
          <w:sz w:val="24"/>
          <w:szCs w:val="24"/>
          <w:highlight w:val="none"/>
        </w:rPr>
        <w:t>文件</w:t>
      </w:r>
      <w:bookmarkEnd w:id="18"/>
      <w:bookmarkEnd w:id="19"/>
      <w:r>
        <w:rPr>
          <w:rFonts w:ascii="Times New Roman" w:hAnsi="Times New Roman" w:eastAsia="宋体"/>
          <w:sz w:val="24"/>
          <w:szCs w:val="24"/>
          <w:highlight w:val="none"/>
        </w:rPr>
        <w:t>截止时间、</w:t>
      </w:r>
      <w:bookmarkStart w:id="22" w:name="OLE_LINK1"/>
      <w:r>
        <w:rPr>
          <w:rFonts w:ascii="Times New Roman" w:hAnsi="Times New Roman" w:eastAsia="宋体"/>
          <w:sz w:val="24"/>
          <w:szCs w:val="24"/>
          <w:highlight w:val="none"/>
        </w:rPr>
        <w:t>开启</w:t>
      </w:r>
      <w:bookmarkEnd w:id="22"/>
      <w:r>
        <w:rPr>
          <w:rFonts w:ascii="Times New Roman" w:hAnsi="Times New Roman" w:eastAsia="宋体"/>
          <w:sz w:val="24"/>
          <w:szCs w:val="24"/>
          <w:highlight w:val="none"/>
        </w:rPr>
        <w:t>时间和地点</w:t>
      </w:r>
      <w:bookmarkEnd w:id="20"/>
      <w:bookmarkEnd w:id="21"/>
    </w:p>
    <w:p w14:paraId="2CBC8424">
      <w:pPr>
        <w:spacing w:line="360" w:lineRule="auto"/>
        <w:ind w:firstLine="480" w:firstLineChars="200"/>
        <w:rPr>
          <w:bCs/>
          <w:sz w:val="24"/>
          <w:highlight w:val="none"/>
          <w:u w:val="single"/>
        </w:rPr>
      </w:pPr>
      <w:r>
        <w:rPr>
          <w:sz w:val="24"/>
          <w:highlight w:val="none"/>
          <w:lang w:bidi="ar"/>
        </w:rPr>
        <w:t>响应截止时间、</w:t>
      </w:r>
      <w:r>
        <w:rPr>
          <w:rFonts w:hint="eastAsia"/>
          <w:sz w:val="24"/>
          <w:highlight w:val="none"/>
          <w:lang w:bidi="ar"/>
        </w:rPr>
        <w:t>开启</w:t>
      </w:r>
      <w:r>
        <w:rPr>
          <w:sz w:val="24"/>
          <w:highlight w:val="none"/>
          <w:lang w:bidi="ar"/>
        </w:rPr>
        <w:t>时间：2026年9月9日9点30分</w:t>
      </w:r>
      <w:r>
        <w:rPr>
          <w:bCs/>
          <w:sz w:val="24"/>
          <w:highlight w:val="none"/>
          <w:lang w:bidi="ar"/>
        </w:rPr>
        <w:t>（北京时间）</w:t>
      </w:r>
      <w:r>
        <w:rPr>
          <w:iCs/>
          <w:sz w:val="24"/>
          <w:highlight w:val="none"/>
          <w:lang w:bidi="ar"/>
        </w:rPr>
        <w:t>。</w:t>
      </w:r>
    </w:p>
    <w:p w14:paraId="4842A1DF">
      <w:pPr>
        <w:spacing w:line="360" w:lineRule="auto"/>
        <w:ind w:firstLine="480" w:firstLineChars="200"/>
        <w:rPr>
          <w:sz w:val="24"/>
          <w:highlight w:val="none"/>
          <w:lang w:val="zh-TW" w:bidi="ar"/>
        </w:rPr>
      </w:pPr>
      <w:r>
        <w:rPr>
          <w:sz w:val="24"/>
          <w:highlight w:val="none"/>
          <w:lang w:bidi="ar"/>
        </w:rPr>
        <w:t>地点：</w:t>
      </w:r>
      <w:r>
        <w:rPr>
          <w:rFonts w:hint="eastAsia"/>
          <w:sz w:val="24"/>
          <w:highlight w:val="none"/>
          <w:lang w:bidi="ar"/>
        </w:rPr>
        <w:t>北京市政府采购电子交易平台</w:t>
      </w:r>
      <w:r>
        <w:rPr>
          <w:rFonts w:hint="eastAsia"/>
          <w:color w:val="000000"/>
          <w:sz w:val="24"/>
          <w:highlight w:val="none"/>
          <w:lang w:bidi="ar"/>
        </w:rPr>
        <w:t>（供应商应于提交响应文件截止时间前在北京市政府采购电子交易平台提交电子响应文件）</w:t>
      </w:r>
      <w:r>
        <w:rPr>
          <w:sz w:val="24"/>
          <w:highlight w:val="none"/>
          <w:lang w:val="zh-TW" w:bidi="ar"/>
        </w:rPr>
        <w:t>。</w:t>
      </w:r>
    </w:p>
    <w:p w14:paraId="6B8F6044">
      <w:pPr>
        <w:spacing w:line="360" w:lineRule="auto"/>
        <w:ind w:firstLine="480" w:firstLineChars="200"/>
        <w:rPr>
          <w:bCs/>
          <w:sz w:val="24"/>
          <w:highlight w:val="none"/>
          <w:u w:val="single"/>
        </w:rPr>
      </w:pPr>
    </w:p>
    <w:p w14:paraId="0AFAD39A">
      <w:pPr>
        <w:pStyle w:val="3"/>
        <w:spacing w:before="0" w:line="360" w:lineRule="auto"/>
        <w:jc w:val="left"/>
        <w:rPr>
          <w:rFonts w:ascii="Times New Roman" w:hAnsi="Times New Roman" w:eastAsia="宋体"/>
          <w:sz w:val="24"/>
          <w:szCs w:val="24"/>
          <w:highlight w:val="none"/>
        </w:rPr>
      </w:pPr>
      <w:bookmarkStart w:id="23" w:name="_Toc35393794"/>
      <w:bookmarkStart w:id="24" w:name="_Toc28359084"/>
      <w:bookmarkStart w:id="25" w:name="_Toc28359007"/>
      <w:bookmarkStart w:id="26" w:name="_Toc35393625"/>
      <w:r>
        <w:rPr>
          <w:rFonts w:ascii="Times New Roman" w:hAnsi="Times New Roman" w:eastAsia="宋体"/>
          <w:sz w:val="24"/>
          <w:szCs w:val="24"/>
          <w:highlight w:val="none"/>
        </w:rPr>
        <w:t>五、公告期限</w:t>
      </w:r>
      <w:bookmarkEnd w:id="23"/>
      <w:bookmarkEnd w:id="24"/>
      <w:bookmarkEnd w:id="25"/>
      <w:bookmarkEnd w:id="26"/>
    </w:p>
    <w:p w14:paraId="2355764B">
      <w:pPr>
        <w:spacing w:line="360" w:lineRule="auto"/>
        <w:ind w:firstLine="480" w:firstLineChars="200"/>
        <w:rPr>
          <w:kern w:val="0"/>
          <w:sz w:val="24"/>
          <w:highlight w:val="none"/>
        </w:rPr>
      </w:pPr>
      <w:r>
        <w:rPr>
          <w:kern w:val="0"/>
          <w:sz w:val="24"/>
          <w:highlight w:val="none"/>
        </w:rPr>
        <w:t>自本公告发布之日起5个工作日。</w:t>
      </w:r>
    </w:p>
    <w:p w14:paraId="4E71A6F4">
      <w:pPr>
        <w:spacing w:line="360" w:lineRule="auto"/>
        <w:ind w:firstLine="480" w:firstLineChars="200"/>
        <w:rPr>
          <w:kern w:val="0"/>
          <w:sz w:val="24"/>
          <w:highlight w:val="none"/>
        </w:rPr>
      </w:pPr>
    </w:p>
    <w:p w14:paraId="183C85CC">
      <w:pPr>
        <w:pStyle w:val="3"/>
        <w:spacing w:before="0" w:line="360" w:lineRule="auto"/>
        <w:jc w:val="left"/>
        <w:rPr>
          <w:rFonts w:ascii="Times New Roman" w:hAnsi="Times New Roman" w:eastAsia="宋体"/>
          <w:sz w:val="24"/>
          <w:szCs w:val="24"/>
          <w:highlight w:val="none"/>
        </w:rPr>
      </w:pPr>
      <w:bookmarkStart w:id="27" w:name="_Toc35393795"/>
      <w:bookmarkStart w:id="28" w:name="_Toc35393626"/>
      <w:r>
        <w:rPr>
          <w:rFonts w:ascii="Times New Roman" w:hAnsi="Times New Roman" w:eastAsia="宋体"/>
          <w:sz w:val="24"/>
          <w:szCs w:val="24"/>
          <w:highlight w:val="none"/>
        </w:rPr>
        <w:t>六、其他补充事宜</w:t>
      </w:r>
      <w:bookmarkEnd w:id="27"/>
      <w:bookmarkEnd w:id="28"/>
    </w:p>
    <w:p w14:paraId="3D894908">
      <w:pPr>
        <w:spacing w:line="360" w:lineRule="auto"/>
        <w:ind w:firstLine="480" w:firstLineChars="200"/>
        <w:rPr>
          <w:bCs/>
          <w:color w:val="000000"/>
          <w:sz w:val="24"/>
          <w:highlight w:val="none"/>
          <w:lang w:bidi="ar"/>
        </w:rPr>
      </w:pPr>
      <w:r>
        <w:rPr>
          <w:color w:val="000000"/>
          <w:sz w:val="24"/>
          <w:highlight w:val="none"/>
          <w:lang w:bidi="ar"/>
        </w:rPr>
        <w:t>1.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color w:val="000000"/>
          <w:sz w:val="24"/>
          <w:highlight w:val="none"/>
          <w:lang w:bidi="ar"/>
        </w:rPr>
        <w:t>CA数字证书</w:t>
      </w:r>
      <w:r>
        <w:rPr>
          <w:color w:val="000000"/>
          <w:sz w:val="24"/>
          <w:highlight w:val="none"/>
          <w:lang w:bidi="ar"/>
        </w:rPr>
        <w:t>或电子营业执照</w:t>
      </w:r>
      <w:r>
        <w:rPr>
          <w:bCs/>
          <w:color w:val="000000"/>
          <w:sz w:val="24"/>
          <w:highlight w:val="none"/>
          <w:lang w:bidi="ar"/>
        </w:rPr>
        <w:t>情况确认是否符合本项目电子化采购流程要求。</w:t>
      </w:r>
    </w:p>
    <w:p w14:paraId="4237D457">
      <w:pPr>
        <w:adjustRightInd w:val="0"/>
        <w:snapToGrid w:val="0"/>
        <w:spacing w:line="360" w:lineRule="auto"/>
        <w:ind w:firstLine="480" w:firstLineChars="200"/>
        <w:rPr>
          <w:color w:val="000000"/>
          <w:sz w:val="24"/>
          <w:highlight w:val="none"/>
          <w:lang w:bidi="ar"/>
        </w:rPr>
      </w:pPr>
      <w:r>
        <w:rPr>
          <w:color w:val="000000"/>
          <w:sz w:val="24"/>
          <w:highlight w:val="none"/>
          <w:lang w:bidi="ar"/>
        </w:rPr>
        <w:t>CA数字证书服务热线 010-58511086</w:t>
      </w:r>
    </w:p>
    <w:p w14:paraId="0143627A">
      <w:pPr>
        <w:adjustRightInd w:val="0"/>
        <w:snapToGrid w:val="0"/>
        <w:spacing w:line="360" w:lineRule="auto"/>
        <w:ind w:firstLine="480" w:firstLineChars="200"/>
        <w:rPr>
          <w:color w:val="000000"/>
          <w:sz w:val="24"/>
          <w:highlight w:val="none"/>
        </w:rPr>
      </w:pPr>
      <w:r>
        <w:rPr>
          <w:color w:val="000000"/>
          <w:sz w:val="24"/>
          <w:highlight w:val="none"/>
          <w:lang w:bidi="ar"/>
        </w:rPr>
        <w:t>电子营业执照服务热线 400-699-7000</w:t>
      </w:r>
    </w:p>
    <w:p w14:paraId="624FB36F">
      <w:pPr>
        <w:adjustRightInd w:val="0"/>
        <w:snapToGrid w:val="0"/>
        <w:spacing w:line="360" w:lineRule="auto"/>
        <w:ind w:firstLine="480" w:firstLineChars="200"/>
        <w:rPr>
          <w:color w:val="000000"/>
          <w:sz w:val="24"/>
          <w:highlight w:val="none"/>
        </w:rPr>
      </w:pPr>
      <w:r>
        <w:rPr>
          <w:color w:val="000000"/>
          <w:sz w:val="24"/>
          <w:highlight w:val="none"/>
          <w:lang w:bidi="ar"/>
        </w:rPr>
        <w:t>技术支持服务热线    010-86483801</w:t>
      </w:r>
    </w:p>
    <w:p w14:paraId="07B7D0E3">
      <w:pPr>
        <w:widowControl/>
        <w:adjustRightInd w:val="0"/>
        <w:snapToGrid w:val="0"/>
        <w:spacing w:line="360" w:lineRule="auto"/>
        <w:ind w:firstLine="480" w:firstLineChars="200"/>
        <w:jc w:val="left"/>
        <w:rPr>
          <w:color w:val="000000"/>
          <w:sz w:val="24"/>
          <w:highlight w:val="none"/>
          <w:lang w:bidi="ar"/>
        </w:rPr>
      </w:pPr>
      <w:r>
        <w:rPr>
          <w:color w:val="000000"/>
          <w:sz w:val="24"/>
          <w:highlight w:val="none"/>
          <w:lang w:bidi="ar"/>
        </w:rPr>
        <w:t>1.1办理CA数字证书或电子营业执照</w:t>
      </w:r>
    </w:p>
    <w:p w14:paraId="4181D31A">
      <w:pPr>
        <w:widowControl/>
        <w:adjustRightInd w:val="0"/>
        <w:snapToGrid w:val="0"/>
        <w:spacing w:line="360" w:lineRule="auto"/>
        <w:ind w:firstLine="480" w:firstLineChars="200"/>
        <w:jc w:val="left"/>
        <w:rPr>
          <w:color w:val="000000"/>
          <w:sz w:val="24"/>
          <w:highlight w:val="none"/>
        </w:rPr>
      </w:pPr>
      <w:r>
        <w:rPr>
          <w:color w:val="000000"/>
          <w:sz w:val="24"/>
          <w:highlight w:val="none"/>
          <w:lang w:bidi="ar"/>
        </w:rPr>
        <w:t>供应商登录北京市政府采购电子交易平台查阅 “用户指南”—“操作指南”—“市场主体CA办理操作流程指引”/“电子营业执照使用指南”，按照程序要求办理。</w:t>
      </w:r>
    </w:p>
    <w:p w14:paraId="3E21F0F2">
      <w:pPr>
        <w:adjustRightInd w:val="0"/>
        <w:snapToGrid w:val="0"/>
        <w:spacing w:line="360" w:lineRule="auto"/>
        <w:ind w:firstLine="480" w:firstLineChars="200"/>
        <w:rPr>
          <w:color w:val="000000"/>
          <w:sz w:val="24"/>
          <w:highlight w:val="none"/>
          <w:lang w:bidi="ar"/>
        </w:rPr>
      </w:pPr>
      <w:r>
        <w:rPr>
          <w:color w:val="000000"/>
          <w:sz w:val="24"/>
          <w:highlight w:val="none"/>
          <w:lang w:bidi="ar"/>
        </w:rPr>
        <w:t>1.2注册</w:t>
      </w:r>
    </w:p>
    <w:p w14:paraId="7B54D14E">
      <w:pPr>
        <w:adjustRightInd w:val="0"/>
        <w:snapToGrid w:val="0"/>
        <w:spacing w:line="360" w:lineRule="auto"/>
        <w:ind w:firstLine="480" w:firstLineChars="200"/>
        <w:rPr>
          <w:color w:val="000000"/>
          <w:sz w:val="24"/>
          <w:highlight w:val="none"/>
        </w:rPr>
      </w:pPr>
      <w:r>
        <w:rPr>
          <w:color w:val="000000"/>
          <w:sz w:val="24"/>
          <w:highlight w:val="none"/>
          <w:lang w:bidi="ar"/>
        </w:rPr>
        <w:t>供应商登录北京市政府采购电子交易平台“用户指南”—“操作指南”—“市场主体注册入库操作流程指引”进行自助注册绑定。</w:t>
      </w:r>
    </w:p>
    <w:p w14:paraId="1EC023E3">
      <w:pPr>
        <w:widowControl/>
        <w:adjustRightInd w:val="0"/>
        <w:snapToGrid w:val="0"/>
        <w:spacing w:line="360" w:lineRule="auto"/>
        <w:ind w:firstLine="480" w:firstLineChars="200"/>
        <w:jc w:val="left"/>
        <w:rPr>
          <w:color w:val="000000"/>
          <w:sz w:val="24"/>
          <w:highlight w:val="none"/>
          <w:lang w:bidi="ar"/>
        </w:rPr>
      </w:pPr>
      <w:r>
        <w:rPr>
          <w:color w:val="000000"/>
          <w:sz w:val="24"/>
          <w:highlight w:val="none"/>
          <w:lang w:bidi="ar"/>
        </w:rPr>
        <w:t>1.3驱动、客户端下载</w:t>
      </w:r>
    </w:p>
    <w:p w14:paraId="534784BF">
      <w:pPr>
        <w:widowControl/>
        <w:adjustRightInd w:val="0"/>
        <w:snapToGrid w:val="0"/>
        <w:spacing w:line="360" w:lineRule="auto"/>
        <w:ind w:firstLine="480" w:firstLineChars="200"/>
        <w:jc w:val="left"/>
        <w:rPr>
          <w:color w:val="000000"/>
          <w:sz w:val="24"/>
          <w:highlight w:val="none"/>
        </w:rPr>
      </w:pPr>
      <w:r>
        <w:rPr>
          <w:color w:val="000000"/>
          <w:sz w:val="24"/>
          <w:highlight w:val="none"/>
          <w:lang w:bidi="ar"/>
        </w:rPr>
        <w:t>供应商登录北京市政府采购电子交易平台“用户指南”—“工具下载”—“招标采购系统文件驱动安装包”下载相关驱动。</w:t>
      </w:r>
    </w:p>
    <w:p w14:paraId="0C789012">
      <w:pPr>
        <w:adjustRightInd w:val="0"/>
        <w:snapToGrid w:val="0"/>
        <w:spacing w:line="360" w:lineRule="auto"/>
        <w:ind w:firstLine="480" w:firstLineChars="200"/>
        <w:rPr>
          <w:color w:val="000000"/>
          <w:sz w:val="24"/>
          <w:highlight w:val="none"/>
          <w:lang w:bidi="ar"/>
        </w:rPr>
      </w:pPr>
      <w:r>
        <w:rPr>
          <w:color w:val="000000"/>
          <w:sz w:val="24"/>
          <w:highlight w:val="none"/>
          <w:lang w:bidi="ar"/>
        </w:rPr>
        <w:t>供应商登录北京市政府采购电子交易平台“用户指南”—“工具下载”—“响应文件编制工具”下载相关客户端。</w:t>
      </w:r>
    </w:p>
    <w:p w14:paraId="46E3A0F3">
      <w:pPr>
        <w:adjustRightInd w:val="0"/>
        <w:snapToGrid w:val="0"/>
        <w:spacing w:line="360" w:lineRule="auto"/>
        <w:ind w:firstLine="480" w:firstLineChars="200"/>
        <w:rPr>
          <w:color w:val="000000"/>
          <w:sz w:val="24"/>
          <w:highlight w:val="none"/>
          <w:lang w:bidi="ar"/>
        </w:rPr>
      </w:pPr>
      <w:r>
        <w:rPr>
          <w:color w:val="000000"/>
          <w:sz w:val="24"/>
          <w:highlight w:val="none"/>
          <w:lang w:bidi="ar"/>
        </w:rPr>
        <w:t>1.4 获取电子</w:t>
      </w:r>
      <w:bookmarkStart w:id="29" w:name="OLE_LINK4"/>
      <w:bookmarkStart w:id="30" w:name="OLE_LINK5"/>
      <w:r>
        <w:rPr>
          <w:rFonts w:hint="eastAsia"/>
          <w:color w:val="000000"/>
          <w:sz w:val="24"/>
          <w:highlight w:val="none"/>
          <w:lang w:bidi="ar"/>
        </w:rPr>
        <w:t>征集</w:t>
      </w:r>
      <w:bookmarkEnd w:id="29"/>
      <w:bookmarkEnd w:id="30"/>
      <w:r>
        <w:rPr>
          <w:color w:val="000000"/>
          <w:sz w:val="24"/>
          <w:highlight w:val="none"/>
          <w:lang w:bidi="ar"/>
        </w:rPr>
        <w:t>文件</w:t>
      </w:r>
    </w:p>
    <w:p w14:paraId="7D96F24B">
      <w:pPr>
        <w:adjustRightInd w:val="0"/>
        <w:snapToGrid w:val="0"/>
        <w:spacing w:line="360" w:lineRule="auto"/>
        <w:ind w:firstLine="480" w:firstLineChars="200"/>
        <w:rPr>
          <w:color w:val="000000"/>
          <w:sz w:val="24"/>
          <w:highlight w:val="none"/>
          <w:lang w:bidi="ar"/>
        </w:rPr>
      </w:pPr>
      <w:r>
        <w:rPr>
          <w:color w:val="000000"/>
          <w:sz w:val="24"/>
          <w:highlight w:val="none"/>
          <w:lang w:bidi="ar"/>
        </w:rPr>
        <w:t>供应商使用CA数字证书或电子营业执照登录北京市政府采购电子交易平台获取电子</w:t>
      </w:r>
      <w:r>
        <w:rPr>
          <w:rFonts w:hint="eastAsia"/>
          <w:color w:val="000000"/>
          <w:sz w:val="24"/>
          <w:highlight w:val="none"/>
          <w:lang w:bidi="ar"/>
        </w:rPr>
        <w:t>征集</w:t>
      </w:r>
      <w:r>
        <w:rPr>
          <w:color w:val="000000"/>
          <w:sz w:val="24"/>
          <w:highlight w:val="none"/>
          <w:lang w:bidi="ar"/>
        </w:rPr>
        <w:t>文件。</w:t>
      </w:r>
    </w:p>
    <w:p w14:paraId="34234735">
      <w:pPr>
        <w:adjustRightInd w:val="0"/>
        <w:snapToGrid w:val="0"/>
        <w:spacing w:line="360" w:lineRule="auto"/>
        <w:ind w:firstLine="480" w:firstLineChars="200"/>
        <w:rPr>
          <w:color w:val="000000"/>
          <w:sz w:val="24"/>
          <w:highlight w:val="none"/>
          <w:lang w:bidi="ar"/>
        </w:rPr>
      </w:pPr>
      <w:r>
        <w:rPr>
          <w:color w:val="000000"/>
          <w:sz w:val="24"/>
          <w:highlight w:val="none"/>
          <w:lang w:bidi="ar"/>
        </w:rPr>
        <w:t>供应商如计划参与多个采购包的响应，应在登录北京市政府采购电子交易平台后，在【我的项目】栏目依次选择对应采购包，进入项目工作台招标/采购文件环节分别按采购包下载</w:t>
      </w:r>
      <w:r>
        <w:rPr>
          <w:rFonts w:hint="eastAsia"/>
          <w:color w:val="000000"/>
          <w:sz w:val="24"/>
          <w:highlight w:val="none"/>
          <w:lang w:bidi="ar"/>
        </w:rPr>
        <w:t>征集</w:t>
      </w:r>
      <w:r>
        <w:rPr>
          <w:color w:val="000000"/>
          <w:sz w:val="24"/>
          <w:highlight w:val="none"/>
          <w:lang w:bidi="ar"/>
        </w:rPr>
        <w:t>文件电子版。未在规定期限内按上述操作获取文件的采购包，供应商无法提交相应包的电子</w:t>
      </w:r>
      <w:r>
        <w:rPr>
          <w:rFonts w:hint="eastAsia"/>
          <w:color w:val="000000"/>
          <w:sz w:val="24"/>
          <w:highlight w:val="none"/>
          <w:lang w:bidi="ar"/>
        </w:rPr>
        <w:t>响应</w:t>
      </w:r>
      <w:r>
        <w:rPr>
          <w:color w:val="000000"/>
          <w:sz w:val="24"/>
          <w:highlight w:val="none"/>
          <w:lang w:bidi="ar"/>
        </w:rPr>
        <w:t>文件。</w:t>
      </w:r>
    </w:p>
    <w:p w14:paraId="6AAAC590">
      <w:pPr>
        <w:adjustRightInd w:val="0"/>
        <w:snapToGrid w:val="0"/>
        <w:spacing w:line="360" w:lineRule="auto"/>
        <w:ind w:firstLine="480" w:firstLineChars="200"/>
        <w:rPr>
          <w:color w:val="000000"/>
          <w:sz w:val="24"/>
          <w:highlight w:val="none"/>
          <w:lang w:bidi="ar"/>
        </w:rPr>
      </w:pPr>
      <w:r>
        <w:rPr>
          <w:color w:val="000000"/>
          <w:sz w:val="24"/>
          <w:highlight w:val="none"/>
          <w:lang w:bidi="ar"/>
        </w:rPr>
        <w:t>1.5编制电子响应文件</w:t>
      </w:r>
    </w:p>
    <w:p w14:paraId="5F6ED9EF">
      <w:pPr>
        <w:adjustRightInd w:val="0"/>
        <w:snapToGrid w:val="0"/>
        <w:spacing w:line="360" w:lineRule="auto"/>
        <w:ind w:firstLine="480" w:firstLineChars="200"/>
        <w:rPr>
          <w:color w:val="000000"/>
          <w:sz w:val="24"/>
          <w:highlight w:val="none"/>
          <w:lang w:bidi="ar"/>
        </w:rPr>
      </w:pPr>
      <w:r>
        <w:rPr>
          <w:color w:val="000000"/>
          <w:sz w:val="24"/>
          <w:highlight w:val="none"/>
          <w:lang w:bidi="ar"/>
        </w:rPr>
        <w:t>供应商应使用</w:t>
      </w:r>
      <w:r>
        <w:rPr>
          <w:rFonts w:hint="eastAsia"/>
          <w:color w:val="000000"/>
          <w:sz w:val="24"/>
          <w:highlight w:val="none"/>
          <w:lang w:bidi="ar"/>
        </w:rPr>
        <w:t>电子投标</w:t>
      </w:r>
      <w:r>
        <w:rPr>
          <w:color w:val="000000"/>
          <w:sz w:val="24"/>
          <w:highlight w:val="none"/>
          <w:lang w:bidi="ar"/>
        </w:rPr>
        <w:t>客户端编制</w:t>
      </w:r>
      <w:r>
        <w:rPr>
          <w:sz w:val="24"/>
          <w:highlight w:val="none"/>
          <w:lang w:bidi="ar"/>
        </w:rPr>
        <w:t>电子</w:t>
      </w:r>
      <w:r>
        <w:rPr>
          <w:rFonts w:hint="eastAsia"/>
          <w:sz w:val="24"/>
          <w:highlight w:val="none"/>
          <w:lang w:bidi="ar"/>
        </w:rPr>
        <w:t>响应</w:t>
      </w:r>
      <w:r>
        <w:rPr>
          <w:color w:val="000000"/>
          <w:sz w:val="24"/>
          <w:highlight w:val="none"/>
          <w:lang w:bidi="ar"/>
        </w:rPr>
        <w:t>文件并进行线上响应，供应商</w:t>
      </w:r>
      <w:r>
        <w:rPr>
          <w:sz w:val="24"/>
          <w:highlight w:val="none"/>
          <w:lang w:bidi="ar"/>
        </w:rPr>
        <w:t>电子</w:t>
      </w:r>
      <w:r>
        <w:rPr>
          <w:rFonts w:hint="eastAsia"/>
          <w:sz w:val="24"/>
          <w:highlight w:val="none"/>
          <w:lang w:bidi="ar"/>
        </w:rPr>
        <w:t>响应</w:t>
      </w:r>
      <w:r>
        <w:rPr>
          <w:color w:val="000000"/>
          <w:sz w:val="24"/>
          <w:highlight w:val="none"/>
          <w:lang w:bidi="ar"/>
        </w:rPr>
        <w:t>文件需要加密并加盖电子签章</w:t>
      </w:r>
      <w:r>
        <w:rPr>
          <w:bCs/>
          <w:color w:val="000000"/>
          <w:sz w:val="24"/>
          <w:highlight w:val="none"/>
          <w:lang w:bidi="ar"/>
        </w:rPr>
        <w:t>，如无法按照要求在</w:t>
      </w:r>
      <w:r>
        <w:rPr>
          <w:sz w:val="24"/>
          <w:highlight w:val="none"/>
          <w:lang w:bidi="ar"/>
        </w:rPr>
        <w:t>电子</w:t>
      </w:r>
      <w:r>
        <w:rPr>
          <w:rFonts w:hint="eastAsia"/>
          <w:sz w:val="24"/>
          <w:highlight w:val="none"/>
          <w:lang w:bidi="ar"/>
        </w:rPr>
        <w:t>响应</w:t>
      </w:r>
      <w:r>
        <w:rPr>
          <w:bCs/>
          <w:color w:val="000000"/>
          <w:sz w:val="24"/>
          <w:highlight w:val="none"/>
          <w:lang w:bidi="ar"/>
        </w:rPr>
        <w:t>文件中加盖电子签章和加密，请及时通过技术支持服务热线联系技术人员</w:t>
      </w:r>
      <w:r>
        <w:rPr>
          <w:color w:val="000000"/>
          <w:sz w:val="24"/>
          <w:highlight w:val="none"/>
          <w:lang w:bidi="ar"/>
        </w:rPr>
        <w:t>。</w:t>
      </w:r>
    </w:p>
    <w:p w14:paraId="3DB46274">
      <w:pPr>
        <w:widowControl/>
        <w:spacing w:line="360" w:lineRule="auto"/>
        <w:ind w:firstLine="480" w:firstLineChars="200"/>
        <w:jc w:val="left"/>
        <w:rPr>
          <w:color w:val="000000"/>
          <w:sz w:val="24"/>
          <w:highlight w:val="none"/>
          <w:lang w:val="zh-TW" w:bidi="ar"/>
        </w:rPr>
      </w:pPr>
      <w:r>
        <w:rPr>
          <w:rFonts w:eastAsia="PMingLiU"/>
          <w:color w:val="000000"/>
          <w:sz w:val="24"/>
          <w:highlight w:val="none"/>
          <w:lang w:val="zh-TW" w:eastAsia="zh-TW" w:bidi="ar"/>
        </w:rPr>
        <w:t>1</w:t>
      </w:r>
      <w:r>
        <w:rPr>
          <w:color w:val="000000"/>
          <w:sz w:val="24"/>
          <w:highlight w:val="none"/>
          <w:lang w:val="zh-TW" w:eastAsia="zh-TW" w:bidi="ar"/>
        </w:rPr>
        <w:t>.6</w:t>
      </w:r>
      <w:r>
        <w:rPr>
          <w:color w:val="000000"/>
          <w:sz w:val="24"/>
          <w:highlight w:val="none"/>
          <w:lang w:val="zh-TW" w:bidi="ar"/>
        </w:rPr>
        <w:t>提交电子响应文件</w:t>
      </w:r>
    </w:p>
    <w:p w14:paraId="276A3049">
      <w:pPr>
        <w:widowControl/>
        <w:spacing w:line="360" w:lineRule="auto"/>
        <w:ind w:firstLine="480" w:firstLineChars="200"/>
        <w:jc w:val="left"/>
        <w:rPr>
          <w:color w:val="000000"/>
          <w:sz w:val="24"/>
          <w:highlight w:val="none"/>
          <w:lang w:bidi="ar"/>
        </w:rPr>
      </w:pPr>
      <w:r>
        <w:rPr>
          <w:color w:val="000000"/>
          <w:sz w:val="24"/>
          <w:highlight w:val="none"/>
          <w:lang w:bidi="ar"/>
        </w:rPr>
        <w:t>供应商应于响应截止时间前在北京市政府采购电子交易平台提交电子响应文件，上传电子响应文件过程中请保持与互联网的连接畅通。</w:t>
      </w:r>
    </w:p>
    <w:p w14:paraId="1DC9CACC">
      <w:pPr>
        <w:widowControl/>
        <w:spacing w:line="360" w:lineRule="auto"/>
        <w:ind w:firstLine="480" w:firstLineChars="200"/>
        <w:jc w:val="left"/>
        <w:rPr>
          <w:color w:val="000000"/>
          <w:sz w:val="24"/>
          <w:highlight w:val="none"/>
          <w:lang w:eastAsia="zh-TW" w:bidi="ar"/>
        </w:rPr>
      </w:pPr>
      <w:r>
        <w:rPr>
          <w:rFonts w:eastAsia="PMingLiU"/>
          <w:color w:val="000000"/>
          <w:sz w:val="24"/>
          <w:highlight w:val="none"/>
          <w:lang w:val="zh-TW" w:eastAsia="zh-TW" w:bidi="ar"/>
        </w:rPr>
        <w:t>1</w:t>
      </w:r>
      <w:r>
        <w:rPr>
          <w:color w:val="000000"/>
          <w:sz w:val="24"/>
          <w:highlight w:val="none"/>
          <w:lang w:val="zh-TW" w:bidi="ar"/>
        </w:rPr>
        <w:t>.</w:t>
      </w:r>
      <w:r>
        <w:rPr>
          <w:color w:val="000000"/>
          <w:sz w:val="24"/>
          <w:highlight w:val="none"/>
          <w:lang w:val="zh-TW" w:eastAsia="zh-TW" w:bidi="ar"/>
        </w:rPr>
        <w:t>7</w:t>
      </w:r>
      <w:r>
        <w:rPr>
          <w:color w:val="000000"/>
          <w:sz w:val="24"/>
          <w:highlight w:val="none"/>
          <w:lang w:val="zh-TW" w:bidi="ar"/>
        </w:rPr>
        <w:t>电子开启</w:t>
      </w:r>
    </w:p>
    <w:p w14:paraId="2F7DF24B">
      <w:pPr>
        <w:spacing w:line="360" w:lineRule="auto"/>
        <w:ind w:firstLine="480" w:firstLineChars="200"/>
        <w:rPr>
          <w:sz w:val="24"/>
          <w:highlight w:val="none"/>
          <w:lang w:eastAsia="zh-TW"/>
        </w:rPr>
      </w:pPr>
      <w:r>
        <w:rPr>
          <w:rFonts w:hint="eastAsia"/>
          <w:color w:val="000000"/>
          <w:sz w:val="24"/>
          <w:highlight w:val="none"/>
          <w:lang w:val="zh-TW" w:bidi="ar"/>
        </w:rPr>
        <w:t>供应商使用CA数字证书或电子营业执照登录北京市政府采购电子交易平台进行电子开启。</w:t>
      </w:r>
    </w:p>
    <w:p w14:paraId="5D6A2711">
      <w:pPr>
        <w:spacing w:line="360" w:lineRule="auto"/>
        <w:ind w:firstLine="480" w:firstLineChars="200"/>
        <w:rPr>
          <w:sz w:val="24"/>
          <w:highlight w:val="none"/>
        </w:rPr>
      </w:pPr>
    </w:p>
    <w:p w14:paraId="40428CEB">
      <w:pPr>
        <w:pStyle w:val="3"/>
        <w:spacing w:before="0" w:line="360" w:lineRule="auto"/>
        <w:jc w:val="left"/>
        <w:rPr>
          <w:rFonts w:hint="eastAsia" w:ascii="Times New Roman" w:hAnsi="Times New Roman" w:eastAsia="宋体"/>
          <w:sz w:val="24"/>
          <w:szCs w:val="24"/>
          <w:highlight w:val="none"/>
        </w:rPr>
      </w:pPr>
      <w:bookmarkStart w:id="31" w:name="_Toc35393627"/>
      <w:bookmarkStart w:id="32" w:name="_Toc28359008"/>
      <w:bookmarkStart w:id="33" w:name="_Toc35393796"/>
      <w:bookmarkStart w:id="34" w:name="_Toc28359085"/>
      <w:r>
        <w:rPr>
          <w:rFonts w:ascii="Times New Roman" w:hAnsi="Times New Roman" w:eastAsia="宋体"/>
          <w:sz w:val="24"/>
          <w:szCs w:val="24"/>
          <w:highlight w:val="none"/>
        </w:rPr>
        <w:t>七、对本次</w:t>
      </w:r>
      <w:r>
        <w:rPr>
          <w:rFonts w:hint="eastAsia" w:ascii="Times New Roman" w:hAnsi="Times New Roman" w:eastAsia="宋体"/>
          <w:sz w:val="24"/>
          <w:szCs w:val="24"/>
          <w:highlight w:val="none"/>
        </w:rPr>
        <w:t>征集</w:t>
      </w:r>
      <w:r>
        <w:rPr>
          <w:rFonts w:ascii="Times New Roman" w:hAnsi="Times New Roman" w:eastAsia="宋体"/>
          <w:sz w:val="24"/>
          <w:szCs w:val="24"/>
          <w:highlight w:val="none"/>
        </w:rPr>
        <w:t>提出询问，请按以下方式联系</w:t>
      </w:r>
      <w:bookmarkEnd w:id="31"/>
      <w:bookmarkEnd w:id="32"/>
      <w:bookmarkEnd w:id="33"/>
      <w:bookmarkEnd w:id="34"/>
    </w:p>
    <w:p w14:paraId="72BBC345">
      <w:pPr>
        <w:spacing w:line="360" w:lineRule="auto"/>
        <w:ind w:left="1080" w:leftChars="371" w:hanging="301" w:hangingChars="125"/>
        <w:jc w:val="left"/>
        <w:rPr>
          <w:b/>
          <w:sz w:val="24"/>
          <w:highlight w:val="none"/>
        </w:rPr>
      </w:pPr>
      <w:r>
        <w:rPr>
          <w:b/>
          <w:sz w:val="24"/>
          <w:highlight w:val="none"/>
        </w:rPr>
        <w:t>征集人信息</w:t>
      </w:r>
    </w:p>
    <w:p w14:paraId="70DC473E">
      <w:pPr>
        <w:spacing w:line="360" w:lineRule="auto"/>
        <w:ind w:left="1080" w:leftChars="371" w:hanging="301" w:hangingChars="125"/>
        <w:jc w:val="left"/>
        <w:rPr>
          <w:b/>
          <w:sz w:val="24"/>
          <w:highlight w:val="none"/>
        </w:rPr>
      </w:pPr>
      <w:r>
        <w:rPr>
          <w:b/>
          <w:sz w:val="24"/>
          <w:highlight w:val="none"/>
        </w:rPr>
        <w:t>1.</w:t>
      </w:r>
      <w:r>
        <w:rPr>
          <w:rFonts w:hint="eastAsia"/>
          <w:highlight w:val="none"/>
        </w:rPr>
        <w:t xml:space="preserve"> </w:t>
      </w:r>
      <w:r>
        <w:rPr>
          <w:rFonts w:hint="eastAsia"/>
          <w:b/>
          <w:sz w:val="24"/>
          <w:highlight w:val="none"/>
        </w:rPr>
        <w:t>主管预算单位</w:t>
      </w:r>
    </w:p>
    <w:p w14:paraId="5566F51E">
      <w:pPr>
        <w:spacing w:line="360" w:lineRule="auto"/>
        <w:ind w:left="1079" w:leftChars="371" w:hanging="300" w:hangingChars="125"/>
        <w:jc w:val="left"/>
        <w:rPr>
          <w:sz w:val="24"/>
          <w:highlight w:val="none"/>
        </w:rPr>
      </w:pPr>
      <w:bookmarkStart w:id="35" w:name="_Toc28359086"/>
      <w:bookmarkStart w:id="36" w:name="_Toc28359009"/>
      <w:r>
        <w:rPr>
          <w:sz w:val="24"/>
          <w:highlight w:val="none"/>
        </w:rPr>
        <w:t>名    称：</w:t>
      </w:r>
      <w:r>
        <w:rPr>
          <w:rFonts w:hint="eastAsia"/>
          <w:sz w:val="24"/>
          <w:highlight w:val="none"/>
        </w:rPr>
        <w:t>北京市大兴区司法局</w:t>
      </w:r>
    </w:p>
    <w:p w14:paraId="65EF349B">
      <w:pPr>
        <w:spacing w:line="360" w:lineRule="auto"/>
        <w:ind w:left="1079" w:leftChars="371" w:hanging="300" w:hangingChars="125"/>
        <w:jc w:val="left"/>
        <w:rPr>
          <w:sz w:val="24"/>
          <w:highlight w:val="none"/>
        </w:rPr>
      </w:pPr>
      <w:r>
        <w:rPr>
          <w:sz w:val="24"/>
          <w:highlight w:val="none"/>
        </w:rPr>
        <w:t>地    址：</w:t>
      </w:r>
      <w:r>
        <w:rPr>
          <w:rFonts w:hint="eastAsia"/>
          <w:sz w:val="24"/>
          <w:highlight w:val="none"/>
        </w:rPr>
        <w:t>北京市大兴区兴政街17号</w:t>
      </w:r>
    </w:p>
    <w:p w14:paraId="4E5E6E17">
      <w:pPr>
        <w:spacing w:line="360" w:lineRule="auto"/>
        <w:ind w:left="1079" w:leftChars="371" w:hanging="300" w:hangingChars="125"/>
        <w:jc w:val="left"/>
        <w:rPr>
          <w:sz w:val="24"/>
          <w:highlight w:val="none"/>
          <w:u w:val="single"/>
        </w:rPr>
      </w:pPr>
      <w:r>
        <w:rPr>
          <w:sz w:val="24"/>
          <w:highlight w:val="none"/>
        </w:rPr>
        <w:t>联系方式：</w:t>
      </w:r>
      <w:r>
        <w:rPr>
          <w:rFonts w:hint="eastAsia"/>
          <w:sz w:val="24"/>
          <w:highlight w:val="none"/>
        </w:rPr>
        <w:t>李想，010-</w:t>
      </w:r>
      <w:r>
        <w:rPr>
          <w:sz w:val="24"/>
          <w:highlight w:val="none"/>
        </w:rPr>
        <w:t>69222148</w:t>
      </w:r>
    </w:p>
    <w:p w14:paraId="5AE95D51">
      <w:pPr>
        <w:spacing w:line="360" w:lineRule="auto"/>
        <w:ind w:left="1080" w:leftChars="371" w:hanging="301" w:hangingChars="125"/>
        <w:jc w:val="left"/>
        <w:rPr>
          <w:b/>
          <w:sz w:val="24"/>
          <w:highlight w:val="none"/>
        </w:rPr>
      </w:pPr>
      <w:r>
        <w:rPr>
          <w:b/>
          <w:sz w:val="24"/>
          <w:highlight w:val="none"/>
        </w:rPr>
        <w:t>2.采购代理机构信息</w:t>
      </w:r>
      <w:bookmarkEnd w:id="35"/>
      <w:bookmarkEnd w:id="36"/>
    </w:p>
    <w:p w14:paraId="6E45EA36">
      <w:pPr>
        <w:spacing w:line="360" w:lineRule="auto"/>
        <w:ind w:left="1079" w:leftChars="371" w:hanging="300" w:hangingChars="125"/>
        <w:jc w:val="left"/>
        <w:rPr>
          <w:sz w:val="24"/>
          <w:highlight w:val="none"/>
        </w:rPr>
      </w:pPr>
      <w:bookmarkStart w:id="37" w:name="_Toc28359010"/>
      <w:bookmarkStart w:id="38" w:name="_Toc28359087"/>
      <w:r>
        <w:rPr>
          <w:sz w:val="24"/>
          <w:highlight w:val="none"/>
        </w:rPr>
        <w:t>名    称：</w:t>
      </w:r>
      <w:r>
        <w:rPr>
          <w:rFonts w:hint="eastAsia"/>
          <w:sz w:val="24"/>
          <w:highlight w:val="none"/>
        </w:rPr>
        <w:t>北京捷迅通力工程咨询有限公司</w:t>
      </w:r>
    </w:p>
    <w:p w14:paraId="4BF7B81C">
      <w:pPr>
        <w:spacing w:line="360" w:lineRule="auto"/>
        <w:ind w:left="1079" w:leftChars="371" w:hanging="300" w:hangingChars="125"/>
        <w:jc w:val="left"/>
        <w:rPr>
          <w:sz w:val="24"/>
          <w:highlight w:val="none"/>
        </w:rPr>
      </w:pPr>
      <w:r>
        <w:rPr>
          <w:sz w:val="24"/>
          <w:highlight w:val="none"/>
        </w:rPr>
        <w:t>地    址：</w:t>
      </w:r>
      <w:r>
        <w:rPr>
          <w:rFonts w:hint="eastAsia"/>
          <w:color w:val="000000"/>
          <w:sz w:val="24"/>
          <w:highlight w:val="none"/>
        </w:rPr>
        <w:t>北京市大兴区金华寺东路2号西配房103室</w:t>
      </w:r>
    </w:p>
    <w:p w14:paraId="0D9F43D6">
      <w:pPr>
        <w:spacing w:line="360" w:lineRule="auto"/>
        <w:ind w:left="1079" w:leftChars="371" w:hanging="300" w:hangingChars="125"/>
        <w:jc w:val="left"/>
        <w:rPr>
          <w:sz w:val="24"/>
          <w:highlight w:val="none"/>
          <w:u w:val="single"/>
        </w:rPr>
      </w:pPr>
      <w:r>
        <w:rPr>
          <w:sz w:val="24"/>
          <w:highlight w:val="none"/>
        </w:rPr>
        <w:t>联系方式：</w:t>
      </w:r>
      <w:r>
        <w:rPr>
          <w:rFonts w:hint="eastAsia"/>
          <w:color w:val="000000"/>
          <w:sz w:val="24"/>
          <w:highlight w:val="none"/>
        </w:rPr>
        <w:t>苏德山，010-60218807</w:t>
      </w:r>
    </w:p>
    <w:p w14:paraId="636313D4">
      <w:pPr>
        <w:spacing w:line="360" w:lineRule="auto"/>
        <w:ind w:left="1080" w:leftChars="371" w:hanging="301" w:hangingChars="125"/>
        <w:jc w:val="left"/>
        <w:rPr>
          <w:b/>
          <w:sz w:val="24"/>
          <w:highlight w:val="none"/>
          <w:u w:val="single"/>
        </w:rPr>
      </w:pPr>
      <w:r>
        <w:rPr>
          <w:b/>
          <w:sz w:val="24"/>
          <w:highlight w:val="none"/>
        </w:rPr>
        <w:t>3.项目联系方式</w:t>
      </w:r>
      <w:bookmarkEnd w:id="37"/>
      <w:bookmarkEnd w:id="38"/>
    </w:p>
    <w:p w14:paraId="30939DFB">
      <w:pPr>
        <w:spacing w:line="360" w:lineRule="auto"/>
        <w:ind w:left="1079" w:leftChars="371" w:hanging="300" w:hangingChars="125"/>
        <w:jc w:val="left"/>
        <w:rPr>
          <w:sz w:val="24"/>
          <w:highlight w:val="none"/>
        </w:rPr>
      </w:pPr>
      <w:r>
        <w:rPr>
          <w:sz w:val="24"/>
          <w:highlight w:val="none"/>
        </w:rPr>
        <w:t>项目联系人：</w:t>
      </w:r>
      <w:r>
        <w:rPr>
          <w:rFonts w:hint="eastAsia"/>
          <w:color w:val="000000"/>
          <w:sz w:val="24"/>
          <w:highlight w:val="none"/>
        </w:rPr>
        <w:t>苏德山</w:t>
      </w:r>
    </w:p>
    <w:p w14:paraId="202434B3">
      <w:pPr>
        <w:spacing w:line="360" w:lineRule="auto"/>
        <w:ind w:left="1079" w:leftChars="371" w:hanging="300" w:hangingChars="125"/>
        <w:jc w:val="left"/>
        <w:rPr>
          <w:sz w:val="24"/>
          <w:highlight w:val="none"/>
        </w:rPr>
      </w:pPr>
      <w:r>
        <w:rPr>
          <w:sz w:val="24"/>
          <w:highlight w:val="none"/>
        </w:rPr>
        <w:t>电      话：</w:t>
      </w:r>
      <w:r>
        <w:rPr>
          <w:rFonts w:hint="eastAsia"/>
          <w:color w:val="000000"/>
          <w:sz w:val="24"/>
          <w:highlight w:val="none"/>
        </w:rPr>
        <w:t>010-60218807</w:t>
      </w:r>
    </w:p>
    <w:p w14:paraId="5D78957F">
      <w:pPr>
        <w:spacing w:line="360" w:lineRule="auto"/>
        <w:ind w:firstLine="5880" w:firstLineChars="2450"/>
        <w:jc w:val="right"/>
        <w:rPr>
          <w:sz w:val="24"/>
          <w:highlight w:val="none"/>
        </w:rPr>
      </w:pPr>
    </w:p>
    <w:p w14:paraId="621E2020">
      <w:pPr>
        <w:spacing w:line="360" w:lineRule="auto"/>
        <w:jc w:val="center"/>
        <w:outlineLvl w:val="0"/>
        <w:rPr>
          <w:b/>
          <w:sz w:val="32"/>
          <w:szCs w:val="32"/>
          <w:highlight w:val="none"/>
        </w:rPr>
      </w:pPr>
      <w:r>
        <w:rPr>
          <w:sz w:val="24"/>
          <w:highlight w:val="none"/>
        </w:rPr>
        <w:br w:type="page"/>
      </w:r>
      <w:bookmarkStart w:id="39" w:name="_Toc264969275"/>
      <w:bookmarkStart w:id="40" w:name="_Toc127161488"/>
      <w:bookmarkStart w:id="41" w:name="_Toc195842950"/>
      <w:bookmarkStart w:id="42" w:name="_Toc150774783"/>
      <w:bookmarkStart w:id="43" w:name="_Toc353825548"/>
      <w:bookmarkStart w:id="44" w:name="_Toc353873938"/>
      <w:bookmarkStart w:id="45" w:name="_Toc226965856"/>
      <w:bookmarkStart w:id="46" w:name="_Toc127151777"/>
      <w:bookmarkStart w:id="47" w:name="_Toc512937850"/>
      <w:bookmarkStart w:id="48" w:name="_Toc305158854"/>
      <w:bookmarkStart w:id="49" w:name="_Toc206523619"/>
      <w:bookmarkStart w:id="50" w:name="_Toc265228423"/>
      <w:bookmarkStart w:id="51" w:name="_Toc305158928"/>
      <w:r>
        <w:rPr>
          <w:b/>
          <w:sz w:val="36"/>
          <w:szCs w:val="36"/>
          <w:highlight w:val="none"/>
        </w:rPr>
        <w:t>第二章   供应商须知</w:t>
      </w:r>
      <w:bookmarkEnd w:id="39"/>
      <w:bookmarkEnd w:id="40"/>
      <w:bookmarkEnd w:id="41"/>
      <w:bookmarkEnd w:id="42"/>
      <w:bookmarkEnd w:id="43"/>
      <w:bookmarkEnd w:id="44"/>
      <w:bookmarkEnd w:id="45"/>
      <w:bookmarkEnd w:id="46"/>
      <w:bookmarkEnd w:id="47"/>
      <w:bookmarkEnd w:id="48"/>
      <w:bookmarkEnd w:id="49"/>
      <w:bookmarkEnd w:id="50"/>
      <w:bookmarkEnd w:id="51"/>
    </w:p>
    <w:p w14:paraId="0F3B844E">
      <w:pPr>
        <w:pStyle w:val="3"/>
        <w:tabs>
          <w:tab w:val="center" w:pos="4592"/>
          <w:tab w:val="left" w:pos="7860"/>
        </w:tabs>
        <w:spacing w:before="0" w:line="360" w:lineRule="auto"/>
        <w:rPr>
          <w:rFonts w:ascii="Times New Roman" w:hAnsi="Times New Roman" w:eastAsia="宋体"/>
          <w:sz w:val="28"/>
          <w:highlight w:val="none"/>
        </w:rPr>
      </w:pPr>
      <w:bookmarkStart w:id="52" w:name="_Toc127161433"/>
      <w:bookmarkStart w:id="53" w:name="_Toc127151720"/>
      <w:bookmarkStart w:id="54" w:name="_Toc226337215"/>
      <w:bookmarkStart w:id="55" w:name="_Toc520356144"/>
      <w:bookmarkStart w:id="56" w:name="_Toc164229360"/>
      <w:bookmarkStart w:id="57" w:name="_Toc150774619"/>
      <w:bookmarkStart w:id="58" w:name="_Toc151193689"/>
      <w:bookmarkStart w:id="59" w:name="_Toc150509270"/>
      <w:bookmarkStart w:id="60" w:name="_Toc150774724"/>
      <w:bookmarkStart w:id="61" w:name="_Toc151193761"/>
      <w:bookmarkStart w:id="62" w:name="_Toc164229214"/>
      <w:bookmarkStart w:id="63" w:name="_Toc151190146"/>
      <w:bookmarkStart w:id="64" w:name="_Toc151193833"/>
      <w:bookmarkStart w:id="65" w:name="_Toc164608633"/>
      <w:bookmarkStart w:id="66" w:name="_Toc226309763"/>
      <w:bookmarkStart w:id="67" w:name="_Toc195842884"/>
      <w:bookmarkStart w:id="68" w:name="_Toc151193907"/>
      <w:bookmarkStart w:id="69" w:name="_Toc150480757"/>
      <w:bookmarkStart w:id="70" w:name="_Toc127151519"/>
      <w:bookmarkStart w:id="71" w:name="_Toc149720812"/>
      <w:bookmarkStart w:id="72" w:name="_Toc151193617"/>
      <w:bookmarkStart w:id="73" w:name="_Toc226965709"/>
      <w:bookmarkStart w:id="74" w:name="_Toc142311021"/>
      <w:bookmarkStart w:id="75" w:name="_Toc226965792"/>
      <w:bookmarkStart w:id="76" w:name="_Toc164351613"/>
      <w:bookmarkStart w:id="77" w:name="_Toc164608788"/>
      <w:r>
        <w:rPr>
          <w:rFonts w:hint="eastAsia" w:ascii="Times New Roman" w:hAnsi="Times New Roman" w:eastAsia="宋体"/>
          <w:sz w:val="28"/>
          <w:highlight w:val="none"/>
        </w:rPr>
        <w:t>供应商</w:t>
      </w:r>
      <w:r>
        <w:rPr>
          <w:rFonts w:ascii="Times New Roman" w:hAnsi="Times New Roman" w:eastAsia="宋体"/>
          <w:sz w:val="28"/>
          <w:highlight w:val="none"/>
        </w:rPr>
        <w:t>须知资料表</w:t>
      </w:r>
    </w:p>
    <w:p w14:paraId="7446391C">
      <w:pPr>
        <w:jc w:val="center"/>
        <w:rPr>
          <w:b/>
          <w:sz w:val="28"/>
          <w:szCs w:val="28"/>
          <w:highlight w:val="none"/>
        </w:rPr>
      </w:pPr>
    </w:p>
    <w:p w14:paraId="2725252E">
      <w:pPr>
        <w:spacing w:line="360" w:lineRule="auto"/>
        <w:ind w:firstLine="480"/>
        <w:rPr>
          <w:sz w:val="24"/>
          <w:highlight w:val="none"/>
        </w:rPr>
      </w:pPr>
      <w:r>
        <w:rPr>
          <w:sz w:val="24"/>
          <w:highlight w:val="none"/>
        </w:rPr>
        <w:t>本表是对供应商须知的具体补充和修改，如有矛盾，均以本资料表为准。</w:t>
      </w:r>
    </w:p>
    <w:tbl>
      <w:tblPr>
        <w:tblStyle w:val="42"/>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41699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noWrap w:val="0"/>
            <w:vAlign w:val="center"/>
          </w:tcPr>
          <w:p w14:paraId="424AABEF">
            <w:pPr>
              <w:jc w:val="center"/>
              <w:rPr>
                <w:b/>
                <w:bCs/>
                <w:sz w:val="24"/>
                <w:highlight w:val="none"/>
              </w:rPr>
            </w:pPr>
            <w:r>
              <w:rPr>
                <w:b/>
                <w:sz w:val="24"/>
                <w:highlight w:val="none"/>
              </w:rPr>
              <w:t>条款号</w:t>
            </w:r>
          </w:p>
        </w:tc>
        <w:tc>
          <w:tcPr>
            <w:tcW w:w="1701" w:type="dxa"/>
            <w:noWrap w:val="0"/>
            <w:vAlign w:val="center"/>
          </w:tcPr>
          <w:p w14:paraId="66F84A51">
            <w:pPr>
              <w:jc w:val="center"/>
              <w:rPr>
                <w:b/>
                <w:bCs/>
                <w:sz w:val="24"/>
                <w:highlight w:val="none"/>
              </w:rPr>
            </w:pPr>
            <w:r>
              <w:rPr>
                <w:b/>
                <w:bCs/>
                <w:sz w:val="24"/>
                <w:highlight w:val="none"/>
              </w:rPr>
              <w:t>条目</w:t>
            </w:r>
          </w:p>
        </w:tc>
        <w:tc>
          <w:tcPr>
            <w:tcW w:w="7540" w:type="dxa"/>
            <w:noWrap w:val="0"/>
            <w:vAlign w:val="center"/>
          </w:tcPr>
          <w:p w14:paraId="559EE3A0">
            <w:pPr>
              <w:jc w:val="center"/>
              <w:rPr>
                <w:b/>
                <w:bCs/>
                <w:sz w:val="24"/>
                <w:highlight w:val="none"/>
              </w:rPr>
            </w:pPr>
            <w:r>
              <w:rPr>
                <w:b/>
                <w:bCs/>
                <w:sz w:val="24"/>
                <w:highlight w:val="none"/>
              </w:rPr>
              <w:t>内容</w:t>
            </w:r>
          </w:p>
        </w:tc>
      </w:tr>
      <w:tr w14:paraId="01A4F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2F8A5FB5">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2.2</w:t>
            </w:r>
          </w:p>
        </w:tc>
        <w:tc>
          <w:tcPr>
            <w:tcW w:w="1701" w:type="dxa"/>
            <w:noWrap w:val="0"/>
            <w:vAlign w:val="center"/>
          </w:tcPr>
          <w:p w14:paraId="5433EEC4">
            <w:pPr>
              <w:jc w:val="center"/>
              <w:rPr>
                <w:sz w:val="24"/>
                <w:highlight w:val="none"/>
              </w:rPr>
            </w:pPr>
            <w:r>
              <w:rPr>
                <w:sz w:val="24"/>
                <w:highlight w:val="none"/>
              </w:rPr>
              <w:t>项目属性</w:t>
            </w:r>
          </w:p>
        </w:tc>
        <w:tc>
          <w:tcPr>
            <w:tcW w:w="7540" w:type="dxa"/>
            <w:noWrap w:val="0"/>
            <w:vAlign w:val="center"/>
          </w:tcPr>
          <w:p w14:paraId="4D669633">
            <w:pPr>
              <w:jc w:val="left"/>
              <w:rPr>
                <w:sz w:val="24"/>
                <w:highlight w:val="none"/>
              </w:rPr>
            </w:pPr>
            <w:r>
              <w:rPr>
                <w:sz w:val="24"/>
                <w:highlight w:val="none"/>
              </w:rPr>
              <w:t>项目属性：</w:t>
            </w:r>
          </w:p>
          <w:p w14:paraId="36D26EB7">
            <w:pPr>
              <w:jc w:val="left"/>
              <w:rPr>
                <w:sz w:val="24"/>
                <w:highlight w:val="none"/>
              </w:rPr>
            </w:pPr>
            <w:r>
              <w:rPr>
                <w:b/>
                <w:sz w:val="24"/>
                <w:highlight w:val="none"/>
              </w:rPr>
              <w:t>■</w:t>
            </w:r>
            <w:r>
              <w:rPr>
                <w:sz w:val="24"/>
                <w:highlight w:val="none"/>
              </w:rPr>
              <w:t>服务</w:t>
            </w:r>
          </w:p>
          <w:p w14:paraId="4B644A3A">
            <w:pPr>
              <w:jc w:val="left"/>
              <w:rPr>
                <w:sz w:val="24"/>
                <w:highlight w:val="none"/>
              </w:rPr>
            </w:pPr>
            <w:r>
              <w:rPr>
                <w:sz w:val="24"/>
                <w:highlight w:val="none"/>
              </w:rPr>
              <w:t>□货物</w:t>
            </w:r>
          </w:p>
        </w:tc>
      </w:tr>
      <w:tr w14:paraId="27066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7ADC21E6">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2.3</w:t>
            </w:r>
          </w:p>
        </w:tc>
        <w:tc>
          <w:tcPr>
            <w:tcW w:w="1701" w:type="dxa"/>
            <w:noWrap w:val="0"/>
            <w:vAlign w:val="center"/>
          </w:tcPr>
          <w:p w14:paraId="1050B6D8">
            <w:pPr>
              <w:jc w:val="center"/>
              <w:rPr>
                <w:sz w:val="24"/>
                <w:highlight w:val="none"/>
              </w:rPr>
            </w:pPr>
            <w:r>
              <w:rPr>
                <w:sz w:val="24"/>
                <w:highlight w:val="none"/>
              </w:rPr>
              <w:t>科研仪器设备</w:t>
            </w:r>
          </w:p>
        </w:tc>
        <w:tc>
          <w:tcPr>
            <w:tcW w:w="7540" w:type="dxa"/>
            <w:noWrap w:val="0"/>
            <w:vAlign w:val="center"/>
          </w:tcPr>
          <w:p w14:paraId="0DE21F34">
            <w:pPr>
              <w:jc w:val="left"/>
              <w:rPr>
                <w:sz w:val="24"/>
                <w:highlight w:val="none"/>
              </w:rPr>
            </w:pPr>
            <w:r>
              <w:rPr>
                <w:sz w:val="24"/>
                <w:highlight w:val="none"/>
              </w:rPr>
              <w:t>是否属于科研仪器设备采购项目：</w:t>
            </w:r>
          </w:p>
          <w:p w14:paraId="48832B9E">
            <w:pPr>
              <w:jc w:val="left"/>
              <w:rPr>
                <w:sz w:val="24"/>
                <w:highlight w:val="none"/>
              </w:rPr>
            </w:pPr>
            <w:r>
              <w:rPr>
                <w:sz w:val="24"/>
                <w:highlight w:val="none"/>
              </w:rPr>
              <w:t>□是</w:t>
            </w:r>
          </w:p>
          <w:p w14:paraId="106A7DF1">
            <w:pPr>
              <w:jc w:val="left"/>
              <w:rPr>
                <w:sz w:val="24"/>
                <w:highlight w:val="none"/>
              </w:rPr>
            </w:pPr>
            <w:r>
              <w:rPr>
                <w:b/>
                <w:sz w:val="24"/>
                <w:highlight w:val="none"/>
              </w:rPr>
              <w:t>■</w:t>
            </w:r>
            <w:r>
              <w:rPr>
                <w:sz w:val="24"/>
                <w:highlight w:val="none"/>
              </w:rPr>
              <w:t>否</w:t>
            </w:r>
          </w:p>
        </w:tc>
      </w:tr>
      <w:tr w14:paraId="65978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2488BAB4">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2.4</w:t>
            </w:r>
          </w:p>
        </w:tc>
        <w:tc>
          <w:tcPr>
            <w:tcW w:w="1701" w:type="dxa"/>
            <w:noWrap w:val="0"/>
            <w:vAlign w:val="center"/>
          </w:tcPr>
          <w:p w14:paraId="54578E95">
            <w:pPr>
              <w:jc w:val="center"/>
              <w:rPr>
                <w:sz w:val="24"/>
                <w:highlight w:val="none"/>
              </w:rPr>
            </w:pPr>
            <w:r>
              <w:rPr>
                <w:sz w:val="24"/>
                <w:highlight w:val="none"/>
              </w:rPr>
              <w:t>核心产品</w:t>
            </w:r>
          </w:p>
        </w:tc>
        <w:tc>
          <w:tcPr>
            <w:tcW w:w="7540" w:type="dxa"/>
            <w:noWrap w:val="0"/>
            <w:vAlign w:val="center"/>
          </w:tcPr>
          <w:p w14:paraId="0479E88C">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■关于核心产品本项目__包不适用。</w:t>
            </w:r>
          </w:p>
          <w:p w14:paraId="2F988CCC">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□本项目__包为单一产品采购项目。</w:t>
            </w:r>
          </w:p>
          <w:p w14:paraId="5DF92D73">
            <w:pPr>
              <w:jc w:val="left"/>
              <w:rPr>
                <w:sz w:val="24"/>
                <w:highlight w:val="none"/>
              </w:rPr>
            </w:pPr>
            <w:r>
              <w:rPr>
                <w:sz w:val="24"/>
                <w:highlight w:val="none"/>
              </w:rPr>
              <w:t>□本项目__包为非单一产品采购项目，核心产品为：____。</w:t>
            </w:r>
          </w:p>
        </w:tc>
      </w:tr>
      <w:tr w14:paraId="59E0E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shd w:val="clear" w:color="auto" w:fill="auto"/>
            <w:noWrap w:val="0"/>
            <w:vAlign w:val="center"/>
          </w:tcPr>
          <w:p w14:paraId="74F5D024">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3.1</w:t>
            </w:r>
          </w:p>
        </w:tc>
        <w:tc>
          <w:tcPr>
            <w:tcW w:w="1701" w:type="dxa"/>
            <w:shd w:val="clear" w:color="auto" w:fill="auto"/>
            <w:noWrap w:val="0"/>
            <w:vAlign w:val="center"/>
          </w:tcPr>
          <w:p w14:paraId="338E6035">
            <w:pPr>
              <w:jc w:val="center"/>
              <w:rPr>
                <w:sz w:val="24"/>
                <w:highlight w:val="none"/>
              </w:rPr>
            </w:pPr>
            <w:r>
              <w:rPr>
                <w:sz w:val="24"/>
                <w:highlight w:val="none"/>
              </w:rPr>
              <w:t>现场考察</w:t>
            </w:r>
          </w:p>
        </w:tc>
        <w:tc>
          <w:tcPr>
            <w:tcW w:w="7540" w:type="dxa"/>
            <w:noWrap w:val="0"/>
            <w:vAlign w:val="center"/>
          </w:tcPr>
          <w:p w14:paraId="118F3F92">
            <w:pPr>
              <w:jc w:val="left"/>
              <w:rPr>
                <w:sz w:val="24"/>
                <w:highlight w:val="none"/>
              </w:rPr>
            </w:pPr>
            <w:r>
              <w:rPr>
                <w:b/>
                <w:sz w:val="24"/>
                <w:highlight w:val="none"/>
              </w:rPr>
              <w:t>■</w:t>
            </w:r>
            <w:r>
              <w:rPr>
                <w:sz w:val="24"/>
                <w:highlight w:val="none"/>
              </w:rPr>
              <w:t>不组织</w:t>
            </w:r>
          </w:p>
          <w:p w14:paraId="11932510">
            <w:pPr>
              <w:jc w:val="left"/>
              <w:rPr>
                <w:bCs/>
                <w:sz w:val="24"/>
                <w:highlight w:val="none"/>
              </w:rPr>
            </w:pPr>
            <w:r>
              <w:rPr>
                <w:sz w:val="24"/>
                <w:highlight w:val="none"/>
              </w:rPr>
              <w:t>□组织，考察时间：__年_月_日_</w:t>
            </w:r>
            <w:r>
              <w:rPr>
                <w:bCs/>
                <w:sz w:val="24"/>
                <w:highlight w:val="none"/>
              </w:rPr>
              <w:t>点</w:t>
            </w:r>
            <w:r>
              <w:rPr>
                <w:sz w:val="24"/>
                <w:highlight w:val="none"/>
              </w:rPr>
              <w:t>_</w:t>
            </w:r>
            <w:r>
              <w:rPr>
                <w:bCs/>
                <w:sz w:val="24"/>
                <w:highlight w:val="none"/>
              </w:rPr>
              <w:t>分</w:t>
            </w:r>
          </w:p>
          <w:p w14:paraId="4E807869">
            <w:pPr>
              <w:pStyle w:val="23"/>
              <w:adjustRightInd w:val="0"/>
              <w:snapToGrid w:val="0"/>
              <w:rPr>
                <w:rFonts w:hint="default" w:ascii="Times New Roman" w:hAnsi="Times New Roman"/>
                <w:sz w:val="24"/>
                <w:szCs w:val="24"/>
                <w:highlight w:val="none"/>
              </w:rPr>
            </w:pPr>
            <w:r>
              <w:rPr>
                <w:rFonts w:hint="default" w:ascii="Times New Roman" w:hAnsi="Times New Roman"/>
                <w:sz w:val="24"/>
                <w:highlight w:val="none"/>
              </w:rPr>
              <w:t>考察地点：____________。</w:t>
            </w:r>
          </w:p>
        </w:tc>
      </w:tr>
      <w:tr w14:paraId="50FB8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shd w:val="clear" w:color="auto" w:fill="auto"/>
            <w:noWrap w:val="0"/>
            <w:vAlign w:val="center"/>
          </w:tcPr>
          <w:p w14:paraId="61055B50">
            <w:pPr>
              <w:pStyle w:val="23"/>
              <w:adjustRightInd w:val="0"/>
              <w:snapToGrid w:val="0"/>
              <w:jc w:val="center"/>
              <w:rPr>
                <w:rFonts w:hint="default" w:ascii="Times New Roman" w:hAnsi="Times New Roman"/>
                <w:sz w:val="24"/>
                <w:szCs w:val="24"/>
                <w:highlight w:val="none"/>
              </w:rPr>
            </w:pPr>
          </w:p>
        </w:tc>
        <w:tc>
          <w:tcPr>
            <w:tcW w:w="1701" w:type="dxa"/>
            <w:shd w:val="clear" w:color="auto" w:fill="auto"/>
            <w:noWrap w:val="0"/>
            <w:vAlign w:val="center"/>
          </w:tcPr>
          <w:p w14:paraId="4920F6EB">
            <w:pPr>
              <w:jc w:val="center"/>
              <w:rPr>
                <w:sz w:val="24"/>
                <w:highlight w:val="none"/>
              </w:rPr>
            </w:pPr>
            <w:r>
              <w:rPr>
                <w:sz w:val="24"/>
                <w:highlight w:val="none"/>
              </w:rPr>
              <w:t>开</w:t>
            </w:r>
            <w:r>
              <w:rPr>
                <w:rFonts w:hint="eastAsia"/>
                <w:sz w:val="24"/>
                <w:highlight w:val="none"/>
              </w:rPr>
              <w:t>启</w:t>
            </w:r>
            <w:r>
              <w:rPr>
                <w:sz w:val="24"/>
                <w:highlight w:val="none"/>
              </w:rPr>
              <w:t>前答疑会</w:t>
            </w:r>
          </w:p>
        </w:tc>
        <w:tc>
          <w:tcPr>
            <w:tcW w:w="7540" w:type="dxa"/>
            <w:noWrap w:val="0"/>
            <w:vAlign w:val="center"/>
          </w:tcPr>
          <w:p w14:paraId="13E9B63E">
            <w:pPr>
              <w:jc w:val="left"/>
              <w:rPr>
                <w:sz w:val="24"/>
                <w:highlight w:val="none"/>
              </w:rPr>
            </w:pPr>
            <w:bookmarkStart w:id="78" w:name="OLE_LINK2"/>
            <w:bookmarkStart w:id="79" w:name="OLE_LINK3"/>
            <w:r>
              <w:rPr>
                <w:b/>
                <w:sz w:val="24"/>
                <w:highlight w:val="none"/>
              </w:rPr>
              <w:t>■</w:t>
            </w:r>
            <w:bookmarkEnd w:id="78"/>
            <w:bookmarkEnd w:id="79"/>
            <w:r>
              <w:rPr>
                <w:sz w:val="24"/>
                <w:highlight w:val="none"/>
              </w:rPr>
              <w:t>不召开</w:t>
            </w:r>
          </w:p>
          <w:p w14:paraId="7209E331">
            <w:pPr>
              <w:jc w:val="left"/>
              <w:rPr>
                <w:sz w:val="24"/>
                <w:highlight w:val="none"/>
              </w:rPr>
            </w:pPr>
            <w:r>
              <w:rPr>
                <w:sz w:val="24"/>
                <w:highlight w:val="none"/>
              </w:rPr>
              <w:t>□召开，召开时间：__年_月_日_</w:t>
            </w:r>
            <w:r>
              <w:rPr>
                <w:bCs/>
                <w:sz w:val="24"/>
                <w:highlight w:val="none"/>
              </w:rPr>
              <w:t>点</w:t>
            </w:r>
            <w:r>
              <w:rPr>
                <w:sz w:val="24"/>
                <w:highlight w:val="none"/>
              </w:rPr>
              <w:t>_</w:t>
            </w:r>
            <w:r>
              <w:rPr>
                <w:bCs/>
                <w:sz w:val="24"/>
                <w:highlight w:val="none"/>
              </w:rPr>
              <w:t>分</w:t>
            </w:r>
          </w:p>
          <w:p w14:paraId="25AAC074">
            <w:pPr>
              <w:jc w:val="left"/>
              <w:rPr>
                <w:sz w:val="24"/>
                <w:highlight w:val="none"/>
              </w:rPr>
            </w:pPr>
            <w:r>
              <w:rPr>
                <w:sz w:val="24"/>
                <w:highlight w:val="none"/>
              </w:rPr>
              <w:t>召开地点：____________。</w:t>
            </w:r>
          </w:p>
        </w:tc>
      </w:tr>
      <w:tr w14:paraId="1034B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032F028B">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4.1</w:t>
            </w:r>
          </w:p>
        </w:tc>
        <w:tc>
          <w:tcPr>
            <w:tcW w:w="1701" w:type="dxa"/>
            <w:noWrap w:val="0"/>
            <w:vAlign w:val="center"/>
          </w:tcPr>
          <w:p w14:paraId="79D993CF">
            <w:pPr>
              <w:jc w:val="center"/>
              <w:rPr>
                <w:sz w:val="24"/>
                <w:highlight w:val="none"/>
              </w:rPr>
            </w:pPr>
            <w:r>
              <w:rPr>
                <w:sz w:val="24"/>
                <w:highlight w:val="none"/>
              </w:rPr>
              <w:t>样品</w:t>
            </w:r>
          </w:p>
        </w:tc>
        <w:tc>
          <w:tcPr>
            <w:tcW w:w="7540" w:type="dxa"/>
            <w:noWrap w:val="0"/>
            <w:vAlign w:val="center"/>
          </w:tcPr>
          <w:p w14:paraId="4055BC73">
            <w:pPr>
              <w:jc w:val="left"/>
              <w:rPr>
                <w:sz w:val="24"/>
                <w:highlight w:val="none"/>
              </w:rPr>
            </w:pPr>
            <w:r>
              <w:rPr>
                <w:sz w:val="24"/>
                <w:highlight w:val="none"/>
              </w:rPr>
              <w:t>响应样品递交：</w:t>
            </w:r>
          </w:p>
          <w:p w14:paraId="3AC0BA1F">
            <w:pPr>
              <w:jc w:val="left"/>
              <w:rPr>
                <w:sz w:val="24"/>
                <w:highlight w:val="none"/>
              </w:rPr>
            </w:pPr>
            <w:r>
              <w:rPr>
                <w:b/>
                <w:sz w:val="24"/>
                <w:highlight w:val="none"/>
              </w:rPr>
              <w:t>■</w:t>
            </w:r>
            <w:r>
              <w:rPr>
                <w:sz w:val="24"/>
                <w:highlight w:val="none"/>
              </w:rPr>
              <w:t>不需要</w:t>
            </w:r>
          </w:p>
          <w:p w14:paraId="196B552C">
            <w:pPr>
              <w:jc w:val="left"/>
              <w:rPr>
                <w:sz w:val="24"/>
                <w:highlight w:val="none"/>
              </w:rPr>
            </w:pPr>
            <w:r>
              <w:rPr>
                <w:sz w:val="24"/>
                <w:highlight w:val="none"/>
              </w:rPr>
              <w:t>□需要，具体要求如下：</w:t>
            </w:r>
          </w:p>
          <w:p w14:paraId="5A270965">
            <w:pPr>
              <w:jc w:val="left"/>
              <w:rPr>
                <w:sz w:val="24"/>
                <w:highlight w:val="none"/>
                <w:u w:val="single"/>
              </w:rPr>
            </w:pPr>
            <w:r>
              <w:rPr>
                <w:sz w:val="24"/>
                <w:highlight w:val="none"/>
              </w:rPr>
              <w:t>（1）样品制作的标准和要求：_________；</w:t>
            </w:r>
          </w:p>
          <w:p w14:paraId="19ECB20B">
            <w:pPr>
              <w:jc w:val="left"/>
              <w:rPr>
                <w:sz w:val="24"/>
                <w:highlight w:val="none"/>
              </w:rPr>
            </w:pPr>
            <w:r>
              <w:rPr>
                <w:sz w:val="24"/>
                <w:highlight w:val="none"/>
              </w:rPr>
              <w:t>（2）是否需要随样品提交相关检测报告：</w:t>
            </w:r>
          </w:p>
          <w:p w14:paraId="4F18EE30">
            <w:pPr>
              <w:ind w:firstLine="600" w:firstLineChars="250"/>
              <w:jc w:val="left"/>
              <w:rPr>
                <w:sz w:val="24"/>
                <w:highlight w:val="none"/>
              </w:rPr>
            </w:pPr>
            <w:r>
              <w:rPr>
                <w:sz w:val="24"/>
                <w:highlight w:val="none"/>
              </w:rPr>
              <w:t>□不需要</w:t>
            </w:r>
          </w:p>
          <w:p w14:paraId="11ADDB61">
            <w:pPr>
              <w:ind w:firstLine="600" w:firstLineChars="250"/>
              <w:jc w:val="left"/>
              <w:rPr>
                <w:sz w:val="24"/>
                <w:highlight w:val="none"/>
              </w:rPr>
            </w:pPr>
            <w:r>
              <w:rPr>
                <w:sz w:val="24"/>
                <w:highlight w:val="none"/>
              </w:rPr>
              <w:t>□需要</w:t>
            </w:r>
          </w:p>
          <w:p w14:paraId="0E0A577C">
            <w:pPr>
              <w:jc w:val="left"/>
              <w:rPr>
                <w:sz w:val="24"/>
                <w:highlight w:val="none"/>
              </w:rPr>
            </w:pPr>
            <w:r>
              <w:rPr>
                <w:sz w:val="24"/>
                <w:highlight w:val="none"/>
              </w:rPr>
              <w:t>（3）样品递交要求：_________；</w:t>
            </w:r>
          </w:p>
          <w:p w14:paraId="2CEF3E1F">
            <w:pPr>
              <w:jc w:val="left"/>
              <w:rPr>
                <w:sz w:val="24"/>
                <w:highlight w:val="none"/>
              </w:rPr>
            </w:pPr>
            <w:r>
              <w:rPr>
                <w:sz w:val="24"/>
                <w:highlight w:val="none"/>
              </w:rPr>
              <w:t>（4）未中标人样品退还：_________；</w:t>
            </w:r>
          </w:p>
          <w:p w14:paraId="076457CF">
            <w:pPr>
              <w:jc w:val="left"/>
              <w:rPr>
                <w:sz w:val="24"/>
                <w:highlight w:val="none"/>
                <w:u w:val="single"/>
              </w:rPr>
            </w:pPr>
            <w:r>
              <w:rPr>
                <w:sz w:val="24"/>
                <w:highlight w:val="none"/>
              </w:rPr>
              <w:t>（5）中标人样品保管、封存及退还：_________；</w:t>
            </w:r>
          </w:p>
          <w:p w14:paraId="72D9E625">
            <w:pPr>
              <w:jc w:val="left"/>
              <w:rPr>
                <w:sz w:val="24"/>
                <w:highlight w:val="none"/>
              </w:rPr>
            </w:pPr>
            <w:r>
              <w:rPr>
                <w:sz w:val="24"/>
                <w:highlight w:val="none"/>
              </w:rPr>
              <w:t>（6）其他要求（如有）：_________。</w:t>
            </w:r>
          </w:p>
        </w:tc>
      </w:tr>
      <w:tr w14:paraId="2273E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noWrap w:val="0"/>
            <w:vAlign w:val="center"/>
          </w:tcPr>
          <w:p w14:paraId="077A2E68">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5.2.5</w:t>
            </w:r>
          </w:p>
        </w:tc>
        <w:tc>
          <w:tcPr>
            <w:tcW w:w="1701" w:type="dxa"/>
            <w:noWrap w:val="0"/>
            <w:vAlign w:val="center"/>
          </w:tcPr>
          <w:p w14:paraId="2AAC18D6">
            <w:pPr>
              <w:jc w:val="center"/>
              <w:rPr>
                <w:sz w:val="24"/>
                <w:highlight w:val="none"/>
              </w:rPr>
            </w:pPr>
            <w:r>
              <w:rPr>
                <w:sz w:val="24"/>
                <w:highlight w:val="none"/>
              </w:rPr>
              <w:t>标的所属行业</w:t>
            </w:r>
          </w:p>
        </w:tc>
        <w:tc>
          <w:tcPr>
            <w:tcW w:w="7540" w:type="dxa"/>
            <w:noWrap w:val="0"/>
            <w:vAlign w:val="center"/>
          </w:tcPr>
          <w:p w14:paraId="2A14FD0E">
            <w:pPr>
              <w:jc w:val="left"/>
              <w:rPr>
                <w:sz w:val="24"/>
                <w:highlight w:val="none"/>
              </w:rPr>
            </w:pPr>
            <w:r>
              <w:rPr>
                <w:sz w:val="24"/>
                <w:highlight w:val="none"/>
              </w:rPr>
              <w:t>本项目采购标的对应的中小企业划分标准所属行业：</w:t>
            </w:r>
          </w:p>
          <w:tbl>
            <w:tblPr>
              <w:tblStyle w:val="42"/>
              <w:tblW w:w="412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99"/>
              <w:gridCol w:w="3239"/>
            </w:tblGrid>
            <w:tr w14:paraId="27558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18" w:type="pct"/>
                  <w:tcBorders>
                    <w:top w:val="single" w:color="auto" w:sz="4" w:space="0"/>
                    <w:left w:val="single" w:color="auto" w:sz="4" w:space="0"/>
                    <w:bottom w:val="single" w:color="auto" w:sz="4" w:space="0"/>
                    <w:right w:val="single" w:color="auto" w:sz="4" w:space="0"/>
                  </w:tcBorders>
                  <w:noWrap w:val="0"/>
                  <w:vAlign w:val="center"/>
                </w:tcPr>
                <w:p w14:paraId="423BEC5E">
                  <w:pPr>
                    <w:jc w:val="center"/>
                    <w:rPr>
                      <w:bCs/>
                      <w:sz w:val="24"/>
                      <w:highlight w:val="none"/>
                    </w:rPr>
                  </w:pPr>
                  <w:r>
                    <w:rPr>
                      <w:bCs/>
                      <w:sz w:val="24"/>
                      <w:highlight w:val="none"/>
                    </w:rPr>
                    <w:t>标的名称</w:t>
                  </w:r>
                </w:p>
              </w:tc>
              <w:tc>
                <w:tcPr>
                  <w:tcW w:w="2682" w:type="pct"/>
                  <w:tcBorders>
                    <w:top w:val="single" w:color="auto" w:sz="4" w:space="0"/>
                    <w:left w:val="single" w:color="auto" w:sz="4" w:space="0"/>
                    <w:bottom w:val="single" w:color="auto" w:sz="4" w:space="0"/>
                    <w:right w:val="single" w:color="auto" w:sz="4" w:space="0"/>
                  </w:tcBorders>
                  <w:noWrap w:val="0"/>
                  <w:vAlign w:val="center"/>
                </w:tcPr>
                <w:p w14:paraId="63E0FF8D">
                  <w:pPr>
                    <w:jc w:val="center"/>
                    <w:rPr>
                      <w:sz w:val="24"/>
                      <w:highlight w:val="none"/>
                    </w:rPr>
                  </w:pPr>
                  <w:r>
                    <w:rPr>
                      <w:sz w:val="24"/>
                      <w:highlight w:val="none"/>
                    </w:rPr>
                    <w:t>中小企业划分标准所属行业</w:t>
                  </w:r>
                </w:p>
              </w:tc>
            </w:tr>
            <w:tr w14:paraId="30FBD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18" w:type="pct"/>
                  <w:tcBorders>
                    <w:top w:val="single" w:color="auto" w:sz="4" w:space="0"/>
                    <w:left w:val="single" w:color="auto" w:sz="4" w:space="0"/>
                    <w:bottom w:val="single" w:color="auto" w:sz="4" w:space="0"/>
                    <w:right w:val="single" w:color="auto" w:sz="4" w:space="0"/>
                  </w:tcBorders>
                  <w:noWrap w:val="0"/>
                  <w:vAlign w:val="center"/>
                </w:tcPr>
                <w:p w14:paraId="1BE6A8B1">
                  <w:pPr>
                    <w:jc w:val="center"/>
                    <w:rPr>
                      <w:bCs/>
                      <w:sz w:val="24"/>
                      <w:highlight w:val="none"/>
                    </w:rPr>
                  </w:pPr>
                  <w:r>
                    <w:rPr>
                      <w:rFonts w:hint="eastAsia"/>
                      <w:sz w:val="24"/>
                      <w:highlight w:val="none"/>
                    </w:rPr>
                    <w:t>法律援助</w:t>
                  </w:r>
                </w:p>
              </w:tc>
              <w:tc>
                <w:tcPr>
                  <w:tcW w:w="2682" w:type="pct"/>
                  <w:tcBorders>
                    <w:top w:val="single" w:color="auto" w:sz="4" w:space="0"/>
                    <w:left w:val="single" w:color="auto" w:sz="4" w:space="0"/>
                    <w:bottom w:val="single" w:color="auto" w:sz="4" w:space="0"/>
                    <w:right w:val="single" w:color="auto" w:sz="4" w:space="0"/>
                  </w:tcBorders>
                  <w:noWrap w:val="0"/>
                  <w:vAlign w:val="center"/>
                </w:tcPr>
                <w:p w14:paraId="44AEC031">
                  <w:pPr>
                    <w:jc w:val="center"/>
                    <w:rPr>
                      <w:kern w:val="0"/>
                      <w:sz w:val="24"/>
                      <w:highlight w:val="none"/>
                    </w:rPr>
                  </w:pPr>
                  <w:r>
                    <w:rPr>
                      <w:rFonts w:hint="eastAsia"/>
                      <w:kern w:val="0"/>
                      <w:sz w:val="24"/>
                      <w:highlight w:val="none"/>
                    </w:rPr>
                    <w:t>租赁和商务服务业</w:t>
                  </w:r>
                </w:p>
              </w:tc>
            </w:tr>
          </w:tbl>
          <w:p w14:paraId="6AF030B0">
            <w:pPr>
              <w:jc w:val="left"/>
              <w:rPr>
                <w:sz w:val="24"/>
                <w:highlight w:val="none"/>
              </w:rPr>
            </w:pPr>
          </w:p>
        </w:tc>
      </w:tr>
      <w:tr w14:paraId="0CFE5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noWrap w:val="0"/>
            <w:vAlign w:val="center"/>
          </w:tcPr>
          <w:p w14:paraId="0B874AFB">
            <w:pPr>
              <w:pStyle w:val="23"/>
              <w:adjustRightInd w:val="0"/>
              <w:snapToGrid w:val="0"/>
              <w:jc w:val="center"/>
              <w:rPr>
                <w:rFonts w:hint="default" w:ascii="Times New Roman" w:hAnsi="Times New Roman"/>
                <w:sz w:val="24"/>
                <w:szCs w:val="24"/>
                <w:highlight w:val="none"/>
              </w:rPr>
            </w:pPr>
            <w:r>
              <w:rPr>
                <w:rFonts w:hint="default" w:ascii="Times New Roman" w:hAnsi="Times New Roman"/>
                <w:highlight w:val="none"/>
              </w:rPr>
              <w:br w:type="page"/>
            </w:r>
            <w:r>
              <w:rPr>
                <w:rFonts w:hint="default" w:ascii="Times New Roman" w:hAnsi="Times New Roman"/>
                <w:sz w:val="24"/>
                <w:szCs w:val="24"/>
                <w:highlight w:val="none"/>
              </w:rPr>
              <w:t>11.2</w:t>
            </w:r>
          </w:p>
        </w:tc>
        <w:tc>
          <w:tcPr>
            <w:tcW w:w="1701" w:type="dxa"/>
            <w:noWrap w:val="0"/>
            <w:vAlign w:val="center"/>
          </w:tcPr>
          <w:p w14:paraId="65CA7DDE">
            <w:pPr>
              <w:jc w:val="center"/>
              <w:rPr>
                <w:sz w:val="24"/>
                <w:highlight w:val="none"/>
              </w:rPr>
            </w:pPr>
            <w:r>
              <w:rPr>
                <w:sz w:val="24"/>
                <w:highlight w:val="none"/>
              </w:rPr>
              <w:t>响应报价</w:t>
            </w:r>
          </w:p>
        </w:tc>
        <w:tc>
          <w:tcPr>
            <w:tcW w:w="7540" w:type="dxa"/>
            <w:noWrap w:val="0"/>
            <w:vAlign w:val="center"/>
          </w:tcPr>
          <w:p w14:paraId="12E7405A">
            <w:pPr>
              <w:jc w:val="left"/>
              <w:rPr>
                <w:sz w:val="24"/>
                <w:highlight w:val="none"/>
              </w:rPr>
            </w:pPr>
            <w:r>
              <w:rPr>
                <w:sz w:val="24"/>
                <w:highlight w:val="none"/>
              </w:rPr>
              <w:t>响应报价的特殊规定：</w:t>
            </w:r>
          </w:p>
          <w:p w14:paraId="36F2FA1B">
            <w:pPr>
              <w:jc w:val="left"/>
              <w:rPr>
                <w:sz w:val="24"/>
                <w:highlight w:val="none"/>
              </w:rPr>
            </w:pPr>
            <w:r>
              <w:rPr>
                <w:sz w:val="24"/>
                <w:highlight w:val="none"/>
              </w:rPr>
              <w:t>□无</w:t>
            </w:r>
          </w:p>
          <w:p w14:paraId="21AFE947">
            <w:pPr>
              <w:jc w:val="left"/>
              <w:rPr>
                <w:sz w:val="24"/>
                <w:highlight w:val="none"/>
              </w:rPr>
            </w:pPr>
            <w:r>
              <w:rPr>
                <w:b/>
                <w:sz w:val="24"/>
                <w:highlight w:val="none"/>
              </w:rPr>
              <w:t>■</w:t>
            </w:r>
            <w:r>
              <w:rPr>
                <w:sz w:val="24"/>
                <w:highlight w:val="none"/>
              </w:rPr>
              <w:t>有，具体情形：</w:t>
            </w:r>
          </w:p>
          <w:p w14:paraId="0ECFFB4B">
            <w:pPr>
              <w:jc w:val="left"/>
              <w:rPr>
                <w:rFonts w:hint="eastAsia"/>
                <w:sz w:val="24"/>
                <w:highlight w:val="none"/>
              </w:rPr>
            </w:pPr>
            <w:r>
              <w:rPr>
                <w:rFonts w:hint="eastAsia"/>
                <w:sz w:val="24"/>
                <w:highlight w:val="none"/>
              </w:rPr>
              <w:t>1、供应商提供法律援助服务由政府发放补贴。补贴经费由市财政予以保障，并纳入市司法局部门预算。</w:t>
            </w:r>
          </w:p>
          <w:p w14:paraId="5191C81E">
            <w:pPr>
              <w:jc w:val="left"/>
              <w:rPr>
                <w:rFonts w:hint="eastAsia"/>
                <w:sz w:val="24"/>
                <w:highlight w:val="none"/>
              </w:rPr>
            </w:pPr>
            <w:r>
              <w:rPr>
                <w:rFonts w:hint="eastAsia"/>
                <w:sz w:val="24"/>
                <w:highlight w:val="none"/>
              </w:rPr>
              <w:t>2、提供法律援助服务的补贴，严格根据《北京市法律援助补贴办法》（京司发〔2018〕86号）规定的标准发放，如有变化根据法律规定及时进行调整。</w:t>
            </w:r>
          </w:p>
        </w:tc>
      </w:tr>
      <w:tr w14:paraId="79722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7" w:hRule="atLeast"/>
          <w:jc w:val="center"/>
        </w:trPr>
        <w:tc>
          <w:tcPr>
            <w:tcW w:w="988" w:type="dxa"/>
            <w:noWrap w:val="0"/>
            <w:vAlign w:val="center"/>
          </w:tcPr>
          <w:p w14:paraId="565E6A03">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12.1</w:t>
            </w:r>
          </w:p>
        </w:tc>
        <w:tc>
          <w:tcPr>
            <w:tcW w:w="1701" w:type="dxa"/>
            <w:vMerge w:val="restart"/>
            <w:noWrap w:val="0"/>
            <w:vAlign w:val="center"/>
          </w:tcPr>
          <w:p w14:paraId="42FDE3E0">
            <w:pPr>
              <w:jc w:val="center"/>
              <w:rPr>
                <w:sz w:val="24"/>
                <w:highlight w:val="none"/>
              </w:rPr>
            </w:pPr>
            <w:r>
              <w:rPr>
                <w:sz w:val="24"/>
                <w:highlight w:val="none"/>
              </w:rPr>
              <w:t>响应保证金</w:t>
            </w:r>
          </w:p>
        </w:tc>
        <w:tc>
          <w:tcPr>
            <w:tcW w:w="7540" w:type="dxa"/>
            <w:noWrap w:val="0"/>
            <w:vAlign w:val="center"/>
          </w:tcPr>
          <w:p w14:paraId="25FCD489">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响应保证金金额：</w:t>
            </w:r>
            <w:r>
              <w:rPr>
                <w:rFonts w:ascii="Times New Roman" w:hAnsi="Times New Roman"/>
                <w:sz w:val="24"/>
                <w:szCs w:val="24"/>
                <w:highlight w:val="none"/>
                <w:u w:val="single"/>
              </w:rPr>
              <w:t xml:space="preserve"> </w:t>
            </w:r>
            <w:r>
              <w:rPr>
                <w:rFonts w:hint="default" w:ascii="Times New Roman" w:hAnsi="Times New Roman"/>
                <w:sz w:val="24"/>
                <w:szCs w:val="24"/>
                <w:highlight w:val="none"/>
                <w:u w:val="single"/>
              </w:rPr>
              <w:t xml:space="preserve"> </w:t>
            </w:r>
            <w:r>
              <w:rPr>
                <w:rFonts w:ascii="Times New Roman" w:hAnsi="Times New Roman"/>
                <w:sz w:val="24"/>
                <w:szCs w:val="24"/>
                <w:highlight w:val="none"/>
                <w:u w:val="single"/>
              </w:rPr>
              <w:t>/</w:t>
            </w:r>
            <w:r>
              <w:rPr>
                <w:rFonts w:hint="default" w:ascii="Times New Roman" w:hAnsi="Times New Roman"/>
                <w:sz w:val="24"/>
                <w:szCs w:val="24"/>
                <w:highlight w:val="none"/>
                <w:u w:val="single"/>
              </w:rPr>
              <w:t xml:space="preserve">  </w:t>
            </w:r>
          </w:p>
          <w:p w14:paraId="0F94CCD4">
            <w:pPr>
              <w:jc w:val="left"/>
              <w:rPr>
                <w:sz w:val="24"/>
                <w:highlight w:val="none"/>
              </w:rPr>
            </w:pPr>
            <w:r>
              <w:rPr>
                <w:sz w:val="24"/>
                <w:highlight w:val="none"/>
              </w:rPr>
              <w:t>响应保证金收受人信息：</w:t>
            </w:r>
          </w:p>
          <w:p w14:paraId="73817479">
            <w:pPr>
              <w:pStyle w:val="23"/>
              <w:adjustRightInd w:val="0"/>
              <w:snapToGrid w:val="0"/>
              <w:spacing w:line="360" w:lineRule="auto"/>
              <w:rPr>
                <w:rFonts w:hint="default" w:ascii="Times New Roman" w:hAnsi="Times New Roman"/>
                <w:sz w:val="24"/>
                <w:szCs w:val="24"/>
                <w:highlight w:val="none"/>
                <w:u w:val="single"/>
              </w:rPr>
            </w:pPr>
            <w:r>
              <w:rPr>
                <w:rFonts w:ascii="Times New Roman" w:hAnsi="Times New Roman"/>
                <w:sz w:val="24"/>
                <w:szCs w:val="24"/>
                <w:highlight w:val="none"/>
                <w:u w:val="single"/>
              </w:rPr>
              <w:t>（1）响应保证金递交方式：政府采购法律法规接受的支票、汇票、本票、网上银行支付或者金融机构、担保机构出具的保函等非现金形式。</w:t>
            </w:r>
          </w:p>
          <w:p w14:paraId="64B5F511">
            <w:pPr>
              <w:pStyle w:val="23"/>
              <w:adjustRightInd w:val="0"/>
              <w:snapToGrid w:val="0"/>
              <w:spacing w:line="360" w:lineRule="auto"/>
              <w:ind w:firstLine="241" w:firstLineChars="100"/>
              <w:rPr>
                <w:rFonts w:hint="default" w:ascii="Times New Roman" w:hAnsi="Times New Roman"/>
                <w:sz w:val="24"/>
                <w:szCs w:val="24"/>
                <w:highlight w:val="none"/>
                <w:u w:val="single"/>
              </w:rPr>
            </w:pPr>
            <w:r>
              <w:rPr>
                <w:rFonts w:hint="default" w:ascii="Times New Roman" w:hAnsi="Times New Roman"/>
                <w:b/>
                <w:sz w:val="24"/>
                <w:highlight w:val="none"/>
                <w:u w:val="single"/>
              </w:rPr>
              <w:t>■</w:t>
            </w:r>
            <w:r>
              <w:rPr>
                <w:rFonts w:ascii="Times New Roman" w:hAnsi="Times New Roman"/>
                <w:sz w:val="24"/>
                <w:szCs w:val="24"/>
                <w:highlight w:val="none"/>
                <w:u w:val="single"/>
              </w:rPr>
              <w:t>采用支票、汇票、本票、网上银行支付的，须从供应商企业基本账户转出，应当在响应截止时间以前到达下述征集人指定账户：</w:t>
            </w:r>
          </w:p>
          <w:p w14:paraId="3BADA9D0">
            <w:pPr>
              <w:pStyle w:val="23"/>
              <w:adjustRightInd w:val="0"/>
              <w:snapToGrid w:val="0"/>
              <w:spacing w:line="360" w:lineRule="auto"/>
              <w:ind w:firstLine="240" w:firstLineChars="100"/>
              <w:rPr>
                <w:rFonts w:hint="default" w:ascii="Times New Roman" w:hAnsi="Times New Roman"/>
                <w:sz w:val="24"/>
                <w:szCs w:val="24"/>
                <w:highlight w:val="none"/>
                <w:u w:val="single"/>
              </w:rPr>
            </w:pPr>
            <w:r>
              <w:rPr>
                <w:rFonts w:ascii="Times New Roman" w:hAnsi="Times New Roman"/>
                <w:sz w:val="24"/>
                <w:szCs w:val="24"/>
                <w:highlight w:val="none"/>
                <w:u w:val="single"/>
              </w:rPr>
              <w:t xml:space="preserve">账户名称：北京捷迅通力工程咨询有限公司 </w:t>
            </w:r>
          </w:p>
          <w:p w14:paraId="6323ACAF">
            <w:pPr>
              <w:pStyle w:val="23"/>
              <w:adjustRightInd w:val="0"/>
              <w:snapToGrid w:val="0"/>
              <w:spacing w:line="360" w:lineRule="auto"/>
              <w:ind w:firstLine="240" w:firstLineChars="100"/>
              <w:rPr>
                <w:rFonts w:hint="default" w:ascii="Times New Roman" w:hAnsi="Times New Roman"/>
                <w:sz w:val="24"/>
                <w:szCs w:val="24"/>
                <w:highlight w:val="none"/>
                <w:u w:val="single"/>
              </w:rPr>
            </w:pPr>
            <w:r>
              <w:rPr>
                <w:rFonts w:ascii="Times New Roman" w:hAnsi="Times New Roman"/>
                <w:sz w:val="24"/>
                <w:szCs w:val="24"/>
                <w:highlight w:val="none"/>
                <w:u w:val="single"/>
              </w:rPr>
              <w:t>账    号：11110301040001405</w:t>
            </w:r>
          </w:p>
          <w:p w14:paraId="48BB3D3A">
            <w:pPr>
              <w:pStyle w:val="23"/>
              <w:adjustRightInd w:val="0"/>
              <w:snapToGrid w:val="0"/>
              <w:spacing w:line="360" w:lineRule="auto"/>
              <w:ind w:firstLine="240" w:firstLineChars="100"/>
              <w:rPr>
                <w:rFonts w:hint="default" w:ascii="Times New Roman" w:hAnsi="Times New Roman"/>
                <w:sz w:val="24"/>
                <w:szCs w:val="24"/>
                <w:highlight w:val="none"/>
                <w:u w:val="single"/>
              </w:rPr>
            </w:pPr>
            <w:r>
              <w:rPr>
                <w:rFonts w:ascii="Times New Roman" w:hAnsi="Times New Roman"/>
                <w:sz w:val="24"/>
                <w:szCs w:val="24"/>
                <w:highlight w:val="none"/>
                <w:u w:val="single"/>
              </w:rPr>
              <w:t>开户行：中国农业银行北京清城支行</w:t>
            </w:r>
          </w:p>
          <w:p w14:paraId="6F38584E">
            <w:pPr>
              <w:pStyle w:val="23"/>
              <w:adjustRightInd w:val="0"/>
              <w:snapToGrid w:val="0"/>
              <w:spacing w:line="360" w:lineRule="auto"/>
              <w:ind w:firstLine="240" w:firstLineChars="100"/>
              <w:rPr>
                <w:rFonts w:hint="default" w:ascii="Times New Roman" w:hAnsi="Times New Roman"/>
                <w:sz w:val="24"/>
                <w:szCs w:val="24"/>
                <w:highlight w:val="none"/>
                <w:u w:val="single"/>
              </w:rPr>
            </w:pPr>
            <w:r>
              <w:rPr>
                <w:rFonts w:ascii="Times New Roman" w:hAnsi="Times New Roman"/>
                <w:sz w:val="24"/>
                <w:szCs w:val="24"/>
                <w:highlight w:val="none"/>
                <w:u w:val="single"/>
              </w:rPr>
              <w:t>异地联行号：103100011032</w:t>
            </w:r>
          </w:p>
          <w:p w14:paraId="121B33A2">
            <w:pPr>
              <w:pStyle w:val="23"/>
              <w:adjustRightInd w:val="0"/>
              <w:snapToGrid w:val="0"/>
              <w:spacing w:line="360" w:lineRule="auto"/>
              <w:rPr>
                <w:rFonts w:hint="default" w:ascii="Times New Roman" w:hAnsi="Times New Roman"/>
                <w:sz w:val="24"/>
                <w:szCs w:val="24"/>
                <w:highlight w:val="none"/>
                <w:u w:val="single"/>
              </w:rPr>
            </w:pPr>
            <w:r>
              <w:rPr>
                <w:rFonts w:ascii="Times New Roman" w:hAnsi="Times New Roman"/>
                <w:sz w:val="24"/>
                <w:szCs w:val="24"/>
                <w:highlight w:val="none"/>
                <w:u w:val="single"/>
              </w:rPr>
              <w:t>（2）网上银行支付需注明项目名称及项目编号。（如因未注明项目名称及项目编号所造成的一切后果均由供应商自行负责，项目名称及项目编号无法全名标注时可简写。）供应商将汇款凭证（原件扫描件加盖单位公章）及开户许可证或基本账户证明材料（原件扫描件加盖单位公章）一同纳入响应文件中。</w:t>
            </w:r>
          </w:p>
          <w:p w14:paraId="412B3E10">
            <w:pPr>
              <w:jc w:val="left"/>
              <w:rPr>
                <w:sz w:val="24"/>
                <w:highlight w:val="none"/>
              </w:rPr>
            </w:pPr>
            <w:r>
              <w:rPr>
                <w:rFonts w:hint="eastAsia"/>
                <w:sz w:val="24"/>
                <w:highlight w:val="none"/>
                <w:u w:val="single"/>
              </w:rPr>
              <w:t>（3）以金融机构、担保机构出具的保函等形式提交响应保证金的，应在响应截止时间前将原件提交至采购代理机构</w:t>
            </w:r>
            <w:r>
              <w:rPr>
                <w:sz w:val="24"/>
                <w:highlight w:val="none"/>
                <w:u w:val="single"/>
              </w:rPr>
              <w:t>。</w:t>
            </w:r>
          </w:p>
        </w:tc>
      </w:tr>
      <w:tr w14:paraId="274AF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78E7DB32">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12.</w:t>
            </w:r>
            <w:r>
              <w:rPr>
                <w:rFonts w:ascii="Times New Roman" w:hAnsi="Times New Roman"/>
                <w:sz w:val="24"/>
                <w:szCs w:val="24"/>
                <w:highlight w:val="none"/>
              </w:rPr>
              <w:t>8</w:t>
            </w:r>
            <w:r>
              <w:rPr>
                <w:rFonts w:hint="default" w:ascii="Times New Roman" w:hAnsi="Times New Roman"/>
                <w:sz w:val="24"/>
                <w:szCs w:val="24"/>
                <w:highlight w:val="none"/>
              </w:rPr>
              <w:t>.2</w:t>
            </w:r>
          </w:p>
        </w:tc>
        <w:tc>
          <w:tcPr>
            <w:tcW w:w="1701" w:type="dxa"/>
            <w:vMerge w:val="continue"/>
            <w:noWrap w:val="0"/>
            <w:vAlign w:val="center"/>
          </w:tcPr>
          <w:p w14:paraId="599D0969">
            <w:pPr>
              <w:jc w:val="center"/>
              <w:rPr>
                <w:sz w:val="24"/>
                <w:highlight w:val="none"/>
              </w:rPr>
            </w:pPr>
          </w:p>
        </w:tc>
        <w:tc>
          <w:tcPr>
            <w:tcW w:w="7540" w:type="dxa"/>
            <w:noWrap w:val="0"/>
            <w:vAlign w:val="center"/>
          </w:tcPr>
          <w:p w14:paraId="0C87BC3B">
            <w:pPr>
              <w:jc w:val="left"/>
              <w:rPr>
                <w:sz w:val="24"/>
                <w:highlight w:val="none"/>
              </w:rPr>
            </w:pPr>
            <w:r>
              <w:rPr>
                <w:sz w:val="24"/>
                <w:highlight w:val="none"/>
              </w:rPr>
              <w:t>响应保证金可以不予退还的其他情形：</w:t>
            </w:r>
          </w:p>
          <w:p w14:paraId="251754A2">
            <w:pPr>
              <w:jc w:val="left"/>
              <w:rPr>
                <w:sz w:val="24"/>
                <w:highlight w:val="none"/>
              </w:rPr>
            </w:pPr>
            <w:r>
              <w:rPr>
                <w:sz w:val="24"/>
                <w:highlight w:val="none"/>
              </w:rPr>
              <w:t>□无</w:t>
            </w:r>
          </w:p>
          <w:p w14:paraId="7244A8ED">
            <w:pPr>
              <w:pStyle w:val="23"/>
              <w:adjustRightInd w:val="0"/>
              <w:snapToGrid w:val="0"/>
              <w:rPr>
                <w:rFonts w:hint="default" w:ascii="Times New Roman" w:hAnsi="Times New Roman"/>
                <w:sz w:val="24"/>
                <w:szCs w:val="24"/>
                <w:highlight w:val="none"/>
              </w:rPr>
            </w:pPr>
            <w:bookmarkStart w:id="80" w:name="OLE_LINK7"/>
            <w:r>
              <w:rPr>
                <w:rFonts w:hint="default" w:ascii="Times New Roman" w:hAnsi="Times New Roman"/>
                <w:b/>
                <w:sz w:val="24"/>
                <w:highlight w:val="none"/>
              </w:rPr>
              <w:t>■</w:t>
            </w:r>
            <w:bookmarkEnd w:id="80"/>
            <w:r>
              <w:rPr>
                <w:rFonts w:hint="default" w:ascii="Times New Roman" w:hAnsi="Times New Roman"/>
                <w:sz w:val="24"/>
                <w:highlight w:val="none"/>
              </w:rPr>
              <w:t>有，具体情形：</w:t>
            </w:r>
            <w:r>
              <w:rPr>
                <w:rFonts w:ascii="Times New Roman" w:hAnsi="Times New Roman"/>
                <w:sz w:val="24"/>
                <w:highlight w:val="none"/>
              </w:rPr>
              <w:t>入围供应商不按本须知相关规定与采购人签订框架采购协议的</w:t>
            </w:r>
            <w:r>
              <w:rPr>
                <w:rFonts w:hint="default" w:ascii="Times New Roman" w:hAnsi="Times New Roman"/>
                <w:sz w:val="24"/>
                <w:highlight w:val="none"/>
              </w:rPr>
              <w:t>。</w:t>
            </w:r>
          </w:p>
        </w:tc>
      </w:tr>
      <w:tr w14:paraId="57FBA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4A69CFB3">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13.1</w:t>
            </w:r>
          </w:p>
        </w:tc>
        <w:tc>
          <w:tcPr>
            <w:tcW w:w="1701" w:type="dxa"/>
            <w:noWrap w:val="0"/>
            <w:vAlign w:val="center"/>
          </w:tcPr>
          <w:p w14:paraId="3C72DF62">
            <w:pPr>
              <w:jc w:val="center"/>
              <w:rPr>
                <w:sz w:val="24"/>
                <w:highlight w:val="none"/>
              </w:rPr>
            </w:pPr>
            <w:r>
              <w:rPr>
                <w:sz w:val="24"/>
                <w:highlight w:val="none"/>
              </w:rPr>
              <w:t>响应有效期</w:t>
            </w:r>
          </w:p>
        </w:tc>
        <w:tc>
          <w:tcPr>
            <w:tcW w:w="7540" w:type="dxa"/>
            <w:noWrap w:val="0"/>
            <w:vAlign w:val="center"/>
          </w:tcPr>
          <w:p w14:paraId="7CACAA1E">
            <w:pPr>
              <w:jc w:val="left"/>
              <w:rPr>
                <w:sz w:val="24"/>
                <w:highlight w:val="none"/>
              </w:rPr>
            </w:pPr>
            <w:r>
              <w:rPr>
                <w:sz w:val="24"/>
                <w:highlight w:val="none"/>
              </w:rPr>
              <w:t>自提交</w:t>
            </w:r>
            <w:r>
              <w:rPr>
                <w:rFonts w:hint="eastAsia"/>
                <w:sz w:val="24"/>
                <w:highlight w:val="none"/>
              </w:rPr>
              <w:t>响应</w:t>
            </w:r>
            <w:r>
              <w:rPr>
                <w:sz w:val="24"/>
                <w:highlight w:val="none"/>
              </w:rPr>
              <w:t>文件的截止之日起算</w:t>
            </w:r>
            <w:r>
              <w:rPr>
                <w:sz w:val="24"/>
                <w:highlight w:val="none"/>
                <w:u w:val="single"/>
              </w:rPr>
              <w:t>90</w:t>
            </w:r>
            <w:r>
              <w:rPr>
                <w:sz w:val="24"/>
                <w:highlight w:val="none"/>
              </w:rPr>
              <w:t>日历天。</w:t>
            </w:r>
          </w:p>
        </w:tc>
      </w:tr>
      <w:tr w14:paraId="464F3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5231C64B">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18.2</w:t>
            </w:r>
          </w:p>
        </w:tc>
        <w:tc>
          <w:tcPr>
            <w:tcW w:w="1701" w:type="dxa"/>
            <w:noWrap w:val="0"/>
            <w:vAlign w:val="center"/>
          </w:tcPr>
          <w:p w14:paraId="4B2F7603">
            <w:pPr>
              <w:jc w:val="center"/>
              <w:rPr>
                <w:sz w:val="24"/>
                <w:highlight w:val="none"/>
              </w:rPr>
            </w:pPr>
            <w:r>
              <w:rPr>
                <w:sz w:val="24"/>
                <w:highlight w:val="none"/>
              </w:rPr>
              <w:t>解密时间</w:t>
            </w:r>
          </w:p>
        </w:tc>
        <w:tc>
          <w:tcPr>
            <w:tcW w:w="7540" w:type="dxa"/>
            <w:noWrap w:val="0"/>
            <w:vAlign w:val="center"/>
          </w:tcPr>
          <w:p w14:paraId="529DBBF3">
            <w:pPr>
              <w:jc w:val="left"/>
              <w:rPr>
                <w:sz w:val="24"/>
                <w:highlight w:val="none"/>
                <w:u w:val="single"/>
              </w:rPr>
            </w:pPr>
            <w:r>
              <w:rPr>
                <w:sz w:val="24"/>
                <w:highlight w:val="none"/>
              </w:rPr>
              <w:t>解密时间：</w:t>
            </w:r>
            <w:r>
              <w:rPr>
                <w:sz w:val="24"/>
                <w:highlight w:val="none"/>
                <w:u w:val="single"/>
              </w:rPr>
              <w:t>60</w:t>
            </w:r>
            <w:r>
              <w:rPr>
                <w:sz w:val="24"/>
                <w:highlight w:val="none"/>
              </w:rPr>
              <w:t>分钟</w:t>
            </w:r>
          </w:p>
        </w:tc>
      </w:tr>
      <w:tr w14:paraId="642A9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09FDDCCB">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22.1</w:t>
            </w:r>
          </w:p>
        </w:tc>
        <w:tc>
          <w:tcPr>
            <w:tcW w:w="1701" w:type="dxa"/>
            <w:noWrap w:val="0"/>
            <w:vAlign w:val="center"/>
          </w:tcPr>
          <w:p w14:paraId="25B7F9AD">
            <w:pPr>
              <w:jc w:val="center"/>
              <w:rPr>
                <w:sz w:val="24"/>
                <w:highlight w:val="none"/>
              </w:rPr>
            </w:pPr>
            <w:r>
              <w:rPr>
                <w:sz w:val="24"/>
                <w:highlight w:val="none"/>
              </w:rPr>
              <w:t>确定</w:t>
            </w:r>
            <w:r>
              <w:rPr>
                <w:rFonts w:hint="eastAsia"/>
                <w:sz w:val="24"/>
                <w:highlight w:val="none"/>
              </w:rPr>
              <w:t>入围</w:t>
            </w:r>
            <w:r>
              <w:rPr>
                <w:sz w:val="24"/>
                <w:highlight w:val="none"/>
              </w:rPr>
              <w:t>供应商</w:t>
            </w:r>
          </w:p>
        </w:tc>
        <w:tc>
          <w:tcPr>
            <w:tcW w:w="7540" w:type="dxa"/>
            <w:noWrap w:val="0"/>
            <w:vAlign w:val="center"/>
          </w:tcPr>
          <w:p w14:paraId="11418F72">
            <w:pPr>
              <w:pStyle w:val="23"/>
              <w:adjustRightInd w:val="0"/>
              <w:snapToGrid w:val="0"/>
              <w:rPr>
                <w:rFonts w:hint="default" w:ascii="Times New Roman" w:hAnsi="Times New Roman"/>
                <w:sz w:val="24"/>
                <w:highlight w:val="none"/>
              </w:rPr>
            </w:pPr>
            <w:r>
              <w:rPr>
                <w:rFonts w:ascii="Times New Roman" w:hAnsi="Times New Roman"/>
                <w:sz w:val="24"/>
                <w:highlight w:val="none"/>
              </w:rPr>
              <w:t>供应商</w:t>
            </w:r>
            <w:r>
              <w:rPr>
                <w:rFonts w:hint="default" w:ascii="Times New Roman" w:hAnsi="Times New Roman"/>
                <w:sz w:val="24"/>
                <w:highlight w:val="none"/>
              </w:rPr>
              <w:t>并列的，采购人是否委托评审委员会确定</w:t>
            </w:r>
            <w:r>
              <w:rPr>
                <w:rFonts w:ascii="Times New Roman" w:hAnsi="Times New Roman"/>
                <w:sz w:val="24"/>
                <w:highlight w:val="none"/>
              </w:rPr>
              <w:t>入围</w:t>
            </w:r>
            <w:r>
              <w:rPr>
                <w:rFonts w:hint="default" w:ascii="Times New Roman" w:hAnsi="Times New Roman"/>
                <w:sz w:val="24"/>
                <w:highlight w:val="none"/>
              </w:rPr>
              <w:t>供应商：</w:t>
            </w:r>
          </w:p>
          <w:p w14:paraId="67BE1276">
            <w:pPr>
              <w:pStyle w:val="23"/>
              <w:adjustRightInd w:val="0"/>
              <w:snapToGrid w:val="0"/>
              <w:rPr>
                <w:rFonts w:hint="default" w:ascii="Times New Roman" w:hAnsi="Times New Roman"/>
                <w:sz w:val="24"/>
                <w:highlight w:val="none"/>
              </w:rPr>
            </w:pPr>
            <w:r>
              <w:rPr>
                <w:rFonts w:hint="default" w:ascii="Times New Roman" w:hAnsi="Times New Roman"/>
                <w:b/>
                <w:sz w:val="24"/>
                <w:highlight w:val="none"/>
              </w:rPr>
              <w:t>■</w:t>
            </w:r>
            <w:r>
              <w:rPr>
                <w:rFonts w:hint="default" w:ascii="Times New Roman" w:hAnsi="Times New Roman"/>
                <w:sz w:val="24"/>
                <w:highlight w:val="none"/>
              </w:rPr>
              <w:t>否</w:t>
            </w:r>
          </w:p>
          <w:p w14:paraId="1DD2EAA7">
            <w:pPr>
              <w:pStyle w:val="23"/>
              <w:adjustRightInd w:val="0"/>
              <w:snapToGrid w:val="0"/>
              <w:rPr>
                <w:rFonts w:hint="default" w:ascii="Times New Roman" w:hAnsi="Times New Roman"/>
                <w:sz w:val="24"/>
                <w:highlight w:val="none"/>
              </w:rPr>
            </w:pPr>
            <w:r>
              <w:rPr>
                <w:rFonts w:hint="default" w:ascii="Times New Roman" w:hAnsi="Times New Roman"/>
                <w:sz w:val="24"/>
                <w:highlight w:val="none"/>
              </w:rPr>
              <w:t>□是</w:t>
            </w:r>
          </w:p>
          <w:p w14:paraId="2C3BF91A">
            <w:pPr>
              <w:pStyle w:val="23"/>
              <w:adjustRightInd w:val="0"/>
              <w:snapToGrid w:val="0"/>
              <w:rPr>
                <w:rFonts w:hint="default" w:ascii="Times New Roman" w:hAnsi="Times New Roman"/>
                <w:highlight w:val="none"/>
              </w:rPr>
            </w:pPr>
            <w:r>
              <w:rPr>
                <w:rFonts w:ascii="Times New Roman" w:hAnsi="Times New Roman"/>
                <w:sz w:val="24"/>
                <w:highlight w:val="none"/>
              </w:rPr>
              <w:t>供应商</w:t>
            </w:r>
            <w:r>
              <w:rPr>
                <w:rFonts w:hint="default" w:ascii="Times New Roman" w:hAnsi="Times New Roman"/>
                <w:sz w:val="24"/>
                <w:highlight w:val="none"/>
              </w:rPr>
              <w:t>并列的，按照以下方式确定</w:t>
            </w:r>
            <w:r>
              <w:rPr>
                <w:rFonts w:ascii="Times New Roman" w:hAnsi="Times New Roman"/>
                <w:sz w:val="24"/>
                <w:highlight w:val="none"/>
              </w:rPr>
              <w:t>入围</w:t>
            </w:r>
            <w:r>
              <w:rPr>
                <w:rFonts w:hint="default" w:ascii="Times New Roman" w:hAnsi="Times New Roman"/>
                <w:sz w:val="24"/>
                <w:highlight w:val="none"/>
              </w:rPr>
              <w:t>供应商：</w:t>
            </w:r>
            <w:r>
              <w:rPr>
                <w:rFonts w:hint="default" w:ascii="Times New Roman" w:hAnsi="Times New Roman"/>
                <w:highlight w:val="none"/>
              </w:rPr>
              <w:t xml:space="preserve"> </w:t>
            </w:r>
          </w:p>
          <w:p w14:paraId="2BBC1D7E">
            <w:pPr>
              <w:pStyle w:val="23"/>
              <w:adjustRightInd w:val="0"/>
              <w:snapToGrid w:val="0"/>
              <w:rPr>
                <w:rFonts w:ascii="Times New Roman" w:hAnsi="Times New Roman"/>
                <w:sz w:val="24"/>
                <w:highlight w:val="none"/>
              </w:rPr>
            </w:pPr>
            <w:r>
              <w:rPr>
                <w:rFonts w:hint="default" w:ascii="Times New Roman" w:hAnsi="Times New Roman"/>
                <w:sz w:val="24"/>
                <w:highlight w:val="none"/>
              </w:rPr>
              <w:t>■以供应商投入本项目</w:t>
            </w:r>
            <w:r>
              <w:rPr>
                <w:rFonts w:ascii="Times New Roman" w:hAnsi="Times New Roman"/>
                <w:sz w:val="24"/>
                <w:highlight w:val="none"/>
              </w:rPr>
              <w:t>技术部分</w:t>
            </w:r>
            <w:r>
              <w:rPr>
                <w:rFonts w:hint="default" w:ascii="Times New Roman" w:hAnsi="Times New Roman"/>
                <w:sz w:val="24"/>
                <w:highlight w:val="none"/>
              </w:rPr>
              <w:t>评审总分高</w:t>
            </w:r>
            <w:r>
              <w:rPr>
                <w:rFonts w:ascii="Times New Roman" w:hAnsi="Times New Roman"/>
                <w:sz w:val="24"/>
                <w:highlight w:val="none"/>
              </w:rPr>
              <w:t>的</w:t>
            </w:r>
            <w:r>
              <w:rPr>
                <w:rFonts w:hint="default" w:ascii="Times New Roman" w:hAnsi="Times New Roman"/>
                <w:sz w:val="24"/>
                <w:highlight w:val="none"/>
              </w:rPr>
              <w:t>优先，</w:t>
            </w:r>
            <w:r>
              <w:rPr>
                <w:rFonts w:ascii="Times New Roman" w:hAnsi="Times New Roman"/>
                <w:sz w:val="24"/>
                <w:highlight w:val="none"/>
              </w:rPr>
              <w:t>技术部分</w:t>
            </w:r>
            <w:r>
              <w:rPr>
                <w:rFonts w:hint="default" w:ascii="Times New Roman" w:hAnsi="Times New Roman"/>
                <w:sz w:val="24"/>
                <w:highlight w:val="none"/>
              </w:rPr>
              <w:t>评审总得分相同的，依次根据</w:t>
            </w:r>
            <w:r>
              <w:rPr>
                <w:rFonts w:ascii="Times New Roman" w:hAnsi="Times New Roman"/>
                <w:sz w:val="24"/>
                <w:highlight w:val="none"/>
              </w:rPr>
              <w:t>技术</w:t>
            </w:r>
            <w:r>
              <w:rPr>
                <w:rFonts w:hint="default" w:ascii="Times New Roman" w:hAnsi="Times New Roman"/>
                <w:sz w:val="24"/>
                <w:highlight w:val="none"/>
              </w:rPr>
              <w:t>部分评审项中的</w:t>
            </w:r>
            <w:r>
              <w:rPr>
                <w:rFonts w:ascii="Times New Roman" w:hAnsi="Times New Roman"/>
                <w:sz w:val="24"/>
                <w:highlight w:val="none"/>
              </w:rPr>
              <w:t>服务方案、</w:t>
            </w:r>
            <w:r>
              <w:rPr>
                <w:rFonts w:hAnsi="宋体" w:cs="宋体"/>
                <w:color w:val="000000"/>
                <w:sz w:val="24"/>
                <w:highlight w:val="none"/>
              </w:rPr>
              <w:t>质量控制管理措施、</w:t>
            </w:r>
            <w:r>
              <w:rPr>
                <w:rFonts w:hAnsi="宋体" w:cs="宋体"/>
                <w:sz w:val="24"/>
                <w:highlight w:val="none"/>
              </w:rPr>
              <w:t>工作进度控制措施、保密措施、廉政管理措施、</w:t>
            </w:r>
            <w:r>
              <w:rPr>
                <w:rFonts w:hAnsi="宋体" w:cs="Tahoma"/>
                <w:sz w:val="24"/>
                <w:highlight w:val="none"/>
              </w:rPr>
              <w:t>档案管理措施</w:t>
            </w:r>
            <w:r>
              <w:rPr>
                <w:rFonts w:hint="default" w:ascii="Times New Roman" w:hAnsi="Times New Roman"/>
                <w:sz w:val="24"/>
                <w:highlight w:val="none"/>
              </w:rPr>
              <w:t>的先后顺序得分高低决定。</w:t>
            </w:r>
          </w:p>
          <w:p w14:paraId="011286A3">
            <w:pPr>
              <w:jc w:val="left"/>
              <w:rPr>
                <w:sz w:val="24"/>
                <w:highlight w:val="none"/>
                <w:u w:val="single"/>
              </w:rPr>
            </w:pPr>
            <w:r>
              <w:rPr>
                <w:sz w:val="24"/>
                <w:highlight w:val="none"/>
              </w:rPr>
              <w:t>□随机抽取</w:t>
            </w:r>
          </w:p>
        </w:tc>
      </w:tr>
      <w:tr w14:paraId="1FA6F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5AD81C30">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25.5</w:t>
            </w:r>
          </w:p>
        </w:tc>
        <w:tc>
          <w:tcPr>
            <w:tcW w:w="1701" w:type="dxa"/>
            <w:noWrap w:val="0"/>
            <w:vAlign w:val="center"/>
          </w:tcPr>
          <w:p w14:paraId="448EC3A7">
            <w:pPr>
              <w:jc w:val="center"/>
              <w:rPr>
                <w:sz w:val="24"/>
                <w:highlight w:val="none"/>
              </w:rPr>
            </w:pPr>
            <w:r>
              <w:rPr>
                <w:sz w:val="24"/>
                <w:highlight w:val="none"/>
              </w:rPr>
              <w:t>分包</w:t>
            </w:r>
          </w:p>
        </w:tc>
        <w:tc>
          <w:tcPr>
            <w:tcW w:w="7540" w:type="dxa"/>
            <w:noWrap w:val="0"/>
            <w:vAlign w:val="center"/>
          </w:tcPr>
          <w:p w14:paraId="3946B6D0">
            <w:pPr>
              <w:jc w:val="left"/>
              <w:rPr>
                <w:sz w:val="24"/>
                <w:highlight w:val="none"/>
              </w:rPr>
            </w:pPr>
            <w:r>
              <w:rPr>
                <w:sz w:val="24"/>
                <w:highlight w:val="none"/>
              </w:rPr>
              <w:t xml:space="preserve">本项目的非主体、非关键性工作是否允许分包： </w:t>
            </w:r>
          </w:p>
          <w:p w14:paraId="60467C73">
            <w:pPr>
              <w:jc w:val="left"/>
              <w:rPr>
                <w:sz w:val="24"/>
                <w:highlight w:val="none"/>
              </w:rPr>
            </w:pPr>
            <w:r>
              <w:rPr>
                <w:b/>
                <w:sz w:val="24"/>
                <w:highlight w:val="none"/>
              </w:rPr>
              <w:t>■</w:t>
            </w:r>
            <w:r>
              <w:rPr>
                <w:sz w:val="24"/>
                <w:highlight w:val="none"/>
              </w:rPr>
              <w:t>不允许</w:t>
            </w:r>
          </w:p>
          <w:p w14:paraId="782D4629">
            <w:pPr>
              <w:jc w:val="left"/>
              <w:rPr>
                <w:sz w:val="24"/>
                <w:highlight w:val="none"/>
              </w:rPr>
            </w:pPr>
            <w:r>
              <w:rPr>
                <w:sz w:val="24"/>
                <w:highlight w:val="none"/>
              </w:rPr>
              <w:t>□允许，具体要求：</w:t>
            </w:r>
          </w:p>
          <w:p w14:paraId="0FD4BA80">
            <w:pPr>
              <w:jc w:val="left"/>
              <w:rPr>
                <w:sz w:val="24"/>
                <w:highlight w:val="none"/>
              </w:rPr>
            </w:pPr>
            <w:r>
              <w:rPr>
                <w:sz w:val="24"/>
                <w:highlight w:val="none"/>
              </w:rPr>
              <w:t>（1）可以分包履行的具体内容：_____；</w:t>
            </w:r>
          </w:p>
          <w:p w14:paraId="0899DB9B">
            <w:pPr>
              <w:jc w:val="left"/>
              <w:rPr>
                <w:sz w:val="24"/>
                <w:highlight w:val="none"/>
              </w:rPr>
            </w:pPr>
            <w:r>
              <w:rPr>
                <w:sz w:val="24"/>
                <w:highlight w:val="none"/>
              </w:rPr>
              <w:t>（2）允许分包的金额或者比例：_____；</w:t>
            </w:r>
          </w:p>
          <w:p w14:paraId="5D59015B">
            <w:pPr>
              <w:jc w:val="left"/>
              <w:rPr>
                <w:sz w:val="24"/>
                <w:highlight w:val="none"/>
                <w:u w:val="single"/>
              </w:rPr>
            </w:pPr>
            <w:r>
              <w:rPr>
                <w:sz w:val="24"/>
                <w:highlight w:val="none"/>
              </w:rPr>
              <w:t>（3）其他要求：_____。</w:t>
            </w:r>
          </w:p>
        </w:tc>
      </w:tr>
      <w:tr w14:paraId="04DA6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340D69C4">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25.6</w:t>
            </w:r>
          </w:p>
        </w:tc>
        <w:tc>
          <w:tcPr>
            <w:tcW w:w="1701" w:type="dxa"/>
            <w:noWrap w:val="0"/>
            <w:vAlign w:val="center"/>
          </w:tcPr>
          <w:p w14:paraId="34D8859E">
            <w:pPr>
              <w:jc w:val="center"/>
              <w:rPr>
                <w:sz w:val="24"/>
                <w:highlight w:val="none"/>
              </w:rPr>
            </w:pPr>
            <w:r>
              <w:rPr>
                <w:sz w:val="24"/>
                <w:highlight w:val="none"/>
              </w:rPr>
              <w:t>政采贷</w:t>
            </w:r>
          </w:p>
        </w:tc>
        <w:tc>
          <w:tcPr>
            <w:tcW w:w="7540" w:type="dxa"/>
            <w:noWrap w:val="0"/>
            <w:vAlign w:val="center"/>
          </w:tcPr>
          <w:p w14:paraId="634F3548">
            <w:pPr>
              <w:jc w:val="left"/>
              <w:rPr>
                <w:sz w:val="24"/>
                <w:highlight w:val="none"/>
              </w:rPr>
            </w:pPr>
            <w:r>
              <w:rPr>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45402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6E44FBA5">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27.1.1</w:t>
            </w:r>
          </w:p>
        </w:tc>
        <w:tc>
          <w:tcPr>
            <w:tcW w:w="1701" w:type="dxa"/>
            <w:noWrap w:val="0"/>
            <w:vAlign w:val="center"/>
          </w:tcPr>
          <w:p w14:paraId="4867EAAF">
            <w:pPr>
              <w:jc w:val="center"/>
              <w:rPr>
                <w:sz w:val="24"/>
                <w:highlight w:val="none"/>
              </w:rPr>
            </w:pPr>
            <w:r>
              <w:rPr>
                <w:sz w:val="24"/>
                <w:highlight w:val="none"/>
              </w:rPr>
              <w:t>询问</w:t>
            </w:r>
          </w:p>
        </w:tc>
        <w:tc>
          <w:tcPr>
            <w:tcW w:w="7540" w:type="dxa"/>
            <w:noWrap w:val="0"/>
            <w:vAlign w:val="center"/>
          </w:tcPr>
          <w:p w14:paraId="60AE96C1">
            <w:pPr>
              <w:jc w:val="left"/>
              <w:rPr>
                <w:sz w:val="24"/>
                <w:highlight w:val="none"/>
              </w:rPr>
            </w:pPr>
            <w:r>
              <w:rPr>
                <w:sz w:val="24"/>
                <w:highlight w:val="none"/>
              </w:rPr>
              <w:t>询问</w:t>
            </w:r>
            <w:r>
              <w:rPr>
                <w:rFonts w:hint="eastAsia"/>
                <w:sz w:val="24"/>
                <w:highlight w:val="none"/>
              </w:rPr>
              <w:t>提出</w:t>
            </w:r>
            <w:r>
              <w:rPr>
                <w:sz w:val="24"/>
                <w:highlight w:val="none"/>
              </w:rPr>
              <w:t>形式：</w:t>
            </w:r>
            <w:r>
              <w:rPr>
                <w:rFonts w:hint="eastAsia"/>
                <w:color w:val="000000"/>
                <w:sz w:val="24"/>
                <w:highlight w:val="none"/>
              </w:rPr>
              <w:t>书面形式</w:t>
            </w:r>
          </w:p>
        </w:tc>
      </w:tr>
      <w:tr w14:paraId="1D670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68350608">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27.3</w:t>
            </w:r>
          </w:p>
        </w:tc>
        <w:tc>
          <w:tcPr>
            <w:tcW w:w="1701" w:type="dxa"/>
            <w:noWrap w:val="0"/>
            <w:vAlign w:val="center"/>
          </w:tcPr>
          <w:p w14:paraId="000A4BB7">
            <w:pPr>
              <w:jc w:val="center"/>
              <w:rPr>
                <w:sz w:val="24"/>
                <w:highlight w:val="none"/>
              </w:rPr>
            </w:pPr>
            <w:r>
              <w:rPr>
                <w:sz w:val="24"/>
                <w:highlight w:val="none"/>
              </w:rPr>
              <w:t>联系方式</w:t>
            </w:r>
          </w:p>
        </w:tc>
        <w:tc>
          <w:tcPr>
            <w:tcW w:w="7540" w:type="dxa"/>
            <w:noWrap w:val="0"/>
            <w:vAlign w:val="center"/>
          </w:tcPr>
          <w:p w14:paraId="3B92A746">
            <w:pPr>
              <w:jc w:val="left"/>
              <w:rPr>
                <w:sz w:val="24"/>
                <w:highlight w:val="none"/>
              </w:rPr>
            </w:pPr>
            <w:r>
              <w:rPr>
                <w:sz w:val="24"/>
                <w:highlight w:val="none"/>
              </w:rPr>
              <w:t>接收询问和质疑的联系方式</w:t>
            </w:r>
          </w:p>
          <w:p w14:paraId="319980E9">
            <w:pPr>
              <w:jc w:val="left"/>
              <w:rPr>
                <w:color w:val="000000"/>
                <w:sz w:val="24"/>
                <w:highlight w:val="none"/>
              </w:rPr>
            </w:pPr>
            <w:r>
              <w:rPr>
                <w:color w:val="000000"/>
                <w:sz w:val="24"/>
                <w:highlight w:val="none"/>
              </w:rPr>
              <w:t>联系部门：</w:t>
            </w:r>
            <w:r>
              <w:rPr>
                <w:rFonts w:hint="eastAsia"/>
                <w:color w:val="000000"/>
                <w:sz w:val="24"/>
                <w:highlight w:val="none"/>
                <w:u w:val="single"/>
              </w:rPr>
              <w:t>招标部</w:t>
            </w:r>
            <w:r>
              <w:rPr>
                <w:color w:val="000000"/>
                <w:sz w:val="24"/>
                <w:highlight w:val="none"/>
                <w:u w:val="single"/>
              </w:rPr>
              <w:t>；</w:t>
            </w:r>
          </w:p>
          <w:p w14:paraId="4E5FC39B">
            <w:pPr>
              <w:jc w:val="left"/>
              <w:rPr>
                <w:color w:val="000000"/>
                <w:sz w:val="24"/>
                <w:highlight w:val="none"/>
              </w:rPr>
            </w:pPr>
            <w:r>
              <w:rPr>
                <w:color w:val="000000"/>
                <w:sz w:val="24"/>
                <w:highlight w:val="none"/>
              </w:rPr>
              <w:t>联系电话：</w:t>
            </w:r>
            <w:r>
              <w:rPr>
                <w:color w:val="000000"/>
                <w:sz w:val="24"/>
                <w:highlight w:val="none"/>
                <w:u w:val="single"/>
              </w:rPr>
              <w:t>010-60218807；</w:t>
            </w:r>
          </w:p>
          <w:p w14:paraId="4D3293CF">
            <w:pPr>
              <w:jc w:val="left"/>
              <w:rPr>
                <w:sz w:val="24"/>
                <w:highlight w:val="none"/>
              </w:rPr>
            </w:pPr>
            <w:r>
              <w:rPr>
                <w:color w:val="000000"/>
                <w:sz w:val="24"/>
                <w:highlight w:val="none"/>
              </w:rPr>
              <w:t>通讯地址：</w:t>
            </w:r>
            <w:r>
              <w:rPr>
                <w:rFonts w:hint="eastAsia"/>
                <w:color w:val="000000"/>
                <w:sz w:val="24"/>
                <w:highlight w:val="none"/>
                <w:u w:val="single"/>
              </w:rPr>
              <w:t>北京市大兴区金华寺东路2号西配房103室</w:t>
            </w:r>
            <w:r>
              <w:rPr>
                <w:color w:val="000000"/>
                <w:sz w:val="24"/>
                <w:highlight w:val="none"/>
                <w:u w:val="single"/>
              </w:rPr>
              <w:t>。</w:t>
            </w:r>
          </w:p>
        </w:tc>
      </w:tr>
      <w:tr w14:paraId="33087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noWrap w:val="0"/>
            <w:vAlign w:val="center"/>
          </w:tcPr>
          <w:p w14:paraId="0D5F9342">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29</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A9D6FA3">
            <w:pPr>
              <w:jc w:val="center"/>
              <w:rPr>
                <w:sz w:val="24"/>
                <w:highlight w:val="none"/>
              </w:rPr>
            </w:pPr>
            <w:r>
              <w:rPr>
                <w:sz w:val="24"/>
                <w:highlight w:val="none"/>
              </w:rPr>
              <w:t>代理费</w:t>
            </w:r>
          </w:p>
        </w:tc>
        <w:tc>
          <w:tcPr>
            <w:tcW w:w="7540" w:type="dxa"/>
            <w:tcBorders>
              <w:top w:val="single" w:color="auto" w:sz="4" w:space="0"/>
              <w:left w:val="single" w:color="auto" w:sz="4" w:space="0"/>
              <w:bottom w:val="single" w:color="auto" w:sz="4" w:space="0"/>
              <w:right w:val="single" w:color="auto" w:sz="4" w:space="0"/>
            </w:tcBorders>
            <w:noWrap w:val="0"/>
            <w:vAlign w:val="center"/>
          </w:tcPr>
          <w:p w14:paraId="680D34B3">
            <w:pPr>
              <w:jc w:val="left"/>
              <w:rPr>
                <w:sz w:val="24"/>
                <w:highlight w:val="none"/>
              </w:rPr>
            </w:pPr>
            <w:r>
              <w:rPr>
                <w:sz w:val="24"/>
                <w:highlight w:val="none"/>
              </w:rPr>
              <w:t>收费对象：</w:t>
            </w:r>
          </w:p>
          <w:p w14:paraId="35CB2785">
            <w:pPr>
              <w:jc w:val="left"/>
              <w:rPr>
                <w:sz w:val="24"/>
                <w:highlight w:val="none"/>
              </w:rPr>
            </w:pPr>
            <w:r>
              <w:rPr>
                <w:sz w:val="24"/>
                <w:highlight w:val="none"/>
              </w:rPr>
              <w:t>□采购人</w:t>
            </w:r>
          </w:p>
          <w:p w14:paraId="406151F0">
            <w:pPr>
              <w:jc w:val="left"/>
              <w:rPr>
                <w:sz w:val="24"/>
                <w:highlight w:val="none"/>
              </w:rPr>
            </w:pPr>
            <w:r>
              <w:rPr>
                <w:b/>
                <w:color w:val="000000"/>
                <w:sz w:val="24"/>
                <w:highlight w:val="none"/>
              </w:rPr>
              <w:t>■</w:t>
            </w:r>
            <w:r>
              <w:rPr>
                <w:rFonts w:hint="eastAsia"/>
                <w:sz w:val="24"/>
                <w:highlight w:val="none"/>
              </w:rPr>
              <w:t>入围</w:t>
            </w:r>
            <w:r>
              <w:rPr>
                <w:sz w:val="24"/>
                <w:highlight w:val="none"/>
              </w:rPr>
              <w:t>供应商</w:t>
            </w:r>
          </w:p>
          <w:p w14:paraId="26A8663E">
            <w:pPr>
              <w:jc w:val="left"/>
              <w:rPr>
                <w:rFonts w:hint="eastAsia"/>
                <w:sz w:val="24"/>
                <w:highlight w:val="none"/>
              </w:rPr>
            </w:pPr>
            <w:r>
              <w:rPr>
                <w:sz w:val="24"/>
                <w:highlight w:val="none"/>
              </w:rPr>
              <w:t>收费标准：</w:t>
            </w:r>
            <w:r>
              <w:rPr>
                <w:rFonts w:hint="eastAsia"/>
                <w:color w:val="000000"/>
                <w:sz w:val="24"/>
                <w:highlight w:val="none"/>
                <w:u w:val="single"/>
              </w:rPr>
              <w:t>参照原国家发展计划委员会《招标代理服务收费管理暂行办法》(计价格[2002]1980号)和《国家发展改革委关于降低部分建设项目收费标准规范收费行为等有关问题的通知》(发改价格[2011]534号)规定标准，以本项目预算金额为基数计算招标代理服务费，并在此基础上下浮5</w:t>
            </w:r>
            <w:r>
              <w:rPr>
                <w:color w:val="000000"/>
                <w:sz w:val="24"/>
                <w:highlight w:val="none"/>
                <w:u w:val="single"/>
              </w:rPr>
              <w:t>%，代理费</w:t>
            </w:r>
            <w:r>
              <w:rPr>
                <w:rFonts w:hint="eastAsia"/>
                <w:color w:val="000000"/>
                <w:sz w:val="24"/>
                <w:highlight w:val="none"/>
                <w:u w:val="single"/>
              </w:rPr>
              <w:t>由各入围供应商平均支付</w:t>
            </w:r>
            <w:r>
              <w:rPr>
                <w:sz w:val="24"/>
                <w:highlight w:val="none"/>
              </w:rPr>
              <w:t>。</w:t>
            </w:r>
          </w:p>
        </w:tc>
      </w:tr>
    </w:tbl>
    <w:p w14:paraId="7CB8E04B">
      <w:pPr>
        <w:tabs>
          <w:tab w:val="left" w:pos="5580"/>
        </w:tabs>
        <w:adjustRightInd w:val="0"/>
        <w:spacing w:line="360" w:lineRule="auto"/>
        <w:jc w:val="distribute"/>
        <w:rPr>
          <w:sz w:val="24"/>
          <w:highlight w:val="none"/>
        </w:rPr>
        <w:sectPr>
          <w:footerReference r:id="rId3" w:type="default"/>
          <w:type w:val="nextColumn"/>
          <w:pgSz w:w="11907" w:h="16840"/>
          <w:pgMar w:top="1418" w:right="1134" w:bottom="1418" w:left="1701" w:header="851" w:footer="851" w:gutter="0"/>
          <w:pgNumType w:start="0"/>
          <w:cols w:space="720" w:num="1"/>
          <w:titlePg/>
          <w:docGrid w:linePitch="462" w:charSpace="0"/>
        </w:sectPr>
      </w:pPr>
    </w:p>
    <w:p w14:paraId="7AACE4CE">
      <w:pPr>
        <w:spacing w:before="240" w:beforeLines="100" w:after="240" w:afterLines="100"/>
        <w:jc w:val="center"/>
        <w:rPr>
          <w:b/>
          <w:sz w:val="28"/>
          <w:szCs w:val="28"/>
          <w:highlight w:val="none"/>
        </w:rPr>
      </w:pPr>
      <w:bookmarkStart w:id="81" w:name="_Toc226965790"/>
      <w:bookmarkStart w:id="82" w:name="_Toc150774722"/>
      <w:bookmarkStart w:id="83" w:name="_Toc264969207"/>
      <w:bookmarkStart w:id="84" w:name="_Toc150480755"/>
      <w:bookmarkStart w:id="85" w:name="_Toc195842882"/>
      <w:bookmarkStart w:id="86" w:name="_Toc305158785"/>
      <w:bookmarkStart w:id="87" w:name="_Toc353873932"/>
      <w:bookmarkStart w:id="88" w:name="_Toc142311019"/>
      <w:bookmarkStart w:id="89" w:name="_Toc353873662"/>
      <w:bookmarkStart w:id="90" w:name="_Toc127151517"/>
      <w:bookmarkStart w:id="91" w:name="_Toc305158859"/>
      <w:bookmarkStart w:id="92" w:name="_Toc265228355"/>
      <w:bookmarkStart w:id="93" w:name="_Toc353825542"/>
      <w:bookmarkStart w:id="94" w:name="_Toc226337213"/>
      <w:r>
        <w:rPr>
          <w:rFonts w:hint="eastAsia"/>
          <w:b/>
          <w:sz w:val="28"/>
          <w:szCs w:val="28"/>
          <w:highlight w:val="none"/>
        </w:rPr>
        <w:t>供应商</w:t>
      </w:r>
      <w:r>
        <w:rPr>
          <w:b/>
          <w:sz w:val="28"/>
          <w:szCs w:val="28"/>
          <w:highlight w:val="none"/>
        </w:rPr>
        <w:t>须知</w:t>
      </w:r>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1D968C4A">
      <w:pPr>
        <w:pStyle w:val="3"/>
        <w:tabs>
          <w:tab w:val="center" w:pos="4592"/>
          <w:tab w:val="left" w:pos="7860"/>
        </w:tabs>
        <w:spacing w:before="0" w:line="360" w:lineRule="auto"/>
        <w:jc w:val="left"/>
        <w:rPr>
          <w:rFonts w:ascii="Times New Roman" w:hAnsi="Times New Roman" w:eastAsia="宋体"/>
          <w:sz w:val="28"/>
          <w:highlight w:val="none"/>
        </w:rPr>
      </w:pPr>
      <w:bookmarkStart w:id="95" w:name="_Toc127151518"/>
      <w:bookmarkStart w:id="96" w:name="_Toc520356143"/>
      <w:r>
        <w:rPr>
          <w:rFonts w:ascii="Times New Roman" w:hAnsi="Times New Roman" w:eastAsia="宋体"/>
          <w:sz w:val="28"/>
          <w:highlight w:val="none"/>
        </w:rPr>
        <w:tab/>
      </w:r>
      <w:bookmarkStart w:id="97" w:name="_Toc226337214"/>
      <w:bookmarkStart w:id="98" w:name="_Toc151193832"/>
      <w:bookmarkStart w:id="99" w:name="_Toc226309762"/>
      <w:bookmarkStart w:id="100" w:name="_Toc142311020"/>
      <w:bookmarkStart w:id="101" w:name="_Toc150774618"/>
      <w:bookmarkStart w:id="102" w:name="_Toc151193616"/>
      <w:bookmarkStart w:id="103" w:name="_Toc226965791"/>
      <w:bookmarkStart w:id="104" w:name="_Toc151190145"/>
      <w:bookmarkStart w:id="105" w:name="_Toc265228356"/>
      <w:bookmarkStart w:id="106" w:name="_Toc305158786"/>
      <w:bookmarkStart w:id="107" w:name="_Toc226965708"/>
      <w:bookmarkStart w:id="108" w:name="_Toc195842883"/>
      <w:bookmarkStart w:id="109" w:name="_Toc305158860"/>
      <w:bookmarkStart w:id="110" w:name="_Toc151193688"/>
      <w:bookmarkStart w:id="111" w:name="_Toc264969208"/>
      <w:bookmarkStart w:id="112" w:name="_Toc151193906"/>
      <w:bookmarkStart w:id="113" w:name="_Toc150480756"/>
      <w:bookmarkStart w:id="114" w:name="_Toc150509269"/>
      <w:bookmarkStart w:id="115" w:name="_Toc151193760"/>
      <w:bookmarkStart w:id="116" w:name="_Toc150774723"/>
      <w:r>
        <w:rPr>
          <w:rFonts w:ascii="Times New Roman" w:hAnsi="Times New Roman" w:eastAsia="宋体"/>
          <w:sz w:val="28"/>
          <w:highlight w:val="none"/>
        </w:rPr>
        <w:t>一   说  明</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Fonts w:ascii="Times New Roman" w:hAnsi="Times New Roman" w:eastAsia="宋体"/>
          <w:sz w:val="28"/>
          <w:highlight w:val="none"/>
        </w:rPr>
        <w:tab/>
      </w:r>
    </w:p>
    <w:p w14:paraId="118622A1">
      <w:pPr>
        <w:numPr>
          <w:ilvl w:val="0"/>
          <w:numId w:val="8"/>
        </w:numPr>
        <w:tabs>
          <w:tab w:val="left" w:pos="360"/>
        </w:tabs>
        <w:snapToGrid w:val="0"/>
        <w:spacing w:line="360" w:lineRule="auto"/>
        <w:outlineLvl w:val="1"/>
        <w:rPr>
          <w:sz w:val="24"/>
          <w:highlight w:val="none"/>
        </w:rPr>
      </w:pPr>
      <w:bookmarkStart w:id="117" w:name="_Toc305158861"/>
      <w:bookmarkStart w:id="118" w:name="_Toc265228357"/>
      <w:bookmarkStart w:id="119" w:name="_Toc305158787"/>
      <w:bookmarkStart w:id="120" w:name="_Toc264969209"/>
      <w:r>
        <w:rPr>
          <w:rFonts w:hint="eastAsia"/>
          <w:sz w:val="24"/>
          <w:highlight w:val="none"/>
        </w:rPr>
        <w:t>征集人</w:t>
      </w:r>
      <w:r>
        <w:rPr>
          <w:sz w:val="24"/>
          <w:highlight w:val="none"/>
        </w:rPr>
        <w:t>、</w:t>
      </w:r>
      <w:bookmarkEnd w:id="117"/>
      <w:bookmarkEnd w:id="118"/>
      <w:bookmarkEnd w:id="119"/>
      <w:bookmarkEnd w:id="120"/>
      <w:r>
        <w:rPr>
          <w:rFonts w:hint="eastAsia"/>
          <w:sz w:val="24"/>
          <w:highlight w:val="none"/>
        </w:rPr>
        <w:t>供应商</w:t>
      </w:r>
      <w:r>
        <w:rPr>
          <w:sz w:val="24"/>
          <w:highlight w:val="none"/>
        </w:rPr>
        <w:t>、联合体</w:t>
      </w:r>
    </w:p>
    <w:p w14:paraId="00E8CEA1">
      <w:pPr>
        <w:numPr>
          <w:ilvl w:val="1"/>
          <w:numId w:val="8"/>
        </w:numPr>
        <w:tabs>
          <w:tab w:val="left" w:pos="1080"/>
          <w:tab w:val="left" w:pos="2014"/>
          <w:tab w:val="left" w:pos="5521"/>
        </w:tabs>
        <w:snapToGrid w:val="0"/>
        <w:spacing w:line="360" w:lineRule="auto"/>
        <w:ind w:left="1080" w:hanging="720"/>
        <w:rPr>
          <w:sz w:val="24"/>
          <w:highlight w:val="none"/>
        </w:rPr>
      </w:pPr>
      <w:r>
        <w:rPr>
          <w:rFonts w:hint="eastAsia"/>
          <w:sz w:val="24"/>
          <w:highlight w:val="none"/>
        </w:rPr>
        <w:t>征集人</w:t>
      </w:r>
      <w:r>
        <w:rPr>
          <w:sz w:val="24"/>
          <w:highlight w:val="none"/>
        </w:rPr>
        <w:t>：指依法进行政府采购的国家机关、事业单位、团体组织，及其委托的采购代理机构。本项目</w:t>
      </w:r>
      <w:r>
        <w:rPr>
          <w:rFonts w:hint="eastAsia"/>
          <w:sz w:val="24"/>
          <w:highlight w:val="none"/>
        </w:rPr>
        <w:t>征集人</w:t>
      </w:r>
      <w:r>
        <w:rPr>
          <w:sz w:val="24"/>
          <w:highlight w:val="none"/>
        </w:rPr>
        <w:t>见第一章《</w:t>
      </w:r>
      <w:r>
        <w:rPr>
          <w:rFonts w:hint="eastAsia"/>
          <w:sz w:val="24"/>
          <w:highlight w:val="none"/>
        </w:rPr>
        <w:t>征集</w:t>
      </w:r>
      <w:r>
        <w:rPr>
          <w:sz w:val="24"/>
          <w:highlight w:val="none"/>
        </w:rPr>
        <w:t>邀请》。</w:t>
      </w:r>
    </w:p>
    <w:p w14:paraId="4E76EDD9">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供应商（也称“</w:t>
      </w:r>
      <w:bookmarkStart w:id="121" w:name="OLE_LINK10"/>
      <w:bookmarkStart w:id="122" w:name="OLE_LINK9"/>
      <w:r>
        <w:rPr>
          <w:sz w:val="24"/>
          <w:highlight w:val="none"/>
        </w:rPr>
        <w:t>供应商</w:t>
      </w:r>
      <w:bookmarkEnd w:id="121"/>
      <w:bookmarkEnd w:id="122"/>
      <w:r>
        <w:rPr>
          <w:sz w:val="24"/>
          <w:highlight w:val="none"/>
        </w:rPr>
        <w:t>”、“</w:t>
      </w:r>
      <w:bookmarkStart w:id="123" w:name="OLE_LINK15"/>
      <w:bookmarkStart w:id="124" w:name="OLE_LINK16"/>
      <w:r>
        <w:rPr>
          <w:sz w:val="24"/>
          <w:highlight w:val="none"/>
        </w:rPr>
        <w:t>申请人</w:t>
      </w:r>
      <w:bookmarkEnd w:id="123"/>
      <w:bookmarkEnd w:id="124"/>
      <w:r>
        <w:rPr>
          <w:sz w:val="24"/>
          <w:highlight w:val="none"/>
        </w:rPr>
        <w:t>”）：指向采购人提供货物、工程或者服务的法人、其他组织或者自然人。</w:t>
      </w:r>
    </w:p>
    <w:p w14:paraId="11849AAB">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联合体：指两个以上的自然人、法人或者其他组织组成一个联合体，以一个供应商的身份共同参加政府采购。</w:t>
      </w:r>
    </w:p>
    <w:p w14:paraId="089728EA">
      <w:pPr>
        <w:numPr>
          <w:ilvl w:val="0"/>
          <w:numId w:val="8"/>
        </w:numPr>
        <w:tabs>
          <w:tab w:val="left" w:pos="360"/>
          <w:tab w:val="clear" w:pos="900"/>
        </w:tabs>
        <w:snapToGrid w:val="0"/>
        <w:spacing w:line="360" w:lineRule="auto"/>
        <w:ind w:left="357" w:hanging="357"/>
        <w:outlineLvl w:val="1"/>
        <w:rPr>
          <w:sz w:val="24"/>
          <w:highlight w:val="none"/>
        </w:rPr>
      </w:pPr>
      <w:bookmarkStart w:id="125" w:name="_Toc164608789"/>
      <w:bookmarkStart w:id="126" w:name="_Toc151193690"/>
      <w:bookmarkStart w:id="127" w:name="_Toc164229361"/>
      <w:bookmarkStart w:id="128" w:name="_Toc305158862"/>
      <w:bookmarkStart w:id="129" w:name="_Toc149720813"/>
      <w:bookmarkStart w:id="130" w:name="_Toc150480758"/>
      <w:bookmarkStart w:id="131" w:name="_Toc265228358"/>
      <w:bookmarkStart w:id="132" w:name="_Toc226309764"/>
      <w:bookmarkStart w:id="133" w:name="_Toc127151721"/>
      <w:bookmarkStart w:id="134" w:name="_Toc151193834"/>
      <w:bookmarkStart w:id="135" w:name="_Toc127161434"/>
      <w:bookmarkStart w:id="136" w:name="_Toc127151520"/>
      <w:bookmarkStart w:id="137" w:name="_Toc264969210"/>
      <w:bookmarkStart w:id="138" w:name="_Toc151190147"/>
      <w:bookmarkStart w:id="139" w:name="_Toc164351614"/>
      <w:bookmarkStart w:id="140" w:name="_Toc226965710"/>
      <w:bookmarkStart w:id="141" w:name="_Toc150774725"/>
      <w:bookmarkStart w:id="142" w:name="_Toc151193908"/>
      <w:bookmarkStart w:id="143" w:name="_Toc151193618"/>
      <w:bookmarkStart w:id="144" w:name="_Toc164229215"/>
      <w:bookmarkStart w:id="145" w:name="_Toc150509271"/>
      <w:bookmarkStart w:id="146" w:name="_Toc164608634"/>
      <w:bookmarkStart w:id="147" w:name="_Toc226337216"/>
      <w:bookmarkStart w:id="148" w:name="_Toc151193762"/>
      <w:bookmarkStart w:id="149" w:name="_Toc195842885"/>
      <w:bookmarkStart w:id="150" w:name="_Toc150774620"/>
      <w:bookmarkStart w:id="151" w:name="_Toc226965793"/>
      <w:bookmarkStart w:id="152" w:name="_Toc142311022"/>
      <w:bookmarkStart w:id="153" w:name="_Toc305158788"/>
      <w:r>
        <w:rPr>
          <w:sz w:val="24"/>
          <w:highlight w:val="none"/>
        </w:rPr>
        <w:t>资金来源</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sz w:val="24"/>
          <w:highlight w:val="none"/>
        </w:rPr>
        <w:t>、项目属性、科研仪器设备采购、核心产品</w:t>
      </w:r>
    </w:p>
    <w:p w14:paraId="559F4A61">
      <w:pPr>
        <w:numPr>
          <w:ilvl w:val="1"/>
          <w:numId w:val="8"/>
        </w:numPr>
        <w:tabs>
          <w:tab w:val="left" w:pos="1080"/>
          <w:tab w:val="left" w:pos="2014"/>
        </w:tabs>
        <w:snapToGrid w:val="0"/>
        <w:spacing w:line="360" w:lineRule="auto"/>
        <w:ind w:left="1080" w:hanging="720"/>
        <w:rPr>
          <w:sz w:val="24"/>
          <w:highlight w:val="none"/>
        </w:rPr>
      </w:pPr>
      <w:r>
        <w:rPr>
          <w:sz w:val="24"/>
          <w:highlight w:val="none"/>
        </w:rPr>
        <w:t>资金来源为财政性资金和/或本项目采购中无法与财政性资金分割的非财政性资金。</w:t>
      </w:r>
    </w:p>
    <w:p w14:paraId="7C3D8D23">
      <w:pPr>
        <w:numPr>
          <w:ilvl w:val="1"/>
          <w:numId w:val="8"/>
        </w:numPr>
        <w:tabs>
          <w:tab w:val="left" w:pos="1080"/>
          <w:tab w:val="left" w:pos="2014"/>
        </w:tabs>
        <w:snapToGrid w:val="0"/>
        <w:spacing w:line="360" w:lineRule="auto"/>
        <w:ind w:left="1080" w:hanging="720"/>
        <w:rPr>
          <w:sz w:val="24"/>
          <w:highlight w:val="none"/>
        </w:rPr>
      </w:pPr>
      <w:r>
        <w:rPr>
          <w:sz w:val="24"/>
          <w:highlight w:val="none"/>
        </w:rPr>
        <w:t>项目属性见《供应商须知资料表》。</w:t>
      </w:r>
    </w:p>
    <w:p w14:paraId="5BF3FE49">
      <w:pPr>
        <w:numPr>
          <w:ilvl w:val="1"/>
          <w:numId w:val="8"/>
        </w:numPr>
        <w:tabs>
          <w:tab w:val="left" w:pos="1080"/>
          <w:tab w:val="left" w:pos="2014"/>
        </w:tabs>
        <w:snapToGrid w:val="0"/>
        <w:spacing w:line="360" w:lineRule="auto"/>
        <w:ind w:left="1080" w:hanging="720"/>
        <w:rPr>
          <w:sz w:val="24"/>
          <w:highlight w:val="none"/>
        </w:rPr>
      </w:pPr>
      <w:r>
        <w:rPr>
          <w:sz w:val="24"/>
          <w:highlight w:val="none"/>
        </w:rPr>
        <w:t>是否属于科研仪器设备采购见《供应商须知资料表》。</w:t>
      </w:r>
    </w:p>
    <w:p w14:paraId="2610FC98">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核心产品见《供应商须知资料表》。</w:t>
      </w:r>
    </w:p>
    <w:p w14:paraId="2F861082">
      <w:pPr>
        <w:numPr>
          <w:ilvl w:val="0"/>
          <w:numId w:val="8"/>
        </w:numPr>
        <w:tabs>
          <w:tab w:val="left" w:pos="360"/>
        </w:tabs>
        <w:snapToGrid w:val="0"/>
        <w:spacing w:line="360" w:lineRule="auto"/>
        <w:ind w:left="357" w:hanging="357"/>
        <w:outlineLvl w:val="1"/>
        <w:rPr>
          <w:sz w:val="24"/>
          <w:highlight w:val="none"/>
        </w:rPr>
      </w:pPr>
      <w:r>
        <w:rPr>
          <w:sz w:val="24"/>
          <w:highlight w:val="none"/>
        </w:rPr>
        <w:t>现场考察、开启前答疑会</w:t>
      </w:r>
    </w:p>
    <w:p w14:paraId="057DB087">
      <w:pPr>
        <w:numPr>
          <w:ilvl w:val="1"/>
          <w:numId w:val="8"/>
        </w:numPr>
        <w:tabs>
          <w:tab w:val="left" w:pos="1080"/>
          <w:tab w:val="left" w:pos="2014"/>
        </w:tabs>
        <w:snapToGrid w:val="0"/>
        <w:spacing w:line="360" w:lineRule="auto"/>
        <w:ind w:left="1080" w:hanging="720"/>
        <w:rPr>
          <w:sz w:val="28"/>
          <w:highlight w:val="none"/>
        </w:rPr>
      </w:pPr>
      <w:r>
        <w:rPr>
          <w:sz w:val="24"/>
          <w:highlight w:val="none"/>
        </w:rPr>
        <w:t>若《供应商须知资料表》中规定了组织现场考察、召开开启前答疑会，则供应商应按要求在规定的时间和地点参加。</w:t>
      </w:r>
      <w:bookmarkStart w:id="154" w:name="_Toc142311024"/>
      <w:bookmarkStart w:id="155" w:name="_Toc305158864"/>
      <w:bookmarkStart w:id="156" w:name="_Toc151193764"/>
      <w:bookmarkStart w:id="157" w:name="_Toc127151522"/>
      <w:bookmarkStart w:id="158" w:name="_Toc226309766"/>
      <w:bookmarkStart w:id="159" w:name="_Toc226965795"/>
      <w:bookmarkStart w:id="160" w:name="_Toc195842887"/>
      <w:bookmarkStart w:id="161" w:name="_Toc151193836"/>
      <w:bookmarkStart w:id="162" w:name="_Toc151193910"/>
      <w:bookmarkStart w:id="163" w:name="_Toc265228360"/>
      <w:bookmarkStart w:id="164" w:name="_Toc150774727"/>
      <w:bookmarkStart w:id="165" w:name="_Toc150774622"/>
      <w:bookmarkStart w:id="166" w:name="_Toc150480760"/>
      <w:bookmarkStart w:id="167" w:name="_Toc151190149"/>
      <w:bookmarkStart w:id="168" w:name="_Toc264969212"/>
      <w:bookmarkStart w:id="169" w:name="_Toc226965712"/>
      <w:bookmarkStart w:id="170" w:name="_Toc150509273"/>
      <w:bookmarkStart w:id="171" w:name="_Toc151193692"/>
      <w:bookmarkStart w:id="172" w:name="_Toc226337218"/>
      <w:bookmarkStart w:id="173" w:name="_Toc151193620"/>
      <w:bookmarkStart w:id="174" w:name="_Toc305158790"/>
      <w:bookmarkStart w:id="175" w:name="_Toc520356146"/>
    </w:p>
    <w:p w14:paraId="7D83A353">
      <w:pPr>
        <w:numPr>
          <w:ilvl w:val="1"/>
          <w:numId w:val="8"/>
        </w:numPr>
        <w:tabs>
          <w:tab w:val="left" w:pos="1080"/>
          <w:tab w:val="left" w:pos="2014"/>
        </w:tabs>
        <w:snapToGrid w:val="0"/>
        <w:spacing w:line="360" w:lineRule="auto"/>
        <w:ind w:left="1080" w:hanging="720"/>
        <w:rPr>
          <w:sz w:val="24"/>
          <w:highlight w:val="none"/>
        </w:rPr>
      </w:pPr>
      <w:r>
        <w:rPr>
          <w:sz w:val="24"/>
          <w:highlight w:val="none"/>
        </w:rPr>
        <w:t>由于未参加现场考察或开启前答疑会而导致对项目实际情况不了解，影响响应文件编制、响应报价准确性、综合因素响应不全面等问题的，由供应商自行承担不利评审后果。</w:t>
      </w:r>
    </w:p>
    <w:p w14:paraId="6E8950AC">
      <w:pPr>
        <w:numPr>
          <w:ilvl w:val="0"/>
          <w:numId w:val="8"/>
        </w:numPr>
        <w:tabs>
          <w:tab w:val="left" w:pos="360"/>
        </w:tabs>
        <w:snapToGrid w:val="0"/>
        <w:spacing w:line="360" w:lineRule="auto"/>
        <w:ind w:left="357" w:hanging="357"/>
        <w:outlineLvl w:val="1"/>
        <w:rPr>
          <w:sz w:val="24"/>
          <w:highlight w:val="none"/>
        </w:rPr>
      </w:pPr>
      <w:r>
        <w:rPr>
          <w:sz w:val="24"/>
          <w:highlight w:val="none"/>
        </w:rPr>
        <w:t>样品</w:t>
      </w:r>
    </w:p>
    <w:p w14:paraId="7D53D5D7">
      <w:pPr>
        <w:numPr>
          <w:ilvl w:val="1"/>
          <w:numId w:val="8"/>
        </w:numPr>
        <w:tabs>
          <w:tab w:val="left" w:pos="1080"/>
          <w:tab w:val="left" w:pos="2014"/>
        </w:tabs>
        <w:snapToGrid w:val="0"/>
        <w:spacing w:line="360" w:lineRule="auto"/>
        <w:ind w:left="1080" w:hanging="720"/>
        <w:rPr>
          <w:sz w:val="24"/>
          <w:highlight w:val="none"/>
        </w:rPr>
      </w:pPr>
      <w:r>
        <w:rPr>
          <w:sz w:val="24"/>
          <w:highlight w:val="none"/>
        </w:rPr>
        <w:t>本项目是否要求供应商提供样品，以及样品制作的标准和要求、是否需要随样品提交相关检测报告、样品的递交与退还等要求见《供应商须知资料表》。</w:t>
      </w:r>
    </w:p>
    <w:p w14:paraId="7C152DD5">
      <w:pPr>
        <w:numPr>
          <w:ilvl w:val="1"/>
          <w:numId w:val="8"/>
        </w:numPr>
        <w:tabs>
          <w:tab w:val="left" w:pos="1080"/>
          <w:tab w:val="left" w:pos="2014"/>
        </w:tabs>
        <w:snapToGrid w:val="0"/>
        <w:spacing w:line="360" w:lineRule="auto"/>
        <w:ind w:left="1080" w:hanging="720"/>
        <w:rPr>
          <w:sz w:val="24"/>
          <w:highlight w:val="none"/>
        </w:rPr>
      </w:pPr>
      <w:r>
        <w:rPr>
          <w:sz w:val="24"/>
          <w:highlight w:val="none"/>
        </w:rPr>
        <w:t>样品的评审方法以及评审标准等内容见第四章《评审程序、评审方法和评审标准》。</w:t>
      </w:r>
    </w:p>
    <w:p w14:paraId="7CB87787">
      <w:pPr>
        <w:numPr>
          <w:ilvl w:val="0"/>
          <w:numId w:val="8"/>
        </w:numPr>
        <w:tabs>
          <w:tab w:val="left" w:pos="360"/>
          <w:tab w:val="clear" w:pos="900"/>
        </w:tabs>
        <w:snapToGrid w:val="0"/>
        <w:spacing w:line="360" w:lineRule="auto"/>
        <w:ind w:left="357" w:hanging="357"/>
        <w:outlineLvl w:val="1"/>
        <w:rPr>
          <w:sz w:val="24"/>
          <w:highlight w:val="none"/>
        </w:rPr>
      </w:pPr>
      <w:r>
        <w:rPr>
          <w:sz w:val="24"/>
          <w:highlight w:val="none"/>
        </w:rPr>
        <w:t>政府采购政策（包括但不限于下列具体政策要求）</w:t>
      </w:r>
    </w:p>
    <w:p w14:paraId="62F633B6">
      <w:pPr>
        <w:numPr>
          <w:ilvl w:val="1"/>
          <w:numId w:val="8"/>
        </w:numPr>
        <w:tabs>
          <w:tab w:val="left" w:pos="1080"/>
          <w:tab w:val="left" w:pos="2014"/>
        </w:tabs>
        <w:snapToGrid w:val="0"/>
        <w:spacing w:line="360" w:lineRule="auto"/>
        <w:ind w:left="1080" w:hanging="720"/>
        <w:rPr>
          <w:sz w:val="24"/>
          <w:highlight w:val="none"/>
        </w:rPr>
      </w:pPr>
      <w:r>
        <w:rPr>
          <w:sz w:val="24"/>
          <w:highlight w:val="none"/>
        </w:rPr>
        <w:t>采购本国货物、工程和服务</w:t>
      </w:r>
    </w:p>
    <w:p w14:paraId="0D60EB53">
      <w:pPr>
        <w:numPr>
          <w:ilvl w:val="2"/>
          <w:numId w:val="8"/>
        </w:numPr>
        <w:tabs>
          <w:tab w:val="left" w:pos="2014"/>
        </w:tabs>
        <w:snapToGrid w:val="0"/>
        <w:spacing w:line="360" w:lineRule="auto"/>
        <w:rPr>
          <w:sz w:val="24"/>
          <w:highlight w:val="none"/>
        </w:rPr>
      </w:pPr>
      <w:r>
        <w:rPr>
          <w:kern w:val="0"/>
          <w:sz w:val="24"/>
          <w:highlight w:val="none"/>
        </w:rPr>
        <w:t>政府采购应当采购本国货物、工程和服务。但有《</w:t>
      </w:r>
      <w:r>
        <w:rPr>
          <w:b/>
          <w:kern w:val="0"/>
          <w:sz w:val="24"/>
          <w:highlight w:val="none"/>
        </w:rPr>
        <w:t>中华人民共和国政府采购法</w:t>
      </w:r>
      <w:r>
        <w:rPr>
          <w:kern w:val="0"/>
          <w:sz w:val="24"/>
          <w:highlight w:val="none"/>
        </w:rPr>
        <w:t>》第十条规定情形的除外。</w:t>
      </w:r>
    </w:p>
    <w:p w14:paraId="62689486">
      <w:pPr>
        <w:numPr>
          <w:ilvl w:val="2"/>
          <w:numId w:val="8"/>
        </w:numPr>
        <w:tabs>
          <w:tab w:val="left" w:pos="2014"/>
        </w:tabs>
        <w:snapToGrid w:val="0"/>
        <w:spacing w:line="360" w:lineRule="auto"/>
        <w:rPr>
          <w:sz w:val="24"/>
          <w:highlight w:val="none"/>
        </w:rPr>
      </w:pPr>
      <w:r>
        <w:rPr>
          <w:sz w:val="24"/>
          <w:highlight w:val="none"/>
        </w:rPr>
        <w:t>本项目如接受非本国货物、工程、服务参与响应，则具体要求见第五章《采购需求》。</w:t>
      </w:r>
    </w:p>
    <w:p w14:paraId="579BF9F2">
      <w:pPr>
        <w:numPr>
          <w:ilvl w:val="2"/>
          <w:numId w:val="8"/>
        </w:numPr>
        <w:tabs>
          <w:tab w:val="left" w:pos="2014"/>
        </w:tabs>
        <w:snapToGrid w:val="0"/>
        <w:spacing w:line="360" w:lineRule="auto"/>
        <w:rPr>
          <w:sz w:val="24"/>
          <w:highlight w:val="none"/>
        </w:rPr>
      </w:pPr>
      <w:r>
        <w:rPr>
          <w:sz w:val="24"/>
          <w:highlight w:val="none"/>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2712F89A">
      <w:pPr>
        <w:numPr>
          <w:ilvl w:val="1"/>
          <w:numId w:val="8"/>
        </w:numPr>
        <w:tabs>
          <w:tab w:val="left" w:pos="1080"/>
          <w:tab w:val="left" w:pos="2014"/>
        </w:tabs>
        <w:snapToGrid w:val="0"/>
        <w:spacing w:line="360" w:lineRule="auto"/>
        <w:ind w:left="1080" w:hanging="720"/>
        <w:rPr>
          <w:sz w:val="24"/>
          <w:highlight w:val="none"/>
        </w:rPr>
      </w:pPr>
      <w:r>
        <w:rPr>
          <w:sz w:val="24"/>
          <w:highlight w:val="none"/>
        </w:rPr>
        <w:t>中小企业、监狱企业及残疾人福利性单位</w:t>
      </w:r>
    </w:p>
    <w:p w14:paraId="5083D687">
      <w:pPr>
        <w:numPr>
          <w:ilvl w:val="2"/>
          <w:numId w:val="8"/>
        </w:numPr>
        <w:snapToGrid w:val="0"/>
        <w:spacing w:line="360" w:lineRule="auto"/>
        <w:rPr>
          <w:sz w:val="24"/>
          <w:highlight w:val="none"/>
        </w:rPr>
      </w:pPr>
      <w:r>
        <w:rPr>
          <w:sz w:val="24"/>
          <w:highlight w:val="none"/>
        </w:rPr>
        <w:t>中小企业定义：</w:t>
      </w:r>
    </w:p>
    <w:p w14:paraId="309DDBF8">
      <w:pPr>
        <w:pStyle w:val="95"/>
        <w:numPr>
          <w:ilvl w:val="0"/>
          <w:numId w:val="9"/>
        </w:numPr>
        <w:tabs>
          <w:tab w:val="left" w:pos="1980"/>
          <w:tab w:val="left" w:pos="2035"/>
          <w:tab w:val="left" w:pos="2977"/>
        </w:tabs>
        <w:snapToGrid w:val="0"/>
        <w:spacing w:line="360" w:lineRule="auto"/>
        <w:ind w:firstLineChars="0"/>
        <w:rPr>
          <w:rFonts w:ascii="Times New Roman" w:hAnsi="Times New Roman"/>
          <w:vanish/>
          <w:color w:val="000000"/>
          <w:sz w:val="24"/>
          <w:szCs w:val="24"/>
          <w:highlight w:val="none"/>
        </w:rPr>
      </w:pPr>
    </w:p>
    <w:p w14:paraId="7F2F65BF">
      <w:pPr>
        <w:pStyle w:val="95"/>
        <w:numPr>
          <w:ilvl w:val="0"/>
          <w:numId w:val="9"/>
        </w:numPr>
        <w:tabs>
          <w:tab w:val="left" w:pos="1980"/>
          <w:tab w:val="left" w:pos="2035"/>
          <w:tab w:val="left" w:pos="2977"/>
        </w:tabs>
        <w:snapToGrid w:val="0"/>
        <w:spacing w:line="360" w:lineRule="auto"/>
        <w:ind w:firstLineChars="0"/>
        <w:rPr>
          <w:rFonts w:ascii="Times New Roman" w:hAnsi="Times New Roman"/>
          <w:vanish/>
          <w:color w:val="000000"/>
          <w:sz w:val="24"/>
          <w:szCs w:val="24"/>
          <w:highlight w:val="none"/>
        </w:rPr>
      </w:pPr>
    </w:p>
    <w:p w14:paraId="4E0BE7B9">
      <w:pPr>
        <w:pStyle w:val="95"/>
        <w:numPr>
          <w:ilvl w:val="0"/>
          <w:numId w:val="9"/>
        </w:numPr>
        <w:tabs>
          <w:tab w:val="left" w:pos="1980"/>
          <w:tab w:val="left" w:pos="2035"/>
          <w:tab w:val="left" w:pos="2977"/>
        </w:tabs>
        <w:snapToGrid w:val="0"/>
        <w:spacing w:line="360" w:lineRule="auto"/>
        <w:ind w:firstLineChars="0"/>
        <w:rPr>
          <w:rFonts w:ascii="Times New Roman" w:hAnsi="Times New Roman"/>
          <w:vanish/>
          <w:color w:val="000000"/>
          <w:sz w:val="24"/>
          <w:szCs w:val="24"/>
          <w:highlight w:val="none"/>
        </w:rPr>
      </w:pPr>
    </w:p>
    <w:p w14:paraId="05C7D4A2">
      <w:pPr>
        <w:pStyle w:val="95"/>
        <w:numPr>
          <w:ilvl w:val="0"/>
          <w:numId w:val="9"/>
        </w:numPr>
        <w:tabs>
          <w:tab w:val="left" w:pos="1980"/>
          <w:tab w:val="left" w:pos="2035"/>
          <w:tab w:val="left" w:pos="2977"/>
        </w:tabs>
        <w:snapToGrid w:val="0"/>
        <w:spacing w:line="360" w:lineRule="auto"/>
        <w:ind w:firstLineChars="0"/>
        <w:rPr>
          <w:rFonts w:ascii="Times New Roman" w:hAnsi="Times New Roman"/>
          <w:vanish/>
          <w:color w:val="000000"/>
          <w:sz w:val="24"/>
          <w:szCs w:val="24"/>
          <w:highlight w:val="none"/>
        </w:rPr>
      </w:pPr>
    </w:p>
    <w:p w14:paraId="62D3ED1F">
      <w:pPr>
        <w:pStyle w:val="95"/>
        <w:numPr>
          <w:ilvl w:val="0"/>
          <w:numId w:val="9"/>
        </w:numPr>
        <w:tabs>
          <w:tab w:val="left" w:pos="1980"/>
          <w:tab w:val="left" w:pos="2035"/>
          <w:tab w:val="left" w:pos="2977"/>
        </w:tabs>
        <w:snapToGrid w:val="0"/>
        <w:spacing w:line="360" w:lineRule="auto"/>
        <w:ind w:firstLineChars="0"/>
        <w:rPr>
          <w:rFonts w:ascii="Times New Roman" w:hAnsi="Times New Roman"/>
          <w:vanish/>
          <w:color w:val="000000"/>
          <w:sz w:val="24"/>
          <w:szCs w:val="24"/>
          <w:highlight w:val="none"/>
        </w:rPr>
      </w:pPr>
    </w:p>
    <w:p w14:paraId="7AA97AED">
      <w:pPr>
        <w:pStyle w:val="95"/>
        <w:numPr>
          <w:ilvl w:val="1"/>
          <w:numId w:val="9"/>
        </w:numPr>
        <w:tabs>
          <w:tab w:val="left" w:pos="1980"/>
          <w:tab w:val="left" w:pos="2035"/>
          <w:tab w:val="left" w:pos="2977"/>
        </w:tabs>
        <w:snapToGrid w:val="0"/>
        <w:spacing w:line="360" w:lineRule="auto"/>
        <w:ind w:firstLineChars="0"/>
        <w:rPr>
          <w:rFonts w:ascii="Times New Roman" w:hAnsi="Times New Roman"/>
          <w:vanish/>
          <w:color w:val="000000"/>
          <w:sz w:val="24"/>
          <w:szCs w:val="24"/>
          <w:highlight w:val="none"/>
        </w:rPr>
      </w:pPr>
    </w:p>
    <w:p w14:paraId="25B424F9">
      <w:pPr>
        <w:pStyle w:val="95"/>
        <w:numPr>
          <w:ilvl w:val="1"/>
          <w:numId w:val="9"/>
        </w:numPr>
        <w:tabs>
          <w:tab w:val="left" w:pos="1980"/>
          <w:tab w:val="left" w:pos="2035"/>
          <w:tab w:val="left" w:pos="2977"/>
        </w:tabs>
        <w:snapToGrid w:val="0"/>
        <w:spacing w:line="360" w:lineRule="auto"/>
        <w:ind w:firstLineChars="0"/>
        <w:rPr>
          <w:rFonts w:ascii="Times New Roman" w:hAnsi="Times New Roman"/>
          <w:vanish/>
          <w:color w:val="000000"/>
          <w:sz w:val="24"/>
          <w:szCs w:val="24"/>
          <w:highlight w:val="none"/>
        </w:rPr>
      </w:pPr>
    </w:p>
    <w:p w14:paraId="56196D63">
      <w:pPr>
        <w:pStyle w:val="95"/>
        <w:numPr>
          <w:ilvl w:val="2"/>
          <w:numId w:val="9"/>
        </w:numPr>
        <w:tabs>
          <w:tab w:val="left" w:pos="2035"/>
          <w:tab w:val="left" w:pos="2977"/>
        </w:tabs>
        <w:snapToGrid w:val="0"/>
        <w:spacing w:line="360" w:lineRule="auto"/>
        <w:ind w:firstLineChars="0"/>
        <w:rPr>
          <w:rFonts w:ascii="Times New Roman" w:hAnsi="Times New Roman"/>
          <w:vanish/>
          <w:color w:val="000000"/>
          <w:sz w:val="24"/>
          <w:szCs w:val="24"/>
          <w:highlight w:val="none"/>
        </w:rPr>
      </w:pPr>
    </w:p>
    <w:p w14:paraId="6264FA87">
      <w:pPr>
        <w:numPr>
          <w:ilvl w:val="3"/>
          <w:numId w:val="9"/>
        </w:numPr>
        <w:tabs>
          <w:tab w:val="left" w:pos="1980"/>
          <w:tab w:val="left" w:pos="2035"/>
          <w:tab w:val="left" w:pos="2885"/>
          <w:tab w:val="left" w:pos="2977"/>
          <w:tab w:val="clear" w:pos="900"/>
        </w:tabs>
        <w:snapToGrid w:val="0"/>
        <w:spacing w:line="360" w:lineRule="auto"/>
        <w:ind w:left="2885"/>
        <w:rPr>
          <w:color w:val="000000"/>
          <w:sz w:val="24"/>
          <w:highlight w:val="none"/>
        </w:rPr>
      </w:pPr>
      <w:r>
        <w:rPr>
          <w:color w:val="000000"/>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sz w:val="24"/>
          <w:highlight w:val="none"/>
        </w:rPr>
        <w:t>判定</w:t>
      </w:r>
      <w:r>
        <w:rPr>
          <w:color w:val="000000"/>
          <w:sz w:val="24"/>
          <w:highlight w:val="none"/>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sz w:val="24"/>
          <w:highlight w:val="none"/>
        </w:rPr>
        <w:t>、《金融业企业划型标准规定》（〔</w:t>
      </w:r>
      <w:r>
        <w:rPr>
          <w:color w:val="000000"/>
          <w:sz w:val="24"/>
          <w:highlight w:val="none"/>
        </w:rPr>
        <w:t>2015</w:t>
      </w:r>
      <w:r>
        <w:rPr>
          <w:rFonts w:hint="eastAsia"/>
          <w:color w:val="000000"/>
          <w:sz w:val="24"/>
          <w:highlight w:val="none"/>
        </w:rPr>
        <w:t>〕</w:t>
      </w:r>
      <w:r>
        <w:rPr>
          <w:color w:val="000000"/>
          <w:sz w:val="24"/>
          <w:highlight w:val="none"/>
        </w:rPr>
        <w:t xml:space="preserve">309 </w:t>
      </w:r>
      <w:r>
        <w:rPr>
          <w:rFonts w:hint="eastAsia"/>
          <w:color w:val="000000"/>
          <w:sz w:val="24"/>
          <w:highlight w:val="none"/>
        </w:rPr>
        <w:t>号）等国务院批准的中小企业划分标准执行</w:t>
      </w:r>
      <w:r>
        <w:rPr>
          <w:color w:val="000000"/>
          <w:sz w:val="24"/>
          <w:highlight w:val="none"/>
        </w:rPr>
        <w:t>。</w:t>
      </w:r>
    </w:p>
    <w:p w14:paraId="0EBB7AC4">
      <w:pPr>
        <w:numPr>
          <w:ilvl w:val="3"/>
          <w:numId w:val="9"/>
        </w:numPr>
        <w:tabs>
          <w:tab w:val="left" w:pos="1980"/>
          <w:tab w:val="left" w:pos="2035"/>
          <w:tab w:val="left" w:pos="2885"/>
          <w:tab w:val="left" w:pos="2977"/>
          <w:tab w:val="clear" w:pos="900"/>
        </w:tabs>
        <w:snapToGrid w:val="0"/>
        <w:spacing w:line="360" w:lineRule="auto"/>
        <w:ind w:left="2885"/>
        <w:rPr>
          <w:color w:val="000000"/>
          <w:sz w:val="24"/>
          <w:highlight w:val="none"/>
        </w:rPr>
      </w:pPr>
      <w:r>
        <w:rPr>
          <w:sz w:val="24"/>
          <w:highlight w:val="none"/>
        </w:rPr>
        <w:t>供应商提供的货物、工程或者服务符合下列情形的，享受中小企业扶持政策：</w:t>
      </w:r>
    </w:p>
    <w:p w14:paraId="4D1D199C">
      <w:pPr>
        <w:tabs>
          <w:tab w:val="left" w:pos="1980"/>
        </w:tabs>
        <w:snapToGrid w:val="0"/>
        <w:spacing w:line="360" w:lineRule="auto"/>
        <w:ind w:left="2835" w:leftChars="1350"/>
        <w:rPr>
          <w:color w:val="000000"/>
          <w:sz w:val="24"/>
          <w:highlight w:val="none"/>
        </w:rPr>
      </w:pPr>
      <w:r>
        <w:rPr>
          <w:color w:val="000000"/>
          <w:sz w:val="24"/>
          <w:highlight w:val="none"/>
        </w:rPr>
        <w:t>（1）在货物采购项目中，货物由中小企业制造，即货物由中小企业生产且使用该中小企业商号或者注册商标；</w:t>
      </w:r>
    </w:p>
    <w:p w14:paraId="543E8B55">
      <w:pPr>
        <w:tabs>
          <w:tab w:val="left" w:pos="1980"/>
        </w:tabs>
        <w:snapToGrid w:val="0"/>
        <w:spacing w:line="360" w:lineRule="auto"/>
        <w:ind w:left="2835" w:leftChars="1350"/>
        <w:rPr>
          <w:color w:val="000000"/>
          <w:sz w:val="24"/>
          <w:highlight w:val="none"/>
        </w:rPr>
      </w:pPr>
      <w:r>
        <w:rPr>
          <w:color w:val="000000"/>
          <w:sz w:val="24"/>
          <w:highlight w:val="none"/>
        </w:rPr>
        <w:t>（2）在工程采购项目中，工程由中小企业承建，即工程施工单位为中小企业；</w:t>
      </w:r>
    </w:p>
    <w:p w14:paraId="0C0234FC">
      <w:pPr>
        <w:tabs>
          <w:tab w:val="left" w:pos="1980"/>
        </w:tabs>
        <w:snapToGrid w:val="0"/>
        <w:spacing w:line="360" w:lineRule="auto"/>
        <w:ind w:left="2835" w:leftChars="1350"/>
        <w:rPr>
          <w:color w:val="000000"/>
          <w:sz w:val="24"/>
          <w:highlight w:val="none"/>
        </w:rPr>
      </w:pPr>
      <w:r>
        <w:rPr>
          <w:color w:val="000000"/>
          <w:sz w:val="24"/>
          <w:highlight w:val="none"/>
        </w:rPr>
        <w:t>（3）在服务采购项目中，服务由中小企业承接，即提供服务的人员为中小企业依照《中华人民共和国劳动合同法》订立劳动合同的从业人员。</w:t>
      </w:r>
    </w:p>
    <w:p w14:paraId="021B4E74">
      <w:pPr>
        <w:numPr>
          <w:ilvl w:val="3"/>
          <w:numId w:val="9"/>
        </w:numPr>
        <w:tabs>
          <w:tab w:val="left" w:pos="1980"/>
          <w:tab w:val="left" w:pos="2035"/>
          <w:tab w:val="left" w:pos="2885"/>
          <w:tab w:val="left" w:pos="2977"/>
          <w:tab w:val="clear" w:pos="900"/>
        </w:tabs>
        <w:snapToGrid w:val="0"/>
        <w:spacing w:line="360" w:lineRule="auto"/>
        <w:ind w:left="2885"/>
        <w:rPr>
          <w:sz w:val="24"/>
          <w:highlight w:val="none"/>
        </w:rPr>
      </w:pPr>
      <w:r>
        <w:rPr>
          <w:sz w:val="24"/>
          <w:highlight w:val="none"/>
        </w:rPr>
        <w:t>在货物采购项目中，供应商提供的货物既有中小企业制造货物，也有大型企业制造货物的，不享受中小企业扶持政策。</w:t>
      </w:r>
    </w:p>
    <w:p w14:paraId="4C04C311">
      <w:pPr>
        <w:numPr>
          <w:ilvl w:val="3"/>
          <w:numId w:val="9"/>
        </w:numPr>
        <w:tabs>
          <w:tab w:val="left" w:pos="1980"/>
          <w:tab w:val="left" w:pos="2035"/>
          <w:tab w:val="left" w:pos="2885"/>
          <w:tab w:val="left" w:pos="2977"/>
          <w:tab w:val="clear" w:pos="900"/>
        </w:tabs>
        <w:snapToGrid w:val="0"/>
        <w:spacing w:line="360" w:lineRule="auto"/>
        <w:ind w:left="2885"/>
        <w:rPr>
          <w:sz w:val="24"/>
          <w:highlight w:val="none"/>
        </w:rPr>
      </w:pPr>
      <w:r>
        <w:rPr>
          <w:color w:val="000000"/>
          <w:sz w:val="24"/>
          <w:highlight w:val="none"/>
        </w:rPr>
        <w:t>以联合体形式参加政府采购活动，联合体各方均为中小企业的，联合体视同中小企业。其中，联合体各方均为小微企业的，联合体视同小微企业。</w:t>
      </w:r>
    </w:p>
    <w:p w14:paraId="224B4659">
      <w:pPr>
        <w:numPr>
          <w:ilvl w:val="2"/>
          <w:numId w:val="8"/>
        </w:numPr>
        <w:snapToGrid w:val="0"/>
        <w:spacing w:line="360" w:lineRule="auto"/>
        <w:rPr>
          <w:sz w:val="24"/>
          <w:highlight w:val="none"/>
        </w:rPr>
      </w:pPr>
      <w:r>
        <w:rPr>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93C4CB9">
      <w:pPr>
        <w:numPr>
          <w:ilvl w:val="2"/>
          <w:numId w:val="8"/>
        </w:numPr>
        <w:snapToGrid w:val="0"/>
        <w:spacing w:line="360" w:lineRule="auto"/>
        <w:rPr>
          <w:sz w:val="24"/>
          <w:highlight w:val="none"/>
        </w:rPr>
      </w:pPr>
      <w:r>
        <w:rPr>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132ECEBA">
      <w:pPr>
        <w:pStyle w:val="95"/>
        <w:numPr>
          <w:ilvl w:val="2"/>
          <w:numId w:val="9"/>
        </w:numPr>
        <w:tabs>
          <w:tab w:val="left" w:pos="2035"/>
          <w:tab w:val="left" w:pos="2977"/>
        </w:tabs>
        <w:snapToGrid w:val="0"/>
        <w:spacing w:line="360" w:lineRule="auto"/>
        <w:ind w:firstLineChars="0"/>
        <w:rPr>
          <w:rFonts w:ascii="Times New Roman" w:hAnsi="Times New Roman"/>
          <w:vanish/>
          <w:color w:val="000000"/>
          <w:sz w:val="24"/>
          <w:szCs w:val="24"/>
          <w:highlight w:val="none"/>
        </w:rPr>
      </w:pPr>
    </w:p>
    <w:p w14:paraId="05D0C991">
      <w:pPr>
        <w:pStyle w:val="95"/>
        <w:numPr>
          <w:ilvl w:val="2"/>
          <w:numId w:val="9"/>
        </w:numPr>
        <w:tabs>
          <w:tab w:val="left" w:pos="2035"/>
          <w:tab w:val="left" w:pos="2977"/>
        </w:tabs>
        <w:snapToGrid w:val="0"/>
        <w:spacing w:line="360" w:lineRule="auto"/>
        <w:ind w:firstLineChars="0"/>
        <w:rPr>
          <w:rFonts w:ascii="Times New Roman" w:hAnsi="Times New Roman"/>
          <w:vanish/>
          <w:color w:val="000000"/>
          <w:sz w:val="24"/>
          <w:szCs w:val="24"/>
          <w:highlight w:val="none"/>
        </w:rPr>
      </w:pPr>
    </w:p>
    <w:p w14:paraId="7C284E0B">
      <w:pPr>
        <w:numPr>
          <w:ilvl w:val="3"/>
          <w:numId w:val="9"/>
        </w:numPr>
        <w:tabs>
          <w:tab w:val="left" w:pos="1980"/>
          <w:tab w:val="left" w:pos="2035"/>
          <w:tab w:val="left" w:pos="2885"/>
          <w:tab w:val="left" w:pos="2977"/>
          <w:tab w:val="clear" w:pos="900"/>
        </w:tabs>
        <w:snapToGrid w:val="0"/>
        <w:spacing w:line="360" w:lineRule="auto"/>
        <w:ind w:left="2885"/>
        <w:rPr>
          <w:color w:val="000000"/>
          <w:sz w:val="24"/>
          <w:highlight w:val="none"/>
        </w:rPr>
      </w:pPr>
      <w:r>
        <w:rPr>
          <w:color w:val="000000"/>
          <w:sz w:val="24"/>
          <w:highlight w:val="none"/>
        </w:rPr>
        <w:t>安置的残疾人占本单位在职职工人数的比例不低于25%（含25%），并且安置的残疾人人数不少于10 人（含10 人）；</w:t>
      </w:r>
    </w:p>
    <w:p w14:paraId="04B7F784">
      <w:pPr>
        <w:numPr>
          <w:ilvl w:val="3"/>
          <w:numId w:val="9"/>
        </w:numPr>
        <w:tabs>
          <w:tab w:val="left" w:pos="1980"/>
          <w:tab w:val="left" w:pos="2035"/>
          <w:tab w:val="left" w:pos="2885"/>
          <w:tab w:val="left" w:pos="2977"/>
          <w:tab w:val="clear" w:pos="900"/>
        </w:tabs>
        <w:snapToGrid w:val="0"/>
        <w:spacing w:line="360" w:lineRule="auto"/>
        <w:ind w:left="2885"/>
        <w:rPr>
          <w:color w:val="000000"/>
          <w:sz w:val="24"/>
          <w:highlight w:val="none"/>
        </w:rPr>
      </w:pPr>
      <w:r>
        <w:rPr>
          <w:sz w:val="24"/>
          <w:highlight w:val="none"/>
        </w:rPr>
        <w:t>依法与安置的每位残疾人签订了一年以上（含一年）的劳动合同或服务协议；</w:t>
      </w:r>
    </w:p>
    <w:p w14:paraId="2B369152">
      <w:pPr>
        <w:numPr>
          <w:ilvl w:val="3"/>
          <w:numId w:val="9"/>
        </w:numPr>
        <w:tabs>
          <w:tab w:val="left" w:pos="1980"/>
          <w:tab w:val="left" w:pos="2035"/>
          <w:tab w:val="left" w:pos="2885"/>
          <w:tab w:val="left" w:pos="2977"/>
          <w:tab w:val="clear" w:pos="900"/>
        </w:tabs>
        <w:snapToGrid w:val="0"/>
        <w:spacing w:line="360" w:lineRule="auto"/>
        <w:ind w:left="2885"/>
        <w:rPr>
          <w:color w:val="000000"/>
          <w:sz w:val="24"/>
          <w:highlight w:val="none"/>
        </w:rPr>
      </w:pPr>
      <w:r>
        <w:rPr>
          <w:sz w:val="24"/>
          <w:highlight w:val="none"/>
        </w:rPr>
        <w:t>为安置的每位残疾人按月足额缴纳了基本养老保险、基本医疗保险、失业保险、工伤保险和生育保险等社会保险费；</w:t>
      </w:r>
    </w:p>
    <w:p w14:paraId="7267699E">
      <w:pPr>
        <w:numPr>
          <w:ilvl w:val="3"/>
          <w:numId w:val="9"/>
        </w:numPr>
        <w:tabs>
          <w:tab w:val="left" w:pos="1980"/>
          <w:tab w:val="left" w:pos="2035"/>
          <w:tab w:val="left" w:pos="2885"/>
          <w:tab w:val="left" w:pos="2977"/>
          <w:tab w:val="clear" w:pos="900"/>
        </w:tabs>
        <w:snapToGrid w:val="0"/>
        <w:spacing w:line="360" w:lineRule="auto"/>
        <w:ind w:left="2885"/>
        <w:rPr>
          <w:color w:val="000000"/>
          <w:sz w:val="24"/>
          <w:highlight w:val="none"/>
        </w:rPr>
      </w:pPr>
      <w:r>
        <w:rPr>
          <w:sz w:val="24"/>
          <w:highlight w:val="none"/>
        </w:rPr>
        <w:t>通过银行等金融机构向安置的每位残疾人，按月支付了不低于单位所在区县适用的经省级人民政府批准的月最低工资标准的工资；</w:t>
      </w:r>
    </w:p>
    <w:p w14:paraId="519A6428">
      <w:pPr>
        <w:numPr>
          <w:ilvl w:val="3"/>
          <w:numId w:val="9"/>
        </w:numPr>
        <w:tabs>
          <w:tab w:val="left" w:pos="1980"/>
          <w:tab w:val="left" w:pos="2035"/>
          <w:tab w:val="left" w:pos="2885"/>
          <w:tab w:val="left" w:pos="2977"/>
          <w:tab w:val="clear" w:pos="900"/>
        </w:tabs>
        <w:snapToGrid w:val="0"/>
        <w:spacing w:line="360" w:lineRule="auto"/>
        <w:ind w:left="2885"/>
        <w:rPr>
          <w:color w:val="000000"/>
          <w:sz w:val="24"/>
          <w:highlight w:val="none"/>
        </w:rPr>
      </w:pPr>
      <w:r>
        <w:rPr>
          <w:sz w:val="24"/>
          <w:highlight w:val="none"/>
        </w:rPr>
        <w:t>提供本单位制造的货物、承担的工程或者服务（以下简称产品），或者提供其他残疾人福利性单位制造的货物（不包括使用非残疾人福利性单位注册商标的货物）；</w:t>
      </w:r>
    </w:p>
    <w:p w14:paraId="1C8CFB6E">
      <w:pPr>
        <w:numPr>
          <w:ilvl w:val="3"/>
          <w:numId w:val="9"/>
        </w:numPr>
        <w:tabs>
          <w:tab w:val="left" w:pos="1980"/>
          <w:tab w:val="left" w:pos="2035"/>
          <w:tab w:val="left" w:pos="2885"/>
          <w:tab w:val="left" w:pos="2977"/>
          <w:tab w:val="clear" w:pos="900"/>
        </w:tabs>
        <w:snapToGrid w:val="0"/>
        <w:spacing w:line="360" w:lineRule="auto"/>
        <w:ind w:left="2885"/>
        <w:rPr>
          <w:color w:val="000000"/>
          <w:sz w:val="24"/>
          <w:highlight w:val="none"/>
        </w:rPr>
      </w:pPr>
      <w:r>
        <w:rPr>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1FB3A229">
      <w:pPr>
        <w:numPr>
          <w:ilvl w:val="2"/>
          <w:numId w:val="8"/>
        </w:numPr>
        <w:snapToGrid w:val="0"/>
        <w:spacing w:line="360" w:lineRule="auto"/>
        <w:rPr>
          <w:sz w:val="24"/>
          <w:highlight w:val="none"/>
        </w:rPr>
      </w:pPr>
      <w:r>
        <w:rPr>
          <w:sz w:val="24"/>
          <w:highlight w:val="none"/>
        </w:rPr>
        <w:t>本项目是否专门面向中小企业预留采购份额见第一章《</w:t>
      </w:r>
      <w:r>
        <w:rPr>
          <w:rFonts w:hint="eastAsia"/>
          <w:sz w:val="24"/>
          <w:highlight w:val="none"/>
        </w:rPr>
        <w:t>征集</w:t>
      </w:r>
      <w:r>
        <w:rPr>
          <w:sz w:val="24"/>
          <w:highlight w:val="none"/>
        </w:rPr>
        <w:t>邀请》。</w:t>
      </w:r>
    </w:p>
    <w:p w14:paraId="7E7573DC">
      <w:pPr>
        <w:numPr>
          <w:ilvl w:val="2"/>
          <w:numId w:val="8"/>
        </w:numPr>
        <w:snapToGrid w:val="0"/>
        <w:spacing w:line="360" w:lineRule="auto"/>
        <w:rPr>
          <w:sz w:val="24"/>
          <w:highlight w:val="none"/>
        </w:rPr>
      </w:pPr>
      <w:r>
        <w:rPr>
          <w:sz w:val="24"/>
          <w:highlight w:val="none"/>
        </w:rPr>
        <w:t>采购标的对应的中小企业划分标准所属行业见《</w:t>
      </w:r>
      <w:r>
        <w:rPr>
          <w:rFonts w:hint="eastAsia"/>
          <w:sz w:val="24"/>
          <w:highlight w:val="none"/>
        </w:rPr>
        <w:t>供应商</w:t>
      </w:r>
      <w:r>
        <w:rPr>
          <w:sz w:val="24"/>
          <w:highlight w:val="none"/>
        </w:rPr>
        <w:t>须知资料表》。</w:t>
      </w:r>
    </w:p>
    <w:p w14:paraId="7AAEF4C2">
      <w:pPr>
        <w:numPr>
          <w:ilvl w:val="2"/>
          <w:numId w:val="8"/>
        </w:numPr>
        <w:snapToGrid w:val="0"/>
        <w:spacing w:line="360" w:lineRule="auto"/>
        <w:rPr>
          <w:sz w:val="24"/>
          <w:highlight w:val="none"/>
        </w:rPr>
      </w:pPr>
      <w:r>
        <w:rPr>
          <w:sz w:val="24"/>
          <w:highlight w:val="none"/>
        </w:rPr>
        <w:t>小微企业价格评审优惠的政策调整：见第四章《评审程序、评审方法和评审标准》。</w:t>
      </w:r>
    </w:p>
    <w:p w14:paraId="49616C03">
      <w:pPr>
        <w:numPr>
          <w:ilvl w:val="1"/>
          <w:numId w:val="8"/>
        </w:numPr>
        <w:tabs>
          <w:tab w:val="left" w:pos="1080"/>
          <w:tab w:val="left" w:pos="2014"/>
        </w:tabs>
        <w:snapToGrid w:val="0"/>
        <w:spacing w:line="360" w:lineRule="auto"/>
        <w:ind w:left="1080" w:hanging="720"/>
        <w:rPr>
          <w:sz w:val="24"/>
          <w:highlight w:val="none"/>
        </w:rPr>
      </w:pPr>
      <w:r>
        <w:rPr>
          <w:sz w:val="24"/>
          <w:highlight w:val="none"/>
        </w:rPr>
        <w:t>政府采购节能产品、环境标志产品</w:t>
      </w:r>
    </w:p>
    <w:p w14:paraId="3CDA6EC5">
      <w:pPr>
        <w:numPr>
          <w:ilvl w:val="2"/>
          <w:numId w:val="8"/>
        </w:numPr>
        <w:snapToGrid w:val="0"/>
        <w:spacing w:line="360" w:lineRule="auto"/>
        <w:rPr>
          <w:sz w:val="24"/>
          <w:highlight w:val="none"/>
        </w:rPr>
      </w:pPr>
      <w:r>
        <w:rPr>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459047F4">
      <w:pPr>
        <w:numPr>
          <w:ilvl w:val="2"/>
          <w:numId w:val="8"/>
        </w:numPr>
        <w:snapToGrid w:val="0"/>
        <w:spacing w:line="360" w:lineRule="auto"/>
        <w:rPr>
          <w:sz w:val="24"/>
          <w:highlight w:val="none"/>
        </w:rPr>
      </w:pPr>
      <w:r>
        <w:rPr>
          <w:rFonts w:hint="eastAsia"/>
          <w:sz w:val="24"/>
          <w:highlight w:val="none"/>
        </w:rPr>
        <w:t>征集人</w:t>
      </w:r>
      <w:r>
        <w:rPr>
          <w:sz w:val="24"/>
          <w:highlight w:val="none"/>
        </w:rPr>
        <w:t>拟采购的产品属于品目清单范围的，</w:t>
      </w:r>
      <w:r>
        <w:rPr>
          <w:rFonts w:hint="eastAsia"/>
          <w:sz w:val="24"/>
          <w:highlight w:val="none"/>
        </w:rPr>
        <w:t>征集人</w:t>
      </w:r>
      <w:r>
        <w:rPr>
          <w:sz w:val="24"/>
          <w:highlight w:val="none"/>
        </w:rPr>
        <w:t xml:space="preserve">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1988A40A">
      <w:pPr>
        <w:numPr>
          <w:ilvl w:val="2"/>
          <w:numId w:val="8"/>
        </w:numPr>
        <w:snapToGrid w:val="0"/>
        <w:spacing w:line="360" w:lineRule="auto"/>
        <w:rPr>
          <w:sz w:val="24"/>
          <w:highlight w:val="none"/>
        </w:rPr>
      </w:pPr>
      <w:r>
        <w:rPr>
          <w:sz w:val="24"/>
          <w:highlight w:val="none"/>
        </w:rPr>
        <w:t>如本项目采购产品属于实施政府强制采购品目清单范围的节能产品，则供应商所报产品必须获得国家确定的认证机构出具的、处于有效期之内的节能产品认证证书，</w:t>
      </w:r>
      <w:r>
        <w:rPr>
          <w:kern w:val="0"/>
          <w:sz w:val="24"/>
          <w:highlight w:val="none"/>
        </w:rPr>
        <w:t>否则</w:t>
      </w:r>
      <w:r>
        <w:rPr>
          <w:b/>
          <w:kern w:val="0"/>
          <w:sz w:val="24"/>
          <w:highlight w:val="none"/>
        </w:rPr>
        <w:t>响应无效</w:t>
      </w:r>
      <w:r>
        <w:rPr>
          <w:sz w:val="24"/>
          <w:highlight w:val="none"/>
        </w:rPr>
        <w:t>；</w:t>
      </w:r>
    </w:p>
    <w:p w14:paraId="61CAA71D">
      <w:pPr>
        <w:numPr>
          <w:ilvl w:val="2"/>
          <w:numId w:val="8"/>
        </w:numPr>
        <w:snapToGrid w:val="0"/>
        <w:spacing w:line="360" w:lineRule="auto"/>
        <w:rPr>
          <w:sz w:val="24"/>
          <w:highlight w:val="none"/>
        </w:rPr>
      </w:pPr>
      <w:r>
        <w:rPr>
          <w:sz w:val="24"/>
          <w:highlight w:val="none"/>
        </w:rPr>
        <w:t>非政府强制采购的节能产品或环境标志产品，依据品目清单和认证证书实施政府优先采购。优先采购的具体规定见第四章《评审程序、评审方法和评审标准》（如涉及）。</w:t>
      </w:r>
    </w:p>
    <w:p w14:paraId="726BE438">
      <w:pPr>
        <w:numPr>
          <w:ilvl w:val="1"/>
          <w:numId w:val="8"/>
        </w:numPr>
        <w:tabs>
          <w:tab w:val="left" w:pos="1080"/>
          <w:tab w:val="left" w:pos="2014"/>
        </w:tabs>
        <w:snapToGrid w:val="0"/>
        <w:spacing w:line="360" w:lineRule="auto"/>
        <w:ind w:left="1080" w:hanging="720"/>
        <w:rPr>
          <w:sz w:val="24"/>
          <w:highlight w:val="none"/>
        </w:rPr>
      </w:pPr>
      <w:r>
        <w:rPr>
          <w:sz w:val="24"/>
          <w:highlight w:val="none"/>
        </w:rPr>
        <w:t>正版软件</w:t>
      </w:r>
    </w:p>
    <w:p w14:paraId="1DF55018">
      <w:pPr>
        <w:numPr>
          <w:ilvl w:val="2"/>
          <w:numId w:val="8"/>
        </w:numPr>
        <w:snapToGrid w:val="0"/>
        <w:spacing w:line="360" w:lineRule="auto"/>
        <w:rPr>
          <w:sz w:val="24"/>
          <w:highlight w:val="none"/>
        </w:rPr>
      </w:pPr>
      <w:r>
        <w:rPr>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503B28C9">
      <w:pPr>
        <w:numPr>
          <w:ilvl w:val="1"/>
          <w:numId w:val="8"/>
        </w:numPr>
        <w:tabs>
          <w:tab w:val="left" w:pos="1080"/>
          <w:tab w:val="left" w:pos="2014"/>
        </w:tabs>
        <w:snapToGrid w:val="0"/>
        <w:spacing w:line="360" w:lineRule="auto"/>
        <w:ind w:left="1080" w:hanging="720"/>
        <w:rPr>
          <w:sz w:val="24"/>
          <w:highlight w:val="none"/>
        </w:rPr>
      </w:pPr>
      <w:r>
        <w:rPr>
          <w:sz w:val="24"/>
          <w:highlight w:val="none"/>
        </w:rPr>
        <w:t>网络安全专用产品</w:t>
      </w:r>
    </w:p>
    <w:p w14:paraId="0FAD2491">
      <w:pPr>
        <w:numPr>
          <w:ilvl w:val="2"/>
          <w:numId w:val="8"/>
        </w:numPr>
        <w:tabs>
          <w:tab w:val="left" w:pos="900"/>
          <w:tab w:val="left" w:pos="2014"/>
        </w:tabs>
        <w:snapToGrid w:val="0"/>
        <w:spacing w:line="360" w:lineRule="auto"/>
        <w:rPr>
          <w:sz w:val="24"/>
          <w:highlight w:val="none"/>
        </w:rPr>
      </w:pPr>
      <w:r>
        <w:rPr>
          <w:rFonts w:hint="eastAsia"/>
          <w:sz w:val="24"/>
          <w:highlight w:val="none"/>
        </w:rPr>
        <w:t>根据《关于调整网络安全专用产品安全管理有关事项的公告》（2023年第1号），</w:t>
      </w:r>
      <w:r>
        <w:rPr>
          <w:sz w:val="24"/>
          <w:highlight w:val="none"/>
        </w:rPr>
        <w:t>所</w:t>
      </w:r>
      <w:r>
        <w:rPr>
          <w:rFonts w:hint="eastAsia"/>
          <w:sz w:val="24"/>
          <w:highlight w:val="none"/>
        </w:rPr>
        <w:t>提供</w:t>
      </w:r>
      <w:r>
        <w:rPr>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highlight w:val="none"/>
        </w:rPr>
        <w:t>。</w:t>
      </w:r>
    </w:p>
    <w:p w14:paraId="0A37EA21">
      <w:pPr>
        <w:numPr>
          <w:ilvl w:val="1"/>
          <w:numId w:val="8"/>
        </w:numPr>
        <w:tabs>
          <w:tab w:val="left" w:pos="1080"/>
          <w:tab w:val="left" w:pos="2014"/>
        </w:tabs>
        <w:snapToGrid w:val="0"/>
        <w:spacing w:line="360" w:lineRule="auto"/>
        <w:ind w:left="1080" w:hanging="720"/>
        <w:rPr>
          <w:sz w:val="24"/>
          <w:highlight w:val="none"/>
        </w:rPr>
      </w:pPr>
      <w:r>
        <w:rPr>
          <w:sz w:val="24"/>
          <w:highlight w:val="none"/>
        </w:rPr>
        <w:t>推广使用低挥发性有机化合物（VOCs）</w:t>
      </w:r>
    </w:p>
    <w:p w14:paraId="651F8D0C">
      <w:pPr>
        <w:numPr>
          <w:ilvl w:val="2"/>
          <w:numId w:val="8"/>
        </w:numPr>
        <w:tabs>
          <w:tab w:val="left" w:pos="2014"/>
        </w:tabs>
        <w:snapToGrid w:val="0"/>
        <w:spacing w:line="360" w:lineRule="auto"/>
        <w:rPr>
          <w:sz w:val="24"/>
          <w:highlight w:val="none"/>
        </w:rPr>
      </w:pPr>
      <w:r>
        <w:rPr>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highlight w:val="none"/>
        </w:rPr>
        <w:t>否则</w:t>
      </w:r>
      <w:r>
        <w:rPr>
          <w:b/>
          <w:kern w:val="0"/>
          <w:sz w:val="24"/>
          <w:highlight w:val="none"/>
        </w:rPr>
        <w:t>响应无效</w:t>
      </w:r>
      <w:r>
        <w:rPr>
          <w:sz w:val="24"/>
          <w:highlight w:val="none"/>
        </w:rPr>
        <w:t>；属于推荐性标准的，优先采购，具体见第四章《评审程序、评审方法和评审标准》。</w:t>
      </w:r>
    </w:p>
    <w:p w14:paraId="10219D16">
      <w:pPr>
        <w:numPr>
          <w:ilvl w:val="1"/>
          <w:numId w:val="8"/>
        </w:numPr>
        <w:tabs>
          <w:tab w:val="left" w:pos="1080"/>
          <w:tab w:val="left" w:pos="2014"/>
        </w:tabs>
        <w:snapToGrid w:val="0"/>
        <w:spacing w:line="360" w:lineRule="auto"/>
        <w:ind w:left="1080" w:hanging="720"/>
        <w:rPr>
          <w:sz w:val="24"/>
          <w:highlight w:val="none"/>
        </w:rPr>
      </w:pPr>
      <w:r>
        <w:rPr>
          <w:sz w:val="24"/>
          <w:highlight w:val="none"/>
        </w:rPr>
        <w:t>采购需求标准</w:t>
      </w:r>
    </w:p>
    <w:p w14:paraId="0E1F5AD5">
      <w:pPr>
        <w:numPr>
          <w:ilvl w:val="2"/>
          <w:numId w:val="8"/>
        </w:numPr>
        <w:tabs>
          <w:tab w:val="left" w:pos="2014"/>
        </w:tabs>
        <w:snapToGrid w:val="0"/>
        <w:spacing w:line="360" w:lineRule="auto"/>
        <w:rPr>
          <w:sz w:val="24"/>
          <w:highlight w:val="none"/>
        </w:rPr>
      </w:pPr>
      <w:r>
        <w:rPr>
          <w:sz w:val="24"/>
          <w:highlight w:val="none"/>
        </w:rPr>
        <w:t>商品包装、快递包装政府采购需求标准（试行）</w:t>
      </w:r>
    </w:p>
    <w:p w14:paraId="20F79715">
      <w:pPr>
        <w:tabs>
          <w:tab w:val="left" w:pos="900"/>
          <w:tab w:val="left" w:pos="1980"/>
        </w:tabs>
        <w:snapToGrid w:val="0"/>
        <w:spacing w:line="360" w:lineRule="auto"/>
        <w:ind w:left="1985"/>
        <w:rPr>
          <w:sz w:val="24"/>
          <w:highlight w:val="none"/>
        </w:rPr>
      </w:pPr>
      <w:r>
        <w:rPr>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425D6E2B">
      <w:pPr>
        <w:numPr>
          <w:ilvl w:val="2"/>
          <w:numId w:val="8"/>
        </w:numPr>
        <w:tabs>
          <w:tab w:val="left" w:pos="2014"/>
        </w:tabs>
        <w:snapToGrid w:val="0"/>
        <w:spacing w:line="360" w:lineRule="auto"/>
        <w:rPr>
          <w:sz w:val="24"/>
          <w:highlight w:val="none"/>
        </w:rPr>
      </w:pPr>
      <w:bookmarkStart w:id="176" w:name="_Hlk164953935"/>
      <w:r>
        <w:rPr>
          <w:sz w:val="24"/>
          <w:highlight w:val="none"/>
        </w:rPr>
        <w:t xml:space="preserve">其他政府采购需求标准 </w:t>
      </w:r>
    </w:p>
    <w:bookmarkEnd w:id="176"/>
    <w:p w14:paraId="0F8D10CF">
      <w:pPr>
        <w:tabs>
          <w:tab w:val="left" w:pos="900"/>
          <w:tab w:val="left" w:pos="1980"/>
        </w:tabs>
        <w:snapToGrid w:val="0"/>
        <w:spacing w:line="360" w:lineRule="auto"/>
        <w:ind w:left="1980"/>
        <w:rPr>
          <w:sz w:val="24"/>
          <w:highlight w:val="none"/>
        </w:rPr>
      </w:pPr>
      <w:bookmarkStart w:id="177" w:name="_Hlk164955325"/>
      <w:r>
        <w:rPr>
          <w:sz w:val="24"/>
          <w:highlight w:val="none"/>
        </w:rPr>
        <w:t>为贯彻落实《深化政府采购制度改革方案》有关要求，推动政府采购需求标准建设</w:t>
      </w:r>
      <w:bookmarkEnd w:id="177"/>
      <w:r>
        <w:rPr>
          <w:sz w:val="24"/>
          <w:highlight w:val="none"/>
        </w:rPr>
        <w:t>，财政部门会同有关部门制定发布的其他政府采购需求标准，本项目如涉及，则具体要求见第五章《采购需求》。</w:t>
      </w:r>
    </w:p>
    <w:p w14:paraId="7BEA76FC">
      <w:pPr>
        <w:numPr>
          <w:ilvl w:val="0"/>
          <w:numId w:val="8"/>
        </w:numPr>
        <w:tabs>
          <w:tab w:val="left" w:pos="360"/>
        </w:tabs>
        <w:snapToGrid w:val="0"/>
        <w:spacing w:line="360" w:lineRule="auto"/>
        <w:ind w:left="357" w:hanging="357"/>
        <w:outlineLvl w:val="1"/>
        <w:rPr>
          <w:sz w:val="24"/>
          <w:highlight w:val="none"/>
        </w:rPr>
      </w:pPr>
      <w:r>
        <w:rPr>
          <w:sz w:val="24"/>
          <w:highlight w:val="none"/>
        </w:rPr>
        <w:t>响应费用</w:t>
      </w:r>
    </w:p>
    <w:p w14:paraId="70EEACE4">
      <w:pPr>
        <w:numPr>
          <w:ilvl w:val="1"/>
          <w:numId w:val="8"/>
        </w:numPr>
        <w:tabs>
          <w:tab w:val="left" w:pos="1080"/>
          <w:tab w:val="left" w:pos="2014"/>
        </w:tabs>
        <w:snapToGrid w:val="0"/>
        <w:spacing w:line="360" w:lineRule="auto"/>
        <w:ind w:left="1080" w:hanging="720"/>
        <w:rPr>
          <w:sz w:val="24"/>
          <w:highlight w:val="none"/>
        </w:rPr>
      </w:pPr>
      <w:bookmarkStart w:id="178" w:name="OLE_LINK12"/>
      <w:bookmarkStart w:id="179" w:name="OLE_LINK11"/>
      <w:r>
        <w:rPr>
          <w:rFonts w:hint="eastAsia"/>
          <w:sz w:val="24"/>
          <w:highlight w:val="none"/>
        </w:rPr>
        <w:t>供应商</w:t>
      </w:r>
      <w:bookmarkEnd w:id="178"/>
      <w:bookmarkEnd w:id="179"/>
      <w:r>
        <w:rPr>
          <w:sz w:val="24"/>
          <w:highlight w:val="none"/>
        </w:rPr>
        <w:t>应自行承担所有与准备和参加响应有关的费用，无论响应的结果如何，</w:t>
      </w:r>
      <w:r>
        <w:rPr>
          <w:rFonts w:hint="eastAsia"/>
          <w:sz w:val="24"/>
          <w:highlight w:val="none"/>
        </w:rPr>
        <w:t>征集人</w:t>
      </w:r>
      <w:r>
        <w:rPr>
          <w:sz w:val="24"/>
          <w:highlight w:val="none"/>
        </w:rPr>
        <w:t>在任何情况下均无承担这些费用的义务和责任。</w:t>
      </w:r>
    </w:p>
    <w:p w14:paraId="2B7EE6F3">
      <w:pPr>
        <w:tabs>
          <w:tab w:val="left" w:pos="1080"/>
        </w:tabs>
        <w:snapToGrid w:val="0"/>
        <w:spacing w:line="360" w:lineRule="auto"/>
        <w:ind w:left="1080"/>
        <w:rPr>
          <w:sz w:val="28"/>
          <w:highlight w:val="none"/>
        </w:rPr>
      </w:pPr>
      <w:bookmarkStart w:id="180" w:name="_1.8_计量单位"/>
      <w:bookmarkEnd w:id="180"/>
    </w:p>
    <w:p w14:paraId="37BD20C7">
      <w:pPr>
        <w:pStyle w:val="3"/>
        <w:spacing w:before="0" w:line="360" w:lineRule="auto"/>
        <w:rPr>
          <w:rFonts w:ascii="Times New Roman" w:hAnsi="Times New Roman" w:eastAsia="宋体"/>
          <w:sz w:val="28"/>
          <w:highlight w:val="none"/>
        </w:rPr>
      </w:pPr>
      <w:r>
        <w:rPr>
          <w:rFonts w:ascii="Times New Roman" w:hAnsi="Times New Roman" w:eastAsia="宋体"/>
          <w:sz w:val="28"/>
          <w:highlight w:val="none"/>
        </w:rPr>
        <w:t xml:space="preserve">二   </w:t>
      </w:r>
      <w:r>
        <w:rPr>
          <w:rFonts w:hint="eastAsia" w:ascii="Times New Roman" w:hAnsi="Times New Roman" w:eastAsia="宋体"/>
          <w:sz w:val="28"/>
          <w:highlight w:val="none"/>
        </w:rPr>
        <w:t>征集</w:t>
      </w:r>
      <w:r>
        <w:rPr>
          <w:rFonts w:ascii="Times New Roman" w:hAnsi="Times New Roman" w:eastAsia="宋体"/>
          <w:sz w:val="28"/>
          <w:highlight w:val="none"/>
        </w:rPr>
        <w:t>文件</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14:paraId="6642367F">
      <w:pPr>
        <w:numPr>
          <w:ilvl w:val="0"/>
          <w:numId w:val="8"/>
        </w:numPr>
        <w:tabs>
          <w:tab w:val="left" w:pos="360"/>
        </w:tabs>
        <w:snapToGrid w:val="0"/>
        <w:spacing w:line="360" w:lineRule="auto"/>
        <w:ind w:left="357" w:hanging="357"/>
        <w:outlineLvl w:val="1"/>
        <w:rPr>
          <w:sz w:val="24"/>
          <w:highlight w:val="none"/>
        </w:rPr>
      </w:pPr>
      <w:bookmarkStart w:id="181" w:name="_Toc226309767"/>
      <w:bookmarkStart w:id="182" w:name="_Toc149720816"/>
      <w:bookmarkStart w:id="183" w:name="_Toc150774728"/>
      <w:bookmarkStart w:id="184" w:name="_Toc127161437"/>
      <w:bookmarkStart w:id="185" w:name="_Toc226965796"/>
      <w:bookmarkStart w:id="186" w:name="_Toc164229364"/>
      <w:bookmarkStart w:id="187" w:name="_Toc264969213"/>
      <w:bookmarkStart w:id="188" w:name="_Toc151193765"/>
      <w:bookmarkStart w:id="189" w:name="_Toc164608637"/>
      <w:bookmarkStart w:id="190" w:name="_Toc265228361"/>
      <w:bookmarkStart w:id="191" w:name="_Toc164229218"/>
      <w:bookmarkStart w:id="192" w:name="_Toc151193693"/>
      <w:bookmarkStart w:id="193" w:name="_Toc127151523"/>
      <w:bookmarkStart w:id="194" w:name="_Toc127151724"/>
      <w:bookmarkStart w:id="195" w:name="_Toc151193837"/>
      <w:bookmarkStart w:id="196" w:name="_Toc151193621"/>
      <w:bookmarkStart w:id="197" w:name="_Toc164351617"/>
      <w:bookmarkStart w:id="198" w:name="_Toc195842888"/>
      <w:bookmarkStart w:id="199" w:name="_Toc164608792"/>
      <w:bookmarkStart w:id="200" w:name="_Toc520356147"/>
      <w:bookmarkStart w:id="201" w:name="_Toc305158791"/>
      <w:bookmarkStart w:id="202" w:name="_Toc151193911"/>
      <w:bookmarkStart w:id="203" w:name="_Toc226337219"/>
      <w:bookmarkStart w:id="204" w:name="_Toc150774623"/>
      <w:bookmarkStart w:id="205" w:name="_Toc150480761"/>
      <w:bookmarkStart w:id="206" w:name="_Toc305158865"/>
      <w:bookmarkStart w:id="207" w:name="_Toc142311025"/>
      <w:bookmarkStart w:id="208" w:name="_Toc151190150"/>
      <w:bookmarkStart w:id="209" w:name="_Toc226965713"/>
      <w:bookmarkStart w:id="210" w:name="_Toc150509274"/>
      <w:r>
        <w:rPr>
          <w:rFonts w:hint="eastAsia"/>
          <w:sz w:val="24"/>
          <w:highlight w:val="none"/>
        </w:rPr>
        <w:t>征集</w:t>
      </w:r>
      <w:r>
        <w:rPr>
          <w:sz w:val="24"/>
          <w:highlight w:val="none"/>
        </w:rPr>
        <w:t>文件构</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sz w:val="24"/>
          <w:highlight w:val="none"/>
        </w:rPr>
        <w:t>成</w:t>
      </w:r>
    </w:p>
    <w:p w14:paraId="576A9246">
      <w:pPr>
        <w:numPr>
          <w:ilvl w:val="1"/>
          <w:numId w:val="8"/>
        </w:numPr>
        <w:tabs>
          <w:tab w:val="left" w:pos="1080"/>
          <w:tab w:val="left" w:pos="2014"/>
        </w:tabs>
        <w:snapToGrid w:val="0"/>
        <w:spacing w:line="360" w:lineRule="auto"/>
        <w:ind w:left="1080" w:hanging="720"/>
        <w:rPr>
          <w:sz w:val="24"/>
          <w:highlight w:val="none"/>
        </w:rPr>
      </w:pPr>
      <w:r>
        <w:rPr>
          <w:rFonts w:hint="eastAsia"/>
          <w:sz w:val="24"/>
          <w:highlight w:val="none"/>
        </w:rPr>
        <w:t>征集</w:t>
      </w:r>
      <w:r>
        <w:rPr>
          <w:sz w:val="24"/>
          <w:highlight w:val="none"/>
        </w:rPr>
        <w:t>文件包括以下部分：</w:t>
      </w:r>
    </w:p>
    <w:p w14:paraId="10529A7F">
      <w:pPr>
        <w:numPr>
          <w:ilvl w:val="0"/>
          <w:numId w:val="10"/>
        </w:numPr>
        <w:tabs>
          <w:tab w:val="left" w:pos="1980"/>
          <w:tab w:val="left" w:pos="2520"/>
        </w:tabs>
        <w:snapToGrid w:val="0"/>
        <w:spacing w:line="360" w:lineRule="auto"/>
        <w:ind w:left="1440" w:firstLine="5"/>
        <w:rPr>
          <w:sz w:val="24"/>
          <w:highlight w:val="none"/>
        </w:rPr>
      </w:pPr>
      <w:r>
        <w:rPr>
          <w:rFonts w:hint="eastAsia"/>
          <w:sz w:val="24"/>
          <w:highlight w:val="none"/>
        </w:rPr>
        <w:t>征集</w:t>
      </w:r>
      <w:r>
        <w:rPr>
          <w:sz w:val="24"/>
          <w:highlight w:val="none"/>
        </w:rPr>
        <w:t>邀请</w:t>
      </w:r>
    </w:p>
    <w:p w14:paraId="6DCEC0A4">
      <w:pPr>
        <w:numPr>
          <w:ilvl w:val="0"/>
          <w:numId w:val="10"/>
        </w:numPr>
        <w:tabs>
          <w:tab w:val="left" w:pos="1980"/>
          <w:tab w:val="left" w:pos="2520"/>
        </w:tabs>
        <w:snapToGrid w:val="0"/>
        <w:spacing w:line="360" w:lineRule="auto"/>
        <w:ind w:left="1440" w:firstLine="5"/>
        <w:rPr>
          <w:sz w:val="24"/>
          <w:highlight w:val="none"/>
        </w:rPr>
      </w:pPr>
      <w:r>
        <w:rPr>
          <w:rFonts w:hint="eastAsia"/>
          <w:sz w:val="24"/>
          <w:highlight w:val="none"/>
        </w:rPr>
        <w:t>供应商</w:t>
      </w:r>
      <w:r>
        <w:rPr>
          <w:sz w:val="24"/>
          <w:highlight w:val="none"/>
        </w:rPr>
        <w:t>须知</w:t>
      </w:r>
    </w:p>
    <w:p w14:paraId="754D347E">
      <w:pPr>
        <w:numPr>
          <w:ilvl w:val="0"/>
          <w:numId w:val="10"/>
        </w:numPr>
        <w:tabs>
          <w:tab w:val="left" w:pos="1980"/>
          <w:tab w:val="left" w:pos="2520"/>
        </w:tabs>
        <w:snapToGrid w:val="0"/>
        <w:spacing w:line="360" w:lineRule="auto"/>
        <w:ind w:left="1440" w:firstLine="5"/>
        <w:rPr>
          <w:sz w:val="24"/>
          <w:highlight w:val="none"/>
        </w:rPr>
      </w:pPr>
      <w:r>
        <w:rPr>
          <w:sz w:val="24"/>
          <w:highlight w:val="none"/>
        </w:rPr>
        <w:t>资格审查</w:t>
      </w:r>
    </w:p>
    <w:p w14:paraId="17BBABE6">
      <w:pPr>
        <w:numPr>
          <w:ilvl w:val="0"/>
          <w:numId w:val="10"/>
        </w:numPr>
        <w:tabs>
          <w:tab w:val="left" w:pos="1980"/>
          <w:tab w:val="left" w:pos="2520"/>
        </w:tabs>
        <w:snapToGrid w:val="0"/>
        <w:spacing w:line="360" w:lineRule="auto"/>
        <w:ind w:left="1440" w:firstLine="5"/>
        <w:rPr>
          <w:sz w:val="24"/>
          <w:highlight w:val="none"/>
        </w:rPr>
      </w:pPr>
      <w:r>
        <w:rPr>
          <w:sz w:val="24"/>
          <w:highlight w:val="none"/>
        </w:rPr>
        <w:t>评审程序、评审方法和评审标准</w:t>
      </w:r>
    </w:p>
    <w:p w14:paraId="2DD09861">
      <w:pPr>
        <w:numPr>
          <w:ilvl w:val="0"/>
          <w:numId w:val="10"/>
        </w:numPr>
        <w:tabs>
          <w:tab w:val="left" w:pos="1980"/>
          <w:tab w:val="left" w:pos="2520"/>
        </w:tabs>
        <w:snapToGrid w:val="0"/>
        <w:spacing w:line="360" w:lineRule="auto"/>
        <w:ind w:left="1440" w:firstLine="5"/>
        <w:rPr>
          <w:sz w:val="24"/>
          <w:highlight w:val="none"/>
        </w:rPr>
      </w:pPr>
      <w:r>
        <w:rPr>
          <w:sz w:val="24"/>
          <w:highlight w:val="none"/>
        </w:rPr>
        <w:t>采购需求</w:t>
      </w:r>
    </w:p>
    <w:p w14:paraId="136FC081">
      <w:pPr>
        <w:numPr>
          <w:ilvl w:val="0"/>
          <w:numId w:val="10"/>
        </w:numPr>
        <w:tabs>
          <w:tab w:val="left" w:pos="1980"/>
          <w:tab w:val="left" w:pos="2520"/>
        </w:tabs>
        <w:snapToGrid w:val="0"/>
        <w:spacing w:line="360" w:lineRule="auto"/>
        <w:ind w:left="1440" w:firstLine="5"/>
        <w:rPr>
          <w:sz w:val="24"/>
          <w:highlight w:val="none"/>
        </w:rPr>
      </w:pPr>
      <w:r>
        <w:rPr>
          <w:sz w:val="24"/>
          <w:highlight w:val="none"/>
        </w:rPr>
        <w:t>拟签订的</w:t>
      </w:r>
      <w:r>
        <w:rPr>
          <w:rFonts w:hint="eastAsia"/>
          <w:sz w:val="24"/>
          <w:highlight w:val="none"/>
        </w:rPr>
        <w:t>框架协议</w:t>
      </w:r>
      <w:r>
        <w:rPr>
          <w:sz w:val="24"/>
          <w:highlight w:val="none"/>
        </w:rPr>
        <w:t>文本</w:t>
      </w:r>
    </w:p>
    <w:p w14:paraId="6D447295">
      <w:pPr>
        <w:numPr>
          <w:ilvl w:val="0"/>
          <w:numId w:val="10"/>
        </w:numPr>
        <w:tabs>
          <w:tab w:val="left" w:pos="1980"/>
          <w:tab w:val="left" w:pos="2520"/>
        </w:tabs>
        <w:snapToGrid w:val="0"/>
        <w:spacing w:line="360" w:lineRule="auto"/>
        <w:ind w:left="1440" w:firstLine="5"/>
        <w:rPr>
          <w:sz w:val="24"/>
          <w:highlight w:val="none"/>
        </w:rPr>
      </w:pPr>
      <w:r>
        <w:rPr>
          <w:rFonts w:hint="eastAsia"/>
          <w:sz w:val="24"/>
          <w:highlight w:val="none"/>
        </w:rPr>
        <w:t>响应</w:t>
      </w:r>
      <w:r>
        <w:rPr>
          <w:sz w:val="24"/>
          <w:highlight w:val="none"/>
        </w:rPr>
        <w:t>文件格式</w:t>
      </w:r>
    </w:p>
    <w:p w14:paraId="6E8A50E0">
      <w:pPr>
        <w:numPr>
          <w:ilvl w:val="1"/>
          <w:numId w:val="8"/>
        </w:numPr>
        <w:tabs>
          <w:tab w:val="left" w:pos="1080"/>
          <w:tab w:val="left" w:pos="2014"/>
        </w:tabs>
        <w:snapToGrid w:val="0"/>
        <w:spacing w:line="360" w:lineRule="auto"/>
        <w:ind w:left="1080" w:hanging="720"/>
        <w:rPr>
          <w:sz w:val="24"/>
          <w:highlight w:val="none"/>
        </w:rPr>
      </w:pPr>
      <w:r>
        <w:rPr>
          <w:rFonts w:hint="eastAsia"/>
          <w:sz w:val="24"/>
          <w:highlight w:val="none"/>
        </w:rPr>
        <w:t>供应商</w:t>
      </w:r>
      <w:r>
        <w:rPr>
          <w:sz w:val="24"/>
          <w:highlight w:val="none"/>
        </w:rPr>
        <w:t>应认真阅读</w:t>
      </w:r>
      <w:r>
        <w:rPr>
          <w:rFonts w:hint="eastAsia"/>
          <w:sz w:val="24"/>
          <w:highlight w:val="none"/>
        </w:rPr>
        <w:t>征集</w:t>
      </w:r>
      <w:r>
        <w:rPr>
          <w:sz w:val="24"/>
          <w:highlight w:val="none"/>
        </w:rPr>
        <w:t>文件的全部内容。</w:t>
      </w:r>
      <w:r>
        <w:rPr>
          <w:rFonts w:hint="eastAsia"/>
          <w:sz w:val="24"/>
          <w:highlight w:val="none"/>
        </w:rPr>
        <w:t>供应商</w:t>
      </w:r>
      <w:r>
        <w:rPr>
          <w:sz w:val="24"/>
          <w:highlight w:val="none"/>
        </w:rPr>
        <w:t>应按照</w:t>
      </w:r>
      <w:r>
        <w:rPr>
          <w:rFonts w:hint="eastAsia"/>
          <w:sz w:val="24"/>
          <w:highlight w:val="none"/>
        </w:rPr>
        <w:t>征集</w:t>
      </w:r>
      <w:r>
        <w:rPr>
          <w:sz w:val="24"/>
          <w:highlight w:val="none"/>
        </w:rPr>
        <w:t>文件要求提交</w:t>
      </w:r>
      <w:r>
        <w:rPr>
          <w:rFonts w:hint="eastAsia"/>
          <w:sz w:val="24"/>
          <w:highlight w:val="none"/>
        </w:rPr>
        <w:t>响应</w:t>
      </w:r>
      <w:r>
        <w:rPr>
          <w:sz w:val="24"/>
          <w:highlight w:val="none"/>
        </w:rPr>
        <w:t>文件并保证所提供的全部资料的真实性，并对</w:t>
      </w:r>
      <w:r>
        <w:rPr>
          <w:rFonts w:hint="eastAsia"/>
          <w:sz w:val="24"/>
          <w:highlight w:val="none"/>
        </w:rPr>
        <w:t>征集</w:t>
      </w:r>
      <w:r>
        <w:rPr>
          <w:sz w:val="24"/>
          <w:highlight w:val="none"/>
        </w:rPr>
        <w:t>文件做出实质性响应，否则</w:t>
      </w:r>
      <w:r>
        <w:rPr>
          <w:b/>
          <w:sz w:val="24"/>
          <w:highlight w:val="none"/>
        </w:rPr>
        <w:t>响应无效</w:t>
      </w:r>
      <w:r>
        <w:rPr>
          <w:sz w:val="24"/>
          <w:highlight w:val="none"/>
        </w:rPr>
        <w:t>。</w:t>
      </w:r>
    </w:p>
    <w:p w14:paraId="028E339A">
      <w:pPr>
        <w:numPr>
          <w:ilvl w:val="0"/>
          <w:numId w:val="8"/>
        </w:numPr>
        <w:tabs>
          <w:tab w:val="left" w:pos="1080"/>
          <w:tab w:val="left" w:pos="2014"/>
        </w:tabs>
        <w:snapToGrid w:val="0"/>
        <w:spacing w:line="360" w:lineRule="auto"/>
        <w:ind w:left="357" w:hanging="357"/>
        <w:outlineLvl w:val="1"/>
        <w:rPr>
          <w:sz w:val="24"/>
          <w:highlight w:val="none"/>
        </w:rPr>
      </w:pPr>
      <w:r>
        <w:rPr>
          <w:sz w:val="24"/>
          <w:highlight w:val="none"/>
        </w:rPr>
        <w:t>对</w:t>
      </w:r>
      <w:r>
        <w:rPr>
          <w:rFonts w:hint="eastAsia"/>
          <w:sz w:val="24"/>
          <w:highlight w:val="none"/>
        </w:rPr>
        <w:t>征集</w:t>
      </w:r>
      <w:r>
        <w:rPr>
          <w:sz w:val="24"/>
          <w:highlight w:val="none"/>
        </w:rPr>
        <w:t>文件的澄清或修改</w:t>
      </w:r>
    </w:p>
    <w:p w14:paraId="24A6634C">
      <w:pPr>
        <w:numPr>
          <w:ilvl w:val="1"/>
          <w:numId w:val="8"/>
        </w:numPr>
        <w:tabs>
          <w:tab w:val="left" w:pos="1080"/>
          <w:tab w:val="left" w:pos="1561"/>
          <w:tab w:val="left" w:pos="2014"/>
        </w:tabs>
        <w:snapToGrid w:val="0"/>
        <w:spacing w:line="360" w:lineRule="auto"/>
        <w:ind w:left="1080" w:hanging="720"/>
        <w:rPr>
          <w:sz w:val="24"/>
          <w:highlight w:val="none"/>
        </w:rPr>
      </w:pPr>
      <w:r>
        <w:rPr>
          <w:rFonts w:hint="eastAsia"/>
          <w:sz w:val="24"/>
          <w:highlight w:val="none"/>
        </w:rPr>
        <w:t>征集人</w:t>
      </w:r>
      <w:r>
        <w:rPr>
          <w:sz w:val="24"/>
          <w:highlight w:val="none"/>
        </w:rPr>
        <w:t>对已发出的</w:t>
      </w:r>
      <w:r>
        <w:rPr>
          <w:rFonts w:hint="eastAsia"/>
          <w:sz w:val="24"/>
          <w:highlight w:val="none"/>
        </w:rPr>
        <w:t>征集</w:t>
      </w:r>
      <w:r>
        <w:rPr>
          <w:sz w:val="24"/>
          <w:highlight w:val="none"/>
        </w:rPr>
        <w:t>文件进行必要澄清或者修改的，将在原公告发布媒体上发布更正公告，并以书面形式通知所有获取</w:t>
      </w:r>
      <w:r>
        <w:rPr>
          <w:rFonts w:hint="eastAsia"/>
          <w:sz w:val="24"/>
          <w:highlight w:val="none"/>
        </w:rPr>
        <w:t>征集</w:t>
      </w:r>
      <w:r>
        <w:rPr>
          <w:sz w:val="24"/>
          <w:highlight w:val="none"/>
        </w:rPr>
        <w:t>文件的潜在</w:t>
      </w:r>
      <w:r>
        <w:rPr>
          <w:rFonts w:hint="eastAsia"/>
          <w:sz w:val="24"/>
          <w:highlight w:val="none"/>
        </w:rPr>
        <w:t>供应商</w:t>
      </w:r>
      <w:r>
        <w:rPr>
          <w:sz w:val="24"/>
          <w:highlight w:val="none"/>
        </w:rPr>
        <w:t>。</w:t>
      </w:r>
    </w:p>
    <w:p w14:paraId="4C5BDC77">
      <w:pPr>
        <w:numPr>
          <w:ilvl w:val="1"/>
          <w:numId w:val="8"/>
        </w:numPr>
        <w:tabs>
          <w:tab w:val="left" w:pos="1080"/>
          <w:tab w:val="left" w:pos="1561"/>
          <w:tab w:val="left" w:pos="2014"/>
        </w:tabs>
        <w:snapToGrid w:val="0"/>
        <w:spacing w:line="360" w:lineRule="auto"/>
        <w:ind w:left="1080" w:hanging="720"/>
        <w:rPr>
          <w:sz w:val="24"/>
          <w:highlight w:val="none"/>
        </w:rPr>
      </w:pPr>
      <w:r>
        <w:rPr>
          <w:sz w:val="24"/>
          <w:highlight w:val="none"/>
        </w:rPr>
        <w:t>上述书面通知，按照获取</w:t>
      </w:r>
      <w:r>
        <w:rPr>
          <w:rFonts w:hint="eastAsia"/>
          <w:sz w:val="24"/>
          <w:highlight w:val="none"/>
        </w:rPr>
        <w:t>征集</w:t>
      </w:r>
      <w:r>
        <w:rPr>
          <w:sz w:val="24"/>
          <w:highlight w:val="none"/>
        </w:rPr>
        <w:t>文件的潜在</w:t>
      </w:r>
      <w:r>
        <w:rPr>
          <w:rFonts w:hint="eastAsia"/>
          <w:sz w:val="24"/>
          <w:highlight w:val="none"/>
        </w:rPr>
        <w:t>供应商</w:t>
      </w:r>
      <w:r>
        <w:rPr>
          <w:sz w:val="24"/>
          <w:highlight w:val="none"/>
        </w:rPr>
        <w:t>提供的联系方式发出，因提供的信息有误导致通知延迟或无法通知的，</w:t>
      </w:r>
      <w:r>
        <w:rPr>
          <w:rFonts w:hint="eastAsia"/>
          <w:sz w:val="24"/>
          <w:highlight w:val="none"/>
        </w:rPr>
        <w:t>征集人</w:t>
      </w:r>
      <w:r>
        <w:rPr>
          <w:sz w:val="24"/>
          <w:highlight w:val="none"/>
        </w:rPr>
        <w:t>不承担责任。</w:t>
      </w:r>
    </w:p>
    <w:p w14:paraId="0ED4405A">
      <w:pPr>
        <w:numPr>
          <w:ilvl w:val="1"/>
          <w:numId w:val="8"/>
        </w:numPr>
        <w:tabs>
          <w:tab w:val="left" w:pos="1080"/>
          <w:tab w:val="left" w:pos="1561"/>
          <w:tab w:val="left" w:pos="2014"/>
        </w:tabs>
        <w:snapToGrid w:val="0"/>
        <w:spacing w:line="360" w:lineRule="auto"/>
        <w:ind w:left="1080" w:hanging="720"/>
        <w:rPr>
          <w:sz w:val="24"/>
          <w:highlight w:val="none"/>
        </w:rPr>
      </w:pPr>
      <w:r>
        <w:rPr>
          <w:sz w:val="24"/>
          <w:highlight w:val="none"/>
        </w:rPr>
        <w:t>澄清或者修改的内容为</w:t>
      </w:r>
      <w:r>
        <w:rPr>
          <w:rFonts w:hint="eastAsia"/>
          <w:sz w:val="24"/>
          <w:highlight w:val="none"/>
        </w:rPr>
        <w:t>征集</w:t>
      </w:r>
      <w:r>
        <w:rPr>
          <w:sz w:val="24"/>
          <w:highlight w:val="none"/>
        </w:rPr>
        <w:t>文件的组成部分，并对所有获取</w:t>
      </w:r>
      <w:r>
        <w:rPr>
          <w:rFonts w:hint="eastAsia"/>
          <w:sz w:val="24"/>
          <w:highlight w:val="none"/>
        </w:rPr>
        <w:t>征集</w:t>
      </w:r>
      <w:r>
        <w:rPr>
          <w:sz w:val="24"/>
          <w:highlight w:val="none"/>
        </w:rPr>
        <w:t>文件的潜在</w:t>
      </w:r>
      <w:r>
        <w:rPr>
          <w:rFonts w:hint="eastAsia"/>
          <w:sz w:val="24"/>
          <w:highlight w:val="none"/>
        </w:rPr>
        <w:t>供应商</w:t>
      </w:r>
      <w:r>
        <w:rPr>
          <w:sz w:val="24"/>
          <w:highlight w:val="none"/>
        </w:rPr>
        <w:t>具有约束力。澄清或者修改的内容可能影响</w:t>
      </w:r>
      <w:r>
        <w:rPr>
          <w:rFonts w:hint="eastAsia"/>
          <w:sz w:val="24"/>
          <w:highlight w:val="none"/>
        </w:rPr>
        <w:t>响应</w:t>
      </w:r>
      <w:r>
        <w:rPr>
          <w:sz w:val="24"/>
          <w:highlight w:val="none"/>
        </w:rPr>
        <w:t>文件编制的，将在响应截止时间至少15日前，以书面形式通知所有获取</w:t>
      </w:r>
      <w:r>
        <w:rPr>
          <w:rFonts w:hint="eastAsia"/>
          <w:sz w:val="24"/>
          <w:highlight w:val="none"/>
        </w:rPr>
        <w:t>征集</w:t>
      </w:r>
      <w:r>
        <w:rPr>
          <w:sz w:val="24"/>
          <w:highlight w:val="none"/>
        </w:rPr>
        <w:t>文件的潜在供应商；不足15日的，将顺延提交</w:t>
      </w:r>
      <w:r>
        <w:rPr>
          <w:rFonts w:hint="eastAsia"/>
          <w:sz w:val="24"/>
          <w:highlight w:val="none"/>
        </w:rPr>
        <w:t>响应</w:t>
      </w:r>
      <w:r>
        <w:rPr>
          <w:sz w:val="24"/>
          <w:highlight w:val="none"/>
        </w:rPr>
        <w:t>文件的截止时间和开启时间。</w:t>
      </w:r>
    </w:p>
    <w:p w14:paraId="3F070157">
      <w:pPr>
        <w:tabs>
          <w:tab w:val="left" w:pos="1080"/>
          <w:tab w:val="left" w:pos="1561"/>
        </w:tabs>
        <w:snapToGrid w:val="0"/>
        <w:spacing w:line="360" w:lineRule="auto"/>
        <w:ind w:left="1080"/>
        <w:rPr>
          <w:sz w:val="28"/>
          <w:highlight w:val="none"/>
        </w:rPr>
      </w:pPr>
      <w:bookmarkStart w:id="211" w:name="_Toc516367020"/>
      <w:bookmarkStart w:id="212" w:name="_Toc151190153"/>
      <w:bookmarkStart w:id="213" w:name="_Toc150774731"/>
      <w:bookmarkStart w:id="214" w:name="_Toc226337222"/>
      <w:bookmarkStart w:id="215" w:name="_Toc264969216"/>
      <w:bookmarkStart w:id="216" w:name="_Toc151193696"/>
      <w:bookmarkStart w:id="217" w:name="_Toc150774626"/>
      <w:bookmarkStart w:id="218" w:name="_Toc151193840"/>
      <w:bookmarkStart w:id="219" w:name="_Toc151193624"/>
      <w:bookmarkStart w:id="220" w:name="_Toc127151526"/>
      <w:bookmarkStart w:id="221" w:name="_Toc151193914"/>
      <w:bookmarkStart w:id="222" w:name="_Toc226965716"/>
      <w:bookmarkStart w:id="223" w:name="_Toc226309770"/>
      <w:bookmarkStart w:id="224" w:name="_Toc151193768"/>
      <w:bookmarkStart w:id="225" w:name="_Toc150480764"/>
      <w:bookmarkStart w:id="226" w:name="_Toc305158794"/>
      <w:bookmarkStart w:id="227" w:name="_Toc265228364"/>
      <w:bookmarkStart w:id="228" w:name="_Toc195842891"/>
      <w:bookmarkStart w:id="229" w:name="_Toc226965799"/>
      <w:bookmarkStart w:id="230" w:name="_Toc520356150"/>
      <w:bookmarkStart w:id="231" w:name="_Toc150509277"/>
      <w:bookmarkStart w:id="232" w:name="_Toc305158868"/>
      <w:bookmarkStart w:id="233" w:name="_Toc142311028"/>
    </w:p>
    <w:p w14:paraId="5A1B3474">
      <w:pPr>
        <w:pStyle w:val="3"/>
        <w:spacing w:before="0" w:line="360" w:lineRule="auto"/>
        <w:rPr>
          <w:rFonts w:ascii="Times New Roman" w:hAnsi="Times New Roman" w:eastAsia="宋体"/>
          <w:sz w:val="28"/>
          <w:highlight w:val="none"/>
        </w:rPr>
      </w:pPr>
      <w:r>
        <w:rPr>
          <w:rFonts w:ascii="Times New Roman" w:hAnsi="Times New Roman" w:eastAsia="宋体"/>
          <w:sz w:val="28"/>
          <w:highlight w:val="none"/>
        </w:rPr>
        <w:t xml:space="preserve">三   </w:t>
      </w:r>
      <w:r>
        <w:rPr>
          <w:rFonts w:hint="eastAsia" w:ascii="Times New Roman" w:hAnsi="Times New Roman" w:eastAsia="宋体"/>
          <w:sz w:val="28"/>
          <w:highlight w:val="none"/>
        </w:rPr>
        <w:t>响应</w:t>
      </w:r>
      <w:r>
        <w:rPr>
          <w:rFonts w:ascii="Times New Roman" w:hAnsi="Times New Roman" w:eastAsia="宋体"/>
          <w:sz w:val="28"/>
          <w:highlight w:val="none"/>
        </w:rPr>
        <w:t>文件</w:t>
      </w:r>
      <w:bookmarkEnd w:id="211"/>
      <w:r>
        <w:rPr>
          <w:rFonts w:ascii="Times New Roman" w:hAnsi="Times New Roman" w:eastAsia="宋体"/>
          <w:sz w:val="28"/>
          <w:highlight w:val="none"/>
        </w:rPr>
        <w:t>的编制</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14:paraId="3687D14A">
      <w:pPr>
        <w:numPr>
          <w:ilvl w:val="0"/>
          <w:numId w:val="8"/>
        </w:numPr>
        <w:tabs>
          <w:tab w:val="left" w:pos="360"/>
        </w:tabs>
        <w:snapToGrid w:val="0"/>
        <w:spacing w:line="360" w:lineRule="auto"/>
        <w:ind w:left="357" w:hanging="357"/>
        <w:outlineLvl w:val="1"/>
        <w:rPr>
          <w:sz w:val="24"/>
          <w:highlight w:val="none"/>
        </w:rPr>
      </w:pPr>
      <w:bookmarkStart w:id="234" w:name="_Toc226309771"/>
      <w:bookmarkStart w:id="235" w:name="_Toc195842892"/>
      <w:bookmarkStart w:id="236" w:name="_Toc265228365"/>
      <w:bookmarkStart w:id="237" w:name="_Toc226965717"/>
      <w:bookmarkStart w:id="238" w:name="_Toc150509278"/>
      <w:bookmarkStart w:id="239" w:name="_Toc142311029"/>
      <w:bookmarkStart w:id="240" w:name="_Toc150774732"/>
      <w:bookmarkStart w:id="241" w:name="_Toc151193769"/>
      <w:bookmarkStart w:id="242" w:name="_Toc164229222"/>
      <w:bookmarkStart w:id="243" w:name="_Toc151190154"/>
      <w:bookmarkStart w:id="244" w:name="_Toc264969217"/>
      <w:bookmarkStart w:id="245" w:name="_Toc520356151"/>
      <w:bookmarkStart w:id="246" w:name="_Toc149720820"/>
      <w:bookmarkStart w:id="247" w:name="_Toc226965800"/>
      <w:bookmarkStart w:id="248" w:name="_Toc164608796"/>
      <w:bookmarkStart w:id="249" w:name="_Toc151193625"/>
      <w:bookmarkStart w:id="250" w:name="_Toc164351621"/>
      <w:bookmarkStart w:id="251" w:name="_Toc516367021"/>
      <w:bookmarkStart w:id="252" w:name="_Toc305158795"/>
      <w:bookmarkStart w:id="253" w:name="_Toc151193697"/>
      <w:bookmarkStart w:id="254" w:name="_Toc305158869"/>
      <w:bookmarkStart w:id="255" w:name="_Toc127151527"/>
      <w:bookmarkStart w:id="256" w:name="_Toc150774627"/>
      <w:bookmarkStart w:id="257" w:name="_Toc127151728"/>
      <w:bookmarkStart w:id="258" w:name="_Toc164229368"/>
      <w:bookmarkStart w:id="259" w:name="_Toc127161441"/>
      <w:bookmarkStart w:id="260" w:name="_Toc226337223"/>
      <w:bookmarkStart w:id="261" w:name="_Toc151193841"/>
      <w:bookmarkStart w:id="262" w:name="_Toc164608641"/>
      <w:bookmarkStart w:id="263" w:name="_Toc150480765"/>
      <w:bookmarkStart w:id="264" w:name="_Toc151193915"/>
      <w:r>
        <w:rPr>
          <w:sz w:val="24"/>
          <w:highlight w:val="none"/>
        </w:rPr>
        <w:t>响应范围、</w:t>
      </w:r>
      <w:r>
        <w:rPr>
          <w:rFonts w:hint="eastAsia"/>
          <w:sz w:val="24"/>
          <w:highlight w:val="none"/>
        </w:rPr>
        <w:t>响应</w:t>
      </w:r>
      <w:r>
        <w:rPr>
          <w:sz w:val="24"/>
          <w:highlight w:val="none"/>
        </w:rPr>
        <w:t>文件中计量单位的使用</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sz w:val="24"/>
          <w:highlight w:val="none"/>
        </w:rPr>
        <w:t>及响应语言</w:t>
      </w:r>
    </w:p>
    <w:p w14:paraId="70D7598A">
      <w:pPr>
        <w:numPr>
          <w:ilvl w:val="1"/>
          <w:numId w:val="8"/>
        </w:numPr>
        <w:tabs>
          <w:tab w:val="left" w:pos="1080"/>
          <w:tab w:val="left" w:pos="2014"/>
        </w:tabs>
        <w:snapToGrid w:val="0"/>
        <w:spacing w:line="360" w:lineRule="auto"/>
        <w:ind w:left="1080" w:hanging="720"/>
        <w:rPr>
          <w:sz w:val="24"/>
          <w:highlight w:val="none"/>
        </w:rPr>
      </w:pPr>
      <w:r>
        <w:rPr>
          <w:sz w:val="24"/>
          <w:highlight w:val="none"/>
        </w:rPr>
        <w:t>本项目如划分采购包，</w:t>
      </w:r>
      <w:r>
        <w:rPr>
          <w:rFonts w:hint="eastAsia"/>
          <w:sz w:val="24"/>
          <w:highlight w:val="none"/>
        </w:rPr>
        <w:t>供应商</w:t>
      </w:r>
      <w:r>
        <w:rPr>
          <w:sz w:val="24"/>
          <w:highlight w:val="none"/>
        </w:rPr>
        <w:t>可以对本项目的其中一个采购包进行响应，也可同时对多个采购包进行响应。</w:t>
      </w:r>
      <w:r>
        <w:rPr>
          <w:rFonts w:hint="eastAsia"/>
          <w:sz w:val="24"/>
          <w:highlight w:val="none"/>
        </w:rPr>
        <w:t>供应商</w:t>
      </w:r>
      <w:r>
        <w:rPr>
          <w:sz w:val="24"/>
          <w:highlight w:val="none"/>
        </w:rPr>
        <w:t>应当对所投采购包对应第五章《采购需求》所列的全部内容进行响应，不得将一个采购包中的内容拆分响应，否则其对该采购包的响应将被认定为</w:t>
      </w:r>
      <w:r>
        <w:rPr>
          <w:b/>
          <w:sz w:val="24"/>
          <w:highlight w:val="none"/>
        </w:rPr>
        <w:t>无效响应</w:t>
      </w:r>
      <w:r>
        <w:rPr>
          <w:sz w:val="24"/>
          <w:highlight w:val="none"/>
        </w:rPr>
        <w:t>。</w:t>
      </w:r>
    </w:p>
    <w:p w14:paraId="6B5B6586">
      <w:pPr>
        <w:numPr>
          <w:ilvl w:val="1"/>
          <w:numId w:val="8"/>
        </w:numPr>
        <w:tabs>
          <w:tab w:val="left" w:pos="1080"/>
          <w:tab w:val="left" w:pos="2014"/>
        </w:tabs>
        <w:snapToGrid w:val="0"/>
        <w:spacing w:line="360" w:lineRule="auto"/>
        <w:ind w:left="1080" w:hanging="720"/>
        <w:rPr>
          <w:sz w:val="24"/>
          <w:highlight w:val="none"/>
        </w:rPr>
      </w:pPr>
      <w:r>
        <w:rPr>
          <w:sz w:val="24"/>
          <w:highlight w:val="none"/>
        </w:rPr>
        <w:t>除</w:t>
      </w:r>
      <w:r>
        <w:rPr>
          <w:rFonts w:hint="eastAsia"/>
          <w:sz w:val="24"/>
          <w:highlight w:val="none"/>
        </w:rPr>
        <w:t>征集</w:t>
      </w:r>
      <w:r>
        <w:rPr>
          <w:sz w:val="24"/>
          <w:highlight w:val="none"/>
        </w:rPr>
        <w:t>文件有特殊要求外，本项目响应所使用的计量单位，应采用中华人民共和国法定计量单位。</w:t>
      </w:r>
    </w:p>
    <w:p w14:paraId="3A67C91E">
      <w:pPr>
        <w:numPr>
          <w:ilvl w:val="1"/>
          <w:numId w:val="8"/>
        </w:numPr>
        <w:tabs>
          <w:tab w:val="left" w:pos="1080"/>
          <w:tab w:val="left" w:pos="2014"/>
        </w:tabs>
        <w:snapToGrid w:val="0"/>
        <w:spacing w:line="360" w:lineRule="auto"/>
        <w:ind w:left="1080" w:hanging="720"/>
        <w:rPr>
          <w:sz w:val="24"/>
          <w:highlight w:val="none"/>
        </w:rPr>
      </w:pPr>
      <w:r>
        <w:rPr>
          <w:sz w:val="24"/>
          <w:highlight w:val="none"/>
        </w:rPr>
        <w:t>除专用术语外，</w:t>
      </w:r>
      <w:r>
        <w:rPr>
          <w:rFonts w:hint="eastAsia"/>
          <w:sz w:val="24"/>
          <w:highlight w:val="none"/>
        </w:rPr>
        <w:t>响应</w:t>
      </w:r>
      <w:r>
        <w:rPr>
          <w:sz w:val="24"/>
          <w:highlight w:val="none"/>
        </w:rPr>
        <w:t>文件及来往函电均应使用中文书写。必要时专用术语应附有中文解释。</w:t>
      </w:r>
      <w:r>
        <w:rPr>
          <w:rFonts w:hint="eastAsia"/>
          <w:sz w:val="24"/>
          <w:highlight w:val="none"/>
        </w:rPr>
        <w:t>供应商</w:t>
      </w:r>
      <w:r>
        <w:rPr>
          <w:sz w:val="24"/>
          <w:highlight w:val="none"/>
        </w:rPr>
        <w:t>提交的支持资料和已印制的文献可以用外文，但相应内容应附有中文翻译本，在解释</w:t>
      </w:r>
      <w:r>
        <w:rPr>
          <w:rFonts w:hint="eastAsia"/>
          <w:sz w:val="24"/>
          <w:highlight w:val="none"/>
        </w:rPr>
        <w:t>响应</w:t>
      </w:r>
      <w:r>
        <w:rPr>
          <w:sz w:val="24"/>
          <w:highlight w:val="none"/>
        </w:rPr>
        <w:t>文件时以中文翻译本为准。未附中文翻译本或翻译本中文内容明显与外文内容不一致的，其不利后果由</w:t>
      </w:r>
      <w:r>
        <w:rPr>
          <w:rFonts w:hint="eastAsia"/>
          <w:sz w:val="24"/>
          <w:highlight w:val="none"/>
        </w:rPr>
        <w:t>供应商</w:t>
      </w:r>
      <w:r>
        <w:rPr>
          <w:sz w:val="24"/>
          <w:highlight w:val="none"/>
        </w:rPr>
        <w:t>自行承担。</w:t>
      </w:r>
    </w:p>
    <w:p w14:paraId="50E80FC6">
      <w:pPr>
        <w:numPr>
          <w:ilvl w:val="0"/>
          <w:numId w:val="8"/>
        </w:numPr>
        <w:tabs>
          <w:tab w:val="left" w:pos="360"/>
        </w:tabs>
        <w:snapToGrid w:val="0"/>
        <w:spacing w:line="360" w:lineRule="auto"/>
        <w:ind w:left="357" w:hanging="357"/>
        <w:outlineLvl w:val="1"/>
        <w:rPr>
          <w:sz w:val="24"/>
          <w:highlight w:val="none"/>
        </w:rPr>
      </w:pPr>
      <w:bookmarkStart w:id="265" w:name="_Ref467306195"/>
      <w:bookmarkStart w:id="266" w:name="_Toc516367022"/>
      <w:bookmarkStart w:id="267" w:name="_Ref467306676"/>
      <w:bookmarkStart w:id="268" w:name="_Toc226337224"/>
      <w:bookmarkStart w:id="269" w:name="_Toc127151729"/>
      <w:bookmarkStart w:id="270" w:name="_Toc164608642"/>
      <w:bookmarkStart w:id="271" w:name="_Toc226965801"/>
      <w:bookmarkStart w:id="272" w:name="_Toc151193916"/>
      <w:bookmarkStart w:id="273" w:name="_Toc151193842"/>
      <w:bookmarkStart w:id="274" w:name="_Toc195842893"/>
      <w:bookmarkStart w:id="275" w:name="_Toc265228366"/>
      <w:bookmarkStart w:id="276" w:name="_Toc226309772"/>
      <w:bookmarkStart w:id="277" w:name="_Toc164351622"/>
      <w:bookmarkStart w:id="278" w:name="_Toc164229223"/>
      <w:bookmarkStart w:id="279" w:name="_Toc150774733"/>
      <w:bookmarkStart w:id="280" w:name="_Toc142311030"/>
      <w:bookmarkStart w:id="281" w:name="_Toc264969218"/>
      <w:bookmarkStart w:id="282" w:name="_Toc127161442"/>
      <w:bookmarkStart w:id="283" w:name="_Toc520356152"/>
      <w:bookmarkStart w:id="284" w:name="_Toc226965718"/>
      <w:bookmarkStart w:id="285" w:name="_Toc305158796"/>
      <w:bookmarkStart w:id="286" w:name="_Toc127151528"/>
      <w:bookmarkStart w:id="287" w:name="_Toc151190155"/>
      <w:bookmarkStart w:id="288" w:name="_Toc150480766"/>
      <w:bookmarkStart w:id="289" w:name="_Toc150774628"/>
      <w:bookmarkStart w:id="290" w:name="_Toc164608797"/>
      <w:bookmarkStart w:id="291" w:name="_Toc151193698"/>
      <w:bookmarkStart w:id="292" w:name="_Toc150509279"/>
      <w:bookmarkStart w:id="293" w:name="_Toc305158870"/>
      <w:bookmarkStart w:id="294" w:name="_Toc151193770"/>
      <w:bookmarkStart w:id="295" w:name="_Toc151193626"/>
      <w:bookmarkStart w:id="296" w:name="_Toc149720821"/>
      <w:bookmarkStart w:id="297" w:name="_Toc164229369"/>
      <w:r>
        <w:rPr>
          <w:sz w:val="24"/>
          <w:highlight w:val="none"/>
        </w:rPr>
        <w:t>响应文件</w:t>
      </w:r>
      <w:bookmarkEnd w:id="265"/>
      <w:bookmarkEnd w:id="266"/>
      <w:bookmarkEnd w:id="267"/>
      <w:r>
        <w:rPr>
          <w:sz w:val="24"/>
          <w:highlight w:val="none"/>
        </w:rPr>
        <w:t>构成</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14:paraId="267BC6F5">
      <w:pPr>
        <w:numPr>
          <w:ilvl w:val="1"/>
          <w:numId w:val="8"/>
        </w:numPr>
        <w:tabs>
          <w:tab w:val="left" w:pos="1080"/>
          <w:tab w:val="left" w:pos="2014"/>
        </w:tabs>
        <w:snapToGrid w:val="0"/>
        <w:spacing w:line="360" w:lineRule="auto"/>
        <w:ind w:left="1077" w:hanging="720"/>
        <w:rPr>
          <w:sz w:val="24"/>
          <w:highlight w:val="none"/>
        </w:rPr>
      </w:pPr>
      <w:bookmarkStart w:id="298" w:name="_Ref467052588"/>
      <w:r>
        <w:rPr>
          <w:rFonts w:hint="eastAsia"/>
          <w:sz w:val="24"/>
          <w:highlight w:val="none"/>
        </w:rPr>
        <w:t>供应商</w:t>
      </w:r>
      <w:r>
        <w:rPr>
          <w:sz w:val="24"/>
          <w:highlight w:val="none"/>
        </w:rPr>
        <w:t>应当按照</w:t>
      </w:r>
      <w:r>
        <w:rPr>
          <w:rFonts w:hint="eastAsia"/>
          <w:sz w:val="24"/>
          <w:highlight w:val="none"/>
        </w:rPr>
        <w:t>征集</w:t>
      </w:r>
      <w:r>
        <w:rPr>
          <w:sz w:val="24"/>
          <w:highlight w:val="none"/>
        </w:rPr>
        <w:t>文件的要求编制</w:t>
      </w:r>
      <w:r>
        <w:rPr>
          <w:rFonts w:hint="eastAsia"/>
          <w:sz w:val="24"/>
          <w:highlight w:val="none"/>
        </w:rPr>
        <w:t>响应</w:t>
      </w:r>
      <w:r>
        <w:rPr>
          <w:sz w:val="24"/>
          <w:highlight w:val="none"/>
        </w:rPr>
        <w:t>文件。</w:t>
      </w:r>
      <w:r>
        <w:rPr>
          <w:rFonts w:hint="eastAsia"/>
          <w:sz w:val="24"/>
          <w:highlight w:val="none"/>
        </w:rPr>
        <w:t>响应</w:t>
      </w:r>
      <w:r>
        <w:rPr>
          <w:sz w:val="24"/>
          <w:highlight w:val="none"/>
        </w:rPr>
        <w:t>文件应由《资格证明文件》、《商务技术文件》两部分构成。</w:t>
      </w:r>
      <w:r>
        <w:rPr>
          <w:rFonts w:hint="eastAsia"/>
          <w:sz w:val="24"/>
          <w:highlight w:val="none"/>
        </w:rPr>
        <w:t>响应</w:t>
      </w:r>
      <w:r>
        <w:rPr>
          <w:sz w:val="24"/>
          <w:highlight w:val="none"/>
        </w:rPr>
        <w:t>文件的部分格式要求，见第七章《</w:t>
      </w:r>
      <w:r>
        <w:rPr>
          <w:rFonts w:hint="eastAsia"/>
          <w:sz w:val="24"/>
          <w:highlight w:val="none"/>
        </w:rPr>
        <w:t>响应</w:t>
      </w:r>
      <w:r>
        <w:rPr>
          <w:sz w:val="24"/>
          <w:highlight w:val="none"/>
        </w:rPr>
        <w:t>文件格式》。</w:t>
      </w:r>
    </w:p>
    <w:p w14:paraId="3D2418E5">
      <w:pPr>
        <w:numPr>
          <w:ilvl w:val="1"/>
          <w:numId w:val="8"/>
        </w:numPr>
        <w:tabs>
          <w:tab w:val="left" w:pos="1080"/>
          <w:tab w:val="left" w:pos="2014"/>
        </w:tabs>
        <w:snapToGrid w:val="0"/>
        <w:spacing w:line="360" w:lineRule="auto"/>
        <w:ind w:left="1077" w:hanging="720"/>
        <w:rPr>
          <w:sz w:val="24"/>
          <w:highlight w:val="none"/>
        </w:rPr>
      </w:pPr>
      <w:r>
        <w:rPr>
          <w:kern w:val="0"/>
          <w:sz w:val="24"/>
          <w:highlight w:val="none"/>
        </w:rPr>
        <w:t>对于</w:t>
      </w:r>
      <w:r>
        <w:rPr>
          <w:rFonts w:hint="eastAsia"/>
          <w:kern w:val="0"/>
          <w:sz w:val="24"/>
          <w:highlight w:val="none"/>
        </w:rPr>
        <w:t>征集</w:t>
      </w:r>
      <w:r>
        <w:rPr>
          <w:kern w:val="0"/>
          <w:sz w:val="24"/>
          <w:highlight w:val="none"/>
        </w:rPr>
        <w:t>文件中标记了“实质性格式”文件的，</w:t>
      </w:r>
      <w:r>
        <w:rPr>
          <w:rFonts w:hint="eastAsia"/>
          <w:sz w:val="24"/>
          <w:highlight w:val="none"/>
        </w:rPr>
        <w:t>供应商</w:t>
      </w:r>
      <w:r>
        <w:rPr>
          <w:sz w:val="24"/>
          <w:highlight w:val="none"/>
        </w:rPr>
        <w:t>不得改变格式中给定的文字所表达的含义，不得删减格式中的实质性内容，不得自行添加与格式中给定的文字内容相矛盾的内容，不得对应当填写的空格不填写或不实质性响应，</w:t>
      </w:r>
      <w:r>
        <w:rPr>
          <w:kern w:val="0"/>
          <w:sz w:val="24"/>
          <w:highlight w:val="none"/>
        </w:rPr>
        <w:t>否则</w:t>
      </w:r>
      <w:r>
        <w:rPr>
          <w:b/>
          <w:kern w:val="0"/>
          <w:sz w:val="24"/>
          <w:highlight w:val="none"/>
        </w:rPr>
        <w:t>响应无效</w:t>
      </w:r>
      <w:r>
        <w:rPr>
          <w:kern w:val="0"/>
          <w:sz w:val="24"/>
          <w:highlight w:val="none"/>
        </w:rPr>
        <w:t>。未标记“实质性格式”的文件和征集文件未提供格式的内容，可由</w:t>
      </w:r>
      <w:r>
        <w:rPr>
          <w:rFonts w:hint="eastAsia"/>
          <w:sz w:val="24"/>
          <w:highlight w:val="none"/>
        </w:rPr>
        <w:t>供应商</w:t>
      </w:r>
      <w:r>
        <w:rPr>
          <w:kern w:val="0"/>
          <w:sz w:val="24"/>
          <w:highlight w:val="none"/>
        </w:rPr>
        <w:t>自行编写。</w:t>
      </w:r>
    </w:p>
    <w:p w14:paraId="6183E173">
      <w:pPr>
        <w:numPr>
          <w:ilvl w:val="1"/>
          <w:numId w:val="8"/>
        </w:numPr>
        <w:tabs>
          <w:tab w:val="left" w:pos="1080"/>
          <w:tab w:val="left" w:pos="2014"/>
        </w:tabs>
        <w:snapToGrid w:val="0"/>
        <w:spacing w:line="360" w:lineRule="auto"/>
        <w:ind w:left="1077" w:hanging="720"/>
        <w:rPr>
          <w:sz w:val="24"/>
          <w:highlight w:val="none"/>
        </w:rPr>
      </w:pPr>
      <w:r>
        <w:rPr>
          <w:sz w:val="24"/>
          <w:highlight w:val="none"/>
        </w:rPr>
        <w:t>第四章《评审程序、评审方法和评审标准》中涉及的证明文件。</w:t>
      </w:r>
    </w:p>
    <w:p w14:paraId="41FD9770">
      <w:pPr>
        <w:numPr>
          <w:ilvl w:val="1"/>
          <w:numId w:val="8"/>
        </w:numPr>
        <w:tabs>
          <w:tab w:val="left" w:pos="1080"/>
          <w:tab w:val="left" w:pos="2014"/>
        </w:tabs>
        <w:snapToGrid w:val="0"/>
        <w:spacing w:line="360" w:lineRule="auto"/>
        <w:ind w:left="1077" w:hanging="720"/>
        <w:rPr>
          <w:sz w:val="24"/>
          <w:highlight w:val="none"/>
        </w:rPr>
      </w:pPr>
      <w:r>
        <w:rPr>
          <w:sz w:val="24"/>
          <w:highlight w:val="none"/>
        </w:rPr>
        <w:t>对照第五章《采购需求》，说明所提供货物和服务已对第五章《采购需求》做出了响应，或申明与第五章《采购需求》的偏差和例外。如第五章《采购需求》中要求提供证明文件的，</w:t>
      </w:r>
      <w:r>
        <w:rPr>
          <w:rFonts w:hint="eastAsia"/>
          <w:sz w:val="24"/>
          <w:highlight w:val="none"/>
        </w:rPr>
        <w:t>供应商</w:t>
      </w:r>
      <w:r>
        <w:rPr>
          <w:sz w:val="24"/>
          <w:highlight w:val="none"/>
        </w:rPr>
        <w:t>应当按具体要求提供证明文件。</w:t>
      </w:r>
    </w:p>
    <w:p w14:paraId="5FA1F94E">
      <w:pPr>
        <w:numPr>
          <w:ilvl w:val="1"/>
          <w:numId w:val="8"/>
        </w:numPr>
        <w:tabs>
          <w:tab w:val="left" w:pos="1080"/>
          <w:tab w:val="left" w:pos="2014"/>
        </w:tabs>
        <w:snapToGrid w:val="0"/>
        <w:spacing w:line="360" w:lineRule="auto"/>
        <w:ind w:left="1077" w:hanging="720"/>
        <w:rPr>
          <w:sz w:val="24"/>
          <w:highlight w:val="none"/>
        </w:rPr>
      </w:pPr>
      <w:r>
        <w:rPr>
          <w:rFonts w:hint="eastAsia"/>
          <w:sz w:val="24"/>
          <w:highlight w:val="none"/>
        </w:rPr>
        <w:t>供应商</w:t>
      </w:r>
      <w:r>
        <w:rPr>
          <w:sz w:val="24"/>
          <w:highlight w:val="none"/>
        </w:rPr>
        <w:t>认为应附的其他材料。</w:t>
      </w:r>
      <w:bookmarkEnd w:id="298"/>
    </w:p>
    <w:p w14:paraId="21349845">
      <w:pPr>
        <w:numPr>
          <w:ilvl w:val="0"/>
          <w:numId w:val="8"/>
        </w:numPr>
        <w:tabs>
          <w:tab w:val="left" w:pos="360"/>
        </w:tabs>
        <w:snapToGrid w:val="0"/>
        <w:spacing w:line="360" w:lineRule="auto"/>
        <w:ind w:left="357" w:hanging="357"/>
        <w:outlineLvl w:val="1"/>
        <w:rPr>
          <w:sz w:val="24"/>
          <w:highlight w:val="none"/>
        </w:rPr>
      </w:pPr>
      <w:r>
        <w:rPr>
          <w:sz w:val="24"/>
          <w:highlight w:val="none"/>
        </w:rPr>
        <w:t>响应报价</w:t>
      </w:r>
    </w:p>
    <w:p w14:paraId="72E363F5">
      <w:pPr>
        <w:numPr>
          <w:ilvl w:val="1"/>
          <w:numId w:val="8"/>
        </w:numPr>
        <w:tabs>
          <w:tab w:val="left" w:pos="1080"/>
          <w:tab w:val="left" w:pos="2014"/>
        </w:tabs>
        <w:snapToGrid w:val="0"/>
        <w:spacing w:line="360" w:lineRule="auto"/>
        <w:ind w:left="1077" w:hanging="720"/>
        <w:rPr>
          <w:sz w:val="24"/>
          <w:highlight w:val="none"/>
        </w:rPr>
      </w:pPr>
      <w:r>
        <w:rPr>
          <w:sz w:val="24"/>
          <w:highlight w:val="none"/>
        </w:rPr>
        <w:t>所有响应均以人民币</w:t>
      </w:r>
      <w:r>
        <w:rPr>
          <w:rFonts w:hint="eastAsia"/>
          <w:sz w:val="24"/>
          <w:highlight w:val="none"/>
        </w:rPr>
        <w:t>为计价货币</w:t>
      </w:r>
      <w:r>
        <w:rPr>
          <w:sz w:val="24"/>
          <w:highlight w:val="none"/>
        </w:rPr>
        <w:t>。</w:t>
      </w:r>
    </w:p>
    <w:p w14:paraId="45C4C804">
      <w:pPr>
        <w:numPr>
          <w:ilvl w:val="1"/>
          <w:numId w:val="8"/>
        </w:numPr>
        <w:tabs>
          <w:tab w:val="left" w:pos="1080"/>
          <w:tab w:val="left" w:pos="2014"/>
        </w:tabs>
        <w:snapToGrid w:val="0"/>
        <w:spacing w:line="360" w:lineRule="auto"/>
        <w:ind w:left="1077" w:hanging="720"/>
        <w:rPr>
          <w:sz w:val="24"/>
          <w:highlight w:val="none"/>
        </w:rPr>
      </w:pPr>
      <w:r>
        <w:rPr>
          <w:rFonts w:hint="eastAsia"/>
          <w:sz w:val="24"/>
          <w:highlight w:val="none"/>
        </w:rPr>
        <w:t>供应商</w:t>
      </w:r>
      <w:r>
        <w:rPr>
          <w:sz w:val="24"/>
          <w:highlight w:val="none"/>
        </w:rPr>
        <w:t>的报价应包括为完成本项目所发生的一切费用和税费，采购人将不再支付报价以外的任何费用。</w:t>
      </w:r>
      <w:r>
        <w:rPr>
          <w:rFonts w:hint="eastAsia"/>
          <w:sz w:val="24"/>
          <w:highlight w:val="none"/>
        </w:rPr>
        <w:t>供应商</w:t>
      </w:r>
      <w:r>
        <w:rPr>
          <w:sz w:val="24"/>
          <w:highlight w:val="none"/>
        </w:rPr>
        <w:t>的报价应包括但不限于下列内容，《</w:t>
      </w:r>
      <w:r>
        <w:rPr>
          <w:rFonts w:hint="eastAsia"/>
          <w:sz w:val="24"/>
          <w:highlight w:val="none"/>
        </w:rPr>
        <w:t>供应商</w:t>
      </w:r>
      <w:r>
        <w:rPr>
          <w:sz w:val="24"/>
          <w:highlight w:val="none"/>
        </w:rPr>
        <w:t>须知资料表》中有特殊规定的，从其规定。</w:t>
      </w:r>
    </w:p>
    <w:p w14:paraId="6736B2FA">
      <w:pPr>
        <w:numPr>
          <w:ilvl w:val="2"/>
          <w:numId w:val="8"/>
        </w:numPr>
        <w:snapToGrid w:val="0"/>
        <w:spacing w:line="360" w:lineRule="auto"/>
        <w:rPr>
          <w:sz w:val="24"/>
          <w:highlight w:val="none"/>
        </w:rPr>
      </w:pPr>
      <w:r>
        <w:rPr>
          <w:sz w:val="24"/>
          <w:highlight w:val="none"/>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17D2251A">
      <w:pPr>
        <w:numPr>
          <w:ilvl w:val="2"/>
          <w:numId w:val="8"/>
        </w:numPr>
        <w:snapToGrid w:val="0"/>
        <w:spacing w:line="360" w:lineRule="auto"/>
        <w:rPr>
          <w:sz w:val="24"/>
          <w:highlight w:val="none"/>
        </w:rPr>
      </w:pPr>
      <w:r>
        <w:rPr>
          <w:sz w:val="24"/>
          <w:highlight w:val="none"/>
        </w:rPr>
        <w:t>按照</w:t>
      </w:r>
      <w:r>
        <w:rPr>
          <w:rFonts w:hint="eastAsia"/>
          <w:sz w:val="24"/>
          <w:highlight w:val="none"/>
        </w:rPr>
        <w:t>征集</w:t>
      </w:r>
      <w:r>
        <w:rPr>
          <w:sz w:val="24"/>
          <w:highlight w:val="none"/>
        </w:rPr>
        <w:t xml:space="preserve">文件要求完成本项目的全部相关费用。 </w:t>
      </w:r>
    </w:p>
    <w:p w14:paraId="06904C99">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采购人不得向供应商索要或者接受其给予的赠品、回扣或者与采购无关的其他商品、服务。</w:t>
      </w:r>
    </w:p>
    <w:p w14:paraId="2EDFCD17">
      <w:pPr>
        <w:numPr>
          <w:ilvl w:val="1"/>
          <w:numId w:val="8"/>
        </w:numPr>
        <w:tabs>
          <w:tab w:val="left" w:pos="1080"/>
          <w:tab w:val="left" w:pos="2014"/>
        </w:tabs>
        <w:snapToGrid w:val="0"/>
        <w:spacing w:line="360" w:lineRule="auto"/>
        <w:ind w:left="1080" w:hanging="720"/>
        <w:rPr>
          <w:sz w:val="24"/>
          <w:highlight w:val="none"/>
        </w:rPr>
      </w:pPr>
      <w:r>
        <w:rPr>
          <w:rFonts w:hint="eastAsia"/>
          <w:sz w:val="24"/>
          <w:highlight w:val="none"/>
        </w:rPr>
        <w:t>供应商</w:t>
      </w:r>
      <w:r>
        <w:rPr>
          <w:sz w:val="24"/>
          <w:highlight w:val="none"/>
        </w:rPr>
        <w:t>不能提供任何有选择性或可调整的报价（</w:t>
      </w:r>
      <w:r>
        <w:rPr>
          <w:rFonts w:hint="eastAsia"/>
          <w:sz w:val="24"/>
          <w:highlight w:val="none"/>
        </w:rPr>
        <w:t>征集</w:t>
      </w:r>
      <w:r>
        <w:rPr>
          <w:sz w:val="24"/>
          <w:highlight w:val="none"/>
        </w:rPr>
        <w:t>文件另有规定的除外），否则其</w:t>
      </w:r>
      <w:r>
        <w:rPr>
          <w:b/>
          <w:sz w:val="24"/>
          <w:highlight w:val="none"/>
        </w:rPr>
        <w:t>响应无效</w:t>
      </w:r>
      <w:r>
        <w:rPr>
          <w:sz w:val="24"/>
          <w:highlight w:val="none"/>
        </w:rPr>
        <w:t>。</w:t>
      </w:r>
    </w:p>
    <w:p w14:paraId="5C34DD55">
      <w:pPr>
        <w:numPr>
          <w:ilvl w:val="0"/>
          <w:numId w:val="8"/>
        </w:numPr>
        <w:tabs>
          <w:tab w:val="left" w:pos="360"/>
        </w:tabs>
        <w:snapToGrid w:val="0"/>
        <w:spacing w:line="360" w:lineRule="auto"/>
        <w:ind w:left="357" w:hanging="357"/>
        <w:outlineLvl w:val="1"/>
        <w:rPr>
          <w:sz w:val="24"/>
          <w:highlight w:val="none"/>
        </w:rPr>
      </w:pPr>
      <w:bookmarkStart w:id="299" w:name="_Toc150774631"/>
      <w:bookmarkStart w:id="300" w:name="_Ref467306513"/>
      <w:bookmarkStart w:id="301" w:name="_Toc264969221"/>
      <w:bookmarkStart w:id="302" w:name="_Toc151193629"/>
      <w:bookmarkStart w:id="303" w:name="_Toc149720824"/>
      <w:bookmarkStart w:id="304" w:name="_Toc127151531"/>
      <w:bookmarkStart w:id="305" w:name="_Toc265228369"/>
      <w:bookmarkStart w:id="306" w:name="_Toc150509282"/>
      <w:bookmarkStart w:id="307" w:name="_Toc151190158"/>
      <w:bookmarkStart w:id="308" w:name="_Toc164229226"/>
      <w:bookmarkStart w:id="309" w:name="_Toc127161445"/>
      <w:bookmarkStart w:id="310" w:name="_Toc226337227"/>
      <w:bookmarkStart w:id="311" w:name="_Toc226965804"/>
      <w:bookmarkStart w:id="312" w:name="_Toc305158799"/>
      <w:bookmarkStart w:id="313" w:name="_Toc164608645"/>
      <w:bookmarkStart w:id="314" w:name="_Toc164229372"/>
      <w:bookmarkStart w:id="315" w:name="_Toc226965721"/>
      <w:bookmarkStart w:id="316" w:name="_Toc195842896"/>
      <w:bookmarkStart w:id="317" w:name="_Toc305158873"/>
      <w:bookmarkStart w:id="318" w:name="_Toc226309775"/>
      <w:bookmarkStart w:id="319" w:name="_Toc164608800"/>
      <w:bookmarkStart w:id="320" w:name="_Toc150480769"/>
      <w:bookmarkStart w:id="321" w:name="_Toc164351625"/>
      <w:bookmarkStart w:id="322" w:name="_Toc151193773"/>
      <w:bookmarkStart w:id="323" w:name="_Toc151193701"/>
      <w:bookmarkStart w:id="324" w:name="_Toc520356156"/>
      <w:bookmarkStart w:id="325" w:name="_Toc127151732"/>
      <w:bookmarkStart w:id="326" w:name="_Toc151193845"/>
      <w:bookmarkStart w:id="327" w:name="_Toc150774736"/>
      <w:bookmarkStart w:id="328" w:name="_Toc142311033"/>
      <w:bookmarkStart w:id="329" w:name="_Toc151193919"/>
      <w:r>
        <w:rPr>
          <w:sz w:val="24"/>
          <w:highlight w:val="none"/>
        </w:rPr>
        <w:t>响应保证金</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14:paraId="379F3633">
      <w:pPr>
        <w:numPr>
          <w:ilvl w:val="1"/>
          <w:numId w:val="8"/>
        </w:numPr>
        <w:tabs>
          <w:tab w:val="left" w:pos="1080"/>
          <w:tab w:val="left" w:pos="2014"/>
        </w:tabs>
        <w:snapToGrid w:val="0"/>
        <w:spacing w:line="360" w:lineRule="auto"/>
        <w:ind w:left="1077" w:hanging="720"/>
        <w:rPr>
          <w:sz w:val="24"/>
          <w:highlight w:val="none"/>
        </w:rPr>
      </w:pPr>
      <w:bookmarkStart w:id="330" w:name="_Ref467306302"/>
      <w:r>
        <w:rPr>
          <w:rFonts w:hint="eastAsia"/>
          <w:sz w:val="24"/>
          <w:highlight w:val="none"/>
        </w:rPr>
        <w:t>供应商</w:t>
      </w:r>
      <w:r>
        <w:rPr>
          <w:sz w:val="24"/>
          <w:highlight w:val="none"/>
        </w:rPr>
        <w:t>应按《</w:t>
      </w:r>
      <w:r>
        <w:rPr>
          <w:rFonts w:hint="eastAsia"/>
          <w:sz w:val="24"/>
          <w:highlight w:val="none"/>
        </w:rPr>
        <w:t>供应商</w:t>
      </w:r>
      <w:r>
        <w:rPr>
          <w:sz w:val="24"/>
          <w:highlight w:val="none"/>
        </w:rPr>
        <w:t>须知资料表》中规定的金额及要求交纳响应保证金</w:t>
      </w:r>
      <w:bookmarkEnd w:id="330"/>
      <w:r>
        <w:rPr>
          <w:sz w:val="24"/>
          <w:highlight w:val="none"/>
        </w:rPr>
        <w:t>。</w:t>
      </w:r>
      <w:r>
        <w:rPr>
          <w:rFonts w:hint="eastAsia"/>
          <w:sz w:val="24"/>
          <w:highlight w:val="none"/>
        </w:rPr>
        <w:t>供应商</w:t>
      </w:r>
      <w:r>
        <w:rPr>
          <w:sz w:val="24"/>
          <w:highlight w:val="none"/>
        </w:rPr>
        <w:t>自愿超额缴纳响应保证金的，</w:t>
      </w:r>
      <w:r>
        <w:rPr>
          <w:rFonts w:hint="eastAsia"/>
          <w:sz w:val="24"/>
          <w:highlight w:val="none"/>
        </w:rPr>
        <w:t>响应</w:t>
      </w:r>
      <w:r>
        <w:rPr>
          <w:sz w:val="24"/>
          <w:highlight w:val="none"/>
        </w:rPr>
        <w:t>文件不做无效处理。</w:t>
      </w:r>
    </w:p>
    <w:p w14:paraId="241889C9">
      <w:pPr>
        <w:numPr>
          <w:ilvl w:val="1"/>
          <w:numId w:val="8"/>
        </w:numPr>
        <w:tabs>
          <w:tab w:val="left" w:pos="1080"/>
          <w:tab w:val="left" w:pos="2014"/>
        </w:tabs>
        <w:snapToGrid w:val="0"/>
        <w:spacing w:line="360" w:lineRule="auto"/>
        <w:ind w:left="1077" w:hanging="720"/>
        <w:rPr>
          <w:sz w:val="24"/>
          <w:highlight w:val="none"/>
        </w:rPr>
      </w:pPr>
      <w:r>
        <w:rPr>
          <w:sz w:val="24"/>
          <w:highlight w:val="none"/>
        </w:rPr>
        <w:t>交纳响应保证金可采用的形式：政府采购法律法规接受的支票、汇票、本票、网上银行支付或者金融机构、担保机构出具的保函等非现金形式。</w:t>
      </w:r>
    </w:p>
    <w:p w14:paraId="3EE2D7FA">
      <w:pPr>
        <w:numPr>
          <w:ilvl w:val="1"/>
          <w:numId w:val="8"/>
        </w:numPr>
        <w:tabs>
          <w:tab w:val="left" w:pos="1080"/>
          <w:tab w:val="left" w:pos="2014"/>
        </w:tabs>
        <w:snapToGrid w:val="0"/>
        <w:spacing w:line="360" w:lineRule="auto"/>
        <w:ind w:left="1077" w:hanging="720"/>
        <w:rPr>
          <w:sz w:val="24"/>
          <w:highlight w:val="none"/>
        </w:rPr>
      </w:pPr>
      <w:r>
        <w:rPr>
          <w:sz w:val="24"/>
          <w:highlight w:val="none"/>
        </w:rPr>
        <w:t>响应保证金到账（保函提交）截止时间同响应截止时间。以支票、汇票、本票、网上银行支付等形式提交响应保证金的，应在响应截止时间前到账；以金融机构、担保机构出具的纸质保函等形式提交响应保证金的，应在响应截止时间前将原件提交至采购代理机构；</w:t>
      </w:r>
      <w:bookmarkStart w:id="331" w:name="_Hlk164959831"/>
      <w:r>
        <w:rPr>
          <w:sz w:val="24"/>
          <w:highlight w:val="none"/>
        </w:rPr>
        <w:t>以电子保函形式提交响应保证金的，应在响应截止时间前通过</w:t>
      </w:r>
      <w:r>
        <w:rPr>
          <w:sz w:val="24"/>
          <w:highlight w:val="none"/>
          <w:lang w:bidi="ar"/>
        </w:rPr>
        <w:t>北京市政府采购电子交易平台完成电子保函在线办理。</w:t>
      </w:r>
      <w:bookmarkEnd w:id="331"/>
      <w:r>
        <w:rPr>
          <w:rFonts w:hint="eastAsia"/>
          <w:sz w:val="24"/>
          <w:highlight w:val="none"/>
        </w:rPr>
        <w:t>未按上述要求缴纳响应保证金</w:t>
      </w:r>
      <w:r>
        <w:rPr>
          <w:sz w:val="24"/>
          <w:highlight w:val="none"/>
        </w:rPr>
        <w:t>的，其</w:t>
      </w:r>
      <w:r>
        <w:rPr>
          <w:b/>
          <w:sz w:val="24"/>
          <w:highlight w:val="none"/>
        </w:rPr>
        <w:t>响应无效</w:t>
      </w:r>
      <w:r>
        <w:rPr>
          <w:sz w:val="24"/>
          <w:highlight w:val="none"/>
        </w:rPr>
        <w:t>。</w:t>
      </w:r>
    </w:p>
    <w:p w14:paraId="46628117">
      <w:pPr>
        <w:numPr>
          <w:ilvl w:val="1"/>
          <w:numId w:val="8"/>
        </w:numPr>
        <w:tabs>
          <w:tab w:val="left" w:pos="1080"/>
          <w:tab w:val="left" w:pos="2014"/>
        </w:tabs>
        <w:snapToGrid w:val="0"/>
        <w:spacing w:line="360" w:lineRule="auto"/>
        <w:ind w:left="1077" w:hanging="720"/>
        <w:rPr>
          <w:sz w:val="24"/>
          <w:highlight w:val="none"/>
        </w:rPr>
      </w:pPr>
      <w:r>
        <w:rPr>
          <w:rFonts w:hint="eastAsia"/>
          <w:sz w:val="24"/>
          <w:highlight w:val="none"/>
        </w:rPr>
        <w:t>供应商</w:t>
      </w:r>
      <w:r>
        <w:rPr>
          <w:color w:val="000000"/>
          <w:sz w:val="24"/>
          <w:highlight w:val="none"/>
        </w:rPr>
        <w:t>除</w:t>
      </w:r>
      <w:r>
        <w:rPr>
          <w:rFonts w:hint="eastAsia"/>
          <w:color w:val="000000"/>
          <w:sz w:val="24"/>
          <w:highlight w:val="none"/>
        </w:rPr>
        <w:t>需在响应</w:t>
      </w:r>
      <w:r>
        <w:rPr>
          <w:color w:val="000000"/>
          <w:sz w:val="24"/>
          <w:highlight w:val="none"/>
        </w:rPr>
        <w:t>文件中</w:t>
      </w:r>
      <w:r>
        <w:rPr>
          <w:rFonts w:hint="eastAsia"/>
          <w:color w:val="000000"/>
          <w:sz w:val="24"/>
          <w:highlight w:val="none"/>
        </w:rPr>
        <w:t>提供“</w:t>
      </w:r>
      <w:r>
        <w:rPr>
          <w:color w:val="000000"/>
          <w:sz w:val="24"/>
          <w:szCs w:val="20"/>
          <w:highlight w:val="none"/>
        </w:rPr>
        <w:t>响应保证金凭证/交款单据电子件</w:t>
      </w:r>
      <w:r>
        <w:rPr>
          <w:rFonts w:hint="eastAsia"/>
          <w:color w:val="000000"/>
          <w:sz w:val="24"/>
          <w:highlight w:val="none"/>
        </w:rPr>
        <w:t>”</w:t>
      </w:r>
      <w:r>
        <w:rPr>
          <w:color w:val="000000"/>
          <w:sz w:val="24"/>
          <w:highlight w:val="none"/>
        </w:rPr>
        <w:t>，</w:t>
      </w:r>
      <w:r>
        <w:rPr>
          <w:rFonts w:hint="eastAsia"/>
          <w:sz w:val="24"/>
          <w:highlight w:val="none"/>
        </w:rPr>
        <w:t>还需在响应截止时间前，通过电子交易平台上传“</w:t>
      </w:r>
      <w:r>
        <w:rPr>
          <w:color w:val="000000"/>
          <w:sz w:val="24"/>
          <w:szCs w:val="20"/>
          <w:highlight w:val="none"/>
        </w:rPr>
        <w:t>响应保证金凭证/交款单据电子件</w:t>
      </w:r>
      <w:r>
        <w:rPr>
          <w:rFonts w:hint="eastAsia"/>
          <w:sz w:val="24"/>
          <w:highlight w:val="none"/>
        </w:rPr>
        <w:t>”。</w:t>
      </w:r>
    </w:p>
    <w:p w14:paraId="1875FCE1">
      <w:pPr>
        <w:numPr>
          <w:ilvl w:val="1"/>
          <w:numId w:val="8"/>
        </w:numPr>
        <w:tabs>
          <w:tab w:val="left" w:pos="1080"/>
          <w:tab w:val="left" w:pos="2014"/>
        </w:tabs>
        <w:snapToGrid w:val="0"/>
        <w:spacing w:line="360" w:lineRule="auto"/>
        <w:ind w:left="1077" w:hanging="720"/>
        <w:rPr>
          <w:sz w:val="24"/>
          <w:highlight w:val="none"/>
        </w:rPr>
      </w:pPr>
      <w:r>
        <w:rPr>
          <w:sz w:val="24"/>
          <w:highlight w:val="none"/>
        </w:rPr>
        <w:t>响应保证金有效期同响应有效期。</w:t>
      </w:r>
    </w:p>
    <w:p w14:paraId="290D10CC">
      <w:pPr>
        <w:numPr>
          <w:ilvl w:val="1"/>
          <w:numId w:val="8"/>
        </w:numPr>
        <w:tabs>
          <w:tab w:val="left" w:pos="1080"/>
          <w:tab w:val="left" w:pos="2014"/>
        </w:tabs>
        <w:snapToGrid w:val="0"/>
        <w:spacing w:line="360" w:lineRule="auto"/>
        <w:ind w:left="1077" w:hanging="720"/>
        <w:rPr>
          <w:sz w:val="24"/>
          <w:highlight w:val="none"/>
        </w:rPr>
      </w:pPr>
      <w:r>
        <w:rPr>
          <w:rFonts w:hint="eastAsia"/>
          <w:sz w:val="24"/>
          <w:highlight w:val="none"/>
        </w:rPr>
        <w:t>供应商</w:t>
      </w:r>
      <w:r>
        <w:rPr>
          <w:sz w:val="24"/>
          <w:highlight w:val="none"/>
        </w:rPr>
        <w:t>为联合体的，可以由联合体中的一方或者多方共同交纳响应保证金，其交纳的响应保证金对联合体各方均具有约束力。</w:t>
      </w:r>
    </w:p>
    <w:p w14:paraId="2E88CD17">
      <w:pPr>
        <w:numPr>
          <w:ilvl w:val="1"/>
          <w:numId w:val="8"/>
        </w:numPr>
        <w:tabs>
          <w:tab w:val="left" w:pos="1080"/>
          <w:tab w:val="left" w:pos="2014"/>
        </w:tabs>
        <w:snapToGrid w:val="0"/>
        <w:spacing w:line="360" w:lineRule="auto"/>
        <w:ind w:left="1077" w:hanging="720"/>
        <w:rPr>
          <w:sz w:val="24"/>
          <w:highlight w:val="none"/>
        </w:rPr>
      </w:pPr>
      <w:r>
        <w:rPr>
          <w:rFonts w:hint="eastAsia"/>
          <w:sz w:val="24"/>
          <w:highlight w:val="none"/>
        </w:rPr>
        <w:t>征集人</w:t>
      </w:r>
      <w:r>
        <w:rPr>
          <w:sz w:val="24"/>
          <w:highlight w:val="none"/>
        </w:rPr>
        <w:t>将及时退还</w:t>
      </w:r>
      <w:r>
        <w:rPr>
          <w:rFonts w:hint="eastAsia"/>
          <w:sz w:val="24"/>
          <w:highlight w:val="none"/>
        </w:rPr>
        <w:t>供应商</w:t>
      </w:r>
      <w:r>
        <w:rPr>
          <w:sz w:val="24"/>
          <w:highlight w:val="none"/>
        </w:rPr>
        <w:t>的响应保证金，采用银行保函、担保机构担保函等形式递交的响应保证金，经</w:t>
      </w:r>
      <w:r>
        <w:rPr>
          <w:rFonts w:hint="eastAsia"/>
          <w:sz w:val="24"/>
          <w:highlight w:val="none"/>
        </w:rPr>
        <w:t>供应商</w:t>
      </w:r>
      <w:r>
        <w:rPr>
          <w:sz w:val="24"/>
          <w:highlight w:val="none"/>
        </w:rPr>
        <w:t>同意后</w:t>
      </w:r>
      <w:r>
        <w:rPr>
          <w:rFonts w:hint="eastAsia"/>
          <w:sz w:val="24"/>
          <w:highlight w:val="none"/>
        </w:rPr>
        <w:t>征集人</w:t>
      </w:r>
      <w:r>
        <w:rPr>
          <w:sz w:val="24"/>
          <w:highlight w:val="none"/>
        </w:rPr>
        <w:t>可以不再退还，但因</w:t>
      </w:r>
      <w:r>
        <w:rPr>
          <w:rFonts w:hint="eastAsia"/>
          <w:sz w:val="24"/>
          <w:highlight w:val="none"/>
        </w:rPr>
        <w:t>供应商</w:t>
      </w:r>
      <w:r>
        <w:rPr>
          <w:sz w:val="24"/>
          <w:highlight w:val="none"/>
        </w:rPr>
        <w:t>自身原因导致无法及时退还的除外：</w:t>
      </w:r>
    </w:p>
    <w:p w14:paraId="05156AFC">
      <w:pPr>
        <w:numPr>
          <w:ilvl w:val="2"/>
          <w:numId w:val="8"/>
        </w:numPr>
        <w:snapToGrid w:val="0"/>
        <w:spacing w:line="360" w:lineRule="auto"/>
        <w:rPr>
          <w:sz w:val="24"/>
          <w:highlight w:val="none"/>
        </w:rPr>
      </w:pPr>
      <w:r>
        <w:rPr>
          <w:rFonts w:hint="eastAsia"/>
          <w:sz w:val="24"/>
          <w:highlight w:val="none"/>
        </w:rPr>
        <w:t>供应商</w:t>
      </w:r>
      <w:r>
        <w:rPr>
          <w:sz w:val="24"/>
          <w:highlight w:val="none"/>
        </w:rPr>
        <w:t>在响应截止时间前撤回已提交的</w:t>
      </w:r>
      <w:r>
        <w:rPr>
          <w:rFonts w:hint="eastAsia"/>
          <w:sz w:val="24"/>
          <w:highlight w:val="none"/>
        </w:rPr>
        <w:t>响应</w:t>
      </w:r>
      <w:r>
        <w:rPr>
          <w:sz w:val="24"/>
          <w:highlight w:val="none"/>
        </w:rPr>
        <w:t>文件的，自收到</w:t>
      </w:r>
      <w:r>
        <w:rPr>
          <w:rFonts w:hint="eastAsia"/>
          <w:sz w:val="24"/>
          <w:highlight w:val="none"/>
        </w:rPr>
        <w:t>供应商</w:t>
      </w:r>
      <w:r>
        <w:rPr>
          <w:sz w:val="24"/>
          <w:highlight w:val="none"/>
        </w:rPr>
        <w:t>书面撤回通知之日起5个工作日内退还已收取的响应保证金；</w:t>
      </w:r>
    </w:p>
    <w:p w14:paraId="0C28B8EE">
      <w:pPr>
        <w:numPr>
          <w:ilvl w:val="2"/>
          <w:numId w:val="8"/>
        </w:numPr>
        <w:snapToGrid w:val="0"/>
        <w:spacing w:line="360" w:lineRule="auto"/>
        <w:rPr>
          <w:sz w:val="24"/>
          <w:highlight w:val="none"/>
        </w:rPr>
      </w:pPr>
      <w:r>
        <w:rPr>
          <w:rFonts w:hint="eastAsia"/>
          <w:sz w:val="24"/>
          <w:highlight w:val="none"/>
        </w:rPr>
        <w:t>入围供应商</w:t>
      </w:r>
      <w:r>
        <w:rPr>
          <w:sz w:val="24"/>
          <w:highlight w:val="none"/>
        </w:rPr>
        <w:t>的响应保证金，自采购合同签订之日起5个工作日内退还中标人；</w:t>
      </w:r>
    </w:p>
    <w:p w14:paraId="04DC9F59">
      <w:pPr>
        <w:numPr>
          <w:ilvl w:val="2"/>
          <w:numId w:val="8"/>
        </w:numPr>
        <w:snapToGrid w:val="0"/>
        <w:spacing w:line="360" w:lineRule="auto"/>
        <w:rPr>
          <w:sz w:val="24"/>
          <w:highlight w:val="none"/>
        </w:rPr>
      </w:pPr>
      <w:r>
        <w:rPr>
          <w:sz w:val="24"/>
          <w:highlight w:val="none"/>
        </w:rPr>
        <w:t>未</w:t>
      </w:r>
      <w:r>
        <w:rPr>
          <w:rFonts w:hint="eastAsia"/>
          <w:sz w:val="24"/>
          <w:highlight w:val="none"/>
        </w:rPr>
        <w:t>入围供应商</w:t>
      </w:r>
      <w:r>
        <w:rPr>
          <w:sz w:val="24"/>
          <w:highlight w:val="none"/>
        </w:rPr>
        <w:t>的响应保证金，自中标通知书发出之日起5个工作日内退还未中标人；</w:t>
      </w:r>
    </w:p>
    <w:p w14:paraId="79DD445C">
      <w:pPr>
        <w:numPr>
          <w:ilvl w:val="2"/>
          <w:numId w:val="8"/>
        </w:numPr>
        <w:snapToGrid w:val="0"/>
        <w:spacing w:line="360" w:lineRule="auto"/>
        <w:rPr>
          <w:sz w:val="24"/>
          <w:highlight w:val="none"/>
        </w:rPr>
      </w:pPr>
      <w:r>
        <w:rPr>
          <w:sz w:val="24"/>
          <w:highlight w:val="none"/>
        </w:rPr>
        <w:t>终止</w:t>
      </w:r>
      <w:r>
        <w:rPr>
          <w:rFonts w:hint="eastAsia"/>
          <w:sz w:val="24"/>
          <w:highlight w:val="none"/>
        </w:rPr>
        <w:t>征集</w:t>
      </w:r>
      <w:r>
        <w:rPr>
          <w:sz w:val="24"/>
          <w:highlight w:val="none"/>
        </w:rPr>
        <w:t>项目已经收取响应保证金的，自终止采购活动后5个工作日内退还已收取的响应保证金及其在银行产生的孳息。</w:t>
      </w:r>
    </w:p>
    <w:p w14:paraId="7E61705A">
      <w:pPr>
        <w:numPr>
          <w:ilvl w:val="1"/>
          <w:numId w:val="8"/>
        </w:numPr>
        <w:tabs>
          <w:tab w:val="left" w:pos="1080"/>
          <w:tab w:val="left" w:pos="2014"/>
        </w:tabs>
        <w:snapToGrid w:val="0"/>
        <w:spacing w:line="360" w:lineRule="auto"/>
        <w:ind w:left="1077" w:hanging="720"/>
        <w:rPr>
          <w:sz w:val="24"/>
          <w:highlight w:val="none"/>
        </w:rPr>
      </w:pPr>
      <w:r>
        <w:rPr>
          <w:sz w:val="24"/>
          <w:highlight w:val="none"/>
        </w:rPr>
        <w:t>有下列情形之一的，</w:t>
      </w:r>
      <w:r>
        <w:rPr>
          <w:rFonts w:hint="eastAsia"/>
          <w:sz w:val="24"/>
          <w:highlight w:val="none"/>
        </w:rPr>
        <w:t>征集人</w:t>
      </w:r>
      <w:r>
        <w:rPr>
          <w:sz w:val="24"/>
          <w:highlight w:val="none"/>
        </w:rPr>
        <w:t>可以不予退还响应保证金：</w:t>
      </w:r>
    </w:p>
    <w:p w14:paraId="61D1738B">
      <w:pPr>
        <w:numPr>
          <w:ilvl w:val="2"/>
          <w:numId w:val="8"/>
        </w:numPr>
        <w:snapToGrid w:val="0"/>
        <w:spacing w:line="360" w:lineRule="auto"/>
        <w:rPr>
          <w:sz w:val="24"/>
          <w:highlight w:val="none"/>
        </w:rPr>
      </w:pPr>
      <w:r>
        <w:rPr>
          <w:sz w:val="24"/>
          <w:highlight w:val="none"/>
        </w:rPr>
        <w:t>响应有效期内</w:t>
      </w:r>
      <w:r>
        <w:rPr>
          <w:rFonts w:hint="eastAsia"/>
          <w:sz w:val="24"/>
          <w:highlight w:val="none"/>
        </w:rPr>
        <w:t>供应商</w:t>
      </w:r>
      <w:r>
        <w:rPr>
          <w:sz w:val="24"/>
          <w:highlight w:val="none"/>
        </w:rPr>
        <w:t>撤销响应文件的；</w:t>
      </w:r>
    </w:p>
    <w:p w14:paraId="21B5D1E0">
      <w:pPr>
        <w:numPr>
          <w:ilvl w:val="2"/>
          <w:numId w:val="8"/>
        </w:numPr>
        <w:tabs>
          <w:tab w:val="left" w:pos="900"/>
          <w:tab w:val="left" w:pos="1080"/>
          <w:tab w:val="left" w:pos="2014"/>
        </w:tabs>
        <w:snapToGrid w:val="0"/>
        <w:spacing w:line="360" w:lineRule="auto"/>
        <w:rPr>
          <w:sz w:val="24"/>
          <w:highlight w:val="none"/>
        </w:rPr>
      </w:pPr>
      <w:r>
        <w:rPr>
          <w:sz w:val="24"/>
          <w:highlight w:val="none"/>
        </w:rPr>
        <w:t>《</w:t>
      </w:r>
      <w:r>
        <w:rPr>
          <w:rFonts w:hint="eastAsia"/>
          <w:sz w:val="24"/>
          <w:highlight w:val="none"/>
        </w:rPr>
        <w:t>供应商</w:t>
      </w:r>
      <w:r>
        <w:rPr>
          <w:sz w:val="24"/>
          <w:highlight w:val="none"/>
        </w:rPr>
        <w:t>须知资料表》中规定的其他情形。</w:t>
      </w:r>
    </w:p>
    <w:p w14:paraId="0E42B47D">
      <w:pPr>
        <w:numPr>
          <w:ilvl w:val="0"/>
          <w:numId w:val="8"/>
        </w:numPr>
        <w:tabs>
          <w:tab w:val="left" w:pos="360"/>
        </w:tabs>
        <w:snapToGrid w:val="0"/>
        <w:spacing w:line="360" w:lineRule="auto"/>
        <w:ind w:left="357" w:hanging="357"/>
        <w:outlineLvl w:val="1"/>
        <w:rPr>
          <w:sz w:val="24"/>
          <w:highlight w:val="none"/>
        </w:rPr>
      </w:pPr>
      <w:bookmarkStart w:id="332" w:name="_Toc226965805"/>
      <w:bookmarkStart w:id="333" w:name="_Toc150774632"/>
      <w:bookmarkStart w:id="334" w:name="_Toc127151733"/>
      <w:bookmarkStart w:id="335" w:name="_Toc264969222"/>
      <w:bookmarkStart w:id="336" w:name="_Toc164608646"/>
      <w:bookmarkStart w:id="337" w:name="_Toc226337228"/>
      <w:bookmarkStart w:id="338" w:name="_Toc151193846"/>
      <w:bookmarkStart w:id="339" w:name="_Toc150509283"/>
      <w:bookmarkStart w:id="340" w:name="_Toc195842897"/>
      <w:bookmarkStart w:id="341" w:name="_Toc150480770"/>
      <w:bookmarkStart w:id="342" w:name="_Toc226309776"/>
      <w:bookmarkStart w:id="343" w:name="_Toc149720825"/>
      <w:bookmarkStart w:id="344" w:name="_Toc150774737"/>
      <w:bookmarkStart w:id="345" w:name="_Toc164229227"/>
      <w:bookmarkStart w:id="346" w:name="_Toc142311034"/>
      <w:bookmarkStart w:id="347" w:name="_Toc520356157"/>
      <w:bookmarkStart w:id="348" w:name="_Toc151193630"/>
      <w:bookmarkStart w:id="349" w:name="_Toc151193702"/>
      <w:bookmarkStart w:id="350" w:name="_Toc151190159"/>
      <w:bookmarkStart w:id="351" w:name="_Toc127161446"/>
      <w:bookmarkStart w:id="352" w:name="_Toc151193920"/>
      <w:bookmarkStart w:id="353" w:name="_Toc151193774"/>
      <w:bookmarkStart w:id="354" w:name="_Toc305158800"/>
      <w:bookmarkStart w:id="355" w:name="_Toc127151532"/>
      <w:bookmarkStart w:id="356" w:name="_Toc305158874"/>
      <w:bookmarkStart w:id="357" w:name="_Toc164608801"/>
      <w:bookmarkStart w:id="358" w:name="_Toc164229373"/>
      <w:bookmarkStart w:id="359" w:name="_Toc164351626"/>
      <w:bookmarkStart w:id="360" w:name="_Toc226965722"/>
      <w:bookmarkStart w:id="361" w:name="_Toc265228370"/>
      <w:r>
        <w:rPr>
          <w:sz w:val="24"/>
          <w:highlight w:val="none"/>
        </w:rPr>
        <w:t>响应有效期</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14:paraId="38D7F3E9">
      <w:pPr>
        <w:numPr>
          <w:ilvl w:val="1"/>
          <w:numId w:val="8"/>
        </w:numPr>
        <w:tabs>
          <w:tab w:val="left" w:pos="1080"/>
          <w:tab w:val="left" w:pos="2014"/>
        </w:tabs>
        <w:snapToGrid w:val="0"/>
        <w:spacing w:line="360" w:lineRule="auto"/>
        <w:ind w:left="1077" w:hanging="720"/>
        <w:rPr>
          <w:sz w:val="24"/>
          <w:highlight w:val="none"/>
        </w:rPr>
      </w:pPr>
      <w:r>
        <w:rPr>
          <w:rFonts w:hint="eastAsia"/>
          <w:sz w:val="24"/>
          <w:highlight w:val="none"/>
        </w:rPr>
        <w:t>响应</w:t>
      </w:r>
      <w:r>
        <w:rPr>
          <w:sz w:val="24"/>
          <w:highlight w:val="none"/>
        </w:rPr>
        <w:t>文件应在本</w:t>
      </w:r>
      <w:r>
        <w:rPr>
          <w:rFonts w:hint="eastAsia"/>
          <w:sz w:val="24"/>
          <w:highlight w:val="none"/>
        </w:rPr>
        <w:t>征集</w:t>
      </w:r>
      <w:r>
        <w:rPr>
          <w:sz w:val="24"/>
          <w:highlight w:val="none"/>
        </w:rPr>
        <w:t>文件《</w:t>
      </w:r>
      <w:r>
        <w:rPr>
          <w:rFonts w:hint="eastAsia"/>
          <w:sz w:val="24"/>
          <w:highlight w:val="none"/>
        </w:rPr>
        <w:t>供应商</w:t>
      </w:r>
      <w:r>
        <w:rPr>
          <w:sz w:val="24"/>
          <w:highlight w:val="none"/>
        </w:rPr>
        <w:t>须知资料表》中规定的响应有效期内保持有效，响应有效期少于</w:t>
      </w:r>
      <w:r>
        <w:rPr>
          <w:rFonts w:hint="eastAsia"/>
          <w:sz w:val="24"/>
          <w:highlight w:val="none"/>
        </w:rPr>
        <w:t>征集</w:t>
      </w:r>
      <w:r>
        <w:rPr>
          <w:sz w:val="24"/>
          <w:highlight w:val="none"/>
        </w:rPr>
        <w:t>文件规定期限的，其</w:t>
      </w:r>
      <w:r>
        <w:rPr>
          <w:b/>
          <w:sz w:val="24"/>
          <w:highlight w:val="none"/>
        </w:rPr>
        <w:t>响应无效</w:t>
      </w:r>
      <w:r>
        <w:rPr>
          <w:sz w:val="24"/>
          <w:highlight w:val="none"/>
        </w:rPr>
        <w:t>。</w:t>
      </w:r>
    </w:p>
    <w:p w14:paraId="7BC51844">
      <w:pPr>
        <w:numPr>
          <w:ilvl w:val="0"/>
          <w:numId w:val="8"/>
        </w:numPr>
        <w:tabs>
          <w:tab w:val="left" w:pos="360"/>
        </w:tabs>
        <w:snapToGrid w:val="0"/>
        <w:spacing w:line="360" w:lineRule="auto"/>
        <w:ind w:left="357" w:hanging="357"/>
        <w:outlineLvl w:val="1"/>
        <w:rPr>
          <w:sz w:val="24"/>
          <w:highlight w:val="none"/>
        </w:rPr>
      </w:pPr>
      <w:bookmarkStart w:id="362" w:name="_Toc164229228"/>
      <w:bookmarkStart w:id="363" w:name="_Toc127161447"/>
      <w:bookmarkStart w:id="364" w:name="_Toc151193703"/>
      <w:bookmarkStart w:id="365" w:name="_Toc151190160"/>
      <w:bookmarkStart w:id="366" w:name="_Toc127151533"/>
      <w:bookmarkStart w:id="367" w:name="_Toc226965723"/>
      <w:bookmarkStart w:id="368" w:name="_Toc150774738"/>
      <w:bookmarkStart w:id="369" w:name="_Toc150774633"/>
      <w:bookmarkStart w:id="370" w:name="_Toc305158801"/>
      <w:bookmarkStart w:id="371" w:name="_Toc164351627"/>
      <w:bookmarkStart w:id="372" w:name="_Toc151193847"/>
      <w:bookmarkStart w:id="373" w:name="_Toc150480771"/>
      <w:bookmarkStart w:id="374" w:name="_Toc305158875"/>
      <w:bookmarkStart w:id="375" w:name="_Toc149720826"/>
      <w:bookmarkStart w:id="376" w:name="_Toc151193631"/>
      <w:bookmarkStart w:id="377" w:name="_Toc164608647"/>
      <w:bookmarkStart w:id="378" w:name="_Toc264969223"/>
      <w:bookmarkStart w:id="379" w:name="_Toc164608802"/>
      <w:bookmarkStart w:id="380" w:name="_Toc142311035"/>
      <w:bookmarkStart w:id="381" w:name="_Toc195842898"/>
      <w:bookmarkStart w:id="382" w:name="_Toc151193775"/>
      <w:bookmarkStart w:id="383" w:name="_Toc226965806"/>
      <w:bookmarkStart w:id="384" w:name="_Toc127151734"/>
      <w:bookmarkStart w:id="385" w:name="_Toc150509284"/>
      <w:bookmarkStart w:id="386" w:name="_Toc265228371"/>
      <w:bookmarkStart w:id="387" w:name="_Toc520356158"/>
      <w:bookmarkStart w:id="388" w:name="_Toc164229374"/>
      <w:bookmarkStart w:id="389" w:name="_Toc226309777"/>
      <w:bookmarkStart w:id="390" w:name="_Toc226337229"/>
      <w:bookmarkStart w:id="391" w:name="_Toc151193921"/>
      <w:r>
        <w:rPr>
          <w:rFonts w:hint="eastAsia"/>
          <w:sz w:val="24"/>
          <w:highlight w:val="none"/>
        </w:rPr>
        <w:t>响应</w:t>
      </w:r>
      <w:r>
        <w:rPr>
          <w:sz w:val="24"/>
          <w:highlight w:val="none"/>
        </w:rPr>
        <w:t>文件的签署</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Pr>
          <w:sz w:val="24"/>
          <w:highlight w:val="none"/>
        </w:rPr>
        <w:t>、盖章</w:t>
      </w:r>
    </w:p>
    <w:p w14:paraId="6DEDC728">
      <w:pPr>
        <w:numPr>
          <w:ilvl w:val="1"/>
          <w:numId w:val="8"/>
        </w:numPr>
        <w:tabs>
          <w:tab w:val="left" w:pos="1080"/>
          <w:tab w:val="left" w:pos="2014"/>
        </w:tabs>
        <w:snapToGrid w:val="0"/>
        <w:spacing w:line="360" w:lineRule="auto"/>
        <w:ind w:left="1077" w:hanging="720"/>
        <w:rPr>
          <w:sz w:val="24"/>
          <w:highlight w:val="none"/>
        </w:rPr>
      </w:pPr>
      <w:bookmarkStart w:id="392" w:name="_Toc226965724"/>
      <w:bookmarkStart w:id="393" w:name="_Toc305158802"/>
      <w:bookmarkStart w:id="394" w:name="_Toc265228372"/>
      <w:bookmarkStart w:id="395" w:name="_Toc151193632"/>
      <w:bookmarkStart w:id="396" w:name="_Toc305158876"/>
      <w:bookmarkStart w:id="397" w:name="_Toc151193776"/>
      <w:bookmarkStart w:id="398" w:name="_Toc151190161"/>
      <w:bookmarkStart w:id="399" w:name="_Toc151193848"/>
      <w:bookmarkStart w:id="400" w:name="_Toc264969224"/>
      <w:bookmarkStart w:id="401" w:name="_Toc150774739"/>
      <w:bookmarkStart w:id="402" w:name="_Toc150480772"/>
      <w:bookmarkStart w:id="403" w:name="_Toc226965807"/>
      <w:bookmarkStart w:id="404" w:name="_Toc151193922"/>
      <w:bookmarkStart w:id="405" w:name="_Toc151193704"/>
      <w:bookmarkStart w:id="406" w:name="_Toc150509285"/>
      <w:bookmarkStart w:id="407" w:name="_Toc142311036"/>
      <w:bookmarkStart w:id="408" w:name="_Toc150774634"/>
      <w:bookmarkStart w:id="409" w:name="_Toc195842899"/>
      <w:bookmarkStart w:id="410" w:name="_Toc226309778"/>
      <w:bookmarkStart w:id="411" w:name="_Toc520356159"/>
      <w:bookmarkStart w:id="412" w:name="_Toc127151534"/>
      <w:bookmarkStart w:id="413" w:name="_Toc226337230"/>
      <w:r>
        <w:rPr>
          <w:rFonts w:hint="eastAsia"/>
          <w:sz w:val="24"/>
          <w:highlight w:val="none"/>
        </w:rPr>
        <w:t>征集</w:t>
      </w:r>
      <w:r>
        <w:rPr>
          <w:sz w:val="24"/>
          <w:highlight w:val="none"/>
        </w:rPr>
        <w:t>文件要求签字的内容（如授权委托书等），可以使用电子签章或使用原件的电子件（电子件指扫描件、照片等形式电子文件）；要求第三方出具的盖章件原件（如联合协议、分包意向协议、制造商授权书等），</w:t>
      </w:r>
      <w:r>
        <w:rPr>
          <w:rFonts w:hint="eastAsia"/>
          <w:sz w:val="24"/>
          <w:highlight w:val="none"/>
        </w:rPr>
        <w:t>响应</w:t>
      </w:r>
      <w:r>
        <w:rPr>
          <w:sz w:val="24"/>
          <w:highlight w:val="none"/>
        </w:rPr>
        <w:t>文件中应使用原件的电子件。</w:t>
      </w:r>
    </w:p>
    <w:p w14:paraId="251E45D0">
      <w:pPr>
        <w:numPr>
          <w:ilvl w:val="1"/>
          <w:numId w:val="8"/>
        </w:numPr>
        <w:tabs>
          <w:tab w:val="left" w:pos="1080"/>
          <w:tab w:val="left" w:pos="2014"/>
        </w:tabs>
        <w:snapToGrid w:val="0"/>
        <w:spacing w:line="360" w:lineRule="auto"/>
        <w:ind w:left="1077" w:hanging="720"/>
        <w:rPr>
          <w:sz w:val="24"/>
          <w:highlight w:val="none"/>
        </w:rPr>
      </w:pPr>
      <w:r>
        <w:rPr>
          <w:rFonts w:hint="eastAsia"/>
          <w:sz w:val="24"/>
          <w:highlight w:val="none"/>
        </w:rPr>
        <w:t>征集</w:t>
      </w:r>
      <w:r>
        <w:rPr>
          <w:sz w:val="24"/>
          <w:highlight w:val="none"/>
        </w:rPr>
        <w:t>文件要求盖章的内容，一般通过</w:t>
      </w:r>
      <w:r>
        <w:rPr>
          <w:rFonts w:hint="eastAsia"/>
          <w:sz w:val="24"/>
          <w:highlight w:val="none"/>
        </w:rPr>
        <w:t>投标</w:t>
      </w:r>
      <w:r>
        <w:rPr>
          <w:sz w:val="24"/>
          <w:highlight w:val="none"/>
        </w:rPr>
        <w:t>文件编制工具加盖电子签章。</w:t>
      </w:r>
    </w:p>
    <w:p w14:paraId="2E9D234E">
      <w:pPr>
        <w:tabs>
          <w:tab w:val="left" w:pos="900"/>
          <w:tab w:val="left" w:pos="1080"/>
        </w:tabs>
        <w:snapToGrid w:val="0"/>
        <w:spacing w:line="360" w:lineRule="auto"/>
        <w:ind w:left="357"/>
        <w:rPr>
          <w:highlight w:val="none"/>
        </w:rPr>
      </w:pPr>
    </w:p>
    <w:p w14:paraId="3E666339">
      <w:pPr>
        <w:pStyle w:val="3"/>
        <w:spacing w:before="0" w:line="360" w:lineRule="auto"/>
        <w:rPr>
          <w:rFonts w:ascii="Times New Roman" w:hAnsi="Times New Roman" w:eastAsia="宋体"/>
          <w:sz w:val="28"/>
          <w:highlight w:val="none"/>
        </w:rPr>
      </w:pPr>
      <w:r>
        <w:rPr>
          <w:rFonts w:ascii="Times New Roman" w:hAnsi="Times New Roman" w:eastAsia="宋体"/>
          <w:sz w:val="28"/>
          <w:highlight w:val="none"/>
        </w:rPr>
        <w:t xml:space="preserve">四   </w:t>
      </w:r>
      <w:r>
        <w:rPr>
          <w:rFonts w:hint="eastAsia" w:ascii="Times New Roman" w:hAnsi="Times New Roman" w:eastAsia="宋体"/>
          <w:sz w:val="28"/>
          <w:highlight w:val="none"/>
        </w:rPr>
        <w:t>响应</w:t>
      </w:r>
      <w:r>
        <w:rPr>
          <w:rFonts w:ascii="Times New Roman" w:hAnsi="Times New Roman" w:eastAsia="宋体"/>
          <w:sz w:val="28"/>
          <w:highlight w:val="none"/>
        </w:rPr>
        <w:t>文件的提交</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14:paraId="092AF635">
      <w:pPr>
        <w:numPr>
          <w:ilvl w:val="0"/>
          <w:numId w:val="8"/>
        </w:numPr>
        <w:tabs>
          <w:tab w:val="left" w:pos="360"/>
        </w:tabs>
        <w:snapToGrid w:val="0"/>
        <w:spacing w:line="360" w:lineRule="auto"/>
        <w:ind w:left="357" w:hanging="357"/>
        <w:outlineLvl w:val="1"/>
        <w:rPr>
          <w:sz w:val="24"/>
          <w:highlight w:val="none"/>
        </w:rPr>
      </w:pPr>
      <w:bookmarkStart w:id="414" w:name="_Toc151193705"/>
      <w:bookmarkStart w:id="415" w:name="_Toc164351629"/>
      <w:bookmarkStart w:id="416" w:name="_Toc226337231"/>
      <w:bookmarkStart w:id="417" w:name="_Toc265228373"/>
      <w:bookmarkStart w:id="418" w:name="_Toc164229230"/>
      <w:bookmarkStart w:id="419" w:name="_Toc305158877"/>
      <w:bookmarkStart w:id="420" w:name="_Toc151193777"/>
      <w:bookmarkStart w:id="421" w:name="_Toc150509286"/>
      <w:bookmarkStart w:id="422" w:name="_Toc151193633"/>
      <w:bookmarkStart w:id="423" w:name="_Toc150774740"/>
      <w:bookmarkStart w:id="424" w:name="_Toc151190162"/>
      <w:bookmarkStart w:id="425" w:name="_Toc520356160"/>
      <w:bookmarkStart w:id="426" w:name="_Toc226965808"/>
      <w:bookmarkStart w:id="427" w:name="_Toc127151736"/>
      <w:bookmarkStart w:id="428" w:name="_Toc142311037"/>
      <w:bookmarkStart w:id="429" w:name="_Toc164608804"/>
      <w:bookmarkStart w:id="430" w:name="_Toc195842900"/>
      <w:bookmarkStart w:id="431" w:name="_Toc226965725"/>
      <w:bookmarkStart w:id="432" w:name="_Toc150480773"/>
      <w:bookmarkStart w:id="433" w:name="_Toc164608649"/>
      <w:bookmarkStart w:id="434" w:name="_Toc149720828"/>
      <w:bookmarkStart w:id="435" w:name="_Toc305158803"/>
      <w:bookmarkStart w:id="436" w:name="_Toc150774635"/>
      <w:bookmarkStart w:id="437" w:name="_Toc127151535"/>
      <w:bookmarkStart w:id="438" w:name="_Toc164229376"/>
      <w:bookmarkStart w:id="439" w:name="_Toc151193923"/>
      <w:bookmarkStart w:id="440" w:name="_Toc226309779"/>
      <w:bookmarkStart w:id="441" w:name="_Toc127161449"/>
      <w:bookmarkStart w:id="442" w:name="_Toc151193849"/>
      <w:bookmarkStart w:id="443" w:name="_Toc264969225"/>
      <w:r>
        <w:rPr>
          <w:rFonts w:hint="eastAsia"/>
          <w:sz w:val="24"/>
          <w:highlight w:val="none"/>
        </w:rPr>
        <w:t>响应</w:t>
      </w:r>
      <w:r>
        <w:rPr>
          <w:sz w:val="24"/>
          <w:highlight w:val="none"/>
        </w:rPr>
        <w:t>文件的</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Pr>
          <w:sz w:val="24"/>
          <w:highlight w:val="none"/>
        </w:rPr>
        <w:t>提交</w:t>
      </w:r>
    </w:p>
    <w:p w14:paraId="5C4C64B4">
      <w:pPr>
        <w:numPr>
          <w:ilvl w:val="1"/>
          <w:numId w:val="8"/>
        </w:numPr>
        <w:tabs>
          <w:tab w:val="left" w:pos="1080"/>
          <w:tab w:val="left" w:pos="2014"/>
        </w:tabs>
        <w:snapToGrid w:val="0"/>
        <w:spacing w:line="360" w:lineRule="auto"/>
        <w:ind w:left="1077" w:hanging="720"/>
        <w:rPr>
          <w:sz w:val="24"/>
          <w:highlight w:val="none"/>
        </w:rPr>
      </w:pPr>
      <w:r>
        <w:rPr>
          <w:sz w:val="24"/>
          <w:highlight w:val="none"/>
        </w:rPr>
        <w:t>本项目使用北京市政府采购电子交易平台。</w:t>
      </w:r>
      <w:r>
        <w:rPr>
          <w:rFonts w:hint="eastAsia"/>
          <w:sz w:val="24"/>
          <w:highlight w:val="none"/>
        </w:rPr>
        <w:t>供应商</w:t>
      </w:r>
      <w:r>
        <w:rPr>
          <w:sz w:val="24"/>
          <w:highlight w:val="none"/>
        </w:rPr>
        <w:t>根据</w:t>
      </w:r>
      <w:r>
        <w:rPr>
          <w:rFonts w:hint="eastAsia"/>
          <w:sz w:val="24"/>
          <w:highlight w:val="none"/>
        </w:rPr>
        <w:t>征集</w:t>
      </w:r>
      <w:r>
        <w:rPr>
          <w:sz w:val="24"/>
          <w:highlight w:val="none"/>
        </w:rPr>
        <w:t>文件及电子交易平台供应商操作手册要求编制、生成并提交电子响应文件。</w:t>
      </w:r>
    </w:p>
    <w:p w14:paraId="7A362BC9">
      <w:pPr>
        <w:numPr>
          <w:ilvl w:val="1"/>
          <w:numId w:val="8"/>
        </w:numPr>
        <w:tabs>
          <w:tab w:val="left" w:pos="1080"/>
          <w:tab w:val="left" w:pos="2014"/>
        </w:tabs>
        <w:snapToGrid w:val="0"/>
        <w:spacing w:line="360" w:lineRule="auto"/>
        <w:ind w:left="1077" w:hanging="720"/>
        <w:rPr>
          <w:sz w:val="24"/>
          <w:highlight w:val="none"/>
        </w:rPr>
      </w:pPr>
      <w:r>
        <w:rPr>
          <w:rFonts w:hint="eastAsia"/>
          <w:sz w:val="24"/>
          <w:highlight w:val="none"/>
        </w:rPr>
        <w:t>征集人</w:t>
      </w:r>
      <w:r>
        <w:rPr>
          <w:sz w:val="24"/>
          <w:highlight w:val="none"/>
        </w:rPr>
        <w:t>拒绝接受通过电子交易平台以外任何形式提交的响应文件，响应保证金除外。</w:t>
      </w:r>
    </w:p>
    <w:p w14:paraId="576FE644">
      <w:pPr>
        <w:numPr>
          <w:ilvl w:val="0"/>
          <w:numId w:val="8"/>
        </w:numPr>
        <w:tabs>
          <w:tab w:val="left" w:pos="360"/>
        </w:tabs>
        <w:snapToGrid w:val="0"/>
        <w:spacing w:line="360" w:lineRule="auto"/>
        <w:ind w:left="357" w:hanging="357"/>
        <w:outlineLvl w:val="1"/>
        <w:rPr>
          <w:sz w:val="24"/>
          <w:highlight w:val="none"/>
        </w:rPr>
      </w:pPr>
      <w:bookmarkStart w:id="444" w:name="_Toc305158878"/>
      <w:bookmarkStart w:id="445" w:name="_Toc195842901"/>
      <w:bookmarkStart w:id="446" w:name="_Toc226965726"/>
      <w:bookmarkStart w:id="447" w:name="_Toc164351630"/>
      <w:bookmarkStart w:id="448" w:name="_Toc127151737"/>
      <w:bookmarkStart w:id="449" w:name="_Toc520356161"/>
      <w:bookmarkStart w:id="450" w:name="_Toc150774636"/>
      <w:bookmarkStart w:id="451" w:name="_Toc127151536"/>
      <w:bookmarkStart w:id="452" w:name="_Toc164229231"/>
      <w:bookmarkStart w:id="453" w:name="_Toc226309780"/>
      <w:bookmarkStart w:id="454" w:name="_Toc151190163"/>
      <w:bookmarkStart w:id="455" w:name="_Toc150774741"/>
      <w:bookmarkStart w:id="456" w:name="_Toc149720829"/>
      <w:bookmarkStart w:id="457" w:name="_Toc151193706"/>
      <w:bookmarkStart w:id="458" w:name="_Toc164229377"/>
      <w:bookmarkStart w:id="459" w:name="_Toc164608650"/>
      <w:bookmarkStart w:id="460" w:name="_Toc264969226"/>
      <w:bookmarkStart w:id="461" w:name="_Toc151193924"/>
      <w:bookmarkStart w:id="462" w:name="_Toc151193778"/>
      <w:bookmarkStart w:id="463" w:name="_Toc127161450"/>
      <w:bookmarkStart w:id="464" w:name="_Toc226965809"/>
      <w:bookmarkStart w:id="465" w:name="_Toc265228374"/>
      <w:bookmarkStart w:id="466" w:name="_Toc142311038"/>
      <w:bookmarkStart w:id="467" w:name="_Toc150509287"/>
      <w:bookmarkStart w:id="468" w:name="_Toc151193634"/>
      <w:bookmarkStart w:id="469" w:name="_Toc226337232"/>
      <w:bookmarkStart w:id="470" w:name="_Toc305158804"/>
      <w:bookmarkStart w:id="471" w:name="_Toc151193850"/>
      <w:bookmarkStart w:id="472" w:name="_Toc164608805"/>
      <w:bookmarkStart w:id="473" w:name="_Toc150480774"/>
      <w:r>
        <w:rPr>
          <w:sz w:val="24"/>
          <w:highlight w:val="none"/>
        </w:rPr>
        <w:t>响应截止</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r>
        <w:rPr>
          <w:sz w:val="24"/>
          <w:highlight w:val="none"/>
        </w:rPr>
        <w:t>时间</w:t>
      </w:r>
    </w:p>
    <w:p w14:paraId="79EC1CC4">
      <w:pPr>
        <w:numPr>
          <w:ilvl w:val="1"/>
          <w:numId w:val="8"/>
        </w:numPr>
        <w:tabs>
          <w:tab w:val="left" w:pos="1080"/>
          <w:tab w:val="left" w:pos="2014"/>
        </w:tabs>
        <w:snapToGrid w:val="0"/>
        <w:spacing w:line="360" w:lineRule="auto"/>
        <w:ind w:left="1077" w:hanging="720"/>
        <w:rPr>
          <w:sz w:val="24"/>
          <w:highlight w:val="none"/>
        </w:rPr>
      </w:pPr>
      <w:r>
        <w:rPr>
          <w:rFonts w:hint="eastAsia"/>
          <w:sz w:val="24"/>
          <w:highlight w:val="none"/>
        </w:rPr>
        <w:t>供应商</w:t>
      </w:r>
      <w:r>
        <w:rPr>
          <w:sz w:val="24"/>
          <w:highlight w:val="none"/>
        </w:rPr>
        <w:t>应在</w:t>
      </w:r>
      <w:r>
        <w:rPr>
          <w:rFonts w:hint="eastAsia"/>
          <w:sz w:val="24"/>
          <w:highlight w:val="none"/>
        </w:rPr>
        <w:t>征集</w:t>
      </w:r>
      <w:r>
        <w:rPr>
          <w:sz w:val="24"/>
          <w:highlight w:val="none"/>
        </w:rPr>
        <w:t>文件要求提交</w:t>
      </w:r>
      <w:r>
        <w:rPr>
          <w:rFonts w:hint="eastAsia"/>
          <w:sz w:val="24"/>
          <w:highlight w:val="none"/>
        </w:rPr>
        <w:t>响应</w:t>
      </w:r>
      <w:r>
        <w:rPr>
          <w:sz w:val="24"/>
          <w:highlight w:val="none"/>
        </w:rPr>
        <w:t>文件截止时间前，将电子</w:t>
      </w:r>
      <w:r>
        <w:rPr>
          <w:rFonts w:hint="eastAsia"/>
          <w:sz w:val="24"/>
          <w:highlight w:val="none"/>
        </w:rPr>
        <w:t>响应</w:t>
      </w:r>
      <w:r>
        <w:rPr>
          <w:sz w:val="24"/>
          <w:highlight w:val="none"/>
        </w:rPr>
        <w:t>文件提交至电子交易平台。</w:t>
      </w:r>
    </w:p>
    <w:p w14:paraId="533DF041">
      <w:pPr>
        <w:numPr>
          <w:ilvl w:val="0"/>
          <w:numId w:val="8"/>
        </w:numPr>
        <w:tabs>
          <w:tab w:val="left" w:pos="360"/>
        </w:tabs>
        <w:snapToGrid w:val="0"/>
        <w:spacing w:line="360" w:lineRule="auto"/>
        <w:ind w:left="357" w:hanging="357"/>
        <w:outlineLvl w:val="1"/>
        <w:rPr>
          <w:sz w:val="24"/>
          <w:highlight w:val="none"/>
        </w:rPr>
      </w:pPr>
      <w:bookmarkStart w:id="474" w:name="_Toc226965810"/>
      <w:bookmarkStart w:id="475" w:name="_Toc226337233"/>
      <w:bookmarkStart w:id="476" w:name="_Toc520356162"/>
      <w:bookmarkStart w:id="477" w:name="_Toc151193851"/>
      <w:bookmarkStart w:id="478" w:name="_Toc305158805"/>
      <w:bookmarkStart w:id="479" w:name="_Toc265228375"/>
      <w:bookmarkStart w:id="480" w:name="_Toc150509288"/>
      <w:bookmarkStart w:id="481" w:name="_Toc150480775"/>
      <w:bookmarkStart w:id="482" w:name="_Toc264969227"/>
      <w:bookmarkStart w:id="483" w:name="_Toc150774637"/>
      <w:bookmarkStart w:id="484" w:name="_Toc151193925"/>
      <w:bookmarkStart w:id="485" w:name="_Toc151193707"/>
      <w:bookmarkStart w:id="486" w:name="_Toc164229378"/>
      <w:bookmarkStart w:id="487" w:name="_Toc127161451"/>
      <w:bookmarkStart w:id="488" w:name="_Toc195842902"/>
      <w:bookmarkStart w:id="489" w:name="_Toc127151537"/>
      <w:bookmarkStart w:id="490" w:name="_Toc226309781"/>
      <w:bookmarkStart w:id="491" w:name="_Toc226965727"/>
      <w:bookmarkStart w:id="492" w:name="_Toc164608651"/>
      <w:bookmarkStart w:id="493" w:name="_Toc151193635"/>
      <w:bookmarkStart w:id="494" w:name="_Toc151190164"/>
      <w:bookmarkStart w:id="495" w:name="_Toc151193779"/>
      <w:bookmarkStart w:id="496" w:name="_Toc142311039"/>
      <w:bookmarkStart w:id="497" w:name="_Toc305158879"/>
      <w:bookmarkStart w:id="498" w:name="_Toc164351631"/>
      <w:bookmarkStart w:id="499" w:name="_Toc149720830"/>
      <w:bookmarkStart w:id="500" w:name="_Toc127151738"/>
      <w:bookmarkStart w:id="501" w:name="_Toc164229232"/>
      <w:bookmarkStart w:id="502" w:name="_Toc164608806"/>
      <w:bookmarkStart w:id="503" w:name="_Toc150774742"/>
      <w:r>
        <w:rPr>
          <w:rFonts w:hint="eastAsia"/>
          <w:sz w:val="24"/>
          <w:highlight w:val="none"/>
        </w:rPr>
        <w:t>响应</w:t>
      </w:r>
      <w:r>
        <w:rPr>
          <w:sz w:val="24"/>
          <w:highlight w:val="none"/>
        </w:rPr>
        <w:t>文件的修改与撤回</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14:paraId="2DAA5E01">
      <w:pPr>
        <w:numPr>
          <w:ilvl w:val="1"/>
          <w:numId w:val="8"/>
        </w:numPr>
        <w:tabs>
          <w:tab w:val="left" w:pos="1080"/>
          <w:tab w:val="left" w:pos="2014"/>
        </w:tabs>
        <w:snapToGrid w:val="0"/>
        <w:spacing w:line="360" w:lineRule="auto"/>
        <w:ind w:left="1077" w:hanging="720"/>
        <w:rPr>
          <w:sz w:val="24"/>
          <w:highlight w:val="none"/>
        </w:rPr>
      </w:pPr>
      <w:r>
        <w:rPr>
          <w:sz w:val="24"/>
          <w:highlight w:val="none"/>
        </w:rPr>
        <w:t>响应截止时间前，</w:t>
      </w:r>
      <w:r>
        <w:rPr>
          <w:rFonts w:hint="eastAsia"/>
          <w:sz w:val="24"/>
          <w:highlight w:val="none"/>
        </w:rPr>
        <w:t>供应商</w:t>
      </w:r>
      <w:r>
        <w:rPr>
          <w:sz w:val="24"/>
          <w:highlight w:val="none"/>
        </w:rPr>
        <w:t>可以通过电子交易平台对所提交的</w:t>
      </w:r>
      <w:r>
        <w:rPr>
          <w:rFonts w:hint="eastAsia"/>
          <w:sz w:val="24"/>
          <w:highlight w:val="none"/>
        </w:rPr>
        <w:t>响应</w:t>
      </w:r>
      <w:r>
        <w:rPr>
          <w:sz w:val="24"/>
          <w:highlight w:val="none"/>
        </w:rPr>
        <w:t>文件进行补充、修改或者撤回。</w:t>
      </w:r>
      <w:r>
        <w:rPr>
          <w:color w:val="000000"/>
          <w:sz w:val="24"/>
          <w:highlight w:val="none"/>
        </w:rPr>
        <w:t>响应保证金的</w:t>
      </w:r>
      <w:r>
        <w:rPr>
          <w:sz w:val="24"/>
          <w:highlight w:val="none"/>
        </w:rPr>
        <w:t>补充、修改或者撤回无需通过电子交易平台，但应就其补充、修改或者撤回通知</w:t>
      </w:r>
      <w:r>
        <w:rPr>
          <w:rFonts w:hint="eastAsia"/>
          <w:sz w:val="24"/>
          <w:highlight w:val="none"/>
        </w:rPr>
        <w:t>征集人</w:t>
      </w:r>
      <w:r>
        <w:rPr>
          <w:sz w:val="24"/>
          <w:highlight w:val="none"/>
        </w:rPr>
        <w:t>。</w:t>
      </w:r>
    </w:p>
    <w:p w14:paraId="789AC76D">
      <w:pPr>
        <w:numPr>
          <w:ilvl w:val="1"/>
          <w:numId w:val="8"/>
        </w:numPr>
        <w:tabs>
          <w:tab w:val="left" w:pos="1080"/>
          <w:tab w:val="left" w:pos="2014"/>
        </w:tabs>
        <w:snapToGrid w:val="0"/>
        <w:spacing w:line="360" w:lineRule="auto"/>
        <w:ind w:left="1077" w:hanging="720"/>
        <w:rPr>
          <w:sz w:val="24"/>
          <w:highlight w:val="none"/>
        </w:rPr>
      </w:pPr>
      <w:r>
        <w:rPr>
          <w:rFonts w:hint="eastAsia"/>
          <w:sz w:val="24"/>
          <w:highlight w:val="none"/>
        </w:rPr>
        <w:t>供应商</w:t>
      </w:r>
      <w:r>
        <w:rPr>
          <w:sz w:val="24"/>
          <w:highlight w:val="none"/>
        </w:rPr>
        <w:t>对</w:t>
      </w:r>
      <w:r>
        <w:rPr>
          <w:rFonts w:hint="eastAsia"/>
          <w:sz w:val="24"/>
          <w:highlight w:val="none"/>
        </w:rPr>
        <w:t>响应</w:t>
      </w:r>
      <w:r>
        <w:rPr>
          <w:sz w:val="24"/>
          <w:highlight w:val="none"/>
        </w:rPr>
        <w:t>文件的补充、修改的内容应当按照</w:t>
      </w:r>
      <w:r>
        <w:rPr>
          <w:rFonts w:hint="eastAsia"/>
          <w:sz w:val="24"/>
          <w:highlight w:val="none"/>
        </w:rPr>
        <w:t>征集</w:t>
      </w:r>
      <w:r>
        <w:rPr>
          <w:sz w:val="24"/>
          <w:highlight w:val="none"/>
        </w:rPr>
        <w:t>文件要求签署、盖章，作为</w:t>
      </w:r>
      <w:r>
        <w:rPr>
          <w:rFonts w:hint="eastAsia"/>
          <w:sz w:val="24"/>
          <w:highlight w:val="none"/>
        </w:rPr>
        <w:t>响应</w:t>
      </w:r>
      <w:r>
        <w:rPr>
          <w:sz w:val="24"/>
          <w:highlight w:val="none"/>
        </w:rPr>
        <w:t>文件的组成部分。</w:t>
      </w:r>
    </w:p>
    <w:p w14:paraId="391CAC09">
      <w:pPr>
        <w:spacing w:line="360" w:lineRule="auto"/>
        <w:rPr>
          <w:sz w:val="24"/>
          <w:highlight w:val="none"/>
        </w:rPr>
      </w:pPr>
    </w:p>
    <w:p w14:paraId="0DB443C2">
      <w:pPr>
        <w:pStyle w:val="3"/>
        <w:spacing w:before="0" w:line="360" w:lineRule="auto"/>
        <w:rPr>
          <w:rFonts w:ascii="Times New Roman" w:hAnsi="Times New Roman" w:eastAsia="宋体"/>
          <w:sz w:val="28"/>
          <w:highlight w:val="none"/>
        </w:rPr>
      </w:pPr>
      <w:bookmarkStart w:id="504" w:name="_Toc151193926"/>
      <w:bookmarkStart w:id="505" w:name="_Toc150509289"/>
      <w:bookmarkStart w:id="506" w:name="_Toc151193636"/>
      <w:bookmarkStart w:id="507" w:name="_Toc150774743"/>
      <w:bookmarkStart w:id="508" w:name="_Toc265228376"/>
      <w:bookmarkStart w:id="509" w:name="_Toc151193708"/>
      <w:bookmarkStart w:id="510" w:name="_Toc151193780"/>
      <w:bookmarkStart w:id="511" w:name="_Toc226965728"/>
      <w:bookmarkStart w:id="512" w:name="_Toc264969228"/>
      <w:bookmarkStart w:id="513" w:name="_Toc195842903"/>
      <w:bookmarkStart w:id="514" w:name="_Toc142311040"/>
      <w:bookmarkStart w:id="515" w:name="_Toc226309782"/>
      <w:bookmarkStart w:id="516" w:name="_Toc520356163"/>
      <w:bookmarkStart w:id="517" w:name="_Toc226965811"/>
      <w:bookmarkStart w:id="518" w:name="_Toc150480776"/>
      <w:bookmarkStart w:id="519" w:name="_Toc305158880"/>
      <w:bookmarkStart w:id="520" w:name="_Toc305158806"/>
      <w:bookmarkStart w:id="521" w:name="_Toc150774638"/>
      <w:bookmarkStart w:id="522" w:name="_Toc151193852"/>
      <w:bookmarkStart w:id="523" w:name="_Toc127151538"/>
      <w:bookmarkStart w:id="524" w:name="_Toc226337234"/>
      <w:bookmarkStart w:id="525" w:name="_Toc151190165"/>
      <w:r>
        <w:rPr>
          <w:rFonts w:ascii="Times New Roman" w:hAnsi="Times New Roman" w:eastAsia="宋体"/>
          <w:sz w:val="28"/>
          <w:highlight w:val="none"/>
        </w:rPr>
        <w:t>五   开启、资格审查及评审</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14:paraId="07A71049">
      <w:pPr>
        <w:numPr>
          <w:ilvl w:val="0"/>
          <w:numId w:val="8"/>
        </w:numPr>
        <w:tabs>
          <w:tab w:val="left" w:pos="360"/>
        </w:tabs>
        <w:snapToGrid w:val="0"/>
        <w:spacing w:line="360" w:lineRule="auto"/>
        <w:ind w:left="357" w:hanging="357"/>
        <w:outlineLvl w:val="1"/>
        <w:rPr>
          <w:sz w:val="24"/>
          <w:highlight w:val="none"/>
        </w:rPr>
      </w:pPr>
      <w:r>
        <w:rPr>
          <w:sz w:val="24"/>
          <w:highlight w:val="none"/>
        </w:rPr>
        <w:t>开启</w:t>
      </w:r>
    </w:p>
    <w:p w14:paraId="355C9C62">
      <w:pPr>
        <w:numPr>
          <w:ilvl w:val="1"/>
          <w:numId w:val="8"/>
        </w:numPr>
        <w:tabs>
          <w:tab w:val="left" w:pos="1080"/>
          <w:tab w:val="left" w:pos="2014"/>
        </w:tabs>
        <w:snapToGrid w:val="0"/>
        <w:spacing w:line="360" w:lineRule="auto"/>
        <w:ind w:left="1077" w:hanging="720"/>
        <w:rPr>
          <w:sz w:val="24"/>
          <w:highlight w:val="none"/>
        </w:rPr>
      </w:pPr>
      <w:r>
        <w:rPr>
          <w:rFonts w:hint="eastAsia"/>
          <w:sz w:val="24"/>
          <w:highlight w:val="none"/>
        </w:rPr>
        <w:t>征集人</w:t>
      </w:r>
      <w:r>
        <w:rPr>
          <w:sz w:val="24"/>
          <w:highlight w:val="none"/>
        </w:rPr>
        <w:t>将按</w:t>
      </w:r>
      <w:r>
        <w:rPr>
          <w:rFonts w:hint="eastAsia"/>
          <w:sz w:val="24"/>
          <w:highlight w:val="none"/>
        </w:rPr>
        <w:t>征集</w:t>
      </w:r>
      <w:r>
        <w:rPr>
          <w:sz w:val="24"/>
          <w:highlight w:val="none"/>
        </w:rPr>
        <w:t>文件的规定，在响应截止时间的同一时间和</w:t>
      </w:r>
      <w:r>
        <w:rPr>
          <w:rFonts w:hint="eastAsia"/>
          <w:sz w:val="24"/>
          <w:highlight w:val="none"/>
        </w:rPr>
        <w:t>征集</w:t>
      </w:r>
      <w:r>
        <w:rPr>
          <w:sz w:val="24"/>
          <w:highlight w:val="none"/>
        </w:rPr>
        <w:t>文件预先确定的地点组织开启。</w:t>
      </w:r>
    </w:p>
    <w:p w14:paraId="49307B59">
      <w:pPr>
        <w:numPr>
          <w:ilvl w:val="1"/>
          <w:numId w:val="8"/>
        </w:numPr>
        <w:tabs>
          <w:tab w:val="left" w:pos="1080"/>
          <w:tab w:val="left" w:pos="2014"/>
        </w:tabs>
        <w:snapToGrid w:val="0"/>
        <w:spacing w:line="360" w:lineRule="auto"/>
        <w:ind w:left="1077" w:hanging="720"/>
        <w:rPr>
          <w:sz w:val="24"/>
          <w:highlight w:val="none"/>
        </w:rPr>
      </w:pPr>
      <w:r>
        <w:rPr>
          <w:sz w:val="24"/>
          <w:highlight w:val="none"/>
        </w:rPr>
        <w:t>本项目开启使用北京市政府采购电子交易平台。</w:t>
      </w:r>
      <w:r>
        <w:rPr>
          <w:rFonts w:hint="eastAsia"/>
          <w:sz w:val="24"/>
          <w:highlight w:val="none"/>
        </w:rPr>
        <w:t>供应商</w:t>
      </w:r>
      <w:r>
        <w:rPr>
          <w:sz w:val="24"/>
          <w:highlight w:val="none"/>
        </w:rPr>
        <w:t>应在</w:t>
      </w:r>
      <w:bookmarkStart w:id="526" w:name="_Hlk167284562"/>
      <w:r>
        <w:rPr>
          <w:sz w:val="24"/>
          <w:highlight w:val="none"/>
        </w:rPr>
        <w:t>《</w:t>
      </w:r>
      <w:r>
        <w:rPr>
          <w:rFonts w:hint="eastAsia"/>
          <w:sz w:val="24"/>
          <w:highlight w:val="none"/>
        </w:rPr>
        <w:t>供应商</w:t>
      </w:r>
      <w:r>
        <w:rPr>
          <w:sz w:val="24"/>
          <w:highlight w:val="none"/>
        </w:rPr>
        <w:t>须知资料表》</w:t>
      </w:r>
      <w:bookmarkEnd w:id="526"/>
      <w:r>
        <w:rPr>
          <w:sz w:val="24"/>
          <w:highlight w:val="none"/>
        </w:rPr>
        <w:t>规定的时间内对</w:t>
      </w:r>
      <w:r>
        <w:rPr>
          <w:rFonts w:hint="eastAsia"/>
          <w:sz w:val="24"/>
          <w:highlight w:val="none"/>
        </w:rPr>
        <w:t>响应</w:t>
      </w:r>
      <w:r>
        <w:rPr>
          <w:sz w:val="24"/>
          <w:highlight w:val="none"/>
        </w:rPr>
        <w:t>文件进行解密，因非系统原因导致的解密失败，视为</w:t>
      </w:r>
      <w:r>
        <w:rPr>
          <w:b/>
          <w:sz w:val="24"/>
          <w:highlight w:val="none"/>
        </w:rPr>
        <w:t>响应无效</w:t>
      </w:r>
      <w:r>
        <w:rPr>
          <w:sz w:val="24"/>
          <w:highlight w:val="none"/>
        </w:rPr>
        <w:t>。</w:t>
      </w:r>
    </w:p>
    <w:p w14:paraId="48BCBA23">
      <w:pPr>
        <w:numPr>
          <w:ilvl w:val="1"/>
          <w:numId w:val="8"/>
        </w:numPr>
        <w:tabs>
          <w:tab w:val="left" w:pos="1080"/>
          <w:tab w:val="left" w:pos="2014"/>
        </w:tabs>
        <w:snapToGrid w:val="0"/>
        <w:spacing w:line="360" w:lineRule="auto"/>
        <w:ind w:left="1077" w:hanging="720"/>
        <w:rPr>
          <w:sz w:val="24"/>
          <w:highlight w:val="none"/>
        </w:rPr>
      </w:pPr>
      <w:r>
        <w:rPr>
          <w:sz w:val="24"/>
          <w:highlight w:val="none"/>
        </w:rPr>
        <w:t>开启过程将使用电子交易平台宣布供应商名称、响应价格和征集文件规定的需要宣布的其他内容并进行记录，并由参加开启的各供应商确认</w:t>
      </w:r>
      <w:bookmarkStart w:id="527" w:name="_Toc520356165"/>
      <w:r>
        <w:rPr>
          <w:sz w:val="24"/>
          <w:highlight w:val="none"/>
        </w:rPr>
        <w:t>。</w:t>
      </w:r>
      <w:bookmarkStart w:id="528" w:name="_Hlk143533942"/>
      <w:r>
        <w:rPr>
          <w:sz w:val="24"/>
          <w:highlight w:val="none"/>
        </w:rPr>
        <w:t>供应商未在规定时间内提出疑义或确认一览表的，视同认可开启结果。</w:t>
      </w:r>
      <w:bookmarkEnd w:id="528"/>
    </w:p>
    <w:p w14:paraId="5342EDE4">
      <w:pPr>
        <w:numPr>
          <w:ilvl w:val="1"/>
          <w:numId w:val="8"/>
        </w:numPr>
        <w:tabs>
          <w:tab w:val="left" w:pos="1080"/>
          <w:tab w:val="left" w:pos="2014"/>
        </w:tabs>
        <w:snapToGrid w:val="0"/>
        <w:spacing w:line="360" w:lineRule="auto"/>
        <w:ind w:left="1077" w:hanging="720"/>
        <w:rPr>
          <w:sz w:val="24"/>
          <w:highlight w:val="none"/>
        </w:rPr>
      </w:pPr>
      <w:r>
        <w:rPr>
          <w:sz w:val="24"/>
          <w:highlight w:val="none"/>
        </w:rPr>
        <w:t>供应商对开启过程和开启记录有疑义，以及认为</w:t>
      </w:r>
      <w:r>
        <w:rPr>
          <w:rFonts w:hint="eastAsia"/>
          <w:sz w:val="24"/>
          <w:highlight w:val="none"/>
        </w:rPr>
        <w:t>征集人</w:t>
      </w:r>
      <w:r>
        <w:rPr>
          <w:sz w:val="24"/>
          <w:highlight w:val="none"/>
        </w:rPr>
        <w:t>相关工作人员有需要回避的情形的，应当场提出询问或者回避申请。</w:t>
      </w:r>
      <w:r>
        <w:rPr>
          <w:rFonts w:hint="eastAsia"/>
          <w:sz w:val="24"/>
          <w:highlight w:val="none"/>
        </w:rPr>
        <w:t>征集人</w:t>
      </w:r>
      <w:r>
        <w:rPr>
          <w:sz w:val="24"/>
          <w:highlight w:val="none"/>
        </w:rPr>
        <w:t>对供应商提出的询问或者回避申请将及时处理。</w:t>
      </w:r>
    </w:p>
    <w:p w14:paraId="6D0F5AC9">
      <w:pPr>
        <w:numPr>
          <w:ilvl w:val="1"/>
          <w:numId w:val="8"/>
        </w:numPr>
        <w:tabs>
          <w:tab w:val="left" w:pos="1080"/>
          <w:tab w:val="left" w:pos="2014"/>
        </w:tabs>
        <w:snapToGrid w:val="0"/>
        <w:spacing w:line="360" w:lineRule="auto"/>
        <w:ind w:left="1077" w:hanging="720"/>
        <w:rPr>
          <w:sz w:val="24"/>
          <w:highlight w:val="none"/>
        </w:rPr>
      </w:pPr>
      <w:r>
        <w:rPr>
          <w:rFonts w:hint="eastAsia"/>
          <w:sz w:val="24"/>
          <w:highlight w:val="none"/>
        </w:rPr>
        <w:t>递交响应文件的供应商</w:t>
      </w:r>
      <w:r>
        <w:rPr>
          <w:sz w:val="24"/>
          <w:highlight w:val="none"/>
        </w:rPr>
        <w:t>不足2家的，不予开启。</w:t>
      </w:r>
    </w:p>
    <w:p w14:paraId="5027065E">
      <w:pPr>
        <w:numPr>
          <w:ilvl w:val="0"/>
          <w:numId w:val="8"/>
        </w:numPr>
        <w:tabs>
          <w:tab w:val="left" w:pos="360"/>
        </w:tabs>
        <w:snapToGrid w:val="0"/>
        <w:spacing w:line="360" w:lineRule="auto"/>
        <w:ind w:left="357" w:hanging="357"/>
        <w:outlineLvl w:val="1"/>
        <w:rPr>
          <w:sz w:val="24"/>
          <w:highlight w:val="none"/>
        </w:rPr>
      </w:pPr>
      <w:r>
        <w:rPr>
          <w:sz w:val="24"/>
          <w:highlight w:val="none"/>
        </w:rPr>
        <w:t>资格审查</w:t>
      </w:r>
    </w:p>
    <w:p w14:paraId="0D5548E4">
      <w:pPr>
        <w:numPr>
          <w:ilvl w:val="1"/>
          <w:numId w:val="8"/>
        </w:numPr>
        <w:tabs>
          <w:tab w:val="left" w:pos="1080"/>
          <w:tab w:val="left" w:pos="2014"/>
        </w:tabs>
        <w:snapToGrid w:val="0"/>
        <w:spacing w:line="360" w:lineRule="auto"/>
        <w:ind w:left="1077" w:hanging="720"/>
        <w:rPr>
          <w:sz w:val="24"/>
          <w:highlight w:val="none"/>
        </w:rPr>
      </w:pPr>
      <w:r>
        <w:rPr>
          <w:sz w:val="24"/>
          <w:highlight w:val="none"/>
        </w:rPr>
        <w:t>见第三章《资格审查》。</w:t>
      </w:r>
    </w:p>
    <w:bookmarkEnd w:id="527"/>
    <w:p w14:paraId="2F180E0E">
      <w:pPr>
        <w:numPr>
          <w:ilvl w:val="0"/>
          <w:numId w:val="8"/>
        </w:numPr>
        <w:tabs>
          <w:tab w:val="left" w:pos="360"/>
        </w:tabs>
        <w:snapToGrid w:val="0"/>
        <w:spacing w:line="360" w:lineRule="auto"/>
        <w:ind w:left="357" w:hanging="357"/>
        <w:outlineLvl w:val="1"/>
        <w:rPr>
          <w:sz w:val="24"/>
          <w:highlight w:val="none"/>
        </w:rPr>
      </w:pPr>
      <w:bookmarkStart w:id="529" w:name="_Toc150509291"/>
      <w:bookmarkStart w:id="530" w:name="_Toc305158808"/>
      <w:bookmarkStart w:id="531" w:name="_Toc164351634"/>
      <w:bookmarkStart w:id="532" w:name="_Toc226965730"/>
      <w:bookmarkStart w:id="533" w:name="_Toc151193710"/>
      <w:bookmarkStart w:id="534" w:name="_Toc127151540"/>
      <w:bookmarkStart w:id="535" w:name="_Toc149720833"/>
      <w:bookmarkStart w:id="536" w:name="_Toc305158882"/>
      <w:bookmarkStart w:id="537" w:name="_Toc150774745"/>
      <w:bookmarkStart w:id="538" w:name="_Toc151193928"/>
      <w:bookmarkStart w:id="539" w:name="_Toc151193782"/>
      <w:bookmarkStart w:id="540" w:name="_Toc150480778"/>
      <w:bookmarkStart w:id="541" w:name="_Toc151193638"/>
      <w:bookmarkStart w:id="542" w:name="_Toc164608809"/>
      <w:bookmarkStart w:id="543" w:name="_Toc127161454"/>
      <w:bookmarkStart w:id="544" w:name="_Toc151193854"/>
      <w:bookmarkStart w:id="545" w:name="_Toc226309784"/>
      <w:bookmarkStart w:id="546" w:name="_Toc195842905"/>
      <w:bookmarkStart w:id="547" w:name="_Toc264969230"/>
      <w:bookmarkStart w:id="548" w:name="_Toc151190167"/>
      <w:bookmarkStart w:id="549" w:name="_Toc226337236"/>
      <w:bookmarkStart w:id="550" w:name="_Toc265228378"/>
      <w:bookmarkStart w:id="551" w:name="_Toc127151741"/>
      <w:bookmarkStart w:id="552" w:name="_Toc164608654"/>
      <w:bookmarkStart w:id="553" w:name="_Toc150774640"/>
      <w:bookmarkStart w:id="554" w:name="_Toc226965813"/>
      <w:bookmarkStart w:id="555" w:name="_Toc164229235"/>
      <w:bookmarkStart w:id="556" w:name="_Toc142311042"/>
      <w:bookmarkStart w:id="557" w:name="_Toc164229381"/>
      <w:r>
        <w:rPr>
          <w:sz w:val="24"/>
          <w:highlight w:val="none"/>
        </w:rPr>
        <w:t>评审委员会</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14:paraId="63850120">
      <w:pPr>
        <w:numPr>
          <w:ilvl w:val="1"/>
          <w:numId w:val="8"/>
        </w:numPr>
        <w:tabs>
          <w:tab w:val="left" w:pos="1080"/>
          <w:tab w:val="left" w:pos="2014"/>
        </w:tabs>
        <w:snapToGrid w:val="0"/>
        <w:spacing w:line="360" w:lineRule="auto"/>
        <w:ind w:left="1077" w:hanging="720"/>
        <w:rPr>
          <w:sz w:val="24"/>
          <w:highlight w:val="none"/>
        </w:rPr>
      </w:pPr>
      <w:r>
        <w:rPr>
          <w:sz w:val="24"/>
          <w:highlight w:val="none"/>
        </w:rPr>
        <w:t>评审委员会根据政府采购有关规定和本次采购项目的特点进行组建，并负责具体评审事务，独立履行职责。</w:t>
      </w:r>
      <w:bookmarkStart w:id="558" w:name="_Toc520356166"/>
    </w:p>
    <w:p w14:paraId="38FDBC5A">
      <w:pPr>
        <w:numPr>
          <w:ilvl w:val="1"/>
          <w:numId w:val="8"/>
        </w:numPr>
        <w:tabs>
          <w:tab w:val="left" w:pos="1080"/>
          <w:tab w:val="left" w:pos="2014"/>
        </w:tabs>
        <w:snapToGrid w:val="0"/>
        <w:spacing w:line="360" w:lineRule="auto"/>
        <w:ind w:left="1077" w:hanging="720"/>
        <w:rPr>
          <w:sz w:val="24"/>
          <w:highlight w:val="none"/>
        </w:rPr>
      </w:pPr>
      <w:r>
        <w:rPr>
          <w:sz w:val="24"/>
          <w:highlight w:val="none"/>
        </w:rPr>
        <w:t>评审专家须符合《财政部关于在政府采购活动中查询及使用信用记录有关问题的通知》（财库〔2016〕125号）的规定。依法自行选定评审专家的，</w:t>
      </w:r>
      <w:r>
        <w:rPr>
          <w:rFonts w:hint="eastAsia"/>
          <w:sz w:val="24"/>
          <w:highlight w:val="none"/>
        </w:rPr>
        <w:t>征集人</w:t>
      </w:r>
      <w:r>
        <w:rPr>
          <w:sz w:val="24"/>
          <w:highlight w:val="none"/>
        </w:rPr>
        <w:t>将查询有关信用记录，对具有行贿、受贿、欺诈等不良信用记录的人员，拒绝其参与政府采购活动。</w:t>
      </w:r>
      <w:bookmarkEnd w:id="558"/>
      <w:bookmarkStart w:id="559" w:name="_Toc520356169"/>
    </w:p>
    <w:p w14:paraId="274FC3D0">
      <w:pPr>
        <w:numPr>
          <w:ilvl w:val="0"/>
          <w:numId w:val="8"/>
        </w:numPr>
        <w:tabs>
          <w:tab w:val="left" w:pos="360"/>
        </w:tabs>
        <w:snapToGrid w:val="0"/>
        <w:spacing w:line="360" w:lineRule="auto"/>
        <w:ind w:left="357" w:hanging="357"/>
        <w:outlineLvl w:val="1"/>
        <w:rPr>
          <w:sz w:val="24"/>
          <w:highlight w:val="none"/>
        </w:rPr>
      </w:pPr>
      <w:r>
        <w:rPr>
          <w:sz w:val="24"/>
          <w:highlight w:val="none"/>
        </w:rPr>
        <w:t>评审程序、评审方法和评审标准</w:t>
      </w:r>
    </w:p>
    <w:p w14:paraId="06E61E23">
      <w:pPr>
        <w:numPr>
          <w:ilvl w:val="1"/>
          <w:numId w:val="8"/>
        </w:numPr>
        <w:tabs>
          <w:tab w:val="left" w:pos="1080"/>
          <w:tab w:val="left" w:pos="2014"/>
        </w:tabs>
        <w:snapToGrid w:val="0"/>
        <w:spacing w:line="360" w:lineRule="auto"/>
        <w:ind w:left="1077" w:hanging="720"/>
        <w:rPr>
          <w:sz w:val="24"/>
          <w:highlight w:val="none"/>
        </w:rPr>
      </w:pPr>
      <w:r>
        <w:rPr>
          <w:sz w:val="24"/>
          <w:highlight w:val="none"/>
        </w:rPr>
        <w:t>见第四章《评审程序、评审方法和评审标准》。</w:t>
      </w:r>
    </w:p>
    <w:p w14:paraId="0E46CCAC">
      <w:pPr>
        <w:tabs>
          <w:tab w:val="left" w:pos="360"/>
          <w:tab w:val="left" w:pos="1080"/>
        </w:tabs>
        <w:snapToGrid w:val="0"/>
        <w:spacing w:line="360" w:lineRule="auto"/>
        <w:ind w:left="1080"/>
        <w:rPr>
          <w:sz w:val="24"/>
          <w:highlight w:val="none"/>
        </w:rPr>
      </w:pPr>
    </w:p>
    <w:p w14:paraId="3A64EEB5">
      <w:pPr>
        <w:pStyle w:val="3"/>
        <w:spacing w:before="0" w:line="360" w:lineRule="auto"/>
        <w:rPr>
          <w:rFonts w:ascii="Times New Roman" w:hAnsi="Times New Roman" w:eastAsia="宋体"/>
          <w:sz w:val="28"/>
          <w:highlight w:val="none"/>
        </w:rPr>
      </w:pPr>
      <w:bookmarkStart w:id="560" w:name="_Toc305158813"/>
      <w:bookmarkStart w:id="561" w:name="_Toc127151545"/>
      <w:bookmarkStart w:id="562" w:name="_Toc226309789"/>
      <w:bookmarkStart w:id="563" w:name="_Toc151193933"/>
      <w:bookmarkStart w:id="564" w:name="_Toc151193643"/>
      <w:bookmarkStart w:id="565" w:name="_Toc226337241"/>
      <w:bookmarkStart w:id="566" w:name="_Toc264969235"/>
      <w:bookmarkStart w:id="567" w:name="_Toc195842910"/>
      <w:bookmarkStart w:id="568" w:name="_Toc150774750"/>
      <w:bookmarkStart w:id="569" w:name="_Toc226965818"/>
      <w:bookmarkStart w:id="570" w:name="_Toc150480783"/>
      <w:bookmarkStart w:id="571" w:name="_Toc151193715"/>
      <w:bookmarkStart w:id="572" w:name="_Toc305158887"/>
      <w:bookmarkStart w:id="573" w:name="_Toc150774645"/>
      <w:bookmarkStart w:id="574" w:name="_Toc226965735"/>
      <w:bookmarkStart w:id="575" w:name="_Toc151193859"/>
      <w:bookmarkStart w:id="576" w:name="_Toc150509296"/>
      <w:bookmarkStart w:id="577" w:name="_Toc151193787"/>
      <w:bookmarkStart w:id="578" w:name="_Toc151190172"/>
      <w:bookmarkStart w:id="579" w:name="_Toc265228383"/>
      <w:bookmarkStart w:id="580" w:name="_Toc142311047"/>
      <w:r>
        <w:rPr>
          <w:rFonts w:ascii="Times New Roman" w:hAnsi="Times New Roman" w:eastAsia="宋体"/>
          <w:sz w:val="28"/>
          <w:highlight w:val="none"/>
        </w:rPr>
        <w:t xml:space="preserve">六   </w:t>
      </w:r>
      <w:bookmarkEnd w:id="559"/>
      <w:r>
        <w:rPr>
          <w:rFonts w:ascii="Times New Roman" w:hAnsi="Times New Roman" w:eastAsia="宋体"/>
          <w:sz w:val="28"/>
          <w:highlight w:val="none"/>
        </w:rPr>
        <w:t>确定</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Start w:id="581" w:name="_Toc226965820"/>
      <w:bookmarkStart w:id="582" w:name="_Toc164229388"/>
      <w:bookmarkStart w:id="583" w:name="_Toc151193861"/>
      <w:bookmarkStart w:id="584" w:name="_Toc164608661"/>
      <w:bookmarkStart w:id="585" w:name="_Toc164229242"/>
      <w:bookmarkStart w:id="586" w:name="_Toc195842912"/>
      <w:bookmarkStart w:id="587" w:name="_Toc226965737"/>
      <w:bookmarkStart w:id="588" w:name="_Toc151193789"/>
      <w:bookmarkStart w:id="589" w:name="_Toc164351641"/>
      <w:bookmarkStart w:id="590" w:name="_Toc127161461"/>
      <w:bookmarkStart w:id="591" w:name="_Toc127151547"/>
      <w:bookmarkStart w:id="592" w:name="_Toc264969237"/>
      <w:bookmarkStart w:id="593" w:name="_Toc150509298"/>
      <w:bookmarkStart w:id="594" w:name="_Toc164608816"/>
      <w:bookmarkStart w:id="595" w:name="_Toc305158815"/>
      <w:bookmarkStart w:id="596" w:name="_Toc151193645"/>
      <w:bookmarkStart w:id="597" w:name="_Toc150774752"/>
      <w:bookmarkStart w:id="598" w:name="_Toc142311049"/>
      <w:bookmarkStart w:id="599" w:name="_Toc150480785"/>
      <w:bookmarkStart w:id="600" w:name="_Toc265228385"/>
      <w:bookmarkStart w:id="601" w:name="_Toc127151748"/>
      <w:bookmarkStart w:id="602" w:name="_Toc151193717"/>
      <w:bookmarkStart w:id="603" w:name="_Toc226309791"/>
      <w:bookmarkStart w:id="604" w:name="_Toc151193935"/>
      <w:bookmarkStart w:id="605" w:name="_Toc226337243"/>
      <w:bookmarkStart w:id="606" w:name="_Toc149720840"/>
      <w:bookmarkStart w:id="607" w:name="_Toc151190174"/>
      <w:bookmarkStart w:id="608" w:name="_Toc150774647"/>
      <w:bookmarkStart w:id="609" w:name="_Toc305158889"/>
      <w:r>
        <w:rPr>
          <w:rFonts w:hint="eastAsia" w:ascii="Times New Roman" w:hAnsi="Times New Roman" w:eastAsia="宋体"/>
          <w:sz w:val="28"/>
          <w:highlight w:val="none"/>
        </w:rPr>
        <w:t>入围</w:t>
      </w:r>
    </w:p>
    <w:p w14:paraId="32C1FF76">
      <w:pPr>
        <w:numPr>
          <w:ilvl w:val="0"/>
          <w:numId w:val="8"/>
        </w:numPr>
        <w:tabs>
          <w:tab w:val="left" w:pos="360"/>
        </w:tabs>
        <w:snapToGrid w:val="0"/>
        <w:spacing w:line="360" w:lineRule="auto"/>
        <w:ind w:left="357" w:hanging="357"/>
        <w:outlineLvl w:val="1"/>
        <w:rPr>
          <w:sz w:val="24"/>
          <w:highlight w:val="none"/>
        </w:rPr>
      </w:pPr>
      <w:r>
        <w:rPr>
          <w:sz w:val="24"/>
          <w:highlight w:val="none"/>
        </w:rPr>
        <w:t>确定</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Start w:id="610" w:name="OLE_LINK13"/>
      <w:bookmarkStart w:id="611" w:name="OLE_LINK14"/>
      <w:r>
        <w:rPr>
          <w:sz w:val="24"/>
          <w:highlight w:val="none"/>
        </w:rPr>
        <w:t>入围供应商</w:t>
      </w:r>
      <w:bookmarkEnd w:id="610"/>
      <w:bookmarkEnd w:id="611"/>
    </w:p>
    <w:p w14:paraId="233A2862">
      <w:pPr>
        <w:numPr>
          <w:ilvl w:val="1"/>
          <w:numId w:val="8"/>
        </w:numPr>
        <w:tabs>
          <w:tab w:val="left" w:pos="1080"/>
          <w:tab w:val="left" w:pos="2014"/>
        </w:tabs>
        <w:snapToGrid w:val="0"/>
        <w:spacing w:line="360" w:lineRule="auto"/>
        <w:ind w:left="1077" w:hanging="720"/>
        <w:rPr>
          <w:sz w:val="24"/>
          <w:highlight w:val="none"/>
        </w:rPr>
      </w:pPr>
      <w:r>
        <w:rPr>
          <w:rFonts w:hint="eastAsia"/>
          <w:sz w:val="24"/>
          <w:highlight w:val="none"/>
        </w:rPr>
        <w:t>征集人</w:t>
      </w:r>
      <w:r>
        <w:rPr>
          <w:sz w:val="24"/>
          <w:highlight w:val="none"/>
        </w:rPr>
        <w:t>将在评审报告确定的</w:t>
      </w:r>
      <w:r>
        <w:rPr>
          <w:rFonts w:hint="eastAsia"/>
          <w:sz w:val="24"/>
          <w:highlight w:val="none"/>
        </w:rPr>
        <w:t>供应商</w:t>
      </w:r>
      <w:r>
        <w:rPr>
          <w:sz w:val="24"/>
          <w:highlight w:val="none"/>
        </w:rPr>
        <w:t>名单中按顺序确定入围供应商，</w:t>
      </w:r>
      <w:r>
        <w:rPr>
          <w:rFonts w:hint="eastAsia"/>
          <w:sz w:val="24"/>
          <w:highlight w:val="none"/>
        </w:rPr>
        <w:t>供应商</w:t>
      </w:r>
      <w:r>
        <w:rPr>
          <w:sz w:val="24"/>
          <w:highlight w:val="none"/>
        </w:rPr>
        <w:t>并列的，由</w:t>
      </w:r>
      <w:r>
        <w:rPr>
          <w:rFonts w:hint="eastAsia"/>
          <w:sz w:val="24"/>
          <w:highlight w:val="none"/>
        </w:rPr>
        <w:t>征集人</w:t>
      </w:r>
      <w:r>
        <w:rPr>
          <w:sz w:val="24"/>
          <w:highlight w:val="none"/>
        </w:rPr>
        <w:t>或者</w:t>
      </w:r>
      <w:r>
        <w:rPr>
          <w:rFonts w:hint="eastAsia"/>
          <w:sz w:val="24"/>
          <w:highlight w:val="none"/>
        </w:rPr>
        <w:t>征集人</w:t>
      </w:r>
      <w:r>
        <w:rPr>
          <w:sz w:val="24"/>
          <w:highlight w:val="none"/>
        </w:rPr>
        <w:t>委托评审委员会按照征集文件规定的方式确定入围供应商；</w:t>
      </w:r>
      <w:r>
        <w:rPr>
          <w:rFonts w:hint="eastAsia"/>
          <w:sz w:val="24"/>
          <w:highlight w:val="none"/>
        </w:rPr>
        <w:t>征集</w:t>
      </w:r>
      <w:r>
        <w:rPr>
          <w:sz w:val="24"/>
          <w:highlight w:val="none"/>
        </w:rPr>
        <w:t>文件未规定的，采取随机抽取的方式确定。采购人是否委托评审委员会直接确定入围供应商，见《</w:t>
      </w:r>
      <w:r>
        <w:rPr>
          <w:rFonts w:hint="eastAsia"/>
          <w:sz w:val="24"/>
          <w:highlight w:val="none"/>
        </w:rPr>
        <w:t>供应商</w:t>
      </w:r>
      <w:r>
        <w:rPr>
          <w:sz w:val="24"/>
          <w:highlight w:val="none"/>
        </w:rPr>
        <w:t>须知资料表》。供应商并列的，按照《</w:t>
      </w:r>
      <w:r>
        <w:rPr>
          <w:rFonts w:hint="eastAsia"/>
          <w:sz w:val="24"/>
          <w:highlight w:val="none"/>
        </w:rPr>
        <w:t>供应商</w:t>
      </w:r>
      <w:r>
        <w:rPr>
          <w:sz w:val="24"/>
          <w:highlight w:val="none"/>
        </w:rPr>
        <w:t>须知资料表》要求确定入围供应商。</w:t>
      </w:r>
    </w:p>
    <w:p w14:paraId="5FB507CB">
      <w:pPr>
        <w:numPr>
          <w:ilvl w:val="0"/>
          <w:numId w:val="8"/>
        </w:numPr>
        <w:tabs>
          <w:tab w:val="left" w:pos="360"/>
        </w:tabs>
        <w:snapToGrid w:val="0"/>
        <w:spacing w:line="360" w:lineRule="auto"/>
        <w:ind w:left="357" w:hanging="357"/>
        <w:outlineLvl w:val="1"/>
        <w:rPr>
          <w:sz w:val="24"/>
          <w:highlight w:val="none"/>
        </w:rPr>
      </w:pPr>
      <w:bookmarkStart w:id="612" w:name="_Toc305158891"/>
      <w:bookmarkStart w:id="613" w:name="_Toc305158817"/>
      <w:bookmarkStart w:id="614" w:name="_Toc149720842"/>
      <w:bookmarkStart w:id="615" w:name="_Toc150480787"/>
      <w:bookmarkStart w:id="616" w:name="_Toc151193791"/>
      <w:bookmarkStart w:id="617" w:name="_Toc226965739"/>
      <w:bookmarkStart w:id="618" w:name="_Toc164351643"/>
      <w:bookmarkStart w:id="619" w:name="_Toc150509300"/>
      <w:bookmarkStart w:id="620" w:name="_Toc226337245"/>
      <w:bookmarkStart w:id="621" w:name="_Toc226309793"/>
      <w:bookmarkStart w:id="622" w:name="_Toc265228387"/>
      <w:bookmarkStart w:id="623" w:name="_Toc150774649"/>
      <w:bookmarkStart w:id="624" w:name="_Toc164229244"/>
      <w:bookmarkStart w:id="625" w:name="_Toc195842914"/>
      <w:bookmarkStart w:id="626" w:name="_Toc164608663"/>
      <w:bookmarkStart w:id="627" w:name="_Toc142311051"/>
      <w:bookmarkStart w:id="628" w:name="_Toc151193647"/>
      <w:bookmarkStart w:id="629" w:name="_Toc164608818"/>
      <w:bookmarkStart w:id="630" w:name="_Toc127151750"/>
      <w:bookmarkStart w:id="631" w:name="_Toc226965822"/>
      <w:bookmarkStart w:id="632" w:name="_Toc127161463"/>
      <w:bookmarkStart w:id="633" w:name="_Toc151193863"/>
      <w:bookmarkStart w:id="634" w:name="_Toc264969239"/>
      <w:bookmarkStart w:id="635" w:name="_Toc127151549"/>
      <w:bookmarkStart w:id="636" w:name="_Toc151193937"/>
      <w:bookmarkStart w:id="637" w:name="_Toc151193719"/>
      <w:bookmarkStart w:id="638" w:name="_Toc151190176"/>
      <w:bookmarkStart w:id="639" w:name="_Toc164229390"/>
      <w:bookmarkStart w:id="640" w:name="_Toc150774754"/>
      <w:bookmarkStart w:id="641" w:name="_Toc520356176"/>
      <w:bookmarkStart w:id="642" w:name="_Ref467306425"/>
      <w:bookmarkStart w:id="643" w:name="_Ref467307090"/>
      <w:r>
        <w:rPr>
          <w:rFonts w:hint="eastAsia"/>
          <w:sz w:val="24"/>
          <w:highlight w:val="none"/>
        </w:rPr>
        <w:t>入围</w:t>
      </w:r>
      <w:r>
        <w:rPr>
          <w:sz w:val="24"/>
          <w:highlight w:val="none"/>
        </w:rPr>
        <w:t>结果公告与</w:t>
      </w:r>
      <w:r>
        <w:rPr>
          <w:rFonts w:hint="eastAsia"/>
          <w:sz w:val="24"/>
          <w:highlight w:val="none"/>
        </w:rPr>
        <w:t>入围</w:t>
      </w:r>
      <w:r>
        <w:rPr>
          <w:sz w:val="24"/>
          <w:highlight w:val="none"/>
        </w:rPr>
        <w:t>通知书</w:t>
      </w:r>
      <w:bookmarkEnd w:id="612"/>
      <w:bookmarkEnd w:id="613"/>
    </w:p>
    <w:p w14:paraId="07F0D379">
      <w:pPr>
        <w:numPr>
          <w:ilvl w:val="1"/>
          <w:numId w:val="8"/>
        </w:numPr>
        <w:tabs>
          <w:tab w:val="left" w:pos="1080"/>
          <w:tab w:val="left" w:pos="2014"/>
        </w:tabs>
        <w:snapToGrid w:val="0"/>
        <w:spacing w:line="360" w:lineRule="auto"/>
        <w:ind w:left="1077" w:hanging="720"/>
        <w:rPr>
          <w:sz w:val="24"/>
          <w:highlight w:val="none"/>
        </w:rPr>
      </w:pPr>
      <w:r>
        <w:rPr>
          <w:rFonts w:hint="eastAsia"/>
          <w:sz w:val="24"/>
          <w:highlight w:val="none"/>
        </w:rPr>
        <w:t>征集人</w:t>
      </w:r>
      <w:r>
        <w:rPr>
          <w:sz w:val="24"/>
          <w:highlight w:val="none"/>
        </w:rPr>
        <w:t>自入围供应商确定之日起2个工作日内，</w:t>
      </w:r>
      <w:r>
        <w:rPr>
          <w:color w:val="000000"/>
          <w:kern w:val="0"/>
          <w:sz w:val="24"/>
          <w:highlight w:val="none"/>
        </w:rPr>
        <w:t>在北京市政府采购网公告</w:t>
      </w:r>
      <w:r>
        <w:rPr>
          <w:rFonts w:hint="eastAsia"/>
          <w:color w:val="000000"/>
          <w:kern w:val="0"/>
          <w:sz w:val="24"/>
          <w:highlight w:val="none"/>
        </w:rPr>
        <w:t>入围</w:t>
      </w:r>
      <w:r>
        <w:rPr>
          <w:color w:val="000000"/>
          <w:kern w:val="0"/>
          <w:sz w:val="24"/>
          <w:highlight w:val="none"/>
        </w:rPr>
        <w:t>结果</w:t>
      </w:r>
      <w:r>
        <w:rPr>
          <w:sz w:val="24"/>
          <w:highlight w:val="none"/>
        </w:rPr>
        <w:t>，同时向入围供应商发出</w:t>
      </w:r>
      <w:r>
        <w:rPr>
          <w:rFonts w:hint="eastAsia"/>
          <w:sz w:val="24"/>
          <w:highlight w:val="none"/>
        </w:rPr>
        <w:t>入围</w:t>
      </w:r>
      <w:r>
        <w:rPr>
          <w:sz w:val="24"/>
          <w:highlight w:val="none"/>
        </w:rPr>
        <w:t>通知书，</w:t>
      </w:r>
      <w:r>
        <w:rPr>
          <w:rFonts w:hint="eastAsia"/>
          <w:sz w:val="24"/>
          <w:highlight w:val="none"/>
        </w:rPr>
        <w:t>入围</w:t>
      </w:r>
      <w:r>
        <w:rPr>
          <w:sz w:val="24"/>
          <w:highlight w:val="none"/>
        </w:rPr>
        <w:t>结果公告期限为1个工作日。</w:t>
      </w:r>
    </w:p>
    <w:p w14:paraId="47A32E73">
      <w:pPr>
        <w:numPr>
          <w:ilvl w:val="1"/>
          <w:numId w:val="8"/>
        </w:numPr>
        <w:tabs>
          <w:tab w:val="left" w:pos="1080"/>
          <w:tab w:val="left" w:pos="2014"/>
        </w:tabs>
        <w:snapToGrid w:val="0"/>
        <w:spacing w:line="360" w:lineRule="auto"/>
        <w:ind w:left="1077" w:hanging="720"/>
        <w:rPr>
          <w:sz w:val="24"/>
          <w:highlight w:val="none"/>
        </w:rPr>
      </w:pPr>
      <w:r>
        <w:rPr>
          <w:rFonts w:hint="eastAsia"/>
          <w:sz w:val="24"/>
          <w:highlight w:val="none"/>
        </w:rPr>
        <w:t>入围</w:t>
      </w:r>
      <w:r>
        <w:rPr>
          <w:sz w:val="24"/>
          <w:highlight w:val="none"/>
        </w:rPr>
        <w:t>通知书对</w:t>
      </w:r>
      <w:r>
        <w:rPr>
          <w:rFonts w:hint="eastAsia"/>
          <w:sz w:val="24"/>
          <w:highlight w:val="none"/>
        </w:rPr>
        <w:t>征集人</w:t>
      </w:r>
      <w:r>
        <w:rPr>
          <w:sz w:val="24"/>
          <w:highlight w:val="none"/>
        </w:rPr>
        <w:t>和入围供应商均具有法律效力。入围通知书发出后，</w:t>
      </w:r>
      <w:r>
        <w:rPr>
          <w:rFonts w:hint="eastAsia"/>
          <w:sz w:val="24"/>
          <w:highlight w:val="none"/>
        </w:rPr>
        <w:t>征集人</w:t>
      </w:r>
      <w:r>
        <w:rPr>
          <w:sz w:val="24"/>
          <w:highlight w:val="none"/>
        </w:rPr>
        <w:t>改变入围结果的，或者入围供应商放弃入围项目的，应当依法承担法律责任。</w:t>
      </w:r>
    </w:p>
    <w:p w14:paraId="5AE1A9B2">
      <w:pPr>
        <w:numPr>
          <w:ilvl w:val="0"/>
          <w:numId w:val="8"/>
        </w:numPr>
        <w:tabs>
          <w:tab w:val="left" w:pos="360"/>
        </w:tabs>
        <w:snapToGrid w:val="0"/>
        <w:spacing w:line="360" w:lineRule="auto"/>
        <w:ind w:left="357" w:hanging="357"/>
        <w:outlineLvl w:val="1"/>
        <w:rPr>
          <w:sz w:val="24"/>
          <w:highlight w:val="none"/>
        </w:rPr>
      </w:pPr>
      <w:r>
        <w:rPr>
          <w:sz w:val="24"/>
          <w:highlight w:val="none"/>
        </w:rPr>
        <w:t>废标</w:t>
      </w:r>
    </w:p>
    <w:p w14:paraId="51532ED8">
      <w:pPr>
        <w:numPr>
          <w:ilvl w:val="1"/>
          <w:numId w:val="8"/>
        </w:numPr>
        <w:tabs>
          <w:tab w:val="left" w:pos="1080"/>
          <w:tab w:val="left" w:pos="2014"/>
        </w:tabs>
        <w:snapToGrid w:val="0"/>
        <w:spacing w:line="360" w:lineRule="auto"/>
        <w:ind w:left="1077" w:hanging="720"/>
        <w:rPr>
          <w:sz w:val="24"/>
          <w:highlight w:val="none"/>
        </w:rPr>
      </w:pPr>
      <w:r>
        <w:rPr>
          <w:sz w:val="24"/>
          <w:highlight w:val="none"/>
        </w:rPr>
        <w:t>在</w:t>
      </w:r>
      <w:r>
        <w:rPr>
          <w:rFonts w:hint="eastAsia"/>
          <w:sz w:val="24"/>
          <w:highlight w:val="none"/>
        </w:rPr>
        <w:t>征集</w:t>
      </w:r>
      <w:r>
        <w:rPr>
          <w:sz w:val="24"/>
          <w:highlight w:val="none"/>
        </w:rPr>
        <w:t>中，出现下列情形之一的，应予废标：</w:t>
      </w:r>
    </w:p>
    <w:p w14:paraId="1CD34A49">
      <w:pPr>
        <w:numPr>
          <w:ilvl w:val="2"/>
          <w:numId w:val="8"/>
        </w:numPr>
        <w:snapToGrid w:val="0"/>
        <w:spacing w:line="360" w:lineRule="auto"/>
        <w:rPr>
          <w:sz w:val="24"/>
          <w:highlight w:val="none"/>
        </w:rPr>
      </w:pPr>
      <w:r>
        <w:rPr>
          <w:sz w:val="24"/>
          <w:highlight w:val="none"/>
        </w:rPr>
        <w:t>符合专业条件的供应商或者对</w:t>
      </w:r>
      <w:r>
        <w:rPr>
          <w:rFonts w:hint="eastAsia"/>
          <w:sz w:val="24"/>
          <w:highlight w:val="none"/>
        </w:rPr>
        <w:t>征集</w:t>
      </w:r>
      <w:r>
        <w:rPr>
          <w:sz w:val="24"/>
          <w:highlight w:val="none"/>
        </w:rPr>
        <w:t>文件作实质响应的供应商不足</w:t>
      </w:r>
      <w:r>
        <w:rPr>
          <w:rFonts w:hint="eastAsia"/>
          <w:sz w:val="24"/>
          <w:highlight w:val="none"/>
        </w:rPr>
        <w:t>二</w:t>
      </w:r>
      <w:r>
        <w:rPr>
          <w:sz w:val="24"/>
          <w:highlight w:val="none"/>
        </w:rPr>
        <w:t>家的；</w:t>
      </w:r>
    </w:p>
    <w:p w14:paraId="245957FF">
      <w:pPr>
        <w:numPr>
          <w:ilvl w:val="2"/>
          <w:numId w:val="8"/>
        </w:numPr>
        <w:snapToGrid w:val="0"/>
        <w:spacing w:line="360" w:lineRule="auto"/>
        <w:rPr>
          <w:sz w:val="24"/>
          <w:highlight w:val="none"/>
        </w:rPr>
      </w:pPr>
      <w:r>
        <w:rPr>
          <w:sz w:val="24"/>
          <w:highlight w:val="none"/>
        </w:rPr>
        <w:t>出现影响采购公正的违法、违规行为的；</w:t>
      </w:r>
    </w:p>
    <w:p w14:paraId="2B727692">
      <w:pPr>
        <w:numPr>
          <w:ilvl w:val="2"/>
          <w:numId w:val="8"/>
        </w:numPr>
        <w:snapToGrid w:val="0"/>
        <w:spacing w:line="360" w:lineRule="auto"/>
        <w:rPr>
          <w:sz w:val="24"/>
          <w:highlight w:val="none"/>
        </w:rPr>
      </w:pPr>
      <w:r>
        <w:rPr>
          <w:rFonts w:hint="eastAsia"/>
          <w:sz w:val="24"/>
          <w:highlight w:val="none"/>
        </w:rPr>
        <w:t>供应商</w:t>
      </w:r>
      <w:r>
        <w:rPr>
          <w:sz w:val="24"/>
          <w:highlight w:val="none"/>
        </w:rPr>
        <w:t>的报价均超过了采购预算，采购人不能支付的；</w:t>
      </w:r>
    </w:p>
    <w:p w14:paraId="5EB0EE2B">
      <w:pPr>
        <w:numPr>
          <w:ilvl w:val="2"/>
          <w:numId w:val="8"/>
        </w:numPr>
        <w:snapToGrid w:val="0"/>
        <w:spacing w:line="360" w:lineRule="auto"/>
        <w:rPr>
          <w:sz w:val="24"/>
          <w:highlight w:val="none"/>
        </w:rPr>
      </w:pPr>
      <w:r>
        <w:rPr>
          <w:sz w:val="24"/>
          <w:highlight w:val="none"/>
        </w:rPr>
        <w:t>因重大变故，采购任务取消的。</w:t>
      </w:r>
    </w:p>
    <w:p w14:paraId="317E5BFD">
      <w:pPr>
        <w:numPr>
          <w:ilvl w:val="1"/>
          <w:numId w:val="8"/>
        </w:numPr>
        <w:tabs>
          <w:tab w:val="left" w:pos="1080"/>
          <w:tab w:val="left" w:pos="2014"/>
        </w:tabs>
        <w:snapToGrid w:val="0"/>
        <w:spacing w:line="360" w:lineRule="auto"/>
        <w:ind w:left="1077" w:hanging="720"/>
        <w:rPr>
          <w:sz w:val="24"/>
          <w:highlight w:val="none"/>
        </w:rPr>
      </w:pPr>
      <w:r>
        <w:rPr>
          <w:sz w:val="24"/>
          <w:highlight w:val="none"/>
        </w:rPr>
        <w:t>废标后，</w:t>
      </w:r>
      <w:r>
        <w:rPr>
          <w:rFonts w:hint="eastAsia"/>
          <w:sz w:val="24"/>
          <w:highlight w:val="none"/>
        </w:rPr>
        <w:t>征集人</w:t>
      </w:r>
      <w:r>
        <w:rPr>
          <w:sz w:val="24"/>
          <w:highlight w:val="none"/>
        </w:rPr>
        <w:t>将废标理由书面通知所有</w:t>
      </w:r>
      <w:r>
        <w:rPr>
          <w:rFonts w:hint="eastAsia"/>
          <w:sz w:val="24"/>
          <w:highlight w:val="none"/>
        </w:rPr>
        <w:t>供应商</w:t>
      </w:r>
      <w:r>
        <w:rPr>
          <w:sz w:val="24"/>
          <w:highlight w:val="none"/>
        </w:rPr>
        <w:t>。</w:t>
      </w:r>
    </w:p>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14:paraId="4D6510F3">
      <w:pPr>
        <w:numPr>
          <w:ilvl w:val="0"/>
          <w:numId w:val="8"/>
        </w:numPr>
        <w:tabs>
          <w:tab w:val="left" w:pos="360"/>
        </w:tabs>
        <w:snapToGrid w:val="0"/>
        <w:spacing w:line="360" w:lineRule="auto"/>
        <w:ind w:left="357" w:hanging="357"/>
        <w:outlineLvl w:val="1"/>
        <w:rPr>
          <w:sz w:val="24"/>
          <w:highlight w:val="none"/>
        </w:rPr>
      </w:pPr>
      <w:bookmarkStart w:id="644" w:name="_Toc151193864"/>
      <w:bookmarkStart w:id="645" w:name="_Toc164229391"/>
      <w:bookmarkStart w:id="646" w:name="_Toc151193938"/>
      <w:bookmarkStart w:id="647" w:name="_Toc305158818"/>
      <w:bookmarkStart w:id="648" w:name="_Ref467307204"/>
      <w:bookmarkStart w:id="649" w:name="_Toc127151550"/>
      <w:bookmarkStart w:id="650" w:name="_Toc226965740"/>
      <w:bookmarkStart w:id="651" w:name="_Toc195842915"/>
      <w:bookmarkStart w:id="652" w:name="_Toc164608819"/>
      <w:bookmarkStart w:id="653" w:name="_Toc127151751"/>
      <w:bookmarkStart w:id="654" w:name="_Toc265228388"/>
      <w:bookmarkStart w:id="655" w:name="_Toc305158892"/>
      <w:bookmarkStart w:id="656" w:name="_Toc164229245"/>
      <w:bookmarkStart w:id="657" w:name="_Toc151190177"/>
      <w:bookmarkStart w:id="658" w:name="_Toc151193792"/>
      <w:bookmarkStart w:id="659" w:name="_Ref467306377"/>
      <w:bookmarkStart w:id="660" w:name="_Toc520356175"/>
      <w:bookmarkStart w:id="661" w:name="_Ref467307062"/>
      <w:bookmarkStart w:id="662" w:name="_Toc142311052"/>
      <w:bookmarkStart w:id="663" w:name="_Toc150774755"/>
      <w:bookmarkStart w:id="664" w:name="_Toc150509301"/>
      <w:bookmarkStart w:id="665" w:name="_Toc164351644"/>
      <w:bookmarkStart w:id="666" w:name="_Toc151193720"/>
      <w:bookmarkStart w:id="667" w:name="_Ref467306978"/>
      <w:bookmarkStart w:id="668" w:name="_Toc151193648"/>
      <w:bookmarkStart w:id="669" w:name="_Toc127161464"/>
      <w:bookmarkStart w:id="670" w:name="_Toc150480788"/>
      <w:bookmarkStart w:id="671" w:name="_Toc226965823"/>
      <w:bookmarkStart w:id="672" w:name="_Toc264969240"/>
      <w:bookmarkStart w:id="673" w:name="_Toc226337246"/>
      <w:bookmarkStart w:id="674" w:name="_Toc149720843"/>
      <w:bookmarkStart w:id="675" w:name="_Toc164608664"/>
      <w:bookmarkStart w:id="676" w:name="_Toc226309794"/>
      <w:bookmarkStart w:id="677" w:name="_Toc150774650"/>
      <w:r>
        <w:rPr>
          <w:sz w:val="24"/>
          <w:highlight w:val="none"/>
        </w:rPr>
        <w:t>签订</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r>
        <w:rPr>
          <w:rFonts w:hint="eastAsia"/>
          <w:sz w:val="24"/>
          <w:highlight w:val="none"/>
        </w:rPr>
        <w:t>框架</w:t>
      </w:r>
      <w:r>
        <w:rPr>
          <w:sz w:val="24"/>
          <w:highlight w:val="none"/>
        </w:rPr>
        <w:t>协议</w:t>
      </w:r>
    </w:p>
    <w:p w14:paraId="0487F9AD">
      <w:pPr>
        <w:numPr>
          <w:ilvl w:val="1"/>
          <w:numId w:val="8"/>
        </w:numPr>
        <w:tabs>
          <w:tab w:val="left" w:pos="1080"/>
          <w:tab w:val="left" w:pos="2014"/>
        </w:tabs>
        <w:snapToGrid w:val="0"/>
        <w:spacing w:line="360" w:lineRule="auto"/>
        <w:ind w:left="1077" w:hanging="720"/>
        <w:rPr>
          <w:sz w:val="24"/>
          <w:highlight w:val="none"/>
        </w:rPr>
      </w:pPr>
      <w:r>
        <w:rPr>
          <w:rFonts w:hint="eastAsia"/>
          <w:sz w:val="24"/>
          <w:highlight w:val="none"/>
        </w:rPr>
        <w:t>入围供应商</w:t>
      </w:r>
      <w:r>
        <w:rPr>
          <w:sz w:val="24"/>
          <w:highlight w:val="none"/>
        </w:rPr>
        <w:t>、</w:t>
      </w:r>
      <w:r>
        <w:rPr>
          <w:rFonts w:hint="eastAsia"/>
          <w:sz w:val="24"/>
          <w:highlight w:val="none"/>
        </w:rPr>
        <w:t>征集人</w:t>
      </w:r>
      <w:r>
        <w:rPr>
          <w:sz w:val="24"/>
          <w:highlight w:val="none"/>
        </w:rPr>
        <w:t>应当自</w:t>
      </w:r>
      <w:r>
        <w:rPr>
          <w:rFonts w:hint="eastAsia"/>
          <w:sz w:val="24"/>
          <w:highlight w:val="none"/>
        </w:rPr>
        <w:t>入围</w:t>
      </w:r>
      <w:r>
        <w:rPr>
          <w:sz w:val="24"/>
          <w:highlight w:val="none"/>
        </w:rPr>
        <w:t>通知书发出之日起30日内，按照</w:t>
      </w:r>
      <w:r>
        <w:rPr>
          <w:rFonts w:hint="eastAsia"/>
          <w:sz w:val="24"/>
          <w:highlight w:val="none"/>
        </w:rPr>
        <w:t>征集</w:t>
      </w:r>
      <w:r>
        <w:rPr>
          <w:sz w:val="24"/>
          <w:highlight w:val="none"/>
        </w:rPr>
        <w:t>文件和</w:t>
      </w:r>
      <w:r>
        <w:rPr>
          <w:rFonts w:hint="eastAsia"/>
          <w:sz w:val="24"/>
          <w:highlight w:val="none"/>
        </w:rPr>
        <w:t>入围供应商响应</w:t>
      </w:r>
      <w:r>
        <w:rPr>
          <w:sz w:val="24"/>
          <w:highlight w:val="none"/>
        </w:rPr>
        <w:t>文件的规定签订书面</w:t>
      </w:r>
      <w:r>
        <w:rPr>
          <w:rFonts w:hint="eastAsia"/>
          <w:sz w:val="24"/>
          <w:highlight w:val="none"/>
        </w:rPr>
        <w:t>框架</w:t>
      </w:r>
      <w:r>
        <w:rPr>
          <w:sz w:val="24"/>
          <w:highlight w:val="none"/>
        </w:rPr>
        <w:t>协议。所签订的</w:t>
      </w:r>
      <w:r>
        <w:rPr>
          <w:rFonts w:hint="eastAsia"/>
          <w:sz w:val="24"/>
          <w:highlight w:val="none"/>
        </w:rPr>
        <w:t>框架</w:t>
      </w:r>
      <w:r>
        <w:rPr>
          <w:sz w:val="24"/>
          <w:highlight w:val="none"/>
        </w:rPr>
        <w:t>协议不得对</w:t>
      </w:r>
      <w:r>
        <w:rPr>
          <w:rFonts w:hint="eastAsia"/>
          <w:sz w:val="24"/>
          <w:highlight w:val="none"/>
        </w:rPr>
        <w:t>征集</w:t>
      </w:r>
      <w:r>
        <w:rPr>
          <w:sz w:val="24"/>
          <w:highlight w:val="none"/>
        </w:rPr>
        <w:t>文件确定的事项和</w:t>
      </w:r>
      <w:r>
        <w:rPr>
          <w:rFonts w:hint="eastAsia"/>
          <w:sz w:val="24"/>
          <w:highlight w:val="none"/>
        </w:rPr>
        <w:t>入围供应商响应</w:t>
      </w:r>
      <w:r>
        <w:rPr>
          <w:sz w:val="24"/>
          <w:highlight w:val="none"/>
        </w:rPr>
        <w:t>文件作实质性修改。</w:t>
      </w:r>
    </w:p>
    <w:p w14:paraId="1FFA5363">
      <w:pPr>
        <w:numPr>
          <w:ilvl w:val="1"/>
          <w:numId w:val="8"/>
        </w:numPr>
        <w:tabs>
          <w:tab w:val="left" w:pos="1080"/>
          <w:tab w:val="left" w:pos="2014"/>
        </w:tabs>
        <w:snapToGrid w:val="0"/>
        <w:spacing w:line="360" w:lineRule="auto"/>
        <w:ind w:left="1077" w:hanging="720"/>
        <w:rPr>
          <w:sz w:val="24"/>
          <w:highlight w:val="none"/>
        </w:rPr>
      </w:pPr>
      <w:r>
        <w:rPr>
          <w:rFonts w:hint="eastAsia"/>
          <w:sz w:val="24"/>
          <w:highlight w:val="none"/>
        </w:rPr>
        <w:t>入围供应商</w:t>
      </w:r>
      <w:r>
        <w:rPr>
          <w:sz w:val="24"/>
          <w:highlight w:val="none"/>
        </w:rPr>
        <w:t>拒绝与</w:t>
      </w:r>
      <w:r>
        <w:rPr>
          <w:rFonts w:hint="eastAsia"/>
          <w:sz w:val="24"/>
          <w:highlight w:val="none"/>
        </w:rPr>
        <w:t>征集人</w:t>
      </w:r>
      <w:r>
        <w:rPr>
          <w:sz w:val="24"/>
          <w:highlight w:val="none"/>
        </w:rPr>
        <w:t>签订</w:t>
      </w:r>
      <w:r>
        <w:rPr>
          <w:rFonts w:hint="eastAsia"/>
          <w:sz w:val="24"/>
          <w:highlight w:val="none"/>
        </w:rPr>
        <w:t>框架</w:t>
      </w:r>
      <w:r>
        <w:rPr>
          <w:sz w:val="24"/>
          <w:highlight w:val="none"/>
        </w:rPr>
        <w:t>协议的，</w:t>
      </w:r>
      <w:r>
        <w:rPr>
          <w:rFonts w:hint="eastAsia"/>
          <w:sz w:val="24"/>
          <w:highlight w:val="none"/>
        </w:rPr>
        <w:t>征集人</w:t>
      </w:r>
      <w:r>
        <w:rPr>
          <w:sz w:val="24"/>
          <w:highlight w:val="none"/>
        </w:rPr>
        <w:t>可以按照评审报告中的供应商评审顺序递补选择入围供应商。</w:t>
      </w:r>
    </w:p>
    <w:p w14:paraId="2A5C1DD5">
      <w:pPr>
        <w:numPr>
          <w:ilvl w:val="1"/>
          <w:numId w:val="8"/>
        </w:numPr>
        <w:tabs>
          <w:tab w:val="left" w:pos="1080"/>
          <w:tab w:val="left" w:pos="2014"/>
        </w:tabs>
        <w:snapToGrid w:val="0"/>
        <w:spacing w:line="360" w:lineRule="auto"/>
        <w:ind w:left="1077" w:hanging="720"/>
        <w:rPr>
          <w:sz w:val="24"/>
          <w:highlight w:val="none"/>
        </w:rPr>
      </w:pPr>
      <w:r>
        <w:rPr>
          <w:sz w:val="24"/>
          <w:highlight w:val="none"/>
        </w:rPr>
        <w:t>联合体</w:t>
      </w:r>
      <w:r>
        <w:rPr>
          <w:rFonts w:hint="eastAsia"/>
          <w:sz w:val="24"/>
          <w:highlight w:val="none"/>
        </w:rPr>
        <w:t>入围</w:t>
      </w:r>
      <w:r>
        <w:rPr>
          <w:sz w:val="24"/>
          <w:highlight w:val="none"/>
        </w:rPr>
        <w:t>的，联合体各方应当共同与</w:t>
      </w:r>
      <w:r>
        <w:rPr>
          <w:rFonts w:hint="eastAsia"/>
          <w:sz w:val="24"/>
          <w:highlight w:val="none"/>
        </w:rPr>
        <w:t>征集人</w:t>
      </w:r>
      <w:r>
        <w:rPr>
          <w:sz w:val="24"/>
          <w:highlight w:val="none"/>
        </w:rPr>
        <w:t>签订</w:t>
      </w:r>
      <w:r>
        <w:rPr>
          <w:rFonts w:hint="eastAsia"/>
          <w:sz w:val="24"/>
          <w:highlight w:val="none"/>
        </w:rPr>
        <w:t>框架</w:t>
      </w:r>
      <w:r>
        <w:rPr>
          <w:sz w:val="24"/>
          <w:highlight w:val="none"/>
        </w:rPr>
        <w:t>协议，就</w:t>
      </w:r>
      <w:r>
        <w:rPr>
          <w:rFonts w:hint="eastAsia"/>
          <w:sz w:val="24"/>
          <w:highlight w:val="none"/>
        </w:rPr>
        <w:t>框架</w:t>
      </w:r>
      <w:r>
        <w:rPr>
          <w:sz w:val="24"/>
          <w:highlight w:val="none"/>
        </w:rPr>
        <w:t>协议约定的事项向</w:t>
      </w:r>
      <w:r>
        <w:rPr>
          <w:rFonts w:hint="eastAsia"/>
          <w:sz w:val="24"/>
          <w:highlight w:val="none"/>
        </w:rPr>
        <w:t>征集人</w:t>
      </w:r>
      <w:r>
        <w:rPr>
          <w:sz w:val="24"/>
          <w:highlight w:val="none"/>
        </w:rPr>
        <w:t>承担连带责任。</w:t>
      </w:r>
    </w:p>
    <w:p w14:paraId="3B3A39F1">
      <w:pPr>
        <w:numPr>
          <w:ilvl w:val="1"/>
          <w:numId w:val="8"/>
        </w:numPr>
        <w:tabs>
          <w:tab w:val="left" w:pos="1080"/>
          <w:tab w:val="left" w:pos="2014"/>
        </w:tabs>
        <w:snapToGrid w:val="0"/>
        <w:spacing w:line="360" w:lineRule="auto"/>
        <w:ind w:left="1077" w:hanging="720"/>
        <w:rPr>
          <w:sz w:val="24"/>
          <w:highlight w:val="none"/>
        </w:rPr>
      </w:pPr>
      <w:r>
        <w:rPr>
          <w:sz w:val="24"/>
          <w:highlight w:val="none"/>
        </w:rPr>
        <w:t>政府采购</w:t>
      </w:r>
      <w:r>
        <w:rPr>
          <w:rFonts w:hint="eastAsia"/>
          <w:sz w:val="24"/>
          <w:highlight w:val="none"/>
        </w:rPr>
        <w:t>框架</w:t>
      </w:r>
      <w:r>
        <w:rPr>
          <w:sz w:val="24"/>
          <w:highlight w:val="none"/>
        </w:rPr>
        <w:t>协议不能转包。</w:t>
      </w:r>
    </w:p>
    <w:p w14:paraId="33B7BB7B">
      <w:pPr>
        <w:numPr>
          <w:ilvl w:val="1"/>
          <w:numId w:val="8"/>
        </w:numPr>
        <w:tabs>
          <w:tab w:val="left" w:pos="1080"/>
          <w:tab w:val="left" w:pos="2014"/>
        </w:tabs>
        <w:snapToGrid w:val="0"/>
        <w:spacing w:line="360" w:lineRule="auto"/>
        <w:ind w:left="1077" w:hanging="720"/>
        <w:rPr>
          <w:sz w:val="24"/>
          <w:highlight w:val="none"/>
        </w:rPr>
      </w:pPr>
      <w:r>
        <w:rPr>
          <w:rFonts w:hint="eastAsia"/>
          <w:sz w:val="24"/>
          <w:highlight w:val="none"/>
        </w:rPr>
        <w:t>征集人</w:t>
      </w:r>
      <w:r>
        <w:rPr>
          <w:sz w:val="24"/>
          <w:highlight w:val="none"/>
        </w:rPr>
        <w:t>允许采用分包方式履行合同的，</w:t>
      </w:r>
      <w:r>
        <w:rPr>
          <w:rFonts w:hint="eastAsia"/>
          <w:sz w:val="24"/>
          <w:highlight w:val="none"/>
        </w:rPr>
        <w:t>入围</w:t>
      </w:r>
      <w:r>
        <w:rPr>
          <w:sz w:val="24"/>
          <w:highlight w:val="none"/>
        </w:rPr>
        <w:t>供应商可以依法在</w:t>
      </w:r>
      <w:r>
        <w:rPr>
          <w:rFonts w:hint="eastAsia"/>
          <w:sz w:val="24"/>
          <w:highlight w:val="none"/>
        </w:rPr>
        <w:t>入围</w:t>
      </w:r>
      <w:r>
        <w:rPr>
          <w:sz w:val="24"/>
          <w:highlight w:val="none"/>
        </w:rPr>
        <w:t>后将</w:t>
      </w:r>
      <w:r>
        <w:rPr>
          <w:rFonts w:hint="eastAsia"/>
          <w:sz w:val="24"/>
          <w:highlight w:val="none"/>
        </w:rPr>
        <w:t>入围</w:t>
      </w:r>
      <w:r>
        <w:rPr>
          <w:sz w:val="24"/>
          <w:highlight w:val="none"/>
        </w:rPr>
        <w:t>项目的非主体、非关键性工作采取分包方式履行合同。本项目的非主体、非关键性工作是否允许分包，见《</w:t>
      </w:r>
      <w:r>
        <w:rPr>
          <w:rFonts w:hint="eastAsia"/>
          <w:sz w:val="24"/>
          <w:highlight w:val="none"/>
        </w:rPr>
        <w:t>供应商</w:t>
      </w:r>
      <w:r>
        <w:rPr>
          <w:sz w:val="24"/>
          <w:highlight w:val="none"/>
        </w:rPr>
        <w:t>须知资料表》。政府采购合同分包履行的，应当在</w:t>
      </w:r>
      <w:r>
        <w:rPr>
          <w:rFonts w:hint="eastAsia"/>
          <w:sz w:val="24"/>
          <w:highlight w:val="none"/>
        </w:rPr>
        <w:t>响应</w:t>
      </w:r>
      <w:r>
        <w:rPr>
          <w:sz w:val="24"/>
          <w:highlight w:val="none"/>
        </w:rPr>
        <w:t>文件中载明分包承担主体，分包承担主体应当具备相应资质条件且不得再次分包</w:t>
      </w:r>
      <w:r>
        <w:rPr>
          <w:b/>
          <w:sz w:val="24"/>
          <w:highlight w:val="none"/>
        </w:rPr>
        <w:t>，</w:t>
      </w:r>
      <w:r>
        <w:rPr>
          <w:sz w:val="24"/>
          <w:highlight w:val="none"/>
        </w:rPr>
        <w:t>否则</w:t>
      </w:r>
      <w:r>
        <w:rPr>
          <w:b/>
          <w:sz w:val="24"/>
          <w:highlight w:val="none"/>
        </w:rPr>
        <w:t>响应无效</w:t>
      </w:r>
      <w:r>
        <w:rPr>
          <w:sz w:val="24"/>
          <w:highlight w:val="none"/>
        </w:rPr>
        <w:t>。入</w:t>
      </w:r>
      <w:r>
        <w:rPr>
          <w:rFonts w:hint="eastAsia"/>
          <w:sz w:val="24"/>
          <w:highlight w:val="none"/>
        </w:rPr>
        <w:t>围</w:t>
      </w:r>
      <w:r>
        <w:rPr>
          <w:sz w:val="24"/>
          <w:highlight w:val="none"/>
        </w:rPr>
        <w:t>供应商就采购项目和分包项目向采购人负责，分包供应商就分包项目承担责任。</w:t>
      </w:r>
    </w:p>
    <w:p w14:paraId="611213B2">
      <w:pPr>
        <w:numPr>
          <w:ilvl w:val="1"/>
          <w:numId w:val="8"/>
        </w:numPr>
        <w:tabs>
          <w:tab w:val="left" w:pos="1080"/>
          <w:tab w:val="left" w:pos="2014"/>
        </w:tabs>
        <w:snapToGrid w:val="0"/>
        <w:spacing w:line="360" w:lineRule="auto"/>
        <w:ind w:left="1077" w:hanging="720"/>
        <w:rPr>
          <w:sz w:val="24"/>
          <w:highlight w:val="none"/>
        </w:rPr>
      </w:pPr>
      <w:r>
        <w:rPr>
          <w:sz w:val="24"/>
          <w:highlight w:val="none"/>
        </w:rPr>
        <w:t>“政采贷”融资指引：详见《</w:t>
      </w:r>
      <w:r>
        <w:rPr>
          <w:rFonts w:hint="eastAsia"/>
          <w:sz w:val="24"/>
          <w:highlight w:val="none"/>
        </w:rPr>
        <w:t>供应商</w:t>
      </w:r>
      <w:r>
        <w:rPr>
          <w:sz w:val="24"/>
          <w:highlight w:val="none"/>
        </w:rPr>
        <w:t>须知资料表》。</w:t>
      </w:r>
    </w:p>
    <w:p w14:paraId="7AAE0FD1">
      <w:pPr>
        <w:numPr>
          <w:ilvl w:val="0"/>
          <w:numId w:val="8"/>
        </w:numPr>
        <w:tabs>
          <w:tab w:val="left" w:pos="360"/>
        </w:tabs>
        <w:snapToGrid w:val="0"/>
        <w:spacing w:line="360" w:lineRule="auto"/>
        <w:ind w:left="357" w:hanging="357"/>
        <w:outlineLvl w:val="1"/>
        <w:rPr>
          <w:sz w:val="24"/>
          <w:highlight w:val="none"/>
        </w:rPr>
      </w:pPr>
      <w:r>
        <w:rPr>
          <w:rFonts w:hint="eastAsia"/>
          <w:sz w:val="24"/>
          <w:highlight w:val="none"/>
        </w:rPr>
        <w:t>入围供应商的清退和补充</w:t>
      </w:r>
    </w:p>
    <w:p w14:paraId="26F10C7D">
      <w:pPr>
        <w:numPr>
          <w:ilvl w:val="1"/>
          <w:numId w:val="8"/>
        </w:numPr>
        <w:tabs>
          <w:tab w:val="left" w:pos="1080"/>
          <w:tab w:val="left" w:pos="2014"/>
        </w:tabs>
        <w:snapToGrid w:val="0"/>
        <w:spacing w:line="360" w:lineRule="auto"/>
        <w:ind w:left="1077" w:hanging="720"/>
        <w:rPr>
          <w:sz w:val="24"/>
          <w:highlight w:val="none"/>
        </w:rPr>
      </w:pPr>
      <w:r>
        <w:rPr>
          <w:rFonts w:hint="eastAsia"/>
          <w:sz w:val="24"/>
          <w:highlight w:val="none"/>
        </w:rPr>
        <w:t>入围供应商清退</w:t>
      </w:r>
    </w:p>
    <w:p w14:paraId="6B2537C3">
      <w:pPr>
        <w:tabs>
          <w:tab w:val="left" w:pos="1080"/>
          <w:tab w:val="left" w:pos="1589"/>
          <w:tab w:val="left" w:pos="2014"/>
        </w:tabs>
        <w:snapToGrid w:val="0"/>
        <w:spacing w:line="360" w:lineRule="auto"/>
        <w:ind w:left="1077"/>
        <w:rPr>
          <w:rFonts w:hint="eastAsia"/>
          <w:sz w:val="24"/>
          <w:highlight w:val="none"/>
        </w:rPr>
      </w:pPr>
      <w:r>
        <w:rPr>
          <w:rFonts w:hint="eastAsia"/>
          <w:sz w:val="24"/>
          <w:highlight w:val="none"/>
        </w:rPr>
        <w:t>入围供应商有下列情形之一，尚未签订框架协议的，取消其入围资格；已经签订框架协议的，解除与其签订的框架协议，给征集人造成损失的，由责任人承担赔偿责任；与采购人签订采购合同但采购合同尚未履行的，撤销合同；采购合同已经履行的，给采购人造成损失的，由责任人承担赔偿责任：</w:t>
      </w:r>
    </w:p>
    <w:p w14:paraId="00D59D8A">
      <w:pPr>
        <w:tabs>
          <w:tab w:val="left" w:pos="1080"/>
          <w:tab w:val="left" w:pos="1589"/>
          <w:tab w:val="left" w:pos="2014"/>
        </w:tabs>
        <w:snapToGrid w:val="0"/>
        <w:spacing w:line="360" w:lineRule="auto"/>
        <w:ind w:left="1077"/>
        <w:rPr>
          <w:rFonts w:hint="eastAsia"/>
          <w:sz w:val="24"/>
          <w:highlight w:val="none"/>
        </w:rPr>
      </w:pPr>
      <w:r>
        <w:rPr>
          <w:rFonts w:hint="eastAsia"/>
          <w:sz w:val="24"/>
          <w:highlight w:val="none"/>
        </w:rPr>
        <w:t xml:space="preserve">（1）、恶意串通谋取入围或者合同成交的； </w:t>
      </w:r>
    </w:p>
    <w:p w14:paraId="4A011ED8">
      <w:pPr>
        <w:tabs>
          <w:tab w:val="left" w:pos="1080"/>
          <w:tab w:val="left" w:pos="1589"/>
          <w:tab w:val="left" w:pos="2014"/>
        </w:tabs>
        <w:snapToGrid w:val="0"/>
        <w:spacing w:line="360" w:lineRule="auto"/>
        <w:ind w:left="1077"/>
        <w:rPr>
          <w:rFonts w:hint="eastAsia"/>
          <w:sz w:val="24"/>
          <w:highlight w:val="none"/>
        </w:rPr>
      </w:pPr>
      <w:r>
        <w:rPr>
          <w:rFonts w:hint="eastAsia"/>
          <w:sz w:val="24"/>
          <w:highlight w:val="none"/>
        </w:rPr>
        <w:t xml:space="preserve">（2）、提供虚假材料谋取入围或者合同成交的； </w:t>
      </w:r>
    </w:p>
    <w:p w14:paraId="0E8842AD">
      <w:pPr>
        <w:tabs>
          <w:tab w:val="left" w:pos="1080"/>
          <w:tab w:val="left" w:pos="1589"/>
          <w:tab w:val="left" w:pos="2014"/>
        </w:tabs>
        <w:snapToGrid w:val="0"/>
        <w:spacing w:line="360" w:lineRule="auto"/>
        <w:ind w:left="1077"/>
        <w:rPr>
          <w:rFonts w:hint="eastAsia"/>
          <w:sz w:val="24"/>
          <w:highlight w:val="none"/>
        </w:rPr>
      </w:pPr>
      <w:r>
        <w:rPr>
          <w:rFonts w:hint="eastAsia"/>
          <w:sz w:val="24"/>
          <w:highlight w:val="none"/>
        </w:rPr>
        <w:t xml:space="preserve">（3）、无正当理由拒不接受合同授予的； </w:t>
      </w:r>
    </w:p>
    <w:p w14:paraId="44CA7008">
      <w:pPr>
        <w:tabs>
          <w:tab w:val="left" w:pos="1080"/>
          <w:tab w:val="left" w:pos="1589"/>
          <w:tab w:val="left" w:pos="2014"/>
        </w:tabs>
        <w:snapToGrid w:val="0"/>
        <w:spacing w:line="360" w:lineRule="auto"/>
        <w:ind w:left="1077"/>
        <w:rPr>
          <w:rFonts w:hint="eastAsia"/>
          <w:sz w:val="24"/>
          <w:highlight w:val="none"/>
        </w:rPr>
      </w:pPr>
      <w:r>
        <w:rPr>
          <w:rFonts w:hint="eastAsia"/>
          <w:sz w:val="24"/>
          <w:highlight w:val="none"/>
        </w:rPr>
        <w:t xml:space="preserve">（4）、不履行合同义务或者履行合同义务不符合约定，经采购人请求履行后仍不履行或者仍未按约定履行的； </w:t>
      </w:r>
    </w:p>
    <w:p w14:paraId="1943FD9E">
      <w:pPr>
        <w:tabs>
          <w:tab w:val="left" w:pos="1080"/>
          <w:tab w:val="left" w:pos="1589"/>
          <w:tab w:val="left" w:pos="2014"/>
        </w:tabs>
        <w:snapToGrid w:val="0"/>
        <w:spacing w:line="360" w:lineRule="auto"/>
        <w:ind w:left="1077"/>
        <w:rPr>
          <w:rFonts w:hint="eastAsia"/>
          <w:sz w:val="24"/>
          <w:highlight w:val="none"/>
        </w:rPr>
      </w:pPr>
      <w:r>
        <w:rPr>
          <w:rFonts w:hint="eastAsia"/>
          <w:sz w:val="24"/>
          <w:highlight w:val="none"/>
        </w:rPr>
        <w:t>（5）、框架协议有效期内，因违法行为被禁止或限制参加政府采购活动的；</w:t>
      </w:r>
    </w:p>
    <w:p w14:paraId="75B9D8DC">
      <w:pPr>
        <w:tabs>
          <w:tab w:val="left" w:pos="1080"/>
          <w:tab w:val="left" w:pos="1589"/>
          <w:tab w:val="left" w:pos="2014"/>
        </w:tabs>
        <w:snapToGrid w:val="0"/>
        <w:spacing w:line="360" w:lineRule="auto"/>
        <w:ind w:left="1077"/>
        <w:rPr>
          <w:rFonts w:hint="eastAsia"/>
          <w:sz w:val="24"/>
          <w:highlight w:val="none"/>
        </w:rPr>
      </w:pPr>
      <w:r>
        <w:rPr>
          <w:rFonts w:hint="eastAsia"/>
          <w:sz w:val="24"/>
          <w:highlight w:val="none"/>
        </w:rPr>
        <w:t>（6）、</w:t>
      </w:r>
      <w:bookmarkStart w:id="678" w:name="OLE_LINK8"/>
      <w:bookmarkStart w:id="679" w:name="OLE_LINK17"/>
      <w:r>
        <w:rPr>
          <w:rFonts w:hint="eastAsia"/>
          <w:sz w:val="24"/>
          <w:highlight w:val="none"/>
        </w:rPr>
        <w:t>供应商</w:t>
      </w:r>
      <w:bookmarkEnd w:id="678"/>
      <w:bookmarkEnd w:id="679"/>
      <w:r>
        <w:rPr>
          <w:rFonts w:hint="eastAsia"/>
          <w:sz w:val="24"/>
          <w:highlight w:val="none"/>
        </w:rPr>
        <w:t>派遣的律师经甲方考评不合格率达到五分之一以上的；</w:t>
      </w:r>
    </w:p>
    <w:p w14:paraId="21642548">
      <w:pPr>
        <w:tabs>
          <w:tab w:val="left" w:pos="1080"/>
          <w:tab w:val="left" w:pos="1589"/>
          <w:tab w:val="left" w:pos="2014"/>
        </w:tabs>
        <w:snapToGrid w:val="0"/>
        <w:spacing w:line="360" w:lineRule="auto"/>
        <w:ind w:left="1077"/>
        <w:rPr>
          <w:rFonts w:hint="eastAsia"/>
          <w:sz w:val="24"/>
          <w:highlight w:val="none"/>
        </w:rPr>
      </w:pPr>
      <w:r>
        <w:rPr>
          <w:rFonts w:hint="eastAsia"/>
          <w:sz w:val="24"/>
          <w:highlight w:val="none"/>
        </w:rPr>
        <w:t>（7）、供应商或供应商指派的律师、法律服务工作者年度考评不合格的；</w:t>
      </w:r>
    </w:p>
    <w:p w14:paraId="2E19DFC5">
      <w:pPr>
        <w:tabs>
          <w:tab w:val="left" w:pos="1080"/>
          <w:tab w:val="left" w:pos="1589"/>
          <w:tab w:val="left" w:pos="2014"/>
        </w:tabs>
        <w:snapToGrid w:val="0"/>
        <w:spacing w:line="360" w:lineRule="auto"/>
        <w:ind w:left="1077"/>
        <w:rPr>
          <w:rFonts w:hint="eastAsia"/>
          <w:sz w:val="24"/>
          <w:highlight w:val="none"/>
        </w:rPr>
      </w:pPr>
      <w:r>
        <w:rPr>
          <w:rFonts w:hint="eastAsia"/>
          <w:sz w:val="24"/>
          <w:highlight w:val="none"/>
        </w:rPr>
        <w:t>（8）、供应商律师有重大违法违纪行为的。</w:t>
      </w:r>
    </w:p>
    <w:p w14:paraId="49B0015D">
      <w:pPr>
        <w:tabs>
          <w:tab w:val="left" w:pos="1080"/>
          <w:tab w:val="left" w:pos="1589"/>
          <w:tab w:val="left" w:pos="2014"/>
        </w:tabs>
        <w:snapToGrid w:val="0"/>
        <w:spacing w:line="360" w:lineRule="auto"/>
        <w:ind w:left="1077"/>
        <w:rPr>
          <w:rFonts w:hint="eastAsia"/>
          <w:sz w:val="24"/>
          <w:highlight w:val="none"/>
        </w:rPr>
      </w:pPr>
      <w:r>
        <w:rPr>
          <w:rFonts w:hint="eastAsia"/>
          <w:sz w:val="24"/>
          <w:highlight w:val="none"/>
        </w:rPr>
        <w:t>（9）、违反司法部、北京市司法局有关律师及律师事务所管理规定的。</w:t>
      </w:r>
    </w:p>
    <w:p w14:paraId="1781F94E">
      <w:pPr>
        <w:tabs>
          <w:tab w:val="left" w:pos="1080"/>
          <w:tab w:val="left" w:pos="1589"/>
          <w:tab w:val="left" w:pos="2014"/>
        </w:tabs>
        <w:snapToGrid w:val="0"/>
        <w:spacing w:line="360" w:lineRule="auto"/>
        <w:ind w:left="1077"/>
        <w:rPr>
          <w:rFonts w:hint="eastAsia"/>
          <w:sz w:val="24"/>
          <w:highlight w:val="none"/>
        </w:rPr>
      </w:pPr>
      <w:r>
        <w:rPr>
          <w:rFonts w:hint="eastAsia"/>
          <w:sz w:val="24"/>
          <w:highlight w:val="none"/>
        </w:rPr>
        <w:t>（1</w:t>
      </w:r>
      <w:r>
        <w:rPr>
          <w:sz w:val="24"/>
          <w:highlight w:val="none"/>
        </w:rPr>
        <w:t>0</w:t>
      </w:r>
      <w:r>
        <w:rPr>
          <w:rFonts w:hint="eastAsia"/>
          <w:sz w:val="24"/>
          <w:highlight w:val="none"/>
        </w:rPr>
        <w:t>）、框架协议约定的其他情形。</w:t>
      </w:r>
    </w:p>
    <w:p w14:paraId="22EDC917">
      <w:pPr>
        <w:tabs>
          <w:tab w:val="left" w:pos="1080"/>
          <w:tab w:val="left" w:pos="1589"/>
          <w:tab w:val="left" w:pos="2014"/>
        </w:tabs>
        <w:snapToGrid w:val="0"/>
        <w:spacing w:line="360" w:lineRule="auto"/>
        <w:ind w:left="1077"/>
        <w:rPr>
          <w:sz w:val="24"/>
          <w:highlight w:val="none"/>
        </w:rPr>
      </w:pPr>
      <w:r>
        <w:rPr>
          <w:rFonts w:hint="eastAsia"/>
          <w:sz w:val="24"/>
          <w:highlight w:val="none"/>
        </w:rPr>
        <w:t>注：入围供应商被清退的，入围服务将从框架协议系统服务库中下架。被清退的供应商及被下架的服务不得参加同一封闭式框架协议补充征集。</w:t>
      </w:r>
    </w:p>
    <w:p w14:paraId="730F9C9A">
      <w:pPr>
        <w:numPr>
          <w:ilvl w:val="1"/>
          <w:numId w:val="8"/>
        </w:numPr>
        <w:tabs>
          <w:tab w:val="left" w:pos="1080"/>
          <w:tab w:val="left" w:pos="2014"/>
        </w:tabs>
        <w:snapToGrid w:val="0"/>
        <w:spacing w:line="360" w:lineRule="auto"/>
        <w:ind w:left="1077" w:hanging="720"/>
        <w:rPr>
          <w:sz w:val="24"/>
          <w:highlight w:val="none"/>
        </w:rPr>
      </w:pPr>
      <w:r>
        <w:rPr>
          <w:rFonts w:hint="eastAsia"/>
          <w:sz w:val="24"/>
          <w:highlight w:val="none"/>
        </w:rPr>
        <w:t>入围供应商补充</w:t>
      </w:r>
    </w:p>
    <w:p w14:paraId="56DD46CD">
      <w:pPr>
        <w:tabs>
          <w:tab w:val="left" w:pos="1080"/>
          <w:tab w:val="left" w:pos="1589"/>
          <w:tab w:val="left" w:pos="2014"/>
        </w:tabs>
        <w:snapToGrid w:val="0"/>
        <w:spacing w:line="360" w:lineRule="auto"/>
        <w:ind w:left="1077"/>
        <w:rPr>
          <w:rFonts w:hint="eastAsia"/>
          <w:sz w:val="24"/>
          <w:highlight w:val="none"/>
        </w:rPr>
      </w:pPr>
      <w:r>
        <w:rPr>
          <w:rFonts w:hint="eastAsia"/>
          <w:sz w:val="24"/>
          <w:highlight w:val="none"/>
        </w:rPr>
        <w:t>框架协议有效期内，当剩余入围供应商不足入围供应商总数70%且影响框架协议执行时，征集人将启动补充征集供应商程序。补充征集的条件、程序、评审方法和淘汰比例与初次征集相同。补充征集的有效期遵守原框 架协议的有效期。补充征集期间，原框架协议继续履行。</w:t>
      </w:r>
    </w:p>
    <w:bookmarkEnd w:id="641"/>
    <w:bookmarkEnd w:id="642"/>
    <w:bookmarkEnd w:id="643"/>
    <w:p w14:paraId="2D00AA30">
      <w:pPr>
        <w:numPr>
          <w:ilvl w:val="0"/>
          <w:numId w:val="8"/>
        </w:numPr>
        <w:tabs>
          <w:tab w:val="left" w:pos="360"/>
        </w:tabs>
        <w:snapToGrid w:val="0"/>
        <w:spacing w:line="360" w:lineRule="auto"/>
        <w:ind w:left="357" w:hanging="357"/>
        <w:outlineLvl w:val="1"/>
        <w:rPr>
          <w:sz w:val="24"/>
          <w:highlight w:val="none"/>
        </w:rPr>
      </w:pPr>
      <w:r>
        <w:rPr>
          <w:sz w:val="24"/>
          <w:highlight w:val="none"/>
        </w:rPr>
        <w:t>询问与质疑</w:t>
      </w:r>
    </w:p>
    <w:p w14:paraId="21520FCA">
      <w:pPr>
        <w:numPr>
          <w:ilvl w:val="1"/>
          <w:numId w:val="8"/>
        </w:numPr>
        <w:tabs>
          <w:tab w:val="left" w:pos="1080"/>
          <w:tab w:val="left" w:pos="2014"/>
        </w:tabs>
        <w:snapToGrid w:val="0"/>
        <w:spacing w:line="360" w:lineRule="auto"/>
        <w:ind w:left="1077" w:hanging="720"/>
        <w:rPr>
          <w:sz w:val="24"/>
          <w:highlight w:val="none"/>
        </w:rPr>
      </w:pPr>
      <w:r>
        <w:rPr>
          <w:sz w:val="24"/>
          <w:highlight w:val="none"/>
        </w:rPr>
        <w:t>询问</w:t>
      </w:r>
    </w:p>
    <w:p w14:paraId="77F3AE39">
      <w:pPr>
        <w:numPr>
          <w:ilvl w:val="2"/>
          <w:numId w:val="8"/>
        </w:numPr>
        <w:snapToGrid w:val="0"/>
        <w:spacing w:line="360" w:lineRule="auto"/>
        <w:rPr>
          <w:sz w:val="24"/>
          <w:highlight w:val="none"/>
        </w:rPr>
      </w:pPr>
      <w:bookmarkStart w:id="680" w:name="_Hlk179293370"/>
      <w:r>
        <w:rPr>
          <w:rFonts w:hint="eastAsia"/>
          <w:sz w:val="24"/>
          <w:highlight w:val="none"/>
        </w:rPr>
        <w:t>供应商</w:t>
      </w:r>
      <w:r>
        <w:rPr>
          <w:sz w:val="24"/>
          <w:highlight w:val="none"/>
        </w:rPr>
        <w:t>对政府采购活动事项有疑问的，可依法</w:t>
      </w:r>
      <w:r>
        <w:rPr>
          <w:rFonts w:hint="eastAsia"/>
          <w:sz w:val="24"/>
          <w:highlight w:val="none"/>
        </w:rPr>
        <w:t>向征集人</w:t>
      </w:r>
      <w:r>
        <w:rPr>
          <w:sz w:val="24"/>
          <w:highlight w:val="none"/>
        </w:rPr>
        <w:t>提出询问，</w:t>
      </w:r>
      <w:r>
        <w:rPr>
          <w:rFonts w:hint="eastAsia"/>
          <w:sz w:val="24"/>
          <w:highlight w:val="none"/>
        </w:rPr>
        <w:t>提出形式见</w:t>
      </w:r>
      <w:r>
        <w:rPr>
          <w:sz w:val="24"/>
          <w:highlight w:val="none"/>
        </w:rPr>
        <w:t>《</w:t>
      </w:r>
      <w:r>
        <w:rPr>
          <w:rFonts w:hint="eastAsia"/>
          <w:sz w:val="24"/>
          <w:highlight w:val="none"/>
        </w:rPr>
        <w:t>供应商</w:t>
      </w:r>
      <w:r>
        <w:rPr>
          <w:sz w:val="24"/>
          <w:highlight w:val="none"/>
        </w:rPr>
        <w:t>须知资料表》。</w:t>
      </w:r>
      <w:bookmarkEnd w:id="680"/>
    </w:p>
    <w:p w14:paraId="736DF2E9">
      <w:pPr>
        <w:numPr>
          <w:ilvl w:val="2"/>
          <w:numId w:val="8"/>
        </w:numPr>
        <w:snapToGrid w:val="0"/>
        <w:spacing w:line="360" w:lineRule="auto"/>
        <w:rPr>
          <w:sz w:val="24"/>
          <w:highlight w:val="none"/>
        </w:rPr>
      </w:pPr>
      <w:r>
        <w:rPr>
          <w:rFonts w:hint="eastAsia"/>
          <w:sz w:val="24"/>
          <w:highlight w:val="none"/>
        </w:rPr>
        <w:t>征集人</w:t>
      </w:r>
      <w:r>
        <w:rPr>
          <w:sz w:val="24"/>
          <w:highlight w:val="none"/>
        </w:rPr>
        <w:t>对供应商依法提出的询问，在3个工作日内作出答复，但答复的内容不得涉及商业秘密。</w:t>
      </w:r>
    </w:p>
    <w:p w14:paraId="19194615">
      <w:pPr>
        <w:numPr>
          <w:ilvl w:val="1"/>
          <w:numId w:val="8"/>
        </w:numPr>
        <w:tabs>
          <w:tab w:val="left" w:pos="1080"/>
          <w:tab w:val="left" w:pos="2014"/>
        </w:tabs>
        <w:snapToGrid w:val="0"/>
        <w:spacing w:line="360" w:lineRule="auto"/>
        <w:ind w:left="1077" w:hanging="720"/>
        <w:rPr>
          <w:sz w:val="24"/>
          <w:highlight w:val="none"/>
        </w:rPr>
      </w:pPr>
      <w:r>
        <w:rPr>
          <w:sz w:val="24"/>
          <w:highlight w:val="none"/>
        </w:rPr>
        <w:t>质疑</w:t>
      </w:r>
    </w:p>
    <w:p w14:paraId="72FAA87C">
      <w:pPr>
        <w:numPr>
          <w:ilvl w:val="2"/>
          <w:numId w:val="8"/>
        </w:numPr>
        <w:snapToGrid w:val="0"/>
        <w:spacing w:line="360" w:lineRule="auto"/>
        <w:rPr>
          <w:sz w:val="24"/>
          <w:highlight w:val="none"/>
        </w:rPr>
      </w:pPr>
      <w:r>
        <w:rPr>
          <w:rFonts w:hint="eastAsia"/>
          <w:sz w:val="24"/>
          <w:highlight w:val="none"/>
        </w:rPr>
        <w:t>供应商</w:t>
      </w:r>
      <w:r>
        <w:rPr>
          <w:sz w:val="24"/>
          <w:highlight w:val="none"/>
        </w:rPr>
        <w:t>认为</w:t>
      </w:r>
      <w:r>
        <w:rPr>
          <w:rFonts w:hint="eastAsia"/>
          <w:sz w:val="24"/>
          <w:highlight w:val="none"/>
        </w:rPr>
        <w:t>征集</w:t>
      </w:r>
      <w:r>
        <w:rPr>
          <w:sz w:val="24"/>
          <w:highlight w:val="none"/>
        </w:rPr>
        <w:t>文件、采购过程、中标结果使自己的权益受到损害的，可以在知道或者应知其权益受到损害之日起7个工作日内，以书面形式向</w:t>
      </w:r>
      <w:r>
        <w:rPr>
          <w:rFonts w:hint="eastAsia"/>
          <w:sz w:val="24"/>
          <w:highlight w:val="none"/>
        </w:rPr>
        <w:t>征集人</w:t>
      </w:r>
      <w:r>
        <w:rPr>
          <w:sz w:val="24"/>
          <w:highlight w:val="none"/>
        </w:rPr>
        <w:t>提出质疑。</w:t>
      </w:r>
      <w:r>
        <w:rPr>
          <w:rFonts w:hint="eastAsia"/>
          <w:sz w:val="24"/>
          <w:highlight w:val="none"/>
        </w:rPr>
        <w:t>征集人</w:t>
      </w:r>
      <w:r>
        <w:rPr>
          <w:sz w:val="24"/>
          <w:highlight w:val="none"/>
        </w:rPr>
        <w:t>在收到质疑函后7个工作日内作出答复。</w:t>
      </w:r>
    </w:p>
    <w:p w14:paraId="3D12575E">
      <w:pPr>
        <w:numPr>
          <w:ilvl w:val="2"/>
          <w:numId w:val="8"/>
        </w:numPr>
        <w:snapToGrid w:val="0"/>
        <w:spacing w:line="360" w:lineRule="auto"/>
        <w:rPr>
          <w:sz w:val="24"/>
          <w:highlight w:val="none"/>
        </w:rPr>
      </w:pPr>
      <w:r>
        <w:rPr>
          <w:sz w:val="24"/>
          <w:highlight w:val="none"/>
        </w:rPr>
        <w:t>质疑函须使用财政部制定的范本文件。</w:t>
      </w:r>
      <w:r>
        <w:rPr>
          <w:rFonts w:hint="eastAsia"/>
          <w:sz w:val="24"/>
          <w:highlight w:val="none"/>
        </w:rPr>
        <w:t>供应商</w:t>
      </w:r>
      <w:r>
        <w:rPr>
          <w:sz w:val="24"/>
          <w:highlight w:val="none"/>
        </w:rPr>
        <w:t>为自然人的，质疑函应当由本人签字；</w:t>
      </w:r>
      <w:r>
        <w:rPr>
          <w:rFonts w:hint="eastAsia"/>
          <w:sz w:val="24"/>
          <w:highlight w:val="none"/>
        </w:rPr>
        <w:t>供应商</w:t>
      </w:r>
      <w:r>
        <w:rPr>
          <w:sz w:val="24"/>
          <w:highlight w:val="none"/>
        </w:rPr>
        <w:t>为法人或者其他组织的，质疑函应当由法定代表人、主要负责人，或者其授权代表签字或者盖章，并加盖公章。</w:t>
      </w:r>
    </w:p>
    <w:p w14:paraId="2BBFBB6C">
      <w:pPr>
        <w:numPr>
          <w:ilvl w:val="2"/>
          <w:numId w:val="8"/>
        </w:numPr>
        <w:snapToGrid w:val="0"/>
        <w:spacing w:line="360" w:lineRule="auto"/>
        <w:rPr>
          <w:sz w:val="24"/>
          <w:highlight w:val="none"/>
        </w:rPr>
      </w:pPr>
      <w:r>
        <w:rPr>
          <w:rFonts w:hint="eastAsia"/>
          <w:sz w:val="24"/>
          <w:highlight w:val="none"/>
        </w:rPr>
        <w:t>供应商</w:t>
      </w:r>
      <w:r>
        <w:rPr>
          <w:sz w:val="24"/>
          <w:highlight w:val="none"/>
        </w:rPr>
        <w:t>委托代理人进行质疑的，应当随质疑函同时提交</w:t>
      </w:r>
      <w:r>
        <w:rPr>
          <w:rFonts w:hint="eastAsia"/>
          <w:sz w:val="24"/>
          <w:highlight w:val="none"/>
        </w:rPr>
        <w:t>供应商</w:t>
      </w:r>
      <w:r>
        <w:rPr>
          <w:sz w:val="24"/>
          <w:highlight w:val="none"/>
        </w:rPr>
        <w:t>签署的授权委托书。授权委托书应当载明代理人的姓名或者名称、代理事项、具体权限、期限和相关事项。</w:t>
      </w:r>
      <w:r>
        <w:rPr>
          <w:rFonts w:hint="eastAsia"/>
          <w:sz w:val="24"/>
          <w:highlight w:val="none"/>
        </w:rPr>
        <w:t>供应商</w:t>
      </w:r>
      <w:r>
        <w:rPr>
          <w:sz w:val="24"/>
          <w:highlight w:val="none"/>
        </w:rPr>
        <w:t>为自然人的，应当由本人签字；</w:t>
      </w:r>
      <w:r>
        <w:rPr>
          <w:rFonts w:hint="eastAsia"/>
          <w:sz w:val="24"/>
          <w:highlight w:val="none"/>
        </w:rPr>
        <w:t>供应商</w:t>
      </w:r>
      <w:r>
        <w:rPr>
          <w:sz w:val="24"/>
          <w:highlight w:val="none"/>
        </w:rPr>
        <w:t>为法人或者其他组织的，应当由法定代表人、主要负责人签字或者盖章，并加盖公章。</w:t>
      </w:r>
    </w:p>
    <w:p w14:paraId="772BA238">
      <w:pPr>
        <w:numPr>
          <w:ilvl w:val="2"/>
          <w:numId w:val="8"/>
        </w:numPr>
        <w:snapToGrid w:val="0"/>
        <w:spacing w:line="360" w:lineRule="auto"/>
        <w:rPr>
          <w:sz w:val="24"/>
          <w:highlight w:val="none"/>
        </w:rPr>
      </w:pPr>
      <w:r>
        <w:rPr>
          <w:rFonts w:hint="eastAsia"/>
          <w:sz w:val="24"/>
          <w:highlight w:val="none"/>
        </w:rPr>
        <w:t>供应商</w:t>
      </w:r>
      <w:r>
        <w:rPr>
          <w:sz w:val="24"/>
          <w:highlight w:val="none"/>
        </w:rPr>
        <w:t>应在法定质疑期内一次性提出针对同一采购程序环节的质疑，法定质疑期内针对同一采购程序环节再次提出的质疑，</w:t>
      </w:r>
      <w:r>
        <w:rPr>
          <w:rFonts w:hint="eastAsia"/>
          <w:sz w:val="24"/>
          <w:highlight w:val="none"/>
        </w:rPr>
        <w:t>征集人</w:t>
      </w:r>
      <w:r>
        <w:rPr>
          <w:sz w:val="24"/>
          <w:highlight w:val="none"/>
        </w:rPr>
        <w:t>有权不予答复。</w:t>
      </w:r>
    </w:p>
    <w:p w14:paraId="603DC2BE">
      <w:pPr>
        <w:numPr>
          <w:ilvl w:val="1"/>
          <w:numId w:val="8"/>
        </w:numPr>
        <w:tabs>
          <w:tab w:val="left" w:pos="1080"/>
          <w:tab w:val="left" w:pos="2014"/>
        </w:tabs>
        <w:snapToGrid w:val="0"/>
        <w:spacing w:line="360" w:lineRule="auto"/>
        <w:ind w:left="1077" w:hanging="720"/>
        <w:rPr>
          <w:sz w:val="24"/>
          <w:highlight w:val="none"/>
        </w:rPr>
      </w:pPr>
      <w:r>
        <w:rPr>
          <w:sz w:val="24"/>
          <w:highlight w:val="none"/>
        </w:rPr>
        <w:t>接收询问和质疑的联系部门、联系电话和通讯地址见《供应商须知资料表》。</w:t>
      </w:r>
    </w:p>
    <w:p w14:paraId="01FDA3DE">
      <w:pPr>
        <w:numPr>
          <w:ilvl w:val="0"/>
          <w:numId w:val="8"/>
        </w:numPr>
        <w:tabs>
          <w:tab w:val="left" w:pos="360"/>
        </w:tabs>
        <w:snapToGrid w:val="0"/>
        <w:spacing w:line="360" w:lineRule="auto"/>
        <w:ind w:left="357" w:hanging="357"/>
        <w:outlineLvl w:val="1"/>
        <w:rPr>
          <w:sz w:val="24"/>
          <w:highlight w:val="none"/>
        </w:rPr>
      </w:pPr>
      <w:r>
        <w:rPr>
          <w:rFonts w:hint="eastAsia"/>
          <w:sz w:val="24"/>
          <w:highlight w:val="none"/>
        </w:rPr>
        <w:t>采购合同授予阶段</w:t>
      </w:r>
    </w:p>
    <w:p w14:paraId="5B96EF7C">
      <w:pPr>
        <w:numPr>
          <w:ilvl w:val="1"/>
          <w:numId w:val="8"/>
        </w:numPr>
        <w:tabs>
          <w:tab w:val="left" w:pos="1080"/>
          <w:tab w:val="left" w:pos="2014"/>
        </w:tabs>
        <w:snapToGrid w:val="0"/>
        <w:spacing w:line="360" w:lineRule="auto"/>
        <w:ind w:left="1077" w:hanging="720"/>
        <w:rPr>
          <w:sz w:val="24"/>
          <w:highlight w:val="none"/>
        </w:rPr>
      </w:pPr>
      <w:r>
        <w:rPr>
          <w:rFonts w:hint="eastAsia"/>
          <w:sz w:val="24"/>
          <w:highlight w:val="none"/>
        </w:rPr>
        <w:t>确定成交供应商方式</w:t>
      </w:r>
    </w:p>
    <w:p w14:paraId="1AA9AF1C">
      <w:pPr>
        <w:tabs>
          <w:tab w:val="left" w:pos="1080"/>
          <w:tab w:val="left" w:pos="1589"/>
          <w:tab w:val="left" w:pos="2014"/>
        </w:tabs>
        <w:snapToGrid w:val="0"/>
        <w:spacing w:line="360" w:lineRule="auto"/>
        <w:ind w:left="1077"/>
        <w:rPr>
          <w:sz w:val="24"/>
          <w:highlight w:val="none"/>
        </w:rPr>
      </w:pPr>
      <w:r>
        <w:rPr>
          <w:rFonts w:hint="eastAsia"/>
          <w:sz w:val="24"/>
          <w:highlight w:val="none"/>
        </w:rPr>
        <w:t>本项目采用直接选定方式确定第二阶段成交供应商。采取直接选定方式的，采购人应当在框架协议入围供应商中选择服务单位。</w:t>
      </w:r>
    </w:p>
    <w:p w14:paraId="6D3BEF0F">
      <w:pPr>
        <w:numPr>
          <w:ilvl w:val="1"/>
          <w:numId w:val="8"/>
        </w:numPr>
        <w:tabs>
          <w:tab w:val="left" w:pos="1080"/>
          <w:tab w:val="left" w:pos="2014"/>
        </w:tabs>
        <w:snapToGrid w:val="0"/>
        <w:spacing w:line="360" w:lineRule="auto"/>
        <w:ind w:left="1077" w:hanging="720"/>
        <w:rPr>
          <w:sz w:val="24"/>
          <w:highlight w:val="none"/>
        </w:rPr>
      </w:pPr>
      <w:r>
        <w:rPr>
          <w:rFonts w:hint="eastAsia"/>
          <w:sz w:val="24"/>
          <w:highlight w:val="none"/>
        </w:rPr>
        <w:t>成交公告</w:t>
      </w:r>
    </w:p>
    <w:p w14:paraId="1010271C">
      <w:pPr>
        <w:tabs>
          <w:tab w:val="left" w:pos="1080"/>
          <w:tab w:val="left" w:pos="1589"/>
          <w:tab w:val="left" w:pos="2014"/>
        </w:tabs>
        <w:snapToGrid w:val="0"/>
        <w:spacing w:line="360" w:lineRule="auto"/>
        <w:ind w:left="1077"/>
        <w:rPr>
          <w:sz w:val="24"/>
          <w:highlight w:val="none"/>
        </w:rPr>
      </w:pPr>
      <w:r>
        <w:rPr>
          <w:rFonts w:hint="eastAsia"/>
          <w:sz w:val="24"/>
          <w:highlight w:val="none"/>
        </w:rPr>
        <w:t>征集人应当在框架协议有效期满后10个工作日内发布成交结果汇总公告。汇总公告应当包括</w:t>
      </w:r>
      <w:bookmarkStart w:id="681" w:name="OLE_LINK18"/>
      <w:bookmarkStart w:id="682" w:name="OLE_LINK19"/>
      <w:r>
        <w:rPr>
          <w:rFonts w:hint="eastAsia"/>
          <w:sz w:val="24"/>
          <w:highlight w:val="none"/>
        </w:rPr>
        <w:t>采购人的名称</w:t>
      </w:r>
      <w:bookmarkEnd w:id="681"/>
      <w:bookmarkEnd w:id="682"/>
      <w:r>
        <w:rPr>
          <w:rFonts w:hint="eastAsia"/>
          <w:sz w:val="24"/>
          <w:highlight w:val="none"/>
        </w:rPr>
        <w:t>、地址和联系方式，框架协议采购项目名称、编号，所有成交供应商的名称、地址及其成交合同总数和总金额。</w:t>
      </w:r>
    </w:p>
    <w:p w14:paraId="5DD3D6B4">
      <w:pPr>
        <w:numPr>
          <w:ilvl w:val="1"/>
          <w:numId w:val="8"/>
        </w:numPr>
        <w:tabs>
          <w:tab w:val="left" w:pos="1080"/>
          <w:tab w:val="left" w:pos="2014"/>
        </w:tabs>
        <w:snapToGrid w:val="0"/>
        <w:spacing w:line="360" w:lineRule="auto"/>
        <w:ind w:left="1077" w:hanging="720"/>
        <w:rPr>
          <w:sz w:val="24"/>
          <w:highlight w:val="none"/>
        </w:rPr>
      </w:pPr>
      <w:r>
        <w:rPr>
          <w:rFonts w:hint="eastAsia"/>
          <w:sz w:val="24"/>
          <w:highlight w:val="none"/>
        </w:rPr>
        <w:t>采购合同价款</w:t>
      </w:r>
    </w:p>
    <w:p w14:paraId="1BFF4259">
      <w:pPr>
        <w:tabs>
          <w:tab w:val="left" w:pos="1080"/>
          <w:tab w:val="left" w:pos="1589"/>
          <w:tab w:val="left" w:pos="2014"/>
        </w:tabs>
        <w:snapToGrid w:val="0"/>
        <w:spacing w:line="360" w:lineRule="auto"/>
        <w:ind w:left="1077"/>
        <w:rPr>
          <w:sz w:val="24"/>
          <w:highlight w:val="none"/>
        </w:rPr>
      </w:pPr>
      <w:r>
        <w:rPr>
          <w:rFonts w:hint="eastAsia"/>
          <w:sz w:val="24"/>
          <w:highlight w:val="none"/>
        </w:rPr>
        <w:t>本次框架协议采购合同为固定价格合同。</w:t>
      </w:r>
    </w:p>
    <w:p w14:paraId="08E9B971">
      <w:pPr>
        <w:numPr>
          <w:ilvl w:val="1"/>
          <w:numId w:val="8"/>
        </w:numPr>
        <w:tabs>
          <w:tab w:val="left" w:pos="1080"/>
          <w:tab w:val="left" w:pos="2014"/>
        </w:tabs>
        <w:snapToGrid w:val="0"/>
        <w:spacing w:line="360" w:lineRule="auto"/>
        <w:ind w:left="1077" w:hanging="720"/>
        <w:rPr>
          <w:sz w:val="24"/>
          <w:highlight w:val="none"/>
        </w:rPr>
      </w:pPr>
      <w:r>
        <w:rPr>
          <w:rFonts w:hint="eastAsia"/>
          <w:sz w:val="24"/>
          <w:highlight w:val="none"/>
        </w:rPr>
        <w:t>用户反馈和评价机制</w:t>
      </w:r>
    </w:p>
    <w:p w14:paraId="112DDB55">
      <w:pPr>
        <w:tabs>
          <w:tab w:val="left" w:pos="1080"/>
          <w:tab w:val="left" w:pos="1589"/>
          <w:tab w:val="left" w:pos="2014"/>
        </w:tabs>
        <w:snapToGrid w:val="0"/>
        <w:spacing w:line="360" w:lineRule="auto"/>
        <w:ind w:left="1077"/>
        <w:rPr>
          <w:sz w:val="24"/>
          <w:highlight w:val="none"/>
        </w:rPr>
      </w:pPr>
      <w:r>
        <w:rPr>
          <w:rFonts w:hint="eastAsia"/>
          <w:sz w:val="24"/>
          <w:highlight w:val="none"/>
        </w:rPr>
        <w:t>采购人和供应商对合同授予阶段中的日常经营活动、订单履约情况、采购合同执行情况等进行互评。评价结果将作为采购人或者供应商参与后续采购活动的重要依据。</w:t>
      </w:r>
    </w:p>
    <w:p w14:paraId="632D8AF7">
      <w:pPr>
        <w:tabs>
          <w:tab w:val="left" w:pos="1080"/>
          <w:tab w:val="left" w:pos="1589"/>
          <w:tab w:val="left" w:pos="2014"/>
        </w:tabs>
        <w:snapToGrid w:val="0"/>
        <w:spacing w:line="360" w:lineRule="auto"/>
        <w:ind w:left="1077"/>
        <w:rPr>
          <w:rFonts w:hint="eastAsia"/>
          <w:sz w:val="24"/>
          <w:highlight w:val="none"/>
        </w:rPr>
      </w:pPr>
      <w:r>
        <w:rPr>
          <w:rFonts w:hint="eastAsia"/>
          <w:sz w:val="24"/>
          <w:highlight w:val="none"/>
        </w:rPr>
        <w:t>征集人根据《政府采购框架协议采购方式管理暂行办法》规定，结合项目实际，建立对入围供应商、商品、代理商的评价反馈制度。</w:t>
      </w:r>
    </w:p>
    <w:p w14:paraId="07441130">
      <w:pPr>
        <w:numPr>
          <w:ilvl w:val="0"/>
          <w:numId w:val="8"/>
        </w:numPr>
        <w:tabs>
          <w:tab w:val="left" w:pos="360"/>
        </w:tabs>
        <w:snapToGrid w:val="0"/>
        <w:spacing w:line="360" w:lineRule="auto"/>
        <w:ind w:left="357" w:hanging="357"/>
        <w:outlineLvl w:val="1"/>
        <w:rPr>
          <w:sz w:val="24"/>
          <w:highlight w:val="none"/>
        </w:rPr>
      </w:pPr>
      <w:r>
        <w:rPr>
          <w:sz w:val="24"/>
          <w:highlight w:val="none"/>
        </w:rPr>
        <w:t>代理费</w:t>
      </w:r>
    </w:p>
    <w:p w14:paraId="34E95BDA">
      <w:pPr>
        <w:numPr>
          <w:ilvl w:val="1"/>
          <w:numId w:val="8"/>
        </w:numPr>
        <w:tabs>
          <w:tab w:val="left" w:pos="1080"/>
          <w:tab w:val="left" w:pos="2014"/>
        </w:tabs>
        <w:snapToGrid w:val="0"/>
        <w:spacing w:line="360" w:lineRule="auto"/>
        <w:ind w:left="1077" w:hanging="720"/>
        <w:rPr>
          <w:sz w:val="24"/>
          <w:highlight w:val="none"/>
        </w:rPr>
      </w:pPr>
      <w:r>
        <w:rPr>
          <w:sz w:val="24"/>
          <w:highlight w:val="none"/>
        </w:rPr>
        <w:t>收费对象、收费标准及缴纳时间见《</w:t>
      </w:r>
      <w:r>
        <w:rPr>
          <w:rFonts w:hint="eastAsia"/>
          <w:sz w:val="24"/>
          <w:highlight w:val="none"/>
        </w:rPr>
        <w:t>供应商</w:t>
      </w:r>
      <w:r>
        <w:rPr>
          <w:sz w:val="24"/>
          <w:highlight w:val="none"/>
        </w:rPr>
        <w:t>须知资料表》。由</w:t>
      </w:r>
      <w:r>
        <w:rPr>
          <w:rFonts w:hint="eastAsia"/>
          <w:sz w:val="24"/>
          <w:highlight w:val="none"/>
        </w:rPr>
        <w:t>入围供应商</w:t>
      </w:r>
      <w:r>
        <w:rPr>
          <w:sz w:val="24"/>
          <w:highlight w:val="none"/>
        </w:rPr>
        <w:t>支付的，</w:t>
      </w:r>
      <w:r>
        <w:rPr>
          <w:rFonts w:hint="eastAsia"/>
          <w:sz w:val="24"/>
          <w:highlight w:val="none"/>
        </w:rPr>
        <w:t>入围供应商</w:t>
      </w:r>
      <w:r>
        <w:rPr>
          <w:sz w:val="24"/>
          <w:highlight w:val="none"/>
        </w:rPr>
        <w:t>须一次性向采购代理机构缴纳代理费，响应报价应包含代理费用。</w:t>
      </w:r>
    </w:p>
    <w:p w14:paraId="0043AF98">
      <w:pPr>
        <w:tabs>
          <w:tab w:val="left" w:pos="360"/>
          <w:tab w:val="left" w:pos="1080"/>
        </w:tabs>
        <w:snapToGrid w:val="0"/>
        <w:spacing w:line="360" w:lineRule="auto"/>
        <w:ind w:left="360"/>
        <w:rPr>
          <w:sz w:val="24"/>
          <w:highlight w:val="none"/>
        </w:rPr>
      </w:pPr>
    </w:p>
    <w:p w14:paraId="2FD7F530">
      <w:pPr>
        <w:spacing w:line="360" w:lineRule="auto"/>
        <w:jc w:val="center"/>
        <w:outlineLvl w:val="0"/>
        <w:rPr>
          <w:b/>
          <w:sz w:val="36"/>
          <w:szCs w:val="36"/>
          <w:highlight w:val="none"/>
        </w:rPr>
      </w:pPr>
      <w:bookmarkStart w:id="683" w:name="_Toc353873934"/>
      <w:bookmarkStart w:id="684" w:name="_Toc150774759"/>
      <w:bookmarkStart w:id="685" w:name="_Toc142311056"/>
      <w:bookmarkStart w:id="686" w:name="_Toc127151554"/>
      <w:bookmarkStart w:id="687" w:name="_Toc150480792"/>
      <w:bookmarkStart w:id="688" w:name="_Toc305158822"/>
      <w:bookmarkStart w:id="689" w:name="_Toc353873664"/>
      <w:bookmarkStart w:id="690" w:name="_Toc265228392"/>
      <w:bookmarkStart w:id="691" w:name="_Toc353825544"/>
      <w:bookmarkStart w:id="692" w:name="_Toc264969244"/>
      <w:bookmarkStart w:id="693" w:name="_Toc226337250"/>
      <w:bookmarkStart w:id="694" w:name="_Toc226965827"/>
      <w:bookmarkStart w:id="695" w:name="_Toc305158896"/>
      <w:r>
        <w:rPr>
          <w:sz w:val="24"/>
          <w:highlight w:val="none"/>
        </w:rPr>
        <w:br w:type="page"/>
      </w:r>
      <w:bookmarkStart w:id="696" w:name="_Toc206523620"/>
      <w:r>
        <w:rPr>
          <w:b/>
          <w:sz w:val="36"/>
          <w:szCs w:val="36"/>
          <w:highlight w:val="none"/>
        </w:rPr>
        <w:t xml:space="preserve">第三章   </w:t>
      </w:r>
      <w:bookmarkEnd w:id="683"/>
      <w:bookmarkEnd w:id="684"/>
      <w:bookmarkEnd w:id="685"/>
      <w:bookmarkEnd w:id="686"/>
      <w:bookmarkEnd w:id="687"/>
      <w:bookmarkEnd w:id="688"/>
      <w:bookmarkEnd w:id="689"/>
      <w:bookmarkEnd w:id="690"/>
      <w:bookmarkEnd w:id="691"/>
      <w:bookmarkEnd w:id="692"/>
      <w:bookmarkEnd w:id="693"/>
      <w:bookmarkEnd w:id="694"/>
      <w:bookmarkEnd w:id="695"/>
      <w:r>
        <w:rPr>
          <w:b/>
          <w:sz w:val="36"/>
          <w:szCs w:val="36"/>
          <w:highlight w:val="none"/>
        </w:rPr>
        <w:t>资格审查</w:t>
      </w:r>
      <w:bookmarkEnd w:id="696"/>
      <w:bookmarkStart w:id="697" w:name="_Toc487900382"/>
    </w:p>
    <w:p w14:paraId="52358E99">
      <w:pPr>
        <w:tabs>
          <w:tab w:val="left" w:pos="360"/>
          <w:tab w:val="left" w:pos="900"/>
        </w:tabs>
        <w:snapToGrid w:val="0"/>
        <w:spacing w:line="360" w:lineRule="auto"/>
        <w:jc w:val="center"/>
        <w:outlineLvl w:val="1"/>
        <w:rPr>
          <w:b/>
          <w:sz w:val="24"/>
          <w:highlight w:val="none"/>
        </w:rPr>
      </w:pPr>
      <w:bookmarkStart w:id="698" w:name="_Toc99301422"/>
      <w:r>
        <w:rPr>
          <w:b/>
          <w:sz w:val="24"/>
          <w:highlight w:val="none"/>
        </w:rPr>
        <w:t>一、资格审查程序</w:t>
      </w:r>
      <w:bookmarkEnd w:id="698"/>
    </w:p>
    <w:p w14:paraId="2A0CA44C">
      <w:pPr>
        <w:numPr>
          <w:ilvl w:val="0"/>
          <w:numId w:val="11"/>
        </w:numPr>
        <w:tabs>
          <w:tab w:val="left" w:pos="426"/>
          <w:tab w:val="left" w:pos="851"/>
          <w:tab w:val="clear" w:pos="900"/>
        </w:tabs>
        <w:snapToGrid w:val="0"/>
        <w:spacing w:line="360" w:lineRule="auto"/>
        <w:ind w:left="426" w:hanging="426"/>
        <w:outlineLvl w:val="1"/>
        <w:rPr>
          <w:sz w:val="24"/>
          <w:highlight w:val="none"/>
        </w:rPr>
      </w:pPr>
      <w:r>
        <w:rPr>
          <w:sz w:val="24"/>
          <w:highlight w:val="none"/>
        </w:rPr>
        <w:t>开启结束后，</w:t>
      </w:r>
      <w:r>
        <w:rPr>
          <w:rFonts w:hint="eastAsia"/>
          <w:sz w:val="24"/>
          <w:highlight w:val="none"/>
        </w:rPr>
        <w:t>征集人</w:t>
      </w:r>
      <w:r>
        <w:rPr>
          <w:sz w:val="24"/>
          <w:highlight w:val="none"/>
        </w:rPr>
        <w:t>将根据《资格审查要求》中的规定，对</w:t>
      </w:r>
      <w:r>
        <w:rPr>
          <w:rFonts w:hint="eastAsia"/>
          <w:sz w:val="24"/>
          <w:highlight w:val="none"/>
        </w:rPr>
        <w:t>供应商</w:t>
      </w:r>
      <w:r>
        <w:rPr>
          <w:sz w:val="24"/>
          <w:highlight w:val="none"/>
        </w:rPr>
        <w:t>进行资格审查，并形成资格审查结果。</w:t>
      </w:r>
    </w:p>
    <w:p w14:paraId="65293461">
      <w:pPr>
        <w:numPr>
          <w:ilvl w:val="0"/>
          <w:numId w:val="11"/>
        </w:numPr>
        <w:tabs>
          <w:tab w:val="left" w:pos="426"/>
          <w:tab w:val="left" w:pos="851"/>
          <w:tab w:val="clear" w:pos="900"/>
        </w:tabs>
        <w:snapToGrid w:val="0"/>
        <w:spacing w:line="360" w:lineRule="auto"/>
        <w:ind w:left="426" w:hanging="426"/>
        <w:outlineLvl w:val="1"/>
        <w:rPr>
          <w:sz w:val="24"/>
          <w:highlight w:val="none"/>
        </w:rPr>
      </w:pPr>
      <w:r>
        <w:rPr>
          <w:sz w:val="24"/>
          <w:highlight w:val="none"/>
        </w:rPr>
        <w:t>《资格审查要求》中对格式有要求的，除</w:t>
      </w:r>
      <w:r>
        <w:rPr>
          <w:rFonts w:hint="eastAsia"/>
          <w:sz w:val="24"/>
          <w:highlight w:val="none"/>
        </w:rPr>
        <w:t>征集</w:t>
      </w:r>
      <w:r>
        <w:rPr>
          <w:sz w:val="24"/>
          <w:highlight w:val="none"/>
        </w:rPr>
        <w:t>文件另有规定外，均为“实质性格式”文件。</w:t>
      </w:r>
    </w:p>
    <w:p w14:paraId="045FAAB3">
      <w:pPr>
        <w:numPr>
          <w:ilvl w:val="0"/>
          <w:numId w:val="11"/>
        </w:numPr>
        <w:tabs>
          <w:tab w:val="left" w:pos="426"/>
          <w:tab w:val="left" w:pos="851"/>
          <w:tab w:val="clear" w:pos="900"/>
        </w:tabs>
        <w:snapToGrid w:val="0"/>
        <w:spacing w:line="360" w:lineRule="auto"/>
        <w:ind w:left="426" w:hanging="426"/>
        <w:outlineLvl w:val="1"/>
        <w:rPr>
          <w:sz w:val="24"/>
          <w:highlight w:val="none"/>
        </w:rPr>
      </w:pPr>
      <w:r>
        <w:rPr>
          <w:rFonts w:hint="eastAsia"/>
          <w:sz w:val="24"/>
          <w:highlight w:val="none"/>
        </w:rPr>
        <w:t>供应商</w:t>
      </w:r>
      <w:r>
        <w:rPr>
          <w:sz w:val="24"/>
          <w:highlight w:val="none"/>
        </w:rPr>
        <w:t>《资格证明文件》有任何一项不符合《资格审查要求》的，资格审查不合格，其</w:t>
      </w:r>
      <w:r>
        <w:rPr>
          <w:b/>
          <w:sz w:val="24"/>
          <w:highlight w:val="none"/>
        </w:rPr>
        <w:t>响应无效</w:t>
      </w:r>
      <w:r>
        <w:rPr>
          <w:sz w:val="24"/>
          <w:highlight w:val="none"/>
        </w:rPr>
        <w:t>。</w:t>
      </w:r>
    </w:p>
    <w:p w14:paraId="05DEF9A4">
      <w:pPr>
        <w:numPr>
          <w:ilvl w:val="0"/>
          <w:numId w:val="11"/>
        </w:numPr>
        <w:tabs>
          <w:tab w:val="left" w:pos="426"/>
          <w:tab w:val="left" w:pos="851"/>
          <w:tab w:val="clear" w:pos="900"/>
        </w:tabs>
        <w:snapToGrid w:val="0"/>
        <w:spacing w:line="360" w:lineRule="auto"/>
        <w:ind w:left="426" w:hanging="426"/>
        <w:outlineLvl w:val="1"/>
        <w:rPr>
          <w:sz w:val="24"/>
          <w:highlight w:val="none"/>
        </w:rPr>
      </w:pPr>
      <w:r>
        <w:rPr>
          <w:sz w:val="24"/>
          <w:highlight w:val="none"/>
        </w:rPr>
        <w:t>资格审查合格的供应商不足2家的，不进行评审。</w:t>
      </w:r>
    </w:p>
    <w:p w14:paraId="2A22B39D">
      <w:pPr>
        <w:widowControl/>
        <w:jc w:val="left"/>
        <w:rPr>
          <w:sz w:val="24"/>
          <w:highlight w:val="none"/>
        </w:rPr>
      </w:pPr>
    </w:p>
    <w:p w14:paraId="50F7EC22">
      <w:pPr>
        <w:tabs>
          <w:tab w:val="left" w:pos="360"/>
          <w:tab w:val="left" w:pos="900"/>
        </w:tabs>
        <w:snapToGrid w:val="0"/>
        <w:spacing w:line="360" w:lineRule="auto"/>
        <w:jc w:val="center"/>
        <w:outlineLvl w:val="1"/>
        <w:rPr>
          <w:b/>
          <w:sz w:val="24"/>
          <w:highlight w:val="none"/>
        </w:rPr>
      </w:pPr>
      <w:bookmarkStart w:id="699" w:name="_Hlk143693557"/>
      <w:r>
        <w:rPr>
          <w:b/>
          <w:sz w:val="24"/>
          <w:highlight w:val="none"/>
        </w:rPr>
        <w:t>二、资格审查要求</w:t>
      </w:r>
      <w:bookmarkEnd w:id="699"/>
    </w:p>
    <w:tbl>
      <w:tblPr>
        <w:tblStyle w:val="4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6"/>
        <w:gridCol w:w="1982"/>
        <w:gridCol w:w="4822"/>
        <w:gridCol w:w="1638"/>
      </w:tblGrid>
      <w:tr w14:paraId="6FB016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noWrap w:val="0"/>
            <w:vAlign w:val="center"/>
          </w:tcPr>
          <w:p w14:paraId="3FE8B449">
            <w:pPr>
              <w:tabs>
                <w:tab w:val="left" w:pos="1080"/>
              </w:tabs>
              <w:snapToGrid w:val="0"/>
              <w:jc w:val="center"/>
              <w:rPr>
                <w:b/>
                <w:sz w:val="24"/>
                <w:highlight w:val="none"/>
              </w:rPr>
            </w:pPr>
            <w:bookmarkStart w:id="700" w:name="_Hlt487972895"/>
            <w:bookmarkEnd w:id="700"/>
            <w:bookmarkStart w:id="701" w:name="_Hlk143693460"/>
            <w:r>
              <w:rPr>
                <w:b/>
                <w:sz w:val="24"/>
                <w:highlight w:val="none"/>
              </w:rPr>
              <w:t>序号</w:t>
            </w:r>
          </w:p>
        </w:tc>
        <w:tc>
          <w:tcPr>
            <w:tcW w:w="1067" w:type="pct"/>
            <w:noWrap w:val="0"/>
            <w:vAlign w:val="center"/>
          </w:tcPr>
          <w:p w14:paraId="32FBE7A3">
            <w:pPr>
              <w:tabs>
                <w:tab w:val="left" w:pos="1080"/>
              </w:tabs>
              <w:snapToGrid w:val="0"/>
              <w:jc w:val="center"/>
              <w:rPr>
                <w:b/>
                <w:sz w:val="24"/>
                <w:highlight w:val="none"/>
              </w:rPr>
            </w:pPr>
            <w:r>
              <w:rPr>
                <w:b/>
                <w:sz w:val="24"/>
                <w:highlight w:val="none"/>
              </w:rPr>
              <w:t>审查因素</w:t>
            </w:r>
          </w:p>
        </w:tc>
        <w:tc>
          <w:tcPr>
            <w:tcW w:w="2596" w:type="pct"/>
            <w:noWrap w:val="0"/>
            <w:vAlign w:val="center"/>
          </w:tcPr>
          <w:p w14:paraId="7862089E">
            <w:pPr>
              <w:tabs>
                <w:tab w:val="left" w:pos="1080"/>
              </w:tabs>
              <w:snapToGrid w:val="0"/>
              <w:jc w:val="center"/>
              <w:rPr>
                <w:b/>
                <w:sz w:val="24"/>
                <w:highlight w:val="none"/>
              </w:rPr>
            </w:pPr>
            <w:r>
              <w:rPr>
                <w:b/>
                <w:sz w:val="24"/>
                <w:highlight w:val="none"/>
              </w:rPr>
              <w:t>审查内容</w:t>
            </w:r>
          </w:p>
        </w:tc>
        <w:tc>
          <w:tcPr>
            <w:tcW w:w="882" w:type="pct"/>
            <w:noWrap w:val="0"/>
            <w:vAlign w:val="center"/>
          </w:tcPr>
          <w:p w14:paraId="32CC2D29">
            <w:pPr>
              <w:tabs>
                <w:tab w:val="left" w:pos="1080"/>
              </w:tabs>
              <w:snapToGrid w:val="0"/>
              <w:jc w:val="center"/>
              <w:rPr>
                <w:b/>
                <w:sz w:val="24"/>
                <w:highlight w:val="none"/>
              </w:rPr>
            </w:pPr>
            <w:r>
              <w:rPr>
                <w:b/>
                <w:sz w:val="24"/>
                <w:highlight w:val="none"/>
              </w:rPr>
              <w:t>格式要求</w:t>
            </w:r>
          </w:p>
        </w:tc>
      </w:tr>
      <w:tr w14:paraId="19E721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noWrap w:val="0"/>
            <w:vAlign w:val="center"/>
          </w:tcPr>
          <w:p w14:paraId="78DAB24B">
            <w:pPr>
              <w:tabs>
                <w:tab w:val="left" w:pos="1080"/>
              </w:tabs>
              <w:snapToGrid w:val="0"/>
              <w:jc w:val="center"/>
              <w:rPr>
                <w:sz w:val="24"/>
                <w:highlight w:val="none"/>
              </w:rPr>
            </w:pPr>
            <w:r>
              <w:rPr>
                <w:sz w:val="24"/>
                <w:highlight w:val="none"/>
              </w:rPr>
              <w:t>1</w:t>
            </w:r>
          </w:p>
        </w:tc>
        <w:tc>
          <w:tcPr>
            <w:tcW w:w="1067" w:type="pct"/>
            <w:noWrap w:val="0"/>
            <w:vAlign w:val="center"/>
          </w:tcPr>
          <w:p w14:paraId="6D783FE5">
            <w:pPr>
              <w:tabs>
                <w:tab w:val="left" w:pos="1080"/>
              </w:tabs>
              <w:snapToGrid w:val="0"/>
              <w:rPr>
                <w:sz w:val="24"/>
                <w:highlight w:val="none"/>
              </w:rPr>
            </w:pPr>
            <w:r>
              <w:rPr>
                <w:sz w:val="24"/>
                <w:highlight w:val="none"/>
              </w:rPr>
              <w:t>满足《中华人民共和国政府采购法》第二十二条规定</w:t>
            </w:r>
          </w:p>
        </w:tc>
        <w:tc>
          <w:tcPr>
            <w:tcW w:w="2596" w:type="pct"/>
            <w:noWrap w:val="0"/>
            <w:vAlign w:val="center"/>
          </w:tcPr>
          <w:p w14:paraId="634A519A">
            <w:pPr>
              <w:tabs>
                <w:tab w:val="left" w:pos="1080"/>
              </w:tabs>
              <w:snapToGrid w:val="0"/>
              <w:rPr>
                <w:sz w:val="24"/>
                <w:highlight w:val="none"/>
              </w:rPr>
            </w:pPr>
            <w:r>
              <w:rPr>
                <w:sz w:val="24"/>
                <w:highlight w:val="none"/>
              </w:rPr>
              <w:t>具体规定见第一章《响应邀请》</w:t>
            </w:r>
          </w:p>
        </w:tc>
        <w:tc>
          <w:tcPr>
            <w:tcW w:w="882" w:type="pct"/>
            <w:noWrap w:val="0"/>
            <w:vAlign w:val="center"/>
          </w:tcPr>
          <w:p w14:paraId="4A998E52">
            <w:pPr>
              <w:tabs>
                <w:tab w:val="left" w:pos="1080"/>
              </w:tabs>
              <w:snapToGrid w:val="0"/>
              <w:rPr>
                <w:sz w:val="24"/>
                <w:highlight w:val="none"/>
              </w:rPr>
            </w:pPr>
          </w:p>
        </w:tc>
      </w:tr>
      <w:tr w14:paraId="002A7B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noWrap w:val="0"/>
            <w:vAlign w:val="center"/>
          </w:tcPr>
          <w:p w14:paraId="51C8AE97">
            <w:pPr>
              <w:tabs>
                <w:tab w:val="left" w:pos="1080"/>
              </w:tabs>
              <w:snapToGrid w:val="0"/>
              <w:jc w:val="center"/>
              <w:rPr>
                <w:sz w:val="24"/>
                <w:highlight w:val="none"/>
              </w:rPr>
            </w:pPr>
            <w:r>
              <w:rPr>
                <w:sz w:val="24"/>
                <w:highlight w:val="none"/>
              </w:rPr>
              <w:t>1-1</w:t>
            </w:r>
          </w:p>
        </w:tc>
        <w:tc>
          <w:tcPr>
            <w:tcW w:w="1067" w:type="pct"/>
            <w:noWrap w:val="0"/>
            <w:vAlign w:val="center"/>
          </w:tcPr>
          <w:p w14:paraId="1F40E518">
            <w:pPr>
              <w:tabs>
                <w:tab w:val="left" w:pos="1080"/>
              </w:tabs>
              <w:snapToGrid w:val="0"/>
              <w:rPr>
                <w:sz w:val="24"/>
                <w:highlight w:val="none"/>
              </w:rPr>
            </w:pPr>
            <w:r>
              <w:rPr>
                <w:sz w:val="24"/>
                <w:highlight w:val="none"/>
              </w:rPr>
              <w:t>营业执照等证明文件</w:t>
            </w:r>
          </w:p>
        </w:tc>
        <w:tc>
          <w:tcPr>
            <w:tcW w:w="2596" w:type="pct"/>
            <w:noWrap w:val="0"/>
            <w:vAlign w:val="center"/>
          </w:tcPr>
          <w:p w14:paraId="137460E4">
            <w:pPr>
              <w:tabs>
                <w:tab w:val="left" w:pos="1080"/>
              </w:tabs>
              <w:snapToGrid w:val="0"/>
              <w:rPr>
                <w:sz w:val="24"/>
                <w:highlight w:val="none"/>
              </w:rPr>
            </w:pPr>
            <w:r>
              <w:rPr>
                <w:sz w:val="24"/>
                <w:highlight w:val="none"/>
              </w:rPr>
              <w:t>供应商为企业（包括合伙企业）的，应提供有效的“营业执照”；</w:t>
            </w:r>
          </w:p>
          <w:p w14:paraId="509A1C1D">
            <w:pPr>
              <w:tabs>
                <w:tab w:val="left" w:pos="1080"/>
              </w:tabs>
              <w:snapToGrid w:val="0"/>
              <w:rPr>
                <w:sz w:val="24"/>
                <w:highlight w:val="none"/>
              </w:rPr>
            </w:pPr>
            <w:r>
              <w:rPr>
                <w:sz w:val="24"/>
                <w:highlight w:val="none"/>
              </w:rPr>
              <w:t>供应商为事业单位的，应提供有效的“事业单位法人证书”；</w:t>
            </w:r>
          </w:p>
          <w:p w14:paraId="69622AA1">
            <w:pPr>
              <w:tabs>
                <w:tab w:val="left" w:pos="1080"/>
              </w:tabs>
              <w:snapToGrid w:val="0"/>
              <w:rPr>
                <w:sz w:val="24"/>
                <w:highlight w:val="none"/>
              </w:rPr>
            </w:pPr>
            <w:r>
              <w:rPr>
                <w:sz w:val="24"/>
                <w:highlight w:val="none"/>
              </w:rPr>
              <w:t>供应商是非企业机构的，应提供有效的“执业许可证”、“登记证书”等证明文件；</w:t>
            </w:r>
          </w:p>
          <w:p w14:paraId="169779F9">
            <w:pPr>
              <w:tabs>
                <w:tab w:val="left" w:pos="1080"/>
              </w:tabs>
              <w:snapToGrid w:val="0"/>
              <w:rPr>
                <w:sz w:val="24"/>
                <w:highlight w:val="none"/>
              </w:rPr>
            </w:pPr>
            <w:r>
              <w:rPr>
                <w:sz w:val="24"/>
                <w:highlight w:val="none"/>
              </w:rPr>
              <w:t>供应商是个体工商户的，应提供有效的“个体工商户营业执照”；</w:t>
            </w:r>
          </w:p>
          <w:p w14:paraId="50AB2AE2">
            <w:pPr>
              <w:tabs>
                <w:tab w:val="left" w:pos="1080"/>
              </w:tabs>
              <w:snapToGrid w:val="0"/>
              <w:rPr>
                <w:sz w:val="24"/>
                <w:highlight w:val="none"/>
              </w:rPr>
            </w:pPr>
            <w:r>
              <w:rPr>
                <w:sz w:val="24"/>
                <w:highlight w:val="none"/>
              </w:rPr>
              <w:t>供应商是自然人的，应提供有效的自然人身份证明。</w:t>
            </w:r>
          </w:p>
          <w:p w14:paraId="1A28368D">
            <w:pPr>
              <w:tabs>
                <w:tab w:val="left" w:pos="1080"/>
              </w:tabs>
              <w:snapToGrid w:val="0"/>
              <w:rPr>
                <w:color w:val="000000"/>
                <w:sz w:val="24"/>
                <w:highlight w:val="none"/>
              </w:rPr>
            </w:pPr>
            <w:r>
              <w:rPr>
                <w:color w:val="000000"/>
                <w:sz w:val="24"/>
                <w:highlight w:val="none"/>
              </w:rPr>
              <w:t>分支机构参加响应的，应提供该分支机构或其所属法人/其他组织的相应证明文件；同时还应提供其所属法人/其他组织出具的授权其参与本项目的授权书（格式自拟，须加盖其所属法人/其他组织的公章）；对于</w:t>
            </w:r>
            <w:r>
              <w:rPr>
                <w:iCs/>
                <w:sz w:val="24"/>
                <w:highlight w:val="none"/>
              </w:rPr>
              <w:t>银行、保险、石油石化、电力、电信等行业的分支机构，可以提供上述</w:t>
            </w:r>
            <w:r>
              <w:rPr>
                <w:color w:val="000000"/>
                <w:sz w:val="24"/>
                <w:highlight w:val="none"/>
              </w:rPr>
              <w:t>授权，也可以提供其所属法人/其他组织的有关文件或制度等能够证明授权其独立开展业务的证明材料。</w:t>
            </w:r>
          </w:p>
        </w:tc>
        <w:tc>
          <w:tcPr>
            <w:tcW w:w="882" w:type="pct"/>
            <w:noWrap w:val="0"/>
            <w:vAlign w:val="center"/>
          </w:tcPr>
          <w:p w14:paraId="3D409D07">
            <w:pPr>
              <w:tabs>
                <w:tab w:val="left" w:pos="1080"/>
              </w:tabs>
              <w:snapToGrid w:val="0"/>
              <w:rPr>
                <w:sz w:val="24"/>
                <w:highlight w:val="none"/>
              </w:rPr>
            </w:pPr>
            <w:r>
              <w:rPr>
                <w:sz w:val="24"/>
                <w:highlight w:val="none"/>
              </w:rPr>
              <w:t>提供证明文件的电子件或电子证照</w:t>
            </w:r>
          </w:p>
        </w:tc>
      </w:tr>
      <w:tr w14:paraId="565E4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noWrap w:val="0"/>
            <w:vAlign w:val="center"/>
          </w:tcPr>
          <w:p w14:paraId="215FAFF2">
            <w:pPr>
              <w:tabs>
                <w:tab w:val="left" w:pos="1080"/>
              </w:tabs>
              <w:snapToGrid w:val="0"/>
              <w:jc w:val="center"/>
              <w:rPr>
                <w:sz w:val="24"/>
                <w:highlight w:val="none"/>
              </w:rPr>
            </w:pPr>
            <w:r>
              <w:rPr>
                <w:sz w:val="24"/>
                <w:highlight w:val="none"/>
              </w:rPr>
              <w:t>1-2</w:t>
            </w:r>
          </w:p>
        </w:tc>
        <w:tc>
          <w:tcPr>
            <w:tcW w:w="1067" w:type="pct"/>
            <w:noWrap w:val="0"/>
            <w:vAlign w:val="center"/>
          </w:tcPr>
          <w:p w14:paraId="2995901C">
            <w:pPr>
              <w:tabs>
                <w:tab w:val="left" w:pos="1080"/>
              </w:tabs>
              <w:snapToGrid w:val="0"/>
              <w:rPr>
                <w:sz w:val="24"/>
                <w:highlight w:val="none"/>
              </w:rPr>
            </w:pPr>
            <w:r>
              <w:rPr>
                <w:sz w:val="24"/>
                <w:highlight w:val="none"/>
              </w:rPr>
              <w:t>供应商资格声明书</w:t>
            </w:r>
          </w:p>
        </w:tc>
        <w:tc>
          <w:tcPr>
            <w:tcW w:w="2596" w:type="pct"/>
            <w:noWrap w:val="0"/>
            <w:vAlign w:val="center"/>
          </w:tcPr>
          <w:p w14:paraId="6EF6054E">
            <w:pPr>
              <w:tabs>
                <w:tab w:val="left" w:pos="1080"/>
              </w:tabs>
              <w:snapToGrid w:val="0"/>
              <w:rPr>
                <w:sz w:val="24"/>
                <w:highlight w:val="none"/>
              </w:rPr>
            </w:pPr>
            <w:r>
              <w:rPr>
                <w:sz w:val="24"/>
                <w:highlight w:val="none"/>
              </w:rPr>
              <w:t>提供了符合征集文件要求的《供应商资格声明书》。</w:t>
            </w:r>
          </w:p>
        </w:tc>
        <w:tc>
          <w:tcPr>
            <w:tcW w:w="882" w:type="pct"/>
            <w:noWrap w:val="0"/>
            <w:vAlign w:val="center"/>
          </w:tcPr>
          <w:p w14:paraId="237A7B7A">
            <w:pPr>
              <w:tabs>
                <w:tab w:val="left" w:pos="1080"/>
              </w:tabs>
              <w:snapToGrid w:val="0"/>
              <w:rPr>
                <w:sz w:val="24"/>
                <w:highlight w:val="none"/>
              </w:rPr>
            </w:pPr>
            <w:r>
              <w:rPr>
                <w:sz w:val="24"/>
                <w:highlight w:val="none"/>
              </w:rPr>
              <w:t>格式见《响应文件格式》</w:t>
            </w:r>
          </w:p>
        </w:tc>
      </w:tr>
      <w:tr w14:paraId="04BF78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noWrap w:val="0"/>
            <w:vAlign w:val="center"/>
          </w:tcPr>
          <w:p w14:paraId="608B1118">
            <w:pPr>
              <w:tabs>
                <w:tab w:val="left" w:pos="1080"/>
              </w:tabs>
              <w:snapToGrid w:val="0"/>
              <w:jc w:val="center"/>
              <w:rPr>
                <w:sz w:val="24"/>
                <w:highlight w:val="none"/>
              </w:rPr>
            </w:pPr>
            <w:r>
              <w:rPr>
                <w:sz w:val="24"/>
                <w:highlight w:val="none"/>
              </w:rPr>
              <w:t>1-3</w:t>
            </w:r>
          </w:p>
        </w:tc>
        <w:tc>
          <w:tcPr>
            <w:tcW w:w="1067" w:type="pct"/>
            <w:noWrap w:val="0"/>
            <w:vAlign w:val="center"/>
          </w:tcPr>
          <w:p w14:paraId="44EB46F8">
            <w:pPr>
              <w:tabs>
                <w:tab w:val="left" w:pos="1080"/>
              </w:tabs>
              <w:snapToGrid w:val="0"/>
              <w:rPr>
                <w:sz w:val="24"/>
                <w:highlight w:val="none"/>
              </w:rPr>
            </w:pPr>
            <w:r>
              <w:rPr>
                <w:sz w:val="24"/>
                <w:highlight w:val="none"/>
              </w:rPr>
              <w:t>供应商信用记录</w:t>
            </w:r>
          </w:p>
        </w:tc>
        <w:tc>
          <w:tcPr>
            <w:tcW w:w="2596" w:type="pct"/>
            <w:noWrap w:val="0"/>
            <w:vAlign w:val="center"/>
          </w:tcPr>
          <w:p w14:paraId="799896C3">
            <w:pPr>
              <w:tabs>
                <w:tab w:val="left" w:pos="1080"/>
              </w:tabs>
              <w:snapToGrid w:val="0"/>
              <w:rPr>
                <w:sz w:val="24"/>
                <w:highlight w:val="none"/>
              </w:rPr>
            </w:pPr>
            <w:r>
              <w:rPr>
                <w:sz w:val="24"/>
                <w:highlight w:val="none"/>
              </w:rPr>
              <w:t>查询渠道：信用中国网站和中国政府采购网（</w:t>
            </w:r>
            <w:r>
              <w:rPr>
                <w:highlight w:val="none"/>
              </w:rPr>
              <w:t>www.creditchina.gov.cn</w:t>
            </w:r>
            <w:r>
              <w:rPr>
                <w:sz w:val="24"/>
                <w:highlight w:val="none"/>
              </w:rPr>
              <w:t>、</w:t>
            </w:r>
            <w:r>
              <w:rPr>
                <w:highlight w:val="none"/>
              </w:rPr>
              <w:t>www.ccgp.gov.cn</w:t>
            </w:r>
            <w:r>
              <w:rPr>
                <w:sz w:val="24"/>
                <w:highlight w:val="none"/>
              </w:rPr>
              <w:t>）；</w:t>
            </w:r>
          </w:p>
          <w:p w14:paraId="5DC94EDC">
            <w:pPr>
              <w:tabs>
                <w:tab w:val="left" w:pos="900"/>
                <w:tab w:val="left" w:pos="1980"/>
              </w:tabs>
              <w:snapToGrid w:val="0"/>
              <w:rPr>
                <w:sz w:val="24"/>
                <w:highlight w:val="none"/>
              </w:rPr>
            </w:pPr>
            <w:r>
              <w:rPr>
                <w:sz w:val="24"/>
                <w:highlight w:val="none"/>
              </w:rPr>
              <w:t>截止时点：响应截止时间以后、资格审查阶段</w:t>
            </w:r>
            <w:r>
              <w:rPr>
                <w:rFonts w:hint="eastAsia"/>
                <w:sz w:val="24"/>
                <w:highlight w:val="none"/>
              </w:rPr>
              <w:t>征集人</w:t>
            </w:r>
            <w:r>
              <w:rPr>
                <w:sz w:val="24"/>
                <w:highlight w:val="none"/>
              </w:rPr>
              <w:t>的实际查询时间；</w:t>
            </w:r>
          </w:p>
          <w:p w14:paraId="7B734F94">
            <w:pPr>
              <w:tabs>
                <w:tab w:val="left" w:pos="900"/>
                <w:tab w:val="left" w:pos="1980"/>
              </w:tabs>
              <w:snapToGrid w:val="0"/>
              <w:rPr>
                <w:sz w:val="24"/>
                <w:highlight w:val="none"/>
              </w:rPr>
            </w:pPr>
            <w:r>
              <w:rPr>
                <w:sz w:val="24"/>
                <w:highlight w:val="none"/>
              </w:rPr>
              <w:t>信用信息查询记录和证据留存具体方式：查询结果网页打印页作为查询记录和证据，与其他采购文件一并保存；</w:t>
            </w:r>
          </w:p>
          <w:p w14:paraId="3194E8B8">
            <w:pPr>
              <w:tabs>
                <w:tab w:val="left" w:pos="1080"/>
              </w:tabs>
              <w:snapToGrid w:val="0"/>
              <w:rPr>
                <w:sz w:val="24"/>
                <w:highlight w:val="none"/>
              </w:rPr>
            </w:pPr>
            <w:r>
              <w:rPr>
                <w:sz w:val="24"/>
                <w:highlight w:val="none"/>
              </w:rPr>
              <w:t>信用信息的使用原则：经认定的被列入失信被执行人、重大税收违法案件当事人名单、政府采购严重违法失信行为记录名单的供应商，其</w:t>
            </w:r>
            <w:r>
              <w:rPr>
                <w:b/>
                <w:sz w:val="24"/>
                <w:highlight w:val="none"/>
              </w:rPr>
              <w:t>响应无效</w:t>
            </w:r>
            <w:r>
              <w:rPr>
                <w:sz w:val="24"/>
                <w:highlight w:val="none"/>
              </w:rPr>
              <w:t>。联合体形式响应的，联合体成员存在不良信用记录，视同联合体存在不良信用记录。</w:t>
            </w:r>
          </w:p>
        </w:tc>
        <w:tc>
          <w:tcPr>
            <w:tcW w:w="882" w:type="pct"/>
            <w:noWrap w:val="0"/>
            <w:vAlign w:val="center"/>
          </w:tcPr>
          <w:p w14:paraId="068CFDE8">
            <w:pPr>
              <w:tabs>
                <w:tab w:val="left" w:pos="1080"/>
              </w:tabs>
              <w:snapToGrid w:val="0"/>
              <w:rPr>
                <w:sz w:val="24"/>
                <w:highlight w:val="none"/>
              </w:rPr>
            </w:pPr>
            <w:r>
              <w:rPr>
                <w:sz w:val="24"/>
                <w:highlight w:val="none"/>
              </w:rPr>
              <w:t>无须供应商提供，由</w:t>
            </w:r>
            <w:r>
              <w:rPr>
                <w:rFonts w:hint="eastAsia"/>
                <w:sz w:val="24"/>
                <w:highlight w:val="none"/>
              </w:rPr>
              <w:t>征集人</w:t>
            </w:r>
            <w:r>
              <w:rPr>
                <w:sz w:val="24"/>
                <w:highlight w:val="none"/>
              </w:rPr>
              <w:t>查询。</w:t>
            </w:r>
          </w:p>
        </w:tc>
      </w:tr>
      <w:tr w14:paraId="318E0E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noWrap w:val="0"/>
            <w:vAlign w:val="center"/>
          </w:tcPr>
          <w:p w14:paraId="4DEE30F9">
            <w:pPr>
              <w:tabs>
                <w:tab w:val="left" w:pos="1080"/>
              </w:tabs>
              <w:snapToGrid w:val="0"/>
              <w:jc w:val="center"/>
              <w:rPr>
                <w:sz w:val="24"/>
                <w:highlight w:val="none"/>
              </w:rPr>
            </w:pPr>
            <w:r>
              <w:rPr>
                <w:sz w:val="24"/>
                <w:highlight w:val="none"/>
              </w:rPr>
              <w:t>1-4</w:t>
            </w:r>
          </w:p>
        </w:tc>
        <w:tc>
          <w:tcPr>
            <w:tcW w:w="1067" w:type="pct"/>
            <w:noWrap w:val="0"/>
            <w:vAlign w:val="center"/>
          </w:tcPr>
          <w:p w14:paraId="78585A9E">
            <w:pPr>
              <w:tabs>
                <w:tab w:val="left" w:pos="1080"/>
              </w:tabs>
              <w:snapToGrid w:val="0"/>
              <w:rPr>
                <w:sz w:val="24"/>
                <w:highlight w:val="none"/>
              </w:rPr>
            </w:pPr>
            <w:r>
              <w:rPr>
                <w:sz w:val="24"/>
                <w:highlight w:val="none"/>
              </w:rPr>
              <w:t>法律、行政法规规定的其他条件</w:t>
            </w:r>
          </w:p>
        </w:tc>
        <w:tc>
          <w:tcPr>
            <w:tcW w:w="2596" w:type="pct"/>
            <w:noWrap w:val="0"/>
            <w:vAlign w:val="center"/>
          </w:tcPr>
          <w:p w14:paraId="0478DC53">
            <w:pPr>
              <w:tabs>
                <w:tab w:val="left" w:pos="1080"/>
              </w:tabs>
              <w:snapToGrid w:val="0"/>
              <w:rPr>
                <w:sz w:val="24"/>
                <w:highlight w:val="none"/>
              </w:rPr>
            </w:pPr>
            <w:r>
              <w:rPr>
                <w:sz w:val="24"/>
                <w:highlight w:val="none"/>
              </w:rPr>
              <w:t>法律、行政法规规定的其他条件</w:t>
            </w:r>
          </w:p>
        </w:tc>
        <w:tc>
          <w:tcPr>
            <w:tcW w:w="882" w:type="pct"/>
            <w:noWrap w:val="0"/>
            <w:vAlign w:val="center"/>
          </w:tcPr>
          <w:p w14:paraId="36487886">
            <w:pPr>
              <w:tabs>
                <w:tab w:val="left" w:pos="1080"/>
              </w:tabs>
              <w:snapToGrid w:val="0"/>
              <w:jc w:val="center"/>
              <w:rPr>
                <w:sz w:val="24"/>
                <w:highlight w:val="none"/>
              </w:rPr>
            </w:pPr>
            <w:r>
              <w:rPr>
                <w:sz w:val="24"/>
                <w:highlight w:val="none"/>
              </w:rPr>
              <w:t>/</w:t>
            </w:r>
          </w:p>
        </w:tc>
      </w:tr>
      <w:tr w14:paraId="06CF4C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noWrap w:val="0"/>
            <w:vAlign w:val="center"/>
          </w:tcPr>
          <w:p w14:paraId="0F46438F">
            <w:pPr>
              <w:tabs>
                <w:tab w:val="left" w:pos="1080"/>
              </w:tabs>
              <w:snapToGrid w:val="0"/>
              <w:jc w:val="center"/>
              <w:rPr>
                <w:sz w:val="24"/>
                <w:highlight w:val="none"/>
              </w:rPr>
            </w:pPr>
            <w:r>
              <w:rPr>
                <w:sz w:val="24"/>
                <w:highlight w:val="none"/>
              </w:rPr>
              <w:t>2</w:t>
            </w:r>
          </w:p>
        </w:tc>
        <w:tc>
          <w:tcPr>
            <w:tcW w:w="1067" w:type="pct"/>
            <w:noWrap w:val="0"/>
            <w:vAlign w:val="center"/>
          </w:tcPr>
          <w:p w14:paraId="29661F03">
            <w:pPr>
              <w:tabs>
                <w:tab w:val="left" w:pos="1080"/>
              </w:tabs>
              <w:snapToGrid w:val="0"/>
              <w:rPr>
                <w:sz w:val="24"/>
                <w:highlight w:val="none"/>
              </w:rPr>
            </w:pPr>
            <w:r>
              <w:rPr>
                <w:sz w:val="24"/>
                <w:highlight w:val="none"/>
              </w:rPr>
              <w:t>本项目的特定资格要求</w:t>
            </w:r>
          </w:p>
        </w:tc>
        <w:tc>
          <w:tcPr>
            <w:tcW w:w="2596" w:type="pct"/>
            <w:noWrap w:val="0"/>
            <w:vAlign w:val="center"/>
          </w:tcPr>
          <w:p w14:paraId="3AFD0A55">
            <w:pPr>
              <w:tabs>
                <w:tab w:val="left" w:pos="1080"/>
              </w:tabs>
              <w:snapToGrid w:val="0"/>
              <w:rPr>
                <w:sz w:val="24"/>
                <w:highlight w:val="none"/>
              </w:rPr>
            </w:pPr>
            <w:r>
              <w:rPr>
                <w:sz w:val="24"/>
                <w:highlight w:val="none"/>
              </w:rPr>
              <w:t>如有，见第一章《响应邀请》</w:t>
            </w:r>
          </w:p>
        </w:tc>
        <w:tc>
          <w:tcPr>
            <w:tcW w:w="882" w:type="pct"/>
            <w:noWrap w:val="0"/>
            <w:vAlign w:val="center"/>
          </w:tcPr>
          <w:p w14:paraId="3E802C47">
            <w:pPr>
              <w:tabs>
                <w:tab w:val="left" w:pos="1080"/>
              </w:tabs>
              <w:snapToGrid w:val="0"/>
              <w:rPr>
                <w:sz w:val="24"/>
                <w:highlight w:val="none"/>
              </w:rPr>
            </w:pPr>
          </w:p>
        </w:tc>
      </w:tr>
      <w:tr w14:paraId="77D9A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noWrap w:val="0"/>
            <w:vAlign w:val="center"/>
          </w:tcPr>
          <w:p w14:paraId="142A3056">
            <w:pPr>
              <w:tabs>
                <w:tab w:val="left" w:pos="1080"/>
              </w:tabs>
              <w:snapToGrid w:val="0"/>
              <w:jc w:val="center"/>
              <w:rPr>
                <w:sz w:val="24"/>
                <w:highlight w:val="none"/>
              </w:rPr>
            </w:pPr>
            <w:r>
              <w:rPr>
                <w:sz w:val="24"/>
                <w:highlight w:val="none"/>
              </w:rPr>
              <w:t>2-1</w:t>
            </w:r>
          </w:p>
        </w:tc>
        <w:tc>
          <w:tcPr>
            <w:tcW w:w="1067" w:type="pct"/>
            <w:noWrap w:val="0"/>
            <w:vAlign w:val="center"/>
          </w:tcPr>
          <w:p w14:paraId="5A9F7A6D">
            <w:pPr>
              <w:tabs>
                <w:tab w:val="left" w:pos="1080"/>
              </w:tabs>
              <w:snapToGrid w:val="0"/>
              <w:rPr>
                <w:sz w:val="24"/>
                <w:highlight w:val="none"/>
              </w:rPr>
            </w:pPr>
            <w:r>
              <w:rPr>
                <w:sz w:val="24"/>
                <w:highlight w:val="none"/>
              </w:rPr>
              <w:t>本项目对于联合体的要求</w:t>
            </w:r>
          </w:p>
        </w:tc>
        <w:tc>
          <w:tcPr>
            <w:tcW w:w="2596" w:type="pct"/>
            <w:noWrap w:val="0"/>
            <w:vAlign w:val="center"/>
          </w:tcPr>
          <w:p w14:paraId="5061BD7D">
            <w:pPr>
              <w:tabs>
                <w:tab w:val="left" w:pos="1080"/>
              </w:tabs>
              <w:snapToGrid w:val="0"/>
              <w:rPr>
                <w:sz w:val="24"/>
                <w:highlight w:val="none"/>
              </w:rPr>
            </w:pPr>
            <w:r>
              <w:rPr>
                <w:sz w:val="24"/>
                <w:highlight w:val="none"/>
              </w:rPr>
              <w:t>1、如本项目接受联合体响应，且供应商为联合体时必须提供《联合协议》，明确各方拟承担的工作和责任，并指定联合体牵头人，授权其代表所有联合体成员负责本项目响应和合同实施阶段的牵头、协调工作。该联合协议应当作为响应文件的组成部分，与响应文件其他内容同时递交。</w:t>
            </w:r>
          </w:p>
          <w:p w14:paraId="26D23543">
            <w:pPr>
              <w:tabs>
                <w:tab w:val="left" w:pos="1080"/>
              </w:tabs>
              <w:snapToGrid w:val="0"/>
              <w:rPr>
                <w:sz w:val="24"/>
                <w:highlight w:val="none"/>
              </w:rPr>
            </w:pPr>
            <w:r>
              <w:rPr>
                <w:sz w:val="24"/>
                <w:highlight w:val="none"/>
              </w:rPr>
              <w:t>2、联合体各成员单位均须提供本表中序号1-1、1-2的证明文件。联合体各成员单位均应满足本表2-2项规定。</w:t>
            </w:r>
          </w:p>
          <w:p w14:paraId="387458AF">
            <w:pPr>
              <w:tabs>
                <w:tab w:val="left" w:pos="1080"/>
              </w:tabs>
              <w:snapToGrid w:val="0"/>
              <w:rPr>
                <w:sz w:val="24"/>
                <w:highlight w:val="none"/>
              </w:rPr>
            </w:pPr>
            <w:r>
              <w:rPr>
                <w:sz w:val="24"/>
                <w:highlight w:val="none"/>
              </w:rPr>
              <w:t>3、本表序号2-3项规定的其他特定资格要求中的每一小项要求，联合体各方中至少应当有一方符合本表中其他资格要求并提供证明文件。</w:t>
            </w:r>
          </w:p>
          <w:p w14:paraId="104FC1B7">
            <w:pPr>
              <w:tabs>
                <w:tab w:val="left" w:pos="1080"/>
              </w:tabs>
              <w:snapToGrid w:val="0"/>
              <w:rPr>
                <w:sz w:val="24"/>
                <w:highlight w:val="none"/>
              </w:rPr>
            </w:pPr>
            <w:r>
              <w:rPr>
                <w:sz w:val="24"/>
                <w:highlight w:val="none"/>
              </w:rPr>
              <w:t>4、联合体中有同类资质的供应商按照联合体分工承担相同工作的，应当按照资质等级较低的供应商确定资质等级。</w:t>
            </w:r>
          </w:p>
          <w:p w14:paraId="048752B8">
            <w:pPr>
              <w:tabs>
                <w:tab w:val="left" w:pos="1080"/>
              </w:tabs>
              <w:snapToGrid w:val="0"/>
              <w:rPr>
                <w:sz w:val="24"/>
                <w:highlight w:val="none"/>
              </w:rPr>
            </w:pPr>
            <w:r>
              <w:rPr>
                <w:sz w:val="24"/>
                <w:highlight w:val="none"/>
              </w:rPr>
              <w:t>5、以联合体形式参加政府采购活动的，联合体各方不得再单独参加或者与其他供应商另外组成联合体参加同一合同项下的政府采购活动。</w:t>
            </w:r>
          </w:p>
          <w:p w14:paraId="187CC767">
            <w:pPr>
              <w:tabs>
                <w:tab w:val="left" w:pos="1080"/>
              </w:tabs>
              <w:snapToGrid w:val="0"/>
              <w:rPr>
                <w:sz w:val="24"/>
                <w:highlight w:val="none"/>
              </w:rPr>
            </w:pPr>
            <w:r>
              <w:rPr>
                <w:sz w:val="24"/>
                <w:highlight w:val="none"/>
              </w:rPr>
              <w:t>6、若联合体中任一成员单位中途退出，则该联合体的</w:t>
            </w:r>
            <w:r>
              <w:rPr>
                <w:b/>
                <w:sz w:val="24"/>
                <w:highlight w:val="none"/>
              </w:rPr>
              <w:t>响应无效</w:t>
            </w:r>
            <w:r>
              <w:rPr>
                <w:sz w:val="24"/>
                <w:highlight w:val="none"/>
              </w:rPr>
              <w:t>。</w:t>
            </w:r>
          </w:p>
          <w:p w14:paraId="172B70A5">
            <w:pPr>
              <w:tabs>
                <w:tab w:val="left" w:pos="1080"/>
              </w:tabs>
              <w:snapToGrid w:val="0"/>
              <w:rPr>
                <w:sz w:val="24"/>
                <w:highlight w:val="none"/>
              </w:rPr>
            </w:pPr>
            <w:r>
              <w:rPr>
                <w:sz w:val="24"/>
                <w:highlight w:val="none"/>
              </w:rPr>
              <w:t>7、本项目不接受联合体响应时，供应商不得为联合体。</w:t>
            </w:r>
          </w:p>
        </w:tc>
        <w:tc>
          <w:tcPr>
            <w:tcW w:w="882" w:type="pct"/>
            <w:noWrap w:val="0"/>
            <w:vAlign w:val="center"/>
          </w:tcPr>
          <w:p w14:paraId="460B425C">
            <w:pPr>
              <w:tabs>
                <w:tab w:val="left" w:pos="1080"/>
              </w:tabs>
              <w:snapToGrid w:val="0"/>
              <w:rPr>
                <w:sz w:val="24"/>
                <w:highlight w:val="none"/>
              </w:rPr>
            </w:pPr>
            <w:r>
              <w:rPr>
                <w:sz w:val="24"/>
                <w:highlight w:val="none"/>
              </w:rPr>
              <w:t>提供《联合协议》原件的电子件</w:t>
            </w:r>
          </w:p>
          <w:p w14:paraId="524ECC05">
            <w:pPr>
              <w:tabs>
                <w:tab w:val="left" w:pos="1080"/>
              </w:tabs>
              <w:snapToGrid w:val="0"/>
              <w:rPr>
                <w:sz w:val="24"/>
                <w:highlight w:val="none"/>
              </w:rPr>
            </w:pPr>
            <w:r>
              <w:rPr>
                <w:sz w:val="24"/>
                <w:highlight w:val="none"/>
              </w:rPr>
              <w:t>格式见《响应文件格式》</w:t>
            </w:r>
          </w:p>
        </w:tc>
      </w:tr>
      <w:tr w14:paraId="73D410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noWrap w:val="0"/>
            <w:vAlign w:val="center"/>
          </w:tcPr>
          <w:p w14:paraId="6E513720">
            <w:pPr>
              <w:tabs>
                <w:tab w:val="left" w:pos="1080"/>
              </w:tabs>
              <w:snapToGrid w:val="0"/>
              <w:jc w:val="center"/>
              <w:rPr>
                <w:sz w:val="24"/>
                <w:highlight w:val="none"/>
              </w:rPr>
            </w:pPr>
            <w:r>
              <w:rPr>
                <w:sz w:val="24"/>
                <w:highlight w:val="none"/>
              </w:rPr>
              <w:t>2-2</w:t>
            </w:r>
          </w:p>
        </w:tc>
        <w:tc>
          <w:tcPr>
            <w:tcW w:w="1067" w:type="pct"/>
            <w:noWrap w:val="0"/>
            <w:vAlign w:val="center"/>
          </w:tcPr>
          <w:p w14:paraId="2451277B">
            <w:pPr>
              <w:tabs>
                <w:tab w:val="left" w:pos="1080"/>
              </w:tabs>
              <w:snapToGrid w:val="0"/>
              <w:rPr>
                <w:sz w:val="24"/>
                <w:highlight w:val="none"/>
              </w:rPr>
            </w:pPr>
            <w:r>
              <w:rPr>
                <w:sz w:val="24"/>
                <w:highlight w:val="none"/>
              </w:rPr>
              <w:t>政府购买服务承接主体的要求</w:t>
            </w:r>
          </w:p>
        </w:tc>
        <w:tc>
          <w:tcPr>
            <w:tcW w:w="2596" w:type="pct"/>
            <w:noWrap w:val="0"/>
            <w:vAlign w:val="center"/>
          </w:tcPr>
          <w:p w14:paraId="2119A64D">
            <w:pPr>
              <w:tabs>
                <w:tab w:val="left" w:pos="1080"/>
              </w:tabs>
              <w:snapToGrid w:val="0"/>
              <w:rPr>
                <w:sz w:val="24"/>
                <w:highlight w:val="none"/>
              </w:rPr>
            </w:pPr>
            <w:r>
              <w:rPr>
                <w:sz w:val="24"/>
                <w:highlight w:val="none"/>
              </w:rPr>
              <w:t>如本项目属于政府购买服务，供应商不属于公益一类事业单位、使用事业编制且由财政拨款保障的群团组织。</w:t>
            </w:r>
          </w:p>
        </w:tc>
        <w:tc>
          <w:tcPr>
            <w:tcW w:w="882" w:type="pct"/>
            <w:noWrap w:val="0"/>
            <w:vAlign w:val="center"/>
          </w:tcPr>
          <w:p w14:paraId="2520A5C8">
            <w:pPr>
              <w:tabs>
                <w:tab w:val="left" w:pos="1080"/>
              </w:tabs>
              <w:snapToGrid w:val="0"/>
              <w:jc w:val="center"/>
              <w:rPr>
                <w:sz w:val="24"/>
                <w:highlight w:val="none"/>
              </w:rPr>
            </w:pPr>
            <w:r>
              <w:rPr>
                <w:sz w:val="24"/>
                <w:highlight w:val="none"/>
              </w:rPr>
              <w:t>格式见《响应文件格式》</w:t>
            </w:r>
            <w:r>
              <w:rPr>
                <w:rFonts w:hint="eastAsia"/>
                <w:sz w:val="24"/>
                <w:highlight w:val="none"/>
              </w:rPr>
              <w:t>“1-2 供应商资格声明书”</w:t>
            </w:r>
          </w:p>
        </w:tc>
      </w:tr>
      <w:tr w14:paraId="5A0368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noWrap w:val="0"/>
            <w:vAlign w:val="center"/>
          </w:tcPr>
          <w:p w14:paraId="4CB4F71A">
            <w:pPr>
              <w:tabs>
                <w:tab w:val="left" w:pos="1080"/>
              </w:tabs>
              <w:snapToGrid w:val="0"/>
              <w:jc w:val="center"/>
              <w:rPr>
                <w:sz w:val="24"/>
                <w:highlight w:val="none"/>
              </w:rPr>
            </w:pPr>
            <w:r>
              <w:rPr>
                <w:sz w:val="24"/>
                <w:highlight w:val="none"/>
              </w:rPr>
              <w:t>2-3</w:t>
            </w:r>
          </w:p>
        </w:tc>
        <w:tc>
          <w:tcPr>
            <w:tcW w:w="1067" w:type="pct"/>
            <w:noWrap w:val="0"/>
            <w:vAlign w:val="center"/>
          </w:tcPr>
          <w:p w14:paraId="3D2F8BB6">
            <w:pPr>
              <w:tabs>
                <w:tab w:val="left" w:pos="1080"/>
              </w:tabs>
              <w:snapToGrid w:val="0"/>
              <w:rPr>
                <w:sz w:val="24"/>
                <w:highlight w:val="none"/>
              </w:rPr>
            </w:pPr>
            <w:r>
              <w:rPr>
                <w:sz w:val="24"/>
                <w:highlight w:val="none"/>
              </w:rPr>
              <w:t>其他特定资格要求</w:t>
            </w:r>
          </w:p>
        </w:tc>
        <w:tc>
          <w:tcPr>
            <w:tcW w:w="2596" w:type="pct"/>
            <w:noWrap w:val="0"/>
            <w:vAlign w:val="center"/>
          </w:tcPr>
          <w:p w14:paraId="24B99923">
            <w:pPr>
              <w:tabs>
                <w:tab w:val="left" w:pos="1080"/>
              </w:tabs>
              <w:snapToGrid w:val="0"/>
              <w:rPr>
                <w:sz w:val="24"/>
                <w:highlight w:val="none"/>
              </w:rPr>
            </w:pPr>
            <w:r>
              <w:rPr>
                <w:color w:val="000000"/>
                <w:sz w:val="24"/>
                <w:highlight w:val="none"/>
              </w:rPr>
              <w:t>如有，见</w:t>
            </w:r>
            <w:r>
              <w:rPr>
                <w:sz w:val="24"/>
                <w:highlight w:val="none"/>
              </w:rPr>
              <w:t>第一章《</w:t>
            </w:r>
            <w:r>
              <w:rPr>
                <w:rFonts w:hint="eastAsia"/>
                <w:sz w:val="24"/>
                <w:highlight w:val="none"/>
              </w:rPr>
              <w:t>征集</w:t>
            </w:r>
            <w:r>
              <w:rPr>
                <w:sz w:val="24"/>
                <w:highlight w:val="none"/>
              </w:rPr>
              <w:t>邀请》</w:t>
            </w:r>
          </w:p>
          <w:p w14:paraId="45811AA0">
            <w:pPr>
              <w:tabs>
                <w:tab w:val="left" w:pos="1080"/>
              </w:tabs>
              <w:snapToGrid w:val="0"/>
              <w:rPr>
                <w:sz w:val="24"/>
                <w:highlight w:val="none"/>
              </w:rPr>
            </w:pPr>
            <w:r>
              <w:rPr>
                <w:sz w:val="24"/>
                <w:highlight w:val="none"/>
              </w:rPr>
              <w:t>注：如联合体中有同类资质的供应商按照联合体分工承担相同工作的，均应当提供资质证书电子件或电子证照。</w:t>
            </w:r>
          </w:p>
        </w:tc>
        <w:tc>
          <w:tcPr>
            <w:tcW w:w="882" w:type="pct"/>
            <w:noWrap w:val="0"/>
            <w:vAlign w:val="center"/>
          </w:tcPr>
          <w:p w14:paraId="2DDEBA97">
            <w:pPr>
              <w:tabs>
                <w:tab w:val="left" w:pos="1080"/>
              </w:tabs>
              <w:snapToGrid w:val="0"/>
              <w:rPr>
                <w:sz w:val="24"/>
                <w:highlight w:val="none"/>
              </w:rPr>
            </w:pPr>
            <w:r>
              <w:rPr>
                <w:sz w:val="24"/>
                <w:highlight w:val="none"/>
              </w:rPr>
              <w:t>提供证明文件的电子件或电子证照</w:t>
            </w:r>
          </w:p>
        </w:tc>
      </w:tr>
      <w:tr w14:paraId="643A30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noWrap w:val="0"/>
            <w:vAlign w:val="center"/>
          </w:tcPr>
          <w:p w14:paraId="5E0D89E3">
            <w:pPr>
              <w:tabs>
                <w:tab w:val="left" w:pos="1080"/>
              </w:tabs>
              <w:snapToGrid w:val="0"/>
              <w:jc w:val="center"/>
              <w:rPr>
                <w:sz w:val="24"/>
                <w:highlight w:val="none"/>
              </w:rPr>
            </w:pPr>
            <w:r>
              <w:rPr>
                <w:sz w:val="24"/>
                <w:highlight w:val="none"/>
              </w:rPr>
              <w:t>3</w:t>
            </w:r>
          </w:p>
        </w:tc>
        <w:tc>
          <w:tcPr>
            <w:tcW w:w="1067" w:type="pct"/>
            <w:noWrap w:val="0"/>
            <w:vAlign w:val="center"/>
          </w:tcPr>
          <w:p w14:paraId="61B0E75B">
            <w:pPr>
              <w:tabs>
                <w:tab w:val="left" w:pos="1080"/>
              </w:tabs>
              <w:snapToGrid w:val="0"/>
              <w:rPr>
                <w:sz w:val="24"/>
                <w:highlight w:val="none"/>
              </w:rPr>
            </w:pPr>
            <w:r>
              <w:rPr>
                <w:sz w:val="24"/>
                <w:highlight w:val="none"/>
              </w:rPr>
              <w:t>获取征集文件</w:t>
            </w:r>
          </w:p>
        </w:tc>
        <w:tc>
          <w:tcPr>
            <w:tcW w:w="2596" w:type="pct"/>
            <w:noWrap w:val="0"/>
            <w:vAlign w:val="center"/>
          </w:tcPr>
          <w:p w14:paraId="19F489A6">
            <w:pPr>
              <w:tabs>
                <w:tab w:val="left" w:pos="1080"/>
              </w:tabs>
              <w:snapToGrid w:val="0"/>
              <w:rPr>
                <w:color w:val="000000"/>
                <w:kern w:val="0"/>
                <w:sz w:val="24"/>
                <w:highlight w:val="none"/>
              </w:rPr>
            </w:pPr>
            <w:r>
              <w:rPr>
                <w:color w:val="000000"/>
                <w:kern w:val="0"/>
                <w:sz w:val="24"/>
                <w:highlight w:val="none"/>
              </w:rPr>
              <w:t>在规定期限内通过北京市政府采购电子交易平台获取所参与包的征集文件。</w:t>
            </w:r>
          </w:p>
          <w:p w14:paraId="659135EF">
            <w:pPr>
              <w:tabs>
                <w:tab w:val="left" w:pos="1080"/>
              </w:tabs>
              <w:snapToGrid w:val="0"/>
              <w:rPr>
                <w:color w:val="000000"/>
                <w:kern w:val="0"/>
                <w:sz w:val="24"/>
                <w:highlight w:val="none"/>
              </w:rPr>
            </w:pPr>
            <w:r>
              <w:rPr>
                <w:color w:val="000000"/>
                <w:kern w:val="0"/>
                <w:sz w:val="24"/>
                <w:highlight w:val="none"/>
              </w:rPr>
              <w:t>注：如本项目接受联合体，且供应商为联合体时，联合体中任一成员获取文件即视为满足要求。</w:t>
            </w:r>
          </w:p>
        </w:tc>
        <w:tc>
          <w:tcPr>
            <w:tcW w:w="882" w:type="pct"/>
            <w:noWrap w:val="0"/>
            <w:vAlign w:val="center"/>
          </w:tcPr>
          <w:p w14:paraId="71059DD6">
            <w:pPr>
              <w:tabs>
                <w:tab w:val="left" w:pos="1080"/>
              </w:tabs>
              <w:snapToGrid w:val="0"/>
              <w:rPr>
                <w:sz w:val="24"/>
                <w:highlight w:val="none"/>
              </w:rPr>
            </w:pPr>
          </w:p>
        </w:tc>
        <w:bookmarkStart w:id="702" w:name="_Hlt487900425"/>
        <w:bookmarkStart w:id="703" w:name="_Hlt522424701"/>
      </w:t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697"/>
      <w:bookmarkEnd w:id="701"/>
      <w:bookmarkEnd w:id="702"/>
      <w:bookmarkEnd w:id="703"/>
    </w:tbl>
    <w:p w14:paraId="1F3A29EF">
      <w:pPr>
        <w:widowControl/>
        <w:jc w:val="left"/>
        <w:rPr>
          <w:sz w:val="24"/>
          <w:highlight w:val="none"/>
        </w:rPr>
      </w:pPr>
      <w:bookmarkStart w:id="704" w:name="_Toc353873940"/>
      <w:bookmarkStart w:id="705" w:name="_Toc127161490"/>
      <w:bookmarkStart w:id="706" w:name="_Toc127151779"/>
      <w:bookmarkStart w:id="707" w:name="_Toc353825550"/>
      <w:bookmarkStart w:id="708" w:name="_Toc226965858"/>
      <w:r>
        <w:rPr>
          <w:sz w:val="24"/>
          <w:highlight w:val="none"/>
        </w:rPr>
        <w:br w:type="page"/>
      </w:r>
    </w:p>
    <w:p w14:paraId="2DC653EB">
      <w:pPr>
        <w:spacing w:line="360" w:lineRule="auto"/>
        <w:jc w:val="center"/>
        <w:outlineLvl w:val="0"/>
        <w:rPr>
          <w:b/>
          <w:sz w:val="36"/>
          <w:szCs w:val="36"/>
          <w:highlight w:val="none"/>
        </w:rPr>
      </w:pPr>
      <w:bookmarkStart w:id="709" w:name="_Toc206523621"/>
      <w:r>
        <w:rPr>
          <w:b/>
          <w:sz w:val="36"/>
          <w:szCs w:val="36"/>
          <w:highlight w:val="none"/>
        </w:rPr>
        <w:t xml:space="preserve">第四章   </w:t>
      </w:r>
      <w:bookmarkEnd w:id="704"/>
      <w:bookmarkEnd w:id="705"/>
      <w:bookmarkEnd w:id="706"/>
      <w:bookmarkEnd w:id="707"/>
      <w:bookmarkEnd w:id="708"/>
      <w:bookmarkStart w:id="710" w:name="_Hlt164229061"/>
      <w:bookmarkEnd w:id="710"/>
      <w:bookmarkStart w:id="711" w:name="OLE_LINK6"/>
      <w:r>
        <w:rPr>
          <w:b/>
          <w:sz w:val="36"/>
          <w:szCs w:val="36"/>
          <w:highlight w:val="none"/>
        </w:rPr>
        <w:t>评审程序</w:t>
      </w:r>
      <w:bookmarkEnd w:id="711"/>
      <w:r>
        <w:rPr>
          <w:b/>
          <w:sz w:val="36"/>
          <w:szCs w:val="36"/>
          <w:highlight w:val="none"/>
        </w:rPr>
        <w:t>、评审方法和评审标准</w:t>
      </w:r>
      <w:bookmarkEnd w:id="709"/>
    </w:p>
    <w:p w14:paraId="5E3D7CF2">
      <w:pPr>
        <w:tabs>
          <w:tab w:val="left" w:pos="360"/>
          <w:tab w:val="left" w:pos="900"/>
        </w:tabs>
        <w:snapToGrid w:val="0"/>
        <w:spacing w:line="360" w:lineRule="auto"/>
        <w:jc w:val="center"/>
        <w:outlineLvl w:val="1"/>
        <w:rPr>
          <w:b/>
          <w:highlight w:val="none"/>
        </w:rPr>
      </w:pPr>
      <w:r>
        <w:rPr>
          <w:b/>
          <w:sz w:val="24"/>
          <w:highlight w:val="none"/>
        </w:rPr>
        <w:t>一、评审方法</w:t>
      </w:r>
    </w:p>
    <w:p w14:paraId="55C7CD99">
      <w:pPr>
        <w:numPr>
          <w:ilvl w:val="0"/>
          <w:numId w:val="12"/>
        </w:numPr>
        <w:tabs>
          <w:tab w:val="left" w:pos="360"/>
        </w:tabs>
        <w:snapToGrid w:val="0"/>
        <w:spacing w:line="360" w:lineRule="auto"/>
        <w:outlineLvl w:val="1"/>
        <w:rPr>
          <w:sz w:val="24"/>
          <w:highlight w:val="none"/>
        </w:rPr>
      </w:pPr>
      <w:bookmarkStart w:id="712" w:name="_Toc195842906"/>
      <w:bookmarkStart w:id="713" w:name="_Toc226337237"/>
      <w:bookmarkStart w:id="714" w:name="_Toc264969231"/>
      <w:bookmarkStart w:id="715" w:name="_Toc226965814"/>
      <w:bookmarkStart w:id="716" w:name="_Toc305158809"/>
      <w:bookmarkStart w:id="717" w:name="_Toc164229236"/>
      <w:bookmarkStart w:id="718" w:name="_Toc151193929"/>
      <w:bookmarkStart w:id="719" w:name="_Toc149720834"/>
      <w:bookmarkStart w:id="720" w:name="_Toc127161455"/>
      <w:bookmarkStart w:id="721" w:name="_Toc226965731"/>
      <w:bookmarkStart w:id="722" w:name="_Toc127151541"/>
      <w:bookmarkStart w:id="723" w:name="_Toc164608810"/>
      <w:bookmarkStart w:id="724" w:name="_Toc151193855"/>
      <w:bookmarkStart w:id="725" w:name="_Toc142311043"/>
      <w:bookmarkStart w:id="726" w:name="_Toc150774746"/>
      <w:bookmarkStart w:id="727" w:name="_Toc150774641"/>
      <w:bookmarkStart w:id="728" w:name="_Toc164229382"/>
      <w:bookmarkStart w:id="729" w:name="_Toc150509292"/>
      <w:bookmarkStart w:id="730" w:name="_Toc164608655"/>
      <w:bookmarkStart w:id="731" w:name="_Toc151193639"/>
      <w:bookmarkStart w:id="732" w:name="_Toc305158883"/>
      <w:bookmarkStart w:id="733" w:name="_Toc151193783"/>
      <w:bookmarkStart w:id="734" w:name="_Toc265228379"/>
      <w:bookmarkStart w:id="735" w:name="_Toc164351635"/>
      <w:bookmarkStart w:id="736" w:name="_Toc127151742"/>
      <w:bookmarkStart w:id="737" w:name="_Toc151193711"/>
      <w:bookmarkStart w:id="738" w:name="_Toc151190168"/>
      <w:bookmarkStart w:id="739" w:name="_Toc226309785"/>
      <w:bookmarkStart w:id="740" w:name="_Toc150480779"/>
      <w:bookmarkStart w:id="741" w:name="_Toc353825551"/>
      <w:bookmarkStart w:id="742" w:name="_Toc353873941"/>
      <w:bookmarkStart w:id="743" w:name="_Toc265228393"/>
      <w:bookmarkStart w:id="744" w:name="_Toc226965828"/>
      <w:bookmarkStart w:id="745" w:name="_Toc226337251"/>
      <w:bookmarkStart w:id="746" w:name="_Toc305158823"/>
      <w:bookmarkStart w:id="747" w:name="_Toc150774760"/>
      <w:bookmarkStart w:id="748" w:name="_Toc195842920"/>
      <w:bookmarkStart w:id="749" w:name="_Toc305158897"/>
      <w:bookmarkStart w:id="750" w:name="_Toc127151555"/>
      <w:bookmarkStart w:id="751" w:name="_Toc142311057"/>
      <w:bookmarkStart w:id="752" w:name="_Toc264969245"/>
      <w:bookmarkStart w:id="753" w:name="_Toc353873665"/>
      <w:bookmarkStart w:id="754" w:name="_Toc353873935"/>
      <w:bookmarkStart w:id="755" w:name="_Toc353825545"/>
      <w:bookmarkStart w:id="756" w:name="_Toc150480793"/>
      <w:r>
        <w:rPr>
          <w:rFonts w:hint="eastAsia"/>
          <w:sz w:val="24"/>
          <w:highlight w:val="none"/>
        </w:rPr>
        <w:t>响应</w:t>
      </w:r>
      <w:r>
        <w:rPr>
          <w:sz w:val="24"/>
          <w:highlight w:val="none"/>
        </w:rPr>
        <w:t>文件的符合性审查</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14:paraId="27F8313F">
      <w:pPr>
        <w:numPr>
          <w:ilvl w:val="1"/>
          <w:numId w:val="12"/>
        </w:numPr>
        <w:tabs>
          <w:tab w:val="left" w:pos="1080"/>
        </w:tabs>
        <w:snapToGrid w:val="0"/>
        <w:spacing w:line="360" w:lineRule="auto"/>
        <w:ind w:left="1077" w:hanging="720"/>
        <w:rPr>
          <w:sz w:val="24"/>
          <w:highlight w:val="none"/>
        </w:rPr>
      </w:pPr>
      <w:r>
        <w:rPr>
          <w:sz w:val="24"/>
          <w:highlight w:val="none"/>
        </w:rPr>
        <w:t>评审委员会对资格审查合格的</w:t>
      </w:r>
      <w:r>
        <w:rPr>
          <w:rFonts w:hint="eastAsia"/>
          <w:sz w:val="24"/>
          <w:highlight w:val="none"/>
        </w:rPr>
        <w:t>供应商</w:t>
      </w:r>
      <w:r>
        <w:rPr>
          <w:sz w:val="24"/>
          <w:highlight w:val="none"/>
        </w:rPr>
        <w:t>的</w:t>
      </w:r>
      <w:r>
        <w:rPr>
          <w:rFonts w:hint="eastAsia"/>
          <w:sz w:val="24"/>
          <w:highlight w:val="none"/>
        </w:rPr>
        <w:t>响应</w:t>
      </w:r>
      <w:r>
        <w:rPr>
          <w:sz w:val="24"/>
          <w:highlight w:val="none"/>
        </w:rPr>
        <w:t>文件进行符合性审查，以确定其是否满足</w:t>
      </w:r>
      <w:r>
        <w:rPr>
          <w:rFonts w:hint="eastAsia"/>
          <w:sz w:val="24"/>
          <w:highlight w:val="none"/>
        </w:rPr>
        <w:t>征集</w:t>
      </w:r>
      <w:r>
        <w:rPr>
          <w:sz w:val="24"/>
          <w:highlight w:val="none"/>
        </w:rPr>
        <w:t>文件的实质性要求。</w:t>
      </w:r>
      <w:bookmarkStart w:id="757" w:name="_Toc520356167"/>
    </w:p>
    <w:p w14:paraId="53D56AB1">
      <w:pPr>
        <w:numPr>
          <w:ilvl w:val="1"/>
          <w:numId w:val="12"/>
        </w:numPr>
        <w:tabs>
          <w:tab w:val="left" w:pos="1080"/>
        </w:tabs>
        <w:snapToGrid w:val="0"/>
        <w:spacing w:line="360" w:lineRule="auto"/>
        <w:ind w:left="1077" w:hanging="720"/>
        <w:rPr>
          <w:sz w:val="24"/>
          <w:highlight w:val="none"/>
        </w:rPr>
      </w:pPr>
      <w:r>
        <w:rPr>
          <w:sz w:val="24"/>
          <w:highlight w:val="none"/>
        </w:rPr>
        <w:t>评审委员会根据《符合性审查要求》中规定的审查因素和审查内容，对</w:t>
      </w:r>
      <w:r>
        <w:rPr>
          <w:rFonts w:hint="eastAsia"/>
          <w:sz w:val="24"/>
          <w:highlight w:val="none"/>
        </w:rPr>
        <w:t>供应商</w:t>
      </w:r>
      <w:r>
        <w:rPr>
          <w:sz w:val="24"/>
          <w:highlight w:val="none"/>
        </w:rPr>
        <w:t>的</w:t>
      </w:r>
      <w:r>
        <w:rPr>
          <w:rFonts w:hint="eastAsia"/>
          <w:sz w:val="24"/>
          <w:highlight w:val="none"/>
        </w:rPr>
        <w:t>响应</w:t>
      </w:r>
      <w:r>
        <w:rPr>
          <w:sz w:val="24"/>
          <w:highlight w:val="none"/>
        </w:rPr>
        <w:t>文件是否实质上响应</w:t>
      </w:r>
      <w:r>
        <w:rPr>
          <w:rFonts w:hint="eastAsia"/>
          <w:sz w:val="24"/>
          <w:highlight w:val="none"/>
        </w:rPr>
        <w:t>征集</w:t>
      </w:r>
      <w:r>
        <w:rPr>
          <w:sz w:val="24"/>
          <w:highlight w:val="none"/>
        </w:rPr>
        <w:t>文件进行符合性审查，并形成符合性审查评审结果。</w:t>
      </w:r>
      <w:r>
        <w:rPr>
          <w:rFonts w:hint="eastAsia"/>
          <w:sz w:val="24"/>
          <w:highlight w:val="none"/>
        </w:rPr>
        <w:t>供应商</w:t>
      </w:r>
      <w:r>
        <w:rPr>
          <w:sz w:val="24"/>
          <w:highlight w:val="none"/>
        </w:rPr>
        <w:t>《商务技术文件》有任何一项不符合《符合性审查要求》</w:t>
      </w:r>
      <w:bookmarkEnd w:id="757"/>
      <w:r>
        <w:rPr>
          <w:sz w:val="24"/>
          <w:highlight w:val="none"/>
        </w:rPr>
        <w:t>要求的，</w:t>
      </w:r>
      <w:r>
        <w:rPr>
          <w:b/>
          <w:sz w:val="24"/>
          <w:highlight w:val="none"/>
        </w:rPr>
        <w:t>响应无效</w:t>
      </w:r>
      <w:r>
        <w:rPr>
          <w:sz w:val="24"/>
          <w:highlight w:val="none"/>
        </w:rPr>
        <w:t>。</w:t>
      </w:r>
    </w:p>
    <w:p w14:paraId="262B31EE">
      <w:pPr>
        <w:tabs>
          <w:tab w:val="left" w:pos="900"/>
          <w:tab w:val="left" w:pos="1080"/>
          <w:tab w:val="left" w:pos="1589"/>
        </w:tabs>
        <w:snapToGrid w:val="0"/>
        <w:spacing w:line="360" w:lineRule="auto"/>
        <w:ind w:leftChars="-170" w:hanging="357" w:hangingChars="148"/>
        <w:jc w:val="center"/>
        <w:rPr>
          <w:b/>
          <w:color w:val="000000"/>
          <w:sz w:val="24"/>
          <w:highlight w:val="none"/>
        </w:rPr>
      </w:pPr>
      <w:r>
        <w:rPr>
          <w:b/>
          <w:sz w:val="24"/>
          <w:highlight w:val="none"/>
        </w:rPr>
        <w:t>符合性审查要求</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0"/>
        <w:gridCol w:w="1813"/>
        <w:gridCol w:w="6725"/>
      </w:tblGrid>
      <w:tr w14:paraId="6F269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4" w:type="pct"/>
            <w:noWrap w:val="0"/>
            <w:vAlign w:val="center"/>
          </w:tcPr>
          <w:p w14:paraId="378B7949">
            <w:pPr>
              <w:widowControl/>
              <w:jc w:val="center"/>
              <w:rPr>
                <w:b/>
                <w:color w:val="000000"/>
                <w:kern w:val="0"/>
                <w:sz w:val="24"/>
                <w:highlight w:val="none"/>
              </w:rPr>
            </w:pPr>
            <w:r>
              <w:rPr>
                <w:b/>
                <w:color w:val="000000"/>
                <w:kern w:val="0"/>
                <w:sz w:val="24"/>
                <w:highlight w:val="none"/>
              </w:rPr>
              <w:t>序号</w:t>
            </w:r>
          </w:p>
        </w:tc>
        <w:tc>
          <w:tcPr>
            <w:tcW w:w="976" w:type="pct"/>
            <w:noWrap w:val="0"/>
            <w:vAlign w:val="center"/>
          </w:tcPr>
          <w:p w14:paraId="5B2BDC75">
            <w:pPr>
              <w:widowControl/>
              <w:jc w:val="center"/>
              <w:rPr>
                <w:b/>
                <w:color w:val="000000"/>
                <w:kern w:val="0"/>
                <w:sz w:val="24"/>
                <w:highlight w:val="none"/>
              </w:rPr>
            </w:pPr>
            <w:r>
              <w:rPr>
                <w:b/>
                <w:color w:val="000000"/>
                <w:kern w:val="0"/>
                <w:sz w:val="24"/>
                <w:highlight w:val="none"/>
              </w:rPr>
              <w:t>审查因素</w:t>
            </w:r>
          </w:p>
        </w:tc>
        <w:tc>
          <w:tcPr>
            <w:tcW w:w="3620" w:type="pct"/>
            <w:noWrap w:val="0"/>
            <w:vAlign w:val="center"/>
          </w:tcPr>
          <w:p w14:paraId="4434E99E">
            <w:pPr>
              <w:widowControl/>
              <w:jc w:val="center"/>
              <w:rPr>
                <w:b/>
                <w:color w:val="000000"/>
                <w:kern w:val="0"/>
                <w:sz w:val="24"/>
                <w:highlight w:val="none"/>
              </w:rPr>
            </w:pPr>
            <w:r>
              <w:rPr>
                <w:b/>
                <w:color w:val="000000"/>
                <w:kern w:val="0"/>
                <w:sz w:val="24"/>
                <w:highlight w:val="none"/>
              </w:rPr>
              <w:t>审查内容</w:t>
            </w:r>
          </w:p>
        </w:tc>
      </w:tr>
      <w:tr w14:paraId="2BCFE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4" w:type="pct"/>
            <w:noWrap w:val="0"/>
            <w:vAlign w:val="center"/>
          </w:tcPr>
          <w:p w14:paraId="3ACC7082">
            <w:pPr>
              <w:widowControl/>
              <w:jc w:val="center"/>
              <w:rPr>
                <w:color w:val="000000"/>
                <w:kern w:val="0"/>
                <w:sz w:val="24"/>
                <w:highlight w:val="none"/>
              </w:rPr>
            </w:pPr>
            <w:r>
              <w:rPr>
                <w:color w:val="000000"/>
                <w:kern w:val="0"/>
                <w:sz w:val="24"/>
                <w:highlight w:val="none"/>
              </w:rPr>
              <w:t>1</w:t>
            </w:r>
          </w:p>
        </w:tc>
        <w:tc>
          <w:tcPr>
            <w:tcW w:w="976" w:type="pct"/>
            <w:noWrap w:val="0"/>
            <w:vAlign w:val="center"/>
          </w:tcPr>
          <w:p w14:paraId="01B2EDDA">
            <w:pPr>
              <w:widowControl/>
              <w:jc w:val="left"/>
              <w:rPr>
                <w:color w:val="000000"/>
                <w:kern w:val="0"/>
                <w:sz w:val="24"/>
                <w:highlight w:val="none"/>
              </w:rPr>
            </w:pPr>
            <w:r>
              <w:rPr>
                <w:color w:val="000000"/>
                <w:kern w:val="0"/>
                <w:sz w:val="24"/>
                <w:highlight w:val="none"/>
              </w:rPr>
              <w:t>授权委托书</w:t>
            </w:r>
          </w:p>
        </w:tc>
        <w:tc>
          <w:tcPr>
            <w:tcW w:w="3620" w:type="pct"/>
            <w:noWrap w:val="0"/>
            <w:vAlign w:val="center"/>
          </w:tcPr>
          <w:p w14:paraId="55665A61">
            <w:pPr>
              <w:widowControl/>
              <w:jc w:val="left"/>
              <w:rPr>
                <w:color w:val="000000"/>
                <w:kern w:val="0"/>
                <w:sz w:val="24"/>
                <w:highlight w:val="none"/>
              </w:rPr>
            </w:pPr>
            <w:r>
              <w:rPr>
                <w:color w:val="000000"/>
                <w:kern w:val="0"/>
                <w:sz w:val="24"/>
                <w:highlight w:val="none"/>
              </w:rPr>
              <w:t>按征集文件要求提供授权委托书；</w:t>
            </w:r>
          </w:p>
        </w:tc>
      </w:tr>
      <w:tr w14:paraId="7FBA0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4" w:type="pct"/>
            <w:noWrap w:val="0"/>
            <w:vAlign w:val="center"/>
          </w:tcPr>
          <w:p w14:paraId="2C6F532C">
            <w:pPr>
              <w:widowControl/>
              <w:jc w:val="center"/>
              <w:rPr>
                <w:color w:val="000000"/>
                <w:kern w:val="0"/>
                <w:sz w:val="24"/>
                <w:highlight w:val="none"/>
              </w:rPr>
            </w:pPr>
            <w:r>
              <w:rPr>
                <w:color w:val="000000"/>
                <w:kern w:val="0"/>
                <w:sz w:val="24"/>
                <w:highlight w:val="none"/>
              </w:rPr>
              <w:t>2</w:t>
            </w:r>
          </w:p>
        </w:tc>
        <w:tc>
          <w:tcPr>
            <w:tcW w:w="976" w:type="pct"/>
            <w:noWrap w:val="0"/>
            <w:vAlign w:val="center"/>
          </w:tcPr>
          <w:p w14:paraId="10CAE6AE">
            <w:pPr>
              <w:widowControl/>
              <w:jc w:val="left"/>
              <w:rPr>
                <w:color w:val="000000"/>
                <w:kern w:val="0"/>
                <w:sz w:val="24"/>
                <w:highlight w:val="none"/>
              </w:rPr>
            </w:pPr>
            <w:r>
              <w:rPr>
                <w:color w:val="000000"/>
                <w:kern w:val="0"/>
                <w:sz w:val="24"/>
                <w:highlight w:val="none"/>
              </w:rPr>
              <w:t>响应完整性</w:t>
            </w:r>
          </w:p>
        </w:tc>
        <w:tc>
          <w:tcPr>
            <w:tcW w:w="3620" w:type="pct"/>
            <w:noWrap w:val="0"/>
            <w:vAlign w:val="center"/>
          </w:tcPr>
          <w:p w14:paraId="3B4A5228">
            <w:pPr>
              <w:widowControl/>
              <w:jc w:val="left"/>
              <w:rPr>
                <w:color w:val="000000"/>
                <w:kern w:val="0"/>
                <w:sz w:val="24"/>
                <w:highlight w:val="none"/>
              </w:rPr>
            </w:pPr>
            <w:r>
              <w:rPr>
                <w:sz w:val="24"/>
                <w:highlight w:val="none"/>
              </w:rPr>
              <w:t>未将一个采购包中的内容拆分响应；</w:t>
            </w:r>
          </w:p>
        </w:tc>
      </w:tr>
      <w:tr w14:paraId="6CE8C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4" w:type="pct"/>
            <w:noWrap w:val="0"/>
            <w:vAlign w:val="center"/>
          </w:tcPr>
          <w:p w14:paraId="01974DDB">
            <w:pPr>
              <w:widowControl/>
              <w:jc w:val="center"/>
              <w:rPr>
                <w:color w:val="000000"/>
                <w:kern w:val="0"/>
                <w:sz w:val="24"/>
                <w:highlight w:val="none"/>
              </w:rPr>
            </w:pPr>
            <w:r>
              <w:rPr>
                <w:color w:val="000000"/>
                <w:kern w:val="0"/>
                <w:sz w:val="24"/>
                <w:highlight w:val="none"/>
              </w:rPr>
              <w:t>3</w:t>
            </w:r>
          </w:p>
        </w:tc>
        <w:tc>
          <w:tcPr>
            <w:tcW w:w="976" w:type="pct"/>
            <w:noWrap w:val="0"/>
            <w:vAlign w:val="center"/>
          </w:tcPr>
          <w:p w14:paraId="677C7F4C">
            <w:pPr>
              <w:widowControl/>
              <w:jc w:val="left"/>
              <w:rPr>
                <w:color w:val="000000"/>
                <w:kern w:val="0"/>
                <w:sz w:val="24"/>
                <w:highlight w:val="none"/>
              </w:rPr>
            </w:pPr>
            <w:r>
              <w:rPr>
                <w:color w:val="000000"/>
                <w:kern w:val="0"/>
                <w:sz w:val="24"/>
                <w:highlight w:val="none"/>
              </w:rPr>
              <w:t>响应报价</w:t>
            </w:r>
          </w:p>
        </w:tc>
        <w:tc>
          <w:tcPr>
            <w:tcW w:w="3620" w:type="pct"/>
            <w:noWrap w:val="0"/>
            <w:vAlign w:val="center"/>
          </w:tcPr>
          <w:p w14:paraId="2EAF20C3">
            <w:pPr>
              <w:widowControl/>
              <w:jc w:val="left"/>
              <w:rPr>
                <w:color w:val="000000"/>
                <w:kern w:val="0"/>
                <w:sz w:val="24"/>
                <w:highlight w:val="none"/>
              </w:rPr>
            </w:pPr>
            <w:r>
              <w:rPr>
                <w:color w:val="000000"/>
                <w:kern w:val="0"/>
                <w:sz w:val="24"/>
                <w:highlight w:val="none"/>
              </w:rPr>
              <w:t>响应报价未</w:t>
            </w:r>
            <w:r>
              <w:rPr>
                <w:color w:val="000000"/>
                <w:sz w:val="24"/>
                <w:highlight w:val="none"/>
              </w:rPr>
              <w:t>超过</w:t>
            </w:r>
            <w:r>
              <w:rPr>
                <w:rFonts w:hint="eastAsia"/>
                <w:color w:val="000000"/>
                <w:sz w:val="24"/>
                <w:highlight w:val="none"/>
              </w:rPr>
              <w:t>征集</w:t>
            </w:r>
            <w:r>
              <w:rPr>
                <w:color w:val="000000"/>
                <w:sz w:val="24"/>
                <w:highlight w:val="none"/>
              </w:rPr>
              <w:t>文件中规定的项目/采购包预算金额或者项目/采购包</w:t>
            </w:r>
            <w:r>
              <w:rPr>
                <w:rFonts w:hint="eastAsia"/>
                <w:sz w:val="24"/>
                <w:highlight w:val="none"/>
              </w:rPr>
              <w:t>最高限制单价</w:t>
            </w:r>
            <w:r>
              <w:rPr>
                <w:color w:val="000000"/>
                <w:kern w:val="0"/>
                <w:sz w:val="24"/>
                <w:highlight w:val="none"/>
              </w:rPr>
              <w:t>；</w:t>
            </w:r>
          </w:p>
        </w:tc>
      </w:tr>
      <w:tr w14:paraId="12897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4" w:type="pct"/>
            <w:noWrap w:val="0"/>
            <w:vAlign w:val="center"/>
          </w:tcPr>
          <w:p w14:paraId="0DB99747">
            <w:pPr>
              <w:widowControl/>
              <w:jc w:val="center"/>
              <w:rPr>
                <w:color w:val="000000"/>
                <w:kern w:val="0"/>
                <w:sz w:val="24"/>
                <w:highlight w:val="none"/>
              </w:rPr>
            </w:pPr>
            <w:r>
              <w:rPr>
                <w:color w:val="000000"/>
                <w:kern w:val="0"/>
                <w:sz w:val="24"/>
                <w:highlight w:val="none"/>
              </w:rPr>
              <w:t>4</w:t>
            </w:r>
          </w:p>
        </w:tc>
        <w:tc>
          <w:tcPr>
            <w:tcW w:w="976" w:type="pct"/>
            <w:noWrap w:val="0"/>
            <w:vAlign w:val="center"/>
          </w:tcPr>
          <w:p w14:paraId="50A597FC">
            <w:pPr>
              <w:widowControl/>
              <w:jc w:val="left"/>
              <w:rPr>
                <w:color w:val="000000"/>
                <w:kern w:val="0"/>
                <w:sz w:val="24"/>
                <w:highlight w:val="none"/>
              </w:rPr>
            </w:pPr>
            <w:r>
              <w:rPr>
                <w:color w:val="000000"/>
                <w:kern w:val="0"/>
                <w:sz w:val="24"/>
                <w:highlight w:val="none"/>
              </w:rPr>
              <w:t>报价唯一性</w:t>
            </w:r>
          </w:p>
        </w:tc>
        <w:tc>
          <w:tcPr>
            <w:tcW w:w="3620" w:type="pct"/>
            <w:noWrap w:val="0"/>
            <w:vAlign w:val="center"/>
          </w:tcPr>
          <w:p w14:paraId="4B9DDFCC">
            <w:pPr>
              <w:widowControl/>
              <w:jc w:val="left"/>
              <w:rPr>
                <w:color w:val="000000"/>
                <w:kern w:val="0"/>
                <w:sz w:val="24"/>
                <w:highlight w:val="none"/>
              </w:rPr>
            </w:pPr>
            <w:r>
              <w:rPr>
                <w:rFonts w:hint="eastAsia"/>
                <w:color w:val="000000"/>
                <w:kern w:val="0"/>
                <w:sz w:val="24"/>
                <w:highlight w:val="none"/>
              </w:rPr>
              <w:t>响应</w:t>
            </w:r>
            <w:r>
              <w:rPr>
                <w:color w:val="000000"/>
                <w:kern w:val="0"/>
                <w:sz w:val="24"/>
                <w:highlight w:val="none"/>
              </w:rPr>
              <w:t>文件未</w:t>
            </w:r>
            <w:r>
              <w:rPr>
                <w:sz w:val="24"/>
                <w:highlight w:val="none"/>
              </w:rPr>
              <w:t>出现可选择性或可调整的报价（征集文件另有规定的除外）</w:t>
            </w:r>
            <w:r>
              <w:rPr>
                <w:color w:val="000000"/>
                <w:kern w:val="0"/>
                <w:sz w:val="24"/>
                <w:highlight w:val="none"/>
              </w:rPr>
              <w:t>；</w:t>
            </w:r>
          </w:p>
        </w:tc>
      </w:tr>
      <w:tr w14:paraId="29FA8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4" w:type="pct"/>
            <w:noWrap w:val="0"/>
            <w:vAlign w:val="center"/>
          </w:tcPr>
          <w:p w14:paraId="504BB530">
            <w:pPr>
              <w:widowControl/>
              <w:jc w:val="center"/>
              <w:rPr>
                <w:color w:val="000000"/>
                <w:kern w:val="0"/>
                <w:sz w:val="24"/>
                <w:highlight w:val="none"/>
              </w:rPr>
            </w:pPr>
            <w:r>
              <w:rPr>
                <w:color w:val="000000"/>
                <w:kern w:val="0"/>
                <w:sz w:val="24"/>
                <w:highlight w:val="none"/>
              </w:rPr>
              <w:t>5</w:t>
            </w:r>
          </w:p>
        </w:tc>
        <w:tc>
          <w:tcPr>
            <w:tcW w:w="976" w:type="pct"/>
            <w:noWrap w:val="0"/>
            <w:vAlign w:val="center"/>
          </w:tcPr>
          <w:p w14:paraId="5CDB5D9B">
            <w:pPr>
              <w:widowControl/>
              <w:jc w:val="left"/>
              <w:rPr>
                <w:color w:val="000000"/>
                <w:kern w:val="0"/>
                <w:sz w:val="24"/>
                <w:highlight w:val="none"/>
              </w:rPr>
            </w:pPr>
            <w:r>
              <w:rPr>
                <w:color w:val="000000"/>
                <w:kern w:val="0"/>
                <w:sz w:val="24"/>
                <w:highlight w:val="none"/>
              </w:rPr>
              <w:t>响应有效期</w:t>
            </w:r>
          </w:p>
        </w:tc>
        <w:tc>
          <w:tcPr>
            <w:tcW w:w="3620" w:type="pct"/>
            <w:noWrap w:val="0"/>
            <w:vAlign w:val="center"/>
          </w:tcPr>
          <w:p w14:paraId="206C16AA">
            <w:pPr>
              <w:widowControl/>
              <w:jc w:val="left"/>
              <w:rPr>
                <w:color w:val="000000"/>
                <w:kern w:val="0"/>
                <w:sz w:val="24"/>
                <w:highlight w:val="none"/>
              </w:rPr>
            </w:pPr>
            <w:r>
              <w:rPr>
                <w:rFonts w:hint="eastAsia"/>
                <w:color w:val="000000"/>
                <w:kern w:val="0"/>
                <w:sz w:val="24"/>
                <w:highlight w:val="none"/>
              </w:rPr>
              <w:t>响应</w:t>
            </w:r>
            <w:r>
              <w:rPr>
                <w:color w:val="000000"/>
                <w:kern w:val="0"/>
                <w:sz w:val="24"/>
                <w:highlight w:val="none"/>
              </w:rPr>
              <w:t>文件中承诺的响应有效期满足</w:t>
            </w:r>
            <w:r>
              <w:rPr>
                <w:rFonts w:hint="eastAsia"/>
                <w:color w:val="000000"/>
                <w:kern w:val="0"/>
                <w:sz w:val="24"/>
                <w:highlight w:val="none"/>
              </w:rPr>
              <w:t>征集</w:t>
            </w:r>
            <w:r>
              <w:rPr>
                <w:color w:val="000000"/>
                <w:kern w:val="0"/>
                <w:sz w:val="24"/>
                <w:highlight w:val="none"/>
              </w:rPr>
              <w:t>文件中载明的响应有效期的；</w:t>
            </w:r>
          </w:p>
        </w:tc>
      </w:tr>
      <w:tr w14:paraId="5B9DC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4" w:type="pct"/>
            <w:noWrap w:val="0"/>
            <w:vAlign w:val="center"/>
          </w:tcPr>
          <w:p w14:paraId="1B7ED534">
            <w:pPr>
              <w:widowControl/>
              <w:jc w:val="center"/>
              <w:rPr>
                <w:color w:val="000000"/>
                <w:kern w:val="0"/>
                <w:sz w:val="24"/>
                <w:highlight w:val="none"/>
              </w:rPr>
            </w:pPr>
            <w:r>
              <w:rPr>
                <w:color w:val="000000"/>
                <w:kern w:val="0"/>
                <w:sz w:val="24"/>
                <w:highlight w:val="none"/>
              </w:rPr>
              <w:t>6</w:t>
            </w:r>
          </w:p>
        </w:tc>
        <w:tc>
          <w:tcPr>
            <w:tcW w:w="976" w:type="pct"/>
            <w:noWrap w:val="0"/>
            <w:vAlign w:val="center"/>
          </w:tcPr>
          <w:p w14:paraId="2C173C27">
            <w:pPr>
              <w:widowControl/>
              <w:jc w:val="left"/>
              <w:rPr>
                <w:color w:val="000000"/>
                <w:kern w:val="0"/>
                <w:sz w:val="24"/>
                <w:highlight w:val="none"/>
              </w:rPr>
            </w:pPr>
            <w:r>
              <w:rPr>
                <w:color w:val="000000"/>
                <w:kern w:val="0"/>
                <w:sz w:val="24"/>
                <w:highlight w:val="none"/>
              </w:rPr>
              <w:t>实质性格式</w:t>
            </w:r>
          </w:p>
        </w:tc>
        <w:tc>
          <w:tcPr>
            <w:tcW w:w="3620" w:type="pct"/>
            <w:noWrap w:val="0"/>
            <w:vAlign w:val="center"/>
          </w:tcPr>
          <w:p w14:paraId="39C9F33E">
            <w:pPr>
              <w:widowControl/>
              <w:jc w:val="left"/>
              <w:rPr>
                <w:color w:val="000000"/>
                <w:kern w:val="0"/>
                <w:sz w:val="24"/>
                <w:highlight w:val="none"/>
              </w:rPr>
            </w:pPr>
            <w:r>
              <w:rPr>
                <w:kern w:val="0"/>
                <w:sz w:val="24"/>
                <w:highlight w:val="none"/>
              </w:rPr>
              <w:t>标记为“实质性格式”的文件均按</w:t>
            </w:r>
            <w:r>
              <w:rPr>
                <w:rFonts w:hint="eastAsia"/>
                <w:kern w:val="0"/>
                <w:sz w:val="24"/>
                <w:highlight w:val="none"/>
              </w:rPr>
              <w:t>征集</w:t>
            </w:r>
            <w:r>
              <w:rPr>
                <w:kern w:val="0"/>
                <w:sz w:val="24"/>
                <w:highlight w:val="none"/>
              </w:rPr>
              <w:t>文件要求提供且签署、盖章的；</w:t>
            </w:r>
          </w:p>
        </w:tc>
      </w:tr>
      <w:tr w14:paraId="46445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4" w:type="pct"/>
            <w:noWrap w:val="0"/>
            <w:vAlign w:val="center"/>
          </w:tcPr>
          <w:p w14:paraId="4C92AC4F">
            <w:pPr>
              <w:widowControl/>
              <w:jc w:val="center"/>
              <w:rPr>
                <w:color w:val="000000"/>
                <w:kern w:val="0"/>
                <w:sz w:val="24"/>
                <w:highlight w:val="none"/>
              </w:rPr>
            </w:pPr>
            <w:r>
              <w:rPr>
                <w:rFonts w:hint="eastAsia"/>
                <w:color w:val="000000"/>
                <w:kern w:val="0"/>
                <w:sz w:val="24"/>
                <w:highlight w:val="none"/>
              </w:rPr>
              <w:t>7</w:t>
            </w:r>
          </w:p>
        </w:tc>
        <w:tc>
          <w:tcPr>
            <w:tcW w:w="976" w:type="pct"/>
            <w:noWrap w:val="0"/>
            <w:vAlign w:val="center"/>
          </w:tcPr>
          <w:p w14:paraId="0040AA71">
            <w:pPr>
              <w:widowControl/>
              <w:jc w:val="left"/>
              <w:rPr>
                <w:color w:val="000000"/>
                <w:kern w:val="0"/>
                <w:sz w:val="24"/>
                <w:highlight w:val="none"/>
              </w:rPr>
            </w:pPr>
            <w:r>
              <w:rPr>
                <w:color w:val="000000"/>
                <w:kern w:val="0"/>
                <w:sz w:val="24"/>
                <w:highlight w:val="none"/>
              </w:rPr>
              <w:t>公平竞争</w:t>
            </w:r>
          </w:p>
        </w:tc>
        <w:tc>
          <w:tcPr>
            <w:tcW w:w="3620" w:type="pct"/>
            <w:noWrap w:val="0"/>
            <w:vAlign w:val="center"/>
          </w:tcPr>
          <w:p w14:paraId="4E720185">
            <w:pPr>
              <w:widowControl/>
              <w:jc w:val="left"/>
              <w:rPr>
                <w:color w:val="000000"/>
                <w:kern w:val="0"/>
                <w:sz w:val="24"/>
                <w:highlight w:val="none"/>
              </w:rPr>
            </w:pPr>
            <w:r>
              <w:rPr>
                <w:color w:val="000000"/>
                <w:sz w:val="24"/>
                <w:highlight w:val="none"/>
              </w:rPr>
              <w:t>供应商遵循公平竞争的原则，不存在恶意串通，妨碍其他供应商的竞争行为，不存在损害</w:t>
            </w:r>
            <w:r>
              <w:rPr>
                <w:rFonts w:hint="eastAsia"/>
                <w:sz w:val="24"/>
                <w:highlight w:val="none"/>
              </w:rPr>
              <w:t>征集人</w:t>
            </w:r>
            <w:r>
              <w:rPr>
                <w:color w:val="000000"/>
                <w:sz w:val="24"/>
                <w:highlight w:val="none"/>
              </w:rPr>
              <w:t>或者其他供应商的合法权益情形的；</w:t>
            </w:r>
          </w:p>
        </w:tc>
      </w:tr>
      <w:tr w14:paraId="74552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4" w:type="pct"/>
            <w:noWrap w:val="0"/>
            <w:vAlign w:val="center"/>
          </w:tcPr>
          <w:p w14:paraId="7745C640">
            <w:pPr>
              <w:widowControl/>
              <w:jc w:val="center"/>
              <w:rPr>
                <w:color w:val="000000"/>
                <w:kern w:val="0"/>
                <w:sz w:val="24"/>
                <w:highlight w:val="none"/>
              </w:rPr>
            </w:pPr>
            <w:r>
              <w:rPr>
                <w:color w:val="000000"/>
                <w:kern w:val="0"/>
                <w:sz w:val="24"/>
                <w:highlight w:val="none"/>
              </w:rPr>
              <w:t>8</w:t>
            </w:r>
          </w:p>
        </w:tc>
        <w:tc>
          <w:tcPr>
            <w:tcW w:w="976" w:type="pct"/>
            <w:noWrap w:val="0"/>
            <w:vAlign w:val="center"/>
          </w:tcPr>
          <w:p w14:paraId="57F3D4F6">
            <w:pPr>
              <w:widowControl/>
              <w:jc w:val="left"/>
              <w:rPr>
                <w:color w:val="000000"/>
                <w:kern w:val="0"/>
                <w:sz w:val="24"/>
                <w:highlight w:val="none"/>
              </w:rPr>
            </w:pPr>
            <w:r>
              <w:rPr>
                <w:color w:val="000000"/>
                <w:kern w:val="0"/>
                <w:sz w:val="24"/>
                <w:highlight w:val="none"/>
              </w:rPr>
              <w:t>附加条件</w:t>
            </w:r>
          </w:p>
        </w:tc>
        <w:tc>
          <w:tcPr>
            <w:tcW w:w="3620" w:type="pct"/>
            <w:noWrap w:val="0"/>
            <w:vAlign w:val="center"/>
          </w:tcPr>
          <w:p w14:paraId="50312A1A">
            <w:pPr>
              <w:widowControl/>
              <w:jc w:val="left"/>
              <w:rPr>
                <w:color w:val="000000"/>
                <w:kern w:val="0"/>
                <w:sz w:val="24"/>
                <w:highlight w:val="none"/>
              </w:rPr>
            </w:pPr>
            <w:r>
              <w:rPr>
                <w:color w:val="000000"/>
                <w:kern w:val="0"/>
                <w:sz w:val="24"/>
                <w:highlight w:val="none"/>
              </w:rPr>
              <w:t>响应文件未含有</w:t>
            </w:r>
            <w:r>
              <w:rPr>
                <w:rFonts w:hint="eastAsia"/>
                <w:sz w:val="24"/>
                <w:highlight w:val="none"/>
              </w:rPr>
              <w:t>征集人</w:t>
            </w:r>
            <w:r>
              <w:rPr>
                <w:color w:val="000000"/>
                <w:kern w:val="0"/>
                <w:sz w:val="24"/>
                <w:highlight w:val="none"/>
              </w:rPr>
              <w:t>不能接受的附加条件的；</w:t>
            </w:r>
          </w:p>
        </w:tc>
      </w:tr>
      <w:tr w14:paraId="38A7C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4" w:type="pct"/>
            <w:noWrap w:val="0"/>
            <w:vAlign w:val="center"/>
          </w:tcPr>
          <w:p w14:paraId="781DC08E">
            <w:pPr>
              <w:widowControl/>
              <w:jc w:val="center"/>
              <w:rPr>
                <w:color w:val="000000"/>
                <w:kern w:val="0"/>
                <w:sz w:val="24"/>
                <w:highlight w:val="none"/>
              </w:rPr>
            </w:pPr>
            <w:r>
              <w:rPr>
                <w:color w:val="000000"/>
                <w:kern w:val="0"/>
                <w:sz w:val="24"/>
                <w:highlight w:val="none"/>
              </w:rPr>
              <w:t>9</w:t>
            </w:r>
          </w:p>
        </w:tc>
        <w:tc>
          <w:tcPr>
            <w:tcW w:w="976" w:type="pct"/>
            <w:noWrap w:val="0"/>
            <w:vAlign w:val="center"/>
          </w:tcPr>
          <w:p w14:paraId="0C031CCA">
            <w:pPr>
              <w:widowControl/>
              <w:jc w:val="left"/>
              <w:rPr>
                <w:color w:val="000000"/>
                <w:kern w:val="0"/>
                <w:sz w:val="24"/>
                <w:highlight w:val="none"/>
              </w:rPr>
            </w:pPr>
            <w:r>
              <w:rPr>
                <w:color w:val="000000"/>
                <w:kern w:val="0"/>
                <w:sz w:val="24"/>
                <w:highlight w:val="none"/>
              </w:rPr>
              <w:t>其他无效情形</w:t>
            </w:r>
          </w:p>
        </w:tc>
        <w:tc>
          <w:tcPr>
            <w:tcW w:w="3620" w:type="pct"/>
            <w:noWrap w:val="0"/>
            <w:vAlign w:val="center"/>
          </w:tcPr>
          <w:p w14:paraId="4EBEB13C">
            <w:pPr>
              <w:widowControl/>
              <w:jc w:val="left"/>
              <w:rPr>
                <w:color w:val="000000"/>
                <w:kern w:val="0"/>
                <w:sz w:val="24"/>
                <w:highlight w:val="none"/>
              </w:rPr>
            </w:pPr>
            <w:r>
              <w:rPr>
                <w:color w:val="000000"/>
                <w:sz w:val="24"/>
                <w:highlight w:val="none"/>
              </w:rPr>
              <w:t>供应商、响应文件不存在不符合法律、法规和征集文件规定的其他无效情形。</w:t>
            </w:r>
          </w:p>
        </w:tc>
      </w:tr>
    </w:tbl>
    <w:p w14:paraId="50B8890D">
      <w:pPr>
        <w:numPr>
          <w:ilvl w:val="0"/>
          <w:numId w:val="13"/>
        </w:numPr>
        <w:tabs>
          <w:tab w:val="left" w:pos="1080"/>
          <w:tab w:val="left" w:pos="1589"/>
        </w:tabs>
        <w:snapToGrid w:val="0"/>
        <w:spacing w:line="360" w:lineRule="auto"/>
        <w:rPr>
          <w:sz w:val="24"/>
          <w:highlight w:val="none"/>
        </w:rPr>
        <w:sectPr>
          <w:headerReference r:id="rId5" w:type="first"/>
          <w:footerReference r:id="rId7" w:type="first"/>
          <w:headerReference r:id="rId4" w:type="even"/>
          <w:footerReference r:id="rId6" w:type="even"/>
          <w:pgSz w:w="11907" w:h="16840"/>
          <w:pgMar w:top="1418" w:right="1134" w:bottom="1418" w:left="1701" w:header="851" w:footer="851" w:gutter="0"/>
          <w:cols w:space="720" w:num="1"/>
          <w:docGrid w:linePitch="462" w:charSpace="0"/>
        </w:sectPr>
      </w:pPr>
    </w:p>
    <w:p w14:paraId="3396958C">
      <w:pPr>
        <w:numPr>
          <w:ilvl w:val="0"/>
          <w:numId w:val="12"/>
        </w:numPr>
        <w:tabs>
          <w:tab w:val="left" w:pos="360"/>
        </w:tabs>
        <w:snapToGrid w:val="0"/>
        <w:spacing w:line="360" w:lineRule="auto"/>
        <w:outlineLvl w:val="1"/>
        <w:rPr>
          <w:sz w:val="24"/>
          <w:highlight w:val="none"/>
        </w:rPr>
      </w:pPr>
      <w:r>
        <w:rPr>
          <w:rFonts w:hint="eastAsia"/>
          <w:sz w:val="24"/>
          <w:highlight w:val="none"/>
        </w:rPr>
        <w:t>响应</w:t>
      </w:r>
      <w:r>
        <w:rPr>
          <w:sz w:val="24"/>
          <w:highlight w:val="none"/>
        </w:rPr>
        <w:t>文件有关事项的澄清或者说明</w:t>
      </w:r>
    </w:p>
    <w:p w14:paraId="37F2258C">
      <w:pPr>
        <w:numPr>
          <w:ilvl w:val="1"/>
          <w:numId w:val="12"/>
        </w:numPr>
        <w:tabs>
          <w:tab w:val="left" w:pos="1080"/>
        </w:tabs>
        <w:snapToGrid w:val="0"/>
        <w:spacing w:line="360" w:lineRule="auto"/>
        <w:ind w:left="1077" w:hanging="720"/>
        <w:rPr>
          <w:rFonts w:hint="eastAsia"/>
          <w:sz w:val="24"/>
          <w:highlight w:val="none"/>
        </w:rPr>
      </w:pPr>
      <w:r>
        <w:rPr>
          <w:sz w:val="24"/>
          <w:highlight w:val="none"/>
        </w:rPr>
        <w:t>评审过程中，评审委员会将以书面形式要求</w:t>
      </w:r>
      <w:r>
        <w:rPr>
          <w:rFonts w:hint="eastAsia"/>
          <w:sz w:val="24"/>
          <w:highlight w:val="none"/>
        </w:rPr>
        <w:t>供应商</w:t>
      </w:r>
      <w:r>
        <w:rPr>
          <w:sz w:val="24"/>
          <w:highlight w:val="none"/>
        </w:rPr>
        <w:t>对其</w:t>
      </w:r>
      <w:r>
        <w:rPr>
          <w:rFonts w:hint="eastAsia"/>
          <w:sz w:val="24"/>
          <w:highlight w:val="none"/>
        </w:rPr>
        <w:t>响应</w:t>
      </w:r>
      <w:r>
        <w:rPr>
          <w:sz w:val="24"/>
          <w:highlight w:val="none"/>
        </w:rPr>
        <w:t>文件中含义不明确、同类问题表述不一致或者有明显文字和计算错误的内容，作出必要的澄清、说明或者补正。供应商的澄清、说明或者补正应当采用书面形式，并加盖公章，或者由法定代表人（</w:t>
      </w:r>
      <w:bookmarkStart w:id="758" w:name="_Hlk144225607"/>
      <w:r>
        <w:rPr>
          <w:color w:val="000000"/>
          <w:sz w:val="24"/>
          <w:szCs w:val="20"/>
          <w:highlight w:val="none"/>
        </w:rPr>
        <w:t>若</w:t>
      </w:r>
      <w:r>
        <w:rPr>
          <w:rFonts w:hint="eastAsia"/>
          <w:color w:val="000000"/>
          <w:sz w:val="24"/>
          <w:szCs w:val="20"/>
          <w:highlight w:val="none"/>
        </w:rPr>
        <w:t>供应商</w:t>
      </w:r>
      <w:r>
        <w:rPr>
          <w:color w:val="000000"/>
          <w:sz w:val="24"/>
          <w:szCs w:val="20"/>
          <w:highlight w:val="none"/>
        </w:rPr>
        <w:t>为事业单位或其他组织或分支机构，可为单位负责人</w:t>
      </w:r>
      <w:bookmarkEnd w:id="758"/>
      <w:r>
        <w:rPr>
          <w:sz w:val="24"/>
          <w:highlight w:val="none"/>
        </w:rPr>
        <w:t>）或其授权的代表签字。</w:t>
      </w:r>
      <w:r>
        <w:rPr>
          <w:rFonts w:hint="eastAsia"/>
          <w:color w:val="000000"/>
          <w:sz w:val="24"/>
          <w:szCs w:val="20"/>
          <w:highlight w:val="none"/>
        </w:rPr>
        <w:t>供应商</w:t>
      </w:r>
      <w:r>
        <w:rPr>
          <w:sz w:val="24"/>
          <w:highlight w:val="none"/>
        </w:rPr>
        <w:t>的澄清、说明或者补正不得超出</w:t>
      </w:r>
      <w:r>
        <w:rPr>
          <w:rFonts w:hint="eastAsia"/>
          <w:sz w:val="24"/>
          <w:highlight w:val="none"/>
        </w:rPr>
        <w:t>响应</w:t>
      </w:r>
      <w:r>
        <w:rPr>
          <w:sz w:val="24"/>
          <w:highlight w:val="none"/>
        </w:rPr>
        <w:t>文件的范围或者改变</w:t>
      </w:r>
      <w:r>
        <w:rPr>
          <w:rFonts w:hint="eastAsia"/>
          <w:sz w:val="24"/>
          <w:highlight w:val="none"/>
        </w:rPr>
        <w:t>响应</w:t>
      </w:r>
      <w:r>
        <w:rPr>
          <w:sz w:val="24"/>
          <w:highlight w:val="none"/>
        </w:rPr>
        <w:t>文件的实质性内容。澄清文件将作为</w:t>
      </w:r>
      <w:r>
        <w:rPr>
          <w:rFonts w:hint="eastAsia"/>
          <w:sz w:val="24"/>
          <w:highlight w:val="none"/>
        </w:rPr>
        <w:t>响应</w:t>
      </w:r>
      <w:r>
        <w:rPr>
          <w:sz w:val="24"/>
          <w:highlight w:val="none"/>
        </w:rPr>
        <w:t>文件内容的一部分。</w:t>
      </w:r>
    </w:p>
    <w:p w14:paraId="3D72A34E">
      <w:pPr>
        <w:numPr>
          <w:ilvl w:val="1"/>
          <w:numId w:val="12"/>
        </w:numPr>
        <w:tabs>
          <w:tab w:val="left" w:pos="1080"/>
        </w:tabs>
        <w:snapToGrid w:val="0"/>
        <w:spacing w:line="360" w:lineRule="auto"/>
        <w:ind w:left="1077" w:hanging="720"/>
        <w:rPr>
          <w:sz w:val="24"/>
          <w:highlight w:val="none"/>
        </w:rPr>
      </w:pPr>
      <w:r>
        <w:rPr>
          <w:sz w:val="24"/>
          <w:highlight w:val="none"/>
        </w:rPr>
        <w:t>响应报价须包含</w:t>
      </w:r>
      <w:r>
        <w:rPr>
          <w:rFonts w:hint="eastAsia"/>
          <w:sz w:val="24"/>
          <w:highlight w:val="none"/>
        </w:rPr>
        <w:t>征集</w:t>
      </w:r>
      <w:r>
        <w:rPr>
          <w:sz w:val="24"/>
          <w:highlight w:val="none"/>
        </w:rPr>
        <w:t>文件全部内容，如分项报价表有缺漏视为已含在其他各项报价中，将不对响应总价进行调整。评审委员会有权要求</w:t>
      </w:r>
      <w:r>
        <w:rPr>
          <w:rFonts w:hint="eastAsia"/>
          <w:color w:val="000000"/>
          <w:sz w:val="24"/>
          <w:szCs w:val="20"/>
          <w:highlight w:val="none"/>
        </w:rPr>
        <w:t>供应商</w:t>
      </w:r>
      <w:r>
        <w:rPr>
          <w:sz w:val="24"/>
          <w:highlight w:val="none"/>
        </w:rPr>
        <w:t>在评审现场合理的时间内对此进行书面确认，</w:t>
      </w:r>
      <w:r>
        <w:rPr>
          <w:rFonts w:hint="eastAsia"/>
          <w:color w:val="000000"/>
          <w:sz w:val="24"/>
          <w:szCs w:val="20"/>
          <w:highlight w:val="none"/>
        </w:rPr>
        <w:t>供应商</w:t>
      </w:r>
      <w:r>
        <w:rPr>
          <w:sz w:val="24"/>
          <w:highlight w:val="none"/>
        </w:rPr>
        <w:t>不确认的，视为将一个采购包中的内容拆分响应，其</w:t>
      </w:r>
      <w:r>
        <w:rPr>
          <w:b/>
          <w:sz w:val="24"/>
          <w:highlight w:val="none"/>
        </w:rPr>
        <w:t>响应无效</w:t>
      </w:r>
      <w:r>
        <w:rPr>
          <w:sz w:val="24"/>
          <w:highlight w:val="none"/>
        </w:rPr>
        <w:t>。</w:t>
      </w:r>
    </w:p>
    <w:p w14:paraId="350CC2ED">
      <w:pPr>
        <w:numPr>
          <w:ilvl w:val="1"/>
          <w:numId w:val="12"/>
        </w:numPr>
        <w:tabs>
          <w:tab w:val="left" w:pos="1080"/>
        </w:tabs>
        <w:snapToGrid w:val="0"/>
        <w:spacing w:line="360" w:lineRule="auto"/>
        <w:ind w:left="1077" w:hanging="720"/>
        <w:rPr>
          <w:sz w:val="24"/>
          <w:highlight w:val="none"/>
        </w:rPr>
      </w:pPr>
      <w:r>
        <w:rPr>
          <w:rFonts w:hint="eastAsia"/>
          <w:sz w:val="24"/>
          <w:highlight w:val="none"/>
        </w:rPr>
        <w:t>响应</w:t>
      </w:r>
      <w:r>
        <w:rPr>
          <w:sz w:val="24"/>
          <w:highlight w:val="none"/>
        </w:rPr>
        <w:t>文件报价出现前后不一致的，按照下列规定修正：</w:t>
      </w:r>
    </w:p>
    <w:p w14:paraId="47D4ED4C">
      <w:pPr>
        <w:numPr>
          <w:ilvl w:val="2"/>
          <w:numId w:val="12"/>
        </w:numPr>
        <w:tabs>
          <w:tab w:val="left" w:pos="1080"/>
          <w:tab w:val="left" w:pos="1589"/>
          <w:tab w:val="left" w:pos="2035"/>
          <w:tab w:val="left" w:pos="2114"/>
        </w:tabs>
        <w:snapToGrid w:val="0"/>
        <w:spacing w:line="360" w:lineRule="auto"/>
        <w:ind w:left="2035"/>
        <w:rPr>
          <w:sz w:val="24"/>
          <w:highlight w:val="none"/>
        </w:rPr>
      </w:pPr>
      <w:r>
        <w:rPr>
          <w:rFonts w:hint="eastAsia"/>
          <w:sz w:val="24"/>
          <w:highlight w:val="none"/>
        </w:rPr>
        <w:t>征集</w:t>
      </w:r>
      <w:r>
        <w:rPr>
          <w:sz w:val="24"/>
          <w:highlight w:val="none"/>
        </w:rPr>
        <w:t>文件对于报价修正是否另有规定：</w:t>
      </w:r>
    </w:p>
    <w:p w14:paraId="645E0FE3">
      <w:pPr>
        <w:tabs>
          <w:tab w:val="left" w:pos="1080"/>
          <w:tab w:val="left" w:pos="1589"/>
          <w:tab w:val="left" w:pos="2035"/>
          <w:tab w:val="left" w:pos="2114"/>
        </w:tabs>
        <w:snapToGrid w:val="0"/>
        <w:spacing w:line="360" w:lineRule="auto"/>
        <w:ind w:left="2035"/>
        <w:rPr>
          <w:sz w:val="24"/>
          <w:highlight w:val="none"/>
          <w:u w:val="single"/>
        </w:rPr>
      </w:pPr>
      <w:r>
        <w:rPr>
          <w:sz w:val="24"/>
          <w:highlight w:val="none"/>
        </w:rPr>
        <w:t>□有，具体规定为：______________</w:t>
      </w:r>
    </w:p>
    <w:p w14:paraId="2CC4D183">
      <w:pPr>
        <w:tabs>
          <w:tab w:val="left" w:pos="1080"/>
          <w:tab w:val="left" w:pos="1589"/>
          <w:tab w:val="left" w:pos="2035"/>
          <w:tab w:val="left" w:pos="2114"/>
        </w:tabs>
        <w:snapToGrid w:val="0"/>
        <w:spacing w:line="360" w:lineRule="auto"/>
        <w:ind w:left="2035"/>
        <w:rPr>
          <w:sz w:val="24"/>
          <w:highlight w:val="none"/>
        </w:rPr>
      </w:pPr>
      <w:r>
        <w:rPr>
          <w:b/>
          <w:sz w:val="24"/>
          <w:highlight w:val="none"/>
        </w:rPr>
        <w:t>■</w:t>
      </w:r>
      <w:r>
        <w:rPr>
          <w:sz w:val="24"/>
          <w:highlight w:val="none"/>
        </w:rPr>
        <w:t>无，按下述2.4.2-2.4.8项规定修正。</w:t>
      </w:r>
    </w:p>
    <w:p w14:paraId="23AE70DA">
      <w:pPr>
        <w:numPr>
          <w:ilvl w:val="2"/>
          <w:numId w:val="12"/>
        </w:numPr>
        <w:tabs>
          <w:tab w:val="left" w:pos="2035"/>
          <w:tab w:val="left" w:pos="2114"/>
          <w:tab w:val="left" w:pos="2977"/>
        </w:tabs>
        <w:snapToGrid w:val="0"/>
        <w:spacing w:line="360" w:lineRule="auto"/>
        <w:ind w:left="2035"/>
        <w:rPr>
          <w:color w:val="000000"/>
          <w:sz w:val="24"/>
          <w:highlight w:val="none"/>
        </w:rPr>
      </w:pPr>
      <w:r>
        <w:rPr>
          <w:color w:val="000000"/>
          <w:sz w:val="24"/>
          <w:highlight w:val="none"/>
        </w:rPr>
        <w:t>单独递交的开启一览表（报价表）与</w:t>
      </w:r>
      <w:r>
        <w:rPr>
          <w:rFonts w:hint="eastAsia"/>
          <w:color w:val="000000"/>
          <w:sz w:val="24"/>
          <w:highlight w:val="none"/>
        </w:rPr>
        <w:t>响应</w:t>
      </w:r>
      <w:r>
        <w:rPr>
          <w:color w:val="000000"/>
          <w:sz w:val="24"/>
          <w:highlight w:val="none"/>
        </w:rPr>
        <w:t>文件中开启一览表（报价表）内容不一致的，以单独递交的开启一览表（报价表）为准；</w:t>
      </w:r>
    </w:p>
    <w:p w14:paraId="14E30644">
      <w:pPr>
        <w:numPr>
          <w:ilvl w:val="2"/>
          <w:numId w:val="12"/>
        </w:numPr>
        <w:tabs>
          <w:tab w:val="left" w:pos="2035"/>
          <w:tab w:val="left" w:pos="2114"/>
          <w:tab w:val="left" w:pos="2977"/>
        </w:tabs>
        <w:snapToGrid w:val="0"/>
        <w:spacing w:line="360" w:lineRule="auto"/>
        <w:ind w:left="2035"/>
        <w:rPr>
          <w:color w:val="000000"/>
          <w:sz w:val="24"/>
          <w:highlight w:val="none"/>
        </w:rPr>
      </w:pPr>
      <w:r>
        <w:rPr>
          <w:rFonts w:hint="eastAsia"/>
          <w:color w:val="000000"/>
          <w:sz w:val="24"/>
          <w:highlight w:val="none"/>
        </w:rPr>
        <w:t>响应</w:t>
      </w:r>
      <w:r>
        <w:rPr>
          <w:color w:val="000000"/>
          <w:sz w:val="24"/>
          <w:highlight w:val="none"/>
        </w:rPr>
        <w:t>文件中开启一览表（报价表）内容与</w:t>
      </w:r>
      <w:r>
        <w:rPr>
          <w:rFonts w:hint="eastAsia"/>
          <w:color w:val="000000"/>
          <w:sz w:val="24"/>
          <w:highlight w:val="none"/>
        </w:rPr>
        <w:t>响应</w:t>
      </w:r>
      <w:r>
        <w:rPr>
          <w:color w:val="000000"/>
          <w:sz w:val="24"/>
          <w:highlight w:val="none"/>
        </w:rPr>
        <w:t>文件中相应内容不一致的，以开启一览表（报价表）为准；</w:t>
      </w:r>
    </w:p>
    <w:p w14:paraId="4B4DA4C8">
      <w:pPr>
        <w:numPr>
          <w:ilvl w:val="2"/>
          <w:numId w:val="12"/>
        </w:numPr>
        <w:tabs>
          <w:tab w:val="left" w:pos="2035"/>
          <w:tab w:val="left" w:pos="2114"/>
          <w:tab w:val="left" w:pos="2977"/>
        </w:tabs>
        <w:snapToGrid w:val="0"/>
        <w:spacing w:line="360" w:lineRule="auto"/>
        <w:ind w:left="2035"/>
        <w:rPr>
          <w:color w:val="000000"/>
          <w:sz w:val="24"/>
          <w:highlight w:val="none"/>
        </w:rPr>
      </w:pPr>
      <w:r>
        <w:rPr>
          <w:color w:val="000000"/>
          <w:sz w:val="24"/>
          <w:highlight w:val="none"/>
        </w:rPr>
        <w:t>大写金额和小写金额不一致的，以大写金额为准；</w:t>
      </w:r>
    </w:p>
    <w:p w14:paraId="6BFF54D5">
      <w:pPr>
        <w:numPr>
          <w:ilvl w:val="2"/>
          <w:numId w:val="12"/>
        </w:numPr>
        <w:tabs>
          <w:tab w:val="left" w:pos="2035"/>
          <w:tab w:val="left" w:pos="2114"/>
          <w:tab w:val="left" w:pos="2977"/>
        </w:tabs>
        <w:snapToGrid w:val="0"/>
        <w:spacing w:line="360" w:lineRule="auto"/>
        <w:ind w:left="2035"/>
        <w:rPr>
          <w:color w:val="000000"/>
          <w:sz w:val="24"/>
          <w:highlight w:val="none"/>
        </w:rPr>
      </w:pPr>
      <w:r>
        <w:rPr>
          <w:color w:val="000000"/>
          <w:sz w:val="24"/>
          <w:highlight w:val="none"/>
        </w:rPr>
        <w:t>单价金额小数点或者百分比有明显错位的，以开启一览表的总价为准，并修改单价；</w:t>
      </w:r>
    </w:p>
    <w:p w14:paraId="25C6F14C">
      <w:pPr>
        <w:numPr>
          <w:ilvl w:val="2"/>
          <w:numId w:val="12"/>
        </w:numPr>
        <w:tabs>
          <w:tab w:val="left" w:pos="2035"/>
          <w:tab w:val="left" w:pos="2114"/>
          <w:tab w:val="left" w:pos="2977"/>
        </w:tabs>
        <w:snapToGrid w:val="0"/>
        <w:spacing w:line="360" w:lineRule="auto"/>
        <w:ind w:left="2035"/>
        <w:rPr>
          <w:color w:val="000000"/>
          <w:sz w:val="24"/>
          <w:highlight w:val="none"/>
        </w:rPr>
      </w:pPr>
      <w:r>
        <w:rPr>
          <w:color w:val="000000"/>
          <w:sz w:val="24"/>
          <w:highlight w:val="none"/>
        </w:rPr>
        <w:t>总价金额与按单价汇总金额不一致的，以单价金额计算结果为准。</w:t>
      </w:r>
    </w:p>
    <w:p w14:paraId="2C4523F1">
      <w:pPr>
        <w:numPr>
          <w:ilvl w:val="2"/>
          <w:numId w:val="12"/>
        </w:numPr>
        <w:tabs>
          <w:tab w:val="left" w:pos="1080"/>
          <w:tab w:val="left" w:pos="1589"/>
          <w:tab w:val="left" w:pos="2035"/>
          <w:tab w:val="left" w:pos="2114"/>
        </w:tabs>
        <w:snapToGrid w:val="0"/>
        <w:spacing w:line="360" w:lineRule="auto"/>
        <w:ind w:left="2035"/>
        <w:rPr>
          <w:sz w:val="24"/>
          <w:highlight w:val="none"/>
        </w:rPr>
      </w:pPr>
      <w:r>
        <w:rPr>
          <w:sz w:val="24"/>
          <w:highlight w:val="none"/>
        </w:rPr>
        <w:t>同时出现两种以上不一致的，按照前款规定的顺序修正。</w:t>
      </w:r>
    </w:p>
    <w:p w14:paraId="6F3B1E21">
      <w:pPr>
        <w:numPr>
          <w:ilvl w:val="2"/>
          <w:numId w:val="12"/>
        </w:numPr>
        <w:tabs>
          <w:tab w:val="left" w:pos="1080"/>
          <w:tab w:val="left" w:pos="1589"/>
          <w:tab w:val="left" w:pos="2035"/>
          <w:tab w:val="left" w:pos="2114"/>
        </w:tabs>
        <w:snapToGrid w:val="0"/>
        <w:spacing w:line="360" w:lineRule="auto"/>
        <w:ind w:left="2035"/>
        <w:rPr>
          <w:sz w:val="24"/>
          <w:highlight w:val="none"/>
        </w:rPr>
      </w:pPr>
      <w:r>
        <w:rPr>
          <w:sz w:val="24"/>
          <w:highlight w:val="none"/>
        </w:rPr>
        <w:t>修正后的报价经</w:t>
      </w:r>
      <w:r>
        <w:rPr>
          <w:rFonts w:hint="eastAsia"/>
          <w:sz w:val="24"/>
          <w:highlight w:val="none"/>
        </w:rPr>
        <w:t>供应商</w:t>
      </w:r>
      <w:r>
        <w:rPr>
          <w:sz w:val="24"/>
          <w:highlight w:val="none"/>
        </w:rPr>
        <w:t>书面确认后产生约束力，</w:t>
      </w:r>
      <w:r>
        <w:rPr>
          <w:rFonts w:hint="eastAsia"/>
          <w:sz w:val="24"/>
          <w:highlight w:val="none"/>
        </w:rPr>
        <w:t>供应商</w:t>
      </w:r>
      <w:r>
        <w:rPr>
          <w:sz w:val="24"/>
          <w:highlight w:val="none"/>
        </w:rPr>
        <w:t>不确认的，其</w:t>
      </w:r>
      <w:r>
        <w:rPr>
          <w:b/>
          <w:sz w:val="24"/>
          <w:highlight w:val="none"/>
        </w:rPr>
        <w:t>响应无效</w:t>
      </w:r>
      <w:r>
        <w:rPr>
          <w:sz w:val="24"/>
          <w:highlight w:val="none"/>
        </w:rPr>
        <w:t>。</w:t>
      </w:r>
    </w:p>
    <w:p w14:paraId="79A9C73D">
      <w:pPr>
        <w:numPr>
          <w:ilvl w:val="1"/>
          <w:numId w:val="12"/>
        </w:numPr>
        <w:tabs>
          <w:tab w:val="left" w:pos="1080"/>
        </w:tabs>
        <w:snapToGrid w:val="0"/>
        <w:spacing w:line="360" w:lineRule="auto"/>
        <w:ind w:left="1077" w:hanging="720"/>
        <w:rPr>
          <w:sz w:val="24"/>
          <w:highlight w:val="none"/>
        </w:rPr>
      </w:pPr>
      <w:r>
        <w:rPr>
          <w:sz w:val="24"/>
          <w:highlight w:val="none"/>
        </w:rPr>
        <w:t>落实政府采购政策的价格调整：只有符合第二章《</w:t>
      </w:r>
      <w:r>
        <w:rPr>
          <w:rFonts w:hint="eastAsia"/>
          <w:sz w:val="24"/>
          <w:highlight w:val="none"/>
        </w:rPr>
        <w:t>供应商</w:t>
      </w:r>
      <w:r>
        <w:rPr>
          <w:sz w:val="24"/>
          <w:highlight w:val="none"/>
        </w:rPr>
        <w:t>须知》5.2条规定情形的，可以享受中小企业扶持政策，用扣除后的价格参加评审；否则，评审时价格不予扣除。</w:t>
      </w:r>
    </w:p>
    <w:p w14:paraId="50039779">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对于未预留份额专门面向中小企业采购的采购项目，以及预留份额项目中的非预留部分采购包，对小微企业报价给予</w:t>
      </w:r>
      <w:r>
        <w:rPr>
          <w:rFonts w:hint="eastAsia"/>
          <w:sz w:val="24"/>
          <w:highlight w:val="none"/>
          <w:u w:val="single"/>
        </w:rPr>
        <w:t xml:space="preserve"> /</w:t>
      </w:r>
      <w:r>
        <w:rPr>
          <w:sz w:val="24"/>
          <w:highlight w:val="none"/>
          <w:u w:val="single"/>
        </w:rPr>
        <w:t xml:space="preserve"> </w:t>
      </w:r>
      <w:r>
        <w:rPr>
          <w:sz w:val="24"/>
          <w:highlight w:val="none"/>
        </w:rPr>
        <w:t>%的扣除，用扣除后的价格参加评审。</w:t>
      </w:r>
    </w:p>
    <w:p w14:paraId="2806EF3D">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highlight w:val="none"/>
          <w:u w:val="single"/>
        </w:rPr>
        <w:t xml:space="preserve"> </w:t>
      </w:r>
      <w:r>
        <w:rPr>
          <w:sz w:val="24"/>
          <w:highlight w:val="none"/>
          <w:u w:val="single"/>
        </w:rPr>
        <w:t xml:space="preserve">/ </w:t>
      </w:r>
      <w:r>
        <w:rPr>
          <w:sz w:val="24"/>
          <w:highlight w:val="none"/>
        </w:rPr>
        <w:t>%的扣除，用扣除后的价格参加评审。</w:t>
      </w:r>
    </w:p>
    <w:p w14:paraId="31783669">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组成联合体或者接受分包的小微企业与联合体内其他企业、分包企业之间存在直接控股、管理关系的，不享受价格扣除优惠政策。</w:t>
      </w:r>
    </w:p>
    <w:p w14:paraId="47A112AB">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价格扣除比例对小型企业和微型企业同等对待，不作区分。</w:t>
      </w:r>
    </w:p>
    <w:p w14:paraId="602BBEFC">
      <w:pPr>
        <w:numPr>
          <w:ilvl w:val="2"/>
          <w:numId w:val="12"/>
        </w:numPr>
        <w:tabs>
          <w:tab w:val="left" w:pos="1080"/>
          <w:tab w:val="left" w:pos="1589"/>
          <w:tab w:val="left" w:pos="2035"/>
        </w:tabs>
        <w:snapToGrid w:val="0"/>
        <w:spacing w:line="360" w:lineRule="auto"/>
        <w:ind w:left="2035"/>
        <w:rPr>
          <w:sz w:val="24"/>
          <w:highlight w:val="none"/>
        </w:rPr>
      </w:pPr>
      <w:r>
        <w:rPr>
          <w:color w:val="000000"/>
          <w:sz w:val="24"/>
          <w:highlight w:val="none"/>
        </w:rPr>
        <w:t>中小企业参加政府采购活动，应当按照</w:t>
      </w:r>
      <w:r>
        <w:rPr>
          <w:rFonts w:hint="eastAsia"/>
          <w:color w:val="000000"/>
          <w:sz w:val="24"/>
          <w:highlight w:val="none"/>
        </w:rPr>
        <w:t>征集</w:t>
      </w:r>
      <w:r>
        <w:rPr>
          <w:color w:val="000000"/>
          <w:sz w:val="24"/>
          <w:highlight w:val="none"/>
        </w:rPr>
        <w:t>文件给定的格式出具《中小企业声明函》，否则不得享受相关中小企业扶持政策。</w:t>
      </w:r>
    </w:p>
    <w:p w14:paraId="0F599AA3">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监狱企业提供了由省级以上监狱管理局、戒毒管理局（含新疆生产建设兵团）出具的属于监狱企业的证明文件的，视同小微企业。</w:t>
      </w:r>
    </w:p>
    <w:p w14:paraId="266DB983">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残疾人福利性单位按</w:t>
      </w:r>
      <w:r>
        <w:rPr>
          <w:rFonts w:hint="eastAsia"/>
          <w:sz w:val="24"/>
          <w:highlight w:val="none"/>
        </w:rPr>
        <w:t>征集</w:t>
      </w:r>
      <w:r>
        <w:rPr>
          <w:sz w:val="24"/>
          <w:highlight w:val="none"/>
        </w:rPr>
        <w:t>文件要求提供了《残疾人福利性单位声明函》的，视同小微企业。</w:t>
      </w:r>
    </w:p>
    <w:p w14:paraId="63E97515">
      <w:pPr>
        <w:numPr>
          <w:ilvl w:val="2"/>
          <w:numId w:val="12"/>
        </w:numPr>
        <w:tabs>
          <w:tab w:val="left" w:pos="1080"/>
          <w:tab w:val="left" w:pos="1589"/>
          <w:tab w:val="left" w:pos="2014"/>
          <w:tab w:val="clear" w:pos="1980"/>
        </w:tabs>
        <w:snapToGrid w:val="0"/>
        <w:spacing w:line="360" w:lineRule="auto"/>
        <w:ind w:left="2035"/>
        <w:rPr>
          <w:sz w:val="24"/>
          <w:highlight w:val="none"/>
        </w:rPr>
      </w:pPr>
      <w:r>
        <w:rPr>
          <w:sz w:val="24"/>
          <w:highlight w:val="none"/>
        </w:rPr>
        <w:t>若</w:t>
      </w:r>
      <w:r>
        <w:rPr>
          <w:rFonts w:hint="eastAsia"/>
          <w:sz w:val="24"/>
          <w:highlight w:val="none"/>
        </w:rPr>
        <w:t>供应商</w:t>
      </w:r>
      <w:r>
        <w:rPr>
          <w:sz w:val="24"/>
          <w:highlight w:val="none"/>
        </w:rPr>
        <w:t>同时属于小型或微型企业、监狱企业、残疾人福利性单位中的两种及以上，将不重复享受小微企业价格扣减的优惠政策。</w:t>
      </w:r>
    </w:p>
    <w:p w14:paraId="7AFD7706">
      <w:pPr>
        <w:numPr>
          <w:ilvl w:val="0"/>
          <w:numId w:val="12"/>
        </w:numPr>
        <w:tabs>
          <w:tab w:val="left" w:pos="360"/>
        </w:tabs>
        <w:snapToGrid w:val="0"/>
        <w:spacing w:line="360" w:lineRule="auto"/>
        <w:outlineLvl w:val="1"/>
        <w:rPr>
          <w:sz w:val="24"/>
          <w:highlight w:val="none"/>
        </w:rPr>
      </w:pPr>
      <w:r>
        <w:rPr>
          <w:rFonts w:hint="eastAsia"/>
          <w:sz w:val="24"/>
          <w:highlight w:val="none"/>
        </w:rPr>
        <w:t>响应</w:t>
      </w:r>
      <w:r>
        <w:rPr>
          <w:sz w:val="24"/>
          <w:highlight w:val="none"/>
        </w:rPr>
        <w:t>文件的比较和评价</w:t>
      </w:r>
      <w:bookmarkEnd w:id="741"/>
      <w:bookmarkEnd w:id="742"/>
    </w:p>
    <w:p w14:paraId="27626938">
      <w:pPr>
        <w:numPr>
          <w:ilvl w:val="1"/>
          <w:numId w:val="12"/>
        </w:numPr>
        <w:tabs>
          <w:tab w:val="left" w:pos="1080"/>
        </w:tabs>
        <w:snapToGrid w:val="0"/>
        <w:spacing w:line="360" w:lineRule="auto"/>
        <w:ind w:left="1077" w:hanging="720"/>
        <w:rPr>
          <w:sz w:val="24"/>
          <w:highlight w:val="none"/>
        </w:rPr>
      </w:pPr>
      <w:r>
        <w:rPr>
          <w:sz w:val="24"/>
          <w:highlight w:val="none"/>
        </w:rPr>
        <w:t>评审委员会将按照</w:t>
      </w:r>
      <w:r>
        <w:rPr>
          <w:rFonts w:hint="eastAsia"/>
          <w:sz w:val="24"/>
          <w:highlight w:val="none"/>
        </w:rPr>
        <w:t>征集</w:t>
      </w:r>
      <w:r>
        <w:rPr>
          <w:sz w:val="24"/>
          <w:highlight w:val="none"/>
        </w:rPr>
        <w:t>文件中规定的评审方法和标准，对符合性审查合格的</w:t>
      </w:r>
      <w:r>
        <w:rPr>
          <w:rFonts w:hint="eastAsia"/>
          <w:sz w:val="24"/>
          <w:highlight w:val="none"/>
        </w:rPr>
        <w:t>响应</w:t>
      </w:r>
      <w:r>
        <w:rPr>
          <w:sz w:val="24"/>
          <w:highlight w:val="none"/>
        </w:rPr>
        <w:t>文件进行商务和技术评估，综合比较与评价；未通过符合性审查的</w:t>
      </w:r>
      <w:r>
        <w:rPr>
          <w:rFonts w:hint="eastAsia"/>
          <w:sz w:val="24"/>
          <w:highlight w:val="none"/>
        </w:rPr>
        <w:t>响应</w:t>
      </w:r>
      <w:r>
        <w:rPr>
          <w:sz w:val="24"/>
          <w:highlight w:val="none"/>
        </w:rPr>
        <w:t>文件不得进入比较与评价。</w:t>
      </w:r>
    </w:p>
    <w:p w14:paraId="0A54B744">
      <w:pPr>
        <w:numPr>
          <w:ilvl w:val="1"/>
          <w:numId w:val="12"/>
        </w:numPr>
        <w:tabs>
          <w:tab w:val="left" w:pos="1080"/>
        </w:tabs>
        <w:snapToGrid w:val="0"/>
        <w:spacing w:line="360" w:lineRule="auto"/>
        <w:ind w:left="1077" w:hanging="720"/>
        <w:rPr>
          <w:sz w:val="24"/>
          <w:highlight w:val="none"/>
        </w:rPr>
      </w:pPr>
      <w:r>
        <w:rPr>
          <w:sz w:val="24"/>
          <w:highlight w:val="none"/>
        </w:rPr>
        <w:t>评审方法和评审标准</w:t>
      </w:r>
    </w:p>
    <w:p w14:paraId="0C7E747A">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本项目采用的评审方法为：</w:t>
      </w:r>
    </w:p>
    <w:p w14:paraId="6DAD08CC">
      <w:pPr>
        <w:tabs>
          <w:tab w:val="left" w:pos="900"/>
          <w:tab w:val="left" w:pos="1589"/>
          <w:tab w:val="left" w:pos="1701"/>
        </w:tabs>
        <w:snapToGrid w:val="0"/>
        <w:spacing w:line="360" w:lineRule="auto"/>
        <w:ind w:left="1985"/>
        <w:rPr>
          <w:sz w:val="24"/>
          <w:highlight w:val="none"/>
        </w:rPr>
      </w:pPr>
      <w:r>
        <w:rPr>
          <w:b/>
          <w:sz w:val="24"/>
          <w:highlight w:val="none"/>
        </w:rPr>
        <w:t>■</w:t>
      </w:r>
      <w:r>
        <w:rPr>
          <w:rFonts w:hint="eastAsia"/>
          <w:sz w:val="24"/>
          <w:highlight w:val="none"/>
        </w:rPr>
        <w:t>质量</w:t>
      </w:r>
      <w:r>
        <w:rPr>
          <w:sz w:val="24"/>
          <w:highlight w:val="none"/>
        </w:rPr>
        <w:t>优先法，</w:t>
      </w:r>
      <w:r>
        <w:rPr>
          <w:rFonts w:hint="eastAsia"/>
          <w:sz w:val="24"/>
          <w:highlight w:val="none"/>
        </w:rPr>
        <w:t>由评审委员会各成员独立对通过初审（资格检查和符合性检查）的供应商提供的货物、服务进行质量综合评分，按照质量评分从高到低排序，根据征集文件规定的淘汰率或者入围供应商数量上限，确定入围供应商。</w:t>
      </w:r>
    </w:p>
    <w:p w14:paraId="33404B4D">
      <w:pPr>
        <w:numPr>
          <w:ilvl w:val="0"/>
          <w:numId w:val="12"/>
        </w:numPr>
        <w:tabs>
          <w:tab w:val="left" w:pos="360"/>
        </w:tabs>
        <w:snapToGrid w:val="0"/>
        <w:spacing w:line="360" w:lineRule="auto"/>
        <w:outlineLvl w:val="1"/>
        <w:rPr>
          <w:sz w:val="24"/>
          <w:highlight w:val="none"/>
        </w:rPr>
      </w:pPr>
      <w:r>
        <w:rPr>
          <w:rFonts w:hint="eastAsia"/>
          <w:sz w:val="24"/>
          <w:highlight w:val="none"/>
        </w:rPr>
        <w:t>入围淘汰规则</w:t>
      </w:r>
    </w:p>
    <w:p w14:paraId="14F6588D">
      <w:pPr>
        <w:numPr>
          <w:ilvl w:val="1"/>
          <w:numId w:val="12"/>
        </w:numPr>
        <w:tabs>
          <w:tab w:val="left" w:pos="1080"/>
        </w:tabs>
        <w:snapToGrid w:val="0"/>
        <w:spacing w:line="360" w:lineRule="auto"/>
        <w:ind w:left="1077" w:hanging="720"/>
        <w:rPr>
          <w:rFonts w:hint="eastAsia"/>
          <w:sz w:val="24"/>
          <w:highlight w:val="none"/>
        </w:rPr>
      </w:pPr>
      <w:r>
        <w:rPr>
          <w:rFonts w:hint="eastAsia"/>
          <w:sz w:val="24"/>
          <w:highlight w:val="none"/>
        </w:rPr>
        <w:t>本项目征集入围供应商淘汰比例为</w:t>
      </w:r>
      <w:r>
        <w:rPr>
          <w:sz w:val="24"/>
          <w:highlight w:val="none"/>
          <w:u w:val="single"/>
        </w:rPr>
        <w:t>20</w:t>
      </w:r>
      <w:r>
        <w:rPr>
          <w:rFonts w:hint="eastAsia"/>
          <w:sz w:val="24"/>
          <w:highlight w:val="none"/>
        </w:rPr>
        <w:t>%，入围供应商数量上限为</w:t>
      </w:r>
      <w:r>
        <w:rPr>
          <w:sz w:val="24"/>
          <w:highlight w:val="none"/>
          <w:u w:val="single"/>
        </w:rPr>
        <w:t>45</w:t>
      </w:r>
      <w:r>
        <w:rPr>
          <w:rFonts w:hint="eastAsia"/>
          <w:sz w:val="24"/>
          <w:highlight w:val="none"/>
        </w:rPr>
        <w:t>家，且至少淘汰</w:t>
      </w:r>
      <w:r>
        <w:rPr>
          <w:sz w:val="24"/>
          <w:highlight w:val="none"/>
          <w:u w:val="single"/>
        </w:rPr>
        <w:t>1</w:t>
      </w:r>
      <w:r>
        <w:rPr>
          <w:rFonts w:hint="eastAsia"/>
          <w:sz w:val="24"/>
          <w:highlight w:val="none"/>
        </w:rPr>
        <w:t>家供应商。当符合资格条件、实质性要求的响应供应商仅为2家时，淘汰1家供应商。当符合资格条件、实质性要求的响应供应商大于2家时，按比例淘汰供应商；当按照前款规定的淘汰比例淘汰供应商后，供应商数量仍大于入围供应商数量上限的，则按数量上限要求淘汰其余供应商。</w:t>
      </w:r>
    </w:p>
    <w:p w14:paraId="2BBDD2CB">
      <w:pPr>
        <w:numPr>
          <w:ilvl w:val="0"/>
          <w:numId w:val="12"/>
        </w:numPr>
        <w:tabs>
          <w:tab w:val="left" w:pos="360"/>
        </w:tabs>
        <w:snapToGrid w:val="0"/>
        <w:spacing w:line="360" w:lineRule="auto"/>
        <w:outlineLvl w:val="1"/>
        <w:rPr>
          <w:sz w:val="24"/>
          <w:highlight w:val="none"/>
        </w:rPr>
      </w:pPr>
      <w:r>
        <w:rPr>
          <w:sz w:val="24"/>
          <w:highlight w:val="none"/>
        </w:rPr>
        <w:t>确定</w:t>
      </w:r>
      <w:bookmarkStart w:id="759" w:name="_Toc127151747"/>
      <w:bookmarkStart w:id="760" w:name="_Toc520356170"/>
      <w:bookmarkStart w:id="761" w:name="_Toc150774646"/>
      <w:bookmarkStart w:id="762" w:name="_Toc164229241"/>
      <w:bookmarkStart w:id="763" w:name="_Toc151190173"/>
      <w:bookmarkStart w:id="764" w:name="_Toc226965819"/>
      <w:bookmarkStart w:id="765" w:name="_Toc150509297"/>
      <w:bookmarkStart w:id="766" w:name="_Ref467307010"/>
      <w:bookmarkStart w:id="767" w:name="_Toc305158888"/>
      <w:bookmarkStart w:id="768" w:name="_Toc151193644"/>
      <w:bookmarkStart w:id="769" w:name="_Toc151193788"/>
      <w:bookmarkStart w:id="770" w:name="_Toc151193716"/>
      <w:bookmarkStart w:id="771" w:name="_Toc127151546"/>
      <w:bookmarkStart w:id="772" w:name="_Toc164229387"/>
      <w:bookmarkStart w:id="773" w:name="_Toc164608660"/>
      <w:bookmarkStart w:id="774" w:name="_Toc149720839"/>
      <w:bookmarkStart w:id="775" w:name="_Toc226309790"/>
      <w:bookmarkStart w:id="776" w:name="_Toc142311048"/>
      <w:bookmarkStart w:id="777" w:name="_Toc164351640"/>
      <w:bookmarkStart w:id="778" w:name="_Toc151193860"/>
      <w:bookmarkStart w:id="779" w:name="_Toc226337242"/>
      <w:bookmarkStart w:id="780" w:name="_Toc164608815"/>
      <w:bookmarkStart w:id="781" w:name="_Toc151193934"/>
      <w:bookmarkStart w:id="782" w:name="_Toc226965736"/>
      <w:bookmarkStart w:id="783" w:name="_Toc150774751"/>
      <w:bookmarkStart w:id="784" w:name="_Toc265228384"/>
      <w:bookmarkStart w:id="785" w:name="_Toc150480784"/>
      <w:bookmarkStart w:id="786" w:name="_Toc264969236"/>
      <w:bookmarkStart w:id="787" w:name="_Toc127161460"/>
      <w:bookmarkStart w:id="788" w:name="_Toc195842911"/>
      <w:bookmarkStart w:id="789" w:name="_Toc305158814"/>
      <w:r>
        <w:rPr>
          <w:rFonts w:hint="eastAsia"/>
          <w:sz w:val="24"/>
          <w:highlight w:val="none"/>
        </w:rPr>
        <w:t>入围供应商</w:t>
      </w:r>
      <w:r>
        <w:rPr>
          <w:sz w:val="24"/>
          <w:highlight w:val="none"/>
        </w:rPr>
        <w:t>名单</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14:paraId="3EC182B2">
      <w:pPr>
        <w:numPr>
          <w:ilvl w:val="1"/>
          <w:numId w:val="12"/>
        </w:numPr>
        <w:tabs>
          <w:tab w:val="left" w:pos="1080"/>
          <w:tab w:val="left" w:pos="1134"/>
        </w:tabs>
        <w:snapToGrid w:val="0"/>
        <w:spacing w:line="360" w:lineRule="auto"/>
        <w:ind w:left="1077" w:hanging="720"/>
        <w:rPr>
          <w:rFonts w:hint="eastAsia"/>
          <w:sz w:val="24"/>
          <w:highlight w:val="none"/>
        </w:rPr>
      </w:pPr>
      <w:r>
        <w:rPr>
          <w:sz w:val="24"/>
          <w:highlight w:val="none"/>
        </w:rPr>
        <w:t>征集人根据评审报告确定的供应商名单及</w:t>
      </w:r>
      <w:r>
        <w:rPr>
          <w:rFonts w:hint="eastAsia"/>
          <w:sz w:val="24"/>
          <w:highlight w:val="none"/>
        </w:rPr>
        <w:t>入围淘汰规则</w:t>
      </w:r>
      <w:r>
        <w:rPr>
          <w:sz w:val="24"/>
          <w:highlight w:val="none"/>
        </w:rPr>
        <w:t>按顺序确定入围供应商。</w:t>
      </w:r>
    </w:p>
    <w:p w14:paraId="53810808">
      <w:pPr>
        <w:numPr>
          <w:ilvl w:val="0"/>
          <w:numId w:val="12"/>
        </w:numPr>
        <w:tabs>
          <w:tab w:val="left" w:pos="360"/>
        </w:tabs>
        <w:snapToGrid w:val="0"/>
        <w:spacing w:line="360" w:lineRule="auto"/>
        <w:outlineLvl w:val="1"/>
        <w:rPr>
          <w:sz w:val="24"/>
          <w:highlight w:val="none"/>
        </w:rPr>
      </w:pPr>
      <w:r>
        <w:rPr>
          <w:sz w:val="24"/>
          <w:highlight w:val="none"/>
        </w:rPr>
        <w:t>报告违法行为</w:t>
      </w:r>
    </w:p>
    <w:p w14:paraId="33BC9F22">
      <w:pPr>
        <w:numPr>
          <w:ilvl w:val="1"/>
          <w:numId w:val="12"/>
        </w:numPr>
        <w:tabs>
          <w:tab w:val="left" w:pos="1080"/>
        </w:tabs>
        <w:snapToGrid w:val="0"/>
        <w:spacing w:line="360" w:lineRule="auto"/>
        <w:ind w:left="1077" w:hanging="720"/>
        <w:rPr>
          <w:sz w:val="24"/>
          <w:highlight w:val="none"/>
        </w:rPr>
      </w:pPr>
      <w:r>
        <w:rPr>
          <w:sz w:val="24"/>
          <w:highlight w:val="none"/>
        </w:rPr>
        <w:t>评审委员会在评审过程中发现供应商有行贿、提供虚假材料或者串通等违法行为时，应当及时向财政部门报告。</w:t>
      </w:r>
    </w:p>
    <w:p w14:paraId="1C05B6B3">
      <w:pPr>
        <w:widowControl/>
        <w:jc w:val="left"/>
        <w:rPr>
          <w:b/>
          <w:sz w:val="24"/>
          <w:highlight w:val="none"/>
        </w:rPr>
      </w:pPr>
      <w:r>
        <w:rPr>
          <w:b/>
          <w:sz w:val="24"/>
          <w:highlight w:val="none"/>
        </w:rPr>
        <w:br w:type="page"/>
      </w:r>
    </w:p>
    <w:p w14:paraId="58EE86F9">
      <w:pPr>
        <w:tabs>
          <w:tab w:val="left" w:pos="360"/>
          <w:tab w:val="left" w:pos="900"/>
        </w:tabs>
        <w:snapToGrid w:val="0"/>
        <w:spacing w:line="360" w:lineRule="auto"/>
        <w:jc w:val="center"/>
        <w:outlineLvl w:val="1"/>
        <w:rPr>
          <w:b/>
          <w:highlight w:val="none"/>
        </w:rPr>
      </w:pPr>
      <w:r>
        <w:rPr>
          <w:b/>
          <w:sz w:val="24"/>
          <w:highlight w:val="none"/>
        </w:rPr>
        <w:t>二、评审标准</w:t>
      </w:r>
    </w:p>
    <w:tbl>
      <w:tblPr>
        <w:tblStyle w:val="42"/>
        <w:tblW w:w="107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4"/>
        <w:gridCol w:w="1321"/>
        <w:gridCol w:w="1559"/>
        <w:gridCol w:w="709"/>
        <w:gridCol w:w="6079"/>
      </w:tblGrid>
      <w:tr w14:paraId="2B4AA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084" w:type="dxa"/>
            <w:noWrap w:val="0"/>
            <w:vAlign w:val="center"/>
          </w:tcPr>
          <w:p w14:paraId="05CBA936">
            <w:pPr>
              <w:jc w:val="center"/>
              <w:rPr>
                <w:rFonts w:ascii="宋体" w:hAnsi="宋体"/>
                <w:b/>
                <w:bCs/>
                <w:color w:val="000000"/>
                <w:sz w:val="24"/>
                <w:highlight w:val="none"/>
              </w:rPr>
            </w:pPr>
            <w:r>
              <w:rPr>
                <w:rFonts w:hint="eastAsia" w:ascii="宋体" w:hAnsi="宋体"/>
                <w:b/>
                <w:bCs/>
                <w:color w:val="000000"/>
                <w:sz w:val="24"/>
                <w:highlight w:val="none"/>
              </w:rPr>
              <w:t>评审</w:t>
            </w:r>
          </w:p>
          <w:p w14:paraId="7C3586B0">
            <w:pPr>
              <w:jc w:val="center"/>
              <w:rPr>
                <w:rFonts w:ascii="宋体" w:hAnsi="宋体" w:cs="Tahoma"/>
                <w:b/>
                <w:bCs/>
                <w:color w:val="000000"/>
                <w:sz w:val="24"/>
                <w:highlight w:val="none"/>
              </w:rPr>
            </w:pPr>
            <w:r>
              <w:rPr>
                <w:rFonts w:hint="eastAsia" w:ascii="宋体" w:hAnsi="宋体"/>
                <w:b/>
                <w:bCs/>
                <w:color w:val="000000"/>
                <w:sz w:val="24"/>
                <w:highlight w:val="none"/>
              </w:rPr>
              <w:t>条款</w:t>
            </w:r>
          </w:p>
        </w:tc>
        <w:tc>
          <w:tcPr>
            <w:tcW w:w="2880" w:type="dxa"/>
            <w:gridSpan w:val="2"/>
            <w:noWrap w:val="0"/>
            <w:vAlign w:val="center"/>
          </w:tcPr>
          <w:p w14:paraId="6D959949">
            <w:pPr>
              <w:jc w:val="center"/>
              <w:rPr>
                <w:rFonts w:ascii="宋体" w:hAnsi="宋体" w:cs="Tahoma"/>
                <w:b/>
                <w:bCs/>
                <w:color w:val="000000"/>
                <w:sz w:val="24"/>
                <w:highlight w:val="none"/>
              </w:rPr>
            </w:pPr>
            <w:r>
              <w:rPr>
                <w:rFonts w:hint="eastAsia" w:ascii="宋体" w:hAnsi="宋体"/>
                <w:b/>
                <w:bCs/>
                <w:color w:val="000000"/>
                <w:sz w:val="24"/>
                <w:highlight w:val="none"/>
              </w:rPr>
              <w:t>评审内容</w:t>
            </w:r>
          </w:p>
        </w:tc>
        <w:tc>
          <w:tcPr>
            <w:tcW w:w="709" w:type="dxa"/>
            <w:noWrap w:val="0"/>
            <w:vAlign w:val="center"/>
          </w:tcPr>
          <w:p w14:paraId="06D6C32B">
            <w:pPr>
              <w:jc w:val="center"/>
              <w:rPr>
                <w:rFonts w:ascii="宋体" w:hAnsi="宋体" w:cs="Tahoma"/>
                <w:b/>
                <w:bCs/>
                <w:color w:val="000000"/>
                <w:sz w:val="24"/>
                <w:highlight w:val="none"/>
              </w:rPr>
            </w:pPr>
            <w:r>
              <w:rPr>
                <w:rFonts w:hint="eastAsia" w:ascii="宋体" w:hAnsi="宋体"/>
                <w:b/>
                <w:bCs/>
                <w:color w:val="000000"/>
                <w:sz w:val="24"/>
                <w:highlight w:val="none"/>
              </w:rPr>
              <w:t>分值</w:t>
            </w:r>
          </w:p>
        </w:tc>
        <w:tc>
          <w:tcPr>
            <w:tcW w:w="6079" w:type="dxa"/>
            <w:noWrap w:val="0"/>
            <w:vAlign w:val="center"/>
          </w:tcPr>
          <w:p w14:paraId="347DEC85">
            <w:pPr>
              <w:jc w:val="center"/>
              <w:rPr>
                <w:rFonts w:ascii="宋体" w:hAnsi="宋体" w:cs="Tahoma"/>
                <w:b/>
                <w:bCs/>
                <w:color w:val="000000"/>
                <w:sz w:val="24"/>
                <w:highlight w:val="none"/>
              </w:rPr>
            </w:pPr>
            <w:r>
              <w:rPr>
                <w:rFonts w:hint="eastAsia" w:ascii="宋体" w:hAnsi="宋体"/>
                <w:b/>
                <w:bCs/>
                <w:color w:val="000000"/>
                <w:sz w:val="24"/>
                <w:highlight w:val="none"/>
              </w:rPr>
              <w:t>打分标准</w:t>
            </w:r>
          </w:p>
        </w:tc>
      </w:tr>
      <w:tr w14:paraId="33AA8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jc w:val="center"/>
        </w:trPr>
        <w:tc>
          <w:tcPr>
            <w:tcW w:w="1084" w:type="dxa"/>
            <w:vMerge w:val="restart"/>
            <w:noWrap w:val="0"/>
            <w:vAlign w:val="center"/>
          </w:tcPr>
          <w:p w14:paraId="2BCB1C45">
            <w:pPr>
              <w:jc w:val="center"/>
              <w:rPr>
                <w:rFonts w:ascii="宋体" w:hAnsi="宋体"/>
                <w:color w:val="000000"/>
                <w:sz w:val="24"/>
                <w:highlight w:val="none"/>
              </w:rPr>
            </w:pPr>
            <w:r>
              <w:rPr>
                <w:rFonts w:ascii="宋体" w:hAnsi="宋体"/>
                <w:color w:val="000000"/>
                <w:sz w:val="24"/>
                <w:highlight w:val="none"/>
              </w:rPr>
              <w:t>商务</w:t>
            </w:r>
          </w:p>
          <w:p w14:paraId="18B550AD">
            <w:pPr>
              <w:jc w:val="center"/>
              <w:rPr>
                <w:rFonts w:ascii="宋体" w:hAnsi="宋体"/>
                <w:color w:val="000000"/>
                <w:sz w:val="24"/>
                <w:highlight w:val="none"/>
              </w:rPr>
            </w:pPr>
            <w:r>
              <w:rPr>
                <w:rFonts w:ascii="宋体" w:hAnsi="宋体"/>
                <w:color w:val="000000"/>
                <w:sz w:val="24"/>
                <w:highlight w:val="none"/>
              </w:rPr>
              <w:t>部分</w:t>
            </w:r>
          </w:p>
          <w:p w14:paraId="666BD316">
            <w:pPr>
              <w:jc w:val="center"/>
              <w:rPr>
                <w:rFonts w:ascii="宋体" w:hAnsi="宋体"/>
                <w:color w:val="000000"/>
                <w:sz w:val="24"/>
                <w:highlight w:val="none"/>
              </w:rPr>
            </w:pPr>
            <w:r>
              <w:rPr>
                <w:rFonts w:ascii="宋体" w:hAnsi="宋体"/>
                <w:color w:val="000000"/>
                <w:sz w:val="24"/>
                <w:highlight w:val="none"/>
              </w:rPr>
              <w:t>（34）</w:t>
            </w:r>
          </w:p>
        </w:tc>
        <w:tc>
          <w:tcPr>
            <w:tcW w:w="2880" w:type="dxa"/>
            <w:gridSpan w:val="2"/>
            <w:vMerge w:val="restart"/>
            <w:noWrap w:val="0"/>
            <w:vAlign w:val="center"/>
          </w:tcPr>
          <w:p w14:paraId="6D45335E">
            <w:pPr>
              <w:jc w:val="center"/>
              <w:rPr>
                <w:rFonts w:ascii="宋体" w:hAnsi="宋体"/>
                <w:color w:val="000000"/>
                <w:sz w:val="24"/>
                <w:highlight w:val="none"/>
              </w:rPr>
            </w:pPr>
            <w:r>
              <w:rPr>
                <w:rFonts w:hint="eastAsia" w:ascii="宋体" w:hAnsi="宋体"/>
                <w:color w:val="000000"/>
                <w:sz w:val="24"/>
                <w:highlight w:val="none"/>
              </w:rPr>
              <w:t>拟投入本项目法律援助服务团队（1</w:t>
            </w:r>
            <w:r>
              <w:rPr>
                <w:rFonts w:ascii="宋体" w:hAnsi="宋体"/>
                <w:color w:val="000000"/>
                <w:sz w:val="24"/>
                <w:highlight w:val="none"/>
              </w:rPr>
              <w:t>8分</w:t>
            </w:r>
            <w:r>
              <w:rPr>
                <w:rFonts w:hint="eastAsia" w:ascii="宋体" w:hAnsi="宋体"/>
                <w:color w:val="000000"/>
                <w:sz w:val="24"/>
                <w:highlight w:val="none"/>
              </w:rPr>
              <w:t>）</w:t>
            </w:r>
          </w:p>
        </w:tc>
        <w:tc>
          <w:tcPr>
            <w:tcW w:w="709" w:type="dxa"/>
            <w:noWrap w:val="0"/>
            <w:vAlign w:val="center"/>
          </w:tcPr>
          <w:p w14:paraId="0373B53B">
            <w:pPr>
              <w:jc w:val="center"/>
              <w:rPr>
                <w:rFonts w:ascii="宋体" w:hAnsi="宋体" w:cs="Tahoma"/>
                <w:color w:val="000000"/>
                <w:sz w:val="24"/>
                <w:highlight w:val="none"/>
              </w:rPr>
            </w:pPr>
            <w:r>
              <w:rPr>
                <w:rFonts w:hint="eastAsia" w:ascii="宋体" w:hAnsi="宋体" w:cs="Tahoma"/>
                <w:color w:val="000000"/>
                <w:sz w:val="24"/>
                <w:highlight w:val="none"/>
              </w:rPr>
              <w:t>3</w:t>
            </w:r>
          </w:p>
        </w:tc>
        <w:tc>
          <w:tcPr>
            <w:tcW w:w="6079" w:type="dxa"/>
            <w:noWrap w:val="0"/>
            <w:vAlign w:val="center"/>
          </w:tcPr>
          <w:p w14:paraId="5D8AD901">
            <w:pPr>
              <w:rPr>
                <w:rFonts w:ascii="宋体" w:hAnsi="宋体"/>
                <w:color w:val="000000"/>
                <w:sz w:val="24"/>
                <w:highlight w:val="none"/>
              </w:rPr>
            </w:pPr>
            <w:r>
              <w:rPr>
                <w:rFonts w:hint="eastAsia" w:ascii="宋体" w:hAnsi="宋体"/>
                <w:color w:val="000000"/>
                <w:sz w:val="24"/>
                <w:highlight w:val="none"/>
              </w:rPr>
              <w:t>拟投入本项目法律援助服务团队人员均具有律师执业证书或基层法律服务工作者执业证书，得3分。</w:t>
            </w:r>
          </w:p>
          <w:p w14:paraId="23CF5808">
            <w:pPr>
              <w:rPr>
                <w:rFonts w:hint="eastAsia" w:ascii="宋体" w:hAnsi="宋体"/>
                <w:color w:val="000000"/>
                <w:sz w:val="24"/>
                <w:highlight w:val="none"/>
              </w:rPr>
            </w:pPr>
            <w:r>
              <w:rPr>
                <w:rFonts w:hint="eastAsia" w:ascii="宋体" w:hAnsi="宋体" w:cs="宋体"/>
                <w:sz w:val="24"/>
                <w:highlight w:val="none"/>
              </w:rPr>
              <w:t>注：需提供</w:t>
            </w:r>
            <w:r>
              <w:rPr>
                <w:rFonts w:hint="eastAsia" w:ascii="宋体" w:hAnsi="宋体"/>
                <w:color w:val="000000"/>
                <w:sz w:val="24"/>
                <w:highlight w:val="none"/>
              </w:rPr>
              <w:t>拟投入本项目法律援助服务团队中的</w:t>
            </w:r>
            <w:r>
              <w:rPr>
                <w:rFonts w:hint="eastAsia" w:ascii="宋体" w:hAnsi="宋体" w:cs="宋体"/>
                <w:sz w:val="24"/>
                <w:highlight w:val="none"/>
              </w:rPr>
              <w:t>律师执业证书或</w:t>
            </w:r>
            <w:r>
              <w:rPr>
                <w:rFonts w:hint="eastAsia" w:ascii="宋体" w:hAnsi="宋体"/>
                <w:color w:val="000000"/>
                <w:sz w:val="24"/>
                <w:highlight w:val="none"/>
              </w:rPr>
              <w:t>基层法律服务工作者执业证书，未提供证书或不满足要求的，得0分</w:t>
            </w:r>
            <w:r>
              <w:rPr>
                <w:rFonts w:hint="eastAsia" w:ascii="宋体" w:hAnsi="宋体" w:cs="宋体"/>
                <w:sz w:val="24"/>
                <w:highlight w:val="none"/>
              </w:rPr>
              <w:t>。</w:t>
            </w:r>
          </w:p>
        </w:tc>
      </w:tr>
      <w:tr w14:paraId="62501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084" w:type="dxa"/>
            <w:vMerge w:val="continue"/>
            <w:noWrap w:val="0"/>
            <w:vAlign w:val="center"/>
          </w:tcPr>
          <w:p w14:paraId="4CBF6153">
            <w:pPr>
              <w:jc w:val="center"/>
              <w:rPr>
                <w:rFonts w:ascii="宋体" w:hAnsi="宋体"/>
                <w:color w:val="000000"/>
                <w:sz w:val="24"/>
                <w:highlight w:val="none"/>
              </w:rPr>
            </w:pPr>
          </w:p>
        </w:tc>
        <w:tc>
          <w:tcPr>
            <w:tcW w:w="2880" w:type="dxa"/>
            <w:gridSpan w:val="2"/>
            <w:vMerge w:val="continue"/>
            <w:noWrap w:val="0"/>
            <w:vAlign w:val="center"/>
          </w:tcPr>
          <w:p w14:paraId="36B227D9">
            <w:pPr>
              <w:jc w:val="center"/>
              <w:rPr>
                <w:rFonts w:hint="eastAsia" w:ascii="宋体" w:hAnsi="宋体"/>
                <w:color w:val="000000"/>
                <w:sz w:val="24"/>
                <w:highlight w:val="none"/>
              </w:rPr>
            </w:pPr>
          </w:p>
        </w:tc>
        <w:tc>
          <w:tcPr>
            <w:tcW w:w="709" w:type="dxa"/>
            <w:noWrap w:val="0"/>
            <w:vAlign w:val="center"/>
          </w:tcPr>
          <w:p w14:paraId="04594425">
            <w:pPr>
              <w:jc w:val="center"/>
              <w:rPr>
                <w:rFonts w:hint="eastAsia" w:ascii="宋体" w:hAnsi="宋体" w:cs="Tahoma"/>
                <w:color w:val="000000"/>
                <w:sz w:val="24"/>
                <w:highlight w:val="none"/>
              </w:rPr>
            </w:pPr>
            <w:r>
              <w:rPr>
                <w:rFonts w:ascii="宋体" w:hAnsi="宋体" w:cs="Tahoma"/>
                <w:color w:val="000000"/>
                <w:sz w:val="24"/>
                <w:highlight w:val="none"/>
              </w:rPr>
              <w:t>10</w:t>
            </w:r>
          </w:p>
        </w:tc>
        <w:tc>
          <w:tcPr>
            <w:tcW w:w="6079" w:type="dxa"/>
            <w:noWrap w:val="0"/>
            <w:vAlign w:val="top"/>
          </w:tcPr>
          <w:p w14:paraId="324CA900">
            <w:pPr>
              <w:rPr>
                <w:rFonts w:ascii="宋体" w:hAnsi="宋体" w:cs="宋体"/>
                <w:sz w:val="24"/>
                <w:highlight w:val="none"/>
              </w:rPr>
            </w:pPr>
            <w:bookmarkStart w:id="790" w:name="OLE_LINK22"/>
            <w:bookmarkStart w:id="791" w:name="OLE_LINK23"/>
            <w:r>
              <w:rPr>
                <w:rFonts w:hint="eastAsia" w:ascii="宋体" w:hAnsi="宋体"/>
                <w:color w:val="000000"/>
                <w:sz w:val="24"/>
                <w:highlight w:val="none"/>
              </w:rPr>
              <w:t>拟投入本项目法律援助服务团队的律师或基层法律服务工作者数量</w:t>
            </w:r>
            <w:bookmarkEnd w:id="790"/>
            <w:bookmarkEnd w:id="791"/>
            <w:r>
              <w:rPr>
                <w:rFonts w:hint="eastAsia" w:ascii="宋体" w:hAnsi="宋体"/>
                <w:color w:val="000000"/>
                <w:sz w:val="24"/>
                <w:highlight w:val="none"/>
              </w:rPr>
              <w:t>：</w:t>
            </w:r>
          </w:p>
          <w:p w14:paraId="42455EEF">
            <w:pPr>
              <w:rPr>
                <w:rFonts w:ascii="宋体" w:hAnsi="宋体" w:cs="宋体"/>
                <w:sz w:val="24"/>
                <w:highlight w:val="none"/>
              </w:rPr>
            </w:pPr>
            <w:r>
              <w:rPr>
                <w:rFonts w:ascii="宋体" w:hAnsi="宋体" w:cs="宋体"/>
                <w:sz w:val="24"/>
                <w:highlight w:val="none"/>
              </w:rPr>
              <w:t>10</w:t>
            </w:r>
            <w:r>
              <w:rPr>
                <w:rFonts w:hint="eastAsia" w:ascii="宋体" w:hAnsi="宋体" w:cs="宋体"/>
                <w:sz w:val="24"/>
                <w:highlight w:val="none"/>
              </w:rPr>
              <w:t>（含）人以上的，得</w:t>
            </w:r>
            <w:r>
              <w:rPr>
                <w:rFonts w:ascii="宋体" w:hAnsi="宋体" w:cs="宋体"/>
                <w:sz w:val="24"/>
                <w:highlight w:val="none"/>
              </w:rPr>
              <w:t>10</w:t>
            </w:r>
            <w:r>
              <w:rPr>
                <w:rFonts w:hint="eastAsia" w:ascii="宋体" w:hAnsi="宋体" w:cs="宋体"/>
                <w:sz w:val="24"/>
                <w:highlight w:val="none"/>
              </w:rPr>
              <w:t>分；</w:t>
            </w:r>
          </w:p>
          <w:p w14:paraId="158E13F5">
            <w:pPr>
              <w:rPr>
                <w:rFonts w:ascii="宋体" w:hAnsi="宋体" w:cs="宋体"/>
                <w:sz w:val="24"/>
                <w:highlight w:val="none"/>
              </w:rPr>
            </w:pPr>
            <w:r>
              <w:rPr>
                <w:rFonts w:ascii="宋体" w:hAnsi="宋体" w:cs="宋体"/>
                <w:sz w:val="24"/>
                <w:highlight w:val="none"/>
              </w:rPr>
              <w:t>7</w:t>
            </w:r>
            <w:r>
              <w:rPr>
                <w:rFonts w:hint="eastAsia" w:ascii="宋体" w:hAnsi="宋体" w:cs="宋体"/>
                <w:sz w:val="24"/>
                <w:highlight w:val="none"/>
              </w:rPr>
              <w:t>（含）-</w:t>
            </w:r>
            <w:r>
              <w:rPr>
                <w:rFonts w:ascii="宋体" w:hAnsi="宋体" w:cs="宋体"/>
                <w:sz w:val="24"/>
                <w:highlight w:val="none"/>
              </w:rPr>
              <w:t>10</w:t>
            </w:r>
            <w:r>
              <w:rPr>
                <w:rFonts w:hint="eastAsia" w:ascii="宋体" w:hAnsi="宋体" w:cs="宋体"/>
                <w:sz w:val="24"/>
                <w:highlight w:val="none"/>
              </w:rPr>
              <w:t>（不含）人的，得</w:t>
            </w:r>
            <w:r>
              <w:rPr>
                <w:rFonts w:ascii="宋体" w:hAnsi="宋体" w:cs="宋体"/>
                <w:sz w:val="24"/>
                <w:highlight w:val="none"/>
              </w:rPr>
              <w:t>7</w:t>
            </w:r>
            <w:r>
              <w:rPr>
                <w:rFonts w:hint="eastAsia" w:ascii="宋体" w:hAnsi="宋体" w:cs="宋体"/>
                <w:sz w:val="24"/>
                <w:highlight w:val="none"/>
              </w:rPr>
              <w:t>分；</w:t>
            </w:r>
          </w:p>
          <w:p w14:paraId="57310F75">
            <w:pPr>
              <w:rPr>
                <w:rFonts w:ascii="宋体" w:hAnsi="宋体" w:cs="宋体"/>
                <w:sz w:val="24"/>
                <w:highlight w:val="none"/>
              </w:rPr>
            </w:pPr>
            <w:r>
              <w:rPr>
                <w:rFonts w:hint="eastAsia" w:ascii="宋体" w:hAnsi="宋体" w:cs="宋体"/>
                <w:sz w:val="24"/>
                <w:highlight w:val="none"/>
              </w:rPr>
              <w:t>7（不含）人以下的，得</w:t>
            </w:r>
            <w:r>
              <w:rPr>
                <w:rFonts w:ascii="宋体" w:hAnsi="宋体" w:cs="宋体"/>
                <w:sz w:val="24"/>
                <w:highlight w:val="none"/>
              </w:rPr>
              <w:t>3</w:t>
            </w:r>
            <w:r>
              <w:rPr>
                <w:rFonts w:hint="eastAsia" w:ascii="宋体" w:hAnsi="宋体" w:cs="宋体"/>
                <w:sz w:val="24"/>
                <w:highlight w:val="none"/>
              </w:rPr>
              <w:t>分。</w:t>
            </w:r>
          </w:p>
          <w:p w14:paraId="20BE2C9C">
            <w:pPr>
              <w:rPr>
                <w:rFonts w:hint="eastAsia" w:ascii="宋体" w:hAnsi="宋体"/>
                <w:color w:val="000000"/>
                <w:sz w:val="24"/>
                <w:highlight w:val="none"/>
              </w:rPr>
            </w:pPr>
            <w:r>
              <w:rPr>
                <w:rFonts w:hint="eastAsia" w:ascii="宋体" w:hAnsi="宋体" w:cs="宋体"/>
                <w:sz w:val="24"/>
                <w:highlight w:val="none"/>
              </w:rPr>
              <w:t>注：需提供</w:t>
            </w:r>
            <w:r>
              <w:rPr>
                <w:rFonts w:hint="eastAsia" w:ascii="宋体" w:hAnsi="宋体"/>
                <w:color w:val="000000"/>
                <w:sz w:val="24"/>
                <w:highlight w:val="none"/>
              </w:rPr>
              <w:t>拟投入本项目法律援助服务团队中的</w:t>
            </w:r>
            <w:r>
              <w:rPr>
                <w:rFonts w:hint="eastAsia" w:ascii="宋体" w:hAnsi="宋体" w:cs="宋体"/>
                <w:sz w:val="24"/>
                <w:highlight w:val="none"/>
              </w:rPr>
              <w:t>律师执业证书或</w:t>
            </w:r>
            <w:r>
              <w:rPr>
                <w:rFonts w:hint="eastAsia" w:ascii="宋体" w:hAnsi="宋体"/>
                <w:color w:val="000000"/>
                <w:sz w:val="24"/>
                <w:highlight w:val="none"/>
              </w:rPr>
              <w:t>基层法律服务工作者执业证书，未提供的，得0分</w:t>
            </w:r>
            <w:r>
              <w:rPr>
                <w:rFonts w:hint="eastAsia" w:ascii="宋体" w:hAnsi="宋体" w:cs="宋体"/>
                <w:sz w:val="24"/>
                <w:highlight w:val="none"/>
              </w:rPr>
              <w:t>。</w:t>
            </w:r>
          </w:p>
        </w:tc>
      </w:tr>
      <w:tr w14:paraId="4465F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084" w:type="dxa"/>
            <w:vMerge w:val="continue"/>
            <w:noWrap w:val="0"/>
            <w:vAlign w:val="center"/>
          </w:tcPr>
          <w:p w14:paraId="187AB753">
            <w:pPr>
              <w:jc w:val="center"/>
              <w:rPr>
                <w:rFonts w:ascii="宋体" w:hAnsi="宋体"/>
                <w:color w:val="000000"/>
                <w:sz w:val="24"/>
                <w:highlight w:val="none"/>
              </w:rPr>
            </w:pPr>
          </w:p>
        </w:tc>
        <w:tc>
          <w:tcPr>
            <w:tcW w:w="2880" w:type="dxa"/>
            <w:gridSpan w:val="2"/>
            <w:vMerge w:val="continue"/>
            <w:noWrap w:val="0"/>
            <w:vAlign w:val="center"/>
          </w:tcPr>
          <w:p w14:paraId="25C788B5">
            <w:pPr>
              <w:jc w:val="center"/>
              <w:rPr>
                <w:rFonts w:hint="eastAsia" w:ascii="宋体" w:hAnsi="宋体"/>
                <w:color w:val="000000"/>
                <w:sz w:val="24"/>
                <w:highlight w:val="none"/>
              </w:rPr>
            </w:pPr>
          </w:p>
        </w:tc>
        <w:tc>
          <w:tcPr>
            <w:tcW w:w="709" w:type="dxa"/>
            <w:noWrap w:val="0"/>
            <w:vAlign w:val="center"/>
          </w:tcPr>
          <w:p w14:paraId="7AEA4138">
            <w:pPr>
              <w:jc w:val="center"/>
              <w:rPr>
                <w:rFonts w:ascii="宋体" w:hAnsi="宋体" w:cs="Tahoma"/>
                <w:color w:val="000000"/>
                <w:sz w:val="24"/>
                <w:highlight w:val="none"/>
              </w:rPr>
            </w:pPr>
            <w:r>
              <w:rPr>
                <w:rFonts w:ascii="宋体" w:hAnsi="宋体" w:cs="Tahoma"/>
                <w:color w:val="000000"/>
                <w:sz w:val="24"/>
                <w:highlight w:val="none"/>
              </w:rPr>
              <w:t>3</w:t>
            </w:r>
          </w:p>
        </w:tc>
        <w:tc>
          <w:tcPr>
            <w:tcW w:w="6079" w:type="dxa"/>
            <w:noWrap w:val="0"/>
            <w:vAlign w:val="top"/>
          </w:tcPr>
          <w:p w14:paraId="45C009A2">
            <w:pPr>
              <w:rPr>
                <w:rFonts w:ascii="宋体" w:hAnsi="宋体" w:cs="宋体"/>
                <w:sz w:val="24"/>
                <w:highlight w:val="none"/>
              </w:rPr>
            </w:pPr>
            <w:r>
              <w:rPr>
                <w:rFonts w:hint="eastAsia" w:ascii="宋体" w:hAnsi="宋体" w:cs="宋体"/>
                <w:sz w:val="24"/>
                <w:highlight w:val="none"/>
              </w:rPr>
              <w:t>团队中包含具有执业经验</w:t>
            </w:r>
            <w:r>
              <w:rPr>
                <w:rFonts w:ascii="宋体" w:hAnsi="宋体" w:cs="宋体"/>
                <w:sz w:val="24"/>
                <w:highlight w:val="none"/>
              </w:rPr>
              <w:t>8</w:t>
            </w:r>
            <w:r>
              <w:rPr>
                <w:rFonts w:hint="eastAsia" w:ascii="宋体" w:hAnsi="宋体" w:cs="宋体"/>
                <w:sz w:val="24"/>
                <w:highlight w:val="none"/>
              </w:rPr>
              <w:t>年（含）以上</w:t>
            </w:r>
            <w:bookmarkStart w:id="792" w:name="OLE_LINK25"/>
            <w:bookmarkStart w:id="793" w:name="OLE_LINK24"/>
            <w:r>
              <w:rPr>
                <w:rFonts w:hint="eastAsia" w:ascii="宋体" w:hAnsi="宋体" w:cs="宋体"/>
                <w:sz w:val="24"/>
                <w:highlight w:val="none"/>
              </w:rPr>
              <w:t>的律师或</w:t>
            </w:r>
            <w:r>
              <w:rPr>
                <w:rFonts w:hint="eastAsia" w:ascii="宋体" w:hAnsi="宋体"/>
                <w:color w:val="000000"/>
                <w:sz w:val="24"/>
                <w:highlight w:val="none"/>
              </w:rPr>
              <w:t>基层法律服务工作者</w:t>
            </w:r>
            <w:bookmarkEnd w:id="792"/>
            <w:bookmarkEnd w:id="793"/>
            <w:r>
              <w:rPr>
                <w:rFonts w:hint="eastAsia" w:ascii="宋体" w:hAnsi="宋体" w:cs="宋体"/>
                <w:sz w:val="24"/>
                <w:highlight w:val="none"/>
              </w:rPr>
              <w:t>，得</w:t>
            </w:r>
            <w:r>
              <w:rPr>
                <w:rFonts w:ascii="宋体" w:hAnsi="宋体" w:cs="宋体"/>
                <w:sz w:val="24"/>
                <w:highlight w:val="none"/>
              </w:rPr>
              <w:t>3</w:t>
            </w:r>
            <w:r>
              <w:rPr>
                <w:rFonts w:hint="eastAsia" w:ascii="宋体" w:hAnsi="宋体" w:cs="宋体"/>
                <w:sz w:val="24"/>
                <w:highlight w:val="none"/>
              </w:rPr>
              <w:t>分；</w:t>
            </w:r>
          </w:p>
          <w:p w14:paraId="49E21646">
            <w:pPr>
              <w:rPr>
                <w:rFonts w:ascii="宋体" w:hAnsi="宋体" w:cs="宋体"/>
                <w:sz w:val="24"/>
                <w:highlight w:val="none"/>
              </w:rPr>
            </w:pPr>
            <w:r>
              <w:rPr>
                <w:rFonts w:hint="eastAsia" w:ascii="宋体" w:hAnsi="宋体" w:cs="宋体"/>
                <w:sz w:val="24"/>
                <w:highlight w:val="none"/>
              </w:rPr>
              <w:t>团队中</w:t>
            </w:r>
            <w:bookmarkStart w:id="890" w:name="_GoBack"/>
            <w:bookmarkEnd w:id="890"/>
            <w:r>
              <w:rPr>
                <w:rFonts w:hint="eastAsia" w:ascii="宋体" w:hAnsi="宋体" w:cs="宋体"/>
                <w:sz w:val="24"/>
                <w:highlight w:val="none"/>
              </w:rPr>
              <w:t>包含具有执业经验5年（含）以上，</w:t>
            </w:r>
            <w:r>
              <w:rPr>
                <w:rFonts w:ascii="宋体" w:hAnsi="宋体" w:cs="宋体"/>
                <w:sz w:val="24"/>
                <w:highlight w:val="none"/>
              </w:rPr>
              <w:t>8</w:t>
            </w:r>
            <w:r>
              <w:rPr>
                <w:rFonts w:hint="eastAsia" w:ascii="宋体" w:hAnsi="宋体" w:cs="宋体"/>
                <w:sz w:val="24"/>
                <w:highlight w:val="none"/>
              </w:rPr>
              <w:t>年（不含）以下的律师或</w:t>
            </w:r>
            <w:r>
              <w:rPr>
                <w:rFonts w:hint="eastAsia" w:ascii="宋体" w:hAnsi="宋体"/>
                <w:color w:val="000000"/>
                <w:sz w:val="24"/>
                <w:highlight w:val="none"/>
              </w:rPr>
              <w:t>基层法律服务工作者</w:t>
            </w:r>
            <w:r>
              <w:rPr>
                <w:rFonts w:hint="eastAsia" w:ascii="宋体" w:hAnsi="宋体" w:cs="宋体"/>
                <w:sz w:val="24"/>
                <w:highlight w:val="none"/>
              </w:rPr>
              <w:t>，得2分；</w:t>
            </w:r>
          </w:p>
          <w:p w14:paraId="48C084BF">
            <w:pPr>
              <w:rPr>
                <w:rFonts w:ascii="宋体" w:hAnsi="宋体" w:cs="宋体"/>
                <w:sz w:val="24"/>
                <w:highlight w:val="none"/>
              </w:rPr>
            </w:pPr>
            <w:r>
              <w:rPr>
                <w:rFonts w:hint="eastAsia" w:ascii="宋体" w:hAnsi="宋体" w:cs="宋体"/>
                <w:sz w:val="24"/>
                <w:highlight w:val="none"/>
              </w:rPr>
              <w:t>团队中包含</w:t>
            </w:r>
            <w:r>
              <w:rPr>
                <w:rFonts w:hint="eastAsia" w:ascii="宋体" w:hAnsi="宋体" w:cs="宋体"/>
                <w:sz w:val="24"/>
                <w:highlight w:val="none"/>
              </w:rPr>
              <w:t>具有执业经验5年</w:t>
            </w:r>
            <w:r>
              <w:rPr>
                <w:rFonts w:hint="eastAsia" w:ascii="宋体" w:hAnsi="宋体" w:cs="宋体"/>
                <w:sz w:val="24"/>
                <w:highlight w:val="none"/>
              </w:rPr>
              <w:t>（不含）以下的的律师或</w:t>
            </w:r>
            <w:r>
              <w:rPr>
                <w:rFonts w:hint="eastAsia" w:ascii="宋体" w:hAnsi="宋体"/>
                <w:color w:val="000000"/>
                <w:sz w:val="24"/>
                <w:highlight w:val="none"/>
              </w:rPr>
              <w:t>基层法律服务工作者</w:t>
            </w:r>
            <w:r>
              <w:rPr>
                <w:rFonts w:hint="eastAsia" w:ascii="宋体" w:hAnsi="宋体" w:cs="宋体"/>
                <w:sz w:val="24"/>
                <w:highlight w:val="none"/>
              </w:rPr>
              <w:t>，得1分。</w:t>
            </w:r>
          </w:p>
          <w:p w14:paraId="694AA5D1">
            <w:pPr>
              <w:rPr>
                <w:rFonts w:hint="eastAsia" w:ascii="宋体" w:hAnsi="宋体" w:cs="宋体"/>
                <w:sz w:val="24"/>
                <w:highlight w:val="none"/>
              </w:rPr>
            </w:pPr>
            <w:r>
              <w:rPr>
                <w:rFonts w:hint="eastAsia" w:ascii="宋体" w:hAnsi="宋体" w:cs="宋体"/>
                <w:sz w:val="24"/>
                <w:highlight w:val="none"/>
              </w:rPr>
              <w:t>注：需提供</w:t>
            </w:r>
            <w:r>
              <w:rPr>
                <w:rFonts w:hint="eastAsia" w:ascii="宋体" w:hAnsi="宋体"/>
                <w:color w:val="000000"/>
                <w:sz w:val="24"/>
                <w:highlight w:val="none"/>
              </w:rPr>
              <w:t>拟投入本项目法律援助服务团队中的</w:t>
            </w:r>
            <w:r>
              <w:rPr>
                <w:rFonts w:hint="eastAsia" w:ascii="宋体" w:hAnsi="宋体" w:cs="宋体"/>
                <w:sz w:val="24"/>
                <w:highlight w:val="none"/>
              </w:rPr>
              <w:t>律师执业证书或</w:t>
            </w:r>
            <w:r>
              <w:rPr>
                <w:rFonts w:hint="eastAsia" w:ascii="宋体" w:hAnsi="宋体"/>
                <w:color w:val="000000"/>
                <w:sz w:val="24"/>
                <w:highlight w:val="none"/>
              </w:rPr>
              <w:t>基层法律服务工作者执业证书、</w:t>
            </w:r>
            <w:r>
              <w:rPr>
                <w:rFonts w:hint="eastAsia" w:ascii="宋体" w:hAnsi="宋体" w:cs="宋体"/>
                <w:sz w:val="24"/>
                <w:highlight w:val="none"/>
              </w:rPr>
              <w:t>执业年限证明材料</w:t>
            </w:r>
            <w:r>
              <w:rPr>
                <w:rFonts w:hint="eastAsia" w:ascii="宋体" w:hAnsi="宋体"/>
                <w:color w:val="000000"/>
                <w:sz w:val="24"/>
                <w:highlight w:val="none"/>
              </w:rPr>
              <w:t>，未提供的，得0分</w:t>
            </w:r>
            <w:r>
              <w:rPr>
                <w:rFonts w:hint="eastAsia" w:ascii="宋体" w:hAnsi="宋体" w:cs="宋体"/>
                <w:sz w:val="24"/>
                <w:highlight w:val="none"/>
              </w:rPr>
              <w:t>。</w:t>
            </w:r>
          </w:p>
        </w:tc>
      </w:tr>
      <w:tr w14:paraId="731A2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084" w:type="dxa"/>
            <w:vMerge w:val="continue"/>
            <w:noWrap w:val="0"/>
            <w:vAlign w:val="center"/>
          </w:tcPr>
          <w:p w14:paraId="3C6D35B4">
            <w:pPr>
              <w:jc w:val="center"/>
              <w:rPr>
                <w:rFonts w:ascii="宋体" w:hAnsi="宋体" w:cs="Tahoma"/>
                <w:color w:val="000000"/>
                <w:sz w:val="24"/>
                <w:highlight w:val="none"/>
              </w:rPr>
            </w:pPr>
          </w:p>
        </w:tc>
        <w:tc>
          <w:tcPr>
            <w:tcW w:w="2880" w:type="dxa"/>
            <w:gridSpan w:val="2"/>
            <w:vMerge w:val="continue"/>
            <w:noWrap w:val="0"/>
            <w:vAlign w:val="center"/>
          </w:tcPr>
          <w:p w14:paraId="7923D512">
            <w:pPr>
              <w:jc w:val="center"/>
              <w:rPr>
                <w:rFonts w:ascii="宋体" w:hAnsi="宋体" w:cs="Tahoma"/>
                <w:color w:val="000000"/>
                <w:sz w:val="24"/>
                <w:highlight w:val="none"/>
              </w:rPr>
            </w:pPr>
          </w:p>
        </w:tc>
        <w:tc>
          <w:tcPr>
            <w:tcW w:w="709" w:type="dxa"/>
            <w:noWrap w:val="0"/>
            <w:vAlign w:val="center"/>
          </w:tcPr>
          <w:p w14:paraId="665D7382">
            <w:pPr>
              <w:jc w:val="center"/>
              <w:rPr>
                <w:rFonts w:ascii="宋体" w:hAnsi="宋体" w:cs="Tahoma"/>
                <w:color w:val="000000"/>
                <w:sz w:val="24"/>
                <w:highlight w:val="none"/>
              </w:rPr>
            </w:pPr>
            <w:r>
              <w:rPr>
                <w:rFonts w:ascii="宋体" w:hAnsi="宋体" w:cs="Tahoma"/>
                <w:color w:val="000000"/>
                <w:sz w:val="24"/>
                <w:highlight w:val="none"/>
              </w:rPr>
              <w:t>2</w:t>
            </w:r>
          </w:p>
        </w:tc>
        <w:tc>
          <w:tcPr>
            <w:tcW w:w="6079" w:type="dxa"/>
            <w:noWrap w:val="0"/>
            <w:vAlign w:val="center"/>
          </w:tcPr>
          <w:p w14:paraId="18666F3D">
            <w:pPr>
              <w:rPr>
                <w:rFonts w:ascii="宋体" w:hAnsi="宋体" w:cs="Tahoma"/>
                <w:color w:val="000000"/>
                <w:sz w:val="24"/>
                <w:highlight w:val="none"/>
              </w:rPr>
            </w:pPr>
            <w:r>
              <w:rPr>
                <w:rFonts w:hint="eastAsia" w:ascii="宋体" w:hAnsi="宋体"/>
                <w:color w:val="000000"/>
                <w:sz w:val="24"/>
                <w:highlight w:val="none"/>
              </w:rPr>
              <w:t>拟投入本项目法律援助服务团队的律师或基层法律服务工作者中有</w:t>
            </w:r>
            <w:r>
              <w:rPr>
                <w:rFonts w:hint="eastAsia" w:ascii="宋体" w:hAnsi="宋体" w:cs="Tahoma"/>
                <w:color w:val="000000"/>
                <w:sz w:val="24"/>
                <w:highlight w:val="none"/>
              </w:rPr>
              <w:t>中共党员的，得</w:t>
            </w:r>
            <w:r>
              <w:rPr>
                <w:rFonts w:ascii="宋体" w:hAnsi="宋体" w:cs="Tahoma"/>
                <w:color w:val="000000"/>
                <w:sz w:val="24"/>
                <w:highlight w:val="none"/>
              </w:rPr>
              <w:t>2</w:t>
            </w:r>
            <w:r>
              <w:rPr>
                <w:rFonts w:hint="eastAsia" w:ascii="宋体" w:hAnsi="宋体" w:cs="Tahoma"/>
                <w:color w:val="000000"/>
                <w:sz w:val="24"/>
                <w:highlight w:val="none"/>
              </w:rPr>
              <w:t>分。</w:t>
            </w:r>
          </w:p>
          <w:p w14:paraId="0CC3E90A">
            <w:pPr>
              <w:rPr>
                <w:rFonts w:ascii="宋体" w:hAnsi="宋体"/>
                <w:color w:val="000000"/>
                <w:sz w:val="24"/>
                <w:highlight w:val="none"/>
              </w:rPr>
            </w:pPr>
            <w:r>
              <w:rPr>
                <w:rFonts w:ascii="宋体" w:hAnsi="宋体"/>
                <w:color w:val="000000"/>
                <w:sz w:val="24"/>
                <w:highlight w:val="none"/>
              </w:rPr>
              <w:t>注：提供</w:t>
            </w:r>
            <w:r>
              <w:rPr>
                <w:rFonts w:hint="eastAsia" w:ascii="宋体" w:hAnsi="宋体"/>
                <w:color w:val="000000"/>
                <w:sz w:val="24"/>
                <w:highlight w:val="none"/>
              </w:rPr>
              <w:t>党员所在党组织出具的证明材料，未提供的，得0分</w:t>
            </w:r>
            <w:r>
              <w:rPr>
                <w:rFonts w:ascii="宋体" w:hAnsi="宋体"/>
                <w:color w:val="000000"/>
                <w:sz w:val="24"/>
                <w:highlight w:val="none"/>
              </w:rPr>
              <w:t>。</w:t>
            </w:r>
          </w:p>
        </w:tc>
      </w:tr>
      <w:tr w14:paraId="2F6D6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084" w:type="dxa"/>
            <w:vMerge w:val="continue"/>
            <w:noWrap w:val="0"/>
            <w:vAlign w:val="center"/>
          </w:tcPr>
          <w:p w14:paraId="35EBBA9A">
            <w:pPr>
              <w:jc w:val="center"/>
              <w:rPr>
                <w:rFonts w:ascii="宋体" w:hAnsi="宋体" w:cs="Tahoma"/>
                <w:color w:val="000000"/>
                <w:sz w:val="24"/>
                <w:highlight w:val="none"/>
              </w:rPr>
            </w:pPr>
          </w:p>
        </w:tc>
        <w:tc>
          <w:tcPr>
            <w:tcW w:w="2880" w:type="dxa"/>
            <w:gridSpan w:val="2"/>
            <w:noWrap w:val="0"/>
            <w:vAlign w:val="center"/>
          </w:tcPr>
          <w:p w14:paraId="21FF2A72">
            <w:pPr>
              <w:jc w:val="center"/>
              <w:rPr>
                <w:rFonts w:ascii="宋体" w:hAnsi="宋体"/>
                <w:color w:val="000000"/>
                <w:sz w:val="24"/>
                <w:highlight w:val="none"/>
              </w:rPr>
            </w:pPr>
            <w:r>
              <w:rPr>
                <w:rFonts w:hint="eastAsia" w:ascii="宋体" w:hAnsi="宋体"/>
                <w:color w:val="000000"/>
                <w:sz w:val="24"/>
                <w:highlight w:val="none"/>
              </w:rPr>
              <w:t>特殊案件承办能力（6分）</w:t>
            </w:r>
          </w:p>
        </w:tc>
        <w:tc>
          <w:tcPr>
            <w:tcW w:w="709" w:type="dxa"/>
            <w:noWrap w:val="0"/>
            <w:vAlign w:val="center"/>
          </w:tcPr>
          <w:p w14:paraId="40F3A662">
            <w:pPr>
              <w:jc w:val="center"/>
              <w:rPr>
                <w:rFonts w:ascii="宋体" w:hAnsi="宋体" w:cs="Tahoma"/>
                <w:color w:val="000000"/>
                <w:sz w:val="24"/>
                <w:highlight w:val="none"/>
              </w:rPr>
            </w:pPr>
            <w:r>
              <w:rPr>
                <w:rFonts w:hint="eastAsia" w:ascii="宋体" w:hAnsi="宋体" w:cs="Tahoma"/>
                <w:color w:val="000000"/>
                <w:sz w:val="24"/>
                <w:highlight w:val="none"/>
              </w:rPr>
              <w:t>6</w:t>
            </w:r>
          </w:p>
        </w:tc>
        <w:tc>
          <w:tcPr>
            <w:tcW w:w="6079" w:type="dxa"/>
            <w:noWrap w:val="0"/>
            <w:vAlign w:val="top"/>
          </w:tcPr>
          <w:p w14:paraId="22FCA908">
            <w:pPr>
              <w:rPr>
                <w:rFonts w:ascii="宋体" w:hAnsi="宋体"/>
                <w:color w:val="000000"/>
                <w:sz w:val="24"/>
                <w:highlight w:val="none"/>
              </w:rPr>
            </w:pPr>
            <w:r>
              <w:rPr>
                <w:rFonts w:hint="eastAsia" w:ascii="宋体" w:hAnsi="宋体"/>
                <w:color w:val="000000"/>
                <w:sz w:val="24"/>
                <w:highlight w:val="none"/>
              </w:rPr>
              <w:t>拟投入本项目法律援助服务团队的人员中：</w:t>
            </w:r>
          </w:p>
          <w:p w14:paraId="51D7BDBE">
            <w:pPr>
              <w:rPr>
                <w:rFonts w:ascii="宋体" w:hAnsi="宋体"/>
                <w:color w:val="000000"/>
                <w:sz w:val="24"/>
                <w:highlight w:val="none"/>
              </w:rPr>
            </w:pPr>
            <w:r>
              <w:rPr>
                <w:rFonts w:ascii="宋体" w:hAnsi="宋体"/>
                <w:color w:val="000000"/>
                <w:sz w:val="24"/>
                <w:highlight w:val="none"/>
              </w:rPr>
              <w:t>有医疗纠纷</w:t>
            </w:r>
            <w:r>
              <w:rPr>
                <w:rFonts w:hint="eastAsia" w:ascii="宋体" w:hAnsi="宋体"/>
                <w:color w:val="000000"/>
                <w:sz w:val="24"/>
                <w:highlight w:val="none"/>
              </w:rPr>
              <w:t>案件</w:t>
            </w:r>
            <w:r>
              <w:rPr>
                <w:rFonts w:ascii="宋体" w:hAnsi="宋体"/>
                <w:color w:val="000000"/>
                <w:sz w:val="24"/>
                <w:highlight w:val="none"/>
              </w:rPr>
              <w:t>经验的，得2</w:t>
            </w:r>
            <w:r>
              <w:rPr>
                <w:rFonts w:hint="eastAsia" w:ascii="宋体" w:hAnsi="宋体"/>
                <w:color w:val="000000"/>
                <w:sz w:val="24"/>
                <w:highlight w:val="none"/>
              </w:rPr>
              <w:t>分；</w:t>
            </w:r>
          </w:p>
          <w:p w14:paraId="7D9A8EE7">
            <w:pPr>
              <w:rPr>
                <w:rFonts w:ascii="宋体" w:hAnsi="宋体"/>
                <w:color w:val="000000"/>
                <w:sz w:val="24"/>
                <w:highlight w:val="none"/>
              </w:rPr>
            </w:pPr>
            <w:r>
              <w:rPr>
                <w:rFonts w:hint="eastAsia" w:ascii="宋体" w:hAnsi="宋体" w:cs="宋体"/>
                <w:sz w:val="24"/>
                <w:highlight w:val="none"/>
              </w:rPr>
              <w:t>有行政诉讼案件</w:t>
            </w:r>
            <w:r>
              <w:rPr>
                <w:rFonts w:ascii="宋体" w:hAnsi="宋体"/>
                <w:color w:val="000000"/>
                <w:sz w:val="24"/>
                <w:highlight w:val="none"/>
              </w:rPr>
              <w:t>经验的，得2</w:t>
            </w:r>
            <w:r>
              <w:rPr>
                <w:rFonts w:hint="eastAsia" w:ascii="宋体" w:hAnsi="宋体"/>
                <w:color w:val="000000"/>
                <w:sz w:val="24"/>
                <w:highlight w:val="none"/>
              </w:rPr>
              <w:t>分；</w:t>
            </w:r>
          </w:p>
          <w:p w14:paraId="3A1B3C79">
            <w:pPr>
              <w:rPr>
                <w:rFonts w:hint="eastAsia" w:ascii="宋体" w:hAnsi="宋体"/>
                <w:color w:val="000000"/>
                <w:sz w:val="24"/>
                <w:highlight w:val="none"/>
              </w:rPr>
            </w:pPr>
            <w:r>
              <w:rPr>
                <w:rFonts w:hint="eastAsia" w:ascii="宋体" w:hAnsi="宋体" w:cs="宋体"/>
                <w:sz w:val="24"/>
                <w:highlight w:val="none"/>
              </w:rPr>
              <w:t>有国家赔偿案件</w:t>
            </w:r>
            <w:r>
              <w:rPr>
                <w:rFonts w:ascii="宋体" w:hAnsi="宋体"/>
                <w:color w:val="000000"/>
                <w:sz w:val="24"/>
                <w:highlight w:val="none"/>
              </w:rPr>
              <w:t>经验的，得2</w:t>
            </w:r>
            <w:r>
              <w:rPr>
                <w:rFonts w:hint="eastAsia" w:ascii="宋体" w:hAnsi="宋体"/>
                <w:color w:val="000000"/>
                <w:sz w:val="24"/>
                <w:highlight w:val="none"/>
              </w:rPr>
              <w:t>分。</w:t>
            </w:r>
          </w:p>
          <w:p w14:paraId="4A9D6A88">
            <w:pPr>
              <w:rPr>
                <w:rFonts w:hint="eastAsia" w:ascii="宋体" w:hAnsi="宋体"/>
                <w:color w:val="000000"/>
                <w:sz w:val="24"/>
                <w:highlight w:val="none"/>
              </w:rPr>
            </w:pPr>
            <w:r>
              <w:rPr>
                <w:rFonts w:ascii="宋体" w:hAnsi="宋体"/>
                <w:color w:val="000000"/>
                <w:sz w:val="24"/>
                <w:highlight w:val="none"/>
              </w:rPr>
              <w:t>注：需提供判决书等证明材料，</w:t>
            </w:r>
            <w:r>
              <w:rPr>
                <w:rFonts w:hint="eastAsia" w:ascii="宋体" w:hAnsi="宋体"/>
                <w:color w:val="000000"/>
                <w:sz w:val="24"/>
                <w:highlight w:val="none"/>
              </w:rPr>
              <w:t>未提供的，得0分</w:t>
            </w:r>
            <w:r>
              <w:rPr>
                <w:rFonts w:ascii="宋体" w:hAnsi="宋体"/>
                <w:color w:val="000000"/>
                <w:sz w:val="24"/>
                <w:highlight w:val="none"/>
              </w:rPr>
              <w:t>。</w:t>
            </w:r>
          </w:p>
        </w:tc>
      </w:tr>
      <w:tr w14:paraId="2E8AD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084" w:type="dxa"/>
            <w:vMerge w:val="continue"/>
            <w:noWrap w:val="0"/>
            <w:vAlign w:val="center"/>
          </w:tcPr>
          <w:p w14:paraId="1B41D13A">
            <w:pPr>
              <w:jc w:val="center"/>
              <w:rPr>
                <w:rFonts w:ascii="宋体" w:hAnsi="宋体" w:cs="Tahoma"/>
                <w:color w:val="000000"/>
                <w:sz w:val="24"/>
                <w:highlight w:val="none"/>
              </w:rPr>
            </w:pPr>
          </w:p>
        </w:tc>
        <w:tc>
          <w:tcPr>
            <w:tcW w:w="2880" w:type="dxa"/>
            <w:gridSpan w:val="2"/>
            <w:noWrap w:val="0"/>
            <w:vAlign w:val="center"/>
          </w:tcPr>
          <w:p w14:paraId="4CEA5F6C">
            <w:pPr>
              <w:jc w:val="center"/>
              <w:rPr>
                <w:rFonts w:ascii="宋体" w:hAnsi="宋体" w:cs="Tahoma"/>
                <w:color w:val="000000"/>
                <w:sz w:val="24"/>
                <w:highlight w:val="none"/>
              </w:rPr>
            </w:pPr>
            <w:r>
              <w:rPr>
                <w:rFonts w:hint="eastAsia" w:ascii="宋体" w:hAnsi="宋体"/>
                <w:color w:val="000000"/>
                <w:sz w:val="24"/>
                <w:highlight w:val="none"/>
              </w:rPr>
              <w:t>同类项目业绩（</w:t>
            </w:r>
            <w:r>
              <w:rPr>
                <w:rFonts w:ascii="宋体" w:hAnsi="宋体"/>
                <w:color w:val="000000"/>
                <w:sz w:val="24"/>
                <w:highlight w:val="none"/>
              </w:rPr>
              <w:t>10分</w:t>
            </w:r>
            <w:r>
              <w:rPr>
                <w:rFonts w:hint="eastAsia" w:ascii="宋体" w:hAnsi="宋体"/>
                <w:color w:val="000000"/>
                <w:sz w:val="24"/>
                <w:highlight w:val="none"/>
              </w:rPr>
              <w:t>）</w:t>
            </w:r>
          </w:p>
        </w:tc>
        <w:tc>
          <w:tcPr>
            <w:tcW w:w="709" w:type="dxa"/>
            <w:noWrap w:val="0"/>
            <w:vAlign w:val="center"/>
          </w:tcPr>
          <w:p w14:paraId="395AF861">
            <w:pPr>
              <w:jc w:val="center"/>
              <w:rPr>
                <w:rFonts w:ascii="宋体" w:hAnsi="宋体" w:cs="Tahoma"/>
                <w:color w:val="000000"/>
                <w:sz w:val="24"/>
                <w:highlight w:val="none"/>
              </w:rPr>
            </w:pPr>
            <w:r>
              <w:rPr>
                <w:rFonts w:ascii="宋体" w:hAnsi="宋体"/>
                <w:color w:val="000000"/>
                <w:sz w:val="24"/>
                <w:highlight w:val="none"/>
              </w:rPr>
              <w:t>10</w:t>
            </w:r>
          </w:p>
        </w:tc>
        <w:tc>
          <w:tcPr>
            <w:tcW w:w="6079" w:type="dxa"/>
            <w:noWrap w:val="0"/>
            <w:vAlign w:val="center"/>
          </w:tcPr>
          <w:p w14:paraId="208B424B">
            <w:pPr>
              <w:rPr>
                <w:rFonts w:ascii="宋体" w:hAnsi="宋体" w:cs="Tahoma"/>
                <w:color w:val="000000"/>
                <w:sz w:val="24"/>
                <w:highlight w:val="none"/>
              </w:rPr>
            </w:pPr>
            <w:r>
              <w:rPr>
                <w:rFonts w:hint="eastAsia" w:ascii="宋体" w:hAnsi="宋体"/>
                <w:color w:val="000000"/>
                <w:sz w:val="24"/>
                <w:highlight w:val="none"/>
              </w:rPr>
              <w:t>供应商具有近三年（</w:t>
            </w:r>
            <w:r>
              <w:rPr>
                <w:rFonts w:ascii="宋体" w:hAnsi="宋体"/>
                <w:color w:val="000000"/>
                <w:sz w:val="24"/>
                <w:highlight w:val="none"/>
              </w:rPr>
              <w:t>2023</w:t>
            </w:r>
            <w:r>
              <w:rPr>
                <w:rFonts w:hint="eastAsia" w:ascii="宋体" w:hAnsi="宋体"/>
                <w:color w:val="000000"/>
                <w:sz w:val="24"/>
                <w:highlight w:val="none"/>
              </w:rPr>
              <w:t>年</w:t>
            </w:r>
            <w:r>
              <w:rPr>
                <w:rFonts w:ascii="宋体" w:hAnsi="宋体"/>
                <w:color w:val="000000"/>
                <w:sz w:val="24"/>
                <w:highlight w:val="none"/>
              </w:rPr>
              <w:t>8</w:t>
            </w:r>
            <w:r>
              <w:rPr>
                <w:rFonts w:hint="eastAsia" w:ascii="宋体" w:hAnsi="宋体"/>
                <w:color w:val="000000"/>
                <w:sz w:val="24"/>
                <w:highlight w:val="none"/>
              </w:rPr>
              <w:t>月1日至开启截止日前）参与法律援助工作的经验，需提供供应商与法律援助机构签署的协议等证明材料，每提供1个得</w:t>
            </w:r>
            <w:r>
              <w:rPr>
                <w:rFonts w:ascii="宋体" w:hAnsi="宋体"/>
                <w:color w:val="000000"/>
                <w:sz w:val="24"/>
                <w:highlight w:val="none"/>
              </w:rPr>
              <w:t>5</w:t>
            </w:r>
            <w:r>
              <w:rPr>
                <w:rFonts w:hint="eastAsia" w:ascii="宋体" w:hAnsi="宋体"/>
                <w:color w:val="000000"/>
                <w:sz w:val="24"/>
                <w:highlight w:val="none"/>
              </w:rPr>
              <w:t>分，最多得</w:t>
            </w:r>
            <w:r>
              <w:rPr>
                <w:rFonts w:ascii="宋体" w:hAnsi="宋体"/>
                <w:color w:val="000000"/>
                <w:sz w:val="24"/>
                <w:highlight w:val="none"/>
              </w:rPr>
              <w:t>10</w:t>
            </w:r>
            <w:r>
              <w:rPr>
                <w:rFonts w:hint="eastAsia" w:ascii="宋体" w:hAnsi="宋体"/>
                <w:color w:val="000000"/>
                <w:sz w:val="24"/>
                <w:highlight w:val="none"/>
              </w:rPr>
              <w:t>分，未提供或不符合同类项目业绩要求的，得0分。</w:t>
            </w:r>
          </w:p>
        </w:tc>
      </w:tr>
      <w:tr w14:paraId="2E270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jc w:val="center"/>
        </w:trPr>
        <w:tc>
          <w:tcPr>
            <w:tcW w:w="1084" w:type="dxa"/>
            <w:vMerge w:val="restart"/>
            <w:noWrap w:val="0"/>
            <w:vAlign w:val="center"/>
          </w:tcPr>
          <w:p w14:paraId="73199B42">
            <w:pPr>
              <w:jc w:val="center"/>
              <w:rPr>
                <w:rFonts w:ascii="宋体" w:hAnsi="宋体"/>
                <w:color w:val="000000"/>
                <w:sz w:val="24"/>
                <w:highlight w:val="none"/>
              </w:rPr>
            </w:pPr>
            <w:r>
              <w:rPr>
                <w:rFonts w:hint="eastAsia" w:ascii="宋体" w:hAnsi="宋体"/>
                <w:color w:val="000000"/>
                <w:sz w:val="24"/>
                <w:highlight w:val="none"/>
              </w:rPr>
              <w:t>技术</w:t>
            </w:r>
          </w:p>
          <w:p w14:paraId="7BC966AC">
            <w:pPr>
              <w:jc w:val="center"/>
              <w:rPr>
                <w:rFonts w:ascii="宋体" w:hAnsi="宋体"/>
                <w:color w:val="000000"/>
                <w:sz w:val="24"/>
                <w:highlight w:val="none"/>
              </w:rPr>
            </w:pPr>
            <w:r>
              <w:rPr>
                <w:rFonts w:hint="eastAsia" w:ascii="宋体" w:hAnsi="宋体"/>
                <w:color w:val="000000"/>
                <w:sz w:val="24"/>
                <w:highlight w:val="none"/>
              </w:rPr>
              <w:t>部分</w:t>
            </w:r>
          </w:p>
          <w:p w14:paraId="1DE5423C">
            <w:pPr>
              <w:jc w:val="center"/>
              <w:rPr>
                <w:rFonts w:ascii="宋体" w:hAnsi="宋体" w:cs="Tahoma"/>
                <w:color w:val="000000"/>
                <w:sz w:val="24"/>
                <w:highlight w:val="none"/>
              </w:rPr>
            </w:pPr>
            <w:r>
              <w:rPr>
                <w:rFonts w:hint="eastAsia" w:ascii="宋体" w:hAnsi="宋体"/>
                <w:color w:val="000000"/>
                <w:sz w:val="24"/>
                <w:highlight w:val="none"/>
              </w:rPr>
              <w:t>(</w:t>
            </w:r>
            <w:r>
              <w:rPr>
                <w:rFonts w:ascii="宋体" w:hAnsi="宋体"/>
                <w:color w:val="000000"/>
                <w:sz w:val="24"/>
                <w:highlight w:val="none"/>
              </w:rPr>
              <w:t>66</w:t>
            </w:r>
            <w:r>
              <w:rPr>
                <w:rFonts w:hint="eastAsia" w:ascii="宋体" w:hAnsi="宋体"/>
                <w:color w:val="000000"/>
                <w:sz w:val="24"/>
                <w:highlight w:val="none"/>
              </w:rPr>
              <w:t>分)</w:t>
            </w:r>
          </w:p>
        </w:tc>
        <w:tc>
          <w:tcPr>
            <w:tcW w:w="2880" w:type="dxa"/>
            <w:gridSpan w:val="2"/>
            <w:noWrap w:val="0"/>
            <w:vAlign w:val="center"/>
          </w:tcPr>
          <w:p w14:paraId="7D0E0EA3">
            <w:pPr>
              <w:adjustRightInd w:val="0"/>
              <w:snapToGrid w:val="0"/>
              <w:jc w:val="center"/>
              <w:rPr>
                <w:rFonts w:ascii="宋体" w:hAnsi="宋体"/>
                <w:color w:val="000000"/>
                <w:sz w:val="24"/>
                <w:highlight w:val="none"/>
              </w:rPr>
            </w:pPr>
            <w:r>
              <w:rPr>
                <w:rFonts w:hint="eastAsia" w:ascii="宋体" w:hAnsi="宋体" w:cs="宋体"/>
                <w:color w:val="000000"/>
                <w:kern w:val="0"/>
                <w:sz w:val="24"/>
                <w:highlight w:val="none"/>
              </w:rPr>
              <w:t>详细描述对所投标项目的重点、难点分析（</w:t>
            </w:r>
            <w:r>
              <w:rPr>
                <w:rFonts w:ascii="宋体" w:hAnsi="宋体" w:cs="宋体"/>
                <w:color w:val="000000"/>
                <w:kern w:val="0"/>
                <w:sz w:val="24"/>
                <w:highlight w:val="none"/>
              </w:rPr>
              <w:t>6</w:t>
            </w:r>
            <w:r>
              <w:rPr>
                <w:rFonts w:hint="eastAsia" w:ascii="宋体" w:hAnsi="宋体" w:cs="宋体"/>
                <w:color w:val="000000"/>
                <w:kern w:val="0"/>
                <w:sz w:val="24"/>
                <w:highlight w:val="none"/>
              </w:rPr>
              <w:t>分）</w:t>
            </w:r>
          </w:p>
        </w:tc>
        <w:tc>
          <w:tcPr>
            <w:tcW w:w="709" w:type="dxa"/>
            <w:noWrap w:val="0"/>
            <w:vAlign w:val="center"/>
          </w:tcPr>
          <w:p w14:paraId="3187DB74">
            <w:pPr>
              <w:jc w:val="center"/>
              <w:rPr>
                <w:rFonts w:ascii="宋体" w:hAnsi="宋体"/>
                <w:color w:val="000000"/>
                <w:sz w:val="24"/>
                <w:highlight w:val="none"/>
              </w:rPr>
            </w:pPr>
            <w:r>
              <w:rPr>
                <w:rFonts w:ascii="宋体" w:hAnsi="宋体"/>
                <w:color w:val="000000"/>
                <w:sz w:val="24"/>
                <w:highlight w:val="none"/>
              </w:rPr>
              <w:t>6</w:t>
            </w:r>
          </w:p>
        </w:tc>
        <w:tc>
          <w:tcPr>
            <w:tcW w:w="6079" w:type="dxa"/>
            <w:noWrap w:val="0"/>
            <w:vAlign w:val="center"/>
          </w:tcPr>
          <w:p w14:paraId="279AE633">
            <w:pPr>
              <w:rPr>
                <w:rFonts w:ascii="宋体" w:hAnsi="宋体"/>
                <w:color w:val="000000"/>
                <w:sz w:val="24"/>
                <w:highlight w:val="none"/>
              </w:rPr>
            </w:pPr>
            <w:r>
              <w:rPr>
                <w:rFonts w:ascii="宋体" w:hAnsi="宋体"/>
                <w:color w:val="000000"/>
                <w:sz w:val="24"/>
                <w:highlight w:val="none"/>
              </w:rPr>
              <w:t>根据本项目采购需求</w:t>
            </w:r>
            <w:r>
              <w:rPr>
                <w:rFonts w:hint="eastAsia" w:ascii="宋体" w:hAnsi="宋体"/>
                <w:color w:val="000000"/>
                <w:sz w:val="24"/>
                <w:highlight w:val="none"/>
              </w:rPr>
              <w:t>，</w:t>
            </w:r>
            <w:r>
              <w:rPr>
                <w:rFonts w:ascii="宋体" w:hAnsi="宋体"/>
                <w:color w:val="000000"/>
                <w:sz w:val="24"/>
                <w:highlight w:val="none"/>
              </w:rPr>
              <w:t>描述对本项目的工作</w:t>
            </w:r>
            <w:r>
              <w:rPr>
                <w:rFonts w:hint="eastAsia" w:ascii="宋体" w:hAnsi="宋体"/>
                <w:color w:val="000000"/>
                <w:sz w:val="24"/>
                <w:highlight w:val="none"/>
              </w:rPr>
              <w:t>重点、难点分析。</w:t>
            </w:r>
          </w:p>
          <w:p w14:paraId="42F7EC52">
            <w:pPr>
              <w:pStyle w:val="4"/>
              <w:adjustRightInd/>
              <w:ind w:firstLine="0"/>
              <w:jc w:val="both"/>
              <w:rPr>
                <w:rFonts w:hAnsi="宋体"/>
                <w:color w:val="000000"/>
                <w:highlight w:val="none"/>
              </w:rPr>
            </w:pPr>
            <w:r>
              <w:rPr>
                <w:rFonts w:hAnsi="宋体"/>
                <w:color w:val="000000"/>
                <w:highlight w:val="none"/>
              </w:rPr>
              <w:t>对本项目的</w:t>
            </w:r>
            <w:r>
              <w:rPr>
                <w:rFonts w:hint="eastAsia" w:hAnsi="宋体"/>
                <w:color w:val="000000"/>
                <w:highlight w:val="none"/>
              </w:rPr>
              <w:t>重点、难点分析深入，定位准确，得</w:t>
            </w:r>
            <w:r>
              <w:rPr>
                <w:rFonts w:hAnsi="宋体"/>
                <w:color w:val="000000"/>
                <w:highlight w:val="none"/>
              </w:rPr>
              <w:t>6</w:t>
            </w:r>
            <w:r>
              <w:rPr>
                <w:rFonts w:hint="eastAsia" w:hAnsi="宋体"/>
                <w:color w:val="000000"/>
                <w:highlight w:val="none"/>
              </w:rPr>
              <w:t>分；</w:t>
            </w:r>
          </w:p>
          <w:p w14:paraId="039992E4">
            <w:pPr>
              <w:pStyle w:val="4"/>
              <w:adjustRightInd/>
              <w:ind w:firstLine="0"/>
              <w:jc w:val="both"/>
              <w:rPr>
                <w:rFonts w:hAnsi="宋体"/>
                <w:color w:val="000000"/>
                <w:highlight w:val="none"/>
              </w:rPr>
            </w:pPr>
            <w:r>
              <w:rPr>
                <w:rFonts w:hAnsi="宋体"/>
                <w:color w:val="000000"/>
                <w:highlight w:val="none"/>
              </w:rPr>
              <w:t>对本项目的</w:t>
            </w:r>
            <w:r>
              <w:rPr>
                <w:rFonts w:hint="eastAsia" w:hAnsi="宋体"/>
                <w:color w:val="000000"/>
                <w:highlight w:val="none"/>
              </w:rPr>
              <w:t>重点、难点分析</w:t>
            </w:r>
            <w:r>
              <w:rPr>
                <w:rFonts w:hAnsi="宋体"/>
                <w:color w:val="000000"/>
                <w:highlight w:val="none"/>
              </w:rPr>
              <w:t>深入</w:t>
            </w:r>
            <w:r>
              <w:rPr>
                <w:rFonts w:hint="eastAsia" w:hAnsi="宋体"/>
                <w:color w:val="000000"/>
                <w:highlight w:val="none"/>
              </w:rPr>
              <w:t>，</w:t>
            </w:r>
            <w:r>
              <w:rPr>
                <w:rFonts w:hAnsi="宋体"/>
                <w:color w:val="000000"/>
                <w:highlight w:val="none"/>
              </w:rPr>
              <w:t>但</w:t>
            </w:r>
            <w:r>
              <w:rPr>
                <w:rFonts w:hint="eastAsia" w:hAnsi="宋体"/>
                <w:color w:val="000000"/>
                <w:highlight w:val="none"/>
              </w:rPr>
              <w:t>定位</w:t>
            </w:r>
            <w:r>
              <w:rPr>
                <w:rFonts w:hAnsi="宋体"/>
                <w:color w:val="000000"/>
                <w:highlight w:val="none"/>
              </w:rPr>
              <w:t>不够准确</w:t>
            </w:r>
            <w:r>
              <w:rPr>
                <w:rFonts w:hint="eastAsia" w:hAnsi="宋体"/>
                <w:color w:val="000000"/>
                <w:highlight w:val="none"/>
              </w:rPr>
              <w:t>，</w:t>
            </w:r>
            <w:r>
              <w:rPr>
                <w:rFonts w:hAnsi="宋体"/>
                <w:color w:val="000000"/>
                <w:highlight w:val="none"/>
              </w:rPr>
              <w:t>得4</w:t>
            </w:r>
            <w:r>
              <w:rPr>
                <w:rFonts w:hint="eastAsia" w:hAnsi="宋体"/>
                <w:color w:val="000000"/>
                <w:highlight w:val="none"/>
              </w:rPr>
              <w:t>分；</w:t>
            </w:r>
          </w:p>
          <w:p w14:paraId="4FE3CD41">
            <w:pPr>
              <w:pStyle w:val="4"/>
              <w:adjustRightInd/>
              <w:ind w:firstLine="0"/>
              <w:jc w:val="both"/>
              <w:rPr>
                <w:rFonts w:hAnsi="宋体"/>
                <w:color w:val="000000"/>
                <w:highlight w:val="none"/>
              </w:rPr>
            </w:pPr>
            <w:r>
              <w:rPr>
                <w:rFonts w:hAnsi="宋体"/>
                <w:color w:val="000000"/>
                <w:highlight w:val="none"/>
              </w:rPr>
              <w:t>对本项目的</w:t>
            </w:r>
            <w:r>
              <w:rPr>
                <w:rFonts w:hint="eastAsia" w:hAnsi="宋体"/>
                <w:color w:val="000000"/>
                <w:highlight w:val="none"/>
              </w:rPr>
              <w:t>重点、难点分析</w:t>
            </w:r>
            <w:r>
              <w:rPr>
                <w:rFonts w:hAnsi="宋体"/>
                <w:color w:val="000000"/>
                <w:highlight w:val="none"/>
              </w:rPr>
              <w:t>浮浅</w:t>
            </w:r>
            <w:r>
              <w:rPr>
                <w:rFonts w:hint="eastAsia" w:hAnsi="宋体"/>
                <w:color w:val="000000"/>
                <w:highlight w:val="none"/>
              </w:rPr>
              <w:t>，且定位</w:t>
            </w:r>
            <w:r>
              <w:rPr>
                <w:rFonts w:hAnsi="宋体"/>
                <w:color w:val="000000"/>
                <w:highlight w:val="none"/>
              </w:rPr>
              <w:t>不够准确</w:t>
            </w:r>
            <w:r>
              <w:rPr>
                <w:rFonts w:hint="eastAsia" w:hAnsi="宋体"/>
                <w:color w:val="000000"/>
                <w:highlight w:val="none"/>
              </w:rPr>
              <w:t>，</w:t>
            </w:r>
            <w:r>
              <w:rPr>
                <w:rFonts w:hAnsi="宋体"/>
                <w:color w:val="000000"/>
                <w:highlight w:val="none"/>
              </w:rPr>
              <w:t>得2</w:t>
            </w:r>
            <w:r>
              <w:rPr>
                <w:rFonts w:hint="eastAsia" w:hAnsi="宋体"/>
                <w:color w:val="000000"/>
                <w:highlight w:val="none"/>
              </w:rPr>
              <w:t>分；</w:t>
            </w:r>
          </w:p>
          <w:p w14:paraId="70CDFD60">
            <w:pPr>
              <w:pStyle w:val="4"/>
              <w:ind w:firstLine="0"/>
              <w:jc w:val="both"/>
              <w:rPr>
                <w:rFonts w:hAnsi="宋体"/>
                <w:color w:val="000000"/>
                <w:highlight w:val="none"/>
              </w:rPr>
            </w:pPr>
            <w:r>
              <w:rPr>
                <w:rFonts w:hAnsi="宋体"/>
                <w:color w:val="000000"/>
                <w:highlight w:val="none"/>
              </w:rPr>
              <w:t>对本项目的</w:t>
            </w:r>
            <w:r>
              <w:rPr>
                <w:rFonts w:hint="eastAsia" w:hAnsi="宋体"/>
                <w:color w:val="000000"/>
                <w:highlight w:val="none"/>
              </w:rPr>
              <w:t>重点、难点分析不相关或未进行描述</w:t>
            </w:r>
            <w:r>
              <w:rPr>
                <w:rFonts w:hAnsi="宋体"/>
                <w:color w:val="000000"/>
                <w:highlight w:val="none"/>
              </w:rPr>
              <w:t>，得</w:t>
            </w:r>
            <w:r>
              <w:rPr>
                <w:rFonts w:hint="eastAsia" w:hAnsi="宋体"/>
                <w:color w:val="000000"/>
                <w:highlight w:val="none"/>
              </w:rPr>
              <w:t>0分。</w:t>
            </w:r>
          </w:p>
        </w:tc>
      </w:tr>
      <w:tr w14:paraId="47237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noWrap w:val="0"/>
            <w:vAlign w:val="center"/>
          </w:tcPr>
          <w:p w14:paraId="54F29E50">
            <w:pPr>
              <w:jc w:val="center"/>
              <w:rPr>
                <w:rFonts w:ascii="宋体" w:hAnsi="宋体"/>
                <w:color w:val="000000"/>
                <w:sz w:val="24"/>
                <w:highlight w:val="none"/>
              </w:rPr>
            </w:pPr>
          </w:p>
        </w:tc>
        <w:tc>
          <w:tcPr>
            <w:tcW w:w="1321" w:type="dxa"/>
            <w:vMerge w:val="restart"/>
            <w:noWrap w:val="0"/>
            <w:vAlign w:val="center"/>
          </w:tcPr>
          <w:p w14:paraId="60941EDE">
            <w:pPr>
              <w:widowControl/>
              <w:jc w:val="center"/>
              <w:rPr>
                <w:rFonts w:hint="eastAsia" w:ascii="宋体" w:hAnsi="宋体" w:cs="宋体"/>
                <w:color w:val="000000"/>
                <w:sz w:val="24"/>
                <w:highlight w:val="none"/>
              </w:rPr>
            </w:pPr>
            <w:r>
              <w:rPr>
                <w:rFonts w:ascii="宋体" w:hAnsi="宋体" w:cs="宋体"/>
                <w:color w:val="000000"/>
                <w:sz w:val="24"/>
                <w:highlight w:val="none"/>
              </w:rPr>
              <w:t>服务方案（</w:t>
            </w:r>
            <w:r>
              <w:rPr>
                <w:rFonts w:hint="eastAsia" w:ascii="宋体" w:hAnsi="宋体" w:cs="宋体"/>
                <w:color w:val="000000"/>
                <w:sz w:val="24"/>
                <w:highlight w:val="none"/>
              </w:rPr>
              <w:t>2</w:t>
            </w:r>
            <w:r>
              <w:rPr>
                <w:rFonts w:ascii="宋体" w:hAnsi="宋体" w:cs="宋体"/>
                <w:color w:val="000000"/>
                <w:sz w:val="24"/>
                <w:highlight w:val="none"/>
              </w:rPr>
              <w:t>4分）</w:t>
            </w:r>
          </w:p>
        </w:tc>
        <w:tc>
          <w:tcPr>
            <w:tcW w:w="1559" w:type="dxa"/>
            <w:noWrap w:val="0"/>
            <w:vAlign w:val="center"/>
          </w:tcPr>
          <w:p w14:paraId="15AA75A2">
            <w:pPr>
              <w:widowControl/>
              <w:jc w:val="center"/>
              <w:rPr>
                <w:rFonts w:ascii="宋体" w:hAnsi="宋体" w:cs="宋体"/>
                <w:color w:val="000000"/>
                <w:sz w:val="24"/>
                <w:highlight w:val="none"/>
              </w:rPr>
            </w:pPr>
            <w:r>
              <w:rPr>
                <w:rFonts w:hint="eastAsia" w:ascii="宋体" w:hAnsi="宋体" w:cs="宋体"/>
                <w:color w:val="000000"/>
                <w:sz w:val="24"/>
                <w:highlight w:val="none"/>
              </w:rPr>
              <w:t>值班工作人员管理、备班安排、工作规范服务</w:t>
            </w:r>
          </w:p>
        </w:tc>
        <w:tc>
          <w:tcPr>
            <w:tcW w:w="709" w:type="dxa"/>
            <w:noWrap w:val="0"/>
            <w:vAlign w:val="center"/>
          </w:tcPr>
          <w:p w14:paraId="2A309D30">
            <w:pPr>
              <w:jc w:val="center"/>
              <w:rPr>
                <w:rFonts w:ascii="宋体" w:hAnsi="宋体"/>
                <w:color w:val="000000"/>
                <w:sz w:val="24"/>
                <w:highlight w:val="none"/>
              </w:rPr>
            </w:pPr>
            <w:r>
              <w:rPr>
                <w:rFonts w:ascii="宋体" w:hAnsi="宋体"/>
                <w:color w:val="000000"/>
                <w:sz w:val="24"/>
                <w:highlight w:val="none"/>
              </w:rPr>
              <w:t>4</w:t>
            </w:r>
          </w:p>
        </w:tc>
        <w:tc>
          <w:tcPr>
            <w:tcW w:w="6079" w:type="dxa"/>
            <w:noWrap w:val="0"/>
            <w:vAlign w:val="center"/>
          </w:tcPr>
          <w:p w14:paraId="0B7771AA">
            <w:pPr>
              <w:rPr>
                <w:rFonts w:hint="eastAsia" w:ascii="宋体" w:hAnsi="宋体" w:cs="宋体"/>
                <w:bCs/>
                <w:sz w:val="24"/>
                <w:highlight w:val="none"/>
              </w:rPr>
            </w:pPr>
            <w:r>
              <w:rPr>
                <w:rFonts w:hint="eastAsia" w:ascii="宋体" w:hAnsi="宋体" w:cs="宋体"/>
                <w:bCs/>
                <w:sz w:val="24"/>
                <w:highlight w:val="none"/>
              </w:rPr>
              <w:t>内容切实可行，完全满足采购需求，得</w:t>
            </w:r>
            <w:r>
              <w:rPr>
                <w:rFonts w:ascii="宋体" w:hAnsi="宋体" w:cs="宋体"/>
                <w:bCs/>
                <w:sz w:val="24"/>
                <w:highlight w:val="none"/>
              </w:rPr>
              <w:t>4</w:t>
            </w:r>
            <w:r>
              <w:rPr>
                <w:rFonts w:hint="eastAsia" w:ascii="宋体" w:hAnsi="宋体" w:cs="宋体"/>
                <w:bCs/>
                <w:sz w:val="24"/>
                <w:highlight w:val="none"/>
              </w:rPr>
              <w:t>分；</w:t>
            </w:r>
          </w:p>
          <w:p w14:paraId="26713BE5">
            <w:pPr>
              <w:rPr>
                <w:rFonts w:hint="eastAsia" w:ascii="宋体" w:hAnsi="宋体" w:cs="宋体"/>
                <w:bCs/>
                <w:sz w:val="24"/>
                <w:highlight w:val="none"/>
              </w:rPr>
            </w:pPr>
            <w:r>
              <w:rPr>
                <w:rFonts w:hint="eastAsia" w:ascii="宋体" w:hAnsi="宋体" w:cs="宋体"/>
                <w:bCs/>
                <w:sz w:val="24"/>
                <w:highlight w:val="none"/>
              </w:rPr>
              <w:t>内容未包含具体实施细节、或内容未贴合实际情况，得</w:t>
            </w:r>
            <w:r>
              <w:rPr>
                <w:rFonts w:ascii="宋体" w:hAnsi="宋体" w:cs="宋体"/>
                <w:bCs/>
                <w:sz w:val="24"/>
                <w:highlight w:val="none"/>
              </w:rPr>
              <w:t>2</w:t>
            </w:r>
            <w:r>
              <w:rPr>
                <w:rFonts w:hint="eastAsia" w:ascii="宋体" w:hAnsi="宋体" w:cs="宋体"/>
                <w:bCs/>
                <w:sz w:val="24"/>
                <w:highlight w:val="none"/>
              </w:rPr>
              <w:t>分；</w:t>
            </w:r>
          </w:p>
          <w:p w14:paraId="22AE1B7C">
            <w:pPr>
              <w:rPr>
                <w:rFonts w:ascii="宋体" w:hAnsi="宋体" w:cs="宋体"/>
                <w:bCs/>
                <w:sz w:val="24"/>
                <w:highlight w:val="none"/>
              </w:rPr>
            </w:pPr>
            <w:r>
              <w:rPr>
                <w:rFonts w:hint="eastAsia" w:ascii="宋体" w:hAnsi="宋体" w:cs="宋体"/>
                <w:bCs/>
                <w:sz w:val="24"/>
                <w:highlight w:val="none"/>
              </w:rPr>
              <w:t>内容存在重大偏差，得</w:t>
            </w:r>
            <w:r>
              <w:rPr>
                <w:rFonts w:ascii="宋体" w:hAnsi="宋体" w:cs="宋体"/>
                <w:bCs/>
                <w:sz w:val="24"/>
                <w:highlight w:val="none"/>
              </w:rPr>
              <w:t>1</w:t>
            </w:r>
            <w:r>
              <w:rPr>
                <w:rFonts w:hint="eastAsia" w:ascii="宋体" w:hAnsi="宋体" w:cs="宋体"/>
                <w:bCs/>
                <w:sz w:val="24"/>
                <w:highlight w:val="none"/>
              </w:rPr>
              <w:t>分；</w:t>
            </w:r>
          </w:p>
          <w:p w14:paraId="2642CCF6">
            <w:pPr>
              <w:pStyle w:val="4"/>
              <w:ind w:firstLine="0"/>
              <w:jc w:val="both"/>
              <w:rPr>
                <w:rFonts w:hAnsi="宋体"/>
                <w:color w:val="000000"/>
                <w:highlight w:val="none"/>
              </w:rPr>
            </w:pPr>
            <w:r>
              <w:rPr>
                <w:rFonts w:hint="eastAsia" w:hAnsi="宋体" w:cs="宋体"/>
                <w:bCs/>
                <w:highlight w:val="none"/>
              </w:rPr>
              <w:t>未提供，得</w:t>
            </w:r>
            <w:r>
              <w:rPr>
                <w:rFonts w:hAnsi="宋体" w:cs="宋体"/>
                <w:bCs/>
                <w:highlight w:val="none"/>
              </w:rPr>
              <w:t>0</w:t>
            </w:r>
            <w:r>
              <w:rPr>
                <w:rFonts w:hint="eastAsia" w:hAnsi="宋体" w:cs="宋体"/>
                <w:bCs/>
                <w:highlight w:val="none"/>
              </w:rPr>
              <w:t>分。</w:t>
            </w:r>
          </w:p>
        </w:tc>
      </w:tr>
      <w:tr w14:paraId="0FE5C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noWrap w:val="0"/>
            <w:vAlign w:val="center"/>
          </w:tcPr>
          <w:p w14:paraId="76EB50E7">
            <w:pPr>
              <w:jc w:val="center"/>
              <w:rPr>
                <w:rFonts w:ascii="宋体" w:hAnsi="宋体"/>
                <w:color w:val="000000"/>
                <w:sz w:val="24"/>
                <w:highlight w:val="none"/>
              </w:rPr>
            </w:pPr>
          </w:p>
        </w:tc>
        <w:tc>
          <w:tcPr>
            <w:tcW w:w="1321" w:type="dxa"/>
            <w:vMerge w:val="continue"/>
            <w:noWrap w:val="0"/>
            <w:vAlign w:val="center"/>
          </w:tcPr>
          <w:p w14:paraId="10FA6A17">
            <w:pPr>
              <w:widowControl/>
              <w:jc w:val="center"/>
              <w:rPr>
                <w:rFonts w:ascii="宋体" w:hAnsi="宋体" w:cs="仿宋_GB2312"/>
                <w:bCs/>
                <w:sz w:val="24"/>
                <w:highlight w:val="none"/>
              </w:rPr>
            </w:pPr>
          </w:p>
        </w:tc>
        <w:tc>
          <w:tcPr>
            <w:tcW w:w="1559" w:type="dxa"/>
            <w:noWrap w:val="0"/>
            <w:vAlign w:val="center"/>
          </w:tcPr>
          <w:p w14:paraId="16864AA0">
            <w:pPr>
              <w:widowControl/>
              <w:jc w:val="center"/>
              <w:rPr>
                <w:rFonts w:ascii="宋体" w:hAnsi="宋体" w:cs="宋体"/>
                <w:color w:val="000000"/>
                <w:sz w:val="24"/>
                <w:highlight w:val="none"/>
              </w:rPr>
            </w:pPr>
            <w:r>
              <w:rPr>
                <w:rFonts w:hint="eastAsia" w:ascii="宋体" w:hAnsi="宋体" w:cs="仿宋_GB2312"/>
                <w:bCs/>
                <w:sz w:val="24"/>
                <w:highlight w:val="none"/>
              </w:rPr>
              <w:t>代写法律文书服务</w:t>
            </w:r>
          </w:p>
        </w:tc>
        <w:tc>
          <w:tcPr>
            <w:tcW w:w="709" w:type="dxa"/>
            <w:noWrap w:val="0"/>
            <w:vAlign w:val="center"/>
          </w:tcPr>
          <w:p w14:paraId="25445A80">
            <w:pPr>
              <w:jc w:val="center"/>
              <w:rPr>
                <w:rFonts w:ascii="宋体" w:hAnsi="宋体"/>
                <w:color w:val="000000"/>
                <w:sz w:val="24"/>
                <w:highlight w:val="none"/>
              </w:rPr>
            </w:pPr>
            <w:r>
              <w:rPr>
                <w:rFonts w:ascii="宋体" w:hAnsi="宋体"/>
                <w:color w:val="000000"/>
                <w:sz w:val="24"/>
                <w:highlight w:val="none"/>
              </w:rPr>
              <w:t>4</w:t>
            </w:r>
          </w:p>
        </w:tc>
        <w:tc>
          <w:tcPr>
            <w:tcW w:w="6079" w:type="dxa"/>
            <w:noWrap w:val="0"/>
            <w:vAlign w:val="center"/>
          </w:tcPr>
          <w:p w14:paraId="0DE12740">
            <w:pPr>
              <w:pStyle w:val="4"/>
              <w:ind w:firstLine="0"/>
              <w:rPr>
                <w:rFonts w:hint="eastAsia" w:hAnsi="宋体"/>
                <w:color w:val="000000"/>
                <w:highlight w:val="none"/>
              </w:rPr>
            </w:pPr>
            <w:r>
              <w:rPr>
                <w:rFonts w:hint="eastAsia" w:hAnsi="宋体"/>
                <w:color w:val="000000"/>
                <w:highlight w:val="none"/>
              </w:rPr>
              <w:t>内容切实可行，完全满足采购需求，得4分；</w:t>
            </w:r>
          </w:p>
          <w:p w14:paraId="6DE6E438">
            <w:pPr>
              <w:pStyle w:val="4"/>
              <w:ind w:firstLine="0"/>
              <w:rPr>
                <w:rFonts w:hint="eastAsia" w:hAnsi="宋体"/>
                <w:color w:val="000000"/>
                <w:highlight w:val="none"/>
              </w:rPr>
            </w:pPr>
            <w:r>
              <w:rPr>
                <w:rFonts w:hint="eastAsia" w:hAnsi="宋体"/>
                <w:color w:val="000000"/>
                <w:highlight w:val="none"/>
              </w:rPr>
              <w:t>内容未包含具体实施细节、或内容未贴合实际情况，得2分；</w:t>
            </w:r>
          </w:p>
          <w:p w14:paraId="6213776E">
            <w:pPr>
              <w:pStyle w:val="4"/>
              <w:ind w:firstLine="0"/>
              <w:rPr>
                <w:rFonts w:hint="eastAsia" w:hAnsi="宋体"/>
                <w:color w:val="000000"/>
                <w:highlight w:val="none"/>
              </w:rPr>
            </w:pPr>
            <w:r>
              <w:rPr>
                <w:rFonts w:hint="eastAsia" w:hAnsi="宋体"/>
                <w:color w:val="000000"/>
                <w:highlight w:val="none"/>
              </w:rPr>
              <w:t>内容存在重大偏差，得1分；</w:t>
            </w:r>
          </w:p>
          <w:p w14:paraId="564E910D">
            <w:pPr>
              <w:rPr>
                <w:rFonts w:ascii="宋体" w:hAnsi="宋体"/>
                <w:color w:val="000000"/>
                <w:sz w:val="24"/>
                <w:highlight w:val="none"/>
              </w:rPr>
            </w:pPr>
            <w:r>
              <w:rPr>
                <w:rFonts w:hint="eastAsia" w:ascii="宋体" w:hAnsi="宋体"/>
                <w:color w:val="000000"/>
                <w:sz w:val="24"/>
                <w:highlight w:val="none"/>
              </w:rPr>
              <w:t>未提供，得0分。</w:t>
            </w:r>
          </w:p>
        </w:tc>
      </w:tr>
      <w:tr w14:paraId="5C58B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noWrap w:val="0"/>
            <w:vAlign w:val="center"/>
          </w:tcPr>
          <w:p w14:paraId="3B1FD9FC">
            <w:pPr>
              <w:jc w:val="center"/>
              <w:rPr>
                <w:rFonts w:ascii="宋体" w:hAnsi="宋体"/>
                <w:color w:val="000000"/>
                <w:sz w:val="24"/>
                <w:highlight w:val="none"/>
              </w:rPr>
            </w:pPr>
          </w:p>
        </w:tc>
        <w:tc>
          <w:tcPr>
            <w:tcW w:w="1321" w:type="dxa"/>
            <w:vMerge w:val="continue"/>
            <w:noWrap w:val="0"/>
            <w:vAlign w:val="center"/>
          </w:tcPr>
          <w:p w14:paraId="3D414A66">
            <w:pPr>
              <w:widowControl/>
              <w:jc w:val="center"/>
              <w:rPr>
                <w:rFonts w:ascii="宋体" w:hAnsi="宋体" w:cs="宋体"/>
                <w:color w:val="000000"/>
                <w:sz w:val="24"/>
                <w:highlight w:val="none"/>
              </w:rPr>
            </w:pPr>
          </w:p>
        </w:tc>
        <w:tc>
          <w:tcPr>
            <w:tcW w:w="1559" w:type="dxa"/>
            <w:noWrap w:val="0"/>
            <w:vAlign w:val="center"/>
          </w:tcPr>
          <w:p w14:paraId="0FD9C679">
            <w:pPr>
              <w:widowControl/>
              <w:jc w:val="center"/>
              <w:rPr>
                <w:rFonts w:ascii="宋体" w:hAnsi="宋体" w:cs="宋体"/>
                <w:color w:val="000000"/>
                <w:sz w:val="24"/>
                <w:highlight w:val="none"/>
              </w:rPr>
            </w:pPr>
            <w:r>
              <w:rPr>
                <w:rFonts w:hint="eastAsia" w:ascii="宋体" w:hAnsi="宋体" w:cs="宋体"/>
                <w:color w:val="000000"/>
                <w:sz w:val="24"/>
                <w:highlight w:val="none"/>
              </w:rPr>
              <w:t>法律援助案件代理（辩护）</w:t>
            </w:r>
          </w:p>
        </w:tc>
        <w:tc>
          <w:tcPr>
            <w:tcW w:w="709" w:type="dxa"/>
            <w:noWrap w:val="0"/>
            <w:vAlign w:val="center"/>
          </w:tcPr>
          <w:p w14:paraId="6CFF7764">
            <w:pPr>
              <w:jc w:val="center"/>
              <w:rPr>
                <w:rFonts w:ascii="宋体" w:hAnsi="宋体"/>
                <w:color w:val="000000"/>
                <w:sz w:val="24"/>
                <w:highlight w:val="none"/>
              </w:rPr>
            </w:pPr>
            <w:r>
              <w:rPr>
                <w:rFonts w:ascii="宋体" w:hAnsi="宋体"/>
                <w:color w:val="000000"/>
                <w:sz w:val="24"/>
                <w:highlight w:val="none"/>
              </w:rPr>
              <w:t>4</w:t>
            </w:r>
          </w:p>
        </w:tc>
        <w:tc>
          <w:tcPr>
            <w:tcW w:w="6079" w:type="dxa"/>
            <w:noWrap w:val="0"/>
            <w:vAlign w:val="center"/>
          </w:tcPr>
          <w:p w14:paraId="03D03253">
            <w:pPr>
              <w:pStyle w:val="4"/>
              <w:ind w:firstLine="0"/>
              <w:rPr>
                <w:rFonts w:hint="eastAsia" w:hAnsi="宋体"/>
                <w:color w:val="000000"/>
                <w:highlight w:val="none"/>
              </w:rPr>
            </w:pPr>
            <w:r>
              <w:rPr>
                <w:rFonts w:hint="eastAsia" w:hAnsi="宋体"/>
                <w:color w:val="000000"/>
                <w:highlight w:val="none"/>
              </w:rPr>
              <w:t>内容切实可行，完全满足采购需求，得4分；</w:t>
            </w:r>
          </w:p>
          <w:p w14:paraId="3925A106">
            <w:pPr>
              <w:pStyle w:val="4"/>
              <w:ind w:firstLine="0"/>
              <w:rPr>
                <w:rFonts w:hint="eastAsia" w:hAnsi="宋体"/>
                <w:color w:val="000000"/>
                <w:highlight w:val="none"/>
              </w:rPr>
            </w:pPr>
            <w:r>
              <w:rPr>
                <w:rFonts w:hint="eastAsia" w:hAnsi="宋体"/>
                <w:color w:val="000000"/>
                <w:highlight w:val="none"/>
              </w:rPr>
              <w:t>内容未包含具体实施细节、或内容未贴合实际情况，得2分；</w:t>
            </w:r>
          </w:p>
          <w:p w14:paraId="55FF91A6">
            <w:pPr>
              <w:pStyle w:val="4"/>
              <w:ind w:firstLine="0"/>
              <w:rPr>
                <w:rFonts w:hint="eastAsia" w:hAnsi="宋体"/>
                <w:color w:val="000000"/>
                <w:highlight w:val="none"/>
              </w:rPr>
            </w:pPr>
            <w:r>
              <w:rPr>
                <w:rFonts w:hint="eastAsia" w:hAnsi="宋体"/>
                <w:color w:val="000000"/>
                <w:highlight w:val="none"/>
              </w:rPr>
              <w:t>内容存在重大偏差，得1分；</w:t>
            </w:r>
          </w:p>
          <w:p w14:paraId="545908DA">
            <w:pPr>
              <w:rPr>
                <w:rFonts w:ascii="宋体" w:hAnsi="宋体"/>
                <w:color w:val="000000"/>
                <w:sz w:val="24"/>
                <w:highlight w:val="none"/>
              </w:rPr>
            </w:pPr>
            <w:r>
              <w:rPr>
                <w:rFonts w:hint="eastAsia" w:ascii="宋体" w:hAnsi="宋体"/>
                <w:color w:val="000000"/>
                <w:sz w:val="24"/>
                <w:highlight w:val="none"/>
              </w:rPr>
              <w:t>未提供，得0分。</w:t>
            </w:r>
          </w:p>
        </w:tc>
      </w:tr>
      <w:tr w14:paraId="5D129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noWrap w:val="0"/>
            <w:vAlign w:val="center"/>
          </w:tcPr>
          <w:p w14:paraId="0800597E">
            <w:pPr>
              <w:jc w:val="center"/>
              <w:rPr>
                <w:rFonts w:ascii="宋体" w:hAnsi="宋体"/>
                <w:color w:val="000000"/>
                <w:sz w:val="24"/>
                <w:highlight w:val="none"/>
              </w:rPr>
            </w:pPr>
          </w:p>
        </w:tc>
        <w:tc>
          <w:tcPr>
            <w:tcW w:w="1321" w:type="dxa"/>
            <w:vMerge w:val="continue"/>
            <w:noWrap w:val="0"/>
            <w:vAlign w:val="center"/>
          </w:tcPr>
          <w:p w14:paraId="0F85F84B">
            <w:pPr>
              <w:widowControl/>
              <w:jc w:val="center"/>
              <w:rPr>
                <w:rFonts w:ascii="宋体" w:hAnsi="宋体" w:cs="宋体"/>
                <w:color w:val="000000"/>
                <w:sz w:val="24"/>
                <w:highlight w:val="none"/>
              </w:rPr>
            </w:pPr>
          </w:p>
        </w:tc>
        <w:tc>
          <w:tcPr>
            <w:tcW w:w="1559" w:type="dxa"/>
            <w:noWrap w:val="0"/>
            <w:vAlign w:val="center"/>
          </w:tcPr>
          <w:p w14:paraId="456BD303">
            <w:pPr>
              <w:widowControl/>
              <w:jc w:val="center"/>
              <w:rPr>
                <w:rFonts w:ascii="宋体" w:hAnsi="宋体" w:cs="宋体"/>
                <w:color w:val="000000"/>
                <w:sz w:val="24"/>
                <w:highlight w:val="none"/>
              </w:rPr>
            </w:pPr>
            <w:r>
              <w:rPr>
                <w:rFonts w:hint="eastAsia" w:ascii="宋体" w:hAnsi="宋体" w:cs="宋体"/>
                <w:color w:val="000000"/>
                <w:sz w:val="24"/>
                <w:highlight w:val="none"/>
              </w:rPr>
              <w:t>举办法律知识讲座提供法律咨询服务方案</w:t>
            </w:r>
          </w:p>
        </w:tc>
        <w:tc>
          <w:tcPr>
            <w:tcW w:w="709" w:type="dxa"/>
            <w:noWrap w:val="0"/>
            <w:vAlign w:val="center"/>
          </w:tcPr>
          <w:p w14:paraId="03589951">
            <w:pPr>
              <w:jc w:val="center"/>
              <w:rPr>
                <w:rFonts w:ascii="宋体" w:hAnsi="宋体"/>
                <w:color w:val="000000"/>
                <w:sz w:val="24"/>
                <w:highlight w:val="none"/>
              </w:rPr>
            </w:pPr>
            <w:r>
              <w:rPr>
                <w:rFonts w:hint="eastAsia" w:ascii="宋体" w:hAnsi="宋体"/>
                <w:color w:val="000000"/>
                <w:sz w:val="24"/>
                <w:highlight w:val="none"/>
              </w:rPr>
              <w:t>4</w:t>
            </w:r>
          </w:p>
        </w:tc>
        <w:tc>
          <w:tcPr>
            <w:tcW w:w="6079" w:type="dxa"/>
            <w:noWrap w:val="0"/>
            <w:vAlign w:val="center"/>
          </w:tcPr>
          <w:p w14:paraId="2F2D3BCD">
            <w:pPr>
              <w:pStyle w:val="4"/>
              <w:ind w:firstLine="0"/>
              <w:rPr>
                <w:rFonts w:hint="eastAsia" w:hAnsi="宋体"/>
                <w:color w:val="000000"/>
                <w:highlight w:val="none"/>
              </w:rPr>
            </w:pPr>
            <w:r>
              <w:rPr>
                <w:rFonts w:hint="eastAsia" w:hAnsi="宋体"/>
                <w:color w:val="000000"/>
                <w:highlight w:val="none"/>
              </w:rPr>
              <w:t>内容切实可行，完全满足采购需求，得4分；</w:t>
            </w:r>
          </w:p>
          <w:p w14:paraId="4C549A43">
            <w:pPr>
              <w:pStyle w:val="4"/>
              <w:ind w:firstLine="0"/>
              <w:rPr>
                <w:rFonts w:hint="eastAsia" w:hAnsi="宋体"/>
                <w:color w:val="000000"/>
                <w:highlight w:val="none"/>
              </w:rPr>
            </w:pPr>
            <w:r>
              <w:rPr>
                <w:rFonts w:hint="eastAsia" w:hAnsi="宋体"/>
                <w:color w:val="000000"/>
                <w:highlight w:val="none"/>
              </w:rPr>
              <w:t>内容未包含具体实施细节、或内容未贴合实际情况，得2分；</w:t>
            </w:r>
          </w:p>
          <w:p w14:paraId="7B11DBA6">
            <w:pPr>
              <w:pStyle w:val="4"/>
              <w:ind w:firstLine="0"/>
              <w:rPr>
                <w:rFonts w:hint="eastAsia" w:hAnsi="宋体"/>
                <w:color w:val="000000"/>
                <w:highlight w:val="none"/>
              </w:rPr>
            </w:pPr>
            <w:r>
              <w:rPr>
                <w:rFonts w:hint="eastAsia" w:hAnsi="宋体"/>
                <w:color w:val="000000"/>
                <w:highlight w:val="none"/>
              </w:rPr>
              <w:t>内容存在重大偏差，得1分；</w:t>
            </w:r>
          </w:p>
          <w:p w14:paraId="61824643">
            <w:pPr>
              <w:pStyle w:val="4"/>
              <w:adjustRightInd/>
              <w:ind w:firstLine="0"/>
              <w:jc w:val="both"/>
              <w:rPr>
                <w:rFonts w:hAnsi="宋体"/>
                <w:color w:val="000000"/>
                <w:highlight w:val="none"/>
              </w:rPr>
            </w:pPr>
            <w:r>
              <w:rPr>
                <w:rFonts w:hint="eastAsia" w:hAnsi="宋体"/>
                <w:color w:val="000000"/>
                <w:highlight w:val="none"/>
              </w:rPr>
              <w:t>未提供，得0分。</w:t>
            </w:r>
          </w:p>
        </w:tc>
      </w:tr>
      <w:tr w14:paraId="32F26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noWrap w:val="0"/>
            <w:vAlign w:val="center"/>
          </w:tcPr>
          <w:p w14:paraId="3AF8B0EE">
            <w:pPr>
              <w:jc w:val="center"/>
              <w:rPr>
                <w:rFonts w:ascii="宋体" w:hAnsi="宋体"/>
                <w:color w:val="000000"/>
                <w:sz w:val="24"/>
                <w:highlight w:val="none"/>
              </w:rPr>
            </w:pPr>
          </w:p>
        </w:tc>
        <w:tc>
          <w:tcPr>
            <w:tcW w:w="1321" w:type="dxa"/>
            <w:vMerge w:val="continue"/>
            <w:noWrap w:val="0"/>
            <w:vAlign w:val="center"/>
          </w:tcPr>
          <w:p w14:paraId="61F48FE6">
            <w:pPr>
              <w:widowControl/>
              <w:jc w:val="center"/>
              <w:rPr>
                <w:rFonts w:ascii="宋体" w:hAnsi="宋体" w:cs="宋体"/>
                <w:color w:val="000000"/>
                <w:sz w:val="24"/>
                <w:highlight w:val="none"/>
              </w:rPr>
            </w:pPr>
          </w:p>
        </w:tc>
        <w:tc>
          <w:tcPr>
            <w:tcW w:w="1559" w:type="dxa"/>
            <w:noWrap w:val="0"/>
            <w:vAlign w:val="center"/>
          </w:tcPr>
          <w:p w14:paraId="7E3E4B61">
            <w:pPr>
              <w:widowControl/>
              <w:jc w:val="center"/>
              <w:rPr>
                <w:rFonts w:ascii="宋体" w:hAnsi="宋体" w:cs="宋体"/>
                <w:color w:val="000000"/>
                <w:sz w:val="24"/>
                <w:highlight w:val="none"/>
              </w:rPr>
            </w:pPr>
            <w:r>
              <w:rPr>
                <w:rFonts w:hint="eastAsia" w:ascii="宋体" w:hAnsi="宋体" w:cs="宋体"/>
                <w:color w:val="000000"/>
                <w:sz w:val="24"/>
                <w:highlight w:val="none"/>
              </w:rPr>
              <w:t>风险评估与应对措施</w:t>
            </w:r>
          </w:p>
        </w:tc>
        <w:tc>
          <w:tcPr>
            <w:tcW w:w="709" w:type="dxa"/>
            <w:noWrap w:val="0"/>
            <w:vAlign w:val="center"/>
          </w:tcPr>
          <w:p w14:paraId="2E5FA389">
            <w:pPr>
              <w:jc w:val="center"/>
              <w:rPr>
                <w:rFonts w:ascii="宋体" w:hAnsi="宋体"/>
                <w:color w:val="000000"/>
                <w:sz w:val="24"/>
                <w:highlight w:val="none"/>
              </w:rPr>
            </w:pPr>
            <w:r>
              <w:rPr>
                <w:rFonts w:ascii="宋体" w:hAnsi="宋体"/>
                <w:color w:val="000000"/>
                <w:sz w:val="24"/>
                <w:highlight w:val="none"/>
              </w:rPr>
              <w:t>4</w:t>
            </w:r>
          </w:p>
        </w:tc>
        <w:tc>
          <w:tcPr>
            <w:tcW w:w="6079" w:type="dxa"/>
            <w:noWrap w:val="0"/>
            <w:vAlign w:val="center"/>
          </w:tcPr>
          <w:p w14:paraId="5BFFEB79">
            <w:pPr>
              <w:pStyle w:val="4"/>
              <w:ind w:firstLine="0"/>
              <w:rPr>
                <w:rFonts w:hint="eastAsia" w:hAnsi="宋体"/>
                <w:color w:val="000000"/>
                <w:highlight w:val="none"/>
              </w:rPr>
            </w:pPr>
            <w:r>
              <w:rPr>
                <w:rFonts w:hint="eastAsia" w:hAnsi="宋体"/>
                <w:color w:val="000000"/>
                <w:highlight w:val="none"/>
              </w:rPr>
              <w:t>内容切实可行，完全满足采购需求，得4分；</w:t>
            </w:r>
          </w:p>
          <w:p w14:paraId="0F29FF27">
            <w:pPr>
              <w:pStyle w:val="4"/>
              <w:ind w:firstLine="0"/>
              <w:rPr>
                <w:rFonts w:hint="eastAsia" w:hAnsi="宋体"/>
                <w:color w:val="000000"/>
                <w:highlight w:val="none"/>
              </w:rPr>
            </w:pPr>
            <w:r>
              <w:rPr>
                <w:rFonts w:hint="eastAsia" w:hAnsi="宋体"/>
                <w:color w:val="000000"/>
                <w:highlight w:val="none"/>
              </w:rPr>
              <w:t>内容未包含具体实施细节、或内容未贴合实际情况，得2分；</w:t>
            </w:r>
          </w:p>
          <w:p w14:paraId="1A7F4C87">
            <w:pPr>
              <w:pStyle w:val="4"/>
              <w:ind w:firstLine="0"/>
              <w:rPr>
                <w:rFonts w:hint="eastAsia" w:hAnsi="宋体"/>
                <w:color w:val="000000"/>
                <w:highlight w:val="none"/>
              </w:rPr>
            </w:pPr>
            <w:r>
              <w:rPr>
                <w:rFonts w:hint="eastAsia" w:hAnsi="宋体"/>
                <w:color w:val="000000"/>
                <w:highlight w:val="none"/>
              </w:rPr>
              <w:t>内容存在重大偏差，得1分；</w:t>
            </w:r>
          </w:p>
          <w:p w14:paraId="01A2FA43">
            <w:pPr>
              <w:rPr>
                <w:rFonts w:ascii="宋体" w:hAnsi="宋体"/>
                <w:color w:val="000000"/>
                <w:sz w:val="24"/>
                <w:highlight w:val="none"/>
              </w:rPr>
            </w:pPr>
            <w:r>
              <w:rPr>
                <w:rFonts w:hint="eastAsia" w:ascii="宋体" w:hAnsi="宋体"/>
                <w:color w:val="000000"/>
                <w:sz w:val="24"/>
                <w:highlight w:val="none"/>
              </w:rPr>
              <w:t>未提供，得0分。</w:t>
            </w:r>
          </w:p>
        </w:tc>
      </w:tr>
      <w:tr w14:paraId="2B0FC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noWrap w:val="0"/>
            <w:vAlign w:val="center"/>
          </w:tcPr>
          <w:p w14:paraId="0F69B82F">
            <w:pPr>
              <w:jc w:val="center"/>
              <w:rPr>
                <w:rFonts w:ascii="宋体" w:hAnsi="宋体"/>
                <w:color w:val="000000"/>
                <w:sz w:val="24"/>
                <w:highlight w:val="none"/>
              </w:rPr>
            </w:pPr>
          </w:p>
        </w:tc>
        <w:tc>
          <w:tcPr>
            <w:tcW w:w="1321" w:type="dxa"/>
            <w:vMerge w:val="continue"/>
            <w:noWrap w:val="0"/>
            <w:vAlign w:val="center"/>
          </w:tcPr>
          <w:p w14:paraId="10CE8648">
            <w:pPr>
              <w:widowControl/>
              <w:jc w:val="center"/>
              <w:rPr>
                <w:rFonts w:hint="eastAsia" w:ascii="宋体" w:hAnsi="宋体" w:cs="宋体"/>
                <w:color w:val="000000"/>
                <w:sz w:val="24"/>
                <w:highlight w:val="none"/>
              </w:rPr>
            </w:pPr>
          </w:p>
        </w:tc>
        <w:tc>
          <w:tcPr>
            <w:tcW w:w="1559" w:type="dxa"/>
            <w:noWrap w:val="0"/>
            <w:vAlign w:val="center"/>
          </w:tcPr>
          <w:p w14:paraId="2B75C4AC">
            <w:pPr>
              <w:widowControl/>
              <w:jc w:val="center"/>
              <w:rPr>
                <w:rFonts w:hint="eastAsia" w:ascii="宋体" w:hAnsi="宋体" w:cs="宋体"/>
                <w:color w:val="000000"/>
                <w:sz w:val="24"/>
                <w:highlight w:val="none"/>
              </w:rPr>
            </w:pPr>
            <w:r>
              <w:rPr>
                <w:rFonts w:hint="eastAsia" w:ascii="宋体" w:hAnsi="宋体" w:cs="宋体"/>
                <w:color w:val="000000"/>
                <w:sz w:val="24"/>
                <w:highlight w:val="none"/>
              </w:rPr>
              <w:t>舆情突发事件处置措施</w:t>
            </w:r>
          </w:p>
        </w:tc>
        <w:tc>
          <w:tcPr>
            <w:tcW w:w="709" w:type="dxa"/>
            <w:noWrap w:val="0"/>
            <w:vAlign w:val="center"/>
          </w:tcPr>
          <w:p w14:paraId="00E753DF">
            <w:pPr>
              <w:jc w:val="center"/>
              <w:rPr>
                <w:rFonts w:ascii="宋体" w:hAnsi="宋体"/>
                <w:color w:val="000000"/>
                <w:sz w:val="24"/>
                <w:highlight w:val="none"/>
              </w:rPr>
            </w:pPr>
            <w:r>
              <w:rPr>
                <w:rFonts w:hint="eastAsia" w:ascii="宋体" w:hAnsi="宋体"/>
                <w:color w:val="000000"/>
                <w:sz w:val="24"/>
                <w:highlight w:val="none"/>
              </w:rPr>
              <w:t>4</w:t>
            </w:r>
          </w:p>
        </w:tc>
        <w:tc>
          <w:tcPr>
            <w:tcW w:w="6079" w:type="dxa"/>
            <w:noWrap w:val="0"/>
            <w:vAlign w:val="center"/>
          </w:tcPr>
          <w:p w14:paraId="2A6CFA11">
            <w:pPr>
              <w:pStyle w:val="4"/>
              <w:ind w:firstLine="0"/>
              <w:rPr>
                <w:rFonts w:hint="eastAsia" w:hAnsi="宋体"/>
                <w:color w:val="000000"/>
                <w:highlight w:val="none"/>
              </w:rPr>
            </w:pPr>
            <w:r>
              <w:rPr>
                <w:rFonts w:hint="eastAsia" w:hAnsi="宋体"/>
                <w:color w:val="000000"/>
                <w:highlight w:val="none"/>
              </w:rPr>
              <w:t>内容切实可行，完全满足采购需求，得4分；</w:t>
            </w:r>
          </w:p>
          <w:p w14:paraId="4444B217">
            <w:pPr>
              <w:pStyle w:val="4"/>
              <w:ind w:firstLine="0"/>
              <w:rPr>
                <w:rFonts w:hint="eastAsia" w:hAnsi="宋体"/>
                <w:color w:val="000000"/>
                <w:highlight w:val="none"/>
              </w:rPr>
            </w:pPr>
            <w:r>
              <w:rPr>
                <w:rFonts w:hint="eastAsia" w:hAnsi="宋体"/>
                <w:color w:val="000000"/>
                <w:highlight w:val="none"/>
              </w:rPr>
              <w:t>内容未包含具体实施细节、或内容未贴合实际情况，得2分；</w:t>
            </w:r>
          </w:p>
          <w:p w14:paraId="05DB4E38">
            <w:pPr>
              <w:pStyle w:val="4"/>
              <w:ind w:firstLine="0"/>
              <w:rPr>
                <w:rFonts w:hint="eastAsia" w:hAnsi="宋体"/>
                <w:color w:val="000000"/>
                <w:highlight w:val="none"/>
              </w:rPr>
            </w:pPr>
            <w:r>
              <w:rPr>
                <w:rFonts w:hint="eastAsia" w:hAnsi="宋体"/>
                <w:color w:val="000000"/>
                <w:highlight w:val="none"/>
              </w:rPr>
              <w:t>内容存在重大偏差，得1分；</w:t>
            </w:r>
          </w:p>
          <w:p w14:paraId="4B4993B6">
            <w:pPr>
              <w:pStyle w:val="4"/>
              <w:adjustRightInd/>
              <w:ind w:firstLine="0"/>
              <w:jc w:val="both"/>
              <w:rPr>
                <w:rFonts w:hint="eastAsia" w:hAnsi="宋体"/>
                <w:color w:val="000000"/>
                <w:highlight w:val="none"/>
              </w:rPr>
            </w:pPr>
            <w:r>
              <w:rPr>
                <w:rFonts w:hint="eastAsia" w:ascii="宋体" w:hAnsi="宋体"/>
                <w:color w:val="000000"/>
                <w:sz w:val="24"/>
                <w:highlight w:val="none"/>
              </w:rPr>
              <w:t>未提供，得0分。</w:t>
            </w:r>
          </w:p>
        </w:tc>
      </w:tr>
      <w:tr w14:paraId="4D921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6" w:hRule="atLeast"/>
          <w:jc w:val="center"/>
        </w:trPr>
        <w:tc>
          <w:tcPr>
            <w:tcW w:w="1084" w:type="dxa"/>
            <w:vMerge w:val="continue"/>
            <w:noWrap w:val="0"/>
            <w:vAlign w:val="center"/>
          </w:tcPr>
          <w:p w14:paraId="2A41D159">
            <w:pPr>
              <w:jc w:val="center"/>
              <w:rPr>
                <w:rFonts w:ascii="宋体" w:hAnsi="宋体"/>
                <w:color w:val="000000"/>
                <w:sz w:val="24"/>
                <w:highlight w:val="none"/>
              </w:rPr>
            </w:pPr>
          </w:p>
        </w:tc>
        <w:tc>
          <w:tcPr>
            <w:tcW w:w="1321" w:type="dxa"/>
            <w:vMerge w:val="restart"/>
            <w:noWrap w:val="0"/>
            <w:vAlign w:val="center"/>
          </w:tcPr>
          <w:p w14:paraId="19AD30F7">
            <w:pPr>
              <w:widowControl/>
              <w:jc w:val="center"/>
              <w:rPr>
                <w:rFonts w:ascii="宋体" w:hAnsi="宋体" w:cs="宋体"/>
                <w:color w:val="000000"/>
                <w:sz w:val="24"/>
                <w:highlight w:val="none"/>
              </w:rPr>
            </w:pPr>
            <w:r>
              <w:rPr>
                <w:rFonts w:hint="eastAsia" w:ascii="宋体" w:hAnsi="宋体" w:cs="宋体"/>
                <w:color w:val="000000"/>
                <w:sz w:val="24"/>
                <w:highlight w:val="none"/>
              </w:rPr>
              <w:t>质量控制管理措施（</w:t>
            </w:r>
            <w:r>
              <w:rPr>
                <w:rFonts w:ascii="宋体" w:hAnsi="宋体" w:cs="宋体"/>
                <w:color w:val="000000"/>
                <w:sz w:val="24"/>
                <w:highlight w:val="none"/>
              </w:rPr>
              <w:t>12分</w:t>
            </w:r>
            <w:r>
              <w:rPr>
                <w:rFonts w:hint="eastAsia" w:ascii="宋体" w:hAnsi="宋体" w:cs="宋体"/>
                <w:color w:val="000000"/>
                <w:sz w:val="24"/>
                <w:highlight w:val="none"/>
              </w:rPr>
              <w:t>）</w:t>
            </w:r>
          </w:p>
        </w:tc>
        <w:tc>
          <w:tcPr>
            <w:tcW w:w="1559" w:type="dxa"/>
            <w:noWrap w:val="0"/>
            <w:vAlign w:val="center"/>
          </w:tcPr>
          <w:p w14:paraId="4647EF5F">
            <w:pPr>
              <w:jc w:val="center"/>
              <w:rPr>
                <w:rFonts w:ascii="宋体" w:hAnsi="宋体" w:cs="宋体"/>
                <w:color w:val="000000"/>
                <w:sz w:val="24"/>
                <w:highlight w:val="none"/>
              </w:rPr>
            </w:pPr>
            <w:r>
              <w:rPr>
                <w:rFonts w:hint="eastAsia" w:ascii="宋体" w:hAnsi="宋体" w:cs="宋体"/>
                <w:color w:val="000000"/>
                <w:sz w:val="24"/>
                <w:highlight w:val="none"/>
              </w:rPr>
              <w:t>服务人员日常管理措施</w:t>
            </w:r>
          </w:p>
        </w:tc>
        <w:tc>
          <w:tcPr>
            <w:tcW w:w="709" w:type="dxa"/>
            <w:noWrap w:val="0"/>
            <w:vAlign w:val="center"/>
          </w:tcPr>
          <w:p w14:paraId="649813CB">
            <w:pPr>
              <w:jc w:val="center"/>
              <w:rPr>
                <w:rFonts w:ascii="宋体" w:hAnsi="宋体"/>
                <w:color w:val="000000"/>
                <w:sz w:val="24"/>
                <w:highlight w:val="none"/>
              </w:rPr>
            </w:pPr>
            <w:r>
              <w:rPr>
                <w:rFonts w:hint="eastAsia" w:ascii="宋体" w:hAnsi="宋体"/>
                <w:color w:val="000000"/>
                <w:sz w:val="24"/>
                <w:highlight w:val="none"/>
              </w:rPr>
              <w:t>6</w:t>
            </w:r>
          </w:p>
        </w:tc>
        <w:tc>
          <w:tcPr>
            <w:tcW w:w="6079" w:type="dxa"/>
            <w:noWrap w:val="0"/>
            <w:vAlign w:val="center"/>
          </w:tcPr>
          <w:p w14:paraId="33F4C70A">
            <w:pPr>
              <w:rPr>
                <w:rFonts w:hint="eastAsia" w:ascii="宋体" w:hAnsi="宋体" w:cs="宋体"/>
                <w:bCs/>
                <w:sz w:val="24"/>
                <w:highlight w:val="none"/>
              </w:rPr>
            </w:pPr>
            <w:r>
              <w:rPr>
                <w:rFonts w:hint="eastAsia" w:ascii="宋体" w:hAnsi="宋体" w:cs="宋体"/>
                <w:bCs/>
                <w:sz w:val="24"/>
                <w:highlight w:val="none"/>
              </w:rPr>
              <w:t>内容切实可行，完全满足采购需求，得6分；</w:t>
            </w:r>
          </w:p>
          <w:p w14:paraId="79DF04B9">
            <w:pPr>
              <w:rPr>
                <w:rFonts w:hint="eastAsia" w:ascii="宋体" w:hAnsi="宋体" w:cs="宋体"/>
                <w:bCs/>
                <w:sz w:val="24"/>
                <w:highlight w:val="none"/>
              </w:rPr>
            </w:pPr>
            <w:r>
              <w:rPr>
                <w:rFonts w:hint="eastAsia" w:ascii="宋体" w:hAnsi="宋体" w:cs="宋体"/>
                <w:bCs/>
                <w:sz w:val="24"/>
                <w:highlight w:val="none"/>
              </w:rPr>
              <w:t>内容未包含具体实施细节、或内容未贴合实际情况，得</w:t>
            </w:r>
            <w:r>
              <w:rPr>
                <w:rFonts w:ascii="宋体" w:hAnsi="宋体" w:cs="宋体"/>
                <w:bCs/>
                <w:sz w:val="24"/>
                <w:highlight w:val="none"/>
              </w:rPr>
              <w:t>3</w:t>
            </w:r>
            <w:r>
              <w:rPr>
                <w:rFonts w:hint="eastAsia" w:ascii="宋体" w:hAnsi="宋体" w:cs="宋体"/>
                <w:bCs/>
                <w:sz w:val="24"/>
                <w:highlight w:val="none"/>
              </w:rPr>
              <w:t>分；</w:t>
            </w:r>
          </w:p>
          <w:p w14:paraId="260E9F11">
            <w:pPr>
              <w:rPr>
                <w:rFonts w:ascii="宋体" w:hAnsi="宋体" w:cs="宋体"/>
                <w:bCs/>
                <w:sz w:val="24"/>
                <w:highlight w:val="none"/>
              </w:rPr>
            </w:pPr>
            <w:r>
              <w:rPr>
                <w:rFonts w:hint="eastAsia" w:ascii="宋体" w:hAnsi="宋体" w:cs="宋体"/>
                <w:bCs/>
                <w:sz w:val="24"/>
                <w:highlight w:val="none"/>
              </w:rPr>
              <w:t>内容存在重大偏差，得</w:t>
            </w:r>
            <w:r>
              <w:rPr>
                <w:rFonts w:ascii="宋体" w:hAnsi="宋体" w:cs="宋体"/>
                <w:bCs/>
                <w:sz w:val="24"/>
                <w:highlight w:val="none"/>
              </w:rPr>
              <w:t>1</w:t>
            </w:r>
            <w:r>
              <w:rPr>
                <w:rFonts w:hint="eastAsia" w:ascii="宋体" w:hAnsi="宋体" w:cs="宋体"/>
                <w:bCs/>
                <w:sz w:val="24"/>
                <w:highlight w:val="none"/>
              </w:rPr>
              <w:t>分；</w:t>
            </w:r>
          </w:p>
          <w:p w14:paraId="505BE20A">
            <w:pPr>
              <w:rPr>
                <w:rFonts w:hint="eastAsia" w:ascii="宋体" w:hAnsi="宋体"/>
                <w:color w:val="000000"/>
                <w:sz w:val="24"/>
                <w:highlight w:val="none"/>
              </w:rPr>
            </w:pPr>
            <w:r>
              <w:rPr>
                <w:rFonts w:hint="eastAsia" w:ascii="宋体" w:hAnsi="宋体" w:cs="宋体"/>
                <w:bCs/>
                <w:sz w:val="24"/>
                <w:highlight w:val="none"/>
              </w:rPr>
              <w:t>未提供，得</w:t>
            </w:r>
            <w:r>
              <w:rPr>
                <w:rFonts w:ascii="宋体" w:hAnsi="宋体" w:cs="宋体"/>
                <w:bCs/>
                <w:sz w:val="24"/>
                <w:highlight w:val="none"/>
              </w:rPr>
              <w:t>0</w:t>
            </w:r>
            <w:r>
              <w:rPr>
                <w:rFonts w:hint="eastAsia" w:ascii="宋体" w:hAnsi="宋体" w:cs="宋体"/>
                <w:bCs/>
                <w:sz w:val="24"/>
                <w:highlight w:val="none"/>
              </w:rPr>
              <w:t>分。</w:t>
            </w:r>
          </w:p>
        </w:tc>
      </w:tr>
      <w:tr w14:paraId="0637C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6" w:hRule="atLeast"/>
          <w:jc w:val="center"/>
        </w:trPr>
        <w:tc>
          <w:tcPr>
            <w:tcW w:w="1084" w:type="dxa"/>
            <w:vMerge w:val="continue"/>
            <w:noWrap w:val="0"/>
            <w:vAlign w:val="center"/>
          </w:tcPr>
          <w:p w14:paraId="68AF1633">
            <w:pPr>
              <w:jc w:val="center"/>
              <w:rPr>
                <w:rFonts w:ascii="宋体" w:hAnsi="宋体"/>
                <w:color w:val="000000"/>
                <w:sz w:val="24"/>
                <w:highlight w:val="none"/>
              </w:rPr>
            </w:pPr>
          </w:p>
        </w:tc>
        <w:tc>
          <w:tcPr>
            <w:tcW w:w="1321" w:type="dxa"/>
            <w:vMerge w:val="continue"/>
            <w:noWrap w:val="0"/>
            <w:vAlign w:val="center"/>
          </w:tcPr>
          <w:p w14:paraId="75E2D274">
            <w:pPr>
              <w:widowControl/>
              <w:jc w:val="center"/>
              <w:rPr>
                <w:rFonts w:ascii="宋体" w:hAnsi="宋体" w:cs="宋体"/>
                <w:color w:val="000000"/>
                <w:sz w:val="24"/>
                <w:highlight w:val="none"/>
              </w:rPr>
            </w:pPr>
          </w:p>
        </w:tc>
        <w:tc>
          <w:tcPr>
            <w:tcW w:w="1559" w:type="dxa"/>
            <w:noWrap w:val="0"/>
            <w:vAlign w:val="center"/>
          </w:tcPr>
          <w:p w14:paraId="0EC9354F">
            <w:pPr>
              <w:widowControl/>
              <w:jc w:val="center"/>
              <w:rPr>
                <w:rFonts w:ascii="宋体" w:hAnsi="宋体" w:cs="宋体"/>
                <w:color w:val="000000"/>
                <w:sz w:val="24"/>
                <w:highlight w:val="none"/>
              </w:rPr>
            </w:pPr>
            <w:r>
              <w:rPr>
                <w:rFonts w:hint="eastAsia" w:ascii="宋体" w:hAnsi="宋体" w:cs="宋体"/>
                <w:color w:val="000000"/>
                <w:sz w:val="24"/>
                <w:highlight w:val="none"/>
              </w:rPr>
              <w:t>案件办理质量保证管理措施</w:t>
            </w:r>
          </w:p>
        </w:tc>
        <w:tc>
          <w:tcPr>
            <w:tcW w:w="709" w:type="dxa"/>
            <w:noWrap w:val="0"/>
            <w:vAlign w:val="center"/>
          </w:tcPr>
          <w:p w14:paraId="763D338A">
            <w:pPr>
              <w:jc w:val="center"/>
              <w:rPr>
                <w:rFonts w:ascii="宋体" w:hAnsi="宋体"/>
                <w:color w:val="000000"/>
                <w:sz w:val="24"/>
                <w:highlight w:val="none"/>
              </w:rPr>
            </w:pPr>
            <w:r>
              <w:rPr>
                <w:rFonts w:hint="eastAsia" w:ascii="宋体" w:hAnsi="宋体"/>
                <w:color w:val="000000"/>
                <w:sz w:val="24"/>
                <w:highlight w:val="none"/>
              </w:rPr>
              <w:t>6</w:t>
            </w:r>
          </w:p>
        </w:tc>
        <w:tc>
          <w:tcPr>
            <w:tcW w:w="6079" w:type="dxa"/>
            <w:noWrap w:val="0"/>
            <w:vAlign w:val="center"/>
          </w:tcPr>
          <w:p w14:paraId="4755F168">
            <w:pPr>
              <w:rPr>
                <w:rFonts w:hint="eastAsia" w:ascii="宋体" w:hAnsi="宋体" w:cs="宋体"/>
                <w:bCs/>
                <w:sz w:val="24"/>
                <w:highlight w:val="none"/>
              </w:rPr>
            </w:pPr>
            <w:r>
              <w:rPr>
                <w:rFonts w:hint="eastAsia" w:ascii="宋体" w:hAnsi="宋体" w:cs="宋体"/>
                <w:bCs/>
                <w:sz w:val="24"/>
                <w:highlight w:val="none"/>
              </w:rPr>
              <w:t>内容切实可行，完全满足采购需求，得6分；</w:t>
            </w:r>
          </w:p>
          <w:p w14:paraId="4213ECB3">
            <w:pPr>
              <w:rPr>
                <w:rFonts w:hint="eastAsia" w:ascii="宋体" w:hAnsi="宋体" w:cs="宋体"/>
                <w:bCs/>
                <w:sz w:val="24"/>
                <w:highlight w:val="none"/>
              </w:rPr>
            </w:pPr>
            <w:r>
              <w:rPr>
                <w:rFonts w:hint="eastAsia" w:ascii="宋体" w:hAnsi="宋体" w:cs="宋体"/>
                <w:bCs/>
                <w:sz w:val="24"/>
                <w:highlight w:val="none"/>
              </w:rPr>
              <w:t>内容未包含具体实施细节、或内容未贴合实际情况，得</w:t>
            </w:r>
            <w:r>
              <w:rPr>
                <w:rFonts w:ascii="宋体" w:hAnsi="宋体" w:cs="宋体"/>
                <w:bCs/>
                <w:sz w:val="24"/>
                <w:highlight w:val="none"/>
              </w:rPr>
              <w:t>3</w:t>
            </w:r>
            <w:r>
              <w:rPr>
                <w:rFonts w:hint="eastAsia" w:ascii="宋体" w:hAnsi="宋体" w:cs="宋体"/>
                <w:bCs/>
                <w:sz w:val="24"/>
                <w:highlight w:val="none"/>
              </w:rPr>
              <w:t>分；</w:t>
            </w:r>
          </w:p>
          <w:p w14:paraId="454B24B5">
            <w:pPr>
              <w:rPr>
                <w:rFonts w:ascii="宋体" w:hAnsi="宋体" w:cs="宋体"/>
                <w:bCs/>
                <w:sz w:val="24"/>
                <w:highlight w:val="none"/>
              </w:rPr>
            </w:pPr>
            <w:r>
              <w:rPr>
                <w:rFonts w:hint="eastAsia" w:ascii="宋体" w:hAnsi="宋体" w:cs="宋体"/>
                <w:bCs/>
                <w:sz w:val="24"/>
                <w:highlight w:val="none"/>
              </w:rPr>
              <w:t>内容存在重大偏差，得</w:t>
            </w:r>
            <w:r>
              <w:rPr>
                <w:rFonts w:ascii="宋体" w:hAnsi="宋体" w:cs="宋体"/>
                <w:bCs/>
                <w:sz w:val="24"/>
                <w:highlight w:val="none"/>
              </w:rPr>
              <w:t>1</w:t>
            </w:r>
            <w:r>
              <w:rPr>
                <w:rFonts w:hint="eastAsia" w:ascii="宋体" w:hAnsi="宋体" w:cs="宋体"/>
                <w:bCs/>
                <w:sz w:val="24"/>
                <w:highlight w:val="none"/>
              </w:rPr>
              <w:t>分；</w:t>
            </w:r>
          </w:p>
          <w:p w14:paraId="59559E66">
            <w:pPr>
              <w:rPr>
                <w:rFonts w:ascii="宋体" w:hAnsi="宋体" w:cs="宋体"/>
                <w:bCs/>
                <w:sz w:val="24"/>
                <w:highlight w:val="none"/>
              </w:rPr>
            </w:pPr>
            <w:r>
              <w:rPr>
                <w:rFonts w:hint="eastAsia" w:ascii="宋体" w:hAnsi="宋体" w:cs="宋体"/>
                <w:bCs/>
                <w:sz w:val="24"/>
                <w:highlight w:val="none"/>
              </w:rPr>
              <w:t>未提供，得</w:t>
            </w:r>
            <w:r>
              <w:rPr>
                <w:rFonts w:ascii="宋体" w:hAnsi="宋体" w:cs="宋体"/>
                <w:bCs/>
                <w:sz w:val="24"/>
                <w:highlight w:val="none"/>
              </w:rPr>
              <w:t>0</w:t>
            </w:r>
            <w:r>
              <w:rPr>
                <w:rFonts w:hint="eastAsia" w:ascii="宋体" w:hAnsi="宋体" w:cs="宋体"/>
                <w:bCs/>
                <w:sz w:val="24"/>
                <w:highlight w:val="none"/>
              </w:rPr>
              <w:t>分。</w:t>
            </w:r>
          </w:p>
        </w:tc>
      </w:tr>
      <w:tr w14:paraId="01E7A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2" w:hRule="atLeast"/>
          <w:jc w:val="center"/>
        </w:trPr>
        <w:tc>
          <w:tcPr>
            <w:tcW w:w="1084" w:type="dxa"/>
            <w:vMerge w:val="continue"/>
            <w:noWrap w:val="0"/>
            <w:vAlign w:val="center"/>
          </w:tcPr>
          <w:p w14:paraId="28EF69EF">
            <w:pPr>
              <w:jc w:val="center"/>
              <w:rPr>
                <w:rFonts w:ascii="宋体" w:hAnsi="宋体"/>
                <w:color w:val="000000"/>
                <w:sz w:val="24"/>
                <w:highlight w:val="none"/>
              </w:rPr>
            </w:pPr>
          </w:p>
        </w:tc>
        <w:tc>
          <w:tcPr>
            <w:tcW w:w="2880" w:type="dxa"/>
            <w:gridSpan w:val="2"/>
            <w:noWrap w:val="0"/>
            <w:vAlign w:val="center"/>
          </w:tcPr>
          <w:p w14:paraId="26D5C91C">
            <w:pPr>
              <w:jc w:val="center"/>
              <w:rPr>
                <w:rFonts w:ascii="宋体" w:hAnsi="宋体" w:cs="宋体"/>
                <w:color w:val="000000"/>
                <w:sz w:val="24"/>
                <w:highlight w:val="none"/>
              </w:rPr>
            </w:pPr>
            <w:r>
              <w:rPr>
                <w:rFonts w:hint="eastAsia" w:ascii="宋体" w:hAnsi="宋体" w:cs="宋体"/>
                <w:sz w:val="24"/>
                <w:highlight w:val="none"/>
              </w:rPr>
              <w:t>工作进度控制措施（</w:t>
            </w:r>
            <w:r>
              <w:rPr>
                <w:rFonts w:ascii="宋体" w:hAnsi="宋体" w:cs="宋体"/>
                <w:sz w:val="24"/>
                <w:highlight w:val="none"/>
              </w:rPr>
              <w:t>6</w:t>
            </w:r>
            <w:r>
              <w:rPr>
                <w:rFonts w:hint="eastAsia" w:ascii="宋体" w:hAnsi="宋体" w:cs="宋体"/>
                <w:sz w:val="24"/>
                <w:highlight w:val="none"/>
              </w:rPr>
              <w:t>）</w:t>
            </w:r>
          </w:p>
        </w:tc>
        <w:tc>
          <w:tcPr>
            <w:tcW w:w="709" w:type="dxa"/>
            <w:noWrap w:val="0"/>
            <w:vAlign w:val="center"/>
          </w:tcPr>
          <w:p w14:paraId="6DD2AFAD">
            <w:pPr>
              <w:jc w:val="center"/>
              <w:rPr>
                <w:rFonts w:ascii="宋体" w:hAnsi="宋体"/>
                <w:color w:val="000000"/>
                <w:sz w:val="24"/>
                <w:highlight w:val="none"/>
              </w:rPr>
            </w:pPr>
            <w:r>
              <w:rPr>
                <w:rFonts w:ascii="宋体" w:hAnsi="宋体"/>
                <w:color w:val="000000"/>
                <w:sz w:val="24"/>
                <w:highlight w:val="none"/>
              </w:rPr>
              <w:t>6</w:t>
            </w:r>
          </w:p>
        </w:tc>
        <w:tc>
          <w:tcPr>
            <w:tcW w:w="6079" w:type="dxa"/>
            <w:noWrap w:val="0"/>
            <w:vAlign w:val="center"/>
          </w:tcPr>
          <w:p w14:paraId="44073575">
            <w:pPr>
              <w:rPr>
                <w:rFonts w:hint="eastAsia" w:ascii="宋体" w:hAnsi="宋体" w:cs="宋体"/>
                <w:bCs/>
                <w:sz w:val="24"/>
                <w:highlight w:val="none"/>
              </w:rPr>
            </w:pPr>
            <w:r>
              <w:rPr>
                <w:rFonts w:hint="eastAsia" w:ascii="宋体" w:hAnsi="宋体" w:cs="宋体"/>
                <w:bCs/>
                <w:sz w:val="24"/>
                <w:highlight w:val="none"/>
              </w:rPr>
              <w:t>内容切实可行，完全满足采购需求，得6分；</w:t>
            </w:r>
          </w:p>
          <w:p w14:paraId="30385EF5">
            <w:pPr>
              <w:rPr>
                <w:rFonts w:hint="eastAsia" w:ascii="宋体" w:hAnsi="宋体" w:cs="宋体"/>
                <w:bCs/>
                <w:sz w:val="24"/>
                <w:highlight w:val="none"/>
              </w:rPr>
            </w:pPr>
            <w:r>
              <w:rPr>
                <w:rFonts w:hint="eastAsia" w:ascii="宋体" w:hAnsi="宋体" w:cs="宋体"/>
                <w:bCs/>
                <w:sz w:val="24"/>
                <w:highlight w:val="none"/>
              </w:rPr>
              <w:t>内容未包含具体实施细节、或内容未贴合实际情况，得</w:t>
            </w:r>
            <w:r>
              <w:rPr>
                <w:rFonts w:ascii="宋体" w:hAnsi="宋体" w:cs="宋体"/>
                <w:bCs/>
                <w:sz w:val="24"/>
                <w:highlight w:val="none"/>
              </w:rPr>
              <w:t>3</w:t>
            </w:r>
            <w:r>
              <w:rPr>
                <w:rFonts w:hint="eastAsia" w:ascii="宋体" w:hAnsi="宋体" w:cs="宋体"/>
                <w:bCs/>
                <w:sz w:val="24"/>
                <w:highlight w:val="none"/>
              </w:rPr>
              <w:t>分；</w:t>
            </w:r>
          </w:p>
          <w:p w14:paraId="4589C5E5">
            <w:pPr>
              <w:rPr>
                <w:rFonts w:ascii="宋体" w:hAnsi="宋体" w:cs="宋体"/>
                <w:bCs/>
                <w:sz w:val="24"/>
                <w:highlight w:val="none"/>
              </w:rPr>
            </w:pPr>
            <w:r>
              <w:rPr>
                <w:rFonts w:hint="eastAsia" w:ascii="宋体" w:hAnsi="宋体" w:cs="宋体"/>
                <w:bCs/>
                <w:sz w:val="24"/>
                <w:highlight w:val="none"/>
              </w:rPr>
              <w:t>内容存在重大偏差，得</w:t>
            </w:r>
            <w:r>
              <w:rPr>
                <w:rFonts w:ascii="宋体" w:hAnsi="宋体" w:cs="宋体"/>
                <w:bCs/>
                <w:sz w:val="24"/>
                <w:highlight w:val="none"/>
              </w:rPr>
              <w:t>1</w:t>
            </w:r>
            <w:r>
              <w:rPr>
                <w:rFonts w:hint="eastAsia" w:ascii="宋体" w:hAnsi="宋体" w:cs="宋体"/>
                <w:bCs/>
                <w:sz w:val="24"/>
                <w:highlight w:val="none"/>
              </w:rPr>
              <w:t>分；</w:t>
            </w:r>
          </w:p>
          <w:p w14:paraId="07DF2060">
            <w:pPr>
              <w:pStyle w:val="4"/>
              <w:ind w:firstLine="0"/>
              <w:jc w:val="both"/>
              <w:rPr>
                <w:rFonts w:hAnsi="宋体"/>
                <w:color w:val="000000"/>
                <w:highlight w:val="none"/>
              </w:rPr>
            </w:pPr>
            <w:r>
              <w:rPr>
                <w:rFonts w:hint="eastAsia" w:hAnsi="宋体" w:cs="宋体"/>
                <w:bCs/>
                <w:highlight w:val="none"/>
              </w:rPr>
              <w:t>未提供，得</w:t>
            </w:r>
            <w:r>
              <w:rPr>
                <w:rFonts w:hAnsi="宋体" w:cs="宋体"/>
                <w:bCs/>
                <w:highlight w:val="none"/>
              </w:rPr>
              <w:t>0</w:t>
            </w:r>
            <w:r>
              <w:rPr>
                <w:rFonts w:hint="eastAsia" w:hAnsi="宋体" w:cs="宋体"/>
                <w:bCs/>
                <w:highlight w:val="none"/>
              </w:rPr>
              <w:t>分。</w:t>
            </w:r>
          </w:p>
        </w:tc>
      </w:tr>
      <w:tr w14:paraId="3379E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084" w:type="dxa"/>
            <w:vMerge w:val="continue"/>
            <w:noWrap w:val="0"/>
            <w:vAlign w:val="center"/>
          </w:tcPr>
          <w:p w14:paraId="16706B44">
            <w:pPr>
              <w:jc w:val="center"/>
              <w:rPr>
                <w:rFonts w:ascii="宋体" w:hAnsi="宋体"/>
                <w:color w:val="000000"/>
                <w:sz w:val="24"/>
                <w:highlight w:val="none"/>
              </w:rPr>
            </w:pPr>
          </w:p>
        </w:tc>
        <w:tc>
          <w:tcPr>
            <w:tcW w:w="2880" w:type="dxa"/>
            <w:gridSpan w:val="2"/>
            <w:noWrap w:val="0"/>
            <w:vAlign w:val="center"/>
          </w:tcPr>
          <w:p w14:paraId="201F0048">
            <w:pPr>
              <w:jc w:val="center"/>
              <w:rPr>
                <w:rFonts w:ascii="宋体" w:hAnsi="宋体" w:cs="宋体"/>
                <w:sz w:val="24"/>
                <w:highlight w:val="none"/>
              </w:rPr>
            </w:pPr>
            <w:r>
              <w:rPr>
                <w:rFonts w:hint="eastAsia" w:ascii="宋体" w:hAnsi="宋体" w:cs="宋体"/>
                <w:sz w:val="24"/>
                <w:highlight w:val="none"/>
              </w:rPr>
              <w:t>保密措施（</w:t>
            </w:r>
            <w:r>
              <w:rPr>
                <w:rFonts w:ascii="宋体" w:hAnsi="宋体" w:cs="宋体"/>
                <w:sz w:val="24"/>
                <w:highlight w:val="none"/>
              </w:rPr>
              <w:t>6</w:t>
            </w:r>
            <w:r>
              <w:rPr>
                <w:rFonts w:hint="eastAsia" w:ascii="宋体" w:hAnsi="宋体" w:cs="宋体"/>
                <w:sz w:val="24"/>
                <w:highlight w:val="none"/>
              </w:rPr>
              <w:t>）</w:t>
            </w:r>
          </w:p>
        </w:tc>
        <w:tc>
          <w:tcPr>
            <w:tcW w:w="709" w:type="dxa"/>
            <w:noWrap w:val="0"/>
            <w:vAlign w:val="center"/>
          </w:tcPr>
          <w:p w14:paraId="5D832390">
            <w:pPr>
              <w:jc w:val="center"/>
              <w:rPr>
                <w:rFonts w:ascii="宋体" w:hAnsi="宋体"/>
                <w:color w:val="000000"/>
                <w:sz w:val="24"/>
                <w:highlight w:val="none"/>
              </w:rPr>
            </w:pPr>
            <w:r>
              <w:rPr>
                <w:rFonts w:ascii="宋体" w:hAnsi="宋体"/>
                <w:color w:val="000000"/>
                <w:sz w:val="24"/>
                <w:highlight w:val="none"/>
              </w:rPr>
              <w:t>6</w:t>
            </w:r>
          </w:p>
        </w:tc>
        <w:tc>
          <w:tcPr>
            <w:tcW w:w="6079" w:type="dxa"/>
            <w:noWrap w:val="0"/>
            <w:vAlign w:val="center"/>
          </w:tcPr>
          <w:p w14:paraId="30FECD7D">
            <w:pPr>
              <w:rPr>
                <w:rFonts w:hint="eastAsia" w:ascii="宋体" w:hAnsi="宋体" w:cs="宋体"/>
                <w:bCs/>
                <w:sz w:val="24"/>
                <w:highlight w:val="none"/>
              </w:rPr>
            </w:pPr>
            <w:r>
              <w:rPr>
                <w:rFonts w:hint="eastAsia" w:ascii="宋体" w:hAnsi="宋体" w:cs="宋体"/>
                <w:bCs/>
                <w:sz w:val="24"/>
                <w:highlight w:val="none"/>
              </w:rPr>
              <w:t>内容切实可行，完全满足采购需求，得6分；</w:t>
            </w:r>
          </w:p>
          <w:p w14:paraId="0AB792E2">
            <w:pPr>
              <w:rPr>
                <w:rFonts w:hint="eastAsia" w:ascii="宋体" w:hAnsi="宋体" w:cs="宋体"/>
                <w:bCs/>
                <w:sz w:val="24"/>
                <w:highlight w:val="none"/>
              </w:rPr>
            </w:pPr>
            <w:r>
              <w:rPr>
                <w:rFonts w:hint="eastAsia" w:ascii="宋体" w:hAnsi="宋体" w:cs="宋体"/>
                <w:bCs/>
                <w:sz w:val="24"/>
                <w:highlight w:val="none"/>
              </w:rPr>
              <w:t>内容未包含具体实施细节、或内容未贴合实际情况，得</w:t>
            </w:r>
            <w:r>
              <w:rPr>
                <w:rFonts w:ascii="宋体" w:hAnsi="宋体" w:cs="宋体"/>
                <w:bCs/>
                <w:sz w:val="24"/>
                <w:highlight w:val="none"/>
              </w:rPr>
              <w:t>3</w:t>
            </w:r>
            <w:r>
              <w:rPr>
                <w:rFonts w:hint="eastAsia" w:ascii="宋体" w:hAnsi="宋体" w:cs="宋体"/>
                <w:bCs/>
                <w:sz w:val="24"/>
                <w:highlight w:val="none"/>
              </w:rPr>
              <w:t>分；</w:t>
            </w:r>
          </w:p>
          <w:p w14:paraId="6E9980D5">
            <w:pPr>
              <w:rPr>
                <w:rFonts w:ascii="宋体" w:hAnsi="宋体" w:cs="宋体"/>
                <w:bCs/>
                <w:sz w:val="24"/>
                <w:highlight w:val="none"/>
              </w:rPr>
            </w:pPr>
            <w:r>
              <w:rPr>
                <w:rFonts w:hint="eastAsia" w:ascii="宋体" w:hAnsi="宋体" w:cs="宋体"/>
                <w:bCs/>
                <w:sz w:val="24"/>
                <w:highlight w:val="none"/>
              </w:rPr>
              <w:t>内容存在重大偏差，得</w:t>
            </w:r>
            <w:r>
              <w:rPr>
                <w:rFonts w:ascii="宋体" w:hAnsi="宋体" w:cs="宋体"/>
                <w:bCs/>
                <w:sz w:val="24"/>
                <w:highlight w:val="none"/>
              </w:rPr>
              <w:t>1</w:t>
            </w:r>
            <w:r>
              <w:rPr>
                <w:rFonts w:hint="eastAsia" w:ascii="宋体" w:hAnsi="宋体" w:cs="宋体"/>
                <w:bCs/>
                <w:sz w:val="24"/>
                <w:highlight w:val="none"/>
              </w:rPr>
              <w:t>分；</w:t>
            </w:r>
          </w:p>
          <w:p w14:paraId="1FC06D21">
            <w:pPr>
              <w:rPr>
                <w:rFonts w:ascii="宋体" w:hAnsi="宋体" w:cs="宋体"/>
                <w:sz w:val="24"/>
                <w:highlight w:val="none"/>
              </w:rPr>
            </w:pPr>
            <w:r>
              <w:rPr>
                <w:rFonts w:hint="eastAsia" w:ascii="宋体" w:hAnsi="宋体" w:cs="宋体"/>
                <w:bCs/>
                <w:sz w:val="24"/>
                <w:highlight w:val="none"/>
              </w:rPr>
              <w:t>未提供，得</w:t>
            </w:r>
            <w:r>
              <w:rPr>
                <w:rFonts w:ascii="宋体" w:hAnsi="宋体" w:cs="宋体"/>
                <w:bCs/>
                <w:sz w:val="24"/>
                <w:highlight w:val="none"/>
              </w:rPr>
              <w:t>0</w:t>
            </w:r>
            <w:r>
              <w:rPr>
                <w:rFonts w:hint="eastAsia" w:ascii="宋体" w:hAnsi="宋体" w:cs="宋体"/>
                <w:bCs/>
                <w:sz w:val="24"/>
                <w:highlight w:val="none"/>
              </w:rPr>
              <w:t>分。</w:t>
            </w:r>
          </w:p>
        </w:tc>
      </w:tr>
      <w:tr w14:paraId="627F7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084" w:type="dxa"/>
            <w:vMerge w:val="continue"/>
            <w:noWrap w:val="0"/>
            <w:vAlign w:val="center"/>
          </w:tcPr>
          <w:p w14:paraId="441A618F">
            <w:pPr>
              <w:jc w:val="center"/>
              <w:rPr>
                <w:rFonts w:ascii="宋体" w:hAnsi="宋体"/>
                <w:color w:val="000000"/>
                <w:sz w:val="24"/>
                <w:highlight w:val="none"/>
              </w:rPr>
            </w:pPr>
          </w:p>
        </w:tc>
        <w:tc>
          <w:tcPr>
            <w:tcW w:w="2880" w:type="dxa"/>
            <w:gridSpan w:val="2"/>
            <w:noWrap w:val="0"/>
            <w:vAlign w:val="center"/>
          </w:tcPr>
          <w:p w14:paraId="3B500EC1">
            <w:pPr>
              <w:jc w:val="center"/>
              <w:rPr>
                <w:rFonts w:ascii="宋体" w:hAnsi="宋体" w:cs="宋体"/>
                <w:sz w:val="24"/>
                <w:highlight w:val="none"/>
              </w:rPr>
            </w:pPr>
            <w:r>
              <w:rPr>
                <w:rFonts w:hint="eastAsia" w:ascii="宋体" w:hAnsi="宋体" w:cs="宋体"/>
                <w:sz w:val="24"/>
                <w:highlight w:val="none"/>
              </w:rPr>
              <w:t>廉政管理措施（</w:t>
            </w:r>
            <w:r>
              <w:rPr>
                <w:rFonts w:ascii="宋体" w:hAnsi="宋体" w:cs="宋体"/>
                <w:sz w:val="24"/>
                <w:highlight w:val="none"/>
              </w:rPr>
              <w:t>6</w:t>
            </w:r>
            <w:r>
              <w:rPr>
                <w:rFonts w:hint="eastAsia" w:ascii="宋体" w:hAnsi="宋体" w:cs="宋体"/>
                <w:sz w:val="24"/>
                <w:highlight w:val="none"/>
              </w:rPr>
              <w:t>）</w:t>
            </w:r>
          </w:p>
        </w:tc>
        <w:tc>
          <w:tcPr>
            <w:tcW w:w="709" w:type="dxa"/>
            <w:noWrap w:val="0"/>
            <w:vAlign w:val="center"/>
          </w:tcPr>
          <w:p w14:paraId="2704829F">
            <w:pPr>
              <w:jc w:val="center"/>
              <w:rPr>
                <w:rFonts w:ascii="宋体" w:hAnsi="宋体"/>
                <w:color w:val="000000"/>
                <w:sz w:val="24"/>
                <w:highlight w:val="none"/>
              </w:rPr>
            </w:pPr>
            <w:r>
              <w:rPr>
                <w:rFonts w:ascii="宋体" w:hAnsi="宋体"/>
                <w:color w:val="000000"/>
                <w:sz w:val="24"/>
                <w:highlight w:val="none"/>
              </w:rPr>
              <w:t>6</w:t>
            </w:r>
          </w:p>
        </w:tc>
        <w:tc>
          <w:tcPr>
            <w:tcW w:w="6079" w:type="dxa"/>
            <w:noWrap w:val="0"/>
            <w:vAlign w:val="center"/>
          </w:tcPr>
          <w:p w14:paraId="6D4B0BB6">
            <w:pPr>
              <w:rPr>
                <w:rFonts w:hint="eastAsia" w:ascii="宋体" w:hAnsi="宋体" w:cs="宋体"/>
                <w:bCs/>
                <w:sz w:val="24"/>
                <w:highlight w:val="none"/>
              </w:rPr>
            </w:pPr>
            <w:r>
              <w:rPr>
                <w:rFonts w:hint="eastAsia" w:ascii="宋体" w:hAnsi="宋体" w:cs="宋体"/>
                <w:bCs/>
                <w:sz w:val="24"/>
                <w:highlight w:val="none"/>
              </w:rPr>
              <w:t>内容切实可行，完全满足采购需求，得6分；</w:t>
            </w:r>
          </w:p>
          <w:p w14:paraId="1B056156">
            <w:pPr>
              <w:rPr>
                <w:rFonts w:hint="eastAsia" w:ascii="宋体" w:hAnsi="宋体" w:cs="宋体"/>
                <w:bCs/>
                <w:sz w:val="24"/>
                <w:highlight w:val="none"/>
              </w:rPr>
            </w:pPr>
            <w:r>
              <w:rPr>
                <w:rFonts w:hint="eastAsia" w:ascii="宋体" w:hAnsi="宋体" w:cs="宋体"/>
                <w:bCs/>
                <w:sz w:val="24"/>
                <w:highlight w:val="none"/>
              </w:rPr>
              <w:t>内容未包含具体实施细节、或内容未贴合实际情况，得</w:t>
            </w:r>
            <w:r>
              <w:rPr>
                <w:rFonts w:ascii="宋体" w:hAnsi="宋体" w:cs="宋体"/>
                <w:bCs/>
                <w:sz w:val="24"/>
                <w:highlight w:val="none"/>
              </w:rPr>
              <w:t>3</w:t>
            </w:r>
            <w:r>
              <w:rPr>
                <w:rFonts w:hint="eastAsia" w:ascii="宋体" w:hAnsi="宋体" w:cs="宋体"/>
                <w:bCs/>
                <w:sz w:val="24"/>
                <w:highlight w:val="none"/>
              </w:rPr>
              <w:t>分；</w:t>
            </w:r>
          </w:p>
          <w:p w14:paraId="1C028584">
            <w:pPr>
              <w:rPr>
                <w:rFonts w:ascii="宋体" w:hAnsi="宋体" w:cs="宋体"/>
                <w:bCs/>
                <w:sz w:val="24"/>
                <w:highlight w:val="none"/>
              </w:rPr>
            </w:pPr>
            <w:r>
              <w:rPr>
                <w:rFonts w:hint="eastAsia" w:ascii="宋体" w:hAnsi="宋体" w:cs="宋体"/>
                <w:bCs/>
                <w:sz w:val="24"/>
                <w:highlight w:val="none"/>
              </w:rPr>
              <w:t>内容存在重大偏差，得</w:t>
            </w:r>
            <w:r>
              <w:rPr>
                <w:rFonts w:ascii="宋体" w:hAnsi="宋体" w:cs="宋体"/>
                <w:bCs/>
                <w:sz w:val="24"/>
                <w:highlight w:val="none"/>
              </w:rPr>
              <w:t>1</w:t>
            </w:r>
            <w:r>
              <w:rPr>
                <w:rFonts w:hint="eastAsia" w:ascii="宋体" w:hAnsi="宋体" w:cs="宋体"/>
                <w:bCs/>
                <w:sz w:val="24"/>
                <w:highlight w:val="none"/>
              </w:rPr>
              <w:t>分；</w:t>
            </w:r>
          </w:p>
          <w:p w14:paraId="0CF811A2">
            <w:pPr>
              <w:rPr>
                <w:rFonts w:ascii="宋体" w:hAnsi="宋体" w:cs="宋体"/>
                <w:sz w:val="24"/>
                <w:highlight w:val="none"/>
              </w:rPr>
            </w:pPr>
            <w:r>
              <w:rPr>
                <w:rFonts w:hint="eastAsia" w:ascii="宋体" w:hAnsi="宋体" w:cs="宋体"/>
                <w:bCs/>
                <w:sz w:val="24"/>
                <w:highlight w:val="none"/>
              </w:rPr>
              <w:t>未提供，得</w:t>
            </w:r>
            <w:r>
              <w:rPr>
                <w:rFonts w:ascii="宋体" w:hAnsi="宋体" w:cs="宋体"/>
                <w:bCs/>
                <w:sz w:val="24"/>
                <w:highlight w:val="none"/>
              </w:rPr>
              <w:t>0</w:t>
            </w:r>
            <w:r>
              <w:rPr>
                <w:rFonts w:hint="eastAsia" w:ascii="宋体" w:hAnsi="宋体" w:cs="宋体"/>
                <w:bCs/>
                <w:sz w:val="24"/>
                <w:highlight w:val="none"/>
              </w:rPr>
              <w:t>分。</w:t>
            </w:r>
          </w:p>
        </w:tc>
      </w:tr>
      <w:tr w14:paraId="20AFD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084" w:type="dxa"/>
            <w:vMerge w:val="continue"/>
            <w:noWrap w:val="0"/>
            <w:vAlign w:val="center"/>
          </w:tcPr>
          <w:p w14:paraId="4AF958F3">
            <w:pPr>
              <w:jc w:val="center"/>
              <w:rPr>
                <w:rFonts w:ascii="宋体" w:hAnsi="宋体" w:cs="Tahoma"/>
                <w:color w:val="000000"/>
                <w:sz w:val="24"/>
                <w:highlight w:val="none"/>
              </w:rPr>
            </w:pPr>
          </w:p>
        </w:tc>
        <w:tc>
          <w:tcPr>
            <w:tcW w:w="2880" w:type="dxa"/>
            <w:gridSpan w:val="2"/>
            <w:noWrap w:val="0"/>
            <w:vAlign w:val="center"/>
          </w:tcPr>
          <w:p w14:paraId="2A4A71DE">
            <w:pPr>
              <w:jc w:val="center"/>
              <w:rPr>
                <w:rFonts w:ascii="宋体" w:hAnsi="宋体" w:cs="宋体"/>
                <w:sz w:val="24"/>
                <w:highlight w:val="none"/>
              </w:rPr>
            </w:pPr>
            <w:r>
              <w:rPr>
                <w:rFonts w:hint="eastAsia" w:ascii="宋体" w:hAnsi="宋体" w:cs="Tahoma"/>
                <w:sz w:val="24"/>
                <w:highlight w:val="none"/>
              </w:rPr>
              <w:t>档案管理措施</w:t>
            </w:r>
            <w:r>
              <w:rPr>
                <w:rFonts w:hint="eastAsia" w:ascii="宋体" w:hAnsi="宋体" w:cs="宋体"/>
                <w:sz w:val="24"/>
                <w:highlight w:val="none"/>
              </w:rPr>
              <w:t>（</w:t>
            </w:r>
            <w:r>
              <w:rPr>
                <w:rFonts w:ascii="宋体" w:hAnsi="宋体" w:cs="宋体"/>
                <w:sz w:val="24"/>
                <w:highlight w:val="none"/>
              </w:rPr>
              <w:t>6</w:t>
            </w:r>
            <w:r>
              <w:rPr>
                <w:rFonts w:hint="eastAsia" w:ascii="宋体" w:hAnsi="宋体" w:cs="宋体"/>
                <w:sz w:val="24"/>
                <w:highlight w:val="none"/>
              </w:rPr>
              <w:t>）</w:t>
            </w:r>
          </w:p>
        </w:tc>
        <w:tc>
          <w:tcPr>
            <w:tcW w:w="709" w:type="dxa"/>
            <w:noWrap w:val="0"/>
            <w:vAlign w:val="center"/>
          </w:tcPr>
          <w:p w14:paraId="6CF842E9">
            <w:pPr>
              <w:jc w:val="center"/>
              <w:rPr>
                <w:rFonts w:ascii="宋体" w:hAnsi="宋体"/>
                <w:color w:val="000000"/>
                <w:sz w:val="24"/>
                <w:highlight w:val="none"/>
              </w:rPr>
            </w:pPr>
            <w:r>
              <w:rPr>
                <w:rFonts w:ascii="宋体" w:hAnsi="宋体"/>
                <w:color w:val="000000"/>
                <w:sz w:val="24"/>
                <w:highlight w:val="none"/>
              </w:rPr>
              <w:t>6</w:t>
            </w:r>
          </w:p>
        </w:tc>
        <w:tc>
          <w:tcPr>
            <w:tcW w:w="6079" w:type="dxa"/>
            <w:noWrap w:val="0"/>
            <w:vAlign w:val="center"/>
          </w:tcPr>
          <w:p w14:paraId="13FFDBB5">
            <w:pPr>
              <w:rPr>
                <w:rFonts w:hint="eastAsia" w:ascii="宋体" w:hAnsi="宋体" w:cs="宋体"/>
                <w:bCs/>
                <w:sz w:val="24"/>
                <w:highlight w:val="none"/>
              </w:rPr>
            </w:pPr>
            <w:r>
              <w:rPr>
                <w:rFonts w:hint="eastAsia" w:ascii="宋体" w:hAnsi="宋体" w:cs="宋体"/>
                <w:bCs/>
                <w:sz w:val="24"/>
                <w:highlight w:val="none"/>
              </w:rPr>
              <w:t>内容切实可行，完全满足采购需求，得6分；</w:t>
            </w:r>
          </w:p>
          <w:p w14:paraId="4C54A0B1">
            <w:pPr>
              <w:rPr>
                <w:rFonts w:hint="eastAsia" w:ascii="宋体" w:hAnsi="宋体" w:cs="宋体"/>
                <w:bCs/>
                <w:sz w:val="24"/>
                <w:highlight w:val="none"/>
              </w:rPr>
            </w:pPr>
            <w:r>
              <w:rPr>
                <w:rFonts w:hint="eastAsia" w:ascii="宋体" w:hAnsi="宋体" w:cs="宋体"/>
                <w:bCs/>
                <w:sz w:val="24"/>
                <w:highlight w:val="none"/>
              </w:rPr>
              <w:t>内容未包含具体实施细节、或内容未贴合实际情况，得</w:t>
            </w:r>
            <w:r>
              <w:rPr>
                <w:rFonts w:ascii="宋体" w:hAnsi="宋体" w:cs="宋体"/>
                <w:bCs/>
                <w:sz w:val="24"/>
                <w:highlight w:val="none"/>
              </w:rPr>
              <w:t>3</w:t>
            </w:r>
            <w:r>
              <w:rPr>
                <w:rFonts w:hint="eastAsia" w:ascii="宋体" w:hAnsi="宋体" w:cs="宋体"/>
                <w:bCs/>
                <w:sz w:val="24"/>
                <w:highlight w:val="none"/>
              </w:rPr>
              <w:t>分；</w:t>
            </w:r>
          </w:p>
          <w:p w14:paraId="7CAB0844">
            <w:pPr>
              <w:rPr>
                <w:rFonts w:ascii="宋体" w:hAnsi="宋体" w:cs="宋体"/>
                <w:bCs/>
                <w:sz w:val="24"/>
                <w:highlight w:val="none"/>
              </w:rPr>
            </w:pPr>
            <w:r>
              <w:rPr>
                <w:rFonts w:hint="eastAsia" w:ascii="宋体" w:hAnsi="宋体" w:cs="宋体"/>
                <w:bCs/>
                <w:sz w:val="24"/>
                <w:highlight w:val="none"/>
              </w:rPr>
              <w:t>内容存在重大偏差，得</w:t>
            </w:r>
            <w:r>
              <w:rPr>
                <w:rFonts w:ascii="宋体" w:hAnsi="宋体" w:cs="宋体"/>
                <w:bCs/>
                <w:sz w:val="24"/>
                <w:highlight w:val="none"/>
              </w:rPr>
              <w:t>1</w:t>
            </w:r>
            <w:r>
              <w:rPr>
                <w:rFonts w:hint="eastAsia" w:ascii="宋体" w:hAnsi="宋体" w:cs="宋体"/>
                <w:bCs/>
                <w:sz w:val="24"/>
                <w:highlight w:val="none"/>
              </w:rPr>
              <w:t>分；</w:t>
            </w:r>
          </w:p>
          <w:p w14:paraId="3BDEE960">
            <w:pPr>
              <w:rPr>
                <w:rFonts w:ascii="宋体" w:hAnsi="宋体" w:cs="宋体"/>
                <w:sz w:val="24"/>
                <w:highlight w:val="none"/>
              </w:rPr>
            </w:pPr>
            <w:r>
              <w:rPr>
                <w:rFonts w:hint="eastAsia" w:ascii="宋体" w:hAnsi="宋体" w:cs="宋体"/>
                <w:bCs/>
                <w:sz w:val="24"/>
                <w:highlight w:val="none"/>
              </w:rPr>
              <w:t>未提供，得</w:t>
            </w:r>
            <w:r>
              <w:rPr>
                <w:rFonts w:ascii="宋体" w:hAnsi="宋体" w:cs="宋体"/>
                <w:bCs/>
                <w:sz w:val="24"/>
                <w:highlight w:val="none"/>
              </w:rPr>
              <w:t>0</w:t>
            </w:r>
            <w:r>
              <w:rPr>
                <w:rFonts w:hint="eastAsia" w:ascii="宋体" w:hAnsi="宋体" w:cs="宋体"/>
                <w:bCs/>
                <w:sz w:val="24"/>
                <w:highlight w:val="none"/>
              </w:rPr>
              <w:t>分。</w:t>
            </w:r>
          </w:p>
        </w:tc>
      </w:tr>
    </w:tbl>
    <w:p w14:paraId="4DFF138D">
      <w:pPr>
        <w:tabs>
          <w:tab w:val="left" w:pos="360"/>
          <w:tab w:val="left" w:pos="1080"/>
        </w:tabs>
        <w:snapToGrid w:val="0"/>
        <w:spacing w:line="360" w:lineRule="auto"/>
        <w:rPr>
          <w:rFonts w:hint="eastAsia"/>
          <w:color w:val="000000"/>
          <w:sz w:val="24"/>
          <w:highlight w:val="none"/>
        </w:rPr>
      </w:pPr>
    </w:p>
    <w:p w14:paraId="4F78C6F0">
      <w:pPr>
        <w:widowControl/>
        <w:jc w:val="left"/>
        <w:rPr>
          <w:b/>
          <w:sz w:val="36"/>
          <w:szCs w:val="36"/>
          <w:highlight w:val="none"/>
        </w:rPr>
      </w:pPr>
    </w:p>
    <w:p w14:paraId="16A4A540">
      <w:pPr>
        <w:spacing w:line="360" w:lineRule="auto"/>
        <w:jc w:val="center"/>
        <w:outlineLvl w:val="0"/>
        <w:rPr>
          <w:b/>
          <w:sz w:val="36"/>
          <w:szCs w:val="36"/>
          <w:highlight w:val="none"/>
        </w:rPr>
      </w:pPr>
      <w:r>
        <w:rPr>
          <w:b/>
          <w:sz w:val="36"/>
          <w:szCs w:val="36"/>
          <w:highlight w:val="none"/>
        </w:rPr>
        <w:br w:type="page"/>
      </w:r>
      <w:bookmarkStart w:id="794" w:name="_Toc206523622"/>
      <w:r>
        <w:rPr>
          <w:b/>
          <w:sz w:val="36"/>
          <w:szCs w:val="36"/>
          <w:highlight w:val="none"/>
        </w:rPr>
        <w:t>第五章   采购需求</w:t>
      </w:r>
      <w:bookmarkEnd w:id="794"/>
    </w:p>
    <w:p w14:paraId="4BBDEB61">
      <w:pPr>
        <w:spacing w:line="360" w:lineRule="auto"/>
        <w:rPr>
          <w:rFonts w:ascii="宋体" w:hAnsi="宋体" w:cs="宋体"/>
          <w:b/>
          <w:sz w:val="24"/>
          <w:highlight w:val="none"/>
        </w:rPr>
      </w:pPr>
      <w:r>
        <w:rPr>
          <w:rFonts w:hint="eastAsia" w:ascii="宋体" w:hAnsi="宋体" w:cs="宋体"/>
          <w:b/>
          <w:sz w:val="24"/>
          <w:highlight w:val="none"/>
        </w:rPr>
        <w:t>一、项目概况</w:t>
      </w:r>
    </w:p>
    <w:p w14:paraId="01D1ED82">
      <w:pPr>
        <w:spacing w:line="360" w:lineRule="auto"/>
        <w:ind w:firstLine="480" w:firstLineChars="200"/>
        <w:rPr>
          <w:rFonts w:ascii="宋体" w:hAnsi="宋体" w:cs="宋体"/>
          <w:sz w:val="24"/>
          <w:highlight w:val="none"/>
        </w:rPr>
      </w:pPr>
      <w:r>
        <w:rPr>
          <w:rFonts w:hint="eastAsia" w:ascii="宋体" w:hAnsi="宋体" w:cs="宋体"/>
          <w:sz w:val="24"/>
          <w:highlight w:val="none"/>
        </w:rPr>
        <w:t>1</w:t>
      </w:r>
      <w:r>
        <w:rPr>
          <w:rFonts w:ascii="宋体" w:hAnsi="宋体" w:cs="宋体"/>
          <w:sz w:val="24"/>
          <w:highlight w:val="none"/>
        </w:rPr>
        <w:t>、</w:t>
      </w:r>
      <w:r>
        <w:rPr>
          <w:rFonts w:hint="eastAsia" w:ascii="宋体" w:hAnsi="宋体" w:cs="宋体"/>
          <w:sz w:val="24"/>
          <w:highlight w:val="none"/>
        </w:rPr>
        <w:t>项目名称：2027年法律援助补贴封闭式框架协议采购</w:t>
      </w:r>
    </w:p>
    <w:p w14:paraId="01C386BB">
      <w:pPr>
        <w:spacing w:line="360" w:lineRule="auto"/>
        <w:ind w:firstLine="480" w:firstLineChars="200"/>
        <w:rPr>
          <w:rFonts w:ascii="宋体" w:hAnsi="宋体" w:cs="宋体"/>
          <w:sz w:val="24"/>
          <w:highlight w:val="none"/>
        </w:rPr>
      </w:pPr>
      <w:r>
        <w:rPr>
          <w:rFonts w:hint="eastAsia" w:ascii="宋体" w:hAnsi="宋体" w:cs="宋体"/>
          <w:sz w:val="24"/>
          <w:highlight w:val="none"/>
        </w:rPr>
        <w:t>2、项目地点：大兴区行政辖区范围内</w:t>
      </w:r>
    </w:p>
    <w:p w14:paraId="6525CC52">
      <w:pPr>
        <w:spacing w:line="360" w:lineRule="auto"/>
        <w:ind w:firstLine="480" w:firstLineChars="200"/>
        <w:rPr>
          <w:rFonts w:ascii="宋体" w:hAnsi="宋体" w:cs="宋体"/>
          <w:sz w:val="24"/>
          <w:highlight w:val="none"/>
        </w:rPr>
      </w:pPr>
      <w:r>
        <w:rPr>
          <w:rFonts w:hint="eastAsia" w:ascii="宋体" w:hAnsi="宋体" w:cs="宋体"/>
          <w:sz w:val="24"/>
          <w:highlight w:val="none"/>
        </w:rPr>
        <w:t>3、入围供应商数量上限为45家</w:t>
      </w:r>
    </w:p>
    <w:p w14:paraId="29BF2E00">
      <w:pPr>
        <w:spacing w:line="360" w:lineRule="auto"/>
        <w:ind w:firstLine="480" w:firstLineChars="200"/>
        <w:rPr>
          <w:rFonts w:ascii="宋体" w:hAnsi="宋体" w:cs="宋体"/>
          <w:sz w:val="24"/>
          <w:highlight w:val="none"/>
        </w:rPr>
      </w:pPr>
      <w:r>
        <w:rPr>
          <w:rFonts w:hint="eastAsia" w:ascii="宋体" w:hAnsi="宋体" w:cs="宋体"/>
          <w:sz w:val="24"/>
          <w:highlight w:val="none"/>
        </w:rPr>
        <w:t>4、框架协议履行期限：协议签订生效之日起1年</w:t>
      </w:r>
    </w:p>
    <w:p w14:paraId="5D349451">
      <w:pPr>
        <w:spacing w:line="360" w:lineRule="auto"/>
        <w:ind w:firstLine="480" w:firstLineChars="200"/>
        <w:rPr>
          <w:rFonts w:ascii="宋体" w:hAnsi="宋体" w:cs="宋体"/>
          <w:sz w:val="24"/>
          <w:highlight w:val="none"/>
        </w:rPr>
      </w:pPr>
      <w:r>
        <w:rPr>
          <w:rFonts w:ascii="宋体" w:hAnsi="宋体" w:cs="宋体"/>
          <w:sz w:val="24"/>
          <w:highlight w:val="none"/>
        </w:rPr>
        <w:t>5</w:t>
      </w:r>
      <w:r>
        <w:rPr>
          <w:rFonts w:hint="eastAsia" w:ascii="宋体" w:hAnsi="宋体" w:cs="宋体"/>
          <w:sz w:val="24"/>
          <w:highlight w:val="none"/>
        </w:rPr>
        <w:t>、交付地点：北京市大兴区司法局</w:t>
      </w:r>
    </w:p>
    <w:p w14:paraId="3D424D96">
      <w:pPr>
        <w:spacing w:line="360" w:lineRule="auto"/>
        <w:rPr>
          <w:rFonts w:ascii="宋体" w:hAnsi="宋体" w:cs="宋体"/>
          <w:b/>
          <w:sz w:val="24"/>
          <w:highlight w:val="none"/>
        </w:rPr>
      </w:pPr>
      <w:r>
        <w:rPr>
          <w:rFonts w:hint="eastAsia" w:ascii="宋体" w:hAnsi="宋体" w:cs="宋体"/>
          <w:b/>
          <w:sz w:val="24"/>
          <w:highlight w:val="none"/>
        </w:rPr>
        <w:t>二、项目工作内容及要求</w:t>
      </w:r>
    </w:p>
    <w:p w14:paraId="306F58F8">
      <w:pPr>
        <w:spacing w:line="360" w:lineRule="auto"/>
        <w:ind w:firstLine="482" w:firstLineChars="200"/>
        <w:rPr>
          <w:rFonts w:ascii="宋体" w:hAnsi="宋体" w:cs="宋体"/>
          <w:b/>
          <w:bCs/>
          <w:sz w:val="24"/>
          <w:highlight w:val="none"/>
        </w:rPr>
      </w:pPr>
      <w:r>
        <w:rPr>
          <w:rFonts w:hint="eastAsia" w:ascii="宋体" w:hAnsi="宋体" w:cs="宋体"/>
          <w:b/>
          <w:bCs/>
          <w:sz w:val="24"/>
          <w:highlight w:val="none"/>
        </w:rPr>
        <w:t>1、项目实施目标</w:t>
      </w:r>
    </w:p>
    <w:p w14:paraId="1D80B3B6">
      <w:pPr>
        <w:spacing w:line="360" w:lineRule="auto"/>
        <w:ind w:firstLine="424" w:firstLineChars="177"/>
        <w:rPr>
          <w:rFonts w:ascii="宋体" w:hAnsi="宋体" w:cs="宋体"/>
          <w:sz w:val="24"/>
          <w:highlight w:val="none"/>
        </w:rPr>
      </w:pPr>
      <w:r>
        <w:rPr>
          <w:rFonts w:hint="eastAsia" w:ascii="宋体" w:hAnsi="宋体" w:cs="宋体"/>
          <w:sz w:val="24"/>
          <w:highlight w:val="none"/>
        </w:rPr>
        <w:t>按照大兴区法律援助中心的工作安排完成法律咨询工作、案件办理工作及12348法律咨询服务平台值班、法律援助工作站值班等相关工作。接受大兴区法律援助中心对服务机构提供法律援助服务的监督。</w:t>
      </w:r>
    </w:p>
    <w:p w14:paraId="000491C3">
      <w:pPr>
        <w:spacing w:line="360" w:lineRule="auto"/>
        <w:ind w:firstLine="482" w:firstLineChars="200"/>
        <w:rPr>
          <w:rFonts w:ascii="宋体" w:hAnsi="宋体" w:cs="宋体"/>
          <w:b/>
          <w:bCs/>
          <w:sz w:val="24"/>
          <w:highlight w:val="none"/>
        </w:rPr>
      </w:pPr>
      <w:r>
        <w:rPr>
          <w:rFonts w:hint="eastAsia" w:ascii="宋体" w:hAnsi="宋体" w:cs="宋体"/>
          <w:b/>
          <w:bCs/>
          <w:sz w:val="24"/>
          <w:highlight w:val="none"/>
        </w:rPr>
        <w:t>2、项目实施内容</w:t>
      </w:r>
    </w:p>
    <w:p w14:paraId="6799CE8D">
      <w:pPr>
        <w:pStyle w:val="179"/>
        <w:spacing w:line="360" w:lineRule="auto"/>
        <w:ind w:firstLine="424" w:firstLineChars="177"/>
        <w:rPr>
          <w:rFonts w:ascii="宋体" w:hAnsi="宋体" w:cs="仿宋_GB2312"/>
          <w:bCs/>
          <w:highlight w:val="none"/>
        </w:rPr>
      </w:pPr>
      <w:r>
        <w:rPr>
          <w:rFonts w:hint="eastAsia" w:ascii="宋体" w:hAnsi="宋体" w:cs="仿宋_GB2312"/>
          <w:bCs/>
          <w:highlight w:val="none"/>
        </w:rPr>
        <w:t>担任法律援助服务机构，为大兴区法律援助中心提供法律援助服务，包括但不限于以下工作内容：法律援助接待大厅的值班咨询、法律援助工作站值班工作，解答法律咨询、代写法律文书、法律援助案件代理（辩护），12348法律咨询服务平台值班工作、举办法律知识讲座提供法律咨询服务及参加其它法律援助服务工作。</w:t>
      </w:r>
    </w:p>
    <w:p w14:paraId="429CEDA8">
      <w:pPr>
        <w:pStyle w:val="179"/>
        <w:spacing w:line="360" w:lineRule="auto"/>
        <w:ind w:firstLine="424" w:firstLineChars="177"/>
        <w:rPr>
          <w:rFonts w:ascii="宋体" w:hAnsi="宋体" w:cs="仿宋_GB2312"/>
          <w:bCs/>
          <w:highlight w:val="none"/>
        </w:rPr>
      </w:pPr>
      <w:r>
        <w:rPr>
          <w:rFonts w:hint="eastAsia" w:ascii="宋体" w:hAnsi="宋体" w:cs="仿宋_GB2312"/>
          <w:bCs/>
          <w:highlight w:val="none"/>
        </w:rPr>
        <w:t>（1）法律服务机构能够承担法律咨询、案件办理、12348法律咨询综合服务平台值班等相关工作。</w:t>
      </w:r>
    </w:p>
    <w:p w14:paraId="2C3F671F">
      <w:pPr>
        <w:pStyle w:val="179"/>
        <w:spacing w:line="360" w:lineRule="auto"/>
        <w:ind w:firstLine="424" w:firstLineChars="177"/>
        <w:rPr>
          <w:rFonts w:ascii="宋体" w:hAnsi="宋体" w:cs="仿宋_GB2312"/>
          <w:bCs/>
          <w:highlight w:val="none"/>
        </w:rPr>
      </w:pPr>
      <w:r>
        <w:rPr>
          <w:rFonts w:hint="eastAsia" w:ascii="宋体" w:hAnsi="宋体" w:cs="仿宋_GB2312"/>
          <w:bCs/>
          <w:highlight w:val="none"/>
        </w:rPr>
        <w:t>（2）法律服务机构能够办理刑事、民事及行政法律援助案件。其中包括的特殊案件类型：医疗纠纷案件、行政诉讼案件、国家赔偿案件等。</w:t>
      </w:r>
    </w:p>
    <w:p w14:paraId="28420F08">
      <w:pPr>
        <w:pStyle w:val="179"/>
        <w:spacing w:line="360" w:lineRule="auto"/>
        <w:ind w:firstLine="424" w:firstLineChars="177"/>
        <w:rPr>
          <w:rFonts w:ascii="宋体" w:hAnsi="宋体" w:cs="仿宋_GB2312"/>
          <w:bCs/>
          <w:highlight w:val="none"/>
        </w:rPr>
      </w:pPr>
      <w:r>
        <w:rPr>
          <w:rFonts w:hint="eastAsia" w:ascii="宋体" w:hAnsi="宋体" w:cs="仿宋_GB2312"/>
          <w:bCs/>
          <w:highlight w:val="none"/>
        </w:rPr>
        <w:t>（3）法律服务机构应具备专门工作人员负责法律援助案件的接收分配，负责统一使用北京市法律援助信息管理系统进行案件信息上传，负责每月向大兴区司法局法援中心报送法律援助案例，负责法律援助案件结案等工作。</w:t>
      </w:r>
    </w:p>
    <w:p w14:paraId="00AAAF46">
      <w:pPr>
        <w:spacing w:line="360" w:lineRule="auto"/>
        <w:ind w:firstLine="424" w:firstLineChars="177"/>
        <w:rPr>
          <w:rFonts w:ascii="宋体" w:hAnsi="宋体" w:cs="仿宋_GB2312"/>
          <w:bCs/>
          <w:sz w:val="24"/>
          <w:highlight w:val="none"/>
        </w:rPr>
      </w:pPr>
      <w:r>
        <w:rPr>
          <w:rFonts w:hint="eastAsia" w:ascii="宋体" w:hAnsi="宋体" w:cs="仿宋_GB2312"/>
          <w:bCs/>
          <w:sz w:val="24"/>
          <w:highlight w:val="none"/>
        </w:rPr>
        <w:t>3、人员分工</w:t>
      </w:r>
    </w:p>
    <w:p w14:paraId="75AE3729">
      <w:pPr>
        <w:spacing w:line="360" w:lineRule="auto"/>
        <w:ind w:firstLine="424" w:firstLineChars="177"/>
        <w:rPr>
          <w:rFonts w:ascii="宋体" w:hAnsi="宋体" w:cs="仿宋_GB2312"/>
          <w:bCs/>
          <w:sz w:val="24"/>
          <w:highlight w:val="none"/>
        </w:rPr>
      </w:pPr>
      <w:r>
        <w:rPr>
          <w:rFonts w:hint="eastAsia" w:ascii="宋体" w:hAnsi="宋体" w:cs="仿宋_GB2312"/>
          <w:bCs/>
          <w:sz w:val="24"/>
          <w:highlight w:val="none"/>
        </w:rPr>
        <w:t>公安、检察院、法院法律援助工作站每个工作日各安排1名律师值班，区法律援助中心咨询大厅每个工作日安排2名律师值班，12348热线每日（除特殊节假日向市中心报备不上线以外）安排2名律师值班，北京市大兴区人民检察院经济技术开发区检察处每周安排1名律师值班（以实际工作安排为准）。</w:t>
      </w:r>
    </w:p>
    <w:p w14:paraId="7FBD2D3D">
      <w:pPr>
        <w:spacing w:line="360" w:lineRule="auto"/>
        <w:rPr>
          <w:rFonts w:ascii="宋体" w:hAnsi="宋体"/>
          <w:b/>
          <w:bCs/>
          <w:sz w:val="24"/>
          <w:highlight w:val="none"/>
        </w:rPr>
      </w:pPr>
      <w:r>
        <w:rPr>
          <w:rFonts w:hint="eastAsia" w:ascii="宋体" w:hAnsi="宋体"/>
          <w:b/>
          <w:bCs/>
          <w:sz w:val="24"/>
          <w:highlight w:val="none"/>
        </w:rPr>
        <w:t>三、项目实施标准</w:t>
      </w:r>
    </w:p>
    <w:p w14:paraId="25FA5FEF">
      <w:pPr>
        <w:pStyle w:val="17"/>
        <w:spacing w:line="360" w:lineRule="auto"/>
        <w:rPr>
          <w:bCs/>
          <w:highlight w:val="none"/>
        </w:rPr>
      </w:pPr>
      <w:r>
        <w:rPr>
          <w:rFonts w:hint="eastAsia"/>
          <w:bCs/>
          <w:highlight w:val="none"/>
        </w:rPr>
        <w:t>1.根据《中华人民共和国法律援助法》《中华人民共和国刑事诉讼法》《中华人民共和国律师法》《北京市法律援助条例》《北京市法律援助补贴办法》（京司发〔2018〕86号）以及关于调整法律援助补贴发放有关事项的通知（京司法[2023]27号）、关于印发《法律援助法实施工作方法》的通知（司发通[2023]687号）《关于加强法律援助案件质量管理的意见》（京司发〔2023〕28号）等的有关要求提供法律援助服务，具体数量由大兴区法律援助中心进行统一安排。</w:t>
      </w:r>
    </w:p>
    <w:p w14:paraId="1F061004">
      <w:pPr>
        <w:pStyle w:val="17"/>
        <w:spacing w:line="360" w:lineRule="auto"/>
        <w:rPr>
          <w:bCs/>
          <w:highlight w:val="none"/>
        </w:rPr>
      </w:pPr>
      <w:r>
        <w:rPr>
          <w:rFonts w:hint="eastAsia"/>
          <w:bCs/>
          <w:highlight w:val="none"/>
        </w:rPr>
        <w:t>2.法律援助人员在办理法律援助案件的过程中，应当依法履行职责，通过和解、调解、申请仲裁、提起诉讼等多种方式，及时为受援人提供符合标准的法律援助服务，努力维护法律公正和受援人合法权益，维护社会稳定。</w:t>
      </w:r>
    </w:p>
    <w:p w14:paraId="6A609FB9">
      <w:pPr>
        <w:pStyle w:val="17"/>
        <w:spacing w:line="360" w:lineRule="auto"/>
        <w:rPr>
          <w:bCs/>
          <w:highlight w:val="none"/>
        </w:rPr>
      </w:pPr>
      <w:r>
        <w:rPr>
          <w:rFonts w:hint="eastAsia"/>
          <w:bCs/>
          <w:highlight w:val="none"/>
        </w:rPr>
        <w:t>3.供应商具备专门工作人员负责法律援助案件的接收分配，熟练使用北京市法律援助信息管理系统进行案件信息上传，法律援助案件结案归档等工作。</w:t>
      </w:r>
    </w:p>
    <w:p w14:paraId="2CCC94B5">
      <w:pPr>
        <w:pStyle w:val="17"/>
        <w:spacing w:line="360" w:lineRule="auto"/>
        <w:rPr>
          <w:bCs/>
          <w:highlight w:val="none"/>
        </w:rPr>
      </w:pPr>
      <w:r>
        <w:rPr>
          <w:rFonts w:hint="eastAsia"/>
          <w:bCs/>
          <w:highlight w:val="none"/>
        </w:rPr>
        <w:t>4.供应商具备承办法律援助案件的能力，具备法律援助案件办理质量内控机制，对于法律援助工作具备管理流程制度。</w:t>
      </w:r>
    </w:p>
    <w:p w14:paraId="427F8192">
      <w:pPr>
        <w:pStyle w:val="17"/>
        <w:spacing w:line="360" w:lineRule="auto"/>
        <w:rPr>
          <w:bCs/>
          <w:highlight w:val="none"/>
        </w:rPr>
      </w:pPr>
      <w:r>
        <w:rPr>
          <w:rFonts w:hint="eastAsia"/>
          <w:bCs/>
          <w:highlight w:val="none"/>
        </w:rPr>
        <w:t>5.法律援助人员应当按法律规定的时限，在受委托的权限内积极履行代理或辩护职责，依法最大限度维护受援人合法权益，禁止越权办案。</w:t>
      </w:r>
    </w:p>
    <w:p w14:paraId="6F4EAD68">
      <w:pPr>
        <w:pStyle w:val="17"/>
        <w:spacing w:line="360" w:lineRule="auto"/>
        <w:rPr>
          <w:bCs/>
          <w:highlight w:val="none"/>
        </w:rPr>
      </w:pPr>
      <w:r>
        <w:rPr>
          <w:rFonts w:hint="eastAsia"/>
          <w:bCs/>
          <w:highlight w:val="none"/>
        </w:rPr>
        <w:t>6.严格遵守服务时间，严禁出现迟到、早退，无故离岗等情况，不得从事与工作无关的活动。</w:t>
      </w:r>
    </w:p>
    <w:p w14:paraId="65769802">
      <w:pPr>
        <w:pStyle w:val="17"/>
        <w:spacing w:line="360" w:lineRule="auto"/>
        <w:rPr>
          <w:bCs/>
          <w:highlight w:val="none"/>
        </w:rPr>
      </w:pPr>
      <w:r>
        <w:rPr>
          <w:rFonts w:hint="eastAsia"/>
          <w:bCs/>
          <w:highlight w:val="none"/>
        </w:rPr>
        <w:t>7.在来电、来访、刑事法律帮助等值班咨询过程中态度热情，解答认真，有问必答，严禁出现不耐烦、教训、讽刺、侮辱、辱骂当事人的情况。</w:t>
      </w:r>
    </w:p>
    <w:p w14:paraId="7BF44EFD">
      <w:pPr>
        <w:pStyle w:val="17"/>
        <w:spacing w:line="360" w:lineRule="auto"/>
        <w:rPr>
          <w:bCs/>
          <w:highlight w:val="none"/>
        </w:rPr>
      </w:pPr>
      <w:r>
        <w:rPr>
          <w:rFonts w:hint="eastAsia"/>
          <w:bCs/>
          <w:highlight w:val="none"/>
        </w:rPr>
        <w:t>8.积极主动完成工作任务，勤勉敬业。保证本机构在服务周期内12348坐席接听满意率不低于99.7%，大厅接待来访咨询投诉率低于1%，具体情况以相关协议为准。</w:t>
      </w:r>
    </w:p>
    <w:p w14:paraId="067F0006">
      <w:pPr>
        <w:pStyle w:val="17"/>
        <w:spacing w:line="360" w:lineRule="auto"/>
        <w:rPr>
          <w:bCs/>
          <w:highlight w:val="none"/>
        </w:rPr>
      </w:pPr>
      <w:r>
        <w:rPr>
          <w:rFonts w:hint="eastAsia"/>
          <w:bCs/>
          <w:highlight w:val="none"/>
        </w:rPr>
        <w:t>9.定期向大兴区法律援助中心报送法律援助案例。</w:t>
      </w:r>
    </w:p>
    <w:p w14:paraId="57569293">
      <w:pPr>
        <w:pStyle w:val="17"/>
        <w:spacing w:line="360" w:lineRule="auto"/>
        <w:rPr>
          <w:bCs/>
          <w:highlight w:val="none"/>
        </w:rPr>
      </w:pPr>
      <w:r>
        <w:rPr>
          <w:rFonts w:hint="eastAsia"/>
          <w:bCs/>
          <w:highlight w:val="none"/>
        </w:rPr>
        <w:t>10.法律援助人员应当保守在办理法律援助案件中知悉的国家秘密、商业秘密，不得泄露当事人隐私；不得索取、收受任何财物或牟取不当利益；不得无正当理由拒绝、拖延或者终止实施法律援助。</w:t>
      </w:r>
    </w:p>
    <w:p w14:paraId="6FAE8A91">
      <w:pPr>
        <w:pStyle w:val="17"/>
        <w:spacing w:line="360" w:lineRule="auto"/>
        <w:rPr>
          <w:bCs/>
          <w:highlight w:val="none"/>
        </w:rPr>
      </w:pPr>
      <w:r>
        <w:rPr>
          <w:rFonts w:hint="eastAsia"/>
          <w:bCs/>
          <w:highlight w:val="none"/>
        </w:rPr>
        <w:t>12.法律援助人员应充分尊重受援人意愿，引导其依法表达诉求，恪守职业道德和执业纪律，自觉接受大兴区法律援助中心的业务监督指导。</w:t>
      </w:r>
    </w:p>
    <w:p w14:paraId="572F533C">
      <w:pPr>
        <w:pStyle w:val="17"/>
        <w:spacing w:line="360" w:lineRule="auto"/>
        <w:rPr>
          <w:b/>
          <w:highlight w:val="none"/>
        </w:rPr>
      </w:pPr>
      <w:r>
        <w:rPr>
          <w:b/>
          <w:highlight w:val="none"/>
        </w:rPr>
        <w:t>四、补贴标准</w:t>
      </w:r>
    </w:p>
    <w:p w14:paraId="153B7A85">
      <w:pPr>
        <w:pStyle w:val="17"/>
        <w:spacing w:line="360" w:lineRule="auto"/>
        <w:ind w:firstLine="424" w:firstLineChars="177"/>
        <w:rPr>
          <w:bCs/>
          <w:highlight w:val="none"/>
        </w:rPr>
      </w:pPr>
      <w:r>
        <w:rPr>
          <w:rFonts w:hint="eastAsia"/>
          <w:bCs/>
          <w:highlight w:val="none"/>
        </w:rPr>
        <w:t>1.法律服务机构提供法律援助服务由政府发放补贴。补贴经费由区财政予以保障，并纳入区司法局部门预算。</w:t>
      </w:r>
    </w:p>
    <w:p w14:paraId="4E82F7E2">
      <w:pPr>
        <w:pStyle w:val="17"/>
        <w:spacing w:line="360" w:lineRule="auto"/>
        <w:ind w:firstLine="424" w:firstLineChars="177"/>
        <w:rPr>
          <w:bCs/>
          <w:highlight w:val="none"/>
        </w:rPr>
      </w:pPr>
      <w:r>
        <w:rPr>
          <w:rFonts w:hint="eastAsia"/>
          <w:bCs/>
          <w:highlight w:val="none"/>
        </w:rPr>
        <w:t>2.提供法律援助服务的补贴标准，按照新修订的《北京市法律援助补贴办法》执行，根据上级相关部门出台政策及文件并随经济社会发展和法律援助服务工作需要适时调整。</w:t>
      </w:r>
    </w:p>
    <w:p w14:paraId="40BFD35F">
      <w:pPr>
        <w:pStyle w:val="17"/>
        <w:spacing w:line="360" w:lineRule="auto"/>
        <w:rPr>
          <w:b/>
          <w:highlight w:val="none"/>
        </w:rPr>
      </w:pPr>
      <w:r>
        <w:rPr>
          <w:b/>
          <w:highlight w:val="none"/>
        </w:rPr>
        <w:t>五、验收、考核标准</w:t>
      </w:r>
    </w:p>
    <w:p w14:paraId="787887FF">
      <w:pPr>
        <w:spacing w:line="360" w:lineRule="auto"/>
        <w:jc w:val="center"/>
        <w:rPr>
          <w:rFonts w:ascii="宋体" w:hAnsi="宋体"/>
          <w:sz w:val="24"/>
          <w:highlight w:val="none"/>
        </w:rPr>
      </w:pPr>
      <w:r>
        <w:rPr>
          <w:rFonts w:ascii="宋体" w:hAnsi="宋体"/>
          <w:b/>
          <w:bCs/>
          <w:sz w:val="24"/>
          <w:highlight w:val="none"/>
        </w:rPr>
        <w:t>大兴区</w:t>
      </w:r>
      <w:r>
        <w:rPr>
          <w:rFonts w:hint="eastAsia" w:ascii="宋体" w:hAnsi="宋体"/>
          <w:b/>
          <w:bCs/>
          <w:sz w:val="24"/>
          <w:highlight w:val="none"/>
        </w:rPr>
        <w:t>法援中心律师考核办法</w:t>
      </w:r>
    </w:p>
    <w:p w14:paraId="7A9A7C8A">
      <w:pPr>
        <w:spacing w:line="360" w:lineRule="auto"/>
        <w:ind w:firstLine="480" w:firstLineChars="200"/>
        <w:rPr>
          <w:rFonts w:ascii="宋体" w:hAnsi="宋体"/>
          <w:sz w:val="24"/>
          <w:highlight w:val="none"/>
        </w:rPr>
      </w:pPr>
      <w:r>
        <w:rPr>
          <w:rFonts w:hint="eastAsia" w:ascii="宋体" w:hAnsi="宋体"/>
          <w:sz w:val="24"/>
          <w:highlight w:val="none"/>
        </w:rPr>
        <w:t>一、工作范围</w:t>
      </w:r>
    </w:p>
    <w:p w14:paraId="0066E257">
      <w:pPr>
        <w:spacing w:line="360" w:lineRule="auto"/>
        <w:ind w:firstLine="480" w:firstLineChars="200"/>
        <w:rPr>
          <w:rFonts w:ascii="宋体" w:hAnsi="宋体"/>
          <w:sz w:val="24"/>
          <w:highlight w:val="none"/>
        </w:rPr>
      </w:pPr>
      <w:r>
        <w:rPr>
          <w:rFonts w:hint="eastAsia" w:ascii="宋体" w:hAnsi="宋体"/>
          <w:sz w:val="24"/>
          <w:highlight w:val="none"/>
        </w:rPr>
        <w:t>各律所通过招投标</w:t>
      </w:r>
      <w:r>
        <w:rPr>
          <w:rFonts w:ascii="宋体" w:hAnsi="宋体"/>
          <w:sz w:val="24"/>
          <w:highlight w:val="none"/>
        </w:rPr>
        <w:t>进入大兴法律援助工作平台</w:t>
      </w:r>
      <w:r>
        <w:rPr>
          <w:rFonts w:hint="eastAsia" w:ascii="宋体" w:hAnsi="宋体"/>
          <w:sz w:val="24"/>
          <w:highlight w:val="none"/>
        </w:rPr>
        <w:t>，在大兴区法律援助中心的指导下开展工作</w:t>
      </w:r>
      <w:r>
        <w:rPr>
          <w:rFonts w:ascii="宋体" w:hAnsi="宋体"/>
          <w:sz w:val="24"/>
          <w:highlight w:val="none"/>
        </w:rPr>
        <w:t>。</w:t>
      </w:r>
      <w:r>
        <w:rPr>
          <w:rFonts w:hint="eastAsia" w:ascii="宋体" w:hAnsi="宋体"/>
          <w:sz w:val="24"/>
          <w:highlight w:val="none"/>
        </w:rPr>
        <w:t>具体工作包括12348公共法律</w:t>
      </w:r>
      <w:r>
        <w:rPr>
          <w:rFonts w:ascii="宋体" w:hAnsi="宋体"/>
          <w:sz w:val="24"/>
          <w:highlight w:val="none"/>
        </w:rPr>
        <w:t>服务</w:t>
      </w:r>
      <w:r>
        <w:rPr>
          <w:rFonts w:hint="eastAsia" w:ascii="宋体" w:hAnsi="宋体"/>
          <w:sz w:val="24"/>
          <w:highlight w:val="none"/>
        </w:rPr>
        <w:t>热线值班、</w:t>
      </w:r>
      <w:r>
        <w:rPr>
          <w:rFonts w:ascii="宋体" w:hAnsi="宋体"/>
          <w:sz w:val="24"/>
          <w:highlight w:val="none"/>
        </w:rPr>
        <w:t>法</w:t>
      </w:r>
      <w:r>
        <w:rPr>
          <w:rFonts w:hint="eastAsia" w:ascii="宋体" w:hAnsi="宋体"/>
          <w:sz w:val="24"/>
          <w:highlight w:val="none"/>
        </w:rPr>
        <w:t>律援助</w:t>
      </w:r>
      <w:r>
        <w:rPr>
          <w:rFonts w:ascii="宋体" w:hAnsi="宋体"/>
          <w:sz w:val="24"/>
          <w:highlight w:val="none"/>
        </w:rPr>
        <w:t>大厅</w:t>
      </w:r>
      <w:r>
        <w:rPr>
          <w:rFonts w:hint="eastAsia" w:ascii="宋体" w:hAnsi="宋体"/>
          <w:sz w:val="24"/>
          <w:highlight w:val="none"/>
        </w:rPr>
        <w:t>窗口值班、法律援助工作站值班、援助案件办理等工作。</w:t>
      </w:r>
    </w:p>
    <w:p w14:paraId="05D2064D">
      <w:pPr>
        <w:spacing w:line="360" w:lineRule="auto"/>
        <w:ind w:firstLine="480" w:firstLineChars="200"/>
        <w:rPr>
          <w:rFonts w:ascii="宋体" w:hAnsi="宋体"/>
          <w:sz w:val="24"/>
          <w:highlight w:val="none"/>
        </w:rPr>
      </w:pPr>
      <w:r>
        <w:rPr>
          <w:rFonts w:hint="eastAsia" w:ascii="宋体" w:hAnsi="宋体"/>
          <w:sz w:val="24"/>
          <w:highlight w:val="none"/>
        </w:rPr>
        <w:t>二、</w:t>
      </w:r>
      <w:r>
        <w:rPr>
          <w:rFonts w:ascii="宋体" w:hAnsi="宋体"/>
          <w:sz w:val="24"/>
          <w:highlight w:val="none"/>
        </w:rPr>
        <w:t>工作</w:t>
      </w:r>
      <w:r>
        <w:rPr>
          <w:rFonts w:hint="eastAsia" w:ascii="宋体" w:hAnsi="宋体"/>
          <w:sz w:val="24"/>
          <w:highlight w:val="none"/>
        </w:rPr>
        <w:t>联络</w:t>
      </w:r>
    </w:p>
    <w:p w14:paraId="42A4CCDA">
      <w:pPr>
        <w:spacing w:line="360" w:lineRule="auto"/>
        <w:ind w:firstLine="480" w:firstLineChars="200"/>
        <w:rPr>
          <w:rFonts w:ascii="宋体" w:hAnsi="宋体"/>
          <w:sz w:val="24"/>
          <w:highlight w:val="none"/>
        </w:rPr>
      </w:pPr>
      <w:r>
        <w:rPr>
          <w:rFonts w:hint="eastAsia" w:ascii="宋体" w:hAnsi="宋体"/>
          <w:sz w:val="24"/>
          <w:highlight w:val="none"/>
        </w:rPr>
        <w:t>各律所应</w:t>
      </w:r>
      <w:r>
        <w:rPr>
          <w:rFonts w:ascii="宋体" w:hAnsi="宋体"/>
          <w:sz w:val="24"/>
          <w:highlight w:val="none"/>
        </w:rPr>
        <w:t>明确与</w:t>
      </w:r>
      <w:r>
        <w:rPr>
          <w:rFonts w:hint="eastAsia" w:ascii="宋体" w:hAnsi="宋体"/>
          <w:sz w:val="24"/>
          <w:highlight w:val="none"/>
        </w:rPr>
        <w:t>法援中心</w:t>
      </w:r>
      <w:r>
        <w:rPr>
          <w:rFonts w:ascii="宋体" w:hAnsi="宋体"/>
          <w:sz w:val="24"/>
          <w:highlight w:val="none"/>
        </w:rPr>
        <w:t>进行工作对接</w:t>
      </w:r>
      <w:r>
        <w:rPr>
          <w:rFonts w:hint="eastAsia" w:ascii="宋体" w:hAnsi="宋体"/>
          <w:sz w:val="24"/>
          <w:highlight w:val="none"/>
        </w:rPr>
        <w:t>的联</w:t>
      </w:r>
      <w:r>
        <w:rPr>
          <w:rFonts w:ascii="宋体" w:hAnsi="宋体"/>
          <w:sz w:val="24"/>
          <w:highlight w:val="none"/>
        </w:rPr>
        <w:t>系</w:t>
      </w:r>
      <w:r>
        <w:rPr>
          <w:rFonts w:hint="eastAsia" w:ascii="宋体" w:hAnsi="宋体"/>
          <w:sz w:val="24"/>
          <w:highlight w:val="none"/>
        </w:rPr>
        <w:t>人</w:t>
      </w:r>
      <w:r>
        <w:rPr>
          <w:rFonts w:ascii="宋体" w:hAnsi="宋体"/>
          <w:sz w:val="24"/>
          <w:highlight w:val="none"/>
        </w:rPr>
        <w:t>、</w:t>
      </w:r>
      <w:r>
        <w:rPr>
          <w:rFonts w:hint="eastAsia" w:ascii="宋体" w:hAnsi="宋体"/>
          <w:sz w:val="24"/>
          <w:highlight w:val="none"/>
        </w:rPr>
        <w:t>联系电话，负责</w:t>
      </w:r>
      <w:r>
        <w:rPr>
          <w:rFonts w:ascii="宋体" w:hAnsi="宋体"/>
          <w:sz w:val="24"/>
          <w:highlight w:val="none"/>
        </w:rPr>
        <w:t>及时接收传达</w:t>
      </w:r>
      <w:r>
        <w:rPr>
          <w:rFonts w:hint="eastAsia" w:ascii="宋体" w:hAnsi="宋体"/>
          <w:sz w:val="24"/>
          <w:highlight w:val="none"/>
        </w:rPr>
        <w:t>法援中心的</w:t>
      </w:r>
      <w:r>
        <w:rPr>
          <w:rFonts w:ascii="宋体" w:hAnsi="宋体"/>
          <w:sz w:val="24"/>
          <w:highlight w:val="none"/>
        </w:rPr>
        <w:t>各项</w:t>
      </w:r>
      <w:r>
        <w:rPr>
          <w:rFonts w:hint="eastAsia" w:ascii="宋体" w:hAnsi="宋体"/>
          <w:sz w:val="24"/>
          <w:highlight w:val="none"/>
        </w:rPr>
        <w:t>通知</w:t>
      </w:r>
      <w:r>
        <w:rPr>
          <w:rFonts w:ascii="宋体" w:hAnsi="宋体"/>
          <w:sz w:val="24"/>
          <w:highlight w:val="none"/>
        </w:rPr>
        <w:t>、工作要求、</w:t>
      </w:r>
      <w:r>
        <w:rPr>
          <w:rFonts w:hint="eastAsia" w:ascii="宋体" w:hAnsi="宋体"/>
          <w:sz w:val="24"/>
          <w:highlight w:val="none"/>
        </w:rPr>
        <w:t>援助案件的指派、对法援中心值班表的接收及安排值班律师等各项具体工作。如律所更换联系人及变更联系方式，应第一时间通知法援中心。</w:t>
      </w:r>
    </w:p>
    <w:p w14:paraId="20E471C6">
      <w:pPr>
        <w:spacing w:line="360" w:lineRule="auto"/>
        <w:ind w:firstLine="480" w:firstLineChars="200"/>
        <w:rPr>
          <w:rFonts w:ascii="宋体" w:hAnsi="宋体"/>
          <w:sz w:val="24"/>
          <w:highlight w:val="none"/>
        </w:rPr>
      </w:pPr>
      <w:r>
        <w:rPr>
          <w:rFonts w:ascii="宋体" w:hAnsi="宋体"/>
          <w:sz w:val="24"/>
          <w:highlight w:val="none"/>
        </w:rPr>
        <w:t>三、</w:t>
      </w:r>
      <w:r>
        <w:rPr>
          <w:rFonts w:hint="eastAsia" w:ascii="宋体" w:hAnsi="宋体"/>
          <w:sz w:val="24"/>
          <w:highlight w:val="none"/>
        </w:rPr>
        <w:t>工作要求</w:t>
      </w:r>
    </w:p>
    <w:p w14:paraId="172721C7">
      <w:pPr>
        <w:spacing w:line="360" w:lineRule="auto"/>
        <w:ind w:firstLine="480" w:firstLineChars="200"/>
        <w:rPr>
          <w:rFonts w:ascii="宋体" w:hAnsi="宋体"/>
          <w:sz w:val="24"/>
          <w:highlight w:val="none"/>
        </w:rPr>
      </w:pPr>
      <w:r>
        <w:rPr>
          <w:rFonts w:hint="eastAsia" w:ascii="宋体" w:hAnsi="宋体"/>
          <w:sz w:val="24"/>
          <w:highlight w:val="none"/>
        </w:rPr>
        <w:t>（一）法援中心值班共三部分</w:t>
      </w:r>
      <w:r>
        <w:rPr>
          <w:rFonts w:ascii="宋体" w:hAnsi="宋体"/>
          <w:sz w:val="24"/>
          <w:highlight w:val="none"/>
        </w:rPr>
        <w:t>：</w:t>
      </w:r>
      <w:r>
        <w:rPr>
          <w:rFonts w:hint="eastAsia" w:ascii="宋体" w:hAnsi="宋体"/>
          <w:sz w:val="24"/>
          <w:highlight w:val="none"/>
        </w:rPr>
        <w:t>12348热线值班、法律援助窗口现场值班、法律援助工作站值班。</w:t>
      </w:r>
    </w:p>
    <w:p w14:paraId="5EFBC7D6">
      <w:pPr>
        <w:spacing w:line="360" w:lineRule="auto"/>
        <w:ind w:firstLine="480" w:firstLineChars="200"/>
        <w:rPr>
          <w:rFonts w:ascii="宋体" w:hAnsi="宋体"/>
          <w:sz w:val="24"/>
          <w:highlight w:val="none"/>
        </w:rPr>
      </w:pPr>
      <w:r>
        <w:rPr>
          <w:rFonts w:ascii="宋体" w:hAnsi="宋体"/>
          <w:sz w:val="24"/>
          <w:highlight w:val="none"/>
        </w:rPr>
        <w:t>（二）</w:t>
      </w:r>
      <w:r>
        <w:rPr>
          <w:rFonts w:hint="eastAsia" w:ascii="宋体" w:hAnsi="宋体"/>
          <w:sz w:val="24"/>
          <w:highlight w:val="none"/>
        </w:rPr>
        <w:t>值班律师应该严格按照区法援中心所公布的值班表值班</w:t>
      </w:r>
      <w:r>
        <w:rPr>
          <w:rFonts w:ascii="宋体" w:hAnsi="宋体"/>
          <w:sz w:val="24"/>
          <w:highlight w:val="none"/>
        </w:rPr>
        <w:t>。</w:t>
      </w:r>
      <w:r>
        <w:rPr>
          <w:rFonts w:hint="eastAsia" w:ascii="宋体" w:hAnsi="宋体"/>
          <w:sz w:val="24"/>
          <w:highlight w:val="none"/>
        </w:rPr>
        <w:t>在值班过程中，应确保做到满勤满点，各值班律师应协调工作时间，</w:t>
      </w:r>
      <w:r>
        <w:rPr>
          <w:rFonts w:ascii="宋体" w:hAnsi="宋体"/>
          <w:sz w:val="24"/>
          <w:highlight w:val="none"/>
        </w:rPr>
        <w:t>确保不迟到，不早退，勤勉敬业。</w:t>
      </w:r>
    </w:p>
    <w:p w14:paraId="504F3C24">
      <w:pPr>
        <w:spacing w:line="360" w:lineRule="auto"/>
        <w:ind w:firstLine="480" w:firstLineChars="200"/>
        <w:rPr>
          <w:rFonts w:ascii="宋体" w:hAnsi="宋体"/>
          <w:sz w:val="24"/>
          <w:highlight w:val="none"/>
        </w:rPr>
      </w:pPr>
      <w:r>
        <w:rPr>
          <w:rFonts w:ascii="宋体" w:hAnsi="宋体"/>
          <w:sz w:val="24"/>
          <w:highlight w:val="none"/>
        </w:rPr>
        <w:t>（三）</w:t>
      </w:r>
      <w:r>
        <w:rPr>
          <w:rFonts w:hint="eastAsia" w:ascii="宋体" w:hAnsi="宋体"/>
          <w:sz w:val="24"/>
          <w:highlight w:val="none"/>
        </w:rPr>
        <w:t>如值班律师确因</w:t>
      </w:r>
      <w:r>
        <w:rPr>
          <w:rFonts w:ascii="宋体" w:hAnsi="宋体"/>
          <w:sz w:val="24"/>
          <w:highlight w:val="none"/>
        </w:rPr>
        <w:t>其他</w:t>
      </w:r>
      <w:r>
        <w:rPr>
          <w:rFonts w:hint="eastAsia" w:ascii="宋体" w:hAnsi="宋体"/>
          <w:sz w:val="24"/>
          <w:highlight w:val="none"/>
        </w:rPr>
        <w:t>工作安排不能按时到岗</w:t>
      </w:r>
      <w:r>
        <w:rPr>
          <w:rFonts w:ascii="宋体" w:hAnsi="宋体"/>
          <w:sz w:val="24"/>
          <w:highlight w:val="none"/>
        </w:rPr>
        <w:t>需要换岗的，</w:t>
      </w:r>
      <w:r>
        <w:rPr>
          <w:rFonts w:hint="eastAsia" w:ascii="宋体" w:hAnsi="宋体"/>
          <w:sz w:val="24"/>
          <w:highlight w:val="none"/>
        </w:rPr>
        <w:t>律所应安排所内业务</w:t>
      </w:r>
      <w:r>
        <w:rPr>
          <w:rFonts w:ascii="宋体" w:hAnsi="宋体"/>
          <w:sz w:val="24"/>
          <w:highlight w:val="none"/>
        </w:rPr>
        <w:t>娴熟、能完好胜任法援工作岗位的</w:t>
      </w:r>
      <w:r>
        <w:rPr>
          <w:rFonts w:hint="eastAsia" w:ascii="宋体" w:hAnsi="宋体"/>
          <w:sz w:val="24"/>
          <w:highlight w:val="none"/>
        </w:rPr>
        <w:t>律师</w:t>
      </w:r>
      <w:r>
        <w:rPr>
          <w:rFonts w:ascii="宋体" w:hAnsi="宋体"/>
          <w:sz w:val="24"/>
          <w:highlight w:val="none"/>
        </w:rPr>
        <w:t>按时替岗</w:t>
      </w:r>
      <w:r>
        <w:rPr>
          <w:rFonts w:hint="eastAsia" w:ascii="宋体" w:hAnsi="宋体"/>
          <w:sz w:val="24"/>
          <w:highlight w:val="none"/>
        </w:rPr>
        <w:t>。替岗律师应能胜任12348值班、窗口接待、法律援助工作站的工作职责，并能胜任综合类</w:t>
      </w:r>
      <w:r>
        <w:rPr>
          <w:rFonts w:ascii="宋体" w:hAnsi="宋体"/>
          <w:sz w:val="24"/>
          <w:highlight w:val="none"/>
        </w:rPr>
        <w:t>法律</w:t>
      </w:r>
      <w:r>
        <w:rPr>
          <w:rFonts w:hint="eastAsia" w:ascii="宋体" w:hAnsi="宋体"/>
          <w:sz w:val="24"/>
          <w:highlight w:val="none"/>
        </w:rPr>
        <w:t>咨询任务。值班律师应提前</w:t>
      </w:r>
      <w:r>
        <w:rPr>
          <w:rFonts w:ascii="宋体" w:hAnsi="宋体"/>
          <w:sz w:val="24"/>
          <w:highlight w:val="none"/>
        </w:rPr>
        <w:t>将</w:t>
      </w:r>
      <w:r>
        <w:rPr>
          <w:rFonts w:hint="eastAsia" w:ascii="宋体" w:hAnsi="宋体"/>
          <w:sz w:val="24"/>
          <w:highlight w:val="none"/>
        </w:rPr>
        <w:t>值班的工作职责、工作时间、工作地点告知替岗律师</w:t>
      </w:r>
      <w:r>
        <w:rPr>
          <w:rFonts w:ascii="宋体" w:hAnsi="宋体"/>
          <w:sz w:val="24"/>
          <w:highlight w:val="none"/>
        </w:rPr>
        <w:t>。</w:t>
      </w:r>
      <w:r>
        <w:rPr>
          <w:rFonts w:hint="eastAsia" w:ascii="宋体" w:hAnsi="宋体"/>
          <w:sz w:val="24"/>
          <w:highlight w:val="none"/>
        </w:rPr>
        <w:t>替岗律师在值班当日，应提前十分钟到岗，熟悉工作环境</w:t>
      </w:r>
      <w:r>
        <w:rPr>
          <w:rFonts w:ascii="宋体" w:hAnsi="宋体"/>
          <w:sz w:val="24"/>
          <w:highlight w:val="none"/>
        </w:rPr>
        <w:t>，</w:t>
      </w:r>
      <w:r>
        <w:rPr>
          <w:rFonts w:hint="eastAsia" w:ascii="宋体" w:hAnsi="宋体"/>
          <w:sz w:val="24"/>
          <w:highlight w:val="none"/>
        </w:rPr>
        <w:t>接受岗前培训</w:t>
      </w:r>
      <w:r>
        <w:rPr>
          <w:rFonts w:ascii="宋体" w:hAnsi="宋体"/>
          <w:sz w:val="24"/>
          <w:highlight w:val="none"/>
        </w:rPr>
        <w:t>。</w:t>
      </w:r>
      <w:r>
        <w:rPr>
          <w:rFonts w:hint="eastAsia" w:ascii="宋体" w:hAnsi="宋体"/>
          <w:sz w:val="24"/>
          <w:highlight w:val="none"/>
        </w:rPr>
        <w:t>严禁安排实习律师</w:t>
      </w:r>
      <w:r>
        <w:rPr>
          <w:rFonts w:ascii="宋体" w:hAnsi="宋体"/>
          <w:sz w:val="24"/>
          <w:highlight w:val="none"/>
        </w:rPr>
        <w:t>到岗</w:t>
      </w:r>
      <w:r>
        <w:rPr>
          <w:rFonts w:hint="eastAsia" w:ascii="宋体" w:hAnsi="宋体"/>
          <w:sz w:val="24"/>
          <w:highlight w:val="none"/>
        </w:rPr>
        <w:t>值班。</w:t>
      </w:r>
    </w:p>
    <w:p w14:paraId="24CF9D7E">
      <w:pPr>
        <w:pStyle w:val="180"/>
        <w:spacing w:line="360" w:lineRule="auto"/>
        <w:ind w:firstLine="480"/>
        <w:rPr>
          <w:rFonts w:ascii="宋体" w:hAnsi="宋体"/>
          <w:sz w:val="24"/>
          <w:szCs w:val="24"/>
          <w:highlight w:val="none"/>
        </w:rPr>
      </w:pPr>
      <w:r>
        <w:rPr>
          <w:rFonts w:ascii="宋体" w:hAnsi="宋体"/>
          <w:sz w:val="24"/>
          <w:szCs w:val="24"/>
          <w:highlight w:val="none"/>
        </w:rPr>
        <w:t>（四）</w:t>
      </w:r>
      <w:r>
        <w:rPr>
          <w:rFonts w:hint="eastAsia" w:ascii="宋体" w:hAnsi="宋体"/>
          <w:sz w:val="24"/>
          <w:szCs w:val="24"/>
          <w:highlight w:val="none"/>
        </w:rPr>
        <w:t>如</w:t>
      </w:r>
      <w:r>
        <w:rPr>
          <w:rFonts w:ascii="宋体" w:hAnsi="宋体"/>
          <w:sz w:val="24"/>
          <w:szCs w:val="24"/>
          <w:highlight w:val="none"/>
        </w:rPr>
        <w:t>本所</w:t>
      </w:r>
      <w:r>
        <w:rPr>
          <w:rFonts w:hint="eastAsia" w:ascii="宋体" w:hAnsi="宋体"/>
          <w:sz w:val="24"/>
          <w:szCs w:val="24"/>
          <w:highlight w:val="none"/>
        </w:rPr>
        <w:t>不能</w:t>
      </w:r>
      <w:r>
        <w:rPr>
          <w:rFonts w:ascii="宋体" w:hAnsi="宋体"/>
          <w:sz w:val="24"/>
          <w:szCs w:val="24"/>
          <w:highlight w:val="none"/>
        </w:rPr>
        <w:t>及时</w:t>
      </w:r>
      <w:r>
        <w:rPr>
          <w:rFonts w:hint="eastAsia" w:ascii="宋体" w:hAnsi="宋体"/>
          <w:sz w:val="24"/>
          <w:szCs w:val="24"/>
          <w:highlight w:val="none"/>
        </w:rPr>
        <w:t>安排</w:t>
      </w:r>
      <w:r>
        <w:rPr>
          <w:rFonts w:ascii="宋体" w:hAnsi="宋体"/>
          <w:sz w:val="24"/>
          <w:szCs w:val="24"/>
          <w:highlight w:val="none"/>
        </w:rPr>
        <w:t>出</w:t>
      </w:r>
      <w:r>
        <w:rPr>
          <w:rFonts w:hint="eastAsia" w:ascii="宋体" w:hAnsi="宋体"/>
          <w:sz w:val="24"/>
          <w:szCs w:val="24"/>
          <w:highlight w:val="none"/>
        </w:rPr>
        <w:t>律师到岗值班，需</w:t>
      </w:r>
      <w:r>
        <w:rPr>
          <w:rFonts w:ascii="宋体" w:hAnsi="宋体"/>
          <w:sz w:val="24"/>
          <w:szCs w:val="24"/>
          <w:highlight w:val="none"/>
        </w:rPr>
        <w:t>要协调</w:t>
      </w:r>
      <w:r>
        <w:rPr>
          <w:rFonts w:hint="eastAsia" w:ascii="宋体" w:hAnsi="宋体"/>
          <w:sz w:val="24"/>
          <w:szCs w:val="24"/>
          <w:highlight w:val="none"/>
        </w:rPr>
        <w:t>其他律所</w:t>
      </w:r>
      <w:r>
        <w:rPr>
          <w:rFonts w:ascii="宋体" w:hAnsi="宋体"/>
          <w:sz w:val="24"/>
          <w:szCs w:val="24"/>
          <w:highlight w:val="none"/>
        </w:rPr>
        <w:t>律师替岗</w:t>
      </w:r>
      <w:r>
        <w:rPr>
          <w:rFonts w:hint="eastAsia" w:ascii="宋体" w:hAnsi="宋体"/>
          <w:sz w:val="24"/>
          <w:szCs w:val="24"/>
          <w:highlight w:val="none"/>
        </w:rPr>
        <w:t>值班的，应至少提前一天</w:t>
      </w:r>
      <w:r>
        <w:rPr>
          <w:rFonts w:ascii="宋体" w:hAnsi="宋体"/>
          <w:sz w:val="24"/>
          <w:szCs w:val="24"/>
          <w:highlight w:val="none"/>
        </w:rPr>
        <w:t>向</w:t>
      </w:r>
      <w:r>
        <w:rPr>
          <w:rFonts w:hint="eastAsia" w:ascii="宋体" w:hAnsi="宋体"/>
          <w:sz w:val="24"/>
          <w:szCs w:val="24"/>
          <w:highlight w:val="none"/>
        </w:rPr>
        <w:t>法援中心</w:t>
      </w:r>
      <w:r>
        <w:rPr>
          <w:rFonts w:ascii="宋体" w:hAnsi="宋体"/>
          <w:sz w:val="24"/>
          <w:szCs w:val="24"/>
          <w:highlight w:val="none"/>
        </w:rPr>
        <w:t>报备</w:t>
      </w:r>
      <w:r>
        <w:rPr>
          <w:rFonts w:hint="eastAsia" w:ascii="宋体" w:hAnsi="宋体"/>
          <w:sz w:val="24"/>
          <w:szCs w:val="24"/>
          <w:highlight w:val="none"/>
        </w:rPr>
        <w:t>，并</w:t>
      </w:r>
      <w:r>
        <w:rPr>
          <w:rFonts w:ascii="宋体" w:hAnsi="宋体"/>
          <w:sz w:val="24"/>
          <w:szCs w:val="24"/>
          <w:highlight w:val="none"/>
        </w:rPr>
        <w:t>实事求是</w:t>
      </w:r>
      <w:r>
        <w:rPr>
          <w:rFonts w:hint="eastAsia" w:ascii="宋体" w:hAnsi="宋体"/>
          <w:sz w:val="24"/>
          <w:szCs w:val="24"/>
          <w:highlight w:val="none"/>
        </w:rPr>
        <w:t>说明不能到岗原因。</w:t>
      </w:r>
    </w:p>
    <w:p w14:paraId="2B269E00">
      <w:pPr>
        <w:spacing w:line="360" w:lineRule="auto"/>
        <w:ind w:firstLine="480" w:firstLineChars="200"/>
        <w:rPr>
          <w:rFonts w:ascii="宋体" w:hAnsi="宋体"/>
          <w:sz w:val="24"/>
          <w:highlight w:val="none"/>
        </w:rPr>
      </w:pPr>
      <w:r>
        <w:rPr>
          <w:rFonts w:hint="eastAsia" w:ascii="宋体" w:hAnsi="宋体"/>
          <w:sz w:val="24"/>
          <w:highlight w:val="none"/>
        </w:rPr>
        <w:t>四、12348值班律师工作职责</w:t>
      </w:r>
    </w:p>
    <w:p w14:paraId="3B4BAA85">
      <w:pPr>
        <w:spacing w:line="360" w:lineRule="auto"/>
        <w:ind w:firstLine="480" w:firstLineChars="200"/>
        <w:rPr>
          <w:rFonts w:ascii="宋体" w:hAnsi="宋体"/>
          <w:sz w:val="24"/>
          <w:highlight w:val="none"/>
        </w:rPr>
      </w:pPr>
      <w:r>
        <w:rPr>
          <w:rFonts w:hint="eastAsia" w:ascii="宋体" w:hAnsi="宋体"/>
          <w:sz w:val="24"/>
          <w:highlight w:val="none"/>
        </w:rPr>
        <w:t>（一）应端正服务态度，力求做到答复精准，</w:t>
      </w:r>
      <w:r>
        <w:rPr>
          <w:rFonts w:ascii="宋体" w:hAnsi="宋体"/>
          <w:sz w:val="24"/>
          <w:highlight w:val="none"/>
        </w:rPr>
        <w:t>服务热情。</w:t>
      </w:r>
      <w:r>
        <w:rPr>
          <w:rFonts w:hint="eastAsia" w:ascii="宋体" w:hAnsi="宋体"/>
          <w:sz w:val="24"/>
          <w:highlight w:val="none"/>
        </w:rPr>
        <w:t>确保接听电话</w:t>
      </w:r>
      <w:r>
        <w:rPr>
          <w:rFonts w:ascii="宋体" w:hAnsi="宋体"/>
          <w:sz w:val="24"/>
          <w:highlight w:val="none"/>
        </w:rPr>
        <w:t>数量和群众</w:t>
      </w:r>
      <w:r>
        <w:rPr>
          <w:rFonts w:hint="eastAsia" w:ascii="宋体" w:hAnsi="宋体"/>
          <w:sz w:val="24"/>
          <w:highlight w:val="none"/>
        </w:rPr>
        <w:t>满意度。</w:t>
      </w:r>
    </w:p>
    <w:p w14:paraId="04003F3B">
      <w:pPr>
        <w:spacing w:line="360" w:lineRule="auto"/>
        <w:ind w:firstLine="480" w:firstLineChars="200"/>
        <w:rPr>
          <w:rFonts w:ascii="宋体" w:hAnsi="宋体"/>
          <w:color w:val="000000"/>
          <w:sz w:val="24"/>
          <w:highlight w:val="none"/>
        </w:rPr>
      </w:pPr>
      <w:r>
        <w:rPr>
          <w:rFonts w:hint="eastAsia" w:ascii="宋体" w:hAnsi="宋体"/>
          <w:sz w:val="24"/>
          <w:highlight w:val="none"/>
        </w:rPr>
        <w:t>（二）应严禁对当事人正常的法律咨询敷衍应答</w:t>
      </w:r>
      <w:r>
        <w:rPr>
          <w:rFonts w:ascii="宋体" w:hAnsi="宋体"/>
          <w:sz w:val="24"/>
          <w:highlight w:val="none"/>
        </w:rPr>
        <w:t>。如</w:t>
      </w:r>
      <w:r>
        <w:rPr>
          <w:rFonts w:hint="eastAsia" w:ascii="宋体" w:hAnsi="宋体"/>
          <w:color w:val="000000"/>
          <w:sz w:val="24"/>
          <w:highlight w:val="none"/>
        </w:rPr>
        <w:t>确实不能当即答复的，征得当事人同意后，应记录咨询人联系方式，并在三日内回电</w:t>
      </w:r>
      <w:r>
        <w:rPr>
          <w:rFonts w:ascii="宋体" w:hAnsi="宋体"/>
          <w:color w:val="000000"/>
          <w:sz w:val="24"/>
          <w:highlight w:val="none"/>
        </w:rPr>
        <w:t>答复</w:t>
      </w:r>
      <w:r>
        <w:rPr>
          <w:rFonts w:hint="eastAsia" w:ascii="宋体" w:hAnsi="宋体"/>
          <w:color w:val="000000"/>
          <w:sz w:val="24"/>
          <w:highlight w:val="none"/>
        </w:rPr>
        <w:t>。</w:t>
      </w:r>
    </w:p>
    <w:p w14:paraId="6A779494">
      <w:pPr>
        <w:spacing w:line="360" w:lineRule="auto"/>
        <w:ind w:firstLine="480" w:firstLineChars="200"/>
        <w:rPr>
          <w:rFonts w:ascii="宋体" w:hAnsi="宋体"/>
          <w:sz w:val="24"/>
          <w:highlight w:val="none"/>
        </w:rPr>
      </w:pPr>
      <w:r>
        <w:rPr>
          <w:rFonts w:hint="eastAsia" w:ascii="宋体" w:hAnsi="宋体"/>
          <w:sz w:val="24"/>
          <w:highlight w:val="none"/>
        </w:rPr>
        <w:t>（三）面对当事人情绪激动、有暴力维权倾向的，应</w:t>
      </w:r>
      <w:r>
        <w:rPr>
          <w:rFonts w:ascii="宋体" w:hAnsi="宋体"/>
          <w:sz w:val="24"/>
          <w:highlight w:val="none"/>
        </w:rPr>
        <w:t>及时安抚当事人情绪，</w:t>
      </w:r>
      <w:r>
        <w:rPr>
          <w:rFonts w:hint="eastAsia" w:ascii="宋体" w:hAnsi="宋体"/>
          <w:sz w:val="24"/>
          <w:highlight w:val="none"/>
        </w:rPr>
        <w:t>耐心向其</w:t>
      </w:r>
      <w:r>
        <w:rPr>
          <w:rFonts w:ascii="宋体" w:hAnsi="宋体"/>
          <w:sz w:val="24"/>
          <w:highlight w:val="none"/>
        </w:rPr>
        <w:t>作</w:t>
      </w:r>
      <w:r>
        <w:rPr>
          <w:rFonts w:hint="eastAsia" w:ascii="宋体" w:hAnsi="宋体"/>
          <w:sz w:val="24"/>
          <w:highlight w:val="none"/>
        </w:rPr>
        <w:t>法律解答，引导其合法有效维权。</w:t>
      </w:r>
    </w:p>
    <w:p w14:paraId="49056A63">
      <w:pPr>
        <w:spacing w:line="360" w:lineRule="auto"/>
        <w:ind w:firstLine="480" w:firstLineChars="200"/>
        <w:rPr>
          <w:rFonts w:ascii="宋体" w:hAnsi="宋体"/>
          <w:sz w:val="24"/>
          <w:highlight w:val="none"/>
        </w:rPr>
      </w:pPr>
      <w:r>
        <w:rPr>
          <w:rFonts w:hint="eastAsia" w:ascii="宋体" w:hAnsi="宋体"/>
          <w:sz w:val="24"/>
          <w:highlight w:val="none"/>
        </w:rPr>
        <w:t>（四）应</w:t>
      </w:r>
      <w:r>
        <w:rPr>
          <w:rFonts w:ascii="宋体" w:hAnsi="宋体"/>
          <w:sz w:val="24"/>
          <w:highlight w:val="none"/>
        </w:rPr>
        <w:t>保持高度</w:t>
      </w:r>
      <w:r>
        <w:rPr>
          <w:rFonts w:hint="eastAsia" w:ascii="宋体" w:hAnsi="宋体"/>
          <w:sz w:val="24"/>
          <w:highlight w:val="none"/>
        </w:rPr>
        <w:t>政治敏感</w:t>
      </w:r>
      <w:r>
        <w:rPr>
          <w:rFonts w:ascii="宋体" w:hAnsi="宋体"/>
          <w:sz w:val="24"/>
          <w:highlight w:val="none"/>
        </w:rPr>
        <w:t>性</w:t>
      </w:r>
      <w:r>
        <w:rPr>
          <w:rFonts w:hint="eastAsia" w:ascii="宋体" w:hAnsi="宋体"/>
          <w:sz w:val="24"/>
          <w:highlight w:val="none"/>
        </w:rPr>
        <w:t>，对于有上访、信访、聚众闹事倾向的，在做好当事人情绪安抚的</w:t>
      </w:r>
      <w:r>
        <w:rPr>
          <w:rFonts w:ascii="宋体" w:hAnsi="宋体"/>
          <w:sz w:val="24"/>
          <w:highlight w:val="none"/>
        </w:rPr>
        <w:t>同时</w:t>
      </w:r>
      <w:r>
        <w:rPr>
          <w:rFonts w:hint="eastAsia" w:ascii="宋体" w:hAnsi="宋体"/>
          <w:sz w:val="24"/>
          <w:highlight w:val="none"/>
        </w:rPr>
        <w:t>，应第一时间向法援中心</w:t>
      </w:r>
      <w:r>
        <w:rPr>
          <w:rFonts w:ascii="宋体" w:hAnsi="宋体"/>
          <w:sz w:val="24"/>
          <w:highlight w:val="none"/>
        </w:rPr>
        <w:t>报告</w:t>
      </w:r>
      <w:r>
        <w:rPr>
          <w:rFonts w:hint="eastAsia" w:ascii="宋体" w:hAnsi="宋体"/>
          <w:sz w:val="24"/>
          <w:highlight w:val="none"/>
        </w:rPr>
        <w:t>，</w:t>
      </w:r>
      <w:r>
        <w:rPr>
          <w:rFonts w:ascii="宋体" w:hAnsi="宋体"/>
          <w:sz w:val="24"/>
          <w:highlight w:val="none"/>
        </w:rPr>
        <w:t>并及时</w:t>
      </w:r>
      <w:r>
        <w:rPr>
          <w:rFonts w:hint="eastAsia" w:ascii="宋体" w:hAnsi="宋体"/>
          <w:sz w:val="24"/>
          <w:highlight w:val="none"/>
        </w:rPr>
        <w:t>填写《12348值班突发情况记录表》。</w:t>
      </w:r>
    </w:p>
    <w:p w14:paraId="16990DB3">
      <w:pPr>
        <w:spacing w:line="360" w:lineRule="auto"/>
        <w:ind w:firstLine="480" w:firstLineChars="200"/>
        <w:rPr>
          <w:rFonts w:ascii="宋体" w:hAnsi="宋体"/>
          <w:sz w:val="24"/>
          <w:highlight w:val="none"/>
        </w:rPr>
      </w:pPr>
      <w:r>
        <w:rPr>
          <w:rFonts w:hint="eastAsia" w:ascii="宋体" w:hAnsi="宋体"/>
          <w:sz w:val="24"/>
          <w:highlight w:val="none"/>
        </w:rPr>
        <w:t>（五）12348值班律师工单录入要求：</w:t>
      </w:r>
    </w:p>
    <w:p w14:paraId="1CB7D2F9">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在确保接听电话数量和</w:t>
      </w:r>
      <w:r>
        <w:rPr>
          <w:rFonts w:ascii="宋体" w:hAnsi="宋体"/>
          <w:sz w:val="24"/>
          <w:highlight w:val="none"/>
        </w:rPr>
        <w:t>群众</w:t>
      </w:r>
      <w:r>
        <w:rPr>
          <w:rFonts w:hint="eastAsia" w:ascii="宋体" w:hAnsi="宋体"/>
          <w:sz w:val="24"/>
          <w:highlight w:val="none"/>
        </w:rPr>
        <w:t>满意度的基础上，确保</w:t>
      </w:r>
      <w:r>
        <w:rPr>
          <w:rFonts w:ascii="宋体" w:hAnsi="宋体"/>
          <w:sz w:val="24"/>
          <w:highlight w:val="none"/>
        </w:rPr>
        <w:t>按时完成</w:t>
      </w:r>
      <w:r>
        <w:rPr>
          <w:rFonts w:hint="eastAsia" w:ascii="宋体" w:hAnsi="宋体"/>
          <w:sz w:val="24"/>
          <w:highlight w:val="none"/>
        </w:rPr>
        <w:t>工单</w:t>
      </w:r>
      <w:r>
        <w:rPr>
          <w:rFonts w:ascii="宋体" w:hAnsi="宋体"/>
          <w:sz w:val="24"/>
          <w:highlight w:val="none"/>
        </w:rPr>
        <w:t>数据</w:t>
      </w:r>
      <w:r>
        <w:rPr>
          <w:rFonts w:hint="eastAsia" w:ascii="宋体" w:hAnsi="宋体"/>
          <w:sz w:val="24"/>
          <w:highlight w:val="none"/>
        </w:rPr>
        <w:t>录入</w:t>
      </w:r>
      <w:r>
        <w:rPr>
          <w:rFonts w:ascii="宋体" w:hAnsi="宋体"/>
          <w:sz w:val="24"/>
          <w:highlight w:val="none"/>
        </w:rPr>
        <w:t>。</w:t>
      </w:r>
    </w:p>
    <w:p w14:paraId="591218EC">
      <w:pPr>
        <w:spacing w:line="360" w:lineRule="auto"/>
        <w:ind w:firstLine="480" w:firstLineChars="200"/>
        <w:rPr>
          <w:rFonts w:ascii="宋体" w:hAnsi="宋体"/>
          <w:sz w:val="24"/>
          <w:highlight w:val="none"/>
        </w:rPr>
      </w:pPr>
      <w:r>
        <w:rPr>
          <w:rFonts w:ascii="宋体" w:hAnsi="宋体"/>
          <w:sz w:val="24"/>
          <w:highlight w:val="none"/>
        </w:rPr>
        <w:t>2、确保</w:t>
      </w:r>
      <w:r>
        <w:rPr>
          <w:rFonts w:hint="eastAsia" w:ascii="宋体" w:hAnsi="宋体"/>
          <w:sz w:val="24"/>
          <w:highlight w:val="none"/>
        </w:rPr>
        <w:t>每日接听电话数与录入工单数量相同</w:t>
      </w:r>
      <w:r>
        <w:rPr>
          <w:rFonts w:ascii="宋体" w:hAnsi="宋体"/>
          <w:sz w:val="24"/>
          <w:highlight w:val="none"/>
        </w:rPr>
        <w:t>，杜绝</w:t>
      </w:r>
      <w:r>
        <w:rPr>
          <w:rFonts w:hint="eastAsia" w:ascii="宋体" w:hAnsi="宋体"/>
          <w:sz w:val="24"/>
          <w:highlight w:val="none"/>
        </w:rPr>
        <w:t>录入无效工单(注：如连续几个工单咨询及答复内容相同、咨询内容与答复内容严重不符等情况可视为无效工单）。</w:t>
      </w:r>
    </w:p>
    <w:p w14:paraId="41FF1E34">
      <w:pPr>
        <w:spacing w:line="360" w:lineRule="auto"/>
        <w:ind w:firstLine="480" w:firstLineChars="200"/>
        <w:rPr>
          <w:rFonts w:ascii="宋体" w:hAnsi="宋体"/>
          <w:sz w:val="24"/>
          <w:highlight w:val="none"/>
        </w:rPr>
      </w:pPr>
      <w:r>
        <w:rPr>
          <w:rFonts w:ascii="宋体" w:hAnsi="宋体"/>
          <w:sz w:val="24"/>
          <w:highlight w:val="none"/>
        </w:rPr>
        <w:t>3、确保</w:t>
      </w:r>
      <w:r>
        <w:rPr>
          <w:rFonts w:hint="eastAsia" w:ascii="宋体" w:hAnsi="宋体"/>
          <w:sz w:val="24"/>
          <w:highlight w:val="none"/>
        </w:rPr>
        <w:t>对所录入问题精</w:t>
      </w:r>
      <w:r>
        <w:rPr>
          <w:rFonts w:ascii="宋体" w:hAnsi="宋体"/>
          <w:sz w:val="24"/>
          <w:highlight w:val="none"/>
        </w:rPr>
        <w:t>准</w:t>
      </w:r>
      <w:r>
        <w:rPr>
          <w:rFonts w:hint="eastAsia" w:ascii="宋体" w:hAnsi="宋体"/>
          <w:sz w:val="24"/>
          <w:highlight w:val="none"/>
        </w:rPr>
        <w:t>，解答精</w:t>
      </w:r>
      <w:r>
        <w:rPr>
          <w:rFonts w:ascii="宋体" w:hAnsi="宋体"/>
          <w:sz w:val="24"/>
          <w:highlight w:val="none"/>
        </w:rPr>
        <w:t>确</w:t>
      </w:r>
      <w:r>
        <w:rPr>
          <w:rFonts w:hint="eastAsia" w:ascii="宋体" w:hAnsi="宋体"/>
          <w:sz w:val="24"/>
          <w:highlight w:val="none"/>
        </w:rPr>
        <w:t>。</w:t>
      </w:r>
    </w:p>
    <w:p w14:paraId="4C4ED2C4">
      <w:pPr>
        <w:pStyle w:val="180"/>
        <w:spacing w:line="360" w:lineRule="auto"/>
        <w:ind w:firstLine="0" w:firstLineChars="0"/>
        <w:rPr>
          <w:rFonts w:ascii="宋体" w:hAnsi="宋体"/>
          <w:sz w:val="24"/>
          <w:szCs w:val="24"/>
          <w:highlight w:val="none"/>
        </w:rPr>
      </w:pPr>
      <w:r>
        <w:rPr>
          <w:rFonts w:hint="eastAsia" w:ascii="宋体" w:hAnsi="宋体"/>
          <w:b/>
          <w:sz w:val="24"/>
          <w:szCs w:val="24"/>
          <w:highlight w:val="none"/>
        </w:rPr>
        <w:t xml:space="preserve">     </w:t>
      </w:r>
      <w:r>
        <w:rPr>
          <w:rFonts w:hint="eastAsia" w:ascii="宋体" w:hAnsi="宋体"/>
          <w:sz w:val="24"/>
          <w:szCs w:val="24"/>
          <w:highlight w:val="none"/>
        </w:rPr>
        <w:t>五、窗口值班律师工作职责</w:t>
      </w:r>
    </w:p>
    <w:p w14:paraId="1B91B10F">
      <w:pPr>
        <w:pStyle w:val="180"/>
        <w:spacing w:line="360" w:lineRule="auto"/>
        <w:ind w:firstLine="480"/>
        <w:rPr>
          <w:rFonts w:ascii="宋体" w:hAnsi="宋体"/>
          <w:sz w:val="24"/>
          <w:szCs w:val="24"/>
          <w:highlight w:val="none"/>
        </w:rPr>
      </w:pPr>
      <w:r>
        <w:rPr>
          <w:rFonts w:hint="eastAsia" w:ascii="宋体" w:hAnsi="宋体"/>
          <w:sz w:val="24"/>
          <w:szCs w:val="24"/>
          <w:highlight w:val="none"/>
        </w:rPr>
        <w:t>（一）负责法律援助大厅的当事人接待工作</w:t>
      </w:r>
      <w:r>
        <w:rPr>
          <w:rFonts w:ascii="宋体" w:hAnsi="宋体"/>
          <w:sz w:val="24"/>
          <w:szCs w:val="24"/>
          <w:highlight w:val="none"/>
        </w:rPr>
        <w:t>，主要</w:t>
      </w:r>
      <w:r>
        <w:rPr>
          <w:rFonts w:hint="eastAsia" w:ascii="宋体" w:hAnsi="宋体"/>
          <w:sz w:val="24"/>
          <w:szCs w:val="24"/>
          <w:highlight w:val="none"/>
        </w:rPr>
        <w:t>包括当事人当面咨询与值班电话咨询。</w:t>
      </w:r>
    </w:p>
    <w:p w14:paraId="0AEBD745">
      <w:pPr>
        <w:pStyle w:val="180"/>
        <w:spacing w:line="360" w:lineRule="auto"/>
        <w:ind w:firstLine="480"/>
        <w:rPr>
          <w:rFonts w:ascii="宋体" w:hAnsi="宋体"/>
          <w:sz w:val="24"/>
          <w:szCs w:val="24"/>
          <w:highlight w:val="none"/>
        </w:rPr>
      </w:pPr>
      <w:r>
        <w:rPr>
          <w:rFonts w:ascii="宋体" w:hAnsi="宋体"/>
          <w:sz w:val="24"/>
          <w:szCs w:val="24"/>
          <w:highlight w:val="none"/>
        </w:rPr>
        <w:t>（二）对待当事人要</w:t>
      </w:r>
      <w:r>
        <w:rPr>
          <w:rFonts w:hint="eastAsia" w:ascii="宋体" w:hAnsi="宋体"/>
          <w:sz w:val="24"/>
          <w:szCs w:val="24"/>
          <w:highlight w:val="none"/>
        </w:rPr>
        <w:t>礼貌尊重，</w:t>
      </w:r>
      <w:r>
        <w:rPr>
          <w:rFonts w:ascii="宋体" w:hAnsi="宋体"/>
          <w:sz w:val="24"/>
          <w:szCs w:val="24"/>
          <w:highlight w:val="none"/>
        </w:rPr>
        <w:t>一视同仁，</w:t>
      </w:r>
      <w:r>
        <w:rPr>
          <w:rFonts w:hint="eastAsia" w:ascii="宋体" w:hAnsi="宋体"/>
          <w:sz w:val="24"/>
          <w:szCs w:val="24"/>
          <w:highlight w:val="none"/>
        </w:rPr>
        <w:t>热情接待、耐心解答</w:t>
      </w:r>
      <w:r>
        <w:rPr>
          <w:rFonts w:ascii="宋体" w:hAnsi="宋体"/>
          <w:sz w:val="24"/>
          <w:szCs w:val="24"/>
          <w:highlight w:val="none"/>
        </w:rPr>
        <w:t>。</w:t>
      </w:r>
      <w:r>
        <w:rPr>
          <w:rFonts w:hint="eastAsia" w:ascii="宋体" w:hAnsi="宋体"/>
          <w:sz w:val="24"/>
          <w:szCs w:val="24"/>
          <w:highlight w:val="none"/>
        </w:rPr>
        <w:t>在咨询结束时</w:t>
      </w:r>
      <w:r>
        <w:rPr>
          <w:rFonts w:ascii="宋体" w:hAnsi="宋体"/>
          <w:sz w:val="24"/>
          <w:szCs w:val="24"/>
          <w:highlight w:val="none"/>
        </w:rPr>
        <w:t>按要求提示</w:t>
      </w:r>
      <w:r>
        <w:rPr>
          <w:rFonts w:hint="eastAsia" w:ascii="宋体" w:hAnsi="宋体"/>
          <w:sz w:val="24"/>
          <w:szCs w:val="24"/>
          <w:highlight w:val="none"/>
        </w:rPr>
        <w:t>当事人对其咨询服务</w:t>
      </w:r>
      <w:r>
        <w:rPr>
          <w:rFonts w:ascii="宋体" w:hAnsi="宋体"/>
          <w:sz w:val="24"/>
          <w:szCs w:val="24"/>
          <w:highlight w:val="none"/>
        </w:rPr>
        <w:t>做</w:t>
      </w:r>
      <w:r>
        <w:rPr>
          <w:rFonts w:hint="eastAsia" w:ascii="宋体" w:hAnsi="宋体"/>
          <w:sz w:val="24"/>
          <w:szCs w:val="24"/>
          <w:highlight w:val="none"/>
        </w:rPr>
        <w:t>出评价。</w:t>
      </w:r>
    </w:p>
    <w:p w14:paraId="5EB90931">
      <w:pPr>
        <w:pStyle w:val="180"/>
        <w:spacing w:line="360" w:lineRule="auto"/>
        <w:ind w:firstLine="480"/>
        <w:rPr>
          <w:rFonts w:ascii="宋体" w:hAnsi="宋体"/>
          <w:sz w:val="24"/>
          <w:szCs w:val="24"/>
          <w:highlight w:val="none"/>
        </w:rPr>
      </w:pPr>
      <w:r>
        <w:rPr>
          <w:rFonts w:ascii="宋体" w:hAnsi="宋体"/>
          <w:sz w:val="24"/>
          <w:szCs w:val="24"/>
          <w:highlight w:val="none"/>
        </w:rPr>
        <w:t>（三）</w:t>
      </w:r>
      <w:r>
        <w:rPr>
          <w:rFonts w:hint="eastAsia" w:ascii="宋体" w:hAnsi="宋体"/>
          <w:sz w:val="24"/>
          <w:szCs w:val="24"/>
          <w:highlight w:val="none"/>
        </w:rPr>
        <w:t>做好当事人的信息登记工作，咨询完毕将咨询信息按要求录入到公共法律服务平台系统。</w:t>
      </w:r>
    </w:p>
    <w:p w14:paraId="4EAB20C1">
      <w:pPr>
        <w:pStyle w:val="180"/>
        <w:spacing w:line="360" w:lineRule="auto"/>
        <w:ind w:firstLine="480"/>
        <w:rPr>
          <w:rFonts w:ascii="宋体" w:hAnsi="宋体"/>
          <w:sz w:val="24"/>
          <w:szCs w:val="24"/>
          <w:highlight w:val="none"/>
        </w:rPr>
      </w:pPr>
      <w:r>
        <w:rPr>
          <w:rFonts w:ascii="宋体" w:hAnsi="宋体"/>
          <w:sz w:val="24"/>
          <w:szCs w:val="24"/>
          <w:highlight w:val="none"/>
        </w:rPr>
        <w:t>（四）服</w:t>
      </w:r>
      <w:r>
        <w:rPr>
          <w:rFonts w:hint="eastAsia" w:ascii="宋体" w:hAnsi="宋体"/>
          <w:sz w:val="24"/>
          <w:szCs w:val="24"/>
          <w:highlight w:val="none"/>
        </w:rPr>
        <w:t>从法援中心工作安排，协助做好</w:t>
      </w:r>
      <w:r>
        <w:rPr>
          <w:rFonts w:ascii="宋体" w:hAnsi="宋体"/>
          <w:sz w:val="24"/>
          <w:szCs w:val="24"/>
          <w:highlight w:val="none"/>
        </w:rPr>
        <w:t>咨询现场</w:t>
      </w:r>
      <w:r>
        <w:rPr>
          <w:rFonts w:hint="eastAsia" w:ascii="宋体" w:hAnsi="宋体"/>
          <w:sz w:val="24"/>
          <w:szCs w:val="24"/>
          <w:highlight w:val="none"/>
        </w:rPr>
        <w:t>业务疏导、秩序维护等其他相关工作。</w:t>
      </w:r>
    </w:p>
    <w:p w14:paraId="15BAE5A3">
      <w:pPr>
        <w:pStyle w:val="180"/>
        <w:spacing w:line="360" w:lineRule="auto"/>
        <w:ind w:firstLine="480"/>
        <w:rPr>
          <w:rFonts w:ascii="宋体" w:hAnsi="宋体"/>
          <w:sz w:val="24"/>
          <w:szCs w:val="24"/>
          <w:highlight w:val="none"/>
        </w:rPr>
      </w:pPr>
      <w:r>
        <w:rPr>
          <w:rFonts w:ascii="宋体" w:hAnsi="宋体"/>
          <w:sz w:val="24"/>
          <w:szCs w:val="24"/>
          <w:highlight w:val="none"/>
        </w:rPr>
        <w:t>（五）</w:t>
      </w:r>
      <w:r>
        <w:rPr>
          <w:rFonts w:hint="eastAsia" w:ascii="宋体" w:hAnsi="宋体"/>
          <w:sz w:val="24"/>
          <w:szCs w:val="24"/>
          <w:highlight w:val="none"/>
        </w:rPr>
        <w:t>严禁与当事人发生</w:t>
      </w:r>
      <w:r>
        <w:rPr>
          <w:rFonts w:ascii="宋体" w:hAnsi="宋体"/>
          <w:sz w:val="24"/>
          <w:szCs w:val="24"/>
          <w:highlight w:val="none"/>
        </w:rPr>
        <w:t>语言等</w:t>
      </w:r>
      <w:r>
        <w:rPr>
          <w:rFonts w:hint="eastAsia" w:ascii="宋体" w:hAnsi="宋体"/>
          <w:sz w:val="24"/>
          <w:szCs w:val="24"/>
          <w:highlight w:val="none"/>
        </w:rPr>
        <w:t>冲突</w:t>
      </w:r>
      <w:r>
        <w:rPr>
          <w:rFonts w:ascii="宋体" w:hAnsi="宋体"/>
          <w:sz w:val="24"/>
          <w:szCs w:val="24"/>
          <w:highlight w:val="none"/>
        </w:rPr>
        <w:t>。</w:t>
      </w:r>
      <w:r>
        <w:rPr>
          <w:rFonts w:hint="eastAsia" w:ascii="宋体" w:hAnsi="宋体"/>
          <w:sz w:val="24"/>
          <w:szCs w:val="24"/>
          <w:highlight w:val="none"/>
        </w:rPr>
        <w:t>如遇到当事人咨询案情为自己不擅长领域，不得直接拒绝，应告知当事人可寻求的其他救济途径</w:t>
      </w:r>
      <w:r>
        <w:rPr>
          <w:rFonts w:ascii="宋体" w:hAnsi="宋体"/>
          <w:sz w:val="24"/>
          <w:szCs w:val="24"/>
          <w:highlight w:val="none"/>
        </w:rPr>
        <w:t>；</w:t>
      </w:r>
      <w:r>
        <w:rPr>
          <w:rFonts w:hint="eastAsia" w:ascii="宋体" w:hAnsi="宋体"/>
          <w:sz w:val="24"/>
          <w:szCs w:val="24"/>
          <w:highlight w:val="none"/>
        </w:rPr>
        <w:t>如遇到当事人咨询内容非法律方面</w:t>
      </w:r>
      <w:r>
        <w:rPr>
          <w:rFonts w:ascii="宋体" w:hAnsi="宋体"/>
          <w:sz w:val="24"/>
          <w:szCs w:val="24"/>
          <w:highlight w:val="none"/>
        </w:rPr>
        <w:t>的</w:t>
      </w:r>
      <w:r>
        <w:rPr>
          <w:rFonts w:hint="eastAsia" w:ascii="宋体" w:hAnsi="宋体"/>
          <w:sz w:val="24"/>
          <w:szCs w:val="24"/>
          <w:highlight w:val="none"/>
        </w:rPr>
        <w:t>问题，应告知其解决问题的救济渠道。</w:t>
      </w:r>
    </w:p>
    <w:p w14:paraId="13DFDE39">
      <w:pPr>
        <w:pStyle w:val="180"/>
        <w:spacing w:line="360" w:lineRule="auto"/>
        <w:ind w:firstLine="480"/>
        <w:rPr>
          <w:rFonts w:ascii="宋体" w:hAnsi="宋体"/>
          <w:sz w:val="24"/>
          <w:szCs w:val="24"/>
          <w:highlight w:val="none"/>
        </w:rPr>
      </w:pPr>
      <w:r>
        <w:rPr>
          <w:rFonts w:ascii="宋体" w:hAnsi="宋体"/>
          <w:sz w:val="24"/>
          <w:szCs w:val="24"/>
          <w:highlight w:val="none"/>
        </w:rPr>
        <w:t>（六）</w:t>
      </w:r>
      <w:r>
        <w:rPr>
          <w:rFonts w:hint="eastAsia" w:ascii="宋体" w:hAnsi="宋体"/>
          <w:sz w:val="24"/>
          <w:szCs w:val="24"/>
          <w:highlight w:val="none"/>
        </w:rPr>
        <w:t>如遇咨询现场有当事人无理缠诉、情绪激动、企图寻衅滋事等突发情况，</w:t>
      </w:r>
      <w:r>
        <w:rPr>
          <w:rFonts w:ascii="宋体" w:hAnsi="宋体"/>
          <w:sz w:val="24"/>
          <w:szCs w:val="24"/>
          <w:highlight w:val="none"/>
        </w:rPr>
        <w:t>在</w:t>
      </w:r>
      <w:r>
        <w:rPr>
          <w:rFonts w:hint="eastAsia" w:ascii="宋体" w:hAnsi="宋体"/>
          <w:sz w:val="24"/>
          <w:szCs w:val="24"/>
          <w:highlight w:val="none"/>
        </w:rPr>
        <w:t>积极做好涉事当事人的情绪安抚</w:t>
      </w:r>
      <w:r>
        <w:rPr>
          <w:rFonts w:ascii="宋体" w:hAnsi="宋体"/>
          <w:sz w:val="24"/>
          <w:szCs w:val="24"/>
          <w:highlight w:val="none"/>
        </w:rPr>
        <w:t>的同时</w:t>
      </w:r>
      <w:r>
        <w:rPr>
          <w:rFonts w:hint="eastAsia" w:ascii="宋体" w:hAnsi="宋体"/>
          <w:sz w:val="24"/>
          <w:szCs w:val="24"/>
          <w:highlight w:val="none"/>
        </w:rPr>
        <w:t>，应配合法援中心工作人员做好应急</w:t>
      </w:r>
      <w:r>
        <w:rPr>
          <w:rFonts w:ascii="宋体" w:hAnsi="宋体"/>
          <w:sz w:val="24"/>
          <w:szCs w:val="24"/>
          <w:highlight w:val="none"/>
        </w:rPr>
        <w:t>情况</w:t>
      </w:r>
      <w:r>
        <w:rPr>
          <w:rFonts w:hint="eastAsia" w:ascii="宋体" w:hAnsi="宋体"/>
          <w:sz w:val="24"/>
          <w:szCs w:val="24"/>
          <w:highlight w:val="none"/>
        </w:rPr>
        <w:t>处</w:t>
      </w:r>
      <w:r>
        <w:rPr>
          <w:rFonts w:ascii="宋体" w:hAnsi="宋体"/>
          <w:sz w:val="24"/>
          <w:szCs w:val="24"/>
          <w:highlight w:val="none"/>
        </w:rPr>
        <w:t>置</w:t>
      </w:r>
      <w:r>
        <w:rPr>
          <w:rFonts w:hint="eastAsia" w:ascii="宋体" w:hAnsi="宋体"/>
          <w:sz w:val="24"/>
          <w:szCs w:val="24"/>
          <w:highlight w:val="none"/>
        </w:rPr>
        <w:t>，</w:t>
      </w:r>
      <w:r>
        <w:rPr>
          <w:rFonts w:ascii="宋体" w:hAnsi="宋体"/>
          <w:sz w:val="24"/>
          <w:szCs w:val="24"/>
          <w:highlight w:val="none"/>
        </w:rPr>
        <w:t>并做好</w:t>
      </w:r>
      <w:r>
        <w:rPr>
          <w:rFonts w:hint="eastAsia" w:ascii="宋体" w:hAnsi="宋体"/>
          <w:sz w:val="24"/>
          <w:szCs w:val="24"/>
          <w:highlight w:val="none"/>
        </w:rPr>
        <w:t>事后应急突发事件的记录工作。</w:t>
      </w:r>
    </w:p>
    <w:p w14:paraId="14A0DB12">
      <w:pPr>
        <w:pStyle w:val="180"/>
        <w:spacing w:line="360" w:lineRule="auto"/>
        <w:ind w:firstLine="480"/>
        <w:rPr>
          <w:rFonts w:ascii="宋体" w:hAnsi="宋体"/>
          <w:color w:val="FF0000"/>
          <w:sz w:val="24"/>
          <w:szCs w:val="24"/>
          <w:highlight w:val="none"/>
        </w:rPr>
      </w:pPr>
      <w:r>
        <w:rPr>
          <w:rFonts w:ascii="宋体" w:hAnsi="宋体"/>
          <w:sz w:val="24"/>
          <w:szCs w:val="24"/>
          <w:highlight w:val="none"/>
        </w:rPr>
        <w:t>（七）</w:t>
      </w:r>
      <w:r>
        <w:rPr>
          <w:rFonts w:hint="eastAsia" w:ascii="宋体" w:hAnsi="宋体"/>
          <w:sz w:val="24"/>
          <w:szCs w:val="24"/>
          <w:highlight w:val="none"/>
        </w:rPr>
        <w:t>应严格按照值班工作时间</w:t>
      </w:r>
      <w:r>
        <w:rPr>
          <w:rFonts w:ascii="宋体" w:hAnsi="宋体"/>
          <w:sz w:val="24"/>
          <w:szCs w:val="24"/>
          <w:highlight w:val="none"/>
        </w:rPr>
        <w:t>要求到岗值守</w:t>
      </w:r>
      <w:r>
        <w:rPr>
          <w:rFonts w:hint="eastAsia" w:ascii="宋体" w:hAnsi="宋体"/>
          <w:sz w:val="24"/>
          <w:szCs w:val="24"/>
          <w:highlight w:val="none"/>
        </w:rPr>
        <w:t>，不做与接待工作无关的</w:t>
      </w:r>
      <w:r>
        <w:rPr>
          <w:rFonts w:ascii="宋体" w:hAnsi="宋体"/>
          <w:sz w:val="24"/>
          <w:szCs w:val="24"/>
          <w:highlight w:val="none"/>
        </w:rPr>
        <w:t>事情</w:t>
      </w:r>
      <w:r>
        <w:rPr>
          <w:rFonts w:hint="eastAsia" w:ascii="宋体" w:hAnsi="宋体"/>
          <w:sz w:val="24"/>
          <w:szCs w:val="24"/>
          <w:highlight w:val="none"/>
        </w:rPr>
        <w:t>，不得私自揽案。</w:t>
      </w:r>
    </w:p>
    <w:p w14:paraId="206A00CF">
      <w:pPr>
        <w:pStyle w:val="180"/>
        <w:spacing w:line="360" w:lineRule="auto"/>
        <w:ind w:firstLine="480"/>
        <w:rPr>
          <w:rFonts w:ascii="宋体" w:hAnsi="宋体"/>
          <w:color w:val="FF0000"/>
          <w:sz w:val="24"/>
          <w:szCs w:val="24"/>
          <w:highlight w:val="none"/>
        </w:rPr>
      </w:pPr>
      <w:r>
        <w:rPr>
          <w:rFonts w:hint="eastAsia" w:ascii="宋体" w:hAnsi="宋体"/>
          <w:sz w:val="24"/>
          <w:szCs w:val="24"/>
          <w:highlight w:val="none"/>
        </w:rPr>
        <w:t>六、法律援助工作站</w:t>
      </w:r>
      <w:r>
        <w:rPr>
          <w:rFonts w:ascii="宋体" w:hAnsi="宋体"/>
          <w:sz w:val="24"/>
          <w:szCs w:val="24"/>
          <w:highlight w:val="none"/>
        </w:rPr>
        <w:t>律师</w:t>
      </w:r>
      <w:r>
        <w:rPr>
          <w:rFonts w:hint="eastAsia" w:ascii="宋体" w:hAnsi="宋体"/>
          <w:sz w:val="24"/>
          <w:szCs w:val="24"/>
          <w:highlight w:val="none"/>
        </w:rPr>
        <w:t>工作职责</w:t>
      </w:r>
    </w:p>
    <w:p w14:paraId="259F5D5F">
      <w:pPr>
        <w:pStyle w:val="180"/>
        <w:spacing w:line="360" w:lineRule="auto"/>
        <w:ind w:firstLine="465" w:firstLineChars="0"/>
        <w:rPr>
          <w:rFonts w:ascii="宋体" w:hAnsi="宋体"/>
          <w:sz w:val="24"/>
          <w:szCs w:val="24"/>
          <w:highlight w:val="none"/>
        </w:rPr>
      </w:pPr>
      <w:r>
        <w:rPr>
          <w:rFonts w:hint="eastAsia" w:ascii="宋体" w:hAnsi="宋体"/>
          <w:sz w:val="24"/>
          <w:szCs w:val="24"/>
          <w:highlight w:val="none"/>
        </w:rPr>
        <w:t>（一）法律援助工作站的工作内容包括在区法院、区检察院、看守所值班三部分。</w:t>
      </w:r>
    </w:p>
    <w:p w14:paraId="1CE0AA72">
      <w:pPr>
        <w:pStyle w:val="180"/>
        <w:spacing w:line="360" w:lineRule="auto"/>
        <w:ind w:firstLine="465" w:firstLineChars="0"/>
        <w:rPr>
          <w:rFonts w:ascii="宋体" w:hAnsi="宋体"/>
          <w:sz w:val="24"/>
          <w:szCs w:val="24"/>
          <w:highlight w:val="none"/>
        </w:rPr>
      </w:pPr>
      <w:r>
        <w:rPr>
          <w:rFonts w:hint="eastAsia" w:ascii="宋体" w:hAnsi="宋体"/>
          <w:sz w:val="24"/>
          <w:szCs w:val="24"/>
          <w:highlight w:val="none"/>
        </w:rPr>
        <w:t>（二）按照区法律援助中心的值班表按时到岗参加值班，</w:t>
      </w:r>
      <w:r>
        <w:rPr>
          <w:rFonts w:ascii="宋体" w:hAnsi="宋体"/>
          <w:sz w:val="24"/>
          <w:szCs w:val="24"/>
          <w:highlight w:val="none"/>
        </w:rPr>
        <w:t>开展</w:t>
      </w:r>
      <w:r>
        <w:rPr>
          <w:rFonts w:hint="eastAsia" w:ascii="宋体" w:hAnsi="宋体"/>
          <w:sz w:val="24"/>
          <w:szCs w:val="24"/>
          <w:highlight w:val="none"/>
        </w:rPr>
        <w:t>日常法律援助咨询工作</w:t>
      </w:r>
      <w:r>
        <w:rPr>
          <w:rFonts w:ascii="宋体" w:hAnsi="宋体"/>
          <w:sz w:val="24"/>
          <w:szCs w:val="24"/>
          <w:highlight w:val="none"/>
        </w:rPr>
        <w:t>，</w:t>
      </w:r>
      <w:r>
        <w:rPr>
          <w:rFonts w:hint="eastAsia" w:ascii="宋体" w:hAnsi="宋体"/>
          <w:sz w:val="24"/>
          <w:szCs w:val="24"/>
          <w:highlight w:val="none"/>
        </w:rPr>
        <w:t>为被告人、犯罪嫌疑人提供</w:t>
      </w:r>
      <w:r>
        <w:rPr>
          <w:rFonts w:ascii="宋体" w:hAnsi="宋体"/>
          <w:sz w:val="24"/>
          <w:szCs w:val="24"/>
          <w:highlight w:val="none"/>
        </w:rPr>
        <w:t>适宜</w:t>
      </w:r>
      <w:r>
        <w:rPr>
          <w:rFonts w:hint="eastAsia" w:ascii="宋体" w:hAnsi="宋体"/>
          <w:sz w:val="24"/>
          <w:szCs w:val="24"/>
          <w:highlight w:val="none"/>
        </w:rPr>
        <w:t>的法律帮助</w:t>
      </w:r>
      <w:r>
        <w:rPr>
          <w:rFonts w:ascii="宋体" w:hAnsi="宋体"/>
          <w:sz w:val="24"/>
          <w:szCs w:val="24"/>
          <w:highlight w:val="none"/>
        </w:rPr>
        <w:t>等工作</w:t>
      </w:r>
      <w:r>
        <w:rPr>
          <w:rFonts w:hint="eastAsia" w:ascii="宋体" w:hAnsi="宋体"/>
          <w:sz w:val="24"/>
          <w:szCs w:val="24"/>
          <w:highlight w:val="none"/>
        </w:rPr>
        <w:t>。（报备）</w:t>
      </w:r>
    </w:p>
    <w:p w14:paraId="7607CE9A">
      <w:pPr>
        <w:pStyle w:val="180"/>
        <w:spacing w:line="360" w:lineRule="auto"/>
        <w:ind w:firstLine="465" w:firstLineChars="0"/>
        <w:rPr>
          <w:rFonts w:ascii="宋体" w:hAnsi="宋体"/>
          <w:sz w:val="24"/>
          <w:szCs w:val="24"/>
          <w:highlight w:val="none"/>
        </w:rPr>
      </w:pPr>
      <w:r>
        <w:rPr>
          <w:rFonts w:hint="eastAsia" w:ascii="宋体" w:hAnsi="宋体"/>
          <w:sz w:val="24"/>
          <w:szCs w:val="24"/>
          <w:highlight w:val="none"/>
        </w:rPr>
        <w:t>（三）法律援助工作站</w:t>
      </w:r>
      <w:r>
        <w:rPr>
          <w:rFonts w:ascii="宋体" w:hAnsi="宋体"/>
          <w:sz w:val="24"/>
          <w:szCs w:val="24"/>
          <w:highlight w:val="none"/>
        </w:rPr>
        <w:t>可</w:t>
      </w:r>
      <w:r>
        <w:rPr>
          <w:rFonts w:hint="eastAsia" w:ascii="宋体" w:hAnsi="宋体"/>
          <w:sz w:val="24"/>
          <w:szCs w:val="24"/>
          <w:highlight w:val="none"/>
        </w:rPr>
        <w:t>依其所服务单位</w:t>
      </w:r>
      <w:r>
        <w:rPr>
          <w:rFonts w:ascii="宋体" w:hAnsi="宋体"/>
          <w:sz w:val="24"/>
          <w:szCs w:val="24"/>
          <w:highlight w:val="none"/>
        </w:rPr>
        <w:t>的实际情况和相关</w:t>
      </w:r>
      <w:r>
        <w:rPr>
          <w:rFonts w:hint="eastAsia" w:ascii="宋体" w:hAnsi="宋体"/>
          <w:sz w:val="24"/>
          <w:szCs w:val="24"/>
          <w:highlight w:val="none"/>
        </w:rPr>
        <w:t>要求，对值班内容、值班时间做出调整。</w:t>
      </w:r>
    </w:p>
    <w:p w14:paraId="4FF0700C">
      <w:pPr>
        <w:spacing w:line="360" w:lineRule="auto"/>
        <w:ind w:firstLine="480" w:firstLineChars="200"/>
        <w:rPr>
          <w:rFonts w:ascii="宋体" w:hAnsi="宋体"/>
          <w:sz w:val="24"/>
          <w:highlight w:val="none"/>
        </w:rPr>
      </w:pPr>
      <w:r>
        <w:rPr>
          <w:rFonts w:hint="eastAsia" w:ascii="宋体" w:hAnsi="宋体"/>
          <w:sz w:val="24"/>
          <w:highlight w:val="none"/>
        </w:rPr>
        <w:t>七、法律援助律师受理援助案件工作要求</w:t>
      </w:r>
    </w:p>
    <w:p w14:paraId="3BA97F72">
      <w:pPr>
        <w:spacing w:line="360" w:lineRule="auto"/>
        <w:ind w:firstLine="480" w:firstLineChars="200"/>
        <w:rPr>
          <w:rFonts w:ascii="宋体" w:hAnsi="宋体"/>
          <w:sz w:val="24"/>
          <w:highlight w:val="none"/>
        </w:rPr>
      </w:pPr>
      <w:r>
        <w:rPr>
          <w:rFonts w:hint="eastAsia" w:ascii="宋体" w:hAnsi="宋体"/>
          <w:sz w:val="24"/>
          <w:highlight w:val="none"/>
        </w:rPr>
        <w:t>（一）</w:t>
      </w:r>
      <w:r>
        <w:rPr>
          <w:rFonts w:ascii="宋体" w:hAnsi="宋体"/>
          <w:sz w:val="24"/>
          <w:highlight w:val="none"/>
        </w:rPr>
        <w:t>律所轮序：</w:t>
      </w:r>
      <w:r>
        <w:rPr>
          <w:rFonts w:hint="eastAsia" w:ascii="宋体" w:hAnsi="宋体"/>
          <w:sz w:val="24"/>
          <w:highlight w:val="none"/>
        </w:rPr>
        <w:t>按照大兴区法律援助遴选律所名单顺序实行轮序指派。</w:t>
      </w:r>
    </w:p>
    <w:p w14:paraId="2A5D76BA">
      <w:pPr>
        <w:spacing w:line="360" w:lineRule="auto"/>
        <w:ind w:firstLine="480" w:firstLineChars="200"/>
        <w:rPr>
          <w:rFonts w:ascii="宋体" w:hAnsi="宋体"/>
          <w:sz w:val="24"/>
          <w:highlight w:val="none"/>
        </w:rPr>
      </w:pPr>
      <w:r>
        <w:rPr>
          <w:rFonts w:ascii="宋体" w:hAnsi="宋体"/>
          <w:sz w:val="24"/>
          <w:highlight w:val="none"/>
        </w:rPr>
        <w:t>（二）</w:t>
      </w:r>
      <w:r>
        <w:rPr>
          <w:rFonts w:hint="eastAsia" w:ascii="宋体" w:hAnsi="宋体"/>
          <w:sz w:val="24"/>
          <w:highlight w:val="none"/>
        </w:rPr>
        <w:t>指派</w:t>
      </w:r>
      <w:r>
        <w:rPr>
          <w:rFonts w:ascii="宋体" w:hAnsi="宋体"/>
          <w:sz w:val="24"/>
          <w:highlight w:val="none"/>
        </w:rPr>
        <w:t>原则：</w:t>
      </w:r>
      <w:r>
        <w:rPr>
          <w:rFonts w:hint="eastAsia" w:ascii="宋体" w:hAnsi="宋体"/>
          <w:sz w:val="24"/>
          <w:highlight w:val="none"/>
        </w:rPr>
        <w:t>原则</w:t>
      </w:r>
      <w:r>
        <w:rPr>
          <w:rFonts w:ascii="宋体" w:hAnsi="宋体"/>
          <w:sz w:val="24"/>
          <w:highlight w:val="none"/>
        </w:rPr>
        <w:t>上是</w:t>
      </w:r>
      <w:r>
        <w:rPr>
          <w:rFonts w:hint="eastAsia" w:ascii="宋体" w:hAnsi="宋体"/>
          <w:sz w:val="24"/>
          <w:highlight w:val="none"/>
        </w:rPr>
        <w:t>将案件指派到律师事务所，再由律所</w:t>
      </w:r>
      <w:r>
        <w:rPr>
          <w:rFonts w:ascii="宋体" w:hAnsi="宋体"/>
          <w:sz w:val="24"/>
          <w:highlight w:val="none"/>
        </w:rPr>
        <w:t>将该所承办</w:t>
      </w:r>
      <w:r>
        <w:rPr>
          <w:rFonts w:hint="eastAsia" w:ascii="宋体" w:hAnsi="宋体"/>
          <w:sz w:val="24"/>
          <w:highlight w:val="none"/>
        </w:rPr>
        <w:t>具体案件</w:t>
      </w:r>
      <w:r>
        <w:rPr>
          <w:rFonts w:ascii="宋体" w:hAnsi="宋体"/>
          <w:sz w:val="24"/>
          <w:highlight w:val="none"/>
        </w:rPr>
        <w:t>的</w:t>
      </w:r>
      <w:r>
        <w:rPr>
          <w:rFonts w:hint="eastAsia" w:ascii="宋体" w:hAnsi="宋体"/>
          <w:sz w:val="24"/>
          <w:highlight w:val="none"/>
        </w:rPr>
        <w:t>律师</w:t>
      </w:r>
      <w:r>
        <w:rPr>
          <w:rFonts w:ascii="宋体" w:hAnsi="宋体"/>
          <w:sz w:val="24"/>
          <w:highlight w:val="none"/>
        </w:rPr>
        <w:t>上报</w:t>
      </w:r>
      <w:r>
        <w:rPr>
          <w:rFonts w:hint="eastAsia" w:ascii="宋体" w:hAnsi="宋体"/>
          <w:sz w:val="24"/>
          <w:highlight w:val="none"/>
        </w:rPr>
        <w:t>法援中心。</w:t>
      </w:r>
    </w:p>
    <w:p w14:paraId="4EA0FA52">
      <w:pPr>
        <w:spacing w:line="360" w:lineRule="auto"/>
        <w:ind w:firstLine="480" w:firstLineChars="200"/>
        <w:rPr>
          <w:rFonts w:ascii="宋体" w:hAnsi="宋体"/>
          <w:sz w:val="24"/>
          <w:highlight w:val="none"/>
        </w:rPr>
      </w:pPr>
      <w:r>
        <w:rPr>
          <w:rFonts w:ascii="宋体" w:hAnsi="宋体"/>
          <w:sz w:val="24"/>
          <w:highlight w:val="none"/>
        </w:rPr>
        <w:t>（三）</w:t>
      </w:r>
      <w:r>
        <w:rPr>
          <w:rFonts w:hint="eastAsia" w:ascii="宋体" w:hAnsi="宋体"/>
          <w:sz w:val="24"/>
          <w:highlight w:val="none"/>
        </w:rPr>
        <w:t>法律援助中心在指派案件的过程中，允许当事人指定某律所、某律师承办自己案件，指定的案件指派不计算在轮序范围内。</w:t>
      </w:r>
    </w:p>
    <w:p w14:paraId="33B75567">
      <w:pPr>
        <w:spacing w:line="360" w:lineRule="auto"/>
        <w:ind w:firstLine="480" w:firstLineChars="200"/>
        <w:rPr>
          <w:rFonts w:ascii="宋体" w:hAnsi="宋体"/>
          <w:sz w:val="24"/>
          <w:highlight w:val="none"/>
        </w:rPr>
      </w:pPr>
      <w:r>
        <w:rPr>
          <w:rFonts w:ascii="宋体" w:hAnsi="宋体"/>
          <w:sz w:val="24"/>
          <w:highlight w:val="none"/>
        </w:rPr>
        <w:t>（四）</w:t>
      </w:r>
      <w:r>
        <w:rPr>
          <w:rFonts w:hint="eastAsia" w:ascii="宋体" w:hAnsi="宋体"/>
          <w:sz w:val="24"/>
          <w:highlight w:val="none"/>
        </w:rPr>
        <w:t>法律援助中心在指派案件过程中，允许当事人对指定律师在性别、律所地域等提出要求</w:t>
      </w:r>
      <w:r>
        <w:rPr>
          <w:rFonts w:ascii="宋体" w:hAnsi="宋体"/>
          <w:sz w:val="24"/>
          <w:highlight w:val="none"/>
        </w:rPr>
        <w:t>。对</w:t>
      </w:r>
      <w:r>
        <w:rPr>
          <w:rFonts w:hint="eastAsia" w:ascii="宋体" w:hAnsi="宋体"/>
          <w:sz w:val="24"/>
          <w:highlight w:val="none"/>
        </w:rPr>
        <w:t>拒绝</w:t>
      </w:r>
      <w:r>
        <w:rPr>
          <w:rFonts w:ascii="宋体" w:hAnsi="宋体"/>
          <w:sz w:val="24"/>
          <w:highlight w:val="none"/>
        </w:rPr>
        <w:t>承担法援中心指派案件的律所</w:t>
      </w:r>
      <w:r>
        <w:rPr>
          <w:rFonts w:hint="eastAsia" w:ascii="宋体" w:hAnsi="宋体"/>
          <w:sz w:val="24"/>
          <w:highlight w:val="none"/>
        </w:rPr>
        <w:t>，</w:t>
      </w:r>
      <w:r>
        <w:rPr>
          <w:rFonts w:ascii="宋体" w:hAnsi="宋体"/>
          <w:sz w:val="24"/>
          <w:highlight w:val="none"/>
        </w:rPr>
        <w:t>其对应律所轮序</w:t>
      </w:r>
      <w:r>
        <w:rPr>
          <w:rFonts w:hint="eastAsia" w:ascii="宋体" w:hAnsi="宋体"/>
          <w:sz w:val="24"/>
          <w:highlight w:val="none"/>
        </w:rPr>
        <w:t>将依次向后顺延。</w:t>
      </w:r>
    </w:p>
    <w:p w14:paraId="7F6E1947">
      <w:pPr>
        <w:spacing w:line="360" w:lineRule="auto"/>
        <w:ind w:firstLine="480" w:firstLineChars="200"/>
        <w:rPr>
          <w:rFonts w:ascii="宋体" w:hAnsi="宋体"/>
          <w:sz w:val="24"/>
          <w:highlight w:val="none"/>
        </w:rPr>
      </w:pPr>
      <w:r>
        <w:rPr>
          <w:rFonts w:ascii="宋体" w:hAnsi="宋体"/>
          <w:sz w:val="24"/>
          <w:highlight w:val="none"/>
        </w:rPr>
        <w:t>（五）</w:t>
      </w:r>
      <w:r>
        <w:rPr>
          <w:rFonts w:hint="eastAsia" w:ascii="宋体" w:hAnsi="宋体"/>
          <w:sz w:val="24"/>
          <w:highlight w:val="none"/>
        </w:rPr>
        <w:t>律所在接到法援中心指派案件的通知后，应在2</w:t>
      </w:r>
      <w:r>
        <w:rPr>
          <w:rFonts w:ascii="宋体" w:hAnsi="宋体"/>
          <w:sz w:val="24"/>
          <w:highlight w:val="none"/>
        </w:rPr>
        <w:t>日内</w:t>
      </w:r>
      <w:r>
        <w:rPr>
          <w:rFonts w:hint="eastAsia" w:ascii="宋体" w:hAnsi="宋体"/>
          <w:sz w:val="24"/>
          <w:highlight w:val="none"/>
        </w:rPr>
        <w:t>派工作人员将援助案件材料取走，在拿到援助案件材料的当日，</w:t>
      </w:r>
      <w:r>
        <w:rPr>
          <w:rFonts w:ascii="宋体" w:hAnsi="宋体"/>
          <w:sz w:val="24"/>
          <w:highlight w:val="none"/>
        </w:rPr>
        <w:t>向大兴区法</w:t>
      </w:r>
      <w:r>
        <w:rPr>
          <w:rFonts w:hint="eastAsia" w:ascii="宋体" w:hAnsi="宋体"/>
          <w:sz w:val="24"/>
          <w:highlight w:val="none"/>
        </w:rPr>
        <w:t>援中心</w:t>
      </w:r>
      <w:r>
        <w:rPr>
          <w:rFonts w:ascii="宋体" w:hAnsi="宋体"/>
          <w:sz w:val="24"/>
          <w:highlight w:val="none"/>
        </w:rPr>
        <w:t>报备承办</w:t>
      </w:r>
      <w:r>
        <w:rPr>
          <w:rFonts w:hint="eastAsia" w:ascii="宋体" w:hAnsi="宋体"/>
          <w:sz w:val="24"/>
          <w:highlight w:val="none"/>
        </w:rPr>
        <w:t>具体</w:t>
      </w:r>
      <w:r>
        <w:rPr>
          <w:rFonts w:ascii="宋体" w:hAnsi="宋体"/>
          <w:sz w:val="24"/>
          <w:highlight w:val="none"/>
        </w:rPr>
        <w:t>案件的</w:t>
      </w:r>
      <w:r>
        <w:rPr>
          <w:rFonts w:hint="eastAsia" w:ascii="宋体" w:hAnsi="宋体"/>
          <w:sz w:val="24"/>
          <w:highlight w:val="none"/>
        </w:rPr>
        <w:t>律师，并</w:t>
      </w:r>
      <w:r>
        <w:rPr>
          <w:rFonts w:ascii="宋体" w:hAnsi="宋体"/>
          <w:sz w:val="24"/>
          <w:highlight w:val="none"/>
        </w:rPr>
        <w:t>由该律师</w:t>
      </w:r>
      <w:r>
        <w:rPr>
          <w:rFonts w:hint="eastAsia" w:ascii="宋体" w:hAnsi="宋体"/>
          <w:sz w:val="24"/>
          <w:highlight w:val="none"/>
        </w:rPr>
        <w:t>联系受援人，及时开展</w:t>
      </w:r>
      <w:r>
        <w:rPr>
          <w:rFonts w:ascii="宋体" w:hAnsi="宋体"/>
          <w:sz w:val="24"/>
          <w:highlight w:val="none"/>
        </w:rPr>
        <w:t>法律</w:t>
      </w:r>
      <w:r>
        <w:rPr>
          <w:rFonts w:hint="eastAsia" w:ascii="宋体" w:hAnsi="宋体"/>
          <w:sz w:val="24"/>
          <w:highlight w:val="none"/>
        </w:rPr>
        <w:t>援助工作。</w:t>
      </w:r>
    </w:p>
    <w:p w14:paraId="430FE59A">
      <w:pPr>
        <w:spacing w:line="360" w:lineRule="auto"/>
        <w:ind w:firstLine="480" w:firstLineChars="200"/>
        <w:rPr>
          <w:rFonts w:ascii="宋体" w:hAnsi="宋体"/>
          <w:sz w:val="24"/>
          <w:highlight w:val="none"/>
        </w:rPr>
      </w:pPr>
      <w:r>
        <w:rPr>
          <w:rFonts w:ascii="宋体" w:hAnsi="宋体"/>
          <w:sz w:val="24"/>
          <w:highlight w:val="none"/>
        </w:rPr>
        <w:t>（六）</w:t>
      </w:r>
      <w:r>
        <w:rPr>
          <w:rFonts w:hint="eastAsia" w:ascii="宋体" w:hAnsi="宋体"/>
          <w:sz w:val="24"/>
          <w:highlight w:val="none"/>
        </w:rPr>
        <w:t>法援案件承办律师在向受援人提供法律援助的过程中，要向受援人明示其工作范围</w:t>
      </w:r>
      <w:r>
        <w:rPr>
          <w:rFonts w:ascii="宋体" w:hAnsi="宋体"/>
          <w:sz w:val="24"/>
          <w:highlight w:val="none"/>
        </w:rPr>
        <w:t>；</w:t>
      </w:r>
      <w:r>
        <w:rPr>
          <w:rFonts w:hint="eastAsia" w:ascii="宋体" w:hAnsi="宋体"/>
          <w:sz w:val="24"/>
          <w:highlight w:val="none"/>
        </w:rPr>
        <w:t>在安排会见、法庭开庭的过程中要向受援人讲明</w:t>
      </w:r>
      <w:r>
        <w:rPr>
          <w:rFonts w:hint="eastAsia" w:ascii="宋体" w:hAnsi="宋体"/>
          <w:color w:val="000000"/>
          <w:sz w:val="24"/>
          <w:highlight w:val="none"/>
        </w:rPr>
        <w:t>当事人</w:t>
      </w:r>
      <w:r>
        <w:rPr>
          <w:rFonts w:hint="eastAsia" w:ascii="宋体" w:hAnsi="宋体"/>
          <w:sz w:val="24"/>
          <w:highlight w:val="none"/>
        </w:rPr>
        <w:t>的权利与义务。结束法援工作后，向受援人明确表示受援工作已经结束，并告知受援人下一步应采取的救济途径。</w:t>
      </w:r>
    </w:p>
    <w:p w14:paraId="667DE84A">
      <w:pPr>
        <w:spacing w:line="360" w:lineRule="auto"/>
        <w:ind w:firstLine="480" w:firstLineChars="200"/>
        <w:rPr>
          <w:rFonts w:ascii="宋体" w:hAnsi="宋体"/>
          <w:sz w:val="24"/>
          <w:highlight w:val="none"/>
        </w:rPr>
      </w:pPr>
      <w:r>
        <w:rPr>
          <w:rFonts w:ascii="宋体" w:hAnsi="宋体"/>
          <w:sz w:val="24"/>
          <w:highlight w:val="none"/>
        </w:rPr>
        <w:t>（七）</w:t>
      </w:r>
      <w:r>
        <w:rPr>
          <w:rFonts w:hint="eastAsia" w:ascii="宋体" w:hAnsi="宋体"/>
          <w:sz w:val="24"/>
          <w:highlight w:val="none"/>
        </w:rPr>
        <w:t>法援案件承办律师在承办案件结束后，应按规定时间做好法援案件的归档工作。</w:t>
      </w:r>
    </w:p>
    <w:p w14:paraId="40876C07">
      <w:pPr>
        <w:spacing w:line="360" w:lineRule="auto"/>
        <w:ind w:firstLine="480" w:firstLineChars="200"/>
        <w:rPr>
          <w:rFonts w:ascii="宋体" w:hAnsi="宋体"/>
          <w:sz w:val="24"/>
          <w:highlight w:val="none"/>
        </w:rPr>
      </w:pPr>
      <w:r>
        <w:rPr>
          <w:rFonts w:ascii="宋体" w:hAnsi="宋体"/>
          <w:sz w:val="24"/>
          <w:highlight w:val="none"/>
        </w:rPr>
        <w:t>（八）</w:t>
      </w:r>
      <w:r>
        <w:rPr>
          <w:rFonts w:hint="eastAsia" w:ascii="宋体" w:hAnsi="宋体"/>
          <w:sz w:val="24"/>
          <w:highlight w:val="none"/>
        </w:rPr>
        <w:t>律所</w:t>
      </w:r>
      <w:r>
        <w:rPr>
          <w:rFonts w:ascii="宋体" w:hAnsi="宋体"/>
          <w:sz w:val="24"/>
          <w:highlight w:val="none"/>
        </w:rPr>
        <w:t>已</w:t>
      </w:r>
      <w:r>
        <w:rPr>
          <w:rFonts w:hint="eastAsia" w:ascii="宋体" w:hAnsi="宋体"/>
          <w:sz w:val="24"/>
          <w:highlight w:val="none"/>
        </w:rPr>
        <w:t>指定案件承办律师的，原则上中途不</w:t>
      </w:r>
      <w:r>
        <w:rPr>
          <w:rFonts w:ascii="宋体" w:hAnsi="宋体"/>
          <w:sz w:val="24"/>
          <w:highlight w:val="none"/>
        </w:rPr>
        <w:t>得</w:t>
      </w:r>
      <w:r>
        <w:rPr>
          <w:rFonts w:hint="eastAsia" w:ascii="宋体" w:hAnsi="宋体"/>
          <w:sz w:val="24"/>
          <w:highlight w:val="none"/>
        </w:rPr>
        <w:t>更换承办律师</w:t>
      </w:r>
      <w:r>
        <w:rPr>
          <w:rFonts w:ascii="宋体" w:hAnsi="宋体"/>
          <w:sz w:val="24"/>
          <w:highlight w:val="none"/>
        </w:rPr>
        <w:t>。</w:t>
      </w:r>
      <w:r>
        <w:rPr>
          <w:rFonts w:hint="eastAsia" w:ascii="宋体" w:hAnsi="宋体"/>
          <w:sz w:val="24"/>
          <w:highlight w:val="none"/>
        </w:rPr>
        <w:t>承办律师在办案过程中如发生突发情况，不能继续承办</w:t>
      </w:r>
      <w:r>
        <w:rPr>
          <w:rFonts w:ascii="宋体" w:hAnsi="宋体"/>
          <w:sz w:val="24"/>
          <w:highlight w:val="none"/>
        </w:rPr>
        <w:t>正承</w:t>
      </w:r>
      <w:r>
        <w:rPr>
          <w:rFonts w:hint="eastAsia" w:ascii="宋体" w:hAnsi="宋体"/>
          <w:sz w:val="24"/>
          <w:highlight w:val="none"/>
        </w:rPr>
        <w:t>办</w:t>
      </w:r>
      <w:r>
        <w:rPr>
          <w:rFonts w:ascii="宋体" w:hAnsi="宋体"/>
          <w:sz w:val="24"/>
          <w:highlight w:val="none"/>
        </w:rPr>
        <w:t>的</w:t>
      </w:r>
      <w:r>
        <w:rPr>
          <w:rFonts w:hint="eastAsia" w:ascii="宋体" w:hAnsi="宋体"/>
          <w:sz w:val="24"/>
          <w:highlight w:val="none"/>
        </w:rPr>
        <w:t>法援案件的，</w:t>
      </w:r>
      <w:r>
        <w:rPr>
          <w:rFonts w:ascii="宋体" w:hAnsi="宋体"/>
          <w:sz w:val="24"/>
          <w:highlight w:val="none"/>
        </w:rPr>
        <w:t>在</w:t>
      </w:r>
      <w:r>
        <w:rPr>
          <w:rFonts w:hint="eastAsia" w:ascii="宋体" w:hAnsi="宋体"/>
          <w:sz w:val="24"/>
          <w:highlight w:val="none"/>
        </w:rPr>
        <w:t>征得受援人同意</w:t>
      </w:r>
      <w:r>
        <w:rPr>
          <w:rFonts w:ascii="宋体" w:hAnsi="宋体"/>
          <w:sz w:val="24"/>
          <w:highlight w:val="none"/>
        </w:rPr>
        <w:t>的情况下</w:t>
      </w:r>
      <w:r>
        <w:rPr>
          <w:rFonts w:hint="eastAsia" w:ascii="宋体" w:hAnsi="宋体"/>
          <w:sz w:val="24"/>
          <w:highlight w:val="none"/>
        </w:rPr>
        <w:t>，</w:t>
      </w:r>
      <w:r>
        <w:rPr>
          <w:rFonts w:ascii="宋体" w:hAnsi="宋体"/>
          <w:sz w:val="24"/>
          <w:highlight w:val="none"/>
        </w:rPr>
        <w:t>可</w:t>
      </w:r>
      <w:r>
        <w:rPr>
          <w:rFonts w:hint="eastAsia" w:ascii="宋体" w:hAnsi="宋体"/>
          <w:sz w:val="24"/>
          <w:highlight w:val="none"/>
        </w:rPr>
        <w:t>优先选择由本所其他律师继续承办</w:t>
      </w:r>
      <w:r>
        <w:rPr>
          <w:rFonts w:ascii="宋体" w:hAnsi="宋体"/>
          <w:sz w:val="24"/>
          <w:highlight w:val="none"/>
        </w:rPr>
        <w:t>该</w:t>
      </w:r>
      <w:r>
        <w:rPr>
          <w:rFonts w:hint="eastAsia" w:ascii="宋体" w:hAnsi="宋体"/>
          <w:sz w:val="24"/>
          <w:highlight w:val="none"/>
        </w:rPr>
        <w:t>案件，</w:t>
      </w:r>
      <w:r>
        <w:rPr>
          <w:rFonts w:ascii="宋体" w:hAnsi="宋体"/>
          <w:sz w:val="24"/>
          <w:highlight w:val="none"/>
        </w:rPr>
        <w:t>同时向</w:t>
      </w:r>
      <w:r>
        <w:rPr>
          <w:rFonts w:hint="eastAsia" w:ascii="宋体" w:hAnsi="宋体"/>
          <w:sz w:val="24"/>
          <w:highlight w:val="none"/>
        </w:rPr>
        <w:t>法援中心</w:t>
      </w:r>
      <w:r>
        <w:rPr>
          <w:rFonts w:ascii="宋体" w:hAnsi="宋体"/>
          <w:sz w:val="24"/>
          <w:highlight w:val="none"/>
        </w:rPr>
        <w:t>报备。</w:t>
      </w:r>
      <w:r>
        <w:rPr>
          <w:rFonts w:hint="eastAsia" w:ascii="宋体" w:hAnsi="宋体"/>
          <w:sz w:val="24"/>
          <w:highlight w:val="none"/>
        </w:rPr>
        <w:t>法援中心</w:t>
      </w:r>
      <w:r>
        <w:rPr>
          <w:rFonts w:ascii="宋体" w:hAnsi="宋体"/>
          <w:sz w:val="24"/>
          <w:highlight w:val="none"/>
        </w:rPr>
        <w:t>按照</w:t>
      </w:r>
      <w:r>
        <w:rPr>
          <w:rFonts w:hint="eastAsia" w:ascii="宋体" w:hAnsi="宋体"/>
          <w:sz w:val="24"/>
          <w:highlight w:val="none"/>
        </w:rPr>
        <w:t>案件指派工作流程做好相关变更手续。</w:t>
      </w:r>
    </w:p>
    <w:p w14:paraId="3AA6B4D3">
      <w:pPr>
        <w:spacing w:line="360" w:lineRule="auto"/>
        <w:ind w:firstLine="480" w:firstLineChars="200"/>
        <w:rPr>
          <w:rFonts w:ascii="宋体" w:hAnsi="宋体"/>
          <w:sz w:val="24"/>
          <w:highlight w:val="none"/>
        </w:rPr>
      </w:pPr>
      <w:r>
        <w:rPr>
          <w:rFonts w:ascii="宋体" w:hAnsi="宋体"/>
          <w:sz w:val="24"/>
          <w:highlight w:val="none"/>
        </w:rPr>
        <w:t>（九）</w:t>
      </w:r>
      <w:r>
        <w:rPr>
          <w:rFonts w:hint="eastAsia" w:ascii="宋体" w:hAnsi="宋体"/>
          <w:sz w:val="24"/>
          <w:highlight w:val="none"/>
        </w:rPr>
        <w:t>严禁承办律师在案件承办的过程中终止援助。确因受援人提出申请要求变更承办援助律师，或发生援助律师不能继续承办援助案件，或</w:t>
      </w:r>
      <w:r>
        <w:rPr>
          <w:rFonts w:ascii="宋体" w:hAnsi="宋体"/>
          <w:sz w:val="24"/>
          <w:highlight w:val="none"/>
        </w:rPr>
        <w:t>受</w:t>
      </w:r>
      <w:r>
        <w:rPr>
          <w:rFonts w:hint="eastAsia" w:ascii="宋体" w:hAnsi="宋体"/>
          <w:sz w:val="24"/>
          <w:highlight w:val="none"/>
        </w:rPr>
        <w:t>援人中途撤销法律援助申请</w:t>
      </w:r>
      <w:r>
        <w:rPr>
          <w:rFonts w:ascii="宋体" w:hAnsi="宋体"/>
          <w:sz w:val="24"/>
          <w:highlight w:val="none"/>
        </w:rPr>
        <w:t>等情形，</w:t>
      </w:r>
      <w:r>
        <w:rPr>
          <w:rFonts w:hint="eastAsia" w:ascii="宋体" w:hAnsi="宋体"/>
          <w:sz w:val="24"/>
          <w:highlight w:val="none"/>
        </w:rPr>
        <w:t>承办律师应向</w:t>
      </w:r>
      <w:r>
        <w:rPr>
          <w:rFonts w:ascii="宋体" w:hAnsi="宋体"/>
          <w:sz w:val="24"/>
          <w:highlight w:val="none"/>
        </w:rPr>
        <w:t>大兴区</w:t>
      </w:r>
      <w:r>
        <w:rPr>
          <w:rFonts w:hint="eastAsia" w:ascii="宋体" w:hAnsi="宋体"/>
          <w:sz w:val="24"/>
          <w:highlight w:val="none"/>
        </w:rPr>
        <w:t>法援中心提出书面申请，并说明终止援助的</w:t>
      </w:r>
      <w:r>
        <w:rPr>
          <w:rFonts w:ascii="宋体" w:hAnsi="宋体"/>
          <w:sz w:val="24"/>
          <w:highlight w:val="none"/>
        </w:rPr>
        <w:t>事</w:t>
      </w:r>
      <w:r>
        <w:rPr>
          <w:rFonts w:hint="eastAsia" w:ascii="宋体" w:hAnsi="宋体"/>
          <w:sz w:val="24"/>
          <w:highlight w:val="none"/>
        </w:rPr>
        <w:t>由，</w:t>
      </w:r>
      <w:r>
        <w:rPr>
          <w:rFonts w:ascii="宋体" w:hAnsi="宋体"/>
          <w:sz w:val="24"/>
          <w:highlight w:val="none"/>
        </w:rPr>
        <w:t>经</w:t>
      </w:r>
      <w:r>
        <w:rPr>
          <w:rFonts w:hint="eastAsia" w:ascii="宋体" w:hAnsi="宋体"/>
          <w:sz w:val="24"/>
          <w:highlight w:val="none"/>
        </w:rPr>
        <w:t>法援中心</w:t>
      </w:r>
      <w:r>
        <w:rPr>
          <w:rFonts w:ascii="宋体" w:hAnsi="宋体"/>
          <w:sz w:val="24"/>
          <w:highlight w:val="none"/>
        </w:rPr>
        <w:t>审核</w:t>
      </w:r>
      <w:r>
        <w:rPr>
          <w:rFonts w:hint="eastAsia" w:ascii="宋体" w:hAnsi="宋体"/>
          <w:sz w:val="24"/>
          <w:highlight w:val="none"/>
        </w:rPr>
        <w:t>批准后，</w:t>
      </w:r>
      <w:r>
        <w:rPr>
          <w:rFonts w:ascii="宋体" w:hAnsi="宋体"/>
          <w:sz w:val="24"/>
          <w:highlight w:val="none"/>
        </w:rPr>
        <w:t>法援中心</w:t>
      </w:r>
      <w:r>
        <w:rPr>
          <w:rFonts w:hint="eastAsia" w:ascii="宋体" w:hAnsi="宋体"/>
          <w:sz w:val="24"/>
          <w:highlight w:val="none"/>
        </w:rPr>
        <w:t>第一时间</w:t>
      </w:r>
      <w:r>
        <w:rPr>
          <w:rFonts w:ascii="宋体" w:hAnsi="宋体"/>
          <w:sz w:val="24"/>
          <w:highlight w:val="none"/>
        </w:rPr>
        <w:t>将</w:t>
      </w:r>
      <w:r>
        <w:rPr>
          <w:rFonts w:hint="eastAsia" w:ascii="宋体" w:hAnsi="宋体"/>
          <w:sz w:val="24"/>
          <w:highlight w:val="none"/>
        </w:rPr>
        <w:t>全部法援案件材</w:t>
      </w:r>
      <w:r>
        <w:rPr>
          <w:rFonts w:ascii="宋体" w:hAnsi="宋体"/>
          <w:sz w:val="24"/>
          <w:highlight w:val="none"/>
        </w:rPr>
        <w:t>料撤回</w:t>
      </w:r>
      <w:r>
        <w:rPr>
          <w:rFonts w:hint="eastAsia" w:ascii="宋体" w:hAnsi="宋体"/>
          <w:sz w:val="24"/>
          <w:highlight w:val="none"/>
        </w:rPr>
        <w:t>。</w:t>
      </w:r>
    </w:p>
    <w:p w14:paraId="14BB3BC5">
      <w:pPr>
        <w:spacing w:line="360" w:lineRule="auto"/>
        <w:ind w:firstLine="480" w:firstLineChars="200"/>
        <w:rPr>
          <w:rFonts w:ascii="宋体" w:hAnsi="宋体"/>
          <w:sz w:val="24"/>
          <w:highlight w:val="none"/>
        </w:rPr>
      </w:pPr>
      <w:r>
        <w:rPr>
          <w:rFonts w:hint="eastAsia" w:ascii="宋体" w:hAnsi="宋体"/>
          <w:sz w:val="24"/>
          <w:highlight w:val="none"/>
        </w:rPr>
        <w:t>八、奖惩原则：</w:t>
      </w:r>
    </w:p>
    <w:p w14:paraId="5874472F">
      <w:pPr>
        <w:spacing w:line="360" w:lineRule="auto"/>
        <w:ind w:firstLine="480" w:firstLineChars="200"/>
        <w:rPr>
          <w:rFonts w:ascii="宋体" w:hAnsi="宋体"/>
          <w:sz w:val="24"/>
          <w:highlight w:val="none"/>
        </w:rPr>
      </w:pPr>
      <w:r>
        <w:rPr>
          <w:rFonts w:hint="eastAsia" w:ascii="宋体" w:hAnsi="宋体"/>
          <w:sz w:val="24"/>
          <w:highlight w:val="none"/>
        </w:rPr>
        <w:t>（一）</w:t>
      </w:r>
      <w:r>
        <w:rPr>
          <w:rFonts w:ascii="宋体" w:hAnsi="宋体"/>
          <w:sz w:val="24"/>
          <w:highlight w:val="none"/>
        </w:rPr>
        <w:t>大兴</w:t>
      </w:r>
      <w:r>
        <w:rPr>
          <w:rFonts w:hint="eastAsia" w:ascii="宋体" w:hAnsi="宋体"/>
          <w:sz w:val="24"/>
          <w:highlight w:val="none"/>
        </w:rPr>
        <w:t>区法援中心依据《北京市12348公共法律服务热线区坐席绩效考核计分标准》</w:t>
      </w:r>
      <w:r>
        <w:rPr>
          <w:rFonts w:ascii="宋体" w:hAnsi="宋体"/>
          <w:sz w:val="24"/>
          <w:highlight w:val="none"/>
        </w:rPr>
        <w:t>，</w:t>
      </w:r>
      <w:r>
        <w:rPr>
          <w:rFonts w:hint="eastAsia" w:ascii="宋体" w:hAnsi="宋体"/>
          <w:sz w:val="24"/>
          <w:highlight w:val="none"/>
        </w:rPr>
        <w:t>对12348值班律师每天的值班情况（包括每日的接听电话数、录入工单数、通话总时长、满意度共四项</w:t>
      </w:r>
      <w:r>
        <w:rPr>
          <w:rFonts w:ascii="宋体" w:hAnsi="宋体"/>
          <w:sz w:val="24"/>
          <w:highlight w:val="none"/>
        </w:rPr>
        <w:t>作</w:t>
      </w:r>
      <w:r>
        <w:rPr>
          <w:rFonts w:hint="eastAsia" w:ascii="宋体" w:hAnsi="宋体"/>
          <w:sz w:val="24"/>
          <w:highlight w:val="none"/>
        </w:rPr>
        <w:t>为考核依据）以月为单位进行考核并</w:t>
      </w:r>
      <w:r>
        <w:rPr>
          <w:rFonts w:ascii="宋体" w:hAnsi="宋体"/>
          <w:sz w:val="24"/>
          <w:highlight w:val="none"/>
        </w:rPr>
        <w:t>作</w:t>
      </w:r>
      <w:r>
        <w:rPr>
          <w:rFonts w:hint="eastAsia" w:ascii="宋体" w:hAnsi="宋体"/>
          <w:sz w:val="24"/>
          <w:highlight w:val="none"/>
        </w:rPr>
        <w:t>出名次排序，在每月的最后一个工作日将评比结果予以</w:t>
      </w:r>
      <w:r>
        <w:rPr>
          <w:rFonts w:ascii="宋体" w:hAnsi="宋体"/>
          <w:sz w:val="24"/>
          <w:highlight w:val="none"/>
        </w:rPr>
        <w:t>通报</w:t>
      </w:r>
      <w:r>
        <w:rPr>
          <w:rFonts w:hint="eastAsia" w:ascii="宋体" w:hAnsi="宋体"/>
          <w:sz w:val="24"/>
          <w:highlight w:val="none"/>
        </w:rPr>
        <w:t>，对表现优秀的</w:t>
      </w:r>
      <w:r>
        <w:rPr>
          <w:rFonts w:hint="eastAsia" w:ascii="宋体" w:hAnsi="宋体"/>
          <w:color w:val="000000"/>
          <w:sz w:val="24"/>
          <w:highlight w:val="none"/>
        </w:rPr>
        <w:t>律师</w:t>
      </w:r>
      <w:r>
        <w:rPr>
          <w:rFonts w:hint="eastAsia" w:ascii="宋体" w:hAnsi="宋体"/>
          <w:sz w:val="24"/>
          <w:highlight w:val="none"/>
        </w:rPr>
        <w:t>将在当月的案件指派中给予</w:t>
      </w:r>
      <w:r>
        <w:rPr>
          <w:rFonts w:hint="eastAsia" w:ascii="宋体" w:hAnsi="宋体"/>
          <w:color w:val="000000"/>
          <w:sz w:val="24"/>
          <w:highlight w:val="none"/>
        </w:rPr>
        <w:t>优先考虑</w:t>
      </w:r>
      <w:r>
        <w:rPr>
          <w:rFonts w:hint="eastAsia" w:ascii="宋体" w:hAnsi="宋体"/>
          <w:sz w:val="24"/>
          <w:highlight w:val="none"/>
        </w:rPr>
        <w:t>。</w:t>
      </w:r>
    </w:p>
    <w:p w14:paraId="4423373E">
      <w:pPr>
        <w:spacing w:line="360" w:lineRule="auto"/>
        <w:ind w:firstLine="480" w:firstLineChars="200"/>
        <w:rPr>
          <w:rFonts w:ascii="宋体" w:hAnsi="宋体"/>
          <w:sz w:val="24"/>
          <w:highlight w:val="none"/>
        </w:rPr>
      </w:pPr>
      <w:r>
        <w:rPr>
          <w:rFonts w:ascii="宋体" w:hAnsi="宋体"/>
          <w:sz w:val="24"/>
          <w:highlight w:val="none"/>
        </w:rPr>
        <w:t>（二）大兴</w:t>
      </w:r>
      <w:r>
        <w:rPr>
          <w:rFonts w:hint="eastAsia" w:ascii="宋体" w:hAnsi="宋体"/>
          <w:sz w:val="24"/>
          <w:highlight w:val="none"/>
        </w:rPr>
        <w:t>区法援中心对无法适应12348值班的律师，有权随时通知</w:t>
      </w:r>
      <w:r>
        <w:rPr>
          <w:rFonts w:ascii="宋体" w:hAnsi="宋体"/>
          <w:sz w:val="24"/>
          <w:highlight w:val="none"/>
        </w:rPr>
        <w:t>其所在</w:t>
      </w:r>
      <w:r>
        <w:rPr>
          <w:rFonts w:hint="eastAsia" w:ascii="宋体" w:hAnsi="宋体"/>
          <w:sz w:val="24"/>
          <w:highlight w:val="none"/>
        </w:rPr>
        <w:t>律所</w:t>
      </w:r>
      <w:r>
        <w:rPr>
          <w:rFonts w:ascii="宋体" w:hAnsi="宋体"/>
          <w:sz w:val="24"/>
          <w:highlight w:val="none"/>
        </w:rPr>
        <w:t>及时调整更换，并</w:t>
      </w:r>
      <w:r>
        <w:rPr>
          <w:rFonts w:hint="eastAsia" w:ascii="宋体" w:hAnsi="宋体"/>
          <w:sz w:val="24"/>
          <w:highlight w:val="none"/>
        </w:rPr>
        <w:t>对在工作中违反工作职责，造成不利影响的律师进行</w:t>
      </w:r>
      <w:r>
        <w:rPr>
          <w:rFonts w:hint="eastAsia" w:ascii="宋体" w:hAnsi="宋体"/>
          <w:color w:val="000000"/>
          <w:sz w:val="24"/>
          <w:highlight w:val="none"/>
        </w:rPr>
        <w:t>通报批评。</w:t>
      </w:r>
    </w:p>
    <w:p w14:paraId="3F3C5E8F">
      <w:pPr>
        <w:spacing w:line="360" w:lineRule="auto"/>
        <w:ind w:firstLine="480" w:firstLineChars="200"/>
        <w:rPr>
          <w:rFonts w:ascii="宋体" w:hAnsi="宋体"/>
          <w:sz w:val="24"/>
          <w:highlight w:val="none"/>
        </w:rPr>
      </w:pPr>
      <w:r>
        <w:rPr>
          <w:rFonts w:ascii="宋体" w:hAnsi="宋体"/>
          <w:sz w:val="24"/>
          <w:highlight w:val="none"/>
        </w:rPr>
        <w:t>（三）</w:t>
      </w:r>
      <w:r>
        <w:rPr>
          <w:rFonts w:hint="eastAsia" w:ascii="宋体" w:hAnsi="宋体"/>
          <w:sz w:val="24"/>
          <w:highlight w:val="none"/>
        </w:rPr>
        <w:t>对窗口接待咨询律师</w:t>
      </w:r>
      <w:r>
        <w:rPr>
          <w:rFonts w:ascii="宋体" w:hAnsi="宋体"/>
          <w:sz w:val="24"/>
          <w:highlight w:val="none"/>
        </w:rPr>
        <w:t>工作情况，以</w:t>
      </w:r>
      <w:r>
        <w:rPr>
          <w:rFonts w:hint="eastAsia" w:ascii="宋体" w:hAnsi="宋体"/>
          <w:sz w:val="24"/>
          <w:highlight w:val="none"/>
        </w:rPr>
        <w:t>录入公共法律服务系统中的工单量、接受群众的点评</w:t>
      </w:r>
      <w:r>
        <w:rPr>
          <w:rFonts w:ascii="宋体" w:hAnsi="宋体"/>
          <w:sz w:val="24"/>
          <w:highlight w:val="none"/>
        </w:rPr>
        <w:t>作</w:t>
      </w:r>
      <w:r>
        <w:rPr>
          <w:rFonts w:hint="eastAsia" w:ascii="宋体" w:hAnsi="宋体"/>
          <w:sz w:val="24"/>
          <w:highlight w:val="none"/>
        </w:rPr>
        <w:t>为考核依据</w:t>
      </w:r>
      <w:r>
        <w:rPr>
          <w:rFonts w:ascii="宋体" w:hAnsi="宋体"/>
          <w:sz w:val="24"/>
          <w:highlight w:val="none"/>
        </w:rPr>
        <w:t>，</w:t>
      </w:r>
      <w:r>
        <w:rPr>
          <w:rFonts w:hint="eastAsia" w:ascii="宋体" w:hAnsi="宋体"/>
          <w:sz w:val="24"/>
          <w:highlight w:val="none"/>
        </w:rPr>
        <w:t>并于</w:t>
      </w:r>
      <w:r>
        <w:rPr>
          <w:rFonts w:ascii="宋体" w:hAnsi="宋体"/>
          <w:sz w:val="24"/>
          <w:highlight w:val="none"/>
        </w:rPr>
        <w:t>每月</w:t>
      </w:r>
      <w:r>
        <w:rPr>
          <w:rFonts w:hint="eastAsia" w:ascii="宋体" w:hAnsi="宋体"/>
          <w:sz w:val="24"/>
          <w:highlight w:val="none"/>
        </w:rPr>
        <w:t>底予以</w:t>
      </w:r>
      <w:r>
        <w:rPr>
          <w:rFonts w:ascii="宋体" w:hAnsi="宋体"/>
          <w:sz w:val="24"/>
          <w:highlight w:val="none"/>
        </w:rPr>
        <w:t>通报</w:t>
      </w:r>
      <w:r>
        <w:rPr>
          <w:rFonts w:hint="eastAsia" w:ascii="宋体" w:hAnsi="宋体"/>
          <w:sz w:val="24"/>
          <w:highlight w:val="none"/>
        </w:rPr>
        <w:t>。</w:t>
      </w:r>
    </w:p>
    <w:p w14:paraId="0F60BBD4">
      <w:pPr>
        <w:spacing w:line="360" w:lineRule="auto"/>
        <w:ind w:firstLine="480" w:firstLineChars="200"/>
        <w:rPr>
          <w:rFonts w:ascii="宋体" w:hAnsi="宋体"/>
          <w:sz w:val="24"/>
          <w:highlight w:val="none"/>
        </w:rPr>
      </w:pPr>
      <w:r>
        <w:rPr>
          <w:rFonts w:ascii="宋体" w:hAnsi="宋体"/>
          <w:sz w:val="24"/>
          <w:highlight w:val="none"/>
        </w:rPr>
        <w:t>（四）在</w:t>
      </w:r>
      <w:r>
        <w:rPr>
          <w:rFonts w:hint="eastAsia" w:ascii="宋体" w:hAnsi="宋体"/>
          <w:sz w:val="24"/>
          <w:highlight w:val="none"/>
        </w:rPr>
        <w:t>窗口接待咨询过程中，</w:t>
      </w:r>
      <w:r>
        <w:rPr>
          <w:rFonts w:ascii="宋体" w:hAnsi="宋体"/>
          <w:sz w:val="24"/>
          <w:highlight w:val="none"/>
        </w:rPr>
        <w:t>如</w:t>
      </w:r>
      <w:r>
        <w:rPr>
          <w:rFonts w:hint="eastAsia" w:ascii="宋体" w:hAnsi="宋体"/>
          <w:sz w:val="24"/>
          <w:highlight w:val="none"/>
        </w:rPr>
        <w:t>有值班律师发生与咨询人发生言语冲突或其他行为，</w:t>
      </w:r>
      <w:r>
        <w:rPr>
          <w:rFonts w:ascii="宋体" w:hAnsi="宋体"/>
          <w:sz w:val="24"/>
          <w:highlight w:val="none"/>
        </w:rPr>
        <w:t>导致</w:t>
      </w:r>
      <w:r>
        <w:rPr>
          <w:rFonts w:hint="eastAsia" w:ascii="宋体" w:hAnsi="宋体"/>
          <w:sz w:val="24"/>
          <w:highlight w:val="none"/>
        </w:rPr>
        <w:t>被咨询人投诉，经法援中心核实情况属实的，法援中心</w:t>
      </w:r>
      <w:r>
        <w:rPr>
          <w:rFonts w:ascii="宋体" w:hAnsi="宋体"/>
          <w:sz w:val="24"/>
          <w:highlight w:val="none"/>
        </w:rPr>
        <w:t>将</w:t>
      </w:r>
      <w:r>
        <w:rPr>
          <w:rFonts w:hint="eastAsia" w:ascii="宋体" w:hAnsi="宋体"/>
          <w:sz w:val="24"/>
          <w:highlight w:val="none"/>
        </w:rPr>
        <w:t>通报</w:t>
      </w:r>
      <w:r>
        <w:rPr>
          <w:rFonts w:ascii="宋体" w:hAnsi="宋体"/>
          <w:sz w:val="24"/>
          <w:highlight w:val="none"/>
        </w:rPr>
        <w:t>该律</w:t>
      </w:r>
      <w:r>
        <w:rPr>
          <w:rFonts w:hint="eastAsia" w:ascii="宋体" w:hAnsi="宋体"/>
          <w:sz w:val="24"/>
          <w:highlight w:val="none"/>
        </w:rPr>
        <w:t>所对涉事律师进行批评教育，并责成涉事律师做出书面检查。</w:t>
      </w:r>
      <w:r>
        <w:rPr>
          <w:rFonts w:hint="eastAsia" w:ascii="宋体" w:hAnsi="宋体"/>
          <w:color w:val="000000"/>
          <w:sz w:val="24"/>
          <w:highlight w:val="none"/>
        </w:rPr>
        <w:t>法援中心</w:t>
      </w:r>
      <w:r>
        <w:rPr>
          <w:rFonts w:ascii="宋体" w:hAnsi="宋体"/>
          <w:color w:val="000000"/>
          <w:sz w:val="24"/>
          <w:highlight w:val="none"/>
        </w:rPr>
        <w:t>将视情况严重性和对社会造成不良影响程度决定是否进行</w:t>
      </w:r>
      <w:r>
        <w:rPr>
          <w:rFonts w:hint="eastAsia" w:ascii="宋体" w:hAnsi="宋体"/>
          <w:color w:val="000000"/>
          <w:sz w:val="24"/>
          <w:highlight w:val="none"/>
        </w:rPr>
        <w:t>通报</w:t>
      </w:r>
      <w:r>
        <w:rPr>
          <w:rFonts w:ascii="宋体" w:hAnsi="宋体"/>
          <w:color w:val="000000"/>
          <w:sz w:val="24"/>
          <w:highlight w:val="none"/>
        </w:rPr>
        <w:t>批评</w:t>
      </w:r>
      <w:r>
        <w:rPr>
          <w:rFonts w:hint="eastAsia" w:ascii="宋体" w:hAnsi="宋体"/>
          <w:color w:val="000000"/>
          <w:sz w:val="24"/>
          <w:highlight w:val="none"/>
        </w:rPr>
        <w:t>。</w:t>
      </w:r>
    </w:p>
    <w:p w14:paraId="63A6CF19">
      <w:pPr>
        <w:spacing w:line="360" w:lineRule="auto"/>
        <w:ind w:firstLine="480" w:firstLineChars="200"/>
        <w:rPr>
          <w:rFonts w:ascii="宋体" w:hAnsi="宋体"/>
          <w:color w:val="FF0000"/>
          <w:sz w:val="24"/>
          <w:highlight w:val="none"/>
        </w:rPr>
      </w:pPr>
      <w:r>
        <w:rPr>
          <w:rFonts w:ascii="宋体" w:hAnsi="宋体"/>
          <w:sz w:val="24"/>
          <w:highlight w:val="none"/>
        </w:rPr>
        <w:t>（五）</w:t>
      </w:r>
      <w:r>
        <w:rPr>
          <w:rFonts w:hint="eastAsia" w:ascii="宋体" w:hAnsi="宋体"/>
          <w:sz w:val="24"/>
          <w:highlight w:val="none"/>
        </w:rPr>
        <w:t>如值班律师</w:t>
      </w:r>
      <w:r>
        <w:rPr>
          <w:rFonts w:hint="eastAsia" w:ascii="宋体" w:hAnsi="宋体"/>
          <w:color w:val="000000"/>
          <w:sz w:val="24"/>
          <w:highlight w:val="none"/>
        </w:rPr>
        <w:t>累计</w:t>
      </w:r>
      <w:r>
        <w:rPr>
          <w:rFonts w:hint="eastAsia" w:ascii="宋体" w:hAnsi="宋体"/>
          <w:sz w:val="24"/>
          <w:highlight w:val="none"/>
        </w:rPr>
        <w:t>接到3</w:t>
      </w:r>
      <w:r>
        <w:rPr>
          <w:rFonts w:ascii="宋体" w:hAnsi="宋体"/>
          <w:sz w:val="24"/>
          <w:highlight w:val="none"/>
        </w:rPr>
        <w:t>次</w:t>
      </w:r>
      <w:r>
        <w:rPr>
          <w:rFonts w:hint="eastAsia" w:ascii="宋体" w:hAnsi="宋体"/>
          <w:sz w:val="24"/>
          <w:highlight w:val="none"/>
        </w:rPr>
        <w:t>投诉，经查证属实，</w:t>
      </w:r>
      <w:r>
        <w:rPr>
          <w:rFonts w:ascii="宋体" w:hAnsi="宋体"/>
          <w:sz w:val="24"/>
          <w:highlight w:val="none"/>
        </w:rPr>
        <w:t>大兴</w:t>
      </w:r>
      <w:r>
        <w:rPr>
          <w:rFonts w:hint="eastAsia" w:ascii="宋体" w:hAnsi="宋体"/>
          <w:sz w:val="24"/>
          <w:highlight w:val="none"/>
        </w:rPr>
        <w:t>区法援中心</w:t>
      </w:r>
      <w:r>
        <w:rPr>
          <w:rFonts w:ascii="宋体" w:hAnsi="宋体"/>
          <w:sz w:val="24"/>
          <w:highlight w:val="none"/>
        </w:rPr>
        <w:t>有权</w:t>
      </w:r>
      <w:r>
        <w:rPr>
          <w:rFonts w:hint="eastAsia" w:ascii="宋体" w:hAnsi="宋体"/>
          <w:sz w:val="24"/>
          <w:highlight w:val="none"/>
        </w:rPr>
        <w:t>对其所在律所</w:t>
      </w:r>
      <w:r>
        <w:rPr>
          <w:rFonts w:ascii="宋体" w:hAnsi="宋体"/>
          <w:sz w:val="24"/>
          <w:highlight w:val="none"/>
        </w:rPr>
        <w:t>作出</w:t>
      </w:r>
      <w:r>
        <w:rPr>
          <w:rFonts w:hint="eastAsia" w:ascii="宋体" w:hAnsi="宋体"/>
          <w:sz w:val="24"/>
          <w:highlight w:val="none"/>
        </w:rPr>
        <w:t>清退</w:t>
      </w:r>
      <w:r>
        <w:rPr>
          <w:rFonts w:ascii="宋体" w:hAnsi="宋体"/>
          <w:sz w:val="24"/>
          <w:highlight w:val="none"/>
        </w:rPr>
        <w:t>处理。</w:t>
      </w:r>
    </w:p>
    <w:p w14:paraId="0D0A924F">
      <w:pPr>
        <w:spacing w:line="360" w:lineRule="auto"/>
        <w:ind w:firstLine="480" w:firstLineChars="200"/>
        <w:rPr>
          <w:rFonts w:ascii="宋体" w:hAnsi="宋体"/>
          <w:sz w:val="24"/>
          <w:highlight w:val="none"/>
        </w:rPr>
      </w:pPr>
      <w:r>
        <w:rPr>
          <w:rFonts w:ascii="宋体" w:hAnsi="宋体"/>
          <w:sz w:val="24"/>
          <w:highlight w:val="none"/>
        </w:rPr>
        <w:t>（</w:t>
      </w:r>
      <w:r>
        <w:rPr>
          <w:rFonts w:hint="eastAsia" w:ascii="宋体" w:hAnsi="宋体"/>
          <w:sz w:val="24"/>
          <w:highlight w:val="none"/>
        </w:rPr>
        <w:t>六</w:t>
      </w:r>
      <w:r>
        <w:rPr>
          <w:rFonts w:ascii="宋体" w:hAnsi="宋体"/>
          <w:sz w:val="24"/>
          <w:highlight w:val="none"/>
        </w:rPr>
        <w:t>）</w:t>
      </w:r>
      <w:r>
        <w:rPr>
          <w:rFonts w:hint="eastAsia" w:ascii="宋体" w:hAnsi="宋体"/>
          <w:sz w:val="24"/>
          <w:highlight w:val="none"/>
        </w:rPr>
        <w:t>如值班律师在提供法律援助办案过程中</w:t>
      </w:r>
      <w:r>
        <w:rPr>
          <w:rFonts w:ascii="宋体" w:hAnsi="宋体"/>
          <w:sz w:val="24"/>
          <w:highlight w:val="none"/>
        </w:rPr>
        <w:t>遇</w:t>
      </w:r>
      <w:r>
        <w:rPr>
          <w:rFonts w:hint="eastAsia" w:ascii="宋体" w:hAnsi="宋体"/>
          <w:sz w:val="24"/>
          <w:highlight w:val="none"/>
        </w:rPr>
        <w:t>有《法律援助法》第六章所列行为的，法援中心将</w:t>
      </w:r>
      <w:r>
        <w:rPr>
          <w:rFonts w:ascii="宋体" w:hAnsi="宋体"/>
          <w:sz w:val="24"/>
          <w:highlight w:val="none"/>
        </w:rPr>
        <w:t>依据</w:t>
      </w:r>
      <w:r>
        <w:rPr>
          <w:rFonts w:hint="eastAsia" w:ascii="宋体" w:hAnsi="宋体"/>
          <w:sz w:val="24"/>
          <w:highlight w:val="none"/>
        </w:rPr>
        <w:t>《法律援助法》</w:t>
      </w:r>
      <w:r>
        <w:rPr>
          <w:rFonts w:ascii="宋体" w:hAnsi="宋体"/>
          <w:sz w:val="24"/>
          <w:highlight w:val="none"/>
        </w:rPr>
        <w:t>相关条款给予</w:t>
      </w:r>
      <w:r>
        <w:rPr>
          <w:rFonts w:hint="eastAsia" w:ascii="宋体" w:hAnsi="宋体"/>
          <w:sz w:val="24"/>
          <w:highlight w:val="none"/>
        </w:rPr>
        <w:t>依法处</w:t>
      </w:r>
      <w:r>
        <w:rPr>
          <w:rFonts w:ascii="宋体" w:hAnsi="宋体"/>
          <w:sz w:val="24"/>
          <w:highlight w:val="none"/>
        </w:rPr>
        <w:t>理</w:t>
      </w:r>
      <w:r>
        <w:rPr>
          <w:rFonts w:hint="eastAsia" w:ascii="宋体" w:hAnsi="宋体"/>
          <w:sz w:val="24"/>
          <w:highlight w:val="none"/>
        </w:rPr>
        <w:t>。</w:t>
      </w:r>
    </w:p>
    <w:p w14:paraId="3F21DAC7">
      <w:pPr>
        <w:spacing w:line="360" w:lineRule="auto"/>
        <w:ind w:firstLine="480" w:firstLineChars="200"/>
        <w:rPr>
          <w:rFonts w:hint="eastAsia" w:ascii="宋体" w:hAnsi="宋体"/>
          <w:sz w:val="24"/>
          <w:highlight w:val="none"/>
        </w:rPr>
      </w:pPr>
      <w:r>
        <w:rPr>
          <w:rFonts w:ascii="宋体" w:hAnsi="宋体"/>
          <w:sz w:val="24"/>
          <w:highlight w:val="none"/>
        </w:rPr>
        <w:t>（</w:t>
      </w:r>
      <w:r>
        <w:rPr>
          <w:rFonts w:hint="eastAsia" w:ascii="宋体" w:hAnsi="宋体"/>
          <w:sz w:val="24"/>
          <w:highlight w:val="none"/>
        </w:rPr>
        <w:t>七</w:t>
      </w:r>
      <w:r>
        <w:rPr>
          <w:rFonts w:ascii="宋体" w:hAnsi="宋体"/>
          <w:sz w:val="24"/>
          <w:highlight w:val="none"/>
        </w:rPr>
        <w:t>）法援中心有权对法律</w:t>
      </w:r>
      <w:r>
        <w:rPr>
          <w:rFonts w:hint="eastAsia" w:ascii="宋体" w:hAnsi="宋体"/>
          <w:sz w:val="24"/>
          <w:highlight w:val="none"/>
        </w:rPr>
        <w:t>援助案件</w:t>
      </w:r>
      <w:r>
        <w:rPr>
          <w:rFonts w:ascii="宋体" w:hAnsi="宋体"/>
          <w:sz w:val="24"/>
          <w:highlight w:val="none"/>
        </w:rPr>
        <w:t>承办</w:t>
      </w:r>
      <w:r>
        <w:rPr>
          <w:rFonts w:hint="eastAsia" w:ascii="宋体" w:hAnsi="宋体"/>
          <w:sz w:val="24"/>
          <w:highlight w:val="none"/>
        </w:rPr>
        <w:t>律师</w:t>
      </w:r>
      <w:r>
        <w:rPr>
          <w:rFonts w:ascii="宋体" w:hAnsi="宋体"/>
          <w:sz w:val="24"/>
          <w:highlight w:val="none"/>
        </w:rPr>
        <w:t>办案过程和办案质量进行</w:t>
      </w:r>
      <w:r>
        <w:rPr>
          <w:rFonts w:hint="eastAsia" w:ascii="宋体" w:hAnsi="宋体"/>
          <w:sz w:val="24"/>
          <w:highlight w:val="none"/>
        </w:rPr>
        <w:t>监督</w:t>
      </w:r>
      <w:r>
        <w:rPr>
          <w:rFonts w:ascii="宋体" w:hAnsi="宋体"/>
          <w:sz w:val="24"/>
          <w:highlight w:val="none"/>
        </w:rPr>
        <w:t>指导，对</w:t>
      </w:r>
      <w:r>
        <w:rPr>
          <w:rFonts w:hint="eastAsia" w:ascii="宋体" w:hAnsi="宋体"/>
          <w:sz w:val="24"/>
          <w:highlight w:val="none"/>
        </w:rPr>
        <w:t>受援人投诉、公检法承办人员投诉、接受当事人表扬</w:t>
      </w:r>
      <w:r>
        <w:rPr>
          <w:rFonts w:ascii="宋体" w:hAnsi="宋体"/>
          <w:sz w:val="24"/>
          <w:highlight w:val="none"/>
        </w:rPr>
        <w:t>和</w:t>
      </w:r>
      <w:r>
        <w:rPr>
          <w:rFonts w:hint="eastAsia" w:ascii="宋体" w:hAnsi="宋体"/>
          <w:sz w:val="24"/>
          <w:highlight w:val="none"/>
        </w:rPr>
        <w:t>送锦旗等行为</w:t>
      </w:r>
      <w:r>
        <w:rPr>
          <w:rFonts w:ascii="宋体" w:hAnsi="宋体"/>
          <w:sz w:val="24"/>
          <w:highlight w:val="none"/>
        </w:rPr>
        <w:t>进行跟踪</w:t>
      </w:r>
      <w:r>
        <w:rPr>
          <w:rFonts w:hint="eastAsia" w:ascii="宋体" w:hAnsi="宋体"/>
          <w:sz w:val="24"/>
          <w:highlight w:val="none"/>
        </w:rPr>
        <w:t>记录，</w:t>
      </w:r>
      <w:r>
        <w:rPr>
          <w:rFonts w:ascii="宋体" w:hAnsi="宋体"/>
          <w:sz w:val="24"/>
          <w:highlight w:val="none"/>
        </w:rPr>
        <w:t>相关数据作为</w:t>
      </w:r>
      <w:r>
        <w:rPr>
          <w:rFonts w:hint="eastAsia" w:ascii="宋体" w:hAnsi="宋体"/>
          <w:sz w:val="24"/>
          <w:highlight w:val="none"/>
        </w:rPr>
        <w:t>年</w:t>
      </w:r>
      <w:r>
        <w:rPr>
          <w:rFonts w:ascii="宋体" w:hAnsi="宋体"/>
          <w:sz w:val="24"/>
          <w:highlight w:val="none"/>
        </w:rPr>
        <w:t>度</w:t>
      </w:r>
      <w:r>
        <w:rPr>
          <w:rFonts w:hint="eastAsia" w:ascii="宋体" w:hAnsi="宋体"/>
          <w:sz w:val="24"/>
          <w:highlight w:val="none"/>
        </w:rPr>
        <w:t>公共法律服务考核</w:t>
      </w:r>
      <w:r>
        <w:rPr>
          <w:rFonts w:ascii="宋体" w:hAnsi="宋体"/>
          <w:sz w:val="24"/>
          <w:highlight w:val="none"/>
        </w:rPr>
        <w:t>评估的重要依据。</w:t>
      </w:r>
    </w:p>
    <w:p w14:paraId="780A21EE">
      <w:pPr>
        <w:spacing w:line="360" w:lineRule="auto"/>
        <w:jc w:val="center"/>
        <w:outlineLvl w:val="0"/>
        <w:rPr>
          <w:b/>
          <w:sz w:val="36"/>
          <w:szCs w:val="36"/>
          <w:highlight w:val="none"/>
        </w:rPr>
      </w:pPr>
      <w:r>
        <w:rPr>
          <w:b/>
          <w:sz w:val="36"/>
          <w:szCs w:val="36"/>
          <w:highlight w:val="none"/>
        </w:rPr>
        <w:br w:type="page"/>
      </w:r>
      <w:bookmarkStart w:id="795" w:name="_Toc206523623"/>
      <w:r>
        <w:rPr>
          <w:b/>
          <w:sz w:val="36"/>
          <w:szCs w:val="36"/>
          <w:highlight w:val="none"/>
        </w:rPr>
        <w:t>第六章   拟签订的</w:t>
      </w:r>
      <w:r>
        <w:rPr>
          <w:rFonts w:hint="eastAsia"/>
          <w:b/>
          <w:sz w:val="36"/>
          <w:szCs w:val="36"/>
          <w:highlight w:val="none"/>
        </w:rPr>
        <w:t>框架协议</w:t>
      </w:r>
      <w:r>
        <w:rPr>
          <w:b/>
          <w:sz w:val="36"/>
          <w:szCs w:val="36"/>
          <w:highlight w:val="none"/>
        </w:rPr>
        <w:t>文本</w:t>
      </w:r>
      <w:bookmarkEnd w:id="795"/>
    </w:p>
    <w:p w14:paraId="664391A2">
      <w:pPr>
        <w:spacing w:line="360" w:lineRule="auto"/>
        <w:jc w:val="center"/>
        <w:rPr>
          <w:b/>
          <w:sz w:val="36"/>
          <w:szCs w:val="36"/>
          <w:highlight w:val="none"/>
        </w:rPr>
      </w:pPr>
      <w:bookmarkStart w:id="796" w:name="_Hlk167285151"/>
    </w:p>
    <w:p w14:paraId="3FBEBDCF">
      <w:pPr>
        <w:spacing w:line="360" w:lineRule="auto"/>
        <w:jc w:val="center"/>
        <w:rPr>
          <w:rFonts w:ascii="宋体" w:hAnsi="宋体" w:cs="宋体"/>
          <w:b/>
          <w:color w:val="000000"/>
          <w:sz w:val="32"/>
          <w:szCs w:val="32"/>
          <w:highlight w:val="none"/>
          <w:lang w:val="en"/>
        </w:rPr>
      </w:pPr>
      <w:r>
        <w:rPr>
          <w:b/>
          <w:sz w:val="36"/>
          <w:szCs w:val="36"/>
          <w:highlight w:val="none"/>
        </w:rPr>
        <w:br w:type="page"/>
      </w:r>
      <w:r>
        <w:rPr>
          <w:highlight w:val="none"/>
        </w:rPr>
        <w:t xml:space="preserve"> </w:t>
      </w:r>
      <w:r>
        <w:rPr>
          <w:rFonts w:hint="eastAsia" w:ascii="宋体" w:hAnsi="宋体" w:cs="宋体"/>
          <w:b/>
          <w:color w:val="000000"/>
          <w:sz w:val="32"/>
          <w:szCs w:val="32"/>
          <w:highlight w:val="none"/>
          <w:lang w:val="en"/>
        </w:rPr>
        <w:t>202</w:t>
      </w:r>
      <w:r>
        <w:rPr>
          <w:rFonts w:hint="eastAsia" w:ascii="宋体" w:hAnsi="宋体" w:cs="宋体"/>
          <w:b/>
          <w:color w:val="000000"/>
          <w:sz w:val="32"/>
          <w:szCs w:val="32"/>
          <w:highlight w:val="none"/>
        </w:rPr>
        <w:t>7</w:t>
      </w:r>
      <w:r>
        <w:rPr>
          <w:rFonts w:hint="eastAsia" w:ascii="宋体" w:hAnsi="宋体" w:cs="宋体"/>
          <w:b/>
          <w:color w:val="000000"/>
          <w:sz w:val="32"/>
          <w:szCs w:val="32"/>
          <w:highlight w:val="none"/>
          <w:lang w:val="en"/>
        </w:rPr>
        <w:t>年法律援助补贴</w:t>
      </w:r>
    </w:p>
    <w:p w14:paraId="5CAD81E1">
      <w:pPr>
        <w:spacing w:line="360" w:lineRule="auto"/>
        <w:jc w:val="center"/>
        <w:rPr>
          <w:rFonts w:ascii="宋体" w:hAnsi="宋体" w:cs="宋体"/>
          <w:color w:val="000000"/>
          <w:sz w:val="24"/>
          <w:highlight w:val="none"/>
        </w:rPr>
      </w:pPr>
      <w:r>
        <w:rPr>
          <w:rFonts w:hint="eastAsia" w:ascii="宋体" w:hAnsi="宋体" w:cs="宋体"/>
          <w:b/>
          <w:color w:val="000000"/>
          <w:sz w:val="32"/>
          <w:szCs w:val="32"/>
          <w:highlight w:val="none"/>
        </w:rPr>
        <w:t>封闭式框架协议</w:t>
      </w:r>
    </w:p>
    <w:p w14:paraId="34A70E47">
      <w:pPr>
        <w:spacing w:line="360" w:lineRule="auto"/>
        <w:rPr>
          <w:rFonts w:ascii="宋体" w:hAnsi="宋体" w:cs="宋体"/>
          <w:color w:val="000000"/>
          <w:sz w:val="24"/>
          <w:highlight w:val="none"/>
        </w:rPr>
      </w:pPr>
      <w:r>
        <w:rPr>
          <w:rFonts w:hint="eastAsia" w:ascii="宋体" w:hAnsi="宋体" w:cs="宋体"/>
          <w:color w:val="000000"/>
          <w:sz w:val="24"/>
          <w:highlight w:val="none"/>
        </w:rPr>
        <w:t xml:space="preserve">                                                          </w:t>
      </w:r>
    </w:p>
    <w:p w14:paraId="00AD60E4">
      <w:pPr>
        <w:spacing w:line="360" w:lineRule="auto"/>
        <w:rPr>
          <w:rFonts w:ascii="宋体" w:hAnsi="宋体" w:cs="宋体"/>
          <w:color w:val="000000"/>
          <w:sz w:val="24"/>
          <w:highlight w:val="none"/>
          <w:u w:val="single"/>
        </w:rPr>
      </w:pPr>
      <w:r>
        <w:rPr>
          <w:rFonts w:hint="eastAsia" w:ascii="宋体" w:hAnsi="宋体" w:cs="宋体"/>
          <w:b/>
          <w:bCs/>
          <w:color w:val="000000"/>
          <w:sz w:val="24"/>
          <w:highlight w:val="none"/>
        </w:rPr>
        <w:t>征集人（甲方）：</w:t>
      </w:r>
      <w:r>
        <w:rPr>
          <w:rFonts w:hint="eastAsia" w:ascii="宋体" w:hAnsi="宋体" w:cs="宋体"/>
          <w:color w:val="000000"/>
          <w:sz w:val="24"/>
          <w:highlight w:val="none"/>
          <w:u w:val="single"/>
        </w:rPr>
        <w:t>北京市大兴区司法局</w:t>
      </w:r>
    </w:p>
    <w:p w14:paraId="6402994A">
      <w:pPr>
        <w:spacing w:line="360" w:lineRule="auto"/>
        <w:rPr>
          <w:rFonts w:ascii="宋体" w:hAnsi="宋体" w:cs="宋体"/>
          <w:b/>
          <w:bCs/>
          <w:color w:val="000000"/>
          <w:sz w:val="24"/>
          <w:highlight w:val="none"/>
          <w:u w:val="single"/>
        </w:rPr>
      </w:pPr>
      <w:r>
        <w:rPr>
          <w:rFonts w:hint="eastAsia" w:ascii="宋体" w:hAnsi="宋体" w:cs="宋体"/>
          <w:b/>
          <w:bCs/>
          <w:color w:val="000000"/>
          <w:sz w:val="24"/>
          <w:highlight w:val="none"/>
        </w:rPr>
        <w:t>入围供应商（乙方）：</w:t>
      </w:r>
      <w:r>
        <w:rPr>
          <w:rFonts w:hint="eastAsia" w:ascii="宋体" w:hAnsi="宋体" w:cs="宋体"/>
          <w:b/>
          <w:bCs/>
          <w:color w:val="000000"/>
          <w:sz w:val="24"/>
          <w:highlight w:val="none"/>
          <w:u w:val="single"/>
        </w:rPr>
        <w:t xml:space="preserve">              </w:t>
      </w:r>
    </w:p>
    <w:p w14:paraId="3F1937B4">
      <w:pPr>
        <w:spacing w:line="360" w:lineRule="auto"/>
        <w:rPr>
          <w:rFonts w:ascii="宋体" w:hAnsi="宋体" w:cs="宋体"/>
          <w:color w:val="000000"/>
          <w:sz w:val="24"/>
          <w:highlight w:val="none"/>
        </w:rPr>
      </w:pPr>
      <w:r>
        <w:rPr>
          <w:rFonts w:hint="eastAsia" w:ascii="宋体" w:hAnsi="宋体" w:cs="宋体"/>
          <w:color w:val="000000"/>
          <w:sz w:val="24"/>
          <w:highlight w:val="none"/>
        </w:rPr>
        <w:t xml:space="preserve">    鉴于甲方开展</w:t>
      </w:r>
      <w:r>
        <w:rPr>
          <w:rFonts w:ascii="宋体" w:hAnsi="宋体" w:cs="宋体"/>
          <w:color w:val="000000"/>
          <w:sz w:val="24"/>
          <w:highlight w:val="none"/>
          <w:lang w:val="en"/>
        </w:rPr>
        <w:t>202</w:t>
      </w:r>
      <w:r>
        <w:rPr>
          <w:rFonts w:hint="eastAsia" w:ascii="宋体" w:hAnsi="宋体" w:cs="宋体"/>
          <w:color w:val="000000"/>
          <w:sz w:val="24"/>
          <w:highlight w:val="none"/>
        </w:rPr>
        <w:t>7</w:t>
      </w:r>
      <w:r>
        <w:rPr>
          <w:rFonts w:ascii="宋体" w:hAnsi="宋体" w:cs="宋体"/>
          <w:color w:val="000000"/>
          <w:sz w:val="24"/>
          <w:highlight w:val="none"/>
          <w:lang w:val="en"/>
        </w:rPr>
        <w:t>年法律援助补贴</w:t>
      </w:r>
      <w:r>
        <w:rPr>
          <w:rFonts w:hint="eastAsia" w:ascii="宋体" w:hAnsi="宋体" w:cs="宋体"/>
          <w:color w:val="000000"/>
          <w:sz w:val="24"/>
          <w:highlight w:val="none"/>
        </w:rPr>
        <w:t>封闭式框架采购项目（项目编号：</w:t>
      </w:r>
      <w:r>
        <w:rPr>
          <w:rFonts w:ascii="宋体" w:hAnsi="宋体" w:cs="宋体"/>
          <w:color w:val="000000"/>
          <w:sz w:val="24"/>
          <w:highlight w:val="none"/>
          <w:u w:val="single"/>
          <w:lang w:val="en"/>
        </w:rPr>
        <w:t xml:space="preserve">    </w:t>
      </w:r>
      <w:r>
        <w:rPr>
          <w:rFonts w:hint="eastAsia" w:ascii="宋体" w:hAnsi="宋体" w:cs="宋体"/>
          <w:color w:val="000000"/>
          <w:sz w:val="24"/>
          <w:highlight w:val="none"/>
        </w:rPr>
        <w:t xml:space="preserve">）已完成公开征集、评审及入围结果公示；双方根据《中华人民共和国民法典》《中华人民共和国政府采购法》《中华人民共和国政府采购法实施条例》《政府采购框架协议采购方式管理暂行办法》《中华人民共和国律师法》《北京市法律援助条例》等相关法律、法规、规章要求，双方经协商，达成以下条款： </w:t>
      </w:r>
    </w:p>
    <w:p w14:paraId="42556B40">
      <w:pPr>
        <w:spacing w:line="360" w:lineRule="auto"/>
        <w:ind w:firstLine="480"/>
        <w:rPr>
          <w:rFonts w:ascii="宋体" w:hAnsi="宋体" w:cs="宋体"/>
          <w:color w:val="000000"/>
          <w:sz w:val="24"/>
          <w:highlight w:val="none"/>
        </w:rPr>
      </w:pPr>
      <w:r>
        <w:rPr>
          <w:rFonts w:hint="eastAsia" w:ascii="宋体" w:hAnsi="宋体" w:cs="宋体"/>
          <w:b/>
          <w:bCs/>
          <w:color w:val="000000"/>
          <w:sz w:val="24"/>
          <w:highlight w:val="none"/>
        </w:rPr>
        <w:t>第一条</w:t>
      </w:r>
      <w:r>
        <w:rPr>
          <w:rFonts w:hint="eastAsia" w:ascii="宋体" w:hAnsi="宋体" w:cs="宋体"/>
          <w:color w:val="000000"/>
          <w:sz w:val="24"/>
          <w:highlight w:val="none"/>
        </w:rPr>
        <w:t xml:space="preserve"> 协议有效期为自</w:t>
      </w:r>
      <w:r>
        <w:rPr>
          <w:rFonts w:ascii="宋体" w:hAnsi="宋体" w:cs="宋体"/>
          <w:color w:val="000000"/>
          <w:sz w:val="24"/>
          <w:highlight w:val="none"/>
          <w:u w:val="single"/>
        </w:rPr>
        <w:t xml:space="preserve">    </w:t>
      </w:r>
      <w:r>
        <w:rPr>
          <w:rFonts w:hint="eastAsia" w:ascii="宋体" w:hAnsi="宋体" w:cs="宋体"/>
          <w:color w:val="000000"/>
          <w:sz w:val="24"/>
          <w:highlight w:val="none"/>
        </w:rPr>
        <w:t>年</w:t>
      </w:r>
      <w:r>
        <w:rPr>
          <w:rFonts w:ascii="宋体" w:hAnsi="宋体" w:cs="宋体"/>
          <w:color w:val="000000"/>
          <w:sz w:val="24"/>
          <w:highlight w:val="none"/>
          <w:u w:val="single"/>
        </w:rPr>
        <w:t xml:space="preserve">   </w:t>
      </w:r>
      <w:r>
        <w:rPr>
          <w:rFonts w:hint="eastAsia" w:ascii="宋体" w:hAnsi="宋体" w:cs="宋体"/>
          <w:color w:val="000000"/>
          <w:sz w:val="24"/>
          <w:highlight w:val="none"/>
        </w:rPr>
        <w:t>月</w:t>
      </w:r>
      <w:r>
        <w:rPr>
          <w:rFonts w:ascii="宋体" w:hAnsi="宋体" w:cs="宋体"/>
          <w:color w:val="000000"/>
          <w:sz w:val="24"/>
          <w:highlight w:val="none"/>
          <w:u w:val="single"/>
        </w:rPr>
        <w:t xml:space="preserve">   </w:t>
      </w:r>
      <w:r>
        <w:rPr>
          <w:rFonts w:hint="eastAsia" w:ascii="宋体" w:hAnsi="宋体" w:cs="宋体"/>
          <w:color w:val="000000"/>
          <w:sz w:val="24"/>
          <w:highlight w:val="none"/>
        </w:rPr>
        <w:t>日起至</w:t>
      </w:r>
      <w:r>
        <w:rPr>
          <w:rFonts w:ascii="宋体" w:hAnsi="宋体" w:cs="宋体"/>
          <w:color w:val="000000"/>
          <w:sz w:val="24"/>
          <w:highlight w:val="none"/>
          <w:u w:val="single"/>
        </w:rPr>
        <w:t xml:space="preserve">    </w:t>
      </w:r>
      <w:r>
        <w:rPr>
          <w:rFonts w:hint="eastAsia" w:ascii="宋体" w:hAnsi="宋体" w:cs="宋体"/>
          <w:color w:val="000000"/>
          <w:sz w:val="24"/>
          <w:highlight w:val="none"/>
        </w:rPr>
        <w:t>年</w:t>
      </w:r>
      <w:r>
        <w:rPr>
          <w:rFonts w:ascii="宋体" w:hAnsi="宋体" w:cs="宋体"/>
          <w:color w:val="000000"/>
          <w:sz w:val="24"/>
          <w:highlight w:val="none"/>
          <w:u w:val="single"/>
        </w:rPr>
        <w:t xml:space="preserve">   </w:t>
      </w:r>
      <w:r>
        <w:rPr>
          <w:rFonts w:hint="eastAsia" w:ascii="宋体" w:hAnsi="宋体" w:cs="宋体"/>
          <w:color w:val="000000"/>
          <w:sz w:val="24"/>
          <w:highlight w:val="none"/>
        </w:rPr>
        <w:t>月</w:t>
      </w:r>
      <w:r>
        <w:rPr>
          <w:rFonts w:ascii="宋体" w:hAnsi="宋体" w:cs="宋体"/>
          <w:color w:val="000000"/>
          <w:sz w:val="24"/>
          <w:highlight w:val="none"/>
          <w:u w:val="single"/>
        </w:rPr>
        <w:t xml:space="preserve">   </w:t>
      </w:r>
      <w:r>
        <w:rPr>
          <w:rFonts w:hint="eastAsia" w:ascii="宋体" w:hAnsi="宋体" w:cs="宋体"/>
          <w:color w:val="000000"/>
          <w:sz w:val="24"/>
          <w:highlight w:val="none"/>
        </w:rPr>
        <w:t>日止。协议期内，乙方应遵守本项目征集文件的要求，履行响应文件的承诺，及时向采购人提供优质服务，不得提出本协议书内容之外的任何不利于采购人的附加条件。</w:t>
      </w:r>
    </w:p>
    <w:p w14:paraId="16A71745">
      <w:pPr>
        <w:spacing w:line="360" w:lineRule="auto"/>
        <w:ind w:firstLine="480"/>
        <w:rPr>
          <w:rFonts w:ascii="宋体" w:hAnsi="宋体" w:cs="宋体"/>
          <w:color w:val="000000"/>
          <w:sz w:val="24"/>
          <w:highlight w:val="none"/>
        </w:rPr>
      </w:pPr>
      <w:r>
        <w:rPr>
          <w:rFonts w:hint="eastAsia" w:ascii="宋体" w:hAnsi="宋体" w:cs="宋体"/>
          <w:color w:val="000000"/>
          <w:sz w:val="24"/>
          <w:highlight w:val="none"/>
        </w:rPr>
        <w:t xml:space="preserve">协议存续期间，乙方应当全程保持符合本项目采购资格条件，资格灭失的，甲方有权单方解除协议并清退。 </w:t>
      </w:r>
    </w:p>
    <w:p w14:paraId="0E68F6AF">
      <w:pPr>
        <w:spacing w:line="360" w:lineRule="auto"/>
        <w:ind w:firstLine="472" w:firstLineChars="196"/>
        <w:rPr>
          <w:rFonts w:ascii="宋体" w:hAnsi="宋体" w:cs="宋体"/>
          <w:color w:val="000000"/>
          <w:sz w:val="24"/>
          <w:highlight w:val="none"/>
        </w:rPr>
      </w:pPr>
      <w:r>
        <w:rPr>
          <w:rFonts w:hint="eastAsia" w:ascii="宋体" w:hAnsi="宋体" w:cs="宋体"/>
          <w:b/>
          <w:bCs/>
          <w:color w:val="000000"/>
          <w:sz w:val="24"/>
          <w:highlight w:val="none"/>
        </w:rPr>
        <w:t>第二条</w:t>
      </w:r>
      <w:r>
        <w:rPr>
          <w:rFonts w:hint="eastAsia" w:ascii="宋体" w:hAnsi="宋体" w:cs="宋体"/>
          <w:color w:val="000000"/>
          <w:sz w:val="24"/>
          <w:highlight w:val="none"/>
        </w:rPr>
        <w:t xml:space="preserve"> 采购人范围：</w:t>
      </w:r>
      <w:r>
        <w:rPr>
          <w:rFonts w:hint="eastAsia" w:ascii="宋体" w:hAnsi="宋体" w:cs="宋体"/>
          <w:color w:val="000000"/>
          <w:kern w:val="0"/>
          <w:sz w:val="24"/>
          <w:highlight w:val="none"/>
          <w:u w:val="single"/>
        </w:rPr>
        <w:t>北京市大兴区法律援助中心</w:t>
      </w:r>
      <w:r>
        <w:rPr>
          <w:rFonts w:ascii="宋体" w:hAnsi="宋体" w:cs="宋体"/>
          <w:color w:val="000000"/>
          <w:sz w:val="24"/>
          <w:highlight w:val="none"/>
        </w:rPr>
        <w:t>。</w:t>
      </w:r>
    </w:p>
    <w:p w14:paraId="1006F192">
      <w:pPr>
        <w:spacing w:line="360" w:lineRule="auto"/>
        <w:ind w:firstLine="472" w:firstLineChars="196"/>
        <w:rPr>
          <w:rFonts w:ascii="宋体" w:hAnsi="宋体" w:cs="宋体"/>
          <w:b/>
          <w:bCs/>
          <w:color w:val="000000"/>
          <w:sz w:val="24"/>
          <w:highlight w:val="none"/>
        </w:rPr>
      </w:pPr>
      <w:r>
        <w:rPr>
          <w:rFonts w:hint="eastAsia" w:ascii="宋体" w:hAnsi="宋体" w:cs="宋体"/>
          <w:b/>
          <w:bCs/>
          <w:color w:val="000000"/>
          <w:sz w:val="24"/>
          <w:highlight w:val="none"/>
        </w:rPr>
        <w:t xml:space="preserve">第三条 </w:t>
      </w:r>
      <w:r>
        <w:rPr>
          <w:rFonts w:hint="eastAsia" w:ascii="宋体" w:hAnsi="宋体" w:cs="宋体"/>
          <w:color w:val="000000"/>
          <w:sz w:val="24"/>
          <w:highlight w:val="none"/>
        </w:rPr>
        <w:t>确定第二阶段成交供应商的方式：</w:t>
      </w:r>
      <w:r>
        <w:rPr>
          <w:rFonts w:hint="eastAsia" w:ascii="宋体" w:hAnsi="宋体" w:cs="宋体"/>
          <w:color w:val="000000"/>
          <w:sz w:val="24"/>
          <w:highlight w:val="none"/>
          <w:u w:val="single"/>
        </w:rPr>
        <w:t>由采购人依据入围服务质量以及服务便利性、用户评价等因素，从第一阶段入围供应商中直接选定</w:t>
      </w:r>
      <w:r>
        <w:rPr>
          <w:rFonts w:hint="eastAsia" w:ascii="宋体" w:hAnsi="宋体" w:cs="宋体"/>
          <w:color w:val="000000"/>
          <w:sz w:val="24"/>
          <w:highlight w:val="none"/>
        </w:rPr>
        <w:t>。</w:t>
      </w:r>
    </w:p>
    <w:p w14:paraId="26FF086F">
      <w:pPr>
        <w:spacing w:line="360" w:lineRule="auto"/>
        <w:ind w:firstLine="472" w:firstLineChars="196"/>
        <w:rPr>
          <w:rFonts w:ascii="宋体" w:hAnsi="宋体" w:cs="宋体"/>
          <w:b/>
          <w:bCs/>
          <w:color w:val="000000"/>
          <w:sz w:val="24"/>
          <w:highlight w:val="none"/>
        </w:rPr>
      </w:pPr>
      <w:r>
        <w:rPr>
          <w:rFonts w:hint="eastAsia" w:ascii="宋体" w:hAnsi="宋体" w:cs="宋体"/>
          <w:b/>
          <w:bCs/>
          <w:color w:val="000000"/>
          <w:sz w:val="24"/>
          <w:highlight w:val="none"/>
        </w:rPr>
        <w:t>第四条</w:t>
      </w:r>
      <w:r>
        <w:rPr>
          <w:rFonts w:hint="eastAsia" w:ascii="宋体" w:hAnsi="宋体" w:cs="宋体"/>
          <w:color w:val="000000"/>
          <w:sz w:val="24"/>
          <w:highlight w:val="none"/>
        </w:rPr>
        <w:t xml:space="preserve"> 服务内容：</w:t>
      </w:r>
      <w:r>
        <w:rPr>
          <w:rFonts w:hint="eastAsia" w:ascii="宋体" w:hAnsi="宋体" w:cs="宋体"/>
          <w:color w:val="000000"/>
          <w:sz w:val="24"/>
          <w:highlight w:val="none"/>
          <w:u w:val="single"/>
        </w:rPr>
        <w:t>法律援助接待大厅值班工作、法律援助工作站值班工作、大兴区社会治安综合治理中心值班工作、北京市12348公共法律服务热线平台值班工作，解答法律咨询、代写法律文书、法律援助案件代理（辩护）、举办法律知识讲座提供法律咨询服务及参加其它法律援助服务工作等</w:t>
      </w:r>
      <w:r>
        <w:rPr>
          <w:rFonts w:hint="eastAsia" w:ascii="宋体" w:hAnsi="宋体" w:cs="宋体"/>
          <w:color w:val="000000"/>
          <w:sz w:val="24"/>
          <w:highlight w:val="none"/>
        </w:rPr>
        <w:t>。</w:t>
      </w:r>
    </w:p>
    <w:p w14:paraId="2A993260">
      <w:pPr>
        <w:spacing w:line="360" w:lineRule="auto"/>
        <w:ind w:firstLine="472" w:firstLineChars="196"/>
        <w:rPr>
          <w:rFonts w:ascii="宋体" w:hAnsi="宋体" w:cs="宋体"/>
          <w:color w:val="000000"/>
          <w:sz w:val="24"/>
          <w:highlight w:val="none"/>
        </w:rPr>
      </w:pPr>
      <w:r>
        <w:rPr>
          <w:rFonts w:hint="eastAsia" w:ascii="宋体" w:hAnsi="宋体" w:cs="宋体"/>
          <w:b/>
          <w:bCs/>
          <w:color w:val="000000"/>
          <w:sz w:val="24"/>
          <w:highlight w:val="none"/>
        </w:rPr>
        <w:t>第五条</w:t>
      </w:r>
      <w:r>
        <w:rPr>
          <w:rFonts w:hint="eastAsia" w:ascii="宋体" w:hAnsi="宋体" w:cs="宋体"/>
          <w:color w:val="000000"/>
          <w:sz w:val="24"/>
          <w:highlight w:val="none"/>
        </w:rPr>
        <w:t xml:space="preserve"> 服务依据：</w:t>
      </w:r>
    </w:p>
    <w:p w14:paraId="3C24817D">
      <w:pPr>
        <w:spacing w:line="360" w:lineRule="auto"/>
        <w:ind w:firstLine="470" w:firstLineChars="196"/>
        <w:rPr>
          <w:rFonts w:ascii="宋体" w:hAnsi="宋体" w:cs="宋体"/>
          <w:color w:val="000000"/>
          <w:sz w:val="24"/>
          <w:highlight w:val="none"/>
        </w:rPr>
      </w:pPr>
      <w:r>
        <w:rPr>
          <w:rFonts w:hint="eastAsia" w:ascii="宋体" w:hAnsi="宋体" w:cs="宋体"/>
          <w:color w:val="000000"/>
          <w:sz w:val="24"/>
          <w:highlight w:val="none"/>
        </w:rPr>
        <w:t>1、根据《中华人民共和国法律援助法》《中华人民共和国刑事诉讼法》《中华人民共和国律师法》《北京市法律援助条例》《北京市法律援助补贴办法》（京司发〔2018〕86号）以及关于调整法律援助补贴发放有关事项的通知（京司法[2023]27号）、关于印发《法律援助法实施工作方法》的通知（司发通[2023]687号）《关于加强法律援助案件质量管理的意见》（京司发〔2023〕28号）等的有关要求提供法律援助服务，具体数量由大兴区法律援助中心进行统一安排。</w:t>
      </w:r>
    </w:p>
    <w:p w14:paraId="0AB324B5">
      <w:pPr>
        <w:spacing w:line="360" w:lineRule="auto"/>
        <w:ind w:firstLine="470" w:firstLineChars="196"/>
        <w:rPr>
          <w:rFonts w:ascii="宋体" w:hAnsi="宋体" w:cs="宋体"/>
          <w:color w:val="000000"/>
          <w:sz w:val="24"/>
          <w:highlight w:val="none"/>
        </w:rPr>
      </w:pPr>
      <w:r>
        <w:rPr>
          <w:rFonts w:hint="eastAsia" w:ascii="宋体" w:hAnsi="宋体" w:cs="宋体"/>
          <w:color w:val="000000"/>
          <w:sz w:val="24"/>
          <w:highlight w:val="none"/>
        </w:rPr>
        <w:t>2、本项目征集文件各项要求和规定；</w:t>
      </w:r>
    </w:p>
    <w:p w14:paraId="0340385B">
      <w:pPr>
        <w:spacing w:line="360" w:lineRule="auto"/>
        <w:ind w:firstLine="470" w:firstLineChars="196"/>
        <w:rPr>
          <w:rFonts w:ascii="宋体" w:hAnsi="宋体" w:cs="宋体"/>
          <w:b/>
          <w:bCs/>
          <w:color w:val="000000"/>
          <w:sz w:val="24"/>
          <w:highlight w:val="none"/>
        </w:rPr>
      </w:pPr>
      <w:r>
        <w:rPr>
          <w:rFonts w:hint="eastAsia" w:ascii="宋体" w:hAnsi="宋体" w:cs="宋体"/>
          <w:color w:val="000000"/>
          <w:sz w:val="24"/>
          <w:highlight w:val="none"/>
        </w:rPr>
        <w:t>3、采购人相关委托要求。</w:t>
      </w:r>
    </w:p>
    <w:p w14:paraId="2B1F22AB">
      <w:pPr>
        <w:autoSpaceDE w:val="0"/>
        <w:autoSpaceDN w:val="0"/>
        <w:spacing w:line="360" w:lineRule="auto"/>
        <w:ind w:firstLine="482" w:firstLineChars="200"/>
        <w:rPr>
          <w:rFonts w:ascii="宋体" w:hAnsi="宋体" w:cs="宋体"/>
          <w:color w:val="000000"/>
          <w:sz w:val="24"/>
          <w:highlight w:val="none"/>
        </w:rPr>
      </w:pPr>
      <w:r>
        <w:rPr>
          <w:rFonts w:hint="eastAsia" w:ascii="宋体" w:hAnsi="宋体" w:cs="宋体"/>
          <w:b/>
          <w:bCs/>
          <w:color w:val="000000"/>
          <w:sz w:val="24"/>
          <w:highlight w:val="none"/>
        </w:rPr>
        <w:t>第六条</w:t>
      </w:r>
      <w:r>
        <w:rPr>
          <w:rFonts w:hint="eastAsia" w:ascii="宋体" w:hAnsi="宋体" w:cs="宋体"/>
          <w:color w:val="000000"/>
          <w:sz w:val="24"/>
          <w:highlight w:val="none"/>
        </w:rPr>
        <w:t xml:space="preserve"> 乙方应遵守以下服务标准：</w:t>
      </w:r>
    </w:p>
    <w:p w14:paraId="0BFFAB37">
      <w:pPr>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1、法律服务机构应具备办理刑事、民事及行政法律援助案件的专业资质和能力。</w:t>
      </w:r>
    </w:p>
    <w:p w14:paraId="4A90898C">
      <w:pPr>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2、法律服务机构应具备专门工作人员负责法律援助案件的接收分配，负责统一使用北京市法律援助信息管理系统进行案件信息上传，负责每月向大兴区司法局法援中心报送法律援助案例，负责法律援助案件结案等工作。</w:t>
      </w:r>
    </w:p>
    <w:p w14:paraId="66A7C700">
      <w:pPr>
        <w:spacing w:line="360" w:lineRule="auto"/>
        <w:ind w:firstLine="480" w:firstLineChars="200"/>
        <w:rPr>
          <w:rFonts w:ascii="宋体" w:hAnsi="宋体" w:cs="宋体"/>
          <w:color w:val="000000"/>
          <w:sz w:val="24"/>
          <w:highlight w:val="none"/>
        </w:rPr>
      </w:pPr>
      <w:r>
        <w:rPr>
          <w:rFonts w:ascii="宋体" w:hAnsi="宋体" w:cs="宋体"/>
          <w:color w:val="000000"/>
          <w:sz w:val="24"/>
          <w:highlight w:val="none"/>
        </w:rPr>
        <w:t>3、</w:t>
      </w:r>
      <w:r>
        <w:rPr>
          <w:rFonts w:hint="eastAsia" w:ascii="宋体" w:hAnsi="宋体" w:cs="宋体"/>
          <w:color w:val="000000"/>
          <w:sz w:val="24"/>
          <w:highlight w:val="none"/>
        </w:rPr>
        <w:t>法律援助人员在办理法律援助案件的过程中，应当依法履行职责，通过和解、调解、申请仲裁、提起诉讼等多种方式，及时为受援人提供符合标准的法律援助服务，努力维护法律公正和受援人合法权益，维护社会稳定。</w:t>
      </w:r>
    </w:p>
    <w:p w14:paraId="6DEAEC05">
      <w:pPr>
        <w:spacing w:line="360" w:lineRule="auto"/>
        <w:ind w:firstLine="480" w:firstLineChars="200"/>
        <w:rPr>
          <w:rFonts w:ascii="宋体" w:hAnsi="宋体" w:cs="宋体"/>
          <w:color w:val="000000"/>
          <w:sz w:val="24"/>
          <w:highlight w:val="none"/>
        </w:rPr>
      </w:pPr>
      <w:r>
        <w:rPr>
          <w:rFonts w:ascii="宋体" w:hAnsi="宋体" w:cs="宋体"/>
          <w:color w:val="000000"/>
          <w:sz w:val="24"/>
          <w:highlight w:val="none"/>
        </w:rPr>
        <w:t>4、</w:t>
      </w:r>
      <w:r>
        <w:rPr>
          <w:rFonts w:hint="eastAsia" w:ascii="宋体" w:hAnsi="宋体" w:cs="宋体"/>
          <w:color w:val="000000"/>
          <w:sz w:val="24"/>
          <w:highlight w:val="none"/>
        </w:rPr>
        <w:t>法律援助人员应当按法律规定的时限，在受委托的权限内积极履行代理或辩护职责，依法最大限度维护受援人合法权益，禁止越权办案。</w:t>
      </w:r>
    </w:p>
    <w:p w14:paraId="4E1D156D">
      <w:pPr>
        <w:spacing w:line="360" w:lineRule="auto"/>
        <w:ind w:firstLine="480" w:firstLineChars="200"/>
        <w:rPr>
          <w:rFonts w:ascii="宋体" w:hAnsi="宋体" w:cs="宋体"/>
          <w:color w:val="000000"/>
          <w:sz w:val="24"/>
          <w:highlight w:val="none"/>
        </w:rPr>
      </w:pPr>
      <w:r>
        <w:rPr>
          <w:rFonts w:ascii="宋体" w:hAnsi="宋体" w:cs="宋体"/>
          <w:color w:val="000000"/>
          <w:sz w:val="24"/>
          <w:highlight w:val="none"/>
        </w:rPr>
        <w:t>5、</w:t>
      </w:r>
      <w:r>
        <w:rPr>
          <w:rFonts w:hint="eastAsia" w:ascii="宋体" w:hAnsi="宋体" w:cs="宋体"/>
          <w:color w:val="000000"/>
          <w:sz w:val="24"/>
          <w:highlight w:val="none"/>
        </w:rPr>
        <w:t>严格遵守服务时间，严禁出现迟到、早退，无故离岗等情况，不得从事与工作无关的活动。</w:t>
      </w:r>
    </w:p>
    <w:p w14:paraId="3276F4ED">
      <w:pPr>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6、在来电、来访、刑事法律帮助等值班咨询过程中态度热情，解答认真，有问必答，严禁出现不耐烦、教训、讽刺、侮辱、辱骂当事人的情况。</w:t>
      </w:r>
    </w:p>
    <w:p w14:paraId="6BF00052">
      <w:pPr>
        <w:spacing w:line="360" w:lineRule="auto"/>
        <w:ind w:firstLine="480" w:firstLineChars="200"/>
        <w:rPr>
          <w:rFonts w:ascii="宋体" w:hAnsi="宋体" w:cs="宋体"/>
          <w:color w:val="000000"/>
          <w:sz w:val="24"/>
          <w:highlight w:val="none"/>
        </w:rPr>
      </w:pPr>
      <w:r>
        <w:rPr>
          <w:rFonts w:ascii="宋体" w:hAnsi="宋体" w:cs="宋体"/>
          <w:color w:val="000000"/>
          <w:sz w:val="24"/>
          <w:highlight w:val="none"/>
        </w:rPr>
        <w:t>7、</w:t>
      </w:r>
      <w:r>
        <w:rPr>
          <w:rFonts w:hint="eastAsia" w:ascii="宋体" w:hAnsi="宋体" w:cs="宋体"/>
          <w:color w:val="000000"/>
          <w:sz w:val="24"/>
          <w:highlight w:val="none"/>
        </w:rPr>
        <w:t>积极主动完成工作任务，勤勉敬业。保证本机构在服务周期内12348坐席接听满意率不低于99.7%，大厅接待来访咨询投诉率低于1%，具体情况以相关协议为准。</w:t>
      </w:r>
    </w:p>
    <w:p w14:paraId="28D9BD8F">
      <w:pPr>
        <w:spacing w:line="360" w:lineRule="auto"/>
        <w:ind w:firstLine="480" w:firstLineChars="200"/>
        <w:rPr>
          <w:rFonts w:ascii="宋体" w:hAnsi="宋体" w:cs="宋体"/>
          <w:color w:val="000000"/>
          <w:sz w:val="24"/>
          <w:highlight w:val="none"/>
        </w:rPr>
      </w:pPr>
      <w:r>
        <w:rPr>
          <w:rFonts w:ascii="宋体" w:hAnsi="宋体" w:cs="宋体"/>
          <w:color w:val="000000"/>
          <w:sz w:val="24"/>
          <w:highlight w:val="none"/>
        </w:rPr>
        <w:t>8、</w:t>
      </w:r>
      <w:r>
        <w:rPr>
          <w:rFonts w:hint="eastAsia" w:ascii="宋体" w:hAnsi="宋体" w:cs="宋体"/>
          <w:color w:val="000000"/>
          <w:sz w:val="24"/>
          <w:highlight w:val="none"/>
        </w:rPr>
        <w:t>定期向大兴区法律援助中心报送法律援助案例。</w:t>
      </w:r>
    </w:p>
    <w:p w14:paraId="0773A1B6">
      <w:pPr>
        <w:spacing w:line="360" w:lineRule="auto"/>
        <w:ind w:firstLine="480" w:firstLineChars="200"/>
        <w:rPr>
          <w:rFonts w:ascii="宋体" w:hAnsi="宋体" w:cs="宋体"/>
          <w:color w:val="000000"/>
          <w:sz w:val="24"/>
          <w:highlight w:val="none"/>
        </w:rPr>
      </w:pPr>
      <w:r>
        <w:rPr>
          <w:rFonts w:ascii="宋体" w:hAnsi="宋体" w:cs="宋体"/>
          <w:color w:val="000000"/>
          <w:sz w:val="24"/>
          <w:highlight w:val="none"/>
        </w:rPr>
        <w:t>9、</w:t>
      </w:r>
      <w:r>
        <w:rPr>
          <w:rFonts w:hint="eastAsia" w:ascii="宋体" w:hAnsi="宋体" w:cs="宋体"/>
          <w:color w:val="000000"/>
          <w:sz w:val="24"/>
          <w:highlight w:val="none"/>
        </w:rPr>
        <w:t>法律援助人员应当保守在办理法律援助案件中知悉的国家秘密、商业秘密，不得泄露当事人隐私；不得索取、收受任何财物或牟取不当利益；不得无正当理由拒绝、拖延或者终止实施法律援助。</w:t>
      </w:r>
    </w:p>
    <w:p w14:paraId="50E5180E">
      <w:pPr>
        <w:spacing w:line="360" w:lineRule="auto"/>
        <w:ind w:firstLine="480" w:firstLineChars="200"/>
        <w:rPr>
          <w:rFonts w:ascii="宋体" w:hAnsi="宋体" w:cs="宋体"/>
          <w:color w:val="000000"/>
          <w:sz w:val="24"/>
          <w:highlight w:val="none"/>
        </w:rPr>
      </w:pPr>
      <w:r>
        <w:rPr>
          <w:rFonts w:ascii="宋体" w:hAnsi="宋体" w:cs="宋体"/>
          <w:color w:val="000000"/>
          <w:sz w:val="24"/>
          <w:highlight w:val="none"/>
        </w:rPr>
        <w:t>10、</w:t>
      </w:r>
      <w:r>
        <w:rPr>
          <w:rFonts w:hint="eastAsia" w:ascii="宋体" w:hAnsi="宋体" w:cs="宋体"/>
          <w:color w:val="000000"/>
          <w:sz w:val="24"/>
          <w:highlight w:val="none"/>
        </w:rPr>
        <w:t>法律援助人员应充分尊重受援人意愿，引导其依法表达诉求，恪守职业道德和执业纪律，自觉接受大兴区法律援助中心的业务监督指导。</w:t>
      </w:r>
    </w:p>
    <w:p w14:paraId="172928CD">
      <w:pPr>
        <w:spacing w:line="360" w:lineRule="auto"/>
        <w:ind w:firstLine="480" w:firstLineChars="200"/>
        <w:rPr>
          <w:rFonts w:ascii="宋体" w:hAnsi="宋体" w:cs="宋体"/>
          <w:b/>
          <w:bCs/>
          <w:color w:val="000000"/>
          <w:sz w:val="24"/>
          <w:highlight w:val="none"/>
        </w:rPr>
      </w:pPr>
      <w:r>
        <w:rPr>
          <w:rFonts w:ascii="宋体" w:hAnsi="宋体" w:cs="宋体"/>
          <w:color w:val="000000"/>
          <w:sz w:val="24"/>
          <w:highlight w:val="none"/>
        </w:rPr>
        <w:t>11</w:t>
      </w:r>
      <w:r>
        <w:rPr>
          <w:rFonts w:hint="eastAsia" w:ascii="宋体" w:hAnsi="宋体" w:cs="宋体"/>
          <w:color w:val="000000"/>
          <w:sz w:val="24"/>
          <w:highlight w:val="none"/>
        </w:rPr>
        <w:t>、愿意接受相关部门对项目质量的审查考核。</w:t>
      </w:r>
    </w:p>
    <w:p w14:paraId="37B1C367">
      <w:pPr>
        <w:spacing w:line="360" w:lineRule="auto"/>
        <w:ind w:firstLine="472" w:firstLineChars="196"/>
        <w:rPr>
          <w:rFonts w:ascii="宋体" w:hAnsi="宋体" w:cs="宋体"/>
          <w:color w:val="000000"/>
          <w:sz w:val="24"/>
          <w:highlight w:val="none"/>
        </w:rPr>
      </w:pPr>
      <w:r>
        <w:rPr>
          <w:rFonts w:hint="eastAsia" w:ascii="宋体" w:hAnsi="宋体" w:cs="宋体"/>
          <w:b/>
          <w:bCs/>
          <w:color w:val="000000"/>
          <w:sz w:val="24"/>
          <w:highlight w:val="none"/>
        </w:rPr>
        <w:t>第七条</w:t>
      </w:r>
      <w:r>
        <w:rPr>
          <w:rFonts w:hint="eastAsia" w:ascii="宋体" w:hAnsi="宋体" w:cs="宋体"/>
          <w:color w:val="000000"/>
          <w:sz w:val="24"/>
          <w:highlight w:val="none"/>
        </w:rPr>
        <w:t xml:space="preserve"> 最高限价、服务费计费及支付要求：</w:t>
      </w:r>
    </w:p>
    <w:p w14:paraId="21B09E15">
      <w:pPr>
        <w:spacing w:line="360" w:lineRule="auto"/>
        <w:ind w:firstLine="470" w:firstLineChars="196"/>
        <w:jc w:val="left"/>
        <w:rPr>
          <w:rFonts w:ascii="宋体" w:hAnsi="宋体" w:cs="宋体"/>
          <w:color w:val="000000"/>
          <w:sz w:val="24"/>
          <w:highlight w:val="none"/>
        </w:rPr>
      </w:pPr>
      <w:r>
        <w:rPr>
          <w:rFonts w:ascii="宋体" w:hAnsi="宋体" w:cs="宋体"/>
          <w:color w:val="000000"/>
          <w:sz w:val="24"/>
          <w:highlight w:val="none"/>
        </w:rPr>
        <w:t>最高限价：</w:t>
      </w:r>
      <w:r>
        <w:rPr>
          <w:rFonts w:hint="eastAsia" w:ascii="宋体" w:hAnsi="宋体" w:cs="宋体"/>
          <w:color w:val="000000"/>
          <w:sz w:val="24"/>
          <w:highlight w:val="none"/>
        </w:rPr>
        <w:t>按照《北京市法律援助补贴办法》（京司发〔2018〕86号）规定执行。</w:t>
      </w:r>
    </w:p>
    <w:p w14:paraId="0FEBA3A6">
      <w:pPr>
        <w:spacing w:line="360" w:lineRule="auto"/>
        <w:ind w:firstLine="470" w:firstLineChars="196"/>
        <w:jc w:val="left"/>
        <w:rPr>
          <w:rFonts w:ascii="宋体" w:hAnsi="宋体" w:cs="宋体"/>
          <w:color w:val="000000"/>
          <w:sz w:val="24"/>
          <w:highlight w:val="none"/>
        </w:rPr>
      </w:pPr>
      <w:r>
        <w:rPr>
          <w:rFonts w:hint="eastAsia" w:ascii="宋体" w:hAnsi="宋体" w:cs="宋体"/>
          <w:color w:val="000000"/>
          <w:sz w:val="24"/>
          <w:highlight w:val="none"/>
        </w:rPr>
        <w:t>服务费计费及支付要求：根据《北京市法律援助补贴办法》（京司发〔2018〕86号）及《关于调整法律援助补贴发放有关事项的通知》（京司发〔2023〕27号）发放案件补贴及值班补贴，并随相关规定变更动态调整。</w:t>
      </w:r>
    </w:p>
    <w:p w14:paraId="5A613537">
      <w:pPr>
        <w:spacing w:line="360" w:lineRule="auto"/>
        <w:ind w:firstLine="482" w:firstLineChars="200"/>
        <w:jc w:val="left"/>
        <w:rPr>
          <w:rFonts w:ascii="宋体" w:hAnsi="宋体" w:cs="宋体"/>
          <w:color w:val="000000"/>
          <w:sz w:val="24"/>
          <w:highlight w:val="none"/>
        </w:rPr>
      </w:pPr>
      <w:r>
        <w:rPr>
          <w:rFonts w:hint="eastAsia" w:ascii="宋体" w:hAnsi="宋体" w:cs="宋体"/>
          <w:b/>
          <w:bCs/>
          <w:color w:val="000000"/>
          <w:sz w:val="24"/>
          <w:highlight w:val="none"/>
        </w:rPr>
        <w:t xml:space="preserve">第八条 </w:t>
      </w:r>
      <w:r>
        <w:rPr>
          <w:rFonts w:hint="eastAsia" w:ascii="宋体" w:hAnsi="宋体" w:cs="宋体"/>
          <w:color w:val="000000"/>
          <w:sz w:val="24"/>
          <w:highlight w:val="none"/>
        </w:rPr>
        <w:t>合同签订：</w:t>
      </w:r>
    </w:p>
    <w:p w14:paraId="22478988">
      <w:pPr>
        <w:spacing w:line="360" w:lineRule="auto"/>
        <w:ind w:firstLine="480" w:firstLineChars="200"/>
        <w:jc w:val="left"/>
        <w:rPr>
          <w:rFonts w:ascii="宋体" w:hAnsi="宋体" w:cs="宋体"/>
          <w:color w:val="000000"/>
          <w:sz w:val="24"/>
          <w:highlight w:val="none"/>
        </w:rPr>
      </w:pPr>
      <w:r>
        <w:rPr>
          <w:rFonts w:hint="eastAsia" w:ascii="宋体" w:hAnsi="宋体" w:cs="宋体"/>
          <w:color w:val="000000"/>
          <w:sz w:val="24"/>
          <w:highlight w:val="none"/>
        </w:rPr>
        <w:t>1、合同签订的形式为凭单；</w:t>
      </w:r>
    </w:p>
    <w:p w14:paraId="49AFF6CA">
      <w:pPr>
        <w:spacing w:line="360" w:lineRule="auto"/>
        <w:ind w:firstLine="480" w:firstLineChars="200"/>
        <w:jc w:val="left"/>
        <w:rPr>
          <w:rFonts w:ascii="宋体" w:hAnsi="宋体" w:cs="宋体"/>
          <w:color w:val="000000"/>
          <w:sz w:val="24"/>
          <w:highlight w:val="none"/>
        </w:rPr>
      </w:pPr>
      <w:r>
        <w:rPr>
          <w:rFonts w:ascii="宋体" w:hAnsi="宋体" w:cs="宋体"/>
          <w:color w:val="000000"/>
          <w:sz w:val="24"/>
          <w:highlight w:val="none"/>
        </w:rPr>
        <w:t>2</w:t>
      </w:r>
      <w:r>
        <w:rPr>
          <w:rFonts w:hint="eastAsia" w:ascii="宋体" w:hAnsi="宋体" w:cs="宋体"/>
          <w:color w:val="000000"/>
          <w:sz w:val="24"/>
          <w:highlight w:val="none"/>
        </w:rPr>
        <w:t>、乙方接到采购人合同授予后，无正当理由不得拖延、拒绝，应按本项目征集文件、框架协议规定执行；</w:t>
      </w:r>
    </w:p>
    <w:p w14:paraId="0BB23EB4">
      <w:pPr>
        <w:spacing w:line="360" w:lineRule="auto"/>
        <w:ind w:firstLine="480" w:firstLineChars="200"/>
        <w:jc w:val="left"/>
        <w:rPr>
          <w:rFonts w:ascii="宋体" w:hAnsi="宋体" w:cs="宋体"/>
          <w:color w:val="000000"/>
          <w:sz w:val="24"/>
          <w:highlight w:val="none"/>
        </w:rPr>
      </w:pPr>
      <w:r>
        <w:rPr>
          <w:rFonts w:ascii="宋体" w:hAnsi="宋体" w:cs="宋体"/>
          <w:color w:val="000000"/>
          <w:sz w:val="24"/>
          <w:highlight w:val="none"/>
        </w:rPr>
        <w:t>3</w:t>
      </w:r>
      <w:r>
        <w:rPr>
          <w:rFonts w:hint="eastAsia" w:ascii="宋体" w:hAnsi="宋体" w:cs="宋体"/>
          <w:color w:val="000000"/>
          <w:sz w:val="24"/>
          <w:highlight w:val="none"/>
        </w:rPr>
        <w:t>、乙方应积极履行合同义务，按约定的时间和要求完成服务，并通过采购人验收。</w:t>
      </w:r>
    </w:p>
    <w:p w14:paraId="4F431DE5">
      <w:pPr>
        <w:spacing w:line="360" w:lineRule="auto"/>
        <w:ind w:firstLine="482" w:firstLineChars="200"/>
        <w:jc w:val="left"/>
        <w:rPr>
          <w:rFonts w:ascii="宋体" w:hAnsi="宋体" w:cs="宋体"/>
          <w:b/>
          <w:bCs/>
          <w:color w:val="000000"/>
          <w:sz w:val="24"/>
          <w:highlight w:val="none"/>
        </w:rPr>
      </w:pPr>
      <w:r>
        <w:rPr>
          <w:rFonts w:hint="eastAsia" w:ascii="宋体" w:hAnsi="宋体" w:cs="宋体"/>
          <w:b/>
          <w:bCs/>
          <w:color w:val="000000"/>
          <w:sz w:val="24"/>
          <w:highlight w:val="none"/>
        </w:rPr>
        <w:t xml:space="preserve">第九条 </w:t>
      </w:r>
      <w:r>
        <w:rPr>
          <w:rFonts w:hint="eastAsia" w:ascii="宋体" w:hAnsi="宋体" w:cs="宋体"/>
          <w:color w:val="000000"/>
          <w:sz w:val="24"/>
          <w:highlight w:val="none"/>
        </w:rPr>
        <w:t>协议期内日常管理要求：</w:t>
      </w:r>
    </w:p>
    <w:p w14:paraId="7ADDEE1F">
      <w:pPr>
        <w:spacing w:line="360" w:lineRule="auto"/>
        <w:ind w:firstLine="480" w:firstLineChars="200"/>
        <w:jc w:val="left"/>
        <w:rPr>
          <w:rFonts w:ascii="宋体" w:hAnsi="宋体" w:cs="宋体"/>
          <w:color w:val="000000"/>
          <w:sz w:val="24"/>
          <w:highlight w:val="none"/>
        </w:rPr>
      </w:pPr>
      <w:r>
        <w:rPr>
          <w:rFonts w:hint="eastAsia" w:ascii="宋体" w:hAnsi="宋体" w:cs="宋体"/>
          <w:color w:val="000000"/>
          <w:sz w:val="24"/>
          <w:highlight w:val="none"/>
        </w:rPr>
        <w:t>1、在协议期内，乙方如有信息变更（如变更法定代表人、主要负责人、联系人、联系电话、地址等），应及时通知甲方，按甲方要求提供相关资料备案。</w:t>
      </w:r>
    </w:p>
    <w:p w14:paraId="5D71CDEF">
      <w:pPr>
        <w:spacing w:line="360" w:lineRule="auto"/>
        <w:ind w:firstLine="480" w:firstLineChars="200"/>
        <w:jc w:val="left"/>
        <w:rPr>
          <w:rFonts w:ascii="宋体" w:hAnsi="宋体" w:cs="宋体"/>
          <w:color w:val="000000"/>
          <w:sz w:val="24"/>
          <w:highlight w:val="none"/>
        </w:rPr>
      </w:pPr>
      <w:r>
        <w:rPr>
          <w:rFonts w:hint="eastAsia" w:ascii="宋体" w:hAnsi="宋体" w:cs="宋体"/>
          <w:color w:val="000000"/>
          <w:sz w:val="24"/>
          <w:highlight w:val="none"/>
        </w:rPr>
        <w:t>2、在协议期内，乙方应遵守和履行本项目征集文件、框架协议的各项规定，积极配合甲方和采购监管部门的工作。</w:t>
      </w:r>
    </w:p>
    <w:p w14:paraId="5FEDA8C1">
      <w:pPr>
        <w:spacing w:line="360" w:lineRule="auto"/>
        <w:ind w:firstLine="482" w:firstLineChars="200"/>
        <w:jc w:val="left"/>
        <w:rPr>
          <w:rFonts w:ascii="宋体" w:hAnsi="宋体" w:cs="宋体"/>
          <w:color w:val="000000"/>
          <w:sz w:val="24"/>
          <w:highlight w:val="none"/>
        </w:rPr>
      </w:pPr>
      <w:r>
        <w:rPr>
          <w:rFonts w:hint="eastAsia" w:ascii="宋体" w:hAnsi="宋体" w:cs="宋体"/>
          <w:b/>
          <w:bCs/>
          <w:color w:val="000000"/>
          <w:sz w:val="24"/>
          <w:highlight w:val="none"/>
        </w:rPr>
        <w:t>第十条</w:t>
      </w:r>
      <w:r>
        <w:rPr>
          <w:rFonts w:hint="eastAsia" w:ascii="宋体" w:hAnsi="宋体" w:cs="宋体"/>
          <w:color w:val="000000"/>
          <w:sz w:val="24"/>
          <w:highlight w:val="none"/>
        </w:rPr>
        <w:t xml:space="preserve"> 甲方协议期内职责：</w:t>
      </w:r>
    </w:p>
    <w:p w14:paraId="043ACA70">
      <w:pPr>
        <w:spacing w:line="360" w:lineRule="auto"/>
        <w:ind w:firstLine="480" w:firstLineChars="200"/>
        <w:jc w:val="left"/>
        <w:rPr>
          <w:rFonts w:ascii="宋体" w:hAnsi="宋体" w:cs="宋体"/>
          <w:color w:val="000000"/>
          <w:sz w:val="24"/>
          <w:highlight w:val="none"/>
        </w:rPr>
      </w:pPr>
      <w:r>
        <w:rPr>
          <w:rFonts w:hint="eastAsia" w:ascii="宋体" w:hAnsi="宋体" w:cs="宋体"/>
          <w:color w:val="000000"/>
          <w:sz w:val="24"/>
          <w:highlight w:val="none"/>
        </w:rPr>
        <w:t xml:space="preserve">甲方应当根据框架协议约定，组织落实框架协议的履行，并履行下列职责： </w:t>
      </w:r>
    </w:p>
    <w:p w14:paraId="0B5856A7">
      <w:pPr>
        <w:spacing w:line="360" w:lineRule="auto"/>
        <w:ind w:firstLine="480" w:firstLineChars="200"/>
        <w:jc w:val="left"/>
        <w:rPr>
          <w:rFonts w:ascii="宋体" w:hAnsi="宋体" w:cs="宋体"/>
          <w:color w:val="000000"/>
          <w:sz w:val="24"/>
          <w:highlight w:val="none"/>
        </w:rPr>
      </w:pPr>
      <w:r>
        <w:rPr>
          <w:rFonts w:hint="eastAsia" w:ascii="宋体" w:hAnsi="宋体" w:cs="宋体"/>
          <w:color w:val="000000"/>
          <w:sz w:val="24"/>
          <w:highlight w:val="none"/>
        </w:rPr>
        <w:t xml:space="preserve">1、为第二阶段合同授予提供工作便利； </w:t>
      </w:r>
    </w:p>
    <w:p w14:paraId="257BB088">
      <w:pPr>
        <w:spacing w:line="360" w:lineRule="auto"/>
        <w:ind w:firstLine="480" w:firstLineChars="200"/>
        <w:jc w:val="left"/>
        <w:rPr>
          <w:rFonts w:ascii="宋体" w:hAnsi="宋体" w:cs="宋体"/>
          <w:color w:val="000000"/>
          <w:sz w:val="24"/>
          <w:highlight w:val="none"/>
        </w:rPr>
      </w:pPr>
      <w:r>
        <w:rPr>
          <w:rFonts w:hint="eastAsia" w:ascii="宋体" w:hAnsi="宋体" w:cs="宋体"/>
          <w:color w:val="000000"/>
          <w:sz w:val="24"/>
          <w:highlight w:val="none"/>
        </w:rPr>
        <w:t xml:space="preserve">2、对第二阶段最高限价和需求标准执行情况进行管理； </w:t>
      </w:r>
    </w:p>
    <w:p w14:paraId="7203375C">
      <w:pPr>
        <w:spacing w:line="360" w:lineRule="auto"/>
        <w:ind w:firstLine="480" w:firstLineChars="200"/>
        <w:jc w:val="left"/>
        <w:rPr>
          <w:rFonts w:ascii="宋体" w:hAnsi="宋体" w:cs="宋体"/>
          <w:color w:val="000000"/>
          <w:sz w:val="24"/>
          <w:highlight w:val="none"/>
        </w:rPr>
      </w:pPr>
      <w:r>
        <w:rPr>
          <w:rFonts w:hint="eastAsia" w:ascii="宋体" w:hAnsi="宋体" w:cs="宋体"/>
          <w:color w:val="000000"/>
          <w:sz w:val="24"/>
          <w:highlight w:val="none"/>
        </w:rPr>
        <w:t xml:space="preserve">3、对第二阶段确定成交供应商情况进行管理；  </w:t>
      </w:r>
    </w:p>
    <w:p w14:paraId="207736E2">
      <w:pPr>
        <w:spacing w:line="360" w:lineRule="auto"/>
        <w:ind w:firstLine="480" w:firstLineChars="200"/>
        <w:jc w:val="left"/>
        <w:rPr>
          <w:rFonts w:ascii="宋体" w:hAnsi="宋体" w:cs="宋体"/>
          <w:color w:val="000000"/>
          <w:sz w:val="24"/>
          <w:highlight w:val="none"/>
        </w:rPr>
      </w:pPr>
      <w:r>
        <w:rPr>
          <w:rFonts w:hint="eastAsia" w:ascii="宋体" w:hAnsi="宋体" w:cs="宋体"/>
          <w:color w:val="000000"/>
          <w:sz w:val="24"/>
          <w:highlight w:val="none"/>
        </w:rPr>
        <w:t xml:space="preserve">4、建立用户反馈和评价机制，接受采购人对入围供应商履行框架协议和采购合同情况的反馈与评价，并将用户反馈和评价情况向采购人公开，作为第二阶段直接选定成交供应商的参考； </w:t>
      </w:r>
    </w:p>
    <w:p w14:paraId="00E4A493">
      <w:pPr>
        <w:spacing w:line="360" w:lineRule="auto"/>
        <w:ind w:firstLine="480" w:firstLineChars="200"/>
        <w:jc w:val="left"/>
        <w:rPr>
          <w:rFonts w:ascii="宋体" w:hAnsi="宋体" w:cs="宋体"/>
          <w:color w:val="000000"/>
          <w:sz w:val="24"/>
          <w:highlight w:val="none"/>
        </w:rPr>
      </w:pPr>
      <w:r>
        <w:rPr>
          <w:rFonts w:hint="eastAsia" w:ascii="宋体" w:hAnsi="宋体" w:cs="宋体"/>
          <w:color w:val="000000"/>
          <w:sz w:val="24"/>
          <w:highlight w:val="none"/>
        </w:rPr>
        <w:t xml:space="preserve">5、公开封闭式框架协议的第二阶段成交结果； </w:t>
      </w:r>
    </w:p>
    <w:p w14:paraId="29BE9F60">
      <w:pPr>
        <w:spacing w:line="360" w:lineRule="auto"/>
        <w:ind w:firstLine="480" w:firstLineChars="200"/>
        <w:jc w:val="left"/>
        <w:rPr>
          <w:rFonts w:ascii="宋体" w:hAnsi="宋体" w:cs="宋体"/>
          <w:b/>
          <w:bCs/>
          <w:color w:val="000000"/>
          <w:sz w:val="24"/>
          <w:highlight w:val="none"/>
        </w:rPr>
      </w:pPr>
      <w:r>
        <w:rPr>
          <w:rFonts w:hint="eastAsia" w:ascii="宋体" w:hAnsi="宋体" w:cs="宋体"/>
          <w:color w:val="000000"/>
          <w:sz w:val="24"/>
          <w:highlight w:val="none"/>
        </w:rPr>
        <w:t>6、办理入围供应商清退和补充相关事宜。</w:t>
      </w:r>
    </w:p>
    <w:p w14:paraId="5670CD3D">
      <w:pPr>
        <w:spacing w:line="360" w:lineRule="auto"/>
        <w:ind w:firstLine="482" w:firstLineChars="200"/>
        <w:jc w:val="left"/>
        <w:rPr>
          <w:rFonts w:ascii="宋体" w:hAnsi="宋体" w:cs="宋体"/>
          <w:color w:val="000000"/>
          <w:sz w:val="24"/>
          <w:highlight w:val="none"/>
        </w:rPr>
      </w:pPr>
      <w:r>
        <w:rPr>
          <w:rFonts w:hint="eastAsia" w:ascii="宋体" w:hAnsi="宋体" w:cs="宋体"/>
          <w:b/>
          <w:color w:val="000000"/>
          <w:sz w:val="24"/>
          <w:highlight w:val="none"/>
        </w:rPr>
        <w:t>第十一条</w:t>
      </w:r>
      <w:r>
        <w:rPr>
          <w:rFonts w:hint="eastAsia" w:ascii="宋体" w:hAnsi="宋体" w:cs="宋体"/>
          <w:color w:val="000000"/>
          <w:sz w:val="24"/>
          <w:highlight w:val="none"/>
        </w:rPr>
        <w:t xml:space="preserve"> 乙方无正当理由不得主动放弃入围资格或者退出框架协议。确因注销、停业、执业限制等客观事由无法继续履约，须提前45日提交书面退出申请，配合完成已承接案件收尾交接，办结全部在办法律援助案件后方可办理退出手续。</w:t>
      </w:r>
    </w:p>
    <w:p w14:paraId="040A148D">
      <w:pPr>
        <w:spacing w:line="360" w:lineRule="auto"/>
        <w:ind w:firstLine="482" w:firstLineChars="200"/>
        <w:jc w:val="left"/>
        <w:rPr>
          <w:rFonts w:ascii="宋体" w:hAnsi="宋体" w:cs="宋体"/>
          <w:color w:val="000000"/>
          <w:sz w:val="24"/>
          <w:highlight w:val="none"/>
        </w:rPr>
      </w:pPr>
      <w:r>
        <w:rPr>
          <w:rFonts w:hint="eastAsia" w:ascii="宋体" w:hAnsi="宋体" w:cs="宋体"/>
          <w:b/>
          <w:color w:val="000000"/>
          <w:sz w:val="24"/>
          <w:highlight w:val="none"/>
        </w:rPr>
        <w:t xml:space="preserve">第十二条 </w:t>
      </w:r>
      <w:r>
        <w:rPr>
          <w:rFonts w:hint="eastAsia" w:ascii="宋体" w:hAnsi="宋体" w:cs="宋体"/>
          <w:color w:val="000000"/>
          <w:sz w:val="24"/>
          <w:highlight w:val="none"/>
        </w:rPr>
        <w:t>甲方的权利和义务</w:t>
      </w:r>
    </w:p>
    <w:p w14:paraId="48A6A53E">
      <w:pPr>
        <w:spacing w:line="360" w:lineRule="auto"/>
        <w:ind w:firstLine="480" w:firstLineChars="200"/>
        <w:jc w:val="left"/>
        <w:rPr>
          <w:rFonts w:ascii="宋体" w:hAnsi="宋体" w:cs="宋体"/>
          <w:color w:val="000000"/>
          <w:sz w:val="24"/>
          <w:highlight w:val="none"/>
        </w:rPr>
      </w:pPr>
      <w:r>
        <w:rPr>
          <w:rFonts w:hint="eastAsia" w:ascii="宋体" w:hAnsi="宋体" w:cs="宋体"/>
          <w:color w:val="000000"/>
          <w:sz w:val="24"/>
          <w:highlight w:val="none"/>
        </w:rPr>
        <w:t>（一）权利</w:t>
      </w:r>
    </w:p>
    <w:p w14:paraId="3F1DE79D">
      <w:pPr>
        <w:spacing w:line="360" w:lineRule="auto"/>
        <w:ind w:firstLine="480" w:firstLineChars="200"/>
        <w:jc w:val="left"/>
        <w:rPr>
          <w:rFonts w:ascii="宋体" w:hAnsi="宋体" w:cs="宋体"/>
          <w:color w:val="000000"/>
          <w:sz w:val="24"/>
          <w:highlight w:val="none"/>
        </w:rPr>
      </w:pPr>
      <w:r>
        <w:rPr>
          <w:rFonts w:hint="eastAsia" w:ascii="宋体" w:hAnsi="宋体" w:cs="宋体"/>
          <w:color w:val="000000"/>
          <w:sz w:val="24"/>
          <w:highlight w:val="none"/>
        </w:rPr>
        <w:t>1、组织北京市大兴区法律援助中心与确定提供法律服务的律师事务所、基层法律服务所、民办非企业单位签订“法律援助服务书”协议，为大兴区提供法律援助服务，包括但不限于以下工作内容：区法律援助中心接待大厅的值班咨询、法律援助工作站值班工作、解答法律咨询、代写法律文书、法律援助案件代理（辩护）、12348公共法律服务热线平台值班工作、举办法律知识讲座提供法律咨询服务及参加其它法律援助服务工作。</w:t>
      </w:r>
    </w:p>
    <w:p w14:paraId="63D68E85">
      <w:pPr>
        <w:spacing w:line="360" w:lineRule="auto"/>
        <w:ind w:firstLine="480" w:firstLineChars="200"/>
        <w:jc w:val="left"/>
        <w:rPr>
          <w:rFonts w:ascii="宋体" w:hAnsi="宋体" w:cs="宋体"/>
          <w:color w:val="000000"/>
          <w:sz w:val="24"/>
          <w:highlight w:val="none"/>
        </w:rPr>
      </w:pPr>
      <w:r>
        <w:rPr>
          <w:rFonts w:hint="eastAsia" w:ascii="宋体" w:hAnsi="宋体" w:cs="宋体"/>
          <w:color w:val="000000"/>
          <w:sz w:val="24"/>
          <w:highlight w:val="none"/>
        </w:rPr>
        <w:t>2、对乙方开展法律服务工作情况进行监督检查、考核，提出意见、建议。</w:t>
      </w:r>
    </w:p>
    <w:p w14:paraId="1B4F7DD6">
      <w:pPr>
        <w:spacing w:line="360" w:lineRule="auto"/>
        <w:ind w:firstLine="480" w:firstLineChars="200"/>
        <w:jc w:val="left"/>
        <w:rPr>
          <w:rFonts w:ascii="宋体" w:hAnsi="宋体" w:cs="宋体"/>
          <w:color w:val="000000"/>
          <w:sz w:val="24"/>
          <w:highlight w:val="none"/>
        </w:rPr>
      </w:pPr>
      <w:r>
        <w:rPr>
          <w:rFonts w:hint="eastAsia" w:ascii="宋体" w:hAnsi="宋体" w:cs="宋体"/>
          <w:color w:val="000000"/>
          <w:sz w:val="24"/>
          <w:highlight w:val="none"/>
        </w:rPr>
        <w:t>3、如乙方派遣的律师服务不到位或不能与大兴区法律援助中心保持良好的合作关系，甲方可要求乙方更换律师。</w:t>
      </w:r>
    </w:p>
    <w:p w14:paraId="5BBAD8D3">
      <w:pPr>
        <w:spacing w:line="360" w:lineRule="auto"/>
        <w:ind w:firstLine="480" w:firstLineChars="200"/>
        <w:jc w:val="left"/>
        <w:rPr>
          <w:rFonts w:ascii="宋体" w:hAnsi="宋体" w:cs="宋体"/>
          <w:color w:val="000000"/>
          <w:sz w:val="24"/>
          <w:highlight w:val="none"/>
        </w:rPr>
      </w:pPr>
      <w:r>
        <w:rPr>
          <w:rFonts w:hint="eastAsia" w:ascii="宋体" w:hAnsi="宋体" w:cs="宋体"/>
          <w:color w:val="000000"/>
          <w:sz w:val="24"/>
          <w:highlight w:val="none"/>
        </w:rPr>
        <w:t>（二）义务</w:t>
      </w:r>
    </w:p>
    <w:p w14:paraId="57CA4BFD">
      <w:pPr>
        <w:spacing w:line="360" w:lineRule="auto"/>
        <w:ind w:firstLine="480" w:firstLineChars="200"/>
        <w:jc w:val="left"/>
        <w:rPr>
          <w:rFonts w:ascii="宋体" w:hAnsi="宋体" w:cs="宋体"/>
          <w:color w:val="000000"/>
          <w:sz w:val="24"/>
          <w:highlight w:val="none"/>
        </w:rPr>
      </w:pPr>
      <w:r>
        <w:rPr>
          <w:rFonts w:hint="eastAsia" w:ascii="宋体" w:hAnsi="宋体" w:cs="宋体"/>
          <w:color w:val="000000"/>
          <w:sz w:val="24"/>
          <w:highlight w:val="none"/>
        </w:rPr>
        <w:t>1、根据《北京市法律援助补贴办法》（京司发〔2018〕86号）及《关于调整法律援助补贴发放有关事项的通知》（京司发〔2023〕27号）发放案件补贴及值班补贴。并按上级政策要求及时调整。</w:t>
      </w:r>
    </w:p>
    <w:p w14:paraId="3B9D6E28">
      <w:pPr>
        <w:spacing w:line="360" w:lineRule="auto"/>
        <w:ind w:firstLine="480" w:firstLineChars="200"/>
        <w:jc w:val="left"/>
        <w:rPr>
          <w:rFonts w:ascii="宋体" w:hAnsi="宋体" w:cs="宋体"/>
          <w:color w:val="000000"/>
          <w:sz w:val="24"/>
          <w:highlight w:val="none"/>
        </w:rPr>
      </w:pPr>
      <w:r>
        <w:rPr>
          <w:rFonts w:hint="eastAsia" w:ascii="宋体" w:hAnsi="宋体" w:cs="宋体"/>
          <w:color w:val="000000"/>
          <w:sz w:val="24"/>
          <w:highlight w:val="none"/>
        </w:rPr>
        <w:t>2、对在大兴区法律服务中心工作中表现突出的律师、律师事务所事迹，形成典型材料报送市司法局。</w:t>
      </w:r>
    </w:p>
    <w:p w14:paraId="2EF92767">
      <w:pPr>
        <w:spacing w:line="360" w:lineRule="auto"/>
        <w:ind w:firstLine="482" w:firstLineChars="200"/>
        <w:jc w:val="left"/>
        <w:rPr>
          <w:rFonts w:ascii="宋体" w:hAnsi="宋体" w:cs="宋体"/>
          <w:bCs/>
          <w:color w:val="000000"/>
          <w:sz w:val="24"/>
          <w:highlight w:val="none"/>
        </w:rPr>
      </w:pPr>
      <w:r>
        <w:rPr>
          <w:rFonts w:hint="eastAsia" w:ascii="宋体" w:hAnsi="宋体" w:cs="宋体"/>
          <w:b/>
          <w:bCs/>
          <w:color w:val="000000"/>
          <w:sz w:val="24"/>
          <w:highlight w:val="none"/>
        </w:rPr>
        <w:t xml:space="preserve">第十三条 </w:t>
      </w:r>
      <w:r>
        <w:rPr>
          <w:rFonts w:hint="eastAsia" w:ascii="宋体" w:hAnsi="宋体" w:cs="宋体"/>
          <w:bCs/>
          <w:color w:val="000000"/>
          <w:sz w:val="24"/>
          <w:highlight w:val="none"/>
        </w:rPr>
        <w:t>乙方的权利和义务</w:t>
      </w:r>
    </w:p>
    <w:p w14:paraId="52F9A1A0">
      <w:pPr>
        <w:spacing w:line="360" w:lineRule="auto"/>
        <w:ind w:firstLine="480" w:firstLineChars="200"/>
        <w:jc w:val="left"/>
        <w:rPr>
          <w:rFonts w:ascii="宋体" w:hAnsi="宋体" w:cs="宋体"/>
          <w:color w:val="000000"/>
          <w:sz w:val="24"/>
          <w:highlight w:val="none"/>
        </w:rPr>
      </w:pPr>
      <w:r>
        <w:rPr>
          <w:rFonts w:hint="eastAsia" w:ascii="宋体" w:hAnsi="宋体" w:cs="宋体"/>
          <w:color w:val="000000"/>
          <w:sz w:val="24"/>
          <w:highlight w:val="none"/>
        </w:rPr>
        <w:t>（一）权利</w:t>
      </w:r>
    </w:p>
    <w:p w14:paraId="61F42A47">
      <w:pPr>
        <w:spacing w:line="360" w:lineRule="auto"/>
        <w:ind w:firstLine="480" w:firstLineChars="200"/>
        <w:jc w:val="left"/>
        <w:rPr>
          <w:rFonts w:ascii="宋体" w:hAnsi="宋体" w:cs="宋体"/>
          <w:color w:val="000000"/>
          <w:sz w:val="24"/>
          <w:highlight w:val="none"/>
        </w:rPr>
      </w:pPr>
      <w:r>
        <w:rPr>
          <w:rFonts w:hint="eastAsia" w:ascii="宋体" w:hAnsi="宋体" w:cs="宋体"/>
          <w:color w:val="000000"/>
          <w:sz w:val="24"/>
          <w:highlight w:val="none"/>
        </w:rPr>
        <w:t>1、根据《北京市法律援助补贴办法》（京司发〔2018〕86号）及《关于调整法律援助补贴发放有关事项的通知》（京司发〔2023〕27号）等规定，经甲方考评合格后获得相应工作补贴。</w:t>
      </w:r>
    </w:p>
    <w:p w14:paraId="60631F4E">
      <w:pPr>
        <w:spacing w:line="360" w:lineRule="auto"/>
        <w:ind w:firstLine="480" w:firstLineChars="200"/>
        <w:jc w:val="left"/>
        <w:rPr>
          <w:rFonts w:ascii="宋体" w:hAnsi="宋体" w:cs="宋体"/>
          <w:color w:val="000000"/>
          <w:sz w:val="24"/>
          <w:highlight w:val="none"/>
        </w:rPr>
      </w:pPr>
      <w:r>
        <w:rPr>
          <w:rFonts w:hint="eastAsia" w:ascii="宋体" w:hAnsi="宋体" w:cs="宋体"/>
          <w:color w:val="000000"/>
          <w:sz w:val="24"/>
          <w:highlight w:val="none"/>
        </w:rPr>
        <w:t>2、可以请求大兴区法律援助中心为派遣的律师开展法律服务工作提供便利条件。</w:t>
      </w:r>
    </w:p>
    <w:p w14:paraId="3E2F0171">
      <w:pPr>
        <w:spacing w:line="360" w:lineRule="auto"/>
        <w:ind w:firstLine="480" w:firstLineChars="200"/>
        <w:jc w:val="left"/>
        <w:rPr>
          <w:rFonts w:ascii="宋体" w:hAnsi="宋体" w:cs="宋体"/>
          <w:color w:val="000000"/>
          <w:sz w:val="24"/>
          <w:highlight w:val="none"/>
        </w:rPr>
      </w:pPr>
      <w:r>
        <w:rPr>
          <w:rFonts w:hint="eastAsia" w:ascii="宋体" w:hAnsi="宋体" w:cs="宋体"/>
          <w:color w:val="000000"/>
          <w:sz w:val="24"/>
          <w:highlight w:val="none"/>
        </w:rPr>
        <w:t>（二）义务</w:t>
      </w:r>
    </w:p>
    <w:p w14:paraId="02E065C4">
      <w:pPr>
        <w:spacing w:line="360" w:lineRule="auto"/>
        <w:ind w:firstLine="480" w:firstLineChars="200"/>
        <w:jc w:val="left"/>
        <w:rPr>
          <w:rFonts w:ascii="宋体" w:hAnsi="宋体" w:cs="宋体"/>
          <w:color w:val="000000"/>
          <w:sz w:val="24"/>
          <w:highlight w:val="none"/>
        </w:rPr>
      </w:pPr>
      <w:r>
        <w:rPr>
          <w:rFonts w:hint="eastAsia" w:ascii="宋体" w:hAnsi="宋体" w:cs="宋体"/>
          <w:color w:val="000000"/>
          <w:sz w:val="24"/>
          <w:highlight w:val="none"/>
        </w:rPr>
        <w:t>1、律师在办理法律援助案件的过程中，应当坚持以事实为根据，以法律为准绳，通过和解、调解、申请仲裁、提起诉讼等方式，维护受援人合法权益，维护法律正确实施，维护社会稳定；</w:t>
      </w:r>
    </w:p>
    <w:p w14:paraId="2D85298B">
      <w:pPr>
        <w:spacing w:line="360" w:lineRule="auto"/>
        <w:ind w:firstLine="480" w:firstLineChars="200"/>
        <w:jc w:val="left"/>
        <w:rPr>
          <w:rFonts w:ascii="宋体" w:hAnsi="宋体" w:cs="宋体"/>
          <w:color w:val="000000"/>
          <w:sz w:val="24"/>
          <w:highlight w:val="none"/>
        </w:rPr>
      </w:pPr>
      <w:r>
        <w:rPr>
          <w:rFonts w:hint="eastAsia" w:ascii="宋体" w:hAnsi="宋体" w:cs="宋体"/>
          <w:color w:val="000000"/>
          <w:sz w:val="24"/>
          <w:highlight w:val="none"/>
        </w:rPr>
        <w:t>2、法律服务机构及律师应当按法律规定的时限，在受委托的权限内积极履行代理或辩护职责，依法最大限度维护受援人合法权益；</w:t>
      </w:r>
    </w:p>
    <w:p w14:paraId="6A0009A7">
      <w:pPr>
        <w:spacing w:line="360" w:lineRule="auto"/>
        <w:ind w:firstLine="480" w:firstLineChars="200"/>
        <w:jc w:val="left"/>
        <w:rPr>
          <w:rFonts w:ascii="宋体" w:hAnsi="宋体" w:cs="宋体"/>
          <w:color w:val="000000"/>
          <w:sz w:val="24"/>
          <w:highlight w:val="none"/>
        </w:rPr>
      </w:pPr>
      <w:r>
        <w:rPr>
          <w:rFonts w:hint="eastAsia" w:ascii="宋体" w:hAnsi="宋体" w:cs="宋体"/>
          <w:color w:val="000000"/>
          <w:sz w:val="24"/>
          <w:highlight w:val="none"/>
        </w:rPr>
        <w:t>3、法律服务机构及律师应当保守在办理法律援助案件中知悉的国家秘密、商业秘密，不得泄露当事人隐私，不得索取、收受任何财物或牟取不当利益；</w:t>
      </w:r>
    </w:p>
    <w:p w14:paraId="750C616A">
      <w:pPr>
        <w:spacing w:line="360" w:lineRule="auto"/>
        <w:ind w:firstLine="480" w:firstLineChars="200"/>
        <w:jc w:val="left"/>
        <w:rPr>
          <w:rFonts w:ascii="宋体" w:hAnsi="宋体" w:cs="宋体"/>
          <w:color w:val="000000"/>
          <w:sz w:val="24"/>
          <w:highlight w:val="none"/>
        </w:rPr>
      </w:pPr>
      <w:r>
        <w:rPr>
          <w:rFonts w:hint="eastAsia" w:ascii="宋体" w:hAnsi="宋体" w:cs="宋体"/>
          <w:color w:val="000000"/>
          <w:sz w:val="24"/>
          <w:highlight w:val="none"/>
        </w:rPr>
        <w:t>4、法律服务机构及律师应当在充分尊重受援人意愿的前提下，引导其依法合理表达诉求，恪守职业道德和执业纪律，自愿接受大兴区司法局法援中心的工作安排、指导和监督。</w:t>
      </w:r>
    </w:p>
    <w:p w14:paraId="54984AAC">
      <w:pPr>
        <w:spacing w:line="360" w:lineRule="auto"/>
        <w:ind w:firstLine="482" w:firstLineChars="200"/>
        <w:jc w:val="left"/>
        <w:rPr>
          <w:rFonts w:ascii="宋体" w:hAnsi="宋体" w:cs="宋体"/>
          <w:bCs/>
          <w:color w:val="000000"/>
          <w:sz w:val="24"/>
          <w:highlight w:val="none"/>
        </w:rPr>
      </w:pPr>
      <w:r>
        <w:rPr>
          <w:rFonts w:hint="eastAsia" w:ascii="宋体" w:hAnsi="宋体" w:cs="宋体"/>
          <w:b/>
          <w:bCs/>
          <w:color w:val="000000"/>
          <w:sz w:val="24"/>
          <w:highlight w:val="none"/>
        </w:rPr>
        <w:t xml:space="preserve">第十四条 </w:t>
      </w:r>
      <w:r>
        <w:rPr>
          <w:rFonts w:hint="eastAsia" w:ascii="宋体" w:hAnsi="宋体" w:cs="宋体"/>
          <w:bCs/>
          <w:color w:val="000000"/>
          <w:sz w:val="24"/>
          <w:highlight w:val="none"/>
        </w:rPr>
        <w:t>相关责任</w:t>
      </w:r>
    </w:p>
    <w:p w14:paraId="6EF7F675">
      <w:pPr>
        <w:spacing w:line="360" w:lineRule="auto"/>
        <w:ind w:firstLine="480" w:firstLineChars="200"/>
        <w:jc w:val="left"/>
        <w:rPr>
          <w:rFonts w:ascii="宋体" w:hAnsi="宋体" w:cs="宋体"/>
          <w:color w:val="000000"/>
          <w:sz w:val="24"/>
          <w:highlight w:val="none"/>
        </w:rPr>
      </w:pPr>
      <w:r>
        <w:rPr>
          <w:rFonts w:hint="eastAsia" w:ascii="宋体" w:hAnsi="宋体" w:cs="宋体"/>
          <w:color w:val="000000"/>
          <w:sz w:val="24"/>
          <w:highlight w:val="none"/>
        </w:rPr>
        <w:t>甲方、乙方应本着真诚合作的态度，遵守《中华人民共和国法律援助法》、《中华人民共和国律师法》及《北京市法律援助条例》等相关法律和规定，共同维护受援人合法权益，维护法律正确实施，维护社会稳定。</w:t>
      </w:r>
    </w:p>
    <w:p w14:paraId="662A9B12">
      <w:pPr>
        <w:spacing w:line="360" w:lineRule="auto"/>
        <w:ind w:firstLine="482" w:firstLineChars="200"/>
        <w:jc w:val="left"/>
        <w:rPr>
          <w:rFonts w:ascii="宋体" w:hAnsi="宋体" w:cs="宋体"/>
          <w:color w:val="000000"/>
          <w:sz w:val="24"/>
          <w:highlight w:val="none"/>
        </w:rPr>
      </w:pPr>
      <w:r>
        <w:rPr>
          <w:rFonts w:hint="eastAsia" w:ascii="宋体" w:hAnsi="宋体" w:cs="宋体"/>
          <w:b/>
          <w:bCs/>
          <w:color w:val="000000"/>
          <w:sz w:val="24"/>
          <w:highlight w:val="none"/>
        </w:rPr>
        <w:t>第十五条</w:t>
      </w:r>
      <w:r>
        <w:rPr>
          <w:rFonts w:hint="eastAsia" w:ascii="宋体" w:hAnsi="宋体" w:cs="宋体"/>
          <w:color w:val="000000"/>
          <w:sz w:val="24"/>
          <w:highlight w:val="none"/>
        </w:rPr>
        <w:t xml:space="preserve"> 入围供应商清退规则：</w:t>
      </w:r>
    </w:p>
    <w:p w14:paraId="0FF727C2">
      <w:pPr>
        <w:spacing w:line="360" w:lineRule="auto"/>
        <w:ind w:firstLine="480" w:firstLineChars="200"/>
        <w:jc w:val="left"/>
        <w:rPr>
          <w:rFonts w:ascii="宋体" w:hAnsi="宋体" w:cs="宋体"/>
          <w:color w:val="000000"/>
          <w:sz w:val="24"/>
          <w:highlight w:val="none"/>
        </w:rPr>
      </w:pPr>
      <w:r>
        <w:rPr>
          <w:rFonts w:hint="eastAsia" w:ascii="宋体" w:hAnsi="宋体" w:cs="宋体"/>
          <w:color w:val="000000"/>
          <w:sz w:val="24"/>
          <w:highlight w:val="none"/>
        </w:rPr>
        <w:t xml:space="preserve">（一）入围供应商有下列情形之一，尚未签订框架协议的，取消其入围资格；已经签订框架协议的，解除与其签订的框架协议，甲方作出清退决定前，应书面通知乙方并给予其陈述、申辩的权利： </w:t>
      </w:r>
    </w:p>
    <w:p w14:paraId="3099C868">
      <w:pPr>
        <w:spacing w:line="360" w:lineRule="auto"/>
        <w:ind w:firstLine="480" w:firstLineChars="200"/>
        <w:jc w:val="left"/>
        <w:rPr>
          <w:rFonts w:ascii="宋体" w:hAnsi="宋体" w:cs="宋体"/>
          <w:color w:val="000000"/>
          <w:sz w:val="24"/>
          <w:highlight w:val="none"/>
        </w:rPr>
      </w:pPr>
      <w:r>
        <w:rPr>
          <w:rFonts w:hint="eastAsia" w:ascii="宋体" w:hAnsi="宋体" w:cs="宋体"/>
          <w:color w:val="000000"/>
          <w:sz w:val="24"/>
          <w:highlight w:val="none"/>
        </w:rPr>
        <w:t xml:space="preserve">1、恶意串通谋取入围或者合同成交的； </w:t>
      </w:r>
    </w:p>
    <w:p w14:paraId="5E981B3E">
      <w:pPr>
        <w:spacing w:line="360" w:lineRule="auto"/>
        <w:ind w:firstLine="480" w:firstLineChars="200"/>
        <w:jc w:val="left"/>
        <w:rPr>
          <w:rFonts w:ascii="宋体" w:hAnsi="宋体" w:cs="宋体"/>
          <w:color w:val="000000"/>
          <w:sz w:val="24"/>
          <w:highlight w:val="none"/>
        </w:rPr>
      </w:pPr>
      <w:r>
        <w:rPr>
          <w:rFonts w:hint="eastAsia" w:ascii="宋体" w:hAnsi="宋体" w:cs="宋体"/>
          <w:color w:val="000000"/>
          <w:sz w:val="24"/>
          <w:highlight w:val="none"/>
        </w:rPr>
        <w:t xml:space="preserve">2、提供虚假材料谋取入围或者合同成交的； </w:t>
      </w:r>
    </w:p>
    <w:p w14:paraId="49F6D708">
      <w:pPr>
        <w:spacing w:line="360" w:lineRule="auto"/>
        <w:ind w:firstLine="480" w:firstLineChars="200"/>
        <w:jc w:val="left"/>
        <w:rPr>
          <w:rFonts w:ascii="宋体" w:hAnsi="宋体" w:cs="宋体"/>
          <w:color w:val="000000"/>
          <w:sz w:val="24"/>
          <w:highlight w:val="none"/>
        </w:rPr>
      </w:pPr>
      <w:r>
        <w:rPr>
          <w:rFonts w:hint="eastAsia" w:ascii="宋体" w:hAnsi="宋体" w:cs="宋体"/>
          <w:color w:val="000000"/>
          <w:sz w:val="24"/>
          <w:highlight w:val="none"/>
        </w:rPr>
        <w:t xml:space="preserve">3、无正当理由拒不接受合同授予的； </w:t>
      </w:r>
    </w:p>
    <w:p w14:paraId="52013A23">
      <w:pPr>
        <w:spacing w:line="360" w:lineRule="auto"/>
        <w:ind w:firstLine="480" w:firstLineChars="200"/>
        <w:jc w:val="left"/>
        <w:rPr>
          <w:rFonts w:ascii="宋体" w:hAnsi="宋体" w:cs="宋体"/>
          <w:color w:val="000000"/>
          <w:sz w:val="24"/>
          <w:highlight w:val="none"/>
        </w:rPr>
      </w:pPr>
      <w:r>
        <w:rPr>
          <w:rFonts w:hint="eastAsia" w:ascii="宋体" w:hAnsi="宋体" w:cs="宋体"/>
          <w:color w:val="000000"/>
          <w:sz w:val="24"/>
          <w:highlight w:val="none"/>
        </w:rPr>
        <w:t xml:space="preserve">4、不履行合同义务或者履行合同义务不符合约定，经采购人请求履行后仍不履行或者仍未按约定履行的； </w:t>
      </w:r>
    </w:p>
    <w:p w14:paraId="17EFEBA0">
      <w:pPr>
        <w:spacing w:line="360" w:lineRule="auto"/>
        <w:ind w:firstLine="480" w:firstLineChars="200"/>
        <w:jc w:val="left"/>
        <w:rPr>
          <w:rFonts w:ascii="宋体" w:hAnsi="宋体" w:cs="宋体"/>
          <w:color w:val="000000"/>
          <w:sz w:val="24"/>
          <w:highlight w:val="none"/>
        </w:rPr>
      </w:pPr>
      <w:r>
        <w:rPr>
          <w:rFonts w:hint="eastAsia" w:ascii="宋体" w:hAnsi="宋体" w:cs="宋体"/>
          <w:color w:val="000000"/>
          <w:sz w:val="24"/>
          <w:highlight w:val="none"/>
        </w:rPr>
        <w:t>5、框架协议有效期内，因违法行为被禁止或限制参加政府采购活动的；</w:t>
      </w:r>
    </w:p>
    <w:p w14:paraId="19548C4C">
      <w:pPr>
        <w:spacing w:line="360" w:lineRule="auto"/>
        <w:ind w:firstLine="480" w:firstLineChars="200"/>
        <w:jc w:val="left"/>
        <w:rPr>
          <w:rFonts w:ascii="宋体" w:hAnsi="宋体" w:cs="宋体"/>
          <w:color w:val="000000"/>
          <w:sz w:val="24"/>
          <w:highlight w:val="none"/>
        </w:rPr>
      </w:pPr>
      <w:r>
        <w:rPr>
          <w:rFonts w:ascii="宋体" w:hAnsi="宋体" w:cs="宋体"/>
          <w:color w:val="000000"/>
          <w:sz w:val="24"/>
          <w:highlight w:val="none"/>
        </w:rPr>
        <w:t>6</w:t>
      </w:r>
      <w:r>
        <w:rPr>
          <w:rFonts w:hint="eastAsia" w:ascii="宋体" w:hAnsi="宋体" w:cs="宋体"/>
          <w:color w:val="000000"/>
          <w:sz w:val="24"/>
          <w:highlight w:val="none"/>
        </w:rPr>
        <w:t>、乙方派遣的律师经甲方考评不合格率达到五分之一以上的；</w:t>
      </w:r>
    </w:p>
    <w:p w14:paraId="0832FEBB">
      <w:pPr>
        <w:spacing w:line="360" w:lineRule="auto"/>
        <w:ind w:firstLine="480" w:firstLineChars="200"/>
        <w:jc w:val="left"/>
        <w:rPr>
          <w:rFonts w:ascii="宋体" w:hAnsi="宋体" w:cs="宋体"/>
          <w:color w:val="000000"/>
          <w:sz w:val="24"/>
          <w:highlight w:val="none"/>
        </w:rPr>
      </w:pPr>
      <w:r>
        <w:rPr>
          <w:rFonts w:ascii="宋体" w:hAnsi="宋体" w:cs="宋体"/>
          <w:color w:val="000000"/>
          <w:sz w:val="24"/>
          <w:highlight w:val="none"/>
        </w:rPr>
        <w:t>7</w:t>
      </w:r>
      <w:r>
        <w:rPr>
          <w:rFonts w:hint="eastAsia" w:ascii="宋体" w:hAnsi="宋体" w:cs="宋体"/>
          <w:color w:val="000000"/>
          <w:sz w:val="24"/>
          <w:highlight w:val="none"/>
        </w:rPr>
        <w:t>、乙方或乙方指派的律师、法律服务工作者年度考评不合格的；</w:t>
      </w:r>
    </w:p>
    <w:p w14:paraId="3972AB5D">
      <w:pPr>
        <w:spacing w:line="360" w:lineRule="auto"/>
        <w:ind w:firstLine="480" w:firstLineChars="200"/>
        <w:jc w:val="left"/>
        <w:rPr>
          <w:rFonts w:ascii="宋体" w:hAnsi="宋体" w:cs="宋体"/>
          <w:color w:val="000000"/>
          <w:sz w:val="24"/>
          <w:highlight w:val="none"/>
        </w:rPr>
      </w:pPr>
      <w:r>
        <w:rPr>
          <w:rFonts w:ascii="宋体" w:hAnsi="宋体" w:cs="宋体"/>
          <w:color w:val="000000"/>
          <w:sz w:val="24"/>
          <w:highlight w:val="none"/>
        </w:rPr>
        <w:t>8</w:t>
      </w:r>
      <w:r>
        <w:rPr>
          <w:rFonts w:hint="eastAsia" w:ascii="宋体" w:hAnsi="宋体" w:cs="宋体"/>
          <w:color w:val="000000"/>
          <w:sz w:val="24"/>
          <w:highlight w:val="none"/>
        </w:rPr>
        <w:t>、乙方律师有重大违法违纪行为的。</w:t>
      </w:r>
    </w:p>
    <w:p w14:paraId="4CEF240B">
      <w:pPr>
        <w:spacing w:line="360" w:lineRule="auto"/>
        <w:ind w:firstLine="480" w:firstLineChars="200"/>
        <w:jc w:val="left"/>
        <w:rPr>
          <w:rFonts w:ascii="宋体" w:hAnsi="宋体" w:cs="宋体"/>
          <w:color w:val="000000"/>
          <w:sz w:val="24"/>
          <w:highlight w:val="none"/>
        </w:rPr>
      </w:pPr>
      <w:r>
        <w:rPr>
          <w:rFonts w:ascii="宋体" w:hAnsi="宋体" w:cs="宋体"/>
          <w:color w:val="000000"/>
          <w:sz w:val="24"/>
          <w:highlight w:val="none"/>
        </w:rPr>
        <w:t>9、</w:t>
      </w:r>
      <w:r>
        <w:rPr>
          <w:rFonts w:hint="eastAsia" w:ascii="宋体" w:hAnsi="宋体" w:cs="宋体"/>
          <w:color w:val="000000"/>
          <w:sz w:val="24"/>
          <w:highlight w:val="none"/>
        </w:rPr>
        <w:t>违反司法部、北京市司法局有关律师及律师事务所管理规定的。</w:t>
      </w:r>
    </w:p>
    <w:p w14:paraId="44AAA26E">
      <w:pPr>
        <w:spacing w:line="360" w:lineRule="auto"/>
        <w:ind w:firstLine="480" w:firstLineChars="200"/>
        <w:jc w:val="left"/>
        <w:rPr>
          <w:rFonts w:ascii="宋体" w:hAnsi="宋体" w:cs="宋体"/>
          <w:color w:val="000000"/>
          <w:sz w:val="24"/>
          <w:highlight w:val="none"/>
        </w:rPr>
      </w:pPr>
      <w:r>
        <w:rPr>
          <w:rFonts w:hint="eastAsia" w:ascii="宋体" w:hAnsi="宋体" w:cs="宋体"/>
          <w:color w:val="000000"/>
          <w:sz w:val="24"/>
          <w:highlight w:val="none"/>
        </w:rPr>
        <w:t>1</w:t>
      </w:r>
      <w:r>
        <w:rPr>
          <w:rFonts w:ascii="宋体" w:hAnsi="宋体" w:cs="宋体"/>
          <w:color w:val="000000"/>
          <w:sz w:val="24"/>
          <w:highlight w:val="none"/>
        </w:rPr>
        <w:t>0</w:t>
      </w:r>
      <w:r>
        <w:rPr>
          <w:rFonts w:hint="eastAsia" w:ascii="宋体" w:hAnsi="宋体" w:cs="宋体"/>
          <w:color w:val="000000"/>
          <w:sz w:val="24"/>
          <w:highlight w:val="none"/>
        </w:rPr>
        <w:t xml:space="preserve">、框架协议约定的其他情形。 </w:t>
      </w:r>
    </w:p>
    <w:p w14:paraId="33BB7D72">
      <w:pPr>
        <w:spacing w:line="360" w:lineRule="auto"/>
        <w:ind w:firstLine="480" w:firstLineChars="200"/>
        <w:jc w:val="left"/>
        <w:rPr>
          <w:rFonts w:ascii="宋体" w:hAnsi="宋体" w:cs="宋体"/>
          <w:color w:val="000000"/>
          <w:sz w:val="24"/>
          <w:highlight w:val="none"/>
        </w:rPr>
      </w:pPr>
      <w:r>
        <w:rPr>
          <w:rFonts w:hint="eastAsia" w:ascii="宋体" w:hAnsi="宋体" w:cs="宋体"/>
          <w:color w:val="000000"/>
          <w:sz w:val="24"/>
          <w:highlight w:val="none"/>
        </w:rPr>
        <w:t>（二）入围供应商无正当理由拒不与征集人签订框架协议的，取消其入围资格。</w:t>
      </w:r>
    </w:p>
    <w:p w14:paraId="082EABF8">
      <w:pPr>
        <w:spacing w:line="360" w:lineRule="auto"/>
        <w:ind w:firstLine="480" w:firstLineChars="200"/>
        <w:jc w:val="left"/>
        <w:rPr>
          <w:rFonts w:ascii="宋体" w:hAnsi="宋体" w:cs="宋体"/>
          <w:color w:val="000000"/>
          <w:sz w:val="24"/>
          <w:highlight w:val="none"/>
        </w:rPr>
      </w:pPr>
      <w:r>
        <w:rPr>
          <w:rFonts w:hint="eastAsia" w:ascii="宋体" w:hAnsi="宋体" w:cs="宋体"/>
          <w:color w:val="000000"/>
          <w:sz w:val="24"/>
          <w:highlight w:val="none"/>
        </w:rPr>
        <w:t>（三）入围供应商如发生实质性变动（营业执照注销、不再符合本项目资格条件等）的，尚未签订框架协议的，取消其入围资格；已经签订框架协议的，解除与其签订的框架协议。</w:t>
      </w:r>
    </w:p>
    <w:p w14:paraId="49B06082">
      <w:pPr>
        <w:spacing w:line="360" w:lineRule="auto"/>
        <w:ind w:firstLine="480" w:firstLineChars="200"/>
        <w:jc w:val="left"/>
        <w:rPr>
          <w:rFonts w:ascii="宋体" w:hAnsi="宋体" w:cs="宋体"/>
          <w:b/>
          <w:bCs/>
          <w:color w:val="000000"/>
          <w:sz w:val="24"/>
          <w:highlight w:val="none"/>
        </w:rPr>
      </w:pPr>
      <w:r>
        <w:rPr>
          <w:rFonts w:hint="eastAsia" w:ascii="宋体" w:hAnsi="宋体" w:cs="宋体"/>
          <w:color w:val="000000"/>
          <w:sz w:val="24"/>
          <w:highlight w:val="none"/>
        </w:rPr>
        <w:t xml:space="preserve">（四）被取消入围资格或者被解除框架协议的供应商不得参加本封闭式框架协议补充征集。 </w:t>
      </w:r>
    </w:p>
    <w:p w14:paraId="297BF330">
      <w:pPr>
        <w:spacing w:line="360" w:lineRule="auto"/>
        <w:ind w:firstLine="525" w:firstLineChars="218"/>
        <w:jc w:val="left"/>
        <w:rPr>
          <w:rFonts w:ascii="宋体" w:hAnsi="宋体" w:cs="宋体"/>
          <w:color w:val="000000"/>
          <w:sz w:val="24"/>
          <w:highlight w:val="none"/>
        </w:rPr>
      </w:pPr>
      <w:r>
        <w:rPr>
          <w:rFonts w:hint="eastAsia" w:ascii="宋体" w:hAnsi="宋体" w:cs="宋体"/>
          <w:b/>
          <w:bCs/>
          <w:color w:val="000000"/>
          <w:sz w:val="24"/>
          <w:highlight w:val="none"/>
        </w:rPr>
        <w:t xml:space="preserve">第十六条 </w:t>
      </w:r>
      <w:r>
        <w:rPr>
          <w:rFonts w:hint="eastAsia" w:ascii="宋体" w:hAnsi="宋体" w:cs="宋体"/>
          <w:color w:val="000000"/>
          <w:sz w:val="24"/>
          <w:highlight w:val="none"/>
        </w:rPr>
        <w:t>入围供应商补充规则：</w:t>
      </w:r>
    </w:p>
    <w:p w14:paraId="54786097">
      <w:pPr>
        <w:spacing w:line="360" w:lineRule="auto"/>
        <w:ind w:firstLine="523" w:firstLineChars="218"/>
        <w:jc w:val="left"/>
        <w:rPr>
          <w:rFonts w:ascii="宋体" w:hAnsi="宋体" w:cs="宋体"/>
          <w:color w:val="000000"/>
          <w:sz w:val="24"/>
          <w:highlight w:val="none"/>
        </w:rPr>
      </w:pPr>
      <w:r>
        <w:rPr>
          <w:rFonts w:hint="eastAsia" w:ascii="宋体" w:hAnsi="宋体" w:cs="宋体"/>
          <w:color w:val="000000"/>
          <w:sz w:val="24"/>
          <w:highlight w:val="none"/>
        </w:rPr>
        <w:t>框架协议有效期内如出现剩余入围供应商不足入围供应商总数70%且影响框架协议执行的情形时，征集人报财政部门审核同意后，将进行补充征集供应商。补充征集的条件、程序、评审方法和淘汰比例与初次征集相同。补充征集遵守原框架协议的有效期。补充征集期间，原框架协议继续履行。</w:t>
      </w:r>
    </w:p>
    <w:p w14:paraId="45F1E342">
      <w:pPr>
        <w:spacing w:line="360" w:lineRule="auto"/>
        <w:ind w:firstLine="525" w:firstLineChars="218"/>
        <w:jc w:val="left"/>
        <w:rPr>
          <w:rFonts w:ascii="宋体" w:hAnsi="宋体" w:cs="宋体"/>
          <w:color w:val="000000"/>
          <w:sz w:val="24"/>
          <w:highlight w:val="none"/>
        </w:rPr>
      </w:pPr>
      <w:r>
        <w:rPr>
          <w:rFonts w:hint="eastAsia" w:ascii="宋体" w:hAnsi="宋体" w:cs="宋体"/>
          <w:b/>
          <w:bCs/>
          <w:color w:val="000000"/>
          <w:sz w:val="24"/>
          <w:highlight w:val="none"/>
        </w:rPr>
        <w:t>第十七条</w:t>
      </w:r>
      <w:r>
        <w:rPr>
          <w:rFonts w:hint="eastAsia" w:ascii="宋体" w:hAnsi="宋体" w:cs="宋体"/>
          <w:color w:val="000000"/>
          <w:sz w:val="24"/>
          <w:highlight w:val="none"/>
        </w:rPr>
        <w:t xml:space="preserve"> 乙方和采购人发生争议的处理：</w:t>
      </w:r>
    </w:p>
    <w:p w14:paraId="6BAF6301">
      <w:pPr>
        <w:spacing w:line="360" w:lineRule="auto"/>
        <w:ind w:firstLine="523" w:firstLineChars="218"/>
        <w:jc w:val="left"/>
        <w:rPr>
          <w:rFonts w:ascii="宋体" w:hAnsi="宋体" w:cs="宋体"/>
          <w:color w:val="000000"/>
          <w:sz w:val="24"/>
          <w:highlight w:val="none"/>
        </w:rPr>
      </w:pPr>
      <w:r>
        <w:rPr>
          <w:rFonts w:hint="eastAsia" w:ascii="宋体" w:hAnsi="宋体" w:cs="宋体"/>
          <w:color w:val="000000"/>
          <w:sz w:val="24"/>
          <w:highlight w:val="none"/>
        </w:rPr>
        <w:t>双方如发生合同纠纷，应当友好协商，并按《中华人民共和国民法典》《中华人民共和国政府采购法》《中华人民共和国政府采购法实施条例》《政府采购框架协议采购方式管理暂行办法》等相关法律、法规、规章的规定及本项目征集文件的要求处理。</w:t>
      </w:r>
    </w:p>
    <w:p w14:paraId="2FE6E8C4">
      <w:pPr>
        <w:spacing w:line="360" w:lineRule="auto"/>
        <w:ind w:firstLine="482" w:firstLineChars="200"/>
        <w:jc w:val="left"/>
        <w:rPr>
          <w:rFonts w:ascii="宋体" w:hAnsi="宋体" w:cs="宋体"/>
          <w:color w:val="000000"/>
          <w:sz w:val="24"/>
          <w:highlight w:val="none"/>
        </w:rPr>
      </w:pPr>
      <w:r>
        <w:rPr>
          <w:rFonts w:hint="eastAsia" w:ascii="宋体" w:hAnsi="宋体" w:cs="宋体"/>
          <w:b/>
          <w:bCs/>
          <w:color w:val="000000"/>
          <w:sz w:val="24"/>
          <w:highlight w:val="none"/>
        </w:rPr>
        <w:t>第十八条</w:t>
      </w:r>
      <w:r>
        <w:rPr>
          <w:rFonts w:hint="eastAsia" w:ascii="宋体" w:hAnsi="宋体" w:cs="宋体"/>
          <w:color w:val="000000"/>
          <w:sz w:val="24"/>
          <w:highlight w:val="none"/>
        </w:rPr>
        <w:t xml:space="preserve"> 本协议发生争议的处理：</w:t>
      </w:r>
    </w:p>
    <w:p w14:paraId="5BC3C052">
      <w:pPr>
        <w:spacing w:line="360" w:lineRule="auto"/>
        <w:ind w:firstLine="480"/>
        <w:jc w:val="left"/>
        <w:rPr>
          <w:rFonts w:ascii="宋体" w:hAnsi="宋体" w:cs="宋体"/>
          <w:color w:val="000000"/>
          <w:sz w:val="24"/>
          <w:highlight w:val="none"/>
        </w:rPr>
      </w:pPr>
      <w:r>
        <w:rPr>
          <w:rFonts w:hint="eastAsia" w:ascii="宋体" w:hAnsi="宋体" w:cs="宋体"/>
          <w:color w:val="000000"/>
          <w:sz w:val="24"/>
          <w:highlight w:val="none"/>
        </w:rPr>
        <w:t>因本协议产生的纠纷，由双方协商解决。协商不成的，可向甲方住所地北京市大兴区人民法院提起诉讼。</w:t>
      </w:r>
    </w:p>
    <w:p w14:paraId="24291047">
      <w:pPr>
        <w:spacing w:line="360" w:lineRule="auto"/>
        <w:ind w:firstLine="525" w:firstLineChars="218"/>
        <w:jc w:val="left"/>
        <w:rPr>
          <w:rFonts w:ascii="宋体" w:hAnsi="宋体" w:cs="宋体"/>
          <w:color w:val="000000"/>
          <w:sz w:val="24"/>
          <w:highlight w:val="none"/>
        </w:rPr>
      </w:pPr>
      <w:r>
        <w:rPr>
          <w:rFonts w:hint="eastAsia" w:ascii="宋体" w:hAnsi="宋体" w:cs="宋体"/>
          <w:b/>
          <w:bCs/>
          <w:color w:val="000000"/>
          <w:sz w:val="24"/>
          <w:highlight w:val="none"/>
        </w:rPr>
        <w:t>第十九条</w:t>
      </w:r>
      <w:r>
        <w:rPr>
          <w:rFonts w:hint="eastAsia" w:ascii="宋体" w:hAnsi="宋体" w:cs="宋体"/>
          <w:color w:val="000000"/>
          <w:sz w:val="24"/>
          <w:highlight w:val="none"/>
        </w:rPr>
        <w:t xml:space="preserve"> 违约责任：</w:t>
      </w:r>
    </w:p>
    <w:p w14:paraId="00937B4A">
      <w:pPr>
        <w:spacing w:line="360" w:lineRule="auto"/>
        <w:ind w:firstLine="523" w:firstLineChars="218"/>
        <w:jc w:val="left"/>
        <w:rPr>
          <w:rFonts w:ascii="宋体" w:hAnsi="宋体" w:cs="宋体"/>
          <w:color w:val="000000"/>
          <w:sz w:val="24"/>
          <w:highlight w:val="none"/>
        </w:rPr>
      </w:pPr>
      <w:r>
        <w:rPr>
          <w:rFonts w:hint="eastAsia" w:ascii="宋体" w:hAnsi="宋体" w:cs="宋体"/>
          <w:color w:val="000000"/>
          <w:sz w:val="24"/>
          <w:highlight w:val="none"/>
        </w:rPr>
        <w:t>1、甲乙双方要严格按协议书履约；</w:t>
      </w:r>
    </w:p>
    <w:p w14:paraId="048168C5">
      <w:pPr>
        <w:spacing w:line="360" w:lineRule="auto"/>
        <w:ind w:firstLine="523" w:firstLineChars="218"/>
        <w:jc w:val="left"/>
        <w:rPr>
          <w:rFonts w:ascii="宋体" w:hAnsi="宋体" w:cs="宋体"/>
          <w:color w:val="000000"/>
          <w:sz w:val="24"/>
          <w:highlight w:val="none"/>
        </w:rPr>
      </w:pPr>
      <w:r>
        <w:rPr>
          <w:rFonts w:hint="eastAsia" w:ascii="宋体" w:hAnsi="宋体" w:cs="宋体"/>
          <w:color w:val="000000"/>
          <w:sz w:val="24"/>
          <w:highlight w:val="none"/>
        </w:rPr>
        <w:t>2、</w:t>
      </w:r>
      <w:r>
        <w:rPr>
          <w:rFonts w:hint="eastAsia" w:cs="宋体"/>
          <w:color w:val="000000"/>
          <w:sz w:val="24"/>
          <w:highlight w:val="none"/>
        </w:rPr>
        <w:t>如甲方违反</w:t>
      </w:r>
      <w:r>
        <w:rPr>
          <w:rFonts w:hint="eastAsia" w:ascii="宋体" w:hAnsi="宋体" w:cs="宋体"/>
          <w:color w:val="000000"/>
          <w:sz w:val="24"/>
          <w:highlight w:val="none"/>
        </w:rPr>
        <w:t>本项目征集文件和协议书的有关规定，乙方有权向财政部门反映；</w:t>
      </w:r>
    </w:p>
    <w:p w14:paraId="7E7542AC">
      <w:pPr>
        <w:spacing w:line="360" w:lineRule="auto"/>
        <w:ind w:firstLine="523" w:firstLineChars="218"/>
        <w:jc w:val="left"/>
        <w:rPr>
          <w:rFonts w:ascii="宋体" w:hAnsi="宋体" w:cs="宋体"/>
          <w:color w:val="000000"/>
          <w:sz w:val="24"/>
          <w:highlight w:val="none"/>
        </w:rPr>
      </w:pPr>
      <w:r>
        <w:rPr>
          <w:rFonts w:hint="eastAsia" w:cs="宋体"/>
          <w:color w:val="000000"/>
          <w:sz w:val="24"/>
          <w:highlight w:val="none"/>
        </w:rPr>
        <w:t>3、</w:t>
      </w:r>
      <w:r>
        <w:rPr>
          <w:rFonts w:hint="eastAsia" w:ascii="宋体" w:hAnsi="宋体" w:cs="宋体"/>
          <w:color w:val="000000"/>
          <w:sz w:val="24"/>
          <w:highlight w:val="none"/>
        </w:rPr>
        <w:t>如乙方违反本项目征集文件和协议书的有关规定，甲方有权根据本项目征集文件、协议书的规定对乙方进行处理，必要时按规定解除协议。</w:t>
      </w:r>
    </w:p>
    <w:p w14:paraId="4291082A">
      <w:pPr>
        <w:autoSpaceDE w:val="0"/>
        <w:autoSpaceDN w:val="0"/>
        <w:spacing w:line="360" w:lineRule="auto"/>
        <w:ind w:firstLine="482" w:firstLineChars="200"/>
        <w:jc w:val="left"/>
        <w:rPr>
          <w:rFonts w:ascii="宋体" w:hAnsi="宋体" w:cs="宋体"/>
          <w:b/>
          <w:bCs/>
          <w:color w:val="000000"/>
          <w:sz w:val="24"/>
          <w:highlight w:val="none"/>
        </w:rPr>
      </w:pPr>
      <w:r>
        <w:rPr>
          <w:rFonts w:hint="eastAsia" w:ascii="宋体" w:hAnsi="宋体" w:cs="宋体"/>
          <w:b/>
          <w:bCs/>
          <w:color w:val="000000"/>
          <w:sz w:val="24"/>
          <w:highlight w:val="none"/>
        </w:rPr>
        <w:t>第二十条 其他事项</w:t>
      </w:r>
    </w:p>
    <w:p w14:paraId="266FFF2F">
      <w:pPr>
        <w:spacing w:line="360" w:lineRule="auto"/>
        <w:ind w:firstLine="523" w:firstLineChars="218"/>
        <w:jc w:val="left"/>
        <w:rPr>
          <w:rFonts w:ascii="宋体" w:hAnsi="宋体" w:cs="宋体"/>
          <w:color w:val="000000"/>
          <w:sz w:val="24"/>
          <w:highlight w:val="none"/>
        </w:rPr>
      </w:pPr>
      <w:r>
        <w:rPr>
          <w:rFonts w:hint="eastAsia" w:ascii="宋体" w:hAnsi="宋体" w:cs="宋体"/>
          <w:color w:val="000000"/>
          <w:sz w:val="24"/>
          <w:highlight w:val="none"/>
        </w:rPr>
        <w:t>1、本协议附件（廉政责任书、保密承诺书、服务承诺书）是本合同的重要组成部分，甲乙双方都应严格遵守，乙方违反保密或廉政义务的，视为违反本协议第十四条“相关责任”，甲方有权直接启动清退程序。</w:t>
      </w:r>
    </w:p>
    <w:p w14:paraId="2DE47196">
      <w:pPr>
        <w:spacing w:line="360" w:lineRule="auto"/>
        <w:ind w:firstLine="523" w:firstLineChars="218"/>
        <w:jc w:val="left"/>
        <w:rPr>
          <w:rFonts w:ascii="宋体" w:hAnsi="宋体" w:cs="宋体"/>
          <w:color w:val="000000"/>
          <w:sz w:val="24"/>
          <w:highlight w:val="none"/>
        </w:rPr>
      </w:pPr>
      <w:r>
        <w:rPr>
          <w:rFonts w:hint="eastAsia" w:ascii="宋体" w:hAnsi="宋体" w:cs="宋体"/>
          <w:color w:val="000000"/>
          <w:sz w:val="24"/>
          <w:highlight w:val="none"/>
        </w:rPr>
        <w:t>2、其他未尽事宜，由双方协商解决，由此而形成的书面文件为本协议的重要补充，与本协议具有同等法律效力。</w:t>
      </w:r>
    </w:p>
    <w:p w14:paraId="7BAD92A4">
      <w:pPr>
        <w:spacing w:line="360" w:lineRule="auto"/>
        <w:ind w:firstLine="523" w:firstLineChars="218"/>
        <w:jc w:val="left"/>
        <w:rPr>
          <w:rFonts w:ascii="宋体" w:hAnsi="宋体" w:cs="宋体"/>
          <w:color w:val="000000"/>
          <w:sz w:val="24"/>
          <w:highlight w:val="none"/>
        </w:rPr>
      </w:pPr>
      <w:r>
        <w:rPr>
          <w:rFonts w:hint="eastAsia" w:ascii="宋体" w:hAnsi="宋体" w:cs="宋体"/>
          <w:color w:val="000000"/>
          <w:sz w:val="24"/>
          <w:highlight w:val="none"/>
        </w:rPr>
        <w:t>3、乙方须主动配合甲方工作，自觉接受结果查究。</w:t>
      </w:r>
    </w:p>
    <w:p w14:paraId="1B16B03F">
      <w:pPr>
        <w:autoSpaceDE w:val="0"/>
        <w:autoSpaceDN w:val="0"/>
        <w:spacing w:line="360" w:lineRule="auto"/>
        <w:ind w:firstLine="482" w:firstLineChars="200"/>
        <w:jc w:val="left"/>
        <w:rPr>
          <w:rFonts w:ascii="宋体" w:hAnsi="宋体" w:cs="宋体"/>
          <w:color w:val="000000"/>
          <w:sz w:val="24"/>
          <w:highlight w:val="none"/>
        </w:rPr>
      </w:pPr>
      <w:r>
        <w:rPr>
          <w:rFonts w:hint="eastAsia" w:ascii="宋体" w:hAnsi="宋体" w:cs="宋体"/>
          <w:b/>
          <w:bCs/>
          <w:color w:val="000000"/>
          <w:sz w:val="24"/>
          <w:highlight w:val="none"/>
        </w:rPr>
        <w:t>第二十一条</w:t>
      </w:r>
      <w:r>
        <w:rPr>
          <w:rFonts w:hint="eastAsia" w:ascii="宋体" w:hAnsi="宋体" w:cs="宋体"/>
          <w:color w:val="000000"/>
          <w:sz w:val="24"/>
          <w:highlight w:val="none"/>
        </w:rPr>
        <w:t xml:space="preserve"> 协议的生效：</w:t>
      </w:r>
    </w:p>
    <w:p w14:paraId="46C67301">
      <w:pPr>
        <w:autoSpaceDE w:val="0"/>
        <w:autoSpaceDN w:val="0"/>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1、本协议经甲乙双方签字加盖公章后生效。</w:t>
      </w:r>
    </w:p>
    <w:p w14:paraId="15299855">
      <w:pPr>
        <w:autoSpaceDE w:val="0"/>
        <w:autoSpaceDN w:val="0"/>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2、如有最新政策规定，甲乙双方按最新政策规定执行，不再签订补充协议。</w:t>
      </w:r>
    </w:p>
    <w:p w14:paraId="39DFACD8">
      <w:pPr>
        <w:autoSpaceDE w:val="0"/>
        <w:autoSpaceDN w:val="0"/>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3、本项目征集文件、乙方响应文件均作为本协议的组成部分，具有同等法律效力。</w:t>
      </w:r>
    </w:p>
    <w:p w14:paraId="6D7E1A32">
      <w:pPr>
        <w:autoSpaceDE w:val="0"/>
        <w:autoSpaceDN w:val="0"/>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4、本协议一式</w:t>
      </w:r>
      <w:r>
        <w:rPr>
          <w:rFonts w:hint="eastAsia" w:ascii="宋体" w:hAnsi="宋体" w:cs="宋体"/>
          <w:color w:val="000000"/>
          <w:sz w:val="24"/>
          <w:highlight w:val="none"/>
          <w:u w:val="single"/>
        </w:rPr>
        <w:t xml:space="preserve"> </w:t>
      </w:r>
      <w:r>
        <w:rPr>
          <w:rFonts w:ascii="宋体" w:hAnsi="宋体" w:cs="宋体"/>
          <w:color w:val="000000"/>
          <w:sz w:val="24"/>
          <w:highlight w:val="none"/>
          <w:u w:val="single"/>
        </w:rPr>
        <w:t xml:space="preserve">  </w:t>
      </w:r>
      <w:r>
        <w:rPr>
          <w:rFonts w:hint="eastAsia" w:ascii="宋体" w:hAnsi="宋体" w:cs="宋体"/>
          <w:color w:val="000000"/>
          <w:sz w:val="24"/>
          <w:highlight w:val="none"/>
        </w:rPr>
        <w:t>份，甲乙双方各执</w:t>
      </w:r>
      <w:r>
        <w:rPr>
          <w:rFonts w:hint="eastAsia" w:ascii="宋体" w:hAnsi="宋体" w:cs="宋体"/>
          <w:color w:val="000000"/>
          <w:sz w:val="24"/>
          <w:highlight w:val="none"/>
          <w:u w:val="single"/>
        </w:rPr>
        <w:t xml:space="preserve"> </w:t>
      </w:r>
      <w:r>
        <w:rPr>
          <w:rFonts w:ascii="宋体" w:hAnsi="宋体" w:cs="宋体"/>
          <w:color w:val="000000"/>
          <w:sz w:val="24"/>
          <w:highlight w:val="none"/>
          <w:u w:val="single"/>
        </w:rPr>
        <w:t xml:space="preserve">  </w:t>
      </w:r>
      <w:r>
        <w:rPr>
          <w:rFonts w:hint="eastAsia" w:ascii="宋体" w:hAnsi="宋体" w:cs="宋体"/>
          <w:color w:val="000000"/>
          <w:sz w:val="24"/>
          <w:highlight w:val="none"/>
        </w:rPr>
        <w:t>份，具有同等法律效力。</w:t>
      </w:r>
    </w:p>
    <w:p w14:paraId="5DDA0253">
      <w:pPr>
        <w:pStyle w:val="41"/>
        <w:spacing w:line="360" w:lineRule="auto"/>
        <w:ind w:firstLine="480"/>
        <w:rPr>
          <w:highlight w:val="none"/>
        </w:rPr>
      </w:pPr>
      <w:r>
        <w:rPr>
          <w:rFonts w:hint="eastAsia"/>
          <w:highlight w:val="none"/>
        </w:rPr>
        <w:t>（以下无正文）</w:t>
      </w:r>
    </w:p>
    <w:p w14:paraId="34FD3449">
      <w:pPr>
        <w:pStyle w:val="22"/>
        <w:rPr>
          <w:highlight w:val="none"/>
        </w:rPr>
      </w:pPr>
    </w:p>
    <w:p w14:paraId="05555D30">
      <w:pPr>
        <w:pStyle w:val="41"/>
        <w:spacing w:line="360" w:lineRule="auto"/>
        <w:ind w:firstLine="480"/>
        <w:rPr>
          <w:highlight w:val="none"/>
        </w:rPr>
      </w:pPr>
    </w:p>
    <w:p w14:paraId="28BCD6D5">
      <w:pPr>
        <w:pStyle w:val="41"/>
        <w:spacing w:line="360" w:lineRule="auto"/>
        <w:ind w:firstLine="480"/>
        <w:rPr>
          <w:highlight w:val="none"/>
        </w:rPr>
      </w:pPr>
    </w:p>
    <w:p w14:paraId="2E84B954">
      <w:pPr>
        <w:autoSpaceDE w:val="0"/>
        <w:autoSpaceDN w:val="0"/>
        <w:spacing w:line="360" w:lineRule="auto"/>
        <w:ind w:firstLine="480"/>
        <w:jc w:val="left"/>
        <w:rPr>
          <w:rFonts w:ascii="宋体" w:hAnsi="宋体" w:cs="宋体"/>
          <w:color w:val="000000"/>
          <w:sz w:val="24"/>
          <w:highlight w:val="none"/>
        </w:rPr>
      </w:pPr>
    </w:p>
    <w:tbl>
      <w:tblPr>
        <w:tblStyle w:val="42"/>
        <w:tblW w:w="9867" w:type="dxa"/>
        <w:jc w:val="center"/>
        <w:tblLayout w:type="fixed"/>
        <w:tblCellMar>
          <w:top w:w="0" w:type="dxa"/>
          <w:left w:w="108" w:type="dxa"/>
          <w:bottom w:w="0" w:type="dxa"/>
          <w:right w:w="108" w:type="dxa"/>
        </w:tblCellMar>
      </w:tblPr>
      <w:tblGrid>
        <w:gridCol w:w="5452"/>
        <w:gridCol w:w="4415"/>
      </w:tblGrid>
      <w:tr w14:paraId="78335013">
        <w:tblPrEx>
          <w:tblCellMar>
            <w:top w:w="0" w:type="dxa"/>
            <w:left w:w="108" w:type="dxa"/>
            <w:bottom w:w="0" w:type="dxa"/>
            <w:right w:w="108" w:type="dxa"/>
          </w:tblCellMar>
        </w:tblPrEx>
        <w:trPr>
          <w:jc w:val="center"/>
        </w:trPr>
        <w:tc>
          <w:tcPr>
            <w:tcW w:w="5452" w:type="dxa"/>
            <w:noWrap w:val="0"/>
            <w:vAlign w:val="top"/>
          </w:tcPr>
          <w:p w14:paraId="3AFCA10C">
            <w:pPr>
              <w:widowControl/>
              <w:spacing w:line="360" w:lineRule="auto"/>
              <w:ind w:firstLine="480" w:firstLineChars="200"/>
              <w:rPr>
                <w:rFonts w:ascii="宋体" w:hAnsi="宋体" w:cs="宋体"/>
                <w:color w:val="000000"/>
                <w:kern w:val="0"/>
                <w:sz w:val="24"/>
                <w:highlight w:val="none"/>
              </w:rPr>
            </w:pPr>
            <w:r>
              <w:rPr>
                <w:rFonts w:hint="eastAsia" w:ascii="宋体" w:hAnsi="宋体" w:cs="宋体"/>
                <w:color w:val="000000"/>
                <w:kern w:val="0"/>
                <w:sz w:val="24"/>
                <w:highlight w:val="none"/>
              </w:rPr>
              <w:t>甲方（盖章）：</w:t>
            </w:r>
          </w:p>
        </w:tc>
        <w:tc>
          <w:tcPr>
            <w:tcW w:w="4415" w:type="dxa"/>
            <w:noWrap w:val="0"/>
            <w:vAlign w:val="top"/>
          </w:tcPr>
          <w:p w14:paraId="1FDA92D8">
            <w:pPr>
              <w:widowControl/>
              <w:spacing w:line="360" w:lineRule="auto"/>
              <w:ind w:firstLine="120"/>
              <w:rPr>
                <w:rFonts w:ascii="宋体" w:hAnsi="宋体" w:cs="宋体"/>
                <w:color w:val="000000"/>
                <w:kern w:val="0"/>
                <w:sz w:val="24"/>
                <w:highlight w:val="none"/>
              </w:rPr>
            </w:pPr>
            <w:r>
              <w:rPr>
                <w:rFonts w:hint="eastAsia" w:ascii="宋体" w:hAnsi="宋体" w:cs="宋体"/>
                <w:color w:val="000000"/>
                <w:kern w:val="0"/>
                <w:sz w:val="24"/>
                <w:highlight w:val="none"/>
              </w:rPr>
              <w:t>乙方（盖章）：</w:t>
            </w:r>
          </w:p>
        </w:tc>
      </w:tr>
      <w:tr w14:paraId="793CAEC7">
        <w:tblPrEx>
          <w:tblCellMar>
            <w:top w:w="0" w:type="dxa"/>
            <w:left w:w="108" w:type="dxa"/>
            <w:bottom w:w="0" w:type="dxa"/>
            <w:right w:w="108" w:type="dxa"/>
          </w:tblCellMar>
        </w:tblPrEx>
        <w:trPr>
          <w:jc w:val="center"/>
        </w:trPr>
        <w:tc>
          <w:tcPr>
            <w:tcW w:w="5452" w:type="dxa"/>
            <w:noWrap w:val="0"/>
            <w:vAlign w:val="top"/>
          </w:tcPr>
          <w:p w14:paraId="1C18D119">
            <w:pPr>
              <w:widowControl/>
              <w:spacing w:line="360" w:lineRule="auto"/>
              <w:ind w:firstLine="480" w:firstLineChars="200"/>
              <w:rPr>
                <w:rFonts w:ascii="宋体" w:hAnsi="宋体" w:cs="宋体"/>
                <w:color w:val="000000"/>
                <w:kern w:val="0"/>
                <w:sz w:val="24"/>
                <w:highlight w:val="none"/>
              </w:rPr>
            </w:pPr>
            <w:r>
              <w:rPr>
                <w:rFonts w:hint="eastAsia" w:ascii="宋体" w:hAnsi="宋体" w:cs="宋体"/>
                <w:color w:val="000000"/>
                <w:kern w:val="0"/>
                <w:sz w:val="24"/>
                <w:highlight w:val="none"/>
              </w:rPr>
              <w:t>地址：</w:t>
            </w:r>
          </w:p>
        </w:tc>
        <w:tc>
          <w:tcPr>
            <w:tcW w:w="4415" w:type="dxa"/>
            <w:noWrap w:val="0"/>
            <w:vAlign w:val="top"/>
          </w:tcPr>
          <w:p w14:paraId="71FB084E">
            <w:pPr>
              <w:widowControl/>
              <w:spacing w:line="360" w:lineRule="auto"/>
              <w:ind w:firstLine="120"/>
              <w:rPr>
                <w:rFonts w:ascii="宋体" w:hAnsi="宋体" w:cs="宋体"/>
                <w:color w:val="000000"/>
                <w:kern w:val="0"/>
                <w:sz w:val="24"/>
                <w:highlight w:val="none"/>
              </w:rPr>
            </w:pPr>
            <w:r>
              <w:rPr>
                <w:rFonts w:hint="eastAsia" w:ascii="宋体" w:hAnsi="宋体" w:cs="宋体"/>
                <w:color w:val="000000"/>
                <w:kern w:val="0"/>
                <w:sz w:val="24"/>
                <w:highlight w:val="none"/>
              </w:rPr>
              <w:t xml:space="preserve">地址： </w:t>
            </w:r>
          </w:p>
        </w:tc>
      </w:tr>
      <w:tr w14:paraId="6C1A59FC">
        <w:tblPrEx>
          <w:tblCellMar>
            <w:top w:w="0" w:type="dxa"/>
            <w:left w:w="108" w:type="dxa"/>
            <w:bottom w:w="0" w:type="dxa"/>
            <w:right w:w="108" w:type="dxa"/>
          </w:tblCellMar>
        </w:tblPrEx>
        <w:trPr>
          <w:jc w:val="center"/>
        </w:trPr>
        <w:tc>
          <w:tcPr>
            <w:tcW w:w="5452" w:type="dxa"/>
            <w:noWrap w:val="0"/>
            <w:vAlign w:val="top"/>
          </w:tcPr>
          <w:p w14:paraId="152046D6">
            <w:pPr>
              <w:widowControl/>
              <w:spacing w:line="360" w:lineRule="auto"/>
              <w:ind w:firstLine="480" w:firstLineChars="200"/>
              <w:rPr>
                <w:rFonts w:ascii="宋体" w:hAnsi="宋体" w:cs="宋体"/>
                <w:color w:val="000000"/>
                <w:kern w:val="0"/>
                <w:sz w:val="24"/>
                <w:highlight w:val="none"/>
              </w:rPr>
            </w:pPr>
            <w:r>
              <w:rPr>
                <w:rFonts w:hint="eastAsia" w:ascii="宋体" w:hAnsi="宋体" w:cs="宋体"/>
                <w:color w:val="000000"/>
                <w:kern w:val="0"/>
                <w:sz w:val="24"/>
                <w:highlight w:val="none"/>
              </w:rPr>
              <w:t>联系人：</w:t>
            </w:r>
          </w:p>
        </w:tc>
        <w:tc>
          <w:tcPr>
            <w:tcW w:w="4415" w:type="dxa"/>
            <w:noWrap w:val="0"/>
            <w:vAlign w:val="top"/>
          </w:tcPr>
          <w:p w14:paraId="5E7FCA82">
            <w:pPr>
              <w:widowControl/>
              <w:spacing w:line="360" w:lineRule="auto"/>
              <w:ind w:firstLine="120"/>
              <w:rPr>
                <w:rFonts w:ascii="宋体" w:hAnsi="宋体" w:cs="宋体"/>
                <w:color w:val="000000"/>
                <w:kern w:val="0"/>
                <w:sz w:val="24"/>
                <w:highlight w:val="none"/>
              </w:rPr>
            </w:pPr>
            <w:r>
              <w:rPr>
                <w:rFonts w:hint="eastAsia" w:ascii="宋体" w:hAnsi="宋体" w:cs="宋体"/>
                <w:color w:val="000000"/>
                <w:kern w:val="0"/>
                <w:sz w:val="24"/>
                <w:highlight w:val="none"/>
              </w:rPr>
              <w:t>联系人：</w:t>
            </w:r>
          </w:p>
        </w:tc>
      </w:tr>
      <w:tr w14:paraId="39F17D98">
        <w:tblPrEx>
          <w:tblCellMar>
            <w:top w:w="0" w:type="dxa"/>
            <w:left w:w="108" w:type="dxa"/>
            <w:bottom w:w="0" w:type="dxa"/>
            <w:right w:w="108" w:type="dxa"/>
          </w:tblCellMar>
        </w:tblPrEx>
        <w:trPr>
          <w:jc w:val="center"/>
        </w:trPr>
        <w:tc>
          <w:tcPr>
            <w:tcW w:w="5452" w:type="dxa"/>
            <w:noWrap w:val="0"/>
            <w:vAlign w:val="top"/>
          </w:tcPr>
          <w:p w14:paraId="38F84FC4">
            <w:pPr>
              <w:widowControl/>
              <w:spacing w:line="360" w:lineRule="auto"/>
              <w:ind w:firstLine="480" w:firstLineChars="200"/>
              <w:rPr>
                <w:rFonts w:ascii="宋体" w:hAnsi="宋体" w:cs="宋体"/>
                <w:color w:val="000000"/>
                <w:kern w:val="0"/>
                <w:sz w:val="24"/>
                <w:highlight w:val="none"/>
              </w:rPr>
            </w:pPr>
            <w:r>
              <w:rPr>
                <w:rFonts w:hint="eastAsia" w:ascii="宋体" w:hAnsi="宋体" w:cs="宋体"/>
                <w:color w:val="000000"/>
                <w:kern w:val="0"/>
                <w:sz w:val="24"/>
                <w:highlight w:val="none"/>
              </w:rPr>
              <w:t>联系电话：</w:t>
            </w:r>
          </w:p>
        </w:tc>
        <w:tc>
          <w:tcPr>
            <w:tcW w:w="4415" w:type="dxa"/>
            <w:noWrap w:val="0"/>
            <w:vAlign w:val="top"/>
          </w:tcPr>
          <w:p w14:paraId="23EC8CC2">
            <w:pPr>
              <w:widowControl/>
              <w:spacing w:line="360" w:lineRule="auto"/>
              <w:ind w:firstLine="120"/>
              <w:rPr>
                <w:rFonts w:ascii="宋体" w:hAnsi="宋体" w:cs="宋体"/>
                <w:color w:val="000000"/>
                <w:kern w:val="0"/>
                <w:sz w:val="24"/>
                <w:highlight w:val="none"/>
              </w:rPr>
            </w:pPr>
            <w:r>
              <w:rPr>
                <w:rFonts w:hint="eastAsia" w:ascii="宋体" w:hAnsi="宋体" w:cs="宋体"/>
                <w:color w:val="000000"/>
                <w:kern w:val="0"/>
                <w:sz w:val="24"/>
                <w:highlight w:val="none"/>
              </w:rPr>
              <w:t>联系电话：</w:t>
            </w:r>
          </w:p>
        </w:tc>
      </w:tr>
      <w:tr w14:paraId="61F81485">
        <w:tblPrEx>
          <w:tblCellMar>
            <w:top w:w="0" w:type="dxa"/>
            <w:left w:w="108" w:type="dxa"/>
            <w:bottom w:w="0" w:type="dxa"/>
            <w:right w:w="108" w:type="dxa"/>
          </w:tblCellMar>
        </w:tblPrEx>
        <w:trPr>
          <w:jc w:val="center"/>
        </w:trPr>
        <w:tc>
          <w:tcPr>
            <w:tcW w:w="5452" w:type="dxa"/>
            <w:noWrap w:val="0"/>
            <w:vAlign w:val="top"/>
          </w:tcPr>
          <w:p w14:paraId="1710A584">
            <w:pPr>
              <w:widowControl/>
              <w:spacing w:line="360" w:lineRule="auto"/>
              <w:ind w:firstLine="480" w:firstLineChars="200"/>
              <w:rPr>
                <w:rFonts w:ascii="宋体" w:hAnsi="宋体" w:cs="宋体"/>
                <w:color w:val="000000"/>
                <w:kern w:val="0"/>
                <w:sz w:val="24"/>
                <w:highlight w:val="none"/>
              </w:rPr>
            </w:pPr>
            <w:r>
              <w:rPr>
                <w:rFonts w:hint="eastAsia" w:ascii="宋体" w:hAnsi="宋体" w:cs="宋体"/>
                <w:color w:val="000000"/>
                <w:sz w:val="24"/>
                <w:highlight w:val="none"/>
              </w:rPr>
              <w:t>签约日期：   年    月    日</w:t>
            </w:r>
          </w:p>
        </w:tc>
        <w:tc>
          <w:tcPr>
            <w:tcW w:w="4415" w:type="dxa"/>
            <w:noWrap w:val="0"/>
            <w:vAlign w:val="top"/>
          </w:tcPr>
          <w:p w14:paraId="400B321E">
            <w:pPr>
              <w:widowControl/>
              <w:spacing w:line="360" w:lineRule="auto"/>
              <w:ind w:firstLine="120"/>
              <w:rPr>
                <w:rFonts w:ascii="宋体" w:hAnsi="宋体" w:cs="宋体"/>
                <w:color w:val="000000"/>
                <w:kern w:val="0"/>
                <w:sz w:val="24"/>
                <w:highlight w:val="none"/>
              </w:rPr>
            </w:pPr>
            <w:r>
              <w:rPr>
                <w:rFonts w:hint="eastAsia" w:ascii="宋体" w:hAnsi="宋体" w:cs="宋体"/>
                <w:color w:val="000000"/>
                <w:sz w:val="24"/>
                <w:highlight w:val="none"/>
              </w:rPr>
              <w:t>签约日期：   年   月    日</w:t>
            </w:r>
          </w:p>
        </w:tc>
      </w:tr>
    </w:tbl>
    <w:p w14:paraId="0B694E60">
      <w:pPr>
        <w:spacing w:line="360" w:lineRule="auto"/>
        <w:rPr>
          <w:highlight w:val="none"/>
        </w:rPr>
      </w:pPr>
    </w:p>
    <w:p w14:paraId="59FE7A50">
      <w:pPr>
        <w:spacing w:line="360" w:lineRule="auto"/>
        <w:rPr>
          <w:rFonts w:ascii="宋体" w:hAnsi="宋体" w:cs="仿宋_GB2312"/>
          <w:sz w:val="28"/>
          <w:szCs w:val="28"/>
          <w:highlight w:val="none"/>
        </w:rPr>
      </w:pPr>
      <w:r>
        <w:rPr>
          <w:rFonts w:hint="eastAsia" w:ascii="宋体" w:hAnsi="宋体" w:cs="仿宋_GB2312"/>
          <w:sz w:val="28"/>
          <w:szCs w:val="28"/>
          <w:highlight w:val="none"/>
        </w:rPr>
        <w:t>附件1</w:t>
      </w:r>
    </w:p>
    <w:p w14:paraId="52652BC4">
      <w:pPr>
        <w:spacing w:line="360" w:lineRule="auto"/>
        <w:jc w:val="center"/>
        <w:rPr>
          <w:rFonts w:ascii="宋体" w:hAnsi="宋体" w:cs="仿宋_GB2312"/>
          <w:b/>
          <w:sz w:val="28"/>
          <w:szCs w:val="28"/>
          <w:highlight w:val="none"/>
        </w:rPr>
      </w:pPr>
      <w:r>
        <w:rPr>
          <w:rFonts w:hint="eastAsia" w:ascii="宋体" w:hAnsi="宋体" w:cs="黑体"/>
          <w:b/>
          <w:sz w:val="28"/>
          <w:szCs w:val="28"/>
          <w:highlight w:val="none"/>
        </w:rPr>
        <w:t>保密承诺书</w:t>
      </w:r>
    </w:p>
    <w:p w14:paraId="22705CF8">
      <w:pPr>
        <w:spacing w:line="360" w:lineRule="auto"/>
        <w:rPr>
          <w:rFonts w:ascii="宋体" w:hAnsi="宋体" w:cs="仿宋_GB2312"/>
          <w:sz w:val="28"/>
          <w:szCs w:val="28"/>
          <w:highlight w:val="none"/>
        </w:rPr>
      </w:pPr>
    </w:p>
    <w:p w14:paraId="0D85D13A">
      <w:pPr>
        <w:spacing w:line="360" w:lineRule="auto"/>
        <w:ind w:firstLine="640"/>
        <w:rPr>
          <w:rFonts w:ascii="宋体" w:hAnsi="宋体" w:cs="仿宋_GB2312"/>
          <w:sz w:val="28"/>
          <w:szCs w:val="28"/>
          <w:highlight w:val="none"/>
        </w:rPr>
      </w:pPr>
      <w:r>
        <w:rPr>
          <w:rFonts w:hint="eastAsia" w:ascii="宋体" w:hAnsi="宋体" w:cs="仿宋_GB2312"/>
          <w:sz w:val="28"/>
          <w:szCs w:val="28"/>
          <w:highlight w:val="none"/>
        </w:rPr>
        <w:t>签约律师事务所及律师愿意接受大兴区司法局的委托，为保证大兴区法律援助中心法律咨询、案件办理、12348公共法律服务热线平台值班等相关工作的顺利进行，向大兴区司法局做出如下承诺：</w:t>
      </w:r>
    </w:p>
    <w:p w14:paraId="1A0E287E">
      <w:pPr>
        <w:spacing w:line="360" w:lineRule="auto"/>
        <w:rPr>
          <w:rFonts w:ascii="宋体" w:hAnsi="宋体" w:cs="仿宋_GB2312"/>
          <w:sz w:val="28"/>
          <w:szCs w:val="28"/>
          <w:highlight w:val="none"/>
        </w:rPr>
      </w:pPr>
      <w:r>
        <w:rPr>
          <w:rFonts w:hint="eastAsia" w:ascii="宋体" w:hAnsi="宋体" w:cs="仿宋_GB2312"/>
          <w:sz w:val="28"/>
          <w:szCs w:val="28"/>
          <w:highlight w:val="none"/>
        </w:rPr>
        <w:t xml:space="preserve">    一、严格遵守《中华人民共和国保守国家秘密法》的相关规定。</w:t>
      </w:r>
    </w:p>
    <w:p w14:paraId="19DEFB34">
      <w:pPr>
        <w:spacing w:line="360" w:lineRule="auto"/>
        <w:rPr>
          <w:rFonts w:ascii="宋体" w:hAnsi="宋体" w:cs="仿宋_GB2312"/>
          <w:sz w:val="28"/>
          <w:szCs w:val="28"/>
          <w:highlight w:val="none"/>
        </w:rPr>
      </w:pPr>
      <w:r>
        <w:rPr>
          <w:rFonts w:hint="eastAsia" w:ascii="宋体" w:hAnsi="宋体" w:cs="仿宋_GB2312"/>
          <w:sz w:val="28"/>
          <w:szCs w:val="28"/>
          <w:highlight w:val="none"/>
        </w:rPr>
        <w:t xml:space="preserve">    二、不得向第三方透露在服务中知晓的商业秘密和内部信息。</w:t>
      </w:r>
    </w:p>
    <w:p w14:paraId="50EBF050">
      <w:pPr>
        <w:spacing w:line="360" w:lineRule="auto"/>
        <w:rPr>
          <w:rFonts w:ascii="宋体" w:hAnsi="宋体" w:cs="仿宋_GB2312"/>
          <w:sz w:val="28"/>
          <w:szCs w:val="28"/>
          <w:highlight w:val="none"/>
        </w:rPr>
      </w:pPr>
      <w:r>
        <w:rPr>
          <w:rFonts w:hint="eastAsia" w:ascii="宋体" w:hAnsi="宋体" w:cs="仿宋_GB2312"/>
          <w:sz w:val="28"/>
          <w:szCs w:val="28"/>
          <w:highlight w:val="none"/>
        </w:rPr>
        <w:t xml:space="preserve">    三、对服务中所知悉的相关情况和所掌握的有关资料严加保密，不能将其对外泄漏。</w:t>
      </w:r>
    </w:p>
    <w:p w14:paraId="30923162">
      <w:pPr>
        <w:spacing w:line="360" w:lineRule="auto"/>
        <w:rPr>
          <w:rFonts w:ascii="宋体" w:hAnsi="宋体" w:cs="仿宋_GB2312"/>
          <w:sz w:val="28"/>
          <w:szCs w:val="28"/>
          <w:highlight w:val="none"/>
        </w:rPr>
      </w:pPr>
      <w:r>
        <w:rPr>
          <w:rFonts w:hint="eastAsia" w:ascii="宋体" w:hAnsi="宋体" w:cs="仿宋_GB2312"/>
          <w:sz w:val="28"/>
          <w:szCs w:val="28"/>
          <w:highlight w:val="none"/>
        </w:rPr>
        <w:t xml:space="preserve">    四、不得将存有涉密或社会敏感信息的存储介质与互联网相连。</w:t>
      </w:r>
    </w:p>
    <w:p w14:paraId="25B5F4D2">
      <w:pPr>
        <w:spacing w:line="360" w:lineRule="auto"/>
        <w:rPr>
          <w:rFonts w:ascii="宋体" w:hAnsi="宋体" w:cs="仿宋_GB2312"/>
          <w:sz w:val="28"/>
          <w:szCs w:val="28"/>
          <w:highlight w:val="none"/>
        </w:rPr>
      </w:pPr>
      <w:r>
        <w:rPr>
          <w:rFonts w:hint="eastAsia" w:ascii="宋体" w:hAnsi="宋体" w:cs="仿宋_GB2312"/>
          <w:sz w:val="28"/>
          <w:szCs w:val="28"/>
          <w:highlight w:val="none"/>
        </w:rPr>
        <w:t xml:space="preserve">    五、不得利用电话、邮箱、短信、微信、微博、QQ等工具谈论、发布、传输涉密或社会敏感信息。</w:t>
      </w:r>
    </w:p>
    <w:p w14:paraId="0B8967B2">
      <w:pPr>
        <w:spacing w:line="360" w:lineRule="auto"/>
        <w:ind w:firstLine="560" w:firstLineChars="200"/>
        <w:rPr>
          <w:rFonts w:ascii="宋体" w:hAnsi="宋体" w:cs="仿宋_GB2312"/>
          <w:sz w:val="28"/>
          <w:szCs w:val="28"/>
          <w:highlight w:val="none"/>
        </w:rPr>
      </w:pPr>
      <w:r>
        <w:rPr>
          <w:rFonts w:hint="eastAsia" w:ascii="宋体" w:hAnsi="宋体" w:cs="仿宋_GB2312"/>
          <w:sz w:val="28"/>
          <w:szCs w:val="28"/>
          <w:highlight w:val="none"/>
        </w:rPr>
        <w:t>如有泄露，造成的一切损失，由我方承担一切责任和法律后果。</w:t>
      </w:r>
    </w:p>
    <w:p w14:paraId="08337769">
      <w:pPr>
        <w:spacing w:line="360" w:lineRule="auto"/>
        <w:rPr>
          <w:rFonts w:ascii="宋体" w:hAnsi="宋体" w:cs="仿宋_GB2312"/>
          <w:sz w:val="28"/>
          <w:szCs w:val="28"/>
          <w:highlight w:val="none"/>
        </w:rPr>
      </w:pPr>
    </w:p>
    <w:p w14:paraId="15D1A24B">
      <w:pPr>
        <w:spacing w:line="360" w:lineRule="auto"/>
        <w:rPr>
          <w:rFonts w:ascii="宋体" w:hAnsi="宋体" w:cs="仿宋_GB2312"/>
          <w:sz w:val="28"/>
          <w:szCs w:val="28"/>
          <w:highlight w:val="none"/>
        </w:rPr>
      </w:pPr>
      <w:r>
        <w:rPr>
          <w:rFonts w:hint="eastAsia" w:ascii="宋体" w:hAnsi="宋体" w:cs="仿宋_GB2312"/>
          <w:sz w:val="28"/>
          <w:szCs w:val="28"/>
          <w:highlight w:val="none"/>
        </w:rPr>
        <w:t xml:space="preserve">                         律所名称：</w:t>
      </w:r>
      <w:r>
        <w:rPr>
          <w:rFonts w:hint="eastAsia" w:ascii="宋体" w:hAnsi="宋体" w:cs="仿宋_GB2312"/>
          <w:sz w:val="28"/>
          <w:szCs w:val="28"/>
          <w:highlight w:val="none"/>
          <w:u w:val="single"/>
        </w:rPr>
        <w:t xml:space="preserve">                </w:t>
      </w:r>
    </w:p>
    <w:p w14:paraId="3E8A3076">
      <w:pPr>
        <w:spacing w:line="360" w:lineRule="auto"/>
        <w:rPr>
          <w:rFonts w:ascii="宋体" w:hAnsi="宋体" w:cs="仿宋_GB2312"/>
          <w:sz w:val="28"/>
          <w:szCs w:val="28"/>
          <w:highlight w:val="none"/>
          <w:u w:val="single"/>
        </w:rPr>
      </w:pPr>
      <w:r>
        <w:rPr>
          <w:rFonts w:hint="eastAsia" w:ascii="宋体" w:hAnsi="宋体" w:cs="仿宋_GB2312"/>
          <w:sz w:val="28"/>
          <w:szCs w:val="28"/>
          <w:highlight w:val="none"/>
        </w:rPr>
        <w:t xml:space="preserve">                         负 责 人：</w:t>
      </w:r>
      <w:r>
        <w:rPr>
          <w:rFonts w:hint="eastAsia" w:ascii="宋体" w:hAnsi="宋体" w:cs="仿宋_GB2312"/>
          <w:sz w:val="28"/>
          <w:szCs w:val="28"/>
          <w:highlight w:val="none"/>
          <w:u w:val="single"/>
        </w:rPr>
        <w:t xml:space="preserve">                </w:t>
      </w:r>
    </w:p>
    <w:p w14:paraId="47211685">
      <w:pPr>
        <w:spacing w:line="360" w:lineRule="auto"/>
        <w:rPr>
          <w:rFonts w:ascii="宋体" w:hAnsi="宋体" w:cs="仿宋_GB2312"/>
          <w:sz w:val="28"/>
          <w:szCs w:val="28"/>
          <w:highlight w:val="none"/>
        </w:rPr>
      </w:pPr>
      <w:r>
        <w:rPr>
          <w:rFonts w:hint="eastAsia" w:ascii="宋体" w:hAnsi="宋体" w:cs="仿宋_GB2312"/>
          <w:sz w:val="28"/>
          <w:szCs w:val="28"/>
          <w:highlight w:val="none"/>
        </w:rPr>
        <w:t xml:space="preserve">                                  年      月     日 </w:t>
      </w:r>
    </w:p>
    <w:p w14:paraId="0B75CB61">
      <w:pPr>
        <w:spacing w:line="360" w:lineRule="auto"/>
        <w:rPr>
          <w:rFonts w:ascii="宋体" w:hAnsi="宋体" w:cs="仿宋_GB2312"/>
          <w:sz w:val="28"/>
          <w:szCs w:val="28"/>
          <w:highlight w:val="none"/>
        </w:rPr>
      </w:pPr>
    </w:p>
    <w:p w14:paraId="52D17E36">
      <w:pPr>
        <w:spacing w:line="360" w:lineRule="auto"/>
        <w:rPr>
          <w:rFonts w:ascii="宋体" w:hAnsi="宋体" w:cs="仿宋_GB2312"/>
          <w:sz w:val="28"/>
          <w:szCs w:val="28"/>
          <w:highlight w:val="none"/>
        </w:rPr>
      </w:pPr>
    </w:p>
    <w:p w14:paraId="2288F780">
      <w:pPr>
        <w:spacing w:line="360" w:lineRule="auto"/>
        <w:rPr>
          <w:rFonts w:ascii="宋体" w:hAnsi="宋体" w:cs="仿宋_GB2312"/>
          <w:sz w:val="28"/>
          <w:szCs w:val="28"/>
          <w:highlight w:val="none"/>
        </w:rPr>
      </w:pPr>
    </w:p>
    <w:p w14:paraId="4E169FDB">
      <w:pPr>
        <w:widowControl/>
        <w:jc w:val="left"/>
        <w:rPr>
          <w:rFonts w:ascii="宋体" w:hAnsi="宋体" w:cs="仿宋_GB2312"/>
          <w:sz w:val="28"/>
          <w:szCs w:val="28"/>
          <w:highlight w:val="none"/>
        </w:rPr>
      </w:pPr>
      <w:r>
        <w:rPr>
          <w:rFonts w:ascii="宋体" w:hAnsi="宋体" w:cs="仿宋_GB2312"/>
          <w:sz w:val="28"/>
          <w:szCs w:val="28"/>
          <w:highlight w:val="none"/>
        </w:rPr>
        <w:br w:type="page"/>
      </w:r>
    </w:p>
    <w:p w14:paraId="6581231C">
      <w:pPr>
        <w:spacing w:line="360" w:lineRule="auto"/>
        <w:rPr>
          <w:rFonts w:ascii="宋体" w:hAnsi="宋体" w:cs="仿宋_GB2312"/>
          <w:sz w:val="28"/>
          <w:szCs w:val="28"/>
          <w:highlight w:val="none"/>
        </w:rPr>
      </w:pPr>
      <w:r>
        <w:rPr>
          <w:rFonts w:hint="eastAsia" w:ascii="宋体" w:hAnsi="宋体" w:cs="仿宋_GB2312"/>
          <w:sz w:val="28"/>
          <w:szCs w:val="28"/>
          <w:highlight w:val="none"/>
        </w:rPr>
        <w:t>附件2</w:t>
      </w:r>
    </w:p>
    <w:p w14:paraId="0333510F">
      <w:pPr>
        <w:spacing w:line="360" w:lineRule="auto"/>
        <w:jc w:val="center"/>
        <w:rPr>
          <w:rFonts w:ascii="宋体" w:hAnsi="宋体" w:cs="仿宋_GB2312"/>
          <w:b/>
          <w:sz w:val="28"/>
          <w:szCs w:val="28"/>
          <w:highlight w:val="none"/>
        </w:rPr>
      </w:pPr>
      <w:r>
        <w:rPr>
          <w:rFonts w:hint="eastAsia" w:ascii="宋体" w:hAnsi="宋体" w:cs="黑体"/>
          <w:b/>
          <w:sz w:val="28"/>
          <w:szCs w:val="28"/>
          <w:highlight w:val="none"/>
        </w:rPr>
        <w:t>廉政责任书</w:t>
      </w:r>
    </w:p>
    <w:p w14:paraId="118E4216">
      <w:pPr>
        <w:spacing w:line="360" w:lineRule="auto"/>
        <w:rPr>
          <w:rFonts w:ascii="宋体" w:hAnsi="宋体" w:cs="仿宋_GB2312"/>
          <w:sz w:val="28"/>
          <w:szCs w:val="28"/>
          <w:highlight w:val="none"/>
        </w:rPr>
      </w:pPr>
      <w:r>
        <w:rPr>
          <w:rFonts w:hint="eastAsia" w:ascii="宋体" w:hAnsi="宋体" w:cs="仿宋_GB2312"/>
          <w:sz w:val="28"/>
          <w:szCs w:val="28"/>
          <w:highlight w:val="none"/>
        </w:rPr>
        <w:t xml:space="preserve">    </w:t>
      </w:r>
    </w:p>
    <w:p w14:paraId="4DB422CC">
      <w:pPr>
        <w:spacing w:line="360" w:lineRule="auto"/>
        <w:ind w:firstLine="560" w:firstLineChars="200"/>
        <w:rPr>
          <w:rFonts w:ascii="宋体" w:hAnsi="宋体" w:cs="仿宋_GB2312"/>
          <w:sz w:val="28"/>
          <w:szCs w:val="28"/>
          <w:highlight w:val="none"/>
        </w:rPr>
      </w:pPr>
      <w:r>
        <w:rPr>
          <w:rFonts w:hint="eastAsia" w:ascii="宋体" w:hAnsi="宋体" w:cs="仿宋_GB2312"/>
          <w:sz w:val="28"/>
          <w:szCs w:val="28"/>
          <w:highlight w:val="none"/>
        </w:rPr>
        <w:t>为确保大兴区法律援助中心法律咨询、案件办理、12348公共法律服务热线平台值班等</w:t>
      </w:r>
      <w:r>
        <w:rPr>
          <w:rFonts w:ascii="宋体" w:hAnsi="宋体" w:cs="仿宋_GB2312"/>
          <w:sz w:val="28"/>
          <w:szCs w:val="28"/>
          <w:highlight w:val="none"/>
        </w:rPr>
        <w:tab/>
      </w:r>
      <w:r>
        <w:rPr>
          <w:rFonts w:hint="eastAsia" w:ascii="宋体" w:hAnsi="宋体" w:cs="仿宋_GB2312"/>
          <w:sz w:val="28"/>
          <w:szCs w:val="28"/>
          <w:highlight w:val="none"/>
        </w:rPr>
        <w:t xml:space="preserve">相关工作的参与方及相关人员增强风险意识，自觉抵制诱惑，防微杜渐，积极有效地预防和控制廉政风险，避免参与方及相关人员滥用职权，营私舞弊，有效警示参与方及相关人员，大兴区司法局根据廉政建设等相关规定，并结合工作实际情况制定本责任书。 </w:t>
      </w:r>
    </w:p>
    <w:p w14:paraId="0FA1B0E5">
      <w:pPr>
        <w:spacing w:line="360" w:lineRule="auto"/>
        <w:ind w:firstLine="560" w:firstLineChars="200"/>
        <w:rPr>
          <w:rFonts w:ascii="宋体" w:hAnsi="宋体" w:cs="仿宋_GB2312"/>
          <w:sz w:val="28"/>
          <w:szCs w:val="28"/>
          <w:highlight w:val="none"/>
        </w:rPr>
      </w:pPr>
      <w:r>
        <w:rPr>
          <w:rFonts w:hint="eastAsia" w:ascii="宋体" w:hAnsi="宋体" w:cs="仿宋_GB2312"/>
          <w:sz w:val="28"/>
          <w:szCs w:val="28"/>
          <w:highlight w:val="none"/>
        </w:rPr>
        <w:t>一、主体责任</w:t>
      </w:r>
    </w:p>
    <w:p w14:paraId="674467FE">
      <w:pPr>
        <w:spacing w:line="360" w:lineRule="auto"/>
        <w:ind w:firstLine="560" w:firstLineChars="200"/>
        <w:rPr>
          <w:rFonts w:ascii="宋体" w:hAnsi="宋体" w:cs="仿宋_GB2312"/>
          <w:sz w:val="28"/>
          <w:szCs w:val="28"/>
          <w:highlight w:val="none"/>
        </w:rPr>
      </w:pPr>
      <w:r>
        <w:rPr>
          <w:rFonts w:hint="eastAsia" w:ascii="宋体" w:hAnsi="宋体" w:cs="仿宋_GB2312"/>
          <w:sz w:val="28"/>
          <w:szCs w:val="28"/>
          <w:highlight w:val="none"/>
        </w:rPr>
        <w:t>大兴区法律援助中心主任、签约律师事务所主任为第一责任人，大兴区法律援助中心指派具体负责法律援助工作的相关人员、签约律师事务所派遣的律师为本廉政工作责任书的直接责任人。</w:t>
      </w:r>
    </w:p>
    <w:p w14:paraId="475DCB49">
      <w:pPr>
        <w:spacing w:line="360" w:lineRule="auto"/>
        <w:ind w:firstLine="560" w:firstLineChars="200"/>
        <w:rPr>
          <w:rFonts w:ascii="宋体" w:hAnsi="宋体" w:cs="仿宋_GB2312"/>
          <w:sz w:val="28"/>
          <w:szCs w:val="28"/>
          <w:highlight w:val="none"/>
        </w:rPr>
      </w:pPr>
      <w:r>
        <w:rPr>
          <w:rFonts w:hint="eastAsia" w:ascii="宋体" w:hAnsi="宋体" w:cs="仿宋_GB2312"/>
          <w:sz w:val="28"/>
          <w:szCs w:val="28"/>
          <w:highlight w:val="none"/>
        </w:rPr>
        <w:t>二、工作要求</w:t>
      </w:r>
    </w:p>
    <w:p w14:paraId="03D05138">
      <w:pPr>
        <w:spacing w:line="360" w:lineRule="auto"/>
        <w:ind w:firstLine="560" w:firstLineChars="200"/>
        <w:rPr>
          <w:rFonts w:ascii="宋体" w:hAnsi="宋体" w:cs="仿宋_GB2312"/>
          <w:sz w:val="28"/>
          <w:szCs w:val="28"/>
          <w:highlight w:val="none"/>
        </w:rPr>
      </w:pPr>
      <w:r>
        <w:rPr>
          <w:rFonts w:hint="eastAsia" w:ascii="宋体" w:hAnsi="宋体" w:cs="仿宋_GB2312"/>
          <w:sz w:val="28"/>
          <w:szCs w:val="28"/>
          <w:highlight w:val="none"/>
        </w:rPr>
        <w:t>1、遵纪守法、廉洁自律，自觉遵守党风廉政相关规定。</w:t>
      </w:r>
    </w:p>
    <w:p w14:paraId="46CD5195">
      <w:pPr>
        <w:spacing w:line="360" w:lineRule="auto"/>
        <w:rPr>
          <w:rFonts w:ascii="宋体" w:hAnsi="宋体" w:cs="仿宋_GB2312"/>
          <w:sz w:val="28"/>
          <w:szCs w:val="28"/>
          <w:highlight w:val="none"/>
        </w:rPr>
      </w:pPr>
      <w:r>
        <w:rPr>
          <w:rFonts w:hint="eastAsia" w:ascii="宋体" w:hAnsi="宋体" w:cs="仿宋_GB2312"/>
          <w:sz w:val="28"/>
          <w:szCs w:val="28"/>
          <w:highlight w:val="none"/>
        </w:rPr>
        <w:t xml:space="preserve">    2、对直接责任人发生的违纪违法事件，第一责任人应在第一时间向大兴区司法局汇报，对隐瞒不报，失职、失查的第一责任人由大兴区司法局实行责任追究，并按有关规定依法严肃处理。</w:t>
      </w:r>
    </w:p>
    <w:p w14:paraId="79E90AAE">
      <w:pPr>
        <w:spacing w:line="360" w:lineRule="auto"/>
        <w:rPr>
          <w:rFonts w:ascii="宋体" w:hAnsi="宋体" w:cs="仿宋_GB2312"/>
          <w:sz w:val="28"/>
          <w:szCs w:val="28"/>
          <w:highlight w:val="none"/>
        </w:rPr>
      </w:pPr>
      <w:r>
        <w:rPr>
          <w:rFonts w:hint="eastAsia" w:ascii="宋体" w:hAnsi="宋体" w:cs="仿宋_GB2312"/>
          <w:sz w:val="28"/>
          <w:szCs w:val="28"/>
          <w:highlight w:val="none"/>
        </w:rPr>
        <w:t xml:space="preserve">    3、按时参加大兴区司法局组织的廉政教育活动。</w:t>
      </w:r>
    </w:p>
    <w:p w14:paraId="666F999F">
      <w:pPr>
        <w:spacing w:line="360" w:lineRule="auto"/>
        <w:ind w:firstLine="560" w:firstLineChars="200"/>
        <w:rPr>
          <w:rFonts w:ascii="宋体" w:hAnsi="宋体" w:cs="仿宋_GB2312"/>
          <w:sz w:val="28"/>
          <w:szCs w:val="28"/>
          <w:highlight w:val="none"/>
        </w:rPr>
      </w:pPr>
      <w:r>
        <w:rPr>
          <w:rFonts w:hint="eastAsia" w:ascii="宋体" w:hAnsi="宋体" w:cs="仿宋_GB2312"/>
          <w:sz w:val="28"/>
          <w:szCs w:val="28"/>
          <w:highlight w:val="none"/>
        </w:rPr>
        <w:t>三、廉洁自律要求</w:t>
      </w:r>
    </w:p>
    <w:p w14:paraId="1D0E494A">
      <w:pPr>
        <w:spacing w:line="360" w:lineRule="auto"/>
        <w:ind w:firstLine="560" w:firstLineChars="200"/>
        <w:rPr>
          <w:rFonts w:ascii="宋体" w:hAnsi="宋体" w:cs="仿宋_GB2312"/>
          <w:sz w:val="28"/>
          <w:szCs w:val="28"/>
          <w:highlight w:val="none"/>
        </w:rPr>
      </w:pPr>
      <w:r>
        <w:rPr>
          <w:rFonts w:hint="eastAsia" w:ascii="宋体" w:hAnsi="宋体" w:cs="仿宋_GB2312"/>
          <w:sz w:val="28"/>
          <w:szCs w:val="28"/>
          <w:highlight w:val="none"/>
        </w:rPr>
        <w:t>法律援助中心、签约律师事务所不得发生任何经济往来，具体内容如下：</w:t>
      </w:r>
    </w:p>
    <w:p w14:paraId="2774C3B9">
      <w:pPr>
        <w:spacing w:line="360" w:lineRule="auto"/>
        <w:rPr>
          <w:rFonts w:ascii="宋体" w:hAnsi="宋体" w:cs="仿宋_GB2312"/>
          <w:sz w:val="28"/>
          <w:szCs w:val="28"/>
          <w:highlight w:val="none"/>
        </w:rPr>
      </w:pPr>
      <w:r>
        <w:rPr>
          <w:rFonts w:hint="eastAsia" w:ascii="宋体" w:hAnsi="宋体" w:cs="仿宋_GB2312"/>
          <w:sz w:val="28"/>
          <w:szCs w:val="28"/>
          <w:highlight w:val="none"/>
        </w:rPr>
        <w:t xml:space="preserve">    1、法律援助中心工作人员不准参加签约律师事务所安排的宴请、旅游、娱乐和联欢活动。</w:t>
      </w:r>
    </w:p>
    <w:p w14:paraId="21F2ABB5">
      <w:pPr>
        <w:spacing w:line="360" w:lineRule="auto"/>
        <w:rPr>
          <w:rFonts w:ascii="宋体" w:hAnsi="宋体" w:cs="仿宋_GB2312"/>
          <w:sz w:val="28"/>
          <w:szCs w:val="28"/>
          <w:highlight w:val="none"/>
        </w:rPr>
      </w:pPr>
      <w:r>
        <w:rPr>
          <w:rFonts w:hint="eastAsia" w:ascii="宋体" w:hAnsi="宋体" w:cs="仿宋_GB2312"/>
          <w:sz w:val="28"/>
          <w:szCs w:val="28"/>
          <w:highlight w:val="none"/>
        </w:rPr>
        <w:t xml:space="preserve">    2、法律援助中心工作人员不准接受签约律师事务所的任何纪念品、礼品、礼金、消费卡和有价证券以及土特产品。</w:t>
      </w:r>
    </w:p>
    <w:p w14:paraId="58967E19">
      <w:pPr>
        <w:spacing w:line="360" w:lineRule="auto"/>
        <w:rPr>
          <w:rFonts w:ascii="宋体" w:hAnsi="宋体" w:cs="仿宋_GB2312"/>
          <w:sz w:val="28"/>
          <w:szCs w:val="28"/>
          <w:highlight w:val="none"/>
        </w:rPr>
      </w:pPr>
      <w:r>
        <w:rPr>
          <w:rFonts w:hint="eastAsia" w:ascii="宋体" w:hAnsi="宋体" w:cs="仿宋_GB2312"/>
          <w:sz w:val="28"/>
          <w:szCs w:val="28"/>
          <w:highlight w:val="none"/>
        </w:rPr>
        <w:t xml:space="preserve">    3、法律援助中心工作人员不准在签约律师事务所报销任何因公因私费用。</w:t>
      </w:r>
    </w:p>
    <w:p w14:paraId="45D4D88A">
      <w:pPr>
        <w:spacing w:line="360" w:lineRule="auto"/>
        <w:rPr>
          <w:rFonts w:ascii="宋体" w:hAnsi="宋体" w:cs="仿宋_GB2312"/>
          <w:sz w:val="28"/>
          <w:szCs w:val="28"/>
          <w:highlight w:val="none"/>
        </w:rPr>
      </w:pPr>
      <w:r>
        <w:rPr>
          <w:rFonts w:hint="eastAsia" w:ascii="宋体" w:hAnsi="宋体" w:cs="仿宋_GB2312"/>
          <w:sz w:val="28"/>
          <w:szCs w:val="28"/>
          <w:highlight w:val="none"/>
        </w:rPr>
        <w:t xml:space="preserve">    4、签约律师事务所不准利用服务中知晓的商业秘密和内部信息，为自己和他人谋利。</w:t>
      </w:r>
    </w:p>
    <w:p w14:paraId="2A731132">
      <w:pPr>
        <w:spacing w:line="360" w:lineRule="auto"/>
        <w:ind w:firstLine="640"/>
        <w:rPr>
          <w:rFonts w:ascii="宋体" w:hAnsi="宋体" w:cs="仿宋_GB2312"/>
          <w:sz w:val="28"/>
          <w:szCs w:val="28"/>
          <w:highlight w:val="none"/>
        </w:rPr>
      </w:pPr>
      <w:r>
        <w:rPr>
          <w:rFonts w:hint="eastAsia" w:ascii="宋体" w:hAnsi="宋体" w:cs="仿宋_GB2312"/>
          <w:sz w:val="28"/>
          <w:szCs w:val="28"/>
          <w:highlight w:val="none"/>
        </w:rPr>
        <w:t>5、法律援助中心不准向签约律师事务所提出任何与法律咨询、案件办理、12348公共法律服务热线平台值班等相关工作无关的要求。</w:t>
      </w:r>
    </w:p>
    <w:p w14:paraId="5F29852D">
      <w:pPr>
        <w:spacing w:line="360" w:lineRule="auto"/>
        <w:rPr>
          <w:rFonts w:ascii="宋体" w:hAnsi="宋体" w:cs="仿宋_GB2312"/>
          <w:sz w:val="28"/>
          <w:szCs w:val="28"/>
          <w:highlight w:val="none"/>
        </w:rPr>
      </w:pPr>
      <w:r>
        <w:rPr>
          <w:rFonts w:hint="eastAsia" w:ascii="宋体" w:hAnsi="宋体" w:cs="仿宋_GB2312"/>
          <w:sz w:val="28"/>
          <w:szCs w:val="28"/>
          <w:highlight w:val="none"/>
        </w:rPr>
        <w:t xml:space="preserve">    四、责任追究</w:t>
      </w:r>
    </w:p>
    <w:p w14:paraId="7F141022">
      <w:pPr>
        <w:spacing w:line="360" w:lineRule="auto"/>
        <w:ind w:firstLine="560" w:firstLineChars="200"/>
        <w:rPr>
          <w:rFonts w:ascii="宋体" w:hAnsi="宋体" w:cs="仿宋_GB2312"/>
          <w:sz w:val="28"/>
          <w:szCs w:val="28"/>
          <w:highlight w:val="none"/>
        </w:rPr>
      </w:pPr>
      <w:r>
        <w:rPr>
          <w:rFonts w:hint="eastAsia" w:ascii="宋体" w:hAnsi="宋体" w:cs="仿宋_GB2312"/>
          <w:sz w:val="28"/>
          <w:szCs w:val="28"/>
          <w:highlight w:val="none"/>
        </w:rPr>
        <w:t>按照相关规定予以处理。</w:t>
      </w:r>
    </w:p>
    <w:p w14:paraId="3D12F390">
      <w:pPr>
        <w:spacing w:line="360" w:lineRule="auto"/>
        <w:ind w:firstLine="560" w:firstLineChars="200"/>
        <w:rPr>
          <w:rFonts w:ascii="宋体" w:hAnsi="宋体" w:cs="仿宋_GB2312"/>
          <w:sz w:val="28"/>
          <w:szCs w:val="28"/>
          <w:highlight w:val="none"/>
        </w:rPr>
      </w:pPr>
      <w:r>
        <w:rPr>
          <w:rFonts w:hint="eastAsia" w:ascii="宋体" w:hAnsi="宋体" w:cs="仿宋_GB2312"/>
          <w:sz w:val="28"/>
          <w:szCs w:val="28"/>
          <w:highlight w:val="none"/>
        </w:rPr>
        <w:t>五、生效日期</w:t>
      </w:r>
    </w:p>
    <w:p w14:paraId="25B8BB4D">
      <w:pPr>
        <w:spacing w:line="360" w:lineRule="auto"/>
        <w:ind w:firstLine="560" w:firstLineChars="200"/>
        <w:rPr>
          <w:rFonts w:ascii="宋体" w:hAnsi="宋体" w:cs="仿宋_GB2312"/>
          <w:sz w:val="28"/>
          <w:szCs w:val="28"/>
          <w:highlight w:val="none"/>
        </w:rPr>
      </w:pPr>
      <w:r>
        <w:rPr>
          <w:rFonts w:hint="eastAsia" w:ascii="宋体" w:hAnsi="宋体" w:cs="仿宋_GB2312"/>
          <w:sz w:val="28"/>
          <w:szCs w:val="28"/>
          <w:highlight w:val="none"/>
        </w:rPr>
        <w:t xml:space="preserve">本责任书由签约律师事务所签字盖章之日起生效。         </w:t>
      </w:r>
    </w:p>
    <w:p w14:paraId="06B1AFE6">
      <w:pPr>
        <w:spacing w:line="360" w:lineRule="auto"/>
        <w:rPr>
          <w:rFonts w:ascii="宋体" w:hAnsi="宋体" w:cs="仿宋_GB2312"/>
          <w:sz w:val="28"/>
          <w:szCs w:val="28"/>
          <w:highlight w:val="none"/>
        </w:rPr>
      </w:pPr>
      <w:r>
        <w:rPr>
          <w:rFonts w:hint="eastAsia" w:ascii="宋体" w:hAnsi="宋体" w:cs="仿宋_GB2312"/>
          <w:sz w:val="28"/>
          <w:szCs w:val="28"/>
          <w:highlight w:val="none"/>
        </w:rPr>
        <w:t xml:space="preserve"> </w:t>
      </w:r>
    </w:p>
    <w:p w14:paraId="27C98B5C">
      <w:pPr>
        <w:spacing w:line="360" w:lineRule="auto"/>
        <w:ind w:firstLine="3920" w:firstLineChars="1400"/>
        <w:rPr>
          <w:rFonts w:ascii="宋体" w:hAnsi="宋体" w:cs="仿宋_GB2312"/>
          <w:sz w:val="28"/>
          <w:szCs w:val="28"/>
          <w:highlight w:val="none"/>
        </w:rPr>
      </w:pPr>
    </w:p>
    <w:p w14:paraId="1866C066">
      <w:pPr>
        <w:spacing w:line="360" w:lineRule="auto"/>
        <w:ind w:firstLine="3920" w:firstLineChars="1400"/>
        <w:rPr>
          <w:rFonts w:ascii="宋体" w:hAnsi="宋体" w:cs="仿宋_GB2312"/>
          <w:sz w:val="28"/>
          <w:szCs w:val="28"/>
          <w:highlight w:val="none"/>
        </w:rPr>
      </w:pPr>
    </w:p>
    <w:p w14:paraId="3E0425D5">
      <w:pPr>
        <w:spacing w:line="360" w:lineRule="auto"/>
        <w:ind w:firstLine="3920" w:firstLineChars="1400"/>
        <w:rPr>
          <w:rFonts w:ascii="宋体" w:hAnsi="宋体" w:cs="仿宋_GB2312"/>
          <w:sz w:val="28"/>
          <w:szCs w:val="28"/>
          <w:highlight w:val="none"/>
        </w:rPr>
      </w:pPr>
      <w:r>
        <w:rPr>
          <w:rFonts w:hint="eastAsia" w:ascii="宋体" w:hAnsi="宋体" w:cs="仿宋_GB2312"/>
          <w:sz w:val="28"/>
          <w:szCs w:val="28"/>
          <w:highlight w:val="none"/>
        </w:rPr>
        <w:t>律所名称：</w:t>
      </w:r>
      <w:r>
        <w:rPr>
          <w:rFonts w:hint="eastAsia" w:ascii="宋体" w:hAnsi="宋体" w:cs="仿宋_GB2312"/>
          <w:sz w:val="28"/>
          <w:szCs w:val="28"/>
          <w:highlight w:val="none"/>
          <w:u w:val="single"/>
        </w:rPr>
        <w:t xml:space="preserve">                  </w:t>
      </w:r>
    </w:p>
    <w:p w14:paraId="0CDDC928">
      <w:pPr>
        <w:spacing w:line="360" w:lineRule="auto"/>
        <w:rPr>
          <w:rFonts w:ascii="宋体" w:hAnsi="宋体" w:cs="仿宋_GB2312"/>
          <w:sz w:val="28"/>
          <w:szCs w:val="28"/>
          <w:highlight w:val="none"/>
        </w:rPr>
      </w:pPr>
      <w:r>
        <w:rPr>
          <w:rFonts w:hint="eastAsia" w:ascii="宋体" w:hAnsi="宋体" w:cs="仿宋_GB2312"/>
          <w:sz w:val="28"/>
          <w:szCs w:val="28"/>
          <w:highlight w:val="none"/>
        </w:rPr>
        <w:t xml:space="preserve">                            负 责 人：</w:t>
      </w:r>
      <w:r>
        <w:rPr>
          <w:rFonts w:hint="eastAsia" w:ascii="宋体" w:hAnsi="宋体" w:cs="仿宋_GB2312"/>
          <w:sz w:val="28"/>
          <w:szCs w:val="28"/>
          <w:highlight w:val="none"/>
          <w:u w:val="single"/>
        </w:rPr>
        <w:t xml:space="preserve">                  </w:t>
      </w:r>
    </w:p>
    <w:p w14:paraId="30FF62D2">
      <w:pPr>
        <w:spacing w:line="360" w:lineRule="auto"/>
        <w:rPr>
          <w:rFonts w:ascii="宋体" w:hAnsi="宋体" w:cs="仿宋_GB2312"/>
          <w:sz w:val="28"/>
          <w:szCs w:val="28"/>
          <w:highlight w:val="none"/>
        </w:rPr>
      </w:pPr>
      <w:r>
        <w:rPr>
          <w:rFonts w:hint="eastAsia" w:ascii="宋体" w:hAnsi="宋体" w:cs="仿宋_GB2312"/>
          <w:sz w:val="28"/>
          <w:szCs w:val="28"/>
          <w:highlight w:val="none"/>
        </w:rPr>
        <w:t xml:space="preserve">                            </w:t>
      </w:r>
      <w:r>
        <w:rPr>
          <w:rFonts w:ascii="宋体" w:hAnsi="宋体" w:cs="仿宋_GB2312"/>
          <w:sz w:val="28"/>
          <w:szCs w:val="28"/>
          <w:highlight w:val="none"/>
        </w:rPr>
        <w:t xml:space="preserve">          </w:t>
      </w:r>
      <w:r>
        <w:rPr>
          <w:rFonts w:hint="eastAsia" w:ascii="宋体" w:hAnsi="宋体" w:cs="仿宋_GB2312"/>
          <w:sz w:val="28"/>
          <w:szCs w:val="28"/>
          <w:highlight w:val="none"/>
        </w:rPr>
        <w:t xml:space="preserve">年      月     日 </w:t>
      </w:r>
    </w:p>
    <w:p w14:paraId="39512415">
      <w:pPr>
        <w:pStyle w:val="37"/>
        <w:snapToGrid w:val="0"/>
        <w:spacing w:before="0" w:beforeAutospacing="0" w:after="0" w:afterAutospacing="0" w:line="360" w:lineRule="auto"/>
        <w:rPr>
          <w:rFonts w:cs="仿宋_GB2312"/>
          <w:color w:val="000000"/>
          <w:sz w:val="28"/>
          <w:szCs w:val="28"/>
          <w:highlight w:val="none"/>
        </w:rPr>
        <w:sectPr>
          <w:pgSz w:w="11910" w:h="16840"/>
          <w:pgMar w:top="1417" w:right="1134" w:bottom="1247" w:left="1701" w:header="866" w:footer="886" w:gutter="0"/>
          <w:cols w:space="720" w:num="1"/>
          <w:docGrid w:linePitch="286" w:charSpace="0"/>
        </w:sectPr>
      </w:pPr>
    </w:p>
    <w:p w14:paraId="6C385BE9">
      <w:pPr>
        <w:pStyle w:val="37"/>
        <w:snapToGrid w:val="0"/>
        <w:spacing w:before="0" w:beforeAutospacing="0" w:after="0" w:afterAutospacing="0" w:line="360" w:lineRule="auto"/>
        <w:rPr>
          <w:rFonts w:cs="仿宋_GB2312"/>
          <w:color w:val="000000"/>
          <w:sz w:val="28"/>
          <w:szCs w:val="28"/>
          <w:highlight w:val="none"/>
        </w:rPr>
      </w:pPr>
      <w:r>
        <w:rPr>
          <w:rFonts w:hint="eastAsia" w:cs="仿宋_GB2312"/>
          <w:color w:val="000000"/>
          <w:sz w:val="28"/>
          <w:szCs w:val="28"/>
          <w:highlight w:val="none"/>
        </w:rPr>
        <w:t xml:space="preserve">附件3  </w:t>
      </w:r>
    </w:p>
    <w:p w14:paraId="735C14CC">
      <w:pPr>
        <w:pStyle w:val="37"/>
        <w:snapToGrid w:val="0"/>
        <w:spacing w:before="0" w:beforeAutospacing="0" w:after="0" w:afterAutospacing="0" w:line="360" w:lineRule="auto"/>
        <w:jc w:val="center"/>
        <w:rPr>
          <w:rFonts w:cs="黑体"/>
          <w:b/>
          <w:color w:val="000000"/>
          <w:sz w:val="28"/>
          <w:szCs w:val="28"/>
          <w:highlight w:val="none"/>
        </w:rPr>
      </w:pPr>
      <w:r>
        <w:rPr>
          <w:rFonts w:hint="eastAsia" w:cs="黑体"/>
          <w:b/>
          <w:color w:val="000000"/>
          <w:sz w:val="28"/>
          <w:szCs w:val="28"/>
          <w:highlight w:val="none"/>
        </w:rPr>
        <w:t>服务承诺书</w:t>
      </w:r>
    </w:p>
    <w:p w14:paraId="471097A6">
      <w:pPr>
        <w:pStyle w:val="37"/>
        <w:snapToGrid w:val="0"/>
        <w:spacing w:before="0" w:beforeAutospacing="0" w:after="0" w:afterAutospacing="0" w:line="360" w:lineRule="auto"/>
        <w:jc w:val="center"/>
        <w:rPr>
          <w:rFonts w:cs="华文中宋"/>
          <w:color w:val="000000"/>
          <w:sz w:val="28"/>
          <w:szCs w:val="28"/>
          <w:highlight w:val="none"/>
        </w:rPr>
      </w:pPr>
    </w:p>
    <w:p w14:paraId="2DF63D7A">
      <w:pPr>
        <w:pStyle w:val="37"/>
        <w:snapToGrid w:val="0"/>
        <w:spacing w:before="0" w:beforeAutospacing="0" w:after="0" w:afterAutospacing="0" w:line="360" w:lineRule="auto"/>
        <w:ind w:firstLine="560" w:firstLineChars="200"/>
        <w:rPr>
          <w:rFonts w:cs="仿宋_GB2312"/>
          <w:color w:val="000000"/>
          <w:sz w:val="28"/>
          <w:szCs w:val="28"/>
          <w:highlight w:val="none"/>
          <w:u w:val="single"/>
        </w:rPr>
      </w:pPr>
      <w:r>
        <w:rPr>
          <w:rFonts w:hint="eastAsia" w:cs="仿宋_GB2312"/>
          <w:color w:val="000000"/>
          <w:sz w:val="28"/>
          <w:szCs w:val="28"/>
          <w:highlight w:val="none"/>
        </w:rPr>
        <w:t>机构名称：</w:t>
      </w:r>
      <w:r>
        <w:rPr>
          <w:rFonts w:hint="eastAsia" w:cs="仿宋_GB2312"/>
          <w:color w:val="000000"/>
          <w:sz w:val="28"/>
          <w:szCs w:val="28"/>
          <w:highlight w:val="none"/>
          <w:u w:val="single"/>
        </w:rPr>
        <w:t xml:space="preserve">                   </w:t>
      </w:r>
    </w:p>
    <w:p w14:paraId="18FD42DB">
      <w:pPr>
        <w:pStyle w:val="37"/>
        <w:snapToGrid w:val="0"/>
        <w:spacing w:before="0" w:beforeAutospacing="0" w:after="0" w:afterAutospacing="0" w:line="360" w:lineRule="auto"/>
        <w:ind w:firstLine="560" w:firstLineChars="200"/>
        <w:rPr>
          <w:rFonts w:cs="仿宋_GB2312"/>
          <w:color w:val="000000"/>
          <w:sz w:val="28"/>
          <w:szCs w:val="28"/>
          <w:highlight w:val="none"/>
        </w:rPr>
      </w:pPr>
      <w:r>
        <w:rPr>
          <w:rFonts w:hint="eastAsia" w:cs="仿宋_GB2312"/>
          <w:color w:val="000000"/>
          <w:sz w:val="28"/>
          <w:szCs w:val="28"/>
          <w:highlight w:val="none"/>
        </w:rPr>
        <w:t>地址：</w:t>
      </w:r>
      <w:r>
        <w:rPr>
          <w:rFonts w:hint="eastAsia" w:cs="仿宋_GB2312"/>
          <w:color w:val="000000"/>
          <w:sz w:val="28"/>
          <w:szCs w:val="28"/>
          <w:highlight w:val="none"/>
          <w:u w:val="single"/>
        </w:rPr>
        <w:t xml:space="preserve">                       </w:t>
      </w:r>
    </w:p>
    <w:p w14:paraId="691445F2">
      <w:pPr>
        <w:pStyle w:val="37"/>
        <w:snapToGrid w:val="0"/>
        <w:spacing w:before="0" w:beforeAutospacing="0" w:after="0" w:afterAutospacing="0" w:line="360" w:lineRule="auto"/>
        <w:ind w:firstLine="560" w:firstLineChars="200"/>
        <w:rPr>
          <w:rFonts w:cs="仿宋_GB2312"/>
          <w:color w:val="000000"/>
          <w:sz w:val="28"/>
          <w:szCs w:val="28"/>
          <w:highlight w:val="none"/>
        </w:rPr>
      </w:pPr>
      <w:r>
        <w:rPr>
          <w:rFonts w:hint="eastAsia" w:cs="仿宋_GB2312"/>
          <w:color w:val="000000"/>
          <w:sz w:val="28"/>
          <w:szCs w:val="28"/>
          <w:highlight w:val="none"/>
        </w:rPr>
        <w:t>负责人：</w:t>
      </w:r>
      <w:r>
        <w:rPr>
          <w:rFonts w:hint="eastAsia" w:cs="仿宋_GB2312"/>
          <w:color w:val="000000"/>
          <w:sz w:val="28"/>
          <w:szCs w:val="28"/>
          <w:highlight w:val="none"/>
          <w:u w:val="single"/>
        </w:rPr>
        <w:t xml:space="preserve">                     </w:t>
      </w:r>
    </w:p>
    <w:p w14:paraId="35827A42">
      <w:pPr>
        <w:pStyle w:val="37"/>
        <w:snapToGrid w:val="0"/>
        <w:spacing w:before="0" w:beforeAutospacing="0" w:after="0" w:afterAutospacing="0" w:line="360" w:lineRule="auto"/>
        <w:ind w:firstLine="560" w:firstLineChars="200"/>
        <w:rPr>
          <w:rFonts w:cs="仿宋_GB2312"/>
          <w:color w:val="000000"/>
          <w:sz w:val="28"/>
          <w:szCs w:val="28"/>
          <w:highlight w:val="none"/>
        </w:rPr>
      </w:pPr>
      <w:r>
        <w:rPr>
          <w:rFonts w:hint="eastAsia" w:cs="仿宋_GB2312"/>
          <w:color w:val="000000"/>
          <w:sz w:val="28"/>
          <w:szCs w:val="28"/>
          <w:highlight w:val="none"/>
        </w:rPr>
        <w:t>联系电话：</w:t>
      </w:r>
      <w:r>
        <w:rPr>
          <w:rFonts w:hint="eastAsia" w:cs="仿宋_GB2312"/>
          <w:color w:val="000000"/>
          <w:sz w:val="28"/>
          <w:szCs w:val="28"/>
          <w:highlight w:val="none"/>
          <w:u w:val="single"/>
        </w:rPr>
        <w:t xml:space="preserve">                   </w:t>
      </w:r>
    </w:p>
    <w:p w14:paraId="4D1A8D1F">
      <w:pPr>
        <w:tabs>
          <w:tab w:val="left" w:pos="630"/>
        </w:tabs>
        <w:spacing w:line="360" w:lineRule="auto"/>
        <w:ind w:firstLine="560" w:firstLineChars="200"/>
        <w:rPr>
          <w:rFonts w:ascii="宋体" w:hAnsi="宋体"/>
          <w:sz w:val="28"/>
          <w:szCs w:val="28"/>
          <w:highlight w:val="none"/>
        </w:rPr>
      </w:pPr>
    </w:p>
    <w:p w14:paraId="58A06197">
      <w:pPr>
        <w:tabs>
          <w:tab w:val="left" w:pos="630"/>
        </w:tabs>
        <w:spacing w:line="360" w:lineRule="auto"/>
        <w:ind w:firstLine="560" w:firstLineChars="200"/>
        <w:rPr>
          <w:rFonts w:ascii="宋体" w:hAnsi="宋体"/>
          <w:sz w:val="28"/>
          <w:szCs w:val="28"/>
          <w:highlight w:val="none"/>
        </w:rPr>
      </w:pPr>
      <w:r>
        <w:rPr>
          <w:rFonts w:hint="eastAsia" w:ascii="宋体" w:hAnsi="宋体"/>
          <w:sz w:val="28"/>
          <w:szCs w:val="28"/>
          <w:highlight w:val="none"/>
        </w:rPr>
        <w:t>本机构自愿申报参加“2027年法律援助补贴”招募并承诺如下：</w:t>
      </w:r>
    </w:p>
    <w:p w14:paraId="16164DB9">
      <w:pPr>
        <w:tabs>
          <w:tab w:val="left" w:pos="630"/>
        </w:tabs>
        <w:spacing w:line="360" w:lineRule="auto"/>
        <w:ind w:firstLine="560" w:firstLineChars="200"/>
        <w:rPr>
          <w:rFonts w:ascii="宋体" w:hAnsi="宋体"/>
          <w:sz w:val="28"/>
          <w:szCs w:val="28"/>
          <w:highlight w:val="none"/>
        </w:rPr>
      </w:pPr>
      <w:r>
        <w:rPr>
          <w:rFonts w:hint="eastAsia" w:ascii="宋体" w:hAnsi="宋体"/>
          <w:sz w:val="28"/>
          <w:szCs w:val="28"/>
          <w:highlight w:val="none"/>
        </w:rPr>
        <w:t>1.同意按照</w:t>
      </w:r>
      <w:r>
        <w:rPr>
          <w:rFonts w:hint="eastAsia" w:ascii="宋体" w:hAnsi="宋体" w:cs="仿宋_GB2312"/>
          <w:bCs/>
          <w:color w:val="000000"/>
          <w:sz w:val="28"/>
          <w:szCs w:val="28"/>
          <w:highlight w:val="none"/>
        </w:rPr>
        <w:t>《北京市法律援助补贴办法》</w:t>
      </w:r>
      <w:r>
        <w:rPr>
          <w:rFonts w:hint="eastAsia" w:ascii="宋体" w:hAnsi="宋体" w:cs="仿宋_GB2312"/>
          <w:bCs/>
          <w:sz w:val="28"/>
          <w:szCs w:val="28"/>
          <w:highlight w:val="none"/>
        </w:rPr>
        <w:t>（京司发〔2018〕86号）和</w:t>
      </w:r>
      <w:r>
        <w:rPr>
          <w:rFonts w:hint="eastAsia" w:ascii="宋体" w:hAnsi="宋体"/>
          <w:sz w:val="28"/>
          <w:szCs w:val="28"/>
          <w:highlight w:val="none"/>
        </w:rPr>
        <w:t>《关于调整法律援助补贴发放有关事项的通知》（京司发〔2023〕27号）补贴标准收取法律援助工作补贴。</w:t>
      </w:r>
    </w:p>
    <w:p w14:paraId="5D748510">
      <w:pPr>
        <w:tabs>
          <w:tab w:val="left" w:pos="630"/>
        </w:tabs>
        <w:spacing w:line="360" w:lineRule="auto"/>
        <w:ind w:firstLine="560" w:firstLineChars="200"/>
        <w:rPr>
          <w:rFonts w:ascii="宋体" w:hAnsi="宋体"/>
          <w:sz w:val="28"/>
          <w:szCs w:val="28"/>
          <w:highlight w:val="none"/>
        </w:rPr>
      </w:pPr>
      <w:r>
        <w:rPr>
          <w:rFonts w:hint="eastAsia" w:ascii="宋体" w:hAnsi="宋体"/>
          <w:sz w:val="28"/>
          <w:szCs w:val="28"/>
          <w:highlight w:val="none"/>
        </w:rPr>
        <w:t>2.服从大兴区法援中心工作安排，能够承担大兴区法律援助中心大厅法律咨询；区看守所、区检察院、区人民法院</w:t>
      </w:r>
      <w:r>
        <w:rPr>
          <w:rFonts w:ascii="宋体" w:hAnsi="宋体"/>
          <w:sz w:val="28"/>
          <w:szCs w:val="28"/>
          <w:highlight w:val="none"/>
        </w:rPr>
        <w:t>等</w:t>
      </w:r>
      <w:r>
        <w:rPr>
          <w:rFonts w:hint="eastAsia" w:ascii="宋体" w:hAnsi="宋体"/>
          <w:sz w:val="28"/>
          <w:szCs w:val="28"/>
          <w:highlight w:val="none"/>
        </w:rPr>
        <w:t>法律援助工作站值班；</w:t>
      </w:r>
      <w:r>
        <w:rPr>
          <w:rFonts w:hint="eastAsia" w:ascii="宋体" w:hAnsi="宋体" w:cs="仿宋_GB2312"/>
          <w:bCs/>
          <w:sz w:val="28"/>
          <w:szCs w:val="28"/>
          <w:highlight w:val="none"/>
        </w:rPr>
        <w:t>12348公共法律服务热</w:t>
      </w:r>
      <w:r>
        <w:rPr>
          <w:rFonts w:hint="eastAsia" w:ascii="宋体" w:hAnsi="宋体"/>
          <w:sz w:val="28"/>
          <w:szCs w:val="28"/>
          <w:highlight w:val="none"/>
        </w:rPr>
        <w:t>线平台值班；代写法律文书、法律援助案件代理（辩护）等工作。</w:t>
      </w:r>
    </w:p>
    <w:p w14:paraId="6A21EDB7">
      <w:pPr>
        <w:tabs>
          <w:tab w:val="left" w:pos="630"/>
        </w:tabs>
        <w:spacing w:line="360" w:lineRule="auto"/>
        <w:ind w:firstLine="560" w:firstLineChars="200"/>
        <w:rPr>
          <w:rFonts w:ascii="宋体" w:hAnsi="宋体"/>
          <w:sz w:val="28"/>
          <w:szCs w:val="28"/>
          <w:highlight w:val="none"/>
        </w:rPr>
      </w:pPr>
      <w:r>
        <w:rPr>
          <w:rFonts w:hint="eastAsia" w:ascii="宋体" w:hAnsi="宋体"/>
          <w:sz w:val="28"/>
          <w:szCs w:val="28"/>
          <w:highlight w:val="none"/>
        </w:rPr>
        <w:t>3.具备承接法律援助服务项目的能力，制定本机构法律援助工作服务方案，并严格按照方案规定管理本机构法律援助服务事务。</w:t>
      </w:r>
    </w:p>
    <w:p w14:paraId="0A27C22C">
      <w:pPr>
        <w:tabs>
          <w:tab w:val="left" w:pos="630"/>
        </w:tabs>
        <w:spacing w:line="360" w:lineRule="auto"/>
        <w:ind w:firstLine="560" w:firstLineChars="200"/>
        <w:rPr>
          <w:rFonts w:ascii="宋体" w:hAnsi="宋体"/>
          <w:sz w:val="28"/>
          <w:szCs w:val="28"/>
          <w:highlight w:val="none"/>
        </w:rPr>
      </w:pPr>
      <w:r>
        <w:rPr>
          <w:rFonts w:hint="eastAsia" w:ascii="宋体" w:hAnsi="宋体"/>
          <w:sz w:val="28"/>
          <w:szCs w:val="28"/>
          <w:highlight w:val="none"/>
        </w:rPr>
        <w:t>4.本所承办法律援助服务工作的律师应当同时具备以下条件：</w:t>
      </w:r>
    </w:p>
    <w:p w14:paraId="42608ABA">
      <w:pPr>
        <w:tabs>
          <w:tab w:val="left" w:pos="630"/>
        </w:tabs>
        <w:spacing w:line="360" w:lineRule="auto"/>
        <w:ind w:firstLine="560" w:firstLineChars="200"/>
        <w:rPr>
          <w:rFonts w:ascii="宋体" w:hAnsi="宋体"/>
          <w:sz w:val="28"/>
          <w:szCs w:val="28"/>
          <w:highlight w:val="none"/>
        </w:rPr>
      </w:pPr>
      <w:r>
        <w:rPr>
          <w:rFonts w:hint="eastAsia" w:ascii="宋体" w:hAnsi="宋体"/>
          <w:sz w:val="28"/>
          <w:szCs w:val="28"/>
          <w:highlight w:val="none"/>
        </w:rPr>
        <w:t>（1）近三年未受到过行政处罚和行业纪律处分；</w:t>
      </w:r>
    </w:p>
    <w:p w14:paraId="6CA9B0EE">
      <w:pPr>
        <w:tabs>
          <w:tab w:val="left" w:pos="630"/>
        </w:tabs>
        <w:spacing w:line="360" w:lineRule="auto"/>
        <w:ind w:firstLine="560" w:firstLineChars="200"/>
        <w:rPr>
          <w:rFonts w:ascii="宋体" w:hAnsi="宋体"/>
          <w:sz w:val="28"/>
          <w:szCs w:val="28"/>
          <w:highlight w:val="none"/>
        </w:rPr>
      </w:pPr>
      <w:r>
        <w:rPr>
          <w:rFonts w:hint="eastAsia" w:ascii="宋体" w:hAnsi="宋体"/>
          <w:sz w:val="28"/>
          <w:szCs w:val="28"/>
          <w:highlight w:val="none"/>
        </w:rPr>
        <w:t>（2）政治素质过硬，具有良好的职业道德和品行，热心公益、热爱法律援助事业，吃苦耐劳，具有奉献精神；</w:t>
      </w:r>
    </w:p>
    <w:p w14:paraId="39476E86">
      <w:pPr>
        <w:tabs>
          <w:tab w:val="left" w:pos="630"/>
        </w:tabs>
        <w:spacing w:line="360" w:lineRule="auto"/>
        <w:ind w:firstLine="560" w:firstLineChars="200"/>
        <w:rPr>
          <w:rFonts w:ascii="宋体" w:hAnsi="宋体"/>
          <w:sz w:val="28"/>
          <w:szCs w:val="28"/>
          <w:highlight w:val="none"/>
        </w:rPr>
      </w:pPr>
      <w:r>
        <w:rPr>
          <w:rFonts w:hint="eastAsia" w:ascii="宋体" w:hAnsi="宋体"/>
          <w:sz w:val="28"/>
          <w:szCs w:val="28"/>
          <w:highlight w:val="none"/>
        </w:rPr>
        <w:t>（3）</w:t>
      </w:r>
      <w:r>
        <w:rPr>
          <w:rFonts w:hint="eastAsia" w:ascii="宋体" w:hAnsi="宋体" w:cs="仿宋_GB2312"/>
          <w:bCs/>
          <w:sz w:val="28"/>
          <w:szCs w:val="28"/>
          <w:highlight w:val="none"/>
        </w:rPr>
        <w:t>2025</w:t>
      </w:r>
      <w:r>
        <w:rPr>
          <w:rFonts w:hint="eastAsia" w:ascii="宋体" w:hAnsi="宋体"/>
          <w:sz w:val="28"/>
          <w:szCs w:val="28"/>
          <w:highlight w:val="none"/>
        </w:rPr>
        <w:t>年度考核称职；</w:t>
      </w:r>
    </w:p>
    <w:p w14:paraId="2FE2A47C">
      <w:pPr>
        <w:tabs>
          <w:tab w:val="left" w:pos="630"/>
        </w:tabs>
        <w:spacing w:line="360" w:lineRule="auto"/>
        <w:ind w:firstLine="560" w:firstLineChars="200"/>
        <w:rPr>
          <w:rFonts w:ascii="宋体" w:hAnsi="宋体"/>
          <w:sz w:val="28"/>
          <w:szCs w:val="28"/>
          <w:highlight w:val="none"/>
        </w:rPr>
      </w:pPr>
      <w:r>
        <w:rPr>
          <w:rFonts w:hint="eastAsia" w:ascii="宋体" w:hAnsi="宋体"/>
          <w:sz w:val="28"/>
          <w:szCs w:val="28"/>
          <w:highlight w:val="none"/>
        </w:rPr>
        <w:t>（4）自愿公开执业基本情况并及时公布更新后的联系方式；</w:t>
      </w:r>
    </w:p>
    <w:p w14:paraId="31774FC4">
      <w:pPr>
        <w:tabs>
          <w:tab w:val="left" w:pos="630"/>
        </w:tabs>
        <w:spacing w:line="360" w:lineRule="auto"/>
        <w:ind w:firstLine="560" w:firstLineChars="200"/>
        <w:rPr>
          <w:rFonts w:ascii="宋体" w:hAnsi="宋体"/>
          <w:sz w:val="28"/>
          <w:szCs w:val="28"/>
          <w:highlight w:val="none"/>
        </w:rPr>
      </w:pPr>
      <w:r>
        <w:rPr>
          <w:rFonts w:hint="eastAsia" w:ascii="宋体" w:hAnsi="宋体"/>
          <w:sz w:val="28"/>
          <w:szCs w:val="28"/>
          <w:highlight w:val="none"/>
        </w:rPr>
        <w:t>（5）自愿接受大兴区法律援助中心的工作安排、指导和监督；</w:t>
      </w:r>
    </w:p>
    <w:p w14:paraId="685DCAF9">
      <w:pPr>
        <w:tabs>
          <w:tab w:val="left" w:pos="630"/>
        </w:tabs>
        <w:spacing w:line="360" w:lineRule="auto"/>
        <w:ind w:firstLine="560" w:firstLineChars="200"/>
        <w:rPr>
          <w:rFonts w:ascii="宋体" w:hAnsi="宋体"/>
          <w:sz w:val="28"/>
          <w:szCs w:val="28"/>
          <w:highlight w:val="none"/>
        </w:rPr>
      </w:pPr>
      <w:r>
        <w:rPr>
          <w:rFonts w:hint="eastAsia" w:ascii="宋体" w:hAnsi="宋体"/>
          <w:sz w:val="28"/>
          <w:szCs w:val="28"/>
          <w:highlight w:val="none"/>
        </w:rPr>
        <w:t>（6）提供优质高效的法律援助服务：严格规范服务，热心接待咨询群众，细致解答来电来访群众的法律问题；严格按照《中华人民共和国法律援助法》《北京市法律援助条例》和新修订的《办理法律援助案件程序规定》相关规定和律师执业规范开展法律援助服务，不泄露服务对象的个人隐私，不因个人工作原因引发新的矛盾纠纷。诚信廉洁服务，恪守法律工作者职业道德和执业纪律，客观、准确地讲解法律知识，解答法律疑问，在提供法律援助服务过程中，不收取任何费用、财物，尽职履责，不推诿扯皮，不消极应付。</w:t>
      </w:r>
    </w:p>
    <w:p w14:paraId="1A3DAEC4">
      <w:pPr>
        <w:tabs>
          <w:tab w:val="left" w:pos="630"/>
        </w:tabs>
        <w:spacing w:before="120" w:beforeLines="50" w:after="120" w:afterLines="50" w:line="360" w:lineRule="auto"/>
        <w:jc w:val="center"/>
        <w:rPr>
          <w:rFonts w:ascii="宋体" w:hAnsi="宋体"/>
          <w:sz w:val="28"/>
          <w:szCs w:val="28"/>
          <w:highlight w:val="none"/>
        </w:rPr>
      </w:pPr>
      <w:r>
        <w:rPr>
          <w:rFonts w:hint="eastAsia" w:ascii="宋体" w:hAnsi="宋体"/>
          <w:sz w:val="28"/>
          <w:szCs w:val="28"/>
          <w:highlight w:val="none"/>
        </w:rPr>
        <w:t xml:space="preserve">                               </w:t>
      </w:r>
    </w:p>
    <w:p w14:paraId="6F2A25BA">
      <w:pPr>
        <w:tabs>
          <w:tab w:val="left" w:pos="630"/>
        </w:tabs>
        <w:spacing w:before="120" w:beforeLines="50" w:after="120" w:afterLines="50" w:line="360" w:lineRule="auto"/>
        <w:rPr>
          <w:rFonts w:ascii="宋体" w:hAnsi="宋体"/>
          <w:sz w:val="28"/>
          <w:szCs w:val="28"/>
          <w:highlight w:val="none"/>
        </w:rPr>
      </w:pPr>
    </w:p>
    <w:p w14:paraId="4A5CF88B">
      <w:pPr>
        <w:tabs>
          <w:tab w:val="left" w:pos="630"/>
        </w:tabs>
        <w:spacing w:before="120" w:beforeLines="50" w:after="120" w:afterLines="50" w:line="360" w:lineRule="auto"/>
        <w:jc w:val="center"/>
        <w:rPr>
          <w:rFonts w:ascii="宋体" w:hAnsi="宋体"/>
          <w:sz w:val="28"/>
          <w:szCs w:val="28"/>
          <w:highlight w:val="none"/>
        </w:rPr>
      </w:pPr>
    </w:p>
    <w:p w14:paraId="7DEAC560">
      <w:pPr>
        <w:tabs>
          <w:tab w:val="left" w:pos="630"/>
        </w:tabs>
        <w:spacing w:before="120" w:beforeLines="50" w:after="120" w:afterLines="50" w:line="360" w:lineRule="auto"/>
        <w:jc w:val="center"/>
        <w:rPr>
          <w:rFonts w:ascii="宋体" w:hAnsi="宋体"/>
          <w:sz w:val="28"/>
          <w:szCs w:val="28"/>
          <w:highlight w:val="none"/>
          <w:u w:val="single"/>
        </w:rPr>
      </w:pPr>
      <w:r>
        <w:rPr>
          <w:rFonts w:hint="eastAsia" w:ascii="宋体" w:hAnsi="宋体"/>
          <w:sz w:val="28"/>
          <w:szCs w:val="28"/>
          <w:highlight w:val="none"/>
        </w:rPr>
        <w:t>机构名称</w:t>
      </w:r>
      <w:r>
        <w:rPr>
          <w:rFonts w:ascii="宋体" w:hAnsi="宋体"/>
          <w:sz w:val="28"/>
          <w:szCs w:val="28"/>
          <w:highlight w:val="none"/>
        </w:rPr>
        <w:t>：</w:t>
      </w:r>
      <w:r>
        <w:rPr>
          <w:rFonts w:hint="eastAsia" w:ascii="宋体" w:hAnsi="宋体"/>
          <w:sz w:val="28"/>
          <w:szCs w:val="28"/>
          <w:highlight w:val="none"/>
          <w:u w:val="single"/>
        </w:rPr>
        <w:t xml:space="preserve"> </w:t>
      </w:r>
      <w:r>
        <w:rPr>
          <w:rFonts w:ascii="宋体" w:hAnsi="宋体"/>
          <w:sz w:val="28"/>
          <w:szCs w:val="28"/>
          <w:highlight w:val="none"/>
          <w:u w:val="single"/>
        </w:rPr>
        <w:t xml:space="preserve">                    </w:t>
      </w:r>
    </w:p>
    <w:p w14:paraId="26FD55A5">
      <w:pPr>
        <w:tabs>
          <w:tab w:val="left" w:pos="630"/>
        </w:tabs>
        <w:spacing w:before="120" w:beforeLines="50" w:after="120" w:afterLines="50" w:line="360" w:lineRule="auto"/>
        <w:jc w:val="center"/>
        <w:rPr>
          <w:rFonts w:ascii="宋体" w:hAnsi="宋体"/>
          <w:sz w:val="28"/>
          <w:szCs w:val="28"/>
          <w:highlight w:val="none"/>
        </w:rPr>
      </w:pPr>
      <w:r>
        <w:rPr>
          <w:rFonts w:hint="eastAsia" w:ascii="宋体" w:hAnsi="宋体"/>
          <w:sz w:val="28"/>
          <w:szCs w:val="28"/>
          <w:highlight w:val="none"/>
        </w:rPr>
        <w:t>（公章）</w:t>
      </w:r>
    </w:p>
    <w:p w14:paraId="68CBF5B2">
      <w:pPr>
        <w:jc w:val="right"/>
        <w:rPr>
          <w:highlight w:val="none"/>
        </w:rPr>
      </w:pPr>
      <w:r>
        <w:rPr>
          <w:rFonts w:hint="eastAsia" w:ascii="宋体" w:hAnsi="宋体"/>
          <w:sz w:val="28"/>
          <w:szCs w:val="28"/>
          <w:highlight w:val="none"/>
        </w:rPr>
        <w:t>年   月   日</w:t>
      </w:r>
    </w:p>
    <w:p w14:paraId="1BF124F5">
      <w:pPr>
        <w:rPr>
          <w:highlight w:val="none"/>
        </w:rPr>
      </w:pPr>
    </w:p>
    <w:p w14:paraId="3305905A">
      <w:pPr>
        <w:spacing w:line="360" w:lineRule="auto"/>
        <w:rPr>
          <w:highlight w:val="none"/>
        </w:rPr>
      </w:pPr>
    </w:p>
    <w:p w14:paraId="414C2BF6">
      <w:pPr>
        <w:jc w:val="right"/>
        <w:rPr>
          <w:highlight w:val="none"/>
        </w:rPr>
      </w:pPr>
    </w:p>
    <w:p w14:paraId="24A6F9FC">
      <w:pPr>
        <w:spacing w:line="360" w:lineRule="auto"/>
        <w:rPr>
          <w:rFonts w:ascii="宋体" w:hAnsi="宋体"/>
          <w:sz w:val="24"/>
          <w:highlight w:val="none"/>
        </w:rPr>
      </w:pPr>
    </w:p>
    <w:p w14:paraId="77C377F7">
      <w:pPr>
        <w:spacing w:line="360" w:lineRule="auto"/>
        <w:ind w:firstLine="4080" w:firstLineChars="1700"/>
        <w:rPr>
          <w:rFonts w:ascii="宋体" w:hAnsi="宋体"/>
          <w:sz w:val="24"/>
          <w:highlight w:val="none"/>
        </w:rPr>
      </w:pPr>
    </w:p>
    <w:p w14:paraId="4E283CF8">
      <w:pPr>
        <w:tabs>
          <w:tab w:val="left" w:pos="900"/>
          <w:tab w:val="left" w:pos="1080"/>
        </w:tabs>
        <w:snapToGrid w:val="0"/>
        <w:spacing w:line="360" w:lineRule="auto"/>
        <w:rPr>
          <w:b/>
          <w:sz w:val="36"/>
          <w:szCs w:val="36"/>
          <w:highlight w:val="none"/>
        </w:rPr>
      </w:pPr>
    </w:p>
    <w:bookmarkEnd w:id="796"/>
    <w:p w14:paraId="22C91DCB">
      <w:pPr>
        <w:spacing w:line="360" w:lineRule="auto"/>
        <w:jc w:val="center"/>
        <w:outlineLvl w:val="0"/>
        <w:rPr>
          <w:b/>
          <w:sz w:val="36"/>
          <w:szCs w:val="36"/>
          <w:highlight w:val="none"/>
        </w:rPr>
      </w:pPr>
      <w:r>
        <w:rPr>
          <w:b/>
          <w:sz w:val="36"/>
          <w:szCs w:val="36"/>
          <w:highlight w:val="none"/>
        </w:rPr>
        <w:br w:type="page"/>
      </w:r>
      <w:bookmarkStart w:id="797" w:name="_Toc206523624"/>
      <w:r>
        <w:rPr>
          <w:b/>
          <w:sz w:val="36"/>
          <w:szCs w:val="36"/>
          <w:highlight w:val="none"/>
        </w:rPr>
        <w:t>第七章   响应文件格式</w:t>
      </w:r>
      <w:bookmarkEnd w:id="797"/>
    </w:p>
    <w:p w14:paraId="30DB0AD9">
      <w:pPr>
        <w:tabs>
          <w:tab w:val="left" w:pos="900"/>
          <w:tab w:val="left" w:pos="1980"/>
        </w:tabs>
        <w:snapToGrid w:val="0"/>
        <w:spacing w:line="360" w:lineRule="auto"/>
        <w:ind w:left="142"/>
        <w:rPr>
          <w:b/>
          <w:sz w:val="24"/>
          <w:highlight w:val="none"/>
        </w:rPr>
      </w:pPr>
    </w:p>
    <w:p w14:paraId="1C4BC8C9">
      <w:pPr>
        <w:tabs>
          <w:tab w:val="left" w:pos="900"/>
          <w:tab w:val="left" w:pos="1980"/>
        </w:tabs>
        <w:snapToGrid w:val="0"/>
        <w:spacing w:line="360" w:lineRule="auto"/>
        <w:ind w:left="142"/>
        <w:rPr>
          <w:b/>
          <w:sz w:val="24"/>
          <w:highlight w:val="none"/>
        </w:rPr>
      </w:pPr>
    </w:p>
    <w:p w14:paraId="7CCF9FD9">
      <w:pPr>
        <w:tabs>
          <w:tab w:val="left" w:pos="900"/>
          <w:tab w:val="left" w:pos="1980"/>
        </w:tabs>
        <w:snapToGrid w:val="0"/>
        <w:spacing w:line="360" w:lineRule="auto"/>
        <w:ind w:left="142"/>
        <w:rPr>
          <w:sz w:val="24"/>
          <w:highlight w:val="none"/>
        </w:rPr>
      </w:pPr>
      <w:r>
        <w:rPr>
          <w:b/>
          <w:sz w:val="24"/>
          <w:highlight w:val="none"/>
        </w:rPr>
        <w:t>供应商编制文件须知</w:t>
      </w:r>
    </w:p>
    <w:p w14:paraId="090F5497">
      <w:pPr>
        <w:tabs>
          <w:tab w:val="left" w:pos="900"/>
          <w:tab w:val="left" w:pos="1980"/>
        </w:tabs>
        <w:snapToGrid w:val="0"/>
        <w:spacing w:line="360" w:lineRule="auto"/>
        <w:ind w:left="142"/>
        <w:rPr>
          <w:sz w:val="24"/>
          <w:highlight w:val="none"/>
        </w:rPr>
      </w:pPr>
      <w:r>
        <w:rPr>
          <w:sz w:val="24"/>
          <w:highlight w:val="none"/>
        </w:rPr>
        <w:t>1、供应商按照本部分的顺序编制响应文件（资格证明文件）、响应文件（商务技术文件），编制中涉及格式资料的，应按照本部分提供的内容和格式（所有表格的格式可扩展）填写提交。</w:t>
      </w:r>
    </w:p>
    <w:p w14:paraId="2652F38A">
      <w:pPr>
        <w:tabs>
          <w:tab w:val="left" w:pos="900"/>
          <w:tab w:val="left" w:pos="1980"/>
        </w:tabs>
        <w:snapToGrid w:val="0"/>
        <w:spacing w:line="360" w:lineRule="auto"/>
        <w:ind w:left="142"/>
        <w:rPr>
          <w:kern w:val="0"/>
          <w:sz w:val="24"/>
          <w:highlight w:val="none"/>
        </w:rPr>
      </w:pPr>
      <w:r>
        <w:rPr>
          <w:sz w:val="24"/>
          <w:highlight w:val="none"/>
        </w:rPr>
        <w:t>2、</w:t>
      </w:r>
      <w:r>
        <w:rPr>
          <w:kern w:val="0"/>
          <w:sz w:val="24"/>
          <w:highlight w:val="none"/>
        </w:rPr>
        <w:t>对于征集文件中标记了“实质性格式”文件的，</w:t>
      </w:r>
      <w:r>
        <w:rPr>
          <w:sz w:val="24"/>
          <w:highlight w:val="none"/>
        </w:rPr>
        <w:t>供应商不得改变格式中给定的文字所表达的含义，不得删减格式中的实质性内容，不得自行添加与格式中给定的文字内容相矛盾的内容，不得对应当填写的空格不填写或不实质性响应，</w:t>
      </w:r>
      <w:r>
        <w:rPr>
          <w:kern w:val="0"/>
          <w:sz w:val="24"/>
          <w:highlight w:val="none"/>
        </w:rPr>
        <w:t>否则</w:t>
      </w:r>
      <w:r>
        <w:rPr>
          <w:b/>
          <w:kern w:val="0"/>
          <w:sz w:val="24"/>
          <w:highlight w:val="none"/>
        </w:rPr>
        <w:t>响应无效</w:t>
      </w:r>
      <w:r>
        <w:rPr>
          <w:kern w:val="0"/>
          <w:sz w:val="24"/>
          <w:highlight w:val="none"/>
        </w:rPr>
        <w:t>。未标记“实质性格式”的文件和征集文件未提供格式的内容，可由供应商自行编写。</w:t>
      </w:r>
    </w:p>
    <w:p w14:paraId="56AA85F8">
      <w:pPr>
        <w:tabs>
          <w:tab w:val="left" w:pos="900"/>
          <w:tab w:val="left" w:pos="1980"/>
        </w:tabs>
        <w:snapToGrid w:val="0"/>
        <w:spacing w:line="360" w:lineRule="auto"/>
        <w:ind w:left="142"/>
        <w:rPr>
          <w:sz w:val="24"/>
          <w:highlight w:val="none"/>
        </w:rPr>
      </w:pPr>
      <w:r>
        <w:rPr>
          <w:sz w:val="24"/>
          <w:highlight w:val="none"/>
        </w:rPr>
        <w:t>3、全部声明和问题的回答及所附材料必须是真实的、准确的和完整的。</w:t>
      </w:r>
    </w:p>
    <w:p w14:paraId="086B680D">
      <w:pPr>
        <w:widowControl/>
        <w:jc w:val="left"/>
        <w:rPr>
          <w:sz w:val="24"/>
          <w:highlight w:val="none"/>
        </w:rPr>
      </w:pPr>
      <w:r>
        <w:rPr>
          <w:sz w:val="24"/>
          <w:highlight w:val="none"/>
        </w:rPr>
        <w:br w:type="page"/>
      </w:r>
    </w:p>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14:paraId="5AA42843">
      <w:pPr>
        <w:keepNext/>
        <w:keepLines/>
        <w:autoSpaceDE w:val="0"/>
        <w:autoSpaceDN w:val="0"/>
        <w:adjustRightInd w:val="0"/>
        <w:spacing w:before="120" w:line="300" w:lineRule="auto"/>
        <w:jc w:val="left"/>
        <w:outlineLvl w:val="1"/>
        <w:rPr>
          <w:b/>
          <w:kern w:val="0"/>
          <w:sz w:val="30"/>
          <w:szCs w:val="20"/>
          <w:highlight w:val="none"/>
        </w:rPr>
      </w:pPr>
      <w:r>
        <w:rPr>
          <w:b/>
          <w:spacing w:val="20"/>
          <w:sz w:val="24"/>
          <w:highlight w:val="none"/>
        </w:rPr>
        <w:t>一、资格证明文件格式</w:t>
      </w:r>
    </w:p>
    <w:p w14:paraId="21312141">
      <w:pPr>
        <w:rPr>
          <w:b/>
          <w:spacing w:val="20"/>
          <w:szCs w:val="21"/>
          <w:highlight w:val="none"/>
        </w:rPr>
      </w:pPr>
    </w:p>
    <w:p w14:paraId="26A86D6A">
      <w:pPr>
        <w:rPr>
          <w:b/>
          <w:sz w:val="24"/>
          <w:highlight w:val="none"/>
        </w:rPr>
      </w:pPr>
      <w:r>
        <w:rPr>
          <w:b/>
          <w:spacing w:val="20"/>
          <w:sz w:val="24"/>
          <w:highlight w:val="none"/>
        </w:rPr>
        <w:t>响应文件（资格证明文件）</w:t>
      </w:r>
      <w:r>
        <w:rPr>
          <w:b/>
          <w:sz w:val="24"/>
          <w:highlight w:val="none"/>
        </w:rPr>
        <w:t>封面（非实质性格式）</w:t>
      </w:r>
    </w:p>
    <w:p w14:paraId="133F1FC3">
      <w:pPr>
        <w:jc w:val="center"/>
        <w:rPr>
          <w:szCs w:val="21"/>
          <w:highlight w:val="none"/>
        </w:rPr>
      </w:pPr>
    </w:p>
    <w:p w14:paraId="3E684989">
      <w:pPr>
        <w:jc w:val="center"/>
        <w:rPr>
          <w:b/>
          <w:spacing w:val="60"/>
          <w:sz w:val="84"/>
          <w:szCs w:val="84"/>
          <w:highlight w:val="none"/>
        </w:rPr>
      </w:pPr>
      <w:r>
        <w:rPr>
          <w:rFonts w:hint="eastAsia"/>
          <w:b/>
          <w:spacing w:val="60"/>
          <w:sz w:val="84"/>
          <w:szCs w:val="84"/>
          <w:highlight w:val="none"/>
        </w:rPr>
        <w:t>响 应</w:t>
      </w:r>
      <w:r>
        <w:rPr>
          <w:b/>
          <w:spacing w:val="60"/>
          <w:sz w:val="84"/>
          <w:szCs w:val="84"/>
          <w:highlight w:val="none"/>
        </w:rPr>
        <w:t xml:space="preserve"> 文 件</w:t>
      </w:r>
    </w:p>
    <w:p w14:paraId="4C01B2E4">
      <w:pPr>
        <w:jc w:val="center"/>
        <w:rPr>
          <w:b/>
          <w:spacing w:val="60"/>
          <w:sz w:val="52"/>
          <w:szCs w:val="52"/>
          <w:highlight w:val="none"/>
        </w:rPr>
      </w:pPr>
      <w:r>
        <w:rPr>
          <w:b/>
          <w:spacing w:val="60"/>
          <w:sz w:val="52"/>
          <w:szCs w:val="52"/>
          <w:highlight w:val="none"/>
        </w:rPr>
        <w:t>（资格证明文件）</w:t>
      </w:r>
    </w:p>
    <w:p w14:paraId="39B84CE4">
      <w:pPr>
        <w:ind w:firstLine="542" w:firstLineChars="150"/>
        <w:rPr>
          <w:b/>
          <w:spacing w:val="20"/>
          <w:sz w:val="32"/>
          <w:szCs w:val="32"/>
          <w:highlight w:val="none"/>
        </w:rPr>
      </w:pPr>
    </w:p>
    <w:p w14:paraId="6A6F10B5">
      <w:pPr>
        <w:ind w:firstLine="542" w:firstLineChars="150"/>
        <w:rPr>
          <w:b/>
          <w:spacing w:val="20"/>
          <w:sz w:val="32"/>
          <w:szCs w:val="32"/>
          <w:highlight w:val="none"/>
        </w:rPr>
      </w:pPr>
    </w:p>
    <w:p w14:paraId="5CBA09AE">
      <w:pPr>
        <w:ind w:firstLine="542" w:firstLineChars="150"/>
        <w:rPr>
          <w:b/>
          <w:spacing w:val="20"/>
          <w:sz w:val="32"/>
          <w:szCs w:val="32"/>
          <w:highlight w:val="none"/>
        </w:rPr>
      </w:pPr>
      <w:r>
        <w:rPr>
          <w:b/>
          <w:spacing w:val="20"/>
          <w:sz w:val="32"/>
          <w:szCs w:val="32"/>
          <w:highlight w:val="none"/>
        </w:rPr>
        <w:t>项目名称:</w:t>
      </w:r>
    </w:p>
    <w:p w14:paraId="22F80ECF">
      <w:pPr>
        <w:ind w:firstLine="542" w:firstLineChars="150"/>
        <w:rPr>
          <w:b/>
          <w:spacing w:val="20"/>
          <w:sz w:val="32"/>
          <w:szCs w:val="32"/>
          <w:highlight w:val="none"/>
        </w:rPr>
      </w:pPr>
      <w:r>
        <w:rPr>
          <w:b/>
          <w:spacing w:val="20"/>
          <w:sz w:val="32"/>
          <w:szCs w:val="32"/>
          <w:highlight w:val="none"/>
        </w:rPr>
        <w:t>项目编号：</w:t>
      </w:r>
    </w:p>
    <w:p w14:paraId="4FE2AAE7">
      <w:pPr>
        <w:ind w:firstLine="542" w:firstLineChars="150"/>
        <w:rPr>
          <w:b/>
          <w:spacing w:val="20"/>
          <w:sz w:val="32"/>
          <w:szCs w:val="32"/>
          <w:highlight w:val="none"/>
        </w:rPr>
      </w:pPr>
    </w:p>
    <w:p w14:paraId="4DCF8BAC">
      <w:pPr>
        <w:ind w:firstLine="542" w:firstLineChars="150"/>
        <w:rPr>
          <w:b/>
          <w:spacing w:val="20"/>
          <w:sz w:val="32"/>
          <w:szCs w:val="32"/>
          <w:highlight w:val="none"/>
        </w:rPr>
      </w:pPr>
    </w:p>
    <w:p w14:paraId="1138A291">
      <w:pPr>
        <w:jc w:val="center"/>
        <w:rPr>
          <w:b/>
          <w:sz w:val="32"/>
          <w:szCs w:val="32"/>
          <w:highlight w:val="none"/>
        </w:rPr>
      </w:pPr>
    </w:p>
    <w:p w14:paraId="3EC8D0B4">
      <w:pPr>
        <w:jc w:val="center"/>
        <w:rPr>
          <w:b/>
          <w:sz w:val="32"/>
          <w:szCs w:val="32"/>
          <w:highlight w:val="none"/>
        </w:rPr>
      </w:pPr>
    </w:p>
    <w:p w14:paraId="0F049F62">
      <w:pPr>
        <w:jc w:val="center"/>
        <w:rPr>
          <w:b/>
          <w:sz w:val="32"/>
          <w:szCs w:val="32"/>
          <w:highlight w:val="none"/>
        </w:rPr>
      </w:pPr>
    </w:p>
    <w:p w14:paraId="20168B68">
      <w:pPr>
        <w:jc w:val="center"/>
        <w:rPr>
          <w:b/>
          <w:spacing w:val="20"/>
          <w:sz w:val="32"/>
          <w:szCs w:val="32"/>
          <w:highlight w:val="none"/>
        </w:rPr>
      </w:pPr>
    </w:p>
    <w:p w14:paraId="356217BF">
      <w:pPr>
        <w:jc w:val="center"/>
        <w:rPr>
          <w:b/>
          <w:spacing w:val="20"/>
          <w:sz w:val="32"/>
          <w:szCs w:val="32"/>
          <w:highlight w:val="none"/>
        </w:rPr>
      </w:pPr>
    </w:p>
    <w:p w14:paraId="3C6766A7">
      <w:pPr>
        <w:jc w:val="center"/>
        <w:rPr>
          <w:b/>
          <w:spacing w:val="20"/>
          <w:sz w:val="32"/>
          <w:szCs w:val="32"/>
          <w:highlight w:val="none"/>
        </w:rPr>
      </w:pPr>
    </w:p>
    <w:p w14:paraId="567EDFEB">
      <w:pPr>
        <w:spacing w:line="360" w:lineRule="auto"/>
        <w:ind w:firstLine="1445" w:firstLineChars="400"/>
        <w:jc w:val="left"/>
        <w:rPr>
          <w:b/>
          <w:spacing w:val="20"/>
          <w:sz w:val="32"/>
          <w:szCs w:val="32"/>
          <w:highlight w:val="none"/>
        </w:rPr>
      </w:pPr>
      <w:r>
        <w:rPr>
          <w:b/>
          <w:spacing w:val="20"/>
          <w:sz w:val="32"/>
          <w:szCs w:val="32"/>
          <w:highlight w:val="none"/>
        </w:rPr>
        <w:t>供应商名称：</w:t>
      </w:r>
    </w:p>
    <w:p w14:paraId="118234C3">
      <w:pPr>
        <w:jc w:val="center"/>
        <w:rPr>
          <w:b/>
          <w:sz w:val="32"/>
          <w:szCs w:val="32"/>
          <w:highlight w:val="none"/>
        </w:rPr>
      </w:pPr>
    </w:p>
    <w:p w14:paraId="5B3468D7">
      <w:pPr>
        <w:rPr>
          <w:b/>
          <w:highlight w:val="none"/>
        </w:rPr>
      </w:pPr>
      <w:r>
        <w:rPr>
          <w:b/>
          <w:spacing w:val="20"/>
          <w:sz w:val="32"/>
          <w:szCs w:val="32"/>
          <w:highlight w:val="none"/>
        </w:rPr>
        <w:br w:type="page"/>
      </w:r>
    </w:p>
    <w:p w14:paraId="6949E2AD">
      <w:pPr>
        <w:numPr>
          <w:ilvl w:val="0"/>
          <w:numId w:val="14"/>
        </w:numPr>
        <w:tabs>
          <w:tab w:val="left" w:pos="360"/>
        </w:tabs>
        <w:snapToGrid w:val="0"/>
        <w:spacing w:line="360" w:lineRule="auto"/>
        <w:outlineLvl w:val="1"/>
        <w:rPr>
          <w:color w:val="000000"/>
          <w:sz w:val="24"/>
          <w:szCs w:val="20"/>
          <w:highlight w:val="none"/>
        </w:rPr>
      </w:pPr>
      <w:r>
        <w:rPr>
          <w:sz w:val="24"/>
          <w:highlight w:val="none"/>
        </w:rPr>
        <w:t>满足《中华人民共和国政府采购法》第二十二条规定</w:t>
      </w:r>
    </w:p>
    <w:p w14:paraId="41E5CDBB">
      <w:pPr>
        <w:spacing w:line="360" w:lineRule="auto"/>
        <w:outlineLvl w:val="2"/>
        <w:rPr>
          <w:color w:val="000000"/>
          <w:sz w:val="24"/>
          <w:szCs w:val="20"/>
          <w:highlight w:val="none"/>
        </w:rPr>
      </w:pPr>
      <w:r>
        <w:rPr>
          <w:color w:val="000000"/>
          <w:sz w:val="24"/>
          <w:szCs w:val="20"/>
          <w:highlight w:val="none"/>
        </w:rPr>
        <w:t>1-1 营业执照等证明文件</w:t>
      </w:r>
    </w:p>
    <w:p w14:paraId="1A182383">
      <w:pPr>
        <w:tabs>
          <w:tab w:val="left" w:pos="1080"/>
        </w:tabs>
        <w:snapToGrid w:val="0"/>
        <w:rPr>
          <w:sz w:val="24"/>
          <w:highlight w:val="none"/>
        </w:rPr>
      </w:pPr>
    </w:p>
    <w:p w14:paraId="119E8698">
      <w:pPr>
        <w:widowControl/>
        <w:jc w:val="left"/>
        <w:rPr>
          <w:color w:val="000000"/>
          <w:sz w:val="24"/>
          <w:szCs w:val="20"/>
          <w:highlight w:val="none"/>
        </w:rPr>
      </w:pPr>
      <w:r>
        <w:rPr>
          <w:color w:val="000000"/>
          <w:sz w:val="24"/>
          <w:highlight w:val="none"/>
        </w:rPr>
        <w:br w:type="page"/>
      </w:r>
    </w:p>
    <w:p w14:paraId="03A4988A">
      <w:pPr>
        <w:pStyle w:val="5"/>
        <w:rPr>
          <w:rFonts w:ascii="Times New Roman"/>
          <w:b w:val="0"/>
          <w:bCs/>
          <w:color w:val="000000"/>
          <w:highlight w:val="none"/>
          <w:u w:val="none"/>
        </w:rPr>
      </w:pPr>
      <w:r>
        <w:rPr>
          <w:rFonts w:ascii="Times New Roman"/>
          <w:b w:val="0"/>
          <w:color w:val="000000"/>
          <w:highlight w:val="none"/>
          <w:u w:val="none"/>
        </w:rPr>
        <w:t>1-2 供应商资格声明书</w:t>
      </w:r>
    </w:p>
    <w:p w14:paraId="436787C5">
      <w:pPr>
        <w:jc w:val="center"/>
        <w:rPr>
          <w:b/>
          <w:color w:val="000000"/>
          <w:sz w:val="36"/>
          <w:szCs w:val="36"/>
          <w:highlight w:val="none"/>
        </w:rPr>
      </w:pPr>
      <w:r>
        <w:rPr>
          <w:b/>
          <w:color w:val="000000"/>
          <w:sz w:val="36"/>
          <w:szCs w:val="36"/>
          <w:highlight w:val="none"/>
        </w:rPr>
        <w:t>供应商资格声明书</w:t>
      </w:r>
    </w:p>
    <w:p w14:paraId="219C49D3">
      <w:pPr>
        <w:tabs>
          <w:tab w:val="left" w:pos="5580"/>
        </w:tabs>
        <w:spacing w:line="360" w:lineRule="auto"/>
        <w:rPr>
          <w:sz w:val="24"/>
          <w:highlight w:val="none"/>
        </w:rPr>
      </w:pPr>
    </w:p>
    <w:p w14:paraId="1B07809C">
      <w:pPr>
        <w:tabs>
          <w:tab w:val="left" w:pos="5580"/>
        </w:tabs>
        <w:spacing w:line="360" w:lineRule="auto"/>
        <w:rPr>
          <w:sz w:val="24"/>
          <w:highlight w:val="none"/>
        </w:rPr>
      </w:pPr>
      <w:r>
        <w:rPr>
          <w:sz w:val="24"/>
          <w:highlight w:val="none"/>
        </w:rPr>
        <w:t>致：</w:t>
      </w:r>
      <w:r>
        <w:rPr>
          <w:rFonts w:hint="eastAsia"/>
          <w:sz w:val="24"/>
          <w:highlight w:val="none"/>
        </w:rPr>
        <w:t>北京市大兴区司法局</w:t>
      </w:r>
    </w:p>
    <w:p w14:paraId="6A60C064">
      <w:pPr>
        <w:spacing w:line="360" w:lineRule="auto"/>
        <w:ind w:firstLine="480" w:firstLineChars="200"/>
        <w:rPr>
          <w:sz w:val="24"/>
          <w:highlight w:val="none"/>
        </w:rPr>
      </w:pPr>
      <w:r>
        <w:rPr>
          <w:sz w:val="24"/>
          <w:highlight w:val="none"/>
        </w:rPr>
        <w:t>在参与本次项目响应中，我单位承诺：</w:t>
      </w:r>
    </w:p>
    <w:p w14:paraId="4462778C">
      <w:pPr>
        <w:numPr>
          <w:ilvl w:val="0"/>
          <w:numId w:val="15"/>
        </w:numPr>
        <w:spacing w:line="360" w:lineRule="auto"/>
        <w:ind w:left="1134"/>
        <w:rPr>
          <w:sz w:val="24"/>
          <w:szCs w:val="22"/>
          <w:highlight w:val="none"/>
        </w:rPr>
      </w:pPr>
      <w:r>
        <w:rPr>
          <w:sz w:val="24"/>
          <w:szCs w:val="22"/>
          <w:highlight w:val="none"/>
        </w:rPr>
        <w:t>具有良好的商业信誉和健全的财务会计制度；</w:t>
      </w:r>
    </w:p>
    <w:p w14:paraId="7AD98FFF">
      <w:pPr>
        <w:numPr>
          <w:ilvl w:val="0"/>
          <w:numId w:val="15"/>
        </w:numPr>
        <w:spacing w:line="360" w:lineRule="auto"/>
        <w:ind w:left="1134"/>
        <w:rPr>
          <w:sz w:val="24"/>
          <w:szCs w:val="22"/>
          <w:highlight w:val="none"/>
        </w:rPr>
      </w:pPr>
      <w:r>
        <w:rPr>
          <w:sz w:val="24"/>
          <w:szCs w:val="22"/>
          <w:highlight w:val="none"/>
        </w:rPr>
        <w:t>具有履行合同所必需的设备和专业技术能力；</w:t>
      </w:r>
    </w:p>
    <w:p w14:paraId="1BC52B7A">
      <w:pPr>
        <w:numPr>
          <w:ilvl w:val="0"/>
          <w:numId w:val="15"/>
        </w:numPr>
        <w:spacing w:line="360" w:lineRule="auto"/>
        <w:ind w:left="1134"/>
        <w:rPr>
          <w:sz w:val="24"/>
          <w:szCs w:val="22"/>
          <w:highlight w:val="none"/>
        </w:rPr>
      </w:pPr>
      <w:r>
        <w:rPr>
          <w:sz w:val="24"/>
          <w:szCs w:val="22"/>
          <w:highlight w:val="none"/>
        </w:rPr>
        <w:t>有依法缴纳税收和社会保障资金的良好记录；</w:t>
      </w:r>
    </w:p>
    <w:p w14:paraId="5A440F6E">
      <w:pPr>
        <w:numPr>
          <w:ilvl w:val="0"/>
          <w:numId w:val="15"/>
        </w:numPr>
        <w:spacing w:line="360" w:lineRule="auto"/>
        <w:ind w:left="1134"/>
        <w:rPr>
          <w:sz w:val="24"/>
          <w:szCs w:val="22"/>
          <w:highlight w:val="none"/>
        </w:rPr>
      </w:pPr>
      <w:r>
        <w:rPr>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5B9F07BF">
      <w:pPr>
        <w:numPr>
          <w:ilvl w:val="0"/>
          <w:numId w:val="15"/>
        </w:numPr>
        <w:spacing w:line="360" w:lineRule="auto"/>
        <w:ind w:left="1134"/>
        <w:rPr>
          <w:sz w:val="24"/>
          <w:szCs w:val="22"/>
          <w:highlight w:val="none"/>
        </w:rPr>
      </w:pPr>
      <w:r>
        <w:rPr>
          <w:sz w:val="24"/>
          <w:szCs w:val="22"/>
          <w:highlight w:val="none"/>
        </w:rPr>
        <w:t>我单位不属于政府采购法律、行政法规规定的公益一类事业单位、或使用事业编制且由财政拨款保障的群团组织（仅适用于政府购买服务项目）；</w:t>
      </w:r>
    </w:p>
    <w:p w14:paraId="7ECB5B75">
      <w:pPr>
        <w:numPr>
          <w:ilvl w:val="0"/>
          <w:numId w:val="15"/>
        </w:numPr>
        <w:spacing w:line="360" w:lineRule="auto"/>
        <w:ind w:left="1134"/>
        <w:rPr>
          <w:sz w:val="24"/>
          <w:szCs w:val="22"/>
          <w:highlight w:val="none"/>
        </w:rPr>
      </w:pPr>
      <w:r>
        <w:rPr>
          <w:sz w:val="24"/>
          <w:szCs w:val="22"/>
          <w:highlight w:val="none"/>
        </w:rPr>
        <w:t>我单位不存在为采购项目提供整体设计、规范编制或者项目管理、监理、检测等服务后，再参加该采购项目的其他采购活动的情形（单一来源采购项目除外）；</w:t>
      </w:r>
    </w:p>
    <w:p w14:paraId="7BF078A7">
      <w:pPr>
        <w:numPr>
          <w:ilvl w:val="0"/>
          <w:numId w:val="15"/>
        </w:numPr>
        <w:spacing w:line="360" w:lineRule="auto"/>
        <w:ind w:left="1134"/>
        <w:rPr>
          <w:sz w:val="24"/>
          <w:szCs w:val="22"/>
          <w:highlight w:val="none"/>
        </w:rPr>
      </w:pPr>
      <w:r>
        <w:rPr>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5424E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02E90E47">
            <w:pPr>
              <w:jc w:val="center"/>
              <w:rPr>
                <w:sz w:val="24"/>
                <w:highlight w:val="none"/>
              </w:rPr>
            </w:pPr>
            <w:r>
              <w:rPr>
                <w:sz w:val="24"/>
                <w:highlight w:val="none"/>
              </w:rPr>
              <w:t>序号</w:t>
            </w:r>
          </w:p>
        </w:tc>
        <w:tc>
          <w:tcPr>
            <w:tcW w:w="4574" w:type="dxa"/>
            <w:noWrap w:val="0"/>
            <w:vAlign w:val="center"/>
          </w:tcPr>
          <w:p w14:paraId="729E7089">
            <w:pPr>
              <w:jc w:val="center"/>
              <w:rPr>
                <w:sz w:val="24"/>
                <w:highlight w:val="none"/>
              </w:rPr>
            </w:pPr>
            <w:r>
              <w:rPr>
                <w:sz w:val="24"/>
                <w:highlight w:val="none"/>
              </w:rPr>
              <w:t>单位名称</w:t>
            </w:r>
          </w:p>
        </w:tc>
        <w:tc>
          <w:tcPr>
            <w:tcW w:w="2976" w:type="dxa"/>
            <w:noWrap w:val="0"/>
            <w:vAlign w:val="center"/>
          </w:tcPr>
          <w:p w14:paraId="2045B382">
            <w:pPr>
              <w:jc w:val="center"/>
              <w:rPr>
                <w:sz w:val="24"/>
                <w:highlight w:val="none"/>
              </w:rPr>
            </w:pPr>
            <w:r>
              <w:rPr>
                <w:sz w:val="24"/>
                <w:highlight w:val="none"/>
              </w:rPr>
              <w:t>相互关系</w:t>
            </w:r>
          </w:p>
        </w:tc>
      </w:tr>
      <w:tr w14:paraId="1A28A1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22FA148B">
            <w:pPr>
              <w:jc w:val="center"/>
              <w:rPr>
                <w:sz w:val="24"/>
                <w:highlight w:val="none"/>
              </w:rPr>
            </w:pPr>
            <w:r>
              <w:rPr>
                <w:sz w:val="24"/>
                <w:highlight w:val="none"/>
              </w:rPr>
              <w:t>1</w:t>
            </w:r>
          </w:p>
        </w:tc>
        <w:tc>
          <w:tcPr>
            <w:tcW w:w="4574" w:type="dxa"/>
            <w:noWrap w:val="0"/>
            <w:vAlign w:val="center"/>
          </w:tcPr>
          <w:p w14:paraId="29C0CCD2">
            <w:pPr>
              <w:jc w:val="center"/>
              <w:rPr>
                <w:sz w:val="24"/>
                <w:highlight w:val="none"/>
              </w:rPr>
            </w:pPr>
          </w:p>
        </w:tc>
        <w:tc>
          <w:tcPr>
            <w:tcW w:w="2976" w:type="dxa"/>
            <w:noWrap w:val="0"/>
            <w:vAlign w:val="center"/>
          </w:tcPr>
          <w:p w14:paraId="609A6735">
            <w:pPr>
              <w:jc w:val="center"/>
              <w:rPr>
                <w:sz w:val="24"/>
                <w:highlight w:val="none"/>
              </w:rPr>
            </w:pPr>
          </w:p>
        </w:tc>
      </w:tr>
      <w:tr w14:paraId="58D2A8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62D6B6E0">
            <w:pPr>
              <w:jc w:val="center"/>
              <w:rPr>
                <w:sz w:val="24"/>
                <w:highlight w:val="none"/>
              </w:rPr>
            </w:pPr>
            <w:r>
              <w:rPr>
                <w:sz w:val="24"/>
                <w:highlight w:val="none"/>
              </w:rPr>
              <w:t>2</w:t>
            </w:r>
          </w:p>
        </w:tc>
        <w:tc>
          <w:tcPr>
            <w:tcW w:w="4574" w:type="dxa"/>
            <w:noWrap w:val="0"/>
            <w:vAlign w:val="center"/>
          </w:tcPr>
          <w:p w14:paraId="297E1B8E">
            <w:pPr>
              <w:jc w:val="center"/>
              <w:rPr>
                <w:sz w:val="24"/>
                <w:highlight w:val="none"/>
              </w:rPr>
            </w:pPr>
          </w:p>
        </w:tc>
        <w:tc>
          <w:tcPr>
            <w:tcW w:w="2976" w:type="dxa"/>
            <w:noWrap w:val="0"/>
            <w:vAlign w:val="center"/>
          </w:tcPr>
          <w:p w14:paraId="5B044B45">
            <w:pPr>
              <w:jc w:val="center"/>
              <w:rPr>
                <w:sz w:val="24"/>
                <w:highlight w:val="none"/>
              </w:rPr>
            </w:pPr>
          </w:p>
        </w:tc>
      </w:tr>
      <w:tr w14:paraId="57D37A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noWrap w:val="0"/>
            <w:vAlign w:val="center"/>
          </w:tcPr>
          <w:p w14:paraId="178C9AE8">
            <w:pPr>
              <w:jc w:val="center"/>
              <w:rPr>
                <w:sz w:val="24"/>
                <w:highlight w:val="none"/>
              </w:rPr>
            </w:pPr>
            <w:r>
              <w:rPr>
                <w:sz w:val="24"/>
                <w:highlight w:val="none"/>
              </w:rPr>
              <w:t>…</w:t>
            </w:r>
          </w:p>
        </w:tc>
        <w:tc>
          <w:tcPr>
            <w:tcW w:w="4574" w:type="dxa"/>
            <w:noWrap w:val="0"/>
            <w:vAlign w:val="center"/>
          </w:tcPr>
          <w:p w14:paraId="283A2964">
            <w:pPr>
              <w:jc w:val="center"/>
              <w:rPr>
                <w:sz w:val="24"/>
                <w:highlight w:val="none"/>
              </w:rPr>
            </w:pPr>
          </w:p>
        </w:tc>
        <w:tc>
          <w:tcPr>
            <w:tcW w:w="2976" w:type="dxa"/>
            <w:noWrap w:val="0"/>
            <w:vAlign w:val="center"/>
          </w:tcPr>
          <w:p w14:paraId="7B858165">
            <w:pPr>
              <w:jc w:val="center"/>
              <w:rPr>
                <w:sz w:val="24"/>
                <w:highlight w:val="none"/>
              </w:rPr>
            </w:pPr>
          </w:p>
        </w:tc>
      </w:tr>
    </w:tbl>
    <w:p w14:paraId="7FEB00A3">
      <w:pPr>
        <w:rPr>
          <w:highlight w:val="none"/>
        </w:rPr>
      </w:pPr>
    </w:p>
    <w:p w14:paraId="122FA567">
      <w:pPr>
        <w:ind w:firstLine="480" w:firstLineChars="200"/>
        <w:rPr>
          <w:sz w:val="24"/>
          <w:szCs w:val="22"/>
          <w:highlight w:val="none"/>
        </w:rPr>
      </w:pPr>
      <w:r>
        <w:rPr>
          <w:sz w:val="24"/>
          <w:highlight w:val="none"/>
        </w:rPr>
        <w:t>上述声明真实有效，否则我方负全部责任。</w:t>
      </w:r>
    </w:p>
    <w:p w14:paraId="7FC3B729">
      <w:pPr>
        <w:spacing w:line="360" w:lineRule="auto"/>
        <w:rPr>
          <w:sz w:val="24"/>
          <w:highlight w:val="none"/>
        </w:rPr>
      </w:pPr>
    </w:p>
    <w:p w14:paraId="075F7E99">
      <w:pPr>
        <w:autoSpaceDE w:val="0"/>
        <w:autoSpaceDN w:val="0"/>
        <w:adjustRightInd w:val="0"/>
        <w:snapToGrid w:val="0"/>
        <w:spacing w:before="25" w:after="25" w:line="360" w:lineRule="auto"/>
        <w:jc w:val="right"/>
        <w:rPr>
          <w:color w:val="000000"/>
          <w:sz w:val="24"/>
          <w:highlight w:val="none"/>
          <w:lang w:val="zh-CN"/>
        </w:rPr>
      </w:pPr>
      <w:r>
        <w:rPr>
          <w:color w:val="000000"/>
          <w:sz w:val="24"/>
          <w:highlight w:val="none"/>
        </w:rPr>
        <w:t>供应商名称（加盖公章）</w:t>
      </w:r>
      <w:r>
        <w:rPr>
          <w:color w:val="000000"/>
          <w:sz w:val="24"/>
          <w:highlight w:val="none"/>
          <w:lang w:val="zh-CN"/>
        </w:rPr>
        <w:t>： ____________</w:t>
      </w:r>
    </w:p>
    <w:p w14:paraId="5DDB0C24">
      <w:pPr>
        <w:spacing w:line="360" w:lineRule="auto"/>
        <w:ind w:right="360" w:firstLine="480"/>
        <w:jc w:val="right"/>
        <w:rPr>
          <w:sz w:val="24"/>
          <w:highlight w:val="none"/>
        </w:rPr>
      </w:pPr>
      <w:r>
        <w:rPr>
          <w:color w:val="000000"/>
          <w:sz w:val="24"/>
          <w:szCs w:val="20"/>
          <w:highlight w:val="none"/>
        </w:rPr>
        <w:t xml:space="preserve">日期：_____年______月______日   </w:t>
      </w:r>
    </w:p>
    <w:p w14:paraId="237E4124">
      <w:pPr>
        <w:spacing w:line="360" w:lineRule="auto"/>
        <w:rPr>
          <w:sz w:val="24"/>
          <w:highlight w:val="none"/>
        </w:rPr>
      </w:pPr>
      <w:r>
        <w:rPr>
          <w:sz w:val="24"/>
          <w:highlight w:val="none"/>
        </w:rPr>
        <w:t>说明：供应商承诺不实的，依据《政府采购法》第七十七条“提供虚假材料谋取中标、成交的”有关规定予以处理。</w:t>
      </w:r>
    </w:p>
    <w:p w14:paraId="53679AC2">
      <w:pPr>
        <w:tabs>
          <w:tab w:val="left" w:pos="5580"/>
        </w:tabs>
        <w:spacing w:line="360" w:lineRule="auto"/>
        <w:rPr>
          <w:sz w:val="24"/>
          <w:highlight w:val="none"/>
        </w:rPr>
        <w:sectPr>
          <w:headerReference r:id="rId8" w:type="default"/>
          <w:footerReference r:id="rId9" w:type="default"/>
          <w:pgSz w:w="11907" w:h="16840"/>
          <w:pgMar w:top="1418" w:right="1134" w:bottom="1418" w:left="1701" w:header="851" w:footer="851" w:gutter="0"/>
          <w:cols w:space="720" w:num="1"/>
          <w:docGrid w:linePitch="462" w:charSpace="0"/>
        </w:sectPr>
      </w:pPr>
    </w:p>
    <w:p w14:paraId="3D7DD3DA">
      <w:pPr>
        <w:numPr>
          <w:ilvl w:val="0"/>
          <w:numId w:val="14"/>
        </w:numPr>
        <w:tabs>
          <w:tab w:val="left" w:pos="360"/>
        </w:tabs>
        <w:snapToGrid w:val="0"/>
        <w:spacing w:line="360" w:lineRule="auto"/>
        <w:outlineLvl w:val="1"/>
        <w:rPr>
          <w:sz w:val="24"/>
          <w:highlight w:val="none"/>
        </w:rPr>
      </w:pPr>
      <w:r>
        <w:rPr>
          <w:sz w:val="24"/>
          <w:highlight w:val="none"/>
        </w:rPr>
        <w:t>本项目的特定资格要求</w:t>
      </w:r>
      <w:r>
        <w:rPr>
          <w:color w:val="000000"/>
          <w:sz w:val="24"/>
          <w:szCs w:val="20"/>
          <w:highlight w:val="none"/>
        </w:rPr>
        <w:t>（如有）</w:t>
      </w:r>
    </w:p>
    <w:p w14:paraId="3DC05AC6">
      <w:pPr>
        <w:spacing w:line="360" w:lineRule="auto"/>
        <w:outlineLvl w:val="2"/>
        <w:rPr>
          <w:color w:val="000000"/>
          <w:sz w:val="24"/>
          <w:szCs w:val="20"/>
          <w:highlight w:val="none"/>
        </w:rPr>
      </w:pPr>
      <w:r>
        <w:rPr>
          <w:color w:val="000000"/>
          <w:sz w:val="24"/>
          <w:szCs w:val="20"/>
          <w:highlight w:val="none"/>
        </w:rPr>
        <w:t>2-1 联合协议（如有）</w:t>
      </w:r>
    </w:p>
    <w:p w14:paraId="6A998047">
      <w:pPr>
        <w:autoSpaceDE w:val="0"/>
        <w:autoSpaceDN w:val="0"/>
        <w:adjustRightInd w:val="0"/>
        <w:spacing w:line="360" w:lineRule="auto"/>
        <w:jc w:val="center"/>
        <w:rPr>
          <w:b/>
          <w:color w:val="000000"/>
          <w:sz w:val="36"/>
          <w:szCs w:val="36"/>
          <w:highlight w:val="none"/>
        </w:rPr>
      </w:pPr>
      <w:r>
        <w:rPr>
          <w:b/>
          <w:color w:val="000000"/>
          <w:sz w:val="36"/>
          <w:szCs w:val="36"/>
          <w:highlight w:val="none"/>
        </w:rPr>
        <w:t>联合协议</w:t>
      </w:r>
    </w:p>
    <w:p w14:paraId="35DD6970">
      <w:pPr>
        <w:spacing w:line="360" w:lineRule="auto"/>
        <w:ind w:firstLine="828" w:firstLineChars="345"/>
        <w:rPr>
          <w:bCs/>
          <w:color w:val="000000"/>
          <w:highlight w:val="none"/>
        </w:rPr>
      </w:pPr>
      <w:r>
        <w:rPr>
          <w:bCs/>
          <w:color w:val="000000"/>
          <w:sz w:val="24"/>
          <w:highlight w:val="none"/>
        </w:rPr>
        <w:t>______ 、 _____ 及 _____就“________（项目名称）</w:t>
      </w:r>
      <w:r>
        <w:rPr>
          <w:color w:val="000000"/>
          <w:sz w:val="24"/>
          <w:highlight w:val="none"/>
        </w:rPr>
        <w:t>”</w:t>
      </w:r>
      <w:r>
        <w:rPr>
          <w:rFonts w:hint="eastAsia"/>
          <w:bCs/>
          <w:color w:val="000000"/>
          <w:sz w:val="24"/>
          <w:highlight w:val="none"/>
        </w:rPr>
        <w:t>征集</w:t>
      </w:r>
      <w:r>
        <w:rPr>
          <w:bCs/>
          <w:color w:val="000000"/>
          <w:sz w:val="24"/>
          <w:highlight w:val="none"/>
        </w:rPr>
        <w:t>项目的响应事宜，经各方充分协商一致，达成如下协议：</w:t>
      </w:r>
    </w:p>
    <w:p w14:paraId="120A902D">
      <w:pPr>
        <w:numPr>
          <w:ilvl w:val="0"/>
          <w:numId w:val="16"/>
        </w:numPr>
        <w:spacing w:line="360" w:lineRule="auto"/>
        <w:rPr>
          <w:bCs/>
          <w:color w:val="000000"/>
          <w:sz w:val="24"/>
          <w:highlight w:val="none"/>
        </w:rPr>
      </w:pPr>
      <w:r>
        <w:rPr>
          <w:bCs/>
          <w:color w:val="000000"/>
          <w:sz w:val="24"/>
          <w:highlight w:val="none"/>
        </w:rPr>
        <w:t>由_________牵头，_________、__________参加，组成联合体共同进行</w:t>
      </w:r>
      <w:r>
        <w:rPr>
          <w:rFonts w:hint="eastAsia"/>
          <w:bCs/>
          <w:color w:val="000000"/>
          <w:sz w:val="24"/>
          <w:highlight w:val="none"/>
        </w:rPr>
        <w:t>征集</w:t>
      </w:r>
      <w:r>
        <w:rPr>
          <w:bCs/>
          <w:color w:val="000000"/>
          <w:sz w:val="24"/>
          <w:highlight w:val="none"/>
        </w:rPr>
        <w:t>项目的响应工作。</w:t>
      </w:r>
    </w:p>
    <w:p w14:paraId="056F9961">
      <w:pPr>
        <w:numPr>
          <w:ilvl w:val="0"/>
          <w:numId w:val="16"/>
        </w:numPr>
        <w:spacing w:line="360" w:lineRule="auto"/>
        <w:rPr>
          <w:bCs/>
          <w:color w:val="000000"/>
          <w:sz w:val="24"/>
          <w:highlight w:val="none"/>
        </w:rPr>
      </w:pPr>
      <w:r>
        <w:rPr>
          <w:bCs/>
          <w:color w:val="000000"/>
          <w:sz w:val="24"/>
          <w:highlight w:val="none"/>
        </w:rPr>
        <w:t>联合体</w:t>
      </w:r>
      <w:r>
        <w:rPr>
          <w:rFonts w:hint="eastAsia"/>
          <w:bCs/>
          <w:color w:val="000000"/>
          <w:sz w:val="24"/>
          <w:highlight w:val="none"/>
        </w:rPr>
        <w:t>入围</w:t>
      </w:r>
      <w:r>
        <w:rPr>
          <w:bCs/>
          <w:color w:val="000000"/>
          <w:sz w:val="24"/>
          <w:highlight w:val="none"/>
        </w:rPr>
        <w:t>后，联合体各方共同与</w:t>
      </w:r>
      <w:r>
        <w:rPr>
          <w:rFonts w:hint="eastAsia"/>
          <w:bCs/>
          <w:color w:val="000000"/>
          <w:sz w:val="24"/>
          <w:highlight w:val="none"/>
        </w:rPr>
        <w:t>征集人</w:t>
      </w:r>
      <w:r>
        <w:rPr>
          <w:bCs/>
          <w:color w:val="000000"/>
          <w:sz w:val="24"/>
          <w:highlight w:val="none"/>
        </w:rPr>
        <w:t>签订</w:t>
      </w:r>
      <w:r>
        <w:rPr>
          <w:rFonts w:hint="eastAsia"/>
          <w:bCs/>
          <w:color w:val="000000"/>
          <w:sz w:val="24"/>
          <w:highlight w:val="none"/>
        </w:rPr>
        <w:t>框架</w:t>
      </w:r>
      <w:r>
        <w:rPr>
          <w:bCs/>
          <w:color w:val="000000"/>
          <w:sz w:val="24"/>
          <w:highlight w:val="none"/>
        </w:rPr>
        <w:t>协议，就</w:t>
      </w:r>
      <w:r>
        <w:rPr>
          <w:rFonts w:hint="eastAsia"/>
          <w:bCs/>
          <w:color w:val="000000"/>
          <w:sz w:val="24"/>
          <w:highlight w:val="none"/>
        </w:rPr>
        <w:t>框架</w:t>
      </w:r>
      <w:r>
        <w:rPr>
          <w:bCs/>
          <w:color w:val="000000"/>
          <w:sz w:val="24"/>
          <w:highlight w:val="none"/>
        </w:rPr>
        <w:t>协议约定的事项对</w:t>
      </w:r>
      <w:r>
        <w:rPr>
          <w:rFonts w:hint="eastAsia"/>
          <w:bCs/>
          <w:color w:val="000000"/>
          <w:sz w:val="24"/>
          <w:highlight w:val="none"/>
        </w:rPr>
        <w:t>征集人</w:t>
      </w:r>
      <w:r>
        <w:rPr>
          <w:bCs/>
          <w:color w:val="000000"/>
          <w:sz w:val="24"/>
          <w:highlight w:val="none"/>
        </w:rPr>
        <w:t>承担连带责任。</w:t>
      </w:r>
    </w:p>
    <w:p w14:paraId="7E55990B">
      <w:pPr>
        <w:numPr>
          <w:ilvl w:val="0"/>
          <w:numId w:val="16"/>
        </w:numPr>
        <w:spacing w:line="360" w:lineRule="auto"/>
        <w:rPr>
          <w:bCs/>
          <w:color w:val="000000"/>
          <w:sz w:val="24"/>
          <w:highlight w:val="none"/>
        </w:rPr>
      </w:pPr>
      <w:r>
        <w:rPr>
          <w:bCs/>
          <w:color w:val="000000"/>
          <w:sz w:val="24"/>
          <w:highlight w:val="none"/>
        </w:rPr>
        <w:t>联合体各方均同意由牵头人代表其他联合体成员单位按征集文件要求出具《授权委托书》。</w:t>
      </w:r>
    </w:p>
    <w:p w14:paraId="0704FACC">
      <w:pPr>
        <w:numPr>
          <w:ilvl w:val="0"/>
          <w:numId w:val="16"/>
        </w:numPr>
        <w:spacing w:line="360" w:lineRule="auto"/>
        <w:rPr>
          <w:bCs/>
          <w:color w:val="000000"/>
          <w:sz w:val="24"/>
          <w:highlight w:val="none"/>
        </w:rPr>
      </w:pPr>
      <w:r>
        <w:rPr>
          <w:bCs/>
          <w:color w:val="000000"/>
          <w:sz w:val="24"/>
          <w:highlight w:val="none"/>
        </w:rPr>
        <w:t>牵头人为项目的总负责单位；组织各参加方进行项目实施工作。</w:t>
      </w:r>
    </w:p>
    <w:p w14:paraId="22F63EE8">
      <w:pPr>
        <w:numPr>
          <w:ilvl w:val="0"/>
          <w:numId w:val="16"/>
        </w:numPr>
        <w:spacing w:line="360" w:lineRule="auto"/>
        <w:rPr>
          <w:bCs/>
          <w:color w:val="000000"/>
          <w:sz w:val="24"/>
          <w:highlight w:val="none"/>
        </w:rPr>
      </w:pPr>
      <w:r>
        <w:rPr>
          <w:bCs/>
          <w:color w:val="000000"/>
          <w:sz w:val="24"/>
          <w:highlight w:val="none"/>
        </w:rPr>
        <w:t>______负责_____，具体工作范围、内容以响应文件及</w:t>
      </w:r>
      <w:r>
        <w:rPr>
          <w:rFonts w:hint="eastAsia"/>
          <w:bCs/>
          <w:color w:val="000000"/>
          <w:sz w:val="24"/>
          <w:highlight w:val="none"/>
        </w:rPr>
        <w:t>框架</w:t>
      </w:r>
      <w:r>
        <w:rPr>
          <w:bCs/>
          <w:color w:val="000000"/>
          <w:sz w:val="24"/>
          <w:highlight w:val="none"/>
        </w:rPr>
        <w:t>协议为准。</w:t>
      </w:r>
    </w:p>
    <w:p w14:paraId="18E7A484">
      <w:pPr>
        <w:numPr>
          <w:ilvl w:val="0"/>
          <w:numId w:val="16"/>
        </w:numPr>
        <w:spacing w:line="360" w:lineRule="auto"/>
        <w:rPr>
          <w:bCs/>
          <w:color w:val="000000"/>
          <w:sz w:val="24"/>
          <w:highlight w:val="none"/>
        </w:rPr>
      </w:pPr>
      <w:r>
        <w:rPr>
          <w:bCs/>
          <w:color w:val="000000"/>
          <w:sz w:val="24"/>
          <w:highlight w:val="none"/>
        </w:rPr>
        <w:t>______负责_____，具体工作范围、内容以响应文件及</w:t>
      </w:r>
      <w:r>
        <w:rPr>
          <w:rFonts w:hint="eastAsia"/>
          <w:bCs/>
          <w:color w:val="000000"/>
          <w:sz w:val="24"/>
          <w:highlight w:val="none"/>
        </w:rPr>
        <w:t>框架</w:t>
      </w:r>
      <w:r>
        <w:rPr>
          <w:bCs/>
          <w:color w:val="000000"/>
          <w:sz w:val="24"/>
          <w:highlight w:val="none"/>
        </w:rPr>
        <w:t>协议为准。</w:t>
      </w:r>
    </w:p>
    <w:p w14:paraId="168E39A0">
      <w:pPr>
        <w:numPr>
          <w:ilvl w:val="0"/>
          <w:numId w:val="16"/>
        </w:numPr>
        <w:spacing w:line="360" w:lineRule="auto"/>
        <w:rPr>
          <w:bCs/>
          <w:color w:val="000000"/>
          <w:sz w:val="24"/>
          <w:highlight w:val="none"/>
        </w:rPr>
      </w:pPr>
      <w:r>
        <w:rPr>
          <w:bCs/>
          <w:color w:val="000000"/>
          <w:sz w:val="24"/>
          <w:highlight w:val="none"/>
        </w:rPr>
        <w:t>______负责_____（如有），具体工作范围、内容以响应文件及</w:t>
      </w:r>
      <w:r>
        <w:rPr>
          <w:rFonts w:hint="eastAsia"/>
          <w:bCs/>
          <w:color w:val="000000"/>
          <w:sz w:val="24"/>
          <w:highlight w:val="none"/>
        </w:rPr>
        <w:t>框架</w:t>
      </w:r>
      <w:r>
        <w:rPr>
          <w:bCs/>
          <w:color w:val="000000"/>
          <w:sz w:val="24"/>
          <w:highlight w:val="none"/>
        </w:rPr>
        <w:t>协议为准。</w:t>
      </w:r>
    </w:p>
    <w:p w14:paraId="36123945">
      <w:pPr>
        <w:numPr>
          <w:ilvl w:val="0"/>
          <w:numId w:val="16"/>
        </w:numPr>
        <w:tabs>
          <w:tab w:val="left" w:pos="993"/>
        </w:tabs>
        <w:spacing w:line="360" w:lineRule="auto"/>
        <w:rPr>
          <w:bCs/>
          <w:color w:val="000000"/>
          <w:sz w:val="24"/>
          <w:highlight w:val="none"/>
        </w:rPr>
      </w:pPr>
      <w:r>
        <w:rPr>
          <w:bCs/>
          <w:color w:val="000000"/>
          <w:sz w:val="24"/>
          <w:highlight w:val="none"/>
        </w:rPr>
        <w:t>以联合体形式参加政府采购活动的，联合体各方不得再单独参加或者与其他供应商另外组成联合体参加同一合同项下的政府采购活动。</w:t>
      </w:r>
    </w:p>
    <w:p w14:paraId="24B26AC1">
      <w:pPr>
        <w:numPr>
          <w:ilvl w:val="0"/>
          <w:numId w:val="16"/>
        </w:numPr>
        <w:spacing w:line="360" w:lineRule="auto"/>
        <w:rPr>
          <w:bCs/>
          <w:color w:val="000000"/>
          <w:sz w:val="24"/>
          <w:highlight w:val="none"/>
        </w:rPr>
      </w:pPr>
      <w:r>
        <w:rPr>
          <w:bCs/>
          <w:color w:val="000000"/>
          <w:sz w:val="24"/>
          <w:highlight w:val="none"/>
        </w:rPr>
        <w:t>其他约定（如有）：_______。</w:t>
      </w:r>
    </w:p>
    <w:p w14:paraId="3679EE13">
      <w:pPr>
        <w:tabs>
          <w:tab w:val="left" w:pos="780"/>
        </w:tabs>
        <w:spacing w:line="360" w:lineRule="auto"/>
        <w:ind w:firstLine="480" w:firstLineChars="200"/>
        <w:rPr>
          <w:color w:val="000000"/>
          <w:sz w:val="24"/>
          <w:highlight w:val="none"/>
        </w:rPr>
      </w:pPr>
      <w:r>
        <w:rPr>
          <w:bCs/>
          <w:color w:val="000000"/>
          <w:sz w:val="24"/>
          <w:highlight w:val="none"/>
        </w:rPr>
        <w:t>本协议自各方盖章后生效，</w:t>
      </w:r>
      <w:r>
        <w:rPr>
          <w:rFonts w:hint="eastAsia"/>
          <w:bCs/>
          <w:color w:val="000000"/>
          <w:sz w:val="24"/>
          <w:highlight w:val="none"/>
        </w:rPr>
        <w:t>框架协议</w:t>
      </w:r>
      <w:r>
        <w:rPr>
          <w:bCs/>
          <w:color w:val="000000"/>
          <w:sz w:val="24"/>
          <w:highlight w:val="none"/>
        </w:rPr>
        <w:t>履行完毕后自动失效。如未</w:t>
      </w:r>
      <w:r>
        <w:rPr>
          <w:rFonts w:hint="eastAsia"/>
          <w:bCs/>
          <w:color w:val="000000"/>
          <w:sz w:val="24"/>
          <w:highlight w:val="none"/>
        </w:rPr>
        <w:t>入围</w:t>
      </w:r>
      <w:r>
        <w:rPr>
          <w:bCs/>
          <w:color w:val="000000"/>
          <w:sz w:val="24"/>
          <w:highlight w:val="none"/>
        </w:rPr>
        <w:t>，本协议自动终止。</w:t>
      </w:r>
      <w:r>
        <w:rPr>
          <w:color w:val="000000"/>
          <w:sz w:val="24"/>
          <w:highlight w:val="none"/>
        </w:rPr>
        <w:br w:type="page"/>
      </w:r>
    </w:p>
    <w:p w14:paraId="607A84EE">
      <w:pPr>
        <w:spacing w:line="360" w:lineRule="auto"/>
        <w:ind w:firstLine="471"/>
        <w:rPr>
          <w:color w:val="000000"/>
          <w:sz w:val="24"/>
          <w:highlight w:val="none"/>
        </w:rPr>
      </w:pPr>
      <w:r>
        <w:rPr>
          <w:color w:val="000000"/>
          <w:sz w:val="24"/>
          <w:highlight w:val="none"/>
        </w:rPr>
        <w:t>联合体牵头人名称：</w:t>
      </w:r>
      <w:r>
        <w:rPr>
          <w:color w:val="000000"/>
          <w:sz w:val="24"/>
          <w:szCs w:val="20"/>
          <w:highlight w:val="none"/>
        </w:rPr>
        <w:t>______</w:t>
      </w:r>
      <w:r>
        <w:rPr>
          <w:color w:val="000000"/>
          <w:sz w:val="24"/>
          <w:highlight w:val="none"/>
        </w:rPr>
        <w:tab/>
      </w:r>
      <w:r>
        <w:rPr>
          <w:color w:val="000000"/>
          <w:sz w:val="24"/>
          <w:highlight w:val="none"/>
        </w:rPr>
        <w:tab/>
      </w:r>
      <w:r>
        <w:rPr>
          <w:color w:val="000000"/>
          <w:sz w:val="24"/>
          <w:highlight w:val="none"/>
        </w:rPr>
        <w:tab/>
      </w:r>
      <w:r>
        <w:rPr>
          <w:color w:val="000000"/>
          <w:sz w:val="24"/>
          <w:highlight w:val="none"/>
        </w:rPr>
        <w:tab/>
      </w:r>
      <w:r>
        <w:rPr>
          <w:color w:val="000000"/>
          <w:sz w:val="24"/>
          <w:highlight w:val="none"/>
        </w:rPr>
        <w:tab/>
      </w:r>
      <w:r>
        <w:rPr>
          <w:color w:val="000000"/>
          <w:sz w:val="24"/>
          <w:highlight w:val="none"/>
        </w:rPr>
        <w:t xml:space="preserve"> 联合体成员名称：</w:t>
      </w:r>
      <w:r>
        <w:rPr>
          <w:color w:val="000000"/>
          <w:sz w:val="24"/>
          <w:szCs w:val="20"/>
          <w:highlight w:val="none"/>
        </w:rPr>
        <w:t>______</w:t>
      </w:r>
    </w:p>
    <w:p w14:paraId="0322C86F">
      <w:pPr>
        <w:spacing w:line="360" w:lineRule="auto"/>
        <w:ind w:firstLine="471"/>
        <w:rPr>
          <w:color w:val="000000"/>
          <w:sz w:val="24"/>
          <w:highlight w:val="none"/>
        </w:rPr>
      </w:pPr>
      <w:r>
        <w:rPr>
          <w:color w:val="000000"/>
          <w:sz w:val="24"/>
          <w:highlight w:val="none"/>
        </w:rPr>
        <w:t>盖章：</w:t>
      </w:r>
      <w:r>
        <w:rPr>
          <w:color w:val="000000"/>
          <w:sz w:val="24"/>
          <w:szCs w:val="20"/>
          <w:highlight w:val="none"/>
        </w:rPr>
        <w:t>______</w:t>
      </w:r>
      <w:r>
        <w:rPr>
          <w:color w:val="000000"/>
          <w:sz w:val="24"/>
          <w:highlight w:val="none"/>
        </w:rPr>
        <w:t xml:space="preserve">                           盖章：</w:t>
      </w:r>
      <w:r>
        <w:rPr>
          <w:color w:val="000000"/>
          <w:sz w:val="24"/>
          <w:szCs w:val="20"/>
          <w:highlight w:val="none"/>
        </w:rPr>
        <w:t>______</w:t>
      </w:r>
    </w:p>
    <w:p w14:paraId="0F496A46">
      <w:pPr>
        <w:spacing w:line="360" w:lineRule="auto"/>
        <w:ind w:firstLine="471"/>
        <w:rPr>
          <w:color w:val="000000"/>
          <w:sz w:val="24"/>
          <w:highlight w:val="none"/>
        </w:rPr>
      </w:pPr>
    </w:p>
    <w:p w14:paraId="60A43FBB">
      <w:pPr>
        <w:spacing w:line="360" w:lineRule="auto"/>
        <w:ind w:firstLine="471"/>
        <w:rPr>
          <w:color w:val="000000"/>
          <w:sz w:val="24"/>
          <w:highlight w:val="none"/>
        </w:rPr>
      </w:pPr>
    </w:p>
    <w:p w14:paraId="73F06319">
      <w:pPr>
        <w:spacing w:line="360" w:lineRule="auto"/>
        <w:ind w:firstLine="471"/>
        <w:rPr>
          <w:color w:val="000000"/>
          <w:sz w:val="24"/>
          <w:highlight w:val="none"/>
        </w:rPr>
      </w:pPr>
      <w:r>
        <w:rPr>
          <w:color w:val="000000"/>
          <w:sz w:val="24"/>
          <w:highlight w:val="none"/>
        </w:rPr>
        <w:t>联合体成员名称：</w:t>
      </w:r>
      <w:r>
        <w:rPr>
          <w:color w:val="000000"/>
          <w:sz w:val="24"/>
          <w:szCs w:val="20"/>
          <w:highlight w:val="none"/>
        </w:rPr>
        <w:t>______</w:t>
      </w:r>
    </w:p>
    <w:p w14:paraId="5F2A81A1">
      <w:pPr>
        <w:spacing w:line="360" w:lineRule="auto"/>
        <w:ind w:firstLine="471"/>
        <w:rPr>
          <w:color w:val="000000"/>
          <w:sz w:val="24"/>
          <w:highlight w:val="none"/>
        </w:rPr>
      </w:pPr>
      <w:r>
        <w:rPr>
          <w:color w:val="000000"/>
          <w:sz w:val="24"/>
          <w:highlight w:val="none"/>
        </w:rPr>
        <w:t>盖章：</w:t>
      </w:r>
      <w:r>
        <w:rPr>
          <w:color w:val="000000"/>
          <w:sz w:val="24"/>
          <w:szCs w:val="20"/>
          <w:highlight w:val="none"/>
        </w:rPr>
        <w:t>______</w:t>
      </w:r>
      <w:r>
        <w:rPr>
          <w:color w:val="000000"/>
          <w:sz w:val="24"/>
          <w:highlight w:val="none"/>
        </w:rPr>
        <w:t xml:space="preserve">                                </w:t>
      </w:r>
    </w:p>
    <w:p w14:paraId="2CAEF689">
      <w:pPr>
        <w:spacing w:line="360" w:lineRule="auto"/>
        <w:ind w:firstLine="471"/>
        <w:rPr>
          <w:color w:val="000000"/>
          <w:sz w:val="24"/>
          <w:highlight w:val="none"/>
        </w:rPr>
      </w:pPr>
    </w:p>
    <w:p w14:paraId="2BFA174B">
      <w:pPr>
        <w:spacing w:line="360" w:lineRule="auto"/>
        <w:ind w:firstLine="471"/>
        <w:rPr>
          <w:color w:val="000000"/>
          <w:sz w:val="24"/>
          <w:highlight w:val="none"/>
        </w:rPr>
      </w:pPr>
    </w:p>
    <w:p w14:paraId="3AC2F200">
      <w:pPr>
        <w:spacing w:line="360" w:lineRule="auto"/>
        <w:ind w:left="480"/>
        <w:jc w:val="right"/>
        <w:rPr>
          <w:color w:val="000000"/>
          <w:sz w:val="24"/>
          <w:highlight w:val="none"/>
        </w:rPr>
      </w:pPr>
    </w:p>
    <w:p w14:paraId="1A0959EB">
      <w:pPr>
        <w:spacing w:line="360" w:lineRule="auto"/>
        <w:ind w:left="480"/>
        <w:jc w:val="right"/>
        <w:rPr>
          <w:color w:val="000000"/>
          <w:sz w:val="24"/>
          <w:highlight w:val="none"/>
        </w:rPr>
      </w:pPr>
      <w:r>
        <w:rPr>
          <w:color w:val="000000"/>
          <w:sz w:val="24"/>
          <w:szCs w:val="20"/>
          <w:highlight w:val="none"/>
        </w:rPr>
        <w:t>日期：_____年______月______日</w:t>
      </w:r>
    </w:p>
    <w:p w14:paraId="476E1910">
      <w:pPr>
        <w:spacing w:line="360" w:lineRule="auto"/>
        <w:ind w:left="480"/>
        <w:jc w:val="right"/>
        <w:rPr>
          <w:b/>
          <w:color w:val="000000"/>
          <w:sz w:val="24"/>
          <w:highlight w:val="none"/>
        </w:rPr>
      </w:pPr>
    </w:p>
    <w:p w14:paraId="52945C90">
      <w:pPr>
        <w:tabs>
          <w:tab w:val="left" w:pos="8280"/>
        </w:tabs>
        <w:spacing w:line="360" w:lineRule="auto"/>
        <w:ind w:firstLine="480"/>
        <w:rPr>
          <w:color w:val="000000"/>
          <w:sz w:val="24"/>
          <w:highlight w:val="none"/>
        </w:rPr>
      </w:pPr>
    </w:p>
    <w:p w14:paraId="645E5019">
      <w:pPr>
        <w:tabs>
          <w:tab w:val="left" w:pos="8280"/>
        </w:tabs>
        <w:spacing w:line="360" w:lineRule="auto"/>
        <w:ind w:firstLine="480"/>
        <w:rPr>
          <w:color w:val="000000"/>
          <w:sz w:val="24"/>
          <w:highlight w:val="none"/>
        </w:rPr>
      </w:pPr>
    </w:p>
    <w:p w14:paraId="7D8C7F60">
      <w:pPr>
        <w:spacing w:line="360" w:lineRule="auto"/>
        <w:ind w:left="719" w:leftChars="228" w:hanging="240" w:hangingChars="100"/>
        <w:rPr>
          <w:color w:val="000000"/>
          <w:sz w:val="24"/>
          <w:highlight w:val="none"/>
        </w:rPr>
      </w:pPr>
      <w:r>
        <w:rPr>
          <w:color w:val="000000"/>
          <w:sz w:val="24"/>
          <w:highlight w:val="none"/>
        </w:rPr>
        <w:t>注：</w:t>
      </w:r>
    </w:p>
    <w:p w14:paraId="48483FB0">
      <w:pPr>
        <w:spacing w:line="360" w:lineRule="auto"/>
        <w:ind w:left="719" w:leftChars="228" w:hanging="240" w:hangingChars="100"/>
        <w:rPr>
          <w:color w:val="000000"/>
          <w:sz w:val="24"/>
          <w:highlight w:val="none"/>
        </w:rPr>
      </w:pPr>
      <w:r>
        <w:rPr>
          <w:color w:val="000000"/>
          <w:sz w:val="24"/>
          <w:highlight w:val="none"/>
        </w:rPr>
        <w:t>1. 如本项目接受供应商以联合体形式参加采购活动，且供应商以联合体形式参与时，须提供《联合协议》，否则</w:t>
      </w:r>
      <w:r>
        <w:rPr>
          <w:b/>
          <w:color w:val="000000"/>
          <w:sz w:val="24"/>
          <w:highlight w:val="none"/>
        </w:rPr>
        <w:t>响应无效</w:t>
      </w:r>
      <w:r>
        <w:rPr>
          <w:color w:val="000000"/>
          <w:sz w:val="24"/>
          <w:highlight w:val="none"/>
        </w:rPr>
        <w:t>。</w:t>
      </w:r>
    </w:p>
    <w:p w14:paraId="6FC37C3E">
      <w:pPr>
        <w:spacing w:line="360" w:lineRule="auto"/>
        <w:ind w:left="719" w:leftChars="228" w:hanging="240" w:hangingChars="100"/>
        <w:rPr>
          <w:sz w:val="24"/>
          <w:highlight w:val="none"/>
        </w:rPr>
      </w:pPr>
      <w:r>
        <w:rPr>
          <w:color w:val="000000"/>
          <w:sz w:val="24"/>
          <w:highlight w:val="none"/>
        </w:rPr>
        <w:t>2. 联合体各方成员须在本协议上共同盖章。</w:t>
      </w:r>
    </w:p>
    <w:p w14:paraId="76A62847">
      <w:pPr>
        <w:spacing w:line="360" w:lineRule="auto"/>
        <w:ind w:left="719" w:leftChars="228" w:hanging="240" w:hangingChars="100"/>
        <w:rPr>
          <w:sz w:val="24"/>
          <w:highlight w:val="none"/>
        </w:rPr>
      </w:pPr>
      <w:r>
        <w:rPr>
          <w:sz w:val="24"/>
          <w:highlight w:val="none"/>
        </w:rPr>
        <w:br w:type="page"/>
      </w:r>
    </w:p>
    <w:p w14:paraId="67599861">
      <w:pPr>
        <w:spacing w:line="360" w:lineRule="auto"/>
        <w:outlineLvl w:val="2"/>
        <w:rPr>
          <w:sz w:val="24"/>
          <w:szCs w:val="20"/>
          <w:highlight w:val="none"/>
        </w:rPr>
      </w:pPr>
      <w:r>
        <w:rPr>
          <w:color w:val="000000"/>
          <w:sz w:val="24"/>
          <w:szCs w:val="20"/>
          <w:highlight w:val="none"/>
        </w:rPr>
        <w:t>2-2 其他</w:t>
      </w:r>
      <w:r>
        <w:rPr>
          <w:sz w:val="24"/>
          <w:szCs w:val="20"/>
          <w:highlight w:val="none"/>
        </w:rPr>
        <w:t>特定资格要求</w:t>
      </w:r>
    </w:p>
    <w:p w14:paraId="61FB49D4">
      <w:pPr>
        <w:widowControl/>
        <w:spacing w:line="360" w:lineRule="auto"/>
        <w:jc w:val="left"/>
        <w:rPr>
          <w:rFonts w:hint="eastAsia"/>
          <w:sz w:val="24"/>
          <w:highlight w:val="none"/>
        </w:rPr>
      </w:pPr>
      <w:r>
        <w:rPr>
          <w:rFonts w:hint="eastAsia"/>
          <w:sz w:val="24"/>
          <w:highlight w:val="none"/>
        </w:rPr>
        <w:t>注：供应商如为律师事务所，须提供有效的《律师事务所执业许可证》，并提供律师事务所年度检查考核记录，考核结果须为合格；供应商如为基层法律服务所，须提供有效的《</w:t>
      </w:r>
      <w:bookmarkStart w:id="798" w:name="OLE_LINK26"/>
      <w:bookmarkStart w:id="799" w:name="OLE_LINK27"/>
      <w:r>
        <w:rPr>
          <w:rFonts w:hint="eastAsia"/>
          <w:sz w:val="24"/>
          <w:highlight w:val="none"/>
        </w:rPr>
        <w:t>基层法律服务所</w:t>
      </w:r>
      <w:bookmarkEnd w:id="798"/>
      <w:bookmarkEnd w:id="799"/>
      <w:r>
        <w:rPr>
          <w:rFonts w:hint="eastAsia"/>
          <w:sz w:val="24"/>
          <w:highlight w:val="none"/>
        </w:rPr>
        <w:t>执业证》，并提供基层法律服务所年度考核记录，考核结果须为合格。</w:t>
      </w:r>
    </w:p>
    <w:p w14:paraId="38118C70">
      <w:pPr>
        <w:widowControl/>
        <w:jc w:val="left"/>
        <w:rPr>
          <w:kern w:val="0"/>
          <w:sz w:val="24"/>
          <w:szCs w:val="20"/>
          <w:highlight w:val="none"/>
        </w:rPr>
      </w:pPr>
      <w:r>
        <w:rPr>
          <w:sz w:val="24"/>
          <w:szCs w:val="20"/>
          <w:highlight w:val="none"/>
        </w:rPr>
        <w:br w:type="page"/>
      </w:r>
    </w:p>
    <w:p w14:paraId="6C011C3C">
      <w:pPr>
        <w:keepNext/>
        <w:keepLines/>
        <w:autoSpaceDE w:val="0"/>
        <w:autoSpaceDN w:val="0"/>
        <w:adjustRightInd w:val="0"/>
        <w:spacing w:before="120" w:line="300" w:lineRule="auto"/>
        <w:jc w:val="left"/>
        <w:outlineLvl w:val="1"/>
        <w:rPr>
          <w:b/>
          <w:spacing w:val="20"/>
          <w:sz w:val="24"/>
          <w:highlight w:val="none"/>
        </w:rPr>
      </w:pPr>
      <w:r>
        <w:rPr>
          <w:b/>
          <w:spacing w:val="20"/>
          <w:sz w:val="24"/>
          <w:highlight w:val="none"/>
        </w:rPr>
        <w:t>二、商务技术文件格式</w:t>
      </w:r>
    </w:p>
    <w:p w14:paraId="74DAAC9C">
      <w:pPr>
        <w:rPr>
          <w:b/>
          <w:spacing w:val="20"/>
          <w:szCs w:val="21"/>
          <w:highlight w:val="none"/>
        </w:rPr>
      </w:pPr>
    </w:p>
    <w:p w14:paraId="7ACBA447">
      <w:pPr>
        <w:rPr>
          <w:b/>
          <w:sz w:val="24"/>
          <w:highlight w:val="none"/>
        </w:rPr>
      </w:pPr>
      <w:r>
        <w:rPr>
          <w:b/>
          <w:spacing w:val="20"/>
          <w:sz w:val="24"/>
          <w:highlight w:val="none"/>
        </w:rPr>
        <w:t>响应文件（商务技术文件）</w:t>
      </w:r>
      <w:r>
        <w:rPr>
          <w:b/>
          <w:sz w:val="24"/>
          <w:highlight w:val="none"/>
        </w:rPr>
        <w:t>封面（非实质性格式）</w:t>
      </w:r>
    </w:p>
    <w:p w14:paraId="553EA7FD">
      <w:pPr>
        <w:jc w:val="center"/>
        <w:rPr>
          <w:szCs w:val="21"/>
          <w:highlight w:val="none"/>
        </w:rPr>
      </w:pPr>
    </w:p>
    <w:p w14:paraId="37E73871">
      <w:pPr>
        <w:jc w:val="center"/>
        <w:rPr>
          <w:b/>
          <w:spacing w:val="60"/>
          <w:sz w:val="84"/>
          <w:szCs w:val="84"/>
          <w:highlight w:val="none"/>
        </w:rPr>
      </w:pPr>
      <w:r>
        <w:rPr>
          <w:rFonts w:hint="eastAsia"/>
          <w:b/>
          <w:spacing w:val="60"/>
          <w:sz w:val="84"/>
          <w:szCs w:val="84"/>
          <w:highlight w:val="none"/>
        </w:rPr>
        <w:t>响 应</w:t>
      </w:r>
      <w:r>
        <w:rPr>
          <w:b/>
          <w:spacing w:val="60"/>
          <w:sz w:val="84"/>
          <w:szCs w:val="84"/>
          <w:highlight w:val="none"/>
        </w:rPr>
        <w:t xml:space="preserve"> 文 件</w:t>
      </w:r>
    </w:p>
    <w:p w14:paraId="149A0A5A">
      <w:pPr>
        <w:jc w:val="center"/>
        <w:rPr>
          <w:b/>
          <w:spacing w:val="60"/>
          <w:sz w:val="52"/>
          <w:szCs w:val="52"/>
          <w:highlight w:val="none"/>
        </w:rPr>
      </w:pPr>
      <w:r>
        <w:rPr>
          <w:b/>
          <w:spacing w:val="60"/>
          <w:sz w:val="52"/>
          <w:szCs w:val="52"/>
          <w:highlight w:val="none"/>
        </w:rPr>
        <w:t>（商务技术文件）</w:t>
      </w:r>
    </w:p>
    <w:p w14:paraId="6D73F1A3">
      <w:pPr>
        <w:ind w:firstLine="542" w:firstLineChars="150"/>
        <w:rPr>
          <w:b/>
          <w:spacing w:val="20"/>
          <w:sz w:val="32"/>
          <w:szCs w:val="32"/>
          <w:highlight w:val="none"/>
        </w:rPr>
      </w:pPr>
    </w:p>
    <w:p w14:paraId="04F0AEAA">
      <w:pPr>
        <w:ind w:firstLine="542" w:firstLineChars="150"/>
        <w:rPr>
          <w:b/>
          <w:spacing w:val="20"/>
          <w:sz w:val="32"/>
          <w:szCs w:val="32"/>
          <w:highlight w:val="none"/>
        </w:rPr>
      </w:pPr>
    </w:p>
    <w:p w14:paraId="0F2799A5">
      <w:pPr>
        <w:ind w:firstLine="542" w:firstLineChars="150"/>
        <w:rPr>
          <w:b/>
          <w:spacing w:val="20"/>
          <w:sz w:val="32"/>
          <w:szCs w:val="32"/>
          <w:highlight w:val="none"/>
        </w:rPr>
      </w:pPr>
      <w:r>
        <w:rPr>
          <w:b/>
          <w:spacing w:val="20"/>
          <w:sz w:val="32"/>
          <w:szCs w:val="32"/>
          <w:highlight w:val="none"/>
        </w:rPr>
        <w:t>项目名称:</w:t>
      </w:r>
    </w:p>
    <w:p w14:paraId="6CDEAB5D">
      <w:pPr>
        <w:ind w:firstLine="542" w:firstLineChars="150"/>
        <w:rPr>
          <w:b/>
          <w:spacing w:val="20"/>
          <w:sz w:val="32"/>
          <w:szCs w:val="32"/>
          <w:highlight w:val="none"/>
        </w:rPr>
      </w:pPr>
      <w:r>
        <w:rPr>
          <w:b/>
          <w:spacing w:val="20"/>
          <w:sz w:val="32"/>
          <w:szCs w:val="32"/>
          <w:highlight w:val="none"/>
        </w:rPr>
        <w:t>项目编号：</w:t>
      </w:r>
    </w:p>
    <w:p w14:paraId="184100DB">
      <w:pPr>
        <w:ind w:firstLine="542" w:firstLineChars="150"/>
        <w:rPr>
          <w:b/>
          <w:spacing w:val="20"/>
          <w:sz w:val="32"/>
          <w:szCs w:val="32"/>
          <w:highlight w:val="none"/>
        </w:rPr>
      </w:pPr>
    </w:p>
    <w:p w14:paraId="2E42FD8E">
      <w:pPr>
        <w:ind w:firstLine="542" w:firstLineChars="150"/>
        <w:rPr>
          <w:b/>
          <w:spacing w:val="20"/>
          <w:sz w:val="32"/>
          <w:szCs w:val="32"/>
          <w:highlight w:val="none"/>
        </w:rPr>
      </w:pPr>
    </w:p>
    <w:p w14:paraId="297FC028">
      <w:pPr>
        <w:jc w:val="center"/>
        <w:rPr>
          <w:b/>
          <w:sz w:val="32"/>
          <w:szCs w:val="32"/>
          <w:highlight w:val="none"/>
        </w:rPr>
      </w:pPr>
    </w:p>
    <w:p w14:paraId="530D1BDF">
      <w:pPr>
        <w:jc w:val="center"/>
        <w:rPr>
          <w:b/>
          <w:sz w:val="32"/>
          <w:szCs w:val="32"/>
          <w:highlight w:val="none"/>
        </w:rPr>
      </w:pPr>
    </w:p>
    <w:p w14:paraId="1933A2EE">
      <w:pPr>
        <w:jc w:val="center"/>
        <w:rPr>
          <w:b/>
          <w:sz w:val="32"/>
          <w:szCs w:val="32"/>
          <w:highlight w:val="none"/>
        </w:rPr>
      </w:pPr>
    </w:p>
    <w:p w14:paraId="0AD0ADD0">
      <w:pPr>
        <w:jc w:val="center"/>
        <w:rPr>
          <w:b/>
          <w:spacing w:val="20"/>
          <w:sz w:val="32"/>
          <w:szCs w:val="32"/>
          <w:highlight w:val="none"/>
        </w:rPr>
      </w:pPr>
    </w:p>
    <w:p w14:paraId="7E42AF83">
      <w:pPr>
        <w:jc w:val="center"/>
        <w:rPr>
          <w:b/>
          <w:spacing w:val="20"/>
          <w:sz w:val="32"/>
          <w:szCs w:val="32"/>
          <w:highlight w:val="none"/>
        </w:rPr>
      </w:pPr>
    </w:p>
    <w:p w14:paraId="324C689D">
      <w:pPr>
        <w:jc w:val="center"/>
        <w:rPr>
          <w:b/>
          <w:spacing w:val="20"/>
          <w:sz w:val="32"/>
          <w:szCs w:val="32"/>
          <w:highlight w:val="none"/>
        </w:rPr>
      </w:pPr>
    </w:p>
    <w:p w14:paraId="2F09411F">
      <w:pPr>
        <w:spacing w:line="360" w:lineRule="auto"/>
        <w:ind w:firstLine="1445" w:firstLineChars="400"/>
        <w:jc w:val="left"/>
        <w:rPr>
          <w:b/>
          <w:spacing w:val="20"/>
          <w:sz w:val="32"/>
          <w:szCs w:val="32"/>
          <w:highlight w:val="none"/>
        </w:rPr>
      </w:pPr>
      <w:r>
        <w:rPr>
          <w:b/>
          <w:spacing w:val="20"/>
          <w:sz w:val="32"/>
          <w:szCs w:val="32"/>
          <w:highlight w:val="none"/>
        </w:rPr>
        <w:t>供应商名称：</w:t>
      </w:r>
    </w:p>
    <w:p w14:paraId="48E43193">
      <w:pPr>
        <w:jc w:val="center"/>
        <w:rPr>
          <w:b/>
          <w:sz w:val="32"/>
          <w:szCs w:val="32"/>
          <w:highlight w:val="none"/>
        </w:rPr>
      </w:pPr>
    </w:p>
    <w:p w14:paraId="45A9D216">
      <w:pPr>
        <w:widowControl/>
        <w:jc w:val="left"/>
        <w:rPr>
          <w:b/>
          <w:sz w:val="24"/>
          <w:highlight w:val="none"/>
        </w:rPr>
      </w:pPr>
      <w:r>
        <w:rPr>
          <w:b/>
          <w:sz w:val="24"/>
          <w:highlight w:val="none"/>
        </w:rPr>
        <w:br w:type="page"/>
      </w:r>
    </w:p>
    <w:p w14:paraId="0C7B5A06">
      <w:pPr>
        <w:numPr>
          <w:ilvl w:val="0"/>
          <w:numId w:val="17"/>
        </w:numPr>
        <w:tabs>
          <w:tab w:val="left" w:pos="360"/>
        </w:tabs>
        <w:snapToGrid w:val="0"/>
        <w:spacing w:line="360" w:lineRule="auto"/>
        <w:outlineLvl w:val="1"/>
        <w:rPr>
          <w:color w:val="000000"/>
          <w:sz w:val="24"/>
          <w:szCs w:val="20"/>
          <w:highlight w:val="none"/>
        </w:rPr>
      </w:pPr>
      <w:bookmarkStart w:id="800" w:name="_Hlt520271212"/>
      <w:bookmarkEnd w:id="800"/>
      <w:bookmarkStart w:id="801" w:name="_Hlt520355504"/>
      <w:bookmarkEnd w:id="801"/>
      <w:bookmarkStart w:id="802" w:name="_Hlt520343392"/>
      <w:bookmarkEnd w:id="802"/>
      <w:bookmarkStart w:id="803" w:name="_Hlt520343000"/>
      <w:bookmarkEnd w:id="803"/>
      <w:bookmarkStart w:id="804" w:name="_Hlt520274065"/>
      <w:bookmarkEnd w:id="804"/>
      <w:bookmarkStart w:id="805" w:name="_Hlt520274407"/>
      <w:bookmarkEnd w:id="805"/>
      <w:bookmarkStart w:id="806" w:name="_Hlt520274121"/>
      <w:bookmarkEnd w:id="806"/>
      <w:bookmarkStart w:id="807" w:name="_Hlt520350918"/>
      <w:bookmarkEnd w:id="807"/>
      <w:bookmarkStart w:id="808" w:name="_Hlt520273711"/>
      <w:bookmarkEnd w:id="808"/>
      <w:bookmarkStart w:id="809" w:name="_Hlt520274393"/>
      <w:bookmarkEnd w:id="809"/>
      <w:bookmarkStart w:id="810" w:name="_Toc142311058"/>
      <w:bookmarkStart w:id="811" w:name="_Toc127151556"/>
      <w:bookmarkStart w:id="812" w:name="_Toc150774761"/>
      <w:bookmarkStart w:id="813" w:name="_Toc226965829"/>
      <w:bookmarkStart w:id="814" w:name="_Toc226309800"/>
      <w:bookmarkStart w:id="815" w:name="_Toc520356217"/>
      <w:bookmarkStart w:id="816" w:name="_Toc195842921"/>
      <w:bookmarkStart w:id="817" w:name="_Toc226965746"/>
      <w:bookmarkStart w:id="818" w:name="_Toc226337252"/>
      <w:bookmarkStart w:id="819" w:name="_Toc150480794"/>
      <w:r>
        <w:rPr>
          <w:color w:val="000000"/>
          <w:sz w:val="24"/>
          <w:highlight w:val="none"/>
        </w:rPr>
        <w:t>响应书</w:t>
      </w:r>
      <w:bookmarkEnd w:id="810"/>
      <w:bookmarkEnd w:id="811"/>
      <w:bookmarkEnd w:id="812"/>
      <w:bookmarkEnd w:id="813"/>
      <w:bookmarkEnd w:id="814"/>
      <w:bookmarkEnd w:id="815"/>
      <w:bookmarkEnd w:id="816"/>
      <w:bookmarkEnd w:id="817"/>
      <w:bookmarkEnd w:id="818"/>
      <w:bookmarkEnd w:id="819"/>
      <w:r>
        <w:rPr>
          <w:color w:val="000000"/>
          <w:sz w:val="24"/>
          <w:szCs w:val="20"/>
          <w:highlight w:val="none"/>
        </w:rPr>
        <w:t>（实质性格式）</w:t>
      </w:r>
    </w:p>
    <w:p w14:paraId="1797DDE4">
      <w:pPr>
        <w:tabs>
          <w:tab w:val="left" w:pos="5580"/>
        </w:tabs>
        <w:spacing w:line="360" w:lineRule="auto"/>
        <w:rPr>
          <w:color w:val="000000"/>
          <w:sz w:val="24"/>
          <w:highlight w:val="none"/>
        </w:rPr>
      </w:pPr>
    </w:p>
    <w:p w14:paraId="10D33FCB">
      <w:pPr>
        <w:spacing w:line="360" w:lineRule="auto"/>
        <w:jc w:val="center"/>
        <w:rPr>
          <w:b/>
          <w:color w:val="000000"/>
          <w:sz w:val="36"/>
          <w:szCs w:val="36"/>
          <w:highlight w:val="none"/>
        </w:rPr>
      </w:pPr>
      <w:r>
        <w:rPr>
          <w:rFonts w:hint="eastAsia"/>
          <w:b/>
          <w:color w:val="000000"/>
          <w:sz w:val="36"/>
          <w:szCs w:val="36"/>
          <w:highlight w:val="none"/>
        </w:rPr>
        <w:t>响应函</w:t>
      </w:r>
    </w:p>
    <w:p w14:paraId="3268CE4E">
      <w:pPr>
        <w:tabs>
          <w:tab w:val="left" w:pos="5580"/>
        </w:tabs>
        <w:spacing w:line="360" w:lineRule="auto"/>
        <w:rPr>
          <w:color w:val="000000"/>
          <w:sz w:val="24"/>
          <w:highlight w:val="none"/>
        </w:rPr>
      </w:pPr>
      <w:r>
        <w:rPr>
          <w:color w:val="000000"/>
          <w:sz w:val="24"/>
          <w:highlight w:val="none"/>
        </w:rPr>
        <w:t>致：</w:t>
      </w:r>
      <w:r>
        <w:rPr>
          <w:rFonts w:hint="eastAsia"/>
          <w:color w:val="000000"/>
          <w:sz w:val="24"/>
          <w:highlight w:val="none"/>
          <w:u w:val="single"/>
        </w:rPr>
        <w:t>北京市大兴区司法局</w:t>
      </w:r>
    </w:p>
    <w:p w14:paraId="25FF86F7">
      <w:pPr>
        <w:tabs>
          <w:tab w:val="left" w:pos="5580"/>
        </w:tabs>
        <w:spacing w:line="360" w:lineRule="auto"/>
        <w:rPr>
          <w:color w:val="000000"/>
          <w:sz w:val="24"/>
          <w:szCs w:val="20"/>
          <w:highlight w:val="none"/>
        </w:rPr>
      </w:pPr>
    </w:p>
    <w:p w14:paraId="393859A9">
      <w:pPr>
        <w:tabs>
          <w:tab w:val="left" w:pos="5580"/>
        </w:tabs>
        <w:spacing w:line="360" w:lineRule="auto"/>
        <w:ind w:firstLine="408"/>
        <w:rPr>
          <w:color w:val="000000"/>
          <w:sz w:val="24"/>
          <w:szCs w:val="20"/>
          <w:highlight w:val="none"/>
        </w:rPr>
      </w:pPr>
      <w:r>
        <w:rPr>
          <w:color w:val="000000"/>
          <w:sz w:val="24"/>
          <w:szCs w:val="20"/>
          <w:highlight w:val="none"/>
        </w:rPr>
        <w:t>我方参加你方就___________（项目名称，项目编号）组织的</w:t>
      </w:r>
      <w:r>
        <w:rPr>
          <w:rFonts w:hint="eastAsia"/>
          <w:color w:val="000000"/>
          <w:sz w:val="24"/>
          <w:szCs w:val="20"/>
          <w:highlight w:val="none"/>
        </w:rPr>
        <w:t>征集</w:t>
      </w:r>
      <w:r>
        <w:rPr>
          <w:color w:val="000000"/>
          <w:sz w:val="24"/>
          <w:szCs w:val="20"/>
          <w:highlight w:val="none"/>
        </w:rPr>
        <w:t>活动，并对此项目进行</w:t>
      </w:r>
      <w:r>
        <w:rPr>
          <w:rFonts w:hint="eastAsia"/>
          <w:color w:val="000000"/>
          <w:sz w:val="24"/>
          <w:szCs w:val="20"/>
          <w:highlight w:val="none"/>
        </w:rPr>
        <w:t>响应</w:t>
      </w:r>
      <w:r>
        <w:rPr>
          <w:color w:val="000000"/>
          <w:sz w:val="24"/>
          <w:szCs w:val="20"/>
          <w:highlight w:val="none"/>
        </w:rPr>
        <w:t>。</w:t>
      </w:r>
    </w:p>
    <w:p w14:paraId="3984C652">
      <w:pPr>
        <w:tabs>
          <w:tab w:val="left" w:pos="5580"/>
        </w:tabs>
        <w:spacing w:line="360" w:lineRule="auto"/>
        <w:ind w:firstLine="408"/>
        <w:rPr>
          <w:color w:val="000000"/>
          <w:sz w:val="24"/>
          <w:szCs w:val="20"/>
          <w:highlight w:val="none"/>
        </w:rPr>
      </w:pPr>
      <w:r>
        <w:rPr>
          <w:color w:val="000000"/>
          <w:sz w:val="24"/>
          <w:szCs w:val="20"/>
          <w:highlight w:val="none"/>
        </w:rPr>
        <w:t>1. 我方</w:t>
      </w:r>
      <w:r>
        <w:rPr>
          <w:color w:val="000000"/>
          <w:sz w:val="24"/>
          <w:highlight w:val="none"/>
        </w:rPr>
        <w:t>已详细审查全部征集文件</w:t>
      </w:r>
      <w:r>
        <w:rPr>
          <w:color w:val="000000"/>
          <w:sz w:val="24"/>
          <w:szCs w:val="20"/>
          <w:highlight w:val="none"/>
        </w:rPr>
        <w:t>，自愿参与响应并承诺如下：</w:t>
      </w:r>
    </w:p>
    <w:p w14:paraId="1A0A51B2">
      <w:pPr>
        <w:tabs>
          <w:tab w:val="left" w:pos="720"/>
          <w:tab w:val="left" w:pos="900"/>
        </w:tabs>
        <w:spacing w:line="360" w:lineRule="auto"/>
        <w:ind w:left="360" w:firstLine="72" w:firstLineChars="30"/>
        <w:rPr>
          <w:color w:val="000000"/>
          <w:sz w:val="24"/>
          <w:szCs w:val="20"/>
          <w:highlight w:val="none"/>
        </w:rPr>
      </w:pPr>
      <w:r>
        <w:rPr>
          <w:color w:val="000000"/>
          <w:sz w:val="24"/>
          <w:szCs w:val="20"/>
          <w:highlight w:val="none"/>
        </w:rPr>
        <w:t>（1）本响应有效期为自提交响应文件的截止之日起</w:t>
      </w:r>
      <w:r>
        <w:rPr>
          <w:sz w:val="24"/>
          <w:highlight w:val="none"/>
        </w:rPr>
        <w:t>_____</w:t>
      </w:r>
      <w:r>
        <w:rPr>
          <w:color w:val="000000"/>
          <w:sz w:val="24"/>
          <w:szCs w:val="20"/>
          <w:highlight w:val="none"/>
        </w:rPr>
        <w:t>个日历日。</w:t>
      </w:r>
    </w:p>
    <w:p w14:paraId="0C5AF9D5">
      <w:pPr>
        <w:tabs>
          <w:tab w:val="left" w:pos="720"/>
          <w:tab w:val="left" w:pos="900"/>
        </w:tabs>
        <w:spacing w:line="360" w:lineRule="auto"/>
        <w:ind w:left="360" w:firstLine="72" w:firstLineChars="30"/>
        <w:rPr>
          <w:color w:val="000000"/>
          <w:sz w:val="24"/>
          <w:szCs w:val="20"/>
          <w:highlight w:val="none"/>
        </w:rPr>
      </w:pPr>
      <w:r>
        <w:rPr>
          <w:color w:val="000000"/>
          <w:sz w:val="24"/>
          <w:szCs w:val="20"/>
          <w:highlight w:val="none"/>
        </w:rPr>
        <w:t>（2）除</w:t>
      </w:r>
      <w:r>
        <w:rPr>
          <w:rFonts w:hint="eastAsia"/>
          <w:color w:val="000000"/>
          <w:sz w:val="24"/>
          <w:szCs w:val="20"/>
          <w:highlight w:val="none"/>
        </w:rPr>
        <w:t>框架协议</w:t>
      </w:r>
      <w:r>
        <w:rPr>
          <w:color w:val="000000"/>
          <w:sz w:val="24"/>
          <w:szCs w:val="20"/>
          <w:highlight w:val="none"/>
        </w:rPr>
        <w:t>条款及采购需求偏离表列出的偏离外，我方响应征集文件的全部要求。</w:t>
      </w:r>
    </w:p>
    <w:p w14:paraId="222A2863">
      <w:pPr>
        <w:tabs>
          <w:tab w:val="left" w:pos="5580"/>
        </w:tabs>
        <w:spacing w:line="360" w:lineRule="auto"/>
        <w:ind w:firstLine="420" w:firstLineChars="175"/>
        <w:rPr>
          <w:color w:val="000000"/>
          <w:sz w:val="24"/>
          <w:szCs w:val="20"/>
          <w:highlight w:val="none"/>
        </w:rPr>
      </w:pPr>
      <w:r>
        <w:rPr>
          <w:color w:val="000000"/>
          <w:sz w:val="24"/>
          <w:szCs w:val="20"/>
          <w:highlight w:val="none"/>
        </w:rPr>
        <w:t>（3）我方已提供的全部文件资料是真实、准确的，并对此承担一切法律后果。</w:t>
      </w:r>
    </w:p>
    <w:p w14:paraId="677F7D2E">
      <w:pPr>
        <w:tabs>
          <w:tab w:val="left" w:pos="5580"/>
        </w:tabs>
        <w:spacing w:line="360" w:lineRule="auto"/>
        <w:ind w:firstLine="420" w:firstLineChars="175"/>
        <w:rPr>
          <w:color w:val="000000"/>
          <w:sz w:val="24"/>
          <w:highlight w:val="none"/>
        </w:rPr>
      </w:pPr>
      <w:r>
        <w:rPr>
          <w:color w:val="000000"/>
          <w:sz w:val="24"/>
          <w:szCs w:val="20"/>
          <w:highlight w:val="none"/>
        </w:rPr>
        <w:t>（4）如我方</w:t>
      </w:r>
      <w:r>
        <w:rPr>
          <w:rFonts w:hint="eastAsia"/>
          <w:color w:val="000000"/>
          <w:sz w:val="24"/>
          <w:szCs w:val="20"/>
          <w:highlight w:val="none"/>
        </w:rPr>
        <w:t>入围</w:t>
      </w:r>
      <w:r>
        <w:rPr>
          <w:color w:val="000000"/>
          <w:sz w:val="24"/>
          <w:szCs w:val="20"/>
          <w:highlight w:val="none"/>
        </w:rPr>
        <w:t>，我方将在法律规定的期限内与你方签订</w:t>
      </w:r>
      <w:r>
        <w:rPr>
          <w:rFonts w:hint="eastAsia"/>
          <w:color w:val="000000"/>
          <w:sz w:val="24"/>
          <w:szCs w:val="20"/>
          <w:highlight w:val="none"/>
        </w:rPr>
        <w:t>框架协议</w:t>
      </w:r>
      <w:r>
        <w:rPr>
          <w:color w:val="000000"/>
          <w:sz w:val="24"/>
          <w:szCs w:val="20"/>
          <w:highlight w:val="none"/>
        </w:rPr>
        <w:t>，按照征集文件要求提交履约保证金，并在</w:t>
      </w:r>
      <w:r>
        <w:rPr>
          <w:rFonts w:hint="eastAsia"/>
          <w:color w:val="000000"/>
          <w:sz w:val="24"/>
          <w:szCs w:val="20"/>
          <w:highlight w:val="none"/>
        </w:rPr>
        <w:t>框架协议</w:t>
      </w:r>
      <w:r>
        <w:rPr>
          <w:color w:val="000000"/>
          <w:sz w:val="24"/>
          <w:szCs w:val="20"/>
          <w:highlight w:val="none"/>
        </w:rPr>
        <w:t>约定的期限内完成</w:t>
      </w:r>
      <w:r>
        <w:rPr>
          <w:rFonts w:hint="eastAsia"/>
          <w:color w:val="000000"/>
          <w:sz w:val="24"/>
          <w:szCs w:val="20"/>
          <w:highlight w:val="none"/>
        </w:rPr>
        <w:t>框架协议</w:t>
      </w:r>
      <w:r>
        <w:rPr>
          <w:color w:val="000000"/>
          <w:sz w:val="24"/>
          <w:szCs w:val="20"/>
          <w:highlight w:val="none"/>
        </w:rPr>
        <w:t>规定的全部义务。</w:t>
      </w:r>
    </w:p>
    <w:p w14:paraId="7900BFEB">
      <w:pPr>
        <w:spacing w:line="360" w:lineRule="auto"/>
        <w:ind w:left="420"/>
        <w:rPr>
          <w:color w:val="000000"/>
          <w:sz w:val="24"/>
          <w:highlight w:val="none"/>
        </w:rPr>
      </w:pPr>
      <w:r>
        <w:rPr>
          <w:color w:val="000000"/>
          <w:sz w:val="24"/>
          <w:highlight w:val="none"/>
        </w:rPr>
        <w:t>2. 其他补充条款（如有）：</w:t>
      </w:r>
      <w:r>
        <w:rPr>
          <w:color w:val="000000"/>
          <w:sz w:val="24"/>
          <w:szCs w:val="20"/>
          <w:highlight w:val="none"/>
        </w:rPr>
        <w:t>___________</w:t>
      </w:r>
      <w:r>
        <w:rPr>
          <w:color w:val="000000"/>
          <w:sz w:val="24"/>
          <w:highlight w:val="none"/>
        </w:rPr>
        <w:t>。</w:t>
      </w:r>
    </w:p>
    <w:p w14:paraId="28C7808B">
      <w:pPr>
        <w:spacing w:line="360" w:lineRule="auto"/>
        <w:ind w:firstLine="480" w:firstLineChars="200"/>
        <w:rPr>
          <w:color w:val="000000"/>
          <w:sz w:val="24"/>
          <w:highlight w:val="none"/>
        </w:rPr>
      </w:pPr>
      <w:r>
        <w:rPr>
          <w:color w:val="000000"/>
          <w:sz w:val="24"/>
          <w:highlight w:val="none"/>
        </w:rPr>
        <w:t>与本响应有关的一切正式往来信函请寄：</w:t>
      </w:r>
    </w:p>
    <w:p w14:paraId="5930E129">
      <w:pPr>
        <w:tabs>
          <w:tab w:val="left" w:pos="5580"/>
        </w:tabs>
        <w:spacing w:line="360" w:lineRule="auto"/>
        <w:ind w:left="420"/>
        <w:rPr>
          <w:color w:val="000000"/>
          <w:sz w:val="24"/>
          <w:szCs w:val="20"/>
          <w:highlight w:val="none"/>
        </w:rPr>
      </w:pPr>
    </w:p>
    <w:p w14:paraId="58B46C8A">
      <w:pPr>
        <w:tabs>
          <w:tab w:val="left" w:pos="5580"/>
        </w:tabs>
        <w:spacing w:line="360" w:lineRule="auto"/>
        <w:ind w:left="420"/>
        <w:rPr>
          <w:color w:val="000000"/>
          <w:sz w:val="24"/>
          <w:szCs w:val="20"/>
          <w:highlight w:val="none"/>
        </w:rPr>
      </w:pPr>
      <w:r>
        <w:rPr>
          <w:color w:val="000000"/>
          <w:sz w:val="24"/>
          <w:szCs w:val="20"/>
          <w:highlight w:val="none"/>
        </w:rPr>
        <w:t>地址_________________________     传真____________________________</w:t>
      </w:r>
    </w:p>
    <w:p w14:paraId="45C67804">
      <w:pPr>
        <w:tabs>
          <w:tab w:val="left" w:pos="5580"/>
        </w:tabs>
        <w:spacing w:line="360" w:lineRule="auto"/>
        <w:ind w:left="420"/>
        <w:rPr>
          <w:color w:val="000000"/>
          <w:sz w:val="24"/>
          <w:szCs w:val="20"/>
          <w:highlight w:val="none"/>
        </w:rPr>
      </w:pPr>
      <w:r>
        <w:rPr>
          <w:color w:val="000000"/>
          <w:sz w:val="24"/>
          <w:szCs w:val="20"/>
          <w:highlight w:val="none"/>
        </w:rPr>
        <w:t>电话_________________________     电子函件________________________</w:t>
      </w:r>
    </w:p>
    <w:p w14:paraId="65A1FA73">
      <w:pPr>
        <w:tabs>
          <w:tab w:val="left" w:pos="5580"/>
        </w:tabs>
        <w:spacing w:line="360" w:lineRule="auto"/>
        <w:ind w:left="420"/>
        <w:rPr>
          <w:color w:val="000000"/>
          <w:sz w:val="24"/>
          <w:szCs w:val="20"/>
          <w:highlight w:val="none"/>
        </w:rPr>
      </w:pPr>
    </w:p>
    <w:p w14:paraId="382F6E29">
      <w:pPr>
        <w:tabs>
          <w:tab w:val="left" w:pos="5580"/>
        </w:tabs>
        <w:spacing w:line="360" w:lineRule="auto"/>
        <w:ind w:left="420"/>
        <w:rPr>
          <w:color w:val="000000"/>
          <w:sz w:val="24"/>
          <w:szCs w:val="20"/>
          <w:highlight w:val="none"/>
        </w:rPr>
      </w:pPr>
      <w:r>
        <w:rPr>
          <w:color w:val="000000"/>
          <w:sz w:val="24"/>
          <w:szCs w:val="20"/>
          <w:highlight w:val="none"/>
        </w:rPr>
        <w:t>供应商名称（加盖公章） ___________</w:t>
      </w:r>
    </w:p>
    <w:p w14:paraId="728A0917">
      <w:pPr>
        <w:tabs>
          <w:tab w:val="left" w:pos="5580"/>
        </w:tabs>
        <w:spacing w:line="360" w:lineRule="auto"/>
        <w:ind w:left="420"/>
        <w:rPr>
          <w:color w:val="000000"/>
          <w:sz w:val="24"/>
          <w:szCs w:val="20"/>
          <w:highlight w:val="none"/>
        </w:rPr>
      </w:pPr>
      <w:r>
        <w:rPr>
          <w:color w:val="000000"/>
          <w:sz w:val="24"/>
          <w:szCs w:val="20"/>
          <w:highlight w:val="none"/>
        </w:rPr>
        <w:t xml:space="preserve">日期：_____年______月______日    </w:t>
      </w:r>
    </w:p>
    <w:p w14:paraId="58690A8A">
      <w:pPr>
        <w:tabs>
          <w:tab w:val="left" w:pos="5580"/>
        </w:tabs>
        <w:spacing w:line="360" w:lineRule="auto"/>
        <w:ind w:left="420"/>
        <w:rPr>
          <w:color w:val="000000"/>
          <w:sz w:val="24"/>
          <w:szCs w:val="20"/>
          <w:highlight w:val="none"/>
          <w:u w:val="single"/>
        </w:rPr>
      </w:pPr>
    </w:p>
    <w:p w14:paraId="6D15455A">
      <w:pPr>
        <w:widowControl/>
        <w:jc w:val="left"/>
        <w:rPr>
          <w:color w:val="000000"/>
          <w:sz w:val="24"/>
          <w:highlight w:val="none"/>
        </w:rPr>
      </w:pPr>
      <w:bookmarkStart w:id="820" w:name="_Hlt520355938"/>
      <w:bookmarkEnd w:id="820"/>
      <w:bookmarkStart w:id="821" w:name="_Hlt520356243"/>
      <w:bookmarkEnd w:id="821"/>
      <w:bookmarkStart w:id="822" w:name="_Toc142311059"/>
      <w:bookmarkStart w:id="823" w:name="_Toc520356218"/>
      <w:bookmarkStart w:id="824" w:name="_Toc150774762"/>
      <w:bookmarkStart w:id="825" w:name="_Toc226965747"/>
      <w:bookmarkStart w:id="826" w:name="_Toc226965830"/>
      <w:bookmarkStart w:id="827" w:name="_Toc150480795"/>
      <w:bookmarkStart w:id="828" w:name="_Ref467988705"/>
      <w:bookmarkStart w:id="829" w:name="_Toc226337253"/>
      <w:bookmarkStart w:id="830" w:name="_Toc480942350"/>
      <w:bookmarkStart w:id="831" w:name="_Toc305158825"/>
      <w:bookmarkStart w:id="832" w:name="_Toc195842922"/>
      <w:bookmarkStart w:id="833" w:name="_Toc264969247"/>
      <w:bookmarkStart w:id="834" w:name="_Toc127151557"/>
      <w:bookmarkStart w:id="835" w:name="_Toc226309801"/>
      <w:bookmarkStart w:id="836" w:name="_Toc265228395"/>
      <w:bookmarkStart w:id="837" w:name="_Toc305158899"/>
      <w:r>
        <w:rPr>
          <w:color w:val="000000"/>
          <w:sz w:val="24"/>
          <w:highlight w:val="none"/>
        </w:rPr>
        <w:br w:type="page"/>
      </w:r>
    </w:p>
    <w:p w14:paraId="4D150216">
      <w:pPr>
        <w:numPr>
          <w:ilvl w:val="0"/>
          <w:numId w:val="17"/>
        </w:numPr>
        <w:tabs>
          <w:tab w:val="left" w:pos="360"/>
        </w:tabs>
        <w:snapToGrid w:val="0"/>
        <w:spacing w:line="360" w:lineRule="auto"/>
        <w:outlineLvl w:val="1"/>
        <w:rPr>
          <w:color w:val="000000"/>
          <w:sz w:val="24"/>
          <w:highlight w:val="none"/>
        </w:rPr>
      </w:pPr>
      <w:r>
        <w:rPr>
          <w:color w:val="000000"/>
          <w:sz w:val="24"/>
          <w:highlight w:val="none"/>
        </w:rPr>
        <w:t>授权委托书（实质性格式）</w:t>
      </w:r>
    </w:p>
    <w:p w14:paraId="6EBF63A8">
      <w:pPr>
        <w:spacing w:line="360" w:lineRule="exact"/>
        <w:jc w:val="center"/>
        <w:rPr>
          <w:b/>
          <w:color w:val="000000"/>
          <w:sz w:val="36"/>
          <w:szCs w:val="36"/>
          <w:highlight w:val="none"/>
        </w:rPr>
      </w:pPr>
      <w:r>
        <w:rPr>
          <w:b/>
          <w:color w:val="000000"/>
          <w:sz w:val="36"/>
          <w:szCs w:val="36"/>
          <w:highlight w:val="none"/>
        </w:rPr>
        <w:t>授权委托书</w:t>
      </w:r>
    </w:p>
    <w:p w14:paraId="2EC8541E">
      <w:pPr>
        <w:spacing w:line="360" w:lineRule="auto"/>
        <w:ind w:firstLine="420"/>
        <w:rPr>
          <w:color w:val="000000"/>
          <w:sz w:val="24"/>
          <w:szCs w:val="20"/>
          <w:highlight w:val="none"/>
        </w:rPr>
      </w:pPr>
    </w:p>
    <w:p w14:paraId="72193436">
      <w:pPr>
        <w:spacing w:line="360" w:lineRule="auto"/>
        <w:ind w:firstLine="420"/>
        <w:rPr>
          <w:color w:val="000000"/>
          <w:sz w:val="24"/>
          <w:szCs w:val="20"/>
          <w:highlight w:val="none"/>
        </w:rPr>
      </w:pPr>
      <w:r>
        <w:rPr>
          <w:color w:val="000000"/>
          <w:sz w:val="24"/>
          <w:szCs w:val="20"/>
          <w:highlight w:val="none"/>
        </w:rPr>
        <w:t>本人</w:t>
      </w:r>
      <w:r>
        <w:rPr>
          <w:color w:val="000000"/>
          <w:sz w:val="24"/>
          <w:highlight w:val="none"/>
          <w:lang w:val="zh-CN"/>
        </w:rPr>
        <w:t>_______</w:t>
      </w:r>
      <w:r>
        <w:rPr>
          <w:color w:val="000000"/>
          <w:sz w:val="24"/>
          <w:szCs w:val="20"/>
          <w:highlight w:val="none"/>
        </w:rPr>
        <w:t>（姓名）系</w:t>
      </w:r>
      <w:r>
        <w:rPr>
          <w:color w:val="000000"/>
          <w:sz w:val="24"/>
          <w:highlight w:val="none"/>
          <w:lang w:val="zh-CN"/>
        </w:rPr>
        <w:t>________________</w:t>
      </w:r>
      <w:r>
        <w:rPr>
          <w:color w:val="000000"/>
          <w:sz w:val="24"/>
          <w:szCs w:val="20"/>
          <w:highlight w:val="none"/>
        </w:rPr>
        <w:t>（供应商名称）的法定代表人（单位负责人），现委托</w:t>
      </w:r>
      <w:r>
        <w:rPr>
          <w:color w:val="000000"/>
          <w:sz w:val="24"/>
          <w:highlight w:val="none"/>
          <w:lang w:val="zh-CN"/>
        </w:rPr>
        <w:t>_______</w:t>
      </w:r>
      <w:r>
        <w:rPr>
          <w:color w:val="000000"/>
          <w:sz w:val="24"/>
          <w:szCs w:val="20"/>
          <w:highlight w:val="none"/>
        </w:rPr>
        <w:t>（姓名）为我方代理人。代理人根据授权，以我方名义签署、澄清确认、提交、撤回、修改</w:t>
      </w:r>
      <w:r>
        <w:rPr>
          <w:color w:val="000000"/>
          <w:sz w:val="24"/>
          <w:highlight w:val="none"/>
          <w:lang w:val="zh-CN"/>
        </w:rPr>
        <w:t>________________</w:t>
      </w:r>
      <w:r>
        <w:rPr>
          <w:color w:val="000000"/>
          <w:sz w:val="24"/>
          <w:szCs w:val="20"/>
          <w:highlight w:val="none"/>
        </w:rPr>
        <w:t>（项目名称）响应文件和处理有关事宜，其法律后果由我方承担。</w:t>
      </w:r>
    </w:p>
    <w:p w14:paraId="73116C9A">
      <w:pPr>
        <w:spacing w:line="360" w:lineRule="auto"/>
        <w:ind w:firstLine="420"/>
        <w:rPr>
          <w:color w:val="000000"/>
          <w:sz w:val="24"/>
          <w:szCs w:val="20"/>
          <w:highlight w:val="none"/>
        </w:rPr>
      </w:pPr>
      <w:r>
        <w:rPr>
          <w:color w:val="000000"/>
          <w:sz w:val="24"/>
          <w:szCs w:val="20"/>
          <w:highlight w:val="none"/>
        </w:rPr>
        <w:t>委托期限：自本授权委托书签署之日起至响应有效期届满之日止。</w:t>
      </w:r>
    </w:p>
    <w:p w14:paraId="37477AD9">
      <w:pPr>
        <w:spacing w:line="360" w:lineRule="auto"/>
        <w:ind w:firstLine="420"/>
        <w:rPr>
          <w:color w:val="000000"/>
          <w:sz w:val="24"/>
          <w:szCs w:val="20"/>
          <w:highlight w:val="none"/>
        </w:rPr>
      </w:pPr>
      <w:r>
        <w:rPr>
          <w:color w:val="000000"/>
          <w:sz w:val="24"/>
          <w:szCs w:val="20"/>
          <w:highlight w:val="none"/>
        </w:rPr>
        <w:t>代理人无转委托权。</w:t>
      </w:r>
      <w:r>
        <w:rPr>
          <w:color w:val="000000"/>
          <w:sz w:val="24"/>
          <w:szCs w:val="20"/>
          <w:highlight w:val="none"/>
        </w:rPr>
        <w:cr/>
      </w:r>
    </w:p>
    <w:p w14:paraId="265C9D76">
      <w:pPr>
        <w:spacing w:line="360" w:lineRule="auto"/>
        <w:rPr>
          <w:color w:val="000000"/>
          <w:sz w:val="24"/>
          <w:highlight w:val="none"/>
          <w:lang w:val="zh-CN"/>
        </w:rPr>
      </w:pPr>
      <w:r>
        <w:rPr>
          <w:color w:val="000000"/>
          <w:sz w:val="24"/>
          <w:highlight w:val="none"/>
        </w:rPr>
        <w:t>供应商名称（加盖公章）</w:t>
      </w:r>
      <w:r>
        <w:rPr>
          <w:color w:val="000000"/>
          <w:sz w:val="24"/>
          <w:highlight w:val="none"/>
          <w:lang w:val="zh-CN"/>
        </w:rPr>
        <w:t>：________________</w:t>
      </w:r>
    </w:p>
    <w:p w14:paraId="3A7CB96F">
      <w:pPr>
        <w:spacing w:line="360" w:lineRule="auto"/>
        <w:rPr>
          <w:color w:val="000000"/>
          <w:sz w:val="24"/>
          <w:szCs w:val="20"/>
          <w:highlight w:val="none"/>
        </w:rPr>
      </w:pPr>
      <w:r>
        <w:rPr>
          <w:color w:val="000000"/>
          <w:sz w:val="24"/>
          <w:szCs w:val="20"/>
          <w:highlight w:val="none"/>
        </w:rPr>
        <w:t>法定代表人（单位负责人）（签字或签章）：</w:t>
      </w:r>
      <w:r>
        <w:rPr>
          <w:color w:val="000000"/>
          <w:sz w:val="24"/>
          <w:highlight w:val="none"/>
          <w:lang w:val="zh-CN"/>
        </w:rPr>
        <w:t>________________</w:t>
      </w:r>
    </w:p>
    <w:p w14:paraId="71684377">
      <w:pPr>
        <w:autoSpaceDE w:val="0"/>
        <w:autoSpaceDN w:val="0"/>
        <w:adjustRightInd w:val="0"/>
        <w:snapToGrid w:val="0"/>
        <w:spacing w:line="360" w:lineRule="auto"/>
        <w:rPr>
          <w:color w:val="000000"/>
          <w:sz w:val="24"/>
          <w:highlight w:val="none"/>
          <w:lang w:val="zh-CN"/>
        </w:rPr>
      </w:pPr>
      <w:r>
        <w:rPr>
          <w:color w:val="000000"/>
          <w:sz w:val="24"/>
          <w:highlight w:val="none"/>
        </w:rPr>
        <w:t>委托代理人（签字或签章）：</w:t>
      </w:r>
      <w:r>
        <w:rPr>
          <w:color w:val="000000"/>
          <w:sz w:val="24"/>
          <w:highlight w:val="none"/>
          <w:lang w:val="zh-CN"/>
        </w:rPr>
        <w:t>________________</w:t>
      </w:r>
      <w:r>
        <w:rPr>
          <w:color w:val="000000"/>
          <w:sz w:val="24"/>
          <w:highlight w:val="none"/>
        </w:rPr>
        <w:t xml:space="preserve">    </w:t>
      </w:r>
      <w:r>
        <w:rPr>
          <w:color w:val="000000"/>
          <w:sz w:val="24"/>
          <w:highlight w:val="none"/>
          <w:lang w:val="zh-CN"/>
        </w:rPr>
        <w:t xml:space="preserve">                      </w:t>
      </w:r>
    </w:p>
    <w:p w14:paraId="7AC8C07B">
      <w:pPr>
        <w:autoSpaceDE w:val="0"/>
        <w:autoSpaceDN w:val="0"/>
        <w:adjustRightInd w:val="0"/>
        <w:snapToGrid w:val="0"/>
        <w:spacing w:line="360" w:lineRule="auto"/>
        <w:rPr>
          <w:color w:val="000000"/>
          <w:sz w:val="24"/>
          <w:highlight w:val="none"/>
          <w:lang w:val="zh-CN"/>
        </w:rPr>
      </w:pPr>
      <w:r>
        <w:rPr>
          <w:color w:val="000000"/>
          <w:sz w:val="24"/>
          <w:highlight w:val="none"/>
        </w:rPr>
        <w:t>日期：_____年______月______日</w:t>
      </w:r>
    </w:p>
    <w:p w14:paraId="7BB9D7DD">
      <w:pPr>
        <w:tabs>
          <w:tab w:val="left" w:pos="5580"/>
        </w:tabs>
        <w:spacing w:line="360" w:lineRule="auto"/>
        <w:ind w:firstLine="480" w:firstLineChars="200"/>
        <w:rPr>
          <w:color w:val="000000"/>
          <w:sz w:val="24"/>
          <w:szCs w:val="20"/>
          <w:highlight w:val="none"/>
        </w:rPr>
      </w:pPr>
    </w:p>
    <w:p w14:paraId="461AC8F9">
      <w:pPr>
        <w:tabs>
          <w:tab w:val="left" w:pos="5580"/>
        </w:tabs>
        <w:spacing w:line="360" w:lineRule="auto"/>
        <w:rPr>
          <w:color w:val="000000"/>
          <w:sz w:val="24"/>
          <w:szCs w:val="20"/>
          <w:highlight w:val="none"/>
        </w:rPr>
      </w:pPr>
      <w:r>
        <w:rPr>
          <w:color w:val="000000"/>
          <w:sz w:val="24"/>
          <w:szCs w:val="20"/>
          <w:highlight w:val="none"/>
        </w:rPr>
        <w:t>附：法定代表人</w:t>
      </w:r>
      <w:r>
        <w:rPr>
          <w:rFonts w:hint="eastAsia"/>
          <w:sz w:val="24"/>
          <w:szCs w:val="20"/>
          <w:highlight w:val="none"/>
        </w:rPr>
        <w:t>（单位负责人）</w:t>
      </w:r>
      <w:r>
        <w:rPr>
          <w:color w:val="000000"/>
          <w:sz w:val="24"/>
          <w:szCs w:val="20"/>
          <w:highlight w:val="none"/>
        </w:rPr>
        <w:t>及委托代理人身份证明文件电子件：</w:t>
      </w:r>
    </w:p>
    <w:p w14:paraId="1D64A4CC">
      <w:pPr>
        <w:tabs>
          <w:tab w:val="left" w:pos="5580"/>
        </w:tabs>
        <w:spacing w:line="360" w:lineRule="auto"/>
        <w:jc w:val="left"/>
        <w:rPr>
          <w:color w:val="000000"/>
          <w:sz w:val="24"/>
          <w:szCs w:val="20"/>
          <w:highlight w:val="none"/>
        </w:rPr>
      </w:pPr>
    </w:p>
    <w:p w14:paraId="6844A4B1">
      <w:pPr>
        <w:tabs>
          <w:tab w:val="left" w:pos="5580"/>
        </w:tabs>
        <w:spacing w:line="360" w:lineRule="auto"/>
        <w:jc w:val="left"/>
        <w:rPr>
          <w:color w:val="000000"/>
          <w:sz w:val="24"/>
          <w:szCs w:val="20"/>
          <w:highlight w:val="none"/>
        </w:rPr>
      </w:pPr>
    </w:p>
    <w:p w14:paraId="2B4DC19B">
      <w:pPr>
        <w:tabs>
          <w:tab w:val="left" w:pos="5580"/>
        </w:tabs>
        <w:spacing w:line="360" w:lineRule="auto"/>
        <w:jc w:val="left"/>
        <w:rPr>
          <w:color w:val="000000"/>
          <w:sz w:val="24"/>
          <w:szCs w:val="20"/>
          <w:highlight w:val="none"/>
        </w:rPr>
      </w:pPr>
    </w:p>
    <w:p w14:paraId="1B3FC58B">
      <w:pPr>
        <w:tabs>
          <w:tab w:val="left" w:pos="5580"/>
        </w:tabs>
        <w:spacing w:line="360" w:lineRule="auto"/>
        <w:jc w:val="left"/>
        <w:rPr>
          <w:color w:val="000000"/>
          <w:sz w:val="24"/>
          <w:szCs w:val="20"/>
          <w:highlight w:val="none"/>
        </w:rPr>
      </w:pPr>
    </w:p>
    <w:p w14:paraId="0B38E3D4">
      <w:pPr>
        <w:tabs>
          <w:tab w:val="left" w:pos="5580"/>
        </w:tabs>
        <w:spacing w:line="360" w:lineRule="auto"/>
        <w:jc w:val="left"/>
        <w:rPr>
          <w:color w:val="000000"/>
          <w:sz w:val="24"/>
          <w:szCs w:val="20"/>
          <w:highlight w:val="none"/>
        </w:rPr>
      </w:pPr>
      <w:r>
        <w:rPr>
          <w:color w:val="000000"/>
          <w:sz w:val="24"/>
          <w:szCs w:val="20"/>
          <w:highlight w:val="none"/>
        </w:rPr>
        <w:t>说明：</w:t>
      </w:r>
    </w:p>
    <w:p w14:paraId="7A2CDBCB">
      <w:pPr>
        <w:tabs>
          <w:tab w:val="left" w:pos="5580"/>
        </w:tabs>
        <w:spacing w:line="360" w:lineRule="auto"/>
        <w:jc w:val="left"/>
        <w:rPr>
          <w:color w:val="000000"/>
          <w:sz w:val="24"/>
          <w:szCs w:val="20"/>
          <w:highlight w:val="none"/>
        </w:rPr>
      </w:pPr>
      <w:r>
        <w:rPr>
          <w:color w:val="000000"/>
          <w:sz w:val="24"/>
          <w:szCs w:val="20"/>
          <w:highlight w:val="none"/>
        </w:rPr>
        <w:t>1.若供应商为事业单位或其他组织或分支机构，则法定代表人（单位负责人）处的签署人可为单位负责人。</w:t>
      </w:r>
    </w:p>
    <w:p w14:paraId="5B2839C4">
      <w:pPr>
        <w:tabs>
          <w:tab w:val="left" w:pos="5580"/>
        </w:tabs>
        <w:spacing w:line="360" w:lineRule="auto"/>
        <w:jc w:val="left"/>
        <w:rPr>
          <w:color w:val="000000"/>
          <w:sz w:val="24"/>
          <w:szCs w:val="20"/>
          <w:highlight w:val="none"/>
        </w:rPr>
      </w:pPr>
      <w:r>
        <w:rPr>
          <w:color w:val="000000"/>
          <w:sz w:val="24"/>
          <w:szCs w:val="20"/>
          <w:highlight w:val="none"/>
        </w:rPr>
        <w:t>2.若响应文件中签字之处均为法定代表人（单位负责人）本人签署，则可不提供本《授权委托书》，但须提供《法定代表人（单位负责人）身份证明》；否则，不需要提供《法定代表人（单位负责人）身份证明》。</w:t>
      </w:r>
    </w:p>
    <w:p w14:paraId="24FCE138">
      <w:pPr>
        <w:tabs>
          <w:tab w:val="left" w:pos="5580"/>
        </w:tabs>
        <w:spacing w:line="360" w:lineRule="auto"/>
        <w:jc w:val="left"/>
        <w:rPr>
          <w:color w:val="000000"/>
          <w:sz w:val="24"/>
          <w:szCs w:val="20"/>
          <w:highlight w:val="none"/>
        </w:rPr>
      </w:pPr>
      <w:r>
        <w:rPr>
          <w:color w:val="000000"/>
          <w:sz w:val="24"/>
          <w:szCs w:val="20"/>
          <w:highlight w:val="none"/>
        </w:rPr>
        <w:t>3.供应商为自然人的情形，可不提供本《授权委托书》。</w:t>
      </w:r>
    </w:p>
    <w:p w14:paraId="43D8FFDC">
      <w:pPr>
        <w:tabs>
          <w:tab w:val="left" w:pos="5580"/>
        </w:tabs>
        <w:spacing w:line="360" w:lineRule="auto"/>
        <w:jc w:val="left"/>
        <w:rPr>
          <w:color w:val="000000"/>
          <w:sz w:val="30"/>
          <w:szCs w:val="30"/>
          <w:highlight w:val="none"/>
        </w:rPr>
      </w:pPr>
      <w:r>
        <w:rPr>
          <w:color w:val="000000"/>
          <w:sz w:val="24"/>
          <w:szCs w:val="20"/>
          <w:highlight w:val="none"/>
        </w:rPr>
        <w:t>4.供应商应随本《授权委托书》同时提供法定代表人（单位负责人）及委托代理人的有效的身份证</w:t>
      </w:r>
      <w:r>
        <w:rPr>
          <w:rFonts w:hint="eastAsia"/>
          <w:color w:val="000000"/>
          <w:sz w:val="24"/>
          <w:szCs w:val="20"/>
          <w:highlight w:val="none"/>
        </w:rPr>
        <w:t>或</w:t>
      </w:r>
      <w:r>
        <w:rPr>
          <w:color w:val="000000"/>
          <w:sz w:val="24"/>
          <w:szCs w:val="20"/>
          <w:highlight w:val="none"/>
        </w:rPr>
        <w:t>护照等身份证明文件电子件。提供身份证的，应同时提供身份证</w:t>
      </w:r>
      <w:r>
        <w:rPr>
          <w:b/>
          <w:color w:val="000000"/>
          <w:sz w:val="24"/>
          <w:szCs w:val="20"/>
          <w:highlight w:val="none"/>
        </w:rPr>
        <w:t>双面</w:t>
      </w:r>
      <w:r>
        <w:rPr>
          <w:color w:val="000000"/>
          <w:sz w:val="24"/>
          <w:szCs w:val="20"/>
          <w:highlight w:val="none"/>
        </w:rPr>
        <w:t>电子件。</w:t>
      </w:r>
      <w:r>
        <w:rPr>
          <w:color w:val="000000"/>
          <w:sz w:val="30"/>
          <w:szCs w:val="30"/>
          <w:highlight w:val="none"/>
        </w:rPr>
        <w:br w:type="page"/>
      </w:r>
    </w:p>
    <w:p w14:paraId="4EB77581">
      <w:pPr>
        <w:spacing w:line="360" w:lineRule="exact"/>
        <w:jc w:val="center"/>
        <w:rPr>
          <w:b/>
          <w:color w:val="000000"/>
          <w:sz w:val="36"/>
          <w:szCs w:val="36"/>
          <w:highlight w:val="none"/>
        </w:rPr>
      </w:pPr>
      <w:r>
        <w:rPr>
          <w:b/>
          <w:color w:val="000000"/>
          <w:sz w:val="36"/>
          <w:szCs w:val="36"/>
          <w:highlight w:val="none"/>
        </w:rPr>
        <w:t>法定代表人（单位负责人）身份证明</w:t>
      </w:r>
    </w:p>
    <w:p w14:paraId="23EA0E4C">
      <w:pPr>
        <w:kinsoku w:val="0"/>
        <w:overflowPunct w:val="0"/>
        <w:spacing w:line="200" w:lineRule="exact"/>
        <w:rPr>
          <w:sz w:val="20"/>
          <w:szCs w:val="20"/>
          <w:highlight w:val="none"/>
        </w:rPr>
      </w:pPr>
    </w:p>
    <w:p w14:paraId="11550A54">
      <w:pPr>
        <w:tabs>
          <w:tab w:val="left" w:pos="5580"/>
        </w:tabs>
        <w:spacing w:line="360" w:lineRule="auto"/>
        <w:rPr>
          <w:color w:val="000000"/>
          <w:sz w:val="24"/>
          <w:highlight w:val="none"/>
        </w:rPr>
      </w:pPr>
      <w:r>
        <w:rPr>
          <w:color w:val="000000"/>
          <w:sz w:val="24"/>
          <w:highlight w:val="none"/>
        </w:rPr>
        <w:t>致：</w:t>
      </w:r>
      <w:r>
        <w:rPr>
          <w:rFonts w:hint="eastAsia"/>
          <w:color w:val="000000"/>
          <w:sz w:val="24"/>
          <w:highlight w:val="none"/>
          <w:u w:val="single"/>
        </w:rPr>
        <w:t>北京市大兴区司法局</w:t>
      </w:r>
    </w:p>
    <w:p w14:paraId="63B7A59C">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highlight w:val="none"/>
        </w:rPr>
      </w:pPr>
      <w:r>
        <w:rPr>
          <w:rFonts w:ascii="Times New Roman" w:hAnsi="Times New Roman"/>
          <w:highlight w:val="none"/>
        </w:rPr>
        <w:t>兹证明，</w:t>
      </w:r>
    </w:p>
    <w:p w14:paraId="49DD88E2">
      <w:pPr>
        <w:pStyle w:val="17"/>
        <w:tabs>
          <w:tab w:val="left" w:pos="1690"/>
          <w:tab w:val="left" w:pos="3400"/>
          <w:tab w:val="left" w:pos="5110"/>
          <w:tab w:val="left" w:pos="6821"/>
        </w:tabs>
        <w:kinsoku w:val="0"/>
        <w:overflowPunct w:val="0"/>
        <w:spacing w:line="335" w:lineRule="exact"/>
        <w:rPr>
          <w:rFonts w:ascii="Times New Roman" w:hAnsi="Times New Roman"/>
          <w:highlight w:val="none"/>
        </w:rPr>
      </w:pPr>
      <w:r>
        <w:rPr>
          <w:rFonts w:ascii="Times New Roman" w:hAnsi="Times New Roman"/>
          <w:highlight w:val="none"/>
        </w:rPr>
        <w:t>姓名：____性别：____年龄：____职务：____</w:t>
      </w:r>
    </w:p>
    <w:p w14:paraId="23B4D5D8">
      <w:pPr>
        <w:pStyle w:val="17"/>
        <w:tabs>
          <w:tab w:val="left" w:pos="2412"/>
          <w:tab w:val="left" w:pos="3883"/>
          <w:tab w:val="left" w:pos="5352"/>
          <w:tab w:val="left" w:pos="6821"/>
        </w:tabs>
        <w:kinsoku w:val="0"/>
        <w:overflowPunct w:val="0"/>
        <w:spacing w:line="335" w:lineRule="exact"/>
        <w:rPr>
          <w:rFonts w:ascii="Times New Roman" w:hAnsi="Times New Roman"/>
          <w:highlight w:val="none"/>
        </w:rPr>
      </w:pPr>
    </w:p>
    <w:p w14:paraId="3FAB8360">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highlight w:val="none"/>
        </w:rPr>
      </w:pPr>
      <w:r>
        <w:rPr>
          <w:rFonts w:ascii="Times New Roman" w:hAnsi="Times New Roman"/>
          <w:highlight w:val="none"/>
        </w:rPr>
        <w:t>系</w:t>
      </w:r>
      <w:r>
        <w:rPr>
          <w:rFonts w:ascii="Times New Roman" w:hAnsi="Times New Roman"/>
          <w:highlight w:val="none"/>
          <w:u w:val="single"/>
        </w:rPr>
        <w:tab/>
      </w:r>
      <w:r>
        <w:rPr>
          <w:rFonts w:ascii="Times New Roman" w:hAnsi="Times New Roman"/>
          <w:highlight w:val="none"/>
        </w:rPr>
        <w:t>（供应商名称）的法定代表人（单位负责人）。</w:t>
      </w:r>
    </w:p>
    <w:p w14:paraId="1BC7663A">
      <w:pPr>
        <w:pStyle w:val="17"/>
        <w:tabs>
          <w:tab w:val="left" w:pos="2412"/>
          <w:tab w:val="left" w:pos="3883"/>
          <w:tab w:val="left" w:pos="5352"/>
          <w:tab w:val="left" w:pos="6821"/>
        </w:tabs>
        <w:kinsoku w:val="0"/>
        <w:overflowPunct w:val="0"/>
        <w:spacing w:line="335" w:lineRule="exact"/>
        <w:rPr>
          <w:rFonts w:ascii="Times New Roman" w:hAnsi="Times New Roman"/>
          <w:highlight w:val="none"/>
        </w:rPr>
      </w:pPr>
    </w:p>
    <w:p w14:paraId="06CA26E3">
      <w:pPr>
        <w:pStyle w:val="17"/>
        <w:kinsoku w:val="0"/>
        <w:overflowPunct w:val="0"/>
        <w:spacing w:line="583" w:lineRule="auto"/>
        <w:ind w:right="-46"/>
        <w:rPr>
          <w:rFonts w:ascii="Times New Roman" w:hAnsi="Times New Roman"/>
          <w:color w:val="000000"/>
          <w:szCs w:val="20"/>
          <w:highlight w:val="none"/>
        </w:rPr>
      </w:pPr>
      <w:r>
        <w:rPr>
          <w:rFonts w:ascii="Times New Roman" w:hAnsi="Times New Roman"/>
          <w:color w:val="000000"/>
          <w:szCs w:val="20"/>
          <w:highlight w:val="none"/>
        </w:rPr>
        <w:t>附：法定代表人（单位负责人）身份证</w:t>
      </w:r>
      <w:r>
        <w:rPr>
          <w:rFonts w:hint="eastAsia" w:ascii="Times New Roman" w:hAnsi="Times New Roman"/>
          <w:color w:val="000000"/>
          <w:szCs w:val="20"/>
          <w:highlight w:val="none"/>
        </w:rPr>
        <w:t>或</w:t>
      </w:r>
      <w:r>
        <w:rPr>
          <w:rFonts w:ascii="Times New Roman" w:hAnsi="Times New Roman"/>
          <w:color w:val="000000"/>
          <w:szCs w:val="20"/>
          <w:highlight w:val="none"/>
        </w:rPr>
        <w:t>护照等身份证明文件电子件：</w:t>
      </w:r>
    </w:p>
    <w:p w14:paraId="398D66B0">
      <w:pPr>
        <w:pStyle w:val="17"/>
        <w:kinsoku w:val="0"/>
        <w:overflowPunct w:val="0"/>
        <w:spacing w:line="583" w:lineRule="auto"/>
        <w:ind w:right="4305"/>
        <w:rPr>
          <w:rFonts w:ascii="Times New Roman" w:hAnsi="Times New Roman"/>
          <w:spacing w:val="-3"/>
          <w:highlight w:val="none"/>
        </w:rPr>
      </w:pPr>
    </w:p>
    <w:p w14:paraId="1BE75024">
      <w:pPr>
        <w:autoSpaceDE w:val="0"/>
        <w:autoSpaceDN w:val="0"/>
        <w:adjustRightInd w:val="0"/>
        <w:snapToGrid w:val="0"/>
        <w:spacing w:line="360" w:lineRule="auto"/>
        <w:rPr>
          <w:color w:val="000000"/>
          <w:sz w:val="24"/>
          <w:highlight w:val="none"/>
          <w:lang w:val="zh-CN"/>
        </w:rPr>
      </w:pPr>
      <w:r>
        <w:rPr>
          <w:color w:val="000000"/>
          <w:sz w:val="24"/>
          <w:highlight w:val="none"/>
        </w:rPr>
        <w:t>供应商名称（加盖公章）</w:t>
      </w:r>
      <w:r>
        <w:rPr>
          <w:color w:val="000000"/>
          <w:sz w:val="24"/>
          <w:highlight w:val="none"/>
          <w:lang w:val="zh-CN"/>
        </w:rPr>
        <w:t>：________________</w:t>
      </w:r>
    </w:p>
    <w:p w14:paraId="36AB9496">
      <w:pPr>
        <w:pStyle w:val="17"/>
        <w:kinsoku w:val="0"/>
        <w:overflowPunct w:val="0"/>
        <w:spacing w:line="583" w:lineRule="auto"/>
        <w:ind w:right="95"/>
        <w:rPr>
          <w:rFonts w:ascii="Times New Roman" w:hAnsi="Times New Roman"/>
          <w:spacing w:val="-3"/>
          <w:highlight w:val="none"/>
        </w:rPr>
      </w:pPr>
      <w:r>
        <w:rPr>
          <w:rFonts w:ascii="Times New Roman" w:hAnsi="Times New Roman"/>
          <w:spacing w:val="-3"/>
          <w:highlight w:val="none"/>
        </w:rPr>
        <w:t>法定代表人（</w:t>
      </w:r>
      <w:r>
        <w:rPr>
          <w:rFonts w:ascii="Times New Roman" w:hAnsi="Times New Roman"/>
          <w:highlight w:val="none"/>
        </w:rPr>
        <w:t>单位负责人</w:t>
      </w:r>
      <w:r>
        <w:rPr>
          <w:rFonts w:ascii="Times New Roman" w:hAnsi="Times New Roman"/>
          <w:spacing w:val="-3"/>
          <w:highlight w:val="none"/>
        </w:rPr>
        <w:t>）（签字或签章）：_______</w:t>
      </w:r>
    </w:p>
    <w:p w14:paraId="19294FC9">
      <w:pPr>
        <w:autoSpaceDE w:val="0"/>
        <w:autoSpaceDN w:val="0"/>
        <w:adjustRightInd w:val="0"/>
        <w:snapToGrid w:val="0"/>
        <w:spacing w:line="360" w:lineRule="auto"/>
        <w:rPr>
          <w:color w:val="000000"/>
          <w:sz w:val="24"/>
          <w:highlight w:val="none"/>
        </w:rPr>
      </w:pPr>
    </w:p>
    <w:p w14:paraId="53514B53">
      <w:pPr>
        <w:autoSpaceDE w:val="0"/>
        <w:autoSpaceDN w:val="0"/>
        <w:adjustRightInd w:val="0"/>
        <w:snapToGrid w:val="0"/>
        <w:spacing w:line="360" w:lineRule="auto"/>
        <w:rPr>
          <w:color w:val="000000"/>
          <w:sz w:val="24"/>
          <w:highlight w:val="none"/>
          <w:lang w:val="zh-CN"/>
        </w:rPr>
      </w:pPr>
      <w:r>
        <w:rPr>
          <w:color w:val="000000"/>
          <w:sz w:val="24"/>
          <w:highlight w:val="none"/>
        </w:rPr>
        <w:t>日期：_____年______月______日</w:t>
      </w:r>
    </w:p>
    <w:p w14:paraId="18384543">
      <w:pPr>
        <w:widowControl/>
        <w:jc w:val="left"/>
        <w:rPr>
          <w:i/>
          <w:color w:val="000000"/>
          <w:sz w:val="24"/>
          <w:szCs w:val="20"/>
          <w:highlight w:val="none"/>
          <w:u w:val="single"/>
        </w:rPr>
      </w:pPr>
    </w:p>
    <w:p w14:paraId="68ECDB2E">
      <w:pPr>
        <w:widowControl/>
        <w:jc w:val="left"/>
        <w:rPr>
          <w:color w:val="000000"/>
          <w:sz w:val="24"/>
          <w:szCs w:val="20"/>
          <w:highlight w:val="none"/>
        </w:rPr>
      </w:pPr>
      <w:r>
        <w:rPr>
          <w:color w:val="000000"/>
          <w:sz w:val="24"/>
          <w:szCs w:val="20"/>
          <w:highlight w:val="none"/>
        </w:rPr>
        <w:br w:type="page"/>
      </w:r>
    </w:p>
    <w:p w14:paraId="023E099D">
      <w:pPr>
        <w:numPr>
          <w:ilvl w:val="0"/>
          <w:numId w:val="17"/>
        </w:numPr>
        <w:tabs>
          <w:tab w:val="left" w:pos="360"/>
        </w:tabs>
        <w:snapToGrid w:val="0"/>
        <w:spacing w:line="360" w:lineRule="auto"/>
        <w:outlineLvl w:val="1"/>
        <w:rPr>
          <w:color w:val="000000"/>
          <w:sz w:val="24"/>
          <w:szCs w:val="20"/>
          <w:highlight w:val="none"/>
        </w:rPr>
      </w:pPr>
      <w:r>
        <w:rPr>
          <w:color w:val="000000"/>
          <w:sz w:val="24"/>
          <w:szCs w:val="20"/>
          <w:highlight w:val="none"/>
        </w:rPr>
        <w:t>开启一览表</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r>
        <w:rPr>
          <w:color w:val="000000"/>
          <w:sz w:val="24"/>
          <w:szCs w:val="20"/>
          <w:highlight w:val="none"/>
        </w:rPr>
        <w:t>（实质性格式）</w:t>
      </w:r>
    </w:p>
    <w:p w14:paraId="6ECB94BA">
      <w:pPr>
        <w:spacing w:line="360" w:lineRule="exact"/>
        <w:jc w:val="center"/>
        <w:rPr>
          <w:b/>
          <w:color w:val="000000"/>
          <w:sz w:val="36"/>
          <w:szCs w:val="36"/>
          <w:highlight w:val="none"/>
        </w:rPr>
      </w:pPr>
      <w:bookmarkStart w:id="838" w:name="_Toc265228396"/>
      <w:bookmarkStart w:id="839" w:name="_Toc195842923"/>
      <w:bookmarkStart w:id="840" w:name="_Toc226337254"/>
      <w:bookmarkStart w:id="841" w:name="_Toc264969248"/>
      <w:bookmarkStart w:id="842" w:name="_Toc164608827"/>
      <w:bookmarkStart w:id="843" w:name="_Toc305158826"/>
      <w:bookmarkStart w:id="844" w:name="_Toc305158900"/>
      <w:bookmarkStart w:id="845" w:name="_Toc164608672"/>
      <w:bookmarkStart w:id="846" w:name="_Toc226965748"/>
      <w:bookmarkStart w:id="847" w:name="_Toc226965831"/>
      <w:bookmarkStart w:id="848" w:name="_Toc226309802"/>
      <w:r>
        <w:rPr>
          <w:b/>
          <w:color w:val="000000"/>
          <w:sz w:val="36"/>
          <w:szCs w:val="36"/>
          <w:highlight w:val="none"/>
        </w:rPr>
        <w:t>开启一览表</w:t>
      </w:r>
      <w:bookmarkEnd w:id="838"/>
      <w:bookmarkEnd w:id="839"/>
      <w:bookmarkEnd w:id="840"/>
      <w:bookmarkEnd w:id="841"/>
      <w:bookmarkEnd w:id="842"/>
      <w:bookmarkEnd w:id="843"/>
      <w:bookmarkEnd w:id="844"/>
      <w:bookmarkEnd w:id="845"/>
      <w:bookmarkEnd w:id="846"/>
      <w:bookmarkEnd w:id="847"/>
      <w:bookmarkEnd w:id="848"/>
    </w:p>
    <w:p w14:paraId="09EF0DEF">
      <w:pPr>
        <w:tabs>
          <w:tab w:val="left" w:pos="1800"/>
          <w:tab w:val="left" w:pos="5580"/>
        </w:tabs>
        <w:spacing w:line="360" w:lineRule="auto"/>
        <w:jc w:val="left"/>
        <w:rPr>
          <w:i/>
          <w:color w:val="FF0000"/>
          <w:sz w:val="24"/>
          <w:highlight w:val="none"/>
        </w:rPr>
      </w:pPr>
    </w:p>
    <w:p w14:paraId="71DDD732">
      <w:pPr>
        <w:tabs>
          <w:tab w:val="left" w:pos="1800"/>
          <w:tab w:val="left" w:pos="5580"/>
        </w:tabs>
        <w:spacing w:line="360" w:lineRule="auto"/>
        <w:ind w:firstLine="240" w:firstLineChars="100"/>
        <w:jc w:val="left"/>
        <w:rPr>
          <w:color w:val="000000"/>
          <w:sz w:val="24"/>
          <w:highlight w:val="none"/>
          <w:u w:val="single"/>
        </w:rPr>
      </w:pPr>
      <w:r>
        <w:rPr>
          <w:color w:val="000000"/>
          <w:sz w:val="24"/>
          <w:highlight w:val="none"/>
        </w:rPr>
        <w:t>项目编号：_____________________     项目名称：____________</w:t>
      </w:r>
    </w:p>
    <w:tbl>
      <w:tblPr>
        <w:tblStyle w:val="42"/>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90"/>
        <w:gridCol w:w="3709"/>
        <w:gridCol w:w="3973"/>
      </w:tblGrid>
      <w:tr w14:paraId="39DAB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5" w:hRule="atLeast"/>
          <w:jc w:val="center"/>
        </w:trPr>
        <w:tc>
          <w:tcPr>
            <w:tcW w:w="412" w:type="pct"/>
            <w:noWrap w:val="0"/>
            <w:vAlign w:val="center"/>
          </w:tcPr>
          <w:p w14:paraId="7A8DEDE5">
            <w:pPr>
              <w:tabs>
                <w:tab w:val="left" w:pos="5580"/>
              </w:tabs>
              <w:jc w:val="center"/>
              <w:rPr>
                <w:b/>
                <w:sz w:val="24"/>
                <w:highlight w:val="none"/>
              </w:rPr>
            </w:pPr>
            <w:r>
              <w:rPr>
                <w:rFonts w:hint="eastAsia"/>
                <w:b/>
                <w:sz w:val="24"/>
                <w:highlight w:val="none"/>
              </w:rPr>
              <w:t>序号</w:t>
            </w:r>
          </w:p>
        </w:tc>
        <w:tc>
          <w:tcPr>
            <w:tcW w:w="2215" w:type="pct"/>
            <w:noWrap w:val="0"/>
            <w:vAlign w:val="center"/>
          </w:tcPr>
          <w:p w14:paraId="1096AF50">
            <w:pPr>
              <w:tabs>
                <w:tab w:val="left" w:pos="5580"/>
              </w:tabs>
              <w:jc w:val="center"/>
              <w:rPr>
                <w:b/>
                <w:sz w:val="24"/>
                <w:highlight w:val="none"/>
              </w:rPr>
            </w:pPr>
            <w:r>
              <w:rPr>
                <w:b/>
                <w:sz w:val="24"/>
                <w:highlight w:val="none"/>
              </w:rPr>
              <w:t>供应商名称</w:t>
            </w:r>
          </w:p>
        </w:tc>
        <w:tc>
          <w:tcPr>
            <w:tcW w:w="2373" w:type="pct"/>
            <w:noWrap w:val="0"/>
            <w:vAlign w:val="center"/>
          </w:tcPr>
          <w:p w14:paraId="523D9BF5">
            <w:pPr>
              <w:tabs>
                <w:tab w:val="left" w:pos="5580"/>
              </w:tabs>
              <w:jc w:val="center"/>
              <w:rPr>
                <w:b/>
                <w:sz w:val="24"/>
                <w:highlight w:val="none"/>
              </w:rPr>
            </w:pPr>
            <w:r>
              <w:rPr>
                <w:b/>
                <w:sz w:val="24"/>
                <w:highlight w:val="none"/>
              </w:rPr>
              <w:t>响应报价</w:t>
            </w:r>
          </w:p>
        </w:tc>
      </w:tr>
      <w:tr w14:paraId="6AA7D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noWrap w:val="0"/>
            <w:vAlign w:val="center"/>
          </w:tcPr>
          <w:p w14:paraId="3C086E7F">
            <w:pPr>
              <w:tabs>
                <w:tab w:val="left" w:pos="5580"/>
              </w:tabs>
              <w:jc w:val="center"/>
              <w:rPr>
                <w:sz w:val="24"/>
                <w:highlight w:val="none"/>
              </w:rPr>
            </w:pPr>
            <w:r>
              <w:rPr>
                <w:rFonts w:hint="eastAsia"/>
                <w:sz w:val="24"/>
                <w:highlight w:val="none"/>
              </w:rPr>
              <w:t>1</w:t>
            </w:r>
          </w:p>
        </w:tc>
        <w:tc>
          <w:tcPr>
            <w:tcW w:w="2215" w:type="pct"/>
            <w:noWrap w:val="0"/>
            <w:vAlign w:val="center"/>
          </w:tcPr>
          <w:p w14:paraId="7B08E0C7">
            <w:pPr>
              <w:tabs>
                <w:tab w:val="left" w:pos="5580"/>
              </w:tabs>
              <w:jc w:val="center"/>
              <w:rPr>
                <w:sz w:val="24"/>
                <w:highlight w:val="none"/>
              </w:rPr>
            </w:pPr>
          </w:p>
        </w:tc>
        <w:tc>
          <w:tcPr>
            <w:tcW w:w="2373" w:type="pct"/>
            <w:noWrap w:val="0"/>
            <w:vAlign w:val="center"/>
          </w:tcPr>
          <w:p w14:paraId="36B4D235">
            <w:pPr>
              <w:tabs>
                <w:tab w:val="left" w:pos="5580"/>
              </w:tabs>
              <w:jc w:val="left"/>
              <w:rPr>
                <w:sz w:val="24"/>
                <w:highlight w:val="none"/>
              </w:rPr>
            </w:pPr>
            <w:r>
              <w:rPr>
                <w:rFonts w:hint="eastAsia"/>
                <w:sz w:val="24"/>
                <w:highlight w:val="none"/>
              </w:rPr>
              <w:t>按照《北京市法律援助补贴办法》（京司发〔2018〕86号）规定执行。</w:t>
            </w:r>
          </w:p>
        </w:tc>
      </w:tr>
    </w:tbl>
    <w:p w14:paraId="22F46E8D">
      <w:pPr>
        <w:autoSpaceDE w:val="0"/>
        <w:autoSpaceDN w:val="0"/>
        <w:adjustRightInd w:val="0"/>
        <w:jc w:val="left"/>
        <w:rPr>
          <w:color w:val="000000"/>
          <w:kern w:val="0"/>
          <w:sz w:val="24"/>
          <w:highlight w:val="none"/>
        </w:rPr>
      </w:pPr>
    </w:p>
    <w:p w14:paraId="664BE203">
      <w:pPr>
        <w:autoSpaceDE w:val="0"/>
        <w:autoSpaceDN w:val="0"/>
        <w:adjustRightInd w:val="0"/>
        <w:ind w:firstLine="240" w:firstLineChars="100"/>
        <w:jc w:val="left"/>
        <w:rPr>
          <w:rFonts w:hint="eastAsia"/>
          <w:color w:val="000000"/>
          <w:kern w:val="0"/>
          <w:sz w:val="24"/>
          <w:highlight w:val="none"/>
        </w:rPr>
      </w:pPr>
      <w:r>
        <w:rPr>
          <w:color w:val="000000"/>
          <w:kern w:val="0"/>
          <w:sz w:val="24"/>
          <w:highlight w:val="none"/>
        </w:rPr>
        <w:t>备注：</w:t>
      </w:r>
      <w:r>
        <w:rPr>
          <w:rFonts w:hint="eastAsia"/>
          <w:color w:val="000000"/>
          <w:kern w:val="0"/>
          <w:sz w:val="24"/>
          <w:highlight w:val="none"/>
        </w:rPr>
        <w:t>“开标一览表”中的</w:t>
      </w:r>
      <w:r>
        <w:rPr>
          <w:color w:val="000000"/>
          <w:kern w:val="0"/>
          <w:sz w:val="24"/>
          <w:highlight w:val="none"/>
        </w:rPr>
        <w:t>响应报价</w:t>
      </w:r>
      <w:r>
        <w:rPr>
          <w:rFonts w:hint="eastAsia"/>
          <w:color w:val="000000"/>
          <w:kern w:val="0"/>
          <w:sz w:val="24"/>
          <w:highlight w:val="none"/>
        </w:rPr>
        <w:t>一栏，供应商不需要更改，凡涉及投标报价的内容，均以该内容为准。</w:t>
      </w:r>
    </w:p>
    <w:p w14:paraId="65E38F96">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0A040CD6">
      <w:pPr>
        <w:autoSpaceDE w:val="0"/>
        <w:autoSpaceDN w:val="0"/>
        <w:adjustRightInd w:val="0"/>
        <w:snapToGrid w:val="0"/>
        <w:spacing w:before="25" w:after="25" w:line="360" w:lineRule="auto"/>
        <w:ind w:firstLine="240" w:firstLineChars="100"/>
        <w:rPr>
          <w:color w:val="000000"/>
          <w:sz w:val="24"/>
          <w:highlight w:val="none"/>
          <w:lang w:val="zh-CN"/>
        </w:rPr>
      </w:pPr>
      <w:r>
        <w:rPr>
          <w:color w:val="000000"/>
          <w:sz w:val="24"/>
          <w:highlight w:val="none"/>
        </w:rPr>
        <w:t>供应商名称（加盖公章）</w:t>
      </w:r>
      <w:r>
        <w:rPr>
          <w:color w:val="000000"/>
          <w:sz w:val="24"/>
          <w:highlight w:val="none"/>
          <w:lang w:val="zh-CN"/>
        </w:rPr>
        <w:t>：____________</w:t>
      </w:r>
    </w:p>
    <w:p w14:paraId="0D7B7706">
      <w:pPr>
        <w:autoSpaceDE w:val="0"/>
        <w:autoSpaceDN w:val="0"/>
        <w:adjustRightInd w:val="0"/>
        <w:snapToGrid w:val="0"/>
        <w:spacing w:before="25" w:after="25" w:line="360" w:lineRule="auto"/>
        <w:ind w:firstLine="240" w:firstLineChars="100"/>
        <w:rPr>
          <w:color w:val="000000"/>
          <w:sz w:val="24"/>
          <w:highlight w:val="none"/>
          <w:lang w:val="zh-CN"/>
        </w:rPr>
      </w:pPr>
      <w:r>
        <w:rPr>
          <w:color w:val="000000"/>
          <w:sz w:val="24"/>
          <w:szCs w:val="20"/>
          <w:highlight w:val="none"/>
        </w:rPr>
        <w:t xml:space="preserve">日期：_____年______月______日   </w:t>
      </w:r>
    </w:p>
    <w:p w14:paraId="7EB76163">
      <w:pPr>
        <w:widowControl/>
        <w:jc w:val="left"/>
        <w:rPr>
          <w:color w:val="000000"/>
          <w:sz w:val="24"/>
          <w:szCs w:val="20"/>
          <w:highlight w:val="none"/>
        </w:rPr>
      </w:pPr>
      <w:bookmarkStart w:id="849" w:name="_Toc265228397"/>
      <w:bookmarkStart w:id="850" w:name="_Toc226965749"/>
      <w:bookmarkStart w:id="851" w:name="_Toc150480796"/>
      <w:bookmarkStart w:id="852" w:name="_Toc264969249"/>
      <w:bookmarkStart w:id="853" w:name="_Toc142311060"/>
      <w:bookmarkStart w:id="854" w:name="_Toc305158827"/>
      <w:bookmarkStart w:id="855" w:name="_Toc226309803"/>
      <w:bookmarkStart w:id="856" w:name="_Toc305158901"/>
      <w:bookmarkStart w:id="857" w:name="_Toc226965832"/>
      <w:bookmarkStart w:id="858" w:name="_Toc226337255"/>
      <w:bookmarkStart w:id="859" w:name="_Toc195842924"/>
      <w:bookmarkStart w:id="860" w:name="_Toc150774763"/>
      <w:bookmarkStart w:id="861" w:name="_Toc127151558"/>
    </w:p>
    <w:p w14:paraId="205882E5">
      <w:pPr>
        <w:widowControl/>
        <w:jc w:val="left"/>
        <w:rPr>
          <w:color w:val="000000"/>
          <w:sz w:val="24"/>
          <w:szCs w:val="20"/>
          <w:highlight w:val="none"/>
        </w:rPr>
      </w:pPr>
    </w:p>
    <w:p w14:paraId="242B5580">
      <w:pPr>
        <w:tabs>
          <w:tab w:val="left" w:pos="360"/>
        </w:tabs>
        <w:snapToGrid w:val="0"/>
        <w:spacing w:line="360" w:lineRule="auto"/>
        <w:ind w:left="900"/>
        <w:outlineLvl w:val="1"/>
        <w:rPr>
          <w:rFonts w:hint="eastAsia"/>
          <w:color w:val="000000"/>
          <w:sz w:val="24"/>
          <w:szCs w:val="20"/>
          <w:highlight w:val="none"/>
        </w:rPr>
        <w:sectPr>
          <w:headerReference r:id="rId11" w:type="first"/>
          <w:footerReference r:id="rId13" w:type="first"/>
          <w:headerReference r:id="rId10" w:type="even"/>
          <w:footerReference r:id="rId12" w:type="even"/>
          <w:pgSz w:w="11907" w:h="16840"/>
          <w:pgMar w:top="1418" w:right="1134" w:bottom="1418" w:left="1701" w:header="851" w:footer="851" w:gutter="0"/>
          <w:cols w:space="720" w:num="1"/>
          <w:docGrid w:linePitch="462" w:charSpace="0"/>
        </w:sectPr>
      </w:pPr>
    </w:p>
    <w:bookmarkEnd w:id="849"/>
    <w:bookmarkEnd w:id="850"/>
    <w:bookmarkEnd w:id="851"/>
    <w:bookmarkEnd w:id="852"/>
    <w:bookmarkEnd w:id="853"/>
    <w:bookmarkEnd w:id="854"/>
    <w:bookmarkEnd w:id="855"/>
    <w:bookmarkEnd w:id="856"/>
    <w:bookmarkEnd w:id="857"/>
    <w:bookmarkEnd w:id="858"/>
    <w:bookmarkEnd w:id="859"/>
    <w:bookmarkEnd w:id="860"/>
    <w:bookmarkEnd w:id="861"/>
    <w:p w14:paraId="66221D88">
      <w:pPr>
        <w:numPr>
          <w:ilvl w:val="0"/>
          <w:numId w:val="17"/>
        </w:numPr>
        <w:tabs>
          <w:tab w:val="left" w:pos="360"/>
        </w:tabs>
        <w:snapToGrid w:val="0"/>
        <w:spacing w:line="360" w:lineRule="auto"/>
        <w:outlineLvl w:val="1"/>
        <w:rPr>
          <w:color w:val="000000"/>
          <w:sz w:val="24"/>
          <w:szCs w:val="20"/>
          <w:highlight w:val="none"/>
        </w:rPr>
      </w:pPr>
      <w:bookmarkStart w:id="862" w:name="_Toc226309806"/>
      <w:bookmarkStart w:id="863" w:name="_Toc150774765"/>
      <w:bookmarkStart w:id="864" w:name="_Toc305158830"/>
      <w:bookmarkStart w:id="865" w:name="_Toc226337258"/>
      <w:bookmarkStart w:id="866" w:name="_Toc264969252"/>
      <w:bookmarkStart w:id="867" w:name="_Toc150480798"/>
      <w:bookmarkStart w:id="868" w:name="_Toc226965835"/>
      <w:bookmarkStart w:id="869" w:name="_Toc127151562"/>
      <w:bookmarkStart w:id="870" w:name="_Toc265228400"/>
      <w:bookmarkStart w:id="871" w:name="_Toc195842927"/>
      <w:bookmarkStart w:id="872" w:name="_Toc142311062"/>
      <w:bookmarkStart w:id="873" w:name="_Toc226965752"/>
      <w:bookmarkStart w:id="874" w:name="_Toc305158904"/>
      <w:bookmarkStart w:id="875" w:name="_Toc150480797"/>
      <w:bookmarkStart w:id="876" w:name="_Toc150774764"/>
      <w:bookmarkStart w:id="877" w:name="_Toc142311061"/>
      <w:bookmarkStart w:id="878" w:name="_Toc226309805"/>
      <w:bookmarkStart w:id="879" w:name="_Toc226965751"/>
      <w:bookmarkStart w:id="880" w:name="_Toc305158903"/>
      <w:bookmarkStart w:id="881" w:name="_Toc264969251"/>
      <w:bookmarkStart w:id="882" w:name="_Toc305158829"/>
      <w:bookmarkStart w:id="883" w:name="_Toc226337257"/>
      <w:bookmarkStart w:id="884" w:name="_Toc265228399"/>
      <w:bookmarkStart w:id="885" w:name="_Toc195842926"/>
      <w:bookmarkStart w:id="886" w:name="_Toc127151561"/>
      <w:bookmarkStart w:id="887" w:name="_Toc226965834"/>
      <w:r>
        <w:rPr>
          <w:color w:val="000000"/>
          <w:sz w:val="24"/>
          <w:szCs w:val="20"/>
          <w:highlight w:val="none"/>
        </w:rPr>
        <w:t>合同条款偏离表</w:t>
      </w:r>
      <w:bookmarkEnd w:id="862"/>
      <w:bookmarkEnd w:id="863"/>
      <w:bookmarkEnd w:id="864"/>
      <w:bookmarkEnd w:id="865"/>
      <w:bookmarkEnd w:id="866"/>
      <w:bookmarkEnd w:id="867"/>
      <w:bookmarkEnd w:id="868"/>
      <w:bookmarkEnd w:id="869"/>
      <w:bookmarkEnd w:id="870"/>
      <w:bookmarkEnd w:id="871"/>
      <w:bookmarkEnd w:id="872"/>
      <w:bookmarkEnd w:id="873"/>
      <w:bookmarkEnd w:id="874"/>
      <w:r>
        <w:rPr>
          <w:color w:val="000000"/>
          <w:sz w:val="24"/>
          <w:szCs w:val="20"/>
          <w:highlight w:val="none"/>
        </w:rPr>
        <w:t>（实质性格式）</w:t>
      </w:r>
    </w:p>
    <w:p w14:paraId="2EF643CC">
      <w:pPr>
        <w:spacing w:line="360" w:lineRule="auto"/>
        <w:rPr>
          <w:color w:val="000000"/>
          <w:sz w:val="24"/>
          <w:szCs w:val="20"/>
          <w:highlight w:val="none"/>
        </w:rPr>
      </w:pPr>
    </w:p>
    <w:p w14:paraId="600055E2">
      <w:pPr>
        <w:tabs>
          <w:tab w:val="left" w:pos="2775"/>
          <w:tab w:val="center" w:pos="4153"/>
        </w:tabs>
        <w:autoSpaceDE w:val="0"/>
        <w:autoSpaceDN w:val="0"/>
        <w:adjustRightInd w:val="0"/>
        <w:spacing w:line="360" w:lineRule="auto"/>
        <w:jc w:val="center"/>
        <w:rPr>
          <w:b/>
          <w:color w:val="000000"/>
          <w:sz w:val="36"/>
          <w:szCs w:val="36"/>
          <w:highlight w:val="none"/>
        </w:rPr>
      </w:pPr>
      <w:r>
        <w:rPr>
          <w:rFonts w:hint="eastAsia"/>
          <w:b/>
          <w:color w:val="000000"/>
          <w:sz w:val="36"/>
          <w:szCs w:val="36"/>
          <w:highlight w:val="none"/>
        </w:rPr>
        <w:t>框架协议</w:t>
      </w:r>
      <w:r>
        <w:rPr>
          <w:b/>
          <w:color w:val="000000"/>
          <w:sz w:val="36"/>
          <w:szCs w:val="36"/>
          <w:highlight w:val="none"/>
        </w:rPr>
        <w:t>条款偏离表</w:t>
      </w:r>
    </w:p>
    <w:p w14:paraId="4FA580FF">
      <w:pPr>
        <w:spacing w:line="360" w:lineRule="auto"/>
        <w:rPr>
          <w:color w:val="000000"/>
          <w:sz w:val="24"/>
          <w:szCs w:val="20"/>
          <w:highlight w:val="none"/>
        </w:rPr>
      </w:pPr>
    </w:p>
    <w:p w14:paraId="1B91AF77">
      <w:pPr>
        <w:tabs>
          <w:tab w:val="left" w:pos="1800"/>
          <w:tab w:val="left" w:pos="5580"/>
        </w:tabs>
        <w:spacing w:line="360" w:lineRule="auto"/>
        <w:ind w:firstLine="360" w:firstLineChars="150"/>
        <w:jc w:val="left"/>
        <w:rPr>
          <w:color w:val="000000"/>
          <w:sz w:val="24"/>
          <w:highlight w:val="none"/>
        </w:rPr>
      </w:pPr>
      <w:r>
        <w:rPr>
          <w:color w:val="000000"/>
          <w:sz w:val="24"/>
          <w:highlight w:val="none"/>
        </w:rPr>
        <w:t>项目编号：_____________________     项目名称：_____________</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6"/>
        <w:gridCol w:w="1775"/>
        <w:gridCol w:w="1674"/>
        <w:gridCol w:w="1674"/>
        <w:gridCol w:w="1874"/>
        <w:gridCol w:w="1135"/>
      </w:tblGrid>
      <w:tr w14:paraId="14096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noWrap w:val="0"/>
            <w:vAlign w:val="center"/>
          </w:tcPr>
          <w:p w14:paraId="08777C80">
            <w:pPr>
              <w:adjustRightInd w:val="0"/>
              <w:snapToGrid w:val="0"/>
              <w:jc w:val="center"/>
              <w:rPr>
                <w:color w:val="000000"/>
                <w:sz w:val="24"/>
                <w:highlight w:val="none"/>
              </w:rPr>
            </w:pPr>
            <w:bookmarkStart w:id="888" w:name="_Hlk144279231"/>
            <w:r>
              <w:rPr>
                <w:color w:val="000000"/>
                <w:sz w:val="24"/>
                <w:highlight w:val="none"/>
              </w:rPr>
              <w:t>序号</w:t>
            </w:r>
          </w:p>
        </w:tc>
        <w:tc>
          <w:tcPr>
            <w:tcW w:w="1646" w:type="dxa"/>
            <w:noWrap w:val="0"/>
            <w:vAlign w:val="center"/>
          </w:tcPr>
          <w:p w14:paraId="5C9F5117">
            <w:pPr>
              <w:adjustRightInd w:val="0"/>
              <w:snapToGrid w:val="0"/>
              <w:jc w:val="center"/>
              <w:rPr>
                <w:color w:val="000000"/>
                <w:sz w:val="24"/>
                <w:highlight w:val="none"/>
              </w:rPr>
            </w:pPr>
            <w:r>
              <w:rPr>
                <w:color w:val="000000"/>
                <w:sz w:val="24"/>
                <w:szCs w:val="21"/>
                <w:highlight w:val="none"/>
              </w:rPr>
              <w:t>征集文件</w:t>
            </w:r>
            <w:r>
              <w:rPr>
                <w:color w:val="000000"/>
                <w:sz w:val="24"/>
                <w:highlight w:val="none"/>
              </w:rPr>
              <w:t>条目号（页码）</w:t>
            </w:r>
          </w:p>
        </w:tc>
        <w:tc>
          <w:tcPr>
            <w:tcW w:w="1688" w:type="dxa"/>
            <w:noWrap w:val="0"/>
            <w:vAlign w:val="center"/>
          </w:tcPr>
          <w:p w14:paraId="20A11953">
            <w:pPr>
              <w:adjustRightInd w:val="0"/>
              <w:snapToGrid w:val="0"/>
              <w:jc w:val="center"/>
              <w:rPr>
                <w:color w:val="000000"/>
                <w:sz w:val="24"/>
                <w:highlight w:val="none"/>
              </w:rPr>
            </w:pPr>
            <w:r>
              <w:rPr>
                <w:color w:val="000000"/>
                <w:sz w:val="24"/>
                <w:szCs w:val="21"/>
                <w:highlight w:val="none"/>
              </w:rPr>
              <w:t>征集文件</w:t>
            </w:r>
            <w:r>
              <w:rPr>
                <w:color w:val="000000"/>
                <w:sz w:val="24"/>
                <w:highlight w:val="none"/>
              </w:rPr>
              <w:t>要求</w:t>
            </w:r>
          </w:p>
        </w:tc>
        <w:tc>
          <w:tcPr>
            <w:tcW w:w="1688" w:type="dxa"/>
            <w:noWrap w:val="0"/>
            <w:vAlign w:val="center"/>
          </w:tcPr>
          <w:p w14:paraId="3E5388B0">
            <w:pPr>
              <w:adjustRightInd w:val="0"/>
              <w:snapToGrid w:val="0"/>
              <w:jc w:val="center"/>
              <w:rPr>
                <w:color w:val="000000"/>
                <w:sz w:val="24"/>
                <w:highlight w:val="none"/>
              </w:rPr>
            </w:pPr>
            <w:r>
              <w:rPr>
                <w:color w:val="000000"/>
                <w:sz w:val="24"/>
                <w:highlight w:val="none"/>
              </w:rPr>
              <w:t>响应文件内容</w:t>
            </w:r>
          </w:p>
        </w:tc>
        <w:tc>
          <w:tcPr>
            <w:tcW w:w="1925" w:type="dxa"/>
            <w:noWrap w:val="0"/>
            <w:vAlign w:val="center"/>
          </w:tcPr>
          <w:p w14:paraId="2AD26DB3">
            <w:pPr>
              <w:adjustRightInd w:val="0"/>
              <w:snapToGrid w:val="0"/>
              <w:jc w:val="center"/>
              <w:rPr>
                <w:color w:val="000000"/>
                <w:sz w:val="24"/>
                <w:highlight w:val="none"/>
              </w:rPr>
            </w:pPr>
            <w:r>
              <w:rPr>
                <w:color w:val="000000"/>
                <w:sz w:val="24"/>
                <w:highlight w:val="none"/>
              </w:rPr>
              <w:t>偏离情况</w:t>
            </w:r>
          </w:p>
        </w:tc>
        <w:tc>
          <w:tcPr>
            <w:tcW w:w="1045" w:type="dxa"/>
            <w:noWrap w:val="0"/>
            <w:vAlign w:val="center"/>
          </w:tcPr>
          <w:p w14:paraId="3C3D6860">
            <w:pPr>
              <w:adjustRightInd w:val="0"/>
              <w:snapToGrid w:val="0"/>
              <w:jc w:val="center"/>
              <w:rPr>
                <w:color w:val="000000"/>
                <w:sz w:val="24"/>
                <w:highlight w:val="none"/>
              </w:rPr>
            </w:pPr>
            <w:r>
              <w:rPr>
                <w:color w:val="000000"/>
                <w:sz w:val="24"/>
                <w:highlight w:val="none"/>
              </w:rPr>
              <w:t>说明</w:t>
            </w:r>
          </w:p>
        </w:tc>
      </w:tr>
      <w:tr w14:paraId="7EFCE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noWrap w:val="0"/>
            <w:vAlign w:val="center"/>
          </w:tcPr>
          <w:p w14:paraId="3E6C6207">
            <w:pPr>
              <w:adjustRightInd w:val="0"/>
              <w:snapToGrid w:val="0"/>
              <w:jc w:val="left"/>
              <w:rPr>
                <w:bCs/>
                <w:color w:val="000000"/>
                <w:sz w:val="24"/>
                <w:highlight w:val="none"/>
              </w:rPr>
            </w:pPr>
            <w:r>
              <w:rPr>
                <w:b/>
                <w:color w:val="000000"/>
                <w:sz w:val="24"/>
                <w:highlight w:val="none"/>
              </w:rPr>
              <w:t>对本项目</w:t>
            </w:r>
            <w:r>
              <w:rPr>
                <w:rFonts w:hint="eastAsia"/>
                <w:b/>
                <w:color w:val="000000"/>
                <w:sz w:val="24"/>
                <w:highlight w:val="none"/>
              </w:rPr>
              <w:t>框架协议</w:t>
            </w:r>
            <w:r>
              <w:rPr>
                <w:b/>
                <w:color w:val="000000"/>
                <w:sz w:val="24"/>
                <w:highlight w:val="none"/>
              </w:rPr>
              <w:t>条款的偏离情况</w:t>
            </w:r>
            <w:r>
              <w:rPr>
                <w:bCs/>
                <w:color w:val="000000"/>
                <w:sz w:val="24"/>
                <w:highlight w:val="none"/>
              </w:rPr>
              <w:t>（应进行选择，未选择</w:t>
            </w:r>
            <w:r>
              <w:rPr>
                <w:b/>
                <w:color w:val="000000"/>
                <w:sz w:val="24"/>
                <w:highlight w:val="none"/>
              </w:rPr>
              <w:t>响应无效</w:t>
            </w:r>
            <w:r>
              <w:rPr>
                <w:bCs/>
                <w:color w:val="000000"/>
                <w:sz w:val="24"/>
                <w:highlight w:val="none"/>
              </w:rPr>
              <w:t>）：</w:t>
            </w:r>
          </w:p>
          <w:p w14:paraId="7F24E2AD">
            <w:pPr>
              <w:adjustRightInd w:val="0"/>
              <w:snapToGrid w:val="0"/>
              <w:jc w:val="left"/>
              <w:rPr>
                <w:color w:val="000000"/>
                <w:sz w:val="24"/>
                <w:highlight w:val="none"/>
              </w:rPr>
            </w:pPr>
            <w:r>
              <w:rPr>
                <w:b/>
                <w:color w:val="000000"/>
                <w:sz w:val="24"/>
                <w:highlight w:val="none"/>
              </w:rPr>
              <w:t>□无偏离</w:t>
            </w:r>
            <w:r>
              <w:rPr>
                <w:color w:val="000000"/>
                <w:sz w:val="24"/>
                <w:highlight w:val="none"/>
              </w:rPr>
              <w:t>（</w:t>
            </w:r>
            <w:r>
              <w:rPr>
                <w:color w:val="000000"/>
                <w:sz w:val="24"/>
                <w:szCs w:val="21"/>
                <w:highlight w:val="none"/>
              </w:rPr>
              <w:t>如无偏离，仅选择无偏离即可；</w:t>
            </w:r>
            <w:r>
              <w:rPr>
                <w:bCs/>
                <w:color w:val="000000"/>
                <w:sz w:val="24"/>
                <w:highlight w:val="none"/>
              </w:rPr>
              <w:t>无偏离即为</w:t>
            </w:r>
            <w:r>
              <w:rPr>
                <w:sz w:val="24"/>
                <w:highlight w:val="none"/>
              </w:rPr>
              <w:t>对</w:t>
            </w:r>
            <w:r>
              <w:rPr>
                <w:rFonts w:hint="eastAsia"/>
                <w:sz w:val="24"/>
                <w:highlight w:val="none"/>
              </w:rPr>
              <w:t>框架协议</w:t>
            </w:r>
            <w:r>
              <w:rPr>
                <w:sz w:val="24"/>
                <w:highlight w:val="none"/>
              </w:rPr>
              <w:t>条款中的所有要求，均视作供应商已对之理解和响应。</w:t>
            </w:r>
            <w:r>
              <w:rPr>
                <w:color w:val="000000"/>
                <w:sz w:val="24"/>
                <w:highlight w:val="none"/>
              </w:rPr>
              <w:t>）</w:t>
            </w:r>
          </w:p>
          <w:p w14:paraId="12E4BAE5">
            <w:pPr>
              <w:adjustRightInd w:val="0"/>
              <w:snapToGrid w:val="0"/>
              <w:jc w:val="left"/>
              <w:rPr>
                <w:color w:val="000000"/>
                <w:sz w:val="24"/>
                <w:highlight w:val="none"/>
              </w:rPr>
            </w:pPr>
            <w:r>
              <w:rPr>
                <w:b/>
                <w:color w:val="000000"/>
                <w:sz w:val="24"/>
                <w:highlight w:val="none"/>
              </w:rPr>
              <w:t>□有偏离</w:t>
            </w:r>
            <w:r>
              <w:rPr>
                <w:color w:val="000000"/>
                <w:sz w:val="24"/>
                <w:highlight w:val="none"/>
              </w:rPr>
              <w:t>（</w:t>
            </w:r>
            <w:r>
              <w:rPr>
                <w:color w:val="000000"/>
                <w:sz w:val="24"/>
                <w:szCs w:val="21"/>
                <w:highlight w:val="none"/>
              </w:rPr>
              <w:t>如有偏离，</w:t>
            </w:r>
            <w:r>
              <w:rPr>
                <w:color w:val="000000"/>
                <w:sz w:val="24"/>
                <w:highlight w:val="none"/>
              </w:rPr>
              <w:t>则应在本表中对</w:t>
            </w:r>
            <w:r>
              <w:rPr>
                <w:rFonts w:hint="eastAsia"/>
                <w:color w:val="000000"/>
                <w:sz w:val="24"/>
                <w:highlight w:val="none"/>
              </w:rPr>
              <w:t>负</w:t>
            </w:r>
            <w:r>
              <w:rPr>
                <w:color w:val="000000"/>
                <w:sz w:val="24"/>
                <w:highlight w:val="none"/>
              </w:rPr>
              <w:t>偏离项逐一列明，否则</w:t>
            </w:r>
            <w:r>
              <w:rPr>
                <w:b/>
                <w:bCs/>
                <w:color w:val="000000"/>
                <w:sz w:val="24"/>
                <w:highlight w:val="none"/>
              </w:rPr>
              <w:t>响应无效</w:t>
            </w:r>
            <w:r>
              <w:rPr>
                <w:color w:val="000000"/>
                <w:sz w:val="24"/>
                <w:highlight w:val="none"/>
              </w:rPr>
              <w:t>；</w:t>
            </w:r>
            <w:r>
              <w:rPr>
                <w:sz w:val="24"/>
                <w:highlight w:val="none"/>
              </w:rPr>
              <w:t>对</w:t>
            </w:r>
            <w:r>
              <w:rPr>
                <w:rFonts w:hint="eastAsia"/>
                <w:sz w:val="24"/>
                <w:highlight w:val="none"/>
              </w:rPr>
              <w:t>框架协议</w:t>
            </w:r>
            <w:r>
              <w:rPr>
                <w:sz w:val="24"/>
                <w:highlight w:val="none"/>
              </w:rPr>
              <w:t>条款中的所有要求，除本表列明的偏离外，均视作供应商已对之理解和响应。</w:t>
            </w:r>
            <w:r>
              <w:rPr>
                <w:color w:val="000000"/>
                <w:sz w:val="24"/>
                <w:highlight w:val="none"/>
              </w:rPr>
              <w:t>）</w:t>
            </w:r>
          </w:p>
        </w:tc>
      </w:tr>
      <w:tr w14:paraId="68504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noWrap w:val="0"/>
            <w:vAlign w:val="center"/>
          </w:tcPr>
          <w:p w14:paraId="1D488C11">
            <w:pPr>
              <w:adjustRightInd w:val="0"/>
              <w:snapToGrid w:val="0"/>
              <w:jc w:val="center"/>
              <w:rPr>
                <w:color w:val="000000"/>
                <w:sz w:val="24"/>
                <w:highlight w:val="none"/>
              </w:rPr>
            </w:pPr>
          </w:p>
        </w:tc>
        <w:tc>
          <w:tcPr>
            <w:tcW w:w="1646" w:type="dxa"/>
            <w:noWrap w:val="0"/>
            <w:vAlign w:val="center"/>
          </w:tcPr>
          <w:p w14:paraId="18EAFC66">
            <w:pPr>
              <w:adjustRightInd w:val="0"/>
              <w:snapToGrid w:val="0"/>
              <w:jc w:val="center"/>
              <w:rPr>
                <w:color w:val="000000"/>
                <w:sz w:val="24"/>
                <w:highlight w:val="none"/>
              </w:rPr>
            </w:pPr>
          </w:p>
        </w:tc>
        <w:tc>
          <w:tcPr>
            <w:tcW w:w="1688" w:type="dxa"/>
            <w:noWrap w:val="0"/>
            <w:vAlign w:val="center"/>
          </w:tcPr>
          <w:p w14:paraId="03E243FC">
            <w:pPr>
              <w:adjustRightInd w:val="0"/>
              <w:snapToGrid w:val="0"/>
              <w:jc w:val="center"/>
              <w:rPr>
                <w:color w:val="000000"/>
                <w:sz w:val="24"/>
                <w:highlight w:val="none"/>
              </w:rPr>
            </w:pPr>
          </w:p>
        </w:tc>
        <w:tc>
          <w:tcPr>
            <w:tcW w:w="1688" w:type="dxa"/>
            <w:noWrap w:val="0"/>
            <w:vAlign w:val="center"/>
          </w:tcPr>
          <w:p w14:paraId="4069E63C">
            <w:pPr>
              <w:adjustRightInd w:val="0"/>
              <w:snapToGrid w:val="0"/>
              <w:jc w:val="center"/>
              <w:rPr>
                <w:color w:val="000000"/>
                <w:sz w:val="24"/>
                <w:highlight w:val="none"/>
              </w:rPr>
            </w:pPr>
          </w:p>
        </w:tc>
        <w:tc>
          <w:tcPr>
            <w:tcW w:w="1925" w:type="dxa"/>
            <w:noWrap w:val="0"/>
            <w:vAlign w:val="center"/>
          </w:tcPr>
          <w:p w14:paraId="5C6C01DD">
            <w:pPr>
              <w:adjustRightInd w:val="0"/>
              <w:snapToGrid w:val="0"/>
              <w:jc w:val="center"/>
              <w:rPr>
                <w:color w:val="000000"/>
                <w:sz w:val="24"/>
                <w:highlight w:val="none"/>
              </w:rPr>
            </w:pPr>
          </w:p>
        </w:tc>
        <w:tc>
          <w:tcPr>
            <w:tcW w:w="1045" w:type="dxa"/>
            <w:noWrap w:val="0"/>
            <w:vAlign w:val="center"/>
          </w:tcPr>
          <w:p w14:paraId="59A8BF4A">
            <w:pPr>
              <w:adjustRightInd w:val="0"/>
              <w:snapToGrid w:val="0"/>
              <w:jc w:val="center"/>
              <w:rPr>
                <w:color w:val="000000"/>
                <w:sz w:val="24"/>
                <w:highlight w:val="none"/>
              </w:rPr>
            </w:pPr>
          </w:p>
        </w:tc>
      </w:tr>
      <w:tr w14:paraId="7195A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noWrap w:val="0"/>
            <w:vAlign w:val="center"/>
          </w:tcPr>
          <w:p w14:paraId="4E991C01">
            <w:pPr>
              <w:adjustRightInd w:val="0"/>
              <w:snapToGrid w:val="0"/>
              <w:jc w:val="center"/>
              <w:rPr>
                <w:color w:val="000000"/>
                <w:sz w:val="24"/>
                <w:highlight w:val="none"/>
              </w:rPr>
            </w:pPr>
          </w:p>
        </w:tc>
        <w:tc>
          <w:tcPr>
            <w:tcW w:w="1646" w:type="dxa"/>
            <w:noWrap w:val="0"/>
            <w:vAlign w:val="center"/>
          </w:tcPr>
          <w:p w14:paraId="51C30A01">
            <w:pPr>
              <w:adjustRightInd w:val="0"/>
              <w:snapToGrid w:val="0"/>
              <w:jc w:val="center"/>
              <w:rPr>
                <w:color w:val="000000"/>
                <w:sz w:val="24"/>
                <w:highlight w:val="none"/>
              </w:rPr>
            </w:pPr>
          </w:p>
        </w:tc>
        <w:tc>
          <w:tcPr>
            <w:tcW w:w="1688" w:type="dxa"/>
            <w:noWrap w:val="0"/>
            <w:vAlign w:val="center"/>
          </w:tcPr>
          <w:p w14:paraId="2D7DBF17">
            <w:pPr>
              <w:adjustRightInd w:val="0"/>
              <w:snapToGrid w:val="0"/>
              <w:jc w:val="center"/>
              <w:rPr>
                <w:color w:val="000000"/>
                <w:sz w:val="24"/>
                <w:highlight w:val="none"/>
              </w:rPr>
            </w:pPr>
          </w:p>
        </w:tc>
        <w:tc>
          <w:tcPr>
            <w:tcW w:w="1688" w:type="dxa"/>
            <w:noWrap w:val="0"/>
            <w:vAlign w:val="center"/>
          </w:tcPr>
          <w:p w14:paraId="07D52396">
            <w:pPr>
              <w:adjustRightInd w:val="0"/>
              <w:snapToGrid w:val="0"/>
              <w:jc w:val="center"/>
              <w:rPr>
                <w:color w:val="000000"/>
                <w:sz w:val="24"/>
                <w:highlight w:val="none"/>
              </w:rPr>
            </w:pPr>
          </w:p>
        </w:tc>
        <w:tc>
          <w:tcPr>
            <w:tcW w:w="1925" w:type="dxa"/>
            <w:noWrap w:val="0"/>
            <w:vAlign w:val="center"/>
          </w:tcPr>
          <w:p w14:paraId="320E4E39">
            <w:pPr>
              <w:adjustRightInd w:val="0"/>
              <w:snapToGrid w:val="0"/>
              <w:jc w:val="center"/>
              <w:rPr>
                <w:color w:val="000000"/>
                <w:sz w:val="24"/>
                <w:highlight w:val="none"/>
              </w:rPr>
            </w:pPr>
          </w:p>
        </w:tc>
        <w:tc>
          <w:tcPr>
            <w:tcW w:w="1045" w:type="dxa"/>
            <w:noWrap w:val="0"/>
            <w:vAlign w:val="center"/>
          </w:tcPr>
          <w:p w14:paraId="69E3D54D">
            <w:pPr>
              <w:adjustRightInd w:val="0"/>
              <w:snapToGrid w:val="0"/>
              <w:jc w:val="center"/>
              <w:rPr>
                <w:color w:val="000000"/>
                <w:sz w:val="24"/>
                <w:highlight w:val="none"/>
              </w:rPr>
            </w:pPr>
          </w:p>
        </w:tc>
      </w:tr>
      <w:tr w14:paraId="24AC7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noWrap w:val="0"/>
            <w:vAlign w:val="center"/>
          </w:tcPr>
          <w:p w14:paraId="35F30727">
            <w:pPr>
              <w:adjustRightInd w:val="0"/>
              <w:snapToGrid w:val="0"/>
              <w:jc w:val="center"/>
              <w:rPr>
                <w:color w:val="000000"/>
                <w:sz w:val="24"/>
                <w:highlight w:val="none"/>
              </w:rPr>
            </w:pPr>
          </w:p>
        </w:tc>
        <w:tc>
          <w:tcPr>
            <w:tcW w:w="1646" w:type="dxa"/>
            <w:noWrap w:val="0"/>
            <w:vAlign w:val="center"/>
          </w:tcPr>
          <w:p w14:paraId="3DC79506">
            <w:pPr>
              <w:adjustRightInd w:val="0"/>
              <w:snapToGrid w:val="0"/>
              <w:jc w:val="center"/>
              <w:rPr>
                <w:color w:val="000000"/>
                <w:sz w:val="24"/>
                <w:highlight w:val="none"/>
              </w:rPr>
            </w:pPr>
          </w:p>
        </w:tc>
        <w:tc>
          <w:tcPr>
            <w:tcW w:w="1688" w:type="dxa"/>
            <w:noWrap w:val="0"/>
            <w:vAlign w:val="center"/>
          </w:tcPr>
          <w:p w14:paraId="79A87F08">
            <w:pPr>
              <w:adjustRightInd w:val="0"/>
              <w:snapToGrid w:val="0"/>
              <w:jc w:val="center"/>
              <w:rPr>
                <w:color w:val="000000"/>
                <w:sz w:val="24"/>
                <w:highlight w:val="none"/>
              </w:rPr>
            </w:pPr>
          </w:p>
        </w:tc>
        <w:tc>
          <w:tcPr>
            <w:tcW w:w="1688" w:type="dxa"/>
            <w:noWrap w:val="0"/>
            <w:vAlign w:val="center"/>
          </w:tcPr>
          <w:p w14:paraId="6BB293AE">
            <w:pPr>
              <w:adjustRightInd w:val="0"/>
              <w:snapToGrid w:val="0"/>
              <w:jc w:val="center"/>
              <w:rPr>
                <w:color w:val="000000"/>
                <w:sz w:val="24"/>
                <w:highlight w:val="none"/>
              </w:rPr>
            </w:pPr>
          </w:p>
        </w:tc>
        <w:tc>
          <w:tcPr>
            <w:tcW w:w="1925" w:type="dxa"/>
            <w:noWrap w:val="0"/>
            <w:vAlign w:val="center"/>
          </w:tcPr>
          <w:p w14:paraId="1F74AB46">
            <w:pPr>
              <w:adjustRightInd w:val="0"/>
              <w:snapToGrid w:val="0"/>
              <w:jc w:val="center"/>
              <w:rPr>
                <w:color w:val="000000"/>
                <w:sz w:val="24"/>
                <w:highlight w:val="none"/>
              </w:rPr>
            </w:pPr>
          </w:p>
        </w:tc>
        <w:tc>
          <w:tcPr>
            <w:tcW w:w="1045" w:type="dxa"/>
            <w:noWrap w:val="0"/>
            <w:vAlign w:val="center"/>
          </w:tcPr>
          <w:p w14:paraId="1C89FB33">
            <w:pPr>
              <w:adjustRightInd w:val="0"/>
              <w:snapToGrid w:val="0"/>
              <w:jc w:val="center"/>
              <w:rPr>
                <w:color w:val="000000"/>
                <w:sz w:val="24"/>
                <w:highlight w:val="none"/>
              </w:rPr>
            </w:pPr>
          </w:p>
        </w:tc>
      </w:tr>
      <w:tr w14:paraId="51660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noWrap w:val="0"/>
            <w:vAlign w:val="center"/>
          </w:tcPr>
          <w:p w14:paraId="68325989">
            <w:pPr>
              <w:adjustRightInd w:val="0"/>
              <w:snapToGrid w:val="0"/>
              <w:jc w:val="center"/>
              <w:rPr>
                <w:color w:val="000000"/>
                <w:sz w:val="24"/>
                <w:highlight w:val="none"/>
              </w:rPr>
            </w:pPr>
          </w:p>
        </w:tc>
        <w:tc>
          <w:tcPr>
            <w:tcW w:w="1646" w:type="dxa"/>
            <w:noWrap w:val="0"/>
            <w:vAlign w:val="center"/>
          </w:tcPr>
          <w:p w14:paraId="01E9265F">
            <w:pPr>
              <w:adjustRightInd w:val="0"/>
              <w:snapToGrid w:val="0"/>
              <w:jc w:val="center"/>
              <w:rPr>
                <w:color w:val="000000"/>
                <w:sz w:val="24"/>
                <w:highlight w:val="none"/>
              </w:rPr>
            </w:pPr>
          </w:p>
        </w:tc>
        <w:tc>
          <w:tcPr>
            <w:tcW w:w="1688" w:type="dxa"/>
            <w:noWrap w:val="0"/>
            <w:vAlign w:val="center"/>
          </w:tcPr>
          <w:p w14:paraId="7378108E">
            <w:pPr>
              <w:adjustRightInd w:val="0"/>
              <w:snapToGrid w:val="0"/>
              <w:jc w:val="center"/>
              <w:rPr>
                <w:color w:val="000000"/>
                <w:sz w:val="24"/>
                <w:highlight w:val="none"/>
              </w:rPr>
            </w:pPr>
          </w:p>
        </w:tc>
        <w:tc>
          <w:tcPr>
            <w:tcW w:w="1688" w:type="dxa"/>
            <w:noWrap w:val="0"/>
            <w:vAlign w:val="center"/>
          </w:tcPr>
          <w:p w14:paraId="4D67096F">
            <w:pPr>
              <w:adjustRightInd w:val="0"/>
              <w:snapToGrid w:val="0"/>
              <w:jc w:val="center"/>
              <w:rPr>
                <w:color w:val="000000"/>
                <w:sz w:val="24"/>
                <w:highlight w:val="none"/>
              </w:rPr>
            </w:pPr>
          </w:p>
        </w:tc>
        <w:tc>
          <w:tcPr>
            <w:tcW w:w="1925" w:type="dxa"/>
            <w:noWrap w:val="0"/>
            <w:vAlign w:val="center"/>
          </w:tcPr>
          <w:p w14:paraId="238CFC18">
            <w:pPr>
              <w:adjustRightInd w:val="0"/>
              <w:snapToGrid w:val="0"/>
              <w:jc w:val="center"/>
              <w:rPr>
                <w:color w:val="000000"/>
                <w:sz w:val="24"/>
                <w:highlight w:val="none"/>
              </w:rPr>
            </w:pPr>
          </w:p>
        </w:tc>
        <w:tc>
          <w:tcPr>
            <w:tcW w:w="1045" w:type="dxa"/>
            <w:noWrap w:val="0"/>
            <w:vAlign w:val="center"/>
          </w:tcPr>
          <w:p w14:paraId="236B149F">
            <w:pPr>
              <w:adjustRightInd w:val="0"/>
              <w:snapToGrid w:val="0"/>
              <w:jc w:val="center"/>
              <w:rPr>
                <w:color w:val="000000"/>
                <w:sz w:val="24"/>
                <w:highlight w:val="none"/>
              </w:rPr>
            </w:pPr>
          </w:p>
        </w:tc>
      </w:tr>
      <w:bookmarkEnd w:id="888"/>
    </w:tbl>
    <w:p w14:paraId="5B882320">
      <w:pPr>
        <w:tabs>
          <w:tab w:val="left" w:pos="1800"/>
          <w:tab w:val="left" w:pos="5580"/>
        </w:tabs>
        <w:jc w:val="left"/>
        <w:rPr>
          <w:color w:val="000000"/>
          <w:sz w:val="24"/>
          <w:highlight w:val="none"/>
        </w:rPr>
      </w:pPr>
    </w:p>
    <w:p w14:paraId="4F576DDE">
      <w:pPr>
        <w:tabs>
          <w:tab w:val="left" w:pos="1800"/>
          <w:tab w:val="left" w:pos="5580"/>
        </w:tabs>
        <w:jc w:val="left"/>
        <w:rPr>
          <w:color w:val="000000"/>
          <w:sz w:val="24"/>
          <w:highlight w:val="none"/>
        </w:rPr>
      </w:pPr>
      <w:r>
        <w:rPr>
          <w:color w:val="000000"/>
          <w:sz w:val="24"/>
          <w:highlight w:val="none"/>
        </w:rPr>
        <w:t>注：</w:t>
      </w:r>
      <w:r>
        <w:rPr>
          <w:sz w:val="24"/>
          <w:highlight w:val="none"/>
        </w:rPr>
        <w:t>“偏离情况”列应</w:t>
      </w:r>
      <w:r>
        <w:rPr>
          <w:color w:val="000000"/>
          <w:sz w:val="24"/>
          <w:highlight w:val="none"/>
        </w:rPr>
        <w:t>据实</w:t>
      </w:r>
      <w:r>
        <w:rPr>
          <w:sz w:val="24"/>
          <w:highlight w:val="none"/>
        </w:rPr>
        <w:t>填写“正偏离”或“负偏离”。</w:t>
      </w:r>
    </w:p>
    <w:p w14:paraId="493D2F80">
      <w:pPr>
        <w:spacing w:line="360" w:lineRule="auto"/>
        <w:rPr>
          <w:color w:val="000000"/>
          <w:sz w:val="24"/>
          <w:szCs w:val="20"/>
          <w:highlight w:val="none"/>
        </w:rPr>
      </w:pPr>
    </w:p>
    <w:p w14:paraId="107ACA8E">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2A4DD641">
      <w:pPr>
        <w:autoSpaceDE w:val="0"/>
        <w:autoSpaceDN w:val="0"/>
        <w:adjustRightInd w:val="0"/>
        <w:snapToGrid w:val="0"/>
        <w:spacing w:before="25" w:after="25" w:line="360" w:lineRule="auto"/>
        <w:rPr>
          <w:color w:val="000000"/>
          <w:sz w:val="24"/>
          <w:highlight w:val="none"/>
          <w:lang w:val="zh-CN"/>
        </w:rPr>
      </w:pPr>
      <w:r>
        <w:rPr>
          <w:color w:val="000000"/>
          <w:sz w:val="24"/>
          <w:highlight w:val="none"/>
        </w:rPr>
        <w:t>供应商名称（加盖公章）</w:t>
      </w:r>
      <w:r>
        <w:rPr>
          <w:color w:val="000000"/>
          <w:sz w:val="24"/>
          <w:highlight w:val="none"/>
          <w:lang w:val="zh-CN"/>
        </w:rPr>
        <w:t>：    ____________</w:t>
      </w:r>
    </w:p>
    <w:p w14:paraId="1DBA56A0">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755AE129">
      <w:pPr>
        <w:numPr>
          <w:ilvl w:val="0"/>
          <w:numId w:val="17"/>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bookmarkEnd w:id="875"/>
      <w:bookmarkEnd w:id="876"/>
      <w:bookmarkEnd w:id="877"/>
      <w:bookmarkEnd w:id="878"/>
      <w:bookmarkEnd w:id="879"/>
      <w:bookmarkEnd w:id="880"/>
      <w:bookmarkEnd w:id="881"/>
      <w:bookmarkEnd w:id="882"/>
      <w:bookmarkEnd w:id="883"/>
      <w:bookmarkEnd w:id="884"/>
      <w:bookmarkEnd w:id="885"/>
      <w:bookmarkEnd w:id="886"/>
      <w:bookmarkEnd w:id="887"/>
      <w:r>
        <w:rPr>
          <w:color w:val="000000"/>
          <w:sz w:val="24"/>
          <w:szCs w:val="20"/>
          <w:highlight w:val="none"/>
        </w:rPr>
        <w:t>采购需求偏离表（实质性格式）</w:t>
      </w:r>
    </w:p>
    <w:p w14:paraId="3D4D061D">
      <w:pPr>
        <w:autoSpaceDE w:val="0"/>
        <w:autoSpaceDN w:val="0"/>
        <w:adjustRightInd w:val="0"/>
        <w:spacing w:line="360" w:lineRule="auto"/>
        <w:jc w:val="center"/>
        <w:rPr>
          <w:b/>
          <w:color w:val="000000"/>
          <w:sz w:val="36"/>
          <w:szCs w:val="36"/>
          <w:highlight w:val="none"/>
        </w:rPr>
      </w:pPr>
      <w:r>
        <w:rPr>
          <w:b/>
          <w:color w:val="000000"/>
          <w:sz w:val="36"/>
          <w:szCs w:val="36"/>
          <w:highlight w:val="none"/>
        </w:rPr>
        <w:t>采购需求偏离表</w:t>
      </w:r>
    </w:p>
    <w:p w14:paraId="570CABFC">
      <w:pPr>
        <w:tabs>
          <w:tab w:val="left" w:pos="1800"/>
          <w:tab w:val="left" w:pos="5580"/>
        </w:tabs>
        <w:spacing w:line="360" w:lineRule="auto"/>
        <w:ind w:firstLine="360" w:firstLineChars="150"/>
        <w:jc w:val="left"/>
        <w:rPr>
          <w:color w:val="000000"/>
          <w:sz w:val="24"/>
          <w:highlight w:val="none"/>
          <w:u w:val="single"/>
        </w:rPr>
      </w:pPr>
      <w:r>
        <w:rPr>
          <w:color w:val="000000"/>
          <w:sz w:val="24"/>
          <w:highlight w:val="none"/>
        </w:rPr>
        <w:t>项目编号：_____________________     项目名称：____________</w:t>
      </w:r>
    </w:p>
    <w:tbl>
      <w:tblPr>
        <w:tblStyle w:val="42"/>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6460A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noWrap w:val="0"/>
            <w:vAlign w:val="center"/>
          </w:tcPr>
          <w:p w14:paraId="405FA60E">
            <w:pPr>
              <w:adjustRightInd w:val="0"/>
              <w:snapToGrid w:val="0"/>
              <w:jc w:val="center"/>
              <w:rPr>
                <w:color w:val="000000"/>
                <w:sz w:val="24"/>
                <w:highlight w:val="none"/>
              </w:rPr>
            </w:pPr>
            <w:r>
              <w:rPr>
                <w:color w:val="000000"/>
                <w:sz w:val="24"/>
                <w:highlight w:val="none"/>
              </w:rPr>
              <w:t>序号</w:t>
            </w:r>
          </w:p>
        </w:tc>
        <w:tc>
          <w:tcPr>
            <w:tcW w:w="1482" w:type="dxa"/>
            <w:noWrap w:val="0"/>
            <w:vAlign w:val="center"/>
          </w:tcPr>
          <w:p w14:paraId="7CC92100">
            <w:pPr>
              <w:adjustRightInd w:val="0"/>
              <w:snapToGrid w:val="0"/>
              <w:jc w:val="center"/>
              <w:rPr>
                <w:color w:val="000000"/>
                <w:sz w:val="24"/>
                <w:highlight w:val="none"/>
              </w:rPr>
            </w:pPr>
            <w:r>
              <w:rPr>
                <w:color w:val="000000"/>
                <w:sz w:val="24"/>
                <w:highlight w:val="none"/>
              </w:rPr>
              <w:t>征集文件条目号</w:t>
            </w:r>
          </w:p>
        </w:tc>
        <w:tc>
          <w:tcPr>
            <w:tcW w:w="2384" w:type="dxa"/>
            <w:noWrap w:val="0"/>
            <w:vAlign w:val="center"/>
          </w:tcPr>
          <w:p w14:paraId="0BA08B55">
            <w:pPr>
              <w:adjustRightInd w:val="0"/>
              <w:snapToGrid w:val="0"/>
              <w:jc w:val="center"/>
              <w:rPr>
                <w:color w:val="000000"/>
                <w:sz w:val="24"/>
                <w:highlight w:val="none"/>
              </w:rPr>
            </w:pPr>
            <w:r>
              <w:rPr>
                <w:color w:val="000000"/>
                <w:sz w:val="24"/>
                <w:highlight w:val="none"/>
              </w:rPr>
              <w:t>征集文件要求</w:t>
            </w:r>
          </w:p>
        </w:tc>
        <w:tc>
          <w:tcPr>
            <w:tcW w:w="2126" w:type="dxa"/>
            <w:noWrap w:val="0"/>
            <w:vAlign w:val="center"/>
          </w:tcPr>
          <w:p w14:paraId="79426A30">
            <w:pPr>
              <w:adjustRightInd w:val="0"/>
              <w:snapToGrid w:val="0"/>
              <w:jc w:val="center"/>
              <w:rPr>
                <w:color w:val="000000"/>
                <w:sz w:val="24"/>
                <w:highlight w:val="none"/>
              </w:rPr>
            </w:pPr>
            <w:r>
              <w:rPr>
                <w:color w:val="000000"/>
                <w:sz w:val="24"/>
                <w:highlight w:val="none"/>
              </w:rPr>
              <w:t>响应内容</w:t>
            </w:r>
          </w:p>
        </w:tc>
        <w:tc>
          <w:tcPr>
            <w:tcW w:w="1875" w:type="dxa"/>
            <w:noWrap w:val="0"/>
            <w:vAlign w:val="center"/>
          </w:tcPr>
          <w:p w14:paraId="22D935DF">
            <w:pPr>
              <w:adjustRightInd w:val="0"/>
              <w:snapToGrid w:val="0"/>
              <w:jc w:val="center"/>
              <w:rPr>
                <w:color w:val="000000"/>
                <w:sz w:val="24"/>
                <w:highlight w:val="none"/>
              </w:rPr>
            </w:pPr>
            <w:r>
              <w:rPr>
                <w:color w:val="000000"/>
                <w:sz w:val="24"/>
                <w:highlight w:val="none"/>
              </w:rPr>
              <w:t>偏离情况</w:t>
            </w:r>
          </w:p>
        </w:tc>
        <w:tc>
          <w:tcPr>
            <w:tcW w:w="1009" w:type="dxa"/>
            <w:noWrap w:val="0"/>
            <w:vAlign w:val="center"/>
          </w:tcPr>
          <w:p w14:paraId="3616A083">
            <w:pPr>
              <w:adjustRightInd w:val="0"/>
              <w:snapToGrid w:val="0"/>
              <w:jc w:val="center"/>
              <w:rPr>
                <w:color w:val="000000"/>
                <w:sz w:val="24"/>
                <w:highlight w:val="none"/>
              </w:rPr>
            </w:pPr>
            <w:r>
              <w:rPr>
                <w:color w:val="000000"/>
                <w:sz w:val="24"/>
                <w:highlight w:val="none"/>
              </w:rPr>
              <w:t>说明</w:t>
            </w:r>
          </w:p>
        </w:tc>
      </w:tr>
      <w:tr w14:paraId="210B8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56AFBF2F">
            <w:pPr>
              <w:adjustRightInd w:val="0"/>
              <w:snapToGrid w:val="0"/>
              <w:jc w:val="center"/>
              <w:rPr>
                <w:color w:val="000000"/>
                <w:sz w:val="24"/>
                <w:highlight w:val="none"/>
              </w:rPr>
            </w:pPr>
          </w:p>
        </w:tc>
        <w:tc>
          <w:tcPr>
            <w:tcW w:w="1482" w:type="dxa"/>
            <w:noWrap w:val="0"/>
            <w:vAlign w:val="center"/>
          </w:tcPr>
          <w:p w14:paraId="65AA1F2C">
            <w:pPr>
              <w:adjustRightInd w:val="0"/>
              <w:snapToGrid w:val="0"/>
              <w:jc w:val="center"/>
              <w:rPr>
                <w:color w:val="000000"/>
                <w:sz w:val="24"/>
                <w:highlight w:val="none"/>
              </w:rPr>
            </w:pPr>
          </w:p>
        </w:tc>
        <w:tc>
          <w:tcPr>
            <w:tcW w:w="2384" w:type="dxa"/>
            <w:noWrap w:val="0"/>
            <w:vAlign w:val="center"/>
          </w:tcPr>
          <w:p w14:paraId="279DAEE9">
            <w:pPr>
              <w:adjustRightInd w:val="0"/>
              <w:snapToGrid w:val="0"/>
              <w:jc w:val="center"/>
              <w:rPr>
                <w:color w:val="000000"/>
                <w:sz w:val="24"/>
                <w:highlight w:val="none"/>
              </w:rPr>
            </w:pPr>
          </w:p>
        </w:tc>
        <w:tc>
          <w:tcPr>
            <w:tcW w:w="2126" w:type="dxa"/>
            <w:noWrap w:val="0"/>
            <w:vAlign w:val="center"/>
          </w:tcPr>
          <w:p w14:paraId="20C31BA3">
            <w:pPr>
              <w:adjustRightInd w:val="0"/>
              <w:snapToGrid w:val="0"/>
              <w:jc w:val="center"/>
              <w:rPr>
                <w:color w:val="000000"/>
                <w:sz w:val="24"/>
                <w:highlight w:val="none"/>
              </w:rPr>
            </w:pPr>
          </w:p>
        </w:tc>
        <w:tc>
          <w:tcPr>
            <w:tcW w:w="1875" w:type="dxa"/>
            <w:noWrap w:val="0"/>
            <w:vAlign w:val="center"/>
          </w:tcPr>
          <w:p w14:paraId="14C29AAA">
            <w:pPr>
              <w:adjustRightInd w:val="0"/>
              <w:snapToGrid w:val="0"/>
              <w:jc w:val="center"/>
              <w:rPr>
                <w:color w:val="000000"/>
                <w:sz w:val="24"/>
                <w:highlight w:val="none"/>
              </w:rPr>
            </w:pPr>
          </w:p>
        </w:tc>
        <w:tc>
          <w:tcPr>
            <w:tcW w:w="1009" w:type="dxa"/>
            <w:noWrap w:val="0"/>
            <w:vAlign w:val="center"/>
          </w:tcPr>
          <w:p w14:paraId="61672D47">
            <w:pPr>
              <w:adjustRightInd w:val="0"/>
              <w:snapToGrid w:val="0"/>
              <w:jc w:val="center"/>
              <w:rPr>
                <w:color w:val="000000"/>
                <w:sz w:val="24"/>
                <w:highlight w:val="none"/>
              </w:rPr>
            </w:pPr>
          </w:p>
        </w:tc>
      </w:tr>
      <w:tr w14:paraId="5B6E2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72DC87C4">
            <w:pPr>
              <w:adjustRightInd w:val="0"/>
              <w:snapToGrid w:val="0"/>
              <w:jc w:val="center"/>
              <w:rPr>
                <w:color w:val="000000"/>
                <w:sz w:val="24"/>
                <w:highlight w:val="none"/>
              </w:rPr>
            </w:pPr>
          </w:p>
        </w:tc>
        <w:tc>
          <w:tcPr>
            <w:tcW w:w="1482" w:type="dxa"/>
            <w:noWrap w:val="0"/>
            <w:vAlign w:val="center"/>
          </w:tcPr>
          <w:p w14:paraId="5365A068">
            <w:pPr>
              <w:adjustRightInd w:val="0"/>
              <w:snapToGrid w:val="0"/>
              <w:jc w:val="center"/>
              <w:rPr>
                <w:color w:val="000000"/>
                <w:sz w:val="24"/>
                <w:highlight w:val="none"/>
              </w:rPr>
            </w:pPr>
          </w:p>
        </w:tc>
        <w:tc>
          <w:tcPr>
            <w:tcW w:w="2384" w:type="dxa"/>
            <w:noWrap w:val="0"/>
            <w:vAlign w:val="center"/>
          </w:tcPr>
          <w:p w14:paraId="455943EF">
            <w:pPr>
              <w:adjustRightInd w:val="0"/>
              <w:snapToGrid w:val="0"/>
              <w:jc w:val="center"/>
              <w:rPr>
                <w:color w:val="000000"/>
                <w:sz w:val="24"/>
                <w:highlight w:val="none"/>
              </w:rPr>
            </w:pPr>
          </w:p>
        </w:tc>
        <w:tc>
          <w:tcPr>
            <w:tcW w:w="2126" w:type="dxa"/>
            <w:noWrap w:val="0"/>
            <w:vAlign w:val="center"/>
          </w:tcPr>
          <w:p w14:paraId="3B88BA6C">
            <w:pPr>
              <w:adjustRightInd w:val="0"/>
              <w:snapToGrid w:val="0"/>
              <w:jc w:val="center"/>
              <w:rPr>
                <w:color w:val="000000"/>
                <w:sz w:val="24"/>
                <w:highlight w:val="none"/>
              </w:rPr>
            </w:pPr>
          </w:p>
        </w:tc>
        <w:tc>
          <w:tcPr>
            <w:tcW w:w="1875" w:type="dxa"/>
            <w:noWrap w:val="0"/>
            <w:vAlign w:val="center"/>
          </w:tcPr>
          <w:p w14:paraId="50ABFF98">
            <w:pPr>
              <w:adjustRightInd w:val="0"/>
              <w:snapToGrid w:val="0"/>
              <w:jc w:val="center"/>
              <w:rPr>
                <w:color w:val="000000"/>
                <w:sz w:val="24"/>
                <w:highlight w:val="none"/>
              </w:rPr>
            </w:pPr>
          </w:p>
        </w:tc>
        <w:tc>
          <w:tcPr>
            <w:tcW w:w="1009" w:type="dxa"/>
            <w:noWrap w:val="0"/>
            <w:vAlign w:val="center"/>
          </w:tcPr>
          <w:p w14:paraId="413F6121">
            <w:pPr>
              <w:adjustRightInd w:val="0"/>
              <w:snapToGrid w:val="0"/>
              <w:jc w:val="center"/>
              <w:rPr>
                <w:color w:val="000000"/>
                <w:sz w:val="24"/>
                <w:highlight w:val="none"/>
              </w:rPr>
            </w:pPr>
          </w:p>
        </w:tc>
      </w:tr>
      <w:tr w14:paraId="60925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5626DD95">
            <w:pPr>
              <w:adjustRightInd w:val="0"/>
              <w:snapToGrid w:val="0"/>
              <w:jc w:val="center"/>
              <w:rPr>
                <w:color w:val="000000"/>
                <w:sz w:val="24"/>
                <w:highlight w:val="none"/>
              </w:rPr>
            </w:pPr>
          </w:p>
        </w:tc>
        <w:tc>
          <w:tcPr>
            <w:tcW w:w="1482" w:type="dxa"/>
            <w:noWrap w:val="0"/>
            <w:vAlign w:val="center"/>
          </w:tcPr>
          <w:p w14:paraId="29E4B9F7">
            <w:pPr>
              <w:adjustRightInd w:val="0"/>
              <w:snapToGrid w:val="0"/>
              <w:jc w:val="center"/>
              <w:rPr>
                <w:color w:val="000000"/>
                <w:sz w:val="24"/>
                <w:highlight w:val="none"/>
              </w:rPr>
            </w:pPr>
          </w:p>
        </w:tc>
        <w:tc>
          <w:tcPr>
            <w:tcW w:w="2384" w:type="dxa"/>
            <w:noWrap w:val="0"/>
            <w:vAlign w:val="center"/>
          </w:tcPr>
          <w:p w14:paraId="2C1DCE7B">
            <w:pPr>
              <w:adjustRightInd w:val="0"/>
              <w:snapToGrid w:val="0"/>
              <w:jc w:val="center"/>
              <w:rPr>
                <w:color w:val="000000"/>
                <w:sz w:val="24"/>
                <w:highlight w:val="none"/>
              </w:rPr>
            </w:pPr>
          </w:p>
        </w:tc>
        <w:tc>
          <w:tcPr>
            <w:tcW w:w="2126" w:type="dxa"/>
            <w:noWrap w:val="0"/>
            <w:vAlign w:val="center"/>
          </w:tcPr>
          <w:p w14:paraId="4E583007">
            <w:pPr>
              <w:adjustRightInd w:val="0"/>
              <w:snapToGrid w:val="0"/>
              <w:jc w:val="center"/>
              <w:rPr>
                <w:color w:val="000000"/>
                <w:sz w:val="24"/>
                <w:highlight w:val="none"/>
              </w:rPr>
            </w:pPr>
          </w:p>
        </w:tc>
        <w:tc>
          <w:tcPr>
            <w:tcW w:w="1875" w:type="dxa"/>
            <w:noWrap w:val="0"/>
            <w:vAlign w:val="center"/>
          </w:tcPr>
          <w:p w14:paraId="62B149A7">
            <w:pPr>
              <w:adjustRightInd w:val="0"/>
              <w:snapToGrid w:val="0"/>
              <w:jc w:val="center"/>
              <w:rPr>
                <w:color w:val="000000"/>
                <w:sz w:val="24"/>
                <w:highlight w:val="none"/>
              </w:rPr>
            </w:pPr>
          </w:p>
        </w:tc>
        <w:tc>
          <w:tcPr>
            <w:tcW w:w="1009" w:type="dxa"/>
            <w:noWrap w:val="0"/>
            <w:vAlign w:val="center"/>
          </w:tcPr>
          <w:p w14:paraId="711F9E70">
            <w:pPr>
              <w:adjustRightInd w:val="0"/>
              <w:snapToGrid w:val="0"/>
              <w:jc w:val="center"/>
              <w:rPr>
                <w:color w:val="000000"/>
                <w:sz w:val="24"/>
                <w:highlight w:val="none"/>
              </w:rPr>
            </w:pPr>
          </w:p>
        </w:tc>
      </w:tr>
      <w:tr w14:paraId="1B797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26D3696D">
            <w:pPr>
              <w:adjustRightInd w:val="0"/>
              <w:snapToGrid w:val="0"/>
              <w:jc w:val="center"/>
              <w:rPr>
                <w:color w:val="000000"/>
                <w:sz w:val="24"/>
                <w:highlight w:val="none"/>
              </w:rPr>
            </w:pPr>
          </w:p>
        </w:tc>
        <w:tc>
          <w:tcPr>
            <w:tcW w:w="1482" w:type="dxa"/>
            <w:noWrap w:val="0"/>
            <w:vAlign w:val="center"/>
          </w:tcPr>
          <w:p w14:paraId="728A1825">
            <w:pPr>
              <w:adjustRightInd w:val="0"/>
              <w:snapToGrid w:val="0"/>
              <w:jc w:val="center"/>
              <w:rPr>
                <w:color w:val="000000"/>
                <w:sz w:val="24"/>
                <w:highlight w:val="none"/>
              </w:rPr>
            </w:pPr>
          </w:p>
        </w:tc>
        <w:tc>
          <w:tcPr>
            <w:tcW w:w="2384" w:type="dxa"/>
            <w:noWrap w:val="0"/>
            <w:vAlign w:val="center"/>
          </w:tcPr>
          <w:p w14:paraId="38EE6B71">
            <w:pPr>
              <w:adjustRightInd w:val="0"/>
              <w:snapToGrid w:val="0"/>
              <w:jc w:val="center"/>
              <w:rPr>
                <w:color w:val="000000"/>
                <w:sz w:val="24"/>
                <w:highlight w:val="none"/>
              </w:rPr>
            </w:pPr>
          </w:p>
        </w:tc>
        <w:tc>
          <w:tcPr>
            <w:tcW w:w="2126" w:type="dxa"/>
            <w:noWrap w:val="0"/>
            <w:vAlign w:val="center"/>
          </w:tcPr>
          <w:p w14:paraId="2EB901E6">
            <w:pPr>
              <w:adjustRightInd w:val="0"/>
              <w:snapToGrid w:val="0"/>
              <w:jc w:val="center"/>
              <w:rPr>
                <w:color w:val="000000"/>
                <w:sz w:val="24"/>
                <w:highlight w:val="none"/>
              </w:rPr>
            </w:pPr>
          </w:p>
        </w:tc>
        <w:tc>
          <w:tcPr>
            <w:tcW w:w="1875" w:type="dxa"/>
            <w:noWrap w:val="0"/>
            <w:vAlign w:val="center"/>
          </w:tcPr>
          <w:p w14:paraId="2C4B9CA6">
            <w:pPr>
              <w:adjustRightInd w:val="0"/>
              <w:snapToGrid w:val="0"/>
              <w:jc w:val="center"/>
              <w:rPr>
                <w:color w:val="000000"/>
                <w:sz w:val="24"/>
                <w:highlight w:val="none"/>
              </w:rPr>
            </w:pPr>
          </w:p>
        </w:tc>
        <w:tc>
          <w:tcPr>
            <w:tcW w:w="1009" w:type="dxa"/>
            <w:noWrap w:val="0"/>
            <w:vAlign w:val="center"/>
          </w:tcPr>
          <w:p w14:paraId="4198D1B6">
            <w:pPr>
              <w:adjustRightInd w:val="0"/>
              <w:snapToGrid w:val="0"/>
              <w:jc w:val="center"/>
              <w:rPr>
                <w:color w:val="000000"/>
                <w:sz w:val="24"/>
                <w:highlight w:val="none"/>
              </w:rPr>
            </w:pPr>
          </w:p>
        </w:tc>
      </w:tr>
      <w:tr w14:paraId="4FE96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463D4007">
            <w:pPr>
              <w:adjustRightInd w:val="0"/>
              <w:snapToGrid w:val="0"/>
              <w:jc w:val="center"/>
              <w:rPr>
                <w:color w:val="000000"/>
                <w:sz w:val="24"/>
                <w:highlight w:val="none"/>
              </w:rPr>
            </w:pPr>
          </w:p>
        </w:tc>
        <w:tc>
          <w:tcPr>
            <w:tcW w:w="1482" w:type="dxa"/>
            <w:noWrap w:val="0"/>
            <w:vAlign w:val="center"/>
          </w:tcPr>
          <w:p w14:paraId="2FDC0A9F">
            <w:pPr>
              <w:adjustRightInd w:val="0"/>
              <w:snapToGrid w:val="0"/>
              <w:jc w:val="center"/>
              <w:rPr>
                <w:color w:val="000000"/>
                <w:sz w:val="24"/>
                <w:highlight w:val="none"/>
              </w:rPr>
            </w:pPr>
          </w:p>
        </w:tc>
        <w:tc>
          <w:tcPr>
            <w:tcW w:w="2384" w:type="dxa"/>
            <w:noWrap w:val="0"/>
            <w:vAlign w:val="center"/>
          </w:tcPr>
          <w:p w14:paraId="6B44697D">
            <w:pPr>
              <w:adjustRightInd w:val="0"/>
              <w:snapToGrid w:val="0"/>
              <w:jc w:val="center"/>
              <w:rPr>
                <w:color w:val="000000"/>
                <w:sz w:val="24"/>
                <w:highlight w:val="none"/>
              </w:rPr>
            </w:pPr>
          </w:p>
        </w:tc>
        <w:tc>
          <w:tcPr>
            <w:tcW w:w="2126" w:type="dxa"/>
            <w:noWrap w:val="0"/>
            <w:vAlign w:val="center"/>
          </w:tcPr>
          <w:p w14:paraId="2F54CE51">
            <w:pPr>
              <w:adjustRightInd w:val="0"/>
              <w:snapToGrid w:val="0"/>
              <w:jc w:val="center"/>
              <w:rPr>
                <w:color w:val="000000"/>
                <w:sz w:val="24"/>
                <w:highlight w:val="none"/>
              </w:rPr>
            </w:pPr>
          </w:p>
        </w:tc>
        <w:tc>
          <w:tcPr>
            <w:tcW w:w="1875" w:type="dxa"/>
            <w:noWrap w:val="0"/>
            <w:vAlign w:val="center"/>
          </w:tcPr>
          <w:p w14:paraId="2E8A24F1">
            <w:pPr>
              <w:adjustRightInd w:val="0"/>
              <w:snapToGrid w:val="0"/>
              <w:jc w:val="center"/>
              <w:rPr>
                <w:color w:val="000000"/>
                <w:sz w:val="24"/>
                <w:highlight w:val="none"/>
              </w:rPr>
            </w:pPr>
          </w:p>
        </w:tc>
        <w:tc>
          <w:tcPr>
            <w:tcW w:w="1009" w:type="dxa"/>
            <w:noWrap w:val="0"/>
            <w:vAlign w:val="center"/>
          </w:tcPr>
          <w:p w14:paraId="67779C0A">
            <w:pPr>
              <w:adjustRightInd w:val="0"/>
              <w:snapToGrid w:val="0"/>
              <w:jc w:val="center"/>
              <w:rPr>
                <w:color w:val="000000"/>
                <w:sz w:val="24"/>
                <w:highlight w:val="none"/>
              </w:rPr>
            </w:pPr>
          </w:p>
        </w:tc>
      </w:tr>
      <w:tr w14:paraId="4A3F3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2ABB2C5C">
            <w:pPr>
              <w:adjustRightInd w:val="0"/>
              <w:snapToGrid w:val="0"/>
              <w:jc w:val="center"/>
              <w:rPr>
                <w:color w:val="000000"/>
                <w:sz w:val="24"/>
                <w:highlight w:val="none"/>
              </w:rPr>
            </w:pPr>
          </w:p>
        </w:tc>
        <w:tc>
          <w:tcPr>
            <w:tcW w:w="1482" w:type="dxa"/>
            <w:noWrap w:val="0"/>
            <w:vAlign w:val="center"/>
          </w:tcPr>
          <w:p w14:paraId="3FA28FB2">
            <w:pPr>
              <w:adjustRightInd w:val="0"/>
              <w:snapToGrid w:val="0"/>
              <w:jc w:val="center"/>
              <w:rPr>
                <w:color w:val="000000"/>
                <w:sz w:val="24"/>
                <w:highlight w:val="none"/>
              </w:rPr>
            </w:pPr>
          </w:p>
        </w:tc>
        <w:tc>
          <w:tcPr>
            <w:tcW w:w="2384" w:type="dxa"/>
            <w:noWrap w:val="0"/>
            <w:vAlign w:val="center"/>
          </w:tcPr>
          <w:p w14:paraId="752A484D">
            <w:pPr>
              <w:adjustRightInd w:val="0"/>
              <w:snapToGrid w:val="0"/>
              <w:jc w:val="center"/>
              <w:rPr>
                <w:color w:val="000000"/>
                <w:sz w:val="24"/>
                <w:highlight w:val="none"/>
              </w:rPr>
            </w:pPr>
          </w:p>
        </w:tc>
        <w:tc>
          <w:tcPr>
            <w:tcW w:w="2126" w:type="dxa"/>
            <w:noWrap w:val="0"/>
            <w:vAlign w:val="center"/>
          </w:tcPr>
          <w:p w14:paraId="63C7D0C2">
            <w:pPr>
              <w:adjustRightInd w:val="0"/>
              <w:snapToGrid w:val="0"/>
              <w:jc w:val="center"/>
              <w:rPr>
                <w:color w:val="000000"/>
                <w:sz w:val="24"/>
                <w:highlight w:val="none"/>
              </w:rPr>
            </w:pPr>
          </w:p>
        </w:tc>
        <w:tc>
          <w:tcPr>
            <w:tcW w:w="1875" w:type="dxa"/>
            <w:noWrap w:val="0"/>
            <w:vAlign w:val="center"/>
          </w:tcPr>
          <w:p w14:paraId="25A716C3">
            <w:pPr>
              <w:adjustRightInd w:val="0"/>
              <w:snapToGrid w:val="0"/>
              <w:jc w:val="center"/>
              <w:rPr>
                <w:color w:val="000000"/>
                <w:sz w:val="24"/>
                <w:highlight w:val="none"/>
              </w:rPr>
            </w:pPr>
          </w:p>
        </w:tc>
        <w:tc>
          <w:tcPr>
            <w:tcW w:w="1009" w:type="dxa"/>
            <w:noWrap w:val="0"/>
            <w:vAlign w:val="center"/>
          </w:tcPr>
          <w:p w14:paraId="10BC223C">
            <w:pPr>
              <w:adjustRightInd w:val="0"/>
              <w:snapToGrid w:val="0"/>
              <w:jc w:val="center"/>
              <w:rPr>
                <w:color w:val="000000"/>
                <w:sz w:val="24"/>
                <w:highlight w:val="none"/>
              </w:rPr>
            </w:pPr>
          </w:p>
        </w:tc>
      </w:tr>
    </w:tbl>
    <w:p w14:paraId="1C01FEEA">
      <w:pPr>
        <w:tabs>
          <w:tab w:val="left" w:pos="1800"/>
          <w:tab w:val="left" w:pos="5580"/>
        </w:tabs>
        <w:spacing w:line="360" w:lineRule="auto"/>
        <w:ind w:firstLine="360" w:firstLineChars="150"/>
        <w:jc w:val="left"/>
        <w:rPr>
          <w:color w:val="000000"/>
          <w:sz w:val="24"/>
          <w:highlight w:val="none"/>
          <w:u w:val="single"/>
        </w:rPr>
      </w:pPr>
    </w:p>
    <w:p w14:paraId="46BA0A21">
      <w:pPr>
        <w:tabs>
          <w:tab w:val="left" w:pos="1800"/>
          <w:tab w:val="left" w:pos="5580"/>
        </w:tabs>
        <w:spacing w:line="360" w:lineRule="auto"/>
        <w:ind w:firstLine="360" w:firstLineChars="150"/>
        <w:jc w:val="left"/>
        <w:rPr>
          <w:color w:val="000000"/>
          <w:sz w:val="24"/>
          <w:highlight w:val="none"/>
          <w:u w:val="single"/>
        </w:rPr>
      </w:pPr>
    </w:p>
    <w:p w14:paraId="3DEAD856">
      <w:pPr>
        <w:tabs>
          <w:tab w:val="left" w:pos="1800"/>
          <w:tab w:val="left" w:pos="5580"/>
        </w:tabs>
        <w:jc w:val="left"/>
        <w:rPr>
          <w:color w:val="000000"/>
          <w:sz w:val="24"/>
          <w:highlight w:val="none"/>
        </w:rPr>
      </w:pPr>
      <w:r>
        <w:rPr>
          <w:color w:val="000000"/>
          <w:sz w:val="24"/>
          <w:highlight w:val="none"/>
        </w:rPr>
        <w:t>注：</w:t>
      </w:r>
    </w:p>
    <w:p w14:paraId="3F109AD7">
      <w:pPr>
        <w:tabs>
          <w:tab w:val="left" w:pos="1800"/>
          <w:tab w:val="left" w:pos="5580"/>
        </w:tabs>
        <w:jc w:val="left"/>
        <w:rPr>
          <w:sz w:val="24"/>
          <w:highlight w:val="none"/>
        </w:rPr>
      </w:pPr>
      <w:r>
        <w:rPr>
          <w:color w:val="000000"/>
          <w:sz w:val="24"/>
          <w:highlight w:val="none"/>
        </w:rPr>
        <w:t xml:space="preserve">1. </w:t>
      </w:r>
      <w:r>
        <w:rPr>
          <w:sz w:val="24"/>
          <w:highlight w:val="none"/>
        </w:rPr>
        <w:t>对征集文件中的所有商务、技术要求，除本表所列明的所有偏离外，均视作供应商已对之理解和响应。此表中若无任何文字说明，内容为空白的，</w:t>
      </w:r>
      <w:r>
        <w:rPr>
          <w:b/>
          <w:sz w:val="24"/>
          <w:highlight w:val="none"/>
        </w:rPr>
        <w:t>响应无效。</w:t>
      </w:r>
    </w:p>
    <w:p w14:paraId="42D68E7F">
      <w:pPr>
        <w:tabs>
          <w:tab w:val="left" w:pos="1800"/>
          <w:tab w:val="left" w:pos="5580"/>
        </w:tabs>
        <w:jc w:val="left"/>
        <w:rPr>
          <w:color w:val="000000"/>
          <w:sz w:val="24"/>
          <w:highlight w:val="none"/>
        </w:rPr>
      </w:pPr>
      <w:r>
        <w:rPr>
          <w:sz w:val="24"/>
          <w:highlight w:val="none"/>
        </w:rPr>
        <w:t>2.“偏离情况”列应</w:t>
      </w:r>
      <w:r>
        <w:rPr>
          <w:color w:val="000000"/>
          <w:sz w:val="24"/>
          <w:highlight w:val="none"/>
        </w:rPr>
        <w:t>据实</w:t>
      </w:r>
      <w:r>
        <w:rPr>
          <w:sz w:val="24"/>
          <w:highlight w:val="none"/>
        </w:rPr>
        <w:t>填写“无偏离”、“正偏离”或“负偏离”。</w:t>
      </w:r>
    </w:p>
    <w:p w14:paraId="497B7AEC">
      <w:pPr>
        <w:tabs>
          <w:tab w:val="left" w:pos="1800"/>
          <w:tab w:val="left" w:pos="5580"/>
        </w:tabs>
        <w:jc w:val="left"/>
        <w:rPr>
          <w:sz w:val="24"/>
          <w:highlight w:val="none"/>
        </w:rPr>
      </w:pPr>
    </w:p>
    <w:p w14:paraId="702B3402">
      <w:pPr>
        <w:tabs>
          <w:tab w:val="left" w:pos="1800"/>
          <w:tab w:val="left" w:pos="5580"/>
        </w:tabs>
        <w:jc w:val="left"/>
        <w:rPr>
          <w:color w:val="000000"/>
          <w:sz w:val="24"/>
          <w:highlight w:val="none"/>
        </w:rPr>
      </w:pPr>
    </w:p>
    <w:p w14:paraId="3FBFAAC3">
      <w:pPr>
        <w:rPr>
          <w:color w:val="000000"/>
          <w:sz w:val="24"/>
          <w:szCs w:val="20"/>
          <w:highlight w:val="none"/>
        </w:rPr>
      </w:pPr>
    </w:p>
    <w:p w14:paraId="37F154E7">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74212435">
      <w:pPr>
        <w:autoSpaceDE w:val="0"/>
        <w:autoSpaceDN w:val="0"/>
        <w:adjustRightInd w:val="0"/>
        <w:snapToGrid w:val="0"/>
        <w:spacing w:before="25" w:after="25" w:line="360" w:lineRule="auto"/>
        <w:rPr>
          <w:color w:val="000000"/>
          <w:sz w:val="24"/>
          <w:highlight w:val="none"/>
          <w:lang w:val="zh-CN"/>
        </w:rPr>
      </w:pPr>
      <w:r>
        <w:rPr>
          <w:color w:val="000000"/>
          <w:sz w:val="24"/>
          <w:highlight w:val="none"/>
        </w:rPr>
        <w:t>供应商名称（加盖公章）</w:t>
      </w:r>
      <w:r>
        <w:rPr>
          <w:color w:val="000000"/>
          <w:sz w:val="24"/>
          <w:highlight w:val="none"/>
          <w:lang w:val="zh-CN"/>
        </w:rPr>
        <w:t>：    ____________</w:t>
      </w:r>
    </w:p>
    <w:p w14:paraId="4329D082">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6349A1FF">
      <w:pPr>
        <w:numPr>
          <w:ilvl w:val="0"/>
          <w:numId w:val="17"/>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r>
        <w:rPr>
          <w:color w:val="000000"/>
          <w:sz w:val="24"/>
          <w:szCs w:val="20"/>
          <w:highlight w:val="none"/>
        </w:rPr>
        <w:t>中小企业证明文件</w:t>
      </w:r>
    </w:p>
    <w:p w14:paraId="0E41A1ED">
      <w:pPr>
        <w:tabs>
          <w:tab w:val="left" w:pos="5580"/>
        </w:tabs>
        <w:spacing w:line="360" w:lineRule="auto"/>
        <w:rPr>
          <w:sz w:val="24"/>
          <w:highlight w:val="none"/>
        </w:rPr>
      </w:pPr>
      <w:r>
        <w:rPr>
          <w:sz w:val="24"/>
          <w:highlight w:val="none"/>
        </w:rPr>
        <w:t>说明：</w:t>
      </w:r>
    </w:p>
    <w:p w14:paraId="67792CA2">
      <w:pPr>
        <w:tabs>
          <w:tab w:val="left" w:pos="5580"/>
        </w:tabs>
        <w:spacing w:line="360" w:lineRule="auto"/>
        <w:rPr>
          <w:sz w:val="24"/>
          <w:highlight w:val="none"/>
        </w:rPr>
      </w:pPr>
      <w:r>
        <w:rPr>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供应商出具。联合体响应的，《中小企业声明函》可由牵头人出具。</w:t>
      </w:r>
    </w:p>
    <w:p w14:paraId="0B305607">
      <w:pPr>
        <w:tabs>
          <w:tab w:val="left" w:pos="5580"/>
        </w:tabs>
        <w:spacing w:line="360" w:lineRule="auto"/>
        <w:rPr>
          <w:sz w:val="24"/>
          <w:highlight w:val="none"/>
        </w:rPr>
      </w:pPr>
      <w:r>
        <w:rPr>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9EE04C4">
      <w:pPr>
        <w:tabs>
          <w:tab w:val="left" w:pos="5580"/>
        </w:tabs>
        <w:spacing w:line="360" w:lineRule="auto"/>
        <w:rPr>
          <w:sz w:val="24"/>
          <w:highlight w:val="none"/>
        </w:rPr>
      </w:pPr>
      <w:r>
        <w:rPr>
          <w:sz w:val="24"/>
          <w:highlight w:val="none"/>
        </w:rPr>
        <w:t>3）对于多标的采购项目，供应商应充分、准确地了解所提供货物的制造企业、提供服务的承接企业信息。对相关情况了解不清楚的，不建议填报本声明函。</w:t>
      </w:r>
    </w:p>
    <w:p w14:paraId="3ED84991">
      <w:pPr>
        <w:tabs>
          <w:tab w:val="left" w:pos="5580"/>
        </w:tabs>
        <w:spacing w:line="360" w:lineRule="auto"/>
        <w:rPr>
          <w:sz w:val="24"/>
          <w:highlight w:val="none"/>
        </w:rPr>
      </w:pPr>
      <w:r>
        <w:rPr>
          <w:sz w:val="24"/>
          <w:highlight w:val="none"/>
        </w:rPr>
        <w:t>4）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本项目中小企业划分标准所属行业详见第二章《供应商须知资料表》，如在该程序中未找到本项目文件规定的中小企业划分标准所属行业，则按照《关于印发中小企业划型标准规定的通知（工信部联企业﹝2011﹞300号）》及本项目文件规定的中小企业划分标准所属行业执行。</w:t>
      </w:r>
    </w:p>
    <w:p w14:paraId="322B286B">
      <w:pPr>
        <w:widowControl/>
        <w:jc w:val="left"/>
        <w:rPr>
          <w:rFonts w:hint="eastAsia"/>
          <w:b/>
          <w:bCs/>
          <w:color w:val="000000"/>
          <w:sz w:val="24"/>
          <w:highlight w:val="none"/>
        </w:rPr>
      </w:pPr>
    </w:p>
    <w:p w14:paraId="2FBEB7FC">
      <w:pPr>
        <w:spacing w:line="360" w:lineRule="auto"/>
        <w:rPr>
          <w:color w:val="000000"/>
          <w:sz w:val="24"/>
          <w:highlight w:val="none"/>
        </w:rPr>
      </w:pPr>
    </w:p>
    <w:p w14:paraId="4A687BFC">
      <w:pPr>
        <w:spacing w:before="240" w:beforeLines="100" w:after="240" w:afterLines="100" w:line="360" w:lineRule="auto"/>
        <w:jc w:val="center"/>
        <w:rPr>
          <w:b/>
          <w:bCs/>
          <w:color w:val="000000"/>
          <w:sz w:val="36"/>
          <w:szCs w:val="36"/>
          <w:highlight w:val="none"/>
        </w:rPr>
      </w:pPr>
      <w:r>
        <w:rPr>
          <w:color w:val="000000"/>
          <w:sz w:val="24"/>
          <w:highlight w:val="none"/>
        </w:rPr>
        <w:br w:type="page"/>
      </w:r>
      <w:r>
        <w:rPr>
          <w:b/>
          <w:bCs/>
          <w:color w:val="000000"/>
          <w:sz w:val="36"/>
          <w:szCs w:val="36"/>
          <w:highlight w:val="none"/>
        </w:rPr>
        <w:t>中小企业声明函（工程、服务）格式</w:t>
      </w:r>
    </w:p>
    <w:p w14:paraId="4AD877DC">
      <w:pPr>
        <w:autoSpaceDE w:val="0"/>
        <w:autoSpaceDN w:val="0"/>
        <w:spacing w:line="360" w:lineRule="auto"/>
        <w:ind w:left="220" w:right="415" w:firstLine="640"/>
        <w:jc w:val="left"/>
        <w:rPr>
          <w:kern w:val="0"/>
          <w:sz w:val="24"/>
          <w:highlight w:val="none"/>
        </w:rPr>
      </w:pPr>
      <w:r>
        <w:rPr>
          <w:kern w:val="0"/>
          <w:sz w:val="24"/>
          <w:highlight w:val="none"/>
        </w:rPr>
        <w:t>本公司（联合体）郑重声明，根据《政府采购促进中小企业发展管理办法》（财库﹝2020﹞46号）的规定，本公司</w:t>
      </w:r>
      <w:r>
        <w:rPr>
          <w:kern w:val="0"/>
          <w:sz w:val="24"/>
          <w:highlight w:val="none"/>
          <w:u w:val="single"/>
        </w:rPr>
        <w:t>（联合体）</w:t>
      </w:r>
      <w:r>
        <w:rPr>
          <w:kern w:val="0"/>
          <w:sz w:val="24"/>
          <w:highlight w:val="none"/>
        </w:rPr>
        <w:t>参加</w:t>
      </w:r>
      <w:r>
        <w:rPr>
          <w:i/>
          <w:kern w:val="0"/>
          <w:sz w:val="24"/>
          <w:highlight w:val="none"/>
          <w:u w:val="single"/>
        </w:rPr>
        <w:t>（单位名称）</w:t>
      </w:r>
      <w:r>
        <w:rPr>
          <w:kern w:val="0"/>
          <w:sz w:val="24"/>
          <w:highlight w:val="none"/>
        </w:rPr>
        <w:t>的</w:t>
      </w:r>
      <w:r>
        <w:rPr>
          <w:i/>
          <w:kern w:val="0"/>
          <w:sz w:val="24"/>
          <w:highlight w:val="none"/>
          <w:u w:val="single"/>
        </w:rPr>
        <w:t>（项目名称）</w:t>
      </w:r>
      <w:r>
        <w:rPr>
          <w:kern w:val="0"/>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4B781A18">
      <w:pPr>
        <w:numPr>
          <w:ilvl w:val="0"/>
          <w:numId w:val="18"/>
        </w:numPr>
        <w:tabs>
          <w:tab w:val="left" w:pos="1276"/>
          <w:tab w:val="left" w:pos="5005"/>
          <w:tab w:val="left" w:pos="7227"/>
        </w:tabs>
        <w:autoSpaceDE w:val="0"/>
        <w:autoSpaceDN w:val="0"/>
        <w:spacing w:line="360" w:lineRule="auto"/>
        <w:ind w:left="284" w:right="236" w:firstLine="576"/>
        <w:jc w:val="left"/>
        <w:rPr>
          <w:kern w:val="0"/>
          <w:sz w:val="24"/>
          <w:highlight w:val="none"/>
        </w:rPr>
      </w:pPr>
      <w:r>
        <w:rPr>
          <w:i/>
          <w:kern w:val="0"/>
          <w:sz w:val="24"/>
          <w:highlight w:val="none"/>
          <w:u w:val="single" w:color="000000"/>
        </w:rPr>
        <w:t>（标的名称）</w:t>
      </w:r>
      <w:r>
        <w:rPr>
          <w:kern w:val="0"/>
          <w:sz w:val="24"/>
          <w:highlight w:val="none"/>
        </w:rPr>
        <w:t>，属于</w:t>
      </w:r>
      <w:r>
        <w:rPr>
          <w:i/>
          <w:kern w:val="0"/>
          <w:sz w:val="24"/>
          <w:highlight w:val="none"/>
        </w:rPr>
        <w:t>（</w:t>
      </w:r>
      <w:r>
        <w:rPr>
          <w:rFonts w:hint="eastAsia"/>
          <w:i/>
          <w:kern w:val="0"/>
          <w:sz w:val="24"/>
          <w:highlight w:val="none"/>
          <w:u w:val="single" w:color="000000"/>
        </w:rPr>
        <w:t>征集</w:t>
      </w:r>
      <w:r>
        <w:rPr>
          <w:i/>
          <w:kern w:val="0"/>
          <w:sz w:val="24"/>
          <w:highlight w:val="none"/>
          <w:u w:val="single" w:color="000000"/>
        </w:rPr>
        <w:t>文件中明确的所属行业）</w:t>
      </w:r>
      <w:r>
        <w:rPr>
          <w:kern w:val="0"/>
          <w:sz w:val="24"/>
          <w:highlight w:val="none"/>
        </w:rPr>
        <w:t>；承建（承接）企业为</w:t>
      </w:r>
      <w:r>
        <w:rPr>
          <w:i/>
          <w:kern w:val="0"/>
          <w:sz w:val="24"/>
          <w:highlight w:val="none"/>
          <w:u w:val="single"/>
        </w:rPr>
        <w:t>（企业名称）</w:t>
      </w:r>
      <w:r>
        <w:rPr>
          <w:kern w:val="0"/>
          <w:sz w:val="24"/>
          <w:highlight w:val="none"/>
        </w:rPr>
        <w:t>，从业人员</w:t>
      </w:r>
      <w:r>
        <w:rPr>
          <w:kern w:val="0"/>
          <w:sz w:val="24"/>
          <w:highlight w:val="none"/>
          <w:u w:val="single"/>
        </w:rPr>
        <w:tab/>
      </w:r>
      <w:r>
        <w:rPr>
          <w:kern w:val="0"/>
          <w:sz w:val="24"/>
          <w:highlight w:val="none"/>
        </w:rPr>
        <w:t>人，营业收入为</w:t>
      </w:r>
      <w:r>
        <w:rPr>
          <w:kern w:val="0"/>
          <w:sz w:val="24"/>
          <w:highlight w:val="none"/>
          <w:u w:val="single"/>
        </w:rPr>
        <w:tab/>
      </w:r>
      <w:r>
        <w:rPr>
          <w:kern w:val="0"/>
          <w:sz w:val="24"/>
          <w:highlight w:val="none"/>
        </w:rPr>
        <w:t>万元，资产总额为</w:t>
      </w:r>
      <w:r>
        <w:rPr>
          <w:kern w:val="0"/>
          <w:sz w:val="24"/>
          <w:highlight w:val="none"/>
          <w:u w:val="single"/>
        </w:rPr>
        <w:tab/>
      </w:r>
      <w:r>
        <w:rPr>
          <w:kern w:val="0"/>
          <w:sz w:val="24"/>
          <w:highlight w:val="none"/>
        </w:rPr>
        <w:t>万元</w:t>
      </w:r>
      <w:r>
        <w:rPr>
          <w:highlight w:val="none"/>
        </w:rPr>
        <w:fldChar w:fldCharType="begin"/>
      </w:r>
      <w:r>
        <w:rPr>
          <w:highlight w:val="none"/>
        </w:rPr>
        <w:instrText xml:space="preserve"> HYPERLINK \l "_bookmark1" </w:instrText>
      </w:r>
      <w:r>
        <w:rPr>
          <w:highlight w:val="none"/>
        </w:rPr>
        <w:fldChar w:fldCharType="separate"/>
      </w:r>
      <w:r>
        <w:rPr>
          <w:kern w:val="0"/>
          <w:position w:val="16"/>
          <w:sz w:val="24"/>
          <w:highlight w:val="none"/>
        </w:rPr>
        <w:t>1</w:t>
      </w:r>
      <w:r>
        <w:rPr>
          <w:kern w:val="0"/>
          <w:position w:val="16"/>
          <w:sz w:val="24"/>
          <w:highlight w:val="none"/>
        </w:rPr>
        <w:fldChar w:fldCharType="end"/>
      </w:r>
      <w:r>
        <w:rPr>
          <w:kern w:val="0"/>
          <w:sz w:val="24"/>
          <w:highlight w:val="none"/>
        </w:rPr>
        <w:t>，属于</w:t>
      </w:r>
      <w:r>
        <w:rPr>
          <w:i/>
          <w:kern w:val="0"/>
          <w:sz w:val="24"/>
          <w:highlight w:val="none"/>
          <w:u w:val="single"/>
        </w:rPr>
        <w:t>（中型企业、小型企业、微型企业）</w:t>
      </w:r>
      <w:r>
        <w:rPr>
          <w:kern w:val="0"/>
          <w:sz w:val="24"/>
          <w:highlight w:val="none"/>
        </w:rPr>
        <w:t>；</w:t>
      </w:r>
    </w:p>
    <w:p w14:paraId="0FE9D4D8">
      <w:pPr>
        <w:numPr>
          <w:ilvl w:val="0"/>
          <w:numId w:val="18"/>
        </w:numPr>
        <w:tabs>
          <w:tab w:val="left" w:pos="1243"/>
          <w:tab w:val="left" w:pos="1806"/>
          <w:tab w:val="left" w:pos="5005"/>
          <w:tab w:val="left" w:pos="7213"/>
        </w:tabs>
        <w:autoSpaceDE w:val="0"/>
        <w:autoSpaceDN w:val="0"/>
        <w:spacing w:line="360" w:lineRule="auto"/>
        <w:ind w:left="205" w:right="258" w:firstLine="655"/>
        <w:jc w:val="left"/>
        <w:rPr>
          <w:kern w:val="0"/>
          <w:sz w:val="24"/>
          <w:highlight w:val="none"/>
        </w:rPr>
      </w:pPr>
      <w:r>
        <w:rPr>
          <w:i/>
          <w:kern w:val="0"/>
          <w:sz w:val="24"/>
          <w:highlight w:val="none"/>
          <w:u w:val="single" w:color="000000"/>
        </w:rPr>
        <w:t>（标的名称）</w:t>
      </w:r>
      <w:r>
        <w:rPr>
          <w:kern w:val="0"/>
          <w:sz w:val="24"/>
          <w:highlight w:val="none"/>
        </w:rPr>
        <w:t>，属于</w:t>
      </w:r>
      <w:r>
        <w:rPr>
          <w:i/>
          <w:kern w:val="0"/>
          <w:sz w:val="24"/>
          <w:highlight w:val="none"/>
        </w:rPr>
        <w:t>（</w:t>
      </w:r>
      <w:r>
        <w:rPr>
          <w:rFonts w:hint="eastAsia"/>
          <w:i/>
          <w:kern w:val="0"/>
          <w:sz w:val="24"/>
          <w:highlight w:val="none"/>
          <w:u w:val="single" w:color="000000"/>
        </w:rPr>
        <w:t>征集</w:t>
      </w:r>
      <w:r>
        <w:rPr>
          <w:i/>
          <w:kern w:val="0"/>
          <w:sz w:val="24"/>
          <w:highlight w:val="none"/>
          <w:u w:val="single" w:color="000000"/>
        </w:rPr>
        <w:t>文件中明确的所属行业）</w:t>
      </w:r>
      <w:r>
        <w:rPr>
          <w:kern w:val="0"/>
          <w:sz w:val="24"/>
          <w:highlight w:val="none"/>
        </w:rPr>
        <w:t>；承建（承接）企业为</w:t>
      </w:r>
      <w:r>
        <w:rPr>
          <w:i/>
          <w:kern w:val="0"/>
          <w:sz w:val="24"/>
          <w:highlight w:val="none"/>
          <w:u w:val="single" w:color="000000"/>
        </w:rPr>
        <w:t>（企业名称）</w:t>
      </w:r>
      <w:r>
        <w:rPr>
          <w:kern w:val="0"/>
          <w:sz w:val="24"/>
          <w:highlight w:val="none"/>
        </w:rPr>
        <w:t>，从业人员</w:t>
      </w:r>
      <w:r>
        <w:rPr>
          <w:kern w:val="0"/>
          <w:sz w:val="24"/>
          <w:highlight w:val="none"/>
          <w:u w:val="single" w:color="000000"/>
        </w:rPr>
        <w:tab/>
      </w:r>
      <w:r>
        <w:rPr>
          <w:kern w:val="0"/>
          <w:sz w:val="24"/>
          <w:highlight w:val="none"/>
        </w:rPr>
        <w:t>人，营业收入为</w:t>
      </w:r>
      <w:r>
        <w:rPr>
          <w:kern w:val="0"/>
          <w:sz w:val="24"/>
          <w:highlight w:val="none"/>
          <w:u w:val="single" w:color="000000"/>
        </w:rPr>
        <w:tab/>
      </w:r>
      <w:r>
        <w:rPr>
          <w:kern w:val="0"/>
          <w:sz w:val="24"/>
          <w:highlight w:val="none"/>
        </w:rPr>
        <w:t>万元，资产总额为</w:t>
      </w:r>
      <w:r>
        <w:rPr>
          <w:kern w:val="0"/>
          <w:sz w:val="24"/>
          <w:highlight w:val="none"/>
          <w:u w:val="single" w:color="000000"/>
        </w:rPr>
        <w:tab/>
      </w:r>
      <w:r>
        <w:rPr>
          <w:kern w:val="0"/>
          <w:sz w:val="24"/>
          <w:highlight w:val="none"/>
        </w:rPr>
        <w:t>万元，属于</w:t>
      </w:r>
      <w:r>
        <w:rPr>
          <w:i/>
          <w:kern w:val="0"/>
          <w:sz w:val="24"/>
          <w:highlight w:val="none"/>
          <w:u w:val="single" w:color="000000"/>
        </w:rPr>
        <w:t>（中型企业、小型企业、微型企业）</w:t>
      </w:r>
      <w:r>
        <w:rPr>
          <w:kern w:val="0"/>
          <w:sz w:val="24"/>
          <w:highlight w:val="none"/>
        </w:rPr>
        <w:t>；</w:t>
      </w:r>
    </w:p>
    <w:p w14:paraId="2B3EF8EB">
      <w:pPr>
        <w:autoSpaceDE w:val="0"/>
        <w:autoSpaceDN w:val="0"/>
        <w:spacing w:line="360" w:lineRule="auto"/>
        <w:ind w:left="860"/>
        <w:jc w:val="left"/>
        <w:rPr>
          <w:kern w:val="0"/>
          <w:sz w:val="24"/>
          <w:highlight w:val="none"/>
        </w:rPr>
      </w:pPr>
      <w:r>
        <w:rPr>
          <w:kern w:val="0"/>
          <w:sz w:val="24"/>
          <w:highlight w:val="none"/>
        </w:rPr>
        <w:t>……</w:t>
      </w:r>
    </w:p>
    <w:p w14:paraId="73AC18A2">
      <w:pPr>
        <w:autoSpaceDE w:val="0"/>
        <w:autoSpaceDN w:val="0"/>
        <w:spacing w:line="360" w:lineRule="auto"/>
        <w:ind w:left="220" w:right="417" w:firstLine="645"/>
        <w:rPr>
          <w:kern w:val="0"/>
          <w:sz w:val="24"/>
          <w:highlight w:val="none"/>
        </w:rPr>
      </w:pPr>
      <w:r>
        <w:rPr>
          <w:kern w:val="0"/>
          <w:sz w:val="24"/>
          <w:highlight w:val="none"/>
        </w:rPr>
        <w:t>以上企业，不属于大企业的分支机构，不存在控股股东为大企业的情形，也不存在与大企业的负责人为同一人的情形。</w:t>
      </w:r>
    </w:p>
    <w:p w14:paraId="55259AF7">
      <w:pPr>
        <w:spacing w:line="360" w:lineRule="auto"/>
        <w:ind w:firstLine="504"/>
        <w:rPr>
          <w:spacing w:val="6"/>
          <w:sz w:val="24"/>
          <w:highlight w:val="none"/>
        </w:rPr>
      </w:pPr>
      <w:r>
        <w:rPr>
          <w:kern w:val="0"/>
          <w:sz w:val="24"/>
          <w:highlight w:val="none"/>
        </w:rPr>
        <w:t>本企业对上述声明内容的真实性负责。如有虚假，将依法承担相应责任。</w:t>
      </w:r>
    </w:p>
    <w:p w14:paraId="693CA40E">
      <w:pPr>
        <w:spacing w:line="360" w:lineRule="auto"/>
        <w:ind w:firstLine="504"/>
        <w:rPr>
          <w:spacing w:val="6"/>
          <w:sz w:val="24"/>
          <w:highlight w:val="none"/>
        </w:rPr>
      </w:pPr>
    </w:p>
    <w:p w14:paraId="72AD7889">
      <w:pPr>
        <w:spacing w:line="360" w:lineRule="auto"/>
        <w:ind w:right="360" w:firstLine="480"/>
        <w:jc w:val="right"/>
        <w:rPr>
          <w:color w:val="000000"/>
          <w:sz w:val="24"/>
          <w:highlight w:val="none"/>
        </w:rPr>
      </w:pPr>
    </w:p>
    <w:p w14:paraId="4CE0DDCC">
      <w:pPr>
        <w:spacing w:line="360" w:lineRule="auto"/>
        <w:ind w:right="360" w:firstLine="480"/>
        <w:jc w:val="right"/>
        <w:rPr>
          <w:color w:val="000000"/>
          <w:sz w:val="24"/>
          <w:highlight w:val="none"/>
        </w:rPr>
      </w:pPr>
      <w:r>
        <w:rPr>
          <w:color w:val="000000"/>
          <w:sz w:val="24"/>
          <w:highlight w:val="none"/>
        </w:rPr>
        <w:t>企业名称（盖章）：________</w:t>
      </w:r>
    </w:p>
    <w:p w14:paraId="5F105893">
      <w:pPr>
        <w:spacing w:line="360" w:lineRule="auto"/>
        <w:ind w:right="360" w:firstLine="480"/>
        <w:jc w:val="right"/>
        <w:rPr>
          <w:color w:val="000000"/>
          <w:sz w:val="24"/>
          <w:highlight w:val="none"/>
        </w:rPr>
      </w:pPr>
      <w:r>
        <w:rPr>
          <w:color w:val="000000"/>
          <w:sz w:val="24"/>
          <w:highlight w:val="none"/>
        </w:rPr>
        <w:t>日 期：________</w:t>
      </w:r>
    </w:p>
    <w:p w14:paraId="651292E1">
      <w:pPr>
        <w:spacing w:line="360" w:lineRule="auto"/>
        <w:ind w:right="360" w:firstLine="480"/>
        <w:jc w:val="right"/>
        <w:rPr>
          <w:color w:val="000000"/>
          <w:sz w:val="24"/>
          <w:highlight w:val="none"/>
        </w:rPr>
      </w:pPr>
    </w:p>
    <w:p w14:paraId="4C5AAABA">
      <w:pPr>
        <w:adjustRightInd w:val="0"/>
        <w:snapToGrid w:val="0"/>
        <w:jc w:val="left"/>
        <w:rPr>
          <w:color w:val="000000"/>
          <w:sz w:val="24"/>
          <w:szCs w:val="21"/>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2E3D4B88">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noWrap w:val="0"/>
            <w:vAlign w:val="top"/>
          </w:tcPr>
          <w:p w14:paraId="171BDB48">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4263DC42">
      <w:pPr>
        <w:adjustRightInd w:val="0"/>
        <w:snapToGrid w:val="0"/>
        <w:jc w:val="left"/>
        <w:rPr>
          <w:color w:val="000000"/>
          <w:szCs w:val="21"/>
          <w:highlight w:val="none"/>
          <w:vertAlign w:val="superscript"/>
        </w:rPr>
      </w:pPr>
    </w:p>
    <w:p w14:paraId="31D4F8E2">
      <w:pPr>
        <w:spacing w:line="360" w:lineRule="auto"/>
        <w:ind w:right="360" w:firstLine="480"/>
        <w:jc w:val="right"/>
        <w:rPr>
          <w:color w:val="000000"/>
          <w:sz w:val="24"/>
          <w:highlight w:val="none"/>
        </w:rPr>
      </w:pPr>
    </w:p>
    <w:p w14:paraId="079A85C0">
      <w:pPr>
        <w:spacing w:line="360" w:lineRule="auto"/>
        <w:ind w:right="360" w:firstLine="480"/>
        <w:jc w:val="right"/>
        <w:rPr>
          <w:color w:val="000000"/>
          <w:sz w:val="24"/>
          <w:highlight w:val="none"/>
        </w:rPr>
      </w:pPr>
    </w:p>
    <w:p w14:paraId="3B434EF8">
      <w:pPr>
        <w:spacing w:line="360" w:lineRule="auto"/>
        <w:outlineLvl w:val="2"/>
        <w:rPr>
          <w:color w:val="000000"/>
          <w:sz w:val="24"/>
          <w:szCs w:val="20"/>
          <w:highlight w:val="none"/>
        </w:rPr>
      </w:pPr>
      <w:r>
        <w:rPr>
          <w:color w:val="000000"/>
          <w:sz w:val="24"/>
          <w:szCs w:val="20"/>
          <w:highlight w:val="none"/>
        </w:rPr>
        <w:br w:type="page"/>
      </w:r>
    </w:p>
    <w:p w14:paraId="0412BF09">
      <w:pPr>
        <w:spacing w:before="240" w:beforeLines="100" w:after="240" w:afterLines="100" w:line="360" w:lineRule="auto"/>
        <w:jc w:val="center"/>
        <w:rPr>
          <w:color w:val="000000"/>
          <w:sz w:val="36"/>
          <w:szCs w:val="36"/>
          <w:highlight w:val="none"/>
        </w:rPr>
      </w:pPr>
      <w:r>
        <w:rPr>
          <w:b/>
          <w:bCs/>
          <w:color w:val="000000"/>
          <w:sz w:val="36"/>
          <w:szCs w:val="36"/>
          <w:highlight w:val="none"/>
        </w:rPr>
        <w:t>残疾人福利性单位声明函格式</w:t>
      </w:r>
      <w:r>
        <w:rPr>
          <w:color w:val="000000"/>
          <w:sz w:val="36"/>
          <w:szCs w:val="36"/>
          <w:highlight w:val="none"/>
        </w:rPr>
        <w:t xml:space="preserve"> </w:t>
      </w:r>
    </w:p>
    <w:p w14:paraId="10233EBE">
      <w:pPr>
        <w:spacing w:line="588" w:lineRule="exact"/>
        <w:ind w:firstLine="504"/>
        <w:rPr>
          <w:spacing w:val="6"/>
          <w:sz w:val="24"/>
          <w:highlight w:val="none"/>
        </w:rPr>
      </w:pPr>
      <w:r>
        <w:rPr>
          <w:spacing w:val="6"/>
          <w:sz w:val="24"/>
          <w:highlight w:val="none"/>
        </w:rPr>
        <w:t>本单位郑重声明，根据《财政部 民政部 中国残疾人联合会关于促进残疾人就业政府采购政策的通知》（财库</w:t>
      </w:r>
      <w:r>
        <w:rPr>
          <w:sz w:val="24"/>
          <w:highlight w:val="none"/>
        </w:rPr>
        <w:t>〔2017〕141</w:t>
      </w:r>
      <w:r>
        <w:rPr>
          <w:spacing w:val="6"/>
          <w:sz w:val="24"/>
          <w:highlight w:val="none"/>
        </w:rPr>
        <w:t>号）的规定，本单位</w:t>
      </w:r>
      <w:r>
        <w:rPr>
          <w:b/>
          <w:sz w:val="24"/>
          <w:highlight w:val="none"/>
        </w:rPr>
        <w:t>（请进行选择）</w:t>
      </w:r>
      <w:r>
        <w:rPr>
          <w:spacing w:val="6"/>
          <w:sz w:val="24"/>
          <w:highlight w:val="none"/>
        </w:rPr>
        <w:t>：</w:t>
      </w:r>
    </w:p>
    <w:p w14:paraId="6F50FEA2">
      <w:pPr>
        <w:spacing w:line="588" w:lineRule="exact"/>
        <w:ind w:firstLine="482"/>
        <w:rPr>
          <w:b/>
          <w:spacing w:val="6"/>
          <w:sz w:val="24"/>
          <w:highlight w:val="none"/>
        </w:rPr>
      </w:pPr>
      <w:r>
        <w:rPr>
          <w:b/>
          <w:sz w:val="24"/>
          <w:highlight w:val="none"/>
        </w:rPr>
        <w:t>□</w:t>
      </w:r>
      <w:r>
        <w:rPr>
          <w:b/>
          <w:spacing w:val="6"/>
          <w:sz w:val="24"/>
          <w:highlight w:val="none"/>
        </w:rPr>
        <w:t>不属于符合条件的残疾人福利性单位。</w:t>
      </w:r>
    </w:p>
    <w:p w14:paraId="621BEE13">
      <w:pPr>
        <w:spacing w:line="588" w:lineRule="exact"/>
        <w:ind w:firstLine="482"/>
        <w:rPr>
          <w:spacing w:val="6"/>
          <w:sz w:val="24"/>
          <w:highlight w:val="none"/>
        </w:rPr>
      </w:pPr>
      <w:r>
        <w:rPr>
          <w:b/>
          <w:sz w:val="24"/>
          <w:highlight w:val="none"/>
        </w:rPr>
        <w:t>□</w:t>
      </w:r>
      <w:r>
        <w:rPr>
          <w:b/>
          <w:spacing w:val="6"/>
          <w:sz w:val="24"/>
          <w:highlight w:val="none"/>
        </w:rPr>
        <w:t>属于符合条件的残疾人福利性单位，</w:t>
      </w:r>
      <w:r>
        <w:rPr>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57BEDD9E">
      <w:pPr>
        <w:spacing w:line="588" w:lineRule="exact"/>
        <w:ind w:firstLine="506" w:firstLineChars="200"/>
        <w:rPr>
          <w:spacing w:val="6"/>
          <w:sz w:val="24"/>
          <w:highlight w:val="none"/>
        </w:rPr>
      </w:pPr>
      <w:r>
        <w:rPr>
          <w:b/>
          <w:spacing w:val="6"/>
          <w:sz w:val="24"/>
          <w:highlight w:val="none"/>
        </w:rPr>
        <w:t>本单位对上述声明的真实性负责。如有虚假，将依法承担相应责任。</w:t>
      </w:r>
    </w:p>
    <w:p w14:paraId="40B1C45C">
      <w:pPr>
        <w:spacing w:line="588" w:lineRule="exact"/>
        <w:ind w:firstLine="504" w:firstLineChars="200"/>
        <w:rPr>
          <w:spacing w:val="6"/>
          <w:sz w:val="24"/>
          <w:highlight w:val="none"/>
        </w:rPr>
      </w:pPr>
    </w:p>
    <w:p w14:paraId="1AB52BE9">
      <w:pPr>
        <w:spacing w:line="588" w:lineRule="exact"/>
        <w:ind w:firstLine="504" w:firstLineChars="200"/>
        <w:rPr>
          <w:spacing w:val="6"/>
          <w:sz w:val="24"/>
          <w:highlight w:val="none"/>
        </w:rPr>
      </w:pPr>
    </w:p>
    <w:p w14:paraId="4520F46C">
      <w:pPr>
        <w:tabs>
          <w:tab w:val="left" w:pos="4860"/>
        </w:tabs>
        <w:spacing w:line="588" w:lineRule="exact"/>
        <w:ind w:right="1560" w:firstLine="504" w:firstLineChars="200"/>
        <w:jc w:val="center"/>
        <w:rPr>
          <w:spacing w:val="6"/>
          <w:sz w:val="24"/>
          <w:highlight w:val="none"/>
        </w:rPr>
      </w:pPr>
      <w:r>
        <w:rPr>
          <w:spacing w:val="6"/>
          <w:sz w:val="24"/>
          <w:highlight w:val="none"/>
        </w:rPr>
        <w:t xml:space="preserve">               单位名称（盖章）：</w:t>
      </w:r>
    </w:p>
    <w:p w14:paraId="287537B0">
      <w:pPr>
        <w:tabs>
          <w:tab w:val="left" w:pos="4860"/>
        </w:tabs>
        <w:spacing w:line="588" w:lineRule="exact"/>
        <w:ind w:right="1560" w:firstLine="504" w:firstLineChars="200"/>
        <w:jc w:val="center"/>
        <w:rPr>
          <w:spacing w:val="6"/>
          <w:sz w:val="24"/>
          <w:highlight w:val="none"/>
        </w:rPr>
      </w:pPr>
      <w:r>
        <w:rPr>
          <w:spacing w:val="6"/>
          <w:sz w:val="24"/>
          <w:highlight w:val="none"/>
        </w:rPr>
        <w:t xml:space="preserve">       日  期：</w:t>
      </w:r>
    </w:p>
    <w:p w14:paraId="5ECDAE42">
      <w:pPr>
        <w:numPr>
          <w:ilvl w:val="0"/>
          <w:numId w:val="17"/>
        </w:numPr>
        <w:tabs>
          <w:tab w:val="left" w:pos="360"/>
        </w:tabs>
        <w:snapToGrid w:val="0"/>
        <w:spacing w:line="360" w:lineRule="auto"/>
        <w:outlineLvl w:val="1"/>
        <w:rPr>
          <w:b/>
          <w:color w:val="000000"/>
          <w:sz w:val="24"/>
          <w:highlight w:val="none"/>
        </w:rPr>
      </w:pPr>
      <w:bookmarkStart w:id="889" w:name="_Hlk176956326"/>
      <w:r>
        <w:rPr>
          <w:color w:val="000000"/>
          <w:sz w:val="24"/>
          <w:szCs w:val="20"/>
          <w:highlight w:val="none"/>
        </w:rPr>
        <w:br w:type="page"/>
      </w:r>
      <w:r>
        <w:rPr>
          <w:rFonts w:hint="eastAsia"/>
          <w:color w:val="000000"/>
          <w:sz w:val="24"/>
          <w:szCs w:val="20"/>
          <w:highlight w:val="none"/>
        </w:rPr>
        <w:t>项目实施详细方案</w:t>
      </w:r>
    </w:p>
    <w:p w14:paraId="4D2F344E">
      <w:pPr>
        <w:adjustRightInd w:val="0"/>
        <w:snapToGrid w:val="0"/>
        <w:spacing w:line="360" w:lineRule="auto"/>
        <w:ind w:firstLine="480" w:firstLineChars="200"/>
        <w:jc w:val="left"/>
        <w:rPr>
          <w:rFonts w:hint="eastAsia"/>
          <w:sz w:val="24"/>
          <w:highlight w:val="none"/>
        </w:rPr>
      </w:pPr>
      <w:r>
        <w:rPr>
          <w:rFonts w:hint="eastAsia"/>
          <w:sz w:val="24"/>
          <w:highlight w:val="none"/>
        </w:rPr>
        <w:t>供应商应提供项目</w:t>
      </w:r>
      <w:r>
        <w:rPr>
          <w:rFonts w:hint="eastAsia" w:ascii="宋体" w:hAnsi="宋体" w:cs="宋体"/>
          <w:color w:val="000000"/>
          <w:kern w:val="0"/>
          <w:sz w:val="24"/>
          <w:highlight w:val="none"/>
        </w:rPr>
        <w:t>详细描述对所投标项目的重点、难点分析，</w:t>
      </w:r>
      <w:r>
        <w:rPr>
          <w:rFonts w:ascii="宋体" w:hAnsi="宋体" w:cs="宋体"/>
          <w:color w:val="000000"/>
          <w:sz w:val="24"/>
          <w:highlight w:val="none"/>
        </w:rPr>
        <w:t>服务方案，</w:t>
      </w:r>
      <w:r>
        <w:rPr>
          <w:rFonts w:hint="eastAsia" w:ascii="宋体" w:hAnsi="宋体" w:cs="宋体"/>
          <w:color w:val="000000"/>
          <w:sz w:val="24"/>
          <w:highlight w:val="none"/>
        </w:rPr>
        <w:t>质量控制管理措施，</w:t>
      </w:r>
      <w:r>
        <w:rPr>
          <w:rFonts w:hint="eastAsia" w:ascii="宋体" w:hAnsi="宋体" w:cs="宋体"/>
          <w:sz w:val="24"/>
          <w:highlight w:val="none"/>
        </w:rPr>
        <w:t>工作进度控制措施，保密措施，廉政管理措施，</w:t>
      </w:r>
      <w:r>
        <w:rPr>
          <w:rFonts w:hint="eastAsia" w:ascii="宋体" w:hAnsi="宋体" w:cs="Tahoma"/>
          <w:sz w:val="24"/>
          <w:highlight w:val="none"/>
        </w:rPr>
        <w:t>档案管理措施等。</w:t>
      </w:r>
    </w:p>
    <w:bookmarkEnd w:id="889"/>
    <w:p w14:paraId="1FBD716A">
      <w:pPr>
        <w:numPr>
          <w:ilvl w:val="0"/>
          <w:numId w:val="17"/>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r>
        <w:rPr>
          <w:color w:val="000000"/>
          <w:sz w:val="24"/>
          <w:szCs w:val="20"/>
          <w:highlight w:val="none"/>
        </w:rPr>
        <w:t>征集文件要求提供或供应商认为应附的其他材料</w:t>
      </w:r>
    </w:p>
    <w:p w14:paraId="1E40B3E0">
      <w:pPr>
        <w:widowControl/>
        <w:jc w:val="left"/>
        <w:rPr>
          <w:color w:val="000000"/>
          <w:sz w:val="24"/>
          <w:szCs w:val="20"/>
          <w:highlight w:val="none"/>
        </w:rPr>
      </w:pPr>
      <w:r>
        <w:rPr>
          <w:color w:val="000000"/>
          <w:sz w:val="24"/>
          <w:szCs w:val="20"/>
          <w:highlight w:val="none"/>
        </w:rPr>
        <w:t>8-1</w:t>
      </w:r>
      <w:r>
        <w:rPr>
          <w:rFonts w:hint="eastAsia"/>
          <w:color w:val="000000"/>
          <w:sz w:val="24"/>
          <w:szCs w:val="20"/>
          <w:highlight w:val="none"/>
        </w:rPr>
        <w:t>供应商信息采集表</w:t>
      </w:r>
    </w:p>
    <w:tbl>
      <w:tblPr>
        <w:tblStyle w:val="4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14:paraId="2C7232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shd w:val="clear" w:color="auto" w:fill="auto"/>
            <w:noWrap w:val="0"/>
            <w:vAlign w:val="top"/>
          </w:tcPr>
          <w:p w14:paraId="6D934539">
            <w:pPr>
              <w:rPr>
                <w:sz w:val="24"/>
                <w:highlight w:val="none"/>
              </w:rPr>
            </w:pPr>
            <w:r>
              <w:rPr>
                <w:rFonts w:hint="eastAsia"/>
                <w:sz w:val="24"/>
                <w:highlight w:val="none"/>
              </w:rPr>
              <w:t>供应商名称</w:t>
            </w:r>
          </w:p>
        </w:tc>
        <w:tc>
          <w:tcPr>
            <w:tcW w:w="1667" w:type="pct"/>
            <w:shd w:val="clear" w:color="auto" w:fill="auto"/>
            <w:noWrap w:val="0"/>
            <w:vAlign w:val="top"/>
          </w:tcPr>
          <w:p w14:paraId="11E7D05A">
            <w:pPr>
              <w:rPr>
                <w:sz w:val="24"/>
                <w:highlight w:val="none"/>
              </w:rPr>
            </w:pPr>
            <w:r>
              <w:rPr>
                <w:rFonts w:hint="eastAsia"/>
                <w:sz w:val="24"/>
                <w:highlight w:val="none"/>
              </w:rPr>
              <w:t>供应商所属性别</w:t>
            </w:r>
          </w:p>
        </w:tc>
        <w:tc>
          <w:tcPr>
            <w:tcW w:w="1667" w:type="pct"/>
            <w:shd w:val="clear" w:color="auto" w:fill="auto"/>
            <w:noWrap w:val="0"/>
            <w:vAlign w:val="top"/>
          </w:tcPr>
          <w:p w14:paraId="6103498C">
            <w:pPr>
              <w:rPr>
                <w:sz w:val="24"/>
                <w:highlight w:val="none"/>
              </w:rPr>
            </w:pPr>
            <w:r>
              <w:rPr>
                <w:rFonts w:hint="eastAsia"/>
                <w:sz w:val="24"/>
                <w:highlight w:val="none"/>
              </w:rPr>
              <w:t>外商投资类型</w:t>
            </w:r>
          </w:p>
        </w:tc>
      </w:tr>
      <w:tr w14:paraId="10F907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shd w:val="clear" w:color="auto" w:fill="auto"/>
            <w:noWrap w:val="0"/>
            <w:vAlign w:val="top"/>
          </w:tcPr>
          <w:p w14:paraId="2B52EF34">
            <w:pPr>
              <w:rPr>
                <w:sz w:val="24"/>
                <w:highlight w:val="none"/>
              </w:rPr>
            </w:pPr>
          </w:p>
        </w:tc>
        <w:tc>
          <w:tcPr>
            <w:tcW w:w="1667" w:type="pct"/>
            <w:shd w:val="clear" w:color="auto" w:fill="auto"/>
            <w:noWrap w:val="0"/>
            <w:vAlign w:val="top"/>
          </w:tcPr>
          <w:p w14:paraId="5A4F0DBF">
            <w:pPr>
              <w:rPr>
                <w:sz w:val="24"/>
                <w:highlight w:val="none"/>
              </w:rPr>
            </w:pPr>
          </w:p>
        </w:tc>
        <w:tc>
          <w:tcPr>
            <w:tcW w:w="1667" w:type="pct"/>
            <w:shd w:val="clear" w:color="auto" w:fill="auto"/>
            <w:noWrap w:val="0"/>
            <w:vAlign w:val="top"/>
          </w:tcPr>
          <w:p w14:paraId="4BA67304">
            <w:pPr>
              <w:rPr>
                <w:sz w:val="24"/>
                <w:highlight w:val="none"/>
              </w:rPr>
            </w:pPr>
          </w:p>
        </w:tc>
      </w:tr>
      <w:tr w14:paraId="598482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shd w:val="clear" w:color="auto" w:fill="auto"/>
            <w:noWrap w:val="0"/>
            <w:vAlign w:val="top"/>
          </w:tcPr>
          <w:p w14:paraId="65F143CA">
            <w:pPr>
              <w:rPr>
                <w:sz w:val="24"/>
                <w:highlight w:val="none"/>
              </w:rPr>
            </w:pPr>
          </w:p>
        </w:tc>
        <w:tc>
          <w:tcPr>
            <w:tcW w:w="1667" w:type="pct"/>
            <w:shd w:val="clear" w:color="auto" w:fill="auto"/>
            <w:noWrap w:val="0"/>
            <w:vAlign w:val="top"/>
          </w:tcPr>
          <w:p w14:paraId="655A212A">
            <w:pPr>
              <w:rPr>
                <w:sz w:val="24"/>
                <w:highlight w:val="none"/>
              </w:rPr>
            </w:pPr>
          </w:p>
        </w:tc>
        <w:tc>
          <w:tcPr>
            <w:tcW w:w="1667" w:type="pct"/>
            <w:shd w:val="clear" w:color="auto" w:fill="auto"/>
            <w:noWrap w:val="0"/>
            <w:vAlign w:val="top"/>
          </w:tcPr>
          <w:p w14:paraId="380F0951">
            <w:pPr>
              <w:rPr>
                <w:sz w:val="24"/>
                <w:highlight w:val="none"/>
              </w:rPr>
            </w:pPr>
          </w:p>
        </w:tc>
      </w:tr>
      <w:tr w14:paraId="05338C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shd w:val="clear" w:color="auto" w:fill="auto"/>
            <w:noWrap w:val="0"/>
            <w:vAlign w:val="top"/>
          </w:tcPr>
          <w:p w14:paraId="5736D1EA">
            <w:pPr>
              <w:rPr>
                <w:sz w:val="24"/>
                <w:highlight w:val="none"/>
              </w:rPr>
            </w:pPr>
          </w:p>
        </w:tc>
        <w:tc>
          <w:tcPr>
            <w:tcW w:w="1667" w:type="pct"/>
            <w:shd w:val="clear" w:color="auto" w:fill="auto"/>
            <w:noWrap w:val="0"/>
            <w:vAlign w:val="top"/>
          </w:tcPr>
          <w:p w14:paraId="342238B3">
            <w:pPr>
              <w:rPr>
                <w:sz w:val="24"/>
                <w:highlight w:val="none"/>
              </w:rPr>
            </w:pPr>
          </w:p>
        </w:tc>
        <w:tc>
          <w:tcPr>
            <w:tcW w:w="1667" w:type="pct"/>
            <w:shd w:val="clear" w:color="auto" w:fill="auto"/>
            <w:noWrap w:val="0"/>
            <w:vAlign w:val="top"/>
          </w:tcPr>
          <w:p w14:paraId="38726A2D">
            <w:pPr>
              <w:rPr>
                <w:sz w:val="24"/>
                <w:highlight w:val="none"/>
              </w:rPr>
            </w:pPr>
          </w:p>
        </w:tc>
      </w:tr>
      <w:tr w14:paraId="01EEC5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shd w:val="clear" w:color="auto" w:fill="auto"/>
            <w:noWrap w:val="0"/>
            <w:vAlign w:val="top"/>
          </w:tcPr>
          <w:p w14:paraId="792767A2">
            <w:pPr>
              <w:rPr>
                <w:sz w:val="24"/>
                <w:highlight w:val="none"/>
              </w:rPr>
            </w:pPr>
          </w:p>
        </w:tc>
        <w:tc>
          <w:tcPr>
            <w:tcW w:w="1667" w:type="pct"/>
            <w:shd w:val="clear" w:color="auto" w:fill="auto"/>
            <w:noWrap w:val="0"/>
            <w:vAlign w:val="top"/>
          </w:tcPr>
          <w:p w14:paraId="3FD413CD">
            <w:pPr>
              <w:rPr>
                <w:sz w:val="24"/>
                <w:highlight w:val="none"/>
              </w:rPr>
            </w:pPr>
          </w:p>
        </w:tc>
        <w:tc>
          <w:tcPr>
            <w:tcW w:w="1667" w:type="pct"/>
            <w:shd w:val="clear" w:color="auto" w:fill="auto"/>
            <w:noWrap w:val="0"/>
            <w:vAlign w:val="top"/>
          </w:tcPr>
          <w:p w14:paraId="13308363">
            <w:pPr>
              <w:rPr>
                <w:sz w:val="24"/>
                <w:highlight w:val="none"/>
              </w:rPr>
            </w:pPr>
          </w:p>
        </w:tc>
      </w:tr>
    </w:tbl>
    <w:p w14:paraId="4077A83D">
      <w:pPr>
        <w:tabs>
          <w:tab w:val="left" w:pos="1800"/>
          <w:tab w:val="left" w:pos="5580"/>
        </w:tabs>
        <w:jc w:val="left"/>
        <w:rPr>
          <w:color w:val="000000"/>
          <w:sz w:val="24"/>
          <w:highlight w:val="none"/>
        </w:rPr>
      </w:pPr>
      <w:r>
        <w:rPr>
          <w:color w:val="000000"/>
          <w:sz w:val="24"/>
          <w:highlight w:val="none"/>
        </w:rPr>
        <w:t>注：1.供应商如为联合体，则应填写联合体各成员信息。</w:t>
      </w:r>
    </w:p>
    <w:p w14:paraId="62EF4D18">
      <w:pPr>
        <w:tabs>
          <w:tab w:val="left" w:pos="1800"/>
          <w:tab w:val="left" w:pos="5580"/>
        </w:tabs>
        <w:ind w:firstLine="480" w:firstLineChars="200"/>
        <w:jc w:val="left"/>
        <w:rPr>
          <w:color w:val="000000"/>
          <w:sz w:val="24"/>
          <w:highlight w:val="none"/>
        </w:rPr>
      </w:pPr>
      <w:r>
        <w:rPr>
          <w:color w:val="000000"/>
          <w:sz w:val="24"/>
          <w:highlight w:val="none"/>
        </w:rPr>
        <w:t>2.供应商所属性别请填写“男”</w:t>
      </w:r>
      <w:r>
        <w:rPr>
          <w:rFonts w:hint="eastAsia"/>
          <w:color w:val="000000"/>
          <w:sz w:val="24"/>
          <w:highlight w:val="none"/>
        </w:rPr>
        <w:t>或</w:t>
      </w:r>
      <w:r>
        <w:rPr>
          <w:color w:val="000000"/>
          <w:sz w:val="24"/>
          <w:highlight w:val="none"/>
        </w:rPr>
        <w:t>“女”，</w:t>
      </w:r>
      <w:r>
        <w:rPr>
          <w:rFonts w:hint="eastAsia"/>
          <w:color w:val="000000"/>
          <w:sz w:val="24"/>
          <w:highlight w:val="none"/>
        </w:rPr>
        <w:t>指拥有供应商5</w:t>
      </w:r>
      <w:r>
        <w:rPr>
          <w:color w:val="000000"/>
          <w:sz w:val="24"/>
          <w:highlight w:val="none"/>
        </w:rPr>
        <w:t>1%</w:t>
      </w:r>
      <w:r>
        <w:rPr>
          <w:rFonts w:hint="eastAsia"/>
          <w:color w:val="000000"/>
          <w:sz w:val="24"/>
          <w:highlight w:val="none"/>
        </w:rPr>
        <w:t>以上绝对所有权的性别；绝对所有权拥有者可以是一个人，也可以是多人合计计算</w:t>
      </w:r>
      <w:r>
        <w:rPr>
          <w:color w:val="000000"/>
          <w:sz w:val="24"/>
          <w:highlight w:val="none"/>
        </w:rPr>
        <w:t>。</w:t>
      </w:r>
    </w:p>
    <w:p w14:paraId="4DA86A11">
      <w:pPr>
        <w:tabs>
          <w:tab w:val="left" w:pos="1800"/>
          <w:tab w:val="left" w:pos="5580"/>
        </w:tabs>
        <w:ind w:firstLine="480" w:firstLineChars="200"/>
        <w:jc w:val="left"/>
        <w:rPr>
          <w:color w:val="000000"/>
          <w:sz w:val="24"/>
          <w:highlight w:val="none"/>
        </w:rPr>
      </w:pPr>
      <w:r>
        <w:rPr>
          <w:color w:val="000000"/>
          <w:sz w:val="24"/>
          <w:highlight w:val="none"/>
        </w:rPr>
        <w:t>3.外商投资类型请填写“外商单独投资”、“外商部分投资”</w:t>
      </w:r>
      <w:r>
        <w:rPr>
          <w:rFonts w:hint="eastAsia"/>
          <w:color w:val="000000"/>
          <w:sz w:val="24"/>
          <w:highlight w:val="none"/>
        </w:rPr>
        <w:t>或</w:t>
      </w:r>
      <w:r>
        <w:rPr>
          <w:color w:val="000000"/>
          <w:sz w:val="24"/>
          <w:highlight w:val="none"/>
        </w:rPr>
        <w:t>“内资”。</w:t>
      </w:r>
    </w:p>
    <w:p w14:paraId="2C7A4919">
      <w:pPr>
        <w:tabs>
          <w:tab w:val="left" w:pos="1800"/>
          <w:tab w:val="left" w:pos="5580"/>
        </w:tabs>
        <w:spacing w:line="360" w:lineRule="auto"/>
        <w:jc w:val="left"/>
        <w:rPr>
          <w:rFonts w:ascii="宋体" w:hAnsi="宋体"/>
          <w:color w:val="000000"/>
          <w:sz w:val="24"/>
          <w:highlight w:val="none"/>
        </w:rPr>
      </w:pPr>
      <w:r>
        <w:rPr>
          <w:color w:val="000000"/>
          <w:sz w:val="24"/>
          <w:highlight w:val="none"/>
        </w:rPr>
        <w:br w:type="page"/>
      </w:r>
      <w:r>
        <w:rPr>
          <w:color w:val="000000"/>
          <w:sz w:val="24"/>
          <w:highlight w:val="none"/>
        </w:rPr>
        <w:t>8-2</w:t>
      </w:r>
      <w:r>
        <w:rPr>
          <w:rFonts w:hint="eastAsia" w:ascii="宋体" w:hAnsi="宋体"/>
          <w:color w:val="000000"/>
          <w:sz w:val="24"/>
          <w:highlight w:val="none"/>
        </w:rPr>
        <w:t>投入本项目法律援助服务团队的人员</w:t>
      </w:r>
      <w:r>
        <w:rPr>
          <w:rFonts w:hint="eastAsia" w:ascii="宋体" w:hAnsi="宋体" w:cs="宋体"/>
          <w:sz w:val="24"/>
          <w:highlight w:val="none"/>
        </w:rPr>
        <w:t>汇总表、律师执业证书或基层法律服务工作者执业证书、执业年限证明材料、</w:t>
      </w:r>
      <w:r>
        <w:rPr>
          <w:rFonts w:hint="eastAsia" w:ascii="宋体" w:hAnsi="宋体"/>
          <w:color w:val="000000"/>
          <w:sz w:val="24"/>
          <w:highlight w:val="none"/>
        </w:rPr>
        <w:t>党员所在党组织出具的证明材料等</w:t>
      </w:r>
    </w:p>
    <w:p w14:paraId="43080B3F">
      <w:pPr>
        <w:tabs>
          <w:tab w:val="left" w:pos="1800"/>
          <w:tab w:val="left" w:pos="5580"/>
        </w:tabs>
        <w:spacing w:line="360" w:lineRule="auto"/>
        <w:jc w:val="left"/>
        <w:rPr>
          <w:rFonts w:hint="eastAsia"/>
          <w:color w:val="000000"/>
          <w:sz w:val="24"/>
          <w:highlight w:val="none"/>
        </w:rPr>
      </w:pPr>
      <w:r>
        <w:rPr>
          <w:rFonts w:ascii="宋体" w:hAnsi="宋体"/>
          <w:color w:val="000000"/>
          <w:sz w:val="24"/>
          <w:highlight w:val="none"/>
        </w:rPr>
        <w:br w:type="page"/>
      </w:r>
      <w:r>
        <w:rPr>
          <w:rFonts w:ascii="宋体" w:hAnsi="宋体"/>
          <w:color w:val="000000"/>
          <w:sz w:val="24"/>
          <w:highlight w:val="none"/>
        </w:rPr>
        <w:t>8-3</w:t>
      </w:r>
      <w:r>
        <w:rPr>
          <w:rFonts w:hint="eastAsia" w:ascii="宋体" w:hAnsi="宋体"/>
          <w:color w:val="000000"/>
          <w:sz w:val="24"/>
          <w:highlight w:val="none"/>
        </w:rPr>
        <w:t>特殊案件承办能力</w:t>
      </w:r>
    </w:p>
    <w:p w14:paraId="40DBD275">
      <w:pPr>
        <w:tabs>
          <w:tab w:val="left" w:pos="1800"/>
          <w:tab w:val="left" w:pos="5580"/>
        </w:tabs>
        <w:spacing w:line="360" w:lineRule="auto"/>
        <w:jc w:val="left"/>
        <w:rPr>
          <w:rFonts w:ascii="宋体" w:hAnsi="宋体"/>
          <w:color w:val="000000"/>
          <w:sz w:val="24"/>
          <w:highlight w:val="none"/>
        </w:rPr>
      </w:pPr>
      <w:r>
        <w:rPr>
          <w:b/>
          <w:sz w:val="36"/>
          <w:szCs w:val="36"/>
          <w:highlight w:val="none"/>
        </w:rPr>
        <w:br w:type="page"/>
      </w:r>
      <w:r>
        <w:rPr>
          <w:rFonts w:ascii="宋体" w:hAnsi="宋体"/>
          <w:color w:val="000000"/>
          <w:sz w:val="24"/>
          <w:highlight w:val="none"/>
        </w:rPr>
        <w:t>8-4</w:t>
      </w:r>
      <w:r>
        <w:rPr>
          <w:rFonts w:hint="eastAsia" w:ascii="宋体" w:hAnsi="宋体"/>
          <w:color w:val="000000"/>
          <w:sz w:val="24"/>
          <w:highlight w:val="none"/>
        </w:rPr>
        <w:t>同类项目业绩</w:t>
      </w:r>
    </w:p>
    <w:p w14:paraId="377C4ACD">
      <w:pPr>
        <w:tabs>
          <w:tab w:val="left" w:pos="1800"/>
          <w:tab w:val="left" w:pos="5580"/>
        </w:tabs>
        <w:spacing w:line="360" w:lineRule="auto"/>
        <w:jc w:val="left"/>
        <w:rPr>
          <w:b/>
          <w:sz w:val="36"/>
          <w:szCs w:val="36"/>
          <w:highlight w:val="none"/>
        </w:rPr>
      </w:pPr>
      <w:r>
        <w:rPr>
          <w:rFonts w:ascii="宋体" w:hAnsi="宋体"/>
          <w:color w:val="000000"/>
          <w:sz w:val="24"/>
          <w:highlight w:val="none"/>
        </w:rPr>
        <w:br w:type="page"/>
      </w:r>
      <w:r>
        <w:rPr>
          <w:rFonts w:ascii="宋体" w:hAnsi="宋体"/>
          <w:color w:val="000000"/>
          <w:sz w:val="24"/>
          <w:highlight w:val="none"/>
        </w:rPr>
        <w:t>8-5</w:t>
      </w:r>
      <w:r>
        <w:rPr>
          <w:rFonts w:hint="eastAsia" w:ascii="宋体" w:hAnsi="宋体"/>
          <w:color w:val="000000"/>
          <w:sz w:val="24"/>
          <w:highlight w:val="none"/>
        </w:rPr>
        <w:t>供应商</w:t>
      </w:r>
      <w:r>
        <w:rPr>
          <w:rFonts w:ascii="宋体" w:hAnsi="宋体"/>
          <w:color w:val="000000"/>
          <w:sz w:val="24"/>
          <w:highlight w:val="none"/>
        </w:rPr>
        <w:t>认为应附的其他材料</w:t>
      </w: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ˎ̥">
    <w:altName w:val="Arial Unicode MS"/>
    <w:panose1 w:val="00000000000000000000"/>
    <w:charset w:val="00"/>
    <w:family w:val="roman"/>
    <w:pitch w:val="default"/>
    <w:sig w:usb0="00000000" w:usb1="00000000" w:usb2="00000000"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2067E7">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2</w:t>
    </w:r>
    <w:r>
      <w:rPr>
        <w:rFonts w:ascii="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7103F">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5F21B22F">
    <w:pPr>
      <w:pStyle w:val="2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7BF1D">
    <w:pPr>
      <w:pStyle w:val="2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58B5C">
    <w:pPr>
      <w:pStyle w:val="28"/>
      <w:jc w:val="center"/>
    </w:pPr>
    <w:r>
      <w:fldChar w:fldCharType="begin"/>
    </w:r>
    <w:r>
      <w:instrText xml:space="preserve">PAGE   \* MERGEFORMAT</w:instrText>
    </w:r>
    <w:r>
      <w:fldChar w:fldCharType="separate"/>
    </w:r>
    <w:r>
      <w:rPr>
        <w:lang w:val="zh-CN"/>
      </w:rPr>
      <w:t>74</w:t>
    </w:r>
    <w:r>
      <w:fldChar w:fldCharType="end"/>
    </w:r>
  </w:p>
  <w:p w14:paraId="0FD297EA"/>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5CF7B">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2407FF5E">
    <w:pPr>
      <w:pStyle w:val="28"/>
      <w:ind w:right="360"/>
    </w:pPr>
  </w:p>
  <w:p w14:paraId="463DB967"/>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8FE75">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8B1FE">
    <w:pPr>
      <w:pStyle w:val="2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66D66">
    <w:pPr>
      <w:pStyle w:val="2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E1C21">
    <w:pPr>
      <w:spacing w:before="20" w:line="20" w:lineRule="exact"/>
      <w:textAlignment w:val="center"/>
    </w:pPr>
  </w:p>
  <w:p w14:paraId="18903208"/>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2298D">
    <w:pPr>
      <w:pStyle w:val="29"/>
    </w:pPr>
  </w:p>
  <w:p w14:paraId="5270128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E8F59">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109"/>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8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54"/>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10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0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39"/>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38"/>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47"/>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60"/>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23"/>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41"/>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108"/>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9">
    <w:nsid w:val="0E230849"/>
    <w:multiLevelType w:val="multilevel"/>
    <w:tmpl w:val="0E230849"/>
    <w:lvl w:ilvl="0" w:tentative="0">
      <w:start w:val="1"/>
      <w:numFmt w:val="decimal"/>
      <w:pStyle w:val="209"/>
      <w:lvlText w:val="%1"/>
      <w:lvlJc w:val="left"/>
      <w:pPr>
        <w:ind w:left="680" w:hanging="680"/>
      </w:pPr>
      <w:rPr>
        <w:rFonts w:hint="eastAsia" w:ascii="宋体" w:hAnsi="宋体" w:eastAsia="宋体"/>
      </w:rPr>
    </w:lvl>
    <w:lvl w:ilvl="1" w:tentative="0">
      <w:start w:val="1"/>
      <w:numFmt w:val="decimal"/>
      <w:pStyle w:val="210"/>
      <w:lvlText w:val="%1.%2"/>
      <w:lvlJc w:val="left"/>
      <w:pPr>
        <w:ind w:left="851" w:hanging="851"/>
      </w:pPr>
      <w:rPr>
        <w:rFonts w:hint="eastAsia" w:ascii="宋体" w:hAnsi="宋体" w:eastAsia="宋体"/>
        <w:color w:val="auto"/>
      </w:rPr>
    </w:lvl>
    <w:lvl w:ilvl="2" w:tentative="0">
      <w:start w:val="1"/>
      <w:numFmt w:val="decimal"/>
      <w:pStyle w:val="211"/>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3">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6">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9"/>
  </w:num>
  <w:num w:numId="8">
    <w:abstractNumId w:val="6"/>
  </w:num>
  <w:num w:numId="9">
    <w:abstractNumId w:val="11"/>
  </w:num>
  <w:num w:numId="10">
    <w:abstractNumId w:val="0"/>
  </w:num>
  <w:num w:numId="11">
    <w:abstractNumId w:val="14"/>
  </w:num>
  <w:num w:numId="12">
    <w:abstractNumId w:val="10"/>
  </w:num>
  <w:num w:numId="13">
    <w:abstractNumId w:val="17"/>
  </w:num>
  <w:num w:numId="14">
    <w:abstractNumId w:val="16"/>
  </w:num>
  <w:num w:numId="15">
    <w:abstractNumId w:val="12"/>
  </w:num>
  <w:num w:numId="16">
    <w:abstractNumId w:val="15"/>
  </w:num>
  <w:num w:numId="17">
    <w:abstractNumId w:val="13"/>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5F4"/>
    <w:rsid w:val="00000905"/>
    <w:rsid w:val="00000CCE"/>
    <w:rsid w:val="00000DF5"/>
    <w:rsid w:val="00000F3F"/>
    <w:rsid w:val="00001676"/>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86C"/>
    <w:rsid w:val="000039FD"/>
    <w:rsid w:val="00003A41"/>
    <w:rsid w:val="00003E5F"/>
    <w:rsid w:val="00003E6A"/>
    <w:rsid w:val="00003EA2"/>
    <w:rsid w:val="00004254"/>
    <w:rsid w:val="0000429B"/>
    <w:rsid w:val="000044A2"/>
    <w:rsid w:val="000046C6"/>
    <w:rsid w:val="0000474F"/>
    <w:rsid w:val="00004A22"/>
    <w:rsid w:val="00004C3C"/>
    <w:rsid w:val="00004C44"/>
    <w:rsid w:val="00004D13"/>
    <w:rsid w:val="00004E70"/>
    <w:rsid w:val="0000508D"/>
    <w:rsid w:val="000051DC"/>
    <w:rsid w:val="00005232"/>
    <w:rsid w:val="000053B4"/>
    <w:rsid w:val="00005407"/>
    <w:rsid w:val="00005905"/>
    <w:rsid w:val="00005AF1"/>
    <w:rsid w:val="00005DF0"/>
    <w:rsid w:val="00005EC8"/>
    <w:rsid w:val="000060A7"/>
    <w:rsid w:val="000064A5"/>
    <w:rsid w:val="000064B2"/>
    <w:rsid w:val="00006923"/>
    <w:rsid w:val="00006BD5"/>
    <w:rsid w:val="00006CD1"/>
    <w:rsid w:val="00006CD3"/>
    <w:rsid w:val="0000708E"/>
    <w:rsid w:val="000073B1"/>
    <w:rsid w:val="000073E8"/>
    <w:rsid w:val="00007598"/>
    <w:rsid w:val="000075B9"/>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50"/>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4A"/>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1FE6"/>
    <w:rsid w:val="0002210E"/>
    <w:rsid w:val="00022157"/>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ADE"/>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4B"/>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AF3"/>
    <w:rsid w:val="00027DC9"/>
    <w:rsid w:val="00027EC6"/>
    <w:rsid w:val="00027FF6"/>
    <w:rsid w:val="0003010B"/>
    <w:rsid w:val="000301C2"/>
    <w:rsid w:val="00030300"/>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CF5"/>
    <w:rsid w:val="00031EC6"/>
    <w:rsid w:val="00032437"/>
    <w:rsid w:val="000324CE"/>
    <w:rsid w:val="00032727"/>
    <w:rsid w:val="00032743"/>
    <w:rsid w:val="000328FF"/>
    <w:rsid w:val="00032A06"/>
    <w:rsid w:val="00032B14"/>
    <w:rsid w:val="00032C55"/>
    <w:rsid w:val="00032E71"/>
    <w:rsid w:val="00033034"/>
    <w:rsid w:val="00033192"/>
    <w:rsid w:val="00033263"/>
    <w:rsid w:val="000332D4"/>
    <w:rsid w:val="00033665"/>
    <w:rsid w:val="000337D2"/>
    <w:rsid w:val="00033A69"/>
    <w:rsid w:val="0003416B"/>
    <w:rsid w:val="000342A7"/>
    <w:rsid w:val="000342C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437"/>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070"/>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3DA"/>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75"/>
    <w:rsid w:val="000460A7"/>
    <w:rsid w:val="0004611A"/>
    <w:rsid w:val="000461DC"/>
    <w:rsid w:val="00046309"/>
    <w:rsid w:val="0004639F"/>
    <w:rsid w:val="000463AB"/>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723"/>
    <w:rsid w:val="00053890"/>
    <w:rsid w:val="00053AC5"/>
    <w:rsid w:val="00053B80"/>
    <w:rsid w:val="0005434F"/>
    <w:rsid w:val="00054540"/>
    <w:rsid w:val="0005464B"/>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9FA"/>
    <w:rsid w:val="00056B27"/>
    <w:rsid w:val="00056E70"/>
    <w:rsid w:val="0005707E"/>
    <w:rsid w:val="000570D7"/>
    <w:rsid w:val="0005717B"/>
    <w:rsid w:val="000571B5"/>
    <w:rsid w:val="00057274"/>
    <w:rsid w:val="0005763B"/>
    <w:rsid w:val="000578B9"/>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A5F"/>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392"/>
    <w:rsid w:val="000665A0"/>
    <w:rsid w:val="000666C4"/>
    <w:rsid w:val="000668C9"/>
    <w:rsid w:val="000668CA"/>
    <w:rsid w:val="000668D7"/>
    <w:rsid w:val="00066C16"/>
    <w:rsid w:val="00066E01"/>
    <w:rsid w:val="00066FF2"/>
    <w:rsid w:val="000671BE"/>
    <w:rsid w:val="0006751D"/>
    <w:rsid w:val="00067529"/>
    <w:rsid w:val="00067802"/>
    <w:rsid w:val="000679C4"/>
    <w:rsid w:val="00067D43"/>
    <w:rsid w:val="00067E9C"/>
    <w:rsid w:val="000701A2"/>
    <w:rsid w:val="000703EE"/>
    <w:rsid w:val="000704DA"/>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2DF"/>
    <w:rsid w:val="000732E5"/>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585"/>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22"/>
    <w:rsid w:val="00080289"/>
    <w:rsid w:val="00080443"/>
    <w:rsid w:val="000805BC"/>
    <w:rsid w:val="00080608"/>
    <w:rsid w:val="00080982"/>
    <w:rsid w:val="000809DF"/>
    <w:rsid w:val="00080C51"/>
    <w:rsid w:val="00080ED0"/>
    <w:rsid w:val="0008131C"/>
    <w:rsid w:val="00081713"/>
    <w:rsid w:val="000817A1"/>
    <w:rsid w:val="00081948"/>
    <w:rsid w:val="00081952"/>
    <w:rsid w:val="00082322"/>
    <w:rsid w:val="0008234E"/>
    <w:rsid w:val="00082377"/>
    <w:rsid w:val="00082994"/>
    <w:rsid w:val="00082DA8"/>
    <w:rsid w:val="000832F9"/>
    <w:rsid w:val="00083393"/>
    <w:rsid w:val="00083626"/>
    <w:rsid w:val="000836B3"/>
    <w:rsid w:val="00083A02"/>
    <w:rsid w:val="00083A20"/>
    <w:rsid w:val="00083ABF"/>
    <w:rsid w:val="00083CE4"/>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2C"/>
    <w:rsid w:val="00086EFE"/>
    <w:rsid w:val="00087282"/>
    <w:rsid w:val="00087C66"/>
    <w:rsid w:val="00087D11"/>
    <w:rsid w:val="00087DE9"/>
    <w:rsid w:val="00090010"/>
    <w:rsid w:val="000902F4"/>
    <w:rsid w:val="00090478"/>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61F"/>
    <w:rsid w:val="0009672F"/>
    <w:rsid w:val="000967EC"/>
    <w:rsid w:val="00096822"/>
    <w:rsid w:val="00096835"/>
    <w:rsid w:val="00096BFF"/>
    <w:rsid w:val="00096C99"/>
    <w:rsid w:val="00096CA2"/>
    <w:rsid w:val="00096CBB"/>
    <w:rsid w:val="00096CE7"/>
    <w:rsid w:val="00096F57"/>
    <w:rsid w:val="00097175"/>
    <w:rsid w:val="000974EB"/>
    <w:rsid w:val="0009757F"/>
    <w:rsid w:val="000975C7"/>
    <w:rsid w:val="000976D2"/>
    <w:rsid w:val="0009785E"/>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43"/>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B8"/>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099"/>
    <w:rsid w:val="000A721F"/>
    <w:rsid w:val="000A7467"/>
    <w:rsid w:val="000A77E9"/>
    <w:rsid w:val="000A79A7"/>
    <w:rsid w:val="000A7ACC"/>
    <w:rsid w:val="000A7CFA"/>
    <w:rsid w:val="000A7D7F"/>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6B3"/>
    <w:rsid w:val="000B1A73"/>
    <w:rsid w:val="000B1B49"/>
    <w:rsid w:val="000B1CAA"/>
    <w:rsid w:val="000B2009"/>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D78"/>
    <w:rsid w:val="000B4EA9"/>
    <w:rsid w:val="000B4FDF"/>
    <w:rsid w:val="000B5054"/>
    <w:rsid w:val="000B509B"/>
    <w:rsid w:val="000B51F4"/>
    <w:rsid w:val="000B5244"/>
    <w:rsid w:val="000B527F"/>
    <w:rsid w:val="000B52C2"/>
    <w:rsid w:val="000B5452"/>
    <w:rsid w:val="000B55C3"/>
    <w:rsid w:val="000B564B"/>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0E00"/>
    <w:rsid w:val="000C11D6"/>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5F"/>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4A3"/>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2FDB"/>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3D"/>
    <w:rsid w:val="000E11BF"/>
    <w:rsid w:val="000E1232"/>
    <w:rsid w:val="000E1253"/>
    <w:rsid w:val="000E12D6"/>
    <w:rsid w:val="000E1590"/>
    <w:rsid w:val="000E1768"/>
    <w:rsid w:val="000E1859"/>
    <w:rsid w:val="000E1C12"/>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584A"/>
    <w:rsid w:val="000E60DC"/>
    <w:rsid w:val="000E62CE"/>
    <w:rsid w:val="000E62D4"/>
    <w:rsid w:val="000E62F5"/>
    <w:rsid w:val="000E6382"/>
    <w:rsid w:val="000E655D"/>
    <w:rsid w:val="000E678B"/>
    <w:rsid w:val="000E6A44"/>
    <w:rsid w:val="000E6A51"/>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446"/>
    <w:rsid w:val="000F2592"/>
    <w:rsid w:val="000F2A85"/>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2DD"/>
    <w:rsid w:val="000F636C"/>
    <w:rsid w:val="000F64E1"/>
    <w:rsid w:val="000F66A1"/>
    <w:rsid w:val="000F67F0"/>
    <w:rsid w:val="000F6A6B"/>
    <w:rsid w:val="000F6BB7"/>
    <w:rsid w:val="000F6CE4"/>
    <w:rsid w:val="000F72E1"/>
    <w:rsid w:val="000F736E"/>
    <w:rsid w:val="000F738E"/>
    <w:rsid w:val="000F74AB"/>
    <w:rsid w:val="000F74D5"/>
    <w:rsid w:val="000F74EA"/>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3"/>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488"/>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41"/>
    <w:rsid w:val="00112EA1"/>
    <w:rsid w:val="00112EB8"/>
    <w:rsid w:val="00112F41"/>
    <w:rsid w:val="00113254"/>
    <w:rsid w:val="001133A4"/>
    <w:rsid w:val="00113451"/>
    <w:rsid w:val="0011354B"/>
    <w:rsid w:val="0011375C"/>
    <w:rsid w:val="001137C8"/>
    <w:rsid w:val="001137CA"/>
    <w:rsid w:val="00113A82"/>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07"/>
    <w:rsid w:val="00120C39"/>
    <w:rsid w:val="00120C60"/>
    <w:rsid w:val="00120CC0"/>
    <w:rsid w:val="00120CD9"/>
    <w:rsid w:val="001210C1"/>
    <w:rsid w:val="001212D3"/>
    <w:rsid w:val="0012135A"/>
    <w:rsid w:val="00121418"/>
    <w:rsid w:val="0012165E"/>
    <w:rsid w:val="001216C8"/>
    <w:rsid w:val="001218AD"/>
    <w:rsid w:val="00121CCD"/>
    <w:rsid w:val="00121D83"/>
    <w:rsid w:val="001226E3"/>
    <w:rsid w:val="0012282D"/>
    <w:rsid w:val="001229F8"/>
    <w:rsid w:val="00122A53"/>
    <w:rsid w:val="00122A5B"/>
    <w:rsid w:val="00122AAE"/>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4E0"/>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5E1F"/>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548"/>
    <w:rsid w:val="00130A6F"/>
    <w:rsid w:val="00130B27"/>
    <w:rsid w:val="00130B75"/>
    <w:rsid w:val="00130C9F"/>
    <w:rsid w:val="00130D4E"/>
    <w:rsid w:val="00130DBC"/>
    <w:rsid w:val="00130DE4"/>
    <w:rsid w:val="00130F26"/>
    <w:rsid w:val="001310F1"/>
    <w:rsid w:val="00131197"/>
    <w:rsid w:val="001314B9"/>
    <w:rsid w:val="001316FA"/>
    <w:rsid w:val="0013186F"/>
    <w:rsid w:val="001319A0"/>
    <w:rsid w:val="00131D11"/>
    <w:rsid w:val="00131E9C"/>
    <w:rsid w:val="00131ED2"/>
    <w:rsid w:val="00131F49"/>
    <w:rsid w:val="00132024"/>
    <w:rsid w:val="00132696"/>
    <w:rsid w:val="001328EB"/>
    <w:rsid w:val="00132B1C"/>
    <w:rsid w:val="00132D5E"/>
    <w:rsid w:val="00132E43"/>
    <w:rsid w:val="00132F01"/>
    <w:rsid w:val="00133060"/>
    <w:rsid w:val="0013309E"/>
    <w:rsid w:val="00133280"/>
    <w:rsid w:val="0013339C"/>
    <w:rsid w:val="001333F0"/>
    <w:rsid w:val="001335C9"/>
    <w:rsid w:val="001335CB"/>
    <w:rsid w:val="001335FF"/>
    <w:rsid w:val="0013392C"/>
    <w:rsid w:val="001339AC"/>
    <w:rsid w:val="001339FA"/>
    <w:rsid w:val="00133D0C"/>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6F30"/>
    <w:rsid w:val="001371D4"/>
    <w:rsid w:val="001371DC"/>
    <w:rsid w:val="0013750D"/>
    <w:rsid w:val="001379B7"/>
    <w:rsid w:val="00137A98"/>
    <w:rsid w:val="00137DD9"/>
    <w:rsid w:val="00137F03"/>
    <w:rsid w:val="001400A0"/>
    <w:rsid w:val="001404E9"/>
    <w:rsid w:val="00140656"/>
    <w:rsid w:val="00140904"/>
    <w:rsid w:val="00140C98"/>
    <w:rsid w:val="00140CC4"/>
    <w:rsid w:val="00140D6C"/>
    <w:rsid w:val="00140E02"/>
    <w:rsid w:val="00141657"/>
    <w:rsid w:val="001416C8"/>
    <w:rsid w:val="00141C91"/>
    <w:rsid w:val="00141D40"/>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96B"/>
    <w:rsid w:val="00144DFB"/>
    <w:rsid w:val="00145102"/>
    <w:rsid w:val="00145206"/>
    <w:rsid w:val="001452BA"/>
    <w:rsid w:val="0014531D"/>
    <w:rsid w:val="001453CC"/>
    <w:rsid w:val="00145496"/>
    <w:rsid w:val="001454C9"/>
    <w:rsid w:val="001455F5"/>
    <w:rsid w:val="001456A7"/>
    <w:rsid w:val="001457F8"/>
    <w:rsid w:val="00145BFC"/>
    <w:rsid w:val="00145C76"/>
    <w:rsid w:val="00145C97"/>
    <w:rsid w:val="00145DB1"/>
    <w:rsid w:val="00145E1D"/>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17A"/>
    <w:rsid w:val="00151323"/>
    <w:rsid w:val="001513B4"/>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B3A"/>
    <w:rsid w:val="00152FE4"/>
    <w:rsid w:val="0015310F"/>
    <w:rsid w:val="001532A4"/>
    <w:rsid w:val="001537A4"/>
    <w:rsid w:val="001537D0"/>
    <w:rsid w:val="00153B7D"/>
    <w:rsid w:val="00153BC8"/>
    <w:rsid w:val="00153F15"/>
    <w:rsid w:val="00154401"/>
    <w:rsid w:val="001545AD"/>
    <w:rsid w:val="00154682"/>
    <w:rsid w:val="001547F6"/>
    <w:rsid w:val="00154B9B"/>
    <w:rsid w:val="00154E2A"/>
    <w:rsid w:val="00154E60"/>
    <w:rsid w:val="00155202"/>
    <w:rsid w:val="0015538F"/>
    <w:rsid w:val="00155434"/>
    <w:rsid w:val="0015628C"/>
    <w:rsid w:val="00156438"/>
    <w:rsid w:val="001564FC"/>
    <w:rsid w:val="00156D28"/>
    <w:rsid w:val="00156D64"/>
    <w:rsid w:val="00156EF9"/>
    <w:rsid w:val="00157375"/>
    <w:rsid w:val="00157500"/>
    <w:rsid w:val="00157721"/>
    <w:rsid w:val="00157952"/>
    <w:rsid w:val="00157A47"/>
    <w:rsid w:val="001602B3"/>
    <w:rsid w:val="0016040C"/>
    <w:rsid w:val="001604C3"/>
    <w:rsid w:val="0016050D"/>
    <w:rsid w:val="0016061F"/>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B4"/>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DC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5FCF"/>
    <w:rsid w:val="0017603C"/>
    <w:rsid w:val="00176149"/>
    <w:rsid w:val="0017622F"/>
    <w:rsid w:val="0017623A"/>
    <w:rsid w:val="00176250"/>
    <w:rsid w:val="00176399"/>
    <w:rsid w:val="00176663"/>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1DB1"/>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BF2"/>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5DEB"/>
    <w:rsid w:val="00185FDE"/>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28"/>
    <w:rsid w:val="00190143"/>
    <w:rsid w:val="0019015C"/>
    <w:rsid w:val="00190335"/>
    <w:rsid w:val="00190396"/>
    <w:rsid w:val="001907E2"/>
    <w:rsid w:val="00190BC8"/>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CA4"/>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5E83"/>
    <w:rsid w:val="00195F65"/>
    <w:rsid w:val="00196120"/>
    <w:rsid w:val="001961CE"/>
    <w:rsid w:val="00196296"/>
    <w:rsid w:val="00196AA1"/>
    <w:rsid w:val="00196C49"/>
    <w:rsid w:val="00196C9A"/>
    <w:rsid w:val="00196D7F"/>
    <w:rsid w:val="001971A4"/>
    <w:rsid w:val="00197329"/>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9E"/>
    <w:rsid w:val="001A27B9"/>
    <w:rsid w:val="001A27E8"/>
    <w:rsid w:val="001A287C"/>
    <w:rsid w:val="001A29C1"/>
    <w:rsid w:val="001A2AFE"/>
    <w:rsid w:val="001A3094"/>
    <w:rsid w:val="001A35AC"/>
    <w:rsid w:val="001A3985"/>
    <w:rsid w:val="001A3B68"/>
    <w:rsid w:val="001A3CCC"/>
    <w:rsid w:val="001A4045"/>
    <w:rsid w:val="001A40CF"/>
    <w:rsid w:val="001A42F1"/>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8FB"/>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97F"/>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DC6"/>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1E"/>
    <w:rsid w:val="001C1B8B"/>
    <w:rsid w:val="001C1E53"/>
    <w:rsid w:val="001C2145"/>
    <w:rsid w:val="001C2397"/>
    <w:rsid w:val="001C255E"/>
    <w:rsid w:val="001C2695"/>
    <w:rsid w:val="001C2997"/>
    <w:rsid w:val="001C29BE"/>
    <w:rsid w:val="001C2DCD"/>
    <w:rsid w:val="001C2E41"/>
    <w:rsid w:val="001C2F19"/>
    <w:rsid w:val="001C2F65"/>
    <w:rsid w:val="001C326E"/>
    <w:rsid w:val="001C33D5"/>
    <w:rsid w:val="001C34AE"/>
    <w:rsid w:val="001C34EC"/>
    <w:rsid w:val="001C3701"/>
    <w:rsid w:val="001C38DF"/>
    <w:rsid w:val="001C3982"/>
    <w:rsid w:val="001C4429"/>
    <w:rsid w:val="001C44DA"/>
    <w:rsid w:val="001C47A0"/>
    <w:rsid w:val="001C47E6"/>
    <w:rsid w:val="001C4E97"/>
    <w:rsid w:val="001C4F2E"/>
    <w:rsid w:val="001C4F89"/>
    <w:rsid w:val="001C503B"/>
    <w:rsid w:val="001C50AB"/>
    <w:rsid w:val="001C52A2"/>
    <w:rsid w:val="001C52D4"/>
    <w:rsid w:val="001C536A"/>
    <w:rsid w:val="001C5478"/>
    <w:rsid w:val="001C54F9"/>
    <w:rsid w:val="001C56EF"/>
    <w:rsid w:val="001C57B0"/>
    <w:rsid w:val="001C5849"/>
    <w:rsid w:val="001C5BED"/>
    <w:rsid w:val="001C5D25"/>
    <w:rsid w:val="001C6251"/>
    <w:rsid w:val="001C6412"/>
    <w:rsid w:val="001C6563"/>
    <w:rsid w:val="001C660A"/>
    <w:rsid w:val="001C6732"/>
    <w:rsid w:val="001C6AAB"/>
    <w:rsid w:val="001C6AE0"/>
    <w:rsid w:val="001C6B50"/>
    <w:rsid w:val="001C6C55"/>
    <w:rsid w:val="001C6FAB"/>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1B6D"/>
    <w:rsid w:val="001D27F7"/>
    <w:rsid w:val="001D2889"/>
    <w:rsid w:val="001D28C8"/>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9A7"/>
    <w:rsid w:val="001D5E02"/>
    <w:rsid w:val="001D6001"/>
    <w:rsid w:val="001D606E"/>
    <w:rsid w:val="001D614E"/>
    <w:rsid w:val="001D6399"/>
    <w:rsid w:val="001D66FE"/>
    <w:rsid w:val="001D6988"/>
    <w:rsid w:val="001D7003"/>
    <w:rsid w:val="001D709A"/>
    <w:rsid w:val="001D70A6"/>
    <w:rsid w:val="001D73D2"/>
    <w:rsid w:val="001D7969"/>
    <w:rsid w:val="001D7B11"/>
    <w:rsid w:val="001D7B71"/>
    <w:rsid w:val="001D7C04"/>
    <w:rsid w:val="001D7D1B"/>
    <w:rsid w:val="001D7EBE"/>
    <w:rsid w:val="001E0074"/>
    <w:rsid w:val="001E013A"/>
    <w:rsid w:val="001E01D0"/>
    <w:rsid w:val="001E025C"/>
    <w:rsid w:val="001E0327"/>
    <w:rsid w:val="001E0334"/>
    <w:rsid w:val="001E0621"/>
    <w:rsid w:val="001E0666"/>
    <w:rsid w:val="001E080E"/>
    <w:rsid w:val="001E09DD"/>
    <w:rsid w:val="001E0B3E"/>
    <w:rsid w:val="001E0B9A"/>
    <w:rsid w:val="001E0C8D"/>
    <w:rsid w:val="001E0D6F"/>
    <w:rsid w:val="001E0F99"/>
    <w:rsid w:val="001E0FFD"/>
    <w:rsid w:val="001E1087"/>
    <w:rsid w:val="001E10CD"/>
    <w:rsid w:val="001E141A"/>
    <w:rsid w:val="001E184D"/>
    <w:rsid w:val="001E19E2"/>
    <w:rsid w:val="001E1D1A"/>
    <w:rsid w:val="001E1D45"/>
    <w:rsid w:val="001E1E94"/>
    <w:rsid w:val="001E1F52"/>
    <w:rsid w:val="001E226B"/>
    <w:rsid w:val="001E2280"/>
    <w:rsid w:val="001E2412"/>
    <w:rsid w:val="001E280C"/>
    <w:rsid w:val="001E28B3"/>
    <w:rsid w:val="001E2D70"/>
    <w:rsid w:val="001E2EC7"/>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C86"/>
    <w:rsid w:val="001E4ED1"/>
    <w:rsid w:val="001E506F"/>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C3"/>
    <w:rsid w:val="001F0615"/>
    <w:rsid w:val="001F07D6"/>
    <w:rsid w:val="001F07F7"/>
    <w:rsid w:val="001F08D7"/>
    <w:rsid w:val="001F0C50"/>
    <w:rsid w:val="001F126A"/>
    <w:rsid w:val="001F137C"/>
    <w:rsid w:val="001F1454"/>
    <w:rsid w:val="001F17AB"/>
    <w:rsid w:val="001F1B18"/>
    <w:rsid w:val="001F1D26"/>
    <w:rsid w:val="001F1E70"/>
    <w:rsid w:val="001F2402"/>
    <w:rsid w:val="001F2767"/>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507"/>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2D1F"/>
    <w:rsid w:val="00203009"/>
    <w:rsid w:val="00203118"/>
    <w:rsid w:val="00203153"/>
    <w:rsid w:val="002033CB"/>
    <w:rsid w:val="002034C2"/>
    <w:rsid w:val="00203726"/>
    <w:rsid w:val="00203A4A"/>
    <w:rsid w:val="00203BF8"/>
    <w:rsid w:val="00203DAD"/>
    <w:rsid w:val="00203E7F"/>
    <w:rsid w:val="002046B3"/>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57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29B"/>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592"/>
    <w:rsid w:val="0021565E"/>
    <w:rsid w:val="00215797"/>
    <w:rsid w:val="0021618E"/>
    <w:rsid w:val="002161B4"/>
    <w:rsid w:val="00216642"/>
    <w:rsid w:val="002166AF"/>
    <w:rsid w:val="002167D9"/>
    <w:rsid w:val="00216A22"/>
    <w:rsid w:val="00216E1B"/>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933"/>
    <w:rsid w:val="00221D2A"/>
    <w:rsid w:val="00221E82"/>
    <w:rsid w:val="00221EA7"/>
    <w:rsid w:val="00222202"/>
    <w:rsid w:val="0022250B"/>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B3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0C9"/>
    <w:rsid w:val="00236642"/>
    <w:rsid w:val="00236765"/>
    <w:rsid w:val="0023695E"/>
    <w:rsid w:val="00236B08"/>
    <w:rsid w:val="00236C96"/>
    <w:rsid w:val="00236E22"/>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AC6"/>
    <w:rsid w:val="00241B38"/>
    <w:rsid w:val="00241C11"/>
    <w:rsid w:val="00241EB1"/>
    <w:rsid w:val="00241FBF"/>
    <w:rsid w:val="002421DA"/>
    <w:rsid w:val="00242324"/>
    <w:rsid w:val="002425C0"/>
    <w:rsid w:val="00242A12"/>
    <w:rsid w:val="00242A60"/>
    <w:rsid w:val="00242ACF"/>
    <w:rsid w:val="00242B42"/>
    <w:rsid w:val="00242B47"/>
    <w:rsid w:val="00242BD7"/>
    <w:rsid w:val="00242BFB"/>
    <w:rsid w:val="00242C2F"/>
    <w:rsid w:val="00242D52"/>
    <w:rsid w:val="00242E43"/>
    <w:rsid w:val="00243177"/>
    <w:rsid w:val="002431D2"/>
    <w:rsid w:val="002431E3"/>
    <w:rsid w:val="00243352"/>
    <w:rsid w:val="00243380"/>
    <w:rsid w:val="0024345C"/>
    <w:rsid w:val="00243846"/>
    <w:rsid w:val="00243ACD"/>
    <w:rsid w:val="00243CC7"/>
    <w:rsid w:val="00243ECA"/>
    <w:rsid w:val="00243F98"/>
    <w:rsid w:val="0024445A"/>
    <w:rsid w:val="002445DA"/>
    <w:rsid w:val="0024469F"/>
    <w:rsid w:val="00244762"/>
    <w:rsid w:val="00244840"/>
    <w:rsid w:val="00244CC6"/>
    <w:rsid w:val="00244D86"/>
    <w:rsid w:val="00244E3D"/>
    <w:rsid w:val="00245223"/>
    <w:rsid w:val="0024539F"/>
    <w:rsid w:val="002454AE"/>
    <w:rsid w:val="00245564"/>
    <w:rsid w:val="002455C7"/>
    <w:rsid w:val="0024568B"/>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DC"/>
    <w:rsid w:val="00252178"/>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08"/>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90"/>
    <w:rsid w:val="00257EAF"/>
    <w:rsid w:val="00257EC6"/>
    <w:rsid w:val="00257ED6"/>
    <w:rsid w:val="00260201"/>
    <w:rsid w:val="00260264"/>
    <w:rsid w:val="0026037B"/>
    <w:rsid w:val="002604FD"/>
    <w:rsid w:val="002605E4"/>
    <w:rsid w:val="00260C7F"/>
    <w:rsid w:val="00260CD6"/>
    <w:rsid w:val="0026110D"/>
    <w:rsid w:val="002613FD"/>
    <w:rsid w:val="002615F1"/>
    <w:rsid w:val="00261B80"/>
    <w:rsid w:val="00261DE7"/>
    <w:rsid w:val="002622C9"/>
    <w:rsid w:val="002622ED"/>
    <w:rsid w:val="00262352"/>
    <w:rsid w:val="002623EE"/>
    <w:rsid w:val="00262400"/>
    <w:rsid w:val="00262495"/>
    <w:rsid w:val="002628C6"/>
    <w:rsid w:val="0026296A"/>
    <w:rsid w:val="00262A15"/>
    <w:rsid w:val="00262B4C"/>
    <w:rsid w:val="00262CA4"/>
    <w:rsid w:val="00262D30"/>
    <w:rsid w:val="00262E0F"/>
    <w:rsid w:val="00263043"/>
    <w:rsid w:val="00263075"/>
    <w:rsid w:val="00263554"/>
    <w:rsid w:val="0026355D"/>
    <w:rsid w:val="0026386D"/>
    <w:rsid w:val="00263C90"/>
    <w:rsid w:val="00263CA6"/>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A43"/>
    <w:rsid w:val="00266BF6"/>
    <w:rsid w:val="0026712C"/>
    <w:rsid w:val="00267217"/>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173"/>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8DF"/>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149"/>
    <w:rsid w:val="002761C3"/>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58"/>
    <w:rsid w:val="0027777A"/>
    <w:rsid w:val="002777C0"/>
    <w:rsid w:val="002777D6"/>
    <w:rsid w:val="00277856"/>
    <w:rsid w:val="00277AC2"/>
    <w:rsid w:val="00277B80"/>
    <w:rsid w:val="00277C9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452"/>
    <w:rsid w:val="00281614"/>
    <w:rsid w:val="002816F6"/>
    <w:rsid w:val="0028171C"/>
    <w:rsid w:val="00281732"/>
    <w:rsid w:val="00281744"/>
    <w:rsid w:val="00281760"/>
    <w:rsid w:val="002817EF"/>
    <w:rsid w:val="002817F1"/>
    <w:rsid w:val="00281898"/>
    <w:rsid w:val="00281CA3"/>
    <w:rsid w:val="00281D67"/>
    <w:rsid w:val="00281D8B"/>
    <w:rsid w:val="00281E86"/>
    <w:rsid w:val="00282388"/>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B88"/>
    <w:rsid w:val="00285C35"/>
    <w:rsid w:val="00285DA2"/>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6EFC"/>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6DE"/>
    <w:rsid w:val="002A4847"/>
    <w:rsid w:val="002A4DA4"/>
    <w:rsid w:val="002A514A"/>
    <w:rsid w:val="002A524C"/>
    <w:rsid w:val="002A5749"/>
    <w:rsid w:val="002A5A40"/>
    <w:rsid w:val="002A5B18"/>
    <w:rsid w:val="002A5B81"/>
    <w:rsid w:val="002A5D23"/>
    <w:rsid w:val="002A5D36"/>
    <w:rsid w:val="002A5ECF"/>
    <w:rsid w:val="002A60AE"/>
    <w:rsid w:val="002A6390"/>
    <w:rsid w:val="002A6767"/>
    <w:rsid w:val="002A6B4C"/>
    <w:rsid w:val="002A6C81"/>
    <w:rsid w:val="002A6CB1"/>
    <w:rsid w:val="002A6CBC"/>
    <w:rsid w:val="002A6CFE"/>
    <w:rsid w:val="002A71C9"/>
    <w:rsid w:val="002A7462"/>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C59"/>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B14"/>
    <w:rsid w:val="002B3C62"/>
    <w:rsid w:val="002B3D6B"/>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1A82"/>
    <w:rsid w:val="002C234D"/>
    <w:rsid w:val="002C247D"/>
    <w:rsid w:val="002C26A1"/>
    <w:rsid w:val="002C28A2"/>
    <w:rsid w:val="002C29BA"/>
    <w:rsid w:val="002C2F33"/>
    <w:rsid w:val="002C30C3"/>
    <w:rsid w:val="002C3113"/>
    <w:rsid w:val="002C3127"/>
    <w:rsid w:val="002C32D6"/>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586"/>
    <w:rsid w:val="002C7612"/>
    <w:rsid w:val="002C7638"/>
    <w:rsid w:val="002C7ADD"/>
    <w:rsid w:val="002C7CAD"/>
    <w:rsid w:val="002C7D9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C75"/>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5C0B"/>
    <w:rsid w:val="002D604D"/>
    <w:rsid w:val="002D6234"/>
    <w:rsid w:val="002D6392"/>
    <w:rsid w:val="002D6402"/>
    <w:rsid w:val="002D6554"/>
    <w:rsid w:val="002D66E1"/>
    <w:rsid w:val="002D6B40"/>
    <w:rsid w:val="002D6D2A"/>
    <w:rsid w:val="002D6EFF"/>
    <w:rsid w:val="002D7011"/>
    <w:rsid w:val="002D7194"/>
    <w:rsid w:val="002D7213"/>
    <w:rsid w:val="002D726A"/>
    <w:rsid w:val="002D72BB"/>
    <w:rsid w:val="002D76A5"/>
    <w:rsid w:val="002D7893"/>
    <w:rsid w:val="002D7965"/>
    <w:rsid w:val="002D7981"/>
    <w:rsid w:val="002E0044"/>
    <w:rsid w:val="002E00FB"/>
    <w:rsid w:val="002E040F"/>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0A"/>
    <w:rsid w:val="002E397A"/>
    <w:rsid w:val="002E39DC"/>
    <w:rsid w:val="002E3BF5"/>
    <w:rsid w:val="002E3C75"/>
    <w:rsid w:val="002E3C7B"/>
    <w:rsid w:val="002E3DDA"/>
    <w:rsid w:val="002E4190"/>
    <w:rsid w:val="002E421F"/>
    <w:rsid w:val="002E4257"/>
    <w:rsid w:val="002E4723"/>
    <w:rsid w:val="002E4E06"/>
    <w:rsid w:val="002E51A3"/>
    <w:rsid w:val="002E54A1"/>
    <w:rsid w:val="002E5586"/>
    <w:rsid w:val="002E572E"/>
    <w:rsid w:val="002E5875"/>
    <w:rsid w:val="002E58BE"/>
    <w:rsid w:val="002E59B7"/>
    <w:rsid w:val="002E5CB0"/>
    <w:rsid w:val="002E6163"/>
    <w:rsid w:val="002E622F"/>
    <w:rsid w:val="002E62DD"/>
    <w:rsid w:val="002E6383"/>
    <w:rsid w:val="002E6675"/>
    <w:rsid w:val="002E69CB"/>
    <w:rsid w:val="002E6CE8"/>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4A"/>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86"/>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19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2F7F9E"/>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08"/>
    <w:rsid w:val="003032C7"/>
    <w:rsid w:val="00303341"/>
    <w:rsid w:val="003034FA"/>
    <w:rsid w:val="0030370E"/>
    <w:rsid w:val="003037A4"/>
    <w:rsid w:val="003039E6"/>
    <w:rsid w:val="00303A1D"/>
    <w:rsid w:val="00303A67"/>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50"/>
    <w:rsid w:val="00313D9D"/>
    <w:rsid w:val="003140A8"/>
    <w:rsid w:val="003141FD"/>
    <w:rsid w:val="00314235"/>
    <w:rsid w:val="00314291"/>
    <w:rsid w:val="0031481D"/>
    <w:rsid w:val="0031494D"/>
    <w:rsid w:val="0031495F"/>
    <w:rsid w:val="003149A0"/>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34"/>
    <w:rsid w:val="00316CC7"/>
    <w:rsid w:val="00316F85"/>
    <w:rsid w:val="00316FC7"/>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1B2"/>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9D"/>
    <w:rsid w:val="003268C5"/>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35"/>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A53"/>
    <w:rsid w:val="00342B67"/>
    <w:rsid w:val="00342C1D"/>
    <w:rsid w:val="00343098"/>
    <w:rsid w:val="00343567"/>
    <w:rsid w:val="003435AD"/>
    <w:rsid w:val="0034386E"/>
    <w:rsid w:val="00343CCD"/>
    <w:rsid w:val="00343EB4"/>
    <w:rsid w:val="00343EDF"/>
    <w:rsid w:val="00343F1C"/>
    <w:rsid w:val="00344001"/>
    <w:rsid w:val="0034434F"/>
    <w:rsid w:val="00344586"/>
    <w:rsid w:val="003445C2"/>
    <w:rsid w:val="003445D6"/>
    <w:rsid w:val="00344893"/>
    <w:rsid w:val="00344CA2"/>
    <w:rsid w:val="00344E50"/>
    <w:rsid w:val="00345317"/>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5BE"/>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282"/>
    <w:rsid w:val="0036129A"/>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6AE"/>
    <w:rsid w:val="00365700"/>
    <w:rsid w:val="0036579A"/>
    <w:rsid w:val="003657E7"/>
    <w:rsid w:val="00365B55"/>
    <w:rsid w:val="00365B63"/>
    <w:rsid w:val="00365BA6"/>
    <w:rsid w:val="00365C15"/>
    <w:rsid w:val="00365E9C"/>
    <w:rsid w:val="00366029"/>
    <w:rsid w:val="0036658D"/>
    <w:rsid w:val="003665B3"/>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11"/>
    <w:rsid w:val="00377F4C"/>
    <w:rsid w:val="00377F7E"/>
    <w:rsid w:val="00380483"/>
    <w:rsid w:val="00380501"/>
    <w:rsid w:val="0038054E"/>
    <w:rsid w:val="00380689"/>
    <w:rsid w:val="003806F0"/>
    <w:rsid w:val="00380837"/>
    <w:rsid w:val="00380873"/>
    <w:rsid w:val="003808E4"/>
    <w:rsid w:val="00380CB6"/>
    <w:rsid w:val="00380D14"/>
    <w:rsid w:val="00380D52"/>
    <w:rsid w:val="0038130C"/>
    <w:rsid w:val="003818E3"/>
    <w:rsid w:val="00381AF0"/>
    <w:rsid w:val="00381F0C"/>
    <w:rsid w:val="00382192"/>
    <w:rsid w:val="003822BF"/>
    <w:rsid w:val="00382320"/>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828"/>
    <w:rsid w:val="00384959"/>
    <w:rsid w:val="00384960"/>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C94"/>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2FF7"/>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4A75"/>
    <w:rsid w:val="00394D14"/>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81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6A"/>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99F"/>
    <w:rsid w:val="003B5B4D"/>
    <w:rsid w:val="003B60FB"/>
    <w:rsid w:val="003B63A8"/>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DBF"/>
    <w:rsid w:val="003C0E4E"/>
    <w:rsid w:val="003C12A0"/>
    <w:rsid w:val="003C1550"/>
    <w:rsid w:val="003C159E"/>
    <w:rsid w:val="003C169B"/>
    <w:rsid w:val="003C19B8"/>
    <w:rsid w:val="003C19E0"/>
    <w:rsid w:val="003C1CAF"/>
    <w:rsid w:val="003C1EB2"/>
    <w:rsid w:val="003C23D6"/>
    <w:rsid w:val="003C23E4"/>
    <w:rsid w:val="003C2415"/>
    <w:rsid w:val="003C248A"/>
    <w:rsid w:val="003C264D"/>
    <w:rsid w:val="003C2A7B"/>
    <w:rsid w:val="003C2B3C"/>
    <w:rsid w:val="003C3747"/>
    <w:rsid w:val="003C3B28"/>
    <w:rsid w:val="003C40BF"/>
    <w:rsid w:val="003C412E"/>
    <w:rsid w:val="003C417A"/>
    <w:rsid w:val="003C42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5F0"/>
    <w:rsid w:val="003C7838"/>
    <w:rsid w:val="003C7872"/>
    <w:rsid w:val="003C7ABC"/>
    <w:rsid w:val="003C7B69"/>
    <w:rsid w:val="003C7D93"/>
    <w:rsid w:val="003D0071"/>
    <w:rsid w:val="003D0106"/>
    <w:rsid w:val="003D03B4"/>
    <w:rsid w:val="003D0995"/>
    <w:rsid w:val="003D0D10"/>
    <w:rsid w:val="003D118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CCC"/>
    <w:rsid w:val="003D2D25"/>
    <w:rsid w:val="003D2EE8"/>
    <w:rsid w:val="003D326F"/>
    <w:rsid w:val="003D338E"/>
    <w:rsid w:val="003D33AC"/>
    <w:rsid w:val="003D33FA"/>
    <w:rsid w:val="003D3408"/>
    <w:rsid w:val="003D3437"/>
    <w:rsid w:val="003D347D"/>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46"/>
    <w:rsid w:val="003D7368"/>
    <w:rsid w:val="003D7589"/>
    <w:rsid w:val="003D7626"/>
    <w:rsid w:val="003D775F"/>
    <w:rsid w:val="003D7A34"/>
    <w:rsid w:val="003D7A93"/>
    <w:rsid w:val="003D7AB7"/>
    <w:rsid w:val="003D7BA7"/>
    <w:rsid w:val="003D7EFF"/>
    <w:rsid w:val="003E0153"/>
    <w:rsid w:val="003E051D"/>
    <w:rsid w:val="003E05FE"/>
    <w:rsid w:val="003E0645"/>
    <w:rsid w:val="003E06E1"/>
    <w:rsid w:val="003E0902"/>
    <w:rsid w:val="003E0ECB"/>
    <w:rsid w:val="003E118D"/>
    <w:rsid w:val="003E119D"/>
    <w:rsid w:val="003E1223"/>
    <w:rsid w:val="003E1228"/>
    <w:rsid w:val="003E12C2"/>
    <w:rsid w:val="003E135D"/>
    <w:rsid w:val="003E1520"/>
    <w:rsid w:val="003E17E4"/>
    <w:rsid w:val="003E1A47"/>
    <w:rsid w:val="003E1DC8"/>
    <w:rsid w:val="003E21A8"/>
    <w:rsid w:val="003E22EF"/>
    <w:rsid w:val="003E2470"/>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4F55"/>
    <w:rsid w:val="003E50C8"/>
    <w:rsid w:val="003E5628"/>
    <w:rsid w:val="003E56E1"/>
    <w:rsid w:val="003E5C17"/>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1C57"/>
    <w:rsid w:val="003F2191"/>
    <w:rsid w:val="003F21E4"/>
    <w:rsid w:val="003F25B7"/>
    <w:rsid w:val="003F26A3"/>
    <w:rsid w:val="003F2AAB"/>
    <w:rsid w:val="003F2B02"/>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3F"/>
    <w:rsid w:val="003F4950"/>
    <w:rsid w:val="003F4AF4"/>
    <w:rsid w:val="003F4B43"/>
    <w:rsid w:val="003F4BC8"/>
    <w:rsid w:val="003F4E62"/>
    <w:rsid w:val="003F4F42"/>
    <w:rsid w:val="003F5425"/>
    <w:rsid w:val="003F5537"/>
    <w:rsid w:val="003F55BE"/>
    <w:rsid w:val="003F579D"/>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91C"/>
    <w:rsid w:val="003F7D52"/>
    <w:rsid w:val="003F7EAC"/>
    <w:rsid w:val="00400054"/>
    <w:rsid w:val="0040015A"/>
    <w:rsid w:val="004001A6"/>
    <w:rsid w:val="004001CD"/>
    <w:rsid w:val="0040035C"/>
    <w:rsid w:val="004003FA"/>
    <w:rsid w:val="004004FE"/>
    <w:rsid w:val="004005F9"/>
    <w:rsid w:val="00400856"/>
    <w:rsid w:val="00400E91"/>
    <w:rsid w:val="00400EFC"/>
    <w:rsid w:val="00401033"/>
    <w:rsid w:val="00401045"/>
    <w:rsid w:val="00401293"/>
    <w:rsid w:val="004012CB"/>
    <w:rsid w:val="00401340"/>
    <w:rsid w:val="004015F5"/>
    <w:rsid w:val="00401613"/>
    <w:rsid w:val="004017EC"/>
    <w:rsid w:val="00401BA2"/>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499"/>
    <w:rsid w:val="00404538"/>
    <w:rsid w:val="0040453F"/>
    <w:rsid w:val="00404553"/>
    <w:rsid w:val="004046A0"/>
    <w:rsid w:val="004046AC"/>
    <w:rsid w:val="00404915"/>
    <w:rsid w:val="0040496D"/>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90A"/>
    <w:rsid w:val="00406C82"/>
    <w:rsid w:val="00406D6D"/>
    <w:rsid w:val="00406DB3"/>
    <w:rsid w:val="004072D4"/>
    <w:rsid w:val="0040762C"/>
    <w:rsid w:val="004076C9"/>
    <w:rsid w:val="00407728"/>
    <w:rsid w:val="00407796"/>
    <w:rsid w:val="00407A48"/>
    <w:rsid w:val="00407ADA"/>
    <w:rsid w:val="00407B86"/>
    <w:rsid w:val="004100CC"/>
    <w:rsid w:val="004100F9"/>
    <w:rsid w:val="00410544"/>
    <w:rsid w:val="0041090A"/>
    <w:rsid w:val="00410931"/>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2E59"/>
    <w:rsid w:val="0041333F"/>
    <w:rsid w:val="00413352"/>
    <w:rsid w:val="0041350D"/>
    <w:rsid w:val="00413546"/>
    <w:rsid w:val="00413562"/>
    <w:rsid w:val="00413AD8"/>
    <w:rsid w:val="00413FF3"/>
    <w:rsid w:val="0041402C"/>
    <w:rsid w:val="004142A2"/>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C5D"/>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6A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2FCF"/>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4D98"/>
    <w:rsid w:val="0043505E"/>
    <w:rsid w:val="00435337"/>
    <w:rsid w:val="004353C7"/>
    <w:rsid w:val="00435536"/>
    <w:rsid w:val="0043555B"/>
    <w:rsid w:val="00435890"/>
    <w:rsid w:val="00435F99"/>
    <w:rsid w:val="00436013"/>
    <w:rsid w:val="004360FA"/>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7D1"/>
    <w:rsid w:val="00444C4B"/>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974"/>
    <w:rsid w:val="00447CFF"/>
    <w:rsid w:val="00447D56"/>
    <w:rsid w:val="00447E53"/>
    <w:rsid w:val="00447EB6"/>
    <w:rsid w:val="00447F16"/>
    <w:rsid w:val="00447F20"/>
    <w:rsid w:val="004504F0"/>
    <w:rsid w:val="004504FE"/>
    <w:rsid w:val="004505DA"/>
    <w:rsid w:val="00450D50"/>
    <w:rsid w:val="00451076"/>
    <w:rsid w:val="004510BF"/>
    <w:rsid w:val="004511CD"/>
    <w:rsid w:val="0045139D"/>
    <w:rsid w:val="004513B1"/>
    <w:rsid w:val="004514CB"/>
    <w:rsid w:val="00451A83"/>
    <w:rsid w:val="00451DAF"/>
    <w:rsid w:val="004521F6"/>
    <w:rsid w:val="00452281"/>
    <w:rsid w:val="00452299"/>
    <w:rsid w:val="00452363"/>
    <w:rsid w:val="00452418"/>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1FA"/>
    <w:rsid w:val="004564C9"/>
    <w:rsid w:val="00456556"/>
    <w:rsid w:val="00456AA0"/>
    <w:rsid w:val="00456C34"/>
    <w:rsid w:val="00456DC5"/>
    <w:rsid w:val="00456E5E"/>
    <w:rsid w:val="00456E6D"/>
    <w:rsid w:val="00456E99"/>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627"/>
    <w:rsid w:val="0047078D"/>
    <w:rsid w:val="0047089C"/>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E8E"/>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734"/>
    <w:rsid w:val="0047596E"/>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6ED"/>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1BD"/>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295"/>
    <w:rsid w:val="00490487"/>
    <w:rsid w:val="004905E8"/>
    <w:rsid w:val="0049075F"/>
    <w:rsid w:val="00490846"/>
    <w:rsid w:val="00490AEE"/>
    <w:rsid w:val="00490CE2"/>
    <w:rsid w:val="00490F7C"/>
    <w:rsid w:val="004910E9"/>
    <w:rsid w:val="00491443"/>
    <w:rsid w:val="004915BF"/>
    <w:rsid w:val="00491711"/>
    <w:rsid w:val="00491815"/>
    <w:rsid w:val="004919B7"/>
    <w:rsid w:val="00491A90"/>
    <w:rsid w:val="00491AB9"/>
    <w:rsid w:val="00491B82"/>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04F"/>
    <w:rsid w:val="00493259"/>
    <w:rsid w:val="00493278"/>
    <w:rsid w:val="0049334B"/>
    <w:rsid w:val="004933AD"/>
    <w:rsid w:val="00493568"/>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65"/>
    <w:rsid w:val="00494EF5"/>
    <w:rsid w:val="00495188"/>
    <w:rsid w:val="0049534C"/>
    <w:rsid w:val="0049544C"/>
    <w:rsid w:val="004958F4"/>
    <w:rsid w:val="00495930"/>
    <w:rsid w:val="00495A40"/>
    <w:rsid w:val="00495A52"/>
    <w:rsid w:val="00495B6C"/>
    <w:rsid w:val="00495DC4"/>
    <w:rsid w:val="00495FA6"/>
    <w:rsid w:val="00496222"/>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540"/>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7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126"/>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A7F31"/>
    <w:rsid w:val="004B00A9"/>
    <w:rsid w:val="004B0420"/>
    <w:rsid w:val="004B0495"/>
    <w:rsid w:val="004B0575"/>
    <w:rsid w:val="004B07E2"/>
    <w:rsid w:val="004B096C"/>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7DE"/>
    <w:rsid w:val="004B39DB"/>
    <w:rsid w:val="004B3B77"/>
    <w:rsid w:val="004B3B99"/>
    <w:rsid w:val="004B3D57"/>
    <w:rsid w:val="004B3D89"/>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055"/>
    <w:rsid w:val="004C2112"/>
    <w:rsid w:val="004C2120"/>
    <w:rsid w:val="004C228C"/>
    <w:rsid w:val="004C22D4"/>
    <w:rsid w:val="004C22FC"/>
    <w:rsid w:val="004C2586"/>
    <w:rsid w:val="004C2840"/>
    <w:rsid w:val="004C288A"/>
    <w:rsid w:val="004C2F53"/>
    <w:rsid w:val="004C2F6C"/>
    <w:rsid w:val="004C306D"/>
    <w:rsid w:val="004C325D"/>
    <w:rsid w:val="004C32FF"/>
    <w:rsid w:val="004C3317"/>
    <w:rsid w:val="004C36AD"/>
    <w:rsid w:val="004C36B4"/>
    <w:rsid w:val="004C3976"/>
    <w:rsid w:val="004C39EC"/>
    <w:rsid w:val="004C3BF4"/>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8FC"/>
    <w:rsid w:val="004C7D3A"/>
    <w:rsid w:val="004D036F"/>
    <w:rsid w:val="004D03CC"/>
    <w:rsid w:val="004D053C"/>
    <w:rsid w:val="004D05FF"/>
    <w:rsid w:val="004D074C"/>
    <w:rsid w:val="004D0872"/>
    <w:rsid w:val="004D0CF5"/>
    <w:rsid w:val="004D0E23"/>
    <w:rsid w:val="004D0F75"/>
    <w:rsid w:val="004D0FEC"/>
    <w:rsid w:val="004D10AC"/>
    <w:rsid w:val="004D10FD"/>
    <w:rsid w:val="004D1154"/>
    <w:rsid w:val="004D15AC"/>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B5"/>
    <w:rsid w:val="004D57ED"/>
    <w:rsid w:val="004D598D"/>
    <w:rsid w:val="004D5BE8"/>
    <w:rsid w:val="004D5E46"/>
    <w:rsid w:val="004D64B2"/>
    <w:rsid w:val="004D66D9"/>
    <w:rsid w:val="004D6765"/>
    <w:rsid w:val="004D679C"/>
    <w:rsid w:val="004D6831"/>
    <w:rsid w:val="004D6B60"/>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7DF"/>
    <w:rsid w:val="004E19C3"/>
    <w:rsid w:val="004E1D7B"/>
    <w:rsid w:val="004E1FF2"/>
    <w:rsid w:val="004E209E"/>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93C"/>
    <w:rsid w:val="004F1A6A"/>
    <w:rsid w:val="004F1ABD"/>
    <w:rsid w:val="004F1B46"/>
    <w:rsid w:val="004F1DDB"/>
    <w:rsid w:val="004F1F4D"/>
    <w:rsid w:val="004F2217"/>
    <w:rsid w:val="004F22E1"/>
    <w:rsid w:val="004F2607"/>
    <w:rsid w:val="004F292C"/>
    <w:rsid w:val="004F2A6D"/>
    <w:rsid w:val="004F2BAB"/>
    <w:rsid w:val="004F2BDE"/>
    <w:rsid w:val="004F2E74"/>
    <w:rsid w:val="004F2FE5"/>
    <w:rsid w:val="004F31F3"/>
    <w:rsid w:val="004F3230"/>
    <w:rsid w:val="004F3261"/>
    <w:rsid w:val="004F3352"/>
    <w:rsid w:val="004F3644"/>
    <w:rsid w:val="004F374E"/>
    <w:rsid w:val="004F37D8"/>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3A5"/>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05"/>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99"/>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5D"/>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67"/>
    <w:rsid w:val="00507275"/>
    <w:rsid w:val="00507290"/>
    <w:rsid w:val="00507397"/>
    <w:rsid w:val="0050741D"/>
    <w:rsid w:val="00507523"/>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1A"/>
    <w:rsid w:val="00511C30"/>
    <w:rsid w:val="00511F0E"/>
    <w:rsid w:val="005120CB"/>
    <w:rsid w:val="0051249E"/>
    <w:rsid w:val="00512545"/>
    <w:rsid w:val="00512594"/>
    <w:rsid w:val="00512649"/>
    <w:rsid w:val="005126C4"/>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B87"/>
    <w:rsid w:val="00515DEB"/>
    <w:rsid w:val="00515E1A"/>
    <w:rsid w:val="005161C1"/>
    <w:rsid w:val="00516746"/>
    <w:rsid w:val="005167F0"/>
    <w:rsid w:val="0051687D"/>
    <w:rsid w:val="00516B04"/>
    <w:rsid w:val="00516B82"/>
    <w:rsid w:val="00516FE8"/>
    <w:rsid w:val="00517139"/>
    <w:rsid w:val="0051713F"/>
    <w:rsid w:val="00517299"/>
    <w:rsid w:val="005176F7"/>
    <w:rsid w:val="005177DB"/>
    <w:rsid w:val="00517871"/>
    <w:rsid w:val="005178F0"/>
    <w:rsid w:val="00517A3D"/>
    <w:rsid w:val="00517A74"/>
    <w:rsid w:val="00517EE4"/>
    <w:rsid w:val="005200F0"/>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88C"/>
    <w:rsid w:val="0052698C"/>
    <w:rsid w:val="00526B6B"/>
    <w:rsid w:val="00526C8F"/>
    <w:rsid w:val="00527090"/>
    <w:rsid w:val="005270DF"/>
    <w:rsid w:val="005275CB"/>
    <w:rsid w:val="005276BF"/>
    <w:rsid w:val="00527726"/>
    <w:rsid w:val="00527825"/>
    <w:rsid w:val="00527B13"/>
    <w:rsid w:val="00527DF6"/>
    <w:rsid w:val="00530095"/>
    <w:rsid w:val="00530183"/>
    <w:rsid w:val="005303E8"/>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23"/>
    <w:rsid w:val="00531D5E"/>
    <w:rsid w:val="00532033"/>
    <w:rsid w:val="005320B8"/>
    <w:rsid w:val="00532370"/>
    <w:rsid w:val="00532654"/>
    <w:rsid w:val="005326F2"/>
    <w:rsid w:val="005327D2"/>
    <w:rsid w:val="005327E8"/>
    <w:rsid w:val="005328F9"/>
    <w:rsid w:val="00532BE3"/>
    <w:rsid w:val="00532D14"/>
    <w:rsid w:val="00532E4F"/>
    <w:rsid w:val="00532E86"/>
    <w:rsid w:val="00533194"/>
    <w:rsid w:val="0053322B"/>
    <w:rsid w:val="00533485"/>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8F0"/>
    <w:rsid w:val="0053592A"/>
    <w:rsid w:val="00535C12"/>
    <w:rsid w:val="00535D55"/>
    <w:rsid w:val="00535DC6"/>
    <w:rsid w:val="00535DC8"/>
    <w:rsid w:val="00535F8D"/>
    <w:rsid w:val="00536000"/>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7E"/>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88E"/>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2B86"/>
    <w:rsid w:val="005433E9"/>
    <w:rsid w:val="00543983"/>
    <w:rsid w:val="00543AC9"/>
    <w:rsid w:val="00543AE6"/>
    <w:rsid w:val="00543B25"/>
    <w:rsid w:val="00543BCD"/>
    <w:rsid w:val="00543DE6"/>
    <w:rsid w:val="00543F80"/>
    <w:rsid w:val="0054402D"/>
    <w:rsid w:val="005440BA"/>
    <w:rsid w:val="005446DB"/>
    <w:rsid w:val="0054492F"/>
    <w:rsid w:val="00544BD5"/>
    <w:rsid w:val="00545039"/>
    <w:rsid w:val="00545139"/>
    <w:rsid w:val="00545171"/>
    <w:rsid w:val="00545239"/>
    <w:rsid w:val="00545306"/>
    <w:rsid w:val="0054552D"/>
    <w:rsid w:val="00545B6F"/>
    <w:rsid w:val="00545B72"/>
    <w:rsid w:val="00545D40"/>
    <w:rsid w:val="00545D89"/>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DD1"/>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004"/>
    <w:rsid w:val="00551159"/>
    <w:rsid w:val="005518BE"/>
    <w:rsid w:val="00551941"/>
    <w:rsid w:val="00551A02"/>
    <w:rsid w:val="00551AC0"/>
    <w:rsid w:val="00551B4D"/>
    <w:rsid w:val="00551B8A"/>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5C3"/>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C9"/>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33B"/>
    <w:rsid w:val="00570896"/>
    <w:rsid w:val="00570C2B"/>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BA4"/>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46"/>
    <w:rsid w:val="00576F64"/>
    <w:rsid w:val="00576F8C"/>
    <w:rsid w:val="00576F91"/>
    <w:rsid w:val="00577037"/>
    <w:rsid w:val="005770B2"/>
    <w:rsid w:val="005770D9"/>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AB"/>
    <w:rsid w:val="005811FF"/>
    <w:rsid w:val="00581413"/>
    <w:rsid w:val="00581442"/>
    <w:rsid w:val="00581498"/>
    <w:rsid w:val="0058159F"/>
    <w:rsid w:val="00581656"/>
    <w:rsid w:val="005818E6"/>
    <w:rsid w:val="00581D8F"/>
    <w:rsid w:val="00581E63"/>
    <w:rsid w:val="00581F59"/>
    <w:rsid w:val="0058203C"/>
    <w:rsid w:val="00582196"/>
    <w:rsid w:val="0058249A"/>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0F0"/>
    <w:rsid w:val="00585427"/>
    <w:rsid w:val="0058555E"/>
    <w:rsid w:val="0058561C"/>
    <w:rsid w:val="00585744"/>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617"/>
    <w:rsid w:val="0058773E"/>
    <w:rsid w:val="00587A6C"/>
    <w:rsid w:val="005900BF"/>
    <w:rsid w:val="005902D0"/>
    <w:rsid w:val="00590713"/>
    <w:rsid w:val="00590CA4"/>
    <w:rsid w:val="00590CA6"/>
    <w:rsid w:val="00590CB2"/>
    <w:rsid w:val="00590CFA"/>
    <w:rsid w:val="00590F63"/>
    <w:rsid w:val="005915BE"/>
    <w:rsid w:val="005917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9BF"/>
    <w:rsid w:val="00593C7C"/>
    <w:rsid w:val="00593D33"/>
    <w:rsid w:val="00594208"/>
    <w:rsid w:val="00594506"/>
    <w:rsid w:val="00594523"/>
    <w:rsid w:val="005947B9"/>
    <w:rsid w:val="005947D3"/>
    <w:rsid w:val="00594B0A"/>
    <w:rsid w:val="00594B93"/>
    <w:rsid w:val="00594DAE"/>
    <w:rsid w:val="00594F05"/>
    <w:rsid w:val="00595335"/>
    <w:rsid w:val="00595416"/>
    <w:rsid w:val="00595436"/>
    <w:rsid w:val="0059548B"/>
    <w:rsid w:val="005955B7"/>
    <w:rsid w:val="00595632"/>
    <w:rsid w:val="00595729"/>
    <w:rsid w:val="00595841"/>
    <w:rsid w:val="00595AAA"/>
    <w:rsid w:val="00595C20"/>
    <w:rsid w:val="00596072"/>
    <w:rsid w:val="005962A8"/>
    <w:rsid w:val="005965CF"/>
    <w:rsid w:val="005965E6"/>
    <w:rsid w:val="0059661E"/>
    <w:rsid w:val="00596926"/>
    <w:rsid w:val="00596B33"/>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0F93"/>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45D"/>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3F"/>
    <w:rsid w:val="005A594D"/>
    <w:rsid w:val="005A5953"/>
    <w:rsid w:val="005A5AB5"/>
    <w:rsid w:val="005A5B16"/>
    <w:rsid w:val="005A5FA2"/>
    <w:rsid w:val="005A6109"/>
    <w:rsid w:val="005A624A"/>
    <w:rsid w:val="005A6302"/>
    <w:rsid w:val="005A639A"/>
    <w:rsid w:val="005A63DA"/>
    <w:rsid w:val="005A66A2"/>
    <w:rsid w:val="005A6824"/>
    <w:rsid w:val="005A6AD0"/>
    <w:rsid w:val="005A6D88"/>
    <w:rsid w:val="005A6DC0"/>
    <w:rsid w:val="005A6EC5"/>
    <w:rsid w:val="005A6FAD"/>
    <w:rsid w:val="005A7050"/>
    <w:rsid w:val="005A7369"/>
    <w:rsid w:val="005A7536"/>
    <w:rsid w:val="005A7629"/>
    <w:rsid w:val="005A7D06"/>
    <w:rsid w:val="005A7E7E"/>
    <w:rsid w:val="005A7F16"/>
    <w:rsid w:val="005B0002"/>
    <w:rsid w:val="005B007D"/>
    <w:rsid w:val="005B02E6"/>
    <w:rsid w:val="005B0464"/>
    <w:rsid w:val="005B0730"/>
    <w:rsid w:val="005B0789"/>
    <w:rsid w:val="005B0DC3"/>
    <w:rsid w:val="005B0EA7"/>
    <w:rsid w:val="005B10CA"/>
    <w:rsid w:val="005B11F1"/>
    <w:rsid w:val="005B15C3"/>
    <w:rsid w:val="005B180E"/>
    <w:rsid w:val="005B1BBF"/>
    <w:rsid w:val="005B1ECB"/>
    <w:rsid w:val="005B20D5"/>
    <w:rsid w:val="005B225B"/>
    <w:rsid w:val="005B2331"/>
    <w:rsid w:val="005B2D94"/>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30C"/>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B7D40"/>
    <w:rsid w:val="005C0398"/>
    <w:rsid w:val="005C04CD"/>
    <w:rsid w:val="005C0C8D"/>
    <w:rsid w:val="005C0D6F"/>
    <w:rsid w:val="005C0E2C"/>
    <w:rsid w:val="005C11B0"/>
    <w:rsid w:val="005C129A"/>
    <w:rsid w:val="005C17B9"/>
    <w:rsid w:val="005C1913"/>
    <w:rsid w:val="005C1B09"/>
    <w:rsid w:val="005C1CB1"/>
    <w:rsid w:val="005C1E5C"/>
    <w:rsid w:val="005C1E93"/>
    <w:rsid w:val="005C1F40"/>
    <w:rsid w:val="005C21A6"/>
    <w:rsid w:val="005C2210"/>
    <w:rsid w:val="005C2594"/>
    <w:rsid w:val="005C25B6"/>
    <w:rsid w:val="005C29AA"/>
    <w:rsid w:val="005C2B1E"/>
    <w:rsid w:val="005C2E53"/>
    <w:rsid w:val="005C3002"/>
    <w:rsid w:val="005C307B"/>
    <w:rsid w:val="005C32B2"/>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84D"/>
    <w:rsid w:val="005C5911"/>
    <w:rsid w:val="005C5944"/>
    <w:rsid w:val="005C5A89"/>
    <w:rsid w:val="005C5ABD"/>
    <w:rsid w:val="005C5B2A"/>
    <w:rsid w:val="005C5E5C"/>
    <w:rsid w:val="005C63CC"/>
    <w:rsid w:val="005C65F6"/>
    <w:rsid w:val="005C668A"/>
    <w:rsid w:val="005C68F2"/>
    <w:rsid w:val="005C6B27"/>
    <w:rsid w:val="005C6B7E"/>
    <w:rsid w:val="005C6BF1"/>
    <w:rsid w:val="005C6FAA"/>
    <w:rsid w:val="005C70C1"/>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81"/>
    <w:rsid w:val="005D10FC"/>
    <w:rsid w:val="005D157E"/>
    <w:rsid w:val="005D15F9"/>
    <w:rsid w:val="005D1AAC"/>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3F2F"/>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4A"/>
    <w:rsid w:val="005D585B"/>
    <w:rsid w:val="005D5925"/>
    <w:rsid w:val="005D5A5F"/>
    <w:rsid w:val="005D5C6B"/>
    <w:rsid w:val="005D5E06"/>
    <w:rsid w:val="005D5E6C"/>
    <w:rsid w:val="005D6028"/>
    <w:rsid w:val="005D621E"/>
    <w:rsid w:val="005D6309"/>
    <w:rsid w:val="005D6354"/>
    <w:rsid w:val="005D6848"/>
    <w:rsid w:val="005D68CE"/>
    <w:rsid w:val="005D69DB"/>
    <w:rsid w:val="005D6B1F"/>
    <w:rsid w:val="005D6B9A"/>
    <w:rsid w:val="005D6BF0"/>
    <w:rsid w:val="005D6D9E"/>
    <w:rsid w:val="005D6E76"/>
    <w:rsid w:val="005D6EF2"/>
    <w:rsid w:val="005D70EF"/>
    <w:rsid w:val="005D7261"/>
    <w:rsid w:val="005D72C9"/>
    <w:rsid w:val="005D72EE"/>
    <w:rsid w:val="005D770B"/>
    <w:rsid w:val="005D7A07"/>
    <w:rsid w:val="005D7CC7"/>
    <w:rsid w:val="005D7DA9"/>
    <w:rsid w:val="005E00A6"/>
    <w:rsid w:val="005E019B"/>
    <w:rsid w:val="005E0B26"/>
    <w:rsid w:val="005E1355"/>
    <w:rsid w:val="005E16DC"/>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C4B"/>
    <w:rsid w:val="005E5C8E"/>
    <w:rsid w:val="005E5D33"/>
    <w:rsid w:val="005E6164"/>
    <w:rsid w:val="005E6402"/>
    <w:rsid w:val="005E6430"/>
    <w:rsid w:val="005E6457"/>
    <w:rsid w:val="005E64C2"/>
    <w:rsid w:val="005E68B3"/>
    <w:rsid w:val="005E6E35"/>
    <w:rsid w:val="005E6EB7"/>
    <w:rsid w:val="005E72AA"/>
    <w:rsid w:val="005E73CA"/>
    <w:rsid w:val="005E74F8"/>
    <w:rsid w:val="005E7617"/>
    <w:rsid w:val="005E76B5"/>
    <w:rsid w:val="005E776F"/>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699"/>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2FB4"/>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BFB"/>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B3E"/>
    <w:rsid w:val="00613EB1"/>
    <w:rsid w:val="00613ED8"/>
    <w:rsid w:val="006140D2"/>
    <w:rsid w:val="0061413F"/>
    <w:rsid w:val="00614486"/>
    <w:rsid w:val="00614664"/>
    <w:rsid w:val="0061466C"/>
    <w:rsid w:val="0061495C"/>
    <w:rsid w:val="00614BB6"/>
    <w:rsid w:val="00614C1A"/>
    <w:rsid w:val="00614C57"/>
    <w:rsid w:val="00615B17"/>
    <w:rsid w:val="00615B43"/>
    <w:rsid w:val="00615E7C"/>
    <w:rsid w:val="00615FA2"/>
    <w:rsid w:val="00616057"/>
    <w:rsid w:val="006162AE"/>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2D"/>
    <w:rsid w:val="00620976"/>
    <w:rsid w:val="00620A7E"/>
    <w:rsid w:val="00620A99"/>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698"/>
    <w:rsid w:val="006246EE"/>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1"/>
    <w:rsid w:val="00631426"/>
    <w:rsid w:val="006314B3"/>
    <w:rsid w:val="006314ED"/>
    <w:rsid w:val="006315EE"/>
    <w:rsid w:val="006317F0"/>
    <w:rsid w:val="006318C2"/>
    <w:rsid w:val="00631A0C"/>
    <w:rsid w:val="00631A6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6B3"/>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2FC"/>
    <w:rsid w:val="00644393"/>
    <w:rsid w:val="0064443C"/>
    <w:rsid w:val="006444C4"/>
    <w:rsid w:val="006448CC"/>
    <w:rsid w:val="00644CBB"/>
    <w:rsid w:val="00644D6E"/>
    <w:rsid w:val="00644EBD"/>
    <w:rsid w:val="00645218"/>
    <w:rsid w:val="0064573F"/>
    <w:rsid w:val="00645AE4"/>
    <w:rsid w:val="006461B3"/>
    <w:rsid w:val="006463DB"/>
    <w:rsid w:val="006464DA"/>
    <w:rsid w:val="006465F8"/>
    <w:rsid w:val="00646626"/>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A"/>
    <w:rsid w:val="00651D6E"/>
    <w:rsid w:val="00651E7E"/>
    <w:rsid w:val="00652258"/>
    <w:rsid w:val="006523E8"/>
    <w:rsid w:val="006525C5"/>
    <w:rsid w:val="006527C8"/>
    <w:rsid w:val="006528E9"/>
    <w:rsid w:val="00652A9E"/>
    <w:rsid w:val="00652BB4"/>
    <w:rsid w:val="00652FC4"/>
    <w:rsid w:val="00653144"/>
    <w:rsid w:val="0065319F"/>
    <w:rsid w:val="00653437"/>
    <w:rsid w:val="006534F4"/>
    <w:rsid w:val="006536C4"/>
    <w:rsid w:val="00653901"/>
    <w:rsid w:val="00653C98"/>
    <w:rsid w:val="00653D89"/>
    <w:rsid w:val="00654077"/>
    <w:rsid w:val="006540F9"/>
    <w:rsid w:val="0065420C"/>
    <w:rsid w:val="00654520"/>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AF3"/>
    <w:rsid w:val="00657C27"/>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6A0"/>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B8"/>
    <w:rsid w:val="00666528"/>
    <w:rsid w:val="0066659E"/>
    <w:rsid w:val="00666600"/>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7CF"/>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5EC9"/>
    <w:rsid w:val="00675F47"/>
    <w:rsid w:val="006761C4"/>
    <w:rsid w:val="006762A2"/>
    <w:rsid w:val="006762B9"/>
    <w:rsid w:val="006762FC"/>
    <w:rsid w:val="006763C0"/>
    <w:rsid w:val="006768CA"/>
    <w:rsid w:val="006768CC"/>
    <w:rsid w:val="0067693D"/>
    <w:rsid w:val="006769FE"/>
    <w:rsid w:val="00676C29"/>
    <w:rsid w:val="00676DEF"/>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1F2B"/>
    <w:rsid w:val="00682123"/>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022"/>
    <w:rsid w:val="00687145"/>
    <w:rsid w:val="006873E0"/>
    <w:rsid w:val="0068747C"/>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14F"/>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40E"/>
    <w:rsid w:val="006A0563"/>
    <w:rsid w:val="006A05C5"/>
    <w:rsid w:val="006A05E1"/>
    <w:rsid w:val="006A06F9"/>
    <w:rsid w:val="006A0713"/>
    <w:rsid w:val="006A0896"/>
    <w:rsid w:val="006A0D1A"/>
    <w:rsid w:val="006A0DCD"/>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D5E"/>
    <w:rsid w:val="006A3E5A"/>
    <w:rsid w:val="006A401F"/>
    <w:rsid w:val="006A40CC"/>
    <w:rsid w:val="006A4128"/>
    <w:rsid w:val="006A4185"/>
    <w:rsid w:val="006A440E"/>
    <w:rsid w:val="006A4510"/>
    <w:rsid w:val="006A4732"/>
    <w:rsid w:val="006A4852"/>
    <w:rsid w:val="006A492C"/>
    <w:rsid w:val="006A4ECD"/>
    <w:rsid w:val="006A50D4"/>
    <w:rsid w:val="006A50FD"/>
    <w:rsid w:val="006A560E"/>
    <w:rsid w:val="006A56AF"/>
    <w:rsid w:val="006A572F"/>
    <w:rsid w:val="006A59DB"/>
    <w:rsid w:val="006A60E8"/>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A85"/>
    <w:rsid w:val="006A7D87"/>
    <w:rsid w:val="006A7E11"/>
    <w:rsid w:val="006A7E37"/>
    <w:rsid w:val="006B006E"/>
    <w:rsid w:val="006B01E0"/>
    <w:rsid w:val="006B0671"/>
    <w:rsid w:val="006B0674"/>
    <w:rsid w:val="006B06A9"/>
    <w:rsid w:val="006B1003"/>
    <w:rsid w:val="006B1449"/>
    <w:rsid w:val="006B1565"/>
    <w:rsid w:val="006B15E1"/>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B5B"/>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3F3"/>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6C"/>
    <w:rsid w:val="006C1B90"/>
    <w:rsid w:val="006C1BE9"/>
    <w:rsid w:val="006C2063"/>
    <w:rsid w:val="006C23A8"/>
    <w:rsid w:val="006C24B5"/>
    <w:rsid w:val="006C267A"/>
    <w:rsid w:val="006C280A"/>
    <w:rsid w:val="006C2820"/>
    <w:rsid w:val="006C2986"/>
    <w:rsid w:val="006C2A0D"/>
    <w:rsid w:val="006C2AF2"/>
    <w:rsid w:val="006C2D2F"/>
    <w:rsid w:val="006C32F8"/>
    <w:rsid w:val="006C335A"/>
    <w:rsid w:val="006C3498"/>
    <w:rsid w:val="006C363F"/>
    <w:rsid w:val="006C3ACC"/>
    <w:rsid w:val="006C3D37"/>
    <w:rsid w:val="006C3ED5"/>
    <w:rsid w:val="006C4171"/>
    <w:rsid w:val="006C42C2"/>
    <w:rsid w:val="006C44AB"/>
    <w:rsid w:val="006C44F0"/>
    <w:rsid w:val="006C453E"/>
    <w:rsid w:val="006C475C"/>
    <w:rsid w:val="006C4872"/>
    <w:rsid w:val="006C4980"/>
    <w:rsid w:val="006C498F"/>
    <w:rsid w:val="006C4C23"/>
    <w:rsid w:val="006C4E9A"/>
    <w:rsid w:val="006C512C"/>
    <w:rsid w:val="006C52A4"/>
    <w:rsid w:val="006C55E2"/>
    <w:rsid w:val="006C5614"/>
    <w:rsid w:val="006C57DE"/>
    <w:rsid w:val="006C5883"/>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2F9"/>
    <w:rsid w:val="006D0352"/>
    <w:rsid w:val="006D060D"/>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87F"/>
    <w:rsid w:val="006D29B4"/>
    <w:rsid w:val="006D2B4E"/>
    <w:rsid w:val="006D2EF2"/>
    <w:rsid w:val="006D3042"/>
    <w:rsid w:val="006D30DF"/>
    <w:rsid w:val="006D33CF"/>
    <w:rsid w:val="006D342A"/>
    <w:rsid w:val="006D34DF"/>
    <w:rsid w:val="006D38A7"/>
    <w:rsid w:val="006D3A97"/>
    <w:rsid w:val="006D3B23"/>
    <w:rsid w:val="006D3BF5"/>
    <w:rsid w:val="006D3C4E"/>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EE9"/>
    <w:rsid w:val="006D6FC2"/>
    <w:rsid w:val="006D6FC3"/>
    <w:rsid w:val="006D7070"/>
    <w:rsid w:val="006D71CE"/>
    <w:rsid w:val="006D720A"/>
    <w:rsid w:val="006D72C2"/>
    <w:rsid w:val="006D74B1"/>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AC"/>
    <w:rsid w:val="006E15FC"/>
    <w:rsid w:val="006E16B5"/>
    <w:rsid w:val="006E16F8"/>
    <w:rsid w:val="006E1957"/>
    <w:rsid w:val="006E1B9A"/>
    <w:rsid w:val="006E1F38"/>
    <w:rsid w:val="006E202F"/>
    <w:rsid w:val="006E209F"/>
    <w:rsid w:val="006E2328"/>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3F78"/>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6FE"/>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2F3"/>
    <w:rsid w:val="006F6549"/>
    <w:rsid w:val="006F68B9"/>
    <w:rsid w:val="006F69AA"/>
    <w:rsid w:val="006F6A8C"/>
    <w:rsid w:val="006F6BA8"/>
    <w:rsid w:val="006F6CD0"/>
    <w:rsid w:val="006F6EFC"/>
    <w:rsid w:val="006F7365"/>
    <w:rsid w:val="006F7423"/>
    <w:rsid w:val="006F7586"/>
    <w:rsid w:val="006F772D"/>
    <w:rsid w:val="006F78B8"/>
    <w:rsid w:val="006F7B25"/>
    <w:rsid w:val="006F7E0C"/>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2D80"/>
    <w:rsid w:val="007037AA"/>
    <w:rsid w:val="00703821"/>
    <w:rsid w:val="0070397C"/>
    <w:rsid w:val="00703B32"/>
    <w:rsid w:val="00703C88"/>
    <w:rsid w:val="00703D1C"/>
    <w:rsid w:val="00703FA5"/>
    <w:rsid w:val="00704004"/>
    <w:rsid w:val="007040DA"/>
    <w:rsid w:val="00704330"/>
    <w:rsid w:val="0070435F"/>
    <w:rsid w:val="00704393"/>
    <w:rsid w:val="00704407"/>
    <w:rsid w:val="00704550"/>
    <w:rsid w:val="007049F8"/>
    <w:rsid w:val="00704A5A"/>
    <w:rsid w:val="00704D75"/>
    <w:rsid w:val="00704D9A"/>
    <w:rsid w:val="00704FDF"/>
    <w:rsid w:val="007052A4"/>
    <w:rsid w:val="0070538F"/>
    <w:rsid w:val="00705549"/>
    <w:rsid w:val="007059BB"/>
    <w:rsid w:val="00705A2C"/>
    <w:rsid w:val="00705AC9"/>
    <w:rsid w:val="00705B8F"/>
    <w:rsid w:val="00705C10"/>
    <w:rsid w:val="00705C65"/>
    <w:rsid w:val="00705E8D"/>
    <w:rsid w:val="00705F1B"/>
    <w:rsid w:val="00705FC4"/>
    <w:rsid w:val="00706423"/>
    <w:rsid w:val="00706577"/>
    <w:rsid w:val="007067B8"/>
    <w:rsid w:val="007067DF"/>
    <w:rsid w:val="007068CA"/>
    <w:rsid w:val="0070697C"/>
    <w:rsid w:val="00706A2A"/>
    <w:rsid w:val="00706CBE"/>
    <w:rsid w:val="00706D56"/>
    <w:rsid w:val="00706DDB"/>
    <w:rsid w:val="007074C8"/>
    <w:rsid w:val="00707507"/>
    <w:rsid w:val="00707731"/>
    <w:rsid w:val="007077E2"/>
    <w:rsid w:val="00707A6D"/>
    <w:rsid w:val="00707AA6"/>
    <w:rsid w:val="00707B6A"/>
    <w:rsid w:val="00707CFC"/>
    <w:rsid w:val="00707D64"/>
    <w:rsid w:val="00707F73"/>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AC"/>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BB"/>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181"/>
    <w:rsid w:val="007202BF"/>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848"/>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A4"/>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1F0"/>
    <w:rsid w:val="00726646"/>
    <w:rsid w:val="00726A09"/>
    <w:rsid w:val="00726ACE"/>
    <w:rsid w:val="00726B6E"/>
    <w:rsid w:val="00726CB4"/>
    <w:rsid w:val="00726D4E"/>
    <w:rsid w:val="00726F74"/>
    <w:rsid w:val="00727520"/>
    <w:rsid w:val="00727552"/>
    <w:rsid w:val="007279B8"/>
    <w:rsid w:val="007279FC"/>
    <w:rsid w:val="00727AE6"/>
    <w:rsid w:val="00727BEE"/>
    <w:rsid w:val="0073000A"/>
    <w:rsid w:val="007300F6"/>
    <w:rsid w:val="0073016A"/>
    <w:rsid w:val="007301A7"/>
    <w:rsid w:val="00730916"/>
    <w:rsid w:val="00730A14"/>
    <w:rsid w:val="00730BB1"/>
    <w:rsid w:val="00730D35"/>
    <w:rsid w:val="00730DFE"/>
    <w:rsid w:val="00730F0E"/>
    <w:rsid w:val="00730FC2"/>
    <w:rsid w:val="00730FCE"/>
    <w:rsid w:val="007312F7"/>
    <w:rsid w:val="007313C9"/>
    <w:rsid w:val="00731485"/>
    <w:rsid w:val="007315B1"/>
    <w:rsid w:val="00731615"/>
    <w:rsid w:val="007316A1"/>
    <w:rsid w:val="00731962"/>
    <w:rsid w:val="00731A45"/>
    <w:rsid w:val="00731A7C"/>
    <w:rsid w:val="00731D9B"/>
    <w:rsid w:val="00731EF3"/>
    <w:rsid w:val="00732333"/>
    <w:rsid w:val="00732414"/>
    <w:rsid w:val="007325A8"/>
    <w:rsid w:val="007327A2"/>
    <w:rsid w:val="007327CB"/>
    <w:rsid w:val="007329AE"/>
    <w:rsid w:val="00732A8B"/>
    <w:rsid w:val="00732C13"/>
    <w:rsid w:val="00732C39"/>
    <w:rsid w:val="00732DFF"/>
    <w:rsid w:val="00732E65"/>
    <w:rsid w:val="00732FE9"/>
    <w:rsid w:val="00733064"/>
    <w:rsid w:val="007330A1"/>
    <w:rsid w:val="00733669"/>
    <w:rsid w:val="0073380A"/>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04"/>
    <w:rsid w:val="00735A94"/>
    <w:rsid w:val="00735CE4"/>
    <w:rsid w:val="00735E0B"/>
    <w:rsid w:val="00735EA0"/>
    <w:rsid w:val="0073627D"/>
    <w:rsid w:val="007365CE"/>
    <w:rsid w:val="007367D4"/>
    <w:rsid w:val="00736826"/>
    <w:rsid w:val="00736AD8"/>
    <w:rsid w:val="00736AEB"/>
    <w:rsid w:val="00736B5D"/>
    <w:rsid w:val="00736B7C"/>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631"/>
    <w:rsid w:val="007419D6"/>
    <w:rsid w:val="007419EE"/>
    <w:rsid w:val="00741A5E"/>
    <w:rsid w:val="00741CCC"/>
    <w:rsid w:val="0074212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3C"/>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6FC"/>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697"/>
    <w:rsid w:val="007539A9"/>
    <w:rsid w:val="00753A77"/>
    <w:rsid w:val="00753AC1"/>
    <w:rsid w:val="00753BBC"/>
    <w:rsid w:val="00754347"/>
    <w:rsid w:val="00754749"/>
    <w:rsid w:val="00754769"/>
    <w:rsid w:val="007548A7"/>
    <w:rsid w:val="00754DC4"/>
    <w:rsid w:val="00754FD0"/>
    <w:rsid w:val="007550BB"/>
    <w:rsid w:val="00755113"/>
    <w:rsid w:val="0075515B"/>
    <w:rsid w:val="00755187"/>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30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792"/>
    <w:rsid w:val="00762B1E"/>
    <w:rsid w:val="00762B2A"/>
    <w:rsid w:val="00762D3A"/>
    <w:rsid w:val="00762D8E"/>
    <w:rsid w:val="00762DDF"/>
    <w:rsid w:val="00762F77"/>
    <w:rsid w:val="007632B8"/>
    <w:rsid w:val="007634BF"/>
    <w:rsid w:val="00763623"/>
    <w:rsid w:val="007636DA"/>
    <w:rsid w:val="00763726"/>
    <w:rsid w:val="0076395A"/>
    <w:rsid w:val="00763999"/>
    <w:rsid w:val="00763A7E"/>
    <w:rsid w:val="00763D1E"/>
    <w:rsid w:val="00763E6E"/>
    <w:rsid w:val="00764095"/>
    <w:rsid w:val="00764200"/>
    <w:rsid w:val="00764235"/>
    <w:rsid w:val="00764241"/>
    <w:rsid w:val="007643DD"/>
    <w:rsid w:val="0076449B"/>
    <w:rsid w:val="007648C5"/>
    <w:rsid w:val="007649FF"/>
    <w:rsid w:val="00764BAB"/>
    <w:rsid w:val="00764BF4"/>
    <w:rsid w:val="00764CD3"/>
    <w:rsid w:val="00764D59"/>
    <w:rsid w:val="00764D61"/>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66C"/>
    <w:rsid w:val="00766703"/>
    <w:rsid w:val="00766AD4"/>
    <w:rsid w:val="00766F8B"/>
    <w:rsid w:val="00767563"/>
    <w:rsid w:val="007677C8"/>
    <w:rsid w:val="007677FF"/>
    <w:rsid w:val="00767818"/>
    <w:rsid w:val="00767B17"/>
    <w:rsid w:val="00767C00"/>
    <w:rsid w:val="00767C58"/>
    <w:rsid w:val="00767C87"/>
    <w:rsid w:val="00767CCF"/>
    <w:rsid w:val="0077016F"/>
    <w:rsid w:val="00770319"/>
    <w:rsid w:val="00770725"/>
    <w:rsid w:val="0077084B"/>
    <w:rsid w:val="007708BC"/>
    <w:rsid w:val="007708BE"/>
    <w:rsid w:val="00770927"/>
    <w:rsid w:val="00770AC4"/>
    <w:rsid w:val="00770BC7"/>
    <w:rsid w:val="00770CBA"/>
    <w:rsid w:val="00770F07"/>
    <w:rsid w:val="00770FA9"/>
    <w:rsid w:val="007712FD"/>
    <w:rsid w:val="0077136B"/>
    <w:rsid w:val="00771A53"/>
    <w:rsid w:val="00771AAB"/>
    <w:rsid w:val="00771BBC"/>
    <w:rsid w:val="00771CDE"/>
    <w:rsid w:val="00772046"/>
    <w:rsid w:val="007722E4"/>
    <w:rsid w:val="007723D6"/>
    <w:rsid w:val="00772462"/>
    <w:rsid w:val="0077248E"/>
    <w:rsid w:val="00772748"/>
    <w:rsid w:val="007728B1"/>
    <w:rsid w:val="007729F5"/>
    <w:rsid w:val="00772A24"/>
    <w:rsid w:val="00772A52"/>
    <w:rsid w:val="00772F8D"/>
    <w:rsid w:val="007730B5"/>
    <w:rsid w:val="007730E4"/>
    <w:rsid w:val="007733C7"/>
    <w:rsid w:val="007736AB"/>
    <w:rsid w:val="007738C3"/>
    <w:rsid w:val="00773A62"/>
    <w:rsid w:val="00773AEE"/>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BA5"/>
    <w:rsid w:val="00775C66"/>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CBB"/>
    <w:rsid w:val="00782DA3"/>
    <w:rsid w:val="00782F60"/>
    <w:rsid w:val="00782FD8"/>
    <w:rsid w:val="00782FEC"/>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4C7"/>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DD2"/>
    <w:rsid w:val="00786F79"/>
    <w:rsid w:val="00787357"/>
    <w:rsid w:val="007873C1"/>
    <w:rsid w:val="007873C3"/>
    <w:rsid w:val="007873E3"/>
    <w:rsid w:val="0078751C"/>
    <w:rsid w:val="0078779B"/>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49"/>
    <w:rsid w:val="0079367E"/>
    <w:rsid w:val="0079376A"/>
    <w:rsid w:val="007939D8"/>
    <w:rsid w:val="00793A48"/>
    <w:rsid w:val="00793CAB"/>
    <w:rsid w:val="00793CD1"/>
    <w:rsid w:val="00793CE3"/>
    <w:rsid w:val="00794010"/>
    <w:rsid w:val="007943E0"/>
    <w:rsid w:val="00794785"/>
    <w:rsid w:val="007948BF"/>
    <w:rsid w:val="00794928"/>
    <w:rsid w:val="00794A1C"/>
    <w:rsid w:val="00794AB9"/>
    <w:rsid w:val="00794B55"/>
    <w:rsid w:val="00794CC0"/>
    <w:rsid w:val="00794E05"/>
    <w:rsid w:val="00794FDC"/>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C85"/>
    <w:rsid w:val="007A3DE6"/>
    <w:rsid w:val="007A3DF2"/>
    <w:rsid w:val="007A3F2B"/>
    <w:rsid w:val="007A4136"/>
    <w:rsid w:val="007A4417"/>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674"/>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02"/>
    <w:rsid w:val="007B081C"/>
    <w:rsid w:val="007B09FB"/>
    <w:rsid w:val="007B1053"/>
    <w:rsid w:val="007B1284"/>
    <w:rsid w:val="007B14CF"/>
    <w:rsid w:val="007B1B00"/>
    <w:rsid w:val="007B1B2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0F2"/>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B7F85"/>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476"/>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1A8"/>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AE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BEC"/>
    <w:rsid w:val="007E0E0B"/>
    <w:rsid w:val="007E0E50"/>
    <w:rsid w:val="007E0FA7"/>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82A"/>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40B"/>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DDB"/>
    <w:rsid w:val="007F22F9"/>
    <w:rsid w:val="007F2509"/>
    <w:rsid w:val="007F255E"/>
    <w:rsid w:val="007F2637"/>
    <w:rsid w:val="007F26A3"/>
    <w:rsid w:val="007F2B0C"/>
    <w:rsid w:val="007F2EDF"/>
    <w:rsid w:val="007F31AB"/>
    <w:rsid w:val="007F32AE"/>
    <w:rsid w:val="007F32DB"/>
    <w:rsid w:val="007F33C2"/>
    <w:rsid w:val="007F34BD"/>
    <w:rsid w:val="007F3AD1"/>
    <w:rsid w:val="007F3B1D"/>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7F7A87"/>
    <w:rsid w:val="007F7E99"/>
    <w:rsid w:val="00800023"/>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2F6F"/>
    <w:rsid w:val="0080325D"/>
    <w:rsid w:val="0080334E"/>
    <w:rsid w:val="008038CC"/>
    <w:rsid w:val="008039CC"/>
    <w:rsid w:val="00803B2B"/>
    <w:rsid w:val="00803BF0"/>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86C"/>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4A"/>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12"/>
    <w:rsid w:val="0081475E"/>
    <w:rsid w:val="00814A73"/>
    <w:rsid w:val="00814C38"/>
    <w:rsid w:val="00815213"/>
    <w:rsid w:val="008152B7"/>
    <w:rsid w:val="008154CD"/>
    <w:rsid w:val="008154D9"/>
    <w:rsid w:val="008154E9"/>
    <w:rsid w:val="008155CA"/>
    <w:rsid w:val="0081562A"/>
    <w:rsid w:val="00815C5E"/>
    <w:rsid w:val="00815DFC"/>
    <w:rsid w:val="00816086"/>
    <w:rsid w:val="00816298"/>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7E1"/>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738"/>
    <w:rsid w:val="00827A3D"/>
    <w:rsid w:val="00827F5D"/>
    <w:rsid w:val="008300DC"/>
    <w:rsid w:val="00830300"/>
    <w:rsid w:val="0083090B"/>
    <w:rsid w:val="00830C2B"/>
    <w:rsid w:val="0083123C"/>
    <w:rsid w:val="008312B0"/>
    <w:rsid w:val="008313E5"/>
    <w:rsid w:val="00831774"/>
    <w:rsid w:val="0083183F"/>
    <w:rsid w:val="00831A3C"/>
    <w:rsid w:val="00831BD9"/>
    <w:rsid w:val="00831D6C"/>
    <w:rsid w:val="00831D99"/>
    <w:rsid w:val="00831FA9"/>
    <w:rsid w:val="0083209D"/>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C3B"/>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4BF6"/>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43"/>
    <w:rsid w:val="008472A7"/>
    <w:rsid w:val="00847432"/>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8"/>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51"/>
    <w:rsid w:val="00856261"/>
    <w:rsid w:val="008564A8"/>
    <w:rsid w:val="00856753"/>
    <w:rsid w:val="00856755"/>
    <w:rsid w:val="008568E5"/>
    <w:rsid w:val="00856A89"/>
    <w:rsid w:val="0085703F"/>
    <w:rsid w:val="00857105"/>
    <w:rsid w:val="0085742E"/>
    <w:rsid w:val="00857749"/>
    <w:rsid w:val="00857889"/>
    <w:rsid w:val="0085793E"/>
    <w:rsid w:val="00857A1D"/>
    <w:rsid w:val="00857AF5"/>
    <w:rsid w:val="00857EFF"/>
    <w:rsid w:val="008600D4"/>
    <w:rsid w:val="00860211"/>
    <w:rsid w:val="00860614"/>
    <w:rsid w:val="0086081D"/>
    <w:rsid w:val="00860AE9"/>
    <w:rsid w:val="00860BD7"/>
    <w:rsid w:val="008611C9"/>
    <w:rsid w:val="008613B8"/>
    <w:rsid w:val="0086163E"/>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BCB"/>
    <w:rsid w:val="00865DF5"/>
    <w:rsid w:val="00865F05"/>
    <w:rsid w:val="00865F0C"/>
    <w:rsid w:val="008661B5"/>
    <w:rsid w:val="00866591"/>
    <w:rsid w:val="008665B6"/>
    <w:rsid w:val="00866736"/>
    <w:rsid w:val="008667D3"/>
    <w:rsid w:val="008668DC"/>
    <w:rsid w:val="008669AD"/>
    <w:rsid w:val="00866B7A"/>
    <w:rsid w:val="00866BFD"/>
    <w:rsid w:val="00866DC7"/>
    <w:rsid w:val="008674D3"/>
    <w:rsid w:val="00867712"/>
    <w:rsid w:val="00867D83"/>
    <w:rsid w:val="00867E81"/>
    <w:rsid w:val="00867F2B"/>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AB7"/>
    <w:rsid w:val="00875BA4"/>
    <w:rsid w:val="00875BA5"/>
    <w:rsid w:val="00875E8A"/>
    <w:rsid w:val="00875ED9"/>
    <w:rsid w:val="00875EEA"/>
    <w:rsid w:val="00875FAB"/>
    <w:rsid w:val="0087642E"/>
    <w:rsid w:val="00876431"/>
    <w:rsid w:val="00876614"/>
    <w:rsid w:val="0087662B"/>
    <w:rsid w:val="00876676"/>
    <w:rsid w:val="0087694D"/>
    <w:rsid w:val="00876A5F"/>
    <w:rsid w:val="00876C5A"/>
    <w:rsid w:val="00876C89"/>
    <w:rsid w:val="00876D44"/>
    <w:rsid w:val="00876DDF"/>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7C"/>
    <w:rsid w:val="008807C5"/>
    <w:rsid w:val="00880D8B"/>
    <w:rsid w:val="0088111C"/>
    <w:rsid w:val="00881261"/>
    <w:rsid w:val="00881275"/>
    <w:rsid w:val="008814B9"/>
    <w:rsid w:val="00881536"/>
    <w:rsid w:val="00881C0F"/>
    <w:rsid w:val="00881F98"/>
    <w:rsid w:val="00882080"/>
    <w:rsid w:val="008823A4"/>
    <w:rsid w:val="00882694"/>
    <w:rsid w:val="00882BF9"/>
    <w:rsid w:val="00882CDE"/>
    <w:rsid w:val="00883153"/>
    <w:rsid w:val="00883189"/>
    <w:rsid w:val="00883329"/>
    <w:rsid w:val="00883766"/>
    <w:rsid w:val="0088381F"/>
    <w:rsid w:val="008838B6"/>
    <w:rsid w:val="0088398D"/>
    <w:rsid w:val="00883A80"/>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A8"/>
    <w:rsid w:val="008850C2"/>
    <w:rsid w:val="008850EF"/>
    <w:rsid w:val="008851ED"/>
    <w:rsid w:val="00885409"/>
    <w:rsid w:val="00885623"/>
    <w:rsid w:val="0088569E"/>
    <w:rsid w:val="00885811"/>
    <w:rsid w:val="00885D46"/>
    <w:rsid w:val="00885D73"/>
    <w:rsid w:val="00885EB7"/>
    <w:rsid w:val="00885EF1"/>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1D0"/>
    <w:rsid w:val="00890728"/>
    <w:rsid w:val="00890780"/>
    <w:rsid w:val="00890812"/>
    <w:rsid w:val="00890A87"/>
    <w:rsid w:val="00890AA3"/>
    <w:rsid w:val="00890FAB"/>
    <w:rsid w:val="008911CC"/>
    <w:rsid w:val="0089125B"/>
    <w:rsid w:val="008912F8"/>
    <w:rsid w:val="0089130C"/>
    <w:rsid w:val="00891498"/>
    <w:rsid w:val="00891CB4"/>
    <w:rsid w:val="008923EF"/>
    <w:rsid w:val="00892554"/>
    <w:rsid w:val="008927ED"/>
    <w:rsid w:val="0089297A"/>
    <w:rsid w:val="00892A3A"/>
    <w:rsid w:val="00892A8C"/>
    <w:rsid w:val="00892DD0"/>
    <w:rsid w:val="00892DDB"/>
    <w:rsid w:val="008930D9"/>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1B5"/>
    <w:rsid w:val="008972B0"/>
    <w:rsid w:val="0089762D"/>
    <w:rsid w:val="008978F0"/>
    <w:rsid w:val="008979A2"/>
    <w:rsid w:val="00897CD7"/>
    <w:rsid w:val="008A00ED"/>
    <w:rsid w:val="008A0463"/>
    <w:rsid w:val="008A069D"/>
    <w:rsid w:val="008A0767"/>
    <w:rsid w:val="008A0B3C"/>
    <w:rsid w:val="008A0F40"/>
    <w:rsid w:val="008A12D8"/>
    <w:rsid w:val="008A172A"/>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267"/>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61F"/>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44"/>
    <w:rsid w:val="008B3EB4"/>
    <w:rsid w:val="008B3EE8"/>
    <w:rsid w:val="008B400F"/>
    <w:rsid w:val="008B4139"/>
    <w:rsid w:val="008B41F0"/>
    <w:rsid w:val="008B42B2"/>
    <w:rsid w:val="008B44EB"/>
    <w:rsid w:val="008B4566"/>
    <w:rsid w:val="008B482A"/>
    <w:rsid w:val="008B49B0"/>
    <w:rsid w:val="008B4A8E"/>
    <w:rsid w:val="008B4BFD"/>
    <w:rsid w:val="008B4C73"/>
    <w:rsid w:val="008B4DD3"/>
    <w:rsid w:val="008B4E26"/>
    <w:rsid w:val="008B4E67"/>
    <w:rsid w:val="008B51BC"/>
    <w:rsid w:val="008B5270"/>
    <w:rsid w:val="008B5785"/>
    <w:rsid w:val="008B59C0"/>
    <w:rsid w:val="008B5AB2"/>
    <w:rsid w:val="008B5FFB"/>
    <w:rsid w:val="008B63E5"/>
    <w:rsid w:val="008B645E"/>
    <w:rsid w:val="008B675D"/>
    <w:rsid w:val="008B6976"/>
    <w:rsid w:val="008B6A03"/>
    <w:rsid w:val="008B6A3E"/>
    <w:rsid w:val="008B6AAE"/>
    <w:rsid w:val="008B6B6D"/>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74"/>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53"/>
    <w:rsid w:val="008C29A0"/>
    <w:rsid w:val="008C2C38"/>
    <w:rsid w:val="008C2D87"/>
    <w:rsid w:val="008C2E0B"/>
    <w:rsid w:val="008C30E5"/>
    <w:rsid w:val="008C3214"/>
    <w:rsid w:val="008C3AB7"/>
    <w:rsid w:val="008C3C01"/>
    <w:rsid w:val="008C3F63"/>
    <w:rsid w:val="008C3FB4"/>
    <w:rsid w:val="008C4308"/>
    <w:rsid w:val="008C448F"/>
    <w:rsid w:val="008C458C"/>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EA8"/>
    <w:rsid w:val="008C5FC0"/>
    <w:rsid w:val="008C6104"/>
    <w:rsid w:val="008C6220"/>
    <w:rsid w:val="008C6423"/>
    <w:rsid w:val="008C6473"/>
    <w:rsid w:val="008C65A7"/>
    <w:rsid w:val="008C6918"/>
    <w:rsid w:val="008C6947"/>
    <w:rsid w:val="008C6953"/>
    <w:rsid w:val="008C6B1C"/>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20"/>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7CD"/>
    <w:rsid w:val="008D2845"/>
    <w:rsid w:val="008D2CC8"/>
    <w:rsid w:val="008D2E4C"/>
    <w:rsid w:val="008D2E60"/>
    <w:rsid w:val="008D2F10"/>
    <w:rsid w:val="008D33F2"/>
    <w:rsid w:val="008D340B"/>
    <w:rsid w:val="008D3421"/>
    <w:rsid w:val="008D365B"/>
    <w:rsid w:val="008D373D"/>
    <w:rsid w:val="008D3761"/>
    <w:rsid w:val="008D37EB"/>
    <w:rsid w:val="008D3907"/>
    <w:rsid w:val="008D3E2A"/>
    <w:rsid w:val="008D4060"/>
    <w:rsid w:val="008D41A9"/>
    <w:rsid w:val="008D41EF"/>
    <w:rsid w:val="008D422A"/>
    <w:rsid w:val="008D431C"/>
    <w:rsid w:val="008D434C"/>
    <w:rsid w:val="008D45B9"/>
    <w:rsid w:val="008D47C4"/>
    <w:rsid w:val="008D4972"/>
    <w:rsid w:val="008D4C14"/>
    <w:rsid w:val="008D4C2C"/>
    <w:rsid w:val="008D4CAC"/>
    <w:rsid w:val="008D4D0E"/>
    <w:rsid w:val="008D5192"/>
    <w:rsid w:val="008D5230"/>
    <w:rsid w:val="008D5435"/>
    <w:rsid w:val="008D5567"/>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357"/>
    <w:rsid w:val="008D74A9"/>
    <w:rsid w:val="008D7582"/>
    <w:rsid w:val="008D7609"/>
    <w:rsid w:val="008D7A32"/>
    <w:rsid w:val="008D7AFB"/>
    <w:rsid w:val="008D7BAB"/>
    <w:rsid w:val="008D7BD6"/>
    <w:rsid w:val="008D7D28"/>
    <w:rsid w:val="008D7E46"/>
    <w:rsid w:val="008E06D4"/>
    <w:rsid w:val="008E07AB"/>
    <w:rsid w:val="008E07E6"/>
    <w:rsid w:val="008E0855"/>
    <w:rsid w:val="008E08FB"/>
    <w:rsid w:val="008E099B"/>
    <w:rsid w:val="008E0A61"/>
    <w:rsid w:val="008E0CBE"/>
    <w:rsid w:val="008E0FBB"/>
    <w:rsid w:val="008E1624"/>
    <w:rsid w:val="008E180F"/>
    <w:rsid w:val="008E1970"/>
    <w:rsid w:val="008E1A99"/>
    <w:rsid w:val="008E1C3F"/>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3D6D"/>
    <w:rsid w:val="008E41CA"/>
    <w:rsid w:val="008E4234"/>
    <w:rsid w:val="008E4366"/>
    <w:rsid w:val="008E4482"/>
    <w:rsid w:val="008E4484"/>
    <w:rsid w:val="008E44B7"/>
    <w:rsid w:val="008E4606"/>
    <w:rsid w:val="008E46E1"/>
    <w:rsid w:val="008E47C8"/>
    <w:rsid w:val="008E4DFB"/>
    <w:rsid w:val="008E5011"/>
    <w:rsid w:val="008E5217"/>
    <w:rsid w:val="008E565E"/>
    <w:rsid w:val="008E5841"/>
    <w:rsid w:val="008E5ACF"/>
    <w:rsid w:val="008E5C0B"/>
    <w:rsid w:val="008E5EE3"/>
    <w:rsid w:val="008E5EFF"/>
    <w:rsid w:val="008E6012"/>
    <w:rsid w:val="008E63F7"/>
    <w:rsid w:val="008E6638"/>
    <w:rsid w:val="008E6698"/>
    <w:rsid w:val="008E66F0"/>
    <w:rsid w:val="008E69A1"/>
    <w:rsid w:val="008E6A88"/>
    <w:rsid w:val="008E6ACE"/>
    <w:rsid w:val="008E6AF8"/>
    <w:rsid w:val="008E6DA9"/>
    <w:rsid w:val="008E74A7"/>
    <w:rsid w:val="008E7545"/>
    <w:rsid w:val="008E7EDD"/>
    <w:rsid w:val="008F0102"/>
    <w:rsid w:val="008F01F5"/>
    <w:rsid w:val="008F0795"/>
    <w:rsid w:val="008F084E"/>
    <w:rsid w:val="008F08B0"/>
    <w:rsid w:val="008F0964"/>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C67"/>
    <w:rsid w:val="008F2F30"/>
    <w:rsid w:val="008F334F"/>
    <w:rsid w:val="008F382E"/>
    <w:rsid w:val="008F3A24"/>
    <w:rsid w:val="008F3CB2"/>
    <w:rsid w:val="008F3D08"/>
    <w:rsid w:val="008F3DCB"/>
    <w:rsid w:val="008F40F9"/>
    <w:rsid w:val="008F475C"/>
    <w:rsid w:val="008F47BE"/>
    <w:rsid w:val="008F5119"/>
    <w:rsid w:val="008F5177"/>
    <w:rsid w:val="008F550E"/>
    <w:rsid w:val="008F55B3"/>
    <w:rsid w:val="008F5678"/>
    <w:rsid w:val="008F5825"/>
    <w:rsid w:val="008F5AD7"/>
    <w:rsid w:val="008F5B65"/>
    <w:rsid w:val="008F5CF6"/>
    <w:rsid w:val="008F5D9F"/>
    <w:rsid w:val="008F5E08"/>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D21"/>
    <w:rsid w:val="00900EE6"/>
    <w:rsid w:val="00900F5F"/>
    <w:rsid w:val="00900F95"/>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893"/>
    <w:rsid w:val="00904925"/>
    <w:rsid w:val="00904AF3"/>
    <w:rsid w:val="00904DCE"/>
    <w:rsid w:val="0090517C"/>
    <w:rsid w:val="009053FA"/>
    <w:rsid w:val="0090545E"/>
    <w:rsid w:val="00905752"/>
    <w:rsid w:val="009057AC"/>
    <w:rsid w:val="00905A08"/>
    <w:rsid w:val="00905BC2"/>
    <w:rsid w:val="00905C79"/>
    <w:rsid w:val="00905E5C"/>
    <w:rsid w:val="00905FC6"/>
    <w:rsid w:val="00906996"/>
    <w:rsid w:val="009069A3"/>
    <w:rsid w:val="00906D3B"/>
    <w:rsid w:val="00906DF8"/>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4DB"/>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DE7"/>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A7"/>
    <w:rsid w:val="009200D9"/>
    <w:rsid w:val="0092014F"/>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799"/>
    <w:rsid w:val="00923842"/>
    <w:rsid w:val="009238E8"/>
    <w:rsid w:val="009239EC"/>
    <w:rsid w:val="00923C11"/>
    <w:rsid w:val="00923CEE"/>
    <w:rsid w:val="00923DA7"/>
    <w:rsid w:val="009241C9"/>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C90"/>
    <w:rsid w:val="00926D1D"/>
    <w:rsid w:val="00926DBD"/>
    <w:rsid w:val="00926F9E"/>
    <w:rsid w:val="0092726F"/>
    <w:rsid w:val="00927294"/>
    <w:rsid w:val="009273E6"/>
    <w:rsid w:val="009276BC"/>
    <w:rsid w:val="009278D9"/>
    <w:rsid w:val="00927A66"/>
    <w:rsid w:val="00927A88"/>
    <w:rsid w:val="00927C90"/>
    <w:rsid w:val="00927D1E"/>
    <w:rsid w:val="0093051E"/>
    <w:rsid w:val="009306F9"/>
    <w:rsid w:val="00930929"/>
    <w:rsid w:val="009309B4"/>
    <w:rsid w:val="00930A9B"/>
    <w:rsid w:val="00930B8B"/>
    <w:rsid w:val="00930C4E"/>
    <w:rsid w:val="00930FF5"/>
    <w:rsid w:val="0093115D"/>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A89"/>
    <w:rsid w:val="00933B9E"/>
    <w:rsid w:val="00933C22"/>
    <w:rsid w:val="00933E21"/>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AEA"/>
    <w:rsid w:val="00935D6F"/>
    <w:rsid w:val="00936111"/>
    <w:rsid w:val="0093626D"/>
    <w:rsid w:val="00936680"/>
    <w:rsid w:val="009368BB"/>
    <w:rsid w:val="00936C6B"/>
    <w:rsid w:val="00936CD5"/>
    <w:rsid w:val="00936D41"/>
    <w:rsid w:val="00936D9E"/>
    <w:rsid w:val="00936F91"/>
    <w:rsid w:val="00937052"/>
    <w:rsid w:val="009371F5"/>
    <w:rsid w:val="009373B9"/>
    <w:rsid w:val="0093746C"/>
    <w:rsid w:val="00937B39"/>
    <w:rsid w:val="009401D0"/>
    <w:rsid w:val="009403C7"/>
    <w:rsid w:val="009404F9"/>
    <w:rsid w:val="0094060F"/>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2C33"/>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21"/>
    <w:rsid w:val="00946DF8"/>
    <w:rsid w:val="00947531"/>
    <w:rsid w:val="0094774C"/>
    <w:rsid w:val="00950054"/>
    <w:rsid w:val="009500EF"/>
    <w:rsid w:val="00950306"/>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CEE"/>
    <w:rsid w:val="00952DF4"/>
    <w:rsid w:val="00952F68"/>
    <w:rsid w:val="00952FDE"/>
    <w:rsid w:val="00952FF7"/>
    <w:rsid w:val="009533F0"/>
    <w:rsid w:val="0095370F"/>
    <w:rsid w:val="00953740"/>
    <w:rsid w:val="009538E8"/>
    <w:rsid w:val="00953904"/>
    <w:rsid w:val="00953A28"/>
    <w:rsid w:val="00953C20"/>
    <w:rsid w:val="00953DEB"/>
    <w:rsid w:val="00953EB0"/>
    <w:rsid w:val="00954128"/>
    <w:rsid w:val="00954759"/>
    <w:rsid w:val="009547A7"/>
    <w:rsid w:val="009548A4"/>
    <w:rsid w:val="00954DB9"/>
    <w:rsid w:val="00954F12"/>
    <w:rsid w:val="00954FA4"/>
    <w:rsid w:val="00954FFE"/>
    <w:rsid w:val="0095502C"/>
    <w:rsid w:val="0095540D"/>
    <w:rsid w:val="0095553F"/>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BF"/>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24"/>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25D"/>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3CE"/>
    <w:rsid w:val="00970499"/>
    <w:rsid w:val="009706BF"/>
    <w:rsid w:val="009707CD"/>
    <w:rsid w:val="00970862"/>
    <w:rsid w:val="0097086F"/>
    <w:rsid w:val="00970C01"/>
    <w:rsid w:val="00970C84"/>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7C"/>
    <w:rsid w:val="009723F2"/>
    <w:rsid w:val="009725D1"/>
    <w:rsid w:val="0097285B"/>
    <w:rsid w:val="00972AB4"/>
    <w:rsid w:val="00972C17"/>
    <w:rsid w:val="00972D36"/>
    <w:rsid w:val="00973416"/>
    <w:rsid w:val="009736C3"/>
    <w:rsid w:val="0097397D"/>
    <w:rsid w:val="00973C21"/>
    <w:rsid w:val="00973C4C"/>
    <w:rsid w:val="00973C88"/>
    <w:rsid w:val="0097439B"/>
    <w:rsid w:val="0097476F"/>
    <w:rsid w:val="0097481B"/>
    <w:rsid w:val="00974CA4"/>
    <w:rsid w:val="00975051"/>
    <w:rsid w:val="00975348"/>
    <w:rsid w:val="00975395"/>
    <w:rsid w:val="00975409"/>
    <w:rsid w:val="0097555A"/>
    <w:rsid w:val="00975603"/>
    <w:rsid w:val="00975717"/>
    <w:rsid w:val="00975818"/>
    <w:rsid w:val="0097591A"/>
    <w:rsid w:val="0097596B"/>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0FE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AC"/>
    <w:rsid w:val="00984DB4"/>
    <w:rsid w:val="0098566D"/>
    <w:rsid w:val="00985747"/>
    <w:rsid w:val="00985935"/>
    <w:rsid w:val="009859F8"/>
    <w:rsid w:val="00985CDA"/>
    <w:rsid w:val="00986336"/>
    <w:rsid w:val="00986402"/>
    <w:rsid w:val="009864E8"/>
    <w:rsid w:val="00986759"/>
    <w:rsid w:val="009869B0"/>
    <w:rsid w:val="00986A20"/>
    <w:rsid w:val="00986AF5"/>
    <w:rsid w:val="00986B15"/>
    <w:rsid w:val="00986B23"/>
    <w:rsid w:val="00986CFA"/>
    <w:rsid w:val="00986EA5"/>
    <w:rsid w:val="00986F75"/>
    <w:rsid w:val="00987256"/>
    <w:rsid w:val="00987281"/>
    <w:rsid w:val="00987603"/>
    <w:rsid w:val="009878FE"/>
    <w:rsid w:val="00987A7F"/>
    <w:rsid w:val="00987A95"/>
    <w:rsid w:val="00987CBD"/>
    <w:rsid w:val="00987D10"/>
    <w:rsid w:val="00987F74"/>
    <w:rsid w:val="0099036B"/>
    <w:rsid w:val="009906E2"/>
    <w:rsid w:val="009907F8"/>
    <w:rsid w:val="00990878"/>
    <w:rsid w:val="00990882"/>
    <w:rsid w:val="00990C0D"/>
    <w:rsid w:val="00990C70"/>
    <w:rsid w:val="00990D73"/>
    <w:rsid w:val="00990E71"/>
    <w:rsid w:val="00990E8F"/>
    <w:rsid w:val="00990EB2"/>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452"/>
    <w:rsid w:val="0099356F"/>
    <w:rsid w:val="00993574"/>
    <w:rsid w:val="00993723"/>
    <w:rsid w:val="0099377A"/>
    <w:rsid w:val="009937E3"/>
    <w:rsid w:val="009938EE"/>
    <w:rsid w:val="00993A1C"/>
    <w:rsid w:val="00993A92"/>
    <w:rsid w:val="00993BEA"/>
    <w:rsid w:val="00993EA0"/>
    <w:rsid w:val="00993F05"/>
    <w:rsid w:val="009940E7"/>
    <w:rsid w:val="00994237"/>
    <w:rsid w:val="009942C8"/>
    <w:rsid w:val="00994326"/>
    <w:rsid w:val="0099451B"/>
    <w:rsid w:val="009947B6"/>
    <w:rsid w:val="0099488C"/>
    <w:rsid w:val="009948CE"/>
    <w:rsid w:val="00994A61"/>
    <w:rsid w:val="00994DB3"/>
    <w:rsid w:val="00994DD0"/>
    <w:rsid w:val="00994E02"/>
    <w:rsid w:val="00994FD4"/>
    <w:rsid w:val="009954BF"/>
    <w:rsid w:val="009955C8"/>
    <w:rsid w:val="00995606"/>
    <w:rsid w:val="009956B6"/>
    <w:rsid w:val="0099573D"/>
    <w:rsid w:val="009958F2"/>
    <w:rsid w:val="0099592B"/>
    <w:rsid w:val="00995B0F"/>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09"/>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784"/>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07"/>
    <w:rsid w:val="009A76CA"/>
    <w:rsid w:val="009A7727"/>
    <w:rsid w:val="009A78B4"/>
    <w:rsid w:val="009A7B13"/>
    <w:rsid w:val="009A7D7B"/>
    <w:rsid w:val="009A7E5E"/>
    <w:rsid w:val="009B0014"/>
    <w:rsid w:val="009B0059"/>
    <w:rsid w:val="009B017F"/>
    <w:rsid w:val="009B03C2"/>
    <w:rsid w:val="009B0A64"/>
    <w:rsid w:val="009B0AD7"/>
    <w:rsid w:val="009B0C7C"/>
    <w:rsid w:val="009B0D21"/>
    <w:rsid w:val="009B1488"/>
    <w:rsid w:val="009B1695"/>
    <w:rsid w:val="009B18CF"/>
    <w:rsid w:val="009B1905"/>
    <w:rsid w:val="009B1E23"/>
    <w:rsid w:val="009B2084"/>
    <w:rsid w:val="009B21D9"/>
    <w:rsid w:val="009B21E2"/>
    <w:rsid w:val="009B24F6"/>
    <w:rsid w:val="009B264A"/>
    <w:rsid w:val="009B2773"/>
    <w:rsid w:val="009B27D5"/>
    <w:rsid w:val="009B2981"/>
    <w:rsid w:val="009B2A33"/>
    <w:rsid w:val="009B2F2F"/>
    <w:rsid w:val="009B33F8"/>
    <w:rsid w:val="009B3411"/>
    <w:rsid w:val="009B36DD"/>
    <w:rsid w:val="009B379C"/>
    <w:rsid w:val="009B394B"/>
    <w:rsid w:val="009B3983"/>
    <w:rsid w:val="009B3A11"/>
    <w:rsid w:val="009B3ACF"/>
    <w:rsid w:val="009B3F50"/>
    <w:rsid w:val="009B3F9B"/>
    <w:rsid w:val="009B3FF6"/>
    <w:rsid w:val="009B4164"/>
    <w:rsid w:val="009B42A4"/>
    <w:rsid w:val="009B4319"/>
    <w:rsid w:val="009B43D2"/>
    <w:rsid w:val="009B4676"/>
    <w:rsid w:val="009B477C"/>
    <w:rsid w:val="009B485A"/>
    <w:rsid w:val="009B4A1B"/>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487"/>
    <w:rsid w:val="009C0529"/>
    <w:rsid w:val="009C065F"/>
    <w:rsid w:val="009C08FE"/>
    <w:rsid w:val="009C0B37"/>
    <w:rsid w:val="009C0E08"/>
    <w:rsid w:val="009C0FEE"/>
    <w:rsid w:val="009C113D"/>
    <w:rsid w:val="009C11C0"/>
    <w:rsid w:val="009C15F0"/>
    <w:rsid w:val="009C16A5"/>
    <w:rsid w:val="009C1993"/>
    <w:rsid w:val="009C199B"/>
    <w:rsid w:val="009C19F8"/>
    <w:rsid w:val="009C1A1C"/>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B8"/>
    <w:rsid w:val="009C44CD"/>
    <w:rsid w:val="009C45C5"/>
    <w:rsid w:val="009C45EF"/>
    <w:rsid w:val="009C49DA"/>
    <w:rsid w:val="009C4B2A"/>
    <w:rsid w:val="009C4CA4"/>
    <w:rsid w:val="009C504B"/>
    <w:rsid w:val="009C51B7"/>
    <w:rsid w:val="009C51EC"/>
    <w:rsid w:val="009C5292"/>
    <w:rsid w:val="009C5545"/>
    <w:rsid w:val="009C56FA"/>
    <w:rsid w:val="009C5A5E"/>
    <w:rsid w:val="009C5A89"/>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057"/>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732"/>
    <w:rsid w:val="009E28FB"/>
    <w:rsid w:val="009E302B"/>
    <w:rsid w:val="009E32C6"/>
    <w:rsid w:val="009E330B"/>
    <w:rsid w:val="009E3533"/>
    <w:rsid w:val="009E398D"/>
    <w:rsid w:val="009E39AA"/>
    <w:rsid w:val="009E4A6A"/>
    <w:rsid w:val="009E4A99"/>
    <w:rsid w:val="009E4F6F"/>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0BA"/>
    <w:rsid w:val="009F062E"/>
    <w:rsid w:val="009F066D"/>
    <w:rsid w:val="009F06A9"/>
    <w:rsid w:val="009F071B"/>
    <w:rsid w:val="009F0D6F"/>
    <w:rsid w:val="009F0FFD"/>
    <w:rsid w:val="009F1117"/>
    <w:rsid w:val="009F1353"/>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5B54"/>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246"/>
    <w:rsid w:val="00A00524"/>
    <w:rsid w:val="00A00581"/>
    <w:rsid w:val="00A0083F"/>
    <w:rsid w:val="00A008A5"/>
    <w:rsid w:val="00A00AFF"/>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60"/>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2E3"/>
    <w:rsid w:val="00A0636B"/>
    <w:rsid w:val="00A06CF7"/>
    <w:rsid w:val="00A06D47"/>
    <w:rsid w:val="00A06E6F"/>
    <w:rsid w:val="00A070DD"/>
    <w:rsid w:val="00A07135"/>
    <w:rsid w:val="00A07365"/>
    <w:rsid w:val="00A07514"/>
    <w:rsid w:val="00A07558"/>
    <w:rsid w:val="00A07750"/>
    <w:rsid w:val="00A078AB"/>
    <w:rsid w:val="00A07CDD"/>
    <w:rsid w:val="00A102D1"/>
    <w:rsid w:val="00A1031F"/>
    <w:rsid w:val="00A108F7"/>
    <w:rsid w:val="00A10914"/>
    <w:rsid w:val="00A10A9E"/>
    <w:rsid w:val="00A10CB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4E"/>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24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6C5"/>
    <w:rsid w:val="00A2180C"/>
    <w:rsid w:val="00A21940"/>
    <w:rsid w:val="00A219A3"/>
    <w:rsid w:val="00A21E42"/>
    <w:rsid w:val="00A21E7F"/>
    <w:rsid w:val="00A2236B"/>
    <w:rsid w:val="00A22866"/>
    <w:rsid w:val="00A22D4C"/>
    <w:rsid w:val="00A22DDE"/>
    <w:rsid w:val="00A22E7B"/>
    <w:rsid w:val="00A23076"/>
    <w:rsid w:val="00A238DC"/>
    <w:rsid w:val="00A2390D"/>
    <w:rsid w:val="00A239B8"/>
    <w:rsid w:val="00A23A68"/>
    <w:rsid w:val="00A23B4D"/>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CCC"/>
    <w:rsid w:val="00A26D05"/>
    <w:rsid w:val="00A270AB"/>
    <w:rsid w:val="00A2723B"/>
    <w:rsid w:val="00A273B8"/>
    <w:rsid w:val="00A278A8"/>
    <w:rsid w:val="00A27C55"/>
    <w:rsid w:val="00A27D07"/>
    <w:rsid w:val="00A27E3F"/>
    <w:rsid w:val="00A27EE4"/>
    <w:rsid w:val="00A27EF5"/>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31E"/>
    <w:rsid w:val="00A325BC"/>
    <w:rsid w:val="00A325D1"/>
    <w:rsid w:val="00A3267E"/>
    <w:rsid w:val="00A3268D"/>
    <w:rsid w:val="00A32737"/>
    <w:rsid w:val="00A3288C"/>
    <w:rsid w:val="00A3291E"/>
    <w:rsid w:val="00A32A41"/>
    <w:rsid w:val="00A32E3A"/>
    <w:rsid w:val="00A32EEF"/>
    <w:rsid w:val="00A334A2"/>
    <w:rsid w:val="00A3368C"/>
    <w:rsid w:val="00A33866"/>
    <w:rsid w:val="00A339E7"/>
    <w:rsid w:val="00A33C3E"/>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15"/>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CE8"/>
    <w:rsid w:val="00A40DFC"/>
    <w:rsid w:val="00A41273"/>
    <w:rsid w:val="00A415E6"/>
    <w:rsid w:val="00A41676"/>
    <w:rsid w:val="00A41AB4"/>
    <w:rsid w:val="00A41D48"/>
    <w:rsid w:val="00A41D6D"/>
    <w:rsid w:val="00A41EFA"/>
    <w:rsid w:val="00A422FB"/>
    <w:rsid w:val="00A4243C"/>
    <w:rsid w:val="00A42485"/>
    <w:rsid w:val="00A42623"/>
    <w:rsid w:val="00A429E7"/>
    <w:rsid w:val="00A42A55"/>
    <w:rsid w:val="00A42E18"/>
    <w:rsid w:val="00A42F86"/>
    <w:rsid w:val="00A430CA"/>
    <w:rsid w:val="00A430F4"/>
    <w:rsid w:val="00A431DF"/>
    <w:rsid w:val="00A43234"/>
    <w:rsid w:val="00A432C8"/>
    <w:rsid w:val="00A435CC"/>
    <w:rsid w:val="00A4374F"/>
    <w:rsid w:val="00A437EF"/>
    <w:rsid w:val="00A43848"/>
    <w:rsid w:val="00A4389E"/>
    <w:rsid w:val="00A43AF2"/>
    <w:rsid w:val="00A43C50"/>
    <w:rsid w:val="00A43C6F"/>
    <w:rsid w:val="00A43D3F"/>
    <w:rsid w:val="00A43D46"/>
    <w:rsid w:val="00A43ED8"/>
    <w:rsid w:val="00A443B8"/>
    <w:rsid w:val="00A4442B"/>
    <w:rsid w:val="00A44732"/>
    <w:rsid w:val="00A44789"/>
    <w:rsid w:val="00A44897"/>
    <w:rsid w:val="00A449CD"/>
    <w:rsid w:val="00A44B68"/>
    <w:rsid w:val="00A4510F"/>
    <w:rsid w:val="00A452EA"/>
    <w:rsid w:val="00A453E8"/>
    <w:rsid w:val="00A45516"/>
    <w:rsid w:val="00A45549"/>
    <w:rsid w:val="00A45819"/>
    <w:rsid w:val="00A45848"/>
    <w:rsid w:val="00A45B3C"/>
    <w:rsid w:val="00A45C14"/>
    <w:rsid w:val="00A45CA8"/>
    <w:rsid w:val="00A45CE0"/>
    <w:rsid w:val="00A45D3F"/>
    <w:rsid w:val="00A46144"/>
    <w:rsid w:val="00A4616A"/>
    <w:rsid w:val="00A462E8"/>
    <w:rsid w:val="00A46623"/>
    <w:rsid w:val="00A46754"/>
    <w:rsid w:val="00A46E48"/>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1FC6"/>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7B9"/>
    <w:rsid w:val="00A54B2F"/>
    <w:rsid w:val="00A54C74"/>
    <w:rsid w:val="00A54D26"/>
    <w:rsid w:val="00A54D4F"/>
    <w:rsid w:val="00A54E86"/>
    <w:rsid w:val="00A55091"/>
    <w:rsid w:val="00A551E5"/>
    <w:rsid w:val="00A555C5"/>
    <w:rsid w:val="00A55B14"/>
    <w:rsid w:val="00A55C50"/>
    <w:rsid w:val="00A55DD1"/>
    <w:rsid w:val="00A55F56"/>
    <w:rsid w:val="00A55FEF"/>
    <w:rsid w:val="00A56309"/>
    <w:rsid w:val="00A5662D"/>
    <w:rsid w:val="00A566A4"/>
    <w:rsid w:val="00A56A6B"/>
    <w:rsid w:val="00A56B54"/>
    <w:rsid w:val="00A56CDE"/>
    <w:rsid w:val="00A56DB5"/>
    <w:rsid w:val="00A56FD9"/>
    <w:rsid w:val="00A57032"/>
    <w:rsid w:val="00A57352"/>
    <w:rsid w:val="00A57481"/>
    <w:rsid w:val="00A574EC"/>
    <w:rsid w:val="00A577F4"/>
    <w:rsid w:val="00A57873"/>
    <w:rsid w:val="00A579B9"/>
    <w:rsid w:val="00A57D07"/>
    <w:rsid w:val="00A57EA7"/>
    <w:rsid w:val="00A57F60"/>
    <w:rsid w:val="00A6001D"/>
    <w:rsid w:val="00A6002A"/>
    <w:rsid w:val="00A6005D"/>
    <w:rsid w:val="00A602E2"/>
    <w:rsid w:val="00A603E3"/>
    <w:rsid w:val="00A6066B"/>
    <w:rsid w:val="00A606DD"/>
    <w:rsid w:val="00A60707"/>
    <w:rsid w:val="00A60731"/>
    <w:rsid w:val="00A60755"/>
    <w:rsid w:val="00A608BC"/>
    <w:rsid w:val="00A608F4"/>
    <w:rsid w:val="00A60920"/>
    <w:rsid w:val="00A60A78"/>
    <w:rsid w:val="00A60AB1"/>
    <w:rsid w:val="00A60ACC"/>
    <w:rsid w:val="00A60D21"/>
    <w:rsid w:val="00A60FAF"/>
    <w:rsid w:val="00A610FF"/>
    <w:rsid w:val="00A61ACE"/>
    <w:rsid w:val="00A61D2A"/>
    <w:rsid w:val="00A61E85"/>
    <w:rsid w:val="00A6211A"/>
    <w:rsid w:val="00A621A1"/>
    <w:rsid w:val="00A6223A"/>
    <w:rsid w:val="00A62302"/>
    <w:rsid w:val="00A623EF"/>
    <w:rsid w:val="00A62684"/>
    <w:rsid w:val="00A62695"/>
    <w:rsid w:val="00A627CD"/>
    <w:rsid w:val="00A6281D"/>
    <w:rsid w:val="00A628D9"/>
    <w:rsid w:val="00A62ACB"/>
    <w:rsid w:val="00A62D75"/>
    <w:rsid w:val="00A63056"/>
    <w:rsid w:val="00A63180"/>
    <w:rsid w:val="00A633A4"/>
    <w:rsid w:val="00A6374D"/>
    <w:rsid w:val="00A637DE"/>
    <w:rsid w:val="00A638C5"/>
    <w:rsid w:val="00A638FA"/>
    <w:rsid w:val="00A63900"/>
    <w:rsid w:val="00A63A44"/>
    <w:rsid w:val="00A63CEF"/>
    <w:rsid w:val="00A63E2B"/>
    <w:rsid w:val="00A63FDE"/>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974"/>
    <w:rsid w:val="00A67C35"/>
    <w:rsid w:val="00A70367"/>
    <w:rsid w:val="00A7040A"/>
    <w:rsid w:val="00A704A9"/>
    <w:rsid w:val="00A704FC"/>
    <w:rsid w:val="00A70505"/>
    <w:rsid w:val="00A707D0"/>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350"/>
    <w:rsid w:val="00A744AA"/>
    <w:rsid w:val="00A7452B"/>
    <w:rsid w:val="00A74567"/>
    <w:rsid w:val="00A746CD"/>
    <w:rsid w:val="00A746E1"/>
    <w:rsid w:val="00A7563F"/>
    <w:rsid w:val="00A7579C"/>
    <w:rsid w:val="00A757BF"/>
    <w:rsid w:val="00A75A91"/>
    <w:rsid w:val="00A75AC9"/>
    <w:rsid w:val="00A75B1C"/>
    <w:rsid w:val="00A75C5A"/>
    <w:rsid w:val="00A75E2B"/>
    <w:rsid w:val="00A75EEF"/>
    <w:rsid w:val="00A76016"/>
    <w:rsid w:val="00A76147"/>
    <w:rsid w:val="00A76517"/>
    <w:rsid w:val="00A7663F"/>
    <w:rsid w:val="00A7683C"/>
    <w:rsid w:val="00A76A63"/>
    <w:rsid w:val="00A76A95"/>
    <w:rsid w:val="00A76C12"/>
    <w:rsid w:val="00A76C51"/>
    <w:rsid w:val="00A77035"/>
    <w:rsid w:val="00A770C0"/>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6A8"/>
    <w:rsid w:val="00A81825"/>
    <w:rsid w:val="00A819B1"/>
    <w:rsid w:val="00A81C5F"/>
    <w:rsid w:val="00A81CA7"/>
    <w:rsid w:val="00A81DFB"/>
    <w:rsid w:val="00A821D9"/>
    <w:rsid w:val="00A822DB"/>
    <w:rsid w:val="00A8233D"/>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CDC"/>
    <w:rsid w:val="00A85D22"/>
    <w:rsid w:val="00A85DB8"/>
    <w:rsid w:val="00A85DDA"/>
    <w:rsid w:val="00A85E33"/>
    <w:rsid w:val="00A860B6"/>
    <w:rsid w:val="00A86101"/>
    <w:rsid w:val="00A8630B"/>
    <w:rsid w:val="00A86443"/>
    <w:rsid w:val="00A866B8"/>
    <w:rsid w:val="00A8680E"/>
    <w:rsid w:val="00A8689B"/>
    <w:rsid w:val="00A86D27"/>
    <w:rsid w:val="00A86DB0"/>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BB7"/>
    <w:rsid w:val="00A92DAC"/>
    <w:rsid w:val="00A92DF9"/>
    <w:rsid w:val="00A92E9F"/>
    <w:rsid w:val="00A92EF0"/>
    <w:rsid w:val="00A93101"/>
    <w:rsid w:val="00A9338F"/>
    <w:rsid w:val="00A9350D"/>
    <w:rsid w:val="00A935BD"/>
    <w:rsid w:val="00A93D0E"/>
    <w:rsid w:val="00A93F0B"/>
    <w:rsid w:val="00A93F4F"/>
    <w:rsid w:val="00A940DF"/>
    <w:rsid w:val="00A941BF"/>
    <w:rsid w:val="00A9421F"/>
    <w:rsid w:val="00A94354"/>
    <w:rsid w:val="00A94843"/>
    <w:rsid w:val="00A94BD7"/>
    <w:rsid w:val="00A94DED"/>
    <w:rsid w:val="00A94EA5"/>
    <w:rsid w:val="00A94F39"/>
    <w:rsid w:val="00A950FC"/>
    <w:rsid w:val="00A95198"/>
    <w:rsid w:val="00A95889"/>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9F6"/>
    <w:rsid w:val="00AA0A27"/>
    <w:rsid w:val="00AA0AA9"/>
    <w:rsid w:val="00AA125A"/>
    <w:rsid w:val="00AA1285"/>
    <w:rsid w:val="00AA1692"/>
    <w:rsid w:val="00AA1718"/>
    <w:rsid w:val="00AA17CC"/>
    <w:rsid w:val="00AA1937"/>
    <w:rsid w:val="00AA1A34"/>
    <w:rsid w:val="00AA1AE8"/>
    <w:rsid w:val="00AA21AE"/>
    <w:rsid w:val="00AA2597"/>
    <w:rsid w:val="00AA25A4"/>
    <w:rsid w:val="00AA2831"/>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7A"/>
    <w:rsid w:val="00AB01F4"/>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949"/>
    <w:rsid w:val="00AC295F"/>
    <w:rsid w:val="00AC2CC1"/>
    <w:rsid w:val="00AC2D10"/>
    <w:rsid w:val="00AC2D3F"/>
    <w:rsid w:val="00AC2DD6"/>
    <w:rsid w:val="00AC2E0C"/>
    <w:rsid w:val="00AC2E89"/>
    <w:rsid w:val="00AC2F2D"/>
    <w:rsid w:val="00AC31D1"/>
    <w:rsid w:val="00AC33F1"/>
    <w:rsid w:val="00AC33F8"/>
    <w:rsid w:val="00AC33FA"/>
    <w:rsid w:val="00AC3717"/>
    <w:rsid w:val="00AC39D0"/>
    <w:rsid w:val="00AC3A68"/>
    <w:rsid w:val="00AC3FBF"/>
    <w:rsid w:val="00AC48FD"/>
    <w:rsid w:val="00AC4C08"/>
    <w:rsid w:val="00AC5084"/>
    <w:rsid w:val="00AC5085"/>
    <w:rsid w:val="00AC511C"/>
    <w:rsid w:val="00AC5357"/>
    <w:rsid w:val="00AC566A"/>
    <w:rsid w:val="00AC5D9D"/>
    <w:rsid w:val="00AC5DDE"/>
    <w:rsid w:val="00AC5F08"/>
    <w:rsid w:val="00AC5F10"/>
    <w:rsid w:val="00AC614A"/>
    <w:rsid w:val="00AC62F8"/>
    <w:rsid w:val="00AC64A3"/>
    <w:rsid w:val="00AC6596"/>
    <w:rsid w:val="00AC6845"/>
    <w:rsid w:val="00AC6A5A"/>
    <w:rsid w:val="00AC6A9B"/>
    <w:rsid w:val="00AC6CA4"/>
    <w:rsid w:val="00AC6F2E"/>
    <w:rsid w:val="00AC736F"/>
    <w:rsid w:val="00AC756F"/>
    <w:rsid w:val="00AC7D08"/>
    <w:rsid w:val="00AC7DAA"/>
    <w:rsid w:val="00AD0099"/>
    <w:rsid w:val="00AD0135"/>
    <w:rsid w:val="00AD0501"/>
    <w:rsid w:val="00AD06E3"/>
    <w:rsid w:val="00AD0AF2"/>
    <w:rsid w:val="00AD0D6E"/>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BC5"/>
    <w:rsid w:val="00AE1E7A"/>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4A4"/>
    <w:rsid w:val="00AE46B2"/>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ACC"/>
    <w:rsid w:val="00AF6B26"/>
    <w:rsid w:val="00AF6BDB"/>
    <w:rsid w:val="00AF6DB3"/>
    <w:rsid w:val="00AF6DD6"/>
    <w:rsid w:val="00AF6F80"/>
    <w:rsid w:val="00AF70CB"/>
    <w:rsid w:val="00AF73F3"/>
    <w:rsid w:val="00AF7535"/>
    <w:rsid w:val="00AF799C"/>
    <w:rsid w:val="00AF7F2B"/>
    <w:rsid w:val="00B00000"/>
    <w:rsid w:val="00B004CF"/>
    <w:rsid w:val="00B00B19"/>
    <w:rsid w:val="00B00D80"/>
    <w:rsid w:val="00B00F03"/>
    <w:rsid w:val="00B0127D"/>
    <w:rsid w:val="00B012CC"/>
    <w:rsid w:val="00B0177D"/>
    <w:rsid w:val="00B01887"/>
    <w:rsid w:val="00B01E07"/>
    <w:rsid w:val="00B01F5F"/>
    <w:rsid w:val="00B0237B"/>
    <w:rsid w:val="00B02BFB"/>
    <w:rsid w:val="00B030F8"/>
    <w:rsid w:val="00B03106"/>
    <w:rsid w:val="00B03253"/>
    <w:rsid w:val="00B0361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442"/>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5E63"/>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09AC"/>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6FC"/>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64"/>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07"/>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747"/>
    <w:rsid w:val="00B2681A"/>
    <w:rsid w:val="00B268AA"/>
    <w:rsid w:val="00B26ADC"/>
    <w:rsid w:val="00B26C56"/>
    <w:rsid w:val="00B27011"/>
    <w:rsid w:val="00B27180"/>
    <w:rsid w:val="00B27219"/>
    <w:rsid w:val="00B27349"/>
    <w:rsid w:val="00B27586"/>
    <w:rsid w:val="00B279A8"/>
    <w:rsid w:val="00B27C91"/>
    <w:rsid w:val="00B27E12"/>
    <w:rsid w:val="00B30180"/>
    <w:rsid w:val="00B3036D"/>
    <w:rsid w:val="00B30817"/>
    <w:rsid w:val="00B3086D"/>
    <w:rsid w:val="00B30920"/>
    <w:rsid w:val="00B30A5C"/>
    <w:rsid w:val="00B30AFC"/>
    <w:rsid w:val="00B30C8B"/>
    <w:rsid w:val="00B30CFB"/>
    <w:rsid w:val="00B30E52"/>
    <w:rsid w:val="00B31025"/>
    <w:rsid w:val="00B31204"/>
    <w:rsid w:val="00B31388"/>
    <w:rsid w:val="00B314AB"/>
    <w:rsid w:val="00B31566"/>
    <w:rsid w:val="00B31581"/>
    <w:rsid w:val="00B316F3"/>
    <w:rsid w:val="00B31982"/>
    <w:rsid w:val="00B31A2B"/>
    <w:rsid w:val="00B31A5C"/>
    <w:rsid w:val="00B31B8F"/>
    <w:rsid w:val="00B31FDF"/>
    <w:rsid w:val="00B3227B"/>
    <w:rsid w:val="00B3235B"/>
    <w:rsid w:val="00B3261B"/>
    <w:rsid w:val="00B3269A"/>
    <w:rsid w:val="00B32BB0"/>
    <w:rsid w:val="00B33185"/>
    <w:rsid w:val="00B33196"/>
    <w:rsid w:val="00B331B4"/>
    <w:rsid w:val="00B3334F"/>
    <w:rsid w:val="00B333C6"/>
    <w:rsid w:val="00B33D12"/>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951"/>
    <w:rsid w:val="00B36A04"/>
    <w:rsid w:val="00B36CF9"/>
    <w:rsid w:val="00B36D32"/>
    <w:rsid w:val="00B36F78"/>
    <w:rsid w:val="00B3702D"/>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19F"/>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9A8"/>
    <w:rsid w:val="00B46CAE"/>
    <w:rsid w:val="00B46EF0"/>
    <w:rsid w:val="00B47049"/>
    <w:rsid w:val="00B47289"/>
    <w:rsid w:val="00B47737"/>
    <w:rsid w:val="00B47A9B"/>
    <w:rsid w:val="00B47E82"/>
    <w:rsid w:val="00B47EAF"/>
    <w:rsid w:val="00B47EF4"/>
    <w:rsid w:val="00B47F59"/>
    <w:rsid w:val="00B47F7B"/>
    <w:rsid w:val="00B5005D"/>
    <w:rsid w:val="00B502E7"/>
    <w:rsid w:val="00B50454"/>
    <w:rsid w:val="00B5048E"/>
    <w:rsid w:val="00B504D4"/>
    <w:rsid w:val="00B50566"/>
    <w:rsid w:val="00B50711"/>
    <w:rsid w:val="00B50AB8"/>
    <w:rsid w:val="00B50C6A"/>
    <w:rsid w:val="00B50C8A"/>
    <w:rsid w:val="00B51486"/>
    <w:rsid w:val="00B5149E"/>
    <w:rsid w:val="00B514E8"/>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D05"/>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76E"/>
    <w:rsid w:val="00B55894"/>
    <w:rsid w:val="00B558F6"/>
    <w:rsid w:val="00B55B8F"/>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4F1"/>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CEA"/>
    <w:rsid w:val="00B63E94"/>
    <w:rsid w:val="00B63F7D"/>
    <w:rsid w:val="00B6437B"/>
    <w:rsid w:val="00B644CF"/>
    <w:rsid w:val="00B645A6"/>
    <w:rsid w:val="00B64BC8"/>
    <w:rsid w:val="00B64D0E"/>
    <w:rsid w:val="00B654E9"/>
    <w:rsid w:val="00B656C5"/>
    <w:rsid w:val="00B656FE"/>
    <w:rsid w:val="00B658CC"/>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278"/>
    <w:rsid w:val="00B7048E"/>
    <w:rsid w:val="00B705FC"/>
    <w:rsid w:val="00B70771"/>
    <w:rsid w:val="00B709B3"/>
    <w:rsid w:val="00B70E86"/>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3F6C"/>
    <w:rsid w:val="00B742AD"/>
    <w:rsid w:val="00B74331"/>
    <w:rsid w:val="00B7438F"/>
    <w:rsid w:val="00B74539"/>
    <w:rsid w:val="00B74605"/>
    <w:rsid w:val="00B746F9"/>
    <w:rsid w:val="00B74776"/>
    <w:rsid w:val="00B7488D"/>
    <w:rsid w:val="00B74A78"/>
    <w:rsid w:val="00B74C92"/>
    <w:rsid w:val="00B74DCD"/>
    <w:rsid w:val="00B74F28"/>
    <w:rsid w:val="00B751F2"/>
    <w:rsid w:val="00B752EC"/>
    <w:rsid w:val="00B75329"/>
    <w:rsid w:val="00B7537D"/>
    <w:rsid w:val="00B75580"/>
    <w:rsid w:val="00B75AFF"/>
    <w:rsid w:val="00B7646E"/>
    <w:rsid w:val="00B7690D"/>
    <w:rsid w:val="00B76B95"/>
    <w:rsid w:val="00B76C80"/>
    <w:rsid w:val="00B76D2C"/>
    <w:rsid w:val="00B76D87"/>
    <w:rsid w:val="00B76E12"/>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11C"/>
    <w:rsid w:val="00B806E9"/>
    <w:rsid w:val="00B806FD"/>
    <w:rsid w:val="00B80A15"/>
    <w:rsid w:val="00B80A20"/>
    <w:rsid w:val="00B80D12"/>
    <w:rsid w:val="00B80DB4"/>
    <w:rsid w:val="00B80FC5"/>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1A"/>
    <w:rsid w:val="00B8308E"/>
    <w:rsid w:val="00B831ED"/>
    <w:rsid w:val="00B83334"/>
    <w:rsid w:val="00B83433"/>
    <w:rsid w:val="00B8349C"/>
    <w:rsid w:val="00B834D2"/>
    <w:rsid w:val="00B8357B"/>
    <w:rsid w:val="00B83696"/>
    <w:rsid w:val="00B83C69"/>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8EC"/>
    <w:rsid w:val="00B85ABC"/>
    <w:rsid w:val="00B85E49"/>
    <w:rsid w:val="00B8616B"/>
    <w:rsid w:val="00B862F4"/>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3B3"/>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0F1"/>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84E"/>
    <w:rsid w:val="00B97934"/>
    <w:rsid w:val="00B97A1F"/>
    <w:rsid w:val="00B97A26"/>
    <w:rsid w:val="00B97A7A"/>
    <w:rsid w:val="00B97C38"/>
    <w:rsid w:val="00B97D6A"/>
    <w:rsid w:val="00B97D76"/>
    <w:rsid w:val="00B97E46"/>
    <w:rsid w:val="00BA01F4"/>
    <w:rsid w:val="00BA0325"/>
    <w:rsid w:val="00BA03BD"/>
    <w:rsid w:val="00BA04CC"/>
    <w:rsid w:val="00BA0564"/>
    <w:rsid w:val="00BA070E"/>
    <w:rsid w:val="00BA083E"/>
    <w:rsid w:val="00BA08F2"/>
    <w:rsid w:val="00BA0A5E"/>
    <w:rsid w:val="00BA0B06"/>
    <w:rsid w:val="00BA0BB1"/>
    <w:rsid w:val="00BA0D70"/>
    <w:rsid w:val="00BA1112"/>
    <w:rsid w:val="00BA12C3"/>
    <w:rsid w:val="00BA1432"/>
    <w:rsid w:val="00BA156A"/>
    <w:rsid w:val="00BA15B9"/>
    <w:rsid w:val="00BA1913"/>
    <w:rsid w:val="00BA198C"/>
    <w:rsid w:val="00BA1C0D"/>
    <w:rsid w:val="00BA1C33"/>
    <w:rsid w:val="00BA1DA0"/>
    <w:rsid w:val="00BA1DF1"/>
    <w:rsid w:val="00BA1F19"/>
    <w:rsid w:val="00BA1FBE"/>
    <w:rsid w:val="00BA217D"/>
    <w:rsid w:val="00BA23F6"/>
    <w:rsid w:val="00BA242D"/>
    <w:rsid w:val="00BA246A"/>
    <w:rsid w:val="00BA27FC"/>
    <w:rsid w:val="00BA3350"/>
    <w:rsid w:val="00BA3429"/>
    <w:rsid w:val="00BA3649"/>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618"/>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703"/>
    <w:rsid w:val="00BB38EA"/>
    <w:rsid w:val="00BB3964"/>
    <w:rsid w:val="00BB3C76"/>
    <w:rsid w:val="00BB3EB4"/>
    <w:rsid w:val="00BB4212"/>
    <w:rsid w:val="00BB4403"/>
    <w:rsid w:val="00BB46BF"/>
    <w:rsid w:val="00BB4858"/>
    <w:rsid w:val="00BB4940"/>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ED5"/>
    <w:rsid w:val="00BB5F24"/>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6F3"/>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5C2"/>
    <w:rsid w:val="00BD08EC"/>
    <w:rsid w:val="00BD0992"/>
    <w:rsid w:val="00BD0A98"/>
    <w:rsid w:val="00BD0ADB"/>
    <w:rsid w:val="00BD0B34"/>
    <w:rsid w:val="00BD0D51"/>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7A1"/>
    <w:rsid w:val="00BD3819"/>
    <w:rsid w:val="00BD3B4D"/>
    <w:rsid w:val="00BD3D0B"/>
    <w:rsid w:val="00BD3EAD"/>
    <w:rsid w:val="00BD3EC2"/>
    <w:rsid w:val="00BD4107"/>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713"/>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2F1"/>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BE3"/>
    <w:rsid w:val="00BE2CD1"/>
    <w:rsid w:val="00BE3451"/>
    <w:rsid w:val="00BE3506"/>
    <w:rsid w:val="00BE3995"/>
    <w:rsid w:val="00BE39B3"/>
    <w:rsid w:val="00BE3AE6"/>
    <w:rsid w:val="00BE3CA2"/>
    <w:rsid w:val="00BE3E18"/>
    <w:rsid w:val="00BE3E80"/>
    <w:rsid w:val="00BE3EF6"/>
    <w:rsid w:val="00BE3FAB"/>
    <w:rsid w:val="00BE4A40"/>
    <w:rsid w:val="00BE5137"/>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404"/>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15"/>
    <w:rsid w:val="00BF67EF"/>
    <w:rsid w:val="00BF68A0"/>
    <w:rsid w:val="00BF68D9"/>
    <w:rsid w:val="00BF6B12"/>
    <w:rsid w:val="00BF6B85"/>
    <w:rsid w:val="00BF721B"/>
    <w:rsid w:val="00BF727A"/>
    <w:rsid w:val="00BF73F0"/>
    <w:rsid w:val="00BF744E"/>
    <w:rsid w:val="00BF7780"/>
    <w:rsid w:val="00BF7813"/>
    <w:rsid w:val="00BF7845"/>
    <w:rsid w:val="00BF7865"/>
    <w:rsid w:val="00BF7C8B"/>
    <w:rsid w:val="00BF7F2F"/>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D26"/>
    <w:rsid w:val="00C01E7D"/>
    <w:rsid w:val="00C01EBD"/>
    <w:rsid w:val="00C01F1E"/>
    <w:rsid w:val="00C02001"/>
    <w:rsid w:val="00C0202B"/>
    <w:rsid w:val="00C02049"/>
    <w:rsid w:val="00C021BB"/>
    <w:rsid w:val="00C021EB"/>
    <w:rsid w:val="00C02299"/>
    <w:rsid w:val="00C022FB"/>
    <w:rsid w:val="00C0240F"/>
    <w:rsid w:val="00C029EA"/>
    <w:rsid w:val="00C02A20"/>
    <w:rsid w:val="00C02B39"/>
    <w:rsid w:val="00C02B4F"/>
    <w:rsid w:val="00C02DE3"/>
    <w:rsid w:val="00C02ECB"/>
    <w:rsid w:val="00C02FE1"/>
    <w:rsid w:val="00C03012"/>
    <w:rsid w:val="00C03091"/>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B00"/>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C3B"/>
    <w:rsid w:val="00C15D1E"/>
    <w:rsid w:val="00C15DDF"/>
    <w:rsid w:val="00C15EE3"/>
    <w:rsid w:val="00C15F1E"/>
    <w:rsid w:val="00C16276"/>
    <w:rsid w:val="00C1649C"/>
    <w:rsid w:val="00C16745"/>
    <w:rsid w:val="00C16AAA"/>
    <w:rsid w:val="00C16CBF"/>
    <w:rsid w:val="00C176E9"/>
    <w:rsid w:val="00C17779"/>
    <w:rsid w:val="00C178E6"/>
    <w:rsid w:val="00C179EB"/>
    <w:rsid w:val="00C17EA5"/>
    <w:rsid w:val="00C17FC3"/>
    <w:rsid w:val="00C17FF4"/>
    <w:rsid w:val="00C2012B"/>
    <w:rsid w:val="00C206A9"/>
    <w:rsid w:val="00C20794"/>
    <w:rsid w:val="00C2081E"/>
    <w:rsid w:val="00C20C68"/>
    <w:rsid w:val="00C20D4D"/>
    <w:rsid w:val="00C20DE2"/>
    <w:rsid w:val="00C2107D"/>
    <w:rsid w:val="00C2123D"/>
    <w:rsid w:val="00C2156B"/>
    <w:rsid w:val="00C21875"/>
    <w:rsid w:val="00C21BBD"/>
    <w:rsid w:val="00C21DF6"/>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3A"/>
    <w:rsid w:val="00C23DDF"/>
    <w:rsid w:val="00C23EE3"/>
    <w:rsid w:val="00C240AF"/>
    <w:rsid w:val="00C245B1"/>
    <w:rsid w:val="00C24672"/>
    <w:rsid w:val="00C246EA"/>
    <w:rsid w:val="00C247C0"/>
    <w:rsid w:val="00C248A8"/>
    <w:rsid w:val="00C24E74"/>
    <w:rsid w:val="00C250CC"/>
    <w:rsid w:val="00C253D2"/>
    <w:rsid w:val="00C25692"/>
    <w:rsid w:val="00C25A2D"/>
    <w:rsid w:val="00C25A31"/>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18"/>
    <w:rsid w:val="00C301EE"/>
    <w:rsid w:val="00C30210"/>
    <w:rsid w:val="00C302AB"/>
    <w:rsid w:val="00C302EE"/>
    <w:rsid w:val="00C3036C"/>
    <w:rsid w:val="00C3060C"/>
    <w:rsid w:val="00C308C7"/>
    <w:rsid w:val="00C30944"/>
    <w:rsid w:val="00C309F2"/>
    <w:rsid w:val="00C30A20"/>
    <w:rsid w:val="00C30AE7"/>
    <w:rsid w:val="00C30C25"/>
    <w:rsid w:val="00C30D7D"/>
    <w:rsid w:val="00C30DE6"/>
    <w:rsid w:val="00C31173"/>
    <w:rsid w:val="00C312DF"/>
    <w:rsid w:val="00C3141B"/>
    <w:rsid w:val="00C31501"/>
    <w:rsid w:val="00C315AB"/>
    <w:rsid w:val="00C3166D"/>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31F"/>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351"/>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C5D"/>
    <w:rsid w:val="00C41F9B"/>
    <w:rsid w:val="00C429B4"/>
    <w:rsid w:val="00C42A62"/>
    <w:rsid w:val="00C42B80"/>
    <w:rsid w:val="00C430C6"/>
    <w:rsid w:val="00C43389"/>
    <w:rsid w:val="00C43ADE"/>
    <w:rsid w:val="00C445BE"/>
    <w:rsid w:val="00C44609"/>
    <w:rsid w:val="00C44C6E"/>
    <w:rsid w:val="00C45349"/>
    <w:rsid w:val="00C4552F"/>
    <w:rsid w:val="00C45685"/>
    <w:rsid w:val="00C4576D"/>
    <w:rsid w:val="00C45914"/>
    <w:rsid w:val="00C45989"/>
    <w:rsid w:val="00C459BA"/>
    <w:rsid w:val="00C45A3D"/>
    <w:rsid w:val="00C45A42"/>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D84"/>
    <w:rsid w:val="00C47F39"/>
    <w:rsid w:val="00C47FE6"/>
    <w:rsid w:val="00C50321"/>
    <w:rsid w:val="00C510DD"/>
    <w:rsid w:val="00C511E3"/>
    <w:rsid w:val="00C517F3"/>
    <w:rsid w:val="00C51C19"/>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CB"/>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D51"/>
    <w:rsid w:val="00C57F1F"/>
    <w:rsid w:val="00C60013"/>
    <w:rsid w:val="00C60015"/>
    <w:rsid w:val="00C60042"/>
    <w:rsid w:val="00C60528"/>
    <w:rsid w:val="00C60675"/>
    <w:rsid w:val="00C6091C"/>
    <w:rsid w:val="00C60E2E"/>
    <w:rsid w:val="00C60EC6"/>
    <w:rsid w:val="00C610D2"/>
    <w:rsid w:val="00C61270"/>
    <w:rsid w:val="00C6144E"/>
    <w:rsid w:val="00C616E4"/>
    <w:rsid w:val="00C618C7"/>
    <w:rsid w:val="00C61CEA"/>
    <w:rsid w:val="00C61F29"/>
    <w:rsid w:val="00C61FD1"/>
    <w:rsid w:val="00C62015"/>
    <w:rsid w:val="00C625B5"/>
    <w:rsid w:val="00C6265A"/>
    <w:rsid w:val="00C62710"/>
    <w:rsid w:val="00C62C6C"/>
    <w:rsid w:val="00C6322D"/>
    <w:rsid w:val="00C63336"/>
    <w:rsid w:val="00C63370"/>
    <w:rsid w:val="00C636BA"/>
    <w:rsid w:val="00C638E0"/>
    <w:rsid w:val="00C63D0C"/>
    <w:rsid w:val="00C63D71"/>
    <w:rsid w:val="00C63DEE"/>
    <w:rsid w:val="00C63E84"/>
    <w:rsid w:val="00C63EE7"/>
    <w:rsid w:val="00C63F9C"/>
    <w:rsid w:val="00C64232"/>
    <w:rsid w:val="00C6452E"/>
    <w:rsid w:val="00C64994"/>
    <w:rsid w:val="00C64E9E"/>
    <w:rsid w:val="00C65012"/>
    <w:rsid w:val="00C653A3"/>
    <w:rsid w:val="00C6549F"/>
    <w:rsid w:val="00C6572B"/>
    <w:rsid w:val="00C65838"/>
    <w:rsid w:val="00C65A2C"/>
    <w:rsid w:val="00C65A44"/>
    <w:rsid w:val="00C65BFD"/>
    <w:rsid w:val="00C65E23"/>
    <w:rsid w:val="00C65EA3"/>
    <w:rsid w:val="00C65FCA"/>
    <w:rsid w:val="00C6609F"/>
    <w:rsid w:val="00C6633B"/>
    <w:rsid w:val="00C6681D"/>
    <w:rsid w:val="00C6688C"/>
    <w:rsid w:val="00C66B29"/>
    <w:rsid w:val="00C6703C"/>
    <w:rsid w:val="00C67696"/>
    <w:rsid w:val="00C676EE"/>
    <w:rsid w:val="00C67874"/>
    <w:rsid w:val="00C678F6"/>
    <w:rsid w:val="00C67BEB"/>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877"/>
    <w:rsid w:val="00C74ACD"/>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336"/>
    <w:rsid w:val="00C764D9"/>
    <w:rsid w:val="00C76574"/>
    <w:rsid w:val="00C76646"/>
    <w:rsid w:val="00C766E7"/>
    <w:rsid w:val="00C7671C"/>
    <w:rsid w:val="00C76AE3"/>
    <w:rsid w:val="00C76B8E"/>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B50"/>
    <w:rsid w:val="00C80DE5"/>
    <w:rsid w:val="00C8116B"/>
    <w:rsid w:val="00C813CD"/>
    <w:rsid w:val="00C81487"/>
    <w:rsid w:val="00C81A94"/>
    <w:rsid w:val="00C81E70"/>
    <w:rsid w:val="00C8207F"/>
    <w:rsid w:val="00C824ED"/>
    <w:rsid w:val="00C8272D"/>
    <w:rsid w:val="00C82922"/>
    <w:rsid w:val="00C82968"/>
    <w:rsid w:val="00C82CCB"/>
    <w:rsid w:val="00C8306F"/>
    <w:rsid w:val="00C830FA"/>
    <w:rsid w:val="00C83280"/>
    <w:rsid w:val="00C834C2"/>
    <w:rsid w:val="00C83513"/>
    <w:rsid w:val="00C835F4"/>
    <w:rsid w:val="00C83711"/>
    <w:rsid w:val="00C83789"/>
    <w:rsid w:val="00C8396A"/>
    <w:rsid w:val="00C83C87"/>
    <w:rsid w:val="00C83CA0"/>
    <w:rsid w:val="00C83D6B"/>
    <w:rsid w:val="00C83F3E"/>
    <w:rsid w:val="00C83F68"/>
    <w:rsid w:val="00C841A5"/>
    <w:rsid w:val="00C8426B"/>
    <w:rsid w:val="00C8428C"/>
    <w:rsid w:val="00C842BB"/>
    <w:rsid w:val="00C843A0"/>
    <w:rsid w:val="00C84687"/>
    <w:rsid w:val="00C8473C"/>
    <w:rsid w:val="00C8492E"/>
    <w:rsid w:val="00C849BA"/>
    <w:rsid w:val="00C84AE4"/>
    <w:rsid w:val="00C84D53"/>
    <w:rsid w:val="00C850A4"/>
    <w:rsid w:val="00C85447"/>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0FC"/>
    <w:rsid w:val="00C87269"/>
    <w:rsid w:val="00C8731E"/>
    <w:rsid w:val="00C87522"/>
    <w:rsid w:val="00C8768C"/>
    <w:rsid w:val="00C8771A"/>
    <w:rsid w:val="00C87792"/>
    <w:rsid w:val="00C87819"/>
    <w:rsid w:val="00C87B52"/>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3EA"/>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36"/>
    <w:rsid w:val="00C97AF1"/>
    <w:rsid w:val="00C97C2A"/>
    <w:rsid w:val="00CA03BA"/>
    <w:rsid w:val="00CA043C"/>
    <w:rsid w:val="00CA057D"/>
    <w:rsid w:val="00CA0A26"/>
    <w:rsid w:val="00CA0A48"/>
    <w:rsid w:val="00CA0BAE"/>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82E"/>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8A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92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C29"/>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36"/>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2B2"/>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4A2"/>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578"/>
    <w:rsid w:val="00CD3612"/>
    <w:rsid w:val="00CD3689"/>
    <w:rsid w:val="00CD3813"/>
    <w:rsid w:val="00CD3A83"/>
    <w:rsid w:val="00CD3AAD"/>
    <w:rsid w:val="00CD3AB7"/>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193"/>
    <w:rsid w:val="00CD620A"/>
    <w:rsid w:val="00CD6A76"/>
    <w:rsid w:val="00CD6D39"/>
    <w:rsid w:val="00CD6EAC"/>
    <w:rsid w:val="00CD6F01"/>
    <w:rsid w:val="00CD7048"/>
    <w:rsid w:val="00CD73DB"/>
    <w:rsid w:val="00CD7575"/>
    <w:rsid w:val="00CD767C"/>
    <w:rsid w:val="00CD7DFF"/>
    <w:rsid w:val="00CD7E21"/>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C6B"/>
    <w:rsid w:val="00CE4FB1"/>
    <w:rsid w:val="00CE4FDC"/>
    <w:rsid w:val="00CE5425"/>
    <w:rsid w:val="00CE569B"/>
    <w:rsid w:val="00CE56E7"/>
    <w:rsid w:val="00CE5824"/>
    <w:rsid w:val="00CE5903"/>
    <w:rsid w:val="00CE592A"/>
    <w:rsid w:val="00CE5A11"/>
    <w:rsid w:val="00CE5C36"/>
    <w:rsid w:val="00CE5DCB"/>
    <w:rsid w:val="00CE5F5A"/>
    <w:rsid w:val="00CE600E"/>
    <w:rsid w:val="00CE618C"/>
    <w:rsid w:val="00CE61C7"/>
    <w:rsid w:val="00CE622E"/>
    <w:rsid w:val="00CE62E7"/>
    <w:rsid w:val="00CE6542"/>
    <w:rsid w:val="00CE6D34"/>
    <w:rsid w:val="00CE7012"/>
    <w:rsid w:val="00CE71C9"/>
    <w:rsid w:val="00CE71E9"/>
    <w:rsid w:val="00CE7314"/>
    <w:rsid w:val="00CE73F2"/>
    <w:rsid w:val="00CE75A1"/>
    <w:rsid w:val="00CE75F1"/>
    <w:rsid w:val="00CE7770"/>
    <w:rsid w:val="00CE7776"/>
    <w:rsid w:val="00CE7853"/>
    <w:rsid w:val="00CE7981"/>
    <w:rsid w:val="00CE7A7D"/>
    <w:rsid w:val="00CE7B20"/>
    <w:rsid w:val="00CF020F"/>
    <w:rsid w:val="00CF0422"/>
    <w:rsid w:val="00CF088D"/>
    <w:rsid w:val="00CF0FE1"/>
    <w:rsid w:val="00CF130A"/>
    <w:rsid w:val="00CF13AF"/>
    <w:rsid w:val="00CF1441"/>
    <w:rsid w:val="00CF1515"/>
    <w:rsid w:val="00CF1B11"/>
    <w:rsid w:val="00CF1BDA"/>
    <w:rsid w:val="00CF1D86"/>
    <w:rsid w:val="00CF2564"/>
    <w:rsid w:val="00CF25B2"/>
    <w:rsid w:val="00CF2AE6"/>
    <w:rsid w:val="00CF304C"/>
    <w:rsid w:val="00CF393C"/>
    <w:rsid w:val="00CF3C43"/>
    <w:rsid w:val="00CF3C57"/>
    <w:rsid w:val="00CF404F"/>
    <w:rsid w:val="00CF414C"/>
    <w:rsid w:val="00CF4656"/>
    <w:rsid w:val="00CF486B"/>
    <w:rsid w:val="00CF4FA6"/>
    <w:rsid w:val="00CF5018"/>
    <w:rsid w:val="00CF5257"/>
    <w:rsid w:val="00CF52CF"/>
    <w:rsid w:val="00CF53CD"/>
    <w:rsid w:val="00CF55E0"/>
    <w:rsid w:val="00CF56F9"/>
    <w:rsid w:val="00CF5739"/>
    <w:rsid w:val="00CF5772"/>
    <w:rsid w:val="00CF59FB"/>
    <w:rsid w:val="00CF5E58"/>
    <w:rsid w:val="00CF5EEA"/>
    <w:rsid w:val="00CF60CE"/>
    <w:rsid w:val="00CF614E"/>
    <w:rsid w:val="00CF635E"/>
    <w:rsid w:val="00CF63C0"/>
    <w:rsid w:val="00CF660A"/>
    <w:rsid w:val="00CF669A"/>
    <w:rsid w:val="00CF66A1"/>
    <w:rsid w:val="00CF66E5"/>
    <w:rsid w:val="00CF7137"/>
    <w:rsid w:val="00CF74E3"/>
    <w:rsid w:val="00CF76C2"/>
    <w:rsid w:val="00CF7AFF"/>
    <w:rsid w:val="00CF7CDC"/>
    <w:rsid w:val="00CF7E65"/>
    <w:rsid w:val="00D0014A"/>
    <w:rsid w:val="00D0041B"/>
    <w:rsid w:val="00D00B0E"/>
    <w:rsid w:val="00D00C21"/>
    <w:rsid w:val="00D00E97"/>
    <w:rsid w:val="00D00FD7"/>
    <w:rsid w:val="00D012CB"/>
    <w:rsid w:val="00D0137F"/>
    <w:rsid w:val="00D01726"/>
    <w:rsid w:val="00D01B3A"/>
    <w:rsid w:val="00D01BC3"/>
    <w:rsid w:val="00D021A7"/>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2F"/>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931"/>
    <w:rsid w:val="00D07EB3"/>
    <w:rsid w:val="00D1008B"/>
    <w:rsid w:val="00D10096"/>
    <w:rsid w:val="00D10606"/>
    <w:rsid w:val="00D106A0"/>
    <w:rsid w:val="00D10784"/>
    <w:rsid w:val="00D10869"/>
    <w:rsid w:val="00D10D36"/>
    <w:rsid w:val="00D10D3B"/>
    <w:rsid w:val="00D10DD2"/>
    <w:rsid w:val="00D10EEB"/>
    <w:rsid w:val="00D111D2"/>
    <w:rsid w:val="00D11807"/>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39"/>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CD"/>
    <w:rsid w:val="00D205E9"/>
    <w:rsid w:val="00D2088D"/>
    <w:rsid w:val="00D20B6B"/>
    <w:rsid w:val="00D20DEF"/>
    <w:rsid w:val="00D20F98"/>
    <w:rsid w:val="00D2119C"/>
    <w:rsid w:val="00D21543"/>
    <w:rsid w:val="00D21602"/>
    <w:rsid w:val="00D2162E"/>
    <w:rsid w:val="00D21712"/>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982"/>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56F"/>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7EF"/>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58C"/>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5D2"/>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93"/>
    <w:rsid w:val="00D40CD6"/>
    <w:rsid w:val="00D40E05"/>
    <w:rsid w:val="00D41072"/>
    <w:rsid w:val="00D4108F"/>
    <w:rsid w:val="00D410DF"/>
    <w:rsid w:val="00D413F9"/>
    <w:rsid w:val="00D4168F"/>
    <w:rsid w:val="00D41691"/>
    <w:rsid w:val="00D41824"/>
    <w:rsid w:val="00D418E0"/>
    <w:rsid w:val="00D419E2"/>
    <w:rsid w:val="00D419F8"/>
    <w:rsid w:val="00D41B77"/>
    <w:rsid w:val="00D41DC9"/>
    <w:rsid w:val="00D41F11"/>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B94"/>
    <w:rsid w:val="00D45EC8"/>
    <w:rsid w:val="00D464F3"/>
    <w:rsid w:val="00D4661C"/>
    <w:rsid w:val="00D466C6"/>
    <w:rsid w:val="00D46875"/>
    <w:rsid w:val="00D46AF0"/>
    <w:rsid w:val="00D46C89"/>
    <w:rsid w:val="00D46F15"/>
    <w:rsid w:val="00D47101"/>
    <w:rsid w:val="00D47755"/>
    <w:rsid w:val="00D4791C"/>
    <w:rsid w:val="00D4796E"/>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6F"/>
    <w:rsid w:val="00D513FC"/>
    <w:rsid w:val="00D517AB"/>
    <w:rsid w:val="00D5196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BAA"/>
    <w:rsid w:val="00D56DC8"/>
    <w:rsid w:val="00D571C2"/>
    <w:rsid w:val="00D5731B"/>
    <w:rsid w:val="00D5731F"/>
    <w:rsid w:val="00D577B2"/>
    <w:rsid w:val="00D578AC"/>
    <w:rsid w:val="00D578E5"/>
    <w:rsid w:val="00D57902"/>
    <w:rsid w:val="00D57A22"/>
    <w:rsid w:val="00D57A51"/>
    <w:rsid w:val="00D57A98"/>
    <w:rsid w:val="00D57B48"/>
    <w:rsid w:val="00D57B6B"/>
    <w:rsid w:val="00D57BAC"/>
    <w:rsid w:val="00D57C50"/>
    <w:rsid w:val="00D57F71"/>
    <w:rsid w:val="00D600EF"/>
    <w:rsid w:val="00D6015F"/>
    <w:rsid w:val="00D60214"/>
    <w:rsid w:val="00D60260"/>
    <w:rsid w:val="00D60680"/>
    <w:rsid w:val="00D6083B"/>
    <w:rsid w:val="00D60B11"/>
    <w:rsid w:val="00D60CBF"/>
    <w:rsid w:val="00D60CD3"/>
    <w:rsid w:val="00D610E6"/>
    <w:rsid w:val="00D615F8"/>
    <w:rsid w:val="00D61600"/>
    <w:rsid w:val="00D61614"/>
    <w:rsid w:val="00D6171D"/>
    <w:rsid w:val="00D61821"/>
    <w:rsid w:val="00D6184A"/>
    <w:rsid w:val="00D6186E"/>
    <w:rsid w:val="00D61A57"/>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939"/>
    <w:rsid w:val="00D65A30"/>
    <w:rsid w:val="00D65A8D"/>
    <w:rsid w:val="00D65AC0"/>
    <w:rsid w:val="00D65C5D"/>
    <w:rsid w:val="00D65DBB"/>
    <w:rsid w:val="00D65E0A"/>
    <w:rsid w:val="00D65F79"/>
    <w:rsid w:val="00D66259"/>
    <w:rsid w:val="00D662F5"/>
    <w:rsid w:val="00D66768"/>
    <w:rsid w:val="00D66EE3"/>
    <w:rsid w:val="00D6721A"/>
    <w:rsid w:val="00D67254"/>
    <w:rsid w:val="00D67324"/>
    <w:rsid w:val="00D673EA"/>
    <w:rsid w:val="00D67939"/>
    <w:rsid w:val="00D67D9D"/>
    <w:rsid w:val="00D67E6A"/>
    <w:rsid w:val="00D70216"/>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2C79"/>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7DB"/>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2B28"/>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3C"/>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2FE6"/>
    <w:rsid w:val="00D9304C"/>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A77"/>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97F01"/>
    <w:rsid w:val="00DA0078"/>
    <w:rsid w:val="00DA018D"/>
    <w:rsid w:val="00DA0259"/>
    <w:rsid w:val="00DA0C3D"/>
    <w:rsid w:val="00DA10E1"/>
    <w:rsid w:val="00DA12B1"/>
    <w:rsid w:val="00DA15E8"/>
    <w:rsid w:val="00DA1766"/>
    <w:rsid w:val="00DA193B"/>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2E45"/>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BB8"/>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784"/>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3F36"/>
    <w:rsid w:val="00DC400F"/>
    <w:rsid w:val="00DC4088"/>
    <w:rsid w:val="00DC4174"/>
    <w:rsid w:val="00DC4572"/>
    <w:rsid w:val="00DC4AFB"/>
    <w:rsid w:val="00DC4B32"/>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198"/>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53"/>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9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6CA"/>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649"/>
    <w:rsid w:val="00DE57C4"/>
    <w:rsid w:val="00DE5B92"/>
    <w:rsid w:val="00DE5F42"/>
    <w:rsid w:val="00DE6392"/>
    <w:rsid w:val="00DE6674"/>
    <w:rsid w:val="00DE6796"/>
    <w:rsid w:val="00DE6844"/>
    <w:rsid w:val="00DE6A35"/>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07A"/>
    <w:rsid w:val="00DF1153"/>
    <w:rsid w:val="00DF11FF"/>
    <w:rsid w:val="00DF15B0"/>
    <w:rsid w:val="00DF1795"/>
    <w:rsid w:val="00DF182E"/>
    <w:rsid w:val="00DF1A59"/>
    <w:rsid w:val="00DF1A76"/>
    <w:rsid w:val="00DF1AED"/>
    <w:rsid w:val="00DF1CEE"/>
    <w:rsid w:val="00DF1EBE"/>
    <w:rsid w:val="00DF20F4"/>
    <w:rsid w:val="00DF21FA"/>
    <w:rsid w:val="00DF22CC"/>
    <w:rsid w:val="00DF23A5"/>
    <w:rsid w:val="00DF24EA"/>
    <w:rsid w:val="00DF26BA"/>
    <w:rsid w:val="00DF26DF"/>
    <w:rsid w:val="00DF27A3"/>
    <w:rsid w:val="00DF2A16"/>
    <w:rsid w:val="00DF2BCE"/>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5FB2"/>
    <w:rsid w:val="00DF64CA"/>
    <w:rsid w:val="00DF659E"/>
    <w:rsid w:val="00DF6C9D"/>
    <w:rsid w:val="00DF6E5D"/>
    <w:rsid w:val="00DF70EF"/>
    <w:rsid w:val="00DF72CD"/>
    <w:rsid w:val="00DF742F"/>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DBF"/>
    <w:rsid w:val="00E02F7C"/>
    <w:rsid w:val="00E02FDB"/>
    <w:rsid w:val="00E03026"/>
    <w:rsid w:val="00E03260"/>
    <w:rsid w:val="00E0344A"/>
    <w:rsid w:val="00E03528"/>
    <w:rsid w:val="00E035FD"/>
    <w:rsid w:val="00E038B9"/>
    <w:rsid w:val="00E03977"/>
    <w:rsid w:val="00E045C3"/>
    <w:rsid w:val="00E047B3"/>
    <w:rsid w:val="00E048FF"/>
    <w:rsid w:val="00E04AB7"/>
    <w:rsid w:val="00E05064"/>
    <w:rsid w:val="00E05074"/>
    <w:rsid w:val="00E05400"/>
    <w:rsid w:val="00E0556C"/>
    <w:rsid w:val="00E05789"/>
    <w:rsid w:val="00E05A4D"/>
    <w:rsid w:val="00E05AC4"/>
    <w:rsid w:val="00E05E9E"/>
    <w:rsid w:val="00E06073"/>
    <w:rsid w:val="00E06096"/>
    <w:rsid w:val="00E06402"/>
    <w:rsid w:val="00E064D9"/>
    <w:rsid w:val="00E06708"/>
    <w:rsid w:val="00E06B00"/>
    <w:rsid w:val="00E06E56"/>
    <w:rsid w:val="00E07354"/>
    <w:rsid w:val="00E074FB"/>
    <w:rsid w:val="00E076FC"/>
    <w:rsid w:val="00E07897"/>
    <w:rsid w:val="00E07ACC"/>
    <w:rsid w:val="00E07B1B"/>
    <w:rsid w:val="00E07C91"/>
    <w:rsid w:val="00E07D0C"/>
    <w:rsid w:val="00E1056D"/>
    <w:rsid w:val="00E10788"/>
    <w:rsid w:val="00E109C4"/>
    <w:rsid w:val="00E10CC0"/>
    <w:rsid w:val="00E10D19"/>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2FDD"/>
    <w:rsid w:val="00E13046"/>
    <w:rsid w:val="00E131E8"/>
    <w:rsid w:val="00E135F8"/>
    <w:rsid w:val="00E13A86"/>
    <w:rsid w:val="00E13C9E"/>
    <w:rsid w:val="00E13DFD"/>
    <w:rsid w:val="00E13E06"/>
    <w:rsid w:val="00E140C2"/>
    <w:rsid w:val="00E14237"/>
    <w:rsid w:val="00E1428C"/>
    <w:rsid w:val="00E14756"/>
    <w:rsid w:val="00E14C91"/>
    <w:rsid w:val="00E1525C"/>
    <w:rsid w:val="00E1562D"/>
    <w:rsid w:val="00E1598D"/>
    <w:rsid w:val="00E159AC"/>
    <w:rsid w:val="00E15EDD"/>
    <w:rsid w:val="00E16030"/>
    <w:rsid w:val="00E162F0"/>
    <w:rsid w:val="00E163CF"/>
    <w:rsid w:val="00E16862"/>
    <w:rsid w:val="00E16868"/>
    <w:rsid w:val="00E16869"/>
    <w:rsid w:val="00E16BC7"/>
    <w:rsid w:val="00E16D8A"/>
    <w:rsid w:val="00E16E34"/>
    <w:rsid w:val="00E16EEE"/>
    <w:rsid w:val="00E173C1"/>
    <w:rsid w:val="00E17500"/>
    <w:rsid w:val="00E17990"/>
    <w:rsid w:val="00E17C3D"/>
    <w:rsid w:val="00E17E53"/>
    <w:rsid w:val="00E20089"/>
    <w:rsid w:val="00E20238"/>
    <w:rsid w:val="00E20394"/>
    <w:rsid w:val="00E2040E"/>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E1C"/>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B61"/>
    <w:rsid w:val="00E26CA9"/>
    <w:rsid w:val="00E270D0"/>
    <w:rsid w:val="00E2718A"/>
    <w:rsid w:val="00E271A7"/>
    <w:rsid w:val="00E27289"/>
    <w:rsid w:val="00E27383"/>
    <w:rsid w:val="00E275D1"/>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ECF"/>
    <w:rsid w:val="00E30F5C"/>
    <w:rsid w:val="00E312F5"/>
    <w:rsid w:val="00E31342"/>
    <w:rsid w:val="00E315F7"/>
    <w:rsid w:val="00E31665"/>
    <w:rsid w:val="00E318F4"/>
    <w:rsid w:val="00E318F9"/>
    <w:rsid w:val="00E3198C"/>
    <w:rsid w:val="00E31995"/>
    <w:rsid w:val="00E319AE"/>
    <w:rsid w:val="00E31DAA"/>
    <w:rsid w:val="00E31E1C"/>
    <w:rsid w:val="00E3228F"/>
    <w:rsid w:val="00E326A7"/>
    <w:rsid w:val="00E3275F"/>
    <w:rsid w:val="00E3279C"/>
    <w:rsid w:val="00E327F0"/>
    <w:rsid w:val="00E32B0C"/>
    <w:rsid w:val="00E32BBD"/>
    <w:rsid w:val="00E32C82"/>
    <w:rsid w:val="00E32EC7"/>
    <w:rsid w:val="00E33065"/>
    <w:rsid w:val="00E330D5"/>
    <w:rsid w:val="00E33237"/>
    <w:rsid w:val="00E333F7"/>
    <w:rsid w:val="00E335F7"/>
    <w:rsid w:val="00E33636"/>
    <w:rsid w:val="00E33745"/>
    <w:rsid w:val="00E3409A"/>
    <w:rsid w:val="00E34475"/>
    <w:rsid w:val="00E3448C"/>
    <w:rsid w:val="00E347A5"/>
    <w:rsid w:val="00E34DFA"/>
    <w:rsid w:val="00E34F03"/>
    <w:rsid w:val="00E350A5"/>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5E2"/>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1A6"/>
    <w:rsid w:val="00E453DF"/>
    <w:rsid w:val="00E45505"/>
    <w:rsid w:val="00E45678"/>
    <w:rsid w:val="00E4567D"/>
    <w:rsid w:val="00E4568E"/>
    <w:rsid w:val="00E456D0"/>
    <w:rsid w:val="00E458BF"/>
    <w:rsid w:val="00E458D8"/>
    <w:rsid w:val="00E45C9E"/>
    <w:rsid w:val="00E45D1B"/>
    <w:rsid w:val="00E46075"/>
    <w:rsid w:val="00E4608C"/>
    <w:rsid w:val="00E46758"/>
    <w:rsid w:val="00E467F7"/>
    <w:rsid w:val="00E4690E"/>
    <w:rsid w:val="00E469A5"/>
    <w:rsid w:val="00E46E0C"/>
    <w:rsid w:val="00E46E74"/>
    <w:rsid w:val="00E46E7C"/>
    <w:rsid w:val="00E46F11"/>
    <w:rsid w:val="00E46F16"/>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3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55E"/>
    <w:rsid w:val="00E52688"/>
    <w:rsid w:val="00E526B9"/>
    <w:rsid w:val="00E5274D"/>
    <w:rsid w:val="00E5285C"/>
    <w:rsid w:val="00E5299D"/>
    <w:rsid w:val="00E52A96"/>
    <w:rsid w:val="00E52A9C"/>
    <w:rsid w:val="00E52B79"/>
    <w:rsid w:val="00E52B8B"/>
    <w:rsid w:val="00E52CAC"/>
    <w:rsid w:val="00E52F5A"/>
    <w:rsid w:val="00E53067"/>
    <w:rsid w:val="00E5316C"/>
    <w:rsid w:val="00E5332F"/>
    <w:rsid w:val="00E533A1"/>
    <w:rsid w:val="00E5341E"/>
    <w:rsid w:val="00E5358C"/>
    <w:rsid w:val="00E53624"/>
    <w:rsid w:val="00E536AF"/>
    <w:rsid w:val="00E538FA"/>
    <w:rsid w:val="00E53BDB"/>
    <w:rsid w:val="00E53C8C"/>
    <w:rsid w:val="00E53E1A"/>
    <w:rsid w:val="00E53E9C"/>
    <w:rsid w:val="00E5413F"/>
    <w:rsid w:val="00E54308"/>
    <w:rsid w:val="00E54498"/>
    <w:rsid w:val="00E5456F"/>
    <w:rsid w:val="00E5461E"/>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12C"/>
    <w:rsid w:val="00E60417"/>
    <w:rsid w:val="00E6053D"/>
    <w:rsid w:val="00E60810"/>
    <w:rsid w:val="00E6086C"/>
    <w:rsid w:val="00E6088E"/>
    <w:rsid w:val="00E60942"/>
    <w:rsid w:val="00E60C7D"/>
    <w:rsid w:val="00E60F5A"/>
    <w:rsid w:val="00E60F8F"/>
    <w:rsid w:val="00E611E1"/>
    <w:rsid w:val="00E6129B"/>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C23"/>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7EE"/>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55A"/>
    <w:rsid w:val="00E7667C"/>
    <w:rsid w:val="00E769E0"/>
    <w:rsid w:val="00E76A29"/>
    <w:rsid w:val="00E76D60"/>
    <w:rsid w:val="00E77248"/>
    <w:rsid w:val="00E77435"/>
    <w:rsid w:val="00E774EA"/>
    <w:rsid w:val="00E77521"/>
    <w:rsid w:val="00E77601"/>
    <w:rsid w:val="00E776BC"/>
    <w:rsid w:val="00E777D8"/>
    <w:rsid w:val="00E77821"/>
    <w:rsid w:val="00E7795D"/>
    <w:rsid w:val="00E77AF5"/>
    <w:rsid w:val="00E77D78"/>
    <w:rsid w:val="00E77FA3"/>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14E"/>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27A"/>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93"/>
    <w:rsid w:val="00EA05C8"/>
    <w:rsid w:val="00EA0BCD"/>
    <w:rsid w:val="00EA0CC9"/>
    <w:rsid w:val="00EA0E29"/>
    <w:rsid w:val="00EA0E9D"/>
    <w:rsid w:val="00EA0F71"/>
    <w:rsid w:val="00EA10A1"/>
    <w:rsid w:val="00EA14F4"/>
    <w:rsid w:val="00EA17C0"/>
    <w:rsid w:val="00EA17C8"/>
    <w:rsid w:val="00EA1A59"/>
    <w:rsid w:val="00EA1C93"/>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A35"/>
    <w:rsid w:val="00EA5D9E"/>
    <w:rsid w:val="00EA5F56"/>
    <w:rsid w:val="00EA5F76"/>
    <w:rsid w:val="00EA5FC8"/>
    <w:rsid w:val="00EA67F5"/>
    <w:rsid w:val="00EA6D06"/>
    <w:rsid w:val="00EA736E"/>
    <w:rsid w:val="00EA770E"/>
    <w:rsid w:val="00EA7934"/>
    <w:rsid w:val="00EA7F07"/>
    <w:rsid w:val="00EA7F25"/>
    <w:rsid w:val="00EA7FC3"/>
    <w:rsid w:val="00EB0190"/>
    <w:rsid w:val="00EB02A1"/>
    <w:rsid w:val="00EB0399"/>
    <w:rsid w:val="00EB0500"/>
    <w:rsid w:val="00EB07BC"/>
    <w:rsid w:val="00EB09BE"/>
    <w:rsid w:val="00EB0A07"/>
    <w:rsid w:val="00EB0BD6"/>
    <w:rsid w:val="00EB0DFC"/>
    <w:rsid w:val="00EB13BB"/>
    <w:rsid w:val="00EB161C"/>
    <w:rsid w:val="00EB1636"/>
    <w:rsid w:val="00EB1E4D"/>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99B"/>
    <w:rsid w:val="00EB6CFB"/>
    <w:rsid w:val="00EB6D6E"/>
    <w:rsid w:val="00EB6D94"/>
    <w:rsid w:val="00EB7226"/>
    <w:rsid w:val="00EB7273"/>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36"/>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9B6"/>
    <w:rsid w:val="00ED3F2C"/>
    <w:rsid w:val="00ED444C"/>
    <w:rsid w:val="00ED4662"/>
    <w:rsid w:val="00ED46BE"/>
    <w:rsid w:val="00ED4813"/>
    <w:rsid w:val="00ED4861"/>
    <w:rsid w:val="00ED48C7"/>
    <w:rsid w:val="00ED4AD4"/>
    <w:rsid w:val="00ED4B39"/>
    <w:rsid w:val="00ED4D11"/>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69D"/>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81"/>
    <w:rsid w:val="00EE31C3"/>
    <w:rsid w:val="00EE333C"/>
    <w:rsid w:val="00EE3797"/>
    <w:rsid w:val="00EE380A"/>
    <w:rsid w:val="00EE3994"/>
    <w:rsid w:val="00EE39F6"/>
    <w:rsid w:val="00EE3B63"/>
    <w:rsid w:val="00EE3B76"/>
    <w:rsid w:val="00EE3C77"/>
    <w:rsid w:val="00EE3C8B"/>
    <w:rsid w:val="00EE3D33"/>
    <w:rsid w:val="00EE3F3E"/>
    <w:rsid w:val="00EE3FE6"/>
    <w:rsid w:val="00EE41F2"/>
    <w:rsid w:val="00EE452B"/>
    <w:rsid w:val="00EE4836"/>
    <w:rsid w:val="00EE4A17"/>
    <w:rsid w:val="00EE4A2C"/>
    <w:rsid w:val="00EE4C46"/>
    <w:rsid w:val="00EE4CA5"/>
    <w:rsid w:val="00EE4E37"/>
    <w:rsid w:val="00EE52B7"/>
    <w:rsid w:val="00EE534C"/>
    <w:rsid w:val="00EE5677"/>
    <w:rsid w:val="00EE56D0"/>
    <w:rsid w:val="00EE5806"/>
    <w:rsid w:val="00EE5B34"/>
    <w:rsid w:val="00EE5BAF"/>
    <w:rsid w:val="00EE5EAF"/>
    <w:rsid w:val="00EE6104"/>
    <w:rsid w:val="00EE6500"/>
    <w:rsid w:val="00EE6643"/>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0F56"/>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91C"/>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7B"/>
    <w:rsid w:val="00F0058E"/>
    <w:rsid w:val="00F00730"/>
    <w:rsid w:val="00F007FE"/>
    <w:rsid w:val="00F0089D"/>
    <w:rsid w:val="00F00956"/>
    <w:rsid w:val="00F0099B"/>
    <w:rsid w:val="00F00CB6"/>
    <w:rsid w:val="00F00CBB"/>
    <w:rsid w:val="00F00EB4"/>
    <w:rsid w:val="00F011F7"/>
    <w:rsid w:val="00F01261"/>
    <w:rsid w:val="00F01351"/>
    <w:rsid w:val="00F01402"/>
    <w:rsid w:val="00F01406"/>
    <w:rsid w:val="00F014AF"/>
    <w:rsid w:val="00F016D4"/>
    <w:rsid w:val="00F017E6"/>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A1C"/>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33F"/>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CD7"/>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5A4"/>
    <w:rsid w:val="00F23753"/>
    <w:rsid w:val="00F237F4"/>
    <w:rsid w:val="00F238E4"/>
    <w:rsid w:val="00F2398D"/>
    <w:rsid w:val="00F23B3F"/>
    <w:rsid w:val="00F23EB1"/>
    <w:rsid w:val="00F23FD6"/>
    <w:rsid w:val="00F242C5"/>
    <w:rsid w:val="00F245D5"/>
    <w:rsid w:val="00F24667"/>
    <w:rsid w:val="00F2478B"/>
    <w:rsid w:val="00F249AD"/>
    <w:rsid w:val="00F24A05"/>
    <w:rsid w:val="00F24A0B"/>
    <w:rsid w:val="00F24B44"/>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9C9"/>
    <w:rsid w:val="00F26A49"/>
    <w:rsid w:val="00F26CF1"/>
    <w:rsid w:val="00F26D3E"/>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47A"/>
    <w:rsid w:val="00F31511"/>
    <w:rsid w:val="00F316DB"/>
    <w:rsid w:val="00F317F5"/>
    <w:rsid w:val="00F31B00"/>
    <w:rsid w:val="00F31B12"/>
    <w:rsid w:val="00F31BA5"/>
    <w:rsid w:val="00F31CE6"/>
    <w:rsid w:val="00F31EE4"/>
    <w:rsid w:val="00F32501"/>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2C"/>
    <w:rsid w:val="00F3474F"/>
    <w:rsid w:val="00F34A4B"/>
    <w:rsid w:val="00F34BD2"/>
    <w:rsid w:val="00F34C8C"/>
    <w:rsid w:val="00F34EAC"/>
    <w:rsid w:val="00F34EE3"/>
    <w:rsid w:val="00F3511E"/>
    <w:rsid w:val="00F352F9"/>
    <w:rsid w:val="00F353BF"/>
    <w:rsid w:val="00F355DE"/>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4C9"/>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1F38"/>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7E9"/>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82D"/>
    <w:rsid w:val="00F50CB4"/>
    <w:rsid w:val="00F50CCF"/>
    <w:rsid w:val="00F50D1E"/>
    <w:rsid w:val="00F5116C"/>
    <w:rsid w:val="00F513CD"/>
    <w:rsid w:val="00F515D2"/>
    <w:rsid w:val="00F51915"/>
    <w:rsid w:val="00F51B80"/>
    <w:rsid w:val="00F51B96"/>
    <w:rsid w:val="00F524C4"/>
    <w:rsid w:val="00F52537"/>
    <w:rsid w:val="00F5286F"/>
    <w:rsid w:val="00F528A3"/>
    <w:rsid w:val="00F52A68"/>
    <w:rsid w:val="00F52B0A"/>
    <w:rsid w:val="00F52BE5"/>
    <w:rsid w:val="00F52F51"/>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3F2"/>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9D1"/>
    <w:rsid w:val="00F56BB3"/>
    <w:rsid w:val="00F56E0C"/>
    <w:rsid w:val="00F57039"/>
    <w:rsid w:val="00F5709C"/>
    <w:rsid w:val="00F571F8"/>
    <w:rsid w:val="00F572F8"/>
    <w:rsid w:val="00F57348"/>
    <w:rsid w:val="00F57583"/>
    <w:rsid w:val="00F57CD5"/>
    <w:rsid w:val="00F57E89"/>
    <w:rsid w:val="00F60209"/>
    <w:rsid w:val="00F60475"/>
    <w:rsid w:val="00F6051D"/>
    <w:rsid w:val="00F6056A"/>
    <w:rsid w:val="00F607BC"/>
    <w:rsid w:val="00F60920"/>
    <w:rsid w:val="00F60D10"/>
    <w:rsid w:val="00F60D79"/>
    <w:rsid w:val="00F61186"/>
    <w:rsid w:val="00F611F2"/>
    <w:rsid w:val="00F61431"/>
    <w:rsid w:val="00F614F4"/>
    <w:rsid w:val="00F614FB"/>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B02"/>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EFD"/>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CBC"/>
    <w:rsid w:val="00F73FBA"/>
    <w:rsid w:val="00F743D0"/>
    <w:rsid w:val="00F7448A"/>
    <w:rsid w:val="00F7473A"/>
    <w:rsid w:val="00F747BE"/>
    <w:rsid w:val="00F749BA"/>
    <w:rsid w:val="00F74EFA"/>
    <w:rsid w:val="00F74FD2"/>
    <w:rsid w:val="00F757D2"/>
    <w:rsid w:val="00F759C3"/>
    <w:rsid w:val="00F759D1"/>
    <w:rsid w:val="00F75DBB"/>
    <w:rsid w:val="00F76182"/>
    <w:rsid w:val="00F762BC"/>
    <w:rsid w:val="00F7644D"/>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4A"/>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371D"/>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E11"/>
    <w:rsid w:val="00F85F1E"/>
    <w:rsid w:val="00F85F4E"/>
    <w:rsid w:val="00F85FED"/>
    <w:rsid w:val="00F860AE"/>
    <w:rsid w:val="00F861F4"/>
    <w:rsid w:val="00F862B1"/>
    <w:rsid w:val="00F8636E"/>
    <w:rsid w:val="00F864C2"/>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18"/>
    <w:rsid w:val="00F939D0"/>
    <w:rsid w:val="00F93C7F"/>
    <w:rsid w:val="00F9410B"/>
    <w:rsid w:val="00F94214"/>
    <w:rsid w:val="00F94218"/>
    <w:rsid w:val="00F9437F"/>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E80"/>
    <w:rsid w:val="00F97F05"/>
    <w:rsid w:val="00FA04E5"/>
    <w:rsid w:val="00FA0CFA"/>
    <w:rsid w:val="00FA10C2"/>
    <w:rsid w:val="00FA127F"/>
    <w:rsid w:val="00FA13FA"/>
    <w:rsid w:val="00FA16E6"/>
    <w:rsid w:val="00FA181C"/>
    <w:rsid w:val="00FA1B4D"/>
    <w:rsid w:val="00FA1BDF"/>
    <w:rsid w:val="00FA1E10"/>
    <w:rsid w:val="00FA1E9B"/>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143"/>
    <w:rsid w:val="00FA4239"/>
    <w:rsid w:val="00FA4306"/>
    <w:rsid w:val="00FA43DB"/>
    <w:rsid w:val="00FA445F"/>
    <w:rsid w:val="00FA45D1"/>
    <w:rsid w:val="00FA465A"/>
    <w:rsid w:val="00FA46F9"/>
    <w:rsid w:val="00FA4B87"/>
    <w:rsid w:val="00FA4BAB"/>
    <w:rsid w:val="00FA4E8D"/>
    <w:rsid w:val="00FA4FE2"/>
    <w:rsid w:val="00FA53E3"/>
    <w:rsid w:val="00FA580D"/>
    <w:rsid w:val="00FA5818"/>
    <w:rsid w:val="00FA5955"/>
    <w:rsid w:val="00FA5CD7"/>
    <w:rsid w:val="00FA5D4E"/>
    <w:rsid w:val="00FA5ED8"/>
    <w:rsid w:val="00FA6163"/>
    <w:rsid w:val="00FA633B"/>
    <w:rsid w:val="00FA659E"/>
    <w:rsid w:val="00FA664D"/>
    <w:rsid w:val="00FA6688"/>
    <w:rsid w:val="00FA6A53"/>
    <w:rsid w:val="00FA6AE5"/>
    <w:rsid w:val="00FA6CFB"/>
    <w:rsid w:val="00FA6EF1"/>
    <w:rsid w:val="00FA7247"/>
    <w:rsid w:val="00FA7516"/>
    <w:rsid w:val="00FA7871"/>
    <w:rsid w:val="00FA7872"/>
    <w:rsid w:val="00FA7AD4"/>
    <w:rsid w:val="00FA7BB8"/>
    <w:rsid w:val="00FA7CB1"/>
    <w:rsid w:val="00FA7DEF"/>
    <w:rsid w:val="00FB00CF"/>
    <w:rsid w:val="00FB03B6"/>
    <w:rsid w:val="00FB0461"/>
    <w:rsid w:val="00FB063B"/>
    <w:rsid w:val="00FB063E"/>
    <w:rsid w:val="00FB0749"/>
    <w:rsid w:val="00FB0A44"/>
    <w:rsid w:val="00FB0A96"/>
    <w:rsid w:val="00FB0C75"/>
    <w:rsid w:val="00FB0DD7"/>
    <w:rsid w:val="00FB0EBF"/>
    <w:rsid w:val="00FB103E"/>
    <w:rsid w:val="00FB11AF"/>
    <w:rsid w:val="00FB11E9"/>
    <w:rsid w:val="00FB14ED"/>
    <w:rsid w:val="00FB14F2"/>
    <w:rsid w:val="00FB1A20"/>
    <w:rsid w:val="00FB1BBE"/>
    <w:rsid w:val="00FB1C91"/>
    <w:rsid w:val="00FB1C98"/>
    <w:rsid w:val="00FB1CB3"/>
    <w:rsid w:val="00FB1E07"/>
    <w:rsid w:val="00FB20EA"/>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C7"/>
    <w:rsid w:val="00FB55F0"/>
    <w:rsid w:val="00FB566A"/>
    <w:rsid w:val="00FB56C5"/>
    <w:rsid w:val="00FB5E41"/>
    <w:rsid w:val="00FB6021"/>
    <w:rsid w:val="00FB60BF"/>
    <w:rsid w:val="00FB61C4"/>
    <w:rsid w:val="00FB637D"/>
    <w:rsid w:val="00FB65ED"/>
    <w:rsid w:val="00FB66D1"/>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7F6"/>
    <w:rsid w:val="00FB7816"/>
    <w:rsid w:val="00FB7A2B"/>
    <w:rsid w:val="00FB7C79"/>
    <w:rsid w:val="00FB7EB2"/>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187"/>
    <w:rsid w:val="00FC332F"/>
    <w:rsid w:val="00FC33FF"/>
    <w:rsid w:val="00FC3488"/>
    <w:rsid w:val="00FC3617"/>
    <w:rsid w:val="00FC3661"/>
    <w:rsid w:val="00FC36AC"/>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48F"/>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9D7"/>
    <w:rsid w:val="00FD2D5F"/>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6FC3"/>
    <w:rsid w:val="00FD7033"/>
    <w:rsid w:val="00FD737E"/>
    <w:rsid w:val="00FD743B"/>
    <w:rsid w:val="00FD75A6"/>
    <w:rsid w:val="00FD7650"/>
    <w:rsid w:val="00FD7805"/>
    <w:rsid w:val="00FD7936"/>
    <w:rsid w:val="00FD7AC8"/>
    <w:rsid w:val="00FD7B88"/>
    <w:rsid w:val="00FD7C8B"/>
    <w:rsid w:val="00FD7DCF"/>
    <w:rsid w:val="00FD7F14"/>
    <w:rsid w:val="00FD7FDF"/>
    <w:rsid w:val="00FE00AA"/>
    <w:rsid w:val="00FE03E4"/>
    <w:rsid w:val="00FE04AB"/>
    <w:rsid w:val="00FE055F"/>
    <w:rsid w:val="00FE0923"/>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D73"/>
    <w:rsid w:val="00FE2F7A"/>
    <w:rsid w:val="00FE30B6"/>
    <w:rsid w:val="00FE310F"/>
    <w:rsid w:val="00FE3D93"/>
    <w:rsid w:val="00FE3E5C"/>
    <w:rsid w:val="00FE3EA0"/>
    <w:rsid w:val="00FE414C"/>
    <w:rsid w:val="00FE4246"/>
    <w:rsid w:val="00FE43B0"/>
    <w:rsid w:val="00FE4415"/>
    <w:rsid w:val="00FE4601"/>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031"/>
    <w:rsid w:val="00FE714D"/>
    <w:rsid w:val="00FE7352"/>
    <w:rsid w:val="00FE7BB0"/>
    <w:rsid w:val="00FE7D6A"/>
    <w:rsid w:val="00FE7FDC"/>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323"/>
    <w:rsid w:val="00FF2408"/>
    <w:rsid w:val="00FF25E2"/>
    <w:rsid w:val="00FF281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207"/>
    <w:rsid w:val="00FF677B"/>
    <w:rsid w:val="00FF6916"/>
    <w:rsid w:val="00FF6982"/>
    <w:rsid w:val="00FF6A2B"/>
    <w:rsid w:val="00FF6C1C"/>
    <w:rsid w:val="00FF6C35"/>
    <w:rsid w:val="00FF7060"/>
    <w:rsid w:val="00FF7636"/>
    <w:rsid w:val="00FF765F"/>
    <w:rsid w:val="00FF7989"/>
    <w:rsid w:val="00FF7D03"/>
    <w:rsid w:val="0B660C1A"/>
    <w:rsid w:val="17F93E0B"/>
    <w:rsid w:val="1C455CA5"/>
    <w:rsid w:val="1D2C69D2"/>
    <w:rsid w:val="1EAE2842"/>
    <w:rsid w:val="239E00B4"/>
    <w:rsid w:val="251E74A4"/>
    <w:rsid w:val="27843CE5"/>
    <w:rsid w:val="32EB653A"/>
    <w:rsid w:val="3BCB6780"/>
    <w:rsid w:val="3BF71A4D"/>
    <w:rsid w:val="42CD0A98"/>
    <w:rsid w:val="431A0C09"/>
    <w:rsid w:val="480E2158"/>
    <w:rsid w:val="4B65373A"/>
    <w:rsid w:val="4D00163A"/>
    <w:rsid w:val="4DEF04F8"/>
    <w:rsid w:val="4EFD306C"/>
    <w:rsid w:val="4F0F5BE3"/>
    <w:rsid w:val="52422029"/>
    <w:rsid w:val="55040901"/>
    <w:rsid w:val="56DF05DE"/>
    <w:rsid w:val="57FC6189"/>
    <w:rsid w:val="5F073306"/>
    <w:rsid w:val="5F5F73B9"/>
    <w:rsid w:val="6838144E"/>
    <w:rsid w:val="68AA7398"/>
    <w:rsid w:val="6AE35C5B"/>
    <w:rsid w:val="742C597A"/>
    <w:rsid w:val="F7FF022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3"/>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6"/>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57"/>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58"/>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59"/>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60"/>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61"/>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62"/>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unhideWhenUsed/>
    <w:qFormat/>
    <w:uiPriority w:val="1"/>
  </w:style>
  <w:style w:type="table" w:default="1" w:styleId="42">
    <w:name w:val="Normal Table"/>
    <w:unhideWhenUsed/>
    <w:qFormat/>
    <w:uiPriority w:val="99"/>
    <w:tblPr>
      <w:tblCellMar>
        <w:top w:w="0" w:type="dxa"/>
        <w:left w:w="108" w:type="dxa"/>
        <w:bottom w:w="0" w:type="dxa"/>
        <w:right w:w="108" w:type="dxa"/>
      </w:tblCellMar>
    </w:tblPr>
  </w:style>
  <w:style w:type="paragraph" w:styleId="4">
    <w:name w:val="Normal Indent"/>
    <w:basedOn w:val="1"/>
    <w:link w:val="55"/>
    <w:qFormat/>
    <w:uiPriority w:val="99"/>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63"/>
    <w:qFormat/>
    <w:uiPriority w:val="0"/>
    <w:pPr>
      <w:shd w:val="clear" w:color="auto" w:fill="000080"/>
    </w:pPr>
  </w:style>
  <w:style w:type="paragraph" w:styleId="15">
    <w:name w:val="annotation text"/>
    <w:basedOn w:val="1"/>
    <w:link w:val="64"/>
    <w:qFormat/>
    <w:uiPriority w:val="99"/>
    <w:pPr>
      <w:jc w:val="left"/>
    </w:pPr>
  </w:style>
  <w:style w:type="paragraph" w:styleId="16">
    <w:name w:val="Body Text 3"/>
    <w:basedOn w:val="1"/>
    <w:link w:val="65"/>
    <w:qFormat/>
    <w:uiPriority w:val="0"/>
    <w:pPr>
      <w:spacing w:after="120"/>
    </w:pPr>
    <w:rPr>
      <w:sz w:val="16"/>
      <w:szCs w:val="16"/>
    </w:rPr>
  </w:style>
  <w:style w:type="paragraph" w:styleId="17">
    <w:name w:val="Body Text"/>
    <w:basedOn w:val="1"/>
    <w:link w:val="66"/>
    <w:qFormat/>
    <w:uiPriority w:val="0"/>
    <w:pPr>
      <w:tabs>
        <w:tab w:val="left" w:pos="567"/>
      </w:tabs>
      <w:spacing w:before="120" w:line="22" w:lineRule="atLeast"/>
    </w:pPr>
    <w:rPr>
      <w:rFonts w:ascii="宋体" w:hAnsi="宋体"/>
      <w:sz w:val="24"/>
    </w:rPr>
  </w:style>
  <w:style w:type="paragraph" w:styleId="18">
    <w:name w:val="Body Text Indent"/>
    <w:basedOn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68"/>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69"/>
    <w:qFormat/>
    <w:uiPriority w:val="0"/>
    <w:pPr>
      <w:ind w:left="100" w:leftChars="2500"/>
    </w:pPr>
    <w:rPr>
      <w:rFonts w:ascii="仿宋_GB2312" w:hAnsi="宋体" w:eastAsia="仿宋_GB2312"/>
      <w:color w:val="000000"/>
      <w:sz w:val="24"/>
    </w:rPr>
  </w:style>
  <w:style w:type="paragraph" w:styleId="26">
    <w:name w:val="Body Text Indent 2"/>
    <w:basedOn w:val="1"/>
    <w:link w:val="70"/>
    <w:qFormat/>
    <w:uiPriority w:val="0"/>
    <w:pPr>
      <w:ind w:firstLine="480" w:firstLineChars="200"/>
    </w:pPr>
    <w:rPr>
      <w:rFonts w:ascii="仿宋_GB2312" w:eastAsia="仿宋_GB2312"/>
      <w:sz w:val="24"/>
    </w:rPr>
  </w:style>
  <w:style w:type="paragraph" w:styleId="27">
    <w:name w:val="Balloon Text"/>
    <w:basedOn w:val="1"/>
    <w:link w:val="71"/>
    <w:qFormat/>
    <w:uiPriority w:val="0"/>
    <w:rPr>
      <w:sz w:val="18"/>
      <w:szCs w:val="18"/>
    </w:rPr>
  </w:style>
  <w:style w:type="paragraph" w:styleId="28">
    <w:name w:val="footer"/>
    <w:basedOn w:val="1"/>
    <w:link w:val="72"/>
    <w:qFormat/>
    <w:uiPriority w:val="0"/>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3"/>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74"/>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7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76"/>
    <w:qFormat/>
    <w:uiPriority w:val="0"/>
    <w:pPr>
      <w:jc w:val="center"/>
      <w:outlineLvl w:val="0"/>
    </w:pPr>
    <w:rPr>
      <w:b/>
      <w:sz w:val="32"/>
      <w:szCs w:val="20"/>
    </w:rPr>
  </w:style>
  <w:style w:type="paragraph" w:styleId="40">
    <w:name w:val="annotation subject"/>
    <w:basedOn w:val="15"/>
    <w:next w:val="15"/>
    <w:link w:val="77"/>
    <w:qFormat/>
    <w:uiPriority w:val="0"/>
    <w:rPr>
      <w:b/>
      <w:bCs/>
    </w:rPr>
  </w:style>
  <w:style w:type="paragraph" w:styleId="41">
    <w:name w:val="Body Text First Indent 2"/>
    <w:basedOn w:val="18"/>
    <w:link w:val="79"/>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character" w:customStyle="1" w:styleId="53">
    <w:name w:val="标题 1 Char"/>
    <w:link w:val="2"/>
    <w:qFormat/>
    <w:uiPriority w:val="0"/>
    <w:rPr>
      <w:rFonts w:ascii="宋体"/>
      <w:b/>
      <w:kern w:val="44"/>
      <w:sz w:val="32"/>
    </w:rPr>
  </w:style>
  <w:style w:type="character" w:customStyle="1" w:styleId="54">
    <w:name w:val="标题 2 Char1"/>
    <w:link w:val="3"/>
    <w:qFormat/>
    <w:uiPriority w:val="0"/>
    <w:rPr>
      <w:rFonts w:ascii="Arial" w:hAnsi="Arial" w:eastAsia="黑体"/>
      <w:b/>
      <w:sz w:val="30"/>
      <w:lang w:val="en-US" w:eastAsia="zh-CN" w:bidi="ar-SA"/>
    </w:rPr>
  </w:style>
  <w:style w:type="character" w:customStyle="1" w:styleId="55">
    <w:name w:val="正文缩进 Char1"/>
    <w:link w:val="4"/>
    <w:qFormat/>
    <w:uiPriority w:val="0"/>
    <w:rPr>
      <w:rFonts w:ascii="宋体" w:eastAsia="宋体"/>
      <w:kern w:val="2"/>
      <w:sz w:val="24"/>
      <w:szCs w:val="24"/>
      <w:lang w:val="en-US" w:eastAsia="zh-CN" w:bidi="ar-SA"/>
    </w:rPr>
  </w:style>
  <w:style w:type="character" w:customStyle="1" w:styleId="56">
    <w:name w:val="标题 3 Char1"/>
    <w:link w:val="5"/>
    <w:qFormat/>
    <w:uiPriority w:val="0"/>
    <w:rPr>
      <w:rFonts w:ascii="宋体" w:eastAsia="宋体"/>
      <w:b/>
      <w:sz w:val="24"/>
      <w:u w:val="single"/>
      <w:lang w:val="en-US" w:eastAsia="zh-CN" w:bidi="ar-SA"/>
    </w:rPr>
  </w:style>
  <w:style w:type="character" w:customStyle="1" w:styleId="57">
    <w:name w:val="标题 4 Char"/>
    <w:link w:val="6"/>
    <w:qFormat/>
    <w:uiPriority w:val="0"/>
    <w:rPr>
      <w:sz w:val="24"/>
    </w:rPr>
  </w:style>
  <w:style w:type="character" w:customStyle="1" w:styleId="58">
    <w:name w:val="标题 5 Char"/>
    <w:link w:val="7"/>
    <w:qFormat/>
    <w:uiPriority w:val="0"/>
    <w:rPr>
      <w:b/>
      <w:sz w:val="28"/>
    </w:rPr>
  </w:style>
  <w:style w:type="character" w:customStyle="1" w:styleId="59">
    <w:name w:val="标题 6 Char"/>
    <w:link w:val="8"/>
    <w:qFormat/>
    <w:uiPriority w:val="0"/>
    <w:rPr>
      <w:rFonts w:ascii="Arial" w:hAnsi="Arial" w:eastAsia="黑体"/>
      <w:b/>
      <w:sz w:val="24"/>
    </w:rPr>
  </w:style>
  <w:style w:type="character" w:customStyle="1" w:styleId="60">
    <w:name w:val="标题 7 Char"/>
    <w:link w:val="9"/>
    <w:qFormat/>
    <w:uiPriority w:val="0"/>
    <w:rPr>
      <w:b/>
      <w:sz w:val="24"/>
    </w:rPr>
  </w:style>
  <w:style w:type="character" w:customStyle="1" w:styleId="61">
    <w:name w:val="标题 8 Char"/>
    <w:link w:val="10"/>
    <w:qFormat/>
    <w:uiPriority w:val="0"/>
    <w:rPr>
      <w:rFonts w:ascii="Arial" w:hAnsi="Arial" w:eastAsia="黑体"/>
      <w:sz w:val="24"/>
    </w:rPr>
  </w:style>
  <w:style w:type="character" w:customStyle="1" w:styleId="62">
    <w:name w:val="标题 9 Char"/>
    <w:link w:val="11"/>
    <w:qFormat/>
    <w:uiPriority w:val="0"/>
    <w:rPr>
      <w:rFonts w:ascii="Arial" w:hAnsi="Arial" w:eastAsia="黑体"/>
      <w:sz w:val="21"/>
    </w:rPr>
  </w:style>
  <w:style w:type="character" w:customStyle="1" w:styleId="63">
    <w:name w:val="文档结构图 Char"/>
    <w:link w:val="14"/>
    <w:qFormat/>
    <w:uiPriority w:val="0"/>
    <w:rPr>
      <w:kern w:val="2"/>
      <w:sz w:val="21"/>
      <w:szCs w:val="24"/>
      <w:shd w:val="clear" w:color="auto" w:fill="000080"/>
    </w:rPr>
  </w:style>
  <w:style w:type="character" w:customStyle="1" w:styleId="64">
    <w:name w:val="批注文字 Char1"/>
    <w:link w:val="15"/>
    <w:qFormat/>
    <w:uiPriority w:val="99"/>
    <w:rPr>
      <w:kern w:val="2"/>
      <w:sz w:val="21"/>
      <w:szCs w:val="24"/>
    </w:rPr>
  </w:style>
  <w:style w:type="character" w:customStyle="1" w:styleId="65">
    <w:name w:val="正文文本 3 Char"/>
    <w:link w:val="16"/>
    <w:qFormat/>
    <w:uiPriority w:val="0"/>
    <w:rPr>
      <w:kern w:val="2"/>
      <w:sz w:val="16"/>
      <w:szCs w:val="16"/>
    </w:rPr>
  </w:style>
  <w:style w:type="character" w:customStyle="1" w:styleId="66">
    <w:name w:val="正文文本 Char"/>
    <w:link w:val="17"/>
    <w:qFormat/>
    <w:uiPriority w:val="0"/>
    <w:rPr>
      <w:rFonts w:ascii="宋体" w:hAnsi="宋体"/>
      <w:kern w:val="2"/>
      <w:sz w:val="24"/>
      <w:szCs w:val="24"/>
    </w:rPr>
  </w:style>
  <w:style w:type="character" w:customStyle="1" w:styleId="67">
    <w:name w:val="正文文本缩进 Char2"/>
    <w:link w:val="18"/>
    <w:qFormat/>
    <w:uiPriority w:val="0"/>
    <w:rPr>
      <w:rFonts w:eastAsia="宋体"/>
      <w:kern w:val="2"/>
      <w:sz w:val="24"/>
      <w:szCs w:val="24"/>
      <w:lang w:val="en-US" w:eastAsia="zh-CN" w:bidi="ar-SA"/>
    </w:rPr>
  </w:style>
  <w:style w:type="character" w:customStyle="1" w:styleId="68">
    <w:name w:val="纯文本 Char"/>
    <w:link w:val="23"/>
    <w:qFormat/>
    <w:uiPriority w:val="99"/>
    <w:rPr>
      <w:rFonts w:hint="eastAsia" w:ascii="宋体" w:hAnsi="Courier New" w:eastAsia="宋体" w:cs="宋体"/>
      <w:kern w:val="2"/>
      <w:sz w:val="21"/>
    </w:rPr>
  </w:style>
  <w:style w:type="character" w:customStyle="1" w:styleId="69">
    <w:name w:val="日期 Char"/>
    <w:link w:val="25"/>
    <w:qFormat/>
    <w:uiPriority w:val="0"/>
    <w:rPr>
      <w:rFonts w:ascii="仿宋_GB2312" w:hAnsi="宋体" w:eastAsia="仿宋_GB2312"/>
      <w:color w:val="000000"/>
      <w:kern w:val="2"/>
      <w:sz w:val="24"/>
      <w:szCs w:val="24"/>
    </w:rPr>
  </w:style>
  <w:style w:type="character" w:customStyle="1" w:styleId="70">
    <w:name w:val="正文文本缩进 2 Char"/>
    <w:link w:val="26"/>
    <w:qFormat/>
    <w:uiPriority w:val="0"/>
    <w:rPr>
      <w:rFonts w:ascii="仿宋_GB2312" w:eastAsia="仿宋_GB2312"/>
      <w:kern w:val="2"/>
      <w:sz w:val="24"/>
      <w:szCs w:val="24"/>
    </w:rPr>
  </w:style>
  <w:style w:type="character" w:customStyle="1" w:styleId="71">
    <w:name w:val="批注框文本 Char"/>
    <w:link w:val="27"/>
    <w:qFormat/>
    <w:uiPriority w:val="0"/>
    <w:rPr>
      <w:kern w:val="2"/>
      <w:sz w:val="18"/>
      <w:szCs w:val="18"/>
    </w:rPr>
  </w:style>
  <w:style w:type="character" w:customStyle="1" w:styleId="72">
    <w:name w:val="页脚 Char1"/>
    <w:link w:val="28"/>
    <w:qFormat/>
    <w:uiPriority w:val="99"/>
    <w:rPr>
      <w:rFonts w:ascii="宋体" w:eastAsia="宋体"/>
      <w:sz w:val="18"/>
      <w:lang w:val="en-US" w:eastAsia="zh-CN" w:bidi="ar-SA"/>
    </w:rPr>
  </w:style>
  <w:style w:type="character" w:customStyle="1" w:styleId="73">
    <w:name w:val="页眉 Char1"/>
    <w:link w:val="29"/>
    <w:qFormat/>
    <w:uiPriority w:val="0"/>
    <w:rPr>
      <w:rFonts w:eastAsia="宋体"/>
      <w:kern w:val="2"/>
      <w:sz w:val="18"/>
      <w:szCs w:val="18"/>
      <w:lang w:val="en-US" w:eastAsia="zh-CN" w:bidi="ar-SA"/>
    </w:rPr>
  </w:style>
  <w:style w:type="character" w:customStyle="1" w:styleId="74">
    <w:name w:val="正文文本缩进 3 Char"/>
    <w:link w:val="33"/>
    <w:qFormat/>
    <w:uiPriority w:val="0"/>
    <w:rPr>
      <w:rFonts w:ascii="宋体"/>
      <w:sz w:val="24"/>
    </w:rPr>
  </w:style>
  <w:style w:type="character" w:customStyle="1" w:styleId="75">
    <w:name w:val="HTML 预设格式 Char"/>
    <w:link w:val="36"/>
    <w:qFormat/>
    <w:uiPriority w:val="0"/>
    <w:rPr>
      <w:rFonts w:ascii="宋体" w:hAnsi="宋体" w:cs="宋体"/>
      <w:sz w:val="24"/>
      <w:szCs w:val="24"/>
    </w:rPr>
  </w:style>
  <w:style w:type="character" w:customStyle="1" w:styleId="76">
    <w:name w:val="标题 Char1"/>
    <w:link w:val="39"/>
    <w:qFormat/>
    <w:uiPriority w:val="0"/>
    <w:rPr>
      <w:b/>
      <w:kern w:val="2"/>
      <w:sz w:val="32"/>
    </w:rPr>
  </w:style>
  <w:style w:type="character" w:customStyle="1" w:styleId="77">
    <w:name w:val="批注主题 Char"/>
    <w:link w:val="40"/>
    <w:qFormat/>
    <w:uiPriority w:val="0"/>
    <w:rPr>
      <w:rFonts w:ascii="Times New Roman" w:hAnsi="Times New Roman" w:eastAsia="宋体" w:cs="Times New Roman"/>
      <w:b/>
      <w:bCs/>
      <w:kern w:val="2"/>
      <w:sz w:val="21"/>
      <w:szCs w:val="24"/>
      <w:lang w:val="en-US" w:eastAsia="zh-CN" w:bidi="ar-SA"/>
    </w:rPr>
  </w:style>
  <w:style w:type="character" w:customStyle="1" w:styleId="78">
    <w:name w:val="批注文字 字符"/>
    <w:qFormat/>
    <w:uiPriority w:val="99"/>
    <w:rPr>
      <w:rFonts w:ascii="Times New Roman" w:hAnsi="Times New Roman" w:eastAsia="宋体" w:cs="Times New Roman"/>
      <w:sz w:val="24"/>
      <w:lang w:val="en-US" w:eastAsia="zh-CN" w:bidi="ar-SA"/>
    </w:rPr>
  </w:style>
  <w:style w:type="character" w:customStyle="1" w:styleId="79">
    <w:name w:val="正文首行缩进 2 Char"/>
    <w:link w:val="41"/>
    <w:qFormat/>
    <w:uiPriority w:val="0"/>
    <w:rPr>
      <w:rFonts w:eastAsia="宋体"/>
      <w:kern w:val="2"/>
      <w:sz w:val="24"/>
      <w:szCs w:val="24"/>
      <w:lang w:val="en-US" w:eastAsia="zh-CN" w:bidi="ar-SA"/>
    </w:rPr>
  </w:style>
  <w:style w:type="character" w:customStyle="1" w:styleId="80">
    <w:name w:val="c21"/>
    <w:qFormat/>
    <w:uiPriority w:val="0"/>
    <w:rPr>
      <w:rFonts w:hint="default" w:ascii="ˎ̥" w:hAnsi="ˎ̥"/>
      <w:color w:val="000000"/>
      <w:sz w:val="20"/>
      <w:szCs w:val="20"/>
      <w:u w:val="none"/>
    </w:rPr>
  </w:style>
  <w:style w:type="character" w:customStyle="1" w:styleId="81">
    <w:name w:val="title4"/>
    <w:qFormat/>
    <w:uiPriority w:val="0"/>
    <w:rPr>
      <w:b/>
      <w:bCs/>
      <w:color w:val="1D87B3"/>
      <w:sz w:val="15"/>
      <w:szCs w:val="15"/>
    </w:rPr>
  </w:style>
  <w:style w:type="character" w:customStyle="1" w:styleId="82">
    <w:name w:val="标题 2 Char Char"/>
    <w:qFormat/>
    <w:uiPriority w:val="0"/>
    <w:rPr>
      <w:rFonts w:ascii="Arial" w:hAnsi="Arial" w:eastAsia="黑体"/>
      <w:b/>
      <w:bCs/>
      <w:kern w:val="2"/>
      <w:sz w:val="32"/>
      <w:szCs w:val="32"/>
      <w:lang w:val="en-US" w:eastAsia="zh-CN" w:bidi="ar-SA"/>
    </w:rPr>
  </w:style>
  <w:style w:type="character" w:customStyle="1" w:styleId="83">
    <w:name w:val="black1"/>
    <w:qFormat/>
    <w:uiPriority w:val="0"/>
    <w:rPr>
      <w:color w:val="000000"/>
    </w:rPr>
  </w:style>
  <w:style w:type="character" w:customStyle="1" w:styleId="84">
    <w:name w:val="street-address"/>
    <w:qFormat/>
    <w:uiPriority w:val="0"/>
  </w:style>
  <w:style w:type="character" w:customStyle="1" w:styleId="85">
    <w:name w:val="locality"/>
    <w:qFormat/>
    <w:uiPriority w:val="0"/>
  </w:style>
  <w:style w:type="character" w:customStyle="1" w:styleId="86">
    <w:name w:val="正文文本缩进 Char1"/>
    <w:link w:val="87"/>
    <w:qFormat/>
    <w:uiPriority w:val="0"/>
    <w:rPr>
      <w:rFonts w:ascii="宋体" w:hAnsi="宋体" w:eastAsia="宋体"/>
      <w:sz w:val="24"/>
      <w:szCs w:val="24"/>
      <w:lang w:bidi="ar-SA"/>
    </w:rPr>
  </w:style>
  <w:style w:type="paragraph" w:customStyle="1" w:styleId="87">
    <w:name w:val="正文文本缩进1"/>
    <w:basedOn w:val="1"/>
    <w:link w:val="86"/>
    <w:qFormat/>
    <w:uiPriority w:val="0"/>
    <w:pPr>
      <w:spacing w:line="480" w:lineRule="exact"/>
      <w:ind w:firstLine="480" w:firstLineChars="200"/>
    </w:pPr>
    <w:rPr>
      <w:rFonts w:ascii="宋体" w:hAnsi="宋体"/>
      <w:kern w:val="0"/>
      <w:sz w:val="24"/>
    </w:rPr>
  </w:style>
  <w:style w:type="character" w:customStyle="1" w:styleId="88">
    <w:name w:val="Char Char11"/>
    <w:qFormat/>
    <w:uiPriority w:val="0"/>
    <w:rPr>
      <w:rFonts w:ascii="宋体" w:eastAsia="宋体"/>
      <w:b/>
      <w:sz w:val="24"/>
      <w:u w:val="single"/>
      <w:lang w:val="en-US" w:eastAsia="zh-CN" w:bidi="ar-SA"/>
    </w:rPr>
  </w:style>
  <w:style w:type="character" w:customStyle="1" w:styleId="89">
    <w:name w:val="txt"/>
    <w:qFormat/>
    <w:uiPriority w:val="0"/>
  </w:style>
  <w:style w:type="character" w:customStyle="1" w:styleId="90">
    <w:name w:val="正文缩进 Char Char"/>
    <w:link w:val="91"/>
    <w:qFormat/>
    <w:uiPriority w:val="0"/>
    <w:rPr>
      <w:rFonts w:ascii="宋体" w:eastAsia="宋体"/>
      <w:snapToGrid w:val="0"/>
      <w:color w:val="000000"/>
      <w:kern w:val="28"/>
      <w:sz w:val="28"/>
      <w:lang w:bidi="ar-SA"/>
    </w:rPr>
  </w:style>
  <w:style w:type="paragraph" w:customStyle="1" w:styleId="91">
    <w:name w:val="正文缩进1"/>
    <w:basedOn w:val="1"/>
    <w:link w:val="90"/>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92">
    <w:name w:val="普通文字1 Char1"/>
    <w:qFormat/>
    <w:uiPriority w:val="0"/>
    <w:rPr>
      <w:rFonts w:ascii="宋体" w:hAnsi="Courier New" w:eastAsia="宋体"/>
      <w:kern w:val="2"/>
      <w:sz w:val="21"/>
      <w:lang w:val="en-US" w:eastAsia="zh-CN" w:bidi="ar-SA"/>
    </w:rPr>
  </w:style>
  <w:style w:type="character" w:customStyle="1" w:styleId="93">
    <w:name w:val="chanpin1"/>
    <w:qFormat/>
    <w:uiPriority w:val="0"/>
    <w:rPr>
      <w:rFonts w:hint="default" w:ascii="ˎ̥" w:hAnsi="ˎ̥"/>
      <w:color w:val="000000"/>
      <w:sz w:val="20"/>
      <w:szCs w:val="20"/>
      <w:u w:val="none"/>
    </w:rPr>
  </w:style>
  <w:style w:type="character" w:customStyle="1" w:styleId="94">
    <w:name w:val="列出段落 Char1"/>
    <w:link w:val="95"/>
    <w:qFormat/>
    <w:uiPriority w:val="34"/>
    <w:rPr>
      <w:rFonts w:ascii="Calibri" w:hAnsi="Calibri" w:eastAsia="宋体"/>
      <w:kern w:val="2"/>
      <w:sz w:val="21"/>
      <w:szCs w:val="22"/>
      <w:lang w:val="en-US" w:eastAsia="zh-CN" w:bidi="ar-SA"/>
    </w:rPr>
  </w:style>
  <w:style w:type="paragraph" w:styleId="95">
    <w:name w:val="List Paragraph"/>
    <w:basedOn w:val="1"/>
    <w:link w:val="94"/>
    <w:qFormat/>
    <w:uiPriority w:val="34"/>
    <w:pPr>
      <w:ind w:firstLine="420" w:firstLineChars="200"/>
    </w:pPr>
    <w:rPr>
      <w:rFonts w:ascii="Calibri" w:hAnsi="Calibri"/>
      <w:szCs w:val="22"/>
    </w:rPr>
  </w:style>
  <w:style w:type="character" w:customStyle="1" w:styleId="96">
    <w:name w:val="标题 3 Char Char"/>
    <w:qFormat/>
    <w:uiPriority w:val="0"/>
    <w:rPr>
      <w:rFonts w:eastAsia="宋体"/>
      <w:b/>
      <w:bCs/>
      <w:kern w:val="2"/>
      <w:sz w:val="32"/>
      <w:szCs w:val="32"/>
      <w:lang w:val="en-US" w:eastAsia="zh-CN" w:bidi="ar-SA"/>
    </w:rPr>
  </w:style>
  <w:style w:type="character" w:customStyle="1" w:styleId="97">
    <w:name w:val="段1 Char"/>
    <w:qFormat/>
    <w:uiPriority w:val="0"/>
    <w:rPr>
      <w:rFonts w:ascii="宋体" w:eastAsia="宋体"/>
      <w:sz w:val="24"/>
      <w:lang w:val="en-US" w:eastAsia="zh-CN" w:bidi="ar-SA"/>
    </w:rPr>
  </w:style>
  <w:style w:type="character" w:customStyle="1" w:styleId="98">
    <w:name w:val="chanpin拷贝"/>
    <w:qFormat/>
    <w:uiPriority w:val="0"/>
  </w:style>
  <w:style w:type="character" w:customStyle="1" w:styleId="99">
    <w:name w:val="纯文本 Char1"/>
    <w:qFormat/>
    <w:uiPriority w:val="0"/>
    <w:rPr>
      <w:rFonts w:ascii="宋体" w:hAnsi="Courier New" w:eastAsia="宋体"/>
      <w:kern w:val="2"/>
      <w:sz w:val="21"/>
      <w:lang w:val="en-US" w:eastAsia="zh-CN" w:bidi="ar-SA"/>
    </w:rPr>
  </w:style>
  <w:style w:type="character" w:customStyle="1" w:styleId="100">
    <w:name w:val="apple-style-span"/>
    <w:qFormat/>
    <w:uiPriority w:val="0"/>
    <w:rPr>
      <w:rFonts w:cs="Times New Roman"/>
    </w:rPr>
  </w:style>
  <w:style w:type="paragraph" w:customStyle="1" w:styleId="101">
    <w:name w:val="二级条标题"/>
    <w:basedOn w:val="102"/>
    <w:next w:val="1"/>
    <w:qFormat/>
    <w:uiPriority w:val="0"/>
    <w:pPr>
      <w:numPr>
        <w:ilvl w:val="0"/>
        <w:numId w:val="0"/>
      </w:numPr>
      <w:tabs>
        <w:tab w:val="left" w:pos="360"/>
        <w:tab w:val="left" w:pos="840"/>
      </w:tabs>
      <w:ind w:hanging="840"/>
      <w:outlineLvl w:val="2"/>
    </w:pPr>
    <w:rPr>
      <w:rFonts w:ascii="宋体" w:eastAsia="宋体"/>
      <w:b w:val="0"/>
    </w:rPr>
  </w:style>
  <w:style w:type="paragraph" w:customStyle="1" w:styleId="102">
    <w:name w:val="一级条标题"/>
    <w:basedOn w:val="103"/>
    <w:next w:val="1"/>
    <w:qFormat/>
    <w:uiPriority w:val="0"/>
    <w:pPr>
      <w:numPr>
        <w:ilvl w:val="1"/>
      </w:numPr>
      <w:tabs>
        <w:tab w:val="left" w:pos="360"/>
        <w:tab w:val="left" w:pos="840"/>
      </w:tabs>
      <w:ind w:left="0" w:hanging="840"/>
      <w:outlineLvl w:val="1"/>
    </w:pPr>
  </w:style>
  <w:style w:type="paragraph" w:customStyle="1" w:styleId="103">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04">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05">
    <w:name w:val="字元 字元"/>
    <w:basedOn w:val="1"/>
    <w:qFormat/>
    <w:uiPriority w:val="0"/>
    <w:rPr>
      <w:rFonts w:ascii="Tahoma" w:hAnsi="Tahoma"/>
      <w:sz w:val="24"/>
      <w:szCs w:val="20"/>
    </w:rPr>
  </w:style>
  <w:style w:type="paragraph" w:customStyle="1" w:styleId="106">
    <w:name w:val="Char3 Char Char Char"/>
    <w:basedOn w:val="1"/>
    <w:qFormat/>
    <w:uiPriority w:val="0"/>
    <w:rPr>
      <w:rFonts w:ascii="Tahoma" w:hAnsi="Tahoma"/>
      <w:sz w:val="24"/>
      <w:szCs w:val="20"/>
    </w:rPr>
  </w:style>
  <w:style w:type="paragraph" w:customStyle="1" w:styleId="107">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08">
    <w:name w:val="项目编号2"/>
    <w:basedOn w:val="109"/>
    <w:qFormat/>
    <w:uiPriority w:val="0"/>
    <w:pPr>
      <w:numPr>
        <w:numId w:val="2"/>
      </w:numPr>
    </w:pPr>
  </w:style>
  <w:style w:type="paragraph" w:customStyle="1" w:styleId="109">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10">
    <w:name w:val="图中文字"/>
    <w:basedOn w:val="1"/>
    <w:qFormat/>
    <w:uiPriority w:val="0"/>
    <w:pPr>
      <w:adjustRightInd w:val="0"/>
      <w:snapToGrid w:val="0"/>
      <w:spacing w:line="0" w:lineRule="atLeast"/>
      <w:jc w:val="center"/>
    </w:pPr>
    <w:rPr>
      <w:sz w:val="24"/>
      <w:szCs w:val="20"/>
    </w:rPr>
  </w:style>
  <w:style w:type="paragraph" w:customStyle="1" w:styleId="111">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13">
    <w:name w:val="Char2"/>
    <w:basedOn w:val="1"/>
    <w:qFormat/>
    <w:uiPriority w:val="0"/>
    <w:rPr>
      <w:rFonts w:ascii="Tahoma" w:hAnsi="Tahoma"/>
      <w:sz w:val="24"/>
      <w:szCs w:val="20"/>
    </w:rPr>
  </w:style>
  <w:style w:type="paragraph" w:customStyle="1" w:styleId="114">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1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8">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19">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2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21">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2">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23">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24">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5">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27">
    <w:name w:val="font8"/>
    <w:basedOn w:val="1"/>
    <w:qFormat/>
    <w:uiPriority w:val="0"/>
    <w:pPr>
      <w:widowControl/>
      <w:spacing w:before="100" w:beforeAutospacing="1" w:after="100" w:afterAutospacing="1"/>
      <w:jc w:val="left"/>
    </w:pPr>
    <w:rPr>
      <w:kern w:val="0"/>
      <w:sz w:val="36"/>
      <w:szCs w:val="36"/>
    </w:rPr>
  </w:style>
  <w:style w:type="paragraph" w:customStyle="1" w:styleId="128">
    <w:name w:val="Char"/>
    <w:basedOn w:val="1"/>
    <w:qFormat/>
    <w:uiPriority w:val="0"/>
    <w:pPr>
      <w:tabs>
        <w:tab w:val="left" w:pos="360"/>
      </w:tabs>
    </w:pPr>
    <w:rPr>
      <w:sz w:val="24"/>
    </w:rPr>
  </w:style>
  <w:style w:type="paragraph" w:customStyle="1" w:styleId="129">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30">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31">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32">
    <w:name w:val="Char Char1"/>
    <w:basedOn w:val="14"/>
    <w:qFormat/>
    <w:uiPriority w:val="0"/>
    <w:rPr>
      <w:rFonts w:ascii="Tahoma" w:hAnsi="Tahoma"/>
      <w:sz w:val="24"/>
    </w:rPr>
  </w:style>
  <w:style w:type="paragraph" w:customStyle="1" w:styleId="13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3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5">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6">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37">
    <w:name w:val="Char1 Char Char Char1"/>
    <w:basedOn w:val="1"/>
    <w:qFormat/>
    <w:uiPriority w:val="0"/>
    <w:rPr>
      <w:rFonts w:ascii="Tahoma" w:hAnsi="Tahoma" w:cs="仿宋_GB2312"/>
      <w:sz w:val="24"/>
      <w:szCs w:val="28"/>
    </w:rPr>
  </w:style>
  <w:style w:type="paragraph" w:customStyle="1" w:styleId="138">
    <w:name w:val="四级条标题"/>
    <w:basedOn w:val="139"/>
    <w:next w:val="1"/>
    <w:qFormat/>
    <w:uiPriority w:val="0"/>
    <w:pPr>
      <w:numPr>
        <w:ilvl w:val="4"/>
      </w:numPr>
      <w:tabs>
        <w:tab w:val="left" w:pos="360"/>
        <w:tab w:val="left" w:pos="840"/>
      </w:tabs>
      <w:ind w:left="0" w:hanging="840"/>
      <w:outlineLvl w:val="4"/>
    </w:pPr>
  </w:style>
  <w:style w:type="paragraph" w:customStyle="1" w:styleId="139">
    <w:name w:val="三级条标题"/>
    <w:basedOn w:val="101"/>
    <w:next w:val="1"/>
    <w:qFormat/>
    <w:uiPriority w:val="0"/>
    <w:pPr>
      <w:numPr>
        <w:ilvl w:val="3"/>
        <w:numId w:val="1"/>
      </w:numPr>
      <w:ind w:left="0" w:hanging="840"/>
      <w:outlineLvl w:val="3"/>
    </w:pPr>
  </w:style>
  <w:style w:type="paragraph" w:customStyle="1" w:styleId="140">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41">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42">
    <w:name w:val="List Paragraph1"/>
    <w:basedOn w:val="1"/>
    <w:qFormat/>
    <w:uiPriority w:val="0"/>
    <w:pPr>
      <w:ind w:firstLine="420" w:firstLineChars="200"/>
    </w:pPr>
    <w:rPr>
      <w:rFonts w:ascii="Calibri" w:hAnsi="Calibri"/>
      <w:szCs w:val="22"/>
    </w:rPr>
  </w:style>
  <w:style w:type="paragraph" w:customStyle="1" w:styleId="143">
    <w:name w:val="项目符号1"/>
    <w:basedOn w:val="144"/>
    <w:qFormat/>
    <w:uiPriority w:val="0"/>
    <w:pPr>
      <w:ind w:left="-25" w:firstLine="0"/>
    </w:pPr>
  </w:style>
  <w:style w:type="paragraph" w:customStyle="1" w:styleId="144">
    <w:name w:val="正文文本样式"/>
    <w:basedOn w:val="1"/>
    <w:qFormat/>
    <w:uiPriority w:val="0"/>
    <w:pPr>
      <w:spacing w:line="360" w:lineRule="auto"/>
      <w:ind w:firstLine="482"/>
    </w:pPr>
    <w:rPr>
      <w:rFonts w:cs="宋体"/>
      <w:sz w:val="24"/>
      <w:szCs w:val="20"/>
    </w:rPr>
  </w:style>
  <w:style w:type="paragraph" w:customStyle="1" w:styleId="145">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4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47">
    <w:name w:val="五级条标题"/>
    <w:basedOn w:val="138"/>
    <w:next w:val="1"/>
    <w:qFormat/>
    <w:uiPriority w:val="0"/>
    <w:pPr>
      <w:numPr>
        <w:ilvl w:val="5"/>
      </w:numPr>
      <w:ind w:left="0" w:hanging="840"/>
      <w:outlineLvl w:val="5"/>
    </w:pPr>
  </w:style>
  <w:style w:type="paragraph" w:customStyle="1" w:styleId="148">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49">
    <w:name w:val="文档正文"/>
    <w:basedOn w:val="1"/>
    <w:qFormat/>
    <w:uiPriority w:val="0"/>
    <w:pPr>
      <w:snapToGrid w:val="0"/>
      <w:spacing w:before="120" w:after="120" w:line="180" w:lineRule="auto"/>
    </w:pPr>
    <w:rPr>
      <w:rFonts w:ascii="Arial" w:hAnsi="Arial"/>
      <w:szCs w:val="20"/>
    </w:rPr>
  </w:style>
  <w:style w:type="paragraph" w:customStyle="1" w:styleId="15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5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52">
    <w:name w:val="Char Char Char1 Char"/>
    <w:basedOn w:val="1"/>
    <w:qFormat/>
    <w:uiPriority w:val="0"/>
    <w:rPr>
      <w:rFonts w:ascii="Tahoma" w:hAnsi="Tahoma"/>
      <w:sz w:val="24"/>
      <w:szCs w:val="20"/>
    </w:rPr>
  </w:style>
  <w:style w:type="paragraph" w:customStyle="1" w:styleId="15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54">
    <w:name w:val="1名"/>
    <w:basedOn w:val="1"/>
    <w:qFormat/>
    <w:uiPriority w:val="0"/>
    <w:pPr>
      <w:numPr>
        <w:ilvl w:val="0"/>
        <w:numId w:val="5"/>
      </w:numPr>
      <w:spacing w:before="120"/>
    </w:pPr>
    <w:rPr>
      <w:rFonts w:ascii="宋体"/>
      <w:sz w:val="28"/>
      <w:szCs w:val="20"/>
    </w:rPr>
  </w:style>
  <w:style w:type="paragraph" w:customStyle="1" w:styleId="155">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56">
    <w:name w:val="Char Char Char1 Char1"/>
    <w:basedOn w:val="1"/>
    <w:qFormat/>
    <w:uiPriority w:val="0"/>
    <w:rPr>
      <w:rFonts w:ascii="Tahoma" w:hAnsi="Tahoma"/>
      <w:sz w:val="24"/>
      <w:szCs w:val="20"/>
    </w:rPr>
  </w:style>
  <w:style w:type="paragraph" w:customStyle="1" w:styleId="157">
    <w:name w:val="Char Char Char Char Char Char Char Char Char Char"/>
    <w:basedOn w:val="1"/>
    <w:qFormat/>
    <w:uiPriority w:val="0"/>
  </w:style>
  <w:style w:type="paragraph" w:customStyle="1" w:styleId="158">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59">
    <w:name w:val="Char1"/>
    <w:basedOn w:val="1"/>
    <w:qFormat/>
    <w:uiPriority w:val="0"/>
    <w:pPr>
      <w:tabs>
        <w:tab w:val="left" w:pos="360"/>
      </w:tabs>
    </w:pPr>
    <w:rPr>
      <w:sz w:val="24"/>
    </w:rPr>
  </w:style>
  <w:style w:type="paragraph" w:customStyle="1" w:styleId="160">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6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62">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63">
    <w:name w:val="默认段落字体 Para Char Char Char Char"/>
    <w:basedOn w:val="1"/>
    <w:qFormat/>
    <w:uiPriority w:val="0"/>
    <w:rPr>
      <w:rFonts w:ascii="Arial" w:hAnsi="Arial" w:cs="Arial"/>
      <w:szCs w:val="21"/>
    </w:rPr>
  </w:style>
  <w:style w:type="paragraph" w:customStyle="1" w:styleId="16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6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66">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67">
    <w:name w:val="Char Char Char"/>
    <w:basedOn w:val="1"/>
    <w:qFormat/>
    <w:uiPriority w:val="0"/>
    <w:rPr>
      <w:rFonts w:ascii="Tahoma" w:hAnsi="Tahoma"/>
      <w:sz w:val="24"/>
      <w:szCs w:val="20"/>
    </w:rPr>
  </w:style>
  <w:style w:type="paragraph" w:customStyle="1" w:styleId="16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69">
    <w:name w:val="缺省文本"/>
    <w:basedOn w:val="1"/>
    <w:qFormat/>
    <w:uiPriority w:val="0"/>
    <w:pPr>
      <w:autoSpaceDE w:val="0"/>
      <w:autoSpaceDN w:val="0"/>
      <w:adjustRightInd w:val="0"/>
      <w:jc w:val="left"/>
    </w:pPr>
    <w:rPr>
      <w:kern w:val="0"/>
      <w:sz w:val="24"/>
    </w:rPr>
  </w:style>
  <w:style w:type="paragraph" w:customStyle="1" w:styleId="170">
    <w:name w:val="Char Char Char1"/>
    <w:basedOn w:val="1"/>
    <w:qFormat/>
    <w:uiPriority w:val="0"/>
    <w:rPr>
      <w:rFonts w:ascii="Tahoma" w:hAnsi="Tahoma"/>
      <w:sz w:val="24"/>
      <w:szCs w:val="20"/>
    </w:rPr>
  </w:style>
  <w:style w:type="paragraph" w:customStyle="1" w:styleId="171">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72">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73">
    <w:name w:val="样式2"/>
    <w:basedOn w:val="38"/>
    <w:qFormat/>
    <w:uiPriority w:val="0"/>
    <w:pPr>
      <w:spacing w:line="360" w:lineRule="auto"/>
      <w:jc w:val="center"/>
    </w:pPr>
    <w:rPr>
      <w:sz w:val="24"/>
    </w:rPr>
  </w:style>
  <w:style w:type="paragraph" w:customStyle="1" w:styleId="17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7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76">
    <w:name w:val="正文 + 楷体_GB2312"/>
    <w:basedOn w:val="1"/>
    <w:qFormat/>
    <w:uiPriority w:val="0"/>
    <w:pPr>
      <w:widowControl/>
      <w:jc w:val="left"/>
    </w:pPr>
    <w:rPr>
      <w:rFonts w:ascii="楷体_GB2312" w:eastAsia="楷体_GB2312" w:cs="Arial"/>
      <w:kern w:val="0"/>
      <w:sz w:val="24"/>
    </w:rPr>
  </w:style>
  <w:style w:type="paragraph" w:customStyle="1" w:styleId="17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78">
    <w:name w:val="1 Char Char Char Char"/>
    <w:basedOn w:val="1"/>
    <w:qFormat/>
    <w:uiPriority w:val="0"/>
    <w:rPr>
      <w:rFonts w:ascii="Tahoma" w:hAnsi="Tahoma"/>
      <w:sz w:val="24"/>
      <w:szCs w:val="20"/>
    </w:rPr>
  </w:style>
  <w:style w:type="paragraph" w:customStyle="1" w:styleId="179">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80">
    <w:name w:val="列出段落1"/>
    <w:basedOn w:val="1"/>
    <w:qFormat/>
    <w:uiPriority w:val="0"/>
    <w:pPr>
      <w:ind w:firstLine="420" w:firstLineChars="200"/>
    </w:pPr>
    <w:rPr>
      <w:rFonts w:ascii="Calibri" w:hAnsi="Calibri"/>
      <w:szCs w:val="22"/>
    </w:rPr>
  </w:style>
  <w:style w:type="paragraph" w:customStyle="1" w:styleId="18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82">
    <w:name w:val="字元 字元1"/>
    <w:basedOn w:val="1"/>
    <w:qFormat/>
    <w:uiPriority w:val="0"/>
    <w:rPr>
      <w:rFonts w:ascii="Tahoma" w:hAnsi="Tahoma"/>
      <w:sz w:val="24"/>
      <w:szCs w:val="20"/>
    </w:rPr>
  </w:style>
  <w:style w:type="paragraph" w:customStyle="1" w:styleId="183">
    <w:name w:val="_Style 160"/>
    <w:qFormat/>
    <w:uiPriority w:val="0"/>
    <w:rPr>
      <w:rFonts w:ascii="Times New Roman" w:hAnsi="Times New Roman" w:eastAsia="宋体" w:cs="Times New Roman"/>
      <w:kern w:val="2"/>
      <w:sz w:val="21"/>
      <w:szCs w:val="24"/>
      <w:lang w:val="en-US" w:eastAsia="zh-CN" w:bidi="ar-SA"/>
    </w:rPr>
  </w:style>
  <w:style w:type="paragraph" w:customStyle="1" w:styleId="184">
    <w:name w:val="项目编号3"/>
    <w:basedOn w:val="144"/>
    <w:qFormat/>
    <w:uiPriority w:val="0"/>
    <w:pPr>
      <w:numPr>
        <w:ilvl w:val="0"/>
        <w:numId w:val="6"/>
      </w:numPr>
    </w:pPr>
  </w:style>
  <w:style w:type="paragraph" w:customStyle="1" w:styleId="185">
    <w:name w:val="Char21"/>
    <w:basedOn w:val="1"/>
    <w:qFormat/>
    <w:uiPriority w:val="0"/>
    <w:rPr>
      <w:rFonts w:ascii="Tahoma" w:hAnsi="Tahoma"/>
      <w:sz w:val="24"/>
      <w:szCs w:val="20"/>
    </w:rPr>
  </w:style>
  <w:style w:type="paragraph" w:customStyle="1" w:styleId="186">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87">
    <w:name w:val="Char Char Char Char Char Char Char Char Char Char1"/>
    <w:basedOn w:val="1"/>
    <w:qFormat/>
    <w:uiPriority w:val="0"/>
    <w:rPr>
      <w:rFonts w:ascii="宋体" w:hAnsi="宋体" w:cs="Courier New"/>
      <w:sz w:val="32"/>
      <w:szCs w:val="32"/>
    </w:rPr>
  </w:style>
  <w:style w:type="paragraph" w:customStyle="1" w:styleId="188">
    <w:name w:val="正文文本样式 加粗"/>
    <w:basedOn w:val="144"/>
    <w:qFormat/>
    <w:uiPriority w:val="0"/>
    <w:rPr>
      <w:b/>
    </w:rPr>
  </w:style>
  <w:style w:type="paragraph" w:customStyle="1" w:styleId="189">
    <w:name w:val="Char2 Char Char Char Char Char Char"/>
    <w:basedOn w:val="1"/>
    <w:qFormat/>
    <w:uiPriority w:val="0"/>
    <w:pPr>
      <w:widowControl/>
      <w:spacing w:line="400" w:lineRule="exact"/>
      <w:jc w:val="center"/>
    </w:pPr>
  </w:style>
  <w:style w:type="paragraph" w:customStyle="1" w:styleId="190">
    <w:name w:val="Char Char4"/>
    <w:basedOn w:val="1"/>
    <w:qFormat/>
    <w:uiPriority w:val="0"/>
    <w:pPr>
      <w:widowControl/>
      <w:spacing w:line="400" w:lineRule="exact"/>
      <w:jc w:val="center"/>
    </w:pPr>
  </w:style>
  <w:style w:type="paragraph" w:customStyle="1" w:styleId="191">
    <w:name w:val="Char3 Char Char Char1"/>
    <w:basedOn w:val="1"/>
    <w:qFormat/>
    <w:uiPriority w:val="0"/>
    <w:rPr>
      <w:rFonts w:ascii="Tahoma" w:hAnsi="Tahoma"/>
      <w:sz w:val="24"/>
      <w:szCs w:val="20"/>
    </w:rPr>
  </w:style>
  <w:style w:type="paragraph" w:styleId="19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94">
    <w:name w:val="中等深浅网格 1 - 强调文字颜色 2 Char"/>
    <w:link w:val="195"/>
    <w:qFormat/>
    <w:uiPriority w:val="0"/>
    <w:rPr>
      <w:kern w:val="2"/>
      <w:sz w:val="21"/>
      <w:szCs w:val="24"/>
      <w:lang w:val="zh-CN" w:eastAsia="zh-CN"/>
    </w:rPr>
  </w:style>
  <w:style w:type="paragraph" w:customStyle="1" w:styleId="195">
    <w:name w:val="1"/>
    <w:link w:val="194"/>
    <w:qFormat/>
    <w:uiPriority w:val="0"/>
    <w:rPr>
      <w:rFonts w:ascii="Times New Roman" w:hAnsi="Times New Roman" w:eastAsia="宋体" w:cs="Times New Roman"/>
      <w:kern w:val="2"/>
      <w:sz w:val="21"/>
      <w:szCs w:val="24"/>
      <w:lang w:val="zh-CN" w:eastAsia="zh-CN" w:bidi="ar-SA"/>
    </w:rPr>
  </w:style>
  <w:style w:type="paragraph" w:customStyle="1" w:styleId="196">
    <w:name w:val="图文"/>
    <w:basedOn w:val="1"/>
    <w:qFormat/>
    <w:uiPriority w:val="0"/>
    <w:pPr>
      <w:adjustRightInd w:val="0"/>
      <w:snapToGrid w:val="0"/>
      <w:spacing w:after="50" w:line="360" w:lineRule="auto"/>
    </w:pPr>
    <w:rPr>
      <w:sz w:val="24"/>
    </w:rPr>
  </w:style>
  <w:style w:type="paragraph" w:customStyle="1" w:styleId="19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98">
    <w:name w:val="正文表格"/>
    <w:basedOn w:val="1"/>
    <w:link w:val="199"/>
    <w:qFormat/>
    <w:uiPriority w:val="0"/>
    <w:pPr>
      <w:adjustRightInd w:val="0"/>
      <w:snapToGrid w:val="0"/>
      <w:jc w:val="left"/>
    </w:pPr>
    <w:rPr>
      <w:rFonts w:ascii="宋体" w:hAnsi="宋体"/>
      <w:color w:val="000000"/>
      <w:szCs w:val="21"/>
    </w:rPr>
  </w:style>
  <w:style w:type="character" w:customStyle="1" w:styleId="199">
    <w:name w:val="正文表格 Char"/>
    <w:link w:val="198"/>
    <w:qFormat/>
    <w:uiPriority w:val="0"/>
    <w:rPr>
      <w:rFonts w:ascii="宋体" w:hAnsi="宋体"/>
      <w:color w:val="000000"/>
      <w:kern w:val="2"/>
      <w:sz w:val="21"/>
      <w:szCs w:val="21"/>
    </w:rPr>
  </w:style>
  <w:style w:type="paragraph" w:customStyle="1" w:styleId="200">
    <w:name w:val="正文重点"/>
    <w:basedOn w:val="1"/>
    <w:link w:val="201"/>
    <w:qFormat/>
    <w:uiPriority w:val="0"/>
    <w:pPr>
      <w:adjustRightInd w:val="0"/>
      <w:spacing w:line="360" w:lineRule="auto"/>
      <w:ind w:firstLine="482" w:firstLineChars="200"/>
      <w:jc w:val="left"/>
      <w:textAlignment w:val="baseline"/>
    </w:pPr>
    <w:rPr>
      <w:b/>
      <w:kern w:val="0"/>
      <w:sz w:val="24"/>
      <w:szCs w:val="20"/>
    </w:rPr>
  </w:style>
  <w:style w:type="character" w:customStyle="1" w:styleId="201">
    <w:name w:val="正文重点 Char"/>
    <w:link w:val="200"/>
    <w:qFormat/>
    <w:uiPriority w:val="0"/>
    <w:rPr>
      <w:b/>
      <w:sz w:val="24"/>
    </w:rPr>
  </w:style>
  <w:style w:type="paragraph" w:customStyle="1" w:styleId="202">
    <w:name w:val="标题1-附件"/>
    <w:basedOn w:val="2"/>
    <w:qFormat/>
    <w:uiPriority w:val="0"/>
    <w:pPr>
      <w:jc w:val="left"/>
    </w:pPr>
    <w:rPr>
      <w:sz w:val="24"/>
      <w:szCs w:val="24"/>
    </w:rPr>
  </w:style>
  <w:style w:type="paragraph" w:customStyle="1" w:styleId="203">
    <w:name w:val="正文小标题"/>
    <w:basedOn w:val="1"/>
    <w:next w:val="4"/>
    <w:link w:val="204"/>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204">
    <w:name w:val="正文小标题 Char"/>
    <w:link w:val="203"/>
    <w:qFormat/>
    <w:uiPriority w:val="0"/>
    <w:rPr>
      <w:rFonts w:ascii="宋体" w:hAnsi="宋体"/>
      <w:b/>
      <w:i/>
      <w:color w:val="FF0000"/>
      <w:kern w:val="2"/>
      <w:sz w:val="24"/>
    </w:rPr>
  </w:style>
  <w:style w:type="paragraph" w:customStyle="1" w:styleId="205">
    <w:name w:val="正文大标题"/>
    <w:basedOn w:val="203"/>
    <w:next w:val="4"/>
    <w:link w:val="206"/>
    <w:qFormat/>
    <w:uiPriority w:val="0"/>
    <w:pPr>
      <w:jc w:val="center"/>
    </w:pPr>
    <w:rPr>
      <w:i w:val="0"/>
      <w:color w:val="000000"/>
      <w:sz w:val="28"/>
      <w:szCs w:val="21"/>
    </w:rPr>
  </w:style>
  <w:style w:type="character" w:customStyle="1" w:styleId="206">
    <w:name w:val="正文大标题 Char"/>
    <w:link w:val="205"/>
    <w:qFormat/>
    <w:uiPriority w:val="0"/>
    <w:rPr>
      <w:rFonts w:ascii="宋体" w:hAnsi="宋体"/>
      <w:b/>
      <w:color w:val="000000"/>
      <w:kern w:val="2"/>
      <w:sz w:val="28"/>
      <w:szCs w:val="21"/>
    </w:rPr>
  </w:style>
  <w:style w:type="paragraph" w:customStyle="1" w:styleId="207">
    <w:name w:val="注释"/>
    <w:basedOn w:val="1"/>
    <w:link w:val="208"/>
    <w:qFormat/>
    <w:uiPriority w:val="0"/>
    <w:pPr>
      <w:adjustRightInd w:val="0"/>
      <w:snapToGrid w:val="0"/>
      <w:ind w:left="420" w:hanging="420" w:hangingChars="200"/>
      <w:jc w:val="left"/>
    </w:pPr>
    <w:rPr>
      <w:rFonts w:ascii="宋体" w:hAnsi="宋体"/>
      <w:szCs w:val="21"/>
    </w:rPr>
  </w:style>
  <w:style w:type="character" w:customStyle="1" w:styleId="208">
    <w:name w:val="注释 Char"/>
    <w:link w:val="207"/>
    <w:qFormat/>
    <w:uiPriority w:val="0"/>
    <w:rPr>
      <w:rFonts w:ascii="宋体" w:hAnsi="宋体"/>
      <w:kern w:val="2"/>
      <w:sz w:val="21"/>
      <w:szCs w:val="21"/>
    </w:rPr>
  </w:style>
  <w:style w:type="paragraph" w:customStyle="1" w:styleId="209">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210">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211">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212">
    <w:name w:val="纯文本 字符"/>
    <w:qFormat/>
    <w:uiPriority w:val="99"/>
    <w:rPr>
      <w:rFonts w:ascii="宋体" w:hAnsi="Courier New" w:eastAsia="宋体" w:cs="Times New Roman"/>
      <w:kern w:val="2"/>
      <w:sz w:val="21"/>
      <w:szCs w:val="21"/>
      <w:lang w:val="en-US" w:eastAsia="zh-CN" w:bidi="ar-SA"/>
    </w:rPr>
  </w:style>
  <w:style w:type="paragraph" w:customStyle="1" w:styleId="213">
    <w:name w:val="表格1"/>
    <w:basedOn w:val="1"/>
    <w:qFormat/>
    <w:uiPriority w:val="0"/>
    <w:pPr>
      <w:ind w:firstLine="480" w:firstLineChars="200"/>
      <w:jc w:val="center"/>
    </w:pPr>
    <w:rPr>
      <w:sz w:val="24"/>
      <w:szCs w:val="20"/>
    </w:rPr>
  </w:style>
  <w:style w:type="character" w:customStyle="1" w:styleId="214">
    <w:name w:val="纯文本 字符1"/>
    <w:qFormat/>
    <w:uiPriority w:val="0"/>
    <w:rPr>
      <w:rFonts w:ascii="宋体" w:hAnsi="Courier New"/>
    </w:rPr>
  </w:style>
  <w:style w:type="character" w:customStyle="1" w:styleId="215">
    <w:name w:val="bjh-p"/>
    <w:qFormat/>
    <w:uiPriority w:val="0"/>
  </w:style>
  <w:style w:type="paragraph" w:customStyle="1" w:styleId="216">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17">
    <w:name w:val="正文格式 Char"/>
    <w:link w:val="218"/>
    <w:qFormat/>
    <w:locked/>
    <w:uiPriority w:val="0"/>
    <w:rPr>
      <w:rFonts w:ascii="宋体" w:hAnsi="宋体"/>
      <w:sz w:val="24"/>
      <w:szCs w:val="24"/>
      <w:lang w:val="en-GB"/>
    </w:rPr>
  </w:style>
  <w:style w:type="paragraph" w:customStyle="1" w:styleId="218">
    <w:name w:val="正文格式"/>
    <w:basedOn w:val="1"/>
    <w:link w:val="217"/>
    <w:qFormat/>
    <w:uiPriority w:val="0"/>
    <w:pPr>
      <w:spacing w:beforeLines="50" w:line="360" w:lineRule="auto"/>
      <w:ind w:firstLine="480" w:firstLineChars="200"/>
    </w:pPr>
    <w:rPr>
      <w:rFonts w:ascii="宋体" w:hAnsi="宋体"/>
      <w:kern w:val="0"/>
      <w:sz w:val="24"/>
      <w:lang w:val="en-GB"/>
    </w:rPr>
  </w:style>
  <w:style w:type="character" w:customStyle="1" w:styleId="219">
    <w:name w:val="标题 3 Char"/>
    <w:qFormat/>
    <w:uiPriority w:val="0"/>
    <w:rPr>
      <w:rFonts w:ascii="宋体" w:eastAsia="宋体"/>
      <w:b/>
      <w:sz w:val="24"/>
      <w:u w:val="single"/>
      <w:lang w:val="en-US" w:eastAsia="zh-CN" w:bidi="ar-SA"/>
    </w:rPr>
  </w:style>
  <w:style w:type="character" w:customStyle="1" w:styleId="220">
    <w:name w:val="正文缩进 Char"/>
    <w:qFormat/>
    <w:uiPriority w:val="0"/>
    <w:rPr>
      <w:rFonts w:ascii="宋体" w:eastAsia="宋体"/>
      <w:kern w:val="2"/>
      <w:sz w:val="24"/>
      <w:szCs w:val="24"/>
      <w:lang w:val="en-US" w:eastAsia="zh-CN" w:bidi="ar-SA"/>
    </w:rPr>
  </w:style>
  <w:style w:type="character" w:customStyle="1" w:styleId="221">
    <w:name w:val="Char Char111"/>
    <w:qFormat/>
    <w:uiPriority w:val="0"/>
    <w:rPr>
      <w:rFonts w:ascii="宋体" w:eastAsia="宋体"/>
      <w:b/>
      <w:sz w:val="24"/>
      <w:u w:val="single"/>
      <w:lang w:val="en-US" w:eastAsia="zh-CN" w:bidi="ar-SA"/>
    </w:rPr>
  </w:style>
  <w:style w:type="character" w:customStyle="1" w:styleId="222">
    <w:name w:val="正文文本缩进 Char"/>
    <w:qFormat/>
    <w:uiPriority w:val="0"/>
    <w:rPr>
      <w:rFonts w:eastAsia="宋体"/>
      <w:kern w:val="2"/>
      <w:sz w:val="24"/>
      <w:szCs w:val="24"/>
      <w:lang w:val="en-US" w:eastAsia="zh-CN" w:bidi="ar-SA"/>
    </w:rPr>
  </w:style>
  <w:style w:type="character" w:customStyle="1" w:styleId="223">
    <w:name w:val="列出段落 Char"/>
    <w:qFormat/>
    <w:uiPriority w:val="0"/>
    <w:rPr>
      <w:rFonts w:ascii="Calibri" w:hAnsi="Calibri" w:eastAsia="宋体"/>
      <w:kern w:val="2"/>
      <w:sz w:val="21"/>
      <w:szCs w:val="22"/>
      <w:lang w:val="en-US" w:eastAsia="zh-CN" w:bidi="ar-SA"/>
    </w:rPr>
  </w:style>
  <w:style w:type="character" w:customStyle="1" w:styleId="224">
    <w:name w:val="页眉 Char"/>
    <w:qFormat/>
    <w:uiPriority w:val="0"/>
    <w:rPr>
      <w:rFonts w:eastAsia="宋体"/>
      <w:kern w:val="2"/>
      <w:sz w:val="18"/>
      <w:szCs w:val="18"/>
      <w:lang w:val="en-US" w:eastAsia="zh-CN" w:bidi="ar-SA"/>
    </w:rPr>
  </w:style>
  <w:style w:type="character" w:customStyle="1" w:styleId="225">
    <w:name w:val="标题 2 Char"/>
    <w:qFormat/>
    <w:uiPriority w:val="0"/>
    <w:rPr>
      <w:rFonts w:ascii="Arial" w:hAnsi="Arial" w:eastAsia="黑体"/>
      <w:b/>
      <w:sz w:val="30"/>
      <w:lang w:val="en-US" w:eastAsia="zh-CN" w:bidi="ar-SA"/>
    </w:rPr>
  </w:style>
  <w:style w:type="paragraph" w:customStyle="1" w:styleId="226">
    <w:name w:val="字元 字元2"/>
    <w:basedOn w:val="1"/>
    <w:qFormat/>
    <w:uiPriority w:val="0"/>
    <w:rPr>
      <w:rFonts w:ascii="Tahoma" w:hAnsi="Tahoma"/>
      <w:sz w:val="24"/>
      <w:szCs w:val="20"/>
    </w:rPr>
  </w:style>
  <w:style w:type="paragraph" w:customStyle="1" w:styleId="227">
    <w:name w:val="Char3 Char Char Char2"/>
    <w:basedOn w:val="1"/>
    <w:qFormat/>
    <w:uiPriority w:val="0"/>
    <w:rPr>
      <w:rFonts w:ascii="Tahoma" w:hAnsi="Tahoma"/>
      <w:sz w:val="24"/>
      <w:szCs w:val="20"/>
    </w:rPr>
  </w:style>
  <w:style w:type="paragraph" w:customStyle="1" w:styleId="228">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29">
    <w:name w:val="Char3"/>
    <w:basedOn w:val="1"/>
    <w:qFormat/>
    <w:uiPriority w:val="0"/>
    <w:pPr>
      <w:tabs>
        <w:tab w:val="left" w:pos="360"/>
      </w:tabs>
    </w:pPr>
    <w:rPr>
      <w:sz w:val="24"/>
    </w:rPr>
  </w:style>
  <w:style w:type="paragraph" w:customStyle="1" w:styleId="230">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31">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2">
    <w:name w:val="列出段落2"/>
    <w:basedOn w:val="1"/>
    <w:qFormat/>
    <w:uiPriority w:val="0"/>
    <w:pPr>
      <w:ind w:firstLine="420" w:firstLineChars="200"/>
    </w:pPr>
    <w:rPr>
      <w:rFonts w:ascii="Calibri" w:hAnsi="Calibri"/>
      <w:szCs w:val="22"/>
    </w:rPr>
  </w:style>
  <w:style w:type="paragraph" w:customStyle="1" w:styleId="233">
    <w:name w:val="Char Char Char1 Char2"/>
    <w:basedOn w:val="1"/>
    <w:qFormat/>
    <w:uiPriority w:val="0"/>
    <w:rPr>
      <w:rFonts w:ascii="Tahoma" w:hAnsi="Tahoma"/>
      <w:sz w:val="24"/>
      <w:szCs w:val="20"/>
    </w:rPr>
  </w:style>
  <w:style w:type="paragraph" w:customStyle="1" w:styleId="234">
    <w:name w:val="Char Char Char2"/>
    <w:basedOn w:val="1"/>
    <w:qFormat/>
    <w:uiPriority w:val="0"/>
    <w:rPr>
      <w:rFonts w:ascii="Tahoma" w:hAnsi="Tahoma"/>
      <w:sz w:val="24"/>
      <w:szCs w:val="20"/>
    </w:rPr>
  </w:style>
  <w:style w:type="paragraph" w:customStyle="1" w:styleId="235">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36">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37">
    <w:name w:val="Revision"/>
    <w:qFormat/>
    <w:uiPriority w:val="0"/>
    <w:rPr>
      <w:rFonts w:ascii="Times New Roman" w:hAnsi="Times New Roman" w:eastAsia="宋体" w:cs="Times New Roman"/>
      <w:kern w:val="2"/>
      <w:sz w:val="21"/>
      <w:szCs w:val="24"/>
      <w:lang w:val="en-US" w:eastAsia="zh-CN" w:bidi="ar-SA"/>
    </w:rPr>
  </w:style>
  <w:style w:type="paragraph" w:customStyle="1" w:styleId="238">
    <w:name w:val="Char22"/>
    <w:basedOn w:val="1"/>
    <w:qFormat/>
    <w:uiPriority w:val="0"/>
    <w:rPr>
      <w:rFonts w:ascii="Tahoma" w:hAnsi="Tahoma"/>
      <w:sz w:val="24"/>
      <w:szCs w:val="20"/>
    </w:rPr>
  </w:style>
  <w:style w:type="paragraph" w:customStyle="1" w:styleId="239">
    <w:name w:val="Char Char Char Char Char Char Char Char Char Char2"/>
    <w:basedOn w:val="1"/>
    <w:qFormat/>
    <w:uiPriority w:val="0"/>
    <w:rPr>
      <w:rFonts w:ascii="宋体" w:hAnsi="宋体" w:cs="Courier New"/>
      <w:sz w:val="32"/>
      <w:szCs w:val="32"/>
    </w:rPr>
  </w:style>
  <w:style w:type="paragraph" w:customStyle="1" w:styleId="240">
    <w:name w:val="Char2 Char Char Char Char Char Char1"/>
    <w:basedOn w:val="1"/>
    <w:qFormat/>
    <w:uiPriority w:val="0"/>
    <w:pPr>
      <w:widowControl/>
      <w:spacing w:line="400" w:lineRule="exact"/>
      <w:jc w:val="center"/>
    </w:pPr>
  </w:style>
  <w:style w:type="character" w:customStyle="1" w:styleId="241">
    <w:name w:val="页脚 Char"/>
    <w:qFormat/>
    <w:uiPriority w:val="0"/>
    <w:rPr>
      <w:rFonts w:ascii="宋体" w:eastAsia="宋体"/>
      <w:sz w:val="18"/>
      <w:lang w:val="en-US" w:eastAsia="zh-CN" w:bidi="ar-SA"/>
    </w:rPr>
  </w:style>
  <w:style w:type="paragraph" w:customStyle="1" w:styleId="242">
    <w:name w:val="Char Char41"/>
    <w:basedOn w:val="1"/>
    <w:qFormat/>
    <w:uiPriority w:val="0"/>
    <w:pPr>
      <w:widowControl/>
      <w:spacing w:line="400" w:lineRule="exact"/>
      <w:jc w:val="center"/>
    </w:pPr>
  </w:style>
  <w:style w:type="character" w:customStyle="1" w:styleId="243">
    <w:name w:val="批注文字 Char"/>
    <w:qFormat/>
    <w:uiPriority w:val="99"/>
    <w:rPr>
      <w:kern w:val="2"/>
      <w:sz w:val="21"/>
      <w:szCs w:val="24"/>
    </w:rPr>
  </w:style>
  <w:style w:type="character" w:customStyle="1" w:styleId="244">
    <w:name w:val="标题 Char"/>
    <w:qFormat/>
    <w:uiPriority w:val="0"/>
    <w:rPr>
      <w:b/>
      <w:kern w:val="2"/>
      <w:sz w:val="32"/>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table" w:customStyle="1" w:styleId="246">
    <w:name w:val="Table Normal"/>
    <w:unhideWhenUsed/>
    <w:qFormat/>
    <w:uiPriority w:val="2"/>
    <w:pPr>
      <w:widowControl w:val="0"/>
      <w:autoSpaceDE w:val="0"/>
      <w:autoSpaceDN w:val="0"/>
    </w:pPr>
    <w:rPr>
      <w:rFonts w:ascii="Calibri" w:hAnsi="Calibri"/>
      <w:sz w:val="22"/>
      <w:szCs w:val="22"/>
      <w:lang w:val="en-US" w:eastAsia="en-US" w:bidi="ar-SA"/>
    </w:rPr>
    <w:tblPr>
      <w:tblCellMar>
        <w:top w:w="0" w:type="dxa"/>
        <w:left w:w="0" w:type="dxa"/>
        <w:bottom w:w="0" w:type="dxa"/>
        <w:right w:w="0" w:type="dxa"/>
      </w:tblCellMar>
    </w:tbl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49">
    <w:name w:val="cf01"/>
    <w:qFormat/>
    <w:uiPriority w:val="0"/>
    <w:rPr>
      <w:rFonts w:hint="eastAsia" w:ascii="Microsoft YaHei UI" w:hAnsi="Microsoft YaHei UI" w:eastAsia="Microsoft YaHei UI"/>
      <w:sz w:val="18"/>
      <w:szCs w:val="18"/>
    </w:rPr>
  </w:style>
  <w:style w:type="character" w:customStyle="1" w:styleId="250">
    <w:name w:val="cf21"/>
    <w:qFormat/>
    <w:uiPriority w:val="0"/>
    <w:rPr>
      <w:rFonts w:hint="eastAsia" w:ascii="Microsoft YaHei UI" w:hAnsi="Microsoft YaHei UI" w:eastAsia="Microsoft YaHei UI"/>
      <w:sz w:val="18"/>
      <w:szCs w:val="18"/>
      <w:shd w:val="clear" w:color="auto" w:fill="FFFFFF"/>
    </w:rPr>
  </w:style>
  <w:style w:type="character" w:customStyle="1" w:styleId="251">
    <w:name w:val="cf11"/>
    <w:qFormat/>
    <w:uiPriority w:val="0"/>
    <w:rPr>
      <w:rFonts w:hint="eastAsia" w:ascii="Microsoft YaHei UI" w:hAnsi="Microsoft YaHei UI" w:eastAsia="Microsoft YaHei UI"/>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74</Pages>
  <Words>2520</Words>
  <Characters>2908</Characters>
  <Lines>275</Lines>
  <Paragraphs>77</Paragraphs>
  <TotalTime>57</TotalTime>
  <ScaleCrop>false</ScaleCrop>
  <LinksUpToDate>false</LinksUpToDate>
  <CharactersWithSpaces>2994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2024-06-04T17:36:00Z</dcterms:created>
  <dc:creator>Yin Hao</dc:creator>
  <cp:lastModifiedBy>解解解大仁</cp:lastModifiedBy>
  <cp:lastPrinted>2020-04-01T11:13:00Z</cp:lastPrinted>
  <dcterms:modified xsi:type="dcterms:W3CDTF">2026-08-19T12:30:21Z</dcterms:modified>
  <dc:title>政府采购示范文本（2023）</dc:title>
  <cp:revision>1191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D7804FCA254F4DEC83224DCC759F55D4_13</vt:lpwstr>
  </property>
  <property fmtid="{D5CDD505-2E9C-101B-9397-08002B2CF9AE}" pid="4" name="KSOTemplateDocerSaveRecord">
    <vt:lpwstr>eyJoZGlkIjoiMDYwMzc1MjBlYTQ5NDA5ZmMyZTJlNTNhYTVmZWM0NzIiLCJ1c2VySWQiOiI0Mzc1NDEzMTkifQ==</vt:lpwstr>
  </property>
</Properties>
</file>