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187B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313" w:afterLines="100" w:line="360" w:lineRule="auto"/>
        <w:jc w:val="center"/>
        <w:textAlignment w:val="auto"/>
        <w:rPr>
          <w:rFonts w:hint="eastAsia" w:ascii="宋体" w:hAnsi="宋体" w:eastAsia="宋体" w:cs="宋体"/>
        </w:rPr>
      </w:pPr>
      <w:bookmarkStart w:id="0" w:name="_Toc35393809"/>
      <w:bookmarkStart w:id="1" w:name="_Toc28359022"/>
      <w:r>
        <w:rPr>
          <w:rFonts w:hint="eastAsia" w:ascii="宋体" w:hAnsi="宋体" w:eastAsia="宋体" w:cs="宋体"/>
        </w:rPr>
        <w:t>中标</w:t>
      </w:r>
      <w:bookmarkStart w:id="2" w:name="_GoBack"/>
      <w:bookmarkEnd w:id="2"/>
      <w:r>
        <w:rPr>
          <w:rFonts w:hint="eastAsia" w:ascii="宋体" w:hAnsi="宋体" w:eastAsia="宋体" w:cs="宋体"/>
        </w:rPr>
        <w:t>结果公告</w:t>
      </w:r>
      <w:bookmarkEnd w:id="0"/>
      <w:bookmarkEnd w:id="1"/>
    </w:p>
    <w:p w14:paraId="5E6F85E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一、项目编号：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"http://219.232.204.193:8080/frontend/plan/project_detail.html?projectUuid=704dd076-1a57-4590-a0f8-651d4f734ffd&amp;viewMode=accept"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11011526210200034484-XM001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 w14:paraId="4E096E79">
      <w:pPr>
        <w:spacing w:line="360" w:lineRule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二、项目名称：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2026-2027年北京市第四中学永定湾校区供暖服务项目</w:t>
      </w:r>
    </w:p>
    <w:p w14:paraId="0260228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三、中标（成交）信息</w:t>
      </w:r>
    </w:p>
    <w:p w14:paraId="480BDA7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供应商名称：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北京润源泽能源科技有限公司</w:t>
      </w:r>
    </w:p>
    <w:p w14:paraId="5FE5B9E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供应商地址：北京市延庆区中关村延庆园长城路2号楼C座178室</w:t>
      </w:r>
    </w:p>
    <w:p w14:paraId="3FACEC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中标（成交）金额：139.711932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609C1CC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四、主要标的信息</w:t>
      </w:r>
    </w:p>
    <w:tbl>
      <w:tblPr>
        <w:tblStyle w:val="7"/>
        <w:tblW w:w="84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7"/>
      </w:tblGrid>
      <w:tr w14:paraId="6A410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7" w:type="dxa"/>
          </w:tcPr>
          <w:p w14:paraId="682816B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服务类</w:t>
            </w:r>
          </w:p>
        </w:tc>
      </w:tr>
      <w:tr w14:paraId="25BD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7" w:type="dxa"/>
          </w:tcPr>
          <w:p w14:paraId="6DAD0C58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2026-2027年北京市第四中学永定湾校区供暖服务项目</w:t>
            </w:r>
          </w:p>
          <w:p w14:paraId="64C3C0A3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范围：为学校提供锅炉房运行冬季供暖、为锅炉房设备及内管线和外管网、附属设施提供维修、维护、保养服务（含：维修零配件及抢修产生的所有费用）；为供暖管井、暖沟等部位修补孔洞，提供清淤、排水、上油、定期检查维修等养护工作</w:t>
            </w:r>
          </w:p>
          <w:p w14:paraId="64E87A74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服务要求：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详见招标文件</w:t>
            </w:r>
          </w:p>
          <w:p w14:paraId="4B90C39C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服务时间：自2026年11月3日起至2027年11月2日止</w:t>
            </w:r>
          </w:p>
          <w:p w14:paraId="1DE48177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服务标准：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详见招标文件</w:t>
            </w:r>
          </w:p>
        </w:tc>
      </w:tr>
    </w:tbl>
    <w:p w14:paraId="4072ABCB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五、评审专家（单一来源采购人员）名单：张建立、班春刚、邓宏水、姜娜、王健</w:t>
      </w:r>
    </w:p>
    <w:p w14:paraId="5297BE59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六、代理服务收费标准及金额：</w:t>
      </w:r>
    </w:p>
    <w:p w14:paraId="43A5A2F1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1、收费标注：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招标代理服务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以中标价为基数,按差额定率累进法计算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；按（□货物类√服务类□工程类）向中标人收取。</w:t>
      </w:r>
    </w:p>
    <w:tbl>
      <w:tblPr>
        <w:tblStyle w:val="6"/>
        <w:tblW w:w="6632" w:type="dxa"/>
        <w:tblCellSpacing w:w="0" w:type="dxa"/>
        <w:tblInd w:w="-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9"/>
        <w:gridCol w:w="1531"/>
        <w:gridCol w:w="1531"/>
        <w:gridCol w:w="1531"/>
      </w:tblGrid>
      <w:tr w14:paraId="519396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22F675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8890</wp:posOffset>
                      </wp:positionV>
                      <wp:extent cx="1289685" cy="447675"/>
                      <wp:effectExtent l="1270" t="4445" r="4445" b="508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9685" cy="447675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0.7pt;margin-top:0.7pt;height:35.25pt;width:101.55pt;z-index:251659264;mso-width-relative:page;mso-height-relative:page;" filled="f" stroked="t" coordsize="21600,21600" o:gfxdata="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SVPIf1QAAAAcBAAAPAAAAAAAAAAEAIAAAACIAAABkcnMv&#10;ZG93bnJldi54bWxQSwECFAAUAAAACACHTuJAM7b08gYCAAD7AwAADgAAAAAAAAABACAAAAAkAQAA&#10;ZHJzL2Uyb0RvYy54bWxQSwUGAAAAAAYABgBZAQAAnAU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服务类型</w:t>
            </w:r>
          </w:p>
          <w:p w14:paraId="1AF4ED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中标金额（万元）</w:t>
            </w:r>
          </w:p>
        </w:tc>
        <w:tc>
          <w:tcPr>
            <w:tcW w:w="1531" w:type="dxa"/>
            <w:noWrap w:val="0"/>
            <w:vAlign w:val="center"/>
          </w:tcPr>
          <w:p w14:paraId="54FDBF0F">
            <w:pPr>
              <w:pStyle w:val="5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货物招标</w:t>
            </w:r>
          </w:p>
        </w:tc>
        <w:tc>
          <w:tcPr>
            <w:tcW w:w="1531" w:type="dxa"/>
            <w:noWrap w:val="0"/>
            <w:vAlign w:val="center"/>
          </w:tcPr>
          <w:p w14:paraId="3CB4F8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服务招标</w:t>
            </w:r>
          </w:p>
        </w:tc>
        <w:tc>
          <w:tcPr>
            <w:tcW w:w="1531" w:type="dxa"/>
            <w:noWrap w:val="0"/>
            <w:vAlign w:val="center"/>
          </w:tcPr>
          <w:p w14:paraId="44B0F1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工程招标</w:t>
            </w:r>
          </w:p>
        </w:tc>
      </w:tr>
      <w:tr w14:paraId="7F48F7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3BE298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100以下</w:t>
            </w:r>
          </w:p>
        </w:tc>
        <w:tc>
          <w:tcPr>
            <w:tcW w:w="1531" w:type="dxa"/>
            <w:noWrap w:val="0"/>
            <w:vAlign w:val="center"/>
          </w:tcPr>
          <w:p w14:paraId="6EBB5D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1.5％</w:t>
            </w:r>
          </w:p>
        </w:tc>
        <w:tc>
          <w:tcPr>
            <w:tcW w:w="1531" w:type="dxa"/>
            <w:noWrap w:val="0"/>
            <w:vAlign w:val="center"/>
          </w:tcPr>
          <w:p w14:paraId="6C155A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1.5％</w:t>
            </w:r>
          </w:p>
        </w:tc>
        <w:tc>
          <w:tcPr>
            <w:tcW w:w="1531" w:type="dxa"/>
            <w:noWrap w:val="0"/>
            <w:vAlign w:val="center"/>
          </w:tcPr>
          <w:p w14:paraId="66F18B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1.0％</w:t>
            </w:r>
          </w:p>
        </w:tc>
      </w:tr>
      <w:tr w14:paraId="4A0AB5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7CF43E8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100—500</w:t>
            </w:r>
          </w:p>
        </w:tc>
        <w:tc>
          <w:tcPr>
            <w:tcW w:w="1531" w:type="dxa"/>
            <w:noWrap w:val="0"/>
            <w:vAlign w:val="center"/>
          </w:tcPr>
          <w:p w14:paraId="18FE0A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1.1％</w:t>
            </w:r>
          </w:p>
        </w:tc>
        <w:tc>
          <w:tcPr>
            <w:tcW w:w="1531" w:type="dxa"/>
            <w:noWrap w:val="0"/>
            <w:vAlign w:val="center"/>
          </w:tcPr>
          <w:p w14:paraId="665166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0.8％</w:t>
            </w:r>
          </w:p>
        </w:tc>
        <w:tc>
          <w:tcPr>
            <w:tcW w:w="1531" w:type="dxa"/>
            <w:noWrap w:val="0"/>
            <w:vAlign w:val="center"/>
          </w:tcPr>
          <w:p w14:paraId="439668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0.7％</w:t>
            </w:r>
          </w:p>
        </w:tc>
      </w:tr>
      <w:tr w14:paraId="44FBF2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0EB1C40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500—1000</w:t>
            </w:r>
          </w:p>
        </w:tc>
        <w:tc>
          <w:tcPr>
            <w:tcW w:w="1531" w:type="dxa"/>
            <w:noWrap w:val="0"/>
            <w:vAlign w:val="center"/>
          </w:tcPr>
          <w:p w14:paraId="792C9C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0.8％</w:t>
            </w:r>
          </w:p>
        </w:tc>
        <w:tc>
          <w:tcPr>
            <w:tcW w:w="1531" w:type="dxa"/>
            <w:noWrap w:val="0"/>
            <w:vAlign w:val="center"/>
          </w:tcPr>
          <w:p w14:paraId="27AC58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0.45％</w:t>
            </w:r>
          </w:p>
        </w:tc>
        <w:tc>
          <w:tcPr>
            <w:tcW w:w="1531" w:type="dxa"/>
            <w:noWrap w:val="0"/>
            <w:vAlign w:val="center"/>
          </w:tcPr>
          <w:p w14:paraId="7FFCFB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0.55％</w:t>
            </w:r>
          </w:p>
        </w:tc>
      </w:tr>
      <w:tr w14:paraId="4E1193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35C45BC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1000—5000</w:t>
            </w:r>
          </w:p>
        </w:tc>
        <w:tc>
          <w:tcPr>
            <w:tcW w:w="1531" w:type="dxa"/>
            <w:noWrap w:val="0"/>
            <w:vAlign w:val="center"/>
          </w:tcPr>
          <w:p w14:paraId="677A11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0.5％</w:t>
            </w:r>
          </w:p>
        </w:tc>
        <w:tc>
          <w:tcPr>
            <w:tcW w:w="1531" w:type="dxa"/>
            <w:noWrap w:val="0"/>
            <w:vAlign w:val="center"/>
          </w:tcPr>
          <w:p w14:paraId="2E99E9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0.25％</w:t>
            </w:r>
          </w:p>
        </w:tc>
        <w:tc>
          <w:tcPr>
            <w:tcW w:w="1531" w:type="dxa"/>
            <w:noWrap w:val="0"/>
            <w:vAlign w:val="center"/>
          </w:tcPr>
          <w:p w14:paraId="6551FF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0.35％</w:t>
            </w:r>
          </w:p>
        </w:tc>
      </w:tr>
      <w:tr w14:paraId="61514F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7BAAD1D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5000—10000</w:t>
            </w:r>
          </w:p>
        </w:tc>
        <w:tc>
          <w:tcPr>
            <w:tcW w:w="1531" w:type="dxa"/>
            <w:noWrap w:val="0"/>
            <w:vAlign w:val="center"/>
          </w:tcPr>
          <w:p w14:paraId="35EEA7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0.25％</w:t>
            </w:r>
          </w:p>
        </w:tc>
        <w:tc>
          <w:tcPr>
            <w:tcW w:w="1531" w:type="dxa"/>
            <w:noWrap w:val="0"/>
            <w:vAlign w:val="center"/>
          </w:tcPr>
          <w:p w14:paraId="6A67E2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0.1％</w:t>
            </w:r>
          </w:p>
        </w:tc>
        <w:tc>
          <w:tcPr>
            <w:tcW w:w="1531" w:type="dxa"/>
            <w:noWrap w:val="0"/>
            <w:vAlign w:val="center"/>
          </w:tcPr>
          <w:p w14:paraId="649EE3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0.2％</w:t>
            </w:r>
          </w:p>
        </w:tc>
      </w:tr>
      <w:tr w14:paraId="6E470A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4C1CBA2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10000——100000</w:t>
            </w:r>
          </w:p>
        </w:tc>
        <w:tc>
          <w:tcPr>
            <w:tcW w:w="1531" w:type="dxa"/>
            <w:noWrap w:val="0"/>
            <w:vAlign w:val="center"/>
          </w:tcPr>
          <w:p w14:paraId="616CD2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0.05％</w:t>
            </w:r>
          </w:p>
        </w:tc>
        <w:tc>
          <w:tcPr>
            <w:tcW w:w="1531" w:type="dxa"/>
            <w:noWrap w:val="0"/>
            <w:vAlign w:val="center"/>
          </w:tcPr>
          <w:p w14:paraId="6D2E00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0.05％</w:t>
            </w:r>
          </w:p>
        </w:tc>
        <w:tc>
          <w:tcPr>
            <w:tcW w:w="1531" w:type="dxa"/>
            <w:noWrap w:val="0"/>
            <w:vAlign w:val="center"/>
          </w:tcPr>
          <w:p w14:paraId="56EB12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0.05％</w:t>
            </w:r>
          </w:p>
        </w:tc>
      </w:tr>
      <w:tr w14:paraId="52E501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tblCellSpacing w:w="0" w:type="dxa"/>
        </w:trPr>
        <w:tc>
          <w:tcPr>
            <w:tcW w:w="2039" w:type="dxa"/>
            <w:noWrap w:val="0"/>
            <w:vAlign w:val="center"/>
          </w:tcPr>
          <w:p w14:paraId="57263B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1000000以上</w:t>
            </w:r>
          </w:p>
        </w:tc>
        <w:tc>
          <w:tcPr>
            <w:tcW w:w="1531" w:type="dxa"/>
            <w:noWrap w:val="0"/>
            <w:vAlign w:val="center"/>
          </w:tcPr>
          <w:p w14:paraId="7EDAF5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0.01％</w:t>
            </w:r>
          </w:p>
        </w:tc>
        <w:tc>
          <w:tcPr>
            <w:tcW w:w="1531" w:type="dxa"/>
            <w:noWrap w:val="0"/>
            <w:vAlign w:val="center"/>
          </w:tcPr>
          <w:p w14:paraId="19A74D4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0.01％</w:t>
            </w:r>
          </w:p>
        </w:tc>
        <w:tc>
          <w:tcPr>
            <w:tcW w:w="1531" w:type="dxa"/>
            <w:noWrap w:val="0"/>
            <w:vAlign w:val="center"/>
          </w:tcPr>
          <w:p w14:paraId="7C2A3F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0.01％</w:t>
            </w:r>
          </w:p>
        </w:tc>
      </w:tr>
    </w:tbl>
    <w:p w14:paraId="0322BEE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注：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招标代理服务收费按差额定率累进法计算。例如：某工程招标代理业务中标金额为6000万元，计算招标代理服务费额如下：</w:t>
      </w:r>
    </w:p>
    <w:p w14:paraId="7D6A3491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   100万元×1.0％＝1万元</w:t>
      </w:r>
    </w:p>
    <w:p w14:paraId="56BC171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    （500－100）万元×0.7％＝2.8万元</w:t>
      </w:r>
    </w:p>
    <w:p w14:paraId="184C8BA3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    （1000－500）万元×0.55％＝2.75万元</w:t>
      </w:r>
    </w:p>
    <w:p w14:paraId="0E8DF39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    （5000－1000）万元×0.35％＝14万元</w:t>
      </w:r>
    </w:p>
    <w:p w14:paraId="699EF76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    （6000－5000）万元×0.2％＝2万元</w:t>
      </w:r>
    </w:p>
    <w:p w14:paraId="791D9882">
      <w:pPr>
        <w:spacing w:line="360" w:lineRule="auto"/>
        <w:ind w:firstLine="84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合计收费＝1＋2.8＋2.75＋14＋2</w:t>
      </w:r>
    </w:p>
    <w:p w14:paraId="114A1C16">
      <w:pPr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2：收费金额：1.817695万元</w:t>
      </w:r>
    </w:p>
    <w:p w14:paraId="6549059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七、公告期限</w:t>
      </w:r>
    </w:p>
    <w:p w14:paraId="1AA3C06E"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自本公告发布之日起1个工作日。</w:t>
      </w:r>
    </w:p>
    <w:p w14:paraId="09E821F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163185" cy="5538470"/>
            <wp:effectExtent l="0" t="0" r="1841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3185" cy="553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B0558"/>
    <w:rsid w:val="12665599"/>
    <w:rsid w:val="14CB5B87"/>
    <w:rsid w:val="2D340315"/>
    <w:rsid w:val="31440B67"/>
    <w:rsid w:val="415E0726"/>
    <w:rsid w:val="7ADB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2026-09-15T08:09:02Z</dcterms:created>
  <dc:creator>Administrator</dc:creator>
  <cp:lastModifiedBy>111</cp:lastModifiedBy>
  <dcterms:modified xsi:type="dcterms:W3CDTF">2026-09-15T08:15:11Z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eyJoZGlkIjoiNTNjYzQ0NTczMjhlOWU4YTc4YmFmZjBiODI0NGJmNGEiLCJ1c2VySWQiOiIzOTY0MjA2MDAifQ==</vt:lpwstr>
  </property>
  <property fmtid="{D5CDD505-2E9C-101B-9397-08002B2CF9AE}" pid="4" name="ICV">
    <vt:lpwstr>9557171D462B43CA9243BD727947E84F_12</vt:lpwstr>
  </property>
</Properties>
</file>