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42E161D">
      <w:pPr>
        <w:widowControl/>
        <w:jc w:val="center"/>
        <w:rPr>
          <w:rFonts w:eastAsiaTheme="minorEastAsia"/>
        </w:rPr>
        <w:sectPr>
          <w:headerReference r:id="rId3" w:type="default"/>
          <w:type w:val="nextColumn"/>
          <w:pgSz w:w="11906" w:h="16838"/>
          <w:pgMar w:top="1418" w:right="745" w:bottom="1418" w:left="1081" w:header="851" w:footer="992" w:gutter="0"/>
          <w:cols w:space="425" w:num="1"/>
          <w:docGrid w:linePitch="312" w:charSpace="0"/>
        </w:sectPr>
      </w:pPr>
      <w:r>
        <w:drawing>
          <wp:inline distT="0" distB="0" distL="114300" distR="114300">
            <wp:extent cx="6694805" cy="9004935"/>
            <wp:effectExtent l="0" t="0" r="10795" b="5715"/>
            <wp:docPr id="1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
                    <pic:cNvPicPr>
                      <a:picLocks noChangeAspect="1"/>
                    </pic:cNvPicPr>
                  </pic:nvPicPr>
                  <pic:blipFill>
                    <a:blip r:embed="rId36"/>
                    <a:stretch>
                      <a:fillRect/>
                    </a:stretch>
                  </pic:blipFill>
                  <pic:spPr>
                    <a:xfrm>
                      <a:off x="0" y="0"/>
                      <a:ext cx="6694805" cy="9004935"/>
                    </a:xfrm>
                    <a:prstGeom prst="rect">
                      <a:avLst/>
                    </a:prstGeom>
                    <a:noFill/>
                    <a:ln>
                      <a:noFill/>
                    </a:ln>
                  </pic:spPr>
                </pic:pic>
              </a:graphicData>
            </a:graphic>
          </wp:inline>
        </w:drawing>
      </w:r>
      <w:r>
        <w:rPr>
          <w:rFonts w:eastAsiaTheme="minorEastAsia"/>
          <w:b/>
          <w:bCs/>
          <w:sz w:val="44"/>
        </w:rPr>
        <w:br w:type="page"/>
      </w:r>
    </w:p>
    <w:p w14:paraId="3C160562">
      <w:pPr>
        <w:pStyle w:val="158"/>
        <w:spacing w:line="360" w:lineRule="auto"/>
        <w:ind w:firstLine="723" w:firstLineChars="200"/>
        <w:rPr>
          <w:rFonts w:hint="eastAsia" w:eastAsiaTheme="minorEastAsia"/>
          <w:b/>
          <w:sz w:val="36"/>
          <w:szCs w:val="36"/>
        </w:rPr>
      </w:pPr>
      <w:bookmarkStart w:id="0" w:name="_Toc74227630"/>
    </w:p>
    <w:bookmarkEnd w:id="0"/>
    <w:p w14:paraId="06C51EB1">
      <w:pPr>
        <w:pStyle w:val="158"/>
        <w:spacing w:line="360" w:lineRule="auto"/>
        <w:rPr>
          <w:rFonts w:ascii="Times New Roman" w:hAnsi="Times New Roman" w:cs="Times New Roman" w:eastAsiaTheme="minorEastAsia"/>
        </w:rPr>
      </w:pPr>
    </w:p>
    <w:p w14:paraId="70641762">
      <w:pPr>
        <w:spacing w:line="360" w:lineRule="auto"/>
        <w:jc w:val="center"/>
        <w:outlineLvl w:val="0"/>
        <w:rPr>
          <w:rFonts w:eastAsiaTheme="minorEastAsia"/>
          <w:b/>
          <w:sz w:val="36"/>
          <w:szCs w:val="36"/>
        </w:rPr>
      </w:pPr>
      <w:r>
        <w:rPr>
          <w:rFonts w:eastAsiaTheme="minorEastAsia"/>
          <w:b/>
          <w:sz w:val="36"/>
          <w:szCs w:val="36"/>
        </w:rPr>
        <w:t>目      录</w:t>
      </w:r>
    </w:p>
    <w:p w14:paraId="558A7805">
      <w:pPr>
        <w:rPr>
          <w:rFonts w:eastAsiaTheme="minorEastAsia"/>
        </w:rPr>
      </w:pPr>
    </w:p>
    <w:p w14:paraId="304AA12D">
      <w:pPr>
        <w:rPr>
          <w:rFonts w:eastAsiaTheme="minorEastAsia"/>
        </w:rPr>
      </w:pPr>
    </w:p>
    <w:p w14:paraId="7A13457F">
      <w:pPr>
        <w:rPr>
          <w:rFonts w:eastAsiaTheme="minorEastAsia"/>
        </w:rPr>
      </w:pPr>
    </w:p>
    <w:p w14:paraId="3F4950C5">
      <w:pPr>
        <w:rPr>
          <w:rFonts w:eastAsiaTheme="minorEastAsia"/>
        </w:rPr>
      </w:pPr>
    </w:p>
    <w:p w14:paraId="3F470819">
      <w:pPr>
        <w:pStyle w:val="30"/>
        <w:spacing w:line="360" w:lineRule="auto"/>
        <w:rPr>
          <w:rFonts w:ascii="Times New Roman" w:hAnsi="Times New Roman" w:eastAsiaTheme="minorEastAsia"/>
          <w:b w:val="0"/>
          <w:sz w:val="21"/>
          <w:szCs w:val="22"/>
        </w:rPr>
      </w:pPr>
      <w:r>
        <w:rPr>
          <w:rFonts w:ascii="Times New Roman" w:hAnsi="Times New Roman" w:eastAsiaTheme="minorEastAsia"/>
          <w:b w:val="0"/>
        </w:rPr>
        <w:fldChar w:fldCharType="begin"/>
      </w:r>
      <w:r>
        <w:rPr>
          <w:rFonts w:ascii="Times New Roman" w:hAnsi="Times New Roman" w:eastAsiaTheme="minorEastAsia"/>
          <w:b w:val="0"/>
        </w:rPr>
        <w:instrText xml:space="preserve"> TOC \o "1-1" \h \z \u </w:instrText>
      </w:r>
      <w:r>
        <w:rPr>
          <w:rFonts w:ascii="Times New Roman" w:hAnsi="Times New Roman" w:eastAsiaTheme="minorEastAsia"/>
          <w:b w:val="0"/>
        </w:rPr>
        <w:fldChar w:fldCharType="separate"/>
      </w:r>
      <w:r>
        <w:fldChar w:fldCharType="begin"/>
      </w:r>
      <w:r>
        <w:instrText xml:space="preserve"> HYPERLINK \l "_Toc97371941" </w:instrText>
      </w:r>
      <w:r>
        <w:fldChar w:fldCharType="separate"/>
      </w:r>
      <w:r>
        <w:rPr>
          <w:rStyle w:val="51"/>
          <w:rFonts w:ascii="Times New Roman" w:hAnsi="Times New Roman" w:eastAsiaTheme="minorEastAsia"/>
        </w:rPr>
        <w:t>第一章   采购邀请</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_Toc97371941 \h </w:instrText>
      </w:r>
      <w:r>
        <w:rPr>
          <w:rFonts w:ascii="Times New Roman" w:hAnsi="Times New Roman" w:eastAsiaTheme="minorEastAsia"/>
        </w:rPr>
        <w:fldChar w:fldCharType="separate"/>
      </w:r>
      <w:r>
        <w:rPr>
          <w:rFonts w:ascii="Times New Roman" w:hAnsi="Times New Roman" w:eastAsiaTheme="minorEastAsia"/>
        </w:rPr>
        <w:t>1</w:t>
      </w:r>
      <w:r>
        <w:rPr>
          <w:rFonts w:ascii="Times New Roman" w:hAnsi="Times New Roman" w:eastAsiaTheme="minorEastAsia"/>
        </w:rPr>
        <w:fldChar w:fldCharType="end"/>
      </w:r>
      <w:r>
        <w:rPr>
          <w:rFonts w:ascii="Times New Roman" w:hAnsi="Times New Roman" w:eastAsiaTheme="minorEastAsia"/>
        </w:rPr>
        <w:fldChar w:fldCharType="end"/>
      </w:r>
    </w:p>
    <w:p w14:paraId="41CBD5FC">
      <w:pPr>
        <w:pStyle w:val="30"/>
        <w:spacing w:line="360" w:lineRule="auto"/>
        <w:rPr>
          <w:rFonts w:ascii="Times New Roman" w:hAnsi="Times New Roman" w:eastAsiaTheme="minorEastAsia"/>
          <w:b w:val="0"/>
          <w:sz w:val="21"/>
          <w:szCs w:val="22"/>
        </w:rPr>
      </w:pPr>
      <w:r>
        <w:fldChar w:fldCharType="begin"/>
      </w:r>
      <w:r>
        <w:instrText xml:space="preserve"> HYPERLINK \l "_Toc97371942" </w:instrText>
      </w:r>
      <w:r>
        <w:fldChar w:fldCharType="separate"/>
      </w:r>
      <w:r>
        <w:rPr>
          <w:rStyle w:val="51"/>
          <w:rFonts w:ascii="Times New Roman" w:hAnsi="Times New Roman" w:eastAsiaTheme="minorEastAsia"/>
        </w:rPr>
        <w:t>第二章   供应商须知</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_Toc97371942 \h </w:instrText>
      </w:r>
      <w:r>
        <w:rPr>
          <w:rFonts w:ascii="Times New Roman" w:hAnsi="Times New Roman" w:eastAsiaTheme="minorEastAsia"/>
        </w:rPr>
        <w:fldChar w:fldCharType="separate"/>
      </w:r>
      <w:r>
        <w:rPr>
          <w:rFonts w:ascii="Times New Roman" w:hAnsi="Times New Roman" w:eastAsiaTheme="minorEastAsia"/>
        </w:rPr>
        <w:t>5</w:t>
      </w:r>
      <w:r>
        <w:rPr>
          <w:rFonts w:ascii="Times New Roman" w:hAnsi="Times New Roman" w:eastAsiaTheme="minorEastAsia"/>
        </w:rPr>
        <w:fldChar w:fldCharType="end"/>
      </w:r>
      <w:r>
        <w:rPr>
          <w:rFonts w:ascii="Times New Roman" w:hAnsi="Times New Roman" w:eastAsiaTheme="minorEastAsia"/>
        </w:rPr>
        <w:fldChar w:fldCharType="end"/>
      </w:r>
    </w:p>
    <w:p w14:paraId="6859AC08">
      <w:pPr>
        <w:pStyle w:val="30"/>
        <w:spacing w:line="360" w:lineRule="auto"/>
        <w:rPr>
          <w:rFonts w:ascii="Times New Roman" w:hAnsi="Times New Roman" w:eastAsiaTheme="minorEastAsia"/>
          <w:b w:val="0"/>
          <w:sz w:val="21"/>
          <w:szCs w:val="22"/>
        </w:rPr>
      </w:pPr>
      <w:r>
        <w:fldChar w:fldCharType="begin"/>
      </w:r>
      <w:r>
        <w:instrText xml:space="preserve"> HYPERLINK \l "_Toc97371943" </w:instrText>
      </w:r>
      <w:r>
        <w:fldChar w:fldCharType="separate"/>
      </w:r>
      <w:r>
        <w:rPr>
          <w:rStyle w:val="51"/>
          <w:rFonts w:ascii="Times New Roman" w:hAnsi="Times New Roman" w:eastAsiaTheme="minorEastAsia"/>
        </w:rPr>
        <w:t>第三章   评审方法和评审标准</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_Toc97371943 \h </w:instrText>
      </w:r>
      <w:r>
        <w:rPr>
          <w:rFonts w:ascii="Times New Roman" w:hAnsi="Times New Roman" w:eastAsiaTheme="minorEastAsia"/>
        </w:rPr>
        <w:fldChar w:fldCharType="separate"/>
      </w:r>
      <w:r>
        <w:rPr>
          <w:rFonts w:ascii="Times New Roman" w:hAnsi="Times New Roman" w:eastAsiaTheme="minorEastAsia"/>
        </w:rPr>
        <w:t>20</w:t>
      </w:r>
      <w:r>
        <w:rPr>
          <w:rFonts w:ascii="Times New Roman" w:hAnsi="Times New Roman" w:eastAsiaTheme="minorEastAsia"/>
        </w:rPr>
        <w:fldChar w:fldCharType="end"/>
      </w:r>
      <w:r>
        <w:rPr>
          <w:rFonts w:ascii="Times New Roman" w:hAnsi="Times New Roman" w:eastAsiaTheme="minorEastAsia"/>
        </w:rPr>
        <w:fldChar w:fldCharType="end"/>
      </w:r>
    </w:p>
    <w:p w14:paraId="39BE38EF">
      <w:pPr>
        <w:pStyle w:val="30"/>
        <w:spacing w:line="360" w:lineRule="auto"/>
        <w:rPr>
          <w:rFonts w:ascii="Times New Roman" w:hAnsi="Times New Roman" w:eastAsiaTheme="minorEastAsia"/>
          <w:b w:val="0"/>
          <w:sz w:val="21"/>
          <w:szCs w:val="22"/>
        </w:rPr>
      </w:pPr>
      <w:r>
        <w:fldChar w:fldCharType="begin"/>
      </w:r>
      <w:r>
        <w:instrText xml:space="preserve"> HYPERLINK \l "_Toc97371945" </w:instrText>
      </w:r>
      <w:r>
        <w:fldChar w:fldCharType="separate"/>
      </w:r>
      <w:r>
        <w:rPr>
          <w:rStyle w:val="51"/>
          <w:rFonts w:ascii="Times New Roman" w:hAnsi="Times New Roman" w:eastAsiaTheme="minorEastAsia"/>
        </w:rPr>
        <w:t>第四章   采购需求</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_Toc97371945 \h </w:instrText>
      </w:r>
      <w:r>
        <w:rPr>
          <w:rFonts w:ascii="Times New Roman" w:hAnsi="Times New Roman" w:eastAsiaTheme="minorEastAsia"/>
        </w:rPr>
        <w:fldChar w:fldCharType="separate"/>
      </w:r>
      <w:r>
        <w:rPr>
          <w:rFonts w:ascii="Times New Roman" w:hAnsi="Times New Roman" w:eastAsiaTheme="minorEastAsia"/>
        </w:rPr>
        <w:t>31</w:t>
      </w:r>
      <w:r>
        <w:rPr>
          <w:rFonts w:ascii="Times New Roman" w:hAnsi="Times New Roman" w:eastAsiaTheme="minorEastAsia"/>
        </w:rPr>
        <w:fldChar w:fldCharType="end"/>
      </w:r>
      <w:r>
        <w:rPr>
          <w:rFonts w:ascii="Times New Roman" w:hAnsi="Times New Roman" w:eastAsiaTheme="minorEastAsia"/>
        </w:rPr>
        <w:fldChar w:fldCharType="end"/>
      </w:r>
    </w:p>
    <w:p w14:paraId="4B2B00FF">
      <w:pPr>
        <w:pStyle w:val="30"/>
        <w:spacing w:line="360" w:lineRule="auto"/>
        <w:rPr>
          <w:rFonts w:ascii="Times New Roman" w:hAnsi="Times New Roman" w:eastAsiaTheme="minorEastAsia"/>
          <w:b w:val="0"/>
          <w:sz w:val="21"/>
          <w:szCs w:val="22"/>
        </w:rPr>
      </w:pPr>
      <w:r>
        <w:fldChar w:fldCharType="begin"/>
      </w:r>
      <w:r>
        <w:instrText xml:space="preserve"> HYPERLINK \l "_Toc97371946" </w:instrText>
      </w:r>
      <w:r>
        <w:fldChar w:fldCharType="separate"/>
      </w:r>
      <w:r>
        <w:rPr>
          <w:rStyle w:val="51"/>
          <w:rFonts w:ascii="Times New Roman" w:hAnsi="Times New Roman" w:eastAsiaTheme="minorEastAsia"/>
        </w:rPr>
        <w:t>第五章   合同草案条款</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_Toc97371946 \h </w:instrText>
      </w:r>
      <w:r>
        <w:rPr>
          <w:rFonts w:ascii="Times New Roman" w:hAnsi="Times New Roman" w:eastAsiaTheme="minorEastAsia"/>
        </w:rPr>
        <w:fldChar w:fldCharType="separate"/>
      </w:r>
      <w:r>
        <w:rPr>
          <w:rFonts w:ascii="Times New Roman" w:hAnsi="Times New Roman" w:eastAsiaTheme="minorEastAsia"/>
        </w:rPr>
        <w:t>34</w:t>
      </w:r>
      <w:r>
        <w:rPr>
          <w:rFonts w:ascii="Times New Roman" w:hAnsi="Times New Roman" w:eastAsiaTheme="minorEastAsia"/>
        </w:rPr>
        <w:fldChar w:fldCharType="end"/>
      </w:r>
      <w:r>
        <w:rPr>
          <w:rFonts w:ascii="Times New Roman" w:hAnsi="Times New Roman" w:eastAsiaTheme="minorEastAsia"/>
        </w:rPr>
        <w:fldChar w:fldCharType="end"/>
      </w:r>
    </w:p>
    <w:p w14:paraId="73402DBE">
      <w:pPr>
        <w:pStyle w:val="30"/>
        <w:spacing w:line="360" w:lineRule="auto"/>
        <w:rPr>
          <w:rFonts w:ascii="Times New Roman" w:hAnsi="Times New Roman" w:eastAsiaTheme="minorEastAsia"/>
          <w:b w:val="0"/>
          <w:sz w:val="21"/>
          <w:szCs w:val="22"/>
        </w:rPr>
      </w:pPr>
      <w:r>
        <w:fldChar w:fldCharType="begin"/>
      </w:r>
      <w:r>
        <w:instrText xml:space="preserve"> HYPERLINK \l "_Toc97371947" </w:instrText>
      </w:r>
      <w:r>
        <w:fldChar w:fldCharType="separate"/>
      </w:r>
      <w:r>
        <w:rPr>
          <w:rStyle w:val="51"/>
          <w:rFonts w:ascii="Times New Roman" w:hAnsi="Times New Roman" w:eastAsiaTheme="minorEastAsia"/>
        </w:rPr>
        <w:t>第六章   响应文件格式</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_Toc97371947 \h </w:instrText>
      </w:r>
      <w:r>
        <w:rPr>
          <w:rFonts w:ascii="Times New Roman" w:hAnsi="Times New Roman" w:eastAsiaTheme="minorEastAsia"/>
        </w:rPr>
        <w:fldChar w:fldCharType="separate"/>
      </w:r>
      <w:r>
        <w:rPr>
          <w:rFonts w:ascii="Times New Roman" w:hAnsi="Times New Roman" w:eastAsiaTheme="minorEastAsia"/>
        </w:rPr>
        <w:t>36</w:t>
      </w:r>
      <w:r>
        <w:rPr>
          <w:rFonts w:ascii="Times New Roman" w:hAnsi="Times New Roman" w:eastAsiaTheme="minorEastAsia"/>
        </w:rPr>
        <w:fldChar w:fldCharType="end"/>
      </w:r>
      <w:r>
        <w:rPr>
          <w:rFonts w:ascii="Times New Roman" w:hAnsi="Times New Roman" w:eastAsiaTheme="minorEastAsia"/>
        </w:rPr>
        <w:fldChar w:fldCharType="end"/>
      </w:r>
    </w:p>
    <w:p w14:paraId="2AB9C9E0">
      <w:pPr>
        <w:pStyle w:val="30"/>
        <w:spacing w:line="480" w:lineRule="auto"/>
        <w:rPr>
          <w:rFonts w:ascii="Times New Roman" w:hAnsi="Times New Roman" w:eastAsiaTheme="minorEastAsia"/>
          <w:b w:val="0"/>
        </w:rPr>
      </w:pPr>
      <w:r>
        <w:rPr>
          <w:rFonts w:ascii="Times New Roman" w:hAnsi="Times New Roman" w:eastAsiaTheme="minorEastAsia"/>
          <w:b w:val="0"/>
        </w:rPr>
        <w:fldChar w:fldCharType="end"/>
      </w:r>
    </w:p>
    <w:p w14:paraId="09DCCD35"/>
    <w:p w14:paraId="1C928D7A">
      <w:pPr>
        <w:spacing w:line="360" w:lineRule="auto"/>
        <w:rPr>
          <w:sz w:val="24"/>
        </w:rPr>
      </w:pPr>
      <w:r>
        <w:rPr>
          <w:rFonts w:hint="eastAsia"/>
          <w:sz w:val="24"/>
        </w:rPr>
        <w:t>注：采购文件条款中以</w:t>
      </w:r>
      <w:r>
        <w:rPr>
          <w:sz w:val="24"/>
        </w:rPr>
        <w:t>“</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14:paraId="56F3D09D">
      <w:pPr>
        <w:pStyle w:val="30"/>
        <w:spacing w:line="360" w:lineRule="auto"/>
        <w:rPr>
          <w:rFonts w:ascii="Times New Roman" w:hAnsi="Times New Roman" w:eastAsiaTheme="minorEastAsia"/>
          <w:b w:val="0"/>
        </w:rPr>
      </w:pPr>
    </w:p>
    <w:p w14:paraId="1927B80E">
      <w:pPr>
        <w:pStyle w:val="30"/>
        <w:spacing w:line="360" w:lineRule="auto"/>
        <w:rPr>
          <w:rFonts w:ascii="Times New Roman" w:hAnsi="Times New Roman" w:eastAsiaTheme="minorEastAsia"/>
          <w:b w:val="0"/>
          <w:sz w:val="36"/>
          <w:szCs w:val="36"/>
        </w:rPr>
      </w:pPr>
      <w:bookmarkStart w:id="1" w:name="_Toc97371941"/>
    </w:p>
    <w:p w14:paraId="65DE76CF">
      <w:pPr>
        <w:spacing w:line="360" w:lineRule="auto"/>
        <w:jc w:val="center"/>
        <w:outlineLvl w:val="0"/>
        <w:rPr>
          <w:rFonts w:eastAsiaTheme="minorEastAsia"/>
          <w:b/>
          <w:sz w:val="36"/>
          <w:szCs w:val="36"/>
        </w:rPr>
        <w:sectPr>
          <w:headerReference r:id="rId5" w:type="first"/>
          <w:footerReference r:id="rId8" w:type="first"/>
          <w:headerReference r:id="rId4" w:type="default"/>
          <w:footerReference r:id="rId6" w:type="default"/>
          <w:footerReference r:id="rId7" w:type="even"/>
          <w:type w:val="nextColumn"/>
          <w:pgSz w:w="11907" w:h="16840"/>
          <w:pgMar w:top="1418" w:right="1134" w:bottom="1418" w:left="1701" w:header="851" w:footer="851" w:gutter="0"/>
          <w:pgNumType w:start="1"/>
          <w:cols w:space="720" w:num="1"/>
          <w:titlePg/>
          <w:docGrid w:linePitch="462" w:charSpace="0"/>
        </w:sectPr>
      </w:pPr>
      <w:bookmarkStart w:id="1601" w:name="_GoBack"/>
      <w:bookmarkEnd w:id="1601"/>
    </w:p>
    <w:p w14:paraId="0E7337C0">
      <w:pPr>
        <w:spacing w:line="360" w:lineRule="auto"/>
        <w:jc w:val="center"/>
        <w:outlineLvl w:val="0"/>
        <w:rPr>
          <w:rFonts w:eastAsiaTheme="minorEastAsia"/>
          <w:b/>
          <w:sz w:val="36"/>
          <w:szCs w:val="36"/>
        </w:rPr>
      </w:pPr>
      <w:r>
        <w:rPr>
          <w:rFonts w:eastAsiaTheme="minorEastAsia"/>
          <w:b/>
          <w:sz w:val="36"/>
          <w:szCs w:val="36"/>
        </w:rPr>
        <w:t>第一章   采购邀请</w:t>
      </w:r>
      <w:bookmarkEnd w:id="1"/>
      <w:bookmarkStart w:id="2" w:name="_Toc35393621"/>
      <w:bookmarkStart w:id="3" w:name="_Toc28359079"/>
      <w:bookmarkStart w:id="4" w:name="_Toc28359002"/>
      <w:bookmarkStart w:id="5" w:name="_Toc35393790"/>
      <w:bookmarkStart w:id="6" w:name="_Hlk24379207"/>
    </w:p>
    <w:p w14:paraId="777E5247">
      <w:pPr>
        <w:spacing w:line="360" w:lineRule="auto"/>
        <w:ind w:firstLine="480" w:firstLineChars="200"/>
        <w:rPr>
          <w:rFonts w:eastAsiaTheme="minorEastAsia"/>
          <w:sz w:val="24"/>
        </w:rPr>
      </w:pPr>
    </w:p>
    <w:p w14:paraId="6F3987F5">
      <w:pPr>
        <w:pStyle w:val="3"/>
        <w:spacing w:before="0" w:line="360" w:lineRule="auto"/>
        <w:jc w:val="left"/>
        <w:rPr>
          <w:rFonts w:ascii="Times New Roman" w:hAnsi="Times New Roman" w:eastAsiaTheme="minorEastAsia"/>
          <w:sz w:val="24"/>
          <w:szCs w:val="24"/>
        </w:rPr>
      </w:pPr>
      <w:r>
        <w:rPr>
          <w:rFonts w:ascii="Times New Roman" w:hAnsi="Times New Roman" w:eastAsiaTheme="minorEastAsia"/>
          <w:sz w:val="24"/>
          <w:szCs w:val="24"/>
        </w:rPr>
        <w:t>一、项目基本情况</w:t>
      </w:r>
      <w:bookmarkEnd w:id="2"/>
      <w:bookmarkEnd w:id="3"/>
      <w:bookmarkEnd w:id="4"/>
      <w:bookmarkEnd w:id="5"/>
    </w:p>
    <w:p w14:paraId="77D77E1F">
      <w:pPr>
        <w:spacing w:line="360" w:lineRule="auto"/>
        <w:ind w:firstLine="480" w:firstLineChars="200"/>
        <w:rPr>
          <w:rFonts w:eastAsiaTheme="minorEastAsia"/>
          <w:sz w:val="24"/>
        </w:rPr>
      </w:pPr>
      <w:r>
        <w:rPr>
          <w:rFonts w:eastAsiaTheme="minorEastAsia"/>
          <w:sz w:val="24"/>
        </w:rPr>
        <w:t>1.项目编号：</w:t>
      </w:r>
      <w:r>
        <w:rPr>
          <w:rFonts w:hint="eastAsia" w:eastAsiaTheme="minorEastAsia"/>
          <w:sz w:val="24"/>
        </w:rPr>
        <w:t>11010926210200019138-XM001</w:t>
      </w:r>
    </w:p>
    <w:p w14:paraId="5C9EB249">
      <w:pPr>
        <w:spacing w:line="360" w:lineRule="auto"/>
        <w:ind w:firstLine="480" w:firstLineChars="200"/>
        <w:rPr>
          <w:rFonts w:hint="eastAsia" w:eastAsiaTheme="minorEastAsia"/>
          <w:sz w:val="24"/>
          <w:lang w:eastAsia="zh-CN"/>
        </w:rPr>
      </w:pPr>
      <w:r>
        <w:rPr>
          <w:rFonts w:eastAsiaTheme="minorEastAsia"/>
          <w:sz w:val="24"/>
        </w:rPr>
        <w:t>2.项目名称：</w:t>
      </w:r>
      <w:r>
        <w:rPr>
          <w:rFonts w:hint="eastAsia" w:eastAsiaTheme="minorEastAsia"/>
          <w:sz w:val="24"/>
          <w:lang w:eastAsia="zh-CN"/>
        </w:rPr>
        <w:t>2025年扶持壮大村集体经济（红色村庄）项目</w:t>
      </w:r>
    </w:p>
    <w:p w14:paraId="2B7B9136">
      <w:pPr>
        <w:spacing w:line="360" w:lineRule="auto"/>
        <w:ind w:firstLine="480" w:firstLineChars="200"/>
        <w:rPr>
          <w:rFonts w:eastAsiaTheme="minorEastAsia"/>
          <w:sz w:val="24"/>
        </w:rPr>
      </w:pPr>
      <w:r>
        <w:rPr>
          <w:rFonts w:eastAsiaTheme="minorEastAsia"/>
          <w:sz w:val="24"/>
        </w:rPr>
        <w:t>3.采购方式：竞争性磋商</w:t>
      </w:r>
    </w:p>
    <w:bookmarkEnd w:id="6"/>
    <w:p w14:paraId="297EE812">
      <w:pPr>
        <w:spacing w:line="360" w:lineRule="auto"/>
        <w:ind w:firstLine="480" w:firstLineChars="200"/>
        <w:rPr>
          <w:rFonts w:eastAsiaTheme="minorEastAsia"/>
          <w:sz w:val="24"/>
        </w:rPr>
      </w:pPr>
      <w:r>
        <w:rPr>
          <w:rFonts w:eastAsiaTheme="minorEastAsia"/>
          <w:sz w:val="24"/>
        </w:rPr>
        <w:t>4.项目预算金额：</w:t>
      </w:r>
      <w:r>
        <w:rPr>
          <w:rFonts w:hint="eastAsia" w:eastAsiaTheme="minorEastAsia"/>
          <w:sz w:val="24"/>
          <w:u w:val="single"/>
        </w:rPr>
        <w:t xml:space="preserve"> 276</w:t>
      </w:r>
      <w:r>
        <w:rPr>
          <w:rFonts w:hint="eastAsia" w:eastAsiaTheme="minorEastAsia"/>
          <w:sz w:val="24"/>
          <w:u w:val="single"/>
          <w:lang w:val="en-US" w:eastAsia="zh-CN"/>
        </w:rPr>
        <w:t>.</w:t>
      </w:r>
      <w:r>
        <w:rPr>
          <w:rFonts w:hint="eastAsia" w:eastAsiaTheme="minorEastAsia"/>
          <w:sz w:val="24"/>
          <w:u w:val="single"/>
        </w:rPr>
        <w:t>694837</w:t>
      </w:r>
      <w:r>
        <w:rPr>
          <w:rFonts w:eastAsiaTheme="minorEastAsia"/>
          <w:sz w:val="24"/>
        </w:rPr>
        <w:t>万元、项目最高限价（如有）：</w:t>
      </w:r>
      <w:r>
        <w:rPr>
          <w:rFonts w:hint="eastAsia" w:eastAsiaTheme="minorEastAsia"/>
          <w:sz w:val="24"/>
          <w:u w:val="single"/>
        </w:rPr>
        <w:t xml:space="preserve"> 276</w:t>
      </w:r>
      <w:r>
        <w:rPr>
          <w:rFonts w:hint="eastAsia" w:eastAsiaTheme="minorEastAsia"/>
          <w:sz w:val="24"/>
          <w:u w:val="single"/>
          <w:lang w:val="en-US" w:eastAsia="zh-CN"/>
        </w:rPr>
        <w:t>.</w:t>
      </w:r>
      <w:r>
        <w:rPr>
          <w:rFonts w:hint="eastAsia" w:eastAsiaTheme="minorEastAsia"/>
          <w:sz w:val="24"/>
          <w:u w:val="single"/>
        </w:rPr>
        <w:t xml:space="preserve">694837 </w:t>
      </w:r>
      <w:r>
        <w:rPr>
          <w:rFonts w:eastAsiaTheme="minorEastAsia"/>
          <w:sz w:val="24"/>
        </w:rPr>
        <w:t>万元</w:t>
      </w:r>
    </w:p>
    <w:p w14:paraId="4EB41945">
      <w:pPr>
        <w:spacing w:line="360" w:lineRule="auto"/>
        <w:ind w:firstLine="480" w:firstLineChars="200"/>
        <w:rPr>
          <w:rFonts w:eastAsiaTheme="minorEastAsia"/>
          <w:sz w:val="24"/>
        </w:rPr>
      </w:pPr>
      <w:r>
        <w:rPr>
          <w:rFonts w:eastAsiaTheme="minorEastAsia"/>
          <w:sz w:val="24"/>
        </w:rPr>
        <w:t>5.采购需求：</w:t>
      </w:r>
    </w:p>
    <w:tbl>
      <w:tblPr>
        <w:tblStyle w:val="43"/>
        <w:tblW w:w="90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8"/>
        <w:gridCol w:w="1963"/>
        <w:gridCol w:w="1356"/>
        <w:gridCol w:w="928"/>
        <w:gridCol w:w="4126"/>
      </w:tblGrid>
      <w:tr w14:paraId="5C194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Align w:val="center"/>
          </w:tcPr>
          <w:p w14:paraId="2415241A">
            <w:pPr>
              <w:jc w:val="center"/>
              <w:rPr>
                <w:rFonts w:eastAsiaTheme="minorEastAsia"/>
                <w:bCs/>
                <w:szCs w:val="21"/>
              </w:rPr>
            </w:pPr>
            <w:r>
              <w:rPr>
                <w:rFonts w:eastAsiaTheme="minorEastAsia"/>
                <w:bCs/>
                <w:szCs w:val="21"/>
              </w:rPr>
              <w:t>包号</w:t>
            </w:r>
          </w:p>
        </w:tc>
        <w:tc>
          <w:tcPr>
            <w:tcW w:w="1963" w:type="dxa"/>
            <w:vAlign w:val="center"/>
          </w:tcPr>
          <w:p w14:paraId="31597D69">
            <w:pPr>
              <w:jc w:val="center"/>
              <w:rPr>
                <w:rFonts w:eastAsiaTheme="minorEastAsia"/>
                <w:bCs/>
                <w:szCs w:val="21"/>
              </w:rPr>
            </w:pPr>
            <w:r>
              <w:rPr>
                <w:rFonts w:eastAsiaTheme="minorEastAsia"/>
                <w:bCs/>
                <w:szCs w:val="21"/>
              </w:rPr>
              <w:t>标的名称</w:t>
            </w:r>
          </w:p>
        </w:tc>
        <w:tc>
          <w:tcPr>
            <w:tcW w:w="1356" w:type="dxa"/>
            <w:vAlign w:val="center"/>
          </w:tcPr>
          <w:p w14:paraId="332C45A7">
            <w:pPr>
              <w:jc w:val="center"/>
              <w:rPr>
                <w:rFonts w:eastAsiaTheme="minorEastAsia"/>
                <w:bCs/>
                <w:szCs w:val="21"/>
              </w:rPr>
            </w:pPr>
            <w:r>
              <w:rPr>
                <w:rFonts w:eastAsiaTheme="minorEastAsia"/>
                <w:bCs/>
                <w:szCs w:val="21"/>
              </w:rPr>
              <w:t>采购包预算金额</w:t>
            </w:r>
          </w:p>
          <w:p w14:paraId="2ABB807F">
            <w:pPr>
              <w:jc w:val="center"/>
              <w:rPr>
                <w:rFonts w:eastAsiaTheme="minorEastAsia"/>
                <w:bCs/>
                <w:szCs w:val="21"/>
              </w:rPr>
            </w:pPr>
            <w:r>
              <w:rPr>
                <w:rFonts w:eastAsiaTheme="minorEastAsia"/>
                <w:bCs/>
                <w:szCs w:val="21"/>
              </w:rPr>
              <w:t>（万元）</w:t>
            </w:r>
          </w:p>
        </w:tc>
        <w:tc>
          <w:tcPr>
            <w:tcW w:w="928" w:type="dxa"/>
            <w:vAlign w:val="center"/>
          </w:tcPr>
          <w:p w14:paraId="2E8EABCE">
            <w:pPr>
              <w:jc w:val="center"/>
              <w:rPr>
                <w:rFonts w:eastAsiaTheme="minorEastAsia"/>
                <w:bCs/>
                <w:szCs w:val="21"/>
              </w:rPr>
            </w:pPr>
            <w:r>
              <w:rPr>
                <w:rFonts w:eastAsiaTheme="minorEastAsia"/>
                <w:bCs/>
                <w:szCs w:val="21"/>
              </w:rPr>
              <w:t>数量</w:t>
            </w:r>
          </w:p>
        </w:tc>
        <w:tc>
          <w:tcPr>
            <w:tcW w:w="4126" w:type="dxa"/>
            <w:vAlign w:val="center"/>
          </w:tcPr>
          <w:p w14:paraId="7CF6CADF">
            <w:pPr>
              <w:jc w:val="center"/>
              <w:rPr>
                <w:rFonts w:eastAsiaTheme="minorEastAsia"/>
                <w:szCs w:val="21"/>
              </w:rPr>
            </w:pPr>
            <w:r>
              <w:rPr>
                <w:rFonts w:eastAsiaTheme="minorEastAsia"/>
                <w:szCs w:val="21"/>
              </w:rPr>
              <w:t>简要技术需求或服务要求</w:t>
            </w:r>
          </w:p>
        </w:tc>
      </w:tr>
      <w:tr w14:paraId="61254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Align w:val="center"/>
          </w:tcPr>
          <w:p w14:paraId="1D282359">
            <w:pPr>
              <w:jc w:val="center"/>
              <w:rPr>
                <w:rFonts w:eastAsiaTheme="minorEastAsia"/>
                <w:bCs/>
                <w:szCs w:val="21"/>
              </w:rPr>
            </w:pPr>
            <w:r>
              <w:rPr>
                <w:rFonts w:hint="eastAsia" w:eastAsiaTheme="minorEastAsia"/>
                <w:bCs/>
                <w:szCs w:val="21"/>
              </w:rPr>
              <w:t>1</w:t>
            </w:r>
          </w:p>
        </w:tc>
        <w:tc>
          <w:tcPr>
            <w:tcW w:w="1963" w:type="dxa"/>
            <w:vAlign w:val="center"/>
          </w:tcPr>
          <w:p w14:paraId="01FBF2FB">
            <w:pPr>
              <w:jc w:val="center"/>
              <w:rPr>
                <w:rFonts w:hint="eastAsia" w:eastAsiaTheme="minorEastAsia"/>
                <w:bCs/>
                <w:szCs w:val="21"/>
                <w:lang w:eastAsia="zh-CN"/>
              </w:rPr>
            </w:pPr>
            <w:r>
              <w:rPr>
                <w:rFonts w:hint="eastAsia" w:eastAsiaTheme="minorEastAsia"/>
                <w:sz w:val="24"/>
                <w:lang w:eastAsia="zh-CN"/>
              </w:rPr>
              <w:t>2025年扶持壮大村集体经济（红色村庄）项目</w:t>
            </w:r>
          </w:p>
        </w:tc>
        <w:tc>
          <w:tcPr>
            <w:tcW w:w="1356" w:type="dxa"/>
            <w:vAlign w:val="center"/>
          </w:tcPr>
          <w:p w14:paraId="04B5D44B">
            <w:pPr>
              <w:jc w:val="center"/>
              <w:rPr>
                <w:rFonts w:eastAsiaTheme="minorEastAsia"/>
                <w:bCs/>
                <w:szCs w:val="21"/>
              </w:rPr>
            </w:pPr>
            <w:r>
              <w:rPr>
                <w:rFonts w:hint="eastAsia" w:eastAsiaTheme="minorEastAsia"/>
                <w:sz w:val="24"/>
                <w:u w:val="single"/>
              </w:rPr>
              <w:t>276</w:t>
            </w:r>
            <w:r>
              <w:rPr>
                <w:rFonts w:hint="eastAsia" w:eastAsiaTheme="minorEastAsia"/>
                <w:sz w:val="24"/>
                <w:u w:val="single"/>
                <w:lang w:val="en-US" w:eastAsia="zh-CN"/>
              </w:rPr>
              <w:t>.</w:t>
            </w:r>
            <w:r>
              <w:rPr>
                <w:rFonts w:hint="eastAsia" w:eastAsiaTheme="minorEastAsia"/>
                <w:sz w:val="24"/>
                <w:u w:val="single"/>
              </w:rPr>
              <w:t xml:space="preserve">694837 </w:t>
            </w:r>
          </w:p>
        </w:tc>
        <w:tc>
          <w:tcPr>
            <w:tcW w:w="928" w:type="dxa"/>
            <w:vAlign w:val="center"/>
          </w:tcPr>
          <w:p w14:paraId="121CC97A">
            <w:pPr>
              <w:jc w:val="center"/>
              <w:rPr>
                <w:rFonts w:eastAsiaTheme="minorEastAsia"/>
                <w:bCs/>
                <w:szCs w:val="21"/>
              </w:rPr>
            </w:pPr>
            <w:r>
              <w:rPr>
                <w:rFonts w:hint="eastAsia" w:eastAsiaTheme="minorEastAsia"/>
                <w:bCs/>
                <w:szCs w:val="21"/>
              </w:rPr>
              <w:t>1</w:t>
            </w:r>
          </w:p>
        </w:tc>
        <w:tc>
          <w:tcPr>
            <w:tcW w:w="4126" w:type="dxa"/>
            <w:vAlign w:val="center"/>
          </w:tcPr>
          <w:p w14:paraId="64BC2961">
            <w:pPr>
              <w:jc w:val="center"/>
              <w:rPr>
                <w:rFonts w:eastAsiaTheme="minorEastAsia"/>
                <w:kern w:val="0"/>
                <w:szCs w:val="21"/>
              </w:rPr>
            </w:pPr>
            <w:r>
              <w:rPr>
                <w:rFonts w:hint="eastAsia" w:eastAsiaTheme="minorEastAsia"/>
                <w:kern w:val="0"/>
                <w:szCs w:val="21"/>
              </w:rPr>
              <w:t>设计图纸及清单的全部内容。</w:t>
            </w:r>
          </w:p>
        </w:tc>
      </w:tr>
    </w:tbl>
    <w:p w14:paraId="3D1667CB">
      <w:pPr>
        <w:spacing w:line="360" w:lineRule="auto"/>
        <w:rPr>
          <w:rFonts w:eastAsiaTheme="minorEastAsia"/>
          <w:sz w:val="24"/>
        </w:rPr>
      </w:pPr>
    </w:p>
    <w:p w14:paraId="6AA9292C">
      <w:pPr>
        <w:spacing w:line="360" w:lineRule="auto"/>
        <w:ind w:firstLine="480" w:firstLineChars="200"/>
        <w:rPr>
          <w:rFonts w:eastAsiaTheme="minorEastAsia"/>
          <w:color w:val="auto"/>
          <w:sz w:val="24"/>
          <w:highlight w:val="none"/>
          <w:u w:val="single"/>
        </w:rPr>
      </w:pPr>
      <w:r>
        <w:rPr>
          <w:rFonts w:eastAsiaTheme="minorEastAsia"/>
          <w:color w:val="auto"/>
          <w:sz w:val="24"/>
          <w:highlight w:val="none"/>
        </w:rPr>
        <w:t>6.合同履行期限：</w:t>
      </w:r>
      <w:r>
        <w:rPr>
          <w:rFonts w:hint="eastAsia" w:eastAsiaTheme="minorEastAsia"/>
          <w:color w:val="auto"/>
          <w:sz w:val="24"/>
          <w:highlight w:val="none"/>
          <w:lang w:val="en-US" w:eastAsia="zh-CN"/>
        </w:rPr>
        <w:t>工期60日历天</w:t>
      </w:r>
      <w:r>
        <w:rPr>
          <w:rFonts w:hint="eastAsia" w:eastAsiaTheme="minorEastAsia"/>
          <w:color w:val="auto"/>
          <w:sz w:val="24"/>
          <w:highlight w:val="none"/>
        </w:rPr>
        <w:t>。</w:t>
      </w:r>
    </w:p>
    <w:p w14:paraId="6EE39CA6">
      <w:pPr>
        <w:spacing w:line="360" w:lineRule="auto"/>
        <w:ind w:firstLine="480" w:firstLineChars="200"/>
        <w:rPr>
          <w:rFonts w:eastAsiaTheme="minorEastAsia"/>
          <w:color w:val="auto"/>
          <w:sz w:val="24"/>
          <w:highlight w:val="none"/>
        </w:rPr>
      </w:pPr>
      <w:r>
        <w:rPr>
          <w:rFonts w:eastAsiaTheme="minorEastAsia"/>
          <w:color w:val="auto"/>
          <w:sz w:val="24"/>
          <w:highlight w:val="none"/>
        </w:rPr>
        <w:t>7.本项目是否接受联合体：</w:t>
      </w:r>
      <w:r>
        <w:rPr>
          <w:rFonts w:eastAsiaTheme="minorEastAsia"/>
          <w:color w:val="auto"/>
          <w:highlight w:val="none"/>
        </w:rPr>
        <w:t>□</w:t>
      </w:r>
      <w:r>
        <w:rPr>
          <w:rFonts w:eastAsiaTheme="minorEastAsia"/>
          <w:color w:val="auto"/>
          <w:sz w:val="24"/>
          <w:highlight w:val="none"/>
        </w:rPr>
        <w:t xml:space="preserve">是  </w:t>
      </w:r>
      <w:r>
        <w:rPr>
          <w:rFonts w:ascii="微软雅黑" w:hAnsi="微软雅黑" w:eastAsia="微软雅黑" w:cs="微软雅黑"/>
          <w:color w:val="auto"/>
          <w:sz w:val="24"/>
          <w:highlight w:val="none"/>
          <w:shd w:val="clear" w:color="auto" w:fill="FFFFFF"/>
        </w:rPr>
        <w:t>■</w:t>
      </w:r>
      <w:r>
        <w:rPr>
          <w:rFonts w:eastAsiaTheme="minorEastAsia"/>
          <w:color w:val="auto"/>
          <w:sz w:val="24"/>
          <w:highlight w:val="none"/>
        </w:rPr>
        <w:t>否。</w:t>
      </w:r>
    </w:p>
    <w:p w14:paraId="33E83F36">
      <w:pPr>
        <w:pStyle w:val="3"/>
        <w:spacing w:before="0" w:line="360" w:lineRule="auto"/>
        <w:jc w:val="left"/>
        <w:rPr>
          <w:rFonts w:ascii="Times New Roman" w:hAnsi="Times New Roman" w:eastAsiaTheme="minorEastAsia"/>
          <w:color w:val="auto"/>
          <w:sz w:val="24"/>
          <w:szCs w:val="24"/>
          <w:highlight w:val="none"/>
        </w:rPr>
      </w:pPr>
      <w:bookmarkStart w:id="7" w:name="_Toc28359003"/>
      <w:bookmarkStart w:id="8" w:name="_Toc28359080"/>
      <w:bookmarkStart w:id="9" w:name="_Toc35393622"/>
      <w:bookmarkStart w:id="10" w:name="_Toc35393791"/>
      <w:r>
        <w:rPr>
          <w:rFonts w:ascii="Times New Roman" w:hAnsi="Times New Roman" w:eastAsiaTheme="minorEastAsia"/>
          <w:color w:val="auto"/>
          <w:sz w:val="24"/>
          <w:szCs w:val="24"/>
          <w:highlight w:val="none"/>
        </w:rPr>
        <w:t>二、申请人的资格要求（须同时满足）</w:t>
      </w:r>
      <w:bookmarkEnd w:id="7"/>
      <w:bookmarkEnd w:id="8"/>
      <w:bookmarkEnd w:id="9"/>
      <w:bookmarkEnd w:id="10"/>
    </w:p>
    <w:p w14:paraId="034E9549">
      <w:pPr>
        <w:spacing w:line="360" w:lineRule="auto"/>
        <w:ind w:firstLine="480" w:firstLineChars="200"/>
        <w:rPr>
          <w:rFonts w:eastAsiaTheme="minorEastAsia"/>
          <w:color w:val="auto"/>
          <w:sz w:val="24"/>
          <w:highlight w:val="none"/>
        </w:rPr>
      </w:pPr>
      <w:r>
        <w:rPr>
          <w:rFonts w:eastAsiaTheme="minorEastAsia"/>
          <w:color w:val="auto"/>
          <w:sz w:val="24"/>
          <w:highlight w:val="none"/>
        </w:rPr>
        <w:t>1.满足《中华人民共和国政府采购法》第二十二条规定；</w:t>
      </w:r>
    </w:p>
    <w:p w14:paraId="768D7EDD">
      <w:pPr>
        <w:spacing w:line="360" w:lineRule="auto"/>
        <w:ind w:firstLine="480" w:firstLineChars="200"/>
        <w:rPr>
          <w:rFonts w:eastAsiaTheme="minorEastAsia"/>
          <w:color w:val="auto"/>
          <w:sz w:val="24"/>
          <w:highlight w:val="none"/>
        </w:rPr>
      </w:pPr>
      <w:bookmarkStart w:id="11" w:name="_Toc28359081"/>
      <w:bookmarkStart w:id="12" w:name="_Toc28359004"/>
      <w:r>
        <w:rPr>
          <w:rFonts w:eastAsiaTheme="minorEastAsia"/>
          <w:color w:val="auto"/>
          <w:sz w:val="24"/>
          <w:highlight w:val="none"/>
        </w:rPr>
        <w:t>2.落实政府采购政策需满足的资格要求：</w:t>
      </w:r>
    </w:p>
    <w:p w14:paraId="5D2577A9">
      <w:pPr>
        <w:spacing w:line="360" w:lineRule="auto"/>
        <w:ind w:firstLine="480" w:firstLineChars="200"/>
        <w:rPr>
          <w:rFonts w:hint="eastAsia" w:eastAsiaTheme="minorEastAsia"/>
          <w:color w:val="auto"/>
          <w:sz w:val="24"/>
          <w:highlight w:val="none"/>
          <w:lang w:eastAsia="zh-CN"/>
        </w:rPr>
      </w:pPr>
      <w:r>
        <w:rPr>
          <w:rFonts w:eastAsiaTheme="minorEastAsia"/>
          <w:color w:val="auto"/>
          <w:sz w:val="24"/>
          <w:highlight w:val="none"/>
        </w:rPr>
        <w:t>2.1 中小企业政策</w:t>
      </w:r>
    </w:p>
    <w:p w14:paraId="103AF82C">
      <w:pPr>
        <w:spacing w:line="360" w:lineRule="auto"/>
        <w:ind w:firstLine="420" w:firstLineChars="200"/>
        <w:rPr>
          <w:rFonts w:eastAsiaTheme="minorEastAsia"/>
          <w:color w:val="auto"/>
          <w:sz w:val="24"/>
          <w:highlight w:val="none"/>
        </w:rPr>
      </w:pPr>
      <w:r>
        <w:rPr>
          <w:rFonts w:eastAsiaTheme="minorEastAsia"/>
        </w:rPr>
        <w:t>□</w:t>
      </w:r>
      <w:r>
        <w:rPr>
          <w:rFonts w:eastAsiaTheme="minorEastAsia"/>
          <w:color w:val="auto"/>
          <w:sz w:val="24"/>
          <w:highlight w:val="none"/>
        </w:rPr>
        <w:t>本项目不专门面向中小企业预留采购份额。</w:t>
      </w:r>
    </w:p>
    <w:p w14:paraId="247141C0">
      <w:pPr>
        <w:spacing w:line="360" w:lineRule="auto"/>
        <w:ind w:firstLine="480" w:firstLineChars="200"/>
        <w:rPr>
          <w:rFonts w:eastAsiaTheme="minorEastAsia"/>
          <w:sz w:val="24"/>
        </w:rPr>
      </w:pPr>
      <w:r>
        <w:rPr>
          <w:rFonts w:ascii="微软雅黑" w:hAnsi="微软雅黑" w:eastAsia="微软雅黑" w:cs="微软雅黑"/>
          <w:color w:val="auto"/>
          <w:sz w:val="24"/>
          <w:highlight w:val="none"/>
          <w:shd w:val="clear" w:color="auto" w:fill="FFFFFF"/>
        </w:rPr>
        <w:t>■</w:t>
      </w:r>
      <w:r>
        <w:rPr>
          <w:rFonts w:eastAsiaTheme="minorEastAsia"/>
          <w:color w:val="auto"/>
          <w:sz w:val="24"/>
          <w:highlight w:val="none"/>
        </w:rPr>
        <w:t xml:space="preserve">本项目专门面向  </w:t>
      </w:r>
      <w:r>
        <w:rPr>
          <w:rFonts w:ascii="微软雅黑" w:hAnsi="微软雅黑" w:eastAsia="微软雅黑" w:cs="微软雅黑"/>
          <w:color w:val="auto"/>
          <w:sz w:val="24"/>
          <w:highlight w:val="none"/>
          <w:shd w:val="clear" w:color="auto" w:fill="FFFFFF"/>
        </w:rPr>
        <w:t>■</w:t>
      </w:r>
      <w:r>
        <w:rPr>
          <w:rFonts w:eastAsiaTheme="minorEastAsia"/>
          <w:color w:val="auto"/>
          <w:sz w:val="24"/>
          <w:highlight w:val="none"/>
        </w:rPr>
        <w:t xml:space="preserve">中小 </w:t>
      </w:r>
      <w:r>
        <w:rPr>
          <w:rFonts w:ascii="微软雅黑" w:hAnsi="微软雅黑" w:eastAsia="微软雅黑" w:cs="微软雅黑"/>
          <w:color w:val="auto"/>
          <w:sz w:val="24"/>
          <w:highlight w:val="none"/>
          <w:shd w:val="clear" w:color="auto" w:fill="FFFFFF"/>
        </w:rPr>
        <w:t>■</w:t>
      </w:r>
      <w:r>
        <w:rPr>
          <w:rFonts w:eastAsiaTheme="minorEastAsia"/>
          <w:color w:val="auto"/>
          <w:sz w:val="24"/>
          <w:highlight w:val="none"/>
        </w:rPr>
        <w:t>小微企业  采购。即：提供的货物全部由符合政策要求的中小/小微企业制造、服务全部由符合政策要求的中小/</w:t>
      </w:r>
      <w:r>
        <w:rPr>
          <w:rFonts w:eastAsiaTheme="minorEastAsia"/>
          <w:sz w:val="24"/>
        </w:rPr>
        <w:t>小微企业承接。</w:t>
      </w:r>
    </w:p>
    <w:p w14:paraId="3E713B7C">
      <w:pPr>
        <w:spacing w:line="360" w:lineRule="auto"/>
        <w:ind w:firstLine="420" w:firstLineChars="200"/>
        <w:rPr>
          <w:rFonts w:eastAsiaTheme="minorEastAsia"/>
          <w:sz w:val="24"/>
        </w:rPr>
      </w:pPr>
      <w:r>
        <w:rPr>
          <w:rFonts w:eastAsiaTheme="minorEastAsia"/>
        </w:rPr>
        <w:t>□</w:t>
      </w:r>
      <w:r>
        <w:rPr>
          <w:rFonts w:eastAsiaTheme="minorEastAsia"/>
          <w:sz w:val="24"/>
        </w:rPr>
        <w:t>本项目预留部分采购项目预算专门面向中小企业采购。对于预留份额，提供的货物由符合政策要求的中小企业制造、服务由符合政策要求的中小企业承接。预留份额通过以下措施进行：___</w:t>
      </w:r>
      <w:r>
        <w:rPr>
          <w:rFonts w:hint="eastAsia" w:eastAsiaTheme="minorEastAsia"/>
          <w:sz w:val="24"/>
        </w:rPr>
        <w:t>/</w:t>
      </w:r>
      <w:r>
        <w:rPr>
          <w:rFonts w:eastAsiaTheme="minorEastAsia"/>
          <w:sz w:val="24"/>
        </w:rPr>
        <w:t>________。</w:t>
      </w:r>
    </w:p>
    <w:p w14:paraId="40961EEB">
      <w:pPr>
        <w:spacing w:line="360" w:lineRule="auto"/>
        <w:ind w:firstLine="480" w:firstLineChars="200"/>
        <w:rPr>
          <w:rFonts w:eastAsiaTheme="minorEastAsia"/>
          <w:sz w:val="24"/>
        </w:rPr>
      </w:pPr>
      <w:r>
        <w:rPr>
          <w:rFonts w:eastAsiaTheme="minorEastAsia"/>
          <w:sz w:val="24"/>
        </w:rPr>
        <w:t>2.2 其它落实政府采购政策的资格要求（如有）：______</w:t>
      </w:r>
      <w:r>
        <w:rPr>
          <w:rFonts w:hint="eastAsia" w:eastAsiaTheme="minorEastAsia"/>
          <w:sz w:val="24"/>
        </w:rPr>
        <w:t>/</w:t>
      </w:r>
      <w:r>
        <w:rPr>
          <w:rFonts w:eastAsiaTheme="minorEastAsia"/>
          <w:sz w:val="24"/>
        </w:rPr>
        <w:t>____。</w:t>
      </w:r>
    </w:p>
    <w:p w14:paraId="4D0F12A8">
      <w:pPr>
        <w:spacing w:line="360" w:lineRule="auto"/>
        <w:ind w:firstLine="480" w:firstLineChars="200"/>
        <w:rPr>
          <w:rFonts w:eastAsiaTheme="minorEastAsia"/>
          <w:i/>
          <w:iCs/>
          <w:sz w:val="24"/>
          <w:u w:val="single"/>
        </w:rPr>
      </w:pPr>
      <w:r>
        <w:rPr>
          <w:rFonts w:eastAsiaTheme="minorEastAsia"/>
          <w:sz w:val="24"/>
        </w:rPr>
        <w:t>3.本项目的特定资格要求：</w:t>
      </w:r>
    </w:p>
    <w:p w14:paraId="7C216F1F">
      <w:pPr>
        <w:tabs>
          <w:tab w:val="left" w:pos="900"/>
          <w:tab w:val="left" w:pos="1134"/>
          <w:tab w:val="left" w:pos="1589"/>
          <w:tab w:val="left" w:pos="5521"/>
        </w:tabs>
        <w:snapToGrid w:val="0"/>
        <w:spacing w:line="360" w:lineRule="auto"/>
        <w:ind w:firstLine="480" w:firstLineChars="200"/>
        <w:rPr>
          <w:rFonts w:eastAsiaTheme="minorEastAsia"/>
          <w:sz w:val="24"/>
        </w:rPr>
      </w:pPr>
      <w:r>
        <w:rPr>
          <w:rFonts w:eastAsiaTheme="minorEastAsia"/>
          <w:sz w:val="24"/>
        </w:rPr>
        <w:t>3.1本项目是否属于政府购买服务：</w:t>
      </w:r>
    </w:p>
    <w:p w14:paraId="0928D4C8">
      <w:pPr>
        <w:tabs>
          <w:tab w:val="left" w:pos="900"/>
          <w:tab w:val="left" w:pos="1134"/>
          <w:tab w:val="left" w:pos="1589"/>
          <w:tab w:val="left" w:pos="5521"/>
        </w:tabs>
        <w:snapToGrid w:val="0"/>
        <w:spacing w:line="360" w:lineRule="auto"/>
        <w:ind w:left="991" w:leftChars="472" w:firstLine="2"/>
        <w:rPr>
          <w:rFonts w:eastAsiaTheme="minorEastAsia"/>
          <w:sz w:val="24"/>
        </w:rPr>
      </w:pPr>
      <w:r>
        <w:rPr>
          <w:rFonts w:ascii="微软雅黑" w:hAnsi="微软雅黑" w:eastAsia="微软雅黑" w:cs="微软雅黑"/>
          <w:color w:val="404040"/>
          <w:sz w:val="24"/>
          <w:shd w:val="clear" w:color="auto" w:fill="FFFFFF"/>
        </w:rPr>
        <w:t>■</w:t>
      </w:r>
      <w:r>
        <w:rPr>
          <w:rFonts w:eastAsiaTheme="minorEastAsia"/>
          <w:sz w:val="24"/>
        </w:rPr>
        <w:t>否</w:t>
      </w:r>
    </w:p>
    <w:p w14:paraId="6557C19E">
      <w:pPr>
        <w:tabs>
          <w:tab w:val="left" w:pos="900"/>
          <w:tab w:val="left" w:pos="1134"/>
          <w:tab w:val="left" w:pos="1589"/>
          <w:tab w:val="left" w:pos="5521"/>
        </w:tabs>
        <w:snapToGrid w:val="0"/>
        <w:spacing w:line="360" w:lineRule="auto"/>
        <w:ind w:left="991" w:leftChars="472" w:firstLine="2"/>
        <w:rPr>
          <w:rFonts w:eastAsiaTheme="minorEastAsia"/>
          <w:sz w:val="24"/>
        </w:rPr>
      </w:pPr>
      <w:r>
        <w:rPr>
          <w:rFonts w:eastAsiaTheme="minorEastAsia"/>
        </w:rPr>
        <w:t>□</w:t>
      </w:r>
      <w:r>
        <w:rPr>
          <w:rFonts w:eastAsiaTheme="minorEastAsia"/>
          <w:sz w:val="24"/>
        </w:rPr>
        <w:t>是，公益一类事业单位、使用事业编制且由财政拨款保障的群团组织，不得作为承接主体；</w:t>
      </w:r>
    </w:p>
    <w:p w14:paraId="00F1BF83">
      <w:pPr>
        <w:tabs>
          <w:tab w:val="left" w:pos="900"/>
          <w:tab w:val="left" w:pos="1134"/>
          <w:tab w:val="left" w:pos="1589"/>
          <w:tab w:val="left" w:pos="5521"/>
        </w:tabs>
        <w:snapToGrid w:val="0"/>
        <w:spacing w:line="360" w:lineRule="auto"/>
        <w:ind w:firstLine="480" w:firstLineChars="200"/>
        <w:rPr>
          <w:rFonts w:eastAsiaTheme="minorEastAsia"/>
          <w:sz w:val="24"/>
          <w:u w:val="single"/>
        </w:rPr>
      </w:pPr>
      <w:r>
        <w:rPr>
          <w:rFonts w:eastAsiaTheme="minorEastAsia"/>
          <w:sz w:val="24"/>
        </w:rPr>
        <w:t>3.2其他特定资格要求：</w:t>
      </w:r>
    </w:p>
    <w:p w14:paraId="00F28AB5">
      <w:pPr>
        <w:spacing w:line="360" w:lineRule="auto"/>
        <w:ind w:firstLine="480" w:firstLineChars="200"/>
        <w:rPr>
          <w:rFonts w:eastAsiaTheme="minorEastAsia"/>
          <w:sz w:val="24"/>
        </w:rPr>
      </w:pPr>
      <w:r>
        <w:rPr>
          <w:rFonts w:hint="eastAsia" w:eastAsiaTheme="minorEastAsia"/>
          <w:sz w:val="24"/>
        </w:rPr>
        <w:t>3.2.1供应商应具有</w:t>
      </w:r>
      <w:r>
        <w:rPr>
          <w:rFonts w:hint="eastAsia" w:eastAsiaTheme="minorEastAsia"/>
          <w:sz w:val="24"/>
          <w:lang w:val="en-US" w:eastAsia="zh-CN"/>
        </w:rPr>
        <w:t>市政公用工程</w:t>
      </w:r>
      <w:r>
        <w:rPr>
          <w:rFonts w:hint="eastAsia" w:eastAsiaTheme="minorEastAsia"/>
          <w:sz w:val="24"/>
        </w:rPr>
        <w:t>施工总承包资质叁级</w:t>
      </w:r>
      <w:r>
        <w:rPr>
          <w:rFonts w:hint="eastAsia" w:eastAsiaTheme="minorEastAsia"/>
          <w:sz w:val="24"/>
          <w:lang w:val="en-US" w:eastAsia="zh-CN"/>
        </w:rPr>
        <w:t>[新]及</w:t>
      </w:r>
      <w:r>
        <w:rPr>
          <w:rFonts w:hint="eastAsia" w:eastAsiaTheme="minorEastAsia"/>
          <w:sz w:val="24"/>
        </w:rPr>
        <w:t>以上资质</w:t>
      </w:r>
      <w:r>
        <w:rPr>
          <w:rFonts w:hint="eastAsia" w:eastAsiaTheme="minorEastAsia"/>
          <w:sz w:val="24"/>
          <w:lang w:eastAsia="zh-CN"/>
        </w:rPr>
        <w:t>（</w:t>
      </w:r>
      <w:r>
        <w:rPr>
          <w:rFonts w:hint="eastAsia" w:eastAsiaTheme="minorEastAsia"/>
          <w:sz w:val="24"/>
          <w:lang w:val="en-US" w:eastAsia="zh-CN"/>
        </w:rPr>
        <w:t>在有效期内</w:t>
      </w:r>
      <w:r>
        <w:rPr>
          <w:rFonts w:hint="eastAsia" w:eastAsiaTheme="minorEastAsia"/>
          <w:sz w:val="24"/>
          <w:lang w:eastAsia="zh-CN"/>
        </w:rPr>
        <w:t>）</w:t>
      </w:r>
      <w:r>
        <w:rPr>
          <w:rFonts w:hint="eastAsia" w:eastAsiaTheme="minorEastAsia"/>
          <w:sz w:val="24"/>
        </w:rPr>
        <w:t>；</w:t>
      </w:r>
    </w:p>
    <w:p w14:paraId="0289922A">
      <w:pPr>
        <w:spacing w:line="360" w:lineRule="auto"/>
        <w:ind w:firstLine="480" w:firstLineChars="200"/>
        <w:rPr>
          <w:rFonts w:eastAsiaTheme="minorEastAsia"/>
          <w:sz w:val="24"/>
        </w:rPr>
      </w:pPr>
      <w:r>
        <w:rPr>
          <w:rFonts w:hint="eastAsia" w:eastAsiaTheme="minorEastAsia"/>
          <w:sz w:val="24"/>
        </w:rPr>
        <w:t>3.2.2供应商拟派项目经理须具备本单位注册市政公用工程二级及以上注册建造师执业资格，具备有效的安全生产考核合格证书（B本），且在确定成交人时不得担任其他在施建设工程项目的项目经理；</w:t>
      </w:r>
    </w:p>
    <w:p w14:paraId="0A21DD49">
      <w:pPr>
        <w:spacing w:line="360" w:lineRule="auto"/>
        <w:ind w:firstLine="480" w:firstLineChars="200"/>
        <w:rPr>
          <w:rFonts w:eastAsiaTheme="minorEastAsia"/>
          <w:sz w:val="24"/>
        </w:rPr>
      </w:pPr>
      <w:r>
        <w:rPr>
          <w:rFonts w:hint="eastAsia" w:eastAsiaTheme="minorEastAsia"/>
          <w:sz w:val="24"/>
        </w:rPr>
        <w:t>3.2.3供应商须具有安全生产许可证且在有效期内；</w:t>
      </w:r>
    </w:p>
    <w:p w14:paraId="226FD521">
      <w:pPr>
        <w:spacing w:line="360" w:lineRule="auto"/>
        <w:ind w:firstLine="480" w:firstLineChars="200"/>
        <w:rPr>
          <w:rFonts w:eastAsiaTheme="minorEastAsia"/>
          <w:sz w:val="24"/>
        </w:rPr>
      </w:pPr>
      <w:r>
        <w:rPr>
          <w:rFonts w:hint="eastAsia" w:eastAsiaTheme="minorEastAsia"/>
          <w:sz w:val="24"/>
        </w:rPr>
        <w:t>3.2.4单位负责人为同一人或者存在直接控股、管理关系的不同供应商，不得同时参加本项目；为本项目提供整体设计、规范编制或者项目管理、监理、检测等服务的供应商，不得再参加本项目的投标；</w:t>
      </w:r>
    </w:p>
    <w:p w14:paraId="69B4A947">
      <w:pPr>
        <w:spacing w:line="360" w:lineRule="auto"/>
        <w:ind w:firstLine="480" w:firstLineChars="200"/>
        <w:rPr>
          <w:rFonts w:eastAsiaTheme="minorEastAsia"/>
          <w:sz w:val="24"/>
        </w:rPr>
      </w:pPr>
      <w:r>
        <w:rPr>
          <w:rFonts w:hint="eastAsia" w:eastAsiaTheme="minorEastAsia"/>
          <w:sz w:val="24"/>
        </w:rPr>
        <w:t>3.2.5根据财库〔2016〕125号《财政部关于在政府采购活动中查询及使用信用记录有关问题的通知》的要求，通过“信用中国”网站（www.creditchina.gov.cn）、中国政府采购网（www.ccgp.gov.cn）查询相关主体信用记录，截止时间点为投标截止时间当天。对列入失信被执行人、重大税收违法失信主体、政府采购严重违法失信行为记录名单的供应商，拒绝其参与政府采购活动。(无须供应商提供，由采购人或采购代理机构查询。)</w:t>
      </w:r>
    </w:p>
    <w:bookmarkEnd w:id="11"/>
    <w:bookmarkEnd w:id="12"/>
    <w:p w14:paraId="569D44CD">
      <w:pPr>
        <w:pStyle w:val="3"/>
        <w:widowControl/>
        <w:spacing w:before="0" w:line="360" w:lineRule="auto"/>
        <w:jc w:val="left"/>
        <w:rPr>
          <w:rFonts w:ascii="Times New Roman" w:hAnsi="Times New Roman" w:eastAsiaTheme="minorEastAsia"/>
          <w:sz w:val="24"/>
          <w:szCs w:val="24"/>
        </w:rPr>
      </w:pPr>
      <w:bookmarkStart w:id="13" w:name="_Toc35393623"/>
      <w:bookmarkStart w:id="14" w:name="_Toc35393792"/>
      <w:r>
        <w:rPr>
          <w:rFonts w:ascii="Times New Roman" w:hAnsi="Times New Roman" w:eastAsiaTheme="minorEastAsia"/>
          <w:sz w:val="24"/>
          <w:szCs w:val="24"/>
        </w:rPr>
        <w:t>三、获取采购文件</w:t>
      </w:r>
      <w:bookmarkEnd w:id="13"/>
      <w:bookmarkEnd w:id="14"/>
    </w:p>
    <w:p w14:paraId="6E5E5036">
      <w:pPr>
        <w:adjustRightInd w:val="0"/>
        <w:snapToGrid w:val="0"/>
        <w:spacing w:line="360" w:lineRule="auto"/>
        <w:ind w:firstLine="480" w:firstLineChars="200"/>
        <w:rPr>
          <w:rFonts w:eastAsiaTheme="minorEastAsia"/>
          <w:sz w:val="24"/>
          <w:lang w:bidi="ar"/>
        </w:rPr>
      </w:pPr>
      <w:r>
        <w:rPr>
          <w:rFonts w:eastAsiaTheme="minorEastAsia"/>
          <w:sz w:val="24"/>
          <w:lang w:bidi="ar"/>
        </w:rPr>
        <w:t>1.时间：</w:t>
      </w:r>
      <w:r>
        <w:rPr>
          <w:rFonts w:hint="eastAsia" w:eastAsiaTheme="minorEastAsia"/>
          <w:sz w:val="24"/>
        </w:rPr>
        <w:t>2026</w:t>
      </w:r>
      <w:r>
        <w:rPr>
          <w:rFonts w:eastAsiaTheme="minorEastAsia"/>
          <w:sz w:val="24"/>
          <w:lang w:bidi="ar"/>
        </w:rPr>
        <w:t>年</w:t>
      </w:r>
      <w:r>
        <w:rPr>
          <w:rFonts w:hint="eastAsia" w:eastAsiaTheme="minorEastAsia"/>
          <w:sz w:val="24"/>
        </w:rPr>
        <w:t xml:space="preserve"> </w:t>
      </w:r>
      <w:r>
        <w:rPr>
          <w:rFonts w:hint="eastAsia" w:eastAsiaTheme="minorEastAsia"/>
          <w:sz w:val="24"/>
          <w:lang w:val="en-US" w:eastAsia="zh-CN"/>
        </w:rPr>
        <w:t>8</w:t>
      </w:r>
      <w:r>
        <w:rPr>
          <w:rFonts w:hint="eastAsia" w:eastAsiaTheme="minorEastAsia"/>
          <w:sz w:val="24"/>
        </w:rPr>
        <w:t xml:space="preserve"> </w:t>
      </w:r>
      <w:r>
        <w:rPr>
          <w:rFonts w:eastAsiaTheme="minorEastAsia"/>
          <w:sz w:val="24"/>
          <w:lang w:bidi="ar"/>
        </w:rPr>
        <w:t>月</w:t>
      </w:r>
      <w:r>
        <w:rPr>
          <w:rFonts w:hint="eastAsia" w:eastAsiaTheme="minorEastAsia"/>
          <w:sz w:val="24"/>
        </w:rPr>
        <w:t xml:space="preserve"> </w:t>
      </w:r>
      <w:r>
        <w:rPr>
          <w:rFonts w:hint="eastAsia" w:eastAsiaTheme="minorEastAsia"/>
          <w:sz w:val="24"/>
          <w:lang w:val="en-US" w:eastAsia="zh-CN"/>
        </w:rPr>
        <w:t>26</w:t>
      </w:r>
      <w:r>
        <w:rPr>
          <w:rFonts w:hint="eastAsia" w:eastAsiaTheme="minorEastAsia"/>
          <w:sz w:val="24"/>
        </w:rPr>
        <w:t xml:space="preserve"> </w:t>
      </w:r>
      <w:r>
        <w:rPr>
          <w:rFonts w:eastAsiaTheme="minorEastAsia"/>
          <w:sz w:val="24"/>
          <w:lang w:bidi="ar"/>
        </w:rPr>
        <w:t>日至</w:t>
      </w:r>
      <w:r>
        <w:rPr>
          <w:rFonts w:hint="eastAsia" w:eastAsiaTheme="minorEastAsia"/>
          <w:sz w:val="24"/>
        </w:rPr>
        <w:t>2026</w:t>
      </w:r>
      <w:r>
        <w:rPr>
          <w:rFonts w:eastAsiaTheme="minorEastAsia"/>
          <w:sz w:val="24"/>
          <w:lang w:bidi="ar"/>
        </w:rPr>
        <w:t>年</w:t>
      </w:r>
      <w:r>
        <w:rPr>
          <w:rFonts w:hint="eastAsia" w:eastAsiaTheme="minorEastAsia"/>
          <w:sz w:val="24"/>
        </w:rPr>
        <w:t xml:space="preserve"> </w:t>
      </w:r>
      <w:r>
        <w:rPr>
          <w:rFonts w:hint="eastAsia" w:eastAsiaTheme="minorEastAsia"/>
          <w:sz w:val="24"/>
          <w:lang w:val="en-US" w:eastAsia="zh-CN"/>
        </w:rPr>
        <w:t>9</w:t>
      </w:r>
      <w:r>
        <w:rPr>
          <w:rFonts w:hint="eastAsia" w:eastAsiaTheme="minorEastAsia"/>
          <w:sz w:val="24"/>
        </w:rPr>
        <w:t xml:space="preserve"> </w:t>
      </w:r>
      <w:r>
        <w:rPr>
          <w:rFonts w:eastAsiaTheme="minorEastAsia"/>
          <w:sz w:val="24"/>
          <w:lang w:bidi="ar"/>
        </w:rPr>
        <w:t>月</w:t>
      </w:r>
      <w:r>
        <w:rPr>
          <w:rFonts w:hint="eastAsia" w:eastAsiaTheme="minorEastAsia"/>
          <w:sz w:val="24"/>
        </w:rPr>
        <w:t xml:space="preserve"> </w:t>
      </w:r>
      <w:r>
        <w:rPr>
          <w:rFonts w:hint="eastAsia" w:eastAsiaTheme="minorEastAsia"/>
          <w:sz w:val="24"/>
          <w:lang w:val="en-US" w:eastAsia="zh-CN"/>
        </w:rPr>
        <w:t xml:space="preserve">1 </w:t>
      </w:r>
      <w:r>
        <w:rPr>
          <w:rFonts w:eastAsiaTheme="minorEastAsia"/>
          <w:sz w:val="24"/>
          <w:lang w:bidi="ar"/>
        </w:rPr>
        <w:t>日，每天上午</w:t>
      </w:r>
      <w:r>
        <w:rPr>
          <w:rFonts w:hint="eastAsia" w:eastAsiaTheme="minorEastAsia"/>
          <w:sz w:val="24"/>
          <w:u w:val="single"/>
          <w:lang w:bidi="ar"/>
        </w:rPr>
        <w:t>9:00</w:t>
      </w:r>
      <w:r>
        <w:rPr>
          <w:rFonts w:eastAsiaTheme="minorEastAsia"/>
          <w:sz w:val="24"/>
          <w:lang w:bidi="ar"/>
        </w:rPr>
        <w:t>至</w:t>
      </w:r>
      <w:r>
        <w:rPr>
          <w:rFonts w:hint="eastAsia" w:eastAsiaTheme="minorEastAsia"/>
          <w:sz w:val="24"/>
          <w:u w:val="single"/>
        </w:rPr>
        <w:t>17:00</w:t>
      </w:r>
      <w:r>
        <w:rPr>
          <w:rFonts w:eastAsiaTheme="minorEastAsia"/>
          <w:sz w:val="24"/>
          <w:lang w:bidi="ar"/>
        </w:rPr>
        <w:t>（北京时间，法定节假日除外）。</w:t>
      </w:r>
    </w:p>
    <w:p w14:paraId="2E15E7AE">
      <w:pPr>
        <w:adjustRightInd w:val="0"/>
        <w:snapToGrid w:val="0"/>
        <w:spacing w:line="360" w:lineRule="auto"/>
        <w:ind w:firstLine="480" w:firstLineChars="200"/>
        <w:rPr>
          <w:rFonts w:eastAsiaTheme="minorEastAsia"/>
          <w:sz w:val="24"/>
        </w:rPr>
      </w:pPr>
      <w:r>
        <w:rPr>
          <w:rFonts w:eastAsiaTheme="minorEastAsia"/>
          <w:sz w:val="24"/>
          <w:lang w:bidi="ar"/>
        </w:rPr>
        <w:t>2.地点：北京市政府采购电子交易平台</w:t>
      </w:r>
    </w:p>
    <w:p w14:paraId="37F655C5">
      <w:pPr>
        <w:widowControl/>
        <w:adjustRightInd w:val="0"/>
        <w:snapToGrid w:val="0"/>
        <w:spacing w:line="360" w:lineRule="auto"/>
        <w:ind w:firstLine="480" w:firstLineChars="200"/>
        <w:jc w:val="left"/>
        <w:rPr>
          <w:rFonts w:eastAsiaTheme="minorEastAsia"/>
          <w:sz w:val="24"/>
          <w:lang w:bidi="ar"/>
        </w:rPr>
      </w:pPr>
      <w:r>
        <w:rPr>
          <w:rFonts w:eastAsiaTheme="minorEastAsia"/>
          <w:sz w:val="24"/>
          <w:lang w:bidi="ar"/>
        </w:rPr>
        <w:t>3.方式：供应商使用CA数字证书</w:t>
      </w:r>
      <w:r>
        <w:rPr>
          <w:sz w:val="24"/>
          <w:lang w:bidi="ar"/>
        </w:rPr>
        <w:t>或电子营业执照</w:t>
      </w:r>
      <w:r>
        <w:rPr>
          <w:rFonts w:eastAsiaTheme="minorEastAsia"/>
          <w:sz w:val="24"/>
          <w:lang w:bidi="ar"/>
        </w:rPr>
        <w:t>登录北京市政府采购电子交易平台（http://zbcg-bjzc.zhongcy.com/bjczj-portal-site/index.html#/home）获取电子版竞争性磋商文件。</w:t>
      </w:r>
    </w:p>
    <w:p w14:paraId="6997CE18">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4.售价：0元。</w:t>
      </w:r>
    </w:p>
    <w:p w14:paraId="04210251">
      <w:pPr>
        <w:pStyle w:val="3"/>
        <w:widowControl/>
        <w:spacing w:before="0" w:line="360" w:lineRule="auto"/>
        <w:jc w:val="left"/>
        <w:rPr>
          <w:rFonts w:ascii="Times New Roman" w:hAnsi="Times New Roman" w:eastAsiaTheme="minorEastAsia"/>
          <w:sz w:val="24"/>
          <w:szCs w:val="24"/>
        </w:rPr>
      </w:pPr>
      <w:bookmarkStart w:id="15" w:name="_Toc35393624"/>
      <w:bookmarkStart w:id="16" w:name="_Toc28359005"/>
      <w:bookmarkStart w:id="17" w:name="_Toc28359082"/>
      <w:bookmarkStart w:id="18" w:name="_Toc35393793"/>
      <w:r>
        <w:rPr>
          <w:rFonts w:ascii="Times New Roman" w:hAnsi="Times New Roman" w:eastAsiaTheme="minorEastAsia"/>
          <w:sz w:val="24"/>
          <w:szCs w:val="24"/>
        </w:rPr>
        <w:t>四、</w:t>
      </w:r>
      <w:bookmarkEnd w:id="15"/>
      <w:bookmarkEnd w:id="16"/>
      <w:bookmarkEnd w:id="17"/>
      <w:bookmarkEnd w:id="18"/>
      <w:r>
        <w:rPr>
          <w:rFonts w:ascii="Times New Roman" w:hAnsi="Times New Roman" w:eastAsiaTheme="minorEastAsia"/>
          <w:sz w:val="24"/>
          <w:szCs w:val="24"/>
        </w:rPr>
        <w:t>响应文件提交</w:t>
      </w:r>
    </w:p>
    <w:p w14:paraId="583A21EA">
      <w:pPr>
        <w:spacing w:line="360" w:lineRule="auto"/>
        <w:ind w:firstLine="480" w:firstLineChars="200"/>
        <w:rPr>
          <w:rFonts w:eastAsiaTheme="minorEastAsia"/>
          <w:bCs/>
          <w:sz w:val="24"/>
          <w:u w:val="single"/>
        </w:rPr>
      </w:pPr>
      <w:r>
        <w:rPr>
          <w:rFonts w:eastAsiaTheme="minorEastAsia"/>
          <w:sz w:val="24"/>
          <w:lang w:bidi="ar"/>
        </w:rPr>
        <w:t>截止时间：</w:t>
      </w:r>
      <w:r>
        <w:rPr>
          <w:rFonts w:hint="eastAsia" w:eastAsiaTheme="minorEastAsia"/>
          <w:sz w:val="24"/>
        </w:rPr>
        <w:t>2026</w:t>
      </w:r>
      <w:r>
        <w:rPr>
          <w:rFonts w:eastAsiaTheme="minorEastAsia"/>
          <w:sz w:val="24"/>
          <w:lang w:bidi="ar"/>
        </w:rPr>
        <w:t>年</w:t>
      </w:r>
      <w:r>
        <w:rPr>
          <w:rFonts w:hint="eastAsia" w:eastAsiaTheme="minorEastAsia"/>
          <w:sz w:val="24"/>
          <w:lang w:bidi="ar"/>
        </w:rPr>
        <w:t xml:space="preserve"> </w:t>
      </w:r>
      <w:r>
        <w:rPr>
          <w:rFonts w:hint="eastAsia" w:eastAsiaTheme="minorEastAsia"/>
          <w:sz w:val="24"/>
          <w:lang w:val="en-US" w:eastAsia="zh-CN" w:bidi="ar"/>
        </w:rPr>
        <w:t>9</w:t>
      </w:r>
      <w:r>
        <w:rPr>
          <w:rFonts w:hint="eastAsia" w:eastAsiaTheme="minorEastAsia"/>
          <w:sz w:val="24"/>
          <w:lang w:bidi="ar"/>
        </w:rPr>
        <w:t xml:space="preserve"> </w:t>
      </w:r>
      <w:r>
        <w:rPr>
          <w:rFonts w:eastAsiaTheme="minorEastAsia"/>
          <w:sz w:val="24"/>
          <w:lang w:bidi="ar"/>
        </w:rPr>
        <w:t>月</w:t>
      </w:r>
      <w:r>
        <w:rPr>
          <w:rFonts w:hint="eastAsia" w:eastAsiaTheme="minorEastAsia"/>
          <w:sz w:val="24"/>
          <w:lang w:bidi="ar"/>
        </w:rPr>
        <w:t xml:space="preserve"> </w:t>
      </w:r>
      <w:r>
        <w:rPr>
          <w:rFonts w:hint="eastAsia" w:eastAsiaTheme="minorEastAsia"/>
          <w:sz w:val="24"/>
          <w:lang w:val="en-US" w:eastAsia="zh-CN" w:bidi="ar"/>
        </w:rPr>
        <w:t>7</w:t>
      </w:r>
      <w:r>
        <w:rPr>
          <w:rFonts w:hint="eastAsia" w:eastAsiaTheme="minorEastAsia"/>
          <w:sz w:val="24"/>
          <w:lang w:bidi="ar"/>
        </w:rPr>
        <w:t xml:space="preserve"> </w:t>
      </w:r>
      <w:r>
        <w:rPr>
          <w:rFonts w:eastAsiaTheme="minorEastAsia"/>
          <w:sz w:val="24"/>
          <w:lang w:bidi="ar"/>
        </w:rPr>
        <w:t>日</w:t>
      </w:r>
      <w:r>
        <w:rPr>
          <w:rFonts w:hint="eastAsia" w:eastAsiaTheme="minorEastAsia"/>
          <w:sz w:val="24"/>
        </w:rPr>
        <w:t>9</w:t>
      </w:r>
      <w:r>
        <w:rPr>
          <w:rFonts w:eastAsiaTheme="minorEastAsia"/>
          <w:sz w:val="24"/>
          <w:lang w:bidi="ar"/>
        </w:rPr>
        <w:t>点</w:t>
      </w:r>
      <w:r>
        <w:rPr>
          <w:rFonts w:hint="eastAsia" w:eastAsiaTheme="minorEastAsia"/>
          <w:sz w:val="24"/>
        </w:rPr>
        <w:t>00</w:t>
      </w:r>
      <w:r>
        <w:rPr>
          <w:rFonts w:eastAsiaTheme="minorEastAsia"/>
          <w:sz w:val="24"/>
          <w:lang w:bidi="ar"/>
        </w:rPr>
        <w:t>分</w:t>
      </w:r>
      <w:r>
        <w:rPr>
          <w:rFonts w:eastAsiaTheme="minorEastAsia"/>
          <w:bCs/>
          <w:sz w:val="24"/>
          <w:lang w:bidi="ar"/>
        </w:rPr>
        <w:t>（北京时间）</w:t>
      </w:r>
      <w:r>
        <w:rPr>
          <w:rFonts w:eastAsiaTheme="minorEastAsia"/>
          <w:iCs/>
          <w:sz w:val="24"/>
          <w:lang w:bidi="ar"/>
        </w:rPr>
        <w:t>。</w:t>
      </w:r>
    </w:p>
    <w:p w14:paraId="2F7790AC">
      <w:pPr>
        <w:spacing w:line="360" w:lineRule="auto"/>
        <w:ind w:firstLine="480" w:firstLineChars="200"/>
        <w:rPr>
          <w:rFonts w:eastAsiaTheme="minorEastAsia"/>
          <w:sz w:val="24"/>
          <w:lang w:val="zh-TW" w:bidi="ar"/>
        </w:rPr>
      </w:pPr>
      <w:r>
        <w:rPr>
          <w:rFonts w:eastAsiaTheme="minorEastAsia"/>
          <w:sz w:val="24"/>
          <w:lang w:bidi="ar"/>
        </w:rPr>
        <w:t>地点：</w:t>
      </w:r>
      <w:r>
        <w:rPr>
          <w:rFonts w:hint="eastAsia" w:eastAsiaTheme="minorEastAsia"/>
          <w:sz w:val="24"/>
          <w:u w:val="single"/>
        </w:rPr>
        <w:t>北京市政府采购电子交易平台</w:t>
      </w:r>
      <w:r>
        <w:rPr>
          <w:rFonts w:eastAsiaTheme="minorEastAsia"/>
          <w:sz w:val="24"/>
          <w:u w:val="single"/>
          <w:lang w:val="zh-TW" w:bidi="ar"/>
        </w:rPr>
        <w:t>。</w:t>
      </w:r>
    </w:p>
    <w:p w14:paraId="6ABF4EEB">
      <w:pPr>
        <w:spacing w:line="360" w:lineRule="auto"/>
        <w:ind w:firstLine="480" w:firstLineChars="200"/>
        <w:rPr>
          <w:rFonts w:eastAsiaTheme="minorEastAsia"/>
          <w:sz w:val="24"/>
          <w:lang w:val="zh-TW" w:bidi="ar"/>
        </w:rPr>
      </w:pPr>
    </w:p>
    <w:p w14:paraId="05EFCA8C">
      <w:pPr>
        <w:pStyle w:val="3"/>
        <w:spacing w:before="0" w:line="360" w:lineRule="auto"/>
        <w:jc w:val="left"/>
        <w:rPr>
          <w:rFonts w:ascii="Times New Roman" w:hAnsi="Times New Roman" w:eastAsiaTheme="minorEastAsia"/>
          <w:sz w:val="24"/>
          <w:szCs w:val="24"/>
        </w:rPr>
      </w:pPr>
      <w:r>
        <w:rPr>
          <w:rFonts w:ascii="Times New Roman" w:hAnsi="Times New Roman" w:eastAsiaTheme="minorEastAsia"/>
          <w:sz w:val="24"/>
          <w:szCs w:val="24"/>
        </w:rPr>
        <w:t>五、开启</w:t>
      </w:r>
    </w:p>
    <w:p w14:paraId="57E6CFDF">
      <w:pPr>
        <w:spacing w:line="360" w:lineRule="auto"/>
        <w:ind w:firstLine="480" w:firstLineChars="200"/>
        <w:rPr>
          <w:rFonts w:eastAsiaTheme="minorEastAsia"/>
          <w:bCs/>
          <w:sz w:val="24"/>
          <w:u w:val="single"/>
        </w:rPr>
      </w:pPr>
      <w:r>
        <w:rPr>
          <w:rFonts w:eastAsiaTheme="minorEastAsia"/>
          <w:sz w:val="24"/>
          <w:lang w:bidi="ar"/>
        </w:rPr>
        <w:t>时间：</w:t>
      </w:r>
      <w:r>
        <w:rPr>
          <w:rFonts w:hint="eastAsia" w:eastAsiaTheme="minorEastAsia"/>
          <w:sz w:val="24"/>
        </w:rPr>
        <w:t>2026</w:t>
      </w:r>
      <w:r>
        <w:rPr>
          <w:rFonts w:eastAsiaTheme="minorEastAsia"/>
          <w:sz w:val="24"/>
          <w:lang w:bidi="ar"/>
        </w:rPr>
        <w:t>年</w:t>
      </w:r>
      <w:r>
        <w:rPr>
          <w:rFonts w:hint="eastAsia" w:eastAsiaTheme="minorEastAsia"/>
          <w:sz w:val="24"/>
          <w:lang w:bidi="ar"/>
        </w:rPr>
        <w:t xml:space="preserve"> </w:t>
      </w:r>
      <w:r>
        <w:rPr>
          <w:rFonts w:hint="eastAsia" w:eastAsiaTheme="minorEastAsia"/>
          <w:sz w:val="24"/>
          <w:lang w:val="en-US" w:eastAsia="zh-CN" w:bidi="ar"/>
        </w:rPr>
        <w:t>9</w:t>
      </w:r>
      <w:r>
        <w:rPr>
          <w:rFonts w:hint="eastAsia" w:eastAsiaTheme="minorEastAsia"/>
          <w:sz w:val="24"/>
          <w:lang w:bidi="ar"/>
        </w:rPr>
        <w:t xml:space="preserve"> </w:t>
      </w:r>
      <w:r>
        <w:rPr>
          <w:rFonts w:eastAsiaTheme="minorEastAsia"/>
          <w:sz w:val="24"/>
          <w:lang w:bidi="ar"/>
        </w:rPr>
        <w:t>月</w:t>
      </w:r>
      <w:r>
        <w:rPr>
          <w:rFonts w:hint="eastAsia" w:eastAsiaTheme="minorEastAsia"/>
          <w:sz w:val="24"/>
          <w:lang w:bidi="ar"/>
        </w:rPr>
        <w:t xml:space="preserve"> </w:t>
      </w:r>
      <w:r>
        <w:rPr>
          <w:rFonts w:hint="eastAsia" w:eastAsiaTheme="minorEastAsia"/>
          <w:sz w:val="24"/>
          <w:lang w:val="en-US" w:eastAsia="zh-CN" w:bidi="ar"/>
        </w:rPr>
        <w:t>7</w:t>
      </w:r>
      <w:r>
        <w:rPr>
          <w:rFonts w:hint="eastAsia" w:eastAsiaTheme="minorEastAsia"/>
          <w:sz w:val="24"/>
          <w:lang w:bidi="ar"/>
        </w:rPr>
        <w:t xml:space="preserve"> </w:t>
      </w:r>
      <w:r>
        <w:rPr>
          <w:rFonts w:eastAsiaTheme="minorEastAsia"/>
          <w:sz w:val="24"/>
          <w:lang w:bidi="ar"/>
        </w:rPr>
        <w:t>日</w:t>
      </w:r>
      <w:r>
        <w:rPr>
          <w:rFonts w:hint="eastAsia" w:eastAsiaTheme="minorEastAsia"/>
          <w:sz w:val="24"/>
        </w:rPr>
        <w:t>9</w:t>
      </w:r>
      <w:r>
        <w:rPr>
          <w:rFonts w:eastAsiaTheme="minorEastAsia"/>
          <w:sz w:val="24"/>
          <w:lang w:bidi="ar"/>
        </w:rPr>
        <w:t>点</w:t>
      </w:r>
      <w:r>
        <w:rPr>
          <w:rFonts w:hint="eastAsia" w:eastAsiaTheme="minorEastAsia"/>
          <w:sz w:val="24"/>
        </w:rPr>
        <w:t>00</w:t>
      </w:r>
      <w:r>
        <w:rPr>
          <w:rFonts w:eastAsiaTheme="minorEastAsia"/>
          <w:sz w:val="24"/>
          <w:lang w:bidi="ar"/>
        </w:rPr>
        <w:t>分</w:t>
      </w:r>
      <w:r>
        <w:rPr>
          <w:rFonts w:eastAsiaTheme="minorEastAsia"/>
          <w:bCs/>
          <w:sz w:val="24"/>
          <w:lang w:bidi="ar"/>
        </w:rPr>
        <w:t>（北京时间）</w:t>
      </w:r>
      <w:r>
        <w:rPr>
          <w:rFonts w:eastAsiaTheme="minorEastAsia"/>
          <w:iCs/>
          <w:sz w:val="24"/>
          <w:lang w:bidi="ar"/>
        </w:rPr>
        <w:t>。</w:t>
      </w:r>
    </w:p>
    <w:p w14:paraId="3F52D25E">
      <w:pPr>
        <w:spacing w:line="360" w:lineRule="auto"/>
        <w:ind w:firstLine="480" w:firstLineChars="200"/>
        <w:rPr>
          <w:rFonts w:eastAsiaTheme="minorEastAsia"/>
          <w:bCs/>
          <w:sz w:val="24"/>
          <w:u w:val="single"/>
        </w:rPr>
      </w:pPr>
      <w:r>
        <w:rPr>
          <w:rFonts w:eastAsiaTheme="minorEastAsia"/>
          <w:sz w:val="24"/>
          <w:lang w:bidi="ar"/>
        </w:rPr>
        <w:t>地点：</w:t>
      </w:r>
      <w:r>
        <w:rPr>
          <w:rFonts w:hint="eastAsia" w:eastAsiaTheme="minorEastAsia"/>
          <w:sz w:val="24"/>
          <w:u w:val="single"/>
        </w:rPr>
        <w:t>北京市政府采购电子交易平台</w:t>
      </w:r>
      <w:r>
        <w:rPr>
          <w:rFonts w:eastAsiaTheme="minorEastAsia"/>
          <w:sz w:val="24"/>
          <w:u w:val="single"/>
          <w:lang w:val="zh-TW" w:bidi="ar"/>
        </w:rPr>
        <w:t>。</w:t>
      </w:r>
    </w:p>
    <w:p w14:paraId="28B54DB3">
      <w:pPr>
        <w:pStyle w:val="3"/>
        <w:spacing w:before="0" w:line="360" w:lineRule="auto"/>
        <w:jc w:val="left"/>
        <w:rPr>
          <w:rFonts w:ascii="Times New Roman" w:hAnsi="Times New Roman" w:eastAsiaTheme="minorEastAsia"/>
          <w:sz w:val="24"/>
          <w:szCs w:val="24"/>
        </w:rPr>
      </w:pPr>
      <w:bookmarkStart w:id="19" w:name="_Toc28359007"/>
      <w:bookmarkStart w:id="20" w:name="_Toc28359084"/>
      <w:bookmarkStart w:id="21" w:name="_Toc35393794"/>
      <w:bookmarkStart w:id="22" w:name="_Toc35393625"/>
      <w:r>
        <w:rPr>
          <w:rFonts w:ascii="Times New Roman" w:hAnsi="Times New Roman" w:eastAsiaTheme="minorEastAsia"/>
          <w:sz w:val="24"/>
          <w:szCs w:val="24"/>
        </w:rPr>
        <w:t>六、公告期限</w:t>
      </w:r>
      <w:bookmarkEnd w:id="19"/>
      <w:bookmarkEnd w:id="20"/>
      <w:bookmarkEnd w:id="21"/>
      <w:bookmarkEnd w:id="22"/>
    </w:p>
    <w:p w14:paraId="4473A1E6">
      <w:pPr>
        <w:spacing w:line="360" w:lineRule="auto"/>
        <w:ind w:firstLine="480" w:firstLineChars="200"/>
        <w:rPr>
          <w:rFonts w:eastAsiaTheme="minorEastAsia"/>
          <w:kern w:val="0"/>
          <w:sz w:val="24"/>
        </w:rPr>
      </w:pPr>
      <w:r>
        <w:rPr>
          <w:rFonts w:eastAsiaTheme="minorEastAsia"/>
          <w:kern w:val="0"/>
          <w:sz w:val="24"/>
        </w:rPr>
        <w:t>自本公告发布之日起</w:t>
      </w:r>
      <w:r>
        <w:rPr>
          <w:rFonts w:hint="eastAsia" w:eastAsiaTheme="minorEastAsia"/>
          <w:kern w:val="0"/>
          <w:sz w:val="24"/>
        </w:rPr>
        <w:t>5</w:t>
      </w:r>
      <w:r>
        <w:rPr>
          <w:rFonts w:eastAsiaTheme="minorEastAsia"/>
          <w:kern w:val="0"/>
          <w:sz w:val="24"/>
        </w:rPr>
        <w:t>个工作日。</w:t>
      </w:r>
    </w:p>
    <w:p w14:paraId="2837F486">
      <w:pPr>
        <w:pStyle w:val="3"/>
        <w:spacing w:before="0" w:line="360" w:lineRule="auto"/>
        <w:jc w:val="left"/>
        <w:rPr>
          <w:rFonts w:ascii="Times New Roman" w:hAnsi="Times New Roman" w:eastAsiaTheme="minorEastAsia"/>
          <w:sz w:val="24"/>
          <w:szCs w:val="24"/>
        </w:rPr>
      </w:pPr>
      <w:bookmarkStart w:id="23" w:name="_Toc35393795"/>
      <w:bookmarkStart w:id="24" w:name="_Toc35393626"/>
      <w:r>
        <w:rPr>
          <w:rFonts w:ascii="Times New Roman" w:hAnsi="Times New Roman" w:eastAsiaTheme="minorEastAsia"/>
          <w:sz w:val="24"/>
          <w:szCs w:val="24"/>
        </w:rPr>
        <w:t>七、其他补充事宜</w:t>
      </w:r>
      <w:bookmarkEnd w:id="23"/>
      <w:bookmarkEnd w:id="24"/>
    </w:p>
    <w:p w14:paraId="7CA52B16">
      <w:pPr>
        <w:spacing w:line="360" w:lineRule="auto"/>
        <w:ind w:firstLine="480" w:firstLineChars="200"/>
        <w:rPr>
          <w:rFonts w:eastAsiaTheme="minorEastAsia"/>
          <w:sz w:val="24"/>
        </w:rPr>
      </w:pPr>
      <w:r>
        <w:rPr>
          <w:rFonts w:eastAsiaTheme="minorEastAsia"/>
          <w:sz w:val="24"/>
        </w:rPr>
        <w:t>1.本项目需要落实的政府采购政策：</w:t>
      </w:r>
    </w:p>
    <w:p w14:paraId="77116B5A">
      <w:pPr>
        <w:spacing w:line="360" w:lineRule="auto"/>
        <w:ind w:firstLine="480" w:firstLineChars="200"/>
        <w:rPr>
          <w:rFonts w:eastAsiaTheme="minorEastAsia"/>
          <w:sz w:val="24"/>
        </w:rPr>
      </w:pPr>
      <w:r>
        <w:rPr>
          <w:rFonts w:hint="eastAsia" w:eastAsiaTheme="minorEastAsia"/>
          <w:sz w:val="24"/>
        </w:rPr>
        <w:t>(1)《政府采购促进中小企业发展管理办法》（财库〔2020〕46 号）；</w:t>
      </w:r>
    </w:p>
    <w:p w14:paraId="764EF434">
      <w:pPr>
        <w:spacing w:line="360" w:lineRule="auto"/>
        <w:ind w:firstLine="480" w:firstLineChars="200"/>
        <w:rPr>
          <w:rFonts w:eastAsiaTheme="minorEastAsia"/>
          <w:sz w:val="24"/>
        </w:rPr>
      </w:pPr>
      <w:r>
        <w:rPr>
          <w:rFonts w:hint="eastAsia" w:eastAsiaTheme="minorEastAsia"/>
          <w:sz w:val="24"/>
        </w:rPr>
        <w:t>(2)《关于进一步加大政府采购支持中小企业力度的通知》（财库〔2022〕19 号）；</w:t>
      </w:r>
    </w:p>
    <w:p w14:paraId="13E8BBDB">
      <w:pPr>
        <w:spacing w:line="360" w:lineRule="auto"/>
        <w:ind w:firstLine="480" w:firstLineChars="200"/>
        <w:rPr>
          <w:rFonts w:eastAsiaTheme="minorEastAsia"/>
          <w:sz w:val="24"/>
        </w:rPr>
      </w:pPr>
      <w:r>
        <w:rPr>
          <w:rFonts w:hint="eastAsia" w:eastAsiaTheme="minorEastAsia"/>
          <w:sz w:val="24"/>
        </w:rPr>
        <w:t>(3)《财政部 司法部关于政府采购支持监狱企业发展有关问题的通知》（财库〔2014〕68 号）；</w:t>
      </w:r>
    </w:p>
    <w:p w14:paraId="4F5B71D7">
      <w:pPr>
        <w:spacing w:line="360" w:lineRule="auto"/>
        <w:ind w:firstLine="480" w:firstLineChars="200"/>
        <w:rPr>
          <w:rFonts w:eastAsiaTheme="minorEastAsia"/>
          <w:sz w:val="24"/>
        </w:rPr>
      </w:pPr>
      <w:r>
        <w:rPr>
          <w:rFonts w:hint="eastAsia" w:eastAsiaTheme="minorEastAsia"/>
          <w:sz w:val="24"/>
        </w:rPr>
        <w:t>(4)《关于促进残疾人就业政府采购政策的通知》（财库〔2017〕141 号）；</w:t>
      </w:r>
    </w:p>
    <w:p w14:paraId="6F96A780">
      <w:pPr>
        <w:spacing w:line="360" w:lineRule="auto"/>
        <w:ind w:firstLine="480" w:firstLineChars="200"/>
        <w:rPr>
          <w:rFonts w:eastAsiaTheme="minorEastAsia"/>
          <w:sz w:val="24"/>
        </w:rPr>
      </w:pPr>
      <w:r>
        <w:rPr>
          <w:rFonts w:hint="eastAsia" w:eastAsiaTheme="minorEastAsia"/>
          <w:sz w:val="24"/>
        </w:rPr>
        <w:t>(5)《国务院办公厅关于建立政府强制采购节能产品制度的通知》（国办发〔2007〕51 号）；</w:t>
      </w:r>
    </w:p>
    <w:p w14:paraId="498D4E7A">
      <w:pPr>
        <w:spacing w:line="360" w:lineRule="auto"/>
        <w:ind w:firstLine="480" w:firstLineChars="200"/>
        <w:rPr>
          <w:rFonts w:eastAsiaTheme="minorEastAsia"/>
          <w:sz w:val="24"/>
        </w:rPr>
      </w:pPr>
      <w:r>
        <w:rPr>
          <w:rFonts w:hint="eastAsia" w:eastAsiaTheme="minorEastAsia"/>
          <w:sz w:val="24"/>
        </w:rPr>
        <w:t>(6)《关于调整优化节能产品、环境标志产品政府采购执行机制的通知》（财库〔2019〕9 号）；</w:t>
      </w:r>
    </w:p>
    <w:p w14:paraId="3C6E03A6">
      <w:pPr>
        <w:spacing w:line="360" w:lineRule="auto"/>
        <w:ind w:firstLine="480" w:firstLineChars="200"/>
        <w:rPr>
          <w:rFonts w:eastAsiaTheme="minorEastAsia"/>
          <w:sz w:val="24"/>
        </w:rPr>
      </w:pPr>
      <w:r>
        <w:rPr>
          <w:rFonts w:hint="eastAsia" w:eastAsiaTheme="minorEastAsia"/>
          <w:sz w:val="24"/>
        </w:rPr>
        <w:t>(7)《关于印发环境标志产品政府采购品目清单的通知》（财库〔2019〕18 号）；</w:t>
      </w:r>
    </w:p>
    <w:p w14:paraId="3A036573">
      <w:pPr>
        <w:spacing w:line="360" w:lineRule="auto"/>
        <w:ind w:firstLine="480" w:firstLineChars="200"/>
        <w:rPr>
          <w:rFonts w:eastAsiaTheme="minorEastAsia"/>
          <w:sz w:val="24"/>
        </w:rPr>
      </w:pPr>
      <w:r>
        <w:rPr>
          <w:rFonts w:hint="eastAsia" w:eastAsiaTheme="minorEastAsia"/>
          <w:sz w:val="24"/>
        </w:rPr>
        <w:t>(8)《关于印发节能产品政府采购品目清单的通知》（财库〔2019〕19 号）；</w:t>
      </w:r>
    </w:p>
    <w:p w14:paraId="35B21F96">
      <w:pPr>
        <w:spacing w:line="360" w:lineRule="auto"/>
        <w:ind w:firstLine="480" w:firstLineChars="200"/>
        <w:rPr>
          <w:rFonts w:eastAsiaTheme="minorEastAsia"/>
          <w:sz w:val="24"/>
        </w:rPr>
      </w:pPr>
      <w:r>
        <w:rPr>
          <w:rFonts w:hint="eastAsia" w:eastAsiaTheme="minorEastAsia"/>
          <w:sz w:val="24"/>
        </w:rPr>
        <w:t>(9)《关于印发中小企业划型标准规定的通知》（工信部联企业〔2011〕300 号）；</w:t>
      </w:r>
    </w:p>
    <w:p w14:paraId="2270AFAC">
      <w:pPr>
        <w:spacing w:line="360" w:lineRule="auto"/>
        <w:ind w:firstLine="480" w:firstLineChars="200"/>
        <w:rPr>
          <w:rFonts w:eastAsiaTheme="minorEastAsia"/>
          <w:sz w:val="24"/>
        </w:rPr>
      </w:pPr>
      <w:r>
        <w:rPr>
          <w:rFonts w:hint="eastAsia" w:eastAsiaTheme="minorEastAsia"/>
          <w:sz w:val="24"/>
        </w:rPr>
        <w:t>(10)《北京市财政局关于进一步优化政府采购营商环境的通知》（京财采购〔2021〕741 号）；</w:t>
      </w:r>
    </w:p>
    <w:p w14:paraId="4F5651EE">
      <w:pPr>
        <w:spacing w:line="360" w:lineRule="auto"/>
        <w:ind w:firstLine="480" w:firstLineChars="200"/>
        <w:rPr>
          <w:rFonts w:eastAsiaTheme="minorEastAsia"/>
          <w:sz w:val="24"/>
        </w:rPr>
      </w:pPr>
      <w:r>
        <w:rPr>
          <w:rFonts w:hint="eastAsia" w:eastAsiaTheme="minorEastAsia"/>
          <w:sz w:val="24"/>
        </w:rPr>
        <w:t>(11)《关于推动解决政府采购异常低价问题的通知》（财库〔2026〕2 号）；</w:t>
      </w:r>
    </w:p>
    <w:p w14:paraId="787C69EC">
      <w:pPr>
        <w:spacing w:line="360" w:lineRule="auto"/>
        <w:ind w:firstLine="480" w:firstLineChars="200"/>
        <w:rPr>
          <w:rFonts w:eastAsiaTheme="minorEastAsia"/>
          <w:sz w:val="24"/>
        </w:rPr>
      </w:pPr>
    </w:p>
    <w:p w14:paraId="5F21BF20">
      <w:pPr>
        <w:spacing w:line="360" w:lineRule="auto"/>
        <w:ind w:firstLine="480" w:firstLineChars="200"/>
        <w:rPr>
          <w:rFonts w:eastAsiaTheme="minorEastAsia"/>
          <w:sz w:val="24"/>
        </w:rPr>
      </w:pPr>
      <w:r>
        <w:rPr>
          <w:rFonts w:hint="eastAsia" w:eastAsiaTheme="minorEastAsia"/>
          <w:sz w:val="24"/>
        </w:rPr>
        <w:t>(12)《北京市财政局关于落实好政府采购支持中小企业发展的通知》（京财采购〔2022〕1143 号）；</w:t>
      </w:r>
    </w:p>
    <w:p w14:paraId="7A7C08E7">
      <w:pPr>
        <w:spacing w:line="360" w:lineRule="auto"/>
        <w:ind w:firstLine="480" w:firstLineChars="200"/>
        <w:rPr>
          <w:rFonts w:eastAsiaTheme="minorEastAsia"/>
          <w:sz w:val="24"/>
        </w:rPr>
      </w:pPr>
      <w:r>
        <w:rPr>
          <w:rFonts w:hint="eastAsia" w:eastAsiaTheme="minorEastAsia"/>
          <w:sz w:val="24"/>
        </w:rPr>
        <w:t>(13)国务院办公厅关于在政府采购中实施本国产品标准及相关政策的通知》（国办发〔2025〕34号）和《关于贯彻落实&lt;国务院办公厅关于在政府采购中实施本国产品标准及相关政策的通知&gt;的意见》（财库〔2025〕30号）；</w:t>
      </w:r>
    </w:p>
    <w:p w14:paraId="7435A723">
      <w:pPr>
        <w:spacing w:line="360" w:lineRule="auto"/>
        <w:ind w:firstLine="480" w:firstLineChars="200"/>
        <w:rPr>
          <w:rFonts w:eastAsiaTheme="minorEastAsia"/>
          <w:sz w:val="24"/>
        </w:rPr>
      </w:pPr>
      <w:r>
        <w:rPr>
          <w:rFonts w:hint="eastAsia" w:eastAsiaTheme="minorEastAsia"/>
          <w:sz w:val="24"/>
        </w:rPr>
        <w:t>(14)《财政部 农业农村部 国家乡村振兴局关于运用政府采购政策支持乡村产业振兴的通知》（财库〔2021〕19 号）；</w:t>
      </w:r>
    </w:p>
    <w:p w14:paraId="76128F82">
      <w:pPr>
        <w:spacing w:line="360" w:lineRule="auto"/>
        <w:ind w:firstLine="480" w:firstLineChars="200"/>
        <w:rPr>
          <w:rFonts w:eastAsiaTheme="minorEastAsia"/>
          <w:sz w:val="24"/>
        </w:rPr>
      </w:pPr>
      <w:r>
        <w:rPr>
          <w:rFonts w:eastAsiaTheme="minorEastAsia"/>
          <w:sz w:val="24"/>
        </w:rPr>
        <w:t>2.</w:t>
      </w:r>
      <w:r>
        <w:rPr>
          <w:rFonts w:hint="eastAsia" w:eastAsiaTheme="minorEastAsia"/>
          <w:sz w:val="24"/>
        </w:rPr>
        <w:t>本次招标公告在《北京市政府采购网》《中国政府采购网》上发布。凡对本次项目提出询问，请与我公司联系。</w:t>
      </w:r>
    </w:p>
    <w:p w14:paraId="6F3AE5D0">
      <w:pPr>
        <w:widowControl/>
        <w:adjustRightInd w:val="0"/>
        <w:snapToGrid w:val="0"/>
        <w:spacing w:line="360" w:lineRule="auto"/>
        <w:ind w:firstLine="480" w:firstLineChars="200"/>
        <w:jc w:val="left"/>
        <w:rPr>
          <w:rFonts w:eastAsiaTheme="minorEastAsia"/>
          <w:bCs/>
          <w:sz w:val="24"/>
          <w:lang w:bidi="ar"/>
        </w:rPr>
      </w:pPr>
      <w:r>
        <w:rPr>
          <w:rFonts w:eastAsiaTheme="minorEastAsia"/>
          <w:sz w:val="24"/>
          <w:lang w:bidi="ar"/>
        </w:rPr>
        <w:t>3.本项目采用全流程电子化采购方式，请供应商认真学习北京市政府采购电子交易平台发布的相关操作手册</w:t>
      </w:r>
      <w:r>
        <w:rPr>
          <w:sz w:val="24"/>
          <w:lang w:bidi="ar"/>
        </w:rPr>
        <w:t>（供应商可在交易平台下载相关手册）</w:t>
      </w:r>
      <w:r>
        <w:rPr>
          <w:rFonts w:eastAsiaTheme="minorEastAsia"/>
          <w:sz w:val="24"/>
          <w:lang w:bidi="ar"/>
        </w:rPr>
        <w:t>，办理CA数字证书</w:t>
      </w:r>
      <w:r>
        <w:rPr>
          <w:sz w:val="24"/>
          <w:lang w:bidi="ar"/>
        </w:rPr>
        <w:t>或电子营业执照</w:t>
      </w:r>
      <w:r>
        <w:rPr>
          <w:rFonts w:eastAsiaTheme="minorEastAsia"/>
          <w:sz w:val="24"/>
          <w:lang w:bidi="ar"/>
        </w:rPr>
        <w:t>、进行北京市政府采购电子交易平台注册绑定，并认真核实</w:t>
      </w:r>
      <w:r>
        <w:rPr>
          <w:rFonts w:eastAsiaTheme="minorEastAsia"/>
          <w:bCs/>
          <w:sz w:val="24"/>
          <w:lang w:bidi="ar"/>
        </w:rPr>
        <w:t>CA数字证书</w:t>
      </w:r>
      <w:r>
        <w:rPr>
          <w:sz w:val="24"/>
          <w:lang w:bidi="ar"/>
        </w:rPr>
        <w:t>或电子营业执照</w:t>
      </w:r>
      <w:r>
        <w:rPr>
          <w:rFonts w:eastAsiaTheme="minorEastAsia"/>
          <w:bCs/>
          <w:sz w:val="24"/>
          <w:lang w:bidi="ar"/>
        </w:rPr>
        <w:t>情况确认是否符合本项目电子化采购流程要求。</w:t>
      </w:r>
    </w:p>
    <w:p w14:paraId="75DB4CE1">
      <w:pPr>
        <w:adjustRightInd w:val="0"/>
        <w:snapToGrid w:val="0"/>
        <w:spacing w:line="360" w:lineRule="auto"/>
        <w:ind w:firstLine="480" w:firstLineChars="200"/>
        <w:rPr>
          <w:rFonts w:eastAsiaTheme="minorEastAsia"/>
          <w:sz w:val="24"/>
        </w:rPr>
      </w:pPr>
      <w:r>
        <w:rPr>
          <w:rFonts w:eastAsiaTheme="minorEastAsia"/>
          <w:sz w:val="24"/>
          <w:lang w:bidi="ar"/>
        </w:rPr>
        <w:t>CA数字证书服务热线 010-58511086</w:t>
      </w:r>
    </w:p>
    <w:p w14:paraId="3B6C52F4">
      <w:pPr>
        <w:adjustRightInd w:val="0"/>
        <w:snapToGrid w:val="0"/>
        <w:spacing w:line="360" w:lineRule="auto"/>
        <w:ind w:firstLine="480" w:firstLineChars="200"/>
        <w:rPr>
          <w:sz w:val="24"/>
        </w:rPr>
      </w:pPr>
      <w:r>
        <w:rPr>
          <w:sz w:val="24"/>
          <w:lang w:bidi="ar"/>
        </w:rPr>
        <w:t>电子营业执照服务热线 400-699-7000</w:t>
      </w:r>
    </w:p>
    <w:p w14:paraId="059F2FF0">
      <w:pPr>
        <w:adjustRightInd w:val="0"/>
        <w:snapToGrid w:val="0"/>
        <w:spacing w:line="360" w:lineRule="auto"/>
        <w:ind w:firstLine="480" w:firstLineChars="200"/>
        <w:rPr>
          <w:rFonts w:eastAsiaTheme="minorEastAsia"/>
          <w:sz w:val="24"/>
        </w:rPr>
      </w:pPr>
      <w:r>
        <w:rPr>
          <w:rFonts w:eastAsiaTheme="minorEastAsia"/>
          <w:sz w:val="24"/>
          <w:lang w:bidi="ar"/>
        </w:rPr>
        <w:t xml:space="preserve">技术支持服务热线    010-86483801    </w:t>
      </w:r>
    </w:p>
    <w:p w14:paraId="7C87B9CA">
      <w:pPr>
        <w:widowControl/>
        <w:adjustRightInd w:val="0"/>
        <w:snapToGrid w:val="0"/>
        <w:spacing w:line="360" w:lineRule="auto"/>
        <w:ind w:firstLine="480" w:firstLineChars="200"/>
        <w:jc w:val="left"/>
        <w:rPr>
          <w:rFonts w:eastAsiaTheme="minorEastAsia"/>
          <w:sz w:val="24"/>
          <w:lang w:bidi="ar"/>
        </w:rPr>
      </w:pPr>
      <w:r>
        <w:rPr>
          <w:rFonts w:eastAsiaTheme="minorEastAsia"/>
          <w:sz w:val="24"/>
          <w:lang w:bidi="ar"/>
        </w:rPr>
        <w:t>3.1办理CA数字证书</w:t>
      </w:r>
      <w:r>
        <w:rPr>
          <w:sz w:val="24"/>
          <w:lang w:bidi="ar"/>
        </w:rPr>
        <w:t>或电子营业执照</w:t>
      </w:r>
    </w:p>
    <w:p w14:paraId="49AC74A9">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供应商登录北京市政府采购电子交易平台查阅 “用户指南”—“操作指南”—“市场主体CA办理操作流程指引”</w:t>
      </w:r>
      <w:r>
        <w:rPr>
          <w:sz w:val="24"/>
          <w:lang w:bidi="ar"/>
        </w:rPr>
        <w:t>/“电子营业执照使用指南”</w:t>
      </w:r>
      <w:r>
        <w:rPr>
          <w:rFonts w:eastAsiaTheme="minorEastAsia"/>
          <w:sz w:val="24"/>
          <w:lang w:bidi="ar"/>
        </w:rPr>
        <w:t>，按照程序要求办理。</w:t>
      </w:r>
    </w:p>
    <w:p w14:paraId="2ADE49C0">
      <w:pPr>
        <w:adjustRightInd w:val="0"/>
        <w:snapToGrid w:val="0"/>
        <w:spacing w:line="360" w:lineRule="auto"/>
        <w:ind w:firstLine="480" w:firstLineChars="200"/>
        <w:rPr>
          <w:rFonts w:eastAsiaTheme="minorEastAsia"/>
          <w:sz w:val="24"/>
          <w:lang w:bidi="ar"/>
        </w:rPr>
      </w:pPr>
      <w:r>
        <w:rPr>
          <w:rFonts w:eastAsiaTheme="minorEastAsia"/>
          <w:sz w:val="24"/>
          <w:lang w:bidi="ar"/>
        </w:rPr>
        <w:t>3.2注册</w:t>
      </w:r>
    </w:p>
    <w:p w14:paraId="590E14BC">
      <w:pPr>
        <w:adjustRightInd w:val="0"/>
        <w:snapToGrid w:val="0"/>
        <w:spacing w:line="360" w:lineRule="auto"/>
        <w:ind w:firstLine="480" w:firstLineChars="200"/>
        <w:rPr>
          <w:rFonts w:eastAsiaTheme="minorEastAsia"/>
          <w:sz w:val="24"/>
        </w:rPr>
      </w:pPr>
      <w:r>
        <w:rPr>
          <w:rFonts w:eastAsiaTheme="minorEastAsia"/>
          <w:sz w:val="24"/>
          <w:lang w:bidi="ar"/>
        </w:rPr>
        <w:t>供应商登录北京市政府采购电子交易平台“用户指南”—“操作指南”—“市场主体注册入库操作流程指引”进行自助注册绑定。</w:t>
      </w:r>
    </w:p>
    <w:p w14:paraId="72C430D5">
      <w:pPr>
        <w:widowControl/>
        <w:adjustRightInd w:val="0"/>
        <w:snapToGrid w:val="0"/>
        <w:spacing w:line="360" w:lineRule="auto"/>
        <w:ind w:firstLine="480" w:firstLineChars="200"/>
        <w:jc w:val="left"/>
        <w:rPr>
          <w:rFonts w:eastAsiaTheme="minorEastAsia"/>
          <w:sz w:val="24"/>
          <w:lang w:bidi="ar"/>
        </w:rPr>
      </w:pPr>
      <w:r>
        <w:rPr>
          <w:rFonts w:eastAsiaTheme="minorEastAsia"/>
          <w:sz w:val="24"/>
          <w:lang w:bidi="ar"/>
        </w:rPr>
        <w:t>3.3驱动、客户端下载</w:t>
      </w:r>
    </w:p>
    <w:p w14:paraId="2B7A346F">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供应商登录北京市政府采购电子交易平台“用户指南”—“工具下载”—“招标采购系统文件驱动安装包”下载相关驱动。</w:t>
      </w:r>
    </w:p>
    <w:p w14:paraId="3B517721">
      <w:pPr>
        <w:adjustRightInd w:val="0"/>
        <w:snapToGrid w:val="0"/>
        <w:spacing w:line="360" w:lineRule="auto"/>
        <w:ind w:firstLine="480" w:firstLineChars="200"/>
        <w:rPr>
          <w:rFonts w:eastAsiaTheme="minorEastAsia"/>
          <w:sz w:val="24"/>
          <w:lang w:bidi="ar"/>
        </w:rPr>
      </w:pPr>
      <w:r>
        <w:rPr>
          <w:rFonts w:eastAsiaTheme="minorEastAsia"/>
          <w:sz w:val="24"/>
          <w:lang w:bidi="ar"/>
        </w:rPr>
        <w:t>供应商登录北京市政府采购电子交易平台“用户指南”—“工具下载”—“投标文件编制工具”下载相关客户端。</w:t>
      </w:r>
    </w:p>
    <w:p w14:paraId="172016E5">
      <w:pPr>
        <w:adjustRightInd w:val="0"/>
        <w:snapToGrid w:val="0"/>
        <w:spacing w:line="360" w:lineRule="auto"/>
        <w:ind w:firstLine="480" w:firstLineChars="200"/>
        <w:rPr>
          <w:rFonts w:eastAsiaTheme="minorEastAsia"/>
          <w:sz w:val="24"/>
          <w:lang w:bidi="ar"/>
        </w:rPr>
      </w:pPr>
      <w:r>
        <w:rPr>
          <w:rFonts w:eastAsiaTheme="minorEastAsia"/>
          <w:sz w:val="24"/>
          <w:lang w:bidi="ar"/>
        </w:rPr>
        <w:t>3.4 获取电子竞争性磋商文件</w:t>
      </w:r>
    </w:p>
    <w:p w14:paraId="6B6FD6A9">
      <w:pPr>
        <w:adjustRightInd w:val="0"/>
        <w:snapToGrid w:val="0"/>
        <w:spacing w:line="360" w:lineRule="auto"/>
        <w:ind w:firstLine="480" w:firstLineChars="200"/>
        <w:rPr>
          <w:rFonts w:eastAsiaTheme="minorEastAsia"/>
          <w:sz w:val="24"/>
          <w:lang w:bidi="ar"/>
        </w:rPr>
      </w:pPr>
      <w:r>
        <w:rPr>
          <w:rFonts w:eastAsiaTheme="minorEastAsia"/>
          <w:sz w:val="24"/>
          <w:lang w:bidi="ar"/>
        </w:rPr>
        <w:t>供应商使用CA数字证书</w:t>
      </w:r>
      <w:r>
        <w:rPr>
          <w:sz w:val="24"/>
          <w:lang w:bidi="ar"/>
        </w:rPr>
        <w:t>或电子营业执照</w:t>
      </w:r>
      <w:r>
        <w:rPr>
          <w:rFonts w:eastAsiaTheme="minorEastAsia"/>
          <w:sz w:val="24"/>
          <w:lang w:bidi="ar"/>
        </w:rPr>
        <w:t>登录北京市政府采购电子交易平台获取电子竞争性磋商文件。</w:t>
      </w:r>
    </w:p>
    <w:p w14:paraId="28873CE5">
      <w:pPr>
        <w:adjustRightInd w:val="0"/>
        <w:snapToGrid w:val="0"/>
        <w:spacing w:line="360" w:lineRule="auto"/>
        <w:ind w:firstLine="480" w:firstLineChars="200"/>
        <w:rPr>
          <w:rFonts w:eastAsiaTheme="minorEastAsia"/>
          <w:sz w:val="24"/>
          <w:lang w:bidi="ar"/>
        </w:rPr>
      </w:pPr>
      <w:r>
        <w:rPr>
          <w:sz w:val="24"/>
          <w:lang w:bidi="ar"/>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提交相应包的电子响应文件。</w:t>
      </w:r>
    </w:p>
    <w:p w14:paraId="4FB871D2">
      <w:pPr>
        <w:adjustRightInd w:val="0"/>
        <w:snapToGrid w:val="0"/>
        <w:spacing w:line="360" w:lineRule="auto"/>
        <w:ind w:firstLine="480" w:firstLineChars="200"/>
        <w:rPr>
          <w:rFonts w:eastAsiaTheme="minorEastAsia"/>
          <w:sz w:val="24"/>
          <w:lang w:bidi="ar"/>
        </w:rPr>
      </w:pPr>
      <w:r>
        <w:rPr>
          <w:rFonts w:eastAsiaTheme="minorEastAsia"/>
          <w:sz w:val="24"/>
          <w:lang w:bidi="ar"/>
        </w:rPr>
        <w:t>3.5编制电子响应文件</w:t>
      </w:r>
    </w:p>
    <w:p w14:paraId="1331CDDE">
      <w:pPr>
        <w:adjustRightInd w:val="0"/>
        <w:snapToGrid w:val="0"/>
        <w:spacing w:line="360" w:lineRule="auto"/>
        <w:ind w:firstLine="480" w:firstLineChars="200"/>
        <w:rPr>
          <w:rFonts w:eastAsiaTheme="minorEastAsia"/>
          <w:sz w:val="24"/>
          <w:lang w:bidi="ar"/>
        </w:rPr>
      </w:pPr>
      <w:r>
        <w:rPr>
          <w:rFonts w:eastAsiaTheme="minorEastAsia"/>
          <w:sz w:val="24"/>
          <w:lang w:bidi="ar"/>
        </w:rPr>
        <w:t>供应商应使用电子投标客户端编制电子响应文件并进行线上响应，供应商电子响应文件需要加密并加盖电子签章</w:t>
      </w:r>
      <w:r>
        <w:rPr>
          <w:rFonts w:eastAsiaTheme="minorEastAsia"/>
          <w:bCs/>
          <w:sz w:val="24"/>
          <w:lang w:bidi="ar"/>
        </w:rPr>
        <w:t>，如无法按照要求在电子响应文件中加盖电子签章和加密，请及时通过技术支持服务热线联系技术人员</w:t>
      </w:r>
      <w:r>
        <w:rPr>
          <w:rFonts w:eastAsiaTheme="minorEastAsia"/>
          <w:sz w:val="24"/>
          <w:lang w:bidi="ar"/>
        </w:rPr>
        <w:t>。</w:t>
      </w:r>
    </w:p>
    <w:p w14:paraId="55393274">
      <w:pPr>
        <w:widowControl/>
        <w:spacing w:line="360" w:lineRule="auto"/>
        <w:ind w:firstLine="480" w:firstLineChars="200"/>
        <w:jc w:val="left"/>
        <w:rPr>
          <w:rFonts w:eastAsiaTheme="minorEastAsia"/>
          <w:sz w:val="24"/>
          <w:lang w:val="zh-TW" w:bidi="ar"/>
        </w:rPr>
      </w:pPr>
      <w:r>
        <w:rPr>
          <w:rFonts w:eastAsiaTheme="minorEastAsia"/>
          <w:sz w:val="24"/>
          <w:lang w:val="zh-TW" w:eastAsia="zh-TW" w:bidi="ar"/>
        </w:rPr>
        <w:t>3.6</w:t>
      </w:r>
      <w:r>
        <w:rPr>
          <w:rFonts w:eastAsiaTheme="minorEastAsia"/>
          <w:sz w:val="24"/>
          <w:lang w:val="zh-TW" w:bidi="ar"/>
        </w:rPr>
        <w:t>提交电子响应文件</w:t>
      </w:r>
    </w:p>
    <w:p w14:paraId="7AC6A9E6">
      <w:pPr>
        <w:widowControl/>
        <w:spacing w:line="360" w:lineRule="auto"/>
        <w:ind w:firstLine="480" w:firstLineChars="200"/>
        <w:jc w:val="left"/>
        <w:rPr>
          <w:rFonts w:eastAsiaTheme="minorEastAsia"/>
          <w:sz w:val="24"/>
          <w:lang w:bidi="ar"/>
        </w:rPr>
      </w:pPr>
      <w:r>
        <w:rPr>
          <w:rFonts w:eastAsiaTheme="minorEastAsia"/>
          <w:sz w:val="24"/>
          <w:lang w:bidi="ar"/>
        </w:rPr>
        <w:t>供应商应于</w:t>
      </w:r>
      <w:r>
        <w:rPr>
          <w:rFonts w:eastAsiaTheme="minorEastAsia"/>
          <w:sz w:val="24"/>
        </w:rPr>
        <w:t>响应文件提交</w:t>
      </w:r>
      <w:r>
        <w:rPr>
          <w:rFonts w:eastAsiaTheme="minorEastAsia"/>
          <w:sz w:val="24"/>
          <w:lang w:bidi="ar"/>
        </w:rPr>
        <w:t>截止时间前在</w:t>
      </w:r>
      <w:r>
        <w:rPr>
          <w:sz w:val="24"/>
          <w:lang w:bidi="ar"/>
        </w:rPr>
        <w:t>北京市政府采购电子交易平台</w:t>
      </w:r>
      <w:r>
        <w:rPr>
          <w:rFonts w:eastAsiaTheme="minorEastAsia"/>
          <w:sz w:val="24"/>
          <w:lang w:bidi="ar"/>
        </w:rPr>
        <w:t>提交电子响应文件，上传电子响应文件过程中请保持与互联网的连接畅通。</w:t>
      </w:r>
    </w:p>
    <w:p w14:paraId="5B117C57">
      <w:pPr>
        <w:spacing w:line="360" w:lineRule="auto"/>
        <w:ind w:firstLine="480" w:firstLineChars="200"/>
        <w:rPr>
          <w:rFonts w:eastAsiaTheme="minorEastAsia"/>
          <w:sz w:val="24"/>
          <w:lang w:eastAsia="zh-TW"/>
        </w:rPr>
      </w:pPr>
      <w:r>
        <w:rPr>
          <w:rFonts w:eastAsiaTheme="minorEastAsia"/>
          <w:sz w:val="24"/>
          <w:lang w:val="zh-TW" w:bidi="ar"/>
        </w:rPr>
        <w:t>3.</w:t>
      </w:r>
      <w:r>
        <w:rPr>
          <w:rFonts w:eastAsiaTheme="minorEastAsia"/>
          <w:sz w:val="24"/>
          <w:lang w:val="zh-TW" w:eastAsia="zh-TW" w:bidi="ar"/>
        </w:rPr>
        <w:t xml:space="preserve">7 </w:t>
      </w:r>
      <w:r>
        <w:rPr>
          <w:rFonts w:eastAsiaTheme="minorEastAsia"/>
          <w:sz w:val="24"/>
          <w:lang w:val="zh-TW" w:bidi="ar"/>
        </w:rPr>
        <w:t>开启响应文件</w:t>
      </w:r>
    </w:p>
    <w:p w14:paraId="4B650AC1">
      <w:pPr>
        <w:spacing w:line="360" w:lineRule="auto"/>
        <w:ind w:firstLine="480" w:firstLineChars="200"/>
        <w:rPr>
          <w:rFonts w:eastAsiaTheme="minorEastAsia"/>
          <w:sz w:val="24"/>
        </w:rPr>
      </w:pPr>
      <w:r>
        <w:rPr>
          <w:rFonts w:eastAsiaTheme="minorEastAsia"/>
          <w:sz w:val="24"/>
        </w:rPr>
        <w:t>供应商于</w:t>
      </w:r>
      <w:r>
        <w:rPr>
          <w:rFonts w:eastAsiaTheme="minorEastAsia"/>
          <w:sz w:val="24"/>
          <w:lang w:val="zh-TW" w:bidi="ar"/>
        </w:rPr>
        <w:t>磋商文件规定的开启时间、在开启地点使用</w:t>
      </w:r>
      <w:r>
        <w:rPr>
          <w:rFonts w:eastAsiaTheme="minorEastAsia"/>
          <w:sz w:val="24"/>
          <w:lang w:bidi="ar"/>
        </w:rPr>
        <w:t>CA数字证书</w:t>
      </w:r>
      <w:r>
        <w:rPr>
          <w:sz w:val="24"/>
          <w:lang w:bidi="ar"/>
        </w:rPr>
        <w:t>或电子营业执照</w:t>
      </w:r>
      <w:r>
        <w:rPr>
          <w:rFonts w:eastAsiaTheme="minorEastAsia"/>
          <w:sz w:val="24"/>
          <w:lang w:val="zh-TW" w:bidi="ar"/>
        </w:rPr>
        <w:t>登录</w:t>
      </w:r>
      <w:r>
        <w:rPr>
          <w:rFonts w:eastAsiaTheme="minorEastAsia"/>
          <w:sz w:val="24"/>
          <w:lang w:bidi="ar"/>
        </w:rPr>
        <w:t>北京市政府采购电子交易平台解密并开启响应文件。如因供应商问题，解密不成功，则</w:t>
      </w:r>
      <w:r>
        <w:rPr>
          <w:rFonts w:eastAsiaTheme="minorEastAsia"/>
          <w:b/>
          <w:sz w:val="24"/>
          <w:lang w:bidi="ar"/>
        </w:rPr>
        <w:t>响应无效</w:t>
      </w:r>
      <w:r>
        <w:rPr>
          <w:rFonts w:eastAsiaTheme="minorEastAsia"/>
          <w:sz w:val="24"/>
          <w:lang w:bidi="ar"/>
        </w:rPr>
        <w:t>。</w:t>
      </w:r>
    </w:p>
    <w:p w14:paraId="1E261B83">
      <w:pPr>
        <w:pStyle w:val="3"/>
        <w:spacing w:before="0" w:line="360" w:lineRule="auto"/>
        <w:jc w:val="left"/>
        <w:rPr>
          <w:rFonts w:ascii="Times New Roman" w:hAnsi="Times New Roman" w:eastAsiaTheme="minorEastAsia"/>
          <w:sz w:val="24"/>
          <w:szCs w:val="24"/>
        </w:rPr>
      </w:pPr>
      <w:bookmarkStart w:id="25" w:name="_Toc35393796"/>
      <w:bookmarkStart w:id="26" w:name="_Toc35393627"/>
      <w:bookmarkStart w:id="27" w:name="_Toc28359085"/>
      <w:bookmarkStart w:id="28" w:name="_Toc28359008"/>
      <w:r>
        <w:rPr>
          <w:rFonts w:ascii="Times New Roman" w:hAnsi="Times New Roman" w:eastAsiaTheme="minorEastAsia"/>
          <w:sz w:val="24"/>
          <w:szCs w:val="24"/>
        </w:rPr>
        <w:t>八、对本次采购提出询问，请按以下方式联系。</w:t>
      </w:r>
      <w:bookmarkEnd w:id="25"/>
      <w:bookmarkEnd w:id="26"/>
      <w:bookmarkEnd w:id="27"/>
      <w:bookmarkEnd w:id="28"/>
    </w:p>
    <w:p w14:paraId="7D5D3FA7">
      <w:pPr>
        <w:widowControl/>
        <w:spacing w:line="360" w:lineRule="auto"/>
        <w:jc w:val="left"/>
        <w:rPr>
          <w:rFonts w:eastAsiaTheme="minorEastAsia"/>
          <w:b/>
          <w:sz w:val="24"/>
        </w:rPr>
      </w:pPr>
      <w:r>
        <w:rPr>
          <w:rFonts w:eastAsiaTheme="minorEastAsia"/>
          <w:sz w:val="24"/>
        </w:rPr>
        <w:t>　　　</w:t>
      </w:r>
      <w:r>
        <w:rPr>
          <w:rFonts w:eastAsiaTheme="minorEastAsia"/>
          <w:b/>
          <w:sz w:val="24"/>
        </w:rPr>
        <w:t>1.采购人信息</w:t>
      </w:r>
    </w:p>
    <w:p w14:paraId="5E15A1A4">
      <w:pPr>
        <w:spacing w:line="360" w:lineRule="auto"/>
        <w:ind w:left="1079" w:leftChars="371" w:hanging="300" w:hangingChars="125"/>
        <w:jc w:val="left"/>
        <w:rPr>
          <w:rFonts w:eastAsiaTheme="minorEastAsia"/>
          <w:sz w:val="24"/>
        </w:rPr>
      </w:pPr>
      <w:bookmarkStart w:id="29" w:name="_Toc28359086"/>
      <w:bookmarkStart w:id="30" w:name="_Toc28359009"/>
      <w:r>
        <w:rPr>
          <w:rFonts w:eastAsiaTheme="minorEastAsia"/>
          <w:sz w:val="24"/>
        </w:rPr>
        <w:t>名    称：</w:t>
      </w:r>
      <w:r>
        <w:rPr>
          <w:rFonts w:hint="eastAsia" w:eastAsiaTheme="minorEastAsia"/>
          <w:sz w:val="24"/>
        </w:rPr>
        <w:t>北京市门头沟区王平镇人民政府</w:t>
      </w:r>
      <w:r>
        <w:rPr>
          <w:rFonts w:eastAsiaTheme="minorEastAsia"/>
          <w:sz w:val="24"/>
        </w:rPr>
        <w:t xml:space="preserve"> </w:t>
      </w:r>
    </w:p>
    <w:p w14:paraId="5B67F021">
      <w:pPr>
        <w:spacing w:line="360" w:lineRule="auto"/>
        <w:ind w:left="1079" w:leftChars="371" w:hanging="300" w:hangingChars="125"/>
        <w:jc w:val="left"/>
        <w:rPr>
          <w:rFonts w:eastAsiaTheme="minorEastAsia"/>
          <w:sz w:val="24"/>
          <w:highlight w:val="none"/>
        </w:rPr>
      </w:pPr>
      <w:r>
        <w:rPr>
          <w:rFonts w:eastAsiaTheme="minorEastAsia"/>
          <w:sz w:val="24"/>
          <w:highlight w:val="none"/>
        </w:rPr>
        <w:t>地    址：</w:t>
      </w:r>
      <w:r>
        <w:rPr>
          <w:rFonts w:hint="eastAsia" w:eastAsiaTheme="minorEastAsia"/>
          <w:sz w:val="24"/>
          <w:highlight w:val="none"/>
        </w:rPr>
        <w:t>北京市门头沟区王平地区王平大街东路18号</w:t>
      </w:r>
    </w:p>
    <w:p w14:paraId="3950CE68">
      <w:pPr>
        <w:spacing w:line="360" w:lineRule="auto"/>
        <w:ind w:left="1079" w:leftChars="371" w:hanging="300" w:hangingChars="125"/>
        <w:jc w:val="left"/>
        <w:rPr>
          <w:rFonts w:hint="default" w:eastAsiaTheme="minorEastAsia"/>
          <w:sz w:val="24"/>
          <w:highlight w:val="none"/>
          <w:u w:val="single"/>
          <w:lang w:val="en-US" w:eastAsia="zh-CN"/>
        </w:rPr>
      </w:pPr>
      <w:r>
        <w:rPr>
          <w:rFonts w:eastAsiaTheme="minorEastAsia"/>
          <w:sz w:val="24"/>
          <w:highlight w:val="none"/>
        </w:rPr>
        <w:t>联系方式：</w:t>
      </w:r>
      <w:r>
        <w:rPr>
          <w:rFonts w:hint="eastAsia" w:eastAsiaTheme="minorEastAsia"/>
          <w:sz w:val="24"/>
          <w:highlight w:val="none"/>
          <w:lang w:val="en-US" w:eastAsia="zh-CN"/>
        </w:rPr>
        <w:t>张今天，61859400</w:t>
      </w:r>
    </w:p>
    <w:p w14:paraId="107622B2">
      <w:pPr>
        <w:spacing w:line="360" w:lineRule="auto"/>
        <w:ind w:left="1078" w:leftChars="371" w:hanging="299" w:hangingChars="124"/>
        <w:jc w:val="left"/>
        <w:rPr>
          <w:rFonts w:eastAsiaTheme="minorEastAsia"/>
          <w:b/>
          <w:sz w:val="24"/>
        </w:rPr>
      </w:pPr>
      <w:r>
        <w:rPr>
          <w:rFonts w:eastAsiaTheme="minorEastAsia"/>
          <w:b/>
          <w:sz w:val="24"/>
        </w:rPr>
        <w:t>2.采购代理机构信息</w:t>
      </w:r>
      <w:bookmarkEnd w:id="29"/>
      <w:bookmarkEnd w:id="30"/>
    </w:p>
    <w:p w14:paraId="54163955">
      <w:pPr>
        <w:spacing w:line="360" w:lineRule="auto"/>
        <w:ind w:left="1076" w:leftChars="371" w:hanging="297" w:hangingChars="124"/>
        <w:jc w:val="left"/>
        <w:rPr>
          <w:rFonts w:eastAsiaTheme="minorEastAsia"/>
          <w:sz w:val="24"/>
        </w:rPr>
      </w:pPr>
      <w:bookmarkStart w:id="31" w:name="_Toc28359010"/>
      <w:bookmarkStart w:id="32" w:name="_Toc28359087"/>
      <w:r>
        <w:rPr>
          <w:rFonts w:eastAsiaTheme="minorEastAsia"/>
          <w:sz w:val="24"/>
        </w:rPr>
        <w:t>名    称：</w:t>
      </w:r>
      <w:r>
        <w:rPr>
          <w:rFonts w:hint="eastAsia" w:eastAsiaTheme="minorEastAsia"/>
          <w:sz w:val="24"/>
        </w:rPr>
        <w:t>北京门城永平工程管理有限公司</w:t>
      </w:r>
    </w:p>
    <w:p w14:paraId="63F0C2F1">
      <w:pPr>
        <w:spacing w:line="360" w:lineRule="auto"/>
        <w:ind w:left="1076" w:leftChars="371" w:hanging="297" w:hangingChars="124"/>
        <w:jc w:val="left"/>
        <w:rPr>
          <w:rFonts w:eastAsiaTheme="minorEastAsia"/>
          <w:sz w:val="24"/>
        </w:rPr>
      </w:pPr>
      <w:r>
        <w:rPr>
          <w:rFonts w:eastAsiaTheme="minorEastAsia"/>
          <w:sz w:val="24"/>
        </w:rPr>
        <w:t>地    址：</w:t>
      </w:r>
      <w:r>
        <w:rPr>
          <w:rFonts w:hint="eastAsia" w:eastAsiaTheme="minorEastAsia"/>
          <w:sz w:val="24"/>
        </w:rPr>
        <w:t>北京市门头沟区永定镇栗园庄东路2号院1号楼7层招标代理部</w:t>
      </w:r>
    </w:p>
    <w:p w14:paraId="67B2C062">
      <w:pPr>
        <w:spacing w:line="360" w:lineRule="auto"/>
        <w:ind w:left="1076" w:leftChars="371" w:hanging="297" w:hangingChars="124"/>
        <w:jc w:val="left"/>
        <w:rPr>
          <w:rFonts w:eastAsiaTheme="minorEastAsia"/>
          <w:sz w:val="24"/>
          <w:u w:val="single"/>
        </w:rPr>
      </w:pPr>
      <w:r>
        <w:rPr>
          <w:rFonts w:eastAsiaTheme="minorEastAsia"/>
          <w:sz w:val="24"/>
        </w:rPr>
        <w:t>联系方式：</w:t>
      </w:r>
      <w:r>
        <w:rPr>
          <w:rFonts w:hint="eastAsia" w:eastAsiaTheme="minorEastAsia"/>
          <w:sz w:val="24"/>
        </w:rPr>
        <w:t>韩菁，60863865-8707</w:t>
      </w:r>
    </w:p>
    <w:p w14:paraId="6224BBFB">
      <w:pPr>
        <w:spacing w:line="360" w:lineRule="auto"/>
        <w:ind w:left="1078" w:leftChars="371" w:hanging="299" w:hangingChars="124"/>
        <w:rPr>
          <w:rFonts w:eastAsiaTheme="minorEastAsia"/>
          <w:b/>
          <w:sz w:val="24"/>
          <w:u w:val="single"/>
        </w:rPr>
      </w:pPr>
      <w:r>
        <w:rPr>
          <w:rFonts w:eastAsiaTheme="minorEastAsia"/>
          <w:b/>
          <w:sz w:val="24"/>
        </w:rPr>
        <w:t>3.项目联系方式</w:t>
      </w:r>
      <w:bookmarkEnd w:id="31"/>
      <w:bookmarkEnd w:id="32"/>
    </w:p>
    <w:p w14:paraId="5C43C40E">
      <w:pPr>
        <w:pStyle w:val="23"/>
        <w:spacing w:line="360" w:lineRule="auto"/>
        <w:ind w:left="1076" w:leftChars="371" w:hanging="297" w:hangingChars="124"/>
        <w:rPr>
          <w:rFonts w:hint="default" w:ascii="Times New Roman" w:hAnsi="Times New Roman" w:eastAsiaTheme="minorEastAsia"/>
          <w:sz w:val="24"/>
          <w:u w:val="single"/>
          <w:lang w:bidi="ar"/>
        </w:rPr>
      </w:pPr>
      <w:r>
        <w:rPr>
          <w:rFonts w:hint="default" w:ascii="Times New Roman" w:hAnsi="Times New Roman" w:eastAsiaTheme="minorEastAsia"/>
          <w:sz w:val="24"/>
          <w:szCs w:val="24"/>
        </w:rPr>
        <w:t>项目联系人：</w:t>
      </w:r>
      <w:r>
        <w:rPr>
          <w:rFonts w:ascii="Times New Roman" w:hAnsi="Times New Roman" w:eastAsiaTheme="minorEastAsia"/>
          <w:sz w:val="24"/>
          <w:szCs w:val="24"/>
        </w:rPr>
        <w:t>韩菁</w:t>
      </w:r>
    </w:p>
    <w:p w14:paraId="6950E8E9">
      <w:pPr>
        <w:pStyle w:val="23"/>
        <w:spacing w:line="360" w:lineRule="auto"/>
        <w:ind w:left="1076" w:leftChars="371" w:hanging="297" w:hangingChars="124"/>
        <w:rPr>
          <w:rFonts w:hint="default" w:ascii="Times New Roman" w:hAnsi="Times New Roman" w:eastAsiaTheme="minorEastAsia"/>
          <w:sz w:val="24"/>
          <w:szCs w:val="24"/>
        </w:rPr>
      </w:pPr>
      <w:r>
        <w:rPr>
          <w:rFonts w:hint="default" w:ascii="Times New Roman" w:hAnsi="Times New Roman" w:eastAsiaTheme="minorEastAsia"/>
          <w:sz w:val="24"/>
        </w:rPr>
        <w:t>电      话：60863865-8707</w:t>
      </w:r>
    </w:p>
    <w:p w14:paraId="0D461BE8">
      <w:pPr>
        <w:spacing w:line="360" w:lineRule="auto"/>
        <w:ind w:firstLine="5880" w:firstLineChars="2450"/>
        <w:jc w:val="right"/>
        <w:rPr>
          <w:rFonts w:eastAsiaTheme="minorEastAsia"/>
          <w:sz w:val="24"/>
        </w:rPr>
      </w:pPr>
    </w:p>
    <w:p w14:paraId="3F47BD23">
      <w:pPr>
        <w:spacing w:line="360" w:lineRule="auto"/>
        <w:jc w:val="center"/>
        <w:outlineLvl w:val="0"/>
        <w:rPr>
          <w:rFonts w:eastAsiaTheme="minorEastAsia"/>
          <w:b/>
          <w:sz w:val="32"/>
          <w:szCs w:val="32"/>
        </w:rPr>
      </w:pPr>
      <w:r>
        <w:rPr>
          <w:rFonts w:eastAsiaTheme="minorEastAsia"/>
          <w:sz w:val="24"/>
        </w:rPr>
        <w:br w:type="page"/>
      </w:r>
      <w:bookmarkStart w:id="33" w:name="_Toc150774783"/>
      <w:bookmarkStart w:id="34" w:name="_Toc127151777"/>
      <w:bookmarkStart w:id="35" w:name="_Toc305158928"/>
      <w:bookmarkStart w:id="36" w:name="_Toc264969275"/>
      <w:bookmarkStart w:id="37" w:name="_Toc127161488"/>
      <w:bookmarkStart w:id="38" w:name="_Toc353825548"/>
      <w:bookmarkStart w:id="39" w:name="_Toc353873938"/>
      <w:bookmarkStart w:id="40" w:name="_Toc195842950"/>
      <w:bookmarkStart w:id="41" w:name="_Toc512937850"/>
      <w:bookmarkStart w:id="42" w:name="_Toc226965856"/>
      <w:bookmarkStart w:id="43" w:name="_Toc265228423"/>
      <w:bookmarkStart w:id="44" w:name="_Toc97371942"/>
      <w:bookmarkStart w:id="45" w:name="_Toc305158854"/>
      <w:r>
        <w:rPr>
          <w:rFonts w:eastAsiaTheme="minorEastAsia"/>
          <w:b/>
          <w:sz w:val="36"/>
          <w:szCs w:val="36"/>
        </w:rPr>
        <w:t>第二章   供应商须知</w:t>
      </w:r>
      <w:bookmarkEnd w:id="33"/>
      <w:bookmarkEnd w:id="34"/>
      <w:bookmarkEnd w:id="35"/>
      <w:bookmarkEnd w:id="36"/>
      <w:bookmarkEnd w:id="37"/>
      <w:bookmarkEnd w:id="38"/>
      <w:bookmarkEnd w:id="39"/>
      <w:bookmarkEnd w:id="40"/>
      <w:bookmarkEnd w:id="41"/>
      <w:bookmarkEnd w:id="42"/>
      <w:bookmarkEnd w:id="43"/>
      <w:bookmarkEnd w:id="44"/>
      <w:bookmarkEnd w:id="45"/>
    </w:p>
    <w:p w14:paraId="598AFA46">
      <w:pPr>
        <w:pStyle w:val="3"/>
        <w:tabs>
          <w:tab w:val="center" w:pos="4592"/>
          <w:tab w:val="left" w:pos="7860"/>
        </w:tabs>
        <w:spacing w:before="0" w:line="360" w:lineRule="auto"/>
        <w:rPr>
          <w:rFonts w:eastAsiaTheme="minorEastAsia"/>
          <w:sz w:val="28"/>
          <w:szCs w:val="28"/>
        </w:rPr>
      </w:pPr>
      <w:bookmarkStart w:id="46" w:name="_Toc151193689"/>
      <w:bookmarkStart w:id="47" w:name="_Toc150774724"/>
      <w:bookmarkStart w:id="48" w:name="_Toc164608633"/>
      <w:bookmarkStart w:id="49" w:name="_Toc150509270"/>
      <w:bookmarkStart w:id="50" w:name="_Toc149720812"/>
      <w:bookmarkStart w:id="51" w:name="_Toc164229214"/>
      <w:bookmarkStart w:id="52" w:name="_Toc226965709"/>
      <w:bookmarkStart w:id="53" w:name="_Toc151193617"/>
      <w:bookmarkStart w:id="54" w:name="_Toc151193761"/>
      <w:bookmarkStart w:id="55" w:name="_Toc151190146"/>
      <w:bookmarkStart w:id="56" w:name="_Toc151193907"/>
      <w:bookmarkStart w:id="57" w:name="_Toc142311021"/>
      <w:bookmarkStart w:id="58" w:name="_Toc226309763"/>
      <w:bookmarkStart w:id="59" w:name="_Toc164351613"/>
      <w:bookmarkStart w:id="60" w:name="_Toc226965792"/>
      <w:bookmarkStart w:id="61" w:name="_Toc150480757"/>
      <w:bookmarkStart w:id="62" w:name="_Toc164608788"/>
      <w:bookmarkStart w:id="63" w:name="_Toc151193833"/>
      <w:bookmarkStart w:id="64" w:name="_Toc195842884"/>
      <w:bookmarkStart w:id="65" w:name="_Toc150774619"/>
      <w:bookmarkStart w:id="66" w:name="_Toc127161433"/>
      <w:bookmarkStart w:id="67" w:name="_Toc164229360"/>
      <w:bookmarkStart w:id="68" w:name="_Toc127151519"/>
      <w:bookmarkStart w:id="69" w:name="_Toc520356144"/>
      <w:bookmarkStart w:id="70" w:name="_Toc127151720"/>
      <w:bookmarkStart w:id="71" w:name="_Toc226337215"/>
      <w:r>
        <w:rPr>
          <w:rFonts w:ascii="Times New Roman" w:hAnsi="Times New Roman" w:eastAsiaTheme="minorEastAsia"/>
          <w:sz w:val="28"/>
        </w:rPr>
        <w:t>供应商须知资料表</w:t>
      </w:r>
    </w:p>
    <w:p w14:paraId="605E8575">
      <w:pPr>
        <w:spacing w:line="360" w:lineRule="auto"/>
        <w:ind w:firstLine="480"/>
        <w:rPr>
          <w:rFonts w:eastAsiaTheme="minorEastAsia"/>
          <w:sz w:val="24"/>
        </w:rPr>
      </w:pPr>
      <w:r>
        <w:rPr>
          <w:rFonts w:eastAsiaTheme="minorEastAsia"/>
          <w:sz w:val="24"/>
        </w:rPr>
        <w:t>本表是对供应商须知的具体补充和修改，如有矛盾，均以本资料表为准。</w:t>
      </w:r>
    </w:p>
    <w:tbl>
      <w:tblPr>
        <w:tblStyle w:val="43"/>
        <w:tblW w:w="99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253"/>
      </w:tblGrid>
      <w:tr w14:paraId="3B3CA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58D89128">
            <w:pPr>
              <w:jc w:val="center"/>
              <w:rPr>
                <w:rFonts w:eastAsiaTheme="minorEastAsia"/>
                <w:b/>
                <w:bCs/>
                <w:sz w:val="24"/>
              </w:rPr>
            </w:pPr>
            <w:r>
              <w:rPr>
                <w:rFonts w:eastAsiaTheme="minorEastAsia"/>
                <w:b/>
                <w:sz w:val="24"/>
              </w:rPr>
              <w:t>条款号</w:t>
            </w:r>
          </w:p>
        </w:tc>
        <w:tc>
          <w:tcPr>
            <w:tcW w:w="1701" w:type="dxa"/>
            <w:vAlign w:val="center"/>
          </w:tcPr>
          <w:p w14:paraId="301DC4A9">
            <w:pPr>
              <w:jc w:val="center"/>
              <w:rPr>
                <w:rFonts w:eastAsiaTheme="minorEastAsia"/>
                <w:b/>
                <w:bCs/>
                <w:sz w:val="24"/>
              </w:rPr>
            </w:pPr>
            <w:r>
              <w:rPr>
                <w:rFonts w:eastAsiaTheme="minorEastAsia"/>
                <w:b/>
                <w:bCs/>
                <w:sz w:val="24"/>
              </w:rPr>
              <w:t>条目</w:t>
            </w:r>
          </w:p>
        </w:tc>
        <w:tc>
          <w:tcPr>
            <w:tcW w:w="7253" w:type="dxa"/>
            <w:vAlign w:val="center"/>
          </w:tcPr>
          <w:p w14:paraId="30E5991B">
            <w:pPr>
              <w:jc w:val="center"/>
              <w:rPr>
                <w:rFonts w:eastAsiaTheme="minorEastAsia"/>
                <w:b/>
                <w:bCs/>
                <w:sz w:val="24"/>
              </w:rPr>
            </w:pPr>
            <w:r>
              <w:rPr>
                <w:rFonts w:eastAsiaTheme="minorEastAsia"/>
                <w:b/>
                <w:bCs/>
                <w:sz w:val="24"/>
              </w:rPr>
              <w:t>内容</w:t>
            </w:r>
          </w:p>
        </w:tc>
      </w:tr>
      <w:tr w14:paraId="0477E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CFA9C99">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2.2</w:t>
            </w:r>
          </w:p>
        </w:tc>
        <w:tc>
          <w:tcPr>
            <w:tcW w:w="1701" w:type="dxa"/>
            <w:vAlign w:val="center"/>
          </w:tcPr>
          <w:p w14:paraId="6C8F9C48">
            <w:pPr>
              <w:jc w:val="center"/>
              <w:rPr>
                <w:rFonts w:eastAsiaTheme="minorEastAsia"/>
                <w:sz w:val="24"/>
              </w:rPr>
            </w:pPr>
            <w:r>
              <w:rPr>
                <w:rFonts w:eastAsiaTheme="minorEastAsia"/>
                <w:sz w:val="24"/>
              </w:rPr>
              <w:t>项目属性</w:t>
            </w:r>
          </w:p>
        </w:tc>
        <w:tc>
          <w:tcPr>
            <w:tcW w:w="7253" w:type="dxa"/>
            <w:vAlign w:val="center"/>
          </w:tcPr>
          <w:p w14:paraId="2B2E0B08">
            <w:pPr>
              <w:jc w:val="left"/>
              <w:rPr>
                <w:rFonts w:eastAsiaTheme="minorEastAsia"/>
                <w:sz w:val="24"/>
              </w:rPr>
            </w:pPr>
            <w:r>
              <w:rPr>
                <w:rFonts w:eastAsiaTheme="minorEastAsia"/>
                <w:sz w:val="24"/>
              </w:rPr>
              <w:t>项目属性：</w:t>
            </w:r>
          </w:p>
          <w:p w14:paraId="4FB0300E">
            <w:pPr>
              <w:jc w:val="left"/>
              <w:rPr>
                <w:rFonts w:eastAsiaTheme="minorEastAsia"/>
                <w:sz w:val="24"/>
              </w:rPr>
            </w:pPr>
            <w:r>
              <w:rPr>
                <w:rFonts w:eastAsiaTheme="minorEastAsia"/>
              </w:rPr>
              <w:t>□</w:t>
            </w:r>
            <w:r>
              <w:rPr>
                <w:rFonts w:eastAsiaTheme="minorEastAsia"/>
                <w:sz w:val="24"/>
              </w:rPr>
              <w:t>服务</w:t>
            </w:r>
          </w:p>
          <w:p w14:paraId="47E53330">
            <w:pPr>
              <w:jc w:val="left"/>
              <w:rPr>
                <w:rFonts w:eastAsiaTheme="minorEastAsia"/>
                <w:sz w:val="24"/>
              </w:rPr>
            </w:pPr>
            <w:r>
              <w:rPr>
                <w:rFonts w:eastAsiaTheme="minorEastAsia"/>
              </w:rPr>
              <w:t>□</w:t>
            </w:r>
            <w:r>
              <w:rPr>
                <w:rFonts w:eastAsiaTheme="minorEastAsia"/>
                <w:sz w:val="24"/>
              </w:rPr>
              <w:t>货物</w:t>
            </w:r>
          </w:p>
          <w:p w14:paraId="04A6F0AE">
            <w:pPr>
              <w:jc w:val="left"/>
              <w:rPr>
                <w:rFonts w:eastAsiaTheme="minorEastAsia"/>
                <w:sz w:val="24"/>
              </w:rPr>
            </w:pPr>
            <w:r>
              <w:rPr>
                <w:rFonts w:ascii="微软雅黑" w:hAnsi="微软雅黑" w:eastAsia="微软雅黑" w:cs="微软雅黑"/>
                <w:color w:val="404040"/>
                <w:sz w:val="24"/>
                <w:shd w:val="clear" w:color="auto" w:fill="FFFFFF"/>
              </w:rPr>
              <w:t>■</w:t>
            </w:r>
            <w:r>
              <w:rPr>
                <w:sz w:val="24"/>
              </w:rPr>
              <w:t>工程</w:t>
            </w:r>
          </w:p>
        </w:tc>
      </w:tr>
      <w:tr w14:paraId="232E4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64C7778">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2.3</w:t>
            </w:r>
          </w:p>
        </w:tc>
        <w:tc>
          <w:tcPr>
            <w:tcW w:w="1701" w:type="dxa"/>
            <w:vAlign w:val="center"/>
          </w:tcPr>
          <w:p w14:paraId="0E2983D4">
            <w:pPr>
              <w:jc w:val="center"/>
              <w:rPr>
                <w:rFonts w:eastAsiaTheme="minorEastAsia"/>
                <w:sz w:val="24"/>
              </w:rPr>
            </w:pPr>
            <w:r>
              <w:rPr>
                <w:rFonts w:eastAsiaTheme="minorEastAsia"/>
                <w:sz w:val="24"/>
              </w:rPr>
              <w:t>科研仪器设备</w:t>
            </w:r>
          </w:p>
        </w:tc>
        <w:tc>
          <w:tcPr>
            <w:tcW w:w="7253" w:type="dxa"/>
            <w:vAlign w:val="center"/>
          </w:tcPr>
          <w:p w14:paraId="7E131136">
            <w:pPr>
              <w:jc w:val="left"/>
              <w:rPr>
                <w:rFonts w:eastAsiaTheme="minorEastAsia"/>
                <w:sz w:val="24"/>
              </w:rPr>
            </w:pPr>
            <w:r>
              <w:rPr>
                <w:rFonts w:eastAsiaTheme="minorEastAsia"/>
                <w:sz w:val="24"/>
              </w:rPr>
              <w:t>是否属于科研仪器设备采购项目：</w:t>
            </w:r>
          </w:p>
          <w:p w14:paraId="7E556FD9">
            <w:pPr>
              <w:jc w:val="left"/>
              <w:rPr>
                <w:rFonts w:eastAsiaTheme="minorEastAsia"/>
                <w:sz w:val="24"/>
              </w:rPr>
            </w:pPr>
            <w:r>
              <w:rPr>
                <w:rFonts w:eastAsiaTheme="minorEastAsia"/>
              </w:rPr>
              <w:t>□</w:t>
            </w:r>
            <w:r>
              <w:rPr>
                <w:rFonts w:eastAsiaTheme="minorEastAsia"/>
                <w:sz w:val="24"/>
              </w:rPr>
              <w:t>是</w:t>
            </w:r>
          </w:p>
          <w:p w14:paraId="5EED839B">
            <w:pPr>
              <w:jc w:val="left"/>
              <w:rPr>
                <w:rFonts w:eastAsiaTheme="minorEastAsia"/>
                <w:sz w:val="24"/>
              </w:rPr>
            </w:pPr>
            <w:r>
              <w:rPr>
                <w:rFonts w:ascii="微软雅黑" w:hAnsi="微软雅黑" w:eastAsia="微软雅黑" w:cs="微软雅黑"/>
                <w:color w:val="404040"/>
                <w:sz w:val="24"/>
                <w:shd w:val="clear" w:color="auto" w:fill="FFFFFF"/>
              </w:rPr>
              <w:t>■</w:t>
            </w:r>
            <w:r>
              <w:rPr>
                <w:rFonts w:eastAsiaTheme="minorEastAsia"/>
                <w:sz w:val="24"/>
              </w:rPr>
              <w:t>否</w:t>
            </w:r>
          </w:p>
        </w:tc>
      </w:tr>
      <w:tr w14:paraId="5FBCD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272F64B6">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3.1</w:t>
            </w:r>
          </w:p>
        </w:tc>
        <w:tc>
          <w:tcPr>
            <w:tcW w:w="1701" w:type="dxa"/>
            <w:vAlign w:val="center"/>
          </w:tcPr>
          <w:p w14:paraId="4004182B">
            <w:pPr>
              <w:jc w:val="center"/>
              <w:rPr>
                <w:rFonts w:eastAsiaTheme="minorEastAsia"/>
                <w:sz w:val="24"/>
              </w:rPr>
            </w:pPr>
            <w:r>
              <w:rPr>
                <w:rFonts w:eastAsiaTheme="minorEastAsia"/>
                <w:sz w:val="24"/>
              </w:rPr>
              <w:t>现场考察</w:t>
            </w:r>
          </w:p>
        </w:tc>
        <w:tc>
          <w:tcPr>
            <w:tcW w:w="7253" w:type="dxa"/>
            <w:vAlign w:val="center"/>
          </w:tcPr>
          <w:p w14:paraId="235606FF">
            <w:pPr>
              <w:jc w:val="left"/>
              <w:rPr>
                <w:rFonts w:eastAsiaTheme="minorEastAsia"/>
                <w:sz w:val="24"/>
              </w:rPr>
            </w:pPr>
            <w:r>
              <w:rPr>
                <w:rFonts w:ascii="微软雅黑" w:hAnsi="微软雅黑" w:eastAsia="微软雅黑" w:cs="微软雅黑"/>
                <w:color w:val="404040"/>
                <w:sz w:val="24"/>
                <w:shd w:val="clear" w:color="auto" w:fill="FFFFFF"/>
              </w:rPr>
              <w:t>■</w:t>
            </w:r>
            <w:r>
              <w:rPr>
                <w:rFonts w:eastAsiaTheme="minorEastAsia"/>
                <w:sz w:val="24"/>
              </w:rPr>
              <w:t>不组织</w:t>
            </w:r>
          </w:p>
          <w:p w14:paraId="0412C56B">
            <w:pPr>
              <w:jc w:val="left"/>
              <w:rPr>
                <w:rFonts w:eastAsiaTheme="minorEastAsia"/>
                <w:bCs/>
                <w:sz w:val="24"/>
              </w:rPr>
            </w:pPr>
            <w:r>
              <w:rPr>
                <w:rFonts w:eastAsiaTheme="minorEastAsia"/>
              </w:rPr>
              <w:t>□</w:t>
            </w:r>
            <w:r>
              <w:rPr>
                <w:rFonts w:eastAsiaTheme="minorEastAsia"/>
                <w:sz w:val="24"/>
              </w:rPr>
              <w:t>组织，考察时间：___</w:t>
            </w:r>
            <w:r>
              <w:rPr>
                <w:rFonts w:eastAsiaTheme="minorEastAsia"/>
                <w:sz w:val="24"/>
                <w:lang w:bidi="ar"/>
              </w:rPr>
              <w:t>年</w:t>
            </w:r>
            <w:r>
              <w:rPr>
                <w:rFonts w:eastAsiaTheme="minorEastAsia"/>
                <w:sz w:val="24"/>
              </w:rPr>
              <w:t>___</w:t>
            </w:r>
            <w:r>
              <w:rPr>
                <w:rFonts w:eastAsiaTheme="minorEastAsia"/>
                <w:sz w:val="24"/>
                <w:lang w:bidi="ar"/>
              </w:rPr>
              <w:t>月</w:t>
            </w:r>
            <w:r>
              <w:rPr>
                <w:rFonts w:eastAsiaTheme="minorEastAsia"/>
                <w:sz w:val="24"/>
              </w:rPr>
              <w:t>___</w:t>
            </w:r>
            <w:r>
              <w:rPr>
                <w:rFonts w:eastAsiaTheme="minorEastAsia"/>
                <w:sz w:val="24"/>
                <w:lang w:bidi="ar"/>
              </w:rPr>
              <w:t>日</w:t>
            </w:r>
            <w:r>
              <w:rPr>
                <w:rFonts w:eastAsiaTheme="minorEastAsia"/>
                <w:sz w:val="24"/>
              </w:rPr>
              <w:t>___</w:t>
            </w:r>
            <w:r>
              <w:rPr>
                <w:rFonts w:eastAsiaTheme="minorEastAsia"/>
                <w:sz w:val="24"/>
                <w:lang w:bidi="ar"/>
              </w:rPr>
              <w:t>点</w:t>
            </w:r>
            <w:r>
              <w:rPr>
                <w:rFonts w:eastAsiaTheme="minorEastAsia"/>
                <w:sz w:val="24"/>
              </w:rPr>
              <w:t>___</w:t>
            </w:r>
            <w:r>
              <w:rPr>
                <w:rFonts w:eastAsiaTheme="minorEastAsia"/>
                <w:sz w:val="24"/>
                <w:lang w:bidi="ar"/>
              </w:rPr>
              <w:t>分</w:t>
            </w:r>
          </w:p>
          <w:p w14:paraId="2A51A2B9">
            <w:pPr>
              <w:pStyle w:val="23"/>
              <w:adjustRightInd w:val="0"/>
              <w:snapToGrid w:val="0"/>
              <w:rPr>
                <w:rFonts w:hint="default" w:ascii="Times New Roman" w:hAnsi="Times New Roman" w:eastAsiaTheme="minorEastAsia"/>
                <w:sz w:val="24"/>
              </w:rPr>
            </w:pPr>
            <w:r>
              <w:rPr>
                <w:rFonts w:hint="default" w:ascii="Times New Roman" w:hAnsi="Times New Roman" w:eastAsiaTheme="minorEastAsia"/>
                <w:sz w:val="24"/>
              </w:rPr>
              <w:t>考察地点：___________。</w:t>
            </w:r>
          </w:p>
        </w:tc>
      </w:tr>
      <w:tr w14:paraId="777BD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40CD0186">
            <w:pPr>
              <w:pStyle w:val="23"/>
              <w:adjustRightInd w:val="0"/>
              <w:snapToGrid w:val="0"/>
              <w:jc w:val="center"/>
              <w:rPr>
                <w:rFonts w:hint="default" w:ascii="Times New Roman" w:hAnsi="Times New Roman" w:eastAsiaTheme="minorEastAsia"/>
                <w:sz w:val="24"/>
                <w:szCs w:val="24"/>
              </w:rPr>
            </w:pPr>
          </w:p>
        </w:tc>
        <w:tc>
          <w:tcPr>
            <w:tcW w:w="1701" w:type="dxa"/>
            <w:vAlign w:val="center"/>
          </w:tcPr>
          <w:p w14:paraId="1EDE6A1E">
            <w:pPr>
              <w:jc w:val="center"/>
              <w:rPr>
                <w:rFonts w:eastAsiaTheme="minorEastAsia"/>
                <w:sz w:val="24"/>
              </w:rPr>
            </w:pPr>
            <w:r>
              <w:rPr>
                <w:rFonts w:eastAsiaTheme="minorEastAsia"/>
                <w:sz w:val="24"/>
              </w:rPr>
              <w:t>磋商前答疑会</w:t>
            </w:r>
          </w:p>
        </w:tc>
        <w:tc>
          <w:tcPr>
            <w:tcW w:w="7253" w:type="dxa"/>
            <w:vAlign w:val="center"/>
          </w:tcPr>
          <w:p w14:paraId="524E60D0">
            <w:pPr>
              <w:jc w:val="left"/>
              <w:rPr>
                <w:rFonts w:eastAsiaTheme="minorEastAsia"/>
                <w:sz w:val="24"/>
              </w:rPr>
            </w:pPr>
            <w:r>
              <w:rPr>
                <w:rFonts w:ascii="微软雅黑" w:hAnsi="微软雅黑" w:eastAsia="微软雅黑" w:cs="微软雅黑"/>
                <w:color w:val="404040"/>
                <w:sz w:val="24"/>
                <w:shd w:val="clear" w:color="auto" w:fill="FFFFFF"/>
              </w:rPr>
              <w:t>■</w:t>
            </w:r>
            <w:r>
              <w:rPr>
                <w:rFonts w:eastAsiaTheme="minorEastAsia"/>
                <w:sz w:val="24"/>
              </w:rPr>
              <w:t>不召开</w:t>
            </w:r>
          </w:p>
          <w:p w14:paraId="59E326E8">
            <w:pPr>
              <w:jc w:val="left"/>
              <w:rPr>
                <w:rFonts w:eastAsiaTheme="minorEastAsia"/>
                <w:sz w:val="24"/>
              </w:rPr>
            </w:pPr>
            <w:r>
              <w:rPr>
                <w:rFonts w:eastAsiaTheme="minorEastAsia"/>
              </w:rPr>
              <w:t>□</w:t>
            </w:r>
            <w:r>
              <w:rPr>
                <w:rFonts w:eastAsiaTheme="minorEastAsia"/>
                <w:sz w:val="24"/>
              </w:rPr>
              <w:t>召开，召开时间：___</w:t>
            </w:r>
            <w:r>
              <w:rPr>
                <w:rFonts w:eastAsiaTheme="minorEastAsia"/>
                <w:sz w:val="24"/>
                <w:lang w:bidi="ar"/>
              </w:rPr>
              <w:t>年</w:t>
            </w:r>
            <w:r>
              <w:rPr>
                <w:rFonts w:eastAsiaTheme="minorEastAsia"/>
                <w:sz w:val="24"/>
              </w:rPr>
              <w:t>___</w:t>
            </w:r>
            <w:r>
              <w:rPr>
                <w:rFonts w:eastAsiaTheme="minorEastAsia"/>
                <w:sz w:val="24"/>
                <w:lang w:bidi="ar"/>
              </w:rPr>
              <w:t>月</w:t>
            </w:r>
            <w:r>
              <w:rPr>
                <w:rFonts w:eastAsiaTheme="minorEastAsia"/>
                <w:sz w:val="24"/>
              </w:rPr>
              <w:t>___</w:t>
            </w:r>
            <w:r>
              <w:rPr>
                <w:rFonts w:eastAsiaTheme="minorEastAsia"/>
                <w:sz w:val="24"/>
                <w:lang w:bidi="ar"/>
              </w:rPr>
              <w:t>日</w:t>
            </w:r>
            <w:r>
              <w:rPr>
                <w:rFonts w:eastAsiaTheme="minorEastAsia"/>
                <w:sz w:val="24"/>
              </w:rPr>
              <w:t>___</w:t>
            </w:r>
            <w:r>
              <w:rPr>
                <w:rFonts w:eastAsiaTheme="minorEastAsia"/>
                <w:sz w:val="24"/>
                <w:lang w:bidi="ar"/>
              </w:rPr>
              <w:t>点</w:t>
            </w:r>
            <w:r>
              <w:rPr>
                <w:rFonts w:eastAsiaTheme="minorEastAsia"/>
                <w:sz w:val="24"/>
              </w:rPr>
              <w:t>___</w:t>
            </w:r>
            <w:r>
              <w:rPr>
                <w:rFonts w:eastAsiaTheme="minorEastAsia"/>
                <w:sz w:val="24"/>
                <w:lang w:bidi="ar"/>
              </w:rPr>
              <w:t>分</w:t>
            </w:r>
          </w:p>
          <w:p w14:paraId="4591BAD2">
            <w:pPr>
              <w:jc w:val="left"/>
              <w:rPr>
                <w:rFonts w:eastAsiaTheme="minorEastAsia"/>
                <w:sz w:val="24"/>
              </w:rPr>
            </w:pPr>
            <w:r>
              <w:rPr>
                <w:rFonts w:eastAsiaTheme="minorEastAsia"/>
                <w:sz w:val="24"/>
              </w:rPr>
              <w:t>召开地点：___________。</w:t>
            </w:r>
          </w:p>
        </w:tc>
      </w:tr>
      <w:tr w14:paraId="48D85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14:paraId="3B696078">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4.3.5</w:t>
            </w:r>
          </w:p>
        </w:tc>
        <w:tc>
          <w:tcPr>
            <w:tcW w:w="1701" w:type="dxa"/>
            <w:vAlign w:val="center"/>
          </w:tcPr>
          <w:p w14:paraId="749C18CD">
            <w:pPr>
              <w:jc w:val="center"/>
              <w:rPr>
                <w:rFonts w:eastAsiaTheme="minorEastAsia"/>
                <w:sz w:val="24"/>
              </w:rPr>
            </w:pPr>
            <w:r>
              <w:rPr>
                <w:rFonts w:eastAsiaTheme="minorEastAsia"/>
                <w:sz w:val="24"/>
              </w:rPr>
              <w:t>标的所属行业</w:t>
            </w:r>
          </w:p>
        </w:tc>
        <w:tc>
          <w:tcPr>
            <w:tcW w:w="7253" w:type="dxa"/>
            <w:vAlign w:val="center"/>
          </w:tcPr>
          <w:p w14:paraId="64617D76">
            <w:pPr>
              <w:jc w:val="left"/>
              <w:rPr>
                <w:rFonts w:eastAsiaTheme="minorEastAsia"/>
                <w:sz w:val="24"/>
              </w:rPr>
            </w:pPr>
            <w:r>
              <w:rPr>
                <w:rFonts w:eastAsiaTheme="minorEastAsia"/>
                <w:sz w:val="24"/>
              </w:rPr>
              <w:t>本项目采购标的对应的中小企业划分标准所属行业：</w:t>
            </w:r>
          </w:p>
          <w:tbl>
            <w:tblPr>
              <w:tblStyle w:val="43"/>
              <w:tblW w:w="65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3195"/>
              <w:gridCol w:w="2607"/>
            </w:tblGrid>
            <w:tr w14:paraId="0B012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3" w:type="dxa"/>
                  <w:tcBorders>
                    <w:top w:val="single" w:color="auto" w:sz="4" w:space="0"/>
                    <w:left w:val="single" w:color="auto" w:sz="4" w:space="0"/>
                    <w:bottom w:val="single" w:color="auto" w:sz="4" w:space="0"/>
                    <w:right w:val="single" w:color="auto" w:sz="4" w:space="0"/>
                  </w:tcBorders>
                  <w:vAlign w:val="center"/>
                </w:tcPr>
                <w:p w14:paraId="35B6A5B6">
                  <w:pPr>
                    <w:jc w:val="center"/>
                    <w:rPr>
                      <w:rFonts w:eastAsiaTheme="minorEastAsia"/>
                      <w:bCs/>
                      <w:sz w:val="24"/>
                    </w:rPr>
                  </w:pPr>
                  <w:r>
                    <w:rPr>
                      <w:rFonts w:eastAsiaTheme="minorEastAsia"/>
                      <w:bCs/>
                      <w:sz w:val="24"/>
                    </w:rPr>
                    <w:t>包号</w:t>
                  </w:r>
                </w:p>
              </w:tc>
              <w:tc>
                <w:tcPr>
                  <w:tcW w:w="3195" w:type="dxa"/>
                  <w:tcBorders>
                    <w:top w:val="single" w:color="auto" w:sz="4" w:space="0"/>
                    <w:left w:val="single" w:color="auto" w:sz="4" w:space="0"/>
                    <w:bottom w:val="single" w:color="auto" w:sz="4" w:space="0"/>
                    <w:right w:val="single" w:color="auto" w:sz="4" w:space="0"/>
                  </w:tcBorders>
                  <w:vAlign w:val="center"/>
                </w:tcPr>
                <w:p w14:paraId="49911BC2">
                  <w:pPr>
                    <w:jc w:val="center"/>
                    <w:rPr>
                      <w:rFonts w:eastAsiaTheme="minorEastAsia"/>
                      <w:bCs/>
                      <w:sz w:val="24"/>
                    </w:rPr>
                  </w:pPr>
                  <w:r>
                    <w:rPr>
                      <w:rFonts w:eastAsiaTheme="minorEastAsia"/>
                      <w:bCs/>
                      <w:sz w:val="24"/>
                    </w:rPr>
                    <w:t>标的名称</w:t>
                  </w:r>
                </w:p>
              </w:tc>
              <w:tc>
                <w:tcPr>
                  <w:tcW w:w="2607" w:type="dxa"/>
                  <w:tcBorders>
                    <w:top w:val="single" w:color="auto" w:sz="4" w:space="0"/>
                    <w:left w:val="single" w:color="auto" w:sz="4" w:space="0"/>
                    <w:bottom w:val="single" w:color="auto" w:sz="4" w:space="0"/>
                    <w:right w:val="single" w:color="auto" w:sz="4" w:space="0"/>
                  </w:tcBorders>
                  <w:vAlign w:val="center"/>
                </w:tcPr>
                <w:p w14:paraId="011ADE85">
                  <w:pPr>
                    <w:jc w:val="center"/>
                    <w:rPr>
                      <w:rFonts w:eastAsiaTheme="minorEastAsia"/>
                      <w:sz w:val="24"/>
                    </w:rPr>
                  </w:pPr>
                  <w:r>
                    <w:rPr>
                      <w:rFonts w:eastAsiaTheme="minorEastAsia"/>
                      <w:sz w:val="24"/>
                    </w:rPr>
                    <w:t>中小企业划分标准所属行业</w:t>
                  </w:r>
                </w:p>
              </w:tc>
            </w:tr>
            <w:tr w14:paraId="55D8A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3" w:type="dxa"/>
                  <w:tcBorders>
                    <w:top w:val="single" w:color="auto" w:sz="4" w:space="0"/>
                    <w:left w:val="single" w:color="auto" w:sz="4" w:space="0"/>
                    <w:bottom w:val="single" w:color="auto" w:sz="4" w:space="0"/>
                    <w:right w:val="single" w:color="auto" w:sz="4" w:space="0"/>
                  </w:tcBorders>
                  <w:vAlign w:val="center"/>
                </w:tcPr>
                <w:p w14:paraId="2EC03C02">
                  <w:pPr>
                    <w:jc w:val="center"/>
                    <w:rPr>
                      <w:rFonts w:eastAsiaTheme="minorEastAsia"/>
                      <w:bCs/>
                      <w:sz w:val="24"/>
                    </w:rPr>
                  </w:pPr>
                  <w:r>
                    <w:rPr>
                      <w:rFonts w:hint="eastAsia" w:eastAsiaTheme="minorEastAsia"/>
                      <w:bCs/>
                      <w:sz w:val="24"/>
                    </w:rPr>
                    <w:t>1</w:t>
                  </w:r>
                </w:p>
              </w:tc>
              <w:tc>
                <w:tcPr>
                  <w:tcW w:w="3195" w:type="dxa"/>
                  <w:tcBorders>
                    <w:top w:val="single" w:color="auto" w:sz="4" w:space="0"/>
                    <w:left w:val="single" w:color="auto" w:sz="4" w:space="0"/>
                    <w:bottom w:val="single" w:color="auto" w:sz="4" w:space="0"/>
                    <w:right w:val="single" w:color="auto" w:sz="4" w:space="0"/>
                  </w:tcBorders>
                  <w:vAlign w:val="center"/>
                </w:tcPr>
                <w:p w14:paraId="28691045">
                  <w:pPr>
                    <w:jc w:val="center"/>
                    <w:rPr>
                      <w:rFonts w:hint="eastAsia" w:eastAsiaTheme="minorEastAsia"/>
                      <w:bCs/>
                      <w:sz w:val="24"/>
                      <w:lang w:eastAsia="zh-CN"/>
                    </w:rPr>
                  </w:pPr>
                  <w:r>
                    <w:rPr>
                      <w:rFonts w:hint="eastAsia" w:eastAsiaTheme="minorEastAsia"/>
                      <w:bCs/>
                      <w:sz w:val="24"/>
                      <w:lang w:eastAsia="zh-CN"/>
                    </w:rPr>
                    <w:t>2025年扶持壮大村集体经济（红色村庄）项目</w:t>
                  </w:r>
                </w:p>
              </w:tc>
              <w:tc>
                <w:tcPr>
                  <w:tcW w:w="2607" w:type="dxa"/>
                  <w:tcBorders>
                    <w:top w:val="single" w:color="auto" w:sz="4" w:space="0"/>
                    <w:left w:val="single" w:color="auto" w:sz="4" w:space="0"/>
                    <w:bottom w:val="single" w:color="auto" w:sz="4" w:space="0"/>
                    <w:right w:val="single" w:color="auto" w:sz="4" w:space="0"/>
                  </w:tcBorders>
                  <w:vAlign w:val="center"/>
                </w:tcPr>
                <w:p w14:paraId="33DFD3B0">
                  <w:pPr>
                    <w:jc w:val="center"/>
                    <w:rPr>
                      <w:rFonts w:eastAsiaTheme="minorEastAsia"/>
                      <w:bCs/>
                      <w:sz w:val="24"/>
                    </w:rPr>
                  </w:pPr>
                  <w:r>
                    <w:rPr>
                      <w:rFonts w:hint="eastAsia" w:eastAsiaTheme="minorEastAsia"/>
                      <w:bCs/>
                      <w:sz w:val="24"/>
                    </w:rPr>
                    <w:t>建筑业</w:t>
                  </w:r>
                </w:p>
              </w:tc>
            </w:tr>
          </w:tbl>
          <w:p w14:paraId="25A329CC">
            <w:pPr>
              <w:jc w:val="left"/>
              <w:rPr>
                <w:rFonts w:eastAsiaTheme="minorEastAsia"/>
                <w:sz w:val="24"/>
              </w:rPr>
            </w:pPr>
          </w:p>
        </w:tc>
      </w:tr>
      <w:tr w14:paraId="450FB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988" w:type="dxa"/>
            <w:vAlign w:val="center"/>
          </w:tcPr>
          <w:p w14:paraId="43E42C6E">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10.2</w:t>
            </w:r>
          </w:p>
        </w:tc>
        <w:tc>
          <w:tcPr>
            <w:tcW w:w="1701" w:type="dxa"/>
            <w:vAlign w:val="center"/>
          </w:tcPr>
          <w:p w14:paraId="30EFF7CE">
            <w:pPr>
              <w:jc w:val="center"/>
              <w:rPr>
                <w:rFonts w:eastAsiaTheme="minorEastAsia"/>
                <w:sz w:val="24"/>
              </w:rPr>
            </w:pPr>
            <w:r>
              <w:rPr>
                <w:rFonts w:eastAsiaTheme="minorEastAsia"/>
                <w:sz w:val="24"/>
              </w:rPr>
              <w:t>报价</w:t>
            </w:r>
          </w:p>
        </w:tc>
        <w:tc>
          <w:tcPr>
            <w:tcW w:w="7253" w:type="dxa"/>
            <w:vAlign w:val="center"/>
          </w:tcPr>
          <w:p w14:paraId="33F64170">
            <w:pPr>
              <w:jc w:val="left"/>
              <w:rPr>
                <w:rFonts w:eastAsiaTheme="minorEastAsia"/>
                <w:sz w:val="24"/>
              </w:rPr>
            </w:pPr>
            <w:r>
              <w:rPr>
                <w:rFonts w:eastAsiaTheme="minorEastAsia"/>
                <w:sz w:val="24"/>
              </w:rPr>
              <w:t>报价的特殊规定：</w:t>
            </w:r>
          </w:p>
          <w:p w14:paraId="09CE2001">
            <w:pPr>
              <w:jc w:val="left"/>
              <w:rPr>
                <w:rFonts w:eastAsiaTheme="minorEastAsia"/>
                <w:sz w:val="24"/>
              </w:rPr>
            </w:pPr>
            <w:r>
              <w:rPr>
                <w:rFonts w:ascii="微软雅黑" w:hAnsi="微软雅黑" w:eastAsia="微软雅黑" w:cs="微软雅黑"/>
                <w:color w:val="404040"/>
                <w:sz w:val="24"/>
                <w:shd w:val="clear" w:color="auto" w:fill="FFFFFF"/>
              </w:rPr>
              <w:t>■</w:t>
            </w:r>
            <w:r>
              <w:rPr>
                <w:rFonts w:eastAsiaTheme="minorEastAsia"/>
                <w:sz w:val="24"/>
              </w:rPr>
              <w:t>无</w:t>
            </w:r>
          </w:p>
          <w:p w14:paraId="2284C758">
            <w:pPr>
              <w:jc w:val="left"/>
              <w:rPr>
                <w:rFonts w:eastAsiaTheme="minorEastAsia"/>
                <w:sz w:val="24"/>
              </w:rPr>
            </w:pPr>
            <w:r>
              <w:rPr>
                <w:rFonts w:eastAsiaTheme="minorEastAsia"/>
              </w:rPr>
              <w:t>□</w:t>
            </w:r>
            <w:r>
              <w:rPr>
                <w:rFonts w:eastAsiaTheme="minorEastAsia"/>
                <w:sz w:val="24"/>
              </w:rPr>
              <w:t>有，具体情形：___________。</w:t>
            </w:r>
          </w:p>
        </w:tc>
      </w:tr>
      <w:tr w14:paraId="4E0FF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3A0AB11">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11.1</w:t>
            </w:r>
          </w:p>
        </w:tc>
        <w:tc>
          <w:tcPr>
            <w:tcW w:w="1701" w:type="dxa"/>
            <w:vMerge w:val="restart"/>
            <w:vAlign w:val="center"/>
          </w:tcPr>
          <w:p w14:paraId="0FF1D15A">
            <w:pPr>
              <w:jc w:val="center"/>
              <w:rPr>
                <w:rFonts w:eastAsiaTheme="minorEastAsia"/>
                <w:sz w:val="24"/>
              </w:rPr>
            </w:pPr>
            <w:r>
              <w:rPr>
                <w:rFonts w:eastAsiaTheme="minorEastAsia"/>
                <w:sz w:val="24"/>
              </w:rPr>
              <w:t>磋商保证金</w:t>
            </w:r>
          </w:p>
        </w:tc>
        <w:tc>
          <w:tcPr>
            <w:tcW w:w="7253" w:type="dxa"/>
            <w:vAlign w:val="center"/>
          </w:tcPr>
          <w:p w14:paraId="3A2DF0C1">
            <w:pPr>
              <w:pStyle w:val="23"/>
              <w:adjustRightInd w:val="0"/>
              <w:snapToGrid w:val="0"/>
              <w:rPr>
                <w:rFonts w:hint="default" w:ascii="Times New Roman" w:hAnsi="Times New Roman" w:eastAsiaTheme="minorEastAsia"/>
                <w:sz w:val="24"/>
                <w:szCs w:val="24"/>
              </w:rPr>
            </w:pPr>
            <w:r>
              <w:rPr>
                <w:rFonts w:hint="default" w:ascii="Times New Roman" w:hAnsi="Times New Roman" w:eastAsiaTheme="minorEastAsia"/>
                <w:sz w:val="24"/>
                <w:szCs w:val="24"/>
              </w:rPr>
              <w:t>磋商保证金金额：</w:t>
            </w:r>
          </w:p>
          <w:p w14:paraId="1A8A5170">
            <w:pPr>
              <w:pStyle w:val="23"/>
              <w:adjustRightInd w:val="0"/>
              <w:snapToGrid w:val="0"/>
              <w:rPr>
                <w:rFonts w:hint="default" w:ascii="Times New Roman" w:hAnsi="Times New Roman" w:eastAsiaTheme="minorEastAsia"/>
                <w:sz w:val="24"/>
                <w:szCs w:val="24"/>
              </w:rPr>
            </w:pPr>
            <w:r>
              <w:rPr>
                <w:rFonts w:hint="default" w:ascii="Times New Roman" w:hAnsi="Times New Roman" w:eastAsiaTheme="minorEastAsia"/>
                <w:sz w:val="24"/>
                <w:szCs w:val="24"/>
              </w:rPr>
              <w:t>01包：</w:t>
            </w:r>
            <w:r>
              <w:rPr>
                <w:rFonts w:hint="default" w:ascii="Times New Roman" w:hAnsi="Times New Roman" w:eastAsiaTheme="minorEastAsia"/>
                <w:sz w:val="24"/>
              </w:rPr>
              <w:t>_____</w:t>
            </w:r>
            <w:r>
              <w:rPr>
                <w:rFonts w:ascii="Times New Roman" w:hAnsi="Times New Roman" w:eastAsiaTheme="minorEastAsia"/>
                <w:sz w:val="24"/>
              </w:rPr>
              <w:t>/</w:t>
            </w:r>
            <w:r>
              <w:rPr>
                <w:rFonts w:hint="default" w:ascii="Times New Roman" w:hAnsi="Times New Roman" w:eastAsiaTheme="minorEastAsia"/>
                <w:sz w:val="24"/>
              </w:rPr>
              <w:t>______</w:t>
            </w:r>
            <w:r>
              <w:rPr>
                <w:rFonts w:hint="default" w:ascii="Times New Roman" w:hAnsi="Times New Roman" w:eastAsiaTheme="minorEastAsia"/>
                <w:sz w:val="24"/>
                <w:szCs w:val="24"/>
              </w:rPr>
              <w:t>；</w:t>
            </w:r>
          </w:p>
          <w:p w14:paraId="0367625A">
            <w:pPr>
              <w:pStyle w:val="23"/>
              <w:adjustRightInd w:val="0"/>
              <w:snapToGrid w:val="0"/>
              <w:rPr>
                <w:rFonts w:hint="default" w:ascii="Times New Roman" w:hAnsi="Times New Roman" w:eastAsiaTheme="minorEastAsia"/>
                <w:sz w:val="24"/>
                <w:szCs w:val="24"/>
              </w:rPr>
            </w:pPr>
            <w:r>
              <w:rPr>
                <w:rFonts w:hint="default" w:ascii="Times New Roman" w:hAnsi="Times New Roman" w:eastAsiaTheme="minorEastAsia"/>
                <w:sz w:val="24"/>
                <w:szCs w:val="24"/>
              </w:rPr>
              <w:t>… 包：</w:t>
            </w:r>
            <w:r>
              <w:rPr>
                <w:rFonts w:hint="default" w:ascii="Times New Roman" w:hAnsi="Times New Roman" w:eastAsiaTheme="minorEastAsia"/>
                <w:sz w:val="24"/>
              </w:rPr>
              <w:t>_____</w:t>
            </w:r>
            <w:r>
              <w:rPr>
                <w:rFonts w:ascii="Times New Roman" w:hAnsi="Times New Roman" w:eastAsiaTheme="minorEastAsia"/>
                <w:sz w:val="24"/>
              </w:rPr>
              <w:t>/</w:t>
            </w:r>
            <w:r>
              <w:rPr>
                <w:rFonts w:hint="default" w:ascii="Times New Roman" w:hAnsi="Times New Roman" w:eastAsiaTheme="minorEastAsia"/>
                <w:sz w:val="24"/>
              </w:rPr>
              <w:t>______</w:t>
            </w:r>
            <w:r>
              <w:rPr>
                <w:rFonts w:hint="default" w:ascii="Times New Roman" w:hAnsi="Times New Roman" w:eastAsiaTheme="minorEastAsia"/>
                <w:sz w:val="24"/>
                <w:szCs w:val="24"/>
              </w:rPr>
              <w:t>。</w:t>
            </w:r>
          </w:p>
          <w:p w14:paraId="323120A0">
            <w:pPr>
              <w:jc w:val="left"/>
              <w:rPr>
                <w:rFonts w:eastAsiaTheme="minorEastAsia"/>
                <w:sz w:val="24"/>
              </w:rPr>
            </w:pPr>
            <w:r>
              <w:rPr>
                <w:rFonts w:eastAsiaTheme="minorEastAsia"/>
                <w:sz w:val="24"/>
              </w:rPr>
              <w:t>磋商保证金收受人信息：____</w:t>
            </w:r>
            <w:r>
              <w:rPr>
                <w:rFonts w:hint="eastAsia" w:eastAsiaTheme="minorEastAsia"/>
                <w:sz w:val="24"/>
              </w:rPr>
              <w:t>/</w:t>
            </w:r>
            <w:r>
              <w:rPr>
                <w:rFonts w:eastAsiaTheme="minorEastAsia"/>
                <w:sz w:val="24"/>
              </w:rPr>
              <w:t>_______。</w:t>
            </w:r>
          </w:p>
        </w:tc>
      </w:tr>
      <w:tr w14:paraId="5B090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5EEF745">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11.</w:t>
            </w:r>
            <w:r>
              <w:rPr>
                <w:rFonts w:ascii="Times New Roman" w:hAnsi="Times New Roman" w:eastAsiaTheme="minorEastAsia"/>
                <w:sz w:val="24"/>
                <w:szCs w:val="24"/>
              </w:rPr>
              <w:t>8</w:t>
            </w:r>
            <w:r>
              <w:rPr>
                <w:rFonts w:hint="default" w:ascii="Times New Roman" w:hAnsi="Times New Roman" w:eastAsiaTheme="minorEastAsia"/>
                <w:sz w:val="24"/>
                <w:szCs w:val="24"/>
              </w:rPr>
              <w:t>.5</w:t>
            </w:r>
          </w:p>
        </w:tc>
        <w:tc>
          <w:tcPr>
            <w:tcW w:w="1701" w:type="dxa"/>
            <w:vMerge w:val="continue"/>
            <w:vAlign w:val="center"/>
          </w:tcPr>
          <w:p w14:paraId="1275A9C1">
            <w:pPr>
              <w:jc w:val="center"/>
              <w:rPr>
                <w:rFonts w:eastAsiaTheme="minorEastAsia"/>
                <w:sz w:val="24"/>
              </w:rPr>
            </w:pPr>
          </w:p>
        </w:tc>
        <w:tc>
          <w:tcPr>
            <w:tcW w:w="7253" w:type="dxa"/>
            <w:vAlign w:val="center"/>
          </w:tcPr>
          <w:p w14:paraId="47D50947">
            <w:pPr>
              <w:jc w:val="left"/>
              <w:rPr>
                <w:rFonts w:eastAsiaTheme="minorEastAsia"/>
                <w:sz w:val="24"/>
              </w:rPr>
            </w:pPr>
            <w:r>
              <w:rPr>
                <w:rFonts w:eastAsiaTheme="minorEastAsia"/>
                <w:sz w:val="24"/>
              </w:rPr>
              <w:t>磋商保证金不予退还的其他情形：</w:t>
            </w:r>
          </w:p>
          <w:p w14:paraId="0EB7CF20">
            <w:pPr>
              <w:jc w:val="left"/>
              <w:rPr>
                <w:rFonts w:eastAsiaTheme="minorEastAsia"/>
                <w:sz w:val="24"/>
              </w:rPr>
            </w:pPr>
            <w:r>
              <w:rPr>
                <w:rFonts w:ascii="微软雅黑" w:hAnsi="微软雅黑" w:eastAsia="微软雅黑" w:cs="微软雅黑"/>
                <w:color w:val="404040"/>
                <w:sz w:val="24"/>
                <w:shd w:val="clear" w:color="auto" w:fill="FFFFFF"/>
              </w:rPr>
              <w:t>■</w:t>
            </w:r>
            <w:r>
              <w:rPr>
                <w:rFonts w:eastAsiaTheme="minorEastAsia"/>
                <w:sz w:val="24"/>
              </w:rPr>
              <w:t>无</w:t>
            </w:r>
          </w:p>
          <w:p w14:paraId="25AA16AF">
            <w:pPr>
              <w:pStyle w:val="23"/>
              <w:adjustRightInd w:val="0"/>
              <w:snapToGrid w:val="0"/>
              <w:rPr>
                <w:rFonts w:hint="default" w:ascii="Times New Roman" w:hAnsi="Times New Roman" w:eastAsiaTheme="minorEastAsia"/>
                <w:sz w:val="24"/>
                <w:szCs w:val="24"/>
              </w:rPr>
            </w:pPr>
            <w:r>
              <w:rPr>
                <w:rFonts w:hint="default" w:ascii="Times New Roman" w:hAnsi="Times New Roman" w:eastAsiaTheme="minorEastAsia"/>
              </w:rPr>
              <w:t>□</w:t>
            </w:r>
            <w:r>
              <w:rPr>
                <w:rFonts w:hint="default" w:ascii="Times New Roman" w:hAnsi="Times New Roman" w:eastAsiaTheme="minorEastAsia"/>
                <w:sz w:val="24"/>
              </w:rPr>
              <w:t>有，具体情形：_____</w:t>
            </w:r>
            <w:r>
              <w:rPr>
                <w:rFonts w:ascii="Times New Roman" w:hAnsi="Times New Roman" w:eastAsiaTheme="minorEastAsia"/>
                <w:sz w:val="24"/>
              </w:rPr>
              <w:t>/</w:t>
            </w:r>
            <w:r>
              <w:rPr>
                <w:rFonts w:hint="default" w:ascii="Times New Roman" w:hAnsi="Times New Roman" w:eastAsiaTheme="minorEastAsia"/>
                <w:sz w:val="24"/>
              </w:rPr>
              <w:t>______。</w:t>
            </w:r>
          </w:p>
        </w:tc>
      </w:tr>
      <w:tr w14:paraId="44BE2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F7C8FEE">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12.1</w:t>
            </w:r>
          </w:p>
        </w:tc>
        <w:tc>
          <w:tcPr>
            <w:tcW w:w="1701" w:type="dxa"/>
            <w:vAlign w:val="center"/>
          </w:tcPr>
          <w:p w14:paraId="3CB5A4FF">
            <w:pPr>
              <w:jc w:val="center"/>
              <w:rPr>
                <w:rFonts w:eastAsiaTheme="minorEastAsia"/>
                <w:sz w:val="24"/>
              </w:rPr>
            </w:pPr>
            <w:r>
              <w:rPr>
                <w:rFonts w:eastAsiaTheme="minorEastAsia"/>
                <w:sz w:val="24"/>
              </w:rPr>
              <w:t>响应有效期</w:t>
            </w:r>
          </w:p>
        </w:tc>
        <w:tc>
          <w:tcPr>
            <w:tcW w:w="7253" w:type="dxa"/>
            <w:vAlign w:val="center"/>
          </w:tcPr>
          <w:p w14:paraId="6D2DBEF8">
            <w:pPr>
              <w:jc w:val="left"/>
              <w:rPr>
                <w:rFonts w:eastAsiaTheme="minorEastAsia"/>
                <w:sz w:val="24"/>
              </w:rPr>
            </w:pPr>
            <w:r>
              <w:rPr>
                <w:rFonts w:eastAsiaTheme="minorEastAsia"/>
                <w:sz w:val="24"/>
              </w:rPr>
              <w:t>自响应文件提交截止之日起算___</w:t>
            </w:r>
            <w:r>
              <w:rPr>
                <w:rFonts w:hint="eastAsia" w:eastAsiaTheme="minorEastAsia"/>
                <w:sz w:val="24"/>
              </w:rPr>
              <w:t>90</w:t>
            </w:r>
            <w:r>
              <w:rPr>
                <w:rFonts w:eastAsiaTheme="minorEastAsia"/>
                <w:sz w:val="24"/>
              </w:rPr>
              <w:t>___日历天。</w:t>
            </w:r>
          </w:p>
        </w:tc>
      </w:tr>
      <w:tr w14:paraId="2D52A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6971694">
            <w:pPr>
              <w:pStyle w:val="23"/>
              <w:adjustRightInd w:val="0"/>
              <w:snapToGrid w:val="0"/>
              <w:jc w:val="center"/>
              <w:rPr>
                <w:rFonts w:hint="default" w:ascii="Times New Roman" w:hAnsi="Times New Roman" w:eastAsiaTheme="minorEastAsia"/>
                <w:sz w:val="24"/>
                <w:szCs w:val="24"/>
              </w:rPr>
            </w:pPr>
            <w:r>
              <w:rPr>
                <w:rFonts w:ascii="Times New Roman" w:hAnsi="Times New Roman" w:eastAsiaTheme="minorEastAsia"/>
                <w:sz w:val="24"/>
                <w:szCs w:val="24"/>
              </w:rPr>
              <w:t>17.2</w:t>
            </w:r>
          </w:p>
        </w:tc>
        <w:tc>
          <w:tcPr>
            <w:tcW w:w="1701" w:type="dxa"/>
            <w:vAlign w:val="center"/>
          </w:tcPr>
          <w:p w14:paraId="065D6745">
            <w:pPr>
              <w:jc w:val="center"/>
              <w:rPr>
                <w:rFonts w:eastAsiaTheme="minorEastAsia"/>
                <w:sz w:val="24"/>
              </w:rPr>
            </w:pPr>
            <w:r>
              <w:rPr>
                <w:rFonts w:hint="eastAsia" w:eastAsiaTheme="minorEastAsia"/>
                <w:sz w:val="24"/>
              </w:rPr>
              <w:t>解密时间</w:t>
            </w:r>
          </w:p>
        </w:tc>
        <w:tc>
          <w:tcPr>
            <w:tcW w:w="7253" w:type="dxa"/>
            <w:vAlign w:val="center"/>
          </w:tcPr>
          <w:p w14:paraId="0BF547BB">
            <w:pPr>
              <w:jc w:val="left"/>
              <w:rPr>
                <w:rFonts w:eastAsiaTheme="minorEastAsia"/>
                <w:sz w:val="24"/>
              </w:rPr>
            </w:pPr>
            <w:r>
              <w:rPr>
                <w:rFonts w:hint="eastAsia" w:ascii="宋体" w:hAnsi="宋体"/>
                <w:sz w:val="24"/>
              </w:rPr>
              <w:t>解密时间：</w:t>
            </w:r>
            <w:r>
              <w:rPr>
                <w:rFonts w:hint="eastAsia" w:ascii="宋体" w:hAnsi="宋体"/>
                <w:sz w:val="24"/>
                <w:u w:val="single"/>
              </w:rPr>
              <w:t xml:space="preserve">  30 </w:t>
            </w:r>
            <w:r>
              <w:rPr>
                <w:rFonts w:hint="eastAsia" w:ascii="宋体" w:hAnsi="宋体"/>
                <w:sz w:val="24"/>
              </w:rPr>
              <w:t>分钟</w:t>
            </w:r>
            <w:r>
              <w:rPr>
                <w:rFonts w:hint="eastAsia" w:ascii="宋体" w:hAnsi="宋体"/>
                <w:i/>
                <w:iCs/>
                <w:color w:val="FF0000"/>
                <w:sz w:val="24"/>
              </w:rPr>
              <w:t>（建议不少于10分钟）</w:t>
            </w:r>
          </w:p>
        </w:tc>
      </w:tr>
      <w:tr w14:paraId="469AC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0A53DB4">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20.1</w:t>
            </w:r>
          </w:p>
        </w:tc>
        <w:tc>
          <w:tcPr>
            <w:tcW w:w="1701" w:type="dxa"/>
            <w:vAlign w:val="center"/>
          </w:tcPr>
          <w:p w14:paraId="0EDFBAAD">
            <w:pPr>
              <w:jc w:val="center"/>
              <w:rPr>
                <w:rFonts w:eastAsiaTheme="minorEastAsia"/>
                <w:sz w:val="24"/>
              </w:rPr>
            </w:pPr>
            <w:r>
              <w:rPr>
                <w:sz w:val="24"/>
              </w:rPr>
              <w:t>确定成交供应商</w:t>
            </w:r>
          </w:p>
        </w:tc>
        <w:tc>
          <w:tcPr>
            <w:tcW w:w="7253" w:type="dxa"/>
            <w:vAlign w:val="center"/>
          </w:tcPr>
          <w:p w14:paraId="5CD87B10">
            <w:pPr>
              <w:pStyle w:val="23"/>
              <w:adjustRightInd w:val="0"/>
              <w:snapToGrid w:val="0"/>
              <w:rPr>
                <w:rFonts w:hint="default" w:ascii="Times New Roman" w:hAnsi="Times New Roman" w:eastAsiaTheme="minorEastAsia"/>
                <w:sz w:val="24"/>
              </w:rPr>
            </w:pPr>
            <w:r>
              <w:rPr>
                <w:rFonts w:hint="default" w:ascii="Times New Roman" w:hAnsi="Times New Roman" w:eastAsiaTheme="minorEastAsia"/>
                <w:sz w:val="24"/>
              </w:rPr>
              <w:t>采购人是否</w:t>
            </w:r>
            <w:r>
              <w:rPr>
                <w:rFonts w:hint="default" w:ascii="Times New Roman" w:hAnsi="Times New Roman" w:eastAsiaTheme="minorEastAsia"/>
                <w:color w:val="000000"/>
                <w:sz w:val="24"/>
              </w:rPr>
              <w:t>授权磋商小组直接确定成交供应商</w:t>
            </w:r>
            <w:r>
              <w:rPr>
                <w:rFonts w:hint="default" w:ascii="Times New Roman" w:hAnsi="Times New Roman" w:eastAsiaTheme="minorEastAsia"/>
                <w:sz w:val="24"/>
              </w:rPr>
              <w:t>：</w:t>
            </w:r>
          </w:p>
          <w:p w14:paraId="47822231">
            <w:pPr>
              <w:pStyle w:val="23"/>
              <w:adjustRightInd w:val="0"/>
              <w:snapToGrid w:val="0"/>
              <w:rPr>
                <w:rFonts w:hint="default" w:ascii="Times New Roman" w:hAnsi="Times New Roman" w:eastAsiaTheme="minorEastAsia"/>
                <w:sz w:val="24"/>
              </w:rPr>
            </w:pPr>
            <w:r>
              <w:rPr>
                <w:rFonts w:ascii="微软雅黑" w:hAnsi="微软雅黑" w:eastAsia="微软雅黑" w:cs="微软雅黑"/>
                <w:color w:val="404040"/>
                <w:sz w:val="24"/>
                <w:szCs w:val="24"/>
                <w:shd w:val="clear" w:color="auto" w:fill="FFFFFF"/>
              </w:rPr>
              <w:t>■</w:t>
            </w:r>
            <w:r>
              <w:rPr>
                <w:rFonts w:hint="default" w:ascii="Times New Roman" w:hAnsi="Times New Roman" w:eastAsiaTheme="minorEastAsia"/>
                <w:sz w:val="24"/>
              </w:rPr>
              <w:t>否</w:t>
            </w:r>
          </w:p>
          <w:p w14:paraId="65DBCA8F">
            <w:pPr>
              <w:jc w:val="left"/>
              <w:rPr>
                <w:rFonts w:eastAsiaTheme="minorEastAsia"/>
                <w:sz w:val="24"/>
              </w:rPr>
            </w:pPr>
            <w:r>
              <w:rPr>
                <w:rFonts w:eastAsiaTheme="minorEastAsia"/>
              </w:rPr>
              <w:t>□</w:t>
            </w:r>
            <w:r>
              <w:rPr>
                <w:rFonts w:eastAsiaTheme="minorEastAsia"/>
                <w:sz w:val="24"/>
              </w:rPr>
              <w:t>是</w:t>
            </w:r>
          </w:p>
          <w:p w14:paraId="290A7648">
            <w:pPr>
              <w:jc w:val="left"/>
              <w:rPr>
                <w:rFonts w:eastAsiaTheme="minorEastAsia"/>
                <w:sz w:val="24"/>
                <w:u w:val="single"/>
              </w:rPr>
            </w:pPr>
            <w:r>
              <w:rPr>
                <w:rFonts w:eastAsiaTheme="minorEastAsia"/>
                <w:sz w:val="24"/>
              </w:rPr>
              <w:t>成交候选人并列的，按照以下方式确定成交供应商：</w:t>
            </w:r>
            <w:r>
              <w:rPr>
                <w:rFonts w:hint="eastAsia" w:eastAsiaTheme="minorEastAsia"/>
                <w:sz w:val="24"/>
              </w:rPr>
              <w:t>得分相同的，以</w:t>
            </w:r>
            <w:r>
              <w:rPr>
                <w:rFonts w:hint="eastAsia" w:eastAsiaTheme="minorEastAsia"/>
                <w:sz w:val="24"/>
                <w:u w:val="single"/>
              </w:rPr>
              <w:t xml:space="preserve">  技术方案  </w:t>
            </w:r>
            <w:r>
              <w:rPr>
                <w:rFonts w:hint="eastAsia" w:eastAsiaTheme="minorEastAsia"/>
                <w:sz w:val="24"/>
              </w:rPr>
              <w:t>得分高者为中标人</w:t>
            </w:r>
            <w:r>
              <w:rPr>
                <w:rFonts w:eastAsiaTheme="minorEastAsia"/>
                <w:sz w:val="24"/>
              </w:rPr>
              <w:t>。</w:t>
            </w:r>
          </w:p>
        </w:tc>
      </w:tr>
      <w:tr w14:paraId="725D1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DE9ED48">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23.5</w:t>
            </w:r>
          </w:p>
        </w:tc>
        <w:tc>
          <w:tcPr>
            <w:tcW w:w="1701" w:type="dxa"/>
            <w:vAlign w:val="center"/>
          </w:tcPr>
          <w:p w14:paraId="62942D55">
            <w:pPr>
              <w:jc w:val="center"/>
              <w:rPr>
                <w:rFonts w:eastAsiaTheme="minorEastAsia"/>
                <w:sz w:val="24"/>
              </w:rPr>
            </w:pPr>
            <w:r>
              <w:rPr>
                <w:rFonts w:eastAsiaTheme="minorEastAsia"/>
                <w:sz w:val="24"/>
              </w:rPr>
              <w:t>分包</w:t>
            </w:r>
          </w:p>
        </w:tc>
        <w:tc>
          <w:tcPr>
            <w:tcW w:w="7253" w:type="dxa"/>
            <w:vAlign w:val="center"/>
          </w:tcPr>
          <w:p w14:paraId="4191727D">
            <w:pPr>
              <w:jc w:val="left"/>
              <w:rPr>
                <w:rFonts w:eastAsiaTheme="minorEastAsia"/>
                <w:sz w:val="24"/>
              </w:rPr>
            </w:pPr>
            <w:r>
              <w:rPr>
                <w:rFonts w:eastAsiaTheme="minorEastAsia"/>
                <w:sz w:val="24"/>
              </w:rPr>
              <w:t xml:space="preserve">本项目是否允许分包： </w:t>
            </w:r>
          </w:p>
          <w:p w14:paraId="5932C4F9">
            <w:pPr>
              <w:jc w:val="left"/>
              <w:rPr>
                <w:rFonts w:eastAsiaTheme="minorEastAsia"/>
                <w:sz w:val="24"/>
              </w:rPr>
            </w:pPr>
            <w:r>
              <w:rPr>
                <w:rFonts w:ascii="微软雅黑" w:hAnsi="微软雅黑" w:eastAsia="微软雅黑" w:cs="微软雅黑"/>
                <w:color w:val="404040"/>
                <w:sz w:val="24"/>
                <w:shd w:val="clear" w:color="auto" w:fill="FFFFFF"/>
              </w:rPr>
              <w:t>■</w:t>
            </w:r>
            <w:r>
              <w:rPr>
                <w:rFonts w:eastAsiaTheme="minorEastAsia"/>
                <w:sz w:val="24"/>
              </w:rPr>
              <w:t>不允许</w:t>
            </w:r>
          </w:p>
          <w:p w14:paraId="6DC13A4E">
            <w:pPr>
              <w:jc w:val="left"/>
              <w:rPr>
                <w:rFonts w:eastAsiaTheme="minorEastAsia"/>
                <w:sz w:val="24"/>
              </w:rPr>
            </w:pPr>
            <w:r>
              <w:rPr>
                <w:rFonts w:eastAsiaTheme="minorEastAsia"/>
              </w:rPr>
              <w:t>□</w:t>
            </w:r>
            <w:r>
              <w:rPr>
                <w:rFonts w:eastAsiaTheme="minorEastAsia"/>
                <w:sz w:val="24"/>
              </w:rPr>
              <w:t>允许，具体要求：_______。</w:t>
            </w:r>
          </w:p>
          <w:p w14:paraId="158D5D32">
            <w:pPr>
              <w:jc w:val="left"/>
              <w:rPr>
                <w:rFonts w:eastAsiaTheme="minorEastAsia"/>
                <w:sz w:val="24"/>
              </w:rPr>
            </w:pPr>
            <w:r>
              <w:rPr>
                <w:rFonts w:eastAsiaTheme="minorEastAsia"/>
                <w:sz w:val="24"/>
              </w:rPr>
              <w:t>（1）可以分包履行的具体内容：_______；</w:t>
            </w:r>
          </w:p>
          <w:p w14:paraId="128B063F">
            <w:pPr>
              <w:jc w:val="left"/>
              <w:rPr>
                <w:rFonts w:eastAsiaTheme="minorEastAsia"/>
                <w:sz w:val="24"/>
              </w:rPr>
            </w:pPr>
            <w:r>
              <w:rPr>
                <w:rFonts w:eastAsiaTheme="minorEastAsia"/>
                <w:sz w:val="24"/>
              </w:rPr>
              <w:t>（2）允许分包的金额或者比例：_______；</w:t>
            </w:r>
          </w:p>
          <w:p w14:paraId="7E0EEE27">
            <w:pPr>
              <w:jc w:val="left"/>
              <w:rPr>
                <w:rFonts w:eastAsiaTheme="minorEastAsia"/>
                <w:sz w:val="24"/>
                <w:u w:val="single"/>
              </w:rPr>
            </w:pPr>
            <w:r>
              <w:rPr>
                <w:rFonts w:eastAsiaTheme="minorEastAsia"/>
                <w:sz w:val="24"/>
              </w:rPr>
              <w:t>（3）其他要求：_______。</w:t>
            </w:r>
          </w:p>
        </w:tc>
      </w:tr>
      <w:tr w14:paraId="4F6EF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13F2FCC">
            <w:pPr>
              <w:pStyle w:val="23"/>
              <w:adjustRightInd w:val="0"/>
              <w:snapToGrid w:val="0"/>
              <w:jc w:val="center"/>
              <w:rPr>
                <w:rFonts w:hint="default" w:ascii="Times New Roman" w:hAnsi="Times New Roman" w:eastAsiaTheme="minorEastAsia"/>
                <w:sz w:val="24"/>
                <w:szCs w:val="24"/>
              </w:rPr>
            </w:pPr>
            <w:r>
              <w:rPr>
                <w:rFonts w:ascii="Times New Roman" w:hAnsi="Times New Roman"/>
                <w:sz w:val="24"/>
                <w:szCs w:val="24"/>
              </w:rPr>
              <w:t>2</w:t>
            </w:r>
            <w:r>
              <w:rPr>
                <w:rFonts w:hint="default" w:ascii="Times New Roman" w:hAnsi="Times New Roman"/>
                <w:sz w:val="24"/>
                <w:szCs w:val="24"/>
              </w:rPr>
              <w:t>3</w:t>
            </w:r>
            <w:r>
              <w:rPr>
                <w:rFonts w:ascii="Times New Roman" w:hAnsi="Times New Roman"/>
                <w:sz w:val="24"/>
                <w:szCs w:val="24"/>
              </w:rPr>
              <w:t>.6</w:t>
            </w:r>
          </w:p>
        </w:tc>
        <w:tc>
          <w:tcPr>
            <w:tcW w:w="1701" w:type="dxa"/>
            <w:vAlign w:val="center"/>
          </w:tcPr>
          <w:p w14:paraId="0039ED41">
            <w:pPr>
              <w:jc w:val="center"/>
              <w:rPr>
                <w:rFonts w:eastAsiaTheme="minorEastAsia"/>
                <w:sz w:val="24"/>
              </w:rPr>
            </w:pPr>
            <w:r>
              <w:rPr>
                <w:rFonts w:hint="eastAsia"/>
                <w:sz w:val="24"/>
              </w:rPr>
              <w:t>政采贷</w:t>
            </w:r>
          </w:p>
        </w:tc>
        <w:tc>
          <w:tcPr>
            <w:tcW w:w="7253" w:type="dxa"/>
            <w:vAlign w:val="center"/>
          </w:tcPr>
          <w:p w14:paraId="18DB6DD9">
            <w:pPr>
              <w:jc w:val="left"/>
              <w:rPr>
                <w:rFonts w:eastAsiaTheme="minorEastAsia"/>
                <w:sz w:val="24"/>
              </w:rPr>
            </w:pPr>
            <w:r>
              <w:rPr>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670B2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8FAA8A5">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24.1.1</w:t>
            </w:r>
          </w:p>
        </w:tc>
        <w:tc>
          <w:tcPr>
            <w:tcW w:w="1701" w:type="dxa"/>
            <w:vAlign w:val="center"/>
          </w:tcPr>
          <w:p w14:paraId="221E5291">
            <w:pPr>
              <w:jc w:val="center"/>
              <w:rPr>
                <w:rFonts w:eastAsiaTheme="minorEastAsia"/>
                <w:sz w:val="24"/>
              </w:rPr>
            </w:pPr>
            <w:r>
              <w:rPr>
                <w:rFonts w:eastAsiaTheme="minorEastAsia"/>
                <w:sz w:val="24"/>
              </w:rPr>
              <w:t>询问</w:t>
            </w:r>
          </w:p>
        </w:tc>
        <w:tc>
          <w:tcPr>
            <w:tcW w:w="7253" w:type="dxa"/>
            <w:vAlign w:val="center"/>
          </w:tcPr>
          <w:p w14:paraId="5A43B258">
            <w:pPr>
              <w:jc w:val="left"/>
              <w:rPr>
                <w:rFonts w:eastAsiaTheme="minorEastAsia"/>
                <w:sz w:val="24"/>
              </w:rPr>
            </w:pPr>
            <w:r>
              <w:rPr>
                <w:rFonts w:eastAsiaTheme="minorEastAsia"/>
                <w:sz w:val="24"/>
              </w:rPr>
              <w:t>询问</w:t>
            </w:r>
            <w:r>
              <w:rPr>
                <w:rFonts w:hint="eastAsia" w:eastAsiaTheme="minorEastAsia"/>
                <w:sz w:val="24"/>
              </w:rPr>
              <w:t>提出</w:t>
            </w:r>
            <w:r>
              <w:rPr>
                <w:rFonts w:eastAsiaTheme="minorEastAsia"/>
                <w:sz w:val="24"/>
              </w:rPr>
              <w:t>形式：</w:t>
            </w:r>
            <w:r>
              <w:rPr>
                <w:rFonts w:hint="eastAsia" w:eastAsiaTheme="minorEastAsia"/>
                <w:sz w:val="24"/>
                <w:u w:val="single"/>
              </w:rPr>
              <w:t>电话、邮件或书面</w:t>
            </w:r>
            <w:r>
              <w:rPr>
                <w:rFonts w:eastAsiaTheme="minorEastAsia"/>
                <w:sz w:val="24"/>
              </w:rPr>
              <w:t>。</w:t>
            </w:r>
          </w:p>
        </w:tc>
      </w:tr>
      <w:tr w14:paraId="74A7D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AAD496A">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24.3</w:t>
            </w:r>
          </w:p>
        </w:tc>
        <w:tc>
          <w:tcPr>
            <w:tcW w:w="1701" w:type="dxa"/>
            <w:vAlign w:val="center"/>
          </w:tcPr>
          <w:p w14:paraId="68E16F1F">
            <w:pPr>
              <w:jc w:val="center"/>
              <w:rPr>
                <w:rFonts w:eastAsiaTheme="minorEastAsia"/>
                <w:sz w:val="24"/>
              </w:rPr>
            </w:pPr>
            <w:r>
              <w:rPr>
                <w:rFonts w:eastAsiaTheme="minorEastAsia"/>
                <w:sz w:val="24"/>
              </w:rPr>
              <w:t>联系方式</w:t>
            </w:r>
          </w:p>
        </w:tc>
        <w:tc>
          <w:tcPr>
            <w:tcW w:w="7253" w:type="dxa"/>
            <w:vAlign w:val="center"/>
          </w:tcPr>
          <w:p w14:paraId="403D6CBF">
            <w:pPr>
              <w:jc w:val="left"/>
              <w:rPr>
                <w:rFonts w:eastAsiaTheme="minorEastAsia"/>
                <w:sz w:val="24"/>
              </w:rPr>
            </w:pPr>
            <w:r>
              <w:rPr>
                <w:rFonts w:eastAsiaTheme="minorEastAsia"/>
                <w:sz w:val="24"/>
              </w:rPr>
              <w:t>接收询问和质疑的联系方式</w:t>
            </w:r>
          </w:p>
          <w:p w14:paraId="1A27D04D">
            <w:pPr>
              <w:jc w:val="left"/>
              <w:rPr>
                <w:sz w:val="24"/>
              </w:rPr>
            </w:pPr>
            <w:r>
              <w:rPr>
                <w:sz w:val="24"/>
              </w:rPr>
              <w:t>联系部门：</w:t>
            </w:r>
            <w:r>
              <w:rPr>
                <w:rFonts w:hint="eastAsia"/>
                <w:sz w:val="24"/>
                <w:u w:val="single"/>
              </w:rPr>
              <w:t>招标代理部</w:t>
            </w:r>
            <w:r>
              <w:rPr>
                <w:sz w:val="24"/>
              </w:rPr>
              <w:t>；</w:t>
            </w:r>
          </w:p>
          <w:p w14:paraId="3A363970">
            <w:pPr>
              <w:jc w:val="left"/>
              <w:rPr>
                <w:sz w:val="24"/>
              </w:rPr>
            </w:pPr>
            <w:r>
              <w:rPr>
                <w:sz w:val="24"/>
              </w:rPr>
              <w:t>联系电话：</w:t>
            </w:r>
            <w:r>
              <w:rPr>
                <w:rFonts w:hint="eastAsia"/>
                <w:sz w:val="24"/>
                <w:u w:val="single"/>
              </w:rPr>
              <w:t>60863865-8707</w:t>
            </w:r>
            <w:r>
              <w:rPr>
                <w:sz w:val="24"/>
              </w:rPr>
              <w:t>；</w:t>
            </w:r>
          </w:p>
          <w:p w14:paraId="0810B32E">
            <w:pPr>
              <w:jc w:val="left"/>
              <w:rPr>
                <w:rFonts w:eastAsiaTheme="minorEastAsia"/>
                <w:sz w:val="24"/>
              </w:rPr>
            </w:pPr>
            <w:r>
              <w:rPr>
                <w:sz w:val="24"/>
              </w:rPr>
              <w:t>通讯地址：</w:t>
            </w:r>
            <w:r>
              <w:rPr>
                <w:rFonts w:hint="eastAsia" w:ascii="宋体" w:hAnsi="宋体" w:cs="宋体"/>
                <w:snapToGrid w:val="0"/>
                <w:kern w:val="0"/>
                <w:sz w:val="24"/>
                <w:u w:val="single"/>
              </w:rPr>
              <w:t>北京市门头沟区栗园庄东路2号院1号楼707室</w:t>
            </w:r>
            <w:r>
              <w:rPr>
                <w:sz w:val="24"/>
              </w:rPr>
              <w:t>。</w:t>
            </w:r>
          </w:p>
        </w:tc>
      </w:tr>
      <w:tr w14:paraId="55858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0" w:hRule="atLeast"/>
          <w:jc w:val="center"/>
        </w:trPr>
        <w:tc>
          <w:tcPr>
            <w:tcW w:w="988" w:type="dxa"/>
            <w:vAlign w:val="center"/>
          </w:tcPr>
          <w:p w14:paraId="721A38F2">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25</w:t>
            </w:r>
          </w:p>
        </w:tc>
        <w:tc>
          <w:tcPr>
            <w:tcW w:w="1701" w:type="dxa"/>
            <w:vAlign w:val="center"/>
          </w:tcPr>
          <w:p w14:paraId="294E57B7">
            <w:pPr>
              <w:jc w:val="center"/>
              <w:rPr>
                <w:rFonts w:eastAsiaTheme="minorEastAsia"/>
                <w:sz w:val="24"/>
              </w:rPr>
            </w:pPr>
            <w:r>
              <w:rPr>
                <w:rFonts w:eastAsiaTheme="minorEastAsia"/>
                <w:sz w:val="24"/>
              </w:rPr>
              <w:t>代理费</w:t>
            </w:r>
          </w:p>
        </w:tc>
        <w:tc>
          <w:tcPr>
            <w:tcW w:w="7253" w:type="dxa"/>
            <w:vAlign w:val="center"/>
          </w:tcPr>
          <w:p w14:paraId="0EB5EF5C">
            <w:pPr>
              <w:jc w:val="left"/>
              <w:rPr>
                <w:rFonts w:eastAsiaTheme="minorEastAsia"/>
                <w:sz w:val="24"/>
              </w:rPr>
            </w:pPr>
            <w:r>
              <w:rPr>
                <w:rFonts w:eastAsiaTheme="minorEastAsia"/>
                <w:sz w:val="24"/>
              </w:rPr>
              <w:t>收费对象：</w:t>
            </w:r>
          </w:p>
          <w:p w14:paraId="31A27193">
            <w:pPr>
              <w:jc w:val="left"/>
              <w:rPr>
                <w:rFonts w:eastAsiaTheme="minorEastAsia"/>
                <w:sz w:val="24"/>
              </w:rPr>
            </w:pPr>
            <w:r>
              <w:rPr>
                <w:rFonts w:eastAsiaTheme="minorEastAsia"/>
              </w:rPr>
              <w:t>□</w:t>
            </w:r>
            <w:r>
              <w:rPr>
                <w:rFonts w:eastAsiaTheme="minorEastAsia"/>
                <w:sz w:val="24"/>
              </w:rPr>
              <w:t>采购人</w:t>
            </w:r>
          </w:p>
          <w:p w14:paraId="44C1DBA7">
            <w:pPr>
              <w:jc w:val="left"/>
              <w:rPr>
                <w:rFonts w:eastAsiaTheme="minorEastAsia"/>
                <w:sz w:val="24"/>
              </w:rPr>
            </w:pPr>
            <w:r>
              <w:rPr>
                <w:rFonts w:ascii="微软雅黑" w:hAnsi="微软雅黑" w:eastAsia="微软雅黑" w:cs="微软雅黑"/>
                <w:color w:val="404040"/>
                <w:sz w:val="24"/>
                <w:shd w:val="clear" w:color="auto" w:fill="FFFFFF"/>
              </w:rPr>
              <w:t>■</w:t>
            </w:r>
            <w:r>
              <w:rPr>
                <w:rFonts w:eastAsiaTheme="minorEastAsia"/>
                <w:sz w:val="24"/>
              </w:rPr>
              <w:t>成交供应商</w:t>
            </w:r>
          </w:p>
          <w:p w14:paraId="49616C6C">
            <w:pPr>
              <w:jc w:val="left"/>
              <w:rPr>
                <w:rFonts w:eastAsiaTheme="minorEastAsia"/>
                <w:sz w:val="24"/>
                <w:u w:val="single"/>
              </w:rPr>
            </w:pPr>
            <w:r>
              <w:rPr>
                <w:rFonts w:eastAsiaTheme="minorEastAsia"/>
                <w:sz w:val="24"/>
              </w:rPr>
              <w:t>收费标准：</w:t>
            </w:r>
            <w:r>
              <w:rPr>
                <w:rFonts w:hint="eastAsia" w:eastAsiaTheme="minorEastAsia"/>
                <w:sz w:val="24"/>
              </w:rPr>
              <w:t>依据相关规定及市场价格计取，招标代理服务费用按中标金额差额定率累进法计算</w:t>
            </w:r>
            <w:r>
              <w:rPr>
                <w:rFonts w:eastAsiaTheme="minorEastAsia"/>
                <w:sz w:val="24"/>
              </w:rPr>
              <w:t>；</w:t>
            </w:r>
          </w:p>
          <w:p w14:paraId="4A3BB8AC">
            <w:pPr>
              <w:jc w:val="left"/>
              <w:rPr>
                <w:rFonts w:eastAsiaTheme="minorEastAsia"/>
                <w:sz w:val="24"/>
              </w:rPr>
            </w:pPr>
            <w:r>
              <w:rPr>
                <w:rFonts w:eastAsiaTheme="minorEastAsia"/>
                <w:sz w:val="24"/>
              </w:rPr>
              <w:t>缴纳时间：</w:t>
            </w:r>
            <w:r>
              <w:rPr>
                <w:rFonts w:hint="eastAsia" w:eastAsiaTheme="minorEastAsia"/>
                <w:sz w:val="24"/>
              </w:rPr>
              <w:t>招标完成之后一次性缴纳</w:t>
            </w:r>
            <w:r>
              <w:rPr>
                <w:rFonts w:eastAsiaTheme="minorEastAsia"/>
                <w:sz w:val="24"/>
              </w:rPr>
              <w:t>。</w:t>
            </w:r>
          </w:p>
          <w:tbl>
            <w:tblPr>
              <w:tblStyle w:val="44"/>
              <w:tblW w:w="60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39"/>
              <w:gridCol w:w="3040"/>
            </w:tblGrid>
            <w:tr w14:paraId="0E58B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3039" w:type="dxa"/>
                </w:tcPr>
                <w:p w14:paraId="2DC11992">
                  <w:pPr>
                    <w:pStyle w:val="17"/>
                    <w:jc w:val="center"/>
                    <w:rPr>
                      <w:rFonts w:hint="eastAsia"/>
                    </w:rPr>
                  </w:pPr>
                  <w:r>
                    <w:rPr>
                      <w:rFonts w:hint="eastAsia"/>
                    </w:rPr>
                    <w:t>中标金额（万元）</w:t>
                  </w:r>
                </w:p>
              </w:tc>
              <w:tc>
                <w:tcPr>
                  <w:tcW w:w="3040" w:type="dxa"/>
                </w:tcPr>
                <w:p w14:paraId="3351E387">
                  <w:pPr>
                    <w:pStyle w:val="17"/>
                    <w:jc w:val="center"/>
                    <w:rPr>
                      <w:rFonts w:hint="eastAsia"/>
                    </w:rPr>
                  </w:pPr>
                  <w:r>
                    <w:rPr>
                      <w:rFonts w:hint="eastAsia"/>
                    </w:rPr>
                    <w:t>工程招标</w:t>
                  </w:r>
                </w:p>
              </w:tc>
            </w:tr>
            <w:tr w14:paraId="67827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3039" w:type="dxa"/>
                </w:tcPr>
                <w:p w14:paraId="6A8436E3">
                  <w:pPr>
                    <w:pStyle w:val="17"/>
                    <w:jc w:val="center"/>
                    <w:rPr>
                      <w:rFonts w:hint="eastAsia"/>
                    </w:rPr>
                  </w:pPr>
                  <w:r>
                    <w:rPr>
                      <w:rFonts w:hint="eastAsia"/>
                    </w:rPr>
                    <w:t>100以下</w:t>
                  </w:r>
                </w:p>
              </w:tc>
              <w:tc>
                <w:tcPr>
                  <w:tcW w:w="3040" w:type="dxa"/>
                </w:tcPr>
                <w:p w14:paraId="19D30DD7">
                  <w:pPr>
                    <w:pStyle w:val="17"/>
                    <w:jc w:val="center"/>
                    <w:rPr>
                      <w:rFonts w:hint="eastAsia"/>
                    </w:rPr>
                  </w:pPr>
                  <w:r>
                    <w:rPr>
                      <w:rFonts w:hint="eastAsia"/>
                    </w:rPr>
                    <w:t>1.0%</w:t>
                  </w:r>
                </w:p>
              </w:tc>
            </w:tr>
            <w:tr w14:paraId="2E1BF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39" w:type="dxa"/>
                </w:tcPr>
                <w:p w14:paraId="19BB24C7">
                  <w:pPr>
                    <w:pStyle w:val="17"/>
                    <w:jc w:val="center"/>
                    <w:rPr>
                      <w:rFonts w:hint="eastAsia"/>
                    </w:rPr>
                  </w:pPr>
                  <w:r>
                    <w:rPr>
                      <w:rFonts w:hint="eastAsia"/>
                    </w:rPr>
                    <w:t>100-500</w:t>
                  </w:r>
                </w:p>
              </w:tc>
              <w:tc>
                <w:tcPr>
                  <w:tcW w:w="3040" w:type="dxa"/>
                </w:tcPr>
                <w:p w14:paraId="0D2AB6E7">
                  <w:pPr>
                    <w:pStyle w:val="17"/>
                    <w:jc w:val="center"/>
                    <w:rPr>
                      <w:rFonts w:hint="eastAsia"/>
                    </w:rPr>
                  </w:pPr>
                  <w:r>
                    <w:rPr>
                      <w:rFonts w:hint="eastAsia"/>
                    </w:rPr>
                    <w:t>0.7%</w:t>
                  </w:r>
                </w:p>
              </w:tc>
            </w:tr>
          </w:tbl>
          <w:p w14:paraId="3B28C3A4">
            <w:pPr>
              <w:pStyle w:val="17"/>
              <w:rPr>
                <w:rFonts w:hint="eastAsia"/>
              </w:rPr>
            </w:pPr>
          </w:p>
        </w:tc>
      </w:tr>
    </w:tbl>
    <w:p w14:paraId="6651916B">
      <w:pPr>
        <w:tabs>
          <w:tab w:val="left" w:pos="5580"/>
        </w:tabs>
        <w:adjustRightInd w:val="0"/>
        <w:spacing w:line="360" w:lineRule="auto"/>
        <w:jc w:val="distribute"/>
        <w:rPr>
          <w:rFonts w:eastAsiaTheme="minorEastAsia"/>
          <w:sz w:val="24"/>
        </w:rPr>
        <w:sectPr>
          <w:footerReference r:id="rId10" w:type="first"/>
          <w:footerReference r:id="rId9" w:type="default"/>
          <w:pgSz w:w="11907" w:h="16840"/>
          <w:pgMar w:top="1418" w:right="1134" w:bottom="1418" w:left="1701" w:header="851" w:footer="851" w:gutter="0"/>
          <w:pgNumType w:fmt="decimal" w:start="1"/>
          <w:cols w:space="720" w:num="1"/>
          <w:titlePg/>
          <w:docGrid w:linePitch="462" w:charSpace="0"/>
        </w:sectPr>
      </w:pPr>
    </w:p>
    <w:p w14:paraId="477291D2">
      <w:pPr>
        <w:spacing w:before="240" w:beforeLines="100" w:after="240" w:afterLines="100"/>
        <w:jc w:val="center"/>
        <w:rPr>
          <w:rFonts w:eastAsiaTheme="minorEastAsia"/>
          <w:b/>
          <w:sz w:val="28"/>
          <w:szCs w:val="28"/>
        </w:rPr>
      </w:pPr>
      <w:r>
        <w:rPr>
          <w:rFonts w:eastAsiaTheme="minorEastAsia"/>
          <w:b/>
          <w:sz w:val="28"/>
          <w:szCs w:val="28"/>
        </w:rPr>
        <w:t>供应商须知</w:t>
      </w:r>
    </w:p>
    <w:p w14:paraId="38FC8DC9">
      <w:pPr>
        <w:pStyle w:val="3"/>
        <w:tabs>
          <w:tab w:val="center" w:pos="4592"/>
          <w:tab w:val="left" w:pos="7860"/>
        </w:tabs>
        <w:spacing w:before="0" w:line="360" w:lineRule="auto"/>
        <w:jc w:val="left"/>
        <w:rPr>
          <w:rFonts w:ascii="Times New Roman" w:hAnsi="Times New Roman" w:eastAsiaTheme="minorEastAsia"/>
          <w:sz w:val="28"/>
        </w:rPr>
      </w:pPr>
      <w:bookmarkStart w:id="72" w:name="_Toc127151518"/>
      <w:bookmarkStart w:id="73" w:name="_Toc520356143"/>
      <w:r>
        <w:rPr>
          <w:rFonts w:ascii="Times New Roman" w:hAnsi="Times New Roman" w:eastAsiaTheme="minorEastAsia"/>
          <w:sz w:val="28"/>
        </w:rPr>
        <w:tab/>
      </w:r>
      <w:bookmarkStart w:id="74" w:name="_Toc150480756"/>
      <w:bookmarkStart w:id="75" w:name="_Toc265228356"/>
      <w:bookmarkStart w:id="76" w:name="_Toc305158860"/>
      <w:bookmarkStart w:id="77" w:name="_Toc226309762"/>
      <w:bookmarkStart w:id="78" w:name="_Toc305158786"/>
      <w:bookmarkStart w:id="79" w:name="_Toc150774723"/>
      <w:bookmarkStart w:id="80" w:name="_Toc151190145"/>
      <w:bookmarkStart w:id="81" w:name="_Toc150774618"/>
      <w:bookmarkStart w:id="82" w:name="_Toc151193688"/>
      <w:bookmarkStart w:id="83" w:name="_Toc226337214"/>
      <w:bookmarkStart w:id="84" w:name="_Toc195842883"/>
      <w:bookmarkStart w:id="85" w:name="_Toc142311020"/>
      <w:bookmarkStart w:id="86" w:name="_Toc151193616"/>
      <w:bookmarkStart w:id="87" w:name="_Toc151193906"/>
      <w:bookmarkStart w:id="88" w:name="_Toc226965791"/>
      <w:bookmarkStart w:id="89" w:name="_Toc151193760"/>
      <w:bookmarkStart w:id="90" w:name="_Toc264969208"/>
      <w:bookmarkStart w:id="91" w:name="_Toc226965708"/>
      <w:bookmarkStart w:id="92" w:name="_Toc151193832"/>
      <w:bookmarkStart w:id="93" w:name="_Toc150509269"/>
      <w:r>
        <w:rPr>
          <w:rFonts w:ascii="Times New Roman" w:hAnsi="Times New Roman" w:eastAsiaTheme="minorEastAsia"/>
          <w:sz w:val="28"/>
        </w:rPr>
        <w:t>一   说  明</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Fonts w:ascii="Times New Roman" w:hAnsi="Times New Roman" w:eastAsiaTheme="minorEastAsia"/>
          <w:sz w:val="28"/>
        </w:rPr>
        <w:tab/>
      </w:r>
    </w:p>
    <w:p w14:paraId="0514ECEE">
      <w:pPr>
        <w:numPr>
          <w:ilvl w:val="0"/>
          <w:numId w:val="8"/>
        </w:numPr>
        <w:tabs>
          <w:tab w:val="left" w:pos="360"/>
          <w:tab w:val="clear" w:pos="900"/>
        </w:tabs>
        <w:snapToGrid w:val="0"/>
        <w:spacing w:line="360" w:lineRule="auto"/>
        <w:ind w:left="357" w:hanging="357"/>
        <w:outlineLvl w:val="1"/>
        <w:rPr>
          <w:rFonts w:eastAsiaTheme="minorEastAsia"/>
          <w:sz w:val="24"/>
        </w:rPr>
      </w:pPr>
      <w:bookmarkStart w:id="94" w:name="_Toc265228357"/>
      <w:bookmarkStart w:id="95" w:name="_Toc264969209"/>
      <w:bookmarkStart w:id="96" w:name="_Toc305158861"/>
      <w:bookmarkStart w:id="97" w:name="_Toc305158787"/>
      <w:r>
        <w:rPr>
          <w:rFonts w:eastAsiaTheme="minorEastAsia"/>
          <w:sz w:val="24"/>
        </w:rPr>
        <w:t>采购人、采购代理机构、供应商</w:t>
      </w:r>
      <w:bookmarkEnd w:id="94"/>
      <w:bookmarkEnd w:id="95"/>
      <w:bookmarkEnd w:id="96"/>
      <w:bookmarkEnd w:id="97"/>
      <w:r>
        <w:rPr>
          <w:rFonts w:eastAsiaTheme="minorEastAsia"/>
          <w:sz w:val="24"/>
        </w:rPr>
        <w:t>、联合体</w:t>
      </w:r>
    </w:p>
    <w:p w14:paraId="7876E9B2">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采购人、采购代理机构：指依法进行政府采购的国家机关、事业单位、团体组织，及其委托的采购代理机构。本项目采购人、采购代理机构见第一章《采购邀请》。</w:t>
      </w:r>
    </w:p>
    <w:p w14:paraId="08CE1264">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供应商（也称“申请人”）：指向采购人提供货物、工程或者服务的法人、其他组织或者自然人。</w:t>
      </w:r>
    </w:p>
    <w:p w14:paraId="6DCA2B58">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联合体：指两个以上的自然人、法人或者其他组织组成一个联合体，以一个供应商的身份共同参加政府采购。</w:t>
      </w:r>
    </w:p>
    <w:p w14:paraId="73749F4C">
      <w:pPr>
        <w:numPr>
          <w:ilvl w:val="0"/>
          <w:numId w:val="8"/>
        </w:numPr>
        <w:tabs>
          <w:tab w:val="left" w:pos="360"/>
          <w:tab w:val="clear" w:pos="900"/>
        </w:tabs>
        <w:snapToGrid w:val="0"/>
        <w:spacing w:line="360" w:lineRule="auto"/>
        <w:ind w:left="357" w:hanging="357"/>
        <w:outlineLvl w:val="1"/>
        <w:rPr>
          <w:rFonts w:eastAsiaTheme="minorEastAsia"/>
          <w:sz w:val="24"/>
        </w:rPr>
      </w:pPr>
      <w:bookmarkStart w:id="98" w:name="_Toc226965793"/>
      <w:bookmarkStart w:id="99" w:name="_Toc195842885"/>
      <w:bookmarkStart w:id="100" w:name="_Toc151193908"/>
      <w:bookmarkStart w:id="101" w:name="_Toc226965710"/>
      <w:bookmarkStart w:id="102" w:name="_Toc164608789"/>
      <w:bookmarkStart w:id="103" w:name="_Toc142311022"/>
      <w:bookmarkStart w:id="104" w:name="_Toc151193762"/>
      <w:bookmarkStart w:id="105" w:name="_Toc305158788"/>
      <w:bookmarkStart w:id="106" w:name="_Toc127151721"/>
      <w:bookmarkStart w:id="107" w:name="_Toc127161434"/>
      <w:bookmarkStart w:id="108" w:name="_Toc149720813"/>
      <w:bookmarkStart w:id="109" w:name="_Toc127151520"/>
      <w:bookmarkStart w:id="110" w:name="_Toc305158862"/>
      <w:bookmarkStart w:id="111" w:name="_Toc151193690"/>
      <w:bookmarkStart w:id="112" w:name="_Toc150480758"/>
      <w:bookmarkStart w:id="113" w:name="_Toc164608634"/>
      <w:bookmarkStart w:id="114" w:name="_Toc150509271"/>
      <w:bookmarkStart w:id="115" w:name="_Toc164229215"/>
      <w:bookmarkStart w:id="116" w:name="_Toc226309764"/>
      <w:bookmarkStart w:id="117" w:name="_Toc264969210"/>
      <w:bookmarkStart w:id="118" w:name="_Toc164229361"/>
      <w:bookmarkStart w:id="119" w:name="_Toc151193834"/>
      <w:bookmarkStart w:id="120" w:name="_Toc151190147"/>
      <w:bookmarkStart w:id="121" w:name="_Toc150774725"/>
      <w:bookmarkStart w:id="122" w:name="_Toc150774620"/>
      <w:bookmarkStart w:id="123" w:name="_Toc151193618"/>
      <w:bookmarkStart w:id="124" w:name="_Toc265228358"/>
      <w:bookmarkStart w:id="125" w:name="_Toc226337216"/>
      <w:bookmarkStart w:id="126" w:name="_Toc164351614"/>
      <w:r>
        <w:rPr>
          <w:rFonts w:eastAsiaTheme="minorEastAsia"/>
          <w:sz w:val="24"/>
        </w:rPr>
        <w:t>资金来源</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Fonts w:eastAsiaTheme="minorEastAsia"/>
          <w:sz w:val="24"/>
        </w:rPr>
        <w:t>、项目属性、科研仪器设备采购</w:t>
      </w:r>
    </w:p>
    <w:p w14:paraId="5BE971D8">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资金来源为财政性资金和/或本项目采购中无法与财政性资金分割的非财政性资金。</w:t>
      </w:r>
    </w:p>
    <w:p w14:paraId="67F1D37C">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项目属性见《供应商须知资料表》。</w:t>
      </w:r>
    </w:p>
    <w:p w14:paraId="0C855E86">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是否属于科研仪器设备采购见《供应商须知资料表》。</w:t>
      </w:r>
    </w:p>
    <w:p w14:paraId="33F3315B">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现场考察、磋商前答疑会</w:t>
      </w:r>
    </w:p>
    <w:p w14:paraId="158BAD46">
      <w:pPr>
        <w:numPr>
          <w:ilvl w:val="1"/>
          <w:numId w:val="8"/>
        </w:numPr>
        <w:tabs>
          <w:tab w:val="left" w:pos="1080"/>
          <w:tab w:val="left" w:pos="2014"/>
        </w:tabs>
        <w:snapToGrid w:val="0"/>
        <w:spacing w:line="360" w:lineRule="auto"/>
        <w:ind w:left="1080" w:hanging="720"/>
        <w:rPr>
          <w:rFonts w:eastAsiaTheme="minorEastAsia"/>
          <w:sz w:val="28"/>
        </w:rPr>
      </w:pPr>
      <w:r>
        <w:rPr>
          <w:rFonts w:eastAsiaTheme="minorEastAsia"/>
          <w:sz w:val="24"/>
        </w:rPr>
        <w:t>若《供应商须知资料表》中规定了组织现场考察、召开磋商前答疑会，则供应商应按要求在规定的时间和地点参加。</w:t>
      </w:r>
      <w:bookmarkStart w:id="127" w:name="_Toc142311024"/>
      <w:bookmarkStart w:id="128" w:name="_Toc151193764"/>
      <w:bookmarkStart w:id="129" w:name="_Toc151193910"/>
      <w:bookmarkStart w:id="130" w:name="_Toc151193836"/>
      <w:bookmarkStart w:id="131" w:name="_Toc226965795"/>
      <w:bookmarkStart w:id="132" w:name="_Toc226965712"/>
      <w:bookmarkStart w:id="133" w:name="_Toc151193620"/>
      <w:bookmarkStart w:id="134" w:name="_Toc520356146"/>
      <w:bookmarkStart w:id="135" w:name="_Toc127151522"/>
      <w:bookmarkStart w:id="136" w:name="_Toc226309766"/>
      <w:bookmarkStart w:id="137" w:name="_Toc226337218"/>
      <w:bookmarkStart w:id="138" w:name="_Toc265228360"/>
      <w:bookmarkStart w:id="139" w:name="_Toc150480760"/>
      <w:bookmarkStart w:id="140" w:name="_Toc305158790"/>
      <w:bookmarkStart w:id="141" w:name="_Toc151193692"/>
      <w:bookmarkStart w:id="142" w:name="_Toc150509273"/>
      <w:bookmarkStart w:id="143" w:name="_Toc305158864"/>
      <w:bookmarkStart w:id="144" w:name="_Toc195842887"/>
      <w:bookmarkStart w:id="145" w:name="_Toc264969212"/>
      <w:bookmarkStart w:id="146" w:name="_Toc150774622"/>
      <w:bookmarkStart w:id="147" w:name="_Toc150774727"/>
      <w:bookmarkStart w:id="148" w:name="_Toc151190149"/>
    </w:p>
    <w:p w14:paraId="5EFC9824">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由于未参加现场考察或磋商前答疑会而导致对项目实际情况不了解，影响响应文件编制、报价准确性、综合因素响应不全面等问题的，由供应商自行承担不利评审后果。</w:t>
      </w:r>
    </w:p>
    <w:p w14:paraId="761F21D0">
      <w:pPr>
        <w:numPr>
          <w:ilvl w:val="0"/>
          <w:numId w:val="8"/>
        </w:numPr>
        <w:tabs>
          <w:tab w:val="left" w:pos="360"/>
          <w:tab w:val="clear" w:pos="900"/>
        </w:tabs>
        <w:snapToGrid w:val="0"/>
        <w:spacing w:line="360" w:lineRule="auto"/>
        <w:ind w:left="357" w:hanging="357"/>
        <w:outlineLvl w:val="1"/>
        <w:rPr>
          <w:rFonts w:eastAsiaTheme="minorEastAsia"/>
          <w:sz w:val="24"/>
        </w:rPr>
      </w:pPr>
      <w:r>
        <w:rPr>
          <w:rFonts w:eastAsiaTheme="minorEastAsia"/>
          <w:sz w:val="24"/>
        </w:rPr>
        <w:t>政府采购政策（包括但不限于下列具体政策要求）</w:t>
      </w:r>
    </w:p>
    <w:p w14:paraId="3B75DAF3">
      <w:pPr>
        <w:numPr>
          <w:ilvl w:val="1"/>
          <w:numId w:val="8"/>
        </w:numPr>
        <w:tabs>
          <w:tab w:val="left" w:pos="1080"/>
          <w:tab w:val="left" w:pos="2014"/>
        </w:tabs>
        <w:snapToGrid w:val="0"/>
        <w:spacing w:line="360" w:lineRule="auto"/>
        <w:ind w:left="1080" w:hanging="720"/>
        <w:rPr>
          <w:rFonts w:eastAsiaTheme="minorEastAsia"/>
          <w:sz w:val="24"/>
        </w:rPr>
      </w:pPr>
      <w:r>
        <w:rPr>
          <w:sz w:val="24"/>
        </w:rPr>
        <w:t>采购本国货物、工程和服务</w:t>
      </w:r>
    </w:p>
    <w:p w14:paraId="62B86B35">
      <w:pPr>
        <w:numPr>
          <w:ilvl w:val="2"/>
          <w:numId w:val="8"/>
        </w:numPr>
        <w:tabs>
          <w:tab w:val="left" w:pos="2014"/>
        </w:tabs>
        <w:snapToGrid w:val="0"/>
        <w:spacing w:line="360" w:lineRule="auto"/>
        <w:rPr>
          <w:rFonts w:eastAsiaTheme="minorEastAsia"/>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14:paraId="6B0994D6">
      <w:pPr>
        <w:numPr>
          <w:ilvl w:val="2"/>
          <w:numId w:val="8"/>
        </w:numPr>
        <w:tabs>
          <w:tab w:val="left" w:pos="2014"/>
        </w:tabs>
        <w:snapToGrid w:val="0"/>
        <w:spacing w:line="360" w:lineRule="auto"/>
        <w:rPr>
          <w:rFonts w:eastAsiaTheme="minorEastAsia"/>
          <w:sz w:val="24"/>
        </w:rPr>
      </w:pPr>
      <w:r>
        <w:rPr>
          <w:sz w:val="24"/>
        </w:rPr>
        <w:t>本项目如接受非本国货物、工程、服务参与</w:t>
      </w:r>
      <w:r>
        <w:rPr>
          <w:rFonts w:hint="eastAsia"/>
          <w:sz w:val="24"/>
        </w:rPr>
        <w:t>响应</w:t>
      </w:r>
      <w:r>
        <w:rPr>
          <w:sz w:val="24"/>
        </w:rPr>
        <w:t>，则具体要求见第四章《采购需求》。</w:t>
      </w:r>
    </w:p>
    <w:p w14:paraId="7982850A">
      <w:pPr>
        <w:numPr>
          <w:ilvl w:val="2"/>
          <w:numId w:val="8"/>
        </w:numPr>
        <w:tabs>
          <w:tab w:val="left" w:pos="2014"/>
        </w:tabs>
        <w:snapToGrid w:val="0"/>
        <w:spacing w:line="360" w:lineRule="auto"/>
        <w:rPr>
          <w:rFonts w:eastAsiaTheme="minorEastAsia"/>
          <w:sz w:val="24"/>
        </w:rPr>
      </w:pPr>
      <w:r>
        <w:rPr>
          <w:rFonts w:eastAsiaTheme="min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23D3707C">
      <w:pPr>
        <w:numPr>
          <w:ilvl w:val="1"/>
          <w:numId w:val="8"/>
        </w:numPr>
        <w:tabs>
          <w:tab w:val="left" w:pos="1080"/>
        </w:tabs>
        <w:snapToGrid w:val="0"/>
        <w:spacing w:line="360" w:lineRule="auto"/>
        <w:rPr>
          <w:sz w:val="24"/>
        </w:rPr>
      </w:pPr>
      <w:r>
        <w:rPr>
          <w:rFonts w:hint="eastAsia"/>
          <w:sz w:val="24"/>
        </w:rPr>
        <w:t>本国产品</w:t>
      </w:r>
    </w:p>
    <w:p w14:paraId="6F1AF521">
      <w:pPr>
        <w:tabs>
          <w:tab w:val="left" w:pos="1080"/>
          <w:tab w:val="left" w:pos="2014"/>
        </w:tabs>
        <w:snapToGrid w:val="0"/>
        <w:spacing w:line="360" w:lineRule="auto"/>
        <w:ind w:left="1080"/>
        <w:rPr>
          <w:sz w:val="24"/>
        </w:rPr>
      </w:pPr>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落实本国产品标准。</w:t>
      </w:r>
    </w:p>
    <w:p w14:paraId="1076FFF4">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中小企业、监狱企业及残疾人福利性单位</w:t>
      </w:r>
    </w:p>
    <w:p w14:paraId="073DE9B0">
      <w:pPr>
        <w:numPr>
          <w:ilvl w:val="2"/>
          <w:numId w:val="8"/>
        </w:numPr>
        <w:snapToGrid w:val="0"/>
        <w:spacing w:line="360" w:lineRule="auto"/>
        <w:rPr>
          <w:rFonts w:eastAsiaTheme="minorEastAsia"/>
          <w:sz w:val="24"/>
        </w:rPr>
      </w:pPr>
      <w:r>
        <w:rPr>
          <w:rFonts w:eastAsiaTheme="minorEastAsia"/>
          <w:sz w:val="24"/>
        </w:rPr>
        <w:t>中小企业定义：</w:t>
      </w:r>
    </w:p>
    <w:p w14:paraId="7CA0C327">
      <w:pPr>
        <w:numPr>
          <w:ilvl w:val="3"/>
          <w:numId w:val="0"/>
        </w:numPr>
        <w:tabs>
          <w:tab w:val="left" w:pos="1589"/>
          <w:tab w:val="left" w:pos="1988"/>
          <w:tab w:val="left" w:pos="2035"/>
          <w:tab w:val="left" w:pos="2977"/>
        </w:tabs>
        <w:snapToGrid w:val="0"/>
        <w:spacing w:line="360" w:lineRule="auto"/>
        <w:ind w:left="2885" w:hanging="900"/>
        <w:rPr>
          <w:rFonts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4.3.1.1</w:t>
      </w:r>
      <w:r>
        <w:rPr>
          <w:rFonts w:eastAsiaTheme="minorEastAsia"/>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eastAsiaTheme="minorEastAsia"/>
          <w:color w:val="000000" w:themeColor="text1"/>
          <w:sz w:val="24"/>
          <w14:textFill>
            <w14:solidFill>
              <w14:schemeClr w14:val="tx1"/>
            </w14:solidFill>
          </w14:textFill>
        </w:rPr>
        <w:t>判定</w:t>
      </w:r>
      <w:r>
        <w:rPr>
          <w:rFonts w:eastAsiaTheme="minorEastAsia"/>
          <w:color w:val="000000" w:themeColor="text1"/>
          <w:sz w:val="24"/>
          <w14:textFill>
            <w14:solidFill>
              <w14:schemeClr w14:val="tx1"/>
            </w14:solidFill>
          </w14:textFill>
        </w:rPr>
        <w:t>依据《中华人民共和国中小企业促进法》、</w:t>
      </w:r>
      <w:r>
        <w:rPr>
          <w:color w:val="000000" w:themeColor="text1"/>
          <w:sz w:val="24"/>
          <w14:textFill>
            <w14:solidFill>
              <w14:schemeClr w14:val="tx1"/>
            </w14:solidFill>
          </w14:textFill>
        </w:rPr>
        <w:t>《关于进一步加大政府采购支持中小企业力度的通知》（财库〔2022〕19号）、</w:t>
      </w:r>
      <w:r>
        <w:rPr>
          <w:rFonts w:eastAsiaTheme="minorEastAsia"/>
          <w:color w:val="000000" w:themeColor="text1"/>
          <w:sz w:val="24"/>
          <w14:textFill>
            <w14:solidFill>
              <w14:schemeClr w14:val="tx1"/>
            </w14:solidFill>
          </w14:textFill>
        </w:rPr>
        <w:t>《政府采购促进中小企业发展管理办法》（财库〔2020〕46号）、《关于印发中小企业划型标准规定的通知》（工信部联企业〔2011〕300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rFonts w:eastAsiaTheme="minorEastAsia"/>
          <w:color w:val="000000" w:themeColor="text1"/>
          <w:sz w:val="24"/>
          <w14:textFill>
            <w14:solidFill>
              <w14:schemeClr w14:val="tx1"/>
            </w14:solidFill>
          </w14:textFill>
        </w:rPr>
        <w:t>。</w:t>
      </w:r>
    </w:p>
    <w:p w14:paraId="522FD7A3">
      <w:pPr>
        <w:numPr>
          <w:ilvl w:val="3"/>
          <w:numId w:val="0"/>
        </w:numPr>
        <w:tabs>
          <w:tab w:val="left" w:pos="1980"/>
          <w:tab w:val="left" w:pos="2035"/>
          <w:tab w:val="left" w:pos="2885"/>
          <w:tab w:val="left" w:pos="2977"/>
        </w:tabs>
        <w:snapToGrid w:val="0"/>
        <w:spacing w:line="360" w:lineRule="auto"/>
        <w:ind w:left="2885" w:hanging="900"/>
        <w:rPr>
          <w:rFonts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4.3.1.2</w:t>
      </w:r>
      <w:r>
        <w:rPr>
          <w:rFonts w:eastAsiaTheme="minorEastAsia"/>
          <w:sz w:val="24"/>
        </w:rPr>
        <w:t>供应商提供的货物、工程或者服务符合下列情形的，享受中小企业扶持政策：</w:t>
      </w:r>
    </w:p>
    <w:p w14:paraId="67C488B3">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（1）在货物采购项目中，货物由中小企业制造，即货物由中小企业生产且使用该中小企业商号或者注册商标；</w:t>
      </w:r>
    </w:p>
    <w:p w14:paraId="17EC251D">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（2）在工程采购项目中，工程由中小企业承建，即工程施工单位为中小企业；</w:t>
      </w:r>
    </w:p>
    <w:p w14:paraId="0675F606">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5D7EE622">
      <w:pPr>
        <w:numPr>
          <w:ilvl w:val="3"/>
          <w:numId w:val="0"/>
        </w:numPr>
        <w:tabs>
          <w:tab w:val="left" w:pos="1980"/>
          <w:tab w:val="left" w:pos="2035"/>
          <w:tab w:val="left" w:pos="2885"/>
          <w:tab w:val="left" w:pos="2977"/>
        </w:tabs>
        <w:snapToGrid w:val="0"/>
        <w:spacing w:line="360" w:lineRule="auto"/>
        <w:ind w:left="2885" w:hanging="900"/>
        <w:rPr>
          <w:rFonts w:eastAsiaTheme="minorEastAsia"/>
          <w:sz w:val="24"/>
        </w:rPr>
      </w:pPr>
      <w:r>
        <w:rPr>
          <w:rFonts w:hint="eastAsia" w:eastAsiaTheme="minorEastAsia"/>
          <w:sz w:val="24"/>
        </w:rPr>
        <w:t>4.3.1.3</w:t>
      </w:r>
      <w:r>
        <w:rPr>
          <w:rFonts w:eastAsiaTheme="minorEastAsia"/>
          <w:sz w:val="24"/>
        </w:rPr>
        <w:t>在货物采购项目中，供应商提供的货物既有中小企业制造货物，也有大型企业制造货物的，不享受中小企业扶持政策。</w:t>
      </w:r>
    </w:p>
    <w:p w14:paraId="5E334693">
      <w:pPr>
        <w:numPr>
          <w:ilvl w:val="3"/>
          <w:numId w:val="0"/>
        </w:numPr>
        <w:tabs>
          <w:tab w:val="left" w:pos="1980"/>
          <w:tab w:val="left" w:pos="2035"/>
          <w:tab w:val="left" w:pos="2885"/>
          <w:tab w:val="left" w:pos="2977"/>
        </w:tabs>
        <w:snapToGrid w:val="0"/>
        <w:spacing w:line="360" w:lineRule="auto"/>
        <w:ind w:left="2885" w:hanging="900"/>
        <w:rPr>
          <w:rFonts w:eastAsiaTheme="minorEastAsia"/>
          <w:sz w:val="24"/>
        </w:rPr>
      </w:pPr>
      <w:r>
        <w:rPr>
          <w:rFonts w:hint="eastAsia" w:eastAsiaTheme="minorEastAsia"/>
          <w:sz w:val="24"/>
        </w:rPr>
        <w:t>4.3.1.4</w:t>
      </w:r>
      <w:r>
        <w:rPr>
          <w:rFonts w:eastAsiaTheme="minorEastAsia"/>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346B8E0D">
      <w:pPr>
        <w:numPr>
          <w:ilvl w:val="2"/>
          <w:numId w:val="8"/>
        </w:numPr>
        <w:snapToGrid w:val="0"/>
        <w:spacing w:line="360" w:lineRule="auto"/>
        <w:rPr>
          <w:rFonts w:eastAsiaTheme="minorEastAsia"/>
          <w:sz w:val="24"/>
        </w:rPr>
      </w:pPr>
      <w:r>
        <w:rPr>
          <w:sz w:val="24"/>
        </w:rPr>
        <w:t>在政府采购活动中，监狱企业视同小型、微型企业，享受预留份额、评审中价格扣除等政府采购促进中小企业发展的政府采购政策。</w:t>
      </w:r>
      <w:r>
        <w:rPr>
          <w:rFonts w:eastAsiaTheme="minorEastAsia"/>
          <w:sz w:val="24"/>
        </w:rPr>
        <w:t>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393368DC">
      <w:pPr>
        <w:numPr>
          <w:ilvl w:val="2"/>
          <w:numId w:val="8"/>
        </w:numPr>
        <w:snapToGrid w:val="0"/>
        <w:spacing w:line="360" w:lineRule="auto"/>
        <w:rPr>
          <w:rFonts w:eastAsiaTheme="minorEastAsia"/>
          <w:sz w:val="24"/>
        </w:rPr>
      </w:pPr>
      <w:r>
        <w:rPr>
          <w:sz w:val="24"/>
        </w:rPr>
        <w:t>在政府采购活动中，残疾人福利性单位视同小型、微型企业，享受预留份额、评审中价格扣除等促进中小企业发展的政府采购政策。</w:t>
      </w:r>
      <w:r>
        <w:rPr>
          <w:rFonts w:eastAsiaTheme="minorEastAsia"/>
          <w:sz w:val="24"/>
        </w:rPr>
        <w:t>残疾人福利性单位定义：享受政府采购支持政策的残疾人福利性单位应当同时满足以下条件：</w:t>
      </w:r>
    </w:p>
    <w:p w14:paraId="46A7B898">
      <w:pPr>
        <w:pStyle w:val="73"/>
        <w:numPr>
          <w:ilvl w:val="2"/>
          <w:numId w:val="0"/>
        </w:numPr>
        <w:tabs>
          <w:tab w:val="left" w:pos="2035"/>
          <w:tab w:val="left" w:pos="2977"/>
        </w:tabs>
        <w:snapToGrid w:val="0"/>
        <w:spacing w:line="360" w:lineRule="auto"/>
        <w:ind w:left="1980" w:hanging="900"/>
        <w:rPr>
          <w:rFonts w:ascii="Times New Roman" w:hAnsi="Times New Roman" w:eastAsiaTheme="minorEastAsia"/>
          <w:vanish/>
          <w:color w:val="000000" w:themeColor="text1"/>
          <w:sz w:val="24"/>
          <w:szCs w:val="24"/>
          <w14:textFill>
            <w14:solidFill>
              <w14:schemeClr w14:val="tx1"/>
            </w14:solidFill>
          </w14:textFill>
        </w:rPr>
      </w:pPr>
      <w:r>
        <w:rPr>
          <w:rFonts w:hint="eastAsia" w:ascii="Times New Roman" w:hAnsi="Times New Roman" w:eastAsiaTheme="minorEastAsia"/>
          <w:vanish/>
          <w:color w:val="000000" w:themeColor="text1"/>
          <w:sz w:val="24"/>
          <w:szCs w:val="24"/>
          <w14:textFill>
            <w14:solidFill>
              <w14:schemeClr w14:val="tx1"/>
            </w14:solidFill>
          </w14:textFill>
        </w:rPr>
        <w:t>4.3.2</w:t>
      </w:r>
    </w:p>
    <w:p w14:paraId="763C4155">
      <w:pPr>
        <w:pStyle w:val="73"/>
        <w:numPr>
          <w:ilvl w:val="2"/>
          <w:numId w:val="0"/>
        </w:numPr>
        <w:tabs>
          <w:tab w:val="left" w:pos="2035"/>
          <w:tab w:val="left" w:pos="2977"/>
        </w:tabs>
        <w:snapToGrid w:val="0"/>
        <w:spacing w:line="360" w:lineRule="auto"/>
        <w:ind w:left="1980" w:hanging="900"/>
        <w:rPr>
          <w:rFonts w:ascii="Times New Roman" w:hAnsi="Times New Roman" w:eastAsiaTheme="minorEastAsia"/>
          <w:vanish/>
          <w:color w:val="000000" w:themeColor="text1"/>
          <w:sz w:val="24"/>
          <w:szCs w:val="24"/>
          <w14:textFill>
            <w14:solidFill>
              <w14:schemeClr w14:val="tx1"/>
            </w14:solidFill>
          </w14:textFill>
        </w:rPr>
      </w:pPr>
      <w:r>
        <w:rPr>
          <w:rFonts w:hint="eastAsia" w:ascii="Times New Roman" w:hAnsi="Times New Roman" w:eastAsiaTheme="minorEastAsia"/>
          <w:vanish/>
          <w:color w:val="000000" w:themeColor="text1"/>
          <w:sz w:val="24"/>
          <w:szCs w:val="24"/>
          <w14:textFill>
            <w14:solidFill>
              <w14:schemeClr w14:val="tx1"/>
            </w14:solidFill>
          </w14:textFill>
        </w:rPr>
        <w:t>4.3.3</w:t>
      </w:r>
    </w:p>
    <w:p w14:paraId="69D42498">
      <w:pPr>
        <w:numPr>
          <w:ilvl w:val="3"/>
          <w:numId w:val="0"/>
        </w:numPr>
        <w:tabs>
          <w:tab w:val="left" w:pos="1980"/>
          <w:tab w:val="left" w:pos="2035"/>
          <w:tab w:val="left" w:pos="2885"/>
          <w:tab w:val="left" w:pos="2977"/>
        </w:tabs>
        <w:snapToGrid w:val="0"/>
        <w:spacing w:line="360" w:lineRule="auto"/>
        <w:ind w:left="2885" w:hanging="900"/>
        <w:rPr>
          <w:rFonts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4.3.3.1</w:t>
      </w:r>
      <w:r>
        <w:rPr>
          <w:rFonts w:eastAsiaTheme="minorEastAsia"/>
          <w:color w:val="000000" w:themeColor="text1"/>
          <w:sz w:val="24"/>
          <w14:textFill>
            <w14:solidFill>
              <w14:schemeClr w14:val="tx1"/>
            </w14:solidFill>
          </w14:textFill>
        </w:rPr>
        <w:t>安置的残疾人占本单位在职职工人数的比例不低于25%（含25%），并且安置的残疾人人数不少于10 人（含10 人）；</w:t>
      </w:r>
    </w:p>
    <w:p w14:paraId="32EB0AD3">
      <w:pPr>
        <w:numPr>
          <w:ilvl w:val="3"/>
          <w:numId w:val="0"/>
        </w:numPr>
        <w:tabs>
          <w:tab w:val="left" w:pos="1980"/>
          <w:tab w:val="left" w:pos="2035"/>
          <w:tab w:val="left" w:pos="2885"/>
          <w:tab w:val="left" w:pos="2977"/>
        </w:tabs>
        <w:snapToGrid w:val="0"/>
        <w:spacing w:line="360" w:lineRule="auto"/>
        <w:ind w:left="2885" w:hanging="900"/>
        <w:rPr>
          <w:rFonts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4.3.3.2</w:t>
      </w:r>
      <w:r>
        <w:rPr>
          <w:rFonts w:eastAsiaTheme="minorEastAsia"/>
          <w:sz w:val="24"/>
        </w:rPr>
        <w:t>依法与安置的每位残疾人签订了一年以上（含一年）的劳动合同或服务协议；</w:t>
      </w:r>
    </w:p>
    <w:p w14:paraId="6FBEE701">
      <w:pPr>
        <w:numPr>
          <w:ilvl w:val="3"/>
          <w:numId w:val="0"/>
        </w:numPr>
        <w:tabs>
          <w:tab w:val="left" w:pos="1980"/>
          <w:tab w:val="left" w:pos="2035"/>
          <w:tab w:val="left" w:pos="2885"/>
          <w:tab w:val="left" w:pos="2977"/>
        </w:tabs>
        <w:snapToGrid w:val="0"/>
        <w:spacing w:line="360" w:lineRule="auto"/>
        <w:ind w:left="2885" w:hanging="900"/>
        <w:rPr>
          <w:rFonts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4.3.3.3</w:t>
      </w:r>
      <w:r>
        <w:rPr>
          <w:rFonts w:eastAsiaTheme="minorEastAsia"/>
          <w:sz w:val="24"/>
        </w:rPr>
        <w:t>为安置的每位残疾人按月足额缴纳了基本养老保险、基本医疗保险、失业保险、工伤保险和生育保险等社会保险费；</w:t>
      </w:r>
    </w:p>
    <w:p w14:paraId="2596E562">
      <w:pPr>
        <w:numPr>
          <w:ilvl w:val="3"/>
          <w:numId w:val="0"/>
        </w:numPr>
        <w:tabs>
          <w:tab w:val="left" w:pos="1980"/>
          <w:tab w:val="left" w:pos="2035"/>
          <w:tab w:val="left" w:pos="2885"/>
          <w:tab w:val="left" w:pos="2977"/>
        </w:tabs>
        <w:snapToGrid w:val="0"/>
        <w:spacing w:line="360" w:lineRule="auto"/>
        <w:ind w:left="2885" w:hanging="900"/>
        <w:rPr>
          <w:rFonts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4.3.3.4</w:t>
      </w:r>
      <w:r>
        <w:rPr>
          <w:rFonts w:eastAsiaTheme="minorEastAsia"/>
          <w:sz w:val="24"/>
        </w:rPr>
        <w:t>通过银行等金融机构向安置的每位残疾人，按月支付了不低于单位所在区县适用的经省级人民政府批准的月最低工资标准的工资；</w:t>
      </w:r>
    </w:p>
    <w:p w14:paraId="6CB99D5E">
      <w:pPr>
        <w:numPr>
          <w:ilvl w:val="3"/>
          <w:numId w:val="0"/>
        </w:numPr>
        <w:tabs>
          <w:tab w:val="left" w:pos="1980"/>
          <w:tab w:val="left" w:pos="2035"/>
          <w:tab w:val="left" w:pos="2885"/>
          <w:tab w:val="left" w:pos="2977"/>
        </w:tabs>
        <w:snapToGrid w:val="0"/>
        <w:spacing w:line="360" w:lineRule="auto"/>
        <w:ind w:left="2885" w:hanging="900"/>
        <w:rPr>
          <w:rFonts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4.3.3.5</w:t>
      </w:r>
      <w:r>
        <w:rPr>
          <w:rFonts w:eastAsiaTheme="minorEastAsia"/>
          <w:sz w:val="24"/>
        </w:rPr>
        <w:t>提供本单位制造的货物、承担的工程或者服务（以下简称产品），或者提供其他残疾人福利性单位制造的货物（不包括使用非残疾人福利性单位注册商标的货物）；</w:t>
      </w:r>
    </w:p>
    <w:p w14:paraId="5E1D8180">
      <w:pPr>
        <w:numPr>
          <w:ilvl w:val="3"/>
          <w:numId w:val="0"/>
        </w:numPr>
        <w:tabs>
          <w:tab w:val="left" w:pos="1980"/>
          <w:tab w:val="left" w:pos="2035"/>
          <w:tab w:val="left" w:pos="2885"/>
          <w:tab w:val="left" w:pos="2977"/>
        </w:tabs>
        <w:snapToGrid w:val="0"/>
        <w:spacing w:line="360" w:lineRule="auto"/>
        <w:ind w:left="2885" w:hanging="900"/>
        <w:rPr>
          <w:rFonts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4.3.3.6</w:t>
      </w:r>
      <w:r>
        <w:rPr>
          <w:rFonts w:eastAsiaTheme="minorEastAsia"/>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4D199C28">
      <w:pPr>
        <w:numPr>
          <w:ilvl w:val="2"/>
          <w:numId w:val="8"/>
        </w:numPr>
        <w:snapToGrid w:val="0"/>
        <w:spacing w:line="360" w:lineRule="auto"/>
        <w:rPr>
          <w:rFonts w:eastAsiaTheme="minorEastAsia"/>
          <w:sz w:val="24"/>
        </w:rPr>
      </w:pPr>
      <w:r>
        <w:rPr>
          <w:rFonts w:eastAsiaTheme="minorEastAsia"/>
          <w:sz w:val="24"/>
        </w:rPr>
        <w:t>本项目是否专门面向中小企业预留采购份额见第一章《采购邀请》。</w:t>
      </w:r>
    </w:p>
    <w:p w14:paraId="5CF2EE10">
      <w:pPr>
        <w:numPr>
          <w:ilvl w:val="2"/>
          <w:numId w:val="8"/>
        </w:numPr>
        <w:snapToGrid w:val="0"/>
        <w:spacing w:line="360" w:lineRule="auto"/>
        <w:rPr>
          <w:rFonts w:eastAsiaTheme="minorEastAsia"/>
          <w:sz w:val="24"/>
        </w:rPr>
      </w:pPr>
      <w:r>
        <w:rPr>
          <w:rFonts w:eastAsiaTheme="minorEastAsia"/>
          <w:sz w:val="24"/>
        </w:rPr>
        <w:t>采购标的对应的中小企业划分标准所属行业见《供应商须知资料表》。</w:t>
      </w:r>
    </w:p>
    <w:p w14:paraId="1839604E">
      <w:pPr>
        <w:numPr>
          <w:ilvl w:val="2"/>
          <w:numId w:val="8"/>
        </w:numPr>
        <w:snapToGrid w:val="0"/>
        <w:spacing w:line="360" w:lineRule="auto"/>
        <w:rPr>
          <w:rFonts w:eastAsiaTheme="minorEastAsia"/>
          <w:sz w:val="24"/>
        </w:rPr>
      </w:pPr>
      <w:r>
        <w:rPr>
          <w:rFonts w:eastAsiaTheme="minorEastAsia"/>
          <w:sz w:val="24"/>
        </w:rPr>
        <w:t>小微企业价格评审优惠的政策调整：见第三章《评审方法和评审标准》。</w:t>
      </w:r>
    </w:p>
    <w:p w14:paraId="3BE5B3BC">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政府采购节能产品、环境标志产品</w:t>
      </w:r>
    </w:p>
    <w:p w14:paraId="62819B5B">
      <w:pPr>
        <w:numPr>
          <w:ilvl w:val="2"/>
          <w:numId w:val="8"/>
        </w:numPr>
        <w:snapToGrid w:val="0"/>
        <w:spacing w:line="360" w:lineRule="auto"/>
        <w:rPr>
          <w:rFonts w:eastAsiaTheme="minorEastAsia"/>
          <w:sz w:val="24"/>
        </w:rPr>
      </w:pPr>
      <w:r>
        <w:rPr>
          <w:rFonts w:eastAsiaTheme="min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7E983734">
      <w:pPr>
        <w:numPr>
          <w:ilvl w:val="2"/>
          <w:numId w:val="8"/>
        </w:numPr>
        <w:snapToGrid w:val="0"/>
        <w:spacing w:line="360" w:lineRule="auto"/>
        <w:rPr>
          <w:rFonts w:eastAsiaTheme="minorEastAsia"/>
          <w:sz w:val="24"/>
        </w:rPr>
      </w:pPr>
      <w:r>
        <w:rPr>
          <w:rFonts w:eastAsiaTheme="min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0DF975F9">
      <w:pPr>
        <w:numPr>
          <w:ilvl w:val="2"/>
          <w:numId w:val="8"/>
        </w:numPr>
        <w:snapToGrid w:val="0"/>
        <w:spacing w:line="360" w:lineRule="auto"/>
        <w:rPr>
          <w:rFonts w:eastAsiaTheme="minorEastAsia"/>
          <w:sz w:val="24"/>
        </w:rPr>
      </w:pPr>
      <w:r>
        <w:rPr>
          <w:rFonts w:eastAsiaTheme="minorEastAsia"/>
          <w:sz w:val="24"/>
        </w:rPr>
        <w:t>如本项目采购产品属于实施政府强制采购品目清单范围的节能产品，则供应商所报产品必须获得国家确定的认证机构出具的、处于有效期之内的节能产品认证证书，</w:t>
      </w:r>
      <w:r>
        <w:rPr>
          <w:rFonts w:eastAsiaTheme="minorEastAsia"/>
          <w:kern w:val="0"/>
          <w:sz w:val="24"/>
        </w:rPr>
        <w:t>否则</w:t>
      </w:r>
      <w:r>
        <w:rPr>
          <w:rFonts w:eastAsiaTheme="minorEastAsia"/>
          <w:b/>
          <w:kern w:val="0"/>
          <w:sz w:val="24"/>
        </w:rPr>
        <w:t>响应无效</w:t>
      </w:r>
      <w:r>
        <w:rPr>
          <w:rFonts w:eastAsiaTheme="minorEastAsia"/>
          <w:sz w:val="24"/>
        </w:rPr>
        <w:t>；</w:t>
      </w:r>
    </w:p>
    <w:p w14:paraId="726A2540">
      <w:pPr>
        <w:numPr>
          <w:ilvl w:val="2"/>
          <w:numId w:val="8"/>
        </w:numPr>
        <w:snapToGrid w:val="0"/>
        <w:spacing w:line="360" w:lineRule="auto"/>
        <w:rPr>
          <w:rFonts w:eastAsiaTheme="minorEastAsia"/>
          <w:sz w:val="24"/>
        </w:rPr>
      </w:pPr>
      <w:r>
        <w:rPr>
          <w:rFonts w:eastAsiaTheme="minorEastAsia"/>
          <w:sz w:val="24"/>
        </w:rPr>
        <w:t>非政府强制采购的节能产品或环境标志产品，依据品目清单和认证证书实施政府优先采购。优先采购的具体规定见第三章《评审方法和评审标准》（如涉及）。</w:t>
      </w:r>
    </w:p>
    <w:p w14:paraId="2F23B452">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正版软件</w:t>
      </w:r>
    </w:p>
    <w:p w14:paraId="003AD6D1">
      <w:pPr>
        <w:numPr>
          <w:ilvl w:val="2"/>
          <w:numId w:val="8"/>
        </w:numPr>
        <w:snapToGrid w:val="0"/>
        <w:spacing w:line="360" w:lineRule="auto"/>
        <w:rPr>
          <w:rFonts w:eastAsiaTheme="minorEastAsia"/>
          <w:sz w:val="24"/>
        </w:rPr>
      </w:pPr>
      <w:r>
        <w:rPr>
          <w:rFonts w:eastAsia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500118D6">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网络安全专用产品</w:t>
      </w:r>
    </w:p>
    <w:p w14:paraId="3A03806B">
      <w:pPr>
        <w:numPr>
          <w:ilvl w:val="2"/>
          <w:numId w:val="8"/>
        </w:numPr>
        <w:tabs>
          <w:tab w:val="left" w:pos="900"/>
          <w:tab w:val="left" w:pos="2014"/>
        </w:tabs>
        <w:snapToGrid w:val="0"/>
        <w:spacing w:line="360" w:lineRule="auto"/>
        <w:rPr>
          <w:rFonts w:eastAsiaTheme="minorEastAsia"/>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14:paraId="5DB811AE">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推广使用低挥发性有机化合物（VOCs）</w:t>
      </w:r>
    </w:p>
    <w:p w14:paraId="4A6FFCCC">
      <w:pPr>
        <w:numPr>
          <w:ilvl w:val="2"/>
          <w:numId w:val="8"/>
        </w:numPr>
        <w:snapToGrid w:val="0"/>
        <w:spacing w:line="360" w:lineRule="auto"/>
        <w:rPr>
          <w:rFonts w:eastAsiaTheme="minorEastAsia"/>
          <w:sz w:val="24"/>
        </w:rPr>
      </w:pPr>
      <w:r>
        <w:rPr>
          <w:rFonts w:eastAsiaTheme="minorEastAsia"/>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含量限制标准（具体标准见第四章《采购需求》），</w:t>
      </w:r>
      <w:r>
        <w:rPr>
          <w:rFonts w:eastAsiaTheme="minorEastAsia"/>
          <w:kern w:val="0"/>
          <w:sz w:val="24"/>
        </w:rPr>
        <w:t>否则</w:t>
      </w:r>
      <w:r>
        <w:rPr>
          <w:rFonts w:eastAsiaTheme="minorEastAsia"/>
          <w:b/>
          <w:kern w:val="0"/>
          <w:sz w:val="24"/>
        </w:rPr>
        <w:t>响应无效</w:t>
      </w:r>
      <w:r>
        <w:rPr>
          <w:rFonts w:eastAsiaTheme="minorEastAsia"/>
          <w:sz w:val="24"/>
        </w:rPr>
        <w:t>；属于推荐性标准的，优先采购，具体见第三章《评审方法和评审标准》。</w:t>
      </w:r>
    </w:p>
    <w:p w14:paraId="450300AE">
      <w:pPr>
        <w:numPr>
          <w:ilvl w:val="1"/>
          <w:numId w:val="8"/>
        </w:numPr>
        <w:tabs>
          <w:tab w:val="left" w:pos="1080"/>
        </w:tabs>
        <w:snapToGrid w:val="0"/>
        <w:spacing w:line="360" w:lineRule="auto"/>
        <w:rPr>
          <w:sz w:val="24"/>
        </w:rPr>
      </w:pPr>
      <w:r>
        <w:rPr>
          <w:sz w:val="24"/>
        </w:rPr>
        <w:t>采购需求标准</w:t>
      </w:r>
    </w:p>
    <w:p w14:paraId="39624557">
      <w:pPr>
        <w:numPr>
          <w:ilvl w:val="2"/>
          <w:numId w:val="8"/>
        </w:numPr>
        <w:snapToGrid w:val="0"/>
        <w:spacing w:line="360" w:lineRule="auto"/>
        <w:rPr>
          <w:sz w:val="24"/>
        </w:rPr>
      </w:pPr>
      <w:r>
        <w:rPr>
          <w:sz w:val="24"/>
        </w:rPr>
        <w:t>商品包装、快递包装政府采购需求标准（试行）</w:t>
      </w:r>
    </w:p>
    <w:p w14:paraId="648C48EB">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四章《采购需求》。</w:t>
      </w:r>
    </w:p>
    <w:p w14:paraId="4A42EDC4">
      <w:pPr>
        <w:numPr>
          <w:ilvl w:val="2"/>
          <w:numId w:val="8"/>
        </w:numPr>
        <w:tabs>
          <w:tab w:val="left" w:pos="2014"/>
        </w:tabs>
        <w:snapToGrid w:val="0"/>
        <w:spacing w:line="360" w:lineRule="auto"/>
        <w:rPr>
          <w:sz w:val="24"/>
        </w:rPr>
      </w:pPr>
      <w:r>
        <w:rPr>
          <w:rFonts w:hint="eastAsia"/>
          <w:sz w:val="24"/>
        </w:rPr>
        <w:t>其他</w:t>
      </w:r>
      <w:r>
        <w:rPr>
          <w:sz w:val="24"/>
        </w:rPr>
        <w:t>政府采购需求标准</w:t>
      </w:r>
      <w:r>
        <w:rPr>
          <w:rFonts w:hint="eastAsia"/>
          <w:sz w:val="24"/>
        </w:rPr>
        <w:t xml:space="preserve"> </w:t>
      </w:r>
    </w:p>
    <w:p w14:paraId="7ED402F3">
      <w:pPr>
        <w:tabs>
          <w:tab w:val="left" w:pos="900"/>
          <w:tab w:val="left" w:pos="1980"/>
        </w:tabs>
        <w:snapToGrid w:val="0"/>
        <w:spacing w:line="360" w:lineRule="auto"/>
        <w:ind w:left="1980"/>
        <w:rPr>
          <w:rFonts w:eastAsiaTheme="minorEastAsia"/>
          <w:sz w:val="24"/>
        </w:rPr>
      </w:pPr>
      <w:r>
        <w:rPr>
          <w:rFonts w:hint="eastAsia"/>
          <w:sz w:val="24"/>
        </w:rPr>
        <w:t>为贯彻落实《深化政府采购制度改革方案》有关要求，推动政府采购需求标准建设，</w:t>
      </w:r>
      <w:bookmarkStart w:id="149" w:name="_Hlk168431650"/>
      <w:r>
        <w:rPr>
          <w:rFonts w:hint="eastAsia"/>
          <w:sz w:val="24"/>
        </w:rPr>
        <w:t>财政部门会同有关部门制定发布的</w:t>
      </w:r>
      <w:bookmarkEnd w:id="149"/>
      <w:r>
        <w:rPr>
          <w:rFonts w:hint="eastAsia"/>
          <w:sz w:val="24"/>
        </w:rPr>
        <w:t>其他政府采购需求标准，</w:t>
      </w:r>
      <w:r>
        <w:rPr>
          <w:sz w:val="24"/>
        </w:rPr>
        <w:t>本项目如涉及，则具体要求见第四章《采购需求》。</w:t>
      </w:r>
    </w:p>
    <w:p w14:paraId="69A1CB18">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响应费用</w:t>
      </w:r>
    </w:p>
    <w:p w14:paraId="3F267E99">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供应商应自行承担所有与准备和参加磋商有关的费用，无论磋商的结果如何，采购人或采购代理机构在任何情况下均无承担这些费用的义务和责任。</w:t>
      </w:r>
    </w:p>
    <w:p w14:paraId="31487449">
      <w:pPr>
        <w:tabs>
          <w:tab w:val="left" w:pos="1080"/>
        </w:tabs>
        <w:snapToGrid w:val="0"/>
        <w:spacing w:line="360" w:lineRule="auto"/>
        <w:ind w:left="1080"/>
        <w:rPr>
          <w:rFonts w:eastAsiaTheme="minorEastAsia"/>
          <w:sz w:val="28"/>
        </w:rPr>
      </w:pPr>
      <w:bookmarkStart w:id="150" w:name="_1.8_计量单位"/>
      <w:bookmarkEnd w:id="150"/>
    </w:p>
    <w:p w14:paraId="743CD9B3">
      <w:pPr>
        <w:pStyle w:val="3"/>
        <w:spacing w:before="0" w:line="360" w:lineRule="auto"/>
        <w:rPr>
          <w:rFonts w:ascii="Times New Roman" w:hAnsi="Times New Roman" w:eastAsiaTheme="minorEastAsia"/>
          <w:sz w:val="28"/>
        </w:rPr>
      </w:pPr>
      <w:r>
        <w:rPr>
          <w:rFonts w:ascii="Times New Roman" w:hAnsi="Times New Roman" w:eastAsiaTheme="minorEastAsia"/>
          <w:sz w:val="28"/>
        </w:rPr>
        <w:t>二   竞争性磋商文件</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14:paraId="318D00ED">
      <w:pPr>
        <w:numPr>
          <w:ilvl w:val="0"/>
          <w:numId w:val="8"/>
        </w:numPr>
        <w:tabs>
          <w:tab w:val="left" w:pos="360"/>
        </w:tabs>
        <w:snapToGrid w:val="0"/>
        <w:spacing w:line="360" w:lineRule="auto"/>
        <w:ind w:left="357" w:hanging="357"/>
        <w:outlineLvl w:val="1"/>
        <w:rPr>
          <w:rFonts w:eastAsiaTheme="minorEastAsia"/>
          <w:sz w:val="24"/>
        </w:rPr>
      </w:pPr>
      <w:bookmarkStart w:id="151" w:name="_Toc127151724"/>
      <w:bookmarkStart w:id="152" w:name="_Toc150480761"/>
      <w:bookmarkStart w:id="153" w:name="_Toc305158791"/>
      <w:bookmarkStart w:id="154" w:name="_Toc164608792"/>
      <w:bookmarkStart w:id="155" w:name="_Toc164229218"/>
      <w:bookmarkStart w:id="156" w:name="_Toc164229364"/>
      <w:bookmarkStart w:id="157" w:name="_Toc127161437"/>
      <w:bookmarkStart w:id="158" w:name="_Toc264969213"/>
      <w:bookmarkStart w:id="159" w:name="_Toc151190150"/>
      <w:bookmarkStart w:id="160" w:name="_Toc305158865"/>
      <w:bookmarkStart w:id="161" w:name="_Toc164351617"/>
      <w:bookmarkStart w:id="162" w:name="_Toc151193693"/>
      <w:bookmarkStart w:id="163" w:name="_Toc151193765"/>
      <w:bookmarkStart w:id="164" w:name="_Toc195842888"/>
      <w:bookmarkStart w:id="165" w:name="_Toc151193911"/>
      <w:bookmarkStart w:id="166" w:name="_Toc520356147"/>
      <w:bookmarkStart w:id="167" w:name="_Toc150509274"/>
      <w:bookmarkStart w:id="168" w:name="_Toc142311025"/>
      <w:bookmarkStart w:id="169" w:name="_Toc150774728"/>
      <w:bookmarkStart w:id="170" w:name="_Toc151193621"/>
      <w:bookmarkStart w:id="171" w:name="_Toc164608637"/>
      <w:bookmarkStart w:id="172" w:name="_Toc150774623"/>
      <w:bookmarkStart w:id="173" w:name="_Toc265228361"/>
      <w:bookmarkStart w:id="174" w:name="_Toc226965713"/>
      <w:bookmarkStart w:id="175" w:name="_Toc127151523"/>
      <w:bookmarkStart w:id="176" w:name="_Toc149720816"/>
      <w:bookmarkStart w:id="177" w:name="_Toc151193837"/>
      <w:bookmarkStart w:id="178" w:name="_Toc226965796"/>
      <w:bookmarkStart w:id="179" w:name="_Toc226337219"/>
      <w:bookmarkStart w:id="180" w:name="_Toc226309767"/>
      <w:r>
        <w:rPr>
          <w:rFonts w:eastAsiaTheme="minorEastAsia"/>
          <w:sz w:val="24"/>
        </w:rPr>
        <w:t>竞争性磋商文件构</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Fonts w:eastAsiaTheme="minorEastAsia"/>
          <w:sz w:val="24"/>
        </w:rPr>
        <w:t>成</w:t>
      </w:r>
    </w:p>
    <w:p w14:paraId="171B048F">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竞争性磋商文件包括以下部分：</w:t>
      </w:r>
    </w:p>
    <w:p w14:paraId="76FC0CDC">
      <w:pPr>
        <w:numPr>
          <w:ilvl w:val="0"/>
          <w:numId w:val="9"/>
        </w:numPr>
        <w:tabs>
          <w:tab w:val="left" w:pos="1980"/>
          <w:tab w:val="left" w:pos="2520"/>
        </w:tabs>
        <w:snapToGrid w:val="0"/>
        <w:spacing w:line="360" w:lineRule="auto"/>
        <w:ind w:left="1440" w:firstLine="5"/>
        <w:rPr>
          <w:rFonts w:eastAsiaTheme="minorEastAsia"/>
          <w:sz w:val="24"/>
        </w:rPr>
      </w:pPr>
      <w:r>
        <w:rPr>
          <w:rFonts w:eastAsiaTheme="minorEastAsia"/>
          <w:sz w:val="24"/>
        </w:rPr>
        <w:t>采购邀请</w:t>
      </w:r>
    </w:p>
    <w:p w14:paraId="7B07C69C">
      <w:pPr>
        <w:numPr>
          <w:ilvl w:val="0"/>
          <w:numId w:val="9"/>
        </w:numPr>
        <w:tabs>
          <w:tab w:val="left" w:pos="1980"/>
          <w:tab w:val="left" w:pos="2520"/>
        </w:tabs>
        <w:snapToGrid w:val="0"/>
        <w:spacing w:line="360" w:lineRule="auto"/>
        <w:ind w:left="1440" w:firstLine="5"/>
        <w:rPr>
          <w:rFonts w:eastAsiaTheme="minorEastAsia"/>
          <w:sz w:val="24"/>
        </w:rPr>
      </w:pPr>
      <w:r>
        <w:rPr>
          <w:rFonts w:eastAsiaTheme="minorEastAsia"/>
          <w:sz w:val="24"/>
        </w:rPr>
        <w:t>供应商须知</w:t>
      </w:r>
    </w:p>
    <w:p w14:paraId="654EF8F4">
      <w:pPr>
        <w:numPr>
          <w:ilvl w:val="0"/>
          <w:numId w:val="9"/>
        </w:numPr>
        <w:tabs>
          <w:tab w:val="left" w:pos="1980"/>
          <w:tab w:val="left" w:pos="2520"/>
        </w:tabs>
        <w:snapToGrid w:val="0"/>
        <w:spacing w:line="360" w:lineRule="auto"/>
        <w:ind w:left="1440" w:firstLine="5"/>
        <w:rPr>
          <w:rFonts w:eastAsiaTheme="minorEastAsia"/>
          <w:sz w:val="24"/>
        </w:rPr>
      </w:pPr>
      <w:r>
        <w:rPr>
          <w:rFonts w:eastAsiaTheme="minorEastAsia"/>
          <w:sz w:val="24"/>
        </w:rPr>
        <w:t>评审方法和评审标准</w:t>
      </w:r>
    </w:p>
    <w:p w14:paraId="76FFAFD5">
      <w:pPr>
        <w:numPr>
          <w:ilvl w:val="0"/>
          <w:numId w:val="9"/>
        </w:numPr>
        <w:tabs>
          <w:tab w:val="left" w:pos="1980"/>
          <w:tab w:val="left" w:pos="2520"/>
        </w:tabs>
        <w:snapToGrid w:val="0"/>
        <w:spacing w:line="360" w:lineRule="auto"/>
        <w:ind w:left="1440" w:firstLine="5"/>
        <w:rPr>
          <w:rFonts w:eastAsiaTheme="minorEastAsia"/>
          <w:sz w:val="24"/>
        </w:rPr>
      </w:pPr>
      <w:r>
        <w:rPr>
          <w:rFonts w:eastAsiaTheme="minorEastAsia"/>
          <w:sz w:val="24"/>
        </w:rPr>
        <w:t>采购需求</w:t>
      </w:r>
    </w:p>
    <w:p w14:paraId="0B24A66C">
      <w:pPr>
        <w:numPr>
          <w:ilvl w:val="0"/>
          <w:numId w:val="9"/>
        </w:numPr>
        <w:tabs>
          <w:tab w:val="left" w:pos="1980"/>
          <w:tab w:val="left" w:pos="2520"/>
        </w:tabs>
        <w:snapToGrid w:val="0"/>
        <w:spacing w:line="360" w:lineRule="auto"/>
        <w:ind w:left="1440" w:firstLine="5"/>
        <w:rPr>
          <w:rFonts w:eastAsiaTheme="minorEastAsia"/>
          <w:sz w:val="24"/>
        </w:rPr>
      </w:pPr>
      <w:r>
        <w:rPr>
          <w:rFonts w:eastAsiaTheme="minorEastAsia"/>
          <w:sz w:val="24"/>
        </w:rPr>
        <w:t>合同草案条款</w:t>
      </w:r>
    </w:p>
    <w:p w14:paraId="42C4823E">
      <w:pPr>
        <w:numPr>
          <w:ilvl w:val="0"/>
          <w:numId w:val="9"/>
        </w:numPr>
        <w:tabs>
          <w:tab w:val="left" w:pos="1980"/>
          <w:tab w:val="left" w:pos="2520"/>
        </w:tabs>
        <w:snapToGrid w:val="0"/>
        <w:spacing w:line="360" w:lineRule="auto"/>
        <w:ind w:left="1440" w:firstLine="5"/>
        <w:rPr>
          <w:rFonts w:eastAsiaTheme="minorEastAsia"/>
          <w:sz w:val="24"/>
        </w:rPr>
      </w:pPr>
      <w:r>
        <w:rPr>
          <w:rFonts w:eastAsiaTheme="minorEastAsia"/>
          <w:sz w:val="24"/>
        </w:rPr>
        <w:t>响应文件格式</w:t>
      </w:r>
    </w:p>
    <w:p w14:paraId="42FEC1ED">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供应商应认真阅读竞争性磋商文件的全部内容。供应商应按照竞争性磋商文件要求提交响应文件并保证所提供的全部资料的真实性，并对竞争性磋商文件做出实质性响应，否则</w:t>
      </w:r>
      <w:r>
        <w:rPr>
          <w:rFonts w:eastAsiaTheme="minorEastAsia"/>
          <w:b/>
          <w:sz w:val="24"/>
        </w:rPr>
        <w:t>响应无效</w:t>
      </w:r>
      <w:r>
        <w:rPr>
          <w:rFonts w:eastAsiaTheme="minorEastAsia"/>
          <w:sz w:val="24"/>
        </w:rPr>
        <w:t>。</w:t>
      </w:r>
    </w:p>
    <w:p w14:paraId="218C0414">
      <w:pPr>
        <w:numPr>
          <w:ilvl w:val="0"/>
          <w:numId w:val="8"/>
        </w:numPr>
        <w:tabs>
          <w:tab w:val="left" w:pos="1080"/>
          <w:tab w:val="left" w:pos="2014"/>
        </w:tabs>
        <w:snapToGrid w:val="0"/>
        <w:spacing w:line="360" w:lineRule="auto"/>
        <w:ind w:left="357" w:hanging="357"/>
        <w:outlineLvl w:val="1"/>
        <w:rPr>
          <w:rFonts w:eastAsiaTheme="minorEastAsia"/>
          <w:sz w:val="24"/>
        </w:rPr>
      </w:pPr>
      <w:r>
        <w:rPr>
          <w:rFonts w:eastAsiaTheme="minorEastAsia"/>
          <w:sz w:val="24"/>
        </w:rPr>
        <w:t>对竞争性磋商文件的澄清或修改</w:t>
      </w:r>
    </w:p>
    <w:p w14:paraId="77117DC2">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采购人、采购代理机构或者磋商小组对已发出的竞争性磋商文件进行必要澄清或者修改的，将以书面形式通知所有获取竞争性磋商文件的潜在供应商。采用公告方式邀请供应商参与的，还将在原公告发布媒体上发布更正公告。</w:t>
      </w:r>
    </w:p>
    <w:p w14:paraId="79AE4529">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上述书面通知，按照获取竞争性磋商文件的潜在供应商提供的联系方式发出，因提供的信息有误导致通知延迟或无法通知的，采购人或采购代理机构不承担责任。</w:t>
      </w:r>
    </w:p>
    <w:p w14:paraId="4F2BFAF5">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澄清或者修改的内容为竞争性磋商文件的组成部分，并对所有获取竞争性磋商文件的潜在供应商具有约束力。澄清或者修改的内容可能影响响应文件编制的，将在提交首次响应文件截止之日3个工作日前，</w:t>
      </w:r>
      <w:r>
        <w:rPr>
          <w:kern w:val="0"/>
          <w:sz w:val="24"/>
        </w:rPr>
        <w:t>以书面形式通知所有获取磋商文件的供应商</w:t>
      </w:r>
      <w:r>
        <w:rPr>
          <w:rFonts w:eastAsiaTheme="minorEastAsia"/>
          <w:sz w:val="24"/>
        </w:rPr>
        <w:t>；不足上述时间的，将顺延提交</w:t>
      </w:r>
      <w:r>
        <w:rPr>
          <w:rFonts w:hint="eastAsia" w:eastAsiaTheme="minorEastAsia"/>
          <w:sz w:val="24"/>
        </w:rPr>
        <w:t>首次</w:t>
      </w:r>
      <w:r>
        <w:rPr>
          <w:rFonts w:eastAsiaTheme="minorEastAsia"/>
          <w:sz w:val="24"/>
        </w:rPr>
        <w:t>响应文件截止时间。</w:t>
      </w:r>
    </w:p>
    <w:p w14:paraId="42C8CDC0">
      <w:pPr>
        <w:tabs>
          <w:tab w:val="left" w:pos="1080"/>
          <w:tab w:val="left" w:pos="1561"/>
        </w:tabs>
        <w:snapToGrid w:val="0"/>
        <w:spacing w:line="360" w:lineRule="auto"/>
        <w:ind w:left="1080"/>
        <w:rPr>
          <w:rFonts w:eastAsiaTheme="minorEastAsia"/>
          <w:sz w:val="28"/>
        </w:rPr>
      </w:pPr>
      <w:bookmarkStart w:id="181" w:name="_Toc516367020"/>
      <w:bookmarkStart w:id="182" w:name="_Toc264969216"/>
      <w:bookmarkStart w:id="183" w:name="_Toc520356150"/>
      <w:bookmarkStart w:id="184" w:name="_Toc151190153"/>
      <w:bookmarkStart w:id="185" w:name="_Toc226337222"/>
      <w:bookmarkStart w:id="186" w:name="_Toc305158794"/>
      <w:bookmarkStart w:id="187" w:name="_Toc151193914"/>
      <w:bookmarkStart w:id="188" w:name="_Toc150774626"/>
      <w:bookmarkStart w:id="189" w:name="_Toc142311028"/>
      <w:bookmarkStart w:id="190" w:name="_Toc151193768"/>
      <w:bookmarkStart w:id="191" w:name="_Toc305158868"/>
      <w:bookmarkStart w:id="192" w:name="_Toc226309770"/>
      <w:bookmarkStart w:id="193" w:name="_Toc195842891"/>
      <w:bookmarkStart w:id="194" w:name="_Toc265228364"/>
      <w:bookmarkStart w:id="195" w:name="_Toc151193840"/>
      <w:bookmarkStart w:id="196" w:name="_Toc150774731"/>
      <w:bookmarkStart w:id="197" w:name="_Toc226965716"/>
      <w:bookmarkStart w:id="198" w:name="_Toc150480764"/>
      <w:bookmarkStart w:id="199" w:name="_Toc151193624"/>
      <w:bookmarkStart w:id="200" w:name="_Toc226965799"/>
      <w:bookmarkStart w:id="201" w:name="_Toc150509277"/>
      <w:bookmarkStart w:id="202" w:name="_Toc151193696"/>
      <w:bookmarkStart w:id="203" w:name="_Toc127151526"/>
    </w:p>
    <w:p w14:paraId="59F5AD62">
      <w:pPr>
        <w:pStyle w:val="3"/>
        <w:spacing w:before="0" w:line="360" w:lineRule="auto"/>
        <w:rPr>
          <w:rFonts w:ascii="Times New Roman" w:hAnsi="Times New Roman" w:eastAsiaTheme="minorEastAsia"/>
          <w:sz w:val="28"/>
        </w:rPr>
      </w:pPr>
      <w:r>
        <w:rPr>
          <w:rFonts w:ascii="Times New Roman" w:hAnsi="Times New Roman" w:eastAsiaTheme="minorEastAsia"/>
          <w:sz w:val="28"/>
        </w:rPr>
        <w:t>三   响应文件</w:t>
      </w:r>
      <w:bookmarkEnd w:id="181"/>
      <w:r>
        <w:rPr>
          <w:rFonts w:ascii="Times New Roman" w:hAnsi="Times New Roman" w:eastAsiaTheme="minorEastAsia"/>
          <w:sz w:val="28"/>
        </w:rPr>
        <w:t>的编制</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14:paraId="47AE9F51">
      <w:pPr>
        <w:numPr>
          <w:ilvl w:val="0"/>
          <w:numId w:val="8"/>
        </w:numPr>
        <w:tabs>
          <w:tab w:val="left" w:pos="360"/>
        </w:tabs>
        <w:snapToGrid w:val="0"/>
        <w:spacing w:line="360" w:lineRule="auto"/>
        <w:ind w:left="357" w:hanging="357"/>
        <w:outlineLvl w:val="1"/>
        <w:rPr>
          <w:rFonts w:eastAsiaTheme="minorEastAsia"/>
          <w:sz w:val="24"/>
        </w:rPr>
      </w:pPr>
      <w:bookmarkStart w:id="204" w:name="_Toc164608641"/>
      <w:bookmarkStart w:id="205" w:name="_Toc226965717"/>
      <w:bookmarkStart w:id="206" w:name="_Toc150509278"/>
      <w:bookmarkStart w:id="207" w:name="_Toc151193841"/>
      <w:bookmarkStart w:id="208" w:name="_Toc151190154"/>
      <w:bookmarkStart w:id="209" w:name="_Toc127151527"/>
      <w:bookmarkStart w:id="210" w:name="_Toc164229222"/>
      <w:bookmarkStart w:id="211" w:name="_Toc149720820"/>
      <w:bookmarkStart w:id="212" w:name="_Toc150774732"/>
      <w:bookmarkStart w:id="213" w:name="_Toc127161441"/>
      <w:bookmarkStart w:id="214" w:name="_Toc305158795"/>
      <w:bookmarkStart w:id="215" w:name="_Toc164229368"/>
      <w:bookmarkStart w:id="216" w:name="_Toc150480765"/>
      <w:bookmarkStart w:id="217" w:name="_Toc226337223"/>
      <w:bookmarkStart w:id="218" w:name="_Toc164351621"/>
      <w:bookmarkStart w:id="219" w:name="_Toc264969217"/>
      <w:bookmarkStart w:id="220" w:name="_Toc226309771"/>
      <w:bookmarkStart w:id="221" w:name="_Toc164608796"/>
      <w:bookmarkStart w:id="222" w:name="_Toc516367021"/>
      <w:bookmarkStart w:id="223" w:name="_Toc151193625"/>
      <w:bookmarkStart w:id="224" w:name="_Toc226965800"/>
      <w:bookmarkStart w:id="225" w:name="_Toc520356151"/>
      <w:bookmarkStart w:id="226" w:name="_Toc151193697"/>
      <w:bookmarkStart w:id="227" w:name="_Toc142311029"/>
      <w:bookmarkStart w:id="228" w:name="_Toc265228365"/>
      <w:bookmarkStart w:id="229" w:name="_Toc127151728"/>
      <w:bookmarkStart w:id="230" w:name="_Toc151193769"/>
      <w:bookmarkStart w:id="231" w:name="_Toc195842892"/>
      <w:bookmarkStart w:id="232" w:name="_Toc305158869"/>
      <w:bookmarkStart w:id="233" w:name="_Toc151193915"/>
      <w:bookmarkStart w:id="234" w:name="_Toc150774627"/>
      <w:r>
        <w:rPr>
          <w:rFonts w:eastAsiaTheme="minorEastAsia"/>
          <w:sz w:val="24"/>
        </w:rPr>
        <w:t>响应范围、竞争性磋商文件中计量单位的使用</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Pr>
          <w:rFonts w:eastAsiaTheme="minorEastAsia"/>
          <w:sz w:val="24"/>
        </w:rPr>
        <w:t>及磋商语言</w:t>
      </w:r>
    </w:p>
    <w:p w14:paraId="71610E99">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本项目如划分采购包，供应商可以对本项目的其中一个采购包进行响应，也可同时对多个采购包进行响应。供应商应当对所参与采购包对应第四章《采购需求》所列的全部内容进行响应，不得将一个采购包中的内容拆分响应，否则其对该采购包的响应将被认定为</w:t>
      </w:r>
      <w:r>
        <w:rPr>
          <w:rFonts w:eastAsiaTheme="minorEastAsia"/>
          <w:b/>
          <w:sz w:val="24"/>
        </w:rPr>
        <w:t>无效响应</w:t>
      </w:r>
      <w:r>
        <w:rPr>
          <w:rFonts w:eastAsiaTheme="minorEastAsia"/>
          <w:sz w:val="24"/>
        </w:rPr>
        <w:t>。</w:t>
      </w:r>
    </w:p>
    <w:p w14:paraId="074255F4">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除竞争性磋商文件有特殊要求外，本项目磋商所使用的计量单位，应采用中华人民共和国法定计量单位。</w:t>
      </w:r>
    </w:p>
    <w:p w14:paraId="073579B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14:paraId="4E3B646C">
      <w:pPr>
        <w:numPr>
          <w:ilvl w:val="0"/>
          <w:numId w:val="8"/>
        </w:numPr>
        <w:tabs>
          <w:tab w:val="left" w:pos="360"/>
        </w:tabs>
        <w:snapToGrid w:val="0"/>
        <w:spacing w:line="360" w:lineRule="auto"/>
        <w:ind w:left="357" w:hanging="357"/>
        <w:outlineLvl w:val="1"/>
        <w:rPr>
          <w:rFonts w:eastAsiaTheme="minorEastAsia"/>
          <w:sz w:val="24"/>
        </w:rPr>
      </w:pPr>
      <w:bookmarkStart w:id="235" w:name="_Ref467306676"/>
      <w:bookmarkStart w:id="236" w:name="_Ref467306195"/>
      <w:bookmarkStart w:id="237" w:name="_Toc516367022"/>
      <w:bookmarkStart w:id="238" w:name="_Toc520356152"/>
      <w:bookmarkStart w:id="239" w:name="_Toc151193842"/>
      <w:bookmarkStart w:id="240" w:name="_Toc150509279"/>
      <w:bookmarkStart w:id="241" w:name="_Toc150774628"/>
      <w:bookmarkStart w:id="242" w:name="_Toc142311030"/>
      <w:bookmarkStart w:id="243" w:name="_Toc305158870"/>
      <w:bookmarkStart w:id="244" w:name="_Toc164608797"/>
      <w:bookmarkStart w:id="245" w:name="_Toc264969218"/>
      <w:bookmarkStart w:id="246" w:name="_Toc226337224"/>
      <w:bookmarkStart w:id="247" w:name="_Toc164351622"/>
      <w:bookmarkStart w:id="248" w:name="_Toc127161442"/>
      <w:bookmarkStart w:id="249" w:name="_Toc151193770"/>
      <w:bookmarkStart w:id="250" w:name="_Toc265228366"/>
      <w:bookmarkStart w:id="251" w:name="_Toc164608642"/>
      <w:bookmarkStart w:id="252" w:name="_Toc195842893"/>
      <w:bookmarkStart w:id="253" w:name="_Toc164229223"/>
      <w:bookmarkStart w:id="254" w:name="_Toc151193698"/>
      <w:bookmarkStart w:id="255" w:name="_Toc226965718"/>
      <w:bookmarkStart w:id="256" w:name="_Toc164229369"/>
      <w:bookmarkStart w:id="257" w:name="_Toc151190155"/>
      <w:bookmarkStart w:id="258" w:name="_Toc150774733"/>
      <w:bookmarkStart w:id="259" w:name="_Toc226309772"/>
      <w:bookmarkStart w:id="260" w:name="_Toc151193626"/>
      <w:bookmarkStart w:id="261" w:name="_Toc305158796"/>
      <w:bookmarkStart w:id="262" w:name="_Toc151193916"/>
      <w:bookmarkStart w:id="263" w:name="_Toc150480766"/>
      <w:bookmarkStart w:id="264" w:name="_Toc127151528"/>
      <w:bookmarkStart w:id="265" w:name="_Toc149720821"/>
      <w:bookmarkStart w:id="266" w:name="_Toc127151729"/>
      <w:bookmarkStart w:id="267" w:name="_Toc226965801"/>
      <w:r>
        <w:rPr>
          <w:rFonts w:eastAsiaTheme="minorEastAsia"/>
          <w:sz w:val="24"/>
        </w:rPr>
        <w:t>响应文件</w:t>
      </w:r>
      <w:bookmarkEnd w:id="235"/>
      <w:bookmarkEnd w:id="236"/>
      <w:bookmarkEnd w:id="237"/>
      <w:r>
        <w:rPr>
          <w:rFonts w:eastAsiaTheme="minorEastAsia"/>
          <w:sz w:val="24"/>
        </w:rPr>
        <w:t>构成</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14:paraId="39AED529">
      <w:pPr>
        <w:numPr>
          <w:ilvl w:val="1"/>
          <w:numId w:val="8"/>
        </w:numPr>
        <w:tabs>
          <w:tab w:val="left" w:pos="1080"/>
          <w:tab w:val="left" w:pos="2014"/>
        </w:tabs>
        <w:snapToGrid w:val="0"/>
        <w:spacing w:line="360" w:lineRule="auto"/>
        <w:ind w:left="1077" w:hanging="720"/>
        <w:rPr>
          <w:rFonts w:eastAsiaTheme="minorEastAsia"/>
          <w:sz w:val="24"/>
        </w:rPr>
      </w:pPr>
      <w:bookmarkStart w:id="268" w:name="_Ref467052588"/>
      <w:r>
        <w:rPr>
          <w:rFonts w:eastAsiaTheme="minorEastAsia"/>
          <w:sz w:val="24"/>
        </w:rPr>
        <w:t>供应商应当按照竞争性磋商文件的要求编制响应文件，</w:t>
      </w:r>
      <w:r>
        <w:rPr>
          <w:rFonts w:eastAsiaTheme="minorEastAsia"/>
          <w:kern w:val="0"/>
          <w:sz w:val="24"/>
        </w:rPr>
        <w:t>并对其提交的响应文件的真实性、合法性承担法律责任</w:t>
      </w:r>
      <w:r>
        <w:rPr>
          <w:rFonts w:eastAsiaTheme="minorEastAsia"/>
          <w:sz w:val="24"/>
        </w:rPr>
        <w:t>。响应文件的部分格式要求，见第六章《响应文件格式》。</w:t>
      </w:r>
    </w:p>
    <w:p w14:paraId="165E544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kern w:val="0"/>
          <w:sz w:val="24"/>
        </w:rPr>
        <w:t>对于竞争性磋商文件中标记了“实质性格式”文件的，</w:t>
      </w:r>
      <w:r>
        <w:rPr>
          <w:rFonts w:eastAsiaTheme="minorEastAsia"/>
          <w:sz w:val="24"/>
        </w:rPr>
        <w:t>供应商不得改变格式中给定的文字所表达的含义，不得删减格式中的实质性内容，不得自行添加与格式中给定的文字内容相矛盾的内容，不得对应当填写的空格不填写或不实质性响应，</w:t>
      </w:r>
      <w:r>
        <w:rPr>
          <w:rFonts w:eastAsiaTheme="minorEastAsia"/>
          <w:b/>
          <w:kern w:val="0"/>
          <w:sz w:val="24"/>
        </w:rPr>
        <w:t>否则响应无效</w:t>
      </w:r>
      <w:r>
        <w:rPr>
          <w:rFonts w:eastAsiaTheme="minorEastAsia"/>
          <w:kern w:val="0"/>
          <w:sz w:val="24"/>
        </w:rPr>
        <w:t>。未标记“实质性格式”的文件和竞争性磋商文件未提供格式的内容，可由供应商自行编写。</w:t>
      </w:r>
    </w:p>
    <w:p w14:paraId="71C50C45">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第三章《评审方法和评审标准》中涉及的证明文件。</w:t>
      </w:r>
    </w:p>
    <w:p w14:paraId="0F492A13">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对照第四章《采购需求》，说明所提供货物和服务已对第四章《采购需求》做出了响应，或申明与第四章《采购需求》的偏差和例外。如第四章《采购需求》中要求提供证明文件的，供应商应当按具体要求提供证明文件。</w:t>
      </w:r>
    </w:p>
    <w:p w14:paraId="35E45D22">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供应商认为应附的其他材料。</w:t>
      </w:r>
      <w:bookmarkEnd w:id="268"/>
    </w:p>
    <w:p w14:paraId="1716651A">
      <w:pPr>
        <w:numPr>
          <w:ilvl w:val="0"/>
          <w:numId w:val="8"/>
        </w:numPr>
        <w:tabs>
          <w:tab w:val="left" w:pos="360"/>
        </w:tabs>
        <w:snapToGrid w:val="0"/>
        <w:spacing w:line="360" w:lineRule="auto"/>
        <w:ind w:left="357" w:hanging="357"/>
        <w:outlineLvl w:val="1"/>
        <w:rPr>
          <w:rFonts w:eastAsiaTheme="minorEastAsia"/>
          <w:sz w:val="24"/>
        </w:rPr>
      </w:pPr>
      <w:bookmarkStart w:id="269" w:name="_Toc150774735"/>
      <w:bookmarkStart w:id="270" w:name="_Toc127151731"/>
      <w:bookmarkStart w:id="271" w:name="_Toc151193844"/>
      <w:bookmarkStart w:id="272" w:name="_Toc151193772"/>
      <w:bookmarkStart w:id="273" w:name="_Toc151193700"/>
      <w:bookmarkStart w:id="274" w:name="_Toc151193628"/>
      <w:bookmarkStart w:id="275" w:name="_Toc164608799"/>
      <w:bookmarkStart w:id="276" w:name="_Toc164229225"/>
      <w:bookmarkStart w:id="277" w:name="_Toc149720823"/>
      <w:bookmarkStart w:id="278" w:name="_Toc195842895"/>
      <w:bookmarkStart w:id="279" w:name="_Toc520356155"/>
      <w:bookmarkStart w:id="280" w:name="_Toc150480768"/>
      <w:bookmarkStart w:id="281" w:name="_Toc142311032"/>
      <w:bookmarkStart w:id="282" w:name="_Toc150509281"/>
      <w:bookmarkStart w:id="283" w:name="_Toc127161444"/>
      <w:bookmarkStart w:id="284" w:name="_Toc164351624"/>
      <w:bookmarkStart w:id="285" w:name="_Toc127151530"/>
      <w:bookmarkStart w:id="286" w:name="_Toc151193918"/>
      <w:bookmarkStart w:id="287" w:name="_Toc150774630"/>
      <w:bookmarkStart w:id="288" w:name="_Toc164608644"/>
      <w:bookmarkStart w:id="289" w:name="_Toc164229371"/>
      <w:bookmarkStart w:id="290" w:name="_Toc151190157"/>
      <w:r>
        <w:rPr>
          <w:rFonts w:eastAsiaTheme="minorEastAsia"/>
          <w:sz w:val="24"/>
        </w:rPr>
        <w:t>报价</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14:paraId="2EF58B23">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所有响应均以人民币</w:t>
      </w:r>
      <w:r>
        <w:rPr>
          <w:rFonts w:hint="eastAsia" w:eastAsiaTheme="minorEastAsia"/>
          <w:sz w:val="24"/>
        </w:rPr>
        <w:t>为计价货币</w:t>
      </w:r>
      <w:r>
        <w:rPr>
          <w:rFonts w:eastAsiaTheme="minorEastAsia"/>
          <w:sz w:val="24"/>
        </w:rPr>
        <w:t>。</w:t>
      </w:r>
    </w:p>
    <w:p w14:paraId="4CCF3D54">
      <w:pPr>
        <w:numPr>
          <w:ilvl w:val="1"/>
          <w:numId w:val="8"/>
        </w:numPr>
        <w:tabs>
          <w:tab w:val="left" w:pos="1080"/>
        </w:tabs>
        <w:snapToGrid w:val="0"/>
        <w:spacing w:line="360" w:lineRule="auto"/>
        <w:rPr>
          <w:rFonts w:eastAsiaTheme="minorEastAsia"/>
          <w:sz w:val="24"/>
        </w:rPr>
      </w:pPr>
      <w:r>
        <w:rPr>
          <w:rFonts w:eastAsiaTheme="minorEastAsia"/>
          <w:sz w:val="24"/>
        </w:rPr>
        <w:t>供应商的报价应包括为完成本项目所发生的一切费用和税费，采购人将不再支付报价以外的任何费用。供应商的报价应包括但不限于下列内容，《供应商须知资料表》中有特殊规定的，从其规定。</w:t>
      </w:r>
    </w:p>
    <w:p w14:paraId="49822A3B">
      <w:pPr>
        <w:numPr>
          <w:ilvl w:val="2"/>
          <w:numId w:val="8"/>
        </w:numPr>
        <w:snapToGrid w:val="0"/>
        <w:spacing w:line="360" w:lineRule="auto"/>
        <w:rPr>
          <w:rFonts w:eastAsiaTheme="minorEastAsia"/>
          <w:sz w:val="24"/>
        </w:rPr>
      </w:pPr>
      <w:r>
        <w:rPr>
          <w:rFonts w:eastAsiaTheme="minorEastAsia"/>
          <w:sz w:val="24"/>
        </w:rPr>
        <w:t>响应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16853C66">
      <w:pPr>
        <w:numPr>
          <w:ilvl w:val="2"/>
          <w:numId w:val="8"/>
        </w:numPr>
        <w:snapToGrid w:val="0"/>
        <w:spacing w:line="360" w:lineRule="auto"/>
        <w:rPr>
          <w:rFonts w:eastAsiaTheme="minorEastAsia"/>
          <w:sz w:val="24"/>
        </w:rPr>
      </w:pPr>
      <w:r>
        <w:rPr>
          <w:rFonts w:eastAsiaTheme="minorEastAsia"/>
          <w:sz w:val="24"/>
        </w:rPr>
        <w:t>按照竞争性磋商文件要求完成本项目的全部相关费用。</w:t>
      </w:r>
    </w:p>
    <w:p w14:paraId="2F705E82">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采购人不得向供应商索要或者接受其给予的赠品、回扣或者与采购无关的其他商品、服务。</w:t>
      </w:r>
    </w:p>
    <w:p w14:paraId="565155F2">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供应商不能提供任何有选择性或可调整的最后报价（</w:t>
      </w:r>
      <w:r>
        <w:rPr>
          <w:rFonts w:eastAsiaTheme="minorEastAsia"/>
          <w:color w:val="000000"/>
          <w:kern w:val="0"/>
          <w:sz w:val="24"/>
        </w:rPr>
        <w:t>竞争性磋商文件</w:t>
      </w:r>
      <w:r>
        <w:rPr>
          <w:rFonts w:eastAsiaTheme="minorEastAsia"/>
          <w:sz w:val="24"/>
        </w:rPr>
        <w:t>另有规定的除外），否则其</w:t>
      </w:r>
      <w:r>
        <w:rPr>
          <w:rFonts w:eastAsiaTheme="minorEastAsia"/>
          <w:b/>
          <w:sz w:val="24"/>
        </w:rPr>
        <w:t>响应无效</w:t>
      </w:r>
      <w:r>
        <w:rPr>
          <w:rFonts w:eastAsiaTheme="minorEastAsia"/>
          <w:sz w:val="24"/>
        </w:rPr>
        <w:t>。</w:t>
      </w:r>
    </w:p>
    <w:p w14:paraId="4F02A162">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磋商保证金</w:t>
      </w:r>
    </w:p>
    <w:p w14:paraId="5665209F">
      <w:pPr>
        <w:numPr>
          <w:ilvl w:val="1"/>
          <w:numId w:val="8"/>
        </w:numPr>
        <w:tabs>
          <w:tab w:val="left" w:pos="1080"/>
          <w:tab w:val="left" w:pos="2014"/>
        </w:tabs>
        <w:snapToGrid w:val="0"/>
        <w:spacing w:line="360" w:lineRule="auto"/>
        <w:ind w:left="1077" w:hanging="720"/>
        <w:rPr>
          <w:rFonts w:eastAsiaTheme="minorEastAsia"/>
          <w:sz w:val="24"/>
        </w:rPr>
      </w:pPr>
      <w:bookmarkStart w:id="291" w:name="_Ref467306302"/>
      <w:r>
        <w:rPr>
          <w:rFonts w:eastAsiaTheme="minorEastAsia"/>
          <w:sz w:val="24"/>
        </w:rPr>
        <w:t>供应商应按《供应商须知资料表》中规定的金额及要求交纳磋商保证金</w:t>
      </w:r>
      <w:bookmarkEnd w:id="291"/>
      <w:r>
        <w:rPr>
          <w:rFonts w:eastAsiaTheme="minorEastAsia"/>
          <w:sz w:val="24"/>
        </w:rPr>
        <w:t>。</w:t>
      </w:r>
      <w:r>
        <w:rPr>
          <w:rFonts w:hint="eastAsia" w:eastAsiaTheme="minorEastAsia"/>
          <w:sz w:val="24"/>
        </w:rPr>
        <w:t>供应商自愿超额缴纳磋商保证金的，响应文件不做无效处理。</w:t>
      </w:r>
    </w:p>
    <w:p w14:paraId="6D7C179B">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交纳磋商保证金可采用的形式：政府采购法律法规接受的支票、汇票、本票、网上银行支付或者金融机构、担保机构出具的保函等非现金形式。</w:t>
      </w:r>
    </w:p>
    <w:p w14:paraId="68DD4132">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磋商保证金到账（保函提交）截止时间同首次响应文件提交截止时间。以支票、汇票、本票、</w:t>
      </w:r>
      <w:r>
        <w:rPr>
          <w:sz w:val="24"/>
        </w:rPr>
        <w:t>网上银行支付</w:t>
      </w:r>
      <w:r>
        <w:rPr>
          <w:rFonts w:eastAsiaTheme="minorEastAsia"/>
          <w:sz w:val="24"/>
        </w:rPr>
        <w:t>等形式提交磋商保证金的，应在首次响应文件提交截止时间前到账；</w:t>
      </w:r>
      <w:r>
        <w:rPr>
          <w:sz w:val="24"/>
        </w:rPr>
        <w:t>以金融机构、担保机构出具的</w:t>
      </w:r>
      <w:r>
        <w:rPr>
          <w:rFonts w:hint="eastAsia"/>
          <w:sz w:val="24"/>
        </w:rPr>
        <w:t>纸质</w:t>
      </w:r>
      <w:r>
        <w:rPr>
          <w:sz w:val="24"/>
        </w:rPr>
        <w:t>保函等形式提交磋商保证金的，应在</w:t>
      </w:r>
      <w:r>
        <w:rPr>
          <w:rFonts w:eastAsiaTheme="minorEastAsia"/>
          <w:sz w:val="24"/>
        </w:rPr>
        <w:t>首次响应文件提交</w:t>
      </w:r>
      <w:r>
        <w:rPr>
          <w:sz w:val="24"/>
        </w:rPr>
        <w:t>截止时间前</w:t>
      </w:r>
      <w:r>
        <w:rPr>
          <w:rFonts w:eastAsiaTheme="minorEastAsia"/>
          <w:sz w:val="24"/>
        </w:rPr>
        <w:t>将原件提交至采购代理机构；</w:t>
      </w:r>
      <w:bookmarkStart w:id="292" w:name="_Hlk164959831"/>
      <w:r>
        <w:rPr>
          <w:rFonts w:hint="eastAsia"/>
          <w:sz w:val="24"/>
        </w:rPr>
        <w:t>以电子保函形式提交磋商保证金的，应在</w:t>
      </w:r>
      <w:r>
        <w:rPr>
          <w:sz w:val="24"/>
        </w:rPr>
        <w:t>首次响应文件提交截止时间前</w:t>
      </w:r>
      <w:r>
        <w:rPr>
          <w:rFonts w:hint="eastAsia"/>
          <w:sz w:val="24"/>
        </w:rPr>
        <w:t>通过</w:t>
      </w:r>
      <w:r>
        <w:rPr>
          <w:sz w:val="24"/>
          <w:lang w:bidi="ar"/>
        </w:rPr>
        <w:t>北京市政府采购电子交易平台</w:t>
      </w:r>
      <w:r>
        <w:rPr>
          <w:rFonts w:hint="eastAsia"/>
          <w:sz w:val="24"/>
          <w:lang w:bidi="ar"/>
        </w:rPr>
        <w:t>完成电子保函在线办理。</w:t>
      </w:r>
      <w:bookmarkEnd w:id="292"/>
      <w:r>
        <w:rPr>
          <w:rFonts w:hint="eastAsia"/>
          <w:sz w:val="24"/>
        </w:rPr>
        <w:t>未按上述要求缴纳保证金的</w:t>
      </w:r>
      <w:r>
        <w:rPr>
          <w:rFonts w:eastAsiaTheme="minorEastAsia"/>
          <w:sz w:val="24"/>
        </w:rPr>
        <w:t>，其</w:t>
      </w:r>
      <w:r>
        <w:rPr>
          <w:rFonts w:eastAsiaTheme="minorEastAsia"/>
          <w:b/>
          <w:sz w:val="24"/>
        </w:rPr>
        <w:t>响应无效</w:t>
      </w:r>
      <w:r>
        <w:rPr>
          <w:rFonts w:eastAsiaTheme="minorEastAsia"/>
          <w:sz w:val="24"/>
        </w:rPr>
        <w:t>。</w:t>
      </w:r>
    </w:p>
    <w:p w14:paraId="428A1E86">
      <w:pPr>
        <w:numPr>
          <w:ilvl w:val="1"/>
          <w:numId w:val="8"/>
        </w:numPr>
        <w:tabs>
          <w:tab w:val="left" w:pos="1080"/>
          <w:tab w:val="left" w:pos="2014"/>
        </w:tabs>
        <w:snapToGrid w:val="0"/>
        <w:spacing w:line="360" w:lineRule="auto"/>
        <w:ind w:left="1077" w:hanging="720"/>
        <w:rPr>
          <w:sz w:val="24"/>
        </w:rPr>
      </w:pPr>
      <w:bookmarkStart w:id="293" w:name="_Hlk168432698"/>
      <w:r>
        <w:rPr>
          <w:rFonts w:hint="eastAsia"/>
          <w:sz w:val="24"/>
        </w:rPr>
        <w:t>供应商</w:t>
      </w:r>
      <w:r>
        <w:rPr>
          <w:color w:val="000000"/>
          <w:sz w:val="24"/>
        </w:rPr>
        <w:t>除</w:t>
      </w:r>
      <w:r>
        <w:rPr>
          <w:rFonts w:hint="eastAsia"/>
          <w:color w:val="000000"/>
          <w:sz w:val="24"/>
        </w:rPr>
        <w:t>需在响应</w:t>
      </w:r>
      <w:r>
        <w:rPr>
          <w:color w:val="000000"/>
          <w:sz w:val="24"/>
        </w:rPr>
        <w:t>文件中</w:t>
      </w:r>
      <w:r>
        <w:rPr>
          <w:rFonts w:hint="eastAsia"/>
          <w:color w:val="000000"/>
          <w:sz w:val="24"/>
        </w:rPr>
        <w:t>提供“</w:t>
      </w:r>
      <w:r>
        <w:rPr>
          <w:rFonts w:hint="eastAsia"/>
          <w:color w:val="000000"/>
          <w:sz w:val="24"/>
          <w:szCs w:val="20"/>
        </w:rPr>
        <w:t>磋商</w:t>
      </w:r>
      <w:r>
        <w:rPr>
          <w:color w:val="000000"/>
          <w:sz w:val="24"/>
          <w:szCs w:val="20"/>
        </w:rPr>
        <w:t>保证金凭证/交款单据电子件</w:t>
      </w:r>
      <w:r>
        <w:rPr>
          <w:rFonts w:hint="eastAsia"/>
          <w:color w:val="000000"/>
          <w:sz w:val="24"/>
        </w:rPr>
        <w:t>”</w:t>
      </w:r>
      <w:r>
        <w:rPr>
          <w:color w:val="000000"/>
          <w:sz w:val="24"/>
        </w:rPr>
        <w:t>，</w:t>
      </w:r>
      <w:r>
        <w:rPr>
          <w:rFonts w:hint="eastAsia"/>
          <w:sz w:val="24"/>
        </w:rPr>
        <w:t>还需在</w:t>
      </w:r>
      <w:r>
        <w:rPr>
          <w:sz w:val="24"/>
        </w:rPr>
        <w:t>首次响应文件提交截止时间</w:t>
      </w:r>
      <w:r>
        <w:rPr>
          <w:rFonts w:hint="eastAsia"/>
          <w:sz w:val="24"/>
        </w:rPr>
        <w:t>前，通过电子交易平台上传“</w:t>
      </w:r>
      <w:r>
        <w:rPr>
          <w:rFonts w:hint="eastAsia"/>
          <w:color w:val="000000"/>
          <w:sz w:val="24"/>
          <w:szCs w:val="20"/>
        </w:rPr>
        <w:t>磋商</w:t>
      </w:r>
      <w:r>
        <w:rPr>
          <w:color w:val="000000"/>
          <w:sz w:val="24"/>
          <w:szCs w:val="20"/>
        </w:rPr>
        <w:t>保证金凭证/交款单据电子件</w:t>
      </w:r>
      <w:r>
        <w:rPr>
          <w:rFonts w:hint="eastAsia"/>
          <w:sz w:val="24"/>
        </w:rPr>
        <w:t>”。</w:t>
      </w:r>
    </w:p>
    <w:bookmarkEnd w:id="293"/>
    <w:p w14:paraId="2C9864AB">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磋商保证金有效期同响应有效期。</w:t>
      </w:r>
    </w:p>
    <w:p w14:paraId="19B6886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供应商为联合体的，可以由联合体中的一方或者多方共同交纳磋商保证金，其交纳的保证金对联合体各方均具有约束力。</w:t>
      </w:r>
    </w:p>
    <w:p w14:paraId="67288F65">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采购人、采购代理机构将及时退还供应商的保证金，采用银行保函、担保机构担保函等形式递交的保证金，经供应商同意后采购人、采购代理机构可以不再退还，但因供应商自身原因导致无法及时退还的除外：</w:t>
      </w:r>
    </w:p>
    <w:p w14:paraId="1ACF8D25">
      <w:pPr>
        <w:numPr>
          <w:ilvl w:val="2"/>
          <w:numId w:val="8"/>
        </w:numPr>
        <w:snapToGrid w:val="0"/>
        <w:spacing w:line="360" w:lineRule="auto"/>
        <w:rPr>
          <w:rFonts w:eastAsiaTheme="minorEastAsia"/>
          <w:sz w:val="24"/>
        </w:rPr>
      </w:pPr>
      <w:r>
        <w:rPr>
          <w:rFonts w:eastAsiaTheme="minorEastAsia"/>
          <w:snapToGrid w:val="0"/>
          <w:kern w:val="0"/>
          <w:sz w:val="24"/>
        </w:rPr>
        <w:t>已提交响应文件的供应商，在提交最后报价之前，可以根据磋商情况退出磋商。采购人、采购代理机构将退还退出磋商的供应商的磋商保证金；</w:t>
      </w:r>
    </w:p>
    <w:p w14:paraId="34659ABC">
      <w:pPr>
        <w:numPr>
          <w:ilvl w:val="2"/>
          <w:numId w:val="8"/>
        </w:numPr>
        <w:snapToGrid w:val="0"/>
        <w:spacing w:line="360" w:lineRule="auto"/>
        <w:rPr>
          <w:rFonts w:eastAsiaTheme="minorEastAsia"/>
          <w:sz w:val="24"/>
        </w:rPr>
      </w:pPr>
      <w:r>
        <w:rPr>
          <w:rFonts w:eastAsiaTheme="minorEastAsia"/>
          <w:sz w:val="24"/>
        </w:rPr>
        <w:t>成交供应商的磋商保证金，在采购合同签订后5个工作日内退还成交供应商；</w:t>
      </w:r>
    </w:p>
    <w:p w14:paraId="3F588EFF">
      <w:pPr>
        <w:numPr>
          <w:ilvl w:val="2"/>
          <w:numId w:val="8"/>
        </w:numPr>
        <w:snapToGrid w:val="0"/>
        <w:spacing w:line="360" w:lineRule="auto"/>
        <w:rPr>
          <w:rFonts w:eastAsiaTheme="minorEastAsia"/>
          <w:sz w:val="24"/>
        </w:rPr>
      </w:pPr>
      <w:r>
        <w:rPr>
          <w:rFonts w:eastAsiaTheme="minorEastAsia"/>
          <w:sz w:val="24"/>
        </w:rPr>
        <w:t>未成交供应商的磋商保证金，在成交通知书发出后5个工作日内退还。</w:t>
      </w:r>
    </w:p>
    <w:p w14:paraId="09A6E962">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有下列情形之一的，采购人或采购代理机构不予退还磋商保证金：</w:t>
      </w:r>
    </w:p>
    <w:p w14:paraId="1FE81870">
      <w:pPr>
        <w:numPr>
          <w:ilvl w:val="2"/>
          <w:numId w:val="8"/>
        </w:numPr>
        <w:snapToGrid w:val="0"/>
        <w:spacing w:line="360" w:lineRule="auto"/>
        <w:rPr>
          <w:rFonts w:eastAsiaTheme="minorEastAsia"/>
          <w:sz w:val="24"/>
        </w:rPr>
      </w:pPr>
      <w:r>
        <w:rPr>
          <w:rFonts w:eastAsiaTheme="minorEastAsia"/>
          <w:sz w:val="24"/>
        </w:rPr>
        <w:t>供应商在响应文件提交截止时间后撤回响应文件的；</w:t>
      </w:r>
    </w:p>
    <w:p w14:paraId="0BFD6DA5">
      <w:pPr>
        <w:numPr>
          <w:ilvl w:val="2"/>
          <w:numId w:val="8"/>
        </w:numPr>
        <w:snapToGrid w:val="0"/>
        <w:spacing w:line="360" w:lineRule="auto"/>
        <w:rPr>
          <w:rFonts w:eastAsiaTheme="minorEastAsia"/>
          <w:sz w:val="24"/>
        </w:rPr>
      </w:pPr>
      <w:r>
        <w:rPr>
          <w:rFonts w:eastAsiaTheme="minorEastAsia"/>
          <w:sz w:val="24"/>
        </w:rPr>
        <w:t>供应商在响应文件中提供虚假材料的；</w:t>
      </w:r>
    </w:p>
    <w:p w14:paraId="719574D9">
      <w:pPr>
        <w:numPr>
          <w:ilvl w:val="2"/>
          <w:numId w:val="8"/>
        </w:numPr>
        <w:snapToGrid w:val="0"/>
        <w:spacing w:line="360" w:lineRule="auto"/>
        <w:rPr>
          <w:rFonts w:eastAsiaTheme="minorEastAsia"/>
          <w:sz w:val="24"/>
        </w:rPr>
      </w:pPr>
      <w:r>
        <w:rPr>
          <w:rFonts w:eastAsiaTheme="minorEastAsia"/>
          <w:sz w:val="24"/>
        </w:rPr>
        <w:t>除因不可抗力或磋商文件认可的情形以外，成交供应商不与采购人签订合同的；</w:t>
      </w:r>
    </w:p>
    <w:p w14:paraId="4627BB15">
      <w:pPr>
        <w:numPr>
          <w:ilvl w:val="2"/>
          <w:numId w:val="8"/>
        </w:numPr>
        <w:snapToGrid w:val="0"/>
        <w:spacing w:line="360" w:lineRule="auto"/>
        <w:rPr>
          <w:rFonts w:eastAsiaTheme="minorEastAsia"/>
          <w:sz w:val="24"/>
        </w:rPr>
      </w:pPr>
      <w:r>
        <w:rPr>
          <w:rFonts w:eastAsiaTheme="minorEastAsia"/>
          <w:sz w:val="24"/>
        </w:rPr>
        <w:t>供应商与采购人、其他供应商或者采购代理机构恶意串通的；</w:t>
      </w:r>
    </w:p>
    <w:p w14:paraId="243F3FBB">
      <w:pPr>
        <w:numPr>
          <w:ilvl w:val="2"/>
          <w:numId w:val="8"/>
        </w:numPr>
        <w:snapToGrid w:val="0"/>
        <w:spacing w:line="360" w:lineRule="auto"/>
        <w:rPr>
          <w:rFonts w:eastAsiaTheme="minorEastAsia"/>
          <w:sz w:val="24"/>
        </w:rPr>
      </w:pPr>
      <w:r>
        <w:rPr>
          <w:rFonts w:eastAsiaTheme="minorEastAsia"/>
          <w:sz w:val="24"/>
        </w:rPr>
        <w:t>《供应商须知资料表》规定的其他情形。</w:t>
      </w:r>
    </w:p>
    <w:p w14:paraId="00F4DDFB">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响应有效期</w:t>
      </w:r>
    </w:p>
    <w:p w14:paraId="17C3F9DD">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响应文件应在本竞争性磋商文件《供应商须知资料表》中规定的响应有效期内保持有效，响应有效期少于竞争性磋商文件规定期限的，其</w:t>
      </w:r>
      <w:r>
        <w:rPr>
          <w:rFonts w:eastAsiaTheme="minorEastAsia"/>
          <w:b/>
          <w:sz w:val="24"/>
        </w:rPr>
        <w:t>响应无效</w:t>
      </w:r>
      <w:r>
        <w:rPr>
          <w:rFonts w:eastAsiaTheme="minorEastAsia"/>
          <w:sz w:val="24"/>
        </w:rPr>
        <w:t>。</w:t>
      </w:r>
    </w:p>
    <w:p w14:paraId="3D451F21">
      <w:pPr>
        <w:numPr>
          <w:ilvl w:val="0"/>
          <w:numId w:val="8"/>
        </w:numPr>
        <w:tabs>
          <w:tab w:val="left" w:pos="360"/>
        </w:tabs>
        <w:snapToGrid w:val="0"/>
        <w:spacing w:line="360" w:lineRule="auto"/>
        <w:ind w:left="357" w:hanging="357"/>
        <w:outlineLvl w:val="1"/>
        <w:rPr>
          <w:rFonts w:eastAsiaTheme="minorEastAsia"/>
          <w:sz w:val="24"/>
        </w:rPr>
      </w:pPr>
      <w:bookmarkStart w:id="294" w:name="_Toc226965806"/>
      <w:bookmarkStart w:id="295" w:name="_Toc164608802"/>
      <w:bookmarkStart w:id="296" w:name="_Toc151193775"/>
      <w:bookmarkStart w:id="297" w:name="_Toc127151533"/>
      <w:bookmarkStart w:id="298" w:name="_Toc226309777"/>
      <w:bookmarkStart w:id="299" w:name="_Toc520356158"/>
      <w:bookmarkStart w:id="300" w:name="_Toc265228371"/>
      <w:bookmarkStart w:id="301" w:name="_Toc226965723"/>
      <w:bookmarkStart w:id="302" w:name="_Toc127151734"/>
      <w:bookmarkStart w:id="303" w:name="_Toc151190160"/>
      <w:bookmarkStart w:id="304" w:name="_Toc151193703"/>
      <w:bookmarkStart w:id="305" w:name="_Toc150774633"/>
      <w:bookmarkStart w:id="306" w:name="_Toc142311035"/>
      <w:bookmarkStart w:id="307" w:name="_Toc164229228"/>
      <w:bookmarkStart w:id="308" w:name="_Toc151193921"/>
      <w:bookmarkStart w:id="309" w:name="_Toc151193631"/>
      <w:bookmarkStart w:id="310" w:name="_Toc164229374"/>
      <w:bookmarkStart w:id="311" w:name="_Toc164351627"/>
      <w:bookmarkStart w:id="312" w:name="_Toc264969223"/>
      <w:bookmarkStart w:id="313" w:name="_Toc151193847"/>
      <w:bookmarkStart w:id="314" w:name="_Toc150774738"/>
      <w:bookmarkStart w:id="315" w:name="_Toc305158801"/>
      <w:bookmarkStart w:id="316" w:name="_Toc150509284"/>
      <w:bookmarkStart w:id="317" w:name="_Toc150480771"/>
      <w:bookmarkStart w:id="318" w:name="_Toc305158875"/>
      <w:bookmarkStart w:id="319" w:name="_Toc195842898"/>
      <w:bookmarkStart w:id="320" w:name="_Toc149720826"/>
      <w:bookmarkStart w:id="321" w:name="_Toc226337229"/>
      <w:bookmarkStart w:id="322" w:name="_Toc127161447"/>
      <w:bookmarkStart w:id="323" w:name="_Toc164608647"/>
      <w:r>
        <w:rPr>
          <w:rFonts w:eastAsiaTheme="minorEastAsia"/>
          <w:sz w:val="24"/>
        </w:rPr>
        <w:t>响应文件的签署</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rPr>
          <w:rFonts w:eastAsiaTheme="minorEastAsia"/>
          <w:sz w:val="24"/>
        </w:rPr>
        <w:t>、盖章</w:t>
      </w:r>
    </w:p>
    <w:p w14:paraId="6B4730AD">
      <w:pPr>
        <w:numPr>
          <w:ilvl w:val="1"/>
          <w:numId w:val="8"/>
        </w:numPr>
        <w:tabs>
          <w:tab w:val="left" w:pos="1080"/>
        </w:tabs>
        <w:snapToGrid w:val="0"/>
        <w:spacing w:line="360" w:lineRule="auto"/>
        <w:rPr>
          <w:rFonts w:eastAsiaTheme="minorEastAsia"/>
          <w:sz w:val="24"/>
        </w:rPr>
      </w:pPr>
      <w:bookmarkStart w:id="324" w:name="_Toc151190161"/>
      <w:bookmarkStart w:id="325" w:name="_Toc151193632"/>
      <w:bookmarkStart w:id="326" w:name="_Toc150480772"/>
      <w:bookmarkStart w:id="327" w:name="_Toc305158876"/>
      <w:bookmarkStart w:id="328" w:name="_Toc226965807"/>
      <w:bookmarkStart w:id="329" w:name="_Toc226337230"/>
      <w:bookmarkStart w:id="330" w:name="_Toc151193776"/>
      <w:bookmarkStart w:id="331" w:name="_Toc305158802"/>
      <w:bookmarkStart w:id="332" w:name="_Toc195842899"/>
      <w:bookmarkStart w:id="333" w:name="_Toc127151534"/>
      <w:bookmarkStart w:id="334" w:name="_Toc265228372"/>
      <w:bookmarkStart w:id="335" w:name="_Toc151193848"/>
      <w:bookmarkStart w:id="336" w:name="_Toc151193704"/>
      <w:bookmarkStart w:id="337" w:name="_Toc264969224"/>
      <w:bookmarkStart w:id="338" w:name="_Toc520356159"/>
      <w:bookmarkStart w:id="339" w:name="_Toc150509285"/>
      <w:bookmarkStart w:id="340" w:name="_Toc142311036"/>
      <w:bookmarkStart w:id="341" w:name="_Toc150774634"/>
      <w:bookmarkStart w:id="342" w:name="_Toc150774739"/>
      <w:bookmarkStart w:id="343" w:name="_Toc151193922"/>
      <w:bookmarkStart w:id="344" w:name="_Toc226309778"/>
      <w:bookmarkStart w:id="345" w:name="_Toc226965724"/>
      <w:r>
        <w:rPr>
          <w:rFonts w:eastAsiaTheme="minorEastAsia"/>
          <w:sz w:val="24"/>
        </w:rPr>
        <w:t>竞争性磋商文件要求签字的内容（如授权委托书等），可以使用电子签章或使用原件的电子件（电子件指扫描件、照片等形式电子文件）；要求第三方出具的盖章件原件（如联合协议、分包意向协议、制造商授权书等），响应文件中应使用原件的电子件。</w:t>
      </w:r>
    </w:p>
    <w:p w14:paraId="6A64E247">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竞争性磋商文件要求盖章的内容，一般通过投标文件编制工具加盖电子签章。</w:t>
      </w:r>
    </w:p>
    <w:p w14:paraId="6417FE58">
      <w:pPr>
        <w:tabs>
          <w:tab w:val="left" w:pos="900"/>
          <w:tab w:val="left" w:pos="1080"/>
        </w:tabs>
        <w:snapToGrid w:val="0"/>
        <w:spacing w:line="360" w:lineRule="auto"/>
        <w:ind w:left="357"/>
        <w:rPr>
          <w:rFonts w:eastAsiaTheme="minorEastAsia"/>
        </w:rPr>
      </w:pPr>
    </w:p>
    <w:p w14:paraId="0B53BD5B">
      <w:pPr>
        <w:pStyle w:val="3"/>
        <w:spacing w:before="0" w:line="360" w:lineRule="auto"/>
        <w:rPr>
          <w:rFonts w:ascii="Times New Roman" w:hAnsi="Times New Roman" w:eastAsiaTheme="minorEastAsia"/>
          <w:sz w:val="28"/>
        </w:rPr>
      </w:pPr>
      <w:r>
        <w:rPr>
          <w:rFonts w:ascii="Times New Roman" w:hAnsi="Times New Roman" w:eastAsiaTheme="minorEastAsia"/>
          <w:sz w:val="28"/>
        </w:rPr>
        <w:t>四   响应文件的提交</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14:paraId="4B601055">
      <w:pPr>
        <w:numPr>
          <w:ilvl w:val="0"/>
          <w:numId w:val="8"/>
        </w:numPr>
        <w:tabs>
          <w:tab w:val="left" w:pos="360"/>
        </w:tabs>
        <w:snapToGrid w:val="0"/>
        <w:spacing w:line="360" w:lineRule="auto"/>
        <w:ind w:left="357" w:hanging="357"/>
        <w:outlineLvl w:val="1"/>
        <w:rPr>
          <w:rFonts w:eastAsiaTheme="minorEastAsia"/>
          <w:sz w:val="24"/>
        </w:rPr>
      </w:pPr>
      <w:bookmarkStart w:id="346" w:name="_Toc305158803"/>
      <w:bookmarkStart w:id="347" w:name="_Toc195842900"/>
      <w:bookmarkStart w:id="348" w:name="_Toc150480773"/>
      <w:bookmarkStart w:id="349" w:name="_Toc164229230"/>
      <w:bookmarkStart w:id="350" w:name="_Toc226309779"/>
      <w:bookmarkStart w:id="351" w:name="_Toc520356160"/>
      <w:bookmarkStart w:id="352" w:name="_Toc142311037"/>
      <w:bookmarkStart w:id="353" w:name="_Toc151193777"/>
      <w:bookmarkStart w:id="354" w:name="_Toc149720828"/>
      <w:bookmarkStart w:id="355" w:name="_Toc127161449"/>
      <w:bookmarkStart w:id="356" w:name="_Toc151193849"/>
      <w:bookmarkStart w:id="357" w:name="_Toc150774635"/>
      <w:bookmarkStart w:id="358" w:name="_Toc151193633"/>
      <w:bookmarkStart w:id="359" w:name="_Toc164608649"/>
      <w:bookmarkStart w:id="360" w:name="_Toc226337231"/>
      <w:bookmarkStart w:id="361" w:name="_Toc151193923"/>
      <w:bookmarkStart w:id="362" w:name="_Toc305158877"/>
      <w:bookmarkStart w:id="363" w:name="_Toc127151736"/>
      <w:bookmarkStart w:id="364" w:name="_Toc151193705"/>
      <w:bookmarkStart w:id="365" w:name="_Toc264969225"/>
      <w:bookmarkStart w:id="366" w:name="_Toc265228373"/>
      <w:bookmarkStart w:id="367" w:name="_Toc164229376"/>
      <w:bookmarkStart w:id="368" w:name="_Toc150509286"/>
      <w:bookmarkStart w:id="369" w:name="_Toc127151535"/>
      <w:bookmarkStart w:id="370" w:name="_Toc226965725"/>
      <w:bookmarkStart w:id="371" w:name="_Toc164351629"/>
      <w:bookmarkStart w:id="372" w:name="_Toc226965808"/>
      <w:bookmarkStart w:id="373" w:name="_Toc151190162"/>
      <w:bookmarkStart w:id="374" w:name="_Toc150774740"/>
      <w:bookmarkStart w:id="375" w:name="_Toc164608804"/>
      <w:r>
        <w:rPr>
          <w:rFonts w:eastAsiaTheme="minorEastAsia"/>
          <w:sz w:val="24"/>
        </w:rPr>
        <w:t>响应文件的</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Pr>
          <w:rFonts w:eastAsiaTheme="minorEastAsia"/>
          <w:sz w:val="24"/>
        </w:rPr>
        <w:t>提交</w:t>
      </w:r>
    </w:p>
    <w:p w14:paraId="53C1B003">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本项目使用北京市政府采购电子交易平台。供应商根据竞争性磋商文件及电子交易平台供应商操作手册要求编制、生成并提交电子响应文件。</w:t>
      </w:r>
    </w:p>
    <w:p w14:paraId="3D79F685">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采购人及采购代理机构拒绝接受通过电子交易平台以外任何形式提交的</w:t>
      </w:r>
      <w:r>
        <w:rPr>
          <w:rFonts w:hint="eastAsia" w:eastAsiaTheme="minorEastAsia"/>
          <w:sz w:val="24"/>
        </w:rPr>
        <w:t>首次</w:t>
      </w:r>
      <w:r>
        <w:rPr>
          <w:rFonts w:eastAsiaTheme="minorEastAsia"/>
          <w:sz w:val="24"/>
        </w:rPr>
        <w:t>响应文件，磋商保证金除外。</w:t>
      </w:r>
    </w:p>
    <w:p w14:paraId="1FDB1007">
      <w:pPr>
        <w:numPr>
          <w:ilvl w:val="0"/>
          <w:numId w:val="8"/>
        </w:numPr>
        <w:tabs>
          <w:tab w:val="left" w:pos="360"/>
        </w:tabs>
        <w:snapToGrid w:val="0"/>
        <w:spacing w:line="360" w:lineRule="auto"/>
        <w:ind w:left="357" w:hanging="357"/>
        <w:outlineLvl w:val="1"/>
        <w:rPr>
          <w:rFonts w:eastAsiaTheme="minorEastAsia"/>
          <w:sz w:val="24"/>
        </w:rPr>
      </w:pPr>
      <w:bookmarkStart w:id="376" w:name="_Toc164608805"/>
      <w:bookmarkStart w:id="377" w:name="_Toc149720829"/>
      <w:bookmarkStart w:id="378" w:name="_Toc520356161"/>
      <w:bookmarkStart w:id="379" w:name="_Toc127151536"/>
      <w:bookmarkStart w:id="380" w:name="_Toc127161450"/>
      <w:bookmarkStart w:id="381" w:name="_Toc305158878"/>
      <w:bookmarkStart w:id="382" w:name="_Toc226965809"/>
      <w:bookmarkStart w:id="383" w:name="_Toc226337232"/>
      <w:bookmarkStart w:id="384" w:name="_Toc151190163"/>
      <w:bookmarkStart w:id="385" w:name="_Toc164229377"/>
      <w:bookmarkStart w:id="386" w:name="_Toc164351630"/>
      <w:bookmarkStart w:id="387" w:name="_Toc305158804"/>
      <w:bookmarkStart w:id="388" w:name="_Toc164229231"/>
      <w:bookmarkStart w:id="389" w:name="_Toc226965726"/>
      <w:bookmarkStart w:id="390" w:name="_Toc151193706"/>
      <w:bookmarkStart w:id="391" w:name="_Toc151193850"/>
      <w:bookmarkStart w:id="392" w:name="_Toc164608650"/>
      <w:bookmarkStart w:id="393" w:name="_Toc195842901"/>
      <w:bookmarkStart w:id="394" w:name="_Toc226309780"/>
      <w:bookmarkStart w:id="395" w:name="_Toc151193778"/>
      <w:bookmarkStart w:id="396" w:name="_Toc150509287"/>
      <w:bookmarkStart w:id="397" w:name="_Toc127151737"/>
      <w:bookmarkStart w:id="398" w:name="_Toc264969226"/>
      <w:bookmarkStart w:id="399" w:name="_Toc151193634"/>
      <w:bookmarkStart w:id="400" w:name="_Toc265228374"/>
      <w:bookmarkStart w:id="401" w:name="_Toc142311038"/>
      <w:bookmarkStart w:id="402" w:name="_Toc151193924"/>
      <w:bookmarkStart w:id="403" w:name="_Toc150480774"/>
      <w:bookmarkStart w:id="404" w:name="_Toc150774636"/>
      <w:bookmarkStart w:id="405" w:name="_Toc150774741"/>
      <w:r>
        <w:rPr>
          <w:rFonts w:eastAsiaTheme="minorEastAsia"/>
          <w:sz w:val="24"/>
        </w:rPr>
        <w:t>响应文件提交截止</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rFonts w:eastAsiaTheme="minorEastAsia"/>
          <w:sz w:val="24"/>
        </w:rPr>
        <w:t>时间</w:t>
      </w:r>
    </w:p>
    <w:p w14:paraId="06D99BDD">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供应商应在竞争性磋商文件要求响应文件提交截止时间前，将电子响应文件提交至电子交易平台。</w:t>
      </w:r>
    </w:p>
    <w:p w14:paraId="36B4A91E">
      <w:pPr>
        <w:numPr>
          <w:ilvl w:val="0"/>
          <w:numId w:val="8"/>
        </w:numPr>
        <w:tabs>
          <w:tab w:val="left" w:pos="360"/>
        </w:tabs>
        <w:snapToGrid w:val="0"/>
        <w:spacing w:line="360" w:lineRule="auto"/>
        <w:ind w:left="357" w:hanging="357"/>
        <w:outlineLvl w:val="1"/>
        <w:rPr>
          <w:rFonts w:eastAsiaTheme="minorEastAsia"/>
          <w:sz w:val="24"/>
        </w:rPr>
      </w:pPr>
      <w:bookmarkStart w:id="406" w:name="_Toc127161451"/>
      <w:bookmarkStart w:id="407" w:name="_Toc151190164"/>
      <w:bookmarkStart w:id="408" w:name="_Toc226337233"/>
      <w:bookmarkStart w:id="409" w:name="_Toc127151738"/>
      <w:bookmarkStart w:id="410" w:name="_Toc150480775"/>
      <w:bookmarkStart w:id="411" w:name="_Toc127151537"/>
      <w:bookmarkStart w:id="412" w:name="_Toc305158805"/>
      <w:bookmarkStart w:id="413" w:name="_Toc264969227"/>
      <w:bookmarkStart w:id="414" w:name="_Toc149720830"/>
      <w:bookmarkStart w:id="415" w:name="_Toc164229232"/>
      <w:bookmarkStart w:id="416" w:name="_Toc195842902"/>
      <w:bookmarkStart w:id="417" w:name="_Toc151193779"/>
      <w:bookmarkStart w:id="418" w:name="_Toc226309781"/>
      <w:bookmarkStart w:id="419" w:name="_Toc164229378"/>
      <w:bookmarkStart w:id="420" w:name="_Toc151193851"/>
      <w:bookmarkStart w:id="421" w:name="_Toc150774742"/>
      <w:bookmarkStart w:id="422" w:name="_Toc226965810"/>
      <w:bookmarkStart w:id="423" w:name="_Toc150509288"/>
      <w:bookmarkStart w:id="424" w:name="_Toc164351631"/>
      <w:bookmarkStart w:id="425" w:name="_Toc164608651"/>
      <w:bookmarkStart w:id="426" w:name="_Toc151193925"/>
      <w:bookmarkStart w:id="427" w:name="_Toc265228375"/>
      <w:bookmarkStart w:id="428" w:name="_Toc151193707"/>
      <w:bookmarkStart w:id="429" w:name="_Toc305158879"/>
      <w:bookmarkStart w:id="430" w:name="_Toc520356162"/>
      <w:bookmarkStart w:id="431" w:name="_Toc142311039"/>
      <w:bookmarkStart w:id="432" w:name="_Toc226965727"/>
      <w:bookmarkStart w:id="433" w:name="_Toc164608806"/>
      <w:bookmarkStart w:id="434" w:name="_Toc151193635"/>
      <w:bookmarkStart w:id="435" w:name="_Toc150774637"/>
      <w:r>
        <w:rPr>
          <w:rFonts w:eastAsiaTheme="minorEastAsia"/>
          <w:sz w:val="24"/>
        </w:rPr>
        <w:t>响应文件的修改与撤回</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14:paraId="0A5EE45E">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响应文件提交截止时间前，供应商可以通过电子交易平台对所提交的响应文件进行补充、修改或者撤回。</w:t>
      </w:r>
      <w:r>
        <w:rPr>
          <w:rFonts w:eastAsiaTheme="minorEastAsia"/>
          <w:color w:val="000000"/>
          <w:sz w:val="24"/>
        </w:rPr>
        <w:t>磋商保证金的补充、修改或者撤回</w:t>
      </w:r>
      <w:r>
        <w:rPr>
          <w:sz w:val="24"/>
        </w:rPr>
        <w:t>无需通过电子交易平台，但应就其补充、修改或者撤回通知采购人或采购代理机构</w:t>
      </w:r>
      <w:r>
        <w:rPr>
          <w:rFonts w:eastAsiaTheme="minorEastAsia"/>
          <w:color w:val="000000"/>
          <w:sz w:val="24"/>
        </w:rPr>
        <w:t>。</w:t>
      </w:r>
    </w:p>
    <w:p w14:paraId="30C9E4EF">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供应商对响应文件的补充、修改的内容应当按照竞争性磋商文件要求签署、盖章，作为响应文件的组成部分。</w:t>
      </w:r>
      <w:r>
        <w:rPr>
          <w:rFonts w:eastAsiaTheme="minorEastAsia"/>
          <w:kern w:val="0"/>
          <w:sz w:val="24"/>
        </w:rPr>
        <w:t>补充、修改的内容与响应文件不一致的，以补充、修改的内容为准。</w:t>
      </w:r>
    </w:p>
    <w:p w14:paraId="7874EF12">
      <w:pPr>
        <w:tabs>
          <w:tab w:val="left" w:pos="900"/>
          <w:tab w:val="left" w:pos="1080"/>
          <w:tab w:val="left" w:pos="1589"/>
        </w:tabs>
        <w:snapToGrid w:val="0"/>
        <w:spacing w:line="360" w:lineRule="auto"/>
        <w:ind w:left="357"/>
        <w:rPr>
          <w:rFonts w:eastAsiaTheme="minorEastAsia"/>
          <w:sz w:val="24"/>
        </w:rPr>
      </w:pPr>
    </w:p>
    <w:p w14:paraId="7E9745E6">
      <w:pPr>
        <w:pStyle w:val="3"/>
        <w:spacing w:before="0" w:line="360" w:lineRule="auto"/>
        <w:rPr>
          <w:rFonts w:ascii="Times New Roman" w:hAnsi="Times New Roman" w:eastAsiaTheme="minorEastAsia"/>
          <w:sz w:val="28"/>
        </w:rPr>
      </w:pPr>
      <w:bookmarkStart w:id="436" w:name="_Toc151193926"/>
      <w:bookmarkStart w:id="437" w:name="_Toc151190165"/>
      <w:bookmarkStart w:id="438" w:name="_Toc151193780"/>
      <w:bookmarkStart w:id="439" w:name="_Toc265228376"/>
      <w:bookmarkStart w:id="440" w:name="_Toc305158880"/>
      <w:bookmarkStart w:id="441" w:name="_Toc142311040"/>
      <w:bookmarkStart w:id="442" w:name="_Toc150509289"/>
      <w:bookmarkStart w:id="443" w:name="_Toc151193852"/>
      <w:bookmarkStart w:id="444" w:name="_Toc151193636"/>
      <w:bookmarkStart w:id="445" w:name="_Toc127151538"/>
      <w:bookmarkStart w:id="446" w:name="_Toc520356163"/>
      <w:bookmarkStart w:id="447" w:name="_Toc150774743"/>
      <w:bookmarkStart w:id="448" w:name="_Toc195842903"/>
      <w:bookmarkStart w:id="449" w:name="_Toc226965811"/>
      <w:bookmarkStart w:id="450" w:name="_Toc305158806"/>
      <w:bookmarkStart w:id="451" w:name="_Toc151193708"/>
      <w:bookmarkStart w:id="452" w:name="_Toc226337234"/>
      <w:bookmarkStart w:id="453" w:name="_Toc264969228"/>
      <w:bookmarkStart w:id="454" w:name="_Toc226965728"/>
      <w:bookmarkStart w:id="455" w:name="_Toc226309782"/>
      <w:bookmarkStart w:id="456" w:name="_Toc150480776"/>
      <w:bookmarkStart w:id="457" w:name="_Toc150774638"/>
      <w:r>
        <w:rPr>
          <w:rFonts w:ascii="Times New Roman" w:hAnsi="Times New Roman" w:eastAsiaTheme="minorEastAsia"/>
          <w:sz w:val="28"/>
        </w:rPr>
        <w:t xml:space="preserve">五   </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rFonts w:ascii="Times New Roman" w:hAnsi="Times New Roman" w:eastAsiaTheme="minorEastAsia"/>
          <w:sz w:val="28"/>
        </w:rPr>
        <w:t>评审</w:t>
      </w:r>
    </w:p>
    <w:p w14:paraId="739C6244">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响应文件的解密与开启</w:t>
      </w:r>
    </w:p>
    <w:p w14:paraId="06D5333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采购人或采购代理机构将按竞争性磋商文件的规定，在响应文件提交截止时间的同一时间和竞争性磋商文件预先确定的地点开启响应文件。</w:t>
      </w:r>
    </w:p>
    <w:p w14:paraId="5ECBBF5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本项目解密使用北京市政府采购电子交易平台。供应商应在《供应商须知资料表》规定的时间内对响应文件进行解密，因非系统原因导致的解密失败，视为</w:t>
      </w:r>
      <w:r>
        <w:rPr>
          <w:rFonts w:eastAsiaTheme="minorEastAsia"/>
          <w:b/>
          <w:sz w:val="24"/>
        </w:rPr>
        <w:t>无效响应</w:t>
      </w:r>
      <w:r>
        <w:rPr>
          <w:rFonts w:eastAsiaTheme="minorEastAsia"/>
          <w:sz w:val="24"/>
        </w:rPr>
        <w:t>。</w:t>
      </w:r>
    </w:p>
    <w:p w14:paraId="5798200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认为采购人员及相关人员与其他供应商有利害关系的，可以向采购人或采购代理机构书面提出回避申请，并说明理由。采购人或采购代理机构将及时询问被申请回避人员，有利害关系的被申请回避人员将回避。</w:t>
      </w:r>
    </w:p>
    <w:p w14:paraId="68EBEA3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供应商不足3家的，不予解密。</w:t>
      </w:r>
    </w:p>
    <w:p w14:paraId="3F14A381">
      <w:pPr>
        <w:numPr>
          <w:ilvl w:val="1"/>
          <w:numId w:val="8"/>
        </w:numPr>
        <w:tabs>
          <w:tab w:val="left" w:pos="1080"/>
          <w:tab w:val="left" w:pos="2014"/>
        </w:tabs>
        <w:snapToGrid w:val="0"/>
        <w:spacing w:line="360" w:lineRule="auto"/>
        <w:ind w:left="1077" w:hanging="720"/>
        <w:rPr>
          <w:rFonts w:eastAsiaTheme="minorEastAsia"/>
          <w:sz w:val="24"/>
        </w:rPr>
      </w:pPr>
      <w:bookmarkStart w:id="458" w:name="_Toc520356165"/>
      <w:r>
        <w:rPr>
          <w:rFonts w:eastAsiaTheme="minorEastAsia"/>
          <w:sz w:val="24"/>
        </w:rPr>
        <w:t>本项目不公开报价。</w:t>
      </w:r>
    </w:p>
    <w:bookmarkEnd w:id="458"/>
    <w:p w14:paraId="77E5C8C3">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磋商小组</w:t>
      </w:r>
    </w:p>
    <w:p w14:paraId="43AEAAC6">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磋商小组根据政府采购有关规定和本次采购项目的特点进行组建，并负责具体评审</w:t>
      </w:r>
      <w:r>
        <w:rPr>
          <w:rFonts w:hint="eastAsia" w:eastAsiaTheme="minorEastAsia"/>
          <w:sz w:val="24"/>
        </w:rPr>
        <w:t>与磋商</w:t>
      </w:r>
      <w:r>
        <w:rPr>
          <w:rFonts w:eastAsiaTheme="minorEastAsia"/>
          <w:sz w:val="24"/>
        </w:rPr>
        <w:t>事务，独立履行职责。</w:t>
      </w:r>
      <w:bookmarkStart w:id="459" w:name="_Toc520356166"/>
    </w:p>
    <w:p w14:paraId="04F5AE65">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459"/>
      <w:bookmarkStart w:id="460" w:name="_Toc520356169"/>
    </w:p>
    <w:p w14:paraId="3D04D544">
      <w:pPr>
        <w:numPr>
          <w:ilvl w:val="0"/>
          <w:numId w:val="8"/>
        </w:numPr>
        <w:tabs>
          <w:tab w:val="left" w:pos="360"/>
        </w:tabs>
        <w:snapToGrid w:val="0"/>
        <w:spacing w:line="360" w:lineRule="auto"/>
        <w:outlineLvl w:val="1"/>
        <w:rPr>
          <w:rFonts w:eastAsiaTheme="minorEastAsia"/>
          <w:sz w:val="24"/>
        </w:rPr>
      </w:pPr>
      <w:r>
        <w:rPr>
          <w:rFonts w:eastAsiaTheme="minorEastAsia"/>
          <w:sz w:val="24"/>
        </w:rPr>
        <w:t>评审方法和评审标准</w:t>
      </w:r>
    </w:p>
    <w:p w14:paraId="250F3C7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见第三章《评审方法和评审标准》。</w:t>
      </w:r>
    </w:p>
    <w:p w14:paraId="19FB5E1D">
      <w:pPr>
        <w:tabs>
          <w:tab w:val="left" w:pos="360"/>
          <w:tab w:val="left" w:pos="1080"/>
        </w:tabs>
        <w:snapToGrid w:val="0"/>
        <w:spacing w:line="360" w:lineRule="auto"/>
        <w:ind w:left="1080"/>
        <w:rPr>
          <w:rFonts w:eastAsiaTheme="minorEastAsia"/>
          <w:sz w:val="24"/>
        </w:rPr>
      </w:pPr>
    </w:p>
    <w:p w14:paraId="1DDC124D">
      <w:pPr>
        <w:pStyle w:val="3"/>
        <w:spacing w:before="0" w:line="360" w:lineRule="auto"/>
        <w:rPr>
          <w:rFonts w:ascii="Times New Roman" w:hAnsi="Times New Roman" w:eastAsiaTheme="minorEastAsia"/>
          <w:sz w:val="28"/>
        </w:rPr>
      </w:pPr>
      <w:bookmarkStart w:id="461" w:name="_Toc226337241"/>
      <w:bookmarkStart w:id="462" w:name="_Toc305158887"/>
      <w:bookmarkStart w:id="463" w:name="_Toc151193787"/>
      <w:bookmarkStart w:id="464" w:name="_Toc150774750"/>
      <w:bookmarkStart w:id="465" w:name="_Toc150509296"/>
      <w:bookmarkStart w:id="466" w:name="_Toc265228383"/>
      <w:bookmarkStart w:id="467" w:name="_Toc151190172"/>
      <w:bookmarkStart w:id="468" w:name="_Toc151193933"/>
      <w:bookmarkStart w:id="469" w:name="_Toc150774645"/>
      <w:bookmarkStart w:id="470" w:name="_Toc226965735"/>
      <w:bookmarkStart w:id="471" w:name="_Toc264969235"/>
      <w:bookmarkStart w:id="472" w:name="_Toc150480783"/>
      <w:bookmarkStart w:id="473" w:name="_Toc195842910"/>
      <w:bookmarkStart w:id="474" w:name="_Toc151193643"/>
      <w:bookmarkStart w:id="475" w:name="_Toc151193859"/>
      <w:bookmarkStart w:id="476" w:name="_Toc151193715"/>
      <w:bookmarkStart w:id="477" w:name="_Toc305158813"/>
      <w:bookmarkStart w:id="478" w:name="_Toc127151545"/>
      <w:bookmarkStart w:id="479" w:name="_Toc226965818"/>
      <w:bookmarkStart w:id="480" w:name="_Toc226309789"/>
      <w:bookmarkStart w:id="481" w:name="_Toc142311047"/>
      <w:r>
        <w:rPr>
          <w:rFonts w:ascii="Times New Roman" w:hAnsi="Times New Roman" w:eastAsiaTheme="minorEastAsia"/>
          <w:sz w:val="28"/>
        </w:rPr>
        <w:t xml:space="preserve">六   </w:t>
      </w:r>
      <w:bookmarkEnd w:id="460"/>
      <w:r>
        <w:rPr>
          <w:rFonts w:ascii="Times New Roman" w:hAnsi="Times New Roman" w:eastAsiaTheme="minorEastAsia"/>
          <w:sz w:val="28"/>
        </w:rPr>
        <w:t>确定</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rFonts w:ascii="Times New Roman" w:hAnsi="Times New Roman" w:eastAsiaTheme="minorEastAsia"/>
          <w:sz w:val="28"/>
        </w:rPr>
        <w:t>成交</w:t>
      </w:r>
    </w:p>
    <w:p w14:paraId="1850D3BF">
      <w:pPr>
        <w:numPr>
          <w:ilvl w:val="0"/>
          <w:numId w:val="8"/>
        </w:numPr>
        <w:tabs>
          <w:tab w:val="left" w:pos="360"/>
        </w:tabs>
        <w:snapToGrid w:val="0"/>
        <w:spacing w:line="360" w:lineRule="auto"/>
        <w:ind w:left="357" w:hanging="357"/>
        <w:outlineLvl w:val="1"/>
        <w:rPr>
          <w:rFonts w:eastAsiaTheme="minorEastAsia"/>
          <w:sz w:val="24"/>
        </w:rPr>
      </w:pPr>
      <w:bookmarkStart w:id="482" w:name="_Toc164351641"/>
      <w:bookmarkStart w:id="483" w:name="_Toc164229388"/>
      <w:bookmarkStart w:id="484" w:name="_Toc127161461"/>
      <w:bookmarkStart w:id="485" w:name="_Toc226337243"/>
      <w:bookmarkStart w:id="486" w:name="_Toc305158889"/>
      <w:bookmarkStart w:id="487" w:name="_Toc164608661"/>
      <w:bookmarkStart w:id="488" w:name="_Toc151193717"/>
      <w:bookmarkStart w:id="489" w:name="_Toc149720840"/>
      <w:bookmarkStart w:id="490" w:name="_Toc151193645"/>
      <w:bookmarkStart w:id="491" w:name="_Toc127151547"/>
      <w:bookmarkStart w:id="492" w:name="_Toc127151748"/>
      <w:bookmarkStart w:id="493" w:name="_Toc195842912"/>
      <w:bookmarkStart w:id="494" w:name="_Toc150480785"/>
      <w:bookmarkStart w:id="495" w:name="_Toc150509298"/>
      <w:bookmarkStart w:id="496" w:name="_Toc151193935"/>
      <w:bookmarkStart w:id="497" w:name="_Toc151193861"/>
      <w:bookmarkStart w:id="498" w:name="_Toc151193789"/>
      <w:bookmarkStart w:id="499" w:name="_Toc164608816"/>
      <w:bookmarkStart w:id="500" w:name="_Toc164229242"/>
      <w:bookmarkStart w:id="501" w:name="_Toc150774752"/>
      <w:bookmarkStart w:id="502" w:name="_Toc226965820"/>
      <w:bookmarkStart w:id="503" w:name="_Toc226309791"/>
      <w:bookmarkStart w:id="504" w:name="_Toc151190174"/>
      <w:bookmarkStart w:id="505" w:name="_Toc305158815"/>
      <w:bookmarkStart w:id="506" w:name="_Toc264969237"/>
      <w:bookmarkStart w:id="507" w:name="_Toc265228385"/>
      <w:bookmarkStart w:id="508" w:name="_Toc150774647"/>
      <w:bookmarkStart w:id="509" w:name="_Toc142311049"/>
      <w:bookmarkStart w:id="510" w:name="_Toc226965737"/>
      <w:r>
        <w:rPr>
          <w:rFonts w:eastAsiaTheme="minorEastAsia"/>
          <w:sz w:val="24"/>
        </w:rPr>
        <w:t>确定成交供应商</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14:paraId="78B4EE1E">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将在收到评审报告后，从评审报告提出的成交候选供应商中，按照排序由高到低的原则确定成交供应商。采购人是否授权磋商小组直接确定成交供应商，见《供应商须知资料表》。成交候选人并列的，按照《供应商须知资料表》要求确定成交供应商。</w:t>
      </w:r>
    </w:p>
    <w:p w14:paraId="7D438989">
      <w:pPr>
        <w:numPr>
          <w:ilvl w:val="0"/>
          <w:numId w:val="8"/>
        </w:numPr>
        <w:tabs>
          <w:tab w:val="left" w:pos="360"/>
        </w:tabs>
        <w:snapToGrid w:val="0"/>
        <w:spacing w:line="360" w:lineRule="auto"/>
        <w:ind w:left="357" w:hanging="357"/>
        <w:outlineLvl w:val="1"/>
        <w:rPr>
          <w:rFonts w:eastAsiaTheme="minorEastAsia"/>
          <w:sz w:val="24"/>
        </w:rPr>
      </w:pPr>
      <w:bookmarkStart w:id="511" w:name="_Toc305158891"/>
      <w:bookmarkStart w:id="512" w:name="_Toc305158817"/>
      <w:bookmarkStart w:id="513" w:name="_Toc142311051"/>
      <w:bookmarkStart w:id="514" w:name="_Toc226965822"/>
      <w:bookmarkStart w:id="515" w:name="_Toc164608818"/>
      <w:bookmarkStart w:id="516" w:name="_Toc150774649"/>
      <w:bookmarkStart w:id="517" w:name="_Toc127161463"/>
      <w:bookmarkStart w:id="518" w:name="_Toc164351643"/>
      <w:bookmarkStart w:id="519" w:name="_Toc151193647"/>
      <w:bookmarkStart w:id="520" w:name="_Toc150774754"/>
      <w:bookmarkStart w:id="521" w:name="_Toc226309793"/>
      <w:bookmarkStart w:id="522" w:name="_Toc150480787"/>
      <w:bookmarkStart w:id="523" w:name="_Toc150509300"/>
      <w:bookmarkStart w:id="524" w:name="_Toc264969239"/>
      <w:bookmarkStart w:id="525" w:name="_Toc127151750"/>
      <w:bookmarkStart w:id="526" w:name="_Toc151190176"/>
      <w:bookmarkStart w:id="527" w:name="_Toc164229244"/>
      <w:bookmarkStart w:id="528" w:name="_Toc151193937"/>
      <w:bookmarkStart w:id="529" w:name="_Toc151193863"/>
      <w:bookmarkStart w:id="530" w:name="_Toc195842914"/>
      <w:bookmarkStart w:id="531" w:name="_Toc127151549"/>
      <w:bookmarkStart w:id="532" w:name="_Toc226337245"/>
      <w:bookmarkStart w:id="533" w:name="_Toc265228387"/>
      <w:bookmarkStart w:id="534" w:name="_Toc151193791"/>
      <w:bookmarkStart w:id="535" w:name="_Toc164229390"/>
      <w:bookmarkStart w:id="536" w:name="_Toc226965739"/>
      <w:bookmarkStart w:id="537" w:name="_Toc151193719"/>
      <w:bookmarkStart w:id="538" w:name="_Toc164608663"/>
      <w:bookmarkStart w:id="539" w:name="_Toc149720842"/>
      <w:bookmarkStart w:id="540" w:name="_Ref467306425"/>
      <w:bookmarkStart w:id="541" w:name="_Toc520356176"/>
      <w:bookmarkStart w:id="542" w:name="_Ref467307090"/>
      <w:r>
        <w:rPr>
          <w:rFonts w:eastAsiaTheme="minorEastAsia"/>
          <w:sz w:val="24"/>
        </w:rPr>
        <w:t>成交公告与成交通知书</w:t>
      </w:r>
      <w:bookmarkEnd w:id="511"/>
      <w:bookmarkEnd w:id="512"/>
    </w:p>
    <w:p w14:paraId="7ED47E3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采购人或采购代理机构将</w:t>
      </w:r>
      <w:r>
        <w:rPr>
          <w:rFonts w:eastAsiaTheme="minorEastAsia"/>
          <w:kern w:val="0"/>
          <w:sz w:val="24"/>
        </w:rPr>
        <w:t>在成交供应商确定后2个工作日内，在</w:t>
      </w:r>
      <w:r>
        <w:rPr>
          <w:rFonts w:eastAsiaTheme="minorEastAsia"/>
          <w:sz w:val="24"/>
        </w:rPr>
        <w:t>北京市政府采购网</w:t>
      </w:r>
      <w:r>
        <w:rPr>
          <w:rFonts w:eastAsiaTheme="minorEastAsia"/>
          <w:kern w:val="0"/>
          <w:sz w:val="24"/>
        </w:rPr>
        <w:t>公告成交结果，同时向成交供应商发出成交通知书，</w:t>
      </w:r>
      <w:r>
        <w:rPr>
          <w:rFonts w:eastAsiaTheme="minorEastAsia"/>
          <w:sz w:val="24"/>
        </w:rPr>
        <w:t>成交公告期限为1个工作日。</w:t>
      </w:r>
    </w:p>
    <w:p w14:paraId="61BC49A5">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成交通知书对采购人和成交供应商均具有法律效力。成交通知书发出后，采购人改变成交结果的，或者成交供应商放弃成交项目的，应当依法承担法律责任。</w:t>
      </w:r>
    </w:p>
    <w:p w14:paraId="0687A057">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终止</w:t>
      </w:r>
    </w:p>
    <w:p w14:paraId="03611015">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出现下列情形之一的，采购人或采购代理机构将终止竞争性磋商采购活动，发布项目终止公告并说明原因，重新开展采购活动：</w:t>
      </w:r>
    </w:p>
    <w:p w14:paraId="4B5CCD68">
      <w:pPr>
        <w:numPr>
          <w:ilvl w:val="2"/>
          <w:numId w:val="8"/>
        </w:numPr>
        <w:snapToGrid w:val="0"/>
        <w:spacing w:line="360" w:lineRule="auto"/>
        <w:rPr>
          <w:rFonts w:eastAsiaTheme="minorEastAsia"/>
          <w:sz w:val="24"/>
        </w:rPr>
      </w:pPr>
      <w:r>
        <w:rPr>
          <w:rFonts w:eastAsiaTheme="minorEastAsia"/>
          <w:sz w:val="24"/>
        </w:rPr>
        <w:t>因情况变化，不再符合规定的竞争性磋商采购方式适用情形的；</w:t>
      </w:r>
    </w:p>
    <w:p w14:paraId="12F68A22">
      <w:pPr>
        <w:numPr>
          <w:ilvl w:val="2"/>
          <w:numId w:val="8"/>
        </w:numPr>
        <w:snapToGrid w:val="0"/>
        <w:spacing w:line="360" w:lineRule="auto"/>
        <w:rPr>
          <w:rFonts w:eastAsiaTheme="minorEastAsia"/>
          <w:sz w:val="24"/>
        </w:rPr>
      </w:pPr>
      <w:r>
        <w:rPr>
          <w:rFonts w:eastAsiaTheme="minorEastAsia"/>
          <w:sz w:val="24"/>
        </w:rPr>
        <w:t>出现影响采购公正的违法、违规行为的；</w:t>
      </w:r>
    </w:p>
    <w:p w14:paraId="28ADF4B3">
      <w:pPr>
        <w:numPr>
          <w:ilvl w:val="2"/>
          <w:numId w:val="8"/>
        </w:numPr>
        <w:snapToGrid w:val="0"/>
        <w:spacing w:line="360" w:lineRule="auto"/>
        <w:rPr>
          <w:rFonts w:eastAsiaTheme="minorEastAsia"/>
          <w:sz w:val="24"/>
        </w:rPr>
      </w:pPr>
      <w:r>
        <w:rPr>
          <w:rFonts w:eastAsiaTheme="minorEastAsia"/>
          <w:snapToGrid w:val="0"/>
          <w:kern w:val="0"/>
          <w:sz w:val="24"/>
          <w:szCs w:val="20"/>
        </w:rPr>
        <w:t>除了“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的情形外，在采购过程中符合要求的供应商或者报价未超过采购预算的供应商不足3家的。</w:t>
      </w:r>
    </w:p>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14:paraId="05A675CB">
      <w:pPr>
        <w:numPr>
          <w:ilvl w:val="0"/>
          <w:numId w:val="8"/>
        </w:numPr>
        <w:tabs>
          <w:tab w:val="left" w:pos="360"/>
        </w:tabs>
        <w:snapToGrid w:val="0"/>
        <w:spacing w:line="360" w:lineRule="auto"/>
        <w:ind w:left="357" w:hanging="357"/>
        <w:outlineLvl w:val="1"/>
        <w:rPr>
          <w:rFonts w:eastAsiaTheme="minorEastAsia"/>
          <w:sz w:val="24"/>
        </w:rPr>
      </w:pPr>
      <w:bookmarkStart w:id="543" w:name="_Toc226965740"/>
      <w:bookmarkStart w:id="544" w:name="_Toc226337246"/>
      <w:bookmarkStart w:id="545" w:name="_Toc265228388"/>
      <w:bookmarkStart w:id="546" w:name="_Toc226309794"/>
      <w:bookmarkStart w:id="547" w:name="_Toc149720843"/>
      <w:bookmarkStart w:id="548" w:name="_Toc151193864"/>
      <w:bookmarkStart w:id="549" w:name="_Toc127161464"/>
      <w:bookmarkStart w:id="550" w:name="_Toc164608819"/>
      <w:bookmarkStart w:id="551" w:name="_Toc195842915"/>
      <w:bookmarkStart w:id="552" w:name="_Toc151193648"/>
      <w:bookmarkStart w:id="553" w:name="_Toc127151550"/>
      <w:bookmarkStart w:id="554" w:name="_Toc150509301"/>
      <w:bookmarkStart w:id="555" w:name="_Toc142311052"/>
      <w:bookmarkStart w:id="556" w:name="_Ref467307062"/>
      <w:bookmarkStart w:id="557" w:name="_Toc164608664"/>
      <w:bookmarkStart w:id="558" w:name="_Toc226965823"/>
      <w:bookmarkStart w:id="559" w:name="_Toc520356175"/>
      <w:bookmarkStart w:id="560" w:name="_Toc150774755"/>
      <w:bookmarkStart w:id="561" w:name="_Ref467306978"/>
      <w:bookmarkStart w:id="562" w:name="_Toc151193792"/>
      <w:bookmarkStart w:id="563" w:name="_Toc264969240"/>
      <w:bookmarkStart w:id="564" w:name="_Ref467306377"/>
      <w:bookmarkStart w:id="565" w:name="_Toc151193938"/>
      <w:bookmarkStart w:id="566" w:name="_Toc305158818"/>
      <w:bookmarkStart w:id="567" w:name="_Toc164229391"/>
      <w:bookmarkStart w:id="568" w:name="_Toc164351644"/>
      <w:bookmarkStart w:id="569" w:name="_Toc151190177"/>
      <w:bookmarkStart w:id="570" w:name="_Toc305158892"/>
      <w:bookmarkStart w:id="571" w:name="_Toc164229245"/>
      <w:bookmarkStart w:id="572" w:name="_Ref467307204"/>
      <w:bookmarkStart w:id="573" w:name="_Toc150774650"/>
      <w:bookmarkStart w:id="574" w:name="_Toc150480788"/>
      <w:bookmarkStart w:id="575" w:name="_Toc127151751"/>
      <w:bookmarkStart w:id="576" w:name="_Toc151193720"/>
      <w:r>
        <w:rPr>
          <w:rFonts w:eastAsiaTheme="minorEastAsia"/>
          <w:sz w:val="24"/>
        </w:rPr>
        <w:t>签订合同</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14:paraId="51A7F79D">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采购人与成交供应商应当在成交通知书发出之日起30日内，按照磋商文件确定的合同文本以及采购标的、规格型号、采购金额、采购数量、技术和服务要求等事项签订政府采购合同。</w:t>
      </w:r>
    </w:p>
    <w:p w14:paraId="346A515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29D6B215">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联合体成交的，联合体各方应当共同与采购人签订合同，就</w:t>
      </w:r>
      <w:r>
        <w:rPr>
          <w:sz w:val="24"/>
        </w:rPr>
        <w:t>采购合同约定的事项</w:t>
      </w:r>
      <w:r>
        <w:rPr>
          <w:rFonts w:eastAsiaTheme="minorEastAsia"/>
          <w:sz w:val="24"/>
        </w:rPr>
        <w:t>向采购人承担连带责任。</w:t>
      </w:r>
    </w:p>
    <w:p w14:paraId="698A966D">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政府采购合同不能转包。</w:t>
      </w:r>
    </w:p>
    <w:p w14:paraId="6268333E">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w:t>
      </w:r>
      <w:r>
        <w:rPr>
          <w:rFonts w:eastAsiaTheme="minorEastAsia"/>
          <w:b/>
          <w:sz w:val="24"/>
        </w:rPr>
        <w:t>否则响应无效</w:t>
      </w:r>
      <w:r>
        <w:rPr>
          <w:rFonts w:eastAsiaTheme="minorEastAsia"/>
          <w:sz w:val="24"/>
        </w:rPr>
        <w:t>。成交供应商就采购项目和分包项目向采购人负责，分包供应商就分包项目承担责任。</w:t>
      </w:r>
    </w:p>
    <w:p w14:paraId="4D53AD5E">
      <w:pPr>
        <w:numPr>
          <w:ilvl w:val="1"/>
          <w:numId w:val="8"/>
        </w:numPr>
        <w:tabs>
          <w:tab w:val="left" w:pos="1080"/>
          <w:tab w:val="left" w:pos="2014"/>
        </w:tabs>
        <w:snapToGrid w:val="0"/>
        <w:spacing w:line="360" w:lineRule="auto"/>
        <w:ind w:left="1077" w:hanging="720"/>
        <w:rPr>
          <w:sz w:val="24"/>
        </w:rPr>
      </w:pPr>
      <w:r>
        <w:rPr>
          <w:rFonts w:hint="eastAsia" w:ascii="宋体" w:hAnsi="宋体"/>
          <w:sz w:val="24"/>
        </w:rPr>
        <w:t>“政采贷”融资指引：详见</w:t>
      </w:r>
      <w:r>
        <w:rPr>
          <w:rFonts w:eastAsiaTheme="minorEastAsia"/>
          <w:sz w:val="24"/>
        </w:rPr>
        <w:t>《</w:t>
      </w:r>
      <w:r>
        <w:rPr>
          <w:rFonts w:hint="eastAsia" w:eastAsiaTheme="minorEastAsia"/>
          <w:sz w:val="24"/>
        </w:rPr>
        <w:t>供应商</w:t>
      </w:r>
      <w:r>
        <w:rPr>
          <w:rFonts w:eastAsiaTheme="minorEastAsia"/>
          <w:sz w:val="24"/>
        </w:rPr>
        <w:t>须知资料表》</w:t>
      </w:r>
      <w:r>
        <w:rPr>
          <w:rFonts w:hint="eastAsia" w:eastAsiaTheme="minorEastAsia"/>
          <w:sz w:val="24"/>
        </w:rPr>
        <w:t>。</w:t>
      </w:r>
    </w:p>
    <w:bookmarkEnd w:id="540"/>
    <w:bookmarkEnd w:id="541"/>
    <w:bookmarkEnd w:id="542"/>
    <w:p w14:paraId="308A2F03">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询问与质疑</w:t>
      </w:r>
    </w:p>
    <w:p w14:paraId="2B5FCF1E">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询问</w:t>
      </w:r>
    </w:p>
    <w:p w14:paraId="19A3CBA4">
      <w:pPr>
        <w:numPr>
          <w:ilvl w:val="2"/>
          <w:numId w:val="8"/>
        </w:numPr>
        <w:snapToGrid w:val="0"/>
        <w:spacing w:line="360" w:lineRule="auto"/>
        <w:rPr>
          <w:rFonts w:eastAsiaTheme="minorEastAsia"/>
          <w:sz w:val="24"/>
        </w:rPr>
      </w:pPr>
      <w:bookmarkStart w:id="577" w:name="_Hlk179293422"/>
      <w:r>
        <w:rPr>
          <w:rFonts w:eastAsiaTheme="minorEastAsia"/>
          <w:sz w:val="24"/>
        </w:rPr>
        <w:t>供应商</w:t>
      </w:r>
      <w:r>
        <w:rPr>
          <w:sz w:val="24"/>
        </w:rPr>
        <w:t>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w:t>
      </w:r>
      <w:r>
        <w:rPr>
          <w:rFonts w:hint="eastAsia"/>
          <w:sz w:val="24"/>
        </w:rPr>
        <w:t>供应商</w:t>
      </w:r>
      <w:r>
        <w:rPr>
          <w:sz w:val="24"/>
        </w:rPr>
        <w:t>须知资料表》。</w:t>
      </w:r>
      <w:bookmarkEnd w:id="577"/>
    </w:p>
    <w:p w14:paraId="0DBF7EB5">
      <w:pPr>
        <w:numPr>
          <w:ilvl w:val="2"/>
          <w:numId w:val="8"/>
        </w:numPr>
        <w:snapToGrid w:val="0"/>
        <w:spacing w:line="360" w:lineRule="auto"/>
        <w:rPr>
          <w:rFonts w:eastAsiaTheme="minorEastAsia"/>
          <w:sz w:val="24"/>
        </w:rPr>
      </w:pPr>
      <w:r>
        <w:rPr>
          <w:rFonts w:eastAsiaTheme="minorEastAsia"/>
          <w:sz w:val="24"/>
        </w:rPr>
        <w:t>采购人或采购代理机构对供应商依法提出的询问，在3个工作日内作出答复，但答复的内容不得涉及商业秘密。</w:t>
      </w:r>
    </w:p>
    <w:p w14:paraId="69F3ED7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质疑</w:t>
      </w:r>
    </w:p>
    <w:p w14:paraId="26247CD0">
      <w:pPr>
        <w:numPr>
          <w:ilvl w:val="2"/>
          <w:numId w:val="8"/>
        </w:numPr>
        <w:snapToGrid w:val="0"/>
        <w:spacing w:line="360" w:lineRule="auto"/>
        <w:rPr>
          <w:rFonts w:eastAsiaTheme="minorEastAsia"/>
          <w:sz w:val="24"/>
        </w:rPr>
      </w:pPr>
      <w:r>
        <w:rPr>
          <w:rFonts w:eastAsiaTheme="minorEastAsia"/>
          <w:sz w:val="24"/>
        </w:rPr>
        <w:t>供应商认为竞争性磋商文件、采购过程、成交结果使自己的权益受到损害的，可以在知道或者应知其权益受到损害之日起7个工作日内，以书面形式向采购人、采购代理机构提出质疑。采购人、采购代理机构在收到质疑函后7个工作日内作出答复。</w:t>
      </w:r>
    </w:p>
    <w:p w14:paraId="0DFF176B">
      <w:pPr>
        <w:numPr>
          <w:ilvl w:val="2"/>
          <w:numId w:val="8"/>
        </w:numPr>
        <w:snapToGrid w:val="0"/>
        <w:spacing w:line="360" w:lineRule="auto"/>
        <w:rPr>
          <w:rFonts w:eastAsiaTheme="minorEastAsia"/>
          <w:sz w:val="24"/>
        </w:rPr>
      </w:pPr>
      <w:r>
        <w:rPr>
          <w:rFonts w:eastAsiaTheme="minorEastAsia"/>
          <w:sz w:val="24"/>
        </w:rPr>
        <w:t>质疑函须使用财政部制定的范本文件。供应商为自然人的，质疑函应当由本人签字；供应商为法人或者其他组织的，质疑函应当由法定代表人、主要负责人，或者其授权代表签字或者盖章，并加盖公章。</w:t>
      </w:r>
    </w:p>
    <w:p w14:paraId="7F9FFECE">
      <w:pPr>
        <w:numPr>
          <w:ilvl w:val="2"/>
          <w:numId w:val="8"/>
        </w:numPr>
        <w:snapToGrid w:val="0"/>
        <w:spacing w:line="360" w:lineRule="auto"/>
        <w:rPr>
          <w:rFonts w:eastAsiaTheme="minorEastAsia"/>
          <w:sz w:val="24"/>
        </w:rPr>
      </w:pPr>
      <w:r>
        <w:rPr>
          <w:rFonts w:eastAsiaTheme="minorEastAsia"/>
          <w:sz w:val="24"/>
        </w:rPr>
        <w:t>供应商</w:t>
      </w:r>
      <w:r>
        <w:rPr>
          <w:sz w:val="24"/>
        </w:rPr>
        <w:t>委托代理人进行质疑的，应当随质疑函同时提交供应商签署的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14:paraId="0D18D689">
      <w:pPr>
        <w:numPr>
          <w:ilvl w:val="2"/>
          <w:numId w:val="8"/>
        </w:numPr>
        <w:snapToGrid w:val="0"/>
        <w:spacing w:line="360" w:lineRule="auto"/>
        <w:rPr>
          <w:rFonts w:eastAsiaTheme="minorEastAsia"/>
          <w:sz w:val="24"/>
        </w:rPr>
      </w:pPr>
      <w:r>
        <w:rPr>
          <w:rFonts w:eastAsiaTheme="minorEastAsia"/>
          <w:sz w:val="24"/>
        </w:rPr>
        <w:t>供应商应在法定质疑期内一次性提出针对同一采购程序环节的质疑，法定质疑期内针对同一采购程序环节再次提出的质疑，采购人、采购代理机构有权不予答复。</w:t>
      </w:r>
    </w:p>
    <w:p w14:paraId="19B40CC3">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接收询问和质疑的联系部门、联系电话和通讯地址见《供应商须知资料表》。</w:t>
      </w:r>
    </w:p>
    <w:p w14:paraId="1831ECB5">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代理费</w:t>
      </w:r>
    </w:p>
    <w:p w14:paraId="4545C1A5">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收费对象、收费标准及缴纳时间见《供应商须知资料表》。由成交供应商支付的，成交供应商须一次性向采购代理机构缴纳代理费，报价应包含代理费用。</w:t>
      </w:r>
    </w:p>
    <w:p w14:paraId="0062846C">
      <w:pPr>
        <w:tabs>
          <w:tab w:val="left" w:pos="360"/>
          <w:tab w:val="left" w:pos="1080"/>
        </w:tabs>
        <w:snapToGrid w:val="0"/>
        <w:spacing w:line="360" w:lineRule="auto"/>
        <w:ind w:left="360"/>
        <w:rPr>
          <w:rFonts w:eastAsiaTheme="minorEastAsia"/>
          <w:sz w:val="24"/>
        </w:rPr>
      </w:pPr>
    </w:p>
    <w:p w14:paraId="6D5436D3">
      <w:pPr>
        <w:spacing w:line="360" w:lineRule="auto"/>
        <w:jc w:val="center"/>
        <w:outlineLvl w:val="0"/>
        <w:rPr>
          <w:rFonts w:eastAsiaTheme="minorEastAsia"/>
          <w:b/>
          <w:sz w:val="36"/>
          <w:szCs w:val="36"/>
        </w:rPr>
      </w:pPr>
      <w:bookmarkStart w:id="578" w:name="_Toc265228392"/>
      <w:bookmarkStart w:id="579" w:name="_Toc226337250"/>
      <w:bookmarkStart w:id="580" w:name="_Toc305158822"/>
      <w:bookmarkStart w:id="581" w:name="_Toc264969244"/>
      <w:bookmarkStart w:id="582" w:name="_Toc305158896"/>
      <w:bookmarkStart w:id="583" w:name="_Toc226965827"/>
      <w:bookmarkStart w:id="584" w:name="_Toc353873664"/>
      <w:bookmarkStart w:id="585" w:name="_Toc353825544"/>
      <w:bookmarkStart w:id="586" w:name="_Toc150774759"/>
      <w:bookmarkStart w:id="587" w:name="_Toc150480792"/>
      <w:bookmarkStart w:id="588" w:name="_Toc353873934"/>
      <w:bookmarkStart w:id="589" w:name="_Toc127151554"/>
      <w:bookmarkStart w:id="590" w:name="_Toc142311056"/>
      <w:r>
        <w:rPr>
          <w:rFonts w:eastAsiaTheme="minorEastAsia"/>
          <w:sz w:val="24"/>
        </w:rPr>
        <w:br w:type="page"/>
      </w:r>
      <w:bookmarkStart w:id="591" w:name="_Toc97371943"/>
      <w:r>
        <w:rPr>
          <w:rFonts w:eastAsiaTheme="minorEastAsia"/>
          <w:b/>
          <w:sz w:val="36"/>
          <w:szCs w:val="36"/>
        </w:rPr>
        <w:t xml:space="preserve">第三章   </w:t>
      </w:r>
      <w:bookmarkEnd w:id="578"/>
      <w:bookmarkEnd w:id="579"/>
      <w:bookmarkEnd w:id="580"/>
      <w:bookmarkEnd w:id="581"/>
      <w:bookmarkEnd w:id="582"/>
      <w:bookmarkEnd w:id="583"/>
      <w:bookmarkEnd w:id="584"/>
      <w:bookmarkEnd w:id="585"/>
      <w:bookmarkEnd w:id="586"/>
      <w:bookmarkEnd w:id="587"/>
      <w:bookmarkEnd w:id="588"/>
      <w:bookmarkEnd w:id="589"/>
      <w:bookmarkEnd w:id="590"/>
      <w:r>
        <w:rPr>
          <w:rFonts w:eastAsiaTheme="minorEastAsia"/>
          <w:b/>
          <w:sz w:val="36"/>
          <w:szCs w:val="36"/>
        </w:rPr>
        <w:t>评审方法和评审标准</w:t>
      </w:r>
      <w:bookmarkEnd w:id="591"/>
      <w:bookmarkStart w:id="592" w:name="_Toc487900382"/>
    </w:p>
    <w:p w14:paraId="42EAE3BE">
      <w:pPr>
        <w:pStyle w:val="3"/>
        <w:spacing w:before="0" w:line="360" w:lineRule="auto"/>
        <w:rPr>
          <w:rFonts w:ascii="Times New Roman" w:hAnsi="Times New Roman" w:eastAsiaTheme="minorEastAsia"/>
          <w:sz w:val="24"/>
          <w:szCs w:val="24"/>
        </w:rPr>
      </w:pPr>
      <w:r>
        <w:rPr>
          <w:rFonts w:ascii="Times New Roman" w:hAnsi="Times New Roman" w:eastAsiaTheme="minorEastAsia"/>
          <w:sz w:val="24"/>
          <w:szCs w:val="24"/>
        </w:rPr>
        <w:t>一、</w:t>
      </w:r>
      <w:r>
        <w:rPr>
          <w:rFonts w:hint="eastAsia" w:ascii="Times New Roman" w:hAnsi="Times New Roman" w:eastAsiaTheme="minorEastAsia"/>
          <w:sz w:val="24"/>
          <w:szCs w:val="24"/>
        </w:rPr>
        <w:t>评审程序和方法</w:t>
      </w:r>
    </w:p>
    <w:p w14:paraId="61A11D9B">
      <w:pPr>
        <w:tabs>
          <w:tab w:val="left" w:pos="1080"/>
        </w:tabs>
        <w:snapToGrid w:val="0"/>
        <w:jc w:val="left"/>
        <w:rPr>
          <w:rFonts w:eastAsiaTheme="minorEastAsia"/>
          <w:b/>
          <w:sz w:val="24"/>
        </w:rPr>
      </w:pPr>
      <w:r>
        <w:rPr>
          <w:rFonts w:eastAsiaTheme="minorEastAsia"/>
          <w:b/>
          <w:sz w:val="24"/>
        </w:rPr>
        <w:tab/>
      </w:r>
    </w:p>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592"/>
    <w:p w14:paraId="3D657BBD">
      <w:pPr>
        <w:numPr>
          <w:ilvl w:val="0"/>
          <w:numId w:val="10"/>
        </w:numPr>
        <w:tabs>
          <w:tab w:val="left" w:pos="360"/>
        </w:tabs>
        <w:snapToGrid w:val="0"/>
        <w:spacing w:line="360" w:lineRule="auto"/>
        <w:outlineLvl w:val="1"/>
        <w:rPr>
          <w:rFonts w:eastAsiaTheme="minorEastAsia"/>
          <w:sz w:val="24"/>
        </w:rPr>
      </w:pPr>
      <w:bookmarkStart w:id="593" w:name="_Toc226337237"/>
      <w:bookmarkStart w:id="594" w:name="_Toc195842906"/>
      <w:bookmarkStart w:id="595" w:name="_Toc265228379"/>
      <w:bookmarkStart w:id="596" w:name="_Toc150774746"/>
      <w:bookmarkStart w:id="597" w:name="_Toc305158809"/>
      <w:bookmarkStart w:id="598" w:name="_Toc164351635"/>
      <w:bookmarkStart w:id="599" w:name="_Toc150509292"/>
      <w:bookmarkStart w:id="600" w:name="_Toc164608810"/>
      <w:bookmarkStart w:id="601" w:name="_Toc164229236"/>
      <w:bookmarkStart w:id="602" w:name="_Toc127151742"/>
      <w:bookmarkStart w:id="603" w:name="_Toc150774641"/>
      <w:bookmarkStart w:id="604" w:name="_Toc226965814"/>
      <w:bookmarkStart w:id="605" w:name="_Toc151193855"/>
      <w:bookmarkStart w:id="606" w:name="_Toc127161455"/>
      <w:bookmarkStart w:id="607" w:name="_Toc226309785"/>
      <w:bookmarkStart w:id="608" w:name="_Toc127151541"/>
      <w:bookmarkStart w:id="609" w:name="_Toc164229382"/>
      <w:bookmarkStart w:id="610" w:name="_Toc151193639"/>
      <w:bookmarkStart w:id="611" w:name="_Toc164608655"/>
      <w:bookmarkStart w:id="612" w:name="_Toc151193711"/>
      <w:bookmarkStart w:id="613" w:name="_Toc142311043"/>
      <w:bookmarkStart w:id="614" w:name="_Toc151193929"/>
      <w:bookmarkStart w:id="615" w:name="_Toc151190168"/>
      <w:bookmarkStart w:id="616" w:name="_Toc305158883"/>
      <w:bookmarkStart w:id="617" w:name="_Toc226965731"/>
      <w:bookmarkStart w:id="618" w:name="_Toc149720834"/>
      <w:bookmarkStart w:id="619" w:name="_Toc264969231"/>
      <w:bookmarkStart w:id="620" w:name="_Toc151193783"/>
      <w:bookmarkStart w:id="621" w:name="_Toc150480779"/>
      <w:bookmarkStart w:id="622" w:name="_Toc353873941"/>
      <w:bookmarkStart w:id="623" w:name="_Toc353825551"/>
      <w:bookmarkStart w:id="624" w:name="_Toc353873665"/>
      <w:bookmarkStart w:id="625" w:name="_Toc150480793"/>
      <w:bookmarkStart w:id="626" w:name="_Toc226337251"/>
      <w:bookmarkStart w:id="627" w:name="_Toc127151555"/>
      <w:bookmarkStart w:id="628" w:name="_Toc305158897"/>
      <w:bookmarkStart w:id="629" w:name="_Toc150774760"/>
      <w:bookmarkStart w:id="630" w:name="_Toc142311057"/>
      <w:bookmarkStart w:id="631" w:name="_Toc226965828"/>
      <w:bookmarkStart w:id="632" w:name="_Toc305158823"/>
      <w:bookmarkStart w:id="633" w:name="_Toc265228393"/>
      <w:bookmarkStart w:id="634" w:name="_Toc353825545"/>
      <w:bookmarkStart w:id="635" w:name="_Toc195842920"/>
      <w:bookmarkStart w:id="636" w:name="_Toc353873935"/>
      <w:bookmarkStart w:id="637" w:name="_Toc264969245"/>
      <w:r>
        <w:rPr>
          <w:rFonts w:eastAsiaTheme="minorEastAsia"/>
          <w:sz w:val="24"/>
        </w:rPr>
        <w:t>响应文件的</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r>
        <w:rPr>
          <w:rFonts w:eastAsiaTheme="minorEastAsia"/>
          <w:sz w:val="24"/>
        </w:rPr>
        <w:t>资格审查和符合性审查</w:t>
      </w:r>
    </w:p>
    <w:p w14:paraId="15F8E49A">
      <w:pPr>
        <w:numPr>
          <w:ilvl w:val="1"/>
          <w:numId w:val="10"/>
        </w:numPr>
        <w:tabs>
          <w:tab w:val="left" w:pos="1080"/>
        </w:tabs>
        <w:snapToGrid w:val="0"/>
        <w:spacing w:line="360" w:lineRule="auto"/>
        <w:ind w:left="1077" w:hanging="720"/>
        <w:rPr>
          <w:rFonts w:eastAsiaTheme="minorEastAsia"/>
          <w:sz w:val="24"/>
        </w:rPr>
      </w:pPr>
      <w:r>
        <w:rPr>
          <w:rFonts w:eastAsiaTheme="minorEastAsia"/>
          <w:sz w:val="24"/>
        </w:rPr>
        <w:t>磋商小组将根据《资格审查要求》和《符合性审查要求》中规定的内容，对供应商进行检查，并形成检查结果。供应商《响应文件》有任何一项不符合《资格审查要求》和《符合性审查要求》要求的，视为未实质性响应磋商文件。未实质性响应磋商文件的响应文件按</w:t>
      </w:r>
      <w:r>
        <w:rPr>
          <w:rFonts w:eastAsiaTheme="minorEastAsia"/>
          <w:b/>
          <w:sz w:val="24"/>
        </w:rPr>
        <w:t>无效响应</w:t>
      </w:r>
      <w:r>
        <w:rPr>
          <w:rFonts w:hint="eastAsia" w:eastAsiaTheme="minorEastAsia"/>
          <w:sz w:val="24"/>
        </w:rPr>
        <w:t>处理</w:t>
      </w:r>
      <w:r>
        <w:rPr>
          <w:rFonts w:eastAsiaTheme="minorEastAsia"/>
          <w:sz w:val="24"/>
        </w:rPr>
        <w:t>，磋商小组应当告知提交响应文件的供应商。</w:t>
      </w:r>
    </w:p>
    <w:p w14:paraId="3229EF75">
      <w:pPr>
        <w:numPr>
          <w:ilvl w:val="1"/>
          <w:numId w:val="10"/>
        </w:numPr>
        <w:tabs>
          <w:tab w:val="left" w:pos="1080"/>
        </w:tabs>
        <w:snapToGrid w:val="0"/>
        <w:spacing w:line="360" w:lineRule="auto"/>
        <w:ind w:left="1077" w:hanging="720"/>
        <w:rPr>
          <w:rFonts w:eastAsiaTheme="minorEastAsia"/>
          <w:sz w:val="24"/>
        </w:rPr>
      </w:pPr>
      <w:r>
        <w:rPr>
          <w:rFonts w:eastAsiaTheme="minorEastAsia"/>
          <w:sz w:val="24"/>
        </w:rPr>
        <w:t>《资格审查要求》中对格式有要求的，除竞争性磋商文件另有规定外，均为“实质性格式”文件。</w:t>
      </w:r>
    </w:p>
    <w:p w14:paraId="1C2E225D">
      <w:pPr>
        <w:numPr>
          <w:ilvl w:val="1"/>
          <w:numId w:val="10"/>
        </w:numPr>
        <w:tabs>
          <w:tab w:val="left" w:pos="1080"/>
        </w:tabs>
        <w:snapToGrid w:val="0"/>
        <w:spacing w:line="360" w:lineRule="auto"/>
        <w:ind w:left="1077" w:hanging="720"/>
        <w:rPr>
          <w:rFonts w:eastAsiaTheme="minorEastAsia"/>
          <w:sz w:val="24"/>
        </w:rPr>
      </w:pPr>
      <w:r>
        <w:rPr>
          <w:rFonts w:eastAsiaTheme="minorEastAsia"/>
          <w:sz w:val="24"/>
        </w:rPr>
        <w:t>《资格审查要求》见下表：</w:t>
      </w:r>
    </w:p>
    <w:p w14:paraId="04158C3C">
      <w:pPr>
        <w:tabs>
          <w:tab w:val="left" w:pos="900"/>
          <w:tab w:val="left" w:pos="1080"/>
        </w:tabs>
        <w:snapToGrid w:val="0"/>
        <w:spacing w:line="360" w:lineRule="auto"/>
        <w:ind w:left="1077" w:firstLine="2650" w:firstLineChars="1100"/>
        <w:rPr>
          <w:rFonts w:eastAsiaTheme="minorEastAsia"/>
          <w:b/>
          <w:sz w:val="24"/>
        </w:rPr>
      </w:pPr>
      <w:r>
        <w:rPr>
          <w:rFonts w:eastAsiaTheme="minorEastAsia"/>
          <w:b/>
          <w:sz w:val="24"/>
        </w:rPr>
        <w:t>资格审查要求</w:t>
      </w:r>
    </w:p>
    <w:tbl>
      <w:tblPr>
        <w:tblStyle w:val="43"/>
        <w:tblW w:w="912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31"/>
        <w:gridCol w:w="1711"/>
        <w:gridCol w:w="4710"/>
        <w:gridCol w:w="1874"/>
      </w:tblGrid>
      <w:tr w14:paraId="41CCD9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831" w:type="dxa"/>
            <w:vAlign w:val="center"/>
          </w:tcPr>
          <w:p w14:paraId="41C32FBC">
            <w:pPr>
              <w:tabs>
                <w:tab w:val="left" w:pos="1080"/>
              </w:tabs>
              <w:snapToGrid w:val="0"/>
              <w:jc w:val="center"/>
              <w:rPr>
                <w:rFonts w:eastAsiaTheme="minorEastAsia"/>
                <w:b/>
                <w:sz w:val="24"/>
              </w:rPr>
            </w:pPr>
            <w:bookmarkStart w:id="638" w:name="_Hlt487972895"/>
            <w:bookmarkEnd w:id="638"/>
            <w:r>
              <w:rPr>
                <w:rFonts w:eastAsiaTheme="minorEastAsia"/>
                <w:b/>
                <w:sz w:val="24"/>
              </w:rPr>
              <w:t>序号</w:t>
            </w:r>
          </w:p>
        </w:tc>
        <w:tc>
          <w:tcPr>
            <w:tcW w:w="1711" w:type="dxa"/>
            <w:vAlign w:val="center"/>
          </w:tcPr>
          <w:p w14:paraId="1AAD9448">
            <w:pPr>
              <w:tabs>
                <w:tab w:val="left" w:pos="1080"/>
              </w:tabs>
              <w:snapToGrid w:val="0"/>
              <w:jc w:val="center"/>
              <w:rPr>
                <w:rFonts w:eastAsiaTheme="minorEastAsia"/>
                <w:b/>
                <w:sz w:val="24"/>
              </w:rPr>
            </w:pPr>
            <w:r>
              <w:rPr>
                <w:rFonts w:eastAsiaTheme="minorEastAsia"/>
                <w:b/>
                <w:sz w:val="24"/>
              </w:rPr>
              <w:t>检查因素</w:t>
            </w:r>
          </w:p>
        </w:tc>
        <w:tc>
          <w:tcPr>
            <w:tcW w:w="4710" w:type="dxa"/>
            <w:vAlign w:val="center"/>
          </w:tcPr>
          <w:p w14:paraId="164CBCB2">
            <w:pPr>
              <w:tabs>
                <w:tab w:val="left" w:pos="1080"/>
              </w:tabs>
              <w:snapToGrid w:val="0"/>
              <w:jc w:val="center"/>
              <w:rPr>
                <w:rFonts w:eastAsiaTheme="minorEastAsia"/>
                <w:b/>
                <w:sz w:val="24"/>
              </w:rPr>
            </w:pPr>
            <w:r>
              <w:rPr>
                <w:rFonts w:eastAsiaTheme="minorEastAsia"/>
                <w:b/>
                <w:sz w:val="24"/>
              </w:rPr>
              <w:t>检查内容</w:t>
            </w:r>
          </w:p>
        </w:tc>
        <w:tc>
          <w:tcPr>
            <w:tcW w:w="1874" w:type="dxa"/>
            <w:vAlign w:val="center"/>
          </w:tcPr>
          <w:p w14:paraId="220699F3">
            <w:pPr>
              <w:tabs>
                <w:tab w:val="left" w:pos="1080"/>
              </w:tabs>
              <w:snapToGrid w:val="0"/>
              <w:jc w:val="center"/>
              <w:rPr>
                <w:rFonts w:eastAsiaTheme="minorEastAsia"/>
                <w:b/>
                <w:sz w:val="24"/>
              </w:rPr>
            </w:pPr>
            <w:r>
              <w:rPr>
                <w:rFonts w:eastAsiaTheme="minorEastAsia"/>
                <w:b/>
                <w:sz w:val="24"/>
              </w:rPr>
              <w:t>格式要求</w:t>
            </w:r>
          </w:p>
        </w:tc>
      </w:tr>
      <w:tr w14:paraId="11C8D5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31" w:type="dxa"/>
            <w:vAlign w:val="center"/>
          </w:tcPr>
          <w:p w14:paraId="20A0ADDB">
            <w:pPr>
              <w:tabs>
                <w:tab w:val="left" w:pos="1080"/>
              </w:tabs>
              <w:snapToGrid w:val="0"/>
              <w:jc w:val="center"/>
              <w:rPr>
                <w:rFonts w:eastAsiaTheme="minorEastAsia"/>
                <w:sz w:val="24"/>
              </w:rPr>
            </w:pPr>
            <w:r>
              <w:rPr>
                <w:rFonts w:eastAsiaTheme="minorEastAsia"/>
                <w:sz w:val="24"/>
              </w:rPr>
              <w:t>1</w:t>
            </w:r>
          </w:p>
        </w:tc>
        <w:tc>
          <w:tcPr>
            <w:tcW w:w="1711" w:type="dxa"/>
            <w:vAlign w:val="center"/>
          </w:tcPr>
          <w:p w14:paraId="5643ED44">
            <w:pPr>
              <w:tabs>
                <w:tab w:val="left" w:pos="1080"/>
              </w:tabs>
              <w:snapToGrid w:val="0"/>
              <w:jc w:val="left"/>
              <w:rPr>
                <w:rFonts w:eastAsiaTheme="minorEastAsia"/>
                <w:sz w:val="24"/>
              </w:rPr>
            </w:pPr>
            <w:r>
              <w:rPr>
                <w:rFonts w:eastAsiaTheme="minorEastAsia"/>
                <w:sz w:val="24"/>
              </w:rPr>
              <w:t>满足《中华人民共和国政府采购法》第二十二条规定</w:t>
            </w:r>
          </w:p>
        </w:tc>
        <w:tc>
          <w:tcPr>
            <w:tcW w:w="4710" w:type="dxa"/>
            <w:vAlign w:val="center"/>
          </w:tcPr>
          <w:p w14:paraId="4F4F3AF9">
            <w:pPr>
              <w:tabs>
                <w:tab w:val="left" w:pos="1080"/>
              </w:tabs>
              <w:snapToGrid w:val="0"/>
              <w:jc w:val="left"/>
              <w:rPr>
                <w:rFonts w:eastAsiaTheme="minorEastAsia"/>
                <w:sz w:val="24"/>
              </w:rPr>
            </w:pPr>
            <w:r>
              <w:rPr>
                <w:rFonts w:eastAsiaTheme="minorEastAsia"/>
                <w:sz w:val="24"/>
              </w:rPr>
              <w:t>具体规定见第一章《采购邀请》</w:t>
            </w:r>
          </w:p>
        </w:tc>
        <w:tc>
          <w:tcPr>
            <w:tcW w:w="1874" w:type="dxa"/>
            <w:vAlign w:val="center"/>
          </w:tcPr>
          <w:p w14:paraId="5363E32E">
            <w:pPr>
              <w:tabs>
                <w:tab w:val="left" w:pos="1080"/>
              </w:tabs>
              <w:snapToGrid w:val="0"/>
              <w:jc w:val="left"/>
              <w:rPr>
                <w:rFonts w:eastAsiaTheme="minorEastAsia"/>
                <w:sz w:val="24"/>
              </w:rPr>
            </w:pPr>
          </w:p>
        </w:tc>
      </w:tr>
      <w:tr w14:paraId="10DFB4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31" w:type="dxa"/>
            <w:vAlign w:val="center"/>
          </w:tcPr>
          <w:p w14:paraId="2A1E2664">
            <w:pPr>
              <w:tabs>
                <w:tab w:val="left" w:pos="1080"/>
              </w:tabs>
              <w:snapToGrid w:val="0"/>
              <w:jc w:val="center"/>
              <w:rPr>
                <w:rFonts w:eastAsiaTheme="minorEastAsia"/>
                <w:sz w:val="24"/>
              </w:rPr>
            </w:pPr>
            <w:r>
              <w:rPr>
                <w:rFonts w:eastAsiaTheme="minorEastAsia"/>
                <w:sz w:val="24"/>
              </w:rPr>
              <w:t>1-1</w:t>
            </w:r>
          </w:p>
        </w:tc>
        <w:tc>
          <w:tcPr>
            <w:tcW w:w="1711" w:type="dxa"/>
            <w:vAlign w:val="center"/>
          </w:tcPr>
          <w:p w14:paraId="0A9C9F3E">
            <w:pPr>
              <w:tabs>
                <w:tab w:val="left" w:pos="1080"/>
              </w:tabs>
              <w:snapToGrid w:val="0"/>
              <w:jc w:val="left"/>
              <w:rPr>
                <w:rFonts w:eastAsiaTheme="minorEastAsia"/>
                <w:sz w:val="24"/>
              </w:rPr>
            </w:pPr>
            <w:r>
              <w:rPr>
                <w:rFonts w:eastAsiaTheme="minorEastAsia"/>
                <w:sz w:val="24"/>
              </w:rPr>
              <w:t>营业执照等证明文件</w:t>
            </w:r>
          </w:p>
        </w:tc>
        <w:tc>
          <w:tcPr>
            <w:tcW w:w="4710" w:type="dxa"/>
            <w:vAlign w:val="center"/>
          </w:tcPr>
          <w:p w14:paraId="0F54B993">
            <w:pPr>
              <w:tabs>
                <w:tab w:val="left" w:pos="1080"/>
              </w:tabs>
              <w:snapToGrid w:val="0"/>
              <w:jc w:val="left"/>
              <w:rPr>
                <w:rFonts w:eastAsiaTheme="minorEastAsia"/>
                <w:sz w:val="24"/>
              </w:rPr>
            </w:pPr>
            <w:r>
              <w:rPr>
                <w:rFonts w:eastAsiaTheme="minorEastAsia"/>
                <w:sz w:val="24"/>
              </w:rPr>
              <w:t>供应商为企业（包括合伙企业）的，应提供有效的“营业执照”；</w:t>
            </w:r>
          </w:p>
          <w:p w14:paraId="3B2AAD06">
            <w:pPr>
              <w:tabs>
                <w:tab w:val="left" w:pos="1080"/>
              </w:tabs>
              <w:snapToGrid w:val="0"/>
              <w:jc w:val="left"/>
              <w:rPr>
                <w:rFonts w:eastAsiaTheme="minorEastAsia"/>
                <w:sz w:val="24"/>
              </w:rPr>
            </w:pPr>
            <w:r>
              <w:rPr>
                <w:rFonts w:eastAsiaTheme="minorEastAsia"/>
                <w:sz w:val="24"/>
              </w:rPr>
              <w:t>供应商为事业单位的，应提供有效的“事业单位法人证书”；</w:t>
            </w:r>
          </w:p>
          <w:p w14:paraId="5CA4A575">
            <w:pPr>
              <w:tabs>
                <w:tab w:val="left" w:pos="1080"/>
              </w:tabs>
              <w:snapToGrid w:val="0"/>
              <w:jc w:val="left"/>
              <w:rPr>
                <w:rFonts w:eastAsiaTheme="minorEastAsia"/>
                <w:sz w:val="24"/>
              </w:rPr>
            </w:pPr>
            <w:r>
              <w:rPr>
                <w:rFonts w:eastAsiaTheme="minorEastAsia"/>
                <w:sz w:val="24"/>
              </w:rPr>
              <w:t>供应商</w:t>
            </w:r>
            <w:r>
              <w:rPr>
                <w:sz w:val="24"/>
              </w:rPr>
              <w:t>是非企业机构的，应提供有效的“执业许可证”、“登记证书”等证明文件</w:t>
            </w:r>
            <w:r>
              <w:rPr>
                <w:rFonts w:eastAsiaTheme="minorEastAsia"/>
                <w:sz w:val="24"/>
              </w:rPr>
              <w:t>；</w:t>
            </w:r>
          </w:p>
          <w:p w14:paraId="7DC56F43">
            <w:pPr>
              <w:tabs>
                <w:tab w:val="left" w:pos="1080"/>
              </w:tabs>
              <w:snapToGrid w:val="0"/>
              <w:jc w:val="left"/>
              <w:rPr>
                <w:rFonts w:eastAsiaTheme="minorEastAsia"/>
                <w:sz w:val="24"/>
              </w:rPr>
            </w:pPr>
            <w:r>
              <w:rPr>
                <w:rFonts w:eastAsiaTheme="minorEastAsia"/>
                <w:sz w:val="24"/>
              </w:rPr>
              <w:t>供应商是个体工商户的，应提供有效的“个体工商户营业执照”；</w:t>
            </w:r>
          </w:p>
          <w:p w14:paraId="2152D49E">
            <w:pPr>
              <w:tabs>
                <w:tab w:val="left" w:pos="1080"/>
              </w:tabs>
              <w:snapToGrid w:val="0"/>
              <w:jc w:val="left"/>
              <w:rPr>
                <w:rFonts w:eastAsiaTheme="minorEastAsia"/>
                <w:sz w:val="24"/>
              </w:rPr>
            </w:pPr>
            <w:r>
              <w:rPr>
                <w:rFonts w:eastAsiaTheme="minorEastAsia"/>
                <w:sz w:val="24"/>
              </w:rPr>
              <w:t>供应商是自然人的，应提供有效的自然人身份证明。</w:t>
            </w:r>
          </w:p>
          <w:p w14:paraId="36BDECAC">
            <w:pPr>
              <w:tabs>
                <w:tab w:val="left" w:pos="1080"/>
              </w:tabs>
              <w:snapToGrid w:val="0"/>
              <w:jc w:val="left"/>
              <w:rPr>
                <w:rFonts w:eastAsiaTheme="minorEastAsia"/>
                <w:color w:val="000000"/>
                <w:sz w:val="24"/>
              </w:rPr>
            </w:pPr>
            <w:r>
              <w:rPr>
                <w:color w:val="000000"/>
                <w:sz w:val="24"/>
              </w:rPr>
              <w:t>分支机构参加响应的，应提供该分支机构或其所属法人</w:t>
            </w:r>
            <w:r>
              <w:rPr>
                <w:rFonts w:hint="eastAsia"/>
                <w:color w:val="000000"/>
                <w:sz w:val="24"/>
              </w:rPr>
              <w:t>/</w:t>
            </w:r>
            <w:r>
              <w:rPr>
                <w:color w:val="000000"/>
                <w:sz w:val="24"/>
              </w:rPr>
              <w:t>其他组织的相应证明文件；同时还应提供其所属法人/其他组织出具的授权其参与本项目的授权书（格式自拟，须加</w:t>
            </w:r>
            <w:r>
              <w:rPr>
                <w:sz w:val="24"/>
              </w:rPr>
              <w:t>盖其所属法人/其他组织的公章）；对于</w:t>
            </w:r>
            <w:r>
              <w:rPr>
                <w:iCs/>
                <w:sz w:val="24"/>
              </w:rPr>
              <w:t>银行、保险、石油石化、电力、电信等行业的分支机构，可以提供上述</w:t>
            </w:r>
            <w:r>
              <w:rPr>
                <w:sz w:val="24"/>
              </w:rPr>
              <w:t>授权，也</w:t>
            </w:r>
            <w:r>
              <w:rPr>
                <w:color w:val="000000"/>
                <w:sz w:val="24"/>
              </w:rPr>
              <w:t>可以提供其所属法人/其他组织的有关文件或制度等能够证明授权其独立开展业务的证明材料。</w:t>
            </w:r>
          </w:p>
        </w:tc>
        <w:tc>
          <w:tcPr>
            <w:tcW w:w="1874" w:type="dxa"/>
            <w:vAlign w:val="center"/>
          </w:tcPr>
          <w:p w14:paraId="7ECDA39C">
            <w:pPr>
              <w:tabs>
                <w:tab w:val="left" w:pos="1080"/>
              </w:tabs>
              <w:snapToGrid w:val="0"/>
              <w:jc w:val="left"/>
              <w:rPr>
                <w:rFonts w:eastAsiaTheme="minorEastAsia"/>
                <w:sz w:val="24"/>
              </w:rPr>
            </w:pPr>
            <w:r>
              <w:rPr>
                <w:rFonts w:eastAsiaTheme="minorEastAsia"/>
                <w:sz w:val="24"/>
              </w:rPr>
              <w:t>提供证明文件的电子件或电子证照</w:t>
            </w:r>
          </w:p>
        </w:tc>
      </w:tr>
      <w:tr w14:paraId="60FEFE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31" w:type="dxa"/>
            <w:vAlign w:val="center"/>
          </w:tcPr>
          <w:p w14:paraId="35623D91">
            <w:pPr>
              <w:tabs>
                <w:tab w:val="left" w:pos="1080"/>
              </w:tabs>
              <w:snapToGrid w:val="0"/>
              <w:jc w:val="center"/>
              <w:rPr>
                <w:rFonts w:eastAsiaTheme="minorEastAsia"/>
                <w:sz w:val="24"/>
              </w:rPr>
            </w:pPr>
            <w:r>
              <w:rPr>
                <w:rFonts w:eastAsiaTheme="minorEastAsia"/>
                <w:sz w:val="24"/>
              </w:rPr>
              <w:t>1-2</w:t>
            </w:r>
          </w:p>
        </w:tc>
        <w:tc>
          <w:tcPr>
            <w:tcW w:w="1711" w:type="dxa"/>
            <w:vAlign w:val="center"/>
          </w:tcPr>
          <w:p w14:paraId="75EDE321">
            <w:pPr>
              <w:tabs>
                <w:tab w:val="left" w:pos="1080"/>
              </w:tabs>
              <w:snapToGrid w:val="0"/>
              <w:jc w:val="left"/>
              <w:rPr>
                <w:rFonts w:eastAsiaTheme="minorEastAsia"/>
                <w:sz w:val="24"/>
              </w:rPr>
            </w:pPr>
            <w:r>
              <w:rPr>
                <w:rFonts w:eastAsiaTheme="minorEastAsia"/>
                <w:sz w:val="24"/>
              </w:rPr>
              <w:t>供应商资格声明书</w:t>
            </w:r>
          </w:p>
        </w:tc>
        <w:tc>
          <w:tcPr>
            <w:tcW w:w="4710" w:type="dxa"/>
            <w:vAlign w:val="center"/>
          </w:tcPr>
          <w:p w14:paraId="3E4FCFD9">
            <w:pPr>
              <w:tabs>
                <w:tab w:val="left" w:pos="1080"/>
              </w:tabs>
              <w:snapToGrid w:val="0"/>
              <w:jc w:val="left"/>
              <w:rPr>
                <w:rFonts w:eastAsiaTheme="minorEastAsia"/>
                <w:sz w:val="24"/>
              </w:rPr>
            </w:pPr>
            <w:r>
              <w:rPr>
                <w:rFonts w:eastAsiaTheme="minorEastAsia"/>
                <w:sz w:val="24"/>
              </w:rPr>
              <w:t>提供了符合竞争性磋商文件要求的《供应商资格声明书》。</w:t>
            </w:r>
          </w:p>
        </w:tc>
        <w:tc>
          <w:tcPr>
            <w:tcW w:w="1874" w:type="dxa"/>
            <w:vAlign w:val="center"/>
          </w:tcPr>
          <w:p w14:paraId="62B0A6E8">
            <w:pPr>
              <w:tabs>
                <w:tab w:val="left" w:pos="1080"/>
              </w:tabs>
              <w:snapToGrid w:val="0"/>
              <w:jc w:val="left"/>
              <w:rPr>
                <w:rFonts w:eastAsiaTheme="minorEastAsia"/>
                <w:sz w:val="24"/>
              </w:rPr>
            </w:pPr>
            <w:r>
              <w:rPr>
                <w:rFonts w:eastAsiaTheme="minorEastAsia"/>
                <w:sz w:val="24"/>
              </w:rPr>
              <w:t>格式见《响应文件格式》</w:t>
            </w:r>
          </w:p>
        </w:tc>
      </w:tr>
      <w:tr w14:paraId="20B608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31" w:type="dxa"/>
            <w:vAlign w:val="center"/>
          </w:tcPr>
          <w:p w14:paraId="1581BD2D">
            <w:pPr>
              <w:tabs>
                <w:tab w:val="left" w:pos="1080"/>
              </w:tabs>
              <w:snapToGrid w:val="0"/>
              <w:jc w:val="center"/>
              <w:rPr>
                <w:rFonts w:eastAsiaTheme="minorEastAsia"/>
                <w:sz w:val="24"/>
              </w:rPr>
            </w:pPr>
            <w:r>
              <w:rPr>
                <w:rFonts w:eastAsiaTheme="minorEastAsia"/>
                <w:sz w:val="24"/>
              </w:rPr>
              <w:t>1-3</w:t>
            </w:r>
          </w:p>
        </w:tc>
        <w:tc>
          <w:tcPr>
            <w:tcW w:w="1711" w:type="dxa"/>
            <w:vAlign w:val="center"/>
          </w:tcPr>
          <w:p w14:paraId="2AA6B6C7">
            <w:pPr>
              <w:tabs>
                <w:tab w:val="left" w:pos="1080"/>
              </w:tabs>
              <w:snapToGrid w:val="0"/>
              <w:rPr>
                <w:rFonts w:eastAsiaTheme="minorEastAsia"/>
                <w:sz w:val="24"/>
              </w:rPr>
            </w:pPr>
            <w:r>
              <w:rPr>
                <w:rFonts w:eastAsiaTheme="minorEastAsia"/>
                <w:sz w:val="24"/>
              </w:rPr>
              <w:t>供应商信用记录</w:t>
            </w:r>
          </w:p>
        </w:tc>
        <w:tc>
          <w:tcPr>
            <w:tcW w:w="4710" w:type="dxa"/>
            <w:vAlign w:val="center"/>
          </w:tcPr>
          <w:p w14:paraId="23BECA00">
            <w:pPr>
              <w:tabs>
                <w:tab w:val="left" w:pos="1080"/>
              </w:tabs>
              <w:snapToGrid w:val="0"/>
              <w:rPr>
                <w:rFonts w:eastAsiaTheme="minorEastAsia"/>
                <w:sz w:val="24"/>
              </w:rPr>
            </w:pPr>
            <w:r>
              <w:rPr>
                <w:rFonts w:eastAsiaTheme="minorEastAsia"/>
                <w:sz w:val="24"/>
              </w:rPr>
              <w:t>查询渠道：信用中国网站和中国政府采购网（</w:t>
            </w:r>
            <w:r>
              <w:rPr>
                <w:rFonts w:eastAsiaTheme="minorEastAsia"/>
              </w:rPr>
              <w:t>www.creditchina.gov.cn</w:t>
            </w:r>
            <w:r>
              <w:rPr>
                <w:rFonts w:eastAsiaTheme="minorEastAsia"/>
                <w:sz w:val="24"/>
              </w:rPr>
              <w:t>、</w:t>
            </w:r>
            <w:r>
              <w:rPr>
                <w:rFonts w:eastAsiaTheme="minorEastAsia"/>
              </w:rPr>
              <w:t>www.ccgp.gov.cn</w:t>
            </w:r>
            <w:r>
              <w:rPr>
                <w:rFonts w:eastAsiaTheme="minorEastAsia"/>
                <w:sz w:val="24"/>
              </w:rPr>
              <w:t>）；</w:t>
            </w:r>
          </w:p>
          <w:p w14:paraId="7FD142DE">
            <w:pPr>
              <w:tabs>
                <w:tab w:val="left" w:pos="900"/>
                <w:tab w:val="left" w:pos="1980"/>
              </w:tabs>
              <w:snapToGrid w:val="0"/>
              <w:rPr>
                <w:rFonts w:eastAsiaTheme="minorEastAsia"/>
                <w:sz w:val="24"/>
              </w:rPr>
            </w:pPr>
            <w:r>
              <w:rPr>
                <w:rFonts w:eastAsiaTheme="minorEastAsia"/>
                <w:sz w:val="24"/>
              </w:rPr>
              <w:t>截止时点：</w:t>
            </w:r>
            <w:r>
              <w:rPr>
                <w:rFonts w:eastAsiaTheme="minorEastAsia"/>
                <w:color w:val="000000"/>
                <w:kern w:val="0"/>
                <w:sz w:val="24"/>
                <w:szCs w:val="20"/>
              </w:rPr>
              <w:t>首次响应文件提交截止时间以后</w:t>
            </w:r>
            <w:r>
              <w:rPr>
                <w:rFonts w:eastAsiaTheme="minorEastAsia"/>
                <w:sz w:val="24"/>
              </w:rPr>
              <w:t>、资格审查阶段采购人或采购代理机构的实际查询时间；</w:t>
            </w:r>
          </w:p>
          <w:p w14:paraId="4CC3E179">
            <w:pPr>
              <w:tabs>
                <w:tab w:val="left" w:pos="900"/>
                <w:tab w:val="left" w:pos="1980"/>
              </w:tabs>
              <w:snapToGrid w:val="0"/>
              <w:rPr>
                <w:rFonts w:eastAsiaTheme="minorEastAsia"/>
                <w:sz w:val="24"/>
              </w:rPr>
            </w:pPr>
            <w:r>
              <w:rPr>
                <w:rFonts w:eastAsiaTheme="minorEastAsia"/>
                <w:sz w:val="24"/>
              </w:rPr>
              <w:t>信用信息查询记录和证据留存具体方式：查询结果网页打印页作为查询记录和证据，与其他竞争性磋商文件一并保存；</w:t>
            </w:r>
          </w:p>
          <w:p w14:paraId="76772D98">
            <w:pPr>
              <w:tabs>
                <w:tab w:val="left" w:pos="1080"/>
              </w:tabs>
              <w:snapToGrid w:val="0"/>
              <w:rPr>
                <w:rFonts w:eastAsiaTheme="minorEastAsia"/>
                <w:sz w:val="24"/>
              </w:rPr>
            </w:pPr>
            <w:r>
              <w:rPr>
                <w:rFonts w:eastAsiaTheme="minorEastAsia"/>
                <w:sz w:val="24"/>
              </w:rPr>
              <w:t>信用信息的使用原则：经认定的被列入失信被执行人、重大税收违法案件当事人名单、政府采购严重违法失信行为记录名单的供应商，其</w:t>
            </w:r>
            <w:r>
              <w:rPr>
                <w:rFonts w:eastAsiaTheme="minorEastAsia"/>
                <w:b/>
                <w:sz w:val="24"/>
              </w:rPr>
              <w:t>响应无效</w:t>
            </w:r>
            <w:r>
              <w:rPr>
                <w:rFonts w:eastAsiaTheme="minorEastAsia"/>
                <w:sz w:val="24"/>
              </w:rPr>
              <w:t>。联合体形式磋商的，联合体成员存在不良信用记录，视同联合体存在不良信用记录。</w:t>
            </w:r>
          </w:p>
        </w:tc>
        <w:tc>
          <w:tcPr>
            <w:tcW w:w="1874" w:type="dxa"/>
            <w:vAlign w:val="center"/>
          </w:tcPr>
          <w:p w14:paraId="17077B9A">
            <w:pPr>
              <w:tabs>
                <w:tab w:val="left" w:pos="1080"/>
              </w:tabs>
              <w:snapToGrid w:val="0"/>
              <w:rPr>
                <w:rFonts w:eastAsiaTheme="minorEastAsia"/>
                <w:sz w:val="24"/>
              </w:rPr>
            </w:pPr>
            <w:r>
              <w:rPr>
                <w:rFonts w:eastAsiaTheme="minorEastAsia"/>
                <w:sz w:val="24"/>
              </w:rPr>
              <w:t>无须供应商提供，由采购人或采购代理机构查询。</w:t>
            </w:r>
          </w:p>
        </w:tc>
      </w:tr>
      <w:tr w14:paraId="1C8D0F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31" w:type="dxa"/>
            <w:vAlign w:val="center"/>
          </w:tcPr>
          <w:p w14:paraId="6024A906">
            <w:pPr>
              <w:tabs>
                <w:tab w:val="left" w:pos="1080"/>
              </w:tabs>
              <w:snapToGrid w:val="0"/>
              <w:jc w:val="center"/>
              <w:rPr>
                <w:rFonts w:eastAsiaTheme="minorEastAsia"/>
                <w:sz w:val="24"/>
              </w:rPr>
            </w:pPr>
            <w:r>
              <w:rPr>
                <w:sz w:val="24"/>
              </w:rPr>
              <w:t>1-4</w:t>
            </w:r>
          </w:p>
        </w:tc>
        <w:tc>
          <w:tcPr>
            <w:tcW w:w="1711" w:type="dxa"/>
            <w:vAlign w:val="center"/>
          </w:tcPr>
          <w:p w14:paraId="4E087861">
            <w:pPr>
              <w:tabs>
                <w:tab w:val="left" w:pos="1080"/>
              </w:tabs>
              <w:snapToGrid w:val="0"/>
              <w:rPr>
                <w:rFonts w:eastAsiaTheme="minorEastAsia"/>
                <w:sz w:val="24"/>
              </w:rPr>
            </w:pPr>
            <w:r>
              <w:rPr>
                <w:sz w:val="24"/>
              </w:rPr>
              <w:t>法律、行政法规规定的其他条件</w:t>
            </w:r>
          </w:p>
        </w:tc>
        <w:tc>
          <w:tcPr>
            <w:tcW w:w="4710" w:type="dxa"/>
            <w:vAlign w:val="center"/>
          </w:tcPr>
          <w:p w14:paraId="54DF07BC">
            <w:pPr>
              <w:tabs>
                <w:tab w:val="left" w:pos="1080"/>
              </w:tabs>
              <w:snapToGrid w:val="0"/>
              <w:rPr>
                <w:rFonts w:eastAsiaTheme="minorEastAsia"/>
                <w:sz w:val="24"/>
              </w:rPr>
            </w:pPr>
            <w:r>
              <w:rPr>
                <w:sz w:val="24"/>
              </w:rPr>
              <w:t>法律、行政法规规定的其他条件</w:t>
            </w:r>
          </w:p>
        </w:tc>
        <w:tc>
          <w:tcPr>
            <w:tcW w:w="1874" w:type="dxa"/>
            <w:vAlign w:val="center"/>
          </w:tcPr>
          <w:p w14:paraId="56580F8D">
            <w:pPr>
              <w:tabs>
                <w:tab w:val="left" w:pos="1080"/>
              </w:tabs>
              <w:snapToGrid w:val="0"/>
              <w:jc w:val="center"/>
              <w:rPr>
                <w:rFonts w:eastAsiaTheme="minorEastAsia"/>
                <w:sz w:val="24"/>
              </w:rPr>
            </w:pPr>
            <w:r>
              <w:rPr>
                <w:sz w:val="24"/>
              </w:rPr>
              <w:t>/</w:t>
            </w:r>
          </w:p>
        </w:tc>
      </w:tr>
      <w:tr w14:paraId="778061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31" w:type="dxa"/>
            <w:vAlign w:val="center"/>
          </w:tcPr>
          <w:p w14:paraId="53D15FA4">
            <w:pPr>
              <w:tabs>
                <w:tab w:val="left" w:pos="1080"/>
              </w:tabs>
              <w:snapToGrid w:val="0"/>
              <w:jc w:val="center"/>
              <w:rPr>
                <w:rFonts w:eastAsiaTheme="minorEastAsia"/>
                <w:sz w:val="24"/>
              </w:rPr>
            </w:pPr>
            <w:r>
              <w:rPr>
                <w:rFonts w:eastAsiaTheme="minorEastAsia"/>
                <w:sz w:val="24"/>
              </w:rPr>
              <w:t>2</w:t>
            </w:r>
          </w:p>
        </w:tc>
        <w:tc>
          <w:tcPr>
            <w:tcW w:w="1711" w:type="dxa"/>
            <w:vAlign w:val="center"/>
          </w:tcPr>
          <w:p w14:paraId="38DCD562">
            <w:pPr>
              <w:tabs>
                <w:tab w:val="left" w:pos="1080"/>
              </w:tabs>
              <w:snapToGrid w:val="0"/>
              <w:jc w:val="left"/>
              <w:rPr>
                <w:rFonts w:eastAsiaTheme="minorEastAsia"/>
                <w:sz w:val="24"/>
              </w:rPr>
            </w:pPr>
            <w:r>
              <w:rPr>
                <w:rFonts w:eastAsiaTheme="minorEastAsia"/>
                <w:sz w:val="24"/>
              </w:rPr>
              <w:t>落实政府采购政策需满足的资格要求</w:t>
            </w:r>
          </w:p>
        </w:tc>
        <w:tc>
          <w:tcPr>
            <w:tcW w:w="4710" w:type="dxa"/>
            <w:vAlign w:val="center"/>
          </w:tcPr>
          <w:p w14:paraId="79DA6888">
            <w:pPr>
              <w:tabs>
                <w:tab w:val="left" w:pos="1080"/>
              </w:tabs>
              <w:snapToGrid w:val="0"/>
              <w:jc w:val="left"/>
              <w:rPr>
                <w:rFonts w:eastAsiaTheme="minorEastAsia"/>
                <w:sz w:val="24"/>
              </w:rPr>
            </w:pPr>
            <w:r>
              <w:rPr>
                <w:rFonts w:eastAsiaTheme="minorEastAsia"/>
                <w:sz w:val="24"/>
              </w:rPr>
              <w:t>具体要求见第一章《采购邀请》</w:t>
            </w:r>
          </w:p>
        </w:tc>
        <w:tc>
          <w:tcPr>
            <w:tcW w:w="1874" w:type="dxa"/>
            <w:vAlign w:val="center"/>
          </w:tcPr>
          <w:p w14:paraId="61A200CC">
            <w:pPr>
              <w:tabs>
                <w:tab w:val="left" w:pos="1080"/>
              </w:tabs>
              <w:snapToGrid w:val="0"/>
              <w:jc w:val="left"/>
              <w:rPr>
                <w:rFonts w:eastAsiaTheme="minorEastAsia"/>
                <w:sz w:val="24"/>
              </w:rPr>
            </w:pPr>
          </w:p>
        </w:tc>
      </w:tr>
      <w:tr w14:paraId="62123C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31" w:type="dxa"/>
            <w:vAlign w:val="center"/>
          </w:tcPr>
          <w:p w14:paraId="3F17EAC1">
            <w:pPr>
              <w:tabs>
                <w:tab w:val="left" w:pos="1080"/>
              </w:tabs>
              <w:snapToGrid w:val="0"/>
              <w:jc w:val="center"/>
              <w:rPr>
                <w:rFonts w:eastAsiaTheme="minorEastAsia"/>
                <w:sz w:val="24"/>
              </w:rPr>
            </w:pPr>
            <w:r>
              <w:rPr>
                <w:rFonts w:eastAsiaTheme="minorEastAsia"/>
                <w:sz w:val="24"/>
              </w:rPr>
              <w:t>2-1</w:t>
            </w:r>
          </w:p>
        </w:tc>
        <w:tc>
          <w:tcPr>
            <w:tcW w:w="1711" w:type="dxa"/>
            <w:vAlign w:val="center"/>
          </w:tcPr>
          <w:p w14:paraId="513A1C03">
            <w:pPr>
              <w:tabs>
                <w:tab w:val="left" w:pos="1080"/>
              </w:tabs>
              <w:snapToGrid w:val="0"/>
              <w:jc w:val="left"/>
              <w:rPr>
                <w:rFonts w:eastAsiaTheme="minorEastAsia"/>
                <w:sz w:val="24"/>
              </w:rPr>
            </w:pPr>
            <w:r>
              <w:rPr>
                <w:rFonts w:eastAsiaTheme="minorEastAsia"/>
                <w:sz w:val="24"/>
              </w:rPr>
              <w:t>中小企业政策</w:t>
            </w:r>
            <w:r>
              <w:rPr>
                <w:rFonts w:hint="eastAsia" w:eastAsiaTheme="minorEastAsia"/>
                <w:sz w:val="24"/>
              </w:rPr>
              <w:t>证明文件</w:t>
            </w:r>
          </w:p>
        </w:tc>
        <w:tc>
          <w:tcPr>
            <w:tcW w:w="4710" w:type="dxa"/>
            <w:vAlign w:val="center"/>
          </w:tcPr>
          <w:p w14:paraId="21E1E3C1">
            <w:pPr>
              <w:tabs>
                <w:tab w:val="left" w:pos="1080"/>
              </w:tabs>
              <w:snapToGrid w:val="0"/>
              <w:jc w:val="left"/>
              <w:rPr>
                <w:rFonts w:eastAsiaTheme="minorEastAsia"/>
                <w:sz w:val="24"/>
              </w:rPr>
            </w:pPr>
            <w:r>
              <w:rPr>
                <w:rFonts w:eastAsiaTheme="minorEastAsia"/>
                <w:sz w:val="24"/>
              </w:rPr>
              <w:t>具体要求见第一章《采购邀请》</w:t>
            </w:r>
          </w:p>
        </w:tc>
        <w:tc>
          <w:tcPr>
            <w:tcW w:w="1874" w:type="dxa"/>
            <w:vAlign w:val="center"/>
          </w:tcPr>
          <w:p w14:paraId="424875A6">
            <w:pPr>
              <w:tabs>
                <w:tab w:val="left" w:pos="1080"/>
              </w:tabs>
              <w:snapToGrid w:val="0"/>
              <w:jc w:val="left"/>
              <w:rPr>
                <w:rFonts w:eastAsiaTheme="minorEastAsia"/>
                <w:sz w:val="24"/>
              </w:rPr>
            </w:pPr>
          </w:p>
        </w:tc>
      </w:tr>
      <w:tr w14:paraId="3E1F84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31" w:type="dxa"/>
            <w:vAlign w:val="center"/>
          </w:tcPr>
          <w:p w14:paraId="38AE4D29">
            <w:pPr>
              <w:tabs>
                <w:tab w:val="left" w:pos="1080"/>
              </w:tabs>
              <w:snapToGrid w:val="0"/>
              <w:jc w:val="center"/>
              <w:rPr>
                <w:rFonts w:eastAsiaTheme="minorEastAsia"/>
                <w:sz w:val="24"/>
              </w:rPr>
            </w:pPr>
            <w:r>
              <w:rPr>
                <w:rFonts w:eastAsiaTheme="minorEastAsia"/>
                <w:sz w:val="24"/>
              </w:rPr>
              <w:t>2-1-1</w:t>
            </w:r>
          </w:p>
        </w:tc>
        <w:tc>
          <w:tcPr>
            <w:tcW w:w="1711" w:type="dxa"/>
            <w:vAlign w:val="center"/>
          </w:tcPr>
          <w:p w14:paraId="20E0A84E">
            <w:pPr>
              <w:tabs>
                <w:tab w:val="left" w:pos="1080"/>
              </w:tabs>
              <w:snapToGrid w:val="0"/>
              <w:jc w:val="left"/>
              <w:rPr>
                <w:rFonts w:eastAsiaTheme="minorEastAsia"/>
                <w:sz w:val="24"/>
              </w:rPr>
            </w:pPr>
            <w:r>
              <w:rPr>
                <w:rFonts w:eastAsiaTheme="minorEastAsia"/>
                <w:sz w:val="24"/>
              </w:rPr>
              <w:t>中小企业证明文件</w:t>
            </w:r>
          </w:p>
        </w:tc>
        <w:tc>
          <w:tcPr>
            <w:tcW w:w="4710" w:type="dxa"/>
            <w:vAlign w:val="center"/>
          </w:tcPr>
          <w:p w14:paraId="7E22F508">
            <w:pPr>
              <w:tabs>
                <w:tab w:val="left" w:pos="1080"/>
              </w:tabs>
              <w:snapToGrid w:val="0"/>
              <w:jc w:val="left"/>
              <w:rPr>
                <w:rFonts w:eastAsiaTheme="minorEastAsia"/>
                <w:sz w:val="24"/>
              </w:rPr>
            </w:pPr>
            <w:r>
              <w:rPr>
                <w:rFonts w:eastAsiaTheme="minorEastAsia"/>
                <w:sz w:val="24"/>
              </w:rPr>
              <w:t xml:space="preserve">当本项目（包）涉及预留份额专门面向中小企业采购，提供如下资料： </w:t>
            </w:r>
          </w:p>
          <w:p w14:paraId="7C2C79C6">
            <w:pPr>
              <w:tabs>
                <w:tab w:val="left" w:pos="1080"/>
              </w:tabs>
              <w:snapToGrid w:val="0"/>
              <w:jc w:val="left"/>
              <w:rPr>
                <w:rFonts w:eastAsiaTheme="minorEastAsia"/>
                <w:sz w:val="24"/>
              </w:rPr>
            </w:pPr>
            <w:r>
              <w:rPr>
                <w:rFonts w:eastAsiaTheme="minorEastAsia"/>
                <w:sz w:val="24"/>
              </w:rPr>
              <w:t>1、供应商单独响应的，应提供</w:t>
            </w:r>
            <w:r>
              <w:rPr>
                <w:sz w:val="24"/>
              </w:rPr>
              <w:t>《中小企业声明函》或《残疾人福利性单位声明函》或由省级以上监狱管理局、戒毒管理局（含新疆生产建设兵团）出具的属于监狱企业的证明文件</w:t>
            </w:r>
            <w:r>
              <w:rPr>
                <w:rFonts w:eastAsiaTheme="minorEastAsia"/>
                <w:sz w:val="24"/>
              </w:rPr>
              <w:t>。</w:t>
            </w:r>
          </w:p>
          <w:p w14:paraId="0ECB378F">
            <w:pPr>
              <w:tabs>
                <w:tab w:val="left" w:pos="1080"/>
              </w:tabs>
              <w:snapToGrid w:val="0"/>
              <w:jc w:val="left"/>
              <w:rPr>
                <w:rFonts w:eastAsiaTheme="minorEastAsia"/>
                <w:sz w:val="24"/>
              </w:rPr>
            </w:pPr>
            <w:r>
              <w:rPr>
                <w:rFonts w:eastAsiaTheme="minorEastAsia"/>
                <w:sz w:val="24"/>
              </w:rPr>
              <w:t>2、如磋商文件要求以联合体形式参加或者要求合同分包的，且供应商为联合体或拟进行合同分包的，则联合体中的中小企业、签订分包意向协议的中小企业具体情况须在《中小企业声明函》</w:t>
            </w:r>
            <w:r>
              <w:rPr>
                <w:sz w:val="24"/>
              </w:rPr>
              <w:t>或《残疾人福利性单位声明函》或由省级以上监狱管理局、戒毒管理局（含新疆生产建设兵团）出具的属于监狱企业的证明文件中如实填报，且满足采购文件关于预留份额的要求</w:t>
            </w:r>
            <w:r>
              <w:rPr>
                <w:rFonts w:eastAsiaTheme="minorEastAsia"/>
                <w:sz w:val="24"/>
              </w:rPr>
              <w:t>。</w:t>
            </w:r>
          </w:p>
        </w:tc>
        <w:tc>
          <w:tcPr>
            <w:tcW w:w="1874" w:type="dxa"/>
            <w:vAlign w:val="center"/>
          </w:tcPr>
          <w:p w14:paraId="774CC877">
            <w:pPr>
              <w:tabs>
                <w:tab w:val="left" w:pos="1080"/>
              </w:tabs>
              <w:snapToGrid w:val="0"/>
              <w:jc w:val="left"/>
              <w:rPr>
                <w:rFonts w:eastAsiaTheme="minorEastAsia"/>
                <w:sz w:val="24"/>
              </w:rPr>
            </w:pPr>
            <w:r>
              <w:rPr>
                <w:rFonts w:eastAsiaTheme="minorEastAsia"/>
                <w:sz w:val="24"/>
              </w:rPr>
              <w:t>格式见《响应文件格式》</w:t>
            </w:r>
          </w:p>
        </w:tc>
      </w:tr>
      <w:tr w14:paraId="412A07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31" w:type="dxa"/>
            <w:vAlign w:val="center"/>
          </w:tcPr>
          <w:p w14:paraId="2DF6BED3">
            <w:pPr>
              <w:tabs>
                <w:tab w:val="left" w:pos="1080"/>
              </w:tabs>
              <w:snapToGrid w:val="0"/>
              <w:jc w:val="center"/>
              <w:rPr>
                <w:rFonts w:eastAsiaTheme="minorEastAsia"/>
                <w:sz w:val="24"/>
              </w:rPr>
            </w:pPr>
            <w:r>
              <w:rPr>
                <w:rFonts w:eastAsiaTheme="minorEastAsia"/>
                <w:sz w:val="24"/>
              </w:rPr>
              <w:t>2-2</w:t>
            </w:r>
          </w:p>
        </w:tc>
        <w:tc>
          <w:tcPr>
            <w:tcW w:w="1711" w:type="dxa"/>
            <w:vAlign w:val="center"/>
          </w:tcPr>
          <w:p w14:paraId="527CC3E7">
            <w:pPr>
              <w:tabs>
                <w:tab w:val="left" w:pos="1080"/>
              </w:tabs>
              <w:snapToGrid w:val="0"/>
              <w:jc w:val="left"/>
              <w:rPr>
                <w:rFonts w:eastAsiaTheme="minorEastAsia"/>
                <w:sz w:val="24"/>
              </w:rPr>
            </w:pPr>
            <w:r>
              <w:rPr>
                <w:rFonts w:eastAsiaTheme="minorEastAsia"/>
                <w:sz w:val="24"/>
              </w:rPr>
              <w:t>其它落实政府采购政策的资格要求</w:t>
            </w:r>
          </w:p>
        </w:tc>
        <w:tc>
          <w:tcPr>
            <w:tcW w:w="4710" w:type="dxa"/>
            <w:vAlign w:val="center"/>
          </w:tcPr>
          <w:p w14:paraId="646349CB">
            <w:pPr>
              <w:tabs>
                <w:tab w:val="left" w:pos="1080"/>
              </w:tabs>
              <w:snapToGrid w:val="0"/>
              <w:jc w:val="left"/>
              <w:rPr>
                <w:rFonts w:eastAsiaTheme="minorEastAsia"/>
                <w:sz w:val="24"/>
              </w:rPr>
            </w:pPr>
            <w:r>
              <w:rPr>
                <w:rFonts w:eastAsiaTheme="minorEastAsia"/>
                <w:sz w:val="24"/>
              </w:rPr>
              <w:t>如有，见第一章《采购邀请》</w:t>
            </w:r>
          </w:p>
        </w:tc>
        <w:tc>
          <w:tcPr>
            <w:tcW w:w="1874" w:type="dxa"/>
            <w:vAlign w:val="center"/>
          </w:tcPr>
          <w:p w14:paraId="1F0D50D3">
            <w:pPr>
              <w:tabs>
                <w:tab w:val="left" w:pos="1080"/>
              </w:tabs>
              <w:snapToGrid w:val="0"/>
              <w:jc w:val="left"/>
              <w:rPr>
                <w:rFonts w:eastAsiaTheme="minorEastAsia"/>
                <w:sz w:val="24"/>
              </w:rPr>
            </w:pPr>
            <w:r>
              <w:rPr>
                <w:rFonts w:eastAsiaTheme="minorEastAsia"/>
                <w:sz w:val="24"/>
              </w:rPr>
              <w:t>提供证明文件的电子件或电子证照</w:t>
            </w:r>
          </w:p>
        </w:tc>
      </w:tr>
      <w:tr w14:paraId="0D0C12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31" w:type="dxa"/>
            <w:vAlign w:val="center"/>
          </w:tcPr>
          <w:p w14:paraId="6A9F43E8">
            <w:pPr>
              <w:tabs>
                <w:tab w:val="left" w:pos="1080"/>
              </w:tabs>
              <w:snapToGrid w:val="0"/>
              <w:jc w:val="center"/>
              <w:rPr>
                <w:rFonts w:eastAsiaTheme="minorEastAsia"/>
                <w:sz w:val="24"/>
              </w:rPr>
            </w:pPr>
            <w:r>
              <w:rPr>
                <w:rFonts w:eastAsiaTheme="minorEastAsia"/>
                <w:sz w:val="24"/>
              </w:rPr>
              <w:t>3</w:t>
            </w:r>
          </w:p>
        </w:tc>
        <w:tc>
          <w:tcPr>
            <w:tcW w:w="1711" w:type="dxa"/>
            <w:vAlign w:val="center"/>
          </w:tcPr>
          <w:p w14:paraId="41D35BC6">
            <w:pPr>
              <w:tabs>
                <w:tab w:val="left" w:pos="1080"/>
              </w:tabs>
              <w:snapToGrid w:val="0"/>
              <w:jc w:val="left"/>
              <w:rPr>
                <w:rFonts w:eastAsiaTheme="minorEastAsia"/>
                <w:sz w:val="24"/>
              </w:rPr>
            </w:pPr>
            <w:r>
              <w:rPr>
                <w:rFonts w:eastAsiaTheme="minorEastAsia"/>
                <w:sz w:val="24"/>
              </w:rPr>
              <w:t>本项目的特定资格要求</w:t>
            </w:r>
          </w:p>
        </w:tc>
        <w:tc>
          <w:tcPr>
            <w:tcW w:w="4710" w:type="dxa"/>
            <w:vAlign w:val="center"/>
          </w:tcPr>
          <w:p w14:paraId="0410B823">
            <w:pPr>
              <w:tabs>
                <w:tab w:val="left" w:pos="1080"/>
              </w:tabs>
              <w:snapToGrid w:val="0"/>
              <w:jc w:val="left"/>
              <w:rPr>
                <w:rFonts w:eastAsiaTheme="minorEastAsia"/>
                <w:sz w:val="24"/>
              </w:rPr>
            </w:pPr>
            <w:r>
              <w:rPr>
                <w:rFonts w:eastAsiaTheme="minorEastAsia"/>
                <w:sz w:val="24"/>
              </w:rPr>
              <w:t>如有，见第一章《采购邀请》</w:t>
            </w:r>
          </w:p>
        </w:tc>
        <w:tc>
          <w:tcPr>
            <w:tcW w:w="1874" w:type="dxa"/>
            <w:vAlign w:val="center"/>
          </w:tcPr>
          <w:p w14:paraId="54101ADD">
            <w:pPr>
              <w:tabs>
                <w:tab w:val="left" w:pos="1080"/>
              </w:tabs>
              <w:snapToGrid w:val="0"/>
              <w:jc w:val="left"/>
              <w:rPr>
                <w:rFonts w:eastAsiaTheme="minorEastAsia"/>
                <w:sz w:val="24"/>
              </w:rPr>
            </w:pPr>
          </w:p>
        </w:tc>
      </w:tr>
      <w:tr w14:paraId="394990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31" w:type="dxa"/>
            <w:vAlign w:val="center"/>
          </w:tcPr>
          <w:p w14:paraId="720E49F1">
            <w:pPr>
              <w:tabs>
                <w:tab w:val="left" w:pos="1080"/>
              </w:tabs>
              <w:snapToGrid w:val="0"/>
              <w:jc w:val="center"/>
              <w:rPr>
                <w:rFonts w:eastAsiaTheme="minorEastAsia"/>
                <w:sz w:val="24"/>
              </w:rPr>
            </w:pPr>
            <w:r>
              <w:rPr>
                <w:sz w:val="24"/>
              </w:rPr>
              <w:t>3-2</w:t>
            </w:r>
          </w:p>
        </w:tc>
        <w:tc>
          <w:tcPr>
            <w:tcW w:w="1711" w:type="dxa"/>
            <w:vAlign w:val="center"/>
          </w:tcPr>
          <w:p w14:paraId="28C0C922">
            <w:pPr>
              <w:tabs>
                <w:tab w:val="left" w:pos="1080"/>
              </w:tabs>
              <w:snapToGrid w:val="0"/>
              <w:rPr>
                <w:sz w:val="24"/>
              </w:rPr>
            </w:pPr>
            <w:r>
              <w:rPr>
                <w:sz w:val="24"/>
              </w:rPr>
              <w:t>政府购买服务承接主体的要求</w:t>
            </w:r>
          </w:p>
        </w:tc>
        <w:tc>
          <w:tcPr>
            <w:tcW w:w="4710" w:type="dxa"/>
            <w:vAlign w:val="center"/>
          </w:tcPr>
          <w:p w14:paraId="32B6A814">
            <w:pPr>
              <w:tabs>
                <w:tab w:val="left" w:pos="1080"/>
              </w:tabs>
              <w:snapToGrid w:val="0"/>
              <w:rPr>
                <w:rFonts w:eastAsiaTheme="minorEastAsia"/>
                <w:sz w:val="24"/>
              </w:rPr>
            </w:pPr>
            <w:r>
              <w:rPr>
                <w:sz w:val="24"/>
              </w:rPr>
              <w:t>如本项目属于政府购买服务，供应商不属于公益一类事业单位、使用事业编制且由财政拨款保障的群团组织。</w:t>
            </w:r>
          </w:p>
        </w:tc>
        <w:tc>
          <w:tcPr>
            <w:tcW w:w="1874" w:type="dxa"/>
            <w:vAlign w:val="center"/>
          </w:tcPr>
          <w:p w14:paraId="2ADABC16">
            <w:pPr>
              <w:tabs>
                <w:tab w:val="left" w:pos="1080"/>
              </w:tabs>
              <w:snapToGrid w:val="0"/>
              <w:rPr>
                <w:sz w:val="24"/>
              </w:rPr>
            </w:pPr>
            <w:r>
              <w:rPr>
                <w:sz w:val="24"/>
              </w:rPr>
              <w:t>格式见《响应文件格式》</w:t>
            </w:r>
            <w:r>
              <w:rPr>
                <w:rFonts w:hint="eastAsia"/>
                <w:sz w:val="24"/>
              </w:rPr>
              <w:t>“</w:t>
            </w:r>
            <w:r>
              <w:rPr>
                <w:sz w:val="24"/>
              </w:rPr>
              <w:t xml:space="preserve">1-2 </w:t>
            </w:r>
            <w:r>
              <w:rPr>
                <w:rFonts w:hint="eastAsia"/>
                <w:sz w:val="24"/>
              </w:rPr>
              <w:t>供应商资格声明书”填写完整并</w:t>
            </w:r>
            <w:r>
              <w:rPr>
                <w:rFonts w:hint="eastAsia" w:eastAsiaTheme="minorEastAsia"/>
                <w:sz w:val="24"/>
              </w:rPr>
              <w:t>加盖公章</w:t>
            </w:r>
          </w:p>
        </w:tc>
      </w:tr>
      <w:tr w14:paraId="0867C2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31" w:type="dxa"/>
            <w:vAlign w:val="center"/>
          </w:tcPr>
          <w:p w14:paraId="35F34BA5">
            <w:pPr>
              <w:tabs>
                <w:tab w:val="left" w:pos="1080"/>
              </w:tabs>
              <w:snapToGrid w:val="0"/>
              <w:jc w:val="center"/>
              <w:rPr>
                <w:rFonts w:eastAsiaTheme="minorEastAsia"/>
                <w:sz w:val="24"/>
              </w:rPr>
            </w:pPr>
            <w:r>
              <w:rPr>
                <w:rFonts w:eastAsiaTheme="minorEastAsia"/>
                <w:sz w:val="24"/>
              </w:rPr>
              <w:t>3-3</w:t>
            </w:r>
          </w:p>
        </w:tc>
        <w:tc>
          <w:tcPr>
            <w:tcW w:w="1711" w:type="dxa"/>
            <w:vAlign w:val="center"/>
          </w:tcPr>
          <w:p w14:paraId="47E6BDDC">
            <w:pPr>
              <w:tabs>
                <w:tab w:val="left" w:pos="1080"/>
              </w:tabs>
              <w:snapToGrid w:val="0"/>
              <w:rPr>
                <w:rFonts w:eastAsiaTheme="minorEastAsia"/>
                <w:sz w:val="24"/>
              </w:rPr>
            </w:pPr>
            <w:r>
              <w:rPr>
                <w:rFonts w:eastAsiaTheme="minorEastAsia"/>
                <w:sz w:val="24"/>
              </w:rPr>
              <w:t>其他特定资格要求</w:t>
            </w:r>
          </w:p>
        </w:tc>
        <w:tc>
          <w:tcPr>
            <w:tcW w:w="4710" w:type="dxa"/>
            <w:vAlign w:val="center"/>
          </w:tcPr>
          <w:p w14:paraId="0997C8BC">
            <w:pPr>
              <w:tabs>
                <w:tab w:val="left" w:pos="1080"/>
              </w:tabs>
              <w:snapToGrid w:val="0"/>
              <w:rPr>
                <w:rFonts w:eastAsiaTheme="minorEastAsia"/>
                <w:sz w:val="24"/>
              </w:rPr>
            </w:pPr>
            <w:r>
              <w:rPr>
                <w:rFonts w:eastAsiaTheme="minorEastAsia"/>
                <w:color w:val="000000"/>
                <w:sz w:val="24"/>
              </w:rPr>
              <w:t>如有，见</w:t>
            </w:r>
            <w:r>
              <w:rPr>
                <w:rFonts w:eastAsiaTheme="minorEastAsia"/>
                <w:sz w:val="24"/>
              </w:rPr>
              <w:t>第一章《采购邀请》</w:t>
            </w:r>
          </w:p>
          <w:p w14:paraId="63D08538">
            <w:pPr>
              <w:tabs>
                <w:tab w:val="left" w:pos="1080"/>
              </w:tabs>
              <w:snapToGrid w:val="0"/>
              <w:rPr>
                <w:rFonts w:eastAsiaTheme="minorEastAsia"/>
                <w:sz w:val="24"/>
              </w:rPr>
            </w:pPr>
            <w:r>
              <w:rPr>
                <w:rFonts w:hint="eastAsia"/>
                <w:sz w:val="24"/>
              </w:rPr>
              <w:t>注：如</w:t>
            </w:r>
            <w:r>
              <w:rPr>
                <w:sz w:val="24"/>
              </w:rPr>
              <w:t>联合体中有同类资质的供应商按照联合体分工承担相同工作的，</w:t>
            </w:r>
            <w:r>
              <w:rPr>
                <w:rFonts w:hint="eastAsia"/>
                <w:sz w:val="24"/>
              </w:rPr>
              <w:t>均</w:t>
            </w:r>
            <w:r>
              <w:rPr>
                <w:sz w:val="24"/>
              </w:rPr>
              <w:t>应当</w:t>
            </w:r>
            <w:r>
              <w:rPr>
                <w:rFonts w:hint="eastAsia"/>
                <w:sz w:val="24"/>
              </w:rPr>
              <w:t>提供资质证书电子件或电子证照。</w:t>
            </w:r>
          </w:p>
        </w:tc>
        <w:tc>
          <w:tcPr>
            <w:tcW w:w="1874" w:type="dxa"/>
            <w:vAlign w:val="center"/>
          </w:tcPr>
          <w:p w14:paraId="7BC6346E">
            <w:pPr>
              <w:tabs>
                <w:tab w:val="left" w:pos="1080"/>
              </w:tabs>
              <w:snapToGrid w:val="0"/>
              <w:rPr>
                <w:rFonts w:eastAsiaTheme="minorEastAsia"/>
                <w:sz w:val="24"/>
              </w:rPr>
            </w:pPr>
            <w:r>
              <w:rPr>
                <w:rFonts w:eastAsiaTheme="minorEastAsia"/>
                <w:sz w:val="24"/>
              </w:rPr>
              <w:t>提供证明文件的电子件或电子证照</w:t>
            </w:r>
          </w:p>
        </w:tc>
      </w:tr>
      <w:tr w14:paraId="4E4CB3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31" w:type="dxa"/>
            <w:vAlign w:val="center"/>
          </w:tcPr>
          <w:p w14:paraId="71689AB3">
            <w:pPr>
              <w:tabs>
                <w:tab w:val="left" w:pos="1080"/>
              </w:tabs>
              <w:snapToGrid w:val="0"/>
              <w:jc w:val="center"/>
              <w:rPr>
                <w:rFonts w:hint="eastAsia" w:eastAsiaTheme="minorEastAsia"/>
                <w:sz w:val="24"/>
                <w:lang w:eastAsia="zh-CN"/>
              </w:rPr>
            </w:pPr>
            <w:r>
              <w:rPr>
                <w:rFonts w:hint="eastAsia" w:eastAsiaTheme="minorEastAsia"/>
                <w:sz w:val="24"/>
                <w:lang w:val="en-US" w:eastAsia="zh-CN"/>
              </w:rPr>
              <w:t>4</w:t>
            </w:r>
          </w:p>
        </w:tc>
        <w:tc>
          <w:tcPr>
            <w:tcW w:w="1711" w:type="dxa"/>
            <w:vAlign w:val="center"/>
          </w:tcPr>
          <w:p w14:paraId="77A0E809">
            <w:pPr>
              <w:tabs>
                <w:tab w:val="left" w:pos="1080"/>
              </w:tabs>
              <w:snapToGrid w:val="0"/>
              <w:rPr>
                <w:rFonts w:eastAsiaTheme="minorEastAsia"/>
                <w:color w:val="000000"/>
                <w:kern w:val="0"/>
                <w:sz w:val="24"/>
              </w:rPr>
            </w:pPr>
            <w:r>
              <w:rPr>
                <w:rFonts w:hint="eastAsia" w:eastAsiaTheme="minorEastAsia"/>
                <w:color w:val="000000"/>
                <w:kern w:val="0"/>
                <w:sz w:val="24"/>
              </w:rPr>
              <w:t>获取磋商文件</w:t>
            </w:r>
          </w:p>
        </w:tc>
        <w:tc>
          <w:tcPr>
            <w:tcW w:w="4710" w:type="dxa"/>
            <w:vAlign w:val="center"/>
          </w:tcPr>
          <w:p w14:paraId="66FADCED">
            <w:pPr>
              <w:tabs>
                <w:tab w:val="left" w:pos="1080"/>
              </w:tabs>
              <w:snapToGrid w:val="0"/>
              <w:rPr>
                <w:color w:val="000000"/>
                <w:kern w:val="0"/>
                <w:sz w:val="24"/>
              </w:rPr>
            </w:pPr>
            <w:r>
              <w:rPr>
                <w:rFonts w:hint="eastAsia"/>
                <w:color w:val="000000"/>
                <w:kern w:val="0"/>
                <w:sz w:val="24"/>
              </w:rPr>
              <w:t>在规定期限内通过北京市政府采购电子交易平台获取所参与包的磋商文件。</w:t>
            </w:r>
          </w:p>
          <w:p w14:paraId="34C80FD7">
            <w:pPr>
              <w:tabs>
                <w:tab w:val="left" w:pos="1080"/>
              </w:tabs>
              <w:snapToGrid w:val="0"/>
              <w:rPr>
                <w:rFonts w:eastAsiaTheme="minorEastAsia"/>
                <w:color w:val="000000"/>
                <w:kern w:val="0"/>
                <w:sz w:val="24"/>
              </w:rPr>
            </w:pPr>
            <w:r>
              <w:rPr>
                <w:rFonts w:hint="eastAsia"/>
                <w:color w:val="000000"/>
                <w:kern w:val="0"/>
                <w:sz w:val="24"/>
              </w:rPr>
              <w:t>注：如本项目接受联合体，且供应商为联合体时，联合体中任一成员获取文件即视为满足要求。</w:t>
            </w:r>
          </w:p>
        </w:tc>
        <w:tc>
          <w:tcPr>
            <w:tcW w:w="1874" w:type="dxa"/>
            <w:vAlign w:val="center"/>
          </w:tcPr>
          <w:p w14:paraId="09A799D7">
            <w:pPr>
              <w:tabs>
                <w:tab w:val="left" w:pos="1080"/>
              </w:tabs>
              <w:snapToGrid w:val="0"/>
              <w:rPr>
                <w:rFonts w:eastAsiaTheme="minorEastAsia"/>
                <w:sz w:val="24"/>
              </w:rPr>
            </w:pPr>
            <w:r>
              <w:rPr>
                <w:rFonts w:hint="eastAsia" w:eastAsiaTheme="minorEastAsia"/>
                <w:sz w:val="24"/>
              </w:rPr>
              <w:t>提供证明截图并加盖公章</w:t>
            </w:r>
          </w:p>
        </w:tc>
      </w:tr>
    </w:tbl>
    <w:p w14:paraId="33D6348A">
      <w:pPr>
        <w:rPr>
          <w:rFonts w:eastAsiaTheme="minorEastAsia"/>
          <w:sz w:val="24"/>
        </w:rPr>
      </w:pPr>
      <w:r>
        <w:rPr>
          <w:rFonts w:eastAsiaTheme="minorEastAsia"/>
          <w:sz w:val="24"/>
        </w:rPr>
        <w:br w:type="page"/>
      </w:r>
    </w:p>
    <w:p w14:paraId="39925A0C">
      <w:pPr>
        <w:pStyle w:val="17"/>
        <w:rPr>
          <w:rFonts w:hint="eastAsia"/>
        </w:rPr>
      </w:pPr>
    </w:p>
    <w:p w14:paraId="39909AA8">
      <w:pPr>
        <w:numPr>
          <w:ilvl w:val="1"/>
          <w:numId w:val="10"/>
        </w:numPr>
        <w:tabs>
          <w:tab w:val="left" w:pos="1080"/>
        </w:tabs>
        <w:snapToGrid w:val="0"/>
        <w:spacing w:line="360" w:lineRule="auto"/>
        <w:ind w:left="1077" w:hanging="720"/>
        <w:rPr>
          <w:rFonts w:eastAsiaTheme="minorEastAsia"/>
          <w:sz w:val="24"/>
        </w:rPr>
      </w:pPr>
      <w:r>
        <w:rPr>
          <w:rFonts w:eastAsiaTheme="minorEastAsia"/>
          <w:sz w:val="24"/>
        </w:rPr>
        <w:t>《符合性审查要求》见下表：</w:t>
      </w:r>
    </w:p>
    <w:p w14:paraId="0C9FB81A">
      <w:pPr>
        <w:widowControl/>
        <w:spacing w:line="360" w:lineRule="auto"/>
        <w:jc w:val="center"/>
        <w:rPr>
          <w:rFonts w:eastAsiaTheme="minorEastAsia"/>
          <w:b/>
          <w:color w:val="000000"/>
          <w:kern w:val="0"/>
          <w:sz w:val="24"/>
        </w:rPr>
      </w:pPr>
      <w:r>
        <w:rPr>
          <w:rFonts w:eastAsiaTheme="minorEastAsia"/>
          <w:b/>
          <w:color w:val="000000"/>
          <w:kern w:val="0"/>
          <w:sz w:val="24"/>
        </w:rPr>
        <w:t>符合性审查要求</w:t>
      </w:r>
    </w:p>
    <w:tbl>
      <w:tblPr>
        <w:tblStyle w:val="43"/>
        <w:tblW w:w="92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8"/>
        <w:gridCol w:w="1664"/>
        <w:gridCol w:w="5380"/>
        <w:gridCol w:w="1523"/>
      </w:tblGrid>
      <w:tr w14:paraId="560AD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18" w:type="dxa"/>
            <w:shd w:val="clear" w:color="000000" w:fill="FFFFFF"/>
            <w:vAlign w:val="center"/>
          </w:tcPr>
          <w:p w14:paraId="1AAE6F5C">
            <w:pPr>
              <w:widowControl/>
              <w:jc w:val="center"/>
              <w:rPr>
                <w:rFonts w:eastAsiaTheme="minorEastAsia"/>
                <w:b/>
                <w:color w:val="000000"/>
                <w:kern w:val="0"/>
                <w:sz w:val="24"/>
              </w:rPr>
            </w:pPr>
            <w:r>
              <w:rPr>
                <w:rFonts w:eastAsiaTheme="minorEastAsia"/>
                <w:b/>
                <w:color w:val="000000"/>
                <w:kern w:val="0"/>
                <w:sz w:val="24"/>
              </w:rPr>
              <w:t>序号</w:t>
            </w:r>
          </w:p>
        </w:tc>
        <w:tc>
          <w:tcPr>
            <w:tcW w:w="1664" w:type="dxa"/>
            <w:shd w:val="clear" w:color="000000" w:fill="FFFFFF"/>
            <w:vAlign w:val="center"/>
          </w:tcPr>
          <w:p w14:paraId="73B293B3">
            <w:pPr>
              <w:widowControl/>
              <w:jc w:val="center"/>
              <w:rPr>
                <w:rFonts w:eastAsiaTheme="minorEastAsia"/>
                <w:b/>
                <w:color w:val="000000"/>
                <w:kern w:val="0"/>
                <w:sz w:val="24"/>
              </w:rPr>
            </w:pPr>
            <w:r>
              <w:rPr>
                <w:rFonts w:eastAsiaTheme="minorEastAsia"/>
                <w:b/>
                <w:sz w:val="24"/>
              </w:rPr>
              <w:t>检查</w:t>
            </w:r>
            <w:r>
              <w:rPr>
                <w:rFonts w:eastAsiaTheme="minorEastAsia"/>
                <w:b/>
                <w:color w:val="000000"/>
                <w:kern w:val="0"/>
                <w:sz w:val="24"/>
              </w:rPr>
              <w:t>因素</w:t>
            </w:r>
          </w:p>
        </w:tc>
        <w:tc>
          <w:tcPr>
            <w:tcW w:w="5380" w:type="dxa"/>
            <w:shd w:val="clear" w:color="000000" w:fill="FFFFFF"/>
            <w:vAlign w:val="center"/>
          </w:tcPr>
          <w:p w14:paraId="0075F688">
            <w:pPr>
              <w:widowControl/>
              <w:jc w:val="center"/>
              <w:rPr>
                <w:rFonts w:eastAsiaTheme="minorEastAsia"/>
                <w:b/>
                <w:color w:val="000000"/>
                <w:kern w:val="0"/>
                <w:sz w:val="24"/>
              </w:rPr>
            </w:pPr>
            <w:r>
              <w:rPr>
                <w:rFonts w:eastAsiaTheme="minorEastAsia"/>
                <w:b/>
                <w:sz w:val="24"/>
              </w:rPr>
              <w:t>检查</w:t>
            </w:r>
            <w:r>
              <w:rPr>
                <w:rFonts w:eastAsiaTheme="minorEastAsia"/>
                <w:b/>
                <w:color w:val="000000"/>
                <w:kern w:val="0"/>
                <w:sz w:val="24"/>
              </w:rPr>
              <w:t>内容</w:t>
            </w:r>
          </w:p>
        </w:tc>
        <w:tc>
          <w:tcPr>
            <w:tcW w:w="1523" w:type="dxa"/>
            <w:shd w:val="clear" w:color="000000" w:fill="FFFFFF"/>
            <w:vAlign w:val="center"/>
          </w:tcPr>
          <w:p w14:paraId="03EE2437">
            <w:pPr>
              <w:widowControl/>
              <w:jc w:val="center"/>
              <w:rPr>
                <w:rFonts w:eastAsiaTheme="minorEastAsia"/>
                <w:b/>
                <w:color w:val="000000"/>
                <w:kern w:val="0"/>
                <w:sz w:val="24"/>
              </w:rPr>
            </w:pPr>
            <w:r>
              <w:rPr>
                <w:rFonts w:eastAsiaTheme="minorEastAsia"/>
                <w:b/>
                <w:color w:val="000000"/>
                <w:kern w:val="0"/>
                <w:sz w:val="24"/>
              </w:rPr>
              <w:t>是否允许澄清、说明或者更正</w:t>
            </w:r>
          </w:p>
        </w:tc>
      </w:tr>
      <w:tr w14:paraId="7620D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18" w:type="dxa"/>
            <w:shd w:val="clear" w:color="000000" w:fill="FFFFFF"/>
            <w:vAlign w:val="center"/>
          </w:tcPr>
          <w:p w14:paraId="372CE41D">
            <w:pPr>
              <w:widowControl/>
              <w:jc w:val="center"/>
              <w:rPr>
                <w:rFonts w:eastAsiaTheme="minorEastAsia"/>
                <w:color w:val="000000"/>
                <w:kern w:val="0"/>
                <w:sz w:val="24"/>
              </w:rPr>
            </w:pPr>
            <w:r>
              <w:rPr>
                <w:rFonts w:hint="eastAsia" w:eastAsiaTheme="minorEastAsia"/>
                <w:color w:val="000000"/>
                <w:kern w:val="0"/>
                <w:sz w:val="24"/>
              </w:rPr>
              <w:t>1</w:t>
            </w:r>
          </w:p>
        </w:tc>
        <w:tc>
          <w:tcPr>
            <w:tcW w:w="1664" w:type="dxa"/>
            <w:shd w:val="clear" w:color="000000" w:fill="FFFFFF"/>
            <w:vAlign w:val="center"/>
          </w:tcPr>
          <w:p w14:paraId="329E34AD">
            <w:pPr>
              <w:widowControl/>
              <w:jc w:val="center"/>
              <w:rPr>
                <w:rFonts w:eastAsiaTheme="minorEastAsia"/>
                <w:color w:val="000000"/>
                <w:kern w:val="0"/>
                <w:sz w:val="24"/>
              </w:rPr>
            </w:pPr>
            <w:r>
              <w:rPr>
                <w:rFonts w:hint="eastAsia" w:eastAsiaTheme="minorEastAsia"/>
                <w:color w:val="000000"/>
                <w:kern w:val="0"/>
                <w:sz w:val="24"/>
              </w:rPr>
              <w:t xml:space="preserve">授权委托书 </w:t>
            </w:r>
          </w:p>
        </w:tc>
        <w:tc>
          <w:tcPr>
            <w:tcW w:w="5380" w:type="dxa"/>
            <w:shd w:val="clear" w:color="000000" w:fill="FFFFFF"/>
            <w:vAlign w:val="center"/>
          </w:tcPr>
          <w:p w14:paraId="4EECAAA9">
            <w:pPr>
              <w:widowControl/>
              <w:jc w:val="left"/>
              <w:rPr>
                <w:rFonts w:eastAsiaTheme="minorEastAsia"/>
                <w:color w:val="000000"/>
                <w:kern w:val="0"/>
                <w:sz w:val="24"/>
              </w:rPr>
            </w:pPr>
            <w:r>
              <w:rPr>
                <w:rFonts w:hint="eastAsia" w:eastAsiaTheme="minorEastAsia"/>
                <w:color w:val="000000"/>
                <w:kern w:val="0"/>
                <w:sz w:val="24"/>
              </w:rPr>
              <w:t>按磋商文件要求提供授权委托书；</w:t>
            </w:r>
          </w:p>
        </w:tc>
        <w:tc>
          <w:tcPr>
            <w:tcW w:w="1523" w:type="dxa"/>
            <w:shd w:val="clear" w:color="000000" w:fill="FFFFFF"/>
            <w:vAlign w:val="center"/>
          </w:tcPr>
          <w:p w14:paraId="5C0A5684">
            <w:pPr>
              <w:widowControl/>
              <w:jc w:val="center"/>
              <w:rPr>
                <w:rFonts w:eastAsiaTheme="minorEastAsia"/>
                <w:color w:val="000000"/>
                <w:kern w:val="0"/>
                <w:sz w:val="24"/>
              </w:rPr>
            </w:pPr>
            <w:r>
              <w:rPr>
                <w:rFonts w:hint="eastAsia" w:eastAsiaTheme="minorEastAsia"/>
                <w:color w:val="000000"/>
                <w:kern w:val="0"/>
                <w:sz w:val="24"/>
              </w:rPr>
              <w:t>否</w:t>
            </w:r>
          </w:p>
        </w:tc>
      </w:tr>
      <w:tr w14:paraId="17DDD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18" w:type="dxa"/>
            <w:shd w:val="clear" w:color="000000" w:fill="FFFFFF"/>
            <w:vAlign w:val="center"/>
          </w:tcPr>
          <w:p w14:paraId="7645CA78">
            <w:pPr>
              <w:widowControl/>
              <w:jc w:val="center"/>
              <w:rPr>
                <w:rFonts w:eastAsiaTheme="minorEastAsia"/>
                <w:color w:val="000000"/>
                <w:kern w:val="0"/>
                <w:sz w:val="24"/>
              </w:rPr>
            </w:pPr>
            <w:r>
              <w:rPr>
                <w:rFonts w:hint="eastAsia" w:eastAsiaTheme="minorEastAsia"/>
                <w:color w:val="000000"/>
                <w:kern w:val="0"/>
                <w:sz w:val="24"/>
              </w:rPr>
              <w:t>2</w:t>
            </w:r>
          </w:p>
        </w:tc>
        <w:tc>
          <w:tcPr>
            <w:tcW w:w="1664" w:type="dxa"/>
            <w:shd w:val="clear" w:color="000000" w:fill="FFFFFF"/>
            <w:vAlign w:val="center"/>
          </w:tcPr>
          <w:p w14:paraId="2DB86DF2">
            <w:pPr>
              <w:widowControl/>
              <w:jc w:val="center"/>
              <w:rPr>
                <w:rFonts w:eastAsiaTheme="minorEastAsia"/>
                <w:color w:val="000000"/>
                <w:kern w:val="0"/>
                <w:sz w:val="24"/>
              </w:rPr>
            </w:pPr>
            <w:r>
              <w:rPr>
                <w:rFonts w:hint="eastAsia" w:eastAsiaTheme="minorEastAsia"/>
                <w:color w:val="000000"/>
                <w:kern w:val="0"/>
                <w:sz w:val="24"/>
              </w:rPr>
              <w:t>响应完整性</w:t>
            </w:r>
          </w:p>
        </w:tc>
        <w:tc>
          <w:tcPr>
            <w:tcW w:w="5380" w:type="dxa"/>
            <w:shd w:val="clear" w:color="000000" w:fill="FFFFFF"/>
            <w:vAlign w:val="center"/>
          </w:tcPr>
          <w:p w14:paraId="147DB828">
            <w:pPr>
              <w:widowControl/>
              <w:jc w:val="left"/>
              <w:rPr>
                <w:rFonts w:eastAsiaTheme="minorEastAsia"/>
                <w:color w:val="000000"/>
                <w:kern w:val="0"/>
                <w:sz w:val="24"/>
              </w:rPr>
            </w:pPr>
            <w:r>
              <w:rPr>
                <w:rFonts w:hint="eastAsia" w:eastAsiaTheme="minorEastAsia"/>
                <w:color w:val="000000"/>
                <w:kern w:val="0"/>
                <w:sz w:val="24"/>
              </w:rPr>
              <w:t>未将一个采购包中的内容拆开响应；</w:t>
            </w:r>
          </w:p>
        </w:tc>
        <w:tc>
          <w:tcPr>
            <w:tcW w:w="1523" w:type="dxa"/>
            <w:shd w:val="clear" w:color="000000" w:fill="FFFFFF"/>
            <w:vAlign w:val="center"/>
          </w:tcPr>
          <w:p w14:paraId="58C70583">
            <w:pPr>
              <w:widowControl/>
              <w:jc w:val="center"/>
              <w:rPr>
                <w:rFonts w:eastAsiaTheme="minorEastAsia"/>
                <w:color w:val="000000"/>
                <w:kern w:val="0"/>
                <w:sz w:val="24"/>
              </w:rPr>
            </w:pPr>
            <w:r>
              <w:rPr>
                <w:rFonts w:hint="eastAsia" w:eastAsiaTheme="minorEastAsia"/>
                <w:color w:val="000000"/>
                <w:kern w:val="0"/>
                <w:sz w:val="24"/>
              </w:rPr>
              <w:t>否</w:t>
            </w:r>
          </w:p>
        </w:tc>
      </w:tr>
      <w:tr w14:paraId="6E3A1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18" w:type="dxa"/>
            <w:shd w:val="clear" w:color="000000" w:fill="FFFFFF"/>
            <w:vAlign w:val="center"/>
          </w:tcPr>
          <w:p w14:paraId="47CD779B">
            <w:pPr>
              <w:widowControl/>
              <w:jc w:val="center"/>
              <w:rPr>
                <w:rFonts w:eastAsiaTheme="minorEastAsia"/>
                <w:color w:val="000000"/>
                <w:kern w:val="0"/>
                <w:sz w:val="24"/>
              </w:rPr>
            </w:pPr>
            <w:r>
              <w:rPr>
                <w:rFonts w:hint="eastAsia" w:eastAsiaTheme="minorEastAsia"/>
                <w:color w:val="000000"/>
                <w:kern w:val="0"/>
                <w:sz w:val="24"/>
              </w:rPr>
              <w:t>3</w:t>
            </w:r>
          </w:p>
        </w:tc>
        <w:tc>
          <w:tcPr>
            <w:tcW w:w="1664" w:type="dxa"/>
            <w:shd w:val="clear" w:color="000000" w:fill="FFFFFF"/>
            <w:vAlign w:val="center"/>
          </w:tcPr>
          <w:p w14:paraId="31B16170">
            <w:pPr>
              <w:widowControl/>
              <w:jc w:val="center"/>
              <w:rPr>
                <w:rFonts w:eastAsiaTheme="minorEastAsia"/>
                <w:color w:val="000000"/>
                <w:kern w:val="0"/>
                <w:sz w:val="24"/>
              </w:rPr>
            </w:pPr>
            <w:r>
              <w:rPr>
                <w:rFonts w:hint="eastAsia" w:eastAsiaTheme="minorEastAsia"/>
                <w:color w:val="000000"/>
                <w:kern w:val="0"/>
                <w:sz w:val="24"/>
              </w:rPr>
              <w:t>响应报价</w:t>
            </w:r>
          </w:p>
        </w:tc>
        <w:tc>
          <w:tcPr>
            <w:tcW w:w="5380" w:type="dxa"/>
            <w:shd w:val="clear" w:color="000000" w:fill="FFFFFF"/>
            <w:vAlign w:val="center"/>
          </w:tcPr>
          <w:p w14:paraId="5DBF8A73">
            <w:pPr>
              <w:widowControl/>
              <w:jc w:val="left"/>
              <w:rPr>
                <w:rFonts w:eastAsiaTheme="minorEastAsia"/>
                <w:color w:val="000000"/>
                <w:kern w:val="0"/>
                <w:sz w:val="24"/>
              </w:rPr>
            </w:pPr>
            <w:r>
              <w:rPr>
                <w:rFonts w:hint="eastAsia" w:eastAsiaTheme="minorEastAsia"/>
                <w:color w:val="000000"/>
                <w:kern w:val="0"/>
                <w:sz w:val="24"/>
              </w:rPr>
              <w:t>响应报价未超过磋商文件中规定的项目/采购包预算金额或者项目/采购包最高限价；</w:t>
            </w:r>
          </w:p>
        </w:tc>
        <w:tc>
          <w:tcPr>
            <w:tcW w:w="1523" w:type="dxa"/>
            <w:shd w:val="clear" w:color="000000" w:fill="FFFFFF"/>
            <w:vAlign w:val="center"/>
          </w:tcPr>
          <w:p w14:paraId="55C88CE8">
            <w:pPr>
              <w:widowControl/>
              <w:jc w:val="center"/>
              <w:rPr>
                <w:rFonts w:eastAsiaTheme="minorEastAsia"/>
                <w:color w:val="000000"/>
                <w:kern w:val="0"/>
                <w:sz w:val="24"/>
              </w:rPr>
            </w:pPr>
            <w:r>
              <w:rPr>
                <w:rFonts w:hint="eastAsia" w:eastAsiaTheme="minorEastAsia"/>
                <w:color w:val="000000"/>
                <w:kern w:val="0"/>
                <w:sz w:val="24"/>
              </w:rPr>
              <w:t>否</w:t>
            </w:r>
          </w:p>
        </w:tc>
      </w:tr>
      <w:tr w14:paraId="61398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18" w:type="dxa"/>
            <w:shd w:val="clear" w:color="000000" w:fill="FFFFFF"/>
            <w:vAlign w:val="center"/>
          </w:tcPr>
          <w:p w14:paraId="5B7F572D">
            <w:pPr>
              <w:widowControl/>
              <w:jc w:val="center"/>
              <w:rPr>
                <w:rFonts w:eastAsiaTheme="minorEastAsia"/>
                <w:color w:val="000000"/>
                <w:kern w:val="0"/>
                <w:sz w:val="24"/>
              </w:rPr>
            </w:pPr>
            <w:r>
              <w:rPr>
                <w:rFonts w:hint="eastAsia" w:eastAsiaTheme="minorEastAsia"/>
                <w:color w:val="000000"/>
                <w:kern w:val="0"/>
                <w:sz w:val="24"/>
              </w:rPr>
              <w:t>4</w:t>
            </w:r>
          </w:p>
        </w:tc>
        <w:tc>
          <w:tcPr>
            <w:tcW w:w="1664" w:type="dxa"/>
            <w:shd w:val="clear" w:color="000000" w:fill="FFFFFF"/>
            <w:vAlign w:val="center"/>
          </w:tcPr>
          <w:p w14:paraId="645C45BD">
            <w:pPr>
              <w:widowControl/>
              <w:jc w:val="center"/>
              <w:rPr>
                <w:rFonts w:eastAsiaTheme="minorEastAsia"/>
                <w:color w:val="000000"/>
                <w:kern w:val="0"/>
                <w:sz w:val="24"/>
              </w:rPr>
            </w:pPr>
            <w:r>
              <w:rPr>
                <w:rFonts w:hint="eastAsia" w:eastAsiaTheme="minorEastAsia"/>
                <w:color w:val="000000"/>
                <w:kern w:val="0"/>
                <w:sz w:val="24"/>
              </w:rPr>
              <w:t>报价唯一性</w:t>
            </w:r>
          </w:p>
        </w:tc>
        <w:tc>
          <w:tcPr>
            <w:tcW w:w="5380" w:type="dxa"/>
            <w:shd w:val="clear" w:color="000000" w:fill="FFFFFF"/>
            <w:vAlign w:val="center"/>
          </w:tcPr>
          <w:p w14:paraId="736EABC5">
            <w:pPr>
              <w:widowControl/>
              <w:jc w:val="left"/>
              <w:rPr>
                <w:rFonts w:eastAsiaTheme="minorEastAsia"/>
                <w:color w:val="000000"/>
                <w:kern w:val="0"/>
                <w:sz w:val="24"/>
              </w:rPr>
            </w:pPr>
            <w:r>
              <w:rPr>
                <w:rFonts w:hint="eastAsia" w:eastAsiaTheme="minorEastAsia"/>
                <w:color w:val="000000"/>
                <w:kern w:val="0"/>
                <w:sz w:val="24"/>
              </w:rPr>
              <w:t>响应文件未出现可选择性或可调整的报价（磋商文件另有规定的除外）；</w:t>
            </w:r>
          </w:p>
        </w:tc>
        <w:tc>
          <w:tcPr>
            <w:tcW w:w="1523" w:type="dxa"/>
            <w:shd w:val="clear" w:color="000000" w:fill="FFFFFF"/>
            <w:vAlign w:val="center"/>
          </w:tcPr>
          <w:p w14:paraId="61984D8B">
            <w:pPr>
              <w:widowControl/>
              <w:jc w:val="center"/>
              <w:rPr>
                <w:rFonts w:eastAsiaTheme="minorEastAsia"/>
                <w:color w:val="000000"/>
                <w:kern w:val="0"/>
                <w:sz w:val="24"/>
              </w:rPr>
            </w:pPr>
            <w:r>
              <w:rPr>
                <w:rFonts w:hint="eastAsia" w:eastAsiaTheme="minorEastAsia"/>
                <w:color w:val="000000"/>
                <w:kern w:val="0"/>
                <w:sz w:val="24"/>
              </w:rPr>
              <w:t>否</w:t>
            </w:r>
          </w:p>
        </w:tc>
      </w:tr>
      <w:tr w14:paraId="1BCEA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18" w:type="dxa"/>
            <w:shd w:val="clear" w:color="000000" w:fill="FFFFFF"/>
            <w:vAlign w:val="center"/>
          </w:tcPr>
          <w:p w14:paraId="774E6673">
            <w:pPr>
              <w:widowControl/>
              <w:jc w:val="center"/>
              <w:rPr>
                <w:rFonts w:eastAsiaTheme="minorEastAsia"/>
                <w:color w:val="000000"/>
                <w:kern w:val="0"/>
                <w:sz w:val="24"/>
              </w:rPr>
            </w:pPr>
            <w:r>
              <w:rPr>
                <w:rFonts w:hint="eastAsia" w:eastAsiaTheme="minorEastAsia"/>
                <w:color w:val="000000"/>
                <w:kern w:val="0"/>
                <w:sz w:val="24"/>
              </w:rPr>
              <w:t>5</w:t>
            </w:r>
          </w:p>
        </w:tc>
        <w:tc>
          <w:tcPr>
            <w:tcW w:w="1664" w:type="dxa"/>
            <w:shd w:val="clear" w:color="000000" w:fill="FFFFFF"/>
            <w:vAlign w:val="center"/>
          </w:tcPr>
          <w:p w14:paraId="38939776">
            <w:pPr>
              <w:widowControl/>
              <w:jc w:val="center"/>
              <w:rPr>
                <w:rFonts w:eastAsiaTheme="minorEastAsia"/>
                <w:color w:val="000000"/>
                <w:kern w:val="0"/>
                <w:sz w:val="24"/>
              </w:rPr>
            </w:pPr>
            <w:r>
              <w:rPr>
                <w:rFonts w:hint="eastAsia" w:eastAsiaTheme="minorEastAsia"/>
                <w:color w:val="000000"/>
                <w:kern w:val="0"/>
                <w:sz w:val="24"/>
              </w:rPr>
              <w:t>响应有效期</w:t>
            </w:r>
          </w:p>
        </w:tc>
        <w:tc>
          <w:tcPr>
            <w:tcW w:w="5380" w:type="dxa"/>
            <w:shd w:val="clear" w:color="000000" w:fill="FFFFFF"/>
            <w:vAlign w:val="center"/>
          </w:tcPr>
          <w:p w14:paraId="67BD5B6C">
            <w:pPr>
              <w:widowControl/>
              <w:jc w:val="left"/>
              <w:rPr>
                <w:rFonts w:eastAsiaTheme="minorEastAsia"/>
                <w:color w:val="000000"/>
                <w:kern w:val="0"/>
                <w:sz w:val="24"/>
              </w:rPr>
            </w:pPr>
            <w:r>
              <w:rPr>
                <w:rFonts w:hint="eastAsia" w:eastAsiaTheme="minorEastAsia"/>
                <w:color w:val="000000"/>
                <w:kern w:val="0"/>
                <w:sz w:val="24"/>
              </w:rPr>
              <w:t>响应文件中承诺的响应有效期满足磋商文件中载明的响应有效期的；</w:t>
            </w:r>
          </w:p>
        </w:tc>
        <w:tc>
          <w:tcPr>
            <w:tcW w:w="1523" w:type="dxa"/>
            <w:shd w:val="clear" w:color="000000" w:fill="FFFFFF"/>
            <w:vAlign w:val="center"/>
          </w:tcPr>
          <w:p w14:paraId="1B05F2C5">
            <w:pPr>
              <w:widowControl/>
              <w:jc w:val="center"/>
              <w:rPr>
                <w:rFonts w:eastAsiaTheme="minorEastAsia"/>
                <w:color w:val="000000"/>
                <w:kern w:val="0"/>
                <w:sz w:val="24"/>
              </w:rPr>
            </w:pPr>
            <w:r>
              <w:rPr>
                <w:rFonts w:hint="eastAsia" w:eastAsiaTheme="minorEastAsia"/>
                <w:color w:val="000000"/>
                <w:kern w:val="0"/>
                <w:sz w:val="24"/>
              </w:rPr>
              <w:t>否</w:t>
            </w:r>
          </w:p>
        </w:tc>
      </w:tr>
      <w:tr w14:paraId="7145E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18" w:type="dxa"/>
            <w:shd w:val="clear" w:color="000000" w:fill="FFFFFF"/>
            <w:vAlign w:val="center"/>
          </w:tcPr>
          <w:p w14:paraId="056C3026">
            <w:pPr>
              <w:widowControl/>
              <w:jc w:val="center"/>
              <w:rPr>
                <w:rFonts w:eastAsiaTheme="minorEastAsia"/>
                <w:color w:val="000000"/>
                <w:kern w:val="0"/>
                <w:sz w:val="24"/>
              </w:rPr>
            </w:pPr>
            <w:r>
              <w:rPr>
                <w:rFonts w:hint="eastAsia" w:eastAsiaTheme="minorEastAsia"/>
                <w:color w:val="000000"/>
                <w:kern w:val="0"/>
                <w:sz w:val="24"/>
              </w:rPr>
              <w:t>6</w:t>
            </w:r>
          </w:p>
        </w:tc>
        <w:tc>
          <w:tcPr>
            <w:tcW w:w="1664" w:type="dxa"/>
            <w:shd w:val="clear" w:color="000000" w:fill="FFFFFF"/>
            <w:vAlign w:val="center"/>
          </w:tcPr>
          <w:p w14:paraId="51AEDFE6">
            <w:pPr>
              <w:widowControl/>
              <w:jc w:val="center"/>
              <w:rPr>
                <w:rFonts w:eastAsiaTheme="minorEastAsia"/>
                <w:color w:val="000000"/>
                <w:kern w:val="0"/>
                <w:sz w:val="24"/>
              </w:rPr>
            </w:pPr>
            <w:r>
              <w:rPr>
                <w:rFonts w:hint="eastAsia" w:eastAsiaTheme="minorEastAsia"/>
                <w:color w:val="000000"/>
                <w:kern w:val="0"/>
                <w:sz w:val="24"/>
              </w:rPr>
              <w:t xml:space="preserve">签署、盖章 </w:t>
            </w:r>
          </w:p>
        </w:tc>
        <w:tc>
          <w:tcPr>
            <w:tcW w:w="5380" w:type="dxa"/>
            <w:shd w:val="clear" w:color="000000" w:fill="FFFFFF"/>
            <w:vAlign w:val="center"/>
          </w:tcPr>
          <w:p w14:paraId="313E18BD">
            <w:pPr>
              <w:widowControl/>
              <w:jc w:val="left"/>
              <w:rPr>
                <w:rFonts w:eastAsiaTheme="minorEastAsia"/>
                <w:color w:val="000000"/>
                <w:kern w:val="0"/>
                <w:sz w:val="24"/>
              </w:rPr>
            </w:pPr>
            <w:r>
              <w:rPr>
                <w:rFonts w:hint="eastAsia" w:eastAsiaTheme="minorEastAsia"/>
                <w:color w:val="000000"/>
                <w:kern w:val="0"/>
                <w:sz w:val="24"/>
              </w:rPr>
              <w:t>按照磋商文件要求签署、盖章的；</w:t>
            </w:r>
          </w:p>
        </w:tc>
        <w:tc>
          <w:tcPr>
            <w:tcW w:w="1523" w:type="dxa"/>
            <w:shd w:val="clear" w:color="000000" w:fill="FFFFFF"/>
            <w:vAlign w:val="center"/>
          </w:tcPr>
          <w:p w14:paraId="519E5D16">
            <w:pPr>
              <w:widowControl/>
              <w:jc w:val="center"/>
              <w:rPr>
                <w:rFonts w:eastAsiaTheme="minorEastAsia"/>
                <w:color w:val="000000"/>
                <w:kern w:val="0"/>
                <w:sz w:val="24"/>
              </w:rPr>
            </w:pPr>
            <w:r>
              <w:rPr>
                <w:rFonts w:hint="eastAsia" w:eastAsiaTheme="minorEastAsia"/>
                <w:color w:val="000000"/>
                <w:kern w:val="0"/>
                <w:sz w:val="24"/>
              </w:rPr>
              <w:t>否</w:t>
            </w:r>
          </w:p>
        </w:tc>
      </w:tr>
      <w:tr w14:paraId="3F3CE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18" w:type="dxa"/>
            <w:shd w:val="clear" w:color="000000" w:fill="FFFFFF"/>
            <w:vAlign w:val="center"/>
          </w:tcPr>
          <w:p w14:paraId="53193F03">
            <w:pPr>
              <w:widowControl/>
              <w:jc w:val="center"/>
              <w:rPr>
                <w:rFonts w:eastAsiaTheme="minorEastAsia"/>
                <w:color w:val="000000"/>
                <w:kern w:val="0"/>
                <w:sz w:val="24"/>
              </w:rPr>
            </w:pPr>
            <w:r>
              <w:rPr>
                <w:rFonts w:hint="eastAsia" w:eastAsiaTheme="minorEastAsia"/>
                <w:color w:val="000000"/>
                <w:kern w:val="0"/>
                <w:sz w:val="24"/>
              </w:rPr>
              <w:t>7</w:t>
            </w:r>
          </w:p>
        </w:tc>
        <w:tc>
          <w:tcPr>
            <w:tcW w:w="1664" w:type="dxa"/>
            <w:shd w:val="clear" w:color="000000" w:fill="FFFFFF"/>
            <w:vAlign w:val="center"/>
          </w:tcPr>
          <w:p w14:paraId="658AB491">
            <w:pPr>
              <w:widowControl/>
              <w:jc w:val="center"/>
              <w:rPr>
                <w:rFonts w:eastAsiaTheme="minorEastAsia"/>
                <w:color w:val="000000"/>
                <w:kern w:val="0"/>
                <w:sz w:val="24"/>
              </w:rPr>
            </w:pPr>
            <w:r>
              <w:rPr>
                <w:rFonts w:hint="eastAsia" w:eastAsiaTheme="minorEastAsia"/>
                <w:color w:val="000000"/>
                <w:kern w:val="0"/>
                <w:sz w:val="24"/>
              </w:rPr>
              <w:t xml:space="preserve">实质性格式 </w:t>
            </w:r>
          </w:p>
        </w:tc>
        <w:tc>
          <w:tcPr>
            <w:tcW w:w="5380" w:type="dxa"/>
            <w:shd w:val="clear" w:color="000000" w:fill="FFFFFF"/>
            <w:vAlign w:val="center"/>
          </w:tcPr>
          <w:p w14:paraId="25453882">
            <w:pPr>
              <w:widowControl/>
              <w:jc w:val="left"/>
              <w:rPr>
                <w:rFonts w:eastAsiaTheme="minorEastAsia"/>
                <w:color w:val="000000"/>
                <w:kern w:val="0"/>
                <w:sz w:val="24"/>
              </w:rPr>
            </w:pPr>
            <w:r>
              <w:rPr>
                <w:rFonts w:hint="eastAsia" w:eastAsiaTheme="minorEastAsia"/>
                <w:color w:val="000000"/>
                <w:kern w:val="0"/>
                <w:sz w:val="24"/>
              </w:rPr>
              <w:t>标记为“实质性格式”的文件均按磋商文件要求提供；</w:t>
            </w:r>
          </w:p>
        </w:tc>
        <w:tc>
          <w:tcPr>
            <w:tcW w:w="1523" w:type="dxa"/>
            <w:shd w:val="clear" w:color="000000" w:fill="FFFFFF"/>
            <w:vAlign w:val="center"/>
          </w:tcPr>
          <w:p w14:paraId="6B309B00">
            <w:pPr>
              <w:widowControl/>
              <w:jc w:val="center"/>
              <w:rPr>
                <w:rFonts w:eastAsiaTheme="minorEastAsia"/>
                <w:color w:val="000000"/>
                <w:kern w:val="0"/>
                <w:sz w:val="24"/>
              </w:rPr>
            </w:pPr>
            <w:r>
              <w:rPr>
                <w:rFonts w:hint="eastAsia" w:eastAsiaTheme="minorEastAsia"/>
                <w:color w:val="000000"/>
                <w:kern w:val="0"/>
                <w:sz w:val="24"/>
              </w:rPr>
              <w:t>否</w:t>
            </w:r>
          </w:p>
        </w:tc>
      </w:tr>
      <w:tr w14:paraId="2209F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18" w:type="dxa"/>
            <w:shd w:val="clear" w:color="000000" w:fill="FFFFFF"/>
            <w:vAlign w:val="center"/>
          </w:tcPr>
          <w:p w14:paraId="5DD0AE20">
            <w:pPr>
              <w:widowControl/>
              <w:jc w:val="center"/>
              <w:rPr>
                <w:rFonts w:eastAsiaTheme="minorEastAsia"/>
                <w:color w:val="000000"/>
                <w:kern w:val="0"/>
                <w:sz w:val="24"/>
              </w:rPr>
            </w:pPr>
            <w:r>
              <w:rPr>
                <w:rFonts w:hint="eastAsia" w:eastAsiaTheme="minorEastAsia"/>
                <w:color w:val="000000"/>
                <w:kern w:val="0"/>
                <w:sz w:val="24"/>
              </w:rPr>
              <w:t>8</w:t>
            </w:r>
          </w:p>
        </w:tc>
        <w:tc>
          <w:tcPr>
            <w:tcW w:w="1664" w:type="dxa"/>
            <w:shd w:val="clear" w:color="000000" w:fill="FFFFFF"/>
            <w:vAlign w:val="center"/>
          </w:tcPr>
          <w:p w14:paraId="38C86809">
            <w:pPr>
              <w:widowControl/>
              <w:jc w:val="center"/>
              <w:rPr>
                <w:rFonts w:eastAsiaTheme="minorEastAsia"/>
                <w:color w:val="000000"/>
                <w:kern w:val="0"/>
                <w:sz w:val="24"/>
              </w:rPr>
            </w:pPr>
            <w:r>
              <w:rPr>
                <w:rFonts w:hint="eastAsia" w:eastAsiaTheme="minorEastAsia"/>
                <w:color w:val="000000"/>
                <w:kern w:val="0"/>
                <w:sz w:val="24"/>
              </w:rPr>
              <w:t>★号技术参数响应（如有）</w:t>
            </w:r>
          </w:p>
        </w:tc>
        <w:tc>
          <w:tcPr>
            <w:tcW w:w="5380" w:type="dxa"/>
            <w:shd w:val="clear" w:color="000000" w:fill="FFFFFF"/>
            <w:vAlign w:val="center"/>
          </w:tcPr>
          <w:p w14:paraId="7AA68302">
            <w:pPr>
              <w:widowControl/>
              <w:jc w:val="left"/>
              <w:rPr>
                <w:rFonts w:eastAsiaTheme="minorEastAsia"/>
                <w:color w:val="000000"/>
                <w:kern w:val="0"/>
                <w:sz w:val="24"/>
              </w:rPr>
            </w:pPr>
            <w:r>
              <w:rPr>
                <w:rFonts w:hint="eastAsia" w:eastAsiaTheme="minorEastAsia"/>
                <w:color w:val="000000"/>
                <w:kern w:val="0"/>
                <w:sz w:val="24"/>
              </w:rPr>
              <w:t>响应文件满足磋商文件《采购需求》中★号技术参数要求；</w:t>
            </w:r>
          </w:p>
        </w:tc>
        <w:tc>
          <w:tcPr>
            <w:tcW w:w="1523" w:type="dxa"/>
            <w:shd w:val="clear" w:color="000000" w:fill="FFFFFF"/>
            <w:vAlign w:val="center"/>
          </w:tcPr>
          <w:p w14:paraId="58580761">
            <w:pPr>
              <w:widowControl/>
              <w:jc w:val="center"/>
              <w:rPr>
                <w:rFonts w:eastAsiaTheme="minorEastAsia"/>
                <w:color w:val="000000"/>
                <w:kern w:val="0"/>
                <w:sz w:val="24"/>
              </w:rPr>
            </w:pPr>
            <w:r>
              <w:rPr>
                <w:rFonts w:hint="eastAsia" w:eastAsiaTheme="minorEastAsia"/>
                <w:color w:val="000000"/>
                <w:kern w:val="0"/>
                <w:sz w:val="24"/>
              </w:rPr>
              <w:t>否</w:t>
            </w:r>
          </w:p>
        </w:tc>
      </w:tr>
      <w:tr w14:paraId="190D2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18" w:type="dxa"/>
            <w:shd w:val="clear" w:color="000000" w:fill="FFFFFF"/>
            <w:vAlign w:val="center"/>
          </w:tcPr>
          <w:p w14:paraId="44E50437">
            <w:pPr>
              <w:widowControl/>
              <w:jc w:val="center"/>
              <w:rPr>
                <w:rFonts w:eastAsiaTheme="minorEastAsia"/>
                <w:color w:val="000000"/>
                <w:kern w:val="0"/>
                <w:sz w:val="24"/>
              </w:rPr>
            </w:pPr>
            <w:r>
              <w:rPr>
                <w:rFonts w:hint="eastAsia" w:eastAsiaTheme="minorEastAsia"/>
                <w:color w:val="000000"/>
                <w:kern w:val="0"/>
                <w:sz w:val="24"/>
              </w:rPr>
              <w:t>9</w:t>
            </w:r>
          </w:p>
        </w:tc>
        <w:tc>
          <w:tcPr>
            <w:tcW w:w="1664" w:type="dxa"/>
            <w:shd w:val="clear" w:color="000000" w:fill="FFFFFF"/>
            <w:vAlign w:val="center"/>
          </w:tcPr>
          <w:p w14:paraId="67ABB9BA">
            <w:pPr>
              <w:widowControl/>
              <w:jc w:val="center"/>
              <w:rPr>
                <w:rFonts w:eastAsiaTheme="minorEastAsia"/>
                <w:color w:val="000000"/>
                <w:kern w:val="0"/>
                <w:sz w:val="24"/>
              </w:rPr>
            </w:pPr>
            <w:r>
              <w:rPr>
                <w:rFonts w:hint="eastAsia" w:eastAsiaTheme="minorEastAsia"/>
                <w:color w:val="000000"/>
                <w:kern w:val="0"/>
                <w:sz w:val="24"/>
              </w:rPr>
              <w:t>报价合理性</w:t>
            </w:r>
          </w:p>
        </w:tc>
        <w:tc>
          <w:tcPr>
            <w:tcW w:w="5380" w:type="dxa"/>
            <w:shd w:val="clear" w:color="000000" w:fill="FFFFFF"/>
            <w:vAlign w:val="center"/>
          </w:tcPr>
          <w:p w14:paraId="5ED50FD1">
            <w:pPr>
              <w:widowControl/>
              <w:jc w:val="left"/>
              <w:rPr>
                <w:rFonts w:eastAsiaTheme="minorEastAsia"/>
                <w:color w:val="000000"/>
                <w:kern w:val="0"/>
                <w:sz w:val="24"/>
              </w:rPr>
            </w:pPr>
            <w:r>
              <w:rPr>
                <w:rFonts w:hint="eastAsia" w:eastAsiaTheme="minorEastAsia"/>
                <w:color w:val="000000"/>
                <w:kern w:val="0"/>
                <w:sz w:val="24"/>
              </w:rPr>
              <w:t>报价合理，或供应商的报价明显低于其他通过符合性审查供应商的报价，有可能影响产品质量或者不能诚信履约的，能够应评标委员会要求在规定时间内证明其报价合理性的；</w:t>
            </w:r>
          </w:p>
        </w:tc>
        <w:tc>
          <w:tcPr>
            <w:tcW w:w="1523" w:type="dxa"/>
            <w:shd w:val="clear" w:color="000000" w:fill="FFFFFF"/>
            <w:vAlign w:val="center"/>
          </w:tcPr>
          <w:p w14:paraId="60CD8527">
            <w:pPr>
              <w:widowControl/>
              <w:jc w:val="center"/>
              <w:rPr>
                <w:rFonts w:eastAsiaTheme="minorEastAsia"/>
                <w:color w:val="000000"/>
                <w:kern w:val="0"/>
                <w:sz w:val="24"/>
              </w:rPr>
            </w:pPr>
            <w:r>
              <w:rPr>
                <w:rFonts w:hint="eastAsia" w:eastAsiaTheme="minorEastAsia"/>
                <w:color w:val="000000"/>
                <w:kern w:val="0"/>
                <w:sz w:val="24"/>
              </w:rPr>
              <w:t>否</w:t>
            </w:r>
          </w:p>
        </w:tc>
      </w:tr>
      <w:tr w14:paraId="7AC4C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18" w:type="dxa"/>
            <w:shd w:val="clear" w:color="000000" w:fill="FFFFFF"/>
            <w:vAlign w:val="center"/>
          </w:tcPr>
          <w:p w14:paraId="6EA5C146">
            <w:pPr>
              <w:widowControl/>
              <w:jc w:val="center"/>
              <w:rPr>
                <w:rFonts w:eastAsiaTheme="minorEastAsia"/>
                <w:color w:val="000000"/>
                <w:kern w:val="0"/>
                <w:sz w:val="24"/>
              </w:rPr>
            </w:pPr>
            <w:r>
              <w:rPr>
                <w:rFonts w:hint="eastAsia" w:eastAsiaTheme="minorEastAsia"/>
                <w:color w:val="000000"/>
                <w:kern w:val="0"/>
                <w:sz w:val="24"/>
              </w:rPr>
              <w:t>10</w:t>
            </w:r>
          </w:p>
        </w:tc>
        <w:tc>
          <w:tcPr>
            <w:tcW w:w="1664" w:type="dxa"/>
            <w:shd w:val="clear" w:color="000000" w:fill="FFFFFF"/>
            <w:vAlign w:val="center"/>
          </w:tcPr>
          <w:p w14:paraId="2F7ADDF4">
            <w:pPr>
              <w:widowControl/>
              <w:jc w:val="center"/>
              <w:rPr>
                <w:rFonts w:eastAsiaTheme="minorEastAsia"/>
                <w:color w:val="000000"/>
                <w:kern w:val="0"/>
                <w:sz w:val="24"/>
              </w:rPr>
            </w:pPr>
            <w:r>
              <w:rPr>
                <w:rFonts w:hint="eastAsia" w:eastAsiaTheme="minorEastAsia"/>
                <w:color w:val="000000"/>
                <w:kern w:val="0"/>
                <w:sz w:val="24"/>
              </w:rPr>
              <w:t>公平竞争</w:t>
            </w:r>
          </w:p>
        </w:tc>
        <w:tc>
          <w:tcPr>
            <w:tcW w:w="5380" w:type="dxa"/>
            <w:shd w:val="clear" w:color="000000" w:fill="FFFFFF"/>
            <w:vAlign w:val="center"/>
          </w:tcPr>
          <w:p w14:paraId="16CEF3C5">
            <w:pPr>
              <w:widowControl/>
              <w:jc w:val="left"/>
              <w:rPr>
                <w:rFonts w:eastAsiaTheme="minorEastAsia"/>
                <w:color w:val="000000"/>
                <w:kern w:val="0"/>
                <w:sz w:val="24"/>
              </w:rPr>
            </w:pPr>
            <w:r>
              <w:rPr>
                <w:rFonts w:hint="eastAsia" w:eastAsiaTheme="minorEastAsia"/>
                <w:color w:val="000000"/>
                <w:kern w:val="0"/>
                <w:sz w:val="24"/>
              </w:rPr>
              <w:t>供应商遵循公平竞争的原则，不存在恶意串通，妨碍其他供应商的竞争行为，不存在损害采购人或者其他供应商的合法权益情形的；</w:t>
            </w:r>
          </w:p>
        </w:tc>
        <w:tc>
          <w:tcPr>
            <w:tcW w:w="1523" w:type="dxa"/>
            <w:shd w:val="clear" w:color="000000" w:fill="FFFFFF"/>
            <w:vAlign w:val="center"/>
          </w:tcPr>
          <w:p w14:paraId="3376726A">
            <w:pPr>
              <w:widowControl/>
              <w:jc w:val="center"/>
              <w:rPr>
                <w:rFonts w:eastAsiaTheme="minorEastAsia"/>
                <w:color w:val="000000"/>
                <w:kern w:val="0"/>
                <w:sz w:val="24"/>
              </w:rPr>
            </w:pPr>
            <w:r>
              <w:rPr>
                <w:rFonts w:hint="eastAsia" w:eastAsiaTheme="minorEastAsia"/>
                <w:color w:val="000000"/>
                <w:kern w:val="0"/>
                <w:sz w:val="24"/>
              </w:rPr>
              <w:t>否</w:t>
            </w:r>
          </w:p>
        </w:tc>
      </w:tr>
      <w:tr w14:paraId="00BED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18" w:type="dxa"/>
            <w:shd w:val="clear" w:color="000000" w:fill="FFFFFF"/>
            <w:vAlign w:val="center"/>
          </w:tcPr>
          <w:p w14:paraId="42FB8AE1">
            <w:pPr>
              <w:widowControl/>
              <w:jc w:val="center"/>
              <w:rPr>
                <w:rFonts w:eastAsiaTheme="minorEastAsia"/>
                <w:color w:val="000000"/>
                <w:kern w:val="0"/>
                <w:sz w:val="24"/>
              </w:rPr>
            </w:pPr>
            <w:r>
              <w:rPr>
                <w:rFonts w:hint="eastAsia" w:eastAsiaTheme="minorEastAsia"/>
                <w:color w:val="000000"/>
                <w:kern w:val="0"/>
                <w:sz w:val="24"/>
              </w:rPr>
              <w:t>11</w:t>
            </w:r>
          </w:p>
        </w:tc>
        <w:tc>
          <w:tcPr>
            <w:tcW w:w="1664" w:type="dxa"/>
            <w:shd w:val="clear" w:color="000000" w:fill="FFFFFF"/>
            <w:vAlign w:val="center"/>
          </w:tcPr>
          <w:p w14:paraId="297E8613">
            <w:pPr>
              <w:widowControl/>
              <w:jc w:val="center"/>
              <w:rPr>
                <w:rFonts w:eastAsiaTheme="minorEastAsia"/>
                <w:color w:val="000000"/>
                <w:kern w:val="0"/>
                <w:sz w:val="24"/>
              </w:rPr>
            </w:pPr>
            <w:r>
              <w:rPr>
                <w:rFonts w:hint="eastAsia" w:eastAsiaTheme="minorEastAsia"/>
                <w:color w:val="000000"/>
                <w:kern w:val="0"/>
                <w:sz w:val="24"/>
              </w:rPr>
              <w:t>串通投标</w:t>
            </w:r>
          </w:p>
        </w:tc>
        <w:tc>
          <w:tcPr>
            <w:tcW w:w="5380" w:type="dxa"/>
            <w:shd w:val="clear" w:color="000000" w:fill="FFFFFF"/>
            <w:vAlign w:val="center"/>
          </w:tcPr>
          <w:p w14:paraId="3672523F">
            <w:pPr>
              <w:widowControl/>
              <w:jc w:val="left"/>
              <w:rPr>
                <w:rFonts w:eastAsiaTheme="minorEastAsia"/>
                <w:color w:val="000000"/>
                <w:kern w:val="0"/>
                <w:sz w:val="24"/>
              </w:rPr>
            </w:pPr>
            <w:r>
              <w:rPr>
                <w:rFonts w:hint="eastAsia" w:eastAsiaTheme="minorEastAsia"/>
                <w:color w:val="000000"/>
                <w:kern w:val="0"/>
                <w:sz w:val="24"/>
              </w:rPr>
              <w:t>不存在以下视为供应商串通投标的情形：（一）不同供应商的响应文件由同一单位或者个人编制；（二）不同供应商委托同一单位或者个人办理投标事宜；（三）不同供应商的响应文件载明的项目管理成员或者联系人员为同一人；（四）不同供应商的响应文件异常一致或者响应报价呈规律性差异；（五）不同供应商的响应文件相互混装；（六）不同供应商的磋商保证金从同一单位或者个人的账户转出；</w:t>
            </w:r>
          </w:p>
        </w:tc>
        <w:tc>
          <w:tcPr>
            <w:tcW w:w="1523" w:type="dxa"/>
            <w:shd w:val="clear" w:color="000000" w:fill="FFFFFF"/>
            <w:vAlign w:val="center"/>
          </w:tcPr>
          <w:p w14:paraId="0D413AAD">
            <w:pPr>
              <w:widowControl/>
              <w:jc w:val="center"/>
              <w:rPr>
                <w:rFonts w:eastAsiaTheme="minorEastAsia"/>
                <w:color w:val="000000"/>
                <w:kern w:val="0"/>
                <w:sz w:val="24"/>
              </w:rPr>
            </w:pPr>
            <w:r>
              <w:rPr>
                <w:rFonts w:hint="eastAsia" w:eastAsiaTheme="minorEastAsia"/>
                <w:color w:val="000000"/>
                <w:kern w:val="0"/>
                <w:sz w:val="24"/>
              </w:rPr>
              <w:t>否</w:t>
            </w:r>
          </w:p>
        </w:tc>
      </w:tr>
      <w:tr w14:paraId="74544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18" w:type="dxa"/>
            <w:shd w:val="clear" w:color="000000" w:fill="FFFFFF"/>
            <w:vAlign w:val="center"/>
          </w:tcPr>
          <w:p w14:paraId="4B90A603">
            <w:pPr>
              <w:widowControl/>
              <w:jc w:val="center"/>
              <w:rPr>
                <w:rFonts w:eastAsiaTheme="minorEastAsia"/>
                <w:color w:val="000000"/>
                <w:kern w:val="0"/>
                <w:sz w:val="24"/>
              </w:rPr>
            </w:pPr>
            <w:r>
              <w:rPr>
                <w:rFonts w:hint="eastAsia" w:eastAsiaTheme="minorEastAsia"/>
                <w:color w:val="000000"/>
                <w:kern w:val="0"/>
                <w:sz w:val="24"/>
              </w:rPr>
              <w:t>12</w:t>
            </w:r>
          </w:p>
        </w:tc>
        <w:tc>
          <w:tcPr>
            <w:tcW w:w="1664" w:type="dxa"/>
            <w:shd w:val="clear" w:color="000000" w:fill="FFFFFF"/>
            <w:vAlign w:val="center"/>
          </w:tcPr>
          <w:p w14:paraId="44F9FEAF">
            <w:pPr>
              <w:widowControl/>
              <w:jc w:val="center"/>
              <w:rPr>
                <w:rFonts w:eastAsiaTheme="minorEastAsia"/>
                <w:color w:val="000000"/>
                <w:kern w:val="0"/>
                <w:sz w:val="24"/>
              </w:rPr>
            </w:pPr>
            <w:r>
              <w:rPr>
                <w:rFonts w:hint="eastAsia" w:eastAsiaTheme="minorEastAsia"/>
                <w:color w:val="000000"/>
                <w:kern w:val="0"/>
                <w:sz w:val="24"/>
              </w:rPr>
              <w:t xml:space="preserve">附加条件 </w:t>
            </w:r>
          </w:p>
        </w:tc>
        <w:tc>
          <w:tcPr>
            <w:tcW w:w="5380" w:type="dxa"/>
            <w:shd w:val="clear" w:color="000000" w:fill="FFFFFF"/>
            <w:vAlign w:val="center"/>
          </w:tcPr>
          <w:p w14:paraId="0F048839">
            <w:pPr>
              <w:widowControl/>
              <w:jc w:val="left"/>
              <w:rPr>
                <w:rFonts w:eastAsiaTheme="minorEastAsia"/>
                <w:color w:val="000000"/>
                <w:kern w:val="0"/>
                <w:sz w:val="24"/>
              </w:rPr>
            </w:pPr>
            <w:r>
              <w:rPr>
                <w:rFonts w:hint="eastAsia" w:eastAsiaTheme="minorEastAsia"/>
                <w:color w:val="000000"/>
                <w:kern w:val="0"/>
                <w:sz w:val="24"/>
              </w:rPr>
              <w:t>响应文件未含有采购人不能接受的附加条件的；</w:t>
            </w:r>
          </w:p>
        </w:tc>
        <w:tc>
          <w:tcPr>
            <w:tcW w:w="1523" w:type="dxa"/>
            <w:shd w:val="clear" w:color="000000" w:fill="FFFFFF"/>
            <w:vAlign w:val="center"/>
          </w:tcPr>
          <w:p w14:paraId="1AF9DD82">
            <w:pPr>
              <w:widowControl/>
              <w:jc w:val="center"/>
              <w:rPr>
                <w:rFonts w:eastAsiaTheme="minorEastAsia"/>
                <w:color w:val="000000"/>
                <w:kern w:val="0"/>
                <w:sz w:val="24"/>
              </w:rPr>
            </w:pPr>
            <w:r>
              <w:rPr>
                <w:rFonts w:hint="eastAsia" w:eastAsiaTheme="minorEastAsia"/>
                <w:color w:val="000000"/>
                <w:kern w:val="0"/>
                <w:sz w:val="24"/>
              </w:rPr>
              <w:t>否</w:t>
            </w:r>
          </w:p>
        </w:tc>
      </w:tr>
      <w:tr w14:paraId="7CADE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718" w:type="dxa"/>
            <w:shd w:val="clear" w:color="000000" w:fill="FFFFFF"/>
            <w:vAlign w:val="center"/>
          </w:tcPr>
          <w:p w14:paraId="00673B91">
            <w:pPr>
              <w:widowControl/>
              <w:jc w:val="center"/>
              <w:rPr>
                <w:rFonts w:eastAsiaTheme="minorEastAsia"/>
                <w:color w:val="000000"/>
                <w:kern w:val="0"/>
                <w:sz w:val="24"/>
              </w:rPr>
            </w:pPr>
            <w:r>
              <w:rPr>
                <w:rFonts w:hint="eastAsia" w:eastAsiaTheme="minorEastAsia"/>
                <w:color w:val="000000"/>
                <w:kern w:val="0"/>
                <w:sz w:val="24"/>
              </w:rPr>
              <w:t>13</w:t>
            </w:r>
          </w:p>
        </w:tc>
        <w:tc>
          <w:tcPr>
            <w:tcW w:w="1664" w:type="dxa"/>
            <w:shd w:val="clear" w:color="000000" w:fill="FFFFFF"/>
            <w:vAlign w:val="center"/>
          </w:tcPr>
          <w:p w14:paraId="2DBEEB6C">
            <w:pPr>
              <w:widowControl/>
              <w:jc w:val="center"/>
              <w:rPr>
                <w:rFonts w:eastAsiaTheme="minorEastAsia"/>
                <w:color w:val="000000"/>
                <w:kern w:val="0"/>
                <w:sz w:val="24"/>
              </w:rPr>
            </w:pPr>
            <w:r>
              <w:rPr>
                <w:rFonts w:hint="eastAsia" w:eastAsiaTheme="minorEastAsia"/>
                <w:color w:val="000000"/>
                <w:kern w:val="0"/>
                <w:sz w:val="24"/>
              </w:rPr>
              <w:t>其他无效情形</w:t>
            </w:r>
          </w:p>
        </w:tc>
        <w:tc>
          <w:tcPr>
            <w:tcW w:w="5380" w:type="dxa"/>
            <w:shd w:val="clear" w:color="000000" w:fill="FFFFFF"/>
            <w:vAlign w:val="center"/>
          </w:tcPr>
          <w:p w14:paraId="612D4F02">
            <w:pPr>
              <w:widowControl/>
              <w:jc w:val="left"/>
              <w:rPr>
                <w:rFonts w:eastAsiaTheme="minorEastAsia"/>
                <w:color w:val="000000"/>
                <w:kern w:val="0"/>
                <w:sz w:val="24"/>
              </w:rPr>
            </w:pPr>
            <w:r>
              <w:rPr>
                <w:rFonts w:hint="eastAsia" w:eastAsiaTheme="minorEastAsia"/>
                <w:color w:val="000000"/>
                <w:kern w:val="0"/>
                <w:sz w:val="24"/>
              </w:rPr>
              <w:t>供应商、响应文件不存在不符合法律、法规和磋商文件规定的其他无效情形。</w:t>
            </w:r>
          </w:p>
        </w:tc>
        <w:tc>
          <w:tcPr>
            <w:tcW w:w="1523" w:type="dxa"/>
            <w:shd w:val="clear" w:color="000000" w:fill="FFFFFF"/>
            <w:vAlign w:val="center"/>
          </w:tcPr>
          <w:p w14:paraId="6263A8B1">
            <w:pPr>
              <w:widowControl/>
              <w:jc w:val="center"/>
              <w:rPr>
                <w:rFonts w:eastAsiaTheme="minorEastAsia"/>
                <w:color w:val="000000"/>
                <w:kern w:val="0"/>
                <w:sz w:val="24"/>
              </w:rPr>
            </w:pPr>
            <w:r>
              <w:rPr>
                <w:rFonts w:hint="eastAsia" w:eastAsiaTheme="minorEastAsia"/>
                <w:color w:val="000000"/>
                <w:kern w:val="0"/>
                <w:sz w:val="24"/>
              </w:rPr>
              <w:t>否</w:t>
            </w:r>
          </w:p>
        </w:tc>
      </w:tr>
    </w:tbl>
    <w:p w14:paraId="41915928">
      <w:pPr>
        <w:widowControl/>
        <w:jc w:val="center"/>
        <w:rPr>
          <w:rFonts w:eastAsiaTheme="minorEastAsia"/>
          <w:color w:val="000000"/>
          <w:kern w:val="0"/>
          <w:sz w:val="24"/>
        </w:rPr>
      </w:pPr>
    </w:p>
    <w:p w14:paraId="37940945">
      <w:pPr>
        <w:numPr>
          <w:ilvl w:val="0"/>
          <w:numId w:val="10"/>
        </w:numPr>
        <w:tabs>
          <w:tab w:val="left" w:pos="360"/>
        </w:tabs>
        <w:snapToGrid w:val="0"/>
        <w:spacing w:line="360" w:lineRule="auto"/>
        <w:outlineLvl w:val="1"/>
        <w:rPr>
          <w:rFonts w:eastAsiaTheme="minorEastAsia"/>
          <w:sz w:val="24"/>
        </w:rPr>
      </w:pPr>
      <w:r>
        <w:rPr>
          <w:rFonts w:eastAsiaTheme="minorEastAsia"/>
          <w:sz w:val="24"/>
        </w:rPr>
        <w:t>磋商、响应文件有关事项的澄清、说明或者更正和最后报价</w:t>
      </w:r>
    </w:p>
    <w:p w14:paraId="3B654B74">
      <w:pPr>
        <w:numPr>
          <w:ilvl w:val="1"/>
          <w:numId w:val="10"/>
        </w:numPr>
        <w:tabs>
          <w:tab w:val="left" w:pos="1080"/>
        </w:tabs>
        <w:snapToGrid w:val="0"/>
        <w:spacing w:line="360" w:lineRule="auto"/>
        <w:ind w:left="1077" w:hanging="720"/>
        <w:rPr>
          <w:rFonts w:eastAsiaTheme="minorEastAsia"/>
          <w:sz w:val="24"/>
        </w:rPr>
      </w:pPr>
      <w:r>
        <w:rPr>
          <w:rFonts w:eastAsiaTheme="minorEastAsia"/>
          <w:sz w:val="24"/>
        </w:rPr>
        <w:t>磋商小组所有成员将集中与单一供应商分别进行磋商，并给予所有参加磋商的供应商平等的磋商机会。</w:t>
      </w:r>
    </w:p>
    <w:p w14:paraId="1DEA58FC">
      <w:pPr>
        <w:numPr>
          <w:ilvl w:val="1"/>
          <w:numId w:val="10"/>
        </w:numPr>
        <w:tabs>
          <w:tab w:val="left" w:pos="1080"/>
          <w:tab w:val="left" w:pos="1872"/>
        </w:tabs>
        <w:snapToGrid w:val="0"/>
        <w:spacing w:line="360" w:lineRule="auto"/>
        <w:ind w:left="1077" w:hanging="720"/>
        <w:rPr>
          <w:rFonts w:eastAsiaTheme="minorEastAsia"/>
          <w:sz w:val="24"/>
        </w:rPr>
      </w:pPr>
      <w:r>
        <w:rPr>
          <w:rFonts w:hint="eastAsia" w:eastAsiaTheme="minorEastAsia"/>
          <w:kern w:val="0"/>
          <w:sz w:val="24"/>
        </w:rPr>
        <w:t>在磋商过程中，磋商小组可以根据磋商文件和磋商情况实质性变动采购需求中的技术、服务要求以及合同草案条款，但不得变动磋商文件中的其他内容。实质性变动的内容，须经采购人代表确认。</w:t>
      </w:r>
    </w:p>
    <w:p w14:paraId="25E3E65E">
      <w:pPr>
        <w:numPr>
          <w:ilvl w:val="1"/>
          <w:numId w:val="10"/>
        </w:numPr>
        <w:tabs>
          <w:tab w:val="left" w:pos="1080"/>
          <w:tab w:val="left" w:pos="1872"/>
        </w:tabs>
        <w:snapToGrid w:val="0"/>
        <w:spacing w:line="360" w:lineRule="auto"/>
        <w:ind w:left="1077" w:hanging="720"/>
        <w:rPr>
          <w:rFonts w:eastAsiaTheme="minorEastAsia"/>
          <w:kern w:val="0"/>
          <w:sz w:val="24"/>
        </w:rPr>
      </w:pPr>
      <w:r>
        <w:rPr>
          <w:rFonts w:hint="eastAsia" w:eastAsiaTheme="minorEastAsia"/>
          <w:kern w:val="0"/>
          <w:sz w:val="24"/>
        </w:rPr>
        <w:t>对磋商文件作出的实质性变动是磋商文件的有效组成部分，磋商小组应当及时以书面形式同时通知所有参加磋商的供应商。</w:t>
      </w:r>
    </w:p>
    <w:p w14:paraId="15EB6682">
      <w:pPr>
        <w:numPr>
          <w:ilvl w:val="1"/>
          <w:numId w:val="10"/>
        </w:numPr>
        <w:tabs>
          <w:tab w:val="left" w:pos="1080"/>
          <w:tab w:val="left" w:pos="1872"/>
        </w:tabs>
        <w:snapToGrid w:val="0"/>
        <w:spacing w:line="360" w:lineRule="auto"/>
        <w:ind w:left="1077" w:hanging="720"/>
        <w:rPr>
          <w:rFonts w:eastAsiaTheme="minorEastAsia"/>
          <w:kern w:val="0"/>
          <w:sz w:val="24"/>
        </w:rPr>
      </w:pPr>
      <w:r>
        <w:rPr>
          <w:rFonts w:hint="eastAsia" w:eastAsiaTheme="minorEastAsia"/>
          <w:kern w:val="0"/>
          <w:sz w:val="24"/>
        </w:rPr>
        <w:t>供应商应当按照磋商文件的变动情况和磋商小组的要求重新提交响应文件，并由其法定代表人（</w:t>
      </w:r>
      <w:r>
        <w:rPr>
          <w:rFonts w:hint="eastAsia"/>
          <w:color w:val="000000"/>
          <w:sz w:val="24"/>
          <w:szCs w:val="20"/>
        </w:rPr>
        <w:t>若供应商为事业单位或其他组织或分支机构，可为单位负责人</w:t>
      </w:r>
      <w:r>
        <w:rPr>
          <w:rFonts w:hint="eastAsia" w:eastAsiaTheme="minorEastAsia"/>
          <w:kern w:val="0"/>
          <w:sz w:val="24"/>
        </w:rPr>
        <w:t>）或授权代表签字或者加盖公章。由授权代表签字的，应当附授权委托书。供应商为自然人的，应当由本人签字并附身份证明。</w:t>
      </w:r>
    </w:p>
    <w:p w14:paraId="3C0BE59D">
      <w:pPr>
        <w:numPr>
          <w:ilvl w:val="1"/>
          <w:numId w:val="10"/>
        </w:numPr>
        <w:tabs>
          <w:tab w:val="left" w:pos="1080"/>
          <w:tab w:val="left" w:pos="1872"/>
        </w:tabs>
        <w:snapToGrid w:val="0"/>
        <w:spacing w:line="360" w:lineRule="auto"/>
        <w:ind w:left="1077" w:hanging="720"/>
        <w:rPr>
          <w:rFonts w:eastAsiaTheme="minorEastAsia"/>
          <w:sz w:val="24"/>
        </w:rPr>
      </w:pPr>
      <w:r>
        <w:rPr>
          <w:rFonts w:hint="eastAsia" w:eastAsiaTheme="minorEastAsia"/>
          <w:sz w:val="24"/>
        </w:rPr>
        <w:t>响应文件的澄清、说明或者更正：</w:t>
      </w:r>
    </w:p>
    <w:p w14:paraId="3F273813">
      <w:pPr>
        <w:numPr>
          <w:ilvl w:val="2"/>
          <w:numId w:val="10"/>
        </w:numPr>
        <w:snapToGrid w:val="0"/>
        <w:spacing w:line="360" w:lineRule="auto"/>
        <w:rPr>
          <w:rFonts w:eastAsiaTheme="minorEastAsia"/>
          <w:sz w:val="24"/>
        </w:rPr>
      </w:pPr>
      <w:r>
        <w:rPr>
          <w:rFonts w:eastAsiaTheme="minorEastAsia"/>
          <w:sz w:val="24"/>
        </w:rPr>
        <w:t>磋商小组在对响应文件的有效性、完整性和响应程度进行审查时，可以要求供应商对响应文件中含义不明确、同类问题表述不一致或者有明显文字和计算错误的内容等作出必要的澄清、说明或者更正。</w:t>
      </w:r>
    </w:p>
    <w:p w14:paraId="459D64A3">
      <w:pPr>
        <w:numPr>
          <w:ilvl w:val="2"/>
          <w:numId w:val="10"/>
        </w:numPr>
        <w:snapToGrid w:val="0"/>
        <w:spacing w:line="360" w:lineRule="auto"/>
        <w:rPr>
          <w:rFonts w:eastAsiaTheme="minorEastAsia"/>
          <w:sz w:val="24"/>
        </w:rPr>
      </w:pPr>
      <w:r>
        <w:rPr>
          <w:rFonts w:eastAsiaTheme="minorEastAsia"/>
          <w:sz w:val="24"/>
        </w:rPr>
        <w:t>磋商小组对响应文件进行审查，如发现供应商提交的响应文件存在不满足《符合性审查要求》的内容，如属于表中“不允许”澄清、说明或者更正的内容，则供应商响应文件按</w:t>
      </w:r>
      <w:r>
        <w:rPr>
          <w:rFonts w:eastAsiaTheme="minorEastAsia"/>
          <w:b/>
          <w:sz w:val="24"/>
        </w:rPr>
        <w:t>无效处理</w:t>
      </w:r>
      <w:r>
        <w:rPr>
          <w:rFonts w:eastAsiaTheme="minorEastAsia"/>
          <w:sz w:val="24"/>
        </w:rPr>
        <w:t>；如属于表中的“允许”澄清、说明或更正的内容，磋商小组将要求供应商在规定的时间内对响应文件进行澄清、说明或者更正。如供应商在磋商小组规定的时间内未作出必要的澄清、说明或者更正，或澄清、说明或者更正后仍不能满足采购文件要求的，则供应商的响应文件按</w:t>
      </w:r>
      <w:r>
        <w:rPr>
          <w:rFonts w:eastAsiaTheme="minorEastAsia"/>
          <w:b/>
          <w:sz w:val="24"/>
        </w:rPr>
        <w:t>无效处理</w:t>
      </w:r>
      <w:r>
        <w:rPr>
          <w:rFonts w:eastAsiaTheme="minorEastAsia"/>
          <w:sz w:val="24"/>
        </w:rPr>
        <w:t>。</w:t>
      </w:r>
    </w:p>
    <w:p w14:paraId="230201B7">
      <w:pPr>
        <w:numPr>
          <w:ilvl w:val="2"/>
          <w:numId w:val="10"/>
        </w:numPr>
        <w:snapToGrid w:val="0"/>
        <w:spacing w:line="360" w:lineRule="auto"/>
        <w:rPr>
          <w:rFonts w:eastAsiaTheme="minorEastAsia"/>
          <w:sz w:val="24"/>
        </w:rPr>
      </w:pPr>
      <w:r>
        <w:rPr>
          <w:rFonts w:eastAsiaTheme="minorEastAsia"/>
          <w:sz w:val="24"/>
        </w:rPr>
        <w:t>供应商的澄清、说明或者更正不得超出响应文件的范围或者改变响应文件的实质性内容。磋商小组要求供应商澄清、说明或者更正响应文件应当以书面形式作出。供应商的澄清、说明或者更正应当由法定代表人</w:t>
      </w:r>
      <w:r>
        <w:rPr>
          <w:rFonts w:eastAsiaTheme="minorEastAsia"/>
          <w:kern w:val="0"/>
          <w:sz w:val="24"/>
        </w:rPr>
        <w:t>（</w:t>
      </w:r>
      <w:r>
        <w:rPr>
          <w:color w:val="000000"/>
          <w:sz w:val="24"/>
          <w:szCs w:val="20"/>
        </w:rPr>
        <w:t>若</w:t>
      </w:r>
      <w:r>
        <w:rPr>
          <w:rFonts w:hint="eastAsia"/>
          <w:color w:val="000000"/>
          <w:sz w:val="24"/>
          <w:szCs w:val="20"/>
        </w:rPr>
        <w:t>供应商</w:t>
      </w:r>
      <w:r>
        <w:rPr>
          <w:color w:val="000000"/>
          <w:sz w:val="24"/>
          <w:szCs w:val="20"/>
        </w:rPr>
        <w:t>为事业单位或其他组织或分支机构，可为单位负责人</w:t>
      </w:r>
      <w:r>
        <w:rPr>
          <w:rFonts w:eastAsiaTheme="minorEastAsia"/>
          <w:kern w:val="0"/>
          <w:sz w:val="24"/>
        </w:rPr>
        <w:t>）</w:t>
      </w:r>
      <w:r>
        <w:rPr>
          <w:rFonts w:eastAsiaTheme="minorEastAsia"/>
          <w:sz w:val="24"/>
        </w:rPr>
        <w:t>或其授权代表签字或者加盖公章。由授权代表签字的，应当附授权委托书。供应商为自然人的，应当由本人签字并附身份证明。澄清、说明或者更正文件将作为响应文件内容的一部分。</w:t>
      </w:r>
    </w:p>
    <w:p w14:paraId="78F35119">
      <w:pPr>
        <w:numPr>
          <w:ilvl w:val="1"/>
          <w:numId w:val="10"/>
        </w:numPr>
        <w:tabs>
          <w:tab w:val="left" w:pos="1080"/>
          <w:tab w:val="left" w:pos="1872"/>
        </w:tabs>
        <w:snapToGrid w:val="0"/>
        <w:spacing w:line="360" w:lineRule="auto"/>
        <w:ind w:left="1077" w:hanging="720"/>
        <w:rPr>
          <w:rFonts w:eastAsiaTheme="minorEastAsia"/>
          <w:sz w:val="24"/>
        </w:rPr>
      </w:pPr>
      <w:r>
        <w:rPr>
          <w:rFonts w:eastAsiaTheme="minorEastAsia"/>
          <w:sz w:val="24"/>
        </w:rPr>
        <w:t>磋商结束后，磋商小组将要求所有实质性响应的供应商在规定时间内提交最后报价。最后报价时间为磋商小组指定的时间，具体时间根据磋商进度另行通知。</w:t>
      </w:r>
    </w:p>
    <w:p w14:paraId="39D2526D">
      <w:pPr>
        <w:numPr>
          <w:ilvl w:val="1"/>
          <w:numId w:val="10"/>
        </w:numPr>
        <w:tabs>
          <w:tab w:val="left" w:pos="1080"/>
          <w:tab w:val="left" w:pos="1872"/>
        </w:tabs>
        <w:snapToGrid w:val="0"/>
        <w:spacing w:line="360" w:lineRule="auto"/>
        <w:ind w:left="1077" w:hanging="720"/>
        <w:rPr>
          <w:rFonts w:eastAsiaTheme="minorEastAsia"/>
          <w:snapToGrid w:val="0"/>
          <w:sz w:val="24"/>
        </w:rPr>
      </w:pPr>
      <w:bookmarkStart w:id="639" w:name="_Hlk220085436"/>
      <w:r>
        <w:rPr>
          <w:rFonts w:hint="eastAsia" w:eastAsiaTheme="minorEastAsia"/>
          <w:snapToGrid w:val="0"/>
          <w:sz w:val="24"/>
        </w:rPr>
        <w:t>异常低价处理</w:t>
      </w:r>
    </w:p>
    <w:p w14:paraId="7DD81D02">
      <w:pPr>
        <w:numPr>
          <w:ilvl w:val="2"/>
          <w:numId w:val="10"/>
        </w:numPr>
        <w:snapToGrid w:val="0"/>
        <w:spacing w:line="360" w:lineRule="auto"/>
        <w:rPr>
          <w:rFonts w:eastAsiaTheme="minorEastAsia"/>
          <w:sz w:val="24"/>
        </w:rPr>
      </w:pPr>
      <w:r>
        <w:rPr>
          <w:rFonts w:hint="eastAsia" w:eastAsiaTheme="minorEastAsia"/>
          <w:sz w:val="24"/>
        </w:rPr>
        <w:t>政府采购评审中出现下列情形之一的，评审委员会应当启动异常低价投标（响应）审查程序：</w:t>
      </w:r>
    </w:p>
    <w:p w14:paraId="116BE8C5">
      <w:pPr>
        <w:snapToGrid w:val="0"/>
        <w:spacing w:line="360" w:lineRule="auto"/>
        <w:ind w:left="1980"/>
        <w:rPr>
          <w:rFonts w:eastAsiaTheme="minorEastAsia"/>
          <w:sz w:val="24"/>
        </w:rPr>
      </w:pPr>
      <w:r>
        <w:rPr>
          <w:rFonts w:hint="eastAsia" w:eastAsiaTheme="minorEastAsia"/>
          <w:sz w:val="24"/>
        </w:rPr>
        <w:t>（</w:t>
      </w:r>
      <w:r>
        <w:rPr>
          <w:rFonts w:eastAsiaTheme="minorEastAsia"/>
          <w:sz w:val="24"/>
        </w:rPr>
        <w:t>1</w:t>
      </w:r>
      <w:r>
        <w:rPr>
          <w:rFonts w:hint="eastAsia" w:eastAsiaTheme="minorEastAsia"/>
          <w:sz w:val="24"/>
        </w:rPr>
        <w:t>）政府采购评审中出现下列情形之一的，评审委员会应当启动异常低价投标（响应）审查程序：（1）投标（响应）报价低于全部通过符合性审查供应商投标（响应）报价平均值 50%的，即投标（响应）报价&lt;全部通过符合性审查供应商投标（响应）报价平均值×50%；（2）投标（响应）报价低于通过符合性审查且报价次低供应商投标（响应）报价 50%的，即投标（响应）报价&lt;通过符合性审查且报价次低供应商投标（响应）报价×50%；(3）投标（响应）报价低于采购项目最高限价 45%的，即投标（响应）报价&lt;采购项目最高限价×45%；（5）其他评审委员会认为供应商报价过低，有可能影响产品质量或者不能诚信履约的情形。（</w:t>
      </w:r>
      <w:r>
        <w:rPr>
          <w:rFonts w:hint="eastAsia" w:eastAsiaTheme="minorEastAsia"/>
          <w:b/>
          <w:bCs/>
          <w:sz w:val="24"/>
        </w:rPr>
        <w:t>参考文件：关于推动解决政府采购异常低价问题的通知 财库〔2026〕2 号</w:t>
      </w:r>
      <w:r>
        <w:rPr>
          <w:rFonts w:hint="eastAsia" w:eastAsiaTheme="minorEastAsia"/>
          <w:sz w:val="24"/>
        </w:rPr>
        <w:t>）</w:t>
      </w:r>
    </w:p>
    <w:p w14:paraId="282EC0F3">
      <w:pPr>
        <w:numPr>
          <w:ilvl w:val="2"/>
          <w:numId w:val="10"/>
        </w:numPr>
        <w:snapToGrid w:val="0"/>
        <w:spacing w:line="360" w:lineRule="auto"/>
        <w:rPr>
          <w:rFonts w:eastAsiaTheme="minorEastAsia"/>
          <w:sz w:val="24"/>
        </w:rPr>
      </w:pPr>
      <w:r>
        <w:rPr>
          <w:rFonts w:hint="eastAsia" w:eastAsiaTheme="minorEastAsia"/>
          <w:sz w:val="24"/>
        </w:rPr>
        <w:t>评审委员会启动异常低价投标（响应）审查后，属于前述第（</w:t>
      </w:r>
      <w:r>
        <w:rPr>
          <w:rFonts w:eastAsiaTheme="minorEastAsia"/>
          <w:sz w:val="24"/>
        </w:rPr>
        <w:t>1</w:t>
      </w:r>
      <w:r>
        <w:rPr>
          <w:rFonts w:hint="eastAsia" w:eastAsiaTheme="minorEastAsia"/>
          <w:sz w:val="24"/>
        </w:rPr>
        <w:t>）项至第（</w:t>
      </w:r>
      <w:r>
        <w:rPr>
          <w:rFonts w:eastAsiaTheme="minorEastAsia"/>
          <w:sz w:val="24"/>
        </w:rPr>
        <w:t>4</w:t>
      </w:r>
      <w:r>
        <w:rPr>
          <w:rFonts w:hint="eastAsia" w:eastAsiaTheme="minorEastAsia"/>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eastAsiaTheme="minorEastAsia"/>
          <w:sz w:val="24"/>
        </w:rPr>
        <w:t>30</w:t>
      </w:r>
      <w:r>
        <w:rPr>
          <w:rFonts w:hint="eastAsia" w:eastAsiaTheme="minorEastAsia"/>
          <w:sz w:val="24"/>
        </w:rPr>
        <w:t>分钟。其中，属于第（</w:t>
      </w:r>
      <w:r>
        <w:rPr>
          <w:rFonts w:eastAsiaTheme="minorEastAsia"/>
          <w:sz w:val="24"/>
        </w:rPr>
        <w:t>3</w:t>
      </w:r>
      <w:r>
        <w:rPr>
          <w:rFonts w:hint="eastAsia" w:eastAsiaTheme="minorEastAsia"/>
          <w:sz w:val="24"/>
        </w:rPr>
        <w:t>）项情形，供应商已随投标（响应）文件一并提交相关书面说明及必要的证明材料的，在评审现场可不再重复提交。</w:t>
      </w:r>
    </w:p>
    <w:p w14:paraId="50DFDEF8">
      <w:pPr>
        <w:numPr>
          <w:ilvl w:val="2"/>
          <w:numId w:val="10"/>
        </w:numPr>
        <w:snapToGrid w:val="0"/>
        <w:spacing w:line="360" w:lineRule="auto"/>
        <w:rPr>
          <w:rFonts w:eastAsiaTheme="minorEastAsia"/>
          <w:sz w:val="24"/>
        </w:rPr>
      </w:pPr>
      <w:r>
        <w:rPr>
          <w:rFonts w:hint="eastAsia" w:eastAsia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3A6AC343">
      <w:pPr>
        <w:numPr>
          <w:ilvl w:val="2"/>
          <w:numId w:val="10"/>
        </w:numPr>
        <w:snapToGrid w:val="0"/>
        <w:spacing w:line="360" w:lineRule="auto"/>
        <w:rPr>
          <w:rFonts w:eastAsiaTheme="minorEastAsia"/>
          <w:sz w:val="24"/>
        </w:rPr>
      </w:pPr>
      <w:bookmarkStart w:id="640" w:name="_Hlk190337965"/>
      <w:r>
        <w:rPr>
          <w:rFonts w:hint="eastAsia" w:eastAsiaTheme="minorEastAsia"/>
          <w:sz w:val="24"/>
        </w:rPr>
        <w:t>上述投标（响应）报价指按照本章</w:t>
      </w:r>
      <w:r>
        <w:rPr>
          <w:rFonts w:eastAsiaTheme="minorEastAsia"/>
          <w:sz w:val="24"/>
        </w:rPr>
        <w:t>3.2</w:t>
      </w:r>
      <w:r>
        <w:rPr>
          <w:rFonts w:hint="eastAsia" w:eastAsiaTheme="minorEastAsia"/>
          <w:sz w:val="24"/>
        </w:rPr>
        <w:t>修正后的报价</w:t>
      </w:r>
      <w:bookmarkEnd w:id="640"/>
      <w:r>
        <w:rPr>
          <w:rFonts w:hint="eastAsia" w:eastAsiaTheme="minorEastAsia"/>
          <w:sz w:val="24"/>
        </w:rPr>
        <w:t>。</w:t>
      </w:r>
      <w:bookmarkEnd w:id="639"/>
    </w:p>
    <w:p w14:paraId="50152711">
      <w:pPr>
        <w:numPr>
          <w:ilvl w:val="1"/>
          <w:numId w:val="10"/>
        </w:numPr>
        <w:tabs>
          <w:tab w:val="left" w:pos="1080"/>
          <w:tab w:val="left" w:pos="1872"/>
        </w:tabs>
        <w:snapToGrid w:val="0"/>
        <w:spacing w:line="360" w:lineRule="auto"/>
        <w:ind w:left="1077" w:hanging="720"/>
        <w:rPr>
          <w:rFonts w:eastAsiaTheme="minorEastAsia"/>
          <w:sz w:val="24"/>
        </w:rPr>
      </w:pPr>
      <w:r>
        <w:rPr>
          <w:rFonts w:eastAsiaTheme="minorEastAsia"/>
          <w:snapToGrid w:val="0"/>
          <w:sz w:val="24"/>
        </w:rPr>
        <w:t>磋商文件能够详细列明采购标的的技术、服务要求的，磋商结束后，磋商小组应当要求所有实质性响应的供应商在规定时间内提交最后报价，提交最后报价的供应商不得少于3家。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r>
        <w:rPr>
          <w:rFonts w:eastAsiaTheme="minorEastAsia"/>
          <w:sz w:val="24"/>
        </w:rPr>
        <w:t>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w:t>
      </w:r>
    </w:p>
    <w:p w14:paraId="1C070921">
      <w:pPr>
        <w:numPr>
          <w:ilvl w:val="1"/>
          <w:numId w:val="10"/>
        </w:numPr>
        <w:tabs>
          <w:tab w:val="left" w:pos="1080"/>
          <w:tab w:val="left" w:pos="1872"/>
        </w:tabs>
        <w:snapToGrid w:val="0"/>
        <w:spacing w:line="360" w:lineRule="auto"/>
        <w:ind w:left="1077" w:hanging="720"/>
        <w:rPr>
          <w:rFonts w:eastAsiaTheme="minorEastAsia"/>
          <w:sz w:val="24"/>
        </w:rPr>
      </w:pPr>
      <w:r>
        <w:rPr>
          <w:rFonts w:eastAsiaTheme="minorEastAsia"/>
          <w:sz w:val="24"/>
        </w:rPr>
        <w:t>最后报价是供应商响应文件的有效组成部分。</w:t>
      </w:r>
    </w:p>
    <w:p w14:paraId="1EDB1DDC">
      <w:pPr>
        <w:numPr>
          <w:ilvl w:val="1"/>
          <w:numId w:val="10"/>
        </w:numPr>
        <w:tabs>
          <w:tab w:val="left" w:pos="1080"/>
          <w:tab w:val="left" w:pos="1872"/>
        </w:tabs>
        <w:snapToGrid w:val="0"/>
        <w:spacing w:line="360" w:lineRule="auto"/>
        <w:ind w:left="1077" w:hanging="720"/>
        <w:rPr>
          <w:rFonts w:eastAsiaTheme="minorEastAsia"/>
          <w:sz w:val="24"/>
        </w:rPr>
      </w:pPr>
      <w:r>
        <w:rPr>
          <w:rFonts w:eastAsiaTheme="minorEastAsia"/>
          <w:sz w:val="24"/>
        </w:rPr>
        <w:t>已提交响应文件的供应商，在提交最后报价之前，可以根据磋商情况退出磋商。</w:t>
      </w:r>
    </w:p>
    <w:p w14:paraId="6E022543">
      <w:pPr>
        <w:numPr>
          <w:ilvl w:val="0"/>
          <w:numId w:val="10"/>
        </w:numPr>
        <w:tabs>
          <w:tab w:val="left" w:pos="360"/>
        </w:tabs>
        <w:snapToGrid w:val="0"/>
        <w:spacing w:line="360" w:lineRule="auto"/>
        <w:outlineLvl w:val="1"/>
        <w:rPr>
          <w:rFonts w:eastAsiaTheme="minorEastAsia"/>
          <w:sz w:val="24"/>
        </w:rPr>
      </w:pPr>
      <w:r>
        <w:rPr>
          <w:rFonts w:eastAsiaTheme="minorEastAsia"/>
          <w:sz w:val="24"/>
        </w:rPr>
        <w:t>最后报价的算术修正及政策调整</w:t>
      </w:r>
    </w:p>
    <w:p w14:paraId="744ABD53">
      <w:pPr>
        <w:numPr>
          <w:ilvl w:val="1"/>
          <w:numId w:val="10"/>
        </w:numPr>
        <w:tabs>
          <w:tab w:val="left" w:pos="1080"/>
        </w:tabs>
        <w:snapToGrid w:val="0"/>
        <w:spacing w:line="360" w:lineRule="auto"/>
        <w:ind w:left="1077" w:hanging="720"/>
        <w:rPr>
          <w:rFonts w:eastAsiaTheme="minorEastAsia"/>
          <w:sz w:val="24"/>
        </w:rPr>
      </w:pPr>
      <w:r>
        <w:rPr>
          <w:rFonts w:eastAsiaTheme="minorEastAsia"/>
          <w:sz w:val="24"/>
        </w:rPr>
        <w:t>最后报价须包含竞争性磋商文件全部内容，</w:t>
      </w:r>
      <w:r>
        <w:rPr>
          <w:sz w:val="24"/>
        </w:rPr>
        <w:t>如最后分项报价表有缺漏视为已含在其他各项报价中，将不对最后报价进行调整。磋商小组有权要求供应商在评审现场合理的时间内对此进行书面确认，供应商不确认的，视为将一个采购包中的内容拆分响应，其</w:t>
      </w:r>
      <w:r>
        <w:rPr>
          <w:b/>
          <w:sz w:val="24"/>
        </w:rPr>
        <w:t>响应无效</w:t>
      </w:r>
      <w:r>
        <w:rPr>
          <w:sz w:val="24"/>
        </w:rPr>
        <w:t>。</w:t>
      </w:r>
    </w:p>
    <w:p w14:paraId="1512E30E">
      <w:pPr>
        <w:numPr>
          <w:ilvl w:val="1"/>
          <w:numId w:val="10"/>
        </w:numPr>
        <w:tabs>
          <w:tab w:val="left" w:pos="1080"/>
          <w:tab w:val="left" w:pos="1872"/>
        </w:tabs>
        <w:snapToGrid w:val="0"/>
        <w:spacing w:line="360" w:lineRule="auto"/>
        <w:ind w:left="1077" w:hanging="720"/>
        <w:rPr>
          <w:rFonts w:eastAsiaTheme="minorEastAsia"/>
          <w:sz w:val="24"/>
        </w:rPr>
      </w:pPr>
      <w:r>
        <w:rPr>
          <w:rFonts w:eastAsiaTheme="minorEastAsia"/>
          <w:sz w:val="24"/>
        </w:rPr>
        <w:t>最后报价出现前后不一致的，按照下列规定修正：</w:t>
      </w:r>
    </w:p>
    <w:p w14:paraId="581F1441">
      <w:pPr>
        <w:numPr>
          <w:ilvl w:val="2"/>
          <w:numId w:val="10"/>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竞争性磋商文件对于报价修正是否另有规定：</w:t>
      </w:r>
    </w:p>
    <w:p w14:paraId="2617E654">
      <w:pPr>
        <w:tabs>
          <w:tab w:val="left" w:pos="1080"/>
          <w:tab w:val="left" w:pos="1589"/>
          <w:tab w:val="left" w:pos="2035"/>
          <w:tab w:val="left" w:pos="2114"/>
        </w:tabs>
        <w:snapToGrid w:val="0"/>
        <w:spacing w:line="360" w:lineRule="auto"/>
        <w:ind w:left="2035"/>
        <w:rPr>
          <w:rFonts w:eastAsiaTheme="minorEastAsia"/>
          <w:sz w:val="24"/>
          <w:u w:val="single"/>
        </w:rPr>
      </w:pPr>
      <w:r>
        <w:rPr>
          <w:rFonts w:eastAsiaTheme="minorEastAsia"/>
          <w:sz w:val="24"/>
        </w:rPr>
        <w:t>□有，具体规定为：___________</w:t>
      </w:r>
    </w:p>
    <w:p w14:paraId="70C79838">
      <w:p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□无，按下述3.2.2-3.2.5项规定修正。</w:t>
      </w:r>
    </w:p>
    <w:p w14:paraId="0D8D0B60">
      <w:pPr>
        <w:numPr>
          <w:ilvl w:val="2"/>
          <w:numId w:val="10"/>
        </w:numPr>
        <w:tabs>
          <w:tab w:val="left" w:pos="2035"/>
          <w:tab w:val="left" w:pos="2114"/>
          <w:tab w:val="left" w:pos="2977"/>
        </w:tabs>
        <w:snapToGrid w:val="0"/>
        <w:spacing w:line="360" w:lineRule="auto"/>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大写金额和小写金额不一致的，以大写金额为准；</w:t>
      </w:r>
    </w:p>
    <w:p w14:paraId="109ED2BA">
      <w:pPr>
        <w:numPr>
          <w:ilvl w:val="2"/>
          <w:numId w:val="10"/>
        </w:numPr>
        <w:tabs>
          <w:tab w:val="left" w:pos="2035"/>
          <w:tab w:val="left" w:pos="2114"/>
          <w:tab w:val="left" w:pos="2977"/>
        </w:tabs>
        <w:snapToGrid w:val="0"/>
        <w:spacing w:line="360" w:lineRule="auto"/>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单价金额小数点或者百分比有明显错位的，以总价为准，并修改单价；</w:t>
      </w:r>
    </w:p>
    <w:p w14:paraId="1946C972">
      <w:pPr>
        <w:numPr>
          <w:ilvl w:val="2"/>
          <w:numId w:val="10"/>
        </w:numPr>
        <w:tabs>
          <w:tab w:val="left" w:pos="2035"/>
          <w:tab w:val="left" w:pos="2114"/>
          <w:tab w:val="left" w:pos="2977"/>
        </w:tabs>
        <w:snapToGrid w:val="0"/>
        <w:spacing w:line="360" w:lineRule="auto"/>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总价金额与按单价汇总金额不一致的，以单价金额计算结果为准。</w:t>
      </w:r>
    </w:p>
    <w:p w14:paraId="5E650EC6">
      <w:pPr>
        <w:numPr>
          <w:ilvl w:val="2"/>
          <w:numId w:val="10"/>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同时出现两种以上不一致的，按照前款规定的顺序修正。</w:t>
      </w:r>
    </w:p>
    <w:p w14:paraId="0CBC9E8A">
      <w:pPr>
        <w:numPr>
          <w:ilvl w:val="2"/>
          <w:numId w:val="10"/>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修正后的报价经供应商书面确认后产生约束力，供应商不确认的，</w:t>
      </w:r>
      <w:r>
        <w:rPr>
          <w:rFonts w:eastAsiaTheme="minorEastAsia"/>
          <w:b/>
          <w:sz w:val="24"/>
        </w:rPr>
        <w:t>其响应无效</w:t>
      </w:r>
      <w:r>
        <w:rPr>
          <w:rFonts w:eastAsiaTheme="minorEastAsia"/>
          <w:sz w:val="24"/>
        </w:rPr>
        <w:t>。</w:t>
      </w:r>
    </w:p>
    <w:p w14:paraId="5C882702">
      <w:pPr>
        <w:numPr>
          <w:ilvl w:val="1"/>
          <w:numId w:val="10"/>
        </w:numPr>
        <w:tabs>
          <w:tab w:val="left" w:pos="1080"/>
          <w:tab w:val="left" w:pos="1872"/>
        </w:tabs>
        <w:snapToGrid w:val="0"/>
        <w:spacing w:line="360" w:lineRule="auto"/>
        <w:ind w:left="1077" w:hanging="720"/>
        <w:rPr>
          <w:rFonts w:eastAsiaTheme="minorEastAsia"/>
          <w:sz w:val="24"/>
        </w:rPr>
      </w:pPr>
      <w:r>
        <w:rPr>
          <w:rFonts w:eastAsiaTheme="minorEastAsia"/>
          <w:sz w:val="24"/>
        </w:rPr>
        <w:t>落实政府采购政策的价格调整：只有符合第二章《供应商须知》4.3条规定情形的，可以享受中小企业扶持政策，用扣除后的价格参加评审；否则，评审时价格不予扣除。</w:t>
      </w:r>
    </w:p>
    <w:p w14:paraId="5234EC46">
      <w:pPr>
        <w:numPr>
          <w:ilvl w:val="2"/>
          <w:numId w:val="10"/>
        </w:numPr>
        <w:tabs>
          <w:tab w:val="left" w:pos="1080"/>
          <w:tab w:val="left" w:pos="1589"/>
          <w:tab w:val="left" w:pos="2035"/>
        </w:tabs>
        <w:snapToGrid w:val="0"/>
        <w:spacing w:line="360" w:lineRule="auto"/>
        <w:ind w:left="2035"/>
        <w:rPr>
          <w:rFonts w:eastAsiaTheme="minorEastAsia"/>
          <w:sz w:val="24"/>
        </w:rPr>
      </w:pPr>
      <w:r>
        <w:rPr>
          <w:rFonts w:eastAsiaTheme="minorEastAsia"/>
          <w:sz w:val="24"/>
        </w:rPr>
        <w:t>对于未预留份额专门面向中小企业采购的采购项目，以及预留份额项目中的非预留部分采购包，对小微企业报价给予___</w:t>
      </w:r>
      <w:r>
        <w:rPr>
          <w:rFonts w:hint="eastAsia" w:eastAsiaTheme="minorEastAsia"/>
          <w:sz w:val="24"/>
        </w:rPr>
        <w:t>/</w:t>
      </w:r>
      <w:r>
        <w:rPr>
          <w:rFonts w:eastAsiaTheme="minorEastAsia"/>
          <w:sz w:val="24"/>
        </w:rPr>
        <w:t>___%的扣除，用扣除后的价格参加评审。</w:t>
      </w:r>
    </w:p>
    <w:p w14:paraId="549CCBFA">
      <w:pPr>
        <w:numPr>
          <w:ilvl w:val="2"/>
          <w:numId w:val="10"/>
        </w:numPr>
        <w:tabs>
          <w:tab w:val="left" w:pos="1080"/>
          <w:tab w:val="left" w:pos="1589"/>
          <w:tab w:val="left" w:pos="2035"/>
        </w:tabs>
        <w:snapToGrid w:val="0"/>
        <w:spacing w:line="360" w:lineRule="auto"/>
        <w:ind w:left="2035"/>
        <w:rPr>
          <w:rFonts w:eastAsiaTheme="minorEastAsia"/>
          <w:sz w:val="24"/>
        </w:rPr>
      </w:pPr>
      <w:r>
        <w:rPr>
          <w:rFonts w:eastAsiaTheme="minorEastAsia"/>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30%以上的联合体或者大中型企业的报价给予___</w:t>
      </w:r>
      <w:r>
        <w:rPr>
          <w:rFonts w:hint="eastAsia" w:eastAsiaTheme="minorEastAsia"/>
          <w:sz w:val="24"/>
        </w:rPr>
        <w:t>/</w:t>
      </w:r>
      <w:r>
        <w:rPr>
          <w:rFonts w:eastAsiaTheme="minorEastAsia"/>
          <w:sz w:val="24"/>
        </w:rPr>
        <w:t>___%的扣除，用扣除后的价格参加评审。</w:t>
      </w:r>
    </w:p>
    <w:p w14:paraId="4C4B7F85">
      <w:pPr>
        <w:numPr>
          <w:ilvl w:val="2"/>
          <w:numId w:val="10"/>
        </w:numPr>
        <w:tabs>
          <w:tab w:val="left" w:pos="1080"/>
          <w:tab w:val="left" w:pos="1589"/>
          <w:tab w:val="left" w:pos="2035"/>
        </w:tabs>
        <w:snapToGrid w:val="0"/>
        <w:spacing w:line="360" w:lineRule="auto"/>
        <w:ind w:left="2035"/>
        <w:rPr>
          <w:rFonts w:eastAsiaTheme="minorEastAsia"/>
          <w:sz w:val="24"/>
        </w:rPr>
      </w:pPr>
      <w:r>
        <w:rPr>
          <w:rFonts w:eastAsiaTheme="minorEastAsia"/>
          <w:sz w:val="24"/>
        </w:rPr>
        <w:t>组成联合体或者接受分包的小微企业与联合体内其他企业、分包企业之间存在直接控股、管理关系的，不享受价格扣除优惠政策。</w:t>
      </w:r>
    </w:p>
    <w:p w14:paraId="3F958EC8">
      <w:pPr>
        <w:numPr>
          <w:ilvl w:val="2"/>
          <w:numId w:val="10"/>
        </w:numPr>
        <w:tabs>
          <w:tab w:val="left" w:pos="1080"/>
          <w:tab w:val="left" w:pos="1589"/>
          <w:tab w:val="left" w:pos="2035"/>
        </w:tabs>
        <w:snapToGrid w:val="0"/>
        <w:spacing w:line="360" w:lineRule="auto"/>
        <w:ind w:left="2035"/>
        <w:rPr>
          <w:rFonts w:eastAsiaTheme="minorEastAsia"/>
          <w:sz w:val="24"/>
        </w:rPr>
      </w:pPr>
      <w:r>
        <w:rPr>
          <w:rFonts w:eastAsiaTheme="minorEastAsia"/>
          <w:sz w:val="24"/>
        </w:rPr>
        <w:t>价格扣除比例对小型企业和微型企业同等对待，不作区分。</w:t>
      </w:r>
    </w:p>
    <w:p w14:paraId="15112386">
      <w:pPr>
        <w:numPr>
          <w:ilvl w:val="2"/>
          <w:numId w:val="10"/>
        </w:numPr>
        <w:tabs>
          <w:tab w:val="left" w:pos="1080"/>
          <w:tab w:val="left" w:pos="1589"/>
          <w:tab w:val="left" w:pos="2035"/>
        </w:tabs>
        <w:snapToGrid w:val="0"/>
        <w:spacing w:line="360" w:lineRule="auto"/>
        <w:ind w:left="2035"/>
        <w:rPr>
          <w:rFonts w:eastAsiaTheme="minorEastAsia"/>
          <w:sz w:val="24"/>
        </w:rPr>
      </w:pPr>
      <w:r>
        <w:rPr>
          <w:rFonts w:eastAsiaTheme="minorEastAsia"/>
          <w:color w:val="000000" w:themeColor="text1"/>
          <w:sz w:val="24"/>
          <w14:textFill>
            <w14:solidFill>
              <w14:schemeClr w14:val="tx1"/>
            </w14:solidFill>
          </w14:textFill>
        </w:rPr>
        <w:t>中小企业参加政府采购活动，应当按照竞争性磋商文件给定的格式出具《中小企业声明函》，否则不得享受相关中小企业扶持政策。</w:t>
      </w:r>
    </w:p>
    <w:p w14:paraId="3B48E747">
      <w:pPr>
        <w:numPr>
          <w:ilvl w:val="2"/>
          <w:numId w:val="10"/>
        </w:numPr>
        <w:tabs>
          <w:tab w:val="left" w:pos="1080"/>
          <w:tab w:val="left" w:pos="1589"/>
          <w:tab w:val="left" w:pos="2035"/>
        </w:tabs>
        <w:snapToGrid w:val="0"/>
        <w:spacing w:line="360" w:lineRule="auto"/>
        <w:ind w:left="2035"/>
        <w:rPr>
          <w:rFonts w:eastAsiaTheme="minorEastAsia"/>
          <w:sz w:val="24"/>
        </w:rPr>
      </w:pPr>
      <w:r>
        <w:rPr>
          <w:rFonts w:eastAsiaTheme="minorEastAsia"/>
          <w:sz w:val="24"/>
        </w:rPr>
        <w:t>监狱企业提供了由省级以上监狱管理局、戒毒管理局（含新疆生产建设兵团）出具的属于监狱企业的证明文件的，视同小微企业。</w:t>
      </w:r>
    </w:p>
    <w:p w14:paraId="449DC62A">
      <w:pPr>
        <w:numPr>
          <w:ilvl w:val="2"/>
          <w:numId w:val="10"/>
        </w:numPr>
        <w:tabs>
          <w:tab w:val="left" w:pos="1080"/>
          <w:tab w:val="left" w:pos="1589"/>
          <w:tab w:val="left" w:pos="2035"/>
        </w:tabs>
        <w:snapToGrid w:val="0"/>
        <w:spacing w:line="360" w:lineRule="auto"/>
        <w:ind w:left="2035"/>
        <w:rPr>
          <w:rFonts w:eastAsiaTheme="minorEastAsia"/>
          <w:sz w:val="24"/>
        </w:rPr>
      </w:pPr>
      <w:r>
        <w:rPr>
          <w:rFonts w:eastAsiaTheme="minorEastAsia"/>
          <w:sz w:val="24"/>
        </w:rPr>
        <w:t>残疾人福利性单位按竞争性磋商文件要求提供了《残疾人福利性单位声明函》的，视同小微企业。</w:t>
      </w:r>
    </w:p>
    <w:p w14:paraId="00CF5CC1">
      <w:pPr>
        <w:numPr>
          <w:ilvl w:val="2"/>
          <w:numId w:val="10"/>
        </w:numPr>
        <w:tabs>
          <w:tab w:val="left" w:pos="1080"/>
          <w:tab w:val="left" w:pos="1589"/>
          <w:tab w:val="left" w:pos="2014"/>
        </w:tabs>
        <w:snapToGrid w:val="0"/>
        <w:spacing w:line="360" w:lineRule="auto"/>
        <w:ind w:left="2035"/>
        <w:rPr>
          <w:rFonts w:eastAsiaTheme="minorEastAsia"/>
          <w:sz w:val="24"/>
        </w:rPr>
      </w:pPr>
      <w:r>
        <w:rPr>
          <w:rFonts w:eastAsiaTheme="minorEastAsia"/>
          <w:sz w:val="24"/>
        </w:rPr>
        <w:t>若供应商同时属于小型或微型企业、监狱企业、残疾人福利性单位中的两种及以上，将不重复享受小微企业价格扣减的优惠政策。</w:t>
      </w:r>
    </w:p>
    <w:p w14:paraId="74D55C6F">
      <w:pPr>
        <w:numPr>
          <w:ilvl w:val="1"/>
          <w:numId w:val="10"/>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w:t>
      </w:r>
      <w:r>
        <w:rPr>
          <w:rFonts w:hint="eastAsia"/>
          <w:sz w:val="24"/>
        </w:rPr>
        <w:t>供应商</w:t>
      </w:r>
      <w:r>
        <w:rPr>
          <w:sz w:val="24"/>
        </w:rPr>
        <w:t>须知》4.2条规定情形的，可以享受</w:t>
      </w:r>
      <w:r>
        <w:rPr>
          <w:rFonts w:hint="eastAsia"/>
          <w:sz w:val="24"/>
        </w:rPr>
        <w:t>本国产品支持</w:t>
      </w:r>
      <w:r>
        <w:rPr>
          <w:sz w:val="24"/>
        </w:rPr>
        <w:t>政策，用扣除后的价格参加评审；否则，评</w:t>
      </w:r>
      <w:r>
        <w:rPr>
          <w:rFonts w:hint="eastAsia"/>
          <w:sz w:val="24"/>
        </w:rPr>
        <w:t>审</w:t>
      </w:r>
      <w:r>
        <w:rPr>
          <w:sz w:val="24"/>
        </w:rPr>
        <w:t>时价格不予扣除。</w:t>
      </w:r>
    </w:p>
    <w:p w14:paraId="69F086D8">
      <w:pPr>
        <w:numPr>
          <w:ilvl w:val="2"/>
          <w:numId w:val="10"/>
        </w:numPr>
        <w:tabs>
          <w:tab w:val="left" w:pos="1080"/>
          <w:tab w:val="left" w:pos="2100"/>
          <w:tab w:val="clear" w:pos="1980"/>
        </w:tabs>
        <w:snapToGrid w:val="0"/>
        <w:spacing w:line="360" w:lineRule="auto"/>
        <w:ind w:left="2088" w:leftChars="502" w:hanging="1034" w:hangingChars="431"/>
        <w:rPr>
          <w:sz w:val="24"/>
        </w:rPr>
      </w:pPr>
      <w:r>
        <w:rPr>
          <w:rFonts w:hint="eastAsia"/>
          <w:sz w:val="24"/>
        </w:rPr>
        <w:t>本项目既有本国产品又有非本国产品参与竞争的，依法对本国产品给予价格评审优惠，对本国产品的报价给予20%的价格扣除，用扣除后的价格参与评审。</w:t>
      </w:r>
    </w:p>
    <w:p w14:paraId="361CA795">
      <w:pPr>
        <w:numPr>
          <w:ilvl w:val="2"/>
          <w:numId w:val="10"/>
        </w:numPr>
        <w:tabs>
          <w:tab w:val="left" w:pos="1080"/>
          <w:tab w:val="left" w:pos="2100"/>
          <w:tab w:val="clear" w:pos="1980"/>
        </w:tabs>
        <w:snapToGrid w:val="0"/>
        <w:spacing w:line="360" w:lineRule="auto"/>
        <w:ind w:left="2088" w:leftChars="502" w:hanging="1034" w:hangingChars="431"/>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17E75D22">
      <w:pPr>
        <w:numPr>
          <w:ilvl w:val="2"/>
          <w:numId w:val="10"/>
        </w:numPr>
        <w:tabs>
          <w:tab w:val="left" w:pos="1080"/>
          <w:tab w:val="left" w:pos="2100"/>
          <w:tab w:val="clear" w:pos="1980"/>
        </w:tabs>
        <w:snapToGrid w:val="0"/>
        <w:spacing w:line="360" w:lineRule="auto"/>
        <w:ind w:left="2088" w:leftChars="502" w:hanging="1034" w:hangingChars="431"/>
        <w:rPr>
          <w:sz w:val="24"/>
        </w:rPr>
      </w:pPr>
      <w:r>
        <w:rPr>
          <w:rFonts w:hint="eastAsia"/>
          <w:sz w:val="24"/>
        </w:rPr>
        <w:t>供应商提供本国产品参加政府采购活动的，</w:t>
      </w:r>
      <w:r>
        <w:rPr>
          <w:sz w:val="24"/>
        </w:rPr>
        <w:t>应当按照</w:t>
      </w:r>
      <w:r>
        <w:rPr>
          <w:rFonts w:hint="eastAsia"/>
          <w:sz w:val="24"/>
        </w:rPr>
        <w:t>采购</w:t>
      </w:r>
      <w:r>
        <w:rPr>
          <w:sz w:val="24"/>
        </w:rPr>
        <w:t>文件给定的格式出具《</w:t>
      </w:r>
      <w:r>
        <w:rPr>
          <w:rFonts w:hint="eastAsia"/>
          <w:sz w:val="24"/>
        </w:rPr>
        <w:t>关于符合本国产品标准的声明函》或提供财政部会同有关部门规定的有关证明文件，否则视为非本国产品。</w:t>
      </w:r>
    </w:p>
    <w:p w14:paraId="2DF7926E">
      <w:pPr>
        <w:numPr>
          <w:ilvl w:val="0"/>
          <w:numId w:val="10"/>
        </w:numPr>
        <w:tabs>
          <w:tab w:val="left" w:pos="360"/>
        </w:tabs>
        <w:snapToGrid w:val="0"/>
        <w:spacing w:line="360" w:lineRule="auto"/>
        <w:outlineLvl w:val="1"/>
        <w:rPr>
          <w:rFonts w:eastAsiaTheme="minorEastAsia"/>
          <w:sz w:val="24"/>
        </w:rPr>
      </w:pPr>
      <w:r>
        <w:rPr>
          <w:rFonts w:eastAsiaTheme="minorEastAsia"/>
          <w:sz w:val="24"/>
        </w:rPr>
        <w:t>磋商环节及提交最后报价后如出现以下情况的，供应商的</w:t>
      </w:r>
      <w:r>
        <w:rPr>
          <w:rFonts w:eastAsiaTheme="minorEastAsia"/>
          <w:b/>
          <w:sz w:val="24"/>
        </w:rPr>
        <w:t>响应文件无效</w:t>
      </w:r>
      <w:r>
        <w:rPr>
          <w:rFonts w:eastAsiaTheme="minorEastAsia"/>
          <w:sz w:val="24"/>
        </w:rPr>
        <w:t>：</w:t>
      </w:r>
    </w:p>
    <w:p w14:paraId="4EF4425F">
      <w:pPr>
        <w:numPr>
          <w:ilvl w:val="1"/>
          <w:numId w:val="10"/>
        </w:numPr>
        <w:tabs>
          <w:tab w:val="left" w:pos="1080"/>
        </w:tabs>
        <w:snapToGrid w:val="0"/>
        <w:spacing w:line="360" w:lineRule="auto"/>
        <w:ind w:left="1077" w:hanging="720"/>
        <w:rPr>
          <w:rFonts w:eastAsiaTheme="minorEastAsia"/>
          <w:sz w:val="24"/>
        </w:rPr>
      </w:pPr>
      <w:r>
        <w:rPr>
          <w:rFonts w:eastAsiaTheme="minorEastAsia"/>
          <w:sz w:val="24"/>
        </w:rPr>
        <w:t>供应商对实质性变动不予确认的；</w:t>
      </w:r>
    </w:p>
    <w:p w14:paraId="61903464">
      <w:pPr>
        <w:numPr>
          <w:ilvl w:val="1"/>
          <w:numId w:val="10"/>
        </w:numPr>
        <w:tabs>
          <w:tab w:val="left" w:pos="1080"/>
        </w:tabs>
        <w:snapToGrid w:val="0"/>
        <w:spacing w:line="360" w:lineRule="auto"/>
        <w:ind w:left="1077" w:hanging="720"/>
        <w:rPr>
          <w:rFonts w:eastAsiaTheme="minorEastAsia"/>
          <w:sz w:val="24"/>
        </w:rPr>
      </w:pPr>
      <w:r>
        <w:rPr>
          <w:rFonts w:eastAsiaTheme="minorEastAsia"/>
          <w:sz w:val="24"/>
        </w:rPr>
        <w:t>不满足磋商文件</w:t>
      </w:r>
      <w:r>
        <w:rPr>
          <w:rFonts w:ascii="Segoe UI Symbol" w:hAnsi="Segoe UI Symbol" w:cs="Segoe UI Symbol" w:eastAsiaTheme="minorEastAsia"/>
          <w:sz w:val="24"/>
        </w:rPr>
        <w:t>★</w:t>
      </w:r>
      <w:r>
        <w:rPr>
          <w:rFonts w:eastAsiaTheme="minorEastAsia"/>
          <w:sz w:val="24"/>
        </w:rPr>
        <w:t>号条款或磋商文件技术指标超出磋商文件《采购需求》中主要技术参数允许偏差的最大范围的（如有）；</w:t>
      </w:r>
    </w:p>
    <w:p w14:paraId="10CDCB6A">
      <w:pPr>
        <w:numPr>
          <w:ilvl w:val="1"/>
          <w:numId w:val="10"/>
        </w:numPr>
        <w:tabs>
          <w:tab w:val="left" w:pos="1080"/>
        </w:tabs>
        <w:snapToGrid w:val="0"/>
        <w:spacing w:line="360" w:lineRule="auto"/>
        <w:ind w:left="1077" w:hanging="720"/>
        <w:rPr>
          <w:rFonts w:eastAsiaTheme="minorEastAsia"/>
          <w:sz w:val="24"/>
        </w:rPr>
      </w:pPr>
      <w:r>
        <w:rPr>
          <w:rFonts w:eastAsiaTheme="minorEastAsia"/>
          <w:sz w:val="24"/>
        </w:rPr>
        <w:t>未按照磋商小组规定的时间、逾期提交最后报价的；</w:t>
      </w:r>
    </w:p>
    <w:p w14:paraId="7873B283">
      <w:pPr>
        <w:numPr>
          <w:ilvl w:val="1"/>
          <w:numId w:val="10"/>
        </w:numPr>
        <w:tabs>
          <w:tab w:val="left" w:pos="1080"/>
        </w:tabs>
        <w:snapToGrid w:val="0"/>
        <w:spacing w:line="360" w:lineRule="auto"/>
        <w:ind w:left="1077" w:hanging="720"/>
        <w:rPr>
          <w:rFonts w:eastAsiaTheme="minorEastAsia"/>
          <w:sz w:val="24"/>
        </w:rPr>
      </w:pPr>
      <w:r>
        <w:rPr>
          <w:rFonts w:eastAsiaTheme="minorEastAsia"/>
          <w:sz w:val="24"/>
        </w:rPr>
        <w:t>如供应商的最后报价超过竞争性磋商文件中规定的项目/采购包预算金额或者项目/采购包最高限价的；</w:t>
      </w:r>
    </w:p>
    <w:p w14:paraId="0CB12282">
      <w:pPr>
        <w:numPr>
          <w:ilvl w:val="1"/>
          <w:numId w:val="10"/>
        </w:numPr>
        <w:tabs>
          <w:tab w:val="left" w:pos="1080"/>
        </w:tabs>
        <w:snapToGrid w:val="0"/>
        <w:spacing w:line="360" w:lineRule="auto"/>
        <w:ind w:left="1077" w:hanging="720"/>
        <w:rPr>
          <w:rFonts w:eastAsiaTheme="minorEastAsia"/>
          <w:sz w:val="24"/>
        </w:rPr>
      </w:pPr>
      <w:r>
        <w:rPr>
          <w:rFonts w:eastAsiaTheme="minorEastAsia"/>
          <w:sz w:val="24"/>
        </w:rPr>
        <w:t>响应文件中出现可选择性或可调整的报价的（竞争性磋商文件另有规定的除外）；</w:t>
      </w:r>
    </w:p>
    <w:p w14:paraId="776FB82B">
      <w:pPr>
        <w:numPr>
          <w:ilvl w:val="1"/>
          <w:numId w:val="10"/>
        </w:numPr>
        <w:tabs>
          <w:tab w:val="left" w:pos="1080"/>
        </w:tabs>
        <w:snapToGrid w:val="0"/>
        <w:spacing w:line="360" w:lineRule="auto"/>
        <w:ind w:left="1077" w:hanging="720"/>
        <w:rPr>
          <w:rFonts w:eastAsiaTheme="minorEastAsia"/>
          <w:sz w:val="24"/>
        </w:rPr>
      </w:pPr>
      <w:r>
        <w:rPr>
          <w:rFonts w:eastAsiaTheme="minorEastAsia"/>
          <w:sz w:val="24"/>
        </w:rPr>
        <w:t>最后报价出现前后不一致，供应商对修正后的报价不予确认的；</w:t>
      </w:r>
    </w:p>
    <w:p w14:paraId="07B5FD26">
      <w:pPr>
        <w:numPr>
          <w:ilvl w:val="1"/>
          <w:numId w:val="10"/>
        </w:numPr>
        <w:tabs>
          <w:tab w:val="left" w:pos="1080"/>
        </w:tabs>
        <w:snapToGrid w:val="0"/>
        <w:spacing w:line="360" w:lineRule="auto"/>
        <w:ind w:left="1077" w:hanging="720"/>
        <w:rPr>
          <w:rFonts w:eastAsiaTheme="minorEastAsia"/>
          <w:sz w:val="24"/>
        </w:rPr>
      </w:pPr>
      <w:r>
        <w:rPr>
          <w:rFonts w:eastAsiaTheme="minorEastAsia"/>
          <w:sz w:val="24"/>
        </w:rPr>
        <w:t>其他：______。</w:t>
      </w:r>
    </w:p>
    <w:bookmarkEnd w:id="622"/>
    <w:bookmarkEnd w:id="623"/>
    <w:p w14:paraId="3BAB9E22">
      <w:pPr>
        <w:numPr>
          <w:ilvl w:val="0"/>
          <w:numId w:val="10"/>
        </w:numPr>
        <w:tabs>
          <w:tab w:val="left" w:pos="360"/>
        </w:tabs>
        <w:snapToGrid w:val="0"/>
        <w:spacing w:line="360" w:lineRule="auto"/>
        <w:outlineLvl w:val="1"/>
        <w:rPr>
          <w:rFonts w:eastAsiaTheme="minorEastAsia"/>
          <w:sz w:val="24"/>
        </w:rPr>
      </w:pPr>
      <w:r>
        <w:rPr>
          <w:rFonts w:eastAsiaTheme="minorEastAsia"/>
          <w:sz w:val="24"/>
        </w:rPr>
        <w:t>评审方法和评审标准</w:t>
      </w:r>
    </w:p>
    <w:p w14:paraId="49B9BC69">
      <w:pPr>
        <w:numPr>
          <w:ilvl w:val="1"/>
          <w:numId w:val="10"/>
        </w:numPr>
        <w:tabs>
          <w:tab w:val="left" w:pos="1080"/>
          <w:tab w:val="left" w:pos="1872"/>
        </w:tabs>
        <w:snapToGrid w:val="0"/>
        <w:spacing w:line="360" w:lineRule="auto"/>
        <w:ind w:left="1077" w:hanging="720"/>
        <w:rPr>
          <w:rFonts w:eastAsiaTheme="minorEastAsia"/>
          <w:sz w:val="24"/>
        </w:rPr>
      </w:pPr>
      <w:r>
        <w:rPr>
          <w:rFonts w:eastAsiaTheme="minorEastAsia"/>
          <w:sz w:val="24"/>
        </w:rPr>
        <w:t xml:space="preserve">本项目采用的评审方法为：本项目的评审采用综合评分法。综合评分法，是指响应文件满足磋商文件全部实质性要求且按评审因素的量化指标评审得分最高的供应商为成交候选供应商的评审方法。  </w:t>
      </w:r>
    </w:p>
    <w:p w14:paraId="0E554AA3">
      <w:pPr>
        <w:numPr>
          <w:ilvl w:val="1"/>
          <w:numId w:val="10"/>
        </w:numPr>
        <w:tabs>
          <w:tab w:val="left" w:pos="1080"/>
          <w:tab w:val="left" w:pos="1872"/>
        </w:tabs>
        <w:snapToGrid w:val="0"/>
        <w:spacing w:line="360" w:lineRule="auto"/>
        <w:ind w:left="1077" w:hanging="720"/>
        <w:rPr>
          <w:rFonts w:eastAsiaTheme="minorEastAsia"/>
          <w:sz w:val="24"/>
        </w:rPr>
      </w:pPr>
      <w:r>
        <w:rPr>
          <w:rFonts w:eastAsiaTheme="minorEastAsia"/>
          <w:sz w:val="24"/>
        </w:rPr>
        <w:t>竞争性磋商文件中没有规定的评审标准不得作为评审依据。</w:t>
      </w:r>
    </w:p>
    <w:p w14:paraId="416B5752">
      <w:pPr>
        <w:numPr>
          <w:ilvl w:val="1"/>
          <w:numId w:val="10"/>
        </w:numPr>
        <w:tabs>
          <w:tab w:val="left" w:pos="1080"/>
          <w:tab w:val="left" w:pos="1872"/>
        </w:tabs>
        <w:snapToGrid w:val="0"/>
        <w:spacing w:line="360" w:lineRule="auto"/>
        <w:ind w:left="1077" w:hanging="720"/>
        <w:rPr>
          <w:rFonts w:eastAsiaTheme="minorEastAsia"/>
          <w:sz w:val="24"/>
        </w:rPr>
      </w:pPr>
      <w:r>
        <w:rPr>
          <w:rFonts w:eastAsiaTheme="minorEastAsia"/>
          <w:sz w:val="24"/>
        </w:rPr>
        <w:t>非政府强制采购的节能产品或环境标志产品，依据品目清单和认证证书实施政府优先采购。优先采购的具体规定（如涉及）____</w:t>
      </w:r>
      <w:r>
        <w:rPr>
          <w:rFonts w:hint="eastAsia" w:eastAsiaTheme="minorEastAsia"/>
          <w:sz w:val="24"/>
          <w:lang w:val="en-US" w:eastAsia="zh-CN"/>
        </w:rPr>
        <w:t>/</w:t>
      </w:r>
      <w:r>
        <w:rPr>
          <w:rFonts w:eastAsiaTheme="minorEastAsia"/>
          <w:sz w:val="24"/>
        </w:rPr>
        <w:t>__。</w:t>
      </w:r>
    </w:p>
    <w:p w14:paraId="3566D663">
      <w:pPr>
        <w:numPr>
          <w:ilvl w:val="0"/>
          <w:numId w:val="10"/>
        </w:numPr>
        <w:tabs>
          <w:tab w:val="left" w:pos="360"/>
        </w:tabs>
        <w:snapToGrid w:val="0"/>
        <w:spacing w:line="360" w:lineRule="auto"/>
        <w:outlineLvl w:val="1"/>
        <w:rPr>
          <w:rFonts w:eastAsiaTheme="minorEastAsia"/>
          <w:sz w:val="24"/>
        </w:rPr>
      </w:pPr>
      <w:r>
        <w:rPr>
          <w:rFonts w:eastAsiaTheme="minorEastAsia"/>
          <w:sz w:val="24"/>
        </w:rPr>
        <w:t>确定</w:t>
      </w:r>
      <w:bookmarkStart w:id="641" w:name="_Toc150774751"/>
      <w:bookmarkStart w:id="642" w:name="_Toc226965736"/>
      <w:bookmarkStart w:id="643" w:name="_Toc265228384"/>
      <w:bookmarkStart w:id="644" w:name="_Toc305158814"/>
      <w:bookmarkStart w:id="645" w:name="_Toc164608815"/>
      <w:bookmarkStart w:id="646" w:name="_Toc150774646"/>
      <w:bookmarkStart w:id="647" w:name="_Toc164608660"/>
      <w:bookmarkStart w:id="648" w:name="_Toc164229387"/>
      <w:bookmarkStart w:id="649" w:name="_Toc150509297"/>
      <w:bookmarkStart w:id="650" w:name="_Toc150480784"/>
      <w:bookmarkStart w:id="651" w:name="_Toc127161460"/>
      <w:bookmarkStart w:id="652" w:name="_Toc149720839"/>
      <w:bookmarkStart w:id="653" w:name="_Toc127151546"/>
      <w:bookmarkStart w:id="654" w:name="_Toc142311048"/>
      <w:bookmarkStart w:id="655" w:name="_Toc164351640"/>
      <w:bookmarkStart w:id="656" w:name="_Toc305158888"/>
      <w:bookmarkStart w:id="657" w:name="_Toc151193716"/>
      <w:bookmarkStart w:id="658" w:name="_Toc226337242"/>
      <w:bookmarkStart w:id="659" w:name="_Toc151193934"/>
      <w:bookmarkStart w:id="660" w:name="_Toc264969236"/>
      <w:bookmarkStart w:id="661" w:name="_Toc127151747"/>
      <w:bookmarkStart w:id="662" w:name="_Ref467307010"/>
      <w:bookmarkStart w:id="663" w:name="_Toc226965819"/>
      <w:bookmarkStart w:id="664" w:name="_Toc151193860"/>
      <w:bookmarkStart w:id="665" w:name="_Toc520356170"/>
      <w:bookmarkStart w:id="666" w:name="_Toc151190173"/>
      <w:bookmarkStart w:id="667" w:name="_Toc164229241"/>
      <w:bookmarkStart w:id="668" w:name="_Toc195842911"/>
      <w:bookmarkStart w:id="669" w:name="_Toc151193788"/>
      <w:bookmarkStart w:id="670" w:name="_Toc151193644"/>
      <w:bookmarkStart w:id="671" w:name="_Toc226309790"/>
      <w:r>
        <w:rPr>
          <w:rFonts w:eastAsiaTheme="minorEastAsia"/>
          <w:sz w:val="24"/>
        </w:rPr>
        <w:t>成交候选人名单</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14:paraId="5C462A5B">
      <w:pPr>
        <w:numPr>
          <w:ilvl w:val="1"/>
          <w:numId w:val="10"/>
        </w:numPr>
        <w:tabs>
          <w:tab w:val="left" w:pos="1080"/>
          <w:tab w:val="left" w:pos="1872"/>
        </w:tabs>
        <w:snapToGrid w:val="0"/>
        <w:spacing w:line="360" w:lineRule="auto"/>
        <w:ind w:left="1077" w:hanging="720"/>
        <w:rPr>
          <w:rFonts w:eastAsiaTheme="minorEastAsia"/>
          <w:sz w:val="24"/>
        </w:rPr>
      </w:pPr>
      <w:r>
        <w:rPr>
          <w:rFonts w:eastAsiaTheme="minorEastAsia"/>
          <w:sz w:val="24"/>
        </w:rPr>
        <w:t xml:space="preserve">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且按照评审因素的量化指标评审得分最高的供应商为排名第一的成交候选人。评分分值计算保留小数点后两位，第三位四舍五入。 </w:t>
      </w:r>
    </w:p>
    <w:p w14:paraId="1A13F308">
      <w:pPr>
        <w:numPr>
          <w:ilvl w:val="1"/>
          <w:numId w:val="10"/>
        </w:numPr>
        <w:tabs>
          <w:tab w:val="left" w:pos="1080"/>
          <w:tab w:val="left" w:pos="1872"/>
        </w:tabs>
        <w:snapToGrid w:val="0"/>
        <w:spacing w:line="360" w:lineRule="auto"/>
        <w:ind w:left="1077" w:hanging="720"/>
        <w:rPr>
          <w:rFonts w:eastAsiaTheme="minorEastAsia"/>
          <w:sz w:val="24"/>
        </w:rPr>
      </w:pPr>
      <w:r>
        <w:rPr>
          <w:rFonts w:eastAsiaTheme="minorEastAsia"/>
          <w:kern w:val="0"/>
          <w:sz w:val="24"/>
          <w:szCs w:val="20"/>
        </w:rPr>
        <w:t>磋商小组根据上述供应商排序，依次推荐排序前</w:t>
      </w:r>
      <w:r>
        <w:rPr>
          <w:sz w:val="24"/>
        </w:rPr>
        <w:t>__</w:t>
      </w:r>
      <w:r>
        <w:rPr>
          <w:rFonts w:hint="eastAsia"/>
          <w:sz w:val="24"/>
          <w:lang w:val="en-US" w:eastAsia="zh-CN"/>
        </w:rPr>
        <w:t>3</w:t>
      </w:r>
      <w:r>
        <w:rPr>
          <w:sz w:val="24"/>
        </w:rPr>
        <w:t>__名</w:t>
      </w:r>
      <w:r>
        <w:rPr>
          <w:rFonts w:eastAsiaTheme="minorEastAsia"/>
          <w:kern w:val="0"/>
          <w:sz w:val="24"/>
          <w:szCs w:val="20"/>
        </w:rPr>
        <w:t>的供应商为</w:t>
      </w:r>
      <w:r>
        <w:rPr>
          <w:rFonts w:eastAsiaTheme="minorEastAsia"/>
          <w:snapToGrid w:val="0"/>
          <w:kern w:val="0"/>
          <w:sz w:val="24"/>
          <w:szCs w:val="21"/>
        </w:rPr>
        <w:t>成交候选供应商</w:t>
      </w:r>
      <w:r>
        <w:rPr>
          <w:rFonts w:eastAsiaTheme="minorEastAsia"/>
          <w:kern w:val="0"/>
          <w:sz w:val="24"/>
          <w:szCs w:val="20"/>
        </w:rPr>
        <w:t>（若在磋商文件允许的情形下提交最后报价的供应商为二家，则依次推荐二名供应商为成交候选供应商），并编写评审报告。</w:t>
      </w:r>
    </w:p>
    <w:p w14:paraId="779D907A">
      <w:pPr>
        <w:numPr>
          <w:ilvl w:val="1"/>
          <w:numId w:val="10"/>
        </w:numPr>
        <w:tabs>
          <w:tab w:val="left" w:pos="1080"/>
          <w:tab w:val="left" w:pos="1872"/>
        </w:tabs>
        <w:snapToGrid w:val="0"/>
        <w:spacing w:line="360" w:lineRule="auto"/>
        <w:ind w:left="1077" w:hanging="720"/>
        <w:rPr>
          <w:rFonts w:eastAsiaTheme="minorEastAsia"/>
          <w:sz w:val="24"/>
        </w:rPr>
      </w:pPr>
      <w:r>
        <w:rPr>
          <w:rFonts w:eastAsiaTheme="minorEastAsia"/>
          <w:sz w:val="24"/>
        </w:rPr>
        <w:t>磋商小组要对评分汇总情况进行复核，特别是对排名第一的、报价最低的、响应文件被认定为无效的情形进行重点复核。</w:t>
      </w:r>
    </w:p>
    <w:p w14:paraId="79FB5AF8">
      <w:pPr>
        <w:numPr>
          <w:ilvl w:val="0"/>
          <w:numId w:val="10"/>
        </w:numPr>
        <w:tabs>
          <w:tab w:val="left" w:pos="360"/>
        </w:tabs>
        <w:snapToGrid w:val="0"/>
        <w:spacing w:line="360" w:lineRule="auto"/>
        <w:outlineLvl w:val="1"/>
        <w:rPr>
          <w:rFonts w:eastAsiaTheme="minorEastAsia"/>
          <w:sz w:val="24"/>
        </w:rPr>
      </w:pPr>
      <w:r>
        <w:rPr>
          <w:rFonts w:eastAsiaTheme="minorEastAsia"/>
          <w:sz w:val="24"/>
        </w:rPr>
        <w:t>报告违法行为</w:t>
      </w:r>
    </w:p>
    <w:p w14:paraId="633B3862">
      <w:pPr>
        <w:widowControl/>
        <w:numPr>
          <w:ilvl w:val="1"/>
          <w:numId w:val="10"/>
        </w:numPr>
        <w:tabs>
          <w:tab w:val="left" w:pos="1080"/>
          <w:tab w:val="left" w:pos="1872"/>
        </w:tabs>
        <w:snapToGrid w:val="0"/>
        <w:spacing w:line="360" w:lineRule="auto"/>
        <w:ind w:left="1077" w:hanging="720"/>
        <w:jc w:val="left"/>
        <w:rPr>
          <w:rFonts w:eastAsiaTheme="minorEastAsia"/>
          <w:b/>
          <w:sz w:val="24"/>
        </w:rPr>
      </w:pPr>
      <w:r>
        <w:rPr>
          <w:rFonts w:eastAsiaTheme="minorEastAsia"/>
          <w:sz w:val="24"/>
        </w:rPr>
        <w:t>磋商小组在评审过程中发现供应商有行贿、提供虚假材料或者串通等违法行为时，</w:t>
      </w:r>
      <w:r>
        <w:rPr>
          <w:rFonts w:hint="eastAsia"/>
          <w:sz w:val="24"/>
        </w:rPr>
        <w:t>应当及时向财政部门报告</w:t>
      </w:r>
      <w:r>
        <w:rPr>
          <w:rFonts w:eastAsiaTheme="minorEastAsia"/>
          <w:sz w:val="24"/>
        </w:rPr>
        <w:t>。</w:t>
      </w:r>
      <w:r>
        <w:rPr>
          <w:rFonts w:eastAsiaTheme="minorEastAsia"/>
          <w:b/>
          <w:sz w:val="24"/>
        </w:rPr>
        <w:br w:type="page"/>
      </w:r>
    </w:p>
    <w:p w14:paraId="0ABA33C1">
      <w:pPr>
        <w:pStyle w:val="3"/>
        <w:spacing w:before="0" w:line="360" w:lineRule="auto"/>
        <w:rPr>
          <w:rFonts w:ascii="Times New Roman" w:hAnsi="Times New Roman" w:eastAsiaTheme="minorEastAsia"/>
          <w:sz w:val="24"/>
          <w:szCs w:val="24"/>
        </w:rPr>
      </w:pPr>
      <w:r>
        <w:rPr>
          <w:rFonts w:ascii="Times New Roman" w:hAnsi="Times New Roman" w:eastAsiaTheme="minorEastAsia"/>
          <w:sz w:val="24"/>
          <w:szCs w:val="24"/>
        </w:rPr>
        <w:t>二、评审标准</w:t>
      </w:r>
    </w:p>
    <w:p w14:paraId="74C1C06D">
      <w:pPr>
        <w:tabs>
          <w:tab w:val="left" w:pos="360"/>
          <w:tab w:val="left" w:pos="900"/>
          <w:tab w:val="left" w:pos="1080"/>
          <w:tab w:val="left" w:pos="2014"/>
        </w:tabs>
        <w:snapToGrid w:val="0"/>
        <w:spacing w:line="360" w:lineRule="auto"/>
        <w:rPr>
          <w:rFonts w:eastAsiaTheme="minorEastAsia"/>
          <w:sz w:val="24"/>
        </w:rPr>
      </w:pPr>
    </w:p>
    <w:tbl>
      <w:tblPr>
        <w:tblStyle w:val="43"/>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5"/>
        <w:gridCol w:w="1462"/>
        <w:gridCol w:w="913"/>
        <w:gridCol w:w="5142"/>
        <w:gridCol w:w="1276"/>
      </w:tblGrid>
      <w:tr w14:paraId="5AF58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05DE3115">
            <w:pPr>
              <w:ind w:firstLine="28"/>
              <w:jc w:val="center"/>
              <w:rPr>
                <w:rFonts w:eastAsiaTheme="minorEastAsia"/>
                <w:b/>
                <w:sz w:val="24"/>
              </w:rPr>
            </w:pPr>
            <w:r>
              <w:rPr>
                <w:rFonts w:eastAsiaTheme="minorEastAsia"/>
                <w:b/>
                <w:sz w:val="24"/>
              </w:rPr>
              <w:t>序号</w:t>
            </w:r>
          </w:p>
        </w:tc>
        <w:tc>
          <w:tcPr>
            <w:tcW w:w="1462" w:type="dxa"/>
            <w:vAlign w:val="center"/>
          </w:tcPr>
          <w:p w14:paraId="69588B75">
            <w:pPr>
              <w:ind w:firstLine="28"/>
              <w:jc w:val="center"/>
              <w:rPr>
                <w:rFonts w:eastAsiaTheme="minorEastAsia"/>
                <w:b/>
                <w:sz w:val="24"/>
              </w:rPr>
            </w:pPr>
            <w:r>
              <w:rPr>
                <w:rFonts w:eastAsiaTheme="minorEastAsia"/>
                <w:b/>
                <w:sz w:val="24"/>
              </w:rPr>
              <w:t>评分因素</w:t>
            </w:r>
          </w:p>
        </w:tc>
        <w:tc>
          <w:tcPr>
            <w:tcW w:w="913" w:type="dxa"/>
            <w:vAlign w:val="center"/>
          </w:tcPr>
          <w:p w14:paraId="2D93EAE4">
            <w:pPr>
              <w:ind w:firstLine="28"/>
              <w:jc w:val="center"/>
              <w:rPr>
                <w:rFonts w:eastAsiaTheme="minorEastAsia"/>
                <w:b/>
                <w:sz w:val="24"/>
              </w:rPr>
            </w:pPr>
            <w:r>
              <w:rPr>
                <w:rFonts w:eastAsiaTheme="minorEastAsia"/>
                <w:b/>
                <w:sz w:val="24"/>
              </w:rPr>
              <w:t>分值</w:t>
            </w:r>
          </w:p>
        </w:tc>
        <w:tc>
          <w:tcPr>
            <w:tcW w:w="5142" w:type="dxa"/>
            <w:vAlign w:val="center"/>
          </w:tcPr>
          <w:p w14:paraId="49DF07A2">
            <w:pPr>
              <w:ind w:firstLine="28"/>
              <w:jc w:val="center"/>
              <w:rPr>
                <w:rFonts w:eastAsiaTheme="minorEastAsia"/>
                <w:b/>
                <w:sz w:val="24"/>
              </w:rPr>
            </w:pPr>
            <w:r>
              <w:rPr>
                <w:rFonts w:eastAsiaTheme="minorEastAsia"/>
                <w:b/>
                <w:sz w:val="24"/>
              </w:rPr>
              <w:t>评分标准</w:t>
            </w:r>
          </w:p>
        </w:tc>
        <w:tc>
          <w:tcPr>
            <w:tcW w:w="1276" w:type="dxa"/>
            <w:vAlign w:val="center"/>
          </w:tcPr>
          <w:p w14:paraId="0DD32D0E">
            <w:pPr>
              <w:pStyle w:val="246"/>
              <w:spacing w:before="0" w:after="0" w:line="240" w:lineRule="auto"/>
              <w:rPr>
                <w:rFonts w:eastAsiaTheme="minorEastAsia"/>
                <w:szCs w:val="24"/>
              </w:rPr>
            </w:pPr>
            <w:r>
              <w:rPr>
                <w:rFonts w:eastAsiaTheme="minorEastAsia"/>
                <w:szCs w:val="24"/>
              </w:rPr>
              <w:t>说明</w:t>
            </w:r>
          </w:p>
        </w:tc>
      </w:tr>
      <w:tr w14:paraId="4F3E9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3" w:hRule="atLeast"/>
        </w:trPr>
        <w:tc>
          <w:tcPr>
            <w:tcW w:w="835" w:type="dxa"/>
            <w:vMerge w:val="restart"/>
            <w:vAlign w:val="center"/>
          </w:tcPr>
          <w:p w14:paraId="6DA1DBCE">
            <w:pPr>
              <w:ind w:firstLine="28"/>
              <w:jc w:val="center"/>
              <w:rPr>
                <w:rFonts w:eastAsiaTheme="minorEastAsia"/>
                <w:b/>
                <w:sz w:val="24"/>
              </w:rPr>
            </w:pPr>
            <w:r>
              <w:rPr>
                <w:rFonts w:hint="eastAsia" w:eastAsiaTheme="minorEastAsia"/>
                <w:b/>
                <w:sz w:val="24"/>
              </w:rPr>
              <w:t>商务部分</w:t>
            </w:r>
          </w:p>
        </w:tc>
        <w:tc>
          <w:tcPr>
            <w:tcW w:w="1462" w:type="dxa"/>
            <w:vAlign w:val="center"/>
          </w:tcPr>
          <w:p w14:paraId="4FD1CBA2">
            <w:pPr>
              <w:widowControl/>
              <w:jc w:val="center"/>
              <w:rPr>
                <w:rFonts w:eastAsiaTheme="minorEastAsia"/>
                <w:sz w:val="24"/>
              </w:rPr>
            </w:pPr>
            <w:r>
              <w:rPr>
                <w:rFonts w:hint="eastAsia" w:ascii="宋体" w:hAnsi="宋体" w:cs="宋体"/>
                <w:color w:val="000000"/>
                <w:kern w:val="0"/>
                <w:sz w:val="24"/>
                <w:lang w:bidi="ar"/>
              </w:rPr>
              <w:t>业绩</w:t>
            </w:r>
          </w:p>
        </w:tc>
        <w:tc>
          <w:tcPr>
            <w:tcW w:w="913" w:type="dxa"/>
            <w:vAlign w:val="center"/>
          </w:tcPr>
          <w:p w14:paraId="4C8EEA74">
            <w:pPr>
              <w:ind w:firstLine="28"/>
              <w:jc w:val="center"/>
              <w:rPr>
                <w:rFonts w:eastAsiaTheme="minorEastAsia"/>
                <w:b/>
                <w:sz w:val="24"/>
              </w:rPr>
            </w:pPr>
            <w:r>
              <w:rPr>
                <w:rFonts w:hint="eastAsia" w:ascii="宋体" w:hAnsi="宋体" w:cs="宋体"/>
                <w:color w:val="000000"/>
                <w:kern w:val="0"/>
                <w:sz w:val="24"/>
                <w:lang w:bidi="ar"/>
              </w:rPr>
              <w:t>2分</w:t>
            </w:r>
          </w:p>
        </w:tc>
        <w:tc>
          <w:tcPr>
            <w:tcW w:w="5142" w:type="dxa"/>
            <w:vAlign w:val="center"/>
          </w:tcPr>
          <w:p w14:paraId="50FA8039">
            <w:pPr>
              <w:widowControl/>
              <w:jc w:val="left"/>
            </w:pPr>
            <w:r>
              <w:rPr>
                <w:rFonts w:hint="eastAsia" w:ascii="宋体" w:hAnsi="宋体" w:cs="宋体"/>
                <w:color w:val="000000"/>
                <w:kern w:val="0"/>
                <w:sz w:val="24"/>
                <w:lang w:bidi="ar"/>
              </w:rPr>
              <w:t xml:space="preserve">具有类似项目业绩，提供 </w:t>
            </w:r>
            <w:r>
              <w:rPr>
                <w:color w:val="000000"/>
                <w:kern w:val="0"/>
                <w:sz w:val="24"/>
                <w:lang w:bidi="ar"/>
              </w:rPr>
              <w:t xml:space="preserve">1 </w:t>
            </w:r>
            <w:r>
              <w:rPr>
                <w:rFonts w:hint="eastAsia" w:ascii="宋体" w:hAnsi="宋体" w:cs="宋体"/>
                <w:color w:val="000000"/>
                <w:kern w:val="0"/>
                <w:sz w:val="24"/>
                <w:lang w:bidi="ar"/>
              </w:rPr>
              <w:t xml:space="preserve">个得 </w:t>
            </w:r>
            <w:r>
              <w:rPr>
                <w:color w:val="000000"/>
                <w:kern w:val="0"/>
                <w:sz w:val="24"/>
                <w:lang w:bidi="ar"/>
              </w:rPr>
              <w:t xml:space="preserve">2 </w:t>
            </w:r>
            <w:r>
              <w:rPr>
                <w:rFonts w:hint="eastAsia" w:ascii="宋体" w:hAnsi="宋体" w:cs="宋体"/>
                <w:color w:val="000000"/>
                <w:kern w:val="0"/>
                <w:sz w:val="24"/>
                <w:lang w:bidi="ar"/>
              </w:rPr>
              <w:t xml:space="preserve">分，满分 </w:t>
            </w:r>
            <w:r>
              <w:rPr>
                <w:color w:val="000000"/>
                <w:kern w:val="0"/>
                <w:sz w:val="24"/>
                <w:lang w:bidi="ar"/>
              </w:rPr>
              <w:t xml:space="preserve">2 </w:t>
            </w:r>
            <w:r>
              <w:rPr>
                <w:rFonts w:hint="eastAsia" w:ascii="宋体" w:hAnsi="宋体" w:cs="宋体"/>
                <w:color w:val="000000"/>
                <w:kern w:val="0"/>
                <w:sz w:val="24"/>
                <w:lang w:bidi="ar"/>
              </w:rPr>
              <w:t xml:space="preserve">分。 </w:t>
            </w:r>
          </w:p>
          <w:p w14:paraId="2E2597D6">
            <w:pPr>
              <w:widowControl/>
              <w:jc w:val="left"/>
            </w:pPr>
            <w:r>
              <w:rPr>
                <w:rFonts w:hint="eastAsia" w:ascii="宋体" w:hAnsi="宋体" w:cs="宋体"/>
                <w:color w:val="000000"/>
                <w:kern w:val="0"/>
                <w:sz w:val="24"/>
                <w:lang w:bidi="ar"/>
              </w:rPr>
              <w:t>类似业绩指近五年（2021 年 0</w:t>
            </w:r>
            <w:r>
              <w:rPr>
                <w:rFonts w:hint="eastAsia" w:ascii="宋体" w:hAnsi="宋体" w:cs="宋体"/>
                <w:color w:val="000000"/>
                <w:kern w:val="0"/>
                <w:sz w:val="24"/>
                <w:lang w:val="en-US" w:eastAsia="zh-CN" w:bidi="ar"/>
              </w:rPr>
              <w:t>7</w:t>
            </w:r>
            <w:r>
              <w:rPr>
                <w:rFonts w:hint="eastAsia" w:ascii="宋体" w:hAnsi="宋体" w:cs="宋体"/>
                <w:color w:val="000000"/>
                <w:kern w:val="0"/>
                <w:sz w:val="24"/>
                <w:lang w:bidi="ar"/>
              </w:rPr>
              <w:t xml:space="preserve"> 月至今）承接过建设工程业绩。 </w:t>
            </w:r>
          </w:p>
          <w:p w14:paraId="42C67CE2">
            <w:pPr>
              <w:widowControl/>
              <w:jc w:val="left"/>
              <w:rPr>
                <w:rFonts w:eastAsiaTheme="minorEastAsia"/>
                <w:b/>
                <w:sz w:val="24"/>
              </w:rPr>
            </w:pPr>
            <w:r>
              <w:rPr>
                <w:rFonts w:hint="eastAsia" w:ascii="宋体" w:hAnsi="宋体" w:cs="宋体"/>
                <w:color w:val="000000"/>
                <w:kern w:val="0"/>
                <w:sz w:val="24"/>
                <w:lang w:bidi="ar"/>
              </w:rPr>
              <w:t>供应商应提供合同有效内容（至少包括合同首页、施工范围页、签字盖章页）的复印件。</w:t>
            </w:r>
          </w:p>
        </w:tc>
        <w:tc>
          <w:tcPr>
            <w:tcW w:w="1276" w:type="dxa"/>
            <w:vAlign w:val="center"/>
          </w:tcPr>
          <w:p w14:paraId="4B085F4B">
            <w:pPr>
              <w:pStyle w:val="246"/>
              <w:spacing w:before="0" w:after="0" w:line="240" w:lineRule="auto"/>
              <w:rPr>
                <w:rFonts w:eastAsiaTheme="minorEastAsia"/>
                <w:szCs w:val="24"/>
              </w:rPr>
            </w:pPr>
            <w:r>
              <w:rPr>
                <w:rFonts w:hint="eastAsia" w:eastAsiaTheme="minorEastAsia"/>
                <w:szCs w:val="24"/>
              </w:rPr>
              <w:t>提供复印件加盖公章</w:t>
            </w:r>
          </w:p>
        </w:tc>
      </w:tr>
      <w:tr w14:paraId="50A76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8" w:hRule="atLeast"/>
        </w:trPr>
        <w:tc>
          <w:tcPr>
            <w:tcW w:w="835" w:type="dxa"/>
            <w:vMerge w:val="continue"/>
            <w:vAlign w:val="center"/>
          </w:tcPr>
          <w:p w14:paraId="12C91910">
            <w:pPr>
              <w:ind w:firstLine="28"/>
              <w:jc w:val="center"/>
              <w:rPr>
                <w:rFonts w:eastAsiaTheme="minorEastAsia"/>
                <w:sz w:val="24"/>
              </w:rPr>
            </w:pPr>
          </w:p>
        </w:tc>
        <w:tc>
          <w:tcPr>
            <w:tcW w:w="1462" w:type="dxa"/>
            <w:vAlign w:val="center"/>
          </w:tcPr>
          <w:p w14:paraId="71311D84">
            <w:pPr>
              <w:widowControl/>
              <w:jc w:val="center"/>
            </w:pPr>
            <w:r>
              <w:rPr>
                <w:rFonts w:hint="eastAsia" w:ascii="宋体" w:hAnsi="宋体" w:cs="宋体"/>
                <w:color w:val="000000"/>
                <w:kern w:val="0"/>
                <w:sz w:val="24"/>
                <w:lang w:bidi="ar"/>
              </w:rPr>
              <w:t>拟投入主</w:t>
            </w:r>
          </w:p>
          <w:p w14:paraId="57A53CEB">
            <w:pPr>
              <w:widowControl/>
              <w:jc w:val="center"/>
              <w:rPr>
                <w:rFonts w:eastAsiaTheme="minorEastAsia"/>
                <w:sz w:val="24"/>
              </w:rPr>
            </w:pPr>
            <w:r>
              <w:rPr>
                <w:rFonts w:hint="eastAsia" w:ascii="宋体" w:hAnsi="宋体" w:cs="宋体"/>
                <w:color w:val="000000"/>
                <w:kern w:val="0"/>
                <w:sz w:val="24"/>
                <w:lang w:bidi="ar"/>
              </w:rPr>
              <w:t>要人员</w:t>
            </w:r>
          </w:p>
        </w:tc>
        <w:tc>
          <w:tcPr>
            <w:tcW w:w="913" w:type="dxa"/>
            <w:vAlign w:val="center"/>
          </w:tcPr>
          <w:p w14:paraId="27E5FAC0">
            <w:pPr>
              <w:ind w:firstLine="28"/>
              <w:jc w:val="center"/>
              <w:rPr>
                <w:rFonts w:eastAsiaTheme="minorEastAsia"/>
                <w:sz w:val="24"/>
              </w:rPr>
            </w:pPr>
            <w:r>
              <w:rPr>
                <w:rFonts w:hint="eastAsia" w:ascii="宋体" w:hAnsi="宋体" w:cs="宋体"/>
                <w:color w:val="000000"/>
                <w:kern w:val="0"/>
                <w:sz w:val="24"/>
                <w:lang w:bidi="ar"/>
              </w:rPr>
              <w:t>3分</w:t>
            </w:r>
          </w:p>
        </w:tc>
        <w:tc>
          <w:tcPr>
            <w:tcW w:w="5142" w:type="dxa"/>
            <w:vAlign w:val="center"/>
          </w:tcPr>
          <w:p w14:paraId="50C268F1">
            <w:pPr>
              <w:widowControl/>
              <w:jc w:val="left"/>
            </w:pPr>
            <w:r>
              <w:rPr>
                <w:rFonts w:hint="eastAsia" w:ascii="宋体" w:hAnsi="宋体" w:cs="宋体"/>
                <w:color w:val="000000"/>
                <w:kern w:val="0"/>
                <w:sz w:val="24"/>
                <w:lang w:bidi="ar"/>
              </w:rPr>
              <w:t xml:space="preserve">人员配备合理，专业齐全得 3 分； </w:t>
            </w:r>
          </w:p>
          <w:p w14:paraId="73ADC359">
            <w:pPr>
              <w:widowControl/>
              <w:jc w:val="left"/>
            </w:pPr>
            <w:r>
              <w:rPr>
                <w:rFonts w:hint="eastAsia" w:ascii="宋体" w:hAnsi="宋体" w:cs="宋体"/>
                <w:color w:val="000000"/>
                <w:kern w:val="0"/>
                <w:sz w:val="24"/>
                <w:lang w:bidi="ar"/>
              </w:rPr>
              <w:t xml:space="preserve">人员配备情况一般，专业基本齐全得 2 分； </w:t>
            </w:r>
          </w:p>
          <w:p w14:paraId="1AF5C0ED">
            <w:pPr>
              <w:widowControl/>
              <w:jc w:val="left"/>
              <w:rPr>
                <w:rFonts w:eastAsiaTheme="minorEastAsia"/>
                <w:b/>
                <w:sz w:val="24"/>
              </w:rPr>
            </w:pPr>
            <w:r>
              <w:rPr>
                <w:rFonts w:hint="eastAsia" w:ascii="宋体" w:hAnsi="宋体" w:cs="宋体"/>
                <w:color w:val="000000"/>
                <w:kern w:val="0"/>
                <w:sz w:val="24"/>
                <w:lang w:bidi="ar"/>
              </w:rPr>
              <w:t>人员配备欠缺，专业不够齐全得 1 分。</w:t>
            </w:r>
          </w:p>
        </w:tc>
        <w:tc>
          <w:tcPr>
            <w:tcW w:w="1276" w:type="dxa"/>
            <w:vAlign w:val="center"/>
          </w:tcPr>
          <w:p w14:paraId="4159CE9B">
            <w:pPr>
              <w:pStyle w:val="246"/>
              <w:spacing w:before="0" w:after="0" w:line="240" w:lineRule="auto"/>
              <w:rPr>
                <w:rFonts w:eastAsiaTheme="minorEastAsia"/>
                <w:szCs w:val="24"/>
              </w:rPr>
            </w:pPr>
          </w:p>
        </w:tc>
      </w:tr>
      <w:tr w14:paraId="2979F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835" w:type="dxa"/>
            <w:vMerge w:val="restart"/>
            <w:vAlign w:val="center"/>
          </w:tcPr>
          <w:p w14:paraId="040EF7A0">
            <w:pPr>
              <w:ind w:firstLine="28"/>
              <w:jc w:val="center"/>
              <w:rPr>
                <w:rFonts w:eastAsiaTheme="minorEastAsia"/>
                <w:b/>
                <w:sz w:val="24"/>
              </w:rPr>
            </w:pPr>
            <w:r>
              <w:rPr>
                <w:rFonts w:hint="eastAsia" w:eastAsiaTheme="minorEastAsia"/>
                <w:b/>
                <w:sz w:val="24"/>
              </w:rPr>
              <w:t>技术部分</w:t>
            </w:r>
          </w:p>
        </w:tc>
        <w:tc>
          <w:tcPr>
            <w:tcW w:w="1462" w:type="dxa"/>
            <w:vAlign w:val="center"/>
          </w:tcPr>
          <w:p w14:paraId="22FDA4A5">
            <w:pPr>
              <w:widowControl/>
              <w:snapToGrid w:val="0"/>
              <w:spacing w:line="340" w:lineRule="exact"/>
              <w:ind w:right="31" w:rightChars="15"/>
              <w:jc w:val="center"/>
              <w:rPr>
                <w:rFonts w:eastAsiaTheme="minorEastAsia"/>
                <w:sz w:val="24"/>
              </w:rPr>
            </w:pPr>
            <w:r>
              <w:rPr>
                <w:rFonts w:hint="eastAsia" w:ascii="宋体" w:hAnsi="宋体" w:cs="宋体"/>
                <w:bCs/>
                <w:sz w:val="24"/>
              </w:rPr>
              <w:t>施工方案与技术措施</w:t>
            </w:r>
          </w:p>
        </w:tc>
        <w:tc>
          <w:tcPr>
            <w:tcW w:w="913" w:type="dxa"/>
            <w:vAlign w:val="center"/>
          </w:tcPr>
          <w:p w14:paraId="4FCD3820">
            <w:pPr>
              <w:ind w:firstLine="28"/>
              <w:jc w:val="center"/>
              <w:rPr>
                <w:rFonts w:eastAsiaTheme="minorEastAsia"/>
                <w:sz w:val="24"/>
              </w:rPr>
            </w:pPr>
            <w:r>
              <w:rPr>
                <w:rFonts w:hint="eastAsia" w:eastAsiaTheme="minorEastAsia"/>
                <w:sz w:val="24"/>
              </w:rPr>
              <w:t>20分</w:t>
            </w:r>
          </w:p>
        </w:tc>
        <w:tc>
          <w:tcPr>
            <w:tcW w:w="5142" w:type="dxa"/>
            <w:vAlign w:val="center"/>
          </w:tcPr>
          <w:p w14:paraId="09913BE0">
            <w:pPr>
              <w:widowControl/>
              <w:snapToGrid w:val="0"/>
              <w:spacing w:line="340" w:lineRule="exact"/>
              <w:ind w:right="31" w:rightChars="15"/>
              <w:jc w:val="left"/>
              <w:rPr>
                <w:rFonts w:hint="eastAsia" w:ascii="宋体" w:hAnsi="宋体" w:cs="宋体"/>
                <w:bCs/>
                <w:sz w:val="24"/>
              </w:rPr>
            </w:pPr>
            <w:r>
              <w:rPr>
                <w:rFonts w:hint="eastAsia" w:ascii="宋体" w:hAnsi="宋体" w:cs="宋体"/>
                <w:bCs/>
                <w:sz w:val="24"/>
              </w:rPr>
              <w:t>方案合理、可行、针对性强，技术措施可靠、有保障，得20分；</w:t>
            </w:r>
          </w:p>
          <w:p w14:paraId="1DA786CF">
            <w:pPr>
              <w:widowControl/>
              <w:snapToGrid w:val="0"/>
              <w:spacing w:line="340" w:lineRule="exact"/>
              <w:ind w:right="31" w:rightChars="15"/>
              <w:jc w:val="left"/>
              <w:rPr>
                <w:rFonts w:hint="eastAsia" w:ascii="宋体" w:hAnsi="宋体" w:cs="宋体"/>
                <w:bCs/>
                <w:sz w:val="24"/>
              </w:rPr>
            </w:pPr>
            <w:r>
              <w:rPr>
                <w:rFonts w:hint="eastAsia" w:ascii="宋体" w:hAnsi="宋体" w:cs="宋体"/>
                <w:bCs/>
                <w:sz w:val="24"/>
              </w:rPr>
              <w:t>方案能满足项目要求，得15分；</w:t>
            </w:r>
          </w:p>
          <w:p w14:paraId="5EC502E7">
            <w:pPr>
              <w:widowControl/>
              <w:snapToGrid w:val="0"/>
              <w:spacing w:line="340" w:lineRule="exact"/>
              <w:ind w:right="31" w:rightChars="15"/>
              <w:jc w:val="left"/>
              <w:rPr>
                <w:rFonts w:hint="eastAsia" w:ascii="宋体" w:hAnsi="宋体" w:cs="宋体"/>
                <w:bCs/>
                <w:sz w:val="24"/>
              </w:rPr>
            </w:pPr>
            <w:r>
              <w:rPr>
                <w:rFonts w:hint="eastAsia" w:ascii="宋体" w:hAnsi="宋体" w:cs="宋体"/>
                <w:bCs/>
                <w:sz w:val="24"/>
              </w:rPr>
              <w:t>方案欠缺，针对性欠缺，得10分；</w:t>
            </w:r>
          </w:p>
          <w:p w14:paraId="57FABFCE">
            <w:pPr>
              <w:widowControl/>
              <w:snapToGrid w:val="0"/>
              <w:spacing w:line="340" w:lineRule="exact"/>
              <w:ind w:right="31" w:rightChars="15"/>
              <w:jc w:val="left"/>
              <w:rPr>
                <w:rFonts w:eastAsiaTheme="minorEastAsia"/>
                <w:b/>
                <w:sz w:val="24"/>
              </w:rPr>
            </w:pPr>
            <w:r>
              <w:rPr>
                <w:rFonts w:hint="eastAsia" w:ascii="宋体" w:hAnsi="宋体" w:cs="宋体"/>
                <w:bCs/>
                <w:sz w:val="24"/>
              </w:rPr>
              <w:t>未提供得0分。</w:t>
            </w:r>
          </w:p>
        </w:tc>
        <w:tc>
          <w:tcPr>
            <w:tcW w:w="1276" w:type="dxa"/>
            <w:vAlign w:val="center"/>
          </w:tcPr>
          <w:p w14:paraId="6F5B78FE">
            <w:pPr>
              <w:pStyle w:val="246"/>
              <w:spacing w:before="0" w:after="0" w:line="240" w:lineRule="auto"/>
              <w:rPr>
                <w:rFonts w:eastAsiaTheme="minorEastAsia"/>
                <w:szCs w:val="24"/>
              </w:rPr>
            </w:pPr>
          </w:p>
        </w:tc>
      </w:tr>
      <w:tr w14:paraId="39DFD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835" w:type="dxa"/>
            <w:vMerge w:val="continue"/>
            <w:vAlign w:val="center"/>
          </w:tcPr>
          <w:p w14:paraId="372EBB71">
            <w:pPr>
              <w:ind w:firstLine="28"/>
              <w:jc w:val="center"/>
              <w:rPr>
                <w:rFonts w:eastAsiaTheme="minorEastAsia"/>
                <w:b/>
                <w:sz w:val="24"/>
              </w:rPr>
            </w:pPr>
          </w:p>
        </w:tc>
        <w:tc>
          <w:tcPr>
            <w:tcW w:w="1462" w:type="dxa"/>
            <w:vAlign w:val="center"/>
          </w:tcPr>
          <w:p w14:paraId="06165DDD">
            <w:pPr>
              <w:widowControl/>
              <w:snapToGrid w:val="0"/>
              <w:spacing w:line="340" w:lineRule="exact"/>
              <w:ind w:right="31" w:rightChars="15"/>
              <w:jc w:val="center"/>
              <w:rPr>
                <w:rFonts w:eastAsiaTheme="minorEastAsia"/>
                <w:sz w:val="24"/>
              </w:rPr>
            </w:pPr>
            <w:r>
              <w:rPr>
                <w:rFonts w:hint="eastAsia" w:ascii="宋体" w:hAnsi="宋体" w:cs="宋体"/>
                <w:bCs/>
                <w:sz w:val="24"/>
              </w:rPr>
              <w:t>工程进度计划与保证措施</w:t>
            </w:r>
          </w:p>
        </w:tc>
        <w:tc>
          <w:tcPr>
            <w:tcW w:w="913" w:type="dxa"/>
            <w:vAlign w:val="center"/>
          </w:tcPr>
          <w:p w14:paraId="2C12AB6A">
            <w:pPr>
              <w:ind w:firstLine="28"/>
              <w:jc w:val="center"/>
              <w:rPr>
                <w:rFonts w:eastAsiaTheme="minorEastAsia"/>
                <w:sz w:val="24"/>
              </w:rPr>
            </w:pPr>
            <w:r>
              <w:rPr>
                <w:rFonts w:hint="eastAsia" w:eastAsiaTheme="minorEastAsia"/>
                <w:sz w:val="24"/>
              </w:rPr>
              <w:t>10分</w:t>
            </w:r>
          </w:p>
        </w:tc>
        <w:tc>
          <w:tcPr>
            <w:tcW w:w="5142" w:type="dxa"/>
            <w:vAlign w:val="center"/>
          </w:tcPr>
          <w:p w14:paraId="421D2EA0">
            <w:pPr>
              <w:widowControl/>
              <w:snapToGrid w:val="0"/>
              <w:spacing w:line="340" w:lineRule="exact"/>
              <w:ind w:right="31" w:rightChars="15"/>
              <w:jc w:val="left"/>
              <w:rPr>
                <w:rFonts w:hint="eastAsia" w:ascii="宋体" w:hAnsi="宋体" w:cs="宋体"/>
                <w:bCs/>
                <w:sz w:val="24"/>
              </w:rPr>
            </w:pPr>
            <w:r>
              <w:rPr>
                <w:rFonts w:hint="eastAsia" w:ascii="宋体" w:hAnsi="宋体" w:cs="宋体"/>
                <w:bCs/>
                <w:sz w:val="24"/>
              </w:rPr>
              <w:t>计划合理，措施有力，有针对性，得10分；</w:t>
            </w:r>
          </w:p>
          <w:p w14:paraId="5E72B2BA">
            <w:pPr>
              <w:widowControl/>
              <w:snapToGrid w:val="0"/>
              <w:spacing w:line="340" w:lineRule="exact"/>
              <w:ind w:right="31" w:rightChars="15"/>
              <w:jc w:val="left"/>
              <w:rPr>
                <w:rFonts w:hint="eastAsia" w:ascii="宋体" w:hAnsi="宋体" w:cs="宋体"/>
                <w:bCs/>
                <w:sz w:val="24"/>
              </w:rPr>
            </w:pPr>
            <w:r>
              <w:rPr>
                <w:rFonts w:hint="eastAsia" w:ascii="宋体" w:hAnsi="宋体" w:cs="宋体"/>
                <w:bCs/>
                <w:sz w:val="24"/>
              </w:rPr>
              <w:t>计划和措施能满足项目要求，得6分；</w:t>
            </w:r>
          </w:p>
          <w:p w14:paraId="1FD7C59D">
            <w:pPr>
              <w:widowControl/>
              <w:snapToGrid w:val="0"/>
              <w:spacing w:line="340" w:lineRule="exact"/>
              <w:ind w:right="31" w:rightChars="15"/>
              <w:jc w:val="left"/>
              <w:rPr>
                <w:rFonts w:hint="eastAsia" w:ascii="宋体" w:hAnsi="宋体" w:cs="宋体"/>
                <w:bCs/>
                <w:sz w:val="24"/>
              </w:rPr>
            </w:pPr>
            <w:r>
              <w:rPr>
                <w:rFonts w:hint="eastAsia" w:ascii="宋体" w:hAnsi="宋体" w:cs="宋体"/>
                <w:bCs/>
                <w:sz w:val="24"/>
              </w:rPr>
              <w:t>计划和措施欠缺，针对性欠缺，得3分；</w:t>
            </w:r>
          </w:p>
          <w:p w14:paraId="0BE660E0">
            <w:pPr>
              <w:widowControl/>
              <w:snapToGrid w:val="0"/>
              <w:spacing w:line="340" w:lineRule="exact"/>
              <w:ind w:right="31" w:rightChars="15"/>
              <w:jc w:val="left"/>
              <w:rPr>
                <w:rFonts w:eastAsiaTheme="minorEastAsia"/>
                <w:b/>
                <w:sz w:val="24"/>
              </w:rPr>
            </w:pPr>
            <w:r>
              <w:rPr>
                <w:rFonts w:hint="eastAsia" w:ascii="宋体" w:hAnsi="宋体" w:cs="宋体"/>
                <w:bCs/>
                <w:sz w:val="24"/>
              </w:rPr>
              <w:t>未提供得0分。</w:t>
            </w:r>
          </w:p>
        </w:tc>
        <w:tc>
          <w:tcPr>
            <w:tcW w:w="1276" w:type="dxa"/>
            <w:vAlign w:val="center"/>
          </w:tcPr>
          <w:p w14:paraId="2FE9FC88">
            <w:pPr>
              <w:pStyle w:val="246"/>
              <w:spacing w:before="0" w:after="0" w:line="240" w:lineRule="auto"/>
              <w:rPr>
                <w:rFonts w:eastAsiaTheme="minorEastAsia"/>
                <w:szCs w:val="24"/>
              </w:rPr>
            </w:pPr>
          </w:p>
        </w:tc>
      </w:tr>
      <w:tr w14:paraId="3CC5C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5" w:hRule="atLeast"/>
        </w:trPr>
        <w:tc>
          <w:tcPr>
            <w:tcW w:w="835" w:type="dxa"/>
            <w:vMerge w:val="continue"/>
            <w:vAlign w:val="center"/>
          </w:tcPr>
          <w:p w14:paraId="30ECD2E0">
            <w:pPr>
              <w:ind w:firstLine="28"/>
              <w:jc w:val="center"/>
              <w:rPr>
                <w:rFonts w:eastAsiaTheme="minorEastAsia"/>
                <w:b/>
                <w:sz w:val="24"/>
              </w:rPr>
            </w:pPr>
          </w:p>
        </w:tc>
        <w:tc>
          <w:tcPr>
            <w:tcW w:w="1462" w:type="dxa"/>
            <w:vAlign w:val="center"/>
          </w:tcPr>
          <w:p w14:paraId="4D9C7B17">
            <w:pPr>
              <w:widowControl/>
              <w:snapToGrid w:val="0"/>
              <w:spacing w:line="340" w:lineRule="exact"/>
              <w:ind w:right="31" w:rightChars="15"/>
              <w:jc w:val="center"/>
              <w:rPr>
                <w:rFonts w:eastAsiaTheme="minorEastAsia"/>
                <w:sz w:val="24"/>
              </w:rPr>
            </w:pPr>
            <w:r>
              <w:rPr>
                <w:rFonts w:hint="eastAsia" w:ascii="宋体" w:hAnsi="宋体" w:cs="宋体"/>
                <w:bCs/>
                <w:sz w:val="24"/>
              </w:rPr>
              <w:t>对本工程的重难点分析及对策</w:t>
            </w:r>
          </w:p>
        </w:tc>
        <w:tc>
          <w:tcPr>
            <w:tcW w:w="913" w:type="dxa"/>
            <w:vAlign w:val="center"/>
          </w:tcPr>
          <w:p w14:paraId="283CC62F">
            <w:pPr>
              <w:ind w:firstLine="28"/>
              <w:jc w:val="center"/>
              <w:rPr>
                <w:rFonts w:eastAsiaTheme="minorEastAsia"/>
                <w:sz w:val="24"/>
              </w:rPr>
            </w:pPr>
            <w:r>
              <w:rPr>
                <w:rFonts w:hint="eastAsia" w:eastAsiaTheme="minorEastAsia"/>
                <w:sz w:val="24"/>
              </w:rPr>
              <w:t>15分</w:t>
            </w:r>
          </w:p>
        </w:tc>
        <w:tc>
          <w:tcPr>
            <w:tcW w:w="5142" w:type="dxa"/>
            <w:vAlign w:val="center"/>
          </w:tcPr>
          <w:p w14:paraId="344CC81F">
            <w:pPr>
              <w:widowControl/>
              <w:snapToGrid w:val="0"/>
              <w:spacing w:line="340" w:lineRule="exact"/>
              <w:ind w:right="31" w:rightChars="15"/>
              <w:jc w:val="left"/>
              <w:rPr>
                <w:rFonts w:hint="eastAsia" w:ascii="宋体" w:hAnsi="宋体" w:cs="宋体"/>
                <w:bCs/>
                <w:sz w:val="24"/>
              </w:rPr>
            </w:pPr>
            <w:r>
              <w:rPr>
                <w:rFonts w:hint="eastAsia" w:ascii="宋体" w:hAnsi="宋体" w:cs="宋体"/>
                <w:bCs/>
                <w:sz w:val="24"/>
              </w:rPr>
              <w:t>针对项目特点和具体情况重难点分析准确,对策有针对性，得15分；</w:t>
            </w:r>
          </w:p>
          <w:p w14:paraId="5B0B9D21">
            <w:pPr>
              <w:widowControl/>
              <w:snapToGrid w:val="0"/>
              <w:spacing w:line="340" w:lineRule="exact"/>
              <w:ind w:right="31" w:rightChars="15"/>
              <w:jc w:val="left"/>
              <w:rPr>
                <w:rFonts w:hint="eastAsia" w:ascii="宋体" w:hAnsi="宋体" w:cs="宋体"/>
                <w:bCs/>
                <w:sz w:val="24"/>
              </w:rPr>
            </w:pPr>
            <w:r>
              <w:rPr>
                <w:rFonts w:hint="eastAsia" w:ascii="宋体" w:hAnsi="宋体" w:cs="宋体"/>
                <w:bCs/>
                <w:sz w:val="24"/>
              </w:rPr>
              <w:t>重难点分析满足项目要求，得6分；</w:t>
            </w:r>
          </w:p>
          <w:p w14:paraId="0D0CF216">
            <w:pPr>
              <w:widowControl/>
              <w:snapToGrid w:val="0"/>
              <w:spacing w:line="340" w:lineRule="exact"/>
              <w:ind w:right="31" w:rightChars="15"/>
              <w:jc w:val="left"/>
              <w:rPr>
                <w:rFonts w:hint="eastAsia" w:ascii="宋体" w:hAnsi="宋体" w:cs="宋体"/>
                <w:bCs/>
                <w:sz w:val="24"/>
              </w:rPr>
            </w:pPr>
            <w:r>
              <w:rPr>
                <w:rFonts w:hint="eastAsia" w:ascii="宋体" w:hAnsi="宋体" w:cs="宋体"/>
                <w:bCs/>
                <w:sz w:val="24"/>
              </w:rPr>
              <w:t>重难点分析欠缺，针对性欠缺，得3分；</w:t>
            </w:r>
          </w:p>
          <w:p w14:paraId="000519E2">
            <w:pPr>
              <w:widowControl/>
              <w:snapToGrid w:val="0"/>
              <w:spacing w:line="340" w:lineRule="exact"/>
              <w:ind w:right="31" w:rightChars="15"/>
              <w:jc w:val="left"/>
              <w:rPr>
                <w:rFonts w:eastAsiaTheme="minorEastAsia"/>
                <w:b/>
                <w:sz w:val="24"/>
              </w:rPr>
            </w:pPr>
            <w:r>
              <w:rPr>
                <w:rFonts w:hint="eastAsia" w:ascii="宋体" w:hAnsi="宋体" w:cs="宋体"/>
                <w:bCs/>
                <w:sz w:val="24"/>
              </w:rPr>
              <w:t>未提供得0分。</w:t>
            </w:r>
          </w:p>
        </w:tc>
        <w:tc>
          <w:tcPr>
            <w:tcW w:w="1276" w:type="dxa"/>
            <w:vAlign w:val="center"/>
          </w:tcPr>
          <w:p w14:paraId="2DA7F8D6">
            <w:pPr>
              <w:pStyle w:val="246"/>
              <w:spacing w:before="0" w:after="0" w:line="240" w:lineRule="auto"/>
              <w:rPr>
                <w:rFonts w:eastAsiaTheme="minorEastAsia"/>
                <w:szCs w:val="24"/>
              </w:rPr>
            </w:pPr>
          </w:p>
        </w:tc>
      </w:tr>
      <w:tr w14:paraId="280A6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835" w:type="dxa"/>
            <w:vMerge w:val="continue"/>
            <w:vAlign w:val="center"/>
          </w:tcPr>
          <w:p w14:paraId="685E48D6">
            <w:pPr>
              <w:ind w:firstLine="28"/>
              <w:jc w:val="center"/>
              <w:rPr>
                <w:rFonts w:eastAsiaTheme="minorEastAsia"/>
                <w:b/>
                <w:sz w:val="24"/>
              </w:rPr>
            </w:pPr>
          </w:p>
        </w:tc>
        <w:tc>
          <w:tcPr>
            <w:tcW w:w="1462" w:type="dxa"/>
            <w:vAlign w:val="center"/>
          </w:tcPr>
          <w:p w14:paraId="054BE168">
            <w:pPr>
              <w:widowControl/>
              <w:snapToGrid w:val="0"/>
              <w:spacing w:line="340" w:lineRule="exact"/>
              <w:ind w:right="31" w:rightChars="15"/>
              <w:jc w:val="center"/>
              <w:rPr>
                <w:rFonts w:eastAsiaTheme="minorEastAsia"/>
                <w:sz w:val="24"/>
              </w:rPr>
            </w:pPr>
            <w:r>
              <w:rPr>
                <w:rFonts w:hint="eastAsia" w:ascii="宋体" w:hAnsi="宋体" w:cs="宋体"/>
                <w:bCs/>
                <w:sz w:val="24"/>
              </w:rPr>
              <w:t>现场组织管理机构和劳动力保障措施</w:t>
            </w:r>
          </w:p>
        </w:tc>
        <w:tc>
          <w:tcPr>
            <w:tcW w:w="913" w:type="dxa"/>
            <w:vAlign w:val="center"/>
          </w:tcPr>
          <w:p w14:paraId="5AE0AA6D">
            <w:pPr>
              <w:ind w:firstLine="28"/>
              <w:jc w:val="center"/>
              <w:rPr>
                <w:rFonts w:eastAsiaTheme="minorEastAsia"/>
                <w:sz w:val="24"/>
              </w:rPr>
            </w:pPr>
            <w:r>
              <w:rPr>
                <w:rFonts w:hint="eastAsia" w:eastAsiaTheme="minorEastAsia"/>
                <w:sz w:val="24"/>
              </w:rPr>
              <w:t>10分</w:t>
            </w:r>
          </w:p>
        </w:tc>
        <w:tc>
          <w:tcPr>
            <w:tcW w:w="5142" w:type="dxa"/>
            <w:vAlign w:val="center"/>
          </w:tcPr>
          <w:p w14:paraId="0E87AB08">
            <w:pPr>
              <w:widowControl/>
              <w:snapToGrid w:val="0"/>
              <w:spacing w:line="340" w:lineRule="exact"/>
              <w:ind w:right="31" w:rightChars="15"/>
              <w:jc w:val="left"/>
              <w:rPr>
                <w:rFonts w:hint="eastAsia" w:ascii="宋体" w:hAnsi="宋体" w:cs="宋体"/>
                <w:bCs/>
                <w:sz w:val="24"/>
              </w:rPr>
            </w:pPr>
            <w:r>
              <w:rPr>
                <w:rFonts w:hint="eastAsia" w:ascii="宋体" w:hAnsi="宋体" w:cs="宋体"/>
                <w:bCs/>
                <w:sz w:val="24"/>
              </w:rPr>
              <w:t>组织机构设置合理，劳动力计划可靠，施工队伍的选择有针对性，得10分；</w:t>
            </w:r>
          </w:p>
          <w:p w14:paraId="43508A67">
            <w:pPr>
              <w:widowControl/>
              <w:snapToGrid w:val="0"/>
              <w:spacing w:line="340" w:lineRule="exact"/>
              <w:ind w:right="31" w:rightChars="15"/>
              <w:jc w:val="left"/>
              <w:rPr>
                <w:rFonts w:hint="eastAsia" w:ascii="宋体" w:hAnsi="宋体" w:cs="宋体"/>
                <w:bCs/>
                <w:sz w:val="24"/>
              </w:rPr>
            </w:pPr>
            <w:r>
              <w:rPr>
                <w:rFonts w:hint="eastAsia" w:ascii="宋体" w:hAnsi="宋体" w:cs="宋体"/>
                <w:bCs/>
                <w:sz w:val="24"/>
              </w:rPr>
              <w:t>组织机构设置，劳动力计划和施工队伍的选择能满足项目要求，得6分；</w:t>
            </w:r>
          </w:p>
          <w:p w14:paraId="7048C7B6">
            <w:pPr>
              <w:widowControl/>
              <w:snapToGrid w:val="0"/>
              <w:spacing w:line="340" w:lineRule="exact"/>
              <w:ind w:right="31" w:rightChars="15"/>
              <w:jc w:val="left"/>
              <w:rPr>
                <w:rFonts w:hint="eastAsia" w:ascii="宋体" w:hAnsi="宋体" w:cs="宋体"/>
                <w:bCs/>
                <w:sz w:val="24"/>
              </w:rPr>
            </w:pPr>
            <w:r>
              <w:rPr>
                <w:rFonts w:hint="eastAsia" w:ascii="宋体" w:hAnsi="宋体" w:cs="宋体"/>
                <w:bCs/>
                <w:sz w:val="24"/>
              </w:rPr>
              <w:t>提供方案欠缺，针对性欠缺，得3分；</w:t>
            </w:r>
          </w:p>
          <w:p w14:paraId="3F22C950">
            <w:pPr>
              <w:widowControl/>
              <w:snapToGrid w:val="0"/>
              <w:spacing w:line="340" w:lineRule="exact"/>
              <w:ind w:right="31" w:rightChars="15"/>
              <w:jc w:val="left"/>
              <w:rPr>
                <w:rFonts w:eastAsiaTheme="minorEastAsia"/>
                <w:b/>
                <w:sz w:val="24"/>
              </w:rPr>
            </w:pPr>
            <w:r>
              <w:rPr>
                <w:rFonts w:hint="eastAsia" w:ascii="宋体" w:hAnsi="宋体" w:cs="宋体"/>
                <w:bCs/>
                <w:sz w:val="24"/>
              </w:rPr>
              <w:t>未提供得0分。</w:t>
            </w:r>
          </w:p>
        </w:tc>
        <w:tc>
          <w:tcPr>
            <w:tcW w:w="1276" w:type="dxa"/>
            <w:vAlign w:val="center"/>
          </w:tcPr>
          <w:p w14:paraId="1492D618">
            <w:pPr>
              <w:pStyle w:val="246"/>
              <w:spacing w:before="0" w:after="0" w:line="240" w:lineRule="auto"/>
              <w:rPr>
                <w:rFonts w:eastAsiaTheme="minorEastAsia"/>
                <w:szCs w:val="24"/>
              </w:rPr>
            </w:pPr>
          </w:p>
        </w:tc>
      </w:tr>
      <w:tr w14:paraId="161B1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5" w:hRule="atLeast"/>
        </w:trPr>
        <w:tc>
          <w:tcPr>
            <w:tcW w:w="835" w:type="dxa"/>
            <w:vMerge w:val="continue"/>
            <w:vAlign w:val="center"/>
          </w:tcPr>
          <w:p w14:paraId="33601F71">
            <w:pPr>
              <w:ind w:firstLine="28"/>
              <w:jc w:val="center"/>
              <w:rPr>
                <w:rFonts w:eastAsiaTheme="minorEastAsia"/>
                <w:b/>
                <w:sz w:val="24"/>
              </w:rPr>
            </w:pPr>
          </w:p>
        </w:tc>
        <w:tc>
          <w:tcPr>
            <w:tcW w:w="1462" w:type="dxa"/>
            <w:vAlign w:val="center"/>
          </w:tcPr>
          <w:p w14:paraId="79B88604">
            <w:pPr>
              <w:ind w:firstLine="28"/>
              <w:jc w:val="center"/>
              <w:rPr>
                <w:rFonts w:eastAsiaTheme="minorEastAsia"/>
                <w:sz w:val="24"/>
              </w:rPr>
            </w:pPr>
            <w:r>
              <w:rPr>
                <w:rFonts w:hint="eastAsia" w:eastAsiaTheme="minorEastAsia"/>
                <w:sz w:val="24"/>
              </w:rPr>
              <w:t>质量安全保证体系及措施、安全防护、绿色文明施工措施</w:t>
            </w:r>
          </w:p>
        </w:tc>
        <w:tc>
          <w:tcPr>
            <w:tcW w:w="913" w:type="dxa"/>
            <w:vAlign w:val="center"/>
          </w:tcPr>
          <w:p w14:paraId="1787858D">
            <w:pPr>
              <w:ind w:firstLine="28"/>
              <w:jc w:val="center"/>
              <w:rPr>
                <w:rFonts w:eastAsiaTheme="minorEastAsia"/>
                <w:sz w:val="24"/>
              </w:rPr>
            </w:pPr>
            <w:r>
              <w:rPr>
                <w:rFonts w:hint="eastAsia" w:eastAsiaTheme="minorEastAsia"/>
                <w:sz w:val="24"/>
              </w:rPr>
              <w:t>10分</w:t>
            </w:r>
          </w:p>
        </w:tc>
        <w:tc>
          <w:tcPr>
            <w:tcW w:w="5142" w:type="dxa"/>
            <w:vAlign w:val="center"/>
          </w:tcPr>
          <w:p w14:paraId="12FEF11E">
            <w:pPr>
              <w:widowControl/>
              <w:snapToGrid w:val="0"/>
              <w:spacing w:line="340" w:lineRule="exact"/>
              <w:ind w:right="31" w:rightChars="15"/>
              <w:jc w:val="left"/>
              <w:rPr>
                <w:rFonts w:hint="eastAsia" w:ascii="宋体" w:hAnsi="宋体" w:cs="宋体"/>
                <w:bCs/>
                <w:sz w:val="24"/>
              </w:rPr>
            </w:pPr>
            <w:r>
              <w:rPr>
                <w:rFonts w:hint="eastAsia" w:ascii="宋体" w:hAnsi="宋体" w:cs="宋体"/>
                <w:bCs/>
                <w:sz w:val="24"/>
              </w:rPr>
              <w:t>保证体系及措施完整、措施有力，得10分；</w:t>
            </w:r>
          </w:p>
          <w:p w14:paraId="4923A856">
            <w:pPr>
              <w:widowControl/>
              <w:snapToGrid w:val="0"/>
              <w:spacing w:line="340" w:lineRule="exact"/>
              <w:ind w:right="31" w:rightChars="15"/>
              <w:jc w:val="left"/>
              <w:rPr>
                <w:rFonts w:hint="eastAsia" w:ascii="宋体" w:hAnsi="宋体" w:cs="宋体"/>
                <w:bCs/>
                <w:sz w:val="24"/>
              </w:rPr>
            </w:pPr>
            <w:r>
              <w:rPr>
                <w:rFonts w:hint="eastAsia" w:ascii="宋体" w:hAnsi="宋体" w:cs="宋体"/>
                <w:bCs/>
                <w:sz w:val="24"/>
              </w:rPr>
              <w:t>保证体系及措施能满足项目要求，得6分；</w:t>
            </w:r>
          </w:p>
          <w:p w14:paraId="70DD699B">
            <w:pPr>
              <w:widowControl/>
              <w:snapToGrid w:val="0"/>
              <w:spacing w:line="340" w:lineRule="exact"/>
              <w:ind w:right="31" w:rightChars="15"/>
              <w:jc w:val="left"/>
              <w:rPr>
                <w:rFonts w:hint="eastAsia" w:ascii="宋体" w:hAnsi="宋体" w:cs="宋体"/>
                <w:bCs/>
                <w:sz w:val="24"/>
              </w:rPr>
            </w:pPr>
            <w:r>
              <w:rPr>
                <w:rFonts w:hint="eastAsia" w:ascii="宋体" w:hAnsi="宋体" w:cs="宋体"/>
                <w:bCs/>
                <w:sz w:val="24"/>
              </w:rPr>
              <w:t>保证体系及措施欠缺，针对性欠缺，得3分；</w:t>
            </w:r>
          </w:p>
          <w:p w14:paraId="4EB65941">
            <w:pPr>
              <w:widowControl/>
              <w:snapToGrid w:val="0"/>
              <w:spacing w:line="340" w:lineRule="exact"/>
              <w:ind w:right="31" w:rightChars="15"/>
              <w:jc w:val="left"/>
              <w:rPr>
                <w:rFonts w:eastAsiaTheme="minorEastAsia"/>
                <w:b/>
                <w:sz w:val="24"/>
              </w:rPr>
            </w:pPr>
            <w:r>
              <w:rPr>
                <w:rFonts w:hint="eastAsia" w:ascii="宋体" w:hAnsi="宋体" w:cs="宋体"/>
                <w:bCs/>
                <w:sz w:val="24"/>
              </w:rPr>
              <w:t>未提供得0分。</w:t>
            </w:r>
          </w:p>
        </w:tc>
        <w:tc>
          <w:tcPr>
            <w:tcW w:w="1276" w:type="dxa"/>
            <w:vAlign w:val="center"/>
          </w:tcPr>
          <w:p w14:paraId="7FC1E3D5">
            <w:pPr>
              <w:pStyle w:val="246"/>
              <w:spacing w:before="0" w:after="0" w:line="240" w:lineRule="auto"/>
              <w:rPr>
                <w:rFonts w:eastAsiaTheme="minorEastAsia"/>
                <w:szCs w:val="24"/>
              </w:rPr>
            </w:pPr>
          </w:p>
        </w:tc>
      </w:tr>
      <w:tr w14:paraId="6FB8F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76844564">
            <w:pPr>
              <w:ind w:firstLine="28"/>
              <w:jc w:val="center"/>
              <w:rPr>
                <w:rFonts w:eastAsiaTheme="minorEastAsia"/>
                <w:b/>
                <w:sz w:val="24"/>
              </w:rPr>
            </w:pPr>
            <w:r>
              <w:rPr>
                <w:rFonts w:hint="eastAsia" w:eastAsiaTheme="minorEastAsia"/>
                <w:b/>
                <w:sz w:val="24"/>
              </w:rPr>
              <w:t>价格部分</w:t>
            </w:r>
          </w:p>
        </w:tc>
        <w:tc>
          <w:tcPr>
            <w:tcW w:w="1462" w:type="dxa"/>
            <w:vAlign w:val="center"/>
          </w:tcPr>
          <w:p w14:paraId="09EE516E">
            <w:pPr>
              <w:ind w:firstLine="28"/>
              <w:jc w:val="center"/>
              <w:rPr>
                <w:rFonts w:eastAsiaTheme="minorEastAsia"/>
                <w:sz w:val="24"/>
              </w:rPr>
            </w:pPr>
            <w:r>
              <w:rPr>
                <w:rFonts w:eastAsiaTheme="minorEastAsia"/>
                <w:sz w:val="24"/>
              </w:rPr>
              <w:t>报价</w:t>
            </w:r>
          </w:p>
        </w:tc>
        <w:tc>
          <w:tcPr>
            <w:tcW w:w="913" w:type="dxa"/>
            <w:vAlign w:val="center"/>
          </w:tcPr>
          <w:p w14:paraId="17C03DC2">
            <w:pPr>
              <w:ind w:firstLine="28"/>
              <w:jc w:val="center"/>
              <w:rPr>
                <w:rFonts w:eastAsiaTheme="minorEastAsia"/>
                <w:sz w:val="24"/>
              </w:rPr>
            </w:pPr>
            <w:r>
              <w:rPr>
                <w:rFonts w:hint="eastAsia" w:eastAsiaTheme="minorEastAsia"/>
                <w:sz w:val="24"/>
              </w:rPr>
              <w:t>30</w:t>
            </w:r>
          </w:p>
        </w:tc>
        <w:tc>
          <w:tcPr>
            <w:tcW w:w="5142" w:type="dxa"/>
            <w:vAlign w:val="center"/>
          </w:tcPr>
          <w:p w14:paraId="0CD15520">
            <w:pPr>
              <w:ind w:firstLine="28"/>
              <w:jc w:val="left"/>
              <w:rPr>
                <w:rFonts w:eastAsiaTheme="minorEastAsia"/>
                <w:sz w:val="24"/>
              </w:rPr>
            </w:pPr>
            <w:r>
              <w:rPr>
                <w:rFonts w:eastAsiaTheme="minorEastAsia"/>
                <w:sz w:val="24"/>
              </w:rPr>
              <w:t>满足磋商文件要求的最后报价最低的供应商的价格为磋商基准价，其价格分为满分。其他供应商的价格分统一按照下列公式计算：</w:t>
            </w:r>
          </w:p>
          <w:p w14:paraId="38684E69">
            <w:pPr>
              <w:ind w:firstLine="28"/>
              <w:jc w:val="left"/>
              <w:rPr>
                <w:rFonts w:eastAsiaTheme="minorEastAsia"/>
                <w:sz w:val="24"/>
              </w:rPr>
            </w:pPr>
            <w:r>
              <w:rPr>
                <w:rFonts w:eastAsiaTheme="minorEastAsia"/>
                <w:sz w:val="24"/>
              </w:rPr>
              <w:t>磋商报价得分=（磋商基准价/最后报价）×分值</w:t>
            </w:r>
          </w:p>
        </w:tc>
        <w:tc>
          <w:tcPr>
            <w:tcW w:w="1276" w:type="dxa"/>
            <w:vAlign w:val="center"/>
          </w:tcPr>
          <w:p w14:paraId="13FF81D5">
            <w:pPr>
              <w:ind w:left="-38"/>
              <w:rPr>
                <w:rFonts w:eastAsiaTheme="minorEastAsia"/>
                <w:sz w:val="24"/>
              </w:rPr>
            </w:pPr>
            <w:r>
              <w:rPr>
                <w:rFonts w:eastAsiaTheme="minorEastAsia"/>
                <w:sz w:val="24"/>
              </w:rPr>
              <w:t>此处最后报价指经过报价修正，及因落实政府采购政策进行价格调整后的报价，详见第三章《评审方法和评审标准》</w:t>
            </w:r>
            <w:r>
              <w:rPr>
                <w:sz w:val="24"/>
              </w:rPr>
              <w:t>3.2</w:t>
            </w:r>
            <w:r>
              <w:rPr>
                <w:rFonts w:hint="eastAsia"/>
                <w:sz w:val="24"/>
              </w:rPr>
              <w:t>、</w:t>
            </w:r>
            <w:r>
              <w:rPr>
                <w:sz w:val="24"/>
              </w:rPr>
              <w:t>3.3</w:t>
            </w:r>
            <w:r>
              <w:rPr>
                <w:rFonts w:hint="eastAsia"/>
                <w:sz w:val="24"/>
              </w:rPr>
              <w:t>及</w:t>
            </w:r>
            <w:r>
              <w:rPr>
                <w:sz w:val="24"/>
              </w:rPr>
              <w:t>3.4</w:t>
            </w:r>
            <w:r>
              <w:rPr>
                <w:rFonts w:hint="eastAsia"/>
                <w:sz w:val="24"/>
              </w:rPr>
              <w:t>。</w:t>
            </w:r>
          </w:p>
        </w:tc>
      </w:tr>
      <w:tr w14:paraId="109E4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7" w:type="dxa"/>
            <w:gridSpan w:val="2"/>
            <w:vAlign w:val="center"/>
          </w:tcPr>
          <w:p w14:paraId="3EB5557E">
            <w:pPr>
              <w:ind w:firstLine="28"/>
              <w:jc w:val="center"/>
              <w:rPr>
                <w:rFonts w:eastAsiaTheme="minorEastAsia"/>
                <w:sz w:val="24"/>
              </w:rPr>
            </w:pPr>
            <w:r>
              <w:rPr>
                <w:rFonts w:eastAsiaTheme="minorEastAsia"/>
                <w:sz w:val="24"/>
              </w:rPr>
              <w:t>合计</w:t>
            </w:r>
          </w:p>
        </w:tc>
        <w:tc>
          <w:tcPr>
            <w:tcW w:w="913" w:type="dxa"/>
            <w:vAlign w:val="center"/>
          </w:tcPr>
          <w:p w14:paraId="5909F2BE">
            <w:pPr>
              <w:ind w:firstLine="28"/>
              <w:jc w:val="center"/>
              <w:rPr>
                <w:rFonts w:eastAsiaTheme="minorEastAsia"/>
                <w:sz w:val="24"/>
              </w:rPr>
            </w:pPr>
            <w:r>
              <w:rPr>
                <w:rFonts w:eastAsiaTheme="minorEastAsia"/>
                <w:sz w:val="24"/>
              </w:rPr>
              <w:t>100</w:t>
            </w:r>
          </w:p>
        </w:tc>
        <w:tc>
          <w:tcPr>
            <w:tcW w:w="6418" w:type="dxa"/>
            <w:gridSpan w:val="2"/>
            <w:vAlign w:val="center"/>
          </w:tcPr>
          <w:p w14:paraId="13CF54CB">
            <w:pPr>
              <w:rPr>
                <w:rFonts w:eastAsiaTheme="minorEastAsia"/>
                <w:sz w:val="24"/>
              </w:rPr>
            </w:pPr>
          </w:p>
        </w:tc>
      </w:tr>
    </w:tbl>
    <w:p w14:paraId="2E619F66">
      <w:pPr>
        <w:tabs>
          <w:tab w:val="left" w:pos="360"/>
          <w:tab w:val="left" w:pos="1080"/>
        </w:tabs>
        <w:snapToGrid w:val="0"/>
        <w:spacing w:line="360" w:lineRule="auto"/>
        <w:ind w:left="1080"/>
        <w:rPr>
          <w:rFonts w:eastAsiaTheme="minorEastAsia"/>
          <w:color w:val="000000"/>
          <w:sz w:val="24"/>
        </w:rPr>
      </w:pPr>
    </w:p>
    <w:p w14:paraId="7E9AFEF7">
      <w:pPr>
        <w:widowControl/>
        <w:jc w:val="left"/>
        <w:rPr>
          <w:rFonts w:eastAsiaTheme="minorEastAsia"/>
          <w:b/>
          <w:sz w:val="36"/>
          <w:szCs w:val="36"/>
        </w:rPr>
      </w:pPr>
    </w:p>
    <w:p w14:paraId="20DD3815">
      <w:pPr>
        <w:spacing w:line="360" w:lineRule="auto"/>
        <w:jc w:val="center"/>
        <w:outlineLvl w:val="0"/>
        <w:rPr>
          <w:rFonts w:eastAsiaTheme="minorEastAsia"/>
          <w:b/>
          <w:sz w:val="36"/>
          <w:szCs w:val="36"/>
        </w:rPr>
      </w:pPr>
      <w:r>
        <w:rPr>
          <w:rFonts w:eastAsiaTheme="minorEastAsia"/>
          <w:b/>
          <w:sz w:val="36"/>
          <w:szCs w:val="36"/>
        </w:rPr>
        <w:br w:type="page"/>
      </w:r>
      <w:bookmarkStart w:id="672" w:name="_Toc97371945"/>
      <w:r>
        <w:rPr>
          <w:rFonts w:eastAsiaTheme="minorEastAsia"/>
          <w:b/>
          <w:sz w:val="36"/>
          <w:szCs w:val="36"/>
        </w:rPr>
        <w:t>第四章   采购需求</w:t>
      </w:r>
      <w:bookmarkEnd w:id="672"/>
    </w:p>
    <w:p w14:paraId="07F1E110">
      <w:pPr>
        <w:spacing w:line="360" w:lineRule="auto"/>
        <w:contextualSpacing/>
        <w:rPr>
          <w:rFonts w:eastAsiaTheme="minorEastAsia"/>
          <w:sz w:val="24"/>
        </w:rPr>
      </w:pPr>
      <w:bookmarkStart w:id="673" w:name="_Toc97371946"/>
    </w:p>
    <w:p w14:paraId="0FC22E71">
      <w:pPr>
        <w:pStyle w:val="73"/>
        <w:numPr>
          <w:ilvl w:val="0"/>
          <w:numId w:val="11"/>
        </w:numPr>
        <w:spacing w:line="360" w:lineRule="auto"/>
        <w:ind w:firstLineChars="0"/>
        <w:contextualSpacing/>
        <w:rPr>
          <w:rFonts w:ascii="Times New Roman" w:hAnsi="Times New Roman" w:eastAsiaTheme="minorEastAsia"/>
          <w:b/>
          <w:sz w:val="24"/>
          <w:szCs w:val="24"/>
        </w:rPr>
      </w:pPr>
      <w:r>
        <w:rPr>
          <w:rFonts w:ascii="Times New Roman" w:hAnsi="Times New Roman" w:eastAsiaTheme="minorEastAsia"/>
          <w:b/>
          <w:sz w:val="24"/>
          <w:szCs w:val="24"/>
        </w:rPr>
        <w:t>采购标的</w:t>
      </w:r>
    </w:p>
    <w:p w14:paraId="2D6A6489">
      <w:pPr>
        <w:spacing w:line="360" w:lineRule="auto"/>
        <w:contextualSpacing/>
        <w:rPr>
          <w:rFonts w:eastAsiaTheme="minorEastAsia"/>
          <w:bCs/>
          <w:sz w:val="24"/>
        </w:rPr>
      </w:pPr>
      <w:r>
        <w:rPr>
          <w:rFonts w:eastAsiaTheme="minorEastAsia"/>
          <w:bCs/>
          <w:sz w:val="24"/>
        </w:rPr>
        <w:t>1. 采购标的</w:t>
      </w:r>
    </w:p>
    <w:p w14:paraId="55ABAEFD">
      <w:pPr>
        <w:spacing w:line="360" w:lineRule="auto"/>
        <w:contextualSpacing/>
        <w:rPr>
          <w:rFonts w:eastAsiaTheme="minorEastAsia"/>
          <w:bCs/>
          <w:sz w:val="24"/>
        </w:rPr>
      </w:pPr>
      <w:r>
        <w:rPr>
          <w:rFonts w:hint="eastAsia" w:eastAsiaTheme="minorEastAsia"/>
          <w:bCs/>
          <w:sz w:val="24"/>
          <w:lang w:eastAsia="zh-CN"/>
        </w:rPr>
        <w:t>2025年扶持壮大村集体经济（红色村庄）项目</w:t>
      </w:r>
      <w:r>
        <w:rPr>
          <w:rFonts w:hint="eastAsia" w:eastAsiaTheme="minorEastAsia"/>
          <w:bCs/>
          <w:sz w:val="24"/>
        </w:rPr>
        <w:t>（详见工程量清单及图纸）</w:t>
      </w:r>
    </w:p>
    <w:p w14:paraId="11F661FF">
      <w:pPr>
        <w:pStyle w:val="73"/>
        <w:numPr>
          <w:ilvl w:val="0"/>
          <w:numId w:val="11"/>
        </w:numPr>
        <w:spacing w:line="360" w:lineRule="auto"/>
        <w:ind w:firstLineChars="0"/>
        <w:contextualSpacing/>
        <w:rPr>
          <w:rFonts w:ascii="Times New Roman" w:hAnsi="Times New Roman" w:eastAsiaTheme="minorEastAsia"/>
          <w:b/>
          <w:sz w:val="24"/>
          <w:szCs w:val="24"/>
        </w:rPr>
      </w:pPr>
      <w:r>
        <w:rPr>
          <w:rFonts w:ascii="Times New Roman" w:hAnsi="Times New Roman" w:eastAsiaTheme="minorEastAsia"/>
          <w:b/>
          <w:sz w:val="24"/>
          <w:szCs w:val="24"/>
        </w:rPr>
        <w:t>商务要求</w:t>
      </w:r>
    </w:p>
    <w:p w14:paraId="11FE27F4">
      <w:pPr>
        <w:spacing w:line="360" w:lineRule="auto"/>
        <w:contextualSpacing/>
        <w:rPr>
          <w:rFonts w:eastAsiaTheme="minorEastAsia"/>
          <w:i/>
          <w:sz w:val="24"/>
          <w:highlight w:val="none"/>
        </w:rPr>
      </w:pPr>
      <w:r>
        <w:rPr>
          <w:rFonts w:eastAsiaTheme="minorEastAsia"/>
          <w:sz w:val="24"/>
          <w:highlight w:val="none"/>
        </w:rPr>
        <w:t>1. 交付（实施）的时间（期限）和地点（范围）</w:t>
      </w:r>
    </w:p>
    <w:p w14:paraId="35C091D8">
      <w:pPr>
        <w:spacing w:line="360" w:lineRule="auto"/>
        <w:contextualSpacing/>
        <w:rPr>
          <w:iCs/>
          <w:highlight w:val="none"/>
        </w:rPr>
      </w:pPr>
      <w:r>
        <w:rPr>
          <w:rFonts w:hint="eastAsia" w:eastAsiaTheme="minorEastAsia"/>
          <w:iCs/>
          <w:sz w:val="24"/>
          <w:highlight w:val="none"/>
        </w:rPr>
        <w:t>工期：</w:t>
      </w:r>
      <w:r>
        <w:rPr>
          <w:rFonts w:hint="eastAsia" w:eastAsiaTheme="minorEastAsia"/>
          <w:sz w:val="24"/>
          <w:highlight w:val="none"/>
          <w:lang w:val="en-US" w:eastAsia="zh-CN"/>
        </w:rPr>
        <w:t>60天日历天</w:t>
      </w:r>
      <w:r>
        <w:rPr>
          <w:rFonts w:hint="eastAsia" w:eastAsiaTheme="minorEastAsia"/>
          <w:iCs/>
          <w:sz w:val="24"/>
          <w:highlight w:val="none"/>
        </w:rPr>
        <w:t>。</w:t>
      </w:r>
      <w:r>
        <w:rPr>
          <w:rFonts w:hint="eastAsia" w:eastAsiaTheme="minorEastAsia"/>
          <w:iCs/>
          <w:sz w:val="24"/>
          <w:highlight w:val="none"/>
          <w:lang w:val="en-US" w:eastAsia="zh-CN"/>
        </w:rPr>
        <w:t xml:space="preserve"> </w:t>
      </w:r>
      <w:r>
        <w:rPr>
          <w:rFonts w:hint="eastAsia" w:eastAsiaTheme="minorEastAsia"/>
          <w:iCs/>
          <w:sz w:val="24"/>
          <w:highlight w:val="none"/>
        </w:rPr>
        <w:t>项目地点：北京市门头沟区</w:t>
      </w:r>
    </w:p>
    <w:p w14:paraId="2F0371B0">
      <w:pPr>
        <w:spacing w:line="360" w:lineRule="auto"/>
        <w:contextualSpacing/>
        <w:rPr>
          <w:rFonts w:eastAsiaTheme="minorEastAsia"/>
          <w:sz w:val="24"/>
          <w:highlight w:val="none"/>
        </w:rPr>
      </w:pPr>
      <w:r>
        <w:rPr>
          <w:rFonts w:eastAsiaTheme="minorEastAsia"/>
          <w:sz w:val="24"/>
          <w:highlight w:val="none"/>
        </w:rPr>
        <w:t>2. 付款条件（进度和方式）</w:t>
      </w:r>
    </w:p>
    <w:p w14:paraId="53C6CF26">
      <w:pPr>
        <w:spacing w:line="360" w:lineRule="auto"/>
        <w:contextualSpacing/>
        <w:rPr>
          <w:rFonts w:eastAsiaTheme="minorEastAsia"/>
          <w:bCs/>
          <w:sz w:val="24"/>
        </w:rPr>
      </w:pPr>
      <w:r>
        <w:rPr>
          <w:rFonts w:hint="eastAsia" w:eastAsiaTheme="minorEastAsia"/>
          <w:bCs/>
          <w:sz w:val="24"/>
        </w:rPr>
        <w:t>见第五章合同条款</w:t>
      </w:r>
    </w:p>
    <w:p w14:paraId="38F6AE96">
      <w:pPr>
        <w:pStyle w:val="73"/>
        <w:numPr>
          <w:ilvl w:val="0"/>
          <w:numId w:val="11"/>
        </w:numPr>
        <w:spacing w:line="360" w:lineRule="auto"/>
        <w:ind w:firstLineChars="0"/>
        <w:contextualSpacing/>
        <w:rPr>
          <w:rFonts w:ascii="Times New Roman" w:hAnsi="Times New Roman" w:eastAsiaTheme="minorEastAsia"/>
          <w:b/>
          <w:sz w:val="24"/>
          <w:szCs w:val="24"/>
        </w:rPr>
      </w:pPr>
      <w:r>
        <w:rPr>
          <w:rFonts w:ascii="Times New Roman" w:hAnsi="Times New Roman" w:eastAsiaTheme="minorEastAsia"/>
          <w:b/>
          <w:sz w:val="24"/>
          <w:szCs w:val="24"/>
        </w:rPr>
        <w:t>技术要求</w:t>
      </w:r>
    </w:p>
    <w:p w14:paraId="12C71626">
      <w:pPr>
        <w:pStyle w:val="73"/>
        <w:adjustRightInd w:val="0"/>
        <w:spacing w:line="360" w:lineRule="auto"/>
        <w:ind w:firstLine="0" w:firstLineChars="0"/>
        <w:contextualSpacing/>
        <w:jc w:val="left"/>
        <w:rPr>
          <w:rFonts w:eastAsiaTheme="minorEastAsia"/>
          <w:sz w:val="24"/>
        </w:rPr>
      </w:pPr>
      <w:r>
        <w:rPr>
          <w:rFonts w:hint="eastAsia" w:eastAsiaTheme="minorEastAsia"/>
          <w:sz w:val="24"/>
        </w:rPr>
        <w:t>1.最高投标限价明细：</w:t>
      </w:r>
    </w:p>
    <w:p w14:paraId="057D268F">
      <w:pPr>
        <w:pStyle w:val="73"/>
        <w:adjustRightInd w:val="0"/>
        <w:spacing w:line="360" w:lineRule="auto"/>
        <w:ind w:firstLine="480"/>
        <w:contextualSpacing/>
        <w:jc w:val="left"/>
        <w:rPr>
          <w:rFonts w:eastAsiaTheme="minorEastAsia"/>
          <w:sz w:val="24"/>
        </w:rPr>
      </w:pPr>
      <w:r>
        <w:rPr>
          <w:rFonts w:hint="eastAsia" w:eastAsiaTheme="minorEastAsia"/>
          <w:sz w:val="24"/>
        </w:rPr>
        <w:t>本工程最高投标限价为2766948.37元。</w:t>
      </w:r>
    </w:p>
    <w:p w14:paraId="74E19F7C">
      <w:pPr>
        <w:pStyle w:val="73"/>
        <w:adjustRightInd w:val="0"/>
        <w:spacing w:line="360" w:lineRule="auto"/>
        <w:ind w:firstLine="424" w:firstLineChars="177"/>
        <w:contextualSpacing/>
        <w:jc w:val="left"/>
        <w:rPr>
          <w:rFonts w:eastAsiaTheme="minorEastAsia"/>
          <w:sz w:val="24"/>
        </w:rPr>
      </w:pPr>
      <w:r>
        <w:rPr>
          <w:rFonts w:hint="eastAsia" w:eastAsiaTheme="minorEastAsia"/>
          <w:sz w:val="24"/>
        </w:rPr>
        <w:t>其中：</w:t>
      </w:r>
    </w:p>
    <w:p w14:paraId="21397BAA">
      <w:pPr>
        <w:pStyle w:val="73"/>
        <w:adjustRightInd w:val="0"/>
        <w:spacing w:line="360" w:lineRule="auto"/>
        <w:ind w:firstLine="424" w:firstLineChars="177"/>
        <w:contextualSpacing/>
        <w:jc w:val="left"/>
        <w:rPr>
          <w:rFonts w:eastAsiaTheme="minorEastAsia"/>
          <w:sz w:val="24"/>
        </w:rPr>
      </w:pPr>
      <w:r>
        <w:rPr>
          <w:rFonts w:hint="eastAsia" w:eastAsiaTheme="minorEastAsia"/>
          <w:sz w:val="24"/>
        </w:rPr>
        <w:t>1、分部分项工程合价为：2288912.07 元；</w:t>
      </w:r>
    </w:p>
    <w:p w14:paraId="0B42B84F">
      <w:pPr>
        <w:pStyle w:val="73"/>
        <w:adjustRightInd w:val="0"/>
        <w:spacing w:line="360" w:lineRule="auto"/>
        <w:ind w:firstLine="424" w:firstLineChars="177"/>
        <w:contextualSpacing/>
        <w:jc w:val="left"/>
        <w:rPr>
          <w:rFonts w:eastAsiaTheme="minorEastAsia"/>
          <w:sz w:val="24"/>
        </w:rPr>
      </w:pPr>
      <w:r>
        <w:rPr>
          <w:rFonts w:hint="eastAsia" w:eastAsiaTheme="minorEastAsia"/>
          <w:sz w:val="24"/>
        </w:rPr>
        <w:t>2、措施项目合价为：</w:t>
      </w:r>
      <w:r>
        <w:rPr>
          <w:rFonts w:eastAsiaTheme="minorEastAsia"/>
          <w:sz w:val="24"/>
        </w:rPr>
        <w:t xml:space="preserve"> </w:t>
      </w:r>
      <w:r>
        <w:rPr>
          <w:rFonts w:hint="eastAsia" w:eastAsiaTheme="minorEastAsia"/>
          <w:sz w:val="24"/>
        </w:rPr>
        <w:t>249572.67</w:t>
      </w:r>
      <w:r>
        <w:rPr>
          <w:rFonts w:hint="eastAsia" w:eastAsiaTheme="minorEastAsia"/>
          <w:sz w:val="24"/>
          <w:lang w:val="en-US" w:eastAsia="zh-CN"/>
        </w:rPr>
        <w:t xml:space="preserve"> </w:t>
      </w:r>
      <w:r>
        <w:rPr>
          <w:rFonts w:hint="eastAsia" w:eastAsiaTheme="minorEastAsia"/>
          <w:sz w:val="24"/>
        </w:rPr>
        <w:t>元；</w:t>
      </w:r>
    </w:p>
    <w:p w14:paraId="77A1047E">
      <w:pPr>
        <w:pStyle w:val="73"/>
        <w:adjustRightInd w:val="0"/>
        <w:spacing w:line="360" w:lineRule="auto"/>
        <w:ind w:firstLine="424" w:firstLineChars="177"/>
        <w:contextualSpacing/>
        <w:jc w:val="left"/>
        <w:rPr>
          <w:rFonts w:eastAsiaTheme="minorEastAsia"/>
          <w:sz w:val="24"/>
        </w:rPr>
      </w:pPr>
      <w:r>
        <w:rPr>
          <w:rFonts w:hint="eastAsia" w:eastAsiaTheme="minorEastAsia"/>
          <w:sz w:val="24"/>
        </w:rPr>
        <w:t>3、其他项目合价为： 0.00 元；</w:t>
      </w:r>
    </w:p>
    <w:p w14:paraId="409E3A30">
      <w:pPr>
        <w:pStyle w:val="73"/>
        <w:adjustRightInd w:val="0"/>
        <w:spacing w:line="360" w:lineRule="auto"/>
        <w:ind w:firstLine="424" w:firstLineChars="177"/>
        <w:contextualSpacing/>
        <w:jc w:val="left"/>
        <w:rPr>
          <w:rFonts w:eastAsiaTheme="minorEastAsia"/>
          <w:sz w:val="24"/>
        </w:rPr>
      </w:pPr>
      <w:r>
        <w:rPr>
          <w:rFonts w:hint="eastAsia" w:eastAsiaTheme="minorEastAsia"/>
          <w:sz w:val="24"/>
        </w:rPr>
        <w:t>4、增值税的合价为： 228463.63</w:t>
      </w:r>
      <w:r>
        <w:rPr>
          <w:rFonts w:hint="eastAsia" w:eastAsiaTheme="minorEastAsia"/>
          <w:sz w:val="24"/>
          <w:lang w:val="en-US" w:eastAsia="zh-CN"/>
        </w:rPr>
        <w:t xml:space="preserve"> </w:t>
      </w:r>
      <w:r>
        <w:rPr>
          <w:rFonts w:hint="eastAsia" w:eastAsiaTheme="minorEastAsia"/>
          <w:sz w:val="24"/>
        </w:rPr>
        <w:t>元。</w:t>
      </w:r>
    </w:p>
    <w:p w14:paraId="420C4425">
      <w:pPr>
        <w:pStyle w:val="73"/>
        <w:adjustRightInd w:val="0"/>
        <w:spacing w:line="360" w:lineRule="auto"/>
        <w:ind w:firstLine="424" w:firstLineChars="177"/>
        <w:contextualSpacing/>
        <w:jc w:val="left"/>
        <w:rPr>
          <w:rFonts w:eastAsiaTheme="minorEastAsia"/>
          <w:sz w:val="24"/>
        </w:rPr>
      </w:pPr>
      <w:r>
        <w:rPr>
          <w:rFonts w:hint="eastAsia" w:eastAsiaTheme="minorEastAsia"/>
          <w:sz w:val="24"/>
        </w:rPr>
        <w:t>其他说明：</w:t>
      </w:r>
    </w:p>
    <w:p w14:paraId="51BE7D4C">
      <w:pPr>
        <w:pStyle w:val="73"/>
        <w:adjustRightInd w:val="0"/>
        <w:spacing w:line="360" w:lineRule="auto"/>
        <w:ind w:firstLine="424" w:firstLineChars="177"/>
        <w:contextualSpacing/>
        <w:jc w:val="left"/>
        <w:rPr>
          <w:rFonts w:eastAsiaTheme="minorEastAsia"/>
          <w:sz w:val="24"/>
        </w:rPr>
      </w:pPr>
      <w:r>
        <w:rPr>
          <w:rFonts w:hint="eastAsia" w:eastAsiaTheme="minorEastAsia"/>
          <w:sz w:val="24"/>
        </w:rPr>
        <w:t>1、专业工程暂估价（含税）合计金额：0.00 元；</w:t>
      </w:r>
    </w:p>
    <w:p w14:paraId="7F59C276">
      <w:pPr>
        <w:pStyle w:val="73"/>
        <w:adjustRightInd w:val="0"/>
        <w:spacing w:line="360" w:lineRule="auto"/>
        <w:ind w:firstLine="424" w:firstLineChars="177"/>
        <w:contextualSpacing/>
        <w:jc w:val="left"/>
        <w:rPr>
          <w:rFonts w:eastAsiaTheme="minorEastAsia"/>
          <w:sz w:val="24"/>
        </w:rPr>
      </w:pPr>
      <w:r>
        <w:rPr>
          <w:rFonts w:hint="eastAsia" w:eastAsiaTheme="minorEastAsia"/>
          <w:sz w:val="24"/>
        </w:rPr>
        <w:t>2、材料暂估价(含税)合计金额：0.00 元；</w:t>
      </w:r>
    </w:p>
    <w:p w14:paraId="20C7ACA2">
      <w:pPr>
        <w:pStyle w:val="73"/>
        <w:adjustRightInd w:val="0"/>
        <w:spacing w:line="360" w:lineRule="auto"/>
        <w:ind w:firstLine="424" w:firstLineChars="177"/>
        <w:contextualSpacing/>
        <w:jc w:val="left"/>
        <w:rPr>
          <w:rFonts w:eastAsiaTheme="minorEastAsia"/>
          <w:sz w:val="24"/>
        </w:rPr>
      </w:pPr>
      <w:r>
        <w:rPr>
          <w:rFonts w:hint="eastAsia" w:eastAsiaTheme="minorEastAsia"/>
          <w:sz w:val="24"/>
        </w:rPr>
        <w:t>3、暂列金额（不含计日工）（含税）合计金额： 0.00 元；</w:t>
      </w:r>
    </w:p>
    <w:p w14:paraId="2FA61B59">
      <w:pPr>
        <w:pStyle w:val="73"/>
        <w:adjustRightInd w:val="0"/>
        <w:spacing w:line="360" w:lineRule="auto"/>
        <w:ind w:firstLine="424" w:firstLineChars="177"/>
        <w:contextualSpacing/>
        <w:jc w:val="left"/>
        <w:rPr>
          <w:rFonts w:eastAsiaTheme="minorEastAsia"/>
          <w:sz w:val="24"/>
        </w:rPr>
      </w:pPr>
      <w:r>
        <w:rPr>
          <w:rFonts w:hint="eastAsia" w:eastAsiaTheme="minorEastAsia"/>
          <w:sz w:val="24"/>
        </w:rPr>
        <w:t>4、安全生产标准化措施费（含税）合计金额： 98709.45</w:t>
      </w:r>
      <w:r>
        <w:rPr>
          <w:rFonts w:hint="eastAsia" w:eastAsiaTheme="minorEastAsia"/>
          <w:sz w:val="24"/>
          <w:lang w:val="en-US" w:eastAsia="zh-CN"/>
        </w:rPr>
        <w:t xml:space="preserve"> </w:t>
      </w:r>
      <w:r>
        <w:rPr>
          <w:rFonts w:hint="eastAsia" w:eastAsiaTheme="minorEastAsia"/>
          <w:sz w:val="24"/>
        </w:rPr>
        <w:t>元；</w:t>
      </w:r>
    </w:p>
    <w:p w14:paraId="2D9A30E9">
      <w:pPr>
        <w:pStyle w:val="73"/>
        <w:adjustRightInd w:val="0"/>
        <w:spacing w:line="360" w:lineRule="auto"/>
        <w:ind w:firstLine="424" w:firstLineChars="177"/>
        <w:contextualSpacing/>
        <w:jc w:val="left"/>
        <w:rPr>
          <w:rFonts w:eastAsiaTheme="minorEastAsia"/>
          <w:sz w:val="24"/>
        </w:rPr>
      </w:pPr>
      <w:r>
        <w:rPr>
          <w:rFonts w:hint="eastAsia" w:eastAsiaTheme="minorEastAsia"/>
          <w:sz w:val="24"/>
        </w:rPr>
        <w:t>5、赶工增加费（含税）合计金额（如有）： 0.00 元。</w:t>
      </w:r>
    </w:p>
    <w:p w14:paraId="07F4DE0D">
      <w:pPr>
        <w:pStyle w:val="73"/>
        <w:adjustRightInd w:val="0"/>
        <w:spacing w:line="360" w:lineRule="auto"/>
        <w:ind w:firstLine="424" w:firstLineChars="177"/>
        <w:contextualSpacing/>
        <w:jc w:val="left"/>
        <w:rPr>
          <w:rFonts w:eastAsiaTheme="minorEastAsia"/>
          <w:sz w:val="24"/>
        </w:rPr>
      </w:pPr>
      <w:r>
        <w:rPr>
          <w:rFonts w:hint="eastAsia" w:eastAsiaTheme="minorEastAsia"/>
          <w:sz w:val="24"/>
        </w:rPr>
        <w:t>5.项目承包范围：</w:t>
      </w:r>
    </w:p>
    <w:p w14:paraId="76CAA41A">
      <w:pPr>
        <w:pStyle w:val="73"/>
        <w:adjustRightInd w:val="0"/>
        <w:spacing w:line="360" w:lineRule="auto"/>
        <w:ind w:firstLine="424" w:firstLineChars="177"/>
        <w:contextualSpacing/>
        <w:jc w:val="left"/>
        <w:rPr>
          <w:rFonts w:eastAsiaTheme="minorEastAsia"/>
          <w:sz w:val="24"/>
        </w:rPr>
      </w:pPr>
      <w:r>
        <w:rPr>
          <w:rFonts w:hint="eastAsia" w:eastAsiaTheme="minorEastAsia"/>
          <w:sz w:val="24"/>
        </w:rPr>
        <w:t>1. 承包范围</w:t>
      </w:r>
    </w:p>
    <w:p w14:paraId="3256408D">
      <w:pPr>
        <w:pStyle w:val="73"/>
        <w:adjustRightInd w:val="0"/>
        <w:spacing w:line="360" w:lineRule="auto"/>
        <w:ind w:firstLine="424" w:firstLineChars="177"/>
        <w:contextualSpacing/>
        <w:jc w:val="left"/>
        <w:rPr>
          <w:rFonts w:eastAsiaTheme="minorEastAsia"/>
          <w:sz w:val="24"/>
          <w:highlight w:val="none"/>
        </w:rPr>
      </w:pPr>
      <w:r>
        <w:rPr>
          <w:rFonts w:hint="eastAsia" w:eastAsiaTheme="minorEastAsia"/>
          <w:sz w:val="24"/>
        </w:rPr>
        <w:t>1.1 承包人自行施工范围本工程承包人自行施工的工程范围：</w:t>
      </w:r>
      <w:r>
        <w:rPr>
          <w:rFonts w:hint="eastAsia" w:eastAsiaTheme="minorEastAsia"/>
          <w:sz w:val="24"/>
          <w:lang w:eastAsia="zh-CN"/>
        </w:rPr>
        <w:t>2025年扶持壮大村集体经济</w:t>
      </w:r>
      <w:r>
        <w:rPr>
          <w:rFonts w:hint="eastAsia" w:eastAsiaTheme="minorEastAsia"/>
          <w:sz w:val="24"/>
          <w:highlight w:val="none"/>
          <w:lang w:eastAsia="zh-CN"/>
        </w:rPr>
        <w:t>（红色村庄）项目</w:t>
      </w:r>
      <w:r>
        <w:rPr>
          <w:rFonts w:hint="eastAsia" w:eastAsiaTheme="minorEastAsia"/>
          <w:sz w:val="24"/>
          <w:highlight w:val="none"/>
        </w:rPr>
        <w:t>等（详见工程量清单）</w:t>
      </w:r>
    </w:p>
    <w:p w14:paraId="7E144007">
      <w:pPr>
        <w:spacing w:line="360" w:lineRule="auto"/>
        <w:ind w:firstLine="480" w:firstLineChars="200"/>
        <w:rPr>
          <w:rFonts w:eastAsiaTheme="minorEastAsia"/>
          <w:sz w:val="24"/>
          <w:highlight w:val="none"/>
          <w:u w:val="single"/>
        </w:rPr>
      </w:pPr>
      <w:r>
        <w:rPr>
          <w:rFonts w:hint="eastAsia" w:eastAsiaTheme="minorEastAsia"/>
          <w:sz w:val="24"/>
          <w:highlight w:val="none"/>
        </w:rPr>
        <w:t>1.2.工期:</w:t>
      </w:r>
      <w:r>
        <w:rPr>
          <w:rFonts w:hint="eastAsia" w:eastAsiaTheme="minorEastAsia"/>
          <w:sz w:val="24"/>
          <w:highlight w:val="none"/>
          <w:lang w:val="en-US" w:eastAsia="zh-CN"/>
        </w:rPr>
        <w:t>60天日历天</w:t>
      </w:r>
      <w:r>
        <w:rPr>
          <w:rFonts w:hint="eastAsia" w:eastAsiaTheme="minorEastAsia"/>
          <w:sz w:val="24"/>
          <w:highlight w:val="none"/>
        </w:rPr>
        <w:t>。</w:t>
      </w:r>
    </w:p>
    <w:p w14:paraId="3E3523D6">
      <w:pPr>
        <w:pStyle w:val="73"/>
        <w:adjustRightInd w:val="0"/>
        <w:spacing w:line="360" w:lineRule="auto"/>
        <w:ind w:firstLine="424" w:firstLineChars="177"/>
        <w:contextualSpacing/>
        <w:jc w:val="left"/>
        <w:rPr>
          <w:rFonts w:eastAsiaTheme="minorEastAsia"/>
          <w:sz w:val="24"/>
        </w:rPr>
      </w:pPr>
      <w:r>
        <w:rPr>
          <w:rFonts w:hint="eastAsia" w:eastAsiaTheme="minorEastAsia"/>
          <w:sz w:val="24"/>
        </w:rPr>
        <w:t>1.3.缺陷责任期：详见合同条款</w:t>
      </w:r>
    </w:p>
    <w:p w14:paraId="4527512E">
      <w:pPr>
        <w:pStyle w:val="73"/>
        <w:adjustRightInd w:val="0"/>
        <w:spacing w:line="360" w:lineRule="auto"/>
        <w:ind w:firstLine="424" w:firstLineChars="177"/>
        <w:contextualSpacing/>
        <w:jc w:val="left"/>
        <w:rPr>
          <w:rFonts w:eastAsiaTheme="minorEastAsia"/>
          <w:sz w:val="24"/>
        </w:rPr>
      </w:pPr>
      <w:r>
        <w:rPr>
          <w:rFonts w:hint="eastAsia" w:eastAsiaTheme="minorEastAsia"/>
          <w:sz w:val="24"/>
        </w:rPr>
        <w:t>1.4质量标准：合格。</w:t>
      </w:r>
    </w:p>
    <w:p w14:paraId="571F8629">
      <w:pPr>
        <w:pStyle w:val="73"/>
        <w:adjustRightInd w:val="0"/>
        <w:spacing w:line="360" w:lineRule="auto"/>
        <w:ind w:firstLine="424" w:firstLineChars="177"/>
        <w:contextualSpacing/>
        <w:jc w:val="left"/>
        <w:rPr>
          <w:rFonts w:ascii="Times New Roman" w:hAnsi="Times New Roman" w:eastAsiaTheme="minorEastAsia"/>
          <w:sz w:val="24"/>
          <w:szCs w:val="24"/>
        </w:rPr>
      </w:pPr>
      <w:r>
        <w:rPr>
          <w:rFonts w:hint="eastAsia" w:eastAsiaTheme="minorEastAsia"/>
          <w:sz w:val="24"/>
        </w:rPr>
        <w:t>1.5施工现场安全生产标准化管理目标等级：达标；</w:t>
      </w:r>
    </w:p>
    <w:p w14:paraId="1ECDE1F1">
      <w:pPr>
        <w:spacing w:line="360" w:lineRule="auto"/>
        <w:contextualSpacing/>
        <w:rPr>
          <w:rFonts w:eastAsiaTheme="minorEastAsia"/>
          <w:i/>
          <w:iCs/>
          <w:sz w:val="24"/>
        </w:rPr>
      </w:pPr>
      <w:r>
        <w:rPr>
          <w:rFonts w:eastAsiaTheme="minorEastAsia"/>
          <w:sz w:val="24"/>
        </w:rPr>
        <w:t>3. 验收标准</w:t>
      </w:r>
    </w:p>
    <w:p w14:paraId="5C74A135">
      <w:pPr>
        <w:widowControl/>
        <w:spacing w:line="360" w:lineRule="auto"/>
        <w:ind w:firstLine="482"/>
        <w:contextualSpacing/>
        <w:rPr>
          <w:rFonts w:eastAsiaTheme="minorEastAsia"/>
          <w:b/>
          <w:sz w:val="24"/>
        </w:rPr>
      </w:pPr>
      <w:r>
        <w:rPr>
          <w:rFonts w:hint="eastAsia" w:eastAsiaTheme="minorEastAsia"/>
          <w:b/>
          <w:sz w:val="24"/>
        </w:rPr>
        <w:t>工程质量应该符合工程图纸及规范、标准的要求且不低于国家、地方现行施工规范、质量评定标准、验收规范、特殊专业有关规定、采购人要求。</w:t>
      </w:r>
    </w:p>
    <w:p w14:paraId="25F38ABB">
      <w:pPr>
        <w:spacing w:line="360" w:lineRule="auto"/>
        <w:contextualSpacing/>
        <w:rPr>
          <w:rFonts w:eastAsiaTheme="minorEastAsia"/>
          <w:sz w:val="24"/>
        </w:rPr>
      </w:pPr>
      <w:r>
        <w:rPr>
          <w:rFonts w:eastAsiaTheme="minorEastAsia"/>
          <w:sz w:val="24"/>
        </w:rPr>
        <w:t>4. 其他要求（如有）</w:t>
      </w:r>
    </w:p>
    <w:p w14:paraId="7CAB21CC">
      <w:pPr>
        <w:widowControl/>
        <w:spacing w:line="360" w:lineRule="auto"/>
        <w:ind w:firstLine="482"/>
        <w:contextualSpacing/>
        <w:rPr>
          <w:rFonts w:eastAsiaTheme="minorEastAsia"/>
          <w:sz w:val="24"/>
        </w:rPr>
      </w:pPr>
      <w:r>
        <w:rPr>
          <w:rFonts w:hint="eastAsia" w:eastAsiaTheme="minorEastAsia"/>
          <w:b/>
          <w:sz w:val="24"/>
        </w:rPr>
        <w:t>需执行的国家相关标准、行业标准、地方标准或者其他标准、规范：以现行国家法律、行政法规、行业标准为准，现行法律、法规及相关规范、标准不一致时以较严格者执行。</w:t>
      </w:r>
    </w:p>
    <w:p w14:paraId="567F578E">
      <w:pPr>
        <w:spacing w:line="440" w:lineRule="exact"/>
        <w:rPr>
          <w:rFonts w:eastAsiaTheme="minorEastAsia"/>
          <w:b/>
          <w:sz w:val="24"/>
        </w:rPr>
      </w:pPr>
      <w:r>
        <w:rPr>
          <w:rFonts w:eastAsiaTheme="minorEastAsia"/>
          <w:b/>
          <w:sz w:val="24"/>
        </w:rPr>
        <w:t>5. 图纸（如有）</w:t>
      </w:r>
    </w:p>
    <w:p w14:paraId="3099CD73">
      <w:pPr>
        <w:spacing w:line="440" w:lineRule="exact"/>
        <w:rPr>
          <w:rFonts w:eastAsiaTheme="minorEastAsia"/>
          <w:bCs/>
          <w:sz w:val="24"/>
        </w:rPr>
      </w:pPr>
      <w:r>
        <w:rPr>
          <w:rFonts w:hint="eastAsia" w:eastAsiaTheme="minorEastAsia"/>
          <w:bCs/>
          <w:sz w:val="24"/>
        </w:rPr>
        <w:t>见另册</w:t>
      </w:r>
    </w:p>
    <w:p w14:paraId="02AFA308">
      <w:pPr>
        <w:spacing w:line="440" w:lineRule="exact"/>
        <w:rPr>
          <w:rFonts w:eastAsiaTheme="minorEastAsia"/>
          <w:b/>
          <w:sz w:val="24"/>
        </w:rPr>
      </w:pPr>
      <w:r>
        <w:rPr>
          <w:rFonts w:eastAsiaTheme="minorEastAsia"/>
          <w:b/>
          <w:sz w:val="24"/>
        </w:rPr>
        <w:t>6. 工程量清单（如有）</w:t>
      </w:r>
    </w:p>
    <w:p w14:paraId="2FFA45A4">
      <w:pPr>
        <w:spacing w:line="440" w:lineRule="exact"/>
        <w:rPr>
          <w:rFonts w:eastAsiaTheme="minorEastAsia"/>
          <w:bCs/>
          <w:sz w:val="24"/>
        </w:rPr>
      </w:pPr>
      <w:r>
        <w:rPr>
          <w:rFonts w:hint="eastAsia" w:eastAsiaTheme="minorEastAsia"/>
          <w:bCs/>
          <w:sz w:val="24"/>
        </w:rPr>
        <w:t>见另册</w:t>
      </w:r>
    </w:p>
    <w:p w14:paraId="277B894D">
      <w:pPr>
        <w:rPr>
          <w:rFonts w:eastAsiaTheme="minorEastAsia"/>
          <w:b/>
          <w:sz w:val="36"/>
          <w:szCs w:val="36"/>
        </w:rPr>
      </w:pPr>
      <w:r>
        <w:rPr>
          <w:rFonts w:eastAsiaTheme="minorEastAsia"/>
          <w:b/>
          <w:sz w:val="36"/>
          <w:szCs w:val="36"/>
        </w:rPr>
        <w:br w:type="page"/>
      </w:r>
    </w:p>
    <w:p w14:paraId="001790BF">
      <w:pPr>
        <w:spacing w:line="360" w:lineRule="auto"/>
        <w:jc w:val="center"/>
        <w:outlineLvl w:val="0"/>
        <w:rPr>
          <w:rFonts w:eastAsiaTheme="minorEastAsia"/>
          <w:b/>
          <w:sz w:val="36"/>
          <w:szCs w:val="36"/>
          <w:highlight w:val="none"/>
        </w:rPr>
      </w:pPr>
      <w:r>
        <w:rPr>
          <w:rFonts w:eastAsiaTheme="minorEastAsia"/>
          <w:b/>
          <w:sz w:val="36"/>
          <w:szCs w:val="36"/>
          <w:highlight w:val="none"/>
        </w:rPr>
        <w:t>第五章   合同草案条款</w:t>
      </w:r>
      <w:bookmarkEnd w:id="673"/>
    </w:p>
    <w:p w14:paraId="46CE5956">
      <w:pPr>
        <w:keepNext/>
        <w:keepLines/>
        <w:autoSpaceDE w:val="0"/>
        <w:autoSpaceDN w:val="0"/>
        <w:adjustRightInd w:val="0"/>
        <w:spacing w:before="120" w:line="300" w:lineRule="auto"/>
        <w:jc w:val="center"/>
        <w:outlineLvl w:val="9"/>
        <w:rPr>
          <w:rFonts w:hint="eastAsia" w:eastAsia="宋体"/>
          <w:kern w:val="0"/>
          <w:sz w:val="40"/>
          <w:szCs w:val="40"/>
          <w:lang w:eastAsia="zh-CN"/>
        </w:rPr>
      </w:pPr>
      <w:r>
        <w:rPr>
          <w:rFonts w:hint="eastAsia"/>
          <w:kern w:val="0"/>
          <w:sz w:val="40"/>
          <w:szCs w:val="40"/>
          <w:lang w:eastAsia="zh-CN"/>
        </w:rPr>
        <w:t>2025年扶持壮大村集体经济（红色村庄）项目</w:t>
      </w:r>
    </w:p>
    <w:p w14:paraId="073736BE">
      <w:pPr>
        <w:keepNext/>
        <w:keepLines/>
        <w:autoSpaceDE w:val="0"/>
        <w:autoSpaceDN w:val="0"/>
        <w:adjustRightInd w:val="0"/>
        <w:spacing w:before="120" w:line="300" w:lineRule="auto"/>
        <w:jc w:val="center"/>
        <w:outlineLvl w:val="9"/>
        <w:rPr>
          <w:color w:val="auto"/>
          <w:kern w:val="0"/>
          <w:sz w:val="40"/>
          <w:szCs w:val="40"/>
        </w:rPr>
      </w:pPr>
    </w:p>
    <w:p w14:paraId="31A1A35B">
      <w:pPr>
        <w:keepNext/>
        <w:keepLines/>
        <w:autoSpaceDE w:val="0"/>
        <w:autoSpaceDN w:val="0"/>
        <w:adjustRightInd w:val="0"/>
        <w:spacing w:before="120" w:line="300" w:lineRule="auto"/>
        <w:jc w:val="center"/>
        <w:outlineLvl w:val="9"/>
        <w:rPr>
          <w:color w:val="auto"/>
          <w:kern w:val="0"/>
          <w:sz w:val="40"/>
          <w:szCs w:val="40"/>
        </w:rPr>
      </w:pPr>
    </w:p>
    <w:p w14:paraId="6A91E67C">
      <w:pPr>
        <w:keepNext/>
        <w:keepLines/>
        <w:autoSpaceDE w:val="0"/>
        <w:autoSpaceDN w:val="0"/>
        <w:adjustRightInd w:val="0"/>
        <w:spacing w:before="120" w:line="300" w:lineRule="auto"/>
        <w:jc w:val="center"/>
        <w:outlineLvl w:val="9"/>
        <w:rPr>
          <w:color w:val="auto"/>
          <w:kern w:val="0"/>
          <w:sz w:val="40"/>
          <w:szCs w:val="40"/>
        </w:rPr>
      </w:pPr>
    </w:p>
    <w:p w14:paraId="7762169B">
      <w:pPr>
        <w:keepNext/>
        <w:keepLines/>
        <w:autoSpaceDE w:val="0"/>
        <w:autoSpaceDN w:val="0"/>
        <w:adjustRightInd w:val="0"/>
        <w:spacing w:before="120" w:line="300" w:lineRule="auto"/>
        <w:jc w:val="center"/>
        <w:outlineLvl w:val="9"/>
        <w:rPr>
          <w:color w:val="auto"/>
          <w:kern w:val="0"/>
          <w:sz w:val="40"/>
          <w:szCs w:val="40"/>
        </w:rPr>
      </w:pPr>
    </w:p>
    <w:p w14:paraId="29BE6A23">
      <w:pPr>
        <w:keepNext/>
        <w:keepLines/>
        <w:autoSpaceDE w:val="0"/>
        <w:autoSpaceDN w:val="0"/>
        <w:adjustRightInd w:val="0"/>
        <w:spacing w:before="120" w:line="300" w:lineRule="auto"/>
        <w:jc w:val="center"/>
        <w:outlineLvl w:val="9"/>
        <w:rPr>
          <w:rFonts w:hint="eastAsia" w:ascii="Times New Roman" w:hAnsi="Times New Roman" w:eastAsia="宋体" w:cs="Times New Roman"/>
          <w:kern w:val="0"/>
          <w:sz w:val="40"/>
          <w:szCs w:val="40"/>
        </w:rPr>
      </w:pPr>
      <w:r>
        <w:rPr>
          <w:rFonts w:hint="eastAsia" w:ascii="Times New Roman" w:hAnsi="Times New Roman" w:eastAsia="宋体" w:cs="Times New Roman"/>
          <w:kern w:val="0"/>
          <w:sz w:val="40"/>
          <w:szCs w:val="40"/>
        </w:rPr>
        <w:t>施工合同</w:t>
      </w:r>
    </w:p>
    <w:p w14:paraId="612706CD">
      <w:pPr>
        <w:autoSpaceDE w:val="0"/>
        <w:autoSpaceDN w:val="0"/>
        <w:adjustRightInd w:val="0"/>
        <w:snapToGrid w:val="0"/>
        <w:spacing w:line="360" w:lineRule="auto"/>
        <w:outlineLvl w:val="9"/>
        <w:rPr>
          <w:color w:val="auto"/>
          <w:kern w:val="0"/>
          <w:sz w:val="40"/>
          <w:szCs w:val="40"/>
        </w:rPr>
      </w:pPr>
    </w:p>
    <w:p w14:paraId="7CE616E0">
      <w:pPr>
        <w:autoSpaceDE w:val="0"/>
        <w:autoSpaceDN w:val="0"/>
        <w:adjustRightInd w:val="0"/>
        <w:snapToGrid w:val="0"/>
        <w:spacing w:line="360" w:lineRule="auto"/>
        <w:rPr>
          <w:color w:val="auto"/>
          <w:kern w:val="0"/>
          <w:sz w:val="40"/>
          <w:szCs w:val="40"/>
        </w:rPr>
      </w:pPr>
    </w:p>
    <w:p w14:paraId="20858611">
      <w:pPr>
        <w:autoSpaceDE w:val="0"/>
        <w:autoSpaceDN w:val="0"/>
        <w:adjustRightInd w:val="0"/>
        <w:snapToGrid w:val="0"/>
        <w:spacing w:line="360" w:lineRule="auto"/>
        <w:jc w:val="center"/>
        <w:rPr>
          <w:color w:val="auto"/>
          <w:kern w:val="0"/>
          <w:sz w:val="40"/>
          <w:szCs w:val="40"/>
        </w:rPr>
      </w:pPr>
    </w:p>
    <w:p w14:paraId="11BCF8CA">
      <w:pPr>
        <w:autoSpaceDE w:val="0"/>
        <w:autoSpaceDN w:val="0"/>
        <w:adjustRightInd w:val="0"/>
        <w:snapToGrid w:val="0"/>
        <w:spacing w:line="360" w:lineRule="auto"/>
        <w:jc w:val="center"/>
        <w:rPr>
          <w:color w:val="auto"/>
          <w:kern w:val="0"/>
          <w:sz w:val="40"/>
          <w:szCs w:val="40"/>
        </w:rPr>
      </w:pPr>
    </w:p>
    <w:p w14:paraId="2553F98A">
      <w:pPr>
        <w:autoSpaceDE w:val="0"/>
        <w:autoSpaceDN w:val="0"/>
        <w:adjustRightInd w:val="0"/>
        <w:snapToGrid w:val="0"/>
        <w:spacing w:line="360" w:lineRule="auto"/>
        <w:jc w:val="center"/>
        <w:rPr>
          <w:color w:val="auto"/>
          <w:kern w:val="0"/>
          <w:sz w:val="40"/>
          <w:szCs w:val="40"/>
        </w:rPr>
      </w:pPr>
    </w:p>
    <w:p w14:paraId="2C796498">
      <w:pPr>
        <w:autoSpaceDE w:val="0"/>
        <w:autoSpaceDN w:val="0"/>
        <w:adjustRightInd w:val="0"/>
        <w:snapToGrid w:val="0"/>
        <w:spacing w:line="360" w:lineRule="auto"/>
        <w:jc w:val="center"/>
        <w:rPr>
          <w:color w:val="auto"/>
          <w:kern w:val="0"/>
          <w:sz w:val="40"/>
          <w:szCs w:val="40"/>
        </w:rPr>
      </w:pPr>
    </w:p>
    <w:p w14:paraId="01E60223">
      <w:pPr>
        <w:autoSpaceDE w:val="0"/>
        <w:autoSpaceDN w:val="0"/>
        <w:adjustRightInd w:val="0"/>
        <w:snapToGrid w:val="0"/>
        <w:spacing w:line="360" w:lineRule="auto"/>
        <w:ind w:left="1918" w:leftChars="304" w:hanging="1280" w:hangingChars="400"/>
        <w:rPr>
          <w:rFonts w:hint="eastAsia" w:eastAsia="宋体"/>
          <w:color w:val="auto"/>
          <w:kern w:val="0"/>
          <w:sz w:val="32"/>
          <w:szCs w:val="32"/>
          <w:u w:val="single"/>
          <w:lang w:eastAsia="zh-CN"/>
        </w:rPr>
      </w:pPr>
      <w:r>
        <w:rPr>
          <w:color w:val="auto"/>
          <w:kern w:val="0"/>
          <w:sz w:val="32"/>
          <w:szCs w:val="32"/>
        </w:rPr>
        <w:t>项目名称：</w:t>
      </w:r>
      <w:r>
        <w:rPr>
          <w:rFonts w:hint="eastAsia"/>
          <w:color w:val="auto"/>
          <w:kern w:val="0"/>
          <w:sz w:val="32"/>
          <w:szCs w:val="32"/>
          <w:u w:val="single"/>
          <w:lang w:eastAsia="zh-CN"/>
        </w:rPr>
        <w:t>2025年扶持壮大村集体经济（红色村庄）项目</w:t>
      </w:r>
    </w:p>
    <w:p w14:paraId="4F4C6368">
      <w:pPr>
        <w:pStyle w:val="34"/>
        <w:rPr>
          <w:color w:val="auto"/>
          <w:sz w:val="18"/>
          <w:szCs w:val="18"/>
        </w:rPr>
      </w:pPr>
    </w:p>
    <w:p w14:paraId="6455DC4E">
      <w:pPr>
        <w:autoSpaceDE w:val="0"/>
        <w:autoSpaceDN w:val="0"/>
        <w:adjustRightInd w:val="0"/>
        <w:snapToGrid w:val="0"/>
        <w:spacing w:line="360" w:lineRule="auto"/>
        <w:ind w:firstLine="640" w:firstLineChars="200"/>
        <w:jc w:val="center"/>
        <w:rPr>
          <w:color w:val="auto"/>
          <w:kern w:val="0"/>
          <w:sz w:val="32"/>
          <w:szCs w:val="32"/>
          <w:u w:val="single"/>
        </w:rPr>
      </w:pPr>
      <w:r>
        <w:rPr>
          <w:color w:val="auto"/>
          <w:kern w:val="0"/>
          <w:sz w:val="32"/>
          <w:szCs w:val="32"/>
        </w:rPr>
        <w:t>项目地点：</w:t>
      </w:r>
      <w:r>
        <w:rPr>
          <w:rFonts w:hint="eastAsia"/>
          <w:color w:val="auto"/>
          <w:kern w:val="0"/>
          <w:sz w:val="32"/>
          <w:szCs w:val="32"/>
          <w:u w:val="single"/>
        </w:rPr>
        <w:t>北京市门头沟区</w:t>
      </w:r>
    </w:p>
    <w:p w14:paraId="1D54FEB6">
      <w:pPr>
        <w:pStyle w:val="34"/>
        <w:jc w:val="center"/>
        <w:rPr>
          <w:color w:val="auto"/>
          <w:sz w:val="18"/>
          <w:szCs w:val="18"/>
        </w:rPr>
      </w:pPr>
    </w:p>
    <w:p w14:paraId="464D1DDE">
      <w:pPr>
        <w:autoSpaceDE w:val="0"/>
        <w:autoSpaceDN w:val="0"/>
        <w:adjustRightInd w:val="0"/>
        <w:snapToGrid w:val="0"/>
        <w:spacing w:line="360" w:lineRule="auto"/>
        <w:ind w:firstLine="640" w:firstLineChars="200"/>
        <w:jc w:val="center"/>
        <w:rPr>
          <w:color w:val="auto"/>
          <w:kern w:val="0"/>
          <w:sz w:val="32"/>
          <w:szCs w:val="32"/>
        </w:rPr>
      </w:pPr>
      <w:r>
        <w:rPr>
          <w:color w:val="auto"/>
          <w:kern w:val="0"/>
          <w:sz w:val="32"/>
          <w:szCs w:val="32"/>
        </w:rPr>
        <w:t>签订日期：</w:t>
      </w:r>
      <w:r>
        <w:rPr>
          <w:rFonts w:hint="eastAsia"/>
          <w:color w:val="auto"/>
          <w:kern w:val="0"/>
          <w:sz w:val="32"/>
          <w:szCs w:val="32"/>
        </w:rPr>
        <w:t xml:space="preserve"> 202</w:t>
      </w:r>
      <w:r>
        <w:rPr>
          <w:rFonts w:hint="eastAsia"/>
          <w:color w:val="auto"/>
          <w:kern w:val="0"/>
          <w:sz w:val="32"/>
          <w:szCs w:val="32"/>
          <w:lang w:val="en-US" w:eastAsia="zh-CN"/>
        </w:rPr>
        <w:t xml:space="preserve">6 </w:t>
      </w:r>
      <w:r>
        <w:rPr>
          <w:color w:val="auto"/>
          <w:kern w:val="0"/>
          <w:sz w:val="32"/>
          <w:szCs w:val="32"/>
        </w:rPr>
        <w:t>年  月   日</w:t>
      </w:r>
    </w:p>
    <w:p w14:paraId="4B379AEA">
      <w:pPr>
        <w:widowControl/>
        <w:jc w:val="left"/>
        <w:rPr>
          <w:color w:val="auto"/>
          <w:kern w:val="0"/>
          <w:sz w:val="24"/>
        </w:rPr>
      </w:pPr>
      <w:r>
        <w:rPr>
          <w:color w:val="auto"/>
          <w:kern w:val="0"/>
          <w:sz w:val="22"/>
          <w:szCs w:val="22"/>
        </w:rPr>
        <w:br w:type="page"/>
      </w:r>
    </w:p>
    <w:p w14:paraId="1651279F">
      <w:pPr>
        <w:autoSpaceDE w:val="0"/>
        <w:autoSpaceDN w:val="0"/>
        <w:adjustRightInd w:val="0"/>
        <w:snapToGrid w:val="0"/>
        <w:spacing w:before="25" w:after="25" w:line="360" w:lineRule="auto"/>
        <w:ind w:right="360"/>
        <w:jc w:val="center"/>
        <w:rPr>
          <w:rFonts w:hint="eastAsia" w:ascii="方正小标宋简体" w:hAnsi="宋体" w:eastAsia="方正小标宋简体"/>
          <w:color w:val="auto"/>
          <w:sz w:val="44"/>
          <w:szCs w:val="44"/>
        </w:rPr>
      </w:pPr>
      <w:r>
        <w:rPr>
          <w:rFonts w:hint="eastAsia" w:ascii="方正小标宋简体" w:hAnsi="宋体" w:eastAsia="方正小标宋简体"/>
          <w:color w:val="auto"/>
          <w:sz w:val="44"/>
          <w:szCs w:val="44"/>
        </w:rPr>
        <w:t>合同协议书</w:t>
      </w:r>
    </w:p>
    <w:p w14:paraId="654C03DB">
      <w:pPr>
        <w:autoSpaceDE w:val="0"/>
        <w:autoSpaceDN w:val="0"/>
        <w:adjustRightInd w:val="0"/>
        <w:snapToGrid w:val="0"/>
        <w:spacing w:before="25" w:after="25" w:line="360" w:lineRule="auto"/>
        <w:ind w:right="360"/>
        <w:jc w:val="left"/>
        <w:rPr>
          <w:color w:val="auto"/>
          <w:szCs w:val="21"/>
        </w:rPr>
      </w:pPr>
      <w:r>
        <w:rPr>
          <w:rFonts w:hint="eastAsia" w:ascii="方正小标宋简体" w:hAnsi="宋体" w:eastAsia="方正小标宋简体"/>
          <w:color w:val="auto"/>
          <w:sz w:val="44"/>
          <w:szCs w:val="44"/>
          <w:lang w:val="en-US" w:eastAsia="zh-CN"/>
        </w:rPr>
        <w:t xml:space="preserve">   </w:t>
      </w:r>
      <w:r>
        <w:rPr>
          <w:rFonts w:hint="eastAsia"/>
          <w:color w:val="auto"/>
          <w:szCs w:val="21"/>
          <w:u w:val="single"/>
        </w:rPr>
        <w:t>北京市门头沟区王平镇人民政府</w:t>
      </w:r>
      <w:r>
        <w:rPr>
          <w:rFonts w:hint="eastAsia"/>
          <w:color w:val="auto"/>
          <w:szCs w:val="21"/>
        </w:rPr>
        <w:t>（发包人名称，以下简称</w:t>
      </w:r>
      <w:r>
        <w:rPr>
          <w:color w:val="auto"/>
          <w:szCs w:val="21"/>
        </w:rPr>
        <w:t>“</w:t>
      </w:r>
      <w:r>
        <w:rPr>
          <w:rFonts w:hint="eastAsia"/>
          <w:color w:val="auto"/>
          <w:szCs w:val="21"/>
        </w:rPr>
        <w:t>发包人</w:t>
      </w:r>
      <w:r>
        <w:rPr>
          <w:color w:val="auto"/>
          <w:szCs w:val="21"/>
        </w:rPr>
        <w:t>”</w:t>
      </w:r>
      <w:r>
        <w:rPr>
          <w:rFonts w:hint="eastAsia"/>
          <w:color w:val="auto"/>
          <w:szCs w:val="21"/>
        </w:rPr>
        <w:t>）为实施</w:t>
      </w:r>
      <w:r>
        <w:rPr>
          <w:rFonts w:hint="eastAsia"/>
          <w:color w:val="auto"/>
          <w:szCs w:val="21"/>
          <w:lang w:val="en-US" w:eastAsia="zh-CN"/>
        </w:rPr>
        <w:t xml:space="preserve">  </w:t>
      </w:r>
      <w:r>
        <w:rPr>
          <w:rFonts w:hint="eastAsia"/>
          <w:color w:val="auto"/>
          <w:szCs w:val="21"/>
          <w:u w:val="single"/>
          <w:lang w:eastAsia="zh-CN"/>
        </w:rPr>
        <w:t>2025年扶持壮大村集体经济（红色村庄）项目</w:t>
      </w:r>
      <w:r>
        <w:rPr>
          <w:rFonts w:hint="eastAsia" w:ascii="宋体" w:hAnsi="宋体" w:cs="宋体"/>
          <w:color w:val="auto"/>
          <w:sz w:val="24"/>
          <w:u w:val="single"/>
        </w:rPr>
        <w:t xml:space="preserve">   </w:t>
      </w:r>
      <w:r>
        <w:rPr>
          <w:rFonts w:hint="eastAsia"/>
          <w:color w:val="auto"/>
          <w:szCs w:val="21"/>
          <w:u w:val="single"/>
        </w:rPr>
        <w:t>（</w:t>
      </w:r>
      <w:r>
        <w:rPr>
          <w:rFonts w:hint="eastAsia"/>
          <w:color w:val="auto"/>
          <w:szCs w:val="21"/>
        </w:rPr>
        <w:t>项目名称），已接受</w:t>
      </w:r>
      <w:r>
        <w:rPr>
          <w:rFonts w:hint="eastAsia"/>
          <w:color w:val="auto"/>
          <w:szCs w:val="21"/>
          <w:u w:val="single"/>
        </w:rPr>
        <w:t xml:space="preserve"> </w:t>
      </w:r>
      <w:r>
        <w:rPr>
          <w:rFonts w:hint="eastAsia"/>
          <w:color w:val="auto"/>
          <w:szCs w:val="21"/>
          <w:u w:val="single"/>
          <w:lang w:val="en-US" w:eastAsia="zh-CN"/>
        </w:rPr>
        <w:t xml:space="preserve">   </w:t>
      </w:r>
      <w:r>
        <w:rPr>
          <w:rFonts w:hint="eastAsia"/>
          <w:color w:val="auto"/>
          <w:szCs w:val="21"/>
        </w:rPr>
        <w:t>（承包人名称，以下简称</w:t>
      </w:r>
      <w:r>
        <w:rPr>
          <w:color w:val="auto"/>
          <w:szCs w:val="21"/>
        </w:rPr>
        <w:t>“</w:t>
      </w:r>
      <w:r>
        <w:rPr>
          <w:rFonts w:hint="eastAsia"/>
          <w:color w:val="auto"/>
          <w:szCs w:val="21"/>
        </w:rPr>
        <w:t>承包人</w:t>
      </w:r>
      <w:r>
        <w:rPr>
          <w:color w:val="auto"/>
          <w:szCs w:val="21"/>
        </w:rPr>
        <w:t>”</w:t>
      </w:r>
      <w:r>
        <w:rPr>
          <w:rFonts w:hint="eastAsia"/>
          <w:color w:val="auto"/>
          <w:szCs w:val="21"/>
        </w:rPr>
        <w:t>）对该项目的投标。发包人和承包人共同达成如下协议。</w:t>
      </w:r>
    </w:p>
    <w:p w14:paraId="491CCB1C">
      <w:pPr>
        <w:spacing w:line="440" w:lineRule="exact"/>
        <w:ind w:firstLine="359" w:firstLineChars="171"/>
        <w:rPr>
          <w:color w:val="auto"/>
          <w:szCs w:val="21"/>
        </w:rPr>
      </w:pPr>
      <w:bookmarkStart w:id="674" w:name="_Toc152042548"/>
      <w:bookmarkStart w:id="675" w:name="_Toc144974828"/>
      <w:r>
        <w:rPr>
          <w:color w:val="auto"/>
          <w:szCs w:val="21"/>
        </w:rPr>
        <w:t xml:space="preserve">1. </w:t>
      </w:r>
      <w:r>
        <w:rPr>
          <w:rFonts w:hint="eastAsia"/>
          <w:color w:val="auto"/>
          <w:szCs w:val="21"/>
        </w:rPr>
        <w:t>本协议书与下列文件一起构成合同文件：</w:t>
      </w:r>
      <w:bookmarkEnd w:id="674"/>
      <w:bookmarkEnd w:id="675"/>
    </w:p>
    <w:p w14:paraId="00D2A914">
      <w:pPr>
        <w:spacing w:line="440" w:lineRule="exact"/>
        <w:ind w:firstLine="718" w:firstLineChars="342"/>
        <w:rPr>
          <w:color w:val="auto"/>
          <w:szCs w:val="21"/>
        </w:rPr>
      </w:pPr>
      <w:r>
        <w:rPr>
          <w:rFonts w:hint="eastAsia"/>
          <w:color w:val="auto"/>
          <w:szCs w:val="21"/>
        </w:rPr>
        <w:t>（</w:t>
      </w:r>
      <w:r>
        <w:rPr>
          <w:color w:val="auto"/>
          <w:szCs w:val="21"/>
        </w:rPr>
        <w:t>1</w:t>
      </w:r>
      <w:r>
        <w:rPr>
          <w:rFonts w:hint="eastAsia"/>
          <w:color w:val="auto"/>
          <w:szCs w:val="21"/>
        </w:rPr>
        <w:t>）中标通知书；</w:t>
      </w:r>
    </w:p>
    <w:p w14:paraId="1AB16665">
      <w:pPr>
        <w:spacing w:line="440" w:lineRule="exact"/>
        <w:ind w:firstLine="718" w:firstLineChars="342"/>
        <w:rPr>
          <w:color w:val="auto"/>
          <w:szCs w:val="21"/>
        </w:rPr>
      </w:pPr>
      <w:r>
        <w:rPr>
          <w:rFonts w:hint="eastAsia"/>
          <w:color w:val="auto"/>
          <w:szCs w:val="21"/>
        </w:rPr>
        <w:t>（</w:t>
      </w:r>
      <w:r>
        <w:rPr>
          <w:color w:val="auto"/>
          <w:szCs w:val="21"/>
        </w:rPr>
        <w:t>2</w:t>
      </w:r>
      <w:r>
        <w:rPr>
          <w:rFonts w:hint="eastAsia"/>
          <w:color w:val="auto"/>
          <w:szCs w:val="21"/>
        </w:rPr>
        <w:t>）投标函及投标函附录；</w:t>
      </w:r>
    </w:p>
    <w:p w14:paraId="56515F5D">
      <w:pPr>
        <w:spacing w:line="440" w:lineRule="exact"/>
        <w:ind w:firstLine="718" w:firstLineChars="342"/>
        <w:rPr>
          <w:color w:val="auto"/>
          <w:szCs w:val="21"/>
        </w:rPr>
      </w:pPr>
      <w:r>
        <w:rPr>
          <w:rFonts w:hint="eastAsia"/>
          <w:color w:val="auto"/>
          <w:szCs w:val="21"/>
        </w:rPr>
        <w:t>（</w:t>
      </w:r>
      <w:r>
        <w:rPr>
          <w:color w:val="auto"/>
          <w:szCs w:val="21"/>
        </w:rPr>
        <w:t>3</w:t>
      </w:r>
      <w:r>
        <w:rPr>
          <w:rFonts w:hint="eastAsia"/>
          <w:color w:val="auto"/>
          <w:szCs w:val="21"/>
        </w:rPr>
        <w:t>）专用合同条款；</w:t>
      </w:r>
    </w:p>
    <w:p w14:paraId="150BEB68">
      <w:pPr>
        <w:spacing w:line="440" w:lineRule="exact"/>
        <w:ind w:firstLine="718" w:firstLineChars="342"/>
        <w:rPr>
          <w:color w:val="auto"/>
          <w:szCs w:val="21"/>
        </w:rPr>
      </w:pPr>
      <w:r>
        <w:rPr>
          <w:rFonts w:hint="eastAsia"/>
          <w:color w:val="auto"/>
          <w:szCs w:val="21"/>
        </w:rPr>
        <w:t>（</w:t>
      </w:r>
      <w:r>
        <w:rPr>
          <w:color w:val="auto"/>
          <w:szCs w:val="21"/>
        </w:rPr>
        <w:t>4</w:t>
      </w:r>
      <w:r>
        <w:rPr>
          <w:rFonts w:hint="eastAsia"/>
          <w:color w:val="auto"/>
          <w:szCs w:val="21"/>
        </w:rPr>
        <w:t>）通用合同条款；</w:t>
      </w:r>
    </w:p>
    <w:p w14:paraId="5280D4D3">
      <w:pPr>
        <w:spacing w:line="440" w:lineRule="exact"/>
        <w:ind w:firstLine="718" w:firstLineChars="342"/>
        <w:rPr>
          <w:color w:val="auto"/>
          <w:szCs w:val="21"/>
        </w:rPr>
      </w:pPr>
      <w:r>
        <w:rPr>
          <w:rFonts w:hint="eastAsia"/>
          <w:color w:val="auto"/>
          <w:szCs w:val="21"/>
        </w:rPr>
        <w:t>（</w:t>
      </w:r>
      <w:r>
        <w:rPr>
          <w:color w:val="auto"/>
          <w:szCs w:val="21"/>
        </w:rPr>
        <w:t>5</w:t>
      </w:r>
      <w:r>
        <w:rPr>
          <w:rFonts w:hint="eastAsia"/>
          <w:color w:val="auto"/>
          <w:szCs w:val="21"/>
        </w:rPr>
        <w:t>）技术标准和要求；</w:t>
      </w:r>
    </w:p>
    <w:p w14:paraId="51B0AC51">
      <w:pPr>
        <w:spacing w:line="440" w:lineRule="exact"/>
        <w:ind w:firstLine="718" w:firstLineChars="342"/>
        <w:rPr>
          <w:color w:val="auto"/>
          <w:szCs w:val="21"/>
        </w:rPr>
      </w:pPr>
      <w:r>
        <w:rPr>
          <w:rFonts w:hint="eastAsia"/>
          <w:color w:val="auto"/>
          <w:szCs w:val="21"/>
        </w:rPr>
        <w:t>（</w:t>
      </w:r>
      <w:r>
        <w:rPr>
          <w:color w:val="auto"/>
          <w:szCs w:val="21"/>
        </w:rPr>
        <w:t>6</w:t>
      </w:r>
      <w:r>
        <w:rPr>
          <w:rFonts w:hint="eastAsia"/>
          <w:color w:val="auto"/>
          <w:szCs w:val="21"/>
        </w:rPr>
        <w:t>）图纸；</w:t>
      </w:r>
    </w:p>
    <w:p w14:paraId="123F87DE">
      <w:pPr>
        <w:spacing w:line="440" w:lineRule="exact"/>
        <w:ind w:firstLine="718" w:firstLineChars="342"/>
        <w:rPr>
          <w:color w:val="auto"/>
          <w:szCs w:val="21"/>
        </w:rPr>
      </w:pPr>
      <w:r>
        <w:rPr>
          <w:rFonts w:hint="eastAsia"/>
          <w:color w:val="auto"/>
          <w:szCs w:val="21"/>
        </w:rPr>
        <w:t>（</w:t>
      </w:r>
      <w:r>
        <w:rPr>
          <w:color w:val="auto"/>
          <w:szCs w:val="21"/>
        </w:rPr>
        <w:t>7</w:t>
      </w:r>
      <w:r>
        <w:rPr>
          <w:rFonts w:hint="eastAsia"/>
          <w:color w:val="auto"/>
          <w:szCs w:val="21"/>
        </w:rPr>
        <w:t>）已标价工程量清单；</w:t>
      </w:r>
    </w:p>
    <w:p w14:paraId="3B0D5F75">
      <w:pPr>
        <w:spacing w:line="440" w:lineRule="exact"/>
        <w:ind w:firstLine="718" w:firstLineChars="342"/>
        <w:rPr>
          <w:color w:val="auto"/>
          <w:szCs w:val="21"/>
        </w:rPr>
      </w:pPr>
      <w:r>
        <w:rPr>
          <w:rFonts w:hint="eastAsia"/>
          <w:color w:val="auto"/>
          <w:szCs w:val="21"/>
        </w:rPr>
        <w:t>（</w:t>
      </w:r>
      <w:r>
        <w:rPr>
          <w:color w:val="auto"/>
          <w:szCs w:val="21"/>
        </w:rPr>
        <w:t>8</w:t>
      </w:r>
      <w:r>
        <w:rPr>
          <w:rFonts w:hint="eastAsia"/>
          <w:color w:val="auto"/>
          <w:szCs w:val="21"/>
        </w:rPr>
        <w:t>）其他合同文件。</w:t>
      </w:r>
    </w:p>
    <w:p w14:paraId="6CD7C6AE">
      <w:pPr>
        <w:spacing w:line="440" w:lineRule="exact"/>
        <w:ind w:firstLine="359" w:firstLineChars="171"/>
        <w:rPr>
          <w:color w:val="auto"/>
          <w:szCs w:val="21"/>
        </w:rPr>
      </w:pPr>
      <w:bookmarkStart w:id="676" w:name="_Toc144974829"/>
      <w:bookmarkStart w:id="677" w:name="_Toc152042549"/>
      <w:r>
        <w:rPr>
          <w:color w:val="auto"/>
          <w:szCs w:val="21"/>
        </w:rPr>
        <w:t xml:space="preserve">2. </w:t>
      </w:r>
      <w:r>
        <w:rPr>
          <w:rFonts w:hint="eastAsia"/>
          <w:color w:val="auto"/>
          <w:szCs w:val="21"/>
        </w:rPr>
        <w:t>上述文件互相补充和解释，如有不明确或不一致之处，以合同约定次序在先者为准。</w:t>
      </w:r>
      <w:bookmarkEnd w:id="676"/>
      <w:bookmarkEnd w:id="677"/>
    </w:p>
    <w:p w14:paraId="72D43EE9">
      <w:pPr>
        <w:spacing w:line="440" w:lineRule="exact"/>
        <w:ind w:firstLine="359" w:firstLineChars="171"/>
        <w:rPr>
          <w:color w:val="auto"/>
          <w:szCs w:val="21"/>
        </w:rPr>
      </w:pPr>
      <w:r>
        <w:rPr>
          <w:color w:val="auto"/>
          <w:szCs w:val="21"/>
        </w:rPr>
        <w:t xml:space="preserve">3. </w:t>
      </w:r>
      <w:r>
        <w:rPr>
          <w:rFonts w:hint="eastAsia"/>
          <w:color w:val="auto"/>
          <w:szCs w:val="21"/>
        </w:rPr>
        <w:t>签约合同价：</w:t>
      </w:r>
      <w:r>
        <w:rPr>
          <w:rFonts w:hint="eastAsia"/>
          <w:color w:val="auto"/>
          <w:szCs w:val="21"/>
          <w:u w:val="single"/>
          <w:lang w:val="en-US" w:eastAsia="zh-CN"/>
        </w:rPr>
        <w:t xml:space="preserve">        元</w:t>
      </w:r>
      <w:r>
        <w:rPr>
          <w:rFonts w:hint="eastAsia"/>
          <w:color w:val="auto"/>
          <w:szCs w:val="21"/>
          <w:u w:val="single"/>
        </w:rPr>
        <w:t>人民币（大写</w:t>
      </w:r>
      <w:r>
        <w:rPr>
          <w:rFonts w:hint="eastAsia"/>
          <w:color w:val="auto"/>
          <w:szCs w:val="21"/>
          <w:u w:val="single"/>
          <w:lang w:eastAsia="zh-CN"/>
        </w:rPr>
        <w:t>：</w:t>
      </w:r>
      <w:r>
        <w:rPr>
          <w:rFonts w:hint="eastAsia"/>
          <w:color w:val="auto"/>
          <w:szCs w:val="21"/>
          <w:u w:val="single"/>
          <w:lang w:val="en-US" w:eastAsia="zh-CN"/>
        </w:rPr>
        <w:t xml:space="preserve">      </w:t>
      </w:r>
      <w:r>
        <w:rPr>
          <w:rFonts w:hint="eastAsia"/>
          <w:color w:val="auto"/>
          <w:szCs w:val="21"/>
          <w:u w:val="single"/>
        </w:rPr>
        <w:t>）</w:t>
      </w:r>
      <w:r>
        <w:rPr>
          <w:rFonts w:hint="eastAsia"/>
          <w:color w:val="auto"/>
          <w:szCs w:val="21"/>
        </w:rPr>
        <w:t>。</w:t>
      </w:r>
      <w:r>
        <w:rPr>
          <w:rFonts w:hint="eastAsia"/>
          <w:color w:val="auto"/>
          <w:szCs w:val="21"/>
          <w:lang w:eastAsia="zh-CN"/>
        </w:rPr>
        <w:t>项目通过</w:t>
      </w:r>
      <w:r>
        <w:rPr>
          <w:rFonts w:hint="eastAsia"/>
          <w:color w:val="auto"/>
          <w:szCs w:val="21"/>
        </w:rPr>
        <w:t>结算评审</w:t>
      </w:r>
      <w:r>
        <w:rPr>
          <w:rFonts w:hint="eastAsia"/>
          <w:color w:val="auto"/>
          <w:szCs w:val="21"/>
          <w:lang w:eastAsia="zh-CN"/>
        </w:rPr>
        <w:t>后，若结算评审结果</w:t>
      </w:r>
      <w:r>
        <w:rPr>
          <w:rFonts w:hint="eastAsia"/>
          <w:color w:val="auto"/>
          <w:szCs w:val="21"/>
        </w:rPr>
        <w:t>高于</w:t>
      </w:r>
      <w:r>
        <w:rPr>
          <w:rFonts w:hint="eastAsia"/>
          <w:color w:val="auto"/>
          <w:szCs w:val="21"/>
          <w:lang w:eastAsia="zh-CN"/>
        </w:rPr>
        <w:t>合同</w:t>
      </w:r>
      <w:r>
        <w:rPr>
          <w:rFonts w:hint="eastAsia"/>
          <w:color w:val="auto"/>
          <w:szCs w:val="21"/>
        </w:rPr>
        <w:t>价</w:t>
      </w:r>
      <w:r>
        <w:rPr>
          <w:rFonts w:hint="eastAsia"/>
          <w:color w:val="auto"/>
          <w:szCs w:val="21"/>
          <w:lang w:eastAsia="zh-CN"/>
        </w:rPr>
        <w:t>则合同最终金额以合同</w:t>
      </w:r>
      <w:r>
        <w:rPr>
          <w:rFonts w:hint="eastAsia"/>
          <w:color w:val="auto"/>
          <w:szCs w:val="21"/>
        </w:rPr>
        <w:t>价为准，</w:t>
      </w:r>
      <w:r>
        <w:rPr>
          <w:rFonts w:hint="eastAsia"/>
          <w:color w:val="auto"/>
          <w:szCs w:val="21"/>
          <w:lang w:eastAsia="zh-CN"/>
        </w:rPr>
        <w:t>若结算评审结果</w:t>
      </w:r>
      <w:r>
        <w:rPr>
          <w:rFonts w:hint="eastAsia"/>
          <w:color w:val="auto"/>
          <w:szCs w:val="21"/>
        </w:rPr>
        <w:t>低于</w:t>
      </w:r>
      <w:r>
        <w:rPr>
          <w:rFonts w:hint="eastAsia"/>
          <w:color w:val="auto"/>
          <w:szCs w:val="21"/>
          <w:lang w:eastAsia="zh-CN"/>
        </w:rPr>
        <w:t>合同</w:t>
      </w:r>
      <w:r>
        <w:rPr>
          <w:rFonts w:hint="eastAsia"/>
          <w:color w:val="auto"/>
          <w:szCs w:val="21"/>
        </w:rPr>
        <w:t>价，</w:t>
      </w:r>
      <w:r>
        <w:rPr>
          <w:rFonts w:hint="eastAsia"/>
          <w:color w:val="auto"/>
          <w:szCs w:val="21"/>
          <w:lang w:eastAsia="zh-CN"/>
        </w:rPr>
        <w:t>则合同最终金额</w:t>
      </w:r>
      <w:r>
        <w:rPr>
          <w:rFonts w:hint="eastAsia"/>
          <w:color w:val="auto"/>
          <w:szCs w:val="21"/>
        </w:rPr>
        <w:t>以</w:t>
      </w:r>
      <w:r>
        <w:rPr>
          <w:rFonts w:hint="eastAsia"/>
          <w:color w:val="auto"/>
          <w:szCs w:val="21"/>
          <w:lang w:eastAsia="zh-CN"/>
        </w:rPr>
        <w:t>结算</w:t>
      </w:r>
      <w:r>
        <w:rPr>
          <w:rFonts w:hint="eastAsia"/>
          <w:color w:val="auto"/>
          <w:szCs w:val="21"/>
        </w:rPr>
        <w:t>评审结果为准</w:t>
      </w:r>
      <w:r>
        <w:rPr>
          <w:rFonts w:hint="eastAsia"/>
          <w:color w:val="auto"/>
          <w:szCs w:val="21"/>
          <w:lang w:eastAsia="zh-CN"/>
        </w:rPr>
        <w:t>。</w:t>
      </w:r>
    </w:p>
    <w:p w14:paraId="0C9E887C">
      <w:pPr>
        <w:spacing w:line="440" w:lineRule="exact"/>
        <w:ind w:firstLine="359" w:firstLineChars="171"/>
        <w:rPr>
          <w:color w:val="auto"/>
          <w:szCs w:val="21"/>
        </w:rPr>
      </w:pPr>
      <w:r>
        <w:rPr>
          <w:color w:val="auto"/>
          <w:szCs w:val="21"/>
        </w:rPr>
        <w:t xml:space="preserve">4. </w:t>
      </w:r>
      <w:r>
        <w:rPr>
          <w:rFonts w:hint="eastAsia"/>
          <w:color w:val="auto"/>
          <w:szCs w:val="21"/>
        </w:rPr>
        <w:t>合同形式：</w:t>
      </w:r>
      <w:r>
        <w:rPr>
          <w:rFonts w:hint="eastAsia"/>
          <w:color w:val="auto"/>
          <w:szCs w:val="21"/>
          <w:u w:val="single"/>
        </w:rPr>
        <w:t>固定综合单价</w:t>
      </w:r>
      <w:r>
        <w:rPr>
          <w:rFonts w:hint="eastAsia"/>
          <w:color w:val="auto"/>
          <w:szCs w:val="21"/>
        </w:rPr>
        <w:t>。</w:t>
      </w:r>
    </w:p>
    <w:p w14:paraId="6F403269">
      <w:pPr>
        <w:spacing w:line="440" w:lineRule="exact"/>
        <w:ind w:firstLine="359" w:firstLineChars="171"/>
        <w:rPr>
          <w:color w:val="auto"/>
          <w:szCs w:val="21"/>
        </w:rPr>
      </w:pPr>
      <w:r>
        <w:rPr>
          <w:color w:val="auto"/>
          <w:szCs w:val="21"/>
        </w:rPr>
        <w:t xml:space="preserve">5. </w:t>
      </w:r>
      <w:r>
        <w:rPr>
          <w:rFonts w:hint="eastAsia"/>
          <w:color w:val="auto"/>
          <w:szCs w:val="21"/>
        </w:rPr>
        <w:t>计划开工日期：</w:t>
      </w:r>
      <w:r>
        <w:rPr>
          <w:rFonts w:hint="eastAsia"/>
          <w:color w:val="auto"/>
          <w:szCs w:val="21"/>
          <w:lang w:val="en-US" w:eastAsia="zh-CN"/>
        </w:rPr>
        <w:t xml:space="preserve">    </w:t>
      </w:r>
      <w:r>
        <w:rPr>
          <w:rFonts w:hint="eastAsia"/>
          <w:color w:val="auto"/>
          <w:szCs w:val="21"/>
        </w:rPr>
        <w:t>年</w:t>
      </w:r>
      <w:r>
        <w:rPr>
          <w:rFonts w:hint="eastAsia"/>
          <w:color w:val="auto"/>
          <w:szCs w:val="21"/>
          <w:lang w:val="en-US" w:eastAsia="zh-CN"/>
        </w:rPr>
        <w:t xml:space="preserve">   </w:t>
      </w:r>
      <w:r>
        <w:rPr>
          <w:rFonts w:hint="eastAsia"/>
          <w:color w:val="auto"/>
          <w:szCs w:val="21"/>
        </w:rPr>
        <w:t xml:space="preserve">月 </w:t>
      </w:r>
      <w:r>
        <w:rPr>
          <w:rFonts w:hint="eastAsia"/>
          <w:color w:val="auto"/>
          <w:szCs w:val="21"/>
          <w:lang w:val="en-US" w:eastAsia="zh-CN"/>
        </w:rPr>
        <w:t xml:space="preserve">   </w:t>
      </w:r>
      <w:r>
        <w:rPr>
          <w:rFonts w:hint="eastAsia"/>
          <w:color w:val="auto"/>
          <w:szCs w:val="21"/>
        </w:rPr>
        <w:t>日；</w:t>
      </w:r>
    </w:p>
    <w:p w14:paraId="5B8CF14C">
      <w:pPr>
        <w:spacing w:line="440" w:lineRule="exact"/>
        <w:ind w:firstLine="630" w:firstLineChars="300"/>
        <w:rPr>
          <w:color w:val="auto"/>
          <w:szCs w:val="21"/>
        </w:rPr>
      </w:pPr>
      <w:r>
        <w:rPr>
          <w:rFonts w:hint="eastAsia"/>
          <w:color w:val="auto"/>
          <w:szCs w:val="21"/>
        </w:rPr>
        <w:t>计划竣工日期：</w:t>
      </w:r>
      <w:r>
        <w:rPr>
          <w:rFonts w:hint="eastAsia"/>
          <w:color w:val="auto"/>
          <w:szCs w:val="21"/>
          <w:lang w:val="en-US" w:eastAsia="zh-CN"/>
        </w:rPr>
        <w:t xml:space="preserve">      </w:t>
      </w:r>
      <w:r>
        <w:rPr>
          <w:rFonts w:hint="eastAsia"/>
          <w:color w:val="auto"/>
          <w:szCs w:val="21"/>
        </w:rPr>
        <w:t>年</w:t>
      </w:r>
      <w:r>
        <w:rPr>
          <w:rFonts w:hint="eastAsia"/>
          <w:color w:val="auto"/>
          <w:szCs w:val="21"/>
          <w:lang w:val="en-US" w:eastAsia="zh-CN"/>
        </w:rPr>
        <w:t xml:space="preserve">   </w:t>
      </w:r>
      <w:r>
        <w:rPr>
          <w:rFonts w:hint="eastAsia"/>
          <w:color w:val="auto"/>
          <w:szCs w:val="21"/>
        </w:rPr>
        <w:t>月</w:t>
      </w:r>
      <w:r>
        <w:rPr>
          <w:rFonts w:hint="eastAsia"/>
          <w:color w:val="auto"/>
          <w:szCs w:val="21"/>
          <w:lang w:val="en-US" w:eastAsia="zh-CN"/>
        </w:rPr>
        <w:t xml:space="preserve">   </w:t>
      </w:r>
      <w:r>
        <w:rPr>
          <w:rFonts w:hint="eastAsia"/>
          <w:color w:val="auto"/>
          <w:szCs w:val="21"/>
        </w:rPr>
        <w:t>日；工期：</w:t>
      </w:r>
      <w:r>
        <w:rPr>
          <w:rFonts w:hint="eastAsia"/>
          <w:color w:val="auto"/>
          <w:szCs w:val="21"/>
          <w:u w:val="single"/>
          <w:lang w:val="en-US" w:eastAsia="zh-CN"/>
        </w:rPr>
        <w:t xml:space="preserve"> 60 </w:t>
      </w:r>
      <w:r>
        <w:rPr>
          <w:rFonts w:hint="eastAsia"/>
          <w:color w:val="auto"/>
          <w:szCs w:val="21"/>
        </w:rPr>
        <w:t>日历天。</w:t>
      </w:r>
    </w:p>
    <w:p w14:paraId="4891A958">
      <w:pPr>
        <w:spacing w:line="440" w:lineRule="exact"/>
        <w:ind w:firstLine="359" w:firstLineChars="171"/>
        <w:rPr>
          <w:color w:val="auto"/>
          <w:szCs w:val="21"/>
        </w:rPr>
      </w:pPr>
      <w:r>
        <w:rPr>
          <w:color w:val="auto"/>
          <w:szCs w:val="21"/>
        </w:rPr>
        <w:t xml:space="preserve">6. </w:t>
      </w:r>
      <w:r>
        <w:rPr>
          <w:rFonts w:hint="eastAsia"/>
          <w:color w:val="auto"/>
          <w:szCs w:val="21"/>
        </w:rPr>
        <w:t>承包人项目负责人：</w:t>
      </w:r>
      <w:r>
        <w:rPr>
          <w:rFonts w:hint="eastAsia"/>
          <w:color w:val="auto"/>
          <w:szCs w:val="21"/>
          <w:u w:val="single"/>
        </w:rPr>
        <w:t xml:space="preserve"> </w:t>
      </w:r>
      <w:r>
        <w:rPr>
          <w:rFonts w:hint="eastAsia"/>
          <w:color w:val="auto"/>
          <w:szCs w:val="21"/>
          <w:u w:val="single"/>
          <w:lang w:val="en-US" w:eastAsia="zh-CN"/>
        </w:rPr>
        <w:t xml:space="preserve">        </w:t>
      </w:r>
      <w:r>
        <w:rPr>
          <w:rFonts w:hint="eastAsia"/>
          <w:color w:val="auto"/>
          <w:szCs w:val="21"/>
          <w:u w:val="single"/>
        </w:rPr>
        <w:t xml:space="preserve">   </w:t>
      </w:r>
    </w:p>
    <w:p w14:paraId="71FA3399">
      <w:pPr>
        <w:spacing w:line="440" w:lineRule="exact"/>
        <w:ind w:firstLine="359" w:firstLineChars="171"/>
        <w:rPr>
          <w:color w:val="auto"/>
          <w:szCs w:val="21"/>
        </w:rPr>
      </w:pPr>
      <w:r>
        <w:rPr>
          <w:color w:val="auto"/>
          <w:szCs w:val="21"/>
        </w:rPr>
        <w:t xml:space="preserve">7. </w:t>
      </w:r>
      <w:r>
        <w:rPr>
          <w:rFonts w:hint="eastAsia"/>
          <w:color w:val="auto"/>
          <w:szCs w:val="21"/>
        </w:rPr>
        <w:t>工程质量符合标准</w:t>
      </w:r>
      <w:r>
        <w:rPr>
          <w:rFonts w:hint="eastAsia"/>
          <w:color w:val="auto"/>
          <w:szCs w:val="21"/>
          <w:u w:val="single"/>
        </w:rPr>
        <w:t>合格</w:t>
      </w:r>
      <w:r>
        <w:rPr>
          <w:rFonts w:hint="eastAsia"/>
          <w:color w:val="auto"/>
          <w:szCs w:val="21"/>
        </w:rPr>
        <w:t>。</w:t>
      </w:r>
    </w:p>
    <w:p w14:paraId="270554CA">
      <w:pPr>
        <w:spacing w:line="440" w:lineRule="exact"/>
        <w:ind w:firstLine="359" w:firstLineChars="171"/>
        <w:rPr>
          <w:color w:val="auto"/>
          <w:szCs w:val="21"/>
        </w:rPr>
      </w:pPr>
      <w:r>
        <w:rPr>
          <w:color w:val="auto"/>
          <w:szCs w:val="21"/>
        </w:rPr>
        <w:t xml:space="preserve">8. </w:t>
      </w:r>
      <w:r>
        <w:rPr>
          <w:rFonts w:hint="eastAsia"/>
          <w:color w:val="auto"/>
          <w:szCs w:val="21"/>
        </w:rPr>
        <w:t>承包人承诺按合同约定承担工程的施工、竣工交付及缺陷修复。</w:t>
      </w:r>
    </w:p>
    <w:p w14:paraId="7317C04E">
      <w:pPr>
        <w:spacing w:line="440" w:lineRule="exact"/>
        <w:ind w:firstLine="359" w:firstLineChars="171"/>
        <w:rPr>
          <w:color w:val="auto"/>
          <w:szCs w:val="21"/>
        </w:rPr>
      </w:pPr>
      <w:r>
        <w:rPr>
          <w:color w:val="auto"/>
          <w:szCs w:val="21"/>
        </w:rPr>
        <w:t xml:space="preserve">9. </w:t>
      </w:r>
      <w:r>
        <w:rPr>
          <w:rFonts w:hint="eastAsia"/>
          <w:color w:val="auto"/>
          <w:szCs w:val="21"/>
        </w:rPr>
        <w:t>发包人承诺按合同约定的条件、时间和方式向承包人支付合同价款。</w:t>
      </w:r>
    </w:p>
    <w:p w14:paraId="1BD84620">
      <w:pPr>
        <w:spacing w:line="440" w:lineRule="exact"/>
        <w:ind w:firstLine="359" w:firstLineChars="171"/>
        <w:rPr>
          <w:color w:val="auto"/>
          <w:szCs w:val="21"/>
        </w:rPr>
      </w:pPr>
      <w:r>
        <w:rPr>
          <w:color w:val="auto"/>
          <w:szCs w:val="21"/>
        </w:rPr>
        <w:t>10.</w:t>
      </w:r>
      <w:r>
        <w:rPr>
          <w:rFonts w:hint="eastAsia"/>
          <w:color w:val="auto"/>
          <w:szCs w:val="21"/>
        </w:rPr>
        <w:t>本协议书一式</w:t>
      </w:r>
      <w:r>
        <w:rPr>
          <w:rFonts w:hint="eastAsia"/>
          <w:color w:val="auto"/>
          <w:szCs w:val="21"/>
          <w:u w:val="single"/>
        </w:rPr>
        <w:t xml:space="preserve">  6  </w:t>
      </w:r>
      <w:r>
        <w:rPr>
          <w:rFonts w:hint="eastAsia"/>
          <w:color w:val="auto"/>
          <w:szCs w:val="21"/>
        </w:rPr>
        <w:t>份，各执</w:t>
      </w:r>
      <w:r>
        <w:rPr>
          <w:rFonts w:hint="eastAsia"/>
          <w:color w:val="auto"/>
          <w:szCs w:val="21"/>
          <w:u w:val="single"/>
        </w:rPr>
        <w:t xml:space="preserve">  3 </w:t>
      </w:r>
      <w:r>
        <w:rPr>
          <w:rFonts w:hint="eastAsia"/>
          <w:color w:val="auto"/>
          <w:szCs w:val="21"/>
        </w:rPr>
        <w:t>份。</w:t>
      </w:r>
    </w:p>
    <w:p w14:paraId="79F853A5">
      <w:pPr>
        <w:spacing w:line="440" w:lineRule="exact"/>
        <w:ind w:firstLine="359" w:firstLineChars="171"/>
        <w:rPr>
          <w:rFonts w:hint="eastAsia"/>
          <w:color w:val="auto"/>
          <w:szCs w:val="21"/>
        </w:rPr>
      </w:pPr>
      <w:bookmarkStart w:id="678" w:name="_Toc152042550"/>
      <w:bookmarkStart w:id="679" w:name="_Toc144974830"/>
      <w:r>
        <w:rPr>
          <w:color w:val="auto"/>
          <w:szCs w:val="21"/>
        </w:rPr>
        <w:t xml:space="preserve">11. </w:t>
      </w:r>
      <w:r>
        <w:rPr>
          <w:rFonts w:hint="eastAsia"/>
          <w:color w:val="auto"/>
          <w:szCs w:val="21"/>
        </w:rPr>
        <w:t>合同未尽事宜，双方另行签订补充协议。补充协议是合同的组成部分。</w:t>
      </w:r>
      <w:bookmarkEnd w:id="678"/>
      <w:bookmarkEnd w:id="679"/>
    </w:p>
    <w:p w14:paraId="2389F2F4">
      <w:pPr>
        <w:spacing w:line="440" w:lineRule="exact"/>
        <w:rPr>
          <w:color w:val="auto"/>
          <w:szCs w:val="21"/>
        </w:rPr>
      </w:pPr>
      <w:r>
        <w:rPr>
          <w:rFonts w:hint="eastAsia"/>
          <w:color w:val="auto"/>
          <w:szCs w:val="21"/>
        </w:rPr>
        <w:t>发包人：（盖单位章）                 承包人：（盖单位章）</w:t>
      </w:r>
    </w:p>
    <w:p w14:paraId="4C2833EC">
      <w:pPr>
        <w:pStyle w:val="28"/>
        <w:rPr>
          <w:color w:val="auto"/>
          <w:szCs w:val="21"/>
        </w:rPr>
      </w:pPr>
    </w:p>
    <w:p w14:paraId="63F405BC">
      <w:pPr>
        <w:pStyle w:val="28"/>
        <w:rPr>
          <w:color w:val="auto"/>
          <w:szCs w:val="21"/>
        </w:rPr>
      </w:pPr>
    </w:p>
    <w:p w14:paraId="056E8987">
      <w:pPr>
        <w:spacing w:line="440" w:lineRule="exact"/>
        <w:rPr>
          <w:color w:val="auto"/>
          <w:szCs w:val="21"/>
        </w:rPr>
      </w:pPr>
      <w:r>
        <w:rPr>
          <w:rFonts w:hint="eastAsia"/>
          <w:color w:val="auto"/>
          <w:szCs w:val="21"/>
        </w:rPr>
        <w:t>法定代表人或其委托代理人：（签字</w:t>
      </w:r>
      <w:r>
        <w:rPr>
          <w:rFonts w:hint="eastAsia"/>
          <w:color w:val="auto"/>
          <w:szCs w:val="21"/>
          <w:lang w:eastAsia="zh-CN"/>
        </w:rPr>
        <w:t>或盖章</w:t>
      </w:r>
      <w:r>
        <w:rPr>
          <w:rFonts w:hint="eastAsia"/>
          <w:color w:val="auto"/>
          <w:szCs w:val="21"/>
        </w:rPr>
        <w:t>）      法定代表人或其委托代理人：（签字</w:t>
      </w:r>
      <w:r>
        <w:rPr>
          <w:rFonts w:hint="eastAsia"/>
          <w:color w:val="auto"/>
          <w:szCs w:val="21"/>
          <w:lang w:eastAsia="zh-CN"/>
        </w:rPr>
        <w:t>或盖章</w:t>
      </w:r>
      <w:r>
        <w:rPr>
          <w:rFonts w:hint="eastAsia"/>
          <w:color w:val="auto"/>
          <w:szCs w:val="21"/>
        </w:rPr>
        <w:t>）</w:t>
      </w:r>
    </w:p>
    <w:p w14:paraId="1A4F3A91">
      <w:pPr>
        <w:pStyle w:val="28"/>
        <w:rPr>
          <w:color w:val="auto"/>
        </w:rPr>
      </w:pPr>
    </w:p>
    <w:p w14:paraId="095DC025">
      <w:pPr>
        <w:pStyle w:val="28"/>
        <w:rPr>
          <w:color w:val="auto"/>
        </w:rPr>
      </w:pPr>
    </w:p>
    <w:p w14:paraId="216F3D16">
      <w:pPr>
        <w:spacing w:line="440" w:lineRule="exact"/>
        <w:ind w:firstLine="840" w:firstLineChars="400"/>
        <w:rPr>
          <w:color w:val="auto"/>
          <w:szCs w:val="21"/>
        </w:rPr>
      </w:pPr>
      <w:r>
        <w:rPr>
          <w:rFonts w:hint="eastAsia"/>
          <w:color w:val="auto"/>
          <w:szCs w:val="21"/>
        </w:rPr>
        <w:t>年  月   日                            年   月   日</w:t>
      </w:r>
    </w:p>
    <w:p w14:paraId="21FD62B0">
      <w:pPr>
        <w:pStyle w:val="17"/>
        <w:spacing w:before="282" w:line="219" w:lineRule="auto"/>
        <w:jc w:val="center"/>
        <w:rPr>
          <w:color w:val="auto"/>
          <w:sz w:val="39"/>
          <w:szCs w:val="39"/>
        </w:rPr>
      </w:pPr>
      <w:r>
        <w:rPr>
          <w:color w:val="auto"/>
          <w:spacing w:val="8"/>
          <w:sz w:val="39"/>
          <w:szCs w:val="39"/>
        </w:rPr>
        <w:t>合同条款专用部分</w:t>
      </w:r>
    </w:p>
    <w:p w14:paraId="124DBE67">
      <w:pPr>
        <w:pStyle w:val="17"/>
        <w:spacing w:before="65" w:line="220" w:lineRule="auto"/>
        <w:rPr>
          <w:color w:val="auto"/>
          <w:sz w:val="21"/>
          <w:szCs w:val="21"/>
        </w:rPr>
      </w:pPr>
      <w:r>
        <w:rPr>
          <w:color w:val="auto"/>
          <w:spacing w:val="-3"/>
          <w:sz w:val="21"/>
          <w:szCs w:val="21"/>
        </w:rPr>
        <w:t>1.一 般约定</w:t>
      </w:r>
    </w:p>
    <w:p w14:paraId="4183200C">
      <w:pPr>
        <w:pStyle w:val="17"/>
        <w:spacing w:before="65" w:line="220" w:lineRule="auto"/>
        <w:rPr>
          <w:color w:val="auto"/>
          <w:sz w:val="21"/>
          <w:szCs w:val="21"/>
        </w:rPr>
      </w:pPr>
      <w:r>
        <w:rPr>
          <w:color w:val="auto"/>
          <w:spacing w:val="5"/>
          <w:sz w:val="21"/>
          <w:szCs w:val="21"/>
        </w:rPr>
        <w:t>1.1  词语定义</w:t>
      </w:r>
    </w:p>
    <w:p w14:paraId="55039C25">
      <w:pPr>
        <w:pStyle w:val="17"/>
        <w:spacing w:before="65" w:line="220" w:lineRule="auto"/>
        <w:ind w:left="360"/>
        <w:rPr>
          <w:color w:val="auto"/>
          <w:sz w:val="21"/>
          <w:szCs w:val="21"/>
        </w:rPr>
      </w:pPr>
      <w:r>
        <w:rPr>
          <w:color w:val="auto"/>
          <w:spacing w:val="-9"/>
          <w:sz w:val="21"/>
          <w:szCs w:val="21"/>
        </w:rPr>
        <w:t>1.1.2合同当事人和人</w:t>
      </w:r>
    </w:p>
    <w:p w14:paraId="459420CE">
      <w:pPr>
        <w:pStyle w:val="17"/>
        <w:spacing w:before="171" w:line="280" w:lineRule="auto"/>
        <w:ind w:left="509" w:right="1853"/>
        <w:rPr>
          <w:color w:val="auto"/>
          <w:spacing w:val="6"/>
          <w:sz w:val="21"/>
          <w:szCs w:val="21"/>
        </w:rPr>
      </w:pPr>
      <w:r>
        <w:rPr>
          <w:color w:val="auto"/>
        </w:rPr>
        <w:fldChar w:fldCharType="begin"/>
      </w:r>
      <w:r>
        <w:rPr>
          <w:color w:val="auto"/>
        </w:rPr>
        <w:instrText xml:space="preserve"> HYPERLINK "1.1.2.2" </w:instrText>
      </w:r>
      <w:r>
        <w:rPr>
          <w:color w:val="auto"/>
        </w:rPr>
        <w:fldChar w:fldCharType="separate"/>
      </w:r>
      <w:r>
        <w:rPr>
          <w:color w:val="auto"/>
          <w:spacing w:val="6"/>
          <w:sz w:val="21"/>
          <w:szCs w:val="21"/>
        </w:rPr>
        <w:t>1.1.2.2</w:t>
      </w:r>
      <w:r>
        <w:rPr>
          <w:color w:val="auto"/>
          <w:spacing w:val="6"/>
          <w:sz w:val="21"/>
          <w:szCs w:val="21"/>
        </w:rPr>
        <w:fldChar w:fldCharType="end"/>
      </w:r>
      <w:r>
        <w:rPr>
          <w:color w:val="auto"/>
          <w:spacing w:val="6"/>
          <w:sz w:val="21"/>
          <w:szCs w:val="21"/>
        </w:rPr>
        <w:t>发包人：</w:t>
      </w:r>
      <w:r>
        <w:rPr>
          <w:rFonts w:hint="eastAsia"/>
          <w:color w:val="auto"/>
          <w:spacing w:val="6"/>
          <w:sz w:val="21"/>
          <w:szCs w:val="21"/>
          <w:u w:val="single"/>
        </w:rPr>
        <w:t>北京市门头沟区王平镇人民政府</w:t>
      </w:r>
    </w:p>
    <w:p w14:paraId="1C00D65E">
      <w:pPr>
        <w:pStyle w:val="17"/>
        <w:spacing w:before="171" w:line="280" w:lineRule="auto"/>
        <w:ind w:left="509" w:right="1853"/>
        <w:rPr>
          <w:color w:val="auto"/>
          <w:sz w:val="21"/>
          <w:szCs w:val="21"/>
        </w:rPr>
      </w:pPr>
      <w:r>
        <w:rPr>
          <w:color w:val="auto"/>
        </w:rPr>
        <w:fldChar w:fldCharType="begin"/>
      </w:r>
      <w:r>
        <w:rPr>
          <w:color w:val="auto"/>
        </w:rPr>
        <w:instrText xml:space="preserve"> HYPERLINK "1.1.2.3" </w:instrText>
      </w:r>
      <w:r>
        <w:rPr>
          <w:color w:val="auto"/>
        </w:rPr>
        <w:fldChar w:fldCharType="separate"/>
      </w:r>
      <w:r>
        <w:rPr>
          <w:color w:val="auto"/>
          <w:spacing w:val="-9"/>
          <w:sz w:val="21"/>
          <w:szCs w:val="21"/>
        </w:rPr>
        <w:t>1.1.2.3</w:t>
      </w:r>
      <w:r>
        <w:rPr>
          <w:color w:val="auto"/>
          <w:spacing w:val="-9"/>
          <w:sz w:val="21"/>
          <w:szCs w:val="21"/>
        </w:rPr>
        <w:fldChar w:fldCharType="end"/>
      </w:r>
      <w:r>
        <w:rPr>
          <w:color w:val="auto"/>
          <w:spacing w:val="-9"/>
          <w:sz w:val="21"/>
          <w:szCs w:val="21"/>
        </w:rPr>
        <w:t>承包人：</w:t>
      </w:r>
      <w:r>
        <w:rPr>
          <w:rFonts w:hint="eastAsia"/>
          <w:color w:val="auto"/>
          <w:spacing w:val="-9"/>
          <w:sz w:val="21"/>
          <w:szCs w:val="21"/>
          <w:u w:val="single"/>
          <w:lang w:val="en-US" w:eastAsia="zh-CN"/>
        </w:rPr>
        <w:t xml:space="preserve">   </w:t>
      </w:r>
    </w:p>
    <w:p w14:paraId="7F1C07C3">
      <w:pPr>
        <w:pStyle w:val="17"/>
        <w:spacing w:before="145" w:line="222" w:lineRule="auto"/>
        <w:ind w:left="509"/>
        <w:rPr>
          <w:color w:val="auto"/>
          <w:sz w:val="21"/>
          <w:szCs w:val="21"/>
        </w:rPr>
      </w:pPr>
      <w:r>
        <w:rPr>
          <w:color w:val="auto"/>
        </w:rPr>
        <w:fldChar w:fldCharType="begin"/>
      </w:r>
      <w:r>
        <w:rPr>
          <w:color w:val="auto"/>
        </w:rPr>
        <w:instrText xml:space="preserve"> HYPERLINK "1.1.2.6" </w:instrText>
      </w:r>
      <w:r>
        <w:rPr>
          <w:color w:val="auto"/>
        </w:rPr>
        <w:fldChar w:fldCharType="separate"/>
      </w:r>
      <w:r>
        <w:rPr>
          <w:color w:val="auto"/>
          <w:spacing w:val="-13"/>
          <w:sz w:val="21"/>
          <w:szCs w:val="21"/>
        </w:rPr>
        <w:t>1.1.2.6</w:t>
      </w:r>
      <w:r>
        <w:rPr>
          <w:color w:val="auto"/>
          <w:spacing w:val="-13"/>
          <w:sz w:val="21"/>
          <w:szCs w:val="21"/>
        </w:rPr>
        <w:fldChar w:fldCharType="end"/>
      </w:r>
      <w:r>
        <w:rPr>
          <w:color w:val="auto"/>
          <w:spacing w:val="-13"/>
          <w:sz w:val="21"/>
          <w:szCs w:val="21"/>
        </w:rPr>
        <w:t>监理人：</w:t>
      </w:r>
    </w:p>
    <w:p w14:paraId="7DBCB4E4">
      <w:pPr>
        <w:pStyle w:val="17"/>
        <w:spacing w:before="136" w:line="219" w:lineRule="auto"/>
        <w:ind w:left="509"/>
        <w:rPr>
          <w:color w:val="auto"/>
          <w:sz w:val="21"/>
          <w:szCs w:val="21"/>
        </w:rPr>
      </w:pPr>
      <w:r>
        <w:rPr>
          <w:color w:val="auto"/>
        </w:rPr>
        <w:fldChar w:fldCharType="begin"/>
      </w:r>
      <w:r>
        <w:rPr>
          <w:color w:val="auto"/>
        </w:rPr>
        <w:instrText xml:space="preserve"> HYPERLINK "1.1.2.8" </w:instrText>
      </w:r>
      <w:r>
        <w:rPr>
          <w:color w:val="auto"/>
        </w:rPr>
        <w:fldChar w:fldCharType="separate"/>
      </w:r>
      <w:r>
        <w:rPr>
          <w:color w:val="auto"/>
          <w:spacing w:val="-13"/>
          <w:sz w:val="21"/>
          <w:szCs w:val="21"/>
        </w:rPr>
        <w:t>1.1.2.8</w:t>
      </w:r>
      <w:r>
        <w:rPr>
          <w:color w:val="auto"/>
          <w:spacing w:val="-13"/>
          <w:sz w:val="21"/>
          <w:szCs w:val="21"/>
        </w:rPr>
        <w:fldChar w:fldCharType="end"/>
      </w:r>
      <w:r>
        <w:rPr>
          <w:color w:val="auto"/>
          <w:spacing w:val="-13"/>
          <w:sz w:val="21"/>
          <w:szCs w:val="21"/>
        </w:rPr>
        <w:t>发包人代表：</w:t>
      </w:r>
    </w:p>
    <w:p w14:paraId="49B37333">
      <w:pPr>
        <w:spacing w:line="360" w:lineRule="auto"/>
        <w:ind w:left="0" w:leftChars="0" w:firstLine="1229" w:firstLineChars="723"/>
        <w:jc w:val="left"/>
        <w:rPr>
          <w:rFonts w:hint="eastAsia" w:eastAsiaTheme="minorEastAsia"/>
          <w:sz w:val="24"/>
          <w:highlight w:val="yellow"/>
          <w:u w:val="single"/>
          <w:lang w:eastAsia="zh-CN"/>
        </w:rPr>
      </w:pPr>
      <w:r>
        <w:rPr>
          <w:color w:val="auto"/>
          <w:spacing w:val="-20"/>
          <w:sz w:val="21"/>
          <w:szCs w:val="21"/>
        </w:rPr>
        <w:t>姓    名：</w:t>
      </w:r>
      <w:r>
        <w:rPr>
          <w:rFonts w:hint="eastAsia"/>
          <w:color w:val="auto"/>
          <w:spacing w:val="-20"/>
          <w:sz w:val="21"/>
          <w:szCs w:val="21"/>
          <w:u w:val="single"/>
          <w:lang w:val="en-US" w:eastAsia="zh-CN"/>
        </w:rPr>
        <w:t xml:space="preserve">    </w:t>
      </w:r>
      <w:r>
        <w:rPr>
          <w:rFonts w:hint="eastAsia" w:eastAsiaTheme="minorEastAsia"/>
          <w:sz w:val="24"/>
          <w:highlight w:val="none"/>
          <w:u w:val="single"/>
          <w:lang w:val="en-US" w:eastAsia="zh-CN"/>
        </w:rPr>
        <w:tab/>
      </w:r>
    </w:p>
    <w:p w14:paraId="2918A88A">
      <w:pPr>
        <w:pStyle w:val="17"/>
        <w:tabs>
          <w:tab w:val="left" w:pos="6120"/>
        </w:tabs>
        <w:spacing w:before="0" w:line="360" w:lineRule="auto"/>
        <w:ind w:left="0" w:leftChars="0" w:right="2415" w:firstLine="1146" w:firstLineChars="623"/>
        <w:rPr>
          <w:color w:val="auto"/>
          <w:sz w:val="21"/>
          <w:szCs w:val="21"/>
        </w:rPr>
      </w:pPr>
      <w:r>
        <w:rPr>
          <w:color w:val="auto"/>
          <w:spacing w:val="-13"/>
          <w:sz w:val="21"/>
          <w:szCs w:val="21"/>
        </w:rPr>
        <w:t>职</w:t>
      </w:r>
      <w:r>
        <w:rPr>
          <w:rFonts w:hint="eastAsia"/>
          <w:color w:val="auto"/>
          <w:spacing w:val="-13"/>
          <w:sz w:val="21"/>
          <w:szCs w:val="21"/>
          <w:lang w:val="en-US" w:eastAsia="zh-CN"/>
        </w:rPr>
        <w:t xml:space="preserve"> </w:t>
      </w:r>
      <w:r>
        <w:rPr>
          <w:color w:val="auto"/>
          <w:spacing w:val="-13"/>
          <w:sz w:val="21"/>
          <w:szCs w:val="21"/>
        </w:rPr>
        <w:t>称：</w:t>
      </w:r>
      <w:r>
        <w:rPr>
          <w:color w:val="auto"/>
          <w:sz w:val="21"/>
          <w:szCs w:val="21"/>
          <w:u w:val="single"/>
        </w:rPr>
        <w:tab/>
      </w:r>
    </w:p>
    <w:p w14:paraId="188F7A26">
      <w:pPr>
        <w:pStyle w:val="17"/>
        <w:tabs>
          <w:tab w:val="left" w:pos="6120"/>
        </w:tabs>
        <w:spacing w:before="0" w:line="360" w:lineRule="auto"/>
        <w:ind w:left="0" w:leftChars="0" w:right="2415" w:firstLine="1208" w:firstLineChars="623"/>
        <w:rPr>
          <w:color w:val="auto"/>
          <w:spacing w:val="-8"/>
          <w:sz w:val="21"/>
          <w:szCs w:val="21"/>
        </w:rPr>
      </w:pPr>
      <w:r>
        <w:rPr>
          <w:color w:val="auto"/>
          <w:spacing w:val="-8"/>
          <w:sz w:val="21"/>
          <w:szCs w:val="21"/>
        </w:rPr>
        <w:t>联系</w:t>
      </w:r>
    </w:p>
    <w:p w14:paraId="3B2ACD9B">
      <w:pPr>
        <w:pStyle w:val="17"/>
        <w:tabs>
          <w:tab w:val="left" w:pos="6120"/>
        </w:tabs>
        <w:spacing w:before="0" w:line="360" w:lineRule="auto"/>
        <w:ind w:left="0" w:leftChars="0" w:right="2415" w:firstLine="1208" w:firstLineChars="623"/>
        <w:rPr>
          <w:color w:val="auto"/>
          <w:sz w:val="21"/>
          <w:szCs w:val="21"/>
        </w:rPr>
      </w:pPr>
      <w:r>
        <w:rPr>
          <w:color w:val="auto"/>
          <w:spacing w:val="-8"/>
          <w:sz w:val="21"/>
          <w:szCs w:val="21"/>
        </w:rPr>
        <w:t>电话：</w:t>
      </w:r>
      <w:r>
        <w:rPr>
          <w:rFonts w:hint="eastAsia"/>
          <w:color w:val="auto"/>
          <w:spacing w:val="-8"/>
          <w:sz w:val="21"/>
          <w:szCs w:val="21"/>
          <w:u w:val="single"/>
          <w:lang w:val="en-US" w:eastAsia="zh-CN"/>
        </w:rPr>
        <w:t xml:space="preserve">    </w:t>
      </w:r>
      <w:r>
        <w:rPr>
          <w:color w:val="auto"/>
          <w:sz w:val="21"/>
          <w:szCs w:val="21"/>
          <w:u w:val="single"/>
        </w:rPr>
        <w:tab/>
      </w:r>
    </w:p>
    <w:p w14:paraId="2AC06B62">
      <w:pPr>
        <w:pStyle w:val="17"/>
        <w:tabs>
          <w:tab w:val="left" w:pos="6120"/>
        </w:tabs>
        <w:spacing w:before="0" w:line="360" w:lineRule="auto"/>
        <w:ind w:left="0" w:leftChars="0" w:right="2415" w:firstLine="1208" w:firstLineChars="623"/>
        <w:rPr>
          <w:color w:val="auto"/>
          <w:sz w:val="21"/>
          <w:szCs w:val="21"/>
        </w:rPr>
      </w:pPr>
      <w:r>
        <w:rPr>
          <w:color w:val="auto"/>
          <w:spacing w:val="-8"/>
          <w:sz w:val="21"/>
          <w:szCs w:val="21"/>
        </w:rPr>
        <w:t>电子信箱：</w:t>
      </w:r>
      <w:r>
        <w:rPr>
          <w:color w:val="auto"/>
          <w:sz w:val="21"/>
          <w:szCs w:val="21"/>
          <w:u w:val="single"/>
        </w:rPr>
        <w:tab/>
      </w:r>
    </w:p>
    <w:p w14:paraId="3CBBAB28">
      <w:pPr>
        <w:pStyle w:val="17"/>
        <w:tabs>
          <w:tab w:val="left" w:pos="6120"/>
        </w:tabs>
        <w:spacing w:before="0" w:line="360" w:lineRule="auto"/>
        <w:ind w:left="0" w:leftChars="0" w:right="2415" w:firstLine="1208" w:firstLineChars="623"/>
        <w:rPr>
          <w:color w:val="auto"/>
          <w:spacing w:val="-8"/>
          <w:sz w:val="21"/>
          <w:szCs w:val="21"/>
        </w:rPr>
      </w:pPr>
      <w:r>
        <w:rPr>
          <w:color w:val="auto"/>
          <w:spacing w:val="-8"/>
          <w:sz w:val="21"/>
          <w:szCs w:val="21"/>
        </w:rPr>
        <w:t>通信地址：</w:t>
      </w:r>
    </w:p>
    <w:p w14:paraId="0D4ECA4D">
      <w:pPr>
        <w:pStyle w:val="17"/>
        <w:spacing w:before="6" w:line="220" w:lineRule="auto"/>
        <w:ind w:left="360"/>
        <w:rPr>
          <w:color w:val="auto"/>
          <w:sz w:val="21"/>
          <w:szCs w:val="21"/>
        </w:rPr>
      </w:pPr>
      <w:r>
        <w:rPr>
          <w:rFonts w:ascii="Times New Roman" w:hAnsi="Times New Roman" w:eastAsia="Times New Roman"/>
          <w:color w:val="auto"/>
          <w:spacing w:val="-9"/>
          <w:sz w:val="21"/>
          <w:szCs w:val="21"/>
        </w:rPr>
        <w:t>1.1.3</w:t>
      </w:r>
      <w:r>
        <w:rPr>
          <w:color w:val="auto"/>
          <w:spacing w:val="-9"/>
          <w:sz w:val="21"/>
          <w:szCs w:val="21"/>
        </w:rPr>
        <w:t>工程和设备</w:t>
      </w:r>
    </w:p>
    <w:p w14:paraId="313BA430">
      <w:pPr>
        <w:pStyle w:val="17"/>
        <w:spacing w:before="151" w:line="219" w:lineRule="auto"/>
        <w:ind w:left="509"/>
        <w:rPr>
          <w:color w:val="auto"/>
          <w:sz w:val="21"/>
          <w:szCs w:val="21"/>
        </w:rPr>
      </w:pPr>
      <w:r>
        <w:rPr>
          <w:color w:val="auto"/>
        </w:rPr>
        <w:fldChar w:fldCharType="begin"/>
      </w:r>
      <w:r>
        <w:rPr>
          <w:color w:val="auto"/>
        </w:rPr>
        <w:instrText xml:space="preserve"> HYPERLINK "1.1.3.2" </w:instrText>
      </w:r>
      <w:r>
        <w:rPr>
          <w:color w:val="auto"/>
        </w:rPr>
        <w:fldChar w:fldCharType="separate"/>
      </w:r>
      <w:r>
        <w:rPr>
          <w:color w:val="auto"/>
          <w:spacing w:val="6"/>
          <w:sz w:val="21"/>
          <w:szCs w:val="21"/>
        </w:rPr>
        <w:t>1.1.3.2</w:t>
      </w:r>
      <w:r>
        <w:rPr>
          <w:color w:val="auto"/>
          <w:spacing w:val="6"/>
          <w:sz w:val="21"/>
          <w:szCs w:val="21"/>
        </w:rPr>
        <w:fldChar w:fldCharType="end"/>
      </w:r>
      <w:r>
        <w:rPr>
          <w:color w:val="auto"/>
          <w:spacing w:val="6"/>
          <w:sz w:val="21"/>
          <w:szCs w:val="21"/>
        </w:rPr>
        <w:t>永久工程：</w:t>
      </w:r>
    </w:p>
    <w:p w14:paraId="4479AAF2">
      <w:pPr>
        <w:pStyle w:val="17"/>
        <w:spacing w:before="162" w:line="219" w:lineRule="auto"/>
        <w:ind w:left="509"/>
        <w:rPr>
          <w:color w:val="auto"/>
          <w:sz w:val="21"/>
          <w:szCs w:val="21"/>
        </w:rPr>
      </w:pPr>
      <w:r>
        <w:rPr>
          <w:color w:val="auto"/>
        </w:rPr>
        <w:fldChar w:fldCharType="begin"/>
      </w:r>
      <w:r>
        <w:rPr>
          <w:color w:val="auto"/>
        </w:rPr>
        <w:instrText xml:space="preserve"> HYPERLINK "1.1.3.3" </w:instrText>
      </w:r>
      <w:r>
        <w:rPr>
          <w:color w:val="auto"/>
        </w:rPr>
        <w:fldChar w:fldCharType="separate"/>
      </w:r>
      <w:r>
        <w:rPr>
          <w:color w:val="auto"/>
          <w:spacing w:val="3"/>
          <w:sz w:val="21"/>
          <w:szCs w:val="21"/>
        </w:rPr>
        <w:t>1.1.3.3</w:t>
      </w:r>
      <w:r>
        <w:rPr>
          <w:color w:val="auto"/>
          <w:spacing w:val="3"/>
          <w:sz w:val="21"/>
          <w:szCs w:val="21"/>
        </w:rPr>
        <w:fldChar w:fldCharType="end"/>
      </w:r>
      <w:r>
        <w:rPr>
          <w:color w:val="auto"/>
          <w:spacing w:val="3"/>
          <w:sz w:val="21"/>
          <w:szCs w:val="21"/>
        </w:rPr>
        <w:t>临时工程：</w:t>
      </w:r>
      <w:r>
        <w:rPr>
          <w:color w:val="auto"/>
          <w:spacing w:val="3"/>
          <w:sz w:val="21"/>
          <w:szCs w:val="21"/>
          <w:u w:val="single" w:color="000000"/>
        </w:rPr>
        <w:t>临时性道路、供水、供电、照</w:t>
      </w:r>
      <w:r>
        <w:rPr>
          <w:color w:val="auto"/>
          <w:spacing w:val="2"/>
          <w:sz w:val="21"/>
          <w:szCs w:val="21"/>
          <w:u w:val="single" w:color="000000"/>
        </w:rPr>
        <w:t>明、办公等</w:t>
      </w:r>
    </w:p>
    <w:p w14:paraId="52994EC9">
      <w:pPr>
        <w:pStyle w:val="17"/>
        <w:spacing w:before="134" w:line="219" w:lineRule="auto"/>
        <w:ind w:left="509"/>
        <w:rPr>
          <w:color w:val="auto"/>
          <w:sz w:val="21"/>
          <w:szCs w:val="21"/>
        </w:rPr>
      </w:pPr>
      <w:r>
        <w:rPr>
          <w:color w:val="auto"/>
        </w:rPr>
        <w:fldChar w:fldCharType="begin"/>
      </w:r>
      <w:r>
        <w:rPr>
          <w:color w:val="auto"/>
        </w:rPr>
        <w:instrText xml:space="preserve"> HYPERLINK "1.1.3.10" </w:instrText>
      </w:r>
      <w:r>
        <w:rPr>
          <w:color w:val="auto"/>
        </w:rPr>
        <w:fldChar w:fldCharType="separate"/>
      </w:r>
      <w:r>
        <w:rPr>
          <w:color w:val="auto"/>
          <w:spacing w:val="-5"/>
          <w:sz w:val="21"/>
          <w:szCs w:val="21"/>
        </w:rPr>
        <w:t>1.1.3.10</w:t>
      </w:r>
      <w:r>
        <w:rPr>
          <w:color w:val="auto"/>
          <w:spacing w:val="-5"/>
          <w:sz w:val="21"/>
          <w:szCs w:val="21"/>
        </w:rPr>
        <w:fldChar w:fldCharType="end"/>
      </w:r>
      <w:r>
        <w:rPr>
          <w:color w:val="auto"/>
          <w:spacing w:val="-5"/>
          <w:sz w:val="21"/>
          <w:szCs w:val="21"/>
        </w:rPr>
        <w:t>永久占地：</w:t>
      </w:r>
      <w:r>
        <w:rPr>
          <w:color w:val="auto"/>
          <w:spacing w:val="-5"/>
          <w:sz w:val="21"/>
          <w:szCs w:val="21"/>
          <w:u w:val="single" w:color="000000"/>
        </w:rPr>
        <w:t>见施工图纸</w:t>
      </w:r>
    </w:p>
    <w:p w14:paraId="5E66F20F">
      <w:pPr>
        <w:pStyle w:val="17"/>
        <w:spacing w:before="143" w:line="219" w:lineRule="auto"/>
        <w:ind w:left="509"/>
        <w:rPr>
          <w:color w:val="auto"/>
          <w:sz w:val="21"/>
          <w:szCs w:val="21"/>
        </w:rPr>
      </w:pPr>
      <w:r>
        <w:rPr>
          <w:color w:val="auto"/>
        </w:rPr>
        <w:fldChar w:fldCharType="begin"/>
      </w:r>
      <w:r>
        <w:rPr>
          <w:color w:val="auto"/>
        </w:rPr>
        <w:instrText xml:space="preserve"> HYPERLINK "1.1.3.11" </w:instrText>
      </w:r>
      <w:r>
        <w:rPr>
          <w:color w:val="auto"/>
        </w:rPr>
        <w:fldChar w:fldCharType="separate"/>
      </w:r>
      <w:r>
        <w:rPr>
          <w:color w:val="auto"/>
          <w:spacing w:val="-5"/>
          <w:sz w:val="21"/>
          <w:szCs w:val="21"/>
        </w:rPr>
        <w:t>1.1.3.11</w:t>
      </w:r>
      <w:r>
        <w:rPr>
          <w:color w:val="auto"/>
          <w:spacing w:val="-5"/>
          <w:sz w:val="21"/>
          <w:szCs w:val="21"/>
        </w:rPr>
        <w:fldChar w:fldCharType="end"/>
      </w:r>
      <w:r>
        <w:rPr>
          <w:color w:val="auto"/>
          <w:spacing w:val="-5"/>
          <w:sz w:val="21"/>
          <w:szCs w:val="21"/>
        </w:rPr>
        <w:t>临时占地：</w:t>
      </w:r>
      <w:r>
        <w:rPr>
          <w:color w:val="auto"/>
          <w:spacing w:val="-5"/>
          <w:sz w:val="21"/>
          <w:szCs w:val="21"/>
          <w:u w:val="single" w:color="000000"/>
        </w:rPr>
        <w:t>见施工图纸</w:t>
      </w:r>
    </w:p>
    <w:p w14:paraId="3340F408">
      <w:pPr>
        <w:pStyle w:val="17"/>
        <w:spacing w:before="0" w:line="360" w:lineRule="auto"/>
        <w:ind w:left="360"/>
        <w:rPr>
          <w:color w:val="auto"/>
          <w:sz w:val="21"/>
          <w:szCs w:val="21"/>
        </w:rPr>
      </w:pPr>
      <w:r>
        <w:rPr>
          <w:color w:val="auto"/>
          <w:spacing w:val="-7"/>
          <w:sz w:val="21"/>
          <w:szCs w:val="21"/>
        </w:rPr>
        <w:t>1.1.4日期</w:t>
      </w:r>
    </w:p>
    <w:p w14:paraId="0E8C8D0E">
      <w:pPr>
        <w:pStyle w:val="17"/>
        <w:spacing w:before="0" w:line="360" w:lineRule="auto"/>
        <w:ind w:left="509"/>
        <w:rPr>
          <w:color w:val="auto"/>
          <w:sz w:val="21"/>
          <w:szCs w:val="21"/>
        </w:rPr>
      </w:pPr>
      <w:r>
        <w:rPr>
          <w:color w:val="auto"/>
        </w:rPr>
        <w:fldChar w:fldCharType="begin"/>
      </w:r>
      <w:r>
        <w:rPr>
          <w:color w:val="auto"/>
        </w:rPr>
        <w:instrText xml:space="preserve"> HYPERLINK "1.1.4.5" </w:instrText>
      </w:r>
      <w:r>
        <w:rPr>
          <w:color w:val="auto"/>
        </w:rPr>
        <w:fldChar w:fldCharType="separate"/>
      </w:r>
      <w:r>
        <w:rPr>
          <w:color w:val="auto"/>
          <w:spacing w:val="-13"/>
          <w:sz w:val="21"/>
          <w:szCs w:val="21"/>
        </w:rPr>
        <w:t>1.1.4.5</w:t>
      </w:r>
      <w:r>
        <w:rPr>
          <w:color w:val="auto"/>
          <w:spacing w:val="-13"/>
          <w:sz w:val="21"/>
          <w:szCs w:val="21"/>
        </w:rPr>
        <w:fldChar w:fldCharType="end"/>
      </w:r>
      <w:r>
        <w:rPr>
          <w:color w:val="auto"/>
          <w:spacing w:val="-13"/>
          <w:sz w:val="21"/>
          <w:szCs w:val="21"/>
        </w:rPr>
        <w:t>缺陷责任期期限：</w:t>
      </w:r>
      <w:r>
        <w:rPr>
          <w:rFonts w:hint="eastAsia" w:asciiTheme="minorEastAsia" w:hAnsiTheme="minorEastAsia" w:eastAsiaTheme="minorEastAsia"/>
          <w:color w:val="auto"/>
          <w:spacing w:val="-13"/>
          <w:position w:val="-3"/>
          <w:sz w:val="21"/>
          <w:szCs w:val="21"/>
          <w:u w:val="single"/>
        </w:rPr>
        <w:t>12</w:t>
      </w:r>
      <w:r>
        <w:rPr>
          <w:rFonts w:ascii="Times New Roman" w:hAnsi="Times New Roman" w:eastAsia="Times New Roman"/>
          <w:color w:val="auto"/>
          <w:spacing w:val="-13"/>
          <w:position w:val="-3"/>
          <w:sz w:val="21"/>
          <w:szCs w:val="21"/>
          <w:u w:val="single"/>
        </w:rPr>
        <w:t xml:space="preserve"> </w:t>
      </w:r>
      <w:r>
        <w:rPr>
          <w:color w:val="auto"/>
          <w:spacing w:val="-13"/>
          <w:position w:val="-3"/>
          <w:sz w:val="21"/>
          <w:szCs w:val="21"/>
        </w:rPr>
        <w:t>月。</w:t>
      </w:r>
    </w:p>
    <w:p w14:paraId="2C20A092">
      <w:pPr>
        <w:pStyle w:val="17"/>
        <w:spacing w:before="0" w:line="360" w:lineRule="auto"/>
        <w:ind w:left="360"/>
        <w:rPr>
          <w:color w:val="auto"/>
          <w:sz w:val="21"/>
          <w:szCs w:val="21"/>
        </w:rPr>
      </w:pPr>
      <w:r>
        <w:rPr>
          <w:color w:val="auto"/>
          <w:spacing w:val="-10"/>
          <w:sz w:val="21"/>
          <w:szCs w:val="21"/>
        </w:rPr>
        <w:t>1.1.8其他需要补充的内容</w:t>
      </w:r>
    </w:p>
    <w:p w14:paraId="48FDAA67">
      <w:pPr>
        <w:spacing w:line="360" w:lineRule="auto"/>
        <w:rPr>
          <w:color w:val="auto"/>
          <w:szCs w:val="21"/>
        </w:rPr>
      </w:pPr>
    </w:p>
    <w:p w14:paraId="13D90DF1">
      <w:pPr>
        <w:pStyle w:val="17"/>
        <w:spacing w:before="0" w:line="360" w:lineRule="auto"/>
        <w:rPr>
          <w:color w:val="auto"/>
          <w:sz w:val="21"/>
          <w:szCs w:val="21"/>
        </w:rPr>
      </w:pPr>
      <w:r>
        <w:rPr>
          <w:color w:val="auto"/>
          <w:spacing w:val="6"/>
          <w:sz w:val="21"/>
          <w:szCs w:val="21"/>
        </w:rPr>
        <w:t>1.4合同文件的优先顺序</w:t>
      </w:r>
    </w:p>
    <w:p w14:paraId="4DB08857">
      <w:pPr>
        <w:pStyle w:val="17"/>
        <w:spacing w:before="0" w:line="360" w:lineRule="auto"/>
        <w:ind w:left="430"/>
        <w:rPr>
          <w:color w:val="auto"/>
          <w:sz w:val="21"/>
          <w:szCs w:val="21"/>
        </w:rPr>
      </w:pPr>
      <w:r>
        <w:rPr>
          <w:color w:val="auto"/>
          <w:spacing w:val="-20"/>
          <w:sz w:val="21"/>
          <w:szCs w:val="21"/>
        </w:rPr>
        <w:t>合同文件的优先解释顺序如下：</w:t>
      </w:r>
    </w:p>
    <w:p w14:paraId="03025478">
      <w:pPr>
        <w:pStyle w:val="17"/>
        <w:spacing w:before="0" w:line="360" w:lineRule="auto"/>
        <w:ind w:left="509"/>
        <w:rPr>
          <w:color w:val="auto"/>
          <w:sz w:val="21"/>
          <w:szCs w:val="21"/>
        </w:rPr>
      </w:pPr>
      <w:r>
        <w:rPr>
          <w:color w:val="auto"/>
          <w:spacing w:val="-9"/>
          <w:sz w:val="21"/>
          <w:szCs w:val="21"/>
        </w:rPr>
        <w:t>(1)合同协议书；</w:t>
      </w:r>
    </w:p>
    <w:p w14:paraId="0446B4EB">
      <w:pPr>
        <w:pStyle w:val="17"/>
        <w:spacing w:before="0" w:line="360" w:lineRule="auto"/>
        <w:ind w:left="509"/>
        <w:rPr>
          <w:color w:val="auto"/>
          <w:sz w:val="21"/>
          <w:szCs w:val="21"/>
        </w:rPr>
      </w:pPr>
      <w:r>
        <w:rPr>
          <w:color w:val="auto"/>
          <w:spacing w:val="-9"/>
          <w:sz w:val="21"/>
          <w:szCs w:val="21"/>
        </w:rPr>
        <w:t>(2)中标通知书；</w:t>
      </w:r>
    </w:p>
    <w:p w14:paraId="43E90165">
      <w:pPr>
        <w:pStyle w:val="17"/>
        <w:spacing w:before="0" w:line="360" w:lineRule="auto"/>
        <w:ind w:left="509"/>
        <w:rPr>
          <w:color w:val="auto"/>
          <w:sz w:val="21"/>
          <w:szCs w:val="21"/>
        </w:rPr>
      </w:pPr>
      <w:r>
        <w:rPr>
          <w:color w:val="auto"/>
          <w:spacing w:val="-12"/>
          <w:sz w:val="21"/>
          <w:szCs w:val="21"/>
        </w:rPr>
        <w:t>(3)投标函及投标函附录；</w:t>
      </w:r>
    </w:p>
    <w:p w14:paraId="1144C396">
      <w:pPr>
        <w:pStyle w:val="17"/>
        <w:spacing w:before="0" w:line="360" w:lineRule="auto"/>
        <w:ind w:left="509"/>
        <w:rPr>
          <w:color w:val="auto"/>
          <w:sz w:val="21"/>
          <w:szCs w:val="21"/>
        </w:rPr>
      </w:pPr>
      <w:r>
        <w:rPr>
          <w:color w:val="auto"/>
          <w:spacing w:val="-11"/>
          <w:sz w:val="21"/>
          <w:szCs w:val="21"/>
        </w:rPr>
        <w:t>(4)合同条款专用部分；</w:t>
      </w:r>
    </w:p>
    <w:p w14:paraId="0C7B3F22">
      <w:pPr>
        <w:pStyle w:val="17"/>
        <w:spacing w:before="0" w:line="360" w:lineRule="auto"/>
        <w:ind w:left="509"/>
        <w:rPr>
          <w:color w:val="auto"/>
          <w:sz w:val="21"/>
          <w:szCs w:val="21"/>
        </w:rPr>
      </w:pPr>
      <w:r>
        <w:rPr>
          <w:color w:val="auto"/>
          <w:spacing w:val="-11"/>
          <w:sz w:val="21"/>
          <w:szCs w:val="21"/>
        </w:rPr>
        <w:t>(5)合同条款通用部分；</w:t>
      </w:r>
    </w:p>
    <w:p w14:paraId="7BF69D8C">
      <w:pPr>
        <w:pStyle w:val="17"/>
        <w:spacing w:before="0" w:line="360" w:lineRule="auto"/>
        <w:ind w:left="509"/>
        <w:rPr>
          <w:color w:val="auto"/>
          <w:sz w:val="21"/>
          <w:szCs w:val="21"/>
        </w:rPr>
      </w:pPr>
      <w:r>
        <w:rPr>
          <w:color w:val="auto"/>
          <w:spacing w:val="-5"/>
          <w:sz w:val="21"/>
          <w:szCs w:val="21"/>
        </w:rPr>
        <w:t>(</w:t>
      </w:r>
      <w:r>
        <w:rPr>
          <w:rFonts w:ascii="Times New Roman" w:hAnsi="Times New Roman" w:eastAsia="Times New Roman"/>
          <w:color w:val="auto"/>
          <w:spacing w:val="-5"/>
          <w:sz w:val="21"/>
          <w:szCs w:val="21"/>
        </w:rPr>
        <w:t>6)</w:t>
      </w:r>
      <w:r>
        <w:rPr>
          <w:color w:val="auto"/>
          <w:spacing w:val="-5"/>
          <w:sz w:val="21"/>
          <w:szCs w:val="21"/>
          <w:u w:val="single" w:color="000000"/>
        </w:rPr>
        <w:t>已标价工程量清单；</w:t>
      </w:r>
    </w:p>
    <w:p w14:paraId="5A27C1CB">
      <w:pPr>
        <w:pStyle w:val="17"/>
        <w:spacing w:before="0" w:line="360" w:lineRule="auto"/>
        <w:ind w:left="509"/>
        <w:rPr>
          <w:color w:val="auto"/>
          <w:sz w:val="21"/>
          <w:szCs w:val="21"/>
        </w:rPr>
      </w:pPr>
      <w:r>
        <w:rPr>
          <w:color w:val="auto"/>
          <w:spacing w:val="-5"/>
          <w:sz w:val="21"/>
          <w:szCs w:val="21"/>
        </w:rPr>
        <w:t xml:space="preserve">(7) </w:t>
      </w:r>
      <w:r>
        <w:rPr>
          <w:color w:val="auto"/>
          <w:spacing w:val="-5"/>
          <w:sz w:val="21"/>
          <w:szCs w:val="21"/>
          <w:u w:val="single"/>
        </w:rPr>
        <w:t>技术标准和要求；</w:t>
      </w:r>
    </w:p>
    <w:p w14:paraId="237D3C13">
      <w:pPr>
        <w:pStyle w:val="17"/>
        <w:spacing w:before="0" w:line="360" w:lineRule="auto"/>
        <w:ind w:left="509"/>
        <w:rPr>
          <w:color w:val="auto"/>
          <w:sz w:val="21"/>
          <w:szCs w:val="21"/>
        </w:rPr>
      </w:pPr>
      <w:r>
        <w:rPr>
          <w:color w:val="auto"/>
          <w:spacing w:val="-8"/>
          <w:sz w:val="21"/>
          <w:szCs w:val="21"/>
        </w:rPr>
        <w:t xml:space="preserve">(8) </w:t>
      </w:r>
      <w:r>
        <w:rPr>
          <w:color w:val="auto"/>
          <w:spacing w:val="-8"/>
          <w:sz w:val="21"/>
          <w:szCs w:val="21"/>
          <w:u w:val="single" w:color="000000"/>
        </w:rPr>
        <w:t>图纸；</w:t>
      </w:r>
    </w:p>
    <w:p w14:paraId="3B7110B1">
      <w:pPr>
        <w:pStyle w:val="17"/>
        <w:spacing w:before="0" w:line="360" w:lineRule="auto"/>
        <w:ind w:left="509"/>
        <w:rPr>
          <w:color w:val="auto"/>
          <w:sz w:val="21"/>
          <w:szCs w:val="21"/>
        </w:rPr>
      </w:pPr>
      <w:r>
        <w:rPr>
          <w:color w:val="auto"/>
          <w:spacing w:val="-5"/>
          <w:sz w:val="21"/>
          <w:szCs w:val="21"/>
        </w:rPr>
        <w:t>(9)</w:t>
      </w:r>
      <w:r>
        <w:rPr>
          <w:color w:val="auto"/>
          <w:spacing w:val="-5"/>
          <w:sz w:val="21"/>
          <w:szCs w:val="21"/>
          <w:u w:val="single" w:color="000000"/>
        </w:rPr>
        <w:t>其他合同文件。</w:t>
      </w:r>
    </w:p>
    <w:p w14:paraId="3494A79C">
      <w:pPr>
        <w:pStyle w:val="17"/>
        <w:spacing w:before="39" w:line="325" w:lineRule="auto"/>
        <w:ind w:right="145" w:firstLine="529"/>
        <w:rPr>
          <w:color w:val="auto"/>
          <w:sz w:val="21"/>
          <w:szCs w:val="21"/>
        </w:rPr>
      </w:pPr>
      <w:r>
        <w:rPr>
          <w:color w:val="auto"/>
          <w:spacing w:val="-3"/>
          <w:sz w:val="21"/>
          <w:szCs w:val="21"/>
        </w:rPr>
        <w:t>(说明：(6)、(7)、(8)填空内容分别限于技术标准和要求、图纸、已标价工程量清单三者之</w:t>
      </w:r>
      <w:r>
        <w:rPr>
          <w:color w:val="auto"/>
          <w:spacing w:val="-14"/>
          <w:sz w:val="21"/>
          <w:szCs w:val="21"/>
        </w:rPr>
        <w:t>一。)</w:t>
      </w:r>
    </w:p>
    <w:p w14:paraId="107C49C6">
      <w:pPr>
        <w:spacing w:line="250" w:lineRule="auto"/>
        <w:rPr>
          <w:color w:val="auto"/>
          <w:szCs w:val="21"/>
        </w:rPr>
      </w:pPr>
    </w:p>
    <w:p w14:paraId="33630B45">
      <w:pPr>
        <w:pStyle w:val="17"/>
        <w:spacing w:before="65" w:line="360" w:lineRule="auto"/>
        <w:rPr>
          <w:color w:val="auto"/>
          <w:sz w:val="21"/>
          <w:szCs w:val="21"/>
        </w:rPr>
      </w:pPr>
      <w:r>
        <w:rPr>
          <w:color w:val="auto"/>
          <w:spacing w:val="7"/>
          <w:sz w:val="21"/>
          <w:szCs w:val="21"/>
        </w:rPr>
        <w:t>1.5  合同协议书</w:t>
      </w:r>
    </w:p>
    <w:p w14:paraId="650F3A6C">
      <w:pPr>
        <w:pStyle w:val="17"/>
        <w:spacing w:before="65" w:line="360" w:lineRule="auto"/>
        <w:ind w:left="380"/>
        <w:rPr>
          <w:color w:val="auto"/>
          <w:sz w:val="21"/>
          <w:szCs w:val="21"/>
        </w:rPr>
      </w:pPr>
      <w:r>
        <w:rPr>
          <w:color w:val="auto"/>
          <w:spacing w:val="-2"/>
          <w:sz w:val="21"/>
          <w:szCs w:val="21"/>
        </w:rPr>
        <w:t>合同生效的条件：</w:t>
      </w:r>
      <w:r>
        <w:rPr>
          <w:color w:val="auto"/>
          <w:spacing w:val="-2"/>
          <w:sz w:val="21"/>
          <w:szCs w:val="21"/>
          <w:u w:val="single" w:color="000000"/>
        </w:rPr>
        <w:t>合同签字</w:t>
      </w:r>
      <w:r>
        <w:rPr>
          <w:rFonts w:hint="eastAsia"/>
          <w:color w:val="auto"/>
          <w:spacing w:val="-2"/>
          <w:sz w:val="21"/>
          <w:szCs w:val="21"/>
          <w:u w:val="single" w:color="000000"/>
        </w:rPr>
        <w:t>并</w:t>
      </w:r>
      <w:r>
        <w:rPr>
          <w:color w:val="auto"/>
          <w:spacing w:val="-2"/>
          <w:sz w:val="21"/>
          <w:szCs w:val="21"/>
          <w:u w:val="single" w:color="000000"/>
        </w:rPr>
        <w:t>盖章当日生效</w:t>
      </w:r>
    </w:p>
    <w:p w14:paraId="3DAAB7B5">
      <w:pPr>
        <w:spacing w:line="360" w:lineRule="auto"/>
        <w:rPr>
          <w:color w:val="auto"/>
          <w:szCs w:val="21"/>
        </w:rPr>
      </w:pPr>
    </w:p>
    <w:p w14:paraId="12737B03">
      <w:pPr>
        <w:pStyle w:val="17"/>
        <w:spacing w:before="65" w:line="360" w:lineRule="auto"/>
        <w:rPr>
          <w:color w:val="auto"/>
          <w:sz w:val="21"/>
          <w:szCs w:val="21"/>
        </w:rPr>
      </w:pPr>
      <w:r>
        <w:rPr>
          <w:color w:val="auto"/>
          <w:spacing w:val="6"/>
          <w:sz w:val="21"/>
          <w:szCs w:val="21"/>
        </w:rPr>
        <w:t>1.6图纸和承包人文件</w:t>
      </w:r>
    </w:p>
    <w:p w14:paraId="3F96578D">
      <w:pPr>
        <w:pStyle w:val="17"/>
        <w:spacing w:before="0" w:line="360" w:lineRule="auto"/>
        <w:rPr>
          <w:color w:val="auto"/>
          <w:sz w:val="21"/>
          <w:szCs w:val="21"/>
        </w:rPr>
      </w:pPr>
      <w:r>
        <w:rPr>
          <w:color w:val="auto"/>
          <w:spacing w:val="-9"/>
          <w:sz w:val="21"/>
          <w:szCs w:val="21"/>
        </w:rPr>
        <w:t>1.6.1图纸的提供</w:t>
      </w:r>
    </w:p>
    <w:p w14:paraId="5C648AB0">
      <w:pPr>
        <w:pStyle w:val="17"/>
        <w:spacing w:before="0" w:line="360" w:lineRule="auto"/>
        <w:ind w:firstLine="408" w:firstLineChars="200"/>
        <w:rPr>
          <w:color w:val="auto"/>
          <w:sz w:val="21"/>
          <w:szCs w:val="21"/>
        </w:rPr>
      </w:pPr>
      <w:r>
        <w:rPr>
          <w:color w:val="auto"/>
          <w:spacing w:val="-3"/>
          <w:sz w:val="21"/>
          <w:szCs w:val="21"/>
        </w:rPr>
        <w:t>(</w:t>
      </w:r>
      <w:r>
        <w:rPr>
          <w:rFonts w:hint="eastAsia"/>
          <w:color w:val="auto"/>
          <w:spacing w:val="-3"/>
          <w:sz w:val="21"/>
          <w:szCs w:val="21"/>
          <w:lang w:val="en-US" w:eastAsia="zh-CN"/>
        </w:rPr>
        <w:t>5</w:t>
      </w:r>
      <w:r>
        <w:rPr>
          <w:color w:val="auto"/>
          <w:spacing w:val="-3"/>
          <w:sz w:val="21"/>
          <w:szCs w:val="21"/>
        </w:rPr>
        <w:t>)发包人提供图纸的期限：</w:t>
      </w:r>
      <w:r>
        <w:rPr>
          <w:color w:val="auto"/>
          <w:spacing w:val="-3"/>
          <w:sz w:val="21"/>
          <w:szCs w:val="21"/>
          <w:u w:val="single"/>
        </w:rPr>
        <w:t>不少于开工前14天</w:t>
      </w:r>
    </w:p>
    <w:p w14:paraId="1238A98A">
      <w:pPr>
        <w:pStyle w:val="17"/>
        <w:spacing w:before="0" w:line="360" w:lineRule="auto"/>
        <w:ind w:right="145" w:firstLine="529"/>
        <w:rPr>
          <w:color w:val="auto"/>
          <w:spacing w:val="-3"/>
          <w:sz w:val="21"/>
          <w:szCs w:val="21"/>
        </w:rPr>
      </w:pPr>
      <w:r>
        <w:rPr>
          <w:color w:val="auto"/>
          <w:spacing w:val="-3"/>
          <w:sz w:val="21"/>
          <w:szCs w:val="21"/>
        </w:rPr>
        <w:t>发包人提供图纸的数量：</w:t>
      </w:r>
      <w:r>
        <w:rPr>
          <w:color w:val="auto"/>
          <w:spacing w:val="-3"/>
          <w:sz w:val="21"/>
          <w:szCs w:val="21"/>
          <w:u w:val="single"/>
        </w:rPr>
        <w:t>提供1套</w:t>
      </w:r>
      <w:r>
        <w:rPr>
          <w:color w:val="auto"/>
          <w:spacing w:val="-3"/>
          <w:sz w:val="21"/>
          <w:szCs w:val="21"/>
        </w:rPr>
        <w:t>；如承包人需额外提供图纸，费用由承包人承担 其他约定：</w:t>
      </w:r>
      <w:r>
        <w:rPr>
          <w:color w:val="auto"/>
          <w:spacing w:val="-3"/>
          <w:sz w:val="21"/>
          <w:szCs w:val="21"/>
          <w:u w:val="single"/>
        </w:rPr>
        <w:t>/</w:t>
      </w:r>
    </w:p>
    <w:p w14:paraId="4ACEE41B">
      <w:pPr>
        <w:pStyle w:val="17"/>
        <w:spacing w:before="1" w:line="360" w:lineRule="auto"/>
        <w:ind w:left="380"/>
        <w:rPr>
          <w:color w:val="auto"/>
          <w:sz w:val="21"/>
          <w:szCs w:val="21"/>
        </w:rPr>
      </w:pPr>
      <w:r>
        <w:rPr>
          <w:color w:val="auto"/>
          <w:spacing w:val="-10"/>
          <w:sz w:val="21"/>
          <w:szCs w:val="21"/>
        </w:rPr>
        <w:t>1.6.2承包人提供的文件</w:t>
      </w:r>
    </w:p>
    <w:p w14:paraId="6983A365">
      <w:pPr>
        <w:pStyle w:val="17"/>
        <w:spacing w:before="163" w:line="360" w:lineRule="auto"/>
        <w:ind w:left="380"/>
        <w:rPr>
          <w:color w:val="auto"/>
          <w:sz w:val="21"/>
          <w:szCs w:val="21"/>
        </w:rPr>
      </w:pPr>
      <w:r>
        <w:rPr>
          <w:color w:val="auto"/>
          <w:spacing w:val="-12"/>
          <w:sz w:val="21"/>
          <w:szCs w:val="21"/>
        </w:rPr>
        <w:t>(1)由承包人提供的文件范围：</w:t>
      </w:r>
    </w:p>
    <w:p w14:paraId="63C9AEF8">
      <w:pPr>
        <w:pStyle w:val="17"/>
        <w:spacing w:before="144" w:line="360" w:lineRule="auto"/>
        <w:ind w:left="460"/>
        <w:rPr>
          <w:color w:val="auto"/>
          <w:sz w:val="21"/>
          <w:szCs w:val="21"/>
        </w:rPr>
      </w:pPr>
      <w:r>
        <w:rPr>
          <w:rFonts w:hint="eastAsia"/>
          <w:color w:val="auto"/>
          <w:spacing w:val="9"/>
          <w:sz w:val="21"/>
          <w:szCs w:val="21"/>
          <w:u w:val="single" w:color="000000"/>
        </w:rPr>
        <w:t>按照工程技术规范的相关要求需要制作的必要的加工图、大样图、装配图、深化设计图等；危险性较大分部工程的专项施工方案；竣工图纸、结算材料、建筑文件等</w:t>
      </w:r>
    </w:p>
    <w:p w14:paraId="47EAD127">
      <w:pPr>
        <w:pStyle w:val="17"/>
        <w:spacing w:before="0" w:line="360" w:lineRule="auto"/>
        <w:ind w:left="380"/>
        <w:rPr>
          <w:color w:val="auto"/>
          <w:sz w:val="21"/>
          <w:szCs w:val="21"/>
        </w:rPr>
      </w:pPr>
      <w:r>
        <w:rPr>
          <w:color w:val="auto"/>
          <w:spacing w:val="-20"/>
          <w:sz w:val="21"/>
          <w:szCs w:val="21"/>
        </w:rPr>
        <w:t>承包人提供文件的期限：</w:t>
      </w:r>
    </w:p>
    <w:p w14:paraId="6C297C1E">
      <w:pPr>
        <w:pStyle w:val="17"/>
        <w:spacing w:before="0" w:line="360" w:lineRule="auto"/>
        <w:ind w:left="460"/>
        <w:rPr>
          <w:color w:val="auto"/>
          <w:sz w:val="21"/>
          <w:szCs w:val="21"/>
        </w:rPr>
      </w:pPr>
      <w:r>
        <w:rPr>
          <w:rFonts w:hint="eastAsia"/>
          <w:color w:val="auto"/>
          <w:spacing w:val="13"/>
          <w:sz w:val="21"/>
          <w:szCs w:val="21"/>
          <w:u w:val="single" w:color="000000"/>
        </w:rPr>
        <w:t>工程开工后15日内提供除竣工图、结算材料外的全部文件，竣工图纸应该竣工验收前提供，结算材料应该工程申报结算前提供。</w:t>
      </w:r>
    </w:p>
    <w:p w14:paraId="30A8CAF3">
      <w:pPr>
        <w:pStyle w:val="17"/>
        <w:spacing w:before="0" w:line="360" w:lineRule="auto"/>
        <w:ind w:left="380"/>
        <w:rPr>
          <w:color w:val="auto"/>
          <w:sz w:val="21"/>
          <w:szCs w:val="21"/>
        </w:rPr>
      </w:pPr>
      <w:r>
        <w:rPr>
          <w:color w:val="auto"/>
          <w:spacing w:val="-20"/>
          <w:sz w:val="21"/>
          <w:szCs w:val="21"/>
        </w:rPr>
        <w:t>承包人提供文件的数量：</w:t>
      </w:r>
    </w:p>
    <w:p w14:paraId="4E215696">
      <w:pPr>
        <w:pStyle w:val="17"/>
        <w:spacing w:before="0" w:line="360" w:lineRule="auto"/>
        <w:ind w:left="460"/>
        <w:rPr>
          <w:color w:val="auto"/>
          <w:sz w:val="21"/>
          <w:szCs w:val="21"/>
        </w:rPr>
      </w:pPr>
      <w:r>
        <w:rPr>
          <w:rFonts w:hint="eastAsia"/>
          <w:color w:val="auto"/>
          <w:spacing w:val="-6"/>
          <w:sz w:val="21"/>
          <w:szCs w:val="21"/>
          <w:u w:val="single" w:color="000000"/>
        </w:rPr>
        <w:t>4</w:t>
      </w:r>
      <w:r>
        <w:rPr>
          <w:color w:val="auto"/>
          <w:spacing w:val="-6"/>
          <w:sz w:val="21"/>
          <w:szCs w:val="21"/>
          <w:u w:val="single" w:color="000000"/>
        </w:rPr>
        <w:t>套</w:t>
      </w:r>
    </w:p>
    <w:p w14:paraId="4ED6576C">
      <w:pPr>
        <w:pStyle w:val="17"/>
        <w:spacing w:before="0" w:line="360" w:lineRule="auto"/>
        <w:ind w:left="380"/>
        <w:rPr>
          <w:color w:val="auto"/>
          <w:sz w:val="21"/>
          <w:szCs w:val="21"/>
        </w:rPr>
      </w:pPr>
      <w:r>
        <w:rPr>
          <w:color w:val="auto"/>
          <w:spacing w:val="-19"/>
          <w:sz w:val="21"/>
          <w:szCs w:val="21"/>
        </w:rPr>
        <w:t>监理人批复承包人提供文件的期限：</w:t>
      </w:r>
    </w:p>
    <w:p w14:paraId="4AC62A00">
      <w:pPr>
        <w:pStyle w:val="17"/>
        <w:spacing w:before="0" w:line="360" w:lineRule="auto"/>
        <w:ind w:left="460"/>
        <w:rPr>
          <w:color w:val="auto"/>
          <w:sz w:val="21"/>
          <w:szCs w:val="21"/>
        </w:rPr>
      </w:pPr>
      <w:r>
        <w:rPr>
          <w:color w:val="auto"/>
          <w:spacing w:val="9"/>
          <w:sz w:val="21"/>
          <w:szCs w:val="21"/>
          <w:u w:val="single" w:color="000000"/>
        </w:rPr>
        <w:t>收到承包人提供的文件后</w:t>
      </w:r>
      <w:r>
        <w:rPr>
          <w:rFonts w:hint="eastAsia"/>
          <w:color w:val="auto"/>
          <w:spacing w:val="9"/>
          <w:sz w:val="21"/>
          <w:szCs w:val="21"/>
          <w:u w:val="single" w:color="000000"/>
        </w:rPr>
        <w:t>7</w:t>
      </w:r>
      <w:r>
        <w:rPr>
          <w:color w:val="auto"/>
          <w:spacing w:val="9"/>
          <w:sz w:val="21"/>
          <w:szCs w:val="21"/>
          <w:u w:val="single" w:color="000000"/>
        </w:rPr>
        <w:t>天内</w:t>
      </w:r>
    </w:p>
    <w:p w14:paraId="0AD8F2F6">
      <w:pPr>
        <w:pStyle w:val="17"/>
        <w:spacing w:before="0" w:line="360" w:lineRule="auto"/>
        <w:ind w:left="380"/>
        <w:rPr>
          <w:color w:val="auto"/>
          <w:sz w:val="21"/>
          <w:szCs w:val="21"/>
        </w:rPr>
      </w:pPr>
      <w:r>
        <w:rPr>
          <w:color w:val="auto"/>
          <w:spacing w:val="-20"/>
          <w:sz w:val="21"/>
          <w:szCs w:val="21"/>
        </w:rPr>
        <w:t>其他约定：</w:t>
      </w:r>
    </w:p>
    <w:p w14:paraId="52B9F748">
      <w:pPr>
        <w:spacing w:line="360" w:lineRule="auto"/>
        <w:rPr>
          <w:color w:val="auto"/>
          <w:szCs w:val="21"/>
        </w:rPr>
      </w:pPr>
    </w:p>
    <w:p w14:paraId="6627E387">
      <w:pPr>
        <w:pStyle w:val="17"/>
        <w:spacing w:before="0" w:line="360" w:lineRule="auto"/>
        <w:rPr>
          <w:color w:val="auto"/>
          <w:sz w:val="21"/>
          <w:szCs w:val="21"/>
        </w:rPr>
      </w:pPr>
      <w:r>
        <w:rPr>
          <w:color w:val="auto"/>
          <w:spacing w:val="-7"/>
          <w:sz w:val="21"/>
          <w:szCs w:val="21"/>
        </w:rPr>
        <w:t>1.7联络</w:t>
      </w:r>
    </w:p>
    <w:p w14:paraId="13AAC0D1">
      <w:pPr>
        <w:pStyle w:val="17"/>
        <w:spacing w:before="0" w:line="360" w:lineRule="auto"/>
        <w:ind w:left="380"/>
        <w:rPr>
          <w:color w:val="auto"/>
          <w:sz w:val="21"/>
          <w:szCs w:val="21"/>
        </w:rPr>
      </w:pPr>
      <w:r>
        <w:rPr>
          <w:color w:val="auto"/>
          <w:spacing w:val="-12"/>
          <w:sz w:val="21"/>
          <w:szCs w:val="21"/>
        </w:rPr>
        <w:t>1.7.2联络来往函件的送达和接收</w:t>
      </w:r>
    </w:p>
    <w:p w14:paraId="777FF21F">
      <w:pPr>
        <w:pStyle w:val="17"/>
        <w:spacing w:before="0" w:line="360" w:lineRule="auto"/>
        <w:ind w:right="145" w:firstLine="380"/>
        <w:rPr>
          <w:color w:val="auto"/>
          <w:spacing w:val="-13"/>
          <w:sz w:val="21"/>
          <w:szCs w:val="21"/>
        </w:rPr>
      </w:pPr>
      <w:r>
        <w:rPr>
          <w:color w:val="auto"/>
          <w:spacing w:val="-13"/>
          <w:sz w:val="21"/>
          <w:szCs w:val="21"/>
        </w:rPr>
        <w:t xml:space="preserve">(2)发包人指定的接收地点：发包人指定的接收人为： </w:t>
      </w:r>
    </w:p>
    <w:p w14:paraId="1ECC2E1E">
      <w:pPr>
        <w:pStyle w:val="17"/>
        <w:spacing w:before="0" w:line="360" w:lineRule="auto"/>
        <w:ind w:right="145" w:firstLine="380"/>
        <w:rPr>
          <w:color w:val="auto"/>
          <w:spacing w:val="-13"/>
          <w:sz w:val="21"/>
          <w:szCs w:val="21"/>
        </w:rPr>
      </w:pPr>
      <w:r>
        <w:rPr>
          <w:color w:val="auto"/>
          <w:spacing w:val="-13"/>
          <w:sz w:val="21"/>
          <w:szCs w:val="21"/>
        </w:rPr>
        <w:t>(3)监理人指定的接收地点：监理人指定的接收人为：</w:t>
      </w:r>
    </w:p>
    <w:p w14:paraId="4B143569">
      <w:pPr>
        <w:pStyle w:val="17"/>
        <w:spacing w:before="0" w:line="360" w:lineRule="auto"/>
        <w:ind w:right="145" w:firstLine="380"/>
        <w:rPr>
          <w:color w:val="auto"/>
          <w:sz w:val="21"/>
          <w:szCs w:val="21"/>
        </w:rPr>
      </w:pPr>
      <w:r>
        <w:rPr>
          <w:color w:val="auto"/>
          <w:spacing w:val="-13"/>
          <w:sz w:val="21"/>
          <w:szCs w:val="21"/>
        </w:rPr>
        <w:t>(4)承包人指定的接收地点：</w:t>
      </w:r>
    </w:p>
    <w:p w14:paraId="5A5AD738">
      <w:pPr>
        <w:spacing w:line="360" w:lineRule="auto"/>
        <w:rPr>
          <w:color w:val="auto"/>
          <w:szCs w:val="21"/>
        </w:rPr>
      </w:pPr>
    </w:p>
    <w:p w14:paraId="737A78E0">
      <w:pPr>
        <w:pStyle w:val="17"/>
        <w:spacing w:before="0" w:line="360" w:lineRule="auto"/>
        <w:rPr>
          <w:color w:val="auto"/>
          <w:sz w:val="21"/>
          <w:szCs w:val="21"/>
        </w:rPr>
      </w:pPr>
      <w:r>
        <w:rPr>
          <w:color w:val="auto"/>
          <w:spacing w:val="-9"/>
          <w:sz w:val="21"/>
          <w:szCs w:val="21"/>
        </w:rPr>
        <w:t>2.发包人义务</w:t>
      </w:r>
    </w:p>
    <w:p w14:paraId="4D98F843">
      <w:pPr>
        <w:pStyle w:val="17"/>
        <w:spacing w:before="0" w:line="360" w:lineRule="auto"/>
        <w:rPr>
          <w:color w:val="auto"/>
          <w:sz w:val="21"/>
          <w:szCs w:val="21"/>
        </w:rPr>
      </w:pPr>
      <w:r>
        <w:rPr>
          <w:color w:val="auto"/>
          <w:spacing w:val="7"/>
          <w:sz w:val="21"/>
          <w:szCs w:val="21"/>
        </w:rPr>
        <w:t>2.3  提供施工场地</w:t>
      </w:r>
    </w:p>
    <w:p w14:paraId="671B1E65">
      <w:pPr>
        <w:pStyle w:val="17"/>
        <w:spacing w:before="0" w:line="360" w:lineRule="auto"/>
        <w:ind w:right="145" w:firstLine="380"/>
        <w:rPr>
          <w:color w:val="auto"/>
          <w:spacing w:val="-13"/>
          <w:sz w:val="21"/>
          <w:szCs w:val="21"/>
        </w:rPr>
      </w:pPr>
      <w:r>
        <w:rPr>
          <w:color w:val="auto"/>
          <w:spacing w:val="-13"/>
          <w:sz w:val="21"/>
          <w:szCs w:val="21"/>
        </w:rPr>
        <w:t>发包人移交施工场地的期限：发包人应当将具备施工条件的施工场地，在监理人发出开工通知中载 明的开工日期</w:t>
      </w:r>
      <w:r>
        <w:rPr>
          <w:color w:val="auto"/>
          <w:spacing w:val="-13"/>
          <w:sz w:val="21"/>
          <w:szCs w:val="21"/>
          <w:u w:val="single"/>
        </w:rPr>
        <w:t>7</w:t>
      </w:r>
      <w:r>
        <w:rPr>
          <w:color w:val="auto"/>
          <w:spacing w:val="-13"/>
          <w:sz w:val="21"/>
          <w:szCs w:val="21"/>
        </w:rPr>
        <w:t>天前移交给承包人。</w:t>
      </w:r>
    </w:p>
    <w:p w14:paraId="4052C24B">
      <w:pPr>
        <w:pStyle w:val="17"/>
        <w:spacing w:before="0" w:line="360" w:lineRule="auto"/>
        <w:rPr>
          <w:color w:val="auto"/>
          <w:sz w:val="21"/>
          <w:szCs w:val="21"/>
        </w:rPr>
      </w:pPr>
      <w:r>
        <w:rPr>
          <w:color w:val="auto"/>
          <w:spacing w:val="9"/>
          <w:sz w:val="21"/>
          <w:szCs w:val="21"/>
        </w:rPr>
        <w:t>2.8  向承包人提交支付担保</w:t>
      </w:r>
    </w:p>
    <w:p w14:paraId="0EB5DC0D">
      <w:pPr>
        <w:pStyle w:val="17"/>
        <w:spacing w:before="0" w:line="360" w:lineRule="auto"/>
        <w:ind w:left="479"/>
        <w:rPr>
          <w:color w:val="auto"/>
          <w:sz w:val="21"/>
          <w:szCs w:val="21"/>
          <w:u w:val="single"/>
        </w:rPr>
      </w:pPr>
      <w:r>
        <w:rPr>
          <w:color w:val="auto"/>
          <w:spacing w:val="-16"/>
          <w:sz w:val="21"/>
          <w:szCs w:val="21"/>
        </w:rPr>
        <w:t>(1)发包人向承包人提交支付担保的金额：</w:t>
      </w:r>
      <w:r>
        <w:rPr>
          <w:color w:val="auto"/>
          <w:spacing w:val="-16"/>
          <w:sz w:val="21"/>
          <w:szCs w:val="21"/>
          <w:u w:val="single"/>
        </w:rPr>
        <w:t>/</w:t>
      </w:r>
    </w:p>
    <w:p w14:paraId="2F58F6B8">
      <w:pPr>
        <w:spacing w:line="360" w:lineRule="auto"/>
        <w:rPr>
          <w:color w:val="auto"/>
          <w:szCs w:val="21"/>
        </w:rPr>
      </w:pPr>
    </w:p>
    <w:p w14:paraId="310F06BE">
      <w:pPr>
        <w:pStyle w:val="17"/>
        <w:spacing w:before="0" w:line="360" w:lineRule="auto"/>
        <w:rPr>
          <w:color w:val="auto"/>
          <w:sz w:val="21"/>
          <w:szCs w:val="21"/>
        </w:rPr>
      </w:pPr>
      <w:r>
        <w:rPr>
          <w:color w:val="auto"/>
          <w:spacing w:val="6"/>
          <w:sz w:val="21"/>
          <w:szCs w:val="21"/>
        </w:rPr>
        <w:t>2.13其他义务</w:t>
      </w:r>
    </w:p>
    <w:p w14:paraId="355FE3E0">
      <w:pPr>
        <w:pStyle w:val="17"/>
        <w:spacing w:before="40" w:line="219" w:lineRule="auto"/>
        <w:ind w:left="479"/>
        <w:rPr>
          <w:color w:val="auto"/>
          <w:spacing w:val="-16"/>
          <w:sz w:val="21"/>
          <w:szCs w:val="21"/>
          <w:u w:val="single"/>
        </w:rPr>
      </w:pPr>
      <w:r>
        <w:rPr>
          <w:color w:val="auto"/>
          <w:spacing w:val="-16"/>
          <w:sz w:val="21"/>
          <w:szCs w:val="21"/>
        </w:rPr>
        <w:t>发包人应当履行的其他义务：</w:t>
      </w:r>
      <w:r>
        <w:rPr>
          <w:color w:val="auto"/>
          <w:spacing w:val="-16"/>
          <w:sz w:val="21"/>
          <w:szCs w:val="21"/>
          <w:u w:val="single"/>
        </w:rPr>
        <w:t xml:space="preserve"> /</w:t>
      </w:r>
    </w:p>
    <w:p w14:paraId="7D3C11DF">
      <w:pPr>
        <w:pStyle w:val="17"/>
        <w:spacing w:before="0" w:line="360" w:lineRule="auto"/>
        <w:rPr>
          <w:color w:val="auto"/>
          <w:sz w:val="21"/>
          <w:szCs w:val="21"/>
        </w:rPr>
      </w:pPr>
      <w:r>
        <w:rPr>
          <w:color w:val="auto"/>
          <w:spacing w:val="-9"/>
          <w:sz w:val="21"/>
          <w:szCs w:val="21"/>
        </w:rPr>
        <w:t>3.监理人</w:t>
      </w:r>
    </w:p>
    <w:p w14:paraId="1126278F">
      <w:pPr>
        <w:pStyle w:val="17"/>
        <w:spacing w:before="0" w:line="360" w:lineRule="auto"/>
        <w:rPr>
          <w:color w:val="auto"/>
          <w:sz w:val="21"/>
          <w:szCs w:val="21"/>
        </w:rPr>
      </w:pPr>
      <w:r>
        <w:rPr>
          <w:color w:val="auto"/>
          <w:spacing w:val="7"/>
          <w:sz w:val="21"/>
          <w:szCs w:val="21"/>
        </w:rPr>
        <w:t>3.1  监理人的职责和权力</w:t>
      </w:r>
    </w:p>
    <w:p w14:paraId="3ADA31DB">
      <w:pPr>
        <w:pStyle w:val="17"/>
        <w:spacing w:before="0" w:line="360" w:lineRule="auto"/>
        <w:ind w:left="380"/>
        <w:rPr>
          <w:color w:val="auto"/>
          <w:spacing w:val="8"/>
          <w:sz w:val="21"/>
          <w:szCs w:val="21"/>
          <w:u w:val="single" w:color="000000"/>
        </w:rPr>
      </w:pPr>
      <w:r>
        <w:rPr>
          <w:color w:val="auto"/>
          <w:spacing w:val="-13"/>
          <w:sz w:val="21"/>
          <w:szCs w:val="21"/>
        </w:rPr>
        <w:t>3.1.1发包人需批准明确行使的权力：</w:t>
      </w:r>
    </w:p>
    <w:p w14:paraId="7C29D35A">
      <w:pPr>
        <w:pStyle w:val="17"/>
        <w:spacing w:before="0" w:line="360" w:lineRule="auto"/>
        <w:ind w:left="380" w:leftChars="181" w:firstLine="452" w:firstLineChars="200"/>
        <w:rPr>
          <w:color w:val="auto"/>
          <w:spacing w:val="8"/>
          <w:sz w:val="21"/>
          <w:szCs w:val="21"/>
          <w:u w:val="single" w:color="000000"/>
        </w:rPr>
      </w:pPr>
      <w:r>
        <w:rPr>
          <w:rFonts w:hint="eastAsia"/>
          <w:color w:val="auto"/>
          <w:spacing w:val="8"/>
          <w:sz w:val="21"/>
          <w:szCs w:val="21"/>
          <w:u w:val="single" w:color="000000"/>
        </w:rPr>
        <w:t>凡涉及影响工程造价的调整、涉及施工工期延长、重大施工工艺调整、影响施工质量和进度、修改设计文件内容等变化，须经发包人书面审核批准。不管通用合同条款如何约定，监理人履行须经发包人批准行使的权利时，应当向承包人出示该权利已经取得发包人批准的文件或者其他合法有效的证明。</w:t>
      </w:r>
    </w:p>
    <w:p w14:paraId="5D292A48">
      <w:pPr>
        <w:pStyle w:val="17"/>
        <w:spacing w:before="0" w:line="360" w:lineRule="auto"/>
        <w:ind w:left="380"/>
        <w:rPr>
          <w:color w:val="auto"/>
          <w:sz w:val="21"/>
          <w:szCs w:val="21"/>
        </w:rPr>
      </w:pPr>
      <w:r>
        <w:rPr>
          <w:color w:val="auto"/>
          <w:sz w:val="21"/>
          <w:szCs w:val="21"/>
        </w:rPr>
        <w:t xml:space="preserve"> </w:t>
      </w:r>
      <w:r>
        <w:rPr>
          <w:rFonts w:hint="eastAsia"/>
          <w:color w:val="auto"/>
          <w:sz w:val="21"/>
          <w:szCs w:val="21"/>
        </w:rPr>
        <w:t xml:space="preserve">    经发包人同意后签署开、停、复工令，且需经发包人书面授权后行使。</w:t>
      </w:r>
    </w:p>
    <w:p w14:paraId="0501209C">
      <w:pPr>
        <w:spacing w:line="415" w:lineRule="auto"/>
        <w:rPr>
          <w:color w:val="auto"/>
          <w:szCs w:val="21"/>
        </w:rPr>
      </w:pPr>
    </w:p>
    <w:p w14:paraId="5CAC547C">
      <w:pPr>
        <w:pStyle w:val="17"/>
        <w:spacing w:before="0" w:line="360" w:lineRule="auto"/>
        <w:rPr>
          <w:color w:val="auto"/>
          <w:sz w:val="21"/>
          <w:szCs w:val="21"/>
        </w:rPr>
      </w:pPr>
      <w:r>
        <w:rPr>
          <w:color w:val="auto"/>
          <w:spacing w:val="-8"/>
          <w:sz w:val="21"/>
          <w:szCs w:val="21"/>
        </w:rPr>
        <w:t>4.承包人</w:t>
      </w:r>
    </w:p>
    <w:p w14:paraId="2E1FA31A">
      <w:pPr>
        <w:pStyle w:val="17"/>
        <w:spacing w:before="0" w:line="360" w:lineRule="auto"/>
        <w:rPr>
          <w:color w:val="auto"/>
          <w:sz w:val="21"/>
          <w:szCs w:val="21"/>
        </w:rPr>
      </w:pPr>
      <w:r>
        <w:rPr>
          <w:color w:val="auto"/>
          <w:spacing w:val="9"/>
          <w:sz w:val="21"/>
          <w:szCs w:val="21"/>
        </w:rPr>
        <w:t>4.1承包人的一般义务</w:t>
      </w:r>
    </w:p>
    <w:p w14:paraId="627F7789">
      <w:pPr>
        <w:pStyle w:val="17"/>
        <w:spacing w:before="0" w:line="360" w:lineRule="auto"/>
        <w:ind w:left="380"/>
        <w:rPr>
          <w:color w:val="auto"/>
          <w:sz w:val="21"/>
          <w:szCs w:val="21"/>
        </w:rPr>
      </w:pPr>
      <w:r>
        <w:rPr>
          <w:color w:val="auto"/>
          <w:spacing w:val="-10"/>
          <w:sz w:val="21"/>
          <w:szCs w:val="21"/>
        </w:rPr>
        <w:t>4.1.8为他人提供方便</w:t>
      </w:r>
    </w:p>
    <w:p w14:paraId="23230DC0">
      <w:pPr>
        <w:pStyle w:val="17"/>
        <w:spacing w:before="163" w:line="285" w:lineRule="auto"/>
        <w:ind w:right="163" w:firstLine="380"/>
        <w:rPr>
          <w:color w:val="auto"/>
          <w:sz w:val="21"/>
          <w:szCs w:val="21"/>
        </w:rPr>
      </w:pPr>
      <w:r>
        <w:rPr>
          <w:color w:val="auto"/>
          <w:spacing w:val="-11"/>
          <w:sz w:val="21"/>
          <w:szCs w:val="21"/>
        </w:rPr>
        <w:t>(1)承包人应当对在施工场地或者附近实施与合同工程有关的其他工作的独立承包</w:t>
      </w:r>
      <w:r>
        <w:rPr>
          <w:color w:val="auto"/>
          <w:spacing w:val="-12"/>
          <w:sz w:val="21"/>
          <w:szCs w:val="21"/>
        </w:rPr>
        <w:t>人履行管理、协</w:t>
      </w:r>
      <w:r>
        <w:rPr>
          <w:color w:val="auto"/>
          <w:spacing w:val="-19"/>
          <w:sz w:val="21"/>
          <w:szCs w:val="21"/>
        </w:rPr>
        <w:t>调、配合、照管和服务义务的具体工作内容和要求：</w:t>
      </w:r>
    </w:p>
    <w:p w14:paraId="3C2EC912">
      <w:pPr>
        <w:pStyle w:val="17"/>
        <w:spacing w:before="1" w:line="219" w:lineRule="auto"/>
        <w:ind w:firstLine="384" w:firstLineChars="200"/>
        <w:rPr>
          <w:color w:val="auto"/>
          <w:spacing w:val="-9"/>
          <w:sz w:val="21"/>
          <w:szCs w:val="21"/>
        </w:rPr>
      </w:pPr>
      <w:r>
        <w:rPr>
          <w:rFonts w:hint="eastAsia"/>
          <w:color w:val="auto"/>
          <w:spacing w:val="-9"/>
          <w:sz w:val="21"/>
          <w:szCs w:val="21"/>
        </w:rPr>
        <w:t>承包人对本工程现场的使用仅限于完成本工程施工的目的，不允许承包人将现场用于非本合同或与本合同不想管的工作。</w:t>
      </w:r>
    </w:p>
    <w:p w14:paraId="3B193F01">
      <w:pPr>
        <w:pStyle w:val="17"/>
        <w:spacing w:before="1" w:line="219" w:lineRule="auto"/>
        <w:ind w:firstLine="384" w:firstLineChars="200"/>
        <w:rPr>
          <w:color w:val="auto"/>
          <w:spacing w:val="-9"/>
          <w:sz w:val="21"/>
          <w:szCs w:val="21"/>
        </w:rPr>
      </w:pPr>
      <w:r>
        <w:rPr>
          <w:rFonts w:hint="eastAsia"/>
          <w:color w:val="auto"/>
          <w:spacing w:val="-9"/>
          <w:sz w:val="21"/>
          <w:szCs w:val="21"/>
        </w:rPr>
        <w:t>承包人需办理有关施工场地交通、环卫、和施工噪音管理等手续。</w:t>
      </w:r>
    </w:p>
    <w:p w14:paraId="212879FD">
      <w:pPr>
        <w:pStyle w:val="17"/>
        <w:spacing w:before="1" w:line="219" w:lineRule="auto"/>
        <w:ind w:firstLine="384" w:firstLineChars="200"/>
        <w:rPr>
          <w:color w:val="auto"/>
          <w:spacing w:val="-9"/>
          <w:sz w:val="21"/>
          <w:szCs w:val="21"/>
        </w:rPr>
      </w:pPr>
      <w:r>
        <w:rPr>
          <w:rFonts w:hint="eastAsia"/>
          <w:color w:val="auto"/>
          <w:spacing w:val="-9"/>
          <w:sz w:val="21"/>
          <w:szCs w:val="21"/>
        </w:rPr>
        <w:t>需要办理特别通行证时，由承包人负责办证，发包人协助。</w:t>
      </w:r>
    </w:p>
    <w:p w14:paraId="3BB1674D">
      <w:pPr>
        <w:pStyle w:val="17"/>
        <w:spacing w:before="1" w:line="219" w:lineRule="auto"/>
        <w:ind w:firstLine="384" w:firstLineChars="200"/>
        <w:rPr>
          <w:color w:val="auto"/>
          <w:spacing w:val="-9"/>
          <w:sz w:val="21"/>
          <w:szCs w:val="21"/>
        </w:rPr>
      </w:pPr>
      <w:r>
        <w:rPr>
          <w:rFonts w:hint="eastAsia"/>
          <w:color w:val="auto"/>
          <w:spacing w:val="-9"/>
          <w:sz w:val="21"/>
          <w:szCs w:val="21"/>
        </w:rPr>
        <w:t>除合同另有约定外，承包人应提供未按照合同完成工程所需的劳务、材料、施工设备、工程设备和其他物品，以及按合同约定的临时设施等。</w:t>
      </w:r>
    </w:p>
    <w:p w14:paraId="6EBD903D">
      <w:pPr>
        <w:pStyle w:val="17"/>
        <w:spacing w:before="1" w:line="219" w:lineRule="auto"/>
        <w:ind w:left="380"/>
        <w:rPr>
          <w:color w:val="auto"/>
          <w:spacing w:val="-9"/>
          <w:sz w:val="21"/>
          <w:szCs w:val="21"/>
        </w:rPr>
      </w:pPr>
      <w:r>
        <w:rPr>
          <w:rFonts w:hint="eastAsia"/>
          <w:color w:val="auto"/>
          <w:spacing w:val="-9"/>
          <w:sz w:val="21"/>
          <w:szCs w:val="21"/>
        </w:rPr>
        <w:t>承包人应对所有现场作业、所有施工方法和全部工程的完备性、稳定性和安全性负责。</w:t>
      </w:r>
    </w:p>
    <w:p w14:paraId="0A35C9E2">
      <w:pPr>
        <w:pStyle w:val="17"/>
        <w:spacing w:before="1" w:line="219" w:lineRule="auto"/>
        <w:ind w:left="380"/>
        <w:rPr>
          <w:color w:val="auto"/>
          <w:spacing w:val="-9"/>
          <w:sz w:val="21"/>
          <w:szCs w:val="21"/>
        </w:rPr>
      </w:pPr>
      <w:r>
        <w:rPr>
          <w:rFonts w:hint="eastAsia"/>
          <w:color w:val="auto"/>
          <w:spacing w:val="-9"/>
          <w:sz w:val="21"/>
          <w:szCs w:val="21"/>
        </w:rPr>
        <w:t>承包人应按照法律规定和合同约定，负责施工场地及其周边环境与生态的保护工作。</w:t>
      </w:r>
    </w:p>
    <w:p w14:paraId="5CA44FA8">
      <w:pPr>
        <w:pStyle w:val="17"/>
        <w:spacing w:before="1" w:line="219" w:lineRule="auto"/>
        <w:ind w:left="380"/>
        <w:rPr>
          <w:color w:val="auto"/>
          <w:spacing w:val="-9"/>
          <w:sz w:val="21"/>
          <w:szCs w:val="21"/>
        </w:rPr>
      </w:pPr>
      <w:r>
        <w:rPr>
          <w:rFonts w:hint="eastAsia"/>
          <w:color w:val="auto"/>
          <w:spacing w:val="-9"/>
          <w:sz w:val="21"/>
          <w:szCs w:val="21"/>
        </w:rPr>
        <w:t>上述工作所涉及的费用已包含在合同价款中。</w:t>
      </w:r>
    </w:p>
    <w:p w14:paraId="7642805D">
      <w:pPr>
        <w:pStyle w:val="17"/>
        <w:spacing w:before="1" w:line="219" w:lineRule="auto"/>
        <w:ind w:left="380"/>
        <w:rPr>
          <w:color w:val="auto"/>
          <w:sz w:val="21"/>
          <w:szCs w:val="21"/>
        </w:rPr>
      </w:pPr>
      <w:r>
        <w:rPr>
          <w:color w:val="auto"/>
          <w:spacing w:val="-9"/>
          <w:sz w:val="21"/>
          <w:szCs w:val="21"/>
        </w:rPr>
        <w:t>4.1.10承包人的设计工作</w:t>
      </w:r>
    </w:p>
    <w:p w14:paraId="3BC55A75">
      <w:pPr>
        <w:pStyle w:val="17"/>
        <w:spacing w:before="142" w:line="219" w:lineRule="auto"/>
        <w:ind w:left="380"/>
        <w:rPr>
          <w:color w:val="auto"/>
          <w:sz w:val="21"/>
          <w:szCs w:val="21"/>
          <w:u w:val="single"/>
        </w:rPr>
      </w:pPr>
      <w:r>
        <w:rPr>
          <w:color w:val="auto"/>
          <w:spacing w:val="-19"/>
          <w:sz w:val="21"/>
          <w:szCs w:val="21"/>
        </w:rPr>
        <w:t>承包人承担的施工图设计或与工程配套的设计工作内容：</w:t>
      </w:r>
      <w:r>
        <w:rPr>
          <w:rFonts w:hint="eastAsia"/>
          <w:color w:val="auto"/>
          <w:spacing w:val="-19"/>
          <w:sz w:val="21"/>
          <w:szCs w:val="21"/>
          <w:u w:val="single"/>
        </w:rPr>
        <w:t xml:space="preserve">         /                         </w:t>
      </w:r>
    </w:p>
    <w:p w14:paraId="2DE2C113">
      <w:pPr>
        <w:spacing w:line="464" w:lineRule="auto"/>
        <w:rPr>
          <w:color w:val="auto"/>
          <w:szCs w:val="21"/>
        </w:rPr>
      </w:pPr>
    </w:p>
    <w:p w14:paraId="6B063063">
      <w:pPr>
        <w:pStyle w:val="17"/>
        <w:spacing w:before="66" w:line="219" w:lineRule="auto"/>
        <w:ind w:left="380"/>
        <w:rPr>
          <w:color w:val="auto"/>
          <w:sz w:val="21"/>
          <w:szCs w:val="21"/>
        </w:rPr>
      </w:pPr>
      <w:r>
        <w:rPr>
          <w:color w:val="auto"/>
          <w:spacing w:val="-6"/>
          <w:sz w:val="21"/>
          <w:szCs w:val="21"/>
        </w:rPr>
        <w:t>4.1.12其他义务</w:t>
      </w:r>
    </w:p>
    <w:p w14:paraId="6FA9C6D3">
      <w:pPr>
        <w:pStyle w:val="17"/>
        <w:spacing w:before="162" w:line="333" w:lineRule="auto"/>
        <w:ind w:right="156" w:firstLine="380"/>
        <w:rPr>
          <w:color w:val="auto"/>
          <w:sz w:val="21"/>
          <w:szCs w:val="21"/>
        </w:rPr>
      </w:pPr>
      <w:r>
        <w:rPr>
          <w:color w:val="auto"/>
          <w:spacing w:val="-11"/>
          <w:sz w:val="21"/>
          <w:szCs w:val="21"/>
        </w:rPr>
        <w:t>(1)安全文明施工费由承包人统一管理，承包人对工程安全文明施工负总责。</w:t>
      </w:r>
    </w:p>
    <w:p w14:paraId="3534AE12">
      <w:pPr>
        <w:pStyle w:val="17"/>
        <w:spacing w:before="66" w:line="334" w:lineRule="auto"/>
        <w:ind w:right="163" w:firstLine="380"/>
        <w:rPr>
          <w:color w:val="auto"/>
          <w:sz w:val="21"/>
          <w:szCs w:val="21"/>
        </w:rPr>
      </w:pPr>
      <w:r>
        <w:rPr>
          <w:color w:val="auto"/>
          <w:spacing w:val="-4"/>
          <w:sz w:val="21"/>
          <w:szCs w:val="21"/>
        </w:rPr>
        <w:t>(2)对于超过一定规模的危大工程(如有),承包人应当组织</w:t>
      </w:r>
      <w:r>
        <w:rPr>
          <w:color w:val="auto"/>
          <w:spacing w:val="-5"/>
          <w:sz w:val="21"/>
          <w:szCs w:val="21"/>
        </w:rPr>
        <w:t>召开专家论证会对专项施工方案进行</w:t>
      </w:r>
      <w:r>
        <w:rPr>
          <w:color w:val="auto"/>
          <w:spacing w:val="-14"/>
          <w:sz w:val="21"/>
          <w:szCs w:val="21"/>
        </w:rPr>
        <w:t>论证，并根据专家论证意见对专项方案进行调整，发包人原因造成的专项方案调整，其费用变化由发包</w:t>
      </w:r>
      <w:r>
        <w:rPr>
          <w:color w:val="auto"/>
          <w:spacing w:val="-19"/>
          <w:sz w:val="21"/>
          <w:szCs w:val="21"/>
        </w:rPr>
        <w:t>人承担。</w:t>
      </w:r>
    </w:p>
    <w:p w14:paraId="0489DDA9">
      <w:pPr>
        <w:pStyle w:val="17"/>
        <w:spacing w:before="66" w:line="334" w:lineRule="auto"/>
        <w:ind w:right="163" w:firstLine="380"/>
        <w:rPr>
          <w:color w:val="auto"/>
          <w:spacing w:val="-4"/>
          <w:sz w:val="21"/>
          <w:szCs w:val="21"/>
        </w:rPr>
      </w:pPr>
      <w:r>
        <w:rPr>
          <w:color w:val="auto"/>
          <w:spacing w:val="-4"/>
          <w:sz w:val="21"/>
          <w:szCs w:val="21"/>
        </w:rPr>
        <w:t>(3)承包人应履行的其他义务：</w:t>
      </w:r>
    </w:p>
    <w:p w14:paraId="03A3EE70">
      <w:pPr>
        <w:spacing w:line="320" w:lineRule="auto"/>
        <w:rPr>
          <w:color w:val="auto"/>
          <w:szCs w:val="21"/>
        </w:rPr>
      </w:pPr>
    </w:p>
    <w:p w14:paraId="0614BD1F">
      <w:pPr>
        <w:pStyle w:val="17"/>
        <w:spacing w:before="68" w:line="220" w:lineRule="auto"/>
        <w:rPr>
          <w:color w:val="auto"/>
          <w:sz w:val="21"/>
          <w:szCs w:val="21"/>
        </w:rPr>
      </w:pPr>
      <w:r>
        <w:rPr>
          <w:color w:val="auto"/>
          <w:spacing w:val="1"/>
          <w:sz w:val="21"/>
          <w:szCs w:val="21"/>
        </w:rPr>
        <w:t>4.2履约担保</w:t>
      </w:r>
    </w:p>
    <w:p w14:paraId="691D681F">
      <w:pPr>
        <w:spacing w:line="249" w:lineRule="auto"/>
        <w:rPr>
          <w:color w:val="auto"/>
          <w:szCs w:val="21"/>
        </w:rPr>
      </w:pPr>
    </w:p>
    <w:p w14:paraId="3E8C11F8">
      <w:pPr>
        <w:pStyle w:val="17"/>
        <w:spacing w:before="68" w:line="219" w:lineRule="auto"/>
        <w:ind w:left="360"/>
        <w:rPr>
          <w:color w:val="auto"/>
          <w:sz w:val="21"/>
          <w:szCs w:val="21"/>
        </w:rPr>
      </w:pPr>
      <w:r>
        <w:rPr>
          <w:color w:val="auto"/>
          <w:spacing w:val="-22"/>
          <w:sz w:val="21"/>
          <w:szCs w:val="21"/>
        </w:rPr>
        <w:t>4.2.1承包人履约担保的格式和金额</w:t>
      </w:r>
    </w:p>
    <w:p w14:paraId="2477E545">
      <w:pPr>
        <w:pStyle w:val="17"/>
        <w:spacing w:before="66" w:line="334" w:lineRule="auto"/>
        <w:ind w:right="163" w:firstLine="380"/>
        <w:rPr>
          <w:color w:val="auto"/>
          <w:spacing w:val="-4"/>
          <w:sz w:val="21"/>
          <w:szCs w:val="21"/>
        </w:rPr>
      </w:pPr>
      <w:r>
        <w:rPr>
          <w:color w:val="auto"/>
          <w:spacing w:val="-4"/>
          <w:sz w:val="21"/>
          <w:szCs w:val="21"/>
        </w:rPr>
        <w:t>发包人</w:t>
      </w:r>
      <w:r>
        <w:rPr>
          <w:color w:val="auto"/>
          <w:spacing w:val="-4"/>
          <w:sz w:val="21"/>
          <w:szCs w:val="21"/>
          <w:u w:val="single"/>
        </w:rPr>
        <w:t>不要求</w:t>
      </w:r>
      <w:r>
        <w:rPr>
          <w:color w:val="auto"/>
          <w:spacing w:val="-4"/>
          <w:sz w:val="21"/>
          <w:szCs w:val="21"/>
        </w:rPr>
        <w:t>(要求/不要求)承包人提供承包人履约担保。承包人履约担保的金额为</w:t>
      </w:r>
      <w:r>
        <w:rPr>
          <w:color w:val="auto"/>
          <w:spacing w:val="-4"/>
          <w:sz w:val="21"/>
          <w:szCs w:val="21"/>
          <w:u w:val="single"/>
        </w:rPr>
        <w:t>/</w:t>
      </w:r>
    </w:p>
    <w:p w14:paraId="346C1BA4">
      <w:pPr>
        <w:pStyle w:val="17"/>
        <w:spacing w:before="150" w:line="360" w:lineRule="auto"/>
        <w:rPr>
          <w:color w:val="auto"/>
          <w:sz w:val="21"/>
          <w:szCs w:val="21"/>
        </w:rPr>
      </w:pPr>
      <w:r>
        <w:rPr>
          <w:color w:val="auto"/>
          <w:spacing w:val="-1"/>
          <w:sz w:val="21"/>
          <w:szCs w:val="21"/>
        </w:rPr>
        <w:t>4.11不利物质条件</w:t>
      </w:r>
    </w:p>
    <w:p w14:paraId="75C0ACCB">
      <w:pPr>
        <w:pStyle w:val="17"/>
        <w:spacing w:before="66" w:line="334" w:lineRule="auto"/>
        <w:ind w:right="163" w:firstLine="380"/>
        <w:rPr>
          <w:color w:val="auto"/>
          <w:spacing w:val="-4"/>
          <w:sz w:val="21"/>
          <w:szCs w:val="21"/>
        </w:rPr>
      </w:pPr>
      <w:r>
        <w:rPr>
          <w:color w:val="auto"/>
          <w:spacing w:val="-4"/>
          <w:sz w:val="21"/>
          <w:szCs w:val="21"/>
        </w:rPr>
        <w:t>4.11.1 不利物质条件的范围：</w:t>
      </w:r>
      <w:r>
        <w:rPr>
          <w:color w:val="auto"/>
          <w:spacing w:val="-4"/>
          <w:sz w:val="21"/>
          <w:szCs w:val="21"/>
          <w:u w:val="single"/>
        </w:rPr>
        <w:t>按通用条款执行</w:t>
      </w:r>
    </w:p>
    <w:p w14:paraId="57BE9474">
      <w:pPr>
        <w:spacing w:line="408" w:lineRule="auto"/>
        <w:rPr>
          <w:color w:val="auto"/>
          <w:szCs w:val="21"/>
        </w:rPr>
      </w:pPr>
    </w:p>
    <w:p w14:paraId="2D6B930F">
      <w:pPr>
        <w:pStyle w:val="17"/>
        <w:spacing w:before="69" w:line="219" w:lineRule="auto"/>
        <w:rPr>
          <w:color w:val="auto"/>
          <w:sz w:val="21"/>
          <w:szCs w:val="21"/>
        </w:rPr>
      </w:pPr>
      <w:r>
        <w:rPr>
          <w:b/>
          <w:bCs/>
          <w:color w:val="auto"/>
          <w:spacing w:val="-7"/>
          <w:sz w:val="21"/>
          <w:szCs w:val="21"/>
        </w:rPr>
        <w:t>5.材料和工程设备</w:t>
      </w:r>
    </w:p>
    <w:p w14:paraId="1A60FF04">
      <w:pPr>
        <w:pStyle w:val="17"/>
        <w:spacing w:before="69" w:line="219" w:lineRule="auto"/>
        <w:rPr>
          <w:color w:val="auto"/>
          <w:sz w:val="21"/>
          <w:szCs w:val="21"/>
        </w:rPr>
      </w:pPr>
      <w:r>
        <w:rPr>
          <w:b/>
          <w:bCs/>
          <w:color w:val="auto"/>
          <w:spacing w:val="-4"/>
          <w:sz w:val="21"/>
          <w:szCs w:val="21"/>
        </w:rPr>
        <w:t>5.1承包人提供的材料和工程设备</w:t>
      </w:r>
    </w:p>
    <w:p w14:paraId="022BC8C7">
      <w:pPr>
        <w:spacing w:line="270" w:lineRule="auto"/>
        <w:rPr>
          <w:color w:val="auto"/>
          <w:szCs w:val="21"/>
        </w:rPr>
      </w:pPr>
    </w:p>
    <w:p w14:paraId="4DBF5420">
      <w:pPr>
        <w:pStyle w:val="17"/>
        <w:spacing w:before="66" w:line="334" w:lineRule="auto"/>
        <w:ind w:right="163" w:firstLine="380"/>
        <w:rPr>
          <w:color w:val="auto"/>
          <w:spacing w:val="-4"/>
          <w:sz w:val="21"/>
          <w:szCs w:val="21"/>
        </w:rPr>
      </w:pPr>
      <w:r>
        <w:rPr>
          <w:color w:val="auto"/>
          <w:spacing w:val="-4"/>
          <w:sz w:val="21"/>
          <w:szCs w:val="21"/>
        </w:rPr>
        <w:t>5.1.2承包人将由其提供的材料和工程设备的供货人和品种、规格、数量及供货时间等报送监理人审批的期限：</w:t>
      </w:r>
      <w:r>
        <w:rPr>
          <w:color w:val="auto"/>
          <w:spacing w:val="-4"/>
          <w:sz w:val="21"/>
          <w:szCs w:val="21"/>
          <w:u w:val="single"/>
        </w:rPr>
        <w:t>开工前7天</w:t>
      </w:r>
    </w:p>
    <w:p w14:paraId="5DFAF809">
      <w:pPr>
        <w:pStyle w:val="17"/>
        <w:spacing w:before="297" w:line="219" w:lineRule="auto"/>
        <w:rPr>
          <w:color w:val="auto"/>
          <w:sz w:val="21"/>
          <w:szCs w:val="21"/>
        </w:rPr>
      </w:pPr>
      <w:r>
        <w:rPr>
          <w:b/>
          <w:bCs/>
          <w:color w:val="auto"/>
          <w:spacing w:val="-10"/>
          <w:sz w:val="21"/>
          <w:szCs w:val="21"/>
        </w:rPr>
        <w:t>6.施工设备和临时设施</w:t>
      </w:r>
    </w:p>
    <w:p w14:paraId="29E10C21">
      <w:pPr>
        <w:pStyle w:val="17"/>
        <w:spacing w:before="69" w:line="219" w:lineRule="auto"/>
        <w:rPr>
          <w:color w:val="auto"/>
          <w:sz w:val="21"/>
          <w:szCs w:val="21"/>
        </w:rPr>
      </w:pPr>
      <w:r>
        <w:rPr>
          <w:b/>
          <w:bCs/>
          <w:color w:val="auto"/>
          <w:spacing w:val="-4"/>
          <w:sz w:val="21"/>
          <w:szCs w:val="21"/>
        </w:rPr>
        <w:t>6.1承包人提供的施工设备和临时设施</w:t>
      </w:r>
    </w:p>
    <w:p w14:paraId="3C6674DB">
      <w:pPr>
        <w:pStyle w:val="17"/>
        <w:spacing w:before="66" w:line="334" w:lineRule="auto"/>
        <w:ind w:right="163" w:firstLine="380"/>
        <w:rPr>
          <w:color w:val="auto"/>
          <w:spacing w:val="-4"/>
          <w:sz w:val="21"/>
          <w:szCs w:val="21"/>
          <w:u w:val="single"/>
        </w:rPr>
      </w:pPr>
      <w:r>
        <w:rPr>
          <w:color w:val="auto"/>
          <w:spacing w:val="-4"/>
          <w:sz w:val="21"/>
          <w:szCs w:val="21"/>
        </w:rPr>
        <w:t>6.1.2 承包人承担自行修建临时设施费用的范围：</w:t>
      </w:r>
      <w:r>
        <w:rPr>
          <w:rFonts w:hint="eastAsia"/>
          <w:color w:val="auto"/>
          <w:spacing w:val="-4"/>
          <w:sz w:val="21"/>
          <w:szCs w:val="21"/>
          <w:u w:val="single"/>
        </w:rPr>
        <w:t xml:space="preserve">       /       </w:t>
      </w:r>
    </w:p>
    <w:p w14:paraId="71D0A330">
      <w:pPr>
        <w:pStyle w:val="17"/>
        <w:spacing w:before="66" w:line="334" w:lineRule="auto"/>
        <w:ind w:right="163" w:firstLine="380"/>
        <w:rPr>
          <w:color w:val="auto"/>
          <w:spacing w:val="-4"/>
          <w:sz w:val="21"/>
          <w:szCs w:val="21"/>
        </w:rPr>
      </w:pPr>
      <w:r>
        <w:rPr>
          <w:color w:val="auto"/>
          <w:spacing w:val="-4"/>
          <w:sz w:val="21"/>
          <w:szCs w:val="21"/>
        </w:rPr>
        <w:t>发包人办理申请手续并承担相关费用的临时占地：</w:t>
      </w:r>
      <w:r>
        <w:rPr>
          <w:rFonts w:hint="eastAsia"/>
          <w:color w:val="auto"/>
          <w:spacing w:val="-4"/>
          <w:sz w:val="21"/>
          <w:szCs w:val="21"/>
          <w:u w:val="single"/>
        </w:rPr>
        <w:t xml:space="preserve">              /    </w:t>
      </w:r>
    </w:p>
    <w:p w14:paraId="590128F7">
      <w:pPr>
        <w:spacing w:line="353" w:lineRule="auto"/>
        <w:rPr>
          <w:color w:val="auto"/>
          <w:szCs w:val="21"/>
        </w:rPr>
      </w:pPr>
    </w:p>
    <w:p w14:paraId="46BEF3AE">
      <w:pPr>
        <w:pStyle w:val="17"/>
        <w:spacing w:before="70" w:line="219" w:lineRule="auto"/>
        <w:rPr>
          <w:color w:val="auto"/>
          <w:sz w:val="21"/>
          <w:szCs w:val="21"/>
        </w:rPr>
      </w:pPr>
      <w:r>
        <w:rPr>
          <w:b/>
          <w:bCs/>
          <w:color w:val="auto"/>
          <w:spacing w:val="-2"/>
          <w:sz w:val="21"/>
          <w:szCs w:val="21"/>
        </w:rPr>
        <w:t>6.2发包人提供的施工设备和临时设施</w:t>
      </w:r>
    </w:p>
    <w:p w14:paraId="28354BD4">
      <w:pPr>
        <w:pStyle w:val="17"/>
        <w:spacing w:before="66" w:line="334" w:lineRule="auto"/>
        <w:ind w:right="163" w:firstLine="380"/>
        <w:rPr>
          <w:color w:val="auto"/>
          <w:spacing w:val="-4"/>
          <w:sz w:val="21"/>
          <w:szCs w:val="21"/>
          <w:u w:val="single"/>
        </w:rPr>
      </w:pPr>
      <w:r>
        <w:rPr>
          <w:color w:val="auto"/>
          <w:spacing w:val="-4"/>
          <w:sz w:val="21"/>
          <w:szCs w:val="21"/>
        </w:rPr>
        <w:t>发包人提供的施工设备和临时设施：</w:t>
      </w:r>
      <w:r>
        <w:rPr>
          <w:rFonts w:hint="eastAsia"/>
          <w:color w:val="auto"/>
          <w:spacing w:val="-4"/>
          <w:sz w:val="21"/>
          <w:szCs w:val="21"/>
          <w:u w:val="single"/>
        </w:rPr>
        <w:t xml:space="preserve">      /          </w:t>
      </w:r>
    </w:p>
    <w:p w14:paraId="1CE0BA6F">
      <w:pPr>
        <w:pStyle w:val="17"/>
        <w:spacing w:before="66" w:line="334" w:lineRule="auto"/>
        <w:ind w:right="163" w:firstLine="380"/>
        <w:rPr>
          <w:color w:val="auto"/>
          <w:spacing w:val="-4"/>
          <w:sz w:val="21"/>
          <w:szCs w:val="21"/>
          <w:u w:val="single"/>
        </w:rPr>
      </w:pPr>
      <w:r>
        <w:rPr>
          <w:color w:val="auto"/>
          <w:spacing w:val="-4"/>
          <w:sz w:val="21"/>
          <w:szCs w:val="21"/>
        </w:rPr>
        <w:t>发包人提供的施工设备和临时设施的运行、维护、拆除、清运费用的承担人：</w:t>
      </w:r>
      <w:r>
        <w:rPr>
          <w:rFonts w:hint="eastAsia"/>
          <w:color w:val="auto"/>
          <w:spacing w:val="-4"/>
          <w:sz w:val="21"/>
          <w:szCs w:val="21"/>
          <w:u w:val="single"/>
        </w:rPr>
        <w:t xml:space="preserve"> /  </w:t>
      </w:r>
    </w:p>
    <w:p w14:paraId="018A7F5C">
      <w:pPr>
        <w:spacing w:line="360" w:lineRule="auto"/>
        <w:rPr>
          <w:color w:val="auto"/>
          <w:szCs w:val="21"/>
        </w:rPr>
      </w:pPr>
    </w:p>
    <w:p w14:paraId="61FA1A55">
      <w:pPr>
        <w:pStyle w:val="17"/>
        <w:spacing w:before="68" w:line="360" w:lineRule="auto"/>
        <w:rPr>
          <w:color w:val="auto"/>
          <w:sz w:val="21"/>
          <w:szCs w:val="21"/>
        </w:rPr>
      </w:pPr>
      <w:r>
        <w:rPr>
          <w:b/>
          <w:bCs/>
          <w:color w:val="auto"/>
          <w:spacing w:val="-12"/>
          <w:sz w:val="21"/>
          <w:szCs w:val="21"/>
        </w:rPr>
        <w:t>7.交通运输</w:t>
      </w:r>
    </w:p>
    <w:p w14:paraId="4A3EC29F">
      <w:pPr>
        <w:pStyle w:val="17"/>
        <w:spacing w:before="69" w:line="360" w:lineRule="auto"/>
        <w:rPr>
          <w:color w:val="auto"/>
          <w:sz w:val="21"/>
          <w:szCs w:val="21"/>
        </w:rPr>
      </w:pPr>
      <w:r>
        <w:rPr>
          <w:b/>
          <w:bCs/>
          <w:color w:val="auto"/>
          <w:spacing w:val="-2"/>
          <w:sz w:val="21"/>
          <w:szCs w:val="21"/>
        </w:rPr>
        <w:t>7.1道路通行权和场外设施</w:t>
      </w:r>
    </w:p>
    <w:p w14:paraId="30099AB4">
      <w:pPr>
        <w:pStyle w:val="17"/>
        <w:spacing w:before="66" w:line="334" w:lineRule="auto"/>
        <w:ind w:right="163" w:firstLine="380"/>
        <w:rPr>
          <w:color w:val="auto"/>
          <w:spacing w:val="-4"/>
          <w:sz w:val="21"/>
          <w:szCs w:val="21"/>
        </w:rPr>
      </w:pPr>
      <w:r>
        <w:rPr>
          <w:color w:val="auto"/>
          <w:spacing w:val="-4"/>
          <w:sz w:val="21"/>
          <w:szCs w:val="21"/>
        </w:rPr>
        <w:t>负责取得道路通行权、场外设施修建权的办理人：</w:t>
      </w:r>
      <w:r>
        <w:rPr>
          <w:color w:val="auto"/>
          <w:spacing w:val="-4"/>
          <w:sz w:val="21"/>
          <w:szCs w:val="21"/>
          <w:u w:val="single"/>
        </w:rPr>
        <w:t>发包人</w:t>
      </w:r>
      <w:r>
        <w:rPr>
          <w:color w:val="auto"/>
          <w:spacing w:val="-4"/>
          <w:sz w:val="21"/>
          <w:szCs w:val="21"/>
        </w:rPr>
        <w:t>，其相关费用由发包人承担。</w:t>
      </w:r>
    </w:p>
    <w:p w14:paraId="12F2154B">
      <w:pPr>
        <w:pStyle w:val="17"/>
        <w:spacing w:before="144" w:line="219" w:lineRule="auto"/>
        <w:rPr>
          <w:color w:val="auto"/>
          <w:sz w:val="21"/>
          <w:szCs w:val="21"/>
        </w:rPr>
      </w:pPr>
      <w:r>
        <w:rPr>
          <w:b/>
          <w:bCs/>
          <w:color w:val="auto"/>
          <w:spacing w:val="5"/>
          <w:sz w:val="21"/>
          <w:szCs w:val="21"/>
        </w:rPr>
        <w:t>7.2场内施工道路</w:t>
      </w:r>
    </w:p>
    <w:p w14:paraId="4C8B771E">
      <w:pPr>
        <w:pStyle w:val="17"/>
        <w:spacing w:before="66" w:line="334" w:lineRule="auto"/>
        <w:ind w:right="163" w:firstLine="380"/>
        <w:rPr>
          <w:color w:val="auto"/>
          <w:spacing w:val="-4"/>
          <w:sz w:val="21"/>
          <w:szCs w:val="21"/>
        </w:rPr>
      </w:pPr>
      <w:r>
        <w:rPr>
          <w:color w:val="auto"/>
          <w:spacing w:val="-4"/>
          <w:sz w:val="21"/>
          <w:szCs w:val="21"/>
        </w:rPr>
        <w:t>7.2.1 施工所需的场内临时道路和交通设施的修建、维护、养护和管理人：</w:t>
      </w:r>
      <w:r>
        <w:rPr>
          <w:color w:val="auto"/>
          <w:spacing w:val="-4"/>
          <w:sz w:val="21"/>
          <w:szCs w:val="21"/>
          <w:u w:val="single"/>
        </w:rPr>
        <w:t>承包人</w:t>
      </w:r>
      <w:r>
        <w:rPr>
          <w:color w:val="auto"/>
          <w:spacing w:val="-4"/>
          <w:sz w:val="21"/>
          <w:szCs w:val="21"/>
        </w:rPr>
        <w:t>，相关费用由</w:t>
      </w:r>
      <w:r>
        <w:rPr>
          <w:color w:val="auto"/>
          <w:spacing w:val="-4"/>
          <w:sz w:val="21"/>
          <w:szCs w:val="21"/>
          <w:u w:val="single"/>
        </w:rPr>
        <w:t xml:space="preserve"> 承包人</w:t>
      </w:r>
      <w:r>
        <w:rPr>
          <w:color w:val="auto"/>
          <w:spacing w:val="-4"/>
          <w:sz w:val="21"/>
          <w:szCs w:val="21"/>
        </w:rPr>
        <w:t>承担。</w:t>
      </w:r>
    </w:p>
    <w:p w14:paraId="49CE35E5">
      <w:pPr>
        <w:pStyle w:val="17"/>
        <w:spacing w:before="209" w:line="219" w:lineRule="auto"/>
        <w:rPr>
          <w:color w:val="auto"/>
          <w:sz w:val="21"/>
          <w:szCs w:val="21"/>
        </w:rPr>
      </w:pPr>
      <w:r>
        <w:rPr>
          <w:b/>
          <w:bCs/>
          <w:color w:val="auto"/>
          <w:spacing w:val="5"/>
          <w:sz w:val="21"/>
          <w:szCs w:val="21"/>
        </w:rPr>
        <w:t>7.4超大件和超重件的运输</w:t>
      </w:r>
    </w:p>
    <w:p w14:paraId="0CD607F3">
      <w:pPr>
        <w:pStyle w:val="17"/>
        <w:spacing w:before="66" w:line="334" w:lineRule="auto"/>
        <w:ind w:right="163" w:firstLine="380"/>
        <w:rPr>
          <w:color w:val="auto"/>
          <w:spacing w:val="-4"/>
          <w:sz w:val="21"/>
          <w:szCs w:val="21"/>
        </w:rPr>
      </w:pPr>
      <w:r>
        <w:rPr>
          <w:color w:val="auto"/>
          <w:spacing w:val="-4"/>
          <w:sz w:val="21"/>
          <w:szCs w:val="21"/>
        </w:rPr>
        <w:t>运输超大件或超重件所需的道路和桥梁临时加固改造等费用的承担人：</w:t>
      </w:r>
      <w:r>
        <w:rPr>
          <w:color w:val="auto"/>
          <w:spacing w:val="-4"/>
          <w:sz w:val="21"/>
          <w:szCs w:val="21"/>
          <w:u w:val="single"/>
        </w:rPr>
        <w:t>承包人</w:t>
      </w:r>
    </w:p>
    <w:p w14:paraId="0F394BE2">
      <w:pPr>
        <w:spacing w:line="425" w:lineRule="auto"/>
        <w:rPr>
          <w:color w:val="auto"/>
          <w:szCs w:val="21"/>
        </w:rPr>
      </w:pPr>
    </w:p>
    <w:p w14:paraId="7DCF6EF4">
      <w:pPr>
        <w:pStyle w:val="17"/>
        <w:spacing w:before="65" w:line="360" w:lineRule="auto"/>
        <w:rPr>
          <w:color w:val="auto"/>
          <w:sz w:val="21"/>
          <w:szCs w:val="21"/>
        </w:rPr>
      </w:pPr>
      <w:r>
        <w:rPr>
          <w:b/>
          <w:bCs/>
          <w:color w:val="auto"/>
          <w:sz w:val="21"/>
          <w:szCs w:val="21"/>
        </w:rPr>
        <w:t>8.测量放线</w:t>
      </w:r>
    </w:p>
    <w:p w14:paraId="0231586A">
      <w:pPr>
        <w:pStyle w:val="17"/>
        <w:spacing w:before="65" w:line="360" w:lineRule="auto"/>
        <w:rPr>
          <w:color w:val="auto"/>
          <w:sz w:val="21"/>
          <w:szCs w:val="21"/>
        </w:rPr>
      </w:pPr>
      <w:r>
        <w:rPr>
          <w:b/>
          <w:bCs/>
          <w:color w:val="auto"/>
          <w:spacing w:val="6"/>
          <w:sz w:val="21"/>
          <w:szCs w:val="21"/>
        </w:rPr>
        <w:t>8.1施工控制网</w:t>
      </w:r>
    </w:p>
    <w:p w14:paraId="59293430">
      <w:pPr>
        <w:pStyle w:val="17"/>
        <w:spacing w:before="66" w:line="334" w:lineRule="auto"/>
        <w:ind w:right="163" w:firstLine="380"/>
        <w:rPr>
          <w:color w:val="auto"/>
          <w:spacing w:val="-4"/>
          <w:sz w:val="21"/>
          <w:szCs w:val="21"/>
          <w:u w:val="single"/>
        </w:rPr>
      </w:pPr>
      <w:r>
        <w:rPr>
          <w:color w:val="auto"/>
          <w:spacing w:val="-4"/>
          <w:sz w:val="21"/>
          <w:szCs w:val="21"/>
        </w:rPr>
        <w:t>8.1.1 发包人通过监理人提供测量基准点、基准线和水准点及其书面资料的期限：</w:t>
      </w:r>
      <w:r>
        <w:rPr>
          <w:color w:val="auto"/>
          <w:spacing w:val="-4"/>
          <w:sz w:val="21"/>
          <w:szCs w:val="21"/>
          <w:u w:val="single"/>
        </w:rPr>
        <w:t>合同签订后7天</w:t>
      </w:r>
    </w:p>
    <w:p w14:paraId="7881DB8C">
      <w:pPr>
        <w:pStyle w:val="17"/>
        <w:spacing w:before="66" w:line="334" w:lineRule="auto"/>
        <w:ind w:right="163" w:firstLine="380"/>
        <w:rPr>
          <w:color w:val="auto"/>
          <w:spacing w:val="-4"/>
          <w:sz w:val="21"/>
          <w:szCs w:val="21"/>
          <w:u w:val="single"/>
        </w:rPr>
      </w:pPr>
      <w:r>
        <w:rPr>
          <w:color w:val="auto"/>
          <w:spacing w:val="-4"/>
          <w:sz w:val="21"/>
          <w:szCs w:val="21"/>
        </w:rPr>
        <w:t>8.1.2 承包人测设施工控制网的其他要求：</w:t>
      </w:r>
      <w:r>
        <w:rPr>
          <w:color w:val="auto"/>
          <w:spacing w:val="-4"/>
          <w:sz w:val="21"/>
          <w:szCs w:val="21"/>
          <w:u w:val="single"/>
        </w:rPr>
        <w:t>由承包人依据监理人提供的测量基准点、基准线和水准点以及国家的工程测量技术规 范和合同要求的工程精度，测设自己的施工控制网</w:t>
      </w:r>
    </w:p>
    <w:p w14:paraId="00421C0A">
      <w:pPr>
        <w:pStyle w:val="17"/>
        <w:spacing w:before="66" w:line="334" w:lineRule="auto"/>
        <w:ind w:right="163" w:firstLine="380"/>
        <w:rPr>
          <w:color w:val="auto"/>
          <w:spacing w:val="-4"/>
          <w:sz w:val="21"/>
          <w:szCs w:val="21"/>
          <w:u w:val="single"/>
        </w:rPr>
      </w:pPr>
      <w:r>
        <w:rPr>
          <w:color w:val="auto"/>
          <w:spacing w:val="-4"/>
          <w:sz w:val="21"/>
          <w:szCs w:val="21"/>
        </w:rPr>
        <w:t>承包人将施工控制网资料报送监理人审批的期限：</w:t>
      </w:r>
      <w:r>
        <w:rPr>
          <w:color w:val="auto"/>
          <w:spacing w:val="-4"/>
          <w:sz w:val="21"/>
          <w:szCs w:val="21"/>
          <w:u w:val="single"/>
        </w:rPr>
        <w:t>收到监理人发出的开工通知后7天内</w:t>
      </w:r>
    </w:p>
    <w:p w14:paraId="70B21A30">
      <w:pPr>
        <w:pStyle w:val="17"/>
        <w:spacing w:before="65" w:line="360" w:lineRule="auto"/>
        <w:rPr>
          <w:rFonts w:asciiTheme="minorEastAsia" w:hAnsiTheme="minorEastAsia" w:eastAsiaTheme="minorEastAsia"/>
          <w:color w:val="auto"/>
          <w:sz w:val="21"/>
          <w:szCs w:val="21"/>
        </w:rPr>
      </w:pPr>
      <w:r>
        <w:rPr>
          <w:rFonts w:asciiTheme="minorEastAsia" w:hAnsiTheme="minorEastAsia" w:eastAsiaTheme="minorEastAsia"/>
          <w:b/>
          <w:bCs/>
          <w:color w:val="auto"/>
          <w:spacing w:val="-10"/>
          <w:sz w:val="21"/>
          <w:szCs w:val="21"/>
        </w:rPr>
        <w:t>9.施工安全、治安保卫和环境保护</w:t>
      </w:r>
    </w:p>
    <w:p w14:paraId="7AA475BD">
      <w:pPr>
        <w:pStyle w:val="17"/>
        <w:spacing w:before="66" w:line="360" w:lineRule="auto"/>
        <w:rPr>
          <w:rFonts w:asciiTheme="minorEastAsia" w:hAnsiTheme="minorEastAsia" w:eastAsiaTheme="minorEastAsia"/>
          <w:color w:val="auto"/>
          <w:sz w:val="21"/>
          <w:szCs w:val="21"/>
        </w:rPr>
      </w:pPr>
      <w:r>
        <w:rPr>
          <w:rFonts w:asciiTheme="minorEastAsia" w:hAnsiTheme="minorEastAsia" w:eastAsiaTheme="minorEastAsia"/>
          <w:b/>
          <w:bCs/>
          <w:color w:val="auto"/>
          <w:spacing w:val="5"/>
          <w:sz w:val="21"/>
          <w:szCs w:val="21"/>
        </w:rPr>
        <w:t>9.2承包人的施工安全责任</w:t>
      </w:r>
    </w:p>
    <w:p w14:paraId="353690C6">
      <w:pPr>
        <w:pStyle w:val="17"/>
        <w:spacing w:before="66" w:line="334" w:lineRule="auto"/>
        <w:ind w:right="163" w:firstLine="380"/>
        <w:rPr>
          <w:color w:val="auto"/>
          <w:spacing w:val="-4"/>
          <w:sz w:val="21"/>
          <w:szCs w:val="21"/>
          <w:u w:val="single"/>
        </w:rPr>
      </w:pPr>
      <w:r>
        <w:rPr>
          <w:color w:val="auto"/>
          <w:spacing w:val="-4"/>
          <w:sz w:val="21"/>
          <w:szCs w:val="21"/>
        </w:rPr>
        <w:t>9.2.1 承包人向监理人报送施工安全措施计划的期限：</w:t>
      </w:r>
      <w:r>
        <w:rPr>
          <w:color w:val="auto"/>
          <w:spacing w:val="-4"/>
          <w:sz w:val="21"/>
          <w:szCs w:val="21"/>
          <w:u w:val="single"/>
        </w:rPr>
        <w:t>收到监理人发出的开工通知后7天内</w:t>
      </w:r>
    </w:p>
    <w:p w14:paraId="0053E9B3">
      <w:pPr>
        <w:pStyle w:val="17"/>
        <w:spacing w:before="66" w:line="334" w:lineRule="auto"/>
        <w:ind w:right="163" w:firstLine="380"/>
        <w:rPr>
          <w:color w:val="auto"/>
          <w:spacing w:val="-4"/>
          <w:sz w:val="21"/>
          <w:szCs w:val="21"/>
        </w:rPr>
      </w:pPr>
      <w:r>
        <w:rPr>
          <w:color w:val="auto"/>
          <w:spacing w:val="-4"/>
          <w:sz w:val="21"/>
          <w:szCs w:val="21"/>
        </w:rPr>
        <w:t>监理人收到承包人报送的施工安全措施计划后应当在</w:t>
      </w:r>
      <w:r>
        <w:rPr>
          <w:color w:val="auto"/>
          <w:spacing w:val="-4"/>
          <w:sz w:val="21"/>
          <w:szCs w:val="21"/>
          <w:u w:val="single"/>
        </w:rPr>
        <w:t xml:space="preserve">7 </w:t>
      </w:r>
      <w:r>
        <w:rPr>
          <w:color w:val="auto"/>
          <w:spacing w:val="-4"/>
          <w:sz w:val="21"/>
          <w:szCs w:val="21"/>
        </w:rPr>
        <w:t>天内给予批复。</w:t>
      </w:r>
    </w:p>
    <w:p w14:paraId="4CF684C7">
      <w:pPr>
        <w:pStyle w:val="17"/>
        <w:spacing w:before="65" w:line="360" w:lineRule="auto"/>
        <w:rPr>
          <w:rFonts w:asciiTheme="minorEastAsia" w:hAnsiTheme="minorEastAsia" w:eastAsiaTheme="minorEastAsia"/>
          <w:color w:val="auto"/>
          <w:sz w:val="21"/>
          <w:szCs w:val="21"/>
        </w:rPr>
      </w:pPr>
      <w:r>
        <w:rPr>
          <w:rFonts w:asciiTheme="minorEastAsia" w:hAnsiTheme="minorEastAsia" w:eastAsiaTheme="minorEastAsia"/>
          <w:color w:val="auto"/>
          <w:spacing w:val="4"/>
          <w:sz w:val="21"/>
          <w:szCs w:val="21"/>
        </w:rPr>
        <w:t>9.3  治安保卫</w:t>
      </w:r>
    </w:p>
    <w:p w14:paraId="5D74AB67">
      <w:pPr>
        <w:pStyle w:val="17"/>
        <w:spacing w:before="66" w:line="334" w:lineRule="auto"/>
        <w:ind w:right="163" w:firstLine="380"/>
        <w:rPr>
          <w:color w:val="auto"/>
          <w:spacing w:val="-4"/>
          <w:sz w:val="21"/>
          <w:szCs w:val="21"/>
          <w:u w:val="single"/>
        </w:rPr>
      </w:pPr>
      <w:r>
        <w:rPr>
          <w:color w:val="auto"/>
          <w:spacing w:val="-4"/>
          <w:sz w:val="21"/>
          <w:szCs w:val="21"/>
        </w:rPr>
        <w:t>9.3.3制定施工场地治安管理计划和突发治安事件紧急预案的责任人</w:t>
      </w:r>
      <w:r>
        <w:rPr>
          <w:color w:val="auto"/>
          <w:spacing w:val="-4"/>
          <w:sz w:val="21"/>
          <w:szCs w:val="21"/>
          <w:u w:val="single"/>
        </w:rPr>
        <w:t>：承包人</w:t>
      </w:r>
    </w:p>
    <w:p w14:paraId="3156A0DF">
      <w:pPr>
        <w:pStyle w:val="17"/>
        <w:spacing w:before="65" w:line="360" w:lineRule="auto"/>
        <w:rPr>
          <w:rFonts w:asciiTheme="minorEastAsia" w:hAnsiTheme="minorEastAsia" w:eastAsiaTheme="minorEastAsia"/>
          <w:color w:val="auto"/>
          <w:sz w:val="21"/>
          <w:szCs w:val="21"/>
        </w:rPr>
      </w:pPr>
      <w:r>
        <w:rPr>
          <w:rFonts w:asciiTheme="minorEastAsia" w:hAnsiTheme="minorEastAsia" w:eastAsiaTheme="minorEastAsia"/>
          <w:color w:val="auto"/>
          <w:spacing w:val="5"/>
          <w:sz w:val="21"/>
          <w:szCs w:val="21"/>
        </w:rPr>
        <w:t>9.4环境保护</w:t>
      </w:r>
    </w:p>
    <w:p w14:paraId="1EBC6484">
      <w:pPr>
        <w:pStyle w:val="17"/>
        <w:spacing w:before="66" w:line="334" w:lineRule="auto"/>
        <w:ind w:right="163" w:firstLine="380"/>
        <w:rPr>
          <w:color w:val="auto"/>
          <w:spacing w:val="-4"/>
          <w:sz w:val="21"/>
          <w:szCs w:val="21"/>
        </w:rPr>
      </w:pPr>
      <w:r>
        <w:rPr>
          <w:color w:val="auto"/>
          <w:spacing w:val="-4"/>
          <w:sz w:val="21"/>
          <w:szCs w:val="21"/>
        </w:rPr>
        <w:t>9.4.3 施工环保措施计划报送监理人审批的时间：</w:t>
      </w:r>
      <w:r>
        <w:rPr>
          <w:color w:val="auto"/>
          <w:spacing w:val="-4"/>
          <w:sz w:val="21"/>
          <w:szCs w:val="21"/>
          <w:u w:val="single"/>
        </w:rPr>
        <w:t>签订合同后7天内</w:t>
      </w:r>
    </w:p>
    <w:p w14:paraId="51B264A5">
      <w:pPr>
        <w:pStyle w:val="17"/>
        <w:spacing w:before="66" w:line="334" w:lineRule="auto"/>
        <w:ind w:right="163" w:firstLine="380"/>
        <w:rPr>
          <w:color w:val="auto"/>
          <w:spacing w:val="-4"/>
          <w:sz w:val="21"/>
          <w:szCs w:val="21"/>
        </w:rPr>
      </w:pPr>
      <w:r>
        <w:rPr>
          <w:color w:val="auto"/>
          <w:spacing w:val="-4"/>
          <w:sz w:val="21"/>
          <w:szCs w:val="21"/>
        </w:rPr>
        <w:t>监理人收到承包人报送的施工环保措施计划后应当在7 天内给予批复。</w:t>
      </w:r>
    </w:p>
    <w:p w14:paraId="72CDDF70">
      <w:pPr>
        <w:spacing w:line="325" w:lineRule="auto"/>
        <w:rPr>
          <w:color w:val="auto"/>
          <w:szCs w:val="21"/>
        </w:rPr>
      </w:pPr>
    </w:p>
    <w:p w14:paraId="694C110F">
      <w:pPr>
        <w:pStyle w:val="17"/>
        <w:spacing w:before="66" w:line="219" w:lineRule="auto"/>
        <w:rPr>
          <w:color w:val="auto"/>
          <w:sz w:val="21"/>
          <w:szCs w:val="21"/>
        </w:rPr>
      </w:pPr>
      <w:r>
        <w:rPr>
          <w:color w:val="auto"/>
          <w:spacing w:val="6"/>
          <w:sz w:val="21"/>
          <w:szCs w:val="21"/>
        </w:rPr>
        <w:t>9.6施工现场安全生产标准化管理目标</w:t>
      </w:r>
    </w:p>
    <w:p w14:paraId="29410DC2">
      <w:pPr>
        <w:pStyle w:val="17"/>
        <w:spacing w:before="66" w:line="334" w:lineRule="auto"/>
        <w:ind w:right="163" w:firstLine="380"/>
        <w:rPr>
          <w:color w:val="auto"/>
          <w:spacing w:val="-4"/>
          <w:sz w:val="21"/>
          <w:szCs w:val="21"/>
        </w:rPr>
      </w:pPr>
      <w:r>
        <w:rPr>
          <w:color w:val="auto"/>
          <w:spacing w:val="-4"/>
          <w:sz w:val="21"/>
          <w:szCs w:val="21"/>
        </w:rPr>
        <w:t>9.6.1 未达到合同协议书中约定的安全生产标准化管理目标等级的违约金或损失赔偿金的金额或者 计算方法：</w:t>
      </w:r>
    </w:p>
    <w:p w14:paraId="1F9DB54D">
      <w:pPr>
        <w:pStyle w:val="17"/>
        <w:spacing w:before="66" w:line="334" w:lineRule="auto"/>
        <w:ind w:right="163" w:firstLine="380"/>
        <w:rPr>
          <w:color w:val="auto"/>
          <w:spacing w:val="-4"/>
          <w:sz w:val="21"/>
          <w:szCs w:val="21"/>
          <w:u w:val="single"/>
        </w:rPr>
      </w:pPr>
      <w:r>
        <w:rPr>
          <w:color w:val="auto"/>
          <w:spacing w:val="-4"/>
          <w:sz w:val="21"/>
          <w:szCs w:val="21"/>
          <w:u w:val="single"/>
        </w:rPr>
        <w:t>A-(1-K1÷K2)×F</w:t>
      </w:r>
    </w:p>
    <w:p w14:paraId="2A5FA571">
      <w:pPr>
        <w:pStyle w:val="17"/>
        <w:spacing w:before="66" w:line="334" w:lineRule="auto"/>
        <w:ind w:right="163" w:firstLine="380"/>
        <w:rPr>
          <w:color w:val="auto"/>
          <w:spacing w:val="-4"/>
          <w:sz w:val="21"/>
          <w:szCs w:val="21"/>
          <w:u w:val="single"/>
        </w:rPr>
      </w:pPr>
      <w:r>
        <w:rPr>
          <w:color w:val="auto"/>
          <w:spacing w:val="-4"/>
          <w:sz w:val="21"/>
          <w:szCs w:val="21"/>
          <w:u w:val="single"/>
        </w:rPr>
        <w:t>其中：计算的违约损失赔偿金；</w:t>
      </w:r>
    </w:p>
    <w:p w14:paraId="69A9F884">
      <w:pPr>
        <w:pStyle w:val="17"/>
        <w:spacing w:before="66" w:line="334" w:lineRule="auto"/>
        <w:ind w:right="163" w:firstLine="380"/>
        <w:rPr>
          <w:color w:val="auto"/>
          <w:spacing w:val="-4"/>
          <w:sz w:val="21"/>
          <w:szCs w:val="21"/>
          <w:u w:val="single"/>
        </w:rPr>
      </w:pPr>
      <w:r>
        <w:rPr>
          <w:color w:val="auto"/>
          <w:spacing w:val="-4"/>
          <w:sz w:val="21"/>
          <w:szCs w:val="21"/>
          <w:u w:val="single"/>
        </w:rPr>
        <w:t xml:space="preserve">K1标准化考评认定等级对应《安全文明施工管理办法》规定的标准费率：  </w:t>
      </w:r>
    </w:p>
    <w:p w14:paraId="2B25B151">
      <w:pPr>
        <w:pStyle w:val="17"/>
        <w:spacing w:before="66" w:line="334" w:lineRule="auto"/>
        <w:ind w:right="163" w:firstLine="380"/>
        <w:rPr>
          <w:color w:val="auto"/>
          <w:spacing w:val="-4"/>
          <w:sz w:val="21"/>
          <w:szCs w:val="21"/>
          <w:u w:val="single"/>
        </w:rPr>
      </w:pPr>
      <w:r>
        <w:rPr>
          <w:color w:val="auto"/>
          <w:spacing w:val="-4"/>
          <w:sz w:val="21"/>
          <w:szCs w:val="21"/>
          <w:u w:val="single"/>
        </w:rPr>
        <w:t>K2 合同约定的管理目标等级对应《安全文明施工管理办法》规定的标准费率；  F合同中载明的安全文明施工费总额。</w:t>
      </w:r>
    </w:p>
    <w:p w14:paraId="43197E11">
      <w:pPr>
        <w:pStyle w:val="17"/>
        <w:spacing w:before="66" w:line="334" w:lineRule="auto"/>
        <w:ind w:right="163" w:firstLine="380"/>
        <w:rPr>
          <w:color w:val="auto"/>
          <w:spacing w:val="-4"/>
          <w:sz w:val="21"/>
          <w:szCs w:val="21"/>
          <w:u w:val="single"/>
        </w:rPr>
      </w:pPr>
      <w:r>
        <w:rPr>
          <w:color w:val="auto"/>
          <w:spacing w:val="-4"/>
          <w:sz w:val="21"/>
          <w:szCs w:val="21"/>
        </w:rPr>
        <w:t>9.6.2 发包人不给予承包人创优奖励。发包人给予承包人创优奖励的，创优奖励金额或者计算方法：</w:t>
      </w:r>
      <w:r>
        <w:rPr>
          <w:rFonts w:hint="eastAsia"/>
          <w:color w:val="auto"/>
          <w:spacing w:val="-4"/>
          <w:sz w:val="21"/>
          <w:szCs w:val="21"/>
          <w:u w:val="single"/>
        </w:rPr>
        <w:t xml:space="preserve">        /          </w:t>
      </w:r>
    </w:p>
    <w:p w14:paraId="0ECBDE84">
      <w:pPr>
        <w:pStyle w:val="17"/>
        <w:spacing w:before="68" w:line="219" w:lineRule="auto"/>
        <w:rPr>
          <w:color w:val="auto"/>
          <w:sz w:val="21"/>
          <w:szCs w:val="21"/>
        </w:rPr>
      </w:pPr>
      <w:r>
        <w:rPr>
          <w:color w:val="auto"/>
          <w:spacing w:val="1"/>
          <w:sz w:val="21"/>
          <w:szCs w:val="21"/>
        </w:rPr>
        <w:t>9.7特殊安全文明施工</w:t>
      </w:r>
    </w:p>
    <w:p w14:paraId="0A8204E5">
      <w:pPr>
        <w:spacing w:line="250" w:lineRule="auto"/>
        <w:rPr>
          <w:color w:val="auto"/>
          <w:szCs w:val="21"/>
        </w:rPr>
      </w:pPr>
    </w:p>
    <w:p w14:paraId="6C827F9D">
      <w:pPr>
        <w:pStyle w:val="17"/>
        <w:spacing w:before="66" w:line="334" w:lineRule="auto"/>
        <w:ind w:right="163" w:firstLine="380"/>
        <w:rPr>
          <w:color w:val="auto"/>
          <w:spacing w:val="-4"/>
          <w:sz w:val="21"/>
          <w:szCs w:val="21"/>
        </w:rPr>
      </w:pPr>
      <w:r>
        <w:rPr>
          <w:color w:val="auto"/>
          <w:spacing w:val="-4"/>
          <w:sz w:val="21"/>
          <w:szCs w:val="21"/>
        </w:rPr>
        <w:t>9.7.1 未达到合同约定的特殊安全文明施工要求的违约金或损失赔偿金的金额或者计算方法：</w:t>
      </w:r>
      <w:r>
        <w:rPr>
          <w:color w:val="auto"/>
          <w:spacing w:val="-4"/>
          <w:sz w:val="21"/>
          <w:szCs w:val="21"/>
          <w:u w:val="single"/>
        </w:rPr>
        <w:t>发包人、承包人另行协商。</w:t>
      </w:r>
    </w:p>
    <w:p w14:paraId="181AA085">
      <w:pPr>
        <w:pStyle w:val="17"/>
        <w:spacing w:before="66" w:line="334" w:lineRule="auto"/>
        <w:ind w:right="163" w:firstLine="380"/>
        <w:rPr>
          <w:color w:val="auto"/>
          <w:spacing w:val="-4"/>
          <w:sz w:val="21"/>
          <w:szCs w:val="21"/>
          <w:u w:val="single"/>
        </w:rPr>
      </w:pPr>
      <w:r>
        <w:rPr>
          <w:color w:val="auto"/>
          <w:spacing w:val="-4"/>
          <w:sz w:val="21"/>
          <w:szCs w:val="21"/>
        </w:rPr>
        <w:t>9.7.2 发包人不给予承包人创优奖励。发包人给予承包人创优奖励的，创优奖励金额或者计算方法：</w:t>
      </w:r>
      <w:r>
        <w:rPr>
          <w:rFonts w:hint="eastAsia"/>
          <w:color w:val="auto"/>
          <w:spacing w:val="-4"/>
          <w:sz w:val="21"/>
          <w:szCs w:val="21"/>
          <w:u w:val="single"/>
        </w:rPr>
        <w:t xml:space="preserve">        /          </w:t>
      </w:r>
    </w:p>
    <w:p w14:paraId="51DFD9FA">
      <w:pPr>
        <w:pStyle w:val="17"/>
        <w:spacing w:before="88" w:line="360" w:lineRule="auto"/>
        <w:rPr>
          <w:color w:val="auto"/>
          <w:sz w:val="21"/>
          <w:szCs w:val="21"/>
        </w:rPr>
      </w:pPr>
      <w:r>
        <w:rPr>
          <w:color w:val="auto"/>
          <w:spacing w:val="-8"/>
          <w:sz w:val="21"/>
          <w:szCs w:val="21"/>
        </w:rPr>
        <w:t>10.进度计划</w:t>
      </w:r>
    </w:p>
    <w:p w14:paraId="1F6B7060">
      <w:pPr>
        <w:pStyle w:val="17"/>
        <w:spacing w:before="68" w:line="360" w:lineRule="auto"/>
        <w:rPr>
          <w:color w:val="auto"/>
          <w:sz w:val="21"/>
          <w:szCs w:val="21"/>
        </w:rPr>
      </w:pPr>
      <w:r>
        <w:rPr>
          <w:color w:val="auto"/>
          <w:sz w:val="21"/>
          <w:szCs w:val="21"/>
        </w:rPr>
        <w:t>10.1合同进度计划</w:t>
      </w:r>
    </w:p>
    <w:p w14:paraId="7C956C8E">
      <w:pPr>
        <w:pStyle w:val="17"/>
        <w:spacing w:before="66" w:line="334" w:lineRule="auto"/>
        <w:ind w:right="163" w:firstLine="380"/>
        <w:rPr>
          <w:color w:val="auto"/>
          <w:spacing w:val="-4"/>
          <w:sz w:val="21"/>
          <w:szCs w:val="21"/>
        </w:rPr>
      </w:pPr>
      <w:r>
        <w:rPr>
          <w:color w:val="auto"/>
          <w:spacing w:val="-4"/>
          <w:sz w:val="21"/>
          <w:szCs w:val="21"/>
        </w:rPr>
        <w:t>10.1.1承包人编制施工进度计划和施工方案说明的内容：</w:t>
      </w:r>
    </w:p>
    <w:p w14:paraId="23257F69">
      <w:pPr>
        <w:pStyle w:val="17"/>
        <w:spacing w:before="66" w:line="334" w:lineRule="auto"/>
        <w:ind w:right="163" w:firstLine="380"/>
        <w:rPr>
          <w:color w:val="auto"/>
          <w:spacing w:val="-4"/>
          <w:sz w:val="21"/>
          <w:szCs w:val="21"/>
          <w:u w:val="single"/>
        </w:rPr>
      </w:pPr>
      <w:r>
        <w:rPr>
          <w:color w:val="auto"/>
          <w:spacing w:val="-4"/>
          <w:sz w:val="21"/>
          <w:szCs w:val="21"/>
          <w:u w:val="single"/>
        </w:rPr>
        <w:t>施工进度计划要求：(1)、符合国家政策、法律政策和工程管理有关规定，满足项目的进度目标，合理安排施工进度、保证施工质蜇和施工安全，有利节约施工本。</w:t>
      </w:r>
    </w:p>
    <w:p w14:paraId="6E5FDF86">
      <w:pPr>
        <w:pStyle w:val="17"/>
        <w:spacing w:before="66" w:line="334" w:lineRule="auto"/>
        <w:ind w:right="163" w:firstLine="380"/>
        <w:rPr>
          <w:color w:val="auto"/>
          <w:spacing w:val="-4"/>
          <w:sz w:val="21"/>
          <w:szCs w:val="21"/>
          <w:u w:val="single"/>
        </w:rPr>
      </w:pPr>
      <w:r>
        <w:rPr>
          <w:color w:val="auto"/>
          <w:spacing w:val="-4"/>
          <w:sz w:val="21"/>
          <w:szCs w:val="21"/>
          <w:u w:val="single"/>
        </w:rPr>
        <w:t xml:space="preserve">(2)、施工进度计划要落实施工组织。(3)、应准确、全面的表示施工项目中各个单 位工程或各分项、分部工程的施工顺序、施工时间衔接关系。(4)、以工程项目群体 为对象，对整个工地的所有工程施工活动提出时间安排表。(5)、编制月、旬(或 周)的施工进度计划，并严格按照进度计划施工。(6)其他承包人认为应编制的内容。  </w:t>
      </w:r>
    </w:p>
    <w:p w14:paraId="0130155D">
      <w:pPr>
        <w:pStyle w:val="17"/>
        <w:spacing w:before="66" w:line="334" w:lineRule="auto"/>
        <w:ind w:right="163" w:firstLine="380"/>
        <w:rPr>
          <w:color w:val="auto"/>
          <w:spacing w:val="-4"/>
          <w:sz w:val="21"/>
          <w:szCs w:val="21"/>
          <w:u w:val="single"/>
        </w:rPr>
      </w:pPr>
      <w:r>
        <w:rPr>
          <w:color w:val="auto"/>
          <w:spacing w:val="-4"/>
          <w:sz w:val="21"/>
          <w:szCs w:val="21"/>
          <w:u w:val="single"/>
        </w:rPr>
        <w:t>施工方案应包含以下内容：(1)、工程概况与特点。(2)、施工平面布置图。(3)、施工部署和管理体系。(4)、施工方案及技术措施。(5)、施工质量保证计划。(6)、施工安全保证计划。(7)、文明施工、环保节能降耗保证计划以及辅助、配套的施工措施。(8)、其他承包人认为应编制的内容施工进度计划中还应载明要求 发包人组织设计人进行阶段性工程设计交底的时间。</w:t>
      </w:r>
    </w:p>
    <w:p w14:paraId="51D2B417">
      <w:pPr>
        <w:pStyle w:val="17"/>
        <w:spacing w:before="66" w:line="334" w:lineRule="auto"/>
        <w:ind w:right="163" w:firstLine="380"/>
        <w:rPr>
          <w:color w:val="auto"/>
          <w:spacing w:val="-4"/>
          <w:sz w:val="21"/>
          <w:szCs w:val="21"/>
          <w:u w:val="single"/>
        </w:rPr>
      </w:pPr>
      <w:r>
        <w:rPr>
          <w:color w:val="auto"/>
          <w:spacing w:val="-4"/>
          <w:sz w:val="21"/>
          <w:szCs w:val="21"/>
        </w:rPr>
        <w:t>10.1.2承包人编制分阶段或分项施工进度计划和施工方案说明的内容及时限要求：</w:t>
      </w:r>
      <w:r>
        <w:rPr>
          <w:color w:val="auto"/>
          <w:spacing w:val="-4"/>
          <w:sz w:val="21"/>
          <w:szCs w:val="21"/>
          <w:u w:val="single"/>
        </w:rPr>
        <w:t>自监理人收到承包人报送的相关进度计划和施工方案说明后14天内</w:t>
      </w:r>
    </w:p>
    <w:p w14:paraId="1CA55055">
      <w:pPr>
        <w:pStyle w:val="17"/>
        <w:spacing w:before="66" w:line="334" w:lineRule="auto"/>
        <w:ind w:right="163" w:firstLine="380"/>
        <w:rPr>
          <w:color w:val="auto"/>
          <w:spacing w:val="-4"/>
          <w:sz w:val="21"/>
          <w:szCs w:val="21"/>
          <w:u w:val="single"/>
        </w:rPr>
      </w:pPr>
      <w:r>
        <w:rPr>
          <w:color w:val="auto"/>
          <w:spacing w:val="-4"/>
          <w:sz w:val="21"/>
          <w:szCs w:val="21"/>
        </w:rPr>
        <w:t>10.1.3群体工程中有关编制进度计划和施工方案说明的要求：</w:t>
      </w:r>
      <w:r>
        <w:rPr>
          <w:color w:val="auto"/>
          <w:spacing w:val="-4"/>
          <w:sz w:val="21"/>
          <w:szCs w:val="21"/>
          <w:u w:val="single"/>
        </w:rPr>
        <w:t>同通用条款</w:t>
      </w:r>
    </w:p>
    <w:p w14:paraId="365F31F0">
      <w:pPr>
        <w:spacing w:line="310" w:lineRule="auto"/>
        <w:rPr>
          <w:color w:val="auto"/>
          <w:szCs w:val="21"/>
        </w:rPr>
      </w:pPr>
    </w:p>
    <w:p w14:paraId="5E7D5147">
      <w:pPr>
        <w:pStyle w:val="17"/>
        <w:spacing w:before="68" w:line="360" w:lineRule="auto"/>
        <w:ind w:left="30"/>
        <w:rPr>
          <w:rFonts w:asciiTheme="minorEastAsia" w:hAnsiTheme="minorEastAsia" w:eastAsiaTheme="minorEastAsia"/>
          <w:color w:val="auto"/>
          <w:sz w:val="21"/>
          <w:szCs w:val="21"/>
        </w:rPr>
      </w:pPr>
      <w:r>
        <w:rPr>
          <w:rFonts w:asciiTheme="minorEastAsia" w:hAnsiTheme="minorEastAsia" w:eastAsiaTheme="minorEastAsia"/>
          <w:color w:val="auto"/>
          <w:spacing w:val="-3"/>
          <w:sz w:val="21"/>
          <w:szCs w:val="21"/>
        </w:rPr>
        <w:t>10.2合同进度计划的修订</w:t>
      </w:r>
    </w:p>
    <w:p w14:paraId="3B3FA783">
      <w:pPr>
        <w:pStyle w:val="17"/>
        <w:spacing w:before="0" w:line="360" w:lineRule="auto"/>
        <w:ind w:left="380"/>
        <w:rPr>
          <w:rFonts w:asciiTheme="minorEastAsia" w:hAnsiTheme="minorEastAsia" w:eastAsiaTheme="minorEastAsia"/>
          <w:color w:val="auto"/>
          <w:sz w:val="21"/>
          <w:szCs w:val="21"/>
        </w:rPr>
      </w:pPr>
      <w:r>
        <w:rPr>
          <w:rFonts w:asciiTheme="minorEastAsia" w:hAnsiTheme="minorEastAsia" w:eastAsiaTheme="minorEastAsia"/>
          <w:color w:val="auto"/>
          <w:spacing w:val="-22"/>
          <w:w w:val="98"/>
          <w:sz w:val="21"/>
          <w:szCs w:val="21"/>
        </w:rPr>
        <w:t>10.2.1承包人报送修订合同进度计划申请报告和相关资料的期限：</w:t>
      </w:r>
    </w:p>
    <w:p w14:paraId="5BC688B1">
      <w:pPr>
        <w:pStyle w:val="17"/>
        <w:spacing w:before="0" w:line="360" w:lineRule="auto"/>
        <w:ind w:left="459"/>
        <w:rPr>
          <w:rFonts w:asciiTheme="minorEastAsia" w:hAnsiTheme="minorEastAsia" w:eastAsiaTheme="minorEastAsia"/>
          <w:color w:val="auto"/>
          <w:sz w:val="21"/>
          <w:szCs w:val="21"/>
        </w:rPr>
      </w:pPr>
      <w:r>
        <w:rPr>
          <w:rFonts w:asciiTheme="minorEastAsia" w:hAnsiTheme="minorEastAsia" w:eastAsiaTheme="minorEastAsia"/>
          <w:color w:val="auto"/>
          <w:spacing w:val="-1"/>
          <w:sz w:val="21"/>
          <w:szCs w:val="21"/>
          <w:u w:val="single" w:color="000000"/>
        </w:rPr>
        <w:t>签订合同后7天内</w:t>
      </w:r>
    </w:p>
    <w:p w14:paraId="0F2DEE0D">
      <w:pPr>
        <w:pStyle w:val="17"/>
        <w:spacing w:before="0" w:line="360" w:lineRule="auto"/>
        <w:ind w:left="390"/>
        <w:rPr>
          <w:rFonts w:asciiTheme="minorEastAsia" w:hAnsiTheme="minorEastAsia" w:eastAsiaTheme="minorEastAsia"/>
          <w:color w:val="auto"/>
          <w:sz w:val="21"/>
          <w:szCs w:val="21"/>
        </w:rPr>
      </w:pPr>
      <w:r>
        <w:rPr>
          <w:rFonts w:asciiTheme="minorEastAsia" w:hAnsiTheme="minorEastAsia" w:eastAsiaTheme="minorEastAsia"/>
          <w:color w:val="auto"/>
          <w:spacing w:val="-20"/>
          <w:w w:val="96"/>
          <w:sz w:val="21"/>
          <w:szCs w:val="21"/>
        </w:rPr>
        <w:t>监理人批复修订合同进度计划申请报告的期限：</w:t>
      </w:r>
    </w:p>
    <w:p w14:paraId="4C4621BE">
      <w:pPr>
        <w:pStyle w:val="17"/>
        <w:spacing w:before="0" w:line="360" w:lineRule="auto"/>
        <w:ind w:left="469"/>
        <w:rPr>
          <w:rFonts w:asciiTheme="minorEastAsia" w:hAnsiTheme="minorEastAsia" w:eastAsiaTheme="minorEastAsia"/>
          <w:color w:val="auto"/>
          <w:sz w:val="21"/>
          <w:szCs w:val="21"/>
        </w:rPr>
      </w:pPr>
      <w:r>
        <w:rPr>
          <w:rFonts w:asciiTheme="minorEastAsia" w:hAnsiTheme="minorEastAsia" w:eastAsiaTheme="minorEastAsia"/>
          <w:color w:val="auto"/>
          <w:spacing w:val="-1"/>
          <w:sz w:val="21"/>
          <w:szCs w:val="21"/>
          <w:u w:val="single" w:color="000000"/>
        </w:rPr>
        <w:t>收到修订合同进度计划申请报告和相关资料后7天内</w:t>
      </w:r>
    </w:p>
    <w:p w14:paraId="70C81E02">
      <w:pPr>
        <w:pStyle w:val="17"/>
        <w:spacing w:before="0" w:line="360" w:lineRule="auto"/>
        <w:ind w:left="370"/>
        <w:rPr>
          <w:rFonts w:asciiTheme="minorEastAsia" w:hAnsiTheme="minorEastAsia" w:eastAsiaTheme="minorEastAsia"/>
          <w:color w:val="auto"/>
          <w:sz w:val="21"/>
          <w:szCs w:val="21"/>
        </w:rPr>
      </w:pPr>
      <w:r>
        <w:rPr>
          <w:rFonts w:asciiTheme="minorEastAsia" w:hAnsiTheme="minorEastAsia" w:eastAsiaTheme="minorEastAsia"/>
          <w:color w:val="auto"/>
          <w:spacing w:val="-23"/>
          <w:sz w:val="21"/>
          <w:szCs w:val="21"/>
        </w:rPr>
        <w:t>10.2.2监理人批复修订合同进度计划的期限：</w:t>
      </w:r>
    </w:p>
    <w:p w14:paraId="4A1FFF38">
      <w:pPr>
        <w:pStyle w:val="17"/>
        <w:spacing w:before="0" w:line="360" w:lineRule="auto"/>
        <w:ind w:left="450"/>
        <w:rPr>
          <w:rFonts w:asciiTheme="minorEastAsia" w:hAnsiTheme="minorEastAsia" w:eastAsiaTheme="minorEastAsia"/>
          <w:color w:val="auto"/>
          <w:sz w:val="21"/>
          <w:szCs w:val="21"/>
        </w:rPr>
      </w:pPr>
      <w:r>
        <w:rPr>
          <w:rFonts w:asciiTheme="minorEastAsia" w:hAnsiTheme="minorEastAsia" w:eastAsiaTheme="minorEastAsia"/>
          <w:color w:val="auto"/>
          <w:spacing w:val="-2"/>
          <w:sz w:val="21"/>
          <w:szCs w:val="21"/>
          <w:u w:val="single" w:color="000000"/>
        </w:rPr>
        <w:t>收到修订合同进度计划后7天内</w:t>
      </w:r>
    </w:p>
    <w:p w14:paraId="3C23DD6B">
      <w:pPr>
        <w:pStyle w:val="17"/>
        <w:spacing w:before="68" w:line="360" w:lineRule="auto"/>
        <w:ind w:left="30"/>
        <w:rPr>
          <w:rFonts w:asciiTheme="minorEastAsia" w:hAnsiTheme="minorEastAsia" w:eastAsiaTheme="minorEastAsia"/>
          <w:color w:val="auto"/>
          <w:sz w:val="21"/>
          <w:szCs w:val="21"/>
        </w:rPr>
      </w:pPr>
      <w:r>
        <w:rPr>
          <w:rFonts w:asciiTheme="minorEastAsia" w:hAnsiTheme="minorEastAsia" w:eastAsiaTheme="minorEastAsia"/>
          <w:color w:val="auto"/>
          <w:spacing w:val="-1"/>
          <w:sz w:val="21"/>
          <w:szCs w:val="21"/>
        </w:rPr>
        <w:t>10.3合同进度计划的其他要求</w:t>
      </w:r>
    </w:p>
    <w:p w14:paraId="3EEA60C8">
      <w:pPr>
        <w:pStyle w:val="17"/>
        <w:spacing w:before="56" w:line="360" w:lineRule="auto"/>
        <w:ind w:left="370"/>
        <w:rPr>
          <w:rFonts w:asciiTheme="minorEastAsia" w:hAnsiTheme="minorEastAsia" w:eastAsiaTheme="minorEastAsia"/>
          <w:color w:val="auto"/>
          <w:sz w:val="21"/>
          <w:szCs w:val="21"/>
          <w:u w:val="single"/>
        </w:rPr>
      </w:pPr>
      <w:r>
        <w:rPr>
          <w:rFonts w:asciiTheme="minorEastAsia" w:hAnsiTheme="minorEastAsia" w:eastAsiaTheme="minorEastAsia"/>
          <w:color w:val="auto"/>
          <w:spacing w:val="8"/>
          <w:sz w:val="21"/>
          <w:szCs w:val="21"/>
        </w:rPr>
        <w:t>10.3.2施工进度计划管理的人员配置要求：</w:t>
      </w:r>
      <w:r>
        <w:rPr>
          <w:rFonts w:hint="eastAsia" w:asciiTheme="minorEastAsia" w:hAnsiTheme="minorEastAsia" w:eastAsiaTheme="minorEastAsia"/>
          <w:color w:val="auto"/>
          <w:spacing w:val="8"/>
          <w:sz w:val="21"/>
          <w:szCs w:val="21"/>
          <w:u w:val="single"/>
        </w:rPr>
        <w:t xml:space="preserve">   /    </w:t>
      </w:r>
    </w:p>
    <w:p w14:paraId="34FCE8D8">
      <w:pPr>
        <w:pStyle w:val="17"/>
        <w:spacing w:before="56" w:line="360" w:lineRule="auto"/>
        <w:ind w:left="370"/>
        <w:rPr>
          <w:rFonts w:asciiTheme="minorEastAsia" w:hAnsiTheme="minorEastAsia" w:eastAsiaTheme="minorEastAsia"/>
          <w:color w:val="auto"/>
          <w:spacing w:val="8"/>
          <w:sz w:val="21"/>
          <w:szCs w:val="21"/>
        </w:rPr>
      </w:pPr>
      <w:r>
        <w:rPr>
          <w:rFonts w:asciiTheme="minorEastAsia" w:hAnsiTheme="minorEastAsia" w:eastAsiaTheme="minorEastAsia"/>
          <w:color w:val="auto"/>
          <w:spacing w:val="8"/>
          <w:sz w:val="21"/>
          <w:szCs w:val="21"/>
        </w:rPr>
        <w:t>10.3.3施工进度计划的计算机应用软件要求：</w:t>
      </w:r>
      <w:r>
        <w:rPr>
          <w:rFonts w:hint="eastAsia" w:asciiTheme="minorEastAsia" w:hAnsiTheme="minorEastAsia" w:eastAsiaTheme="minorEastAsia"/>
          <w:color w:val="auto"/>
          <w:spacing w:val="8"/>
          <w:sz w:val="21"/>
          <w:szCs w:val="21"/>
          <w:u w:val="single"/>
        </w:rPr>
        <w:t xml:space="preserve">   /   </w:t>
      </w:r>
    </w:p>
    <w:p w14:paraId="6FCC0C4B">
      <w:pPr>
        <w:pStyle w:val="17"/>
        <w:spacing w:before="82" w:line="360" w:lineRule="auto"/>
        <w:rPr>
          <w:rFonts w:asciiTheme="minorEastAsia" w:hAnsiTheme="minorEastAsia" w:eastAsiaTheme="minorEastAsia"/>
          <w:color w:val="auto"/>
          <w:sz w:val="21"/>
          <w:szCs w:val="21"/>
        </w:rPr>
      </w:pPr>
      <w:r>
        <w:rPr>
          <w:rFonts w:asciiTheme="minorEastAsia" w:hAnsiTheme="minorEastAsia" w:eastAsiaTheme="minorEastAsia"/>
          <w:color w:val="auto"/>
          <w:spacing w:val="9"/>
          <w:sz w:val="21"/>
          <w:szCs w:val="21"/>
        </w:rPr>
        <w:t>11.开工和竣工</w:t>
      </w:r>
    </w:p>
    <w:p w14:paraId="0225B276">
      <w:pPr>
        <w:pStyle w:val="17"/>
        <w:spacing w:before="69" w:line="360" w:lineRule="auto"/>
        <w:ind w:left="30"/>
        <w:rPr>
          <w:rFonts w:asciiTheme="minorEastAsia" w:hAnsiTheme="minorEastAsia" w:eastAsiaTheme="minorEastAsia"/>
          <w:color w:val="auto"/>
          <w:sz w:val="21"/>
          <w:szCs w:val="21"/>
        </w:rPr>
      </w:pPr>
      <w:r>
        <w:rPr>
          <w:rFonts w:asciiTheme="minorEastAsia" w:hAnsiTheme="minorEastAsia" w:eastAsiaTheme="minorEastAsia"/>
          <w:color w:val="auto"/>
          <w:spacing w:val="-2"/>
          <w:sz w:val="21"/>
          <w:szCs w:val="21"/>
        </w:rPr>
        <w:t>11.3发包人的工期延误</w:t>
      </w:r>
    </w:p>
    <w:p w14:paraId="12F35E9E">
      <w:pPr>
        <w:pStyle w:val="17"/>
        <w:spacing w:before="56" w:line="360" w:lineRule="auto"/>
        <w:ind w:left="370"/>
        <w:rPr>
          <w:rFonts w:asciiTheme="minorEastAsia" w:hAnsiTheme="minorEastAsia" w:eastAsiaTheme="minorEastAsia"/>
          <w:color w:val="auto"/>
          <w:spacing w:val="8"/>
          <w:sz w:val="21"/>
          <w:szCs w:val="21"/>
        </w:rPr>
      </w:pPr>
      <w:r>
        <w:rPr>
          <w:rFonts w:asciiTheme="minorEastAsia" w:hAnsiTheme="minorEastAsia" w:eastAsiaTheme="minorEastAsia"/>
          <w:color w:val="auto"/>
          <w:spacing w:val="8"/>
          <w:sz w:val="21"/>
          <w:szCs w:val="21"/>
        </w:rPr>
        <w:t>(8)发包人造成工期延误的其他原因：</w:t>
      </w:r>
      <w:r>
        <w:rPr>
          <w:rFonts w:hint="eastAsia" w:asciiTheme="minorEastAsia" w:hAnsiTheme="minorEastAsia" w:eastAsiaTheme="minorEastAsia"/>
          <w:color w:val="auto"/>
          <w:spacing w:val="8"/>
          <w:sz w:val="21"/>
          <w:szCs w:val="21"/>
          <w:u w:val="single"/>
        </w:rPr>
        <w:t xml:space="preserve">  /   </w:t>
      </w:r>
    </w:p>
    <w:p w14:paraId="4ABD8DCB">
      <w:pPr>
        <w:pStyle w:val="17"/>
        <w:spacing w:before="69" w:line="360" w:lineRule="auto"/>
        <w:ind w:left="20"/>
        <w:rPr>
          <w:rFonts w:asciiTheme="minorEastAsia" w:hAnsiTheme="minorEastAsia" w:eastAsiaTheme="minorEastAsia"/>
          <w:color w:val="auto"/>
          <w:sz w:val="21"/>
          <w:szCs w:val="21"/>
        </w:rPr>
      </w:pPr>
      <w:r>
        <w:rPr>
          <w:rFonts w:asciiTheme="minorEastAsia" w:hAnsiTheme="minorEastAsia" w:eastAsiaTheme="minorEastAsia"/>
          <w:color w:val="auto"/>
          <w:spacing w:val="-3"/>
          <w:sz w:val="21"/>
          <w:szCs w:val="21"/>
        </w:rPr>
        <w:t>11.4异常恶劣的气候条件</w:t>
      </w:r>
    </w:p>
    <w:p w14:paraId="67CB9660">
      <w:pPr>
        <w:pStyle w:val="17"/>
        <w:spacing w:before="56" w:line="360" w:lineRule="auto"/>
        <w:ind w:left="369" w:firstLine="452" w:firstLineChars="200"/>
        <w:rPr>
          <w:rFonts w:asciiTheme="minorEastAsia" w:hAnsiTheme="minorEastAsia" w:eastAsiaTheme="minorEastAsia"/>
          <w:color w:val="auto"/>
          <w:spacing w:val="8"/>
          <w:sz w:val="21"/>
          <w:szCs w:val="21"/>
        </w:rPr>
      </w:pPr>
      <w:r>
        <w:rPr>
          <w:rFonts w:asciiTheme="minorEastAsia" w:hAnsiTheme="minorEastAsia" w:eastAsiaTheme="minorEastAsia"/>
          <w:color w:val="auto"/>
          <w:spacing w:val="8"/>
          <w:sz w:val="21"/>
          <w:szCs w:val="21"/>
        </w:rPr>
        <w:t>异常恶劣的气候条件的范围和标准：</w:t>
      </w:r>
      <w:r>
        <w:rPr>
          <w:rFonts w:asciiTheme="minorEastAsia" w:hAnsiTheme="minorEastAsia" w:eastAsiaTheme="minorEastAsia"/>
          <w:color w:val="auto"/>
          <w:spacing w:val="8"/>
          <w:sz w:val="21"/>
          <w:szCs w:val="21"/>
          <w:u w:val="single"/>
        </w:rPr>
        <w:t>6小时内降雪量大于6mm 以上的降雪、24小时内降水量为100mm 以上的暴雨、连续3天 内最高温度达到40摄氏度或最低温度达到零下20摄氏度、连续2天内7级以上大风等，均 以北京市气象局发布的信息为准。</w:t>
      </w:r>
    </w:p>
    <w:p w14:paraId="1118A929">
      <w:pPr>
        <w:pStyle w:val="17"/>
        <w:spacing w:before="282" w:line="360" w:lineRule="auto"/>
        <w:ind w:left="10"/>
        <w:rPr>
          <w:rFonts w:asciiTheme="minorEastAsia" w:hAnsiTheme="minorEastAsia" w:eastAsiaTheme="minorEastAsia"/>
          <w:color w:val="auto"/>
          <w:sz w:val="21"/>
          <w:szCs w:val="21"/>
        </w:rPr>
      </w:pPr>
      <w:r>
        <w:rPr>
          <w:rFonts w:asciiTheme="minorEastAsia" w:hAnsiTheme="minorEastAsia" w:eastAsiaTheme="minorEastAsia"/>
          <w:color w:val="auto"/>
          <w:spacing w:val="1"/>
          <w:sz w:val="21"/>
          <w:szCs w:val="21"/>
        </w:rPr>
        <w:t>l1.5承包人的工期延误</w:t>
      </w:r>
    </w:p>
    <w:p w14:paraId="556A6894">
      <w:pPr>
        <w:pStyle w:val="17"/>
        <w:spacing w:before="56" w:line="360" w:lineRule="auto"/>
        <w:ind w:left="369" w:firstLine="452" w:firstLineChars="200"/>
        <w:rPr>
          <w:rFonts w:asciiTheme="minorEastAsia" w:hAnsiTheme="minorEastAsia" w:eastAsiaTheme="minorEastAsia"/>
          <w:color w:val="auto"/>
          <w:spacing w:val="8"/>
          <w:sz w:val="21"/>
          <w:szCs w:val="21"/>
          <w:u w:val="single"/>
        </w:rPr>
      </w:pPr>
      <w:r>
        <w:rPr>
          <w:rFonts w:asciiTheme="minorEastAsia" w:hAnsiTheme="minorEastAsia" w:eastAsiaTheme="minorEastAsia"/>
          <w:color w:val="auto"/>
          <w:spacing w:val="8"/>
          <w:sz w:val="21"/>
          <w:szCs w:val="21"/>
        </w:rPr>
        <w:t>11.5.2逾期竣工违约金的计算标准和计算方法：</w:t>
      </w:r>
      <w:r>
        <w:rPr>
          <w:rFonts w:asciiTheme="minorEastAsia" w:hAnsiTheme="minorEastAsia" w:eastAsiaTheme="minorEastAsia"/>
          <w:color w:val="auto"/>
          <w:spacing w:val="8"/>
          <w:sz w:val="21"/>
          <w:szCs w:val="21"/>
          <w:u w:val="single"/>
        </w:rPr>
        <w:t>工期每延误一天，承包人应当向发包人支付违约金人民币工程结算金额的0.2%,不足</w:t>
      </w:r>
      <w:r>
        <w:rPr>
          <w:rFonts w:hint="eastAsia" w:asciiTheme="minorEastAsia" w:hAnsiTheme="minorEastAsia" w:eastAsiaTheme="minorEastAsia"/>
          <w:color w:val="auto"/>
          <w:spacing w:val="8"/>
          <w:sz w:val="21"/>
          <w:szCs w:val="21"/>
          <w:u w:val="single"/>
          <w:lang w:val="en-US" w:eastAsia="zh-CN"/>
        </w:rPr>
        <w:t>一</w:t>
      </w:r>
      <w:r>
        <w:rPr>
          <w:rFonts w:asciiTheme="minorEastAsia" w:hAnsiTheme="minorEastAsia" w:eastAsiaTheme="minorEastAsia"/>
          <w:color w:val="auto"/>
          <w:spacing w:val="8"/>
          <w:sz w:val="21"/>
          <w:szCs w:val="21"/>
          <w:u w:val="single"/>
        </w:rPr>
        <w:t>天按一天计。</w:t>
      </w:r>
    </w:p>
    <w:p w14:paraId="7B83C027">
      <w:pPr>
        <w:pStyle w:val="17"/>
        <w:spacing w:before="56" w:line="360" w:lineRule="auto"/>
        <w:ind w:left="369" w:firstLine="452" w:firstLineChars="200"/>
        <w:rPr>
          <w:rFonts w:hint="default" w:asciiTheme="minorEastAsia" w:hAnsiTheme="minorEastAsia" w:eastAsiaTheme="minorEastAsia"/>
          <w:color w:val="auto"/>
          <w:spacing w:val="8"/>
          <w:sz w:val="21"/>
          <w:szCs w:val="21"/>
          <w:u w:val="single"/>
          <w:lang w:val="en-US" w:eastAsia="zh-CN"/>
        </w:rPr>
      </w:pPr>
      <w:r>
        <w:rPr>
          <w:rFonts w:asciiTheme="minorEastAsia" w:hAnsiTheme="minorEastAsia" w:eastAsiaTheme="minorEastAsia"/>
          <w:color w:val="auto"/>
          <w:spacing w:val="8"/>
          <w:sz w:val="21"/>
          <w:szCs w:val="21"/>
        </w:rPr>
        <w:t>逾期竣工违约金最高限额：</w:t>
      </w:r>
      <w:r>
        <w:rPr>
          <w:rFonts w:asciiTheme="minorEastAsia" w:hAnsiTheme="minorEastAsia" w:eastAsiaTheme="minorEastAsia"/>
          <w:color w:val="auto"/>
          <w:spacing w:val="8"/>
          <w:sz w:val="21"/>
          <w:szCs w:val="21"/>
          <w:u w:val="single"/>
        </w:rPr>
        <w:t>最高不超过合同价的3%</w:t>
      </w:r>
      <w:r>
        <w:rPr>
          <w:rFonts w:hint="eastAsia" w:asciiTheme="minorEastAsia" w:hAnsiTheme="minorEastAsia" w:eastAsiaTheme="minorEastAsia"/>
          <w:color w:val="auto"/>
          <w:spacing w:val="8"/>
          <w:sz w:val="21"/>
          <w:szCs w:val="21"/>
          <w:u w:val="single"/>
          <w:lang w:eastAsia="zh-CN"/>
        </w:rPr>
        <w:t>。</w:t>
      </w:r>
      <w:r>
        <w:rPr>
          <w:rFonts w:hint="eastAsia" w:asciiTheme="minorEastAsia" w:hAnsiTheme="minorEastAsia" w:eastAsiaTheme="minorEastAsia"/>
          <w:color w:val="auto"/>
          <w:spacing w:val="8"/>
          <w:sz w:val="21"/>
          <w:szCs w:val="21"/>
          <w:u w:val="single"/>
          <w:lang w:val="en-US" w:eastAsia="zh-CN"/>
        </w:rPr>
        <w:t>违约金不足以弥补发包人损失的，承包人还应当赔偿发包人的全部损失。</w:t>
      </w:r>
    </w:p>
    <w:p w14:paraId="208E073D">
      <w:pPr>
        <w:pStyle w:val="17"/>
        <w:spacing w:before="0" w:line="360" w:lineRule="auto"/>
        <w:ind w:left="30"/>
        <w:rPr>
          <w:rFonts w:asciiTheme="minorEastAsia" w:hAnsiTheme="minorEastAsia" w:eastAsiaTheme="minorEastAsia"/>
          <w:color w:val="auto"/>
          <w:sz w:val="21"/>
          <w:szCs w:val="21"/>
        </w:rPr>
      </w:pPr>
      <w:r>
        <w:rPr>
          <w:rFonts w:asciiTheme="minorEastAsia" w:hAnsiTheme="minorEastAsia" w:eastAsiaTheme="minorEastAsia"/>
          <w:color w:val="auto"/>
          <w:spacing w:val="-2"/>
          <w:sz w:val="21"/>
          <w:szCs w:val="21"/>
        </w:rPr>
        <w:t>11.6发承包双方原因导致的工期延误</w:t>
      </w:r>
    </w:p>
    <w:p w14:paraId="7F8BB793">
      <w:pPr>
        <w:pStyle w:val="17"/>
        <w:spacing w:before="56" w:line="360" w:lineRule="auto"/>
        <w:ind w:left="369" w:firstLine="452" w:firstLineChars="200"/>
        <w:rPr>
          <w:rFonts w:asciiTheme="minorEastAsia" w:hAnsiTheme="minorEastAsia" w:eastAsiaTheme="minorEastAsia"/>
          <w:color w:val="auto"/>
          <w:spacing w:val="8"/>
          <w:sz w:val="21"/>
          <w:szCs w:val="21"/>
          <w:u w:val="single"/>
        </w:rPr>
      </w:pPr>
      <w:r>
        <w:rPr>
          <w:rFonts w:asciiTheme="minorEastAsia" w:hAnsiTheme="minorEastAsia" w:eastAsiaTheme="minorEastAsia"/>
          <w:color w:val="auto"/>
          <w:spacing w:val="8"/>
          <w:sz w:val="21"/>
          <w:szCs w:val="21"/>
        </w:rPr>
        <w:t>发承包双方导致工期延误的原因：</w:t>
      </w:r>
      <w:r>
        <w:rPr>
          <w:rFonts w:hint="eastAsia" w:asciiTheme="minorEastAsia" w:hAnsiTheme="minorEastAsia" w:eastAsiaTheme="minorEastAsia"/>
          <w:color w:val="auto"/>
          <w:spacing w:val="8"/>
          <w:sz w:val="21"/>
          <w:szCs w:val="21"/>
          <w:u w:val="single"/>
        </w:rPr>
        <w:t>/</w:t>
      </w:r>
    </w:p>
    <w:p w14:paraId="52D0EF0D">
      <w:pPr>
        <w:pStyle w:val="17"/>
        <w:spacing w:before="69" w:line="360" w:lineRule="auto"/>
        <w:ind w:left="20"/>
        <w:rPr>
          <w:rFonts w:asciiTheme="minorEastAsia" w:hAnsiTheme="minorEastAsia" w:eastAsiaTheme="minorEastAsia"/>
          <w:color w:val="auto"/>
          <w:spacing w:val="-3"/>
          <w:sz w:val="21"/>
          <w:szCs w:val="21"/>
        </w:rPr>
      </w:pPr>
      <w:r>
        <w:rPr>
          <w:rFonts w:asciiTheme="minorEastAsia" w:hAnsiTheme="minorEastAsia" w:eastAsiaTheme="minorEastAsia"/>
          <w:color w:val="auto"/>
          <w:spacing w:val="-3"/>
          <w:sz w:val="21"/>
          <w:szCs w:val="21"/>
        </w:rPr>
        <w:t>11.7  非发承包双方原因导致的工期延误 非发承包双方导致工期延误的原因：</w:t>
      </w:r>
    </w:p>
    <w:p w14:paraId="5A5DAFDA">
      <w:pPr>
        <w:spacing w:line="360" w:lineRule="auto"/>
        <w:rPr>
          <w:color w:val="auto"/>
          <w:szCs w:val="21"/>
        </w:rPr>
      </w:pPr>
    </w:p>
    <w:p w14:paraId="0E40F4ED">
      <w:pPr>
        <w:pStyle w:val="17"/>
        <w:adjustRightInd w:val="0"/>
        <w:snapToGrid w:val="0"/>
        <w:spacing w:before="0" w:line="360" w:lineRule="auto"/>
        <w:rPr>
          <w:color w:val="auto"/>
          <w:sz w:val="21"/>
          <w:szCs w:val="21"/>
        </w:rPr>
      </w:pPr>
      <w:r>
        <w:rPr>
          <w:color w:val="auto"/>
          <w:spacing w:val="-2"/>
          <w:sz w:val="21"/>
          <w:szCs w:val="21"/>
        </w:rPr>
        <w:t>11.8工期提前</w:t>
      </w:r>
    </w:p>
    <w:p w14:paraId="53F754DE">
      <w:pPr>
        <w:pStyle w:val="17"/>
        <w:adjustRightInd w:val="0"/>
        <w:snapToGrid w:val="0"/>
        <w:spacing w:before="0" w:line="360" w:lineRule="auto"/>
        <w:ind w:left="360"/>
        <w:rPr>
          <w:color w:val="auto"/>
          <w:sz w:val="21"/>
          <w:szCs w:val="21"/>
        </w:rPr>
      </w:pPr>
      <w:r>
        <w:rPr>
          <w:color w:val="auto"/>
          <w:spacing w:val="-18"/>
          <w:sz w:val="21"/>
          <w:szCs w:val="21"/>
        </w:rPr>
        <w:t>提前竣工的奖励办法：</w:t>
      </w:r>
      <w:r>
        <w:rPr>
          <w:rFonts w:hint="eastAsia"/>
          <w:color w:val="auto"/>
          <w:spacing w:val="-18"/>
          <w:sz w:val="21"/>
          <w:szCs w:val="21"/>
        </w:rPr>
        <w:t>/</w:t>
      </w:r>
    </w:p>
    <w:p w14:paraId="121186EC">
      <w:pPr>
        <w:adjustRightInd w:val="0"/>
        <w:snapToGrid w:val="0"/>
        <w:spacing w:line="360" w:lineRule="auto"/>
        <w:rPr>
          <w:color w:val="auto"/>
          <w:szCs w:val="21"/>
        </w:rPr>
      </w:pPr>
    </w:p>
    <w:p w14:paraId="7C993188">
      <w:pPr>
        <w:pStyle w:val="17"/>
        <w:adjustRightInd w:val="0"/>
        <w:snapToGrid w:val="0"/>
        <w:spacing w:before="0" w:line="360" w:lineRule="auto"/>
        <w:rPr>
          <w:color w:val="auto"/>
          <w:sz w:val="21"/>
          <w:szCs w:val="21"/>
        </w:rPr>
      </w:pPr>
      <w:r>
        <w:rPr>
          <w:color w:val="auto"/>
          <w:spacing w:val="-8"/>
          <w:sz w:val="21"/>
          <w:szCs w:val="21"/>
        </w:rPr>
        <w:t>12.暂停施工</w:t>
      </w:r>
    </w:p>
    <w:p w14:paraId="77383E28">
      <w:pPr>
        <w:pStyle w:val="17"/>
        <w:adjustRightInd w:val="0"/>
        <w:snapToGrid w:val="0"/>
        <w:spacing w:before="0" w:line="360" w:lineRule="auto"/>
        <w:rPr>
          <w:color w:val="auto"/>
          <w:sz w:val="21"/>
          <w:szCs w:val="21"/>
        </w:rPr>
      </w:pPr>
      <w:r>
        <w:rPr>
          <w:color w:val="auto"/>
          <w:spacing w:val="6"/>
          <w:sz w:val="21"/>
          <w:szCs w:val="21"/>
        </w:rPr>
        <w:t>12.1承包人暂停施工的责任</w:t>
      </w:r>
    </w:p>
    <w:p w14:paraId="037E8C75">
      <w:pPr>
        <w:pStyle w:val="17"/>
        <w:adjustRightInd w:val="0"/>
        <w:snapToGrid w:val="0"/>
        <w:spacing w:before="0" w:line="360" w:lineRule="auto"/>
        <w:ind w:left="449"/>
        <w:rPr>
          <w:color w:val="auto"/>
          <w:sz w:val="21"/>
          <w:szCs w:val="21"/>
        </w:rPr>
      </w:pPr>
      <w:r>
        <w:rPr>
          <w:color w:val="auto"/>
          <w:spacing w:val="-13"/>
          <w:sz w:val="21"/>
          <w:szCs w:val="21"/>
        </w:rPr>
        <w:t>(4)承包人承担暂停施工责任的其他情形：</w:t>
      </w:r>
      <w:r>
        <w:rPr>
          <w:rFonts w:asciiTheme="minorEastAsia" w:hAnsiTheme="minorEastAsia" w:eastAsiaTheme="minorEastAsia"/>
          <w:color w:val="auto"/>
          <w:spacing w:val="8"/>
          <w:sz w:val="21"/>
          <w:szCs w:val="21"/>
        </w:rPr>
        <w:t>异常恶劣的气候</w:t>
      </w:r>
      <w:r>
        <w:rPr>
          <w:rFonts w:hint="eastAsia" w:asciiTheme="minorEastAsia" w:hAnsiTheme="minorEastAsia" w:eastAsiaTheme="minorEastAsia"/>
          <w:color w:val="auto"/>
          <w:spacing w:val="8"/>
          <w:sz w:val="21"/>
          <w:szCs w:val="21"/>
        </w:rPr>
        <w:t>引起的停工；政府行政主管部门发布的暂停施工；质量事故、安全事故以及因承包人原因引发发包人或监理人要求进行整改的停工等。</w:t>
      </w:r>
    </w:p>
    <w:p w14:paraId="027833CF">
      <w:pPr>
        <w:adjustRightInd w:val="0"/>
        <w:snapToGrid w:val="0"/>
        <w:spacing w:line="360" w:lineRule="auto"/>
        <w:rPr>
          <w:color w:val="auto"/>
          <w:szCs w:val="21"/>
        </w:rPr>
      </w:pPr>
    </w:p>
    <w:p w14:paraId="0E44C1D0">
      <w:pPr>
        <w:pStyle w:val="17"/>
        <w:adjustRightInd w:val="0"/>
        <w:snapToGrid w:val="0"/>
        <w:spacing w:before="0" w:line="360" w:lineRule="auto"/>
        <w:rPr>
          <w:color w:val="auto"/>
          <w:sz w:val="21"/>
          <w:szCs w:val="21"/>
        </w:rPr>
      </w:pPr>
      <w:r>
        <w:rPr>
          <w:color w:val="auto"/>
          <w:spacing w:val="-8"/>
          <w:sz w:val="21"/>
          <w:szCs w:val="21"/>
        </w:rPr>
        <w:t>13.工程质量</w:t>
      </w:r>
    </w:p>
    <w:p w14:paraId="3620CD61">
      <w:pPr>
        <w:pStyle w:val="17"/>
        <w:adjustRightInd w:val="0"/>
        <w:snapToGrid w:val="0"/>
        <w:spacing w:before="0" w:line="360" w:lineRule="auto"/>
        <w:rPr>
          <w:color w:val="auto"/>
          <w:sz w:val="21"/>
          <w:szCs w:val="21"/>
        </w:rPr>
      </w:pPr>
      <w:r>
        <w:rPr>
          <w:color w:val="auto"/>
          <w:spacing w:val="7"/>
          <w:sz w:val="21"/>
          <w:szCs w:val="21"/>
        </w:rPr>
        <w:t>13.2承包人的质量管理</w:t>
      </w:r>
    </w:p>
    <w:p w14:paraId="55D9C19B">
      <w:pPr>
        <w:pStyle w:val="17"/>
        <w:spacing w:before="0" w:line="360" w:lineRule="auto"/>
        <w:ind w:left="360"/>
        <w:rPr>
          <w:color w:val="auto"/>
          <w:sz w:val="21"/>
          <w:szCs w:val="21"/>
        </w:rPr>
      </w:pPr>
      <w:r>
        <w:rPr>
          <w:color w:val="auto"/>
          <w:spacing w:val="-14"/>
          <w:sz w:val="21"/>
          <w:szCs w:val="21"/>
        </w:rPr>
        <w:t>13.2.1承包人向监理人提交工程质量</w:t>
      </w:r>
      <w:r>
        <w:rPr>
          <w:color w:val="auto"/>
          <w:spacing w:val="-15"/>
          <w:sz w:val="21"/>
          <w:szCs w:val="21"/>
        </w:rPr>
        <w:t>保证措施文件的期限：</w:t>
      </w:r>
    </w:p>
    <w:p w14:paraId="5B7940EB">
      <w:pPr>
        <w:pStyle w:val="17"/>
        <w:spacing w:before="0" w:line="360" w:lineRule="auto"/>
        <w:ind w:left="449"/>
        <w:rPr>
          <w:color w:val="auto"/>
          <w:sz w:val="21"/>
          <w:szCs w:val="21"/>
        </w:rPr>
      </w:pPr>
      <w:r>
        <w:rPr>
          <w:color w:val="auto"/>
          <w:spacing w:val="8"/>
          <w:sz w:val="21"/>
          <w:szCs w:val="21"/>
          <w:u w:val="single" w:color="000000"/>
        </w:rPr>
        <w:t>签订合同后7天内</w:t>
      </w:r>
    </w:p>
    <w:p w14:paraId="3ACC80F4">
      <w:pPr>
        <w:pStyle w:val="17"/>
        <w:spacing w:before="0" w:line="360" w:lineRule="auto"/>
        <w:ind w:left="360"/>
        <w:rPr>
          <w:color w:val="auto"/>
          <w:sz w:val="21"/>
          <w:szCs w:val="21"/>
        </w:rPr>
      </w:pPr>
      <w:r>
        <w:rPr>
          <w:color w:val="auto"/>
          <w:spacing w:val="-18"/>
          <w:sz w:val="21"/>
          <w:szCs w:val="21"/>
        </w:rPr>
        <w:t>监理人审批工程质量保证措施文件的期限：</w:t>
      </w:r>
    </w:p>
    <w:p w14:paraId="1EA9D67B">
      <w:pPr>
        <w:pStyle w:val="17"/>
        <w:spacing w:before="0" w:line="360" w:lineRule="auto"/>
        <w:ind w:left="449"/>
        <w:rPr>
          <w:color w:val="auto"/>
          <w:sz w:val="21"/>
          <w:szCs w:val="21"/>
        </w:rPr>
      </w:pPr>
      <w:r>
        <w:rPr>
          <w:color w:val="auto"/>
          <w:spacing w:val="9"/>
          <w:sz w:val="21"/>
          <w:szCs w:val="21"/>
          <w:u w:val="single" w:color="000000"/>
        </w:rPr>
        <w:t>收到质量保证措施文件7天后</w:t>
      </w:r>
    </w:p>
    <w:p w14:paraId="7BC4189D">
      <w:pPr>
        <w:spacing w:line="360" w:lineRule="auto"/>
        <w:rPr>
          <w:color w:val="auto"/>
          <w:szCs w:val="21"/>
        </w:rPr>
      </w:pPr>
    </w:p>
    <w:p w14:paraId="2861A62A">
      <w:pPr>
        <w:pStyle w:val="17"/>
        <w:spacing w:before="0" w:line="360" w:lineRule="auto"/>
        <w:rPr>
          <w:color w:val="auto"/>
          <w:sz w:val="21"/>
          <w:szCs w:val="21"/>
        </w:rPr>
      </w:pPr>
      <w:r>
        <w:rPr>
          <w:color w:val="auto"/>
          <w:spacing w:val="6"/>
          <w:sz w:val="21"/>
          <w:szCs w:val="21"/>
        </w:rPr>
        <w:t>13.3  承包人的质量检查</w:t>
      </w:r>
    </w:p>
    <w:p w14:paraId="18A692DB">
      <w:pPr>
        <w:pStyle w:val="17"/>
        <w:spacing w:before="0" w:line="360" w:lineRule="auto"/>
        <w:ind w:left="360"/>
        <w:rPr>
          <w:color w:val="auto"/>
          <w:sz w:val="21"/>
          <w:szCs w:val="21"/>
        </w:rPr>
      </w:pPr>
      <w:r>
        <w:rPr>
          <w:color w:val="auto"/>
          <w:spacing w:val="-18"/>
          <w:sz w:val="21"/>
          <w:szCs w:val="21"/>
        </w:rPr>
        <w:t>承包人向监理人报送工程质量报表的期限：</w:t>
      </w:r>
      <w:r>
        <w:rPr>
          <w:rFonts w:hint="eastAsia"/>
          <w:color w:val="auto"/>
          <w:spacing w:val="-18"/>
          <w:sz w:val="21"/>
          <w:szCs w:val="21"/>
        </w:rPr>
        <w:t>每月25日前以书面形式报送。</w:t>
      </w:r>
    </w:p>
    <w:p w14:paraId="7AE73C12">
      <w:pPr>
        <w:pStyle w:val="17"/>
        <w:spacing w:before="0" w:line="360" w:lineRule="auto"/>
        <w:ind w:left="360"/>
        <w:rPr>
          <w:color w:val="auto"/>
          <w:sz w:val="21"/>
          <w:szCs w:val="21"/>
        </w:rPr>
      </w:pPr>
      <w:r>
        <w:rPr>
          <w:color w:val="auto"/>
          <w:spacing w:val="-18"/>
          <w:sz w:val="21"/>
          <w:szCs w:val="21"/>
        </w:rPr>
        <w:t>承包人向监理人报送工程质量报表的要求：</w:t>
      </w:r>
      <w:r>
        <w:rPr>
          <w:rFonts w:hint="eastAsia"/>
          <w:color w:val="auto"/>
          <w:spacing w:val="-18"/>
          <w:sz w:val="21"/>
          <w:szCs w:val="21"/>
        </w:rPr>
        <w:t>应包含上月已完成的以下月准备进行的材料、工程设备及工程的所有部位及其施工工艺的质量检查和检验工作内容。</w:t>
      </w:r>
    </w:p>
    <w:p w14:paraId="15190BFB">
      <w:pPr>
        <w:pStyle w:val="17"/>
        <w:spacing w:before="0" w:line="360" w:lineRule="auto"/>
        <w:ind w:left="360"/>
        <w:rPr>
          <w:color w:val="auto"/>
          <w:sz w:val="21"/>
          <w:szCs w:val="21"/>
        </w:rPr>
      </w:pPr>
      <w:r>
        <w:rPr>
          <w:color w:val="auto"/>
          <w:spacing w:val="-19"/>
          <w:sz w:val="21"/>
          <w:szCs w:val="21"/>
        </w:rPr>
        <w:t>监理人审查工程质量报表的期限：</w:t>
      </w:r>
    </w:p>
    <w:p w14:paraId="493C6FB4">
      <w:pPr>
        <w:pStyle w:val="17"/>
        <w:spacing w:before="0" w:line="360" w:lineRule="auto"/>
        <w:ind w:left="449"/>
        <w:rPr>
          <w:color w:val="auto"/>
          <w:sz w:val="21"/>
          <w:szCs w:val="21"/>
        </w:rPr>
      </w:pPr>
      <w:r>
        <w:rPr>
          <w:color w:val="auto"/>
          <w:spacing w:val="8"/>
          <w:sz w:val="21"/>
          <w:szCs w:val="21"/>
          <w:u w:val="single" w:color="000000"/>
        </w:rPr>
        <w:t>收到承包人报送的工程质量报表后3天内</w:t>
      </w:r>
    </w:p>
    <w:p w14:paraId="2891C09C">
      <w:pPr>
        <w:spacing w:line="360" w:lineRule="auto"/>
        <w:rPr>
          <w:color w:val="auto"/>
          <w:szCs w:val="21"/>
        </w:rPr>
      </w:pPr>
    </w:p>
    <w:p w14:paraId="39A0F85B">
      <w:pPr>
        <w:pStyle w:val="17"/>
        <w:spacing w:before="0" w:line="360" w:lineRule="auto"/>
        <w:rPr>
          <w:color w:val="auto"/>
          <w:sz w:val="21"/>
          <w:szCs w:val="21"/>
        </w:rPr>
      </w:pPr>
      <w:r>
        <w:rPr>
          <w:color w:val="auto"/>
          <w:spacing w:val="6"/>
          <w:sz w:val="21"/>
          <w:szCs w:val="21"/>
        </w:rPr>
        <w:t>13.4  监理人的质量检查</w:t>
      </w:r>
    </w:p>
    <w:p w14:paraId="73D06BE8">
      <w:pPr>
        <w:pStyle w:val="17"/>
        <w:spacing w:before="0" w:line="360" w:lineRule="auto"/>
        <w:ind w:right="156" w:firstLine="360"/>
        <w:rPr>
          <w:color w:val="auto"/>
          <w:sz w:val="21"/>
          <w:szCs w:val="21"/>
        </w:rPr>
      </w:pPr>
      <w:r>
        <w:rPr>
          <w:color w:val="auto"/>
          <w:spacing w:val="-14"/>
          <w:sz w:val="21"/>
          <w:szCs w:val="21"/>
        </w:rPr>
        <w:t>承包人应当为监理人的检查和检验提供方便，监理人可以进行察看和查阅施工原始记录的其他地方</w:t>
      </w:r>
      <w:r>
        <w:rPr>
          <w:color w:val="auto"/>
          <w:spacing w:val="-23"/>
          <w:sz w:val="21"/>
          <w:szCs w:val="21"/>
        </w:rPr>
        <w:t>包括：</w:t>
      </w:r>
    </w:p>
    <w:p w14:paraId="3C09B5E5">
      <w:pPr>
        <w:pStyle w:val="17"/>
        <w:spacing w:before="0" w:line="360" w:lineRule="auto"/>
        <w:ind w:left="50"/>
        <w:rPr>
          <w:color w:val="auto"/>
          <w:sz w:val="21"/>
          <w:szCs w:val="21"/>
        </w:rPr>
      </w:pPr>
      <w:r>
        <w:rPr>
          <w:color w:val="auto"/>
          <w:spacing w:val="7"/>
          <w:sz w:val="21"/>
          <w:szCs w:val="21"/>
        </w:rPr>
        <w:t>13.5  工程隐蔽部位覆盖前的检查</w:t>
      </w:r>
    </w:p>
    <w:p w14:paraId="6FE3B15E">
      <w:pPr>
        <w:pStyle w:val="17"/>
        <w:spacing w:before="0" w:line="360" w:lineRule="auto"/>
        <w:ind w:left="420"/>
        <w:rPr>
          <w:color w:val="auto"/>
          <w:sz w:val="21"/>
          <w:szCs w:val="21"/>
        </w:rPr>
      </w:pPr>
      <w:r>
        <w:rPr>
          <w:color w:val="auto"/>
          <w:spacing w:val="-13"/>
          <w:sz w:val="21"/>
          <w:szCs w:val="21"/>
        </w:rPr>
        <w:t>13.5.1监理人对工程隐蔽部位进行检</w:t>
      </w:r>
      <w:r>
        <w:rPr>
          <w:color w:val="auto"/>
          <w:spacing w:val="-14"/>
          <w:sz w:val="21"/>
          <w:szCs w:val="21"/>
        </w:rPr>
        <w:t>查的期限：</w:t>
      </w:r>
    </w:p>
    <w:p w14:paraId="2A55EE2B">
      <w:pPr>
        <w:pStyle w:val="17"/>
        <w:spacing w:before="0" w:line="360" w:lineRule="auto"/>
        <w:ind w:left="499"/>
        <w:rPr>
          <w:color w:val="auto"/>
          <w:sz w:val="21"/>
          <w:szCs w:val="21"/>
        </w:rPr>
      </w:pPr>
      <w:r>
        <w:rPr>
          <w:color w:val="auto"/>
          <w:spacing w:val="10"/>
          <w:sz w:val="21"/>
          <w:szCs w:val="21"/>
          <w:u w:val="single" w:color="000000"/>
        </w:rPr>
        <w:t>收到承包人的检查通知后12小时内</w:t>
      </w:r>
    </w:p>
    <w:p w14:paraId="7B88B4F0">
      <w:pPr>
        <w:spacing w:line="360" w:lineRule="auto"/>
        <w:rPr>
          <w:color w:val="auto"/>
          <w:szCs w:val="21"/>
        </w:rPr>
      </w:pPr>
    </w:p>
    <w:p w14:paraId="4615126A">
      <w:pPr>
        <w:pStyle w:val="17"/>
        <w:spacing w:before="0" w:line="360" w:lineRule="auto"/>
        <w:ind w:left="40"/>
        <w:rPr>
          <w:color w:val="auto"/>
          <w:sz w:val="21"/>
          <w:szCs w:val="21"/>
        </w:rPr>
      </w:pPr>
      <w:r>
        <w:rPr>
          <w:color w:val="auto"/>
          <w:spacing w:val="2"/>
          <w:sz w:val="21"/>
          <w:szCs w:val="21"/>
        </w:rPr>
        <w:t>15.变更</w:t>
      </w:r>
    </w:p>
    <w:p w14:paraId="3067BA65">
      <w:pPr>
        <w:pStyle w:val="17"/>
        <w:spacing w:before="0" w:line="360" w:lineRule="auto"/>
        <w:ind w:left="40"/>
        <w:rPr>
          <w:color w:val="auto"/>
          <w:sz w:val="21"/>
          <w:szCs w:val="21"/>
        </w:rPr>
      </w:pPr>
      <w:r>
        <w:rPr>
          <w:color w:val="auto"/>
          <w:spacing w:val="7"/>
          <w:sz w:val="21"/>
          <w:szCs w:val="21"/>
        </w:rPr>
        <w:t>15.1  变更的范围和内容</w:t>
      </w:r>
    </w:p>
    <w:p w14:paraId="26358FC4">
      <w:pPr>
        <w:pStyle w:val="17"/>
        <w:spacing w:before="0" w:line="360" w:lineRule="auto"/>
        <w:ind w:left="410"/>
        <w:rPr>
          <w:color w:val="auto"/>
          <w:sz w:val="21"/>
          <w:szCs w:val="21"/>
        </w:rPr>
      </w:pPr>
      <w:r>
        <w:rPr>
          <w:color w:val="auto"/>
          <w:spacing w:val="-16"/>
          <w:sz w:val="21"/>
          <w:szCs w:val="21"/>
        </w:rPr>
        <w:t>15.1.1在履行合同中发生以下情形之一，应按照本条规定进行变更。</w:t>
      </w:r>
    </w:p>
    <w:p w14:paraId="6E1FDFE5">
      <w:pPr>
        <w:pStyle w:val="17"/>
        <w:spacing w:before="0" w:line="360" w:lineRule="auto"/>
        <w:ind w:left="519"/>
        <w:rPr>
          <w:color w:val="auto"/>
          <w:sz w:val="21"/>
          <w:szCs w:val="21"/>
        </w:rPr>
      </w:pPr>
      <w:r>
        <w:rPr>
          <w:color w:val="auto"/>
          <w:spacing w:val="-8"/>
          <w:sz w:val="21"/>
          <w:szCs w:val="21"/>
        </w:rPr>
        <w:t>(6)变更的其他情形：</w:t>
      </w:r>
    </w:p>
    <w:p w14:paraId="6326879B">
      <w:pPr>
        <w:pStyle w:val="17"/>
        <w:spacing w:before="0" w:line="360" w:lineRule="auto"/>
        <w:ind w:left="70" w:right="131" w:firstLine="429"/>
        <w:rPr>
          <w:color w:val="auto"/>
          <w:sz w:val="21"/>
          <w:szCs w:val="21"/>
        </w:rPr>
      </w:pPr>
      <w:r>
        <w:rPr>
          <w:color w:val="auto"/>
          <w:spacing w:val="15"/>
          <w:sz w:val="21"/>
          <w:szCs w:val="21"/>
          <w:u w:val="single" w:color="000000"/>
        </w:rPr>
        <w:t>承包人在施工过程中根据实际施工图纸及施工内容计算的工程项目及工程量</w:t>
      </w:r>
      <w:r>
        <w:rPr>
          <w:color w:val="auto"/>
          <w:spacing w:val="14"/>
          <w:sz w:val="21"/>
          <w:szCs w:val="21"/>
          <w:u w:val="single" w:color="000000"/>
        </w:rPr>
        <w:t>与招标项</w:t>
      </w:r>
      <w:r>
        <w:rPr>
          <w:color w:val="auto"/>
          <w:spacing w:val="8"/>
          <w:sz w:val="21"/>
          <w:szCs w:val="21"/>
          <w:u w:val="single" w:color="000000"/>
        </w:rPr>
        <w:t>目及工程量有差异的，经发包人复核此类差异确实存在的，此类差异视为变更</w:t>
      </w:r>
    </w:p>
    <w:p w14:paraId="5C234A9B">
      <w:pPr>
        <w:pStyle w:val="17"/>
        <w:spacing w:before="0" w:line="360" w:lineRule="auto"/>
        <w:ind w:left="50"/>
        <w:rPr>
          <w:color w:val="auto"/>
          <w:sz w:val="21"/>
          <w:szCs w:val="21"/>
        </w:rPr>
      </w:pPr>
      <w:r>
        <w:rPr>
          <w:color w:val="auto"/>
          <w:spacing w:val="6"/>
          <w:sz w:val="21"/>
          <w:szCs w:val="21"/>
        </w:rPr>
        <w:t>15.3  变更程序</w:t>
      </w:r>
    </w:p>
    <w:p w14:paraId="1A1DB114">
      <w:pPr>
        <w:pStyle w:val="17"/>
        <w:spacing w:before="0" w:line="360" w:lineRule="auto"/>
        <w:ind w:left="410"/>
        <w:rPr>
          <w:color w:val="auto"/>
          <w:sz w:val="21"/>
          <w:szCs w:val="21"/>
        </w:rPr>
      </w:pPr>
      <w:r>
        <w:rPr>
          <w:color w:val="auto"/>
          <w:spacing w:val="-3"/>
          <w:sz w:val="21"/>
          <w:szCs w:val="21"/>
        </w:rPr>
        <w:t>15.3.2变更估价</w:t>
      </w:r>
    </w:p>
    <w:p w14:paraId="5946CF1F">
      <w:pPr>
        <w:pStyle w:val="17"/>
        <w:spacing w:before="0" w:line="360" w:lineRule="auto"/>
        <w:ind w:left="509"/>
        <w:rPr>
          <w:color w:val="auto"/>
          <w:sz w:val="21"/>
          <w:szCs w:val="21"/>
        </w:rPr>
      </w:pPr>
      <w:r>
        <w:rPr>
          <w:color w:val="auto"/>
          <w:spacing w:val="-13"/>
          <w:sz w:val="21"/>
          <w:szCs w:val="21"/>
        </w:rPr>
        <w:t>(1)承包人提交变更报价书的期限：</w:t>
      </w:r>
    </w:p>
    <w:p w14:paraId="6881790E">
      <w:pPr>
        <w:pStyle w:val="17"/>
        <w:spacing w:before="0" w:line="360" w:lineRule="auto"/>
        <w:ind w:left="490"/>
        <w:rPr>
          <w:color w:val="auto"/>
          <w:sz w:val="21"/>
          <w:szCs w:val="21"/>
        </w:rPr>
      </w:pPr>
      <w:r>
        <w:rPr>
          <w:color w:val="auto"/>
          <w:spacing w:val="9"/>
          <w:sz w:val="21"/>
          <w:szCs w:val="21"/>
          <w:u w:val="single" w:color="000000"/>
        </w:rPr>
        <w:t>承包人收到变更指示或变更意向书后14天内</w:t>
      </w:r>
    </w:p>
    <w:p w14:paraId="1088168D">
      <w:pPr>
        <w:pStyle w:val="17"/>
        <w:spacing w:before="0" w:line="360" w:lineRule="auto"/>
        <w:ind w:left="499"/>
        <w:rPr>
          <w:color w:val="auto"/>
          <w:sz w:val="21"/>
          <w:szCs w:val="21"/>
        </w:rPr>
      </w:pPr>
      <w:r>
        <w:rPr>
          <w:color w:val="auto"/>
          <w:spacing w:val="-11"/>
          <w:sz w:val="21"/>
          <w:szCs w:val="21"/>
        </w:rPr>
        <w:t>(3)监理人商定或确定变更价格的期限：</w:t>
      </w:r>
    </w:p>
    <w:p w14:paraId="3F9169CC">
      <w:pPr>
        <w:pStyle w:val="17"/>
        <w:spacing w:before="0" w:line="360" w:lineRule="auto"/>
        <w:ind w:left="519"/>
        <w:rPr>
          <w:color w:val="auto"/>
          <w:sz w:val="21"/>
          <w:szCs w:val="21"/>
        </w:rPr>
      </w:pPr>
      <w:r>
        <w:rPr>
          <w:color w:val="auto"/>
          <w:spacing w:val="8"/>
          <w:sz w:val="21"/>
          <w:szCs w:val="21"/>
          <w:u w:val="single" w:color="000000"/>
        </w:rPr>
        <w:t>监理人收到承包人变更报价书后的14天内</w:t>
      </w:r>
    </w:p>
    <w:p w14:paraId="4B65D86C">
      <w:pPr>
        <w:spacing w:line="360" w:lineRule="auto"/>
        <w:rPr>
          <w:color w:val="auto"/>
          <w:szCs w:val="21"/>
        </w:rPr>
      </w:pPr>
    </w:p>
    <w:p w14:paraId="5D23D688">
      <w:pPr>
        <w:pStyle w:val="17"/>
        <w:spacing w:before="0" w:line="360" w:lineRule="auto"/>
        <w:ind w:left="40"/>
        <w:rPr>
          <w:color w:val="auto"/>
          <w:sz w:val="21"/>
          <w:szCs w:val="21"/>
        </w:rPr>
      </w:pPr>
      <w:r>
        <w:rPr>
          <w:color w:val="auto"/>
          <w:spacing w:val="7"/>
          <w:sz w:val="21"/>
          <w:szCs w:val="21"/>
        </w:rPr>
        <w:t>15.4  变更的估价原则</w:t>
      </w:r>
    </w:p>
    <w:p w14:paraId="426D80FA">
      <w:pPr>
        <w:pStyle w:val="17"/>
        <w:spacing w:before="0" w:line="360" w:lineRule="auto"/>
        <w:ind w:left="40" w:right="143" w:firstLine="370"/>
        <w:rPr>
          <w:color w:val="auto"/>
          <w:sz w:val="21"/>
          <w:szCs w:val="21"/>
        </w:rPr>
      </w:pPr>
      <w:r>
        <w:rPr>
          <w:color w:val="auto"/>
          <w:spacing w:val="-11"/>
          <w:sz w:val="21"/>
          <w:szCs w:val="21"/>
        </w:rPr>
        <w:t>15.4.5合同协议书约定采用单价合同形式时，因非承包人原因引起已标价工</w:t>
      </w:r>
      <w:r>
        <w:rPr>
          <w:color w:val="auto"/>
          <w:spacing w:val="-12"/>
          <w:sz w:val="21"/>
          <w:szCs w:val="21"/>
        </w:rPr>
        <w:t>程量清单中列明的工</w:t>
      </w:r>
      <w:r>
        <w:rPr>
          <w:color w:val="auto"/>
          <w:spacing w:val="-8"/>
          <w:sz w:val="21"/>
          <w:szCs w:val="21"/>
        </w:rPr>
        <w:t>程量发生增减，且单个子目工程量变化幅度在1</w:t>
      </w:r>
      <w:r>
        <w:rPr>
          <w:color w:val="auto"/>
          <w:spacing w:val="-9"/>
          <w:sz w:val="21"/>
          <w:szCs w:val="21"/>
        </w:rPr>
        <w:t>5_%以内(含)时，应执行已标价工程量清单中列明的该</w:t>
      </w:r>
      <w:r>
        <w:rPr>
          <w:color w:val="auto"/>
          <w:spacing w:val="-4"/>
          <w:sz w:val="21"/>
          <w:szCs w:val="21"/>
        </w:rPr>
        <w:t>子目的单价；单个子目工程量变化幅度在15%以外(不含</w:t>
      </w:r>
      <w:r>
        <w:rPr>
          <w:color w:val="auto"/>
          <w:spacing w:val="-5"/>
          <w:sz w:val="21"/>
          <w:szCs w:val="21"/>
        </w:rPr>
        <w:t>),且导致分部分项工程费总额变化幅度超过</w:t>
      </w:r>
    </w:p>
    <w:p w14:paraId="401637CA">
      <w:pPr>
        <w:pStyle w:val="17"/>
        <w:spacing w:before="0" w:line="360" w:lineRule="auto"/>
        <w:ind w:left="40"/>
        <w:rPr>
          <w:color w:val="auto"/>
          <w:sz w:val="21"/>
          <w:szCs w:val="21"/>
        </w:rPr>
      </w:pPr>
      <w:r>
        <w:rPr>
          <w:color w:val="auto"/>
          <w:spacing w:val="-15"/>
          <w:sz w:val="21"/>
          <w:szCs w:val="21"/>
        </w:rPr>
        <w:t>10%时，由承包人提出并由监理人按第3.5款商定或确定新的单价，该子目按修</w:t>
      </w:r>
      <w:r>
        <w:rPr>
          <w:color w:val="auto"/>
          <w:spacing w:val="-16"/>
          <w:sz w:val="21"/>
          <w:szCs w:val="21"/>
        </w:rPr>
        <w:t>正后的新的单价计价。</w:t>
      </w:r>
    </w:p>
    <w:p w14:paraId="16EF5FF3">
      <w:pPr>
        <w:pStyle w:val="17"/>
        <w:spacing w:before="0" w:line="360" w:lineRule="auto"/>
        <w:ind w:left="410"/>
        <w:rPr>
          <w:color w:val="auto"/>
          <w:sz w:val="21"/>
          <w:szCs w:val="21"/>
        </w:rPr>
      </w:pPr>
      <w:r>
        <w:rPr>
          <w:color w:val="auto"/>
          <w:spacing w:val="-14"/>
          <w:sz w:val="21"/>
          <w:szCs w:val="21"/>
        </w:rPr>
        <w:t>15.4.6因变更引起价格调整的其他处理方式：</w:t>
      </w:r>
    </w:p>
    <w:p w14:paraId="598CE250">
      <w:pPr>
        <w:pStyle w:val="17"/>
        <w:spacing w:before="0" w:line="360" w:lineRule="auto"/>
        <w:ind w:left="70" w:right="133" w:firstLine="429"/>
        <w:rPr>
          <w:color w:val="auto"/>
          <w:sz w:val="21"/>
          <w:szCs w:val="21"/>
        </w:rPr>
      </w:pPr>
      <w:r>
        <w:rPr>
          <w:color w:val="auto"/>
          <w:sz w:val="21"/>
          <w:szCs w:val="21"/>
        </w:rPr>
        <w:drawing>
          <wp:anchor distT="0" distB="0" distL="0" distR="0" simplePos="0" relativeHeight="251663360" behindDoc="0" locked="0" layoutInCell="1" allowOverlap="1">
            <wp:simplePos x="0" y="0"/>
            <wp:positionH relativeFrom="column">
              <wp:posOffset>31750</wp:posOffset>
            </wp:positionH>
            <wp:positionV relativeFrom="paragraph">
              <wp:posOffset>514985</wp:posOffset>
            </wp:positionV>
            <wp:extent cx="3251200" cy="8890"/>
            <wp:effectExtent l="0" t="0" r="0" b="0"/>
            <wp:wrapNone/>
            <wp:docPr id="102072761" name="IM 22"/>
            <wp:cNvGraphicFramePr/>
            <a:graphic xmlns:a="http://schemas.openxmlformats.org/drawingml/2006/main">
              <a:graphicData uri="http://schemas.openxmlformats.org/drawingml/2006/picture">
                <pic:pic xmlns:pic="http://schemas.openxmlformats.org/drawingml/2006/picture">
                  <pic:nvPicPr>
                    <pic:cNvPr id="102072761" name="IM 22"/>
                    <pic:cNvPicPr/>
                  </pic:nvPicPr>
                  <pic:blipFill>
                    <a:blip r:embed="rId37"/>
                    <a:stretch>
                      <a:fillRect/>
                    </a:stretch>
                  </pic:blipFill>
                  <pic:spPr>
                    <a:xfrm>
                      <a:off x="0" y="0"/>
                      <a:ext cx="3251193" cy="8889"/>
                    </a:xfrm>
                    <a:prstGeom prst="rect">
                      <a:avLst/>
                    </a:prstGeom>
                  </pic:spPr>
                </pic:pic>
              </a:graphicData>
            </a:graphic>
          </wp:anchor>
        </w:drawing>
      </w:r>
      <w:r>
        <w:rPr>
          <w:color w:val="auto"/>
          <w:spacing w:val="15"/>
          <w:sz w:val="21"/>
          <w:szCs w:val="21"/>
          <w:u w:val="single" w:color="000000"/>
        </w:rPr>
        <w:t>工程量清单中无相同或相似的项目，其综合单价承包人应重新进行组</w:t>
      </w:r>
      <w:r>
        <w:rPr>
          <w:color w:val="auto"/>
          <w:spacing w:val="14"/>
          <w:sz w:val="21"/>
          <w:szCs w:val="21"/>
          <w:u w:val="single" w:color="000000"/>
        </w:rPr>
        <w:t>价报监理工程师</w:t>
      </w:r>
      <w:r>
        <w:rPr>
          <w:color w:val="auto"/>
          <w:spacing w:val="5"/>
          <w:sz w:val="21"/>
          <w:szCs w:val="21"/>
        </w:rPr>
        <w:t>和发包人确认，承包人在组价过程中应遵循下述原则：</w:t>
      </w:r>
    </w:p>
    <w:p w14:paraId="4743DD95">
      <w:pPr>
        <w:pStyle w:val="17"/>
        <w:spacing w:before="0" w:line="360" w:lineRule="auto"/>
        <w:ind w:left="150"/>
        <w:rPr>
          <w:color w:val="auto"/>
          <w:sz w:val="21"/>
          <w:szCs w:val="21"/>
        </w:rPr>
      </w:pPr>
      <w:r>
        <w:rPr>
          <w:color w:val="auto"/>
          <w:sz w:val="21"/>
          <w:szCs w:val="21"/>
        </w:rPr>
        <w:drawing>
          <wp:anchor distT="0" distB="0" distL="0" distR="0" simplePos="0" relativeHeight="251662336" behindDoc="0" locked="0" layoutInCell="1" allowOverlap="1">
            <wp:simplePos x="0" y="0"/>
            <wp:positionH relativeFrom="column">
              <wp:posOffset>0</wp:posOffset>
            </wp:positionH>
            <wp:positionV relativeFrom="paragraph">
              <wp:posOffset>198755</wp:posOffset>
            </wp:positionV>
            <wp:extent cx="4705350" cy="6350"/>
            <wp:effectExtent l="0" t="0" r="0" b="0"/>
            <wp:wrapNone/>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38"/>
                    <a:stretch>
                      <a:fillRect/>
                    </a:stretch>
                  </pic:blipFill>
                  <pic:spPr>
                    <a:xfrm>
                      <a:off x="0" y="0"/>
                      <a:ext cx="4705379" cy="6416"/>
                    </a:xfrm>
                    <a:prstGeom prst="rect">
                      <a:avLst/>
                    </a:prstGeom>
                  </pic:spPr>
                </pic:pic>
              </a:graphicData>
            </a:graphic>
          </wp:anchor>
        </w:drawing>
      </w:r>
      <w:r>
        <w:rPr>
          <w:color w:val="auto"/>
          <w:spacing w:val="11"/>
          <w:sz w:val="21"/>
          <w:szCs w:val="21"/>
        </w:rPr>
        <w:t>(1)执行2021年《北京市建设工程计价依据一预算消耗量</w:t>
      </w:r>
      <w:r>
        <w:rPr>
          <w:color w:val="auto"/>
          <w:spacing w:val="10"/>
          <w:sz w:val="21"/>
          <w:szCs w:val="21"/>
        </w:rPr>
        <w:t>标准》的计价原则；</w:t>
      </w:r>
    </w:p>
    <w:p w14:paraId="0A4FCA97">
      <w:pPr>
        <w:pStyle w:val="17"/>
        <w:tabs>
          <w:tab w:val="left" w:pos="140"/>
        </w:tabs>
        <w:spacing w:before="0" w:line="360" w:lineRule="auto"/>
        <w:ind w:left="70" w:right="154" w:hanging="60"/>
        <w:rPr>
          <w:color w:val="auto"/>
          <w:sz w:val="21"/>
          <w:szCs w:val="21"/>
        </w:rPr>
      </w:pPr>
      <w:r>
        <w:rPr>
          <w:color w:val="auto"/>
          <w:sz w:val="21"/>
          <w:szCs w:val="21"/>
          <w:u w:val="single" w:color="000000"/>
        </w:rPr>
        <w:tab/>
      </w:r>
      <w:r>
        <w:rPr>
          <w:color w:val="auto"/>
          <w:sz w:val="21"/>
          <w:szCs w:val="21"/>
          <w:u w:val="single" w:color="000000"/>
        </w:rPr>
        <w:tab/>
      </w:r>
      <w:r>
        <w:rPr>
          <w:color w:val="auto"/>
          <w:spacing w:val="14"/>
          <w:sz w:val="21"/>
          <w:szCs w:val="21"/>
          <w:u w:val="single" w:color="000000"/>
        </w:rPr>
        <w:t>(2)材料、设备、人工工日、机械消耗量参照2021年《北京市建设工程计价依据一预算消</w:t>
      </w:r>
      <w:r>
        <w:rPr>
          <w:color w:val="auto"/>
          <w:sz w:val="21"/>
          <w:szCs w:val="21"/>
          <w:u w:val="single" w:color="000000"/>
        </w:rPr>
        <w:t xml:space="preserve">耗量标准》计算；  </w:t>
      </w:r>
    </w:p>
    <w:p w14:paraId="4BAA790A">
      <w:pPr>
        <w:pStyle w:val="17"/>
        <w:tabs>
          <w:tab w:val="left" w:pos="150"/>
        </w:tabs>
        <w:spacing w:before="0" w:line="360" w:lineRule="auto"/>
        <w:ind w:left="60" w:right="138" w:hanging="30"/>
        <w:rPr>
          <w:color w:val="auto"/>
          <w:sz w:val="21"/>
          <w:szCs w:val="21"/>
        </w:rPr>
      </w:pPr>
      <w:r>
        <w:rPr>
          <w:color w:val="auto"/>
          <w:sz w:val="21"/>
          <w:szCs w:val="21"/>
          <w:u w:val="single" w:color="000000"/>
        </w:rPr>
        <w:tab/>
      </w:r>
      <w:r>
        <w:rPr>
          <w:color w:val="auto"/>
          <w:sz w:val="21"/>
          <w:szCs w:val="21"/>
          <w:u w:val="single" w:color="000000"/>
        </w:rPr>
        <w:tab/>
      </w:r>
      <w:r>
        <w:rPr>
          <w:color w:val="auto"/>
          <w:spacing w:val="15"/>
          <w:sz w:val="21"/>
          <w:szCs w:val="21"/>
          <w:u w:val="single" w:color="000000"/>
        </w:rPr>
        <w:t>(3)投标报价中有的材料价格执行承包人投标价格，投标报价中没有的材料</w:t>
      </w:r>
      <w:r>
        <w:rPr>
          <w:color w:val="auto"/>
          <w:spacing w:val="14"/>
          <w:sz w:val="21"/>
          <w:szCs w:val="21"/>
          <w:u w:val="single" w:color="000000"/>
        </w:rPr>
        <w:t>价格执行本章</w:t>
      </w:r>
      <w:r>
        <w:rPr>
          <w:color w:val="auto"/>
          <w:spacing w:val="13"/>
          <w:sz w:val="21"/>
          <w:szCs w:val="21"/>
          <w:u w:val="single" w:color="000000"/>
        </w:rPr>
        <w:t>16.1投标报价基准期的《北京工程造价信息》(除税版)价格，机械单价按2021年《北京市</w:t>
      </w:r>
      <w:r>
        <w:rPr>
          <w:color w:val="auto"/>
          <w:spacing w:val="3"/>
          <w:sz w:val="21"/>
          <w:szCs w:val="21"/>
          <w:u w:val="single" w:color="000000"/>
        </w:rPr>
        <w:t>建设工程计价依据一预算消耗量标准》计算。</w:t>
      </w:r>
    </w:p>
    <w:p w14:paraId="4871835C">
      <w:pPr>
        <w:pStyle w:val="17"/>
        <w:spacing w:before="0" w:line="360" w:lineRule="auto"/>
        <w:ind w:left="150"/>
        <w:rPr>
          <w:color w:val="auto"/>
          <w:sz w:val="21"/>
          <w:szCs w:val="21"/>
          <w:u w:val="single"/>
        </w:rPr>
      </w:pPr>
      <w:r>
        <w:rPr>
          <w:color w:val="auto"/>
          <w:spacing w:val="11"/>
          <w:sz w:val="21"/>
          <w:szCs w:val="21"/>
          <w:u w:val="single"/>
        </w:rPr>
        <w:t>(4)人工费单价和费率执行承包人投标时的单价和费率。</w:t>
      </w:r>
      <w:r>
        <w:rPr>
          <w:color w:val="auto"/>
          <w:spacing w:val="9"/>
          <w:sz w:val="21"/>
          <w:szCs w:val="21"/>
          <w:u w:val="single" w:color="000000"/>
        </w:rPr>
        <w:t>本工程项目在施工过程中涉及到的工程洽商和工程变更分部分项工程在施工完成、并经监理</w:t>
      </w:r>
    </w:p>
    <w:p w14:paraId="2BB01065">
      <w:pPr>
        <w:pStyle w:val="17"/>
        <w:spacing w:before="41" w:line="346" w:lineRule="auto"/>
        <w:ind w:right="137" w:firstLine="370"/>
        <w:rPr>
          <w:color w:val="auto"/>
          <w:sz w:val="21"/>
          <w:szCs w:val="21"/>
        </w:rPr>
      </w:pPr>
      <w:r>
        <w:rPr>
          <w:color w:val="auto"/>
          <w:spacing w:val="11"/>
          <w:sz w:val="21"/>
          <w:szCs w:val="21"/>
          <w:u w:val="single" w:color="000000"/>
        </w:rPr>
        <w:t>人验收合格、内业资料齐全合格的基础上，由承包人在上报当期进度付款计量与支付资</w:t>
      </w:r>
      <w:r>
        <w:rPr>
          <w:color w:val="auto"/>
          <w:spacing w:val="10"/>
          <w:sz w:val="21"/>
          <w:szCs w:val="21"/>
          <w:u w:val="single" w:color="000000"/>
        </w:rPr>
        <w:t>料时同步上报工程洽商和工程变更分部分项工程的计量与支付资料，发包人将对工程洽商与</w:t>
      </w:r>
      <w:r>
        <w:rPr>
          <w:color w:val="auto"/>
          <w:spacing w:val="5"/>
          <w:sz w:val="21"/>
          <w:szCs w:val="21"/>
          <w:u w:val="single" w:color="000000"/>
        </w:rPr>
        <w:t>工程变更分部分项工程的计量与支付资料进行同步审核、同步计量与同步支付。</w:t>
      </w:r>
    </w:p>
    <w:p w14:paraId="07F260F1">
      <w:pPr>
        <w:pStyle w:val="17"/>
        <w:spacing w:before="274" w:line="219" w:lineRule="auto"/>
        <w:ind w:left="10"/>
        <w:rPr>
          <w:color w:val="auto"/>
          <w:sz w:val="21"/>
          <w:szCs w:val="21"/>
        </w:rPr>
      </w:pPr>
      <w:r>
        <w:rPr>
          <w:color w:val="auto"/>
          <w:spacing w:val="7"/>
          <w:sz w:val="21"/>
          <w:szCs w:val="21"/>
        </w:rPr>
        <w:t>15.5  承包人的合理化建议</w:t>
      </w:r>
    </w:p>
    <w:p w14:paraId="6D96B3D5">
      <w:pPr>
        <w:pStyle w:val="17"/>
        <w:spacing w:before="65" w:line="219" w:lineRule="auto"/>
        <w:ind w:left="380"/>
        <w:rPr>
          <w:color w:val="auto"/>
          <w:sz w:val="21"/>
          <w:szCs w:val="21"/>
        </w:rPr>
      </w:pPr>
      <w:r>
        <w:rPr>
          <w:color w:val="auto"/>
          <w:spacing w:val="-12"/>
          <w:sz w:val="21"/>
          <w:szCs w:val="21"/>
        </w:rPr>
        <w:t>15.5.2 对承包人提出合理化建议的奖励方法：</w:t>
      </w:r>
      <w:r>
        <w:rPr>
          <w:rFonts w:hint="eastAsia"/>
          <w:color w:val="auto"/>
          <w:spacing w:val="-12"/>
          <w:sz w:val="21"/>
          <w:szCs w:val="21"/>
        </w:rPr>
        <w:t>/</w:t>
      </w:r>
    </w:p>
    <w:p w14:paraId="219F3A16">
      <w:pPr>
        <w:pStyle w:val="17"/>
        <w:spacing w:before="274" w:line="219" w:lineRule="auto"/>
        <w:ind w:left="10"/>
        <w:rPr>
          <w:color w:val="auto"/>
          <w:spacing w:val="7"/>
          <w:sz w:val="21"/>
          <w:szCs w:val="21"/>
        </w:rPr>
      </w:pPr>
      <w:r>
        <w:rPr>
          <w:color w:val="auto"/>
          <w:spacing w:val="7"/>
          <w:sz w:val="21"/>
          <w:szCs w:val="21"/>
        </w:rPr>
        <w:t>15.8  暂估价</w:t>
      </w:r>
    </w:p>
    <w:p w14:paraId="3DC279D1">
      <w:pPr>
        <w:spacing w:line="267" w:lineRule="auto"/>
        <w:rPr>
          <w:color w:val="auto"/>
          <w:szCs w:val="21"/>
        </w:rPr>
      </w:pPr>
    </w:p>
    <w:p w14:paraId="66A3F55C">
      <w:pPr>
        <w:pStyle w:val="17"/>
        <w:spacing w:before="66" w:line="219" w:lineRule="auto"/>
        <w:ind w:left="370"/>
        <w:rPr>
          <w:color w:val="auto"/>
          <w:sz w:val="21"/>
          <w:szCs w:val="21"/>
        </w:rPr>
      </w:pPr>
      <w:r>
        <w:rPr>
          <w:color w:val="auto"/>
          <w:spacing w:val="-16"/>
          <w:sz w:val="21"/>
          <w:szCs w:val="21"/>
        </w:rPr>
        <w:t>15.8.1按合同约定应当由发包人和承包人采用招标方式选择专项供应商或专业分包人的：</w:t>
      </w:r>
    </w:p>
    <w:p w14:paraId="583D4ED5">
      <w:pPr>
        <w:pStyle w:val="17"/>
        <w:spacing w:before="101" w:line="374" w:lineRule="auto"/>
        <w:ind w:left="10" w:right="166" w:firstLine="350"/>
        <w:rPr>
          <w:color w:val="auto"/>
          <w:spacing w:val="-12"/>
          <w:sz w:val="21"/>
          <w:szCs w:val="21"/>
        </w:rPr>
      </w:pPr>
      <w:r>
        <w:rPr>
          <w:color w:val="auto"/>
          <w:spacing w:val="-12"/>
          <w:sz w:val="21"/>
          <w:szCs w:val="21"/>
        </w:rPr>
        <w:t>(4)承包人报送招标计划期限：</w:t>
      </w:r>
      <w:r>
        <w:rPr>
          <w:color w:val="auto"/>
          <w:spacing w:val="-12"/>
          <w:sz w:val="21"/>
          <w:szCs w:val="21"/>
          <w:u w:val="single"/>
        </w:rPr>
        <w:t xml:space="preserve"> 7天</w:t>
      </w:r>
      <w:r>
        <w:rPr>
          <w:color w:val="auto"/>
          <w:spacing w:val="-12"/>
          <w:sz w:val="21"/>
          <w:szCs w:val="21"/>
        </w:rPr>
        <w:t xml:space="preserve"> 发包人审批招标工作计划时限：</w:t>
      </w:r>
      <w:r>
        <w:rPr>
          <w:color w:val="auto"/>
          <w:spacing w:val="-12"/>
          <w:sz w:val="21"/>
          <w:szCs w:val="21"/>
          <w:u w:val="single"/>
        </w:rPr>
        <w:t>7天</w:t>
      </w:r>
    </w:p>
    <w:p w14:paraId="461D9BFA">
      <w:pPr>
        <w:pStyle w:val="17"/>
        <w:spacing w:before="101" w:line="374" w:lineRule="auto"/>
        <w:ind w:left="10" w:right="166" w:firstLine="350"/>
        <w:rPr>
          <w:color w:val="auto"/>
          <w:spacing w:val="-12"/>
          <w:sz w:val="21"/>
          <w:szCs w:val="21"/>
        </w:rPr>
      </w:pPr>
      <w:r>
        <w:rPr>
          <w:color w:val="auto"/>
          <w:spacing w:val="-12"/>
          <w:sz w:val="21"/>
          <w:szCs w:val="21"/>
        </w:rPr>
        <w:t xml:space="preserve">(5)承包人报送相关文件时限： </w:t>
      </w:r>
      <w:r>
        <w:rPr>
          <w:color w:val="auto"/>
          <w:spacing w:val="-12"/>
          <w:sz w:val="21"/>
          <w:szCs w:val="21"/>
          <w:u w:val="single"/>
        </w:rPr>
        <w:t>7天</w:t>
      </w:r>
      <w:r>
        <w:rPr>
          <w:color w:val="auto"/>
          <w:spacing w:val="-12"/>
          <w:sz w:val="21"/>
          <w:szCs w:val="21"/>
        </w:rPr>
        <w:t xml:space="preserve"> 发包人审批相关文件时限：</w:t>
      </w:r>
      <w:r>
        <w:rPr>
          <w:color w:val="auto"/>
          <w:spacing w:val="-12"/>
          <w:sz w:val="21"/>
          <w:szCs w:val="21"/>
          <w:u w:val="single"/>
        </w:rPr>
        <w:t>7天</w:t>
      </w:r>
    </w:p>
    <w:p w14:paraId="45A93AA4">
      <w:pPr>
        <w:pStyle w:val="17"/>
        <w:spacing w:before="101" w:line="374" w:lineRule="auto"/>
        <w:ind w:left="10" w:right="166" w:firstLine="350"/>
        <w:rPr>
          <w:color w:val="auto"/>
          <w:spacing w:val="-12"/>
          <w:sz w:val="21"/>
          <w:szCs w:val="21"/>
        </w:rPr>
      </w:pPr>
      <w:r>
        <w:rPr>
          <w:color w:val="auto"/>
          <w:spacing w:val="-12"/>
          <w:sz w:val="21"/>
          <w:szCs w:val="21"/>
        </w:rPr>
        <w:t>(10)承包人申报合同文件时限：</w:t>
      </w:r>
      <w:r>
        <w:rPr>
          <w:color w:val="auto"/>
          <w:spacing w:val="-12"/>
          <w:sz w:val="21"/>
          <w:szCs w:val="21"/>
          <w:u w:val="single"/>
        </w:rPr>
        <w:t xml:space="preserve"> 7天</w:t>
      </w:r>
      <w:r>
        <w:rPr>
          <w:color w:val="auto"/>
          <w:spacing w:val="-12"/>
          <w:sz w:val="21"/>
          <w:szCs w:val="21"/>
        </w:rPr>
        <w:t xml:space="preserve"> 发包人审批合同文件时限：</w:t>
      </w:r>
      <w:r>
        <w:rPr>
          <w:color w:val="auto"/>
          <w:spacing w:val="-12"/>
          <w:sz w:val="21"/>
          <w:szCs w:val="21"/>
          <w:u w:val="single"/>
        </w:rPr>
        <w:t xml:space="preserve"> 7天</w:t>
      </w:r>
    </w:p>
    <w:p w14:paraId="1AFD8472">
      <w:pPr>
        <w:pStyle w:val="17"/>
        <w:spacing w:before="101" w:line="374" w:lineRule="auto"/>
        <w:ind w:left="10" w:right="166" w:firstLine="350"/>
        <w:rPr>
          <w:color w:val="auto"/>
          <w:spacing w:val="-12"/>
          <w:sz w:val="21"/>
          <w:szCs w:val="21"/>
        </w:rPr>
      </w:pPr>
      <w:r>
        <w:rPr>
          <w:color w:val="auto"/>
          <w:spacing w:val="-12"/>
          <w:sz w:val="21"/>
          <w:szCs w:val="21"/>
        </w:rPr>
        <w:t xml:space="preserve">承包人报送正式签订合同副本时限： </w:t>
      </w:r>
      <w:r>
        <w:rPr>
          <w:color w:val="auto"/>
          <w:spacing w:val="-12"/>
          <w:sz w:val="21"/>
          <w:szCs w:val="21"/>
          <w:u w:val="single"/>
        </w:rPr>
        <w:t>7天</w:t>
      </w:r>
    </w:p>
    <w:p w14:paraId="5EA7CDFA">
      <w:pPr>
        <w:pStyle w:val="17"/>
        <w:spacing w:before="101" w:line="374" w:lineRule="auto"/>
        <w:ind w:left="10" w:right="166" w:firstLine="350"/>
        <w:rPr>
          <w:color w:val="auto"/>
          <w:spacing w:val="-12"/>
          <w:sz w:val="21"/>
          <w:szCs w:val="21"/>
        </w:rPr>
      </w:pPr>
      <w:r>
        <w:rPr>
          <w:color w:val="auto"/>
          <w:spacing w:val="-12"/>
          <w:sz w:val="21"/>
          <w:szCs w:val="21"/>
        </w:rPr>
        <w:t xml:space="preserve">15.8.3 发包人在工程量清单中给定暂估价的专业工程不属于依法必须招标的范围或者未达到依法 必须招标的规模标准的，其最终价格的估价人为： </w:t>
      </w:r>
      <w:r>
        <w:rPr>
          <w:color w:val="auto"/>
          <w:spacing w:val="-12"/>
          <w:sz w:val="21"/>
          <w:szCs w:val="21"/>
          <w:u w:val="single"/>
        </w:rPr>
        <w:t>发包人</w:t>
      </w:r>
      <w:r>
        <w:rPr>
          <w:color w:val="auto"/>
          <w:spacing w:val="-12"/>
          <w:sz w:val="21"/>
          <w:szCs w:val="21"/>
        </w:rPr>
        <w:t>或者按照下列约定：</w:t>
      </w:r>
    </w:p>
    <w:p w14:paraId="6651A3C6">
      <w:pPr>
        <w:pStyle w:val="17"/>
        <w:spacing w:before="0" w:line="360" w:lineRule="auto"/>
        <w:rPr>
          <w:color w:val="auto"/>
          <w:sz w:val="21"/>
          <w:szCs w:val="21"/>
        </w:rPr>
      </w:pPr>
      <w:r>
        <w:rPr>
          <w:color w:val="auto"/>
          <w:spacing w:val="-5"/>
          <w:sz w:val="21"/>
          <w:szCs w:val="21"/>
        </w:rPr>
        <w:t>16.价格调整</w:t>
      </w:r>
    </w:p>
    <w:p w14:paraId="4E7A4B12">
      <w:pPr>
        <w:pStyle w:val="17"/>
        <w:spacing w:before="0" w:line="360" w:lineRule="auto"/>
        <w:rPr>
          <w:color w:val="auto"/>
          <w:sz w:val="21"/>
          <w:szCs w:val="21"/>
        </w:rPr>
      </w:pPr>
      <w:r>
        <w:rPr>
          <w:color w:val="auto"/>
          <w:spacing w:val="6"/>
          <w:sz w:val="21"/>
          <w:szCs w:val="21"/>
        </w:rPr>
        <w:t>16.1  物价波动引起的价格调整</w:t>
      </w:r>
    </w:p>
    <w:p w14:paraId="596E443D">
      <w:pPr>
        <w:pStyle w:val="17"/>
        <w:spacing w:before="65" w:line="360" w:lineRule="auto"/>
        <w:ind w:left="369"/>
        <w:rPr>
          <w:color w:val="auto"/>
          <w:sz w:val="21"/>
          <w:szCs w:val="21"/>
        </w:rPr>
      </w:pPr>
      <w:r>
        <w:rPr>
          <w:color w:val="auto"/>
          <w:spacing w:val="-3"/>
          <w:sz w:val="21"/>
          <w:szCs w:val="21"/>
        </w:rPr>
        <w:t>物价波动引起价格调整方法</w:t>
      </w:r>
      <w:r>
        <w:rPr>
          <w:color w:val="auto"/>
          <w:spacing w:val="-3"/>
          <w:sz w:val="21"/>
          <w:szCs w:val="21"/>
          <w:u w:val="single" w:color="000000"/>
        </w:rPr>
        <w:t>：采用北京市造价信息调整价格差额法</w:t>
      </w:r>
    </w:p>
    <w:p w14:paraId="3517FBBB">
      <w:pPr>
        <w:pStyle w:val="17"/>
        <w:spacing w:before="104" w:line="218" w:lineRule="auto"/>
        <w:ind w:left="370"/>
        <w:rPr>
          <w:color w:val="auto"/>
          <w:sz w:val="21"/>
          <w:szCs w:val="21"/>
        </w:rPr>
      </w:pPr>
      <w:r>
        <w:rPr>
          <w:color w:val="auto"/>
          <w:spacing w:val="-11"/>
          <w:sz w:val="21"/>
          <w:szCs w:val="21"/>
        </w:rPr>
        <w:t>16.1.2采用造价信息调整价格差额</w:t>
      </w:r>
    </w:p>
    <w:p w14:paraId="519DA1FE">
      <w:pPr>
        <w:pStyle w:val="17"/>
        <w:spacing w:before="154" w:line="218" w:lineRule="auto"/>
        <w:ind w:left="550"/>
        <w:rPr>
          <w:color w:val="auto"/>
          <w:sz w:val="21"/>
          <w:szCs w:val="21"/>
        </w:rPr>
      </w:pPr>
      <w:r>
        <w:rPr>
          <w:color w:val="auto"/>
        </w:rPr>
        <w:fldChar w:fldCharType="begin"/>
      </w:r>
      <w:r>
        <w:rPr>
          <w:color w:val="auto"/>
        </w:rPr>
        <w:instrText xml:space="preserve"> HYPERLINK "16.1.2.1" </w:instrText>
      </w:r>
      <w:r>
        <w:rPr>
          <w:color w:val="auto"/>
        </w:rPr>
        <w:fldChar w:fldCharType="separate"/>
      </w:r>
      <w:r>
        <w:rPr>
          <w:color w:val="auto"/>
          <w:spacing w:val="-13"/>
          <w:sz w:val="21"/>
          <w:szCs w:val="21"/>
        </w:rPr>
        <w:t>16.1.2.1</w:t>
      </w:r>
      <w:r>
        <w:rPr>
          <w:color w:val="auto"/>
          <w:spacing w:val="-13"/>
          <w:sz w:val="21"/>
          <w:szCs w:val="21"/>
        </w:rPr>
        <w:fldChar w:fldCharType="end"/>
      </w:r>
      <w:r>
        <w:rPr>
          <w:color w:val="auto"/>
          <w:spacing w:val="-13"/>
          <w:sz w:val="21"/>
          <w:szCs w:val="21"/>
        </w:rPr>
        <w:t>引起价格调整的物价波动风险范围及幅度</w:t>
      </w:r>
    </w:p>
    <w:p w14:paraId="73D12771">
      <w:pPr>
        <w:pStyle w:val="17"/>
        <w:spacing w:before="164" w:line="346" w:lineRule="auto"/>
        <w:ind w:left="40" w:right="114" w:firstLine="650"/>
        <w:rPr>
          <w:color w:val="auto"/>
          <w:spacing w:val="15"/>
          <w:sz w:val="21"/>
          <w:szCs w:val="21"/>
          <w:u w:val="single" w:color="000000"/>
        </w:rPr>
      </w:pPr>
      <w:r>
        <w:rPr>
          <w:color w:val="auto"/>
          <w:spacing w:val="15"/>
          <w:sz w:val="21"/>
          <w:szCs w:val="21"/>
          <w:u w:val="single" w:color="000000"/>
        </w:rPr>
        <w:t>引起价格调整的物价波动风险范围：根据</w:t>
      </w:r>
      <w:r>
        <w:rPr>
          <w:rFonts w:ascii="微软雅黑" w:hAnsi="微软雅黑" w:eastAsia="微软雅黑" w:cs="微软雅黑"/>
          <w:i w:val="0"/>
          <w:iCs w:val="0"/>
          <w:caps w:val="0"/>
          <w:color w:val="333333"/>
          <w:spacing w:val="0"/>
          <w:sz w:val="21"/>
          <w:szCs w:val="21"/>
          <w:shd w:val="clear" w:fill="FFFFFF"/>
        </w:rPr>
        <w:t>京建发〔2025〕377号</w:t>
      </w:r>
      <w:r>
        <w:rPr>
          <w:color w:val="auto"/>
          <w:spacing w:val="15"/>
          <w:sz w:val="21"/>
          <w:szCs w:val="21"/>
          <w:u w:val="single" w:color="000000"/>
        </w:rPr>
        <w:t>的规定，确定人工费、钢筋、预拌砼、属于风险范围。本工程合同期内的风险幅度为士5%(含)。投标基期价格采 用2024年第</w:t>
      </w:r>
      <w:r>
        <w:rPr>
          <w:rFonts w:hint="eastAsia"/>
          <w:color w:val="auto"/>
          <w:spacing w:val="15"/>
          <w:sz w:val="21"/>
          <w:szCs w:val="21"/>
          <w:u w:val="single" w:color="000000"/>
        </w:rPr>
        <w:t>11</w:t>
      </w:r>
      <w:r>
        <w:rPr>
          <w:color w:val="auto"/>
          <w:spacing w:val="15"/>
          <w:sz w:val="21"/>
          <w:szCs w:val="21"/>
          <w:u w:val="single" w:color="000000"/>
        </w:rPr>
        <w:t xml:space="preserve">期《北京工程造价信息》发布的价格，市场价格变动超过±5%以内的不再调 整，超过±5%的其超出部分据实调整。主要材料和机械市场价格的变化幅度小于或等于合 同中约定的价格变化幅度时，不做调整：变化幅度大于合同中约定的价格变化幅度时，应当 计算超过部分的价格差额，其价格差额由发包人承担或受益。人工市场价格的变化幅度小于 或等于合同中约定的价格变化幅度时，不做调整；变化幅度大于合同中约定的价格变化幅度 时，应当计算全部价格差额，其价格差额由发包人承担或受益。  </w:t>
      </w:r>
    </w:p>
    <w:p w14:paraId="2B58AE3F">
      <w:pPr>
        <w:pStyle w:val="17"/>
        <w:spacing w:before="0" w:line="360" w:lineRule="auto"/>
        <w:ind w:left="561"/>
        <w:rPr>
          <w:color w:val="auto"/>
          <w:sz w:val="21"/>
          <w:szCs w:val="21"/>
        </w:rPr>
      </w:pPr>
      <w:r>
        <w:rPr>
          <w:color w:val="auto"/>
          <w:spacing w:val="-19"/>
          <w:sz w:val="21"/>
          <w:szCs w:val="21"/>
        </w:rPr>
        <w:t>引起价格调整的物价波动风险幅度：</w:t>
      </w:r>
      <w:r>
        <w:rPr>
          <w:color w:val="auto"/>
          <w:spacing w:val="-19"/>
          <w:sz w:val="21"/>
          <w:szCs w:val="21"/>
          <w:u w:val="single"/>
        </w:rPr>
        <w:t>±5%</w:t>
      </w:r>
    </w:p>
    <w:p w14:paraId="0C2F3EE1">
      <w:pPr>
        <w:pStyle w:val="17"/>
        <w:spacing w:before="0" w:line="360" w:lineRule="auto"/>
        <w:ind w:left="570"/>
        <w:rPr>
          <w:color w:val="auto"/>
          <w:sz w:val="21"/>
          <w:szCs w:val="21"/>
        </w:rPr>
      </w:pPr>
      <w:r>
        <w:rPr>
          <w:color w:val="auto"/>
        </w:rPr>
        <w:fldChar w:fldCharType="begin"/>
      </w:r>
      <w:r>
        <w:rPr>
          <w:color w:val="auto"/>
        </w:rPr>
        <w:instrText xml:space="preserve"> HYPERLINK "16.1.2.2" </w:instrText>
      </w:r>
      <w:r>
        <w:rPr>
          <w:color w:val="auto"/>
        </w:rPr>
        <w:fldChar w:fldCharType="separate"/>
      </w:r>
      <w:r>
        <w:rPr>
          <w:color w:val="auto"/>
          <w:spacing w:val="-14"/>
          <w:sz w:val="21"/>
          <w:szCs w:val="21"/>
        </w:rPr>
        <w:t>16.1.2.2</w:t>
      </w:r>
      <w:r>
        <w:rPr>
          <w:color w:val="auto"/>
          <w:spacing w:val="-14"/>
          <w:sz w:val="21"/>
          <w:szCs w:val="21"/>
        </w:rPr>
        <w:fldChar w:fldCharType="end"/>
      </w:r>
      <w:r>
        <w:rPr>
          <w:color w:val="auto"/>
          <w:spacing w:val="-14"/>
          <w:sz w:val="21"/>
          <w:szCs w:val="21"/>
        </w:rPr>
        <w:t>物价波动引起价格调整的风险幅度的计算方法</w:t>
      </w:r>
    </w:p>
    <w:p w14:paraId="63747476">
      <w:pPr>
        <w:pStyle w:val="17"/>
        <w:spacing w:before="0" w:line="360" w:lineRule="auto"/>
        <w:ind w:left="650"/>
        <w:rPr>
          <w:color w:val="auto"/>
          <w:sz w:val="21"/>
          <w:szCs w:val="21"/>
        </w:rPr>
      </w:pPr>
      <w:r>
        <w:rPr>
          <w:color w:val="auto"/>
          <w:spacing w:val="-8"/>
          <w:sz w:val="21"/>
          <w:szCs w:val="21"/>
        </w:rPr>
        <w:t>(1)投标报价基准期：</w:t>
      </w:r>
      <w:r>
        <w:rPr>
          <w:color w:val="auto"/>
          <w:spacing w:val="-8"/>
          <w:sz w:val="21"/>
          <w:szCs w:val="21"/>
          <w:u w:val="single"/>
        </w:rPr>
        <w:t>2024</w:t>
      </w:r>
      <w:r>
        <w:rPr>
          <w:color w:val="auto"/>
          <w:spacing w:val="-8"/>
          <w:sz w:val="21"/>
          <w:szCs w:val="21"/>
        </w:rPr>
        <w:t>年</w:t>
      </w:r>
      <w:r>
        <w:rPr>
          <w:rFonts w:hint="eastAsia"/>
          <w:color w:val="auto"/>
          <w:spacing w:val="-8"/>
          <w:sz w:val="21"/>
          <w:szCs w:val="21"/>
          <w:lang w:val="en-US" w:eastAsia="zh-CN"/>
        </w:rPr>
        <w:t>11</w:t>
      </w:r>
      <w:r>
        <w:rPr>
          <w:color w:val="auto"/>
          <w:spacing w:val="-8"/>
          <w:sz w:val="21"/>
          <w:szCs w:val="21"/>
        </w:rPr>
        <w:t>月。</w:t>
      </w:r>
    </w:p>
    <w:p w14:paraId="7DDD9E5B">
      <w:pPr>
        <w:pStyle w:val="17"/>
        <w:spacing w:before="0" w:line="360" w:lineRule="auto"/>
        <w:ind w:left="700"/>
        <w:rPr>
          <w:color w:val="auto"/>
          <w:sz w:val="21"/>
          <w:szCs w:val="21"/>
        </w:rPr>
      </w:pPr>
      <w:r>
        <w:rPr>
          <w:color w:val="auto"/>
          <w:spacing w:val="-14"/>
          <w:sz w:val="21"/>
          <w:szCs w:val="21"/>
        </w:rPr>
        <w:t>(2)《北京工程造价信息》中工程造价信息价没有的</w:t>
      </w:r>
      <w:r>
        <w:rPr>
          <w:color w:val="auto"/>
          <w:spacing w:val="-15"/>
          <w:sz w:val="21"/>
          <w:szCs w:val="21"/>
        </w:rPr>
        <w:t>，基准价的确定方法：</w:t>
      </w:r>
      <w:r>
        <w:rPr>
          <w:color w:val="auto"/>
          <w:spacing w:val="9"/>
          <w:sz w:val="21"/>
          <w:szCs w:val="21"/>
          <w:u w:val="single" w:color="000000"/>
        </w:rPr>
        <w:t>市场询价</w:t>
      </w:r>
    </w:p>
    <w:p w14:paraId="61A04A1A">
      <w:pPr>
        <w:pStyle w:val="17"/>
        <w:spacing w:before="0" w:line="360" w:lineRule="auto"/>
        <w:ind w:left="690"/>
        <w:rPr>
          <w:color w:val="auto"/>
          <w:sz w:val="21"/>
          <w:szCs w:val="21"/>
        </w:rPr>
      </w:pPr>
      <w:r>
        <w:rPr>
          <w:color w:val="auto"/>
          <w:spacing w:val="-12"/>
          <w:sz w:val="21"/>
          <w:szCs w:val="21"/>
        </w:rPr>
        <w:t>(3)合同履行期间价格的确定方法：</w:t>
      </w:r>
    </w:p>
    <w:p w14:paraId="7EB8AB83">
      <w:pPr>
        <w:pStyle w:val="17"/>
        <w:spacing w:before="164" w:line="346" w:lineRule="auto"/>
        <w:ind w:left="40" w:right="114" w:firstLine="650"/>
        <w:rPr>
          <w:color w:val="auto"/>
          <w:sz w:val="21"/>
          <w:szCs w:val="21"/>
        </w:rPr>
      </w:pPr>
      <w:r>
        <w:rPr>
          <w:color w:val="auto"/>
          <w:spacing w:val="15"/>
          <w:sz w:val="21"/>
          <w:szCs w:val="21"/>
          <w:u w:val="single" w:color="000000"/>
        </w:rPr>
        <w:t>以北京市建设工程造价管理机构发布的《北京工程造价信息》基准期的市场</w:t>
      </w:r>
      <w:r>
        <w:rPr>
          <w:color w:val="auto"/>
          <w:spacing w:val="14"/>
          <w:sz w:val="21"/>
          <w:szCs w:val="21"/>
          <w:u w:val="single" w:color="000000"/>
        </w:rPr>
        <w:t>信息价</w:t>
      </w:r>
      <w:r>
        <w:rPr>
          <w:color w:val="auto"/>
          <w:spacing w:val="16"/>
          <w:sz w:val="21"/>
          <w:szCs w:val="21"/>
          <w:u w:val="single" w:color="000000"/>
        </w:rPr>
        <w:t>格(以下简称造价信息价格)为依据，造价信息价格中有上、</w:t>
      </w:r>
      <w:r>
        <w:rPr>
          <w:color w:val="auto"/>
          <w:spacing w:val="15"/>
          <w:sz w:val="21"/>
          <w:szCs w:val="21"/>
          <w:u w:val="single" w:color="000000"/>
        </w:rPr>
        <w:t>下限的，以中间值为准；造价</w:t>
      </w:r>
      <w:r>
        <w:rPr>
          <w:color w:val="auto"/>
          <w:spacing w:val="10"/>
          <w:sz w:val="21"/>
          <w:szCs w:val="21"/>
          <w:u w:val="single" w:color="000000"/>
        </w:rPr>
        <w:t>信息价格中没有的，按发包人、承包人共同确认的市场价格为准。价格差值部分不再另</w:t>
      </w:r>
      <w:r>
        <w:rPr>
          <w:color w:val="auto"/>
          <w:spacing w:val="9"/>
          <w:sz w:val="21"/>
          <w:szCs w:val="21"/>
          <w:u w:val="single" w:color="000000"/>
        </w:rPr>
        <w:t>行取</w:t>
      </w:r>
      <w:r>
        <w:rPr>
          <w:color w:val="auto"/>
          <w:spacing w:val="4"/>
          <w:sz w:val="21"/>
          <w:szCs w:val="21"/>
          <w:u w:val="single"/>
        </w:rPr>
        <w:t>费只计取相应税金</w:t>
      </w:r>
      <w:r>
        <w:rPr>
          <w:color w:val="auto"/>
          <w:spacing w:val="4"/>
          <w:sz w:val="21"/>
          <w:szCs w:val="21"/>
        </w:rPr>
        <w:t>。</w:t>
      </w:r>
    </w:p>
    <w:p w14:paraId="0BE58382">
      <w:pPr>
        <w:pStyle w:val="17"/>
        <w:spacing w:before="69" w:line="218" w:lineRule="auto"/>
        <w:ind w:left="700"/>
        <w:rPr>
          <w:color w:val="auto"/>
          <w:sz w:val="21"/>
          <w:szCs w:val="21"/>
        </w:rPr>
      </w:pPr>
      <w:r>
        <w:rPr>
          <w:color w:val="auto"/>
          <w:spacing w:val="-10"/>
          <w:sz w:val="21"/>
          <w:szCs w:val="21"/>
        </w:rPr>
        <w:t>(4)风险幅度的计算方法：</w:t>
      </w:r>
    </w:p>
    <w:p w14:paraId="2F44A982">
      <w:pPr>
        <w:pStyle w:val="17"/>
        <w:spacing w:before="164" w:line="346" w:lineRule="auto"/>
        <w:ind w:left="40" w:right="114" w:firstLine="650"/>
        <w:rPr>
          <w:color w:val="auto"/>
          <w:spacing w:val="15"/>
          <w:sz w:val="21"/>
          <w:szCs w:val="21"/>
          <w:u w:val="single" w:color="000000"/>
        </w:rPr>
      </w:pPr>
      <w:r>
        <w:rPr>
          <w:color w:val="auto"/>
          <w:spacing w:val="15"/>
          <w:sz w:val="21"/>
          <w:szCs w:val="21"/>
          <w:u w:val="single" w:color="000000"/>
        </w:rPr>
        <w:t>A 、当投标报价时的单价低于投标报价期对应的造价信息价格时：风险幅度=(施工期对应的造价信息价格-投标报价期对应的造价信息价格)/投标报价期对 应的造价信息价格*100%</w:t>
      </w:r>
    </w:p>
    <w:p w14:paraId="65090819">
      <w:pPr>
        <w:pStyle w:val="17"/>
        <w:spacing w:before="164" w:line="346" w:lineRule="auto"/>
        <w:ind w:left="40" w:right="114" w:firstLine="650"/>
        <w:rPr>
          <w:color w:val="auto"/>
          <w:spacing w:val="15"/>
          <w:sz w:val="21"/>
          <w:szCs w:val="21"/>
          <w:u w:val="single" w:color="000000"/>
        </w:rPr>
      </w:pPr>
      <w:r>
        <w:rPr>
          <w:color w:val="auto"/>
          <w:spacing w:val="15"/>
          <w:sz w:val="21"/>
          <w:szCs w:val="21"/>
          <w:u w:val="single" w:color="000000"/>
        </w:rPr>
        <w:t>B 、当投标报价时的单价高于投标报价期对应的造价信息价格时</w:t>
      </w:r>
    </w:p>
    <w:p w14:paraId="03348B66">
      <w:pPr>
        <w:pStyle w:val="17"/>
        <w:spacing w:before="164" w:line="346" w:lineRule="auto"/>
        <w:ind w:left="40" w:right="114" w:firstLine="650"/>
        <w:rPr>
          <w:color w:val="auto"/>
          <w:spacing w:val="15"/>
          <w:sz w:val="21"/>
          <w:szCs w:val="21"/>
          <w:u w:val="single" w:color="000000"/>
        </w:rPr>
      </w:pPr>
      <w:r>
        <w:rPr>
          <w:color w:val="auto"/>
          <w:spacing w:val="15"/>
          <w:sz w:val="21"/>
          <w:szCs w:val="21"/>
          <w:u w:val="single" w:color="000000"/>
        </w:rPr>
        <w:t>风险幅度=(施工期对应的造价信息价格-投标报价时的单价)/投标报价时的单价*100% C、发包人、承包人应当按季对施工期间的主要材料和人工价格等市场价格进行认价。</w:t>
      </w:r>
    </w:p>
    <w:p w14:paraId="2EE4D9ED">
      <w:pPr>
        <w:pStyle w:val="17"/>
        <w:spacing w:before="164" w:line="346" w:lineRule="auto"/>
        <w:ind w:left="40" w:right="114" w:firstLine="650"/>
        <w:rPr>
          <w:color w:val="auto"/>
          <w:spacing w:val="15"/>
          <w:sz w:val="21"/>
          <w:szCs w:val="21"/>
          <w:u w:val="single" w:color="000000"/>
        </w:rPr>
      </w:pPr>
      <w:r>
        <w:rPr>
          <w:color w:val="auto"/>
          <w:spacing w:val="15"/>
          <w:sz w:val="21"/>
          <w:szCs w:val="21"/>
          <w:u w:val="single" w:color="000000"/>
        </w:rPr>
        <w:t>1、对于沥青混凝士等主要材料调价原则，如下：承包方按照发包方提供的工程量清单进行 计价和报价，同时按照价差调整办法(A1-B1)/B1&gt;±5%以外的部分作为其价差调整额度，士 5 % 以 内 ( 含 ) 时不予调整。其中：</w:t>
      </w:r>
    </w:p>
    <w:p w14:paraId="36710037">
      <w:pPr>
        <w:pStyle w:val="17"/>
        <w:spacing w:before="164" w:line="346" w:lineRule="auto"/>
        <w:ind w:left="40" w:right="114" w:firstLine="650"/>
        <w:rPr>
          <w:color w:val="auto"/>
          <w:spacing w:val="15"/>
          <w:sz w:val="21"/>
          <w:szCs w:val="21"/>
          <w:u w:val="single" w:color="000000"/>
        </w:rPr>
      </w:pPr>
      <w:r>
        <w:rPr>
          <w:color w:val="auto"/>
          <w:spacing w:val="15"/>
          <w:sz w:val="21"/>
          <w:szCs w:val="21"/>
          <w:u w:val="single" w:color="000000"/>
        </w:rPr>
        <w:t xml:space="preserve">"A1 代表北京工程造价信息材料价格的实施期主要材料供应价格算术平均值；   </w:t>
      </w:r>
    </w:p>
    <w:p w14:paraId="079838BD">
      <w:pPr>
        <w:pStyle w:val="17"/>
        <w:spacing w:before="164" w:line="346" w:lineRule="auto"/>
        <w:ind w:left="40" w:right="114" w:firstLine="650"/>
        <w:rPr>
          <w:color w:val="auto"/>
          <w:spacing w:val="15"/>
          <w:sz w:val="21"/>
          <w:szCs w:val="21"/>
          <w:u w:val="single" w:color="000000"/>
        </w:rPr>
      </w:pPr>
      <w:r>
        <w:rPr>
          <w:color w:val="auto"/>
          <w:spacing w:val="15"/>
          <w:sz w:val="21"/>
          <w:szCs w:val="21"/>
          <w:u w:val="single" w:color="000000"/>
        </w:rPr>
        <w:t>"B1" 代表年月(按实际时间填写)北京工程造价信息主要材料供应价格算术平均值：所有价差仅可计取税金。</w:t>
      </w:r>
    </w:p>
    <w:p w14:paraId="38C9749C">
      <w:pPr>
        <w:pStyle w:val="17"/>
        <w:spacing w:before="139" w:line="218" w:lineRule="auto"/>
        <w:ind w:left="590"/>
        <w:rPr>
          <w:color w:val="auto"/>
          <w:sz w:val="21"/>
          <w:szCs w:val="21"/>
        </w:rPr>
      </w:pPr>
      <w:r>
        <w:rPr>
          <w:color w:val="auto"/>
        </w:rPr>
        <w:fldChar w:fldCharType="begin"/>
      </w:r>
      <w:r>
        <w:rPr>
          <w:color w:val="auto"/>
        </w:rPr>
        <w:instrText xml:space="preserve"> HYPERLINK "16.1.2.3" </w:instrText>
      </w:r>
      <w:r>
        <w:rPr>
          <w:color w:val="auto"/>
        </w:rPr>
        <w:fldChar w:fldCharType="separate"/>
      </w:r>
      <w:r>
        <w:rPr>
          <w:color w:val="auto"/>
          <w:spacing w:val="-12"/>
          <w:sz w:val="21"/>
          <w:szCs w:val="21"/>
        </w:rPr>
        <w:t>16.1.2.3</w:t>
      </w:r>
      <w:r>
        <w:rPr>
          <w:color w:val="auto"/>
          <w:spacing w:val="-12"/>
          <w:sz w:val="21"/>
          <w:szCs w:val="21"/>
        </w:rPr>
        <w:fldChar w:fldCharType="end"/>
      </w:r>
      <w:r>
        <w:rPr>
          <w:color w:val="auto"/>
          <w:spacing w:val="-12"/>
          <w:sz w:val="21"/>
          <w:szCs w:val="21"/>
        </w:rPr>
        <w:t>物价波动引起价格调整的方法</w:t>
      </w:r>
    </w:p>
    <w:p w14:paraId="4E36677D">
      <w:pPr>
        <w:pStyle w:val="17"/>
        <w:spacing w:before="164" w:line="346" w:lineRule="auto"/>
        <w:ind w:left="40" w:right="114" w:firstLine="650"/>
        <w:rPr>
          <w:rFonts w:ascii="宋体" w:hAnsi="宋体" w:eastAsia="宋体" w:cs="Times New Roman"/>
          <w:color w:val="auto"/>
          <w:spacing w:val="15"/>
          <w:sz w:val="21"/>
          <w:szCs w:val="21"/>
          <w:u w:val="single" w:color="000000"/>
        </w:rPr>
      </w:pPr>
      <w:r>
        <w:rPr>
          <w:color w:val="auto"/>
          <w:spacing w:val="15"/>
          <w:sz w:val="21"/>
          <w:szCs w:val="21"/>
          <w:u w:val="single" w:color="000000"/>
        </w:rPr>
        <w:t>(1)</w:t>
      </w:r>
      <w:r>
        <w:rPr>
          <w:rFonts w:ascii="宋体" w:hAnsi="宋体" w:eastAsia="宋体" w:cs="Times New Roman"/>
          <w:color w:val="auto"/>
          <w:spacing w:val="15"/>
          <w:sz w:val="21"/>
          <w:szCs w:val="21"/>
          <w:u w:val="single" w:color="000000"/>
        </w:rPr>
        <w:t>价格调整方法：加权平均法：加权平均数=(k1*a1+k2*a2+k3*a3+...+kn*an)/(k1+k2+k3+..+kn) 其中：k 代表量，a 代表价格。</w:t>
      </w:r>
    </w:p>
    <w:p w14:paraId="3B5DC289">
      <w:pPr>
        <w:pStyle w:val="17"/>
        <w:spacing w:before="8" w:line="218" w:lineRule="auto"/>
        <w:ind w:left="410" w:firstLine="192" w:firstLineChars="100"/>
        <w:rPr>
          <w:color w:val="auto"/>
          <w:sz w:val="21"/>
          <w:szCs w:val="21"/>
          <w:u w:val="single"/>
        </w:rPr>
      </w:pPr>
      <w:r>
        <w:rPr>
          <w:color w:val="auto"/>
          <w:spacing w:val="-9"/>
          <w:sz w:val="21"/>
          <w:szCs w:val="21"/>
        </w:rPr>
        <w:t>16.1.3其他价格调整方法</w:t>
      </w:r>
      <w:r>
        <w:rPr>
          <w:rFonts w:hint="eastAsia"/>
          <w:color w:val="auto"/>
          <w:spacing w:val="-9"/>
          <w:sz w:val="21"/>
          <w:szCs w:val="21"/>
        </w:rPr>
        <w:t>：</w:t>
      </w:r>
      <w:r>
        <w:rPr>
          <w:rFonts w:hint="eastAsia"/>
          <w:color w:val="auto"/>
          <w:spacing w:val="-9"/>
          <w:sz w:val="21"/>
          <w:szCs w:val="21"/>
          <w:u w:val="single"/>
        </w:rPr>
        <w:t>/</w:t>
      </w:r>
    </w:p>
    <w:p w14:paraId="170B8ABE">
      <w:pPr>
        <w:spacing w:line="249" w:lineRule="auto"/>
        <w:rPr>
          <w:color w:val="auto"/>
          <w:szCs w:val="21"/>
        </w:rPr>
      </w:pPr>
    </w:p>
    <w:p w14:paraId="780D77C8">
      <w:pPr>
        <w:pStyle w:val="17"/>
        <w:spacing w:before="88" w:line="219" w:lineRule="auto"/>
        <w:ind w:left="60"/>
        <w:rPr>
          <w:color w:val="auto"/>
          <w:sz w:val="21"/>
          <w:szCs w:val="21"/>
        </w:rPr>
      </w:pPr>
      <w:r>
        <w:rPr>
          <w:color w:val="auto"/>
          <w:spacing w:val="-6"/>
          <w:sz w:val="21"/>
          <w:szCs w:val="21"/>
        </w:rPr>
        <w:t>17.计量与支付</w:t>
      </w:r>
    </w:p>
    <w:p w14:paraId="4A137ED5">
      <w:pPr>
        <w:pStyle w:val="17"/>
        <w:spacing w:before="65" w:line="360" w:lineRule="auto"/>
        <w:ind w:left="40"/>
        <w:rPr>
          <w:color w:val="auto"/>
          <w:sz w:val="21"/>
          <w:szCs w:val="21"/>
        </w:rPr>
      </w:pPr>
      <w:r>
        <w:rPr>
          <w:color w:val="auto"/>
          <w:spacing w:val="-6"/>
          <w:sz w:val="21"/>
          <w:szCs w:val="21"/>
        </w:rPr>
        <w:t>17.1计量</w:t>
      </w:r>
    </w:p>
    <w:p w14:paraId="0D8ECE8E">
      <w:pPr>
        <w:pStyle w:val="17"/>
        <w:spacing w:before="66" w:line="360" w:lineRule="auto"/>
        <w:ind w:left="410"/>
        <w:rPr>
          <w:color w:val="auto"/>
          <w:sz w:val="21"/>
          <w:szCs w:val="21"/>
        </w:rPr>
      </w:pPr>
      <w:r>
        <w:rPr>
          <w:color w:val="auto"/>
          <w:spacing w:val="-6"/>
          <w:sz w:val="21"/>
          <w:szCs w:val="21"/>
        </w:rPr>
        <w:t>17.1.3计量周期</w:t>
      </w:r>
    </w:p>
    <w:p w14:paraId="5A6C680A">
      <w:pPr>
        <w:pStyle w:val="17"/>
        <w:spacing w:before="191" w:line="360" w:lineRule="auto"/>
        <w:ind w:left="499"/>
        <w:rPr>
          <w:color w:val="auto"/>
          <w:sz w:val="21"/>
          <w:szCs w:val="21"/>
        </w:rPr>
      </w:pPr>
      <w:r>
        <w:rPr>
          <w:color w:val="auto"/>
          <w:spacing w:val="-2"/>
          <w:sz w:val="21"/>
          <w:szCs w:val="21"/>
        </w:rPr>
        <w:t>(1)每月25日为当月计量截止日期(不含当日)和下月计量起始日期(含当日)。</w:t>
      </w:r>
    </w:p>
    <w:p w14:paraId="5D16F82C">
      <w:pPr>
        <w:pStyle w:val="17"/>
        <w:spacing w:before="191" w:line="360" w:lineRule="auto"/>
        <w:ind w:left="499"/>
        <w:rPr>
          <w:color w:val="auto"/>
          <w:spacing w:val="-2"/>
          <w:sz w:val="21"/>
          <w:szCs w:val="21"/>
        </w:rPr>
      </w:pPr>
      <w:r>
        <w:rPr>
          <w:color w:val="auto"/>
          <w:spacing w:val="-2"/>
          <w:sz w:val="21"/>
          <w:szCs w:val="21"/>
        </w:rPr>
        <w:t>(2)本合同</w:t>
      </w:r>
      <w:r>
        <w:rPr>
          <w:color w:val="auto"/>
          <w:spacing w:val="-2"/>
          <w:sz w:val="21"/>
          <w:szCs w:val="21"/>
          <w:u w:val="single"/>
        </w:rPr>
        <w:t>执行</w:t>
      </w:r>
      <w:r>
        <w:rPr>
          <w:color w:val="auto"/>
          <w:spacing w:val="-2"/>
          <w:sz w:val="21"/>
          <w:szCs w:val="21"/>
        </w:rPr>
        <w:t>(执行(采用单价合同形式时)/不执行(采用总价合同形式时))单价子目已完 成工程量按月计量。</w:t>
      </w:r>
    </w:p>
    <w:p w14:paraId="35DCC5F7">
      <w:pPr>
        <w:pStyle w:val="17"/>
        <w:spacing w:before="191" w:line="360" w:lineRule="auto"/>
        <w:ind w:left="499"/>
        <w:rPr>
          <w:color w:val="auto"/>
          <w:spacing w:val="-2"/>
          <w:sz w:val="21"/>
          <w:szCs w:val="21"/>
        </w:rPr>
      </w:pPr>
      <w:r>
        <w:rPr>
          <w:color w:val="auto"/>
          <w:spacing w:val="-2"/>
          <w:sz w:val="21"/>
          <w:szCs w:val="21"/>
        </w:rPr>
        <w:t>(3)总价子目计量方式采用</w:t>
      </w:r>
      <w:r>
        <w:rPr>
          <w:color w:val="auto"/>
          <w:spacing w:val="-2"/>
          <w:sz w:val="21"/>
          <w:szCs w:val="21"/>
          <w:u w:val="single"/>
        </w:rPr>
        <w:t xml:space="preserve">按实际完成工程量计量 </w:t>
      </w:r>
      <w:r>
        <w:rPr>
          <w:color w:val="auto"/>
          <w:spacing w:val="-2"/>
          <w:sz w:val="21"/>
          <w:szCs w:val="21"/>
        </w:rPr>
        <w:t xml:space="preserve"> (支付分解报告/按实际完成工程量计量)。</w:t>
      </w:r>
    </w:p>
    <w:p w14:paraId="0FCD988C">
      <w:pPr>
        <w:pStyle w:val="17"/>
        <w:spacing w:before="191" w:line="360" w:lineRule="auto"/>
        <w:ind w:left="499"/>
        <w:rPr>
          <w:color w:val="auto"/>
          <w:spacing w:val="-2"/>
          <w:sz w:val="21"/>
          <w:szCs w:val="21"/>
        </w:rPr>
      </w:pPr>
      <w:r>
        <w:rPr>
          <w:color w:val="auto"/>
          <w:spacing w:val="-2"/>
          <w:sz w:val="21"/>
          <w:szCs w:val="21"/>
        </w:rPr>
        <w:t>17.1.5 总价子目的计量(适用于采用支付分解报告)</w:t>
      </w:r>
    </w:p>
    <w:p w14:paraId="37937708">
      <w:pPr>
        <w:pStyle w:val="17"/>
        <w:spacing w:before="191" w:line="360" w:lineRule="auto"/>
        <w:ind w:left="499"/>
        <w:rPr>
          <w:color w:val="auto"/>
          <w:spacing w:val="-2"/>
          <w:sz w:val="21"/>
          <w:szCs w:val="21"/>
        </w:rPr>
      </w:pPr>
      <w:r>
        <w:rPr>
          <w:color w:val="auto"/>
          <w:spacing w:val="-2"/>
          <w:sz w:val="21"/>
          <w:szCs w:val="21"/>
        </w:rPr>
        <w:t>(1)采用支付分解报告计量方式的，总价子目的价格调整方法：/</w:t>
      </w:r>
    </w:p>
    <w:p w14:paraId="2C134675">
      <w:pPr>
        <w:pStyle w:val="17"/>
        <w:spacing w:before="191" w:line="360" w:lineRule="auto"/>
        <w:ind w:left="499"/>
        <w:rPr>
          <w:color w:val="auto"/>
          <w:spacing w:val="-2"/>
          <w:sz w:val="21"/>
          <w:szCs w:val="21"/>
        </w:rPr>
      </w:pPr>
      <w:r>
        <w:rPr>
          <w:color w:val="auto"/>
          <w:spacing w:val="-2"/>
          <w:sz w:val="21"/>
          <w:szCs w:val="21"/>
        </w:rPr>
        <w:t>17.1.5 总价子目的计量(适用于采用按实际完成工程量计量)</w:t>
      </w:r>
    </w:p>
    <w:p w14:paraId="59902967">
      <w:pPr>
        <w:pStyle w:val="17"/>
        <w:spacing w:before="191" w:line="360" w:lineRule="auto"/>
        <w:ind w:left="499"/>
        <w:rPr>
          <w:color w:val="auto"/>
          <w:spacing w:val="-2"/>
          <w:sz w:val="21"/>
          <w:szCs w:val="21"/>
        </w:rPr>
      </w:pPr>
      <w:r>
        <w:rPr>
          <w:color w:val="auto"/>
          <w:spacing w:val="-2"/>
          <w:sz w:val="21"/>
          <w:szCs w:val="21"/>
        </w:rPr>
        <w:t>(1)采用按实际完成工程量计量方式的，总价子目的价格调整方法：</w:t>
      </w:r>
      <w:r>
        <w:rPr>
          <w:rFonts w:hint="eastAsia"/>
          <w:color w:val="auto"/>
          <w:spacing w:val="-2"/>
          <w:sz w:val="21"/>
          <w:szCs w:val="21"/>
        </w:rPr>
        <w:t>/</w:t>
      </w:r>
    </w:p>
    <w:p w14:paraId="2C12966A">
      <w:pPr>
        <w:spacing w:line="272" w:lineRule="auto"/>
        <w:rPr>
          <w:color w:val="auto"/>
          <w:szCs w:val="21"/>
        </w:rPr>
      </w:pPr>
    </w:p>
    <w:p w14:paraId="616AEA5E">
      <w:pPr>
        <w:pStyle w:val="17"/>
        <w:spacing w:before="66" w:line="219" w:lineRule="auto"/>
        <w:rPr>
          <w:color w:val="auto"/>
          <w:sz w:val="21"/>
          <w:szCs w:val="21"/>
        </w:rPr>
      </w:pPr>
      <w:r>
        <w:rPr>
          <w:color w:val="auto"/>
          <w:spacing w:val="3"/>
          <w:sz w:val="21"/>
          <w:szCs w:val="21"/>
        </w:rPr>
        <w:t>17.2预付款</w:t>
      </w:r>
    </w:p>
    <w:p w14:paraId="71B7E04C">
      <w:pPr>
        <w:spacing w:line="265" w:lineRule="auto"/>
        <w:rPr>
          <w:color w:val="auto"/>
          <w:szCs w:val="21"/>
        </w:rPr>
      </w:pPr>
    </w:p>
    <w:p w14:paraId="3E8A079A">
      <w:pPr>
        <w:pStyle w:val="17"/>
        <w:spacing w:before="66" w:line="360" w:lineRule="auto"/>
        <w:ind w:left="370"/>
        <w:rPr>
          <w:color w:val="auto"/>
          <w:sz w:val="21"/>
          <w:szCs w:val="21"/>
          <w:highlight w:val="none"/>
        </w:rPr>
      </w:pPr>
      <w:r>
        <w:rPr>
          <w:color w:val="auto"/>
          <w:spacing w:val="-4"/>
          <w:sz w:val="21"/>
          <w:szCs w:val="21"/>
          <w:highlight w:val="none"/>
        </w:rPr>
        <w:t>17.2.1预付款</w:t>
      </w:r>
    </w:p>
    <w:p w14:paraId="2A47B881">
      <w:pPr>
        <w:pStyle w:val="17"/>
        <w:spacing w:before="143" w:line="360" w:lineRule="auto"/>
        <w:ind w:left="469"/>
        <w:rPr>
          <w:color w:val="auto"/>
          <w:sz w:val="21"/>
          <w:szCs w:val="21"/>
          <w:highlight w:val="none"/>
        </w:rPr>
      </w:pPr>
      <w:r>
        <w:rPr>
          <w:color w:val="auto"/>
          <w:spacing w:val="-1"/>
          <w:sz w:val="21"/>
          <w:szCs w:val="21"/>
          <w:highlight w:val="none"/>
        </w:rPr>
        <w:t>(1)预付款额度</w:t>
      </w:r>
    </w:p>
    <w:p w14:paraId="039A11BB">
      <w:pPr>
        <w:pStyle w:val="17"/>
        <w:spacing w:before="40" w:line="383" w:lineRule="auto"/>
        <w:ind w:right="165" w:firstLine="550"/>
        <w:rPr>
          <w:rFonts w:hint="eastAsia" w:eastAsia="宋体"/>
          <w:color w:val="auto"/>
          <w:spacing w:val="9"/>
          <w:sz w:val="21"/>
          <w:szCs w:val="21"/>
          <w:highlight w:val="none"/>
          <w:u w:val="single"/>
          <w:lang w:val="en-US" w:eastAsia="zh-CN"/>
        </w:rPr>
      </w:pPr>
      <w:r>
        <w:rPr>
          <w:color w:val="auto"/>
          <w:spacing w:val="9"/>
          <w:sz w:val="21"/>
          <w:szCs w:val="21"/>
          <w:highlight w:val="none"/>
        </w:rPr>
        <w:t>预付款额度：</w:t>
      </w:r>
      <w:r>
        <w:rPr>
          <w:color w:val="auto"/>
          <w:spacing w:val="9"/>
          <w:sz w:val="21"/>
          <w:szCs w:val="21"/>
          <w:highlight w:val="none"/>
          <w:u w:val="single"/>
        </w:rPr>
        <w:t>合同价款的</w:t>
      </w:r>
      <w:r>
        <w:rPr>
          <w:rFonts w:hint="eastAsia"/>
          <w:color w:val="auto"/>
          <w:spacing w:val="9"/>
          <w:sz w:val="21"/>
          <w:szCs w:val="21"/>
          <w:highlight w:val="none"/>
          <w:u w:val="single"/>
          <w:lang w:val="en-US" w:eastAsia="zh-CN"/>
        </w:rPr>
        <w:t>3</w:t>
      </w:r>
      <w:r>
        <w:rPr>
          <w:rFonts w:hint="eastAsia"/>
          <w:color w:val="auto"/>
          <w:spacing w:val="9"/>
          <w:sz w:val="21"/>
          <w:szCs w:val="21"/>
          <w:highlight w:val="none"/>
          <w:u w:val="single"/>
        </w:rPr>
        <w:t>0</w:t>
      </w:r>
      <w:r>
        <w:rPr>
          <w:color w:val="auto"/>
          <w:spacing w:val="9"/>
          <w:sz w:val="21"/>
          <w:szCs w:val="21"/>
          <w:highlight w:val="none"/>
          <w:u w:val="single"/>
        </w:rPr>
        <w:t>%(</w:t>
      </w:r>
      <w:r>
        <w:rPr>
          <w:rFonts w:hint="eastAsia"/>
          <w:color w:val="auto"/>
          <w:spacing w:val="9"/>
          <w:sz w:val="21"/>
          <w:szCs w:val="21"/>
          <w:highlight w:val="none"/>
          <w:u w:val="single"/>
          <w:lang w:eastAsia="zh-CN"/>
        </w:rPr>
        <w:t>其中包括</w:t>
      </w:r>
      <w:r>
        <w:rPr>
          <w:color w:val="auto"/>
          <w:spacing w:val="9"/>
          <w:sz w:val="21"/>
          <w:szCs w:val="21"/>
          <w:highlight w:val="none"/>
          <w:u w:val="single"/>
        </w:rPr>
        <w:t>安全文明施工费</w:t>
      </w:r>
      <w:r>
        <w:rPr>
          <w:rFonts w:hint="eastAsia"/>
          <w:color w:val="auto"/>
          <w:spacing w:val="9"/>
          <w:sz w:val="21"/>
          <w:szCs w:val="21"/>
          <w:highlight w:val="none"/>
          <w:u w:val="single"/>
          <w:lang w:val="en-US" w:eastAsia="zh-CN"/>
        </w:rPr>
        <w:t>100%</w:t>
      </w:r>
      <w:r>
        <w:rPr>
          <w:color w:val="auto"/>
          <w:spacing w:val="9"/>
          <w:sz w:val="21"/>
          <w:szCs w:val="21"/>
          <w:highlight w:val="none"/>
          <w:u w:val="single"/>
        </w:rPr>
        <w:t>、农民工工伤保险</w:t>
      </w:r>
      <w:r>
        <w:rPr>
          <w:rFonts w:hint="eastAsia"/>
          <w:color w:val="auto"/>
          <w:spacing w:val="9"/>
          <w:sz w:val="21"/>
          <w:szCs w:val="21"/>
          <w:highlight w:val="none"/>
          <w:u w:val="single"/>
          <w:lang w:val="en-US" w:eastAsia="zh-CN"/>
        </w:rPr>
        <w:t>100%</w:t>
      </w:r>
      <w:r>
        <w:rPr>
          <w:color w:val="auto"/>
          <w:spacing w:val="9"/>
          <w:sz w:val="21"/>
          <w:szCs w:val="21"/>
          <w:highlight w:val="none"/>
          <w:u w:val="single"/>
        </w:rPr>
        <w:t>、</w:t>
      </w:r>
      <w:r>
        <w:rPr>
          <w:rFonts w:hint="eastAsia"/>
          <w:color w:val="auto"/>
          <w:spacing w:val="9"/>
          <w:sz w:val="21"/>
          <w:szCs w:val="21"/>
          <w:highlight w:val="none"/>
          <w:u w:val="single"/>
          <w:lang w:eastAsia="zh-CN"/>
        </w:rPr>
        <w:t>不包含</w:t>
      </w:r>
      <w:r>
        <w:rPr>
          <w:color w:val="auto"/>
          <w:spacing w:val="9"/>
          <w:sz w:val="21"/>
          <w:szCs w:val="21"/>
          <w:highlight w:val="none"/>
          <w:u w:val="single"/>
        </w:rPr>
        <w:t>暂列金额、专业工程暂估价、材料和工程设备暂估价)</w:t>
      </w:r>
      <w:r>
        <w:rPr>
          <w:rFonts w:hint="eastAsia"/>
          <w:color w:val="auto"/>
          <w:spacing w:val="9"/>
          <w:sz w:val="21"/>
          <w:szCs w:val="21"/>
          <w:highlight w:val="none"/>
          <w:u w:val="single"/>
          <w:lang w:eastAsia="zh-CN"/>
        </w:rPr>
        <w:t>即</w:t>
      </w:r>
      <w:r>
        <w:rPr>
          <w:rFonts w:hint="eastAsia"/>
          <w:color w:val="auto"/>
          <w:spacing w:val="9"/>
          <w:sz w:val="21"/>
          <w:szCs w:val="21"/>
          <w:highlight w:val="none"/>
          <w:u w:val="single"/>
          <w:lang w:val="en-US" w:eastAsia="zh-CN"/>
        </w:rPr>
        <w:t xml:space="preserve">    </w:t>
      </w:r>
      <w:r>
        <w:rPr>
          <w:rFonts w:hint="eastAsia"/>
          <w:color w:val="auto"/>
          <w:spacing w:val="9"/>
          <w:sz w:val="21"/>
          <w:szCs w:val="21"/>
          <w:highlight w:val="none"/>
          <w:u w:val="single"/>
          <w:lang w:eastAsia="zh-CN"/>
        </w:rPr>
        <w:t>元（大写：人民币</w:t>
      </w:r>
      <w:r>
        <w:rPr>
          <w:rFonts w:hint="eastAsia"/>
          <w:color w:val="auto"/>
          <w:spacing w:val="9"/>
          <w:sz w:val="21"/>
          <w:szCs w:val="21"/>
          <w:highlight w:val="none"/>
          <w:u w:val="single"/>
          <w:lang w:val="en-US" w:eastAsia="zh-CN"/>
        </w:rPr>
        <w:t xml:space="preserve">    </w:t>
      </w:r>
      <w:r>
        <w:rPr>
          <w:rFonts w:hint="eastAsia"/>
          <w:color w:val="auto"/>
          <w:spacing w:val="9"/>
          <w:sz w:val="21"/>
          <w:szCs w:val="21"/>
          <w:highlight w:val="none"/>
          <w:u w:val="single"/>
          <w:lang w:eastAsia="zh-CN"/>
        </w:rPr>
        <w:t>）</w:t>
      </w:r>
    </w:p>
    <w:p w14:paraId="00B28EA7">
      <w:pPr>
        <w:pStyle w:val="17"/>
        <w:spacing w:before="40" w:line="383" w:lineRule="auto"/>
        <w:ind w:right="165" w:firstLine="550"/>
        <w:rPr>
          <w:color w:val="auto"/>
          <w:spacing w:val="-1"/>
          <w:sz w:val="21"/>
          <w:szCs w:val="21"/>
          <w:highlight w:val="none"/>
          <w:u w:val="single"/>
        </w:rPr>
      </w:pPr>
      <w:r>
        <w:rPr>
          <w:color w:val="auto"/>
          <w:spacing w:val="-1"/>
          <w:sz w:val="21"/>
          <w:szCs w:val="21"/>
          <w:highlight w:val="none"/>
        </w:rPr>
        <w:t>预付款的支付时间：</w:t>
      </w:r>
      <w:r>
        <w:rPr>
          <w:color w:val="auto"/>
          <w:spacing w:val="-1"/>
          <w:sz w:val="21"/>
          <w:szCs w:val="21"/>
          <w:highlight w:val="none"/>
          <w:u w:val="single"/>
        </w:rPr>
        <w:t>发包人应在合同签订后30日内</w:t>
      </w:r>
    </w:p>
    <w:p w14:paraId="3F1C0A0F">
      <w:pPr>
        <w:pStyle w:val="17"/>
        <w:spacing w:before="200" w:line="219" w:lineRule="auto"/>
        <w:rPr>
          <w:color w:val="auto"/>
          <w:sz w:val="21"/>
          <w:szCs w:val="21"/>
          <w:highlight w:val="none"/>
        </w:rPr>
      </w:pPr>
      <w:r>
        <w:rPr>
          <w:color w:val="auto"/>
          <w:spacing w:val="4"/>
          <w:sz w:val="21"/>
          <w:szCs w:val="21"/>
          <w:highlight w:val="none"/>
        </w:rPr>
        <w:t>17.3  工程付款</w:t>
      </w:r>
    </w:p>
    <w:p w14:paraId="367952A9">
      <w:pPr>
        <w:spacing w:line="246" w:lineRule="auto"/>
        <w:rPr>
          <w:color w:val="auto"/>
          <w:szCs w:val="21"/>
          <w:highlight w:val="none"/>
        </w:rPr>
      </w:pPr>
    </w:p>
    <w:p w14:paraId="340EB837">
      <w:pPr>
        <w:pStyle w:val="17"/>
        <w:spacing w:before="65" w:line="360" w:lineRule="auto"/>
        <w:ind w:left="370"/>
        <w:rPr>
          <w:color w:val="auto"/>
          <w:sz w:val="21"/>
          <w:szCs w:val="21"/>
          <w:highlight w:val="none"/>
        </w:rPr>
      </w:pPr>
      <w:r>
        <w:rPr>
          <w:color w:val="auto"/>
          <w:spacing w:val="-8"/>
          <w:sz w:val="21"/>
          <w:szCs w:val="21"/>
          <w:highlight w:val="none"/>
        </w:rPr>
        <w:t>17.3.2进度付款申请单</w:t>
      </w:r>
    </w:p>
    <w:p w14:paraId="5E952FA2">
      <w:pPr>
        <w:pStyle w:val="17"/>
        <w:spacing w:before="193" w:line="360" w:lineRule="auto"/>
        <w:ind w:left="370"/>
        <w:rPr>
          <w:color w:val="auto"/>
          <w:sz w:val="21"/>
          <w:szCs w:val="21"/>
          <w:highlight w:val="none"/>
        </w:rPr>
      </w:pPr>
      <w:r>
        <w:rPr>
          <w:color w:val="auto"/>
          <w:spacing w:val="-11"/>
          <w:sz w:val="21"/>
          <w:szCs w:val="21"/>
          <w:highlight w:val="none"/>
        </w:rPr>
        <w:t>进度付款申请单的份数：</w:t>
      </w:r>
      <w:r>
        <w:rPr>
          <w:color w:val="auto"/>
          <w:spacing w:val="-11"/>
          <w:sz w:val="21"/>
          <w:szCs w:val="21"/>
          <w:highlight w:val="none"/>
          <w:u w:val="single" w:color="000000"/>
        </w:rPr>
        <w:t>一式两份</w:t>
      </w:r>
    </w:p>
    <w:p w14:paraId="4633843E">
      <w:pPr>
        <w:pStyle w:val="17"/>
        <w:spacing w:before="40" w:line="360" w:lineRule="auto"/>
        <w:ind w:left="370"/>
        <w:rPr>
          <w:color w:val="auto"/>
          <w:sz w:val="21"/>
          <w:szCs w:val="21"/>
          <w:highlight w:val="none"/>
        </w:rPr>
      </w:pPr>
      <w:r>
        <w:rPr>
          <w:color w:val="auto"/>
          <w:spacing w:val="-18"/>
          <w:sz w:val="21"/>
          <w:szCs w:val="21"/>
          <w:highlight w:val="none"/>
        </w:rPr>
        <w:t>承包人报送监理人的进度付款申请单应包括下列内容：</w:t>
      </w:r>
    </w:p>
    <w:p w14:paraId="50B8F1DA">
      <w:pPr>
        <w:pStyle w:val="17"/>
        <w:spacing w:before="139" w:line="360" w:lineRule="auto"/>
        <w:ind w:left="370"/>
        <w:rPr>
          <w:color w:val="auto"/>
          <w:sz w:val="21"/>
          <w:szCs w:val="21"/>
          <w:highlight w:val="none"/>
        </w:rPr>
      </w:pPr>
      <w:r>
        <w:rPr>
          <w:color w:val="auto"/>
          <w:spacing w:val="-12"/>
          <w:sz w:val="21"/>
          <w:szCs w:val="21"/>
          <w:highlight w:val="none"/>
        </w:rPr>
        <w:t>17.3.3</w:t>
      </w:r>
      <w:r>
        <w:rPr>
          <w:rFonts w:hint="eastAsia"/>
          <w:color w:val="auto"/>
          <w:spacing w:val="-12"/>
          <w:sz w:val="21"/>
          <w:szCs w:val="21"/>
          <w:highlight w:val="none"/>
        </w:rPr>
        <w:t>工程</w:t>
      </w:r>
      <w:r>
        <w:rPr>
          <w:color w:val="auto"/>
          <w:spacing w:val="-12"/>
          <w:sz w:val="21"/>
          <w:szCs w:val="21"/>
          <w:highlight w:val="none"/>
        </w:rPr>
        <w:t>付款证书和支付时间</w:t>
      </w:r>
    </w:p>
    <w:p w14:paraId="4E98A208">
      <w:pPr>
        <w:pStyle w:val="17"/>
        <w:spacing w:before="141" w:line="379" w:lineRule="auto"/>
        <w:ind w:right="156" w:firstLine="370"/>
        <w:rPr>
          <w:color w:val="auto"/>
          <w:spacing w:val="13"/>
          <w:sz w:val="21"/>
          <w:szCs w:val="21"/>
          <w:highlight w:val="none"/>
        </w:rPr>
      </w:pPr>
      <w:r>
        <w:rPr>
          <w:color w:val="auto"/>
          <w:spacing w:val="13"/>
          <w:sz w:val="21"/>
          <w:szCs w:val="21"/>
          <w:highlight w:val="none"/>
        </w:rPr>
        <w:t xml:space="preserve"> (4)</w:t>
      </w:r>
      <w:r>
        <w:rPr>
          <w:color w:val="auto"/>
          <w:spacing w:val="13"/>
          <w:sz w:val="21"/>
          <w:szCs w:val="21"/>
          <w:highlight w:val="none"/>
          <w:u w:val="single"/>
        </w:rPr>
        <w:t>竣工验收合格</w:t>
      </w:r>
      <w:r>
        <w:rPr>
          <w:rFonts w:hint="eastAsia"/>
          <w:color w:val="auto"/>
          <w:spacing w:val="13"/>
          <w:sz w:val="21"/>
          <w:szCs w:val="21"/>
          <w:highlight w:val="none"/>
          <w:u w:val="single"/>
          <w:lang w:eastAsia="zh-CN"/>
        </w:rPr>
        <w:t>且结算评审完成</w:t>
      </w:r>
      <w:r>
        <w:rPr>
          <w:color w:val="auto"/>
          <w:spacing w:val="13"/>
          <w:sz w:val="21"/>
          <w:szCs w:val="21"/>
          <w:highlight w:val="none"/>
          <w:u w:val="single"/>
        </w:rPr>
        <w:t>后</w:t>
      </w:r>
      <w:r>
        <w:rPr>
          <w:rFonts w:hint="eastAsia"/>
          <w:color w:val="auto"/>
          <w:spacing w:val="13"/>
          <w:sz w:val="21"/>
          <w:szCs w:val="21"/>
          <w:highlight w:val="none"/>
          <w:u w:val="single"/>
          <w:lang w:val="en-US" w:eastAsia="zh-CN"/>
        </w:rPr>
        <w:t>28</w:t>
      </w:r>
      <w:r>
        <w:rPr>
          <w:color w:val="auto"/>
          <w:spacing w:val="13"/>
          <w:sz w:val="21"/>
          <w:szCs w:val="21"/>
          <w:highlight w:val="none"/>
          <w:u w:val="single"/>
        </w:rPr>
        <w:t>天内，付款合同金额的</w:t>
      </w:r>
      <w:r>
        <w:rPr>
          <w:rFonts w:hint="eastAsia"/>
          <w:color w:val="auto"/>
          <w:spacing w:val="13"/>
          <w:sz w:val="21"/>
          <w:szCs w:val="21"/>
          <w:highlight w:val="none"/>
          <w:u w:val="single"/>
          <w:lang w:val="en-US" w:eastAsia="zh-CN"/>
        </w:rPr>
        <w:t>67</w:t>
      </w:r>
      <w:r>
        <w:rPr>
          <w:color w:val="auto"/>
          <w:spacing w:val="13"/>
          <w:sz w:val="21"/>
          <w:szCs w:val="21"/>
          <w:highlight w:val="none"/>
          <w:u w:val="single"/>
        </w:rPr>
        <w:t>%</w:t>
      </w:r>
      <w:r>
        <w:rPr>
          <w:rFonts w:hint="eastAsia"/>
          <w:color w:val="auto"/>
          <w:spacing w:val="13"/>
          <w:sz w:val="21"/>
          <w:szCs w:val="21"/>
          <w:highlight w:val="none"/>
          <w:u w:val="single"/>
          <w:lang w:eastAsia="zh-CN"/>
        </w:rPr>
        <w:t>即支付</w:t>
      </w:r>
      <w:r>
        <w:rPr>
          <w:rFonts w:hint="eastAsia"/>
          <w:color w:val="auto"/>
          <w:spacing w:val="13"/>
          <w:sz w:val="21"/>
          <w:szCs w:val="21"/>
          <w:highlight w:val="none"/>
          <w:u w:val="single"/>
          <w:lang w:val="en-US" w:eastAsia="zh-CN"/>
        </w:rPr>
        <w:t xml:space="preserve">       元（大写：      ）。</w:t>
      </w:r>
      <w:r>
        <w:rPr>
          <w:color w:val="auto"/>
          <w:spacing w:val="13"/>
          <w:sz w:val="21"/>
          <w:szCs w:val="21"/>
          <w:highlight w:val="none"/>
          <w:u w:val="single"/>
        </w:rPr>
        <w:t>结算审计完成</w:t>
      </w:r>
      <w:r>
        <w:rPr>
          <w:rFonts w:hint="eastAsia"/>
          <w:color w:val="auto"/>
          <w:spacing w:val="13"/>
          <w:sz w:val="21"/>
          <w:szCs w:val="21"/>
          <w:highlight w:val="none"/>
          <w:u w:val="single"/>
          <w:lang w:eastAsia="zh-CN"/>
        </w:rPr>
        <w:t>后</w:t>
      </w:r>
      <w:r>
        <w:rPr>
          <w:color w:val="auto"/>
          <w:spacing w:val="13"/>
          <w:sz w:val="21"/>
          <w:szCs w:val="21"/>
          <w:highlight w:val="none"/>
          <w:u w:val="single"/>
        </w:rPr>
        <w:t>，</w:t>
      </w:r>
      <w:r>
        <w:rPr>
          <w:rFonts w:hint="eastAsia"/>
          <w:color w:val="auto"/>
          <w:spacing w:val="13"/>
          <w:sz w:val="21"/>
          <w:szCs w:val="21"/>
          <w:highlight w:val="none"/>
          <w:u w:val="single"/>
          <w:lang w:eastAsia="zh-CN"/>
        </w:rPr>
        <w:t>若结算审计</w:t>
      </w:r>
      <w:r>
        <w:rPr>
          <w:rFonts w:hint="eastAsia"/>
          <w:color w:val="auto"/>
          <w:spacing w:val="13"/>
          <w:sz w:val="21"/>
          <w:szCs w:val="21"/>
          <w:highlight w:val="none"/>
          <w:u w:val="single"/>
        </w:rPr>
        <w:t>结果高于</w:t>
      </w:r>
      <w:r>
        <w:rPr>
          <w:rFonts w:hint="eastAsia"/>
          <w:color w:val="auto"/>
          <w:spacing w:val="13"/>
          <w:sz w:val="21"/>
          <w:szCs w:val="21"/>
          <w:highlight w:val="none"/>
          <w:u w:val="single"/>
          <w:lang w:eastAsia="zh-CN"/>
        </w:rPr>
        <w:t>合同</w:t>
      </w:r>
      <w:r>
        <w:rPr>
          <w:rFonts w:hint="eastAsia"/>
          <w:color w:val="auto"/>
          <w:spacing w:val="13"/>
          <w:sz w:val="21"/>
          <w:szCs w:val="21"/>
          <w:highlight w:val="none"/>
          <w:u w:val="single"/>
        </w:rPr>
        <w:t>价以</w:t>
      </w:r>
      <w:r>
        <w:rPr>
          <w:rFonts w:hint="eastAsia"/>
          <w:color w:val="auto"/>
          <w:spacing w:val="13"/>
          <w:sz w:val="21"/>
          <w:szCs w:val="21"/>
          <w:highlight w:val="none"/>
          <w:u w:val="single"/>
          <w:lang w:eastAsia="zh-CN"/>
        </w:rPr>
        <w:t>合同</w:t>
      </w:r>
      <w:r>
        <w:rPr>
          <w:rFonts w:hint="eastAsia"/>
          <w:color w:val="auto"/>
          <w:spacing w:val="13"/>
          <w:sz w:val="21"/>
          <w:szCs w:val="21"/>
          <w:highlight w:val="none"/>
          <w:u w:val="single"/>
        </w:rPr>
        <w:t>价为准</w:t>
      </w:r>
      <w:r>
        <w:rPr>
          <w:rFonts w:hint="eastAsia"/>
          <w:color w:val="auto"/>
          <w:spacing w:val="13"/>
          <w:sz w:val="21"/>
          <w:szCs w:val="21"/>
          <w:highlight w:val="none"/>
          <w:u w:val="single"/>
          <w:lang w:eastAsia="zh-CN"/>
        </w:rPr>
        <w:t>，若评结算审计结果</w:t>
      </w:r>
      <w:r>
        <w:rPr>
          <w:rFonts w:hint="eastAsia"/>
          <w:color w:val="auto"/>
          <w:spacing w:val="13"/>
          <w:sz w:val="21"/>
          <w:szCs w:val="21"/>
          <w:highlight w:val="none"/>
          <w:u w:val="single"/>
        </w:rPr>
        <w:t>低于</w:t>
      </w:r>
      <w:r>
        <w:rPr>
          <w:rFonts w:hint="eastAsia"/>
          <w:color w:val="auto"/>
          <w:spacing w:val="13"/>
          <w:sz w:val="21"/>
          <w:szCs w:val="21"/>
          <w:highlight w:val="none"/>
          <w:u w:val="single"/>
          <w:lang w:eastAsia="zh-CN"/>
        </w:rPr>
        <w:t>合同</w:t>
      </w:r>
      <w:r>
        <w:rPr>
          <w:rFonts w:hint="eastAsia"/>
          <w:color w:val="auto"/>
          <w:spacing w:val="13"/>
          <w:sz w:val="21"/>
          <w:szCs w:val="21"/>
          <w:highlight w:val="none"/>
          <w:u w:val="single"/>
        </w:rPr>
        <w:t>价以</w:t>
      </w:r>
      <w:r>
        <w:rPr>
          <w:rFonts w:hint="eastAsia"/>
          <w:color w:val="auto"/>
          <w:spacing w:val="13"/>
          <w:sz w:val="21"/>
          <w:szCs w:val="21"/>
          <w:highlight w:val="none"/>
          <w:u w:val="single"/>
          <w:lang w:eastAsia="zh-CN"/>
        </w:rPr>
        <w:t>结算审计</w:t>
      </w:r>
      <w:r>
        <w:rPr>
          <w:rFonts w:hint="eastAsia"/>
          <w:color w:val="auto"/>
          <w:spacing w:val="13"/>
          <w:sz w:val="21"/>
          <w:szCs w:val="21"/>
          <w:highlight w:val="none"/>
          <w:u w:val="single"/>
        </w:rPr>
        <w:t>结果为准</w:t>
      </w:r>
      <w:r>
        <w:rPr>
          <w:rFonts w:hint="eastAsia"/>
          <w:color w:val="auto"/>
          <w:spacing w:val="13"/>
          <w:sz w:val="21"/>
          <w:szCs w:val="21"/>
          <w:highlight w:val="none"/>
          <w:u w:val="single"/>
          <w:lang w:eastAsia="zh-CN"/>
        </w:rPr>
        <w:t>，根据以上原则支付至相应</w:t>
      </w:r>
      <w:r>
        <w:rPr>
          <w:color w:val="auto"/>
          <w:spacing w:val="13"/>
          <w:sz w:val="21"/>
          <w:szCs w:val="21"/>
          <w:highlight w:val="none"/>
          <w:u w:val="single"/>
        </w:rPr>
        <w:t xml:space="preserve">金额的97%。 </w:t>
      </w:r>
    </w:p>
    <w:p w14:paraId="0E210E5C">
      <w:pPr>
        <w:spacing w:line="270" w:lineRule="auto"/>
        <w:rPr>
          <w:color w:val="auto"/>
          <w:szCs w:val="21"/>
          <w:highlight w:val="none"/>
        </w:rPr>
      </w:pPr>
    </w:p>
    <w:p w14:paraId="763DEC04">
      <w:pPr>
        <w:pStyle w:val="17"/>
        <w:spacing w:before="65" w:line="220" w:lineRule="auto"/>
        <w:rPr>
          <w:color w:val="auto"/>
          <w:sz w:val="21"/>
          <w:szCs w:val="21"/>
          <w:highlight w:val="none"/>
        </w:rPr>
      </w:pPr>
      <w:r>
        <w:rPr>
          <w:color w:val="auto"/>
          <w:spacing w:val="5"/>
          <w:sz w:val="21"/>
          <w:szCs w:val="21"/>
          <w:highlight w:val="none"/>
        </w:rPr>
        <w:t>17.4质量保证金</w:t>
      </w:r>
    </w:p>
    <w:p w14:paraId="46701E85">
      <w:pPr>
        <w:spacing w:line="264" w:lineRule="auto"/>
        <w:rPr>
          <w:color w:val="auto"/>
          <w:szCs w:val="21"/>
          <w:highlight w:val="none"/>
        </w:rPr>
      </w:pPr>
    </w:p>
    <w:p w14:paraId="115C435A">
      <w:pPr>
        <w:pStyle w:val="17"/>
        <w:spacing w:before="0" w:line="360" w:lineRule="auto"/>
        <w:ind w:left="370"/>
        <w:rPr>
          <w:color w:val="auto"/>
          <w:sz w:val="21"/>
          <w:szCs w:val="21"/>
          <w:highlight w:val="none"/>
        </w:rPr>
      </w:pPr>
      <w:r>
        <w:rPr>
          <w:color w:val="auto"/>
          <w:spacing w:val="-8"/>
          <w:sz w:val="21"/>
          <w:szCs w:val="21"/>
          <w:highlight w:val="none"/>
        </w:rPr>
        <w:t>17.4.1质量保证金处理</w:t>
      </w:r>
    </w:p>
    <w:p w14:paraId="1C02DBC8">
      <w:pPr>
        <w:pStyle w:val="17"/>
        <w:spacing w:before="0" w:line="360" w:lineRule="auto"/>
        <w:ind w:right="146" w:firstLine="469"/>
        <w:rPr>
          <w:rFonts w:hint="default" w:eastAsia="宋体"/>
          <w:color w:val="auto"/>
          <w:sz w:val="21"/>
          <w:szCs w:val="21"/>
          <w:highlight w:val="none"/>
          <w:lang w:val="en-US" w:eastAsia="zh-CN"/>
        </w:rPr>
      </w:pPr>
      <w:r>
        <w:rPr>
          <w:color w:val="auto"/>
          <w:spacing w:val="-5"/>
          <w:sz w:val="21"/>
          <w:szCs w:val="21"/>
          <w:highlight w:val="none"/>
        </w:rPr>
        <w:t>(3)质量保证金形式：</w:t>
      </w:r>
      <w:r>
        <w:rPr>
          <w:color w:val="auto"/>
          <w:spacing w:val="-5"/>
          <w:sz w:val="21"/>
          <w:szCs w:val="21"/>
          <w:highlight w:val="none"/>
          <w:u w:val="single"/>
        </w:rPr>
        <w:t>采用</w:t>
      </w:r>
      <w:r>
        <w:rPr>
          <w:rFonts w:hint="eastAsia"/>
          <w:color w:val="auto"/>
          <w:spacing w:val="-5"/>
          <w:sz w:val="21"/>
          <w:szCs w:val="21"/>
          <w:highlight w:val="none"/>
          <w:u w:val="single"/>
          <w:lang w:eastAsia="zh-CN"/>
        </w:rPr>
        <w:t>银行保函担保形式</w:t>
      </w:r>
      <w:r>
        <w:rPr>
          <w:color w:val="auto"/>
          <w:spacing w:val="-5"/>
          <w:sz w:val="21"/>
          <w:szCs w:val="21"/>
          <w:highlight w:val="none"/>
        </w:rPr>
        <w:t>(采用银行保函担保或其他保函担保形式/采用扣留</w:t>
      </w:r>
      <w:r>
        <w:rPr>
          <w:color w:val="auto"/>
          <w:spacing w:val="-2"/>
          <w:sz w:val="21"/>
          <w:szCs w:val="21"/>
          <w:highlight w:val="none"/>
        </w:rPr>
        <w:t>质量保证金)。</w:t>
      </w:r>
      <w:r>
        <w:rPr>
          <w:color w:val="auto"/>
          <w:spacing w:val="-16"/>
          <w:sz w:val="21"/>
          <w:szCs w:val="21"/>
          <w:highlight w:val="none"/>
        </w:rPr>
        <w:t>质量保证金约定比例：</w:t>
      </w:r>
      <w:r>
        <w:rPr>
          <w:rFonts w:ascii="Times New Roman" w:hAnsi="Times New Roman" w:eastAsia="Times New Roman"/>
          <w:color w:val="auto"/>
          <w:spacing w:val="-16"/>
          <w:sz w:val="21"/>
          <w:szCs w:val="21"/>
          <w:highlight w:val="none"/>
          <w:u w:val="single"/>
        </w:rPr>
        <w:t xml:space="preserve">3  </w:t>
      </w:r>
      <w:r>
        <w:rPr>
          <w:color w:val="auto"/>
          <w:spacing w:val="-16"/>
          <w:sz w:val="21"/>
          <w:szCs w:val="21"/>
          <w:highlight w:val="none"/>
          <w:u w:val="single"/>
        </w:rPr>
        <w:t>%</w:t>
      </w:r>
      <w:r>
        <w:rPr>
          <w:rFonts w:hint="eastAsia"/>
          <w:color w:val="auto"/>
          <w:spacing w:val="-16"/>
          <w:sz w:val="21"/>
          <w:szCs w:val="21"/>
          <w:highlight w:val="none"/>
          <w:u w:val="single"/>
          <w:lang w:eastAsia="zh-CN"/>
        </w:rPr>
        <w:t>。</w:t>
      </w:r>
      <w:r>
        <w:rPr>
          <w:color w:val="auto"/>
          <w:spacing w:val="13"/>
          <w:sz w:val="21"/>
          <w:szCs w:val="21"/>
          <w:highlight w:val="none"/>
          <w:u w:val="single"/>
        </w:rPr>
        <w:t>结算审计完成</w:t>
      </w:r>
      <w:r>
        <w:rPr>
          <w:rFonts w:hint="eastAsia"/>
          <w:color w:val="auto"/>
          <w:spacing w:val="13"/>
          <w:sz w:val="21"/>
          <w:szCs w:val="21"/>
          <w:highlight w:val="none"/>
          <w:u w:val="single"/>
          <w:lang w:eastAsia="zh-CN"/>
        </w:rPr>
        <w:t>后</w:t>
      </w:r>
      <w:r>
        <w:rPr>
          <w:color w:val="auto"/>
          <w:spacing w:val="13"/>
          <w:sz w:val="21"/>
          <w:szCs w:val="21"/>
          <w:highlight w:val="none"/>
          <w:u w:val="single"/>
        </w:rPr>
        <w:t>，</w:t>
      </w:r>
      <w:r>
        <w:rPr>
          <w:rFonts w:hint="eastAsia"/>
          <w:color w:val="auto"/>
          <w:spacing w:val="13"/>
          <w:sz w:val="21"/>
          <w:szCs w:val="21"/>
          <w:highlight w:val="none"/>
          <w:u w:val="single"/>
          <w:lang w:eastAsia="zh-CN"/>
        </w:rPr>
        <w:t>若结算审计</w:t>
      </w:r>
      <w:r>
        <w:rPr>
          <w:rFonts w:hint="eastAsia"/>
          <w:color w:val="auto"/>
          <w:spacing w:val="13"/>
          <w:sz w:val="21"/>
          <w:szCs w:val="21"/>
          <w:highlight w:val="none"/>
          <w:u w:val="single"/>
        </w:rPr>
        <w:t>结果高于</w:t>
      </w:r>
      <w:r>
        <w:rPr>
          <w:rFonts w:hint="eastAsia"/>
          <w:color w:val="auto"/>
          <w:spacing w:val="13"/>
          <w:sz w:val="21"/>
          <w:szCs w:val="21"/>
          <w:highlight w:val="none"/>
          <w:u w:val="single"/>
          <w:lang w:eastAsia="zh-CN"/>
        </w:rPr>
        <w:t>合同</w:t>
      </w:r>
      <w:r>
        <w:rPr>
          <w:rFonts w:hint="eastAsia"/>
          <w:color w:val="auto"/>
          <w:spacing w:val="13"/>
          <w:sz w:val="21"/>
          <w:szCs w:val="21"/>
          <w:highlight w:val="none"/>
          <w:u w:val="single"/>
        </w:rPr>
        <w:t>价以</w:t>
      </w:r>
      <w:r>
        <w:rPr>
          <w:rFonts w:hint="eastAsia"/>
          <w:color w:val="auto"/>
          <w:spacing w:val="13"/>
          <w:sz w:val="21"/>
          <w:szCs w:val="21"/>
          <w:highlight w:val="none"/>
          <w:u w:val="single"/>
          <w:lang w:eastAsia="zh-CN"/>
        </w:rPr>
        <w:t>合同</w:t>
      </w:r>
      <w:r>
        <w:rPr>
          <w:rFonts w:hint="eastAsia"/>
          <w:color w:val="auto"/>
          <w:spacing w:val="13"/>
          <w:sz w:val="21"/>
          <w:szCs w:val="21"/>
          <w:highlight w:val="none"/>
          <w:u w:val="single"/>
        </w:rPr>
        <w:t>价为准</w:t>
      </w:r>
      <w:r>
        <w:rPr>
          <w:rFonts w:hint="eastAsia"/>
          <w:color w:val="auto"/>
          <w:spacing w:val="13"/>
          <w:sz w:val="21"/>
          <w:szCs w:val="21"/>
          <w:highlight w:val="none"/>
          <w:u w:val="single"/>
          <w:lang w:eastAsia="zh-CN"/>
        </w:rPr>
        <w:t>，若评结算审计结果</w:t>
      </w:r>
      <w:r>
        <w:rPr>
          <w:rFonts w:hint="eastAsia"/>
          <w:color w:val="auto"/>
          <w:spacing w:val="13"/>
          <w:sz w:val="21"/>
          <w:szCs w:val="21"/>
          <w:highlight w:val="none"/>
          <w:u w:val="single"/>
        </w:rPr>
        <w:t>低于</w:t>
      </w:r>
      <w:r>
        <w:rPr>
          <w:rFonts w:hint="eastAsia"/>
          <w:color w:val="auto"/>
          <w:spacing w:val="13"/>
          <w:sz w:val="21"/>
          <w:szCs w:val="21"/>
          <w:highlight w:val="none"/>
          <w:u w:val="single"/>
          <w:lang w:eastAsia="zh-CN"/>
        </w:rPr>
        <w:t>合同</w:t>
      </w:r>
      <w:r>
        <w:rPr>
          <w:rFonts w:hint="eastAsia"/>
          <w:color w:val="auto"/>
          <w:spacing w:val="13"/>
          <w:sz w:val="21"/>
          <w:szCs w:val="21"/>
          <w:highlight w:val="none"/>
          <w:u w:val="single"/>
        </w:rPr>
        <w:t>价以</w:t>
      </w:r>
      <w:r>
        <w:rPr>
          <w:rFonts w:hint="eastAsia"/>
          <w:color w:val="auto"/>
          <w:spacing w:val="13"/>
          <w:sz w:val="21"/>
          <w:szCs w:val="21"/>
          <w:highlight w:val="none"/>
          <w:u w:val="single"/>
          <w:lang w:eastAsia="zh-CN"/>
        </w:rPr>
        <w:t>结算审计</w:t>
      </w:r>
      <w:r>
        <w:rPr>
          <w:rFonts w:hint="eastAsia"/>
          <w:color w:val="auto"/>
          <w:spacing w:val="13"/>
          <w:sz w:val="21"/>
          <w:szCs w:val="21"/>
          <w:highlight w:val="none"/>
          <w:u w:val="single"/>
        </w:rPr>
        <w:t>结果为准</w:t>
      </w:r>
      <w:r>
        <w:rPr>
          <w:rFonts w:hint="eastAsia"/>
          <w:color w:val="auto"/>
          <w:spacing w:val="13"/>
          <w:sz w:val="21"/>
          <w:szCs w:val="21"/>
          <w:highlight w:val="none"/>
          <w:u w:val="single"/>
          <w:lang w:eastAsia="zh-CN"/>
        </w:rPr>
        <w:t>，根据以上原则支付</w:t>
      </w:r>
      <w:r>
        <w:rPr>
          <w:rFonts w:hint="eastAsia"/>
          <w:color w:val="auto"/>
          <w:spacing w:val="13"/>
          <w:sz w:val="21"/>
          <w:szCs w:val="21"/>
          <w:highlight w:val="none"/>
          <w:u w:val="single"/>
          <w:lang w:val="en-US" w:eastAsia="zh-CN"/>
        </w:rPr>
        <w:t>3%质保金。</w:t>
      </w:r>
    </w:p>
    <w:p w14:paraId="7A860804">
      <w:pPr>
        <w:pStyle w:val="17"/>
        <w:spacing w:before="301" w:line="219" w:lineRule="auto"/>
        <w:rPr>
          <w:color w:val="auto"/>
          <w:sz w:val="21"/>
          <w:szCs w:val="21"/>
          <w:highlight w:val="none"/>
        </w:rPr>
      </w:pPr>
      <w:r>
        <w:rPr>
          <w:color w:val="auto"/>
          <w:spacing w:val="4"/>
          <w:sz w:val="21"/>
          <w:szCs w:val="21"/>
          <w:highlight w:val="none"/>
        </w:rPr>
        <w:t>17.5竣工结算</w:t>
      </w:r>
    </w:p>
    <w:p w14:paraId="584C4B90">
      <w:pPr>
        <w:spacing w:line="256" w:lineRule="auto"/>
        <w:rPr>
          <w:color w:val="auto"/>
          <w:szCs w:val="21"/>
          <w:highlight w:val="none"/>
        </w:rPr>
      </w:pPr>
    </w:p>
    <w:p w14:paraId="68D38B28">
      <w:pPr>
        <w:pStyle w:val="17"/>
        <w:spacing w:before="65" w:line="360" w:lineRule="auto"/>
        <w:ind w:left="370"/>
        <w:rPr>
          <w:color w:val="auto"/>
          <w:sz w:val="21"/>
          <w:szCs w:val="21"/>
          <w:highlight w:val="none"/>
        </w:rPr>
      </w:pPr>
      <w:r>
        <w:rPr>
          <w:color w:val="auto"/>
          <w:spacing w:val="-2"/>
          <w:sz w:val="21"/>
          <w:szCs w:val="21"/>
          <w:highlight w:val="none"/>
        </w:rPr>
        <w:t>17.5.1过程结算</w:t>
      </w:r>
    </w:p>
    <w:p w14:paraId="1C441D2C">
      <w:pPr>
        <w:pStyle w:val="17"/>
        <w:spacing w:before="0" w:line="360" w:lineRule="auto"/>
        <w:ind w:left="369"/>
        <w:rPr>
          <w:color w:val="auto"/>
          <w:sz w:val="21"/>
          <w:szCs w:val="21"/>
          <w:highlight w:val="none"/>
        </w:rPr>
      </w:pPr>
      <w:r>
        <w:rPr>
          <w:color w:val="auto"/>
          <w:spacing w:val="-5"/>
          <w:sz w:val="21"/>
          <w:szCs w:val="21"/>
          <w:highlight w:val="none"/>
        </w:rPr>
        <w:t>本工程</w:t>
      </w:r>
      <w:r>
        <w:rPr>
          <w:color w:val="auto"/>
          <w:spacing w:val="-5"/>
          <w:sz w:val="21"/>
          <w:szCs w:val="21"/>
          <w:highlight w:val="none"/>
          <w:u w:val="single"/>
        </w:rPr>
        <w:t>不进行</w:t>
      </w:r>
      <w:r>
        <w:rPr>
          <w:color w:val="auto"/>
          <w:spacing w:val="-5"/>
          <w:sz w:val="21"/>
          <w:szCs w:val="21"/>
          <w:highlight w:val="none"/>
        </w:rPr>
        <w:t>(进行/不进行)过程结算。</w:t>
      </w:r>
    </w:p>
    <w:p w14:paraId="119AE516">
      <w:pPr>
        <w:pStyle w:val="17"/>
        <w:spacing w:before="0" w:line="360" w:lineRule="auto"/>
        <w:ind w:left="369"/>
        <w:rPr>
          <w:color w:val="auto"/>
          <w:spacing w:val="-11"/>
          <w:sz w:val="21"/>
          <w:szCs w:val="21"/>
          <w:highlight w:val="none"/>
          <w:u w:val="single"/>
        </w:rPr>
      </w:pPr>
      <w:r>
        <w:rPr>
          <w:color w:val="auto"/>
          <w:spacing w:val="-11"/>
          <w:sz w:val="21"/>
          <w:szCs w:val="21"/>
          <w:highlight w:val="none"/>
        </w:rPr>
        <w:t>过程结算的相关要求：</w:t>
      </w:r>
      <w:r>
        <w:rPr>
          <w:color w:val="auto"/>
          <w:spacing w:val="-11"/>
          <w:sz w:val="21"/>
          <w:szCs w:val="21"/>
          <w:highlight w:val="none"/>
          <w:u w:val="single"/>
        </w:rPr>
        <w:t>/</w:t>
      </w:r>
    </w:p>
    <w:p w14:paraId="276FE636">
      <w:pPr>
        <w:pStyle w:val="17"/>
        <w:spacing w:before="0" w:line="360" w:lineRule="auto"/>
        <w:ind w:left="369"/>
        <w:rPr>
          <w:color w:val="auto"/>
          <w:sz w:val="21"/>
          <w:szCs w:val="21"/>
          <w:highlight w:val="none"/>
        </w:rPr>
      </w:pPr>
      <w:r>
        <w:rPr>
          <w:color w:val="auto"/>
          <w:spacing w:val="-11"/>
          <w:sz w:val="21"/>
          <w:szCs w:val="21"/>
          <w:highlight w:val="none"/>
        </w:rPr>
        <w:t>17.5.2竣工付款申请单</w:t>
      </w:r>
    </w:p>
    <w:p w14:paraId="0DD66AF4">
      <w:pPr>
        <w:pStyle w:val="17"/>
        <w:spacing w:before="172" w:line="360" w:lineRule="auto"/>
        <w:ind w:left="469"/>
        <w:rPr>
          <w:color w:val="auto"/>
          <w:sz w:val="21"/>
          <w:szCs w:val="21"/>
          <w:highlight w:val="none"/>
        </w:rPr>
      </w:pPr>
      <w:r>
        <w:rPr>
          <w:color w:val="auto"/>
          <w:spacing w:val="-4"/>
          <w:sz w:val="21"/>
          <w:szCs w:val="21"/>
          <w:highlight w:val="none"/>
        </w:rPr>
        <w:t>(1)承包人提交竣工付款申请单的份数：</w:t>
      </w:r>
      <w:r>
        <w:rPr>
          <w:color w:val="auto"/>
          <w:spacing w:val="-4"/>
          <w:sz w:val="21"/>
          <w:szCs w:val="21"/>
          <w:highlight w:val="none"/>
          <w:u w:val="single"/>
        </w:rPr>
        <w:t>提交5份竣工付款</w:t>
      </w:r>
      <w:r>
        <w:rPr>
          <w:color w:val="auto"/>
          <w:spacing w:val="-5"/>
          <w:sz w:val="21"/>
          <w:szCs w:val="21"/>
          <w:highlight w:val="none"/>
          <w:u w:val="single"/>
        </w:rPr>
        <w:t>申请单</w:t>
      </w:r>
    </w:p>
    <w:p w14:paraId="26CAA752">
      <w:pPr>
        <w:pStyle w:val="17"/>
        <w:spacing w:before="132" w:line="360" w:lineRule="auto"/>
        <w:ind w:left="730"/>
        <w:rPr>
          <w:color w:val="auto"/>
          <w:sz w:val="21"/>
          <w:szCs w:val="21"/>
          <w:highlight w:val="none"/>
        </w:rPr>
      </w:pPr>
      <w:r>
        <w:rPr>
          <w:color w:val="auto"/>
          <w:spacing w:val="-5"/>
          <w:sz w:val="21"/>
          <w:szCs w:val="21"/>
          <w:highlight w:val="none"/>
        </w:rPr>
        <w:t>承包人提交竣工付款申请单的期限：</w:t>
      </w:r>
      <w:r>
        <w:rPr>
          <w:color w:val="auto"/>
          <w:spacing w:val="-5"/>
          <w:sz w:val="21"/>
          <w:szCs w:val="21"/>
          <w:highlight w:val="none"/>
          <w:u w:val="single" w:color="000000"/>
        </w:rPr>
        <w:t>在工程接收证书颁发后14天内</w:t>
      </w:r>
    </w:p>
    <w:p w14:paraId="74F37087">
      <w:pPr>
        <w:pStyle w:val="17"/>
        <w:spacing w:before="152" w:line="360" w:lineRule="auto"/>
        <w:ind w:right="155" w:firstLine="469"/>
        <w:rPr>
          <w:color w:val="auto"/>
          <w:sz w:val="21"/>
          <w:szCs w:val="21"/>
          <w:highlight w:val="none"/>
        </w:rPr>
      </w:pPr>
      <w:r>
        <w:rPr>
          <w:color w:val="auto"/>
          <w:spacing w:val="6"/>
          <w:sz w:val="21"/>
          <w:szCs w:val="21"/>
          <w:highlight w:val="none"/>
        </w:rPr>
        <w:t>(2)竣工付款申请单的其他内容：</w:t>
      </w:r>
      <w:r>
        <w:rPr>
          <w:color w:val="auto"/>
          <w:spacing w:val="6"/>
          <w:sz w:val="21"/>
          <w:szCs w:val="21"/>
          <w:highlight w:val="none"/>
          <w:u w:val="single"/>
        </w:rPr>
        <w:t>竣工结算合同总价、已</w:t>
      </w:r>
      <w:r>
        <w:rPr>
          <w:color w:val="auto"/>
          <w:spacing w:val="5"/>
          <w:sz w:val="21"/>
          <w:szCs w:val="21"/>
          <w:highlight w:val="none"/>
          <w:u w:val="single"/>
        </w:rPr>
        <w:t>支付的工程价款、应扣回的预付</w:t>
      </w:r>
      <w:r>
        <w:rPr>
          <w:color w:val="auto"/>
          <w:spacing w:val="2"/>
          <w:sz w:val="21"/>
          <w:szCs w:val="21"/>
          <w:highlight w:val="none"/>
          <w:u w:val="single"/>
        </w:rPr>
        <w:t>款、应扣留的质量保证金、应支付的竣工付款金额等。</w:t>
      </w:r>
    </w:p>
    <w:p w14:paraId="3E37F515">
      <w:pPr>
        <w:spacing w:line="360" w:lineRule="auto"/>
        <w:rPr>
          <w:color w:val="auto"/>
          <w:szCs w:val="21"/>
          <w:highlight w:val="none"/>
        </w:rPr>
      </w:pPr>
    </w:p>
    <w:p w14:paraId="101796A6">
      <w:pPr>
        <w:pStyle w:val="17"/>
        <w:spacing w:before="66" w:line="360" w:lineRule="auto"/>
        <w:rPr>
          <w:color w:val="auto"/>
          <w:sz w:val="21"/>
          <w:szCs w:val="21"/>
          <w:highlight w:val="none"/>
        </w:rPr>
      </w:pPr>
      <w:r>
        <w:rPr>
          <w:color w:val="auto"/>
          <w:spacing w:val="2"/>
          <w:sz w:val="21"/>
          <w:szCs w:val="21"/>
          <w:highlight w:val="none"/>
        </w:rPr>
        <w:t>17.6最终结清</w:t>
      </w:r>
    </w:p>
    <w:p w14:paraId="3E9C6F2C">
      <w:pPr>
        <w:pStyle w:val="17"/>
        <w:spacing w:before="65" w:line="360" w:lineRule="auto"/>
        <w:ind w:left="370"/>
        <w:rPr>
          <w:color w:val="auto"/>
          <w:sz w:val="21"/>
          <w:szCs w:val="21"/>
        </w:rPr>
      </w:pPr>
      <w:r>
        <w:rPr>
          <w:color w:val="auto"/>
          <w:spacing w:val="-12"/>
          <w:sz w:val="21"/>
          <w:szCs w:val="21"/>
        </w:rPr>
        <w:t>17.6.1最终结清申请单</w:t>
      </w:r>
    </w:p>
    <w:p w14:paraId="673F9F25">
      <w:pPr>
        <w:pStyle w:val="17"/>
        <w:spacing w:before="152" w:line="360" w:lineRule="auto"/>
        <w:ind w:right="155" w:firstLine="469"/>
        <w:rPr>
          <w:color w:val="auto"/>
          <w:spacing w:val="6"/>
          <w:sz w:val="21"/>
          <w:szCs w:val="21"/>
        </w:rPr>
      </w:pPr>
      <w:r>
        <w:rPr>
          <w:color w:val="auto"/>
          <w:spacing w:val="6"/>
          <w:sz w:val="21"/>
          <w:szCs w:val="21"/>
        </w:rPr>
        <w:t>(1)承包人提交最终结清申请单的份数：</w:t>
      </w:r>
      <w:r>
        <w:rPr>
          <w:color w:val="auto"/>
          <w:spacing w:val="6"/>
          <w:sz w:val="21"/>
          <w:szCs w:val="21"/>
          <w:u w:val="single"/>
        </w:rPr>
        <w:t>提供5份最终结清申请单</w:t>
      </w:r>
    </w:p>
    <w:p w14:paraId="4EFF5618">
      <w:pPr>
        <w:pStyle w:val="17"/>
        <w:spacing w:before="152" w:line="360" w:lineRule="auto"/>
        <w:ind w:right="155" w:firstLine="469"/>
        <w:rPr>
          <w:color w:val="auto"/>
          <w:spacing w:val="6"/>
          <w:sz w:val="21"/>
          <w:szCs w:val="21"/>
        </w:rPr>
      </w:pPr>
      <w:r>
        <w:rPr>
          <w:color w:val="auto"/>
          <w:spacing w:val="6"/>
          <w:sz w:val="21"/>
          <w:szCs w:val="21"/>
        </w:rPr>
        <w:t>承包人提交最终结清申请单的期限：</w:t>
      </w:r>
      <w:r>
        <w:rPr>
          <w:color w:val="auto"/>
          <w:spacing w:val="6"/>
          <w:sz w:val="21"/>
          <w:szCs w:val="21"/>
          <w:u w:val="single"/>
        </w:rPr>
        <w:t>在缺陷责任期终止证书颁发后28天内发包人向承包人不支付 (支付/不支付)质量保证金利息。</w:t>
      </w:r>
    </w:p>
    <w:p w14:paraId="1500D7EF">
      <w:pPr>
        <w:pStyle w:val="17"/>
        <w:spacing w:before="152" w:line="360" w:lineRule="auto"/>
        <w:ind w:right="155" w:firstLine="469"/>
        <w:rPr>
          <w:color w:val="auto"/>
          <w:spacing w:val="6"/>
          <w:sz w:val="21"/>
          <w:szCs w:val="21"/>
          <w:u w:val="single"/>
        </w:rPr>
      </w:pPr>
      <w:r>
        <w:rPr>
          <w:color w:val="auto"/>
          <w:spacing w:val="6"/>
          <w:sz w:val="21"/>
          <w:szCs w:val="21"/>
        </w:rPr>
        <w:t>发包人向承包人支付质量保证金利息的，利息计算方法：</w:t>
      </w:r>
      <w:r>
        <w:rPr>
          <w:rFonts w:hint="eastAsia"/>
          <w:color w:val="auto"/>
          <w:spacing w:val="6"/>
          <w:sz w:val="21"/>
          <w:szCs w:val="21"/>
          <w:u w:val="single"/>
        </w:rPr>
        <w:t>/</w:t>
      </w:r>
    </w:p>
    <w:p w14:paraId="78E5E230">
      <w:pPr>
        <w:spacing w:line="265" w:lineRule="auto"/>
        <w:rPr>
          <w:color w:val="auto"/>
          <w:szCs w:val="21"/>
        </w:rPr>
      </w:pPr>
    </w:p>
    <w:p w14:paraId="0E604604">
      <w:pPr>
        <w:pStyle w:val="17"/>
        <w:spacing w:before="0" w:line="360" w:lineRule="auto"/>
        <w:ind w:left="10"/>
        <w:rPr>
          <w:color w:val="auto"/>
          <w:sz w:val="21"/>
          <w:szCs w:val="21"/>
        </w:rPr>
      </w:pPr>
      <w:r>
        <w:rPr>
          <w:color w:val="auto"/>
          <w:spacing w:val="-5"/>
          <w:sz w:val="21"/>
          <w:szCs w:val="21"/>
        </w:rPr>
        <w:t>18.竣工验收</w:t>
      </w:r>
    </w:p>
    <w:p w14:paraId="6CFE1F22">
      <w:pPr>
        <w:spacing w:line="360" w:lineRule="auto"/>
        <w:rPr>
          <w:color w:val="auto"/>
          <w:szCs w:val="21"/>
        </w:rPr>
      </w:pPr>
    </w:p>
    <w:p w14:paraId="0D461BA0">
      <w:pPr>
        <w:pStyle w:val="17"/>
        <w:spacing w:before="0" w:line="360" w:lineRule="auto"/>
        <w:ind w:left="10"/>
        <w:rPr>
          <w:color w:val="auto"/>
          <w:sz w:val="21"/>
          <w:szCs w:val="21"/>
        </w:rPr>
      </w:pPr>
      <w:r>
        <w:rPr>
          <w:color w:val="auto"/>
          <w:spacing w:val="-3"/>
          <w:sz w:val="21"/>
          <w:szCs w:val="21"/>
        </w:rPr>
        <w:t>18.2竣工验收申请报告</w:t>
      </w:r>
    </w:p>
    <w:p w14:paraId="4A56EF24">
      <w:pPr>
        <w:pStyle w:val="17"/>
        <w:spacing w:before="152" w:line="360" w:lineRule="auto"/>
        <w:ind w:right="155" w:firstLine="469"/>
        <w:rPr>
          <w:color w:val="auto"/>
          <w:spacing w:val="6"/>
          <w:sz w:val="21"/>
          <w:szCs w:val="21"/>
        </w:rPr>
      </w:pPr>
      <w:r>
        <w:rPr>
          <w:color w:val="auto"/>
          <w:spacing w:val="6"/>
          <w:sz w:val="21"/>
          <w:szCs w:val="21"/>
        </w:rPr>
        <w:t>(2)承包人负责整理和提交的竣工验收资料具体内容：</w:t>
      </w:r>
    </w:p>
    <w:p w14:paraId="03D531E1">
      <w:pPr>
        <w:pStyle w:val="17"/>
        <w:spacing w:before="152" w:line="360" w:lineRule="auto"/>
        <w:ind w:right="155" w:firstLine="469"/>
        <w:rPr>
          <w:color w:val="auto"/>
          <w:spacing w:val="6"/>
          <w:sz w:val="21"/>
          <w:szCs w:val="21"/>
          <w:u w:val="single"/>
        </w:rPr>
      </w:pPr>
      <w:r>
        <w:rPr>
          <w:color w:val="auto"/>
          <w:spacing w:val="6"/>
          <w:sz w:val="21"/>
          <w:szCs w:val="21"/>
        </w:rPr>
        <w:t>1.工程技术资料：</w:t>
      </w:r>
      <w:r>
        <w:rPr>
          <w:color w:val="auto"/>
          <w:spacing w:val="6"/>
          <w:sz w:val="21"/>
          <w:szCs w:val="21"/>
          <w:u w:val="single"/>
        </w:rPr>
        <w:t>2.质量保证资料；3.工程质量检查及评定；4.施工管理竣工验收资料的份数：5份，竣工图纸三套(竣工图编制费包含在投标报价内)</w:t>
      </w:r>
    </w:p>
    <w:p w14:paraId="6EE19227">
      <w:pPr>
        <w:pStyle w:val="17"/>
        <w:spacing w:before="152" w:line="360" w:lineRule="auto"/>
        <w:ind w:right="155" w:firstLine="469"/>
        <w:rPr>
          <w:color w:val="auto"/>
          <w:spacing w:val="6"/>
          <w:sz w:val="21"/>
          <w:szCs w:val="21"/>
          <w:u w:val="single"/>
        </w:rPr>
      </w:pPr>
      <w:r>
        <w:rPr>
          <w:color w:val="auto"/>
          <w:spacing w:val="6"/>
          <w:sz w:val="21"/>
          <w:szCs w:val="21"/>
        </w:rPr>
        <w:t>竣工验收资料的费用支付方式：</w:t>
      </w:r>
      <w:r>
        <w:rPr>
          <w:color w:val="auto"/>
          <w:spacing w:val="6"/>
          <w:sz w:val="21"/>
          <w:szCs w:val="21"/>
          <w:u w:val="single"/>
        </w:rPr>
        <w:t>其相关费用由承包人自行承担</w:t>
      </w:r>
    </w:p>
    <w:p w14:paraId="4CD01964">
      <w:pPr>
        <w:spacing w:line="360" w:lineRule="auto"/>
        <w:rPr>
          <w:color w:val="auto"/>
          <w:szCs w:val="21"/>
        </w:rPr>
      </w:pPr>
    </w:p>
    <w:p w14:paraId="420ED55E">
      <w:pPr>
        <w:pStyle w:val="17"/>
        <w:spacing w:before="0" w:line="360" w:lineRule="auto"/>
        <w:ind w:left="10"/>
        <w:rPr>
          <w:color w:val="auto"/>
          <w:sz w:val="21"/>
          <w:szCs w:val="21"/>
        </w:rPr>
      </w:pPr>
      <w:r>
        <w:rPr>
          <w:color w:val="auto"/>
          <w:spacing w:val="-3"/>
          <w:sz w:val="21"/>
          <w:szCs w:val="21"/>
        </w:rPr>
        <w:t>18.5  施工期运行</w:t>
      </w:r>
    </w:p>
    <w:p w14:paraId="6E692931">
      <w:pPr>
        <w:pStyle w:val="17"/>
        <w:spacing w:before="152" w:line="360" w:lineRule="auto"/>
        <w:ind w:right="155" w:firstLine="469"/>
        <w:rPr>
          <w:color w:val="auto"/>
          <w:spacing w:val="6"/>
          <w:sz w:val="21"/>
          <w:szCs w:val="21"/>
          <w:u w:val="single"/>
        </w:rPr>
      </w:pPr>
      <w:r>
        <w:rPr>
          <w:color w:val="auto"/>
          <w:spacing w:val="6"/>
          <w:sz w:val="21"/>
          <w:szCs w:val="21"/>
        </w:rPr>
        <w:t>18.5.1 需要施工期运行的单位工程或设备安装工程：</w:t>
      </w:r>
      <w:r>
        <w:rPr>
          <w:color w:val="auto"/>
          <w:spacing w:val="6"/>
          <w:sz w:val="21"/>
          <w:szCs w:val="21"/>
          <w:u w:val="single"/>
        </w:rPr>
        <w:t xml:space="preserve"> /</w:t>
      </w:r>
    </w:p>
    <w:p w14:paraId="50E2FE74">
      <w:pPr>
        <w:pStyle w:val="17"/>
        <w:spacing w:before="0" w:line="360" w:lineRule="auto"/>
        <w:ind w:left="10"/>
        <w:rPr>
          <w:color w:val="auto"/>
          <w:spacing w:val="-3"/>
          <w:sz w:val="21"/>
          <w:szCs w:val="21"/>
        </w:rPr>
      </w:pPr>
      <w:r>
        <w:rPr>
          <w:color w:val="auto"/>
          <w:spacing w:val="-3"/>
          <w:sz w:val="21"/>
          <w:szCs w:val="21"/>
        </w:rPr>
        <w:t>18.8 施工队伍的撤离</w:t>
      </w:r>
    </w:p>
    <w:p w14:paraId="3A6869B8">
      <w:pPr>
        <w:pStyle w:val="17"/>
        <w:spacing w:before="152" w:line="360" w:lineRule="auto"/>
        <w:ind w:right="155" w:firstLine="469"/>
        <w:rPr>
          <w:color w:val="auto"/>
          <w:spacing w:val="6"/>
          <w:sz w:val="21"/>
          <w:szCs w:val="21"/>
          <w:u w:val="single"/>
        </w:rPr>
      </w:pPr>
      <w:r>
        <w:rPr>
          <w:color w:val="auto"/>
          <w:spacing w:val="6"/>
          <w:sz w:val="21"/>
          <w:szCs w:val="21"/>
        </w:rPr>
        <w:t>18.8.3 缺陷责任期满时，承包人在施工场地保留的人员和施工设备最终撤离的期限：</w:t>
      </w:r>
      <w:r>
        <w:rPr>
          <w:color w:val="auto"/>
          <w:spacing w:val="6"/>
          <w:sz w:val="21"/>
          <w:szCs w:val="21"/>
          <w:u w:val="single"/>
        </w:rPr>
        <w:t>7天内</w:t>
      </w:r>
    </w:p>
    <w:p w14:paraId="0C1DC0B3">
      <w:pPr>
        <w:spacing w:line="360" w:lineRule="auto"/>
        <w:rPr>
          <w:color w:val="auto"/>
          <w:szCs w:val="21"/>
        </w:rPr>
      </w:pPr>
    </w:p>
    <w:p w14:paraId="2BA33389">
      <w:pPr>
        <w:pStyle w:val="17"/>
        <w:spacing w:before="0" w:line="360" w:lineRule="auto"/>
        <w:ind w:left="10"/>
        <w:rPr>
          <w:color w:val="auto"/>
          <w:sz w:val="21"/>
          <w:szCs w:val="21"/>
        </w:rPr>
      </w:pPr>
      <w:r>
        <w:rPr>
          <w:color w:val="auto"/>
          <w:spacing w:val="-1"/>
          <w:sz w:val="21"/>
          <w:szCs w:val="21"/>
        </w:rPr>
        <w:t>18.9中间验收</w:t>
      </w:r>
    </w:p>
    <w:p w14:paraId="5ADD0413">
      <w:pPr>
        <w:pStyle w:val="17"/>
        <w:spacing w:before="152" w:line="360" w:lineRule="auto"/>
        <w:ind w:right="155" w:firstLine="469"/>
        <w:rPr>
          <w:color w:val="auto"/>
          <w:spacing w:val="6"/>
          <w:sz w:val="21"/>
          <w:szCs w:val="21"/>
          <w:u w:val="single"/>
        </w:rPr>
      </w:pPr>
      <w:r>
        <w:rPr>
          <w:color w:val="auto"/>
          <w:spacing w:val="6"/>
          <w:sz w:val="21"/>
          <w:szCs w:val="21"/>
        </w:rPr>
        <w:t>18.9.1 本工程需要进行中间验收的部位：</w:t>
      </w:r>
      <w:r>
        <w:rPr>
          <w:rFonts w:hint="eastAsia"/>
          <w:color w:val="auto"/>
          <w:spacing w:val="6"/>
          <w:sz w:val="21"/>
          <w:szCs w:val="21"/>
          <w:u w:val="single"/>
        </w:rPr>
        <w:t>/</w:t>
      </w:r>
    </w:p>
    <w:p w14:paraId="7EC66C3D">
      <w:pPr>
        <w:pStyle w:val="17"/>
        <w:spacing w:before="152" w:line="360" w:lineRule="auto"/>
        <w:ind w:right="155" w:firstLine="469"/>
        <w:rPr>
          <w:color w:val="auto"/>
          <w:spacing w:val="6"/>
          <w:sz w:val="21"/>
          <w:szCs w:val="21"/>
        </w:rPr>
      </w:pPr>
      <w:r>
        <w:rPr>
          <w:color w:val="auto"/>
          <w:spacing w:val="6"/>
          <w:sz w:val="21"/>
          <w:szCs w:val="21"/>
        </w:rPr>
        <w:t>18.9.2 验收不合格的，承包人在48小时内期限内进行修改后重新验收。</w:t>
      </w:r>
    </w:p>
    <w:p w14:paraId="6920D170">
      <w:pPr>
        <w:pStyle w:val="17"/>
        <w:spacing w:before="152" w:line="360" w:lineRule="auto"/>
        <w:ind w:right="155" w:firstLine="0"/>
        <w:rPr>
          <w:color w:val="auto"/>
          <w:spacing w:val="-1"/>
          <w:sz w:val="21"/>
          <w:szCs w:val="21"/>
        </w:rPr>
      </w:pPr>
      <w:r>
        <w:rPr>
          <w:color w:val="auto"/>
          <w:spacing w:val="-1"/>
          <w:sz w:val="21"/>
          <w:szCs w:val="21"/>
        </w:rPr>
        <w:t>19.缺陷责任与保修责任</w:t>
      </w:r>
    </w:p>
    <w:p w14:paraId="2B905EC5">
      <w:pPr>
        <w:pStyle w:val="17"/>
        <w:spacing w:before="0" w:line="360" w:lineRule="auto"/>
        <w:ind w:left="10"/>
        <w:rPr>
          <w:color w:val="auto"/>
          <w:sz w:val="21"/>
          <w:szCs w:val="21"/>
        </w:rPr>
      </w:pPr>
      <w:r>
        <w:rPr>
          <w:color w:val="auto"/>
          <w:spacing w:val="-4"/>
          <w:sz w:val="21"/>
          <w:szCs w:val="21"/>
        </w:rPr>
        <w:t>19.7保修责任</w:t>
      </w:r>
    </w:p>
    <w:p w14:paraId="6B2C1851">
      <w:pPr>
        <w:pStyle w:val="17"/>
        <w:spacing w:before="152" w:line="360" w:lineRule="auto"/>
        <w:ind w:right="155" w:firstLine="469"/>
        <w:rPr>
          <w:color w:val="auto"/>
          <w:spacing w:val="6"/>
          <w:sz w:val="21"/>
          <w:szCs w:val="21"/>
        </w:rPr>
      </w:pPr>
      <w:r>
        <w:rPr>
          <w:color w:val="auto"/>
          <w:spacing w:val="6"/>
          <w:sz w:val="21"/>
          <w:szCs w:val="21"/>
        </w:rPr>
        <w:t>19.7.1 工程质量保修范围：</w:t>
      </w:r>
      <w:r>
        <w:rPr>
          <w:color w:val="auto"/>
          <w:spacing w:val="6"/>
          <w:sz w:val="21"/>
          <w:szCs w:val="21"/>
          <w:u w:val="single"/>
        </w:rPr>
        <w:t>按《建设工程质量管理条例》的规定和《建筑工程质量保修 书》约定执行。</w:t>
      </w:r>
    </w:p>
    <w:p w14:paraId="127A8E78">
      <w:pPr>
        <w:pStyle w:val="17"/>
        <w:spacing w:before="152" w:line="360" w:lineRule="auto"/>
        <w:ind w:right="155" w:firstLine="469"/>
        <w:rPr>
          <w:color w:val="auto"/>
          <w:spacing w:val="6"/>
          <w:sz w:val="21"/>
          <w:szCs w:val="21"/>
          <w:u w:val="single"/>
        </w:rPr>
      </w:pPr>
      <w:r>
        <w:rPr>
          <w:color w:val="auto"/>
          <w:spacing w:val="6"/>
          <w:sz w:val="21"/>
          <w:szCs w:val="21"/>
        </w:rPr>
        <w:t>工程质量保修期限：</w:t>
      </w:r>
      <w:r>
        <w:rPr>
          <w:color w:val="auto"/>
          <w:spacing w:val="6"/>
          <w:sz w:val="21"/>
          <w:szCs w:val="21"/>
          <w:u w:val="single"/>
        </w:rPr>
        <w:t>按《建设工程质量管理条例》的规定和《建筑工程质量保修书》约定执行。</w:t>
      </w:r>
    </w:p>
    <w:p w14:paraId="4E842D52">
      <w:pPr>
        <w:pStyle w:val="17"/>
        <w:spacing w:before="152" w:line="360" w:lineRule="auto"/>
        <w:ind w:right="155" w:firstLine="469"/>
        <w:rPr>
          <w:color w:val="auto"/>
          <w:spacing w:val="6"/>
          <w:sz w:val="21"/>
          <w:szCs w:val="21"/>
        </w:rPr>
      </w:pPr>
      <w:r>
        <w:rPr>
          <w:color w:val="auto"/>
          <w:spacing w:val="6"/>
          <w:sz w:val="21"/>
          <w:szCs w:val="21"/>
        </w:rPr>
        <w:t>工程质量保修责</w:t>
      </w:r>
      <w:r>
        <w:rPr>
          <w:rFonts w:hint="eastAsia"/>
          <w:color w:val="auto"/>
          <w:spacing w:val="6"/>
          <w:sz w:val="21"/>
          <w:szCs w:val="21"/>
          <w:lang w:val="en-US" w:eastAsia="zh-CN"/>
        </w:rPr>
        <w:t>任</w:t>
      </w:r>
      <w:r>
        <w:rPr>
          <w:color w:val="auto"/>
          <w:spacing w:val="6"/>
          <w:sz w:val="21"/>
          <w:szCs w:val="21"/>
        </w:rPr>
        <w:t>：</w:t>
      </w:r>
      <w:r>
        <w:rPr>
          <w:color w:val="auto"/>
          <w:spacing w:val="6"/>
          <w:sz w:val="21"/>
          <w:szCs w:val="21"/>
          <w:u w:val="single"/>
        </w:rPr>
        <w:t>遵守《建设工程质量管理条例》的相关规定，承包人承包范围内的质 量缺陷，除发包人使用不当，第三方责任，不可抗力造成外，均属于承包人保修范围。</w:t>
      </w:r>
    </w:p>
    <w:p w14:paraId="78D73981">
      <w:pPr>
        <w:pStyle w:val="17"/>
        <w:tabs>
          <w:tab w:val="clear" w:pos="567"/>
        </w:tabs>
        <w:spacing w:before="152" w:line="360" w:lineRule="auto"/>
        <w:ind w:right="155" w:firstLine="469"/>
        <w:rPr>
          <w:color w:val="auto"/>
          <w:spacing w:val="6"/>
          <w:sz w:val="21"/>
          <w:szCs w:val="21"/>
          <w:u w:val="single"/>
        </w:rPr>
      </w:pPr>
      <w:r>
        <w:rPr>
          <w:color w:val="auto"/>
          <w:spacing w:val="6"/>
          <w:sz w:val="21"/>
          <w:szCs w:val="21"/>
          <w:u w:val="single"/>
        </w:rPr>
        <w:t>(1)承包人应接到修理通知后24小时内派人维修，承包人不在约定期限内派人修理，发包 人可委托其他人员维修，保修费用从质</w:t>
      </w:r>
      <w:r>
        <w:rPr>
          <w:rFonts w:hint="eastAsia"/>
          <w:color w:val="auto"/>
          <w:spacing w:val="6"/>
          <w:sz w:val="21"/>
          <w:szCs w:val="21"/>
          <w:u w:val="single"/>
          <w:lang w:val="en-US" w:eastAsia="zh-CN"/>
        </w:rPr>
        <w:t>量</w:t>
      </w:r>
      <w:r>
        <w:rPr>
          <w:color w:val="auto"/>
          <w:spacing w:val="6"/>
          <w:sz w:val="21"/>
          <w:szCs w:val="21"/>
          <w:u w:val="single"/>
        </w:rPr>
        <w:t>保证金内扣除：(2)发生须紧急抢修事故，承包 人在接到事故通知后，应立即到达事故现场抢修，若因承包人施工质量引起的事故，抢修费 用由承包人承担；(3)在国家规定的工程合理使用期限内，承包人确保工程的质量，因承包人原因致使工程在合理使用期限内造成人身和财产损害的承包人承担全部损害赔偿责任。</w:t>
      </w:r>
    </w:p>
    <w:p w14:paraId="5D565592">
      <w:pPr>
        <w:spacing w:line="261" w:lineRule="auto"/>
        <w:rPr>
          <w:color w:val="auto"/>
          <w:szCs w:val="21"/>
        </w:rPr>
      </w:pPr>
    </w:p>
    <w:p w14:paraId="0E69DC79">
      <w:pPr>
        <w:pStyle w:val="17"/>
        <w:spacing w:before="87" w:line="220" w:lineRule="auto"/>
        <w:rPr>
          <w:color w:val="auto"/>
          <w:sz w:val="21"/>
          <w:szCs w:val="21"/>
        </w:rPr>
      </w:pPr>
      <w:r>
        <w:rPr>
          <w:color w:val="auto"/>
          <w:spacing w:val="-4"/>
          <w:sz w:val="21"/>
          <w:szCs w:val="21"/>
        </w:rPr>
        <w:t>20.保险</w:t>
      </w:r>
    </w:p>
    <w:p w14:paraId="086E6532">
      <w:pPr>
        <w:pStyle w:val="17"/>
        <w:spacing w:before="65" w:line="220" w:lineRule="auto"/>
        <w:rPr>
          <w:color w:val="auto"/>
          <w:sz w:val="21"/>
          <w:szCs w:val="21"/>
        </w:rPr>
      </w:pPr>
      <w:r>
        <w:rPr>
          <w:color w:val="auto"/>
          <w:spacing w:val="3"/>
          <w:sz w:val="21"/>
          <w:szCs w:val="21"/>
        </w:rPr>
        <w:t>20.1工程保险</w:t>
      </w:r>
    </w:p>
    <w:p w14:paraId="27552762">
      <w:pPr>
        <w:pStyle w:val="17"/>
        <w:tabs>
          <w:tab w:val="clear" w:pos="567"/>
        </w:tabs>
        <w:spacing w:before="0" w:line="360" w:lineRule="auto"/>
        <w:ind w:right="153" w:firstLine="471"/>
        <w:rPr>
          <w:color w:val="auto"/>
          <w:spacing w:val="6"/>
          <w:sz w:val="21"/>
          <w:szCs w:val="21"/>
        </w:rPr>
      </w:pPr>
      <w:r>
        <w:rPr>
          <w:color w:val="auto"/>
          <w:spacing w:val="6"/>
          <w:sz w:val="21"/>
          <w:szCs w:val="21"/>
        </w:rPr>
        <w:t>本工程</w:t>
      </w:r>
      <w:r>
        <w:rPr>
          <w:color w:val="auto"/>
          <w:spacing w:val="6"/>
          <w:sz w:val="21"/>
          <w:szCs w:val="21"/>
          <w:u w:val="single"/>
        </w:rPr>
        <w:t>不投保</w:t>
      </w:r>
      <w:r>
        <w:rPr>
          <w:color w:val="auto"/>
          <w:spacing w:val="6"/>
          <w:sz w:val="21"/>
          <w:szCs w:val="21"/>
        </w:rPr>
        <w:t>( 投保/不投保)工程保险。投保工程保险时，险种为：/,并符合以下约定：</w:t>
      </w:r>
    </w:p>
    <w:p w14:paraId="2FEFA12D">
      <w:pPr>
        <w:pStyle w:val="17"/>
        <w:tabs>
          <w:tab w:val="clear" w:pos="567"/>
        </w:tabs>
        <w:spacing w:before="0" w:line="360" w:lineRule="auto"/>
        <w:ind w:right="153" w:firstLine="471"/>
        <w:rPr>
          <w:color w:val="auto"/>
          <w:spacing w:val="6"/>
          <w:sz w:val="21"/>
          <w:szCs w:val="21"/>
        </w:rPr>
      </w:pPr>
      <w:r>
        <w:rPr>
          <w:color w:val="auto"/>
          <w:spacing w:val="6"/>
          <w:sz w:val="21"/>
          <w:szCs w:val="21"/>
        </w:rPr>
        <w:t>(1)投保人：</w:t>
      </w:r>
    </w:p>
    <w:p w14:paraId="1EBE48F0">
      <w:pPr>
        <w:pStyle w:val="17"/>
        <w:tabs>
          <w:tab w:val="clear" w:pos="567"/>
        </w:tabs>
        <w:spacing w:before="0" w:line="360" w:lineRule="auto"/>
        <w:ind w:right="153" w:firstLine="471"/>
        <w:rPr>
          <w:color w:val="auto"/>
          <w:spacing w:val="6"/>
          <w:sz w:val="21"/>
          <w:szCs w:val="21"/>
        </w:rPr>
      </w:pPr>
      <w:r>
        <w:rPr>
          <w:color w:val="auto"/>
          <w:spacing w:val="6"/>
          <w:sz w:val="21"/>
          <w:szCs w:val="21"/>
        </w:rPr>
        <w:t>(2)投保内容：</w:t>
      </w:r>
    </w:p>
    <w:p w14:paraId="0BAA8410">
      <w:pPr>
        <w:pStyle w:val="17"/>
        <w:tabs>
          <w:tab w:val="clear" w:pos="567"/>
        </w:tabs>
        <w:spacing w:before="0" w:line="360" w:lineRule="auto"/>
        <w:ind w:right="153" w:firstLine="471"/>
        <w:rPr>
          <w:color w:val="auto"/>
          <w:spacing w:val="6"/>
          <w:sz w:val="21"/>
          <w:szCs w:val="21"/>
        </w:rPr>
      </w:pPr>
      <w:r>
        <w:rPr>
          <w:color w:val="auto"/>
          <w:spacing w:val="6"/>
          <w:sz w:val="21"/>
          <w:szCs w:val="21"/>
        </w:rPr>
        <w:t>(3)保险费率：由投保人与合同双方同意的保险人商定。</w:t>
      </w:r>
    </w:p>
    <w:p w14:paraId="1F9EAA84">
      <w:pPr>
        <w:pStyle w:val="17"/>
        <w:tabs>
          <w:tab w:val="clear" w:pos="567"/>
        </w:tabs>
        <w:spacing w:before="0" w:line="360" w:lineRule="auto"/>
        <w:ind w:right="153" w:firstLine="471"/>
        <w:rPr>
          <w:color w:val="auto"/>
          <w:spacing w:val="6"/>
          <w:sz w:val="21"/>
          <w:szCs w:val="21"/>
        </w:rPr>
      </w:pPr>
      <w:r>
        <w:rPr>
          <w:color w:val="auto"/>
          <w:spacing w:val="6"/>
          <w:sz w:val="21"/>
          <w:szCs w:val="21"/>
        </w:rPr>
        <w:t>(4)保险金额：</w:t>
      </w:r>
    </w:p>
    <w:p w14:paraId="09928C9A">
      <w:pPr>
        <w:pStyle w:val="17"/>
        <w:tabs>
          <w:tab w:val="clear" w:pos="567"/>
        </w:tabs>
        <w:spacing w:before="0" w:line="360" w:lineRule="auto"/>
        <w:ind w:right="153" w:firstLine="471"/>
        <w:rPr>
          <w:color w:val="auto"/>
          <w:spacing w:val="6"/>
          <w:sz w:val="21"/>
          <w:szCs w:val="21"/>
        </w:rPr>
      </w:pPr>
      <w:r>
        <w:rPr>
          <w:color w:val="auto"/>
          <w:spacing w:val="6"/>
          <w:sz w:val="21"/>
          <w:szCs w:val="21"/>
        </w:rPr>
        <w:t>(5)保险期限：</w:t>
      </w:r>
    </w:p>
    <w:p w14:paraId="6C8C985D">
      <w:pPr>
        <w:pStyle w:val="17"/>
        <w:spacing w:before="65" w:line="219" w:lineRule="auto"/>
        <w:rPr>
          <w:color w:val="auto"/>
          <w:sz w:val="21"/>
          <w:szCs w:val="21"/>
        </w:rPr>
      </w:pPr>
      <w:r>
        <w:rPr>
          <w:color w:val="auto"/>
          <w:spacing w:val="7"/>
          <w:sz w:val="21"/>
          <w:szCs w:val="21"/>
        </w:rPr>
        <w:t>20.4  第三者责任险</w:t>
      </w:r>
    </w:p>
    <w:p w14:paraId="4C89C4B4">
      <w:pPr>
        <w:pStyle w:val="17"/>
        <w:tabs>
          <w:tab w:val="clear" w:pos="567"/>
        </w:tabs>
        <w:spacing w:before="152" w:line="360" w:lineRule="auto"/>
        <w:ind w:right="155" w:firstLine="469"/>
        <w:rPr>
          <w:color w:val="auto"/>
          <w:spacing w:val="6"/>
          <w:sz w:val="21"/>
          <w:szCs w:val="21"/>
        </w:rPr>
      </w:pPr>
      <w:r>
        <w:rPr>
          <w:color w:val="auto"/>
          <w:spacing w:val="6"/>
          <w:sz w:val="21"/>
          <w:szCs w:val="21"/>
        </w:rPr>
        <w:t>20.4.2 保险金额</w:t>
      </w:r>
      <w:r>
        <w:rPr>
          <w:color w:val="auto"/>
          <w:spacing w:val="6"/>
          <w:sz w:val="21"/>
          <w:szCs w:val="21"/>
          <w:u w:val="single"/>
        </w:rPr>
        <w:t>：/</w:t>
      </w:r>
      <w:r>
        <w:rPr>
          <w:color w:val="auto"/>
          <w:spacing w:val="6"/>
          <w:sz w:val="21"/>
          <w:szCs w:val="21"/>
        </w:rPr>
        <w:t>,保险费率由承包人与发包人同意的保险人商定，相关保险费由</w:t>
      </w:r>
      <w:r>
        <w:rPr>
          <w:color w:val="auto"/>
          <w:spacing w:val="6"/>
          <w:sz w:val="21"/>
          <w:szCs w:val="21"/>
          <w:u w:val="single"/>
        </w:rPr>
        <w:t>/</w:t>
      </w:r>
      <w:r>
        <w:rPr>
          <w:color w:val="auto"/>
          <w:spacing w:val="6"/>
          <w:sz w:val="21"/>
          <w:szCs w:val="21"/>
        </w:rPr>
        <w:t>承担。</w:t>
      </w:r>
    </w:p>
    <w:p w14:paraId="046E74D4">
      <w:pPr>
        <w:pStyle w:val="17"/>
        <w:spacing w:before="65" w:line="220" w:lineRule="auto"/>
        <w:rPr>
          <w:color w:val="auto"/>
          <w:sz w:val="21"/>
          <w:szCs w:val="21"/>
        </w:rPr>
      </w:pPr>
      <w:r>
        <w:rPr>
          <w:color w:val="auto"/>
          <w:spacing w:val="6"/>
          <w:sz w:val="21"/>
          <w:szCs w:val="21"/>
        </w:rPr>
        <w:t>20.5其他保险</w:t>
      </w:r>
    </w:p>
    <w:p w14:paraId="4F177614">
      <w:pPr>
        <w:pStyle w:val="17"/>
        <w:tabs>
          <w:tab w:val="clear" w:pos="567"/>
        </w:tabs>
        <w:spacing w:before="152" w:line="360" w:lineRule="auto"/>
        <w:ind w:right="155" w:firstLine="469"/>
        <w:rPr>
          <w:color w:val="auto"/>
          <w:spacing w:val="6"/>
          <w:sz w:val="21"/>
          <w:szCs w:val="21"/>
          <w:u w:val="single"/>
        </w:rPr>
      </w:pPr>
      <w:r>
        <w:rPr>
          <w:color w:val="auto"/>
          <w:spacing w:val="6"/>
          <w:sz w:val="21"/>
          <w:szCs w:val="21"/>
        </w:rPr>
        <w:t>承包人应为其施工设备、进场材料和工程设备等办理的保险：</w:t>
      </w:r>
      <w:r>
        <w:rPr>
          <w:color w:val="auto"/>
          <w:spacing w:val="6"/>
          <w:sz w:val="21"/>
          <w:szCs w:val="21"/>
          <w:u w:val="single"/>
        </w:rPr>
        <w:t xml:space="preserve"> /</w:t>
      </w:r>
    </w:p>
    <w:p w14:paraId="5A59C0D5">
      <w:pPr>
        <w:pStyle w:val="17"/>
        <w:spacing w:before="85" w:line="220" w:lineRule="auto"/>
        <w:rPr>
          <w:color w:val="auto"/>
          <w:sz w:val="21"/>
          <w:szCs w:val="21"/>
        </w:rPr>
      </w:pPr>
      <w:r>
        <w:rPr>
          <w:color w:val="auto"/>
          <w:spacing w:val="8"/>
          <w:sz w:val="21"/>
          <w:szCs w:val="21"/>
        </w:rPr>
        <w:t>20.6对各项保险的一般要求</w:t>
      </w:r>
    </w:p>
    <w:p w14:paraId="6470CAAF">
      <w:pPr>
        <w:pStyle w:val="17"/>
        <w:tabs>
          <w:tab w:val="clear" w:pos="567"/>
        </w:tabs>
        <w:spacing w:before="152" w:line="360" w:lineRule="auto"/>
        <w:ind w:right="155" w:firstLine="469"/>
        <w:rPr>
          <w:color w:val="auto"/>
          <w:spacing w:val="6"/>
          <w:sz w:val="21"/>
          <w:szCs w:val="21"/>
        </w:rPr>
      </w:pPr>
      <w:r>
        <w:rPr>
          <w:color w:val="auto"/>
          <w:spacing w:val="6"/>
          <w:sz w:val="21"/>
          <w:szCs w:val="21"/>
        </w:rPr>
        <w:t>20.6.1 保险凭证</w:t>
      </w:r>
    </w:p>
    <w:p w14:paraId="6ADD59AD">
      <w:pPr>
        <w:pStyle w:val="17"/>
        <w:tabs>
          <w:tab w:val="clear" w:pos="567"/>
        </w:tabs>
        <w:spacing w:before="152" w:line="360" w:lineRule="auto"/>
        <w:ind w:right="155" w:firstLine="469"/>
        <w:rPr>
          <w:color w:val="auto"/>
          <w:spacing w:val="6"/>
          <w:sz w:val="21"/>
          <w:szCs w:val="21"/>
          <w:u w:val="single"/>
        </w:rPr>
      </w:pPr>
      <w:r>
        <w:rPr>
          <w:color w:val="auto"/>
          <w:spacing w:val="6"/>
          <w:sz w:val="21"/>
          <w:szCs w:val="21"/>
        </w:rPr>
        <w:t>承包人向发包人提交各项保险生效的证据和保险单副本的期限</w:t>
      </w:r>
      <w:r>
        <w:rPr>
          <w:color w:val="auto"/>
          <w:spacing w:val="6"/>
          <w:sz w:val="21"/>
          <w:szCs w:val="21"/>
          <w:u w:val="single"/>
        </w:rPr>
        <w:t>：</w:t>
      </w:r>
      <w:r>
        <w:rPr>
          <w:rFonts w:hint="eastAsia"/>
          <w:color w:val="auto"/>
          <w:spacing w:val="6"/>
          <w:sz w:val="21"/>
          <w:szCs w:val="21"/>
          <w:u w:val="single"/>
        </w:rPr>
        <w:t>/</w:t>
      </w:r>
    </w:p>
    <w:p w14:paraId="7E530CE9">
      <w:pPr>
        <w:pStyle w:val="17"/>
        <w:tabs>
          <w:tab w:val="clear" w:pos="567"/>
        </w:tabs>
        <w:spacing w:before="152" w:line="360" w:lineRule="auto"/>
        <w:ind w:right="155" w:firstLine="469"/>
        <w:rPr>
          <w:color w:val="auto"/>
          <w:spacing w:val="6"/>
          <w:sz w:val="21"/>
          <w:szCs w:val="21"/>
        </w:rPr>
      </w:pPr>
      <w:r>
        <w:rPr>
          <w:color w:val="auto"/>
          <w:spacing w:val="6"/>
          <w:sz w:val="21"/>
          <w:szCs w:val="21"/>
        </w:rPr>
        <w:t>20.6.4 保险金不足的补偿</w:t>
      </w:r>
    </w:p>
    <w:p w14:paraId="162F3B19">
      <w:pPr>
        <w:pStyle w:val="17"/>
        <w:tabs>
          <w:tab w:val="clear" w:pos="567"/>
        </w:tabs>
        <w:spacing w:before="152" w:line="360" w:lineRule="auto"/>
        <w:ind w:right="155" w:firstLine="469"/>
        <w:rPr>
          <w:color w:val="auto"/>
          <w:spacing w:val="6"/>
          <w:sz w:val="21"/>
          <w:szCs w:val="21"/>
          <w:u w:val="single"/>
        </w:rPr>
      </w:pPr>
      <w:r>
        <w:rPr>
          <w:color w:val="auto"/>
          <w:spacing w:val="6"/>
          <w:sz w:val="21"/>
          <w:szCs w:val="21"/>
        </w:rPr>
        <w:t>保险金不足以补偿损失时，承包人和发包人负责补偿的责任分摊：</w:t>
      </w:r>
      <w:r>
        <w:rPr>
          <w:color w:val="auto"/>
          <w:spacing w:val="6"/>
          <w:sz w:val="21"/>
          <w:szCs w:val="21"/>
          <w:u w:val="single"/>
        </w:rPr>
        <w:t xml:space="preserve"> /</w:t>
      </w:r>
    </w:p>
    <w:p w14:paraId="62ECDE1C">
      <w:pPr>
        <w:pStyle w:val="17"/>
        <w:spacing w:before="0" w:line="360" w:lineRule="auto"/>
        <w:rPr>
          <w:color w:val="auto"/>
          <w:sz w:val="21"/>
          <w:szCs w:val="21"/>
        </w:rPr>
      </w:pPr>
      <w:r>
        <w:rPr>
          <w:color w:val="auto"/>
          <w:spacing w:val="-2"/>
          <w:sz w:val="21"/>
          <w:szCs w:val="21"/>
        </w:rPr>
        <w:t>21.不可抗力</w:t>
      </w:r>
    </w:p>
    <w:p w14:paraId="1A39778F">
      <w:pPr>
        <w:pStyle w:val="17"/>
        <w:spacing w:before="0" w:line="360" w:lineRule="auto"/>
        <w:rPr>
          <w:color w:val="auto"/>
          <w:sz w:val="21"/>
          <w:szCs w:val="21"/>
        </w:rPr>
      </w:pPr>
      <w:r>
        <w:rPr>
          <w:color w:val="auto"/>
          <w:spacing w:val="7"/>
          <w:sz w:val="21"/>
          <w:szCs w:val="21"/>
        </w:rPr>
        <w:t>21.1  不可抗力的确认</w:t>
      </w:r>
    </w:p>
    <w:p w14:paraId="441FA4DD">
      <w:pPr>
        <w:pStyle w:val="17"/>
        <w:tabs>
          <w:tab w:val="clear" w:pos="567"/>
        </w:tabs>
        <w:spacing w:before="0" w:line="360" w:lineRule="auto"/>
        <w:ind w:right="155" w:firstLine="469"/>
        <w:rPr>
          <w:color w:val="auto"/>
          <w:sz w:val="21"/>
          <w:szCs w:val="21"/>
        </w:rPr>
      </w:pPr>
      <w:r>
        <w:rPr>
          <w:color w:val="auto"/>
          <w:spacing w:val="6"/>
          <w:sz w:val="21"/>
          <w:szCs w:val="21"/>
        </w:rPr>
        <w:t>21.1.1 合同条款通用部分第21.1.1项约定的不可抗力以外的其他情形：</w:t>
      </w:r>
    </w:p>
    <w:p w14:paraId="1DCA54CA">
      <w:pPr>
        <w:pStyle w:val="17"/>
        <w:spacing w:before="0" w:line="360" w:lineRule="auto"/>
        <w:ind w:right="163" w:firstLine="469"/>
        <w:rPr>
          <w:color w:val="auto"/>
          <w:sz w:val="21"/>
          <w:szCs w:val="21"/>
        </w:rPr>
      </w:pPr>
      <w:r>
        <w:rPr>
          <w:color w:val="auto"/>
          <w:spacing w:val="20"/>
          <w:sz w:val="21"/>
          <w:szCs w:val="21"/>
          <w:u w:val="single"/>
        </w:rPr>
        <w:t>自然灾害，如地震、海啸、台风、洪水、冰霉，和有一定人为性的异常事件，</w:t>
      </w:r>
      <w:r>
        <w:rPr>
          <w:color w:val="auto"/>
          <w:spacing w:val="19"/>
          <w:sz w:val="21"/>
          <w:szCs w:val="21"/>
          <w:u w:val="single"/>
        </w:rPr>
        <w:t>如征</w:t>
      </w:r>
      <w:r>
        <w:rPr>
          <w:color w:val="auto"/>
          <w:spacing w:val="2"/>
          <w:sz w:val="21"/>
          <w:szCs w:val="21"/>
          <w:u w:val="single"/>
        </w:rPr>
        <w:t>收、征用、禁令等政府行为和战争、罢工、骚乱等。</w:t>
      </w:r>
    </w:p>
    <w:p w14:paraId="29E841E4">
      <w:pPr>
        <w:pStyle w:val="17"/>
        <w:tabs>
          <w:tab w:val="clear" w:pos="567"/>
        </w:tabs>
        <w:spacing w:before="0" w:line="360" w:lineRule="auto"/>
        <w:ind w:right="155" w:firstLine="469"/>
        <w:rPr>
          <w:color w:val="auto"/>
          <w:spacing w:val="6"/>
          <w:sz w:val="21"/>
          <w:szCs w:val="21"/>
        </w:rPr>
      </w:pPr>
      <w:r>
        <w:rPr>
          <w:color w:val="auto"/>
          <w:spacing w:val="6"/>
          <w:sz w:val="21"/>
          <w:szCs w:val="21"/>
        </w:rPr>
        <w:t>不可抗力的等级范围约定：</w:t>
      </w:r>
    </w:p>
    <w:p w14:paraId="79F4FA11">
      <w:pPr>
        <w:pStyle w:val="17"/>
        <w:spacing w:before="0" w:line="360" w:lineRule="auto"/>
        <w:ind w:right="144" w:firstLine="469"/>
        <w:rPr>
          <w:color w:val="auto"/>
          <w:sz w:val="21"/>
          <w:szCs w:val="21"/>
        </w:rPr>
      </w:pPr>
      <w:r>
        <w:rPr>
          <w:color w:val="auto"/>
          <w:spacing w:val="15"/>
          <w:sz w:val="21"/>
          <w:szCs w:val="21"/>
          <w:u w:val="single" w:color="000000"/>
        </w:rPr>
        <w:t>一级为自然灾害，如地震海啸、台风、洪水、</w:t>
      </w:r>
      <w:r>
        <w:rPr>
          <w:color w:val="auto"/>
          <w:spacing w:val="14"/>
          <w:sz w:val="21"/>
          <w:szCs w:val="21"/>
          <w:u w:val="single" w:color="000000"/>
        </w:rPr>
        <w:t>冰雹；二级为人为性的异常事件，如征</w:t>
      </w:r>
      <w:r>
        <w:rPr>
          <w:color w:val="auto"/>
          <w:spacing w:val="2"/>
          <w:sz w:val="21"/>
          <w:szCs w:val="21"/>
          <w:u w:val="single"/>
        </w:rPr>
        <w:t>收、征用、禁令等政府行为和战争、罢工、骚乱等。</w:t>
      </w:r>
    </w:p>
    <w:p w14:paraId="54459E71">
      <w:pPr>
        <w:pStyle w:val="17"/>
        <w:spacing w:before="0" w:line="360" w:lineRule="auto"/>
        <w:rPr>
          <w:color w:val="auto"/>
          <w:sz w:val="21"/>
          <w:szCs w:val="21"/>
        </w:rPr>
      </w:pPr>
      <w:r>
        <w:rPr>
          <w:color w:val="auto"/>
          <w:spacing w:val="-6"/>
          <w:sz w:val="21"/>
          <w:szCs w:val="21"/>
        </w:rPr>
        <w:t>24.争议的解决</w:t>
      </w:r>
    </w:p>
    <w:p w14:paraId="4DDFC2FF">
      <w:pPr>
        <w:spacing w:line="360" w:lineRule="auto"/>
        <w:rPr>
          <w:color w:val="auto"/>
          <w:szCs w:val="21"/>
        </w:rPr>
      </w:pPr>
    </w:p>
    <w:p w14:paraId="0C817F2B">
      <w:pPr>
        <w:pStyle w:val="17"/>
        <w:spacing w:before="0" w:line="360" w:lineRule="auto"/>
        <w:rPr>
          <w:color w:val="auto"/>
          <w:sz w:val="21"/>
          <w:szCs w:val="21"/>
        </w:rPr>
      </w:pPr>
      <w:r>
        <w:rPr>
          <w:color w:val="auto"/>
          <w:spacing w:val="7"/>
          <w:sz w:val="21"/>
          <w:szCs w:val="21"/>
        </w:rPr>
        <w:t>24.1  争议的解决方式</w:t>
      </w:r>
    </w:p>
    <w:p w14:paraId="2FAC47AF">
      <w:pPr>
        <w:pStyle w:val="17"/>
        <w:tabs>
          <w:tab w:val="clear" w:pos="567"/>
        </w:tabs>
        <w:spacing w:before="0" w:line="360" w:lineRule="auto"/>
        <w:ind w:right="155" w:firstLine="469"/>
        <w:rPr>
          <w:color w:val="auto"/>
          <w:spacing w:val="6"/>
          <w:sz w:val="21"/>
          <w:szCs w:val="21"/>
        </w:rPr>
      </w:pPr>
      <w:r>
        <w:rPr>
          <w:color w:val="auto"/>
          <w:spacing w:val="6"/>
          <w:sz w:val="21"/>
          <w:szCs w:val="21"/>
        </w:rPr>
        <w:t>因本合同引起的或与本合同有关的任何争议，合同双方友好协商不成、不愿提请争议组评审或者不愿接受争议评审组意见的，选择下列第</w:t>
      </w:r>
      <w:r>
        <w:rPr>
          <w:color w:val="auto"/>
          <w:spacing w:val="6"/>
          <w:sz w:val="21"/>
          <w:szCs w:val="21"/>
          <w:u w:val="single"/>
        </w:rPr>
        <w:t>贰</w:t>
      </w:r>
      <w:r>
        <w:rPr>
          <w:color w:val="auto"/>
          <w:spacing w:val="6"/>
          <w:sz w:val="21"/>
          <w:szCs w:val="21"/>
        </w:rPr>
        <w:t>种方式解决：</w:t>
      </w:r>
    </w:p>
    <w:p w14:paraId="20E501BA">
      <w:pPr>
        <w:pStyle w:val="17"/>
        <w:tabs>
          <w:tab w:val="clear" w:pos="567"/>
        </w:tabs>
        <w:spacing w:before="0" w:line="360" w:lineRule="auto"/>
        <w:ind w:right="155" w:firstLine="469"/>
        <w:rPr>
          <w:color w:val="auto"/>
          <w:spacing w:val="6"/>
          <w:sz w:val="21"/>
          <w:szCs w:val="21"/>
        </w:rPr>
      </w:pPr>
      <w:r>
        <w:rPr>
          <w:color w:val="auto"/>
          <w:spacing w:val="6"/>
          <w:sz w:val="21"/>
          <w:szCs w:val="21"/>
        </w:rPr>
        <w:t>(壹)提请</w:t>
      </w:r>
      <w:r>
        <w:rPr>
          <w:color w:val="auto"/>
          <w:spacing w:val="6"/>
          <w:sz w:val="21"/>
          <w:szCs w:val="21"/>
          <w:u w:val="single"/>
        </w:rPr>
        <w:t xml:space="preserve">/ </w:t>
      </w:r>
      <w:r>
        <w:rPr>
          <w:color w:val="auto"/>
          <w:spacing w:val="6"/>
          <w:sz w:val="21"/>
          <w:szCs w:val="21"/>
        </w:rPr>
        <w:t>仲裁委员会按照该会仲裁规则进行仲裁，仲裁裁决是终局的，对合同双方均有约束力。 (贰)向有管辖权的人民法院提起诉讼。</w:t>
      </w:r>
    </w:p>
    <w:p w14:paraId="179BE72D">
      <w:pPr>
        <w:pStyle w:val="17"/>
        <w:spacing w:before="0" w:line="360" w:lineRule="auto"/>
        <w:rPr>
          <w:color w:val="auto"/>
          <w:sz w:val="21"/>
          <w:szCs w:val="21"/>
        </w:rPr>
      </w:pPr>
      <w:r>
        <w:rPr>
          <w:color w:val="auto"/>
          <w:spacing w:val="7"/>
          <w:sz w:val="21"/>
          <w:szCs w:val="21"/>
        </w:rPr>
        <w:t>24.3争议评审</w:t>
      </w:r>
    </w:p>
    <w:p w14:paraId="5FBE2477">
      <w:pPr>
        <w:pStyle w:val="17"/>
        <w:tabs>
          <w:tab w:val="clear" w:pos="567"/>
        </w:tabs>
        <w:spacing w:before="0" w:line="360" w:lineRule="auto"/>
        <w:ind w:right="155" w:firstLine="469"/>
        <w:rPr>
          <w:color w:val="auto"/>
          <w:spacing w:val="6"/>
          <w:sz w:val="21"/>
          <w:szCs w:val="21"/>
        </w:rPr>
      </w:pPr>
      <w:r>
        <w:rPr>
          <w:color w:val="auto"/>
          <w:spacing w:val="6"/>
          <w:sz w:val="21"/>
          <w:szCs w:val="21"/>
        </w:rPr>
        <w:t>24.3.4 争议评审组邀请合同双方代表人和有关人员举行调查会的期限：</w:t>
      </w:r>
    </w:p>
    <w:p w14:paraId="280FA245">
      <w:pPr>
        <w:pStyle w:val="17"/>
        <w:tabs>
          <w:tab w:val="clear" w:pos="567"/>
        </w:tabs>
        <w:spacing w:before="0" w:line="360" w:lineRule="auto"/>
        <w:ind w:right="155" w:firstLine="469"/>
        <w:rPr>
          <w:color w:val="auto"/>
          <w:spacing w:val="6"/>
          <w:sz w:val="21"/>
          <w:szCs w:val="21"/>
        </w:rPr>
      </w:pPr>
      <w:r>
        <w:rPr>
          <w:color w:val="auto"/>
          <w:spacing w:val="6"/>
          <w:sz w:val="21"/>
          <w:szCs w:val="21"/>
        </w:rPr>
        <w:t>调查会前15天内</w:t>
      </w:r>
    </w:p>
    <w:p w14:paraId="4738D293">
      <w:pPr>
        <w:pStyle w:val="17"/>
        <w:tabs>
          <w:tab w:val="clear" w:pos="567"/>
        </w:tabs>
        <w:spacing w:before="0" w:line="360" w:lineRule="auto"/>
        <w:ind w:right="155" w:firstLine="469"/>
        <w:rPr>
          <w:color w:val="auto"/>
          <w:spacing w:val="6"/>
          <w:sz w:val="21"/>
          <w:szCs w:val="21"/>
        </w:rPr>
      </w:pPr>
      <w:r>
        <w:rPr>
          <w:color w:val="auto"/>
          <w:spacing w:val="6"/>
          <w:sz w:val="21"/>
          <w:szCs w:val="21"/>
        </w:rPr>
        <w:t>24.3.5 争议评审组在调查会后作出争议评审意见的期限：</w:t>
      </w:r>
    </w:p>
    <w:p w14:paraId="05A11E7F">
      <w:pPr>
        <w:pStyle w:val="17"/>
        <w:tabs>
          <w:tab w:val="clear" w:pos="567"/>
        </w:tabs>
        <w:spacing w:before="0" w:line="360" w:lineRule="auto"/>
        <w:ind w:right="155" w:firstLine="469"/>
        <w:rPr>
          <w:color w:val="auto"/>
          <w:spacing w:val="6"/>
          <w:sz w:val="21"/>
          <w:szCs w:val="21"/>
        </w:rPr>
      </w:pPr>
      <w:r>
        <w:rPr>
          <w:color w:val="auto"/>
          <w:spacing w:val="6"/>
          <w:sz w:val="21"/>
          <w:szCs w:val="21"/>
        </w:rPr>
        <w:t>调查会前15天内</w:t>
      </w:r>
    </w:p>
    <w:p w14:paraId="3860B51F">
      <w:pPr>
        <w:widowControl/>
        <w:jc w:val="left"/>
        <w:rPr>
          <w:color w:val="auto"/>
          <w:spacing w:val="12"/>
          <w:szCs w:val="21"/>
          <w:u w:val="single" w:color="000000"/>
        </w:rPr>
      </w:pPr>
      <w:r>
        <w:rPr>
          <w:color w:val="auto"/>
          <w:spacing w:val="12"/>
          <w:szCs w:val="21"/>
          <w:u w:val="single" w:color="000000"/>
        </w:rPr>
        <w:br w:type="page"/>
      </w:r>
    </w:p>
    <w:p w14:paraId="37196E1F">
      <w:pPr>
        <w:jc w:val="center"/>
        <w:rPr>
          <w:b/>
          <w:color w:val="auto"/>
          <w:sz w:val="32"/>
          <w:szCs w:val="32"/>
        </w:rPr>
      </w:pPr>
      <w:r>
        <w:rPr>
          <w:rFonts w:hint="eastAsia"/>
          <w:b/>
          <w:color w:val="auto"/>
          <w:sz w:val="32"/>
          <w:szCs w:val="32"/>
        </w:rPr>
        <w:t>合同条款通用部分</w:t>
      </w:r>
    </w:p>
    <w:p w14:paraId="5DAF21A9">
      <w:pPr>
        <w:spacing w:line="360" w:lineRule="auto"/>
        <w:jc w:val="center"/>
        <w:rPr>
          <w:rFonts w:ascii="黑体" w:hAnsi="黑体" w:eastAsia="黑体"/>
          <w:color w:val="auto"/>
          <w:sz w:val="28"/>
          <w:szCs w:val="28"/>
        </w:rPr>
      </w:pPr>
    </w:p>
    <w:p w14:paraId="3F5AA862">
      <w:pPr>
        <w:keepNext/>
        <w:keepLines/>
        <w:spacing w:beforeLines="50" w:afterLines="50" w:line="360" w:lineRule="auto"/>
        <w:outlineLvl w:val="1"/>
        <w:rPr>
          <w:rFonts w:ascii="宋体" w:hAnsi="宋体" w:cs="宋体"/>
          <w:color w:val="auto"/>
          <w:sz w:val="28"/>
          <w:szCs w:val="20"/>
        </w:rPr>
      </w:pPr>
      <w:bookmarkStart w:id="680" w:name="_Toc117597468"/>
      <w:bookmarkStart w:id="681" w:name="_Toc486580042"/>
      <w:bookmarkStart w:id="682" w:name="_Toc490222487"/>
      <w:bookmarkStart w:id="683" w:name="_Toc497213718"/>
      <w:bookmarkStart w:id="684" w:name="_Toc489279853"/>
      <w:r>
        <w:rPr>
          <w:rFonts w:ascii="宋体" w:hAnsi="宋体" w:cs="宋体"/>
          <w:color w:val="auto"/>
          <w:sz w:val="28"/>
          <w:szCs w:val="20"/>
        </w:rPr>
        <w:t>1.</w:t>
      </w:r>
      <w:r>
        <w:rPr>
          <w:rFonts w:hint="eastAsia" w:ascii="宋体" w:hAnsi="宋体" w:cs="宋体"/>
          <w:color w:val="auto"/>
          <w:sz w:val="28"/>
          <w:szCs w:val="20"/>
        </w:rPr>
        <w:t>一般约定</w:t>
      </w:r>
      <w:bookmarkEnd w:id="680"/>
      <w:bookmarkEnd w:id="681"/>
      <w:bookmarkEnd w:id="682"/>
      <w:bookmarkEnd w:id="683"/>
      <w:bookmarkEnd w:id="684"/>
    </w:p>
    <w:p w14:paraId="144FF827">
      <w:pPr>
        <w:keepNext/>
        <w:keepLines/>
        <w:spacing w:beforeLines="50" w:afterLines="50" w:line="360" w:lineRule="auto"/>
        <w:outlineLvl w:val="2"/>
        <w:rPr>
          <w:rFonts w:ascii="宋体" w:hAnsi="宋体"/>
          <w:color w:val="auto"/>
          <w:sz w:val="24"/>
          <w:szCs w:val="20"/>
        </w:rPr>
      </w:pPr>
      <w:bookmarkStart w:id="685" w:name="_Toc117597469"/>
      <w:bookmarkStart w:id="686" w:name="_Toc490222488"/>
      <w:bookmarkStart w:id="687" w:name="_Toc489279854"/>
      <w:bookmarkStart w:id="688" w:name="_Toc486580043"/>
      <w:bookmarkStart w:id="689" w:name="_Toc497213719"/>
      <w:r>
        <w:rPr>
          <w:rFonts w:ascii="宋体" w:hAnsi="宋体"/>
          <w:color w:val="auto"/>
          <w:sz w:val="24"/>
          <w:szCs w:val="20"/>
        </w:rPr>
        <w:t xml:space="preserve">1.1  </w:t>
      </w:r>
      <w:r>
        <w:rPr>
          <w:rFonts w:hint="eastAsia" w:ascii="宋体" w:hAnsi="宋体"/>
          <w:color w:val="auto"/>
          <w:sz w:val="24"/>
          <w:szCs w:val="20"/>
        </w:rPr>
        <w:t>词语定义</w:t>
      </w:r>
      <w:bookmarkEnd w:id="685"/>
      <w:bookmarkEnd w:id="686"/>
      <w:bookmarkEnd w:id="687"/>
      <w:bookmarkEnd w:id="688"/>
      <w:bookmarkEnd w:id="689"/>
    </w:p>
    <w:p w14:paraId="4ACAFBCD">
      <w:pPr>
        <w:spacing w:line="360" w:lineRule="auto"/>
        <w:ind w:firstLine="420" w:firstLineChars="200"/>
        <w:rPr>
          <w:rFonts w:ascii="宋体"/>
          <w:color w:val="auto"/>
        </w:rPr>
      </w:pPr>
      <w:r>
        <w:rPr>
          <w:rFonts w:hint="eastAsia" w:ascii="宋体" w:hAnsi="宋体"/>
          <w:color w:val="auto"/>
        </w:rPr>
        <w:t>合同条款通用部分、合同条款专用部分中的下列词语应具有本款所赋予的含义。</w:t>
      </w:r>
    </w:p>
    <w:p w14:paraId="66CCDA1E">
      <w:pPr>
        <w:spacing w:line="360" w:lineRule="auto"/>
        <w:ind w:firstLine="420" w:firstLineChars="200"/>
        <w:rPr>
          <w:rFonts w:ascii="宋体"/>
          <w:color w:val="auto"/>
        </w:rPr>
      </w:pPr>
      <w:r>
        <w:rPr>
          <w:rFonts w:ascii="宋体" w:hAnsi="宋体"/>
          <w:color w:val="auto"/>
        </w:rPr>
        <w:t xml:space="preserve">1.1.1  </w:t>
      </w:r>
      <w:r>
        <w:rPr>
          <w:rFonts w:hint="eastAsia" w:ascii="宋体" w:hAnsi="宋体"/>
          <w:color w:val="auto"/>
        </w:rPr>
        <w:t>合同</w:t>
      </w:r>
    </w:p>
    <w:p w14:paraId="05623CD3">
      <w:pPr>
        <w:spacing w:line="360" w:lineRule="auto"/>
        <w:ind w:firstLine="630" w:firstLineChars="300"/>
        <w:rPr>
          <w:rFonts w:ascii="宋体"/>
          <w:color w:val="auto"/>
        </w:rPr>
      </w:pPr>
      <w:r>
        <w:rPr>
          <w:rFonts w:ascii="宋体" w:hAnsi="宋体"/>
          <w:color w:val="auto"/>
        </w:rPr>
        <w:t xml:space="preserve">1.1.1.1  </w:t>
      </w:r>
      <w:r>
        <w:rPr>
          <w:rFonts w:hint="eastAsia" w:ascii="宋体" w:hAnsi="宋体"/>
          <w:color w:val="auto"/>
        </w:rPr>
        <w:t>合同文件（或称合同）：指合同协议书、中标通知书、投标函及投标函附录、合同条款专用部分、合同条款通用部分、技术标准和要求、图纸、已标价工程量清单，以及其他合同文件。</w:t>
      </w:r>
    </w:p>
    <w:p w14:paraId="4B5CBD4F">
      <w:pPr>
        <w:spacing w:line="360" w:lineRule="auto"/>
        <w:ind w:firstLine="630" w:firstLineChars="300"/>
        <w:rPr>
          <w:rFonts w:ascii="宋体"/>
          <w:color w:val="auto"/>
        </w:rPr>
      </w:pPr>
      <w:r>
        <w:rPr>
          <w:rFonts w:ascii="宋体" w:hAnsi="宋体"/>
          <w:color w:val="auto"/>
        </w:rPr>
        <w:t xml:space="preserve">1.1.1.2  </w:t>
      </w:r>
      <w:r>
        <w:rPr>
          <w:rFonts w:hint="eastAsia" w:ascii="宋体" w:hAnsi="宋体"/>
          <w:color w:val="auto"/>
        </w:rPr>
        <w:t>合同协议书：指第</w:t>
      </w:r>
      <w:r>
        <w:rPr>
          <w:rFonts w:ascii="宋体" w:hAnsi="宋体"/>
          <w:color w:val="auto"/>
        </w:rPr>
        <w:t>1.5</w:t>
      </w:r>
      <w:r>
        <w:rPr>
          <w:rFonts w:hint="eastAsia" w:ascii="宋体" w:hAnsi="宋体"/>
          <w:color w:val="auto"/>
        </w:rPr>
        <w:t>款所指的合同协议书。</w:t>
      </w:r>
    </w:p>
    <w:p w14:paraId="6F1C4F4D">
      <w:pPr>
        <w:spacing w:line="360" w:lineRule="auto"/>
        <w:ind w:firstLine="630" w:firstLineChars="300"/>
        <w:rPr>
          <w:rFonts w:ascii="宋体"/>
          <w:color w:val="auto"/>
        </w:rPr>
      </w:pPr>
      <w:r>
        <w:rPr>
          <w:rFonts w:ascii="宋体" w:hAnsi="宋体"/>
          <w:color w:val="auto"/>
        </w:rPr>
        <w:t xml:space="preserve">1.1.1.3  </w:t>
      </w:r>
      <w:r>
        <w:rPr>
          <w:rFonts w:hint="eastAsia" w:ascii="宋体" w:hAnsi="宋体"/>
          <w:color w:val="auto"/>
        </w:rPr>
        <w:t>中标通知书：指发包人通知承包人中标的函件。</w:t>
      </w:r>
    </w:p>
    <w:p w14:paraId="1B37CDF7">
      <w:pPr>
        <w:spacing w:line="360" w:lineRule="auto"/>
        <w:ind w:firstLine="630" w:firstLineChars="300"/>
        <w:rPr>
          <w:rFonts w:ascii="宋体"/>
          <w:color w:val="auto"/>
        </w:rPr>
      </w:pPr>
      <w:r>
        <w:rPr>
          <w:rFonts w:ascii="宋体" w:hAnsi="宋体"/>
          <w:color w:val="auto"/>
        </w:rPr>
        <w:t xml:space="preserve">1.1.1.4  </w:t>
      </w:r>
      <w:r>
        <w:rPr>
          <w:rFonts w:hint="eastAsia" w:ascii="宋体" w:hAnsi="宋体"/>
          <w:color w:val="auto"/>
        </w:rPr>
        <w:t>投标函：指构成合同文件组成部分的由承包人填写并签署的投标函。</w:t>
      </w:r>
    </w:p>
    <w:p w14:paraId="58D4B359">
      <w:pPr>
        <w:spacing w:line="360" w:lineRule="auto"/>
        <w:ind w:firstLine="630" w:firstLineChars="300"/>
        <w:rPr>
          <w:rFonts w:ascii="宋体"/>
          <w:color w:val="auto"/>
        </w:rPr>
      </w:pPr>
      <w:r>
        <w:rPr>
          <w:rFonts w:ascii="宋体" w:hAnsi="宋体"/>
          <w:color w:val="auto"/>
        </w:rPr>
        <w:t xml:space="preserve">1.1.1.5  </w:t>
      </w:r>
      <w:r>
        <w:rPr>
          <w:rFonts w:hint="eastAsia" w:ascii="宋体" w:hAnsi="宋体"/>
          <w:color w:val="auto"/>
        </w:rPr>
        <w:t>投标函附录：指附在投标函后构成合同文件的投标函附录。</w:t>
      </w:r>
    </w:p>
    <w:p w14:paraId="77A10FF5">
      <w:pPr>
        <w:spacing w:line="360" w:lineRule="auto"/>
        <w:ind w:firstLine="630" w:firstLineChars="300"/>
        <w:rPr>
          <w:rFonts w:ascii="宋体"/>
          <w:color w:val="auto"/>
        </w:rPr>
      </w:pPr>
      <w:r>
        <w:rPr>
          <w:rFonts w:ascii="宋体" w:hAnsi="宋体"/>
          <w:color w:val="auto"/>
        </w:rPr>
        <w:t xml:space="preserve">1.1.1.6  </w:t>
      </w:r>
      <w:r>
        <w:rPr>
          <w:rFonts w:hint="eastAsia" w:ascii="宋体" w:hAnsi="宋体"/>
          <w:color w:val="auto"/>
        </w:rPr>
        <w:t>合同条款：指构成合同文件组成部分的合同条款通用部分和（或）合同条款专用部分。</w:t>
      </w:r>
    </w:p>
    <w:p w14:paraId="6CDA5A47">
      <w:pPr>
        <w:spacing w:line="360" w:lineRule="auto"/>
        <w:ind w:firstLine="630" w:firstLineChars="300"/>
        <w:rPr>
          <w:rFonts w:ascii="宋体"/>
          <w:color w:val="auto"/>
        </w:rPr>
      </w:pPr>
      <w:r>
        <w:rPr>
          <w:rFonts w:ascii="宋体" w:hAnsi="宋体"/>
          <w:color w:val="auto"/>
        </w:rPr>
        <w:t xml:space="preserve">1.1.1.7  </w:t>
      </w:r>
      <w:r>
        <w:rPr>
          <w:rFonts w:hint="eastAsia" w:ascii="宋体" w:hAnsi="宋体"/>
          <w:color w:val="auto"/>
        </w:rPr>
        <w:t>技术标准和要求：指构成合同文件组成部分的名为技术标准和要求的文件，包括合同双方当事人约定对其所作的修改或补充。</w:t>
      </w:r>
    </w:p>
    <w:p w14:paraId="1FA07A0C">
      <w:pPr>
        <w:spacing w:line="360" w:lineRule="auto"/>
        <w:ind w:firstLine="630" w:firstLineChars="300"/>
        <w:rPr>
          <w:rFonts w:ascii="宋体"/>
          <w:color w:val="auto"/>
        </w:rPr>
      </w:pPr>
      <w:r>
        <w:rPr>
          <w:rFonts w:ascii="宋体" w:hAnsi="宋体"/>
          <w:color w:val="auto"/>
        </w:rPr>
        <w:t xml:space="preserve">1.1.1.8  </w:t>
      </w:r>
      <w:r>
        <w:rPr>
          <w:rFonts w:hint="eastAsia" w:ascii="宋体" w:hAnsi="宋体"/>
          <w:color w:val="auto"/>
        </w:rPr>
        <w:t>图纸：指包含在合同中的工程图纸，以及由发包人按合同约定提供的任何补充和修改的图纸，包括配套的说明。</w:t>
      </w:r>
    </w:p>
    <w:p w14:paraId="3DF0743C">
      <w:pPr>
        <w:spacing w:line="360" w:lineRule="auto"/>
        <w:ind w:firstLine="630" w:firstLineChars="300"/>
        <w:rPr>
          <w:rFonts w:ascii="宋体"/>
          <w:color w:val="auto"/>
        </w:rPr>
      </w:pPr>
      <w:r>
        <w:rPr>
          <w:rFonts w:ascii="宋体" w:hAnsi="宋体"/>
          <w:color w:val="auto"/>
        </w:rPr>
        <w:t xml:space="preserve">1.1.1.9  </w:t>
      </w:r>
      <w:r>
        <w:rPr>
          <w:rFonts w:hint="eastAsia" w:ascii="宋体" w:hAnsi="宋体"/>
          <w:color w:val="auto"/>
        </w:rPr>
        <w:t>已标价工程量清单：指构成合同文件组成部分的由承包人按照规定的格式和要求填写并标明价格的工程量清单。</w:t>
      </w:r>
    </w:p>
    <w:p w14:paraId="32B3A94C">
      <w:pPr>
        <w:spacing w:line="360" w:lineRule="auto"/>
        <w:ind w:firstLine="630" w:firstLineChars="300"/>
        <w:rPr>
          <w:rFonts w:ascii="宋体"/>
          <w:color w:val="auto"/>
        </w:rPr>
      </w:pPr>
      <w:r>
        <w:rPr>
          <w:rFonts w:ascii="宋体" w:hAnsi="宋体"/>
          <w:color w:val="auto"/>
        </w:rPr>
        <w:t xml:space="preserve">1.1.1.10  </w:t>
      </w:r>
      <w:r>
        <w:rPr>
          <w:rFonts w:hint="eastAsia" w:ascii="宋体" w:hAnsi="宋体"/>
          <w:color w:val="auto"/>
        </w:rPr>
        <w:t>其他合同文件：指经合同双方当事人确认构成合同文件的其他文件。</w:t>
      </w:r>
    </w:p>
    <w:p w14:paraId="517B12F2">
      <w:pPr>
        <w:spacing w:line="360" w:lineRule="auto"/>
        <w:ind w:firstLine="420" w:firstLineChars="200"/>
        <w:rPr>
          <w:rFonts w:ascii="宋体"/>
          <w:color w:val="auto"/>
        </w:rPr>
      </w:pPr>
      <w:r>
        <w:rPr>
          <w:rFonts w:ascii="宋体" w:hAnsi="宋体"/>
          <w:color w:val="auto"/>
        </w:rPr>
        <w:t xml:space="preserve">1.1.2  </w:t>
      </w:r>
      <w:r>
        <w:rPr>
          <w:rFonts w:hint="eastAsia" w:ascii="宋体" w:hAnsi="宋体"/>
          <w:color w:val="auto"/>
        </w:rPr>
        <w:t>合同当事人和人员</w:t>
      </w:r>
    </w:p>
    <w:p w14:paraId="7FE960A2">
      <w:pPr>
        <w:spacing w:line="360" w:lineRule="auto"/>
        <w:ind w:firstLine="630" w:firstLineChars="300"/>
        <w:rPr>
          <w:rFonts w:ascii="宋体"/>
          <w:color w:val="auto"/>
        </w:rPr>
      </w:pPr>
      <w:r>
        <w:rPr>
          <w:rFonts w:ascii="宋体" w:hAnsi="宋体"/>
          <w:color w:val="auto"/>
        </w:rPr>
        <w:t xml:space="preserve">1.1.2.1  </w:t>
      </w:r>
      <w:r>
        <w:rPr>
          <w:rFonts w:hint="eastAsia" w:ascii="宋体" w:hAnsi="宋体"/>
          <w:color w:val="auto"/>
        </w:rPr>
        <w:t>合同当事人：指发包人和（或）承包人。</w:t>
      </w:r>
    </w:p>
    <w:p w14:paraId="1F882D04">
      <w:pPr>
        <w:spacing w:line="360" w:lineRule="auto"/>
        <w:ind w:firstLine="630" w:firstLineChars="300"/>
        <w:rPr>
          <w:rFonts w:ascii="宋体"/>
          <w:color w:val="auto"/>
        </w:rPr>
      </w:pPr>
      <w:r>
        <w:rPr>
          <w:rFonts w:ascii="宋体" w:hAnsi="宋体"/>
          <w:color w:val="auto"/>
        </w:rPr>
        <w:t xml:space="preserve">1.1.2.2  </w:t>
      </w:r>
      <w:r>
        <w:rPr>
          <w:rFonts w:hint="eastAsia" w:ascii="宋体" w:hAnsi="宋体"/>
          <w:color w:val="auto"/>
        </w:rPr>
        <w:t>发包人：指合同协议书中约定，具有工程发包主体资格和承诺按照合同约定的条件、期限和方式向承包人支付工程价款的当事人，以及取得该当事人资格的合法继承人。发包人名称</w:t>
      </w:r>
      <w:r>
        <w:rPr>
          <w:rFonts w:hint="eastAsia" w:ascii="黑体" w:hAnsi="黑体" w:eastAsia="黑体"/>
          <w:color w:val="auto"/>
        </w:rPr>
        <w:t>见合同条款专用部分。</w:t>
      </w:r>
    </w:p>
    <w:p w14:paraId="40597D2A">
      <w:pPr>
        <w:spacing w:line="360" w:lineRule="auto"/>
        <w:ind w:firstLine="630" w:firstLineChars="300"/>
        <w:rPr>
          <w:rFonts w:ascii="宋体"/>
          <w:color w:val="auto"/>
        </w:rPr>
      </w:pPr>
      <w:r>
        <w:rPr>
          <w:rFonts w:ascii="宋体" w:hAnsi="宋体"/>
          <w:color w:val="auto"/>
        </w:rPr>
        <w:t xml:space="preserve">1.1.2.3  </w:t>
      </w:r>
      <w:r>
        <w:rPr>
          <w:rFonts w:hint="eastAsia" w:ascii="宋体" w:hAnsi="宋体"/>
          <w:color w:val="auto"/>
        </w:rPr>
        <w:t>承包人：指合同协议书中约定，具有合同工程承包主体资格，并承诺按照合同约定进行施工、竣工、交付并承担质量缺陷保修责任的当事人，以及取得该当事人资格的合法继承人。承包人名称</w:t>
      </w:r>
      <w:r>
        <w:rPr>
          <w:rFonts w:hint="eastAsia" w:ascii="黑体" w:hAnsi="黑体" w:eastAsia="黑体"/>
          <w:color w:val="auto"/>
        </w:rPr>
        <w:t>见合同条款专用部分。</w:t>
      </w:r>
    </w:p>
    <w:p w14:paraId="73D333F5">
      <w:pPr>
        <w:spacing w:line="360" w:lineRule="auto"/>
        <w:ind w:firstLine="630" w:firstLineChars="300"/>
        <w:rPr>
          <w:rFonts w:ascii="宋体"/>
          <w:color w:val="auto"/>
        </w:rPr>
      </w:pPr>
      <w:r>
        <w:rPr>
          <w:rFonts w:ascii="宋体" w:hAnsi="宋体"/>
          <w:color w:val="auto"/>
        </w:rPr>
        <w:t xml:space="preserve">1.1.2.4  </w:t>
      </w:r>
      <w:r>
        <w:rPr>
          <w:rFonts w:hint="eastAsia" w:ascii="宋体" w:hAnsi="宋体"/>
          <w:color w:val="auto"/>
        </w:rPr>
        <w:t>承包人项目经理：指承包人派驻施工场地的全权负责人。</w:t>
      </w:r>
    </w:p>
    <w:p w14:paraId="12CDBA67">
      <w:pPr>
        <w:spacing w:line="360" w:lineRule="auto"/>
        <w:ind w:firstLine="630" w:firstLineChars="300"/>
        <w:rPr>
          <w:rFonts w:ascii="宋体"/>
          <w:color w:val="auto"/>
        </w:rPr>
      </w:pPr>
      <w:r>
        <w:rPr>
          <w:rFonts w:ascii="宋体" w:hAnsi="宋体"/>
          <w:color w:val="auto"/>
        </w:rPr>
        <w:t xml:space="preserve">1.1.2.5  </w:t>
      </w:r>
      <w:r>
        <w:rPr>
          <w:rFonts w:hint="eastAsia" w:ascii="宋体" w:hAnsi="宋体"/>
          <w:color w:val="auto"/>
        </w:rPr>
        <w:t>分包人：指从承包人处分包合同中某一部分工程，并与其签订分包合同的分包人。</w:t>
      </w:r>
    </w:p>
    <w:p w14:paraId="0FF24338">
      <w:pPr>
        <w:spacing w:line="360" w:lineRule="auto"/>
        <w:ind w:firstLine="630" w:firstLineChars="300"/>
        <w:rPr>
          <w:rFonts w:ascii="宋体"/>
          <w:color w:val="auto"/>
        </w:rPr>
      </w:pPr>
      <w:r>
        <w:rPr>
          <w:rFonts w:ascii="宋体" w:hAnsi="宋体"/>
          <w:color w:val="auto"/>
        </w:rPr>
        <w:t xml:space="preserve">1.1.2.6  </w:t>
      </w:r>
      <w:r>
        <w:rPr>
          <w:rFonts w:hint="eastAsia" w:ascii="宋体" w:hAnsi="宋体"/>
          <w:color w:val="auto"/>
        </w:rPr>
        <w:t>监理人：指发包人委托的对合同履行实施管理的法人或其他组织。监理人名称</w:t>
      </w:r>
      <w:r>
        <w:rPr>
          <w:rFonts w:hint="eastAsia" w:ascii="黑体" w:hAnsi="黑体" w:eastAsia="黑体"/>
          <w:color w:val="auto"/>
        </w:rPr>
        <w:t>见合同条款专用部分。</w:t>
      </w:r>
    </w:p>
    <w:p w14:paraId="112BB5F2">
      <w:pPr>
        <w:spacing w:line="360" w:lineRule="auto"/>
        <w:ind w:firstLine="630" w:firstLineChars="300"/>
        <w:rPr>
          <w:rFonts w:ascii="宋体"/>
          <w:color w:val="auto"/>
        </w:rPr>
      </w:pPr>
      <w:r>
        <w:rPr>
          <w:rFonts w:ascii="宋体" w:hAnsi="宋体"/>
          <w:color w:val="auto"/>
        </w:rPr>
        <w:t xml:space="preserve">1.1.2.7  </w:t>
      </w:r>
      <w:r>
        <w:rPr>
          <w:rFonts w:hint="eastAsia" w:ascii="宋体" w:hAnsi="宋体"/>
          <w:color w:val="auto"/>
        </w:rPr>
        <w:t>总监理工程师（总监）：指由监理人委派常驻施工场地对合同履行实施管理的全权负责人。</w:t>
      </w:r>
    </w:p>
    <w:p w14:paraId="1E9B9A50">
      <w:pPr>
        <w:spacing w:line="360" w:lineRule="auto"/>
        <w:ind w:firstLine="630" w:firstLineChars="300"/>
        <w:rPr>
          <w:rFonts w:ascii="宋体"/>
          <w:color w:val="auto"/>
        </w:rPr>
      </w:pPr>
      <w:r>
        <w:rPr>
          <w:rFonts w:ascii="宋体" w:hAnsi="宋体"/>
          <w:color w:val="auto"/>
        </w:rPr>
        <w:t xml:space="preserve">1.1.2.8  </w:t>
      </w:r>
      <w:r>
        <w:rPr>
          <w:rFonts w:hint="eastAsia" w:ascii="宋体" w:hAnsi="宋体"/>
          <w:color w:val="auto"/>
        </w:rPr>
        <w:t>发包人代表：指由发包人指定的派驻施工场地（现场）的全权代表。发包人代表相关信息</w:t>
      </w:r>
      <w:r>
        <w:rPr>
          <w:rFonts w:hint="eastAsia" w:ascii="黑体" w:hAnsi="黑体" w:eastAsia="黑体"/>
          <w:color w:val="auto"/>
        </w:rPr>
        <w:t>见合同条款专用部分。</w:t>
      </w:r>
    </w:p>
    <w:p w14:paraId="5AA4296A">
      <w:pPr>
        <w:spacing w:line="360" w:lineRule="auto"/>
        <w:ind w:firstLine="630" w:firstLineChars="300"/>
        <w:rPr>
          <w:rFonts w:ascii="宋体"/>
          <w:color w:val="auto"/>
        </w:rPr>
      </w:pPr>
      <w:r>
        <w:rPr>
          <w:rFonts w:ascii="宋体" w:hAnsi="宋体"/>
          <w:color w:val="auto"/>
        </w:rPr>
        <w:t xml:space="preserve">1.1.2.9  </w:t>
      </w:r>
      <w:r>
        <w:rPr>
          <w:rFonts w:hint="eastAsia" w:ascii="宋体" w:hAnsi="宋体"/>
          <w:color w:val="auto"/>
        </w:rPr>
        <w:t>专业分包人：指根据合同条款第</w:t>
      </w:r>
      <w:r>
        <w:rPr>
          <w:rFonts w:ascii="宋体" w:hAnsi="宋体"/>
          <w:color w:val="auto"/>
        </w:rPr>
        <w:t>15.8.1</w:t>
      </w:r>
      <w:r>
        <w:rPr>
          <w:rFonts w:hint="eastAsia" w:ascii="宋体" w:hAnsi="宋体"/>
          <w:color w:val="auto"/>
        </w:rPr>
        <w:t>项的约定，由发包人和承包人以招标方式选择的分包人。</w:t>
      </w:r>
    </w:p>
    <w:p w14:paraId="1C50ABC3">
      <w:pPr>
        <w:spacing w:line="360" w:lineRule="auto"/>
        <w:ind w:firstLine="630" w:firstLineChars="300"/>
        <w:rPr>
          <w:rFonts w:ascii="宋体"/>
          <w:color w:val="auto"/>
        </w:rPr>
      </w:pPr>
      <w:r>
        <w:rPr>
          <w:rFonts w:ascii="宋体" w:hAnsi="宋体"/>
          <w:color w:val="auto"/>
        </w:rPr>
        <w:t xml:space="preserve">1.1.2.10  </w:t>
      </w:r>
      <w:r>
        <w:rPr>
          <w:rFonts w:hint="eastAsia" w:ascii="宋体" w:hAnsi="宋体"/>
          <w:color w:val="auto"/>
        </w:rPr>
        <w:t>专项供应商：指根据合同条款第</w:t>
      </w:r>
      <w:r>
        <w:rPr>
          <w:rFonts w:ascii="宋体" w:hAnsi="宋体"/>
          <w:color w:val="auto"/>
        </w:rPr>
        <w:t>15.8.1</w:t>
      </w:r>
      <w:r>
        <w:rPr>
          <w:rFonts w:hint="eastAsia" w:ascii="宋体" w:hAnsi="宋体"/>
          <w:color w:val="auto"/>
        </w:rPr>
        <w:t>项的约定，由发包人和承包人以招标方式选择的供应商。</w:t>
      </w:r>
    </w:p>
    <w:p w14:paraId="20F97E57">
      <w:pPr>
        <w:spacing w:line="360" w:lineRule="auto"/>
        <w:ind w:firstLine="630" w:firstLineChars="300"/>
        <w:rPr>
          <w:rFonts w:ascii="宋体"/>
          <w:color w:val="auto"/>
        </w:rPr>
      </w:pPr>
      <w:r>
        <w:rPr>
          <w:rFonts w:ascii="宋体" w:hAnsi="宋体"/>
          <w:color w:val="auto"/>
        </w:rPr>
        <w:t xml:space="preserve">1.1.2.11  </w:t>
      </w:r>
      <w:r>
        <w:rPr>
          <w:rFonts w:hint="eastAsia" w:ascii="宋体" w:hAnsi="宋体"/>
          <w:color w:val="auto"/>
        </w:rPr>
        <w:t>独立承包人：指与发包人直接订立工程承包合同，负责实施与工程有关的其他工作的当事人。</w:t>
      </w:r>
    </w:p>
    <w:p w14:paraId="721C3CDB">
      <w:pPr>
        <w:spacing w:line="360" w:lineRule="auto"/>
        <w:ind w:firstLine="420" w:firstLineChars="200"/>
        <w:rPr>
          <w:rFonts w:ascii="宋体"/>
          <w:color w:val="auto"/>
        </w:rPr>
      </w:pPr>
      <w:r>
        <w:rPr>
          <w:rFonts w:ascii="宋体" w:hAnsi="宋体"/>
          <w:color w:val="auto"/>
        </w:rPr>
        <w:t xml:space="preserve">1.1.3  </w:t>
      </w:r>
      <w:r>
        <w:rPr>
          <w:rFonts w:hint="eastAsia" w:ascii="宋体" w:hAnsi="宋体"/>
          <w:color w:val="auto"/>
        </w:rPr>
        <w:t>工程和设备</w:t>
      </w:r>
    </w:p>
    <w:p w14:paraId="6AC5B137">
      <w:pPr>
        <w:spacing w:line="360" w:lineRule="auto"/>
        <w:ind w:firstLine="630" w:firstLineChars="300"/>
        <w:rPr>
          <w:rFonts w:ascii="宋体"/>
          <w:color w:val="auto"/>
        </w:rPr>
      </w:pPr>
      <w:r>
        <w:rPr>
          <w:rFonts w:ascii="宋体" w:hAnsi="宋体"/>
          <w:color w:val="auto"/>
        </w:rPr>
        <w:t xml:space="preserve">1.1.3.1  </w:t>
      </w:r>
      <w:r>
        <w:rPr>
          <w:rFonts w:hint="eastAsia" w:ascii="宋体" w:hAnsi="宋体"/>
          <w:color w:val="auto"/>
        </w:rPr>
        <w:t>工程：指永久工程和（或）临时工程。</w:t>
      </w:r>
    </w:p>
    <w:p w14:paraId="39FFBCF2">
      <w:pPr>
        <w:spacing w:line="360" w:lineRule="auto"/>
        <w:ind w:firstLine="630" w:firstLineChars="300"/>
        <w:rPr>
          <w:rFonts w:ascii="宋体"/>
          <w:color w:val="auto"/>
        </w:rPr>
      </w:pPr>
      <w:r>
        <w:rPr>
          <w:rFonts w:ascii="宋体" w:hAnsi="宋体"/>
          <w:color w:val="auto"/>
        </w:rPr>
        <w:t xml:space="preserve">1.1.3.2  </w:t>
      </w:r>
      <w:r>
        <w:rPr>
          <w:rFonts w:hint="eastAsia" w:ascii="宋体" w:hAnsi="宋体"/>
          <w:color w:val="auto"/>
        </w:rPr>
        <w:t>永久工程：指按照合同约定所需建造、完成并移交给发包人的工程，包括工程设备。永久工程的约定</w:t>
      </w:r>
      <w:r>
        <w:rPr>
          <w:rFonts w:hint="eastAsia" w:ascii="黑体" w:hAnsi="黑体" w:eastAsia="黑体"/>
          <w:color w:val="auto"/>
        </w:rPr>
        <w:t>见合同条款专用部分。</w:t>
      </w:r>
    </w:p>
    <w:p w14:paraId="40B4FFF5">
      <w:pPr>
        <w:spacing w:line="360" w:lineRule="auto"/>
        <w:ind w:firstLine="630" w:firstLineChars="300"/>
        <w:rPr>
          <w:rFonts w:ascii="宋体"/>
          <w:color w:val="auto"/>
        </w:rPr>
      </w:pPr>
      <w:r>
        <w:rPr>
          <w:rFonts w:ascii="宋体" w:hAnsi="宋体"/>
          <w:color w:val="auto"/>
        </w:rPr>
        <w:t xml:space="preserve">1.1.3.3  </w:t>
      </w:r>
      <w:r>
        <w:rPr>
          <w:rFonts w:hint="eastAsia" w:ascii="宋体" w:hAnsi="宋体"/>
          <w:color w:val="auto"/>
        </w:rPr>
        <w:t>临时工程：指为完成合同约定的永久工程所修建的各类临时性工程，不包括施工设备。临时工程的约定</w:t>
      </w:r>
      <w:r>
        <w:rPr>
          <w:rFonts w:hint="eastAsia" w:ascii="黑体" w:hAnsi="黑体" w:eastAsia="黑体"/>
          <w:color w:val="auto"/>
        </w:rPr>
        <w:t>见合同条款专用部分。</w:t>
      </w:r>
    </w:p>
    <w:p w14:paraId="42CC08F5">
      <w:pPr>
        <w:spacing w:line="360" w:lineRule="auto"/>
        <w:ind w:firstLine="630" w:firstLineChars="300"/>
        <w:rPr>
          <w:rFonts w:ascii="宋体"/>
          <w:color w:val="auto"/>
        </w:rPr>
      </w:pPr>
      <w:r>
        <w:rPr>
          <w:rFonts w:ascii="宋体" w:hAnsi="宋体"/>
          <w:color w:val="auto"/>
        </w:rPr>
        <w:t xml:space="preserve">1.1.3.4  </w:t>
      </w:r>
      <w:r>
        <w:rPr>
          <w:rFonts w:hint="eastAsia" w:ascii="宋体" w:hAnsi="宋体"/>
          <w:color w:val="auto"/>
        </w:rPr>
        <w:t>单位工程：指具有相对独立的设计文件，能够独立组织施工并能形成独立使用功能的永久工程的组成部分。</w:t>
      </w:r>
    </w:p>
    <w:p w14:paraId="0BB9E4C8">
      <w:pPr>
        <w:spacing w:line="360" w:lineRule="auto"/>
        <w:ind w:firstLine="630" w:firstLineChars="300"/>
        <w:rPr>
          <w:rFonts w:ascii="宋体"/>
          <w:color w:val="auto"/>
        </w:rPr>
      </w:pPr>
      <w:r>
        <w:rPr>
          <w:rFonts w:ascii="宋体" w:hAnsi="宋体"/>
          <w:color w:val="auto"/>
        </w:rPr>
        <w:t xml:space="preserve">1.1.3.5  </w:t>
      </w:r>
      <w:r>
        <w:rPr>
          <w:rFonts w:hint="eastAsia" w:ascii="宋体" w:hAnsi="宋体"/>
          <w:color w:val="auto"/>
        </w:rPr>
        <w:t>工程设备：指构成或计划构成永久工程一部分的机电设备、金属结构设备、仪器装置及其他类似的设备和装置。</w:t>
      </w:r>
    </w:p>
    <w:p w14:paraId="0600F24E">
      <w:pPr>
        <w:spacing w:line="360" w:lineRule="auto"/>
        <w:ind w:firstLine="630" w:firstLineChars="300"/>
        <w:rPr>
          <w:rFonts w:ascii="宋体"/>
          <w:color w:val="auto"/>
        </w:rPr>
      </w:pPr>
      <w:r>
        <w:rPr>
          <w:rFonts w:ascii="宋体" w:hAnsi="宋体"/>
          <w:color w:val="auto"/>
        </w:rPr>
        <w:t xml:space="preserve">1.1.3.6  </w:t>
      </w:r>
      <w:r>
        <w:rPr>
          <w:rFonts w:hint="eastAsia" w:ascii="宋体" w:hAnsi="宋体"/>
          <w:color w:val="auto"/>
        </w:rPr>
        <w:t>施工设备：指为完成合同约定的各项工作所需的设备、器具和其他物品，不包括临时工程和材料。</w:t>
      </w:r>
    </w:p>
    <w:p w14:paraId="0D9379AE">
      <w:pPr>
        <w:spacing w:line="360" w:lineRule="auto"/>
        <w:ind w:firstLine="630" w:firstLineChars="300"/>
        <w:rPr>
          <w:rFonts w:ascii="宋体"/>
          <w:color w:val="auto"/>
        </w:rPr>
      </w:pPr>
      <w:r>
        <w:rPr>
          <w:rFonts w:ascii="宋体" w:hAnsi="宋体"/>
          <w:color w:val="auto"/>
        </w:rPr>
        <w:t xml:space="preserve">1.1.3.7  </w:t>
      </w:r>
      <w:r>
        <w:rPr>
          <w:rFonts w:hint="eastAsia" w:ascii="宋体" w:hAnsi="宋体"/>
          <w:color w:val="auto"/>
        </w:rPr>
        <w:t>临时设施：指为完成合同约定的各项工作所服务的临时性生产和生活设施。</w:t>
      </w:r>
    </w:p>
    <w:p w14:paraId="5BBB13E4">
      <w:pPr>
        <w:spacing w:line="360" w:lineRule="auto"/>
        <w:ind w:firstLine="630" w:firstLineChars="300"/>
        <w:rPr>
          <w:rFonts w:ascii="宋体"/>
          <w:color w:val="auto"/>
        </w:rPr>
      </w:pPr>
      <w:r>
        <w:rPr>
          <w:rFonts w:ascii="宋体" w:hAnsi="宋体"/>
          <w:color w:val="auto"/>
        </w:rPr>
        <w:t xml:space="preserve">1.1.3.8  </w:t>
      </w:r>
      <w:r>
        <w:rPr>
          <w:rFonts w:hint="eastAsia" w:ascii="宋体" w:hAnsi="宋体"/>
          <w:color w:val="auto"/>
        </w:rPr>
        <w:t>承包人设备：指承包人自带的施工设备。</w:t>
      </w:r>
    </w:p>
    <w:p w14:paraId="4923010E">
      <w:pPr>
        <w:spacing w:line="360" w:lineRule="auto"/>
        <w:ind w:firstLine="630" w:firstLineChars="300"/>
        <w:rPr>
          <w:rFonts w:ascii="宋体"/>
          <w:color w:val="auto"/>
        </w:rPr>
      </w:pPr>
      <w:r>
        <w:rPr>
          <w:rFonts w:ascii="宋体" w:hAnsi="宋体"/>
          <w:color w:val="auto"/>
        </w:rPr>
        <w:t xml:space="preserve">1.1.3.9  </w:t>
      </w:r>
      <w:r>
        <w:rPr>
          <w:rFonts w:hint="eastAsia" w:ascii="宋体" w:hAnsi="宋体"/>
          <w:color w:val="auto"/>
        </w:rPr>
        <w:t>施工场地（或称工地、现场）：指用于合同工程施工的场所，以及在合同中指定作为施工场地组成部分的其他场所，包括永久占地和临时占地。</w:t>
      </w:r>
    </w:p>
    <w:p w14:paraId="535F302F">
      <w:pPr>
        <w:spacing w:line="360" w:lineRule="auto"/>
        <w:ind w:firstLine="630" w:firstLineChars="300"/>
        <w:rPr>
          <w:rFonts w:ascii="宋体"/>
          <w:color w:val="auto"/>
        </w:rPr>
      </w:pPr>
      <w:r>
        <w:rPr>
          <w:rFonts w:ascii="宋体" w:hAnsi="宋体"/>
          <w:color w:val="auto"/>
        </w:rPr>
        <w:t xml:space="preserve">1.1.3.10  </w:t>
      </w:r>
      <w:r>
        <w:rPr>
          <w:rFonts w:hint="eastAsia" w:ascii="宋体" w:hAnsi="宋体"/>
          <w:color w:val="auto"/>
        </w:rPr>
        <w:t>永久占地：指为实施合同工程需永久占用的土地。永久占地的约定</w:t>
      </w:r>
      <w:r>
        <w:rPr>
          <w:rFonts w:hint="eastAsia" w:ascii="黑体" w:hAnsi="黑体" w:eastAsia="黑体"/>
          <w:color w:val="auto"/>
        </w:rPr>
        <w:t>见合同条款专用部分。</w:t>
      </w:r>
    </w:p>
    <w:p w14:paraId="75152A85">
      <w:pPr>
        <w:spacing w:line="360" w:lineRule="auto"/>
        <w:ind w:firstLine="630" w:firstLineChars="300"/>
        <w:rPr>
          <w:rFonts w:ascii="宋体"/>
          <w:color w:val="auto"/>
        </w:rPr>
      </w:pPr>
      <w:r>
        <w:rPr>
          <w:rFonts w:ascii="宋体" w:hAnsi="宋体"/>
          <w:color w:val="auto"/>
        </w:rPr>
        <w:t xml:space="preserve">1.1.3.11  </w:t>
      </w:r>
      <w:r>
        <w:rPr>
          <w:rFonts w:hint="eastAsia" w:ascii="宋体" w:hAnsi="宋体"/>
          <w:color w:val="auto"/>
        </w:rPr>
        <w:t>临时占地：指为实施合同工程需临时占用的土地。临时占地的约定</w:t>
      </w:r>
      <w:r>
        <w:rPr>
          <w:rFonts w:hint="eastAsia" w:ascii="黑体" w:hAnsi="黑体" w:eastAsia="黑体"/>
          <w:color w:val="auto"/>
        </w:rPr>
        <w:t>见合同条款专用部分。</w:t>
      </w:r>
    </w:p>
    <w:p w14:paraId="43E7CEFF">
      <w:pPr>
        <w:spacing w:line="360" w:lineRule="auto"/>
        <w:ind w:firstLine="630" w:firstLineChars="300"/>
        <w:rPr>
          <w:rFonts w:ascii="宋体"/>
          <w:color w:val="auto"/>
        </w:rPr>
      </w:pPr>
      <w:r>
        <w:rPr>
          <w:rFonts w:ascii="宋体" w:hAnsi="宋体"/>
          <w:color w:val="auto"/>
        </w:rPr>
        <w:t xml:space="preserve">1.1.3.12  </w:t>
      </w:r>
      <w:r>
        <w:rPr>
          <w:rFonts w:hint="eastAsia" w:ascii="宋体" w:hAnsi="宋体"/>
          <w:color w:val="auto"/>
        </w:rPr>
        <w:t>材料：指构成或将构成永久工程组成部分的各类物品</w:t>
      </w:r>
      <w:r>
        <w:rPr>
          <w:rFonts w:ascii="宋体" w:hAnsi="宋体"/>
          <w:color w:val="auto"/>
        </w:rPr>
        <w:t>(</w:t>
      </w:r>
      <w:r>
        <w:rPr>
          <w:rFonts w:hint="eastAsia" w:ascii="宋体" w:hAnsi="宋体"/>
          <w:color w:val="auto"/>
        </w:rPr>
        <w:t>工程设备除外</w:t>
      </w:r>
      <w:r>
        <w:rPr>
          <w:rFonts w:ascii="宋体" w:hAnsi="宋体"/>
          <w:color w:val="auto"/>
        </w:rPr>
        <w:t>)</w:t>
      </w:r>
      <w:r>
        <w:rPr>
          <w:rFonts w:hint="eastAsia" w:ascii="宋体" w:hAnsi="宋体"/>
          <w:color w:val="auto"/>
        </w:rPr>
        <w:t>，包括合同中可能约定的承包人仅负责供应的材料。</w:t>
      </w:r>
    </w:p>
    <w:p w14:paraId="44E3B692">
      <w:pPr>
        <w:spacing w:line="360" w:lineRule="auto"/>
        <w:ind w:firstLine="420" w:firstLineChars="200"/>
        <w:rPr>
          <w:rFonts w:ascii="宋体"/>
          <w:color w:val="auto"/>
        </w:rPr>
      </w:pPr>
      <w:r>
        <w:rPr>
          <w:rFonts w:ascii="宋体" w:hAnsi="宋体"/>
          <w:color w:val="auto"/>
        </w:rPr>
        <w:t xml:space="preserve">1.1.4  </w:t>
      </w:r>
      <w:r>
        <w:rPr>
          <w:rFonts w:hint="eastAsia" w:ascii="宋体" w:hAnsi="宋体"/>
          <w:color w:val="auto"/>
        </w:rPr>
        <w:t>日期</w:t>
      </w:r>
    </w:p>
    <w:p w14:paraId="13B789FF">
      <w:pPr>
        <w:spacing w:line="360" w:lineRule="auto"/>
        <w:ind w:firstLine="630" w:firstLineChars="300"/>
        <w:rPr>
          <w:rFonts w:ascii="宋体"/>
          <w:color w:val="auto"/>
        </w:rPr>
      </w:pPr>
      <w:r>
        <w:rPr>
          <w:rFonts w:ascii="宋体" w:hAnsi="宋体"/>
          <w:color w:val="auto"/>
        </w:rPr>
        <w:t xml:space="preserve">1.1.4.1  </w:t>
      </w:r>
      <w:r>
        <w:rPr>
          <w:rFonts w:hint="eastAsia" w:ascii="宋体" w:hAnsi="宋体"/>
          <w:color w:val="auto"/>
        </w:rPr>
        <w:t>开工通知：指监理人按第</w:t>
      </w:r>
      <w:r>
        <w:rPr>
          <w:rFonts w:ascii="宋体" w:hAnsi="宋体"/>
          <w:color w:val="auto"/>
        </w:rPr>
        <w:t>11.1</w:t>
      </w:r>
      <w:r>
        <w:rPr>
          <w:rFonts w:hint="eastAsia" w:ascii="宋体" w:hAnsi="宋体"/>
          <w:color w:val="auto"/>
        </w:rPr>
        <w:t>款通知承包人开工的函件。</w:t>
      </w:r>
    </w:p>
    <w:p w14:paraId="43934BFE">
      <w:pPr>
        <w:spacing w:line="360" w:lineRule="auto"/>
        <w:ind w:firstLine="630" w:firstLineChars="300"/>
        <w:rPr>
          <w:rFonts w:ascii="宋体"/>
          <w:color w:val="auto"/>
        </w:rPr>
      </w:pPr>
      <w:r>
        <w:rPr>
          <w:rFonts w:ascii="宋体" w:hAnsi="宋体"/>
          <w:color w:val="auto"/>
        </w:rPr>
        <w:t xml:space="preserve">1.1.4.2  </w:t>
      </w:r>
      <w:r>
        <w:rPr>
          <w:rFonts w:hint="eastAsia" w:ascii="宋体" w:hAnsi="宋体"/>
          <w:color w:val="auto"/>
        </w:rPr>
        <w:t>开工日期：指监理人按第</w:t>
      </w:r>
      <w:r>
        <w:rPr>
          <w:rFonts w:ascii="宋体" w:hAnsi="宋体"/>
          <w:color w:val="auto"/>
        </w:rPr>
        <w:t>11.1</w:t>
      </w:r>
      <w:r>
        <w:rPr>
          <w:rFonts w:hint="eastAsia" w:ascii="宋体" w:hAnsi="宋体"/>
          <w:color w:val="auto"/>
        </w:rPr>
        <w:t>款发出的开工通知中写明的开工日期。</w:t>
      </w:r>
    </w:p>
    <w:p w14:paraId="56F4919F">
      <w:pPr>
        <w:spacing w:line="360" w:lineRule="auto"/>
        <w:ind w:firstLine="630" w:firstLineChars="300"/>
        <w:rPr>
          <w:rFonts w:ascii="宋体"/>
          <w:color w:val="auto"/>
        </w:rPr>
      </w:pPr>
      <w:r>
        <w:rPr>
          <w:rFonts w:ascii="宋体" w:hAnsi="宋体"/>
          <w:color w:val="auto"/>
        </w:rPr>
        <w:t xml:space="preserve">1.1.4.3  </w:t>
      </w:r>
      <w:r>
        <w:rPr>
          <w:rFonts w:hint="eastAsia" w:ascii="宋体" w:hAnsi="宋体"/>
          <w:color w:val="auto"/>
        </w:rPr>
        <w:t>工期：指承包人在投标函中承诺的完成合同工程所需的期限，包括按第</w:t>
      </w:r>
      <w:r>
        <w:rPr>
          <w:rFonts w:ascii="宋体" w:hAnsi="宋体"/>
          <w:color w:val="auto"/>
        </w:rPr>
        <w:t>11.3</w:t>
      </w:r>
      <w:r>
        <w:rPr>
          <w:rFonts w:hint="eastAsia" w:ascii="宋体" w:hAnsi="宋体"/>
          <w:color w:val="auto"/>
        </w:rPr>
        <w:t>款、第</w:t>
      </w:r>
      <w:r>
        <w:rPr>
          <w:rFonts w:ascii="宋体" w:hAnsi="宋体"/>
          <w:color w:val="auto"/>
        </w:rPr>
        <w:t>11.4</w:t>
      </w:r>
      <w:r>
        <w:rPr>
          <w:rFonts w:hint="eastAsia" w:ascii="宋体" w:hAnsi="宋体"/>
          <w:color w:val="auto"/>
        </w:rPr>
        <w:t>款和第</w:t>
      </w:r>
      <w:r>
        <w:rPr>
          <w:rFonts w:ascii="宋体" w:hAnsi="宋体"/>
          <w:color w:val="auto"/>
        </w:rPr>
        <w:t>11.6</w:t>
      </w:r>
      <w:r>
        <w:rPr>
          <w:rFonts w:hint="eastAsia" w:ascii="宋体" w:hAnsi="宋体"/>
          <w:color w:val="auto"/>
        </w:rPr>
        <w:t>款约定所作的变更。</w:t>
      </w:r>
    </w:p>
    <w:p w14:paraId="396D2975">
      <w:pPr>
        <w:spacing w:line="360" w:lineRule="auto"/>
        <w:ind w:firstLine="630" w:firstLineChars="300"/>
        <w:rPr>
          <w:rFonts w:ascii="宋体"/>
          <w:color w:val="auto"/>
        </w:rPr>
      </w:pPr>
      <w:r>
        <w:rPr>
          <w:rFonts w:ascii="宋体" w:hAnsi="宋体"/>
          <w:color w:val="auto"/>
        </w:rPr>
        <w:t xml:space="preserve">1.1.4.4  </w:t>
      </w:r>
      <w:r>
        <w:rPr>
          <w:rFonts w:hint="eastAsia" w:ascii="宋体" w:hAnsi="宋体"/>
          <w:color w:val="auto"/>
        </w:rPr>
        <w:t>竣工日期：指第</w:t>
      </w:r>
      <w:r>
        <w:rPr>
          <w:rFonts w:ascii="宋体" w:hAnsi="宋体"/>
          <w:color w:val="auto"/>
        </w:rPr>
        <w:t>1.1.4.3</w:t>
      </w:r>
      <w:r>
        <w:rPr>
          <w:rFonts w:hint="eastAsia" w:ascii="宋体" w:hAnsi="宋体"/>
          <w:color w:val="auto"/>
        </w:rPr>
        <w:t>目约定工期届满时的日期。实际竣工日期以工程接收证书中写明的日期为准。</w:t>
      </w:r>
    </w:p>
    <w:p w14:paraId="12DF58E2">
      <w:pPr>
        <w:spacing w:line="360" w:lineRule="auto"/>
        <w:ind w:firstLine="630" w:firstLineChars="300"/>
        <w:rPr>
          <w:rFonts w:ascii="宋体"/>
          <w:color w:val="auto"/>
        </w:rPr>
      </w:pPr>
      <w:r>
        <w:rPr>
          <w:rFonts w:ascii="宋体" w:hAnsi="宋体"/>
          <w:color w:val="auto"/>
        </w:rPr>
        <w:t xml:space="preserve">1.1.4.5  </w:t>
      </w:r>
      <w:r>
        <w:rPr>
          <w:rFonts w:hint="eastAsia" w:ascii="宋体" w:hAnsi="宋体"/>
          <w:color w:val="auto"/>
        </w:rPr>
        <w:t>缺陷责任期：指履行第</w:t>
      </w:r>
      <w:r>
        <w:rPr>
          <w:rFonts w:ascii="宋体" w:hAnsi="宋体"/>
          <w:color w:val="auto"/>
        </w:rPr>
        <w:t>19.2</w:t>
      </w:r>
      <w:r>
        <w:rPr>
          <w:rFonts w:hint="eastAsia" w:ascii="宋体" w:hAnsi="宋体"/>
          <w:color w:val="auto"/>
        </w:rPr>
        <w:t>款约定的缺陷责任的期限，包括根据第</w:t>
      </w:r>
      <w:r>
        <w:rPr>
          <w:rFonts w:ascii="宋体" w:hAnsi="宋体"/>
          <w:color w:val="auto"/>
        </w:rPr>
        <w:t>19.3</w:t>
      </w:r>
      <w:r>
        <w:rPr>
          <w:rFonts w:hint="eastAsia" w:ascii="宋体" w:hAnsi="宋体"/>
          <w:color w:val="auto"/>
        </w:rPr>
        <w:t>款约定所作的延长。缺陷责任期的具体期限</w:t>
      </w:r>
      <w:r>
        <w:rPr>
          <w:rFonts w:hint="eastAsia" w:ascii="黑体" w:hAnsi="黑体" w:eastAsia="黑体"/>
          <w:color w:val="auto"/>
        </w:rPr>
        <w:t>见合同条款专用部分</w:t>
      </w:r>
      <w:r>
        <w:rPr>
          <w:rFonts w:hint="eastAsia" w:ascii="宋体" w:hAnsi="宋体"/>
          <w:color w:val="auto"/>
        </w:rPr>
        <w:t>。</w:t>
      </w:r>
    </w:p>
    <w:p w14:paraId="3198D6D1">
      <w:pPr>
        <w:spacing w:line="360" w:lineRule="auto"/>
        <w:ind w:firstLine="630" w:firstLineChars="300"/>
        <w:rPr>
          <w:rFonts w:ascii="宋体"/>
          <w:color w:val="auto"/>
        </w:rPr>
      </w:pPr>
      <w:r>
        <w:rPr>
          <w:rFonts w:ascii="宋体" w:hAnsi="宋体"/>
          <w:color w:val="auto"/>
        </w:rPr>
        <w:t xml:space="preserve">1.1.4.6  </w:t>
      </w:r>
      <w:r>
        <w:rPr>
          <w:rFonts w:hint="eastAsia" w:ascii="宋体" w:hAnsi="宋体"/>
          <w:color w:val="auto"/>
        </w:rPr>
        <w:t>基准日期：指投标截止时间前</w:t>
      </w:r>
      <w:r>
        <w:rPr>
          <w:rFonts w:ascii="宋体" w:hAnsi="宋体"/>
          <w:color w:val="auto"/>
        </w:rPr>
        <w:t>28</w:t>
      </w:r>
      <w:r>
        <w:rPr>
          <w:rFonts w:hint="eastAsia" w:ascii="宋体" w:hAnsi="宋体"/>
          <w:color w:val="auto"/>
        </w:rPr>
        <w:t>天的日期。</w:t>
      </w:r>
    </w:p>
    <w:p w14:paraId="44F3AD15">
      <w:pPr>
        <w:spacing w:line="360" w:lineRule="auto"/>
        <w:ind w:firstLine="630" w:firstLineChars="300"/>
        <w:rPr>
          <w:rFonts w:ascii="宋体"/>
          <w:color w:val="auto"/>
        </w:rPr>
      </w:pPr>
      <w:r>
        <w:rPr>
          <w:rFonts w:ascii="宋体" w:hAnsi="宋体"/>
          <w:color w:val="auto"/>
        </w:rPr>
        <w:t xml:space="preserve">1.1.4.7  </w:t>
      </w:r>
      <w:r>
        <w:rPr>
          <w:rFonts w:hint="eastAsia" w:ascii="宋体" w:hAnsi="宋体"/>
          <w:color w:val="auto"/>
        </w:rPr>
        <w:t>天：除特别指明外，指日历天。合同中按天计算时间的，开始当天不计入，从次日开始计算。期限最后一天的截止时间为当天</w:t>
      </w:r>
      <w:r>
        <w:rPr>
          <w:rFonts w:ascii="宋体" w:hAnsi="宋体"/>
          <w:color w:val="auto"/>
        </w:rPr>
        <w:t>24:00</w:t>
      </w:r>
      <w:r>
        <w:rPr>
          <w:rFonts w:hint="eastAsia" w:ascii="宋体" w:hAnsi="宋体"/>
          <w:color w:val="auto"/>
        </w:rPr>
        <w:t>。</w:t>
      </w:r>
    </w:p>
    <w:p w14:paraId="6CC05DBB">
      <w:pPr>
        <w:spacing w:line="360" w:lineRule="auto"/>
        <w:ind w:firstLine="630" w:firstLineChars="300"/>
        <w:rPr>
          <w:rFonts w:ascii="宋体"/>
          <w:color w:val="auto"/>
        </w:rPr>
      </w:pPr>
      <w:r>
        <w:rPr>
          <w:rFonts w:ascii="宋体" w:hAnsi="宋体"/>
          <w:color w:val="auto"/>
        </w:rPr>
        <w:t xml:space="preserve">1.1.4.8  </w:t>
      </w:r>
      <w:r>
        <w:rPr>
          <w:rFonts w:hint="eastAsia" w:ascii="宋体" w:hAnsi="宋体"/>
          <w:color w:val="auto"/>
        </w:rPr>
        <w:t>保修期：是根据现行有关法律规定，在合同条款第</w:t>
      </w:r>
      <w:r>
        <w:rPr>
          <w:rFonts w:ascii="宋体" w:hAnsi="宋体"/>
          <w:color w:val="auto"/>
        </w:rPr>
        <w:t>19.7</w:t>
      </w:r>
      <w:r>
        <w:rPr>
          <w:rFonts w:hint="eastAsia" w:ascii="宋体" w:hAnsi="宋体"/>
          <w:color w:val="auto"/>
        </w:rPr>
        <w:t>款中约定的由承包人负责对合同约定的保修范围内发生的质量问题履行保修义务并对造成的损失承担赔偿责任的期限。</w:t>
      </w:r>
    </w:p>
    <w:p w14:paraId="37D7E7B3">
      <w:pPr>
        <w:spacing w:line="360" w:lineRule="auto"/>
        <w:ind w:firstLine="420" w:firstLineChars="200"/>
        <w:rPr>
          <w:rFonts w:ascii="宋体"/>
          <w:color w:val="auto"/>
        </w:rPr>
      </w:pPr>
      <w:r>
        <w:rPr>
          <w:rFonts w:ascii="宋体" w:hAnsi="宋体"/>
          <w:color w:val="auto"/>
        </w:rPr>
        <w:t xml:space="preserve">1.1.5  </w:t>
      </w:r>
      <w:r>
        <w:rPr>
          <w:rFonts w:hint="eastAsia" w:ascii="宋体" w:hAnsi="宋体"/>
          <w:color w:val="auto"/>
        </w:rPr>
        <w:t>合同价格和费用</w:t>
      </w:r>
    </w:p>
    <w:p w14:paraId="00C5D7CD">
      <w:pPr>
        <w:spacing w:line="360" w:lineRule="auto"/>
        <w:ind w:firstLine="630" w:firstLineChars="300"/>
        <w:rPr>
          <w:rFonts w:ascii="宋体"/>
          <w:color w:val="auto"/>
        </w:rPr>
      </w:pPr>
      <w:r>
        <w:rPr>
          <w:rFonts w:ascii="宋体" w:hAnsi="宋体"/>
          <w:color w:val="auto"/>
        </w:rPr>
        <w:t xml:space="preserve">1.1.5.1  </w:t>
      </w:r>
      <w:r>
        <w:rPr>
          <w:rFonts w:hint="eastAsia" w:ascii="宋体" w:hAnsi="宋体"/>
          <w:color w:val="auto"/>
        </w:rPr>
        <w:t>签约合同价：指签定合同时合同协议书中写明的，包括了暂列金额、暂估价的合同总金额。</w:t>
      </w:r>
    </w:p>
    <w:p w14:paraId="4A4161F0">
      <w:pPr>
        <w:spacing w:line="360" w:lineRule="auto"/>
        <w:ind w:firstLine="630" w:firstLineChars="300"/>
        <w:rPr>
          <w:rFonts w:ascii="宋体"/>
          <w:color w:val="auto"/>
        </w:rPr>
      </w:pPr>
      <w:r>
        <w:rPr>
          <w:rFonts w:ascii="宋体" w:hAnsi="宋体"/>
          <w:color w:val="auto"/>
        </w:rPr>
        <w:t xml:space="preserve">1.1.5.2  </w:t>
      </w:r>
      <w:r>
        <w:rPr>
          <w:rFonts w:hint="eastAsia" w:ascii="宋体" w:hAnsi="宋体"/>
          <w:color w:val="auto"/>
        </w:rPr>
        <w:t>合同价格：指承包人按合同约定完成了包括缺陷责任期内的全部承包工作后，发包人应付给承包人的金额，包括在履行合同过程中按合同约定进行的变更和调整。</w:t>
      </w:r>
    </w:p>
    <w:p w14:paraId="44E15482">
      <w:pPr>
        <w:spacing w:line="360" w:lineRule="auto"/>
        <w:ind w:firstLine="630" w:firstLineChars="300"/>
        <w:rPr>
          <w:rFonts w:ascii="宋体"/>
          <w:color w:val="auto"/>
        </w:rPr>
      </w:pPr>
      <w:r>
        <w:rPr>
          <w:rFonts w:ascii="宋体" w:hAnsi="宋体"/>
          <w:color w:val="auto"/>
        </w:rPr>
        <w:t xml:space="preserve">1.1.5.3  </w:t>
      </w:r>
      <w:r>
        <w:rPr>
          <w:rFonts w:hint="eastAsia" w:ascii="宋体" w:hAnsi="宋体"/>
          <w:color w:val="auto"/>
        </w:rPr>
        <w:t>费用：指为履行合同所发生的或将要发生的所有合理开支，包括管理费和应分摊的其他费用，但不包括利润。</w:t>
      </w:r>
    </w:p>
    <w:p w14:paraId="743CFEB0">
      <w:pPr>
        <w:spacing w:line="360" w:lineRule="auto"/>
        <w:ind w:firstLine="630" w:firstLineChars="300"/>
        <w:rPr>
          <w:rFonts w:ascii="宋体"/>
          <w:color w:val="auto"/>
        </w:rPr>
      </w:pPr>
      <w:r>
        <w:rPr>
          <w:rFonts w:ascii="宋体" w:hAnsi="宋体"/>
          <w:color w:val="auto"/>
        </w:rPr>
        <w:t xml:space="preserve">1.1.5.4  </w:t>
      </w:r>
      <w:r>
        <w:rPr>
          <w:rFonts w:hint="eastAsia" w:ascii="宋体" w:hAnsi="宋体"/>
          <w:color w:val="auto"/>
        </w:rPr>
        <w:t>暂列金额：指已标价工程量清单中所列的暂列金额，用于在签订协议书时尚未确定或不可预见变更的施工及其所需材料、工程设备、服务等的金额，包括以计日工方式支付的金额。</w:t>
      </w:r>
    </w:p>
    <w:p w14:paraId="32A0472C">
      <w:pPr>
        <w:spacing w:line="360" w:lineRule="auto"/>
        <w:ind w:firstLine="630" w:firstLineChars="300"/>
        <w:rPr>
          <w:rFonts w:ascii="宋体"/>
          <w:color w:val="auto"/>
        </w:rPr>
      </w:pPr>
      <w:r>
        <w:rPr>
          <w:rFonts w:ascii="宋体" w:hAnsi="宋体"/>
          <w:color w:val="auto"/>
        </w:rPr>
        <w:t xml:space="preserve">1.1.5.5  </w:t>
      </w:r>
      <w:r>
        <w:rPr>
          <w:rFonts w:hint="eastAsia" w:ascii="宋体" w:hAnsi="宋体"/>
          <w:color w:val="auto"/>
        </w:rPr>
        <w:t>暂估价：指发包人在工程量清单中给定的用于支付必然发生但暂时不能确定价格的材料、设备以及专业工程的金额。</w:t>
      </w:r>
    </w:p>
    <w:p w14:paraId="4ACBFD73">
      <w:pPr>
        <w:spacing w:line="360" w:lineRule="auto"/>
        <w:ind w:firstLine="630" w:firstLineChars="300"/>
        <w:rPr>
          <w:rFonts w:ascii="宋体"/>
          <w:color w:val="auto"/>
        </w:rPr>
      </w:pPr>
      <w:r>
        <w:rPr>
          <w:rFonts w:ascii="宋体" w:hAnsi="宋体"/>
          <w:color w:val="auto"/>
        </w:rPr>
        <w:t xml:space="preserve">1.1.5.6  </w:t>
      </w:r>
      <w:r>
        <w:rPr>
          <w:rFonts w:hint="eastAsia" w:ascii="宋体" w:hAnsi="宋体"/>
          <w:color w:val="auto"/>
        </w:rPr>
        <w:t>计日工：指对零星工作采取的一种计价方式，按合同中的计日工子目及其单价计价付款。</w:t>
      </w:r>
    </w:p>
    <w:p w14:paraId="7A50FF2C">
      <w:pPr>
        <w:spacing w:line="360" w:lineRule="auto"/>
        <w:ind w:firstLine="630" w:firstLineChars="300"/>
        <w:rPr>
          <w:rFonts w:ascii="宋体"/>
          <w:color w:val="auto"/>
        </w:rPr>
      </w:pPr>
      <w:r>
        <w:rPr>
          <w:rFonts w:ascii="宋体" w:hAnsi="宋体"/>
          <w:color w:val="auto"/>
        </w:rPr>
        <w:t xml:space="preserve">1.1.5.7  </w:t>
      </w:r>
      <w:r>
        <w:rPr>
          <w:rFonts w:hint="eastAsia" w:ascii="宋体" w:hAnsi="宋体"/>
          <w:color w:val="auto"/>
        </w:rPr>
        <w:t>质量保证金（或称保留金）：指按第</w:t>
      </w:r>
      <w:r>
        <w:rPr>
          <w:rFonts w:ascii="宋体" w:hAnsi="宋体"/>
          <w:color w:val="auto"/>
        </w:rPr>
        <w:t>17.4.1</w:t>
      </w:r>
      <w:r>
        <w:rPr>
          <w:rFonts w:hint="eastAsia" w:ascii="宋体" w:hAnsi="宋体"/>
          <w:color w:val="auto"/>
        </w:rPr>
        <w:t>项约定用于保证在缺陷责任期内履行缺陷修复义务的金额。</w:t>
      </w:r>
    </w:p>
    <w:p w14:paraId="46547BDC">
      <w:pPr>
        <w:spacing w:line="360" w:lineRule="auto"/>
        <w:ind w:firstLine="420" w:firstLineChars="200"/>
        <w:rPr>
          <w:rFonts w:ascii="宋体"/>
          <w:color w:val="auto"/>
        </w:rPr>
      </w:pPr>
      <w:r>
        <w:rPr>
          <w:rFonts w:ascii="宋体" w:hAnsi="宋体"/>
          <w:color w:val="auto"/>
        </w:rPr>
        <w:t xml:space="preserve">1.1.6  </w:t>
      </w:r>
      <w:r>
        <w:rPr>
          <w:rFonts w:hint="eastAsia" w:ascii="宋体" w:hAnsi="宋体"/>
          <w:color w:val="auto"/>
        </w:rPr>
        <w:t>书面形式</w:t>
      </w:r>
    </w:p>
    <w:p w14:paraId="36AFF937">
      <w:pPr>
        <w:spacing w:line="360" w:lineRule="auto"/>
        <w:ind w:firstLine="420" w:firstLineChars="200"/>
        <w:rPr>
          <w:rFonts w:ascii="宋体"/>
          <w:color w:val="auto"/>
        </w:rPr>
      </w:pPr>
      <w:r>
        <w:rPr>
          <w:rFonts w:hint="eastAsia" w:ascii="宋体" w:hAnsi="宋体"/>
          <w:color w:val="auto"/>
        </w:rPr>
        <w:t>书面形式：指合同文件、信函、电报、传真等可以有形地表现所载内容的形式。</w:t>
      </w:r>
    </w:p>
    <w:p w14:paraId="482F7643">
      <w:pPr>
        <w:spacing w:line="360" w:lineRule="auto"/>
        <w:ind w:firstLine="420" w:firstLineChars="200"/>
        <w:rPr>
          <w:rFonts w:ascii="宋体"/>
          <w:color w:val="auto"/>
        </w:rPr>
      </w:pPr>
      <w:r>
        <w:rPr>
          <w:rFonts w:ascii="宋体" w:hAnsi="宋体"/>
          <w:color w:val="auto"/>
        </w:rPr>
        <w:t xml:space="preserve">1.1.7  </w:t>
      </w:r>
      <w:r>
        <w:rPr>
          <w:rFonts w:hint="eastAsia" w:ascii="宋体" w:hAnsi="宋体"/>
          <w:color w:val="auto"/>
        </w:rPr>
        <w:t>争议评审组</w:t>
      </w:r>
    </w:p>
    <w:p w14:paraId="13ECB5F7">
      <w:pPr>
        <w:spacing w:line="360" w:lineRule="auto"/>
        <w:ind w:firstLine="420" w:firstLineChars="200"/>
        <w:rPr>
          <w:rFonts w:ascii="宋体"/>
          <w:color w:val="auto"/>
        </w:rPr>
      </w:pPr>
      <w:r>
        <w:rPr>
          <w:rFonts w:hint="eastAsia" w:ascii="宋体" w:hAnsi="宋体"/>
          <w:color w:val="auto"/>
        </w:rPr>
        <w:t>争议评审组：是由发包人和承包人共同聘请的人员组成的独立、公正的第三方临时性组织，一般由一名或者三名合同管理和（或）工程管理专家组成。争议评审组负责对发包人和（或）承包人提请进行评审的本合同项下的争议进行评审并在规定的期限内给出评审意见，合同双方在规定的期限内均未对评审意见提出异议时，评审意见对合同双方有最终约束力。发包人和承包人应当分别与接受聘请的争议评审专家签订聘用协议，就评审的争议范围、评审意见效力等必要事项做出约定。</w:t>
      </w:r>
    </w:p>
    <w:p w14:paraId="1D390CFA">
      <w:pPr>
        <w:spacing w:line="360" w:lineRule="auto"/>
        <w:ind w:firstLine="420" w:firstLineChars="200"/>
        <w:rPr>
          <w:rFonts w:ascii="宋体"/>
          <w:color w:val="auto"/>
        </w:rPr>
      </w:pPr>
      <w:r>
        <w:rPr>
          <w:rFonts w:ascii="宋体" w:hAnsi="宋体"/>
          <w:color w:val="auto"/>
        </w:rPr>
        <w:t xml:space="preserve">1.1.8  </w:t>
      </w:r>
      <w:r>
        <w:rPr>
          <w:rFonts w:hint="eastAsia" w:ascii="宋体" w:hAnsi="宋体"/>
          <w:color w:val="auto"/>
        </w:rPr>
        <w:t>其他需要补充的内容</w:t>
      </w:r>
    </w:p>
    <w:p w14:paraId="580B4E86">
      <w:pPr>
        <w:spacing w:line="360" w:lineRule="auto"/>
        <w:ind w:firstLine="420" w:firstLineChars="200"/>
        <w:rPr>
          <w:rFonts w:ascii="宋体"/>
          <w:color w:val="auto"/>
        </w:rPr>
      </w:pPr>
      <w:r>
        <w:rPr>
          <w:rFonts w:hint="eastAsia" w:ascii="宋体" w:hAnsi="宋体"/>
          <w:color w:val="auto"/>
        </w:rPr>
        <w:t>其他需要补充的内容</w:t>
      </w:r>
      <w:r>
        <w:rPr>
          <w:rFonts w:hint="eastAsia" w:ascii="黑体" w:hAnsi="黑体" w:eastAsia="黑体"/>
          <w:color w:val="auto"/>
        </w:rPr>
        <w:t>见合同条款专用部分</w:t>
      </w:r>
      <w:r>
        <w:rPr>
          <w:rFonts w:hint="eastAsia" w:ascii="宋体" w:hAnsi="宋体"/>
          <w:color w:val="auto"/>
        </w:rPr>
        <w:t>。</w:t>
      </w:r>
    </w:p>
    <w:p w14:paraId="6B785B98">
      <w:pPr>
        <w:keepNext/>
        <w:keepLines/>
        <w:spacing w:beforeLines="50" w:afterLines="50" w:line="360" w:lineRule="auto"/>
        <w:outlineLvl w:val="2"/>
        <w:rPr>
          <w:rFonts w:ascii="宋体" w:hAnsi="宋体"/>
          <w:color w:val="auto"/>
          <w:sz w:val="24"/>
          <w:szCs w:val="20"/>
        </w:rPr>
      </w:pPr>
      <w:bookmarkStart w:id="690" w:name="_Toc497213720"/>
      <w:bookmarkStart w:id="691" w:name="_Toc490222489"/>
      <w:bookmarkStart w:id="692" w:name="_Toc486580044"/>
      <w:bookmarkStart w:id="693" w:name="_Toc489279855"/>
      <w:bookmarkStart w:id="694" w:name="_Toc117597470"/>
      <w:r>
        <w:rPr>
          <w:rFonts w:ascii="宋体" w:hAnsi="宋体"/>
          <w:color w:val="auto"/>
          <w:sz w:val="24"/>
          <w:szCs w:val="20"/>
        </w:rPr>
        <w:t xml:space="preserve">1.2  </w:t>
      </w:r>
      <w:r>
        <w:rPr>
          <w:rFonts w:hint="eastAsia" w:ascii="宋体" w:hAnsi="宋体"/>
          <w:color w:val="auto"/>
          <w:sz w:val="24"/>
          <w:szCs w:val="20"/>
        </w:rPr>
        <w:t>语言文字</w:t>
      </w:r>
      <w:bookmarkEnd w:id="690"/>
      <w:bookmarkEnd w:id="691"/>
      <w:bookmarkEnd w:id="692"/>
      <w:bookmarkEnd w:id="693"/>
      <w:bookmarkEnd w:id="694"/>
    </w:p>
    <w:p w14:paraId="26153BFC">
      <w:pPr>
        <w:spacing w:line="360" w:lineRule="auto"/>
        <w:ind w:firstLine="420" w:firstLineChars="200"/>
        <w:rPr>
          <w:rFonts w:ascii="宋体"/>
          <w:color w:val="auto"/>
        </w:rPr>
      </w:pPr>
      <w:r>
        <w:rPr>
          <w:rFonts w:hint="eastAsia" w:ascii="宋体" w:hAnsi="宋体"/>
          <w:color w:val="auto"/>
        </w:rPr>
        <w:t>除专用术语外，合同使用的语言文字为中文。必要时专用术语应附有中文注释。</w:t>
      </w:r>
    </w:p>
    <w:p w14:paraId="3210712E">
      <w:pPr>
        <w:keepNext/>
        <w:keepLines/>
        <w:spacing w:beforeLines="50" w:afterLines="50" w:line="360" w:lineRule="auto"/>
        <w:outlineLvl w:val="2"/>
        <w:rPr>
          <w:rFonts w:ascii="宋体" w:hAnsi="宋体"/>
          <w:color w:val="auto"/>
          <w:sz w:val="24"/>
          <w:szCs w:val="20"/>
        </w:rPr>
      </w:pPr>
      <w:bookmarkStart w:id="695" w:name="_Toc497213721"/>
      <w:bookmarkStart w:id="696" w:name="_Toc486580045"/>
      <w:bookmarkStart w:id="697" w:name="_Toc490222490"/>
      <w:bookmarkStart w:id="698" w:name="_Toc117597471"/>
      <w:bookmarkStart w:id="699" w:name="_Toc489279856"/>
      <w:r>
        <w:rPr>
          <w:rFonts w:ascii="宋体" w:hAnsi="宋体"/>
          <w:color w:val="auto"/>
          <w:sz w:val="24"/>
          <w:szCs w:val="20"/>
        </w:rPr>
        <w:t xml:space="preserve">1.3  </w:t>
      </w:r>
      <w:r>
        <w:rPr>
          <w:rFonts w:hint="eastAsia" w:ascii="宋体" w:hAnsi="宋体"/>
          <w:color w:val="auto"/>
          <w:sz w:val="24"/>
          <w:szCs w:val="20"/>
        </w:rPr>
        <w:t>法律</w:t>
      </w:r>
      <w:bookmarkEnd w:id="695"/>
      <w:bookmarkEnd w:id="696"/>
      <w:bookmarkEnd w:id="697"/>
      <w:bookmarkEnd w:id="698"/>
      <w:bookmarkEnd w:id="699"/>
    </w:p>
    <w:p w14:paraId="17BADBDA">
      <w:pPr>
        <w:spacing w:line="360" w:lineRule="auto"/>
        <w:ind w:firstLine="420" w:firstLineChars="200"/>
        <w:rPr>
          <w:rFonts w:ascii="宋体"/>
          <w:color w:val="auto"/>
        </w:rPr>
      </w:pPr>
      <w:r>
        <w:rPr>
          <w:rFonts w:hint="eastAsia" w:ascii="宋体" w:hAnsi="宋体"/>
          <w:color w:val="auto"/>
        </w:rPr>
        <w:t>适用于合同的法律包括中华人民共和国法律、行政法规、部门规章，以及工程所在地的地方法规、自治条例、单行条例和地方政府规章。</w:t>
      </w:r>
    </w:p>
    <w:p w14:paraId="1C0E4040">
      <w:pPr>
        <w:keepNext/>
        <w:keepLines/>
        <w:spacing w:beforeLines="50" w:afterLines="50" w:line="360" w:lineRule="auto"/>
        <w:outlineLvl w:val="2"/>
        <w:rPr>
          <w:rFonts w:ascii="宋体" w:hAnsi="宋体"/>
          <w:color w:val="auto"/>
          <w:sz w:val="24"/>
          <w:szCs w:val="20"/>
        </w:rPr>
      </w:pPr>
      <w:bookmarkStart w:id="700" w:name="_Toc117597472"/>
      <w:bookmarkStart w:id="701" w:name="_Toc497213722"/>
      <w:bookmarkStart w:id="702" w:name="_Toc490222491"/>
      <w:bookmarkStart w:id="703" w:name="_Toc486580046"/>
      <w:bookmarkStart w:id="704" w:name="_Toc489279857"/>
      <w:r>
        <w:rPr>
          <w:rFonts w:ascii="宋体" w:hAnsi="宋体"/>
          <w:color w:val="auto"/>
          <w:sz w:val="24"/>
          <w:szCs w:val="20"/>
        </w:rPr>
        <w:t xml:space="preserve">1.4  </w:t>
      </w:r>
      <w:r>
        <w:rPr>
          <w:rFonts w:hint="eastAsia" w:ascii="宋体" w:hAnsi="宋体"/>
          <w:color w:val="auto"/>
          <w:sz w:val="24"/>
          <w:szCs w:val="20"/>
        </w:rPr>
        <w:t>合同文件的优先顺序</w:t>
      </w:r>
      <w:bookmarkEnd w:id="700"/>
      <w:bookmarkEnd w:id="701"/>
      <w:bookmarkEnd w:id="702"/>
      <w:bookmarkEnd w:id="703"/>
      <w:bookmarkEnd w:id="704"/>
    </w:p>
    <w:p w14:paraId="0238C974">
      <w:pPr>
        <w:spacing w:line="360" w:lineRule="auto"/>
        <w:ind w:firstLine="420" w:firstLineChars="200"/>
        <w:rPr>
          <w:rFonts w:ascii="宋体"/>
          <w:color w:val="auto"/>
        </w:rPr>
      </w:pPr>
      <w:r>
        <w:rPr>
          <w:rFonts w:hint="eastAsia" w:ascii="宋体" w:hAnsi="宋体"/>
          <w:color w:val="auto"/>
        </w:rPr>
        <w:t>组成合同的各项文件应互相解释，互为说明。除合同条款专用部分另有约定外，解释合同文件的优先顺序如下：</w:t>
      </w:r>
    </w:p>
    <w:p w14:paraId="5EBF3AC3">
      <w:pPr>
        <w:spacing w:line="360" w:lineRule="auto"/>
        <w:ind w:firstLine="315" w:firstLineChars="150"/>
        <w:rPr>
          <w:rFonts w:ascii="宋体"/>
          <w:color w:val="auto"/>
        </w:rPr>
      </w:pPr>
      <w:r>
        <w:rPr>
          <w:rFonts w:hint="eastAsia" w:ascii="宋体" w:hAnsi="宋体"/>
          <w:color w:val="auto"/>
        </w:rPr>
        <w:t>（</w:t>
      </w:r>
      <w:r>
        <w:rPr>
          <w:rFonts w:ascii="宋体" w:hAnsi="宋体"/>
          <w:color w:val="auto"/>
        </w:rPr>
        <w:t>1</w:t>
      </w:r>
      <w:r>
        <w:rPr>
          <w:rFonts w:hint="eastAsia" w:ascii="宋体" w:hAnsi="宋体"/>
          <w:color w:val="auto"/>
        </w:rPr>
        <w:t>）合同协议书；</w:t>
      </w:r>
    </w:p>
    <w:p w14:paraId="122539F6">
      <w:pPr>
        <w:spacing w:line="360" w:lineRule="auto"/>
        <w:ind w:firstLine="315" w:firstLineChars="150"/>
        <w:rPr>
          <w:rFonts w:ascii="宋体"/>
          <w:color w:val="auto"/>
        </w:rPr>
      </w:pPr>
      <w:r>
        <w:rPr>
          <w:rFonts w:hint="eastAsia" w:ascii="宋体" w:hAnsi="宋体"/>
          <w:color w:val="auto"/>
        </w:rPr>
        <w:t>（</w:t>
      </w:r>
      <w:r>
        <w:rPr>
          <w:rFonts w:ascii="宋体" w:hAnsi="宋体"/>
          <w:color w:val="auto"/>
        </w:rPr>
        <w:t>2</w:t>
      </w:r>
      <w:r>
        <w:rPr>
          <w:rFonts w:hint="eastAsia" w:ascii="宋体" w:hAnsi="宋体"/>
          <w:color w:val="auto"/>
        </w:rPr>
        <w:t>）中标通知书；</w:t>
      </w:r>
    </w:p>
    <w:p w14:paraId="759E43D0">
      <w:pPr>
        <w:spacing w:line="360" w:lineRule="auto"/>
        <w:ind w:firstLine="315" w:firstLineChars="150"/>
        <w:rPr>
          <w:rFonts w:ascii="宋体"/>
          <w:color w:val="auto"/>
        </w:rPr>
      </w:pPr>
      <w:r>
        <w:rPr>
          <w:rFonts w:hint="eastAsia" w:ascii="宋体" w:hAnsi="宋体"/>
          <w:color w:val="auto"/>
        </w:rPr>
        <w:t>（</w:t>
      </w:r>
      <w:r>
        <w:rPr>
          <w:rFonts w:ascii="宋体" w:hAnsi="宋体"/>
          <w:color w:val="auto"/>
        </w:rPr>
        <w:t>3</w:t>
      </w:r>
      <w:r>
        <w:rPr>
          <w:rFonts w:hint="eastAsia" w:ascii="宋体" w:hAnsi="宋体"/>
          <w:color w:val="auto"/>
        </w:rPr>
        <w:t>）投标函及投标函附录；</w:t>
      </w:r>
    </w:p>
    <w:p w14:paraId="0B8A6AA9">
      <w:pPr>
        <w:spacing w:line="360" w:lineRule="auto"/>
        <w:ind w:firstLine="315" w:firstLineChars="150"/>
        <w:rPr>
          <w:rFonts w:ascii="宋体"/>
          <w:color w:val="auto"/>
        </w:rPr>
      </w:pPr>
      <w:r>
        <w:rPr>
          <w:rFonts w:hint="eastAsia" w:ascii="宋体" w:hAnsi="宋体"/>
          <w:color w:val="auto"/>
        </w:rPr>
        <w:t>（</w:t>
      </w:r>
      <w:r>
        <w:rPr>
          <w:rFonts w:ascii="宋体" w:hAnsi="宋体"/>
          <w:color w:val="auto"/>
        </w:rPr>
        <w:t>4</w:t>
      </w:r>
      <w:r>
        <w:rPr>
          <w:rFonts w:hint="eastAsia" w:ascii="宋体" w:hAnsi="宋体"/>
          <w:color w:val="auto"/>
        </w:rPr>
        <w:t>）合同条款专用部分；</w:t>
      </w:r>
    </w:p>
    <w:p w14:paraId="65B5FD7B">
      <w:pPr>
        <w:spacing w:line="360" w:lineRule="auto"/>
        <w:ind w:firstLine="315" w:firstLineChars="150"/>
        <w:rPr>
          <w:rFonts w:ascii="宋体"/>
          <w:color w:val="auto"/>
        </w:rPr>
      </w:pPr>
      <w:r>
        <w:rPr>
          <w:rFonts w:hint="eastAsia" w:ascii="宋体" w:hAnsi="宋体"/>
          <w:color w:val="auto"/>
        </w:rPr>
        <w:t>（</w:t>
      </w:r>
      <w:r>
        <w:rPr>
          <w:rFonts w:ascii="宋体" w:hAnsi="宋体"/>
          <w:color w:val="auto"/>
        </w:rPr>
        <w:t>5</w:t>
      </w:r>
      <w:r>
        <w:rPr>
          <w:rFonts w:hint="eastAsia" w:ascii="宋体" w:hAnsi="宋体"/>
          <w:color w:val="auto"/>
        </w:rPr>
        <w:t>）合同条款通用部分；</w:t>
      </w:r>
    </w:p>
    <w:p w14:paraId="63EFF9D4">
      <w:pPr>
        <w:spacing w:line="360" w:lineRule="auto"/>
        <w:ind w:firstLine="315" w:firstLineChars="150"/>
        <w:rPr>
          <w:rFonts w:ascii="宋体"/>
          <w:color w:val="auto"/>
        </w:rPr>
      </w:pPr>
      <w:r>
        <w:rPr>
          <w:rFonts w:hint="eastAsia" w:ascii="宋体" w:hAnsi="宋体"/>
          <w:color w:val="auto"/>
        </w:rPr>
        <w:t>（</w:t>
      </w:r>
      <w:r>
        <w:rPr>
          <w:rFonts w:ascii="宋体" w:hAnsi="宋体"/>
          <w:color w:val="auto"/>
        </w:rPr>
        <w:t>6</w:t>
      </w:r>
      <w:r>
        <w:rPr>
          <w:rFonts w:hint="eastAsia" w:ascii="宋体" w:hAnsi="宋体"/>
          <w:color w:val="auto"/>
        </w:rPr>
        <w:t>）技术标准和要求；</w:t>
      </w:r>
    </w:p>
    <w:p w14:paraId="5F86459A">
      <w:pPr>
        <w:spacing w:line="360" w:lineRule="auto"/>
        <w:ind w:firstLine="315" w:firstLineChars="150"/>
        <w:rPr>
          <w:rFonts w:ascii="宋体"/>
          <w:color w:val="auto"/>
        </w:rPr>
      </w:pPr>
      <w:r>
        <w:rPr>
          <w:rFonts w:hint="eastAsia" w:ascii="宋体" w:hAnsi="宋体"/>
          <w:color w:val="auto"/>
        </w:rPr>
        <w:t>（</w:t>
      </w:r>
      <w:r>
        <w:rPr>
          <w:rFonts w:ascii="宋体" w:hAnsi="宋体"/>
          <w:color w:val="auto"/>
        </w:rPr>
        <w:t>7</w:t>
      </w:r>
      <w:r>
        <w:rPr>
          <w:rFonts w:hint="eastAsia" w:ascii="宋体" w:hAnsi="宋体"/>
          <w:color w:val="auto"/>
        </w:rPr>
        <w:t>）图纸；</w:t>
      </w:r>
    </w:p>
    <w:p w14:paraId="2ABCA464">
      <w:pPr>
        <w:spacing w:line="360" w:lineRule="auto"/>
        <w:ind w:firstLine="315" w:firstLineChars="150"/>
        <w:rPr>
          <w:rFonts w:ascii="宋体"/>
          <w:color w:val="auto"/>
        </w:rPr>
      </w:pPr>
      <w:r>
        <w:rPr>
          <w:rFonts w:hint="eastAsia" w:ascii="宋体" w:hAnsi="宋体"/>
          <w:color w:val="auto"/>
        </w:rPr>
        <w:t>（</w:t>
      </w:r>
      <w:r>
        <w:rPr>
          <w:rFonts w:ascii="宋体" w:hAnsi="宋体"/>
          <w:color w:val="auto"/>
        </w:rPr>
        <w:t>8</w:t>
      </w:r>
      <w:r>
        <w:rPr>
          <w:rFonts w:hint="eastAsia" w:ascii="宋体" w:hAnsi="宋体"/>
          <w:color w:val="auto"/>
        </w:rPr>
        <w:t>）已标价工程量清单；</w:t>
      </w:r>
    </w:p>
    <w:p w14:paraId="50D95E68">
      <w:pPr>
        <w:spacing w:line="360" w:lineRule="auto"/>
        <w:ind w:firstLine="315" w:firstLineChars="150"/>
        <w:rPr>
          <w:rFonts w:ascii="宋体"/>
          <w:color w:val="auto"/>
        </w:rPr>
      </w:pPr>
      <w:r>
        <w:rPr>
          <w:rFonts w:hint="eastAsia" w:ascii="宋体" w:hAnsi="宋体"/>
          <w:color w:val="auto"/>
        </w:rPr>
        <w:t>（</w:t>
      </w:r>
      <w:r>
        <w:rPr>
          <w:rFonts w:ascii="宋体" w:hAnsi="宋体"/>
          <w:color w:val="auto"/>
        </w:rPr>
        <w:t>9</w:t>
      </w:r>
      <w:r>
        <w:rPr>
          <w:rFonts w:hint="eastAsia" w:ascii="宋体" w:hAnsi="宋体"/>
          <w:color w:val="auto"/>
        </w:rPr>
        <w:t>）其他合同文件。</w:t>
      </w:r>
    </w:p>
    <w:p w14:paraId="2D07D9EE">
      <w:pPr>
        <w:spacing w:line="360" w:lineRule="auto"/>
        <w:ind w:firstLine="420" w:firstLineChars="200"/>
        <w:rPr>
          <w:rFonts w:ascii="宋体"/>
          <w:color w:val="auto"/>
        </w:rPr>
      </w:pPr>
      <w:r>
        <w:rPr>
          <w:rFonts w:hint="eastAsia" w:ascii="宋体" w:hAnsi="宋体"/>
          <w:color w:val="auto"/>
        </w:rPr>
        <w:t>附注：构成合同文件的图纸与技术标准和要求之间有矛盾或者不一致的，应以其中要求较严格的标准为准。</w:t>
      </w:r>
    </w:p>
    <w:p w14:paraId="2596C2EB">
      <w:pPr>
        <w:spacing w:line="360" w:lineRule="auto"/>
        <w:ind w:firstLine="420" w:firstLineChars="200"/>
        <w:rPr>
          <w:rFonts w:ascii="宋体"/>
          <w:color w:val="auto"/>
        </w:rPr>
      </w:pPr>
      <w:r>
        <w:rPr>
          <w:rFonts w:hint="eastAsia" w:ascii="宋体" w:hAnsi="宋体"/>
          <w:color w:val="auto"/>
        </w:rPr>
        <w:t>合同双方在合同履行过程中签署的不背离合同实质性内容的补充协议，应当视为合同文件的有效组成部分，其解释顺序视其内容与其他合同文件的相互关系而定。</w:t>
      </w:r>
    </w:p>
    <w:p w14:paraId="20EBA52C">
      <w:pPr>
        <w:keepNext/>
        <w:keepLines/>
        <w:spacing w:beforeLines="50" w:afterLines="50" w:line="360" w:lineRule="auto"/>
        <w:outlineLvl w:val="2"/>
        <w:rPr>
          <w:rFonts w:ascii="宋体" w:hAnsi="宋体"/>
          <w:color w:val="auto"/>
          <w:sz w:val="24"/>
          <w:szCs w:val="20"/>
        </w:rPr>
      </w:pPr>
      <w:bookmarkStart w:id="705" w:name="_Toc490222492"/>
      <w:bookmarkStart w:id="706" w:name="_Toc489279858"/>
      <w:bookmarkStart w:id="707" w:name="_Toc497213723"/>
      <w:bookmarkStart w:id="708" w:name="_Toc486580047"/>
      <w:bookmarkStart w:id="709" w:name="_Toc117597473"/>
      <w:r>
        <w:rPr>
          <w:rFonts w:ascii="宋体" w:hAnsi="宋体"/>
          <w:color w:val="auto"/>
          <w:sz w:val="24"/>
          <w:szCs w:val="20"/>
        </w:rPr>
        <w:t xml:space="preserve">1.5  </w:t>
      </w:r>
      <w:r>
        <w:rPr>
          <w:rFonts w:hint="eastAsia" w:ascii="宋体" w:hAnsi="宋体"/>
          <w:color w:val="auto"/>
          <w:sz w:val="24"/>
          <w:szCs w:val="20"/>
        </w:rPr>
        <w:t>合同协议书</w:t>
      </w:r>
      <w:bookmarkEnd w:id="705"/>
      <w:bookmarkEnd w:id="706"/>
      <w:bookmarkEnd w:id="707"/>
      <w:bookmarkEnd w:id="708"/>
      <w:bookmarkEnd w:id="709"/>
    </w:p>
    <w:p w14:paraId="44E8A33C">
      <w:pPr>
        <w:spacing w:line="360" w:lineRule="auto"/>
        <w:ind w:firstLine="420" w:firstLineChars="200"/>
        <w:rPr>
          <w:rFonts w:ascii="宋体"/>
          <w:color w:val="auto"/>
        </w:rPr>
      </w:pPr>
      <w:r>
        <w:rPr>
          <w:rFonts w:hint="eastAsia" w:ascii="宋体" w:hAnsi="宋体"/>
          <w:color w:val="auto"/>
        </w:rPr>
        <w:t>指由发包人与承包人共同签署的用于明确当事人合同关系的文件。承包人按照中标通知书规定的时间与发包人签订的合同协议书，除法律另有规定或合同条款专用部分另有约定外，发包人和承包人的法定代表人或其委托代理人在合同协议书上签字并盖单位章后，合同生效。合同生效的条件</w:t>
      </w:r>
      <w:r>
        <w:rPr>
          <w:rFonts w:hint="eastAsia" w:ascii="黑体" w:hAnsi="黑体" w:eastAsia="黑体"/>
          <w:color w:val="auto"/>
        </w:rPr>
        <w:t>见合同条款专用部分</w:t>
      </w:r>
      <w:r>
        <w:rPr>
          <w:rFonts w:hint="eastAsia" w:ascii="宋体" w:hAnsi="宋体"/>
          <w:color w:val="auto"/>
        </w:rPr>
        <w:t>。</w:t>
      </w:r>
    </w:p>
    <w:p w14:paraId="05AE2EA7">
      <w:pPr>
        <w:keepNext/>
        <w:keepLines/>
        <w:spacing w:beforeLines="50" w:afterLines="50" w:line="360" w:lineRule="auto"/>
        <w:outlineLvl w:val="2"/>
        <w:rPr>
          <w:rFonts w:ascii="宋体" w:hAnsi="宋体"/>
          <w:color w:val="auto"/>
          <w:sz w:val="24"/>
          <w:szCs w:val="20"/>
        </w:rPr>
      </w:pPr>
      <w:bookmarkStart w:id="710" w:name="_Toc497213724"/>
      <w:bookmarkStart w:id="711" w:name="_Toc490222493"/>
      <w:bookmarkStart w:id="712" w:name="_Toc486580048"/>
      <w:bookmarkStart w:id="713" w:name="_Toc489279859"/>
      <w:bookmarkStart w:id="714" w:name="_Toc117597474"/>
      <w:r>
        <w:rPr>
          <w:rFonts w:ascii="宋体" w:hAnsi="宋体"/>
          <w:color w:val="auto"/>
          <w:sz w:val="24"/>
          <w:szCs w:val="20"/>
        </w:rPr>
        <w:t xml:space="preserve">1.6  </w:t>
      </w:r>
      <w:r>
        <w:rPr>
          <w:rFonts w:hint="eastAsia" w:ascii="宋体" w:hAnsi="宋体"/>
          <w:color w:val="auto"/>
          <w:sz w:val="24"/>
          <w:szCs w:val="20"/>
        </w:rPr>
        <w:t>图纸和承包人文件</w:t>
      </w:r>
      <w:bookmarkEnd w:id="710"/>
      <w:bookmarkEnd w:id="711"/>
      <w:bookmarkEnd w:id="712"/>
      <w:bookmarkEnd w:id="713"/>
      <w:bookmarkEnd w:id="714"/>
    </w:p>
    <w:p w14:paraId="140E48B7">
      <w:pPr>
        <w:spacing w:line="360" w:lineRule="auto"/>
        <w:ind w:firstLine="420" w:firstLineChars="200"/>
        <w:rPr>
          <w:rFonts w:ascii="宋体"/>
          <w:color w:val="auto"/>
        </w:rPr>
      </w:pPr>
      <w:r>
        <w:rPr>
          <w:rFonts w:ascii="宋体" w:hAnsi="宋体"/>
          <w:color w:val="auto"/>
        </w:rPr>
        <w:t xml:space="preserve">1.6.1  </w:t>
      </w:r>
      <w:r>
        <w:rPr>
          <w:rFonts w:hint="eastAsia" w:ascii="宋体" w:hAnsi="宋体"/>
          <w:color w:val="auto"/>
        </w:rPr>
        <w:t>图纸的提供</w:t>
      </w:r>
    </w:p>
    <w:p w14:paraId="4BD8403E">
      <w:pPr>
        <w:spacing w:line="360" w:lineRule="auto"/>
        <w:ind w:firstLine="420" w:firstLineChars="200"/>
        <w:rPr>
          <w:rFonts w:ascii="宋体"/>
          <w:color w:val="auto"/>
        </w:rPr>
      </w:pPr>
      <w:r>
        <w:rPr>
          <w:rFonts w:hint="eastAsia" w:ascii="宋体" w:hAnsi="宋体"/>
          <w:color w:val="auto"/>
        </w:rPr>
        <w:t>（</w:t>
      </w:r>
      <w:r>
        <w:rPr>
          <w:rFonts w:ascii="宋体" w:hAnsi="宋体"/>
          <w:color w:val="auto"/>
        </w:rPr>
        <w:t>1</w:t>
      </w:r>
      <w:r>
        <w:rPr>
          <w:rFonts w:hint="eastAsia" w:ascii="宋体" w:hAnsi="宋体"/>
          <w:color w:val="auto"/>
        </w:rPr>
        <w:t>）发包人按照合同约定向承包人提供图纸。发包人未按时提供图纸造成工期延误的，按第</w:t>
      </w:r>
      <w:r>
        <w:rPr>
          <w:rFonts w:ascii="宋体" w:hAnsi="宋体"/>
          <w:color w:val="auto"/>
        </w:rPr>
        <w:t>11.3</w:t>
      </w:r>
      <w:r>
        <w:rPr>
          <w:rFonts w:hint="eastAsia" w:ascii="宋体" w:hAnsi="宋体"/>
          <w:color w:val="auto"/>
        </w:rPr>
        <w:t>款的约定办理。承包人需要增加图纸套数的，发包人应代为复制，复制费用由承包人承担。</w:t>
      </w:r>
    </w:p>
    <w:p w14:paraId="18F42E7F">
      <w:pPr>
        <w:spacing w:line="360" w:lineRule="auto"/>
        <w:ind w:firstLine="420" w:firstLineChars="200"/>
        <w:rPr>
          <w:rFonts w:ascii="宋体"/>
          <w:color w:val="auto"/>
        </w:rPr>
      </w:pPr>
      <w:r>
        <w:rPr>
          <w:rFonts w:hint="eastAsia" w:ascii="宋体" w:hAnsi="宋体"/>
          <w:color w:val="auto"/>
        </w:rPr>
        <w:t>（</w:t>
      </w:r>
      <w:r>
        <w:rPr>
          <w:rFonts w:ascii="宋体" w:hAnsi="宋体"/>
          <w:color w:val="auto"/>
        </w:rPr>
        <w:t>2</w:t>
      </w:r>
      <w:r>
        <w:rPr>
          <w:rFonts w:hint="eastAsia" w:ascii="宋体" w:hAnsi="宋体"/>
          <w:color w:val="auto"/>
        </w:rPr>
        <w:t>）依据合同条款专用部分第</w:t>
      </w:r>
      <w:r>
        <w:rPr>
          <w:rFonts w:ascii="宋体" w:hAnsi="宋体"/>
          <w:color w:val="auto"/>
        </w:rPr>
        <w:t>10.1</w:t>
      </w:r>
      <w:r>
        <w:rPr>
          <w:rFonts w:hint="eastAsia" w:ascii="宋体" w:hAnsi="宋体"/>
          <w:color w:val="auto"/>
        </w:rPr>
        <w:t>款约定制定的合同进度计划，或依据合同条款专用部分第</w:t>
      </w:r>
      <w:r>
        <w:rPr>
          <w:rFonts w:ascii="宋体" w:hAnsi="宋体"/>
          <w:color w:val="auto"/>
        </w:rPr>
        <w:t>10.2</w:t>
      </w:r>
      <w:r>
        <w:rPr>
          <w:rFonts w:hint="eastAsia" w:ascii="宋体" w:hAnsi="宋体"/>
          <w:color w:val="auto"/>
        </w:rPr>
        <w:t>款约定修订的合同进度计划，经监理人批准后</w:t>
      </w:r>
      <w:r>
        <w:rPr>
          <w:rFonts w:ascii="宋体" w:hAnsi="宋体"/>
          <w:color w:val="auto"/>
        </w:rPr>
        <w:t>7</w:t>
      </w:r>
      <w:r>
        <w:rPr>
          <w:rFonts w:hint="eastAsia" w:ascii="宋体" w:hAnsi="宋体"/>
          <w:color w:val="auto"/>
        </w:rPr>
        <w:t>日内，承包人应当根据合同进度计划或合同进度计划修订和本项约定的图纸提供期限和数量，编制或者修改图纸供应计划并报送监理人，其中应当载明承包人对各最新版本图纸</w:t>
      </w:r>
      <w:r>
        <w:rPr>
          <w:rFonts w:ascii="宋体" w:hAnsi="宋体"/>
          <w:color w:val="auto"/>
        </w:rPr>
        <w:t>(</w:t>
      </w:r>
      <w:r>
        <w:rPr>
          <w:rFonts w:hint="eastAsia" w:ascii="宋体" w:hAnsi="宋体"/>
          <w:color w:val="auto"/>
        </w:rPr>
        <w:t>包括第</w:t>
      </w:r>
      <w:r>
        <w:rPr>
          <w:rFonts w:ascii="宋体" w:hAnsi="宋体"/>
          <w:color w:val="auto"/>
        </w:rPr>
        <w:t>1.6.3</w:t>
      </w:r>
      <w:r>
        <w:rPr>
          <w:rFonts w:hint="eastAsia" w:ascii="宋体" w:hAnsi="宋体"/>
          <w:color w:val="auto"/>
        </w:rPr>
        <w:t>项约定的图纸修改图</w:t>
      </w:r>
      <w:r>
        <w:rPr>
          <w:rFonts w:ascii="宋体" w:hAnsi="宋体"/>
          <w:color w:val="auto"/>
        </w:rPr>
        <w:t>)</w:t>
      </w:r>
      <w:r>
        <w:rPr>
          <w:rFonts w:hint="eastAsia" w:ascii="宋体" w:hAnsi="宋体"/>
          <w:color w:val="auto"/>
        </w:rPr>
        <w:t>的最迟需求时间，监理人应当在收到图纸供应计划后</w:t>
      </w:r>
      <w:r>
        <w:rPr>
          <w:rFonts w:ascii="宋体" w:hAnsi="宋体"/>
          <w:color w:val="auto"/>
        </w:rPr>
        <w:t>7</w:t>
      </w:r>
      <w:r>
        <w:rPr>
          <w:rFonts w:hint="eastAsia" w:ascii="宋体" w:hAnsi="宋体"/>
          <w:color w:val="auto"/>
        </w:rPr>
        <w:t>天内批复或提出修改意见，否则该图纸供应计划视为得到批准。</w:t>
      </w:r>
    </w:p>
    <w:p w14:paraId="35F8C6EC">
      <w:pPr>
        <w:spacing w:line="360" w:lineRule="auto"/>
        <w:ind w:firstLine="420" w:firstLineChars="200"/>
        <w:rPr>
          <w:rFonts w:ascii="宋体"/>
          <w:color w:val="auto"/>
        </w:rPr>
      </w:pPr>
      <w:r>
        <w:rPr>
          <w:rFonts w:hint="eastAsia" w:ascii="宋体" w:hAnsi="宋体"/>
          <w:color w:val="auto"/>
        </w:rPr>
        <w:t>（</w:t>
      </w:r>
      <w:r>
        <w:rPr>
          <w:rFonts w:ascii="宋体" w:hAnsi="宋体"/>
          <w:color w:val="auto"/>
        </w:rPr>
        <w:t>3</w:t>
      </w:r>
      <w:r>
        <w:rPr>
          <w:rFonts w:hint="eastAsia" w:ascii="宋体" w:hAnsi="宋体"/>
          <w:color w:val="auto"/>
        </w:rPr>
        <w:t>）经监理人批准最新的图纸供应计划对合同双方有合同约束力，应当作为发包人或者监理人向承包人提供图纸的主要依据。发包人或者监理人不按照图纸供应计划提供图纸而导致承包人费用增加和（或）工期延误的，由发包人承担赔偿责任。</w:t>
      </w:r>
    </w:p>
    <w:p w14:paraId="42FF2417">
      <w:pPr>
        <w:spacing w:line="360" w:lineRule="auto"/>
        <w:ind w:firstLine="420" w:firstLineChars="200"/>
        <w:rPr>
          <w:rFonts w:ascii="宋体"/>
          <w:color w:val="auto"/>
        </w:rPr>
      </w:pPr>
      <w:r>
        <w:rPr>
          <w:rFonts w:hint="eastAsia" w:ascii="宋体" w:hAnsi="宋体"/>
          <w:color w:val="auto"/>
        </w:rPr>
        <w:t>（</w:t>
      </w:r>
      <w:r>
        <w:rPr>
          <w:rFonts w:ascii="宋体" w:hAnsi="宋体"/>
          <w:color w:val="auto"/>
        </w:rPr>
        <w:t>4</w:t>
      </w:r>
      <w:r>
        <w:rPr>
          <w:rFonts w:hint="eastAsia" w:ascii="宋体" w:hAnsi="宋体"/>
          <w:color w:val="auto"/>
        </w:rPr>
        <w:t>）承包人未按照约定的时间向监理人提交图纸供应计划</w:t>
      </w:r>
      <w:r>
        <w:rPr>
          <w:rFonts w:ascii="宋体"/>
          <w:color w:val="auto"/>
        </w:rPr>
        <w:t>,</w:t>
      </w:r>
      <w:r>
        <w:rPr>
          <w:rFonts w:hint="eastAsia" w:ascii="宋体" w:hAnsi="宋体"/>
          <w:color w:val="auto"/>
        </w:rPr>
        <w:t>致使发包人或者监理人未能在约定的时间内提供相应图纸或者承包人未按照图纸供应计划组织施工所造成的费用增加和（或）工期延误由承包人承担。</w:t>
      </w:r>
    </w:p>
    <w:p w14:paraId="28843066">
      <w:pPr>
        <w:spacing w:line="360" w:lineRule="auto"/>
        <w:ind w:firstLine="420" w:firstLineChars="200"/>
        <w:rPr>
          <w:rFonts w:ascii="宋体"/>
          <w:color w:val="auto"/>
        </w:rPr>
      </w:pPr>
      <w:r>
        <w:rPr>
          <w:rFonts w:hint="eastAsia" w:ascii="宋体" w:hAnsi="宋体"/>
          <w:color w:val="auto"/>
        </w:rPr>
        <w:t>（</w:t>
      </w:r>
      <w:r>
        <w:rPr>
          <w:rFonts w:ascii="宋体" w:hAnsi="宋体"/>
          <w:color w:val="auto"/>
        </w:rPr>
        <w:t>5</w:t>
      </w:r>
      <w:r>
        <w:rPr>
          <w:rFonts w:hint="eastAsia" w:ascii="宋体" w:hAnsi="宋体"/>
          <w:color w:val="auto"/>
        </w:rPr>
        <w:t>）发包人提供图纸的期限、数量和其他约定</w:t>
      </w:r>
      <w:r>
        <w:rPr>
          <w:rFonts w:hint="eastAsia" w:ascii="黑体" w:hAnsi="黑体" w:eastAsia="黑体"/>
          <w:color w:val="auto"/>
        </w:rPr>
        <w:t>见合同条款专用部分</w:t>
      </w:r>
      <w:r>
        <w:rPr>
          <w:rFonts w:hint="eastAsia" w:ascii="宋体" w:hAnsi="宋体"/>
          <w:color w:val="auto"/>
        </w:rPr>
        <w:t>。</w:t>
      </w:r>
    </w:p>
    <w:p w14:paraId="1E414257">
      <w:pPr>
        <w:spacing w:line="360" w:lineRule="auto"/>
        <w:ind w:firstLine="420" w:firstLineChars="200"/>
        <w:rPr>
          <w:rFonts w:ascii="宋体"/>
          <w:color w:val="auto"/>
        </w:rPr>
      </w:pPr>
      <w:r>
        <w:rPr>
          <w:rFonts w:ascii="宋体" w:hAnsi="宋体"/>
          <w:color w:val="auto"/>
        </w:rPr>
        <w:t xml:space="preserve">1.6.2  </w:t>
      </w:r>
      <w:r>
        <w:rPr>
          <w:rFonts w:hint="eastAsia" w:ascii="宋体" w:hAnsi="宋体"/>
          <w:color w:val="auto"/>
        </w:rPr>
        <w:t>承包人提供的文件</w:t>
      </w:r>
    </w:p>
    <w:p w14:paraId="0BF3A17F">
      <w:pPr>
        <w:spacing w:line="360" w:lineRule="auto"/>
        <w:ind w:firstLine="420" w:firstLineChars="200"/>
        <w:rPr>
          <w:rFonts w:ascii="宋体"/>
          <w:color w:val="auto"/>
        </w:rPr>
      </w:pPr>
      <w:r>
        <w:rPr>
          <w:rFonts w:hint="eastAsia" w:ascii="宋体" w:hAnsi="宋体"/>
          <w:color w:val="auto"/>
        </w:rPr>
        <w:t>（</w:t>
      </w:r>
      <w:r>
        <w:rPr>
          <w:rFonts w:ascii="宋体" w:hAnsi="宋体"/>
          <w:color w:val="auto"/>
        </w:rPr>
        <w:t>1</w:t>
      </w:r>
      <w:r>
        <w:rPr>
          <w:rFonts w:hint="eastAsia" w:ascii="宋体" w:hAnsi="宋体"/>
          <w:color w:val="auto"/>
        </w:rPr>
        <w:t>）由承包人提供的文件包括部分工程的大样图、加工图等，承包人应当按照约定的范围、数量和期限报送监理人，监理人应当在约定的期限内批复。承包人提供文件的范围、数量、期限和监理人批复期限以及其他约定</w:t>
      </w:r>
      <w:r>
        <w:rPr>
          <w:rFonts w:hint="eastAsia" w:ascii="黑体" w:hAnsi="黑体" w:eastAsia="黑体"/>
          <w:color w:val="auto"/>
        </w:rPr>
        <w:t>见合同条款专用部分</w:t>
      </w:r>
      <w:r>
        <w:rPr>
          <w:rFonts w:hint="eastAsia" w:ascii="宋体" w:hAnsi="宋体"/>
          <w:color w:val="auto"/>
        </w:rPr>
        <w:t>。</w:t>
      </w:r>
    </w:p>
    <w:p w14:paraId="121DADBE">
      <w:pPr>
        <w:spacing w:line="360" w:lineRule="auto"/>
        <w:ind w:firstLine="420" w:firstLineChars="200"/>
        <w:rPr>
          <w:rFonts w:ascii="宋体"/>
          <w:color w:val="auto"/>
        </w:rPr>
      </w:pPr>
      <w:r>
        <w:rPr>
          <w:rFonts w:hint="eastAsia" w:ascii="宋体" w:hAnsi="宋体"/>
          <w:color w:val="auto"/>
        </w:rPr>
        <w:t>（</w:t>
      </w:r>
      <w:r>
        <w:rPr>
          <w:rFonts w:ascii="宋体" w:hAnsi="宋体"/>
          <w:color w:val="auto"/>
        </w:rPr>
        <w:t>2</w:t>
      </w:r>
      <w:r>
        <w:rPr>
          <w:rFonts w:hint="eastAsia" w:ascii="宋体" w:hAnsi="宋体"/>
          <w:color w:val="auto"/>
        </w:rPr>
        <w:t>）除合同条款第</w:t>
      </w:r>
      <w:r>
        <w:rPr>
          <w:rFonts w:ascii="宋体" w:hAnsi="宋体"/>
          <w:color w:val="auto"/>
        </w:rPr>
        <w:t>4.1.10</w:t>
      </w:r>
      <w:r>
        <w:rPr>
          <w:rFonts w:hint="eastAsia" w:ascii="宋体" w:hAnsi="宋体"/>
          <w:color w:val="auto"/>
        </w:rPr>
        <w:t>项约定的由承包人提供的设计文件外，本项约定的其他应由承包人提供的文件，包括必要的加工图和大样图，均不能作为合同计量与支付的依据文件。</w:t>
      </w:r>
    </w:p>
    <w:p w14:paraId="20B595A7">
      <w:pPr>
        <w:spacing w:line="360" w:lineRule="auto"/>
        <w:ind w:firstLine="420" w:firstLineChars="200"/>
        <w:rPr>
          <w:rFonts w:ascii="宋体"/>
          <w:color w:val="auto"/>
        </w:rPr>
      </w:pPr>
      <w:r>
        <w:rPr>
          <w:rFonts w:ascii="宋体" w:hAnsi="宋体"/>
          <w:color w:val="auto"/>
        </w:rPr>
        <w:t xml:space="preserve">1.6.3  </w:t>
      </w:r>
      <w:r>
        <w:rPr>
          <w:rFonts w:hint="eastAsia" w:ascii="宋体" w:hAnsi="宋体"/>
          <w:color w:val="auto"/>
        </w:rPr>
        <w:t>图纸的修改</w:t>
      </w:r>
    </w:p>
    <w:p w14:paraId="5D0DE50D">
      <w:pPr>
        <w:spacing w:line="360" w:lineRule="auto"/>
        <w:ind w:firstLine="420" w:firstLineChars="200"/>
        <w:rPr>
          <w:rFonts w:ascii="宋体"/>
          <w:color w:val="auto"/>
        </w:rPr>
      </w:pPr>
      <w:r>
        <w:rPr>
          <w:rFonts w:hint="eastAsia" w:ascii="宋体" w:hAnsi="宋体"/>
          <w:color w:val="auto"/>
        </w:rPr>
        <w:t>图纸需要修改和补充的，监理人应当按照合同条款第</w:t>
      </w:r>
      <w:r>
        <w:rPr>
          <w:rFonts w:ascii="宋体" w:hAnsi="宋体"/>
          <w:color w:val="auto"/>
        </w:rPr>
        <w:t>1.6.1</w:t>
      </w:r>
      <w:r>
        <w:rPr>
          <w:rFonts w:hint="eastAsia" w:ascii="宋体" w:hAnsi="宋体"/>
          <w:color w:val="auto"/>
        </w:rPr>
        <w:t>（</w:t>
      </w:r>
      <w:r>
        <w:rPr>
          <w:rFonts w:ascii="宋体" w:hAnsi="宋体"/>
          <w:color w:val="auto"/>
        </w:rPr>
        <w:t>2</w:t>
      </w:r>
      <w:r>
        <w:rPr>
          <w:rFonts w:hint="eastAsia" w:ascii="宋体" w:hAnsi="宋体"/>
          <w:color w:val="auto"/>
        </w:rPr>
        <w:t>）目约定的有合同约束力的图纸供应计划，签发图纸修改图给承包人。承包人应按修改后的图纸施工。</w:t>
      </w:r>
    </w:p>
    <w:p w14:paraId="13D3CDC4">
      <w:pPr>
        <w:spacing w:line="360" w:lineRule="auto"/>
        <w:ind w:firstLine="420" w:firstLineChars="200"/>
        <w:rPr>
          <w:rFonts w:ascii="宋体"/>
          <w:color w:val="auto"/>
        </w:rPr>
      </w:pPr>
      <w:r>
        <w:rPr>
          <w:rFonts w:ascii="宋体" w:hAnsi="宋体"/>
          <w:color w:val="auto"/>
        </w:rPr>
        <w:t xml:space="preserve">1.6.4  </w:t>
      </w:r>
      <w:r>
        <w:rPr>
          <w:rFonts w:hint="eastAsia" w:ascii="宋体" w:hAnsi="宋体"/>
          <w:color w:val="auto"/>
        </w:rPr>
        <w:t>图纸的错误</w:t>
      </w:r>
    </w:p>
    <w:p w14:paraId="6176E952">
      <w:pPr>
        <w:spacing w:line="360" w:lineRule="auto"/>
        <w:ind w:firstLine="420" w:firstLineChars="200"/>
        <w:rPr>
          <w:rFonts w:ascii="宋体"/>
          <w:color w:val="auto"/>
        </w:rPr>
      </w:pPr>
      <w:r>
        <w:rPr>
          <w:rFonts w:hint="eastAsia" w:ascii="宋体" w:hAnsi="宋体"/>
          <w:color w:val="auto"/>
        </w:rPr>
        <w:t>承包人发现发包人提供的图纸存在明显错误或疏忽，应及时通知监理人。</w:t>
      </w:r>
    </w:p>
    <w:p w14:paraId="24552786">
      <w:pPr>
        <w:spacing w:line="360" w:lineRule="auto"/>
        <w:ind w:firstLine="420" w:firstLineChars="200"/>
        <w:rPr>
          <w:rFonts w:ascii="宋体"/>
          <w:color w:val="auto"/>
        </w:rPr>
      </w:pPr>
      <w:r>
        <w:rPr>
          <w:rFonts w:ascii="宋体" w:hAnsi="宋体"/>
          <w:color w:val="auto"/>
        </w:rPr>
        <w:t xml:space="preserve">1.6.5  </w:t>
      </w:r>
      <w:r>
        <w:rPr>
          <w:rFonts w:hint="eastAsia" w:ascii="宋体" w:hAnsi="宋体"/>
          <w:color w:val="auto"/>
        </w:rPr>
        <w:t>图纸和承包人文件的保管</w:t>
      </w:r>
    </w:p>
    <w:p w14:paraId="377EC2CA">
      <w:pPr>
        <w:spacing w:line="360" w:lineRule="auto"/>
        <w:ind w:firstLine="420" w:firstLineChars="200"/>
        <w:rPr>
          <w:rFonts w:ascii="宋体"/>
          <w:color w:val="auto"/>
        </w:rPr>
      </w:pPr>
      <w:r>
        <w:rPr>
          <w:rFonts w:hint="eastAsia" w:ascii="宋体" w:hAnsi="宋体"/>
          <w:color w:val="auto"/>
        </w:rPr>
        <w:t>监理人和承包人均应在施工场地各保存一套完整的包含第</w:t>
      </w:r>
      <w:r>
        <w:rPr>
          <w:rFonts w:ascii="宋体" w:hAnsi="宋体"/>
          <w:color w:val="auto"/>
        </w:rPr>
        <w:t>1.6.1</w:t>
      </w:r>
      <w:r>
        <w:rPr>
          <w:rFonts w:hint="eastAsia" w:ascii="宋体" w:hAnsi="宋体"/>
          <w:color w:val="auto"/>
        </w:rPr>
        <w:t>项、第</w:t>
      </w:r>
      <w:r>
        <w:rPr>
          <w:rFonts w:ascii="宋体" w:hAnsi="宋体"/>
          <w:color w:val="auto"/>
        </w:rPr>
        <w:t>1.6.2</w:t>
      </w:r>
      <w:r>
        <w:rPr>
          <w:rFonts w:hint="eastAsia" w:ascii="宋体" w:hAnsi="宋体"/>
          <w:color w:val="auto"/>
        </w:rPr>
        <w:t>项、第</w:t>
      </w:r>
      <w:r>
        <w:rPr>
          <w:rFonts w:ascii="宋体" w:hAnsi="宋体"/>
          <w:color w:val="auto"/>
        </w:rPr>
        <w:t>1.6.3</w:t>
      </w:r>
      <w:r>
        <w:rPr>
          <w:rFonts w:hint="eastAsia" w:ascii="宋体" w:hAnsi="宋体"/>
          <w:color w:val="auto"/>
        </w:rPr>
        <w:t>项约定内容的图纸和承包人文件。</w:t>
      </w:r>
    </w:p>
    <w:p w14:paraId="27894585">
      <w:pPr>
        <w:keepNext/>
        <w:keepLines/>
        <w:spacing w:beforeLines="50" w:afterLines="50" w:line="360" w:lineRule="auto"/>
        <w:outlineLvl w:val="2"/>
        <w:rPr>
          <w:rFonts w:ascii="宋体" w:hAnsi="宋体"/>
          <w:color w:val="auto"/>
          <w:sz w:val="24"/>
          <w:szCs w:val="20"/>
        </w:rPr>
      </w:pPr>
      <w:bookmarkStart w:id="715" w:name="_Toc490222494"/>
      <w:bookmarkStart w:id="716" w:name="_Toc486580049"/>
      <w:bookmarkStart w:id="717" w:name="_Toc489279860"/>
      <w:bookmarkStart w:id="718" w:name="_Toc497213725"/>
      <w:bookmarkStart w:id="719" w:name="_Toc117597475"/>
      <w:r>
        <w:rPr>
          <w:rFonts w:ascii="宋体" w:hAnsi="宋体"/>
          <w:color w:val="auto"/>
          <w:sz w:val="24"/>
          <w:szCs w:val="20"/>
        </w:rPr>
        <w:t xml:space="preserve">1.7  </w:t>
      </w:r>
      <w:r>
        <w:rPr>
          <w:rFonts w:hint="eastAsia" w:ascii="宋体" w:hAnsi="宋体"/>
          <w:color w:val="auto"/>
          <w:sz w:val="24"/>
          <w:szCs w:val="20"/>
        </w:rPr>
        <w:t>联络</w:t>
      </w:r>
      <w:bookmarkEnd w:id="715"/>
      <w:bookmarkEnd w:id="716"/>
      <w:bookmarkEnd w:id="717"/>
      <w:bookmarkEnd w:id="718"/>
      <w:bookmarkEnd w:id="719"/>
    </w:p>
    <w:p w14:paraId="63DFD6E3">
      <w:pPr>
        <w:spacing w:line="360" w:lineRule="auto"/>
        <w:ind w:firstLine="420" w:firstLineChars="200"/>
        <w:rPr>
          <w:rFonts w:ascii="宋体"/>
          <w:color w:val="auto"/>
        </w:rPr>
      </w:pPr>
      <w:r>
        <w:rPr>
          <w:rFonts w:ascii="宋体" w:hAnsi="宋体"/>
          <w:color w:val="auto"/>
        </w:rPr>
        <w:t xml:space="preserve">1.7.1  </w:t>
      </w:r>
      <w:r>
        <w:rPr>
          <w:rFonts w:hint="eastAsia" w:ascii="宋体" w:hAnsi="宋体"/>
          <w:color w:val="auto"/>
        </w:rPr>
        <w:t>与合同有关的通知、批准、证明、证书、指示、要求、请求、同意、意见、确定和决定等，均应采用书面形式。</w:t>
      </w:r>
    </w:p>
    <w:p w14:paraId="0BA77AA6">
      <w:pPr>
        <w:spacing w:line="360" w:lineRule="auto"/>
        <w:ind w:firstLine="420" w:firstLineChars="200"/>
        <w:rPr>
          <w:rFonts w:ascii="宋体"/>
          <w:color w:val="auto"/>
        </w:rPr>
      </w:pPr>
      <w:r>
        <w:rPr>
          <w:rFonts w:ascii="宋体" w:hAnsi="宋体"/>
          <w:color w:val="auto"/>
        </w:rPr>
        <w:t xml:space="preserve">1.7.2  </w:t>
      </w:r>
      <w:r>
        <w:rPr>
          <w:rFonts w:hint="eastAsia" w:ascii="宋体" w:hAnsi="宋体"/>
          <w:color w:val="auto"/>
        </w:rPr>
        <w:t>第</w:t>
      </w:r>
      <w:r>
        <w:rPr>
          <w:rFonts w:ascii="宋体" w:hAnsi="宋体"/>
          <w:color w:val="auto"/>
        </w:rPr>
        <w:t>1.7.1</w:t>
      </w:r>
      <w:r>
        <w:rPr>
          <w:rFonts w:hint="eastAsia" w:ascii="宋体" w:hAnsi="宋体"/>
          <w:color w:val="auto"/>
        </w:rPr>
        <w:t>项中的通知、批准、证明、证书、指示、要求、请求、同意、意见、确定和决定等来往函件，均应在合同约定的期限内送达指定地点和接收人，并办理签收手续。</w:t>
      </w:r>
    </w:p>
    <w:p w14:paraId="17E28F85">
      <w:pPr>
        <w:spacing w:line="360" w:lineRule="auto"/>
        <w:ind w:firstLine="420" w:firstLineChars="200"/>
        <w:rPr>
          <w:rFonts w:ascii="宋体"/>
          <w:color w:val="auto"/>
        </w:rPr>
      </w:pPr>
      <w:r>
        <w:rPr>
          <w:rFonts w:hint="eastAsia" w:ascii="宋体" w:hAnsi="宋体"/>
          <w:color w:val="auto"/>
        </w:rPr>
        <w:t>（</w:t>
      </w:r>
      <w:r>
        <w:rPr>
          <w:rFonts w:ascii="宋体" w:hAnsi="宋体"/>
          <w:color w:val="auto"/>
        </w:rPr>
        <w:t>1</w:t>
      </w:r>
      <w:r>
        <w:rPr>
          <w:rFonts w:hint="eastAsia" w:ascii="宋体" w:hAnsi="宋体"/>
          <w:color w:val="auto"/>
        </w:rPr>
        <w:t>）联络来往信函的送达期限：合同约定了发出期限的，送达期限为合同约定的发出期限后的</w:t>
      </w:r>
      <w:r>
        <w:rPr>
          <w:rFonts w:ascii="宋体" w:hAnsi="宋体"/>
          <w:color w:val="auto"/>
        </w:rPr>
        <w:t>24</w:t>
      </w:r>
      <w:r>
        <w:rPr>
          <w:rFonts w:hint="eastAsia" w:ascii="宋体" w:hAnsi="宋体"/>
          <w:color w:val="auto"/>
        </w:rPr>
        <w:t>小时内；合同约定了通知、提供或者报送期限的，通知、提供或者报送期限即为送达期限。</w:t>
      </w:r>
    </w:p>
    <w:p w14:paraId="1D827FCE">
      <w:pPr>
        <w:spacing w:line="360" w:lineRule="auto"/>
        <w:ind w:firstLine="420" w:firstLineChars="200"/>
        <w:rPr>
          <w:rFonts w:ascii="宋体"/>
          <w:color w:val="auto"/>
        </w:rPr>
      </w:pPr>
      <w:r>
        <w:rPr>
          <w:rFonts w:hint="eastAsia" w:ascii="宋体" w:hAnsi="宋体"/>
          <w:color w:val="auto"/>
        </w:rPr>
        <w:t>（</w:t>
      </w:r>
      <w:r>
        <w:rPr>
          <w:rFonts w:ascii="宋体" w:hAnsi="宋体"/>
          <w:color w:val="auto"/>
        </w:rPr>
        <w:t>2</w:t>
      </w:r>
      <w:r>
        <w:rPr>
          <w:rFonts w:hint="eastAsia" w:ascii="宋体" w:hAnsi="宋体"/>
          <w:color w:val="auto"/>
        </w:rPr>
        <w:t>）发包人指定的接收人和接收地点</w:t>
      </w:r>
      <w:r>
        <w:rPr>
          <w:rFonts w:hint="eastAsia" w:ascii="黑体" w:hAnsi="黑体" w:eastAsia="黑体"/>
          <w:color w:val="auto"/>
        </w:rPr>
        <w:t>见合同条款专用部分</w:t>
      </w:r>
      <w:r>
        <w:rPr>
          <w:rFonts w:hint="eastAsia" w:ascii="宋体" w:hAnsi="宋体"/>
          <w:color w:val="auto"/>
        </w:rPr>
        <w:t>。</w:t>
      </w:r>
    </w:p>
    <w:p w14:paraId="219A53A9">
      <w:pPr>
        <w:spacing w:line="360" w:lineRule="auto"/>
        <w:ind w:firstLine="420" w:firstLineChars="200"/>
        <w:rPr>
          <w:rFonts w:ascii="宋体"/>
          <w:color w:val="auto"/>
        </w:rPr>
      </w:pPr>
      <w:r>
        <w:rPr>
          <w:rFonts w:hint="eastAsia" w:ascii="宋体" w:hAnsi="宋体"/>
          <w:color w:val="auto"/>
        </w:rPr>
        <w:t>（</w:t>
      </w:r>
      <w:r>
        <w:rPr>
          <w:rFonts w:ascii="宋体" w:hAnsi="宋体"/>
          <w:color w:val="auto"/>
        </w:rPr>
        <w:t>3</w:t>
      </w:r>
      <w:r>
        <w:rPr>
          <w:rFonts w:hint="eastAsia" w:ascii="宋体" w:hAnsi="宋体"/>
          <w:color w:val="auto"/>
        </w:rPr>
        <w:t>）监理人指定的接收人和接收地点</w:t>
      </w:r>
      <w:r>
        <w:rPr>
          <w:rFonts w:hint="eastAsia" w:ascii="黑体" w:hAnsi="黑体" w:eastAsia="黑体"/>
          <w:color w:val="auto"/>
        </w:rPr>
        <w:t>见合同条款专用部分</w:t>
      </w:r>
      <w:r>
        <w:rPr>
          <w:rFonts w:hint="eastAsia" w:ascii="宋体" w:hAnsi="宋体"/>
          <w:color w:val="auto"/>
        </w:rPr>
        <w:t>。</w:t>
      </w:r>
    </w:p>
    <w:p w14:paraId="036A9F19">
      <w:pPr>
        <w:spacing w:line="360" w:lineRule="auto"/>
        <w:ind w:firstLine="420" w:firstLineChars="200"/>
        <w:rPr>
          <w:rFonts w:ascii="宋体"/>
          <w:color w:val="auto"/>
        </w:rPr>
      </w:pPr>
      <w:r>
        <w:rPr>
          <w:rFonts w:hint="eastAsia" w:ascii="宋体" w:hAnsi="宋体"/>
          <w:color w:val="auto"/>
        </w:rPr>
        <w:t>（</w:t>
      </w:r>
      <w:r>
        <w:rPr>
          <w:rFonts w:ascii="宋体" w:hAnsi="宋体"/>
          <w:color w:val="auto"/>
        </w:rPr>
        <w:t>4</w:t>
      </w:r>
      <w:r>
        <w:rPr>
          <w:rFonts w:hint="eastAsia" w:ascii="宋体" w:hAnsi="宋体"/>
          <w:color w:val="auto"/>
        </w:rPr>
        <w:t>）承包人指定的接收人为合同协议书中载明的承包人项目经理本人或者项目经理的授权代表。承包人应在收到开工通知后</w:t>
      </w:r>
      <w:r>
        <w:rPr>
          <w:rFonts w:ascii="宋体" w:hAnsi="宋体"/>
          <w:color w:val="auto"/>
        </w:rPr>
        <w:t>7</w:t>
      </w:r>
      <w:r>
        <w:rPr>
          <w:rFonts w:hint="eastAsia" w:ascii="宋体" w:hAnsi="宋体"/>
          <w:color w:val="auto"/>
        </w:rPr>
        <w:t>天内，按照合同条款第</w:t>
      </w:r>
      <w:r>
        <w:rPr>
          <w:rFonts w:ascii="宋体" w:hAnsi="宋体"/>
          <w:color w:val="auto"/>
        </w:rPr>
        <w:t>4.5.4</w:t>
      </w:r>
      <w:r>
        <w:rPr>
          <w:rFonts w:hint="eastAsia" w:ascii="宋体" w:hAnsi="宋体"/>
          <w:color w:val="auto"/>
        </w:rPr>
        <w:t>项的约定，将授权代表其接收来往信函的项目经理的授权代表姓名和授权范围通知监理人。除合同另有约定外，承包人施工场地管理机构的办公地点即为承包人指定的接收地点。</w:t>
      </w:r>
    </w:p>
    <w:p w14:paraId="5E81C98D">
      <w:pPr>
        <w:spacing w:line="360" w:lineRule="auto"/>
        <w:ind w:firstLine="420" w:firstLineChars="200"/>
        <w:rPr>
          <w:rFonts w:ascii="宋体"/>
          <w:color w:val="auto"/>
        </w:rPr>
      </w:pPr>
      <w:r>
        <w:rPr>
          <w:rFonts w:hint="eastAsia" w:ascii="宋体" w:hAnsi="宋体"/>
          <w:color w:val="auto"/>
        </w:rPr>
        <w:t>（</w:t>
      </w:r>
      <w:r>
        <w:rPr>
          <w:rFonts w:ascii="宋体" w:hAnsi="宋体"/>
          <w:color w:val="auto"/>
        </w:rPr>
        <w:t>5</w:t>
      </w:r>
      <w:r>
        <w:rPr>
          <w:rFonts w:hint="eastAsia" w:ascii="宋体" w:hAnsi="宋体"/>
          <w:color w:val="auto"/>
        </w:rPr>
        <w:t>）发包人（包括监理人）和承包人中任何一方指定的接收人或者接收地点发生变动，应当在实际变动前提前至少一个工作日以书面形式通知另一方。发包人（包括监理人）和承包人应当确保其各自指定的接收人在法定的和（或）符合合同约定的工作时间内始终工作在指定的接收地点，指定接收人离开工作岗位而无法及时签收来往信函视为拒不签收。</w:t>
      </w:r>
    </w:p>
    <w:p w14:paraId="504E89F5">
      <w:pPr>
        <w:spacing w:line="360" w:lineRule="auto"/>
        <w:ind w:firstLine="420" w:firstLineChars="200"/>
        <w:rPr>
          <w:rFonts w:ascii="宋体"/>
          <w:color w:val="auto"/>
        </w:rPr>
      </w:pPr>
      <w:r>
        <w:rPr>
          <w:rFonts w:hint="eastAsia" w:ascii="宋体" w:hAnsi="宋体"/>
          <w:color w:val="auto"/>
        </w:rPr>
        <w:t>（</w:t>
      </w:r>
      <w:r>
        <w:rPr>
          <w:rFonts w:ascii="宋体" w:hAnsi="宋体"/>
          <w:color w:val="auto"/>
        </w:rPr>
        <w:t>6</w:t>
      </w:r>
      <w:r>
        <w:rPr>
          <w:rFonts w:hint="eastAsia" w:ascii="宋体" w:hAnsi="宋体"/>
          <w:color w:val="auto"/>
        </w:rPr>
        <w:t>）发包人（包括监理人）和承包人中任何一方均应当及时签收另一方送达其指定接收地点的来往信函，拒不签收的，送达信函的一方可以采用挂号或者公证方式送达，由此所造成的直接的和间接的费用增加（包括被迫采用特殊送达方式所发生的费用）和（或）延误的工期由拒绝签收一方承担。</w:t>
      </w:r>
    </w:p>
    <w:p w14:paraId="0559B7EF">
      <w:pPr>
        <w:keepNext/>
        <w:keepLines/>
        <w:spacing w:beforeLines="50" w:afterLines="50" w:line="360" w:lineRule="auto"/>
        <w:outlineLvl w:val="2"/>
        <w:rPr>
          <w:rFonts w:ascii="宋体" w:hAnsi="宋体"/>
          <w:color w:val="auto"/>
          <w:sz w:val="24"/>
          <w:szCs w:val="20"/>
        </w:rPr>
      </w:pPr>
      <w:bookmarkStart w:id="720" w:name="_Toc489279861"/>
      <w:bookmarkStart w:id="721" w:name="_Toc117597476"/>
      <w:bookmarkStart w:id="722" w:name="_Toc486580050"/>
      <w:bookmarkStart w:id="723" w:name="_Toc497213726"/>
      <w:bookmarkStart w:id="724" w:name="_Toc490222495"/>
      <w:r>
        <w:rPr>
          <w:rFonts w:ascii="宋体" w:hAnsi="宋体"/>
          <w:color w:val="auto"/>
          <w:sz w:val="24"/>
          <w:szCs w:val="20"/>
        </w:rPr>
        <w:t xml:space="preserve">1.8  </w:t>
      </w:r>
      <w:r>
        <w:rPr>
          <w:rFonts w:hint="eastAsia" w:ascii="宋体" w:hAnsi="宋体"/>
          <w:color w:val="auto"/>
          <w:sz w:val="24"/>
          <w:szCs w:val="20"/>
        </w:rPr>
        <w:t>转让</w:t>
      </w:r>
      <w:bookmarkEnd w:id="720"/>
      <w:bookmarkEnd w:id="721"/>
      <w:bookmarkEnd w:id="722"/>
      <w:bookmarkEnd w:id="723"/>
      <w:bookmarkEnd w:id="724"/>
    </w:p>
    <w:p w14:paraId="2FF151E1">
      <w:pPr>
        <w:spacing w:line="360" w:lineRule="auto"/>
        <w:ind w:firstLine="420" w:firstLineChars="200"/>
        <w:rPr>
          <w:rFonts w:ascii="宋体"/>
          <w:color w:val="auto"/>
        </w:rPr>
      </w:pPr>
      <w:r>
        <w:rPr>
          <w:rFonts w:hint="eastAsia" w:ascii="宋体" w:hAnsi="宋体"/>
          <w:color w:val="auto"/>
        </w:rPr>
        <w:t>除合同另有约定外，未经对方当事人同意，一方当事人不得将合同权利全部或部分转让给第三人，也不得全部或部分转移合同义务。</w:t>
      </w:r>
    </w:p>
    <w:p w14:paraId="78E3BBDA">
      <w:pPr>
        <w:keepNext/>
        <w:keepLines/>
        <w:spacing w:beforeLines="50" w:afterLines="50" w:line="360" w:lineRule="auto"/>
        <w:outlineLvl w:val="2"/>
        <w:rPr>
          <w:rFonts w:ascii="宋体" w:hAnsi="宋体"/>
          <w:color w:val="auto"/>
          <w:sz w:val="24"/>
          <w:szCs w:val="20"/>
        </w:rPr>
      </w:pPr>
      <w:bookmarkStart w:id="725" w:name="_Toc117597477"/>
      <w:bookmarkStart w:id="726" w:name="_Toc490222496"/>
      <w:bookmarkStart w:id="727" w:name="_Toc497213727"/>
      <w:bookmarkStart w:id="728" w:name="_Toc486580051"/>
      <w:bookmarkStart w:id="729" w:name="_Toc489279862"/>
      <w:r>
        <w:rPr>
          <w:rFonts w:ascii="宋体" w:hAnsi="宋体"/>
          <w:color w:val="auto"/>
          <w:sz w:val="24"/>
          <w:szCs w:val="20"/>
        </w:rPr>
        <w:t xml:space="preserve">1.9  </w:t>
      </w:r>
      <w:r>
        <w:rPr>
          <w:rFonts w:hint="eastAsia" w:ascii="宋体" w:hAnsi="宋体"/>
          <w:color w:val="auto"/>
          <w:sz w:val="24"/>
          <w:szCs w:val="20"/>
        </w:rPr>
        <w:t>严禁贿赂</w:t>
      </w:r>
      <w:bookmarkEnd w:id="725"/>
      <w:bookmarkEnd w:id="726"/>
      <w:bookmarkEnd w:id="727"/>
      <w:bookmarkEnd w:id="728"/>
      <w:bookmarkEnd w:id="729"/>
    </w:p>
    <w:p w14:paraId="57353B6C">
      <w:pPr>
        <w:spacing w:line="360" w:lineRule="auto"/>
        <w:ind w:firstLine="420" w:firstLineChars="200"/>
        <w:rPr>
          <w:rFonts w:ascii="宋体"/>
          <w:color w:val="auto"/>
        </w:rPr>
      </w:pPr>
      <w:r>
        <w:rPr>
          <w:rFonts w:hint="eastAsia" w:ascii="宋体" w:hAnsi="宋体"/>
          <w:color w:val="auto"/>
        </w:rPr>
        <w:t>合同双方当事人不得以贿赂或变相贿赂的方式，谋取不当利益或损害对方权益。因贿赂造成对方损失的，行为人应赔偿损失，并承担相应的法律责任。</w:t>
      </w:r>
    </w:p>
    <w:p w14:paraId="0B1F9190">
      <w:pPr>
        <w:keepNext/>
        <w:keepLines/>
        <w:spacing w:beforeLines="50" w:afterLines="50" w:line="360" w:lineRule="auto"/>
        <w:outlineLvl w:val="2"/>
        <w:rPr>
          <w:rFonts w:ascii="宋体" w:hAnsi="宋体"/>
          <w:color w:val="auto"/>
          <w:sz w:val="24"/>
          <w:szCs w:val="20"/>
        </w:rPr>
      </w:pPr>
      <w:bookmarkStart w:id="730" w:name="_Toc489279863"/>
      <w:bookmarkStart w:id="731" w:name="_Toc490222497"/>
      <w:bookmarkStart w:id="732" w:name="_Toc117597478"/>
      <w:bookmarkStart w:id="733" w:name="_Toc497213728"/>
      <w:bookmarkStart w:id="734" w:name="_Toc486580052"/>
      <w:r>
        <w:rPr>
          <w:rFonts w:ascii="宋体" w:hAnsi="宋体"/>
          <w:color w:val="auto"/>
          <w:sz w:val="24"/>
          <w:szCs w:val="20"/>
        </w:rPr>
        <w:t xml:space="preserve">1.10  </w:t>
      </w:r>
      <w:r>
        <w:rPr>
          <w:rFonts w:hint="eastAsia" w:ascii="宋体" w:hAnsi="宋体"/>
          <w:color w:val="auto"/>
          <w:sz w:val="24"/>
          <w:szCs w:val="20"/>
        </w:rPr>
        <w:t>化石、文物</w:t>
      </w:r>
      <w:bookmarkEnd w:id="730"/>
      <w:bookmarkEnd w:id="731"/>
      <w:bookmarkEnd w:id="732"/>
      <w:bookmarkEnd w:id="733"/>
      <w:bookmarkEnd w:id="734"/>
    </w:p>
    <w:p w14:paraId="581A1C62">
      <w:pPr>
        <w:spacing w:line="360" w:lineRule="auto"/>
        <w:ind w:firstLine="420" w:firstLineChars="200"/>
        <w:rPr>
          <w:rFonts w:ascii="宋体"/>
          <w:color w:val="auto"/>
        </w:rPr>
      </w:pPr>
      <w:r>
        <w:rPr>
          <w:rFonts w:ascii="宋体" w:hAnsi="宋体"/>
          <w:color w:val="auto"/>
        </w:rPr>
        <w:t xml:space="preserve">1.10.1  </w:t>
      </w:r>
      <w:r>
        <w:rPr>
          <w:rFonts w:hint="eastAsia" w:ascii="宋体" w:hAnsi="宋体"/>
          <w:color w:val="auto"/>
        </w:rPr>
        <w:t>在施工场地发掘的所有文物、古迹以及具有地质研究或考古价值的其他遗迹、化石、钱币或物品属于国家所有。一旦发现上述文物，承包人应采取有效合理的保护措施，防止任何人员移动或损坏上述物品，并立即报告当地文物行政部门，同时通知监理人。发包人、监理人和承包人应按文物行政部门要求采取妥善保护措施，由此导致费用增加和（或）工期延误由发包人承担。</w:t>
      </w:r>
    </w:p>
    <w:p w14:paraId="0D120D1F">
      <w:pPr>
        <w:spacing w:line="360" w:lineRule="auto"/>
        <w:ind w:firstLine="420" w:firstLineChars="200"/>
        <w:rPr>
          <w:rFonts w:ascii="宋体"/>
          <w:color w:val="auto"/>
        </w:rPr>
      </w:pPr>
      <w:r>
        <w:rPr>
          <w:rFonts w:ascii="宋体" w:hAnsi="宋体"/>
          <w:color w:val="auto"/>
        </w:rPr>
        <w:t xml:space="preserve">1.10.2  </w:t>
      </w:r>
      <w:r>
        <w:rPr>
          <w:rFonts w:hint="eastAsia" w:ascii="宋体" w:hAnsi="宋体"/>
          <w:color w:val="auto"/>
        </w:rPr>
        <w:t>承包人发现文物后不及时报告或隐瞒不报，致使文物丢失或损坏的，应赔偿损失，并承担相应的法律责任。</w:t>
      </w:r>
    </w:p>
    <w:p w14:paraId="34502D0F">
      <w:pPr>
        <w:keepNext/>
        <w:keepLines/>
        <w:spacing w:beforeLines="50" w:afterLines="50" w:line="360" w:lineRule="auto"/>
        <w:outlineLvl w:val="2"/>
        <w:rPr>
          <w:rFonts w:ascii="宋体" w:hAnsi="宋体"/>
          <w:color w:val="auto"/>
          <w:sz w:val="24"/>
          <w:szCs w:val="20"/>
        </w:rPr>
      </w:pPr>
      <w:bookmarkStart w:id="735" w:name="_Toc497213729"/>
      <w:bookmarkStart w:id="736" w:name="_Toc490222498"/>
      <w:bookmarkStart w:id="737" w:name="_Toc117597479"/>
      <w:bookmarkStart w:id="738" w:name="_Toc489279864"/>
      <w:bookmarkStart w:id="739" w:name="_Toc486580053"/>
      <w:r>
        <w:rPr>
          <w:rFonts w:ascii="宋体" w:hAnsi="宋体"/>
          <w:color w:val="auto"/>
          <w:sz w:val="24"/>
          <w:szCs w:val="20"/>
        </w:rPr>
        <w:t xml:space="preserve">1.11  </w:t>
      </w:r>
      <w:r>
        <w:rPr>
          <w:rFonts w:hint="eastAsia" w:ascii="宋体" w:hAnsi="宋体"/>
          <w:color w:val="auto"/>
          <w:sz w:val="24"/>
          <w:szCs w:val="20"/>
        </w:rPr>
        <w:t>专利技术</w:t>
      </w:r>
      <w:bookmarkEnd w:id="735"/>
      <w:bookmarkEnd w:id="736"/>
      <w:bookmarkEnd w:id="737"/>
      <w:bookmarkEnd w:id="738"/>
      <w:bookmarkEnd w:id="739"/>
    </w:p>
    <w:p w14:paraId="65D71308">
      <w:pPr>
        <w:spacing w:line="360" w:lineRule="auto"/>
        <w:ind w:firstLine="420" w:firstLineChars="200"/>
        <w:rPr>
          <w:rFonts w:ascii="宋体"/>
          <w:color w:val="auto"/>
        </w:rPr>
      </w:pPr>
      <w:r>
        <w:rPr>
          <w:rFonts w:ascii="宋体" w:hAnsi="宋体"/>
          <w:color w:val="auto"/>
        </w:rPr>
        <w:t xml:space="preserve">1.11.1  </w:t>
      </w:r>
      <w:r>
        <w:rPr>
          <w:rFonts w:hint="eastAsia" w:ascii="宋体" w:hAnsi="宋体"/>
          <w:color w:val="auto"/>
        </w:rPr>
        <w:t>承包人在使用任何材料、承包人设备、工程设备或采用施工工艺时，因侵犯专利权或其他知识产权所引起的责任，由承包人承担，但由于遵照发包人提供的设计或技术标准和要求引起的除外。</w:t>
      </w:r>
    </w:p>
    <w:p w14:paraId="67A69C3A">
      <w:pPr>
        <w:spacing w:line="360" w:lineRule="auto"/>
        <w:ind w:firstLine="420" w:firstLineChars="200"/>
        <w:rPr>
          <w:rFonts w:ascii="宋体"/>
          <w:color w:val="auto"/>
        </w:rPr>
      </w:pPr>
      <w:r>
        <w:rPr>
          <w:rFonts w:ascii="宋体" w:hAnsi="宋体"/>
          <w:color w:val="auto"/>
        </w:rPr>
        <w:t xml:space="preserve">1.11.2  </w:t>
      </w:r>
      <w:r>
        <w:rPr>
          <w:rFonts w:hint="eastAsia" w:ascii="宋体" w:hAnsi="宋体"/>
          <w:color w:val="auto"/>
        </w:rPr>
        <w:t>承包人在投标文件中采用专利技术的，专利技术的使用费包含在投标报价内。</w:t>
      </w:r>
    </w:p>
    <w:p w14:paraId="3AE2CC54">
      <w:pPr>
        <w:spacing w:line="360" w:lineRule="auto"/>
        <w:ind w:firstLine="420" w:firstLineChars="200"/>
        <w:rPr>
          <w:rFonts w:ascii="宋体"/>
          <w:color w:val="auto"/>
        </w:rPr>
      </w:pPr>
      <w:r>
        <w:rPr>
          <w:rFonts w:ascii="宋体" w:hAnsi="宋体"/>
          <w:color w:val="auto"/>
        </w:rPr>
        <w:t xml:space="preserve">1.11.3  </w:t>
      </w:r>
      <w:r>
        <w:rPr>
          <w:rFonts w:hint="eastAsia" w:ascii="宋体" w:hAnsi="宋体"/>
          <w:color w:val="auto"/>
        </w:rPr>
        <w:t>承包人的技术秘密和声明需要保密的资料和信息，发包人和监理人不得为合同以外的目的泄露给他人。</w:t>
      </w:r>
    </w:p>
    <w:p w14:paraId="1F84CC73">
      <w:pPr>
        <w:keepNext/>
        <w:keepLines/>
        <w:spacing w:beforeLines="50" w:afterLines="50" w:line="360" w:lineRule="auto"/>
        <w:outlineLvl w:val="2"/>
        <w:rPr>
          <w:rFonts w:ascii="宋体" w:hAnsi="宋体"/>
          <w:color w:val="auto"/>
          <w:sz w:val="24"/>
          <w:szCs w:val="20"/>
        </w:rPr>
      </w:pPr>
      <w:bookmarkStart w:id="740" w:name="_Toc117597480"/>
      <w:bookmarkStart w:id="741" w:name="_Toc486580054"/>
      <w:bookmarkStart w:id="742" w:name="_Toc490222499"/>
      <w:bookmarkStart w:id="743" w:name="_Toc489279865"/>
      <w:bookmarkStart w:id="744" w:name="_Toc497213730"/>
      <w:r>
        <w:rPr>
          <w:rFonts w:ascii="宋体" w:hAnsi="宋体"/>
          <w:color w:val="auto"/>
          <w:sz w:val="24"/>
          <w:szCs w:val="20"/>
        </w:rPr>
        <w:t xml:space="preserve">1.12  </w:t>
      </w:r>
      <w:r>
        <w:rPr>
          <w:rFonts w:hint="eastAsia" w:ascii="宋体" w:hAnsi="宋体"/>
          <w:color w:val="auto"/>
          <w:sz w:val="24"/>
          <w:szCs w:val="20"/>
        </w:rPr>
        <w:t>图纸和文件的保密</w:t>
      </w:r>
      <w:bookmarkEnd w:id="740"/>
      <w:bookmarkEnd w:id="741"/>
      <w:bookmarkEnd w:id="742"/>
      <w:bookmarkEnd w:id="743"/>
      <w:bookmarkEnd w:id="744"/>
    </w:p>
    <w:p w14:paraId="7B494BA1">
      <w:pPr>
        <w:spacing w:line="360" w:lineRule="auto"/>
        <w:ind w:firstLine="420" w:firstLineChars="200"/>
        <w:rPr>
          <w:rFonts w:ascii="宋体"/>
          <w:color w:val="auto"/>
        </w:rPr>
      </w:pPr>
      <w:r>
        <w:rPr>
          <w:rFonts w:ascii="宋体" w:hAnsi="宋体"/>
          <w:color w:val="auto"/>
        </w:rPr>
        <w:t xml:space="preserve">1.12.1  </w:t>
      </w:r>
      <w:r>
        <w:rPr>
          <w:rFonts w:hint="eastAsia" w:ascii="宋体" w:hAnsi="宋体"/>
          <w:color w:val="auto"/>
        </w:rPr>
        <w:t>发包人提供的图纸和文件，未经发包人同意，承包人不得为合同以外的目的泄露给他人或公开发表与引用。</w:t>
      </w:r>
    </w:p>
    <w:p w14:paraId="780A2FED">
      <w:pPr>
        <w:spacing w:line="360" w:lineRule="auto"/>
        <w:ind w:firstLine="420" w:firstLineChars="200"/>
        <w:rPr>
          <w:rFonts w:ascii="宋体"/>
          <w:color w:val="auto"/>
        </w:rPr>
      </w:pPr>
      <w:r>
        <w:rPr>
          <w:rFonts w:ascii="宋体" w:hAnsi="宋体"/>
          <w:color w:val="auto"/>
        </w:rPr>
        <w:t xml:space="preserve">1.12.2  </w:t>
      </w:r>
      <w:r>
        <w:rPr>
          <w:rFonts w:hint="eastAsia" w:ascii="宋体" w:hAnsi="宋体"/>
          <w:color w:val="auto"/>
        </w:rPr>
        <w:t>承包人提供的文件，未经承包人同意，发包人和监理人不得为合同以外的目的泄露给他人或公开发表与引用。</w:t>
      </w:r>
    </w:p>
    <w:p w14:paraId="15790F6B">
      <w:pPr>
        <w:keepNext/>
        <w:keepLines/>
        <w:spacing w:beforeLines="50" w:afterLines="50" w:line="360" w:lineRule="auto"/>
        <w:outlineLvl w:val="1"/>
        <w:rPr>
          <w:rFonts w:ascii="宋体" w:hAnsi="宋体" w:cs="宋体"/>
          <w:color w:val="auto"/>
          <w:sz w:val="28"/>
          <w:szCs w:val="20"/>
        </w:rPr>
      </w:pPr>
      <w:bookmarkStart w:id="745" w:name="_Toc486580055"/>
      <w:bookmarkStart w:id="746" w:name="_Toc117597481"/>
      <w:bookmarkStart w:id="747" w:name="_Toc489279866"/>
      <w:bookmarkStart w:id="748" w:name="_Toc490222500"/>
      <w:bookmarkStart w:id="749" w:name="_Toc497213731"/>
      <w:r>
        <w:rPr>
          <w:rFonts w:ascii="宋体" w:hAnsi="宋体" w:cs="宋体"/>
          <w:color w:val="auto"/>
          <w:sz w:val="28"/>
          <w:szCs w:val="20"/>
        </w:rPr>
        <w:t>2.</w:t>
      </w:r>
      <w:r>
        <w:rPr>
          <w:rFonts w:hint="eastAsia" w:ascii="宋体" w:hAnsi="宋体" w:cs="宋体"/>
          <w:color w:val="auto"/>
          <w:sz w:val="28"/>
          <w:szCs w:val="20"/>
        </w:rPr>
        <w:t>发包人义务</w:t>
      </w:r>
      <w:bookmarkEnd w:id="745"/>
      <w:bookmarkEnd w:id="746"/>
      <w:bookmarkEnd w:id="747"/>
      <w:bookmarkEnd w:id="748"/>
      <w:bookmarkEnd w:id="749"/>
    </w:p>
    <w:p w14:paraId="03F83D5D">
      <w:pPr>
        <w:keepNext/>
        <w:keepLines/>
        <w:spacing w:beforeLines="50" w:afterLines="50" w:line="360" w:lineRule="auto"/>
        <w:outlineLvl w:val="2"/>
        <w:rPr>
          <w:rFonts w:ascii="宋体" w:hAnsi="宋体"/>
          <w:color w:val="auto"/>
          <w:sz w:val="24"/>
          <w:szCs w:val="20"/>
        </w:rPr>
      </w:pPr>
      <w:bookmarkStart w:id="750" w:name="_Toc486580056"/>
      <w:bookmarkStart w:id="751" w:name="_Toc489279867"/>
      <w:bookmarkStart w:id="752" w:name="_Toc490222501"/>
      <w:bookmarkStart w:id="753" w:name="_Toc117597482"/>
      <w:bookmarkStart w:id="754" w:name="_Toc497213732"/>
      <w:r>
        <w:rPr>
          <w:rFonts w:ascii="宋体" w:hAnsi="宋体"/>
          <w:color w:val="auto"/>
          <w:sz w:val="24"/>
          <w:szCs w:val="20"/>
        </w:rPr>
        <w:t xml:space="preserve">2.1  </w:t>
      </w:r>
      <w:r>
        <w:rPr>
          <w:rFonts w:hint="eastAsia" w:ascii="宋体" w:hAnsi="宋体"/>
          <w:color w:val="auto"/>
          <w:sz w:val="24"/>
          <w:szCs w:val="20"/>
        </w:rPr>
        <w:t>遵守法律</w:t>
      </w:r>
      <w:bookmarkEnd w:id="750"/>
      <w:bookmarkEnd w:id="751"/>
      <w:bookmarkEnd w:id="752"/>
      <w:bookmarkEnd w:id="753"/>
      <w:bookmarkEnd w:id="754"/>
    </w:p>
    <w:p w14:paraId="62AA2928">
      <w:pPr>
        <w:spacing w:line="360" w:lineRule="auto"/>
        <w:ind w:firstLine="420" w:firstLineChars="200"/>
        <w:rPr>
          <w:rFonts w:ascii="宋体"/>
          <w:color w:val="auto"/>
        </w:rPr>
      </w:pPr>
      <w:r>
        <w:rPr>
          <w:rFonts w:hint="eastAsia" w:ascii="宋体" w:hAnsi="宋体"/>
          <w:color w:val="auto"/>
        </w:rPr>
        <w:t>发包人在履行合同过程中应遵守法律，并保证承包人免于承担因发包人违反法律而引起的任何责任。</w:t>
      </w:r>
    </w:p>
    <w:p w14:paraId="7031CC75">
      <w:pPr>
        <w:keepNext/>
        <w:keepLines/>
        <w:spacing w:beforeLines="50" w:afterLines="50" w:line="360" w:lineRule="auto"/>
        <w:outlineLvl w:val="2"/>
        <w:rPr>
          <w:rFonts w:ascii="宋体" w:hAnsi="宋体"/>
          <w:color w:val="auto"/>
          <w:sz w:val="24"/>
          <w:szCs w:val="20"/>
        </w:rPr>
      </w:pPr>
      <w:bookmarkStart w:id="755" w:name="_Toc489279868"/>
      <w:bookmarkStart w:id="756" w:name="_Toc117597483"/>
      <w:bookmarkStart w:id="757" w:name="_Toc497213733"/>
      <w:bookmarkStart w:id="758" w:name="_Toc490222502"/>
      <w:bookmarkStart w:id="759" w:name="_Toc486580057"/>
      <w:r>
        <w:rPr>
          <w:rFonts w:ascii="宋体" w:hAnsi="宋体"/>
          <w:color w:val="auto"/>
          <w:sz w:val="24"/>
          <w:szCs w:val="20"/>
        </w:rPr>
        <w:t xml:space="preserve">2.2  </w:t>
      </w:r>
      <w:r>
        <w:rPr>
          <w:rFonts w:hint="eastAsia" w:ascii="宋体" w:hAnsi="宋体"/>
          <w:color w:val="auto"/>
          <w:sz w:val="24"/>
          <w:szCs w:val="20"/>
        </w:rPr>
        <w:t>发出开工通知</w:t>
      </w:r>
      <w:bookmarkEnd w:id="755"/>
      <w:bookmarkEnd w:id="756"/>
      <w:bookmarkEnd w:id="757"/>
      <w:bookmarkEnd w:id="758"/>
      <w:bookmarkEnd w:id="759"/>
    </w:p>
    <w:p w14:paraId="3F42C289">
      <w:pPr>
        <w:spacing w:line="360" w:lineRule="auto"/>
        <w:ind w:firstLine="420" w:firstLineChars="200"/>
        <w:rPr>
          <w:rFonts w:ascii="宋体"/>
          <w:color w:val="auto"/>
        </w:rPr>
      </w:pPr>
      <w:r>
        <w:rPr>
          <w:rFonts w:hint="eastAsia" w:ascii="宋体" w:hAnsi="宋体"/>
          <w:color w:val="auto"/>
        </w:rPr>
        <w:t>发包人应委托监理人按第</w:t>
      </w:r>
      <w:r>
        <w:rPr>
          <w:rFonts w:ascii="宋体" w:hAnsi="宋体"/>
          <w:color w:val="auto"/>
        </w:rPr>
        <w:t>11.1</w:t>
      </w:r>
      <w:r>
        <w:rPr>
          <w:rFonts w:hint="eastAsia" w:ascii="宋体" w:hAnsi="宋体"/>
          <w:color w:val="auto"/>
        </w:rPr>
        <w:t>款的约定向承包人发出开工通知。</w:t>
      </w:r>
    </w:p>
    <w:p w14:paraId="4E9E0A20">
      <w:pPr>
        <w:keepNext/>
        <w:keepLines/>
        <w:spacing w:beforeLines="50" w:afterLines="50" w:line="360" w:lineRule="auto"/>
        <w:outlineLvl w:val="2"/>
        <w:rPr>
          <w:rFonts w:ascii="宋体" w:hAnsi="宋体"/>
          <w:color w:val="auto"/>
          <w:sz w:val="24"/>
          <w:szCs w:val="20"/>
        </w:rPr>
      </w:pPr>
      <w:bookmarkStart w:id="760" w:name="_Toc489279869"/>
      <w:bookmarkStart w:id="761" w:name="_Toc486580058"/>
      <w:bookmarkStart w:id="762" w:name="_Toc490222503"/>
      <w:bookmarkStart w:id="763" w:name="_Toc497213734"/>
      <w:bookmarkStart w:id="764" w:name="_Toc117597484"/>
      <w:r>
        <w:rPr>
          <w:rFonts w:ascii="宋体" w:hAnsi="宋体"/>
          <w:color w:val="auto"/>
          <w:sz w:val="24"/>
          <w:szCs w:val="20"/>
        </w:rPr>
        <w:t xml:space="preserve">2.3  </w:t>
      </w:r>
      <w:r>
        <w:rPr>
          <w:rFonts w:hint="eastAsia" w:ascii="宋体" w:hAnsi="宋体"/>
          <w:color w:val="auto"/>
          <w:sz w:val="24"/>
          <w:szCs w:val="20"/>
        </w:rPr>
        <w:t>提供施工场地</w:t>
      </w:r>
      <w:bookmarkEnd w:id="760"/>
      <w:bookmarkEnd w:id="761"/>
      <w:bookmarkEnd w:id="762"/>
      <w:bookmarkEnd w:id="763"/>
      <w:bookmarkEnd w:id="764"/>
    </w:p>
    <w:p w14:paraId="0C60E216">
      <w:pPr>
        <w:spacing w:line="360" w:lineRule="auto"/>
        <w:ind w:firstLine="420" w:firstLineChars="200"/>
        <w:rPr>
          <w:rFonts w:ascii="宋体"/>
          <w:color w:val="auto"/>
        </w:rPr>
      </w:pPr>
      <w:r>
        <w:rPr>
          <w:rFonts w:hint="eastAsia" w:ascii="宋体" w:hAnsi="宋体"/>
          <w:color w:val="auto"/>
        </w:rPr>
        <w:t>发包人应在约定期限前确保施工场地具备施工条件并移交给承包人，具体施工条件在“技术标准和要求”第一节“一般要求”中约定。发包人最迟应当在移交施工场地的同时向承包人提供施工场地内地下管线和地下设施等有关资料，并保证资料的真实、准确和完整。发包人移交施工场地的期限</w:t>
      </w:r>
      <w:r>
        <w:rPr>
          <w:rFonts w:hint="eastAsia" w:ascii="黑体" w:hAnsi="黑体" w:eastAsia="黑体"/>
          <w:color w:val="auto"/>
        </w:rPr>
        <w:t>见合同条款专用部分</w:t>
      </w:r>
      <w:r>
        <w:rPr>
          <w:rFonts w:hint="eastAsia" w:ascii="宋体" w:hAnsi="宋体"/>
          <w:color w:val="auto"/>
        </w:rPr>
        <w:t>。</w:t>
      </w:r>
    </w:p>
    <w:p w14:paraId="13676AE7">
      <w:pPr>
        <w:keepNext/>
        <w:keepLines/>
        <w:spacing w:beforeLines="50" w:afterLines="50" w:line="360" w:lineRule="auto"/>
        <w:outlineLvl w:val="2"/>
        <w:rPr>
          <w:rFonts w:ascii="宋体" w:hAnsi="宋体"/>
          <w:color w:val="auto"/>
          <w:sz w:val="24"/>
          <w:szCs w:val="20"/>
        </w:rPr>
      </w:pPr>
      <w:bookmarkStart w:id="765" w:name="_Toc489279870"/>
      <w:bookmarkStart w:id="766" w:name="_Toc117597485"/>
      <w:bookmarkStart w:id="767" w:name="_Toc490222504"/>
      <w:bookmarkStart w:id="768" w:name="_Toc497213735"/>
      <w:bookmarkStart w:id="769" w:name="_Toc486580059"/>
      <w:r>
        <w:rPr>
          <w:rFonts w:ascii="宋体" w:hAnsi="宋体"/>
          <w:color w:val="auto"/>
          <w:sz w:val="24"/>
          <w:szCs w:val="20"/>
        </w:rPr>
        <w:t xml:space="preserve">2.4  </w:t>
      </w:r>
      <w:r>
        <w:rPr>
          <w:rFonts w:hint="eastAsia" w:ascii="宋体" w:hAnsi="宋体"/>
          <w:color w:val="auto"/>
          <w:sz w:val="24"/>
          <w:szCs w:val="20"/>
        </w:rPr>
        <w:t>协助承包人办理证件和批件</w:t>
      </w:r>
      <w:bookmarkEnd w:id="765"/>
      <w:bookmarkEnd w:id="766"/>
      <w:bookmarkEnd w:id="767"/>
      <w:bookmarkEnd w:id="768"/>
      <w:bookmarkEnd w:id="769"/>
    </w:p>
    <w:p w14:paraId="5E8BBCEC">
      <w:pPr>
        <w:spacing w:line="360" w:lineRule="auto"/>
        <w:ind w:firstLine="420" w:firstLineChars="200"/>
        <w:rPr>
          <w:rFonts w:ascii="宋体"/>
          <w:color w:val="auto"/>
        </w:rPr>
      </w:pPr>
      <w:r>
        <w:rPr>
          <w:rFonts w:hint="eastAsia" w:ascii="宋体" w:hAnsi="宋体"/>
          <w:color w:val="auto"/>
        </w:rPr>
        <w:t>发包人应协助承包人办理法律规定的有关施工证件和批件。</w:t>
      </w:r>
    </w:p>
    <w:p w14:paraId="11C8134B">
      <w:pPr>
        <w:keepNext/>
        <w:keepLines/>
        <w:spacing w:beforeLines="50" w:afterLines="50" w:line="360" w:lineRule="auto"/>
        <w:outlineLvl w:val="2"/>
        <w:rPr>
          <w:rFonts w:ascii="宋体" w:hAnsi="宋体"/>
          <w:color w:val="auto"/>
          <w:sz w:val="24"/>
          <w:szCs w:val="20"/>
        </w:rPr>
      </w:pPr>
      <w:bookmarkStart w:id="770" w:name="_Toc497213736"/>
      <w:bookmarkStart w:id="771" w:name="_Toc117597486"/>
      <w:bookmarkStart w:id="772" w:name="_Toc486580060"/>
      <w:bookmarkStart w:id="773" w:name="_Toc489279871"/>
      <w:bookmarkStart w:id="774" w:name="_Toc490222505"/>
      <w:r>
        <w:rPr>
          <w:rFonts w:ascii="宋体" w:hAnsi="宋体"/>
          <w:color w:val="auto"/>
          <w:sz w:val="24"/>
          <w:szCs w:val="20"/>
        </w:rPr>
        <w:t xml:space="preserve">2.5  </w:t>
      </w:r>
      <w:r>
        <w:rPr>
          <w:rFonts w:hint="eastAsia" w:ascii="宋体" w:hAnsi="宋体"/>
          <w:color w:val="auto"/>
          <w:sz w:val="24"/>
          <w:szCs w:val="20"/>
        </w:rPr>
        <w:t>组织设计交底</w:t>
      </w:r>
      <w:bookmarkEnd w:id="770"/>
      <w:bookmarkEnd w:id="771"/>
      <w:bookmarkEnd w:id="772"/>
      <w:bookmarkEnd w:id="773"/>
      <w:bookmarkEnd w:id="774"/>
    </w:p>
    <w:p w14:paraId="017D0C9D">
      <w:pPr>
        <w:spacing w:line="360" w:lineRule="auto"/>
        <w:ind w:firstLine="420" w:firstLineChars="200"/>
        <w:rPr>
          <w:rFonts w:ascii="宋体"/>
          <w:color w:val="auto"/>
        </w:rPr>
      </w:pPr>
      <w:r>
        <w:rPr>
          <w:rFonts w:hint="eastAsia" w:ascii="宋体" w:hAnsi="宋体"/>
          <w:color w:val="auto"/>
        </w:rPr>
        <w:t>发包人应根据批准的合同进度计划，组织设计单位向承包人进行设计交底。</w:t>
      </w:r>
    </w:p>
    <w:p w14:paraId="5A269D4E">
      <w:pPr>
        <w:spacing w:line="360" w:lineRule="auto"/>
        <w:ind w:firstLine="420" w:firstLineChars="200"/>
        <w:rPr>
          <w:rFonts w:ascii="宋体"/>
          <w:color w:val="auto"/>
        </w:rPr>
      </w:pPr>
      <w:r>
        <w:rPr>
          <w:rFonts w:hint="eastAsia" w:ascii="宋体" w:hAnsi="宋体"/>
          <w:color w:val="auto"/>
        </w:rPr>
        <w:t>发包人应在第</w:t>
      </w:r>
      <w:r>
        <w:rPr>
          <w:rFonts w:ascii="宋体" w:hAnsi="宋体"/>
          <w:color w:val="auto"/>
        </w:rPr>
        <w:t>11.1.1</w:t>
      </w:r>
      <w:r>
        <w:rPr>
          <w:rFonts w:hint="eastAsia" w:ascii="宋体" w:hAnsi="宋体"/>
          <w:color w:val="auto"/>
        </w:rPr>
        <w:t>项约定的开工日期前，组织设计人向承包人进行合同工程总体设计交底（包括图纸会审）。发包人还应按照合同进度计划中载明的阶段性设计交底时间，组织和安排阶段工程设计交底（包括图纸会审）。承包人应当以书面方式通过监理人向发包人申请增加设计交底，发包人在认为确有必要且条件许可时，应当尽快组织这类设计交底。</w:t>
      </w:r>
    </w:p>
    <w:p w14:paraId="0D2F74E7">
      <w:pPr>
        <w:keepNext/>
        <w:keepLines/>
        <w:spacing w:beforeLines="50" w:afterLines="50" w:line="360" w:lineRule="auto"/>
        <w:outlineLvl w:val="2"/>
        <w:rPr>
          <w:rFonts w:ascii="宋体" w:hAnsi="宋体"/>
          <w:color w:val="auto"/>
          <w:sz w:val="24"/>
          <w:szCs w:val="20"/>
        </w:rPr>
      </w:pPr>
      <w:bookmarkStart w:id="775" w:name="_Toc486580061"/>
      <w:bookmarkStart w:id="776" w:name="_Toc117597487"/>
      <w:bookmarkStart w:id="777" w:name="_Toc489279872"/>
      <w:bookmarkStart w:id="778" w:name="_Toc497213737"/>
      <w:bookmarkStart w:id="779" w:name="_Toc490222506"/>
      <w:r>
        <w:rPr>
          <w:rFonts w:ascii="宋体" w:hAnsi="宋体"/>
          <w:color w:val="auto"/>
          <w:sz w:val="24"/>
          <w:szCs w:val="20"/>
        </w:rPr>
        <w:t xml:space="preserve">2.6  </w:t>
      </w:r>
      <w:r>
        <w:rPr>
          <w:rFonts w:hint="eastAsia" w:ascii="宋体" w:hAnsi="宋体"/>
          <w:color w:val="auto"/>
          <w:sz w:val="24"/>
          <w:szCs w:val="20"/>
        </w:rPr>
        <w:t>支付合同价款</w:t>
      </w:r>
      <w:bookmarkEnd w:id="775"/>
      <w:bookmarkEnd w:id="776"/>
      <w:bookmarkEnd w:id="777"/>
      <w:bookmarkEnd w:id="778"/>
      <w:bookmarkEnd w:id="779"/>
    </w:p>
    <w:p w14:paraId="12E8AB96">
      <w:pPr>
        <w:spacing w:line="360" w:lineRule="auto"/>
        <w:ind w:firstLine="420" w:firstLineChars="200"/>
        <w:rPr>
          <w:rFonts w:ascii="宋体" w:hAnsi="宋体"/>
          <w:color w:val="auto"/>
        </w:rPr>
      </w:pPr>
      <w:r>
        <w:rPr>
          <w:rFonts w:hint="eastAsia" w:ascii="宋体" w:hAnsi="宋体"/>
          <w:color w:val="auto"/>
        </w:rPr>
        <w:t>发包人应按合同约定向承包人及时支付合同价款。</w:t>
      </w:r>
    </w:p>
    <w:p w14:paraId="51140422">
      <w:pPr>
        <w:spacing w:line="360" w:lineRule="auto"/>
        <w:ind w:firstLine="420" w:firstLineChars="200"/>
        <w:rPr>
          <w:rFonts w:ascii="宋体" w:hAnsi="宋体"/>
          <w:color w:val="auto"/>
        </w:rPr>
      </w:pPr>
      <w:r>
        <w:rPr>
          <w:rFonts w:hint="eastAsia" w:ascii="宋体" w:hAnsi="宋体"/>
          <w:color w:val="auto"/>
        </w:rPr>
        <w:t>发包人应当严格落实人工费用与其他工程款分账管理制度，分解工程价款中的人工费用，及时足额将人工费用拨付到承包人的工资专用账户。</w:t>
      </w:r>
    </w:p>
    <w:p w14:paraId="3A8763FA">
      <w:pPr>
        <w:keepNext/>
        <w:keepLines/>
        <w:spacing w:beforeLines="50" w:afterLines="50" w:line="360" w:lineRule="auto"/>
        <w:outlineLvl w:val="2"/>
        <w:rPr>
          <w:rFonts w:ascii="宋体" w:hAnsi="宋体"/>
          <w:color w:val="auto"/>
          <w:sz w:val="24"/>
          <w:szCs w:val="20"/>
        </w:rPr>
      </w:pPr>
      <w:bookmarkStart w:id="780" w:name="_Toc490222507"/>
      <w:bookmarkStart w:id="781" w:name="_Toc117597488"/>
      <w:bookmarkStart w:id="782" w:name="_Toc497213738"/>
      <w:bookmarkStart w:id="783" w:name="_Toc489279873"/>
      <w:bookmarkStart w:id="784" w:name="_Toc486580062"/>
      <w:r>
        <w:rPr>
          <w:rFonts w:ascii="宋体" w:hAnsi="宋体"/>
          <w:color w:val="auto"/>
          <w:sz w:val="24"/>
          <w:szCs w:val="20"/>
        </w:rPr>
        <w:t xml:space="preserve">2.7  </w:t>
      </w:r>
      <w:r>
        <w:rPr>
          <w:rFonts w:hint="eastAsia" w:ascii="宋体" w:hAnsi="宋体"/>
          <w:color w:val="auto"/>
          <w:sz w:val="24"/>
          <w:szCs w:val="20"/>
        </w:rPr>
        <w:t>组织竣工验收</w:t>
      </w:r>
      <w:bookmarkEnd w:id="780"/>
      <w:bookmarkEnd w:id="781"/>
      <w:bookmarkEnd w:id="782"/>
      <w:bookmarkEnd w:id="783"/>
      <w:bookmarkEnd w:id="784"/>
    </w:p>
    <w:p w14:paraId="520E97DB">
      <w:pPr>
        <w:spacing w:line="360" w:lineRule="auto"/>
        <w:ind w:firstLine="420" w:firstLineChars="200"/>
        <w:rPr>
          <w:rFonts w:ascii="宋体" w:hAnsi="宋体"/>
          <w:color w:val="auto"/>
        </w:rPr>
      </w:pPr>
      <w:r>
        <w:rPr>
          <w:rFonts w:hint="eastAsia" w:ascii="宋体" w:hAnsi="宋体"/>
          <w:color w:val="auto"/>
        </w:rPr>
        <w:t>发包人应按合同约定及时组织竣工验收。发包人在组织竣工验收时，应对工程是否符合消防要求进行查验。经查验不符合规定的，发包人不得编制工程竣工验收报告。</w:t>
      </w:r>
    </w:p>
    <w:p w14:paraId="37CAEFD6">
      <w:pPr>
        <w:keepNext/>
        <w:keepLines/>
        <w:spacing w:beforeLines="50" w:afterLines="50" w:line="360" w:lineRule="auto"/>
        <w:outlineLvl w:val="2"/>
        <w:rPr>
          <w:rFonts w:ascii="宋体" w:hAnsi="宋体"/>
          <w:color w:val="auto"/>
          <w:sz w:val="24"/>
          <w:szCs w:val="20"/>
        </w:rPr>
      </w:pPr>
      <w:bookmarkStart w:id="785" w:name="_Toc490222508"/>
      <w:bookmarkStart w:id="786" w:name="_Toc486580063"/>
      <w:bookmarkStart w:id="787" w:name="_Toc489279874"/>
      <w:bookmarkStart w:id="788" w:name="_Toc117597489"/>
      <w:bookmarkStart w:id="789" w:name="_Toc497213739"/>
      <w:r>
        <w:rPr>
          <w:rFonts w:ascii="宋体" w:hAnsi="宋体"/>
          <w:color w:val="auto"/>
          <w:sz w:val="24"/>
          <w:szCs w:val="20"/>
        </w:rPr>
        <w:t xml:space="preserve">2.8  </w:t>
      </w:r>
      <w:r>
        <w:rPr>
          <w:rFonts w:hint="eastAsia" w:ascii="宋体" w:hAnsi="宋体"/>
          <w:color w:val="auto"/>
          <w:sz w:val="24"/>
          <w:szCs w:val="20"/>
        </w:rPr>
        <w:t>向承包人提交支付担保</w:t>
      </w:r>
      <w:bookmarkEnd w:id="785"/>
      <w:bookmarkEnd w:id="786"/>
      <w:bookmarkEnd w:id="787"/>
      <w:bookmarkEnd w:id="788"/>
      <w:bookmarkEnd w:id="789"/>
    </w:p>
    <w:p w14:paraId="525DB27B">
      <w:pPr>
        <w:spacing w:line="360" w:lineRule="auto"/>
        <w:ind w:firstLine="420" w:firstLineChars="200"/>
        <w:rPr>
          <w:rFonts w:ascii="宋体"/>
          <w:color w:val="auto"/>
        </w:rPr>
      </w:pPr>
      <w:r>
        <w:rPr>
          <w:rFonts w:hint="eastAsia" w:ascii="宋体" w:hAnsi="宋体"/>
          <w:color w:val="auto"/>
        </w:rPr>
        <w:t>（</w:t>
      </w:r>
      <w:r>
        <w:rPr>
          <w:rFonts w:ascii="宋体" w:hAnsi="宋体"/>
          <w:color w:val="auto"/>
        </w:rPr>
        <w:t>1</w:t>
      </w:r>
      <w:r>
        <w:rPr>
          <w:rFonts w:hint="eastAsia" w:ascii="宋体" w:hAnsi="宋体"/>
          <w:color w:val="auto"/>
        </w:rPr>
        <w:t>）发包人要求承包人提交履约担保的，除合同条款专用部分另有约定的，在承包人按合同条款第</w:t>
      </w:r>
      <w:r>
        <w:rPr>
          <w:rFonts w:ascii="宋体" w:hAnsi="宋体"/>
          <w:color w:val="auto"/>
        </w:rPr>
        <w:t>4.2</w:t>
      </w:r>
      <w:r>
        <w:rPr>
          <w:rFonts w:hint="eastAsia" w:ascii="宋体" w:hAnsi="宋体"/>
          <w:color w:val="auto"/>
        </w:rPr>
        <w:t>款向发包人递交符合合同约定的履约担保的同时，发包人应当按照金额和条件对等的原则和合同文件中规定的格式或者其他经过承包人事先认可的格式向承包人递交一份支付担保。发包人提供支付担保格式</w:t>
      </w:r>
      <w:r>
        <w:rPr>
          <w:rFonts w:hint="eastAsia" w:ascii="黑体" w:hAnsi="黑体" w:eastAsia="黑体"/>
          <w:color w:val="auto"/>
        </w:rPr>
        <w:t>见合同条款专用部分附件六</w:t>
      </w:r>
      <w:r>
        <w:rPr>
          <w:rFonts w:hint="eastAsia" w:ascii="宋体" w:hAnsi="宋体"/>
          <w:color w:val="auto"/>
        </w:rPr>
        <w:t>。</w:t>
      </w:r>
    </w:p>
    <w:p w14:paraId="02B4869F">
      <w:pPr>
        <w:spacing w:line="360" w:lineRule="auto"/>
        <w:ind w:firstLine="420" w:firstLineChars="200"/>
        <w:rPr>
          <w:rFonts w:ascii="宋体"/>
          <w:color w:val="auto"/>
        </w:rPr>
      </w:pPr>
      <w:r>
        <w:rPr>
          <w:rFonts w:hint="eastAsia" w:ascii="宋体" w:hAnsi="宋体"/>
          <w:color w:val="auto"/>
        </w:rPr>
        <w:t>（</w:t>
      </w:r>
      <w:r>
        <w:rPr>
          <w:rFonts w:ascii="宋体" w:hAnsi="宋体"/>
          <w:color w:val="auto"/>
        </w:rPr>
        <w:t>2</w:t>
      </w:r>
      <w:r>
        <w:rPr>
          <w:rFonts w:hint="eastAsia" w:ascii="宋体" w:hAnsi="宋体"/>
          <w:color w:val="auto"/>
        </w:rPr>
        <w:t>）支付担保的有效期应当自本合同生效之日起至发包人实际支付竣工付款之日止。</w:t>
      </w:r>
    </w:p>
    <w:p w14:paraId="30BE0651">
      <w:pPr>
        <w:spacing w:line="360" w:lineRule="auto"/>
        <w:ind w:firstLine="420" w:firstLineChars="200"/>
        <w:rPr>
          <w:rFonts w:ascii="宋体"/>
          <w:color w:val="auto"/>
        </w:rPr>
      </w:pPr>
      <w:r>
        <w:rPr>
          <w:rFonts w:hint="eastAsia" w:ascii="宋体" w:hAnsi="宋体"/>
          <w:color w:val="auto"/>
        </w:rPr>
        <w:t>（</w:t>
      </w:r>
      <w:r>
        <w:rPr>
          <w:rFonts w:ascii="宋体" w:hAnsi="宋体"/>
          <w:color w:val="auto"/>
        </w:rPr>
        <w:t>3</w:t>
      </w:r>
      <w:r>
        <w:rPr>
          <w:rFonts w:hint="eastAsia" w:ascii="宋体" w:hAnsi="宋体"/>
          <w:color w:val="auto"/>
        </w:rPr>
        <w:t>）发包人无法获得一份不带具体截止日期的履约担保，支付担保中应当约定有“变更工程竣工付款支付日期的，保证期间按照变更后的竣工付款支付日期做相应调整”或类似约定的条款。</w:t>
      </w:r>
    </w:p>
    <w:p w14:paraId="6AF000DB">
      <w:pPr>
        <w:spacing w:line="360" w:lineRule="auto"/>
        <w:ind w:firstLine="420" w:firstLineChars="200"/>
        <w:rPr>
          <w:rFonts w:ascii="宋体"/>
          <w:color w:val="auto"/>
        </w:rPr>
      </w:pPr>
      <w:r>
        <w:rPr>
          <w:rFonts w:hint="eastAsia" w:ascii="宋体" w:hAnsi="宋体"/>
          <w:color w:val="auto"/>
        </w:rPr>
        <w:t>（</w:t>
      </w:r>
      <w:r>
        <w:rPr>
          <w:rFonts w:ascii="宋体" w:hAnsi="宋体"/>
          <w:color w:val="auto"/>
        </w:rPr>
        <w:t>4</w:t>
      </w:r>
      <w:r>
        <w:rPr>
          <w:rFonts w:hint="eastAsia" w:ascii="宋体" w:hAnsi="宋体"/>
          <w:color w:val="auto"/>
        </w:rPr>
        <w:t>）支付担保应当在发包人付清竣工付款之日后</w:t>
      </w:r>
      <w:r>
        <w:rPr>
          <w:rFonts w:ascii="宋体" w:hAnsi="宋体"/>
          <w:color w:val="auto"/>
        </w:rPr>
        <w:t>28</w:t>
      </w:r>
      <w:r>
        <w:rPr>
          <w:rFonts w:hint="eastAsia" w:ascii="宋体" w:hAnsi="宋体"/>
          <w:color w:val="auto"/>
        </w:rPr>
        <w:t>天内退还给发包人；承包人不承担发包人与支付担保有关的任何利息或其它类似的费用或者收益。</w:t>
      </w:r>
    </w:p>
    <w:p w14:paraId="1C574B04">
      <w:pPr>
        <w:keepNext/>
        <w:keepLines/>
        <w:spacing w:beforeLines="50" w:afterLines="50" w:line="360" w:lineRule="auto"/>
        <w:outlineLvl w:val="2"/>
        <w:rPr>
          <w:rFonts w:ascii="宋体" w:hAnsi="宋体"/>
          <w:color w:val="auto"/>
          <w:sz w:val="24"/>
          <w:szCs w:val="20"/>
        </w:rPr>
      </w:pPr>
      <w:bookmarkStart w:id="790" w:name="_Toc117597490"/>
      <w:bookmarkStart w:id="791" w:name="_Toc486580064"/>
      <w:bookmarkStart w:id="792" w:name="_Toc489279875"/>
      <w:bookmarkStart w:id="793" w:name="_Toc497213740"/>
      <w:bookmarkStart w:id="794" w:name="_Toc490222509"/>
      <w:r>
        <w:rPr>
          <w:rFonts w:ascii="宋体" w:hAnsi="宋体"/>
          <w:color w:val="auto"/>
          <w:sz w:val="24"/>
          <w:szCs w:val="20"/>
        </w:rPr>
        <w:t xml:space="preserve">2.9  </w:t>
      </w:r>
      <w:r>
        <w:rPr>
          <w:rFonts w:hint="eastAsia" w:ascii="宋体" w:hAnsi="宋体"/>
          <w:color w:val="auto"/>
          <w:sz w:val="24"/>
          <w:szCs w:val="20"/>
        </w:rPr>
        <w:t>办理工程质量监督手续</w:t>
      </w:r>
      <w:bookmarkEnd w:id="790"/>
      <w:bookmarkEnd w:id="791"/>
      <w:bookmarkEnd w:id="792"/>
      <w:bookmarkEnd w:id="793"/>
      <w:bookmarkEnd w:id="794"/>
    </w:p>
    <w:p w14:paraId="085FF132">
      <w:pPr>
        <w:spacing w:line="360" w:lineRule="auto"/>
        <w:ind w:firstLine="420" w:firstLineChars="200"/>
        <w:rPr>
          <w:rFonts w:ascii="宋体"/>
          <w:color w:val="auto"/>
        </w:rPr>
      </w:pPr>
      <w:r>
        <w:rPr>
          <w:rFonts w:hint="eastAsia" w:ascii="宋体" w:hAnsi="宋体"/>
          <w:color w:val="auto"/>
        </w:rPr>
        <w:t>发包人应按有关规定及时办理工程质量监督手续。</w:t>
      </w:r>
    </w:p>
    <w:p w14:paraId="499DB8E3">
      <w:pPr>
        <w:keepNext/>
        <w:keepLines/>
        <w:spacing w:beforeLines="50" w:afterLines="50" w:line="360" w:lineRule="auto"/>
        <w:outlineLvl w:val="2"/>
        <w:rPr>
          <w:rFonts w:ascii="宋体" w:hAnsi="宋体"/>
          <w:color w:val="auto"/>
          <w:sz w:val="24"/>
          <w:szCs w:val="20"/>
        </w:rPr>
      </w:pPr>
      <w:bookmarkStart w:id="795" w:name="_Toc490222510"/>
      <w:bookmarkStart w:id="796" w:name="_Toc489279876"/>
      <w:bookmarkStart w:id="797" w:name="_Toc117597491"/>
      <w:bookmarkStart w:id="798" w:name="_Toc497213741"/>
      <w:bookmarkStart w:id="799" w:name="_Toc486580065"/>
      <w:r>
        <w:rPr>
          <w:rFonts w:ascii="宋体" w:hAnsi="宋体"/>
          <w:color w:val="auto"/>
          <w:sz w:val="24"/>
          <w:szCs w:val="20"/>
        </w:rPr>
        <w:t xml:space="preserve">2.10 </w:t>
      </w:r>
      <w:r>
        <w:rPr>
          <w:rFonts w:hint="eastAsia" w:ascii="宋体" w:hAnsi="宋体"/>
          <w:color w:val="auto"/>
          <w:sz w:val="24"/>
          <w:szCs w:val="20"/>
        </w:rPr>
        <w:t xml:space="preserve"> 环境保护责任</w:t>
      </w:r>
      <w:bookmarkEnd w:id="795"/>
      <w:bookmarkEnd w:id="796"/>
      <w:bookmarkEnd w:id="797"/>
      <w:bookmarkEnd w:id="798"/>
      <w:bookmarkEnd w:id="799"/>
    </w:p>
    <w:p w14:paraId="7BAAFF1F">
      <w:pPr>
        <w:spacing w:line="360" w:lineRule="auto"/>
        <w:ind w:firstLine="315" w:firstLineChars="150"/>
        <w:rPr>
          <w:rFonts w:ascii="宋体"/>
          <w:color w:val="auto"/>
        </w:rPr>
      </w:pPr>
      <w:r>
        <w:rPr>
          <w:rFonts w:hint="eastAsia" w:ascii="宋体" w:hAnsi="宋体"/>
          <w:color w:val="auto"/>
          <w:szCs w:val="20"/>
        </w:rPr>
        <w:t>发包人对建筑垃圾处理、施工扬尘治理以及疫情防控常态化管理负总责。</w:t>
      </w:r>
    </w:p>
    <w:p w14:paraId="2CB6C05D">
      <w:pPr>
        <w:keepNext/>
        <w:keepLines/>
        <w:spacing w:beforeLines="50" w:afterLines="50" w:line="360" w:lineRule="auto"/>
        <w:outlineLvl w:val="2"/>
        <w:rPr>
          <w:rFonts w:ascii="宋体" w:hAnsi="宋体"/>
          <w:color w:val="auto"/>
          <w:sz w:val="24"/>
          <w:szCs w:val="20"/>
        </w:rPr>
      </w:pPr>
      <w:bookmarkStart w:id="800" w:name="_Toc486580066"/>
      <w:bookmarkStart w:id="801" w:name="_Toc117597492"/>
      <w:bookmarkStart w:id="802" w:name="_Toc490222511"/>
      <w:bookmarkStart w:id="803" w:name="_Toc497213742"/>
      <w:bookmarkStart w:id="804" w:name="_Toc489279877"/>
      <w:r>
        <w:rPr>
          <w:rFonts w:ascii="宋体" w:hAnsi="宋体"/>
          <w:color w:val="auto"/>
          <w:sz w:val="24"/>
          <w:szCs w:val="20"/>
        </w:rPr>
        <w:t xml:space="preserve">2.11  </w:t>
      </w:r>
      <w:r>
        <w:rPr>
          <w:rFonts w:hint="eastAsia" w:ascii="宋体" w:hAnsi="宋体"/>
          <w:color w:val="auto"/>
          <w:sz w:val="24"/>
          <w:szCs w:val="20"/>
        </w:rPr>
        <w:t>移交工程档案</w:t>
      </w:r>
      <w:bookmarkEnd w:id="800"/>
      <w:bookmarkEnd w:id="801"/>
      <w:bookmarkEnd w:id="802"/>
      <w:bookmarkEnd w:id="803"/>
      <w:bookmarkEnd w:id="804"/>
    </w:p>
    <w:p w14:paraId="4FDE2252">
      <w:pPr>
        <w:spacing w:line="360" w:lineRule="auto"/>
        <w:ind w:firstLine="420" w:firstLineChars="200"/>
        <w:rPr>
          <w:rFonts w:ascii="宋体"/>
          <w:color w:val="auto"/>
          <w:szCs w:val="20"/>
        </w:rPr>
      </w:pPr>
      <w:r>
        <w:rPr>
          <w:rFonts w:hint="eastAsia" w:ascii="宋体" w:hAnsi="宋体"/>
          <w:color w:val="auto"/>
          <w:szCs w:val="20"/>
        </w:rPr>
        <w:t>发包人应根据建设行政主管部门和（或）城市建设档案管理机构的规定，收集、整理、立卷、归档工程资料，并按规定时间向建设行政主管部门或者城市建设档案管理机构移交规定的工程档案。</w:t>
      </w:r>
    </w:p>
    <w:p w14:paraId="542C8471">
      <w:pPr>
        <w:keepNext/>
        <w:keepLines/>
        <w:spacing w:beforeLines="50" w:afterLines="50" w:line="360" w:lineRule="auto"/>
        <w:outlineLvl w:val="2"/>
        <w:rPr>
          <w:rFonts w:ascii="宋体" w:hAnsi="宋体"/>
          <w:color w:val="auto"/>
          <w:sz w:val="24"/>
          <w:szCs w:val="20"/>
        </w:rPr>
      </w:pPr>
      <w:bookmarkStart w:id="805" w:name="_Toc117597493"/>
      <w:bookmarkStart w:id="806" w:name="_Toc497213743"/>
      <w:bookmarkStart w:id="807" w:name="_Toc489279878"/>
      <w:bookmarkStart w:id="808" w:name="_Toc486580067"/>
      <w:bookmarkStart w:id="809" w:name="_Toc490222512"/>
      <w:r>
        <w:rPr>
          <w:rFonts w:ascii="宋体" w:hAnsi="宋体"/>
          <w:color w:val="auto"/>
          <w:sz w:val="24"/>
          <w:szCs w:val="20"/>
        </w:rPr>
        <w:t xml:space="preserve">2.12  </w:t>
      </w:r>
      <w:r>
        <w:rPr>
          <w:rFonts w:hint="eastAsia" w:ascii="宋体" w:hAnsi="宋体"/>
          <w:color w:val="auto"/>
          <w:sz w:val="24"/>
          <w:szCs w:val="20"/>
        </w:rPr>
        <w:t>批准和确认</w:t>
      </w:r>
      <w:bookmarkEnd w:id="805"/>
      <w:bookmarkEnd w:id="806"/>
      <w:bookmarkEnd w:id="807"/>
      <w:bookmarkEnd w:id="808"/>
      <w:bookmarkEnd w:id="809"/>
    </w:p>
    <w:p w14:paraId="6D8312A4">
      <w:pPr>
        <w:spacing w:line="360" w:lineRule="auto"/>
        <w:ind w:firstLine="420" w:firstLineChars="200"/>
        <w:rPr>
          <w:rFonts w:ascii="宋体"/>
          <w:color w:val="auto"/>
        </w:rPr>
      </w:pPr>
      <w:r>
        <w:rPr>
          <w:rFonts w:hint="eastAsia" w:ascii="宋体" w:hAnsi="宋体"/>
          <w:color w:val="auto"/>
          <w:szCs w:val="20"/>
        </w:rPr>
        <w:t>按照合同约定应当由监理人或者发包人回复、批复、批准和确认，或承包人提出修改意见的要求、请求、申请和报批等，自监理人或者发包人指定的接收人收到承包人发出的相应要求、请求、申请和报批之日起，如果监理人或者发包人在合同约定的期限内未予回复、批复、批准、确认或提出修改意见的，视为监理人和发包人已经同意、确认或者批准。</w:t>
      </w:r>
    </w:p>
    <w:p w14:paraId="657158E8">
      <w:pPr>
        <w:keepNext/>
        <w:keepLines/>
        <w:spacing w:beforeLines="50" w:afterLines="50" w:line="360" w:lineRule="auto"/>
        <w:outlineLvl w:val="2"/>
        <w:rPr>
          <w:rFonts w:ascii="宋体" w:hAnsi="宋体"/>
          <w:color w:val="auto"/>
          <w:sz w:val="24"/>
          <w:szCs w:val="20"/>
        </w:rPr>
      </w:pPr>
      <w:bookmarkStart w:id="810" w:name="_Toc489279879"/>
      <w:bookmarkStart w:id="811" w:name="_Toc117597494"/>
      <w:bookmarkStart w:id="812" w:name="_Toc497213744"/>
      <w:bookmarkStart w:id="813" w:name="_Toc490222513"/>
      <w:bookmarkStart w:id="814" w:name="_Toc486580068"/>
      <w:r>
        <w:rPr>
          <w:rFonts w:ascii="宋体" w:hAnsi="宋体"/>
          <w:color w:val="auto"/>
          <w:sz w:val="24"/>
          <w:szCs w:val="20"/>
        </w:rPr>
        <w:t xml:space="preserve">2.13  </w:t>
      </w:r>
      <w:r>
        <w:rPr>
          <w:rFonts w:hint="eastAsia" w:ascii="宋体" w:hAnsi="宋体"/>
          <w:color w:val="auto"/>
          <w:sz w:val="24"/>
          <w:szCs w:val="20"/>
        </w:rPr>
        <w:t>其他义务</w:t>
      </w:r>
      <w:bookmarkEnd w:id="810"/>
      <w:bookmarkEnd w:id="811"/>
      <w:bookmarkEnd w:id="812"/>
      <w:bookmarkEnd w:id="813"/>
      <w:bookmarkEnd w:id="814"/>
    </w:p>
    <w:p w14:paraId="75B5AA81">
      <w:pPr>
        <w:spacing w:line="360" w:lineRule="auto"/>
        <w:ind w:firstLine="420" w:firstLineChars="200"/>
        <w:rPr>
          <w:rFonts w:ascii="黑体" w:hAnsi="黑体" w:eastAsia="黑体"/>
          <w:b/>
          <w:color w:val="auto"/>
        </w:rPr>
      </w:pPr>
      <w:r>
        <w:rPr>
          <w:rFonts w:hint="eastAsia" w:ascii="宋体" w:hAnsi="宋体"/>
          <w:color w:val="auto"/>
        </w:rPr>
        <w:t>发包人应履行的其他义务</w:t>
      </w:r>
      <w:r>
        <w:rPr>
          <w:rFonts w:hint="eastAsia" w:ascii="黑体" w:hAnsi="黑体" w:eastAsia="黑体"/>
          <w:color w:val="auto"/>
        </w:rPr>
        <w:t>见合同条款专用部分。</w:t>
      </w:r>
    </w:p>
    <w:p w14:paraId="6110FB47">
      <w:pPr>
        <w:keepNext/>
        <w:keepLines/>
        <w:spacing w:beforeLines="50" w:afterLines="50" w:line="360" w:lineRule="auto"/>
        <w:outlineLvl w:val="1"/>
        <w:rPr>
          <w:rFonts w:ascii="宋体" w:hAnsi="宋体" w:cs="宋体"/>
          <w:color w:val="auto"/>
          <w:sz w:val="28"/>
          <w:szCs w:val="20"/>
        </w:rPr>
      </w:pPr>
      <w:bookmarkStart w:id="815" w:name="_Toc117597495"/>
      <w:bookmarkStart w:id="816" w:name="_Toc490222514"/>
      <w:bookmarkStart w:id="817" w:name="_Toc489279880"/>
      <w:bookmarkStart w:id="818" w:name="_Toc497213745"/>
      <w:bookmarkStart w:id="819" w:name="_Toc486580069"/>
      <w:r>
        <w:rPr>
          <w:rFonts w:ascii="宋体" w:hAnsi="宋体" w:cs="宋体"/>
          <w:color w:val="auto"/>
          <w:sz w:val="28"/>
          <w:szCs w:val="20"/>
        </w:rPr>
        <w:t>3.</w:t>
      </w:r>
      <w:r>
        <w:rPr>
          <w:rFonts w:hint="eastAsia" w:ascii="宋体" w:hAnsi="宋体" w:cs="宋体"/>
          <w:color w:val="auto"/>
          <w:sz w:val="28"/>
          <w:szCs w:val="20"/>
        </w:rPr>
        <w:t>监理人</w:t>
      </w:r>
      <w:bookmarkEnd w:id="815"/>
      <w:bookmarkEnd w:id="816"/>
      <w:bookmarkEnd w:id="817"/>
      <w:bookmarkEnd w:id="818"/>
      <w:bookmarkEnd w:id="819"/>
    </w:p>
    <w:p w14:paraId="57EE0FFE">
      <w:pPr>
        <w:keepNext/>
        <w:keepLines/>
        <w:spacing w:beforeLines="50" w:afterLines="50" w:line="360" w:lineRule="auto"/>
        <w:outlineLvl w:val="2"/>
        <w:rPr>
          <w:rFonts w:ascii="宋体" w:hAnsi="宋体"/>
          <w:color w:val="auto"/>
          <w:sz w:val="24"/>
          <w:szCs w:val="20"/>
        </w:rPr>
      </w:pPr>
      <w:bookmarkStart w:id="820" w:name="_Toc486580070"/>
      <w:bookmarkStart w:id="821" w:name="_Toc497213746"/>
      <w:bookmarkStart w:id="822" w:name="_Toc489279881"/>
      <w:bookmarkStart w:id="823" w:name="_Toc117597496"/>
      <w:bookmarkStart w:id="824" w:name="_Toc490222515"/>
      <w:r>
        <w:rPr>
          <w:rFonts w:ascii="宋体" w:hAnsi="宋体"/>
          <w:color w:val="auto"/>
          <w:sz w:val="24"/>
          <w:szCs w:val="20"/>
        </w:rPr>
        <w:t xml:space="preserve">3.1  </w:t>
      </w:r>
      <w:r>
        <w:rPr>
          <w:rFonts w:hint="eastAsia" w:ascii="宋体" w:hAnsi="宋体"/>
          <w:color w:val="auto"/>
          <w:sz w:val="24"/>
          <w:szCs w:val="20"/>
        </w:rPr>
        <w:t>监理人的职责和权力</w:t>
      </w:r>
      <w:bookmarkEnd w:id="820"/>
      <w:bookmarkEnd w:id="821"/>
      <w:bookmarkEnd w:id="822"/>
      <w:bookmarkEnd w:id="823"/>
      <w:bookmarkEnd w:id="824"/>
    </w:p>
    <w:p w14:paraId="55FADFF0">
      <w:pPr>
        <w:spacing w:line="360" w:lineRule="auto"/>
        <w:ind w:firstLine="420" w:firstLineChars="200"/>
        <w:rPr>
          <w:rFonts w:ascii="宋体"/>
          <w:color w:val="auto"/>
        </w:rPr>
      </w:pPr>
      <w:r>
        <w:rPr>
          <w:rFonts w:ascii="宋体" w:hAnsi="宋体"/>
          <w:color w:val="auto"/>
        </w:rPr>
        <w:t xml:space="preserve">3.1.1  </w:t>
      </w:r>
      <w:r>
        <w:rPr>
          <w:rFonts w:hint="eastAsia" w:ascii="宋体" w:hAnsi="宋体"/>
          <w:color w:val="auto"/>
        </w:rPr>
        <w:t>监理人受发包人委托，享有合同约定的权力。监理人在行使某项权力前需要经发包人事先批准，合同条款通用部分没有指明的，应在合同中指明。监理人履行须经发包人批准行使的权力时，应当向承包人出示其行使该权力已经取得发包人批准的文件或者其他合法有效的证明。发包人需批准明确行使的权力</w:t>
      </w:r>
      <w:r>
        <w:rPr>
          <w:rFonts w:hint="eastAsia" w:ascii="黑体" w:hAnsi="黑体" w:eastAsia="黑体"/>
          <w:color w:val="auto"/>
        </w:rPr>
        <w:t>见合同条款专用部分。</w:t>
      </w:r>
    </w:p>
    <w:p w14:paraId="5BD2F2DA">
      <w:pPr>
        <w:spacing w:line="360" w:lineRule="auto"/>
        <w:ind w:firstLine="420" w:firstLineChars="200"/>
        <w:rPr>
          <w:rFonts w:ascii="宋体"/>
          <w:color w:val="auto"/>
        </w:rPr>
      </w:pPr>
      <w:r>
        <w:rPr>
          <w:rFonts w:ascii="宋体" w:hAnsi="宋体"/>
          <w:color w:val="auto"/>
        </w:rPr>
        <w:t xml:space="preserve">3.1.2  </w:t>
      </w:r>
      <w:r>
        <w:rPr>
          <w:rFonts w:hint="eastAsia" w:ascii="宋体" w:hAnsi="宋体"/>
          <w:color w:val="auto"/>
        </w:rPr>
        <w:t>监理人发出的任何指示应视为已得到发包人的批准，但监理人无权免除或变更合同约定的发包人和承包人的权利、义务和责任。</w:t>
      </w:r>
    </w:p>
    <w:p w14:paraId="26AAB456">
      <w:pPr>
        <w:spacing w:line="360" w:lineRule="auto"/>
        <w:ind w:firstLine="420" w:firstLineChars="200"/>
        <w:rPr>
          <w:rFonts w:ascii="宋体" w:hAnsi="宋体"/>
          <w:color w:val="auto"/>
        </w:rPr>
      </w:pPr>
      <w:r>
        <w:rPr>
          <w:rFonts w:ascii="宋体" w:hAnsi="宋体"/>
          <w:color w:val="auto"/>
        </w:rPr>
        <w:t xml:space="preserve">3.1.3  </w:t>
      </w:r>
      <w:r>
        <w:rPr>
          <w:rFonts w:hint="eastAsia" w:ascii="宋体" w:hAnsi="宋体"/>
          <w:color w:val="auto"/>
        </w:rPr>
        <w:t>合同约定应由承包人承担的义务和责任，不因监理人对承包人提交文件的审查或批准，对工程、材料和设备的检查和检验，以及为实施监理作出的指示等职务行为而减轻或解除。</w:t>
      </w:r>
    </w:p>
    <w:p w14:paraId="3B32469C">
      <w:pPr>
        <w:spacing w:line="360" w:lineRule="auto"/>
        <w:ind w:firstLine="420" w:firstLineChars="200"/>
        <w:rPr>
          <w:rFonts w:ascii="宋体" w:hAnsi="宋体"/>
          <w:color w:val="auto"/>
        </w:rPr>
      </w:pPr>
      <w:r>
        <w:rPr>
          <w:rFonts w:hint="eastAsia" w:ascii="宋体" w:hAnsi="宋体"/>
          <w:color w:val="auto"/>
        </w:rPr>
        <w:t>3.1.4  监理人负责审查施工现场疫情常态化防控工作方案，检查落实情况并提出合理化建议。</w:t>
      </w:r>
    </w:p>
    <w:p w14:paraId="7C399971">
      <w:pPr>
        <w:keepNext/>
        <w:keepLines/>
        <w:spacing w:beforeLines="50" w:afterLines="50" w:line="360" w:lineRule="auto"/>
        <w:outlineLvl w:val="2"/>
        <w:rPr>
          <w:rFonts w:ascii="宋体" w:hAnsi="宋体"/>
          <w:color w:val="auto"/>
          <w:sz w:val="24"/>
          <w:szCs w:val="20"/>
        </w:rPr>
      </w:pPr>
      <w:bookmarkStart w:id="825" w:name="_Toc117597497"/>
      <w:bookmarkStart w:id="826" w:name="_Toc497213747"/>
      <w:bookmarkStart w:id="827" w:name="_Toc486580071"/>
      <w:bookmarkStart w:id="828" w:name="_Toc489279882"/>
      <w:bookmarkStart w:id="829" w:name="_Toc490222516"/>
      <w:r>
        <w:rPr>
          <w:rFonts w:ascii="宋体" w:hAnsi="宋体"/>
          <w:color w:val="auto"/>
          <w:sz w:val="24"/>
          <w:szCs w:val="20"/>
        </w:rPr>
        <w:t xml:space="preserve">3.2  </w:t>
      </w:r>
      <w:r>
        <w:rPr>
          <w:rFonts w:hint="eastAsia" w:ascii="宋体" w:hAnsi="宋体"/>
          <w:color w:val="auto"/>
          <w:sz w:val="24"/>
          <w:szCs w:val="20"/>
        </w:rPr>
        <w:t>总监理工程师</w:t>
      </w:r>
      <w:bookmarkEnd w:id="825"/>
      <w:bookmarkEnd w:id="826"/>
      <w:bookmarkEnd w:id="827"/>
      <w:bookmarkEnd w:id="828"/>
      <w:bookmarkEnd w:id="829"/>
    </w:p>
    <w:p w14:paraId="1162C216">
      <w:pPr>
        <w:spacing w:line="360" w:lineRule="auto"/>
        <w:ind w:firstLine="420" w:firstLineChars="200"/>
        <w:rPr>
          <w:rFonts w:ascii="宋体"/>
          <w:color w:val="auto"/>
        </w:rPr>
      </w:pPr>
      <w:r>
        <w:rPr>
          <w:rFonts w:hint="eastAsia" w:ascii="宋体" w:hAnsi="宋体"/>
          <w:color w:val="auto"/>
        </w:rPr>
        <w:t>发包人应在发出开工通知前将总监理工程师的任命通知承包人。总监理工程师更换时，应在调离</w:t>
      </w:r>
      <w:r>
        <w:rPr>
          <w:rFonts w:ascii="宋体" w:hAnsi="宋体"/>
          <w:color w:val="auto"/>
        </w:rPr>
        <w:t>14</w:t>
      </w:r>
      <w:r>
        <w:rPr>
          <w:rFonts w:hint="eastAsia" w:ascii="宋体" w:hAnsi="宋体"/>
          <w:color w:val="auto"/>
        </w:rPr>
        <w:t>天前通知承包人。总监理工程师短期离开施工场地的，应委派代表代行其职责，并通知承包人。</w:t>
      </w:r>
    </w:p>
    <w:p w14:paraId="7C396269">
      <w:pPr>
        <w:keepNext/>
        <w:keepLines/>
        <w:spacing w:beforeLines="50" w:afterLines="50" w:line="360" w:lineRule="auto"/>
        <w:outlineLvl w:val="2"/>
        <w:rPr>
          <w:rFonts w:ascii="宋体" w:hAnsi="宋体"/>
          <w:color w:val="auto"/>
          <w:sz w:val="24"/>
          <w:szCs w:val="20"/>
        </w:rPr>
      </w:pPr>
      <w:bookmarkStart w:id="830" w:name="_Toc489279883"/>
      <w:bookmarkStart w:id="831" w:name="_Toc490222517"/>
      <w:bookmarkStart w:id="832" w:name="_Toc497213748"/>
      <w:bookmarkStart w:id="833" w:name="_Toc486580072"/>
      <w:bookmarkStart w:id="834" w:name="_Toc117597498"/>
      <w:r>
        <w:rPr>
          <w:rFonts w:ascii="宋体" w:hAnsi="宋体"/>
          <w:color w:val="auto"/>
          <w:sz w:val="24"/>
          <w:szCs w:val="20"/>
        </w:rPr>
        <w:t xml:space="preserve">3.3  </w:t>
      </w:r>
      <w:r>
        <w:rPr>
          <w:rFonts w:hint="eastAsia" w:ascii="宋体" w:hAnsi="宋体"/>
          <w:color w:val="auto"/>
          <w:sz w:val="24"/>
          <w:szCs w:val="20"/>
        </w:rPr>
        <w:t>监理人员</w:t>
      </w:r>
      <w:bookmarkEnd w:id="830"/>
      <w:bookmarkEnd w:id="831"/>
      <w:bookmarkEnd w:id="832"/>
      <w:bookmarkEnd w:id="833"/>
      <w:bookmarkEnd w:id="834"/>
    </w:p>
    <w:p w14:paraId="0E26FC39">
      <w:pPr>
        <w:spacing w:line="360" w:lineRule="auto"/>
        <w:ind w:firstLine="420" w:firstLineChars="200"/>
        <w:rPr>
          <w:rFonts w:ascii="宋体"/>
          <w:color w:val="auto"/>
        </w:rPr>
      </w:pPr>
      <w:r>
        <w:rPr>
          <w:rFonts w:ascii="宋体" w:hAnsi="宋体"/>
          <w:color w:val="auto"/>
        </w:rPr>
        <w:t xml:space="preserve">3.3.1  </w:t>
      </w:r>
      <w:r>
        <w:rPr>
          <w:rFonts w:hint="eastAsia" w:ascii="宋体" w:hAnsi="宋体"/>
          <w:color w:val="auto"/>
        </w:rPr>
        <w:t>总监理工程师可以授权其他监理人员负责执行其指派的一项或多项监理工作。总监理工程师应将被授权监理人员的姓名及其授权范围通知承包人。被授权的监理人员在授权范围内发出的指示视为已得到总监理工程师的同意，与总监理工程师发出的指示具有同等效力。总监理工程师撤销某项授权时，应将撤销授权的决定及时通知承包人。</w:t>
      </w:r>
    </w:p>
    <w:p w14:paraId="2AD4945B">
      <w:pPr>
        <w:spacing w:line="360" w:lineRule="auto"/>
        <w:ind w:firstLine="420" w:firstLineChars="200"/>
        <w:rPr>
          <w:rFonts w:ascii="宋体"/>
          <w:color w:val="auto"/>
        </w:rPr>
      </w:pPr>
      <w:r>
        <w:rPr>
          <w:rFonts w:ascii="宋体" w:hAnsi="宋体"/>
          <w:color w:val="auto"/>
        </w:rPr>
        <w:t xml:space="preserve">3.3.2  </w:t>
      </w:r>
      <w:r>
        <w:rPr>
          <w:rFonts w:hint="eastAsia" w:ascii="宋体" w:hAnsi="宋体"/>
          <w:color w:val="auto"/>
        </w:rPr>
        <w:t>监理人员对承包人的任何工作、工程或其采用的材料和工程设备未在约定的或合理的期限内提出否定意见的，视为已获批准，但不影响监理人在以后拒绝该项工作、工程、材料或工程设备的权利。</w:t>
      </w:r>
    </w:p>
    <w:p w14:paraId="7FA42123">
      <w:pPr>
        <w:spacing w:line="360" w:lineRule="auto"/>
        <w:ind w:firstLine="420" w:firstLineChars="200"/>
        <w:rPr>
          <w:rFonts w:ascii="宋体"/>
          <w:color w:val="auto"/>
        </w:rPr>
      </w:pPr>
      <w:r>
        <w:rPr>
          <w:rFonts w:ascii="宋体" w:hAnsi="宋体"/>
          <w:color w:val="auto"/>
        </w:rPr>
        <w:t xml:space="preserve">3.3.3  </w:t>
      </w:r>
      <w:r>
        <w:rPr>
          <w:rFonts w:hint="eastAsia" w:ascii="宋体" w:hAnsi="宋体"/>
          <w:color w:val="auto"/>
        </w:rPr>
        <w:t>承包人对总监理工程师授权的监理人员发出的指示有疑问的，可向总监理工程师提出书面异议，总监理工程师应在</w:t>
      </w:r>
      <w:r>
        <w:rPr>
          <w:rFonts w:ascii="宋体" w:hAnsi="宋体"/>
          <w:color w:val="auto"/>
        </w:rPr>
        <w:t>48</w:t>
      </w:r>
      <w:r>
        <w:rPr>
          <w:rFonts w:hint="eastAsia" w:ascii="宋体" w:hAnsi="宋体"/>
          <w:color w:val="auto"/>
        </w:rPr>
        <w:t>小时内对该指示予以确认、更改或撤销。</w:t>
      </w:r>
    </w:p>
    <w:p w14:paraId="5C862935">
      <w:pPr>
        <w:spacing w:line="360" w:lineRule="auto"/>
        <w:ind w:firstLine="420" w:firstLineChars="200"/>
        <w:rPr>
          <w:rFonts w:ascii="宋体"/>
          <w:color w:val="auto"/>
        </w:rPr>
      </w:pPr>
      <w:r>
        <w:rPr>
          <w:rFonts w:ascii="宋体" w:hAnsi="宋体"/>
          <w:color w:val="auto"/>
        </w:rPr>
        <w:t xml:space="preserve">3.3.4  </w:t>
      </w:r>
      <w:r>
        <w:rPr>
          <w:rFonts w:hint="eastAsia" w:ascii="宋体" w:hAnsi="宋体"/>
          <w:color w:val="auto"/>
        </w:rPr>
        <w:t>总监理工程师不应将合同条款通用部分第</w:t>
      </w:r>
      <w:r>
        <w:rPr>
          <w:rFonts w:ascii="宋体" w:hAnsi="宋体"/>
          <w:color w:val="auto"/>
        </w:rPr>
        <w:t>3.5</w:t>
      </w:r>
      <w:r>
        <w:rPr>
          <w:rFonts w:hint="eastAsia" w:ascii="宋体" w:hAnsi="宋体"/>
          <w:color w:val="auto"/>
        </w:rPr>
        <w:t>款约定应由总监理工程师作出确定的权力授权或者委托给其他监理人员。</w:t>
      </w:r>
    </w:p>
    <w:p w14:paraId="008F382E">
      <w:pPr>
        <w:keepNext/>
        <w:keepLines/>
        <w:spacing w:beforeLines="50" w:afterLines="50" w:line="360" w:lineRule="auto"/>
        <w:outlineLvl w:val="2"/>
        <w:rPr>
          <w:rFonts w:ascii="宋体" w:hAnsi="宋体"/>
          <w:color w:val="auto"/>
          <w:sz w:val="24"/>
          <w:szCs w:val="20"/>
        </w:rPr>
      </w:pPr>
      <w:bookmarkStart w:id="835" w:name="_Toc117597499"/>
      <w:bookmarkStart w:id="836" w:name="_Toc489279884"/>
      <w:bookmarkStart w:id="837" w:name="_Toc486580073"/>
      <w:bookmarkStart w:id="838" w:name="_Toc497213749"/>
      <w:bookmarkStart w:id="839" w:name="_Toc490222518"/>
      <w:r>
        <w:rPr>
          <w:rFonts w:ascii="宋体" w:hAnsi="宋体"/>
          <w:color w:val="auto"/>
          <w:sz w:val="24"/>
          <w:szCs w:val="20"/>
        </w:rPr>
        <w:t xml:space="preserve">3.4  </w:t>
      </w:r>
      <w:r>
        <w:rPr>
          <w:rFonts w:hint="eastAsia" w:ascii="宋体" w:hAnsi="宋体"/>
          <w:color w:val="auto"/>
          <w:sz w:val="24"/>
          <w:szCs w:val="20"/>
        </w:rPr>
        <w:t>监理人的指示</w:t>
      </w:r>
      <w:bookmarkEnd w:id="835"/>
      <w:bookmarkEnd w:id="836"/>
      <w:bookmarkEnd w:id="837"/>
      <w:bookmarkEnd w:id="838"/>
      <w:bookmarkEnd w:id="839"/>
    </w:p>
    <w:p w14:paraId="13FB2248">
      <w:pPr>
        <w:spacing w:line="360" w:lineRule="auto"/>
        <w:ind w:firstLine="420" w:firstLineChars="200"/>
        <w:rPr>
          <w:rFonts w:ascii="宋体"/>
          <w:color w:val="auto"/>
        </w:rPr>
      </w:pPr>
      <w:r>
        <w:rPr>
          <w:rFonts w:ascii="宋体" w:hAnsi="宋体"/>
          <w:color w:val="auto"/>
        </w:rPr>
        <w:t xml:space="preserve">3.4.1  </w:t>
      </w:r>
      <w:r>
        <w:rPr>
          <w:rFonts w:hint="eastAsia" w:ascii="宋体" w:hAnsi="宋体"/>
          <w:color w:val="auto"/>
        </w:rPr>
        <w:t>监理人应按第</w:t>
      </w:r>
      <w:r>
        <w:rPr>
          <w:rFonts w:ascii="宋体" w:hAnsi="宋体"/>
          <w:color w:val="auto"/>
        </w:rPr>
        <w:t>3.1</w:t>
      </w:r>
      <w:r>
        <w:rPr>
          <w:rFonts w:hint="eastAsia" w:ascii="宋体" w:hAnsi="宋体"/>
          <w:color w:val="auto"/>
        </w:rPr>
        <w:t>款的约定向承包人发出指示，监理人的指示应加盖监理人授权的施工场地机构章，并由总监理工程师或总监理工程师按第</w:t>
      </w:r>
      <w:r>
        <w:rPr>
          <w:rFonts w:ascii="宋体" w:hAnsi="宋体"/>
          <w:color w:val="auto"/>
        </w:rPr>
        <w:t>3.3.1</w:t>
      </w:r>
      <w:r>
        <w:rPr>
          <w:rFonts w:hint="eastAsia" w:ascii="宋体" w:hAnsi="宋体"/>
          <w:color w:val="auto"/>
        </w:rPr>
        <w:t>项约定授权的监理人员签字。</w:t>
      </w:r>
    </w:p>
    <w:p w14:paraId="3DA88096">
      <w:pPr>
        <w:spacing w:line="360" w:lineRule="auto"/>
        <w:ind w:firstLine="420" w:firstLineChars="200"/>
        <w:rPr>
          <w:rFonts w:ascii="宋体"/>
          <w:color w:val="auto"/>
        </w:rPr>
      </w:pPr>
      <w:r>
        <w:rPr>
          <w:rFonts w:ascii="宋体" w:hAnsi="宋体"/>
          <w:color w:val="auto"/>
        </w:rPr>
        <w:t xml:space="preserve">3.4.2  </w:t>
      </w:r>
      <w:r>
        <w:rPr>
          <w:rFonts w:hint="eastAsia" w:ascii="宋体" w:hAnsi="宋体"/>
          <w:color w:val="auto"/>
        </w:rPr>
        <w:t>承包人收到监理人按第</w:t>
      </w:r>
      <w:r>
        <w:rPr>
          <w:rFonts w:ascii="宋体" w:hAnsi="宋体"/>
          <w:color w:val="auto"/>
        </w:rPr>
        <w:t>3.4.1</w:t>
      </w:r>
      <w:r>
        <w:rPr>
          <w:rFonts w:hint="eastAsia" w:ascii="宋体" w:hAnsi="宋体"/>
          <w:color w:val="auto"/>
        </w:rPr>
        <w:t>项作出的指示后，应遵照执行。指示构成变更的，应按第</w:t>
      </w:r>
      <w:r>
        <w:rPr>
          <w:rFonts w:ascii="宋体" w:hAnsi="宋体"/>
          <w:color w:val="auto"/>
        </w:rPr>
        <w:t>15</w:t>
      </w:r>
      <w:r>
        <w:rPr>
          <w:rFonts w:hint="eastAsia" w:ascii="宋体" w:hAnsi="宋体"/>
          <w:color w:val="auto"/>
        </w:rPr>
        <w:t>条处理。</w:t>
      </w:r>
    </w:p>
    <w:p w14:paraId="0F8F91A7">
      <w:pPr>
        <w:spacing w:line="360" w:lineRule="auto"/>
        <w:ind w:firstLine="420" w:firstLineChars="200"/>
        <w:rPr>
          <w:rFonts w:ascii="宋体"/>
          <w:color w:val="auto"/>
        </w:rPr>
      </w:pPr>
      <w:r>
        <w:rPr>
          <w:rFonts w:ascii="宋体" w:hAnsi="宋体"/>
          <w:color w:val="auto"/>
        </w:rPr>
        <w:t xml:space="preserve">3.4.3  </w:t>
      </w:r>
      <w:r>
        <w:rPr>
          <w:rFonts w:hint="eastAsia" w:ascii="宋体" w:hAnsi="宋体"/>
          <w:color w:val="auto"/>
        </w:rPr>
        <w:t>在紧急情况下，总监理工程师或被授权的监理人员可以当场签发临时书面指示，承包人应遵照执行。承包人应在收到上述临时书面指示后</w:t>
      </w:r>
      <w:r>
        <w:rPr>
          <w:rFonts w:ascii="宋体" w:hAnsi="宋体"/>
          <w:color w:val="auto"/>
        </w:rPr>
        <w:t>24</w:t>
      </w:r>
      <w:r>
        <w:rPr>
          <w:rFonts w:hint="eastAsia" w:ascii="宋体" w:hAnsi="宋体"/>
          <w:color w:val="auto"/>
        </w:rPr>
        <w:t>小时内，向监理人发出书面确认函。监理人在收到书面确认函后</w:t>
      </w:r>
      <w:r>
        <w:rPr>
          <w:rFonts w:ascii="宋体" w:hAnsi="宋体"/>
          <w:color w:val="auto"/>
        </w:rPr>
        <w:t>24</w:t>
      </w:r>
      <w:r>
        <w:rPr>
          <w:rFonts w:hint="eastAsia" w:ascii="宋体" w:hAnsi="宋体"/>
          <w:color w:val="auto"/>
        </w:rPr>
        <w:t>小时内未予答复的，该书面确认函应被视为监理人的正式指示。</w:t>
      </w:r>
    </w:p>
    <w:p w14:paraId="66273D21">
      <w:pPr>
        <w:spacing w:line="360" w:lineRule="auto"/>
        <w:ind w:firstLine="420" w:firstLineChars="200"/>
        <w:rPr>
          <w:rFonts w:ascii="宋体"/>
          <w:color w:val="auto"/>
        </w:rPr>
      </w:pPr>
      <w:r>
        <w:rPr>
          <w:rFonts w:ascii="宋体" w:hAnsi="宋体"/>
          <w:color w:val="auto"/>
        </w:rPr>
        <w:t xml:space="preserve">3.4.4  </w:t>
      </w:r>
      <w:r>
        <w:rPr>
          <w:rFonts w:hint="eastAsia" w:ascii="宋体" w:hAnsi="宋体"/>
          <w:color w:val="auto"/>
        </w:rPr>
        <w:t>除合同另有约定外，承包人只从总监理工程师或按第</w:t>
      </w:r>
      <w:r>
        <w:rPr>
          <w:rFonts w:ascii="宋体" w:hAnsi="宋体"/>
          <w:color w:val="auto"/>
        </w:rPr>
        <w:t>3.3.1</w:t>
      </w:r>
      <w:r>
        <w:rPr>
          <w:rFonts w:hint="eastAsia" w:ascii="宋体" w:hAnsi="宋体"/>
          <w:color w:val="auto"/>
        </w:rPr>
        <w:t>项被授权的监理人员处取得指示。</w:t>
      </w:r>
    </w:p>
    <w:p w14:paraId="51848D2A">
      <w:pPr>
        <w:spacing w:line="360" w:lineRule="auto"/>
        <w:ind w:firstLine="420" w:firstLineChars="200"/>
        <w:rPr>
          <w:rFonts w:ascii="宋体"/>
          <w:color w:val="auto"/>
        </w:rPr>
      </w:pPr>
      <w:r>
        <w:rPr>
          <w:rFonts w:ascii="宋体" w:hAnsi="宋体"/>
          <w:color w:val="auto"/>
        </w:rPr>
        <w:t xml:space="preserve">3.4.5  </w:t>
      </w:r>
      <w:r>
        <w:rPr>
          <w:rFonts w:hint="eastAsia" w:ascii="宋体" w:hAnsi="宋体"/>
          <w:color w:val="auto"/>
        </w:rPr>
        <w:t>由于监理人未能按合同约定发出指示、指示延误或指示错误而导致承包人费用增加和（或）工期延误的，由发包人承担赔偿责任。</w:t>
      </w:r>
    </w:p>
    <w:p w14:paraId="248283A1">
      <w:pPr>
        <w:keepNext/>
        <w:keepLines/>
        <w:spacing w:beforeLines="50" w:afterLines="50" w:line="360" w:lineRule="auto"/>
        <w:outlineLvl w:val="2"/>
        <w:rPr>
          <w:rFonts w:ascii="宋体" w:hAnsi="宋体"/>
          <w:color w:val="auto"/>
          <w:sz w:val="24"/>
          <w:szCs w:val="20"/>
        </w:rPr>
      </w:pPr>
      <w:bookmarkStart w:id="840" w:name="_Toc497213750"/>
      <w:bookmarkStart w:id="841" w:name="_Toc117597500"/>
      <w:bookmarkStart w:id="842" w:name="_Toc486580074"/>
      <w:bookmarkStart w:id="843" w:name="_Toc489279885"/>
      <w:bookmarkStart w:id="844" w:name="_Toc490222519"/>
      <w:r>
        <w:rPr>
          <w:rFonts w:ascii="宋体" w:hAnsi="宋体"/>
          <w:color w:val="auto"/>
          <w:sz w:val="24"/>
          <w:szCs w:val="20"/>
        </w:rPr>
        <w:t xml:space="preserve">3.5  </w:t>
      </w:r>
      <w:r>
        <w:rPr>
          <w:rFonts w:hint="eastAsia" w:ascii="宋体" w:hAnsi="宋体"/>
          <w:color w:val="auto"/>
          <w:sz w:val="24"/>
          <w:szCs w:val="20"/>
        </w:rPr>
        <w:t>商定或确定</w:t>
      </w:r>
      <w:bookmarkEnd w:id="840"/>
      <w:bookmarkEnd w:id="841"/>
      <w:bookmarkEnd w:id="842"/>
      <w:bookmarkEnd w:id="843"/>
      <w:bookmarkEnd w:id="844"/>
    </w:p>
    <w:p w14:paraId="1A0C8476">
      <w:pPr>
        <w:spacing w:line="360" w:lineRule="auto"/>
        <w:ind w:firstLine="420" w:firstLineChars="200"/>
        <w:rPr>
          <w:rFonts w:ascii="宋体"/>
          <w:color w:val="auto"/>
        </w:rPr>
      </w:pPr>
      <w:r>
        <w:rPr>
          <w:rFonts w:ascii="宋体" w:hAnsi="宋体"/>
          <w:color w:val="auto"/>
        </w:rPr>
        <w:t xml:space="preserve">3.5.1  </w:t>
      </w:r>
      <w:r>
        <w:rPr>
          <w:rFonts w:hint="eastAsia" w:ascii="宋体" w:hAnsi="宋体"/>
          <w:color w:val="auto"/>
        </w:rPr>
        <w:t>总监理工程师应按照本款对任何事项进行商定或确定时，总监理工程师应与合同当事人协商，尽量达成一致。不能达成一致的，总监理工程师应认真研究后审慎确定。</w:t>
      </w:r>
    </w:p>
    <w:p w14:paraId="383EB2BB">
      <w:pPr>
        <w:spacing w:line="360" w:lineRule="auto"/>
        <w:ind w:firstLine="420" w:firstLineChars="200"/>
        <w:rPr>
          <w:rFonts w:ascii="宋体"/>
          <w:color w:val="auto"/>
        </w:rPr>
      </w:pPr>
      <w:r>
        <w:rPr>
          <w:rFonts w:ascii="宋体" w:hAnsi="宋体"/>
          <w:color w:val="auto"/>
        </w:rPr>
        <w:t xml:space="preserve">3.5.2  </w:t>
      </w:r>
      <w:r>
        <w:rPr>
          <w:rFonts w:hint="eastAsia" w:ascii="宋体" w:hAnsi="宋体"/>
          <w:color w:val="auto"/>
        </w:rPr>
        <w:t>总监理工程师应将商定或确定的事项通知合同当事人，并附详细依据。对总监理工程师的确定有异议的，构成争议，按照第</w:t>
      </w:r>
      <w:r>
        <w:rPr>
          <w:rFonts w:ascii="宋体" w:hAnsi="宋体"/>
          <w:color w:val="auto"/>
        </w:rPr>
        <w:t>24</w:t>
      </w:r>
      <w:r>
        <w:rPr>
          <w:rFonts w:hint="eastAsia" w:ascii="宋体" w:hAnsi="宋体"/>
          <w:color w:val="auto"/>
        </w:rPr>
        <w:t>条的约定处理。在争议解决前，双方应暂按总监理工程师的确定执行；按照第</w:t>
      </w:r>
      <w:r>
        <w:rPr>
          <w:rFonts w:ascii="宋体" w:hAnsi="宋体"/>
          <w:color w:val="auto"/>
        </w:rPr>
        <w:t>24</w:t>
      </w:r>
      <w:r>
        <w:rPr>
          <w:rFonts w:hint="eastAsia" w:ascii="宋体" w:hAnsi="宋体"/>
          <w:color w:val="auto"/>
        </w:rPr>
        <w:t>条的约定对总监理工程师的确定需要作出修改的，按修改后的结果执行。</w:t>
      </w:r>
    </w:p>
    <w:p w14:paraId="24FDBE69">
      <w:pPr>
        <w:keepNext/>
        <w:keepLines/>
        <w:spacing w:beforeLines="50" w:afterLines="50" w:line="360" w:lineRule="auto"/>
        <w:outlineLvl w:val="2"/>
        <w:rPr>
          <w:rFonts w:ascii="宋体" w:hAnsi="宋体"/>
          <w:color w:val="auto"/>
          <w:sz w:val="24"/>
          <w:szCs w:val="20"/>
        </w:rPr>
      </w:pPr>
      <w:bookmarkStart w:id="845" w:name="_Toc497213751"/>
      <w:bookmarkStart w:id="846" w:name="_Toc486580075"/>
      <w:bookmarkStart w:id="847" w:name="_Toc117597501"/>
      <w:bookmarkStart w:id="848" w:name="_Toc489279886"/>
      <w:bookmarkStart w:id="849" w:name="_Toc490222520"/>
      <w:r>
        <w:rPr>
          <w:rFonts w:ascii="宋体" w:hAnsi="宋体"/>
          <w:color w:val="auto"/>
          <w:sz w:val="24"/>
          <w:szCs w:val="20"/>
        </w:rPr>
        <w:t xml:space="preserve">3.6  </w:t>
      </w:r>
      <w:r>
        <w:rPr>
          <w:rFonts w:hint="eastAsia" w:ascii="宋体" w:hAnsi="宋体"/>
          <w:color w:val="auto"/>
          <w:sz w:val="24"/>
          <w:szCs w:val="20"/>
        </w:rPr>
        <w:t>监理人的宽恕</w:t>
      </w:r>
      <w:bookmarkEnd w:id="845"/>
      <w:bookmarkEnd w:id="846"/>
      <w:bookmarkEnd w:id="847"/>
      <w:bookmarkEnd w:id="848"/>
      <w:bookmarkEnd w:id="849"/>
    </w:p>
    <w:p w14:paraId="5720355A">
      <w:pPr>
        <w:spacing w:line="360" w:lineRule="auto"/>
        <w:ind w:firstLine="420" w:firstLineChars="200"/>
        <w:rPr>
          <w:rFonts w:ascii="宋体"/>
          <w:color w:val="auto"/>
        </w:rPr>
      </w:pPr>
      <w:r>
        <w:rPr>
          <w:rFonts w:hint="eastAsia" w:ascii="宋体" w:hAnsi="宋体"/>
          <w:color w:val="auto"/>
        </w:rPr>
        <w:t>监理人或者发包人就承包人对合同约定的任何责任和义务的某种违约行为的宽恕，不影响监理人和发包人在此后的任何时间严格按合同约定处理承包人的其它违约行为，也不意味发包人放弃合同约定的发包人与上述违约有关的任何权利和赔偿要求。</w:t>
      </w:r>
    </w:p>
    <w:p w14:paraId="59B164EE">
      <w:pPr>
        <w:keepNext/>
        <w:keepLines/>
        <w:spacing w:beforeLines="50" w:afterLines="50" w:line="360" w:lineRule="auto"/>
        <w:outlineLvl w:val="1"/>
        <w:rPr>
          <w:rFonts w:ascii="宋体" w:hAnsi="宋体" w:cs="宋体"/>
          <w:color w:val="auto"/>
          <w:sz w:val="28"/>
          <w:szCs w:val="20"/>
        </w:rPr>
      </w:pPr>
      <w:bookmarkStart w:id="850" w:name="_Toc490222521"/>
      <w:bookmarkStart w:id="851" w:name="_Toc497213752"/>
      <w:bookmarkStart w:id="852" w:name="_Toc117597502"/>
      <w:bookmarkStart w:id="853" w:name="_Toc486580076"/>
      <w:bookmarkStart w:id="854" w:name="_Toc489279887"/>
      <w:r>
        <w:rPr>
          <w:rFonts w:ascii="宋体" w:hAnsi="宋体" w:cs="宋体"/>
          <w:color w:val="auto"/>
          <w:sz w:val="28"/>
          <w:szCs w:val="20"/>
        </w:rPr>
        <w:t>4.</w:t>
      </w:r>
      <w:r>
        <w:rPr>
          <w:rFonts w:hint="eastAsia" w:ascii="宋体" w:hAnsi="宋体" w:cs="宋体"/>
          <w:color w:val="auto"/>
          <w:sz w:val="28"/>
          <w:szCs w:val="20"/>
        </w:rPr>
        <w:t>承包人</w:t>
      </w:r>
      <w:bookmarkEnd w:id="850"/>
      <w:bookmarkEnd w:id="851"/>
      <w:bookmarkEnd w:id="852"/>
      <w:bookmarkEnd w:id="853"/>
      <w:bookmarkEnd w:id="854"/>
    </w:p>
    <w:p w14:paraId="209D603C">
      <w:pPr>
        <w:keepNext/>
        <w:keepLines/>
        <w:spacing w:beforeLines="50" w:afterLines="50" w:line="360" w:lineRule="auto"/>
        <w:outlineLvl w:val="2"/>
        <w:rPr>
          <w:rFonts w:ascii="宋体" w:hAnsi="宋体"/>
          <w:color w:val="auto"/>
          <w:sz w:val="24"/>
          <w:szCs w:val="20"/>
        </w:rPr>
      </w:pPr>
      <w:bookmarkStart w:id="855" w:name="_Toc117597503"/>
      <w:bookmarkStart w:id="856" w:name="_Toc486580077"/>
      <w:bookmarkStart w:id="857" w:name="_Toc490222522"/>
      <w:bookmarkStart w:id="858" w:name="_Toc497213753"/>
      <w:bookmarkStart w:id="859" w:name="_Toc489279888"/>
      <w:r>
        <w:rPr>
          <w:rFonts w:ascii="宋体" w:hAnsi="宋体"/>
          <w:color w:val="auto"/>
          <w:sz w:val="24"/>
          <w:szCs w:val="20"/>
        </w:rPr>
        <w:t xml:space="preserve">4.1  </w:t>
      </w:r>
      <w:r>
        <w:rPr>
          <w:rFonts w:hint="eastAsia" w:ascii="宋体" w:hAnsi="宋体"/>
          <w:color w:val="auto"/>
          <w:sz w:val="24"/>
          <w:szCs w:val="20"/>
        </w:rPr>
        <w:t>承包人的一般义务</w:t>
      </w:r>
      <w:bookmarkEnd w:id="855"/>
      <w:bookmarkEnd w:id="856"/>
      <w:bookmarkEnd w:id="857"/>
      <w:bookmarkEnd w:id="858"/>
      <w:bookmarkEnd w:id="859"/>
    </w:p>
    <w:p w14:paraId="36B99301">
      <w:pPr>
        <w:spacing w:line="360" w:lineRule="auto"/>
        <w:ind w:firstLine="420" w:firstLineChars="200"/>
        <w:rPr>
          <w:rFonts w:ascii="宋体"/>
          <w:color w:val="auto"/>
        </w:rPr>
      </w:pPr>
      <w:r>
        <w:rPr>
          <w:rFonts w:ascii="宋体" w:hAnsi="宋体"/>
          <w:color w:val="auto"/>
        </w:rPr>
        <w:t xml:space="preserve">4.1.1  </w:t>
      </w:r>
      <w:r>
        <w:rPr>
          <w:rFonts w:hint="eastAsia" w:ascii="宋体" w:hAnsi="宋体"/>
          <w:color w:val="auto"/>
        </w:rPr>
        <w:t>遵守法律</w:t>
      </w:r>
    </w:p>
    <w:p w14:paraId="72939213">
      <w:pPr>
        <w:spacing w:line="360" w:lineRule="auto"/>
        <w:ind w:firstLine="420" w:firstLineChars="200"/>
        <w:rPr>
          <w:rFonts w:ascii="宋体"/>
          <w:color w:val="auto"/>
        </w:rPr>
      </w:pPr>
      <w:r>
        <w:rPr>
          <w:rFonts w:hint="eastAsia" w:ascii="宋体" w:hAnsi="宋体"/>
          <w:color w:val="auto"/>
        </w:rPr>
        <w:t>承包人在履行合同过程中应遵守法律，并保证发包人免于承担因承包人违反法律而引起的任何责任。</w:t>
      </w:r>
    </w:p>
    <w:p w14:paraId="4951E623">
      <w:pPr>
        <w:spacing w:line="360" w:lineRule="auto"/>
        <w:ind w:firstLine="420" w:firstLineChars="200"/>
        <w:rPr>
          <w:rFonts w:ascii="宋体"/>
          <w:color w:val="auto"/>
        </w:rPr>
      </w:pPr>
      <w:r>
        <w:rPr>
          <w:rFonts w:ascii="宋体" w:hAnsi="宋体"/>
          <w:color w:val="auto"/>
        </w:rPr>
        <w:t xml:space="preserve">4.1.2  </w:t>
      </w:r>
      <w:r>
        <w:rPr>
          <w:rFonts w:hint="eastAsia" w:ascii="宋体" w:hAnsi="宋体"/>
          <w:color w:val="auto"/>
        </w:rPr>
        <w:t>依法纳税</w:t>
      </w:r>
    </w:p>
    <w:p w14:paraId="30FBAF60">
      <w:pPr>
        <w:spacing w:line="360" w:lineRule="auto"/>
        <w:ind w:firstLine="420" w:firstLineChars="200"/>
        <w:rPr>
          <w:rFonts w:ascii="宋体"/>
          <w:color w:val="auto"/>
        </w:rPr>
      </w:pPr>
      <w:r>
        <w:rPr>
          <w:rFonts w:hint="eastAsia" w:ascii="宋体" w:hAnsi="宋体"/>
          <w:color w:val="auto"/>
        </w:rPr>
        <w:t>承包人应按有关法律规定纳税，应缴纳的税金包括在合同价格内。</w:t>
      </w:r>
    </w:p>
    <w:p w14:paraId="5E8B0086">
      <w:pPr>
        <w:spacing w:line="360" w:lineRule="auto"/>
        <w:ind w:firstLine="420" w:firstLineChars="200"/>
        <w:rPr>
          <w:rFonts w:ascii="宋体"/>
          <w:color w:val="auto"/>
        </w:rPr>
      </w:pPr>
      <w:r>
        <w:rPr>
          <w:rFonts w:ascii="宋体" w:hAnsi="宋体"/>
          <w:color w:val="auto"/>
        </w:rPr>
        <w:t xml:space="preserve">4.1.3  </w:t>
      </w:r>
      <w:r>
        <w:rPr>
          <w:rFonts w:hint="eastAsia" w:ascii="宋体" w:hAnsi="宋体"/>
          <w:color w:val="auto"/>
        </w:rPr>
        <w:t>完成各项承包工作</w:t>
      </w:r>
    </w:p>
    <w:p w14:paraId="335B479C">
      <w:pPr>
        <w:spacing w:line="360" w:lineRule="auto"/>
        <w:ind w:firstLine="420" w:firstLineChars="200"/>
        <w:rPr>
          <w:rFonts w:ascii="宋体"/>
          <w:color w:val="auto"/>
        </w:rPr>
      </w:pPr>
      <w:r>
        <w:rPr>
          <w:rFonts w:hint="eastAsia" w:ascii="宋体" w:hAnsi="宋体"/>
          <w:color w:val="auto"/>
        </w:rPr>
        <w:t>（</w:t>
      </w:r>
      <w:r>
        <w:rPr>
          <w:rFonts w:ascii="宋体" w:hAnsi="宋体"/>
          <w:color w:val="auto"/>
        </w:rPr>
        <w:t>1</w:t>
      </w:r>
      <w:r>
        <w:rPr>
          <w:rFonts w:hint="eastAsia" w:ascii="宋体" w:hAnsi="宋体"/>
          <w:color w:val="auto"/>
        </w:rPr>
        <w:t>）承包人应按合同约定以及监理人根据第</w:t>
      </w:r>
      <w:r>
        <w:rPr>
          <w:rFonts w:ascii="宋体" w:hAnsi="宋体"/>
          <w:color w:val="auto"/>
        </w:rPr>
        <w:t>3.4</w:t>
      </w:r>
      <w:r>
        <w:rPr>
          <w:rFonts w:hint="eastAsia" w:ascii="宋体" w:hAnsi="宋体"/>
          <w:color w:val="auto"/>
        </w:rPr>
        <w:t>款作出的指示，实施、完成全部工程，并修补工程中的任何缺陷。除第</w:t>
      </w:r>
      <w:r>
        <w:rPr>
          <w:rFonts w:ascii="宋体" w:hAnsi="宋体"/>
          <w:color w:val="auto"/>
        </w:rPr>
        <w:t>5.2</w:t>
      </w:r>
      <w:r>
        <w:rPr>
          <w:rFonts w:hint="eastAsia" w:ascii="宋体" w:hAnsi="宋体"/>
          <w:color w:val="auto"/>
        </w:rPr>
        <w:t>款约定由发包人提供的材料和工程设备和第</w:t>
      </w:r>
      <w:r>
        <w:rPr>
          <w:rFonts w:ascii="宋体" w:hAnsi="宋体"/>
          <w:color w:val="auto"/>
        </w:rPr>
        <w:t>6.2</w:t>
      </w:r>
      <w:r>
        <w:rPr>
          <w:rFonts w:hint="eastAsia" w:ascii="宋体" w:hAnsi="宋体"/>
          <w:color w:val="auto"/>
        </w:rPr>
        <w:t>款约定由发包人提供的施工设备和临时设施外，承包人应负责提供为完成合同工作所需的劳务、材料、施工设备、工程设备和其他物品，并按照合同约定负责临时设施的设计、建造、运行、维护、管理和拆除工作。</w:t>
      </w:r>
    </w:p>
    <w:p w14:paraId="3138EF27">
      <w:pPr>
        <w:spacing w:line="360" w:lineRule="auto"/>
        <w:ind w:firstLine="420" w:firstLineChars="200"/>
        <w:rPr>
          <w:rFonts w:ascii="宋体" w:hAnsi="宋体"/>
          <w:color w:val="auto"/>
        </w:rPr>
      </w:pPr>
      <w:r>
        <w:rPr>
          <w:rFonts w:hint="eastAsia" w:ascii="宋体" w:hAnsi="宋体"/>
          <w:color w:val="auto"/>
        </w:rPr>
        <w:t>（</w:t>
      </w:r>
      <w:r>
        <w:rPr>
          <w:rFonts w:ascii="宋体" w:hAnsi="宋体"/>
          <w:color w:val="auto"/>
        </w:rPr>
        <w:t>2</w:t>
      </w:r>
      <w:r>
        <w:rPr>
          <w:rFonts w:hint="eastAsia" w:ascii="宋体" w:hAnsi="宋体"/>
          <w:color w:val="auto"/>
        </w:rPr>
        <w:t>）承包人还应当依法合规建立施工扬尘综合治理、建筑垃圾、土方和砂石清运与消纳、保证使用已在本市进行信息编码登记符合排放标准的非道路移动机械和严禁使用高排放非道路移动机械以及行业挥发性有机物治理（如建筑外墙涂装、钢结构等鼓励使用水性漆替代油性漆）等责任制，制定具体的管控机制和实施方案，严格落实。</w:t>
      </w:r>
    </w:p>
    <w:p w14:paraId="7E545FB6">
      <w:pPr>
        <w:spacing w:line="360" w:lineRule="auto"/>
        <w:ind w:firstLine="420" w:firstLineChars="200"/>
        <w:rPr>
          <w:rFonts w:ascii="宋体"/>
          <w:color w:val="auto"/>
        </w:rPr>
      </w:pPr>
      <w:r>
        <w:rPr>
          <w:rFonts w:hint="eastAsia" w:ascii="宋体" w:hAnsi="宋体"/>
          <w:color w:val="auto"/>
        </w:rPr>
        <w:t>（</w:t>
      </w:r>
      <w:r>
        <w:rPr>
          <w:rFonts w:ascii="宋体" w:hAnsi="宋体"/>
          <w:color w:val="auto"/>
        </w:rPr>
        <w:t>3</w:t>
      </w:r>
      <w:r>
        <w:rPr>
          <w:rFonts w:hint="eastAsia" w:ascii="宋体" w:hAnsi="宋体"/>
          <w:color w:val="auto"/>
        </w:rPr>
        <w:t>）</w:t>
      </w:r>
      <w:r>
        <w:rPr>
          <w:rFonts w:hint="eastAsia" w:ascii="宋体"/>
          <w:color w:val="auto"/>
        </w:rPr>
        <w:t>承包人应按法律法规、经消防设计审查合格或者满足工程需要的消防设计文件等规定组织施工，编制消防专项施工方案；按消防设计要求、施工技术标准和合同约定检验消防产品和具有防火性能要求的建筑材料、建筑构配件和设备的质量，保证消防施工质量；配合发包人组织的竣工验收消防查验，对建设工程消防施工质量签章确认。</w:t>
      </w:r>
    </w:p>
    <w:p w14:paraId="56C6EFD8">
      <w:pPr>
        <w:spacing w:line="360" w:lineRule="auto"/>
        <w:ind w:firstLine="420" w:firstLineChars="200"/>
        <w:rPr>
          <w:rFonts w:ascii="宋体"/>
          <w:color w:val="auto"/>
        </w:rPr>
      </w:pPr>
      <w:r>
        <w:rPr>
          <w:rFonts w:ascii="宋体" w:hAnsi="宋体"/>
          <w:color w:val="auto"/>
        </w:rPr>
        <w:t xml:space="preserve">4.1.4  </w:t>
      </w:r>
      <w:r>
        <w:rPr>
          <w:rFonts w:hint="eastAsia" w:ascii="宋体" w:hAnsi="宋体"/>
          <w:color w:val="auto"/>
        </w:rPr>
        <w:t>对施工作业和施工方法的完备性负责</w:t>
      </w:r>
    </w:p>
    <w:p w14:paraId="77212719">
      <w:pPr>
        <w:spacing w:line="360" w:lineRule="auto"/>
        <w:ind w:firstLine="420" w:firstLineChars="200"/>
        <w:rPr>
          <w:rFonts w:ascii="宋体"/>
          <w:color w:val="auto"/>
        </w:rPr>
      </w:pPr>
      <w:r>
        <w:rPr>
          <w:rFonts w:hint="eastAsia" w:ascii="宋体" w:hAnsi="宋体"/>
          <w:color w:val="auto"/>
        </w:rPr>
        <w:t>承包人应按合同约定的工作内容和施工进度要求，编制施工组织设计和施工措施计划，并对所有施工作业和施工方法的完备性和安全可靠性负责。</w:t>
      </w:r>
    </w:p>
    <w:p w14:paraId="75CFEEA3">
      <w:pPr>
        <w:spacing w:line="360" w:lineRule="auto"/>
        <w:ind w:firstLine="420" w:firstLineChars="200"/>
        <w:rPr>
          <w:rFonts w:ascii="宋体"/>
          <w:color w:val="auto"/>
        </w:rPr>
      </w:pPr>
      <w:r>
        <w:rPr>
          <w:rFonts w:ascii="宋体" w:hAnsi="宋体"/>
          <w:color w:val="auto"/>
        </w:rPr>
        <w:t xml:space="preserve">4.1.5  </w:t>
      </w:r>
      <w:r>
        <w:rPr>
          <w:rFonts w:hint="eastAsia" w:ascii="宋体" w:hAnsi="宋体"/>
          <w:color w:val="auto"/>
        </w:rPr>
        <w:t>保证工程施工和人员的安全</w:t>
      </w:r>
    </w:p>
    <w:p w14:paraId="54D30D6D">
      <w:pPr>
        <w:spacing w:line="360" w:lineRule="auto"/>
        <w:ind w:firstLine="420" w:firstLineChars="200"/>
        <w:rPr>
          <w:rFonts w:ascii="宋体"/>
          <w:color w:val="auto"/>
        </w:rPr>
      </w:pPr>
      <w:r>
        <w:rPr>
          <w:rFonts w:hint="eastAsia" w:ascii="宋体" w:hAnsi="宋体"/>
          <w:color w:val="auto"/>
        </w:rPr>
        <w:t>承包人应按照第</w:t>
      </w:r>
      <w:r>
        <w:rPr>
          <w:rFonts w:ascii="宋体" w:hAnsi="宋体"/>
          <w:color w:val="auto"/>
        </w:rPr>
        <w:t>9.2</w:t>
      </w:r>
      <w:r>
        <w:rPr>
          <w:rFonts w:hint="eastAsia" w:ascii="宋体" w:hAnsi="宋体"/>
          <w:color w:val="auto"/>
        </w:rPr>
        <w:t>款约定采取施工安全措施，确保工程及其人员、材料、设备和设施的安全，防止因工程施工造成的人身伤害和财产损失。</w:t>
      </w:r>
    </w:p>
    <w:p w14:paraId="3C7E4533">
      <w:pPr>
        <w:spacing w:line="360" w:lineRule="auto"/>
        <w:ind w:firstLine="420" w:firstLineChars="200"/>
        <w:rPr>
          <w:rFonts w:ascii="宋体" w:hAnsi="宋体"/>
          <w:color w:val="auto"/>
        </w:rPr>
      </w:pPr>
      <w:r>
        <w:rPr>
          <w:rFonts w:hint="eastAsia" w:ascii="宋体" w:hAnsi="宋体"/>
          <w:color w:val="auto"/>
        </w:rPr>
        <w:t>4.1.6  负责施工场地、周边环境和生态保护以及疫情防控常态化工作</w:t>
      </w:r>
    </w:p>
    <w:p w14:paraId="1BDC8919">
      <w:pPr>
        <w:spacing w:line="360" w:lineRule="auto"/>
        <w:ind w:firstLine="420" w:firstLineChars="200"/>
        <w:rPr>
          <w:rFonts w:ascii="宋体"/>
          <w:color w:val="auto"/>
        </w:rPr>
      </w:pPr>
      <w:r>
        <w:rPr>
          <w:rFonts w:hint="eastAsia" w:ascii="宋体" w:hAnsi="宋体"/>
          <w:color w:val="auto"/>
        </w:rPr>
        <w:t>承包人应按照第9.4款约定负责施工场地及其周边环境与生态的保护工作。同时负责施工现场及周边疫情常态化防控各项工作具体组织实施。即做好施工现场（含生活区）封闭式管理；做好施工现场实名制管理；做好对重点人群的管理；做好生活区隔离管理；做好智能体温计佩戴管理工作；做好环境卫生整治和消毒工作；做好施工现场从业人员健康素养宣传教育等工作。</w:t>
      </w:r>
    </w:p>
    <w:p w14:paraId="42ABE5EF">
      <w:pPr>
        <w:spacing w:line="360" w:lineRule="auto"/>
        <w:ind w:firstLine="420" w:firstLineChars="200"/>
        <w:rPr>
          <w:rFonts w:ascii="宋体"/>
          <w:color w:val="auto"/>
        </w:rPr>
      </w:pPr>
      <w:r>
        <w:rPr>
          <w:rFonts w:ascii="宋体" w:hAnsi="宋体"/>
          <w:color w:val="auto"/>
        </w:rPr>
        <w:t xml:space="preserve">4.1.7  </w:t>
      </w:r>
      <w:r>
        <w:rPr>
          <w:rFonts w:hint="eastAsia" w:ascii="宋体" w:hAnsi="宋体"/>
          <w:color w:val="auto"/>
        </w:rPr>
        <w:t>避免施工对公众与他人的利益造成损害</w:t>
      </w:r>
    </w:p>
    <w:p w14:paraId="50F3F9AF">
      <w:pPr>
        <w:spacing w:line="360" w:lineRule="auto"/>
        <w:ind w:firstLine="420" w:firstLineChars="200"/>
        <w:rPr>
          <w:rFonts w:ascii="宋体"/>
          <w:color w:val="auto"/>
        </w:rPr>
      </w:pPr>
      <w:r>
        <w:rPr>
          <w:rFonts w:hint="eastAsia" w:ascii="宋体" w:hAnsi="宋体"/>
          <w:color w:val="auto"/>
        </w:rPr>
        <w:t>承包人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14:paraId="39FE8A1F">
      <w:pPr>
        <w:spacing w:line="360" w:lineRule="auto"/>
        <w:ind w:firstLine="420" w:firstLineChars="200"/>
        <w:rPr>
          <w:rFonts w:ascii="宋体"/>
          <w:color w:val="auto"/>
        </w:rPr>
      </w:pPr>
      <w:r>
        <w:rPr>
          <w:rFonts w:ascii="宋体" w:hAnsi="宋体"/>
          <w:color w:val="auto"/>
        </w:rPr>
        <w:t xml:space="preserve">4.1.8  </w:t>
      </w:r>
      <w:r>
        <w:rPr>
          <w:rFonts w:hint="eastAsia" w:ascii="宋体" w:hAnsi="宋体"/>
          <w:color w:val="auto"/>
        </w:rPr>
        <w:t>为他人提供方便</w:t>
      </w:r>
    </w:p>
    <w:p w14:paraId="31D166EC">
      <w:pPr>
        <w:spacing w:line="360" w:lineRule="auto"/>
        <w:ind w:firstLine="420" w:firstLineChars="200"/>
        <w:rPr>
          <w:rFonts w:ascii="宋体"/>
          <w:color w:val="auto"/>
        </w:rPr>
      </w:pPr>
      <w:r>
        <w:rPr>
          <w:rFonts w:hint="eastAsia" w:ascii="宋体" w:hAnsi="宋体"/>
          <w:color w:val="auto"/>
        </w:rPr>
        <w:t>（</w:t>
      </w:r>
      <w:r>
        <w:rPr>
          <w:rFonts w:ascii="宋体" w:hAnsi="宋体"/>
          <w:color w:val="auto"/>
        </w:rPr>
        <w:t>1</w:t>
      </w:r>
      <w:r>
        <w:rPr>
          <w:rFonts w:hint="eastAsia" w:ascii="宋体" w:hAnsi="宋体"/>
          <w:color w:val="auto"/>
        </w:rPr>
        <w:t>）承包人应当对在施工场地或者附近实施与合同工程有关的其他工作的独立承包人履行管理、协调、配合、照管和服务义务，由此发生的费用被认为已经包括在承包人的签约合同价（投标总报价）中，具体工作内容和要求</w:t>
      </w:r>
      <w:r>
        <w:rPr>
          <w:rFonts w:hint="eastAsia" w:ascii="黑体" w:hAnsi="黑体" w:eastAsia="黑体"/>
          <w:color w:val="auto"/>
        </w:rPr>
        <w:t>见合同条款专用部分。</w:t>
      </w:r>
    </w:p>
    <w:p w14:paraId="4F02ACC3">
      <w:pPr>
        <w:spacing w:line="360" w:lineRule="auto"/>
        <w:ind w:firstLine="420" w:firstLineChars="200"/>
        <w:rPr>
          <w:rFonts w:ascii="宋体"/>
          <w:color w:val="auto"/>
        </w:rPr>
      </w:pPr>
      <w:r>
        <w:rPr>
          <w:rFonts w:hint="eastAsia" w:ascii="宋体" w:hAnsi="宋体"/>
          <w:color w:val="auto"/>
        </w:rPr>
        <w:t>（</w:t>
      </w:r>
      <w:r>
        <w:rPr>
          <w:rFonts w:ascii="宋体" w:hAnsi="宋体"/>
          <w:color w:val="auto"/>
        </w:rPr>
        <w:t>2</w:t>
      </w:r>
      <w:r>
        <w:rPr>
          <w:rFonts w:hint="eastAsia" w:ascii="宋体" w:hAnsi="宋体"/>
          <w:color w:val="auto"/>
        </w:rPr>
        <w:t>）承包人还应按照监理人指示为独立承包人以外的他人在施工场地或者附近实施与合同工程有关的其他工作提供可能的条件，可能发生费用由监理人按合同条款通用部分第</w:t>
      </w:r>
      <w:r>
        <w:rPr>
          <w:rFonts w:ascii="宋体" w:hAnsi="宋体"/>
          <w:color w:val="auto"/>
        </w:rPr>
        <w:t>3.5</w:t>
      </w:r>
      <w:r>
        <w:rPr>
          <w:rFonts w:hint="eastAsia" w:ascii="宋体" w:hAnsi="宋体"/>
          <w:color w:val="auto"/>
        </w:rPr>
        <w:t>款商定或者确定。</w:t>
      </w:r>
    </w:p>
    <w:p w14:paraId="08FE93D8">
      <w:pPr>
        <w:spacing w:line="360" w:lineRule="auto"/>
        <w:ind w:firstLine="420" w:firstLineChars="200"/>
        <w:rPr>
          <w:rFonts w:ascii="宋体"/>
          <w:color w:val="auto"/>
        </w:rPr>
      </w:pPr>
      <w:r>
        <w:rPr>
          <w:rFonts w:ascii="宋体" w:hAnsi="宋体"/>
          <w:color w:val="auto"/>
        </w:rPr>
        <w:t xml:space="preserve">4.1.9  </w:t>
      </w:r>
      <w:r>
        <w:rPr>
          <w:rFonts w:hint="eastAsia" w:ascii="宋体" w:hAnsi="宋体"/>
          <w:color w:val="auto"/>
        </w:rPr>
        <w:t>工程的维护和照管</w:t>
      </w:r>
    </w:p>
    <w:p w14:paraId="66ACD166">
      <w:pPr>
        <w:spacing w:line="360" w:lineRule="auto"/>
        <w:ind w:firstLine="420" w:firstLineChars="200"/>
        <w:rPr>
          <w:rFonts w:ascii="宋体"/>
          <w:color w:val="auto"/>
        </w:rPr>
      </w:pPr>
      <w:r>
        <w:rPr>
          <w:rFonts w:hint="eastAsia" w:ascii="宋体" w:hAnsi="宋体"/>
          <w:color w:val="auto"/>
        </w:rPr>
        <w:t>工程接收证书颁发前，承包人应负责照管和维护工程。工程接收证书颁发时尚有部分未竣工工程的，承包人还应负责该未竣工工程的照管和维护工作，直至竣工后移交给发包人为止。</w:t>
      </w:r>
    </w:p>
    <w:p w14:paraId="65D6DB4A">
      <w:pPr>
        <w:spacing w:line="360" w:lineRule="auto"/>
        <w:ind w:firstLine="420" w:firstLineChars="200"/>
        <w:rPr>
          <w:rFonts w:ascii="宋体"/>
          <w:color w:val="auto"/>
        </w:rPr>
      </w:pPr>
      <w:r>
        <w:rPr>
          <w:rFonts w:ascii="宋体" w:hAnsi="宋体"/>
          <w:color w:val="auto"/>
        </w:rPr>
        <w:t xml:space="preserve">4.1.10  </w:t>
      </w:r>
      <w:r>
        <w:rPr>
          <w:rFonts w:hint="eastAsia" w:ascii="宋体" w:hAnsi="宋体"/>
          <w:color w:val="auto"/>
        </w:rPr>
        <w:t>承包人的设计工作</w:t>
      </w:r>
    </w:p>
    <w:p w14:paraId="2DABEC97">
      <w:pPr>
        <w:spacing w:line="360" w:lineRule="auto"/>
        <w:ind w:firstLine="420" w:firstLineChars="200"/>
        <w:rPr>
          <w:rFonts w:ascii="宋体"/>
          <w:color w:val="auto"/>
        </w:rPr>
      </w:pPr>
      <w:r>
        <w:rPr>
          <w:rFonts w:hint="eastAsia" w:ascii="宋体" w:hAnsi="宋体"/>
          <w:color w:val="auto"/>
        </w:rPr>
        <w:t>根据发包人委托，在其设计资质等级和业务允许的范围内，完成约定的施工图设计或与工程配套的设计工作，经监理人确认后使用，发包人承担由此发生的费用和合理利润。由承包人负责完成的设计文件属于合同条款第</w:t>
      </w:r>
      <w:r>
        <w:rPr>
          <w:rFonts w:ascii="宋体" w:hAnsi="宋体"/>
          <w:color w:val="auto"/>
        </w:rPr>
        <w:t>1.6.2</w:t>
      </w:r>
      <w:r>
        <w:rPr>
          <w:rFonts w:hint="eastAsia" w:ascii="宋体" w:hAnsi="宋体"/>
          <w:color w:val="auto"/>
        </w:rPr>
        <w:t>项约定的承包人提供的文件，承包人应按照合同条款专用部分第</w:t>
      </w:r>
      <w:r>
        <w:rPr>
          <w:rFonts w:ascii="宋体" w:hAnsi="宋体"/>
          <w:color w:val="auto"/>
        </w:rPr>
        <w:t>1.6.2</w:t>
      </w:r>
      <w:r>
        <w:rPr>
          <w:rFonts w:hint="eastAsia" w:ascii="宋体" w:hAnsi="宋体"/>
          <w:color w:val="auto"/>
        </w:rPr>
        <w:t>项约定的期限和数量提交，由此发生的费用被认为已经包括在承包人的签约合同价（投标总报价）中。承包人承担的施工图设计或与工程配套的设计工作内容</w:t>
      </w:r>
      <w:r>
        <w:rPr>
          <w:rFonts w:hint="eastAsia" w:ascii="黑体" w:hAnsi="黑体" w:eastAsia="黑体"/>
          <w:color w:val="auto"/>
        </w:rPr>
        <w:t>见合同条款专用部分。</w:t>
      </w:r>
    </w:p>
    <w:p w14:paraId="4DD6A0B4">
      <w:pPr>
        <w:spacing w:line="360" w:lineRule="auto"/>
        <w:ind w:firstLine="420" w:firstLineChars="200"/>
        <w:rPr>
          <w:rFonts w:ascii="宋体"/>
          <w:color w:val="auto"/>
        </w:rPr>
      </w:pPr>
      <w:r>
        <w:rPr>
          <w:rFonts w:ascii="宋体" w:hAnsi="宋体"/>
          <w:color w:val="auto"/>
        </w:rPr>
        <w:t xml:space="preserve">4.1.11  </w:t>
      </w:r>
      <w:r>
        <w:rPr>
          <w:rFonts w:hint="eastAsia" w:ascii="宋体" w:hAnsi="宋体"/>
          <w:color w:val="auto"/>
        </w:rPr>
        <w:t>农民工工资保证金</w:t>
      </w:r>
    </w:p>
    <w:p w14:paraId="2F6944C0">
      <w:pPr>
        <w:spacing w:line="360" w:lineRule="auto"/>
        <w:ind w:firstLine="420" w:firstLineChars="200"/>
        <w:rPr>
          <w:rFonts w:ascii="宋体"/>
          <w:color w:val="auto"/>
        </w:rPr>
      </w:pPr>
      <w:r>
        <w:rPr>
          <w:rFonts w:hint="eastAsia" w:ascii="宋体" w:hAnsi="宋体"/>
          <w:color w:val="auto"/>
        </w:rPr>
        <w:t>承包人应在银行设立工资保证金专用账户，专项用于发生欠薪时支付农民工工资的应急保障。账户内资金启用应当经建设主管部门和劳动保障行政部门批准。</w:t>
      </w:r>
    </w:p>
    <w:p w14:paraId="2C2CA71F">
      <w:pPr>
        <w:spacing w:line="360" w:lineRule="auto"/>
        <w:ind w:firstLine="420" w:firstLineChars="200"/>
        <w:rPr>
          <w:rFonts w:ascii="宋体"/>
          <w:color w:val="auto"/>
        </w:rPr>
      </w:pPr>
      <w:r>
        <w:rPr>
          <w:rFonts w:ascii="宋体" w:hAnsi="宋体"/>
          <w:color w:val="auto"/>
        </w:rPr>
        <w:t xml:space="preserve">4.1.12  </w:t>
      </w:r>
      <w:r>
        <w:rPr>
          <w:rFonts w:hint="eastAsia" w:ascii="宋体" w:hAnsi="宋体"/>
          <w:color w:val="auto"/>
        </w:rPr>
        <w:t>其他义务</w:t>
      </w:r>
    </w:p>
    <w:p w14:paraId="30E06153">
      <w:pPr>
        <w:spacing w:line="360" w:lineRule="auto"/>
        <w:ind w:firstLine="420" w:firstLineChars="200"/>
        <w:rPr>
          <w:rFonts w:ascii="宋体"/>
          <w:color w:val="auto"/>
        </w:rPr>
      </w:pPr>
      <w:r>
        <w:rPr>
          <w:rFonts w:hint="eastAsia" w:ascii="宋体" w:hAnsi="宋体"/>
          <w:color w:val="auto"/>
        </w:rPr>
        <w:t>承包人应履行的其他义务</w:t>
      </w:r>
      <w:r>
        <w:rPr>
          <w:rFonts w:hint="eastAsia" w:ascii="黑体" w:hAnsi="黑体" w:eastAsia="黑体"/>
          <w:color w:val="auto"/>
        </w:rPr>
        <w:t>见合同条款专用部分。</w:t>
      </w:r>
    </w:p>
    <w:p w14:paraId="362EA4EE">
      <w:pPr>
        <w:keepNext/>
        <w:keepLines/>
        <w:spacing w:beforeLines="50" w:afterLines="50" w:line="360" w:lineRule="auto"/>
        <w:outlineLvl w:val="2"/>
        <w:rPr>
          <w:rFonts w:ascii="宋体" w:hAnsi="宋体"/>
          <w:color w:val="auto"/>
          <w:sz w:val="24"/>
          <w:szCs w:val="20"/>
        </w:rPr>
      </w:pPr>
      <w:bookmarkStart w:id="860" w:name="_Toc489279889"/>
      <w:bookmarkStart w:id="861" w:name="_Toc486580078"/>
      <w:bookmarkStart w:id="862" w:name="_Toc490222523"/>
      <w:bookmarkStart w:id="863" w:name="_Toc117597504"/>
      <w:bookmarkStart w:id="864" w:name="_Toc497213754"/>
      <w:r>
        <w:rPr>
          <w:rFonts w:ascii="宋体" w:hAnsi="宋体"/>
          <w:color w:val="auto"/>
          <w:sz w:val="24"/>
          <w:szCs w:val="20"/>
        </w:rPr>
        <w:t xml:space="preserve">4.2  </w:t>
      </w:r>
      <w:r>
        <w:rPr>
          <w:rFonts w:hint="eastAsia" w:ascii="宋体" w:hAnsi="宋体"/>
          <w:color w:val="auto"/>
          <w:sz w:val="24"/>
          <w:szCs w:val="20"/>
        </w:rPr>
        <w:t>履约担保</w:t>
      </w:r>
      <w:bookmarkEnd w:id="860"/>
      <w:bookmarkEnd w:id="861"/>
      <w:bookmarkEnd w:id="862"/>
      <w:bookmarkEnd w:id="863"/>
      <w:bookmarkEnd w:id="864"/>
    </w:p>
    <w:p w14:paraId="52B957F5">
      <w:pPr>
        <w:spacing w:line="360" w:lineRule="auto"/>
        <w:ind w:firstLine="420" w:firstLineChars="200"/>
        <w:rPr>
          <w:rFonts w:ascii="宋体"/>
          <w:color w:val="auto"/>
        </w:rPr>
      </w:pPr>
      <w:r>
        <w:rPr>
          <w:rFonts w:ascii="宋体" w:hAnsi="宋体"/>
          <w:color w:val="auto"/>
        </w:rPr>
        <w:t xml:space="preserve">4.2.1  </w:t>
      </w:r>
      <w:r>
        <w:rPr>
          <w:rFonts w:hint="eastAsia" w:ascii="宋体" w:hAnsi="宋体"/>
          <w:color w:val="auto"/>
        </w:rPr>
        <w:t>履约担保的格式和金额</w:t>
      </w:r>
    </w:p>
    <w:p w14:paraId="0085F2BB">
      <w:pPr>
        <w:spacing w:line="360" w:lineRule="auto"/>
        <w:ind w:firstLine="420" w:firstLineChars="200"/>
        <w:rPr>
          <w:rFonts w:ascii="宋体"/>
          <w:color w:val="auto"/>
        </w:rPr>
      </w:pPr>
      <w:r>
        <w:rPr>
          <w:rFonts w:hint="eastAsia" w:ascii="宋体" w:hAnsi="宋体"/>
          <w:color w:val="auto"/>
        </w:rPr>
        <w:t>合同约定承包人提交履约担保的，承包人应在签订合同前，按照发包人约定的格式或者其他经过发包人认可的格式向发包人递交一份履约担保。经过发包人事先书面认可的其他格式的履约担保，其担保条款的实质性内容应当与发包人合同文件约定的格式内容保持一致。承包人是否提交履约担保及需要提交履约担保的金额</w:t>
      </w:r>
      <w:r>
        <w:rPr>
          <w:rFonts w:hint="eastAsia" w:ascii="黑体" w:hAnsi="黑体" w:eastAsia="黑体"/>
          <w:color w:val="auto"/>
        </w:rPr>
        <w:t>见合同条款专用部分。</w:t>
      </w:r>
      <w:r>
        <w:rPr>
          <w:rFonts w:hint="eastAsia" w:ascii="宋体" w:hAnsi="宋体"/>
          <w:color w:val="auto"/>
        </w:rPr>
        <w:t>承包人履约担保格式</w:t>
      </w:r>
      <w:r>
        <w:rPr>
          <w:rFonts w:hint="eastAsia" w:ascii="黑体" w:hAnsi="黑体" w:eastAsia="黑体"/>
          <w:color w:val="auto"/>
        </w:rPr>
        <w:t>见合同条款专用部分附件五。</w:t>
      </w:r>
    </w:p>
    <w:p w14:paraId="09E34844">
      <w:pPr>
        <w:spacing w:line="360" w:lineRule="auto"/>
        <w:ind w:firstLine="420" w:firstLineChars="200"/>
        <w:rPr>
          <w:rFonts w:ascii="宋体"/>
          <w:color w:val="auto"/>
        </w:rPr>
      </w:pPr>
      <w:r>
        <w:rPr>
          <w:rFonts w:ascii="宋体" w:hAnsi="宋体"/>
          <w:color w:val="auto"/>
        </w:rPr>
        <w:t xml:space="preserve">4.2.2  </w:t>
      </w:r>
      <w:r>
        <w:rPr>
          <w:rFonts w:hint="eastAsia" w:ascii="宋体" w:hAnsi="宋体"/>
          <w:color w:val="auto"/>
        </w:rPr>
        <w:t>履约担保的有效期</w:t>
      </w:r>
    </w:p>
    <w:p w14:paraId="42A84068">
      <w:pPr>
        <w:spacing w:line="360" w:lineRule="auto"/>
        <w:ind w:firstLine="420" w:firstLineChars="200"/>
        <w:rPr>
          <w:rFonts w:ascii="宋体"/>
          <w:color w:val="auto"/>
        </w:rPr>
      </w:pPr>
      <w:r>
        <w:rPr>
          <w:rFonts w:hint="eastAsia" w:ascii="宋体" w:hAnsi="宋体"/>
          <w:color w:val="auto"/>
        </w:rPr>
        <w:t>履约担保的有效期应当自本合同生效之日起至发包人签认并由监理人向承包人出具工程接收证书之日止。如果承包人无法获得一份不带具体截止日期的担保，履约担保中就应当约定有“变更工程竣工日期的，保证期间按照变更后的竣工日期做相应调整”或类似约定的条款。</w:t>
      </w:r>
    </w:p>
    <w:p w14:paraId="5C8B86BF">
      <w:pPr>
        <w:spacing w:line="360" w:lineRule="auto"/>
        <w:ind w:firstLine="420" w:firstLineChars="200"/>
        <w:rPr>
          <w:rFonts w:ascii="宋体"/>
          <w:color w:val="auto"/>
        </w:rPr>
      </w:pPr>
      <w:r>
        <w:rPr>
          <w:rFonts w:ascii="宋体" w:hAnsi="宋体"/>
          <w:color w:val="auto"/>
        </w:rPr>
        <w:t xml:space="preserve">4.2.3  </w:t>
      </w:r>
      <w:r>
        <w:rPr>
          <w:rFonts w:hint="eastAsia" w:ascii="宋体" w:hAnsi="宋体"/>
          <w:color w:val="auto"/>
        </w:rPr>
        <w:t>履约担保的退还</w:t>
      </w:r>
    </w:p>
    <w:p w14:paraId="20559B7C">
      <w:pPr>
        <w:spacing w:line="360" w:lineRule="auto"/>
        <w:ind w:firstLine="420" w:firstLineChars="200"/>
        <w:rPr>
          <w:rFonts w:ascii="宋体"/>
          <w:color w:val="auto"/>
        </w:rPr>
      </w:pPr>
      <w:r>
        <w:rPr>
          <w:rFonts w:hint="eastAsia" w:ascii="宋体" w:hAnsi="宋体"/>
          <w:color w:val="auto"/>
        </w:rPr>
        <w:t>履约担保应在监理人向承包人颁发（出具）工程接收证书之日后</w:t>
      </w:r>
      <w:r>
        <w:rPr>
          <w:rFonts w:ascii="宋体" w:hAnsi="宋体"/>
          <w:color w:val="auto"/>
        </w:rPr>
        <w:t>28</w:t>
      </w:r>
      <w:r>
        <w:rPr>
          <w:rFonts w:hint="eastAsia" w:ascii="宋体" w:hAnsi="宋体"/>
          <w:color w:val="auto"/>
        </w:rPr>
        <w:t>天内退还给承包人。发包人不承担承包人与履约担保有关的任何利息或其它类似的费用或者收益。</w:t>
      </w:r>
    </w:p>
    <w:p w14:paraId="2C89E23E">
      <w:pPr>
        <w:spacing w:line="360" w:lineRule="auto"/>
        <w:ind w:firstLine="420" w:firstLineChars="200"/>
        <w:rPr>
          <w:rFonts w:ascii="宋体"/>
          <w:color w:val="auto"/>
        </w:rPr>
      </w:pPr>
      <w:r>
        <w:rPr>
          <w:rFonts w:ascii="宋体" w:hAnsi="宋体"/>
          <w:color w:val="auto"/>
        </w:rPr>
        <w:t xml:space="preserve">4.2.4  </w:t>
      </w:r>
      <w:r>
        <w:rPr>
          <w:rFonts w:hint="eastAsia" w:ascii="宋体" w:hAnsi="宋体"/>
          <w:color w:val="auto"/>
        </w:rPr>
        <w:t>通知义务</w:t>
      </w:r>
    </w:p>
    <w:p w14:paraId="067797DF">
      <w:pPr>
        <w:spacing w:line="360" w:lineRule="auto"/>
        <w:ind w:firstLine="420" w:firstLineChars="200"/>
        <w:rPr>
          <w:rFonts w:ascii="宋体"/>
          <w:color w:val="auto"/>
        </w:rPr>
      </w:pPr>
      <w:r>
        <w:rPr>
          <w:rFonts w:hint="eastAsia" w:ascii="宋体" w:hAnsi="宋体"/>
          <w:color w:val="auto"/>
        </w:rPr>
        <w:t>不管履约担保条款中如何约定，发包人根据担保条款提出索赔或兑现要求</w:t>
      </w:r>
      <w:r>
        <w:rPr>
          <w:rFonts w:ascii="宋体" w:hAnsi="宋体"/>
          <w:color w:val="auto"/>
        </w:rPr>
        <w:t>28</w:t>
      </w:r>
      <w:r>
        <w:rPr>
          <w:rFonts w:hint="eastAsia" w:ascii="宋体" w:hAnsi="宋体"/>
          <w:color w:val="auto"/>
        </w:rPr>
        <w:t>天前，应通知承包人并说明导致此类索赔或兑现的违约性质或原因。相应地，不管第</w:t>
      </w:r>
      <w:r>
        <w:rPr>
          <w:rFonts w:ascii="宋体" w:hAnsi="宋体"/>
          <w:color w:val="auto"/>
        </w:rPr>
        <w:t>2.8</w:t>
      </w:r>
      <w:r>
        <w:rPr>
          <w:rFonts w:hint="eastAsia" w:ascii="宋体" w:hAnsi="宋体"/>
          <w:color w:val="auto"/>
        </w:rPr>
        <w:t>款约定的支付担保条款中如何约定，承包人根据担保条款提出索赔或兑现要求</w:t>
      </w:r>
      <w:r>
        <w:rPr>
          <w:rFonts w:ascii="宋体" w:hAnsi="宋体"/>
          <w:color w:val="auto"/>
        </w:rPr>
        <w:t>28</w:t>
      </w:r>
      <w:r>
        <w:rPr>
          <w:rFonts w:hint="eastAsia" w:ascii="宋体" w:hAnsi="宋体"/>
          <w:color w:val="auto"/>
        </w:rPr>
        <w:t>天前，也应通知发包人并说明导致此类索赔或兑现的违约性质或原因。但是，本项约定的通知不应理解为是在任何意义上寻求承包人或者发包人的同意。</w:t>
      </w:r>
    </w:p>
    <w:p w14:paraId="0A080AE1">
      <w:pPr>
        <w:keepNext/>
        <w:keepLines/>
        <w:spacing w:beforeLines="50" w:afterLines="50" w:line="360" w:lineRule="auto"/>
        <w:outlineLvl w:val="2"/>
        <w:rPr>
          <w:rFonts w:ascii="宋体" w:hAnsi="宋体"/>
          <w:color w:val="auto"/>
          <w:sz w:val="24"/>
          <w:szCs w:val="20"/>
        </w:rPr>
      </w:pPr>
      <w:bookmarkStart w:id="865" w:name="_Toc486580079"/>
      <w:bookmarkStart w:id="866" w:name="_Toc490222524"/>
      <w:bookmarkStart w:id="867" w:name="_Toc117597505"/>
      <w:bookmarkStart w:id="868" w:name="_Toc489279890"/>
      <w:bookmarkStart w:id="869" w:name="_Toc497213755"/>
      <w:r>
        <w:rPr>
          <w:rFonts w:ascii="宋体" w:hAnsi="宋体"/>
          <w:color w:val="auto"/>
          <w:sz w:val="24"/>
          <w:szCs w:val="20"/>
        </w:rPr>
        <w:t xml:space="preserve">4.3  </w:t>
      </w:r>
      <w:r>
        <w:rPr>
          <w:rFonts w:hint="eastAsia" w:ascii="宋体" w:hAnsi="宋体"/>
          <w:color w:val="auto"/>
          <w:sz w:val="24"/>
          <w:szCs w:val="20"/>
        </w:rPr>
        <w:t>分包</w:t>
      </w:r>
      <w:bookmarkEnd w:id="865"/>
      <w:bookmarkEnd w:id="866"/>
      <w:bookmarkEnd w:id="867"/>
      <w:bookmarkEnd w:id="868"/>
      <w:bookmarkEnd w:id="869"/>
    </w:p>
    <w:p w14:paraId="07DBE21A">
      <w:pPr>
        <w:spacing w:line="360" w:lineRule="auto"/>
        <w:ind w:firstLine="420" w:firstLineChars="200"/>
        <w:rPr>
          <w:rFonts w:ascii="宋体"/>
          <w:color w:val="auto"/>
        </w:rPr>
      </w:pPr>
      <w:r>
        <w:rPr>
          <w:rFonts w:ascii="宋体" w:hAnsi="宋体"/>
          <w:color w:val="auto"/>
        </w:rPr>
        <w:t xml:space="preserve">4.3.1  </w:t>
      </w:r>
      <w:r>
        <w:rPr>
          <w:rFonts w:hint="eastAsia" w:ascii="宋体" w:hAnsi="宋体"/>
          <w:color w:val="auto"/>
        </w:rPr>
        <w:t>承包人不得将其承包的全部工程转包给第三人，或将其承包的全部工程肢解后以分包的名义转包给第三人。</w:t>
      </w:r>
    </w:p>
    <w:p w14:paraId="57E9CB1E">
      <w:pPr>
        <w:spacing w:line="360" w:lineRule="auto"/>
        <w:ind w:firstLine="420" w:firstLineChars="200"/>
        <w:rPr>
          <w:rFonts w:ascii="宋体"/>
          <w:color w:val="auto"/>
        </w:rPr>
      </w:pPr>
      <w:r>
        <w:rPr>
          <w:rFonts w:ascii="宋体" w:hAnsi="宋体"/>
          <w:color w:val="auto"/>
        </w:rPr>
        <w:t xml:space="preserve">4.3.2  </w:t>
      </w:r>
      <w:r>
        <w:rPr>
          <w:rFonts w:hint="eastAsia" w:ascii="宋体" w:hAnsi="宋体"/>
          <w:color w:val="auto"/>
        </w:rPr>
        <w:t>承包人不得将工程主体、关键性工作分包给第三人。</w:t>
      </w:r>
    </w:p>
    <w:p w14:paraId="495E9CBC">
      <w:pPr>
        <w:spacing w:line="360" w:lineRule="auto"/>
        <w:ind w:firstLine="420" w:firstLineChars="200"/>
        <w:rPr>
          <w:rFonts w:ascii="宋体"/>
          <w:color w:val="auto"/>
        </w:rPr>
      </w:pPr>
      <w:r>
        <w:rPr>
          <w:rFonts w:ascii="宋体" w:hAnsi="宋体"/>
          <w:color w:val="auto"/>
        </w:rPr>
        <w:t xml:space="preserve">4.3.3  </w:t>
      </w:r>
      <w:r>
        <w:rPr>
          <w:rFonts w:hint="eastAsia" w:ascii="宋体" w:hAnsi="宋体"/>
          <w:color w:val="auto"/>
        </w:rPr>
        <w:t>未经发包人同意，承包人不得将其自行施工范围工程的其他部分或工作分包给第三人。发包人同意承包人分包的非主体、非关键性工作包括：</w:t>
      </w:r>
    </w:p>
    <w:p w14:paraId="4F3F7425">
      <w:pPr>
        <w:spacing w:line="360" w:lineRule="auto"/>
        <w:ind w:firstLine="315" w:firstLineChars="150"/>
        <w:rPr>
          <w:rFonts w:ascii="宋体"/>
          <w:color w:val="auto"/>
        </w:rPr>
      </w:pPr>
      <w:r>
        <w:rPr>
          <w:rFonts w:hint="eastAsia" w:ascii="宋体" w:hAnsi="宋体"/>
          <w:color w:val="auto"/>
        </w:rPr>
        <w:t>（</w:t>
      </w:r>
      <w:r>
        <w:rPr>
          <w:rFonts w:ascii="宋体" w:hAnsi="宋体"/>
          <w:color w:val="auto"/>
        </w:rPr>
        <w:t>1</w:t>
      </w:r>
      <w:r>
        <w:rPr>
          <w:rFonts w:hint="eastAsia" w:ascii="宋体" w:hAnsi="宋体"/>
          <w:color w:val="auto"/>
        </w:rPr>
        <w:t>）投标函附录约定的分包工程；</w:t>
      </w:r>
    </w:p>
    <w:p w14:paraId="523594AC">
      <w:pPr>
        <w:spacing w:line="360" w:lineRule="auto"/>
        <w:ind w:firstLine="315" w:firstLineChars="150"/>
        <w:rPr>
          <w:rFonts w:ascii="宋体"/>
          <w:color w:val="auto"/>
        </w:rPr>
      </w:pPr>
      <w:r>
        <w:rPr>
          <w:rFonts w:hint="eastAsia" w:ascii="宋体" w:hAnsi="宋体"/>
          <w:color w:val="auto"/>
        </w:rPr>
        <w:t>（</w:t>
      </w:r>
      <w:r>
        <w:rPr>
          <w:rFonts w:ascii="宋体" w:hAnsi="宋体"/>
          <w:color w:val="auto"/>
        </w:rPr>
        <w:t>2</w:t>
      </w:r>
      <w:r>
        <w:rPr>
          <w:rFonts w:hint="eastAsia" w:ascii="宋体" w:hAnsi="宋体"/>
          <w:color w:val="auto"/>
        </w:rPr>
        <w:t>）除投标函附录中约定的分包内容外，经过发包人和监理人同意的其他非主体、非关键性工作，但分包人应当经过发包人和监理人审批。发包人和监理人有权拒绝承包人的分包请求和承包人选择的分包人。</w:t>
      </w:r>
    </w:p>
    <w:p w14:paraId="7FF3CA0F">
      <w:pPr>
        <w:spacing w:line="360" w:lineRule="auto"/>
        <w:ind w:firstLine="420" w:firstLineChars="200"/>
        <w:rPr>
          <w:rFonts w:ascii="宋体"/>
          <w:color w:val="auto"/>
        </w:rPr>
      </w:pPr>
      <w:r>
        <w:rPr>
          <w:rFonts w:ascii="宋体" w:hAnsi="宋体"/>
          <w:color w:val="auto"/>
        </w:rPr>
        <w:t xml:space="preserve">4.3.4  </w:t>
      </w:r>
      <w:r>
        <w:rPr>
          <w:rFonts w:hint="eastAsia" w:ascii="宋体" w:hAnsi="宋体"/>
          <w:color w:val="auto"/>
        </w:rPr>
        <w:t>发包人在工程量清单中给定暂估价的专业工程，包括从暂列金额开支的专业工程，达到依法应当招标的规模标准的，以及虽未达到规定的规模标准但合同中约定采用招标方式实施的，应当按第</w:t>
      </w:r>
      <w:r>
        <w:rPr>
          <w:rFonts w:ascii="宋体" w:hAnsi="宋体"/>
          <w:color w:val="auto"/>
        </w:rPr>
        <w:t>15.8.1</w:t>
      </w:r>
      <w:r>
        <w:rPr>
          <w:rFonts w:hint="eastAsia" w:ascii="宋体" w:hAnsi="宋体"/>
          <w:color w:val="auto"/>
        </w:rPr>
        <w:t>项的约定，由发包人和承包人以招标方式确定专业分包人。除项目审批部门有特别核准外，暂估价的专业工程的招标应当采用与施工总承包同样的招标方式。</w:t>
      </w:r>
    </w:p>
    <w:p w14:paraId="47F47EA9">
      <w:pPr>
        <w:spacing w:line="360" w:lineRule="auto"/>
        <w:ind w:firstLine="420" w:firstLineChars="200"/>
        <w:rPr>
          <w:rFonts w:ascii="宋体"/>
          <w:color w:val="auto"/>
        </w:rPr>
      </w:pPr>
      <w:r>
        <w:rPr>
          <w:rFonts w:ascii="宋体" w:hAnsi="宋体"/>
          <w:color w:val="auto"/>
        </w:rPr>
        <w:t xml:space="preserve">4.3.5  </w:t>
      </w:r>
      <w:r>
        <w:rPr>
          <w:rFonts w:hint="eastAsia" w:ascii="宋体" w:hAnsi="宋体"/>
          <w:color w:val="auto"/>
        </w:rPr>
        <w:t>在相关分包合同签订并报送有关建设行政主管部门后</w:t>
      </w:r>
      <w:r>
        <w:rPr>
          <w:rFonts w:ascii="宋体" w:hAnsi="宋体"/>
          <w:color w:val="auto"/>
        </w:rPr>
        <w:t>7</w:t>
      </w:r>
      <w:r>
        <w:rPr>
          <w:rFonts w:hint="eastAsia" w:ascii="宋体" w:hAnsi="宋体"/>
          <w:color w:val="auto"/>
        </w:rPr>
        <w:t>天内，承包人应当将一份副本提交给监理人，承包人应保障分包工作不得再次分包。</w:t>
      </w:r>
    </w:p>
    <w:p w14:paraId="0EB30AEE">
      <w:pPr>
        <w:spacing w:line="360" w:lineRule="auto"/>
        <w:ind w:firstLine="420" w:firstLineChars="200"/>
        <w:rPr>
          <w:rFonts w:ascii="宋体"/>
          <w:color w:val="auto"/>
        </w:rPr>
      </w:pPr>
      <w:r>
        <w:rPr>
          <w:rFonts w:ascii="宋体" w:hAnsi="宋体"/>
          <w:color w:val="auto"/>
        </w:rPr>
        <w:t xml:space="preserve">4.3.6  </w:t>
      </w:r>
      <w:r>
        <w:rPr>
          <w:rFonts w:hint="eastAsia" w:ascii="宋体" w:hAnsi="宋体"/>
          <w:color w:val="auto"/>
        </w:rPr>
        <w:t>分包工程价款由承包人与分包人（包括专业分包人）结算。未经承包人同意，发包人不得以任何形式向分包人（包括专业分包人）支付相关分包合同项下的任何工程款项。因发包人未经承包人同意直接向分包人（包括专业分包人）支付相关分包合同项下的任何工程款项而影响承包人工作的，所造成的承包人费用增加和（或）延误的工期由发包人承担。</w:t>
      </w:r>
    </w:p>
    <w:p w14:paraId="6FB54191">
      <w:pPr>
        <w:spacing w:line="360" w:lineRule="auto"/>
        <w:ind w:firstLine="420" w:firstLineChars="200"/>
        <w:rPr>
          <w:rFonts w:ascii="宋体"/>
          <w:color w:val="auto"/>
        </w:rPr>
      </w:pPr>
      <w:r>
        <w:rPr>
          <w:rFonts w:ascii="宋体" w:hAnsi="宋体"/>
          <w:color w:val="auto"/>
        </w:rPr>
        <w:t xml:space="preserve">4.3.7  </w:t>
      </w:r>
      <w:r>
        <w:rPr>
          <w:rFonts w:hint="eastAsia" w:ascii="宋体" w:hAnsi="宋体"/>
          <w:color w:val="auto"/>
        </w:rPr>
        <w:t>未经发包人和监理人审批同意的分包工程和分包人，发包人有权拒绝验收分包工程和支付相应款项，由此引起的承包人费用增加和（或）延误的工期由承包人承担。</w:t>
      </w:r>
    </w:p>
    <w:p w14:paraId="45241CA2">
      <w:pPr>
        <w:spacing w:line="360" w:lineRule="auto"/>
        <w:ind w:firstLine="420" w:firstLineChars="200"/>
        <w:rPr>
          <w:rFonts w:ascii="宋体"/>
          <w:color w:val="auto"/>
        </w:rPr>
      </w:pPr>
      <w:r>
        <w:rPr>
          <w:rFonts w:ascii="宋体" w:hAnsi="宋体"/>
          <w:color w:val="auto"/>
        </w:rPr>
        <w:t xml:space="preserve">4.3.8  </w:t>
      </w:r>
      <w:r>
        <w:rPr>
          <w:rFonts w:hint="eastAsia" w:ascii="宋体" w:hAnsi="宋体"/>
          <w:color w:val="auto"/>
        </w:rPr>
        <w:t>分包人的资格能力应与其分包工程的标准和规模相适应。</w:t>
      </w:r>
    </w:p>
    <w:p w14:paraId="2E3831DD">
      <w:pPr>
        <w:spacing w:line="360" w:lineRule="auto"/>
        <w:ind w:firstLine="420" w:firstLineChars="200"/>
        <w:rPr>
          <w:rFonts w:ascii="宋体"/>
          <w:color w:val="auto"/>
        </w:rPr>
      </w:pPr>
      <w:r>
        <w:rPr>
          <w:rFonts w:ascii="宋体" w:hAnsi="宋体"/>
          <w:color w:val="auto"/>
        </w:rPr>
        <w:t xml:space="preserve">4.3.9  </w:t>
      </w:r>
      <w:r>
        <w:rPr>
          <w:rFonts w:hint="eastAsia" w:ascii="宋体" w:hAnsi="宋体"/>
          <w:color w:val="auto"/>
        </w:rPr>
        <w:t>发包人同意的分包工程，承包人应向发包人和监理人提供合同副本。</w:t>
      </w:r>
    </w:p>
    <w:p w14:paraId="2C0E1F56">
      <w:pPr>
        <w:spacing w:line="360" w:lineRule="auto"/>
        <w:ind w:firstLine="420" w:firstLineChars="200"/>
        <w:rPr>
          <w:rFonts w:ascii="宋体"/>
          <w:color w:val="auto"/>
        </w:rPr>
      </w:pPr>
      <w:r>
        <w:rPr>
          <w:rFonts w:ascii="宋体" w:hAnsi="宋体"/>
          <w:color w:val="auto"/>
        </w:rPr>
        <w:t xml:space="preserve">4.3.10  </w:t>
      </w:r>
      <w:r>
        <w:rPr>
          <w:rFonts w:hint="eastAsia" w:ascii="宋体" w:hAnsi="宋体"/>
          <w:color w:val="auto"/>
        </w:rPr>
        <w:t>承包人应与分包人就分包工程向发包人承担连带责任。</w:t>
      </w:r>
    </w:p>
    <w:p w14:paraId="7D580E26">
      <w:pPr>
        <w:keepNext/>
        <w:keepLines/>
        <w:spacing w:beforeLines="50" w:afterLines="50" w:line="360" w:lineRule="auto"/>
        <w:outlineLvl w:val="2"/>
        <w:rPr>
          <w:rFonts w:ascii="宋体" w:hAnsi="宋体"/>
          <w:color w:val="auto"/>
          <w:sz w:val="24"/>
          <w:szCs w:val="20"/>
        </w:rPr>
      </w:pPr>
      <w:bookmarkStart w:id="870" w:name="_Toc490222525"/>
      <w:bookmarkStart w:id="871" w:name="_Toc486580080"/>
      <w:bookmarkStart w:id="872" w:name="_Toc117597506"/>
      <w:bookmarkStart w:id="873" w:name="_Toc497213756"/>
      <w:bookmarkStart w:id="874" w:name="_Toc489279891"/>
      <w:r>
        <w:rPr>
          <w:rFonts w:ascii="宋体" w:hAnsi="宋体"/>
          <w:color w:val="auto"/>
          <w:sz w:val="24"/>
          <w:szCs w:val="20"/>
        </w:rPr>
        <w:t xml:space="preserve">4.4  </w:t>
      </w:r>
      <w:r>
        <w:rPr>
          <w:rFonts w:hint="eastAsia" w:ascii="宋体" w:hAnsi="宋体"/>
          <w:color w:val="auto"/>
          <w:sz w:val="24"/>
          <w:szCs w:val="20"/>
        </w:rPr>
        <w:t>联合体</w:t>
      </w:r>
      <w:bookmarkEnd w:id="870"/>
      <w:bookmarkEnd w:id="871"/>
      <w:bookmarkEnd w:id="872"/>
      <w:bookmarkEnd w:id="873"/>
      <w:bookmarkEnd w:id="874"/>
    </w:p>
    <w:p w14:paraId="32F8F636">
      <w:pPr>
        <w:spacing w:line="360" w:lineRule="auto"/>
        <w:ind w:firstLine="420" w:firstLineChars="200"/>
        <w:rPr>
          <w:rFonts w:ascii="宋体"/>
          <w:color w:val="auto"/>
        </w:rPr>
      </w:pPr>
      <w:r>
        <w:rPr>
          <w:rFonts w:ascii="宋体" w:hAnsi="宋体"/>
          <w:color w:val="auto"/>
        </w:rPr>
        <w:t xml:space="preserve">4.4.1  </w:t>
      </w:r>
      <w:r>
        <w:rPr>
          <w:rFonts w:hint="eastAsia" w:ascii="宋体" w:hAnsi="宋体"/>
          <w:color w:val="auto"/>
        </w:rPr>
        <w:t>联合体各方应共同与发包人签订合同协议书。联合体各方应为履行合同承担连带责任。</w:t>
      </w:r>
    </w:p>
    <w:p w14:paraId="0C88E9FA">
      <w:pPr>
        <w:spacing w:line="360" w:lineRule="auto"/>
        <w:ind w:firstLine="420" w:firstLineChars="200"/>
        <w:rPr>
          <w:rFonts w:ascii="宋体"/>
          <w:color w:val="auto"/>
        </w:rPr>
      </w:pPr>
      <w:r>
        <w:rPr>
          <w:rFonts w:ascii="宋体" w:hAnsi="宋体"/>
          <w:color w:val="auto"/>
        </w:rPr>
        <w:t xml:space="preserve">4.4.2  </w:t>
      </w:r>
      <w:r>
        <w:rPr>
          <w:rFonts w:hint="eastAsia" w:ascii="宋体" w:hAnsi="宋体"/>
          <w:color w:val="auto"/>
        </w:rPr>
        <w:t>联合体协议经发包人确认后作为合同附件。在履行合同过程中，未经发包人同意，不得修改联合体协议。</w:t>
      </w:r>
    </w:p>
    <w:p w14:paraId="6D8C68C6">
      <w:pPr>
        <w:spacing w:line="360" w:lineRule="auto"/>
        <w:ind w:firstLine="420" w:firstLineChars="200"/>
        <w:rPr>
          <w:rFonts w:ascii="宋体"/>
          <w:color w:val="auto"/>
        </w:rPr>
      </w:pPr>
      <w:r>
        <w:rPr>
          <w:rFonts w:ascii="宋体" w:hAnsi="宋体"/>
          <w:color w:val="auto"/>
        </w:rPr>
        <w:t xml:space="preserve">4.4.3  </w:t>
      </w:r>
      <w:r>
        <w:rPr>
          <w:rFonts w:hint="eastAsia" w:ascii="宋体" w:hAnsi="宋体"/>
          <w:color w:val="auto"/>
        </w:rPr>
        <w:t>联合体牵头人负责与发包人和监理人联系，并接受指示，负责组织联合体各成员全面履行合同。</w:t>
      </w:r>
    </w:p>
    <w:p w14:paraId="6475B430">
      <w:pPr>
        <w:keepNext/>
        <w:keepLines/>
        <w:spacing w:beforeLines="50" w:afterLines="50" w:line="360" w:lineRule="auto"/>
        <w:outlineLvl w:val="2"/>
        <w:rPr>
          <w:rFonts w:ascii="宋体" w:hAnsi="宋体"/>
          <w:color w:val="auto"/>
          <w:sz w:val="24"/>
          <w:szCs w:val="20"/>
        </w:rPr>
      </w:pPr>
      <w:bookmarkStart w:id="875" w:name="_Toc490222526"/>
      <w:bookmarkStart w:id="876" w:name="_Toc486580081"/>
      <w:bookmarkStart w:id="877" w:name="_Toc497213757"/>
      <w:bookmarkStart w:id="878" w:name="_Toc489279892"/>
      <w:bookmarkStart w:id="879" w:name="_Toc117597507"/>
      <w:r>
        <w:rPr>
          <w:rFonts w:ascii="宋体" w:hAnsi="宋体"/>
          <w:color w:val="auto"/>
          <w:sz w:val="24"/>
          <w:szCs w:val="20"/>
        </w:rPr>
        <w:t xml:space="preserve">4.5  </w:t>
      </w:r>
      <w:r>
        <w:rPr>
          <w:rFonts w:hint="eastAsia" w:ascii="宋体" w:hAnsi="宋体"/>
          <w:color w:val="auto"/>
          <w:sz w:val="24"/>
          <w:szCs w:val="20"/>
        </w:rPr>
        <w:t>承包人项目经理</w:t>
      </w:r>
      <w:bookmarkEnd w:id="875"/>
      <w:bookmarkEnd w:id="876"/>
      <w:bookmarkEnd w:id="877"/>
      <w:bookmarkEnd w:id="878"/>
      <w:bookmarkEnd w:id="879"/>
    </w:p>
    <w:p w14:paraId="392A54A7">
      <w:pPr>
        <w:spacing w:line="360" w:lineRule="auto"/>
        <w:ind w:firstLine="420" w:firstLineChars="200"/>
        <w:rPr>
          <w:rFonts w:ascii="宋体"/>
          <w:color w:val="auto"/>
        </w:rPr>
      </w:pPr>
      <w:r>
        <w:rPr>
          <w:rFonts w:ascii="宋体" w:hAnsi="宋体"/>
          <w:color w:val="auto"/>
        </w:rPr>
        <w:t xml:space="preserve">4.5.1  </w:t>
      </w:r>
      <w:r>
        <w:rPr>
          <w:rFonts w:hint="eastAsia" w:ascii="宋体" w:hAnsi="宋体"/>
          <w:color w:val="auto"/>
        </w:rPr>
        <w:t>承包人项目经理必须与承包人投标时所承诺的人员一致，并在根据第</w:t>
      </w:r>
      <w:r>
        <w:rPr>
          <w:rFonts w:ascii="宋体" w:hAnsi="宋体"/>
          <w:color w:val="auto"/>
        </w:rPr>
        <w:t>11.1.1</w:t>
      </w:r>
      <w:r>
        <w:rPr>
          <w:rFonts w:hint="eastAsia" w:ascii="宋体" w:hAnsi="宋体"/>
          <w:color w:val="auto"/>
        </w:rPr>
        <w:t>项确定的开工日期前到任。在监理人向承包人颁发（出具）工程接收证书前，项目经理不得同时兼任其他任何项目的项目经理。未经发包人书面许可，承包人不得更换项目经理。承包人项目经理的姓名、职称、身份证号、执业资格证书号、注册证书号、执业印章号、安全生产考核合格证书号等细节资料应当在合同协议书中载明。承包人更换项目经理应事先征得发包人同意，并应在更换</w:t>
      </w:r>
      <w:r>
        <w:rPr>
          <w:rFonts w:ascii="宋体" w:hAnsi="宋体"/>
          <w:color w:val="auto"/>
        </w:rPr>
        <w:t>14</w:t>
      </w:r>
      <w:r>
        <w:rPr>
          <w:rFonts w:hint="eastAsia" w:ascii="宋体" w:hAnsi="宋体"/>
          <w:color w:val="auto"/>
        </w:rPr>
        <w:t>天前通知发包人和监理人。承包人项目经理短期离开施工场地，应事先征得监理人同意，并委派代表代行其职责。</w:t>
      </w:r>
    </w:p>
    <w:p w14:paraId="022BFD6D">
      <w:pPr>
        <w:spacing w:line="360" w:lineRule="auto"/>
        <w:ind w:firstLine="420" w:firstLineChars="200"/>
        <w:rPr>
          <w:rFonts w:ascii="宋体"/>
          <w:color w:val="auto"/>
        </w:rPr>
      </w:pPr>
      <w:r>
        <w:rPr>
          <w:rFonts w:ascii="宋体" w:hAnsi="宋体"/>
          <w:color w:val="auto"/>
        </w:rPr>
        <w:t xml:space="preserve">4.5.2  </w:t>
      </w:r>
      <w:r>
        <w:rPr>
          <w:rFonts w:hint="eastAsia" w:ascii="宋体" w:hAnsi="宋体"/>
          <w:color w:val="auto"/>
        </w:rPr>
        <w:t>承包人项目经理应按合同约定以及监理人按第</w:t>
      </w:r>
      <w:r>
        <w:rPr>
          <w:rFonts w:ascii="宋体" w:hAnsi="宋体"/>
          <w:color w:val="auto"/>
        </w:rPr>
        <w:t>3.4</w:t>
      </w:r>
      <w:r>
        <w:rPr>
          <w:rFonts w:hint="eastAsia" w:ascii="宋体" w:hAnsi="宋体"/>
          <w:color w:val="auto"/>
        </w:rPr>
        <w:t>款作出的指示，负责组织合同工程的实施。在情况紧急且无法与监理人取得联系时，可采取保证工程和人员生命财产安全的紧急措施，并在采取措施后</w:t>
      </w:r>
      <w:r>
        <w:rPr>
          <w:rFonts w:ascii="宋体" w:hAnsi="宋体"/>
          <w:color w:val="auto"/>
        </w:rPr>
        <w:t>24</w:t>
      </w:r>
      <w:r>
        <w:rPr>
          <w:rFonts w:hint="eastAsia" w:ascii="宋体" w:hAnsi="宋体"/>
          <w:color w:val="auto"/>
        </w:rPr>
        <w:t>小时内向监理人提交书面报告。</w:t>
      </w:r>
    </w:p>
    <w:p w14:paraId="288DD80B">
      <w:pPr>
        <w:spacing w:line="360" w:lineRule="auto"/>
        <w:ind w:firstLine="420" w:firstLineChars="200"/>
        <w:rPr>
          <w:rFonts w:ascii="宋体"/>
          <w:color w:val="auto"/>
        </w:rPr>
      </w:pPr>
      <w:r>
        <w:rPr>
          <w:rFonts w:ascii="宋体" w:hAnsi="宋体"/>
          <w:color w:val="auto"/>
        </w:rPr>
        <w:t xml:space="preserve">4.5.3  </w:t>
      </w:r>
      <w:r>
        <w:rPr>
          <w:rFonts w:hint="eastAsia" w:ascii="宋体" w:hAnsi="宋体"/>
          <w:color w:val="auto"/>
        </w:rPr>
        <w:t>承包人为履行合同发出的一切函件均应盖有承包人授权的施工场地管理机构章，并由承包人项目经理或其授权代表签字。</w:t>
      </w:r>
    </w:p>
    <w:p w14:paraId="2C597B6F">
      <w:pPr>
        <w:spacing w:line="360" w:lineRule="auto"/>
        <w:ind w:firstLine="420" w:firstLineChars="200"/>
        <w:rPr>
          <w:rFonts w:ascii="宋体"/>
        </w:rPr>
      </w:pPr>
      <w:r>
        <w:rPr>
          <w:rFonts w:ascii="宋体" w:hAnsi="宋体"/>
        </w:rPr>
        <w:t xml:space="preserve">4.5.4  </w:t>
      </w:r>
      <w:r>
        <w:rPr>
          <w:rFonts w:hint="eastAsia" w:ascii="宋体" w:hAnsi="宋体"/>
        </w:rPr>
        <w:t>承包人项目经理可以授权其下属人员履行其某项职责，但事先应将这些人员的姓名和授权范围通知监理人。</w:t>
      </w:r>
    </w:p>
    <w:p w14:paraId="63019B4E">
      <w:pPr>
        <w:keepNext/>
        <w:keepLines/>
        <w:spacing w:beforeLines="50" w:afterLines="50" w:line="360" w:lineRule="auto"/>
        <w:outlineLvl w:val="2"/>
        <w:rPr>
          <w:rFonts w:ascii="宋体" w:hAnsi="宋体"/>
          <w:sz w:val="24"/>
          <w:szCs w:val="20"/>
        </w:rPr>
      </w:pPr>
      <w:bookmarkStart w:id="880" w:name="_Toc490222527"/>
      <w:bookmarkStart w:id="881" w:name="_Toc117597508"/>
      <w:bookmarkStart w:id="882" w:name="_Toc497213758"/>
      <w:bookmarkStart w:id="883" w:name="_Toc489279893"/>
      <w:bookmarkStart w:id="884" w:name="_Toc486580082"/>
      <w:r>
        <w:rPr>
          <w:rFonts w:ascii="宋体" w:hAnsi="宋体"/>
          <w:sz w:val="24"/>
          <w:szCs w:val="20"/>
        </w:rPr>
        <w:t xml:space="preserve">4.6  </w:t>
      </w:r>
      <w:r>
        <w:rPr>
          <w:rFonts w:hint="eastAsia" w:ascii="宋体" w:hAnsi="宋体"/>
          <w:sz w:val="24"/>
          <w:szCs w:val="20"/>
        </w:rPr>
        <w:t>承包人人员的管理</w:t>
      </w:r>
      <w:bookmarkEnd w:id="880"/>
      <w:bookmarkEnd w:id="881"/>
      <w:bookmarkEnd w:id="882"/>
      <w:bookmarkEnd w:id="883"/>
      <w:bookmarkEnd w:id="884"/>
    </w:p>
    <w:p w14:paraId="4B9F34A1">
      <w:pPr>
        <w:spacing w:line="360" w:lineRule="auto"/>
        <w:ind w:firstLine="420" w:firstLineChars="200"/>
        <w:rPr>
          <w:rFonts w:ascii="宋体"/>
        </w:rPr>
      </w:pPr>
      <w:r>
        <w:rPr>
          <w:rFonts w:ascii="宋体" w:hAnsi="宋体"/>
        </w:rPr>
        <w:t xml:space="preserve">4.6.1  </w:t>
      </w:r>
      <w:r>
        <w:rPr>
          <w:rFonts w:hint="eastAsia" w:ascii="宋体" w:hAnsi="宋体"/>
        </w:rPr>
        <w:t>承包人应在接到开工通知后</w:t>
      </w:r>
      <w:r>
        <w:rPr>
          <w:rFonts w:ascii="宋体" w:hAnsi="宋体"/>
        </w:rPr>
        <w:t>28</w:t>
      </w:r>
      <w:r>
        <w:rPr>
          <w:rFonts w:hint="eastAsia" w:ascii="宋体" w:hAnsi="宋体"/>
        </w:rPr>
        <w:t>天内，向监理人提交承包人在施工场地的管理机构以及人员安排的报告，其内容应包括管理机构的设置、各主要岗位的技术和管理人员名单及其资格，以及各工种技术工人的安排状况。承包人应向监理人提交施工场地人员变动情况的报告。</w:t>
      </w:r>
    </w:p>
    <w:p w14:paraId="78052F97">
      <w:pPr>
        <w:spacing w:line="360" w:lineRule="auto"/>
        <w:ind w:firstLine="420" w:firstLineChars="200"/>
        <w:rPr>
          <w:rFonts w:ascii="宋体"/>
        </w:rPr>
      </w:pPr>
      <w:r>
        <w:rPr>
          <w:rFonts w:ascii="宋体" w:hAnsi="宋体"/>
        </w:rPr>
        <w:t xml:space="preserve">4.6.2  </w:t>
      </w:r>
      <w:r>
        <w:rPr>
          <w:rFonts w:hint="eastAsia" w:ascii="宋体" w:hAnsi="宋体"/>
        </w:rPr>
        <w:t>为完成合同约定的各项工作，承包人应向施工场地派遣或雇佣足够数量的下列人员：</w:t>
      </w:r>
    </w:p>
    <w:p w14:paraId="302C67A7">
      <w:pPr>
        <w:spacing w:line="360" w:lineRule="auto"/>
        <w:ind w:firstLine="315" w:firstLineChars="150"/>
        <w:rPr>
          <w:rFonts w:ascii="宋体"/>
        </w:rPr>
      </w:pPr>
      <w:r>
        <w:rPr>
          <w:rFonts w:hint="eastAsia" w:ascii="宋体" w:hAnsi="宋体"/>
        </w:rPr>
        <w:t>（</w:t>
      </w:r>
      <w:r>
        <w:rPr>
          <w:rFonts w:ascii="宋体" w:hAnsi="宋体"/>
        </w:rPr>
        <w:t>1</w:t>
      </w:r>
      <w:r>
        <w:rPr>
          <w:rFonts w:hint="eastAsia" w:ascii="宋体" w:hAnsi="宋体"/>
        </w:rPr>
        <w:t>）具有相应资格的专业技工和合格的普工；</w:t>
      </w:r>
    </w:p>
    <w:p w14:paraId="06559C03">
      <w:pPr>
        <w:spacing w:line="360" w:lineRule="auto"/>
        <w:ind w:firstLine="315" w:firstLineChars="150"/>
        <w:rPr>
          <w:rFonts w:ascii="宋体"/>
        </w:rPr>
      </w:pPr>
      <w:r>
        <w:rPr>
          <w:rFonts w:hint="eastAsia" w:ascii="宋体" w:hAnsi="宋体"/>
        </w:rPr>
        <w:t>（</w:t>
      </w:r>
      <w:r>
        <w:rPr>
          <w:rFonts w:ascii="宋体" w:hAnsi="宋体"/>
        </w:rPr>
        <w:t>2</w:t>
      </w:r>
      <w:r>
        <w:rPr>
          <w:rFonts w:hint="eastAsia" w:ascii="宋体" w:hAnsi="宋体"/>
        </w:rPr>
        <w:t>）具有相应施工经验的技术人员；</w:t>
      </w:r>
    </w:p>
    <w:p w14:paraId="1D1E246C">
      <w:pPr>
        <w:spacing w:line="360" w:lineRule="auto"/>
        <w:ind w:firstLine="315" w:firstLineChars="150"/>
        <w:rPr>
          <w:rFonts w:ascii="宋体"/>
        </w:rPr>
      </w:pPr>
      <w:r>
        <w:rPr>
          <w:rFonts w:hint="eastAsia" w:ascii="宋体" w:hAnsi="宋体"/>
        </w:rPr>
        <w:t>（</w:t>
      </w:r>
      <w:r>
        <w:rPr>
          <w:rFonts w:ascii="宋体" w:hAnsi="宋体"/>
        </w:rPr>
        <w:t>3</w:t>
      </w:r>
      <w:r>
        <w:rPr>
          <w:rFonts w:hint="eastAsia" w:ascii="宋体" w:hAnsi="宋体"/>
        </w:rPr>
        <w:t>）具有相应岗位资格的各级管理人员（包含符合工程项目规模和技术难度的涉及消防各专业齐全、具备相应能力的质量管理人员）。</w:t>
      </w:r>
    </w:p>
    <w:p w14:paraId="5BF0C8DA">
      <w:pPr>
        <w:spacing w:line="360" w:lineRule="auto"/>
        <w:ind w:firstLine="420" w:firstLineChars="200"/>
        <w:rPr>
          <w:rFonts w:ascii="宋体"/>
        </w:rPr>
      </w:pPr>
      <w:r>
        <w:rPr>
          <w:rFonts w:ascii="宋体" w:hAnsi="宋体"/>
        </w:rPr>
        <w:t xml:space="preserve">4.6.3  </w:t>
      </w:r>
      <w:r>
        <w:rPr>
          <w:rFonts w:hint="eastAsia" w:ascii="宋体" w:hAnsi="宋体"/>
        </w:rPr>
        <w:t>承包人安排在施工场地的主要管理人员和技术骨干应相对稳定。承包人更换主要管理人员和技术骨干时，应取得监理人的同意。</w:t>
      </w:r>
    </w:p>
    <w:p w14:paraId="275B1211">
      <w:pPr>
        <w:spacing w:line="360" w:lineRule="auto"/>
        <w:ind w:firstLine="420" w:firstLineChars="200"/>
        <w:rPr>
          <w:rFonts w:ascii="宋体" w:hAnsi="宋体"/>
        </w:rPr>
      </w:pPr>
      <w:r>
        <w:rPr>
          <w:rFonts w:ascii="宋体" w:hAnsi="宋体"/>
        </w:rPr>
        <w:t xml:space="preserve">4.6.4  </w:t>
      </w:r>
      <w:r>
        <w:rPr>
          <w:rFonts w:hint="eastAsia" w:ascii="宋体" w:hAnsi="宋体"/>
        </w:rPr>
        <w:t>特殊岗位的工作人员均应持有相应的资格证明，监理人有权随时检查。监理人认为有必要时，可进行现场考核。</w:t>
      </w:r>
    </w:p>
    <w:p w14:paraId="1E9E7CC3">
      <w:pPr>
        <w:spacing w:line="360" w:lineRule="auto"/>
        <w:ind w:firstLine="420" w:firstLineChars="200"/>
        <w:rPr>
          <w:rFonts w:ascii="宋体" w:hAnsi="宋体"/>
        </w:rPr>
      </w:pPr>
      <w:r>
        <w:rPr>
          <w:rFonts w:hint="eastAsia" w:ascii="宋体" w:hAnsi="宋体"/>
        </w:rPr>
        <w:t>4.6.5  严格落实疫情防控常态化有关要求，核实项目人员身份及做好人员健康信息档案，不使用零散工和无健康信息的劳务人员， 不得使用按照有关规定需要隔离观察的劳务人员；现场进口设立体温监测点，对所有进入施工现场人员进行体温检测和“健康码”查验，核对人员身份和健康状况，凡有发热、干咳等症状的，禁止其进入，并及时报告和妥善处置；在人员密集的封闭场所与他人小于1米距离接触时要佩戴口罩。同时加强公共卫生教育培训，引导施工现场人员养成勤洗手、常通风、科学佩戴口罩、使用公勺公筷等良好卫生习惯，确保疫情防控管理常态化。</w:t>
      </w:r>
    </w:p>
    <w:p w14:paraId="454889EB">
      <w:pPr>
        <w:keepNext/>
        <w:keepLines/>
        <w:spacing w:beforeLines="50" w:afterLines="50" w:line="360" w:lineRule="auto"/>
        <w:outlineLvl w:val="2"/>
        <w:rPr>
          <w:rFonts w:ascii="宋体" w:hAnsi="宋体"/>
          <w:sz w:val="24"/>
          <w:szCs w:val="20"/>
        </w:rPr>
      </w:pPr>
      <w:bookmarkStart w:id="885" w:name="_Toc117597509"/>
      <w:bookmarkStart w:id="886" w:name="_Toc489279894"/>
      <w:bookmarkStart w:id="887" w:name="_Toc486580083"/>
      <w:bookmarkStart w:id="888" w:name="_Toc490222528"/>
      <w:bookmarkStart w:id="889" w:name="_Toc497213759"/>
      <w:r>
        <w:rPr>
          <w:rFonts w:ascii="宋体" w:hAnsi="宋体"/>
          <w:sz w:val="24"/>
          <w:szCs w:val="20"/>
        </w:rPr>
        <w:t xml:space="preserve">4.7  </w:t>
      </w:r>
      <w:r>
        <w:rPr>
          <w:rFonts w:hint="eastAsia" w:ascii="宋体" w:hAnsi="宋体"/>
          <w:sz w:val="24"/>
          <w:szCs w:val="20"/>
        </w:rPr>
        <w:t>撤换承包人项目经理和其他人员</w:t>
      </w:r>
      <w:bookmarkEnd w:id="885"/>
      <w:bookmarkEnd w:id="886"/>
      <w:bookmarkEnd w:id="887"/>
      <w:bookmarkEnd w:id="888"/>
      <w:bookmarkEnd w:id="889"/>
    </w:p>
    <w:p w14:paraId="72129633">
      <w:pPr>
        <w:spacing w:line="360" w:lineRule="auto"/>
        <w:ind w:firstLine="420" w:firstLineChars="200"/>
        <w:rPr>
          <w:rFonts w:ascii="宋体"/>
        </w:rPr>
      </w:pPr>
      <w:r>
        <w:rPr>
          <w:rFonts w:hint="eastAsia" w:ascii="宋体" w:hAnsi="宋体"/>
        </w:rPr>
        <w:t>承包人应对其项目经理和其他人员进行有效管理。监理人要求撤换不能胜任本职工作、行为不端或玩忽职守的承包人项目经理和其他人员的，承包人应予以撤换。</w:t>
      </w:r>
    </w:p>
    <w:p w14:paraId="3631A809">
      <w:pPr>
        <w:keepNext/>
        <w:keepLines/>
        <w:spacing w:beforeLines="50" w:afterLines="50" w:line="360" w:lineRule="auto"/>
        <w:outlineLvl w:val="2"/>
        <w:rPr>
          <w:rFonts w:ascii="宋体" w:hAnsi="宋体"/>
          <w:sz w:val="24"/>
          <w:szCs w:val="20"/>
        </w:rPr>
      </w:pPr>
      <w:bookmarkStart w:id="890" w:name="_Toc497213760"/>
      <w:bookmarkStart w:id="891" w:name="_Toc117597510"/>
      <w:bookmarkStart w:id="892" w:name="_Toc490222529"/>
      <w:bookmarkStart w:id="893" w:name="_Toc486580084"/>
      <w:bookmarkStart w:id="894" w:name="_Toc489279895"/>
      <w:r>
        <w:rPr>
          <w:rFonts w:ascii="宋体" w:hAnsi="宋体"/>
          <w:sz w:val="24"/>
          <w:szCs w:val="20"/>
        </w:rPr>
        <w:t xml:space="preserve">4.8  </w:t>
      </w:r>
      <w:r>
        <w:rPr>
          <w:rFonts w:hint="eastAsia" w:ascii="宋体" w:hAnsi="宋体"/>
          <w:sz w:val="24"/>
          <w:szCs w:val="20"/>
        </w:rPr>
        <w:t>保障承包人人员的合法权益</w:t>
      </w:r>
      <w:bookmarkEnd w:id="890"/>
      <w:bookmarkEnd w:id="891"/>
      <w:bookmarkEnd w:id="892"/>
      <w:bookmarkEnd w:id="893"/>
      <w:bookmarkEnd w:id="894"/>
    </w:p>
    <w:p w14:paraId="2B0452F4">
      <w:pPr>
        <w:spacing w:line="360" w:lineRule="auto"/>
        <w:ind w:firstLine="420" w:firstLineChars="200"/>
        <w:rPr>
          <w:rFonts w:ascii="宋体"/>
        </w:rPr>
      </w:pPr>
      <w:r>
        <w:rPr>
          <w:rFonts w:ascii="宋体" w:hAnsi="宋体"/>
        </w:rPr>
        <w:t xml:space="preserve">4.8.1  </w:t>
      </w:r>
      <w:r>
        <w:rPr>
          <w:rFonts w:hint="eastAsia" w:ascii="宋体" w:hAnsi="宋体"/>
        </w:rPr>
        <w:t>承包人应与其雇佣的人员签订劳动合同，并按时发放工资。</w:t>
      </w:r>
    </w:p>
    <w:p w14:paraId="5A1619FF">
      <w:pPr>
        <w:spacing w:line="360" w:lineRule="auto"/>
        <w:ind w:firstLine="420" w:firstLineChars="200"/>
        <w:rPr>
          <w:rFonts w:ascii="宋体"/>
        </w:rPr>
      </w:pPr>
      <w:r>
        <w:rPr>
          <w:rFonts w:ascii="宋体" w:hAnsi="宋体"/>
        </w:rPr>
        <w:t xml:space="preserve">4.8.2  </w:t>
      </w:r>
      <w:r>
        <w:rPr>
          <w:rFonts w:hint="eastAsia" w:ascii="宋体" w:hAnsi="宋体"/>
        </w:rPr>
        <w:t>承包人应按劳动法的规定安排工作时间，保证其雇佣人员享有休息和休假的权利。因工程施工的特殊需要占用休假日或延长工作时间的，应不超过法律规定的限度，并按法律规定给予补休或付酬。</w:t>
      </w:r>
    </w:p>
    <w:p w14:paraId="69F4BBED">
      <w:pPr>
        <w:spacing w:line="360" w:lineRule="auto"/>
        <w:ind w:firstLine="420" w:firstLineChars="200"/>
        <w:rPr>
          <w:rFonts w:ascii="宋体"/>
        </w:rPr>
      </w:pPr>
      <w:r>
        <w:rPr>
          <w:rFonts w:ascii="宋体" w:hAnsi="宋体"/>
        </w:rPr>
        <w:t xml:space="preserve">4.8.3  </w:t>
      </w:r>
      <w:r>
        <w:rPr>
          <w:rFonts w:hint="eastAsia" w:ascii="宋体" w:hAnsi="宋体"/>
        </w:rPr>
        <w:t>承包人应为其雇佣人员提供必要的食宿条件，以及符合环境保护和卫生要求的生活环境，在远离城镇的施工场地，还应配备必要的伤病防治和急救的医务人员与医疗设施。</w:t>
      </w:r>
    </w:p>
    <w:p w14:paraId="5CD3C6B3">
      <w:pPr>
        <w:spacing w:line="360" w:lineRule="auto"/>
        <w:ind w:firstLine="420" w:firstLineChars="200"/>
        <w:rPr>
          <w:rFonts w:ascii="宋体"/>
        </w:rPr>
      </w:pPr>
      <w:r>
        <w:rPr>
          <w:rFonts w:ascii="宋体" w:hAnsi="宋体"/>
        </w:rPr>
        <w:t xml:space="preserve">4.8.4  </w:t>
      </w:r>
      <w:r>
        <w:rPr>
          <w:rFonts w:hint="eastAsia" w:ascii="宋体" w:hAnsi="宋体"/>
        </w:rPr>
        <w:t>承包人应按国家有关劳动保护的规定，采取有效的防止粉尘、降低噪声、控制有害气体和保障高温、高寒、高空作业安全等劳动保护措施。其雇佣人员在施工中受到伤害的，承包人应立即采取有效措施进行抢救和治疗。</w:t>
      </w:r>
    </w:p>
    <w:p w14:paraId="3261D9E2">
      <w:pPr>
        <w:spacing w:line="360" w:lineRule="auto"/>
        <w:ind w:firstLine="420" w:firstLineChars="200"/>
        <w:rPr>
          <w:rFonts w:ascii="宋体"/>
        </w:rPr>
      </w:pPr>
      <w:r>
        <w:rPr>
          <w:rFonts w:ascii="宋体" w:hAnsi="宋体"/>
        </w:rPr>
        <w:t xml:space="preserve">4.8.5  </w:t>
      </w:r>
      <w:r>
        <w:rPr>
          <w:rFonts w:hint="eastAsia" w:ascii="宋体" w:hAnsi="宋体"/>
        </w:rPr>
        <w:t>承包人应按有关法律规定和合同约定，为其雇佣人员办理保险。</w:t>
      </w:r>
    </w:p>
    <w:p w14:paraId="2A75F53B">
      <w:pPr>
        <w:spacing w:line="360" w:lineRule="auto"/>
        <w:ind w:firstLine="420" w:firstLineChars="200"/>
        <w:rPr>
          <w:rFonts w:ascii="宋体"/>
        </w:rPr>
      </w:pPr>
      <w:r>
        <w:rPr>
          <w:rFonts w:ascii="宋体" w:hAnsi="宋体"/>
        </w:rPr>
        <w:t xml:space="preserve">4.8.6  </w:t>
      </w:r>
      <w:r>
        <w:rPr>
          <w:rFonts w:hint="eastAsia" w:ascii="宋体" w:hAnsi="宋体"/>
        </w:rPr>
        <w:t>承包人应负责处理其雇佣人员因工伤亡事故的善后事宜。</w:t>
      </w:r>
    </w:p>
    <w:p w14:paraId="1D8A093C">
      <w:pPr>
        <w:keepNext/>
        <w:keepLines/>
        <w:spacing w:beforeLines="50" w:afterLines="50" w:line="360" w:lineRule="auto"/>
        <w:outlineLvl w:val="2"/>
        <w:rPr>
          <w:rFonts w:ascii="宋体" w:hAnsi="宋体"/>
          <w:sz w:val="24"/>
          <w:szCs w:val="20"/>
        </w:rPr>
      </w:pPr>
      <w:bookmarkStart w:id="895" w:name="_Toc486580085"/>
      <w:bookmarkStart w:id="896" w:name="_Toc490222530"/>
      <w:bookmarkStart w:id="897" w:name="_Toc489279896"/>
      <w:bookmarkStart w:id="898" w:name="_Toc497213761"/>
      <w:bookmarkStart w:id="899" w:name="_Toc117597511"/>
      <w:r>
        <w:rPr>
          <w:rFonts w:ascii="宋体" w:hAnsi="宋体"/>
          <w:sz w:val="24"/>
          <w:szCs w:val="20"/>
        </w:rPr>
        <w:t xml:space="preserve">4.9  </w:t>
      </w:r>
      <w:r>
        <w:rPr>
          <w:rFonts w:hint="eastAsia" w:ascii="宋体" w:hAnsi="宋体"/>
          <w:sz w:val="24"/>
          <w:szCs w:val="20"/>
        </w:rPr>
        <w:t>工程价款应专款专用</w:t>
      </w:r>
      <w:bookmarkEnd w:id="895"/>
      <w:bookmarkEnd w:id="896"/>
      <w:bookmarkEnd w:id="897"/>
      <w:bookmarkEnd w:id="898"/>
      <w:bookmarkEnd w:id="899"/>
    </w:p>
    <w:p w14:paraId="1D860DB4">
      <w:pPr>
        <w:spacing w:line="360" w:lineRule="auto"/>
        <w:ind w:firstLine="420" w:firstLineChars="200"/>
        <w:rPr>
          <w:rFonts w:ascii="宋体"/>
        </w:rPr>
      </w:pPr>
      <w:r>
        <w:rPr>
          <w:rFonts w:hint="eastAsia" w:ascii="宋体" w:hAnsi="宋体"/>
        </w:rPr>
        <w:t>发包人按合同约定支付给承包人的各项价款应专用于合同工程。</w:t>
      </w:r>
    </w:p>
    <w:p w14:paraId="6471869F">
      <w:pPr>
        <w:keepNext/>
        <w:keepLines/>
        <w:spacing w:beforeLines="50" w:afterLines="50" w:line="360" w:lineRule="auto"/>
        <w:outlineLvl w:val="2"/>
        <w:rPr>
          <w:rFonts w:ascii="宋体" w:hAnsi="宋体"/>
          <w:sz w:val="24"/>
          <w:szCs w:val="20"/>
        </w:rPr>
      </w:pPr>
      <w:bookmarkStart w:id="900" w:name="_Toc486580086"/>
      <w:bookmarkStart w:id="901" w:name="_Toc490222531"/>
      <w:bookmarkStart w:id="902" w:name="_Toc497213762"/>
      <w:bookmarkStart w:id="903" w:name="_Toc117597512"/>
      <w:bookmarkStart w:id="904" w:name="_Toc489279897"/>
      <w:r>
        <w:rPr>
          <w:rFonts w:ascii="宋体" w:hAnsi="宋体"/>
          <w:sz w:val="24"/>
          <w:szCs w:val="20"/>
        </w:rPr>
        <w:t xml:space="preserve">4.10  </w:t>
      </w:r>
      <w:r>
        <w:rPr>
          <w:rFonts w:hint="eastAsia" w:ascii="宋体" w:hAnsi="宋体"/>
          <w:sz w:val="24"/>
          <w:szCs w:val="20"/>
        </w:rPr>
        <w:t>承包人现场查勘</w:t>
      </w:r>
      <w:bookmarkEnd w:id="900"/>
      <w:bookmarkEnd w:id="901"/>
      <w:bookmarkEnd w:id="902"/>
      <w:bookmarkEnd w:id="903"/>
      <w:bookmarkEnd w:id="904"/>
    </w:p>
    <w:p w14:paraId="4690AAED">
      <w:pPr>
        <w:spacing w:line="360" w:lineRule="auto"/>
        <w:ind w:firstLine="420" w:firstLineChars="200"/>
        <w:rPr>
          <w:rFonts w:ascii="宋体"/>
        </w:rPr>
      </w:pPr>
      <w:r>
        <w:rPr>
          <w:rFonts w:ascii="宋体" w:hAnsi="宋体"/>
        </w:rPr>
        <w:t xml:space="preserve">4.10.1  </w:t>
      </w:r>
      <w:r>
        <w:rPr>
          <w:rFonts w:hint="eastAsia" w:ascii="宋体" w:hAnsi="宋体"/>
        </w:rPr>
        <w:t>发包人应将其持有的现场地质勘探资料、水文气象资料提供给承包人，并对其准确性负责。但承包人应对其阅读上述有关资料后所作出的解释和推断负责。</w:t>
      </w:r>
    </w:p>
    <w:p w14:paraId="5CF9C7D0">
      <w:pPr>
        <w:spacing w:line="360" w:lineRule="auto"/>
        <w:ind w:firstLine="420" w:firstLineChars="200"/>
        <w:rPr>
          <w:rFonts w:ascii="宋体"/>
        </w:rPr>
      </w:pPr>
      <w:r>
        <w:rPr>
          <w:rFonts w:ascii="宋体" w:hAnsi="宋体"/>
        </w:rPr>
        <w:t xml:space="preserve">4.10.2  </w:t>
      </w:r>
      <w:r>
        <w:rPr>
          <w:rFonts w:hint="eastAsia" w:ascii="宋体" w:hAnsi="宋体"/>
        </w:rPr>
        <w:t>承包人应对施工场地和周围环境进行查勘，并收集有关地质、水文、气象条件、交通条件、风俗习惯以及其他为完成合同工作有关的当地资料。在全部合同工作中，应视为承包人已充分估计了应承担的责任和风险。</w:t>
      </w:r>
    </w:p>
    <w:p w14:paraId="69415317">
      <w:pPr>
        <w:keepNext/>
        <w:keepLines/>
        <w:spacing w:beforeLines="50" w:afterLines="50" w:line="360" w:lineRule="auto"/>
        <w:outlineLvl w:val="2"/>
        <w:rPr>
          <w:rFonts w:ascii="宋体" w:hAnsi="宋体"/>
          <w:sz w:val="24"/>
          <w:szCs w:val="20"/>
        </w:rPr>
      </w:pPr>
      <w:bookmarkStart w:id="905" w:name="_Toc117597513"/>
      <w:bookmarkStart w:id="906" w:name="_Toc486580087"/>
      <w:bookmarkStart w:id="907" w:name="_Toc490222532"/>
      <w:bookmarkStart w:id="908" w:name="_Toc489279898"/>
      <w:bookmarkStart w:id="909" w:name="_Toc497213763"/>
      <w:r>
        <w:rPr>
          <w:rFonts w:ascii="宋体" w:hAnsi="宋体"/>
          <w:sz w:val="24"/>
          <w:szCs w:val="20"/>
        </w:rPr>
        <w:t xml:space="preserve">4.11  </w:t>
      </w:r>
      <w:r>
        <w:rPr>
          <w:rFonts w:hint="eastAsia" w:ascii="宋体" w:hAnsi="宋体"/>
          <w:sz w:val="24"/>
          <w:szCs w:val="20"/>
        </w:rPr>
        <w:t>不利物质条件</w:t>
      </w:r>
      <w:bookmarkEnd w:id="905"/>
      <w:bookmarkEnd w:id="906"/>
      <w:bookmarkEnd w:id="907"/>
      <w:bookmarkEnd w:id="908"/>
      <w:bookmarkEnd w:id="909"/>
    </w:p>
    <w:p w14:paraId="6B996CA8">
      <w:pPr>
        <w:spacing w:line="360" w:lineRule="auto"/>
        <w:ind w:firstLine="420" w:firstLineChars="200"/>
        <w:rPr>
          <w:rFonts w:ascii="宋体"/>
        </w:rPr>
      </w:pPr>
      <w:r>
        <w:rPr>
          <w:rFonts w:ascii="宋体" w:hAnsi="宋体"/>
        </w:rPr>
        <w:t xml:space="preserve">4.11.1  </w:t>
      </w:r>
      <w:r>
        <w:rPr>
          <w:rFonts w:hint="eastAsia" w:ascii="宋体" w:hAnsi="宋体"/>
        </w:rPr>
        <w:t>不利物质条件一般是指承包人在施工场地遇到的不可预见的自然物质条件、非自然的物质障碍和污染物，包括地下和水文条件，但不包括气候条件。不利物质条件的具体范围</w:t>
      </w:r>
      <w:r>
        <w:rPr>
          <w:rFonts w:hint="eastAsia" w:ascii="黑体" w:hAnsi="黑体" w:eastAsia="黑体"/>
        </w:rPr>
        <w:t>见合同条款专用部分。</w:t>
      </w:r>
    </w:p>
    <w:p w14:paraId="4BC1B83C">
      <w:pPr>
        <w:spacing w:line="360" w:lineRule="auto"/>
        <w:ind w:firstLine="420" w:firstLineChars="200"/>
        <w:rPr>
          <w:rFonts w:ascii="宋体"/>
        </w:rPr>
      </w:pPr>
      <w:r>
        <w:rPr>
          <w:rFonts w:ascii="宋体" w:hAnsi="宋体"/>
        </w:rPr>
        <w:t xml:space="preserve">4.11.2  </w:t>
      </w:r>
      <w:r>
        <w:rPr>
          <w:rFonts w:hint="eastAsia" w:ascii="宋体" w:hAnsi="宋体"/>
        </w:rPr>
        <w:t>承包人遇到不利物质条件时，应采取适应不利物质条件的合理措施继续施工，并及时通知监理人。监理人应当及时发出指示，指示构成变更的，按第</w:t>
      </w:r>
      <w:r>
        <w:rPr>
          <w:rFonts w:ascii="宋体" w:hAnsi="宋体"/>
        </w:rPr>
        <w:t>15</w:t>
      </w:r>
      <w:r>
        <w:rPr>
          <w:rFonts w:hint="eastAsia" w:ascii="宋体" w:hAnsi="宋体"/>
        </w:rPr>
        <w:t>条约定办理。监理人没有发出指示的，承包人因采取合理措施增加的费用和（或）工期延误，由发包人承担。</w:t>
      </w:r>
    </w:p>
    <w:p w14:paraId="500DF86E">
      <w:pPr>
        <w:keepNext/>
        <w:keepLines/>
        <w:spacing w:beforeLines="50" w:afterLines="50" w:line="360" w:lineRule="auto"/>
        <w:outlineLvl w:val="1"/>
        <w:rPr>
          <w:rFonts w:ascii="宋体" w:hAnsi="宋体" w:cs="宋体"/>
          <w:sz w:val="28"/>
          <w:szCs w:val="20"/>
        </w:rPr>
      </w:pPr>
      <w:bookmarkStart w:id="910" w:name="_Toc497213764"/>
      <w:bookmarkStart w:id="911" w:name="_Toc117597514"/>
      <w:bookmarkStart w:id="912" w:name="_Toc489279899"/>
      <w:bookmarkStart w:id="913" w:name="_Toc490222533"/>
      <w:bookmarkStart w:id="914" w:name="_Toc486580088"/>
      <w:r>
        <w:rPr>
          <w:rFonts w:ascii="宋体" w:hAnsi="宋体" w:cs="宋体"/>
          <w:sz w:val="28"/>
          <w:szCs w:val="20"/>
        </w:rPr>
        <w:t>5.</w:t>
      </w:r>
      <w:r>
        <w:rPr>
          <w:rFonts w:hint="eastAsia" w:ascii="宋体" w:hAnsi="宋体" w:cs="宋体"/>
          <w:sz w:val="28"/>
          <w:szCs w:val="20"/>
        </w:rPr>
        <w:t>材料和工程设备</w:t>
      </w:r>
      <w:bookmarkEnd w:id="910"/>
      <w:bookmarkEnd w:id="911"/>
      <w:bookmarkEnd w:id="912"/>
      <w:bookmarkEnd w:id="913"/>
      <w:bookmarkEnd w:id="914"/>
    </w:p>
    <w:p w14:paraId="0BAD8C63">
      <w:pPr>
        <w:keepNext/>
        <w:keepLines/>
        <w:spacing w:beforeLines="50" w:afterLines="50" w:line="360" w:lineRule="auto"/>
        <w:outlineLvl w:val="2"/>
        <w:rPr>
          <w:rFonts w:ascii="宋体" w:hAnsi="宋体"/>
          <w:sz w:val="24"/>
          <w:szCs w:val="20"/>
        </w:rPr>
      </w:pPr>
      <w:bookmarkStart w:id="915" w:name="_Toc490222534"/>
      <w:bookmarkStart w:id="916" w:name="_Toc497213765"/>
      <w:bookmarkStart w:id="917" w:name="_Toc117597515"/>
      <w:bookmarkStart w:id="918" w:name="_Toc486580089"/>
      <w:bookmarkStart w:id="919" w:name="_Toc489279900"/>
      <w:r>
        <w:rPr>
          <w:rFonts w:ascii="宋体" w:hAnsi="宋体"/>
          <w:sz w:val="24"/>
          <w:szCs w:val="20"/>
        </w:rPr>
        <w:t xml:space="preserve">5.1  </w:t>
      </w:r>
      <w:r>
        <w:rPr>
          <w:rFonts w:hint="eastAsia" w:ascii="宋体" w:hAnsi="宋体"/>
          <w:sz w:val="24"/>
          <w:szCs w:val="20"/>
        </w:rPr>
        <w:t>承包人提供的材料和工程设备</w:t>
      </w:r>
      <w:bookmarkEnd w:id="915"/>
      <w:bookmarkEnd w:id="916"/>
      <w:bookmarkEnd w:id="917"/>
      <w:bookmarkEnd w:id="918"/>
      <w:bookmarkEnd w:id="919"/>
    </w:p>
    <w:p w14:paraId="41896753">
      <w:pPr>
        <w:spacing w:line="360" w:lineRule="auto"/>
        <w:ind w:firstLine="420" w:firstLineChars="200"/>
        <w:rPr>
          <w:rFonts w:ascii="黑体" w:hAnsi="黑体" w:eastAsia="黑体"/>
        </w:rPr>
      </w:pPr>
      <w:r>
        <w:rPr>
          <w:rFonts w:ascii="宋体" w:hAnsi="宋体"/>
        </w:rPr>
        <w:t xml:space="preserve">5.1.1  </w:t>
      </w:r>
      <w:r>
        <w:rPr>
          <w:rFonts w:hint="eastAsia" w:ascii="宋体" w:hAnsi="宋体"/>
        </w:rPr>
        <w:t>除第</w:t>
      </w:r>
      <w:r>
        <w:rPr>
          <w:rFonts w:ascii="宋体" w:hAnsi="宋体"/>
        </w:rPr>
        <w:t>5.2</w:t>
      </w:r>
      <w:r>
        <w:rPr>
          <w:rFonts w:hint="eastAsia" w:ascii="宋体" w:hAnsi="宋体"/>
        </w:rPr>
        <w:t>款约定由发包人提供的材料和工程设备外，由承包人提供的材料和工程设备均由承包人负责采购、运输和保管。但是，发包人在工程量清单中给定暂估价的材料和工程设备，包括从暂列金额开支的材料和工程设备，其中属于依法必须招标的范围并达到规定的规模标准的，以及虽不属于依法必须招标的范围但合同中约定采用招标方式采购的，应当按第</w:t>
      </w:r>
      <w:r>
        <w:rPr>
          <w:rFonts w:ascii="宋体" w:hAnsi="宋体"/>
        </w:rPr>
        <w:t>15.8.1</w:t>
      </w:r>
      <w:r>
        <w:rPr>
          <w:rFonts w:hint="eastAsia" w:ascii="宋体" w:hAnsi="宋体"/>
        </w:rPr>
        <w:t>项的约定，由发包人和承包人以招标方式确定专项供应商。承包人负责提供的主要材料和工程设备清单</w:t>
      </w:r>
      <w:r>
        <w:rPr>
          <w:rFonts w:hint="eastAsia" w:ascii="黑体" w:hAnsi="黑体" w:eastAsia="黑体"/>
        </w:rPr>
        <w:t>见合同条款专用部分“附件三：承包人提供的材料和工程设备一览表”。</w:t>
      </w:r>
    </w:p>
    <w:p w14:paraId="3CFE5341">
      <w:pPr>
        <w:spacing w:line="360" w:lineRule="auto"/>
        <w:ind w:firstLine="420" w:firstLineChars="200"/>
        <w:rPr>
          <w:rFonts w:ascii="黑体" w:hAnsi="黑体" w:eastAsia="黑体"/>
        </w:rPr>
      </w:pPr>
      <w:r>
        <w:rPr>
          <w:rFonts w:ascii="宋体" w:hAnsi="宋体"/>
        </w:rPr>
        <w:t xml:space="preserve">5.1.2  </w:t>
      </w:r>
      <w:r>
        <w:rPr>
          <w:rFonts w:hint="eastAsia" w:ascii="宋体" w:hAnsi="宋体"/>
        </w:rPr>
        <w:t>承包人应在合同约定的期限内，将各项材料和工程设备的供货人和品种、规格、数量及供货时间等报送监理人审批。承包人应向监理人提交其负责提供的材料和工程设备的质量证明文件，并满足合同约定的质量标准。承包人将其提供的各项材料和工程设备的供货人和品种、规格、数量及供货时间等报送监理人审批的期限</w:t>
      </w:r>
      <w:r>
        <w:rPr>
          <w:rFonts w:hint="eastAsia" w:ascii="黑体" w:hAnsi="黑体" w:eastAsia="黑体"/>
        </w:rPr>
        <w:t>见合同条款专用部分。</w:t>
      </w:r>
    </w:p>
    <w:p w14:paraId="741CDD7D">
      <w:pPr>
        <w:spacing w:line="360" w:lineRule="auto"/>
        <w:ind w:firstLine="420" w:firstLineChars="200"/>
        <w:rPr>
          <w:rFonts w:ascii="宋体"/>
        </w:rPr>
      </w:pPr>
      <w:r>
        <w:rPr>
          <w:rFonts w:ascii="宋体" w:hAnsi="宋体"/>
        </w:rPr>
        <w:t xml:space="preserve">5.1.3  </w:t>
      </w:r>
      <w:r>
        <w:rPr>
          <w:rFonts w:hint="eastAsia" w:ascii="宋体" w:hAnsi="宋体"/>
        </w:rPr>
        <w:t>对承包人提供的材料和工程设备，承包人应会同监理人进行检验和交货验收，查验材料合格证明和产品合格证书，并按照合同约定和监理人指示，进行材料的抽样检验和工程设备的检验测试，检验和测试结果应提交监理人，所需费用由承包人承担。</w:t>
      </w:r>
    </w:p>
    <w:p w14:paraId="2F18F72E">
      <w:pPr>
        <w:keepNext/>
        <w:keepLines/>
        <w:spacing w:beforeLines="50" w:afterLines="50" w:line="360" w:lineRule="auto"/>
        <w:outlineLvl w:val="2"/>
        <w:rPr>
          <w:rFonts w:ascii="宋体" w:hAnsi="宋体"/>
          <w:sz w:val="24"/>
          <w:szCs w:val="20"/>
        </w:rPr>
      </w:pPr>
      <w:bookmarkStart w:id="920" w:name="_Toc489279901"/>
      <w:bookmarkStart w:id="921" w:name="_Toc117597516"/>
      <w:bookmarkStart w:id="922" w:name="_Toc497213766"/>
      <w:bookmarkStart w:id="923" w:name="_Toc486580090"/>
      <w:bookmarkStart w:id="924" w:name="_Toc490222535"/>
      <w:r>
        <w:rPr>
          <w:rFonts w:ascii="宋体" w:hAnsi="宋体"/>
          <w:sz w:val="24"/>
          <w:szCs w:val="20"/>
        </w:rPr>
        <w:t xml:space="preserve">5.2  </w:t>
      </w:r>
      <w:r>
        <w:rPr>
          <w:rFonts w:hint="eastAsia" w:ascii="宋体" w:hAnsi="宋体"/>
          <w:sz w:val="24"/>
          <w:szCs w:val="20"/>
        </w:rPr>
        <w:t>发包人提供的材料和工程设备</w:t>
      </w:r>
      <w:bookmarkEnd w:id="920"/>
      <w:bookmarkEnd w:id="921"/>
      <w:bookmarkEnd w:id="922"/>
      <w:bookmarkEnd w:id="923"/>
      <w:bookmarkEnd w:id="924"/>
    </w:p>
    <w:p w14:paraId="2094E906">
      <w:pPr>
        <w:spacing w:line="360" w:lineRule="auto"/>
        <w:ind w:firstLine="420" w:firstLineChars="200"/>
        <w:rPr>
          <w:rFonts w:ascii="宋体"/>
        </w:rPr>
      </w:pPr>
      <w:r>
        <w:rPr>
          <w:rFonts w:ascii="宋体" w:hAnsi="宋体"/>
        </w:rPr>
        <w:t xml:space="preserve">5.2.1  </w:t>
      </w:r>
      <w:r>
        <w:rPr>
          <w:rFonts w:hint="eastAsia" w:ascii="宋体" w:hAnsi="宋体"/>
        </w:rPr>
        <w:t>发包人负责提供的材料和工程设备的名称、规格、数量、价格、交货方式、交货地点和计划交货日期等</w:t>
      </w:r>
      <w:r>
        <w:rPr>
          <w:rFonts w:hint="eastAsia" w:ascii="黑体" w:hAnsi="黑体" w:eastAsia="黑体"/>
        </w:rPr>
        <w:t>见合同条款专用部分“附件四：发包人提供的材料和工程设备一览表”。</w:t>
      </w:r>
    </w:p>
    <w:p w14:paraId="2D0FD003">
      <w:pPr>
        <w:spacing w:line="360" w:lineRule="auto"/>
        <w:ind w:firstLine="420" w:firstLineChars="200"/>
        <w:rPr>
          <w:rFonts w:ascii="宋体"/>
        </w:rPr>
      </w:pPr>
      <w:r>
        <w:rPr>
          <w:rFonts w:ascii="宋体" w:hAnsi="宋体"/>
        </w:rPr>
        <w:t xml:space="preserve">5.2.2  </w:t>
      </w:r>
      <w:r>
        <w:rPr>
          <w:rFonts w:hint="eastAsia" w:ascii="宋体" w:hAnsi="宋体"/>
        </w:rPr>
        <w:t>承包人应根据合同进度计划的安排，向监理人报送要求发包人交货的日期计划。发包人应按照监理人与合同双方当事人商定的交货日期，向承包人提交材料和工程设备。</w:t>
      </w:r>
    </w:p>
    <w:p w14:paraId="3C15A914">
      <w:pPr>
        <w:spacing w:line="360" w:lineRule="auto"/>
        <w:ind w:firstLine="420" w:firstLineChars="200"/>
        <w:rPr>
          <w:rFonts w:ascii="宋体"/>
        </w:rPr>
      </w:pPr>
      <w:r>
        <w:rPr>
          <w:rFonts w:ascii="宋体" w:hAnsi="宋体"/>
        </w:rPr>
        <w:t xml:space="preserve">5.2.3  </w:t>
      </w:r>
      <w:r>
        <w:rPr>
          <w:rFonts w:hint="eastAsia" w:ascii="宋体" w:hAnsi="宋体"/>
        </w:rPr>
        <w:t>发包人应在材料和工程设备到货</w:t>
      </w:r>
      <w:r>
        <w:rPr>
          <w:rFonts w:ascii="宋体" w:hAnsi="宋体"/>
        </w:rPr>
        <w:t>7</w:t>
      </w:r>
      <w:r>
        <w:rPr>
          <w:rFonts w:hint="eastAsia" w:ascii="宋体" w:hAnsi="宋体"/>
        </w:rPr>
        <w:t>天前通知承包人，承包人应会同监理人在约定的时间内，赴交货地点共同进行验收。由发包人提供的材料和工程设备验收后，由承包人负责接收、运输和保管。</w:t>
      </w:r>
    </w:p>
    <w:p w14:paraId="0B6A8671">
      <w:pPr>
        <w:spacing w:line="360" w:lineRule="auto"/>
        <w:ind w:firstLine="420" w:firstLineChars="200"/>
        <w:rPr>
          <w:rFonts w:ascii="宋体"/>
        </w:rPr>
      </w:pPr>
      <w:r>
        <w:rPr>
          <w:rFonts w:ascii="宋体" w:hAnsi="宋体"/>
        </w:rPr>
        <w:t xml:space="preserve">5.2.4  </w:t>
      </w:r>
      <w:r>
        <w:rPr>
          <w:rFonts w:hint="eastAsia" w:ascii="宋体" w:hAnsi="宋体"/>
        </w:rPr>
        <w:t>发包人要求向承包人提前交货的，承包人不得拒绝，但发包人应承担承包人由此增加的费用。</w:t>
      </w:r>
    </w:p>
    <w:p w14:paraId="5FB2B6EF">
      <w:pPr>
        <w:spacing w:line="360" w:lineRule="auto"/>
        <w:ind w:firstLine="420" w:firstLineChars="200"/>
        <w:rPr>
          <w:rFonts w:ascii="宋体"/>
        </w:rPr>
      </w:pPr>
      <w:r>
        <w:rPr>
          <w:rFonts w:ascii="宋体" w:hAnsi="宋体"/>
        </w:rPr>
        <w:t xml:space="preserve">5.2.5  </w:t>
      </w:r>
      <w:r>
        <w:rPr>
          <w:rFonts w:hint="eastAsia" w:ascii="宋体" w:hAnsi="宋体"/>
        </w:rPr>
        <w:t>承包人要求更改交货日期或地点的，应事先报请监理人批准。由于承包人要求更改交货时间或地点所增加的费用和（或）工期延误由承包人承担。</w:t>
      </w:r>
    </w:p>
    <w:p w14:paraId="023E628F">
      <w:pPr>
        <w:spacing w:line="360" w:lineRule="auto"/>
        <w:ind w:firstLine="420" w:firstLineChars="200"/>
        <w:rPr>
          <w:rFonts w:ascii="宋体"/>
        </w:rPr>
      </w:pPr>
      <w:r>
        <w:rPr>
          <w:rFonts w:ascii="宋体" w:hAnsi="宋体"/>
        </w:rPr>
        <w:t xml:space="preserve">5.2.6  </w:t>
      </w:r>
      <w:r>
        <w:rPr>
          <w:rFonts w:hint="eastAsia" w:ascii="宋体" w:hAnsi="宋体"/>
        </w:rPr>
        <w:t>发包人提供的材料和工程设备的规格、数量或质量不符合合同要求，或由于发包人原因发生交货日期延误及交货地点变更等情况的，发包人应承担由此增加的费用和（或）工期延误，并向承包人支付合理利润。</w:t>
      </w:r>
    </w:p>
    <w:p w14:paraId="6E4C264B">
      <w:pPr>
        <w:keepNext/>
        <w:keepLines/>
        <w:spacing w:beforeLines="50" w:afterLines="50" w:line="360" w:lineRule="auto"/>
        <w:outlineLvl w:val="2"/>
        <w:rPr>
          <w:rFonts w:ascii="宋体" w:hAnsi="宋体"/>
          <w:sz w:val="24"/>
          <w:szCs w:val="20"/>
        </w:rPr>
      </w:pPr>
      <w:bookmarkStart w:id="925" w:name="_Toc490222536"/>
      <w:bookmarkStart w:id="926" w:name="_Toc117597517"/>
      <w:bookmarkStart w:id="927" w:name="_Toc497213767"/>
      <w:bookmarkStart w:id="928" w:name="_Toc489279902"/>
      <w:bookmarkStart w:id="929" w:name="_Toc486580091"/>
      <w:r>
        <w:rPr>
          <w:rFonts w:ascii="宋体" w:hAnsi="宋体"/>
          <w:sz w:val="24"/>
          <w:szCs w:val="20"/>
        </w:rPr>
        <w:t xml:space="preserve">5.3  </w:t>
      </w:r>
      <w:r>
        <w:rPr>
          <w:rFonts w:hint="eastAsia" w:ascii="宋体" w:hAnsi="宋体"/>
          <w:sz w:val="24"/>
          <w:szCs w:val="20"/>
        </w:rPr>
        <w:t>材料和工程设备专用于合同工程</w:t>
      </w:r>
      <w:bookmarkEnd w:id="925"/>
      <w:bookmarkEnd w:id="926"/>
      <w:bookmarkEnd w:id="927"/>
      <w:bookmarkEnd w:id="928"/>
      <w:bookmarkEnd w:id="929"/>
    </w:p>
    <w:p w14:paraId="70DC3B2F">
      <w:pPr>
        <w:spacing w:line="360" w:lineRule="auto"/>
        <w:ind w:firstLine="420" w:firstLineChars="200"/>
        <w:rPr>
          <w:rFonts w:ascii="宋体"/>
        </w:rPr>
      </w:pPr>
      <w:r>
        <w:rPr>
          <w:rFonts w:ascii="宋体" w:hAnsi="宋体"/>
        </w:rPr>
        <w:t xml:space="preserve">5.3.1  </w:t>
      </w:r>
      <w:r>
        <w:rPr>
          <w:rFonts w:hint="eastAsia" w:ascii="宋体" w:hAnsi="宋体"/>
        </w:rPr>
        <w:t>运入施工场地的材料、工程设备，包括备品备件、安装专用工器具与随机资料，必须专用于合同工程，未经监理人同意，承包人不得运出施工场地或挪作他用。</w:t>
      </w:r>
    </w:p>
    <w:p w14:paraId="09B33FD3">
      <w:pPr>
        <w:spacing w:line="360" w:lineRule="auto"/>
        <w:ind w:firstLine="420" w:firstLineChars="200"/>
        <w:rPr>
          <w:rFonts w:ascii="宋体"/>
        </w:rPr>
      </w:pPr>
      <w:r>
        <w:rPr>
          <w:rFonts w:ascii="宋体" w:hAnsi="宋体"/>
        </w:rPr>
        <w:t xml:space="preserve">5.3.2  </w:t>
      </w:r>
      <w:r>
        <w:rPr>
          <w:rFonts w:hint="eastAsia" w:ascii="宋体" w:hAnsi="宋体"/>
        </w:rPr>
        <w:t>随同工程设备运入施工场地的备品备件、专用工器具与随机资料，应由承包人会同监理人按供货人的装箱单清点后共同封存，未经监理人同意不得启用。承包人因合同工作需要使用上述物品时，应向监理人提出申请。</w:t>
      </w:r>
    </w:p>
    <w:p w14:paraId="7CF34FFC">
      <w:pPr>
        <w:keepNext/>
        <w:keepLines/>
        <w:spacing w:beforeLines="50" w:afterLines="50" w:line="360" w:lineRule="auto"/>
        <w:outlineLvl w:val="2"/>
        <w:rPr>
          <w:rFonts w:ascii="宋体" w:hAnsi="宋体"/>
          <w:sz w:val="24"/>
          <w:szCs w:val="20"/>
        </w:rPr>
      </w:pPr>
      <w:bookmarkStart w:id="930" w:name="_Toc117597518"/>
      <w:bookmarkStart w:id="931" w:name="_Toc489279903"/>
      <w:bookmarkStart w:id="932" w:name="_Toc490222537"/>
      <w:bookmarkStart w:id="933" w:name="_Toc497213768"/>
      <w:bookmarkStart w:id="934" w:name="_Toc486580092"/>
      <w:r>
        <w:rPr>
          <w:rFonts w:ascii="宋体" w:hAnsi="宋体"/>
          <w:sz w:val="24"/>
          <w:szCs w:val="20"/>
        </w:rPr>
        <w:t xml:space="preserve">5.4  </w:t>
      </w:r>
      <w:r>
        <w:rPr>
          <w:rFonts w:hint="eastAsia" w:ascii="宋体" w:hAnsi="宋体"/>
          <w:sz w:val="24"/>
          <w:szCs w:val="20"/>
        </w:rPr>
        <w:t>禁止使用不合格的材料和工程设备</w:t>
      </w:r>
      <w:bookmarkEnd w:id="930"/>
      <w:bookmarkEnd w:id="931"/>
      <w:bookmarkEnd w:id="932"/>
      <w:bookmarkEnd w:id="933"/>
      <w:bookmarkEnd w:id="934"/>
    </w:p>
    <w:p w14:paraId="46BCF43F">
      <w:pPr>
        <w:spacing w:line="360" w:lineRule="auto"/>
        <w:ind w:firstLine="420" w:firstLineChars="200"/>
        <w:rPr>
          <w:rFonts w:ascii="宋体"/>
        </w:rPr>
      </w:pPr>
      <w:r>
        <w:rPr>
          <w:rFonts w:ascii="宋体" w:hAnsi="宋体"/>
        </w:rPr>
        <w:t xml:space="preserve">5.4.1  </w:t>
      </w:r>
      <w:r>
        <w:rPr>
          <w:rFonts w:hint="eastAsia" w:ascii="宋体" w:hAnsi="宋体"/>
        </w:rPr>
        <w:t>监理人有权拒绝承包人提供的不合格材料或工程设备，并要求承包人立即进行更换。监理人应在更换后再次进行检查和检验，由此增加的费用和（或）工期延误由承包人承担。</w:t>
      </w:r>
    </w:p>
    <w:p w14:paraId="3D4CDD54">
      <w:pPr>
        <w:spacing w:line="360" w:lineRule="auto"/>
        <w:ind w:firstLine="420" w:firstLineChars="200"/>
        <w:rPr>
          <w:rFonts w:ascii="宋体"/>
        </w:rPr>
      </w:pPr>
      <w:r>
        <w:rPr>
          <w:rFonts w:ascii="宋体" w:hAnsi="宋体"/>
        </w:rPr>
        <w:t xml:space="preserve">5.4.2  </w:t>
      </w:r>
      <w:r>
        <w:rPr>
          <w:rFonts w:hint="eastAsia" w:ascii="宋体" w:hAnsi="宋体"/>
        </w:rPr>
        <w:t>监理人发现承包人使用了不合格的材料和工程设备，应即时发出指示要求承包人立即改正，并禁止在工程中继续使用不合格的材料和工程设备。</w:t>
      </w:r>
    </w:p>
    <w:p w14:paraId="224B5D1E">
      <w:pPr>
        <w:spacing w:line="360" w:lineRule="auto"/>
        <w:ind w:firstLine="420" w:firstLineChars="200"/>
        <w:rPr>
          <w:rFonts w:ascii="宋体"/>
        </w:rPr>
      </w:pPr>
      <w:r>
        <w:rPr>
          <w:rFonts w:ascii="宋体" w:hAnsi="宋体"/>
        </w:rPr>
        <w:t xml:space="preserve">5.4.3  </w:t>
      </w:r>
      <w:r>
        <w:rPr>
          <w:rFonts w:hint="eastAsia" w:ascii="宋体" w:hAnsi="宋体"/>
        </w:rPr>
        <w:t>发包人提供的材料或工程设备不符合合同要求的，承包人有权拒绝，并可要求发包人更换，由此增加的费用和（或）工期延误由发包人承担。</w:t>
      </w:r>
    </w:p>
    <w:p w14:paraId="530CF2F9">
      <w:pPr>
        <w:keepNext/>
        <w:keepLines/>
        <w:spacing w:beforeLines="50" w:afterLines="50" w:line="360" w:lineRule="auto"/>
        <w:outlineLvl w:val="1"/>
        <w:rPr>
          <w:rFonts w:ascii="宋体" w:hAnsi="宋体" w:cs="宋体"/>
          <w:sz w:val="28"/>
          <w:szCs w:val="20"/>
        </w:rPr>
      </w:pPr>
      <w:bookmarkStart w:id="935" w:name="_Toc489279904"/>
      <w:bookmarkStart w:id="936" w:name="_Toc117597519"/>
      <w:bookmarkStart w:id="937" w:name="_Toc486580093"/>
      <w:bookmarkStart w:id="938" w:name="_Toc497213769"/>
      <w:bookmarkStart w:id="939" w:name="_Toc490222538"/>
      <w:r>
        <w:rPr>
          <w:rFonts w:ascii="宋体" w:hAnsi="宋体" w:cs="宋体"/>
          <w:sz w:val="28"/>
          <w:szCs w:val="20"/>
        </w:rPr>
        <w:t>6.</w:t>
      </w:r>
      <w:r>
        <w:rPr>
          <w:rFonts w:hint="eastAsia" w:ascii="宋体" w:hAnsi="宋体" w:cs="宋体"/>
          <w:sz w:val="28"/>
          <w:szCs w:val="20"/>
        </w:rPr>
        <w:t>施工设备和临时设施</w:t>
      </w:r>
      <w:bookmarkEnd w:id="935"/>
      <w:bookmarkEnd w:id="936"/>
      <w:bookmarkEnd w:id="937"/>
      <w:bookmarkEnd w:id="938"/>
      <w:bookmarkEnd w:id="939"/>
    </w:p>
    <w:p w14:paraId="48BFA01D">
      <w:pPr>
        <w:keepNext/>
        <w:keepLines/>
        <w:spacing w:beforeLines="50" w:afterLines="50" w:line="360" w:lineRule="auto"/>
        <w:outlineLvl w:val="2"/>
        <w:rPr>
          <w:rFonts w:ascii="宋体" w:hAnsi="宋体"/>
          <w:sz w:val="24"/>
          <w:szCs w:val="20"/>
        </w:rPr>
      </w:pPr>
      <w:bookmarkStart w:id="940" w:name="_Toc490222539"/>
      <w:bookmarkStart w:id="941" w:name="_Toc489279905"/>
      <w:bookmarkStart w:id="942" w:name="_Toc497213770"/>
      <w:bookmarkStart w:id="943" w:name="_Toc486580094"/>
      <w:bookmarkStart w:id="944" w:name="_Toc117597520"/>
      <w:r>
        <w:rPr>
          <w:rFonts w:ascii="宋体" w:hAnsi="宋体"/>
          <w:sz w:val="24"/>
          <w:szCs w:val="20"/>
        </w:rPr>
        <w:t xml:space="preserve">6.1  </w:t>
      </w:r>
      <w:r>
        <w:rPr>
          <w:rFonts w:hint="eastAsia" w:ascii="宋体" w:hAnsi="宋体"/>
          <w:sz w:val="24"/>
          <w:szCs w:val="20"/>
        </w:rPr>
        <w:t>承包人提供的施工设备和临时设施</w:t>
      </w:r>
      <w:bookmarkEnd w:id="940"/>
      <w:bookmarkEnd w:id="941"/>
      <w:bookmarkEnd w:id="942"/>
      <w:bookmarkEnd w:id="943"/>
      <w:bookmarkEnd w:id="944"/>
    </w:p>
    <w:p w14:paraId="3354D558">
      <w:pPr>
        <w:spacing w:line="360" w:lineRule="auto"/>
        <w:ind w:firstLine="420" w:firstLineChars="200"/>
        <w:rPr>
          <w:rFonts w:ascii="宋体"/>
        </w:rPr>
      </w:pPr>
      <w:r>
        <w:rPr>
          <w:rFonts w:ascii="宋体" w:hAnsi="宋体"/>
        </w:rPr>
        <w:t xml:space="preserve">6.1.1  </w:t>
      </w:r>
      <w:r>
        <w:rPr>
          <w:rFonts w:hint="eastAsia" w:ascii="宋体" w:hAnsi="宋体"/>
        </w:rPr>
        <w:t>承包人应按合同进度计划的要求，及时配置施工设备和修建临时设施。进入施工场地的承包人设备需经监理人核查后才能投入使用。承包人更换合同约定的承包人设备的，应报监理人批准。</w:t>
      </w:r>
    </w:p>
    <w:p w14:paraId="5343EB55">
      <w:pPr>
        <w:spacing w:line="360" w:lineRule="auto"/>
        <w:ind w:firstLine="420" w:firstLineChars="200"/>
        <w:rPr>
          <w:rFonts w:ascii="宋体"/>
        </w:rPr>
      </w:pPr>
      <w:r>
        <w:rPr>
          <w:rFonts w:ascii="宋体" w:hAnsi="宋体"/>
        </w:rPr>
        <w:t xml:space="preserve">6.1.2  </w:t>
      </w:r>
      <w:r>
        <w:rPr>
          <w:rFonts w:hint="eastAsia" w:ascii="宋体" w:hAnsi="宋体"/>
        </w:rPr>
        <w:t>除合同另有约定外，承包人应承担自行修建临时设施的费用。需要临时占地的，应由发包人办理申请手续并承担相应费用。承包人自行修建临时设施的范围以及所需临时占地</w:t>
      </w:r>
      <w:r>
        <w:rPr>
          <w:rFonts w:hint="eastAsia" w:ascii="黑体" w:hAnsi="黑体" w:eastAsia="黑体"/>
        </w:rPr>
        <w:t>见合同条款专用部分。</w:t>
      </w:r>
    </w:p>
    <w:p w14:paraId="3B6D2857">
      <w:pPr>
        <w:keepNext/>
        <w:keepLines/>
        <w:spacing w:beforeLines="50" w:afterLines="50" w:line="360" w:lineRule="auto"/>
        <w:outlineLvl w:val="2"/>
        <w:rPr>
          <w:rFonts w:ascii="宋体" w:hAnsi="宋体"/>
          <w:sz w:val="24"/>
          <w:szCs w:val="20"/>
        </w:rPr>
      </w:pPr>
      <w:bookmarkStart w:id="945" w:name="_Toc486580095"/>
      <w:bookmarkStart w:id="946" w:name="_Toc117597521"/>
      <w:bookmarkStart w:id="947" w:name="_Toc490222540"/>
      <w:bookmarkStart w:id="948" w:name="_Toc497213771"/>
      <w:bookmarkStart w:id="949" w:name="_Toc489279906"/>
      <w:r>
        <w:rPr>
          <w:rFonts w:ascii="宋体" w:hAnsi="宋体"/>
          <w:sz w:val="24"/>
          <w:szCs w:val="20"/>
        </w:rPr>
        <w:t xml:space="preserve">6.2  </w:t>
      </w:r>
      <w:r>
        <w:rPr>
          <w:rFonts w:hint="eastAsia" w:ascii="宋体" w:hAnsi="宋体"/>
          <w:sz w:val="24"/>
          <w:szCs w:val="20"/>
        </w:rPr>
        <w:t>发包人提供的施工设备和临时设施</w:t>
      </w:r>
      <w:bookmarkEnd w:id="945"/>
      <w:bookmarkEnd w:id="946"/>
      <w:bookmarkEnd w:id="947"/>
      <w:bookmarkEnd w:id="948"/>
      <w:bookmarkEnd w:id="949"/>
    </w:p>
    <w:p w14:paraId="71F96212">
      <w:pPr>
        <w:spacing w:line="360" w:lineRule="auto"/>
        <w:ind w:firstLine="420" w:firstLineChars="200"/>
        <w:rPr>
          <w:rFonts w:ascii="宋体"/>
        </w:rPr>
      </w:pPr>
      <w:r>
        <w:rPr>
          <w:rFonts w:hint="eastAsia" w:ascii="宋体" w:hAnsi="宋体"/>
        </w:rPr>
        <w:t>发包人提供的施工设备或临时设施，以及相关运行、维护、拆除、清运费用的承担人</w:t>
      </w:r>
      <w:r>
        <w:rPr>
          <w:rFonts w:hint="eastAsia" w:ascii="黑体" w:hAnsi="黑体" w:eastAsia="黑体"/>
        </w:rPr>
        <w:t>见合同条款专用部分。</w:t>
      </w:r>
    </w:p>
    <w:p w14:paraId="6C38FF73">
      <w:pPr>
        <w:keepNext/>
        <w:keepLines/>
        <w:spacing w:beforeLines="50" w:afterLines="50" w:line="360" w:lineRule="auto"/>
        <w:outlineLvl w:val="2"/>
        <w:rPr>
          <w:rFonts w:ascii="宋体" w:hAnsi="宋体"/>
          <w:sz w:val="24"/>
          <w:szCs w:val="20"/>
        </w:rPr>
      </w:pPr>
      <w:bookmarkStart w:id="950" w:name="_Toc486580096"/>
      <w:bookmarkStart w:id="951" w:name="_Toc117597522"/>
      <w:bookmarkStart w:id="952" w:name="_Toc489279907"/>
      <w:bookmarkStart w:id="953" w:name="_Toc497213772"/>
      <w:bookmarkStart w:id="954" w:name="_Toc490222541"/>
      <w:r>
        <w:rPr>
          <w:rFonts w:ascii="宋体" w:hAnsi="宋体"/>
          <w:sz w:val="24"/>
          <w:szCs w:val="20"/>
        </w:rPr>
        <w:t xml:space="preserve">6.3  </w:t>
      </w:r>
      <w:r>
        <w:rPr>
          <w:rFonts w:hint="eastAsia" w:ascii="宋体" w:hAnsi="宋体"/>
          <w:sz w:val="24"/>
          <w:szCs w:val="20"/>
        </w:rPr>
        <w:t>要求承包人增加或更换施工设备</w:t>
      </w:r>
      <w:bookmarkEnd w:id="950"/>
      <w:bookmarkEnd w:id="951"/>
      <w:bookmarkEnd w:id="952"/>
      <w:bookmarkEnd w:id="953"/>
      <w:bookmarkEnd w:id="954"/>
    </w:p>
    <w:p w14:paraId="38764007">
      <w:pPr>
        <w:spacing w:line="360" w:lineRule="auto"/>
        <w:ind w:firstLine="420" w:firstLineChars="200"/>
        <w:rPr>
          <w:rFonts w:ascii="宋体"/>
        </w:rPr>
      </w:pPr>
      <w:r>
        <w:rPr>
          <w:rFonts w:hint="eastAsia" w:ascii="宋体" w:hAnsi="宋体"/>
        </w:rPr>
        <w:t>承包人使用的施工设备不能满足合同进度计划和（或）质量要求时，监理人有权要求承包人增加或更换施工设备，承包人应及时增加或更换，由此增加的费用和（或）工期延误由承包人承担。</w:t>
      </w:r>
    </w:p>
    <w:p w14:paraId="3832BC1C">
      <w:pPr>
        <w:keepNext/>
        <w:keepLines/>
        <w:spacing w:beforeLines="50" w:afterLines="50" w:line="360" w:lineRule="auto"/>
        <w:outlineLvl w:val="2"/>
        <w:rPr>
          <w:rFonts w:ascii="宋体" w:hAnsi="宋体"/>
          <w:sz w:val="24"/>
          <w:szCs w:val="20"/>
        </w:rPr>
      </w:pPr>
      <w:bookmarkStart w:id="955" w:name="_Toc489279908"/>
      <w:bookmarkStart w:id="956" w:name="_Toc490222542"/>
      <w:bookmarkStart w:id="957" w:name="_Toc497213773"/>
      <w:bookmarkStart w:id="958" w:name="_Toc117597523"/>
      <w:bookmarkStart w:id="959" w:name="_Toc486580097"/>
      <w:r>
        <w:rPr>
          <w:rFonts w:ascii="宋体" w:hAnsi="宋体"/>
          <w:sz w:val="24"/>
          <w:szCs w:val="20"/>
        </w:rPr>
        <w:t xml:space="preserve">6.4  </w:t>
      </w:r>
      <w:r>
        <w:rPr>
          <w:rFonts w:hint="eastAsia" w:ascii="宋体" w:hAnsi="宋体"/>
          <w:sz w:val="24"/>
          <w:szCs w:val="20"/>
        </w:rPr>
        <w:t>施工设备和临时设施专用于合同工程</w:t>
      </w:r>
      <w:bookmarkEnd w:id="955"/>
      <w:bookmarkEnd w:id="956"/>
      <w:bookmarkEnd w:id="957"/>
      <w:bookmarkEnd w:id="958"/>
      <w:bookmarkEnd w:id="959"/>
    </w:p>
    <w:p w14:paraId="0189F63E">
      <w:pPr>
        <w:spacing w:line="360" w:lineRule="auto"/>
        <w:ind w:firstLine="420" w:firstLineChars="200"/>
        <w:rPr>
          <w:rFonts w:ascii="宋体"/>
        </w:rPr>
      </w:pPr>
      <w:r>
        <w:rPr>
          <w:rFonts w:ascii="宋体" w:hAnsi="宋体"/>
        </w:rPr>
        <w:t xml:space="preserve">6.4.1  </w:t>
      </w:r>
      <w:r>
        <w:rPr>
          <w:rFonts w:hint="eastAsia" w:ascii="宋体" w:hAnsi="宋体"/>
        </w:rPr>
        <w:t>除为第</w:t>
      </w:r>
      <w:r>
        <w:rPr>
          <w:rFonts w:ascii="宋体" w:hAnsi="宋体"/>
        </w:rPr>
        <w:t>4.1.8</w:t>
      </w:r>
      <w:r>
        <w:rPr>
          <w:rFonts w:hint="eastAsia" w:ascii="宋体" w:hAnsi="宋体"/>
        </w:rPr>
        <w:t>项约定的其他独立承包人和监理人指示的他人提供条件外</w:t>
      </w:r>
      <w:r>
        <w:rPr>
          <w:rFonts w:ascii="宋体"/>
        </w:rPr>
        <w:t>,</w:t>
      </w:r>
      <w:r>
        <w:rPr>
          <w:rFonts w:hint="eastAsia" w:ascii="宋体" w:hAnsi="宋体"/>
        </w:rPr>
        <w:t>承包人运入施工场地的所有施工设备以及在施工场地建设的临时设施仅限于用于合同工程。未经监理人同意，不得将上述施工设备和临时设施中的任何部分运出施工场地或挪作他用。</w:t>
      </w:r>
    </w:p>
    <w:p w14:paraId="6A6036CE">
      <w:pPr>
        <w:spacing w:line="360" w:lineRule="auto"/>
        <w:ind w:firstLine="420" w:firstLineChars="200"/>
        <w:rPr>
          <w:rFonts w:ascii="宋体"/>
        </w:rPr>
      </w:pPr>
      <w:r>
        <w:rPr>
          <w:rFonts w:ascii="宋体" w:hAnsi="宋体"/>
        </w:rPr>
        <w:t xml:space="preserve">6.4.2  </w:t>
      </w:r>
      <w:r>
        <w:rPr>
          <w:rFonts w:hint="eastAsia" w:ascii="宋体" w:hAnsi="宋体"/>
        </w:rPr>
        <w:t>经监理人同意，承包人可根据合同进度计划撤走闲置的施工设备。</w:t>
      </w:r>
    </w:p>
    <w:p w14:paraId="3A05382E">
      <w:pPr>
        <w:keepNext/>
        <w:keepLines/>
        <w:spacing w:beforeLines="50" w:afterLines="50" w:line="360" w:lineRule="auto"/>
        <w:outlineLvl w:val="1"/>
        <w:rPr>
          <w:rFonts w:ascii="宋体" w:hAnsi="宋体" w:cs="宋体"/>
          <w:sz w:val="28"/>
          <w:szCs w:val="20"/>
        </w:rPr>
      </w:pPr>
      <w:bookmarkStart w:id="960" w:name="_Toc497213774"/>
      <w:bookmarkStart w:id="961" w:name="_Toc117597524"/>
      <w:bookmarkStart w:id="962" w:name="_Toc490222543"/>
      <w:bookmarkStart w:id="963" w:name="_Toc489279909"/>
      <w:bookmarkStart w:id="964" w:name="_Toc486580098"/>
      <w:r>
        <w:rPr>
          <w:rFonts w:ascii="宋体" w:hAnsi="宋体" w:cs="宋体"/>
          <w:sz w:val="28"/>
          <w:szCs w:val="20"/>
        </w:rPr>
        <w:t>7.</w:t>
      </w:r>
      <w:r>
        <w:rPr>
          <w:rFonts w:hint="eastAsia" w:ascii="宋体" w:hAnsi="宋体" w:cs="宋体"/>
          <w:sz w:val="28"/>
          <w:szCs w:val="20"/>
        </w:rPr>
        <w:t>交通运输</w:t>
      </w:r>
      <w:bookmarkEnd w:id="960"/>
      <w:bookmarkEnd w:id="961"/>
      <w:bookmarkEnd w:id="962"/>
      <w:bookmarkEnd w:id="963"/>
      <w:bookmarkEnd w:id="964"/>
    </w:p>
    <w:p w14:paraId="358D1C21">
      <w:pPr>
        <w:keepNext/>
        <w:keepLines/>
        <w:spacing w:beforeLines="50" w:afterLines="50" w:line="360" w:lineRule="auto"/>
        <w:outlineLvl w:val="2"/>
        <w:rPr>
          <w:rFonts w:ascii="宋体" w:hAnsi="宋体"/>
          <w:sz w:val="24"/>
          <w:szCs w:val="20"/>
        </w:rPr>
      </w:pPr>
      <w:bookmarkStart w:id="965" w:name="_Toc117597525"/>
      <w:bookmarkStart w:id="966" w:name="_Toc497213775"/>
      <w:bookmarkStart w:id="967" w:name="_Toc490222544"/>
      <w:bookmarkStart w:id="968" w:name="_Toc486580099"/>
      <w:bookmarkStart w:id="969" w:name="_Toc489279910"/>
      <w:r>
        <w:rPr>
          <w:rFonts w:ascii="宋体" w:hAnsi="宋体"/>
          <w:sz w:val="24"/>
          <w:szCs w:val="20"/>
        </w:rPr>
        <w:t xml:space="preserve">7.1  </w:t>
      </w:r>
      <w:r>
        <w:rPr>
          <w:rFonts w:hint="eastAsia" w:ascii="宋体" w:hAnsi="宋体"/>
          <w:sz w:val="24"/>
          <w:szCs w:val="20"/>
        </w:rPr>
        <w:t>道路通行权和场外设施</w:t>
      </w:r>
      <w:bookmarkEnd w:id="965"/>
      <w:bookmarkEnd w:id="966"/>
      <w:bookmarkEnd w:id="967"/>
      <w:bookmarkEnd w:id="968"/>
      <w:bookmarkEnd w:id="969"/>
    </w:p>
    <w:p w14:paraId="0B8772BA">
      <w:pPr>
        <w:spacing w:line="360" w:lineRule="auto"/>
        <w:ind w:firstLine="420" w:firstLineChars="200"/>
        <w:rPr>
          <w:rFonts w:ascii="宋体"/>
        </w:rPr>
      </w:pPr>
      <w:r>
        <w:rPr>
          <w:rFonts w:hint="eastAsia" w:ascii="宋体" w:hAnsi="宋体"/>
        </w:rPr>
        <w:t>除合同条款专用部分另有约定外，发包人应根据合同工程的施工需要，负责办理取得出入施工场地的专用和临时道路的通行权，以及取得为工程建设所需修建场外设施的权利，并承担有关费用。承包人应协助发包人办理上述手续。</w:t>
      </w:r>
    </w:p>
    <w:p w14:paraId="1F4C1726">
      <w:pPr>
        <w:keepNext/>
        <w:keepLines/>
        <w:spacing w:beforeLines="50" w:afterLines="50" w:line="360" w:lineRule="auto"/>
        <w:outlineLvl w:val="2"/>
        <w:rPr>
          <w:rFonts w:ascii="宋体" w:hAnsi="宋体"/>
          <w:sz w:val="24"/>
          <w:szCs w:val="20"/>
        </w:rPr>
      </w:pPr>
      <w:bookmarkStart w:id="970" w:name="_Toc117597526"/>
      <w:bookmarkStart w:id="971" w:name="_Toc486580100"/>
      <w:bookmarkStart w:id="972" w:name="_Toc497213776"/>
      <w:bookmarkStart w:id="973" w:name="_Toc490222545"/>
      <w:bookmarkStart w:id="974" w:name="_Toc489279911"/>
      <w:r>
        <w:rPr>
          <w:rFonts w:ascii="宋体" w:hAnsi="宋体"/>
          <w:sz w:val="24"/>
          <w:szCs w:val="20"/>
        </w:rPr>
        <w:t xml:space="preserve">7.2  </w:t>
      </w:r>
      <w:r>
        <w:rPr>
          <w:rFonts w:hint="eastAsia" w:ascii="宋体" w:hAnsi="宋体"/>
          <w:sz w:val="24"/>
          <w:szCs w:val="20"/>
        </w:rPr>
        <w:t>场内施工道路</w:t>
      </w:r>
      <w:bookmarkEnd w:id="970"/>
      <w:bookmarkEnd w:id="971"/>
      <w:bookmarkEnd w:id="972"/>
      <w:bookmarkEnd w:id="973"/>
      <w:bookmarkEnd w:id="974"/>
    </w:p>
    <w:p w14:paraId="7CCE7F82">
      <w:pPr>
        <w:spacing w:line="360" w:lineRule="auto"/>
        <w:ind w:firstLine="420" w:firstLineChars="200"/>
        <w:rPr>
          <w:rFonts w:ascii="宋体"/>
        </w:rPr>
      </w:pPr>
      <w:r>
        <w:rPr>
          <w:rFonts w:ascii="宋体" w:hAnsi="宋体"/>
        </w:rPr>
        <w:t xml:space="preserve">7.2.1  </w:t>
      </w:r>
      <w:r>
        <w:rPr>
          <w:rFonts w:hint="eastAsia" w:ascii="宋体" w:hAnsi="宋体"/>
        </w:rPr>
        <w:t>除合同条款专用部分另有约定外，承包人应负责修建、维修、养护和管理施工所需的临时道路和交通设施，包括维修、养护和管理发包人提供的道路和交通设施，并承担相应费用。</w:t>
      </w:r>
    </w:p>
    <w:p w14:paraId="4E2BAEAA">
      <w:pPr>
        <w:spacing w:line="360" w:lineRule="auto"/>
        <w:ind w:firstLine="420" w:firstLineChars="200"/>
        <w:rPr>
          <w:rFonts w:ascii="宋体"/>
        </w:rPr>
      </w:pPr>
      <w:r>
        <w:rPr>
          <w:rFonts w:ascii="宋体" w:hAnsi="宋体"/>
        </w:rPr>
        <w:t xml:space="preserve">7.2.2  </w:t>
      </w:r>
      <w:r>
        <w:rPr>
          <w:rFonts w:hint="eastAsia" w:ascii="宋体" w:hAnsi="宋体"/>
        </w:rPr>
        <w:t>发包人和监理人有权无偿使用承包人修建的临时道路和交通设施，不需要交纳任何费用。</w:t>
      </w:r>
    </w:p>
    <w:p w14:paraId="1169F2F9">
      <w:pPr>
        <w:keepNext/>
        <w:keepLines/>
        <w:spacing w:beforeLines="50" w:afterLines="50" w:line="360" w:lineRule="auto"/>
        <w:outlineLvl w:val="2"/>
        <w:rPr>
          <w:rFonts w:ascii="宋体" w:hAnsi="宋体"/>
          <w:sz w:val="24"/>
          <w:szCs w:val="20"/>
        </w:rPr>
      </w:pPr>
      <w:bookmarkStart w:id="975" w:name="_Toc497213777"/>
      <w:bookmarkStart w:id="976" w:name="_Toc489279912"/>
      <w:bookmarkStart w:id="977" w:name="_Toc117597527"/>
      <w:bookmarkStart w:id="978" w:name="_Toc486580101"/>
      <w:bookmarkStart w:id="979" w:name="_Toc490222546"/>
      <w:r>
        <w:rPr>
          <w:rFonts w:ascii="宋体" w:hAnsi="宋体"/>
          <w:sz w:val="24"/>
          <w:szCs w:val="20"/>
        </w:rPr>
        <w:t xml:space="preserve">7.3  </w:t>
      </w:r>
      <w:r>
        <w:rPr>
          <w:rFonts w:hint="eastAsia" w:ascii="宋体" w:hAnsi="宋体"/>
          <w:sz w:val="24"/>
          <w:szCs w:val="20"/>
        </w:rPr>
        <w:t>场外交通</w:t>
      </w:r>
      <w:bookmarkEnd w:id="975"/>
      <w:bookmarkEnd w:id="976"/>
      <w:bookmarkEnd w:id="977"/>
      <w:bookmarkEnd w:id="978"/>
      <w:bookmarkEnd w:id="979"/>
    </w:p>
    <w:p w14:paraId="18D1145E">
      <w:pPr>
        <w:spacing w:line="360" w:lineRule="auto"/>
        <w:ind w:firstLine="420" w:firstLineChars="200"/>
        <w:rPr>
          <w:rFonts w:ascii="宋体"/>
        </w:rPr>
      </w:pPr>
      <w:r>
        <w:rPr>
          <w:rFonts w:ascii="宋体" w:hAnsi="宋体"/>
        </w:rPr>
        <w:t xml:space="preserve">7.3.1  </w:t>
      </w:r>
      <w:r>
        <w:rPr>
          <w:rFonts w:hint="eastAsia" w:ascii="宋体" w:hAnsi="宋体"/>
        </w:rPr>
        <w:t>承包人车辆外出行驶所需的场外公共道路的通行费、养路费和税款等由承包人承担。</w:t>
      </w:r>
    </w:p>
    <w:p w14:paraId="0334D88B">
      <w:pPr>
        <w:spacing w:line="360" w:lineRule="auto"/>
        <w:ind w:firstLine="420" w:firstLineChars="200"/>
        <w:rPr>
          <w:rFonts w:ascii="宋体"/>
        </w:rPr>
      </w:pPr>
      <w:r>
        <w:rPr>
          <w:rFonts w:ascii="宋体" w:hAnsi="宋体"/>
        </w:rPr>
        <w:t xml:space="preserve">7.3.2  </w:t>
      </w:r>
      <w:r>
        <w:rPr>
          <w:rFonts w:hint="eastAsia" w:ascii="宋体" w:hAnsi="宋体"/>
        </w:rPr>
        <w:t>承包人应遵守有关交通法规，严格按照道路和桥梁的限制荷重安全行驶，并服从交通管理部门的检查和监督。</w:t>
      </w:r>
    </w:p>
    <w:p w14:paraId="64C23939">
      <w:pPr>
        <w:keepNext/>
        <w:keepLines/>
        <w:spacing w:beforeLines="50" w:afterLines="50" w:line="360" w:lineRule="auto"/>
        <w:outlineLvl w:val="2"/>
        <w:rPr>
          <w:rFonts w:ascii="宋体" w:hAnsi="宋体"/>
          <w:sz w:val="24"/>
          <w:szCs w:val="20"/>
        </w:rPr>
      </w:pPr>
      <w:bookmarkStart w:id="980" w:name="_Toc489279913"/>
      <w:bookmarkStart w:id="981" w:name="_Toc497213778"/>
      <w:bookmarkStart w:id="982" w:name="_Toc490222547"/>
      <w:bookmarkStart w:id="983" w:name="_Toc117597528"/>
      <w:bookmarkStart w:id="984" w:name="_Toc486580102"/>
      <w:r>
        <w:rPr>
          <w:rFonts w:ascii="宋体" w:hAnsi="宋体"/>
          <w:sz w:val="24"/>
          <w:szCs w:val="20"/>
        </w:rPr>
        <w:t xml:space="preserve">7.4  </w:t>
      </w:r>
      <w:r>
        <w:rPr>
          <w:rFonts w:hint="eastAsia" w:ascii="宋体" w:hAnsi="宋体"/>
          <w:sz w:val="24"/>
          <w:szCs w:val="20"/>
        </w:rPr>
        <w:t>超大件和超重件的运输</w:t>
      </w:r>
      <w:bookmarkEnd w:id="980"/>
      <w:bookmarkEnd w:id="981"/>
      <w:bookmarkEnd w:id="982"/>
      <w:bookmarkEnd w:id="983"/>
      <w:bookmarkEnd w:id="984"/>
    </w:p>
    <w:p w14:paraId="19321096">
      <w:pPr>
        <w:spacing w:line="360" w:lineRule="auto"/>
        <w:ind w:firstLine="420" w:firstLineChars="200"/>
        <w:rPr>
          <w:rFonts w:ascii="宋体"/>
        </w:rPr>
      </w:pPr>
      <w:r>
        <w:rPr>
          <w:rFonts w:hint="eastAsia" w:ascii="宋体" w:hAnsi="宋体"/>
        </w:rPr>
        <w:t>由承包人负责运输的超大件或超重件，应由承包人负责向交通管理部门办理申请手续，发包人给予协助。运输超大件或超重件所需的道路和桥梁临时加固改造费用和其他有关费用，由承包人承担，但合同条款专用部分另有约定除外。</w:t>
      </w:r>
    </w:p>
    <w:p w14:paraId="4C676C84">
      <w:pPr>
        <w:keepNext/>
        <w:keepLines/>
        <w:spacing w:beforeLines="50" w:afterLines="50" w:line="360" w:lineRule="auto"/>
        <w:outlineLvl w:val="2"/>
        <w:rPr>
          <w:rFonts w:ascii="宋体" w:hAnsi="宋体"/>
          <w:sz w:val="24"/>
          <w:szCs w:val="20"/>
        </w:rPr>
      </w:pPr>
      <w:bookmarkStart w:id="985" w:name="_Toc497213779"/>
      <w:bookmarkStart w:id="986" w:name="_Toc117597529"/>
      <w:bookmarkStart w:id="987" w:name="_Toc489279914"/>
      <w:bookmarkStart w:id="988" w:name="_Toc490222548"/>
      <w:bookmarkStart w:id="989" w:name="_Toc486580103"/>
      <w:r>
        <w:rPr>
          <w:rFonts w:ascii="宋体" w:hAnsi="宋体"/>
          <w:sz w:val="24"/>
          <w:szCs w:val="20"/>
        </w:rPr>
        <w:t xml:space="preserve">7.5  </w:t>
      </w:r>
      <w:r>
        <w:rPr>
          <w:rFonts w:hint="eastAsia" w:ascii="宋体" w:hAnsi="宋体"/>
          <w:sz w:val="24"/>
          <w:szCs w:val="20"/>
        </w:rPr>
        <w:t>道路和桥梁的损坏责任</w:t>
      </w:r>
      <w:bookmarkEnd w:id="985"/>
      <w:bookmarkEnd w:id="986"/>
      <w:bookmarkEnd w:id="987"/>
      <w:bookmarkEnd w:id="988"/>
      <w:bookmarkEnd w:id="989"/>
    </w:p>
    <w:p w14:paraId="65E9B27A">
      <w:pPr>
        <w:spacing w:line="360" w:lineRule="auto"/>
        <w:ind w:firstLine="420" w:firstLineChars="200"/>
        <w:rPr>
          <w:rFonts w:ascii="宋体"/>
        </w:rPr>
      </w:pPr>
      <w:r>
        <w:rPr>
          <w:rFonts w:hint="eastAsia" w:ascii="宋体" w:hAnsi="宋体"/>
        </w:rPr>
        <w:t>因承包人运输造成施工场地内外公共道路和桥梁损坏的，由承包人承担修复损坏的全部费用和可能引起的赔偿。</w:t>
      </w:r>
    </w:p>
    <w:p w14:paraId="6D825F54">
      <w:pPr>
        <w:keepNext/>
        <w:keepLines/>
        <w:spacing w:beforeLines="50" w:afterLines="50" w:line="360" w:lineRule="auto"/>
        <w:outlineLvl w:val="2"/>
        <w:rPr>
          <w:rFonts w:ascii="宋体" w:hAnsi="宋体"/>
          <w:sz w:val="24"/>
          <w:szCs w:val="20"/>
        </w:rPr>
      </w:pPr>
      <w:bookmarkStart w:id="990" w:name="_Toc486580104"/>
      <w:bookmarkStart w:id="991" w:name="_Toc497213780"/>
      <w:bookmarkStart w:id="992" w:name="_Toc489279915"/>
      <w:bookmarkStart w:id="993" w:name="_Toc490222549"/>
      <w:bookmarkStart w:id="994" w:name="_Toc117597530"/>
      <w:r>
        <w:rPr>
          <w:rFonts w:ascii="宋体" w:hAnsi="宋体"/>
          <w:sz w:val="24"/>
          <w:szCs w:val="20"/>
        </w:rPr>
        <w:t xml:space="preserve">7.6  </w:t>
      </w:r>
      <w:r>
        <w:rPr>
          <w:rFonts w:hint="eastAsia" w:ascii="宋体" w:hAnsi="宋体"/>
          <w:sz w:val="24"/>
          <w:szCs w:val="20"/>
        </w:rPr>
        <w:t>水路和航空运输</w:t>
      </w:r>
      <w:bookmarkEnd w:id="990"/>
      <w:bookmarkEnd w:id="991"/>
      <w:bookmarkEnd w:id="992"/>
      <w:bookmarkEnd w:id="993"/>
      <w:bookmarkEnd w:id="994"/>
    </w:p>
    <w:p w14:paraId="004A904A">
      <w:pPr>
        <w:spacing w:line="360" w:lineRule="auto"/>
        <w:ind w:firstLine="420" w:firstLineChars="200"/>
        <w:rPr>
          <w:rFonts w:ascii="宋体"/>
        </w:rPr>
      </w:pPr>
      <w:r>
        <w:rPr>
          <w:rFonts w:hint="eastAsia" w:ascii="宋体" w:hAnsi="宋体"/>
        </w:rPr>
        <w:t>本条上述各款的内容适用于水路运输和航空运输，其中“道路”一词的涵义包括河道、航线、船闸、机场、码头、堤防以及水路或航空运输中其他相似结构物；“车辆”一词的涵义包括船舶和飞机等。</w:t>
      </w:r>
    </w:p>
    <w:p w14:paraId="7761A918">
      <w:pPr>
        <w:keepNext/>
        <w:keepLines/>
        <w:spacing w:beforeLines="50" w:afterLines="50" w:line="360" w:lineRule="auto"/>
        <w:outlineLvl w:val="1"/>
        <w:rPr>
          <w:rFonts w:ascii="宋体" w:hAnsi="宋体" w:cs="宋体"/>
          <w:sz w:val="28"/>
          <w:szCs w:val="20"/>
        </w:rPr>
      </w:pPr>
      <w:bookmarkStart w:id="995" w:name="_Toc117597531"/>
      <w:bookmarkStart w:id="996" w:name="_Toc497213781"/>
      <w:bookmarkStart w:id="997" w:name="_Toc489279916"/>
      <w:bookmarkStart w:id="998" w:name="_Toc486580105"/>
      <w:bookmarkStart w:id="999" w:name="_Toc490222550"/>
      <w:r>
        <w:rPr>
          <w:rFonts w:ascii="宋体" w:hAnsi="宋体" w:cs="宋体"/>
          <w:sz w:val="28"/>
          <w:szCs w:val="20"/>
        </w:rPr>
        <w:t>8.</w:t>
      </w:r>
      <w:r>
        <w:rPr>
          <w:rFonts w:hint="eastAsia" w:ascii="宋体" w:hAnsi="宋体" w:cs="宋体"/>
          <w:sz w:val="28"/>
          <w:szCs w:val="20"/>
        </w:rPr>
        <w:t>测量放线</w:t>
      </w:r>
      <w:bookmarkEnd w:id="995"/>
      <w:bookmarkEnd w:id="996"/>
      <w:bookmarkEnd w:id="997"/>
      <w:bookmarkEnd w:id="998"/>
      <w:bookmarkEnd w:id="999"/>
    </w:p>
    <w:p w14:paraId="4280ACCB">
      <w:pPr>
        <w:keepNext/>
        <w:keepLines/>
        <w:spacing w:beforeLines="50" w:afterLines="50" w:line="360" w:lineRule="auto"/>
        <w:outlineLvl w:val="2"/>
        <w:rPr>
          <w:rFonts w:ascii="宋体" w:hAnsi="宋体"/>
          <w:sz w:val="24"/>
          <w:szCs w:val="20"/>
        </w:rPr>
      </w:pPr>
      <w:bookmarkStart w:id="1000" w:name="_Toc489279917"/>
      <w:bookmarkStart w:id="1001" w:name="_Toc490222551"/>
      <w:bookmarkStart w:id="1002" w:name="_Toc117597532"/>
      <w:bookmarkStart w:id="1003" w:name="_Toc486580106"/>
      <w:bookmarkStart w:id="1004" w:name="_Toc497213782"/>
      <w:r>
        <w:rPr>
          <w:rFonts w:ascii="宋体" w:hAnsi="宋体"/>
          <w:sz w:val="24"/>
          <w:szCs w:val="20"/>
        </w:rPr>
        <w:t xml:space="preserve">8.1  </w:t>
      </w:r>
      <w:r>
        <w:rPr>
          <w:rFonts w:hint="eastAsia" w:ascii="宋体" w:hAnsi="宋体"/>
          <w:sz w:val="24"/>
          <w:szCs w:val="20"/>
        </w:rPr>
        <w:t>施工控制网</w:t>
      </w:r>
      <w:bookmarkEnd w:id="1000"/>
      <w:bookmarkEnd w:id="1001"/>
      <w:bookmarkEnd w:id="1002"/>
      <w:bookmarkEnd w:id="1003"/>
      <w:bookmarkEnd w:id="1004"/>
    </w:p>
    <w:p w14:paraId="43819C23">
      <w:pPr>
        <w:spacing w:line="360" w:lineRule="auto"/>
        <w:ind w:firstLine="420" w:firstLineChars="200"/>
        <w:rPr>
          <w:rFonts w:ascii="宋体"/>
        </w:rPr>
      </w:pPr>
      <w:r>
        <w:rPr>
          <w:rFonts w:ascii="宋体" w:hAnsi="宋体"/>
        </w:rPr>
        <w:t xml:space="preserve">8.1.1  </w:t>
      </w:r>
      <w:r>
        <w:rPr>
          <w:rFonts w:hint="eastAsia" w:ascii="宋体" w:hAnsi="宋体"/>
        </w:rPr>
        <w:t>发包人应在合同约定的期限内，通过监理人向承包人提供测量基准点、基准线和水准点及其书面资料。向承包人提供测量基准点、基准线和水准点及其书面资料的期限</w:t>
      </w:r>
      <w:r>
        <w:rPr>
          <w:rFonts w:hint="eastAsia" w:ascii="黑体" w:hAnsi="黑体" w:eastAsia="黑体"/>
        </w:rPr>
        <w:t>见合同条款专用部分。</w:t>
      </w:r>
    </w:p>
    <w:p w14:paraId="4E29A723">
      <w:pPr>
        <w:spacing w:line="360" w:lineRule="auto"/>
        <w:ind w:firstLine="420" w:firstLineChars="200"/>
        <w:rPr>
          <w:rFonts w:ascii="宋体"/>
        </w:rPr>
      </w:pPr>
      <w:r>
        <w:rPr>
          <w:rFonts w:ascii="宋体" w:hAnsi="宋体"/>
        </w:rPr>
        <w:t>8.1.2</w:t>
      </w:r>
      <w:r>
        <w:rPr>
          <w:rFonts w:hint="eastAsia" w:ascii="宋体" w:hAnsi="宋体"/>
        </w:rPr>
        <w:t xml:space="preserve">  承包人应根据国家测绘基准、测绘系统和工程测量技术规范，按上述基准点（线）以及合同工程精度要求，测设施工控制网，承包人测设施工控制网的其他要求</w:t>
      </w:r>
      <w:r>
        <w:rPr>
          <w:rFonts w:hint="eastAsia" w:ascii="黑体" w:hAnsi="黑体" w:eastAsia="黑体"/>
        </w:rPr>
        <w:t>见合同条款专用部分。</w:t>
      </w:r>
      <w:r>
        <w:rPr>
          <w:rFonts w:hint="eastAsia" w:ascii="宋体" w:hAnsi="宋体"/>
        </w:rPr>
        <w:t>并将施工控制网资料在约定期限内报送监理人审批，其报送监理人审批的期限</w:t>
      </w:r>
      <w:r>
        <w:rPr>
          <w:rFonts w:hint="eastAsia" w:ascii="黑体" w:hAnsi="黑体" w:eastAsia="黑体"/>
        </w:rPr>
        <w:t>见合同条款专用部分</w:t>
      </w:r>
      <w:r>
        <w:rPr>
          <w:rFonts w:hint="eastAsia" w:ascii="宋体" w:hAnsi="宋体"/>
        </w:rPr>
        <w:t>。</w:t>
      </w:r>
    </w:p>
    <w:p w14:paraId="2D1909E2">
      <w:pPr>
        <w:spacing w:line="360" w:lineRule="auto"/>
        <w:ind w:firstLine="420" w:firstLineChars="200"/>
        <w:rPr>
          <w:rFonts w:ascii="宋体"/>
        </w:rPr>
      </w:pPr>
      <w:r>
        <w:rPr>
          <w:rFonts w:ascii="宋体" w:hAnsi="宋体"/>
        </w:rPr>
        <w:t xml:space="preserve">8.1.3  </w:t>
      </w:r>
      <w:r>
        <w:rPr>
          <w:rFonts w:hint="eastAsia" w:ascii="宋体" w:hAnsi="宋体"/>
        </w:rPr>
        <w:t>承包人应负责管理施工控制网点。施工控制网点丢失或损坏的，承包人应及时修复，并承担施工控制网点的管理与修复费用。工程竣工后将施工控制网点移交发包人。</w:t>
      </w:r>
    </w:p>
    <w:p w14:paraId="6AAD5542">
      <w:pPr>
        <w:keepNext/>
        <w:keepLines/>
        <w:spacing w:beforeLines="50" w:afterLines="50" w:line="360" w:lineRule="auto"/>
        <w:outlineLvl w:val="2"/>
        <w:rPr>
          <w:rFonts w:ascii="宋体" w:hAnsi="宋体"/>
          <w:sz w:val="24"/>
          <w:szCs w:val="20"/>
        </w:rPr>
      </w:pPr>
      <w:bookmarkStart w:id="1005" w:name="_Toc490222552"/>
      <w:bookmarkStart w:id="1006" w:name="_Toc489279918"/>
      <w:bookmarkStart w:id="1007" w:name="_Toc486580107"/>
      <w:bookmarkStart w:id="1008" w:name="_Toc497213783"/>
      <w:bookmarkStart w:id="1009" w:name="_Toc117597533"/>
      <w:r>
        <w:rPr>
          <w:rFonts w:ascii="宋体" w:hAnsi="宋体"/>
          <w:sz w:val="24"/>
          <w:szCs w:val="20"/>
        </w:rPr>
        <w:t xml:space="preserve">8.2  </w:t>
      </w:r>
      <w:r>
        <w:rPr>
          <w:rFonts w:hint="eastAsia" w:ascii="宋体" w:hAnsi="宋体"/>
          <w:sz w:val="24"/>
          <w:szCs w:val="20"/>
        </w:rPr>
        <w:t>施工测量</w:t>
      </w:r>
      <w:bookmarkEnd w:id="1005"/>
      <w:bookmarkEnd w:id="1006"/>
      <w:bookmarkEnd w:id="1007"/>
      <w:bookmarkEnd w:id="1008"/>
      <w:bookmarkEnd w:id="1009"/>
    </w:p>
    <w:p w14:paraId="531F8BB9">
      <w:pPr>
        <w:spacing w:line="360" w:lineRule="auto"/>
        <w:ind w:firstLine="420" w:firstLineChars="200"/>
        <w:rPr>
          <w:rFonts w:ascii="宋体"/>
        </w:rPr>
      </w:pPr>
      <w:r>
        <w:rPr>
          <w:rFonts w:ascii="宋体" w:hAnsi="宋体"/>
        </w:rPr>
        <w:t xml:space="preserve">8.2.1  </w:t>
      </w:r>
      <w:r>
        <w:rPr>
          <w:rFonts w:hint="eastAsia" w:ascii="宋体" w:hAnsi="宋体"/>
        </w:rPr>
        <w:t>承包人应负责施工过程中的全部施工测量放线工作，并配置合格的人员、仪器、设备和其他物品。</w:t>
      </w:r>
    </w:p>
    <w:p w14:paraId="419635D8">
      <w:pPr>
        <w:spacing w:line="360" w:lineRule="auto"/>
        <w:ind w:firstLine="420" w:firstLineChars="200"/>
        <w:rPr>
          <w:rFonts w:ascii="宋体"/>
        </w:rPr>
      </w:pPr>
      <w:r>
        <w:rPr>
          <w:rFonts w:ascii="宋体" w:hAnsi="宋体"/>
        </w:rPr>
        <w:t xml:space="preserve">8.2.2  </w:t>
      </w:r>
      <w:r>
        <w:rPr>
          <w:rFonts w:hint="eastAsia" w:ascii="宋体" w:hAnsi="宋体"/>
        </w:rPr>
        <w:t>监理人可以指示承包人进行抽样复测，当复测中发现错误或出现超过合同约定的误差时，承包人应按监理人指示进行修正或补测，并承担相应的复测费用。</w:t>
      </w:r>
    </w:p>
    <w:p w14:paraId="65564258">
      <w:pPr>
        <w:keepNext/>
        <w:keepLines/>
        <w:spacing w:beforeLines="50" w:afterLines="50" w:line="360" w:lineRule="auto"/>
        <w:outlineLvl w:val="2"/>
        <w:rPr>
          <w:rFonts w:ascii="宋体" w:hAnsi="宋体"/>
          <w:sz w:val="24"/>
          <w:szCs w:val="20"/>
        </w:rPr>
      </w:pPr>
      <w:bookmarkStart w:id="1010" w:name="_Toc497213784"/>
      <w:bookmarkStart w:id="1011" w:name="_Toc117597534"/>
      <w:bookmarkStart w:id="1012" w:name="_Toc486580108"/>
      <w:bookmarkStart w:id="1013" w:name="_Toc489279919"/>
      <w:bookmarkStart w:id="1014" w:name="_Toc490222553"/>
      <w:r>
        <w:rPr>
          <w:rFonts w:ascii="宋体" w:hAnsi="宋体"/>
          <w:sz w:val="24"/>
          <w:szCs w:val="20"/>
        </w:rPr>
        <w:t xml:space="preserve">8.3  </w:t>
      </w:r>
      <w:r>
        <w:rPr>
          <w:rFonts w:hint="eastAsia" w:ascii="宋体" w:hAnsi="宋体"/>
          <w:sz w:val="24"/>
          <w:szCs w:val="20"/>
        </w:rPr>
        <w:t>基准资料错误的责任</w:t>
      </w:r>
      <w:bookmarkEnd w:id="1010"/>
      <w:bookmarkEnd w:id="1011"/>
      <w:bookmarkEnd w:id="1012"/>
      <w:bookmarkEnd w:id="1013"/>
      <w:bookmarkEnd w:id="1014"/>
    </w:p>
    <w:p w14:paraId="7804C384">
      <w:pPr>
        <w:spacing w:line="360" w:lineRule="auto"/>
        <w:ind w:firstLine="420" w:firstLineChars="200"/>
        <w:rPr>
          <w:rFonts w:ascii="宋体"/>
        </w:rPr>
      </w:pPr>
      <w:r>
        <w:rPr>
          <w:rFonts w:hint="eastAsia" w:ascii="宋体" w:hAnsi="宋体"/>
        </w:rPr>
        <w:t>发包人应对其提供的测量基准点、基准线和水准点及其书面资料的真实性、准确性和完整性负责。发包人提供上述基准资料错误导致承包人测量放线工作的返工或造成工程损失的，发包人应当承担由此增加的费用和（或）工期延误，并向承包人支付合理利润。承包人发现发包人提供的上述基准资料存在明显错误或疏忽的，应及时通知监理人。</w:t>
      </w:r>
    </w:p>
    <w:p w14:paraId="63AD290C">
      <w:pPr>
        <w:keepNext/>
        <w:keepLines/>
        <w:spacing w:beforeLines="50" w:afterLines="50" w:line="360" w:lineRule="auto"/>
        <w:outlineLvl w:val="2"/>
        <w:rPr>
          <w:rFonts w:ascii="宋体" w:hAnsi="宋体"/>
          <w:sz w:val="24"/>
          <w:szCs w:val="20"/>
        </w:rPr>
      </w:pPr>
      <w:bookmarkStart w:id="1015" w:name="_Toc117597535"/>
      <w:bookmarkStart w:id="1016" w:name="_Toc489279920"/>
      <w:bookmarkStart w:id="1017" w:name="_Toc490222554"/>
      <w:bookmarkStart w:id="1018" w:name="_Toc497213785"/>
      <w:bookmarkStart w:id="1019" w:name="_Toc486580109"/>
      <w:r>
        <w:rPr>
          <w:rFonts w:ascii="宋体" w:hAnsi="宋体"/>
          <w:sz w:val="24"/>
          <w:szCs w:val="20"/>
        </w:rPr>
        <w:t xml:space="preserve">8.4  </w:t>
      </w:r>
      <w:r>
        <w:rPr>
          <w:rFonts w:hint="eastAsia" w:ascii="宋体" w:hAnsi="宋体"/>
          <w:sz w:val="24"/>
          <w:szCs w:val="20"/>
        </w:rPr>
        <w:t>监理人使用施工控制网</w:t>
      </w:r>
      <w:bookmarkEnd w:id="1015"/>
      <w:bookmarkEnd w:id="1016"/>
      <w:bookmarkEnd w:id="1017"/>
      <w:bookmarkEnd w:id="1018"/>
      <w:bookmarkEnd w:id="1019"/>
    </w:p>
    <w:p w14:paraId="6B9B6568">
      <w:pPr>
        <w:spacing w:line="360" w:lineRule="auto"/>
        <w:ind w:firstLine="420" w:firstLineChars="200"/>
        <w:rPr>
          <w:rFonts w:ascii="宋体"/>
          <w:dstrike/>
        </w:rPr>
      </w:pPr>
      <w:r>
        <w:rPr>
          <w:rFonts w:hint="eastAsia" w:ascii="宋体" w:hAnsi="宋体"/>
        </w:rPr>
        <w:t>监理人需要使用施工控制网的，承包人应提供必要的协助，发包人不再为此支付费用。</w:t>
      </w:r>
    </w:p>
    <w:p w14:paraId="5E84826E">
      <w:pPr>
        <w:keepNext/>
        <w:keepLines/>
        <w:spacing w:beforeLines="50" w:afterLines="50" w:line="360" w:lineRule="auto"/>
        <w:outlineLvl w:val="1"/>
        <w:rPr>
          <w:rFonts w:ascii="宋体" w:hAnsi="宋体" w:cs="宋体"/>
          <w:sz w:val="28"/>
          <w:szCs w:val="20"/>
        </w:rPr>
      </w:pPr>
      <w:bookmarkStart w:id="1020" w:name="_Toc117597536"/>
      <w:bookmarkStart w:id="1021" w:name="_Toc490222555"/>
      <w:bookmarkStart w:id="1022" w:name="_Toc489279921"/>
      <w:bookmarkStart w:id="1023" w:name="_Toc486580110"/>
      <w:bookmarkStart w:id="1024" w:name="_Toc497213786"/>
      <w:r>
        <w:rPr>
          <w:rFonts w:ascii="宋体" w:hAnsi="宋体" w:cs="宋体"/>
          <w:sz w:val="28"/>
          <w:szCs w:val="20"/>
        </w:rPr>
        <w:t>9.</w:t>
      </w:r>
      <w:r>
        <w:rPr>
          <w:rFonts w:hint="eastAsia" w:ascii="宋体" w:hAnsi="宋体" w:cs="宋体"/>
          <w:sz w:val="28"/>
          <w:szCs w:val="20"/>
        </w:rPr>
        <w:t>施工安全、治安保卫和环境保护</w:t>
      </w:r>
      <w:bookmarkEnd w:id="1020"/>
      <w:bookmarkEnd w:id="1021"/>
      <w:bookmarkEnd w:id="1022"/>
      <w:bookmarkEnd w:id="1023"/>
      <w:bookmarkEnd w:id="1024"/>
    </w:p>
    <w:p w14:paraId="5CD95B63">
      <w:pPr>
        <w:keepNext/>
        <w:keepLines/>
        <w:spacing w:beforeLines="50" w:afterLines="50" w:line="360" w:lineRule="auto"/>
        <w:outlineLvl w:val="2"/>
        <w:rPr>
          <w:rFonts w:ascii="宋体" w:hAnsi="宋体"/>
          <w:sz w:val="24"/>
          <w:szCs w:val="20"/>
        </w:rPr>
      </w:pPr>
      <w:bookmarkStart w:id="1025" w:name="_Toc486580111"/>
      <w:bookmarkStart w:id="1026" w:name="_Toc490222556"/>
      <w:bookmarkStart w:id="1027" w:name="_Toc489279922"/>
      <w:bookmarkStart w:id="1028" w:name="_Toc497213787"/>
      <w:bookmarkStart w:id="1029" w:name="_Toc117597537"/>
      <w:r>
        <w:rPr>
          <w:rFonts w:ascii="宋体" w:hAnsi="宋体"/>
          <w:sz w:val="24"/>
          <w:szCs w:val="20"/>
        </w:rPr>
        <w:t xml:space="preserve">9.1  </w:t>
      </w:r>
      <w:r>
        <w:rPr>
          <w:rFonts w:hint="eastAsia" w:ascii="宋体" w:hAnsi="宋体"/>
          <w:sz w:val="24"/>
          <w:szCs w:val="20"/>
        </w:rPr>
        <w:t>发包人的施工安全责任</w:t>
      </w:r>
      <w:bookmarkEnd w:id="1025"/>
      <w:bookmarkEnd w:id="1026"/>
      <w:bookmarkEnd w:id="1027"/>
      <w:bookmarkEnd w:id="1028"/>
      <w:bookmarkEnd w:id="1029"/>
    </w:p>
    <w:p w14:paraId="36EC0487">
      <w:pPr>
        <w:spacing w:line="360" w:lineRule="auto"/>
        <w:ind w:firstLine="420" w:firstLineChars="200"/>
        <w:rPr>
          <w:rFonts w:ascii="宋体"/>
        </w:rPr>
      </w:pPr>
      <w:r>
        <w:rPr>
          <w:rFonts w:ascii="宋体" w:hAnsi="宋体"/>
        </w:rPr>
        <w:t xml:space="preserve">9.1.1  </w:t>
      </w:r>
      <w:r>
        <w:rPr>
          <w:rFonts w:hint="eastAsia" w:ascii="宋体" w:hAnsi="宋体"/>
        </w:rPr>
        <w:t>发包人应按合同约定履行安全职责，授权监理人按合同约定的安全工作内容监督、检查承包人安全工作的实施，组织承包人和有关单位进行安全检查。</w:t>
      </w:r>
    </w:p>
    <w:p w14:paraId="1EDC41F5">
      <w:pPr>
        <w:spacing w:line="360" w:lineRule="auto"/>
        <w:ind w:firstLine="420" w:firstLineChars="200"/>
        <w:rPr>
          <w:rFonts w:ascii="宋体"/>
        </w:rPr>
      </w:pPr>
      <w:r>
        <w:rPr>
          <w:rFonts w:ascii="宋体" w:hAnsi="宋体"/>
        </w:rPr>
        <w:t xml:space="preserve">9.1.2  </w:t>
      </w:r>
      <w:r>
        <w:rPr>
          <w:rFonts w:hint="eastAsia" w:ascii="宋体" w:hAnsi="宋体"/>
        </w:rPr>
        <w:t>发包人应对其现场机构雇佣的全部人员的工伤事故承担责任，但由于承包人原因造成发包人人员工伤的，应由承包人承担责任。</w:t>
      </w:r>
    </w:p>
    <w:p w14:paraId="7655FC97">
      <w:pPr>
        <w:spacing w:line="360" w:lineRule="auto"/>
        <w:ind w:firstLine="420" w:firstLineChars="200"/>
        <w:rPr>
          <w:rFonts w:ascii="宋体"/>
        </w:rPr>
      </w:pPr>
      <w:r>
        <w:rPr>
          <w:rFonts w:ascii="宋体" w:hAnsi="宋体"/>
        </w:rPr>
        <w:t xml:space="preserve">9.1.3  </w:t>
      </w:r>
      <w:r>
        <w:rPr>
          <w:rFonts w:hint="eastAsia" w:ascii="宋体" w:hAnsi="宋体"/>
        </w:rPr>
        <w:t>发包人应负责赔偿以下各种情况造成的第三者人身伤亡和财产损失：</w:t>
      </w:r>
    </w:p>
    <w:p w14:paraId="015EF4B1">
      <w:pPr>
        <w:spacing w:line="360" w:lineRule="auto"/>
        <w:ind w:firstLine="315" w:firstLineChars="150"/>
        <w:rPr>
          <w:rFonts w:ascii="宋体"/>
        </w:rPr>
      </w:pPr>
      <w:r>
        <w:rPr>
          <w:rFonts w:hint="eastAsia" w:ascii="宋体" w:hAnsi="宋体"/>
        </w:rPr>
        <w:t>（</w:t>
      </w:r>
      <w:r>
        <w:rPr>
          <w:rFonts w:ascii="宋体" w:hAnsi="宋体"/>
        </w:rPr>
        <w:t>1</w:t>
      </w:r>
      <w:r>
        <w:rPr>
          <w:rFonts w:hint="eastAsia" w:ascii="宋体" w:hAnsi="宋体"/>
        </w:rPr>
        <w:t>）工程或工程的任何部分对土地的占用所造成的第三者财产损失；</w:t>
      </w:r>
    </w:p>
    <w:p w14:paraId="2386B6AE">
      <w:pPr>
        <w:spacing w:line="360" w:lineRule="auto"/>
        <w:ind w:firstLine="315" w:firstLineChars="150"/>
        <w:rPr>
          <w:rFonts w:ascii="宋体"/>
        </w:rPr>
      </w:pPr>
      <w:r>
        <w:rPr>
          <w:rFonts w:hint="eastAsia" w:ascii="宋体" w:hAnsi="宋体"/>
        </w:rPr>
        <w:t>（</w:t>
      </w:r>
      <w:r>
        <w:rPr>
          <w:rFonts w:ascii="宋体" w:hAnsi="宋体"/>
        </w:rPr>
        <w:t>2</w:t>
      </w:r>
      <w:r>
        <w:rPr>
          <w:rFonts w:hint="eastAsia" w:ascii="宋体" w:hAnsi="宋体"/>
        </w:rPr>
        <w:t>）由于发包人原因在施工场地及其毗邻地带造成的第三者人身伤亡和财产损失。</w:t>
      </w:r>
    </w:p>
    <w:p w14:paraId="1155E4F3">
      <w:pPr>
        <w:keepNext/>
        <w:keepLines/>
        <w:spacing w:beforeLines="50" w:afterLines="50" w:line="360" w:lineRule="auto"/>
        <w:outlineLvl w:val="2"/>
        <w:rPr>
          <w:rFonts w:ascii="宋体" w:hAnsi="宋体"/>
          <w:sz w:val="24"/>
          <w:szCs w:val="20"/>
        </w:rPr>
      </w:pPr>
      <w:bookmarkStart w:id="1030" w:name="_Toc486580112"/>
      <w:bookmarkStart w:id="1031" w:name="_Toc490222557"/>
      <w:bookmarkStart w:id="1032" w:name="_Toc489279923"/>
      <w:bookmarkStart w:id="1033" w:name="_Toc497213788"/>
      <w:bookmarkStart w:id="1034" w:name="_Toc117597538"/>
      <w:r>
        <w:rPr>
          <w:rFonts w:ascii="宋体" w:hAnsi="宋体"/>
          <w:sz w:val="24"/>
          <w:szCs w:val="20"/>
        </w:rPr>
        <w:t xml:space="preserve">9.2  </w:t>
      </w:r>
      <w:r>
        <w:rPr>
          <w:rFonts w:hint="eastAsia" w:ascii="宋体" w:hAnsi="宋体"/>
          <w:sz w:val="24"/>
          <w:szCs w:val="20"/>
        </w:rPr>
        <w:t>承包人的施工安全责任</w:t>
      </w:r>
      <w:bookmarkEnd w:id="1030"/>
      <w:bookmarkEnd w:id="1031"/>
      <w:bookmarkEnd w:id="1032"/>
      <w:bookmarkEnd w:id="1033"/>
      <w:bookmarkEnd w:id="1034"/>
    </w:p>
    <w:p w14:paraId="6AE8A736">
      <w:pPr>
        <w:spacing w:line="360" w:lineRule="auto"/>
        <w:ind w:firstLine="420" w:firstLineChars="200"/>
        <w:rPr>
          <w:rFonts w:ascii="宋体"/>
        </w:rPr>
      </w:pPr>
      <w:r>
        <w:rPr>
          <w:rFonts w:ascii="宋体" w:hAnsi="宋体"/>
        </w:rPr>
        <w:t xml:space="preserve">9.2.1  </w:t>
      </w:r>
      <w:r>
        <w:rPr>
          <w:rFonts w:hint="eastAsia" w:ascii="宋体" w:hAnsi="宋体"/>
        </w:rPr>
        <w:t>承包人应按合同约定履行安全职责</w:t>
      </w:r>
      <w:r>
        <w:rPr>
          <w:rFonts w:ascii="宋体"/>
        </w:rPr>
        <w:t>,</w:t>
      </w:r>
      <w:r>
        <w:rPr>
          <w:rFonts w:hint="eastAsia" w:ascii="宋体" w:hAnsi="宋体"/>
        </w:rPr>
        <w:t>执行监理人有关安全工作的指示</w:t>
      </w:r>
      <w:r>
        <w:rPr>
          <w:rFonts w:ascii="宋体"/>
        </w:rPr>
        <w:t>,</w:t>
      </w:r>
      <w:r>
        <w:rPr>
          <w:rFonts w:hint="eastAsia" w:ascii="宋体" w:hAnsi="宋体"/>
        </w:rPr>
        <w:t>并在合同条款专用部分约定的期限内，按合同约定的安全工作内容，编制施工安全措施计划报送监理人审批。监理人应在合同条款专用部分约定的期限内完成批复。</w:t>
      </w:r>
    </w:p>
    <w:p w14:paraId="755F73F4">
      <w:pPr>
        <w:spacing w:line="360" w:lineRule="auto"/>
        <w:ind w:firstLine="420" w:firstLineChars="200"/>
        <w:rPr>
          <w:rFonts w:ascii="宋体"/>
        </w:rPr>
      </w:pPr>
      <w:r>
        <w:rPr>
          <w:rFonts w:ascii="宋体" w:hAnsi="宋体"/>
        </w:rPr>
        <w:t xml:space="preserve">9.2.2  </w:t>
      </w:r>
      <w:r>
        <w:rPr>
          <w:rFonts w:hint="eastAsia" w:ascii="宋体" w:hAnsi="宋体"/>
        </w:rPr>
        <w:t>承包人应加强施工作业安全管理，特别应加强易燃、易爆材料、火工器材、有毒与腐蚀性材料、行业挥发性有机物和其他危险品的管理，以及对爆破作业和地下工程施工等危险作业的管理。</w:t>
      </w:r>
    </w:p>
    <w:p w14:paraId="080C96F5">
      <w:pPr>
        <w:spacing w:line="360" w:lineRule="auto"/>
        <w:ind w:firstLine="420" w:firstLineChars="200"/>
        <w:rPr>
          <w:rFonts w:ascii="宋体"/>
        </w:rPr>
      </w:pPr>
      <w:r>
        <w:rPr>
          <w:rFonts w:ascii="宋体" w:hAnsi="宋体"/>
        </w:rPr>
        <w:t xml:space="preserve">9.2.3  </w:t>
      </w:r>
      <w:r>
        <w:rPr>
          <w:rFonts w:hint="eastAsia" w:ascii="宋体" w:hAnsi="宋体"/>
        </w:rPr>
        <w:t>承包人应严格按照国家安全标准制定施工安全操作规程，配备必要的安全生产和劳动保护设施，加强对承包人人员的安全教育，并发放安全工作手册和劳动保护用具。</w:t>
      </w:r>
    </w:p>
    <w:p w14:paraId="53BF4CF6">
      <w:pPr>
        <w:spacing w:line="360" w:lineRule="auto"/>
        <w:ind w:firstLine="420" w:firstLineChars="200"/>
        <w:rPr>
          <w:rFonts w:ascii="宋体"/>
        </w:rPr>
      </w:pPr>
      <w:r>
        <w:rPr>
          <w:rFonts w:ascii="宋体" w:hAnsi="宋体"/>
        </w:rPr>
        <w:t xml:space="preserve">9.2.4  </w:t>
      </w:r>
      <w:r>
        <w:rPr>
          <w:rFonts w:hint="eastAsia" w:ascii="宋体" w:hAnsi="宋体"/>
        </w:rPr>
        <w:t>承包人应按监理人的指示制定应对灾害的紧急预案，报送监理人审批。承包人还应按预案做好安全检查，配置必要的救助物资和器材，切实保护好有关人员的人身和财产安全。</w:t>
      </w:r>
    </w:p>
    <w:p w14:paraId="56797162">
      <w:pPr>
        <w:spacing w:line="360" w:lineRule="auto"/>
        <w:ind w:firstLine="420" w:firstLineChars="200"/>
        <w:rPr>
          <w:rFonts w:ascii="宋体"/>
        </w:rPr>
      </w:pPr>
      <w:r>
        <w:rPr>
          <w:rFonts w:ascii="宋体" w:hAnsi="宋体"/>
        </w:rPr>
        <w:t xml:space="preserve">9.2.5  </w:t>
      </w:r>
      <w:r>
        <w:rPr>
          <w:rFonts w:hint="eastAsia" w:ascii="宋体" w:hAnsi="宋体"/>
        </w:rPr>
        <w:t>合同约定的安全作业环境及安全施工措施所需费用应遵守有关规定，并包括在相关工作的合同价格中。因采取合同未约定的安全作业环境及安全施工措施增加的费用，由监理人按第</w:t>
      </w:r>
      <w:r>
        <w:rPr>
          <w:rFonts w:ascii="宋体" w:hAnsi="宋体"/>
        </w:rPr>
        <w:t>3.5</w:t>
      </w:r>
      <w:r>
        <w:rPr>
          <w:rFonts w:hint="eastAsia" w:ascii="宋体" w:hAnsi="宋体"/>
        </w:rPr>
        <w:t>款商定或确定。</w:t>
      </w:r>
    </w:p>
    <w:p w14:paraId="14E42FA5">
      <w:pPr>
        <w:spacing w:line="360" w:lineRule="auto"/>
        <w:ind w:firstLine="420" w:firstLineChars="200"/>
        <w:rPr>
          <w:rFonts w:ascii="宋体"/>
        </w:rPr>
      </w:pPr>
      <w:r>
        <w:rPr>
          <w:rFonts w:ascii="宋体" w:hAnsi="宋体"/>
        </w:rPr>
        <w:t xml:space="preserve">9.2.6  </w:t>
      </w:r>
      <w:r>
        <w:rPr>
          <w:rFonts w:hint="eastAsia" w:ascii="宋体" w:hAnsi="宋体"/>
        </w:rPr>
        <w:t>承包人应对其履行合同所雇佣的全部人员，包括分包人人员的工伤事故承担责任，但由于发包人原因造成承包人人员工伤事故的，应由发包人承担责任。</w:t>
      </w:r>
    </w:p>
    <w:p w14:paraId="19B2EF7C">
      <w:pPr>
        <w:spacing w:line="360" w:lineRule="auto"/>
        <w:ind w:firstLine="420" w:firstLineChars="200"/>
        <w:rPr>
          <w:rFonts w:ascii="宋体"/>
        </w:rPr>
      </w:pPr>
      <w:r>
        <w:rPr>
          <w:rFonts w:ascii="宋体" w:hAnsi="宋体"/>
        </w:rPr>
        <w:t xml:space="preserve">9.2.7  </w:t>
      </w:r>
      <w:r>
        <w:rPr>
          <w:rFonts w:hint="eastAsia" w:ascii="宋体" w:hAnsi="宋体"/>
        </w:rPr>
        <w:t>由于承包人原因在施工场地内及其毗邻地带造成的第三者人员伤亡和财产损失，由承包人负责赔偿。</w:t>
      </w:r>
    </w:p>
    <w:p w14:paraId="67DDABC1">
      <w:pPr>
        <w:keepNext/>
        <w:keepLines/>
        <w:spacing w:beforeLines="50" w:afterLines="50" w:line="360" w:lineRule="auto"/>
        <w:outlineLvl w:val="2"/>
        <w:rPr>
          <w:rFonts w:ascii="宋体" w:hAnsi="宋体"/>
          <w:sz w:val="24"/>
          <w:szCs w:val="20"/>
        </w:rPr>
      </w:pPr>
      <w:bookmarkStart w:id="1035" w:name="_Toc117597539"/>
      <w:bookmarkStart w:id="1036" w:name="_Toc490222558"/>
      <w:bookmarkStart w:id="1037" w:name="_Toc489279924"/>
      <w:bookmarkStart w:id="1038" w:name="_Toc497213789"/>
      <w:bookmarkStart w:id="1039" w:name="_Toc486580113"/>
      <w:r>
        <w:rPr>
          <w:rFonts w:ascii="宋体" w:hAnsi="宋体"/>
          <w:sz w:val="24"/>
          <w:szCs w:val="20"/>
        </w:rPr>
        <w:t xml:space="preserve">9.3  </w:t>
      </w:r>
      <w:r>
        <w:rPr>
          <w:rFonts w:hint="eastAsia" w:ascii="宋体" w:hAnsi="宋体"/>
          <w:sz w:val="24"/>
          <w:szCs w:val="20"/>
        </w:rPr>
        <w:t>治安保卫</w:t>
      </w:r>
      <w:bookmarkEnd w:id="1035"/>
      <w:bookmarkEnd w:id="1036"/>
      <w:bookmarkEnd w:id="1037"/>
      <w:bookmarkEnd w:id="1038"/>
      <w:bookmarkEnd w:id="1039"/>
    </w:p>
    <w:p w14:paraId="3B9A2491">
      <w:pPr>
        <w:spacing w:line="360" w:lineRule="auto"/>
        <w:ind w:firstLine="420" w:firstLineChars="200"/>
        <w:rPr>
          <w:rFonts w:ascii="宋体"/>
        </w:rPr>
      </w:pPr>
      <w:r>
        <w:rPr>
          <w:rFonts w:ascii="宋体" w:hAnsi="宋体"/>
        </w:rPr>
        <w:t xml:space="preserve">9.3.1  </w:t>
      </w:r>
      <w:r>
        <w:rPr>
          <w:rFonts w:hint="eastAsia" w:ascii="宋体" w:hAnsi="宋体"/>
        </w:rPr>
        <w:t>发包人应与当地公安部门协商，在现场建立治安管理机构或联防组织，负责统一管理施工场地的治安保卫事项，履行合同工程的治安保卫职责。</w:t>
      </w:r>
    </w:p>
    <w:p w14:paraId="52C8A4D9">
      <w:pPr>
        <w:spacing w:line="360" w:lineRule="auto"/>
        <w:ind w:firstLine="420" w:firstLineChars="200"/>
        <w:rPr>
          <w:rFonts w:ascii="宋体"/>
        </w:rPr>
      </w:pPr>
      <w:r>
        <w:rPr>
          <w:rFonts w:ascii="宋体" w:hAnsi="宋体"/>
        </w:rPr>
        <w:t xml:space="preserve">9.3.2  </w:t>
      </w:r>
      <w:r>
        <w:rPr>
          <w:rFonts w:hint="eastAsia" w:ascii="宋体" w:hAnsi="宋体"/>
        </w:rPr>
        <w:t>发包人和承包人除应协助现场治安管理机构或联防组织维护施工场地的社会治安外，还应做好包括生活区在内的各自管辖区的治安保卫工作。</w:t>
      </w:r>
    </w:p>
    <w:p w14:paraId="06E07229">
      <w:pPr>
        <w:spacing w:line="360" w:lineRule="auto"/>
        <w:ind w:firstLine="420" w:firstLineChars="200"/>
        <w:rPr>
          <w:rFonts w:ascii="黑体" w:hAnsi="黑体" w:eastAsia="黑体"/>
        </w:rPr>
      </w:pPr>
      <w:r>
        <w:rPr>
          <w:rFonts w:ascii="宋体" w:hAnsi="宋体"/>
        </w:rPr>
        <w:t xml:space="preserve">9.3.3  </w:t>
      </w:r>
      <w:r>
        <w:rPr>
          <w:rFonts w:hint="eastAsia" w:ascii="宋体" w:hAnsi="宋体"/>
        </w:rPr>
        <w:t>在工程开工前应当明确责任人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减少财产损失和避免人员伤亡。制定施工场地治安管理计划和突发治安事件紧急预案的责任人</w:t>
      </w:r>
      <w:r>
        <w:rPr>
          <w:rFonts w:hint="eastAsia" w:ascii="黑体" w:hAnsi="黑体" w:eastAsia="黑体"/>
        </w:rPr>
        <w:t>见合同条款专用部分。</w:t>
      </w:r>
    </w:p>
    <w:p w14:paraId="45FA7F45">
      <w:pPr>
        <w:spacing w:line="360" w:lineRule="auto"/>
        <w:ind w:firstLine="420" w:firstLineChars="200"/>
        <w:rPr>
          <w:rFonts w:ascii="宋体" w:hAnsi="宋体" w:cs="宋体"/>
        </w:rPr>
      </w:pPr>
      <w:r>
        <w:rPr>
          <w:rFonts w:hint="eastAsia" w:ascii="宋体" w:hAnsi="宋体" w:cs="宋体"/>
        </w:rPr>
        <w:t>9.3.4建立健全疫情常态化防控应急机制，始终坚持疫情常态化防控和应急处置相结合的原则，按照项目所在地分区分级标准及时制定完善应急预案，明确应急处置流程，适时开展应急演练，确保责任落实到人。</w:t>
      </w:r>
    </w:p>
    <w:p w14:paraId="68BD68A3">
      <w:pPr>
        <w:spacing w:line="360" w:lineRule="auto"/>
        <w:ind w:firstLine="420" w:firstLineChars="200"/>
        <w:rPr>
          <w:rFonts w:ascii="宋体" w:hAnsi="宋体" w:cs="宋体"/>
        </w:rPr>
      </w:pPr>
      <w:r>
        <w:rPr>
          <w:rFonts w:hint="eastAsia" w:ascii="宋体" w:hAnsi="宋体" w:cs="宋体"/>
        </w:rPr>
        <w:t>建立联防联控机制，对接属地社区、卫生健康、疾控等部门，全面落实各项疫情常态化防控措施。发生涉疫情况，应第一时间向有关部门报告、第一时间启动应急预案、第一时间采取停工措施并封闭现场；并按照应急预案和相关规定进行先期处置，安排涉疫人员至隔离观察区域，与现场其他人员进行隔离，并安排专人负责卫生健康、疾控等部门防控专业人员的进场引导工作，保障急救通道畅通；同时积极配合卫生健康、疾控等部门做好流行病学调查、医学观察，对现场进行全面消杀。</w:t>
      </w:r>
    </w:p>
    <w:p w14:paraId="5A6FCA4E">
      <w:pPr>
        <w:keepNext/>
        <w:keepLines/>
        <w:spacing w:beforeLines="50" w:afterLines="50" w:line="360" w:lineRule="auto"/>
        <w:outlineLvl w:val="2"/>
        <w:rPr>
          <w:rFonts w:ascii="宋体" w:hAnsi="宋体"/>
          <w:sz w:val="24"/>
          <w:szCs w:val="20"/>
        </w:rPr>
      </w:pPr>
      <w:bookmarkStart w:id="1040" w:name="_Toc490222559"/>
      <w:bookmarkStart w:id="1041" w:name="_Toc497213790"/>
      <w:bookmarkStart w:id="1042" w:name="_Toc486580114"/>
      <w:bookmarkStart w:id="1043" w:name="_Toc489279925"/>
      <w:bookmarkStart w:id="1044" w:name="_Toc117597540"/>
      <w:r>
        <w:rPr>
          <w:rFonts w:ascii="宋体" w:hAnsi="宋体"/>
          <w:sz w:val="24"/>
          <w:szCs w:val="20"/>
        </w:rPr>
        <w:t xml:space="preserve">9.4  </w:t>
      </w:r>
      <w:r>
        <w:rPr>
          <w:rFonts w:hint="eastAsia" w:ascii="宋体" w:hAnsi="宋体"/>
          <w:sz w:val="24"/>
          <w:szCs w:val="20"/>
        </w:rPr>
        <w:t>环境保护</w:t>
      </w:r>
      <w:bookmarkEnd w:id="1040"/>
      <w:bookmarkEnd w:id="1041"/>
      <w:bookmarkEnd w:id="1042"/>
      <w:bookmarkEnd w:id="1043"/>
      <w:bookmarkEnd w:id="1044"/>
    </w:p>
    <w:p w14:paraId="058827EA">
      <w:pPr>
        <w:spacing w:line="360" w:lineRule="auto"/>
        <w:ind w:firstLine="420" w:firstLineChars="200"/>
        <w:rPr>
          <w:rFonts w:ascii="宋体"/>
        </w:rPr>
      </w:pPr>
      <w:r>
        <w:rPr>
          <w:rFonts w:ascii="宋体" w:hAnsi="宋体"/>
        </w:rPr>
        <w:t xml:space="preserve">9.4.1  </w:t>
      </w:r>
      <w:r>
        <w:rPr>
          <w:rFonts w:hint="eastAsia" w:ascii="宋体" w:hAnsi="宋体"/>
        </w:rPr>
        <w:t>承包人在施工过程中，应遵守有关环境保护的法律，履行合同约定的环境保护义务，并对违反法律和合同约定义务所造成的环境破坏、人身伤害和财产损失负责。</w:t>
      </w:r>
    </w:p>
    <w:p w14:paraId="2812C82B">
      <w:pPr>
        <w:spacing w:line="360" w:lineRule="auto"/>
        <w:ind w:firstLine="420" w:firstLineChars="200"/>
        <w:rPr>
          <w:rFonts w:ascii="宋体"/>
        </w:rPr>
      </w:pPr>
      <w:r>
        <w:rPr>
          <w:rFonts w:ascii="宋体" w:hAnsi="宋体"/>
        </w:rPr>
        <w:t xml:space="preserve">9.4.2  </w:t>
      </w:r>
      <w:r>
        <w:rPr>
          <w:rFonts w:hint="eastAsia" w:ascii="宋体" w:hAnsi="宋体"/>
        </w:rPr>
        <w:t>承包人应建立施工扬尘治理、建筑垃圾、土方和砂石清运与消纳、保证使用已在本市进行信息编码登记符合排放标准的非道路移动机械和严禁使用高排放非道路移动机械以及行业挥发性有机物治理（如建筑外墙涂装、钢结构等鼓励使用水性漆替代油性漆）等责任制，针对工程项目特点制定具体的实施方案，并严格实施。如扬尘治理，承包人应在建筑工地公示施工扬尘治理措施、责任人、主管部门等信息，并及时向当地主管部门报送施工扬尘治理措施落实情况。</w:t>
      </w:r>
    </w:p>
    <w:p w14:paraId="3C9128A9">
      <w:pPr>
        <w:spacing w:line="360" w:lineRule="auto"/>
        <w:ind w:firstLine="420" w:firstLineChars="200"/>
        <w:rPr>
          <w:rFonts w:ascii="宋体"/>
        </w:rPr>
      </w:pPr>
      <w:r>
        <w:rPr>
          <w:rFonts w:ascii="宋体" w:hAnsi="宋体"/>
        </w:rPr>
        <w:t xml:space="preserve">9.4.3  </w:t>
      </w:r>
      <w:r>
        <w:rPr>
          <w:rFonts w:hint="eastAsia" w:ascii="宋体" w:hAnsi="宋体"/>
        </w:rPr>
        <w:t>承包人应在合同条款专用部分约定的时限内，按合同约定的环保工作内容，编制施工环保措施计划（包含第</w:t>
      </w:r>
      <w:r>
        <w:rPr>
          <w:rFonts w:ascii="宋体" w:hAnsi="宋体"/>
        </w:rPr>
        <w:t>9.4.2</w:t>
      </w:r>
      <w:r>
        <w:rPr>
          <w:rFonts w:hint="eastAsia" w:ascii="宋体" w:hAnsi="宋体"/>
        </w:rPr>
        <w:t>项约定的实施方案内容），报送监理人审批。监理人在合同条款专用部分约定的期限内给予批复。</w:t>
      </w:r>
    </w:p>
    <w:p w14:paraId="001902AD">
      <w:pPr>
        <w:spacing w:line="360" w:lineRule="auto"/>
        <w:ind w:firstLine="420" w:firstLineChars="200"/>
        <w:rPr>
          <w:rFonts w:ascii="宋体"/>
        </w:rPr>
      </w:pPr>
      <w:r>
        <w:rPr>
          <w:rFonts w:ascii="宋体" w:hAnsi="宋体"/>
        </w:rPr>
        <w:t xml:space="preserve">9.4.4  </w:t>
      </w:r>
      <w:r>
        <w:rPr>
          <w:rFonts w:hint="eastAsia" w:ascii="宋体" w:hAnsi="宋体"/>
        </w:rPr>
        <w:t>承包人应按照批准的施工环保措施计划有序地堆放和处理施工废弃物，避免对环境造成破坏。因承包人任意堆放或弃置施工废弃物造成妨碍公共交通、影响城镇居民生活、降低河流行洪能力、危及居民安全、破坏和污染环境，或者影响其他承包人施工等后果的，承包人应承担责任。</w:t>
      </w:r>
    </w:p>
    <w:p w14:paraId="4DA58E4B">
      <w:pPr>
        <w:spacing w:line="360" w:lineRule="auto"/>
        <w:ind w:firstLine="420" w:firstLineChars="200"/>
        <w:rPr>
          <w:rFonts w:ascii="宋体"/>
        </w:rPr>
      </w:pPr>
      <w:r>
        <w:rPr>
          <w:rFonts w:ascii="宋体" w:hAnsi="宋体"/>
        </w:rPr>
        <w:t xml:space="preserve">9.4.5  </w:t>
      </w:r>
      <w:r>
        <w:rPr>
          <w:rFonts w:hint="eastAsia" w:ascii="宋体" w:hAnsi="宋体"/>
        </w:rPr>
        <w:t>承包人应按合同约定采取有效措施，对施工开挖的边坡及时进行支护</w:t>
      </w:r>
      <w:r>
        <w:rPr>
          <w:rFonts w:ascii="宋体"/>
        </w:rPr>
        <w:t>,</w:t>
      </w:r>
      <w:r>
        <w:rPr>
          <w:rFonts w:hint="eastAsia" w:ascii="宋体" w:hAnsi="宋体"/>
        </w:rPr>
        <w:t>维护排水设施，并进行水土保护，避免因施工造成的地质灾害。</w:t>
      </w:r>
    </w:p>
    <w:p w14:paraId="3D599C83">
      <w:pPr>
        <w:spacing w:line="360" w:lineRule="auto"/>
        <w:ind w:firstLine="420" w:firstLineChars="200"/>
        <w:rPr>
          <w:rFonts w:ascii="宋体"/>
        </w:rPr>
      </w:pPr>
      <w:r>
        <w:rPr>
          <w:rFonts w:ascii="宋体" w:hAnsi="宋体"/>
        </w:rPr>
        <w:t xml:space="preserve">9.4.6  </w:t>
      </w:r>
      <w:r>
        <w:rPr>
          <w:rFonts w:hint="eastAsia" w:ascii="宋体" w:hAnsi="宋体"/>
        </w:rPr>
        <w:t>承包人应按国家饮用水管理标准定期对饮用水源进行监测，防止施工活动污染饮用水源。</w:t>
      </w:r>
    </w:p>
    <w:p w14:paraId="357CFBBB">
      <w:pPr>
        <w:spacing w:line="360" w:lineRule="auto"/>
        <w:ind w:firstLine="420" w:firstLineChars="200"/>
        <w:rPr>
          <w:rFonts w:ascii="宋体"/>
        </w:rPr>
      </w:pPr>
      <w:r>
        <w:rPr>
          <w:rFonts w:ascii="宋体" w:hAnsi="宋体"/>
        </w:rPr>
        <w:t xml:space="preserve">9.4.7  </w:t>
      </w:r>
      <w:r>
        <w:rPr>
          <w:rFonts w:hint="eastAsia" w:ascii="宋体" w:hAnsi="宋体"/>
        </w:rPr>
        <w:t>承包人应按合同约定，加强对噪声、粉尘、废气、废水和废油的控制，努力降低噪声，控制粉尘和废气浓度，做好废水和废油的治理和排放。</w:t>
      </w:r>
    </w:p>
    <w:p w14:paraId="56BDE6CF">
      <w:pPr>
        <w:keepNext/>
        <w:keepLines/>
        <w:spacing w:beforeLines="50" w:afterLines="50" w:line="360" w:lineRule="auto"/>
        <w:outlineLvl w:val="2"/>
        <w:rPr>
          <w:rFonts w:ascii="宋体" w:hAnsi="宋体"/>
          <w:sz w:val="24"/>
          <w:szCs w:val="20"/>
        </w:rPr>
      </w:pPr>
      <w:bookmarkStart w:id="1045" w:name="_Toc117597541"/>
      <w:bookmarkStart w:id="1046" w:name="_Toc490222560"/>
      <w:bookmarkStart w:id="1047" w:name="_Toc486580115"/>
      <w:bookmarkStart w:id="1048" w:name="_Toc489279926"/>
      <w:bookmarkStart w:id="1049" w:name="_Toc497213791"/>
      <w:r>
        <w:rPr>
          <w:rFonts w:ascii="宋体" w:hAnsi="宋体"/>
          <w:sz w:val="24"/>
          <w:szCs w:val="20"/>
        </w:rPr>
        <w:t xml:space="preserve">9.5  </w:t>
      </w:r>
      <w:r>
        <w:rPr>
          <w:rFonts w:hint="eastAsia" w:ascii="宋体" w:hAnsi="宋体"/>
          <w:sz w:val="24"/>
          <w:szCs w:val="20"/>
        </w:rPr>
        <w:t>事故处理</w:t>
      </w:r>
      <w:bookmarkEnd w:id="1045"/>
      <w:bookmarkEnd w:id="1046"/>
      <w:bookmarkEnd w:id="1047"/>
      <w:bookmarkEnd w:id="1048"/>
      <w:bookmarkEnd w:id="1049"/>
    </w:p>
    <w:p w14:paraId="31497436">
      <w:pPr>
        <w:spacing w:line="360" w:lineRule="auto"/>
        <w:ind w:firstLine="420" w:firstLineChars="200"/>
        <w:rPr>
          <w:rFonts w:ascii="宋体" w:hAnsi="宋体"/>
        </w:rPr>
      </w:pPr>
      <w:r>
        <w:rPr>
          <w:rFonts w:hint="eastAsia" w:ascii="宋体" w:hAnsi="宋体"/>
        </w:rPr>
        <w:t>工程施工过程中发生事故的，承包人应立即通知监理人，监理人应立即通知发包人。发包人和承包人应立即组织人员和设备进行紧急抢救和抢修，减少人员伤亡和财产损失，防止事故扩大，并保护事故现场。需要移动现场物品时，应作出标记和书面记录，妥善保管有关证据。发包人和承包人应按国家有关规定，及时如实地向有关部门报告事故发生的情况，以及正在采取的紧急措施等。</w:t>
      </w:r>
    </w:p>
    <w:p w14:paraId="64BDD9C8">
      <w:pPr>
        <w:pStyle w:val="250"/>
        <w:spacing w:before="120"/>
      </w:pPr>
      <w:bookmarkStart w:id="1050" w:name="_Toc117597542"/>
      <w:r>
        <w:rPr>
          <w:rFonts w:hint="eastAsia"/>
        </w:rPr>
        <w:t>9.6 施工现场安全生产标准化管理目标</w:t>
      </w:r>
      <w:bookmarkEnd w:id="1050"/>
    </w:p>
    <w:p w14:paraId="3A1E471B">
      <w:pPr>
        <w:spacing w:line="360" w:lineRule="auto"/>
        <w:ind w:firstLine="420" w:firstLineChars="200"/>
        <w:rPr>
          <w:rFonts w:ascii="宋体" w:hAnsi="宋体"/>
        </w:rPr>
      </w:pPr>
      <w:r>
        <w:rPr>
          <w:rFonts w:hint="eastAsia" w:ascii="宋体" w:hAnsi="宋体"/>
        </w:rPr>
        <w:t>9.6.1 由于承包人原因，施工现场安全生产标准化评定、认定等级未达到合同协议书中约定的管理目标等级但“达标（合格）”的，承包人应当向发包人支付未达到合同协议书中约定的安全生产标准化管理目标等级的违约金或损失赔偿金。未达到合同协议书中约定的安全生产标准化管理目标等级的违约金或损失赔偿金的金额或者计算方法</w:t>
      </w:r>
      <w:r>
        <w:rPr>
          <w:rFonts w:hint="eastAsia" w:ascii="黑体" w:hAnsi="黑体" w:eastAsia="黑体"/>
        </w:rPr>
        <w:t>见合同条款专用部分。</w:t>
      </w:r>
    </w:p>
    <w:p w14:paraId="0035A3B3">
      <w:pPr>
        <w:spacing w:line="360" w:lineRule="auto"/>
        <w:ind w:firstLine="420" w:firstLineChars="200"/>
        <w:rPr>
          <w:rFonts w:ascii="宋体" w:hAnsi="宋体"/>
        </w:rPr>
      </w:pPr>
      <w:r>
        <w:rPr>
          <w:rFonts w:hint="eastAsia" w:ascii="宋体" w:hAnsi="宋体"/>
        </w:rPr>
        <w:t>9.6.2 发包人鼓励承包人提高施工现场安全生产标准化管理。施工现场安全生产标准化评定、认定等级高于合同协议书中约定的管理目标等级的，发包人可给予承包人创优奖励。发包人是否给予承包人创优奖励及创优奖励金额或者计算方法</w:t>
      </w:r>
      <w:r>
        <w:rPr>
          <w:rFonts w:hint="eastAsia" w:ascii="黑体" w:hAnsi="黑体" w:eastAsia="黑体"/>
        </w:rPr>
        <w:t>见合同条款专用部分。</w:t>
      </w:r>
    </w:p>
    <w:p w14:paraId="4E26C019">
      <w:pPr>
        <w:pStyle w:val="250"/>
        <w:tabs>
          <w:tab w:val="left" w:pos="284"/>
          <w:tab w:val="left" w:pos="567"/>
        </w:tabs>
        <w:spacing w:before="120"/>
      </w:pPr>
      <w:bookmarkStart w:id="1051" w:name="_Toc117597543"/>
      <w:r>
        <w:rPr>
          <w:rFonts w:hint="eastAsia"/>
        </w:rPr>
        <w:t>9</w:t>
      </w:r>
      <w:r>
        <w:t xml:space="preserve">.7  </w:t>
      </w:r>
      <w:r>
        <w:rPr>
          <w:rFonts w:hint="eastAsia"/>
        </w:rPr>
        <w:t>特殊安全文明施工</w:t>
      </w:r>
      <w:bookmarkEnd w:id="1051"/>
    </w:p>
    <w:p w14:paraId="667C35C4">
      <w:pPr>
        <w:spacing w:line="360" w:lineRule="auto"/>
        <w:ind w:firstLine="420" w:firstLineChars="200"/>
        <w:rPr>
          <w:rFonts w:ascii="宋体" w:hAnsi="宋体"/>
        </w:rPr>
      </w:pPr>
      <w:r>
        <w:rPr>
          <w:rFonts w:hint="eastAsia" w:ascii="宋体" w:hAnsi="宋体"/>
        </w:rPr>
        <w:t>9.</w:t>
      </w:r>
      <w:r>
        <w:rPr>
          <w:rFonts w:ascii="宋体" w:hAnsi="宋体"/>
        </w:rPr>
        <w:t>7</w:t>
      </w:r>
      <w:r>
        <w:rPr>
          <w:rFonts w:hint="eastAsia" w:ascii="宋体" w:hAnsi="宋体"/>
        </w:rPr>
        <w:t>.1由于承包人原因，特殊安全文明施工要求未达到合同约定的要求，承包人应当向发包人支付未达到合同约定的特殊安全文明施工要求的违约金或损失赔偿金。未达到合同约定的特殊安全文明施工要求的违约金或损失赔偿金的金额或者计算方法</w:t>
      </w:r>
      <w:r>
        <w:rPr>
          <w:rFonts w:hint="eastAsia" w:ascii="黑体" w:hAnsi="黑体" w:eastAsia="黑体"/>
        </w:rPr>
        <w:t>见合同条款专用部分。</w:t>
      </w:r>
    </w:p>
    <w:p w14:paraId="782CFAD9">
      <w:pPr>
        <w:spacing w:line="360" w:lineRule="auto"/>
        <w:ind w:firstLine="420" w:firstLineChars="200"/>
        <w:rPr>
          <w:rFonts w:ascii="黑体" w:hAnsi="黑体" w:eastAsia="黑体"/>
        </w:rPr>
      </w:pPr>
      <w:r>
        <w:rPr>
          <w:rFonts w:hint="eastAsia" w:ascii="宋体" w:hAnsi="宋体"/>
        </w:rPr>
        <w:t>9.</w:t>
      </w:r>
      <w:r>
        <w:rPr>
          <w:rFonts w:ascii="宋体" w:hAnsi="宋体"/>
        </w:rPr>
        <w:t>7</w:t>
      </w:r>
      <w:r>
        <w:rPr>
          <w:rFonts w:hint="eastAsia" w:ascii="宋体" w:hAnsi="宋体"/>
        </w:rPr>
        <w:t>.2 发包人鼓励承包人提高特殊安全文明施工要求。特殊安全文明施工要求高于合同约定的要求，发包人可给予承包人创优奖励。发包人是否给予承包人创优奖励及创优奖励金额或者计算方法</w:t>
      </w:r>
      <w:r>
        <w:rPr>
          <w:rFonts w:hint="eastAsia" w:ascii="黑体" w:hAnsi="黑体" w:eastAsia="黑体"/>
        </w:rPr>
        <w:t>见合同条款专用部分。</w:t>
      </w:r>
    </w:p>
    <w:p w14:paraId="5C6BABB1">
      <w:pPr>
        <w:keepNext/>
        <w:keepLines/>
        <w:spacing w:beforeLines="50" w:afterLines="50" w:line="360" w:lineRule="auto"/>
        <w:outlineLvl w:val="1"/>
        <w:rPr>
          <w:rFonts w:ascii="宋体" w:hAnsi="宋体" w:cs="宋体"/>
          <w:sz w:val="28"/>
          <w:szCs w:val="20"/>
        </w:rPr>
      </w:pPr>
      <w:bookmarkStart w:id="1052" w:name="_Toc486580116"/>
      <w:bookmarkStart w:id="1053" w:name="_Toc490222561"/>
      <w:bookmarkStart w:id="1054" w:name="_Toc489279927"/>
      <w:bookmarkStart w:id="1055" w:name="_Toc497213792"/>
      <w:bookmarkStart w:id="1056" w:name="_Toc117597544"/>
      <w:r>
        <w:rPr>
          <w:rFonts w:ascii="宋体" w:hAnsi="宋体" w:cs="宋体"/>
          <w:sz w:val="28"/>
          <w:szCs w:val="20"/>
        </w:rPr>
        <w:t>10.</w:t>
      </w:r>
      <w:r>
        <w:rPr>
          <w:rFonts w:hint="eastAsia" w:ascii="宋体" w:hAnsi="宋体" w:cs="宋体"/>
          <w:sz w:val="28"/>
          <w:szCs w:val="20"/>
        </w:rPr>
        <w:t>进度计划</w:t>
      </w:r>
      <w:bookmarkEnd w:id="1052"/>
      <w:bookmarkEnd w:id="1053"/>
      <w:bookmarkEnd w:id="1054"/>
      <w:bookmarkEnd w:id="1055"/>
      <w:bookmarkEnd w:id="1056"/>
    </w:p>
    <w:p w14:paraId="4C5C37BB">
      <w:pPr>
        <w:keepNext/>
        <w:keepLines/>
        <w:spacing w:beforeLines="50" w:afterLines="50" w:line="360" w:lineRule="auto"/>
        <w:outlineLvl w:val="2"/>
        <w:rPr>
          <w:rFonts w:ascii="宋体" w:hAnsi="宋体"/>
          <w:sz w:val="24"/>
          <w:szCs w:val="20"/>
        </w:rPr>
      </w:pPr>
      <w:bookmarkStart w:id="1057" w:name="_Toc486580117"/>
      <w:bookmarkStart w:id="1058" w:name="_Toc489279928"/>
      <w:bookmarkStart w:id="1059" w:name="_Toc497213793"/>
      <w:bookmarkStart w:id="1060" w:name="_Toc490222562"/>
      <w:bookmarkStart w:id="1061" w:name="_Toc117597545"/>
      <w:r>
        <w:rPr>
          <w:rFonts w:ascii="宋体" w:hAnsi="宋体"/>
          <w:sz w:val="24"/>
          <w:szCs w:val="20"/>
        </w:rPr>
        <w:t xml:space="preserve">10.1  </w:t>
      </w:r>
      <w:r>
        <w:rPr>
          <w:rFonts w:hint="eastAsia" w:ascii="宋体" w:hAnsi="宋体"/>
          <w:sz w:val="24"/>
          <w:szCs w:val="20"/>
        </w:rPr>
        <w:t>合同进度计划</w:t>
      </w:r>
      <w:bookmarkEnd w:id="1057"/>
      <w:bookmarkEnd w:id="1058"/>
      <w:bookmarkEnd w:id="1059"/>
      <w:bookmarkEnd w:id="1060"/>
      <w:bookmarkEnd w:id="1061"/>
    </w:p>
    <w:p w14:paraId="7C2578AD">
      <w:pPr>
        <w:spacing w:line="360" w:lineRule="auto"/>
        <w:ind w:firstLine="420" w:firstLineChars="200"/>
        <w:rPr>
          <w:rFonts w:ascii="宋体"/>
        </w:rPr>
      </w:pPr>
      <w:r>
        <w:rPr>
          <w:rFonts w:ascii="宋体" w:hAnsi="宋体"/>
        </w:rPr>
        <w:t xml:space="preserve">10.1.1  </w:t>
      </w:r>
      <w:r>
        <w:rPr>
          <w:rFonts w:hint="eastAsia" w:ascii="宋体" w:hAnsi="宋体"/>
        </w:rPr>
        <w:t>承包人应当在收到监理人按照第</w:t>
      </w:r>
      <w:r>
        <w:rPr>
          <w:rFonts w:ascii="宋体" w:hAnsi="宋体"/>
        </w:rPr>
        <w:t>11.1.1</w:t>
      </w:r>
      <w:r>
        <w:rPr>
          <w:rFonts w:hint="eastAsia" w:ascii="宋体" w:hAnsi="宋体"/>
        </w:rPr>
        <w:t>项发出的开工通知后</w:t>
      </w:r>
      <w:r>
        <w:rPr>
          <w:rFonts w:ascii="宋体" w:hAnsi="宋体"/>
        </w:rPr>
        <w:t>7</w:t>
      </w:r>
      <w:r>
        <w:rPr>
          <w:rFonts w:hint="eastAsia" w:ascii="宋体" w:hAnsi="宋体"/>
        </w:rPr>
        <w:t>天内，编制详细的施工进度计划和施工方案说明报送监理人，施工进度计划应当</w:t>
      </w:r>
      <w:r>
        <w:rPr>
          <w:rFonts w:ascii="宋体" w:hAnsi="宋体"/>
        </w:rPr>
        <w:t>反映</w:t>
      </w:r>
      <w:r>
        <w:rPr>
          <w:rFonts w:hint="eastAsia" w:ascii="宋体" w:hAnsi="宋体"/>
        </w:rPr>
        <w:t>进度管理的相关要素，包括开工日期和竣工日期、要求发包人组织设计人进行阶段性工程设计交底的时间、区段工程的开始时间和完成时间、施工次序和方法、施工活动的逻辑关系，主要材料和设备进场时间和数量，管理人员、劳动力及主要施工机械设备进出场时间和数量，保障</w:t>
      </w:r>
      <w:r>
        <w:rPr>
          <w:rFonts w:ascii="宋体" w:hAnsi="宋体"/>
        </w:rPr>
        <w:t>工程</w:t>
      </w:r>
      <w:r>
        <w:rPr>
          <w:rFonts w:hint="eastAsia" w:ascii="宋体" w:hAnsi="宋体"/>
        </w:rPr>
        <w:t>安全</w:t>
      </w:r>
      <w:r>
        <w:rPr>
          <w:rFonts w:ascii="宋体" w:hAnsi="宋体"/>
        </w:rPr>
        <w:t>、质量</w:t>
      </w:r>
      <w:r>
        <w:rPr>
          <w:rFonts w:hint="eastAsia" w:ascii="宋体" w:hAnsi="宋体"/>
        </w:rPr>
        <w:t>和工期</w:t>
      </w:r>
      <w:r>
        <w:rPr>
          <w:rFonts w:ascii="宋体" w:hAnsi="宋体"/>
        </w:rPr>
        <w:t>的技术措施等</w:t>
      </w:r>
      <w:r>
        <w:rPr>
          <w:rFonts w:hint="eastAsia" w:ascii="宋体" w:hAnsi="宋体"/>
        </w:rPr>
        <w:t>。监理人应在收到承包人报送的相关进度计划和施工方案说明后</w:t>
      </w:r>
      <w:r>
        <w:rPr>
          <w:rFonts w:ascii="宋体" w:hAnsi="宋体"/>
        </w:rPr>
        <w:t>14</w:t>
      </w:r>
      <w:r>
        <w:rPr>
          <w:rFonts w:hint="eastAsia" w:ascii="宋体" w:hAnsi="宋体"/>
        </w:rPr>
        <w:t>天内批复或提出修改意见，否则该进度计划视为已得到批准。经监理人批准的施工进度计划称合同进度计划，是控制合同工程进度的依据。承包人编制施工进度计划和施工方案说明的内容</w:t>
      </w:r>
      <w:r>
        <w:rPr>
          <w:rFonts w:hint="eastAsia" w:ascii="黑体" w:hAnsi="黑体" w:eastAsia="黑体"/>
        </w:rPr>
        <w:t>见合同条款专用部分。</w:t>
      </w:r>
    </w:p>
    <w:p w14:paraId="1C9AE71E">
      <w:pPr>
        <w:spacing w:line="360" w:lineRule="auto"/>
        <w:ind w:firstLine="420" w:firstLineChars="200"/>
        <w:rPr>
          <w:rFonts w:ascii="宋体"/>
        </w:rPr>
      </w:pPr>
      <w:r>
        <w:rPr>
          <w:rFonts w:ascii="宋体" w:hAnsi="宋体"/>
        </w:rPr>
        <w:t xml:space="preserve">10.1.2  </w:t>
      </w:r>
      <w:r>
        <w:rPr>
          <w:rFonts w:hint="eastAsia" w:ascii="宋体" w:hAnsi="宋体"/>
        </w:rPr>
        <w:t>承包人还应根据合同进度计划，按照第</w:t>
      </w:r>
      <w:r>
        <w:rPr>
          <w:rFonts w:ascii="宋体" w:hAnsi="宋体"/>
        </w:rPr>
        <w:t>10.1.1</w:t>
      </w:r>
      <w:r>
        <w:rPr>
          <w:rFonts w:hint="eastAsia" w:ascii="宋体" w:hAnsi="宋体"/>
        </w:rPr>
        <w:t>项相关约定编制更为详细的分阶段或分项进度计划，报监理人审批。承包人编制分阶段或分项施工进度计划和施工方案说明的内容及时限要求</w:t>
      </w:r>
      <w:r>
        <w:rPr>
          <w:rFonts w:hint="eastAsia" w:ascii="黑体" w:hAnsi="黑体" w:eastAsia="黑体"/>
        </w:rPr>
        <w:t>见合同条款专用部分。</w:t>
      </w:r>
    </w:p>
    <w:p w14:paraId="07160AAD">
      <w:pPr>
        <w:spacing w:line="360" w:lineRule="auto"/>
        <w:ind w:firstLine="420" w:firstLineChars="200"/>
        <w:rPr>
          <w:rFonts w:ascii="宋体"/>
        </w:rPr>
      </w:pPr>
      <w:r>
        <w:rPr>
          <w:rFonts w:ascii="宋体" w:hAnsi="宋体"/>
        </w:rPr>
        <w:t xml:space="preserve">10.1.3  </w:t>
      </w:r>
      <w:r>
        <w:rPr>
          <w:rFonts w:hint="eastAsia" w:ascii="宋体" w:hAnsi="宋体"/>
        </w:rPr>
        <w:t>群体工程中单位工程分期进行施工的，承包人应当按照发包人提供图纸及有关资料的时间要求，编制单位工程进度计划和施工方案说明。群体工程中有关编制进度计划和施工方案说明的要求</w:t>
      </w:r>
      <w:r>
        <w:rPr>
          <w:rFonts w:hint="eastAsia" w:ascii="黑体" w:hAnsi="黑体" w:eastAsia="黑体"/>
        </w:rPr>
        <w:t>见合同条款专用部分。</w:t>
      </w:r>
    </w:p>
    <w:p w14:paraId="67AEB10D">
      <w:pPr>
        <w:keepNext/>
        <w:keepLines/>
        <w:spacing w:beforeLines="50" w:afterLines="50" w:line="360" w:lineRule="auto"/>
        <w:outlineLvl w:val="2"/>
        <w:rPr>
          <w:rFonts w:ascii="宋体" w:hAnsi="宋体"/>
          <w:sz w:val="24"/>
          <w:szCs w:val="20"/>
        </w:rPr>
      </w:pPr>
      <w:bookmarkStart w:id="1062" w:name="_Toc490222563"/>
      <w:bookmarkStart w:id="1063" w:name="_Toc489279929"/>
      <w:bookmarkStart w:id="1064" w:name="_Toc497213794"/>
      <w:bookmarkStart w:id="1065" w:name="_Toc117597546"/>
      <w:bookmarkStart w:id="1066" w:name="_Toc486580118"/>
      <w:r>
        <w:rPr>
          <w:rFonts w:ascii="宋体" w:hAnsi="宋体"/>
          <w:sz w:val="24"/>
          <w:szCs w:val="20"/>
        </w:rPr>
        <w:t xml:space="preserve">10.2  </w:t>
      </w:r>
      <w:r>
        <w:rPr>
          <w:rFonts w:hint="eastAsia" w:ascii="宋体" w:hAnsi="宋体"/>
          <w:sz w:val="24"/>
          <w:szCs w:val="20"/>
        </w:rPr>
        <w:t>合同进度计划的修订</w:t>
      </w:r>
      <w:bookmarkEnd w:id="1062"/>
      <w:bookmarkEnd w:id="1063"/>
      <w:bookmarkEnd w:id="1064"/>
      <w:bookmarkEnd w:id="1065"/>
      <w:bookmarkEnd w:id="1066"/>
    </w:p>
    <w:p w14:paraId="7328DC4A">
      <w:pPr>
        <w:spacing w:line="360" w:lineRule="auto"/>
        <w:ind w:firstLine="420" w:firstLineChars="200"/>
        <w:rPr>
          <w:rFonts w:ascii="宋体"/>
        </w:rPr>
      </w:pPr>
      <w:r>
        <w:rPr>
          <w:rFonts w:ascii="宋体" w:hAnsi="宋体"/>
        </w:rPr>
        <w:t xml:space="preserve">10.2.1  </w:t>
      </w:r>
      <w:r>
        <w:rPr>
          <w:rFonts w:hint="eastAsia" w:ascii="宋体" w:hAnsi="宋体"/>
        </w:rPr>
        <w:t>不论何种原因造成工程的实际进度与第</w:t>
      </w:r>
      <w:r>
        <w:rPr>
          <w:rFonts w:ascii="宋体" w:hAnsi="宋体"/>
        </w:rPr>
        <w:t>10.1</w:t>
      </w:r>
      <w:r>
        <w:rPr>
          <w:rFonts w:hint="eastAsia" w:ascii="宋体" w:hAnsi="宋体"/>
        </w:rPr>
        <w:t>款的合同进度计划不符时，承包人可以在合同条款专用部分约定的期限内向监理人提交修订合同进度计划的申请报告，并附有关措施和相关资料，报监理人审批；</w:t>
      </w:r>
    </w:p>
    <w:p w14:paraId="09C83000">
      <w:pPr>
        <w:spacing w:line="360" w:lineRule="auto"/>
        <w:ind w:firstLine="420" w:firstLineChars="200"/>
        <w:rPr>
          <w:rFonts w:ascii="宋体" w:hAnsi="宋体"/>
        </w:rPr>
      </w:pPr>
      <w:r>
        <w:rPr>
          <w:rFonts w:ascii="宋体" w:hAnsi="宋体"/>
        </w:rPr>
        <w:t xml:space="preserve">10.2.2  </w:t>
      </w:r>
      <w:r>
        <w:rPr>
          <w:rFonts w:hint="eastAsia" w:ascii="宋体" w:hAnsi="宋体"/>
        </w:rPr>
        <w:t>监理人也可以直接向承包人作出修订合同进度计划的指示，承包人应按该指示修订合同进度计划，报监理人审批。监理人应在合同条款专用部分约定的期限内完成批复。监理人在批复前应获得发包人同意。</w:t>
      </w:r>
    </w:p>
    <w:p w14:paraId="5D6D214C">
      <w:pPr>
        <w:spacing w:line="360" w:lineRule="auto"/>
        <w:ind w:firstLine="420" w:firstLineChars="200"/>
        <w:rPr>
          <w:rFonts w:ascii="宋体" w:hAnsi="宋体"/>
        </w:rPr>
      </w:pPr>
      <w:r>
        <w:rPr>
          <w:rFonts w:hint="eastAsia" w:ascii="宋体" w:hAnsi="宋体"/>
        </w:rPr>
        <w:t>1</w:t>
      </w:r>
      <w:r>
        <w:rPr>
          <w:rFonts w:ascii="宋体" w:hAnsi="宋体"/>
        </w:rPr>
        <w:t>0.2.3</w:t>
      </w:r>
      <w:r>
        <w:rPr>
          <w:rFonts w:hint="eastAsia" w:ascii="宋体" w:hAnsi="宋体"/>
        </w:rPr>
        <w:t>发包人对修订合同进度计划的批准，不影响发包人主张逾期损失赔偿和（或）承包人主张工期顺延的权利。</w:t>
      </w:r>
    </w:p>
    <w:p w14:paraId="3B51BE83">
      <w:pPr>
        <w:keepNext/>
        <w:keepLines/>
        <w:spacing w:beforeLines="50" w:afterLines="50" w:line="360" w:lineRule="auto"/>
        <w:outlineLvl w:val="2"/>
        <w:rPr>
          <w:rFonts w:ascii="宋体" w:hAnsi="宋体"/>
          <w:sz w:val="24"/>
          <w:szCs w:val="20"/>
        </w:rPr>
      </w:pPr>
      <w:bookmarkStart w:id="1067" w:name="_Toc113973445"/>
      <w:bookmarkStart w:id="1068" w:name="_Toc117597547"/>
      <w:r>
        <w:rPr>
          <w:rFonts w:ascii="宋体" w:hAnsi="宋体"/>
          <w:sz w:val="24"/>
          <w:szCs w:val="20"/>
        </w:rPr>
        <w:t xml:space="preserve">10.3  </w:t>
      </w:r>
      <w:bookmarkStart w:id="1069" w:name="_Hlk112684339"/>
      <w:r>
        <w:rPr>
          <w:rFonts w:hint="eastAsia" w:ascii="宋体" w:hAnsi="宋体"/>
          <w:sz w:val="24"/>
          <w:szCs w:val="20"/>
        </w:rPr>
        <w:t>合同进度计划的其他要求</w:t>
      </w:r>
      <w:bookmarkEnd w:id="1067"/>
      <w:bookmarkEnd w:id="1068"/>
      <w:bookmarkEnd w:id="1069"/>
    </w:p>
    <w:p w14:paraId="6E92BFFA">
      <w:pPr>
        <w:spacing w:line="360" w:lineRule="auto"/>
        <w:ind w:firstLine="420" w:firstLineChars="200"/>
        <w:rPr>
          <w:rFonts w:ascii="宋体" w:hAnsi="宋体"/>
        </w:rPr>
      </w:pPr>
      <w:r>
        <w:rPr>
          <w:rFonts w:ascii="宋体" w:hAnsi="宋体"/>
        </w:rPr>
        <w:t xml:space="preserve">10.3.1  </w:t>
      </w:r>
      <w:r>
        <w:rPr>
          <w:rFonts w:hint="eastAsia" w:ascii="宋体" w:hAnsi="宋体"/>
        </w:rPr>
        <w:t>经发包人批准的合同进度计划或最新版本合同进度计划的修订是发承包双方调配施工生产资源和实施进度管理的根据。</w:t>
      </w:r>
    </w:p>
    <w:p w14:paraId="07D79BF5">
      <w:pPr>
        <w:spacing w:line="360" w:lineRule="auto"/>
        <w:ind w:firstLine="420" w:firstLineChars="200"/>
        <w:rPr>
          <w:rFonts w:ascii="宋体" w:hAnsi="宋体"/>
        </w:rPr>
      </w:pPr>
      <w:r>
        <w:rPr>
          <w:rFonts w:ascii="宋体" w:hAnsi="宋体"/>
        </w:rPr>
        <w:t xml:space="preserve">10.3.2  </w:t>
      </w:r>
      <w:bookmarkStart w:id="1070" w:name="_Hlk112684475"/>
      <w:bookmarkStart w:id="1071" w:name="_Hlk112684377"/>
      <w:r>
        <w:rPr>
          <w:rFonts w:hint="eastAsia" w:ascii="宋体" w:hAnsi="宋体"/>
        </w:rPr>
        <w:t>施工进度计划管理的人员配置</w:t>
      </w:r>
      <w:bookmarkEnd w:id="1070"/>
      <w:r>
        <w:rPr>
          <w:rFonts w:hint="eastAsia" w:ascii="宋体" w:hAnsi="宋体"/>
        </w:rPr>
        <w:t>要求</w:t>
      </w:r>
      <w:bookmarkEnd w:id="1071"/>
      <w:r>
        <w:rPr>
          <w:rFonts w:hint="eastAsia" w:ascii="黑体" w:hAnsi="黑体" w:eastAsia="黑体"/>
        </w:rPr>
        <w:t>见合同条款专用部分。</w:t>
      </w:r>
    </w:p>
    <w:p w14:paraId="67997EF9">
      <w:pPr>
        <w:spacing w:line="360" w:lineRule="auto"/>
        <w:ind w:firstLine="420" w:firstLineChars="200"/>
        <w:rPr>
          <w:rFonts w:ascii="宋体" w:hAnsi="宋体"/>
        </w:rPr>
      </w:pPr>
      <w:r>
        <w:rPr>
          <w:rFonts w:ascii="宋体" w:hAnsi="宋体"/>
        </w:rPr>
        <w:t xml:space="preserve">10.3.3  </w:t>
      </w:r>
      <w:bookmarkStart w:id="1072" w:name="_Hlk112684387"/>
      <w:r>
        <w:rPr>
          <w:rFonts w:hint="eastAsia" w:ascii="宋体" w:hAnsi="宋体"/>
        </w:rPr>
        <w:t>施工进度计划的计算机应用软件要求</w:t>
      </w:r>
      <w:bookmarkEnd w:id="1072"/>
      <w:r>
        <w:rPr>
          <w:rFonts w:hint="eastAsia" w:ascii="黑体" w:hAnsi="黑体" w:eastAsia="黑体"/>
        </w:rPr>
        <w:t>见合同条款专用部分。</w:t>
      </w:r>
    </w:p>
    <w:p w14:paraId="3A68AA3B">
      <w:pPr>
        <w:keepNext/>
        <w:keepLines/>
        <w:spacing w:beforeLines="50" w:afterLines="50" w:line="360" w:lineRule="auto"/>
        <w:outlineLvl w:val="1"/>
        <w:rPr>
          <w:rFonts w:ascii="宋体" w:hAnsi="宋体" w:cs="宋体"/>
          <w:sz w:val="28"/>
          <w:szCs w:val="20"/>
        </w:rPr>
      </w:pPr>
      <w:bookmarkStart w:id="1073" w:name="_Toc486580119"/>
      <w:bookmarkStart w:id="1074" w:name="_Toc497213795"/>
      <w:bookmarkStart w:id="1075" w:name="_Toc489279930"/>
      <w:bookmarkStart w:id="1076" w:name="_Toc117597548"/>
      <w:bookmarkStart w:id="1077" w:name="_Toc490222564"/>
      <w:r>
        <w:rPr>
          <w:rFonts w:ascii="宋体" w:hAnsi="宋体" w:cs="宋体"/>
          <w:sz w:val="28"/>
          <w:szCs w:val="20"/>
        </w:rPr>
        <w:t>11.</w:t>
      </w:r>
      <w:r>
        <w:rPr>
          <w:rFonts w:hint="eastAsia" w:ascii="宋体" w:hAnsi="宋体" w:cs="宋体"/>
          <w:sz w:val="28"/>
          <w:szCs w:val="20"/>
        </w:rPr>
        <w:t>开工和竣工</w:t>
      </w:r>
      <w:bookmarkEnd w:id="1073"/>
      <w:bookmarkEnd w:id="1074"/>
      <w:bookmarkEnd w:id="1075"/>
      <w:bookmarkEnd w:id="1076"/>
      <w:bookmarkEnd w:id="1077"/>
    </w:p>
    <w:p w14:paraId="15CF5E0A">
      <w:pPr>
        <w:keepNext/>
        <w:keepLines/>
        <w:spacing w:beforeLines="50" w:afterLines="50" w:line="360" w:lineRule="auto"/>
        <w:outlineLvl w:val="2"/>
        <w:rPr>
          <w:rFonts w:ascii="宋体" w:hAnsi="宋体"/>
          <w:sz w:val="24"/>
          <w:szCs w:val="20"/>
        </w:rPr>
      </w:pPr>
      <w:bookmarkStart w:id="1078" w:name="_Toc486580120"/>
      <w:bookmarkStart w:id="1079" w:name="_Toc497213796"/>
      <w:bookmarkStart w:id="1080" w:name="_Toc489279931"/>
      <w:bookmarkStart w:id="1081" w:name="_Toc117597549"/>
      <w:bookmarkStart w:id="1082" w:name="_Toc490222565"/>
      <w:r>
        <w:rPr>
          <w:rFonts w:ascii="宋体" w:hAnsi="宋体"/>
          <w:sz w:val="24"/>
          <w:szCs w:val="20"/>
        </w:rPr>
        <w:t xml:space="preserve">11.1  </w:t>
      </w:r>
      <w:r>
        <w:rPr>
          <w:rFonts w:hint="eastAsia" w:ascii="宋体" w:hAnsi="宋体"/>
          <w:sz w:val="24"/>
          <w:szCs w:val="20"/>
        </w:rPr>
        <w:t>开工</w:t>
      </w:r>
      <w:bookmarkEnd w:id="1078"/>
      <w:bookmarkEnd w:id="1079"/>
      <w:bookmarkEnd w:id="1080"/>
      <w:bookmarkEnd w:id="1081"/>
      <w:bookmarkEnd w:id="1082"/>
    </w:p>
    <w:p w14:paraId="57BC8AA0">
      <w:pPr>
        <w:spacing w:line="360" w:lineRule="auto"/>
        <w:ind w:firstLine="420" w:firstLineChars="200"/>
        <w:rPr>
          <w:rFonts w:ascii="宋体"/>
        </w:rPr>
      </w:pPr>
      <w:r>
        <w:rPr>
          <w:rFonts w:ascii="宋体" w:hAnsi="宋体"/>
        </w:rPr>
        <w:t xml:space="preserve">11.1.1  </w:t>
      </w:r>
      <w:r>
        <w:rPr>
          <w:rFonts w:hint="eastAsia" w:ascii="宋体" w:hAnsi="宋体"/>
        </w:rPr>
        <w:t>监理人应在开工日期</w:t>
      </w:r>
      <w:r>
        <w:rPr>
          <w:rFonts w:ascii="宋体" w:hAnsi="宋体"/>
        </w:rPr>
        <w:t>7</w:t>
      </w:r>
      <w:r>
        <w:rPr>
          <w:rFonts w:hint="eastAsia" w:ascii="宋体" w:hAnsi="宋体"/>
        </w:rPr>
        <w:t>天前向承包人发出开工通知。监理人在发出开工通知前应获得发包人同意。工期自监理人发出的开工通知中载明的开工日期起计算。承包人应在开工日期后尽快施工。</w:t>
      </w:r>
    </w:p>
    <w:p w14:paraId="59A2C4FC">
      <w:pPr>
        <w:spacing w:line="360" w:lineRule="auto"/>
        <w:ind w:firstLine="420" w:firstLineChars="200"/>
        <w:rPr>
          <w:rFonts w:ascii="宋体"/>
          <w:shd w:val="pct10" w:color="auto" w:fill="FFFFFF"/>
        </w:rPr>
      </w:pPr>
      <w:r>
        <w:rPr>
          <w:rFonts w:ascii="宋体" w:hAnsi="宋体"/>
        </w:rPr>
        <w:t xml:space="preserve">11.1.2  </w:t>
      </w:r>
      <w:r>
        <w:rPr>
          <w:rFonts w:hint="eastAsia" w:ascii="宋体" w:hAnsi="宋体"/>
        </w:rPr>
        <w:t>承包人应按第</w:t>
      </w:r>
      <w:r>
        <w:rPr>
          <w:rFonts w:ascii="宋体" w:hAnsi="宋体"/>
        </w:rPr>
        <w:t>10.1</w:t>
      </w:r>
      <w:r>
        <w:rPr>
          <w:rFonts w:hint="eastAsia" w:ascii="宋体" w:hAnsi="宋体"/>
        </w:rPr>
        <w:t>款约定的合同进度计划，向监理人提交工程开工报审表，经监理人审批后执行。开工报审表应详细说明按合同进度计划正常施工所需的施工道路、临时设施、材料设备、施工人员等施工组织措施的落实情况以及工程的进度安排。</w:t>
      </w:r>
    </w:p>
    <w:p w14:paraId="75B2C528">
      <w:pPr>
        <w:keepNext/>
        <w:keepLines/>
        <w:spacing w:beforeLines="50" w:afterLines="50" w:line="360" w:lineRule="auto"/>
        <w:outlineLvl w:val="2"/>
        <w:rPr>
          <w:rFonts w:ascii="宋体" w:hAnsi="宋体"/>
          <w:sz w:val="24"/>
          <w:szCs w:val="20"/>
        </w:rPr>
      </w:pPr>
      <w:bookmarkStart w:id="1083" w:name="_Toc486580121"/>
      <w:bookmarkStart w:id="1084" w:name="_Toc489279932"/>
      <w:bookmarkStart w:id="1085" w:name="_Toc117597550"/>
      <w:bookmarkStart w:id="1086" w:name="_Toc490222566"/>
      <w:bookmarkStart w:id="1087" w:name="_Toc497213797"/>
      <w:r>
        <w:rPr>
          <w:rFonts w:ascii="宋体" w:hAnsi="宋体"/>
          <w:sz w:val="24"/>
          <w:szCs w:val="20"/>
        </w:rPr>
        <w:t xml:space="preserve">11.2  </w:t>
      </w:r>
      <w:r>
        <w:rPr>
          <w:rFonts w:hint="eastAsia" w:ascii="宋体" w:hAnsi="宋体"/>
          <w:sz w:val="24"/>
          <w:szCs w:val="20"/>
        </w:rPr>
        <w:t>竣工</w:t>
      </w:r>
      <w:bookmarkEnd w:id="1083"/>
      <w:bookmarkEnd w:id="1084"/>
      <w:bookmarkEnd w:id="1085"/>
      <w:bookmarkEnd w:id="1086"/>
      <w:bookmarkEnd w:id="1087"/>
    </w:p>
    <w:p w14:paraId="39FCFA94">
      <w:pPr>
        <w:spacing w:line="360" w:lineRule="auto"/>
        <w:ind w:firstLine="420" w:firstLineChars="200"/>
        <w:rPr>
          <w:rFonts w:ascii="宋体"/>
        </w:rPr>
      </w:pPr>
      <w:r>
        <w:rPr>
          <w:rFonts w:hint="eastAsia" w:ascii="宋体" w:hAnsi="宋体"/>
        </w:rPr>
        <w:t>承包人应在第</w:t>
      </w:r>
      <w:r>
        <w:rPr>
          <w:rFonts w:ascii="宋体" w:hAnsi="宋体"/>
        </w:rPr>
        <w:t>1.1.4.3</w:t>
      </w:r>
      <w:r>
        <w:rPr>
          <w:rFonts w:hint="eastAsia" w:ascii="宋体" w:hAnsi="宋体"/>
        </w:rPr>
        <w:t>目约定的期限内完成合同工程。实际竣工日期在接收证书中写明。</w:t>
      </w:r>
    </w:p>
    <w:p w14:paraId="6254E4A5">
      <w:pPr>
        <w:keepNext/>
        <w:keepLines/>
        <w:spacing w:beforeLines="50" w:afterLines="50" w:line="360" w:lineRule="auto"/>
        <w:outlineLvl w:val="2"/>
        <w:rPr>
          <w:rFonts w:ascii="宋体" w:hAnsi="宋体"/>
          <w:sz w:val="24"/>
          <w:szCs w:val="20"/>
        </w:rPr>
      </w:pPr>
      <w:bookmarkStart w:id="1088" w:name="_Toc489279933"/>
      <w:bookmarkStart w:id="1089" w:name="_Toc486580122"/>
      <w:bookmarkStart w:id="1090" w:name="_Toc490222567"/>
      <w:bookmarkStart w:id="1091" w:name="_Toc117597551"/>
      <w:bookmarkStart w:id="1092" w:name="_Toc497213798"/>
      <w:r>
        <w:rPr>
          <w:rFonts w:ascii="宋体" w:hAnsi="宋体"/>
          <w:sz w:val="24"/>
          <w:szCs w:val="20"/>
        </w:rPr>
        <w:t xml:space="preserve">11.3  </w:t>
      </w:r>
      <w:r>
        <w:rPr>
          <w:rFonts w:hint="eastAsia" w:ascii="宋体" w:hAnsi="宋体"/>
          <w:sz w:val="24"/>
          <w:szCs w:val="20"/>
        </w:rPr>
        <w:t>发包人的工期延误</w:t>
      </w:r>
      <w:bookmarkEnd w:id="1088"/>
      <w:bookmarkEnd w:id="1089"/>
      <w:bookmarkEnd w:id="1090"/>
      <w:bookmarkEnd w:id="1091"/>
      <w:bookmarkEnd w:id="1092"/>
    </w:p>
    <w:p w14:paraId="3E91912B">
      <w:pPr>
        <w:spacing w:line="360" w:lineRule="auto"/>
        <w:ind w:firstLine="420" w:firstLineChars="200"/>
        <w:rPr>
          <w:rFonts w:ascii="宋体"/>
        </w:rPr>
      </w:pPr>
      <w:r>
        <w:rPr>
          <w:rFonts w:hint="eastAsia" w:ascii="宋体" w:hAnsi="宋体"/>
        </w:rPr>
        <w:t>在履行合同过程中，由于发包人的下列原因造成承包人关键线路工期延误的，承包人有权要求发包人延长工期和（或）增加费用，并支付合理利润。需要修订合同进度计划的，按照第</w:t>
      </w:r>
      <w:r>
        <w:rPr>
          <w:rFonts w:ascii="宋体" w:hAnsi="宋体"/>
        </w:rPr>
        <w:t>10.2</w:t>
      </w:r>
      <w:r>
        <w:rPr>
          <w:rFonts w:hint="eastAsia" w:ascii="宋体" w:hAnsi="宋体"/>
        </w:rPr>
        <w:t>款的约定办理。</w:t>
      </w:r>
    </w:p>
    <w:p w14:paraId="30CCA426">
      <w:pPr>
        <w:spacing w:line="360" w:lineRule="auto"/>
        <w:ind w:firstLine="315" w:firstLineChars="150"/>
        <w:rPr>
          <w:rFonts w:ascii="宋体"/>
        </w:rPr>
      </w:pPr>
      <w:r>
        <w:rPr>
          <w:rFonts w:hint="eastAsia" w:ascii="宋体" w:hAnsi="宋体"/>
        </w:rPr>
        <w:t>（</w:t>
      </w:r>
      <w:r>
        <w:rPr>
          <w:rFonts w:ascii="宋体" w:hAnsi="宋体"/>
        </w:rPr>
        <w:t>1</w:t>
      </w:r>
      <w:r>
        <w:rPr>
          <w:rFonts w:hint="eastAsia" w:ascii="宋体" w:hAnsi="宋体"/>
        </w:rPr>
        <w:t>）增加合同工作内容；</w:t>
      </w:r>
    </w:p>
    <w:p w14:paraId="701EC0FA">
      <w:pPr>
        <w:spacing w:line="360" w:lineRule="auto"/>
        <w:ind w:firstLine="315" w:firstLineChars="150"/>
        <w:rPr>
          <w:rFonts w:ascii="宋体"/>
        </w:rPr>
      </w:pPr>
      <w:r>
        <w:rPr>
          <w:rFonts w:hint="eastAsia" w:ascii="宋体" w:hAnsi="宋体"/>
        </w:rPr>
        <w:t>（</w:t>
      </w:r>
      <w:r>
        <w:rPr>
          <w:rFonts w:ascii="宋体" w:hAnsi="宋体"/>
        </w:rPr>
        <w:t>2</w:t>
      </w:r>
      <w:r>
        <w:rPr>
          <w:rFonts w:hint="eastAsia" w:ascii="宋体" w:hAnsi="宋体"/>
        </w:rPr>
        <w:t>）改变合同中任何一项工作的质量要求或其他特性；</w:t>
      </w:r>
    </w:p>
    <w:p w14:paraId="221C6E8E">
      <w:pPr>
        <w:spacing w:line="360" w:lineRule="auto"/>
        <w:ind w:firstLine="315" w:firstLineChars="150"/>
        <w:rPr>
          <w:rFonts w:ascii="宋体"/>
        </w:rPr>
      </w:pPr>
      <w:r>
        <w:rPr>
          <w:rFonts w:hint="eastAsia" w:ascii="宋体" w:hAnsi="宋体"/>
        </w:rPr>
        <w:t>（</w:t>
      </w:r>
      <w:r>
        <w:rPr>
          <w:rFonts w:ascii="宋体" w:hAnsi="宋体"/>
        </w:rPr>
        <w:t>3</w:t>
      </w:r>
      <w:r>
        <w:rPr>
          <w:rFonts w:hint="eastAsia" w:ascii="宋体" w:hAnsi="宋体"/>
        </w:rPr>
        <w:t>）发包人迟延提供材料、工程设备或变更交货地点的；</w:t>
      </w:r>
    </w:p>
    <w:p w14:paraId="0F18506F">
      <w:pPr>
        <w:spacing w:line="360" w:lineRule="auto"/>
        <w:ind w:firstLine="315" w:firstLineChars="150"/>
        <w:rPr>
          <w:rFonts w:ascii="宋体"/>
        </w:rPr>
      </w:pPr>
      <w:r>
        <w:rPr>
          <w:rFonts w:hint="eastAsia" w:ascii="宋体" w:hAnsi="宋体"/>
        </w:rPr>
        <w:t>（</w:t>
      </w:r>
      <w:r>
        <w:rPr>
          <w:rFonts w:ascii="宋体" w:hAnsi="宋体"/>
        </w:rPr>
        <w:t>4</w:t>
      </w:r>
      <w:r>
        <w:rPr>
          <w:rFonts w:hint="eastAsia" w:ascii="宋体" w:hAnsi="宋体"/>
        </w:rPr>
        <w:t>）因发包人原因导致的暂停施工；</w:t>
      </w:r>
    </w:p>
    <w:p w14:paraId="6E921F76">
      <w:pPr>
        <w:spacing w:line="360" w:lineRule="auto"/>
        <w:ind w:firstLine="315" w:firstLineChars="150"/>
        <w:rPr>
          <w:rFonts w:ascii="宋体"/>
        </w:rPr>
      </w:pPr>
      <w:r>
        <w:rPr>
          <w:rFonts w:hint="eastAsia" w:ascii="宋体" w:hAnsi="宋体"/>
        </w:rPr>
        <w:t>（</w:t>
      </w:r>
      <w:r>
        <w:rPr>
          <w:rFonts w:ascii="宋体" w:hAnsi="宋体"/>
        </w:rPr>
        <w:t>5</w:t>
      </w:r>
      <w:r>
        <w:rPr>
          <w:rFonts w:hint="eastAsia" w:ascii="宋体" w:hAnsi="宋体"/>
        </w:rPr>
        <w:t>）提供图纸延误；</w:t>
      </w:r>
    </w:p>
    <w:p w14:paraId="36EF4B3B">
      <w:pPr>
        <w:spacing w:line="360" w:lineRule="auto"/>
        <w:ind w:firstLine="315" w:firstLineChars="150"/>
        <w:rPr>
          <w:rFonts w:ascii="宋体"/>
        </w:rPr>
      </w:pPr>
      <w:r>
        <w:rPr>
          <w:rFonts w:hint="eastAsia" w:ascii="宋体" w:hAnsi="宋体"/>
        </w:rPr>
        <w:t>（</w:t>
      </w:r>
      <w:r>
        <w:rPr>
          <w:rFonts w:ascii="宋体" w:hAnsi="宋体"/>
        </w:rPr>
        <w:t>6</w:t>
      </w:r>
      <w:r>
        <w:rPr>
          <w:rFonts w:hint="eastAsia" w:ascii="宋体" w:hAnsi="宋体"/>
        </w:rPr>
        <w:t>）未按合同约定及时支付预付款、进度款；</w:t>
      </w:r>
    </w:p>
    <w:p w14:paraId="069DFC33">
      <w:pPr>
        <w:spacing w:line="360" w:lineRule="auto"/>
        <w:ind w:firstLine="315" w:firstLineChars="150"/>
        <w:rPr>
          <w:rFonts w:ascii="宋体"/>
        </w:rPr>
      </w:pPr>
      <w:r>
        <w:rPr>
          <w:rFonts w:hint="eastAsia" w:ascii="宋体" w:hAnsi="宋体"/>
        </w:rPr>
        <w:t>（</w:t>
      </w:r>
      <w:r>
        <w:rPr>
          <w:rFonts w:ascii="宋体" w:hAnsi="宋体"/>
        </w:rPr>
        <w:t>7</w:t>
      </w:r>
      <w:r>
        <w:rPr>
          <w:rFonts w:hint="eastAsia" w:ascii="宋体" w:hAnsi="宋体"/>
        </w:rPr>
        <w:t>）因发包人原因不能按照监理人发出的开工通知中载明的开工日期开工；</w:t>
      </w:r>
    </w:p>
    <w:p w14:paraId="4149BB10">
      <w:pPr>
        <w:spacing w:line="360" w:lineRule="auto"/>
        <w:ind w:firstLine="315" w:firstLineChars="150"/>
        <w:rPr>
          <w:rFonts w:ascii="宋体"/>
        </w:rPr>
      </w:pPr>
      <w:r>
        <w:rPr>
          <w:rFonts w:hint="eastAsia" w:ascii="宋体" w:hAnsi="宋体"/>
        </w:rPr>
        <w:t>（</w:t>
      </w:r>
      <w:r>
        <w:rPr>
          <w:rFonts w:ascii="宋体" w:hAnsi="宋体"/>
        </w:rPr>
        <w:t>8</w:t>
      </w:r>
      <w:r>
        <w:rPr>
          <w:rFonts w:hint="eastAsia" w:ascii="宋体" w:hAnsi="宋体"/>
        </w:rPr>
        <w:t>）发包人造成工期延误的其他原因</w:t>
      </w:r>
      <w:r>
        <w:rPr>
          <w:rFonts w:hint="eastAsia" w:ascii="黑体" w:hAnsi="黑体" w:eastAsia="黑体"/>
        </w:rPr>
        <w:t>见合同条款专用部分。</w:t>
      </w:r>
    </w:p>
    <w:p w14:paraId="0C826DF7">
      <w:pPr>
        <w:keepNext/>
        <w:keepLines/>
        <w:spacing w:beforeLines="50" w:afterLines="50" w:line="360" w:lineRule="auto"/>
        <w:outlineLvl w:val="2"/>
        <w:rPr>
          <w:rFonts w:ascii="宋体" w:hAnsi="宋体"/>
          <w:sz w:val="24"/>
          <w:szCs w:val="20"/>
        </w:rPr>
      </w:pPr>
      <w:bookmarkStart w:id="1093" w:name="_Toc497213799"/>
      <w:bookmarkStart w:id="1094" w:name="_Toc490222568"/>
      <w:bookmarkStart w:id="1095" w:name="_Toc117597552"/>
      <w:bookmarkStart w:id="1096" w:name="_Toc489279934"/>
      <w:bookmarkStart w:id="1097" w:name="_Toc486580123"/>
      <w:r>
        <w:rPr>
          <w:rFonts w:ascii="宋体" w:hAnsi="宋体"/>
          <w:sz w:val="24"/>
          <w:szCs w:val="20"/>
        </w:rPr>
        <w:t xml:space="preserve">11.4  </w:t>
      </w:r>
      <w:r>
        <w:rPr>
          <w:rFonts w:hint="eastAsia" w:ascii="宋体" w:hAnsi="宋体"/>
          <w:sz w:val="24"/>
          <w:szCs w:val="20"/>
        </w:rPr>
        <w:t>异常恶劣的气候条件</w:t>
      </w:r>
      <w:bookmarkEnd w:id="1093"/>
      <w:bookmarkEnd w:id="1094"/>
      <w:bookmarkEnd w:id="1095"/>
      <w:bookmarkEnd w:id="1096"/>
      <w:bookmarkEnd w:id="1097"/>
    </w:p>
    <w:p w14:paraId="385F9CDF">
      <w:pPr>
        <w:spacing w:line="360" w:lineRule="auto"/>
        <w:ind w:firstLine="420" w:firstLineChars="200"/>
        <w:rPr>
          <w:rFonts w:ascii="黑体" w:hAnsi="黑体" w:eastAsia="黑体"/>
        </w:rPr>
      </w:pPr>
      <w:r>
        <w:rPr>
          <w:rFonts w:hint="eastAsia" w:ascii="宋体" w:hAnsi="宋体"/>
        </w:rPr>
        <w:t>由于出现异常恶劣气候的条件导致工期延误的，承包人有权要求发包人延长工期。异常恶劣的气候条件的范围和标准</w:t>
      </w:r>
      <w:r>
        <w:rPr>
          <w:rFonts w:hint="eastAsia" w:ascii="黑体" w:hAnsi="黑体" w:eastAsia="黑体"/>
        </w:rPr>
        <w:t>见合同条款专用部分。</w:t>
      </w:r>
    </w:p>
    <w:p w14:paraId="5D6ABED1">
      <w:pPr>
        <w:keepNext/>
        <w:keepLines/>
        <w:spacing w:beforeLines="50" w:afterLines="50" w:line="360" w:lineRule="auto"/>
        <w:outlineLvl w:val="2"/>
        <w:rPr>
          <w:rFonts w:ascii="宋体" w:hAnsi="宋体"/>
          <w:sz w:val="24"/>
          <w:szCs w:val="20"/>
        </w:rPr>
      </w:pPr>
      <w:bookmarkStart w:id="1098" w:name="_Toc486580124"/>
      <w:bookmarkStart w:id="1099" w:name="_Toc490222569"/>
      <w:bookmarkStart w:id="1100" w:name="_Toc117597553"/>
      <w:bookmarkStart w:id="1101" w:name="_Toc489279935"/>
      <w:bookmarkStart w:id="1102" w:name="_Toc497213800"/>
      <w:r>
        <w:rPr>
          <w:rFonts w:ascii="宋体" w:hAnsi="宋体"/>
          <w:sz w:val="24"/>
          <w:szCs w:val="20"/>
        </w:rPr>
        <w:t xml:space="preserve">11.5  </w:t>
      </w:r>
      <w:r>
        <w:rPr>
          <w:rFonts w:hint="eastAsia" w:ascii="宋体" w:hAnsi="宋体"/>
          <w:sz w:val="24"/>
          <w:szCs w:val="20"/>
        </w:rPr>
        <w:t>承包人的工期延误</w:t>
      </w:r>
      <w:bookmarkEnd w:id="1098"/>
      <w:bookmarkEnd w:id="1099"/>
      <w:bookmarkEnd w:id="1100"/>
      <w:bookmarkEnd w:id="1101"/>
      <w:bookmarkEnd w:id="1102"/>
    </w:p>
    <w:p w14:paraId="12F5501C">
      <w:pPr>
        <w:spacing w:line="360" w:lineRule="auto"/>
        <w:ind w:firstLine="420" w:firstLineChars="200"/>
        <w:rPr>
          <w:rFonts w:ascii="宋体"/>
        </w:rPr>
      </w:pPr>
      <w:r>
        <w:rPr>
          <w:rFonts w:ascii="宋体" w:hAnsi="宋体"/>
        </w:rPr>
        <w:t xml:space="preserve">11.5.1  </w:t>
      </w:r>
      <w:r>
        <w:rPr>
          <w:rFonts w:hint="eastAsia" w:ascii="宋体" w:hAnsi="宋体"/>
        </w:rPr>
        <w:t>由于承包人原因，未能按合同进度计划完成工作，或监理人认为承包人施工进度不能满足合同工期要求的，承包人应在不影响工程安全和质量的前提下采取必要的赶工措施加快进度，并承担加快进度所增加的费用。</w:t>
      </w:r>
    </w:p>
    <w:p w14:paraId="027F6B08">
      <w:pPr>
        <w:spacing w:line="360" w:lineRule="auto"/>
        <w:ind w:firstLine="420" w:firstLineChars="200"/>
        <w:rPr>
          <w:rFonts w:ascii="宋体"/>
        </w:rPr>
      </w:pPr>
      <w:r>
        <w:rPr>
          <w:rFonts w:ascii="宋体" w:hAnsi="宋体"/>
        </w:rPr>
        <w:t xml:space="preserve">11.5.2  </w:t>
      </w:r>
      <w:r>
        <w:rPr>
          <w:rFonts w:hint="eastAsia" w:ascii="宋体" w:hAnsi="宋体"/>
        </w:rPr>
        <w:t>由于承包人原因造成不能按期竣工的，按照合同约定的竣工日期（包括按合同工期延长）后</w:t>
      </w:r>
      <w:r>
        <w:rPr>
          <w:rFonts w:ascii="宋体" w:hAnsi="宋体"/>
        </w:rPr>
        <w:t>7</w:t>
      </w:r>
      <w:r>
        <w:rPr>
          <w:rFonts w:hint="eastAsia" w:ascii="宋体" w:hAnsi="宋体"/>
        </w:rPr>
        <w:t>天内，监理人应当按第</w:t>
      </w:r>
      <w:r>
        <w:rPr>
          <w:rFonts w:ascii="宋体" w:hAnsi="宋体"/>
        </w:rPr>
        <w:t>23.4.1</w:t>
      </w:r>
      <w:r>
        <w:rPr>
          <w:rFonts w:hint="eastAsia" w:ascii="宋体" w:hAnsi="宋体"/>
        </w:rPr>
        <w:t>项的约定书面通知承包人</w:t>
      </w:r>
      <w:r>
        <w:rPr>
          <w:rFonts w:ascii="宋体"/>
        </w:rPr>
        <w:t>,</w:t>
      </w:r>
      <w:r>
        <w:rPr>
          <w:rFonts w:hint="eastAsia" w:ascii="宋体" w:hAnsi="宋体"/>
        </w:rPr>
        <w:t>说明发包人有权得到逾期竣工违约金，逾期竣工违约金计算标准和计算方法</w:t>
      </w:r>
      <w:r>
        <w:rPr>
          <w:rFonts w:hint="eastAsia" w:ascii="黑体" w:hAnsi="黑体" w:eastAsia="黑体"/>
        </w:rPr>
        <w:t>见合同条款专用部分。</w:t>
      </w:r>
      <w:r>
        <w:rPr>
          <w:rFonts w:hint="eastAsia" w:ascii="宋体" w:hAnsi="宋体"/>
        </w:rPr>
        <w:t>但最终逾期竣工违约金的金额不应超过合同约定的逾期竣工违约金最高限额。逾期竣工违约金最高限额</w:t>
      </w:r>
      <w:r>
        <w:rPr>
          <w:rFonts w:hint="eastAsia" w:ascii="黑体" w:hAnsi="黑体" w:eastAsia="黑体"/>
        </w:rPr>
        <w:t>见合同条款专用部分。</w:t>
      </w:r>
    </w:p>
    <w:p w14:paraId="13059347">
      <w:pPr>
        <w:spacing w:line="360" w:lineRule="auto"/>
        <w:ind w:firstLine="420" w:firstLineChars="200"/>
        <w:rPr>
          <w:rFonts w:ascii="宋体"/>
        </w:rPr>
      </w:pPr>
      <w:r>
        <w:rPr>
          <w:rFonts w:hint="eastAsia" w:ascii="宋体" w:hAnsi="宋体"/>
        </w:rPr>
        <w:t>监理人未在规定的期限内发出本款约定的书面通知的，发包人丧失主张逾期竣工违约金的权利。</w:t>
      </w:r>
    </w:p>
    <w:p w14:paraId="6F79F514">
      <w:pPr>
        <w:spacing w:line="360" w:lineRule="auto"/>
        <w:ind w:firstLine="420" w:firstLineChars="200"/>
        <w:rPr>
          <w:rFonts w:ascii="宋体" w:hAnsi="宋体"/>
        </w:rPr>
      </w:pPr>
      <w:r>
        <w:rPr>
          <w:rFonts w:ascii="宋体" w:hAnsi="宋体"/>
        </w:rPr>
        <w:t xml:space="preserve">11.5.3  </w:t>
      </w:r>
      <w:r>
        <w:rPr>
          <w:rFonts w:hint="eastAsia" w:ascii="宋体" w:hAnsi="宋体"/>
        </w:rPr>
        <w:t>承包人支付逾期竣工违约金，不免除承包人完成工程及修补缺陷的义务。</w:t>
      </w:r>
    </w:p>
    <w:p w14:paraId="49E25476">
      <w:pPr>
        <w:pStyle w:val="250"/>
        <w:spacing w:before="120"/>
      </w:pPr>
      <w:bookmarkStart w:id="1103" w:name="_Toc113973452"/>
      <w:bookmarkStart w:id="1104" w:name="_Toc117597554"/>
      <w:r>
        <w:t xml:space="preserve">11.6  </w:t>
      </w:r>
      <w:r>
        <w:rPr>
          <w:rFonts w:hint="eastAsia"/>
        </w:rPr>
        <w:t>发承包双方原因导致的工期延误</w:t>
      </w:r>
      <w:bookmarkEnd w:id="1103"/>
      <w:bookmarkEnd w:id="1104"/>
    </w:p>
    <w:p w14:paraId="3CEEAE68">
      <w:pPr>
        <w:spacing w:line="360" w:lineRule="auto"/>
        <w:ind w:firstLine="420" w:firstLineChars="200"/>
        <w:rPr>
          <w:rFonts w:ascii="宋体"/>
        </w:rPr>
      </w:pPr>
      <w:r>
        <w:rPr>
          <w:rFonts w:hint="eastAsia" w:ascii="宋体" w:hAnsi="宋体"/>
        </w:rPr>
        <w:t>在履行合同过程中，由于发承包双方的原因造成承包人关键线路工期延误或窝工降效的，</w:t>
      </w:r>
      <w:r>
        <w:rPr>
          <w:rFonts w:ascii="宋体" w:hAnsi="宋体"/>
        </w:rPr>
        <w:t>承</w:t>
      </w:r>
      <w:r>
        <w:rPr>
          <w:rFonts w:hint="eastAsia" w:ascii="宋体" w:hAnsi="宋体"/>
        </w:rPr>
        <w:t>包</w:t>
      </w:r>
      <w:r>
        <w:rPr>
          <w:rFonts w:ascii="宋体" w:hAnsi="宋体"/>
        </w:rPr>
        <w:t>人</w:t>
      </w:r>
      <w:r>
        <w:rPr>
          <w:rFonts w:hint="eastAsia" w:ascii="宋体" w:hAnsi="宋体"/>
        </w:rPr>
        <w:t>可根据实际影响情况</w:t>
      </w:r>
      <w:r>
        <w:rPr>
          <w:rFonts w:ascii="宋体" w:hAnsi="宋体"/>
        </w:rPr>
        <w:t>并按照合同约定期限提出工期顺延</w:t>
      </w:r>
      <w:r>
        <w:rPr>
          <w:rFonts w:hint="eastAsia" w:ascii="宋体" w:hAnsi="宋体"/>
        </w:rPr>
        <w:t>和（或）费用损失申请</w:t>
      </w:r>
      <w:r>
        <w:rPr>
          <w:rFonts w:ascii="宋体" w:hAnsi="宋体"/>
        </w:rPr>
        <w:t>，发包人应当在合同约定的期限内及时处理</w:t>
      </w:r>
      <w:r>
        <w:rPr>
          <w:rFonts w:hint="eastAsia" w:ascii="宋体" w:hAnsi="宋体"/>
        </w:rPr>
        <w:t>，并</w:t>
      </w:r>
      <w:r>
        <w:rPr>
          <w:rFonts w:ascii="宋体" w:hAnsi="宋体"/>
        </w:rPr>
        <w:t>按</w:t>
      </w:r>
      <w:r>
        <w:rPr>
          <w:rFonts w:hint="eastAsia" w:ascii="宋体" w:hAnsi="宋体"/>
        </w:rPr>
        <w:t>过错</w:t>
      </w:r>
      <w:r>
        <w:rPr>
          <w:rFonts w:ascii="宋体" w:hAnsi="宋体"/>
        </w:rPr>
        <w:t>责任分担</w:t>
      </w:r>
      <w:r>
        <w:rPr>
          <w:rFonts w:hint="eastAsia" w:ascii="宋体" w:hAnsi="宋体"/>
        </w:rPr>
        <w:t>工期</w:t>
      </w:r>
      <w:r>
        <w:rPr>
          <w:rFonts w:ascii="宋体" w:hAnsi="宋体"/>
        </w:rPr>
        <w:t>和</w:t>
      </w:r>
      <w:r>
        <w:rPr>
          <w:rFonts w:hint="eastAsia" w:ascii="宋体" w:hAnsi="宋体"/>
        </w:rPr>
        <w:t>（或）费用损失；责任</w:t>
      </w:r>
      <w:r>
        <w:rPr>
          <w:rFonts w:ascii="宋体" w:hAnsi="宋体"/>
        </w:rPr>
        <w:t>划分不清的，以主导原因为主</w:t>
      </w:r>
      <w:r>
        <w:rPr>
          <w:rFonts w:hint="eastAsia" w:ascii="宋体" w:hAnsi="宋体"/>
        </w:rPr>
        <w:t>承担工期</w:t>
      </w:r>
      <w:r>
        <w:rPr>
          <w:rFonts w:ascii="宋体" w:hAnsi="宋体"/>
        </w:rPr>
        <w:t>和</w:t>
      </w:r>
      <w:r>
        <w:rPr>
          <w:rFonts w:hint="eastAsia" w:ascii="宋体" w:hAnsi="宋体"/>
        </w:rPr>
        <w:t>（或）费用损失。需要修订合同进度计划的，按照第</w:t>
      </w:r>
      <w:r>
        <w:rPr>
          <w:rFonts w:ascii="宋体" w:hAnsi="宋体"/>
        </w:rPr>
        <w:t>10.2</w:t>
      </w:r>
      <w:r>
        <w:rPr>
          <w:rFonts w:hint="eastAsia" w:ascii="宋体" w:hAnsi="宋体"/>
        </w:rPr>
        <w:t>款的约定办理。发承包双方导致工期延误的原因</w:t>
      </w:r>
      <w:r>
        <w:rPr>
          <w:rFonts w:hint="eastAsia" w:ascii="黑体" w:hAnsi="黑体" w:eastAsia="黑体"/>
        </w:rPr>
        <w:t>见合同条款专用部分。</w:t>
      </w:r>
    </w:p>
    <w:p w14:paraId="0AA48A17">
      <w:pPr>
        <w:pStyle w:val="250"/>
        <w:spacing w:before="120"/>
      </w:pPr>
      <w:bookmarkStart w:id="1105" w:name="_Toc117597555"/>
      <w:bookmarkStart w:id="1106" w:name="_Toc113973453"/>
      <w:r>
        <w:t xml:space="preserve">11.7  </w:t>
      </w:r>
      <w:r>
        <w:rPr>
          <w:rFonts w:hint="eastAsia"/>
        </w:rPr>
        <w:t>非发承包双方原因导致的工期延误</w:t>
      </w:r>
      <w:bookmarkEnd w:id="1105"/>
      <w:bookmarkEnd w:id="1106"/>
    </w:p>
    <w:p w14:paraId="3D3053DD">
      <w:pPr>
        <w:spacing w:line="360" w:lineRule="auto"/>
        <w:ind w:firstLine="420" w:firstLineChars="200"/>
        <w:rPr>
          <w:rFonts w:ascii="宋体"/>
        </w:rPr>
      </w:pPr>
      <w:r>
        <w:rPr>
          <w:rFonts w:hint="eastAsia" w:ascii="宋体" w:hAnsi="宋体"/>
        </w:rPr>
        <w:t>在履行合同过程中，由于非发承包双方的原因造成承包人关键线路工期延误或窝工降效的，</w:t>
      </w:r>
      <w:r>
        <w:rPr>
          <w:rFonts w:ascii="宋体" w:hAnsi="宋体"/>
        </w:rPr>
        <w:t>承</w:t>
      </w:r>
      <w:r>
        <w:rPr>
          <w:rFonts w:hint="eastAsia" w:ascii="宋体" w:hAnsi="宋体"/>
        </w:rPr>
        <w:t>包</w:t>
      </w:r>
      <w:r>
        <w:rPr>
          <w:rFonts w:ascii="宋体" w:hAnsi="宋体"/>
        </w:rPr>
        <w:t>人</w:t>
      </w:r>
      <w:r>
        <w:rPr>
          <w:rFonts w:hint="eastAsia" w:ascii="宋体" w:hAnsi="宋体"/>
        </w:rPr>
        <w:t>可根据实际影响情况</w:t>
      </w:r>
      <w:r>
        <w:rPr>
          <w:rFonts w:ascii="宋体" w:hAnsi="宋体"/>
        </w:rPr>
        <w:t>并按照合同约定期限提出工期顺延</w:t>
      </w:r>
      <w:r>
        <w:rPr>
          <w:rFonts w:hint="eastAsia" w:ascii="宋体" w:hAnsi="宋体"/>
        </w:rPr>
        <w:t>和（或）费用损失申请</w:t>
      </w:r>
      <w:r>
        <w:rPr>
          <w:rFonts w:ascii="宋体" w:hAnsi="宋体"/>
        </w:rPr>
        <w:t>，发包人应当在合同约定的期限内及时处理</w:t>
      </w:r>
      <w:r>
        <w:rPr>
          <w:rFonts w:hint="eastAsia" w:ascii="宋体" w:hAnsi="宋体"/>
        </w:rPr>
        <w:t>，给予顺延工期，发承包双方应根据公平原则分担费用损失。需要修订合同进度计划的，按照第</w:t>
      </w:r>
      <w:r>
        <w:rPr>
          <w:rFonts w:ascii="宋体" w:hAnsi="宋体"/>
        </w:rPr>
        <w:t>10.2</w:t>
      </w:r>
      <w:r>
        <w:rPr>
          <w:rFonts w:hint="eastAsia" w:ascii="宋体" w:hAnsi="宋体"/>
        </w:rPr>
        <w:t>款的约定办理。非发承包双方导致工期延误的原因</w:t>
      </w:r>
      <w:r>
        <w:rPr>
          <w:rFonts w:hint="eastAsia" w:ascii="黑体" w:hAnsi="黑体" w:eastAsia="黑体"/>
        </w:rPr>
        <w:t>见合同条款专用部分。</w:t>
      </w:r>
    </w:p>
    <w:p w14:paraId="3A73AFEF">
      <w:pPr>
        <w:keepNext/>
        <w:keepLines/>
        <w:spacing w:beforeLines="50" w:afterLines="50" w:line="360" w:lineRule="auto"/>
        <w:outlineLvl w:val="2"/>
        <w:rPr>
          <w:rFonts w:ascii="宋体" w:hAnsi="宋体"/>
          <w:sz w:val="24"/>
          <w:szCs w:val="20"/>
        </w:rPr>
      </w:pPr>
      <w:bookmarkStart w:id="1107" w:name="_Toc490222570"/>
      <w:bookmarkStart w:id="1108" w:name="_Toc486580125"/>
      <w:bookmarkStart w:id="1109" w:name="_Toc489279936"/>
      <w:bookmarkStart w:id="1110" w:name="_Toc497213801"/>
      <w:bookmarkStart w:id="1111" w:name="_Toc117597556"/>
      <w:r>
        <w:rPr>
          <w:rFonts w:ascii="宋体" w:hAnsi="宋体"/>
          <w:sz w:val="24"/>
          <w:szCs w:val="20"/>
        </w:rPr>
        <w:t xml:space="preserve">11.8  </w:t>
      </w:r>
      <w:r>
        <w:rPr>
          <w:rFonts w:hint="eastAsia" w:ascii="宋体" w:hAnsi="宋体"/>
          <w:sz w:val="24"/>
          <w:szCs w:val="20"/>
        </w:rPr>
        <w:t>工期提前</w:t>
      </w:r>
      <w:bookmarkEnd w:id="1107"/>
      <w:bookmarkEnd w:id="1108"/>
      <w:bookmarkEnd w:id="1109"/>
      <w:bookmarkEnd w:id="1110"/>
      <w:bookmarkEnd w:id="1111"/>
    </w:p>
    <w:p w14:paraId="47B757B7">
      <w:pPr>
        <w:spacing w:line="360" w:lineRule="auto"/>
        <w:ind w:firstLine="420" w:firstLineChars="200"/>
        <w:rPr>
          <w:rFonts w:ascii="宋体"/>
        </w:rPr>
      </w:pPr>
      <w:r>
        <w:rPr>
          <w:rFonts w:hint="eastAsia" w:ascii="宋体" w:hAnsi="宋体"/>
        </w:rPr>
        <w:t>发包人要求承包人提前竣工，或承包人提出提前竣工的建议能够给发包人带来效益的，应由监理人与承包人共同协商采取加快工程进度的措施和修订合同进度计划。发包人应承担承包人由此增加的费用，并向承包人支付相应的奖金。提前竣工的奖励办法</w:t>
      </w:r>
      <w:r>
        <w:rPr>
          <w:rFonts w:hint="eastAsia" w:ascii="黑体" w:hAnsi="黑体" w:eastAsia="黑体"/>
        </w:rPr>
        <w:t>见合同条款专用部分。</w:t>
      </w:r>
    </w:p>
    <w:p w14:paraId="0D123D89">
      <w:pPr>
        <w:keepNext/>
        <w:keepLines/>
        <w:spacing w:beforeLines="50" w:afterLines="50" w:line="360" w:lineRule="auto"/>
        <w:outlineLvl w:val="1"/>
        <w:rPr>
          <w:rFonts w:ascii="宋体" w:hAnsi="宋体" w:cs="宋体"/>
          <w:sz w:val="28"/>
          <w:szCs w:val="20"/>
        </w:rPr>
      </w:pPr>
      <w:bookmarkStart w:id="1112" w:name="_Toc489279937"/>
      <w:bookmarkStart w:id="1113" w:name="_Toc490222571"/>
      <w:bookmarkStart w:id="1114" w:name="_Toc486580126"/>
      <w:bookmarkStart w:id="1115" w:name="_Toc497213802"/>
      <w:bookmarkStart w:id="1116" w:name="_Toc117597557"/>
      <w:r>
        <w:rPr>
          <w:rFonts w:ascii="宋体" w:hAnsi="宋体" w:cs="宋体"/>
          <w:sz w:val="28"/>
          <w:szCs w:val="20"/>
        </w:rPr>
        <w:t>12.</w:t>
      </w:r>
      <w:r>
        <w:rPr>
          <w:rFonts w:hint="eastAsia" w:ascii="宋体" w:hAnsi="宋体" w:cs="宋体"/>
          <w:sz w:val="28"/>
          <w:szCs w:val="20"/>
        </w:rPr>
        <w:t>暂停施工</w:t>
      </w:r>
      <w:bookmarkEnd w:id="1112"/>
      <w:bookmarkEnd w:id="1113"/>
      <w:bookmarkEnd w:id="1114"/>
      <w:bookmarkEnd w:id="1115"/>
      <w:bookmarkEnd w:id="1116"/>
    </w:p>
    <w:p w14:paraId="6742B934">
      <w:pPr>
        <w:keepNext/>
        <w:keepLines/>
        <w:spacing w:beforeLines="50" w:afterLines="50" w:line="360" w:lineRule="auto"/>
        <w:outlineLvl w:val="2"/>
        <w:rPr>
          <w:rFonts w:ascii="宋体" w:hAnsi="宋体"/>
          <w:sz w:val="24"/>
          <w:szCs w:val="20"/>
        </w:rPr>
      </w:pPr>
      <w:bookmarkStart w:id="1117" w:name="_Toc490222572"/>
      <w:bookmarkStart w:id="1118" w:name="_Toc117597558"/>
      <w:bookmarkStart w:id="1119" w:name="_Toc486580127"/>
      <w:bookmarkStart w:id="1120" w:name="_Toc489279938"/>
      <w:bookmarkStart w:id="1121" w:name="_Toc497213803"/>
      <w:r>
        <w:rPr>
          <w:rFonts w:ascii="宋体" w:hAnsi="宋体"/>
          <w:sz w:val="24"/>
          <w:szCs w:val="20"/>
        </w:rPr>
        <w:t xml:space="preserve">12.1  </w:t>
      </w:r>
      <w:r>
        <w:rPr>
          <w:rFonts w:hint="eastAsia" w:ascii="宋体" w:hAnsi="宋体"/>
          <w:sz w:val="24"/>
          <w:szCs w:val="20"/>
        </w:rPr>
        <w:t>承包人暂停施工的责任</w:t>
      </w:r>
      <w:bookmarkEnd w:id="1117"/>
      <w:bookmarkEnd w:id="1118"/>
      <w:bookmarkEnd w:id="1119"/>
      <w:bookmarkEnd w:id="1120"/>
      <w:bookmarkEnd w:id="1121"/>
    </w:p>
    <w:p w14:paraId="0D4FFB32">
      <w:pPr>
        <w:spacing w:line="360" w:lineRule="auto"/>
        <w:ind w:firstLine="420" w:firstLineChars="200"/>
        <w:rPr>
          <w:rFonts w:ascii="宋体"/>
        </w:rPr>
      </w:pPr>
      <w:r>
        <w:rPr>
          <w:rFonts w:hint="eastAsia" w:ascii="宋体" w:hAnsi="宋体"/>
        </w:rPr>
        <w:t>因下列情形暂停施工增加的费用和（或）工期延误由承包人承担：</w:t>
      </w:r>
    </w:p>
    <w:p w14:paraId="04A7119B">
      <w:pPr>
        <w:spacing w:line="360" w:lineRule="auto"/>
        <w:ind w:firstLine="315" w:firstLineChars="150"/>
        <w:rPr>
          <w:rFonts w:ascii="宋体"/>
        </w:rPr>
      </w:pPr>
      <w:r>
        <w:rPr>
          <w:rFonts w:hint="eastAsia" w:ascii="宋体" w:hAnsi="宋体"/>
        </w:rPr>
        <w:t>（</w:t>
      </w:r>
      <w:r>
        <w:rPr>
          <w:rFonts w:ascii="宋体" w:hAnsi="宋体"/>
        </w:rPr>
        <w:t>1</w:t>
      </w:r>
      <w:r>
        <w:rPr>
          <w:rFonts w:hint="eastAsia" w:ascii="宋体" w:hAnsi="宋体"/>
        </w:rPr>
        <w:t>）承包人违约引起的暂停施工；</w:t>
      </w:r>
    </w:p>
    <w:p w14:paraId="29FFAF87">
      <w:pPr>
        <w:spacing w:line="360" w:lineRule="auto"/>
        <w:ind w:firstLine="315" w:firstLineChars="150"/>
        <w:rPr>
          <w:rFonts w:ascii="宋体"/>
        </w:rPr>
      </w:pPr>
      <w:r>
        <w:rPr>
          <w:rFonts w:hint="eastAsia" w:ascii="宋体" w:hAnsi="宋体"/>
        </w:rPr>
        <w:t>（</w:t>
      </w:r>
      <w:r>
        <w:rPr>
          <w:rFonts w:ascii="宋体" w:hAnsi="宋体"/>
        </w:rPr>
        <w:t>2</w:t>
      </w:r>
      <w:r>
        <w:rPr>
          <w:rFonts w:hint="eastAsia" w:ascii="宋体" w:hAnsi="宋体"/>
        </w:rPr>
        <w:t>）由于承包人原因为工程合理施工和安全保障所必需的暂停施工；</w:t>
      </w:r>
    </w:p>
    <w:p w14:paraId="6A946D6A">
      <w:pPr>
        <w:spacing w:line="360" w:lineRule="auto"/>
        <w:ind w:firstLine="315" w:firstLineChars="150"/>
        <w:rPr>
          <w:rFonts w:ascii="宋体"/>
        </w:rPr>
      </w:pPr>
      <w:r>
        <w:rPr>
          <w:rFonts w:hint="eastAsia" w:ascii="宋体" w:hAnsi="宋体"/>
        </w:rPr>
        <w:t>（</w:t>
      </w:r>
      <w:r>
        <w:rPr>
          <w:rFonts w:ascii="宋体" w:hAnsi="宋体"/>
        </w:rPr>
        <w:t>3</w:t>
      </w:r>
      <w:r>
        <w:rPr>
          <w:rFonts w:hint="eastAsia" w:ascii="宋体" w:hAnsi="宋体"/>
        </w:rPr>
        <w:t>）承包人擅自暂停施工；</w:t>
      </w:r>
    </w:p>
    <w:p w14:paraId="1A2531DF">
      <w:pPr>
        <w:spacing w:line="360" w:lineRule="auto"/>
        <w:ind w:firstLine="315" w:firstLineChars="150"/>
        <w:rPr>
          <w:rFonts w:ascii="宋体"/>
        </w:rPr>
      </w:pPr>
      <w:r>
        <w:rPr>
          <w:rFonts w:hint="eastAsia" w:ascii="宋体" w:hAnsi="宋体"/>
        </w:rPr>
        <w:t>（</w:t>
      </w:r>
      <w:r>
        <w:rPr>
          <w:rFonts w:ascii="宋体" w:hAnsi="宋体"/>
        </w:rPr>
        <w:t>4</w:t>
      </w:r>
      <w:r>
        <w:rPr>
          <w:rFonts w:hint="eastAsia" w:ascii="宋体" w:hAnsi="宋体"/>
        </w:rPr>
        <w:t>）承包人承担暂停施工责任的其他情形</w:t>
      </w:r>
      <w:r>
        <w:rPr>
          <w:rFonts w:hint="eastAsia" w:ascii="黑体" w:hAnsi="黑体" w:eastAsia="黑体"/>
        </w:rPr>
        <w:t>见合同条款专用部分。</w:t>
      </w:r>
    </w:p>
    <w:p w14:paraId="41065923">
      <w:pPr>
        <w:keepNext/>
        <w:keepLines/>
        <w:spacing w:beforeLines="50" w:afterLines="50" w:line="360" w:lineRule="auto"/>
        <w:outlineLvl w:val="2"/>
        <w:rPr>
          <w:rFonts w:ascii="宋体" w:hAnsi="宋体"/>
          <w:sz w:val="24"/>
          <w:szCs w:val="20"/>
        </w:rPr>
      </w:pPr>
      <w:bookmarkStart w:id="1122" w:name="_Toc490222573"/>
      <w:bookmarkStart w:id="1123" w:name="_Toc486580128"/>
      <w:bookmarkStart w:id="1124" w:name="_Toc497213804"/>
      <w:bookmarkStart w:id="1125" w:name="_Toc117597559"/>
      <w:bookmarkStart w:id="1126" w:name="_Toc489279939"/>
      <w:r>
        <w:rPr>
          <w:rFonts w:ascii="宋体" w:hAnsi="宋体"/>
          <w:sz w:val="24"/>
          <w:szCs w:val="20"/>
        </w:rPr>
        <w:t xml:space="preserve">12.2  </w:t>
      </w:r>
      <w:r>
        <w:rPr>
          <w:rFonts w:hint="eastAsia" w:ascii="宋体" w:hAnsi="宋体"/>
          <w:sz w:val="24"/>
          <w:szCs w:val="20"/>
        </w:rPr>
        <w:t>发包人暂停施工的责任</w:t>
      </w:r>
      <w:bookmarkEnd w:id="1122"/>
      <w:bookmarkEnd w:id="1123"/>
      <w:bookmarkEnd w:id="1124"/>
      <w:bookmarkEnd w:id="1125"/>
      <w:bookmarkEnd w:id="1126"/>
    </w:p>
    <w:p w14:paraId="4B60021E">
      <w:pPr>
        <w:spacing w:line="360" w:lineRule="auto"/>
        <w:ind w:firstLine="420" w:firstLineChars="200"/>
        <w:rPr>
          <w:rFonts w:ascii="宋体"/>
        </w:rPr>
      </w:pPr>
      <w:r>
        <w:rPr>
          <w:rFonts w:hint="eastAsia" w:ascii="宋体" w:hAnsi="宋体"/>
        </w:rPr>
        <w:t>由于发包人原因引起的暂停施工造成工期延误的，承包人有权要求发包人延长工期和（或）增加费用，并支付合理利润。</w:t>
      </w:r>
    </w:p>
    <w:p w14:paraId="1147C02B">
      <w:pPr>
        <w:keepNext/>
        <w:keepLines/>
        <w:spacing w:beforeLines="50" w:afterLines="50" w:line="360" w:lineRule="auto"/>
        <w:outlineLvl w:val="2"/>
        <w:rPr>
          <w:rFonts w:ascii="宋体" w:hAnsi="宋体"/>
          <w:sz w:val="24"/>
          <w:szCs w:val="20"/>
        </w:rPr>
      </w:pPr>
      <w:bookmarkStart w:id="1127" w:name="_Toc486580129"/>
      <w:bookmarkStart w:id="1128" w:name="_Toc497213805"/>
      <w:bookmarkStart w:id="1129" w:name="_Toc117597560"/>
      <w:bookmarkStart w:id="1130" w:name="_Toc490222574"/>
      <w:bookmarkStart w:id="1131" w:name="_Toc489279940"/>
      <w:r>
        <w:rPr>
          <w:rFonts w:ascii="宋体" w:hAnsi="宋体"/>
          <w:sz w:val="24"/>
          <w:szCs w:val="20"/>
        </w:rPr>
        <w:t xml:space="preserve">12.3  </w:t>
      </w:r>
      <w:r>
        <w:rPr>
          <w:rFonts w:hint="eastAsia" w:ascii="宋体" w:hAnsi="宋体"/>
          <w:sz w:val="24"/>
          <w:szCs w:val="20"/>
        </w:rPr>
        <w:t>监理人暂停施工指示</w:t>
      </w:r>
      <w:bookmarkEnd w:id="1127"/>
      <w:bookmarkEnd w:id="1128"/>
      <w:bookmarkEnd w:id="1129"/>
      <w:bookmarkEnd w:id="1130"/>
      <w:bookmarkEnd w:id="1131"/>
    </w:p>
    <w:p w14:paraId="6DB346B1">
      <w:pPr>
        <w:spacing w:line="360" w:lineRule="auto"/>
        <w:ind w:firstLine="420" w:firstLineChars="200"/>
        <w:rPr>
          <w:rFonts w:ascii="宋体"/>
        </w:rPr>
      </w:pPr>
      <w:r>
        <w:rPr>
          <w:rFonts w:ascii="宋体" w:hAnsi="宋体"/>
        </w:rPr>
        <w:t xml:space="preserve">12.3.1  </w:t>
      </w:r>
      <w:r>
        <w:rPr>
          <w:rFonts w:hint="eastAsia" w:ascii="宋体" w:hAnsi="宋体"/>
        </w:rPr>
        <w:t>监理人认为有必要时，可向承包人作出暂停施工的指示，承包人应按监理人指示暂停施工。不论由于何种原因引起的暂停施工，暂停施工期间承包人应负责妥善保护工程并提供安全保障。</w:t>
      </w:r>
    </w:p>
    <w:p w14:paraId="0B4895B8">
      <w:pPr>
        <w:spacing w:line="360" w:lineRule="auto"/>
        <w:ind w:firstLine="420" w:firstLineChars="200"/>
        <w:rPr>
          <w:rFonts w:ascii="宋体"/>
        </w:rPr>
      </w:pPr>
      <w:r>
        <w:rPr>
          <w:rFonts w:ascii="宋体" w:hAnsi="宋体"/>
        </w:rPr>
        <w:t xml:space="preserve">12.3.2  </w:t>
      </w:r>
      <w:r>
        <w:rPr>
          <w:rFonts w:hint="eastAsia" w:ascii="宋体" w:hAnsi="宋体"/>
        </w:rPr>
        <w:t>由于发包人的原因发生暂停施工的紧急情况，且监理人未及时下达暂停施工指示的，承包人可先暂停施工，并及时向监理人提出暂停施工的书面请求。监理人应在接到书面请求后的</w:t>
      </w:r>
      <w:r>
        <w:rPr>
          <w:rFonts w:ascii="宋体" w:hAnsi="宋体"/>
        </w:rPr>
        <w:t>24</w:t>
      </w:r>
      <w:r>
        <w:rPr>
          <w:rFonts w:hint="eastAsia" w:ascii="宋体" w:hAnsi="宋体"/>
        </w:rPr>
        <w:t>小时内予以答复，逾期未答复的，视为同意承包人的暂停施工请求。</w:t>
      </w:r>
    </w:p>
    <w:p w14:paraId="6C5C4AF5">
      <w:pPr>
        <w:keepNext/>
        <w:keepLines/>
        <w:spacing w:beforeLines="50" w:afterLines="50" w:line="360" w:lineRule="auto"/>
        <w:outlineLvl w:val="2"/>
        <w:rPr>
          <w:rFonts w:ascii="宋体" w:hAnsi="宋体"/>
          <w:sz w:val="24"/>
          <w:szCs w:val="20"/>
        </w:rPr>
      </w:pPr>
      <w:bookmarkStart w:id="1132" w:name="_Toc486580130"/>
      <w:bookmarkStart w:id="1133" w:name="_Toc497213806"/>
      <w:bookmarkStart w:id="1134" w:name="_Toc489279941"/>
      <w:bookmarkStart w:id="1135" w:name="_Toc490222575"/>
      <w:bookmarkStart w:id="1136" w:name="_Toc117597561"/>
      <w:r>
        <w:rPr>
          <w:rFonts w:ascii="宋体" w:hAnsi="宋体"/>
          <w:sz w:val="24"/>
          <w:szCs w:val="20"/>
        </w:rPr>
        <w:t xml:space="preserve">12.4  </w:t>
      </w:r>
      <w:r>
        <w:rPr>
          <w:rFonts w:hint="eastAsia" w:ascii="宋体" w:hAnsi="宋体"/>
          <w:sz w:val="24"/>
          <w:szCs w:val="20"/>
        </w:rPr>
        <w:t>暂停施工后的复工</w:t>
      </w:r>
      <w:bookmarkEnd w:id="1132"/>
      <w:bookmarkEnd w:id="1133"/>
      <w:bookmarkEnd w:id="1134"/>
      <w:bookmarkEnd w:id="1135"/>
      <w:bookmarkEnd w:id="1136"/>
    </w:p>
    <w:p w14:paraId="5EB3531F">
      <w:pPr>
        <w:spacing w:line="360" w:lineRule="auto"/>
        <w:ind w:firstLine="420" w:firstLineChars="200"/>
        <w:rPr>
          <w:rFonts w:ascii="宋体"/>
        </w:rPr>
      </w:pPr>
      <w:r>
        <w:rPr>
          <w:rFonts w:ascii="宋体" w:hAnsi="宋体"/>
        </w:rPr>
        <w:t xml:space="preserve">12.4.1  </w:t>
      </w:r>
      <w:r>
        <w:rPr>
          <w:rFonts w:hint="eastAsia" w:ascii="宋体" w:hAnsi="宋体"/>
        </w:rPr>
        <w:t>暂停施工后，监理人应与发包人和承包人协商，采取有效措施积极消除暂停施工的影响。当工程具备复工条件时，监理人应立即向承包人发出复工通知。承包人收到复工通知后，应在监理人指定的期限内复工。</w:t>
      </w:r>
    </w:p>
    <w:p w14:paraId="24AC0988">
      <w:pPr>
        <w:spacing w:line="360" w:lineRule="auto"/>
        <w:ind w:firstLine="420" w:firstLineChars="200"/>
        <w:rPr>
          <w:rFonts w:ascii="宋体"/>
        </w:rPr>
      </w:pPr>
      <w:r>
        <w:rPr>
          <w:rFonts w:ascii="宋体" w:hAnsi="宋体"/>
        </w:rPr>
        <w:t xml:space="preserve">12.4.2  </w:t>
      </w:r>
      <w:r>
        <w:rPr>
          <w:rFonts w:hint="eastAsia" w:ascii="宋体" w:hAnsi="宋体"/>
        </w:rPr>
        <w:t>承包人无故拖延和拒绝复工的，由此增加的费用和工期延误由承包人承担；因发包人原因无法按时复工的，承包人有权要求发包人延长工期和（或）增加费用，并支付合理利润。</w:t>
      </w:r>
    </w:p>
    <w:p w14:paraId="28A3B670">
      <w:pPr>
        <w:spacing w:line="360" w:lineRule="auto"/>
        <w:ind w:firstLine="420" w:firstLineChars="200"/>
        <w:rPr>
          <w:rFonts w:ascii="宋体"/>
        </w:rPr>
      </w:pPr>
      <w:r>
        <w:rPr>
          <w:rFonts w:ascii="宋体" w:hAnsi="宋体"/>
        </w:rPr>
        <w:t xml:space="preserve">12.4.3  </w:t>
      </w:r>
      <w:r>
        <w:rPr>
          <w:rFonts w:hint="eastAsia" w:ascii="宋体" w:hAnsi="宋体"/>
        </w:rPr>
        <w:t>根据第</w:t>
      </w:r>
      <w:r>
        <w:rPr>
          <w:rFonts w:ascii="宋体" w:hAnsi="宋体"/>
        </w:rPr>
        <w:t>12.4.1</w:t>
      </w:r>
      <w:r>
        <w:rPr>
          <w:rFonts w:hint="eastAsia" w:ascii="宋体" w:hAnsi="宋体"/>
        </w:rPr>
        <w:t>款的约定，监理人发出复工通知后，监理人应和承包人一起对受到暂停施工影响的工程、材料和工程设备进行检查。承包人负责修复在暂停施工期间发生在工程、材料和工程设备上的任何损蚀、缺陷或损失，修复费用由承担暂停施工责任的责任人承担。</w:t>
      </w:r>
    </w:p>
    <w:p w14:paraId="55A7C286">
      <w:pPr>
        <w:spacing w:line="360" w:lineRule="auto"/>
        <w:ind w:firstLine="420" w:firstLineChars="200"/>
        <w:rPr>
          <w:rFonts w:ascii="宋体"/>
        </w:rPr>
      </w:pPr>
      <w:r>
        <w:rPr>
          <w:rFonts w:ascii="宋体" w:hAnsi="宋体"/>
        </w:rPr>
        <w:t xml:space="preserve">12.4.4  </w:t>
      </w:r>
      <w:r>
        <w:rPr>
          <w:rFonts w:hint="eastAsia" w:ascii="宋体" w:hAnsi="宋体"/>
        </w:rPr>
        <w:t>暂停施工持续</w:t>
      </w:r>
      <w:r>
        <w:rPr>
          <w:rFonts w:ascii="宋体" w:hAnsi="宋体"/>
        </w:rPr>
        <w:t>56</w:t>
      </w:r>
      <w:r>
        <w:rPr>
          <w:rFonts w:hint="eastAsia" w:ascii="宋体" w:hAnsi="宋体"/>
        </w:rPr>
        <w:t>天以上，按合同约定由承包人提供的材料和工程设备，由于暂停施工原因导致承包人在暂停施工前已经订购但被暂停运至施工现场的，发包人应按照承包人订购合同的约定支付相应的订购款项。</w:t>
      </w:r>
    </w:p>
    <w:p w14:paraId="2274B719">
      <w:pPr>
        <w:keepNext/>
        <w:keepLines/>
        <w:spacing w:beforeLines="50" w:afterLines="50" w:line="360" w:lineRule="auto"/>
        <w:outlineLvl w:val="2"/>
        <w:rPr>
          <w:rFonts w:ascii="宋体" w:hAnsi="宋体"/>
          <w:sz w:val="24"/>
          <w:szCs w:val="20"/>
        </w:rPr>
      </w:pPr>
      <w:bookmarkStart w:id="1137" w:name="_Toc497213807"/>
      <w:bookmarkStart w:id="1138" w:name="_Toc489279942"/>
      <w:bookmarkStart w:id="1139" w:name="_Toc486580131"/>
      <w:bookmarkStart w:id="1140" w:name="_Toc490222576"/>
      <w:bookmarkStart w:id="1141" w:name="_Toc117597562"/>
      <w:r>
        <w:rPr>
          <w:rFonts w:ascii="宋体" w:hAnsi="宋体"/>
          <w:sz w:val="24"/>
          <w:szCs w:val="20"/>
        </w:rPr>
        <w:t xml:space="preserve">12.5  </w:t>
      </w:r>
      <w:r>
        <w:rPr>
          <w:rFonts w:hint="eastAsia" w:ascii="宋体" w:hAnsi="宋体"/>
          <w:sz w:val="24"/>
          <w:szCs w:val="20"/>
        </w:rPr>
        <w:t>暂停施工持续</w:t>
      </w:r>
      <w:r>
        <w:rPr>
          <w:rFonts w:ascii="宋体" w:hAnsi="宋体"/>
          <w:sz w:val="24"/>
          <w:szCs w:val="20"/>
        </w:rPr>
        <w:t>56</w:t>
      </w:r>
      <w:r>
        <w:rPr>
          <w:rFonts w:hint="eastAsia" w:ascii="宋体" w:hAnsi="宋体"/>
          <w:sz w:val="24"/>
          <w:szCs w:val="20"/>
        </w:rPr>
        <w:t>天以上</w:t>
      </w:r>
      <w:bookmarkEnd w:id="1137"/>
      <w:bookmarkEnd w:id="1138"/>
      <w:bookmarkEnd w:id="1139"/>
      <w:bookmarkEnd w:id="1140"/>
      <w:bookmarkEnd w:id="1141"/>
    </w:p>
    <w:p w14:paraId="2E5D14AC">
      <w:pPr>
        <w:spacing w:line="360" w:lineRule="auto"/>
        <w:ind w:firstLine="411" w:firstLineChars="196"/>
        <w:rPr>
          <w:rFonts w:ascii="宋体"/>
        </w:rPr>
      </w:pPr>
      <w:r>
        <w:rPr>
          <w:rFonts w:ascii="宋体" w:hAnsi="宋体"/>
        </w:rPr>
        <w:t xml:space="preserve">12.5.1  </w:t>
      </w:r>
      <w:r>
        <w:rPr>
          <w:rFonts w:hint="eastAsia" w:ascii="宋体" w:hAnsi="宋体"/>
        </w:rPr>
        <w:t>监理人发出暂停施工指示后</w:t>
      </w:r>
      <w:r>
        <w:rPr>
          <w:rFonts w:ascii="宋体" w:hAnsi="宋体"/>
        </w:rPr>
        <w:t>56</w:t>
      </w:r>
      <w:r>
        <w:rPr>
          <w:rFonts w:hint="eastAsia" w:ascii="宋体" w:hAnsi="宋体"/>
        </w:rPr>
        <w:t>天内未向承包人发出复工通知，除了该项停工属于第</w:t>
      </w:r>
      <w:r>
        <w:rPr>
          <w:rFonts w:ascii="宋体" w:hAnsi="宋体"/>
        </w:rPr>
        <w:t>12.1</w:t>
      </w:r>
      <w:r>
        <w:rPr>
          <w:rFonts w:hint="eastAsia" w:ascii="宋体" w:hAnsi="宋体"/>
        </w:rPr>
        <w:t>款的情况外，承包人可向监理人提交书面通知，要求监理人在收到书面通知后</w:t>
      </w:r>
      <w:r>
        <w:rPr>
          <w:rFonts w:ascii="宋体" w:hAnsi="宋体"/>
        </w:rPr>
        <w:t>28</w:t>
      </w:r>
      <w:r>
        <w:rPr>
          <w:rFonts w:hint="eastAsia" w:ascii="宋体" w:hAnsi="宋体"/>
        </w:rPr>
        <w:t>天内准许已暂停施工的工程或其中一部分工程继续施工。如监理人逾期不予批准，则承包人可以通知监理人，将工程受影响的部分视为按第</w:t>
      </w:r>
      <w:r>
        <w:rPr>
          <w:rFonts w:ascii="宋体" w:hAnsi="宋体"/>
        </w:rPr>
        <w:t>15.1</w:t>
      </w:r>
      <w:r>
        <w:rPr>
          <w:rFonts w:hint="eastAsia" w:ascii="宋体" w:hAnsi="宋体"/>
        </w:rPr>
        <w:t>（</w:t>
      </w:r>
      <w:r>
        <w:rPr>
          <w:rFonts w:ascii="宋体" w:hAnsi="宋体"/>
        </w:rPr>
        <w:t>1</w:t>
      </w:r>
      <w:r>
        <w:rPr>
          <w:rFonts w:hint="eastAsia" w:ascii="宋体" w:hAnsi="宋体"/>
        </w:rPr>
        <w:t>）项的可取消工作。如暂停施工影响到整个工程，可视为发包人违约，应按第</w:t>
      </w:r>
      <w:r>
        <w:rPr>
          <w:rFonts w:ascii="宋体" w:hAnsi="宋体"/>
        </w:rPr>
        <w:t>22.2</w:t>
      </w:r>
      <w:r>
        <w:rPr>
          <w:rFonts w:hint="eastAsia" w:ascii="宋体" w:hAnsi="宋体"/>
        </w:rPr>
        <w:t>款的规定办理。</w:t>
      </w:r>
    </w:p>
    <w:p w14:paraId="421D6E30">
      <w:pPr>
        <w:tabs>
          <w:tab w:val="left" w:pos="1560"/>
        </w:tabs>
        <w:spacing w:line="360" w:lineRule="auto"/>
        <w:ind w:firstLine="420" w:firstLineChars="200"/>
        <w:rPr>
          <w:rFonts w:ascii="宋体"/>
        </w:rPr>
      </w:pPr>
      <w:r>
        <w:rPr>
          <w:rFonts w:ascii="宋体" w:hAnsi="宋体"/>
        </w:rPr>
        <w:t xml:space="preserve">12.5.2  </w:t>
      </w:r>
      <w:r>
        <w:rPr>
          <w:rFonts w:hint="eastAsia" w:ascii="宋体" w:hAnsi="宋体"/>
        </w:rPr>
        <w:t>由于承包人责任引起的暂停施工，如承包人在收到监理人暂停施工指示后</w:t>
      </w:r>
      <w:r>
        <w:rPr>
          <w:rFonts w:ascii="宋体" w:hAnsi="宋体"/>
        </w:rPr>
        <w:t>56</w:t>
      </w:r>
      <w:r>
        <w:rPr>
          <w:rFonts w:hint="eastAsia" w:ascii="宋体" w:hAnsi="宋体"/>
        </w:rPr>
        <w:t>天内不认真采取有效的复工措施，造成工期延误，可视为承包人违约，应按第</w:t>
      </w:r>
      <w:r>
        <w:rPr>
          <w:rFonts w:ascii="宋体" w:hAnsi="宋体"/>
        </w:rPr>
        <w:t>22.1</w:t>
      </w:r>
      <w:r>
        <w:rPr>
          <w:rFonts w:hint="eastAsia" w:ascii="宋体" w:hAnsi="宋体"/>
        </w:rPr>
        <w:t>款的规定办理。</w:t>
      </w:r>
    </w:p>
    <w:p w14:paraId="7C9DDCC4">
      <w:pPr>
        <w:keepNext/>
        <w:keepLines/>
        <w:spacing w:beforeLines="50" w:afterLines="50" w:line="360" w:lineRule="auto"/>
        <w:outlineLvl w:val="1"/>
        <w:rPr>
          <w:rFonts w:ascii="宋体" w:hAnsi="宋体" w:cs="宋体"/>
          <w:sz w:val="28"/>
          <w:szCs w:val="20"/>
        </w:rPr>
      </w:pPr>
      <w:bookmarkStart w:id="1142" w:name="_Toc117597563"/>
      <w:bookmarkStart w:id="1143" w:name="_Toc486580132"/>
      <w:bookmarkStart w:id="1144" w:name="_Toc489279943"/>
      <w:bookmarkStart w:id="1145" w:name="_Toc497213808"/>
      <w:bookmarkStart w:id="1146" w:name="_Toc490222577"/>
      <w:r>
        <w:rPr>
          <w:rFonts w:ascii="宋体" w:hAnsi="宋体" w:cs="宋体"/>
          <w:sz w:val="28"/>
          <w:szCs w:val="20"/>
        </w:rPr>
        <w:t>13.</w:t>
      </w:r>
      <w:r>
        <w:rPr>
          <w:rFonts w:hint="eastAsia" w:ascii="宋体" w:hAnsi="宋体" w:cs="宋体"/>
          <w:sz w:val="28"/>
          <w:szCs w:val="20"/>
        </w:rPr>
        <w:t>工程质量</w:t>
      </w:r>
      <w:bookmarkEnd w:id="1142"/>
      <w:bookmarkEnd w:id="1143"/>
      <w:bookmarkEnd w:id="1144"/>
      <w:bookmarkEnd w:id="1145"/>
      <w:bookmarkEnd w:id="1146"/>
    </w:p>
    <w:p w14:paraId="15B19E69">
      <w:pPr>
        <w:keepNext/>
        <w:keepLines/>
        <w:spacing w:beforeLines="50" w:afterLines="50" w:line="360" w:lineRule="auto"/>
        <w:outlineLvl w:val="2"/>
        <w:rPr>
          <w:rFonts w:ascii="宋体" w:hAnsi="宋体"/>
          <w:sz w:val="24"/>
          <w:szCs w:val="20"/>
        </w:rPr>
      </w:pPr>
      <w:bookmarkStart w:id="1147" w:name="_Toc117597564"/>
      <w:bookmarkStart w:id="1148" w:name="_Toc490222578"/>
      <w:bookmarkStart w:id="1149" w:name="_Toc486580133"/>
      <w:bookmarkStart w:id="1150" w:name="_Toc497213809"/>
      <w:bookmarkStart w:id="1151" w:name="_Toc489279944"/>
      <w:r>
        <w:rPr>
          <w:rFonts w:ascii="宋体" w:hAnsi="宋体"/>
          <w:sz w:val="24"/>
          <w:szCs w:val="20"/>
        </w:rPr>
        <w:t xml:space="preserve">13.1  </w:t>
      </w:r>
      <w:r>
        <w:rPr>
          <w:rFonts w:hint="eastAsia" w:ascii="宋体" w:hAnsi="宋体"/>
          <w:sz w:val="24"/>
          <w:szCs w:val="20"/>
        </w:rPr>
        <w:t>工程质量要求</w:t>
      </w:r>
      <w:bookmarkEnd w:id="1147"/>
      <w:bookmarkEnd w:id="1148"/>
      <w:bookmarkEnd w:id="1149"/>
      <w:bookmarkEnd w:id="1150"/>
      <w:bookmarkEnd w:id="1151"/>
    </w:p>
    <w:p w14:paraId="2886A9A2">
      <w:pPr>
        <w:spacing w:line="360" w:lineRule="auto"/>
        <w:ind w:firstLine="420" w:firstLineChars="200"/>
        <w:rPr>
          <w:rFonts w:ascii="宋体"/>
        </w:rPr>
      </w:pPr>
      <w:r>
        <w:rPr>
          <w:rFonts w:ascii="宋体" w:hAnsi="宋体"/>
        </w:rPr>
        <w:t xml:space="preserve">13.1.1  </w:t>
      </w:r>
      <w:r>
        <w:rPr>
          <w:rFonts w:hint="eastAsia" w:ascii="宋体" w:hAnsi="宋体"/>
        </w:rPr>
        <w:t>工程质量验收按合同约定验收标准执行。</w:t>
      </w:r>
    </w:p>
    <w:p w14:paraId="3B7C0D39">
      <w:pPr>
        <w:spacing w:line="360" w:lineRule="auto"/>
        <w:ind w:firstLine="420" w:firstLineChars="200"/>
        <w:rPr>
          <w:rFonts w:ascii="宋体"/>
        </w:rPr>
      </w:pPr>
      <w:r>
        <w:rPr>
          <w:rFonts w:ascii="宋体" w:hAnsi="宋体"/>
        </w:rPr>
        <w:t xml:space="preserve">13.1.2  </w:t>
      </w:r>
      <w:r>
        <w:rPr>
          <w:rFonts w:hint="eastAsia" w:ascii="宋体" w:hAnsi="宋体"/>
        </w:rPr>
        <w:t>因承包人原因造成工程质量达不到合同约定验收标准的，监理人有权要求承包人返工直至符合合同要求为止，由此造成的费用增加和（或）工期延误由承包人承担。</w:t>
      </w:r>
    </w:p>
    <w:p w14:paraId="5D28BEFE">
      <w:pPr>
        <w:spacing w:line="360" w:lineRule="auto"/>
        <w:ind w:firstLine="420" w:firstLineChars="200"/>
        <w:rPr>
          <w:rFonts w:ascii="宋体"/>
        </w:rPr>
      </w:pPr>
      <w:r>
        <w:rPr>
          <w:rFonts w:ascii="宋体" w:hAnsi="宋体"/>
        </w:rPr>
        <w:t xml:space="preserve">13.1.3  </w:t>
      </w:r>
      <w:r>
        <w:rPr>
          <w:rFonts w:hint="eastAsia" w:ascii="宋体" w:hAnsi="宋体"/>
        </w:rPr>
        <w:t>因发包人原因造成工程质量达不到合同约定验收标准的，发包人应承担由于承包人返工造成的费用增加和（或）工期延误，并支付承包人合理利润。</w:t>
      </w:r>
    </w:p>
    <w:p w14:paraId="771346E0">
      <w:pPr>
        <w:keepNext/>
        <w:keepLines/>
        <w:spacing w:beforeLines="50" w:afterLines="50" w:line="360" w:lineRule="auto"/>
        <w:outlineLvl w:val="2"/>
        <w:rPr>
          <w:rFonts w:ascii="宋体" w:hAnsi="宋体"/>
          <w:sz w:val="24"/>
          <w:szCs w:val="20"/>
        </w:rPr>
      </w:pPr>
      <w:bookmarkStart w:id="1152" w:name="_Toc489279945"/>
      <w:bookmarkStart w:id="1153" w:name="_Toc497213810"/>
      <w:bookmarkStart w:id="1154" w:name="_Toc117597565"/>
      <w:bookmarkStart w:id="1155" w:name="_Toc486580134"/>
      <w:bookmarkStart w:id="1156" w:name="_Toc490222579"/>
      <w:r>
        <w:rPr>
          <w:rFonts w:ascii="宋体" w:hAnsi="宋体"/>
          <w:sz w:val="24"/>
          <w:szCs w:val="20"/>
        </w:rPr>
        <w:t xml:space="preserve">13.2  </w:t>
      </w:r>
      <w:r>
        <w:rPr>
          <w:rFonts w:hint="eastAsia" w:ascii="宋体" w:hAnsi="宋体"/>
          <w:sz w:val="24"/>
          <w:szCs w:val="20"/>
        </w:rPr>
        <w:t>承包人的质量管理</w:t>
      </w:r>
      <w:bookmarkEnd w:id="1152"/>
      <w:bookmarkEnd w:id="1153"/>
      <w:bookmarkEnd w:id="1154"/>
      <w:bookmarkEnd w:id="1155"/>
      <w:bookmarkEnd w:id="1156"/>
    </w:p>
    <w:p w14:paraId="1C9A72DE">
      <w:pPr>
        <w:spacing w:line="360" w:lineRule="auto"/>
        <w:ind w:firstLine="420" w:firstLineChars="200"/>
        <w:rPr>
          <w:rFonts w:ascii="宋体"/>
        </w:rPr>
      </w:pPr>
      <w:r>
        <w:rPr>
          <w:rFonts w:ascii="宋体" w:hAnsi="宋体"/>
        </w:rPr>
        <w:t xml:space="preserve">13.2.1  </w:t>
      </w:r>
      <w:r>
        <w:rPr>
          <w:rFonts w:hint="eastAsia" w:ascii="宋体" w:hAnsi="宋体"/>
        </w:rPr>
        <w:t>承包人应在施工场地设置专门的质量检查机构，配备专职质量检查人员，建立完善的质量检查制度。承包人应在合同条款专用部分约定的期限内，提交工程质量保证措施文件，包括质量检查机构的组织和岗位责任、质检人员的组成、质量检查程序和实施细则等，报送监理人审批。监理人应在合同条款专用部分约定的期限内完成审批。</w:t>
      </w:r>
    </w:p>
    <w:p w14:paraId="4AB610B8">
      <w:pPr>
        <w:spacing w:line="360" w:lineRule="auto"/>
        <w:ind w:firstLine="420" w:firstLineChars="200"/>
        <w:rPr>
          <w:rFonts w:ascii="宋体"/>
        </w:rPr>
      </w:pPr>
      <w:r>
        <w:rPr>
          <w:rFonts w:ascii="宋体" w:hAnsi="宋体"/>
        </w:rPr>
        <w:t xml:space="preserve">13.2.2  </w:t>
      </w:r>
      <w:r>
        <w:rPr>
          <w:rFonts w:hint="eastAsia" w:ascii="宋体" w:hAnsi="宋体"/>
        </w:rPr>
        <w:t>承包人应加强对施工人员的质量教育和技术培训，定期考核施工人员的劳动技能，严格执行规范和操作规程。</w:t>
      </w:r>
    </w:p>
    <w:p w14:paraId="1A73AD69">
      <w:pPr>
        <w:keepNext/>
        <w:keepLines/>
        <w:spacing w:beforeLines="50" w:afterLines="50" w:line="360" w:lineRule="auto"/>
        <w:outlineLvl w:val="2"/>
        <w:rPr>
          <w:rFonts w:ascii="宋体" w:hAnsi="宋体"/>
          <w:sz w:val="24"/>
          <w:szCs w:val="20"/>
        </w:rPr>
      </w:pPr>
      <w:bookmarkStart w:id="1157" w:name="_Toc490222580"/>
      <w:bookmarkStart w:id="1158" w:name="_Toc489279946"/>
      <w:bookmarkStart w:id="1159" w:name="_Toc497213811"/>
      <w:bookmarkStart w:id="1160" w:name="_Toc486580135"/>
      <w:bookmarkStart w:id="1161" w:name="_Toc117597566"/>
      <w:r>
        <w:rPr>
          <w:rFonts w:ascii="宋体" w:hAnsi="宋体"/>
          <w:sz w:val="24"/>
          <w:szCs w:val="20"/>
        </w:rPr>
        <w:t xml:space="preserve">13.3  </w:t>
      </w:r>
      <w:r>
        <w:rPr>
          <w:rFonts w:hint="eastAsia" w:ascii="宋体" w:hAnsi="宋体"/>
          <w:sz w:val="24"/>
          <w:szCs w:val="20"/>
        </w:rPr>
        <w:t>承包人的质量检查</w:t>
      </w:r>
      <w:bookmarkEnd w:id="1157"/>
      <w:bookmarkEnd w:id="1158"/>
      <w:bookmarkEnd w:id="1159"/>
      <w:bookmarkEnd w:id="1160"/>
      <w:bookmarkEnd w:id="1161"/>
    </w:p>
    <w:p w14:paraId="7068A1D0">
      <w:pPr>
        <w:spacing w:line="360" w:lineRule="auto"/>
        <w:ind w:firstLine="420" w:firstLineChars="200"/>
        <w:rPr>
          <w:rFonts w:ascii="宋体"/>
        </w:rPr>
      </w:pPr>
      <w:r>
        <w:rPr>
          <w:rFonts w:hint="eastAsia" w:ascii="宋体" w:hAnsi="宋体"/>
        </w:rPr>
        <w:t>承包人应按合同条款专用部分的约定对材料、工程设备以及工程的所有部位及其施工工艺进行全过程的质量检查和检验，并作详细记录，编制工程质量报表，报送监理人审查。监理人应在合同条款专用部分约定的期限内完成审查。</w:t>
      </w:r>
    </w:p>
    <w:p w14:paraId="460BC3E6">
      <w:pPr>
        <w:keepNext/>
        <w:keepLines/>
        <w:spacing w:beforeLines="50" w:afterLines="50" w:line="360" w:lineRule="auto"/>
        <w:outlineLvl w:val="2"/>
        <w:rPr>
          <w:rFonts w:ascii="宋体" w:hAnsi="宋体"/>
          <w:sz w:val="24"/>
          <w:szCs w:val="20"/>
        </w:rPr>
      </w:pPr>
      <w:bookmarkStart w:id="1162" w:name="_Toc489279947"/>
      <w:bookmarkStart w:id="1163" w:name="_Toc490222581"/>
      <w:bookmarkStart w:id="1164" w:name="_Toc117597567"/>
      <w:bookmarkStart w:id="1165" w:name="_Toc486580136"/>
      <w:bookmarkStart w:id="1166" w:name="_Toc497213812"/>
      <w:r>
        <w:rPr>
          <w:rFonts w:ascii="宋体" w:hAnsi="宋体"/>
          <w:sz w:val="24"/>
          <w:szCs w:val="20"/>
        </w:rPr>
        <w:t xml:space="preserve">13.4  </w:t>
      </w:r>
      <w:r>
        <w:rPr>
          <w:rFonts w:hint="eastAsia" w:ascii="宋体" w:hAnsi="宋体"/>
          <w:sz w:val="24"/>
          <w:szCs w:val="20"/>
        </w:rPr>
        <w:t>监理人的质量检查</w:t>
      </w:r>
      <w:bookmarkEnd w:id="1162"/>
      <w:bookmarkEnd w:id="1163"/>
      <w:bookmarkEnd w:id="1164"/>
      <w:bookmarkEnd w:id="1165"/>
      <w:bookmarkEnd w:id="1166"/>
    </w:p>
    <w:p w14:paraId="2514337B">
      <w:pPr>
        <w:spacing w:line="360" w:lineRule="auto"/>
        <w:ind w:firstLine="420" w:firstLineChars="200"/>
        <w:rPr>
          <w:rFonts w:ascii="宋体"/>
        </w:rPr>
      </w:pPr>
      <w:r>
        <w:rPr>
          <w:rFonts w:hint="eastAsia" w:ascii="宋体" w:hAnsi="宋体"/>
        </w:rPr>
        <w:t>监理人有权对工程的所有部位及其施工工艺、材料和工程设备进行检查和检验。承包人应为监理人的检查和检验提供方便，包括监理人到施工场地，或制造、加工地点，或合同约定的其他地方进行察看和查阅施工原始记录。承包人还应按监理人指示，进行施工场地取样试验、工程复核测量和设备性能检测，提供试验样品、提交试验报告和测量成果以及监理人要求进行的其他工作。监理人的检查和检验，不免除承包人按合同约定应负的责任。监理人可以进行察看和查阅施工原始记录的其他地方</w:t>
      </w:r>
      <w:r>
        <w:rPr>
          <w:rFonts w:hint="eastAsia" w:ascii="黑体" w:hAnsi="黑体" w:eastAsia="黑体"/>
        </w:rPr>
        <w:t>见合同条款专用部分</w:t>
      </w:r>
      <w:r>
        <w:rPr>
          <w:rFonts w:hint="eastAsia" w:ascii="宋体" w:hAnsi="宋体"/>
        </w:rPr>
        <w:t>。</w:t>
      </w:r>
    </w:p>
    <w:p w14:paraId="2CE43F2E">
      <w:pPr>
        <w:keepNext/>
        <w:keepLines/>
        <w:spacing w:beforeLines="50" w:afterLines="50" w:line="360" w:lineRule="auto"/>
        <w:outlineLvl w:val="2"/>
        <w:rPr>
          <w:rFonts w:ascii="宋体" w:hAnsi="宋体"/>
          <w:sz w:val="24"/>
          <w:szCs w:val="20"/>
        </w:rPr>
      </w:pPr>
      <w:bookmarkStart w:id="1167" w:name="_Toc117597568"/>
      <w:bookmarkStart w:id="1168" w:name="_Toc486580137"/>
      <w:bookmarkStart w:id="1169" w:name="_Toc490222582"/>
      <w:bookmarkStart w:id="1170" w:name="_Toc497213813"/>
      <w:bookmarkStart w:id="1171" w:name="_Toc489279948"/>
      <w:r>
        <w:rPr>
          <w:rFonts w:ascii="宋体" w:hAnsi="宋体"/>
          <w:sz w:val="24"/>
          <w:szCs w:val="20"/>
        </w:rPr>
        <w:t xml:space="preserve">13.5  </w:t>
      </w:r>
      <w:r>
        <w:rPr>
          <w:rFonts w:hint="eastAsia" w:ascii="宋体" w:hAnsi="宋体"/>
          <w:sz w:val="24"/>
          <w:szCs w:val="20"/>
        </w:rPr>
        <w:t>工程隐蔽部位覆盖前的检查</w:t>
      </w:r>
      <w:bookmarkEnd w:id="1167"/>
      <w:bookmarkEnd w:id="1168"/>
      <w:bookmarkEnd w:id="1169"/>
      <w:bookmarkEnd w:id="1170"/>
      <w:bookmarkEnd w:id="1171"/>
    </w:p>
    <w:p w14:paraId="29AE06AD">
      <w:pPr>
        <w:spacing w:line="360" w:lineRule="auto"/>
        <w:ind w:firstLine="420" w:firstLineChars="200"/>
        <w:rPr>
          <w:rFonts w:ascii="宋体"/>
        </w:rPr>
      </w:pPr>
      <w:r>
        <w:rPr>
          <w:rFonts w:ascii="宋体" w:hAnsi="宋体"/>
        </w:rPr>
        <w:t xml:space="preserve">13.5.1  </w:t>
      </w:r>
      <w:r>
        <w:rPr>
          <w:rFonts w:hint="eastAsia" w:ascii="宋体" w:hAnsi="宋体"/>
        </w:rPr>
        <w:t>通知监理人检查</w:t>
      </w:r>
    </w:p>
    <w:p w14:paraId="577F04BD">
      <w:pPr>
        <w:spacing w:line="360" w:lineRule="auto"/>
        <w:ind w:firstLine="420" w:firstLineChars="200"/>
        <w:rPr>
          <w:rFonts w:ascii="宋体"/>
        </w:rPr>
      </w:pPr>
      <w:r>
        <w:rPr>
          <w:rFonts w:hint="eastAsia" w:ascii="宋体" w:hAnsi="宋体"/>
        </w:rPr>
        <w:t>经承包人自检确认的工程隐蔽部位具备覆盖条件后，承包人应通知监理人在合同约定的期限内检查。承包人的通知应附有自检记录和必要的检查资料。监理人应按时到场检查。经监理人检查确认质量符合隐蔽要求，并在检查记录上签字后，承包人才能进行覆盖。监理人检查确认质量不合格的，承包人应在监理人指示的时间内修整返工后，由监理人重新检查。监理人对工程隐蔽部位进行检查的期限</w:t>
      </w:r>
      <w:r>
        <w:rPr>
          <w:rFonts w:hint="eastAsia" w:ascii="黑体" w:hAnsi="黑体" w:eastAsia="黑体"/>
        </w:rPr>
        <w:t>见合同条款专用部分。</w:t>
      </w:r>
    </w:p>
    <w:p w14:paraId="167D689E">
      <w:pPr>
        <w:spacing w:line="360" w:lineRule="auto"/>
        <w:ind w:firstLine="420" w:firstLineChars="200"/>
        <w:rPr>
          <w:rFonts w:ascii="宋体"/>
        </w:rPr>
      </w:pPr>
      <w:r>
        <w:rPr>
          <w:rFonts w:ascii="宋体" w:hAnsi="宋体"/>
        </w:rPr>
        <w:t xml:space="preserve">13.5.2  </w:t>
      </w:r>
      <w:r>
        <w:rPr>
          <w:rFonts w:hint="eastAsia" w:ascii="宋体" w:hAnsi="宋体"/>
        </w:rPr>
        <w:t>监理人未到场检查</w:t>
      </w:r>
    </w:p>
    <w:p w14:paraId="628B0FE5">
      <w:pPr>
        <w:spacing w:line="360" w:lineRule="auto"/>
        <w:ind w:firstLine="420" w:firstLineChars="200"/>
        <w:rPr>
          <w:rFonts w:ascii="宋体"/>
        </w:rPr>
      </w:pPr>
      <w:r>
        <w:rPr>
          <w:rFonts w:hint="eastAsia" w:ascii="宋体" w:hAnsi="宋体"/>
        </w:rPr>
        <w:t>监理人未按第</w:t>
      </w:r>
      <w:r>
        <w:rPr>
          <w:rFonts w:ascii="宋体" w:hAnsi="宋体"/>
        </w:rPr>
        <w:t>13.5.1</w:t>
      </w:r>
      <w:r>
        <w:rPr>
          <w:rFonts w:hint="eastAsia" w:ascii="宋体" w:hAnsi="宋体"/>
        </w:rPr>
        <w:t>项约定的时间进行检查的，除监理人另有指示外，承包人可自行完成覆盖工作，并作相应记录报送监理人，监理人应签字确认。监理人事后对检查记录有疑问的，可按第</w:t>
      </w:r>
      <w:r>
        <w:rPr>
          <w:rFonts w:ascii="宋体" w:hAnsi="宋体"/>
        </w:rPr>
        <w:t>13.5.3</w:t>
      </w:r>
      <w:r>
        <w:rPr>
          <w:rFonts w:hint="eastAsia" w:ascii="宋体" w:hAnsi="宋体"/>
        </w:rPr>
        <w:t>项的约定重新检查。</w:t>
      </w:r>
    </w:p>
    <w:p w14:paraId="20B286E2">
      <w:pPr>
        <w:spacing w:line="360" w:lineRule="auto"/>
        <w:ind w:firstLine="420" w:firstLineChars="200"/>
        <w:rPr>
          <w:rFonts w:ascii="宋体"/>
        </w:rPr>
      </w:pPr>
      <w:r>
        <w:rPr>
          <w:rFonts w:ascii="宋体" w:hAnsi="宋体"/>
        </w:rPr>
        <w:t xml:space="preserve">13.5.3  </w:t>
      </w:r>
      <w:r>
        <w:rPr>
          <w:rFonts w:hint="eastAsia" w:ascii="宋体" w:hAnsi="宋体"/>
        </w:rPr>
        <w:t>监理人重新检查</w:t>
      </w:r>
    </w:p>
    <w:p w14:paraId="1013FAC6">
      <w:pPr>
        <w:spacing w:line="360" w:lineRule="auto"/>
        <w:ind w:firstLine="420" w:firstLineChars="200"/>
        <w:rPr>
          <w:rFonts w:ascii="宋体"/>
        </w:rPr>
      </w:pPr>
      <w:r>
        <w:rPr>
          <w:rFonts w:hint="eastAsia" w:ascii="宋体" w:hAnsi="宋体"/>
        </w:rPr>
        <w:t>承包人按第</w:t>
      </w:r>
      <w:r>
        <w:rPr>
          <w:rFonts w:ascii="宋体" w:hAnsi="宋体"/>
        </w:rPr>
        <w:t>13.5.1</w:t>
      </w:r>
      <w:r>
        <w:rPr>
          <w:rFonts w:hint="eastAsia" w:ascii="宋体" w:hAnsi="宋体"/>
        </w:rPr>
        <w:t>项或第</w:t>
      </w:r>
      <w:r>
        <w:rPr>
          <w:rFonts w:ascii="宋体" w:hAnsi="宋体"/>
        </w:rPr>
        <w:t>13.5.2</w:t>
      </w:r>
      <w:r>
        <w:rPr>
          <w:rFonts w:hint="eastAsia" w:ascii="宋体" w:hAnsi="宋体"/>
        </w:rPr>
        <w:t>项覆盖工程隐蔽部位后，监理人对质量有疑问的，可要求承包人对已覆盖的部位进行钻孔探测或揭开重新检验，承包人应遵照执行，并在检验后重新覆盖恢复原状。经检验证明工程质量符合合同要求的，由发包人承担由此增加的费用和（或）工期延误，并支付承包人合理利润；经检验证明工程质量不符合合同要求的，由此增加的费用和（或）工期延误由承包人承担。</w:t>
      </w:r>
    </w:p>
    <w:p w14:paraId="3F2FF341">
      <w:pPr>
        <w:spacing w:line="360" w:lineRule="auto"/>
        <w:ind w:firstLine="420" w:firstLineChars="200"/>
        <w:rPr>
          <w:rFonts w:ascii="宋体"/>
        </w:rPr>
      </w:pPr>
      <w:r>
        <w:rPr>
          <w:rFonts w:ascii="宋体" w:hAnsi="宋体"/>
        </w:rPr>
        <w:t xml:space="preserve">13.5.4  </w:t>
      </w:r>
      <w:r>
        <w:rPr>
          <w:rFonts w:hint="eastAsia" w:ascii="宋体" w:hAnsi="宋体"/>
        </w:rPr>
        <w:t>承包人私自覆盖</w:t>
      </w:r>
    </w:p>
    <w:p w14:paraId="4119929F">
      <w:pPr>
        <w:spacing w:line="360" w:lineRule="auto"/>
        <w:ind w:firstLine="420" w:firstLineChars="200"/>
        <w:rPr>
          <w:rFonts w:ascii="宋体"/>
        </w:rPr>
      </w:pPr>
      <w:r>
        <w:rPr>
          <w:rFonts w:hint="eastAsia" w:ascii="宋体" w:hAnsi="宋体"/>
        </w:rPr>
        <w:t>承包人未通知监理人到场检查，私自将工程隐蔽部位覆盖的，监理人有权指示承包人钻孔探测或揭开检查，由此增加的费用和（或）工期延误由承包人承担。</w:t>
      </w:r>
    </w:p>
    <w:p w14:paraId="7B4260DA">
      <w:pPr>
        <w:keepNext/>
        <w:keepLines/>
        <w:spacing w:beforeLines="50" w:afterLines="50" w:line="360" w:lineRule="auto"/>
        <w:outlineLvl w:val="2"/>
        <w:rPr>
          <w:rFonts w:ascii="宋体" w:hAnsi="宋体"/>
          <w:sz w:val="24"/>
          <w:szCs w:val="20"/>
        </w:rPr>
      </w:pPr>
      <w:bookmarkStart w:id="1172" w:name="_Toc117597569"/>
      <w:bookmarkStart w:id="1173" w:name="_Toc490222583"/>
      <w:bookmarkStart w:id="1174" w:name="_Toc497213814"/>
      <w:bookmarkStart w:id="1175" w:name="_Toc489279949"/>
      <w:bookmarkStart w:id="1176" w:name="_Toc486580138"/>
      <w:r>
        <w:rPr>
          <w:rFonts w:ascii="宋体" w:hAnsi="宋体"/>
          <w:sz w:val="24"/>
          <w:szCs w:val="20"/>
        </w:rPr>
        <w:t xml:space="preserve">13.6  </w:t>
      </w:r>
      <w:r>
        <w:rPr>
          <w:rFonts w:hint="eastAsia" w:ascii="宋体" w:hAnsi="宋体"/>
          <w:sz w:val="24"/>
          <w:szCs w:val="20"/>
        </w:rPr>
        <w:t>清除不合格工程</w:t>
      </w:r>
      <w:bookmarkEnd w:id="1172"/>
      <w:bookmarkEnd w:id="1173"/>
      <w:bookmarkEnd w:id="1174"/>
      <w:bookmarkEnd w:id="1175"/>
      <w:bookmarkEnd w:id="1176"/>
    </w:p>
    <w:p w14:paraId="609ED01B">
      <w:pPr>
        <w:spacing w:line="360" w:lineRule="auto"/>
        <w:ind w:firstLine="420" w:firstLineChars="200"/>
        <w:rPr>
          <w:rFonts w:ascii="宋体"/>
        </w:rPr>
      </w:pPr>
      <w:r>
        <w:rPr>
          <w:rFonts w:ascii="宋体" w:hAnsi="宋体"/>
        </w:rPr>
        <w:t xml:space="preserve">13.6.1  </w:t>
      </w:r>
      <w:r>
        <w:rPr>
          <w:rFonts w:hint="eastAsia" w:ascii="宋体" w:hAnsi="宋体"/>
        </w:rPr>
        <w:t>承包人使用不合格材料、工程设备，或采用不适当的施工工艺，或施工不当，造成工程不合格的，监理人可以随时发出指示，要求承包人立即采取措施进行补救，直至达到合同要求的质量标准，由此增加的费用和（或）工期延误由承包人承担。</w:t>
      </w:r>
    </w:p>
    <w:p w14:paraId="02BE5A58">
      <w:pPr>
        <w:spacing w:line="360" w:lineRule="auto"/>
        <w:ind w:firstLine="420" w:firstLineChars="200"/>
        <w:rPr>
          <w:rFonts w:ascii="宋体"/>
        </w:rPr>
      </w:pPr>
      <w:r>
        <w:rPr>
          <w:rFonts w:ascii="宋体" w:hAnsi="宋体"/>
        </w:rPr>
        <w:t xml:space="preserve">13.6.2  </w:t>
      </w:r>
      <w:r>
        <w:rPr>
          <w:rFonts w:hint="eastAsia" w:ascii="宋体" w:hAnsi="宋体"/>
        </w:rPr>
        <w:t>由于发包人提供的材料或工程设备不合格造成的工程不合格，需要承包人采取措施补救的，发包人应承担由此增加的费用和（或）工期延误，并支付承包人合理利润。</w:t>
      </w:r>
    </w:p>
    <w:p w14:paraId="58C82B8F">
      <w:pPr>
        <w:keepNext/>
        <w:keepLines/>
        <w:spacing w:beforeLines="50" w:afterLines="50" w:line="360" w:lineRule="auto"/>
        <w:outlineLvl w:val="2"/>
        <w:rPr>
          <w:rFonts w:ascii="宋体" w:hAnsi="宋体"/>
          <w:sz w:val="24"/>
          <w:szCs w:val="20"/>
        </w:rPr>
      </w:pPr>
      <w:bookmarkStart w:id="1177" w:name="_Toc489279950"/>
      <w:bookmarkStart w:id="1178" w:name="_Toc117597570"/>
      <w:bookmarkStart w:id="1179" w:name="_Toc490222584"/>
      <w:bookmarkStart w:id="1180" w:name="_Toc486580139"/>
      <w:bookmarkStart w:id="1181" w:name="_Toc497213815"/>
      <w:r>
        <w:rPr>
          <w:rFonts w:ascii="宋体" w:hAnsi="宋体"/>
          <w:sz w:val="24"/>
          <w:szCs w:val="20"/>
        </w:rPr>
        <w:t xml:space="preserve">13.7  </w:t>
      </w:r>
      <w:r>
        <w:rPr>
          <w:rFonts w:hint="eastAsia" w:ascii="宋体" w:hAnsi="宋体"/>
          <w:sz w:val="24"/>
          <w:szCs w:val="20"/>
        </w:rPr>
        <w:t>质量争议</w:t>
      </w:r>
      <w:bookmarkEnd w:id="1177"/>
      <w:bookmarkEnd w:id="1178"/>
      <w:bookmarkEnd w:id="1179"/>
      <w:bookmarkEnd w:id="1180"/>
      <w:bookmarkEnd w:id="1181"/>
    </w:p>
    <w:p w14:paraId="21C8CA22">
      <w:pPr>
        <w:spacing w:line="360" w:lineRule="auto"/>
        <w:ind w:firstLine="420" w:firstLineChars="200"/>
        <w:rPr>
          <w:rFonts w:ascii="宋体"/>
        </w:rPr>
      </w:pPr>
      <w:r>
        <w:rPr>
          <w:rFonts w:hint="eastAsia" w:ascii="宋体" w:hAnsi="宋体"/>
        </w:rPr>
        <w:t>发包人和承包人对工程质量有争议的，除可按第</w:t>
      </w:r>
      <w:r>
        <w:rPr>
          <w:rFonts w:ascii="宋体" w:hAnsi="宋体"/>
        </w:rPr>
        <w:t>24</w:t>
      </w:r>
      <w:r>
        <w:rPr>
          <w:rFonts w:hint="eastAsia" w:ascii="宋体" w:hAnsi="宋体"/>
        </w:rPr>
        <w:t>条办理外，监理人可提请合同双方委托有相应资质的工程质量检测机构进行鉴定，所需费用及因此造成的损失，由责任人承担，双方均有责任，由双方根据其责任分别承担。经检测，质量确有缺陷的，已竣工验收或已竣工未验收但实际投入使用的工程，其处理按工程保修书的约定执行；已竣工未验收且未实际投入使用的工程以及停工、停建的工程，根据检测结果确定解决方案，或按工程质量监督机构的处理决定执行。</w:t>
      </w:r>
    </w:p>
    <w:p w14:paraId="700E99D8">
      <w:pPr>
        <w:keepNext/>
        <w:keepLines/>
        <w:spacing w:beforeLines="50" w:afterLines="50" w:line="360" w:lineRule="auto"/>
        <w:outlineLvl w:val="1"/>
        <w:rPr>
          <w:rFonts w:ascii="宋体" w:hAnsi="宋体" w:cs="宋体"/>
          <w:sz w:val="28"/>
          <w:szCs w:val="20"/>
        </w:rPr>
      </w:pPr>
      <w:bookmarkStart w:id="1182" w:name="_Toc486580140"/>
      <w:bookmarkStart w:id="1183" w:name="_Toc117597571"/>
      <w:bookmarkStart w:id="1184" w:name="_Toc489279951"/>
      <w:bookmarkStart w:id="1185" w:name="_Toc497213816"/>
      <w:bookmarkStart w:id="1186" w:name="_Toc490222585"/>
      <w:r>
        <w:rPr>
          <w:rFonts w:ascii="宋体" w:hAnsi="宋体" w:cs="宋体"/>
          <w:sz w:val="28"/>
          <w:szCs w:val="20"/>
        </w:rPr>
        <w:t>14.</w:t>
      </w:r>
      <w:r>
        <w:rPr>
          <w:rFonts w:hint="eastAsia" w:ascii="宋体" w:hAnsi="宋体" w:cs="宋体"/>
          <w:sz w:val="28"/>
          <w:szCs w:val="20"/>
        </w:rPr>
        <w:t>试验和检验</w:t>
      </w:r>
      <w:bookmarkEnd w:id="1182"/>
      <w:bookmarkEnd w:id="1183"/>
      <w:bookmarkEnd w:id="1184"/>
      <w:bookmarkEnd w:id="1185"/>
      <w:bookmarkEnd w:id="1186"/>
    </w:p>
    <w:p w14:paraId="08008DFE">
      <w:pPr>
        <w:keepNext/>
        <w:keepLines/>
        <w:spacing w:beforeLines="50" w:afterLines="50" w:line="360" w:lineRule="auto"/>
        <w:outlineLvl w:val="2"/>
        <w:rPr>
          <w:rFonts w:ascii="宋体" w:hAnsi="宋体"/>
          <w:sz w:val="24"/>
          <w:szCs w:val="20"/>
        </w:rPr>
      </w:pPr>
      <w:bookmarkStart w:id="1187" w:name="_Toc117597572"/>
      <w:bookmarkStart w:id="1188" w:name="_Toc497213817"/>
      <w:bookmarkStart w:id="1189" w:name="_Toc489279952"/>
      <w:bookmarkStart w:id="1190" w:name="_Toc486580141"/>
      <w:bookmarkStart w:id="1191" w:name="_Toc490222586"/>
      <w:r>
        <w:rPr>
          <w:rFonts w:ascii="宋体" w:hAnsi="宋体"/>
          <w:sz w:val="24"/>
          <w:szCs w:val="20"/>
        </w:rPr>
        <w:t xml:space="preserve">14.1  </w:t>
      </w:r>
      <w:r>
        <w:rPr>
          <w:rFonts w:hint="eastAsia" w:ascii="宋体" w:hAnsi="宋体"/>
          <w:sz w:val="24"/>
          <w:szCs w:val="20"/>
        </w:rPr>
        <w:t>材料、工程设备和工程的试验和检验</w:t>
      </w:r>
      <w:bookmarkEnd w:id="1187"/>
      <w:bookmarkEnd w:id="1188"/>
      <w:bookmarkEnd w:id="1189"/>
      <w:bookmarkEnd w:id="1190"/>
      <w:bookmarkEnd w:id="1191"/>
    </w:p>
    <w:p w14:paraId="551DF421">
      <w:pPr>
        <w:spacing w:line="360" w:lineRule="auto"/>
        <w:ind w:firstLine="420" w:firstLineChars="200"/>
        <w:rPr>
          <w:rFonts w:ascii="宋体"/>
        </w:rPr>
      </w:pPr>
      <w:r>
        <w:rPr>
          <w:rFonts w:ascii="宋体" w:hAnsi="宋体"/>
        </w:rPr>
        <w:t xml:space="preserve">14.1.1  </w:t>
      </w:r>
      <w:r>
        <w:rPr>
          <w:rFonts w:hint="eastAsia" w:ascii="宋体" w:hAnsi="宋体"/>
        </w:rPr>
        <w:t>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14:paraId="3105F4A1">
      <w:pPr>
        <w:spacing w:line="360" w:lineRule="auto"/>
        <w:ind w:firstLine="420" w:firstLineChars="200"/>
        <w:rPr>
          <w:rFonts w:ascii="宋体"/>
        </w:rPr>
      </w:pPr>
      <w:r>
        <w:rPr>
          <w:rFonts w:ascii="宋体" w:hAnsi="宋体"/>
        </w:rPr>
        <w:t xml:space="preserve">14.1.2  </w:t>
      </w:r>
      <w:r>
        <w:rPr>
          <w:rFonts w:hint="eastAsia" w:ascii="宋体" w:hAnsi="宋体"/>
        </w:rPr>
        <w:t>监理人未按合同约定派员参加试验和检验的，除监理人另有指示外，承包人可自行试验和检验，并应立即将试验和检验结果报送监理人，监理人应签字确认。</w:t>
      </w:r>
    </w:p>
    <w:p w14:paraId="6A1D9319">
      <w:pPr>
        <w:spacing w:line="360" w:lineRule="auto"/>
        <w:ind w:firstLine="420" w:firstLineChars="200"/>
        <w:rPr>
          <w:rFonts w:ascii="宋体"/>
        </w:rPr>
      </w:pPr>
      <w:r>
        <w:rPr>
          <w:rFonts w:ascii="宋体" w:hAnsi="宋体"/>
        </w:rPr>
        <w:t xml:space="preserve">14.1.3  </w:t>
      </w:r>
      <w:r>
        <w:rPr>
          <w:rFonts w:hint="eastAsia" w:ascii="宋体" w:hAnsi="宋体"/>
        </w:rPr>
        <w:t>监理人对承包人的试验和检验结果有疑问的，或为查清承包人试验和检验成果的可靠性要求承包人重新试验和检验的，可按合同约定由监理人与承包人共同进行。重新试验和检验的结果证明该项材料、工程设备或工程的质量不符合合同要求的，由此增加的费用和（或）工期延误由承包人承担；重新试验和检验结果证明该项材料、工程设备和工程符合合同要求，由发包人承担由此增加的费用和（或）工期延误，并支付承包人合理利润。</w:t>
      </w:r>
    </w:p>
    <w:p w14:paraId="5192CFC3">
      <w:pPr>
        <w:keepNext/>
        <w:keepLines/>
        <w:spacing w:beforeLines="50" w:afterLines="50" w:line="360" w:lineRule="auto"/>
        <w:outlineLvl w:val="2"/>
        <w:rPr>
          <w:rFonts w:ascii="宋体" w:hAnsi="宋体"/>
          <w:sz w:val="24"/>
          <w:szCs w:val="20"/>
        </w:rPr>
      </w:pPr>
      <w:bookmarkStart w:id="1192" w:name="_Toc117597573"/>
      <w:bookmarkStart w:id="1193" w:name="_Toc490222587"/>
      <w:bookmarkStart w:id="1194" w:name="_Toc497213818"/>
      <w:bookmarkStart w:id="1195" w:name="_Toc489279953"/>
      <w:bookmarkStart w:id="1196" w:name="_Toc486580142"/>
      <w:r>
        <w:rPr>
          <w:rFonts w:ascii="宋体" w:hAnsi="宋体"/>
          <w:sz w:val="24"/>
          <w:szCs w:val="20"/>
        </w:rPr>
        <w:t xml:space="preserve">14.2  </w:t>
      </w:r>
      <w:r>
        <w:rPr>
          <w:rFonts w:hint="eastAsia" w:ascii="宋体" w:hAnsi="宋体"/>
          <w:sz w:val="24"/>
          <w:szCs w:val="20"/>
        </w:rPr>
        <w:t>现场材料试验</w:t>
      </w:r>
      <w:bookmarkEnd w:id="1192"/>
      <w:bookmarkEnd w:id="1193"/>
      <w:bookmarkEnd w:id="1194"/>
      <w:bookmarkEnd w:id="1195"/>
      <w:bookmarkEnd w:id="1196"/>
    </w:p>
    <w:p w14:paraId="2EB2322C">
      <w:pPr>
        <w:spacing w:line="360" w:lineRule="auto"/>
        <w:ind w:firstLine="420" w:firstLineChars="200"/>
        <w:rPr>
          <w:rFonts w:ascii="宋体"/>
        </w:rPr>
      </w:pPr>
      <w:r>
        <w:rPr>
          <w:rFonts w:ascii="宋体" w:hAnsi="宋体"/>
        </w:rPr>
        <w:t xml:space="preserve">14.2.1  </w:t>
      </w:r>
      <w:r>
        <w:rPr>
          <w:rFonts w:hint="eastAsia" w:ascii="宋体" w:hAnsi="宋体"/>
        </w:rPr>
        <w:t>承包人根据合同约定或监理人指示进行的现场材料试验，应由承包人提供试验场所、试验人员、试验设备器材以及其他必要的试验条件。</w:t>
      </w:r>
    </w:p>
    <w:p w14:paraId="6CD37B27">
      <w:pPr>
        <w:spacing w:line="360" w:lineRule="auto"/>
        <w:ind w:firstLine="420" w:firstLineChars="200"/>
        <w:rPr>
          <w:rFonts w:ascii="宋体"/>
        </w:rPr>
      </w:pPr>
      <w:r>
        <w:rPr>
          <w:rFonts w:ascii="宋体" w:hAnsi="宋体"/>
        </w:rPr>
        <w:t xml:space="preserve">14.2.2  </w:t>
      </w:r>
      <w:r>
        <w:rPr>
          <w:rFonts w:hint="eastAsia" w:ascii="宋体" w:hAnsi="宋体"/>
        </w:rPr>
        <w:t>监理人在必要时可以使用承包人的试验场所、试验设备器材以及其他试验条件，进行以工程质量检查为目的的复核性材料试验，承包人应予以协助。</w:t>
      </w:r>
    </w:p>
    <w:p w14:paraId="3AC5203D">
      <w:pPr>
        <w:keepNext/>
        <w:keepLines/>
        <w:spacing w:beforeLines="50" w:afterLines="50" w:line="360" w:lineRule="auto"/>
        <w:outlineLvl w:val="2"/>
        <w:rPr>
          <w:rFonts w:ascii="宋体" w:hAnsi="宋体"/>
          <w:sz w:val="24"/>
          <w:szCs w:val="20"/>
        </w:rPr>
      </w:pPr>
      <w:bookmarkStart w:id="1197" w:name="_Toc117597574"/>
      <w:bookmarkStart w:id="1198" w:name="_Toc497213819"/>
      <w:bookmarkStart w:id="1199" w:name="_Toc489279954"/>
      <w:bookmarkStart w:id="1200" w:name="_Toc486580143"/>
      <w:bookmarkStart w:id="1201" w:name="_Toc490222588"/>
      <w:r>
        <w:rPr>
          <w:rFonts w:ascii="宋体" w:hAnsi="宋体"/>
          <w:sz w:val="24"/>
          <w:szCs w:val="20"/>
        </w:rPr>
        <w:t xml:space="preserve">14.3  </w:t>
      </w:r>
      <w:r>
        <w:rPr>
          <w:rFonts w:hint="eastAsia" w:ascii="宋体" w:hAnsi="宋体"/>
          <w:sz w:val="24"/>
          <w:szCs w:val="20"/>
        </w:rPr>
        <w:t>现场工艺试验</w:t>
      </w:r>
      <w:bookmarkEnd w:id="1197"/>
      <w:bookmarkEnd w:id="1198"/>
      <w:bookmarkEnd w:id="1199"/>
      <w:bookmarkEnd w:id="1200"/>
      <w:bookmarkEnd w:id="1201"/>
    </w:p>
    <w:p w14:paraId="455A20B5">
      <w:pPr>
        <w:spacing w:line="360" w:lineRule="auto"/>
        <w:ind w:firstLine="420" w:firstLineChars="200"/>
        <w:rPr>
          <w:rFonts w:ascii="宋体"/>
        </w:rPr>
      </w:pPr>
      <w:r>
        <w:rPr>
          <w:rFonts w:hint="eastAsia" w:ascii="宋体" w:hAnsi="宋体"/>
        </w:rPr>
        <w:t>承包人应按合同约定或监理人指示进行现场工艺试验。对大型的现场工艺试验，监理人认为必要时，应由承包人根据监理人提出的工艺试验要求，编制工艺试验措施计划，报送监理人审批。</w:t>
      </w:r>
    </w:p>
    <w:p w14:paraId="60EA12D0">
      <w:pPr>
        <w:keepNext/>
        <w:keepLines/>
        <w:spacing w:beforeLines="50" w:afterLines="50" w:line="360" w:lineRule="auto"/>
        <w:outlineLvl w:val="1"/>
        <w:rPr>
          <w:rFonts w:ascii="宋体" w:hAnsi="宋体" w:cs="宋体"/>
          <w:sz w:val="28"/>
          <w:szCs w:val="20"/>
        </w:rPr>
      </w:pPr>
      <w:bookmarkStart w:id="1202" w:name="_Toc489279955"/>
      <w:bookmarkStart w:id="1203" w:name="_Toc486580144"/>
      <w:bookmarkStart w:id="1204" w:name="_Toc490222589"/>
      <w:bookmarkStart w:id="1205" w:name="_Toc497213820"/>
      <w:bookmarkStart w:id="1206" w:name="_Toc117597575"/>
      <w:r>
        <w:rPr>
          <w:rFonts w:ascii="宋体" w:hAnsi="宋体" w:cs="宋体"/>
          <w:sz w:val="28"/>
          <w:szCs w:val="20"/>
        </w:rPr>
        <w:t>15.</w:t>
      </w:r>
      <w:r>
        <w:rPr>
          <w:rFonts w:hint="eastAsia" w:ascii="宋体" w:hAnsi="宋体" w:cs="宋体"/>
          <w:sz w:val="28"/>
          <w:szCs w:val="20"/>
        </w:rPr>
        <w:t>变更</w:t>
      </w:r>
      <w:bookmarkEnd w:id="1202"/>
      <w:bookmarkEnd w:id="1203"/>
      <w:bookmarkEnd w:id="1204"/>
      <w:bookmarkEnd w:id="1205"/>
      <w:bookmarkEnd w:id="1206"/>
    </w:p>
    <w:p w14:paraId="52FB3FD6">
      <w:pPr>
        <w:keepNext/>
        <w:keepLines/>
        <w:spacing w:beforeLines="50" w:afterLines="50" w:line="360" w:lineRule="auto"/>
        <w:outlineLvl w:val="2"/>
        <w:rPr>
          <w:rFonts w:ascii="宋体" w:hAnsi="宋体"/>
          <w:sz w:val="24"/>
          <w:szCs w:val="20"/>
        </w:rPr>
      </w:pPr>
      <w:bookmarkStart w:id="1207" w:name="_Toc490222590"/>
      <w:bookmarkStart w:id="1208" w:name="_Toc117597576"/>
      <w:bookmarkStart w:id="1209" w:name="_Toc486580145"/>
      <w:bookmarkStart w:id="1210" w:name="_Toc489279956"/>
      <w:bookmarkStart w:id="1211" w:name="_Toc497213821"/>
      <w:r>
        <w:rPr>
          <w:rFonts w:ascii="宋体" w:hAnsi="宋体"/>
          <w:sz w:val="24"/>
          <w:szCs w:val="20"/>
        </w:rPr>
        <w:t xml:space="preserve">15.1  </w:t>
      </w:r>
      <w:r>
        <w:rPr>
          <w:rFonts w:hint="eastAsia" w:ascii="宋体" w:hAnsi="宋体"/>
          <w:sz w:val="24"/>
          <w:szCs w:val="20"/>
        </w:rPr>
        <w:t>变更的范围和内容</w:t>
      </w:r>
      <w:bookmarkEnd w:id="1207"/>
      <w:bookmarkEnd w:id="1208"/>
      <w:bookmarkEnd w:id="1209"/>
      <w:bookmarkEnd w:id="1210"/>
      <w:bookmarkEnd w:id="1211"/>
    </w:p>
    <w:p w14:paraId="455859C2">
      <w:pPr>
        <w:spacing w:line="360" w:lineRule="auto"/>
        <w:ind w:firstLine="420" w:firstLineChars="200"/>
        <w:rPr>
          <w:rFonts w:ascii="宋体"/>
        </w:rPr>
      </w:pPr>
      <w:r>
        <w:rPr>
          <w:rFonts w:ascii="宋体" w:hAnsi="宋体"/>
        </w:rPr>
        <w:t xml:space="preserve">15.1.1  </w:t>
      </w:r>
      <w:r>
        <w:rPr>
          <w:rFonts w:hint="eastAsia" w:ascii="宋体" w:hAnsi="宋体"/>
        </w:rPr>
        <w:t>在履行合同中发生以下情形之一，应按照本条规定进行变更。</w:t>
      </w:r>
    </w:p>
    <w:p w14:paraId="79310573">
      <w:pPr>
        <w:spacing w:line="360" w:lineRule="auto"/>
        <w:ind w:firstLine="315" w:firstLineChars="150"/>
        <w:rPr>
          <w:rFonts w:ascii="宋体"/>
        </w:rPr>
      </w:pPr>
      <w:r>
        <w:rPr>
          <w:rFonts w:hint="eastAsia" w:ascii="宋体" w:hAnsi="宋体"/>
        </w:rPr>
        <w:t>（</w:t>
      </w:r>
      <w:r>
        <w:rPr>
          <w:rFonts w:ascii="宋体" w:hAnsi="宋体"/>
        </w:rPr>
        <w:t>1</w:t>
      </w:r>
      <w:r>
        <w:rPr>
          <w:rFonts w:hint="eastAsia" w:ascii="宋体" w:hAnsi="宋体"/>
        </w:rPr>
        <w:t>）取消合同中任何一项工作，但被取消的工作不能转由发包人或其他人实施；</w:t>
      </w:r>
    </w:p>
    <w:p w14:paraId="5C8DB23B">
      <w:pPr>
        <w:spacing w:line="360" w:lineRule="auto"/>
        <w:ind w:firstLine="315" w:firstLineChars="150"/>
        <w:rPr>
          <w:rFonts w:ascii="宋体"/>
        </w:rPr>
      </w:pPr>
      <w:r>
        <w:rPr>
          <w:rFonts w:hint="eastAsia" w:ascii="宋体" w:hAnsi="宋体"/>
        </w:rPr>
        <w:t>（</w:t>
      </w:r>
      <w:r>
        <w:rPr>
          <w:rFonts w:ascii="宋体" w:hAnsi="宋体"/>
        </w:rPr>
        <w:t>2</w:t>
      </w:r>
      <w:r>
        <w:rPr>
          <w:rFonts w:hint="eastAsia" w:ascii="宋体" w:hAnsi="宋体"/>
        </w:rPr>
        <w:t>）改变合同中任何一项工作的质量或其他特性；</w:t>
      </w:r>
    </w:p>
    <w:p w14:paraId="36856C2A">
      <w:pPr>
        <w:spacing w:line="360" w:lineRule="auto"/>
        <w:ind w:firstLine="315" w:firstLineChars="150"/>
        <w:rPr>
          <w:rFonts w:ascii="宋体"/>
        </w:rPr>
      </w:pPr>
      <w:r>
        <w:rPr>
          <w:rFonts w:hint="eastAsia" w:ascii="宋体" w:hAnsi="宋体"/>
        </w:rPr>
        <w:t>（</w:t>
      </w:r>
      <w:r>
        <w:rPr>
          <w:rFonts w:ascii="宋体" w:hAnsi="宋体"/>
        </w:rPr>
        <w:t>3</w:t>
      </w:r>
      <w:r>
        <w:rPr>
          <w:rFonts w:hint="eastAsia" w:ascii="宋体" w:hAnsi="宋体"/>
        </w:rPr>
        <w:t>）改变合同工程的基线、标高、位置或尺寸；</w:t>
      </w:r>
    </w:p>
    <w:p w14:paraId="67072671">
      <w:pPr>
        <w:spacing w:line="360" w:lineRule="auto"/>
        <w:ind w:firstLine="315" w:firstLineChars="150"/>
        <w:rPr>
          <w:rFonts w:ascii="宋体"/>
        </w:rPr>
      </w:pPr>
      <w:r>
        <w:rPr>
          <w:rFonts w:hint="eastAsia" w:ascii="宋体" w:hAnsi="宋体"/>
        </w:rPr>
        <w:t>（</w:t>
      </w:r>
      <w:r>
        <w:rPr>
          <w:rFonts w:ascii="宋体" w:hAnsi="宋体"/>
        </w:rPr>
        <w:t>4</w:t>
      </w:r>
      <w:r>
        <w:rPr>
          <w:rFonts w:hint="eastAsia" w:ascii="宋体" w:hAnsi="宋体"/>
        </w:rPr>
        <w:t>）改变合同中任何一项工作的施工时间或改变已批准的施工工艺或顺序；</w:t>
      </w:r>
    </w:p>
    <w:p w14:paraId="42EEAD12">
      <w:pPr>
        <w:spacing w:line="360" w:lineRule="auto"/>
        <w:ind w:firstLine="315" w:firstLineChars="150"/>
        <w:rPr>
          <w:rFonts w:ascii="宋体"/>
        </w:rPr>
      </w:pPr>
      <w:r>
        <w:rPr>
          <w:rFonts w:hint="eastAsia" w:ascii="宋体" w:hAnsi="宋体"/>
        </w:rPr>
        <w:t>（</w:t>
      </w:r>
      <w:r>
        <w:rPr>
          <w:rFonts w:ascii="宋体" w:hAnsi="宋体"/>
        </w:rPr>
        <w:t>5</w:t>
      </w:r>
      <w:r>
        <w:rPr>
          <w:rFonts w:hint="eastAsia" w:ascii="宋体" w:hAnsi="宋体"/>
        </w:rPr>
        <w:t>）为完成工程需要追加的额外工作；</w:t>
      </w:r>
    </w:p>
    <w:p w14:paraId="5D3A6B2E">
      <w:pPr>
        <w:spacing w:line="360" w:lineRule="auto"/>
        <w:ind w:firstLine="315" w:firstLineChars="150"/>
        <w:rPr>
          <w:rFonts w:ascii="宋体"/>
        </w:rPr>
      </w:pPr>
      <w:r>
        <w:rPr>
          <w:rFonts w:hint="eastAsia" w:ascii="宋体" w:hAnsi="宋体"/>
        </w:rPr>
        <w:t>（</w:t>
      </w:r>
      <w:r>
        <w:rPr>
          <w:rFonts w:ascii="宋体" w:hAnsi="宋体"/>
        </w:rPr>
        <w:t>6</w:t>
      </w:r>
      <w:r>
        <w:rPr>
          <w:rFonts w:hint="eastAsia" w:ascii="宋体" w:hAnsi="宋体"/>
        </w:rPr>
        <w:t>）变更的其他情形</w:t>
      </w:r>
      <w:r>
        <w:rPr>
          <w:rFonts w:hint="eastAsia" w:ascii="黑体" w:hAnsi="黑体" w:eastAsia="黑体"/>
        </w:rPr>
        <w:t>见合同条款专用部分。</w:t>
      </w:r>
    </w:p>
    <w:p w14:paraId="7D3F4C22">
      <w:pPr>
        <w:spacing w:line="360" w:lineRule="auto"/>
        <w:ind w:firstLine="420" w:firstLineChars="200"/>
        <w:rPr>
          <w:rFonts w:ascii="宋体"/>
        </w:rPr>
      </w:pPr>
      <w:r>
        <w:rPr>
          <w:rFonts w:ascii="宋体" w:hAnsi="宋体"/>
        </w:rPr>
        <w:t xml:space="preserve">15.1.2  </w:t>
      </w:r>
      <w:r>
        <w:rPr>
          <w:rFonts w:hint="eastAsia" w:ascii="宋体" w:hAnsi="宋体"/>
        </w:rPr>
        <w:t>发包人违背第</w:t>
      </w:r>
      <w:r>
        <w:rPr>
          <w:rFonts w:ascii="宋体" w:hAnsi="宋体"/>
        </w:rPr>
        <w:t>15.1</w:t>
      </w:r>
      <w:r>
        <w:rPr>
          <w:rFonts w:hint="eastAsia" w:ascii="宋体" w:hAnsi="宋体"/>
        </w:rPr>
        <w:t>（</w:t>
      </w:r>
      <w:r>
        <w:rPr>
          <w:rFonts w:ascii="宋体" w:hAnsi="宋体"/>
        </w:rPr>
        <w:t>1</w:t>
      </w:r>
      <w:r>
        <w:rPr>
          <w:rFonts w:hint="eastAsia" w:ascii="宋体" w:hAnsi="宋体"/>
        </w:rPr>
        <w:t>）目的约定，将被取消的合同中的工作转由发包人或其他人实施的，承包人可向监理人发出通知，要求发包人采取有效措施纠正违约行为，发包人在监理人收到承包人通知后</w:t>
      </w:r>
      <w:r>
        <w:rPr>
          <w:rFonts w:ascii="宋体" w:hAnsi="宋体"/>
        </w:rPr>
        <w:t>28</w:t>
      </w:r>
      <w:r>
        <w:rPr>
          <w:rFonts w:hint="eastAsia" w:ascii="宋体" w:hAnsi="宋体"/>
        </w:rPr>
        <w:t>天内仍不纠正违约行为的，应当赔偿承包人损失（包括合理的利润）并承担由此引起的其他责任。承包人应当按第</w:t>
      </w:r>
      <w:r>
        <w:rPr>
          <w:rFonts w:ascii="宋体" w:hAnsi="宋体"/>
        </w:rPr>
        <w:t>23.1</w:t>
      </w:r>
      <w:r>
        <w:rPr>
          <w:rFonts w:hint="eastAsia" w:ascii="宋体" w:hAnsi="宋体"/>
        </w:rPr>
        <w:t>（</w:t>
      </w:r>
      <w:r>
        <w:rPr>
          <w:rFonts w:ascii="宋体" w:hAnsi="宋体"/>
        </w:rPr>
        <w:t>1</w:t>
      </w:r>
      <w:r>
        <w:rPr>
          <w:rFonts w:hint="eastAsia" w:ascii="宋体" w:hAnsi="宋体"/>
        </w:rPr>
        <w:t>）项的约定，在上述</w:t>
      </w:r>
      <w:r>
        <w:rPr>
          <w:rFonts w:ascii="宋体" w:hAnsi="宋体"/>
        </w:rPr>
        <w:t>28</w:t>
      </w:r>
      <w:r>
        <w:rPr>
          <w:rFonts w:hint="eastAsia" w:ascii="宋体" w:hAnsi="宋体"/>
        </w:rPr>
        <w:t>天期限到期后的</w:t>
      </w:r>
      <w:r>
        <w:rPr>
          <w:rFonts w:ascii="宋体" w:hAnsi="宋体"/>
        </w:rPr>
        <w:t>28</w:t>
      </w:r>
      <w:r>
        <w:rPr>
          <w:rFonts w:hint="eastAsia" w:ascii="宋体" w:hAnsi="宋体"/>
        </w:rPr>
        <w:t>天内，向监理人递交索赔意向通知书</w:t>
      </w:r>
      <w:r>
        <w:rPr>
          <w:rFonts w:ascii="宋体"/>
        </w:rPr>
        <w:t>,</w:t>
      </w:r>
      <w:r>
        <w:rPr>
          <w:rFonts w:hint="eastAsia" w:ascii="宋体" w:hAnsi="宋体"/>
        </w:rPr>
        <w:t>并按第</w:t>
      </w:r>
      <w:r>
        <w:rPr>
          <w:rFonts w:ascii="宋体" w:hAnsi="宋体"/>
        </w:rPr>
        <w:t>23.1</w:t>
      </w:r>
      <w:r>
        <w:rPr>
          <w:rFonts w:hint="eastAsia" w:ascii="宋体" w:hAnsi="宋体"/>
        </w:rPr>
        <w:t>（</w:t>
      </w:r>
      <w:r>
        <w:rPr>
          <w:rFonts w:ascii="宋体" w:hAnsi="宋体"/>
        </w:rPr>
        <w:t>2</w:t>
      </w:r>
      <w:r>
        <w:rPr>
          <w:rFonts w:hint="eastAsia" w:ascii="宋体" w:hAnsi="宋体"/>
        </w:rPr>
        <w:t>）项的约定，及时向监理人递交正式索赔通知书，说明有权得到的损失赔偿金额并附必要的记录和证明材料。发包人支付给承包人的损失赔偿金额应当包括被取消工作的合同价值中所包含的承包人管理费、利润以及相应的税金和规费。</w:t>
      </w:r>
    </w:p>
    <w:p w14:paraId="32B5143A">
      <w:pPr>
        <w:keepNext/>
        <w:keepLines/>
        <w:spacing w:beforeLines="50" w:afterLines="50" w:line="360" w:lineRule="auto"/>
        <w:outlineLvl w:val="2"/>
        <w:rPr>
          <w:rFonts w:ascii="宋体" w:hAnsi="宋体"/>
          <w:sz w:val="24"/>
          <w:szCs w:val="20"/>
        </w:rPr>
      </w:pPr>
      <w:bookmarkStart w:id="1212" w:name="_Toc486580146"/>
      <w:bookmarkStart w:id="1213" w:name="_Toc489279957"/>
      <w:bookmarkStart w:id="1214" w:name="_Toc117597577"/>
      <w:bookmarkStart w:id="1215" w:name="_Toc497213822"/>
      <w:bookmarkStart w:id="1216" w:name="_Toc490222591"/>
      <w:r>
        <w:rPr>
          <w:rFonts w:ascii="宋体" w:hAnsi="宋体"/>
          <w:sz w:val="24"/>
          <w:szCs w:val="20"/>
        </w:rPr>
        <w:t xml:space="preserve">15.2  </w:t>
      </w:r>
      <w:r>
        <w:rPr>
          <w:rFonts w:hint="eastAsia" w:ascii="宋体" w:hAnsi="宋体"/>
          <w:sz w:val="24"/>
          <w:szCs w:val="20"/>
        </w:rPr>
        <w:t>变更权</w:t>
      </w:r>
      <w:bookmarkEnd w:id="1212"/>
      <w:bookmarkEnd w:id="1213"/>
      <w:bookmarkEnd w:id="1214"/>
      <w:bookmarkEnd w:id="1215"/>
      <w:bookmarkEnd w:id="1216"/>
    </w:p>
    <w:p w14:paraId="7B1DA328">
      <w:pPr>
        <w:spacing w:line="360" w:lineRule="auto"/>
        <w:ind w:firstLine="420" w:firstLineChars="200"/>
        <w:rPr>
          <w:rFonts w:ascii="宋体"/>
        </w:rPr>
      </w:pPr>
      <w:r>
        <w:rPr>
          <w:rFonts w:hint="eastAsia" w:ascii="宋体" w:hAnsi="宋体"/>
        </w:rPr>
        <w:t>在履行合同过程中，经发包人同意，监理人可按第</w:t>
      </w:r>
      <w:r>
        <w:rPr>
          <w:rFonts w:ascii="宋体" w:hAnsi="宋体"/>
        </w:rPr>
        <w:t>15.3</w:t>
      </w:r>
      <w:r>
        <w:rPr>
          <w:rFonts w:hint="eastAsia" w:ascii="宋体" w:hAnsi="宋体"/>
        </w:rPr>
        <w:t>款约定的变更程序向承包人作出变更指示，承包人应遵照执行。没有监理人的变更指示，承包人不得擅自变更。</w:t>
      </w:r>
    </w:p>
    <w:p w14:paraId="50E847C6">
      <w:pPr>
        <w:keepNext/>
        <w:keepLines/>
        <w:spacing w:beforeLines="50" w:afterLines="50" w:line="360" w:lineRule="auto"/>
        <w:outlineLvl w:val="2"/>
        <w:rPr>
          <w:rFonts w:ascii="宋体" w:hAnsi="宋体"/>
          <w:sz w:val="24"/>
          <w:szCs w:val="20"/>
        </w:rPr>
      </w:pPr>
      <w:bookmarkStart w:id="1217" w:name="_Toc489279958"/>
      <w:bookmarkStart w:id="1218" w:name="_Toc486580147"/>
      <w:bookmarkStart w:id="1219" w:name="_Toc117597578"/>
      <w:bookmarkStart w:id="1220" w:name="_Toc497213823"/>
      <w:bookmarkStart w:id="1221" w:name="_Toc490222592"/>
      <w:r>
        <w:rPr>
          <w:rFonts w:ascii="宋体" w:hAnsi="宋体"/>
          <w:sz w:val="24"/>
          <w:szCs w:val="20"/>
        </w:rPr>
        <w:t xml:space="preserve">15.3  </w:t>
      </w:r>
      <w:r>
        <w:rPr>
          <w:rFonts w:hint="eastAsia" w:ascii="宋体" w:hAnsi="宋体"/>
          <w:sz w:val="24"/>
          <w:szCs w:val="20"/>
        </w:rPr>
        <w:t>变更程序</w:t>
      </w:r>
      <w:bookmarkEnd w:id="1217"/>
      <w:bookmarkEnd w:id="1218"/>
      <w:bookmarkEnd w:id="1219"/>
      <w:bookmarkEnd w:id="1220"/>
      <w:bookmarkEnd w:id="1221"/>
    </w:p>
    <w:p w14:paraId="7539549C">
      <w:pPr>
        <w:spacing w:line="360" w:lineRule="auto"/>
        <w:ind w:firstLine="420" w:firstLineChars="200"/>
        <w:rPr>
          <w:rFonts w:ascii="宋体"/>
        </w:rPr>
      </w:pPr>
      <w:r>
        <w:rPr>
          <w:rFonts w:ascii="宋体" w:hAnsi="宋体"/>
        </w:rPr>
        <w:t xml:space="preserve">15.3.1  </w:t>
      </w:r>
      <w:r>
        <w:rPr>
          <w:rFonts w:hint="eastAsia" w:ascii="宋体" w:hAnsi="宋体"/>
        </w:rPr>
        <w:t>变更的提出</w:t>
      </w:r>
    </w:p>
    <w:p w14:paraId="067F01C8">
      <w:pPr>
        <w:spacing w:line="360" w:lineRule="auto"/>
        <w:ind w:firstLine="315" w:firstLineChars="150"/>
        <w:rPr>
          <w:rFonts w:ascii="宋体"/>
        </w:rPr>
      </w:pPr>
      <w:r>
        <w:rPr>
          <w:rFonts w:hint="eastAsia" w:ascii="宋体" w:hAnsi="宋体"/>
        </w:rPr>
        <w:t>（</w:t>
      </w:r>
      <w:r>
        <w:rPr>
          <w:rFonts w:ascii="宋体" w:hAnsi="宋体"/>
        </w:rPr>
        <w:t>1</w:t>
      </w:r>
      <w:r>
        <w:rPr>
          <w:rFonts w:hint="eastAsia" w:ascii="宋体" w:hAnsi="宋体"/>
        </w:rPr>
        <w:t>）在合同履行过程中，可能发生第</w:t>
      </w:r>
      <w:r>
        <w:rPr>
          <w:rFonts w:ascii="宋体" w:hAnsi="宋体"/>
        </w:rPr>
        <w:t>15.1.1</w:t>
      </w:r>
      <w:r>
        <w:rPr>
          <w:rFonts w:hint="eastAsia" w:ascii="宋体" w:hAnsi="宋体"/>
        </w:rPr>
        <w:t>项约定情形的，监理人可向承包人发出变更意向书。变更意向书应说明变更的具体内容和发包人对变更的时间要求，并附必要的图纸和相关资料。变更意向书应要求承包人提交包括拟实施变更工作的计划、措施和竣工时间等内容的实施方案。发包人同意承包人根据变更意向书要求提交的变更实施方案的，由监理人按第</w:t>
      </w:r>
      <w:r>
        <w:rPr>
          <w:rFonts w:ascii="宋体" w:hAnsi="宋体"/>
        </w:rPr>
        <w:t>15.3.3</w:t>
      </w:r>
      <w:r>
        <w:rPr>
          <w:rFonts w:hint="eastAsia" w:ascii="宋体" w:hAnsi="宋体"/>
        </w:rPr>
        <w:t>项约定发出变更指示。</w:t>
      </w:r>
    </w:p>
    <w:p w14:paraId="7EFE2FFD">
      <w:pPr>
        <w:spacing w:line="360" w:lineRule="auto"/>
        <w:ind w:firstLine="315" w:firstLineChars="150"/>
        <w:rPr>
          <w:rFonts w:ascii="宋体"/>
        </w:rPr>
      </w:pPr>
      <w:r>
        <w:rPr>
          <w:rFonts w:hint="eastAsia" w:ascii="宋体" w:hAnsi="宋体"/>
        </w:rPr>
        <w:t>（</w:t>
      </w:r>
      <w:r>
        <w:rPr>
          <w:rFonts w:ascii="宋体" w:hAnsi="宋体"/>
        </w:rPr>
        <w:t>2</w:t>
      </w:r>
      <w:r>
        <w:rPr>
          <w:rFonts w:hint="eastAsia" w:ascii="宋体" w:hAnsi="宋体"/>
        </w:rPr>
        <w:t>）在合同履行过程中，发生第</w:t>
      </w:r>
      <w:r>
        <w:rPr>
          <w:rFonts w:ascii="宋体" w:hAnsi="宋体"/>
        </w:rPr>
        <w:t>15.1.1</w:t>
      </w:r>
      <w:r>
        <w:rPr>
          <w:rFonts w:hint="eastAsia" w:ascii="宋体" w:hAnsi="宋体"/>
        </w:rPr>
        <w:t>项约定情形的，监理人应按照第</w:t>
      </w:r>
      <w:r>
        <w:rPr>
          <w:rFonts w:ascii="宋体" w:hAnsi="宋体"/>
        </w:rPr>
        <w:t>15.3.3</w:t>
      </w:r>
      <w:r>
        <w:rPr>
          <w:rFonts w:hint="eastAsia" w:ascii="宋体" w:hAnsi="宋体"/>
        </w:rPr>
        <w:t>项约定向承包人发出变更指示。</w:t>
      </w:r>
    </w:p>
    <w:p w14:paraId="5471B901">
      <w:pPr>
        <w:spacing w:line="360" w:lineRule="auto"/>
        <w:ind w:firstLine="315" w:firstLineChars="150"/>
        <w:rPr>
          <w:rFonts w:ascii="宋体"/>
        </w:rPr>
      </w:pPr>
      <w:r>
        <w:rPr>
          <w:rFonts w:hint="eastAsia" w:ascii="宋体" w:hAnsi="宋体"/>
        </w:rPr>
        <w:t>（</w:t>
      </w:r>
      <w:r>
        <w:rPr>
          <w:rFonts w:ascii="宋体" w:hAnsi="宋体"/>
        </w:rPr>
        <w:t>3</w:t>
      </w:r>
      <w:r>
        <w:rPr>
          <w:rFonts w:hint="eastAsia" w:ascii="宋体" w:hAnsi="宋体"/>
        </w:rPr>
        <w:t>）承包人收到监理人按合同约定发出的图纸和文件，经检查认为其中存在第</w:t>
      </w:r>
      <w:r>
        <w:rPr>
          <w:rFonts w:ascii="宋体" w:hAnsi="宋体"/>
        </w:rPr>
        <w:t>15.1.1</w:t>
      </w:r>
      <w:r>
        <w:rPr>
          <w:rFonts w:hint="eastAsia" w:ascii="宋体" w:hAnsi="宋体"/>
        </w:rPr>
        <w:t>项约定情形的，可向监理人提出书面变更建议。变更建议应阐明要求变更的依据，并附必要的图纸和说明。监理人收到承包人书面建议后，应与发包人共同研究，确认存在变更的，应在收到承包人书面建议后的</w:t>
      </w:r>
      <w:r>
        <w:rPr>
          <w:rFonts w:ascii="宋体" w:hAnsi="宋体"/>
        </w:rPr>
        <w:t>14</w:t>
      </w:r>
      <w:r>
        <w:rPr>
          <w:rFonts w:hint="eastAsia" w:ascii="宋体" w:hAnsi="宋体"/>
        </w:rPr>
        <w:t>天内作出变更指示。经研究后不同意作为变更的，应由监理人书面答复承包人。</w:t>
      </w:r>
    </w:p>
    <w:p w14:paraId="5D0E5220">
      <w:pPr>
        <w:spacing w:line="360" w:lineRule="auto"/>
        <w:ind w:firstLine="315" w:firstLineChars="150"/>
        <w:rPr>
          <w:rFonts w:ascii="宋体"/>
        </w:rPr>
      </w:pPr>
      <w:r>
        <w:rPr>
          <w:rFonts w:hint="eastAsia" w:ascii="宋体" w:hAnsi="宋体"/>
        </w:rPr>
        <w:t>（</w:t>
      </w:r>
      <w:r>
        <w:rPr>
          <w:rFonts w:ascii="宋体" w:hAnsi="宋体"/>
        </w:rPr>
        <w:t>4</w:t>
      </w:r>
      <w:r>
        <w:rPr>
          <w:rFonts w:hint="eastAsia" w:ascii="宋体" w:hAnsi="宋体"/>
        </w:rPr>
        <w:t>）若承包人收到监理人的变更意向书后认为难以实施此项变更，应立即通知监理人，说明原因并附详细依据。监理人与承包人和发包人协商后确定撤销、改变或不改变原变更意向书。</w:t>
      </w:r>
    </w:p>
    <w:p w14:paraId="577F0FFC">
      <w:pPr>
        <w:spacing w:line="360" w:lineRule="auto"/>
        <w:ind w:firstLine="420" w:firstLineChars="200"/>
        <w:rPr>
          <w:rFonts w:ascii="宋体"/>
        </w:rPr>
      </w:pPr>
      <w:r>
        <w:rPr>
          <w:rFonts w:ascii="宋体" w:hAnsi="宋体"/>
        </w:rPr>
        <w:t xml:space="preserve">15.3.2  </w:t>
      </w:r>
      <w:r>
        <w:rPr>
          <w:rFonts w:hint="eastAsia" w:ascii="宋体" w:hAnsi="宋体"/>
        </w:rPr>
        <w:t>变更估价</w:t>
      </w:r>
    </w:p>
    <w:p w14:paraId="57BEDA35">
      <w:pPr>
        <w:spacing w:line="360" w:lineRule="auto"/>
        <w:ind w:firstLine="315" w:firstLineChars="150"/>
        <w:rPr>
          <w:rFonts w:ascii="宋体"/>
        </w:rPr>
      </w:pPr>
      <w:r>
        <w:rPr>
          <w:rFonts w:hint="eastAsia" w:ascii="宋体" w:hAnsi="宋体"/>
        </w:rPr>
        <w:t>（</w:t>
      </w:r>
      <w:r>
        <w:rPr>
          <w:rFonts w:ascii="宋体" w:hAnsi="宋体"/>
        </w:rPr>
        <w:t>1</w:t>
      </w:r>
      <w:r>
        <w:rPr>
          <w:rFonts w:hint="eastAsia" w:ascii="宋体" w:hAnsi="宋体"/>
        </w:rPr>
        <w:t>）除合同条款专用部分对期限另有约定外，承包人应在收到变更指示或变更意向书后的</w:t>
      </w:r>
      <w:r>
        <w:rPr>
          <w:rFonts w:ascii="宋体" w:hAnsi="宋体"/>
        </w:rPr>
        <w:t>14</w:t>
      </w:r>
      <w:r>
        <w:rPr>
          <w:rFonts w:hint="eastAsia" w:ascii="宋体" w:hAnsi="宋体"/>
        </w:rPr>
        <w:t>天内，向监理人提交变更报价书，报价内容应根据第</w:t>
      </w:r>
      <w:r>
        <w:rPr>
          <w:rFonts w:ascii="宋体" w:hAnsi="宋体"/>
        </w:rPr>
        <w:t>15.4</w:t>
      </w:r>
      <w:r>
        <w:rPr>
          <w:rFonts w:hint="eastAsia" w:ascii="宋体" w:hAnsi="宋体"/>
        </w:rPr>
        <w:t>款约定的估价原则，详细开列变更工作的价格组成及其依据，并附必要的施工方法说明和有关图纸。承包人提交变更报价书的期限</w:t>
      </w:r>
      <w:r>
        <w:rPr>
          <w:rFonts w:hint="eastAsia" w:ascii="黑体" w:hAnsi="黑体" w:eastAsia="黑体"/>
        </w:rPr>
        <w:t>见合同条款专用部分。</w:t>
      </w:r>
    </w:p>
    <w:p w14:paraId="639A030B">
      <w:pPr>
        <w:spacing w:line="360" w:lineRule="auto"/>
        <w:ind w:firstLine="315" w:firstLineChars="150"/>
        <w:rPr>
          <w:rFonts w:ascii="宋体"/>
        </w:rPr>
      </w:pPr>
      <w:r>
        <w:rPr>
          <w:rFonts w:hint="eastAsia" w:ascii="宋体" w:hAnsi="宋体"/>
        </w:rPr>
        <w:t>（</w:t>
      </w:r>
      <w:r>
        <w:rPr>
          <w:rFonts w:ascii="宋体" w:hAnsi="宋体"/>
        </w:rPr>
        <w:t>2</w:t>
      </w:r>
      <w:r>
        <w:rPr>
          <w:rFonts w:hint="eastAsia" w:ascii="宋体" w:hAnsi="宋体"/>
        </w:rPr>
        <w:t>）变更工作影响工期的，承包人应提出调整工期的具体细节。监理人认为有必要时，可要求承包人提交要求提前或延长工期的施工进度计划，及相应施工措施等详细资料。</w:t>
      </w:r>
    </w:p>
    <w:p w14:paraId="20FB7214">
      <w:pPr>
        <w:spacing w:line="360" w:lineRule="auto"/>
        <w:ind w:firstLine="315" w:firstLineChars="150"/>
        <w:rPr>
          <w:rFonts w:ascii="宋体"/>
        </w:rPr>
      </w:pPr>
      <w:r>
        <w:rPr>
          <w:rFonts w:hint="eastAsia" w:ascii="宋体" w:hAnsi="宋体"/>
        </w:rPr>
        <w:t>（</w:t>
      </w:r>
      <w:r>
        <w:rPr>
          <w:rFonts w:ascii="宋体" w:hAnsi="宋体"/>
        </w:rPr>
        <w:t>3</w:t>
      </w:r>
      <w:r>
        <w:rPr>
          <w:rFonts w:hint="eastAsia" w:ascii="宋体" w:hAnsi="宋体"/>
        </w:rPr>
        <w:t>）除合同条款专用部分对期限另有约定外，监理人收到承包人变更报价书后的</w:t>
      </w:r>
      <w:r>
        <w:rPr>
          <w:rFonts w:ascii="宋体" w:hAnsi="宋体"/>
        </w:rPr>
        <w:t>14</w:t>
      </w:r>
      <w:r>
        <w:rPr>
          <w:rFonts w:hint="eastAsia" w:ascii="宋体" w:hAnsi="宋体"/>
        </w:rPr>
        <w:t>天内，根据第</w:t>
      </w:r>
      <w:r>
        <w:rPr>
          <w:rFonts w:ascii="宋体" w:hAnsi="宋体"/>
        </w:rPr>
        <w:t>15.4</w:t>
      </w:r>
      <w:r>
        <w:rPr>
          <w:rFonts w:hint="eastAsia" w:ascii="宋体" w:hAnsi="宋体"/>
        </w:rPr>
        <w:t>款约定的估价原则，按照第</w:t>
      </w:r>
      <w:r>
        <w:rPr>
          <w:rFonts w:ascii="宋体" w:hAnsi="宋体"/>
        </w:rPr>
        <w:t>3.5</w:t>
      </w:r>
      <w:r>
        <w:rPr>
          <w:rFonts w:hint="eastAsia" w:ascii="宋体" w:hAnsi="宋体"/>
        </w:rPr>
        <w:t>款商定或确定变更价格。监理人商定或确定变更价格的期限</w:t>
      </w:r>
      <w:r>
        <w:rPr>
          <w:rFonts w:hint="eastAsia" w:ascii="黑体" w:hAnsi="黑体" w:eastAsia="黑体"/>
        </w:rPr>
        <w:t>见合同条款专用部分。</w:t>
      </w:r>
    </w:p>
    <w:p w14:paraId="44E78E3B">
      <w:pPr>
        <w:spacing w:line="360" w:lineRule="auto"/>
        <w:ind w:firstLine="315" w:firstLineChars="150"/>
        <w:rPr>
          <w:rFonts w:ascii="宋体"/>
        </w:rPr>
      </w:pPr>
      <w:r>
        <w:rPr>
          <w:rFonts w:hint="eastAsia" w:ascii="宋体" w:hAnsi="宋体"/>
        </w:rPr>
        <w:t>（</w:t>
      </w:r>
      <w:r>
        <w:rPr>
          <w:rFonts w:ascii="宋体" w:hAnsi="宋体"/>
        </w:rPr>
        <w:t>4</w:t>
      </w:r>
      <w:r>
        <w:rPr>
          <w:rFonts w:hint="eastAsia" w:ascii="宋体" w:hAnsi="宋体"/>
        </w:rPr>
        <w:t>）收到变更指示后，如承包人未在规定的期限内提交变更报价书的，监理人可自行决定是否调整合同价款以及如果监理人决定调整合同价款时，相应调整的具体金额。</w:t>
      </w:r>
    </w:p>
    <w:p w14:paraId="04648AE9">
      <w:pPr>
        <w:spacing w:line="360" w:lineRule="auto"/>
        <w:ind w:firstLine="420" w:firstLineChars="200"/>
        <w:rPr>
          <w:rFonts w:ascii="宋体"/>
        </w:rPr>
      </w:pPr>
      <w:r>
        <w:rPr>
          <w:rFonts w:ascii="宋体" w:hAnsi="宋体"/>
        </w:rPr>
        <w:t xml:space="preserve">15.3.3  </w:t>
      </w:r>
      <w:r>
        <w:rPr>
          <w:rFonts w:hint="eastAsia" w:ascii="宋体" w:hAnsi="宋体"/>
        </w:rPr>
        <w:t>变更指示</w:t>
      </w:r>
    </w:p>
    <w:p w14:paraId="3FA1159E">
      <w:pPr>
        <w:spacing w:line="360" w:lineRule="auto"/>
        <w:ind w:firstLine="420" w:firstLineChars="200"/>
        <w:rPr>
          <w:rFonts w:ascii="宋体"/>
        </w:rPr>
      </w:pPr>
      <w:r>
        <w:rPr>
          <w:rFonts w:hint="eastAsia" w:ascii="宋体" w:hAnsi="宋体"/>
        </w:rPr>
        <w:t>（</w:t>
      </w:r>
      <w:r>
        <w:rPr>
          <w:rFonts w:ascii="宋体" w:hAnsi="宋体"/>
        </w:rPr>
        <w:t>1</w:t>
      </w:r>
      <w:r>
        <w:rPr>
          <w:rFonts w:hint="eastAsia" w:ascii="宋体" w:hAnsi="宋体"/>
        </w:rPr>
        <w:t>）变更指示只能由监理人发出。</w:t>
      </w:r>
    </w:p>
    <w:p w14:paraId="0ECAC6A9">
      <w:pPr>
        <w:spacing w:line="360" w:lineRule="auto"/>
        <w:ind w:firstLine="420" w:firstLineChars="200"/>
        <w:rPr>
          <w:rFonts w:ascii="宋体"/>
        </w:rPr>
      </w:pPr>
      <w:r>
        <w:rPr>
          <w:rFonts w:hint="eastAsia" w:ascii="宋体" w:hAnsi="宋体"/>
        </w:rPr>
        <w:t>（</w:t>
      </w:r>
      <w:r>
        <w:rPr>
          <w:rFonts w:ascii="宋体" w:hAnsi="宋体"/>
        </w:rPr>
        <w:t>2</w:t>
      </w:r>
      <w:r>
        <w:rPr>
          <w:rFonts w:hint="eastAsia" w:ascii="宋体" w:hAnsi="宋体"/>
        </w:rPr>
        <w:t>）变更指示应说明变更的目的、范围、变更内容以及变更的工程量及其进度和技术要求，并附有关图纸和文件。承包人收到变更指示后，应按变更指示进行变更工作。</w:t>
      </w:r>
    </w:p>
    <w:p w14:paraId="58C7BB92">
      <w:pPr>
        <w:keepNext/>
        <w:keepLines/>
        <w:spacing w:beforeLines="50" w:afterLines="50" w:line="360" w:lineRule="auto"/>
        <w:outlineLvl w:val="2"/>
        <w:rPr>
          <w:rFonts w:ascii="宋体" w:hAnsi="宋体"/>
          <w:sz w:val="24"/>
          <w:szCs w:val="20"/>
        </w:rPr>
      </w:pPr>
      <w:bookmarkStart w:id="1222" w:name="_Toc489279959"/>
      <w:bookmarkStart w:id="1223" w:name="_Toc490222593"/>
      <w:bookmarkStart w:id="1224" w:name="_Toc497213824"/>
      <w:bookmarkStart w:id="1225" w:name="_Toc486580148"/>
      <w:bookmarkStart w:id="1226" w:name="_Toc117597579"/>
      <w:r>
        <w:rPr>
          <w:rFonts w:ascii="宋体" w:hAnsi="宋体"/>
          <w:sz w:val="24"/>
          <w:szCs w:val="20"/>
        </w:rPr>
        <w:t xml:space="preserve">15.4  </w:t>
      </w:r>
      <w:r>
        <w:rPr>
          <w:rFonts w:hint="eastAsia" w:ascii="宋体" w:hAnsi="宋体"/>
          <w:sz w:val="24"/>
          <w:szCs w:val="20"/>
        </w:rPr>
        <w:t>变更的估价原则</w:t>
      </w:r>
      <w:bookmarkEnd w:id="1222"/>
      <w:bookmarkEnd w:id="1223"/>
      <w:bookmarkEnd w:id="1224"/>
      <w:bookmarkEnd w:id="1225"/>
      <w:bookmarkEnd w:id="1226"/>
    </w:p>
    <w:p w14:paraId="07B14BA8">
      <w:pPr>
        <w:spacing w:line="360" w:lineRule="auto"/>
        <w:ind w:firstLine="420" w:firstLineChars="200"/>
        <w:rPr>
          <w:rFonts w:ascii="宋体"/>
        </w:rPr>
      </w:pPr>
      <w:r>
        <w:rPr>
          <w:rFonts w:hint="eastAsia" w:ascii="宋体" w:hAnsi="宋体"/>
        </w:rPr>
        <w:t>因工程量清单漏项（仅适用于合同协议书约定采用单价合同形式时）或变更引起的价格调整按照本款约定处理。</w:t>
      </w:r>
    </w:p>
    <w:p w14:paraId="2D259DA0">
      <w:pPr>
        <w:spacing w:line="360" w:lineRule="auto"/>
        <w:ind w:firstLine="420" w:firstLineChars="200"/>
        <w:rPr>
          <w:rFonts w:ascii="宋体"/>
        </w:rPr>
      </w:pPr>
      <w:r>
        <w:rPr>
          <w:rFonts w:ascii="宋体" w:hAnsi="宋体"/>
        </w:rPr>
        <w:t xml:space="preserve">15.4.1  </w:t>
      </w:r>
      <w:r>
        <w:rPr>
          <w:rFonts w:hint="eastAsia" w:ascii="宋体" w:hAnsi="宋体"/>
        </w:rPr>
        <w:t>已标价工程量清单中有适用于变更工作的子目的，采用该子目的单价。</w:t>
      </w:r>
    </w:p>
    <w:p w14:paraId="0858A24F">
      <w:pPr>
        <w:spacing w:line="360" w:lineRule="auto"/>
        <w:ind w:firstLine="420" w:firstLineChars="200"/>
        <w:rPr>
          <w:rFonts w:ascii="宋体"/>
        </w:rPr>
      </w:pPr>
      <w:r>
        <w:rPr>
          <w:rFonts w:ascii="宋体" w:hAnsi="宋体"/>
        </w:rPr>
        <w:t xml:space="preserve">15.4.2  </w:t>
      </w:r>
      <w:r>
        <w:rPr>
          <w:rFonts w:hint="eastAsia" w:ascii="宋体" w:hAnsi="宋体"/>
        </w:rPr>
        <w:t>已标价工程量清单中无适用于变更工作的子目，但有类似子目的，可在合理范围内参照类似子目的单价，由监理人按第</w:t>
      </w:r>
      <w:r>
        <w:rPr>
          <w:rFonts w:ascii="宋体" w:hAnsi="宋体"/>
        </w:rPr>
        <w:t>3.5</w:t>
      </w:r>
      <w:r>
        <w:rPr>
          <w:rFonts w:hint="eastAsia" w:ascii="宋体" w:hAnsi="宋体"/>
        </w:rPr>
        <w:t>款商定或确定变更工作的单价。</w:t>
      </w:r>
    </w:p>
    <w:p w14:paraId="49B9F313">
      <w:pPr>
        <w:spacing w:line="360" w:lineRule="auto"/>
        <w:ind w:firstLine="420" w:firstLineChars="200"/>
        <w:rPr>
          <w:rFonts w:ascii="宋体"/>
        </w:rPr>
      </w:pPr>
      <w:r>
        <w:rPr>
          <w:rFonts w:ascii="宋体" w:hAnsi="宋体"/>
        </w:rPr>
        <w:t xml:space="preserve">15.4.3  </w:t>
      </w:r>
      <w:r>
        <w:rPr>
          <w:rFonts w:hint="eastAsia" w:ascii="宋体" w:hAnsi="宋体"/>
        </w:rPr>
        <w:t>已标价工程量清单中无适用或类似子目的单价，可按照成本加利润的原则，由监理人按第</w:t>
      </w:r>
      <w:r>
        <w:rPr>
          <w:rFonts w:ascii="宋体" w:hAnsi="宋体"/>
        </w:rPr>
        <w:t>3.5</w:t>
      </w:r>
      <w:r>
        <w:rPr>
          <w:rFonts w:hint="eastAsia" w:ascii="宋体" w:hAnsi="宋体"/>
        </w:rPr>
        <w:t>款商定或确定变更工作的单价。</w:t>
      </w:r>
    </w:p>
    <w:p w14:paraId="11576695">
      <w:pPr>
        <w:spacing w:line="360" w:lineRule="auto"/>
        <w:ind w:firstLine="420" w:firstLineChars="200"/>
        <w:rPr>
          <w:rFonts w:ascii="宋体"/>
        </w:rPr>
      </w:pPr>
      <w:r>
        <w:rPr>
          <w:rFonts w:ascii="宋体" w:hAnsi="宋体"/>
        </w:rPr>
        <w:t xml:space="preserve">15.4.4  </w:t>
      </w:r>
      <w:r>
        <w:rPr>
          <w:rFonts w:hint="eastAsia" w:ascii="宋体" w:hAnsi="宋体"/>
        </w:rPr>
        <w:t>因工程量清单漏项（仅适用于合同协议书约定采用单价合同形式时）或变更引起措施项目发生变化，原措施项目费中已有的措施项目，采用原措施项目费的组价方法变更；原措施项目费中没有的措施项目，由承包人根据措施项目变更情况，提出适当的措施项目费变更，由监理人按第</w:t>
      </w:r>
      <w:r>
        <w:rPr>
          <w:rFonts w:ascii="宋体" w:hAnsi="宋体"/>
        </w:rPr>
        <w:t>3.5</w:t>
      </w:r>
      <w:r>
        <w:rPr>
          <w:rFonts w:hint="eastAsia" w:ascii="宋体" w:hAnsi="宋体"/>
        </w:rPr>
        <w:t>款商定或确定变更措施项目的费用。</w:t>
      </w:r>
    </w:p>
    <w:p w14:paraId="73795376">
      <w:pPr>
        <w:spacing w:line="360" w:lineRule="auto"/>
        <w:ind w:firstLine="420" w:firstLineChars="200"/>
        <w:rPr>
          <w:rFonts w:ascii="宋体"/>
        </w:rPr>
      </w:pPr>
      <w:r>
        <w:rPr>
          <w:rFonts w:ascii="宋体" w:hAnsi="宋体"/>
        </w:rPr>
        <w:t xml:space="preserve">15.4.5  </w:t>
      </w:r>
      <w:r>
        <w:rPr>
          <w:rFonts w:hint="eastAsia" w:ascii="宋体" w:hAnsi="宋体"/>
        </w:rPr>
        <w:t>合同协议书约定采用单价合同形式时，因非承包人原因引起已标价工程量清单中列明的工程量发生增减，超过合同约定范围且导致分部分项工程费总额变化超过一定幅度时，可以调整单价，否则不因已标价工程量清单中列明工程量的增减而调整单价。其调整的原则</w:t>
      </w:r>
      <w:r>
        <w:rPr>
          <w:rFonts w:hint="eastAsia" w:ascii="黑体" w:hAnsi="黑体" w:eastAsia="黑体"/>
        </w:rPr>
        <w:t>见合同条款专用部分。</w:t>
      </w:r>
    </w:p>
    <w:p w14:paraId="487A6B21">
      <w:pPr>
        <w:spacing w:line="360" w:lineRule="auto"/>
        <w:ind w:firstLine="420" w:firstLineChars="200"/>
        <w:rPr>
          <w:rFonts w:ascii="宋体"/>
        </w:rPr>
      </w:pPr>
      <w:r>
        <w:rPr>
          <w:rFonts w:ascii="宋体" w:hAnsi="宋体"/>
        </w:rPr>
        <w:t xml:space="preserve">15.4.6  </w:t>
      </w:r>
      <w:r>
        <w:rPr>
          <w:rFonts w:hint="eastAsia" w:ascii="宋体" w:hAnsi="宋体"/>
        </w:rPr>
        <w:t>因变更引起价格调整的其他处理方式</w:t>
      </w:r>
      <w:r>
        <w:rPr>
          <w:rFonts w:hint="eastAsia" w:ascii="黑体" w:hAnsi="黑体" w:eastAsia="黑体"/>
        </w:rPr>
        <w:t>见合同条款专用部分。</w:t>
      </w:r>
    </w:p>
    <w:p w14:paraId="702EDBAA">
      <w:pPr>
        <w:keepNext/>
        <w:keepLines/>
        <w:spacing w:beforeLines="50" w:afterLines="50" w:line="360" w:lineRule="auto"/>
        <w:outlineLvl w:val="2"/>
        <w:rPr>
          <w:rFonts w:ascii="宋体" w:hAnsi="宋体"/>
          <w:sz w:val="24"/>
          <w:szCs w:val="20"/>
        </w:rPr>
      </w:pPr>
      <w:bookmarkStart w:id="1227" w:name="_Toc490222594"/>
      <w:bookmarkStart w:id="1228" w:name="_Toc497213825"/>
      <w:bookmarkStart w:id="1229" w:name="_Toc486580149"/>
      <w:bookmarkStart w:id="1230" w:name="_Toc117597580"/>
      <w:bookmarkStart w:id="1231" w:name="_Toc489279960"/>
      <w:r>
        <w:rPr>
          <w:rFonts w:ascii="宋体" w:hAnsi="宋体"/>
          <w:sz w:val="24"/>
          <w:szCs w:val="20"/>
        </w:rPr>
        <w:t xml:space="preserve">15.5  </w:t>
      </w:r>
      <w:r>
        <w:rPr>
          <w:rFonts w:hint="eastAsia" w:ascii="宋体" w:hAnsi="宋体"/>
          <w:sz w:val="24"/>
          <w:szCs w:val="20"/>
        </w:rPr>
        <w:t>承包人的合理化建议</w:t>
      </w:r>
      <w:bookmarkEnd w:id="1227"/>
      <w:bookmarkEnd w:id="1228"/>
      <w:bookmarkEnd w:id="1229"/>
      <w:bookmarkEnd w:id="1230"/>
      <w:bookmarkEnd w:id="1231"/>
    </w:p>
    <w:p w14:paraId="54B671D2">
      <w:pPr>
        <w:spacing w:line="360" w:lineRule="auto"/>
        <w:ind w:firstLine="420" w:firstLineChars="200"/>
        <w:rPr>
          <w:rFonts w:ascii="宋体"/>
        </w:rPr>
      </w:pPr>
      <w:r>
        <w:rPr>
          <w:rFonts w:ascii="宋体" w:hAnsi="宋体"/>
        </w:rPr>
        <w:t xml:space="preserve">15.5.1  </w:t>
      </w:r>
      <w:r>
        <w:rPr>
          <w:rFonts w:hint="eastAsia" w:ascii="宋体" w:hAnsi="宋体"/>
        </w:rPr>
        <w:t>在履行合同过程中，承包人对发包人提供的图纸、技术要求以及其他方面提出的合理化建议，均应以书面形式提交监理人。合理化建议书的内容应包括建议工作的详细说明、进度计划和效益以及与其他工作的协调等，并附必要的设计文件。监理人应与发包人协商是否采纳建议。建议被采纳并构成变更的，应按第</w:t>
      </w:r>
      <w:r>
        <w:rPr>
          <w:rFonts w:ascii="宋体" w:hAnsi="宋体"/>
        </w:rPr>
        <w:t>15.3.3</w:t>
      </w:r>
      <w:r>
        <w:rPr>
          <w:rFonts w:hint="eastAsia" w:ascii="宋体" w:hAnsi="宋体"/>
        </w:rPr>
        <w:t>项约定向承包人发出变更指示。</w:t>
      </w:r>
    </w:p>
    <w:p w14:paraId="0D0525D1">
      <w:pPr>
        <w:spacing w:line="360" w:lineRule="auto"/>
        <w:ind w:firstLine="420" w:firstLineChars="200"/>
        <w:rPr>
          <w:rFonts w:ascii="宋体"/>
        </w:rPr>
      </w:pPr>
      <w:r>
        <w:rPr>
          <w:rFonts w:ascii="宋体" w:hAnsi="宋体"/>
        </w:rPr>
        <w:t xml:space="preserve">15.5.2  </w:t>
      </w:r>
      <w:r>
        <w:rPr>
          <w:rFonts w:hint="eastAsia" w:ascii="宋体" w:hAnsi="宋体"/>
        </w:rPr>
        <w:t>承包人提出的合理化建议降低了合同价格、缩短了工期或者提高了工程经济效益的，发包人可按国家有关规定给予奖励。对承包人提出合理化建议的奖励方法</w:t>
      </w:r>
      <w:r>
        <w:rPr>
          <w:rFonts w:hint="eastAsia" w:ascii="黑体" w:hAnsi="黑体" w:eastAsia="黑体"/>
        </w:rPr>
        <w:t>见合同条款专用部分。</w:t>
      </w:r>
    </w:p>
    <w:p w14:paraId="685E3F07">
      <w:pPr>
        <w:keepNext/>
        <w:keepLines/>
        <w:spacing w:beforeLines="50" w:afterLines="50" w:line="360" w:lineRule="auto"/>
        <w:outlineLvl w:val="2"/>
        <w:rPr>
          <w:rFonts w:ascii="宋体" w:hAnsi="宋体"/>
          <w:sz w:val="24"/>
          <w:szCs w:val="20"/>
        </w:rPr>
      </w:pPr>
      <w:bookmarkStart w:id="1232" w:name="_Toc486580150"/>
      <w:bookmarkStart w:id="1233" w:name="_Toc490222595"/>
      <w:bookmarkStart w:id="1234" w:name="_Toc117597581"/>
      <w:bookmarkStart w:id="1235" w:name="_Toc497213826"/>
      <w:bookmarkStart w:id="1236" w:name="_Toc489279961"/>
      <w:r>
        <w:rPr>
          <w:rFonts w:ascii="宋体" w:hAnsi="宋体"/>
          <w:sz w:val="24"/>
          <w:szCs w:val="20"/>
        </w:rPr>
        <w:t xml:space="preserve">15.6  </w:t>
      </w:r>
      <w:r>
        <w:rPr>
          <w:rFonts w:hint="eastAsia" w:ascii="宋体" w:hAnsi="宋体"/>
          <w:sz w:val="24"/>
          <w:szCs w:val="20"/>
        </w:rPr>
        <w:t>暂列金额</w:t>
      </w:r>
      <w:bookmarkEnd w:id="1232"/>
      <w:bookmarkEnd w:id="1233"/>
      <w:bookmarkEnd w:id="1234"/>
      <w:bookmarkEnd w:id="1235"/>
      <w:bookmarkEnd w:id="1236"/>
    </w:p>
    <w:p w14:paraId="3D0031F7">
      <w:pPr>
        <w:spacing w:line="360" w:lineRule="auto"/>
        <w:ind w:firstLine="420" w:firstLineChars="200"/>
        <w:rPr>
          <w:rFonts w:ascii="宋体"/>
        </w:rPr>
      </w:pPr>
      <w:r>
        <w:rPr>
          <w:rFonts w:hint="eastAsia" w:ascii="宋体" w:hAnsi="宋体"/>
        </w:rPr>
        <w:t>暂列金额只能按照监理人的指示使用，并对合同价格进行相应调整。</w:t>
      </w:r>
    </w:p>
    <w:p w14:paraId="31A2815B">
      <w:pPr>
        <w:keepNext/>
        <w:keepLines/>
        <w:spacing w:beforeLines="50" w:afterLines="50" w:line="360" w:lineRule="auto"/>
        <w:outlineLvl w:val="2"/>
        <w:rPr>
          <w:rFonts w:ascii="宋体" w:hAnsi="宋体"/>
          <w:sz w:val="24"/>
          <w:szCs w:val="20"/>
        </w:rPr>
      </w:pPr>
      <w:bookmarkStart w:id="1237" w:name="_Toc117597582"/>
      <w:bookmarkStart w:id="1238" w:name="_Toc486580151"/>
      <w:bookmarkStart w:id="1239" w:name="_Toc490222596"/>
      <w:bookmarkStart w:id="1240" w:name="_Toc497213827"/>
      <w:bookmarkStart w:id="1241" w:name="_Toc489279962"/>
      <w:r>
        <w:rPr>
          <w:rFonts w:ascii="宋体" w:hAnsi="宋体"/>
          <w:sz w:val="24"/>
          <w:szCs w:val="20"/>
        </w:rPr>
        <w:t xml:space="preserve">15.7  </w:t>
      </w:r>
      <w:r>
        <w:rPr>
          <w:rFonts w:hint="eastAsia" w:ascii="宋体" w:hAnsi="宋体"/>
          <w:sz w:val="24"/>
          <w:szCs w:val="20"/>
        </w:rPr>
        <w:t>计日工</w:t>
      </w:r>
      <w:bookmarkEnd w:id="1237"/>
      <w:bookmarkEnd w:id="1238"/>
      <w:bookmarkEnd w:id="1239"/>
      <w:bookmarkEnd w:id="1240"/>
      <w:bookmarkEnd w:id="1241"/>
    </w:p>
    <w:p w14:paraId="7E6495BA">
      <w:pPr>
        <w:spacing w:line="360" w:lineRule="auto"/>
        <w:ind w:firstLine="420" w:firstLineChars="200"/>
        <w:rPr>
          <w:rFonts w:ascii="宋体"/>
          <w:shd w:val="pct10" w:color="auto" w:fill="FFFFFF"/>
        </w:rPr>
      </w:pPr>
      <w:r>
        <w:rPr>
          <w:rFonts w:ascii="宋体" w:hAnsi="宋体"/>
        </w:rPr>
        <w:t xml:space="preserve">15.7.1  </w:t>
      </w:r>
      <w:r>
        <w:rPr>
          <w:rFonts w:hint="eastAsia" w:ascii="宋体" w:hAnsi="宋体"/>
        </w:rPr>
        <w:t>发包人认为有必要时，由监理人通知承包人以计日工方式实施变更的零星工作。其价款按列入已标价工程量清单中的计日工计价子目及其单价进行计算。</w:t>
      </w:r>
    </w:p>
    <w:p w14:paraId="4D5E4C0B">
      <w:pPr>
        <w:spacing w:line="360" w:lineRule="auto"/>
        <w:ind w:firstLine="420" w:firstLineChars="200"/>
        <w:rPr>
          <w:rFonts w:ascii="宋体"/>
        </w:rPr>
      </w:pPr>
      <w:r>
        <w:rPr>
          <w:rFonts w:ascii="宋体" w:hAnsi="宋体"/>
        </w:rPr>
        <w:t xml:space="preserve">15.7.2  </w:t>
      </w:r>
      <w:r>
        <w:rPr>
          <w:rFonts w:hint="eastAsia" w:ascii="宋体" w:hAnsi="宋体"/>
        </w:rPr>
        <w:t>采用计日工计价的任何一项变更工作，应从暂列金额中支付，承包人应在该项变更的实施过程中，每天提交以下报表和有关凭证报送监理人审批：</w:t>
      </w:r>
    </w:p>
    <w:p w14:paraId="3FBCB9D3">
      <w:pPr>
        <w:spacing w:line="360" w:lineRule="auto"/>
        <w:ind w:firstLine="315" w:firstLineChars="150"/>
        <w:rPr>
          <w:rFonts w:ascii="宋体"/>
        </w:rPr>
      </w:pPr>
      <w:r>
        <w:rPr>
          <w:rFonts w:hint="eastAsia" w:ascii="宋体" w:hAnsi="宋体"/>
        </w:rPr>
        <w:t>（</w:t>
      </w:r>
      <w:r>
        <w:rPr>
          <w:rFonts w:ascii="宋体" w:hAnsi="宋体"/>
        </w:rPr>
        <w:t>1</w:t>
      </w:r>
      <w:r>
        <w:rPr>
          <w:rFonts w:hint="eastAsia" w:ascii="宋体" w:hAnsi="宋体"/>
        </w:rPr>
        <w:t>）工作名称、内容和数量；</w:t>
      </w:r>
    </w:p>
    <w:p w14:paraId="313A3CDC">
      <w:pPr>
        <w:spacing w:line="360" w:lineRule="auto"/>
        <w:ind w:firstLine="315" w:firstLineChars="150"/>
        <w:rPr>
          <w:rFonts w:ascii="宋体"/>
        </w:rPr>
      </w:pPr>
      <w:r>
        <w:rPr>
          <w:rFonts w:hint="eastAsia" w:ascii="宋体" w:hAnsi="宋体"/>
        </w:rPr>
        <w:t>（</w:t>
      </w:r>
      <w:r>
        <w:rPr>
          <w:rFonts w:ascii="宋体" w:hAnsi="宋体"/>
        </w:rPr>
        <w:t>2</w:t>
      </w:r>
      <w:r>
        <w:rPr>
          <w:rFonts w:hint="eastAsia" w:ascii="宋体" w:hAnsi="宋体"/>
        </w:rPr>
        <w:t>）投入该工作所有人员的姓名、工种、级别和耗用工时；</w:t>
      </w:r>
    </w:p>
    <w:p w14:paraId="573AD386">
      <w:pPr>
        <w:spacing w:line="360" w:lineRule="auto"/>
        <w:ind w:firstLine="315" w:firstLineChars="150"/>
        <w:rPr>
          <w:rFonts w:ascii="宋体"/>
        </w:rPr>
      </w:pPr>
      <w:r>
        <w:rPr>
          <w:rFonts w:hint="eastAsia" w:ascii="宋体" w:hAnsi="宋体"/>
        </w:rPr>
        <w:t>（</w:t>
      </w:r>
      <w:r>
        <w:rPr>
          <w:rFonts w:ascii="宋体" w:hAnsi="宋体"/>
        </w:rPr>
        <w:t>3</w:t>
      </w:r>
      <w:r>
        <w:rPr>
          <w:rFonts w:hint="eastAsia" w:ascii="宋体" w:hAnsi="宋体"/>
        </w:rPr>
        <w:t>）投入该工作的材料类别和数量；</w:t>
      </w:r>
    </w:p>
    <w:p w14:paraId="4AA534D6">
      <w:pPr>
        <w:spacing w:line="360" w:lineRule="auto"/>
        <w:ind w:firstLine="315" w:firstLineChars="150"/>
        <w:rPr>
          <w:rFonts w:ascii="宋体"/>
        </w:rPr>
      </w:pPr>
      <w:r>
        <w:rPr>
          <w:rFonts w:hint="eastAsia" w:ascii="宋体" w:hAnsi="宋体"/>
        </w:rPr>
        <w:t>（</w:t>
      </w:r>
      <w:r>
        <w:rPr>
          <w:rFonts w:ascii="宋体" w:hAnsi="宋体"/>
        </w:rPr>
        <w:t>4</w:t>
      </w:r>
      <w:r>
        <w:rPr>
          <w:rFonts w:hint="eastAsia" w:ascii="宋体" w:hAnsi="宋体"/>
        </w:rPr>
        <w:t>）投入该工作的施工设备型号、台数和耗用台时；</w:t>
      </w:r>
    </w:p>
    <w:p w14:paraId="6282BFBA">
      <w:pPr>
        <w:spacing w:line="360" w:lineRule="auto"/>
        <w:ind w:firstLine="315" w:firstLineChars="150"/>
        <w:rPr>
          <w:rFonts w:ascii="宋体"/>
        </w:rPr>
      </w:pPr>
      <w:r>
        <w:rPr>
          <w:rFonts w:hint="eastAsia" w:ascii="宋体" w:hAnsi="宋体"/>
        </w:rPr>
        <w:t>（</w:t>
      </w:r>
      <w:r>
        <w:rPr>
          <w:rFonts w:ascii="宋体" w:hAnsi="宋体"/>
        </w:rPr>
        <w:t>5</w:t>
      </w:r>
      <w:r>
        <w:rPr>
          <w:rFonts w:hint="eastAsia" w:ascii="宋体" w:hAnsi="宋体"/>
        </w:rPr>
        <w:t>）监理人要求提交的其他资料和凭证。</w:t>
      </w:r>
    </w:p>
    <w:p w14:paraId="5D07506F">
      <w:pPr>
        <w:spacing w:line="360" w:lineRule="auto"/>
        <w:ind w:firstLine="420" w:firstLineChars="200"/>
        <w:rPr>
          <w:rFonts w:ascii="宋体"/>
        </w:rPr>
      </w:pPr>
      <w:r>
        <w:rPr>
          <w:rFonts w:ascii="宋体" w:hAnsi="宋体"/>
        </w:rPr>
        <w:t xml:space="preserve">15.7.3  </w:t>
      </w:r>
      <w:r>
        <w:rPr>
          <w:rFonts w:hint="eastAsia" w:ascii="宋体" w:hAnsi="宋体"/>
        </w:rPr>
        <w:t>计日工由承包人汇总后，按第</w:t>
      </w:r>
      <w:r>
        <w:rPr>
          <w:rFonts w:ascii="宋体" w:hAnsi="宋体"/>
        </w:rPr>
        <w:t>17.3.2</w:t>
      </w:r>
      <w:r>
        <w:rPr>
          <w:rFonts w:hint="eastAsia" w:ascii="宋体" w:hAnsi="宋体"/>
        </w:rPr>
        <w:t>项的约定列入进度付款申请单，由监理人复核并经发包人同意后列入进度付款。</w:t>
      </w:r>
    </w:p>
    <w:p w14:paraId="413F5146">
      <w:pPr>
        <w:keepNext/>
        <w:keepLines/>
        <w:spacing w:beforeLines="50" w:afterLines="50" w:line="360" w:lineRule="auto"/>
        <w:outlineLvl w:val="2"/>
        <w:rPr>
          <w:rFonts w:ascii="宋体" w:hAnsi="宋体"/>
          <w:sz w:val="24"/>
          <w:szCs w:val="20"/>
        </w:rPr>
      </w:pPr>
      <w:bookmarkStart w:id="1242" w:name="_Toc490222597"/>
      <w:bookmarkStart w:id="1243" w:name="_Toc117597583"/>
      <w:bookmarkStart w:id="1244" w:name="_Toc486580152"/>
      <w:bookmarkStart w:id="1245" w:name="_Toc497213828"/>
      <w:bookmarkStart w:id="1246" w:name="_Toc489279963"/>
      <w:r>
        <w:rPr>
          <w:rFonts w:ascii="宋体" w:hAnsi="宋体"/>
          <w:sz w:val="24"/>
          <w:szCs w:val="20"/>
        </w:rPr>
        <w:t xml:space="preserve">15.8  </w:t>
      </w:r>
      <w:r>
        <w:rPr>
          <w:rFonts w:hint="eastAsia" w:ascii="宋体" w:hAnsi="宋体"/>
          <w:sz w:val="24"/>
          <w:szCs w:val="20"/>
        </w:rPr>
        <w:t>暂估价</w:t>
      </w:r>
      <w:bookmarkEnd w:id="1242"/>
      <w:bookmarkEnd w:id="1243"/>
      <w:bookmarkEnd w:id="1244"/>
      <w:bookmarkEnd w:id="1245"/>
      <w:bookmarkEnd w:id="1246"/>
    </w:p>
    <w:p w14:paraId="4E9A4BA9">
      <w:pPr>
        <w:spacing w:line="360" w:lineRule="auto"/>
        <w:ind w:firstLine="420" w:firstLineChars="200"/>
        <w:rPr>
          <w:rFonts w:ascii="宋体"/>
        </w:rPr>
      </w:pPr>
      <w:r>
        <w:rPr>
          <w:rFonts w:ascii="宋体" w:hAnsi="宋体"/>
        </w:rPr>
        <w:t xml:space="preserve">15.8.1  </w:t>
      </w:r>
      <w:r>
        <w:rPr>
          <w:rFonts w:hint="eastAsia" w:ascii="宋体" w:hAnsi="宋体"/>
        </w:rPr>
        <w:t>发包人在工程量清单中给定暂估价的材料和工程设备及专业工程属于依法必须招标的范围并达到规定的规模标准的，由发包人和承包人采用招标方式选择专项供应商或专业分包人。发包人和承包人的权利义务关系约定如下：</w:t>
      </w:r>
    </w:p>
    <w:p w14:paraId="107F1DC6">
      <w:pPr>
        <w:spacing w:line="360" w:lineRule="auto"/>
        <w:ind w:firstLine="315" w:firstLineChars="150"/>
        <w:rPr>
          <w:rFonts w:ascii="宋体"/>
        </w:rPr>
      </w:pPr>
      <w:r>
        <w:rPr>
          <w:rFonts w:hint="eastAsia" w:ascii="宋体" w:hAnsi="宋体"/>
        </w:rPr>
        <w:t>（</w:t>
      </w:r>
      <w:r>
        <w:rPr>
          <w:rFonts w:ascii="宋体" w:hAnsi="宋体"/>
        </w:rPr>
        <w:t>1</w:t>
      </w:r>
      <w:r>
        <w:rPr>
          <w:rFonts w:hint="eastAsia" w:ascii="宋体" w:hAnsi="宋体"/>
        </w:rPr>
        <w:t>）由承包人作为招标人，依法组织招标工作并接受有管辖权的建设工程招标投标行政监督部门的监督。</w:t>
      </w:r>
    </w:p>
    <w:p w14:paraId="4098A183">
      <w:pPr>
        <w:spacing w:line="360" w:lineRule="auto"/>
        <w:ind w:firstLine="315" w:firstLineChars="150"/>
        <w:rPr>
          <w:rFonts w:ascii="宋体"/>
        </w:rPr>
      </w:pPr>
      <w:r>
        <w:rPr>
          <w:rFonts w:hint="eastAsia" w:ascii="宋体" w:hAnsi="宋体"/>
        </w:rPr>
        <w:t>（</w:t>
      </w:r>
      <w:r>
        <w:rPr>
          <w:rFonts w:ascii="宋体" w:hAnsi="宋体"/>
        </w:rPr>
        <w:t>2</w:t>
      </w:r>
      <w:r>
        <w:rPr>
          <w:rFonts w:hint="eastAsia" w:ascii="宋体" w:hAnsi="宋体"/>
        </w:rPr>
        <w:t>）与组织招标工作有关的费用应当被认为已经包括在承包人的签约合同价（投标总报价）中。</w:t>
      </w:r>
    </w:p>
    <w:p w14:paraId="3A13CBC1">
      <w:pPr>
        <w:spacing w:line="360" w:lineRule="auto"/>
        <w:ind w:firstLine="315" w:firstLineChars="150"/>
        <w:rPr>
          <w:rFonts w:ascii="宋体"/>
        </w:rPr>
      </w:pPr>
      <w:r>
        <w:rPr>
          <w:rFonts w:hint="eastAsia" w:ascii="宋体" w:hAnsi="宋体"/>
        </w:rPr>
        <w:t>（</w:t>
      </w:r>
      <w:r>
        <w:rPr>
          <w:rFonts w:ascii="宋体" w:hAnsi="宋体"/>
        </w:rPr>
        <w:t>3</w:t>
      </w:r>
      <w:r>
        <w:rPr>
          <w:rFonts w:hint="eastAsia" w:ascii="宋体" w:hAnsi="宋体"/>
        </w:rPr>
        <w:t>）中标金额与工程量清单中所列的暂估价的金额差以及相应的税金等其他费用列入合同价格。</w:t>
      </w:r>
    </w:p>
    <w:p w14:paraId="5FA04044">
      <w:pPr>
        <w:spacing w:line="360" w:lineRule="auto"/>
        <w:ind w:firstLine="315" w:firstLineChars="150"/>
        <w:rPr>
          <w:rFonts w:ascii="宋体"/>
        </w:rPr>
      </w:pPr>
      <w:r>
        <w:rPr>
          <w:rFonts w:hint="eastAsia" w:ascii="宋体" w:hAnsi="宋体"/>
        </w:rPr>
        <w:t>（</w:t>
      </w:r>
      <w:r>
        <w:rPr>
          <w:rFonts w:ascii="宋体" w:hAnsi="宋体"/>
        </w:rPr>
        <w:t>4</w:t>
      </w:r>
      <w:r>
        <w:rPr>
          <w:rFonts w:hint="eastAsia" w:ascii="宋体" w:hAnsi="宋体"/>
        </w:rPr>
        <w:t>）在任何招标工作启动前，承包人应当按照合同条款专用部分约定期限编制招标工作计划并通过监理人报请发包人审批，招标工作计划应当包括招标工作的时间安排、拟采用的招标方式、拟采用的资格审查方法、主要招标过程文件的编制内容、对投标人的资格条件要求、评标标准和方法、评标委员会组成、是否编制招标控制价和（或）标底以及招标控制价和（或）标底编制原则。发包人应当在监理人收到承包人报送的招标工作计划后应当在合同条款专用部分约定期限内给予批准或者提出修改意见。承包人应当严格按照经过发包人批准的招标工作计划开展招标工作。</w:t>
      </w:r>
    </w:p>
    <w:p w14:paraId="281038F0">
      <w:pPr>
        <w:spacing w:line="360" w:lineRule="auto"/>
        <w:ind w:firstLine="315" w:firstLineChars="150"/>
        <w:rPr>
          <w:rFonts w:ascii="宋体"/>
        </w:rPr>
      </w:pPr>
      <w:r>
        <w:rPr>
          <w:rFonts w:hint="eastAsia" w:ascii="宋体" w:hAnsi="宋体"/>
        </w:rPr>
        <w:t>（</w:t>
      </w:r>
      <w:r>
        <w:rPr>
          <w:rFonts w:ascii="宋体" w:hAnsi="宋体"/>
        </w:rPr>
        <w:t>5</w:t>
      </w:r>
      <w:r>
        <w:rPr>
          <w:rFonts w:hint="eastAsia" w:ascii="宋体" w:hAnsi="宋体"/>
        </w:rPr>
        <w:t>）承包人应当在发出招标公告（或者资格预审公告或者投标邀请书）、资格预审文件和招标文件前按照合同条款专用部分约定期限，分别将相关文件通过监理人报请发包人审批，发包人应当在监理人收到承包人报送的相关文件后应当在合同条款专用部分约定期限内给予批准或者提出修改意见，经发包人批准的相关文件，由承包人负责誊清整理并准备出开展实际招标工作所需要的份数，通过监理人报发包人核查并加盖发包人印章，发包人在相关文件上加盖印章只表明相关文件经过发包人审核批准。最终发出的文件应当分别报送一份给发包人和监理人备查。</w:t>
      </w:r>
    </w:p>
    <w:p w14:paraId="468218D4">
      <w:pPr>
        <w:spacing w:line="360" w:lineRule="auto"/>
        <w:ind w:firstLine="315" w:firstLineChars="150"/>
        <w:rPr>
          <w:rFonts w:ascii="宋体"/>
        </w:rPr>
      </w:pPr>
      <w:r>
        <w:rPr>
          <w:rFonts w:hint="eastAsia" w:ascii="宋体" w:hAnsi="宋体"/>
        </w:rPr>
        <w:t>（</w:t>
      </w:r>
      <w:r>
        <w:rPr>
          <w:rFonts w:ascii="宋体" w:hAnsi="宋体"/>
        </w:rPr>
        <w:t>6</w:t>
      </w:r>
      <w:r>
        <w:rPr>
          <w:rFonts w:hint="eastAsia" w:ascii="宋体" w:hAnsi="宋体"/>
        </w:rPr>
        <w:t>）如果发、承包任何一方委派评标代表，评标委员会应当由七人以上单数构成。除发包人或者承包人自愿放弃委派评标代表的权利外，招标人评标代表应当分别由发包人和承包人等额委派。</w:t>
      </w:r>
    </w:p>
    <w:p w14:paraId="692027AE">
      <w:pPr>
        <w:spacing w:line="360" w:lineRule="auto"/>
        <w:ind w:firstLine="315" w:firstLineChars="150"/>
        <w:rPr>
          <w:rFonts w:ascii="宋体"/>
        </w:rPr>
      </w:pPr>
      <w:r>
        <w:rPr>
          <w:rFonts w:hint="eastAsia" w:ascii="宋体" w:hAnsi="宋体"/>
        </w:rPr>
        <w:t>（</w:t>
      </w:r>
      <w:r>
        <w:rPr>
          <w:rFonts w:ascii="宋体" w:hAnsi="宋体"/>
        </w:rPr>
        <w:t>7</w:t>
      </w:r>
      <w:r>
        <w:rPr>
          <w:rFonts w:hint="eastAsia" w:ascii="宋体" w:hAnsi="宋体"/>
        </w:rPr>
        <w:t>）设有标底的，承包人应当在开标前提前</w:t>
      </w:r>
      <w:r>
        <w:rPr>
          <w:rFonts w:ascii="宋体" w:hAnsi="宋体"/>
        </w:rPr>
        <w:t>48</w:t>
      </w:r>
      <w:r>
        <w:rPr>
          <w:rFonts w:hint="eastAsia" w:ascii="宋体" w:hAnsi="宋体"/>
        </w:rPr>
        <w:t>小时将标底报发包人审核认可，发包人应当在收到承包人报送的标底后</w:t>
      </w:r>
      <w:r>
        <w:rPr>
          <w:rFonts w:ascii="宋体" w:hAnsi="宋体"/>
        </w:rPr>
        <w:t>24</w:t>
      </w:r>
      <w:r>
        <w:rPr>
          <w:rFonts w:hint="eastAsia" w:ascii="宋体" w:hAnsi="宋体"/>
        </w:rPr>
        <w:t>小时内给予批准或者提出修改意见。承包人和发包人应当共同制定标底保密措施，不得提前泄露标底。标底的最终审核和决定权属于发包人。</w:t>
      </w:r>
    </w:p>
    <w:p w14:paraId="6244BB80">
      <w:pPr>
        <w:spacing w:line="360" w:lineRule="auto"/>
        <w:ind w:firstLine="315" w:firstLineChars="150"/>
        <w:rPr>
          <w:rFonts w:ascii="宋体"/>
        </w:rPr>
      </w:pPr>
      <w:r>
        <w:rPr>
          <w:rFonts w:hint="eastAsia" w:ascii="宋体" w:hAnsi="宋体"/>
        </w:rPr>
        <w:t>（</w:t>
      </w:r>
      <w:r>
        <w:rPr>
          <w:rFonts w:ascii="宋体" w:hAnsi="宋体"/>
        </w:rPr>
        <w:t>8</w:t>
      </w:r>
      <w:r>
        <w:rPr>
          <w:rFonts w:hint="eastAsia" w:ascii="宋体" w:hAnsi="宋体"/>
        </w:rPr>
        <w:t>）设有招标控制价的，承包人应当在招标文件发出前提前</w:t>
      </w:r>
      <w:r>
        <w:rPr>
          <w:rFonts w:ascii="宋体" w:hAnsi="宋体"/>
        </w:rPr>
        <w:t>7</w:t>
      </w:r>
      <w:r>
        <w:rPr>
          <w:rFonts w:hint="eastAsia" w:ascii="宋体" w:hAnsi="宋体"/>
        </w:rPr>
        <w:t>天将招标控制价报发包人审核认可，发包人应当在收到承包人报送的招标控制价后</w:t>
      </w:r>
      <w:r>
        <w:rPr>
          <w:rFonts w:ascii="宋体" w:hAnsi="宋体"/>
        </w:rPr>
        <w:t>72</w:t>
      </w:r>
      <w:r>
        <w:rPr>
          <w:rFonts w:hint="eastAsia" w:ascii="宋体" w:hAnsi="宋体"/>
        </w:rPr>
        <w:t>小时内给予认可或者提出修改意见。招标控制价的最终审核和决定权属于发包人，未经发包人认可，承包人不得发出招标文件。</w:t>
      </w:r>
    </w:p>
    <w:p w14:paraId="4970EB7F">
      <w:pPr>
        <w:spacing w:line="360" w:lineRule="auto"/>
        <w:ind w:firstLine="315" w:firstLineChars="150"/>
        <w:rPr>
          <w:rFonts w:ascii="宋体"/>
        </w:rPr>
      </w:pPr>
      <w:r>
        <w:rPr>
          <w:rFonts w:hint="eastAsia" w:ascii="宋体" w:hAnsi="宋体"/>
        </w:rPr>
        <w:t>（</w:t>
      </w:r>
      <w:r>
        <w:rPr>
          <w:rFonts w:ascii="宋体" w:hAnsi="宋体"/>
        </w:rPr>
        <w:t>9</w:t>
      </w:r>
      <w:r>
        <w:rPr>
          <w:rFonts w:hint="eastAsia" w:ascii="宋体" w:hAnsi="宋体"/>
        </w:rPr>
        <w:t>）承包人在收到相关招标项目评标委员会提交的评标报告后，应当在</w:t>
      </w:r>
      <w:r>
        <w:rPr>
          <w:rFonts w:ascii="宋体" w:hAnsi="宋体"/>
        </w:rPr>
        <w:t>24</w:t>
      </w:r>
      <w:r>
        <w:rPr>
          <w:rFonts w:hint="eastAsia" w:ascii="宋体" w:hAnsi="宋体"/>
        </w:rPr>
        <w:t>小时内通过监理人转报发包人核查，发包人应当在监理人收到承包人报送的评标报告后</w:t>
      </w:r>
      <w:r>
        <w:rPr>
          <w:rFonts w:ascii="宋体" w:hAnsi="宋体"/>
        </w:rPr>
        <w:t>48</w:t>
      </w:r>
      <w:r>
        <w:rPr>
          <w:rFonts w:hint="eastAsia" w:ascii="宋体" w:hAnsi="宋体"/>
        </w:rPr>
        <w:t>小时内核查完毕，评标报告经过发包人核查认可后，承包人才可以开始后续程序，依法确定中标人并发出中标通知书。</w:t>
      </w:r>
    </w:p>
    <w:p w14:paraId="02493A4C">
      <w:pPr>
        <w:spacing w:line="360" w:lineRule="auto"/>
        <w:ind w:firstLine="315" w:firstLineChars="150"/>
        <w:rPr>
          <w:rFonts w:ascii="宋体"/>
        </w:rPr>
      </w:pPr>
      <w:r>
        <w:rPr>
          <w:rFonts w:hint="eastAsia" w:ascii="宋体" w:hAnsi="宋体"/>
        </w:rPr>
        <w:t>（</w:t>
      </w:r>
      <w:r>
        <w:rPr>
          <w:rFonts w:ascii="宋体" w:hAnsi="宋体"/>
        </w:rPr>
        <w:t>10</w:t>
      </w:r>
      <w:r>
        <w:rPr>
          <w:rFonts w:hint="eastAsia" w:ascii="宋体" w:hAnsi="宋体"/>
        </w:rPr>
        <w:t>）承包人与专业分包人或者专项供应商订立合同前应当按照合同条款专用部分约定期限，将准备用于正式签订的合同文件通过监理人报发包人审核，发包人应当在监理人收到相关文件后在合同条款专用部分约定期限内给予批准或者提出修改意见，承包人应当按照发包人批准的合同文件签订相关合同，合同订立后，在合同条款专用部分约定期限内，承包人应当将其中的两份副本报送监理人，其中一份由监理人报发包人留存。</w:t>
      </w:r>
    </w:p>
    <w:p w14:paraId="55C318FA">
      <w:pPr>
        <w:spacing w:line="360" w:lineRule="auto"/>
        <w:ind w:firstLine="315" w:firstLineChars="150"/>
        <w:rPr>
          <w:rFonts w:ascii="宋体"/>
        </w:rPr>
      </w:pPr>
      <w:r>
        <w:rPr>
          <w:rFonts w:hint="eastAsia" w:ascii="宋体" w:hAnsi="宋体"/>
        </w:rPr>
        <w:t>（</w:t>
      </w:r>
      <w:r>
        <w:rPr>
          <w:rFonts w:ascii="宋体" w:hAnsi="宋体"/>
        </w:rPr>
        <w:t>11</w:t>
      </w:r>
      <w:r>
        <w:rPr>
          <w:rFonts w:hint="eastAsia" w:ascii="宋体" w:hAnsi="宋体"/>
        </w:rPr>
        <w:t>）发包人对承包人报送文件进行审批或提出的修改意见应当合理，并符合现行有关法律法规的规定。</w:t>
      </w:r>
    </w:p>
    <w:p w14:paraId="726C5AB3">
      <w:pPr>
        <w:spacing w:line="360" w:lineRule="auto"/>
        <w:ind w:firstLine="315" w:firstLineChars="150"/>
        <w:rPr>
          <w:rFonts w:ascii="宋体"/>
        </w:rPr>
      </w:pPr>
      <w:r>
        <w:rPr>
          <w:rFonts w:hint="eastAsia" w:ascii="宋体" w:hAnsi="宋体"/>
        </w:rPr>
        <w:t>（</w:t>
      </w:r>
      <w:r>
        <w:rPr>
          <w:rFonts w:ascii="宋体" w:hAnsi="宋体"/>
        </w:rPr>
        <w:t>12</w:t>
      </w:r>
      <w:r>
        <w:rPr>
          <w:rFonts w:hint="eastAsia" w:ascii="宋体" w:hAnsi="宋体"/>
        </w:rPr>
        <w:t>）承包人违背本项上述约定的程序或者未履行本项上述约定的报批手续的，发包人有权拒绝对相关专业工程或者涉及相关专项供应的材料和工程设备的工程进行验收和拨付相应工程款项，所造成的费用增加和（或）工期延误由承包人承担。发包人未按本项上述约定履行审批手续的，所造成的费用增加和（或）工期延误由发包人承担。</w:t>
      </w:r>
    </w:p>
    <w:p w14:paraId="01ADE5DF">
      <w:pPr>
        <w:spacing w:line="360" w:lineRule="auto"/>
        <w:ind w:firstLine="420" w:firstLineChars="200"/>
        <w:rPr>
          <w:rFonts w:ascii="宋体"/>
        </w:rPr>
      </w:pPr>
      <w:r>
        <w:rPr>
          <w:rFonts w:ascii="宋体" w:hAnsi="宋体"/>
        </w:rPr>
        <w:t xml:space="preserve">15.8.2  </w:t>
      </w:r>
      <w:r>
        <w:rPr>
          <w:rFonts w:hint="eastAsia" w:ascii="宋体" w:hAnsi="宋体"/>
        </w:rPr>
        <w:t>发包人在工程量清单中给定暂估价的材料和工程设备不属于依法必须招标的范围或未达到规定的规模标准的，应由承包人按第</w:t>
      </w:r>
      <w:r>
        <w:rPr>
          <w:rFonts w:ascii="宋体" w:hAnsi="宋体"/>
        </w:rPr>
        <w:t>5.1</w:t>
      </w:r>
      <w:r>
        <w:rPr>
          <w:rFonts w:hint="eastAsia" w:ascii="宋体" w:hAnsi="宋体"/>
        </w:rPr>
        <w:t>款的约定提供。经监理人确认的材料、工程设备的价格与工程量清单中所列的暂估价的金额差以及相应的税金等其他费用列入合同价格。</w:t>
      </w:r>
    </w:p>
    <w:p w14:paraId="529014E5">
      <w:pPr>
        <w:spacing w:line="360" w:lineRule="auto"/>
        <w:ind w:firstLine="420" w:firstLineChars="200"/>
        <w:rPr>
          <w:rFonts w:ascii="宋体"/>
        </w:rPr>
      </w:pPr>
      <w:r>
        <w:rPr>
          <w:rFonts w:ascii="宋体" w:hAnsi="宋体"/>
        </w:rPr>
        <w:t xml:space="preserve">15.8.3  </w:t>
      </w:r>
      <w:r>
        <w:rPr>
          <w:rFonts w:hint="eastAsia" w:ascii="宋体" w:hAnsi="宋体"/>
        </w:rPr>
        <w:t>发包人在工程量清单中给定暂估价的专业工程不属于依法必须招标的范围或未达到规定的规模标准的，由监理人按照第</w:t>
      </w:r>
      <w:r>
        <w:rPr>
          <w:rFonts w:ascii="宋体" w:hAnsi="宋体"/>
        </w:rPr>
        <w:t>15.4</w:t>
      </w:r>
      <w:r>
        <w:rPr>
          <w:rFonts w:hint="eastAsia" w:ascii="宋体" w:hAnsi="宋体"/>
        </w:rPr>
        <w:t>款进行估价，但合同条款专用部分另有约定的除外。经估价的专业工程与工程量清单中所列的暂估价的金额差以及相应的税金等其他费用列入合同价格。</w:t>
      </w:r>
    </w:p>
    <w:p w14:paraId="14BB792B">
      <w:pPr>
        <w:keepNext/>
        <w:keepLines/>
        <w:spacing w:beforeLines="50" w:afterLines="50" w:line="360" w:lineRule="auto"/>
        <w:outlineLvl w:val="1"/>
        <w:rPr>
          <w:rFonts w:ascii="宋体" w:hAnsi="宋体" w:cs="宋体"/>
          <w:sz w:val="28"/>
          <w:szCs w:val="20"/>
        </w:rPr>
      </w:pPr>
      <w:bookmarkStart w:id="1247" w:name="_Toc489279964"/>
      <w:bookmarkStart w:id="1248" w:name="_Toc486580153"/>
      <w:bookmarkStart w:id="1249" w:name="_Toc490222598"/>
      <w:bookmarkStart w:id="1250" w:name="_Toc117597584"/>
      <w:bookmarkStart w:id="1251" w:name="_Toc497213829"/>
      <w:r>
        <w:rPr>
          <w:rFonts w:ascii="宋体" w:hAnsi="宋体" w:cs="宋体"/>
          <w:sz w:val="28"/>
          <w:szCs w:val="20"/>
        </w:rPr>
        <w:t>16.</w:t>
      </w:r>
      <w:r>
        <w:rPr>
          <w:rFonts w:hint="eastAsia" w:ascii="宋体" w:hAnsi="宋体" w:cs="宋体"/>
          <w:sz w:val="28"/>
          <w:szCs w:val="20"/>
        </w:rPr>
        <w:t>价格调整</w:t>
      </w:r>
      <w:bookmarkEnd w:id="1247"/>
      <w:bookmarkEnd w:id="1248"/>
      <w:bookmarkEnd w:id="1249"/>
      <w:bookmarkEnd w:id="1250"/>
      <w:bookmarkEnd w:id="1251"/>
    </w:p>
    <w:p w14:paraId="63023F3C">
      <w:pPr>
        <w:keepNext/>
        <w:keepLines/>
        <w:spacing w:beforeLines="50" w:afterLines="50" w:line="360" w:lineRule="auto"/>
        <w:outlineLvl w:val="2"/>
        <w:rPr>
          <w:rFonts w:ascii="宋体" w:hAnsi="宋体"/>
          <w:sz w:val="24"/>
          <w:szCs w:val="20"/>
        </w:rPr>
      </w:pPr>
      <w:bookmarkStart w:id="1252" w:name="_Toc490222599"/>
      <w:bookmarkStart w:id="1253" w:name="_Toc497213830"/>
      <w:bookmarkStart w:id="1254" w:name="_Toc117597585"/>
      <w:bookmarkStart w:id="1255" w:name="_Toc486580154"/>
      <w:bookmarkStart w:id="1256" w:name="_Toc489279965"/>
      <w:r>
        <w:rPr>
          <w:rFonts w:ascii="宋体" w:hAnsi="宋体"/>
          <w:sz w:val="24"/>
          <w:szCs w:val="20"/>
        </w:rPr>
        <w:t xml:space="preserve">16.1  </w:t>
      </w:r>
      <w:r>
        <w:rPr>
          <w:rFonts w:hint="eastAsia" w:ascii="宋体" w:hAnsi="宋体"/>
          <w:sz w:val="24"/>
          <w:szCs w:val="20"/>
        </w:rPr>
        <w:t>物价波动引起的价格调整</w:t>
      </w:r>
      <w:bookmarkEnd w:id="1252"/>
      <w:bookmarkEnd w:id="1253"/>
      <w:bookmarkEnd w:id="1254"/>
      <w:bookmarkEnd w:id="1255"/>
      <w:bookmarkEnd w:id="1256"/>
    </w:p>
    <w:p w14:paraId="28EEB65C">
      <w:pPr>
        <w:spacing w:line="360" w:lineRule="auto"/>
        <w:ind w:firstLine="420" w:firstLineChars="200"/>
      </w:pPr>
      <w:r>
        <w:rPr>
          <w:rFonts w:hint="eastAsia"/>
        </w:rPr>
        <w:t>除合同条款专用部分另有约定外，因物价波动引起的价格调整按照本款约定处理。</w:t>
      </w:r>
    </w:p>
    <w:p w14:paraId="47E8532E">
      <w:pPr>
        <w:spacing w:line="360" w:lineRule="auto"/>
        <w:ind w:firstLine="420" w:firstLineChars="200"/>
        <w:rPr>
          <w:rFonts w:ascii="宋体"/>
        </w:rPr>
      </w:pPr>
      <w:r>
        <w:rPr>
          <w:rFonts w:ascii="宋体" w:hAnsi="宋体"/>
        </w:rPr>
        <w:t xml:space="preserve">16.1.1 </w:t>
      </w:r>
      <w:r>
        <w:rPr>
          <w:rFonts w:hint="eastAsia" w:ascii="宋体" w:hAnsi="宋体"/>
        </w:rPr>
        <w:t>采用价格指数调整价格差额</w:t>
      </w:r>
    </w:p>
    <w:p w14:paraId="5EBB0BAF">
      <w:pPr>
        <w:spacing w:line="360" w:lineRule="auto"/>
        <w:ind w:firstLine="630" w:firstLineChars="300"/>
        <w:rPr>
          <w:rFonts w:ascii="宋体"/>
        </w:rPr>
      </w:pPr>
      <w:r>
        <w:rPr>
          <w:rFonts w:ascii="宋体" w:hAnsi="宋体"/>
        </w:rPr>
        <w:t xml:space="preserve">16.1.1.1 </w:t>
      </w:r>
      <w:r>
        <w:rPr>
          <w:rFonts w:hint="eastAsia" w:ascii="宋体" w:hAnsi="宋体"/>
        </w:rPr>
        <w:t>价格调整公式</w:t>
      </w:r>
    </w:p>
    <w:p w14:paraId="2FDF80E4">
      <w:pPr>
        <w:spacing w:line="360" w:lineRule="auto"/>
        <w:ind w:firstLine="630" w:firstLineChars="300"/>
      </w:pPr>
      <w:r>
        <w:rPr>
          <w:rFonts w:hint="eastAsia"/>
        </w:rPr>
        <w:t>因人工、材料和设备等价格波动影响合同价格时，根据投标函附录中的价格指数和权重表约定的数据，按以下公式计算差额并调整合同价格。</w:t>
      </w:r>
    </w:p>
    <w:p w14:paraId="487BD9D0">
      <w:pPr>
        <w:spacing w:line="1200" w:lineRule="exact"/>
        <w:ind w:right="248" w:firstLine="835" w:firstLineChars="398"/>
      </w:pPr>
      <w:r>
        <w:rPr>
          <w:position w:val="-34"/>
        </w:rPr>
        <w:object>
          <v:shape id="_x0000_i1025" o:spt="75" type="#_x0000_t75" style="height:41.45pt;width:306.35pt;" o:ole="t" filled="f" o:preferrelative="t" stroked="f" coordsize="21600,21600">
            <v:path/>
            <v:fill on="f" focussize="0,0"/>
            <v:stroke on="f" joinstyle="miter"/>
            <v:imagedata r:id="rId40" o:title=""/>
            <o:lock v:ext="edit" aspectratio="t"/>
            <w10:wrap type="none"/>
            <w10:anchorlock/>
          </v:shape>
          <o:OLEObject Type="Embed" ProgID="Equation.3" ShapeID="_x0000_i1025" DrawAspect="Content" ObjectID="_1468075725" r:id="rId39">
            <o:LockedField>false</o:LockedField>
          </o:OLEObject>
        </w:object>
      </w:r>
    </w:p>
    <w:p w14:paraId="3F722384">
      <w:pPr>
        <w:tabs>
          <w:tab w:val="left" w:pos="1260"/>
        </w:tabs>
        <w:spacing w:line="400" w:lineRule="exact"/>
        <w:ind w:firstLine="420" w:firstLineChars="200"/>
      </w:pPr>
    </w:p>
    <w:p w14:paraId="3EBFED57">
      <w:pPr>
        <w:tabs>
          <w:tab w:val="left" w:pos="1260"/>
        </w:tabs>
        <w:spacing w:line="360" w:lineRule="auto"/>
        <w:ind w:firstLine="420" w:firstLineChars="200"/>
      </w:pPr>
      <w:r>
        <w:rPr>
          <w:rFonts w:hint="eastAsia"/>
        </w:rPr>
        <w:t>式中：△</w:t>
      </w:r>
      <w:r>
        <w:t xml:space="preserve">P -- </w:t>
      </w:r>
      <w:r>
        <w:rPr>
          <w:rFonts w:hint="eastAsia"/>
        </w:rPr>
        <w:t>需调整的价格差额；</w:t>
      </w:r>
    </w:p>
    <w:p w14:paraId="74171CF0">
      <w:pPr>
        <w:tabs>
          <w:tab w:val="left" w:pos="1260"/>
        </w:tabs>
        <w:spacing w:line="360" w:lineRule="auto"/>
      </w:pPr>
      <w:r>
        <w:tab/>
      </w:r>
      <w:r>
        <w:t>P</w:t>
      </w:r>
      <w:r>
        <w:rPr>
          <w:vertAlign w:val="subscript"/>
        </w:rPr>
        <w:t>0</w:t>
      </w:r>
      <w:r>
        <w:t xml:space="preserve"> -- </w:t>
      </w:r>
      <w:r>
        <w:rPr>
          <w:rFonts w:hint="eastAsia"/>
        </w:rPr>
        <w:t>第</w:t>
      </w:r>
      <w:r>
        <w:t>17.3.3</w:t>
      </w:r>
      <w:r>
        <w:rPr>
          <w:rFonts w:hint="eastAsia"/>
        </w:rPr>
        <w:t>项、第</w:t>
      </w:r>
      <w:r>
        <w:t>17.5.3</w:t>
      </w:r>
      <w:r>
        <w:rPr>
          <w:rFonts w:hint="eastAsia"/>
        </w:rPr>
        <w:t>项和第</w:t>
      </w:r>
      <w:r>
        <w:t>17.6.2</w:t>
      </w:r>
      <w:r>
        <w:rPr>
          <w:rFonts w:hint="eastAsia"/>
        </w:rPr>
        <w:t>项约定的付款证书中承包人应得到的已完成工程量的金额。此项金额应不包括价格调整、不计质量保证金的扣留和支付、预付款的支付和扣回。第</w:t>
      </w:r>
      <w:r>
        <w:t>15</w:t>
      </w:r>
      <w:r>
        <w:rPr>
          <w:rFonts w:hint="eastAsia"/>
        </w:rPr>
        <w:t>条约定的变更及其他金额已按现行价格计价的，也不计在内；</w:t>
      </w:r>
    </w:p>
    <w:p w14:paraId="7E274600">
      <w:pPr>
        <w:tabs>
          <w:tab w:val="left" w:pos="1260"/>
        </w:tabs>
        <w:spacing w:line="360" w:lineRule="auto"/>
      </w:pPr>
      <w:r>
        <w:tab/>
      </w:r>
      <w:r>
        <w:t xml:space="preserve">A -- </w:t>
      </w:r>
      <w:r>
        <w:rPr>
          <w:rFonts w:hint="eastAsia"/>
        </w:rPr>
        <w:t>定值权重</w:t>
      </w:r>
      <w:r>
        <w:t>(</w:t>
      </w:r>
      <w:r>
        <w:rPr>
          <w:rFonts w:hint="eastAsia"/>
        </w:rPr>
        <w:t>即不调部分的权重</w:t>
      </w:r>
      <w:r>
        <w:t>)</w:t>
      </w:r>
      <w:r>
        <w:rPr>
          <w:rFonts w:hint="eastAsia"/>
        </w:rPr>
        <w:t>；</w:t>
      </w:r>
    </w:p>
    <w:p w14:paraId="391237A6">
      <w:pPr>
        <w:tabs>
          <w:tab w:val="left" w:pos="1260"/>
        </w:tabs>
        <w:spacing w:line="360" w:lineRule="auto"/>
      </w:pPr>
      <w:r>
        <w:tab/>
      </w:r>
      <w:r>
        <w:t>B</w:t>
      </w:r>
      <w:r>
        <w:rPr>
          <w:vertAlign w:val="subscript"/>
        </w:rPr>
        <w:t>1</w:t>
      </w:r>
      <w:r>
        <w:rPr>
          <w:sz w:val="15"/>
          <w:szCs w:val="15"/>
        </w:rPr>
        <w:t>;</w:t>
      </w:r>
      <w:r>
        <w:t xml:space="preserve"> B</w:t>
      </w:r>
      <w:r>
        <w:rPr>
          <w:vertAlign w:val="subscript"/>
        </w:rPr>
        <w:t>2</w:t>
      </w:r>
      <w:r>
        <w:t xml:space="preserve"> ;B</w:t>
      </w:r>
      <w:r>
        <w:rPr>
          <w:vertAlign w:val="subscript"/>
        </w:rPr>
        <w:t>3</w:t>
      </w:r>
      <w:r>
        <w:rPr>
          <w:rFonts w:hint="eastAsia" w:ascii="宋体" w:hAnsi="宋体"/>
          <w:sz w:val="15"/>
          <w:szCs w:val="15"/>
        </w:rPr>
        <w:t>·····</w:t>
      </w:r>
      <w:r>
        <w:t>B</w:t>
      </w:r>
      <w:r>
        <w:rPr>
          <w:vertAlign w:val="subscript"/>
        </w:rPr>
        <w:t>n</w:t>
      </w:r>
      <w:r>
        <w:t xml:space="preserve"> -- </w:t>
      </w:r>
      <w:r>
        <w:rPr>
          <w:rFonts w:hint="eastAsia"/>
        </w:rPr>
        <w:t>各可调因子的变值权重</w:t>
      </w:r>
      <w:r>
        <w:t>(</w:t>
      </w:r>
      <w:r>
        <w:rPr>
          <w:rFonts w:hint="eastAsia"/>
        </w:rPr>
        <w:t>即可调部分的权重</w:t>
      </w:r>
      <w:r>
        <w:t>)</w:t>
      </w:r>
      <w:r>
        <w:rPr>
          <w:rFonts w:hint="eastAsia"/>
        </w:rPr>
        <w:t>为各可调因子在投标函投标总报价中所占的比例；</w:t>
      </w:r>
    </w:p>
    <w:p w14:paraId="6A6765D8">
      <w:pPr>
        <w:tabs>
          <w:tab w:val="left" w:pos="1260"/>
        </w:tabs>
        <w:spacing w:line="360" w:lineRule="auto"/>
      </w:pPr>
      <w:r>
        <w:tab/>
      </w:r>
      <w:r>
        <w:t>F</w:t>
      </w:r>
      <w:r>
        <w:rPr>
          <w:vertAlign w:val="subscript"/>
        </w:rPr>
        <w:t>t1</w:t>
      </w:r>
      <w:r>
        <w:t xml:space="preserve"> ;F</w:t>
      </w:r>
      <w:r>
        <w:rPr>
          <w:vertAlign w:val="subscript"/>
        </w:rPr>
        <w:t>t2</w:t>
      </w:r>
      <w:r>
        <w:t xml:space="preserve"> ;F</w:t>
      </w:r>
      <w:r>
        <w:rPr>
          <w:vertAlign w:val="subscript"/>
        </w:rPr>
        <w:t>t3</w:t>
      </w:r>
      <w:r>
        <w:rPr>
          <w:rFonts w:hint="eastAsia" w:ascii="宋体" w:hAnsi="宋体"/>
          <w:sz w:val="15"/>
          <w:szCs w:val="15"/>
        </w:rPr>
        <w:t>·····</w:t>
      </w:r>
      <w:r>
        <w:t>F</w:t>
      </w:r>
      <w:r>
        <w:rPr>
          <w:vertAlign w:val="subscript"/>
        </w:rPr>
        <w:t>tn</w:t>
      </w:r>
      <w:r>
        <w:t xml:space="preserve"> -- </w:t>
      </w:r>
      <w:r>
        <w:rPr>
          <w:rFonts w:hint="eastAsia"/>
        </w:rPr>
        <w:t>各可调因子的现行价格指数，指第</w:t>
      </w:r>
      <w:r>
        <w:t>17.3.3</w:t>
      </w:r>
      <w:r>
        <w:rPr>
          <w:rFonts w:hint="eastAsia"/>
        </w:rPr>
        <w:t>项、第</w:t>
      </w:r>
      <w:r>
        <w:t>17.5.3</w:t>
      </w:r>
      <w:r>
        <w:rPr>
          <w:rFonts w:hint="eastAsia"/>
        </w:rPr>
        <w:t>项和第</w:t>
      </w:r>
      <w:r>
        <w:t>17.6.2</w:t>
      </w:r>
      <w:r>
        <w:rPr>
          <w:rFonts w:hint="eastAsia"/>
        </w:rPr>
        <w:t>项约定的付款证书相关周期最后一天的前</w:t>
      </w:r>
      <w:r>
        <w:t>42</w:t>
      </w:r>
      <w:r>
        <w:rPr>
          <w:rFonts w:hint="eastAsia"/>
        </w:rPr>
        <w:t>天的各可调因子的价格指数；</w:t>
      </w:r>
    </w:p>
    <w:p w14:paraId="255DB2B9">
      <w:pPr>
        <w:tabs>
          <w:tab w:val="left" w:pos="1260"/>
        </w:tabs>
        <w:spacing w:line="360" w:lineRule="auto"/>
      </w:pPr>
      <w:r>
        <w:tab/>
      </w:r>
      <w:r>
        <w:t>F</w:t>
      </w:r>
      <w:r>
        <w:rPr>
          <w:vertAlign w:val="subscript"/>
        </w:rPr>
        <w:t>o1</w:t>
      </w:r>
      <w:r>
        <w:t>; F</w:t>
      </w:r>
      <w:r>
        <w:rPr>
          <w:vertAlign w:val="subscript"/>
        </w:rPr>
        <w:t>o2</w:t>
      </w:r>
      <w:r>
        <w:rPr>
          <w:sz w:val="15"/>
          <w:szCs w:val="15"/>
        </w:rPr>
        <w:t>;</w:t>
      </w:r>
      <w:r>
        <w:t xml:space="preserve"> F</w:t>
      </w:r>
      <w:r>
        <w:rPr>
          <w:vertAlign w:val="subscript"/>
        </w:rPr>
        <w:t>o3</w:t>
      </w:r>
      <w:r>
        <w:rPr>
          <w:rFonts w:hint="eastAsia" w:ascii="宋体" w:hAnsi="宋体"/>
          <w:sz w:val="15"/>
          <w:szCs w:val="15"/>
        </w:rPr>
        <w:t>·····</w:t>
      </w:r>
      <w:r>
        <w:t>F</w:t>
      </w:r>
      <w:r>
        <w:rPr>
          <w:vertAlign w:val="subscript"/>
        </w:rPr>
        <w:t>on</w:t>
      </w:r>
      <w:r>
        <w:t xml:space="preserve"> -- </w:t>
      </w:r>
      <w:r>
        <w:rPr>
          <w:rFonts w:hint="eastAsia"/>
        </w:rPr>
        <w:t>各可调因子的基本价格指数，指基准日期的各可调因子的价格指数。</w:t>
      </w:r>
    </w:p>
    <w:p w14:paraId="0DED56A8">
      <w:pPr>
        <w:spacing w:line="360" w:lineRule="auto"/>
        <w:ind w:firstLine="630" w:firstLineChars="300"/>
      </w:pPr>
      <w:r>
        <w:rPr>
          <w:rFonts w:hint="eastAsia"/>
        </w:rPr>
        <w:t>以上价格调整公式中的各可调因子、定值和变值权重，以及基本价格指数及其来源在投标函附录价格指数和权重表中约定。价格指数应首先采用有关部门提供的价格指数，缺乏上述价格指数时，可采用有关部门提供的价格代替。</w:t>
      </w:r>
    </w:p>
    <w:p w14:paraId="16B95D69">
      <w:pPr>
        <w:spacing w:line="360" w:lineRule="auto"/>
        <w:ind w:firstLine="630" w:firstLineChars="300"/>
        <w:rPr>
          <w:rFonts w:ascii="宋体" w:hAnsi="宋体"/>
        </w:rPr>
      </w:pPr>
      <w:r>
        <w:rPr>
          <w:rFonts w:ascii="宋体" w:hAnsi="宋体"/>
        </w:rPr>
        <w:t xml:space="preserve">16.1.1.2 </w:t>
      </w:r>
      <w:r>
        <w:rPr>
          <w:rFonts w:hint="eastAsia" w:ascii="宋体" w:hAnsi="宋体"/>
        </w:rPr>
        <w:t>暂时确定调整差额</w:t>
      </w:r>
    </w:p>
    <w:p w14:paraId="1F326CFB">
      <w:pPr>
        <w:spacing w:line="360" w:lineRule="auto"/>
        <w:ind w:firstLine="630" w:firstLineChars="300"/>
      </w:pPr>
      <w:r>
        <w:rPr>
          <w:rFonts w:hint="eastAsia"/>
        </w:rPr>
        <w:t>在计算调整差额时得不到现行价格指数的，可暂用上一次价格指数计算，并在以后的付款中再按实际价格指数进行调整。</w:t>
      </w:r>
    </w:p>
    <w:p w14:paraId="1676ED01">
      <w:pPr>
        <w:spacing w:line="360" w:lineRule="auto"/>
        <w:ind w:firstLine="630" w:firstLineChars="300"/>
        <w:rPr>
          <w:rFonts w:ascii="宋体" w:hAnsi="宋体"/>
        </w:rPr>
      </w:pPr>
      <w:r>
        <w:rPr>
          <w:rFonts w:ascii="宋体" w:hAnsi="宋体"/>
        </w:rPr>
        <w:t xml:space="preserve">16.1.1.3 </w:t>
      </w:r>
      <w:r>
        <w:rPr>
          <w:rFonts w:hint="eastAsia" w:ascii="宋体" w:hAnsi="宋体"/>
        </w:rPr>
        <w:t>权重的调整</w:t>
      </w:r>
    </w:p>
    <w:p w14:paraId="666B4007">
      <w:pPr>
        <w:spacing w:line="360" w:lineRule="auto"/>
        <w:ind w:firstLine="630" w:firstLineChars="300"/>
      </w:pPr>
      <w:r>
        <w:rPr>
          <w:rFonts w:hint="eastAsia"/>
        </w:rPr>
        <w:t>按第</w:t>
      </w:r>
      <w:r>
        <w:t>15.1</w:t>
      </w:r>
      <w:r>
        <w:rPr>
          <w:rFonts w:hint="eastAsia"/>
        </w:rPr>
        <w:t>款约定的变更导致原定合同中的权重不合理时，由监理人与承包人和发包人协商后进行调整。</w:t>
      </w:r>
    </w:p>
    <w:p w14:paraId="00A16139">
      <w:pPr>
        <w:spacing w:line="360" w:lineRule="auto"/>
        <w:ind w:firstLine="630" w:firstLineChars="300"/>
        <w:rPr>
          <w:rFonts w:ascii="宋体" w:hAnsi="宋体"/>
        </w:rPr>
      </w:pPr>
      <w:r>
        <w:rPr>
          <w:rFonts w:ascii="宋体" w:hAnsi="宋体"/>
        </w:rPr>
        <w:t xml:space="preserve">16.1.1.4 </w:t>
      </w:r>
      <w:r>
        <w:rPr>
          <w:rFonts w:hint="eastAsia" w:ascii="宋体" w:hAnsi="宋体"/>
        </w:rPr>
        <w:t>承包人工期延误后的价格调整</w:t>
      </w:r>
    </w:p>
    <w:p w14:paraId="1F2923EC">
      <w:pPr>
        <w:spacing w:line="360" w:lineRule="auto"/>
        <w:ind w:firstLine="630" w:firstLineChars="300"/>
      </w:pPr>
      <w:r>
        <w:rPr>
          <w:rFonts w:hint="eastAsia"/>
        </w:rPr>
        <w:t>由于承包人原因未在约定的工期内竣工的，则对原约定竣工日期后继续施工的工程，在使用第</w:t>
      </w:r>
      <w:r>
        <w:t>16.1.1.1</w:t>
      </w:r>
      <w:r>
        <w:rPr>
          <w:rFonts w:hint="eastAsia"/>
        </w:rPr>
        <w:t>目价格调整公式时，应采用原约定竣工日期与实际竣工日期的两个价格指数中较低的一个作为现行价格指数。</w:t>
      </w:r>
    </w:p>
    <w:p w14:paraId="4BC4EB06">
      <w:pPr>
        <w:spacing w:line="360" w:lineRule="auto"/>
        <w:ind w:firstLine="420" w:firstLineChars="200"/>
        <w:rPr>
          <w:rFonts w:ascii="宋体"/>
        </w:rPr>
      </w:pPr>
      <w:r>
        <w:rPr>
          <w:rFonts w:ascii="宋体" w:hAnsi="宋体"/>
        </w:rPr>
        <w:t xml:space="preserve">16.1.2  </w:t>
      </w:r>
      <w:r>
        <w:rPr>
          <w:rFonts w:hint="eastAsia" w:ascii="宋体" w:hAnsi="宋体"/>
        </w:rPr>
        <w:t>采用造价信息调整价格差额</w:t>
      </w:r>
    </w:p>
    <w:p w14:paraId="45EB76BC">
      <w:pPr>
        <w:spacing w:line="360" w:lineRule="auto"/>
        <w:ind w:firstLine="420" w:firstLineChars="200"/>
        <w:rPr>
          <w:rFonts w:ascii="宋体"/>
        </w:rPr>
      </w:pPr>
      <w:r>
        <w:rPr>
          <w:rFonts w:hint="eastAsia" w:ascii="宋体" w:hAnsi="宋体"/>
        </w:rPr>
        <w:t>施工期内，因人工、材料、设备和机械台班价格波动影响合同价格时，需要进行价格调整的，其价格和数量应由监理人审核，监理人确认需调整的内容、范围、价格和数量作为调整工程合同价格差额的依据。</w:t>
      </w:r>
    </w:p>
    <w:p w14:paraId="616C3DF2">
      <w:pPr>
        <w:spacing w:line="360" w:lineRule="auto"/>
        <w:ind w:firstLine="630" w:firstLineChars="300"/>
        <w:rPr>
          <w:rFonts w:ascii="宋体"/>
        </w:rPr>
      </w:pPr>
      <w:r>
        <w:rPr>
          <w:rFonts w:ascii="宋体" w:hAnsi="宋体"/>
        </w:rPr>
        <w:t xml:space="preserve">16.1.2.1  </w:t>
      </w:r>
      <w:r>
        <w:rPr>
          <w:rFonts w:hint="eastAsia" w:ascii="宋体" w:hAnsi="宋体"/>
        </w:rPr>
        <w:t>引起价格调整的物价波动风险范围及幅度</w:t>
      </w:r>
    </w:p>
    <w:p w14:paraId="50F4F22D">
      <w:pPr>
        <w:spacing w:line="360" w:lineRule="auto"/>
        <w:ind w:firstLine="630" w:firstLineChars="300"/>
        <w:rPr>
          <w:rFonts w:ascii="宋体"/>
        </w:rPr>
      </w:pPr>
      <w:r>
        <w:rPr>
          <w:rFonts w:hint="eastAsia" w:ascii="宋体" w:hAnsi="宋体"/>
        </w:rPr>
        <w:t>施工期内，因人工、材料、设备和机械台班发生物价波动变化幅度在合同约定的风险幅度范围以内的，由承包人承担或受益，不调整合同价格；其价格波动变化幅度在合同约定的风险幅度范围以外的，由发包人承担或受益。物价波动引起价格调整的风险范围以及调整的风险幅度</w:t>
      </w:r>
      <w:r>
        <w:rPr>
          <w:rFonts w:hint="eastAsia" w:ascii="黑体" w:hAnsi="黑体" w:eastAsia="黑体"/>
        </w:rPr>
        <w:t>见合同条款专用部分。</w:t>
      </w:r>
    </w:p>
    <w:p w14:paraId="625D2CEC">
      <w:pPr>
        <w:spacing w:line="360" w:lineRule="auto"/>
        <w:ind w:firstLine="630" w:firstLineChars="300"/>
        <w:rPr>
          <w:rFonts w:ascii="宋体"/>
        </w:rPr>
      </w:pPr>
      <w:r>
        <w:rPr>
          <w:rFonts w:ascii="宋体" w:hAnsi="宋体"/>
        </w:rPr>
        <w:t xml:space="preserve">16.1.2.2  </w:t>
      </w:r>
      <w:r>
        <w:rPr>
          <w:rFonts w:hint="eastAsia" w:ascii="宋体" w:hAnsi="宋体"/>
        </w:rPr>
        <w:t>物价波动变化幅度的计算方法</w:t>
      </w:r>
    </w:p>
    <w:p w14:paraId="4D93CC39">
      <w:pPr>
        <w:spacing w:line="360" w:lineRule="auto"/>
        <w:ind w:firstLine="525" w:firstLineChars="250"/>
        <w:rPr>
          <w:rFonts w:ascii="宋体"/>
        </w:rPr>
      </w:pPr>
      <w:r>
        <w:rPr>
          <w:rFonts w:hint="eastAsia" w:ascii="宋体" w:hAnsi="宋体"/>
        </w:rPr>
        <w:t>（</w:t>
      </w:r>
      <w:r>
        <w:rPr>
          <w:rFonts w:ascii="宋体" w:hAnsi="宋体"/>
        </w:rPr>
        <w:t>1</w:t>
      </w:r>
      <w:r>
        <w:rPr>
          <w:rFonts w:hint="eastAsia" w:ascii="宋体" w:hAnsi="宋体"/>
        </w:rPr>
        <w:t>）投标报价基准期确定的人工、材料、设备和机械台班的市场价格即为基准价。投标报价基准期</w:t>
      </w:r>
      <w:r>
        <w:rPr>
          <w:rFonts w:hint="eastAsia" w:ascii="黑体" w:hAnsi="黑体" w:eastAsia="黑体"/>
        </w:rPr>
        <w:t>见合同条款专用部分。</w:t>
      </w:r>
    </w:p>
    <w:p w14:paraId="551BE4BC">
      <w:pPr>
        <w:spacing w:line="360" w:lineRule="auto"/>
        <w:ind w:firstLine="525" w:firstLineChars="250"/>
        <w:rPr>
          <w:rFonts w:ascii="宋体"/>
        </w:rPr>
      </w:pPr>
      <w:r>
        <w:rPr>
          <w:rFonts w:hint="eastAsia" w:ascii="宋体" w:hAnsi="宋体"/>
        </w:rPr>
        <w:t>（</w:t>
      </w:r>
      <w:r>
        <w:rPr>
          <w:rFonts w:ascii="宋体" w:hAnsi="宋体"/>
        </w:rPr>
        <w:t>2</w:t>
      </w:r>
      <w:r>
        <w:rPr>
          <w:rFonts w:hint="eastAsia" w:ascii="宋体" w:hAnsi="宋体"/>
        </w:rPr>
        <w:t>）《北京工程造价信息》中工程造价信息价有的，以北京市建设工程造价管理机构发布的《北京工程造价信息》中的工程造价信息价（以下简称造价信息价格）为依据确定基准价，造价信息价格中有上、下限的，以下限为准；《北京工程造价信息》工程造价信息价中没有的，确定基准价的方法</w:t>
      </w:r>
      <w:r>
        <w:rPr>
          <w:rFonts w:hint="eastAsia" w:ascii="黑体" w:hAnsi="黑体" w:eastAsia="黑体"/>
        </w:rPr>
        <w:t>见合同条款专用部分。</w:t>
      </w:r>
    </w:p>
    <w:p w14:paraId="7FB26CA8">
      <w:pPr>
        <w:spacing w:line="360" w:lineRule="auto"/>
        <w:ind w:firstLine="525" w:firstLineChars="250"/>
        <w:rPr>
          <w:rFonts w:ascii="宋体"/>
        </w:rPr>
      </w:pPr>
      <w:r>
        <w:rPr>
          <w:rFonts w:hint="eastAsia" w:ascii="宋体" w:hAnsi="宋体"/>
        </w:rPr>
        <w:t>（</w:t>
      </w:r>
      <w:r>
        <w:rPr>
          <w:rFonts w:ascii="宋体" w:hAnsi="宋体"/>
        </w:rPr>
        <w:t>3</w:t>
      </w:r>
      <w:r>
        <w:rPr>
          <w:rFonts w:hint="eastAsia" w:ascii="宋体" w:hAnsi="宋体"/>
        </w:rPr>
        <w:t>）合同履行期间价格的确定方法</w:t>
      </w:r>
      <w:r>
        <w:rPr>
          <w:rFonts w:hint="eastAsia" w:ascii="黑体" w:hAnsi="黑体" w:eastAsia="黑体"/>
        </w:rPr>
        <w:t>见合同条款专用部分。</w:t>
      </w:r>
    </w:p>
    <w:p w14:paraId="67FCAC6C">
      <w:pPr>
        <w:spacing w:line="360" w:lineRule="auto"/>
        <w:ind w:firstLine="525" w:firstLineChars="250"/>
        <w:rPr>
          <w:rFonts w:ascii="宋体"/>
        </w:rPr>
      </w:pPr>
      <w:r>
        <w:rPr>
          <w:rFonts w:hint="eastAsia" w:ascii="宋体" w:hAnsi="宋体"/>
        </w:rPr>
        <w:t>（</w:t>
      </w:r>
      <w:r>
        <w:rPr>
          <w:rFonts w:ascii="宋体" w:hAnsi="宋体"/>
        </w:rPr>
        <w:t>4</w:t>
      </w:r>
      <w:r>
        <w:rPr>
          <w:rFonts w:hint="eastAsia" w:ascii="宋体" w:hAnsi="宋体"/>
        </w:rPr>
        <w:t>）物价波动变化幅度的计算方法</w:t>
      </w:r>
      <w:r>
        <w:rPr>
          <w:rFonts w:hint="eastAsia" w:ascii="黑体" w:hAnsi="黑体" w:eastAsia="黑体"/>
        </w:rPr>
        <w:t>见合同条款专用部分。</w:t>
      </w:r>
    </w:p>
    <w:p w14:paraId="5D9D59B3">
      <w:pPr>
        <w:spacing w:line="360" w:lineRule="auto"/>
        <w:ind w:firstLine="630" w:firstLineChars="300"/>
        <w:rPr>
          <w:rFonts w:ascii="宋体"/>
        </w:rPr>
      </w:pPr>
      <w:r>
        <w:rPr>
          <w:rFonts w:ascii="宋体" w:hAnsi="宋体"/>
        </w:rPr>
        <w:t>16.1.2</w:t>
      </w:r>
      <w:r>
        <w:rPr>
          <w:rFonts w:ascii="宋体"/>
        </w:rPr>
        <w:t>.</w:t>
      </w:r>
      <w:r>
        <w:rPr>
          <w:rFonts w:ascii="宋体" w:hAnsi="宋体"/>
        </w:rPr>
        <w:t xml:space="preserve">3  </w:t>
      </w:r>
      <w:r>
        <w:rPr>
          <w:rFonts w:hint="eastAsia" w:ascii="宋体" w:hAnsi="宋体"/>
        </w:rPr>
        <w:t>物价波动引起价格调整的方法</w:t>
      </w:r>
    </w:p>
    <w:p w14:paraId="71D3A5F4">
      <w:pPr>
        <w:spacing w:line="360" w:lineRule="auto"/>
        <w:ind w:firstLine="420" w:firstLineChars="200"/>
        <w:rPr>
          <w:rFonts w:ascii="宋体" w:hAnsi="宋体"/>
        </w:rPr>
      </w:pPr>
      <w:r>
        <w:rPr>
          <w:rFonts w:hint="eastAsia" w:ascii="宋体" w:hAnsi="宋体"/>
        </w:rPr>
        <w:t>（</w:t>
      </w:r>
      <w:r>
        <w:rPr>
          <w:rFonts w:ascii="宋体" w:hAnsi="宋体"/>
        </w:rPr>
        <w:t>1</w:t>
      </w:r>
      <w:r>
        <w:rPr>
          <w:rFonts w:hint="eastAsia" w:ascii="宋体" w:hAnsi="宋体"/>
        </w:rPr>
        <w:t>）第</w:t>
      </w:r>
      <w:r>
        <w:rPr>
          <w:rFonts w:ascii="宋体" w:hAnsi="宋体"/>
        </w:rPr>
        <w:t>16.1.2.1</w:t>
      </w:r>
      <w:r>
        <w:rPr>
          <w:rFonts w:hint="eastAsia" w:ascii="宋体" w:hAnsi="宋体"/>
        </w:rPr>
        <w:t>目中约定的人工、材料、设备和机械台班的物价波动变化幅度超过风险幅度时，价格调整方法</w:t>
      </w:r>
      <w:r>
        <w:rPr>
          <w:rFonts w:hint="eastAsia" w:ascii="黑体" w:hAnsi="黑体" w:eastAsia="黑体"/>
        </w:rPr>
        <w:t>见合同条款专用部分</w:t>
      </w:r>
      <w:r>
        <w:rPr>
          <w:rFonts w:hint="eastAsia" w:ascii="宋体" w:hAnsi="宋体"/>
        </w:rPr>
        <w:t>。</w:t>
      </w:r>
    </w:p>
    <w:p w14:paraId="7E4729F9">
      <w:pPr>
        <w:spacing w:line="360" w:lineRule="auto"/>
        <w:ind w:firstLine="420" w:firstLineChars="200"/>
        <w:rPr>
          <w:rFonts w:ascii="宋体" w:hAnsi="宋体"/>
        </w:rPr>
      </w:pPr>
      <w:r>
        <w:rPr>
          <w:rFonts w:hint="eastAsia" w:ascii="宋体" w:hAnsi="宋体"/>
        </w:rPr>
        <w:t>（2）第16.1.2.1目中约定的人工的物价波动变化幅度超过风险幅度时，应当计算全部价格差额，其价格差额由发包人承担或受益，其价格差额只计取税金。</w:t>
      </w:r>
    </w:p>
    <w:p w14:paraId="19F6F638">
      <w:pPr>
        <w:spacing w:line="360" w:lineRule="auto"/>
        <w:ind w:firstLine="420" w:firstLineChars="200"/>
        <w:rPr>
          <w:rFonts w:ascii="宋体" w:hAnsi="宋体"/>
        </w:rPr>
      </w:pPr>
      <w:r>
        <w:rPr>
          <w:rFonts w:hint="eastAsia" w:ascii="宋体" w:hAnsi="宋体"/>
        </w:rPr>
        <w:t>（3）第16.1.2.1目中约定的材料、设备和机械台班的物价波动变化幅度超过风险幅度时，应当计算超过部分的价格差额，其价格差额由发包人承担或受益，其价格差额只计取税金。</w:t>
      </w:r>
    </w:p>
    <w:p w14:paraId="01F38E3C">
      <w:pPr>
        <w:spacing w:line="360" w:lineRule="auto"/>
        <w:ind w:firstLine="420" w:firstLineChars="200"/>
        <w:rPr>
          <w:rFonts w:ascii="宋体" w:hAnsi="宋体"/>
        </w:rPr>
      </w:pPr>
      <w:r>
        <w:rPr>
          <w:rFonts w:hint="eastAsia" w:ascii="宋体" w:hAnsi="宋体"/>
        </w:rPr>
        <w:t>16.1.2.4  物价波动引起价格调整的其他约定</w:t>
      </w:r>
      <w:r>
        <w:rPr>
          <w:rFonts w:hint="eastAsia" w:ascii="黑体" w:hAnsi="黑体" w:eastAsia="黑体"/>
        </w:rPr>
        <w:t>见合同条款专用部分</w:t>
      </w:r>
      <w:r>
        <w:rPr>
          <w:rFonts w:hint="eastAsia" w:ascii="宋体" w:hAnsi="宋体"/>
        </w:rPr>
        <w:t>。</w:t>
      </w:r>
    </w:p>
    <w:p w14:paraId="2CD70DC9">
      <w:pPr>
        <w:spacing w:line="360" w:lineRule="auto"/>
        <w:ind w:firstLine="420" w:firstLineChars="200"/>
        <w:rPr>
          <w:rFonts w:ascii="宋体"/>
        </w:rPr>
      </w:pPr>
      <w:r>
        <w:rPr>
          <w:rFonts w:ascii="宋体" w:hAnsi="宋体"/>
        </w:rPr>
        <w:t xml:space="preserve">16.1.3  </w:t>
      </w:r>
      <w:r>
        <w:rPr>
          <w:rFonts w:hint="eastAsia" w:ascii="宋体" w:hAnsi="宋体"/>
        </w:rPr>
        <w:t>物价波动引起价格调整的其他方法</w:t>
      </w:r>
      <w:r>
        <w:rPr>
          <w:rFonts w:hint="eastAsia" w:ascii="黑体" w:hAnsi="黑体" w:eastAsia="黑体"/>
        </w:rPr>
        <w:t>见合同条款专用部分</w:t>
      </w:r>
      <w:r>
        <w:rPr>
          <w:rFonts w:hint="eastAsia" w:ascii="宋体" w:hAnsi="宋体"/>
        </w:rPr>
        <w:t>。</w:t>
      </w:r>
    </w:p>
    <w:p w14:paraId="5B55A6C5">
      <w:pPr>
        <w:keepNext/>
        <w:keepLines/>
        <w:spacing w:beforeLines="50" w:afterLines="50" w:line="360" w:lineRule="auto"/>
        <w:outlineLvl w:val="2"/>
        <w:rPr>
          <w:rFonts w:ascii="宋体" w:hAnsi="宋体"/>
          <w:sz w:val="24"/>
          <w:szCs w:val="20"/>
        </w:rPr>
      </w:pPr>
      <w:bookmarkStart w:id="1257" w:name="_Toc490222600"/>
      <w:bookmarkStart w:id="1258" w:name="_Toc497213831"/>
      <w:bookmarkStart w:id="1259" w:name="_Toc486580155"/>
      <w:bookmarkStart w:id="1260" w:name="_Toc117597586"/>
      <w:bookmarkStart w:id="1261" w:name="_Toc489279966"/>
      <w:r>
        <w:rPr>
          <w:rFonts w:ascii="宋体" w:hAnsi="宋体"/>
          <w:sz w:val="24"/>
          <w:szCs w:val="20"/>
        </w:rPr>
        <w:t xml:space="preserve">16.2  </w:t>
      </w:r>
      <w:r>
        <w:rPr>
          <w:rFonts w:hint="eastAsia" w:ascii="宋体" w:hAnsi="宋体"/>
          <w:sz w:val="24"/>
          <w:szCs w:val="20"/>
        </w:rPr>
        <w:t>法律变化引起的价格调整</w:t>
      </w:r>
      <w:bookmarkEnd w:id="1257"/>
      <w:bookmarkEnd w:id="1258"/>
      <w:bookmarkEnd w:id="1259"/>
      <w:bookmarkEnd w:id="1260"/>
      <w:bookmarkEnd w:id="1261"/>
    </w:p>
    <w:p w14:paraId="1D95F28A">
      <w:pPr>
        <w:spacing w:line="360" w:lineRule="auto"/>
        <w:ind w:firstLine="420" w:firstLineChars="200"/>
        <w:rPr>
          <w:rFonts w:ascii="宋体"/>
        </w:rPr>
      </w:pPr>
      <w:r>
        <w:rPr>
          <w:rFonts w:hint="eastAsia" w:ascii="宋体" w:hAnsi="宋体"/>
        </w:rPr>
        <w:t>在基准日后，因法律变化导致承包人在合同履行中所需要的工程费用发生除第</w:t>
      </w:r>
      <w:r>
        <w:rPr>
          <w:rFonts w:ascii="宋体" w:hAnsi="宋体"/>
        </w:rPr>
        <w:t>16.1</w:t>
      </w:r>
      <w:r>
        <w:rPr>
          <w:rFonts w:hint="eastAsia" w:ascii="宋体" w:hAnsi="宋体"/>
        </w:rPr>
        <w:t>款约定以外的增减时，监理人应根据法律、国家或省、自治区、直辖市有关部门的规定，按第</w:t>
      </w:r>
      <w:r>
        <w:rPr>
          <w:rFonts w:ascii="宋体" w:hAnsi="宋体"/>
        </w:rPr>
        <w:t>3.5</w:t>
      </w:r>
      <w:r>
        <w:rPr>
          <w:rFonts w:hint="eastAsia" w:ascii="宋体" w:hAnsi="宋体"/>
        </w:rPr>
        <w:t>款商定或确定需调整的合同价款。</w:t>
      </w:r>
    </w:p>
    <w:p w14:paraId="38F52506">
      <w:pPr>
        <w:keepNext/>
        <w:keepLines/>
        <w:spacing w:beforeLines="50" w:afterLines="50" w:line="360" w:lineRule="auto"/>
        <w:outlineLvl w:val="1"/>
        <w:rPr>
          <w:rFonts w:ascii="宋体" w:hAnsi="宋体" w:cs="宋体"/>
          <w:sz w:val="28"/>
          <w:szCs w:val="20"/>
        </w:rPr>
      </w:pPr>
      <w:bookmarkStart w:id="1262" w:name="_Toc117597587"/>
      <w:bookmarkStart w:id="1263" w:name="_Toc486580156"/>
      <w:bookmarkStart w:id="1264" w:name="_Toc489279967"/>
      <w:bookmarkStart w:id="1265" w:name="_Toc490222601"/>
      <w:bookmarkStart w:id="1266" w:name="_Toc497213832"/>
      <w:r>
        <w:rPr>
          <w:rFonts w:ascii="宋体" w:hAnsi="宋体" w:cs="宋体"/>
          <w:sz w:val="28"/>
          <w:szCs w:val="20"/>
        </w:rPr>
        <w:t>17.</w:t>
      </w:r>
      <w:r>
        <w:rPr>
          <w:rFonts w:hint="eastAsia" w:ascii="宋体" w:hAnsi="宋体" w:cs="宋体"/>
          <w:sz w:val="28"/>
          <w:szCs w:val="20"/>
        </w:rPr>
        <w:t>计量与支付</w:t>
      </w:r>
      <w:bookmarkEnd w:id="1262"/>
      <w:bookmarkEnd w:id="1263"/>
      <w:bookmarkEnd w:id="1264"/>
      <w:bookmarkEnd w:id="1265"/>
      <w:bookmarkEnd w:id="1266"/>
    </w:p>
    <w:p w14:paraId="601640C6">
      <w:pPr>
        <w:keepNext/>
        <w:keepLines/>
        <w:spacing w:beforeLines="50" w:afterLines="50" w:line="360" w:lineRule="auto"/>
        <w:outlineLvl w:val="2"/>
        <w:rPr>
          <w:rFonts w:ascii="宋体" w:hAnsi="宋体"/>
          <w:sz w:val="24"/>
          <w:szCs w:val="20"/>
        </w:rPr>
      </w:pPr>
      <w:bookmarkStart w:id="1267" w:name="_Toc117597588"/>
      <w:bookmarkStart w:id="1268" w:name="_Toc497213833"/>
      <w:bookmarkStart w:id="1269" w:name="_Toc490222602"/>
      <w:bookmarkStart w:id="1270" w:name="_Toc489279968"/>
      <w:bookmarkStart w:id="1271" w:name="_Toc486580157"/>
      <w:r>
        <w:rPr>
          <w:rFonts w:ascii="宋体" w:hAnsi="宋体"/>
          <w:sz w:val="24"/>
          <w:szCs w:val="20"/>
        </w:rPr>
        <w:t xml:space="preserve">17.1  </w:t>
      </w:r>
      <w:r>
        <w:rPr>
          <w:rFonts w:hint="eastAsia" w:ascii="宋体" w:hAnsi="宋体"/>
          <w:sz w:val="24"/>
          <w:szCs w:val="20"/>
        </w:rPr>
        <w:t>计量</w:t>
      </w:r>
      <w:bookmarkEnd w:id="1267"/>
      <w:bookmarkEnd w:id="1268"/>
      <w:bookmarkEnd w:id="1269"/>
      <w:bookmarkEnd w:id="1270"/>
      <w:bookmarkEnd w:id="1271"/>
    </w:p>
    <w:p w14:paraId="2A7A5ABA">
      <w:pPr>
        <w:spacing w:line="360" w:lineRule="auto"/>
        <w:ind w:firstLine="420" w:firstLineChars="200"/>
        <w:rPr>
          <w:rFonts w:ascii="宋体"/>
        </w:rPr>
      </w:pPr>
      <w:r>
        <w:rPr>
          <w:rFonts w:ascii="宋体" w:hAnsi="宋体"/>
        </w:rPr>
        <w:t xml:space="preserve">17.1.1  </w:t>
      </w:r>
      <w:r>
        <w:rPr>
          <w:rFonts w:hint="eastAsia" w:ascii="宋体" w:hAnsi="宋体"/>
        </w:rPr>
        <w:t>计量单位</w:t>
      </w:r>
    </w:p>
    <w:p w14:paraId="1485E070">
      <w:pPr>
        <w:spacing w:line="360" w:lineRule="auto"/>
        <w:ind w:firstLine="420" w:firstLineChars="200"/>
        <w:rPr>
          <w:rFonts w:ascii="宋体"/>
        </w:rPr>
      </w:pPr>
      <w:r>
        <w:rPr>
          <w:rFonts w:hint="eastAsia" w:ascii="宋体" w:hAnsi="宋体"/>
        </w:rPr>
        <w:t>计量采用国家法定的计量单位。</w:t>
      </w:r>
    </w:p>
    <w:p w14:paraId="227447B6">
      <w:pPr>
        <w:spacing w:line="360" w:lineRule="auto"/>
        <w:ind w:firstLine="420" w:firstLineChars="200"/>
        <w:rPr>
          <w:rFonts w:ascii="宋体"/>
        </w:rPr>
      </w:pPr>
      <w:r>
        <w:rPr>
          <w:rFonts w:ascii="宋体" w:hAnsi="宋体"/>
        </w:rPr>
        <w:t xml:space="preserve">17.1.2  </w:t>
      </w:r>
      <w:r>
        <w:rPr>
          <w:rFonts w:hint="eastAsia" w:ascii="宋体" w:hAnsi="宋体"/>
        </w:rPr>
        <w:t>计量方法</w:t>
      </w:r>
    </w:p>
    <w:p w14:paraId="46FB14DE">
      <w:pPr>
        <w:spacing w:line="360" w:lineRule="auto"/>
        <w:ind w:firstLine="420" w:firstLineChars="200"/>
        <w:rPr>
          <w:rFonts w:ascii="宋体"/>
        </w:rPr>
      </w:pPr>
      <w:r>
        <w:rPr>
          <w:rFonts w:hint="eastAsia" w:ascii="宋体" w:hAnsi="宋体"/>
        </w:rPr>
        <w:t>工程量计算规则执行工程量清单中约定的计量计价规范版本。除合同另有约定外，承包人实际完成的工程量按约定的工程量计算规则和有合同约束力的图纸进行计量。</w:t>
      </w:r>
    </w:p>
    <w:p w14:paraId="571F3402">
      <w:pPr>
        <w:spacing w:line="360" w:lineRule="auto"/>
        <w:ind w:firstLine="420" w:firstLineChars="200"/>
        <w:rPr>
          <w:rFonts w:ascii="宋体"/>
        </w:rPr>
      </w:pPr>
      <w:r>
        <w:rPr>
          <w:rFonts w:ascii="宋体" w:hAnsi="宋体"/>
        </w:rPr>
        <w:t xml:space="preserve">17.1.3  </w:t>
      </w:r>
      <w:r>
        <w:rPr>
          <w:rFonts w:hint="eastAsia" w:ascii="宋体" w:hAnsi="宋体"/>
        </w:rPr>
        <w:t>计量周期</w:t>
      </w:r>
    </w:p>
    <w:p w14:paraId="146527BF">
      <w:pPr>
        <w:spacing w:line="360" w:lineRule="auto"/>
        <w:ind w:firstLine="420" w:firstLineChars="200"/>
      </w:pPr>
      <w:r>
        <w:rPr>
          <w:rFonts w:hint="eastAsia" w:ascii="宋体" w:hAnsi="宋体"/>
        </w:rPr>
        <w:t>（</w:t>
      </w:r>
      <w:r>
        <w:rPr>
          <w:rFonts w:ascii="宋体" w:hAnsi="宋体"/>
        </w:rPr>
        <w:t>1</w:t>
      </w:r>
      <w:r>
        <w:rPr>
          <w:rFonts w:hint="eastAsia" w:ascii="宋体" w:hAnsi="宋体"/>
        </w:rPr>
        <w:t>）本合同的计量周期为月，当月计量截止日期（不含当日）和下月计量起始日期（含当日）</w:t>
      </w:r>
      <w:r>
        <w:rPr>
          <w:rFonts w:hint="eastAsia" w:ascii="黑体" w:hAnsi="黑体" w:eastAsia="黑体"/>
        </w:rPr>
        <w:t>见合同条款专用部分</w:t>
      </w:r>
      <w:r>
        <w:rPr>
          <w:rFonts w:hint="eastAsia" w:ascii="宋体" w:hAnsi="宋体"/>
        </w:rPr>
        <w:t>。</w:t>
      </w:r>
    </w:p>
    <w:p w14:paraId="4F0E63E9">
      <w:pPr>
        <w:spacing w:line="360" w:lineRule="auto"/>
        <w:ind w:firstLine="420" w:firstLineChars="200"/>
      </w:pPr>
      <w:r>
        <w:rPr>
          <w:rFonts w:hint="eastAsia"/>
        </w:rPr>
        <w:t>（</w:t>
      </w:r>
      <w:r>
        <w:rPr>
          <w:rFonts w:ascii="宋体" w:hAnsi="宋体"/>
        </w:rPr>
        <w:t>2</w:t>
      </w:r>
      <w:r>
        <w:rPr>
          <w:rFonts w:hint="eastAsia"/>
        </w:rPr>
        <w:t>）单价子目已完成工程量是否按月计量</w:t>
      </w:r>
      <w:r>
        <w:rPr>
          <w:rFonts w:hint="eastAsia" w:ascii="黑体" w:hAnsi="黑体" w:eastAsia="黑体"/>
        </w:rPr>
        <w:t>见合同条款专用部分</w:t>
      </w:r>
      <w:r>
        <w:rPr>
          <w:rFonts w:hint="eastAsia" w:ascii="宋体" w:hAnsi="宋体"/>
        </w:rPr>
        <w:t>。</w:t>
      </w:r>
    </w:p>
    <w:p w14:paraId="77D6D41A">
      <w:pPr>
        <w:spacing w:line="360" w:lineRule="auto"/>
        <w:ind w:firstLine="420" w:firstLineChars="200"/>
      </w:pPr>
      <w:r>
        <w:rPr>
          <w:rFonts w:hint="eastAsia" w:ascii="宋体" w:hAnsi="宋体"/>
        </w:rPr>
        <w:t>（</w:t>
      </w:r>
      <w:r>
        <w:rPr>
          <w:rFonts w:ascii="宋体" w:hAnsi="宋体"/>
        </w:rPr>
        <w:t>3</w:t>
      </w:r>
      <w:r>
        <w:rPr>
          <w:rFonts w:hint="eastAsia" w:ascii="宋体" w:hAnsi="宋体"/>
        </w:rPr>
        <w:t>）总价子目计量方法</w:t>
      </w:r>
      <w:r>
        <w:rPr>
          <w:rFonts w:hint="eastAsia" w:ascii="黑体" w:hAnsi="黑体" w:eastAsia="黑体"/>
        </w:rPr>
        <w:t>见合同条款专用部分</w:t>
      </w:r>
      <w:r>
        <w:rPr>
          <w:rFonts w:hint="eastAsia" w:ascii="宋体" w:hAnsi="宋体"/>
        </w:rPr>
        <w:t>。</w:t>
      </w:r>
    </w:p>
    <w:p w14:paraId="673B933A">
      <w:pPr>
        <w:spacing w:line="360" w:lineRule="auto"/>
        <w:ind w:firstLine="420" w:firstLineChars="200"/>
        <w:rPr>
          <w:rFonts w:ascii="宋体"/>
        </w:rPr>
      </w:pPr>
      <w:r>
        <w:rPr>
          <w:rFonts w:ascii="宋体" w:hAnsi="宋体"/>
        </w:rPr>
        <w:t xml:space="preserve">17.1.4  </w:t>
      </w:r>
      <w:r>
        <w:rPr>
          <w:rFonts w:hint="eastAsia" w:ascii="宋体" w:hAnsi="宋体"/>
        </w:rPr>
        <w:t>单价子目的计量</w:t>
      </w:r>
    </w:p>
    <w:p w14:paraId="7A1350FA">
      <w:pPr>
        <w:spacing w:line="360" w:lineRule="auto"/>
        <w:ind w:firstLine="420" w:firstLineChars="200"/>
        <w:rPr>
          <w:rFonts w:ascii="宋体"/>
        </w:rPr>
      </w:pPr>
      <w:r>
        <w:rPr>
          <w:rFonts w:hint="eastAsia" w:ascii="宋体" w:hAnsi="宋体"/>
        </w:rPr>
        <w:t>（</w:t>
      </w:r>
      <w:r>
        <w:rPr>
          <w:rFonts w:ascii="宋体" w:hAnsi="宋体"/>
        </w:rPr>
        <w:t>1</w:t>
      </w:r>
      <w:r>
        <w:rPr>
          <w:rFonts w:hint="eastAsia" w:ascii="宋体" w:hAnsi="宋体"/>
        </w:rPr>
        <w:t>）已标价工程量清单中的单价子目工程量为估算工程量。结算工程量是承包人实际完成的，并按合同约定的计量方法进行计量的工程量。</w:t>
      </w:r>
    </w:p>
    <w:p w14:paraId="687A52AC">
      <w:pPr>
        <w:spacing w:line="360" w:lineRule="auto"/>
        <w:ind w:firstLine="420" w:firstLineChars="200"/>
        <w:rPr>
          <w:rFonts w:ascii="宋体"/>
        </w:rPr>
      </w:pPr>
      <w:r>
        <w:rPr>
          <w:rFonts w:hint="eastAsia" w:ascii="宋体" w:hAnsi="宋体"/>
        </w:rPr>
        <w:t>（</w:t>
      </w:r>
      <w:r>
        <w:rPr>
          <w:rFonts w:ascii="宋体" w:hAnsi="宋体"/>
        </w:rPr>
        <w:t>2</w:t>
      </w:r>
      <w:r>
        <w:rPr>
          <w:rFonts w:hint="eastAsia" w:ascii="宋体" w:hAnsi="宋体"/>
        </w:rPr>
        <w:t>）承包人对已完成的工程进行计量，向监理人提交进度付款申请单、已完成工程量报表和有关计量资料。</w:t>
      </w:r>
    </w:p>
    <w:p w14:paraId="7C104868">
      <w:pPr>
        <w:spacing w:line="360" w:lineRule="auto"/>
        <w:ind w:firstLine="420" w:firstLineChars="200"/>
        <w:rPr>
          <w:rFonts w:ascii="宋体"/>
        </w:rPr>
      </w:pPr>
      <w:r>
        <w:rPr>
          <w:rFonts w:hint="eastAsia" w:ascii="宋体" w:hAnsi="宋体"/>
        </w:rPr>
        <w:t>（</w:t>
      </w:r>
      <w:r>
        <w:rPr>
          <w:rFonts w:ascii="宋体" w:hAnsi="宋体"/>
        </w:rPr>
        <w:t>3</w:t>
      </w:r>
      <w:r>
        <w:rPr>
          <w:rFonts w:hint="eastAsia" w:ascii="宋体" w:hAnsi="宋体"/>
        </w:rPr>
        <w:t>）监理人对承包人提交的工程量报表进行复核，以确定实际完成的工程量。对数量有异议的，可要求承包人按第</w:t>
      </w:r>
      <w:r>
        <w:rPr>
          <w:rFonts w:ascii="宋体" w:hAnsi="宋体"/>
        </w:rPr>
        <w:t>8.2</w:t>
      </w:r>
      <w:r>
        <w:rPr>
          <w:rFonts w:hint="eastAsia" w:ascii="宋体" w:hAnsi="宋体"/>
        </w:rPr>
        <w:t>款约定进行共同复核和抽样复测。承包人应协助监理人进行复核并按监理人要求提供补充计量资料。承包人未按监理人要求参加复核，监理人复核或修正的工程量视为承包人实际完成的工程量。</w:t>
      </w:r>
    </w:p>
    <w:p w14:paraId="4BC0E2E0">
      <w:pPr>
        <w:spacing w:line="360" w:lineRule="auto"/>
        <w:ind w:firstLine="420" w:firstLineChars="200"/>
        <w:rPr>
          <w:rFonts w:ascii="宋体"/>
        </w:rPr>
      </w:pPr>
      <w:r>
        <w:rPr>
          <w:rFonts w:hint="eastAsia" w:ascii="宋体" w:hAnsi="宋体"/>
        </w:rPr>
        <w:t>（</w:t>
      </w:r>
      <w:r>
        <w:rPr>
          <w:rFonts w:ascii="宋体" w:hAnsi="宋体"/>
        </w:rPr>
        <w:t>4</w:t>
      </w:r>
      <w:r>
        <w:rPr>
          <w:rFonts w:hint="eastAsia" w:ascii="宋体" w:hAnsi="宋体"/>
        </w:rPr>
        <w:t>）监理人认为有必要时，可通知承包人共同进行联合测量、计量，承包人应遵照执行。</w:t>
      </w:r>
    </w:p>
    <w:p w14:paraId="2037F5E1">
      <w:pPr>
        <w:spacing w:line="360" w:lineRule="auto"/>
        <w:ind w:firstLine="420" w:firstLineChars="200"/>
        <w:rPr>
          <w:rFonts w:ascii="宋体"/>
        </w:rPr>
      </w:pPr>
      <w:r>
        <w:rPr>
          <w:rFonts w:hint="eastAsia" w:ascii="宋体" w:hAnsi="宋体"/>
        </w:rPr>
        <w:t>（</w:t>
      </w:r>
      <w:r>
        <w:rPr>
          <w:rFonts w:ascii="宋体" w:hAnsi="宋体"/>
        </w:rPr>
        <w:t>5</w:t>
      </w:r>
      <w:r>
        <w:rPr>
          <w:rFonts w:hint="eastAsia" w:ascii="宋体" w:hAnsi="宋体"/>
        </w:rPr>
        <w:t>）承包人完成工程量清单中每个子目的工程量后，监理人应要求承包人派员共同对每个子目的历次计量报表进行汇总，以核实最终结算工程量。监理人可要求承包人提供补充计量资料，以确定最后一次进度付款的准确工程量。承包人未按监理人要求派员参加的，监理人最终核实的工程量视为承包人完成该子目的准确工程量。</w:t>
      </w:r>
    </w:p>
    <w:p w14:paraId="49B10BF0">
      <w:pPr>
        <w:spacing w:line="360" w:lineRule="auto"/>
        <w:ind w:firstLine="420" w:firstLineChars="200"/>
        <w:rPr>
          <w:rFonts w:ascii="宋体"/>
        </w:rPr>
      </w:pPr>
      <w:r>
        <w:rPr>
          <w:rFonts w:hint="eastAsia" w:ascii="宋体" w:hAnsi="宋体"/>
        </w:rPr>
        <w:t>（</w:t>
      </w:r>
      <w:r>
        <w:rPr>
          <w:rFonts w:ascii="宋体" w:hAnsi="宋体"/>
        </w:rPr>
        <w:t>6</w:t>
      </w:r>
      <w:r>
        <w:rPr>
          <w:rFonts w:hint="eastAsia" w:ascii="宋体" w:hAnsi="宋体"/>
        </w:rPr>
        <w:t>）监理人应在收到承包人提交的工程量报表后的</w:t>
      </w:r>
      <w:r>
        <w:rPr>
          <w:rFonts w:ascii="宋体" w:hAnsi="宋体"/>
        </w:rPr>
        <w:t>7</w:t>
      </w:r>
      <w:r>
        <w:rPr>
          <w:rFonts w:hint="eastAsia" w:ascii="宋体" w:hAnsi="宋体"/>
        </w:rPr>
        <w:t>天内进行复核，监理人未在约定时间内复核的，承包人提交的工程量报表中的工程量视为承包人实际完成的工程量，据此计算工程价款。</w:t>
      </w:r>
    </w:p>
    <w:p w14:paraId="6E684F0F">
      <w:pPr>
        <w:spacing w:line="360" w:lineRule="auto"/>
        <w:ind w:firstLine="420" w:firstLineChars="200"/>
        <w:rPr>
          <w:rFonts w:ascii="宋体"/>
        </w:rPr>
      </w:pPr>
      <w:r>
        <w:rPr>
          <w:rFonts w:ascii="宋体" w:hAnsi="宋体"/>
        </w:rPr>
        <w:t xml:space="preserve">17.1.5  </w:t>
      </w:r>
      <w:r>
        <w:rPr>
          <w:rFonts w:hint="eastAsia" w:ascii="宋体" w:hAnsi="宋体"/>
        </w:rPr>
        <w:t>总价子目的计量（适用于采用支付分解报告）</w:t>
      </w:r>
    </w:p>
    <w:p w14:paraId="318196C5">
      <w:pPr>
        <w:spacing w:line="400" w:lineRule="exact"/>
        <w:ind w:firstLine="420" w:firstLineChars="200"/>
        <w:rPr>
          <w:rFonts w:ascii="宋体"/>
        </w:rPr>
      </w:pPr>
      <w:r>
        <w:rPr>
          <w:rFonts w:hint="eastAsia" w:ascii="宋体" w:hAnsi="宋体"/>
        </w:rPr>
        <w:t>总价子目按照有合同约束力的支付分解表支付。承包人应根据合同条款第</w:t>
      </w:r>
      <w:r>
        <w:rPr>
          <w:rFonts w:ascii="宋体" w:hAnsi="宋体"/>
        </w:rPr>
        <w:t>10</w:t>
      </w:r>
      <w:r>
        <w:rPr>
          <w:rFonts w:hint="eastAsia" w:ascii="宋体" w:hAnsi="宋体"/>
        </w:rPr>
        <w:t>条约定的合同进度计划和总价子目的总价构成、费用性质、计划发生时间和相应工作量等因素对各个总价子目的总价按月进行分解，形成支付分解报告。承包人应当在收到经过监理人批复的合同进度计划后</w:t>
      </w:r>
      <w:r>
        <w:rPr>
          <w:rFonts w:ascii="宋体" w:hAnsi="宋体"/>
        </w:rPr>
        <w:t>7</w:t>
      </w:r>
      <w:r>
        <w:rPr>
          <w:rFonts w:hint="eastAsia" w:ascii="宋体" w:hAnsi="宋体"/>
        </w:rPr>
        <w:t>天内，将支付分解报告以及形成支付分解报告的分项计量和总价分解等支持性资料报监理人审批，监理人应当在收到承包人报送的支付分解报告后</w:t>
      </w:r>
      <w:r>
        <w:rPr>
          <w:rFonts w:ascii="宋体" w:hAnsi="宋体"/>
        </w:rPr>
        <w:t>7</w:t>
      </w:r>
      <w:r>
        <w:rPr>
          <w:rFonts w:hint="eastAsia" w:ascii="宋体" w:hAnsi="宋体"/>
        </w:rPr>
        <w:t>天内给予批复或提出修改意见，经监理人批准的支付分解报告为有合同约束力的支付分解表。支付分解表应根据合同条款第</w:t>
      </w:r>
      <w:r>
        <w:rPr>
          <w:rFonts w:ascii="宋体" w:hAnsi="宋体"/>
        </w:rPr>
        <w:t>10.2</w:t>
      </w:r>
      <w:r>
        <w:rPr>
          <w:rFonts w:hint="eastAsia" w:ascii="宋体" w:hAnsi="宋体"/>
        </w:rPr>
        <w:t>款约定的修订合同进度计划进行修正，修正的程序和期限应当依照本项上述约定，经修正的支付分解表为有合同约束力的支付分解表。</w:t>
      </w:r>
    </w:p>
    <w:p w14:paraId="5D0B0D3B">
      <w:pPr>
        <w:spacing w:line="400" w:lineRule="exact"/>
        <w:ind w:firstLine="420" w:firstLineChars="200"/>
        <w:rPr>
          <w:rFonts w:ascii="宋体"/>
        </w:rPr>
      </w:pPr>
      <w:r>
        <w:rPr>
          <w:rFonts w:hint="eastAsia" w:ascii="宋体" w:hAnsi="宋体"/>
        </w:rPr>
        <w:t>（</w:t>
      </w:r>
      <w:r>
        <w:rPr>
          <w:rFonts w:ascii="宋体" w:hAnsi="宋体"/>
        </w:rPr>
        <w:t>1</w:t>
      </w:r>
      <w:r>
        <w:rPr>
          <w:rFonts w:hint="eastAsia" w:ascii="宋体" w:hAnsi="宋体"/>
        </w:rPr>
        <w:t>）总价子目的价格调整方法</w:t>
      </w:r>
      <w:r>
        <w:rPr>
          <w:rFonts w:hint="eastAsia" w:ascii="黑体" w:hAnsi="黑体" w:eastAsia="黑体"/>
        </w:rPr>
        <w:t>见合同条款专用部分</w:t>
      </w:r>
      <w:r>
        <w:rPr>
          <w:rFonts w:hint="eastAsia" w:ascii="宋体" w:hAnsi="宋体"/>
        </w:rPr>
        <w:t>。</w:t>
      </w:r>
    </w:p>
    <w:p w14:paraId="177C1FF1">
      <w:pPr>
        <w:spacing w:line="400" w:lineRule="exact"/>
        <w:ind w:firstLine="420" w:firstLineChars="200"/>
        <w:rPr>
          <w:rFonts w:ascii="宋体"/>
        </w:rPr>
      </w:pPr>
      <w:r>
        <w:rPr>
          <w:rFonts w:hint="eastAsia" w:ascii="宋体" w:hAnsi="宋体"/>
        </w:rPr>
        <w:t>（</w:t>
      </w:r>
      <w:r>
        <w:rPr>
          <w:rFonts w:ascii="宋体" w:hAnsi="宋体"/>
        </w:rPr>
        <w:t>2</w:t>
      </w:r>
      <w:r>
        <w:rPr>
          <w:rFonts w:hint="eastAsia" w:ascii="宋体" w:hAnsi="宋体"/>
        </w:rPr>
        <w:t>）列入每月进度付款申请单中各总价子目的价值为有合同约束力的支付分解表中对应月份的总价子目总价值。</w:t>
      </w:r>
    </w:p>
    <w:p w14:paraId="0C4A73BB">
      <w:pPr>
        <w:spacing w:line="400" w:lineRule="exact"/>
        <w:ind w:firstLine="420" w:firstLineChars="200"/>
        <w:rPr>
          <w:rFonts w:ascii="宋体"/>
        </w:rPr>
      </w:pPr>
      <w:r>
        <w:rPr>
          <w:rFonts w:hint="eastAsia" w:ascii="宋体" w:hAnsi="宋体"/>
        </w:rPr>
        <w:t>（</w:t>
      </w:r>
      <w:r>
        <w:rPr>
          <w:rFonts w:ascii="宋体" w:hAnsi="宋体"/>
        </w:rPr>
        <w:t>3</w:t>
      </w:r>
      <w:r>
        <w:rPr>
          <w:rFonts w:hint="eastAsia" w:ascii="宋体" w:hAnsi="宋体"/>
        </w:rPr>
        <w:t>）监理人根据有合同约束力的支付分解表复核列入每月进度付款申请单中的总价子目的总价值。</w:t>
      </w:r>
    </w:p>
    <w:p w14:paraId="617AC26A">
      <w:pPr>
        <w:spacing w:line="360" w:lineRule="auto"/>
        <w:ind w:firstLine="420" w:firstLineChars="200"/>
        <w:rPr>
          <w:rFonts w:ascii="宋体"/>
        </w:rPr>
      </w:pPr>
      <w:r>
        <w:rPr>
          <w:rFonts w:hint="eastAsia" w:ascii="宋体" w:hAnsi="宋体"/>
        </w:rPr>
        <w:t>（</w:t>
      </w:r>
      <w:r>
        <w:rPr>
          <w:rFonts w:ascii="宋体" w:hAnsi="宋体"/>
        </w:rPr>
        <w:t>4</w:t>
      </w:r>
      <w:r>
        <w:rPr>
          <w:rFonts w:hint="eastAsia" w:ascii="宋体" w:hAnsi="宋体"/>
        </w:rPr>
        <w:t>）除按照第</w:t>
      </w:r>
      <w:r>
        <w:rPr>
          <w:rFonts w:ascii="宋体" w:hAnsi="宋体"/>
        </w:rPr>
        <w:t>15</w:t>
      </w:r>
      <w:r>
        <w:rPr>
          <w:rFonts w:hint="eastAsia" w:ascii="宋体" w:hAnsi="宋体"/>
        </w:rPr>
        <w:t>条约定的变更外，在竣工结算时总价子目的工程量不应当重新计量，签约合同价所基于的工程量即是用于竣工结算的最终工程量。</w:t>
      </w:r>
    </w:p>
    <w:p w14:paraId="22A7A768">
      <w:pPr>
        <w:spacing w:line="360" w:lineRule="auto"/>
        <w:ind w:firstLine="420" w:firstLineChars="200"/>
        <w:rPr>
          <w:rFonts w:ascii="宋体"/>
        </w:rPr>
      </w:pPr>
      <w:r>
        <w:rPr>
          <w:rFonts w:ascii="宋体" w:hAnsi="宋体"/>
        </w:rPr>
        <w:t xml:space="preserve">17.1.5  </w:t>
      </w:r>
      <w:r>
        <w:rPr>
          <w:rFonts w:hint="eastAsia" w:ascii="宋体" w:hAnsi="宋体"/>
        </w:rPr>
        <w:t>总价子目的计量（适用于采用按实际完成工程量计量）</w:t>
      </w:r>
    </w:p>
    <w:p w14:paraId="3435F43F">
      <w:pPr>
        <w:spacing w:line="360" w:lineRule="auto"/>
        <w:ind w:firstLine="420" w:firstLineChars="200"/>
        <w:rPr>
          <w:rFonts w:ascii="宋体"/>
        </w:rPr>
      </w:pPr>
      <w:r>
        <w:rPr>
          <w:rFonts w:hint="eastAsia" w:ascii="宋体" w:hAnsi="宋体"/>
        </w:rPr>
        <w:t>（</w:t>
      </w:r>
      <w:r>
        <w:rPr>
          <w:rFonts w:ascii="宋体" w:hAnsi="宋体"/>
        </w:rPr>
        <w:t>1</w:t>
      </w:r>
      <w:r>
        <w:rPr>
          <w:rFonts w:hint="eastAsia" w:ascii="宋体" w:hAnsi="宋体"/>
        </w:rPr>
        <w:t>）总价子目的计量和支付应以总价为基础，对承包人实际完成的工程量进行计量，是进行工程目标管理和控制进度款支付的依据。总价子目的价格调整方法</w:t>
      </w:r>
      <w:r>
        <w:rPr>
          <w:rFonts w:hint="eastAsia" w:ascii="黑体" w:hAnsi="黑体" w:eastAsia="黑体"/>
        </w:rPr>
        <w:t>见合同条款专用部分</w:t>
      </w:r>
      <w:r>
        <w:rPr>
          <w:rFonts w:hint="eastAsia" w:ascii="宋体" w:hAnsi="宋体"/>
        </w:rPr>
        <w:t>。</w:t>
      </w:r>
    </w:p>
    <w:p w14:paraId="0DD3BCEF">
      <w:pPr>
        <w:spacing w:line="360" w:lineRule="auto"/>
        <w:ind w:firstLine="420" w:firstLineChars="200"/>
        <w:rPr>
          <w:rFonts w:ascii="宋体"/>
        </w:rPr>
      </w:pPr>
      <w:r>
        <w:rPr>
          <w:rFonts w:hint="eastAsia" w:ascii="宋体" w:hAnsi="宋体"/>
        </w:rPr>
        <w:t>（</w:t>
      </w:r>
      <w:r>
        <w:rPr>
          <w:rFonts w:ascii="宋体" w:hAnsi="宋体"/>
        </w:rPr>
        <w:t>2</w:t>
      </w:r>
      <w:r>
        <w:rPr>
          <w:rFonts w:hint="eastAsia" w:ascii="宋体" w:hAnsi="宋体"/>
        </w:rPr>
        <w:t>）承包人在合同条款专用部分第</w:t>
      </w:r>
      <w:r>
        <w:rPr>
          <w:rFonts w:ascii="宋体" w:hAnsi="宋体"/>
        </w:rPr>
        <w:t>17.1.3</w:t>
      </w:r>
      <w:r>
        <w:rPr>
          <w:rFonts w:hint="eastAsia" w:ascii="宋体" w:hAnsi="宋体"/>
        </w:rPr>
        <w:t>（</w:t>
      </w:r>
      <w:r>
        <w:rPr>
          <w:rFonts w:ascii="宋体" w:hAnsi="宋体"/>
        </w:rPr>
        <w:t>1</w:t>
      </w:r>
      <w:r>
        <w:rPr>
          <w:rFonts w:hint="eastAsia" w:ascii="宋体" w:hAnsi="宋体"/>
        </w:rPr>
        <w:t>）目约定的每月计量截止日期后，对已完成的分部分项工程和单价措施项目的子目，按照合同条款第</w:t>
      </w:r>
      <w:r>
        <w:rPr>
          <w:rFonts w:ascii="宋体" w:hAnsi="宋体"/>
        </w:rPr>
        <w:t>17.1.2</w:t>
      </w:r>
      <w:r>
        <w:rPr>
          <w:rFonts w:hint="eastAsia" w:ascii="宋体" w:hAnsi="宋体"/>
        </w:rPr>
        <w:t>项约定的计量方法进行计量，对已完成的总价措施项目的相关子目，按其总价构成、费用性质和实际发生比例进行计量，向监理人提交进度付款申请单、已完成工程量报表和有关计量资料。</w:t>
      </w:r>
    </w:p>
    <w:p w14:paraId="1FD94EC6">
      <w:pPr>
        <w:spacing w:line="360" w:lineRule="auto"/>
        <w:ind w:firstLine="420" w:firstLineChars="200"/>
        <w:rPr>
          <w:rFonts w:ascii="宋体"/>
        </w:rPr>
      </w:pPr>
      <w:r>
        <w:rPr>
          <w:rFonts w:hint="eastAsia" w:ascii="宋体" w:hAnsi="宋体"/>
        </w:rPr>
        <w:t>（</w:t>
      </w:r>
      <w:r>
        <w:rPr>
          <w:rFonts w:ascii="宋体" w:hAnsi="宋体"/>
        </w:rPr>
        <w:t>3</w:t>
      </w:r>
      <w:r>
        <w:rPr>
          <w:rFonts w:hint="eastAsia" w:ascii="宋体" w:hAnsi="宋体"/>
        </w:rPr>
        <w:t>）监理人对承包人提交的工程量报表进行复核，以确定实际完成的工程量。对数量有异议的，可要求承包人进行共同复核。承包人应协助监理人进行复核并按监理人要求提供补充计量资料。承包人未按监理人要求参加复核，监理人复核或修正的工程量视为承包人实际完成的工程量。</w:t>
      </w:r>
    </w:p>
    <w:p w14:paraId="145C2632">
      <w:pPr>
        <w:spacing w:line="360" w:lineRule="auto"/>
        <w:ind w:firstLine="420" w:firstLineChars="200"/>
        <w:rPr>
          <w:rFonts w:ascii="宋体"/>
        </w:rPr>
      </w:pPr>
      <w:r>
        <w:rPr>
          <w:rFonts w:hint="eastAsia" w:ascii="宋体" w:hAnsi="宋体"/>
        </w:rPr>
        <w:t>（</w:t>
      </w:r>
      <w:r>
        <w:rPr>
          <w:rFonts w:ascii="宋体" w:hAnsi="宋体"/>
        </w:rPr>
        <w:t>4</w:t>
      </w:r>
      <w:r>
        <w:rPr>
          <w:rFonts w:hint="eastAsia" w:ascii="宋体" w:hAnsi="宋体"/>
        </w:rPr>
        <w:t>）监理人应在收到承包人提交的工程量报表后的</w:t>
      </w:r>
      <w:r>
        <w:rPr>
          <w:rFonts w:ascii="宋体" w:hAnsi="宋体"/>
        </w:rPr>
        <w:t>7</w:t>
      </w:r>
      <w:r>
        <w:rPr>
          <w:rFonts w:hint="eastAsia" w:ascii="宋体" w:hAnsi="宋体"/>
        </w:rPr>
        <w:t>天内进行复核，监理人未在约定时间内复核的，承包人提交的工程量报表中的工程量视为承包人实际完成的工程量，据此计算工程价款。</w:t>
      </w:r>
    </w:p>
    <w:p w14:paraId="1EEDCDB4">
      <w:pPr>
        <w:spacing w:line="360" w:lineRule="auto"/>
        <w:ind w:firstLine="420" w:firstLineChars="200"/>
        <w:rPr>
          <w:rFonts w:ascii="宋体"/>
        </w:rPr>
      </w:pPr>
      <w:r>
        <w:rPr>
          <w:rFonts w:hint="eastAsia" w:ascii="宋体" w:hAnsi="宋体"/>
        </w:rPr>
        <w:t>（</w:t>
      </w:r>
      <w:r>
        <w:rPr>
          <w:rFonts w:ascii="宋体" w:hAnsi="宋体"/>
        </w:rPr>
        <w:t>5</w:t>
      </w:r>
      <w:r>
        <w:rPr>
          <w:rFonts w:hint="eastAsia" w:ascii="宋体" w:hAnsi="宋体"/>
        </w:rPr>
        <w:t>）除按照第</w:t>
      </w:r>
      <w:r>
        <w:rPr>
          <w:rFonts w:ascii="宋体" w:hAnsi="宋体"/>
        </w:rPr>
        <w:t>15</w:t>
      </w:r>
      <w:r>
        <w:rPr>
          <w:rFonts w:hint="eastAsia" w:ascii="宋体" w:hAnsi="宋体"/>
        </w:rPr>
        <w:t>条约定的变更外，在竣工结算时总价子目的工程量不应当重新计量，签约合同价所基于的工程量即是用于竣工结算的最终工程量。</w:t>
      </w:r>
    </w:p>
    <w:p w14:paraId="593D9DD9">
      <w:pPr>
        <w:keepNext/>
        <w:keepLines/>
        <w:spacing w:beforeLines="50" w:afterLines="50" w:line="360" w:lineRule="auto"/>
        <w:outlineLvl w:val="2"/>
        <w:rPr>
          <w:rFonts w:ascii="宋体" w:hAnsi="宋体"/>
          <w:sz w:val="24"/>
          <w:szCs w:val="20"/>
        </w:rPr>
      </w:pPr>
      <w:bookmarkStart w:id="1272" w:name="_Toc486580158"/>
      <w:bookmarkStart w:id="1273" w:name="_Toc489279969"/>
      <w:bookmarkStart w:id="1274" w:name="_Toc490222603"/>
      <w:bookmarkStart w:id="1275" w:name="_Toc497213834"/>
      <w:bookmarkStart w:id="1276" w:name="_Toc117597589"/>
      <w:r>
        <w:rPr>
          <w:rFonts w:ascii="宋体" w:hAnsi="宋体"/>
          <w:sz w:val="24"/>
          <w:szCs w:val="20"/>
        </w:rPr>
        <w:t xml:space="preserve">17.2  </w:t>
      </w:r>
      <w:r>
        <w:rPr>
          <w:rFonts w:hint="eastAsia" w:ascii="宋体" w:hAnsi="宋体"/>
          <w:sz w:val="24"/>
          <w:szCs w:val="20"/>
        </w:rPr>
        <w:t>预付款</w:t>
      </w:r>
      <w:bookmarkEnd w:id="1272"/>
      <w:bookmarkEnd w:id="1273"/>
      <w:bookmarkEnd w:id="1274"/>
      <w:bookmarkEnd w:id="1275"/>
      <w:bookmarkEnd w:id="1276"/>
    </w:p>
    <w:p w14:paraId="2F882F34">
      <w:pPr>
        <w:spacing w:line="360" w:lineRule="auto"/>
        <w:ind w:firstLine="420" w:firstLineChars="200"/>
        <w:rPr>
          <w:rFonts w:ascii="宋体"/>
        </w:rPr>
      </w:pPr>
      <w:r>
        <w:rPr>
          <w:rFonts w:ascii="宋体" w:hAnsi="宋体"/>
        </w:rPr>
        <w:t xml:space="preserve">17.2.1  </w:t>
      </w:r>
      <w:r>
        <w:rPr>
          <w:rFonts w:hint="eastAsia" w:ascii="宋体" w:hAnsi="宋体"/>
        </w:rPr>
        <w:t>预付款</w:t>
      </w:r>
    </w:p>
    <w:p w14:paraId="148F1A75">
      <w:pPr>
        <w:spacing w:line="360" w:lineRule="auto"/>
        <w:ind w:firstLine="420" w:firstLineChars="200"/>
        <w:rPr>
          <w:rFonts w:ascii="宋体"/>
        </w:rPr>
      </w:pPr>
      <w:r>
        <w:rPr>
          <w:rFonts w:hint="eastAsia" w:ascii="宋体" w:hAnsi="宋体"/>
        </w:rPr>
        <w:t>预付款用于承包人为合同工程施工购置材料、工程设备、施工设备、修建临时设施以及组织施工队伍进场等。预付款必须专用于合同工程。预付款的额度和预付办法以及支付时间</w:t>
      </w:r>
      <w:r>
        <w:rPr>
          <w:rFonts w:hint="eastAsia" w:ascii="黑体" w:hAnsi="黑体" w:eastAsia="黑体"/>
        </w:rPr>
        <w:t>见合同条款专用部分</w:t>
      </w:r>
      <w:r>
        <w:rPr>
          <w:rFonts w:hint="eastAsia" w:ascii="宋体" w:hAnsi="宋体"/>
        </w:rPr>
        <w:t>。</w:t>
      </w:r>
    </w:p>
    <w:p w14:paraId="671E05AD">
      <w:pPr>
        <w:spacing w:line="360" w:lineRule="auto"/>
        <w:ind w:firstLine="420" w:firstLineChars="200"/>
        <w:rPr>
          <w:rFonts w:ascii="宋体"/>
        </w:rPr>
      </w:pPr>
      <w:r>
        <w:rPr>
          <w:rFonts w:hint="eastAsia" w:ascii="宋体" w:hAnsi="宋体"/>
        </w:rPr>
        <w:t>安全文明施工费用预付款额度及方式</w:t>
      </w:r>
      <w:r>
        <w:rPr>
          <w:rFonts w:hint="eastAsia" w:ascii="黑体" w:hAnsi="黑体" w:eastAsia="黑体"/>
        </w:rPr>
        <w:t>见合同条款专用部分</w:t>
      </w:r>
      <w:r>
        <w:rPr>
          <w:rFonts w:hint="eastAsia" w:ascii="宋体" w:hAnsi="宋体"/>
        </w:rPr>
        <w:t>。</w:t>
      </w:r>
    </w:p>
    <w:p w14:paraId="1FFBBE20">
      <w:pPr>
        <w:spacing w:line="360" w:lineRule="auto"/>
        <w:ind w:firstLine="420" w:firstLineChars="200"/>
        <w:rPr>
          <w:rFonts w:ascii="宋体"/>
        </w:rPr>
      </w:pPr>
      <w:r>
        <w:rPr>
          <w:rFonts w:hint="eastAsia" w:ascii="宋体" w:hAnsi="宋体"/>
        </w:rPr>
        <w:t>发包人逾期支付合同约定的预付款，除承担第</w:t>
      </w:r>
      <w:r>
        <w:rPr>
          <w:rFonts w:ascii="宋体" w:hAnsi="宋体"/>
        </w:rPr>
        <w:t>22.2</w:t>
      </w:r>
      <w:r>
        <w:rPr>
          <w:rFonts w:hint="eastAsia" w:ascii="宋体" w:hAnsi="宋体"/>
        </w:rPr>
        <w:t>款约定的违约责任外，还应向承包人支付按第</w:t>
      </w:r>
      <w:r>
        <w:rPr>
          <w:rFonts w:ascii="宋体" w:hAnsi="宋体"/>
        </w:rPr>
        <w:t>17.3.3(2)</w:t>
      </w:r>
      <w:r>
        <w:rPr>
          <w:rFonts w:hint="eastAsia" w:ascii="宋体" w:hAnsi="宋体"/>
        </w:rPr>
        <w:t>目约定的标准和方法计算的逾期付款违约金。</w:t>
      </w:r>
    </w:p>
    <w:p w14:paraId="0082E572">
      <w:pPr>
        <w:spacing w:line="360" w:lineRule="auto"/>
        <w:ind w:firstLine="420" w:firstLineChars="200"/>
        <w:rPr>
          <w:rFonts w:ascii="宋体"/>
        </w:rPr>
      </w:pPr>
      <w:r>
        <w:rPr>
          <w:rFonts w:ascii="宋体" w:hAnsi="宋体"/>
        </w:rPr>
        <w:t xml:space="preserve">17.2.2  </w:t>
      </w:r>
      <w:r>
        <w:rPr>
          <w:rFonts w:hint="eastAsia" w:ascii="宋体" w:hAnsi="宋体"/>
        </w:rPr>
        <w:t>预付款的扣回与还清</w:t>
      </w:r>
    </w:p>
    <w:p w14:paraId="6922BDAD">
      <w:pPr>
        <w:spacing w:line="360" w:lineRule="auto"/>
        <w:ind w:firstLine="420" w:firstLineChars="200"/>
        <w:rPr>
          <w:rFonts w:ascii="宋体"/>
        </w:rPr>
      </w:pPr>
      <w:r>
        <w:rPr>
          <w:rFonts w:hint="eastAsia" w:ascii="宋体" w:hAnsi="宋体"/>
        </w:rPr>
        <w:t>预付款在进度付款中按照合同约定扣回。在颁发工程接收证书前，由于不可抗力或其他原因解除合同时，预付款尚未扣清的，尚未扣清的预付款余额应作为承包人的到期应付款。预付款扣回办法</w:t>
      </w:r>
      <w:r>
        <w:rPr>
          <w:rFonts w:hint="eastAsia" w:ascii="黑体" w:hAnsi="黑体" w:eastAsia="黑体"/>
        </w:rPr>
        <w:t>见合同条款专用部分</w:t>
      </w:r>
      <w:r>
        <w:rPr>
          <w:rFonts w:hint="eastAsia" w:ascii="宋体" w:hAnsi="宋体"/>
        </w:rPr>
        <w:t>。</w:t>
      </w:r>
    </w:p>
    <w:p w14:paraId="1630838B">
      <w:pPr>
        <w:keepNext/>
        <w:keepLines/>
        <w:spacing w:beforeLines="50" w:afterLines="50" w:line="360" w:lineRule="auto"/>
        <w:outlineLvl w:val="2"/>
        <w:rPr>
          <w:rFonts w:ascii="宋体" w:hAnsi="宋体"/>
          <w:sz w:val="24"/>
          <w:szCs w:val="20"/>
        </w:rPr>
      </w:pPr>
      <w:bookmarkStart w:id="1277" w:name="_Toc117597590"/>
      <w:bookmarkStart w:id="1278" w:name="_Toc489279970"/>
      <w:bookmarkStart w:id="1279" w:name="_Toc486580159"/>
      <w:bookmarkStart w:id="1280" w:name="_Toc497213835"/>
      <w:bookmarkStart w:id="1281" w:name="_Toc490222604"/>
      <w:r>
        <w:rPr>
          <w:rFonts w:ascii="宋体" w:hAnsi="宋体"/>
          <w:sz w:val="24"/>
          <w:szCs w:val="20"/>
        </w:rPr>
        <w:t xml:space="preserve">17.3  </w:t>
      </w:r>
      <w:r>
        <w:rPr>
          <w:rFonts w:hint="eastAsia" w:ascii="宋体" w:hAnsi="宋体"/>
          <w:sz w:val="24"/>
          <w:szCs w:val="20"/>
        </w:rPr>
        <w:t>工程进度付款</w:t>
      </w:r>
      <w:bookmarkEnd w:id="1277"/>
      <w:bookmarkEnd w:id="1278"/>
      <w:bookmarkEnd w:id="1279"/>
      <w:bookmarkEnd w:id="1280"/>
      <w:bookmarkEnd w:id="1281"/>
    </w:p>
    <w:p w14:paraId="4B488EEC">
      <w:pPr>
        <w:spacing w:line="360" w:lineRule="auto"/>
        <w:ind w:firstLine="420" w:firstLineChars="200"/>
        <w:rPr>
          <w:rFonts w:ascii="宋体"/>
        </w:rPr>
      </w:pPr>
      <w:r>
        <w:rPr>
          <w:rFonts w:ascii="宋体" w:hAnsi="宋体"/>
        </w:rPr>
        <w:t xml:space="preserve">17.3.1  </w:t>
      </w:r>
      <w:r>
        <w:rPr>
          <w:rFonts w:hint="eastAsia" w:ascii="宋体" w:hAnsi="宋体"/>
        </w:rPr>
        <w:t>付款周期</w:t>
      </w:r>
    </w:p>
    <w:p w14:paraId="44436457">
      <w:pPr>
        <w:spacing w:line="360" w:lineRule="auto"/>
        <w:ind w:firstLine="420" w:firstLineChars="200"/>
        <w:rPr>
          <w:rFonts w:ascii="宋体"/>
        </w:rPr>
      </w:pPr>
      <w:r>
        <w:rPr>
          <w:rFonts w:hint="eastAsia" w:ascii="宋体" w:hAnsi="宋体"/>
        </w:rPr>
        <w:t>付款周期同计量周期。</w:t>
      </w:r>
    </w:p>
    <w:p w14:paraId="63858FA0">
      <w:pPr>
        <w:spacing w:line="360" w:lineRule="auto"/>
        <w:ind w:firstLine="420" w:firstLineChars="200"/>
        <w:rPr>
          <w:rFonts w:ascii="宋体"/>
        </w:rPr>
      </w:pPr>
      <w:r>
        <w:rPr>
          <w:rFonts w:ascii="宋体" w:hAnsi="宋体"/>
        </w:rPr>
        <w:t xml:space="preserve">17.3.2  </w:t>
      </w:r>
      <w:r>
        <w:rPr>
          <w:rFonts w:hint="eastAsia" w:ascii="宋体" w:hAnsi="宋体"/>
        </w:rPr>
        <w:t>进度付款申请单</w:t>
      </w:r>
    </w:p>
    <w:p w14:paraId="1E6411C0">
      <w:pPr>
        <w:spacing w:line="360" w:lineRule="auto"/>
        <w:ind w:firstLine="420" w:firstLineChars="200"/>
        <w:rPr>
          <w:rFonts w:ascii="宋体"/>
        </w:rPr>
      </w:pPr>
      <w:r>
        <w:rPr>
          <w:rFonts w:hint="eastAsia" w:ascii="宋体" w:hAnsi="宋体"/>
        </w:rPr>
        <w:t>承包人应在每个付款周期末，按监理人批准的格式和合同约定的份数，向监理人提交进度付款申请单，并附相应的支持性证明文件。承包人提交进度付款申请单份数</w:t>
      </w:r>
      <w:r>
        <w:rPr>
          <w:rFonts w:hint="eastAsia" w:ascii="黑体" w:hAnsi="黑体" w:eastAsia="黑体"/>
        </w:rPr>
        <w:t>见合同条款专用部分</w:t>
      </w:r>
      <w:r>
        <w:rPr>
          <w:rFonts w:hint="eastAsia" w:ascii="宋体" w:hAnsi="宋体"/>
        </w:rPr>
        <w:t>。</w:t>
      </w:r>
    </w:p>
    <w:p w14:paraId="20CCF2DE">
      <w:pPr>
        <w:spacing w:line="360" w:lineRule="auto"/>
        <w:ind w:firstLine="420" w:firstLineChars="200"/>
        <w:rPr>
          <w:rFonts w:ascii="宋体"/>
          <w:dstrike/>
        </w:rPr>
      </w:pPr>
      <w:r>
        <w:rPr>
          <w:rFonts w:hint="eastAsia" w:ascii="宋体" w:hAnsi="宋体"/>
        </w:rPr>
        <w:t>承包人报送监理人的进度付款申请单应包括下列内容：</w:t>
      </w:r>
    </w:p>
    <w:p w14:paraId="771E5DFE">
      <w:pPr>
        <w:spacing w:line="360" w:lineRule="auto"/>
        <w:ind w:firstLine="315" w:firstLineChars="150"/>
        <w:rPr>
          <w:rFonts w:ascii="宋体"/>
        </w:rPr>
      </w:pPr>
      <w:r>
        <w:rPr>
          <w:rFonts w:hint="eastAsia" w:ascii="宋体" w:hAnsi="宋体"/>
        </w:rPr>
        <w:t>（</w:t>
      </w:r>
      <w:r>
        <w:rPr>
          <w:rFonts w:ascii="宋体" w:hAnsi="宋体"/>
        </w:rPr>
        <w:t>1</w:t>
      </w:r>
      <w:r>
        <w:rPr>
          <w:rFonts w:hint="eastAsia" w:ascii="宋体" w:hAnsi="宋体"/>
        </w:rPr>
        <w:t>）截至本次付款周期末已实施工程的价款及其中人工费占工程款比例；</w:t>
      </w:r>
    </w:p>
    <w:p w14:paraId="1CC8E858">
      <w:pPr>
        <w:spacing w:line="360" w:lineRule="auto"/>
        <w:ind w:firstLine="315" w:firstLineChars="150"/>
        <w:rPr>
          <w:rFonts w:ascii="宋体"/>
        </w:rPr>
      </w:pPr>
      <w:r>
        <w:rPr>
          <w:rFonts w:hint="eastAsia" w:ascii="宋体" w:hAnsi="宋体"/>
        </w:rPr>
        <w:t>（</w:t>
      </w:r>
      <w:r>
        <w:rPr>
          <w:rFonts w:ascii="宋体" w:hAnsi="宋体"/>
        </w:rPr>
        <w:t>2</w:t>
      </w:r>
      <w:r>
        <w:rPr>
          <w:rFonts w:hint="eastAsia" w:ascii="宋体" w:hAnsi="宋体"/>
        </w:rPr>
        <w:t>）根据第</w:t>
      </w:r>
      <w:r>
        <w:rPr>
          <w:rFonts w:ascii="宋体" w:hAnsi="宋体"/>
        </w:rPr>
        <w:t>15</w:t>
      </w:r>
      <w:r>
        <w:rPr>
          <w:rFonts w:hint="eastAsia" w:ascii="宋体" w:hAnsi="宋体"/>
        </w:rPr>
        <w:t>条应增加和扣减的变更金额；</w:t>
      </w:r>
    </w:p>
    <w:p w14:paraId="7C0E938B">
      <w:pPr>
        <w:spacing w:line="360" w:lineRule="auto"/>
        <w:ind w:firstLine="315" w:firstLineChars="150"/>
        <w:rPr>
          <w:rFonts w:ascii="宋体"/>
        </w:rPr>
      </w:pPr>
      <w:r>
        <w:rPr>
          <w:rFonts w:hint="eastAsia" w:ascii="宋体" w:hAnsi="宋体"/>
        </w:rPr>
        <w:t>（</w:t>
      </w:r>
      <w:r>
        <w:rPr>
          <w:rFonts w:ascii="宋体" w:hAnsi="宋体"/>
        </w:rPr>
        <w:t>3</w:t>
      </w:r>
      <w:r>
        <w:rPr>
          <w:rFonts w:hint="eastAsia" w:ascii="宋体" w:hAnsi="宋体"/>
        </w:rPr>
        <w:t>）根据第</w:t>
      </w:r>
      <w:r>
        <w:rPr>
          <w:rFonts w:ascii="宋体" w:hAnsi="宋体"/>
        </w:rPr>
        <w:t>23</w:t>
      </w:r>
      <w:r>
        <w:rPr>
          <w:rFonts w:hint="eastAsia" w:ascii="宋体" w:hAnsi="宋体"/>
        </w:rPr>
        <w:t>条应增加和扣减的索赔金额；</w:t>
      </w:r>
    </w:p>
    <w:p w14:paraId="59E39C3C">
      <w:pPr>
        <w:spacing w:line="360" w:lineRule="auto"/>
        <w:ind w:firstLine="315" w:firstLineChars="150"/>
        <w:rPr>
          <w:rFonts w:ascii="宋体"/>
        </w:rPr>
      </w:pPr>
      <w:r>
        <w:rPr>
          <w:rFonts w:hint="eastAsia" w:ascii="宋体" w:hAnsi="宋体"/>
        </w:rPr>
        <w:t>（</w:t>
      </w:r>
      <w:r>
        <w:rPr>
          <w:rFonts w:ascii="宋体" w:hAnsi="宋体"/>
        </w:rPr>
        <w:t>4</w:t>
      </w:r>
      <w:r>
        <w:rPr>
          <w:rFonts w:hint="eastAsia" w:ascii="宋体" w:hAnsi="宋体"/>
        </w:rPr>
        <w:t>）根据第</w:t>
      </w:r>
      <w:r>
        <w:rPr>
          <w:rFonts w:ascii="宋体" w:hAnsi="宋体"/>
        </w:rPr>
        <w:t>17.2</w:t>
      </w:r>
      <w:r>
        <w:rPr>
          <w:rFonts w:hint="eastAsia" w:ascii="宋体" w:hAnsi="宋体"/>
        </w:rPr>
        <w:t>款约定应支付的预付款和扣减的返还预付款；</w:t>
      </w:r>
    </w:p>
    <w:p w14:paraId="68B5161C">
      <w:pPr>
        <w:spacing w:line="360" w:lineRule="auto"/>
        <w:ind w:firstLine="315" w:firstLineChars="150"/>
        <w:rPr>
          <w:rFonts w:ascii="宋体"/>
        </w:rPr>
      </w:pPr>
      <w:r>
        <w:rPr>
          <w:rFonts w:hint="eastAsia" w:ascii="宋体" w:hAnsi="宋体"/>
        </w:rPr>
        <w:t>（</w:t>
      </w:r>
      <w:r>
        <w:rPr>
          <w:rFonts w:ascii="宋体" w:hAnsi="宋体"/>
        </w:rPr>
        <w:t>5</w:t>
      </w:r>
      <w:r>
        <w:rPr>
          <w:rFonts w:hint="eastAsia" w:ascii="宋体" w:hAnsi="宋体"/>
        </w:rPr>
        <w:t>）根据第</w:t>
      </w:r>
      <w:r>
        <w:rPr>
          <w:rFonts w:ascii="宋体" w:hAnsi="宋体"/>
        </w:rPr>
        <w:t>17.4.1</w:t>
      </w:r>
      <w:r>
        <w:rPr>
          <w:rFonts w:hint="eastAsia" w:ascii="宋体" w:hAnsi="宋体"/>
        </w:rPr>
        <w:t>项约定应扣减的质量保证金；</w:t>
      </w:r>
    </w:p>
    <w:p w14:paraId="1A15E50F">
      <w:pPr>
        <w:spacing w:line="360" w:lineRule="auto"/>
        <w:ind w:firstLine="315" w:firstLineChars="150"/>
        <w:rPr>
          <w:rFonts w:ascii="宋体" w:hAnsi="宋体"/>
        </w:rPr>
      </w:pPr>
      <w:r>
        <w:rPr>
          <w:rFonts w:hint="eastAsia" w:ascii="宋体" w:hAnsi="宋体"/>
        </w:rPr>
        <w:t>（</w:t>
      </w:r>
      <w:r>
        <w:rPr>
          <w:rFonts w:ascii="宋体" w:hAnsi="宋体"/>
        </w:rPr>
        <w:t>6</w:t>
      </w:r>
      <w:r>
        <w:rPr>
          <w:rFonts w:hint="eastAsia" w:ascii="宋体" w:hAnsi="宋体"/>
        </w:rPr>
        <w:t>）根据合同应增加和（或）扣减的其他内容金额</w:t>
      </w:r>
      <w:r>
        <w:rPr>
          <w:rFonts w:hint="eastAsia" w:ascii="黑体" w:hAnsi="黑体" w:eastAsia="黑体"/>
        </w:rPr>
        <w:t>见合同条款专用部分</w:t>
      </w:r>
      <w:r>
        <w:rPr>
          <w:rFonts w:hint="eastAsia" w:ascii="宋体" w:hAnsi="宋体"/>
        </w:rPr>
        <w:t>。</w:t>
      </w:r>
    </w:p>
    <w:p w14:paraId="06CA5A81">
      <w:pPr>
        <w:spacing w:line="360" w:lineRule="auto"/>
        <w:ind w:firstLine="315" w:firstLineChars="150"/>
        <w:rPr>
          <w:rFonts w:ascii="宋体" w:hAnsi="宋体"/>
        </w:rPr>
      </w:pPr>
      <w:r>
        <w:rPr>
          <w:rFonts w:hint="eastAsia" w:ascii="宋体" w:hAnsi="宋体"/>
        </w:rPr>
        <w:t>（</w:t>
      </w:r>
      <w:r>
        <w:rPr>
          <w:rFonts w:ascii="宋体" w:hAnsi="宋体"/>
        </w:rPr>
        <w:t>7</w:t>
      </w:r>
      <w:r>
        <w:rPr>
          <w:rFonts w:hint="eastAsia" w:ascii="宋体" w:hAnsi="宋体"/>
        </w:rPr>
        <w:t>）本次应付进度款</w:t>
      </w:r>
      <w:r>
        <w:rPr>
          <w:rFonts w:hint="eastAsia" w:ascii="黑体" w:hAnsi="黑体" w:eastAsia="黑体"/>
        </w:rPr>
        <w:t>见合同条款专用部分</w:t>
      </w:r>
      <w:r>
        <w:rPr>
          <w:rFonts w:hint="eastAsia" w:ascii="宋体" w:hAnsi="宋体"/>
        </w:rPr>
        <w:t>。</w:t>
      </w:r>
    </w:p>
    <w:p w14:paraId="2EF66018">
      <w:pPr>
        <w:spacing w:line="360" w:lineRule="auto"/>
        <w:ind w:firstLine="315" w:firstLineChars="150"/>
        <w:rPr>
          <w:rFonts w:ascii="宋体" w:hAnsi="宋体"/>
        </w:rPr>
      </w:pPr>
      <w:r>
        <w:rPr>
          <w:rFonts w:hint="eastAsia" w:ascii="宋体" w:hAnsi="宋体"/>
        </w:rPr>
        <w:t>政府机关、事业单位、国有企业建设工程进度款支付应不低于已完成工程价款的</w:t>
      </w:r>
      <w:r>
        <w:rPr>
          <w:rFonts w:ascii="宋体" w:hAnsi="宋体"/>
        </w:rPr>
        <w:t>80%</w:t>
      </w:r>
      <w:r>
        <w:rPr>
          <w:rFonts w:hint="eastAsia" w:ascii="宋体" w:hAnsi="宋体"/>
        </w:rPr>
        <w:t>。</w:t>
      </w:r>
    </w:p>
    <w:p w14:paraId="19B1C0D2">
      <w:pPr>
        <w:spacing w:line="360" w:lineRule="auto"/>
        <w:ind w:firstLine="420" w:firstLineChars="200"/>
        <w:rPr>
          <w:rFonts w:ascii="宋体"/>
        </w:rPr>
      </w:pPr>
      <w:r>
        <w:rPr>
          <w:rFonts w:ascii="宋体" w:hAnsi="宋体"/>
        </w:rPr>
        <w:t xml:space="preserve">17.3.3  </w:t>
      </w:r>
      <w:r>
        <w:rPr>
          <w:rFonts w:hint="eastAsia" w:ascii="宋体" w:hAnsi="宋体"/>
        </w:rPr>
        <w:t>进度付款证书和支付时间</w:t>
      </w:r>
    </w:p>
    <w:p w14:paraId="277CE941">
      <w:pPr>
        <w:spacing w:line="360" w:lineRule="auto"/>
        <w:ind w:firstLine="420" w:firstLineChars="200"/>
        <w:rPr>
          <w:rFonts w:ascii="宋体"/>
        </w:rPr>
      </w:pPr>
      <w:r>
        <w:rPr>
          <w:rFonts w:hint="eastAsia" w:ascii="宋体" w:hAnsi="宋体"/>
        </w:rPr>
        <w:t>（</w:t>
      </w:r>
      <w:r>
        <w:rPr>
          <w:rFonts w:ascii="宋体" w:hAnsi="宋体"/>
        </w:rPr>
        <w:t>1</w:t>
      </w:r>
      <w:r>
        <w:rPr>
          <w:rFonts w:hint="eastAsia" w:ascii="宋体" w:hAnsi="宋体"/>
        </w:rPr>
        <w:t>）监理人在收到承包人进度付款申请单以及相应的支持性证明文件后的</w:t>
      </w:r>
      <w:r>
        <w:rPr>
          <w:rFonts w:ascii="宋体" w:hAnsi="宋体"/>
        </w:rPr>
        <w:t>14</w:t>
      </w:r>
      <w:r>
        <w:rPr>
          <w:rFonts w:hint="eastAsia" w:ascii="宋体" w:hAnsi="宋体"/>
        </w:rPr>
        <w:t>天内完成核查，提出发包人到期应支付给承包人的金额以及相应的支持性材料，经发包人审查同意后，由监理人向承包人出具经发包人签认的进度付款证书。监理人有权扣发承包人未能按照合同要求履行任何工作或义务的相应金额。</w:t>
      </w:r>
    </w:p>
    <w:p w14:paraId="3F455EBE">
      <w:pPr>
        <w:spacing w:line="360" w:lineRule="auto"/>
        <w:ind w:firstLine="420" w:firstLineChars="200"/>
        <w:rPr>
          <w:rFonts w:ascii="宋体"/>
        </w:rPr>
      </w:pPr>
      <w:r>
        <w:rPr>
          <w:rFonts w:hint="eastAsia" w:ascii="宋体" w:hAnsi="宋体"/>
        </w:rPr>
        <w:t>（</w:t>
      </w:r>
      <w:r>
        <w:rPr>
          <w:rFonts w:ascii="宋体" w:hAnsi="宋体"/>
        </w:rPr>
        <w:t>2</w:t>
      </w:r>
      <w:r>
        <w:rPr>
          <w:rFonts w:hint="eastAsia" w:ascii="宋体" w:hAnsi="宋体"/>
        </w:rPr>
        <w:t>）发包人应在监理人收到进度付款申请单后的</w:t>
      </w:r>
      <w:r>
        <w:rPr>
          <w:rFonts w:ascii="宋体" w:hAnsi="宋体"/>
        </w:rPr>
        <w:t>28</w:t>
      </w:r>
      <w:r>
        <w:rPr>
          <w:rFonts w:hint="eastAsia" w:ascii="宋体" w:hAnsi="宋体"/>
        </w:rPr>
        <w:t>天内，将进度应付款支付给承包人。发包人未按第</w:t>
      </w:r>
      <w:r>
        <w:rPr>
          <w:rFonts w:ascii="宋体" w:hAnsi="宋体"/>
        </w:rPr>
        <w:t>17.2.1(2)</w:t>
      </w:r>
      <w:r>
        <w:rPr>
          <w:rFonts w:hint="eastAsia" w:ascii="宋体" w:hAnsi="宋体"/>
        </w:rPr>
        <w:t>目、第</w:t>
      </w:r>
      <w:r>
        <w:rPr>
          <w:rFonts w:ascii="宋体" w:hAnsi="宋体"/>
        </w:rPr>
        <w:t>17.3.3(2)</w:t>
      </w:r>
      <w:r>
        <w:rPr>
          <w:rFonts w:hint="eastAsia" w:ascii="宋体" w:hAnsi="宋体"/>
        </w:rPr>
        <w:t>目、第</w:t>
      </w:r>
      <w:r>
        <w:rPr>
          <w:rFonts w:ascii="宋体" w:hAnsi="宋体"/>
        </w:rPr>
        <w:t>17.5.3(2)</w:t>
      </w:r>
      <w:r>
        <w:rPr>
          <w:rFonts w:hint="eastAsia" w:ascii="宋体" w:hAnsi="宋体"/>
        </w:rPr>
        <w:t>目和第</w:t>
      </w:r>
      <w:r>
        <w:rPr>
          <w:rFonts w:ascii="宋体" w:hAnsi="宋体"/>
        </w:rPr>
        <w:t>17.6.2(2)</w:t>
      </w:r>
      <w:r>
        <w:rPr>
          <w:rFonts w:hint="eastAsia" w:ascii="宋体" w:hAnsi="宋体"/>
        </w:rPr>
        <w:t>目约定的期限支付承包人依合同约定应当得到的款项，应当从应付之日起按照合同约定的计算标准和计算方法向承包人支付逾期付款违约金。承包人应当按第</w:t>
      </w:r>
      <w:r>
        <w:rPr>
          <w:rFonts w:ascii="宋体" w:hAnsi="宋体"/>
        </w:rPr>
        <w:t>23.1</w:t>
      </w:r>
      <w:r>
        <w:rPr>
          <w:rFonts w:hint="eastAsia" w:ascii="宋体" w:hAnsi="宋体"/>
        </w:rPr>
        <w:t>（</w:t>
      </w:r>
      <w:r>
        <w:rPr>
          <w:rFonts w:ascii="宋体" w:hAnsi="宋体"/>
        </w:rPr>
        <w:t>1</w:t>
      </w:r>
      <w:r>
        <w:rPr>
          <w:rFonts w:hint="eastAsia" w:ascii="宋体" w:hAnsi="宋体"/>
        </w:rPr>
        <w:t>）目的约定，在最终付款期限到期后</w:t>
      </w:r>
      <w:r>
        <w:rPr>
          <w:rFonts w:ascii="宋体" w:hAnsi="宋体"/>
        </w:rPr>
        <w:t>28</w:t>
      </w:r>
      <w:r>
        <w:rPr>
          <w:rFonts w:hint="eastAsia" w:ascii="宋体" w:hAnsi="宋体"/>
        </w:rPr>
        <w:t>天内，向监理人递交索赔意向通知书</w:t>
      </w:r>
      <w:r>
        <w:rPr>
          <w:rFonts w:ascii="宋体"/>
        </w:rPr>
        <w:t>,</w:t>
      </w:r>
      <w:r>
        <w:rPr>
          <w:rFonts w:hint="eastAsia" w:ascii="宋体" w:hAnsi="宋体"/>
        </w:rPr>
        <w:t>说明有权得到按本款约定的标准和方法计算的逾期付款违约金。承包人要求发包人支付逾期付款违约金不影响承包人要求发包人承担第</w:t>
      </w:r>
      <w:r>
        <w:rPr>
          <w:rFonts w:ascii="宋体" w:hAnsi="宋体"/>
        </w:rPr>
        <w:t>22.2</w:t>
      </w:r>
      <w:r>
        <w:rPr>
          <w:rFonts w:hint="eastAsia" w:ascii="宋体" w:hAnsi="宋体"/>
        </w:rPr>
        <w:t>款约定的其他违约责任的权利。逾期付款违约金计算标准和计算方法</w:t>
      </w:r>
      <w:r>
        <w:rPr>
          <w:rFonts w:hint="eastAsia" w:ascii="黑体" w:hAnsi="黑体" w:eastAsia="黑体"/>
        </w:rPr>
        <w:t>见合同条款专用部分</w:t>
      </w:r>
      <w:r>
        <w:rPr>
          <w:rFonts w:hint="eastAsia" w:ascii="宋体" w:hAnsi="宋体"/>
        </w:rPr>
        <w:t>。</w:t>
      </w:r>
    </w:p>
    <w:p w14:paraId="559BABB0">
      <w:pPr>
        <w:spacing w:line="360" w:lineRule="auto"/>
        <w:ind w:firstLine="420" w:firstLineChars="200"/>
        <w:rPr>
          <w:rFonts w:ascii="宋体"/>
        </w:rPr>
      </w:pPr>
      <w:r>
        <w:rPr>
          <w:rFonts w:hint="eastAsia" w:ascii="宋体" w:hAnsi="宋体"/>
        </w:rPr>
        <w:t>（</w:t>
      </w:r>
      <w:r>
        <w:rPr>
          <w:rFonts w:ascii="宋体" w:hAnsi="宋体"/>
        </w:rPr>
        <w:t>3</w:t>
      </w:r>
      <w:r>
        <w:rPr>
          <w:rFonts w:hint="eastAsia" w:ascii="宋体" w:hAnsi="宋体"/>
        </w:rPr>
        <w:t>）监理人出具进度付款证书，不应视为监理人已同意、批准或接受了承包人完成的该部分工作。</w:t>
      </w:r>
    </w:p>
    <w:p w14:paraId="12F99681">
      <w:pPr>
        <w:spacing w:line="360" w:lineRule="auto"/>
        <w:ind w:firstLine="420" w:firstLineChars="200"/>
        <w:rPr>
          <w:rFonts w:ascii="宋体"/>
        </w:rPr>
      </w:pPr>
      <w:r>
        <w:rPr>
          <w:rFonts w:hint="eastAsia" w:ascii="宋体" w:hAnsi="宋体"/>
        </w:rPr>
        <w:t>（</w:t>
      </w:r>
      <w:r>
        <w:rPr>
          <w:rFonts w:ascii="宋体" w:hAnsi="宋体"/>
        </w:rPr>
        <w:t>4</w:t>
      </w:r>
      <w:r>
        <w:rPr>
          <w:rFonts w:hint="eastAsia" w:ascii="宋体" w:hAnsi="宋体"/>
        </w:rPr>
        <w:t>）进度付款涉及政府投资资金的，按照国库集中支付等国家相关规定和合同约定办理。进度付款涉及政府性资金的支付方法</w:t>
      </w:r>
      <w:r>
        <w:rPr>
          <w:rFonts w:hint="eastAsia" w:ascii="黑体" w:hAnsi="黑体" w:eastAsia="黑体"/>
        </w:rPr>
        <w:t>见合同条款专用部分</w:t>
      </w:r>
      <w:r>
        <w:rPr>
          <w:rFonts w:hint="eastAsia" w:ascii="宋体" w:hAnsi="宋体"/>
        </w:rPr>
        <w:t>。</w:t>
      </w:r>
    </w:p>
    <w:p w14:paraId="7501E324">
      <w:pPr>
        <w:spacing w:line="360" w:lineRule="auto"/>
        <w:ind w:firstLine="420" w:firstLineChars="200"/>
        <w:rPr>
          <w:rFonts w:ascii="宋体"/>
        </w:rPr>
      </w:pPr>
      <w:r>
        <w:rPr>
          <w:rFonts w:ascii="宋体" w:hAnsi="宋体"/>
        </w:rPr>
        <w:t xml:space="preserve">17.3.4  </w:t>
      </w:r>
      <w:r>
        <w:rPr>
          <w:rFonts w:hint="eastAsia" w:ascii="宋体" w:hAnsi="宋体"/>
        </w:rPr>
        <w:t>工程进度付款的修正</w:t>
      </w:r>
    </w:p>
    <w:p w14:paraId="6496A555">
      <w:pPr>
        <w:spacing w:line="360" w:lineRule="auto"/>
        <w:ind w:firstLine="420" w:firstLineChars="200"/>
        <w:rPr>
          <w:rFonts w:ascii="宋体"/>
        </w:rPr>
      </w:pPr>
      <w:r>
        <w:rPr>
          <w:rFonts w:hint="eastAsia" w:ascii="宋体" w:hAnsi="宋体"/>
        </w:rPr>
        <w:t>在对以往历次已签发的进度付款证书进行汇总和复核中发现错、漏或重复的，监理人有权予以修正，承包人也有权提出修正申请。经双方复核同意的修正，应在本次进度付款中支付或扣除。</w:t>
      </w:r>
    </w:p>
    <w:p w14:paraId="7AFDB638">
      <w:pPr>
        <w:spacing w:line="360" w:lineRule="auto"/>
        <w:ind w:firstLine="420" w:firstLineChars="200"/>
        <w:rPr>
          <w:rFonts w:ascii="宋体"/>
        </w:rPr>
      </w:pPr>
      <w:r>
        <w:rPr>
          <w:rFonts w:ascii="宋体" w:hAnsi="宋体"/>
        </w:rPr>
        <w:t xml:space="preserve">17.3.5  </w:t>
      </w:r>
      <w:r>
        <w:rPr>
          <w:rFonts w:hint="eastAsia" w:ascii="宋体" w:hAnsi="宋体"/>
        </w:rPr>
        <w:t>临时付款证书</w:t>
      </w:r>
    </w:p>
    <w:p w14:paraId="2451A19E">
      <w:pPr>
        <w:spacing w:line="360" w:lineRule="auto"/>
        <w:ind w:firstLine="420" w:firstLineChars="200"/>
        <w:rPr>
          <w:rFonts w:ascii="宋体"/>
        </w:rPr>
      </w:pPr>
      <w:r>
        <w:rPr>
          <w:rFonts w:hint="eastAsia" w:ascii="宋体" w:hAnsi="宋体"/>
        </w:rPr>
        <w:t>在合同约定的期限内，承包人和监理人无法对当期已完工程量和按合同约定应当支付的其他款项达成一致的，监理人应当在收到承包人报送的进度付款申请单等文件后</w:t>
      </w:r>
      <w:r>
        <w:rPr>
          <w:rFonts w:ascii="宋体" w:hAnsi="宋体"/>
        </w:rPr>
        <w:t>14</w:t>
      </w:r>
      <w:r>
        <w:rPr>
          <w:rFonts w:hint="eastAsia" w:ascii="宋体" w:hAnsi="宋体"/>
        </w:rPr>
        <w:t>天内，就与承包人达成一致意见的金额编制临时付款证书，报送发包人审查。临时付款证书中应当说明承包人有异议部分的金额及其原因，经发包人签字确认后，由监理人向承包人出具临时付款证书。发包人应当在监理人收到进度付款申请单后</w:t>
      </w:r>
      <w:r>
        <w:rPr>
          <w:rFonts w:ascii="宋体" w:hAnsi="宋体"/>
        </w:rPr>
        <w:t>28</w:t>
      </w:r>
      <w:r>
        <w:rPr>
          <w:rFonts w:hint="eastAsia" w:ascii="宋体" w:hAnsi="宋体"/>
        </w:rPr>
        <w:t>天内，将临时付款证书中确定的应付金额支付给承包人。发包人和监理人均不得以任何理由延期支付工程进度付款。</w:t>
      </w:r>
    </w:p>
    <w:p w14:paraId="6BB6E0FC">
      <w:pPr>
        <w:spacing w:line="360" w:lineRule="auto"/>
        <w:ind w:firstLine="420" w:firstLineChars="200"/>
        <w:rPr>
          <w:rFonts w:ascii="宋体"/>
        </w:rPr>
      </w:pPr>
      <w:r>
        <w:rPr>
          <w:rFonts w:hint="eastAsia" w:ascii="宋体" w:hAnsi="宋体"/>
        </w:rPr>
        <w:t>对临时付款证书中承包人有异议部分的金额，承包人应当按照监理人要求，提交进一步的支持性文件，经监理人进一步审核并认可的应付金额，应当按第</w:t>
      </w:r>
      <w:r>
        <w:rPr>
          <w:rFonts w:ascii="宋体" w:hAnsi="宋体"/>
        </w:rPr>
        <w:t>17.3.4</w:t>
      </w:r>
      <w:r>
        <w:rPr>
          <w:rFonts w:hint="eastAsia" w:ascii="宋体" w:hAnsi="宋体"/>
        </w:rPr>
        <w:t>项的约定纳入到下一期进度付款证书中。经过进一步努力，承包人仍有异议的，按合同条款第</w:t>
      </w:r>
      <w:r>
        <w:rPr>
          <w:rFonts w:ascii="宋体" w:hAnsi="宋体"/>
        </w:rPr>
        <w:t>24</w:t>
      </w:r>
      <w:r>
        <w:rPr>
          <w:rFonts w:hint="eastAsia" w:ascii="宋体" w:hAnsi="宋体"/>
        </w:rPr>
        <w:t>条的约定办理。</w:t>
      </w:r>
    </w:p>
    <w:p w14:paraId="3C2287E7">
      <w:pPr>
        <w:spacing w:line="360" w:lineRule="auto"/>
        <w:ind w:firstLine="420" w:firstLineChars="200"/>
        <w:rPr>
          <w:rFonts w:ascii="宋体"/>
        </w:rPr>
      </w:pPr>
      <w:r>
        <w:rPr>
          <w:rFonts w:hint="eastAsia" w:ascii="宋体" w:hAnsi="宋体"/>
        </w:rPr>
        <w:t>有异议款项中经监理人进一步审核后认可的，或者经过合同条款第</w:t>
      </w:r>
      <w:r>
        <w:rPr>
          <w:rFonts w:ascii="宋体" w:hAnsi="宋体"/>
        </w:rPr>
        <w:t>24</w:t>
      </w:r>
      <w:r>
        <w:rPr>
          <w:rFonts w:hint="eastAsia" w:ascii="宋体" w:hAnsi="宋体"/>
        </w:rPr>
        <w:t>条约定的争议解决方式确定的应付金额，其应付之日为引发异议的进度付款证书的应付之日，承包人有权得到按第</w:t>
      </w:r>
      <w:r>
        <w:rPr>
          <w:rFonts w:ascii="宋体" w:hAnsi="宋体"/>
        </w:rPr>
        <w:t>17.3.3</w:t>
      </w:r>
      <w:r>
        <w:rPr>
          <w:rFonts w:hint="eastAsia" w:ascii="宋体" w:hAnsi="宋体"/>
        </w:rPr>
        <w:t>（</w:t>
      </w:r>
      <w:r>
        <w:rPr>
          <w:rFonts w:ascii="宋体" w:hAnsi="宋体"/>
        </w:rPr>
        <w:t>2</w:t>
      </w:r>
      <w:r>
        <w:rPr>
          <w:rFonts w:hint="eastAsia" w:ascii="宋体" w:hAnsi="宋体"/>
        </w:rPr>
        <w:t>）目约定计算的逾期付款违约金。</w:t>
      </w:r>
    </w:p>
    <w:p w14:paraId="10102E22">
      <w:pPr>
        <w:keepNext/>
        <w:keepLines/>
        <w:spacing w:beforeLines="50" w:afterLines="50" w:line="360" w:lineRule="auto"/>
        <w:outlineLvl w:val="2"/>
        <w:rPr>
          <w:rFonts w:ascii="宋体" w:hAnsi="宋体"/>
          <w:sz w:val="24"/>
          <w:szCs w:val="20"/>
        </w:rPr>
      </w:pPr>
      <w:bookmarkStart w:id="1282" w:name="_Toc490222605"/>
      <w:bookmarkStart w:id="1283" w:name="_Toc497213836"/>
      <w:bookmarkStart w:id="1284" w:name="_Toc117597591"/>
      <w:bookmarkStart w:id="1285" w:name="_Toc489279971"/>
      <w:bookmarkStart w:id="1286" w:name="_Toc486580160"/>
      <w:r>
        <w:rPr>
          <w:rFonts w:ascii="宋体" w:hAnsi="宋体"/>
          <w:sz w:val="24"/>
          <w:szCs w:val="20"/>
        </w:rPr>
        <w:t xml:space="preserve">17.4  </w:t>
      </w:r>
      <w:r>
        <w:rPr>
          <w:rFonts w:hint="eastAsia" w:ascii="宋体" w:hAnsi="宋体"/>
          <w:sz w:val="24"/>
          <w:szCs w:val="20"/>
        </w:rPr>
        <w:t>质量保证金</w:t>
      </w:r>
      <w:bookmarkEnd w:id="1282"/>
      <w:bookmarkEnd w:id="1283"/>
      <w:bookmarkEnd w:id="1284"/>
      <w:bookmarkEnd w:id="1285"/>
      <w:bookmarkEnd w:id="1286"/>
    </w:p>
    <w:p w14:paraId="54C02939">
      <w:pPr>
        <w:spacing w:line="360" w:lineRule="auto"/>
        <w:ind w:firstLine="420" w:firstLineChars="200"/>
        <w:rPr>
          <w:rFonts w:ascii="宋体"/>
        </w:rPr>
      </w:pPr>
      <w:bookmarkStart w:id="1287" w:name="_Toc489279972"/>
      <w:bookmarkStart w:id="1288" w:name="_Toc486580161"/>
      <w:bookmarkStart w:id="1289" w:name="_Toc490222606"/>
      <w:r>
        <w:rPr>
          <w:rFonts w:ascii="宋体" w:hAnsi="宋体"/>
        </w:rPr>
        <w:t xml:space="preserve">17.4.1  </w:t>
      </w:r>
      <w:r>
        <w:rPr>
          <w:rFonts w:hint="eastAsia" w:ascii="宋体" w:hAnsi="宋体"/>
        </w:rPr>
        <w:t>质量保证金处理</w:t>
      </w:r>
    </w:p>
    <w:p w14:paraId="4A7F8BCC">
      <w:pPr>
        <w:spacing w:line="360" w:lineRule="auto"/>
        <w:ind w:firstLine="420" w:firstLineChars="200"/>
        <w:rPr>
          <w:rFonts w:ascii="宋体"/>
        </w:rPr>
      </w:pPr>
      <w:r>
        <w:rPr>
          <w:rFonts w:hint="eastAsia" w:ascii="宋体" w:hAnsi="宋体"/>
        </w:rPr>
        <w:t>（</w:t>
      </w:r>
      <w:r>
        <w:rPr>
          <w:rFonts w:ascii="宋体" w:hAnsi="宋体"/>
        </w:rPr>
        <w:t>1</w:t>
      </w:r>
      <w:r>
        <w:rPr>
          <w:rFonts w:hint="eastAsia" w:ascii="宋体" w:hAnsi="宋体"/>
        </w:rPr>
        <w:t>）合同条款专用部分第</w:t>
      </w:r>
      <w:r>
        <w:rPr>
          <w:rFonts w:ascii="宋体" w:hAnsi="宋体"/>
        </w:rPr>
        <w:t>4.2.1</w:t>
      </w:r>
      <w:r>
        <w:rPr>
          <w:rFonts w:hint="eastAsia" w:ascii="宋体" w:hAnsi="宋体"/>
        </w:rPr>
        <w:t>项约定不提交履约担保，采用扣留质量保证金的，质量保证金由监理人从第一个付款周期开始按进度付款证书确认的已实施工程的价款、根据合同条款第</w:t>
      </w:r>
      <w:r>
        <w:rPr>
          <w:rFonts w:ascii="宋体" w:hAnsi="宋体"/>
        </w:rPr>
        <w:t>15</w:t>
      </w:r>
      <w:r>
        <w:rPr>
          <w:rFonts w:hint="eastAsia" w:ascii="宋体" w:hAnsi="宋体"/>
        </w:rPr>
        <w:t>条增加和扣减的变更金额、根据合同条款第</w:t>
      </w:r>
      <w:r>
        <w:rPr>
          <w:rFonts w:ascii="宋体" w:hAnsi="宋体"/>
        </w:rPr>
        <w:t>23</w:t>
      </w:r>
      <w:r>
        <w:rPr>
          <w:rFonts w:hint="eastAsia" w:ascii="宋体" w:hAnsi="宋体"/>
        </w:rPr>
        <w:t>条增加和扣减的索赔金额以及根据合同应增加和扣减的其他金额（不包括预付款的支付、返还、此前已经按合同约定支付给承包人的进度款以及已经扣留的质量保证金）的总额的约定比例扣留，直至质量保证金累计扣留金额达到竣工结算合同总价的约定比例为止；采用质量保证金保函担保形式的，工程竣工前，不得扣留质量保证金。</w:t>
      </w:r>
    </w:p>
    <w:p w14:paraId="17CD78FD">
      <w:pPr>
        <w:spacing w:line="360" w:lineRule="auto"/>
        <w:ind w:firstLine="420" w:firstLineChars="200"/>
        <w:rPr>
          <w:rFonts w:ascii="宋体"/>
        </w:rPr>
      </w:pPr>
      <w:r>
        <w:rPr>
          <w:rFonts w:hint="eastAsia" w:ascii="宋体" w:hAnsi="宋体"/>
        </w:rPr>
        <w:t>（</w:t>
      </w:r>
      <w:r>
        <w:rPr>
          <w:rFonts w:ascii="宋体" w:hAnsi="宋体"/>
        </w:rPr>
        <w:t>2</w:t>
      </w:r>
      <w:r>
        <w:rPr>
          <w:rFonts w:hint="eastAsia" w:ascii="宋体" w:hAnsi="宋体"/>
        </w:rPr>
        <w:t>）合同条款专用部分第</w:t>
      </w:r>
      <w:r>
        <w:rPr>
          <w:rFonts w:ascii="宋体" w:hAnsi="宋体"/>
        </w:rPr>
        <w:t>4.2.1</w:t>
      </w:r>
      <w:r>
        <w:rPr>
          <w:rFonts w:hint="eastAsia" w:ascii="宋体" w:hAnsi="宋体"/>
        </w:rPr>
        <w:t>项约定提交履约担保，采用扣留质量保证金的，在第</w:t>
      </w:r>
      <w:r>
        <w:rPr>
          <w:rFonts w:ascii="宋体" w:hAnsi="宋体"/>
        </w:rPr>
        <w:t>17.5</w:t>
      </w:r>
      <w:r>
        <w:rPr>
          <w:rFonts w:hint="eastAsia" w:ascii="宋体" w:hAnsi="宋体"/>
        </w:rPr>
        <w:t>款竣工结算中，应当按照竣工结算合同总价约定的比例扣留质量保证金；采用质量保证金保函担保形式的，工程竣工前，不得扣留质量保证金。</w:t>
      </w:r>
    </w:p>
    <w:p w14:paraId="417522D0">
      <w:pPr>
        <w:spacing w:line="360" w:lineRule="auto"/>
        <w:ind w:firstLine="420" w:firstLineChars="200"/>
        <w:rPr>
          <w:rFonts w:ascii="宋体"/>
        </w:rPr>
      </w:pPr>
      <w:r>
        <w:rPr>
          <w:rFonts w:hint="eastAsia" w:ascii="宋体" w:hAnsi="宋体"/>
        </w:rPr>
        <w:t>（</w:t>
      </w:r>
      <w:r>
        <w:rPr>
          <w:rFonts w:ascii="宋体" w:hAnsi="宋体"/>
        </w:rPr>
        <w:t>3</w:t>
      </w:r>
      <w:r>
        <w:rPr>
          <w:rFonts w:hint="eastAsia" w:ascii="宋体" w:hAnsi="宋体"/>
        </w:rPr>
        <w:t>）质量保证金的形式与约定比例</w:t>
      </w:r>
      <w:r>
        <w:rPr>
          <w:rFonts w:hint="eastAsia" w:ascii="黑体" w:hAnsi="黑体" w:eastAsia="黑体"/>
        </w:rPr>
        <w:t>见合同条款专用部分。</w:t>
      </w:r>
    </w:p>
    <w:p w14:paraId="78C09D32">
      <w:pPr>
        <w:spacing w:line="360" w:lineRule="auto"/>
        <w:ind w:firstLine="420" w:firstLineChars="200"/>
        <w:rPr>
          <w:rFonts w:ascii="宋体"/>
        </w:rPr>
      </w:pPr>
      <w:r>
        <w:rPr>
          <w:rFonts w:ascii="宋体" w:hAnsi="宋体"/>
        </w:rPr>
        <w:t xml:space="preserve">17.4.2  </w:t>
      </w:r>
      <w:r>
        <w:rPr>
          <w:rFonts w:hint="eastAsia" w:ascii="宋体" w:hAnsi="宋体"/>
        </w:rPr>
        <w:t>在第</w:t>
      </w:r>
      <w:r>
        <w:rPr>
          <w:rFonts w:ascii="宋体" w:hAnsi="宋体"/>
        </w:rPr>
        <w:t>1.1.4.5</w:t>
      </w:r>
      <w:r>
        <w:rPr>
          <w:rFonts w:hint="eastAsia" w:ascii="宋体" w:hAnsi="宋体"/>
        </w:rPr>
        <w:t>目约定的缺陷责任期满时，承包人向发包人申请到期应返还承包人剩余的质量保证金金额或退还保函担保，发包人应在</w:t>
      </w:r>
      <w:r>
        <w:rPr>
          <w:rFonts w:ascii="宋体" w:hAnsi="宋体"/>
        </w:rPr>
        <w:t>14</w:t>
      </w:r>
      <w:r>
        <w:rPr>
          <w:rFonts w:hint="eastAsia" w:ascii="宋体" w:hAnsi="宋体"/>
        </w:rPr>
        <w:t>天内会同承包人按照合同约定的内容核实承包人是否完成缺陷责任。如无异议，发包人应当在核实后将剩余保证金返还承包人或将其保函退还承包人。</w:t>
      </w:r>
    </w:p>
    <w:p w14:paraId="16DDCDDA">
      <w:pPr>
        <w:spacing w:line="360" w:lineRule="auto"/>
        <w:ind w:firstLine="420" w:firstLineChars="200"/>
        <w:rPr>
          <w:rFonts w:ascii="宋体"/>
        </w:rPr>
      </w:pPr>
      <w:r>
        <w:rPr>
          <w:rFonts w:ascii="宋体" w:hAnsi="宋体"/>
        </w:rPr>
        <w:t xml:space="preserve">17.4.3  </w:t>
      </w:r>
      <w:r>
        <w:rPr>
          <w:rFonts w:hint="eastAsia" w:ascii="宋体" w:hAnsi="宋体"/>
        </w:rPr>
        <w:t>在第</w:t>
      </w:r>
      <w:r>
        <w:rPr>
          <w:rFonts w:ascii="宋体" w:hAnsi="宋体"/>
        </w:rPr>
        <w:t>1.1.4.5</w:t>
      </w:r>
      <w:r>
        <w:rPr>
          <w:rFonts w:hint="eastAsia" w:ascii="宋体" w:hAnsi="宋体"/>
        </w:rPr>
        <w:t>目约定的缺陷责任期满时，承包人没有完成缺陷责任的，发包人有权扣留与未履行责任剩余工作所需金额相应的质量保证金余额或依据其保函担保约定追究责任，并有权根据第</w:t>
      </w:r>
      <w:r>
        <w:rPr>
          <w:rFonts w:ascii="宋体" w:hAnsi="宋体"/>
        </w:rPr>
        <w:t>19.3</w:t>
      </w:r>
      <w:r>
        <w:rPr>
          <w:rFonts w:hint="eastAsia" w:ascii="宋体" w:hAnsi="宋体"/>
        </w:rPr>
        <w:t>款约定要求延长缺陷责任期，直至完成剩余工作为止。</w:t>
      </w:r>
    </w:p>
    <w:p w14:paraId="0E4F9B9E">
      <w:pPr>
        <w:keepNext/>
        <w:keepLines/>
        <w:spacing w:beforeLines="50" w:afterLines="50" w:line="360" w:lineRule="auto"/>
        <w:outlineLvl w:val="2"/>
        <w:rPr>
          <w:rFonts w:ascii="宋体" w:hAnsi="宋体"/>
          <w:sz w:val="24"/>
          <w:szCs w:val="20"/>
        </w:rPr>
      </w:pPr>
      <w:bookmarkStart w:id="1290" w:name="_Toc497213837"/>
      <w:bookmarkStart w:id="1291" w:name="_Toc117597592"/>
      <w:r>
        <w:rPr>
          <w:rFonts w:ascii="宋体" w:hAnsi="宋体"/>
          <w:sz w:val="24"/>
          <w:szCs w:val="20"/>
        </w:rPr>
        <w:t xml:space="preserve">17.5  </w:t>
      </w:r>
      <w:r>
        <w:rPr>
          <w:rFonts w:hint="eastAsia" w:ascii="宋体" w:hAnsi="宋体"/>
          <w:sz w:val="24"/>
          <w:szCs w:val="20"/>
        </w:rPr>
        <w:t>竣工结算</w:t>
      </w:r>
      <w:bookmarkEnd w:id="1287"/>
      <w:bookmarkEnd w:id="1288"/>
      <w:bookmarkEnd w:id="1289"/>
      <w:bookmarkEnd w:id="1290"/>
      <w:bookmarkEnd w:id="1291"/>
    </w:p>
    <w:p w14:paraId="4020FA11">
      <w:pPr>
        <w:spacing w:line="360" w:lineRule="auto"/>
        <w:ind w:firstLine="420" w:firstLineChars="200"/>
        <w:rPr>
          <w:rFonts w:ascii="宋体" w:hAnsi="宋体"/>
        </w:rPr>
      </w:pPr>
      <w:r>
        <w:rPr>
          <w:rFonts w:ascii="宋体" w:hAnsi="宋体"/>
        </w:rPr>
        <w:t xml:space="preserve">17.5.1  </w:t>
      </w:r>
      <w:r>
        <w:rPr>
          <w:rFonts w:hint="eastAsia" w:ascii="宋体" w:hAnsi="宋体"/>
        </w:rPr>
        <w:t>过程结算</w:t>
      </w:r>
    </w:p>
    <w:p w14:paraId="22CFBA86">
      <w:pPr>
        <w:spacing w:line="360" w:lineRule="auto"/>
        <w:ind w:firstLine="420" w:firstLineChars="200"/>
        <w:rPr>
          <w:rFonts w:ascii="宋体"/>
        </w:rPr>
      </w:pPr>
      <w:bookmarkStart w:id="1292" w:name="_Hlk111558437"/>
      <w:r>
        <w:rPr>
          <w:rFonts w:hint="eastAsia" w:ascii="宋体" w:hAnsi="宋体"/>
        </w:rPr>
        <w:t>本工程是否进行过程结算及相关要求</w:t>
      </w:r>
      <w:bookmarkEnd w:id="1292"/>
      <w:r>
        <w:rPr>
          <w:rFonts w:hint="eastAsia" w:ascii="黑体" w:hAnsi="黑体" w:eastAsia="黑体"/>
        </w:rPr>
        <w:t>见合同条款专用部分</w:t>
      </w:r>
      <w:r>
        <w:rPr>
          <w:rFonts w:hint="eastAsia" w:ascii="宋体" w:hAnsi="宋体"/>
        </w:rPr>
        <w:t>。</w:t>
      </w:r>
    </w:p>
    <w:p w14:paraId="5181952A">
      <w:pPr>
        <w:spacing w:line="360" w:lineRule="auto"/>
        <w:ind w:firstLine="420" w:firstLineChars="200"/>
        <w:rPr>
          <w:rFonts w:ascii="宋体"/>
        </w:rPr>
      </w:pPr>
      <w:r>
        <w:rPr>
          <w:rFonts w:ascii="宋体" w:hAnsi="宋体"/>
        </w:rPr>
        <w:t xml:space="preserve">17.5.2  </w:t>
      </w:r>
      <w:r>
        <w:rPr>
          <w:rFonts w:hint="eastAsia" w:ascii="宋体" w:hAnsi="宋体"/>
        </w:rPr>
        <w:t>竣工付款申请单</w:t>
      </w:r>
    </w:p>
    <w:p w14:paraId="28F31625">
      <w:pPr>
        <w:spacing w:line="360" w:lineRule="auto"/>
        <w:ind w:firstLine="420" w:firstLineChars="200"/>
        <w:rPr>
          <w:rFonts w:ascii="宋体"/>
        </w:rPr>
      </w:pPr>
      <w:r>
        <w:rPr>
          <w:rFonts w:hint="eastAsia" w:ascii="宋体" w:hAnsi="宋体"/>
        </w:rPr>
        <w:t>（</w:t>
      </w:r>
      <w:r>
        <w:rPr>
          <w:rFonts w:ascii="宋体" w:hAnsi="宋体"/>
        </w:rPr>
        <w:t>1</w:t>
      </w:r>
      <w:r>
        <w:rPr>
          <w:rFonts w:hint="eastAsia" w:ascii="宋体" w:hAnsi="宋体"/>
        </w:rPr>
        <w:t>）工程接收证书颁发后，承包人应按合同约定的份数和期限向监理人提交竣工付款申请单，并提供相关证明材料。承包人提交竣工付款申请单份数和期限</w:t>
      </w:r>
      <w:r>
        <w:rPr>
          <w:rFonts w:hint="eastAsia" w:ascii="黑体" w:hAnsi="黑体" w:eastAsia="黑体"/>
        </w:rPr>
        <w:t>见合同条款专用部分</w:t>
      </w:r>
      <w:r>
        <w:rPr>
          <w:rFonts w:hint="eastAsia" w:ascii="宋体" w:hAnsi="宋体"/>
        </w:rPr>
        <w:t>。</w:t>
      </w:r>
    </w:p>
    <w:p w14:paraId="47568ED9">
      <w:pPr>
        <w:spacing w:line="360" w:lineRule="auto"/>
        <w:ind w:firstLine="420" w:firstLineChars="200"/>
        <w:rPr>
          <w:rFonts w:ascii="宋体"/>
        </w:rPr>
      </w:pPr>
      <w:r>
        <w:rPr>
          <w:rFonts w:hint="eastAsia" w:ascii="宋体" w:hAnsi="宋体"/>
        </w:rPr>
        <w:t>（</w:t>
      </w:r>
      <w:r>
        <w:rPr>
          <w:rFonts w:ascii="宋体" w:hAnsi="宋体"/>
        </w:rPr>
        <w:t>2</w:t>
      </w:r>
      <w:r>
        <w:rPr>
          <w:rFonts w:hint="eastAsia" w:ascii="宋体" w:hAnsi="宋体"/>
        </w:rPr>
        <w:t>）竣工付款申请单应包括下列内容：竣工结算合同总价、发包人已支付承包人的工程价款、应扣留的质量保证金、应支付的竣工付款金额和应支付或扣减的其他内容金额。竣工付款申请单的其他内容</w:t>
      </w:r>
      <w:r>
        <w:rPr>
          <w:rFonts w:hint="eastAsia" w:ascii="黑体" w:hAnsi="黑体" w:eastAsia="黑体"/>
        </w:rPr>
        <w:t>见合同条款专用部分</w:t>
      </w:r>
      <w:r>
        <w:rPr>
          <w:rFonts w:hint="eastAsia" w:ascii="宋体" w:hAnsi="宋体"/>
        </w:rPr>
        <w:t>。</w:t>
      </w:r>
    </w:p>
    <w:p w14:paraId="640759B8">
      <w:pPr>
        <w:spacing w:line="360" w:lineRule="auto"/>
        <w:ind w:firstLine="420" w:firstLineChars="200"/>
        <w:rPr>
          <w:rFonts w:ascii="宋体"/>
        </w:rPr>
      </w:pPr>
      <w:r>
        <w:rPr>
          <w:rFonts w:hint="eastAsia" w:ascii="宋体" w:hAnsi="宋体"/>
        </w:rPr>
        <w:t>（</w:t>
      </w:r>
      <w:r>
        <w:rPr>
          <w:rFonts w:ascii="宋体" w:hAnsi="宋体"/>
        </w:rPr>
        <w:t>3</w:t>
      </w:r>
      <w:r>
        <w:rPr>
          <w:rFonts w:hint="eastAsia" w:ascii="宋体" w:hAnsi="宋体"/>
        </w:rPr>
        <w:t>）监理人对竣工付款申请单有异议的，有权要求承包人进行修正和提供补充资料。经监理人和承包人协商后，由承包人向监理人提交修正后的竣工付款申请单。</w:t>
      </w:r>
    </w:p>
    <w:p w14:paraId="3219AB87">
      <w:pPr>
        <w:spacing w:line="360" w:lineRule="auto"/>
        <w:ind w:firstLine="420" w:firstLineChars="200"/>
        <w:rPr>
          <w:rFonts w:ascii="宋体"/>
        </w:rPr>
      </w:pPr>
      <w:r>
        <w:rPr>
          <w:rFonts w:hint="eastAsia" w:ascii="宋体" w:hAnsi="宋体"/>
        </w:rPr>
        <w:t>（</w:t>
      </w:r>
      <w:r>
        <w:rPr>
          <w:rFonts w:ascii="宋体" w:hAnsi="宋体"/>
        </w:rPr>
        <w:t>4</w:t>
      </w:r>
      <w:r>
        <w:rPr>
          <w:rFonts w:hint="eastAsia" w:ascii="宋体" w:hAnsi="宋体"/>
        </w:rPr>
        <w:t>）承包人未按本项约定的期限和内容提交竣工付款申请单或者未按第</w:t>
      </w:r>
      <w:r>
        <w:rPr>
          <w:rFonts w:ascii="宋体" w:hAnsi="宋体"/>
        </w:rPr>
        <w:t>17.5.2</w:t>
      </w:r>
      <w:r>
        <w:rPr>
          <w:rFonts w:hint="eastAsia" w:ascii="宋体" w:hAnsi="宋体"/>
        </w:rPr>
        <w:t>（</w:t>
      </w:r>
      <w:r>
        <w:rPr>
          <w:rFonts w:ascii="宋体" w:hAnsi="宋体"/>
        </w:rPr>
        <w:t>3)</w:t>
      </w:r>
      <w:r>
        <w:rPr>
          <w:rFonts w:hint="eastAsia" w:ascii="宋体" w:hAnsi="宋体"/>
        </w:rPr>
        <w:t>目约定提交修正后的竣工付款申请单，经监理人催促后</w:t>
      </w:r>
      <w:r>
        <w:rPr>
          <w:rFonts w:ascii="宋体" w:hAnsi="宋体"/>
        </w:rPr>
        <w:t>14</w:t>
      </w:r>
      <w:r>
        <w:rPr>
          <w:rFonts w:hint="eastAsia" w:ascii="宋体" w:hAnsi="宋体"/>
        </w:rPr>
        <w:t>天内仍未提交或者没有明确答复的，监理人和发包人有权根据已有资料进行审查，审查确定的竣工结算合同总价和竣工付款金额视同是经承包人认可的工程竣工结算合同总价和竣工付款金额。</w:t>
      </w:r>
    </w:p>
    <w:p w14:paraId="74D0FAFE">
      <w:pPr>
        <w:spacing w:line="360" w:lineRule="auto"/>
        <w:ind w:firstLine="420" w:firstLineChars="200"/>
        <w:rPr>
          <w:rFonts w:ascii="宋体"/>
        </w:rPr>
      </w:pPr>
      <w:r>
        <w:rPr>
          <w:rFonts w:ascii="宋体" w:hAnsi="宋体"/>
        </w:rPr>
        <w:t xml:space="preserve">17.5.3  </w:t>
      </w:r>
      <w:r>
        <w:rPr>
          <w:rFonts w:hint="eastAsia" w:ascii="宋体" w:hAnsi="宋体"/>
        </w:rPr>
        <w:t>竣工付款证书及支付时间</w:t>
      </w:r>
    </w:p>
    <w:p w14:paraId="51DAF0BF">
      <w:pPr>
        <w:spacing w:line="360" w:lineRule="auto"/>
        <w:ind w:firstLine="420" w:firstLineChars="200"/>
        <w:rPr>
          <w:rFonts w:ascii="宋体"/>
        </w:rPr>
      </w:pPr>
      <w:r>
        <w:rPr>
          <w:rFonts w:hint="eastAsia" w:ascii="宋体" w:hAnsi="宋体"/>
        </w:rPr>
        <w:t>（</w:t>
      </w:r>
      <w:r>
        <w:rPr>
          <w:rFonts w:ascii="宋体" w:hAnsi="宋体"/>
        </w:rPr>
        <w:t>1</w:t>
      </w:r>
      <w:r>
        <w:rPr>
          <w:rFonts w:hint="eastAsia" w:ascii="宋体" w:hAnsi="宋体"/>
        </w:rPr>
        <w:t>）监理人在收到承包人提交的竣工付款申请单后的</w:t>
      </w:r>
      <w:r>
        <w:rPr>
          <w:rFonts w:ascii="宋体" w:hAnsi="宋体"/>
        </w:rPr>
        <w:t>14</w:t>
      </w:r>
      <w:r>
        <w:rPr>
          <w:rFonts w:hint="eastAsia" w:ascii="宋体" w:hAnsi="宋体"/>
        </w:rPr>
        <w:t>天内完成审核，并提出发包人到期应支付给承包人的价款等审核意见，报送发包人审核。发包人应在收到后</w:t>
      </w:r>
      <w:r>
        <w:rPr>
          <w:rFonts w:ascii="宋体" w:hAnsi="宋体"/>
        </w:rPr>
        <w:t>14</w:t>
      </w:r>
      <w:r>
        <w:rPr>
          <w:rFonts w:hint="eastAsia" w:ascii="宋体" w:hAnsi="宋体"/>
        </w:rPr>
        <w:t>天内审核完毕，由监理人向承包人出具经发包人签字确认的竣工付款证书。监理人未在约定时间内提出具体意见的，视为承包人提交的竣工付款申请单已经监理人核查同意；发包人未在约定时间内提出具体意见的，监理人提出发包人到期应支付给承包人的价款视为已经发包人同意。</w:t>
      </w:r>
    </w:p>
    <w:p w14:paraId="30CAF8A4">
      <w:pPr>
        <w:spacing w:line="360" w:lineRule="auto"/>
        <w:ind w:firstLine="420" w:firstLineChars="200"/>
        <w:rPr>
          <w:rFonts w:ascii="宋体" w:hAnsi="宋体"/>
        </w:rPr>
      </w:pPr>
      <w:r>
        <w:rPr>
          <w:rFonts w:hint="eastAsia" w:ascii="宋体" w:hAnsi="宋体"/>
        </w:rPr>
        <w:t>（</w:t>
      </w:r>
      <w:r>
        <w:rPr>
          <w:rFonts w:ascii="宋体" w:hAnsi="宋体"/>
        </w:rPr>
        <w:t>2</w:t>
      </w:r>
      <w:r>
        <w:rPr>
          <w:rFonts w:hint="eastAsia" w:ascii="宋体" w:hAnsi="宋体"/>
        </w:rPr>
        <w:t>）发包人应在监理人出具竣工付款证书后的</w:t>
      </w:r>
      <w:r>
        <w:rPr>
          <w:rFonts w:ascii="宋体" w:hAnsi="宋体"/>
        </w:rPr>
        <w:t>14</w:t>
      </w:r>
      <w:r>
        <w:rPr>
          <w:rFonts w:hint="eastAsia" w:ascii="宋体" w:hAnsi="宋体"/>
        </w:rPr>
        <w:t>天内，将应支付款支付给承包人。发包人不按期支付的，按第</w:t>
      </w:r>
      <w:r>
        <w:rPr>
          <w:rFonts w:ascii="宋体" w:hAnsi="宋体"/>
        </w:rPr>
        <w:t>17.3.3</w:t>
      </w:r>
      <w:r>
        <w:rPr>
          <w:rFonts w:hint="eastAsia" w:ascii="宋体" w:hAnsi="宋体"/>
        </w:rPr>
        <w:t>（</w:t>
      </w:r>
      <w:r>
        <w:rPr>
          <w:rFonts w:ascii="宋体" w:hAnsi="宋体"/>
        </w:rPr>
        <w:t>2</w:t>
      </w:r>
      <w:r>
        <w:rPr>
          <w:rFonts w:hint="eastAsia" w:ascii="宋体" w:hAnsi="宋体"/>
        </w:rPr>
        <w:t>）目的约定，将逾期付款违约金支付给承包人。</w:t>
      </w:r>
    </w:p>
    <w:p w14:paraId="7B51521D">
      <w:pPr>
        <w:spacing w:line="360" w:lineRule="auto"/>
        <w:ind w:firstLine="420" w:firstLineChars="200"/>
        <w:rPr>
          <w:rFonts w:ascii="宋体" w:hAnsi="宋体"/>
        </w:rPr>
      </w:pPr>
      <w:r>
        <w:rPr>
          <w:rFonts w:hint="eastAsia" w:ascii="宋体" w:hAnsi="宋体"/>
        </w:rPr>
        <w:t>（</w:t>
      </w:r>
      <w:r>
        <w:rPr>
          <w:rFonts w:ascii="宋体" w:hAnsi="宋体"/>
        </w:rPr>
        <w:t>3</w:t>
      </w:r>
      <w:r>
        <w:rPr>
          <w:rFonts w:hint="eastAsia" w:ascii="宋体" w:hAnsi="宋体"/>
        </w:rPr>
        <w:t>）如竣工付款证书中显示进度款支付超出实际已完成工程价款的情况，承包人应在监理人出具竣工付款证书后</w:t>
      </w:r>
      <w:r>
        <w:rPr>
          <w:rFonts w:ascii="宋体" w:hAnsi="宋体"/>
        </w:rPr>
        <w:t>30日内向发包</w:t>
      </w:r>
      <w:r>
        <w:rPr>
          <w:rFonts w:hint="eastAsia" w:ascii="宋体" w:hAnsi="宋体"/>
        </w:rPr>
        <w:t>人返还多收到的工程进度款。</w:t>
      </w:r>
    </w:p>
    <w:p w14:paraId="3B761D10">
      <w:pPr>
        <w:spacing w:line="360" w:lineRule="auto"/>
        <w:ind w:firstLine="420" w:firstLineChars="200"/>
        <w:rPr>
          <w:rFonts w:ascii="宋体"/>
        </w:rPr>
      </w:pPr>
      <w:r>
        <w:rPr>
          <w:rFonts w:hint="eastAsia" w:ascii="宋体" w:hAnsi="宋体"/>
        </w:rPr>
        <w:t>（</w:t>
      </w:r>
      <w:r>
        <w:rPr>
          <w:rFonts w:ascii="宋体" w:hAnsi="宋体"/>
        </w:rPr>
        <w:t>4</w:t>
      </w:r>
      <w:r>
        <w:rPr>
          <w:rFonts w:hint="eastAsia" w:ascii="宋体" w:hAnsi="宋体"/>
        </w:rPr>
        <w:t>）承包人对发包人签认的竣工付款证书有异议的，发包人可出具竣工付款申请单中与承包人达成一致意见部分的临时付款证书。存在争议的部分，按第</w:t>
      </w:r>
      <w:r>
        <w:rPr>
          <w:rFonts w:ascii="宋体" w:hAnsi="宋体"/>
        </w:rPr>
        <w:t>24</w:t>
      </w:r>
      <w:r>
        <w:rPr>
          <w:rFonts w:hint="eastAsia" w:ascii="宋体" w:hAnsi="宋体"/>
        </w:rPr>
        <w:t>条“争议的解决”的约定办理。</w:t>
      </w:r>
    </w:p>
    <w:p w14:paraId="065B7529">
      <w:pPr>
        <w:spacing w:line="360" w:lineRule="auto"/>
        <w:ind w:firstLine="420" w:firstLineChars="200"/>
        <w:rPr>
          <w:rFonts w:ascii="宋体"/>
        </w:rPr>
      </w:pPr>
      <w:r>
        <w:rPr>
          <w:rFonts w:hint="eastAsia" w:ascii="宋体" w:hAnsi="宋体"/>
        </w:rPr>
        <w:t>（</w:t>
      </w:r>
      <w:r>
        <w:rPr>
          <w:rFonts w:ascii="宋体" w:hAnsi="宋体"/>
        </w:rPr>
        <w:t>5</w:t>
      </w:r>
      <w:r>
        <w:rPr>
          <w:rFonts w:hint="eastAsia" w:ascii="宋体" w:hAnsi="宋体"/>
        </w:rPr>
        <w:t>）竣工付款涉及政府投资资金的，按第</w:t>
      </w:r>
      <w:r>
        <w:rPr>
          <w:rFonts w:ascii="宋体" w:hAnsi="宋体"/>
        </w:rPr>
        <w:t>17.3.3</w:t>
      </w:r>
      <w:r>
        <w:rPr>
          <w:rFonts w:hint="eastAsia" w:ascii="宋体" w:hAnsi="宋体"/>
        </w:rPr>
        <w:t>（</w:t>
      </w:r>
      <w:r>
        <w:rPr>
          <w:rFonts w:ascii="宋体" w:hAnsi="宋体"/>
        </w:rPr>
        <w:t>4</w:t>
      </w:r>
      <w:r>
        <w:rPr>
          <w:rFonts w:hint="eastAsia" w:ascii="宋体" w:hAnsi="宋体"/>
        </w:rPr>
        <w:t>）目的约定办理。</w:t>
      </w:r>
    </w:p>
    <w:p w14:paraId="2968A3E6">
      <w:pPr>
        <w:spacing w:line="360" w:lineRule="auto"/>
        <w:ind w:firstLine="420" w:firstLineChars="200"/>
        <w:rPr>
          <w:rFonts w:ascii="宋体"/>
        </w:rPr>
      </w:pPr>
      <w:r>
        <w:rPr>
          <w:rFonts w:ascii="宋体" w:hAnsi="宋体"/>
        </w:rPr>
        <w:t>17.5</w:t>
      </w:r>
      <w:r>
        <w:rPr>
          <w:rFonts w:ascii="宋体"/>
        </w:rPr>
        <w:t>.</w:t>
      </w:r>
      <w:r>
        <w:rPr>
          <w:rFonts w:ascii="宋体" w:hAnsi="宋体"/>
        </w:rPr>
        <w:t xml:space="preserve">4  </w:t>
      </w:r>
      <w:r>
        <w:rPr>
          <w:rFonts w:hint="eastAsia" w:ascii="宋体" w:hAnsi="宋体"/>
        </w:rPr>
        <w:t>除第</w:t>
      </w:r>
      <w:r>
        <w:rPr>
          <w:rFonts w:ascii="宋体" w:hAnsi="宋体"/>
        </w:rPr>
        <w:t>17.5</w:t>
      </w:r>
      <w:r>
        <w:rPr>
          <w:rFonts w:ascii="宋体"/>
        </w:rPr>
        <w:t>.</w:t>
      </w:r>
      <w:r>
        <w:rPr>
          <w:rFonts w:ascii="宋体" w:hAnsi="宋体"/>
        </w:rPr>
        <w:t>5</w:t>
      </w:r>
      <w:r>
        <w:rPr>
          <w:rFonts w:hint="eastAsia" w:ascii="宋体" w:hAnsi="宋体"/>
        </w:rPr>
        <w:t>项约定的情况外，发包人和承包人应当在监理人颁发（出具）工程接收证书后</w:t>
      </w:r>
      <w:r>
        <w:rPr>
          <w:rFonts w:ascii="宋体" w:hAnsi="宋体"/>
        </w:rPr>
        <w:t>56</w:t>
      </w:r>
      <w:r>
        <w:rPr>
          <w:rFonts w:hint="eastAsia" w:ascii="宋体" w:hAnsi="宋体"/>
        </w:rPr>
        <w:t>天内办清竣工结算和竣工付款。</w:t>
      </w:r>
    </w:p>
    <w:p w14:paraId="1417CF68">
      <w:pPr>
        <w:spacing w:line="360" w:lineRule="auto"/>
        <w:ind w:firstLine="420" w:firstLineChars="200"/>
        <w:rPr>
          <w:rFonts w:ascii="宋体"/>
        </w:rPr>
      </w:pPr>
      <w:r>
        <w:rPr>
          <w:rFonts w:ascii="宋体" w:hAnsi="宋体"/>
        </w:rPr>
        <w:t>17.5</w:t>
      </w:r>
      <w:r>
        <w:rPr>
          <w:rFonts w:ascii="宋体"/>
        </w:rPr>
        <w:t>.</w:t>
      </w:r>
      <w:r>
        <w:rPr>
          <w:rFonts w:ascii="宋体" w:hAnsi="宋体"/>
        </w:rPr>
        <w:t xml:space="preserve">5  </w:t>
      </w:r>
      <w:r>
        <w:rPr>
          <w:rFonts w:hint="eastAsia" w:ascii="宋体" w:hAnsi="宋体"/>
        </w:rPr>
        <w:t>政府投资或者以政府投资为主的建设项目纳入审计项目计划的，发包人和承包人均负有配合、接受审计机关审计的义务，竣工结算应当依据审计结论，办清竣工结算和竣工付款的时间按照相关规定执行。</w:t>
      </w:r>
    </w:p>
    <w:p w14:paraId="672A7540">
      <w:pPr>
        <w:keepNext/>
        <w:keepLines/>
        <w:spacing w:beforeLines="50" w:afterLines="50" w:line="360" w:lineRule="auto"/>
        <w:outlineLvl w:val="2"/>
        <w:rPr>
          <w:rFonts w:ascii="宋体" w:hAnsi="宋体"/>
          <w:sz w:val="24"/>
          <w:szCs w:val="20"/>
        </w:rPr>
      </w:pPr>
      <w:bookmarkStart w:id="1293" w:name="_Toc490222607"/>
      <w:bookmarkStart w:id="1294" w:name="_Toc497213838"/>
      <w:bookmarkStart w:id="1295" w:name="_Toc486580162"/>
      <w:bookmarkStart w:id="1296" w:name="_Toc117597593"/>
      <w:bookmarkStart w:id="1297" w:name="_Toc489279973"/>
      <w:r>
        <w:rPr>
          <w:rFonts w:ascii="宋体" w:hAnsi="宋体"/>
          <w:sz w:val="24"/>
          <w:szCs w:val="20"/>
        </w:rPr>
        <w:t xml:space="preserve">17.6  </w:t>
      </w:r>
      <w:r>
        <w:rPr>
          <w:rFonts w:hint="eastAsia" w:ascii="宋体" w:hAnsi="宋体"/>
          <w:sz w:val="24"/>
          <w:szCs w:val="20"/>
        </w:rPr>
        <w:t>最终结清</w:t>
      </w:r>
      <w:bookmarkEnd w:id="1293"/>
      <w:bookmarkEnd w:id="1294"/>
      <w:bookmarkEnd w:id="1295"/>
      <w:bookmarkEnd w:id="1296"/>
      <w:bookmarkEnd w:id="1297"/>
    </w:p>
    <w:p w14:paraId="32500C20">
      <w:pPr>
        <w:spacing w:line="360" w:lineRule="auto"/>
        <w:ind w:firstLine="420" w:firstLineChars="200"/>
        <w:rPr>
          <w:rFonts w:ascii="宋体"/>
        </w:rPr>
      </w:pPr>
      <w:r>
        <w:rPr>
          <w:rFonts w:ascii="宋体" w:hAnsi="宋体"/>
        </w:rPr>
        <w:t xml:space="preserve">17.6.1  </w:t>
      </w:r>
      <w:r>
        <w:rPr>
          <w:rFonts w:hint="eastAsia" w:ascii="宋体" w:hAnsi="宋体"/>
        </w:rPr>
        <w:t>最终结清申请单</w:t>
      </w:r>
    </w:p>
    <w:p w14:paraId="6161458A">
      <w:pPr>
        <w:spacing w:line="360" w:lineRule="auto"/>
        <w:ind w:firstLine="420" w:firstLineChars="200"/>
        <w:rPr>
          <w:rFonts w:ascii="宋体"/>
        </w:rPr>
      </w:pPr>
      <w:r>
        <w:rPr>
          <w:rFonts w:hint="eastAsia" w:ascii="宋体" w:hAnsi="宋体"/>
        </w:rPr>
        <w:t>（</w:t>
      </w:r>
      <w:r>
        <w:rPr>
          <w:rFonts w:ascii="宋体" w:hAnsi="宋体"/>
        </w:rPr>
        <w:t>1</w:t>
      </w:r>
      <w:r>
        <w:rPr>
          <w:rFonts w:hint="eastAsia" w:ascii="宋体" w:hAnsi="宋体"/>
        </w:rPr>
        <w:t>）缺陷责任期终止证书签发后，承包人可按合同约定的份数和期限向监理人提交最终结清申请单，并提供相关证明材料。承包人提交最终结清申请单的份数和期限</w:t>
      </w:r>
      <w:r>
        <w:rPr>
          <w:rFonts w:hint="eastAsia" w:ascii="黑体" w:hAnsi="黑体" w:eastAsia="黑体"/>
        </w:rPr>
        <w:t>见合同条款专用部分</w:t>
      </w:r>
      <w:r>
        <w:rPr>
          <w:rFonts w:hint="eastAsia" w:ascii="宋体" w:hAnsi="宋体"/>
        </w:rPr>
        <w:t>。</w:t>
      </w:r>
    </w:p>
    <w:p w14:paraId="5143B39D">
      <w:pPr>
        <w:spacing w:line="360" w:lineRule="auto"/>
        <w:ind w:firstLine="420" w:firstLineChars="200"/>
        <w:rPr>
          <w:rFonts w:ascii="宋体"/>
        </w:rPr>
      </w:pPr>
      <w:r>
        <w:rPr>
          <w:rFonts w:hint="eastAsia" w:ascii="宋体" w:hAnsi="宋体"/>
        </w:rPr>
        <w:t>发包人向承包人支付质量保证金利息的，承包人应按照约定的利息计算方法计算利息，并列入最终结清申请单中。是否支付质量保证金利息及利息计算方法</w:t>
      </w:r>
      <w:r>
        <w:rPr>
          <w:rFonts w:hint="eastAsia" w:ascii="黑体" w:hAnsi="黑体" w:eastAsia="黑体"/>
        </w:rPr>
        <w:t>见合同条款专用部分</w:t>
      </w:r>
      <w:r>
        <w:rPr>
          <w:rFonts w:hint="eastAsia" w:ascii="宋体" w:hAnsi="宋体"/>
        </w:rPr>
        <w:t>。</w:t>
      </w:r>
    </w:p>
    <w:p w14:paraId="142A374E">
      <w:pPr>
        <w:spacing w:line="360" w:lineRule="auto"/>
        <w:ind w:firstLine="420" w:firstLineChars="200"/>
        <w:rPr>
          <w:rFonts w:ascii="宋体"/>
        </w:rPr>
      </w:pPr>
      <w:r>
        <w:rPr>
          <w:rFonts w:hint="eastAsia" w:ascii="宋体" w:hAnsi="宋体"/>
        </w:rPr>
        <w:t>（</w:t>
      </w:r>
      <w:r>
        <w:rPr>
          <w:rFonts w:ascii="宋体" w:hAnsi="宋体"/>
        </w:rPr>
        <w:t>2</w:t>
      </w:r>
      <w:r>
        <w:rPr>
          <w:rFonts w:hint="eastAsia" w:ascii="宋体" w:hAnsi="宋体"/>
        </w:rPr>
        <w:t>）发包人对最终结清申请单内容有异议的，有权要求承包人进行修正和提供补充资料，由承包人向监理人提交修正后的最终结清申请单。</w:t>
      </w:r>
    </w:p>
    <w:p w14:paraId="4F737799">
      <w:pPr>
        <w:spacing w:line="360" w:lineRule="auto"/>
        <w:ind w:firstLine="420" w:firstLineChars="200"/>
        <w:rPr>
          <w:rFonts w:ascii="宋体"/>
        </w:rPr>
      </w:pPr>
      <w:r>
        <w:rPr>
          <w:rFonts w:ascii="宋体" w:hAnsi="宋体"/>
        </w:rPr>
        <w:t xml:space="preserve">17.6.2  </w:t>
      </w:r>
      <w:r>
        <w:rPr>
          <w:rFonts w:hint="eastAsia" w:ascii="宋体" w:hAnsi="宋体"/>
        </w:rPr>
        <w:t>最终结清证书和支付时间</w:t>
      </w:r>
    </w:p>
    <w:p w14:paraId="11F5C376">
      <w:pPr>
        <w:spacing w:line="360" w:lineRule="auto"/>
        <w:ind w:firstLine="420" w:firstLineChars="200"/>
        <w:rPr>
          <w:rFonts w:ascii="宋体"/>
        </w:rPr>
      </w:pPr>
      <w:r>
        <w:rPr>
          <w:rFonts w:hint="eastAsia" w:ascii="宋体" w:hAnsi="宋体"/>
        </w:rPr>
        <w:t>（</w:t>
      </w:r>
      <w:r>
        <w:rPr>
          <w:rFonts w:ascii="宋体" w:hAnsi="宋体"/>
        </w:rPr>
        <w:t>1</w:t>
      </w:r>
      <w:r>
        <w:rPr>
          <w:rFonts w:hint="eastAsia" w:ascii="宋体" w:hAnsi="宋体"/>
        </w:rPr>
        <w:t>）监理人收到承包人提交的最终结清申请单后的</w:t>
      </w:r>
      <w:r>
        <w:rPr>
          <w:rFonts w:ascii="宋体" w:hAnsi="宋体"/>
        </w:rPr>
        <w:t>14</w:t>
      </w:r>
      <w:r>
        <w:rPr>
          <w:rFonts w:hint="eastAsia" w:ascii="宋体" w:hAnsi="宋体"/>
        </w:rPr>
        <w:t>天内，提出发包人应支付给承包人的价款等审核意见，并报送发包人审核。发包人应在收到后</w:t>
      </w:r>
      <w:r>
        <w:rPr>
          <w:rFonts w:ascii="宋体" w:hAnsi="宋体"/>
        </w:rPr>
        <w:t>14</w:t>
      </w:r>
      <w:r>
        <w:rPr>
          <w:rFonts w:hint="eastAsia" w:ascii="宋体" w:hAnsi="宋体"/>
        </w:rPr>
        <w:t>天内审核完毕，由监理人向承包人出具经发包人签认的最终结清证书。监理人未在约定时间内提出具体意见的，视为承包人提交的最终结清申请已经监理人核查同意；发包人未在约定时间内提出具体意见的，监理人提出应支付给承包人的价款视为已经发包人同意。</w:t>
      </w:r>
    </w:p>
    <w:p w14:paraId="207BE015">
      <w:pPr>
        <w:spacing w:line="360" w:lineRule="auto"/>
        <w:ind w:firstLine="420" w:firstLineChars="200"/>
        <w:rPr>
          <w:rFonts w:ascii="宋体"/>
        </w:rPr>
      </w:pPr>
      <w:r>
        <w:rPr>
          <w:rFonts w:hint="eastAsia" w:ascii="宋体" w:hAnsi="宋体"/>
        </w:rPr>
        <w:t>（</w:t>
      </w:r>
      <w:r>
        <w:rPr>
          <w:rFonts w:ascii="宋体" w:hAnsi="宋体"/>
        </w:rPr>
        <w:t>2</w:t>
      </w:r>
      <w:r>
        <w:rPr>
          <w:rFonts w:hint="eastAsia" w:ascii="宋体" w:hAnsi="宋体"/>
        </w:rPr>
        <w:t>）发包人应在监理人出具最终结清证书后的</w:t>
      </w:r>
      <w:r>
        <w:rPr>
          <w:rFonts w:ascii="宋体" w:hAnsi="宋体"/>
        </w:rPr>
        <w:t>14</w:t>
      </w:r>
      <w:r>
        <w:rPr>
          <w:rFonts w:hint="eastAsia" w:ascii="宋体" w:hAnsi="宋体"/>
        </w:rPr>
        <w:t>天内，将应支付款支付给承包人。发包人不按期支付的，按第</w:t>
      </w:r>
      <w:r>
        <w:rPr>
          <w:rFonts w:ascii="宋体" w:hAnsi="宋体"/>
        </w:rPr>
        <w:t>17.3.3</w:t>
      </w:r>
      <w:r>
        <w:rPr>
          <w:rFonts w:hint="eastAsia" w:ascii="宋体" w:hAnsi="宋体"/>
        </w:rPr>
        <w:t>（</w:t>
      </w:r>
      <w:r>
        <w:rPr>
          <w:rFonts w:ascii="宋体" w:hAnsi="宋体"/>
        </w:rPr>
        <w:t>2</w:t>
      </w:r>
      <w:r>
        <w:rPr>
          <w:rFonts w:hint="eastAsia" w:ascii="宋体" w:hAnsi="宋体"/>
        </w:rPr>
        <w:t>）目的约定，将逾期付款违约金支付给承包人。</w:t>
      </w:r>
    </w:p>
    <w:p w14:paraId="7EECB1E5">
      <w:pPr>
        <w:spacing w:line="360" w:lineRule="auto"/>
        <w:ind w:firstLine="420" w:firstLineChars="200"/>
        <w:rPr>
          <w:rFonts w:ascii="宋体"/>
        </w:rPr>
      </w:pPr>
      <w:r>
        <w:rPr>
          <w:rFonts w:hint="eastAsia" w:ascii="宋体" w:hAnsi="宋体"/>
        </w:rPr>
        <w:t>（</w:t>
      </w:r>
      <w:r>
        <w:rPr>
          <w:rFonts w:ascii="宋体" w:hAnsi="宋体"/>
        </w:rPr>
        <w:t>3</w:t>
      </w:r>
      <w:r>
        <w:rPr>
          <w:rFonts w:hint="eastAsia" w:ascii="宋体" w:hAnsi="宋体"/>
        </w:rPr>
        <w:t>）承包人对发包人签认的最终结清证书有异议的，按第</w:t>
      </w:r>
      <w:r>
        <w:rPr>
          <w:rFonts w:ascii="宋体" w:hAnsi="宋体"/>
        </w:rPr>
        <w:t>24</w:t>
      </w:r>
      <w:r>
        <w:rPr>
          <w:rFonts w:hint="eastAsia" w:ascii="宋体" w:hAnsi="宋体"/>
        </w:rPr>
        <w:t>条“争议的解决”的约定办理。</w:t>
      </w:r>
    </w:p>
    <w:p w14:paraId="12B0EDE9">
      <w:pPr>
        <w:spacing w:line="360" w:lineRule="auto"/>
        <w:ind w:firstLine="420" w:firstLineChars="200"/>
        <w:rPr>
          <w:rFonts w:ascii="宋体"/>
        </w:rPr>
      </w:pPr>
      <w:r>
        <w:rPr>
          <w:rFonts w:hint="eastAsia" w:ascii="宋体" w:hAnsi="宋体"/>
        </w:rPr>
        <w:t>（</w:t>
      </w:r>
      <w:r>
        <w:rPr>
          <w:rFonts w:ascii="宋体" w:hAnsi="宋体"/>
        </w:rPr>
        <w:t>4</w:t>
      </w:r>
      <w:r>
        <w:rPr>
          <w:rFonts w:hint="eastAsia" w:ascii="宋体" w:hAnsi="宋体"/>
        </w:rPr>
        <w:t>）最终结清付款涉及政府投资资金的，按第</w:t>
      </w:r>
      <w:r>
        <w:rPr>
          <w:rFonts w:ascii="宋体" w:hAnsi="宋体"/>
        </w:rPr>
        <w:t>17.3.3</w:t>
      </w:r>
      <w:r>
        <w:rPr>
          <w:rFonts w:hint="eastAsia" w:ascii="宋体" w:hAnsi="宋体"/>
        </w:rPr>
        <w:t>（</w:t>
      </w:r>
      <w:r>
        <w:rPr>
          <w:rFonts w:ascii="宋体" w:hAnsi="宋体"/>
        </w:rPr>
        <w:t>4</w:t>
      </w:r>
      <w:r>
        <w:rPr>
          <w:rFonts w:hint="eastAsia" w:ascii="宋体" w:hAnsi="宋体"/>
        </w:rPr>
        <w:t>）目的约定办理。</w:t>
      </w:r>
    </w:p>
    <w:p w14:paraId="03512827">
      <w:pPr>
        <w:keepNext/>
        <w:keepLines/>
        <w:spacing w:beforeLines="50" w:afterLines="50" w:line="360" w:lineRule="auto"/>
        <w:outlineLvl w:val="1"/>
        <w:rPr>
          <w:rFonts w:ascii="宋体" w:hAnsi="宋体" w:cs="宋体"/>
          <w:sz w:val="28"/>
          <w:szCs w:val="20"/>
        </w:rPr>
      </w:pPr>
      <w:bookmarkStart w:id="1298" w:name="_Toc117597594"/>
      <w:bookmarkStart w:id="1299" w:name="_Toc489279974"/>
      <w:bookmarkStart w:id="1300" w:name="_Toc490222608"/>
      <w:bookmarkStart w:id="1301" w:name="_Toc486580163"/>
      <w:bookmarkStart w:id="1302" w:name="_Toc497213839"/>
      <w:r>
        <w:rPr>
          <w:rFonts w:ascii="宋体" w:hAnsi="宋体" w:cs="宋体"/>
          <w:sz w:val="28"/>
          <w:szCs w:val="20"/>
        </w:rPr>
        <w:t>18.</w:t>
      </w:r>
      <w:r>
        <w:rPr>
          <w:rFonts w:hint="eastAsia" w:ascii="宋体" w:hAnsi="宋体" w:cs="宋体"/>
          <w:sz w:val="28"/>
          <w:szCs w:val="20"/>
        </w:rPr>
        <w:t>竣工验收</w:t>
      </w:r>
      <w:bookmarkEnd w:id="1298"/>
      <w:bookmarkEnd w:id="1299"/>
      <w:bookmarkEnd w:id="1300"/>
      <w:bookmarkEnd w:id="1301"/>
      <w:bookmarkEnd w:id="1302"/>
    </w:p>
    <w:p w14:paraId="645E2D57">
      <w:pPr>
        <w:keepNext/>
        <w:keepLines/>
        <w:spacing w:beforeLines="50" w:afterLines="50" w:line="360" w:lineRule="auto"/>
        <w:outlineLvl w:val="2"/>
        <w:rPr>
          <w:rFonts w:ascii="宋体" w:hAnsi="宋体"/>
          <w:sz w:val="24"/>
          <w:szCs w:val="20"/>
        </w:rPr>
      </w:pPr>
      <w:bookmarkStart w:id="1303" w:name="_Toc117597595"/>
      <w:bookmarkStart w:id="1304" w:name="_Toc489279975"/>
      <w:bookmarkStart w:id="1305" w:name="_Toc486580164"/>
      <w:bookmarkStart w:id="1306" w:name="_Toc497213840"/>
      <w:bookmarkStart w:id="1307" w:name="_Toc490222609"/>
      <w:r>
        <w:rPr>
          <w:rFonts w:ascii="宋体" w:hAnsi="宋体"/>
          <w:sz w:val="24"/>
          <w:szCs w:val="20"/>
        </w:rPr>
        <w:t xml:space="preserve">18.1  </w:t>
      </w:r>
      <w:r>
        <w:rPr>
          <w:rFonts w:hint="eastAsia" w:ascii="宋体" w:hAnsi="宋体"/>
          <w:sz w:val="24"/>
          <w:szCs w:val="20"/>
        </w:rPr>
        <w:t>竣工验收的含义</w:t>
      </w:r>
      <w:bookmarkEnd w:id="1303"/>
      <w:bookmarkEnd w:id="1304"/>
      <w:bookmarkEnd w:id="1305"/>
      <w:bookmarkEnd w:id="1306"/>
      <w:bookmarkEnd w:id="1307"/>
    </w:p>
    <w:p w14:paraId="49FE12A8">
      <w:pPr>
        <w:spacing w:line="360" w:lineRule="auto"/>
        <w:ind w:firstLine="420" w:firstLineChars="200"/>
        <w:rPr>
          <w:rFonts w:ascii="宋体"/>
        </w:rPr>
      </w:pPr>
      <w:r>
        <w:rPr>
          <w:rFonts w:ascii="宋体" w:hAnsi="宋体"/>
        </w:rPr>
        <w:t xml:space="preserve">18.1.1  </w:t>
      </w:r>
      <w:r>
        <w:rPr>
          <w:rFonts w:hint="eastAsia" w:ascii="宋体" w:hAnsi="宋体"/>
        </w:rPr>
        <w:t>竣工验收指承包人完成了全部合同工作后，发包人按合同要求进行的验收。</w:t>
      </w:r>
    </w:p>
    <w:p w14:paraId="0EF41ED4">
      <w:pPr>
        <w:spacing w:line="360" w:lineRule="auto"/>
        <w:ind w:firstLine="420" w:firstLineChars="200"/>
        <w:rPr>
          <w:rFonts w:ascii="宋体"/>
        </w:rPr>
      </w:pPr>
      <w:r>
        <w:rPr>
          <w:rFonts w:ascii="宋体" w:hAnsi="宋体"/>
        </w:rPr>
        <w:t xml:space="preserve">18.1.2  </w:t>
      </w:r>
      <w:r>
        <w:rPr>
          <w:rFonts w:hint="eastAsia" w:ascii="宋体" w:hAnsi="宋体"/>
        </w:rPr>
        <w:t>国家验收是政府有关部门根据法律、规范、规程和政策要求，针对发包人全面组织实施的整个工程正式交付投运前的验收。</w:t>
      </w:r>
    </w:p>
    <w:p w14:paraId="0FCBD908">
      <w:pPr>
        <w:spacing w:line="360" w:lineRule="auto"/>
        <w:ind w:firstLine="420" w:firstLineChars="200"/>
        <w:rPr>
          <w:rFonts w:ascii="宋体"/>
        </w:rPr>
      </w:pPr>
      <w:r>
        <w:rPr>
          <w:rFonts w:ascii="宋体" w:hAnsi="宋体"/>
        </w:rPr>
        <w:t xml:space="preserve">18.1.3  </w:t>
      </w:r>
      <w:r>
        <w:rPr>
          <w:rFonts w:hint="eastAsia" w:ascii="宋体" w:hAnsi="宋体"/>
        </w:rPr>
        <w:t>需要进行国家验收的，竣工验收是国家验收的一部分。竣工验收所采用的各项验收和评定标准应符合国家验收标准。发包人和承包人为竣工验收提供的各项竣工验收资料应符合国家验收的要求。</w:t>
      </w:r>
    </w:p>
    <w:p w14:paraId="0CA1F765">
      <w:pPr>
        <w:keepNext/>
        <w:keepLines/>
        <w:spacing w:beforeLines="50" w:afterLines="50" w:line="360" w:lineRule="auto"/>
        <w:outlineLvl w:val="2"/>
        <w:rPr>
          <w:rFonts w:ascii="宋体" w:hAnsi="宋体"/>
          <w:sz w:val="24"/>
          <w:szCs w:val="20"/>
        </w:rPr>
      </w:pPr>
      <w:bookmarkStart w:id="1308" w:name="_Toc117597596"/>
      <w:bookmarkStart w:id="1309" w:name="_Toc486580165"/>
      <w:bookmarkStart w:id="1310" w:name="_Toc489279976"/>
      <w:bookmarkStart w:id="1311" w:name="_Toc490222610"/>
      <w:bookmarkStart w:id="1312" w:name="_Toc497213841"/>
      <w:r>
        <w:rPr>
          <w:rFonts w:ascii="宋体" w:hAnsi="宋体"/>
          <w:sz w:val="24"/>
          <w:szCs w:val="20"/>
        </w:rPr>
        <w:t xml:space="preserve">18.2  </w:t>
      </w:r>
      <w:r>
        <w:rPr>
          <w:rFonts w:hint="eastAsia" w:ascii="宋体" w:hAnsi="宋体"/>
          <w:sz w:val="24"/>
          <w:szCs w:val="20"/>
        </w:rPr>
        <w:t>竣工验收申请报告</w:t>
      </w:r>
      <w:bookmarkEnd w:id="1308"/>
      <w:bookmarkEnd w:id="1309"/>
      <w:bookmarkEnd w:id="1310"/>
      <w:bookmarkEnd w:id="1311"/>
      <w:bookmarkEnd w:id="1312"/>
    </w:p>
    <w:p w14:paraId="2CB71427">
      <w:pPr>
        <w:spacing w:line="360" w:lineRule="auto"/>
        <w:ind w:firstLine="420" w:firstLineChars="200"/>
        <w:rPr>
          <w:rFonts w:ascii="宋体"/>
        </w:rPr>
      </w:pPr>
      <w:r>
        <w:rPr>
          <w:rFonts w:hint="eastAsia" w:ascii="宋体" w:hAnsi="宋体"/>
        </w:rPr>
        <w:t>当工程具备以下条件时，承包人即可向监理人报送竣工验收申请报告：</w:t>
      </w:r>
    </w:p>
    <w:p w14:paraId="4A4A49A4">
      <w:pPr>
        <w:spacing w:line="360" w:lineRule="auto"/>
        <w:ind w:firstLine="420" w:firstLineChars="200"/>
        <w:rPr>
          <w:rFonts w:ascii="宋体"/>
        </w:rPr>
      </w:pPr>
      <w:r>
        <w:rPr>
          <w:rFonts w:hint="eastAsia" w:ascii="宋体" w:hAnsi="宋体"/>
        </w:rPr>
        <w:t>（</w:t>
      </w:r>
      <w:r>
        <w:rPr>
          <w:rFonts w:ascii="宋体" w:hAnsi="宋体"/>
        </w:rPr>
        <w:t>1</w:t>
      </w:r>
      <w:r>
        <w:rPr>
          <w:rFonts w:hint="eastAsia" w:ascii="宋体" w:hAnsi="宋体"/>
        </w:rPr>
        <w:t>）除监理人同意列入缺陷责任期内完成的尾工（甩项）工程和缺陷修补工作外，合同范围内的全部单位工程以及有关工作，包括合同要求的试验、试运行以及检验和验收均已完成，并符合合同要求。</w:t>
      </w:r>
    </w:p>
    <w:p w14:paraId="5859D1F9">
      <w:pPr>
        <w:spacing w:line="360" w:lineRule="auto"/>
        <w:ind w:firstLine="420" w:firstLineChars="200"/>
        <w:rPr>
          <w:rFonts w:ascii="宋体"/>
        </w:rPr>
      </w:pPr>
      <w:r>
        <w:rPr>
          <w:rFonts w:hint="eastAsia" w:ascii="宋体" w:hAnsi="宋体"/>
        </w:rPr>
        <w:t>（</w:t>
      </w:r>
      <w:r>
        <w:rPr>
          <w:rFonts w:ascii="宋体" w:hAnsi="宋体"/>
        </w:rPr>
        <w:t>2</w:t>
      </w:r>
      <w:r>
        <w:rPr>
          <w:rFonts w:hint="eastAsia" w:ascii="宋体" w:hAnsi="宋体"/>
        </w:rPr>
        <w:t>）承包人负责整理和提交的竣工验收资料应当符合工程所在地建设行政主管部门和（或）城市建设档案管理机构有关施工资料的要求，同时已按合同条款专用部分约定备齐了符合要求的竣工资料。竣工验收资料的内容和份数以及费用支付方式</w:t>
      </w:r>
      <w:r>
        <w:rPr>
          <w:rFonts w:hint="eastAsia" w:ascii="黑体" w:hAnsi="黑体" w:eastAsia="黑体"/>
        </w:rPr>
        <w:t>见合同条款专用部分</w:t>
      </w:r>
      <w:r>
        <w:rPr>
          <w:rFonts w:hint="eastAsia" w:ascii="宋体" w:hAnsi="宋体"/>
        </w:rPr>
        <w:t>。</w:t>
      </w:r>
    </w:p>
    <w:p w14:paraId="0621748D">
      <w:pPr>
        <w:spacing w:line="360" w:lineRule="auto"/>
        <w:ind w:firstLine="420" w:firstLineChars="200"/>
        <w:rPr>
          <w:rFonts w:ascii="宋体"/>
        </w:rPr>
      </w:pPr>
      <w:r>
        <w:rPr>
          <w:rFonts w:hint="eastAsia" w:ascii="宋体" w:hAnsi="宋体"/>
        </w:rPr>
        <w:t>（</w:t>
      </w:r>
      <w:r>
        <w:rPr>
          <w:rFonts w:ascii="宋体" w:hAnsi="宋体"/>
        </w:rPr>
        <w:t>3</w:t>
      </w:r>
      <w:r>
        <w:rPr>
          <w:rFonts w:hint="eastAsia" w:ascii="宋体" w:hAnsi="宋体"/>
        </w:rPr>
        <w:t>）已按监理人的要求编制了在缺陷责任期内需完成的尾工（甩项）工程，和缺陷修补工作清单等相应施工计划。</w:t>
      </w:r>
    </w:p>
    <w:p w14:paraId="39918191">
      <w:pPr>
        <w:spacing w:line="360" w:lineRule="auto"/>
        <w:ind w:firstLine="420" w:firstLineChars="200"/>
        <w:rPr>
          <w:rFonts w:ascii="宋体"/>
        </w:rPr>
      </w:pPr>
      <w:r>
        <w:rPr>
          <w:rFonts w:hint="eastAsia" w:ascii="宋体" w:hAnsi="宋体"/>
        </w:rPr>
        <w:t>（</w:t>
      </w:r>
      <w:r>
        <w:rPr>
          <w:rFonts w:ascii="宋体" w:hAnsi="宋体"/>
        </w:rPr>
        <w:t>4</w:t>
      </w:r>
      <w:r>
        <w:rPr>
          <w:rFonts w:hint="eastAsia" w:ascii="宋体" w:hAnsi="宋体"/>
        </w:rPr>
        <w:t>）监理人要求在竣工验收前应完成的其他工作。</w:t>
      </w:r>
    </w:p>
    <w:p w14:paraId="23B595B1">
      <w:pPr>
        <w:spacing w:line="360" w:lineRule="auto"/>
        <w:ind w:firstLine="420" w:firstLineChars="200"/>
        <w:rPr>
          <w:rFonts w:ascii="宋体"/>
        </w:rPr>
      </w:pPr>
      <w:r>
        <w:rPr>
          <w:rFonts w:hint="eastAsia" w:ascii="宋体" w:hAnsi="宋体"/>
        </w:rPr>
        <w:t>（</w:t>
      </w:r>
      <w:r>
        <w:rPr>
          <w:rFonts w:ascii="宋体" w:hAnsi="宋体"/>
        </w:rPr>
        <w:t>5</w:t>
      </w:r>
      <w:r>
        <w:rPr>
          <w:rFonts w:hint="eastAsia" w:ascii="宋体" w:hAnsi="宋体"/>
        </w:rPr>
        <w:t>）监理人要求提交的竣工验收资料清单。</w:t>
      </w:r>
    </w:p>
    <w:p w14:paraId="324E67F3">
      <w:pPr>
        <w:keepNext/>
        <w:keepLines/>
        <w:spacing w:beforeLines="50" w:afterLines="50" w:line="360" w:lineRule="auto"/>
        <w:outlineLvl w:val="2"/>
        <w:rPr>
          <w:rFonts w:ascii="宋体" w:hAnsi="宋体"/>
          <w:sz w:val="24"/>
          <w:szCs w:val="20"/>
        </w:rPr>
      </w:pPr>
      <w:bookmarkStart w:id="1313" w:name="_Toc489279977"/>
      <w:bookmarkStart w:id="1314" w:name="_Toc486580166"/>
      <w:bookmarkStart w:id="1315" w:name="_Toc117597597"/>
      <w:bookmarkStart w:id="1316" w:name="_Toc497213842"/>
      <w:bookmarkStart w:id="1317" w:name="_Toc490222611"/>
      <w:r>
        <w:rPr>
          <w:rFonts w:ascii="宋体" w:hAnsi="宋体"/>
          <w:sz w:val="24"/>
          <w:szCs w:val="20"/>
        </w:rPr>
        <w:t xml:space="preserve">18.3  </w:t>
      </w:r>
      <w:r>
        <w:rPr>
          <w:rFonts w:hint="eastAsia" w:ascii="宋体" w:hAnsi="宋体"/>
          <w:sz w:val="24"/>
          <w:szCs w:val="20"/>
        </w:rPr>
        <w:t>验收</w:t>
      </w:r>
      <w:bookmarkEnd w:id="1313"/>
      <w:bookmarkEnd w:id="1314"/>
      <w:bookmarkEnd w:id="1315"/>
      <w:bookmarkEnd w:id="1316"/>
      <w:bookmarkEnd w:id="1317"/>
    </w:p>
    <w:p w14:paraId="2306501D">
      <w:pPr>
        <w:spacing w:line="360" w:lineRule="auto"/>
        <w:ind w:firstLine="420" w:firstLineChars="200"/>
        <w:rPr>
          <w:rFonts w:ascii="宋体"/>
        </w:rPr>
      </w:pPr>
      <w:r>
        <w:rPr>
          <w:rFonts w:hint="eastAsia" w:ascii="宋体" w:hAnsi="宋体"/>
        </w:rPr>
        <w:t>监理人收到承包人按第</w:t>
      </w:r>
      <w:r>
        <w:rPr>
          <w:rFonts w:ascii="宋体" w:hAnsi="宋体"/>
        </w:rPr>
        <w:t>18.2</w:t>
      </w:r>
      <w:r>
        <w:rPr>
          <w:rFonts w:hint="eastAsia" w:ascii="宋体" w:hAnsi="宋体"/>
        </w:rPr>
        <w:t>款约定提交的竣工验收申请报告后，应审查申请报告的各项内容，并按以下不同情况进行处理。</w:t>
      </w:r>
    </w:p>
    <w:p w14:paraId="12D52010">
      <w:pPr>
        <w:spacing w:line="360" w:lineRule="auto"/>
        <w:ind w:firstLine="420" w:firstLineChars="200"/>
        <w:rPr>
          <w:rFonts w:ascii="宋体"/>
        </w:rPr>
      </w:pPr>
      <w:r>
        <w:rPr>
          <w:rFonts w:ascii="宋体" w:hAnsi="宋体"/>
        </w:rPr>
        <w:t xml:space="preserve">18.3.1  </w:t>
      </w:r>
      <w:r>
        <w:rPr>
          <w:rFonts w:hint="eastAsia" w:ascii="宋体" w:hAnsi="宋体"/>
        </w:rPr>
        <w:t>监理人审查后认为尚不具备竣工验收条件的，应在收到竣工验收申请报告后的</w:t>
      </w:r>
      <w:r>
        <w:rPr>
          <w:rFonts w:ascii="宋体" w:hAnsi="宋体"/>
        </w:rPr>
        <w:t>28</w:t>
      </w:r>
      <w:r>
        <w:rPr>
          <w:rFonts w:hint="eastAsia" w:ascii="宋体" w:hAnsi="宋体"/>
        </w:rPr>
        <w:t>天内通知承包人，并指出在颁发接收证书前承包人需进行的工作内容。承包人完成监理人通知的全部工作内容后，应再次提交竣工验收申请报告，直至监理人同意为止。</w:t>
      </w:r>
    </w:p>
    <w:p w14:paraId="370D8860">
      <w:pPr>
        <w:spacing w:line="360" w:lineRule="auto"/>
        <w:ind w:firstLine="420" w:firstLineChars="200"/>
        <w:rPr>
          <w:rFonts w:ascii="宋体"/>
        </w:rPr>
      </w:pPr>
      <w:r>
        <w:rPr>
          <w:rFonts w:ascii="宋体" w:hAnsi="宋体"/>
        </w:rPr>
        <w:t xml:space="preserve">18.3.2  </w:t>
      </w:r>
      <w:r>
        <w:rPr>
          <w:rFonts w:hint="eastAsia" w:ascii="宋体" w:hAnsi="宋体"/>
        </w:rPr>
        <w:t>监理人审查后认为已具备竣工验收条件的，应在收到竣工验收申请报告后的</w:t>
      </w:r>
      <w:r>
        <w:rPr>
          <w:rFonts w:ascii="宋体" w:hAnsi="宋体"/>
        </w:rPr>
        <w:t>28</w:t>
      </w:r>
      <w:r>
        <w:rPr>
          <w:rFonts w:hint="eastAsia" w:ascii="宋体" w:hAnsi="宋体"/>
        </w:rPr>
        <w:t>天内提请发包人进行工程验收。</w:t>
      </w:r>
    </w:p>
    <w:p w14:paraId="0BD7C180">
      <w:pPr>
        <w:spacing w:line="360" w:lineRule="auto"/>
        <w:ind w:firstLine="420" w:firstLineChars="200"/>
        <w:rPr>
          <w:rFonts w:ascii="宋体"/>
        </w:rPr>
      </w:pPr>
      <w:r>
        <w:rPr>
          <w:rFonts w:ascii="宋体" w:hAnsi="宋体"/>
        </w:rPr>
        <w:t xml:space="preserve">18.3.3  </w:t>
      </w:r>
      <w:r>
        <w:rPr>
          <w:rFonts w:hint="eastAsia" w:ascii="宋体" w:hAnsi="宋体"/>
        </w:rPr>
        <w:t>发包人经过验收后同意接受工程的，应在监理人收到竣工验收申请报告后的</w:t>
      </w:r>
      <w:r>
        <w:rPr>
          <w:rFonts w:ascii="宋体" w:hAnsi="宋体"/>
        </w:rPr>
        <w:t>56</w:t>
      </w:r>
      <w:r>
        <w:rPr>
          <w:rFonts w:hint="eastAsia" w:ascii="宋体" w:hAnsi="宋体"/>
        </w:rPr>
        <w:t>天内，由监理人向承包人出具经发包人签认的工程接收证书。发包人验收后同意接收工程，但提出整修和完善要求的，限期修好，并缓发工程接收证书。整修和完善工作完成后，监理人复查达到要求的，经发包人同意后，再向承包人出具工程接收证书。</w:t>
      </w:r>
    </w:p>
    <w:p w14:paraId="11A0EF8E">
      <w:pPr>
        <w:spacing w:line="360" w:lineRule="auto"/>
        <w:ind w:firstLine="420" w:firstLineChars="200"/>
        <w:rPr>
          <w:rFonts w:ascii="宋体"/>
        </w:rPr>
      </w:pPr>
      <w:r>
        <w:rPr>
          <w:rFonts w:ascii="宋体" w:hAnsi="宋体"/>
        </w:rPr>
        <w:t xml:space="preserve">18.3.4  </w:t>
      </w:r>
      <w:r>
        <w:rPr>
          <w:rFonts w:hint="eastAsia" w:ascii="宋体" w:hAnsi="宋体"/>
        </w:rPr>
        <w:t>发包人验收后不同意接收工程的，监理人应按照发包人的验收意见发出指示，要求承包人对不合格工程认真返工重作或进行补救处理，并承担由此产生的费用。承包人在完成不合格工程的返工重作或补救工作后，应重新提交竣工验收申请报告，按第</w:t>
      </w:r>
      <w:r>
        <w:rPr>
          <w:rFonts w:ascii="宋体" w:hAnsi="宋体"/>
        </w:rPr>
        <w:t>18.3.1</w:t>
      </w:r>
      <w:r>
        <w:rPr>
          <w:rFonts w:hint="eastAsia" w:ascii="宋体" w:hAnsi="宋体"/>
        </w:rPr>
        <w:t>项、第</w:t>
      </w:r>
      <w:r>
        <w:rPr>
          <w:rFonts w:ascii="宋体" w:hAnsi="宋体"/>
        </w:rPr>
        <w:t>18.3.2</w:t>
      </w:r>
      <w:r>
        <w:rPr>
          <w:rFonts w:hint="eastAsia" w:ascii="宋体" w:hAnsi="宋体"/>
        </w:rPr>
        <w:t>项和第</w:t>
      </w:r>
      <w:r>
        <w:rPr>
          <w:rFonts w:ascii="宋体" w:hAnsi="宋体"/>
        </w:rPr>
        <w:t>18.3.3</w:t>
      </w:r>
      <w:r>
        <w:rPr>
          <w:rFonts w:hint="eastAsia" w:ascii="宋体" w:hAnsi="宋体"/>
        </w:rPr>
        <w:t>项的约定进行。</w:t>
      </w:r>
    </w:p>
    <w:p w14:paraId="59C36E24">
      <w:pPr>
        <w:spacing w:line="360" w:lineRule="auto"/>
        <w:ind w:firstLine="420" w:firstLineChars="200"/>
        <w:rPr>
          <w:rFonts w:ascii="宋体"/>
        </w:rPr>
      </w:pPr>
      <w:r>
        <w:rPr>
          <w:rFonts w:ascii="宋体" w:hAnsi="宋体"/>
        </w:rPr>
        <w:t xml:space="preserve">18.3.5  </w:t>
      </w:r>
      <w:r>
        <w:rPr>
          <w:rFonts w:hint="eastAsia" w:ascii="宋体" w:hAnsi="宋体"/>
        </w:rPr>
        <w:t>经验收合格的工程</w:t>
      </w:r>
      <w:r>
        <w:rPr>
          <w:rFonts w:ascii="宋体" w:hAnsi="宋体"/>
        </w:rPr>
        <w:t xml:space="preserve">, </w:t>
      </w:r>
      <w:r>
        <w:rPr>
          <w:rFonts w:hint="eastAsia" w:ascii="宋体" w:hAnsi="宋体"/>
        </w:rPr>
        <w:t>实际竣工日期为承包人按照第</w:t>
      </w:r>
      <w:r>
        <w:rPr>
          <w:rFonts w:ascii="宋体" w:hAnsi="宋体"/>
        </w:rPr>
        <w:t>18.2</w:t>
      </w:r>
      <w:r>
        <w:rPr>
          <w:rFonts w:hint="eastAsia" w:ascii="宋体" w:hAnsi="宋体"/>
        </w:rPr>
        <w:t>款提交竣工验收申请报告或按照本款重新提交竣工验收申请报告的日期（以两者中时间在后者为准）。</w:t>
      </w:r>
    </w:p>
    <w:p w14:paraId="20BF7E13">
      <w:pPr>
        <w:spacing w:line="360" w:lineRule="auto"/>
        <w:ind w:firstLine="420" w:firstLineChars="200"/>
        <w:rPr>
          <w:rFonts w:ascii="宋体"/>
        </w:rPr>
      </w:pPr>
      <w:r>
        <w:rPr>
          <w:rFonts w:ascii="宋体" w:hAnsi="宋体"/>
        </w:rPr>
        <w:t xml:space="preserve">18.3.6  </w:t>
      </w:r>
      <w:r>
        <w:rPr>
          <w:rFonts w:hint="eastAsia" w:ascii="宋体" w:hAnsi="宋体"/>
        </w:rPr>
        <w:t>发包人在收到承包人竣工验收申请报告</w:t>
      </w:r>
      <w:r>
        <w:rPr>
          <w:rFonts w:ascii="宋体" w:hAnsi="宋体"/>
        </w:rPr>
        <w:t>56</w:t>
      </w:r>
      <w:r>
        <w:rPr>
          <w:rFonts w:hint="eastAsia" w:ascii="宋体" w:hAnsi="宋体"/>
        </w:rPr>
        <w:t>天后未进行验收的，视为验收合格，实际竣工日期以提交竣工验收申请报告的日期为准，但发包人由于不可抗力不能进行验收的除外。</w:t>
      </w:r>
    </w:p>
    <w:p w14:paraId="780C52DE">
      <w:pPr>
        <w:keepNext/>
        <w:keepLines/>
        <w:spacing w:beforeLines="50" w:afterLines="50" w:line="360" w:lineRule="auto"/>
        <w:outlineLvl w:val="2"/>
        <w:rPr>
          <w:rFonts w:ascii="宋体" w:hAnsi="宋体"/>
          <w:sz w:val="24"/>
          <w:szCs w:val="20"/>
        </w:rPr>
      </w:pPr>
      <w:bookmarkStart w:id="1318" w:name="_Toc490222612"/>
      <w:bookmarkStart w:id="1319" w:name="_Toc497213843"/>
      <w:bookmarkStart w:id="1320" w:name="_Toc489279978"/>
      <w:bookmarkStart w:id="1321" w:name="_Toc486580167"/>
      <w:bookmarkStart w:id="1322" w:name="_Toc117597598"/>
      <w:r>
        <w:rPr>
          <w:rFonts w:ascii="宋体" w:hAnsi="宋体"/>
          <w:sz w:val="24"/>
          <w:szCs w:val="20"/>
        </w:rPr>
        <w:t xml:space="preserve">18.4  </w:t>
      </w:r>
      <w:r>
        <w:rPr>
          <w:rFonts w:hint="eastAsia" w:ascii="宋体" w:hAnsi="宋体"/>
          <w:sz w:val="24"/>
          <w:szCs w:val="20"/>
        </w:rPr>
        <w:t>单位工程验收</w:t>
      </w:r>
      <w:bookmarkEnd w:id="1318"/>
      <w:bookmarkEnd w:id="1319"/>
      <w:bookmarkEnd w:id="1320"/>
      <w:bookmarkEnd w:id="1321"/>
      <w:bookmarkEnd w:id="1322"/>
    </w:p>
    <w:p w14:paraId="1FF4F69C">
      <w:pPr>
        <w:spacing w:line="360" w:lineRule="auto"/>
        <w:ind w:firstLine="420" w:firstLineChars="200"/>
        <w:rPr>
          <w:rFonts w:ascii="宋体"/>
        </w:rPr>
      </w:pPr>
      <w:r>
        <w:rPr>
          <w:rFonts w:ascii="宋体" w:hAnsi="宋体"/>
        </w:rPr>
        <w:t xml:space="preserve">18.4.1  </w:t>
      </w:r>
      <w:r>
        <w:rPr>
          <w:rFonts w:hint="eastAsia" w:ascii="宋体" w:hAnsi="宋体"/>
        </w:rPr>
        <w:t>发包人根据合同进度计划安排，在全部工程竣工前需要使用已经竣工的单位工程时，或承包人提出经发包人同意时，可进行单位工程验收。验收的程序可参照第</w:t>
      </w:r>
      <w:r>
        <w:rPr>
          <w:rFonts w:ascii="宋体" w:hAnsi="宋体"/>
        </w:rPr>
        <w:t>18.2</w:t>
      </w:r>
      <w:r>
        <w:rPr>
          <w:rFonts w:hint="eastAsia" w:ascii="宋体" w:hAnsi="宋体"/>
        </w:rPr>
        <w:t>款与第</w:t>
      </w:r>
      <w:r>
        <w:rPr>
          <w:rFonts w:ascii="宋体" w:hAnsi="宋体"/>
        </w:rPr>
        <w:t>18.3</w:t>
      </w:r>
      <w:r>
        <w:rPr>
          <w:rFonts w:hint="eastAsia" w:ascii="宋体" w:hAnsi="宋体"/>
        </w:rPr>
        <w:t>款的约定进行。验收合格后，由监理人向承包人出具经发包人签认的单位工程验收证书。已签发单位工程接收证书的单位工程由发包人负责照管。单位工程的验收成果和结论作为全部工程竣工验收申请报告的附件。</w:t>
      </w:r>
    </w:p>
    <w:p w14:paraId="10FE183E">
      <w:pPr>
        <w:spacing w:line="360" w:lineRule="auto"/>
        <w:ind w:firstLine="420" w:firstLineChars="200"/>
        <w:rPr>
          <w:rFonts w:ascii="宋体"/>
        </w:rPr>
      </w:pPr>
      <w:r>
        <w:rPr>
          <w:rFonts w:ascii="宋体" w:hAnsi="宋体"/>
        </w:rPr>
        <w:t xml:space="preserve">18.4.2  </w:t>
      </w:r>
      <w:r>
        <w:rPr>
          <w:rFonts w:hint="eastAsia" w:ascii="宋体" w:hAnsi="宋体"/>
        </w:rPr>
        <w:t>发包人在全部工程竣工前，使用已接收的单位工程导致承包人费用增加的，发包人应承担由此增加的费用和（或）工期延误，并支付承包人合理利润。</w:t>
      </w:r>
    </w:p>
    <w:p w14:paraId="1431ED58">
      <w:pPr>
        <w:keepNext/>
        <w:keepLines/>
        <w:spacing w:beforeLines="50" w:afterLines="50" w:line="360" w:lineRule="auto"/>
        <w:outlineLvl w:val="2"/>
        <w:rPr>
          <w:rFonts w:ascii="宋体" w:hAnsi="宋体"/>
          <w:sz w:val="24"/>
          <w:szCs w:val="20"/>
        </w:rPr>
      </w:pPr>
      <w:bookmarkStart w:id="1323" w:name="_Toc489279979"/>
      <w:bookmarkStart w:id="1324" w:name="_Toc486580168"/>
      <w:bookmarkStart w:id="1325" w:name="_Toc490222613"/>
      <w:bookmarkStart w:id="1326" w:name="_Toc497213844"/>
      <w:bookmarkStart w:id="1327" w:name="_Toc117597599"/>
      <w:r>
        <w:rPr>
          <w:rFonts w:ascii="宋体" w:hAnsi="宋体"/>
          <w:sz w:val="24"/>
          <w:szCs w:val="20"/>
        </w:rPr>
        <w:t xml:space="preserve">18.5  </w:t>
      </w:r>
      <w:r>
        <w:rPr>
          <w:rFonts w:hint="eastAsia" w:ascii="宋体" w:hAnsi="宋体"/>
          <w:sz w:val="24"/>
          <w:szCs w:val="20"/>
        </w:rPr>
        <w:t>施工期运行</w:t>
      </w:r>
      <w:bookmarkEnd w:id="1323"/>
      <w:bookmarkEnd w:id="1324"/>
      <w:bookmarkEnd w:id="1325"/>
      <w:bookmarkEnd w:id="1326"/>
      <w:bookmarkEnd w:id="1327"/>
    </w:p>
    <w:p w14:paraId="6BD79F91">
      <w:pPr>
        <w:spacing w:line="360" w:lineRule="auto"/>
        <w:ind w:firstLine="420" w:firstLineChars="200"/>
        <w:rPr>
          <w:rFonts w:ascii="宋体"/>
        </w:rPr>
      </w:pPr>
      <w:r>
        <w:rPr>
          <w:rFonts w:ascii="宋体" w:hAnsi="宋体"/>
        </w:rPr>
        <w:t xml:space="preserve">18.5.1  </w:t>
      </w:r>
      <w:r>
        <w:rPr>
          <w:rFonts w:hint="eastAsia" w:ascii="宋体" w:hAnsi="宋体"/>
        </w:rPr>
        <w:t>施工期运行是指合同工程尚未全部竣工，其中某项或某几项单位工程或工程设备安装已竣工，根据合同条款专用部分约定，需要投入施工期运行的，经发包人按第</w:t>
      </w:r>
      <w:r>
        <w:rPr>
          <w:rFonts w:ascii="宋体" w:hAnsi="宋体"/>
        </w:rPr>
        <w:t>18.4</w:t>
      </w:r>
      <w:r>
        <w:rPr>
          <w:rFonts w:hint="eastAsia" w:ascii="宋体" w:hAnsi="宋体"/>
        </w:rPr>
        <w:t>款的约定验收合格，证明能确保安全后，才能在施工期投入运行。</w:t>
      </w:r>
    </w:p>
    <w:p w14:paraId="59C62D9A">
      <w:pPr>
        <w:spacing w:line="360" w:lineRule="auto"/>
        <w:ind w:firstLine="420" w:firstLineChars="200"/>
        <w:rPr>
          <w:rFonts w:ascii="宋体"/>
        </w:rPr>
      </w:pPr>
      <w:r>
        <w:rPr>
          <w:rFonts w:ascii="宋体" w:hAnsi="宋体"/>
        </w:rPr>
        <w:t xml:space="preserve">18.5.2  </w:t>
      </w:r>
      <w:r>
        <w:rPr>
          <w:rFonts w:hint="eastAsia" w:ascii="宋体" w:hAnsi="宋体"/>
        </w:rPr>
        <w:t>在施工期运行中发现工程或工程设备损坏或存在缺陷的，由承包人按第</w:t>
      </w:r>
      <w:r>
        <w:rPr>
          <w:rFonts w:ascii="宋体" w:hAnsi="宋体"/>
        </w:rPr>
        <w:t>19.2</w:t>
      </w:r>
      <w:r>
        <w:rPr>
          <w:rFonts w:hint="eastAsia" w:ascii="宋体" w:hAnsi="宋体"/>
        </w:rPr>
        <w:t>款约定进行修复。</w:t>
      </w:r>
    </w:p>
    <w:p w14:paraId="59F06B89">
      <w:pPr>
        <w:keepNext/>
        <w:keepLines/>
        <w:spacing w:beforeLines="50" w:afterLines="50" w:line="360" w:lineRule="auto"/>
        <w:outlineLvl w:val="2"/>
        <w:rPr>
          <w:rFonts w:ascii="宋体" w:hAnsi="宋体"/>
          <w:sz w:val="24"/>
          <w:szCs w:val="20"/>
        </w:rPr>
      </w:pPr>
      <w:bookmarkStart w:id="1328" w:name="_Toc490222614"/>
      <w:bookmarkStart w:id="1329" w:name="_Toc489279980"/>
      <w:bookmarkStart w:id="1330" w:name="_Toc486580169"/>
      <w:bookmarkStart w:id="1331" w:name="_Toc117597600"/>
      <w:bookmarkStart w:id="1332" w:name="_Toc497213845"/>
      <w:r>
        <w:rPr>
          <w:rFonts w:ascii="宋体" w:hAnsi="宋体"/>
          <w:sz w:val="24"/>
          <w:szCs w:val="20"/>
        </w:rPr>
        <w:t xml:space="preserve">18.6  </w:t>
      </w:r>
      <w:r>
        <w:rPr>
          <w:rFonts w:hint="eastAsia" w:ascii="宋体" w:hAnsi="宋体"/>
          <w:sz w:val="24"/>
          <w:szCs w:val="20"/>
        </w:rPr>
        <w:t>试运行</w:t>
      </w:r>
      <w:bookmarkEnd w:id="1328"/>
      <w:bookmarkEnd w:id="1329"/>
      <w:bookmarkEnd w:id="1330"/>
      <w:bookmarkEnd w:id="1331"/>
      <w:bookmarkEnd w:id="1332"/>
    </w:p>
    <w:p w14:paraId="45ECE4A1">
      <w:pPr>
        <w:spacing w:line="360" w:lineRule="auto"/>
        <w:ind w:firstLine="420" w:firstLineChars="200"/>
        <w:rPr>
          <w:rFonts w:ascii="宋体"/>
        </w:rPr>
      </w:pPr>
      <w:r>
        <w:rPr>
          <w:rFonts w:ascii="宋体" w:hAnsi="宋体"/>
        </w:rPr>
        <w:t xml:space="preserve">18.6.1  </w:t>
      </w:r>
      <w:r>
        <w:rPr>
          <w:rFonts w:hint="eastAsia" w:ascii="宋体" w:hAnsi="宋体"/>
        </w:rPr>
        <w:t>工程及工程设备试运行的组织与费用承担</w:t>
      </w:r>
    </w:p>
    <w:p w14:paraId="22AD3816">
      <w:pPr>
        <w:spacing w:line="360" w:lineRule="auto"/>
        <w:ind w:firstLine="420" w:firstLineChars="200"/>
        <w:rPr>
          <w:rFonts w:ascii="宋体"/>
        </w:rPr>
      </w:pPr>
      <w:r>
        <w:rPr>
          <w:rFonts w:hint="eastAsia" w:ascii="宋体" w:hAnsi="宋体"/>
        </w:rPr>
        <w:t>（</w:t>
      </w:r>
      <w:r>
        <w:rPr>
          <w:rFonts w:ascii="宋体" w:hAnsi="宋体"/>
        </w:rPr>
        <w:t>1</w:t>
      </w:r>
      <w:r>
        <w:rPr>
          <w:rFonts w:hint="eastAsia" w:ascii="宋体" w:hAnsi="宋体"/>
        </w:rPr>
        <w:t>）工程设备安装具备单机无负荷试运行条件，由承包人组织试运行，费用由承包人承担。</w:t>
      </w:r>
    </w:p>
    <w:p w14:paraId="7D76D716">
      <w:pPr>
        <w:spacing w:line="360" w:lineRule="auto"/>
        <w:ind w:firstLine="420" w:firstLineChars="200"/>
        <w:rPr>
          <w:rFonts w:ascii="宋体"/>
        </w:rPr>
      </w:pPr>
      <w:r>
        <w:rPr>
          <w:rFonts w:hint="eastAsia" w:ascii="宋体" w:hAnsi="宋体"/>
        </w:rPr>
        <w:t>（</w:t>
      </w:r>
      <w:r>
        <w:rPr>
          <w:rFonts w:ascii="宋体" w:hAnsi="宋体"/>
        </w:rPr>
        <w:t>2</w:t>
      </w:r>
      <w:r>
        <w:rPr>
          <w:rFonts w:hint="eastAsia" w:ascii="宋体" w:hAnsi="宋体"/>
        </w:rPr>
        <w:t>）工程设备安装具备无负荷联动试运行条件，由发包人组织试运行，费用由发包人承担。</w:t>
      </w:r>
    </w:p>
    <w:p w14:paraId="69E1F9DC">
      <w:pPr>
        <w:spacing w:line="360" w:lineRule="auto"/>
        <w:ind w:firstLine="420" w:firstLineChars="200"/>
        <w:rPr>
          <w:rFonts w:ascii="宋体"/>
        </w:rPr>
      </w:pPr>
      <w:r>
        <w:rPr>
          <w:rFonts w:hint="eastAsia" w:ascii="宋体" w:hAnsi="宋体"/>
        </w:rPr>
        <w:t>（</w:t>
      </w:r>
      <w:r>
        <w:rPr>
          <w:rFonts w:ascii="宋体" w:hAnsi="宋体"/>
        </w:rPr>
        <w:t>3</w:t>
      </w:r>
      <w:r>
        <w:rPr>
          <w:rFonts w:hint="eastAsia" w:ascii="宋体" w:hAnsi="宋体"/>
        </w:rPr>
        <w:t>）投料试运行应在工程竣工验收后由发包人负责，如发包人要求在工程竣工验收前进行或需要承包人配合时，应征得承包人同意，另行签订补充协议。</w:t>
      </w:r>
    </w:p>
    <w:p w14:paraId="1D3B9239">
      <w:pPr>
        <w:spacing w:line="360" w:lineRule="auto"/>
        <w:ind w:firstLine="420" w:firstLineChars="200"/>
        <w:rPr>
          <w:rFonts w:ascii="宋体"/>
        </w:rPr>
      </w:pPr>
      <w:r>
        <w:rPr>
          <w:rFonts w:ascii="宋体" w:hAnsi="宋体"/>
        </w:rPr>
        <w:t xml:space="preserve">18.6.2  </w:t>
      </w:r>
      <w:r>
        <w:rPr>
          <w:rFonts w:hint="eastAsia" w:ascii="宋体" w:hAnsi="宋体"/>
        </w:rPr>
        <w:t>由于承包人的原因导致试运行失败的，承包人应采取措施保证试运行合格，并承担相应费用。由于发包人的原因导致试运行失败的，承包人应当采取措施保证试运行合格，发包人应承担由此产生的费用，并支付承包人合理利润。</w:t>
      </w:r>
    </w:p>
    <w:p w14:paraId="7B74C43A">
      <w:pPr>
        <w:keepNext/>
        <w:keepLines/>
        <w:spacing w:beforeLines="50" w:afterLines="50" w:line="360" w:lineRule="auto"/>
        <w:outlineLvl w:val="2"/>
        <w:rPr>
          <w:rFonts w:ascii="宋体" w:hAnsi="宋体"/>
          <w:sz w:val="24"/>
          <w:szCs w:val="20"/>
        </w:rPr>
      </w:pPr>
      <w:bookmarkStart w:id="1333" w:name="_Toc490222615"/>
      <w:bookmarkStart w:id="1334" w:name="_Toc486580170"/>
      <w:bookmarkStart w:id="1335" w:name="_Toc497213846"/>
      <w:bookmarkStart w:id="1336" w:name="_Toc489279981"/>
      <w:bookmarkStart w:id="1337" w:name="_Toc117597601"/>
      <w:r>
        <w:rPr>
          <w:rFonts w:ascii="宋体" w:hAnsi="宋体"/>
          <w:sz w:val="24"/>
          <w:szCs w:val="20"/>
        </w:rPr>
        <w:t xml:space="preserve">18.7  </w:t>
      </w:r>
      <w:r>
        <w:rPr>
          <w:rFonts w:hint="eastAsia" w:ascii="宋体" w:hAnsi="宋体"/>
          <w:sz w:val="24"/>
          <w:szCs w:val="20"/>
        </w:rPr>
        <w:t>竣工清场</w:t>
      </w:r>
      <w:bookmarkEnd w:id="1333"/>
      <w:bookmarkEnd w:id="1334"/>
      <w:bookmarkEnd w:id="1335"/>
      <w:bookmarkEnd w:id="1336"/>
      <w:bookmarkEnd w:id="1337"/>
    </w:p>
    <w:p w14:paraId="1A3BD3B0">
      <w:pPr>
        <w:spacing w:line="360" w:lineRule="auto"/>
        <w:ind w:firstLine="420" w:firstLineChars="200"/>
        <w:rPr>
          <w:rFonts w:ascii="宋体"/>
        </w:rPr>
      </w:pPr>
      <w:r>
        <w:rPr>
          <w:rFonts w:ascii="宋体" w:hAnsi="宋体"/>
        </w:rPr>
        <w:t xml:space="preserve">18.7.1  </w:t>
      </w:r>
      <w:r>
        <w:rPr>
          <w:rFonts w:hint="eastAsia" w:ascii="宋体" w:hAnsi="宋体"/>
        </w:rPr>
        <w:t>监理人颁发（出具）工程接收证书后，承包人负责按照以下要求对施工场地进行清理，直至监理人检验合格为止。竣工清场费用由承包人承担。</w:t>
      </w:r>
    </w:p>
    <w:p w14:paraId="2D396829">
      <w:pPr>
        <w:spacing w:line="360" w:lineRule="auto"/>
        <w:ind w:firstLine="420" w:firstLineChars="200"/>
        <w:rPr>
          <w:rFonts w:ascii="宋体"/>
        </w:rPr>
      </w:pPr>
      <w:r>
        <w:rPr>
          <w:rFonts w:hint="eastAsia" w:ascii="宋体" w:hAnsi="宋体"/>
        </w:rPr>
        <w:t>（</w:t>
      </w:r>
      <w:r>
        <w:rPr>
          <w:rFonts w:ascii="宋体" w:hAnsi="宋体"/>
        </w:rPr>
        <w:t>1</w:t>
      </w:r>
      <w:r>
        <w:rPr>
          <w:rFonts w:hint="eastAsia" w:ascii="宋体" w:hAnsi="宋体"/>
        </w:rPr>
        <w:t>）施工场地内残留的垃圾已全部清除出场；</w:t>
      </w:r>
    </w:p>
    <w:p w14:paraId="3A534437">
      <w:pPr>
        <w:spacing w:line="360" w:lineRule="auto"/>
        <w:ind w:firstLine="420" w:firstLineChars="200"/>
        <w:rPr>
          <w:rFonts w:ascii="宋体"/>
        </w:rPr>
      </w:pPr>
      <w:r>
        <w:rPr>
          <w:rFonts w:hint="eastAsia" w:ascii="宋体" w:hAnsi="宋体"/>
        </w:rPr>
        <w:t>（</w:t>
      </w:r>
      <w:r>
        <w:rPr>
          <w:rFonts w:ascii="宋体" w:hAnsi="宋体"/>
        </w:rPr>
        <w:t>2</w:t>
      </w:r>
      <w:r>
        <w:rPr>
          <w:rFonts w:hint="eastAsia" w:ascii="宋体" w:hAnsi="宋体"/>
        </w:rPr>
        <w:t>）临时工程已拆除，场地已按合同要求进行清理、平整或复原；</w:t>
      </w:r>
    </w:p>
    <w:p w14:paraId="3D204DBC">
      <w:pPr>
        <w:spacing w:line="360" w:lineRule="auto"/>
        <w:ind w:firstLine="420" w:firstLineChars="200"/>
        <w:rPr>
          <w:rFonts w:ascii="宋体"/>
        </w:rPr>
      </w:pPr>
      <w:r>
        <w:rPr>
          <w:rFonts w:hint="eastAsia" w:ascii="宋体" w:hAnsi="宋体"/>
        </w:rPr>
        <w:t>（</w:t>
      </w:r>
      <w:r>
        <w:rPr>
          <w:rFonts w:ascii="宋体" w:hAnsi="宋体"/>
        </w:rPr>
        <w:t>3</w:t>
      </w:r>
      <w:r>
        <w:rPr>
          <w:rFonts w:hint="eastAsia" w:ascii="宋体" w:hAnsi="宋体"/>
        </w:rPr>
        <w:t>）按合同约定应撤离的承包人设备和剩余的材料，包括废弃的施工设备和材料，已按计划撤离施工场地；</w:t>
      </w:r>
    </w:p>
    <w:p w14:paraId="45106B20">
      <w:pPr>
        <w:spacing w:line="360" w:lineRule="auto"/>
        <w:ind w:firstLine="420" w:firstLineChars="200"/>
        <w:rPr>
          <w:rFonts w:ascii="宋体"/>
        </w:rPr>
      </w:pPr>
      <w:r>
        <w:rPr>
          <w:rFonts w:hint="eastAsia" w:ascii="宋体" w:hAnsi="宋体"/>
        </w:rPr>
        <w:t>（</w:t>
      </w:r>
      <w:r>
        <w:rPr>
          <w:rFonts w:ascii="宋体" w:hAnsi="宋体"/>
        </w:rPr>
        <w:t>4</w:t>
      </w:r>
      <w:r>
        <w:rPr>
          <w:rFonts w:hint="eastAsia" w:ascii="宋体" w:hAnsi="宋体"/>
        </w:rPr>
        <w:t>）工程建筑物周边及其附近道路、河道的施工堆积物，已按监理人指示全部清理；</w:t>
      </w:r>
    </w:p>
    <w:p w14:paraId="2E1E7767">
      <w:pPr>
        <w:spacing w:line="360" w:lineRule="auto"/>
        <w:ind w:firstLine="420" w:firstLineChars="200"/>
        <w:rPr>
          <w:rFonts w:ascii="宋体"/>
        </w:rPr>
      </w:pPr>
      <w:r>
        <w:rPr>
          <w:rFonts w:hint="eastAsia" w:ascii="宋体" w:hAnsi="宋体"/>
        </w:rPr>
        <w:t>（</w:t>
      </w:r>
      <w:r>
        <w:rPr>
          <w:rFonts w:ascii="宋体" w:hAnsi="宋体"/>
        </w:rPr>
        <w:t>5</w:t>
      </w:r>
      <w:r>
        <w:rPr>
          <w:rFonts w:hint="eastAsia" w:ascii="宋体" w:hAnsi="宋体"/>
        </w:rPr>
        <w:t>）监理人指示的其他场地清理工作已全部完成。</w:t>
      </w:r>
    </w:p>
    <w:p w14:paraId="334E40CB">
      <w:pPr>
        <w:spacing w:line="360" w:lineRule="auto"/>
        <w:ind w:firstLine="420" w:firstLineChars="200"/>
        <w:rPr>
          <w:rFonts w:ascii="宋体"/>
        </w:rPr>
      </w:pPr>
      <w:r>
        <w:rPr>
          <w:rFonts w:ascii="宋体" w:hAnsi="宋体"/>
        </w:rPr>
        <w:t xml:space="preserve">18.7.2  </w:t>
      </w:r>
      <w:r>
        <w:rPr>
          <w:rFonts w:hint="eastAsia" w:ascii="宋体" w:hAnsi="宋体"/>
        </w:rPr>
        <w:t>承包人未按监理人的要求恢复临时占地，或者场地清理未达到合同约定的，发包人有权委托其他人恢复或清理，所发生的金额从拟支付给承包人的款项中扣除。</w:t>
      </w:r>
    </w:p>
    <w:p w14:paraId="73E5168E">
      <w:pPr>
        <w:keepNext/>
        <w:keepLines/>
        <w:spacing w:beforeLines="50" w:afterLines="50" w:line="360" w:lineRule="auto"/>
        <w:outlineLvl w:val="2"/>
        <w:rPr>
          <w:rFonts w:ascii="宋体" w:hAnsi="宋体"/>
          <w:sz w:val="24"/>
          <w:szCs w:val="20"/>
        </w:rPr>
      </w:pPr>
      <w:bookmarkStart w:id="1338" w:name="_Toc490222616"/>
      <w:bookmarkStart w:id="1339" w:name="_Toc497213847"/>
      <w:bookmarkStart w:id="1340" w:name="_Toc486580171"/>
      <w:bookmarkStart w:id="1341" w:name="_Toc117597602"/>
      <w:bookmarkStart w:id="1342" w:name="_Toc489279982"/>
      <w:r>
        <w:rPr>
          <w:rFonts w:ascii="宋体" w:hAnsi="宋体"/>
          <w:sz w:val="24"/>
          <w:szCs w:val="20"/>
        </w:rPr>
        <w:t xml:space="preserve">18.8  </w:t>
      </w:r>
      <w:r>
        <w:rPr>
          <w:rFonts w:hint="eastAsia" w:ascii="宋体" w:hAnsi="宋体"/>
          <w:sz w:val="24"/>
          <w:szCs w:val="20"/>
        </w:rPr>
        <w:t>施工队伍的撤离</w:t>
      </w:r>
      <w:bookmarkEnd w:id="1338"/>
      <w:bookmarkEnd w:id="1339"/>
      <w:bookmarkEnd w:id="1340"/>
      <w:bookmarkEnd w:id="1341"/>
      <w:bookmarkEnd w:id="1342"/>
    </w:p>
    <w:p w14:paraId="692D9A9A">
      <w:pPr>
        <w:spacing w:line="360" w:lineRule="auto"/>
        <w:ind w:firstLine="420" w:firstLineChars="200"/>
        <w:rPr>
          <w:rFonts w:ascii="宋体"/>
        </w:rPr>
      </w:pPr>
      <w:r>
        <w:rPr>
          <w:rFonts w:ascii="宋体" w:hAnsi="宋体"/>
        </w:rPr>
        <w:t xml:space="preserve">18.8.1  </w:t>
      </w:r>
      <w:r>
        <w:rPr>
          <w:rFonts w:hint="eastAsia" w:ascii="宋体" w:hAnsi="宋体"/>
        </w:rPr>
        <w:t>工程接收证书颁发后的</w:t>
      </w:r>
      <w:r>
        <w:rPr>
          <w:rFonts w:ascii="宋体" w:hAnsi="宋体"/>
        </w:rPr>
        <w:t>56</w:t>
      </w:r>
      <w:r>
        <w:rPr>
          <w:rFonts w:hint="eastAsia" w:ascii="宋体" w:hAnsi="宋体"/>
        </w:rPr>
        <w:t>天内，除了经监理人同意需在缺陷责任期内继续工作和使用的人员、施工设备和临时工程外，其余的人员、施工设备和临时工程均应撤离施工场地或拆除。</w:t>
      </w:r>
    </w:p>
    <w:p w14:paraId="3D686F32">
      <w:pPr>
        <w:spacing w:line="360" w:lineRule="auto"/>
        <w:ind w:firstLine="420" w:firstLineChars="200"/>
        <w:rPr>
          <w:rFonts w:ascii="宋体"/>
        </w:rPr>
      </w:pPr>
      <w:r>
        <w:rPr>
          <w:rFonts w:ascii="宋体" w:hAnsi="宋体"/>
        </w:rPr>
        <w:t xml:space="preserve">18.8.2  </w:t>
      </w:r>
      <w:r>
        <w:rPr>
          <w:rFonts w:hint="eastAsia" w:ascii="宋体" w:hAnsi="宋体"/>
        </w:rPr>
        <w:t>承包人撤离施工场地（现场）时，监理人和承包人应当办理永久工程和施工场地移交手续，移交手续以书面方式出具，并分别经过发包人、监理人和承包人的签认。但是，监理人和发包人未按第</w:t>
      </w:r>
      <w:r>
        <w:rPr>
          <w:rFonts w:ascii="宋体" w:hAnsi="宋体"/>
        </w:rPr>
        <w:t>17.5.2</w:t>
      </w:r>
      <w:r>
        <w:rPr>
          <w:rFonts w:hint="eastAsia" w:ascii="宋体" w:hAnsi="宋体"/>
        </w:rPr>
        <w:t>项约定的期限办清竣工结算和竣工付款的，本工程不得交付使用，发包人和监理人也无权要求承包人按合同约定的期限撤离施工场地（现场）和办理工程移交手续。</w:t>
      </w:r>
    </w:p>
    <w:p w14:paraId="07E302DC">
      <w:pPr>
        <w:spacing w:line="360" w:lineRule="auto"/>
        <w:ind w:firstLine="420" w:firstLineChars="200"/>
        <w:rPr>
          <w:rFonts w:ascii="宋体"/>
        </w:rPr>
      </w:pPr>
      <w:r>
        <w:rPr>
          <w:rFonts w:ascii="宋体" w:hAnsi="宋体"/>
        </w:rPr>
        <w:t xml:space="preserve">18.8.3  </w:t>
      </w:r>
      <w:r>
        <w:rPr>
          <w:rFonts w:hint="eastAsia" w:ascii="宋体" w:hAnsi="宋体"/>
        </w:rPr>
        <w:t>缺陷责任期满时，承包人的人员和施工设备应在合同约定期限内全部撤离施工场地。撤离施工场地的期限要求</w:t>
      </w:r>
      <w:r>
        <w:rPr>
          <w:rFonts w:hint="eastAsia" w:ascii="黑体" w:hAnsi="黑体" w:eastAsia="黑体"/>
        </w:rPr>
        <w:t>见合同条款专用部分</w:t>
      </w:r>
      <w:r>
        <w:rPr>
          <w:rFonts w:hint="eastAsia" w:ascii="宋体" w:hAnsi="宋体"/>
        </w:rPr>
        <w:t>。</w:t>
      </w:r>
    </w:p>
    <w:p w14:paraId="61E92155">
      <w:pPr>
        <w:keepNext/>
        <w:keepLines/>
        <w:spacing w:beforeLines="50" w:afterLines="50" w:line="360" w:lineRule="auto"/>
        <w:outlineLvl w:val="2"/>
        <w:rPr>
          <w:rFonts w:ascii="宋体" w:hAnsi="宋体"/>
          <w:sz w:val="24"/>
          <w:szCs w:val="20"/>
        </w:rPr>
      </w:pPr>
      <w:bookmarkStart w:id="1343" w:name="_Toc117597603"/>
      <w:bookmarkStart w:id="1344" w:name="_Toc490222617"/>
      <w:bookmarkStart w:id="1345" w:name="_Toc489279983"/>
      <w:bookmarkStart w:id="1346" w:name="_Toc497213848"/>
      <w:bookmarkStart w:id="1347" w:name="_Toc486580172"/>
      <w:r>
        <w:rPr>
          <w:rFonts w:ascii="宋体" w:hAnsi="宋体"/>
          <w:sz w:val="24"/>
          <w:szCs w:val="20"/>
        </w:rPr>
        <w:t xml:space="preserve">18.9  </w:t>
      </w:r>
      <w:r>
        <w:rPr>
          <w:rFonts w:hint="eastAsia" w:ascii="宋体" w:hAnsi="宋体"/>
          <w:sz w:val="24"/>
          <w:szCs w:val="20"/>
        </w:rPr>
        <w:t>中间验收</w:t>
      </w:r>
      <w:bookmarkEnd w:id="1343"/>
      <w:bookmarkEnd w:id="1344"/>
      <w:bookmarkEnd w:id="1345"/>
      <w:bookmarkEnd w:id="1346"/>
      <w:bookmarkEnd w:id="1347"/>
    </w:p>
    <w:p w14:paraId="62025C5A">
      <w:pPr>
        <w:spacing w:line="360" w:lineRule="auto"/>
        <w:ind w:firstLine="420" w:firstLineChars="200"/>
        <w:rPr>
          <w:rFonts w:ascii="宋体"/>
        </w:rPr>
      </w:pPr>
      <w:r>
        <w:rPr>
          <w:rFonts w:ascii="宋体" w:hAnsi="宋体"/>
        </w:rPr>
        <w:t xml:space="preserve">18.9.1  </w:t>
      </w:r>
      <w:r>
        <w:rPr>
          <w:rFonts w:hint="eastAsia" w:ascii="宋体" w:hAnsi="宋体"/>
        </w:rPr>
        <w:t>本工程需要按照合同约定进行中间验收。进行中间验收的部位</w:t>
      </w:r>
      <w:r>
        <w:rPr>
          <w:rFonts w:hint="eastAsia" w:ascii="黑体" w:hAnsi="黑体" w:eastAsia="黑体"/>
        </w:rPr>
        <w:t>见合同条款专用部分</w:t>
      </w:r>
      <w:r>
        <w:rPr>
          <w:rFonts w:hint="eastAsia" w:ascii="宋体" w:hAnsi="宋体"/>
        </w:rPr>
        <w:t>。</w:t>
      </w:r>
    </w:p>
    <w:p w14:paraId="415BFC40">
      <w:pPr>
        <w:spacing w:line="360" w:lineRule="auto"/>
        <w:ind w:firstLine="420" w:firstLineChars="200"/>
        <w:rPr>
          <w:rFonts w:ascii="宋体"/>
        </w:rPr>
      </w:pPr>
      <w:r>
        <w:rPr>
          <w:rFonts w:ascii="宋体" w:hAnsi="宋体"/>
        </w:rPr>
        <w:t xml:space="preserve">18.9.2  </w:t>
      </w:r>
      <w:r>
        <w:rPr>
          <w:rFonts w:hint="eastAsia" w:ascii="宋体" w:hAnsi="宋体"/>
        </w:rPr>
        <w:t>当工程进度达到第</w:t>
      </w:r>
      <w:r>
        <w:rPr>
          <w:rFonts w:ascii="宋体" w:hAnsi="宋体"/>
        </w:rPr>
        <w:t>18.9.1</w:t>
      </w:r>
      <w:r>
        <w:rPr>
          <w:rFonts w:hint="eastAsia" w:ascii="宋体" w:hAnsi="宋体"/>
        </w:rPr>
        <w:t>项约定的中间验收部位时，承包人应当进行自检，并在中间验收前</w:t>
      </w:r>
      <w:r>
        <w:rPr>
          <w:rFonts w:ascii="宋体" w:hAnsi="宋体"/>
        </w:rPr>
        <w:t>48</w:t>
      </w:r>
      <w:r>
        <w:rPr>
          <w:rFonts w:hint="eastAsia" w:ascii="宋体" w:hAnsi="宋体"/>
        </w:rPr>
        <w:t>小时以书面形式通知监理人验收。书面通知应包括中间验收的内容、验收时间和地点。承包人应当准备验收记录。只有监理人验收合格并在验收记录上签字后，承包人方可继续施工。验收不合格的，承包人在合同约定的期限内修改后重新验收。重新验收的期限</w:t>
      </w:r>
      <w:r>
        <w:rPr>
          <w:rFonts w:hint="eastAsia" w:ascii="黑体" w:hAnsi="黑体" w:eastAsia="黑体"/>
        </w:rPr>
        <w:t>见合同条款专用部分</w:t>
      </w:r>
      <w:r>
        <w:rPr>
          <w:rFonts w:hint="eastAsia" w:ascii="宋体" w:hAnsi="宋体"/>
        </w:rPr>
        <w:t>。</w:t>
      </w:r>
    </w:p>
    <w:p w14:paraId="03ABF480">
      <w:pPr>
        <w:spacing w:line="360" w:lineRule="auto"/>
        <w:ind w:firstLine="420" w:firstLineChars="200"/>
        <w:rPr>
          <w:rFonts w:ascii="宋体"/>
        </w:rPr>
      </w:pPr>
      <w:r>
        <w:rPr>
          <w:rFonts w:ascii="宋体" w:hAnsi="宋体"/>
        </w:rPr>
        <w:t xml:space="preserve">18.9.3  </w:t>
      </w:r>
      <w:r>
        <w:rPr>
          <w:rFonts w:hint="eastAsia" w:ascii="宋体" w:hAnsi="宋体"/>
        </w:rPr>
        <w:t>监理人不能按时进行验收的，应在验收前至少</w:t>
      </w:r>
      <w:r>
        <w:rPr>
          <w:rFonts w:ascii="宋体" w:hAnsi="宋体"/>
        </w:rPr>
        <w:t>24</w:t>
      </w:r>
      <w:r>
        <w:rPr>
          <w:rFonts w:hint="eastAsia" w:ascii="宋体" w:hAnsi="宋体"/>
        </w:rPr>
        <w:t>小时以书面形式向承包人提出延期要求，但延期不能超过</w:t>
      </w:r>
      <w:r>
        <w:rPr>
          <w:rFonts w:ascii="宋体" w:hAnsi="宋体"/>
        </w:rPr>
        <w:t>48</w:t>
      </w:r>
      <w:r>
        <w:rPr>
          <w:rFonts w:hint="eastAsia" w:ascii="宋体" w:hAnsi="宋体"/>
        </w:rPr>
        <w:t>小时。监理人未能按本款约定的时限提出延期要求，又未按期进行验收的，承包人可自行组织验收，监理人必须认同验收记录。</w:t>
      </w:r>
    </w:p>
    <w:p w14:paraId="69F61CAA">
      <w:pPr>
        <w:spacing w:line="360" w:lineRule="auto"/>
        <w:ind w:firstLine="420" w:firstLineChars="200"/>
        <w:rPr>
          <w:rFonts w:ascii="宋体"/>
        </w:rPr>
      </w:pPr>
      <w:r>
        <w:rPr>
          <w:rFonts w:hint="eastAsia" w:ascii="宋体" w:hAnsi="宋体"/>
        </w:rPr>
        <w:t>经监理人验收后工程质量符合约定的验收标准，但验收</w:t>
      </w:r>
      <w:r>
        <w:rPr>
          <w:rFonts w:ascii="宋体" w:hAnsi="宋体"/>
        </w:rPr>
        <w:t>24</w:t>
      </w:r>
      <w:r>
        <w:rPr>
          <w:rFonts w:hint="eastAsia" w:ascii="宋体" w:hAnsi="宋体"/>
        </w:rPr>
        <w:t>小时后监理人仍不在验收记录上签字的，视为监理人已经认可验收记录，承包人可继续施工。</w:t>
      </w:r>
    </w:p>
    <w:p w14:paraId="3FECAEBE">
      <w:pPr>
        <w:keepNext/>
        <w:keepLines/>
        <w:spacing w:beforeLines="50" w:afterLines="50" w:line="360" w:lineRule="auto"/>
        <w:outlineLvl w:val="1"/>
        <w:rPr>
          <w:rFonts w:ascii="宋体" w:hAnsi="宋体" w:cs="宋体"/>
          <w:sz w:val="28"/>
          <w:szCs w:val="20"/>
        </w:rPr>
      </w:pPr>
      <w:bookmarkStart w:id="1348" w:name="_Toc117597604"/>
      <w:bookmarkStart w:id="1349" w:name="_Toc486580173"/>
      <w:bookmarkStart w:id="1350" w:name="_Toc490222618"/>
      <w:bookmarkStart w:id="1351" w:name="_Toc489279984"/>
      <w:bookmarkStart w:id="1352" w:name="_Toc497213849"/>
      <w:r>
        <w:rPr>
          <w:rFonts w:ascii="宋体" w:hAnsi="宋体" w:cs="宋体"/>
          <w:sz w:val="28"/>
          <w:szCs w:val="20"/>
        </w:rPr>
        <w:t>19.</w:t>
      </w:r>
      <w:r>
        <w:rPr>
          <w:rFonts w:hint="eastAsia" w:ascii="宋体" w:hAnsi="宋体" w:cs="宋体"/>
          <w:sz w:val="28"/>
          <w:szCs w:val="20"/>
        </w:rPr>
        <w:t>缺陷责任与保修责任</w:t>
      </w:r>
      <w:bookmarkEnd w:id="1348"/>
      <w:bookmarkEnd w:id="1349"/>
      <w:bookmarkEnd w:id="1350"/>
      <w:bookmarkEnd w:id="1351"/>
      <w:bookmarkEnd w:id="1352"/>
    </w:p>
    <w:p w14:paraId="207837A0">
      <w:pPr>
        <w:keepNext/>
        <w:keepLines/>
        <w:spacing w:beforeLines="50" w:afterLines="50" w:line="360" w:lineRule="auto"/>
        <w:outlineLvl w:val="2"/>
        <w:rPr>
          <w:rFonts w:ascii="宋体" w:hAnsi="宋体"/>
          <w:sz w:val="24"/>
          <w:szCs w:val="20"/>
        </w:rPr>
      </w:pPr>
      <w:bookmarkStart w:id="1353" w:name="_Toc117597605"/>
      <w:bookmarkStart w:id="1354" w:name="_Toc490222619"/>
      <w:bookmarkStart w:id="1355" w:name="_Toc497213850"/>
      <w:bookmarkStart w:id="1356" w:name="_Toc489279985"/>
      <w:bookmarkStart w:id="1357" w:name="_Toc486580174"/>
      <w:r>
        <w:rPr>
          <w:rFonts w:ascii="宋体" w:hAnsi="宋体"/>
          <w:sz w:val="24"/>
          <w:szCs w:val="20"/>
        </w:rPr>
        <w:t xml:space="preserve">19.1  </w:t>
      </w:r>
      <w:r>
        <w:rPr>
          <w:rFonts w:hint="eastAsia" w:ascii="宋体" w:hAnsi="宋体"/>
          <w:sz w:val="24"/>
          <w:szCs w:val="20"/>
        </w:rPr>
        <w:t>缺陷责任期的起算时间</w:t>
      </w:r>
      <w:bookmarkEnd w:id="1353"/>
      <w:bookmarkEnd w:id="1354"/>
      <w:bookmarkEnd w:id="1355"/>
      <w:bookmarkEnd w:id="1356"/>
      <w:bookmarkEnd w:id="1357"/>
    </w:p>
    <w:p w14:paraId="276C70E9">
      <w:pPr>
        <w:spacing w:line="360" w:lineRule="auto"/>
        <w:ind w:firstLine="420" w:firstLineChars="200"/>
        <w:rPr>
          <w:rFonts w:ascii="宋体"/>
        </w:rPr>
      </w:pPr>
      <w:r>
        <w:rPr>
          <w:rFonts w:hint="eastAsia" w:ascii="宋体" w:hAnsi="宋体"/>
        </w:rPr>
        <w:t>缺陷责任期自实际竣工日期起计算。在全部工程竣工验收前，已经发包人提前验收的单位工程，其缺陷责任期的起算日期相应提前。</w:t>
      </w:r>
    </w:p>
    <w:p w14:paraId="7CC4C687">
      <w:pPr>
        <w:keepNext/>
        <w:keepLines/>
        <w:spacing w:beforeLines="50" w:afterLines="50" w:line="360" w:lineRule="auto"/>
        <w:outlineLvl w:val="2"/>
        <w:rPr>
          <w:rFonts w:ascii="宋体" w:hAnsi="宋体"/>
          <w:sz w:val="24"/>
          <w:szCs w:val="20"/>
        </w:rPr>
      </w:pPr>
      <w:bookmarkStart w:id="1358" w:name="_Toc497213851"/>
      <w:bookmarkStart w:id="1359" w:name="_Toc486580175"/>
      <w:bookmarkStart w:id="1360" w:name="_Toc489279986"/>
      <w:bookmarkStart w:id="1361" w:name="_Toc490222620"/>
      <w:bookmarkStart w:id="1362" w:name="_Toc117597606"/>
      <w:r>
        <w:rPr>
          <w:rFonts w:ascii="宋体" w:hAnsi="宋体"/>
          <w:sz w:val="24"/>
          <w:szCs w:val="20"/>
        </w:rPr>
        <w:t xml:space="preserve">19.2  </w:t>
      </w:r>
      <w:r>
        <w:rPr>
          <w:rFonts w:hint="eastAsia" w:ascii="宋体" w:hAnsi="宋体"/>
          <w:sz w:val="24"/>
          <w:szCs w:val="20"/>
        </w:rPr>
        <w:t>缺陷责任</w:t>
      </w:r>
      <w:bookmarkEnd w:id="1358"/>
      <w:bookmarkEnd w:id="1359"/>
      <w:bookmarkEnd w:id="1360"/>
      <w:bookmarkEnd w:id="1361"/>
      <w:bookmarkEnd w:id="1362"/>
    </w:p>
    <w:p w14:paraId="6EAAA0F3">
      <w:pPr>
        <w:spacing w:line="360" w:lineRule="auto"/>
        <w:ind w:firstLine="420" w:firstLineChars="200"/>
        <w:rPr>
          <w:rFonts w:ascii="宋体"/>
        </w:rPr>
      </w:pPr>
      <w:r>
        <w:rPr>
          <w:rFonts w:ascii="宋体" w:hAnsi="宋体"/>
        </w:rPr>
        <w:t xml:space="preserve">19.2.1  </w:t>
      </w:r>
      <w:r>
        <w:rPr>
          <w:rFonts w:hint="eastAsia" w:ascii="宋体" w:hAnsi="宋体"/>
        </w:rPr>
        <w:t>承包人应在缺陷责任期内对已交付使用的工程承担缺陷责任。</w:t>
      </w:r>
    </w:p>
    <w:p w14:paraId="7D8BA03D">
      <w:pPr>
        <w:spacing w:line="360" w:lineRule="auto"/>
        <w:ind w:firstLine="420" w:firstLineChars="200"/>
        <w:rPr>
          <w:rFonts w:ascii="宋体"/>
        </w:rPr>
      </w:pPr>
      <w:r>
        <w:rPr>
          <w:rFonts w:ascii="宋体" w:hAnsi="宋体"/>
        </w:rPr>
        <w:t xml:space="preserve">19.2.2  </w:t>
      </w:r>
      <w:r>
        <w:rPr>
          <w:rFonts w:hint="eastAsia" w:ascii="宋体" w:hAnsi="宋体"/>
        </w:rPr>
        <w:t>缺陷责任期内，发包人对已接收使用的工程负责日常维护工作。发包人在使用过程中，发现已接收的工程存在新的缺陷或已修复的缺陷部位或部件又遭损坏的，承包人应负责修复，直至检验合格为止。</w:t>
      </w:r>
    </w:p>
    <w:p w14:paraId="000DC984">
      <w:pPr>
        <w:spacing w:line="360" w:lineRule="auto"/>
        <w:ind w:firstLine="420" w:firstLineChars="200"/>
        <w:rPr>
          <w:rFonts w:ascii="宋体"/>
        </w:rPr>
      </w:pPr>
      <w:r>
        <w:rPr>
          <w:rFonts w:ascii="宋体" w:hAnsi="宋体"/>
        </w:rPr>
        <w:t xml:space="preserve">19.2.3  </w:t>
      </w:r>
      <w:r>
        <w:rPr>
          <w:rFonts w:hint="eastAsia" w:ascii="宋体" w:hAnsi="宋体"/>
        </w:rPr>
        <w:t>监理人和承包人应共同查清缺陷和（或）损坏的原因。经查明属承包人原因造成的，应由承包人承担修复和查验的费用。经查验属发包人原因造成的，发包人应承担修复和查验的费用，并支付承包人合理利润。</w:t>
      </w:r>
    </w:p>
    <w:p w14:paraId="1B6DF4BC">
      <w:pPr>
        <w:spacing w:line="360" w:lineRule="auto"/>
        <w:ind w:firstLine="420" w:firstLineChars="200"/>
        <w:rPr>
          <w:rFonts w:ascii="宋体"/>
        </w:rPr>
      </w:pPr>
      <w:r>
        <w:rPr>
          <w:rFonts w:ascii="宋体" w:hAnsi="宋体"/>
        </w:rPr>
        <w:t xml:space="preserve">19.2.4  </w:t>
      </w:r>
      <w:r>
        <w:rPr>
          <w:rFonts w:hint="eastAsia" w:ascii="宋体" w:hAnsi="宋体"/>
        </w:rPr>
        <w:t>承包人不能在合理时间内修复缺陷的，发包人可自行修复或委托其他人修复，所需费用和利润的承担，按第</w:t>
      </w:r>
      <w:r>
        <w:rPr>
          <w:rFonts w:ascii="宋体" w:hAnsi="宋体"/>
        </w:rPr>
        <w:t>19.2.3</w:t>
      </w:r>
      <w:r>
        <w:rPr>
          <w:rFonts w:hint="eastAsia" w:ascii="宋体" w:hAnsi="宋体"/>
        </w:rPr>
        <w:t>项约定办理。</w:t>
      </w:r>
    </w:p>
    <w:p w14:paraId="3252763A">
      <w:pPr>
        <w:keepNext/>
        <w:keepLines/>
        <w:spacing w:beforeLines="50" w:afterLines="50" w:line="360" w:lineRule="auto"/>
        <w:outlineLvl w:val="2"/>
        <w:rPr>
          <w:rFonts w:ascii="宋体" w:hAnsi="宋体"/>
          <w:sz w:val="24"/>
          <w:szCs w:val="20"/>
        </w:rPr>
      </w:pPr>
      <w:bookmarkStart w:id="1363" w:name="_Toc497213852"/>
      <w:bookmarkStart w:id="1364" w:name="_Toc117597607"/>
      <w:bookmarkStart w:id="1365" w:name="_Toc486580176"/>
      <w:bookmarkStart w:id="1366" w:name="_Toc489279987"/>
      <w:bookmarkStart w:id="1367" w:name="_Toc490222621"/>
      <w:r>
        <w:rPr>
          <w:rFonts w:ascii="宋体" w:hAnsi="宋体"/>
          <w:sz w:val="24"/>
          <w:szCs w:val="20"/>
        </w:rPr>
        <w:t xml:space="preserve">19.3  </w:t>
      </w:r>
      <w:r>
        <w:rPr>
          <w:rFonts w:hint="eastAsia" w:ascii="宋体" w:hAnsi="宋体"/>
          <w:sz w:val="24"/>
          <w:szCs w:val="20"/>
        </w:rPr>
        <w:t>缺陷责任期的延长</w:t>
      </w:r>
      <w:bookmarkEnd w:id="1363"/>
      <w:bookmarkEnd w:id="1364"/>
      <w:bookmarkEnd w:id="1365"/>
      <w:bookmarkEnd w:id="1366"/>
      <w:bookmarkEnd w:id="1367"/>
    </w:p>
    <w:p w14:paraId="77C1CEA1">
      <w:pPr>
        <w:spacing w:line="360" w:lineRule="auto"/>
        <w:ind w:firstLine="420" w:firstLineChars="200"/>
        <w:rPr>
          <w:rFonts w:ascii="宋体"/>
        </w:rPr>
      </w:pPr>
      <w:r>
        <w:rPr>
          <w:rFonts w:hint="eastAsia" w:ascii="宋体" w:hAnsi="宋体"/>
        </w:rPr>
        <w:t>由于承包人原因造成某项缺陷或损坏，使某项工程或工程设备不能按原定目标使用，需要再次检查、检验和修复的，发包人有权要求承包人相应延长缺陷责任期，但缺陷责任期最长不超过</w:t>
      </w:r>
      <w:r>
        <w:rPr>
          <w:rFonts w:ascii="宋体" w:hAnsi="宋体"/>
        </w:rPr>
        <w:t>2</w:t>
      </w:r>
      <w:r>
        <w:rPr>
          <w:rFonts w:hint="eastAsia" w:ascii="宋体" w:hAnsi="宋体"/>
        </w:rPr>
        <w:t>年。</w:t>
      </w:r>
    </w:p>
    <w:p w14:paraId="21D9DE4A">
      <w:pPr>
        <w:keepNext/>
        <w:keepLines/>
        <w:spacing w:beforeLines="50" w:afterLines="50" w:line="360" w:lineRule="auto"/>
        <w:outlineLvl w:val="2"/>
        <w:rPr>
          <w:rFonts w:ascii="宋体" w:hAnsi="宋体"/>
          <w:sz w:val="24"/>
          <w:szCs w:val="20"/>
        </w:rPr>
      </w:pPr>
      <w:bookmarkStart w:id="1368" w:name="_Toc486580177"/>
      <w:bookmarkStart w:id="1369" w:name="_Toc117597608"/>
      <w:bookmarkStart w:id="1370" w:name="_Toc489279988"/>
      <w:bookmarkStart w:id="1371" w:name="_Toc497213853"/>
      <w:bookmarkStart w:id="1372" w:name="_Toc490222622"/>
      <w:r>
        <w:rPr>
          <w:rFonts w:ascii="宋体" w:hAnsi="宋体"/>
          <w:sz w:val="24"/>
          <w:szCs w:val="20"/>
        </w:rPr>
        <w:t xml:space="preserve">19.4  </w:t>
      </w:r>
      <w:r>
        <w:rPr>
          <w:rFonts w:hint="eastAsia" w:ascii="宋体" w:hAnsi="宋体"/>
          <w:sz w:val="24"/>
          <w:szCs w:val="20"/>
        </w:rPr>
        <w:t>进一步试验和试运行</w:t>
      </w:r>
      <w:bookmarkEnd w:id="1368"/>
      <w:bookmarkEnd w:id="1369"/>
      <w:bookmarkEnd w:id="1370"/>
      <w:bookmarkEnd w:id="1371"/>
      <w:bookmarkEnd w:id="1372"/>
    </w:p>
    <w:p w14:paraId="478DAE8C">
      <w:pPr>
        <w:spacing w:line="360" w:lineRule="auto"/>
        <w:ind w:firstLine="420" w:firstLineChars="200"/>
        <w:rPr>
          <w:rFonts w:ascii="宋体"/>
        </w:rPr>
      </w:pPr>
      <w:r>
        <w:rPr>
          <w:rFonts w:hint="eastAsia" w:ascii="宋体" w:hAnsi="宋体"/>
        </w:rPr>
        <w:t>任何一项缺陷或损坏修复后，经检查证明其影响了工程或工程设备的使用性能，承包人应重新进行合同约定的试验和试运行，试验和试运行的全部费用应由责任方承担。</w:t>
      </w:r>
    </w:p>
    <w:p w14:paraId="74B146E2">
      <w:pPr>
        <w:keepNext/>
        <w:keepLines/>
        <w:spacing w:beforeLines="50" w:afterLines="50" w:line="360" w:lineRule="auto"/>
        <w:outlineLvl w:val="2"/>
        <w:rPr>
          <w:rFonts w:ascii="宋体" w:hAnsi="宋体"/>
          <w:sz w:val="24"/>
          <w:szCs w:val="20"/>
        </w:rPr>
      </w:pPr>
      <w:bookmarkStart w:id="1373" w:name="_Toc490222623"/>
      <w:bookmarkStart w:id="1374" w:name="_Toc117597609"/>
      <w:bookmarkStart w:id="1375" w:name="_Toc489279989"/>
      <w:bookmarkStart w:id="1376" w:name="_Toc486580178"/>
      <w:bookmarkStart w:id="1377" w:name="_Toc497213854"/>
      <w:r>
        <w:rPr>
          <w:rFonts w:ascii="宋体" w:hAnsi="宋体"/>
          <w:sz w:val="24"/>
          <w:szCs w:val="20"/>
        </w:rPr>
        <w:t xml:space="preserve">19.5  </w:t>
      </w:r>
      <w:r>
        <w:rPr>
          <w:rFonts w:hint="eastAsia" w:ascii="宋体" w:hAnsi="宋体"/>
          <w:sz w:val="24"/>
          <w:szCs w:val="20"/>
        </w:rPr>
        <w:t>承包人的进入权</w:t>
      </w:r>
      <w:bookmarkEnd w:id="1373"/>
      <w:bookmarkEnd w:id="1374"/>
      <w:bookmarkEnd w:id="1375"/>
      <w:bookmarkEnd w:id="1376"/>
      <w:bookmarkEnd w:id="1377"/>
    </w:p>
    <w:p w14:paraId="0F17FDDC">
      <w:pPr>
        <w:spacing w:line="360" w:lineRule="auto"/>
        <w:ind w:firstLine="420" w:firstLineChars="200"/>
        <w:rPr>
          <w:rFonts w:ascii="宋体"/>
        </w:rPr>
      </w:pPr>
      <w:r>
        <w:rPr>
          <w:rFonts w:hint="eastAsia" w:ascii="宋体" w:hAnsi="宋体"/>
        </w:rPr>
        <w:t>缺陷责任期内承包人为缺陷修复工作需要，有权进入工程现场，但应遵守发包人的保安和保密规定。</w:t>
      </w:r>
    </w:p>
    <w:p w14:paraId="048177D1">
      <w:pPr>
        <w:keepNext/>
        <w:keepLines/>
        <w:spacing w:beforeLines="50" w:afterLines="50" w:line="360" w:lineRule="auto"/>
        <w:outlineLvl w:val="2"/>
        <w:rPr>
          <w:rFonts w:ascii="宋体" w:hAnsi="宋体"/>
          <w:sz w:val="24"/>
          <w:szCs w:val="20"/>
        </w:rPr>
      </w:pPr>
      <w:bookmarkStart w:id="1378" w:name="_Toc497213855"/>
      <w:bookmarkStart w:id="1379" w:name="_Toc117597610"/>
      <w:bookmarkStart w:id="1380" w:name="_Toc490222624"/>
      <w:bookmarkStart w:id="1381" w:name="_Toc486580179"/>
      <w:bookmarkStart w:id="1382" w:name="_Toc489279990"/>
      <w:r>
        <w:rPr>
          <w:rFonts w:ascii="宋体" w:hAnsi="宋体"/>
          <w:sz w:val="24"/>
          <w:szCs w:val="20"/>
        </w:rPr>
        <w:t xml:space="preserve">19.6  </w:t>
      </w:r>
      <w:r>
        <w:rPr>
          <w:rFonts w:hint="eastAsia" w:ascii="宋体" w:hAnsi="宋体"/>
          <w:sz w:val="24"/>
          <w:szCs w:val="20"/>
        </w:rPr>
        <w:t>缺陷责任期终止证书</w:t>
      </w:r>
      <w:bookmarkEnd w:id="1378"/>
      <w:bookmarkEnd w:id="1379"/>
      <w:bookmarkEnd w:id="1380"/>
      <w:bookmarkEnd w:id="1381"/>
      <w:bookmarkEnd w:id="1382"/>
    </w:p>
    <w:p w14:paraId="79043BCD">
      <w:pPr>
        <w:spacing w:line="360" w:lineRule="auto"/>
        <w:ind w:firstLine="420" w:firstLineChars="200"/>
        <w:rPr>
          <w:rFonts w:ascii="宋体"/>
        </w:rPr>
      </w:pPr>
      <w:r>
        <w:rPr>
          <w:rFonts w:hint="eastAsia" w:ascii="宋体" w:hAnsi="宋体"/>
        </w:rPr>
        <w:t>在第</w:t>
      </w:r>
      <w:r>
        <w:rPr>
          <w:rFonts w:ascii="宋体" w:hAnsi="宋体"/>
        </w:rPr>
        <w:t>1.1.4.5</w:t>
      </w:r>
      <w:r>
        <w:rPr>
          <w:rFonts w:hint="eastAsia" w:ascii="宋体" w:hAnsi="宋体"/>
        </w:rPr>
        <w:t>目约定的缺陷责任期，包括根据第</w:t>
      </w:r>
      <w:r>
        <w:rPr>
          <w:rFonts w:ascii="宋体" w:hAnsi="宋体"/>
        </w:rPr>
        <w:t>19.3</w:t>
      </w:r>
      <w:r>
        <w:rPr>
          <w:rFonts w:hint="eastAsia" w:ascii="宋体" w:hAnsi="宋体"/>
        </w:rPr>
        <w:t>款延长的期限终止后</w:t>
      </w:r>
      <w:r>
        <w:rPr>
          <w:rFonts w:ascii="宋体" w:hAnsi="宋体"/>
        </w:rPr>
        <w:t>14</w:t>
      </w:r>
      <w:r>
        <w:rPr>
          <w:rFonts w:hint="eastAsia" w:ascii="宋体" w:hAnsi="宋体"/>
        </w:rPr>
        <w:t>天内，由监理人向承包人出具经发包人签认的缺陷责任期终止证书，并退还剩余的质量保证金或退还保函。</w:t>
      </w:r>
    </w:p>
    <w:p w14:paraId="0756C5BE">
      <w:pPr>
        <w:keepNext/>
        <w:keepLines/>
        <w:spacing w:beforeLines="50" w:afterLines="50" w:line="360" w:lineRule="auto"/>
        <w:outlineLvl w:val="2"/>
        <w:rPr>
          <w:rFonts w:ascii="宋体" w:hAnsi="宋体"/>
          <w:sz w:val="24"/>
          <w:szCs w:val="20"/>
        </w:rPr>
      </w:pPr>
      <w:bookmarkStart w:id="1383" w:name="_Toc497213856"/>
      <w:bookmarkStart w:id="1384" w:name="_Toc489279991"/>
      <w:bookmarkStart w:id="1385" w:name="_Toc117597611"/>
      <w:bookmarkStart w:id="1386" w:name="_Toc486580180"/>
      <w:bookmarkStart w:id="1387" w:name="_Toc490222625"/>
      <w:r>
        <w:rPr>
          <w:rFonts w:ascii="宋体" w:hAnsi="宋体"/>
          <w:sz w:val="24"/>
          <w:szCs w:val="20"/>
        </w:rPr>
        <w:t xml:space="preserve">19.7  </w:t>
      </w:r>
      <w:r>
        <w:rPr>
          <w:rFonts w:hint="eastAsia" w:ascii="宋体" w:hAnsi="宋体"/>
          <w:sz w:val="24"/>
          <w:szCs w:val="20"/>
        </w:rPr>
        <w:t>保修责任</w:t>
      </w:r>
      <w:bookmarkEnd w:id="1383"/>
      <w:bookmarkEnd w:id="1384"/>
      <w:bookmarkEnd w:id="1385"/>
      <w:bookmarkEnd w:id="1386"/>
      <w:bookmarkEnd w:id="1387"/>
    </w:p>
    <w:p w14:paraId="7B8EF674">
      <w:pPr>
        <w:spacing w:line="360" w:lineRule="auto"/>
        <w:ind w:firstLine="420" w:firstLineChars="200"/>
        <w:rPr>
          <w:rFonts w:ascii="宋体"/>
        </w:rPr>
      </w:pPr>
      <w:r>
        <w:rPr>
          <w:rFonts w:ascii="宋体" w:hAnsi="宋体"/>
        </w:rPr>
        <w:t xml:space="preserve">19.7.1  </w:t>
      </w:r>
      <w:r>
        <w:rPr>
          <w:rFonts w:hint="eastAsia" w:ascii="宋体" w:hAnsi="宋体"/>
        </w:rPr>
        <w:t>合同当事人根据有关法律法规规定明确工程质量保修范围、期限和责任。保修期自实际竣工日期起计算。在全部工程竣工验收前，已经发包人提前验收的单位工程，其保修期的起算日期相应提前。工程质量保修范围、期限和责任</w:t>
      </w:r>
      <w:r>
        <w:rPr>
          <w:rFonts w:hint="eastAsia" w:ascii="黑体" w:hAnsi="黑体" w:eastAsia="黑体"/>
        </w:rPr>
        <w:t>见合同条款专用部分</w:t>
      </w:r>
      <w:r>
        <w:rPr>
          <w:rFonts w:hint="eastAsia" w:ascii="宋体" w:hAnsi="宋体"/>
        </w:rPr>
        <w:t>。</w:t>
      </w:r>
    </w:p>
    <w:p w14:paraId="59899619">
      <w:pPr>
        <w:spacing w:line="360" w:lineRule="auto"/>
        <w:ind w:firstLine="420" w:firstLineChars="200"/>
        <w:rPr>
          <w:rFonts w:ascii="宋体"/>
        </w:rPr>
      </w:pPr>
      <w:r>
        <w:rPr>
          <w:rFonts w:ascii="宋体" w:hAnsi="宋体"/>
        </w:rPr>
        <w:t xml:space="preserve">19.7.2  </w:t>
      </w:r>
      <w:r>
        <w:rPr>
          <w:rFonts w:hint="eastAsia" w:ascii="宋体" w:hAnsi="宋体"/>
        </w:rPr>
        <w:t>质量保修书是竣工验收申请报告的组成内容。承包人应当按照有关法律法规规定和合同所附的格式出具质量保修书，质量保修书的主要内容应当与本款上述约定内容一致。承包人在递交合同条款第</w:t>
      </w:r>
      <w:r>
        <w:rPr>
          <w:rFonts w:ascii="宋体" w:hAnsi="宋体"/>
        </w:rPr>
        <w:t>18.2</w:t>
      </w:r>
      <w:r>
        <w:rPr>
          <w:rFonts w:hint="eastAsia" w:ascii="宋体" w:hAnsi="宋体"/>
        </w:rPr>
        <w:t>款约定的竣工验收报告的同时，将质量保修书一并报送监理人。</w:t>
      </w:r>
    </w:p>
    <w:p w14:paraId="24975AD4">
      <w:pPr>
        <w:keepNext/>
        <w:keepLines/>
        <w:spacing w:beforeLines="50" w:afterLines="50" w:line="360" w:lineRule="auto"/>
        <w:outlineLvl w:val="1"/>
        <w:rPr>
          <w:rFonts w:ascii="宋体" w:hAnsi="宋体" w:cs="宋体"/>
          <w:sz w:val="28"/>
          <w:szCs w:val="20"/>
        </w:rPr>
      </w:pPr>
      <w:bookmarkStart w:id="1388" w:name="_Toc490222626"/>
      <w:bookmarkStart w:id="1389" w:name="_Toc486580181"/>
      <w:bookmarkStart w:id="1390" w:name="_Toc117597612"/>
      <w:bookmarkStart w:id="1391" w:name="_Toc489279992"/>
      <w:bookmarkStart w:id="1392" w:name="_Toc497213857"/>
      <w:r>
        <w:rPr>
          <w:rFonts w:ascii="宋体" w:hAnsi="宋体" w:cs="宋体"/>
          <w:sz w:val="28"/>
          <w:szCs w:val="20"/>
        </w:rPr>
        <w:t>20.</w:t>
      </w:r>
      <w:r>
        <w:rPr>
          <w:rFonts w:hint="eastAsia" w:ascii="宋体" w:hAnsi="宋体" w:cs="宋体"/>
          <w:sz w:val="28"/>
          <w:szCs w:val="20"/>
        </w:rPr>
        <w:t>保险</w:t>
      </w:r>
      <w:bookmarkEnd w:id="1388"/>
      <w:bookmarkEnd w:id="1389"/>
      <w:bookmarkEnd w:id="1390"/>
      <w:bookmarkEnd w:id="1391"/>
      <w:bookmarkEnd w:id="1392"/>
    </w:p>
    <w:p w14:paraId="24C4778B">
      <w:pPr>
        <w:keepNext/>
        <w:keepLines/>
        <w:spacing w:beforeLines="50" w:afterLines="50" w:line="360" w:lineRule="auto"/>
        <w:outlineLvl w:val="2"/>
        <w:rPr>
          <w:rFonts w:ascii="宋体" w:hAnsi="宋体"/>
          <w:sz w:val="24"/>
          <w:szCs w:val="20"/>
        </w:rPr>
      </w:pPr>
      <w:bookmarkStart w:id="1393" w:name="_Toc497213858"/>
      <w:bookmarkStart w:id="1394" w:name="_Toc490222627"/>
      <w:bookmarkStart w:id="1395" w:name="_Toc117597613"/>
      <w:bookmarkStart w:id="1396" w:name="_Toc489279993"/>
      <w:bookmarkStart w:id="1397" w:name="_Toc486580182"/>
      <w:r>
        <w:rPr>
          <w:rFonts w:ascii="宋体" w:hAnsi="宋体"/>
          <w:sz w:val="24"/>
          <w:szCs w:val="20"/>
        </w:rPr>
        <w:t xml:space="preserve">20.1  </w:t>
      </w:r>
      <w:r>
        <w:rPr>
          <w:rFonts w:hint="eastAsia" w:ascii="宋体" w:hAnsi="宋体"/>
          <w:sz w:val="24"/>
          <w:szCs w:val="20"/>
        </w:rPr>
        <w:t>工程保险</w:t>
      </w:r>
      <w:bookmarkEnd w:id="1393"/>
      <w:bookmarkEnd w:id="1394"/>
      <w:bookmarkEnd w:id="1395"/>
      <w:bookmarkEnd w:id="1396"/>
      <w:bookmarkEnd w:id="1397"/>
    </w:p>
    <w:p w14:paraId="36DD1CF9">
      <w:pPr>
        <w:spacing w:line="360" w:lineRule="auto"/>
        <w:ind w:firstLine="420" w:firstLineChars="200"/>
        <w:rPr>
          <w:rFonts w:ascii="宋体"/>
        </w:rPr>
      </w:pPr>
      <w:r>
        <w:rPr>
          <w:rFonts w:hint="eastAsia" w:ascii="宋体" w:hAnsi="宋体"/>
        </w:rPr>
        <w:t>承包人应以发包人和承包人的共同名义向双方同意的保险人投保建筑工程一切险、安装工程一切险。其具体的投保内容、保险金额、保险费率、保险期限等有关内容</w:t>
      </w:r>
      <w:r>
        <w:rPr>
          <w:rFonts w:hint="eastAsia" w:ascii="黑体" w:hAnsi="黑体" w:eastAsia="黑体"/>
        </w:rPr>
        <w:t>见合同条款专用部分</w:t>
      </w:r>
      <w:r>
        <w:rPr>
          <w:rFonts w:hint="eastAsia" w:ascii="宋体" w:hAnsi="宋体"/>
        </w:rPr>
        <w:t>。</w:t>
      </w:r>
    </w:p>
    <w:p w14:paraId="612B9198">
      <w:pPr>
        <w:keepNext/>
        <w:keepLines/>
        <w:spacing w:beforeLines="50" w:afterLines="50" w:line="360" w:lineRule="auto"/>
        <w:outlineLvl w:val="2"/>
        <w:rPr>
          <w:rFonts w:ascii="宋体" w:hAnsi="宋体"/>
          <w:sz w:val="24"/>
          <w:szCs w:val="20"/>
        </w:rPr>
      </w:pPr>
      <w:bookmarkStart w:id="1398" w:name="_Toc497213859"/>
      <w:bookmarkStart w:id="1399" w:name="_Toc486580183"/>
      <w:bookmarkStart w:id="1400" w:name="_Toc117597614"/>
      <w:bookmarkStart w:id="1401" w:name="_Toc489279994"/>
      <w:bookmarkStart w:id="1402" w:name="_Toc490222628"/>
      <w:r>
        <w:rPr>
          <w:rFonts w:ascii="宋体" w:hAnsi="宋体"/>
          <w:sz w:val="24"/>
          <w:szCs w:val="20"/>
        </w:rPr>
        <w:t xml:space="preserve">20.2  </w:t>
      </w:r>
      <w:r>
        <w:rPr>
          <w:rFonts w:hint="eastAsia" w:ascii="宋体" w:hAnsi="宋体"/>
          <w:sz w:val="24"/>
          <w:szCs w:val="20"/>
        </w:rPr>
        <w:t>人员工伤事故的保险</w:t>
      </w:r>
      <w:bookmarkEnd w:id="1398"/>
      <w:bookmarkEnd w:id="1399"/>
      <w:bookmarkEnd w:id="1400"/>
      <w:bookmarkEnd w:id="1401"/>
      <w:bookmarkEnd w:id="1402"/>
    </w:p>
    <w:p w14:paraId="492B434C">
      <w:pPr>
        <w:spacing w:line="360" w:lineRule="auto"/>
        <w:ind w:firstLine="420" w:firstLineChars="200"/>
        <w:rPr>
          <w:rFonts w:ascii="宋体"/>
        </w:rPr>
      </w:pPr>
      <w:r>
        <w:rPr>
          <w:rFonts w:ascii="宋体" w:hAnsi="宋体"/>
        </w:rPr>
        <w:t xml:space="preserve">20.2.1  </w:t>
      </w:r>
      <w:r>
        <w:rPr>
          <w:rFonts w:hint="eastAsia" w:ascii="宋体" w:hAnsi="宋体"/>
        </w:rPr>
        <w:t>承包人员工伤事故的保险</w:t>
      </w:r>
    </w:p>
    <w:p w14:paraId="62A23F06">
      <w:pPr>
        <w:spacing w:line="360" w:lineRule="auto"/>
        <w:ind w:firstLine="420" w:firstLineChars="200"/>
        <w:rPr>
          <w:rFonts w:ascii="宋体"/>
        </w:rPr>
      </w:pPr>
      <w:r>
        <w:rPr>
          <w:rFonts w:hint="eastAsia" w:ascii="宋体" w:hAnsi="宋体"/>
        </w:rPr>
        <w:t>（</w:t>
      </w:r>
      <w:r>
        <w:rPr>
          <w:rFonts w:ascii="宋体" w:hAnsi="宋体"/>
        </w:rPr>
        <w:t>1</w:t>
      </w:r>
      <w:r>
        <w:rPr>
          <w:rFonts w:hint="eastAsia" w:ascii="宋体" w:hAnsi="宋体"/>
        </w:rPr>
        <w:t>）承包人应依照有关法律法规规定参加工伤保险，为其履行合同所雇佣的全部人员（包括专业分包人、劳务分包人使用的人员），在合同工程开工前应当一次性缴纳工伤保险费。承包人在工程分包计费时，不得再向分包人另行计提、划拨工伤保险费。</w:t>
      </w:r>
    </w:p>
    <w:p w14:paraId="00FA6FDE">
      <w:pPr>
        <w:spacing w:line="360" w:lineRule="auto"/>
        <w:ind w:firstLine="420" w:firstLineChars="200"/>
        <w:rPr>
          <w:rFonts w:ascii="宋体"/>
        </w:rPr>
      </w:pPr>
      <w:r>
        <w:rPr>
          <w:rFonts w:hint="eastAsia" w:ascii="宋体" w:hAnsi="宋体"/>
        </w:rPr>
        <w:t>（</w:t>
      </w:r>
      <w:r>
        <w:rPr>
          <w:rFonts w:ascii="宋体" w:hAnsi="宋体"/>
        </w:rPr>
        <w:t>2</w:t>
      </w:r>
      <w:r>
        <w:rPr>
          <w:rFonts w:hint="eastAsia" w:ascii="宋体" w:hAnsi="宋体"/>
        </w:rPr>
        <w:t>）承包人工伤事故保险期限自合同工程开工之日起至合同终止之日止。</w:t>
      </w:r>
    </w:p>
    <w:p w14:paraId="19FD8920">
      <w:pPr>
        <w:spacing w:line="360" w:lineRule="auto"/>
        <w:ind w:firstLine="420" w:firstLineChars="200"/>
        <w:rPr>
          <w:rFonts w:ascii="宋体"/>
        </w:rPr>
      </w:pPr>
      <w:r>
        <w:rPr>
          <w:rFonts w:ascii="宋体" w:hAnsi="宋体"/>
        </w:rPr>
        <w:t xml:space="preserve">20.2.2  </w:t>
      </w:r>
      <w:r>
        <w:rPr>
          <w:rFonts w:hint="eastAsia" w:ascii="宋体" w:hAnsi="宋体"/>
        </w:rPr>
        <w:t>发包人员工伤事故的保险</w:t>
      </w:r>
    </w:p>
    <w:p w14:paraId="719151C5">
      <w:pPr>
        <w:spacing w:line="360" w:lineRule="auto"/>
        <w:ind w:firstLine="420" w:firstLineChars="200"/>
        <w:rPr>
          <w:rFonts w:ascii="宋体"/>
        </w:rPr>
      </w:pPr>
      <w:r>
        <w:rPr>
          <w:rFonts w:hint="eastAsia" w:ascii="宋体" w:hAnsi="宋体"/>
        </w:rPr>
        <w:t>发包人应依照有关法律法规规定参加工伤保险，为其现场机构雇佣的全部人员，缴纳工伤保险费，并要求其监理人也进行此项保险。</w:t>
      </w:r>
    </w:p>
    <w:p w14:paraId="39B27E4E">
      <w:pPr>
        <w:keepNext/>
        <w:keepLines/>
        <w:spacing w:beforeLines="50" w:afterLines="50" w:line="360" w:lineRule="auto"/>
        <w:outlineLvl w:val="2"/>
        <w:rPr>
          <w:rFonts w:ascii="宋体" w:hAnsi="宋体"/>
          <w:sz w:val="24"/>
          <w:szCs w:val="20"/>
        </w:rPr>
      </w:pPr>
      <w:bookmarkStart w:id="1403" w:name="_Toc486580184"/>
      <w:bookmarkStart w:id="1404" w:name="_Toc489279995"/>
      <w:bookmarkStart w:id="1405" w:name="_Toc497213860"/>
      <w:bookmarkStart w:id="1406" w:name="_Toc117597615"/>
      <w:bookmarkStart w:id="1407" w:name="_Toc490222629"/>
      <w:r>
        <w:rPr>
          <w:rFonts w:ascii="宋体" w:hAnsi="宋体"/>
          <w:sz w:val="24"/>
          <w:szCs w:val="20"/>
        </w:rPr>
        <w:t xml:space="preserve">20.3  </w:t>
      </w:r>
      <w:r>
        <w:rPr>
          <w:rFonts w:hint="eastAsia" w:ascii="宋体" w:hAnsi="宋体"/>
          <w:sz w:val="24"/>
          <w:szCs w:val="20"/>
        </w:rPr>
        <w:t>人身意外伤害险</w:t>
      </w:r>
      <w:bookmarkEnd w:id="1403"/>
      <w:bookmarkEnd w:id="1404"/>
      <w:bookmarkEnd w:id="1405"/>
      <w:bookmarkEnd w:id="1406"/>
      <w:bookmarkEnd w:id="1407"/>
    </w:p>
    <w:p w14:paraId="4E565ACB">
      <w:pPr>
        <w:spacing w:line="360" w:lineRule="auto"/>
        <w:ind w:firstLine="420" w:firstLineChars="200"/>
        <w:rPr>
          <w:rFonts w:ascii="宋体"/>
        </w:rPr>
      </w:pPr>
      <w:r>
        <w:rPr>
          <w:rFonts w:ascii="宋体" w:hAnsi="宋体"/>
        </w:rPr>
        <w:t xml:space="preserve">20.3.1  </w:t>
      </w:r>
      <w:r>
        <w:rPr>
          <w:rFonts w:hint="eastAsia" w:ascii="宋体" w:hAnsi="宋体"/>
        </w:rPr>
        <w:t>发包人应在整个施工期间为其现场机构雇用的全部人员，投保人身意外伤害险，缴纳保险费，并要求其监理人也进行此项保险。</w:t>
      </w:r>
    </w:p>
    <w:p w14:paraId="3C761619">
      <w:pPr>
        <w:spacing w:line="360" w:lineRule="auto"/>
        <w:ind w:firstLine="420" w:firstLineChars="200"/>
        <w:rPr>
          <w:rFonts w:ascii="宋体"/>
        </w:rPr>
      </w:pPr>
      <w:r>
        <w:rPr>
          <w:rFonts w:ascii="宋体" w:hAnsi="宋体"/>
        </w:rPr>
        <w:t xml:space="preserve">20.3.2  </w:t>
      </w:r>
      <w:r>
        <w:rPr>
          <w:rFonts w:hint="eastAsia" w:ascii="宋体" w:hAnsi="宋体"/>
        </w:rPr>
        <w:t>承包人应在整个施工期间为其现场机构雇用的全部人员，投保人身意外伤害险，缴纳保险费，并要求其分包人也进行此项保险。</w:t>
      </w:r>
    </w:p>
    <w:p w14:paraId="6F14C5D5">
      <w:pPr>
        <w:keepNext/>
        <w:keepLines/>
        <w:spacing w:beforeLines="50" w:afterLines="50" w:line="360" w:lineRule="auto"/>
        <w:outlineLvl w:val="2"/>
        <w:rPr>
          <w:rFonts w:ascii="宋体" w:hAnsi="宋体"/>
          <w:sz w:val="24"/>
          <w:szCs w:val="20"/>
        </w:rPr>
      </w:pPr>
      <w:bookmarkStart w:id="1408" w:name="_Toc486580185"/>
      <w:bookmarkStart w:id="1409" w:name="_Toc490222630"/>
      <w:bookmarkStart w:id="1410" w:name="_Toc117597616"/>
      <w:bookmarkStart w:id="1411" w:name="_Toc489279996"/>
      <w:bookmarkStart w:id="1412" w:name="_Toc497213861"/>
      <w:r>
        <w:rPr>
          <w:rFonts w:ascii="宋体" w:hAnsi="宋体"/>
          <w:sz w:val="24"/>
          <w:szCs w:val="20"/>
        </w:rPr>
        <w:t xml:space="preserve">20.4  </w:t>
      </w:r>
      <w:r>
        <w:rPr>
          <w:rFonts w:hint="eastAsia" w:ascii="宋体" w:hAnsi="宋体"/>
          <w:sz w:val="24"/>
          <w:szCs w:val="20"/>
        </w:rPr>
        <w:t>第三者责任险</w:t>
      </w:r>
      <w:bookmarkEnd w:id="1408"/>
      <w:bookmarkEnd w:id="1409"/>
      <w:bookmarkEnd w:id="1410"/>
      <w:bookmarkEnd w:id="1411"/>
      <w:bookmarkEnd w:id="1412"/>
    </w:p>
    <w:p w14:paraId="0F00A180">
      <w:pPr>
        <w:spacing w:line="360" w:lineRule="auto"/>
        <w:ind w:firstLine="420" w:firstLineChars="200"/>
        <w:rPr>
          <w:rFonts w:ascii="宋体"/>
        </w:rPr>
      </w:pPr>
      <w:r>
        <w:rPr>
          <w:rFonts w:ascii="宋体" w:hAnsi="宋体"/>
        </w:rPr>
        <w:t xml:space="preserve">20.4.1  </w:t>
      </w:r>
      <w:r>
        <w:rPr>
          <w:rFonts w:hint="eastAsia" w:ascii="宋体" w:hAnsi="宋体"/>
        </w:rPr>
        <w:t>第三者责任系指在保险期内，对因工程意外事故造成的、依法应由被保险人负责的工地上及毗邻地区的第三者人身伤亡、疾病或财产损失（本工程除外），以及被保险人因此而支付的诉讼费用和事先经保险人书面同意支付的其他费用等赔偿责任。</w:t>
      </w:r>
    </w:p>
    <w:p w14:paraId="5B21D57A">
      <w:pPr>
        <w:spacing w:line="360" w:lineRule="auto"/>
        <w:ind w:firstLine="420" w:firstLineChars="200"/>
        <w:rPr>
          <w:rFonts w:ascii="宋体"/>
        </w:rPr>
      </w:pPr>
      <w:r>
        <w:rPr>
          <w:rFonts w:ascii="宋体" w:hAnsi="宋体"/>
        </w:rPr>
        <w:t xml:space="preserve">20.4.2  </w:t>
      </w:r>
      <w:r>
        <w:rPr>
          <w:rFonts w:hint="eastAsia" w:ascii="宋体" w:hAnsi="宋体"/>
        </w:rPr>
        <w:t>在缺陷责任期终止证书颁发前，承包人应以承包人和发包人的共同名义，投保第</w:t>
      </w:r>
      <w:r>
        <w:rPr>
          <w:rFonts w:ascii="宋体" w:hAnsi="宋体"/>
        </w:rPr>
        <w:t>20.4.1</w:t>
      </w:r>
      <w:r>
        <w:rPr>
          <w:rFonts w:hint="eastAsia" w:ascii="宋体" w:hAnsi="宋体"/>
        </w:rPr>
        <w:t>项约定的第三者责任险，其保险费率、保险金额、保险费承担人等有关内容</w:t>
      </w:r>
      <w:r>
        <w:rPr>
          <w:rFonts w:hint="eastAsia" w:ascii="黑体" w:hAnsi="黑体" w:eastAsia="黑体"/>
        </w:rPr>
        <w:t>见合同条款专用部分</w:t>
      </w:r>
      <w:r>
        <w:rPr>
          <w:rFonts w:hint="eastAsia" w:ascii="宋体" w:hAnsi="宋体"/>
        </w:rPr>
        <w:t>。</w:t>
      </w:r>
    </w:p>
    <w:p w14:paraId="5D6180F1">
      <w:pPr>
        <w:keepNext/>
        <w:keepLines/>
        <w:spacing w:beforeLines="50" w:afterLines="50" w:line="360" w:lineRule="auto"/>
        <w:outlineLvl w:val="2"/>
        <w:rPr>
          <w:rFonts w:ascii="宋体" w:hAnsi="宋体"/>
          <w:sz w:val="24"/>
          <w:szCs w:val="20"/>
        </w:rPr>
      </w:pPr>
      <w:bookmarkStart w:id="1413" w:name="_Toc497213862"/>
      <w:bookmarkStart w:id="1414" w:name="_Toc489279997"/>
      <w:bookmarkStart w:id="1415" w:name="_Toc490222631"/>
      <w:bookmarkStart w:id="1416" w:name="_Toc117597617"/>
      <w:bookmarkStart w:id="1417" w:name="_Toc486580186"/>
      <w:r>
        <w:rPr>
          <w:rFonts w:ascii="宋体" w:hAnsi="宋体"/>
          <w:sz w:val="24"/>
          <w:szCs w:val="20"/>
        </w:rPr>
        <w:t xml:space="preserve">20.5  </w:t>
      </w:r>
      <w:r>
        <w:rPr>
          <w:rFonts w:hint="eastAsia" w:ascii="宋体" w:hAnsi="宋体"/>
          <w:sz w:val="24"/>
          <w:szCs w:val="20"/>
        </w:rPr>
        <w:t>其他保险</w:t>
      </w:r>
      <w:bookmarkEnd w:id="1413"/>
      <w:bookmarkEnd w:id="1414"/>
      <w:bookmarkEnd w:id="1415"/>
      <w:bookmarkEnd w:id="1416"/>
      <w:bookmarkEnd w:id="1417"/>
    </w:p>
    <w:p w14:paraId="7B805CFC">
      <w:pPr>
        <w:spacing w:line="360" w:lineRule="auto"/>
        <w:ind w:firstLine="420" w:firstLineChars="200"/>
        <w:rPr>
          <w:rFonts w:ascii="宋体"/>
        </w:rPr>
      </w:pPr>
      <w:r>
        <w:rPr>
          <w:rFonts w:hint="eastAsia" w:ascii="宋体" w:hAnsi="宋体"/>
        </w:rPr>
        <w:t>承包人应为其施工设备、进场的材料和工程设备等办理保险。办理保险的险种</w:t>
      </w:r>
      <w:r>
        <w:rPr>
          <w:rFonts w:hint="eastAsia" w:ascii="黑体" w:hAnsi="黑体" w:eastAsia="黑体"/>
        </w:rPr>
        <w:t>见合同条款专用部分</w:t>
      </w:r>
      <w:r>
        <w:rPr>
          <w:rFonts w:hint="eastAsia" w:ascii="宋体" w:hAnsi="宋体"/>
        </w:rPr>
        <w:t>。</w:t>
      </w:r>
    </w:p>
    <w:p w14:paraId="5A948228">
      <w:pPr>
        <w:keepNext/>
        <w:keepLines/>
        <w:spacing w:beforeLines="50" w:afterLines="50" w:line="360" w:lineRule="auto"/>
        <w:outlineLvl w:val="2"/>
        <w:rPr>
          <w:rFonts w:ascii="宋体" w:hAnsi="宋体"/>
          <w:sz w:val="24"/>
          <w:szCs w:val="20"/>
        </w:rPr>
      </w:pPr>
      <w:bookmarkStart w:id="1418" w:name="_Toc490222632"/>
      <w:bookmarkStart w:id="1419" w:name="_Toc486580187"/>
      <w:bookmarkStart w:id="1420" w:name="_Toc497213863"/>
      <w:bookmarkStart w:id="1421" w:name="_Toc489279998"/>
      <w:bookmarkStart w:id="1422" w:name="_Toc117597618"/>
      <w:r>
        <w:rPr>
          <w:rFonts w:ascii="宋体" w:hAnsi="宋体"/>
          <w:sz w:val="24"/>
          <w:szCs w:val="20"/>
        </w:rPr>
        <w:t xml:space="preserve">20.6  </w:t>
      </w:r>
      <w:r>
        <w:rPr>
          <w:rFonts w:hint="eastAsia" w:ascii="宋体" w:hAnsi="宋体"/>
          <w:sz w:val="24"/>
          <w:szCs w:val="20"/>
        </w:rPr>
        <w:t>对各项保险的一般要求</w:t>
      </w:r>
      <w:bookmarkEnd w:id="1418"/>
      <w:bookmarkEnd w:id="1419"/>
      <w:bookmarkEnd w:id="1420"/>
      <w:bookmarkEnd w:id="1421"/>
      <w:bookmarkEnd w:id="1422"/>
    </w:p>
    <w:p w14:paraId="496D0208">
      <w:pPr>
        <w:spacing w:line="360" w:lineRule="auto"/>
        <w:ind w:firstLine="420" w:firstLineChars="200"/>
        <w:rPr>
          <w:rFonts w:ascii="宋体"/>
        </w:rPr>
      </w:pPr>
      <w:r>
        <w:rPr>
          <w:rFonts w:ascii="宋体" w:hAnsi="宋体"/>
        </w:rPr>
        <w:t xml:space="preserve">20.6.1  </w:t>
      </w:r>
      <w:r>
        <w:rPr>
          <w:rFonts w:hint="eastAsia" w:ascii="宋体" w:hAnsi="宋体"/>
        </w:rPr>
        <w:t>保险凭证</w:t>
      </w:r>
    </w:p>
    <w:p w14:paraId="3F8C40BC">
      <w:pPr>
        <w:spacing w:line="360" w:lineRule="auto"/>
        <w:ind w:firstLine="420" w:firstLineChars="200"/>
        <w:rPr>
          <w:rFonts w:ascii="宋体"/>
        </w:rPr>
      </w:pPr>
      <w:r>
        <w:rPr>
          <w:rFonts w:hint="eastAsia" w:ascii="宋体" w:hAnsi="宋体"/>
        </w:rPr>
        <w:t>承包人应在合同约定的期限内向发包人提交各项保险生效的证据和保险单副本，保险单必须与合同约定的条件保持一致。各项保险生效的证据和保险单副本的期限</w:t>
      </w:r>
      <w:r>
        <w:rPr>
          <w:rFonts w:hint="eastAsia" w:ascii="黑体" w:hAnsi="黑体" w:eastAsia="黑体"/>
        </w:rPr>
        <w:t>见合同条款专用部分</w:t>
      </w:r>
      <w:r>
        <w:rPr>
          <w:rFonts w:hint="eastAsia" w:ascii="宋体" w:hAnsi="宋体"/>
        </w:rPr>
        <w:t>。</w:t>
      </w:r>
    </w:p>
    <w:p w14:paraId="64A2C023">
      <w:pPr>
        <w:spacing w:line="360" w:lineRule="auto"/>
        <w:ind w:firstLine="420" w:firstLineChars="200"/>
        <w:rPr>
          <w:rFonts w:ascii="宋体"/>
        </w:rPr>
      </w:pPr>
      <w:r>
        <w:rPr>
          <w:rFonts w:ascii="宋体" w:hAnsi="宋体"/>
        </w:rPr>
        <w:t xml:space="preserve">20.6.2  </w:t>
      </w:r>
      <w:r>
        <w:rPr>
          <w:rFonts w:hint="eastAsia" w:ascii="宋体" w:hAnsi="宋体"/>
        </w:rPr>
        <w:t>保险合同条款的变动</w:t>
      </w:r>
    </w:p>
    <w:p w14:paraId="163D6E71">
      <w:pPr>
        <w:spacing w:line="360" w:lineRule="auto"/>
        <w:ind w:firstLine="420" w:firstLineChars="200"/>
        <w:rPr>
          <w:rFonts w:ascii="宋体"/>
        </w:rPr>
      </w:pPr>
      <w:r>
        <w:rPr>
          <w:rFonts w:hint="eastAsia" w:ascii="宋体" w:hAnsi="宋体"/>
        </w:rPr>
        <w:t>承包人需要变动保险合同条款时，应事先征得发包人同意，并通知监理人。保险人作出变动的，承包人应在收到保险人通知后立即通知发包人和监理人。</w:t>
      </w:r>
    </w:p>
    <w:p w14:paraId="583846CA">
      <w:pPr>
        <w:spacing w:line="360" w:lineRule="auto"/>
        <w:ind w:firstLine="420" w:firstLineChars="200"/>
        <w:rPr>
          <w:rFonts w:ascii="宋体"/>
        </w:rPr>
      </w:pPr>
      <w:r>
        <w:rPr>
          <w:rFonts w:ascii="宋体" w:hAnsi="宋体"/>
        </w:rPr>
        <w:t xml:space="preserve">20.6.3  </w:t>
      </w:r>
      <w:r>
        <w:rPr>
          <w:rFonts w:hint="eastAsia" w:ascii="宋体" w:hAnsi="宋体"/>
        </w:rPr>
        <w:t>持续保险</w:t>
      </w:r>
    </w:p>
    <w:p w14:paraId="4E43A82D">
      <w:pPr>
        <w:spacing w:line="360" w:lineRule="auto"/>
        <w:ind w:firstLine="420" w:firstLineChars="200"/>
        <w:rPr>
          <w:rFonts w:ascii="宋体"/>
        </w:rPr>
      </w:pPr>
      <w:r>
        <w:rPr>
          <w:rFonts w:hint="eastAsia" w:ascii="宋体" w:hAnsi="宋体"/>
        </w:rPr>
        <w:t>承包人应与保险人保持联系，使保险人能够随时了解工程实施中的变动，并确保按保险合同条款要求持续保险。</w:t>
      </w:r>
    </w:p>
    <w:p w14:paraId="053A0B82">
      <w:pPr>
        <w:spacing w:line="360" w:lineRule="auto"/>
        <w:ind w:firstLine="420" w:firstLineChars="200"/>
        <w:rPr>
          <w:rFonts w:ascii="宋体"/>
        </w:rPr>
      </w:pPr>
      <w:r>
        <w:rPr>
          <w:rFonts w:ascii="宋体" w:hAnsi="宋体"/>
        </w:rPr>
        <w:t xml:space="preserve">20.6.4  </w:t>
      </w:r>
      <w:r>
        <w:rPr>
          <w:rFonts w:hint="eastAsia" w:ascii="宋体" w:hAnsi="宋体"/>
        </w:rPr>
        <w:t>保险金不足的补偿</w:t>
      </w:r>
    </w:p>
    <w:p w14:paraId="609DBC83">
      <w:pPr>
        <w:spacing w:line="360" w:lineRule="auto"/>
        <w:ind w:firstLine="420" w:firstLineChars="200"/>
        <w:rPr>
          <w:rFonts w:ascii="宋体"/>
        </w:rPr>
      </w:pPr>
      <w:r>
        <w:rPr>
          <w:rFonts w:hint="eastAsia" w:ascii="宋体" w:hAnsi="宋体"/>
        </w:rPr>
        <w:t>保险金不足以补偿损失的，应由承包人和（或）发包人按合同约定负责补偿。保险金不足的补偿原则</w:t>
      </w:r>
      <w:r>
        <w:rPr>
          <w:rFonts w:hint="eastAsia" w:ascii="黑体" w:hAnsi="黑体" w:eastAsia="黑体"/>
        </w:rPr>
        <w:t>见合同条款专用部分</w:t>
      </w:r>
      <w:r>
        <w:rPr>
          <w:rFonts w:hint="eastAsia" w:ascii="宋体" w:hAnsi="宋体"/>
        </w:rPr>
        <w:t>。</w:t>
      </w:r>
    </w:p>
    <w:p w14:paraId="1EEDAD10">
      <w:pPr>
        <w:spacing w:line="360" w:lineRule="auto"/>
        <w:ind w:firstLine="420" w:firstLineChars="200"/>
        <w:rPr>
          <w:rFonts w:ascii="宋体"/>
        </w:rPr>
      </w:pPr>
      <w:r>
        <w:rPr>
          <w:rFonts w:ascii="宋体" w:hAnsi="宋体"/>
        </w:rPr>
        <w:t xml:space="preserve">20.6.5  </w:t>
      </w:r>
      <w:r>
        <w:rPr>
          <w:rFonts w:hint="eastAsia" w:ascii="宋体" w:hAnsi="宋体"/>
        </w:rPr>
        <w:t>未按约定投保的补救</w:t>
      </w:r>
    </w:p>
    <w:p w14:paraId="789200C0">
      <w:pPr>
        <w:spacing w:line="360" w:lineRule="auto"/>
        <w:ind w:firstLine="420" w:firstLineChars="200"/>
        <w:rPr>
          <w:rFonts w:ascii="宋体"/>
        </w:rPr>
      </w:pPr>
      <w:r>
        <w:rPr>
          <w:rFonts w:hint="eastAsia" w:ascii="宋体" w:hAnsi="宋体"/>
        </w:rPr>
        <w:t>（</w:t>
      </w:r>
      <w:r>
        <w:rPr>
          <w:rFonts w:ascii="宋体" w:hAnsi="宋体"/>
        </w:rPr>
        <w:t>1</w:t>
      </w:r>
      <w:r>
        <w:rPr>
          <w:rFonts w:hint="eastAsia" w:ascii="宋体" w:hAnsi="宋体"/>
        </w:rPr>
        <w:t>）由于负有投保义务的一方当事人未按合同约定办理保险，或未能使保险持续有效的，另一方当事人可代为办理，所需费用由对方当事人承担。</w:t>
      </w:r>
    </w:p>
    <w:p w14:paraId="0E81F0BD">
      <w:pPr>
        <w:spacing w:line="360" w:lineRule="auto"/>
        <w:ind w:firstLine="420" w:firstLineChars="200"/>
        <w:rPr>
          <w:rFonts w:ascii="宋体"/>
        </w:rPr>
      </w:pPr>
      <w:r>
        <w:rPr>
          <w:rFonts w:hint="eastAsia" w:ascii="宋体" w:hAnsi="宋体"/>
        </w:rPr>
        <w:t>（</w:t>
      </w:r>
      <w:r>
        <w:rPr>
          <w:rFonts w:ascii="宋体" w:hAnsi="宋体"/>
        </w:rPr>
        <w:t>2</w:t>
      </w:r>
      <w:r>
        <w:rPr>
          <w:rFonts w:hint="eastAsia" w:ascii="宋体" w:hAnsi="宋体"/>
        </w:rPr>
        <w:t>）由于负有投保义务的一方当事人未按合同约定办理某项保险，导致受益人未能得到保险人的赔偿，原应从该项保险得到的保险金应由负有投保义务的一方当事人支付。</w:t>
      </w:r>
    </w:p>
    <w:p w14:paraId="7B9F1F4B">
      <w:pPr>
        <w:spacing w:line="360" w:lineRule="auto"/>
        <w:ind w:firstLine="420" w:firstLineChars="200"/>
        <w:rPr>
          <w:rFonts w:ascii="宋体"/>
        </w:rPr>
      </w:pPr>
      <w:r>
        <w:rPr>
          <w:rFonts w:ascii="宋体" w:hAnsi="宋体"/>
        </w:rPr>
        <w:t xml:space="preserve">20.6.6  </w:t>
      </w:r>
      <w:r>
        <w:rPr>
          <w:rFonts w:hint="eastAsia" w:ascii="宋体" w:hAnsi="宋体"/>
        </w:rPr>
        <w:t>报告义务</w:t>
      </w:r>
    </w:p>
    <w:p w14:paraId="480176BE">
      <w:pPr>
        <w:spacing w:line="360" w:lineRule="auto"/>
        <w:ind w:firstLine="420" w:firstLineChars="200"/>
        <w:rPr>
          <w:rFonts w:ascii="宋体"/>
        </w:rPr>
      </w:pPr>
      <w:r>
        <w:rPr>
          <w:rFonts w:hint="eastAsia" w:ascii="宋体" w:hAnsi="宋体"/>
        </w:rPr>
        <w:t>当保险事故发生时，投保人应按照保险单规定的条件和期限及时向保险人报告。</w:t>
      </w:r>
    </w:p>
    <w:p w14:paraId="2E96F70A">
      <w:pPr>
        <w:keepNext/>
        <w:keepLines/>
        <w:spacing w:beforeLines="50" w:afterLines="50" w:line="360" w:lineRule="auto"/>
        <w:outlineLvl w:val="1"/>
        <w:rPr>
          <w:rFonts w:ascii="宋体" w:hAnsi="宋体" w:cs="宋体"/>
          <w:sz w:val="28"/>
          <w:szCs w:val="20"/>
        </w:rPr>
      </w:pPr>
      <w:bookmarkStart w:id="1423" w:name="_Toc490222633"/>
      <w:bookmarkStart w:id="1424" w:name="_Toc489279999"/>
      <w:bookmarkStart w:id="1425" w:name="_Toc497213864"/>
      <w:bookmarkStart w:id="1426" w:name="_Toc486580188"/>
      <w:bookmarkStart w:id="1427" w:name="_Toc117597619"/>
      <w:r>
        <w:rPr>
          <w:rFonts w:ascii="宋体" w:hAnsi="宋体" w:cs="宋体"/>
          <w:sz w:val="28"/>
          <w:szCs w:val="20"/>
        </w:rPr>
        <w:t>21.</w:t>
      </w:r>
      <w:r>
        <w:rPr>
          <w:rFonts w:hint="eastAsia" w:ascii="宋体" w:hAnsi="宋体" w:cs="宋体"/>
          <w:sz w:val="28"/>
          <w:szCs w:val="20"/>
        </w:rPr>
        <w:t>不可抗力</w:t>
      </w:r>
      <w:bookmarkEnd w:id="1423"/>
      <w:bookmarkEnd w:id="1424"/>
      <w:bookmarkEnd w:id="1425"/>
      <w:bookmarkEnd w:id="1426"/>
      <w:bookmarkEnd w:id="1427"/>
    </w:p>
    <w:p w14:paraId="17B9D0D8">
      <w:pPr>
        <w:keepNext/>
        <w:keepLines/>
        <w:spacing w:beforeLines="50" w:afterLines="50" w:line="360" w:lineRule="auto"/>
        <w:outlineLvl w:val="2"/>
        <w:rPr>
          <w:rFonts w:ascii="宋体" w:hAnsi="宋体"/>
          <w:sz w:val="24"/>
          <w:szCs w:val="20"/>
        </w:rPr>
      </w:pPr>
      <w:bookmarkStart w:id="1428" w:name="_Toc486580189"/>
      <w:bookmarkStart w:id="1429" w:name="_Toc490222634"/>
      <w:bookmarkStart w:id="1430" w:name="_Toc489280000"/>
      <w:bookmarkStart w:id="1431" w:name="_Toc117597620"/>
      <w:bookmarkStart w:id="1432" w:name="_Toc497213865"/>
      <w:r>
        <w:rPr>
          <w:rFonts w:ascii="宋体" w:hAnsi="宋体"/>
          <w:sz w:val="24"/>
          <w:szCs w:val="20"/>
        </w:rPr>
        <w:t xml:space="preserve">21.1  </w:t>
      </w:r>
      <w:r>
        <w:rPr>
          <w:rFonts w:hint="eastAsia" w:ascii="宋体" w:hAnsi="宋体"/>
          <w:sz w:val="24"/>
          <w:szCs w:val="20"/>
        </w:rPr>
        <w:t>不可抗力的确认</w:t>
      </w:r>
      <w:bookmarkEnd w:id="1428"/>
      <w:bookmarkEnd w:id="1429"/>
      <w:bookmarkEnd w:id="1430"/>
      <w:bookmarkEnd w:id="1431"/>
      <w:bookmarkEnd w:id="1432"/>
    </w:p>
    <w:p w14:paraId="03940053">
      <w:pPr>
        <w:spacing w:line="360" w:lineRule="auto"/>
        <w:ind w:firstLine="420" w:firstLineChars="200"/>
        <w:rPr>
          <w:rFonts w:ascii="宋体"/>
        </w:rPr>
      </w:pPr>
      <w:r>
        <w:rPr>
          <w:rFonts w:ascii="宋体" w:hAnsi="宋体"/>
        </w:rPr>
        <w:t xml:space="preserve">21.1.1  </w:t>
      </w:r>
      <w:r>
        <w:rPr>
          <w:rFonts w:hint="eastAsia" w:ascii="宋体" w:hAnsi="宋体"/>
        </w:rPr>
        <w:t>不可抗力是指承包人和发包人在订立合同时不可预见，在工程施工过程中不可避免发生并不能克服的自然灾害和社会性突发事件，如地震、海啸、瘟疫、水灾、骚乱、暴动、战争和合同约定的其他情形。其他情形</w:t>
      </w:r>
      <w:r>
        <w:rPr>
          <w:rFonts w:hint="eastAsia" w:ascii="黑体" w:hAnsi="黑体" w:eastAsia="黑体"/>
        </w:rPr>
        <w:t>见合同条款专用部分</w:t>
      </w:r>
      <w:r>
        <w:rPr>
          <w:rFonts w:hint="eastAsia" w:ascii="宋体" w:hAnsi="宋体"/>
        </w:rPr>
        <w:t>。</w:t>
      </w:r>
    </w:p>
    <w:p w14:paraId="622360FD">
      <w:pPr>
        <w:spacing w:line="360" w:lineRule="auto"/>
        <w:ind w:firstLine="420" w:firstLineChars="200"/>
        <w:rPr>
          <w:rFonts w:ascii="宋体"/>
        </w:rPr>
      </w:pPr>
      <w:r>
        <w:rPr>
          <w:rFonts w:ascii="宋体" w:hAnsi="宋体"/>
        </w:rPr>
        <w:t xml:space="preserve">21.1.2  </w:t>
      </w:r>
      <w:r>
        <w:rPr>
          <w:rFonts w:hint="eastAsia" w:ascii="宋体" w:hAnsi="宋体"/>
        </w:rPr>
        <w:t>不可抗力发生后，发包人和承包人应及时认真统计所造成的损失，收集不可抗力造成损失的证据。合同双方对是否属于不可抗力或其损失的意见不一致的，由监理人按第</w:t>
      </w:r>
      <w:r>
        <w:rPr>
          <w:rFonts w:ascii="宋体" w:hAnsi="宋体"/>
        </w:rPr>
        <w:t>3.5</w:t>
      </w:r>
      <w:r>
        <w:rPr>
          <w:rFonts w:hint="eastAsia" w:ascii="宋体" w:hAnsi="宋体"/>
        </w:rPr>
        <w:t>款商定或确定。发生争议时，按第</w:t>
      </w:r>
      <w:r>
        <w:rPr>
          <w:rFonts w:ascii="宋体" w:hAnsi="宋体"/>
        </w:rPr>
        <w:t>24</w:t>
      </w:r>
      <w:r>
        <w:rPr>
          <w:rFonts w:hint="eastAsia" w:ascii="宋体" w:hAnsi="宋体"/>
        </w:rPr>
        <w:t>条的约定办理。</w:t>
      </w:r>
    </w:p>
    <w:p w14:paraId="5ADFCBAE">
      <w:pPr>
        <w:keepNext/>
        <w:keepLines/>
        <w:spacing w:beforeLines="50" w:afterLines="50" w:line="360" w:lineRule="auto"/>
        <w:outlineLvl w:val="2"/>
        <w:rPr>
          <w:rFonts w:ascii="宋体" w:hAnsi="宋体"/>
          <w:sz w:val="24"/>
          <w:szCs w:val="20"/>
        </w:rPr>
      </w:pPr>
      <w:bookmarkStart w:id="1433" w:name="_Toc117597621"/>
      <w:bookmarkStart w:id="1434" w:name="_Toc497213866"/>
      <w:bookmarkStart w:id="1435" w:name="_Toc486580190"/>
      <w:bookmarkStart w:id="1436" w:name="_Toc490222635"/>
      <w:bookmarkStart w:id="1437" w:name="_Toc489280001"/>
      <w:r>
        <w:rPr>
          <w:rFonts w:ascii="宋体" w:hAnsi="宋体"/>
          <w:sz w:val="24"/>
          <w:szCs w:val="20"/>
        </w:rPr>
        <w:t xml:space="preserve">21.2  </w:t>
      </w:r>
      <w:r>
        <w:rPr>
          <w:rFonts w:hint="eastAsia" w:ascii="宋体" w:hAnsi="宋体"/>
          <w:sz w:val="24"/>
          <w:szCs w:val="20"/>
        </w:rPr>
        <w:t>不可抗力的通知</w:t>
      </w:r>
      <w:bookmarkEnd w:id="1433"/>
      <w:bookmarkEnd w:id="1434"/>
      <w:bookmarkEnd w:id="1435"/>
      <w:bookmarkEnd w:id="1436"/>
      <w:bookmarkEnd w:id="1437"/>
    </w:p>
    <w:p w14:paraId="05B38670">
      <w:pPr>
        <w:spacing w:line="360" w:lineRule="auto"/>
        <w:ind w:firstLine="420" w:firstLineChars="200"/>
        <w:rPr>
          <w:rFonts w:ascii="宋体"/>
        </w:rPr>
      </w:pPr>
      <w:r>
        <w:rPr>
          <w:rFonts w:ascii="宋体" w:hAnsi="宋体"/>
        </w:rPr>
        <w:t xml:space="preserve">21.2.1  </w:t>
      </w:r>
      <w:r>
        <w:rPr>
          <w:rFonts w:hint="eastAsia" w:ascii="宋体" w:hAnsi="宋体"/>
        </w:rPr>
        <w:t>合同一方当事人遇到不可抗力事件，使其履行合同义务受到阻碍时，应立即通知合同另一方当事人和监理人，书面说明不可抗力和受阻碍的详细情况，并提供必要的证明。</w:t>
      </w:r>
    </w:p>
    <w:p w14:paraId="4835B3D3">
      <w:pPr>
        <w:spacing w:line="360" w:lineRule="auto"/>
        <w:ind w:firstLine="420" w:firstLineChars="200"/>
        <w:rPr>
          <w:rFonts w:ascii="宋体"/>
        </w:rPr>
      </w:pPr>
      <w:r>
        <w:rPr>
          <w:rFonts w:ascii="宋体" w:hAnsi="宋体"/>
        </w:rPr>
        <w:t xml:space="preserve">21.2.2  </w:t>
      </w:r>
      <w:r>
        <w:rPr>
          <w:rFonts w:hint="eastAsia" w:ascii="宋体" w:hAnsi="宋体"/>
        </w:rPr>
        <w:t>如不可抗力持续发生，合同一方当事人应及时向合同另一方当事人和监理人提交中间报告，说明不可抗力和履行合同受阻的情况，并于不可抗力事件结束后</w:t>
      </w:r>
      <w:r>
        <w:rPr>
          <w:rFonts w:ascii="宋体" w:hAnsi="宋体"/>
        </w:rPr>
        <w:t>28</w:t>
      </w:r>
      <w:r>
        <w:rPr>
          <w:rFonts w:hint="eastAsia" w:ascii="宋体" w:hAnsi="宋体"/>
        </w:rPr>
        <w:t>天内提交最终报告及有关资料。</w:t>
      </w:r>
    </w:p>
    <w:p w14:paraId="498E138A">
      <w:pPr>
        <w:keepNext/>
        <w:keepLines/>
        <w:spacing w:beforeLines="50" w:afterLines="50" w:line="360" w:lineRule="auto"/>
        <w:outlineLvl w:val="2"/>
        <w:rPr>
          <w:rFonts w:ascii="宋体" w:hAnsi="宋体"/>
          <w:sz w:val="24"/>
          <w:szCs w:val="20"/>
        </w:rPr>
      </w:pPr>
      <w:bookmarkStart w:id="1438" w:name="_Toc489280002"/>
      <w:bookmarkStart w:id="1439" w:name="_Toc117597622"/>
      <w:bookmarkStart w:id="1440" w:name="_Toc486580191"/>
      <w:bookmarkStart w:id="1441" w:name="_Toc490222636"/>
      <w:bookmarkStart w:id="1442" w:name="_Toc497213867"/>
      <w:r>
        <w:rPr>
          <w:rFonts w:ascii="宋体" w:hAnsi="宋体"/>
          <w:sz w:val="24"/>
          <w:szCs w:val="20"/>
        </w:rPr>
        <w:t xml:space="preserve">21.3  </w:t>
      </w:r>
      <w:r>
        <w:rPr>
          <w:rFonts w:hint="eastAsia" w:ascii="宋体" w:hAnsi="宋体"/>
          <w:sz w:val="24"/>
          <w:szCs w:val="20"/>
        </w:rPr>
        <w:t>不可抗力后果及其处理</w:t>
      </w:r>
      <w:bookmarkEnd w:id="1438"/>
      <w:bookmarkEnd w:id="1439"/>
      <w:bookmarkEnd w:id="1440"/>
      <w:bookmarkEnd w:id="1441"/>
      <w:bookmarkEnd w:id="1442"/>
    </w:p>
    <w:p w14:paraId="2FF5F39E">
      <w:pPr>
        <w:spacing w:line="360" w:lineRule="auto"/>
        <w:ind w:firstLine="420" w:firstLineChars="200"/>
        <w:rPr>
          <w:rFonts w:ascii="宋体"/>
        </w:rPr>
      </w:pPr>
      <w:r>
        <w:rPr>
          <w:rFonts w:ascii="宋体" w:hAnsi="宋体"/>
        </w:rPr>
        <w:t xml:space="preserve">21.3.1  </w:t>
      </w:r>
      <w:r>
        <w:rPr>
          <w:rFonts w:hint="eastAsia" w:ascii="宋体" w:hAnsi="宋体"/>
        </w:rPr>
        <w:t>不可抗力造成损害的责任</w:t>
      </w:r>
    </w:p>
    <w:p w14:paraId="22064B2E">
      <w:pPr>
        <w:spacing w:line="360" w:lineRule="auto"/>
        <w:ind w:firstLine="420" w:firstLineChars="200"/>
        <w:rPr>
          <w:rFonts w:ascii="宋体"/>
        </w:rPr>
      </w:pPr>
      <w:r>
        <w:rPr>
          <w:rFonts w:hint="eastAsia" w:ascii="宋体" w:hAnsi="宋体"/>
        </w:rPr>
        <w:t>不可抗力导致的人员伤亡、财产损失、费用增加和（或）工期延误等后果，由合同双方按以下原则承担：</w:t>
      </w:r>
    </w:p>
    <w:p w14:paraId="1FF08B09">
      <w:pPr>
        <w:spacing w:line="360" w:lineRule="auto"/>
        <w:ind w:firstLine="420" w:firstLineChars="200"/>
        <w:rPr>
          <w:rFonts w:ascii="宋体"/>
        </w:rPr>
      </w:pPr>
      <w:r>
        <w:rPr>
          <w:rFonts w:hint="eastAsia" w:ascii="宋体" w:hAnsi="宋体"/>
        </w:rPr>
        <w:t>（</w:t>
      </w:r>
      <w:r>
        <w:rPr>
          <w:rFonts w:ascii="宋体" w:hAnsi="宋体"/>
        </w:rPr>
        <w:t>1</w:t>
      </w:r>
      <w:r>
        <w:rPr>
          <w:rFonts w:hint="eastAsia" w:ascii="宋体" w:hAnsi="宋体"/>
        </w:rPr>
        <w:t>）永久工程，包括已运至施工场地的材料和工程设备的损害，以及因工程损害造成的第三者人员伤亡和财产损失由发包人承担；</w:t>
      </w:r>
    </w:p>
    <w:p w14:paraId="2B75B9BD">
      <w:pPr>
        <w:spacing w:line="360" w:lineRule="auto"/>
        <w:ind w:firstLine="420" w:firstLineChars="200"/>
        <w:rPr>
          <w:rFonts w:ascii="宋体"/>
        </w:rPr>
      </w:pPr>
      <w:r>
        <w:rPr>
          <w:rFonts w:hint="eastAsia" w:ascii="宋体" w:hAnsi="宋体"/>
        </w:rPr>
        <w:t>（</w:t>
      </w:r>
      <w:r>
        <w:rPr>
          <w:rFonts w:ascii="宋体" w:hAnsi="宋体"/>
        </w:rPr>
        <w:t>2</w:t>
      </w:r>
      <w:r>
        <w:rPr>
          <w:rFonts w:hint="eastAsia" w:ascii="宋体" w:hAnsi="宋体"/>
        </w:rPr>
        <w:t>）承包人设备的损坏由承包人承担；</w:t>
      </w:r>
    </w:p>
    <w:p w14:paraId="0E7FFF51">
      <w:pPr>
        <w:spacing w:line="360" w:lineRule="auto"/>
        <w:ind w:firstLine="420" w:firstLineChars="200"/>
        <w:rPr>
          <w:rFonts w:ascii="宋体"/>
        </w:rPr>
      </w:pPr>
      <w:r>
        <w:rPr>
          <w:rFonts w:hint="eastAsia" w:ascii="宋体" w:hAnsi="宋体"/>
        </w:rPr>
        <w:t>（</w:t>
      </w:r>
      <w:r>
        <w:rPr>
          <w:rFonts w:ascii="宋体" w:hAnsi="宋体"/>
        </w:rPr>
        <w:t>3</w:t>
      </w:r>
      <w:r>
        <w:rPr>
          <w:rFonts w:hint="eastAsia" w:ascii="宋体" w:hAnsi="宋体"/>
        </w:rPr>
        <w:t>）发包人和承包人各自承担其人员伤亡和其他财产损失及其相关费用；</w:t>
      </w:r>
    </w:p>
    <w:p w14:paraId="0E823963">
      <w:pPr>
        <w:spacing w:line="360" w:lineRule="auto"/>
        <w:ind w:firstLine="420" w:firstLineChars="200"/>
        <w:rPr>
          <w:rFonts w:ascii="宋体"/>
        </w:rPr>
      </w:pPr>
      <w:r>
        <w:rPr>
          <w:rFonts w:hint="eastAsia" w:ascii="宋体" w:hAnsi="宋体"/>
        </w:rPr>
        <w:t>（</w:t>
      </w:r>
      <w:r>
        <w:rPr>
          <w:rFonts w:ascii="宋体" w:hAnsi="宋体"/>
        </w:rPr>
        <w:t>4</w:t>
      </w:r>
      <w:r>
        <w:rPr>
          <w:rFonts w:hint="eastAsia" w:ascii="宋体" w:hAnsi="宋体"/>
        </w:rPr>
        <w:t>）承包人的停工损失由承包人承担，但停工期间应监理人要求照管工程和清理、修复工程的金额由发包人承担；</w:t>
      </w:r>
    </w:p>
    <w:p w14:paraId="26EDABC0">
      <w:pPr>
        <w:spacing w:line="360" w:lineRule="auto"/>
        <w:ind w:firstLine="420" w:firstLineChars="200"/>
        <w:rPr>
          <w:rFonts w:ascii="宋体"/>
        </w:rPr>
      </w:pPr>
      <w:r>
        <w:rPr>
          <w:rFonts w:hint="eastAsia" w:ascii="宋体" w:hAnsi="宋体"/>
        </w:rPr>
        <w:t>（</w:t>
      </w:r>
      <w:r>
        <w:rPr>
          <w:rFonts w:ascii="宋体" w:hAnsi="宋体"/>
        </w:rPr>
        <w:t>5</w:t>
      </w:r>
      <w:r>
        <w:rPr>
          <w:rFonts w:hint="eastAsia" w:ascii="宋体" w:hAnsi="宋体"/>
        </w:rPr>
        <w:t>）不能按期竣工的，应合理延长工期，承包人不需支付逾期竣工违约金。发包人要求赶工的，承包人应采取赶工措施，赶工费用由发包人承担。</w:t>
      </w:r>
    </w:p>
    <w:p w14:paraId="336BDC8C">
      <w:pPr>
        <w:spacing w:line="360" w:lineRule="auto"/>
        <w:ind w:firstLine="420" w:firstLineChars="200"/>
        <w:rPr>
          <w:rFonts w:ascii="宋体"/>
        </w:rPr>
      </w:pPr>
      <w:r>
        <w:rPr>
          <w:rFonts w:ascii="宋体" w:hAnsi="宋体"/>
        </w:rPr>
        <w:t xml:space="preserve">21.3.2  </w:t>
      </w:r>
      <w:r>
        <w:rPr>
          <w:rFonts w:hint="eastAsia" w:ascii="宋体" w:hAnsi="宋体"/>
        </w:rPr>
        <w:t>延迟履行期间发生的不可抗力</w:t>
      </w:r>
    </w:p>
    <w:p w14:paraId="0B864076">
      <w:pPr>
        <w:spacing w:line="360" w:lineRule="auto"/>
        <w:ind w:firstLine="420" w:firstLineChars="200"/>
        <w:rPr>
          <w:rFonts w:ascii="宋体"/>
        </w:rPr>
      </w:pPr>
      <w:r>
        <w:rPr>
          <w:rFonts w:hint="eastAsia" w:ascii="宋体" w:hAnsi="宋体"/>
        </w:rPr>
        <w:t>合同一方当事人延迟履行，在延迟履行期间发生不可抗力的，不免除其责任。</w:t>
      </w:r>
    </w:p>
    <w:p w14:paraId="3CDD6813">
      <w:pPr>
        <w:spacing w:line="360" w:lineRule="auto"/>
        <w:ind w:firstLine="420" w:firstLineChars="200"/>
        <w:rPr>
          <w:rFonts w:ascii="宋体"/>
        </w:rPr>
      </w:pPr>
      <w:r>
        <w:rPr>
          <w:rFonts w:ascii="宋体" w:hAnsi="宋体"/>
        </w:rPr>
        <w:t xml:space="preserve">21.3.3  </w:t>
      </w:r>
      <w:r>
        <w:rPr>
          <w:rFonts w:hint="eastAsia" w:ascii="宋体" w:hAnsi="宋体"/>
        </w:rPr>
        <w:t>避免和减少不可抗力损失</w:t>
      </w:r>
    </w:p>
    <w:p w14:paraId="3361C837">
      <w:pPr>
        <w:spacing w:line="360" w:lineRule="auto"/>
        <w:ind w:firstLine="420" w:firstLineChars="200"/>
        <w:rPr>
          <w:rFonts w:ascii="宋体"/>
        </w:rPr>
      </w:pPr>
      <w:r>
        <w:rPr>
          <w:rFonts w:hint="eastAsia" w:ascii="宋体" w:hAnsi="宋体"/>
        </w:rPr>
        <w:t>不可抗力发生后，发包人和承包人均应采取措施尽量避免和减少损失的扩大，任何一方没有采取有效措施导致损失扩大的，应对扩大的损失承担责任。</w:t>
      </w:r>
    </w:p>
    <w:p w14:paraId="79C83955">
      <w:pPr>
        <w:spacing w:line="360" w:lineRule="auto"/>
        <w:ind w:firstLine="420" w:firstLineChars="200"/>
        <w:rPr>
          <w:rFonts w:ascii="宋体"/>
        </w:rPr>
      </w:pPr>
      <w:r>
        <w:rPr>
          <w:rFonts w:ascii="宋体" w:hAnsi="宋体"/>
        </w:rPr>
        <w:t xml:space="preserve">21.3.4  </w:t>
      </w:r>
      <w:r>
        <w:rPr>
          <w:rFonts w:hint="eastAsia" w:ascii="宋体" w:hAnsi="宋体"/>
        </w:rPr>
        <w:t>因不可抗力解除合同</w:t>
      </w:r>
    </w:p>
    <w:p w14:paraId="0720C281">
      <w:pPr>
        <w:spacing w:line="360" w:lineRule="auto"/>
        <w:ind w:firstLine="420" w:firstLineChars="200"/>
        <w:rPr>
          <w:rFonts w:ascii="宋体"/>
        </w:rPr>
      </w:pPr>
      <w:r>
        <w:rPr>
          <w:rFonts w:hint="eastAsia" w:ascii="宋体" w:hAnsi="宋体"/>
        </w:rPr>
        <w:t>合同一方当事人因不可抗力不能履行合同的，应当及时通知对方解除合同。合同解除后，承包人应按照第</w:t>
      </w:r>
      <w:r>
        <w:rPr>
          <w:rFonts w:ascii="宋体" w:hAnsi="宋体"/>
        </w:rPr>
        <w:t>22.2.5</w:t>
      </w:r>
      <w:r>
        <w:rPr>
          <w:rFonts w:hint="eastAsia" w:ascii="宋体" w:hAnsi="宋体"/>
        </w:rPr>
        <w:t>项约定撤离施工场地。已经订货的材料、设备由订货方负责退货或解除订货合同，不能退还的货款和因退货、解除订货合同发生的费用，由发包人承担，因未及时退货造成的损失由责任方承担。合同解除后的付款，参照第</w:t>
      </w:r>
      <w:r>
        <w:rPr>
          <w:rFonts w:ascii="宋体" w:hAnsi="宋体"/>
        </w:rPr>
        <w:t>22.2.4</w:t>
      </w:r>
      <w:r>
        <w:rPr>
          <w:rFonts w:hint="eastAsia" w:ascii="宋体" w:hAnsi="宋体"/>
        </w:rPr>
        <w:t>项约定，由监理人按第</w:t>
      </w:r>
      <w:r>
        <w:rPr>
          <w:rFonts w:ascii="宋体" w:hAnsi="宋体"/>
        </w:rPr>
        <w:t>3.5</w:t>
      </w:r>
      <w:r>
        <w:rPr>
          <w:rFonts w:hint="eastAsia" w:ascii="宋体" w:hAnsi="宋体"/>
        </w:rPr>
        <w:t>款商定或确定。</w:t>
      </w:r>
    </w:p>
    <w:p w14:paraId="773EFC08">
      <w:pPr>
        <w:keepNext/>
        <w:keepLines/>
        <w:spacing w:beforeLines="50" w:afterLines="50" w:line="360" w:lineRule="auto"/>
        <w:outlineLvl w:val="1"/>
        <w:rPr>
          <w:rFonts w:ascii="宋体" w:hAnsi="宋体" w:cs="宋体"/>
          <w:sz w:val="28"/>
          <w:szCs w:val="20"/>
        </w:rPr>
      </w:pPr>
      <w:bookmarkStart w:id="1443" w:name="_Toc489280003"/>
      <w:bookmarkStart w:id="1444" w:name="_Toc486580192"/>
      <w:bookmarkStart w:id="1445" w:name="_Toc117597623"/>
      <w:bookmarkStart w:id="1446" w:name="_Toc490222637"/>
      <w:bookmarkStart w:id="1447" w:name="_Toc497213868"/>
      <w:r>
        <w:rPr>
          <w:rFonts w:ascii="宋体" w:hAnsi="宋体" w:cs="宋体"/>
          <w:sz w:val="28"/>
          <w:szCs w:val="20"/>
        </w:rPr>
        <w:t>22.</w:t>
      </w:r>
      <w:r>
        <w:rPr>
          <w:rFonts w:hint="eastAsia" w:ascii="宋体" w:hAnsi="宋体" w:cs="宋体"/>
          <w:sz w:val="28"/>
          <w:szCs w:val="20"/>
        </w:rPr>
        <w:t>违约</w:t>
      </w:r>
      <w:bookmarkEnd w:id="1443"/>
      <w:bookmarkEnd w:id="1444"/>
      <w:bookmarkEnd w:id="1445"/>
      <w:bookmarkEnd w:id="1446"/>
      <w:bookmarkEnd w:id="1447"/>
    </w:p>
    <w:p w14:paraId="4714CBD9">
      <w:pPr>
        <w:keepNext/>
        <w:keepLines/>
        <w:spacing w:beforeLines="50" w:afterLines="50" w:line="360" w:lineRule="auto"/>
        <w:outlineLvl w:val="2"/>
        <w:rPr>
          <w:rFonts w:ascii="宋体" w:hAnsi="宋体"/>
          <w:sz w:val="24"/>
          <w:szCs w:val="20"/>
        </w:rPr>
      </w:pPr>
      <w:bookmarkStart w:id="1448" w:name="_Toc490222638"/>
      <w:bookmarkStart w:id="1449" w:name="_Toc489280004"/>
      <w:bookmarkStart w:id="1450" w:name="_Toc117597624"/>
      <w:bookmarkStart w:id="1451" w:name="_Toc486580193"/>
      <w:bookmarkStart w:id="1452" w:name="_Toc497213869"/>
      <w:r>
        <w:rPr>
          <w:rFonts w:ascii="宋体" w:hAnsi="宋体"/>
          <w:sz w:val="24"/>
          <w:szCs w:val="20"/>
        </w:rPr>
        <w:t xml:space="preserve">22.1  </w:t>
      </w:r>
      <w:r>
        <w:rPr>
          <w:rFonts w:hint="eastAsia" w:ascii="宋体" w:hAnsi="宋体"/>
          <w:sz w:val="24"/>
          <w:szCs w:val="20"/>
        </w:rPr>
        <w:t>承包人违约</w:t>
      </w:r>
      <w:bookmarkEnd w:id="1448"/>
      <w:bookmarkEnd w:id="1449"/>
      <w:bookmarkEnd w:id="1450"/>
      <w:bookmarkEnd w:id="1451"/>
      <w:bookmarkEnd w:id="1452"/>
    </w:p>
    <w:p w14:paraId="080D561D">
      <w:pPr>
        <w:spacing w:line="360" w:lineRule="auto"/>
        <w:ind w:firstLine="420" w:firstLineChars="200"/>
        <w:rPr>
          <w:rFonts w:ascii="宋体"/>
        </w:rPr>
      </w:pPr>
      <w:r>
        <w:rPr>
          <w:rFonts w:ascii="宋体" w:hAnsi="宋体"/>
        </w:rPr>
        <w:t xml:space="preserve">22.1.1  </w:t>
      </w:r>
      <w:r>
        <w:rPr>
          <w:rFonts w:hint="eastAsia" w:ascii="宋体" w:hAnsi="宋体"/>
        </w:rPr>
        <w:t>承包人违约的情形</w:t>
      </w:r>
    </w:p>
    <w:p w14:paraId="6C77E778">
      <w:pPr>
        <w:spacing w:line="360" w:lineRule="auto"/>
        <w:ind w:firstLine="420" w:firstLineChars="200"/>
        <w:rPr>
          <w:rFonts w:ascii="宋体"/>
        </w:rPr>
      </w:pPr>
      <w:r>
        <w:rPr>
          <w:rFonts w:hint="eastAsia" w:ascii="宋体" w:hAnsi="宋体"/>
        </w:rPr>
        <w:t>在履行合同过程中发生的下列情况属承包人违约：</w:t>
      </w:r>
    </w:p>
    <w:p w14:paraId="50C9221F">
      <w:pPr>
        <w:spacing w:line="360" w:lineRule="auto"/>
        <w:ind w:firstLine="420" w:firstLineChars="200"/>
        <w:rPr>
          <w:rFonts w:ascii="宋体"/>
        </w:rPr>
      </w:pPr>
      <w:r>
        <w:rPr>
          <w:rFonts w:hint="eastAsia" w:ascii="宋体" w:hAnsi="宋体"/>
        </w:rPr>
        <w:t>（</w:t>
      </w:r>
      <w:r>
        <w:rPr>
          <w:rFonts w:ascii="宋体" w:hAnsi="宋体"/>
        </w:rPr>
        <w:t>1</w:t>
      </w:r>
      <w:r>
        <w:rPr>
          <w:rFonts w:hint="eastAsia" w:ascii="宋体" w:hAnsi="宋体"/>
        </w:rPr>
        <w:t>）承包人违反第</w:t>
      </w:r>
      <w:r>
        <w:rPr>
          <w:rFonts w:ascii="宋体" w:hAnsi="宋体"/>
        </w:rPr>
        <w:t>1.8</w:t>
      </w:r>
      <w:r>
        <w:rPr>
          <w:rFonts w:hint="eastAsia" w:ascii="宋体" w:hAnsi="宋体"/>
        </w:rPr>
        <w:t>款或第</w:t>
      </w:r>
      <w:r>
        <w:rPr>
          <w:rFonts w:ascii="宋体" w:hAnsi="宋体"/>
        </w:rPr>
        <w:t>4.3</w:t>
      </w:r>
      <w:r>
        <w:rPr>
          <w:rFonts w:hint="eastAsia" w:ascii="宋体" w:hAnsi="宋体"/>
        </w:rPr>
        <w:t>款的约定，私自将合同的全部或部分权利转让给其他人，或私自将合同的全部或部分义务转移给其他人；</w:t>
      </w:r>
    </w:p>
    <w:p w14:paraId="0A693D44">
      <w:pPr>
        <w:spacing w:line="360" w:lineRule="auto"/>
        <w:ind w:firstLine="420" w:firstLineChars="200"/>
        <w:rPr>
          <w:rFonts w:ascii="宋体"/>
        </w:rPr>
      </w:pPr>
      <w:r>
        <w:rPr>
          <w:rFonts w:hint="eastAsia" w:ascii="宋体" w:hAnsi="宋体"/>
        </w:rPr>
        <w:t>（</w:t>
      </w:r>
      <w:r>
        <w:rPr>
          <w:rFonts w:ascii="宋体" w:hAnsi="宋体"/>
        </w:rPr>
        <w:t>2</w:t>
      </w:r>
      <w:r>
        <w:rPr>
          <w:rFonts w:hint="eastAsia" w:ascii="宋体" w:hAnsi="宋体"/>
        </w:rPr>
        <w:t>）承包人违反第</w:t>
      </w:r>
      <w:r>
        <w:rPr>
          <w:rFonts w:ascii="宋体" w:hAnsi="宋体"/>
        </w:rPr>
        <w:t>5.3</w:t>
      </w:r>
      <w:r>
        <w:rPr>
          <w:rFonts w:hint="eastAsia" w:ascii="宋体" w:hAnsi="宋体"/>
        </w:rPr>
        <w:t>款或第</w:t>
      </w:r>
      <w:r>
        <w:rPr>
          <w:rFonts w:ascii="宋体" w:hAnsi="宋体"/>
        </w:rPr>
        <w:t>6.4</w:t>
      </w:r>
      <w:r>
        <w:rPr>
          <w:rFonts w:hint="eastAsia" w:ascii="宋体" w:hAnsi="宋体"/>
        </w:rPr>
        <w:t>款的约定，未经监理人批准，私自将已按合同约定进入施工场地的施工设备、临时设施或材料撤离施工场地；</w:t>
      </w:r>
    </w:p>
    <w:p w14:paraId="4B54532C">
      <w:pPr>
        <w:spacing w:line="360" w:lineRule="auto"/>
        <w:ind w:firstLine="420" w:firstLineChars="200"/>
        <w:rPr>
          <w:rFonts w:ascii="宋体"/>
        </w:rPr>
      </w:pPr>
      <w:r>
        <w:rPr>
          <w:rFonts w:hint="eastAsia" w:ascii="宋体" w:hAnsi="宋体"/>
        </w:rPr>
        <w:t>（</w:t>
      </w:r>
      <w:r>
        <w:rPr>
          <w:rFonts w:ascii="宋体" w:hAnsi="宋体"/>
        </w:rPr>
        <w:t>3</w:t>
      </w:r>
      <w:r>
        <w:rPr>
          <w:rFonts w:hint="eastAsia" w:ascii="宋体" w:hAnsi="宋体"/>
        </w:rPr>
        <w:t>）承包人违反第</w:t>
      </w:r>
      <w:r>
        <w:rPr>
          <w:rFonts w:ascii="宋体" w:hAnsi="宋体"/>
        </w:rPr>
        <w:t>5.4</w:t>
      </w:r>
      <w:r>
        <w:rPr>
          <w:rFonts w:hint="eastAsia" w:ascii="宋体" w:hAnsi="宋体"/>
        </w:rPr>
        <w:t>款的约定使用了不合格材料或工程设备，工程质量达不到标准要求，又拒绝清除不合格工程；</w:t>
      </w:r>
    </w:p>
    <w:p w14:paraId="24D752BB">
      <w:pPr>
        <w:spacing w:line="360" w:lineRule="auto"/>
        <w:ind w:firstLine="420" w:firstLineChars="200"/>
        <w:rPr>
          <w:rFonts w:ascii="宋体"/>
        </w:rPr>
      </w:pPr>
      <w:r>
        <w:rPr>
          <w:rFonts w:hint="eastAsia" w:ascii="宋体" w:hAnsi="宋体"/>
        </w:rPr>
        <w:t>（</w:t>
      </w:r>
      <w:r>
        <w:rPr>
          <w:rFonts w:ascii="宋体" w:hAnsi="宋体"/>
        </w:rPr>
        <w:t>4</w:t>
      </w:r>
      <w:r>
        <w:rPr>
          <w:rFonts w:hint="eastAsia" w:ascii="宋体" w:hAnsi="宋体"/>
        </w:rPr>
        <w:t>）承包人未能按合同进度计划及时完成合同约定的工作，已造成或预期造成工期延误；</w:t>
      </w:r>
    </w:p>
    <w:p w14:paraId="69D2A4D6">
      <w:pPr>
        <w:spacing w:line="360" w:lineRule="auto"/>
        <w:ind w:firstLine="420" w:firstLineChars="200"/>
        <w:rPr>
          <w:rFonts w:ascii="宋体"/>
        </w:rPr>
      </w:pPr>
      <w:r>
        <w:rPr>
          <w:rFonts w:hint="eastAsia" w:ascii="宋体" w:hAnsi="宋体"/>
        </w:rPr>
        <w:t>（</w:t>
      </w:r>
      <w:r>
        <w:rPr>
          <w:rFonts w:ascii="宋体" w:hAnsi="宋体"/>
        </w:rPr>
        <w:t>5</w:t>
      </w:r>
      <w:r>
        <w:rPr>
          <w:rFonts w:hint="eastAsia" w:ascii="宋体" w:hAnsi="宋体"/>
        </w:rPr>
        <w:t>）承包人在缺陷责任期内，未能对工程接收证书所列的缺陷清单的内容或缺陷责任期内发生的缺陷进行修复，而又拒绝按监理人指示再进行修补；</w:t>
      </w:r>
    </w:p>
    <w:p w14:paraId="7D130EFA">
      <w:pPr>
        <w:spacing w:line="360" w:lineRule="auto"/>
        <w:ind w:firstLine="420" w:firstLineChars="200"/>
        <w:rPr>
          <w:rFonts w:ascii="宋体"/>
        </w:rPr>
      </w:pPr>
      <w:r>
        <w:rPr>
          <w:rFonts w:hint="eastAsia" w:ascii="宋体" w:hAnsi="宋体"/>
        </w:rPr>
        <w:t>（</w:t>
      </w:r>
      <w:r>
        <w:rPr>
          <w:rFonts w:ascii="宋体" w:hAnsi="宋体"/>
        </w:rPr>
        <w:t>6</w:t>
      </w:r>
      <w:r>
        <w:rPr>
          <w:rFonts w:hint="eastAsia" w:ascii="宋体" w:hAnsi="宋体"/>
        </w:rPr>
        <w:t>）承包人无法继续履行或明确表示不履行或实质上已停止履行合同；</w:t>
      </w:r>
    </w:p>
    <w:p w14:paraId="33F65421">
      <w:pPr>
        <w:spacing w:line="360" w:lineRule="auto"/>
        <w:ind w:firstLine="420" w:firstLineChars="200"/>
        <w:rPr>
          <w:rFonts w:ascii="宋体"/>
        </w:rPr>
      </w:pPr>
      <w:r>
        <w:rPr>
          <w:rFonts w:hint="eastAsia" w:ascii="宋体" w:hAnsi="宋体"/>
        </w:rPr>
        <w:t>（</w:t>
      </w:r>
      <w:r>
        <w:rPr>
          <w:rFonts w:ascii="宋体" w:hAnsi="宋体"/>
        </w:rPr>
        <w:t>7</w:t>
      </w:r>
      <w:r>
        <w:rPr>
          <w:rFonts w:hint="eastAsia" w:ascii="宋体" w:hAnsi="宋体"/>
        </w:rPr>
        <w:t>）承包人不按合同约定履行义务的其他情况。</w:t>
      </w:r>
    </w:p>
    <w:p w14:paraId="6CEF40C6">
      <w:pPr>
        <w:spacing w:line="360" w:lineRule="auto"/>
        <w:ind w:firstLine="420" w:firstLineChars="200"/>
        <w:rPr>
          <w:rFonts w:ascii="宋体"/>
        </w:rPr>
      </w:pPr>
      <w:r>
        <w:rPr>
          <w:rFonts w:ascii="宋体" w:hAnsi="宋体"/>
        </w:rPr>
        <w:t xml:space="preserve">22.1.2  </w:t>
      </w:r>
      <w:r>
        <w:rPr>
          <w:rFonts w:hint="eastAsia" w:ascii="宋体" w:hAnsi="宋体"/>
        </w:rPr>
        <w:t>对承包人违约的处理</w:t>
      </w:r>
    </w:p>
    <w:p w14:paraId="5EE34055">
      <w:pPr>
        <w:spacing w:line="360" w:lineRule="auto"/>
        <w:ind w:firstLine="420" w:firstLineChars="200"/>
        <w:rPr>
          <w:rFonts w:ascii="宋体"/>
        </w:rPr>
      </w:pPr>
      <w:r>
        <w:rPr>
          <w:rFonts w:hint="eastAsia" w:ascii="宋体" w:hAnsi="宋体"/>
        </w:rPr>
        <w:t>（</w:t>
      </w:r>
      <w:r>
        <w:rPr>
          <w:rFonts w:ascii="宋体" w:hAnsi="宋体"/>
        </w:rPr>
        <w:t>1</w:t>
      </w:r>
      <w:r>
        <w:rPr>
          <w:rFonts w:hint="eastAsia" w:ascii="宋体" w:hAnsi="宋体"/>
        </w:rPr>
        <w:t>）承包人发生第</w:t>
      </w:r>
      <w:r>
        <w:rPr>
          <w:rFonts w:ascii="宋体" w:hAnsi="宋体"/>
        </w:rPr>
        <w:t>22.1.1</w:t>
      </w:r>
      <w:r>
        <w:rPr>
          <w:rFonts w:hint="eastAsia" w:ascii="宋体" w:hAnsi="宋体"/>
        </w:rPr>
        <w:t>（</w:t>
      </w:r>
      <w:r>
        <w:rPr>
          <w:rFonts w:ascii="宋体" w:hAnsi="宋体"/>
        </w:rPr>
        <w:t>6</w:t>
      </w:r>
      <w:r>
        <w:rPr>
          <w:rFonts w:hint="eastAsia" w:ascii="宋体" w:hAnsi="宋体"/>
        </w:rPr>
        <w:t>）目约定的违约情况时，发包人可通知承包人立即解除合同，并按有关法律处理。</w:t>
      </w:r>
    </w:p>
    <w:p w14:paraId="6DA3E637">
      <w:pPr>
        <w:spacing w:line="360" w:lineRule="auto"/>
        <w:ind w:firstLine="420" w:firstLineChars="200"/>
        <w:rPr>
          <w:rFonts w:ascii="宋体"/>
        </w:rPr>
      </w:pPr>
      <w:r>
        <w:rPr>
          <w:rFonts w:hint="eastAsia" w:ascii="宋体" w:hAnsi="宋体"/>
        </w:rPr>
        <w:t>（</w:t>
      </w:r>
      <w:r>
        <w:rPr>
          <w:rFonts w:ascii="宋体" w:hAnsi="宋体"/>
        </w:rPr>
        <w:t>2</w:t>
      </w:r>
      <w:r>
        <w:rPr>
          <w:rFonts w:hint="eastAsia" w:ascii="宋体" w:hAnsi="宋体"/>
        </w:rPr>
        <w:t>）承包人发生除第</w:t>
      </w:r>
      <w:r>
        <w:rPr>
          <w:rFonts w:ascii="宋体" w:hAnsi="宋体"/>
        </w:rPr>
        <w:t>22.1.1</w:t>
      </w:r>
      <w:r>
        <w:rPr>
          <w:rFonts w:hint="eastAsia" w:ascii="宋体" w:hAnsi="宋体"/>
        </w:rPr>
        <w:t>（</w:t>
      </w:r>
      <w:r>
        <w:rPr>
          <w:rFonts w:ascii="宋体" w:hAnsi="宋体"/>
        </w:rPr>
        <w:t>6</w:t>
      </w:r>
      <w:r>
        <w:rPr>
          <w:rFonts w:hint="eastAsia" w:ascii="宋体" w:hAnsi="宋体"/>
        </w:rPr>
        <w:t>）目约定以外的其他违约情况时，监理人可向承包人发出整改通知，要求其在指定的期限内改正。承包人应承担其违约所引起的费用增加和（或）工期延误。</w:t>
      </w:r>
    </w:p>
    <w:p w14:paraId="0FBFE358">
      <w:pPr>
        <w:spacing w:line="360" w:lineRule="auto"/>
        <w:ind w:firstLine="420" w:firstLineChars="200"/>
        <w:rPr>
          <w:rFonts w:ascii="宋体"/>
        </w:rPr>
      </w:pPr>
      <w:r>
        <w:rPr>
          <w:rFonts w:hint="eastAsia" w:ascii="宋体" w:hAnsi="宋体"/>
        </w:rPr>
        <w:t>（</w:t>
      </w:r>
      <w:r>
        <w:rPr>
          <w:rFonts w:ascii="宋体" w:hAnsi="宋体"/>
        </w:rPr>
        <w:t>3</w:t>
      </w:r>
      <w:r>
        <w:rPr>
          <w:rFonts w:hint="eastAsia" w:ascii="宋体" w:hAnsi="宋体"/>
        </w:rPr>
        <w:t>）经检查证明承包人已采取了有效措施纠正违约行为，具备复工条件的，可由监理人签发复工通知复工。</w:t>
      </w:r>
    </w:p>
    <w:p w14:paraId="1E8B68F5">
      <w:pPr>
        <w:spacing w:line="360" w:lineRule="auto"/>
        <w:ind w:firstLine="420" w:firstLineChars="200"/>
        <w:rPr>
          <w:rFonts w:ascii="宋体"/>
        </w:rPr>
      </w:pPr>
      <w:r>
        <w:rPr>
          <w:rFonts w:ascii="宋体" w:hAnsi="宋体"/>
        </w:rPr>
        <w:t xml:space="preserve">22.1.3  </w:t>
      </w:r>
      <w:r>
        <w:rPr>
          <w:rFonts w:hint="eastAsia" w:ascii="宋体" w:hAnsi="宋体"/>
        </w:rPr>
        <w:t>承包人违约解除合同</w:t>
      </w:r>
    </w:p>
    <w:p w14:paraId="644FED30">
      <w:pPr>
        <w:spacing w:line="360" w:lineRule="auto"/>
        <w:ind w:firstLine="420" w:firstLineChars="200"/>
        <w:rPr>
          <w:rFonts w:ascii="宋体"/>
        </w:rPr>
      </w:pPr>
      <w:r>
        <w:rPr>
          <w:rFonts w:hint="eastAsia" w:ascii="宋体" w:hAnsi="宋体"/>
        </w:rPr>
        <w:t>监理人发出整改通知</w:t>
      </w:r>
      <w:r>
        <w:rPr>
          <w:rFonts w:ascii="宋体" w:hAnsi="宋体"/>
        </w:rPr>
        <w:t>28</w:t>
      </w:r>
      <w:r>
        <w:rPr>
          <w:rFonts w:hint="eastAsia" w:ascii="宋体" w:hAnsi="宋体"/>
        </w:rPr>
        <w:t>天后，承包人仍不纠正违约行为的，发包人可向承包人发出解除合同通知。合同解除后，发包人可派员进驻施工场地，另行组织人员或委托其他承包人施工。发包人因继续完成该工程的需要，有权扣留使用承包人在现场的材料、设备和临时设施。但发包人的这一行动不免除承包人应承担的违约责任，也不影响发包人根据合同约定享有的索赔权利。</w:t>
      </w:r>
    </w:p>
    <w:p w14:paraId="2032199B">
      <w:pPr>
        <w:spacing w:line="360" w:lineRule="auto"/>
        <w:ind w:firstLine="420" w:firstLineChars="200"/>
        <w:rPr>
          <w:rFonts w:ascii="宋体"/>
        </w:rPr>
      </w:pPr>
      <w:r>
        <w:rPr>
          <w:rFonts w:ascii="宋体" w:hAnsi="宋体"/>
        </w:rPr>
        <w:t xml:space="preserve">22.1.4  </w:t>
      </w:r>
      <w:r>
        <w:rPr>
          <w:rFonts w:hint="eastAsia" w:ascii="宋体" w:hAnsi="宋体"/>
        </w:rPr>
        <w:t>合同解除后的估价、付款和结清</w:t>
      </w:r>
    </w:p>
    <w:p w14:paraId="616DFC85">
      <w:pPr>
        <w:spacing w:line="360" w:lineRule="auto"/>
        <w:ind w:firstLine="420" w:firstLineChars="200"/>
        <w:rPr>
          <w:rFonts w:ascii="宋体"/>
        </w:rPr>
      </w:pPr>
      <w:r>
        <w:rPr>
          <w:rFonts w:hint="eastAsia" w:ascii="宋体" w:hAnsi="宋体"/>
        </w:rPr>
        <w:t>（</w:t>
      </w:r>
      <w:r>
        <w:rPr>
          <w:rFonts w:ascii="宋体" w:hAnsi="宋体"/>
        </w:rPr>
        <w:t>1</w:t>
      </w:r>
      <w:r>
        <w:rPr>
          <w:rFonts w:hint="eastAsia" w:ascii="宋体" w:hAnsi="宋体"/>
        </w:rPr>
        <w:t>）合同解除后，监理人按第</w:t>
      </w:r>
      <w:r>
        <w:rPr>
          <w:rFonts w:ascii="宋体" w:hAnsi="宋体"/>
        </w:rPr>
        <w:t>3.5</w:t>
      </w:r>
      <w:r>
        <w:rPr>
          <w:rFonts w:hint="eastAsia" w:ascii="宋体" w:hAnsi="宋体"/>
        </w:rPr>
        <w:t>款商定或确定承包人实际完成工作的价值，以及承包人已提供的材料、施工设备、工程设备和临时工程等的价值。</w:t>
      </w:r>
    </w:p>
    <w:p w14:paraId="3C59386F">
      <w:pPr>
        <w:spacing w:line="360" w:lineRule="auto"/>
        <w:ind w:firstLine="420" w:firstLineChars="200"/>
        <w:rPr>
          <w:rFonts w:ascii="宋体"/>
        </w:rPr>
      </w:pPr>
      <w:r>
        <w:rPr>
          <w:rFonts w:hint="eastAsia" w:ascii="宋体" w:hAnsi="宋体"/>
        </w:rPr>
        <w:t>（</w:t>
      </w:r>
      <w:r>
        <w:rPr>
          <w:rFonts w:ascii="宋体" w:hAnsi="宋体"/>
        </w:rPr>
        <w:t>2</w:t>
      </w:r>
      <w:r>
        <w:rPr>
          <w:rFonts w:hint="eastAsia" w:ascii="宋体" w:hAnsi="宋体"/>
        </w:rPr>
        <w:t>）合同解除后，发包人应暂停对承包人的一切付款，查清各项付款和已扣款金额，包括承包人应支付的违约金。</w:t>
      </w:r>
    </w:p>
    <w:p w14:paraId="7A24A523">
      <w:pPr>
        <w:spacing w:line="360" w:lineRule="auto"/>
        <w:ind w:firstLine="420" w:firstLineChars="200"/>
        <w:rPr>
          <w:rFonts w:ascii="宋体"/>
        </w:rPr>
      </w:pPr>
      <w:r>
        <w:rPr>
          <w:rFonts w:hint="eastAsia" w:ascii="宋体" w:hAnsi="宋体"/>
        </w:rPr>
        <w:t>（</w:t>
      </w:r>
      <w:r>
        <w:rPr>
          <w:rFonts w:ascii="宋体" w:hAnsi="宋体"/>
        </w:rPr>
        <w:t>3</w:t>
      </w:r>
      <w:r>
        <w:rPr>
          <w:rFonts w:hint="eastAsia" w:ascii="宋体" w:hAnsi="宋体"/>
        </w:rPr>
        <w:t>）合同解除后，发包人应按第</w:t>
      </w:r>
      <w:r>
        <w:rPr>
          <w:rFonts w:ascii="宋体" w:hAnsi="宋体"/>
        </w:rPr>
        <w:t>23.4</w:t>
      </w:r>
      <w:r>
        <w:rPr>
          <w:rFonts w:hint="eastAsia" w:ascii="宋体" w:hAnsi="宋体"/>
        </w:rPr>
        <w:t>款的约定向承包人索赔由于解除合同给发包人造成的损失。</w:t>
      </w:r>
    </w:p>
    <w:p w14:paraId="36982F3E">
      <w:pPr>
        <w:spacing w:line="360" w:lineRule="auto"/>
        <w:ind w:firstLine="420" w:firstLineChars="200"/>
        <w:rPr>
          <w:rFonts w:ascii="宋体"/>
        </w:rPr>
      </w:pPr>
      <w:r>
        <w:rPr>
          <w:rFonts w:hint="eastAsia" w:ascii="宋体" w:hAnsi="宋体"/>
        </w:rPr>
        <w:t>（</w:t>
      </w:r>
      <w:r>
        <w:rPr>
          <w:rFonts w:ascii="宋体" w:hAnsi="宋体"/>
        </w:rPr>
        <w:t>4</w:t>
      </w:r>
      <w:r>
        <w:rPr>
          <w:rFonts w:hint="eastAsia" w:ascii="宋体" w:hAnsi="宋体"/>
        </w:rPr>
        <w:t>）合同双方确认上述往来款项后，出具最终结清付款证书，结清全部合同款项。</w:t>
      </w:r>
    </w:p>
    <w:p w14:paraId="1870E444">
      <w:pPr>
        <w:spacing w:line="360" w:lineRule="auto"/>
        <w:ind w:firstLine="420" w:firstLineChars="200"/>
        <w:rPr>
          <w:rFonts w:ascii="宋体"/>
        </w:rPr>
      </w:pPr>
      <w:r>
        <w:rPr>
          <w:rFonts w:hint="eastAsia" w:ascii="宋体" w:hAnsi="宋体"/>
        </w:rPr>
        <w:t>（</w:t>
      </w:r>
      <w:r>
        <w:rPr>
          <w:rFonts w:ascii="宋体" w:hAnsi="宋体"/>
        </w:rPr>
        <w:t>5</w:t>
      </w:r>
      <w:r>
        <w:rPr>
          <w:rFonts w:hint="eastAsia" w:ascii="宋体" w:hAnsi="宋体"/>
        </w:rPr>
        <w:t>）发包人和承包人未能就解除合同后的结清达成一致而形成争议的，按第</w:t>
      </w:r>
      <w:r>
        <w:rPr>
          <w:rFonts w:ascii="宋体" w:hAnsi="宋体"/>
        </w:rPr>
        <w:t>24</w:t>
      </w:r>
      <w:r>
        <w:rPr>
          <w:rFonts w:hint="eastAsia" w:ascii="宋体" w:hAnsi="宋体"/>
        </w:rPr>
        <w:t>条的约定办理。</w:t>
      </w:r>
    </w:p>
    <w:p w14:paraId="0DA3B049">
      <w:pPr>
        <w:spacing w:line="360" w:lineRule="auto"/>
        <w:ind w:firstLine="420" w:firstLineChars="200"/>
        <w:rPr>
          <w:rFonts w:ascii="宋体"/>
        </w:rPr>
      </w:pPr>
      <w:r>
        <w:rPr>
          <w:rFonts w:ascii="宋体" w:hAnsi="宋体"/>
        </w:rPr>
        <w:t xml:space="preserve">22.1.5  </w:t>
      </w:r>
      <w:r>
        <w:rPr>
          <w:rFonts w:hint="eastAsia" w:ascii="宋体" w:hAnsi="宋体"/>
        </w:rPr>
        <w:t>协议利益的转让</w:t>
      </w:r>
    </w:p>
    <w:p w14:paraId="3B60797F">
      <w:pPr>
        <w:spacing w:line="360" w:lineRule="auto"/>
        <w:ind w:firstLine="420" w:firstLineChars="200"/>
        <w:rPr>
          <w:rFonts w:ascii="宋体"/>
        </w:rPr>
      </w:pPr>
      <w:r>
        <w:rPr>
          <w:rFonts w:hint="eastAsia" w:ascii="宋体" w:hAnsi="宋体"/>
        </w:rPr>
        <w:t>因承包人违约解除合同的，发包人有权要求承包人将其为实施合同而签订的材料和设备的订货协议或任何服务协议利益转让给发包人，并在解除合同后的</w:t>
      </w:r>
      <w:r>
        <w:rPr>
          <w:rFonts w:ascii="宋体" w:hAnsi="宋体"/>
        </w:rPr>
        <w:t>14</w:t>
      </w:r>
      <w:r>
        <w:rPr>
          <w:rFonts w:hint="eastAsia" w:ascii="宋体" w:hAnsi="宋体"/>
        </w:rPr>
        <w:t>天内，依法办理转让手续。</w:t>
      </w:r>
    </w:p>
    <w:p w14:paraId="7655E68B">
      <w:pPr>
        <w:spacing w:line="360" w:lineRule="auto"/>
        <w:ind w:firstLine="420" w:firstLineChars="200"/>
        <w:rPr>
          <w:rFonts w:ascii="宋体"/>
        </w:rPr>
      </w:pPr>
      <w:r>
        <w:rPr>
          <w:rFonts w:ascii="宋体" w:hAnsi="宋体"/>
        </w:rPr>
        <w:t xml:space="preserve">22.1.6  </w:t>
      </w:r>
      <w:r>
        <w:rPr>
          <w:rFonts w:hint="eastAsia" w:ascii="宋体" w:hAnsi="宋体"/>
        </w:rPr>
        <w:t>紧急情况下无能力或不愿进行抢救</w:t>
      </w:r>
    </w:p>
    <w:p w14:paraId="7368E0DE">
      <w:pPr>
        <w:spacing w:line="360" w:lineRule="auto"/>
        <w:ind w:firstLine="420" w:firstLineChars="200"/>
        <w:rPr>
          <w:rFonts w:ascii="宋体"/>
        </w:rPr>
      </w:pPr>
      <w:r>
        <w:rPr>
          <w:rFonts w:hint="eastAsia" w:ascii="宋体" w:hAnsi="宋体"/>
        </w:rPr>
        <w:t>在工程实施期间或缺陷责任期内发生危及工程安全的事件，监理人通知承包人进行抢救，承包人声明无能力或不愿立即执行的，发包人有权雇佣其他人员进行抢救。此类抢救按合同约定属于承包人义务的，由此发生的金额和（或）工期延误由承包人承担。</w:t>
      </w:r>
    </w:p>
    <w:p w14:paraId="4605EDC0">
      <w:pPr>
        <w:keepNext/>
        <w:keepLines/>
        <w:spacing w:beforeLines="50" w:afterLines="50" w:line="360" w:lineRule="auto"/>
        <w:outlineLvl w:val="2"/>
        <w:rPr>
          <w:rFonts w:ascii="宋体" w:hAnsi="宋体"/>
          <w:sz w:val="24"/>
          <w:szCs w:val="20"/>
        </w:rPr>
      </w:pPr>
      <w:bookmarkStart w:id="1453" w:name="_Toc117597625"/>
      <w:bookmarkStart w:id="1454" w:name="_Toc497213870"/>
      <w:bookmarkStart w:id="1455" w:name="_Toc490222639"/>
      <w:bookmarkStart w:id="1456" w:name="_Toc486580194"/>
      <w:bookmarkStart w:id="1457" w:name="_Toc489280005"/>
      <w:r>
        <w:rPr>
          <w:rFonts w:ascii="宋体" w:hAnsi="宋体"/>
          <w:sz w:val="24"/>
          <w:szCs w:val="20"/>
        </w:rPr>
        <w:t xml:space="preserve">22.2  </w:t>
      </w:r>
      <w:r>
        <w:rPr>
          <w:rFonts w:hint="eastAsia" w:ascii="宋体" w:hAnsi="宋体"/>
          <w:sz w:val="24"/>
          <w:szCs w:val="20"/>
        </w:rPr>
        <w:t>发包人违约</w:t>
      </w:r>
      <w:bookmarkEnd w:id="1453"/>
      <w:bookmarkEnd w:id="1454"/>
      <w:bookmarkEnd w:id="1455"/>
      <w:bookmarkEnd w:id="1456"/>
      <w:bookmarkEnd w:id="1457"/>
    </w:p>
    <w:p w14:paraId="0E7DA3D1">
      <w:pPr>
        <w:spacing w:line="360" w:lineRule="auto"/>
        <w:ind w:firstLine="420" w:firstLineChars="200"/>
        <w:rPr>
          <w:rFonts w:ascii="宋体"/>
        </w:rPr>
      </w:pPr>
      <w:r>
        <w:rPr>
          <w:rFonts w:ascii="宋体" w:hAnsi="宋体"/>
        </w:rPr>
        <w:t xml:space="preserve">22.2.1  </w:t>
      </w:r>
      <w:r>
        <w:rPr>
          <w:rFonts w:hint="eastAsia" w:ascii="宋体" w:hAnsi="宋体"/>
        </w:rPr>
        <w:t>发包人违约的情形</w:t>
      </w:r>
    </w:p>
    <w:p w14:paraId="389F2612">
      <w:pPr>
        <w:spacing w:line="360" w:lineRule="auto"/>
        <w:ind w:firstLine="420" w:firstLineChars="200"/>
        <w:rPr>
          <w:rFonts w:ascii="宋体"/>
        </w:rPr>
      </w:pPr>
      <w:r>
        <w:rPr>
          <w:rFonts w:hint="eastAsia" w:ascii="宋体" w:hAnsi="宋体"/>
        </w:rPr>
        <w:t>在履行合同过程中发生的下列情形，属发包人违约：</w:t>
      </w:r>
    </w:p>
    <w:p w14:paraId="79D6A9C3">
      <w:pPr>
        <w:spacing w:line="360" w:lineRule="auto"/>
        <w:ind w:firstLine="420" w:firstLineChars="200"/>
        <w:rPr>
          <w:rFonts w:ascii="宋体"/>
        </w:rPr>
      </w:pPr>
      <w:r>
        <w:rPr>
          <w:rFonts w:hint="eastAsia" w:ascii="宋体" w:hAnsi="宋体"/>
        </w:rPr>
        <w:t>（</w:t>
      </w:r>
      <w:r>
        <w:rPr>
          <w:rFonts w:ascii="宋体" w:hAnsi="宋体"/>
        </w:rPr>
        <w:t>1</w:t>
      </w:r>
      <w:r>
        <w:rPr>
          <w:rFonts w:hint="eastAsia" w:ascii="宋体" w:hAnsi="宋体"/>
        </w:rPr>
        <w:t>）发包人未能按合同约定支付预付款或合同价款，或拖延、拒绝批准付款申请和支付凭证，导致付款延误的；</w:t>
      </w:r>
    </w:p>
    <w:p w14:paraId="656E1188">
      <w:pPr>
        <w:spacing w:line="360" w:lineRule="auto"/>
        <w:ind w:firstLine="420" w:firstLineChars="200"/>
        <w:rPr>
          <w:rFonts w:ascii="宋体"/>
        </w:rPr>
      </w:pPr>
      <w:r>
        <w:rPr>
          <w:rFonts w:hint="eastAsia" w:ascii="宋体" w:hAnsi="宋体"/>
        </w:rPr>
        <w:t>（</w:t>
      </w:r>
      <w:r>
        <w:rPr>
          <w:rFonts w:ascii="宋体" w:hAnsi="宋体"/>
        </w:rPr>
        <w:t>2</w:t>
      </w:r>
      <w:r>
        <w:rPr>
          <w:rFonts w:hint="eastAsia" w:ascii="宋体" w:hAnsi="宋体"/>
        </w:rPr>
        <w:t>）发包人原因造成停工的；</w:t>
      </w:r>
    </w:p>
    <w:p w14:paraId="7D158C6A">
      <w:pPr>
        <w:spacing w:line="360" w:lineRule="auto"/>
        <w:ind w:firstLine="420" w:firstLineChars="200"/>
        <w:rPr>
          <w:rFonts w:ascii="宋体"/>
        </w:rPr>
      </w:pPr>
      <w:r>
        <w:rPr>
          <w:rFonts w:hint="eastAsia" w:ascii="宋体" w:hAnsi="宋体"/>
        </w:rPr>
        <w:t>（</w:t>
      </w:r>
      <w:r>
        <w:rPr>
          <w:rFonts w:ascii="宋体" w:hAnsi="宋体"/>
        </w:rPr>
        <w:t>3</w:t>
      </w:r>
      <w:r>
        <w:rPr>
          <w:rFonts w:hint="eastAsia" w:ascii="宋体" w:hAnsi="宋体"/>
        </w:rPr>
        <w:t>）监理人无正当理由没有在约定期限内发出复工指示，导致承包人无法复工的；</w:t>
      </w:r>
    </w:p>
    <w:p w14:paraId="5C44ACD6">
      <w:pPr>
        <w:spacing w:line="360" w:lineRule="auto"/>
        <w:ind w:firstLine="420" w:firstLineChars="200"/>
        <w:rPr>
          <w:rFonts w:ascii="宋体"/>
        </w:rPr>
      </w:pPr>
      <w:r>
        <w:rPr>
          <w:rFonts w:hint="eastAsia" w:ascii="宋体" w:hAnsi="宋体"/>
        </w:rPr>
        <w:t>（</w:t>
      </w:r>
      <w:r>
        <w:rPr>
          <w:rFonts w:ascii="宋体" w:hAnsi="宋体"/>
        </w:rPr>
        <w:t>4</w:t>
      </w:r>
      <w:r>
        <w:rPr>
          <w:rFonts w:hint="eastAsia" w:ascii="宋体" w:hAnsi="宋体"/>
        </w:rPr>
        <w:t>）发包人无法继续履行或明确表示不履行或实质上已停止履行合同的；</w:t>
      </w:r>
    </w:p>
    <w:p w14:paraId="30FAD471">
      <w:pPr>
        <w:spacing w:line="360" w:lineRule="auto"/>
        <w:ind w:firstLine="420" w:firstLineChars="200"/>
        <w:rPr>
          <w:rFonts w:ascii="宋体"/>
        </w:rPr>
      </w:pPr>
      <w:r>
        <w:rPr>
          <w:rFonts w:hint="eastAsia" w:ascii="宋体" w:hAnsi="宋体"/>
        </w:rPr>
        <w:t>（</w:t>
      </w:r>
      <w:r>
        <w:rPr>
          <w:rFonts w:ascii="宋体" w:hAnsi="宋体"/>
        </w:rPr>
        <w:t>5</w:t>
      </w:r>
      <w:r>
        <w:rPr>
          <w:rFonts w:hint="eastAsia" w:ascii="宋体" w:hAnsi="宋体"/>
        </w:rPr>
        <w:t>）发包人不履行合同约定其他义务的。</w:t>
      </w:r>
    </w:p>
    <w:p w14:paraId="773A837B">
      <w:pPr>
        <w:spacing w:line="360" w:lineRule="auto"/>
        <w:ind w:firstLine="420" w:firstLineChars="200"/>
        <w:rPr>
          <w:rFonts w:ascii="宋体"/>
        </w:rPr>
      </w:pPr>
      <w:r>
        <w:rPr>
          <w:rFonts w:ascii="宋体" w:hAnsi="宋体"/>
        </w:rPr>
        <w:t xml:space="preserve">22.2.2  </w:t>
      </w:r>
      <w:r>
        <w:rPr>
          <w:rFonts w:hint="eastAsia" w:ascii="宋体" w:hAnsi="宋体"/>
        </w:rPr>
        <w:t>承包人有权暂停施工</w:t>
      </w:r>
    </w:p>
    <w:p w14:paraId="2259D024">
      <w:pPr>
        <w:spacing w:line="360" w:lineRule="auto"/>
        <w:ind w:firstLine="420" w:firstLineChars="200"/>
        <w:rPr>
          <w:rFonts w:ascii="宋体"/>
        </w:rPr>
      </w:pPr>
      <w:r>
        <w:rPr>
          <w:rFonts w:hint="eastAsia" w:ascii="宋体" w:hAnsi="宋体"/>
        </w:rPr>
        <w:t>发包人发生除第</w:t>
      </w:r>
      <w:r>
        <w:rPr>
          <w:rFonts w:ascii="宋体" w:hAnsi="宋体"/>
        </w:rPr>
        <w:t>22.2.1</w:t>
      </w:r>
      <w:r>
        <w:rPr>
          <w:rFonts w:hint="eastAsia" w:ascii="宋体" w:hAnsi="宋体"/>
        </w:rPr>
        <w:t>（</w:t>
      </w:r>
      <w:r>
        <w:rPr>
          <w:rFonts w:ascii="宋体" w:hAnsi="宋体"/>
        </w:rPr>
        <w:t>4</w:t>
      </w:r>
      <w:r>
        <w:rPr>
          <w:rFonts w:hint="eastAsia" w:ascii="宋体" w:hAnsi="宋体"/>
        </w:rPr>
        <w:t>）目以外的违约情况时，承包人可向发包人发出通知，要求发包人采取有效措施纠正违约行为。发包人收到承包人通知后的</w:t>
      </w:r>
      <w:r>
        <w:rPr>
          <w:rFonts w:ascii="宋体" w:hAnsi="宋体"/>
        </w:rPr>
        <w:t>28</w:t>
      </w:r>
      <w:r>
        <w:rPr>
          <w:rFonts w:hint="eastAsia" w:ascii="宋体" w:hAnsi="宋体"/>
        </w:rPr>
        <w:t>天内仍不履行合同义务，承包人有权暂停施工，并通知监理人，发包人应承担由此增加的费用和（或）工期延误，并支付承包人合理利润。</w:t>
      </w:r>
    </w:p>
    <w:p w14:paraId="163D9D47">
      <w:pPr>
        <w:spacing w:line="360" w:lineRule="auto"/>
        <w:ind w:firstLine="420" w:firstLineChars="200"/>
        <w:rPr>
          <w:rFonts w:ascii="宋体"/>
        </w:rPr>
      </w:pPr>
      <w:r>
        <w:rPr>
          <w:rFonts w:ascii="宋体" w:hAnsi="宋体"/>
        </w:rPr>
        <w:t xml:space="preserve">22.2.3  </w:t>
      </w:r>
      <w:r>
        <w:rPr>
          <w:rFonts w:hint="eastAsia" w:ascii="宋体" w:hAnsi="宋体"/>
        </w:rPr>
        <w:t>发包人违约解除合同</w:t>
      </w:r>
    </w:p>
    <w:p w14:paraId="358DC04F">
      <w:pPr>
        <w:spacing w:line="360" w:lineRule="auto"/>
        <w:ind w:firstLine="420" w:firstLineChars="200"/>
        <w:rPr>
          <w:rFonts w:ascii="宋体"/>
        </w:rPr>
      </w:pPr>
      <w:r>
        <w:rPr>
          <w:rFonts w:hint="eastAsia" w:ascii="宋体" w:hAnsi="宋体"/>
        </w:rPr>
        <w:t>（</w:t>
      </w:r>
      <w:r>
        <w:rPr>
          <w:rFonts w:ascii="宋体" w:hAnsi="宋体"/>
        </w:rPr>
        <w:t>1</w:t>
      </w:r>
      <w:r>
        <w:rPr>
          <w:rFonts w:hint="eastAsia" w:ascii="宋体" w:hAnsi="宋体"/>
        </w:rPr>
        <w:t>）发生第</w:t>
      </w:r>
      <w:r>
        <w:rPr>
          <w:rFonts w:ascii="宋体" w:hAnsi="宋体"/>
        </w:rPr>
        <w:t>22.2.1</w:t>
      </w:r>
      <w:r>
        <w:rPr>
          <w:rFonts w:hint="eastAsia" w:ascii="宋体" w:hAnsi="宋体"/>
        </w:rPr>
        <w:t>（</w:t>
      </w:r>
      <w:r>
        <w:rPr>
          <w:rFonts w:ascii="宋体" w:hAnsi="宋体"/>
        </w:rPr>
        <w:t>4</w:t>
      </w:r>
      <w:r>
        <w:rPr>
          <w:rFonts w:hint="eastAsia" w:ascii="宋体" w:hAnsi="宋体"/>
        </w:rPr>
        <w:t>）目的违约情况时，承包人可书面通知发包人解除合同。</w:t>
      </w:r>
    </w:p>
    <w:p w14:paraId="0FE88C36">
      <w:pPr>
        <w:spacing w:line="360" w:lineRule="auto"/>
        <w:ind w:firstLine="420" w:firstLineChars="200"/>
        <w:rPr>
          <w:rFonts w:ascii="宋体"/>
        </w:rPr>
      </w:pPr>
      <w:r>
        <w:rPr>
          <w:rFonts w:hint="eastAsia" w:ascii="宋体" w:hAnsi="宋体"/>
        </w:rPr>
        <w:t>（</w:t>
      </w:r>
      <w:r>
        <w:rPr>
          <w:rFonts w:ascii="宋体" w:hAnsi="宋体"/>
        </w:rPr>
        <w:t>2</w:t>
      </w:r>
      <w:r>
        <w:rPr>
          <w:rFonts w:hint="eastAsia" w:ascii="宋体" w:hAnsi="宋体"/>
        </w:rPr>
        <w:t>）承包人按第</w:t>
      </w:r>
      <w:r>
        <w:rPr>
          <w:rFonts w:ascii="宋体" w:hAnsi="宋体"/>
        </w:rPr>
        <w:t>22.2.2</w:t>
      </w:r>
      <w:r>
        <w:rPr>
          <w:rFonts w:hint="eastAsia" w:ascii="宋体" w:hAnsi="宋体"/>
        </w:rPr>
        <w:t>项暂停施工</w:t>
      </w:r>
      <w:r>
        <w:rPr>
          <w:rFonts w:ascii="宋体" w:hAnsi="宋体"/>
        </w:rPr>
        <w:t>28</w:t>
      </w:r>
      <w:r>
        <w:rPr>
          <w:rFonts w:hint="eastAsia" w:ascii="宋体" w:hAnsi="宋体"/>
        </w:rPr>
        <w:t>天后，发包人仍不纠正违约行为的，承包人可向发包人发出解除合同通知。但承包人的这一行动不免除发包人承担的违约责任，也不影响承包人根据合同约定享有的索赔权利。</w:t>
      </w:r>
    </w:p>
    <w:p w14:paraId="53481966">
      <w:pPr>
        <w:spacing w:line="360" w:lineRule="auto"/>
        <w:ind w:firstLine="420" w:firstLineChars="200"/>
        <w:rPr>
          <w:rFonts w:ascii="宋体"/>
        </w:rPr>
      </w:pPr>
      <w:r>
        <w:rPr>
          <w:rFonts w:ascii="宋体" w:hAnsi="宋体"/>
        </w:rPr>
        <w:t xml:space="preserve">22.2.4  </w:t>
      </w:r>
      <w:r>
        <w:rPr>
          <w:rFonts w:hint="eastAsia" w:ascii="宋体" w:hAnsi="宋体"/>
        </w:rPr>
        <w:t>解除合同后的付款</w:t>
      </w:r>
    </w:p>
    <w:p w14:paraId="236E1E0C">
      <w:pPr>
        <w:spacing w:line="360" w:lineRule="auto"/>
        <w:ind w:firstLine="420" w:firstLineChars="200"/>
        <w:rPr>
          <w:rFonts w:ascii="宋体"/>
        </w:rPr>
      </w:pPr>
      <w:r>
        <w:rPr>
          <w:rFonts w:hint="eastAsia" w:ascii="宋体" w:hAnsi="宋体"/>
        </w:rPr>
        <w:t>因发包人违约解除合同的，发包人应在解除合同后</w:t>
      </w:r>
      <w:r>
        <w:rPr>
          <w:rFonts w:ascii="宋体" w:hAnsi="宋体"/>
        </w:rPr>
        <w:t>28</w:t>
      </w:r>
      <w:r>
        <w:rPr>
          <w:rFonts w:hint="eastAsia" w:ascii="宋体" w:hAnsi="宋体"/>
        </w:rPr>
        <w:t>天内向承包人支付下列金额，承包人应在此期限内及时向发包人提交要求支付下列金额的有关资料和凭证：</w:t>
      </w:r>
    </w:p>
    <w:p w14:paraId="0AF8639F">
      <w:pPr>
        <w:spacing w:line="360" w:lineRule="auto"/>
        <w:ind w:firstLine="420" w:firstLineChars="200"/>
        <w:rPr>
          <w:rFonts w:ascii="宋体"/>
        </w:rPr>
      </w:pPr>
      <w:r>
        <w:rPr>
          <w:rFonts w:hint="eastAsia" w:ascii="宋体" w:hAnsi="宋体"/>
        </w:rPr>
        <w:t>（</w:t>
      </w:r>
      <w:r>
        <w:rPr>
          <w:rFonts w:ascii="宋体" w:hAnsi="宋体"/>
        </w:rPr>
        <w:t>1</w:t>
      </w:r>
      <w:r>
        <w:rPr>
          <w:rFonts w:hint="eastAsia" w:ascii="宋体" w:hAnsi="宋体"/>
        </w:rPr>
        <w:t>）合同解除日以前所完成工作的价款；</w:t>
      </w:r>
    </w:p>
    <w:p w14:paraId="75F6759D">
      <w:pPr>
        <w:spacing w:line="360" w:lineRule="auto"/>
        <w:ind w:firstLine="420" w:firstLineChars="200"/>
        <w:rPr>
          <w:rFonts w:ascii="宋体"/>
        </w:rPr>
      </w:pPr>
      <w:r>
        <w:rPr>
          <w:rFonts w:hint="eastAsia" w:ascii="宋体" w:hAnsi="宋体"/>
        </w:rPr>
        <w:t>（</w:t>
      </w:r>
      <w:r>
        <w:rPr>
          <w:rFonts w:ascii="宋体" w:hAnsi="宋体"/>
        </w:rPr>
        <w:t>2</w:t>
      </w:r>
      <w:r>
        <w:rPr>
          <w:rFonts w:hint="eastAsia" w:ascii="宋体" w:hAnsi="宋体"/>
        </w:rPr>
        <w:t>）承包人为该工程施工订购并已付款的材料、工程设备和其他物品的金额。发包人付还后，该材料、工程设备和其他物品归发包人所有；</w:t>
      </w:r>
    </w:p>
    <w:p w14:paraId="5F4A295F">
      <w:pPr>
        <w:spacing w:line="360" w:lineRule="auto"/>
        <w:ind w:firstLine="420" w:firstLineChars="200"/>
        <w:rPr>
          <w:rFonts w:ascii="宋体"/>
        </w:rPr>
      </w:pPr>
      <w:r>
        <w:rPr>
          <w:rFonts w:hint="eastAsia" w:ascii="宋体" w:hAnsi="宋体"/>
        </w:rPr>
        <w:t>（</w:t>
      </w:r>
      <w:r>
        <w:rPr>
          <w:rFonts w:ascii="宋体" w:hAnsi="宋体"/>
        </w:rPr>
        <w:t>3</w:t>
      </w:r>
      <w:r>
        <w:rPr>
          <w:rFonts w:hint="eastAsia" w:ascii="宋体" w:hAnsi="宋体"/>
        </w:rPr>
        <w:t>）承包人为完成工程所发生的，而发包人未支付的金额；</w:t>
      </w:r>
    </w:p>
    <w:p w14:paraId="179CB918">
      <w:pPr>
        <w:spacing w:line="360" w:lineRule="auto"/>
        <w:ind w:firstLine="420" w:firstLineChars="200"/>
        <w:rPr>
          <w:rFonts w:ascii="宋体"/>
        </w:rPr>
      </w:pPr>
      <w:r>
        <w:rPr>
          <w:rFonts w:hint="eastAsia" w:ascii="宋体" w:hAnsi="宋体"/>
        </w:rPr>
        <w:t>（</w:t>
      </w:r>
      <w:r>
        <w:rPr>
          <w:rFonts w:ascii="宋体" w:hAnsi="宋体"/>
        </w:rPr>
        <w:t>4</w:t>
      </w:r>
      <w:r>
        <w:rPr>
          <w:rFonts w:hint="eastAsia" w:ascii="宋体" w:hAnsi="宋体"/>
        </w:rPr>
        <w:t>）承包人撤离施工场地以及遣散承包人人员的金额；</w:t>
      </w:r>
    </w:p>
    <w:p w14:paraId="6B2AE378">
      <w:pPr>
        <w:spacing w:line="360" w:lineRule="auto"/>
        <w:ind w:firstLine="420" w:firstLineChars="200"/>
        <w:rPr>
          <w:rFonts w:ascii="宋体"/>
        </w:rPr>
      </w:pPr>
      <w:r>
        <w:rPr>
          <w:rFonts w:hint="eastAsia" w:ascii="宋体" w:hAnsi="宋体"/>
        </w:rPr>
        <w:t>（</w:t>
      </w:r>
      <w:r>
        <w:rPr>
          <w:rFonts w:ascii="宋体" w:hAnsi="宋体"/>
        </w:rPr>
        <w:t>5</w:t>
      </w:r>
      <w:r>
        <w:rPr>
          <w:rFonts w:hint="eastAsia" w:ascii="宋体" w:hAnsi="宋体"/>
        </w:rPr>
        <w:t>）由于解除合同应赔偿的承包人损失；</w:t>
      </w:r>
    </w:p>
    <w:p w14:paraId="3946D0E6">
      <w:pPr>
        <w:spacing w:line="360" w:lineRule="auto"/>
        <w:ind w:firstLine="420" w:firstLineChars="200"/>
        <w:rPr>
          <w:rFonts w:ascii="宋体"/>
        </w:rPr>
      </w:pPr>
      <w:r>
        <w:rPr>
          <w:rFonts w:hint="eastAsia" w:ascii="宋体" w:hAnsi="宋体"/>
        </w:rPr>
        <w:t>（</w:t>
      </w:r>
      <w:r>
        <w:rPr>
          <w:rFonts w:ascii="宋体" w:hAnsi="宋体"/>
        </w:rPr>
        <w:t>6</w:t>
      </w:r>
      <w:r>
        <w:rPr>
          <w:rFonts w:hint="eastAsia" w:ascii="宋体" w:hAnsi="宋体"/>
        </w:rPr>
        <w:t>）按合同约定在合同解除日前应支付给承包人的其他金额。</w:t>
      </w:r>
    </w:p>
    <w:p w14:paraId="61527469">
      <w:pPr>
        <w:spacing w:line="360" w:lineRule="auto"/>
        <w:ind w:firstLine="420" w:firstLineChars="200"/>
        <w:rPr>
          <w:rFonts w:ascii="宋体"/>
        </w:rPr>
      </w:pPr>
      <w:r>
        <w:rPr>
          <w:rFonts w:hint="eastAsia" w:ascii="宋体" w:hAnsi="宋体"/>
        </w:rPr>
        <w:t>发包人应按本项约定支付上述金额并退还质量保证金或退还质量保证金保函和履约担保，但有权要求承包人支付应偿还给发包人的各项金额。</w:t>
      </w:r>
    </w:p>
    <w:p w14:paraId="3DAE6407">
      <w:pPr>
        <w:spacing w:line="360" w:lineRule="auto"/>
        <w:ind w:firstLine="420" w:firstLineChars="200"/>
        <w:rPr>
          <w:rFonts w:ascii="宋体"/>
        </w:rPr>
      </w:pPr>
      <w:r>
        <w:rPr>
          <w:rFonts w:ascii="宋体" w:hAnsi="宋体"/>
        </w:rPr>
        <w:t xml:space="preserve">22.2.5  </w:t>
      </w:r>
      <w:r>
        <w:rPr>
          <w:rFonts w:hint="eastAsia" w:ascii="宋体" w:hAnsi="宋体"/>
        </w:rPr>
        <w:t>解除合同后的承包人撤离</w:t>
      </w:r>
    </w:p>
    <w:p w14:paraId="0E04679B">
      <w:pPr>
        <w:spacing w:line="360" w:lineRule="auto"/>
        <w:ind w:firstLine="420" w:firstLineChars="200"/>
        <w:rPr>
          <w:rFonts w:ascii="宋体"/>
        </w:rPr>
      </w:pPr>
      <w:r>
        <w:rPr>
          <w:rFonts w:hint="eastAsia" w:ascii="宋体" w:hAnsi="宋体"/>
        </w:rPr>
        <w:t>因发包人违约而解除合同后，承包人应妥善做好已竣工工程和已购材料、设备的保护和移交工作，按发包人要求将承包人设备和人员撤出施工场地。承包人撤出施工场地应遵守第</w:t>
      </w:r>
      <w:r>
        <w:rPr>
          <w:rFonts w:ascii="宋体" w:hAnsi="宋体"/>
        </w:rPr>
        <w:t>18.7.1</w:t>
      </w:r>
      <w:r>
        <w:rPr>
          <w:rFonts w:hint="eastAsia" w:ascii="宋体" w:hAnsi="宋体"/>
        </w:rPr>
        <w:t>项的约定，发包人应为承包人撤出提供必要条件。</w:t>
      </w:r>
    </w:p>
    <w:p w14:paraId="36C9E438">
      <w:pPr>
        <w:keepNext/>
        <w:keepLines/>
        <w:spacing w:beforeLines="50" w:afterLines="50" w:line="360" w:lineRule="auto"/>
        <w:outlineLvl w:val="2"/>
        <w:rPr>
          <w:rFonts w:ascii="宋体" w:hAnsi="宋体"/>
          <w:sz w:val="24"/>
          <w:szCs w:val="20"/>
        </w:rPr>
      </w:pPr>
      <w:bookmarkStart w:id="1458" w:name="_Toc117597626"/>
      <w:bookmarkStart w:id="1459" w:name="_Toc490222640"/>
      <w:bookmarkStart w:id="1460" w:name="_Toc489280006"/>
      <w:bookmarkStart w:id="1461" w:name="_Toc497213871"/>
      <w:bookmarkStart w:id="1462" w:name="_Toc486580195"/>
      <w:r>
        <w:rPr>
          <w:rFonts w:ascii="宋体" w:hAnsi="宋体"/>
          <w:sz w:val="24"/>
          <w:szCs w:val="20"/>
        </w:rPr>
        <w:t xml:space="preserve">22.3  </w:t>
      </w:r>
      <w:r>
        <w:rPr>
          <w:rFonts w:hint="eastAsia" w:ascii="宋体" w:hAnsi="宋体"/>
          <w:sz w:val="24"/>
          <w:szCs w:val="20"/>
        </w:rPr>
        <w:t>第三人造成的违约</w:t>
      </w:r>
      <w:bookmarkEnd w:id="1458"/>
      <w:bookmarkEnd w:id="1459"/>
      <w:bookmarkEnd w:id="1460"/>
      <w:bookmarkEnd w:id="1461"/>
      <w:bookmarkEnd w:id="1462"/>
    </w:p>
    <w:p w14:paraId="6DA06A13">
      <w:pPr>
        <w:spacing w:line="360" w:lineRule="auto"/>
        <w:ind w:firstLine="420" w:firstLineChars="200"/>
        <w:rPr>
          <w:rFonts w:ascii="宋体"/>
        </w:rPr>
      </w:pPr>
      <w:r>
        <w:rPr>
          <w:rFonts w:hint="eastAsia" w:ascii="宋体" w:hAnsi="宋体"/>
        </w:rPr>
        <w:t>在履行合同过程中，一方当事人因第三人的原因造成违约的，应当向对方当事人承担违约责任。一方当事人和第三人之间的纠纷，依照法律规定或者按照约定解决。</w:t>
      </w:r>
    </w:p>
    <w:p w14:paraId="5AC5C53B">
      <w:pPr>
        <w:keepNext/>
        <w:keepLines/>
        <w:spacing w:beforeLines="50" w:afterLines="50" w:line="360" w:lineRule="auto"/>
        <w:outlineLvl w:val="1"/>
        <w:rPr>
          <w:rFonts w:ascii="宋体" w:hAnsi="宋体" w:cs="宋体"/>
          <w:sz w:val="28"/>
          <w:szCs w:val="20"/>
        </w:rPr>
      </w:pPr>
      <w:bookmarkStart w:id="1463" w:name="_Toc490222641"/>
      <w:bookmarkStart w:id="1464" w:name="_Toc497213872"/>
      <w:bookmarkStart w:id="1465" w:name="_Toc117597627"/>
      <w:bookmarkStart w:id="1466" w:name="_Toc489280007"/>
      <w:bookmarkStart w:id="1467" w:name="_Toc486580196"/>
      <w:r>
        <w:rPr>
          <w:rFonts w:ascii="宋体" w:hAnsi="宋体" w:cs="宋体"/>
          <w:sz w:val="28"/>
          <w:szCs w:val="20"/>
        </w:rPr>
        <w:t>23.</w:t>
      </w:r>
      <w:r>
        <w:rPr>
          <w:rFonts w:hint="eastAsia" w:ascii="宋体" w:hAnsi="宋体" w:cs="宋体"/>
          <w:sz w:val="28"/>
          <w:szCs w:val="20"/>
        </w:rPr>
        <w:t>索赔</w:t>
      </w:r>
      <w:bookmarkEnd w:id="1463"/>
      <w:bookmarkEnd w:id="1464"/>
      <w:bookmarkEnd w:id="1465"/>
      <w:bookmarkEnd w:id="1466"/>
      <w:bookmarkEnd w:id="1467"/>
    </w:p>
    <w:p w14:paraId="6BF0F9F7">
      <w:pPr>
        <w:keepNext/>
        <w:keepLines/>
        <w:spacing w:beforeLines="50" w:afterLines="50" w:line="360" w:lineRule="auto"/>
        <w:outlineLvl w:val="2"/>
        <w:rPr>
          <w:rFonts w:ascii="宋体" w:hAnsi="宋体"/>
          <w:sz w:val="24"/>
          <w:szCs w:val="20"/>
        </w:rPr>
      </w:pPr>
      <w:bookmarkStart w:id="1468" w:name="_Toc497213873"/>
      <w:bookmarkStart w:id="1469" w:name="_Toc486580197"/>
      <w:bookmarkStart w:id="1470" w:name="_Toc117597628"/>
      <w:bookmarkStart w:id="1471" w:name="_Toc489280008"/>
      <w:bookmarkStart w:id="1472" w:name="_Toc490222642"/>
      <w:r>
        <w:rPr>
          <w:rFonts w:ascii="宋体" w:hAnsi="宋体"/>
          <w:sz w:val="24"/>
          <w:szCs w:val="20"/>
        </w:rPr>
        <w:t xml:space="preserve">23.1  </w:t>
      </w:r>
      <w:r>
        <w:rPr>
          <w:rFonts w:hint="eastAsia" w:ascii="宋体" w:hAnsi="宋体"/>
          <w:sz w:val="24"/>
          <w:szCs w:val="20"/>
        </w:rPr>
        <w:t>承包人索赔的提出</w:t>
      </w:r>
      <w:bookmarkEnd w:id="1468"/>
      <w:bookmarkEnd w:id="1469"/>
      <w:bookmarkEnd w:id="1470"/>
      <w:bookmarkEnd w:id="1471"/>
      <w:bookmarkEnd w:id="1472"/>
    </w:p>
    <w:p w14:paraId="4458C645">
      <w:pPr>
        <w:spacing w:line="360" w:lineRule="auto"/>
        <w:ind w:firstLine="420" w:firstLineChars="200"/>
        <w:rPr>
          <w:rFonts w:ascii="宋体"/>
        </w:rPr>
      </w:pPr>
      <w:r>
        <w:rPr>
          <w:rFonts w:hint="eastAsia" w:ascii="宋体" w:hAnsi="宋体"/>
        </w:rPr>
        <w:t>根据合同约定，承包人认为有权得到追加付款和（或）延长工期的，应按以下程序向发包人提出索赔：</w:t>
      </w:r>
    </w:p>
    <w:p w14:paraId="6C7B9266">
      <w:pPr>
        <w:spacing w:line="360" w:lineRule="auto"/>
        <w:ind w:firstLine="420" w:firstLineChars="200"/>
        <w:rPr>
          <w:rFonts w:ascii="宋体"/>
        </w:rPr>
      </w:pPr>
      <w:r>
        <w:rPr>
          <w:rFonts w:hint="eastAsia" w:ascii="宋体" w:hAnsi="宋体"/>
        </w:rPr>
        <w:t>（</w:t>
      </w:r>
      <w:r>
        <w:rPr>
          <w:rFonts w:ascii="宋体" w:hAnsi="宋体"/>
        </w:rPr>
        <w:t>1</w:t>
      </w:r>
      <w:r>
        <w:rPr>
          <w:rFonts w:hint="eastAsia" w:ascii="宋体" w:hAnsi="宋体"/>
        </w:rPr>
        <w:t>）承包人应在知道或应当知道索赔事件发生后</w:t>
      </w:r>
      <w:r>
        <w:rPr>
          <w:rFonts w:ascii="宋体" w:hAnsi="宋体"/>
        </w:rPr>
        <w:t>28</w:t>
      </w:r>
      <w:r>
        <w:rPr>
          <w:rFonts w:hint="eastAsia" w:ascii="宋体" w:hAnsi="宋体"/>
        </w:rPr>
        <w:t>天内，向监理人递交索赔意向通知书，并说明发生索赔事件的事由。承包人未在前述</w:t>
      </w:r>
      <w:r>
        <w:rPr>
          <w:rFonts w:ascii="宋体" w:hAnsi="宋体"/>
        </w:rPr>
        <w:t>28</w:t>
      </w:r>
      <w:r>
        <w:rPr>
          <w:rFonts w:hint="eastAsia" w:ascii="宋体" w:hAnsi="宋体"/>
        </w:rPr>
        <w:t>天内发出索赔意向通知书的，丧失要求追加付款和（或）延长工期的权利；</w:t>
      </w:r>
    </w:p>
    <w:p w14:paraId="3C8E5359">
      <w:pPr>
        <w:spacing w:line="360" w:lineRule="auto"/>
        <w:ind w:firstLine="420" w:firstLineChars="200"/>
        <w:rPr>
          <w:rFonts w:ascii="宋体"/>
        </w:rPr>
      </w:pPr>
      <w:r>
        <w:rPr>
          <w:rFonts w:hint="eastAsia" w:ascii="宋体" w:hAnsi="宋体"/>
        </w:rPr>
        <w:t>（</w:t>
      </w:r>
      <w:r>
        <w:rPr>
          <w:rFonts w:ascii="宋体" w:hAnsi="宋体"/>
        </w:rPr>
        <w:t>2</w:t>
      </w:r>
      <w:r>
        <w:rPr>
          <w:rFonts w:hint="eastAsia" w:ascii="宋体" w:hAnsi="宋体"/>
        </w:rPr>
        <w:t>）承包人应在发出索赔意向通知书后</w:t>
      </w:r>
      <w:r>
        <w:rPr>
          <w:rFonts w:ascii="宋体" w:hAnsi="宋体"/>
        </w:rPr>
        <w:t>28</w:t>
      </w:r>
      <w:r>
        <w:rPr>
          <w:rFonts w:hint="eastAsia" w:ascii="宋体" w:hAnsi="宋体"/>
        </w:rPr>
        <w:t>天内，向监理人正式递交索赔通知书。索赔通知书应详细说明索赔理由以及要求追加的付款金额和（或）延长的工期，并附必要的记录和证明材料；</w:t>
      </w:r>
    </w:p>
    <w:p w14:paraId="1A961681">
      <w:pPr>
        <w:spacing w:line="360" w:lineRule="auto"/>
        <w:ind w:firstLine="420" w:firstLineChars="200"/>
        <w:rPr>
          <w:rFonts w:ascii="宋体"/>
        </w:rPr>
      </w:pPr>
      <w:r>
        <w:rPr>
          <w:rFonts w:hint="eastAsia" w:ascii="宋体" w:hAnsi="宋体"/>
        </w:rPr>
        <w:t>（</w:t>
      </w:r>
      <w:r>
        <w:rPr>
          <w:rFonts w:ascii="宋体" w:hAnsi="宋体"/>
        </w:rPr>
        <w:t>3</w:t>
      </w:r>
      <w:r>
        <w:rPr>
          <w:rFonts w:hint="eastAsia" w:ascii="宋体" w:hAnsi="宋体"/>
        </w:rPr>
        <w:t>）索赔事件具有连续影响的，承包人应按合理时间间隔继续递交延续索赔通知，说明连续影响的实际情况和记录，列出累计的追加付款金额和（或）工期延长天数；</w:t>
      </w:r>
    </w:p>
    <w:p w14:paraId="644E6039">
      <w:pPr>
        <w:spacing w:line="360" w:lineRule="auto"/>
        <w:ind w:firstLine="420" w:firstLineChars="200"/>
        <w:rPr>
          <w:rFonts w:ascii="宋体"/>
        </w:rPr>
      </w:pPr>
      <w:r>
        <w:rPr>
          <w:rFonts w:hint="eastAsia" w:ascii="宋体" w:hAnsi="宋体"/>
        </w:rPr>
        <w:t>（</w:t>
      </w:r>
      <w:r>
        <w:rPr>
          <w:rFonts w:ascii="宋体" w:hAnsi="宋体"/>
        </w:rPr>
        <w:t>4</w:t>
      </w:r>
      <w:r>
        <w:rPr>
          <w:rFonts w:hint="eastAsia" w:ascii="宋体" w:hAnsi="宋体"/>
        </w:rPr>
        <w:t>）在索赔事件影响结束后的</w:t>
      </w:r>
      <w:r>
        <w:rPr>
          <w:rFonts w:ascii="宋体" w:hAnsi="宋体"/>
        </w:rPr>
        <w:t>28</w:t>
      </w:r>
      <w:r>
        <w:rPr>
          <w:rFonts w:hint="eastAsia" w:ascii="宋体" w:hAnsi="宋体"/>
        </w:rPr>
        <w:t>天内，承包人应向监理人递交最终索赔通知书，说明最终要求索赔的追加付款金额和延长的工期，并附必要的记录和证明材料。</w:t>
      </w:r>
    </w:p>
    <w:p w14:paraId="5BF42D18">
      <w:pPr>
        <w:keepNext/>
        <w:keepLines/>
        <w:spacing w:beforeLines="50" w:afterLines="50" w:line="360" w:lineRule="auto"/>
        <w:outlineLvl w:val="2"/>
        <w:rPr>
          <w:rFonts w:ascii="宋体" w:hAnsi="宋体"/>
          <w:sz w:val="24"/>
          <w:szCs w:val="20"/>
        </w:rPr>
      </w:pPr>
      <w:bookmarkStart w:id="1473" w:name="_Toc117597629"/>
      <w:bookmarkStart w:id="1474" w:name="_Toc486580198"/>
      <w:bookmarkStart w:id="1475" w:name="_Toc490222643"/>
      <w:bookmarkStart w:id="1476" w:name="_Toc497213874"/>
      <w:bookmarkStart w:id="1477" w:name="_Toc489280009"/>
      <w:r>
        <w:rPr>
          <w:rFonts w:ascii="宋体" w:hAnsi="宋体"/>
          <w:sz w:val="24"/>
          <w:szCs w:val="20"/>
        </w:rPr>
        <w:t xml:space="preserve">23.2  </w:t>
      </w:r>
      <w:r>
        <w:rPr>
          <w:rFonts w:hint="eastAsia" w:ascii="宋体" w:hAnsi="宋体"/>
          <w:sz w:val="24"/>
          <w:szCs w:val="20"/>
        </w:rPr>
        <w:t>承包人索赔处理程序</w:t>
      </w:r>
      <w:bookmarkEnd w:id="1473"/>
      <w:bookmarkEnd w:id="1474"/>
      <w:bookmarkEnd w:id="1475"/>
      <w:bookmarkEnd w:id="1476"/>
      <w:bookmarkEnd w:id="1477"/>
    </w:p>
    <w:p w14:paraId="0C0CE6F7">
      <w:pPr>
        <w:spacing w:line="360" w:lineRule="auto"/>
        <w:ind w:firstLine="420" w:firstLineChars="200"/>
        <w:rPr>
          <w:rFonts w:ascii="宋体"/>
        </w:rPr>
      </w:pPr>
      <w:r>
        <w:rPr>
          <w:rFonts w:hint="eastAsia" w:ascii="宋体" w:hAnsi="宋体"/>
        </w:rPr>
        <w:t>（</w:t>
      </w:r>
      <w:r>
        <w:rPr>
          <w:rFonts w:ascii="宋体" w:hAnsi="宋体"/>
        </w:rPr>
        <w:t>1</w:t>
      </w:r>
      <w:r>
        <w:rPr>
          <w:rFonts w:hint="eastAsia" w:ascii="宋体" w:hAnsi="宋体"/>
        </w:rPr>
        <w:t>）监理人收到承包人提交的索赔通知书后，应及时审查索赔通知书的内容、查验承包人的记录和证明材料，必要时监理人可要求承包人提交全部原始记录副本。</w:t>
      </w:r>
    </w:p>
    <w:p w14:paraId="18ADF76A">
      <w:pPr>
        <w:spacing w:line="360" w:lineRule="auto"/>
        <w:ind w:firstLine="420" w:firstLineChars="200"/>
        <w:rPr>
          <w:rFonts w:ascii="宋体"/>
        </w:rPr>
      </w:pPr>
      <w:r>
        <w:rPr>
          <w:rFonts w:hint="eastAsia" w:ascii="宋体" w:hAnsi="宋体"/>
        </w:rPr>
        <w:t>（</w:t>
      </w:r>
      <w:r>
        <w:rPr>
          <w:rFonts w:ascii="宋体" w:hAnsi="宋体"/>
        </w:rPr>
        <w:t>2</w:t>
      </w:r>
      <w:r>
        <w:rPr>
          <w:rFonts w:hint="eastAsia" w:ascii="宋体" w:hAnsi="宋体"/>
        </w:rPr>
        <w:t>）监理人应按第</w:t>
      </w:r>
      <w:r>
        <w:rPr>
          <w:rFonts w:ascii="宋体" w:hAnsi="宋体"/>
        </w:rPr>
        <w:t>3.5</w:t>
      </w:r>
      <w:r>
        <w:rPr>
          <w:rFonts w:hint="eastAsia" w:ascii="宋体" w:hAnsi="宋体"/>
        </w:rPr>
        <w:t>款商定或确定追加的付款和（或）延长的工期，并在收到上述索赔通知书或有关索赔的进一步证明材料后的</w:t>
      </w:r>
      <w:r>
        <w:rPr>
          <w:rFonts w:ascii="宋体" w:hAnsi="宋体"/>
        </w:rPr>
        <w:t>42</w:t>
      </w:r>
      <w:r>
        <w:rPr>
          <w:rFonts w:hint="eastAsia" w:ascii="宋体" w:hAnsi="宋体"/>
        </w:rPr>
        <w:t>天内，将索赔处理结果答复承包人。</w:t>
      </w:r>
    </w:p>
    <w:p w14:paraId="53F48E05">
      <w:pPr>
        <w:spacing w:line="360" w:lineRule="auto"/>
        <w:ind w:firstLine="420" w:firstLineChars="200"/>
        <w:rPr>
          <w:rFonts w:ascii="宋体"/>
        </w:rPr>
      </w:pPr>
      <w:r>
        <w:rPr>
          <w:rFonts w:hint="eastAsia" w:ascii="宋体" w:hAnsi="宋体"/>
        </w:rPr>
        <w:t>（</w:t>
      </w:r>
      <w:r>
        <w:rPr>
          <w:rFonts w:ascii="宋体" w:hAnsi="宋体"/>
        </w:rPr>
        <w:t>3</w:t>
      </w:r>
      <w:r>
        <w:rPr>
          <w:rFonts w:hint="eastAsia" w:ascii="宋体" w:hAnsi="宋体"/>
        </w:rPr>
        <w:t>）承包人接受索赔处理结果的，发包人应在作出索赔处理结果答复后</w:t>
      </w:r>
      <w:r>
        <w:rPr>
          <w:rFonts w:ascii="宋体" w:hAnsi="宋体"/>
        </w:rPr>
        <w:t>28</w:t>
      </w:r>
      <w:r>
        <w:rPr>
          <w:rFonts w:hint="eastAsia" w:ascii="宋体" w:hAnsi="宋体"/>
        </w:rPr>
        <w:t>天内完成赔付。承包人不接受索赔处理结果的，按第</w:t>
      </w:r>
      <w:r>
        <w:rPr>
          <w:rFonts w:ascii="宋体" w:hAnsi="宋体"/>
        </w:rPr>
        <w:t>24</w:t>
      </w:r>
      <w:r>
        <w:rPr>
          <w:rFonts w:hint="eastAsia" w:ascii="宋体" w:hAnsi="宋体"/>
        </w:rPr>
        <w:t>条的约定办理。</w:t>
      </w:r>
    </w:p>
    <w:p w14:paraId="37986583">
      <w:pPr>
        <w:keepNext/>
        <w:keepLines/>
        <w:spacing w:beforeLines="50" w:afterLines="50" w:line="360" w:lineRule="auto"/>
        <w:outlineLvl w:val="2"/>
        <w:rPr>
          <w:rFonts w:ascii="宋体" w:hAnsi="宋体"/>
          <w:sz w:val="24"/>
          <w:szCs w:val="20"/>
        </w:rPr>
      </w:pPr>
      <w:bookmarkStart w:id="1478" w:name="_Toc489280010"/>
      <w:bookmarkStart w:id="1479" w:name="_Toc486580199"/>
      <w:bookmarkStart w:id="1480" w:name="_Toc490222644"/>
      <w:bookmarkStart w:id="1481" w:name="_Toc497213875"/>
      <w:bookmarkStart w:id="1482" w:name="_Toc117597630"/>
      <w:r>
        <w:rPr>
          <w:rFonts w:ascii="宋体" w:hAnsi="宋体"/>
          <w:sz w:val="24"/>
          <w:szCs w:val="20"/>
        </w:rPr>
        <w:t xml:space="preserve">23.3  </w:t>
      </w:r>
      <w:r>
        <w:rPr>
          <w:rFonts w:hint="eastAsia" w:ascii="宋体" w:hAnsi="宋体"/>
          <w:sz w:val="24"/>
          <w:szCs w:val="20"/>
        </w:rPr>
        <w:t>承包人提出索赔的期限</w:t>
      </w:r>
      <w:bookmarkEnd w:id="1478"/>
      <w:bookmarkEnd w:id="1479"/>
      <w:bookmarkEnd w:id="1480"/>
      <w:bookmarkEnd w:id="1481"/>
      <w:bookmarkEnd w:id="1482"/>
    </w:p>
    <w:p w14:paraId="01F990C8">
      <w:pPr>
        <w:spacing w:line="360" w:lineRule="auto"/>
        <w:ind w:firstLine="420" w:firstLineChars="200"/>
        <w:rPr>
          <w:rFonts w:ascii="宋体"/>
        </w:rPr>
      </w:pPr>
      <w:r>
        <w:rPr>
          <w:rFonts w:ascii="宋体" w:hAnsi="宋体"/>
        </w:rPr>
        <w:t xml:space="preserve">23.3.1  </w:t>
      </w:r>
      <w:r>
        <w:rPr>
          <w:rFonts w:hint="eastAsia" w:ascii="宋体" w:hAnsi="宋体"/>
        </w:rPr>
        <w:t>承包人按第</w:t>
      </w:r>
      <w:r>
        <w:rPr>
          <w:rFonts w:ascii="宋体" w:hAnsi="宋体"/>
        </w:rPr>
        <w:t>17.5</w:t>
      </w:r>
      <w:r>
        <w:rPr>
          <w:rFonts w:hint="eastAsia" w:ascii="宋体" w:hAnsi="宋体"/>
        </w:rPr>
        <w:t>款的约定接受了竣工付款证书后，应被认为已无权再提出在合同工程接收证书颁发前所发生的任何索赔。</w:t>
      </w:r>
    </w:p>
    <w:p w14:paraId="52FC79EB">
      <w:pPr>
        <w:spacing w:line="360" w:lineRule="auto"/>
        <w:ind w:firstLine="420" w:firstLineChars="200"/>
        <w:rPr>
          <w:rFonts w:ascii="宋体"/>
        </w:rPr>
      </w:pPr>
      <w:r>
        <w:rPr>
          <w:rFonts w:ascii="宋体" w:hAnsi="宋体"/>
        </w:rPr>
        <w:t xml:space="preserve">23.3.2  </w:t>
      </w:r>
      <w:r>
        <w:rPr>
          <w:rFonts w:hint="eastAsia" w:ascii="宋体" w:hAnsi="宋体"/>
        </w:rPr>
        <w:t>承包人按第</w:t>
      </w:r>
      <w:r>
        <w:rPr>
          <w:rFonts w:ascii="宋体" w:hAnsi="宋体"/>
        </w:rPr>
        <w:t>17.6</w:t>
      </w:r>
      <w:r>
        <w:rPr>
          <w:rFonts w:hint="eastAsia" w:ascii="宋体" w:hAnsi="宋体"/>
        </w:rPr>
        <w:t>款的约定提交的最终结清申请单中，只限于提出工程接收证书颁发后发生的索赔。提出索赔的期限自接受最终结清证书时终止。</w:t>
      </w:r>
    </w:p>
    <w:p w14:paraId="73EE108C">
      <w:pPr>
        <w:keepNext/>
        <w:keepLines/>
        <w:spacing w:beforeLines="50" w:afterLines="50" w:line="360" w:lineRule="auto"/>
        <w:outlineLvl w:val="2"/>
        <w:rPr>
          <w:rFonts w:ascii="宋体" w:hAnsi="宋体"/>
          <w:sz w:val="24"/>
          <w:szCs w:val="20"/>
        </w:rPr>
      </w:pPr>
      <w:bookmarkStart w:id="1483" w:name="_Toc117597631"/>
      <w:bookmarkStart w:id="1484" w:name="_Toc497213876"/>
      <w:bookmarkStart w:id="1485" w:name="_Toc490222645"/>
      <w:bookmarkStart w:id="1486" w:name="_Toc489280011"/>
      <w:bookmarkStart w:id="1487" w:name="_Toc486580200"/>
      <w:r>
        <w:rPr>
          <w:rFonts w:ascii="宋体" w:hAnsi="宋体"/>
          <w:sz w:val="24"/>
          <w:szCs w:val="20"/>
        </w:rPr>
        <w:t xml:space="preserve">23.4  </w:t>
      </w:r>
      <w:r>
        <w:rPr>
          <w:rFonts w:hint="eastAsia" w:ascii="宋体" w:hAnsi="宋体"/>
          <w:sz w:val="24"/>
          <w:szCs w:val="20"/>
        </w:rPr>
        <w:t>发包人的索赔</w:t>
      </w:r>
      <w:bookmarkEnd w:id="1483"/>
      <w:bookmarkEnd w:id="1484"/>
      <w:bookmarkEnd w:id="1485"/>
      <w:bookmarkEnd w:id="1486"/>
      <w:bookmarkEnd w:id="1487"/>
    </w:p>
    <w:p w14:paraId="001DA952">
      <w:pPr>
        <w:spacing w:line="360" w:lineRule="auto"/>
        <w:ind w:firstLine="420" w:firstLineChars="200"/>
        <w:rPr>
          <w:rFonts w:ascii="宋体"/>
        </w:rPr>
      </w:pPr>
      <w:r>
        <w:rPr>
          <w:rFonts w:ascii="宋体" w:hAnsi="宋体"/>
        </w:rPr>
        <w:t xml:space="preserve">23.4.1  </w:t>
      </w:r>
      <w:r>
        <w:rPr>
          <w:rFonts w:hint="eastAsia" w:ascii="宋体" w:hAnsi="宋体"/>
        </w:rPr>
        <w:t>发生索赔事件后，监理人应及时书面通知承包人，详细说明发包人有权得到的索赔金额和（或）延长缺陷责任期的细节和依据。发包人提出索赔的期限和要求与第</w:t>
      </w:r>
      <w:r>
        <w:rPr>
          <w:rFonts w:ascii="宋体" w:hAnsi="宋体"/>
        </w:rPr>
        <w:t>23.3</w:t>
      </w:r>
      <w:r>
        <w:rPr>
          <w:rFonts w:hint="eastAsia" w:ascii="宋体" w:hAnsi="宋体"/>
        </w:rPr>
        <w:t>款的约定相同，延长缺陷责任期的通知应在缺陷责任期届满前发出。</w:t>
      </w:r>
    </w:p>
    <w:p w14:paraId="33972D07">
      <w:pPr>
        <w:spacing w:line="360" w:lineRule="auto"/>
        <w:ind w:firstLine="420" w:firstLineChars="200"/>
        <w:rPr>
          <w:rFonts w:ascii="宋体"/>
        </w:rPr>
      </w:pPr>
      <w:r>
        <w:rPr>
          <w:rFonts w:ascii="宋体" w:hAnsi="宋体"/>
        </w:rPr>
        <w:t xml:space="preserve">23.4.2  </w:t>
      </w:r>
      <w:r>
        <w:rPr>
          <w:rFonts w:hint="eastAsia" w:ascii="宋体" w:hAnsi="宋体"/>
        </w:rPr>
        <w:t>监理人按第</w:t>
      </w:r>
      <w:r>
        <w:rPr>
          <w:rFonts w:ascii="宋体" w:hAnsi="宋体"/>
        </w:rPr>
        <w:t>3.5</w:t>
      </w:r>
      <w:r>
        <w:rPr>
          <w:rFonts w:hint="eastAsia" w:ascii="宋体" w:hAnsi="宋体"/>
        </w:rPr>
        <w:t>款商定或确定发包人从承包人处得到赔付的金额和（或）缺陷责任期的延长期。承包人应付给发包人的金额可从拟支付给承包人的合同价款中扣除，或由承包人以其他方式支付给发包人。</w:t>
      </w:r>
    </w:p>
    <w:p w14:paraId="590EEF48">
      <w:pPr>
        <w:keepNext/>
        <w:keepLines/>
        <w:spacing w:beforeLines="50" w:afterLines="50" w:line="360" w:lineRule="auto"/>
        <w:outlineLvl w:val="1"/>
        <w:rPr>
          <w:rFonts w:ascii="宋体" w:hAnsi="宋体" w:cs="宋体"/>
          <w:sz w:val="28"/>
          <w:szCs w:val="20"/>
        </w:rPr>
      </w:pPr>
      <w:bookmarkStart w:id="1488" w:name="_Toc489280012"/>
      <w:bookmarkStart w:id="1489" w:name="_Toc486580201"/>
      <w:bookmarkStart w:id="1490" w:name="_Toc490222646"/>
      <w:bookmarkStart w:id="1491" w:name="_Toc497213877"/>
      <w:bookmarkStart w:id="1492" w:name="_Toc117597632"/>
      <w:r>
        <w:rPr>
          <w:rFonts w:ascii="宋体" w:hAnsi="宋体" w:cs="宋体"/>
          <w:sz w:val="28"/>
          <w:szCs w:val="20"/>
        </w:rPr>
        <w:t>24.</w:t>
      </w:r>
      <w:r>
        <w:rPr>
          <w:rFonts w:hint="eastAsia" w:ascii="宋体" w:hAnsi="宋体" w:cs="宋体"/>
          <w:sz w:val="28"/>
          <w:szCs w:val="20"/>
        </w:rPr>
        <w:t>争议的解决</w:t>
      </w:r>
      <w:bookmarkEnd w:id="1488"/>
      <w:bookmarkEnd w:id="1489"/>
      <w:bookmarkEnd w:id="1490"/>
      <w:bookmarkEnd w:id="1491"/>
      <w:bookmarkEnd w:id="1492"/>
    </w:p>
    <w:p w14:paraId="59361A2E">
      <w:pPr>
        <w:keepNext/>
        <w:keepLines/>
        <w:spacing w:beforeLines="50" w:afterLines="50" w:line="360" w:lineRule="auto"/>
        <w:outlineLvl w:val="2"/>
        <w:rPr>
          <w:rFonts w:ascii="宋体" w:hAnsi="宋体"/>
          <w:sz w:val="24"/>
          <w:szCs w:val="20"/>
        </w:rPr>
      </w:pPr>
      <w:bookmarkStart w:id="1493" w:name="_Toc497213878"/>
      <w:bookmarkStart w:id="1494" w:name="_Toc490222647"/>
      <w:bookmarkStart w:id="1495" w:name="_Toc489280013"/>
      <w:bookmarkStart w:id="1496" w:name="_Toc117597633"/>
      <w:bookmarkStart w:id="1497" w:name="_Toc486580202"/>
      <w:r>
        <w:rPr>
          <w:rFonts w:ascii="宋体" w:hAnsi="宋体"/>
          <w:sz w:val="24"/>
          <w:szCs w:val="20"/>
        </w:rPr>
        <w:t xml:space="preserve">24.1  </w:t>
      </w:r>
      <w:r>
        <w:rPr>
          <w:rFonts w:hint="eastAsia" w:ascii="宋体" w:hAnsi="宋体"/>
          <w:sz w:val="24"/>
          <w:szCs w:val="20"/>
        </w:rPr>
        <w:t>争议的解决方式</w:t>
      </w:r>
      <w:bookmarkEnd w:id="1493"/>
      <w:bookmarkEnd w:id="1494"/>
      <w:bookmarkEnd w:id="1495"/>
      <w:bookmarkEnd w:id="1496"/>
      <w:bookmarkEnd w:id="1497"/>
    </w:p>
    <w:p w14:paraId="48BD8B09">
      <w:pPr>
        <w:spacing w:line="360" w:lineRule="auto"/>
        <w:ind w:firstLine="420" w:firstLineChars="200"/>
        <w:rPr>
          <w:rFonts w:ascii="宋体"/>
        </w:rPr>
      </w:pPr>
      <w:r>
        <w:rPr>
          <w:rFonts w:hint="eastAsia" w:ascii="宋体" w:hAnsi="宋体"/>
        </w:rPr>
        <w:t>发包人和承包人在履行合同中发生争议的，可以友好协商解决或者提请争议评审组评审。合同当事人友好协商解决不成、不愿提请争议评审或者不接受争议评审组意见的，可在合同条款专用部分中约定下列一种方式解决。</w:t>
      </w:r>
    </w:p>
    <w:p w14:paraId="53A3732F">
      <w:pPr>
        <w:spacing w:line="360" w:lineRule="auto"/>
        <w:ind w:firstLine="420" w:firstLineChars="200"/>
        <w:rPr>
          <w:rFonts w:ascii="宋体"/>
        </w:rPr>
      </w:pPr>
      <w:r>
        <w:rPr>
          <w:rFonts w:hint="eastAsia" w:ascii="宋体" w:hAnsi="宋体"/>
        </w:rPr>
        <w:t>（</w:t>
      </w:r>
      <w:r>
        <w:rPr>
          <w:rFonts w:ascii="宋体" w:hAnsi="宋体"/>
        </w:rPr>
        <w:t>1</w:t>
      </w:r>
      <w:r>
        <w:rPr>
          <w:rFonts w:hint="eastAsia" w:ascii="宋体" w:hAnsi="宋体"/>
        </w:rPr>
        <w:t>）向约定的仲裁委员会申请仲裁；</w:t>
      </w:r>
    </w:p>
    <w:p w14:paraId="41ED229B">
      <w:pPr>
        <w:spacing w:line="360" w:lineRule="auto"/>
        <w:ind w:firstLine="420" w:firstLineChars="200"/>
        <w:rPr>
          <w:rFonts w:ascii="宋体"/>
        </w:rPr>
      </w:pPr>
      <w:r>
        <w:rPr>
          <w:rFonts w:hint="eastAsia" w:ascii="宋体" w:hAnsi="宋体"/>
        </w:rPr>
        <w:t>（</w:t>
      </w:r>
      <w:r>
        <w:rPr>
          <w:rFonts w:ascii="宋体" w:hAnsi="宋体"/>
        </w:rPr>
        <w:t>2</w:t>
      </w:r>
      <w:r>
        <w:rPr>
          <w:rFonts w:hint="eastAsia" w:ascii="宋体" w:hAnsi="宋体"/>
        </w:rPr>
        <w:t>）向有管辖权的人民法院提起诉讼。</w:t>
      </w:r>
    </w:p>
    <w:p w14:paraId="043C43BF">
      <w:pPr>
        <w:keepNext/>
        <w:keepLines/>
        <w:spacing w:beforeLines="50" w:afterLines="50" w:line="360" w:lineRule="auto"/>
        <w:outlineLvl w:val="2"/>
        <w:rPr>
          <w:rFonts w:ascii="宋体" w:hAnsi="宋体"/>
          <w:sz w:val="24"/>
          <w:szCs w:val="20"/>
        </w:rPr>
      </w:pPr>
      <w:bookmarkStart w:id="1498" w:name="_Toc497213879"/>
      <w:bookmarkStart w:id="1499" w:name="_Toc117597634"/>
      <w:bookmarkStart w:id="1500" w:name="_Toc489280014"/>
      <w:bookmarkStart w:id="1501" w:name="_Toc486580203"/>
      <w:bookmarkStart w:id="1502" w:name="_Toc490222648"/>
      <w:r>
        <w:rPr>
          <w:rFonts w:ascii="宋体" w:hAnsi="宋体"/>
          <w:sz w:val="24"/>
          <w:szCs w:val="20"/>
        </w:rPr>
        <w:t xml:space="preserve">24.2  </w:t>
      </w:r>
      <w:r>
        <w:rPr>
          <w:rFonts w:hint="eastAsia" w:ascii="宋体" w:hAnsi="宋体"/>
          <w:sz w:val="24"/>
          <w:szCs w:val="20"/>
        </w:rPr>
        <w:t>友好解决</w:t>
      </w:r>
      <w:bookmarkEnd w:id="1498"/>
      <w:bookmarkEnd w:id="1499"/>
      <w:bookmarkEnd w:id="1500"/>
      <w:bookmarkEnd w:id="1501"/>
      <w:bookmarkEnd w:id="1502"/>
    </w:p>
    <w:p w14:paraId="189280E9">
      <w:pPr>
        <w:spacing w:line="360" w:lineRule="auto"/>
        <w:ind w:firstLine="420" w:firstLineChars="200"/>
        <w:rPr>
          <w:rFonts w:ascii="宋体"/>
        </w:rPr>
      </w:pPr>
      <w:r>
        <w:rPr>
          <w:rFonts w:hint="eastAsia" w:ascii="宋体" w:hAnsi="宋体"/>
        </w:rPr>
        <w:t>在提请争议评审、仲裁或者诉讼前，以及在争议评审、仲裁或诉讼过程中，发包人和承包人均可共同努力友好协商解决争议。</w:t>
      </w:r>
    </w:p>
    <w:p w14:paraId="6B4B146D">
      <w:pPr>
        <w:keepNext/>
        <w:keepLines/>
        <w:spacing w:beforeLines="50" w:afterLines="50" w:line="360" w:lineRule="auto"/>
        <w:outlineLvl w:val="2"/>
        <w:rPr>
          <w:rFonts w:ascii="宋体" w:hAnsi="宋体"/>
          <w:sz w:val="24"/>
          <w:szCs w:val="20"/>
        </w:rPr>
      </w:pPr>
      <w:bookmarkStart w:id="1503" w:name="_Toc497213880"/>
      <w:bookmarkStart w:id="1504" w:name="_Toc490222649"/>
      <w:bookmarkStart w:id="1505" w:name="_Toc486580204"/>
      <w:bookmarkStart w:id="1506" w:name="_Toc117597635"/>
      <w:bookmarkStart w:id="1507" w:name="_Toc489280015"/>
      <w:r>
        <w:rPr>
          <w:rFonts w:ascii="宋体" w:hAnsi="宋体"/>
          <w:sz w:val="24"/>
          <w:szCs w:val="20"/>
        </w:rPr>
        <w:t xml:space="preserve">24.3  </w:t>
      </w:r>
      <w:r>
        <w:rPr>
          <w:rFonts w:hint="eastAsia" w:ascii="宋体" w:hAnsi="宋体"/>
          <w:sz w:val="24"/>
          <w:szCs w:val="20"/>
        </w:rPr>
        <w:t>争议评审</w:t>
      </w:r>
      <w:bookmarkEnd w:id="1503"/>
      <w:bookmarkEnd w:id="1504"/>
      <w:bookmarkEnd w:id="1505"/>
      <w:bookmarkEnd w:id="1506"/>
      <w:bookmarkEnd w:id="1507"/>
    </w:p>
    <w:p w14:paraId="46187287">
      <w:pPr>
        <w:spacing w:line="360" w:lineRule="auto"/>
        <w:ind w:firstLine="420" w:firstLineChars="200"/>
        <w:rPr>
          <w:rFonts w:ascii="宋体"/>
        </w:rPr>
      </w:pPr>
      <w:r>
        <w:rPr>
          <w:rFonts w:ascii="宋体" w:hAnsi="宋体"/>
        </w:rPr>
        <w:t xml:space="preserve">24.3.1  </w:t>
      </w:r>
      <w:r>
        <w:rPr>
          <w:rFonts w:hint="eastAsia" w:ascii="宋体" w:hAnsi="宋体"/>
        </w:rPr>
        <w:t>采用争议评审的，发包人和承包人应在开工日后的</w:t>
      </w:r>
      <w:r>
        <w:rPr>
          <w:rFonts w:ascii="宋体" w:hAnsi="宋体"/>
        </w:rPr>
        <w:t>28</w:t>
      </w:r>
      <w:r>
        <w:rPr>
          <w:rFonts w:hint="eastAsia" w:ascii="宋体" w:hAnsi="宋体"/>
        </w:rPr>
        <w:t>天内或在争议发生后，协商成立争议评审组。争议评审组由有合同管理和工程实践经验的专家组成。</w:t>
      </w:r>
    </w:p>
    <w:p w14:paraId="30486FB0">
      <w:pPr>
        <w:spacing w:line="360" w:lineRule="auto"/>
        <w:ind w:firstLine="420" w:firstLineChars="200"/>
        <w:rPr>
          <w:rFonts w:ascii="宋体"/>
        </w:rPr>
      </w:pPr>
      <w:r>
        <w:rPr>
          <w:rFonts w:ascii="宋体" w:hAnsi="宋体"/>
        </w:rPr>
        <w:t xml:space="preserve">24.3.2  </w:t>
      </w:r>
      <w:r>
        <w:rPr>
          <w:rFonts w:hint="eastAsia" w:ascii="宋体" w:hAnsi="宋体"/>
        </w:rPr>
        <w:t>合同双方的争议，应首先由申请人向争议评审组提交一份详细的评审申请报告，并附必要的文件、图纸和证明材料，申请人还应将上述报告的副本同时提交给被申请人和监理人。</w:t>
      </w:r>
    </w:p>
    <w:p w14:paraId="15363599">
      <w:pPr>
        <w:spacing w:line="360" w:lineRule="auto"/>
        <w:ind w:firstLine="420" w:firstLineChars="200"/>
        <w:rPr>
          <w:rFonts w:ascii="宋体"/>
        </w:rPr>
      </w:pPr>
      <w:r>
        <w:rPr>
          <w:rFonts w:ascii="宋体" w:hAnsi="宋体"/>
        </w:rPr>
        <w:t xml:space="preserve">24.3.3  </w:t>
      </w:r>
      <w:r>
        <w:rPr>
          <w:rFonts w:hint="eastAsia" w:ascii="宋体" w:hAnsi="宋体"/>
        </w:rPr>
        <w:t>被申请人在收到申请人评审申请报告副本后的</w:t>
      </w:r>
      <w:r>
        <w:rPr>
          <w:rFonts w:ascii="宋体" w:hAnsi="宋体"/>
        </w:rPr>
        <w:t>28</w:t>
      </w:r>
      <w:r>
        <w:rPr>
          <w:rFonts w:hint="eastAsia" w:ascii="宋体" w:hAnsi="宋体"/>
        </w:rPr>
        <w:t>天内，向争议评审组提交一份答辩报告，并附证明材料。被申请人应将答辩报告的副本同时提交给申请人和监理人。</w:t>
      </w:r>
    </w:p>
    <w:p w14:paraId="5A71EE42">
      <w:pPr>
        <w:spacing w:line="360" w:lineRule="auto"/>
        <w:ind w:firstLine="420" w:firstLineChars="200"/>
        <w:rPr>
          <w:rFonts w:ascii="宋体"/>
        </w:rPr>
      </w:pPr>
      <w:r>
        <w:rPr>
          <w:rFonts w:ascii="宋体" w:hAnsi="宋体"/>
        </w:rPr>
        <w:t xml:space="preserve">24.3.4  </w:t>
      </w:r>
      <w:r>
        <w:rPr>
          <w:rFonts w:hint="eastAsia" w:ascii="宋体" w:hAnsi="宋体"/>
        </w:rPr>
        <w:t>争议评审组在收到合同双方报告后的</w:t>
      </w:r>
      <w:r>
        <w:rPr>
          <w:rFonts w:ascii="宋体" w:hAnsi="宋体"/>
        </w:rPr>
        <w:t>14</w:t>
      </w:r>
      <w:r>
        <w:rPr>
          <w:rFonts w:hint="eastAsia" w:ascii="宋体" w:hAnsi="宋体"/>
        </w:rPr>
        <w:t>天内，邀请双方代表和有关人员在合同约定的期限内举行调查会，向双方调查争议细节；必要时争议评审组可要求双方进一步提供补充材料。举行调查会的期限</w:t>
      </w:r>
      <w:r>
        <w:rPr>
          <w:rFonts w:hint="eastAsia" w:ascii="黑体" w:hAnsi="黑体" w:eastAsia="黑体"/>
        </w:rPr>
        <w:t>见合同条款专用部分</w:t>
      </w:r>
      <w:r>
        <w:rPr>
          <w:rFonts w:hint="eastAsia" w:ascii="宋体" w:hAnsi="宋体"/>
        </w:rPr>
        <w:t>。</w:t>
      </w:r>
    </w:p>
    <w:p w14:paraId="3BA2322E">
      <w:pPr>
        <w:spacing w:line="360" w:lineRule="auto"/>
        <w:ind w:firstLine="420" w:firstLineChars="200"/>
        <w:rPr>
          <w:rFonts w:ascii="宋体"/>
        </w:rPr>
      </w:pPr>
      <w:r>
        <w:rPr>
          <w:rFonts w:ascii="宋体" w:hAnsi="宋体"/>
        </w:rPr>
        <w:t xml:space="preserve">24.3.5  </w:t>
      </w:r>
      <w:r>
        <w:rPr>
          <w:rFonts w:hint="eastAsia" w:ascii="宋体" w:hAnsi="宋体"/>
        </w:rPr>
        <w:t>在调查会结束后的</w:t>
      </w:r>
      <w:r>
        <w:rPr>
          <w:rFonts w:ascii="宋体" w:hAnsi="宋体"/>
        </w:rPr>
        <w:t>14</w:t>
      </w:r>
      <w:r>
        <w:rPr>
          <w:rFonts w:hint="eastAsia" w:ascii="宋体" w:hAnsi="宋体"/>
        </w:rPr>
        <w:t>天内，争议评审组应在不受任何干扰的情况下进行独立、公正的评审，在合同约定的期限内作出书面评审意见，并说明理由。在争议评审期间，争议双方暂按总监理工程师的确定执行。争议评审组作出争议评审意见的期限</w:t>
      </w:r>
      <w:r>
        <w:rPr>
          <w:rFonts w:hint="eastAsia" w:ascii="黑体" w:hAnsi="黑体" w:eastAsia="黑体"/>
        </w:rPr>
        <w:t>见合同条款专用部分</w:t>
      </w:r>
      <w:r>
        <w:rPr>
          <w:rFonts w:hint="eastAsia" w:ascii="宋体" w:hAnsi="宋体"/>
        </w:rPr>
        <w:t>。</w:t>
      </w:r>
    </w:p>
    <w:p w14:paraId="50CFC011">
      <w:pPr>
        <w:spacing w:line="360" w:lineRule="auto"/>
        <w:ind w:firstLine="420" w:firstLineChars="200"/>
        <w:rPr>
          <w:rFonts w:ascii="宋体"/>
        </w:rPr>
      </w:pPr>
      <w:r>
        <w:rPr>
          <w:rFonts w:ascii="宋体" w:hAnsi="宋体"/>
        </w:rPr>
        <w:t xml:space="preserve">24.3.6  </w:t>
      </w:r>
      <w:r>
        <w:rPr>
          <w:rFonts w:hint="eastAsia" w:ascii="宋体" w:hAnsi="宋体"/>
        </w:rPr>
        <w:t>发包人和承包人接受评审意见的，由监理人根据评审意见拟定执行协议，经争议双方签字后作为合同的补充文件，并遵照执行。</w:t>
      </w:r>
    </w:p>
    <w:p w14:paraId="33D3B2CE">
      <w:pPr>
        <w:spacing w:line="360" w:lineRule="auto"/>
        <w:ind w:firstLine="420" w:firstLineChars="200"/>
      </w:pPr>
      <w:r>
        <w:rPr>
          <w:rFonts w:ascii="宋体" w:hAnsi="宋体"/>
        </w:rPr>
        <w:t xml:space="preserve">24.3.7  </w:t>
      </w:r>
      <w:r>
        <w:rPr>
          <w:rFonts w:hint="eastAsia" w:ascii="宋体" w:hAnsi="宋体"/>
        </w:rPr>
        <w:t>发包人或承包人不接受评审意见，并要求提交仲裁或提起诉讼的，应在收到评审意见后的</w:t>
      </w:r>
      <w:r>
        <w:rPr>
          <w:rFonts w:ascii="宋体" w:hAnsi="宋体"/>
        </w:rPr>
        <w:t>14</w:t>
      </w:r>
      <w:r>
        <w:rPr>
          <w:rFonts w:hint="eastAsia" w:ascii="宋体" w:hAnsi="宋体"/>
        </w:rPr>
        <w:t>天内将仲裁或起诉意向书面通知另一方，并抄送监理人，但在仲裁或诉讼结束前应暂按总监理工程师的确定执行。</w:t>
      </w:r>
    </w:p>
    <w:p w14:paraId="020D7659">
      <w:pPr>
        <w:spacing w:before="156" w:line="219" w:lineRule="auto"/>
        <w:rPr>
          <w:rFonts w:ascii="宋体" w:hAnsi="宋体" w:eastAsia="宋体" w:cs="宋体"/>
          <w:sz w:val="24"/>
          <w:szCs w:val="24"/>
          <w:lang w:eastAsia="zh-CN"/>
        </w:rPr>
      </w:pPr>
      <w:r>
        <w:rPr>
          <w:rFonts w:eastAsiaTheme="minorEastAsia"/>
          <w:b/>
          <w:sz w:val="36"/>
          <w:szCs w:val="36"/>
        </w:rPr>
        <w:br w:type="page"/>
      </w:r>
      <w:r>
        <w:rPr>
          <w:rFonts w:ascii="宋体" w:hAnsi="宋体" w:eastAsia="宋体" w:cs="宋体"/>
          <w:b/>
          <w:bCs/>
          <w:spacing w:val="-4"/>
          <w:sz w:val="24"/>
          <w:szCs w:val="24"/>
          <w:lang w:eastAsia="zh-CN"/>
        </w:rPr>
        <w:t>附件一：安全和文明施工管理协议</w:t>
      </w:r>
    </w:p>
    <w:p w14:paraId="40DB32CA">
      <w:pPr>
        <w:spacing w:before="180" w:line="220" w:lineRule="auto"/>
        <w:ind w:left="3225"/>
        <w:outlineLvl w:val="0"/>
        <w:rPr>
          <w:rFonts w:ascii="宋体" w:hAnsi="宋体" w:eastAsia="宋体" w:cs="宋体"/>
          <w:sz w:val="24"/>
          <w:szCs w:val="24"/>
          <w:lang w:eastAsia="zh-CN"/>
        </w:rPr>
      </w:pPr>
      <w:r>
        <w:rPr>
          <w:rFonts w:ascii="宋体" w:hAnsi="宋体" w:eastAsia="宋体" w:cs="宋体"/>
          <w:b/>
          <w:bCs/>
          <w:spacing w:val="-3"/>
          <w:sz w:val="24"/>
          <w:szCs w:val="24"/>
          <w:lang w:eastAsia="zh-CN"/>
        </w:rPr>
        <w:t>安全和文明施工管理协议</w:t>
      </w:r>
    </w:p>
    <w:p w14:paraId="17F80770">
      <w:pPr>
        <w:spacing w:before="182" w:line="219" w:lineRule="auto"/>
        <w:ind w:left="520"/>
        <w:rPr>
          <w:rFonts w:ascii="宋体" w:hAnsi="宋体" w:eastAsia="宋体" w:cs="宋体"/>
          <w:sz w:val="24"/>
          <w:szCs w:val="24"/>
          <w:lang w:eastAsia="zh-CN"/>
        </w:rPr>
      </w:pPr>
      <w:r>
        <w:rPr>
          <w:rFonts w:ascii="宋体" w:hAnsi="宋体" w:eastAsia="宋体" w:cs="宋体"/>
          <w:spacing w:val="-3"/>
          <w:sz w:val="24"/>
          <w:szCs w:val="24"/>
          <w:lang w:eastAsia="zh-CN"/>
        </w:rPr>
        <w:t>甲方（全称</w:t>
      </w:r>
      <w:r>
        <w:rPr>
          <w:rFonts w:ascii="宋体" w:hAnsi="宋体" w:eastAsia="宋体" w:cs="宋体"/>
          <w:spacing w:val="7"/>
          <w:sz w:val="24"/>
          <w:szCs w:val="24"/>
          <w:lang w:eastAsia="zh-CN"/>
        </w:rPr>
        <w:t>）：</w:t>
      </w:r>
      <w:r>
        <w:rPr>
          <w:rFonts w:ascii="宋体" w:hAnsi="宋体" w:eastAsia="宋体" w:cs="宋体"/>
          <w:spacing w:val="-3"/>
          <w:sz w:val="24"/>
          <w:szCs w:val="24"/>
          <w:lang w:eastAsia="zh-CN"/>
        </w:rPr>
        <w:t>北京市门头沟区王平镇人民政府</w:t>
      </w:r>
    </w:p>
    <w:p w14:paraId="6FF174B7">
      <w:pPr>
        <w:spacing w:before="182" w:line="220" w:lineRule="auto"/>
        <w:ind w:left="509"/>
        <w:rPr>
          <w:rFonts w:ascii="宋体" w:hAnsi="宋体" w:eastAsia="宋体" w:cs="宋体"/>
          <w:spacing w:val="-3"/>
          <w:sz w:val="24"/>
          <w:szCs w:val="24"/>
          <w:lang w:eastAsia="zh-CN"/>
        </w:rPr>
      </w:pPr>
      <w:r>
        <w:rPr>
          <w:rFonts w:ascii="宋体" w:hAnsi="宋体" w:eastAsia="宋体" w:cs="宋体"/>
          <w:color w:val="auto"/>
          <w:spacing w:val="-2"/>
          <w:sz w:val="24"/>
          <w:szCs w:val="24"/>
          <w:lang w:eastAsia="zh-CN"/>
        </w:rPr>
        <w:t>乙方（全称</w:t>
      </w:r>
      <w:r>
        <w:rPr>
          <w:rFonts w:ascii="宋体" w:hAnsi="宋体" w:eastAsia="宋体" w:cs="宋体"/>
          <w:color w:val="auto"/>
          <w:spacing w:val="8"/>
          <w:sz w:val="24"/>
          <w:szCs w:val="24"/>
          <w:lang w:eastAsia="zh-CN"/>
        </w:rPr>
        <w:t>）：</w:t>
      </w:r>
      <w:r>
        <w:rPr>
          <w:rFonts w:hint="eastAsia" w:ascii="宋体" w:hAnsi="宋体" w:eastAsia="宋体" w:cs="宋体"/>
          <w:spacing w:val="-3"/>
          <w:sz w:val="24"/>
          <w:szCs w:val="24"/>
          <w:lang w:eastAsia="zh-CN"/>
        </w:rPr>
        <w:t xml:space="preserve"> </w:t>
      </w:r>
      <w:r>
        <w:rPr>
          <w:rFonts w:hint="eastAsia" w:ascii="宋体" w:hAnsi="宋体" w:cs="宋体"/>
          <w:spacing w:val="-3"/>
          <w:sz w:val="24"/>
          <w:szCs w:val="24"/>
          <w:lang w:val="en-US" w:eastAsia="zh-CN"/>
        </w:rPr>
        <w:t xml:space="preserve">   </w:t>
      </w:r>
    </w:p>
    <w:p w14:paraId="0E7B51A8">
      <w:pPr>
        <w:spacing w:before="179" w:line="350" w:lineRule="auto"/>
        <w:ind w:left="8" w:firstLine="482"/>
        <w:rPr>
          <w:rFonts w:ascii="宋体" w:hAnsi="宋体" w:eastAsia="宋体" w:cs="宋体"/>
          <w:sz w:val="24"/>
          <w:szCs w:val="24"/>
          <w:lang w:eastAsia="zh-CN"/>
        </w:rPr>
      </w:pPr>
      <w:r>
        <w:rPr>
          <w:rFonts w:ascii="宋体" w:hAnsi="宋体" w:eastAsia="宋体" w:cs="宋体"/>
          <w:spacing w:val="-2"/>
          <w:sz w:val="24"/>
          <w:szCs w:val="24"/>
          <w:lang w:eastAsia="zh-CN"/>
        </w:rPr>
        <w:t>依照《中华人民共和国安全生产法》、《中华人民共和国建筑法》及行政主管部门</w:t>
      </w:r>
      <w:r>
        <w:rPr>
          <w:rFonts w:ascii="宋体" w:hAnsi="宋体" w:eastAsia="宋体" w:cs="宋体"/>
          <w:spacing w:val="-6"/>
          <w:sz w:val="24"/>
          <w:szCs w:val="24"/>
          <w:lang w:eastAsia="zh-CN"/>
        </w:rPr>
        <w:t>对地质环境工作的其他有关法律、行政法规，双方就本项目安全施工管理事项协商一致，</w:t>
      </w:r>
      <w:r>
        <w:rPr>
          <w:rFonts w:ascii="宋体" w:hAnsi="宋体" w:eastAsia="宋体" w:cs="宋体"/>
          <w:spacing w:val="-1"/>
          <w:sz w:val="24"/>
          <w:szCs w:val="24"/>
          <w:lang w:eastAsia="zh-CN"/>
        </w:rPr>
        <w:t>订立本协议如下，双方共同遵守。</w:t>
      </w:r>
    </w:p>
    <w:p w14:paraId="415E1425">
      <w:pPr>
        <w:spacing w:before="37" w:line="220" w:lineRule="auto"/>
        <w:ind w:left="493"/>
        <w:outlineLvl w:val="2"/>
        <w:rPr>
          <w:rFonts w:ascii="宋体" w:hAnsi="宋体" w:eastAsia="宋体" w:cs="宋体"/>
          <w:sz w:val="24"/>
          <w:szCs w:val="24"/>
          <w:lang w:eastAsia="zh-CN"/>
        </w:rPr>
      </w:pPr>
      <w:r>
        <w:rPr>
          <w:rFonts w:ascii="宋体" w:hAnsi="宋体" w:eastAsia="宋体" w:cs="宋体"/>
          <w:spacing w:val="-2"/>
          <w:sz w:val="24"/>
          <w:szCs w:val="24"/>
          <w:lang w:eastAsia="zh-CN"/>
        </w:rPr>
        <w:t>一、安全施工手续的办理：</w:t>
      </w:r>
    </w:p>
    <w:p w14:paraId="6244E9DF">
      <w:pPr>
        <w:spacing w:before="179" w:line="220" w:lineRule="auto"/>
        <w:ind w:left="508"/>
        <w:outlineLvl w:val="0"/>
        <w:rPr>
          <w:rFonts w:ascii="宋体" w:hAnsi="宋体" w:eastAsia="宋体" w:cs="宋体"/>
          <w:sz w:val="24"/>
          <w:szCs w:val="24"/>
          <w:lang w:eastAsia="zh-CN"/>
        </w:rPr>
      </w:pPr>
      <w:r>
        <w:rPr>
          <w:rFonts w:ascii="Times New Roman" w:hAnsi="Times New Roman" w:eastAsia="Times New Roman" w:cs="Times New Roman"/>
          <w:spacing w:val="-4"/>
          <w:sz w:val="24"/>
          <w:szCs w:val="24"/>
          <w:lang w:eastAsia="zh-CN"/>
        </w:rPr>
        <w:t>1</w:t>
      </w:r>
      <w:r>
        <w:rPr>
          <w:rFonts w:ascii="宋体" w:hAnsi="宋体" w:eastAsia="宋体" w:cs="宋体"/>
          <w:spacing w:val="-4"/>
          <w:sz w:val="24"/>
          <w:szCs w:val="24"/>
          <w:lang w:eastAsia="zh-CN"/>
        </w:rPr>
        <w:t>、以下手续由甲方协助办理：</w:t>
      </w:r>
    </w:p>
    <w:p w14:paraId="682D6D4E">
      <w:pPr>
        <w:spacing w:before="182" w:line="220" w:lineRule="auto"/>
        <w:ind w:left="501"/>
        <w:rPr>
          <w:rFonts w:ascii="宋体" w:hAnsi="宋体" w:eastAsia="宋体" w:cs="宋体"/>
          <w:sz w:val="24"/>
          <w:szCs w:val="24"/>
          <w:lang w:eastAsia="zh-CN"/>
        </w:rPr>
      </w:pPr>
      <w:r>
        <w:rPr>
          <w:rFonts w:ascii="宋体" w:hAnsi="宋体" w:eastAsia="宋体" w:cs="宋体"/>
          <w:spacing w:val="-1"/>
          <w:sz w:val="24"/>
          <w:szCs w:val="24"/>
          <w:lang w:eastAsia="zh-CN"/>
        </w:rPr>
        <w:t>（</w:t>
      </w:r>
      <w:r>
        <w:rPr>
          <w:rFonts w:ascii="Times New Roman" w:hAnsi="Times New Roman" w:eastAsia="Times New Roman" w:cs="Times New Roman"/>
          <w:spacing w:val="-1"/>
          <w:sz w:val="24"/>
          <w:szCs w:val="24"/>
          <w:lang w:eastAsia="zh-CN"/>
        </w:rPr>
        <w:t>1</w:t>
      </w:r>
      <w:r>
        <w:rPr>
          <w:rFonts w:ascii="宋体" w:hAnsi="宋体" w:eastAsia="宋体" w:cs="宋体"/>
          <w:spacing w:val="-1"/>
          <w:sz w:val="24"/>
          <w:szCs w:val="24"/>
          <w:lang w:eastAsia="zh-CN"/>
        </w:rPr>
        <w:t>）需要临时占用规划批准范围以外场地的。</w:t>
      </w:r>
    </w:p>
    <w:p w14:paraId="43C700B8">
      <w:pPr>
        <w:spacing w:before="180" w:line="220" w:lineRule="auto"/>
        <w:ind w:left="501"/>
        <w:rPr>
          <w:rFonts w:ascii="宋体" w:hAnsi="宋体" w:eastAsia="宋体" w:cs="宋体"/>
          <w:sz w:val="24"/>
          <w:szCs w:val="24"/>
          <w:lang w:eastAsia="zh-CN"/>
        </w:rPr>
      </w:pPr>
      <w:r>
        <w:rPr>
          <w:rFonts w:ascii="宋体" w:hAnsi="宋体" w:eastAsia="宋体" w:cs="宋体"/>
          <w:spacing w:val="-1"/>
          <w:sz w:val="24"/>
          <w:szCs w:val="24"/>
          <w:lang w:eastAsia="zh-CN"/>
        </w:rPr>
        <w:t>（</w:t>
      </w:r>
      <w:r>
        <w:rPr>
          <w:rFonts w:ascii="Times New Roman" w:hAnsi="Times New Roman" w:eastAsia="Times New Roman" w:cs="Times New Roman"/>
          <w:spacing w:val="-1"/>
          <w:sz w:val="24"/>
          <w:szCs w:val="24"/>
          <w:lang w:eastAsia="zh-CN"/>
        </w:rPr>
        <w:t>2</w:t>
      </w:r>
      <w:r>
        <w:rPr>
          <w:rFonts w:ascii="宋体" w:hAnsi="宋体" w:eastAsia="宋体" w:cs="宋体"/>
          <w:spacing w:val="-1"/>
          <w:sz w:val="24"/>
          <w:szCs w:val="24"/>
          <w:lang w:eastAsia="zh-CN"/>
        </w:rPr>
        <w:t>）需要临时停水、停电、中断道路交通影响外界条件的。</w:t>
      </w:r>
    </w:p>
    <w:p w14:paraId="68F9C266">
      <w:pPr>
        <w:spacing w:before="182" w:line="219" w:lineRule="auto"/>
        <w:ind w:left="501"/>
        <w:rPr>
          <w:rFonts w:ascii="宋体" w:hAnsi="宋体" w:eastAsia="宋体" w:cs="宋体"/>
          <w:sz w:val="24"/>
          <w:szCs w:val="24"/>
          <w:lang w:eastAsia="zh-CN"/>
        </w:rPr>
      </w:pPr>
      <w:r>
        <w:rPr>
          <w:rFonts w:ascii="宋体" w:hAnsi="宋体" w:eastAsia="宋体" w:cs="宋体"/>
          <w:spacing w:val="-2"/>
          <w:sz w:val="24"/>
          <w:szCs w:val="24"/>
          <w:lang w:eastAsia="zh-CN"/>
        </w:rPr>
        <w:t>（</w:t>
      </w:r>
      <w:r>
        <w:rPr>
          <w:rFonts w:ascii="Times New Roman" w:hAnsi="Times New Roman" w:eastAsia="Times New Roman" w:cs="Times New Roman"/>
          <w:spacing w:val="-2"/>
          <w:sz w:val="24"/>
          <w:szCs w:val="24"/>
          <w:lang w:eastAsia="zh-CN"/>
        </w:rPr>
        <w:t>3</w:t>
      </w:r>
      <w:r>
        <w:rPr>
          <w:rFonts w:ascii="宋体" w:hAnsi="宋体" w:eastAsia="宋体" w:cs="宋体"/>
          <w:spacing w:val="-2"/>
          <w:sz w:val="24"/>
          <w:szCs w:val="24"/>
          <w:lang w:eastAsia="zh-CN"/>
        </w:rPr>
        <w:t>）需要设计方提供相关安全手续的。</w:t>
      </w:r>
    </w:p>
    <w:p w14:paraId="3077483D">
      <w:pPr>
        <w:spacing w:before="181" w:line="219" w:lineRule="auto"/>
        <w:ind w:left="501"/>
        <w:rPr>
          <w:rFonts w:ascii="宋体" w:hAnsi="宋体" w:eastAsia="宋体" w:cs="宋体"/>
          <w:sz w:val="24"/>
          <w:szCs w:val="24"/>
          <w:lang w:eastAsia="zh-CN"/>
        </w:rPr>
      </w:pPr>
      <w:r>
        <w:rPr>
          <w:rFonts w:ascii="宋体" w:hAnsi="宋体" w:eastAsia="宋体" w:cs="宋体"/>
          <w:spacing w:val="-1"/>
          <w:sz w:val="24"/>
          <w:szCs w:val="24"/>
          <w:lang w:eastAsia="zh-CN"/>
        </w:rPr>
        <w:t>（</w:t>
      </w:r>
      <w:r>
        <w:rPr>
          <w:rFonts w:ascii="Times New Roman" w:hAnsi="Times New Roman" w:eastAsia="Times New Roman" w:cs="Times New Roman"/>
          <w:spacing w:val="-1"/>
          <w:sz w:val="24"/>
          <w:szCs w:val="24"/>
          <w:lang w:eastAsia="zh-CN"/>
        </w:rPr>
        <w:t>4</w:t>
      </w:r>
      <w:r>
        <w:rPr>
          <w:rFonts w:ascii="宋体" w:hAnsi="宋体" w:eastAsia="宋体" w:cs="宋体"/>
          <w:spacing w:val="-1"/>
          <w:sz w:val="24"/>
          <w:szCs w:val="24"/>
          <w:lang w:eastAsia="zh-CN"/>
        </w:rPr>
        <w:t>）需要甲方管辖的设备和物资供应商提供相关安全手续的。</w:t>
      </w:r>
    </w:p>
    <w:p w14:paraId="6BE88105">
      <w:pPr>
        <w:spacing w:before="183" w:line="290" w:lineRule="auto"/>
        <w:ind w:left="12" w:right="175" w:firstLine="488"/>
        <w:rPr>
          <w:rFonts w:ascii="宋体" w:hAnsi="宋体" w:eastAsia="宋体" w:cs="宋体"/>
          <w:sz w:val="24"/>
          <w:szCs w:val="24"/>
          <w:lang w:eastAsia="zh-CN"/>
        </w:rPr>
      </w:pPr>
      <w:r>
        <w:rPr>
          <w:rFonts w:ascii="宋体" w:hAnsi="宋体" w:eastAsia="宋体" w:cs="宋体"/>
          <w:spacing w:val="-2"/>
          <w:sz w:val="24"/>
          <w:szCs w:val="24"/>
          <w:lang w:eastAsia="zh-CN"/>
        </w:rPr>
        <w:t>（</w:t>
      </w:r>
      <w:r>
        <w:rPr>
          <w:rFonts w:ascii="Times New Roman" w:hAnsi="Times New Roman" w:eastAsia="Times New Roman" w:cs="Times New Roman"/>
          <w:spacing w:val="-2"/>
          <w:sz w:val="24"/>
          <w:szCs w:val="24"/>
          <w:lang w:eastAsia="zh-CN"/>
        </w:rPr>
        <w:t>5</w:t>
      </w:r>
      <w:r>
        <w:rPr>
          <w:rFonts w:ascii="宋体" w:hAnsi="宋体" w:eastAsia="宋体" w:cs="宋体"/>
          <w:spacing w:val="-2"/>
          <w:sz w:val="24"/>
          <w:szCs w:val="24"/>
          <w:lang w:eastAsia="zh-CN"/>
        </w:rPr>
        <w:t>）甲方邀请进入现场配合施工的相关方，在安全方面需要审查、登记、报告、教育和管理的。</w:t>
      </w:r>
    </w:p>
    <w:p w14:paraId="175E6770">
      <w:pPr>
        <w:spacing w:before="180" w:line="220" w:lineRule="auto"/>
        <w:ind w:left="485"/>
        <w:outlineLvl w:val="0"/>
        <w:rPr>
          <w:rFonts w:ascii="宋体" w:hAnsi="宋体" w:eastAsia="宋体" w:cs="宋体"/>
          <w:sz w:val="24"/>
          <w:szCs w:val="24"/>
          <w:lang w:eastAsia="zh-CN"/>
        </w:rPr>
      </w:pPr>
      <w:r>
        <w:rPr>
          <w:rFonts w:ascii="Times New Roman" w:hAnsi="Times New Roman" w:eastAsia="Times New Roman" w:cs="Times New Roman"/>
          <w:spacing w:val="-3"/>
          <w:sz w:val="24"/>
          <w:szCs w:val="24"/>
          <w:lang w:eastAsia="zh-CN"/>
        </w:rPr>
        <w:t>2</w:t>
      </w:r>
      <w:r>
        <w:rPr>
          <w:rFonts w:ascii="宋体" w:hAnsi="宋体" w:eastAsia="宋体" w:cs="宋体"/>
          <w:spacing w:val="-3"/>
          <w:sz w:val="24"/>
          <w:szCs w:val="24"/>
          <w:lang w:eastAsia="zh-CN"/>
        </w:rPr>
        <w:t>、以下手续由乙方办理：</w:t>
      </w:r>
    </w:p>
    <w:p w14:paraId="177BB943">
      <w:pPr>
        <w:spacing w:before="182" w:line="219" w:lineRule="auto"/>
        <w:ind w:left="501"/>
        <w:rPr>
          <w:rFonts w:ascii="宋体" w:hAnsi="宋体" w:eastAsia="宋体" w:cs="宋体"/>
          <w:sz w:val="24"/>
          <w:szCs w:val="24"/>
          <w:lang w:eastAsia="zh-CN"/>
        </w:rPr>
      </w:pPr>
      <w:r>
        <w:rPr>
          <w:rFonts w:ascii="宋体" w:hAnsi="宋体" w:eastAsia="宋体" w:cs="宋体"/>
          <w:spacing w:val="-1"/>
          <w:sz w:val="24"/>
          <w:szCs w:val="24"/>
          <w:lang w:eastAsia="zh-CN"/>
        </w:rPr>
        <w:t>（</w:t>
      </w:r>
      <w:r>
        <w:rPr>
          <w:rFonts w:ascii="Times New Roman" w:hAnsi="Times New Roman" w:eastAsia="Times New Roman" w:cs="Times New Roman"/>
          <w:spacing w:val="-1"/>
          <w:sz w:val="24"/>
          <w:szCs w:val="24"/>
          <w:lang w:eastAsia="zh-CN"/>
        </w:rPr>
        <w:t>1</w:t>
      </w:r>
      <w:r>
        <w:rPr>
          <w:rFonts w:ascii="宋体" w:hAnsi="宋体" w:eastAsia="宋体" w:cs="宋体"/>
          <w:spacing w:val="-1"/>
          <w:sz w:val="24"/>
          <w:szCs w:val="24"/>
          <w:lang w:eastAsia="zh-CN"/>
        </w:rPr>
        <w:t>）当地政府安全管理部门资质审查、监督检查、事故处理等需要办理的。</w:t>
      </w:r>
    </w:p>
    <w:p w14:paraId="391630A4">
      <w:pPr>
        <w:spacing w:before="180" w:line="219" w:lineRule="auto"/>
        <w:ind w:left="501"/>
        <w:rPr>
          <w:rFonts w:ascii="宋体" w:hAnsi="宋体" w:eastAsia="宋体" w:cs="宋体"/>
          <w:sz w:val="24"/>
          <w:szCs w:val="24"/>
          <w:lang w:eastAsia="zh-CN"/>
        </w:rPr>
      </w:pPr>
      <w:r>
        <w:rPr>
          <w:rFonts w:ascii="宋体" w:hAnsi="宋体" w:eastAsia="宋体" w:cs="宋体"/>
          <w:spacing w:val="-1"/>
          <w:sz w:val="24"/>
          <w:szCs w:val="24"/>
          <w:lang w:eastAsia="zh-CN"/>
        </w:rPr>
        <w:t>（</w:t>
      </w:r>
      <w:r>
        <w:rPr>
          <w:rFonts w:ascii="Times New Roman" w:hAnsi="Times New Roman" w:eastAsia="Times New Roman" w:cs="Times New Roman"/>
          <w:spacing w:val="-1"/>
          <w:sz w:val="24"/>
          <w:szCs w:val="24"/>
          <w:lang w:eastAsia="zh-CN"/>
        </w:rPr>
        <w:t>2</w:t>
      </w:r>
      <w:r>
        <w:rPr>
          <w:rFonts w:ascii="宋体" w:hAnsi="宋体" w:eastAsia="宋体" w:cs="宋体"/>
          <w:spacing w:val="-1"/>
          <w:sz w:val="24"/>
          <w:szCs w:val="24"/>
          <w:lang w:eastAsia="zh-CN"/>
        </w:rPr>
        <w:t>）当地政府民爆、消防和交通管理部门资质审查、监督检查等需要办理的。</w:t>
      </w:r>
    </w:p>
    <w:p w14:paraId="3423DE69">
      <w:pPr>
        <w:spacing w:before="182" w:line="219" w:lineRule="auto"/>
        <w:ind w:left="501"/>
        <w:rPr>
          <w:rFonts w:ascii="宋体" w:hAnsi="宋体" w:eastAsia="宋体" w:cs="宋体"/>
          <w:sz w:val="24"/>
          <w:szCs w:val="24"/>
          <w:lang w:eastAsia="zh-CN"/>
        </w:rPr>
      </w:pPr>
      <w:r>
        <w:rPr>
          <w:rFonts w:ascii="宋体" w:hAnsi="宋体" w:eastAsia="宋体" w:cs="宋体"/>
          <w:spacing w:val="-1"/>
          <w:sz w:val="24"/>
          <w:szCs w:val="24"/>
          <w:lang w:eastAsia="zh-CN"/>
        </w:rPr>
        <w:t>（</w:t>
      </w:r>
      <w:r>
        <w:rPr>
          <w:rFonts w:ascii="Times New Roman" w:hAnsi="Times New Roman" w:eastAsia="Times New Roman" w:cs="Times New Roman"/>
          <w:spacing w:val="-1"/>
          <w:sz w:val="24"/>
          <w:szCs w:val="24"/>
          <w:lang w:eastAsia="zh-CN"/>
        </w:rPr>
        <w:t>3</w:t>
      </w:r>
      <w:r>
        <w:rPr>
          <w:rFonts w:ascii="宋体" w:hAnsi="宋体" w:eastAsia="宋体" w:cs="宋体"/>
          <w:spacing w:val="-1"/>
          <w:sz w:val="24"/>
          <w:szCs w:val="24"/>
          <w:lang w:eastAsia="zh-CN"/>
        </w:rPr>
        <w:t>）当地政府特设、卫生和环保管理部门监督检查等需要办理的。</w:t>
      </w:r>
    </w:p>
    <w:p w14:paraId="7C9785A1">
      <w:pPr>
        <w:spacing w:before="183" w:line="290" w:lineRule="auto"/>
        <w:ind w:left="12" w:right="135" w:firstLine="488"/>
        <w:rPr>
          <w:rFonts w:ascii="宋体" w:hAnsi="宋体" w:eastAsia="宋体" w:cs="宋体"/>
          <w:sz w:val="24"/>
          <w:szCs w:val="24"/>
          <w:lang w:eastAsia="zh-CN"/>
        </w:rPr>
      </w:pPr>
      <w:r>
        <w:rPr>
          <w:rFonts w:ascii="宋体" w:hAnsi="宋体" w:eastAsia="宋体" w:cs="宋体"/>
          <w:spacing w:val="-1"/>
          <w:sz w:val="24"/>
          <w:szCs w:val="24"/>
          <w:lang w:eastAsia="zh-CN"/>
        </w:rPr>
        <w:t>（</w:t>
      </w:r>
      <w:r>
        <w:rPr>
          <w:rFonts w:ascii="Times New Roman" w:hAnsi="Times New Roman" w:eastAsia="Times New Roman" w:cs="Times New Roman"/>
          <w:spacing w:val="-1"/>
          <w:sz w:val="24"/>
          <w:szCs w:val="24"/>
          <w:lang w:eastAsia="zh-CN"/>
        </w:rPr>
        <w:t>4</w:t>
      </w:r>
      <w:r>
        <w:rPr>
          <w:rFonts w:ascii="宋体" w:hAnsi="宋体" w:eastAsia="宋体" w:cs="宋体"/>
          <w:spacing w:val="-1"/>
          <w:sz w:val="24"/>
          <w:szCs w:val="24"/>
          <w:lang w:eastAsia="zh-CN"/>
        </w:rPr>
        <w:t>）当地政府劳动、保险、保障管理部门监督检查和与基本国策相关部门监督检</w:t>
      </w:r>
      <w:r>
        <w:rPr>
          <w:rFonts w:ascii="宋体" w:hAnsi="宋体" w:eastAsia="宋体" w:cs="宋体"/>
          <w:spacing w:val="-2"/>
          <w:sz w:val="24"/>
          <w:szCs w:val="24"/>
          <w:lang w:eastAsia="zh-CN"/>
        </w:rPr>
        <w:t>查等需要办理的。</w:t>
      </w:r>
    </w:p>
    <w:p w14:paraId="314A1E98">
      <w:pPr>
        <w:spacing w:before="180" w:line="219" w:lineRule="auto"/>
        <w:ind w:left="501"/>
        <w:rPr>
          <w:rFonts w:ascii="宋体" w:hAnsi="宋体" w:eastAsia="宋体" w:cs="宋体"/>
          <w:sz w:val="24"/>
          <w:szCs w:val="24"/>
          <w:lang w:eastAsia="zh-CN"/>
        </w:rPr>
      </w:pPr>
      <w:r>
        <w:rPr>
          <w:rFonts w:ascii="宋体" w:hAnsi="宋体" w:eastAsia="宋体" w:cs="宋体"/>
          <w:spacing w:val="-1"/>
          <w:sz w:val="24"/>
          <w:szCs w:val="24"/>
          <w:lang w:eastAsia="zh-CN"/>
        </w:rPr>
        <w:t>（</w:t>
      </w:r>
      <w:r>
        <w:rPr>
          <w:rFonts w:ascii="Times New Roman" w:hAnsi="Times New Roman" w:eastAsia="Times New Roman" w:cs="Times New Roman"/>
          <w:spacing w:val="-1"/>
          <w:sz w:val="24"/>
          <w:szCs w:val="24"/>
          <w:lang w:eastAsia="zh-CN"/>
        </w:rPr>
        <w:t>5</w:t>
      </w:r>
      <w:r>
        <w:rPr>
          <w:rFonts w:ascii="宋体" w:hAnsi="宋体" w:eastAsia="宋体" w:cs="宋体"/>
          <w:spacing w:val="-1"/>
          <w:sz w:val="24"/>
          <w:szCs w:val="24"/>
          <w:lang w:eastAsia="zh-CN"/>
        </w:rPr>
        <w:t>）需要设计方提供相关安全软硬件变更手续的。</w:t>
      </w:r>
    </w:p>
    <w:p w14:paraId="2359864E">
      <w:pPr>
        <w:spacing w:before="182" w:line="221" w:lineRule="auto"/>
        <w:ind w:left="501"/>
        <w:rPr>
          <w:rFonts w:ascii="宋体" w:hAnsi="宋体" w:eastAsia="宋体" w:cs="宋体"/>
          <w:sz w:val="24"/>
          <w:szCs w:val="24"/>
          <w:lang w:eastAsia="zh-CN"/>
        </w:rPr>
      </w:pPr>
      <w:r>
        <w:rPr>
          <w:rFonts w:ascii="宋体" w:hAnsi="宋体" w:eastAsia="宋体" w:cs="宋体"/>
          <w:spacing w:val="-1"/>
          <w:sz w:val="24"/>
          <w:szCs w:val="24"/>
          <w:lang w:eastAsia="zh-CN"/>
        </w:rPr>
        <w:t>（</w:t>
      </w:r>
      <w:r>
        <w:rPr>
          <w:rFonts w:ascii="Times New Roman" w:hAnsi="Times New Roman" w:eastAsia="Times New Roman" w:cs="Times New Roman"/>
          <w:spacing w:val="-1"/>
          <w:sz w:val="24"/>
          <w:szCs w:val="24"/>
          <w:lang w:eastAsia="zh-CN"/>
        </w:rPr>
        <w:t>6</w:t>
      </w:r>
      <w:r>
        <w:rPr>
          <w:rFonts w:ascii="宋体" w:hAnsi="宋体" w:eastAsia="宋体" w:cs="宋体"/>
          <w:spacing w:val="-1"/>
          <w:sz w:val="24"/>
          <w:szCs w:val="24"/>
          <w:lang w:eastAsia="zh-CN"/>
        </w:rPr>
        <w:t>）需要甲方登记、确认、审批和备案手续的。</w:t>
      </w:r>
    </w:p>
    <w:p w14:paraId="47C1300B">
      <w:pPr>
        <w:spacing w:before="180" w:line="219" w:lineRule="auto"/>
        <w:ind w:left="501"/>
        <w:rPr>
          <w:rFonts w:ascii="宋体" w:hAnsi="宋体" w:eastAsia="宋体" w:cs="宋体"/>
          <w:sz w:val="24"/>
          <w:szCs w:val="24"/>
          <w:lang w:eastAsia="zh-CN"/>
        </w:rPr>
      </w:pPr>
      <w:r>
        <w:rPr>
          <w:rFonts w:ascii="宋体" w:hAnsi="宋体" w:eastAsia="宋体" w:cs="宋体"/>
          <w:spacing w:val="-1"/>
          <w:sz w:val="24"/>
          <w:szCs w:val="24"/>
          <w:lang w:eastAsia="zh-CN"/>
        </w:rPr>
        <w:t>（</w:t>
      </w:r>
      <w:r>
        <w:rPr>
          <w:rFonts w:ascii="Times New Roman" w:hAnsi="Times New Roman" w:eastAsia="Times New Roman" w:cs="Times New Roman"/>
          <w:spacing w:val="-1"/>
          <w:sz w:val="24"/>
          <w:szCs w:val="24"/>
          <w:lang w:eastAsia="zh-CN"/>
        </w:rPr>
        <w:t>7</w:t>
      </w:r>
      <w:r>
        <w:rPr>
          <w:rFonts w:ascii="宋体" w:hAnsi="宋体" w:eastAsia="宋体" w:cs="宋体"/>
          <w:spacing w:val="-1"/>
          <w:sz w:val="24"/>
          <w:szCs w:val="24"/>
          <w:lang w:eastAsia="zh-CN"/>
        </w:rPr>
        <w:t>）需要乙方管辖的设备和物资供应商提供相关安全手续的。</w:t>
      </w:r>
    </w:p>
    <w:p w14:paraId="3E2A5844">
      <w:pPr>
        <w:spacing w:before="182" w:line="219" w:lineRule="auto"/>
        <w:ind w:left="501"/>
        <w:rPr>
          <w:rFonts w:ascii="宋体" w:hAnsi="宋体" w:eastAsia="宋体" w:cs="宋体"/>
          <w:sz w:val="24"/>
          <w:szCs w:val="24"/>
          <w:lang w:eastAsia="zh-CN"/>
        </w:rPr>
      </w:pPr>
      <w:r>
        <w:rPr>
          <w:rFonts w:ascii="宋体" w:hAnsi="宋体" w:eastAsia="宋体" w:cs="宋体"/>
          <w:spacing w:val="-1"/>
          <w:sz w:val="24"/>
          <w:szCs w:val="24"/>
          <w:lang w:eastAsia="zh-CN"/>
        </w:rPr>
        <w:t>（</w:t>
      </w:r>
      <w:r>
        <w:rPr>
          <w:rFonts w:ascii="Times New Roman" w:hAnsi="Times New Roman" w:eastAsia="Times New Roman" w:cs="Times New Roman"/>
          <w:spacing w:val="-1"/>
          <w:sz w:val="24"/>
          <w:szCs w:val="24"/>
          <w:lang w:eastAsia="zh-CN"/>
        </w:rPr>
        <w:t>8</w:t>
      </w:r>
      <w:r>
        <w:rPr>
          <w:rFonts w:ascii="宋体" w:hAnsi="宋体" w:eastAsia="宋体" w:cs="宋体"/>
          <w:spacing w:val="-1"/>
          <w:sz w:val="24"/>
          <w:szCs w:val="24"/>
          <w:lang w:eastAsia="zh-CN"/>
        </w:rPr>
        <w:t>）对分包方安全、文明施工方面需要审查、登记、报告、教育和管理的。</w:t>
      </w:r>
    </w:p>
    <w:p w14:paraId="15488A3B">
      <w:pPr>
        <w:spacing w:before="182" w:line="289" w:lineRule="auto"/>
        <w:ind w:left="8" w:right="135" w:firstLine="492"/>
        <w:rPr>
          <w:rFonts w:ascii="宋体" w:hAnsi="宋体" w:eastAsia="宋体" w:cs="宋体"/>
          <w:sz w:val="24"/>
          <w:szCs w:val="24"/>
          <w:lang w:eastAsia="zh-CN"/>
        </w:rPr>
      </w:pPr>
      <w:r>
        <w:rPr>
          <w:rFonts w:ascii="宋体" w:hAnsi="宋体" w:eastAsia="宋体" w:cs="宋体"/>
          <w:spacing w:val="-1"/>
          <w:sz w:val="24"/>
          <w:szCs w:val="24"/>
          <w:lang w:eastAsia="zh-CN"/>
        </w:rPr>
        <w:t>（</w:t>
      </w:r>
      <w:r>
        <w:rPr>
          <w:rFonts w:ascii="Times New Roman" w:hAnsi="Times New Roman" w:eastAsia="Times New Roman" w:cs="Times New Roman"/>
          <w:spacing w:val="-1"/>
          <w:sz w:val="24"/>
          <w:szCs w:val="24"/>
          <w:lang w:eastAsia="zh-CN"/>
        </w:rPr>
        <w:t>9</w:t>
      </w:r>
      <w:r>
        <w:rPr>
          <w:rFonts w:ascii="宋体" w:hAnsi="宋体" w:eastAsia="宋体" w:cs="宋体"/>
          <w:spacing w:val="-1"/>
          <w:sz w:val="24"/>
          <w:szCs w:val="24"/>
          <w:lang w:eastAsia="zh-CN"/>
        </w:rPr>
        <w:t>）乙方邀请进入现场配合施工的相关方，在安全、文明施工方面需要审查、登记、报告、教育和管理的。</w:t>
      </w:r>
    </w:p>
    <w:p w14:paraId="0E5BBE23">
      <w:pPr>
        <w:spacing w:before="182" w:line="220" w:lineRule="auto"/>
        <w:ind w:left="501"/>
        <w:rPr>
          <w:rFonts w:ascii="宋体" w:hAnsi="宋体" w:eastAsia="宋体" w:cs="宋体"/>
          <w:sz w:val="24"/>
          <w:szCs w:val="24"/>
          <w:lang w:eastAsia="zh-CN"/>
        </w:rPr>
      </w:pPr>
      <w:r>
        <w:rPr>
          <w:rFonts w:ascii="宋体" w:hAnsi="宋体" w:eastAsia="宋体" w:cs="宋体"/>
          <w:spacing w:val="-1"/>
          <w:sz w:val="24"/>
          <w:szCs w:val="24"/>
          <w:lang w:eastAsia="zh-CN"/>
        </w:rPr>
        <w:t>（</w:t>
      </w:r>
      <w:r>
        <w:rPr>
          <w:rFonts w:ascii="Times New Roman" w:hAnsi="Times New Roman" w:eastAsia="Times New Roman" w:cs="Times New Roman"/>
          <w:spacing w:val="-1"/>
          <w:sz w:val="24"/>
          <w:szCs w:val="24"/>
          <w:lang w:eastAsia="zh-CN"/>
        </w:rPr>
        <w:t>10</w:t>
      </w:r>
      <w:r>
        <w:rPr>
          <w:rFonts w:ascii="宋体" w:hAnsi="宋体" w:eastAsia="宋体" w:cs="宋体"/>
          <w:spacing w:val="-1"/>
          <w:sz w:val="24"/>
          <w:szCs w:val="24"/>
          <w:lang w:eastAsia="zh-CN"/>
        </w:rPr>
        <w:t>）当地建设安全监督管理部门需要办理安全、文明施工手续的。</w:t>
      </w:r>
    </w:p>
    <w:p w14:paraId="3526AD5B">
      <w:pPr>
        <w:spacing w:before="182" w:line="220" w:lineRule="auto"/>
        <w:ind w:left="490"/>
        <w:outlineLvl w:val="0"/>
        <w:rPr>
          <w:rFonts w:ascii="宋体" w:hAnsi="宋体" w:eastAsia="宋体" w:cs="宋体"/>
          <w:sz w:val="24"/>
          <w:szCs w:val="24"/>
          <w:lang w:eastAsia="zh-CN"/>
        </w:rPr>
      </w:pPr>
      <w:r>
        <w:rPr>
          <w:rFonts w:ascii="Times New Roman" w:hAnsi="Times New Roman" w:eastAsia="Times New Roman" w:cs="Times New Roman"/>
          <w:spacing w:val="-3"/>
          <w:sz w:val="24"/>
          <w:szCs w:val="24"/>
          <w:lang w:eastAsia="zh-CN"/>
        </w:rPr>
        <w:t>3</w:t>
      </w:r>
      <w:r>
        <w:rPr>
          <w:rFonts w:ascii="宋体" w:hAnsi="宋体" w:eastAsia="宋体" w:cs="宋体"/>
          <w:spacing w:val="-3"/>
          <w:sz w:val="24"/>
          <w:szCs w:val="24"/>
          <w:lang w:eastAsia="zh-CN"/>
        </w:rPr>
        <w:t>、以下手续由双方配合办理：</w:t>
      </w:r>
    </w:p>
    <w:p w14:paraId="1F5FFCD9">
      <w:pPr>
        <w:spacing w:before="179" w:line="219" w:lineRule="auto"/>
        <w:ind w:left="501"/>
        <w:outlineLvl w:val="3"/>
        <w:rPr>
          <w:rFonts w:ascii="宋体" w:hAnsi="宋体" w:eastAsia="宋体" w:cs="宋体"/>
          <w:sz w:val="24"/>
          <w:szCs w:val="24"/>
          <w:lang w:eastAsia="zh-CN"/>
        </w:rPr>
      </w:pPr>
      <w:r>
        <w:rPr>
          <w:rFonts w:ascii="宋体" w:hAnsi="宋体" w:eastAsia="宋体" w:cs="宋体"/>
          <w:spacing w:val="-2"/>
          <w:sz w:val="24"/>
          <w:szCs w:val="24"/>
          <w:lang w:eastAsia="zh-CN"/>
        </w:rPr>
        <w:t>（</w:t>
      </w:r>
      <w:r>
        <w:rPr>
          <w:rFonts w:ascii="Times New Roman" w:hAnsi="Times New Roman" w:eastAsia="Times New Roman" w:cs="Times New Roman"/>
          <w:spacing w:val="-2"/>
          <w:sz w:val="24"/>
          <w:szCs w:val="24"/>
          <w:lang w:eastAsia="zh-CN"/>
        </w:rPr>
        <w:t>1</w:t>
      </w:r>
      <w:r>
        <w:rPr>
          <w:rFonts w:ascii="宋体" w:hAnsi="宋体" w:eastAsia="宋体" w:cs="宋体"/>
          <w:spacing w:val="-2"/>
          <w:sz w:val="24"/>
          <w:szCs w:val="24"/>
          <w:lang w:eastAsia="zh-CN"/>
        </w:rPr>
        <w:t>）需要进行爆破作业的。</w:t>
      </w:r>
    </w:p>
    <w:p w14:paraId="55A5C1D5">
      <w:pPr>
        <w:spacing w:line="219" w:lineRule="auto"/>
        <w:rPr>
          <w:rFonts w:ascii="宋体" w:hAnsi="宋体" w:eastAsia="宋体" w:cs="宋体"/>
          <w:sz w:val="24"/>
          <w:szCs w:val="24"/>
          <w:lang w:eastAsia="zh-CN"/>
        </w:rPr>
        <w:sectPr>
          <w:headerReference r:id="rId11" w:type="default"/>
          <w:footerReference r:id="rId12" w:type="default"/>
          <w:pgSz w:w="11907" w:h="16840"/>
          <w:pgMar w:top="1297" w:right="1070" w:bottom="1029" w:left="1701" w:header="1283" w:footer="850" w:gutter="0"/>
          <w:pgNumType w:fmt="decimal"/>
          <w:cols w:space="720" w:num="1"/>
        </w:sectPr>
      </w:pPr>
    </w:p>
    <w:p w14:paraId="487ABD82">
      <w:pPr>
        <w:spacing w:before="155" w:line="220" w:lineRule="auto"/>
        <w:ind w:left="501"/>
        <w:rPr>
          <w:rFonts w:ascii="宋体" w:hAnsi="宋体" w:eastAsia="宋体" w:cs="宋体"/>
          <w:sz w:val="24"/>
          <w:szCs w:val="24"/>
          <w:lang w:eastAsia="zh-CN"/>
        </w:rPr>
      </w:pPr>
      <w:r>
        <w:rPr>
          <w:rFonts w:ascii="宋体" w:hAnsi="宋体" w:eastAsia="宋体" w:cs="宋体"/>
          <w:spacing w:val="-2"/>
          <w:sz w:val="24"/>
          <w:szCs w:val="24"/>
          <w:lang w:eastAsia="zh-CN"/>
        </w:rPr>
        <w:t>（</w:t>
      </w:r>
      <w:r>
        <w:rPr>
          <w:rFonts w:ascii="Times New Roman" w:hAnsi="Times New Roman" w:eastAsia="Times New Roman" w:cs="Times New Roman"/>
          <w:spacing w:val="-2"/>
          <w:sz w:val="24"/>
          <w:szCs w:val="24"/>
          <w:lang w:eastAsia="zh-CN"/>
        </w:rPr>
        <w:t>2</w:t>
      </w:r>
      <w:r>
        <w:rPr>
          <w:rFonts w:ascii="宋体" w:hAnsi="宋体" w:eastAsia="宋体" w:cs="宋体"/>
          <w:spacing w:val="-2"/>
          <w:sz w:val="24"/>
          <w:szCs w:val="24"/>
          <w:lang w:eastAsia="zh-CN"/>
        </w:rPr>
        <w:t>）需要进行抢险救援的。</w:t>
      </w:r>
    </w:p>
    <w:p w14:paraId="761BF4B8">
      <w:pPr>
        <w:spacing w:before="179" w:line="220" w:lineRule="auto"/>
        <w:ind w:left="501"/>
        <w:rPr>
          <w:rFonts w:ascii="宋体" w:hAnsi="宋体" w:eastAsia="宋体" w:cs="宋体"/>
          <w:sz w:val="24"/>
          <w:szCs w:val="24"/>
          <w:lang w:eastAsia="zh-CN"/>
        </w:rPr>
      </w:pPr>
      <w:r>
        <w:rPr>
          <w:rFonts w:ascii="宋体" w:hAnsi="宋体" w:eastAsia="宋体" w:cs="宋体"/>
          <w:spacing w:val="-1"/>
          <w:sz w:val="24"/>
          <w:szCs w:val="24"/>
          <w:lang w:eastAsia="zh-CN"/>
        </w:rPr>
        <w:t>（</w:t>
      </w:r>
      <w:r>
        <w:rPr>
          <w:rFonts w:ascii="Times New Roman" w:hAnsi="Times New Roman" w:eastAsia="Times New Roman" w:cs="Times New Roman"/>
          <w:spacing w:val="-1"/>
          <w:sz w:val="24"/>
          <w:szCs w:val="24"/>
          <w:lang w:eastAsia="zh-CN"/>
        </w:rPr>
        <w:t>3</w:t>
      </w:r>
      <w:r>
        <w:rPr>
          <w:rFonts w:ascii="宋体" w:hAnsi="宋体" w:eastAsia="宋体" w:cs="宋体"/>
          <w:spacing w:val="-1"/>
          <w:sz w:val="24"/>
          <w:szCs w:val="24"/>
          <w:lang w:eastAsia="zh-CN"/>
        </w:rPr>
        <w:t>）安全、文明施工事项需要与周边单位共同交涉的。</w:t>
      </w:r>
    </w:p>
    <w:p w14:paraId="0A54FF0F">
      <w:pPr>
        <w:spacing w:before="182" w:line="220" w:lineRule="auto"/>
        <w:ind w:left="501"/>
        <w:rPr>
          <w:rFonts w:ascii="宋体" w:hAnsi="宋体" w:eastAsia="宋体" w:cs="宋体"/>
          <w:sz w:val="24"/>
          <w:szCs w:val="24"/>
          <w:lang w:eastAsia="zh-CN"/>
        </w:rPr>
      </w:pPr>
      <w:r>
        <w:rPr>
          <w:rFonts w:ascii="宋体" w:hAnsi="宋体" w:eastAsia="宋体" w:cs="宋体"/>
          <w:spacing w:val="-2"/>
          <w:sz w:val="24"/>
          <w:szCs w:val="24"/>
          <w:lang w:eastAsia="zh-CN"/>
        </w:rPr>
        <w:t>（</w:t>
      </w:r>
      <w:r>
        <w:rPr>
          <w:rFonts w:ascii="Times New Roman" w:hAnsi="Times New Roman" w:eastAsia="Times New Roman" w:cs="Times New Roman"/>
          <w:spacing w:val="-2"/>
          <w:sz w:val="24"/>
          <w:szCs w:val="24"/>
          <w:lang w:eastAsia="zh-CN"/>
        </w:rPr>
        <w:t>4</w:t>
      </w:r>
      <w:r>
        <w:rPr>
          <w:rFonts w:ascii="宋体" w:hAnsi="宋体" w:eastAsia="宋体" w:cs="宋体"/>
          <w:spacing w:val="-2"/>
          <w:sz w:val="24"/>
          <w:szCs w:val="24"/>
          <w:lang w:eastAsia="zh-CN"/>
        </w:rPr>
        <w:t>）需要办理夜间施工手续的。</w:t>
      </w:r>
    </w:p>
    <w:p w14:paraId="4CC02779">
      <w:pPr>
        <w:spacing w:before="182" w:line="219" w:lineRule="auto"/>
        <w:ind w:left="493"/>
        <w:outlineLvl w:val="2"/>
        <w:rPr>
          <w:rFonts w:ascii="宋体" w:hAnsi="宋体" w:eastAsia="宋体" w:cs="宋体"/>
          <w:sz w:val="24"/>
          <w:szCs w:val="24"/>
          <w:lang w:eastAsia="zh-CN"/>
        </w:rPr>
      </w:pPr>
      <w:r>
        <w:rPr>
          <w:rFonts w:ascii="宋体" w:hAnsi="宋体" w:eastAsia="宋体" w:cs="宋体"/>
          <w:spacing w:val="1"/>
          <w:sz w:val="24"/>
          <w:szCs w:val="24"/>
          <w:lang w:eastAsia="zh-CN"/>
        </w:rPr>
        <w:t>二、安全施工相关资料的提供</w:t>
      </w:r>
      <w:r>
        <w:rPr>
          <w:rFonts w:ascii="宋体" w:hAnsi="宋体" w:eastAsia="宋体" w:cs="宋体"/>
          <w:spacing w:val="-18"/>
          <w:sz w:val="24"/>
          <w:szCs w:val="24"/>
          <w:lang w:eastAsia="zh-CN"/>
        </w:rPr>
        <w:t>：（</w:t>
      </w:r>
      <w:r>
        <w:rPr>
          <w:rFonts w:ascii="宋体" w:hAnsi="宋体" w:eastAsia="宋体" w:cs="宋体"/>
          <w:spacing w:val="1"/>
          <w:sz w:val="24"/>
          <w:szCs w:val="24"/>
          <w:lang w:eastAsia="zh-CN"/>
        </w:rPr>
        <w:t>注：原件经审核</w:t>
      </w:r>
      <w:r>
        <w:rPr>
          <w:rFonts w:ascii="宋体" w:hAnsi="宋体" w:eastAsia="宋体" w:cs="宋体"/>
          <w:sz w:val="24"/>
          <w:szCs w:val="24"/>
          <w:lang w:eastAsia="zh-CN"/>
        </w:rPr>
        <w:t>之后退回给乙方）</w:t>
      </w:r>
    </w:p>
    <w:p w14:paraId="65B6EF6B">
      <w:pPr>
        <w:spacing w:before="180" w:line="219" w:lineRule="auto"/>
        <w:ind w:left="508"/>
        <w:outlineLvl w:val="0"/>
        <w:rPr>
          <w:rFonts w:ascii="宋体" w:hAnsi="宋体" w:eastAsia="宋体" w:cs="宋体"/>
          <w:sz w:val="24"/>
          <w:szCs w:val="24"/>
          <w:lang w:eastAsia="zh-CN"/>
        </w:rPr>
      </w:pPr>
      <w:r>
        <w:rPr>
          <w:rFonts w:ascii="Times New Roman" w:hAnsi="Times New Roman" w:eastAsia="Times New Roman" w:cs="Times New Roman"/>
          <w:spacing w:val="-6"/>
          <w:sz w:val="24"/>
          <w:szCs w:val="24"/>
          <w:lang w:eastAsia="zh-CN"/>
        </w:rPr>
        <w:t>1</w:t>
      </w:r>
      <w:r>
        <w:rPr>
          <w:rFonts w:ascii="宋体" w:hAnsi="宋体" w:eastAsia="宋体" w:cs="宋体"/>
          <w:spacing w:val="-6"/>
          <w:sz w:val="24"/>
          <w:szCs w:val="24"/>
          <w:lang w:eastAsia="zh-CN"/>
        </w:rPr>
        <w:t>、甲方向乙方提供：</w:t>
      </w:r>
    </w:p>
    <w:p w14:paraId="5A423171">
      <w:pPr>
        <w:spacing w:before="183" w:line="220" w:lineRule="auto"/>
        <w:ind w:left="501"/>
        <w:rPr>
          <w:rFonts w:ascii="宋体" w:hAnsi="宋体" w:eastAsia="宋体" w:cs="宋体"/>
          <w:sz w:val="24"/>
          <w:szCs w:val="24"/>
          <w:lang w:eastAsia="zh-CN"/>
        </w:rPr>
      </w:pPr>
      <w:r>
        <w:rPr>
          <w:rFonts w:ascii="宋体" w:hAnsi="宋体" w:eastAsia="宋体" w:cs="宋体"/>
          <w:spacing w:val="-1"/>
          <w:sz w:val="24"/>
          <w:szCs w:val="24"/>
          <w:lang w:eastAsia="zh-CN"/>
        </w:rPr>
        <w:t>（</w:t>
      </w:r>
      <w:r>
        <w:rPr>
          <w:rFonts w:ascii="Times New Roman" w:hAnsi="Times New Roman" w:eastAsia="Times New Roman" w:cs="Times New Roman"/>
          <w:spacing w:val="-1"/>
          <w:sz w:val="24"/>
          <w:szCs w:val="24"/>
          <w:lang w:eastAsia="zh-CN"/>
        </w:rPr>
        <w:t>1</w:t>
      </w:r>
      <w:r>
        <w:rPr>
          <w:rFonts w:ascii="宋体" w:hAnsi="宋体" w:eastAsia="宋体" w:cs="宋体"/>
          <w:spacing w:val="-1"/>
          <w:sz w:val="24"/>
          <w:szCs w:val="24"/>
          <w:lang w:eastAsia="zh-CN"/>
        </w:rPr>
        <w:t>）甲方安全管理各级领导和各部门相关工作人员名单和联系方式。</w:t>
      </w:r>
    </w:p>
    <w:p w14:paraId="14C2C8C7">
      <w:pPr>
        <w:spacing w:before="179" w:line="221" w:lineRule="auto"/>
        <w:ind w:left="501"/>
        <w:rPr>
          <w:rFonts w:ascii="宋体" w:hAnsi="宋体" w:eastAsia="宋体" w:cs="宋体"/>
          <w:sz w:val="24"/>
          <w:szCs w:val="24"/>
          <w:lang w:eastAsia="zh-CN"/>
        </w:rPr>
      </w:pPr>
      <w:r>
        <w:rPr>
          <w:rFonts w:ascii="宋体" w:hAnsi="宋体" w:eastAsia="宋体" w:cs="宋体"/>
          <w:spacing w:val="-2"/>
          <w:sz w:val="24"/>
          <w:szCs w:val="24"/>
          <w:lang w:eastAsia="zh-CN"/>
        </w:rPr>
        <w:t>（</w:t>
      </w:r>
      <w:r>
        <w:rPr>
          <w:rFonts w:ascii="Times New Roman" w:hAnsi="Times New Roman" w:eastAsia="Times New Roman" w:cs="Times New Roman"/>
          <w:spacing w:val="-2"/>
          <w:sz w:val="24"/>
          <w:szCs w:val="24"/>
          <w:lang w:eastAsia="zh-CN"/>
        </w:rPr>
        <w:t>2</w:t>
      </w:r>
      <w:r>
        <w:rPr>
          <w:rFonts w:ascii="宋体" w:hAnsi="宋体" w:eastAsia="宋体" w:cs="宋体"/>
          <w:spacing w:val="-2"/>
          <w:sz w:val="24"/>
          <w:szCs w:val="24"/>
          <w:lang w:eastAsia="zh-CN"/>
        </w:rPr>
        <w:t>）施工安全联系制度。</w:t>
      </w:r>
    </w:p>
    <w:p w14:paraId="4D154C31">
      <w:pPr>
        <w:spacing w:before="182" w:line="220" w:lineRule="auto"/>
        <w:ind w:left="501"/>
        <w:rPr>
          <w:rFonts w:ascii="宋体" w:hAnsi="宋体" w:eastAsia="宋体" w:cs="宋体"/>
          <w:sz w:val="24"/>
          <w:szCs w:val="24"/>
          <w:lang w:eastAsia="zh-CN"/>
        </w:rPr>
      </w:pPr>
      <w:r>
        <w:rPr>
          <w:rFonts w:ascii="宋体" w:hAnsi="宋体" w:eastAsia="宋体" w:cs="宋体"/>
          <w:spacing w:val="-2"/>
          <w:sz w:val="24"/>
          <w:szCs w:val="24"/>
          <w:lang w:eastAsia="zh-CN"/>
        </w:rPr>
        <w:t>（</w:t>
      </w:r>
      <w:r>
        <w:rPr>
          <w:rFonts w:ascii="Times New Roman" w:hAnsi="Times New Roman" w:eastAsia="Times New Roman" w:cs="Times New Roman"/>
          <w:spacing w:val="-2"/>
          <w:sz w:val="24"/>
          <w:szCs w:val="24"/>
          <w:lang w:eastAsia="zh-CN"/>
        </w:rPr>
        <w:t>3</w:t>
      </w:r>
      <w:r>
        <w:rPr>
          <w:rFonts w:ascii="宋体" w:hAnsi="宋体" w:eastAsia="宋体" w:cs="宋体"/>
          <w:spacing w:val="-2"/>
          <w:sz w:val="24"/>
          <w:szCs w:val="24"/>
          <w:lang w:eastAsia="zh-CN"/>
        </w:rPr>
        <w:t>）有关安全、文明施工方面的特殊要求。</w:t>
      </w:r>
    </w:p>
    <w:p w14:paraId="6239891D">
      <w:pPr>
        <w:spacing w:before="180" w:line="219" w:lineRule="auto"/>
        <w:ind w:left="485"/>
        <w:outlineLvl w:val="0"/>
        <w:rPr>
          <w:rFonts w:ascii="宋体" w:hAnsi="宋体" w:eastAsia="宋体" w:cs="宋体"/>
          <w:sz w:val="24"/>
          <w:szCs w:val="24"/>
          <w:lang w:eastAsia="zh-CN"/>
        </w:rPr>
      </w:pPr>
      <w:r>
        <w:rPr>
          <w:rFonts w:ascii="Times New Roman" w:hAnsi="Times New Roman" w:eastAsia="Times New Roman" w:cs="Times New Roman"/>
          <w:spacing w:val="-4"/>
          <w:sz w:val="24"/>
          <w:szCs w:val="24"/>
          <w:lang w:eastAsia="zh-CN"/>
        </w:rPr>
        <w:t>2</w:t>
      </w:r>
      <w:r>
        <w:rPr>
          <w:rFonts w:ascii="宋体" w:hAnsi="宋体" w:eastAsia="宋体" w:cs="宋体"/>
          <w:spacing w:val="-4"/>
          <w:sz w:val="24"/>
          <w:szCs w:val="24"/>
          <w:lang w:eastAsia="zh-CN"/>
        </w:rPr>
        <w:t>、乙方向甲方提供：</w:t>
      </w:r>
    </w:p>
    <w:p w14:paraId="71A256F5">
      <w:pPr>
        <w:spacing w:before="182" w:line="220" w:lineRule="auto"/>
        <w:ind w:left="501"/>
        <w:rPr>
          <w:rFonts w:ascii="宋体" w:hAnsi="宋体" w:eastAsia="宋体" w:cs="宋体"/>
          <w:sz w:val="24"/>
          <w:szCs w:val="24"/>
          <w:lang w:eastAsia="zh-CN"/>
        </w:rPr>
      </w:pPr>
      <w:r>
        <w:rPr>
          <w:rFonts w:ascii="宋体" w:hAnsi="宋体" w:eastAsia="宋体" w:cs="宋体"/>
          <w:spacing w:val="-1"/>
          <w:sz w:val="24"/>
          <w:szCs w:val="24"/>
          <w:lang w:eastAsia="zh-CN"/>
        </w:rPr>
        <w:t>（</w:t>
      </w:r>
      <w:r>
        <w:rPr>
          <w:rFonts w:ascii="Times New Roman" w:hAnsi="Times New Roman" w:eastAsia="Times New Roman" w:cs="Times New Roman"/>
          <w:spacing w:val="-1"/>
          <w:sz w:val="24"/>
          <w:szCs w:val="24"/>
          <w:lang w:eastAsia="zh-CN"/>
        </w:rPr>
        <w:t>1</w:t>
      </w:r>
      <w:r>
        <w:rPr>
          <w:rFonts w:ascii="宋体" w:hAnsi="宋体" w:eastAsia="宋体" w:cs="宋体"/>
          <w:spacing w:val="-1"/>
          <w:sz w:val="24"/>
          <w:szCs w:val="24"/>
          <w:lang w:eastAsia="zh-CN"/>
        </w:rPr>
        <w:t>）乙方主要负责人及其管理人员相关安全资质资料（原件和复印件）。</w:t>
      </w:r>
    </w:p>
    <w:p w14:paraId="4A6A35A6">
      <w:pPr>
        <w:spacing w:before="180" w:line="220" w:lineRule="auto"/>
        <w:ind w:left="501"/>
        <w:rPr>
          <w:rFonts w:ascii="宋体" w:hAnsi="宋体" w:eastAsia="宋体" w:cs="宋体"/>
          <w:sz w:val="24"/>
          <w:szCs w:val="24"/>
          <w:lang w:eastAsia="zh-CN"/>
        </w:rPr>
      </w:pPr>
      <w:r>
        <w:rPr>
          <w:rFonts w:ascii="宋体" w:hAnsi="宋体" w:eastAsia="宋体" w:cs="宋体"/>
          <w:spacing w:val="-1"/>
          <w:sz w:val="24"/>
          <w:szCs w:val="24"/>
          <w:lang w:eastAsia="zh-CN"/>
        </w:rPr>
        <w:t>（</w:t>
      </w:r>
      <w:r>
        <w:rPr>
          <w:rFonts w:ascii="Times New Roman" w:hAnsi="Times New Roman" w:eastAsia="Times New Roman" w:cs="Times New Roman"/>
          <w:spacing w:val="-1"/>
          <w:sz w:val="24"/>
          <w:szCs w:val="24"/>
          <w:lang w:eastAsia="zh-CN"/>
        </w:rPr>
        <w:t>2</w:t>
      </w:r>
      <w:r>
        <w:rPr>
          <w:rFonts w:ascii="宋体" w:hAnsi="宋体" w:eastAsia="宋体" w:cs="宋体"/>
          <w:spacing w:val="-1"/>
          <w:sz w:val="24"/>
          <w:szCs w:val="24"/>
          <w:lang w:eastAsia="zh-CN"/>
        </w:rPr>
        <w:t>）乙方施工现场特种作业人员相关安全资质资料（原件和复印件）。</w:t>
      </w:r>
    </w:p>
    <w:p w14:paraId="22A37333">
      <w:pPr>
        <w:spacing w:before="182" w:line="220" w:lineRule="auto"/>
        <w:ind w:left="501"/>
        <w:rPr>
          <w:rFonts w:ascii="宋体" w:hAnsi="宋体" w:eastAsia="宋体" w:cs="宋体"/>
          <w:sz w:val="24"/>
          <w:szCs w:val="24"/>
          <w:lang w:eastAsia="zh-CN"/>
        </w:rPr>
      </w:pPr>
      <w:r>
        <w:rPr>
          <w:rFonts w:ascii="宋体" w:hAnsi="宋体" w:eastAsia="宋体" w:cs="宋体"/>
          <w:spacing w:val="-1"/>
          <w:sz w:val="24"/>
          <w:szCs w:val="24"/>
          <w:lang w:eastAsia="zh-CN"/>
        </w:rPr>
        <w:t>（</w:t>
      </w:r>
      <w:r>
        <w:rPr>
          <w:rFonts w:ascii="Times New Roman" w:hAnsi="Times New Roman" w:eastAsia="Times New Roman" w:cs="Times New Roman"/>
          <w:spacing w:val="-1"/>
          <w:sz w:val="24"/>
          <w:szCs w:val="24"/>
          <w:lang w:eastAsia="zh-CN"/>
        </w:rPr>
        <w:t>3</w:t>
      </w:r>
      <w:r>
        <w:rPr>
          <w:rFonts w:ascii="宋体" w:hAnsi="宋体" w:eastAsia="宋体" w:cs="宋体"/>
          <w:spacing w:val="-1"/>
          <w:sz w:val="24"/>
          <w:szCs w:val="24"/>
          <w:lang w:eastAsia="zh-CN"/>
        </w:rPr>
        <w:t>）乙方安全管理各级领导和各部门相关工作人员名单和联系方式。</w:t>
      </w:r>
    </w:p>
    <w:p w14:paraId="0AAD3E2B">
      <w:pPr>
        <w:spacing w:before="180" w:line="220" w:lineRule="auto"/>
        <w:ind w:left="501"/>
        <w:rPr>
          <w:rFonts w:ascii="宋体" w:hAnsi="宋体" w:eastAsia="宋体" w:cs="宋体"/>
          <w:sz w:val="24"/>
          <w:szCs w:val="24"/>
          <w:lang w:eastAsia="zh-CN"/>
        </w:rPr>
      </w:pPr>
      <w:r>
        <w:rPr>
          <w:rFonts w:ascii="宋体" w:hAnsi="宋体" w:eastAsia="宋体" w:cs="宋体"/>
          <w:spacing w:val="-1"/>
          <w:sz w:val="24"/>
          <w:szCs w:val="24"/>
          <w:lang w:eastAsia="zh-CN"/>
        </w:rPr>
        <w:t>（</w:t>
      </w:r>
      <w:r>
        <w:rPr>
          <w:rFonts w:ascii="Times New Roman" w:hAnsi="Times New Roman" w:eastAsia="Times New Roman" w:cs="Times New Roman"/>
          <w:spacing w:val="-1"/>
          <w:sz w:val="24"/>
          <w:szCs w:val="24"/>
          <w:lang w:eastAsia="zh-CN"/>
        </w:rPr>
        <w:t>4</w:t>
      </w:r>
      <w:r>
        <w:rPr>
          <w:rFonts w:ascii="宋体" w:hAnsi="宋体" w:eastAsia="宋体" w:cs="宋体"/>
          <w:spacing w:val="-1"/>
          <w:sz w:val="24"/>
          <w:szCs w:val="24"/>
          <w:lang w:eastAsia="zh-CN"/>
        </w:rPr>
        <w:t>）在施工组织设计中完整的施工安全技术措施。</w:t>
      </w:r>
    </w:p>
    <w:p w14:paraId="03C9776D">
      <w:pPr>
        <w:spacing w:before="182" w:line="219" w:lineRule="auto"/>
        <w:ind w:left="501"/>
        <w:rPr>
          <w:rFonts w:ascii="宋体" w:hAnsi="宋体" w:eastAsia="宋体" w:cs="宋体"/>
          <w:sz w:val="24"/>
          <w:szCs w:val="24"/>
          <w:lang w:eastAsia="zh-CN"/>
        </w:rPr>
      </w:pPr>
      <w:r>
        <w:rPr>
          <w:rFonts w:ascii="宋体" w:hAnsi="宋体" w:eastAsia="宋体" w:cs="宋体"/>
          <w:spacing w:val="-1"/>
          <w:sz w:val="24"/>
          <w:szCs w:val="24"/>
          <w:lang w:eastAsia="zh-CN"/>
        </w:rPr>
        <w:t>（</w:t>
      </w:r>
      <w:r>
        <w:rPr>
          <w:rFonts w:ascii="Times New Roman" w:hAnsi="Times New Roman" w:eastAsia="Times New Roman" w:cs="Times New Roman"/>
          <w:spacing w:val="-1"/>
          <w:sz w:val="24"/>
          <w:szCs w:val="24"/>
          <w:lang w:eastAsia="zh-CN"/>
        </w:rPr>
        <w:t>5</w:t>
      </w:r>
      <w:r>
        <w:rPr>
          <w:rFonts w:ascii="宋体" w:hAnsi="宋体" w:eastAsia="宋体" w:cs="宋体"/>
          <w:spacing w:val="-1"/>
          <w:sz w:val="24"/>
          <w:szCs w:val="24"/>
          <w:lang w:eastAsia="zh-CN"/>
        </w:rPr>
        <w:t>）乙方施工安全保证计划书（副本）及现场文明施工组织管理方案。</w:t>
      </w:r>
    </w:p>
    <w:p w14:paraId="448A58DA">
      <w:pPr>
        <w:spacing w:before="183" w:line="220" w:lineRule="auto"/>
        <w:ind w:left="501"/>
        <w:rPr>
          <w:rFonts w:ascii="宋体" w:hAnsi="宋体" w:eastAsia="宋体" w:cs="宋体"/>
          <w:sz w:val="24"/>
          <w:szCs w:val="24"/>
          <w:lang w:eastAsia="zh-CN"/>
        </w:rPr>
      </w:pPr>
      <w:r>
        <w:rPr>
          <w:rFonts w:ascii="宋体" w:hAnsi="宋体" w:eastAsia="宋体" w:cs="宋体"/>
          <w:spacing w:val="-1"/>
          <w:sz w:val="24"/>
          <w:szCs w:val="24"/>
          <w:lang w:eastAsia="zh-CN"/>
        </w:rPr>
        <w:t>（</w:t>
      </w:r>
      <w:r>
        <w:rPr>
          <w:rFonts w:ascii="Times New Roman" w:hAnsi="Times New Roman" w:eastAsia="Times New Roman" w:cs="Times New Roman"/>
          <w:spacing w:val="-1"/>
          <w:sz w:val="24"/>
          <w:szCs w:val="24"/>
          <w:lang w:eastAsia="zh-CN"/>
        </w:rPr>
        <w:t>6</w:t>
      </w:r>
      <w:r>
        <w:rPr>
          <w:rFonts w:ascii="宋体" w:hAnsi="宋体" w:eastAsia="宋体" w:cs="宋体"/>
          <w:spacing w:val="-1"/>
          <w:sz w:val="24"/>
          <w:szCs w:val="24"/>
          <w:lang w:eastAsia="zh-CN"/>
        </w:rPr>
        <w:t>）承包区域施工现场封闭、安全通道、安全标志和消防水接点等设置图。</w:t>
      </w:r>
    </w:p>
    <w:p w14:paraId="49B7EEF3">
      <w:pPr>
        <w:spacing w:before="180" w:line="290" w:lineRule="auto"/>
        <w:ind w:left="8" w:right="71" w:firstLine="492"/>
        <w:rPr>
          <w:rFonts w:ascii="宋体" w:hAnsi="宋体" w:eastAsia="宋体" w:cs="宋体"/>
          <w:sz w:val="24"/>
          <w:szCs w:val="24"/>
          <w:lang w:eastAsia="zh-CN"/>
        </w:rPr>
      </w:pPr>
      <w:r>
        <w:rPr>
          <w:rFonts w:ascii="宋体" w:hAnsi="宋体" w:eastAsia="宋体" w:cs="宋体"/>
          <w:spacing w:val="-1"/>
          <w:sz w:val="24"/>
          <w:szCs w:val="24"/>
          <w:lang w:eastAsia="zh-CN"/>
        </w:rPr>
        <w:t>（</w:t>
      </w:r>
      <w:r>
        <w:rPr>
          <w:rFonts w:ascii="Times New Roman" w:hAnsi="Times New Roman" w:eastAsia="Times New Roman" w:cs="Times New Roman"/>
          <w:spacing w:val="-1"/>
          <w:sz w:val="24"/>
          <w:szCs w:val="24"/>
          <w:lang w:eastAsia="zh-CN"/>
        </w:rPr>
        <w:t>7</w:t>
      </w:r>
      <w:r>
        <w:rPr>
          <w:rFonts w:ascii="宋体" w:hAnsi="宋体" w:eastAsia="宋体" w:cs="宋体"/>
          <w:spacing w:val="-1"/>
          <w:sz w:val="24"/>
          <w:szCs w:val="24"/>
          <w:lang w:eastAsia="zh-CN"/>
        </w:rPr>
        <w:t>）乙方和其分包方施工合同中安全条款的内容或安全、文明施工管理协议（原</w:t>
      </w:r>
      <w:r>
        <w:rPr>
          <w:rFonts w:ascii="宋体" w:hAnsi="宋体" w:eastAsia="宋体" w:cs="宋体"/>
          <w:spacing w:val="-2"/>
          <w:sz w:val="24"/>
          <w:szCs w:val="24"/>
          <w:lang w:eastAsia="zh-CN"/>
        </w:rPr>
        <w:t>件和复印件）。</w:t>
      </w:r>
    </w:p>
    <w:p w14:paraId="0E74D4A3">
      <w:pPr>
        <w:spacing w:before="179" w:line="289" w:lineRule="auto"/>
        <w:ind w:left="28" w:right="71" w:firstLine="472"/>
        <w:rPr>
          <w:rFonts w:ascii="宋体" w:hAnsi="宋体" w:eastAsia="宋体" w:cs="宋体"/>
          <w:sz w:val="24"/>
          <w:szCs w:val="24"/>
          <w:lang w:eastAsia="zh-CN"/>
        </w:rPr>
      </w:pPr>
      <w:r>
        <w:rPr>
          <w:rFonts w:ascii="宋体" w:hAnsi="宋体" w:eastAsia="宋体" w:cs="宋体"/>
          <w:spacing w:val="-1"/>
          <w:sz w:val="24"/>
          <w:szCs w:val="24"/>
          <w:lang w:eastAsia="zh-CN"/>
        </w:rPr>
        <w:t>（</w:t>
      </w:r>
      <w:r>
        <w:rPr>
          <w:rFonts w:ascii="Times New Roman" w:hAnsi="Times New Roman" w:eastAsia="Times New Roman" w:cs="Times New Roman"/>
          <w:spacing w:val="-1"/>
          <w:sz w:val="24"/>
          <w:szCs w:val="24"/>
          <w:lang w:eastAsia="zh-CN"/>
        </w:rPr>
        <w:t>8</w:t>
      </w:r>
      <w:r>
        <w:rPr>
          <w:rFonts w:ascii="宋体" w:hAnsi="宋体" w:eastAsia="宋体" w:cs="宋体"/>
          <w:spacing w:val="-1"/>
          <w:sz w:val="24"/>
          <w:szCs w:val="24"/>
          <w:lang w:eastAsia="zh-CN"/>
        </w:rPr>
        <w:t>）乙方对分包方安全资质审查、从业人员登记和安全教育的汇总表（原件和复</w:t>
      </w:r>
      <w:r>
        <w:rPr>
          <w:rFonts w:ascii="宋体" w:hAnsi="宋体" w:eastAsia="宋体" w:cs="宋体"/>
          <w:spacing w:val="-8"/>
          <w:sz w:val="24"/>
          <w:szCs w:val="24"/>
          <w:lang w:eastAsia="zh-CN"/>
        </w:rPr>
        <w:t>印件）。</w:t>
      </w:r>
    </w:p>
    <w:p w14:paraId="172AB2D8">
      <w:pPr>
        <w:spacing w:before="182" w:line="290" w:lineRule="auto"/>
        <w:ind w:left="489" w:right="1310" w:firstLine="11"/>
        <w:rPr>
          <w:rFonts w:ascii="宋体" w:hAnsi="宋体" w:eastAsia="宋体" w:cs="宋体"/>
          <w:sz w:val="24"/>
          <w:szCs w:val="24"/>
          <w:lang w:eastAsia="zh-CN"/>
        </w:rPr>
      </w:pPr>
      <w:r>
        <w:rPr>
          <w:rFonts w:ascii="宋体" w:hAnsi="宋体" w:eastAsia="宋体" w:cs="宋体"/>
          <w:spacing w:val="-2"/>
          <w:sz w:val="24"/>
          <w:szCs w:val="24"/>
          <w:lang w:eastAsia="zh-CN"/>
        </w:rPr>
        <w:t>（</w:t>
      </w:r>
      <w:r>
        <w:rPr>
          <w:rFonts w:ascii="Times New Roman" w:hAnsi="Times New Roman" w:eastAsia="Times New Roman" w:cs="Times New Roman"/>
          <w:spacing w:val="-2"/>
          <w:sz w:val="24"/>
          <w:szCs w:val="24"/>
          <w:lang w:eastAsia="zh-CN"/>
        </w:rPr>
        <w:t>9</w:t>
      </w:r>
      <w:r>
        <w:rPr>
          <w:rFonts w:ascii="宋体" w:hAnsi="宋体" w:eastAsia="宋体" w:cs="宋体"/>
          <w:spacing w:val="-2"/>
          <w:sz w:val="24"/>
          <w:szCs w:val="24"/>
          <w:lang w:eastAsia="zh-CN"/>
        </w:rPr>
        <w:t>）乙方对供料等相关方安全资质审查的汇总表（原件和复印件）。</w:t>
      </w:r>
      <w:r>
        <w:rPr>
          <w:rFonts w:ascii="宋体" w:hAnsi="宋体" w:eastAsia="宋体" w:cs="宋体"/>
          <w:spacing w:val="-1"/>
          <w:sz w:val="24"/>
          <w:szCs w:val="24"/>
          <w:lang w:eastAsia="zh-CN"/>
        </w:rPr>
        <w:t>三、甲方的安全、文明施工管理职责：</w:t>
      </w:r>
    </w:p>
    <w:p w14:paraId="77D1B0F2">
      <w:pPr>
        <w:spacing w:before="180" w:line="219" w:lineRule="auto"/>
        <w:ind w:left="508"/>
        <w:rPr>
          <w:rFonts w:ascii="宋体" w:hAnsi="宋体" w:eastAsia="宋体" w:cs="宋体"/>
          <w:sz w:val="24"/>
          <w:szCs w:val="24"/>
          <w:lang w:eastAsia="zh-CN"/>
        </w:rPr>
      </w:pPr>
      <w:r>
        <w:rPr>
          <w:rFonts w:ascii="Times New Roman" w:hAnsi="Times New Roman" w:eastAsia="Times New Roman" w:cs="Times New Roman"/>
          <w:spacing w:val="-2"/>
          <w:sz w:val="24"/>
          <w:szCs w:val="24"/>
          <w:lang w:eastAsia="zh-CN"/>
        </w:rPr>
        <w:t>1</w:t>
      </w:r>
      <w:r>
        <w:rPr>
          <w:rFonts w:ascii="宋体" w:hAnsi="宋体" w:eastAsia="宋体" w:cs="宋体"/>
          <w:spacing w:val="-2"/>
          <w:sz w:val="24"/>
          <w:szCs w:val="24"/>
          <w:lang w:eastAsia="zh-CN"/>
        </w:rPr>
        <w:t>、负责建立项目与所在地政府等相关方的安全工作联系，协调处理外部问题。</w:t>
      </w:r>
    </w:p>
    <w:p w14:paraId="0DF0EEB3">
      <w:pPr>
        <w:spacing w:before="184" w:line="289" w:lineRule="auto"/>
        <w:ind w:left="12" w:right="71" w:firstLine="472"/>
        <w:rPr>
          <w:rFonts w:ascii="宋体" w:hAnsi="宋体" w:eastAsia="宋体" w:cs="宋体"/>
          <w:sz w:val="24"/>
          <w:szCs w:val="24"/>
          <w:lang w:eastAsia="zh-CN"/>
        </w:rPr>
      </w:pPr>
      <w:r>
        <w:rPr>
          <w:rFonts w:ascii="Times New Roman" w:hAnsi="Times New Roman" w:eastAsia="Times New Roman" w:cs="Times New Roman"/>
          <w:spacing w:val="-1"/>
          <w:sz w:val="24"/>
          <w:szCs w:val="24"/>
          <w:lang w:eastAsia="zh-CN"/>
        </w:rPr>
        <w:t>2</w:t>
      </w:r>
      <w:r>
        <w:rPr>
          <w:rFonts w:ascii="宋体" w:hAnsi="宋体" w:eastAsia="宋体" w:cs="宋体"/>
          <w:spacing w:val="-1"/>
          <w:sz w:val="24"/>
          <w:szCs w:val="24"/>
          <w:lang w:eastAsia="zh-CN"/>
        </w:rPr>
        <w:t>、负责召开施工安全联系会议，统一沟通、协调、管理各施工方的安全文明施工</w:t>
      </w:r>
      <w:r>
        <w:rPr>
          <w:rFonts w:ascii="宋体" w:hAnsi="宋体" w:eastAsia="宋体" w:cs="宋体"/>
          <w:spacing w:val="-5"/>
          <w:sz w:val="24"/>
          <w:szCs w:val="24"/>
          <w:lang w:eastAsia="zh-CN"/>
        </w:rPr>
        <w:t>工作。</w:t>
      </w:r>
    </w:p>
    <w:p w14:paraId="0A2F92E9">
      <w:pPr>
        <w:spacing w:before="182" w:line="289" w:lineRule="auto"/>
        <w:ind w:left="32" w:right="71" w:firstLine="457"/>
        <w:rPr>
          <w:rFonts w:ascii="宋体" w:hAnsi="宋体" w:eastAsia="宋体" w:cs="宋体"/>
          <w:sz w:val="24"/>
          <w:szCs w:val="24"/>
          <w:lang w:eastAsia="zh-CN"/>
        </w:rPr>
      </w:pPr>
      <w:r>
        <w:rPr>
          <w:rFonts w:ascii="Times New Roman" w:hAnsi="Times New Roman" w:eastAsia="Times New Roman" w:cs="Times New Roman"/>
          <w:spacing w:val="-1"/>
          <w:sz w:val="24"/>
          <w:szCs w:val="24"/>
          <w:lang w:eastAsia="zh-CN"/>
        </w:rPr>
        <w:t>3</w:t>
      </w:r>
      <w:r>
        <w:rPr>
          <w:rFonts w:ascii="宋体" w:hAnsi="宋体" w:eastAsia="宋体" w:cs="宋体"/>
          <w:spacing w:val="-1"/>
          <w:sz w:val="24"/>
          <w:szCs w:val="24"/>
          <w:lang w:eastAsia="zh-CN"/>
        </w:rPr>
        <w:t>、对施工现场定期或不定期进行安全检查，动态评价和督导乙方的安全管理</w:t>
      </w:r>
      <w:r>
        <w:rPr>
          <w:rFonts w:ascii="宋体" w:hAnsi="宋体" w:eastAsia="宋体" w:cs="宋体"/>
          <w:spacing w:val="-2"/>
          <w:sz w:val="24"/>
          <w:szCs w:val="24"/>
          <w:lang w:eastAsia="zh-CN"/>
        </w:rPr>
        <w:t>和文</w:t>
      </w:r>
      <w:r>
        <w:rPr>
          <w:rFonts w:ascii="宋体" w:hAnsi="宋体" w:eastAsia="宋体" w:cs="宋体"/>
          <w:spacing w:val="-8"/>
          <w:sz w:val="24"/>
          <w:szCs w:val="24"/>
          <w:lang w:eastAsia="zh-CN"/>
        </w:rPr>
        <w:t>明施工。</w:t>
      </w:r>
    </w:p>
    <w:p w14:paraId="0C7CB2D1">
      <w:pPr>
        <w:spacing w:before="182" w:line="290" w:lineRule="auto"/>
        <w:ind w:left="11" w:right="71" w:firstLine="472"/>
        <w:rPr>
          <w:rFonts w:ascii="宋体" w:hAnsi="宋体" w:eastAsia="宋体" w:cs="宋体"/>
          <w:sz w:val="24"/>
          <w:szCs w:val="24"/>
          <w:lang w:eastAsia="zh-CN"/>
        </w:rPr>
      </w:pPr>
      <w:r>
        <w:rPr>
          <w:rFonts w:ascii="Times New Roman" w:hAnsi="Times New Roman" w:eastAsia="Times New Roman" w:cs="Times New Roman"/>
          <w:spacing w:val="-1"/>
          <w:sz w:val="24"/>
          <w:szCs w:val="24"/>
          <w:lang w:eastAsia="zh-CN"/>
        </w:rPr>
        <w:t>4</w:t>
      </w:r>
      <w:r>
        <w:rPr>
          <w:rFonts w:ascii="宋体" w:hAnsi="宋体" w:eastAsia="宋体" w:cs="宋体"/>
          <w:spacing w:val="-1"/>
          <w:sz w:val="24"/>
          <w:szCs w:val="24"/>
          <w:lang w:eastAsia="zh-CN"/>
        </w:rPr>
        <w:t>、根据需要，参与施工现场危急事项的处置，进行安全、文明施工事件及事故的</w:t>
      </w:r>
      <w:r>
        <w:rPr>
          <w:rFonts w:ascii="宋体" w:hAnsi="宋体" w:eastAsia="宋体" w:cs="宋体"/>
          <w:spacing w:val="-3"/>
          <w:sz w:val="24"/>
          <w:szCs w:val="24"/>
          <w:lang w:eastAsia="zh-CN"/>
        </w:rPr>
        <w:t>调查处理。</w:t>
      </w:r>
    </w:p>
    <w:p w14:paraId="39C57A64">
      <w:pPr>
        <w:spacing w:before="180" w:line="289" w:lineRule="auto"/>
        <w:ind w:left="10" w:right="71" w:firstLine="481"/>
        <w:rPr>
          <w:rFonts w:ascii="宋体" w:hAnsi="宋体" w:eastAsia="宋体" w:cs="宋体"/>
          <w:sz w:val="24"/>
          <w:szCs w:val="24"/>
          <w:lang w:eastAsia="zh-CN"/>
        </w:rPr>
      </w:pPr>
      <w:r>
        <w:rPr>
          <w:rFonts w:ascii="Times New Roman" w:hAnsi="Times New Roman" w:eastAsia="Times New Roman" w:cs="Times New Roman"/>
          <w:spacing w:val="-1"/>
          <w:sz w:val="24"/>
          <w:szCs w:val="24"/>
          <w:lang w:eastAsia="zh-CN"/>
        </w:rPr>
        <w:t>5</w:t>
      </w:r>
      <w:r>
        <w:rPr>
          <w:rFonts w:ascii="宋体" w:hAnsi="宋体" w:eastAsia="宋体" w:cs="宋体"/>
          <w:spacing w:val="-1"/>
          <w:sz w:val="24"/>
          <w:szCs w:val="24"/>
          <w:lang w:eastAsia="zh-CN"/>
        </w:rPr>
        <w:t>、负责项目中重要安全及文明施工事项的内部沟通，对本方人员进行安全</w:t>
      </w:r>
      <w:r>
        <w:rPr>
          <w:rFonts w:ascii="宋体" w:hAnsi="宋体" w:eastAsia="宋体" w:cs="宋体"/>
          <w:spacing w:val="-2"/>
          <w:sz w:val="24"/>
          <w:szCs w:val="24"/>
          <w:lang w:eastAsia="zh-CN"/>
        </w:rPr>
        <w:t>教育和</w:t>
      </w:r>
      <w:r>
        <w:rPr>
          <w:rFonts w:ascii="宋体" w:hAnsi="宋体" w:eastAsia="宋体" w:cs="宋体"/>
          <w:spacing w:val="-3"/>
          <w:sz w:val="24"/>
          <w:szCs w:val="24"/>
          <w:lang w:eastAsia="zh-CN"/>
        </w:rPr>
        <w:t>风险控制。</w:t>
      </w:r>
    </w:p>
    <w:p w14:paraId="6803156E">
      <w:pPr>
        <w:spacing w:line="289" w:lineRule="auto"/>
        <w:rPr>
          <w:rFonts w:ascii="宋体" w:hAnsi="宋体" w:eastAsia="宋体" w:cs="宋体"/>
          <w:sz w:val="24"/>
          <w:szCs w:val="24"/>
          <w:lang w:eastAsia="zh-CN"/>
        </w:rPr>
        <w:sectPr>
          <w:headerReference r:id="rId13" w:type="default"/>
          <w:footerReference r:id="rId14" w:type="default"/>
          <w:pgSz w:w="11907" w:h="16840"/>
          <w:pgMar w:top="1297" w:right="1133" w:bottom="1029" w:left="1701" w:header="1283" w:footer="850" w:gutter="0"/>
          <w:pgNumType w:fmt="decimal"/>
          <w:cols w:space="720" w:num="1"/>
        </w:sectPr>
      </w:pPr>
    </w:p>
    <w:p w14:paraId="3DC7EA3F">
      <w:pPr>
        <w:spacing w:before="155" w:line="220" w:lineRule="auto"/>
        <w:ind w:left="512"/>
        <w:outlineLvl w:val="2"/>
        <w:rPr>
          <w:rFonts w:ascii="宋体" w:hAnsi="宋体" w:eastAsia="宋体" w:cs="宋体"/>
          <w:sz w:val="24"/>
          <w:szCs w:val="24"/>
          <w:lang w:eastAsia="zh-CN"/>
        </w:rPr>
      </w:pPr>
      <w:r>
        <w:rPr>
          <w:rFonts w:ascii="宋体" w:hAnsi="宋体" w:eastAsia="宋体" w:cs="宋体"/>
          <w:spacing w:val="-2"/>
          <w:sz w:val="24"/>
          <w:szCs w:val="24"/>
          <w:lang w:eastAsia="zh-CN"/>
        </w:rPr>
        <w:t>四、乙方安全、文明施工的主要职责：</w:t>
      </w:r>
    </w:p>
    <w:p w14:paraId="709B76E5">
      <w:pPr>
        <w:spacing w:before="179" w:line="290" w:lineRule="auto"/>
        <w:ind w:left="9" w:right="153" w:firstLine="498"/>
        <w:rPr>
          <w:rFonts w:ascii="宋体" w:hAnsi="宋体" w:eastAsia="宋体" w:cs="宋体"/>
          <w:sz w:val="24"/>
          <w:szCs w:val="24"/>
          <w:lang w:eastAsia="zh-CN"/>
        </w:rPr>
      </w:pPr>
      <w:r>
        <w:rPr>
          <w:rFonts w:ascii="Times New Roman" w:hAnsi="Times New Roman" w:eastAsia="Times New Roman" w:cs="Times New Roman"/>
          <w:spacing w:val="-2"/>
          <w:sz w:val="24"/>
          <w:szCs w:val="24"/>
          <w:lang w:eastAsia="zh-CN"/>
        </w:rPr>
        <w:t>1</w:t>
      </w:r>
      <w:r>
        <w:rPr>
          <w:rFonts w:ascii="宋体" w:hAnsi="宋体" w:eastAsia="宋体" w:cs="宋体"/>
          <w:spacing w:val="-2"/>
          <w:sz w:val="24"/>
          <w:szCs w:val="24"/>
          <w:lang w:eastAsia="zh-CN"/>
        </w:rPr>
        <w:t>、遵守国家、地方有关安全、文明施工方面的法律法规及有关规定。项目施工安</w:t>
      </w:r>
      <w:r>
        <w:rPr>
          <w:rFonts w:ascii="宋体" w:hAnsi="宋体" w:eastAsia="宋体" w:cs="宋体"/>
          <w:spacing w:val="-1"/>
          <w:sz w:val="24"/>
          <w:szCs w:val="24"/>
          <w:lang w:eastAsia="zh-CN"/>
        </w:rPr>
        <w:t>全的责任主体为乙方。</w:t>
      </w:r>
    </w:p>
    <w:p w14:paraId="50EC6B24">
      <w:pPr>
        <w:spacing w:before="181" w:line="220" w:lineRule="auto"/>
        <w:ind w:left="485"/>
        <w:rPr>
          <w:rFonts w:ascii="宋体" w:hAnsi="宋体" w:eastAsia="宋体" w:cs="宋体"/>
          <w:sz w:val="24"/>
          <w:szCs w:val="24"/>
          <w:lang w:eastAsia="zh-CN"/>
        </w:rPr>
      </w:pPr>
      <w:r>
        <w:rPr>
          <w:rFonts w:ascii="Times New Roman" w:hAnsi="Times New Roman" w:eastAsia="Times New Roman" w:cs="Times New Roman"/>
          <w:spacing w:val="-1"/>
          <w:sz w:val="24"/>
          <w:szCs w:val="24"/>
          <w:lang w:eastAsia="zh-CN"/>
        </w:rPr>
        <w:t>2</w:t>
      </w:r>
      <w:r>
        <w:rPr>
          <w:rFonts w:ascii="宋体" w:hAnsi="宋体" w:eastAsia="宋体" w:cs="宋体"/>
          <w:spacing w:val="-1"/>
          <w:sz w:val="24"/>
          <w:szCs w:val="24"/>
          <w:lang w:eastAsia="zh-CN"/>
        </w:rPr>
        <w:t>、按照甲方的有关要求，做到定置管理、安全卫生、文明施工、工完场清。</w:t>
      </w:r>
    </w:p>
    <w:p w14:paraId="2E0B5AC9">
      <w:pPr>
        <w:spacing w:before="180" w:line="219" w:lineRule="auto"/>
        <w:jc w:val="right"/>
        <w:rPr>
          <w:rFonts w:ascii="宋体" w:hAnsi="宋体" w:eastAsia="宋体" w:cs="宋体"/>
          <w:sz w:val="24"/>
          <w:szCs w:val="24"/>
          <w:lang w:eastAsia="zh-CN"/>
        </w:rPr>
      </w:pPr>
      <w:r>
        <w:rPr>
          <w:rFonts w:ascii="Times New Roman" w:hAnsi="Times New Roman" w:eastAsia="Times New Roman" w:cs="Times New Roman"/>
          <w:spacing w:val="-3"/>
          <w:sz w:val="24"/>
          <w:szCs w:val="24"/>
          <w:lang w:eastAsia="zh-CN"/>
        </w:rPr>
        <w:t>3</w:t>
      </w:r>
      <w:r>
        <w:rPr>
          <w:rFonts w:ascii="宋体" w:hAnsi="宋体" w:eastAsia="宋体" w:cs="宋体"/>
          <w:spacing w:val="-3"/>
          <w:sz w:val="24"/>
          <w:szCs w:val="24"/>
          <w:lang w:eastAsia="zh-CN"/>
        </w:rPr>
        <w:t>、负责本方和分包方及相关方安全资质的有效性，保</w:t>
      </w:r>
      <w:r>
        <w:rPr>
          <w:rFonts w:ascii="宋体" w:hAnsi="宋体" w:eastAsia="宋体" w:cs="宋体"/>
          <w:spacing w:val="-4"/>
          <w:sz w:val="24"/>
          <w:szCs w:val="24"/>
          <w:lang w:eastAsia="zh-CN"/>
        </w:rPr>
        <w:t>证其人员安全资质的合法性。</w:t>
      </w:r>
    </w:p>
    <w:p w14:paraId="2C133D29">
      <w:pPr>
        <w:spacing w:before="184" w:line="289" w:lineRule="auto"/>
        <w:ind w:left="12" w:right="153" w:firstLine="471"/>
        <w:rPr>
          <w:rFonts w:ascii="宋体" w:hAnsi="宋体" w:eastAsia="宋体" w:cs="宋体"/>
          <w:sz w:val="24"/>
          <w:szCs w:val="24"/>
          <w:lang w:eastAsia="zh-CN"/>
        </w:rPr>
      </w:pPr>
      <w:r>
        <w:rPr>
          <w:rFonts w:ascii="Times New Roman" w:hAnsi="Times New Roman" w:eastAsia="Times New Roman" w:cs="Times New Roman"/>
          <w:spacing w:val="-1"/>
          <w:sz w:val="24"/>
          <w:szCs w:val="24"/>
          <w:lang w:eastAsia="zh-CN"/>
        </w:rPr>
        <w:t>4</w:t>
      </w:r>
      <w:r>
        <w:rPr>
          <w:rFonts w:ascii="宋体" w:hAnsi="宋体" w:eastAsia="宋体" w:cs="宋体"/>
          <w:spacing w:val="-1"/>
          <w:sz w:val="24"/>
          <w:szCs w:val="24"/>
          <w:lang w:eastAsia="zh-CN"/>
        </w:rPr>
        <w:t>、建立健全本方安全、文明施工责任保障体系，负责本项目现场的安全、文明施</w:t>
      </w:r>
      <w:r>
        <w:rPr>
          <w:rFonts w:ascii="宋体" w:hAnsi="宋体" w:eastAsia="宋体" w:cs="宋体"/>
          <w:spacing w:val="-2"/>
          <w:sz w:val="24"/>
          <w:szCs w:val="24"/>
          <w:lang w:eastAsia="zh-CN"/>
        </w:rPr>
        <w:t>工和灾害预防。</w:t>
      </w:r>
    </w:p>
    <w:p w14:paraId="6A2B195D">
      <w:pPr>
        <w:spacing w:before="181" w:line="290" w:lineRule="auto"/>
        <w:ind w:left="11" w:right="153" w:firstLine="480"/>
        <w:rPr>
          <w:rFonts w:ascii="宋体" w:hAnsi="宋体" w:eastAsia="宋体" w:cs="宋体"/>
          <w:sz w:val="24"/>
          <w:szCs w:val="24"/>
          <w:lang w:eastAsia="zh-CN"/>
        </w:rPr>
      </w:pPr>
      <w:r>
        <w:rPr>
          <w:rFonts w:ascii="Times New Roman" w:hAnsi="Times New Roman" w:eastAsia="Times New Roman" w:cs="Times New Roman"/>
          <w:spacing w:val="-1"/>
          <w:sz w:val="24"/>
          <w:szCs w:val="24"/>
          <w:lang w:eastAsia="zh-CN"/>
        </w:rPr>
        <w:t>5</w:t>
      </w:r>
      <w:r>
        <w:rPr>
          <w:rFonts w:ascii="宋体" w:hAnsi="宋体" w:eastAsia="宋体" w:cs="宋体"/>
          <w:spacing w:val="-1"/>
          <w:sz w:val="24"/>
          <w:szCs w:val="24"/>
          <w:lang w:eastAsia="zh-CN"/>
        </w:rPr>
        <w:t>、明确本项目安全、文明施工管理可测量目标，配置与本项目安全、文明</w:t>
      </w:r>
      <w:r>
        <w:rPr>
          <w:rFonts w:ascii="宋体" w:hAnsi="宋体" w:eastAsia="宋体" w:cs="宋体"/>
          <w:spacing w:val="-2"/>
          <w:sz w:val="24"/>
          <w:szCs w:val="24"/>
          <w:lang w:eastAsia="zh-CN"/>
        </w:rPr>
        <w:t>施工要求相适应的人财物资源。</w:t>
      </w:r>
    </w:p>
    <w:p w14:paraId="2FDB29E0">
      <w:pPr>
        <w:spacing w:before="180" w:line="220" w:lineRule="auto"/>
        <w:jc w:val="right"/>
        <w:rPr>
          <w:rFonts w:ascii="宋体" w:hAnsi="宋体" w:eastAsia="宋体" w:cs="宋体"/>
          <w:sz w:val="24"/>
          <w:szCs w:val="24"/>
          <w:lang w:eastAsia="zh-CN"/>
        </w:rPr>
      </w:pPr>
      <w:r>
        <w:rPr>
          <w:rFonts w:ascii="Times New Roman" w:hAnsi="Times New Roman" w:eastAsia="Times New Roman" w:cs="Times New Roman"/>
          <w:spacing w:val="-3"/>
          <w:sz w:val="24"/>
          <w:szCs w:val="24"/>
          <w:lang w:eastAsia="zh-CN"/>
        </w:rPr>
        <w:t>6</w:t>
      </w:r>
      <w:r>
        <w:rPr>
          <w:rFonts w:ascii="宋体" w:hAnsi="宋体" w:eastAsia="宋体" w:cs="宋体"/>
          <w:spacing w:val="-3"/>
          <w:sz w:val="24"/>
          <w:szCs w:val="24"/>
          <w:lang w:eastAsia="zh-CN"/>
        </w:rPr>
        <w:t>、保证施工组织设计和施工安全技术措施的有效落实，组织施工的安全技术交底。</w:t>
      </w:r>
    </w:p>
    <w:p w14:paraId="25B8CDAC">
      <w:pPr>
        <w:spacing w:before="180" w:line="291" w:lineRule="auto"/>
        <w:ind w:left="8" w:right="153" w:firstLine="480"/>
        <w:rPr>
          <w:rFonts w:ascii="宋体" w:hAnsi="宋体" w:eastAsia="宋体" w:cs="宋体"/>
          <w:sz w:val="24"/>
          <w:szCs w:val="24"/>
          <w:lang w:eastAsia="zh-CN"/>
        </w:rPr>
      </w:pPr>
      <w:r>
        <w:rPr>
          <w:rFonts w:ascii="Times New Roman" w:hAnsi="Times New Roman" w:eastAsia="Times New Roman" w:cs="Times New Roman"/>
          <w:spacing w:val="-1"/>
          <w:sz w:val="24"/>
          <w:szCs w:val="24"/>
          <w:lang w:eastAsia="zh-CN"/>
        </w:rPr>
        <w:t>7</w:t>
      </w:r>
      <w:r>
        <w:rPr>
          <w:rFonts w:ascii="宋体" w:hAnsi="宋体" w:eastAsia="宋体" w:cs="宋体"/>
          <w:spacing w:val="-1"/>
          <w:sz w:val="24"/>
          <w:szCs w:val="24"/>
          <w:lang w:eastAsia="zh-CN"/>
        </w:rPr>
        <w:t>、负责组织本方施工现场安全检查和隐患处理，及时解决甲方提出的安全、文明</w:t>
      </w:r>
      <w:r>
        <w:rPr>
          <w:rFonts w:ascii="宋体" w:hAnsi="宋体" w:eastAsia="宋体" w:cs="宋体"/>
          <w:spacing w:val="-2"/>
          <w:sz w:val="24"/>
          <w:szCs w:val="24"/>
          <w:lang w:eastAsia="zh-CN"/>
        </w:rPr>
        <w:t>施工问题。</w:t>
      </w:r>
    </w:p>
    <w:p w14:paraId="2B2EE4DF">
      <w:pPr>
        <w:spacing w:before="176" w:line="290" w:lineRule="auto"/>
        <w:ind w:left="29" w:right="153" w:firstLine="465"/>
        <w:rPr>
          <w:rFonts w:ascii="宋体" w:hAnsi="宋体" w:eastAsia="宋体" w:cs="宋体"/>
          <w:sz w:val="24"/>
          <w:szCs w:val="24"/>
          <w:lang w:eastAsia="zh-CN"/>
        </w:rPr>
      </w:pPr>
      <w:r>
        <w:rPr>
          <w:rFonts w:ascii="Times New Roman" w:hAnsi="Times New Roman" w:eastAsia="Times New Roman" w:cs="Times New Roman"/>
          <w:spacing w:val="-1"/>
          <w:sz w:val="24"/>
          <w:szCs w:val="24"/>
          <w:lang w:eastAsia="zh-CN"/>
        </w:rPr>
        <w:t>8</w:t>
      </w:r>
      <w:r>
        <w:rPr>
          <w:rFonts w:ascii="宋体" w:hAnsi="宋体" w:eastAsia="宋体" w:cs="宋体"/>
          <w:spacing w:val="-1"/>
          <w:sz w:val="24"/>
          <w:szCs w:val="24"/>
          <w:lang w:eastAsia="zh-CN"/>
        </w:rPr>
        <w:t>、负责对分包方及相关方施工现场的安全、文明施工管理，组织本</w:t>
      </w:r>
      <w:r>
        <w:rPr>
          <w:rFonts w:ascii="宋体" w:hAnsi="宋体" w:eastAsia="宋体" w:cs="宋体"/>
          <w:spacing w:val="-2"/>
          <w:sz w:val="24"/>
          <w:szCs w:val="24"/>
          <w:lang w:eastAsia="zh-CN"/>
        </w:rPr>
        <w:t>方人员、民工</w:t>
      </w:r>
      <w:r>
        <w:rPr>
          <w:rFonts w:ascii="宋体" w:hAnsi="宋体" w:eastAsia="宋体" w:cs="宋体"/>
          <w:spacing w:val="-5"/>
          <w:sz w:val="24"/>
          <w:szCs w:val="24"/>
          <w:lang w:eastAsia="zh-CN"/>
        </w:rPr>
        <w:t>的安全教育。</w:t>
      </w:r>
    </w:p>
    <w:p w14:paraId="6533715E">
      <w:pPr>
        <w:spacing w:before="183" w:line="289" w:lineRule="auto"/>
        <w:ind w:left="10" w:right="153" w:firstLine="479"/>
        <w:rPr>
          <w:rFonts w:ascii="宋体" w:hAnsi="宋体" w:eastAsia="宋体" w:cs="宋体"/>
          <w:sz w:val="24"/>
          <w:szCs w:val="24"/>
          <w:lang w:eastAsia="zh-CN"/>
        </w:rPr>
      </w:pPr>
      <w:r>
        <w:rPr>
          <w:rFonts w:ascii="Times New Roman" w:hAnsi="Times New Roman" w:eastAsia="Times New Roman" w:cs="Times New Roman"/>
          <w:spacing w:val="-1"/>
          <w:sz w:val="24"/>
          <w:szCs w:val="24"/>
          <w:lang w:eastAsia="zh-CN"/>
        </w:rPr>
        <w:t>9</w:t>
      </w:r>
      <w:r>
        <w:rPr>
          <w:rFonts w:ascii="宋体" w:hAnsi="宋体" w:eastAsia="宋体" w:cs="宋体"/>
          <w:spacing w:val="-1"/>
          <w:sz w:val="24"/>
          <w:szCs w:val="24"/>
          <w:lang w:eastAsia="zh-CN"/>
        </w:rPr>
        <w:t>、负责本方安全、文明施工事项的内部沟通，确保各项安全、文明施工管理事项</w:t>
      </w:r>
      <w:r>
        <w:rPr>
          <w:rFonts w:ascii="宋体" w:hAnsi="宋体" w:eastAsia="宋体" w:cs="宋体"/>
          <w:spacing w:val="-2"/>
          <w:sz w:val="24"/>
          <w:szCs w:val="24"/>
          <w:lang w:eastAsia="zh-CN"/>
        </w:rPr>
        <w:t>和活动记载的真实性。</w:t>
      </w:r>
    </w:p>
    <w:p w14:paraId="19E84E69">
      <w:pPr>
        <w:spacing w:before="181" w:line="219" w:lineRule="auto"/>
        <w:ind w:right="33"/>
        <w:jc w:val="right"/>
        <w:rPr>
          <w:rFonts w:ascii="宋体" w:hAnsi="宋体" w:eastAsia="宋体" w:cs="宋体"/>
          <w:sz w:val="24"/>
          <w:szCs w:val="24"/>
          <w:lang w:eastAsia="zh-CN"/>
        </w:rPr>
      </w:pPr>
      <w:r>
        <w:rPr>
          <w:rFonts w:ascii="Times New Roman" w:hAnsi="Times New Roman" w:eastAsia="Times New Roman" w:cs="Times New Roman"/>
          <w:spacing w:val="-2"/>
          <w:sz w:val="24"/>
          <w:szCs w:val="24"/>
          <w:lang w:eastAsia="zh-CN"/>
        </w:rPr>
        <w:t>10</w:t>
      </w:r>
      <w:r>
        <w:rPr>
          <w:rFonts w:ascii="宋体" w:hAnsi="宋体" w:eastAsia="宋体" w:cs="宋体"/>
          <w:spacing w:val="-2"/>
          <w:sz w:val="24"/>
          <w:szCs w:val="24"/>
          <w:lang w:eastAsia="zh-CN"/>
        </w:rPr>
        <w:t>、负责事故抢救和报告及事故现场保护，按规定进行调查处理和防范措施落实。</w:t>
      </w:r>
    </w:p>
    <w:p w14:paraId="1FA85031">
      <w:pPr>
        <w:spacing w:before="181" w:line="220" w:lineRule="auto"/>
        <w:ind w:left="493"/>
        <w:outlineLvl w:val="2"/>
        <w:rPr>
          <w:rFonts w:ascii="宋体" w:hAnsi="宋体" w:eastAsia="宋体" w:cs="宋体"/>
          <w:sz w:val="24"/>
          <w:szCs w:val="24"/>
          <w:lang w:eastAsia="zh-CN"/>
        </w:rPr>
      </w:pPr>
      <w:r>
        <w:rPr>
          <w:rFonts w:ascii="宋体" w:hAnsi="宋体" w:eastAsia="宋体" w:cs="宋体"/>
          <w:spacing w:val="-2"/>
          <w:sz w:val="24"/>
          <w:szCs w:val="24"/>
          <w:lang w:eastAsia="zh-CN"/>
        </w:rPr>
        <w:t>五、事故责任和损失承担：</w:t>
      </w:r>
    </w:p>
    <w:p w14:paraId="1C9C8001">
      <w:pPr>
        <w:spacing w:before="180" w:line="290" w:lineRule="auto"/>
        <w:ind w:left="10" w:right="153" w:firstLine="497"/>
        <w:rPr>
          <w:rFonts w:ascii="宋体" w:hAnsi="宋体" w:eastAsia="宋体" w:cs="宋体"/>
          <w:sz w:val="24"/>
          <w:szCs w:val="24"/>
          <w:lang w:eastAsia="zh-CN"/>
        </w:rPr>
      </w:pPr>
      <w:r>
        <w:rPr>
          <w:rFonts w:ascii="Times New Roman" w:hAnsi="Times New Roman" w:eastAsia="Times New Roman" w:cs="Times New Roman"/>
          <w:spacing w:val="-2"/>
          <w:sz w:val="24"/>
          <w:szCs w:val="24"/>
          <w:lang w:eastAsia="zh-CN"/>
        </w:rPr>
        <w:t>1</w:t>
      </w:r>
      <w:r>
        <w:rPr>
          <w:rFonts w:ascii="宋体" w:hAnsi="宋体" w:eastAsia="宋体" w:cs="宋体"/>
          <w:spacing w:val="-2"/>
          <w:sz w:val="24"/>
          <w:szCs w:val="24"/>
          <w:lang w:eastAsia="zh-CN"/>
        </w:rPr>
        <w:t>、乙方承担施工风险和法律责任，包括事故调查和善后处理的全部义务。乙方承</w:t>
      </w:r>
      <w:r>
        <w:rPr>
          <w:rFonts w:ascii="宋体" w:hAnsi="宋体" w:eastAsia="宋体" w:cs="宋体"/>
          <w:spacing w:val="-1"/>
          <w:sz w:val="24"/>
          <w:szCs w:val="24"/>
          <w:lang w:eastAsia="zh-CN"/>
        </w:rPr>
        <w:t>担分包方原因造成的事故责任，包括涉及的连带责任和损失费用。</w:t>
      </w:r>
    </w:p>
    <w:p w14:paraId="439AA31F">
      <w:pPr>
        <w:spacing w:before="182" w:line="219" w:lineRule="auto"/>
        <w:ind w:left="485"/>
        <w:rPr>
          <w:rFonts w:ascii="宋体" w:hAnsi="宋体" w:eastAsia="宋体" w:cs="宋体"/>
          <w:sz w:val="24"/>
          <w:szCs w:val="24"/>
          <w:lang w:eastAsia="zh-CN"/>
        </w:rPr>
      </w:pPr>
      <w:r>
        <w:rPr>
          <w:rFonts w:ascii="Times New Roman" w:hAnsi="Times New Roman" w:eastAsia="Times New Roman" w:cs="Times New Roman"/>
          <w:spacing w:val="-1"/>
          <w:sz w:val="24"/>
          <w:szCs w:val="24"/>
          <w:lang w:eastAsia="zh-CN"/>
        </w:rPr>
        <w:t>2</w:t>
      </w:r>
      <w:r>
        <w:rPr>
          <w:rFonts w:ascii="宋体" w:hAnsi="宋体" w:eastAsia="宋体" w:cs="宋体"/>
          <w:spacing w:val="-1"/>
          <w:sz w:val="24"/>
          <w:szCs w:val="24"/>
          <w:lang w:eastAsia="zh-CN"/>
        </w:rPr>
        <w:t>、因本项目出现的一切安全事故和造成的人员、财产损失全部由乙方承担。</w:t>
      </w:r>
    </w:p>
    <w:p w14:paraId="77B88B44">
      <w:pPr>
        <w:spacing w:before="181" w:line="220" w:lineRule="auto"/>
        <w:ind w:left="490"/>
        <w:rPr>
          <w:rFonts w:ascii="宋体" w:hAnsi="宋体" w:eastAsia="宋体" w:cs="宋体"/>
          <w:sz w:val="24"/>
          <w:szCs w:val="24"/>
          <w:lang w:eastAsia="zh-CN"/>
        </w:rPr>
      </w:pPr>
      <w:r>
        <w:rPr>
          <w:rFonts w:ascii="Times New Roman" w:hAnsi="Times New Roman" w:eastAsia="Times New Roman" w:cs="Times New Roman"/>
          <w:spacing w:val="-3"/>
          <w:sz w:val="24"/>
          <w:szCs w:val="24"/>
          <w:lang w:eastAsia="zh-CN"/>
        </w:rPr>
        <w:t>3</w:t>
      </w:r>
      <w:r>
        <w:rPr>
          <w:rFonts w:ascii="宋体" w:hAnsi="宋体" w:eastAsia="宋体" w:cs="宋体"/>
          <w:spacing w:val="-3"/>
          <w:sz w:val="24"/>
          <w:szCs w:val="24"/>
          <w:lang w:eastAsia="zh-CN"/>
        </w:rPr>
        <w:t>、损害赔偿按照国家有关规定执行。</w:t>
      </w:r>
    </w:p>
    <w:p w14:paraId="32C9436D">
      <w:pPr>
        <w:spacing w:before="182" w:line="289" w:lineRule="auto"/>
        <w:ind w:left="14" w:right="81" w:firstLine="477"/>
        <w:rPr>
          <w:rFonts w:ascii="宋体" w:hAnsi="宋体" w:eastAsia="宋体" w:cs="宋体"/>
          <w:sz w:val="24"/>
          <w:szCs w:val="24"/>
          <w:lang w:eastAsia="zh-CN"/>
        </w:rPr>
      </w:pPr>
      <w:r>
        <w:rPr>
          <w:rFonts w:ascii="宋体" w:hAnsi="宋体" w:eastAsia="宋体" w:cs="宋体"/>
          <w:spacing w:val="-2"/>
          <w:sz w:val="24"/>
          <w:szCs w:val="24"/>
          <w:lang w:eastAsia="zh-CN"/>
        </w:rPr>
        <w:t>六、乙方按照现行相关法律法规之要求建立现场安全及文明施工管理体系，如发生</w:t>
      </w:r>
      <w:r>
        <w:rPr>
          <w:rFonts w:ascii="宋体" w:hAnsi="宋体" w:eastAsia="宋体" w:cs="宋体"/>
          <w:spacing w:val="-1"/>
          <w:sz w:val="24"/>
          <w:szCs w:val="24"/>
          <w:lang w:eastAsia="zh-CN"/>
        </w:rPr>
        <w:t>安全事故时按现行相关法律法规执行。</w:t>
      </w:r>
    </w:p>
    <w:p w14:paraId="6D8DBE4E">
      <w:pPr>
        <w:spacing w:before="181" w:line="313" w:lineRule="auto"/>
        <w:ind w:left="9" w:right="81" w:firstLine="479"/>
        <w:rPr>
          <w:rFonts w:ascii="宋体" w:hAnsi="宋体" w:eastAsia="宋体" w:cs="宋体"/>
          <w:sz w:val="24"/>
          <w:szCs w:val="24"/>
          <w:lang w:eastAsia="zh-CN"/>
        </w:rPr>
      </w:pPr>
      <w:r>
        <w:rPr>
          <w:rFonts w:ascii="宋体" w:hAnsi="宋体" w:eastAsia="宋体" w:cs="宋体"/>
          <w:spacing w:val="-3"/>
          <w:sz w:val="24"/>
          <w:szCs w:val="24"/>
          <w:lang w:eastAsia="zh-CN"/>
        </w:rPr>
        <w:t>七、乙方责任安全目标是：人员工亡事故为</w:t>
      </w:r>
      <w:r>
        <w:rPr>
          <w:rFonts w:ascii="Times New Roman" w:hAnsi="Times New Roman" w:eastAsia="Times New Roman" w:cs="Times New Roman"/>
          <w:spacing w:val="-3"/>
          <w:sz w:val="24"/>
          <w:szCs w:val="24"/>
          <w:lang w:eastAsia="zh-CN"/>
        </w:rPr>
        <w:t>0</w:t>
      </w:r>
      <w:r>
        <w:rPr>
          <w:rFonts w:ascii="宋体" w:hAnsi="宋体" w:eastAsia="宋体" w:cs="宋体"/>
          <w:spacing w:val="-3"/>
          <w:sz w:val="24"/>
          <w:szCs w:val="24"/>
          <w:lang w:eastAsia="zh-CN"/>
        </w:rPr>
        <w:t>，重大机械设备事故为</w:t>
      </w:r>
      <w:r>
        <w:rPr>
          <w:rFonts w:ascii="Times New Roman" w:hAnsi="Times New Roman" w:eastAsia="Times New Roman" w:cs="Times New Roman"/>
          <w:spacing w:val="-3"/>
          <w:sz w:val="24"/>
          <w:szCs w:val="24"/>
          <w:lang w:eastAsia="zh-CN"/>
        </w:rPr>
        <w:t>0</w:t>
      </w:r>
      <w:r>
        <w:rPr>
          <w:rFonts w:ascii="宋体" w:hAnsi="宋体" w:eastAsia="宋体" w:cs="宋体"/>
          <w:spacing w:val="-3"/>
          <w:sz w:val="24"/>
          <w:szCs w:val="24"/>
          <w:lang w:eastAsia="zh-CN"/>
        </w:rPr>
        <w:t>，重大火灾交</w:t>
      </w:r>
      <w:r>
        <w:rPr>
          <w:rFonts w:ascii="宋体" w:hAnsi="宋体" w:eastAsia="宋体" w:cs="宋体"/>
          <w:spacing w:val="-1"/>
          <w:sz w:val="24"/>
          <w:szCs w:val="24"/>
          <w:lang w:eastAsia="zh-CN"/>
        </w:rPr>
        <w:t>通事故为</w:t>
      </w:r>
      <w:r>
        <w:rPr>
          <w:rFonts w:ascii="Times New Roman" w:hAnsi="Times New Roman" w:eastAsia="Times New Roman" w:cs="Times New Roman"/>
          <w:spacing w:val="-1"/>
          <w:sz w:val="24"/>
          <w:szCs w:val="24"/>
          <w:lang w:eastAsia="zh-CN"/>
        </w:rPr>
        <w:t>0</w:t>
      </w:r>
      <w:r>
        <w:rPr>
          <w:rFonts w:ascii="宋体" w:hAnsi="宋体" w:eastAsia="宋体" w:cs="宋体"/>
          <w:spacing w:val="-1"/>
          <w:sz w:val="24"/>
          <w:szCs w:val="24"/>
          <w:lang w:eastAsia="zh-CN"/>
        </w:rPr>
        <w:t>，创无重大事故项目。每月末甲方对乙方现场及安全施工进行考评，按考评</w:t>
      </w:r>
      <w:r>
        <w:rPr>
          <w:rFonts w:ascii="宋体" w:hAnsi="宋体" w:eastAsia="宋体" w:cs="宋体"/>
          <w:sz w:val="24"/>
          <w:szCs w:val="24"/>
          <w:lang w:eastAsia="zh-CN"/>
        </w:rPr>
        <w:t xml:space="preserve"> 结果进行奖惩，奖惩办法见甲方另行制定的《项目建设期</w:t>
      </w:r>
      <w:r>
        <w:rPr>
          <w:rFonts w:ascii="宋体" w:hAnsi="宋体" w:eastAsia="宋体" w:cs="宋体"/>
          <w:spacing w:val="-1"/>
          <w:sz w:val="24"/>
          <w:szCs w:val="24"/>
          <w:lang w:eastAsia="zh-CN"/>
        </w:rPr>
        <w:t>间施工企业考评办法》。</w:t>
      </w:r>
    </w:p>
    <w:p w14:paraId="7EDF66C1">
      <w:pPr>
        <w:spacing w:before="180" w:line="290" w:lineRule="auto"/>
        <w:ind w:left="10" w:right="81" w:firstLine="482"/>
        <w:rPr>
          <w:rFonts w:ascii="宋体" w:hAnsi="宋体" w:eastAsia="宋体" w:cs="宋体"/>
          <w:sz w:val="24"/>
          <w:szCs w:val="24"/>
          <w:lang w:eastAsia="zh-CN"/>
        </w:rPr>
      </w:pPr>
      <w:r>
        <w:rPr>
          <w:rFonts w:ascii="宋体" w:hAnsi="宋体" w:eastAsia="宋体" w:cs="宋体"/>
          <w:spacing w:val="-2"/>
          <w:sz w:val="24"/>
          <w:szCs w:val="24"/>
          <w:lang w:eastAsia="zh-CN"/>
        </w:rPr>
        <w:t>八、本协议为双方《施工合同》相关安全施工条款的补充文件，在项目承包范围和</w:t>
      </w:r>
      <w:r>
        <w:rPr>
          <w:rFonts w:ascii="宋体" w:hAnsi="宋体" w:eastAsia="宋体" w:cs="宋体"/>
          <w:spacing w:val="-1"/>
          <w:sz w:val="24"/>
          <w:szCs w:val="24"/>
          <w:lang w:eastAsia="zh-CN"/>
        </w:rPr>
        <w:t>合同期限内，同等有效。</w:t>
      </w:r>
    </w:p>
    <w:p w14:paraId="502EEE4D">
      <w:pPr>
        <w:spacing w:before="180" w:line="219" w:lineRule="auto"/>
        <w:ind w:left="490"/>
        <w:rPr>
          <w:rFonts w:ascii="宋体" w:hAnsi="宋体" w:eastAsia="宋体" w:cs="宋体"/>
          <w:sz w:val="24"/>
          <w:szCs w:val="24"/>
          <w:lang w:eastAsia="zh-CN"/>
        </w:rPr>
      </w:pPr>
      <w:r>
        <w:rPr>
          <w:rFonts w:ascii="宋体" w:hAnsi="宋体" w:eastAsia="宋体" w:cs="宋体"/>
          <w:spacing w:val="-2"/>
          <w:sz w:val="24"/>
          <w:szCs w:val="24"/>
          <w:lang w:eastAsia="zh-CN"/>
        </w:rPr>
        <w:t>本协议在执行中修订的条款内容和补充的事项，经协商后形成的文件均属本协议的</w:t>
      </w:r>
    </w:p>
    <w:p w14:paraId="00B89567">
      <w:pPr>
        <w:spacing w:line="219" w:lineRule="auto"/>
        <w:rPr>
          <w:rFonts w:ascii="宋体" w:hAnsi="宋体" w:eastAsia="宋体" w:cs="宋体"/>
          <w:sz w:val="24"/>
          <w:szCs w:val="24"/>
          <w:lang w:eastAsia="zh-CN"/>
        </w:rPr>
        <w:sectPr>
          <w:headerReference r:id="rId15" w:type="default"/>
          <w:footerReference r:id="rId16" w:type="default"/>
          <w:pgSz w:w="11907" w:h="16840"/>
          <w:pgMar w:top="1297" w:right="1052" w:bottom="1029" w:left="1701" w:header="1283" w:footer="850" w:gutter="0"/>
          <w:pgNumType w:fmt="decimal"/>
          <w:cols w:space="720" w:num="1"/>
        </w:sectPr>
      </w:pPr>
    </w:p>
    <w:p w14:paraId="1B450198">
      <w:pPr>
        <w:spacing w:before="155" w:line="220" w:lineRule="auto"/>
        <w:ind w:left="10"/>
        <w:rPr>
          <w:rFonts w:ascii="宋体" w:hAnsi="宋体" w:eastAsia="宋体" w:cs="宋体"/>
          <w:sz w:val="24"/>
          <w:szCs w:val="24"/>
          <w:lang w:eastAsia="zh-CN"/>
        </w:rPr>
      </w:pPr>
      <w:r>
        <w:rPr>
          <w:rFonts w:ascii="宋体" w:hAnsi="宋体" w:eastAsia="宋体" w:cs="宋体"/>
          <w:spacing w:val="-3"/>
          <w:sz w:val="24"/>
          <w:szCs w:val="24"/>
          <w:lang w:eastAsia="zh-CN"/>
        </w:rPr>
        <w:t>有效部分。</w:t>
      </w:r>
    </w:p>
    <w:p w14:paraId="747C9D3F">
      <w:pPr>
        <w:spacing w:before="178" w:line="347" w:lineRule="auto"/>
        <w:ind w:left="29" w:firstLine="461"/>
        <w:rPr>
          <w:rFonts w:ascii="宋体" w:hAnsi="宋体" w:eastAsia="宋体" w:cs="宋体"/>
          <w:sz w:val="24"/>
          <w:szCs w:val="24"/>
          <w:lang w:eastAsia="zh-CN"/>
        </w:rPr>
      </w:pPr>
      <w:r>
        <w:rPr>
          <w:rFonts w:ascii="宋体" w:hAnsi="宋体" w:eastAsia="宋体" w:cs="宋体"/>
          <w:spacing w:val="-2"/>
          <w:sz w:val="24"/>
          <w:szCs w:val="24"/>
          <w:lang w:eastAsia="zh-CN"/>
        </w:rPr>
        <w:t>本协议不代替双方应办理开工的其它手续，不能免除责任方对事故或问题应被追究</w:t>
      </w:r>
      <w:r>
        <w:rPr>
          <w:rFonts w:ascii="宋体" w:hAnsi="宋体" w:eastAsia="宋体" w:cs="宋体"/>
          <w:spacing w:val="-5"/>
          <w:sz w:val="24"/>
          <w:szCs w:val="24"/>
          <w:lang w:eastAsia="zh-CN"/>
        </w:rPr>
        <w:t>的任何责任。</w:t>
      </w:r>
    </w:p>
    <w:p w14:paraId="1489627E">
      <w:pPr>
        <w:spacing w:before="35" w:line="346" w:lineRule="auto"/>
        <w:ind w:left="492" w:right="6252" w:firstLine="2"/>
        <w:rPr>
          <w:rFonts w:ascii="宋体" w:hAnsi="宋体" w:eastAsia="宋体" w:cs="宋体"/>
          <w:sz w:val="24"/>
          <w:szCs w:val="24"/>
          <w:lang w:eastAsia="zh-CN"/>
        </w:rPr>
      </w:pPr>
      <w:r>
        <w:rPr>
          <w:rFonts w:ascii="宋体" w:hAnsi="宋体" w:eastAsia="宋体" w:cs="宋体"/>
          <w:spacing w:val="-8"/>
          <w:sz w:val="24"/>
          <w:szCs w:val="24"/>
          <w:lang w:eastAsia="zh-CN"/>
        </w:rPr>
        <w:t>九、本协议订立时间：</w:t>
      </w:r>
      <w:r>
        <w:rPr>
          <w:rFonts w:ascii="宋体" w:hAnsi="宋体" w:eastAsia="宋体" w:cs="宋体"/>
          <w:spacing w:val="-3"/>
          <w:sz w:val="24"/>
          <w:szCs w:val="24"/>
          <w:lang w:eastAsia="zh-CN"/>
        </w:rPr>
        <w:t>订立地点：</w:t>
      </w:r>
    </w:p>
    <w:p w14:paraId="46E0BAE3">
      <w:pPr>
        <w:spacing w:before="33" w:line="219" w:lineRule="auto"/>
        <w:ind w:left="490"/>
        <w:rPr>
          <w:rFonts w:ascii="宋体" w:hAnsi="宋体" w:eastAsia="宋体" w:cs="宋体"/>
          <w:sz w:val="24"/>
          <w:szCs w:val="24"/>
          <w:lang w:eastAsia="zh-CN"/>
        </w:rPr>
      </w:pPr>
      <w:r>
        <w:rPr>
          <w:rFonts w:ascii="宋体" w:hAnsi="宋体" w:eastAsia="宋体" w:cs="宋体"/>
          <w:spacing w:val="-1"/>
          <w:sz w:val="24"/>
          <w:szCs w:val="24"/>
          <w:lang w:eastAsia="zh-CN"/>
        </w:rPr>
        <w:t>本协议双方约定：双方签字（或签章）并加盖单位公章后生效。</w:t>
      </w:r>
    </w:p>
    <w:p w14:paraId="48D59D9A">
      <w:pPr>
        <w:pStyle w:val="17"/>
        <w:spacing w:line="257" w:lineRule="auto"/>
        <w:rPr>
          <w:lang w:eastAsia="zh-CN"/>
        </w:rPr>
      </w:pPr>
    </w:p>
    <w:p w14:paraId="7E124B45">
      <w:pPr>
        <w:pStyle w:val="17"/>
        <w:spacing w:line="257" w:lineRule="auto"/>
        <w:rPr>
          <w:lang w:eastAsia="zh-CN"/>
        </w:rPr>
      </w:pPr>
    </w:p>
    <w:p w14:paraId="6B28895B">
      <w:pPr>
        <w:spacing w:before="79" w:line="219" w:lineRule="auto"/>
        <w:ind w:left="508"/>
        <w:rPr>
          <w:rFonts w:ascii="宋体" w:hAnsi="宋体" w:eastAsia="宋体" w:cs="宋体"/>
          <w:sz w:val="24"/>
          <w:szCs w:val="24"/>
          <w:lang w:eastAsia="zh-CN"/>
        </w:rPr>
      </w:pPr>
      <w:r>
        <w:rPr>
          <w:rFonts w:ascii="宋体" w:hAnsi="宋体" w:eastAsia="宋体" w:cs="宋体"/>
          <w:spacing w:val="-3"/>
          <w:sz w:val="24"/>
          <w:szCs w:val="24"/>
          <w:lang w:eastAsia="zh-CN"/>
        </w:rPr>
        <w:t>附：乙方安全生产承诺书</w:t>
      </w:r>
    </w:p>
    <w:p w14:paraId="463D6CAB">
      <w:pPr>
        <w:pStyle w:val="17"/>
        <w:spacing w:line="257" w:lineRule="auto"/>
        <w:rPr>
          <w:lang w:eastAsia="zh-CN"/>
        </w:rPr>
      </w:pPr>
    </w:p>
    <w:p w14:paraId="790008F8">
      <w:pPr>
        <w:pStyle w:val="17"/>
        <w:spacing w:line="257" w:lineRule="auto"/>
        <w:rPr>
          <w:lang w:eastAsia="zh-CN"/>
        </w:rPr>
      </w:pPr>
    </w:p>
    <w:p w14:paraId="55A6D7BD">
      <w:pPr>
        <w:spacing w:before="79" w:line="219" w:lineRule="auto"/>
        <w:ind w:left="520"/>
        <w:rPr>
          <w:rFonts w:ascii="宋体" w:hAnsi="宋体" w:eastAsia="宋体" w:cs="宋体"/>
          <w:sz w:val="24"/>
          <w:szCs w:val="24"/>
        </w:rPr>
      </w:pPr>
      <w:r>
        <w:rPr>
          <w:rFonts w:ascii="宋体" w:hAnsi="宋体" w:eastAsia="宋体" w:cs="宋体"/>
          <w:spacing w:val="1"/>
          <w:sz w:val="24"/>
          <w:szCs w:val="24"/>
        </w:rPr>
        <w:t>甲方</w:t>
      </w:r>
      <w:r>
        <w:rPr>
          <w:rFonts w:ascii="宋体" w:hAnsi="宋体" w:eastAsia="宋体" w:cs="宋体"/>
          <w:spacing w:val="-18"/>
          <w:sz w:val="24"/>
          <w:szCs w:val="24"/>
        </w:rPr>
        <w:t>：（</w:t>
      </w:r>
      <w:r>
        <w:rPr>
          <w:rFonts w:ascii="宋体" w:hAnsi="宋体" w:eastAsia="宋体" w:cs="宋体"/>
          <w:spacing w:val="1"/>
          <w:sz w:val="24"/>
          <w:szCs w:val="24"/>
        </w:rPr>
        <w:t>公章）                 乙方</w:t>
      </w:r>
      <w:r>
        <w:rPr>
          <w:rFonts w:ascii="宋体" w:hAnsi="宋体" w:eastAsia="宋体" w:cs="宋体"/>
          <w:spacing w:val="-18"/>
          <w:sz w:val="24"/>
          <w:szCs w:val="24"/>
        </w:rPr>
        <w:t>：（</w:t>
      </w:r>
      <w:r>
        <w:rPr>
          <w:rFonts w:ascii="宋体" w:hAnsi="宋体" w:eastAsia="宋体" w:cs="宋体"/>
          <w:spacing w:val="1"/>
          <w:sz w:val="24"/>
          <w:szCs w:val="24"/>
        </w:rPr>
        <w:t>公章）</w:t>
      </w:r>
    </w:p>
    <w:p w14:paraId="51A833ED">
      <w:pPr>
        <w:pStyle w:val="17"/>
        <w:spacing w:line="257" w:lineRule="auto"/>
      </w:pPr>
    </w:p>
    <w:p w14:paraId="095987FF">
      <w:pPr>
        <w:pStyle w:val="17"/>
        <w:spacing w:line="257" w:lineRule="auto"/>
      </w:pPr>
    </w:p>
    <w:p w14:paraId="719A0CA6">
      <w:pPr>
        <w:spacing w:before="79" w:line="219" w:lineRule="auto"/>
        <w:ind w:left="490"/>
        <w:rPr>
          <w:rFonts w:ascii="宋体" w:hAnsi="宋体" w:eastAsia="宋体" w:cs="宋体"/>
          <w:sz w:val="24"/>
          <w:szCs w:val="24"/>
          <w:lang w:eastAsia="zh-CN"/>
        </w:rPr>
      </w:pPr>
      <w:r>
        <w:rPr>
          <w:rFonts w:ascii="宋体" w:hAnsi="宋体" w:eastAsia="宋体" w:cs="宋体"/>
          <w:spacing w:val="2"/>
          <w:sz w:val="24"/>
          <w:szCs w:val="24"/>
          <w:lang w:eastAsia="zh-CN"/>
        </w:rPr>
        <w:t>法定代表人</w:t>
      </w:r>
      <w:r>
        <w:rPr>
          <w:rFonts w:ascii="宋体" w:hAnsi="宋体" w:eastAsia="宋体" w:cs="宋体"/>
          <w:spacing w:val="-17"/>
          <w:sz w:val="24"/>
          <w:szCs w:val="24"/>
          <w:lang w:eastAsia="zh-CN"/>
        </w:rPr>
        <w:t>：（</w:t>
      </w:r>
      <w:r>
        <w:rPr>
          <w:rFonts w:ascii="宋体" w:hAnsi="宋体" w:eastAsia="宋体" w:cs="宋体"/>
          <w:spacing w:val="2"/>
          <w:sz w:val="24"/>
          <w:szCs w:val="24"/>
          <w:lang w:eastAsia="zh-CN"/>
        </w:rPr>
        <w:t>签字或签章）      法定代表人</w:t>
      </w:r>
      <w:r>
        <w:rPr>
          <w:rFonts w:ascii="宋体" w:hAnsi="宋体" w:eastAsia="宋体" w:cs="宋体"/>
          <w:spacing w:val="-17"/>
          <w:sz w:val="24"/>
          <w:szCs w:val="24"/>
          <w:lang w:eastAsia="zh-CN"/>
        </w:rPr>
        <w:t>：（</w:t>
      </w:r>
      <w:r>
        <w:rPr>
          <w:rFonts w:ascii="宋体" w:hAnsi="宋体" w:eastAsia="宋体" w:cs="宋体"/>
          <w:spacing w:val="2"/>
          <w:sz w:val="24"/>
          <w:szCs w:val="24"/>
          <w:lang w:eastAsia="zh-CN"/>
        </w:rPr>
        <w:t>签字或签章）</w:t>
      </w:r>
    </w:p>
    <w:p w14:paraId="526DF3D7">
      <w:pPr>
        <w:pStyle w:val="17"/>
        <w:spacing w:line="257" w:lineRule="auto"/>
        <w:rPr>
          <w:lang w:eastAsia="zh-CN"/>
        </w:rPr>
      </w:pPr>
    </w:p>
    <w:p w14:paraId="1DB59EC6">
      <w:pPr>
        <w:pStyle w:val="17"/>
        <w:spacing w:line="257" w:lineRule="auto"/>
        <w:rPr>
          <w:lang w:eastAsia="zh-CN"/>
        </w:rPr>
      </w:pPr>
    </w:p>
    <w:p w14:paraId="3B6EF151">
      <w:pPr>
        <w:spacing w:before="79" w:line="219" w:lineRule="auto"/>
        <w:ind w:left="492"/>
        <w:rPr>
          <w:rFonts w:ascii="宋体" w:hAnsi="宋体" w:eastAsia="宋体" w:cs="宋体"/>
          <w:sz w:val="24"/>
          <w:szCs w:val="24"/>
          <w:lang w:eastAsia="zh-CN"/>
        </w:rPr>
      </w:pPr>
      <w:r>
        <w:rPr>
          <w:rFonts w:ascii="宋体" w:hAnsi="宋体" w:eastAsia="宋体" w:cs="宋体"/>
          <w:spacing w:val="2"/>
          <w:sz w:val="24"/>
          <w:szCs w:val="24"/>
          <w:lang w:eastAsia="zh-CN"/>
        </w:rPr>
        <w:t>或委托代理人</w:t>
      </w:r>
      <w:r>
        <w:rPr>
          <w:rFonts w:ascii="宋体" w:hAnsi="宋体" w:eastAsia="宋体" w:cs="宋体"/>
          <w:spacing w:val="-18"/>
          <w:sz w:val="24"/>
          <w:szCs w:val="24"/>
          <w:lang w:eastAsia="zh-CN"/>
        </w:rPr>
        <w:t>：（</w:t>
      </w:r>
      <w:r>
        <w:rPr>
          <w:rFonts w:ascii="宋体" w:hAnsi="宋体" w:eastAsia="宋体" w:cs="宋体"/>
          <w:spacing w:val="2"/>
          <w:sz w:val="24"/>
          <w:szCs w:val="24"/>
          <w:lang w:eastAsia="zh-CN"/>
        </w:rPr>
        <w:t>签字或签章）    或委托代理人</w:t>
      </w:r>
      <w:r>
        <w:rPr>
          <w:rFonts w:ascii="宋体" w:hAnsi="宋体" w:eastAsia="宋体" w:cs="宋体"/>
          <w:spacing w:val="-18"/>
          <w:sz w:val="24"/>
          <w:szCs w:val="24"/>
          <w:lang w:eastAsia="zh-CN"/>
        </w:rPr>
        <w:t>：（</w:t>
      </w:r>
      <w:r>
        <w:rPr>
          <w:rFonts w:ascii="宋体" w:hAnsi="宋体" w:eastAsia="宋体" w:cs="宋体"/>
          <w:spacing w:val="2"/>
          <w:sz w:val="24"/>
          <w:szCs w:val="24"/>
          <w:lang w:eastAsia="zh-CN"/>
        </w:rPr>
        <w:t>签字或签章）</w:t>
      </w:r>
    </w:p>
    <w:p w14:paraId="1CFB1566">
      <w:pPr>
        <w:spacing w:line="219" w:lineRule="auto"/>
        <w:rPr>
          <w:rFonts w:ascii="宋体" w:hAnsi="宋体" w:eastAsia="宋体" w:cs="宋体"/>
          <w:sz w:val="24"/>
          <w:szCs w:val="24"/>
          <w:lang w:eastAsia="zh-CN"/>
        </w:rPr>
        <w:sectPr>
          <w:headerReference r:id="rId17" w:type="default"/>
          <w:footerReference r:id="rId18" w:type="default"/>
          <w:pgSz w:w="11907" w:h="16840"/>
          <w:pgMar w:top="1297" w:right="1133" w:bottom="1029" w:left="1701" w:header="1283" w:footer="850" w:gutter="0"/>
          <w:pgNumType w:fmt="decimal"/>
          <w:cols w:space="720" w:num="1"/>
        </w:sectPr>
      </w:pPr>
    </w:p>
    <w:p w14:paraId="4AC159C6">
      <w:pPr>
        <w:pStyle w:val="17"/>
        <w:spacing w:line="282" w:lineRule="auto"/>
        <w:rPr>
          <w:lang w:eastAsia="zh-CN"/>
        </w:rPr>
      </w:pPr>
    </w:p>
    <w:p w14:paraId="750FB125">
      <w:pPr>
        <w:spacing w:before="78" w:line="219" w:lineRule="auto"/>
        <w:ind w:left="28"/>
        <w:rPr>
          <w:rFonts w:ascii="宋体" w:hAnsi="宋体" w:eastAsia="宋体" w:cs="宋体"/>
          <w:sz w:val="24"/>
          <w:szCs w:val="24"/>
          <w:lang w:eastAsia="zh-CN"/>
        </w:rPr>
      </w:pPr>
      <w:r>
        <w:rPr>
          <w:rFonts w:ascii="宋体" w:hAnsi="宋体" w:eastAsia="宋体" w:cs="宋体"/>
          <w:b/>
          <w:bCs/>
          <w:spacing w:val="-5"/>
          <w:sz w:val="24"/>
          <w:szCs w:val="24"/>
          <w:lang w:eastAsia="zh-CN"/>
        </w:rPr>
        <w:t>附件二：安全生产承诺书</w:t>
      </w:r>
    </w:p>
    <w:p w14:paraId="5BF10C63">
      <w:pPr>
        <w:spacing w:before="183" w:line="219" w:lineRule="auto"/>
        <w:ind w:left="3705"/>
        <w:outlineLvl w:val="0"/>
        <w:rPr>
          <w:rFonts w:ascii="宋体" w:hAnsi="宋体" w:eastAsia="宋体" w:cs="宋体"/>
          <w:sz w:val="24"/>
          <w:szCs w:val="24"/>
          <w:lang w:eastAsia="zh-CN"/>
        </w:rPr>
      </w:pPr>
      <w:r>
        <w:rPr>
          <w:rFonts w:ascii="宋体" w:hAnsi="宋体" w:eastAsia="宋体" w:cs="宋体"/>
          <w:b/>
          <w:bCs/>
          <w:spacing w:val="-4"/>
          <w:sz w:val="24"/>
          <w:szCs w:val="24"/>
          <w:lang w:eastAsia="zh-CN"/>
        </w:rPr>
        <w:t>安全生产承诺书</w:t>
      </w:r>
    </w:p>
    <w:p w14:paraId="56A16DC0">
      <w:pPr>
        <w:spacing w:before="178" w:line="355" w:lineRule="auto"/>
        <w:ind w:left="9" w:firstLine="480"/>
        <w:jc w:val="both"/>
        <w:rPr>
          <w:rFonts w:ascii="宋体" w:hAnsi="宋体" w:eastAsia="宋体" w:cs="宋体"/>
          <w:sz w:val="24"/>
          <w:szCs w:val="24"/>
          <w:lang w:eastAsia="zh-CN"/>
        </w:rPr>
      </w:pPr>
      <w:r>
        <w:rPr>
          <w:rFonts w:ascii="宋体" w:hAnsi="宋体" w:eastAsia="宋体" w:cs="宋体"/>
          <w:spacing w:val="-2"/>
          <w:sz w:val="24"/>
          <w:szCs w:val="24"/>
          <w:lang w:eastAsia="zh-CN"/>
        </w:rPr>
        <w:t>根据《中华人民共和国安全生产法》，我作为企业（单位）的法定代表人（实际控制人）和安全生产的第一责任人，对本企业（单位）的安全生产工作负全面责任。为贯</w:t>
      </w:r>
      <w:r>
        <w:rPr>
          <w:rFonts w:ascii="宋体" w:hAnsi="宋体" w:eastAsia="宋体" w:cs="宋体"/>
          <w:sz w:val="24"/>
          <w:szCs w:val="24"/>
          <w:lang w:eastAsia="zh-CN"/>
        </w:rPr>
        <w:t>彻执行省政府《落实生产经营单位安全生产主体责任暂行规</w:t>
      </w:r>
      <w:r>
        <w:rPr>
          <w:rFonts w:ascii="宋体" w:hAnsi="宋体" w:eastAsia="宋体" w:cs="宋体"/>
          <w:spacing w:val="-1"/>
          <w:sz w:val="24"/>
          <w:szCs w:val="24"/>
          <w:lang w:eastAsia="zh-CN"/>
        </w:rPr>
        <w:t>定》和</w:t>
      </w:r>
      <w:r>
        <w:rPr>
          <w:rFonts w:ascii="Times New Roman" w:hAnsi="Times New Roman" w:eastAsia="Times New Roman" w:cs="Times New Roman"/>
          <w:spacing w:val="-1"/>
          <w:sz w:val="24"/>
          <w:szCs w:val="24"/>
          <w:lang w:eastAsia="zh-CN"/>
        </w:rPr>
        <w:t>“</w:t>
      </w:r>
      <w:r>
        <w:rPr>
          <w:rFonts w:ascii="宋体" w:hAnsi="宋体" w:eastAsia="宋体" w:cs="宋体"/>
          <w:spacing w:val="-1"/>
          <w:sz w:val="24"/>
          <w:szCs w:val="24"/>
          <w:lang w:eastAsia="zh-CN"/>
        </w:rPr>
        <w:t>法人代表安全生产承诺制度</w:t>
      </w:r>
      <w:r>
        <w:rPr>
          <w:rFonts w:ascii="Times New Roman" w:hAnsi="Times New Roman" w:eastAsia="Times New Roman" w:cs="Times New Roman"/>
          <w:spacing w:val="-1"/>
          <w:sz w:val="24"/>
          <w:szCs w:val="24"/>
          <w:lang w:eastAsia="zh-CN"/>
        </w:rPr>
        <w:t>”</w:t>
      </w:r>
      <w:r>
        <w:rPr>
          <w:rFonts w:ascii="宋体" w:hAnsi="宋体" w:eastAsia="宋体" w:cs="宋体"/>
          <w:spacing w:val="-1"/>
          <w:sz w:val="24"/>
          <w:szCs w:val="24"/>
          <w:lang w:eastAsia="zh-CN"/>
        </w:rPr>
        <w:t>，本人保证：认真贯彻执行国家、省关于安全生产的法律、法规、政策和工</w:t>
      </w:r>
      <w:r>
        <w:rPr>
          <w:rFonts w:ascii="宋体" w:hAnsi="宋体" w:eastAsia="宋体" w:cs="宋体"/>
          <w:spacing w:val="-2"/>
          <w:sz w:val="24"/>
          <w:szCs w:val="24"/>
          <w:lang w:eastAsia="zh-CN"/>
        </w:rPr>
        <w:t>作要求，积极落实安全生产主体责任，努力做好本企业（单位）的安全生产工作，减少</w:t>
      </w:r>
      <w:r>
        <w:rPr>
          <w:rFonts w:ascii="宋体" w:hAnsi="宋体" w:eastAsia="宋体" w:cs="宋体"/>
          <w:spacing w:val="-1"/>
          <w:sz w:val="24"/>
          <w:szCs w:val="24"/>
          <w:lang w:eastAsia="zh-CN"/>
        </w:rPr>
        <w:t>和杜绝安全生产事故，并郑重承诺：</w:t>
      </w:r>
    </w:p>
    <w:p w14:paraId="32F21A08">
      <w:pPr>
        <w:spacing w:before="32" w:line="313" w:lineRule="auto"/>
        <w:ind w:left="9" w:firstLine="483"/>
        <w:rPr>
          <w:rFonts w:ascii="宋体" w:hAnsi="宋体" w:eastAsia="宋体" w:cs="宋体"/>
          <w:sz w:val="24"/>
          <w:szCs w:val="24"/>
          <w:lang w:eastAsia="zh-CN"/>
        </w:rPr>
      </w:pPr>
      <w:r>
        <w:rPr>
          <w:rFonts w:ascii="宋体" w:hAnsi="宋体" w:eastAsia="宋体" w:cs="宋体"/>
          <w:spacing w:val="-2"/>
          <w:sz w:val="24"/>
          <w:szCs w:val="24"/>
          <w:lang w:eastAsia="zh-CN"/>
        </w:rPr>
        <w:t>一、依法建立安全生产管理机构，配备符合法定人数的安全生产管理人员，保证安全生产管理机构发挥职能作用，安全生产管理人员履行安全管理职责，使安全生产管理</w:t>
      </w:r>
      <w:r>
        <w:rPr>
          <w:rFonts w:ascii="宋体" w:hAnsi="宋体" w:eastAsia="宋体" w:cs="宋体"/>
          <w:spacing w:val="-1"/>
          <w:sz w:val="24"/>
          <w:szCs w:val="24"/>
          <w:lang w:eastAsia="zh-CN"/>
        </w:rPr>
        <w:t>做到标准化、规范化。</w:t>
      </w:r>
    </w:p>
    <w:p w14:paraId="421B3103">
      <w:pPr>
        <w:spacing w:before="182" w:line="219" w:lineRule="auto"/>
        <w:ind w:left="493"/>
        <w:rPr>
          <w:rFonts w:ascii="宋体" w:hAnsi="宋体" w:eastAsia="宋体" w:cs="宋体"/>
          <w:sz w:val="24"/>
          <w:szCs w:val="24"/>
          <w:lang w:eastAsia="zh-CN"/>
        </w:rPr>
      </w:pPr>
      <w:r>
        <w:rPr>
          <w:rFonts w:ascii="宋体" w:hAnsi="宋体" w:eastAsia="宋体" w:cs="宋体"/>
          <w:spacing w:val="-1"/>
          <w:sz w:val="24"/>
          <w:szCs w:val="24"/>
          <w:lang w:eastAsia="zh-CN"/>
        </w:rPr>
        <w:t>二、建立健全安全生产责任制和各项规章制度、操作规程并严格落实。</w:t>
      </w:r>
    </w:p>
    <w:p w14:paraId="21E6FCB9">
      <w:pPr>
        <w:spacing w:before="183" w:line="289" w:lineRule="auto"/>
        <w:ind w:left="11" w:right="2" w:firstLine="478"/>
        <w:rPr>
          <w:rFonts w:ascii="宋体" w:hAnsi="宋体" w:eastAsia="宋体" w:cs="宋体"/>
          <w:sz w:val="24"/>
          <w:szCs w:val="24"/>
          <w:lang w:eastAsia="zh-CN"/>
        </w:rPr>
      </w:pPr>
      <w:r>
        <w:rPr>
          <w:rFonts w:ascii="宋体" w:hAnsi="宋体" w:eastAsia="宋体" w:cs="宋体"/>
          <w:spacing w:val="-2"/>
          <w:sz w:val="24"/>
          <w:szCs w:val="24"/>
          <w:lang w:eastAsia="zh-CN"/>
        </w:rPr>
        <w:t>三、确保资金投入，持续具备法律、法规、规章、国家标准和行业标准规定的安全</w:t>
      </w:r>
      <w:r>
        <w:rPr>
          <w:rFonts w:ascii="宋体" w:hAnsi="宋体" w:eastAsia="宋体" w:cs="宋体"/>
          <w:spacing w:val="-3"/>
          <w:sz w:val="24"/>
          <w:szCs w:val="24"/>
          <w:lang w:eastAsia="zh-CN"/>
        </w:rPr>
        <w:t>生产条件。</w:t>
      </w:r>
    </w:p>
    <w:p w14:paraId="7CF0AB40">
      <w:pPr>
        <w:spacing w:before="183" w:line="219" w:lineRule="auto"/>
        <w:ind w:left="512"/>
        <w:rPr>
          <w:rFonts w:ascii="宋体" w:hAnsi="宋体" w:eastAsia="宋体" w:cs="宋体"/>
          <w:sz w:val="24"/>
          <w:szCs w:val="24"/>
          <w:lang w:eastAsia="zh-CN"/>
        </w:rPr>
      </w:pPr>
      <w:r>
        <w:rPr>
          <w:rFonts w:ascii="宋体" w:hAnsi="宋体" w:eastAsia="宋体" w:cs="宋体"/>
          <w:spacing w:val="-1"/>
          <w:sz w:val="24"/>
          <w:szCs w:val="24"/>
          <w:lang w:eastAsia="zh-CN"/>
        </w:rPr>
        <w:t>四、依法对从业人员进行安全生产教育和安全知识培训，做到按要求持证上岗。</w:t>
      </w:r>
    </w:p>
    <w:p w14:paraId="0C74A6E5">
      <w:pPr>
        <w:spacing w:before="181" w:line="219" w:lineRule="auto"/>
        <w:ind w:left="493"/>
        <w:rPr>
          <w:rFonts w:ascii="宋体" w:hAnsi="宋体" w:eastAsia="宋体" w:cs="宋体"/>
          <w:sz w:val="24"/>
          <w:szCs w:val="24"/>
          <w:lang w:eastAsia="zh-CN"/>
        </w:rPr>
      </w:pPr>
      <w:r>
        <w:rPr>
          <w:rFonts w:ascii="宋体" w:hAnsi="宋体" w:eastAsia="宋体" w:cs="宋体"/>
          <w:spacing w:val="-1"/>
          <w:sz w:val="24"/>
          <w:szCs w:val="24"/>
          <w:lang w:eastAsia="zh-CN"/>
        </w:rPr>
        <w:t>五、不违章指挥，不强令员工违章冒险作业。</w:t>
      </w:r>
    </w:p>
    <w:p w14:paraId="28FC8A47">
      <w:pPr>
        <w:spacing w:before="183" w:line="219" w:lineRule="auto"/>
        <w:ind w:left="491"/>
        <w:rPr>
          <w:rFonts w:ascii="宋体" w:hAnsi="宋体" w:eastAsia="宋体" w:cs="宋体"/>
          <w:sz w:val="24"/>
          <w:szCs w:val="24"/>
          <w:lang w:eastAsia="zh-CN"/>
        </w:rPr>
      </w:pPr>
      <w:r>
        <w:rPr>
          <w:rFonts w:ascii="宋体" w:hAnsi="宋体" w:eastAsia="宋体" w:cs="宋体"/>
          <w:spacing w:val="-1"/>
          <w:sz w:val="24"/>
          <w:szCs w:val="24"/>
          <w:lang w:eastAsia="zh-CN"/>
        </w:rPr>
        <w:t>六、保证新建、改建、扩建工程项目依法实行安全设施</w:t>
      </w:r>
      <w:r>
        <w:rPr>
          <w:rFonts w:ascii="Times New Roman" w:hAnsi="Times New Roman" w:eastAsia="Times New Roman" w:cs="Times New Roman"/>
          <w:spacing w:val="-1"/>
          <w:sz w:val="24"/>
          <w:szCs w:val="24"/>
          <w:lang w:eastAsia="zh-CN"/>
        </w:rPr>
        <w:t>“</w:t>
      </w:r>
      <w:r>
        <w:rPr>
          <w:rFonts w:ascii="宋体" w:hAnsi="宋体" w:eastAsia="宋体" w:cs="宋体"/>
          <w:spacing w:val="-1"/>
          <w:sz w:val="24"/>
          <w:szCs w:val="24"/>
          <w:lang w:eastAsia="zh-CN"/>
        </w:rPr>
        <w:t>三同时</w:t>
      </w:r>
      <w:r>
        <w:rPr>
          <w:rFonts w:ascii="Times New Roman" w:hAnsi="Times New Roman" w:eastAsia="Times New Roman" w:cs="Times New Roman"/>
          <w:spacing w:val="-1"/>
          <w:sz w:val="24"/>
          <w:szCs w:val="24"/>
          <w:lang w:eastAsia="zh-CN"/>
        </w:rPr>
        <w:t>”</w:t>
      </w:r>
      <w:r>
        <w:rPr>
          <w:rFonts w:ascii="宋体" w:hAnsi="宋体" w:eastAsia="宋体" w:cs="宋体"/>
          <w:spacing w:val="-1"/>
          <w:sz w:val="24"/>
          <w:szCs w:val="24"/>
          <w:lang w:eastAsia="zh-CN"/>
        </w:rPr>
        <w:t>。</w:t>
      </w:r>
    </w:p>
    <w:p w14:paraId="337603B4">
      <w:pPr>
        <w:spacing w:before="181" w:line="290" w:lineRule="auto"/>
        <w:ind w:left="9" w:firstLine="479"/>
        <w:rPr>
          <w:rFonts w:ascii="宋体" w:hAnsi="宋体" w:eastAsia="宋体" w:cs="宋体"/>
          <w:sz w:val="24"/>
          <w:szCs w:val="24"/>
          <w:lang w:eastAsia="zh-CN"/>
        </w:rPr>
      </w:pPr>
      <w:r>
        <w:rPr>
          <w:rFonts w:ascii="宋体" w:hAnsi="宋体" w:eastAsia="宋体" w:cs="宋体"/>
          <w:spacing w:val="-2"/>
          <w:sz w:val="24"/>
          <w:szCs w:val="24"/>
          <w:lang w:eastAsia="zh-CN"/>
        </w:rPr>
        <w:t>七、统一协调管理承包、承租单位安全生产工作，并与有关单位签订专门的安全生</w:t>
      </w:r>
      <w:r>
        <w:rPr>
          <w:rFonts w:ascii="宋体" w:hAnsi="宋体" w:eastAsia="宋体" w:cs="宋体"/>
          <w:spacing w:val="-3"/>
          <w:sz w:val="24"/>
          <w:szCs w:val="24"/>
          <w:lang w:eastAsia="zh-CN"/>
        </w:rPr>
        <w:t>产协议。</w:t>
      </w:r>
    </w:p>
    <w:p w14:paraId="5767FF02">
      <w:pPr>
        <w:spacing w:before="179" w:line="220" w:lineRule="auto"/>
        <w:ind w:left="493"/>
        <w:rPr>
          <w:rFonts w:ascii="宋体" w:hAnsi="宋体" w:eastAsia="宋体" w:cs="宋体"/>
          <w:sz w:val="24"/>
          <w:szCs w:val="24"/>
          <w:lang w:eastAsia="zh-CN"/>
        </w:rPr>
      </w:pPr>
      <w:r>
        <w:rPr>
          <w:rFonts w:ascii="宋体" w:hAnsi="宋体" w:eastAsia="宋体" w:cs="宋体"/>
          <w:spacing w:val="-1"/>
          <w:sz w:val="24"/>
          <w:szCs w:val="24"/>
          <w:lang w:eastAsia="zh-CN"/>
        </w:rPr>
        <w:t>八、加强安全生产监督检查，及时发现和排除安全隐患。</w:t>
      </w:r>
    </w:p>
    <w:p w14:paraId="4876FE17">
      <w:pPr>
        <w:spacing w:before="182" w:line="220" w:lineRule="auto"/>
        <w:ind w:left="495"/>
        <w:rPr>
          <w:rFonts w:ascii="宋体" w:hAnsi="宋体" w:eastAsia="宋体" w:cs="宋体"/>
          <w:sz w:val="24"/>
          <w:szCs w:val="24"/>
          <w:lang w:eastAsia="zh-CN"/>
        </w:rPr>
      </w:pPr>
      <w:r>
        <w:rPr>
          <w:rFonts w:ascii="宋体" w:hAnsi="宋体" w:eastAsia="宋体" w:cs="宋体"/>
          <w:spacing w:val="-1"/>
          <w:sz w:val="24"/>
          <w:szCs w:val="24"/>
          <w:lang w:eastAsia="zh-CN"/>
        </w:rPr>
        <w:t>九、落实重大危险源监控责任，对重大危险源实施有效的监测、监控和整改。</w:t>
      </w:r>
    </w:p>
    <w:p w14:paraId="1DF0092B">
      <w:pPr>
        <w:spacing w:before="181" w:line="291" w:lineRule="auto"/>
        <w:ind w:left="8" w:firstLine="481"/>
        <w:rPr>
          <w:rFonts w:ascii="宋体" w:hAnsi="宋体" w:eastAsia="宋体" w:cs="宋体"/>
          <w:sz w:val="24"/>
          <w:szCs w:val="24"/>
          <w:lang w:eastAsia="zh-CN"/>
        </w:rPr>
      </w:pPr>
      <w:r>
        <w:rPr>
          <w:rFonts w:ascii="宋体" w:hAnsi="宋体" w:eastAsia="宋体" w:cs="宋体"/>
          <w:spacing w:val="-2"/>
          <w:sz w:val="24"/>
          <w:szCs w:val="24"/>
          <w:lang w:eastAsia="zh-CN"/>
        </w:rPr>
        <w:t>十、依法制定生产安全事故应急救援预案，并定期组织演练，落实操作岗位应急措</w:t>
      </w:r>
      <w:r>
        <w:rPr>
          <w:rFonts w:ascii="宋体" w:hAnsi="宋体" w:eastAsia="宋体" w:cs="宋体"/>
          <w:spacing w:val="-5"/>
          <w:sz w:val="24"/>
          <w:szCs w:val="24"/>
          <w:lang w:eastAsia="zh-CN"/>
        </w:rPr>
        <w:t>施。</w:t>
      </w:r>
    </w:p>
    <w:p w14:paraId="3565C302">
      <w:pPr>
        <w:spacing w:before="179" w:line="219" w:lineRule="auto"/>
        <w:ind w:left="490"/>
        <w:rPr>
          <w:rFonts w:ascii="宋体" w:hAnsi="宋体" w:eastAsia="宋体" w:cs="宋体"/>
          <w:sz w:val="24"/>
          <w:szCs w:val="24"/>
          <w:lang w:eastAsia="zh-CN"/>
        </w:rPr>
      </w:pPr>
      <w:r>
        <w:rPr>
          <w:rFonts w:ascii="宋体" w:hAnsi="宋体" w:eastAsia="宋体" w:cs="宋体"/>
          <w:spacing w:val="-2"/>
          <w:sz w:val="24"/>
          <w:szCs w:val="24"/>
          <w:lang w:eastAsia="zh-CN"/>
        </w:rPr>
        <w:t>十一、自觉接受各级安全监管部门的监督检查，绝不</w:t>
      </w:r>
      <w:r>
        <w:rPr>
          <w:rFonts w:ascii="宋体" w:hAnsi="宋体" w:eastAsia="宋体" w:cs="宋体"/>
          <w:spacing w:val="-3"/>
          <w:sz w:val="24"/>
          <w:szCs w:val="24"/>
          <w:lang w:eastAsia="zh-CN"/>
        </w:rPr>
        <w:t>弄虚作假。</w:t>
      </w:r>
    </w:p>
    <w:p w14:paraId="055559BD">
      <w:pPr>
        <w:spacing w:before="180" w:line="220" w:lineRule="auto"/>
        <w:ind w:left="490"/>
        <w:rPr>
          <w:rFonts w:ascii="宋体" w:hAnsi="宋体" w:eastAsia="宋体" w:cs="宋体"/>
          <w:sz w:val="24"/>
          <w:szCs w:val="24"/>
          <w:lang w:eastAsia="zh-CN"/>
        </w:rPr>
      </w:pPr>
      <w:r>
        <w:rPr>
          <w:rFonts w:ascii="宋体" w:hAnsi="宋体" w:eastAsia="宋体" w:cs="宋体"/>
          <w:spacing w:val="-1"/>
          <w:sz w:val="24"/>
          <w:szCs w:val="24"/>
          <w:lang w:eastAsia="zh-CN"/>
        </w:rPr>
        <w:t>十二、严格按照设计设置可靠的截流、防洪和排水工程。</w:t>
      </w:r>
    </w:p>
    <w:p w14:paraId="12E7DE21">
      <w:pPr>
        <w:spacing w:before="181" w:line="290" w:lineRule="auto"/>
        <w:ind w:left="9" w:firstLine="480"/>
        <w:rPr>
          <w:rFonts w:ascii="宋体" w:hAnsi="宋体" w:eastAsia="宋体" w:cs="宋体"/>
          <w:sz w:val="24"/>
          <w:szCs w:val="24"/>
          <w:lang w:eastAsia="zh-CN"/>
        </w:rPr>
      </w:pPr>
      <w:r>
        <w:rPr>
          <w:rFonts w:ascii="宋体" w:hAnsi="宋体" w:eastAsia="宋体" w:cs="宋体"/>
          <w:spacing w:val="-2"/>
          <w:sz w:val="24"/>
          <w:szCs w:val="24"/>
          <w:lang w:eastAsia="zh-CN"/>
        </w:rPr>
        <w:t>十三、如实告知从业人员作业场所和工作岗位存在的危险、危害因素、防范措施和事故应急措施。</w:t>
      </w:r>
    </w:p>
    <w:p w14:paraId="65BCF253">
      <w:pPr>
        <w:spacing w:before="181" w:line="289" w:lineRule="auto"/>
        <w:ind w:left="10" w:firstLine="480"/>
        <w:rPr>
          <w:rFonts w:ascii="宋体" w:hAnsi="宋体" w:eastAsia="宋体" w:cs="宋体"/>
          <w:sz w:val="24"/>
          <w:szCs w:val="24"/>
          <w:lang w:eastAsia="zh-CN"/>
        </w:rPr>
      </w:pPr>
      <w:r>
        <w:rPr>
          <w:rFonts w:ascii="宋体" w:hAnsi="宋体" w:eastAsia="宋体" w:cs="宋体"/>
          <w:spacing w:val="-2"/>
          <w:sz w:val="24"/>
          <w:szCs w:val="24"/>
          <w:lang w:eastAsia="zh-CN"/>
        </w:rPr>
        <w:t>十四、按要求上报生产安全事故，做好事故抢险救援，妥善处理对事故伤亡人员依</w:t>
      </w:r>
      <w:r>
        <w:rPr>
          <w:rFonts w:ascii="宋体" w:hAnsi="宋体" w:eastAsia="宋体" w:cs="宋体"/>
          <w:spacing w:val="-1"/>
          <w:sz w:val="24"/>
          <w:szCs w:val="24"/>
          <w:lang w:eastAsia="zh-CN"/>
        </w:rPr>
        <w:t>法赔偿等事故善后工作。</w:t>
      </w:r>
    </w:p>
    <w:p w14:paraId="3DAC1211">
      <w:pPr>
        <w:spacing w:line="289" w:lineRule="auto"/>
        <w:rPr>
          <w:rFonts w:ascii="宋体" w:hAnsi="宋体" w:eastAsia="宋体" w:cs="宋体"/>
          <w:sz w:val="24"/>
          <w:szCs w:val="24"/>
          <w:lang w:eastAsia="zh-CN"/>
        </w:rPr>
        <w:sectPr>
          <w:footerReference r:id="rId19" w:type="default"/>
          <w:pgSz w:w="11907" w:h="16840"/>
          <w:pgMar w:top="1297" w:right="1133" w:bottom="1029" w:left="1701" w:header="1283" w:footer="850" w:gutter="0"/>
          <w:pgNumType w:fmt="decimal"/>
          <w:cols w:space="720" w:num="1"/>
        </w:sectPr>
      </w:pPr>
    </w:p>
    <w:p w14:paraId="3DC6D9EF">
      <w:pPr>
        <w:spacing w:before="153" w:line="313" w:lineRule="auto"/>
        <w:ind w:left="8" w:right="16" w:firstLine="481"/>
        <w:rPr>
          <w:rFonts w:ascii="宋体" w:hAnsi="宋体" w:eastAsia="宋体" w:cs="宋体"/>
          <w:sz w:val="24"/>
          <w:szCs w:val="24"/>
          <w:lang w:eastAsia="zh-CN"/>
        </w:rPr>
      </w:pPr>
      <w:r>
        <w:rPr>
          <w:rFonts w:ascii="宋体" w:hAnsi="宋体" w:eastAsia="宋体" w:cs="宋体"/>
          <w:spacing w:val="-2"/>
          <w:sz w:val="24"/>
          <w:szCs w:val="24"/>
          <w:lang w:eastAsia="zh-CN"/>
        </w:rPr>
        <w:t>十五、尊重从业人员在安全生产方面应有的权益，引导鼓励从业人员履行安全生产</w:t>
      </w:r>
      <w:r>
        <w:rPr>
          <w:rFonts w:ascii="宋体" w:hAnsi="宋体" w:eastAsia="宋体" w:cs="宋体"/>
          <w:spacing w:val="-6"/>
          <w:sz w:val="24"/>
          <w:szCs w:val="24"/>
          <w:lang w:eastAsia="zh-CN"/>
        </w:rPr>
        <w:t>方面的义务，鼓励从业人员对安全生产违法、违章行为提出改正建议，甚至批评、举报，</w:t>
      </w:r>
      <w:r>
        <w:rPr>
          <w:rFonts w:ascii="宋体" w:hAnsi="宋体" w:eastAsia="宋体" w:cs="宋体"/>
          <w:sz w:val="24"/>
          <w:szCs w:val="24"/>
          <w:lang w:eastAsia="zh-CN"/>
        </w:rPr>
        <w:t xml:space="preserve"> 对提出批评和举报的职工不打击报复，不因此解除劳动</w:t>
      </w:r>
      <w:r>
        <w:rPr>
          <w:rFonts w:ascii="宋体" w:hAnsi="宋体" w:eastAsia="宋体" w:cs="宋体"/>
          <w:spacing w:val="-1"/>
          <w:sz w:val="24"/>
          <w:szCs w:val="24"/>
          <w:lang w:eastAsia="zh-CN"/>
        </w:rPr>
        <w:t>合同和降低工资待遇。</w:t>
      </w:r>
    </w:p>
    <w:p w14:paraId="293623EA">
      <w:pPr>
        <w:spacing w:before="183" w:line="289" w:lineRule="auto"/>
        <w:ind w:left="11" w:right="80" w:firstLine="479"/>
        <w:rPr>
          <w:rFonts w:ascii="宋体" w:hAnsi="宋体" w:eastAsia="宋体" w:cs="宋体"/>
          <w:sz w:val="24"/>
          <w:szCs w:val="24"/>
          <w:lang w:eastAsia="zh-CN"/>
        </w:rPr>
      </w:pPr>
      <w:r>
        <w:rPr>
          <w:rFonts w:ascii="宋体" w:hAnsi="宋体" w:eastAsia="宋体" w:cs="宋体"/>
          <w:spacing w:val="-2"/>
          <w:sz w:val="24"/>
          <w:szCs w:val="24"/>
          <w:lang w:eastAsia="zh-CN"/>
        </w:rPr>
        <w:t>十六、为从业人员提供符合国家标准或行业标准的劳动防护用品，并监督教育从业人员正确佩戴、使用。</w:t>
      </w:r>
    </w:p>
    <w:p w14:paraId="292EE7B3">
      <w:pPr>
        <w:spacing w:before="182" w:line="219" w:lineRule="auto"/>
        <w:ind w:left="490"/>
        <w:rPr>
          <w:rFonts w:ascii="宋体" w:hAnsi="宋体" w:eastAsia="宋体" w:cs="宋体"/>
          <w:sz w:val="24"/>
          <w:szCs w:val="24"/>
          <w:lang w:eastAsia="zh-CN"/>
        </w:rPr>
      </w:pPr>
      <w:r>
        <w:rPr>
          <w:rFonts w:ascii="宋体" w:hAnsi="宋体" w:eastAsia="宋体" w:cs="宋体"/>
          <w:spacing w:val="-1"/>
          <w:sz w:val="24"/>
          <w:szCs w:val="24"/>
          <w:lang w:eastAsia="zh-CN"/>
        </w:rPr>
        <w:t>十七、依法参加工伤社会保险，为从业人员缴纳保险费。</w:t>
      </w:r>
    </w:p>
    <w:p w14:paraId="3C9A80CE">
      <w:pPr>
        <w:spacing w:before="180" w:line="220" w:lineRule="auto"/>
        <w:ind w:left="490"/>
        <w:rPr>
          <w:rFonts w:ascii="宋体" w:hAnsi="宋体" w:eastAsia="宋体" w:cs="宋体"/>
          <w:sz w:val="24"/>
          <w:szCs w:val="24"/>
          <w:lang w:eastAsia="zh-CN"/>
        </w:rPr>
      </w:pPr>
      <w:r>
        <w:rPr>
          <w:rFonts w:ascii="宋体" w:hAnsi="宋体" w:eastAsia="宋体" w:cs="宋体"/>
          <w:spacing w:val="-1"/>
          <w:sz w:val="24"/>
          <w:szCs w:val="24"/>
          <w:lang w:eastAsia="zh-CN"/>
        </w:rPr>
        <w:t>十八、履行法律法规规定的其他安全生产职责。</w:t>
      </w:r>
    </w:p>
    <w:p w14:paraId="2B44330A">
      <w:pPr>
        <w:spacing w:before="180" w:line="345" w:lineRule="auto"/>
        <w:ind w:left="26" w:right="80" w:firstLine="464"/>
        <w:rPr>
          <w:rFonts w:ascii="宋体" w:hAnsi="宋体" w:eastAsia="宋体" w:cs="宋体"/>
          <w:sz w:val="24"/>
          <w:szCs w:val="24"/>
          <w:lang w:eastAsia="zh-CN"/>
        </w:rPr>
      </w:pPr>
      <w:r>
        <w:rPr>
          <w:rFonts w:ascii="宋体" w:hAnsi="宋体" w:eastAsia="宋体" w:cs="宋体"/>
          <w:spacing w:val="-8"/>
          <w:sz w:val="24"/>
          <w:szCs w:val="24"/>
          <w:lang w:eastAsia="zh-CN"/>
        </w:rPr>
        <w:t>若违反上述承诺和未履行安全生产管理职责，导致发生责任事故的，法定代</w:t>
      </w:r>
      <w:r>
        <w:rPr>
          <w:rFonts w:ascii="宋体" w:hAnsi="宋体" w:eastAsia="宋体" w:cs="宋体"/>
          <w:spacing w:val="-9"/>
          <w:sz w:val="24"/>
          <w:szCs w:val="24"/>
          <w:lang w:eastAsia="zh-CN"/>
        </w:rPr>
        <w:t>表人（实</w:t>
      </w:r>
      <w:r>
        <w:rPr>
          <w:rFonts w:ascii="宋体" w:hAnsi="宋体" w:eastAsia="宋体" w:cs="宋体"/>
          <w:spacing w:val="-1"/>
          <w:sz w:val="24"/>
          <w:szCs w:val="24"/>
          <w:lang w:eastAsia="zh-CN"/>
        </w:rPr>
        <w:t>际控制人）及单位接受安全生产监督管理部门以下</w:t>
      </w:r>
      <w:r>
        <w:rPr>
          <w:rFonts w:ascii="宋体" w:hAnsi="宋体" w:eastAsia="宋体" w:cs="宋体"/>
          <w:spacing w:val="-2"/>
          <w:sz w:val="24"/>
          <w:szCs w:val="24"/>
          <w:lang w:eastAsia="zh-CN"/>
        </w:rPr>
        <w:t>处罚：</w:t>
      </w:r>
    </w:p>
    <w:p w14:paraId="710FF0E7">
      <w:pPr>
        <w:spacing w:before="2" w:line="337" w:lineRule="auto"/>
        <w:ind w:left="8" w:firstLine="484"/>
        <w:rPr>
          <w:rFonts w:ascii="宋体" w:hAnsi="宋体" w:eastAsia="宋体" w:cs="宋体"/>
          <w:sz w:val="24"/>
          <w:szCs w:val="24"/>
          <w:lang w:eastAsia="zh-CN"/>
        </w:rPr>
      </w:pPr>
      <w:r>
        <w:rPr>
          <w:rFonts w:ascii="宋体" w:hAnsi="宋体" w:eastAsia="宋体" w:cs="宋体"/>
          <w:sz w:val="24"/>
          <w:szCs w:val="24"/>
          <w:lang w:eastAsia="zh-CN"/>
        </w:rPr>
        <w:t>一、法定代表人（实际控制人）方面</w:t>
      </w:r>
      <w:r>
        <w:rPr>
          <w:rFonts w:ascii="宋体" w:hAnsi="宋体" w:eastAsia="宋体" w:cs="宋体"/>
          <w:spacing w:val="-12"/>
          <w:sz w:val="24"/>
          <w:szCs w:val="24"/>
          <w:lang w:eastAsia="zh-CN"/>
        </w:rPr>
        <w:t>：（</w:t>
      </w:r>
      <w:r>
        <w:rPr>
          <w:rFonts w:ascii="宋体" w:hAnsi="宋体" w:eastAsia="宋体" w:cs="宋体"/>
          <w:sz w:val="24"/>
          <w:szCs w:val="24"/>
          <w:lang w:eastAsia="zh-CN"/>
        </w:rPr>
        <w:t>一）一般事故接受上一年年收入</w:t>
      </w:r>
      <w:r>
        <w:rPr>
          <w:rFonts w:ascii="Times New Roman" w:hAnsi="Times New Roman" w:eastAsia="Times New Roman" w:cs="Times New Roman"/>
          <w:sz w:val="24"/>
          <w:szCs w:val="24"/>
          <w:lang w:eastAsia="zh-CN"/>
        </w:rPr>
        <w:t>30%</w:t>
      </w:r>
      <w:r>
        <w:rPr>
          <w:rFonts w:ascii="宋体" w:hAnsi="宋体" w:eastAsia="宋体" w:cs="宋体"/>
          <w:sz w:val="24"/>
          <w:szCs w:val="24"/>
          <w:lang w:eastAsia="zh-CN"/>
        </w:rPr>
        <w:t>的罚</w:t>
      </w:r>
      <w:r>
        <w:rPr>
          <w:rFonts w:ascii="宋体" w:hAnsi="宋体" w:eastAsia="宋体" w:cs="宋体"/>
          <w:spacing w:val="2"/>
          <w:sz w:val="24"/>
          <w:szCs w:val="24"/>
          <w:lang w:eastAsia="zh-CN"/>
        </w:rPr>
        <w:t>款</w:t>
      </w:r>
      <w:r>
        <w:rPr>
          <w:rFonts w:ascii="宋体" w:hAnsi="宋体" w:eastAsia="宋体" w:cs="宋体"/>
          <w:spacing w:val="-20"/>
          <w:sz w:val="24"/>
          <w:szCs w:val="24"/>
          <w:lang w:eastAsia="zh-CN"/>
        </w:rPr>
        <w:t>；（</w:t>
      </w:r>
      <w:r>
        <w:rPr>
          <w:rFonts w:ascii="宋体" w:hAnsi="宋体" w:eastAsia="宋体" w:cs="宋体"/>
          <w:spacing w:val="2"/>
          <w:sz w:val="24"/>
          <w:szCs w:val="24"/>
          <w:lang w:eastAsia="zh-CN"/>
        </w:rPr>
        <w:t>二）较大事故接受上一年年收入</w:t>
      </w:r>
      <w:r>
        <w:rPr>
          <w:rFonts w:ascii="Times New Roman" w:hAnsi="Times New Roman" w:eastAsia="Times New Roman" w:cs="Times New Roman"/>
          <w:spacing w:val="2"/>
          <w:sz w:val="24"/>
          <w:szCs w:val="24"/>
          <w:lang w:eastAsia="zh-CN"/>
        </w:rPr>
        <w:t>40%</w:t>
      </w:r>
      <w:r>
        <w:rPr>
          <w:rFonts w:ascii="宋体" w:hAnsi="宋体" w:eastAsia="宋体" w:cs="宋体"/>
          <w:spacing w:val="2"/>
          <w:sz w:val="24"/>
          <w:szCs w:val="24"/>
          <w:lang w:eastAsia="zh-CN"/>
        </w:rPr>
        <w:t>的罚款</w:t>
      </w:r>
      <w:r>
        <w:rPr>
          <w:rFonts w:ascii="宋体" w:hAnsi="宋体" w:eastAsia="宋体" w:cs="宋体"/>
          <w:spacing w:val="-20"/>
          <w:sz w:val="24"/>
          <w:szCs w:val="24"/>
          <w:lang w:eastAsia="zh-CN"/>
        </w:rPr>
        <w:t>；（</w:t>
      </w:r>
      <w:r>
        <w:rPr>
          <w:rFonts w:ascii="宋体" w:hAnsi="宋体" w:eastAsia="宋体" w:cs="宋体"/>
          <w:spacing w:val="2"/>
          <w:sz w:val="24"/>
          <w:szCs w:val="24"/>
          <w:lang w:eastAsia="zh-CN"/>
        </w:rPr>
        <w:t>三）重</w:t>
      </w:r>
      <w:r>
        <w:rPr>
          <w:rFonts w:ascii="宋体" w:hAnsi="宋体" w:eastAsia="宋体" w:cs="宋体"/>
          <w:spacing w:val="1"/>
          <w:sz w:val="24"/>
          <w:szCs w:val="24"/>
          <w:lang w:eastAsia="zh-CN"/>
        </w:rPr>
        <w:t>大事故接受上一年年收入</w:t>
      </w:r>
      <w:r>
        <w:rPr>
          <w:rFonts w:ascii="Times New Roman" w:hAnsi="Times New Roman" w:eastAsia="Times New Roman" w:cs="Times New Roman"/>
          <w:spacing w:val="-2"/>
          <w:sz w:val="24"/>
          <w:szCs w:val="24"/>
          <w:lang w:eastAsia="zh-CN"/>
        </w:rPr>
        <w:t>60%</w:t>
      </w:r>
      <w:r>
        <w:rPr>
          <w:rFonts w:ascii="宋体" w:hAnsi="宋体" w:eastAsia="宋体" w:cs="宋体"/>
          <w:spacing w:val="-2"/>
          <w:sz w:val="24"/>
          <w:szCs w:val="24"/>
          <w:lang w:eastAsia="zh-CN"/>
        </w:rPr>
        <w:t>的罚款</w:t>
      </w:r>
      <w:r>
        <w:rPr>
          <w:rFonts w:ascii="宋体" w:hAnsi="宋体" w:eastAsia="宋体" w:cs="宋体"/>
          <w:spacing w:val="-30"/>
          <w:sz w:val="24"/>
          <w:szCs w:val="24"/>
          <w:lang w:eastAsia="zh-CN"/>
        </w:rPr>
        <w:t>；（</w:t>
      </w:r>
      <w:r>
        <w:rPr>
          <w:rFonts w:ascii="宋体" w:hAnsi="宋体" w:eastAsia="宋体" w:cs="宋体"/>
          <w:spacing w:val="-2"/>
          <w:sz w:val="24"/>
          <w:szCs w:val="24"/>
          <w:lang w:eastAsia="zh-CN"/>
        </w:rPr>
        <w:t>四）特别重大事故接受上一年年收入</w:t>
      </w:r>
      <w:r>
        <w:rPr>
          <w:rFonts w:ascii="Times New Roman" w:hAnsi="Times New Roman" w:eastAsia="Times New Roman" w:cs="Times New Roman"/>
          <w:spacing w:val="-2"/>
          <w:sz w:val="24"/>
          <w:szCs w:val="24"/>
          <w:lang w:eastAsia="zh-CN"/>
        </w:rPr>
        <w:t>80%</w:t>
      </w:r>
      <w:r>
        <w:rPr>
          <w:rFonts w:ascii="宋体" w:hAnsi="宋体" w:eastAsia="宋体" w:cs="宋体"/>
          <w:spacing w:val="-2"/>
          <w:sz w:val="24"/>
          <w:szCs w:val="24"/>
          <w:lang w:eastAsia="zh-CN"/>
        </w:rPr>
        <w:t>的罚款；同时接受相应的党纪、</w:t>
      </w:r>
      <w:r>
        <w:rPr>
          <w:rFonts w:ascii="宋体" w:hAnsi="宋体" w:eastAsia="宋体" w:cs="宋体"/>
          <w:sz w:val="24"/>
          <w:szCs w:val="24"/>
          <w:lang w:eastAsia="zh-CN"/>
        </w:rPr>
        <w:t xml:space="preserve"> 政纪处分和有关部门作出的暂停、撤销与安全生产有关的执业资</w:t>
      </w:r>
      <w:r>
        <w:rPr>
          <w:rFonts w:ascii="宋体" w:hAnsi="宋体" w:eastAsia="宋体" w:cs="宋体"/>
          <w:spacing w:val="-1"/>
          <w:sz w:val="24"/>
          <w:szCs w:val="24"/>
          <w:lang w:eastAsia="zh-CN"/>
        </w:rPr>
        <w:t>格、岗位证书的处罚；构成犯罪的，接受相应的刑事处罚。</w:t>
      </w:r>
    </w:p>
    <w:p w14:paraId="22E3D37D">
      <w:pPr>
        <w:spacing w:before="180" w:line="221" w:lineRule="auto"/>
        <w:ind w:left="493"/>
        <w:rPr>
          <w:rFonts w:ascii="宋体" w:hAnsi="宋体" w:eastAsia="宋体" w:cs="宋体"/>
          <w:sz w:val="24"/>
          <w:szCs w:val="24"/>
          <w:lang w:eastAsia="zh-CN"/>
        </w:rPr>
      </w:pPr>
      <w:r>
        <w:rPr>
          <w:rFonts w:ascii="宋体" w:hAnsi="宋体" w:eastAsia="宋体" w:cs="宋体"/>
          <w:spacing w:val="-2"/>
          <w:sz w:val="24"/>
          <w:szCs w:val="24"/>
          <w:lang w:eastAsia="zh-CN"/>
        </w:rPr>
        <w:t>二、单位方面：</w:t>
      </w:r>
    </w:p>
    <w:p w14:paraId="5E0A092E">
      <w:pPr>
        <w:spacing w:before="179" w:line="221" w:lineRule="auto"/>
        <w:ind w:left="501"/>
        <w:rPr>
          <w:rFonts w:ascii="宋体" w:hAnsi="宋体" w:eastAsia="宋体" w:cs="宋体"/>
          <w:sz w:val="24"/>
          <w:szCs w:val="24"/>
          <w:lang w:eastAsia="zh-CN"/>
        </w:rPr>
      </w:pPr>
      <w:r>
        <w:rPr>
          <w:rFonts w:ascii="宋体" w:hAnsi="宋体" w:eastAsia="宋体" w:cs="宋体"/>
          <w:spacing w:val="-1"/>
          <w:sz w:val="24"/>
          <w:szCs w:val="24"/>
          <w:lang w:eastAsia="zh-CN"/>
        </w:rPr>
        <w:t>（一）一般事故接受</w:t>
      </w:r>
      <w:r>
        <w:rPr>
          <w:rFonts w:ascii="Times New Roman" w:hAnsi="Times New Roman" w:eastAsia="Times New Roman" w:cs="Times New Roman"/>
          <w:spacing w:val="-1"/>
          <w:sz w:val="24"/>
          <w:szCs w:val="24"/>
          <w:lang w:eastAsia="zh-CN"/>
        </w:rPr>
        <w:t xml:space="preserve">10  </w:t>
      </w:r>
      <w:r>
        <w:rPr>
          <w:rFonts w:ascii="宋体" w:hAnsi="宋体" w:eastAsia="宋体" w:cs="宋体"/>
          <w:spacing w:val="-1"/>
          <w:sz w:val="24"/>
          <w:szCs w:val="24"/>
          <w:lang w:eastAsia="zh-CN"/>
        </w:rPr>
        <w:t>万元以上</w:t>
      </w:r>
      <w:r>
        <w:rPr>
          <w:rFonts w:ascii="Times New Roman" w:hAnsi="Times New Roman" w:eastAsia="Times New Roman" w:cs="Times New Roman"/>
          <w:spacing w:val="-1"/>
          <w:sz w:val="24"/>
          <w:szCs w:val="24"/>
          <w:lang w:eastAsia="zh-CN"/>
        </w:rPr>
        <w:t xml:space="preserve">20  </w:t>
      </w:r>
      <w:r>
        <w:rPr>
          <w:rFonts w:ascii="宋体" w:hAnsi="宋体" w:eastAsia="宋体" w:cs="宋体"/>
          <w:spacing w:val="-1"/>
          <w:sz w:val="24"/>
          <w:szCs w:val="24"/>
          <w:lang w:eastAsia="zh-CN"/>
        </w:rPr>
        <w:t>万元以下的罚款；</w:t>
      </w:r>
    </w:p>
    <w:p w14:paraId="0DBFA7E7">
      <w:pPr>
        <w:spacing w:before="180" w:line="221" w:lineRule="auto"/>
        <w:ind w:left="501"/>
        <w:rPr>
          <w:rFonts w:ascii="宋体" w:hAnsi="宋体" w:eastAsia="宋体" w:cs="宋体"/>
          <w:sz w:val="24"/>
          <w:szCs w:val="24"/>
          <w:lang w:eastAsia="zh-CN"/>
        </w:rPr>
      </w:pPr>
      <w:r>
        <w:rPr>
          <w:rFonts w:ascii="宋体" w:hAnsi="宋体" w:eastAsia="宋体" w:cs="宋体"/>
          <w:spacing w:val="-1"/>
          <w:sz w:val="24"/>
          <w:szCs w:val="24"/>
          <w:lang w:eastAsia="zh-CN"/>
        </w:rPr>
        <w:t>（二）较大事故接受</w:t>
      </w:r>
      <w:r>
        <w:rPr>
          <w:rFonts w:ascii="Times New Roman" w:hAnsi="Times New Roman" w:eastAsia="Times New Roman" w:cs="Times New Roman"/>
          <w:spacing w:val="-1"/>
          <w:sz w:val="24"/>
          <w:szCs w:val="24"/>
          <w:lang w:eastAsia="zh-CN"/>
        </w:rPr>
        <w:t xml:space="preserve">20  </w:t>
      </w:r>
      <w:r>
        <w:rPr>
          <w:rFonts w:ascii="宋体" w:hAnsi="宋体" w:eastAsia="宋体" w:cs="宋体"/>
          <w:spacing w:val="-1"/>
          <w:sz w:val="24"/>
          <w:szCs w:val="24"/>
          <w:lang w:eastAsia="zh-CN"/>
        </w:rPr>
        <w:t>万元以上</w:t>
      </w:r>
      <w:r>
        <w:rPr>
          <w:rFonts w:ascii="Times New Roman" w:hAnsi="Times New Roman" w:eastAsia="Times New Roman" w:cs="Times New Roman"/>
          <w:spacing w:val="-1"/>
          <w:sz w:val="24"/>
          <w:szCs w:val="24"/>
          <w:lang w:eastAsia="zh-CN"/>
        </w:rPr>
        <w:t xml:space="preserve">50  </w:t>
      </w:r>
      <w:r>
        <w:rPr>
          <w:rFonts w:ascii="宋体" w:hAnsi="宋体" w:eastAsia="宋体" w:cs="宋体"/>
          <w:spacing w:val="-1"/>
          <w:sz w:val="24"/>
          <w:szCs w:val="24"/>
          <w:lang w:eastAsia="zh-CN"/>
        </w:rPr>
        <w:t>万元以下的罚款；</w:t>
      </w:r>
    </w:p>
    <w:p w14:paraId="649FDA0A">
      <w:pPr>
        <w:spacing w:before="179" w:line="221" w:lineRule="auto"/>
        <w:ind w:left="501"/>
        <w:rPr>
          <w:rFonts w:ascii="宋体" w:hAnsi="宋体" w:eastAsia="宋体" w:cs="宋体"/>
          <w:sz w:val="24"/>
          <w:szCs w:val="24"/>
          <w:lang w:eastAsia="zh-CN"/>
        </w:rPr>
      </w:pPr>
      <w:r>
        <w:rPr>
          <w:rFonts w:ascii="宋体" w:hAnsi="宋体" w:eastAsia="宋体" w:cs="宋体"/>
          <w:spacing w:val="-1"/>
          <w:sz w:val="24"/>
          <w:szCs w:val="24"/>
          <w:lang w:eastAsia="zh-CN"/>
        </w:rPr>
        <w:t>（三）重大事故接受</w:t>
      </w:r>
      <w:r>
        <w:rPr>
          <w:rFonts w:ascii="Times New Roman" w:hAnsi="Times New Roman" w:eastAsia="Times New Roman" w:cs="Times New Roman"/>
          <w:spacing w:val="-1"/>
          <w:sz w:val="24"/>
          <w:szCs w:val="24"/>
          <w:lang w:eastAsia="zh-CN"/>
        </w:rPr>
        <w:t xml:space="preserve">50  </w:t>
      </w:r>
      <w:r>
        <w:rPr>
          <w:rFonts w:ascii="宋体" w:hAnsi="宋体" w:eastAsia="宋体" w:cs="宋体"/>
          <w:spacing w:val="-1"/>
          <w:sz w:val="24"/>
          <w:szCs w:val="24"/>
          <w:lang w:eastAsia="zh-CN"/>
        </w:rPr>
        <w:t>万元以上</w:t>
      </w:r>
      <w:r>
        <w:rPr>
          <w:rFonts w:ascii="Times New Roman" w:hAnsi="Times New Roman" w:eastAsia="Times New Roman" w:cs="Times New Roman"/>
          <w:spacing w:val="-1"/>
          <w:sz w:val="24"/>
          <w:szCs w:val="24"/>
          <w:lang w:eastAsia="zh-CN"/>
        </w:rPr>
        <w:t xml:space="preserve">200  </w:t>
      </w:r>
      <w:r>
        <w:rPr>
          <w:rFonts w:ascii="宋体" w:hAnsi="宋体" w:eastAsia="宋体" w:cs="宋体"/>
          <w:spacing w:val="-1"/>
          <w:sz w:val="24"/>
          <w:szCs w:val="24"/>
          <w:lang w:eastAsia="zh-CN"/>
        </w:rPr>
        <w:t>万元以下的罚款；</w:t>
      </w:r>
    </w:p>
    <w:p w14:paraId="5EE55EEA">
      <w:pPr>
        <w:spacing w:before="178" w:line="290" w:lineRule="auto"/>
        <w:ind w:left="513" w:right="2252" w:hanging="12"/>
        <w:rPr>
          <w:rFonts w:ascii="宋体" w:hAnsi="宋体" w:eastAsia="宋体" w:cs="宋体"/>
          <w:sz w:val="24"/>
          <w:szCs w:val="24"/>
          <w:lang w:eastAsia="zh-CN"/>
        </w:rPr>
      </w:pPr>
      <w:r>
        <w:rPr>
          <w:rFonts w:ascii="宋体" w:hAnsi="宋体" w:eastAsia="宋体" w:cs="宋体"/>
          <w:spacing w:val="-3"/>
          <w:sz w:val="24"/>
          <w:szCs w:val="24"/>
          <w:lang w:eastAsia="zh-CN"/>
        </w:rPr>
        <w:t>（四）特别重大事故接受</w:t>
      </w:r>
      <w:r>
        <w:rPr>
          <w:rFonts w:ascii="Times New Roman" w:hAnsi="Times New Roman" w:eastAsia="Times New Roman" w:cs="Times New Roman"/>
          <w:spacing w:val="-3"/>
          <w:sz w:val="24"/>
          <w:szCs w:val="24"/>
          <w:lang w:eastAsia="zh-CN"/>
        </w:rPr>
        <w:t xml:space="preserve">200  </w:t>
      </w:r>
      <w:r>
        <w:rPr>
          <w:rFonts w:ascii="宋体" w:hAnsi="宋体" w:eastAsia="宋体" w:cs="宋体"/>
          <w:spacing w:val="-3"/>
          <w:sz w:val="24"/>
          <w:szCs w:val="24"/>
          <w:lang w:eastAsia="zh-CN"/>
        </w:rPr>
        <w:t>万元以上</w:t>
      </w:r>
      <w:r>
        <w:rPr>
          <w:rFonts w:ascii="Times New Roman" w:hAnsi="Times New Roman" w:eastAsia="Times New Roman" w:cs="Times New Roman"/>
          <w:spacing w:val="-3"/>
          <w:sz w:val="24"/>
          <w:szCs w:val="24"/>
          <w:lang w:eastAsia="zh-CN"/>
        </w:rPr>
        <w:t xml:space="preserve">500  </w:t>
      </w:r>
      <w:r>
        <w:rPr>
          <w:rFonts w:ascii="宋体" w:hAnsi="宋体" w:eastAsia="宋体" w:cs="宋体"/>
          <w:spacing w:val="-3"/>
          <w:sz w:val="24"/>
          <w:szCs w:val="24"/>
          <w:lang w:eastAsia="zh-CN"/>
        </w:rPr>
        <w:t>万元以下的罚款；</w:t>
      </w:r>
      <w:r>
        <w:rPr>
          <w:rFonts w:ascii="宋体" w:hAnsi="宋体" w:eastAsia="宋体" w:cs="宋体"/>
          <w:spacing w:val="-2"/>
          <w:sz w:val="24"/>
          <w:szCs w:val="24"/>
          <w:lang w:eastAsia="zh-CN"/>
        </w:rPr>
        <w:t>同时接受有关部门作出的暂扣或者吊销有关证照的处罚。</w:t>
      </w:r>
    </w:p>
    <w:p w14:paraId="7D1AF5F1">
      <w:pPr>
        <w:spacing w:before="181" w:line="335" w:lineRule="auto"/>
        <w:ind w:left="11" w:right="81" w:firstLine="478"/>
        <w:jc w:val="both"/>
        <w:rPr>
          <w:rFonts w:ascii="宋体" w:hAnsi="宋体" w:eastAsia="宋体" w:cs="宋体"/>
          <w:sz w:val="24"/>
          <w:szCs w:val="24"/>
          <w:lang w:eastAsia="zh-CN"/>
        </w:rPr>
      </w:pPr>
      <w:r>
        <w:rPr>
          <w:rFonts w:ascii="宋体" w:hAnsi="宋体" w:eastAsia="宋体" w:cs="宋体"/>
          <w:sz w:val="24"/>
          <w:szCs w:val="24"/>
          <w:lang w:eastAsia="zh-CN"/>
        </w:rPr>
        <w:t>三、如发生不依法报告或者妨碍、拒绝事故调查处理等严重</w:t>
      </w:r>
      <w:r>
        <w:rPr>
          <w:rFonts w:ascii="宋体" w:hAnsi="宋体" w:eastAsia="宋体" w:cs="宋体"/>
          <w:spacing w:val="-1"/>
          <w:sz w:val="24"/>
          <w:szCs w:val="24"/>
          <w:lang w:eastAsia="zh-CN"/>
        </w:rPr>
        <w:t>行为，单位接受</w:t>
      </w:r>
      <w:r>
        <w:rPr>
          <w:rFonts w:ascii="Times New Roman" w:hAnsi="Times New Roman" w:eastAsia="Times New Roman" w:cs="Times New Roman"/>
          <w:spacing w:val="-1"/>
          <w:sz w:val="24"/>
          <w:szCs w:val="24"/>
          <w:lang w:eastAsia="zh-CN"/>
        </w:rPr>
        <w:t>100</w:t>
      </w:r>
      <w:r>
        <w:rPr>
          <w:rFonts w:ascii="宋体" w:hAnsi="宋体" w:eastAsia="宋体" w:cs="宋体"/>
          <w:spacing w:val="-1"/>
          <w:sz w:val="24"/>
          <w:szCs w:val="24"/>
          <w:lang w:eastAsia="zh-CN"/>
        </w:rPr>
        <w:t>万</w:t>
      </w:r>
      <w:r>
        <w:rPr>
          <w:rFonts w:ascii="宋体" w:hAnsi="宋体" w:eastAsia="宋体" w:cs="宋体"/>
          <w:spacing w:val="-2"/>
          <w:sz w:val="24"/>
          <w:szCs w:val="24"/>
          <w:lang w:eastAsia="zh-CN"/>
        </w:rPr>
        <w:t>元以上</w:t>
      </w:r>
      <w:r>
        <w:rPr>
          <w:rFonts w:ascii="Times New Roman" w:hAnsi="Times New Roman" w:eastAsia="Times New Roman" w:cs="Times New Roman"/>
          <w:spacing w:val="-2"/>
          <w:sz w:val="24"/>
          <w:szCs w:val="24"/>
          <w:lang w:eastAsia="zh-CN"/>
        </w:rPr>
        <w:t xml:space="preserve">500  </w:t>
      </w:r>
      <w:r>
        <w:rPr>
          <w:rFonts w:ascii="宋体" w:hAnsi="宋体" w:eastAsia="宋体" w:cs="宋体"/>
          <w:spacing w:val="-2"/>
          <w:sz w:val="24"/>
          <w:szCs w:val="24"/>
          <w:lang w:eastAsia="zh-CN"/>
        </w:rPr>
        <w:t>万元以下的罚款。法定代表人（实际控制人）接受</w:t>
      </w:r>
      <w:r>
        <w:rPr>
          <w:rFonts w:ascii="宋体" w:hAnsi="宋体" w:eastAsia="宋体" w:cs="宋体"/>
          <w:spacing w:val="-3"/>
          <w:sz w:val="24"/>
          <w:szCs w:val="24"/>
          <w:lang w:eastAsia="zh-CN"/>
        </w:rPr>
        <w:t>上一年年收入</w:t>
      </w:r>
      <w:r>
        <w:rPr>
          <w:rFonts w:ascii="Times New Roman" w:hAnsi="Times New Roman" w:eastAsia="Times New Roman" w:cs="Times New Roman"/>
          <w:spacing w:val="-3"/>
          <w:sz w:val="24"/>
          <w:szCs w:val="24"/>
          <w:lang w:eastAsia="zh-CN"/>
        </w:rPr>
        <w:t>60%</w:t>
      </w:r>
      <w:r>
        <w:rPr>
          <w:rFonts w:ascii="宋体" w:hAnsi="宋体" w:eastAsia="宋体" w:cs="宋体"/>
          <w:spacing w:val="-3"/>
          <w:sz w:val="24"/>
          <w:szCs w:val="24"/>
          <w:lang w:eastAsia="zh-CN"/>
        </w:rPr>
        <w:t>至</w:t>
      </w:r>
      <w:r>
        <w:rPr>
          <w:rFonts w:ascii="Times New Roman" w:hAnsi="Times New Roman" w:eastAsia="Times New Roman" w:cs="Times New Roman"/>
          <w:spacing w:val="-3"/>
          <w:sz w:val="24"/>
          <w:szCs w:val="24"/>
          <w:lang w:eastAsia="zh-CN"/>
        </w:rPr>
        <w:t>100%</w:t>
      </w:r>
      <w:r>
        <w:rPr>
          <w:rFonts w:ascii="宋体" w:hAnsi="宋体" w:eastAsia="宋体" w:cs="宋体"/>
          <w:sz w:val="24"/>
          <w:szCs w:val="24"/>
          <w:lang w:eastAsia="zh-CN"/>
        </w:rPr>
        <w:t>的罚款；并接受相应的党纪、政纪处分；构成犯</w:t>
      </w:r>
      <w:r>
        <w:rPr>
          <w:rFonts w:ascii="宋体" w:hAnsi="宋体" w:eastAsia="宋体" w:cs="宋体"/>
          <w:spacing w:val="-1"/>
          <w:sz w:val="24"/>
          <w:szCs w:val="24"/>
          <w:lang w:eastAsia="zh-CN"/>
        </w:rPr>
        <w:t>罪的，接受相应的刑事处罚。</w:t>
      </w:r>
    </w:p>
    <w:p w14:paraId="4788A038">
      <w:pPr>
        <w:spacing w:before="94" w:line="219" w:lineRule="auto"/>
        <w:ind w:left="489"/>
        <w:rPr>
          <w:rFonts w:ascii="宋体" w:hAnsi="宋体" w:eastAsia="宋体" w:cs="宋体"/>
          <w:sz w:val="24"/>
          <w:szCs w:val="24"/>
          <w:lang w:eastAsia="zh-CN"/>
        </w:rPr>
      </w:pPr>
      <w:r>
        <w:rPr>
          <w:rFonts w:ascii="宋体" w:hAnsi="宋体" w:eastAsia="宋体" w:cs="宋体"/>
          <w:spacing w:val="4"/>
          <w:sz w:val="24"/>
          <w:szCs w:val="24"/>
          <w:lang w:eastAsia="zh-CN"/>
        </w:rPr>
        <w:t>承诺单位</w:t>
      </w:r>
      <w:r>
        <w:rPr>
          <w:rFonts w:ascii="宋体" w:hAnsi="宋体" w:eastAsia="宋体" w:cs="宋体"/>
          <w:spacing w:val="-18"/>
          <w:sz w:val="24"/>
          <w:szCs w:val="24"/>
          <w:lang w:eastAsia="zh-CN"/>
        </w:rPr>
        <w:t>：（</w:t>
      </w:r>
      <w:r>
        <w:rPr>
          <w:rFonts w:ascii="宋体" w:hAnsi="宋体" w:eastAsia="宋体" w:cs="宋体"/>
          <w:spacing w:val="4"/>
          <w:sz w:val="24"/>
          <w:szCs w:val="24"/>
          <w:lang w:eastAsia="zh-CN"/>
        </w:rPr>
        <w:t>章）</w:t>
      </w:r>
    </w:p>
    <w:p w14:paraId="7437E7C4">
      <w:pPr>
        <w:spacing w:before="184" w:line="219" w:lineRule="auto"/>
        <w:ind w:left="490"/>
        <w:rPr>
          <w:rFonts w:ascii="宋体" w:hAnsi="宋体" w:eastAsia="宋体" w:cs="宋体"/>
          <w:sz w:val="24"/>
          <w:szCs w:val="24"/>
          <w:lang w:eastAsia="zh-CN"/>
        </w:rPr>
      </w:pPr>
      <w:r>
        <w:rPr>
          <w:rFonts w:ascii="宋体" w:hAnsi="宋体" w:eastAsia="宋体" w:cs="宋体"/>
          <w:spacing w:val="2"/>
          <w:sz w:val="24"/>
          <w:szCs w:val="24"/>
          <w:lang w:eastAsia="zh-CN"/>
        </w:rPr>
        <w:t>法人代表</w:t>
      </w:r>
      <w:r>
        <w:rPr>
          <w:rFonts w:ascii="宋体" w:hAnsi="宋体" w:eastAsia="宋体" w:cs="宋体"/>
          <w:spacing w:val="-16"/>
          <w:sz w:val="24"/>
          <w:szCs w:val="24"/>
          <w:lang w:eastAsia="zh-CN"/>
        </w:rPr>
        <w:t>：（</w:t>
      </w:r>
      <w:r>
        <w:rPr>
          <w:rFonts w:ascii="宋体" w:hAnsi="宋体" w:eastAsia="宋体" w:cs="宋体"/>
          <w:spacing w:val="2"/>
          <w:sz w:val="24"/>
          <w:szCs w:val="24"/>
          <w:lang w:eastAsia="zh-CN"/>
        </w:rPr>
        <w:t>签字或签章）</w:t>
      </w:r>
    </w:p>
    <w:p w14:paraId="5A36289B">
      <w:pPr>
        <w:spacing w:before="181" w:line="219" w:lineRule="auto"/>
        <w:ind w:left="495"/>
        <w:rPr>
          <w:rFonts w:ascii="宋体" w:hAnsi="宋体" w:eastAsia="宋体" w:cs="宋体"/>
          <w:sz w:val="24"/>
          <w:szCs w:val="24"/>
          <w:lang w:eastAsia="zh-CN"/>
        </w:rPr>
      </w:pPr>
      <w:r>
        <w:rPr>
          <w:rFonts w:ascii="宋体" w:hAnsi="宋体" w:eastAsia="宋体" w:cs="宋体"/>
          <w:spacing w:val="1"/>
          <w:sz w:val="24"/>
          <w:szCs w:val="24"/>
          <w:lang w:eastAsia="zh-CN"/>
        </w:rPr>
        <w:t>实际控制人</w:t>
      </w:r>
      <w:r>
        <w:rPr>
          <w:rFonts w:ascii="宋体" w:hAnsi="宋体" w:eastAsia="宋体" w:cs="宋体"/>
          <w:spacing w:val="-14"/>
          <w:sz w:val="24"/>
          <w:szCs w:val="24"/>
          <w:lang w:eastAsia="zh-CN"/>
        </w:rPr>
        <w:t>：（</w:t>
      </w:r>
      <w:r>
        <w:rPr>
          <w:rFonts w:ascii="宋体" w:hAnsi="宋体" w:eastAsia="宋体" w:cs="宋体"/>
          <w:spacing w:val="1"/>
          <w:sz w:val="24"/>
          <w:szCs w:val="24"/>
          <w:lang w:eastAsia="zh-CN"/>
        </w:rPr>
        <w:t>签字或签章）</w:t>
      </w:r>
    </w:p>
    <w:p w14:paraId="7A4D3096">
      <w:pPr>
        <w:tabs>
          <w:tab w:val="left" w:pos="7150"/>
        </w:tabs>
        <w:spacing w:before="183" w:line="220" w:lineRule="auto"/>
        <w:ind w:left="6551"/>
        <w:rPr>
          <w:rFonts w:ascii="宋体" w:hAnsi="宋体" w:eastAsia="宋体" w:cs="宋体"/>
          <w:sz w:val="24"/>
          <w:szCs w:val="24"/>
          <w:lang w:eastAsia="zh-CN"/>
        </w:rPr>
      </w:pPr>
      <w:r>
        <w:rPr>
          <w:rFonts w:ascii="宋体" w:hAnsi="宋体" w:eastAsia="宋体" w:cs="宋体"/>
          <w:spacing w:val="-9"/>
          <w:sz w:val="24"/>
          <w:szCs w:val="24"/>
          <w:lang w:eastAsia="zh-CN"/>
        </w:rPr>
        <w:t>年</w:t>
      </w:r>
      <w:r>
        <w:rPr>
          <w:rFonts w:hint="eastAsia" w:ascii="宋体" w:hAnsi="宋体" w:eastAsia="宋体" w:cs="宋体"/>
          <w:spacing w:val="-9"/>
          <w:sz w:val="24"/>
          <w:szCs w:val="24"/>
          <w:lang w:eastAsia="zh-CN"/>
        </w:rPr>
        <w:t xml:space="preserve">   </w:t>
      </w:r>
      <w:r>
        <w:rPr>
          <w:rFonts w:ascii="宋体" w:hAnsi="宋体" w:eastAsia="宋体" w:cs="宋体"/>
          <w:spacing w:val="-9"/>
          <w:sz w:val="24"/>
          <w:szCs w:val="24"/>
          <w:lang w:eastAsia="zh-CN"/>
        </w:rPr>
        <w:t>月</w:t>
      </w:r>
      <w:r>
        <w:rPr>
          <w:rFonts w:hint="eastAsia" w:ascii="宋体" w:hAnsi="宋体" w:eastAsia="宋体" w:cs="宋体"/>
          <w:spacing w:val="-9"/>
          <w:sz w:val="24"/>
          <w:szCs w:val="24"/>
          <w:lang w:eastAsia="zh-CN"/>
        </w:rPr>
        <w:t xml:space="preserve">   </w:t>
      </w:r>
      <w:r>
        <w:rPr>
          <w:rFonts w:ascii="宋体" w:hAnsi="宋体" w:eastAsia="宋体" w:cs="宋体"/>
          <w:spacing w:val="-9"/>
          <w:sz w:val="24"/>
          <w:szCs w:val="24"/>
          <w:lang w:eastAsia="zh-CN"/>
        </w:rPr>
        <w:t>日</w:t>
      </w:r>
    </w:p>
    <w:p w14:paraId="5FC5B2D6">
      <w:pPr>
        <w:spacing w:line="220" w:lineRule="auto"/>
        <w:rPr>
          <w:rFonts w:ascii="宋体" w:hAnsi="宋体" w:eastAsia="宋体" w:cs="宋体"/>
          <w:sz w:val="24"/>
          <w:szCs w:val="24"/>
          <w:lang w:eastAsia="zh-CN"/>
        </w:rPr>
        <w:sectPr>
          <w:headerReference r:id="rId20" w:type="default"/>
          <w:footerReference r:id="rId21" w:type="default"/>
          <w:pgSz w:w="11907" w:h="16840"/>
          <w:pgMar w:top="1297" w:right="1053" w:bottom="1029" w:left="1701" w:header="1283" w:footer="850" w:gutter="0"/>
          <w:pgNumType w:fmt="decimal"/>
          <w:cols w:space="720" w:num="1"/>
        </w:sectPr>
      </w:pPr>
    </w:p>
    <w:p w14:paraId="177F1425">
      <w:pPr>
        <w:spacing w:before="156" w:line="219" w:lineRule="auto"/>
        <w:ind w:left="28"/>
        <w:rPr>
          <w:rFonts w:ascii="宋体" w:hAnsi="宋体" w:eastAsia="宋体" w:cs="宋体"/>
          <w:sz w:val="24"/>
          <w:szCs w:val="24"/>
          <w:lang w:eastAsia="zh-CN"/>
        </w:rPr>
      </w:pPr>
      <w:r>
        <w:rPr>
          <w:rFonts w:ascii="宋体" w:hAnsi="宋体" w:eastAsia="宋体" w:cs="宋体"/>
          <w:b/>
          <w:bCs/>
          <w:spacing w:val="-5"/>
          <w:sz w:val="24"/>
          <w:szCs w:val="24"/>
          <w:lang w:eastAsia="zh-CN"/>
        </w:rPr>
        <w:t>附件三：项目廉政责任书</w:t>
      </w:r>
    </w:p>
    <w:p w14:paraId="1EC3E075">
      <w:pPr>
        <w:spacing w:before="180" w:line="219" w:lineRule="auto"/>
        <w:ind w:left="3705"/>
        <w:outlineLvl w:val="0"/>
        <w:rPr>
          <w:rFonts w:ascii="宋体" w:hAnsi="宋体" w:eastAsia="宋体" w:cs="宋体"/>
          <w:sz w:val="24"/>
          <w:szCs w:val="24"/>
          <w:lang w:eastAsia="zh-CN"/>
        </w:rPr>
      </w:pPr>
      <w:r>
        <w:rPr>
          <w:rFonts w:ascii="宋体" w:hAnsi="宋体" w:eastAsia="宋体" w:cs="宋体"/>
          <w:b/>
          <w:bCs/>
          <w:spacing w:val="-4"/>
          <w:sz w:val="24"/>
          <w:szCs w:val="24"/>
          <w:lang w:eastAsia="zh-CN"/>
        </w:rPr>
        <w:t>项目廉政责任书</w:t>
      </w:r>
    </w:p>
    <w:p w14:paraId="34783188">
      <w:pPr>
        <w:spacing w:before="181" w:line="347" w:lineRule="auto"/>
        <w:ind w:left="12" w:right="152" w:firstLine="1742" w:firstLineChars="726"/>
        <w:rPr>
          <w:rFonts w:ascii="宋体" w:hAnsi="宋体" w:eastAsia="宋体" w:cs="宋体"/>
          <w:color w:val="auto"/>
          <w:sz w:val="24"/>
          <w:szCs w:val="24"/>
          <w:u w:val="none"/>
          <w:lang w:eastAsia="zh-CN"/>
        </w:rPr>
      </w:pPr>
      <w:r>
        <w:rPr>
          <w:rFonts w:ascii="宋体" w:hAnsi="宋体" w:eastAsia="宋体" w:cs="宋体"/>
          <w:color w:val="auto"/>
          <w:sz w:val="24"/>
          <w:szCs w:val="24"/>
          <w:lang w:eastAsia="zh-CN"/>
        </w:rPr>
        <w:t>项目名称：</w:t>
      </w:r>
      <w:r>
        <w:rPr>
          <w:rFonts w:hint="eastAsia" w:asciiTheme="minorEastAsia" w:hAnsiTheme="minorEastAsia" w:eastAsiaTheme="minorEastAsia" w:cstheme="minorEastAsia"/>
          <w:b w:val="0"/>
          <w:bCs w:val="0"/>
          <w:sz w:val="24"/>
          <w:u w:val="none"/>
          <w:lang w:val="en-US" w:eastAsia="zh-CN"/>
        </w:rPr>
        <w:t xml:space="preserve"> </w:t>
      </w:r>
      <w:r>
        <w:rPr>
          <w:rFonts w:hint="eastAsia" w:ascii="宋体" w:hAnsi="宋体" w:eastAsia="宋体" w:cs="宋体"/>
          <w:color w:val="auto"/>
          <w:spacing w:val="-2"/>
          <w:sz w:val="24"/>
          <w:szCs w:val="24"/>
          <w:u w:val="none"/>
          <w:lang w:eastAsia="zh-CN"/>
        </w:rPr>
        <w:t xml:space="preserve">   </w:t>
      </w:r>
    </w:p>
    <w:p w14:paraId="162482FA">
      <w:pPr>
        <w:spacing w:before="32" w:line="220" w:lineRule="auto"/>
        <w:ind w:left="493"/>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项目地址：北京市门头沟区</w:t>
      </w:r>
      <w:r>
        <w:rPr>
          <w:rFonts w:hint="eastAsia" w:ascii="宋体" w:hAnsi="宋体" w:eastAsia="宋体" w:cs="宋体"/>
          <w:color w:val="auto"/>
          <w:spacing w:val="-2"/>
          <w:sz w:val="24"/>
          <w:szCs w:val="24"/>
          <w:lang w:eastAsia="zh-CN"/>
        </w:rPr>
        <w:t>王平镇</w:t>
      </w:r>
    </w:p>
    <w:p w14:paraId="3CFDE344">
      <w:pPr>
        <w:spacing w:before="182" w:line="219" w:lineRule="auto"/>
        <w:ind w:left="520"/>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甲方：北京市门头沟区王平镇人民政府</w:t>
      </w:r>
    </w:p>
    <w:p w14:paraId="5624674E">
      <w:pPr>
        <w:spacing w:before="181" w:line="220" w:lineRule="auto"/>
        <w:ind w:left="509"/>
        <w:rPr>
          <w:rFonts w:ascii="宋体" w:hAnsi="宋体" w:eastAsia="宋体" w:cs="宋体"/>
          <w:color w:val="auto"/>
          <w:sz w:val="24"/>
          <w:szCs w:val="24"/>
          <w:u w:val="none"/>
          <w:lang w:eastAsia="zh-CN"/>
        </w:rPr>
      </w:pPr>
      <w:r>
        <w:rPr>
          <w:rFonts w:ascii="宋体" w:hAnsi="宋体" w:eastAsia="宋体" w:cs="宋体"/>
          <w:color w:val="auto"/>
          <w:spacing w:val="-2"/>
          <w:sz w:val="24"/>
          <w:szCs w:val="24"/>
          <w:lang w:eastAsia="zh-CN"/>
        </w:rPr>
        <w:t>乙方：</w:t>
      </w:r>
      <w:r>
        <w:rPr>
          <w:rFonts w:hint="eastAsia" w:asciiTheme="minorEastAsia" w:hAnsiTheme="minorEastAsia" w:eastAsiaTheme="minorEastAsia" w:cstheme="minorEastAsia"/>
          <w:color w:val="000000"/>
          <w:sz w:val="24"/>
          <w:u w:val="none"/>
          <w:lang w:val="en-US" w:eastAsia="zh-CN"/>
        </w:rPr>
        <w:t xml:space="preserve">   </w:t>
      </w:r>
      <w:r>
        <w:rPr>
          <w:rFonts w:hint="eastAsia" w:ascii="宋体" w:hAnsi="宋体" w:eastAsia="宋体" w:cs="宋体"/>
          <w:color w:val="auto"/>
          <w:spacing w:val="-3"/>
          <w:sz w:val="24"/>
          <w:szCs w:val="24"/>
          <w:u w:val="none"/>
          <w:lang w:eastAsia="zh-CN"/>
        </w:rPr>
        <w:t xml:space="preserve"> </w:t>
      </w:r>
    </w:p>
    <w:p w14:paraId="58A79AF3">
      <w:pPr>
        <w:spacing w:before="181" w:line="350" w:lineRule="auto"/>
        <w:ind w:left="9" w:right="80" w:firstLine="482"/>
        <w:rPr>
          <w:rFonts w:ascii="宋体" w:hAnsi="宋体" w:eastAsia="宋体" w:cs="宋体"/>
          <w:sz w:val="24"/>
          <w:szCs w:val="24"/>
          <w:lang w:eastAsia="zh-CN"/>
        </w:rPr>
      </w:pPr>
      <w:r>
        <w:rPr>
          <w:rFonts w:ascii="宋体" w:hAnsi="宋体" w:eastAsia="宋体" w:cs="宋体"/>
          <w:color w:val="auto"/>
          <w:spacing w:val="-2"/>
          <w:sz w:val="24"/>
          <w:szCs w:val="24"/>
          <w:lang w:eastAsia="zh-CN"/>
        </w:rPr>
        <w:t>为加强项目建设中的廉政建设，规范建设项目承发</w:t>
      </w:r>
      <w:r>
        <w:rPr>
          <w:rFonts w:ascii="宋体" w:hAnsi="宋体" w:eastAsia="宋体" w:cs="宋体"/>
          <w:spacing w:val="-2"/>
          <w:sz w:val="24"/>
          <w:szCs w:val="24"/>
          <w:lang w:eastAsia="zh-CN"/>
        </w:rPr>
        <w:t>包双方的各项活动，防止发生各种谋取不正当利益的违法违纪行为，保护国家、集体和当事人的合法权益，根据国家有</w:t>
      </w:r>
      <w:r>
        <w:rPr>
          <w:rFonts w:ascii="宋体" w:hAnsi="宋体" w:eastAsia="宋体" w:cs="宋体"/>
          <w:sz w:val="24"/>
          <w:szCs w:val="24"/>
          <w:lang w:eastAsia="zh-CN"/>
        </w:rPr>
        <w:t>关工程建设的法律法规和廉政建设责任制规定</w:t>
      </w:r>
      <w:r>
        <w:rPr>
          <w:rFonts w:ascii="宋体" w:hAnsi="宋体" w:eastAsia="宋体" w:cs="宋体"/>
          <w:spacing w:val="-1"/>
          <w:sz w:val="24"/>
          <w:szCs w:val="24"/>
          <w:lang w:eastAsia="zh-CN"/>
        </w:rPr>
        <w:t>，特订立本廉政责任书。</w:t>
      </w:r>
    </w:p>
    <w:p w14:paraId="0848D3E0">
      <w:pPr>
        <w:spacing w:before="35" w:line="220" w:lineRule="auto"/>
        <w:ind w:left="489"/>
        <w:rPr>
          <w:rFonts w:ascii="宋体" w:hAnsi="宋体" w:eastAsia="宋体" w:cs="宋体"/>
          <w:sz w:val="24"/>
          <w:szCs w:val="24"/>
          <w:lang w:eastAsia="zh-CN"/>
        </w:rPr>
      </w:pPr>
      <w:r>
        <w:rPr>
          <w:rFonts w:ascii="宋体" w:hAnsi="宋体" w:eastAsia="宋体" w:cs="宋体"/>
          <w:spacing w:val="-5"/>
          <w:sz w:val="24"/>
          <w:szCs w:val="24"/>
          <w:lang w:eastAsia="zh-CN"/>
        </w:rPr>
        <w:t>第一条甲乙双方的责任</w:t>
      </w:r>
    </w:p>
    <w:p w14:paraId="6E2DD3F8">
      <w:pPr>
        <w:spacing w:before="182" w:line="289" w:lineRule="auto"/>
        <w:ind w:left="13" w:right="80" w:firstLine="487"/>
        <w:rPr>
          <w:rFonts w:ascii="宋体" w:hAnsi="宋体" w:eastAsia="宋体" w:cs="宋体"/>
          <w:sz w:val="24"/>
          <w:szCs w:val="24"/>
          <w:lang w:eastAsia="zh-CN"/>
        </w:rPr>
      </w:pPr>
      <w:r>
        <w:rPr>
          <w:rFonts w:ascii="宋体" w:hAnsi="宋体" w:eastAsia="宋体" w:cs="宋体"/>
          <w:spacing w:val="-2"/>
          <w:sz w:val="24"/>
          <w:szCs w:val="24"/>
          <w:lang w:eastAsia="zh-CN"/>
        </w:rPr>
        <w:t>（一）应严格遵守国家关于市场准入、项目招标投标、工程建设、施工安装和市场</w:t>
      </w:r>
      <w:r>
        <w:rPr>
          <w:rFonts w:ascii="宋体" w:hAnsi="宋体" w:eastAsia="宋体" w:cs="宋体"/>
          <w:spacing w:val="-1"/>
          <w:sz w:val="24"/>
          <w:szCs w:val="24"/>
          <w:lang w:eastAsia="zh-CN"/>
        </w:rPr>
        <w:t>活动的有关法律、法规，相关政策，以及廉政建设的各项规定。</w:t>
      </w:r>
    </w:p>
    <w:p w14:paraId="36C51AEE">
      <w:pPr>
        <w:spacing w:before="182" w:line="220" w:lineRule="auto"/>
        <w:ind w:left="501"/>
        <w:rPr>
          <w:rFonts w:ascii="宋体" w:hAnsi="宋体" w:eastAsia="宋体" w:cs="宋体"/>
          <w:sz w:val="24"/>
          <w:szCs w:val="24"/>
          <w:lang w:eastAsia="zh-CN"/>
        </w:rPr>
      </w:pPr>
      <w:r>
        <w:rPr>
          <w:rFonts w:ascii="宋体" w:hAnsi="宋体" w:eastAsia="宋体" w:cs="宋体"/>
          <w:spacing w:val="-1"/>
          <w:sz w:val="24"/>
          <w:szCs w:val="24"/>
          <w:lang w:eastAsia="zh-CN"/>
        </w:rPr>
        <w:t>（二）严格执行工程项目承发包合同文件，自觉按合同办事。</w:t>
      </w:r>
    </w:p>
    <w:p w14:paraId="4CAE10DF">
      <w:pPr>
        <w:spacing w:before="180" w:line="313" w:lineRule="auto"/>
        <w:ind w:left="10" w:right="80" w:firstLine="490"/>
        <w:rPr>
          <w:rFonts w:ascii="宋体" w:hAnsi="宋体" w:eastAsia="宋体" w:cs="宋体"/>
          <w:sz w:val="24"/>
          <w:szCs w:val="24"/>
          <w:lang w:eastAsia="zh-CN"/>
        </w:rPr>
      </w:pPr>
      <w:r>
        <w:rPr>
          <w:rFonts w:ascii="宋体" w:hAnsi="宋体" w:eastAsia="宋体" w:cs="宋体"/>
          <w:spacing w:val="-2"/>
          <w:sz w:val="24"/>
          <w:szCs w:val="24"/>
          <w:lang w:eastAsia="zh-CN"/>
        </w:rPr>
        <w:t>（三）业务活动必须坚持公开、公平、公正、诚信、透明的原则（除法律法规另有</w:t>
      </w:r>
      <w:r>
        <w:rPr>
          <w:rFonts w:ascii="宋体" w:hAnsi="宋体" w:eastAsia="宋体" w:cs="宋体"/>
          <w:spacing w:val="-1"/>
          <w:sz w:val="24"/>
          <w:szCs w:val="24"/>
          <w:lang w:eastAsia="zh-CN"/>
        </w:rPr>
        <w:t>规定者外</w:t>
      </w:r>
      <w:r>
        <w:rPr>
          <w:rFonts w:ascii="宋体" w:hAnsi="宋体" w:eastAsia="宋体" w:cs="宋体"/>
          <w:spacing w:val="-5"/>
          <w:sz w:val="24"/>
          <w:szCs w:val="24"/>
          <w:lang w:eastAsia="zh-CN"/>
        </w:rPr>
        <w:t>），</w:t>
      </w:r>
      <w:r>
        <w:rPr>
          <w:rFonts w:ascii="宋体" w:hAnsi="宋体" w:eastAsia="宋体" w:cs="宋体"/>
          <w:spacing w:val="-1"/>
          <w:sz w:val="24"/>
          <w:szCs w:val="24"/>
          <w:lang w:eastAsia="zh-CN"/>
        </w:rPr>
        <w:t>不得为获取不正当的利益，损害国家、</w:t>
      </w:r>
      <w:r>
        <w:rPr>
          <w:rFonts w:ascii="宋体" w:hAnsi="宋体" w:eastAsia="宋体" w:cs="宋体"/>
          <w:spacing w:val="-2"/>
          <w:sz w:val="24"/>
          <w:szCs w:val="24"/>
          <w:lang w:eastAsia="zh-CN"/>
        </w:rPr>
        <w:t>集体和对方利益，不得违反工程建</w:t>
      </w:r>
      <w:r>
        <w:rPr>
          <w:rFonts w:ascii="宋体" w:hAnsi="宋体" w:eastAsia="宋体" w:cs="宋体"/>
          <w:spacing w:val="-1"/>
          <w:sz w:val="24"/>
          <w:szCs w:val="24"/>
          <w:lang w:eastAsia="zh-CN"/>
        </w:rPr>
        <w:t>设管理、施工安装的规章制度。</w:t>
      </w:r>
    </w:p>
    <w:p w14:paraId="1E1A2816">
      <w:pPr>
        <w:spacing w:before="180" w:line="289" w:lineRule="auto"/>
        <w:ind w:left="10" w:right="80" w:firstLine="490"/>
        <w:rPr>
          <w:rFonts w:ascii="宋体" w:hAnsi="宋体" w:eastAsia="宋体" w:cs="宋体"/>
          <w:sz w:val="24"/>
          <w:szCs w:val="24"/>
          <w:lang w:eastAsia="zh-CN"/>
        </w:rPr>
      </w:pPr>
      <w:r>
        <w:rPr>
          <w:rFonts w:ascii="宋体" w:hAnsi="宋体" w:eastAsia="宋体" w:cs="宋体"/>
          <w:spacing w:val="-2"/>
          <w:sz w:val="24"/>
          <w:szCs w:val="24"/>
          <w:lang w:eastAsia="zh-CN"/>
        </w:rPr>
        <w:t>（四）发现对方在业务活动中有违规、违纪、违法行为的，应及时提醒对方，情节</w:t>
      </w:r>
      <w:r>
        <w:rPr>
          <w:rFonts w:ascii="宋体" w:hAnsi="宋体" w:eastAsia="宋体" w:cs="宋体"/>
          <w:spacing w:val="-1"/>
          <w:sz w:val="24"/>
          <w:szCs w:val="24"/>
          <w:lang w:eastAsia="zh-CN"/>
        </w:rPr>
        <w:t>严重的，应向其上级主管部门或纪检监察、司法等有关机关举报。</w:t>
      </w:r>
    </w:p>
    <w:p w14:paraId="3C604BA1">
      <w:pPr>
        <w:spacing w:before="183" w:line="347" w:lineRule="auto"/>
        <w:ind w:left="32" w:right="152" w:firstLine="457"/>
        <w:rPr>
          <w:rFonts w:ascii="宋体" w:hAnsi="宋体" w:eastAsia="宋体" w:cs="宋体"/>
          <w:sz w:val="24"/>
          <w:szCs w:val="24"/>
          <w:lang w:eastAsia="zh-CN"/>
        </w:rPr>
      </w:pPr>
      <w:r>
        <w:rPr>
          <w:rFonts w:ascii="宋体" w:hAnsi="宋体" w:eastAsia="宋体" w:cs="宋体"/>
          <w:spacing w:val="-1"/>
          <w:sz w:val="24"/>
          <w:szCs w:val="24"/>
          <w:lang w:eastAsia="zh-CN"/>
        </w:rPr>
        <w:t>第二条甲方的责任甲方的领导和从事该项目</w:t>
      </w:r>
      <w:r>
        <w:rPr>
          <w:rFonts w:ascii="宋体" w:hAnsi="宋体" w:eastAsia="宋体" w:cs="宋体"/>
          <w:spacing w:val="-2"/>
          <w:sz w:val="24"/>
          <w:szCs w:val="24"/>
          <w:lang w:eastAsia="zh-CN"/>
        </w:rPr>
        <w:t>的工作人员，在工程建设的事前、事</w:t>
      </w:r>
      <w:r>
        <w:rPr>
          <w:rFonts w:ascii="宋体" w:hAnsi="宋体" w:eastAsia="宋体" w:cs="宋体"/>
          <w:spacing w:val="-3"/>
          <w:sz w:val="24"/>
          <w:szCs w:val="24"/>
          <w:lang w:eastAsia="zh-CN"/>
        </w:rPr>
        <w:t>中、事后应遵守以下规定：</w:t>
      </w:r>
    </w:p>
    <w:p w14:paraId="45378BC2">
      <w:pPr>
        <w:spacing w:before="31" w:line="290" w:lineRule="auto"/>
        <w:ind w:left="23" w:right="80" w:firstLine="478"/>
        <w:rPr>
          <w:rFonts w:ascii="宋体" w:hAnsi="宋体" w:eastAsia="宋体" w:cs="宋体"/>
          <w:sz w:val="24"/>
          <w:szCs w:val="24"/>
          <w:lang w:eastAsia="zh-CN"/>
        </w:rPr>
      </w:pPr>
      <w:r>
        <w:rPr>
          <w:rFonts w:ascii="宋体" w:hAnsi="宋体" w:eastAsia="宋体" w:cs="宋体"/>
          <w:spacing w:val="-2"/>
          <w:sz w:val="24"/>
          <w:szCs w:val="24"/>
          <w:lang w:eastAsia="zh-CN"/>
        </w:rPr>
        <w:t>（一）不准向乙方和相关单位索要或接受回扣、礼金、有价证券、贵重物品和好处</w:t>
      </w:r>
      <w:r>
        <w:rPr>
          <w:rFonts w:ascii="宋体" w:hAnsi="宋体" w:eastAsia="宋体" w:cs="宋体"/>
          <w:spacing w:val="-4"/>
          <w:sz w:val="24"/>
          <w:szCs w:val="24"/>
          <w:lang w:eastAsia="zh-CN"/>
        </w:rPr>
        <w:t>费、感谢费等。</w:t>
      </w:r>
    </w:p>
    <w:p w14:paraId="4AC0B46A">
      <w:pPr>
        <w:spacing w:before="180" w:line="220" w:lineRule="auto"/>
        <w:ind w:left="501"/>
        <w:rPr>
          <w:rFonts w:ascii="宋体" w:hAnsi="宋体" w:eastAsia="宋体" w:cs="宋体"/>
          <w:sz w:val="24"/>
          <w:szCs w:val="24"/>
          <w:lang w:eastAsia="zh-CN"/>
        </w:rPr>
      </w:pPr>
      <w:r>
        <w:rPr>
          <w:rFonts w:ascii="宋体" w:hAnsi="宋体" w:eastAsia="宋体" w:cs="宋体"/>
          <w:spacing w:val="-1"/>
          <w:sz w:val="24"/>
          <w:szCs w:val="24"/>
          <w:lang w:eastAsia="zh-CN"/>
        </w:rPr>
        <w:t>（二）不准在乙方和相关单位报销任何应由甲方或个人支付的费用。</w:t>
      </w:r>
    </w:p>
    <w:p w14:paraId="6384FC4C">
      <w:pPr>
        <w:spacing w:before="181" w:line="289" w:lineRule="auto"/>
        <w:ind w:left="16" w:right="80" w:firstLine="485"/>
        <w:rPr>
          <w:rFonts w:ascii="宋体" w:hAnsi="宋体" w:eastAsia="宋体" w:cs="宋体"/>
          <w:sz w:val="24"/>
          <w:szCs w:val="24"/>
          <w:lang w:eastAsia="zh-CN"/>
        </w:rPr>
      </w:pPr>
      <w:r>
        <w:rPr>
          <w:rFonts w:ascii="宋体" w:hAnsi="宋体" w:eastAsia="宋体" w:cs="宋体"/>
          <w:spacing w:val="-2"/>
          <w:sz w:val="24"/>
          <w:szCs w:val="24"/>
          <w:lang w:eastAsia="zh-CN"/>
        </w:rPr>
        <w:t>（三）不准要求、暗示或接受乙方和相关单位为个人装修住房、婚丧嫁娶、配偶子</w:t>
      </w:r>
      <w:r>
        <w:rPr>
          <w:rFonts w:ascii="宋体" w:hAnsi="宋体" w:eastAsia="宋体" w:cs="宋体"/>
          <w:spacing w:val="-1"/>
          <w:sz w:val="24"/>
          <w:szCs w:val="24"/>
          <w:lang w:eastAsia="zh-CN"/>
        </w:rPr>
        <w:t>女的工作安排以及出国（境）、旅游等提供方便。</w:t>
      </w:r>
    </w:p>
    <w:p w14:paraId="418FA7FE">
      <w:pPr>
        <w:spacing w:before="184" w:line="289" w:lineRule="auto"/>
        <w:ind w:left="13" w:right="80" w:firstLine="487"/>
        <w:rPr>
          <w:rFonts w:ascii="宋体" w:hAnsi="宋体" w:eastAsia="宋体" w:cs="宋体"/>
          <w:sz w:val="24"/>
          <w:szCs w:val="24"/>
          <w:lang w:eastAsia="zh-CN"/>
        </w:rPr>
      </w:pPr>
      <w:r>
        <w:rPr>
          <w:rFonts w:ascii="宋体" w:hAnsi="宋体" w:eastAsia="宋体" w:cs="宋体"/>
          <w:spacing w:val="-2"/>
          <w:sz w:val="24"/>
          <w:szCs w:val="24"/>
          <w:lang w:eastAsia="zh-CN"/>
        </w:rPr>
        <w:t>（四）不准参加有可能影响公正执行公务的乙方和相关单位的宴请、健身、娱乐等</w:t>
      </w:r>
      <w:r>
        <w:rPr>
          <w:rFonts w:ascii="宋体" w:hAnsi="宋体" w:eastAsia="宋体" w:cs="宋体"/>
          <w:spacing w:val="-5"/>
          <w:sz w:val="24"/>
          <w:szCs w:val="24"/>
          <w:lang w:eastAsia="zh-CN"/>
        </w:rPr>
        <w:t>活动。</w:t>
      </w:r>
    </w:p>
    <w:p w14:paraId="136C17BF">
      <w:pPr>
        <w:spacing w:before="181" w:line="289" w:lineRule="auto"/>
        <w:ind w:left="9" w:firstLine="491"/>
        <w:rPr>
          <w:rFonts w:ascii="宋体" w:hAnsi="宋体" w:eastAsia="宋体" w:cs="宋体"/>
          <w:sz w:val="24"/>
          <w:szCs w:val="24"/>
          <w:lang w:eastAsia="zh-CN"/>
        </w:rPr>
      </w:pPr>
      <w:r>
        <w:rPr>
          <w:rFonts w:ascii="宋体" w:hAnsi="宋体" w:eastAsia="宋体" w:cs="宋体"/>
          <w:spacing w:val="-6"/>
          <w:sz w:val="24"/>
          <w:szCs w:val="24"/>
          <w:lang w:eastAsia="zh-CN"/>
        </w:rPr>
        <w:t>（五）不准向乙方介绍或为配偶、子女、亲属参与同甲方项目施工</w:t>
      </w:r>
      <w:r>
        <w:rPr>
          <w:rFonts w:ascii="宋体" w:hAnsi="宋体" w:eastAsia="宋体" w:cs="宋体"/>
          <w:spacing w:val="-7"/>
          <w:sz w:val="24"/>
          <w:szCs w:val="24"/>
          <w:lang w:eastAsia="zh-CN"/>
        </w:rPr>
        <w:t>合同有关的设备、</w:t>
      </w:r>
      <w:r>
        <w:rPr>
          <w:rFonts w:ascii="宋体" w:hAnsi="宋体" w:eastAsia="宋体" w:cs="宋体"/>
          <w:spacing w:val="-2"/>
          <w:sz w:val="24"/>
          <w:szCs w:val="24"/>
          <w:lang w:eastAsia="zh-CN"/>
        </w:rPr>
        <w:t>材料分包、劳务等经济活动。不得以任何理由要求乙方和相关单位推荐分包单位和要求</w:t>
      </w:r>
    </w:p>
    <w:p w14:paraId="4330D66B">
      <w:pPr>
        <w:spacing w:line="289" w:lineRule="auto"/>
        <w:rPr>
          <w:rFonts w:ascii="宋体" w:hAnsi="宋体" w:eastAsia="宋体" w:cs="宋体"/>
          <w:sz w:val="24"/>
          <w:szCs w:val="24"/>
          <w:lang w:eastAsia="zh-CN"/>
        </w:rPr>
        <w:sectPr>
          <w:footerReference r:id="rId22" w:type="default"/>
          <w:pgSz w:w="11907" w:h="16840"/>
          <w:pgMar w:top="1297" w:right="1053" w:bottom="1029" w:left="1701" w:header="1283" w:footer="850" w:gutter="0"/>
          <w:pgNumType w:fmt="decimal"/>
          <w:cols w:space="720" w:num="1"/>
        </w:sectPr>
      </w:pPr>
    </w:p>
    <w:p w14:paraId="69542C9A">
      <w:pPr>
        <w:spacing w:before="155" w:line="345" w:lineRule="auto"/>
        <w:ind w:left="489" w:right="3830" w:hanging="460"/>
        <w:rPr>
          <w:rFonts w:ascii="宋体" w:hAnsi="宋体" w:eastAsia="宋体" w:cs="宋体"/>
          <w:sz w:val="24"/>
          <w:szCs w:val="24"/>
          <w:lang w:eastAsia="zh-CN"/>
        </w:rPr>
      </w:pPr>
      <w:r>
        <w:rPr>
          <w:rFonts w:ascii="宋体" w:hAnsi="宋体" w:eastAsia="宋体" w:cs="宋体"/>
          <w:spacing w:val="-3"/>
          <w:sz w:val="24"/>
          <w:szCs w:val="24"/>
          <w:lang w:eastAsia="zh-CN"/>
        </w:rPr>
        <w:t>乙方购买项目施工合同约定以外的材料、设</w:t>
      </w:r>
      <w:r>
        <w:rPr>
          <w:rFonts w:ascii="宋体" w:hAnsi="宋体" w:eastAsia="宋体" w:cs="宋体"/>
          <w:spacing w:val="-4"/>
          <w:sz w:val="24"/>
          <w:szCs w:val="24"/>
          <w:lang w:eastAsia="zh-CN"/>
        </w:rPr>
        <w:t>备等。</w:t>
      </w:r>
      <w:r>
        <w:rPr>
          <w:rFonts w:ascii="宋体" w:hAnsi="宋体" w:eastAsia="宋体" w:cs="宋体"/>
          <w:spacing w:val="-5"/>
          <w:sz w:val="24"/>
          <w:szCs w:val="24"/>
          <w:lang w:eastAsia="zh-CN"/>
        </w:rPr>
        <w:t>第三条乙方的责任</w:t>
      </w:r>
    </w:p>
    <w:p w14:paraId="3EA6F7AB">
      <w:pPr>
        <w:spacing w:before="38" w:line="350" w:lineRule="auto"/>
        <w:ind w:left="12" w:firstLine="477"/>
        <w:jc w:val="both"/>
        <w:rPr>
          <w:rFonts w:ascii="宋体" w:hAnsi="宋体" w:eastAsia="宋体" w:cs="宋体"/>
          <w:sz w:val="24"/>
          <w:szCs w:val="24"/>
          <w:lang w:eastAsia="zh-CN"/>
        </w:rPr>
      </w:pPr>
      <w:r>
        <w:rPr>
          <w:rFonts w:ascii="宋体" w:hAnsi="宋体" w:eastAsia="宋体" w:cs="宋体"/>
          <w:spacing w:val="-2"/>
          <w:sz w:val="24"/>
          <w:szCs w:val="24"/>
          <w:lang w:eastAsia="zh-CN"/>
        </w:rPr>
        <w:t>应与甲方保持正常的业务交往，按照有关法律法规和程序开展业务工作，严格执行工程建设的有关方针、政策，尤其是有关建筑施工安装的强制性标准和规范，并遵守以</w:t>
      </w:r>
      <w:r>
        <w:rPr>
          <w:rFonts w:ascii="宋体" w:hAnsi="宋体" w:eastAsia="宋体" w:cs="宋体"/>
          <w:spacing w:val="-4"/>
          <w:sz w:val="24"/>
          <w:szCs w:val="24"/>
          <w:lang w:eastAsia="zh-CN"/>
        </w:rPr>
        <w:t>下规定：</w:t>
      </w:r>
    </w:p>
    <w:p w14:paraId="5C5574D0">
      <w:pPr>
        <w:spacing w:before="36" w:line="288" w:lineRule="auto"/>
        <w:ind w:left="10" w:firstLine="490"/>
        <w:rPr>
          <w:rFonts w:ascii="宋体" w:hAnsi="宋体" w:eastAsia="宋体" w:cs="宋体"/>
          <w:sz w:val="24"/>
          <w:szCs w:val="24"/>
          <w:lang w:eastAsia="zh-CN"/>
        </w:rPr>
      </w:pPr>
      <w:r>
        <w:rPr>
          <w:rFonts w:ascii="宋体" w:hAnsi="宋体" w:eastAsia="宋体" w:cs="宋体"/>
          <w:spacing w:val="-2"/>
          <w:sz w:val="24"/>
          <w:szCs w:val="24"/>
          <w:lang w:eastAsia="zh-CN"/>
        </w:rPr>
        <w:t>（一）不准以任何理由向甲方、相关单位及其工作人员索要、接受或赠送礼金、有</w:t>
      </w:r>
      <w:r>
        <w:rPr>
          <w:rFonts w:ascii="宋体" w:hAnsi="宋体" w:eastAsia="宋体" w:cs="宋体"/>
          <w:spacing w:val="-1"/>
          <w:sz w:val="24"/>
          <w:szCs w:val="24"/>
          <w:lang w:eastAsia="zh-CN"/>
        </w:rPr>
        <w:t>价证券、贵重物品和回扣、好处费、感谢费等。</w:t>
      </w:r>
    </w:p>
    <w:p w14:paraId="5F87EF5C">
      <w:pPr>
        <w:spacing w:before="183" w:line="220" w:lineRule="auto"/>
        <w:ind w:left="501"/>
        <w:rPr>
          <w:rFonts w:ascii="宋体" w:hAnsi="宋体" w:eastAsia="宋体" w:cs="宋体"/>
          <w:sz w:val="24"/>
          <w:szCs w:val="24"/>
          <w:lang w:eastAsia="zh-CN"/>
        </w:rPr>
      </w:pPr>
      <w:r>
        <w:rPr>
          <w:rFonts w:ascii="宋体" w:hAnsi="宋体" w:eastAsia="宋体" w:cs="宋体"/>
          <w:spacing w:val="-1"/>
          <w:sz w:val="24"/>
          <w:szCs w:val="24"/>
          <w:lang w:eastAsia="zh-CN"/>
        </w:rPr>
        <w:t>（二）不准以任何理由为甲方和相关单位报销应由对方或个人支付的费用。</w:t>
      </w:r>
    </w:p>
    <w:p w14:paraId="6DC1F3A8">
      <w:pPr>
        <w:spacing w:before="178" w:line="290" w:lineRule="auto"/>
        <w:ind w:left="12" w:firstLine="488"/>
        <w:rPr>
          <w:rFonts w:ascii="宋体" w:hAnsi="宋体" w:eastAsia="宋体" w:cs="宋体"/>
          <w:sz w:val="24"/>
          <w:szCs w:val="24"/>
          <w:lang w:eastAsia="zh-CN"/>
        </w:rPr>
      </w:pPr>
      <w:r>
        <w:rPr>
          <w:rFonts w:ascii="宋体" w:hAnsi="宋体" w:eastAsia="宋体" w:cs="宋体"/>
          <w:spacing w:val="-2"/>
          <w:sz w:val="24"/>
          <w:szCs w:val="24"/>
          <w:lang w:eastAsia="zh-CN"/>
        </w:rPr>
        <w:t>（三）不准接受或暗示为甲方、相关单位或个人装修住房、婚丧嫁娶、配偶子女的</w:t>
      </w:r>
      <w:r>
        <w:rPr>
          <w:rFonts w:ascii="宋体" w:hAnsi="宋体" w:eastAsia="宋体" w:cs="宋体"/>
          <w:spacing w:val="-1"/>
          <w:sz w:val="24"/>
          <w:szCs w:val="24"/>
          <w:lang w:eastAsia="zh-CN"/>
        </w:rPr>
        <w:t>工作安排以及出国（境）、旅游等提供方便。</w:t>
      </w:r>
    </w:p>
    <w:p w14:paraId="5A9BD4BF">
      <w:pPr>
        <w:spacing w:before="181" w:line="290" w:lineRule="auto"/>
        <w:ind w:left="8" w:firstLine="493"/>
        <w:rPr>
          <w:rFonts w:ascii="宋体" w:hAnsi="宋体" w:eastAsia="宋体" w:cs="宋体"/>
          <w:sz w:val="24"/>
          <w:szCs w:val="24"/>
          <w:lang w:eastAsia="zh-CN"/>
        </w:rPr>
      </w:pPr>
      <w:r>
        <w:rPr>
          <w:rFonts w:ascii="宋体" w:hAnsi="宋体" w:eastAsia="宋体" w:cs="宋体"/>
          <w:spacing w:val="-2"/>
          <w:sz w:val="24"/>
          <w:szCs w:val="24"/>
          <w:lang w:eastAsia="zh-CN"/>
        </w:rPr>
        <w:t>（四）不准以任何理由为甲方、相关单位或个人组织有可能影响公正执行公务的宴</w:t>
      </w:r>
      <w:r>
        <w:rPr>
          <w:rFonts w:ascii="宋体" w:hAnsi="宋体" w:eastAsia="宋体" w:cs="宋体"/>
          <w:spacing w:val="-1"/>
          <w:sz w:val="24"/>
          <w:szCs w:val="24"/>
          <w:lang w:eastAsia="zh-CN"/>
        </w:rPr>
        <w:t>请、健身、娱乐等活动。</w:t>
      </w:r>
    </w:p>
    <w:p w14:paraId="3482E3D7">
      <w:pPr>
        <w:spacing w:before="179" w:line="220" w:lineRule="auto"/>
        <w:ind w:left="489"/>
        <w:rPr>
          <w:rFonts w:ascii="宋体" w:hAnsi="宋体" w:eastAsia="宋体" w:cs="宋体"/>
          <w:sz w:val="24"/>
          <w:szCs w:val="24"/>
          <w:lang w:eastAsia="zh-CN"/>
        </w:rPr>
      </w:pPr>
      <w:r>
        <w:rPr>
          <w:rFonts w:ascii="宋体" w:hAnsi="宋体" w:eastAsia="宋体" w:cs="宋体"/>
          <w:spacing w:val="-2"/>
          <w:sz w:val="24"/>
          <w:szCs w:val="24"/>
          <w:lang w:eastAsia="zh-CN"/>
        </w:rPr>
        <w:t>第四条 违约责任</w:t>
      </w:r>
    </w:p>
    <w:p w14:paraId="476827CA">
      <w:pPr>
        <w:spacing w:before="181" w:line="313" w:lineRule="auto"/>
        <w:ind w:left="10" w:firstLine="490"/>
        <w:rPr>
          <w:rFonts w:ascii="宋体" w:hAnsi="宋体" w:eastAsia="宋体" w:cs="宋体"/>
          <w:sz w:val="24"/>
          <w:szCs w:val="24"/>
          <w:lang w:eastAsia="zh-CN"/>
        </w:rPr>
      </w:pPr>
      <w:r>
        <w:rPr>
          <w:rFonts w:ascii="宋体" w:hAnsi="宋体" w:eastAsia="宋体" w:cs="宋体"/>
          <w:spacing w:val="-2"/>
          <w:sz w:val="24"/>
          <w:szCs w:val="24"/>
          <w:lang w:eastAsia="zh-CN"/>
        </w:rPr>
        <w:t>（一）甲方工作人员有违反本责任书第一、二条责任行为的，按照管理权限，依据有关法律法规和规定给予党纪、政纪处分或组织处理；涉嫌犯罪的，移交司法机关追究</w:t>
      </w:r>
      <w:r>
        <w:rPr>
          <w:rFonts w:ascii="宋体" w:hAnsi="宋体" w:eastAsia="宋体" w:cs="宋体"/>
          <w:spacing w:val="-1"/>
          <w:sz w:val="24"/>
          <w:szCs w:val="24"/>
          <w:lang w:eastAsia="zh-CN"/>
        </w:rPr>
        <w:t>刑事责任；给乙方单位造成经济损失的，应予以赔偿。</w:t>
      </w:r>
    </w:p>
    <w:p w14:paraId="03AA6907">
      <w:pPr>
        <w:spacing w:before="183" w:line="312" w:lineRule="auto"/>
        <w:ind w:left="10" w:firstLine="490"/>
        <w:rPr>
          <w:rFonts w:ascii="宋体" w:hAnsi="宋体" w:eastAsia="宋体" w:cs="宋体"/>
          <w:sz w:val="24"/>
          <w:szCs w:val="24"/>
          <w:lang w:eastAsia="zh-CN"/>
        </w:rPr>
      </w:pPr>
      <w:r>
        <w:rPr>
          <w:rFonts w:ascii="宋体" w:hAnsi="宋体" w:eastAsia="宋体" w:cs="宋体"/>
          <w:spacing w:val="-2"/>
          <w:sz w:val="24"/>
          <w:szCs w:val="24"/>
          <w:lang w:eastAsia="zh-CN"/>
        </w:rPr>
        <w:t>（二）乙方工作人员有违反本责任书第一、三条责任行为的，按照管理权限，依据有关法律法规和规定给予党纪、政纪处分或组织处理；涉嫌犯罪的，移交司法机关追究</w:t>
      </w:r>
      <w:r>
        <w:rPr>
          <w:rFonts w:ascii="宋体" w:hAnsi="宋体" w:eastAsia="宋体" w:cs="宋体"/>
          <w:spacing w:val="-1"/>
          <w:sz w:val="24"/>
          <w:szCs w:val="24"/>
          <w:lang w:eastAsia="zh-CN"/>
        </w:rPr>
        <w:t>刑事责任；给甲方单位造成经济损失的，应予以赔偿。</w:t>
      </w:r>
    </w:p>
    <w:p w14:paraId="20EDB8B9">
      <w:pPr>
        <w:spacing w:before="182" w:line="346" w:lineRule="auto"/>
        <w:ind w:left="10" w:right="71" w:firstLine="479"/>
        <w:rPr>
          <w:rFonts w:ascii="宋体" w:hAnsi="宋体" w:eastAsia="宋体" w:cs="宋体"/>
          <w:sz w:val="24"/>
          <w:szCs w:val="24"/>
          <w:lang w:eastAsia="zh-CN"/>
        </w:rPr>
      </w:pPr>
      <w:r>
        <w:rPr>
          <w:rFonts w:ascii="宋体" w:hAnsi="宋体" w:eastAsia="宋体" w:cs="宋体"/>
          <w:sz w:val="24"/>
          <w:szCs w:val="24"/>
          <w:lang w:eastAsia="zh-CN"/>
        </w:rPr>
        <w:t>第五条 本责任书作为施工合同的附件，与施工合同具有</w:t>
      </w:r>
      <w:r>
        <w:rPr>
          <w:rFonts w:ascii="宋体" w:hAnsi="宋体" w:eastAsia="宋体" w:cs="宋体"/>
          <w:spacing w:val="-1"/>
          <w:sz w:val="24"/>
          <w:szCs w:val="24"/>
          <w:lang w:eastAsia="zh-CN"/>
        </w:rPr>
        <w:t>同等法律效力。经双方签字（或签章）并加盖单位公章后生效。</w:t>
      </w:r>
    </w:p>
    <w:p w14:paraId="7A0A0157">
      <w:pPr>
        <w:spacing w:before="34" w:line="219" w:lineRule="auto"/>
        <w:ind w:left="489"/>
        <w:rPr>
          <w:rFonts w:ascii="宋体" w:hAnsi="宋体" w:eastAsia="宋体" w:cs="宋体"/>
          <w:sz w:val="24"/>
          <w:szCs w:val="24"/>
          <w:lang w:eastAsia="zh-CN"/>
        </w:rPr>
      </w:pPr>
      <w:r>
        <w:rPr>
          <w:rFonts w:ascii="宋体" w:hAnsi="宋体" w:eastAsia="宋体" w:cs="宋体"/>
          <w:sz w:val="24"/>
          <w:szCs w:val="24"/>
          <w:lang w:eastAsia="zh-CN"/>
        </w:rPr>
        <w:t>第六条 本责任书的有效期为生效之日起至该</w:t>
      </w:r>
      <w:r>
        <w:rPr>
          <w:rFonts w:ascii="宋体" w:hAnsi="宋体" w:eastAsia="宋体" w:cs="宋体"/>
          <w:spacing w:val="-1"/>
          <w:sz w:val="24"/>
          <w:szCs w:val="24"/>
          <w:lang w:eastAsia="zh-CN"/>
        </w:rPr>
        <w:t>项目竣工验收合格时止。</w:t>
      </w:r>
    </w:p>
    <w:p w14:paraId="50D27606">
      <w:pPr>
        <w:spacing w:before="182" w:line="345" w:lineRule="auto"/>
        <w:ind w:left="9" w:right="71" w:firstLine="480"/>
        <w:rPr>
          <w:rFonts w:ascii="宋体" w:hAnsi="宋体" w:eastAsia="宋体" w:cs="宋体"/>
          <w:sz w:val="24"/>
          <w:szCs w:val="24"/>
          <w:lang w:eastAsia="zh-CN"/>
        </w:rPr>
      </w:pPr>
      <w:r>
        <w:rPr>
          <w:rFonts w:ascii="宋体" w:hAnsi="宋体" w:eastAsia="宋体" w:cs="宋体"/>
          <w:sz w:val="24"/>
          <w:szCs w:val="24"/>
          <w:lang w:eastAsia="zh-CN"/>
        </w:rPr>
        <w:t>第七条 本责任书一式四份，由甲乙双方各执一份，送交</w:t>
      </w:r>
      <w:r>
        <w:rPr>
          <w:rFonts w:ascii="宋体" w:hAnsi="宋体" w:eastAsia="宋体" w:cs="宋体"/>
          <w:spacing w:val="-1"/>
          <w:sz w:val="24"/>
          <w:szCs w:val="24"/>
          <w:lang w:eastAsia="zh-CN"/>
        </w:rPr>
        <w:t>甲乙双方的监督单位各一</w:t>
      </w:r>
      <w:r>
        <w:rPr>
          <w:rFonts w:ascii="宋体" w:hAnsi="宋体" w:eastAsia="宋体" w:cs="宋体"/>
          <w:spacing w:val="-5"/>
          <w:sz w:val="24"/>
          <w:szCs w:val="24"/>
          <w:lang w:eastAsia="zh-CN"/>
        </w:rPr>
        <w:t>份。</w:t>
      </w:r>
    </w:p>
    <w:p w14:paraId="16CAF145">
      <w:pPr>
        <w:spacing w:before="38" w:line="219" w:lineRule="auto"/>
        <w:ind w:left="520"/>
        <w:rPr>
          <w:rFonts w:ascii="宋体" w:hAnsi="宋体" w:eastAsia="宋体" w:cs="宋体"/>
          <w:sz w:val="24"/>
          <w:szCs w:val="24"/>
          <w:lang w:eastAsia="zh-CN"/>
        </w:rPr>
      </w:pPr>
      <w:r>
        <w:rPr>
          <w:rFonts w:ascii="宋体" w:hAnsi="宋体" w:eastAsia="宋体" w:cs="宋体"/>
          <w:spacing w:val="1"/>
          <w:sz w:val="24"/>
          <w:szCs w:val="24"/>
          <w:lang w:eastAsia="zh-CN"/>
        </w:rPr>
        <w:t>甲方单位</w:t>
      </w:r>
      <w:r>
        <w:rPr>
          <w:rFonts w:ascii="宋体" w:hAnsi="宋体" w:eastAsia="宋体" w:cs="宋体"/>
          <w:spacing w:val="-18"/>
          <w:sz w:val="24"/>
          <w:szCs w:val="24"/>
          <w:lang w:eastAsia="zh-CN"/>
        </w:rPr>
        <w:t>：（</w:t>
      </w:r>
      <w:r>
        <w:rPr>
          <w:rFonts w:ascii="宋体" w:hAnsi="宋体" w:eastAsia="宋体" w:cs="宋体"/>
          <w:spacing w:val="1"/>
          <w:sz w:val="24"/>
          <w:szCs w:val="24"/>
          <w:lang w:eastAsia="zh-CN"/>
        </w:rPr>
        <w:t>盖章）              乙方单位</w:t>
      </w:r>
      <w:r>
        <w:rPr>
          <w:rFonts w:ascii="宋体" w:hAnsi="宋体" w:eastAsia="宋体" w:cs="宋体"/>
          <w:spacing w:val="-18"/>
          <w:sz w:val="24"/>
          <w:szCs w:val="24"/>
          <w:lang w:eastAsia="zh-CN"/>
        </w:rPr>
        <w:t>：（</w:t>
      </w:r>
      <w:r>
        <w:rPr>
          <w:rFonts w:ascii="宋体" w:hAnsi="宋体" w:eastAsia="宋体" w:cs="宋体"/>
          <w:spacing w:val="1"/>
          <w:sz w:val="24"/>
          <w:szCs w:val="24"/>
          <w:lang w:eastAsia="zh-CN"/>
        </w:rPr>
        <w:t>盖章）</w:t>
      </w:r>
    </w:p>
    <w:p w14:paraId="64F85A66">
      <w:pPr>
        <w:spacing w:before="181" w:line="219" w:lineRule="auto"/>
        <w:ind w:left="490"/>
        <w:rPr>
          <w:rFonts w:ascii="宋体" w:hAnsi="宋体" w:eastAsia="宋体" w:cs="宋体"/>
          <w:sz w:val="24"/>
          <w:szCs w:val="24"/>
          <w:lang w:eastAsia="zh-CN"/>
        </w:rPr>
      </w:pPr>
      <w:r>
        <w:rPr>
          <w:rFonts w:ascii="宋体" w:hAnsi="宋体" w:eastAsia="宋体" w:cs="宋体"/>
          <w:spacing w:val="2"/>
          <w:sz w:val="24"/>
          <w:szCs w:val="24"/>
          <w:lang w:eastAsia="zh-CN"/>
        </w:rPr>
        <w:t>法定代表人</w:t>
      </w:r>
      <w:r>
        <w:rPr>
          <w:rFonts w:ascii="宋体" w:hAnsi="宋体" w:eastAsia="宋体" w:cs="宋体"/>
          <w:spacing w:val="-17"/>
          <w:sz w:val="24"/>
          <w:szCs w:val="24"/>
          <w:lang w:eastAsia="zh-CN"/>
        </w:rPr>
        <w:t>：（</w:t>
      </w:r>
      <w:r>
        <w:rPr>
          <w:rFonts w:ascii="宋体" w:hAnsi="宋体" w:eastAsia="宋体" w:cs="宋体"/>
          <w:spacing w:val="2"/>
          <w:sz w:val="24"/>
          <w:szCs w:val="24"/>
          <w:lang w:eastAsia="zh-CN"/>
        </w:rPr>
        <w:t>签字或签章）      法定代表人</w:t>
      </w:r>
      <w:r>
        <w:rPr>
          <w:rFonts w:ascii="宋体" w:hAnsi="宋体" w:eastAsia="宋体" w:cs="宋体"/>
          <w:spacing w:val="-17"/>
          <w:sz w:val="24"/>
          <w:szCs w:val="24"/>
          <w:lang w:eastAsia="zh-CN"/>
        </w:rPr>
        <w:t>：（</w:t>
      </w:r>
      <w:r>
        <w:rPr>
          <w:rFonts w:ascii="宋体" w:hAnsi="宋体" w:eastAsia="宋体" w:cs="宋体"/>
          <w:spacing w:val="2"/>
          <w:sz w:val="24"/>
          <w:szCs w:val="24"/>
          <w:lang w:eastAsia="zh-CN"/>
        </w:rPr>
        <w:t>签字或签章）</w:t>
      </w:r>
    </w:p>
    <w:p w14:paraId="49D82EA4">
      <w:pPr>
        <w:spacing w:before="183" w:line="219" w:lineRule="auto"/>
        <w:ind w:left="492"/>
        <w:rPr>
          <w:rFonts w:ascii="宋体" w:hAnsi="宋体" w:eastAsia="宋体" w:cs="宋体"/>
          <w:sz w:val="24"/>
          <w:szCs w:val="24"/>
          <w:lang w:eastAsia="zh-CN"/>
        </w:rPr>
      </w:pPr>
      <w:r>
        <w:rPr>
          <w:rFonts w:ascii="宋体" w:hAnsi="宋体" w:eastAsia="宋体" w:cs="宋体"/>
          <w:spacing w:val="2"/>
          <w:sz w:val="24"/>
          <w:szCs w:val="24"/>
          <w:lang w:eastAsia="zh-CN"/>
        </w:rPr>
        <w:t>或委托代理人</w:t>
      </w:r>
      <w:r>
        <w:rPr>
          <w:rFonts w:ascii="宋体" w:hAnsi="宋体" w:eastAsia="宋体" w:cs="宋体"/>
          <w:spacing w:val="-18"/>
          <w:sz w:val="24"/>
          <w:szCs w:val="24"/>
          <w:lang w:eastAsia="zh-CN"/>
        </w:rPr>
        <w:t>：（</w:t>
      </w:r>
      <w:r>
        <w:rPr>
          <w:rFonts w:ascii="宋体" w:hAnsi="宋体" w:eastAsia="宋体" w:cs="宋体"/>
          <w:spacing w:val="2"/>
          <w:sz w:val="24"/>
          <w:szCs w:val="24"/>
          <w:lang w:eastAsia="zh-CN"/>
        </w:rPr>
        <w:t>签字或签章）    或委托代理人</w:t>
      </w:r>
      <w:r>
        <w:rPr>
          <w:rFonts w:ascii="宋体" w:hAnsi="宋体" w:eastAsia="宋体" w:cs="宋体"/>
          <w:spacing w:val="-18"/>
          <w:sz w:val="24"/>
          <w:szCs w:val="24"/>
          <w:lang w:eastAsia="zh-CN"/>
        </w:rPr>
        <w:t>：（</w:t>
      </w:r>
      <w:r>
        <w:rPr>
          <w:rFonts w:ascii="宋体" w:hAnsi="宋体" w:eastAsia="宋体" w:cs="宋体"/>
          <w:spacing w:val="2"/>
          <w:sz w:val="24"/>
          <w:szCs w:val="24"/>
          <w:lang w:eastAsia="zh-CN"/>
        </w:rPr>
        <w:t>签字或签章）</w:t>
      </w:r>
    </w:p>
    <w:p w14:paraId="4CCA50CD">
      <w:pPr>
        <w:spacing w:before="181" w:line="229" w:lineRule="auto"/>
        <w:ind w:left="489"/>
        <w:rPr>
          <w:rFonts w:ascii="宋体" w:hAnsi="宋体" w:eastAsia="宋体" w:cs="宋体"/>
          <w:sz w:val="24"/>
          <w:szCs w:val="24"/>
          <w:lang w:eastAsia="zh-CN"/>
        </w:rPr>
      </w:pPr>
      <w:r>
        <w:rPr>
          <w:rFonts w:ascii="宋体" w:hAnsi="宋体" w:eastAsia="宋体" w:cs="宋体"/>
          <w:spacing w:val="-4"/>
          <w:sz w:val="24"/>
          <w:szCs w:val="24"/>
          <w:lang w:eastAsia="zh-CN"/>
        </w:rPr>
        <w:t>地址：</w:t>
      </w:r>
      <w:r>
        <w:rPr>
          <w:rFonts w:hint="eastAsia" w:ascii="宋体" w:hAnsi="宋体" w:eastAsia="宋体" w:cs="宋体"/>
          <w:spacing w:val="-4"/>
          <w:sz w:val="24"/>
          <w:szCs w:val="24"/>
          <w:lang w:eastAsia="zh-CN"/>
        </w:rPr>
        <w:t xml:space="preserve">                            </w:t>
      </w:r>
      <w:r>
        <w:rPr>
          <w:rFonts w:ascii="宋体" w:hAnsi="宋体" w:eastAsia="宋体" w:cs="宋体"/>
          <w:spacing w:val="-4"/>
          <w:sz w:val="24"/>
          <w:szCs w:val="24"/>
          <w:lang w:eastAsia="zh-CN"/>
        </w:rPr>
        <w:t>地址：</w:t>
      </w:r>
    </w:p>
    <w:p w14:paraId="77C5FA0D">
      <w:pPr>
        <w:spacing w:before="170" w:line="222" w:lineRule="auto"/>
        <w:ind w:left="518"/>
        <w:rPr>
          <w:rFonts w:ascii="宋体" w:hAnsi="宋体" w:eastAsia="宋体" w:cs="宋体"/>
          <w:sz w:val="24"/>
          <w:szCs w:val="24"/>
          <w:lang w:eastAsia="zh-CN"/>
        </w:rPr>
      </w:pPr>
      <w:r>
        <w:rPr>
          <w:rFonts w:ascii="宋体" w:hAnsi="宋体" w:eastAsia="宋体" w:cs="宋体"/>
          <w:spacing w:val="-13"/>
          <w:sz w:val="24"/>
          <w:szCs w:val="24"/>
          <w:lang w:eastAsia="zh-CN"/>
        </w:rPr>
        <w:t>电话：</w:t>
      </w:r>
      <w:r>
        <w:rPr>
          <w:rFonts w:hint="eastAsia" w:ascii="宋体" w:hAnsi="宋体" w:eastAsia="宋体" w:cs="宋体"/>
          <w:spacing w:val="-13"/>
          <w:sz w:val="24"/>
          <w:szCs w:val="24"/>
          <w:lang w:eastAsia="zh-CN"/>
        </w:rPr>
        <w:t xml:space="preserve">                                 </w:t>
      </w:r>
      <w:r>
        <w:rPr>
          <w:rFonts w:ascii="宋体" w:hAnsi="宋体" w:eastAsia="宋体" w:cs="宋体"/>
          <w:spacing w:val="-13"/>
          <w:sz w:val="24"/>
          <w:szCs w:val="24"/>
          <w:lang w:eastAsia="zh-CN"/>
        </w:rPr>
        <w:t>电话：</w:t>
      </w:r>
    </w:p>
    <w:p w14:paraId="216748F2">
      <w:pPr>
        <w:spacing w:before="177" w:line="220" w:lineRule="auto"/>
        <w:ind w:left="489" w:leftChars="233" w:firstLine="1648" w:firstLineChars="800"/>
        <w:rPr>
          <w:rFonts w:ascii="宋体" w:hAnsi="宋体" w:eastAsia="宋体" w:cs="宋体"/>
          <w:sz w:val="24"/>
          <w:szCs w:val="24"/>
          <w:lang w:eastAsia="zh-CN"/>
        </w:rPr>
      </w:pPr>
      <w:r>
        <w:rPr>
          <w:rFonts w:ascii="宋体" w:hAnsi="宋体" w:eastAsia="宋体" w:cs="宋体"/>
          <w:spacing w:val="-17"/>
          <w:sz w:val="24"/>
          <w:szCs w:val="24"/>
          <w:lang w:eastAsia="zh-CN"/>
        </w:rPr>
        <w:t>年</w:t>
      </w:r>
      <w:r>
        <w:rPr>
          <w:rFonts w:hint="eastAsia" w:ascii="宋体" w:hAnsi="宋体" w:eastAsia="宋体" w:cs="宋体"/>
          <w:spacing w:val="-17"/>
          <w:sz w:val="24"/>
          <w:szCs w:val="24"/>
          <w:lang w:eastAsia="zh-CN"/>
        </w:rPr>
        <w:t xml:space="preserve">    </w:t>
      </w:r>
      <w:r>
        <w:rPr>
          <w:rFonts w:ascii="宋体" w:hAnsi="宋体" w:eastAsia="宋体" w:cs="宋体"/>
          <w:spacing w:val="-17"/>
          <w:sz w:val="24"/>
          <w:szCs w:val="24"/>
          <w:lang w:eastAsia="zh-CN"/>
        </w:rPr>
        <w:t>月</w:t>
      </w:r>
      <w:r>
        <w:rPr>
          <w:rFonts w:hint="eastAsia" w:ascii="宋体" w:hAnsi="宋体" w:eastAsia="宋体" w:cs="宋体"/>
          <w:spacing w:val="-17"/>
          <w:sz w:val="24"/>
          <w:szCs w:val="24"/>
          <w:lang w:eastAsia="zh-CN"/>
        </w:rPr>
        <w:t xml:space="preserve">    </w:t>
      </w:r>
      <w:r>
        <w:rPr>
          <w:rFonts w:ascii="宋体" w:hAnsi="宋体" w:eastAsia="宋体" w:cs="宋体"/>
          <w:spacing w:val="-17"/>
          <w:sz w:val="24"/>
          <w:szCs w:val="24"/>
          <w:lang w:eastAsia="zh-CN"/>
        </w:rPr>
        <w:t>日</w:t>
      </w:r>
      <w:r>
        <w:rPr>
          <w:rFonts w:hint="eastAsia" w:ascii="宋体" w:hAnsi="宋体" w:eastAsia="宋体" w:cs="宋体"/>
          <w:spacing w:val="-17"/>
          <w:sz w:val="24"/>
          <w:szCs w:val="24"/>
          <w:lang w:eastAsia="zh-CN"/>
        </w:rPr>
        <w:t xml:space="preserve">                     </w:t>
      </w:r>
      <w:r>
        <w:rPr>
          <w:rFonts w:ascii="宋体" w:hAnsi="宋体" w:eastAsia="宋体" w:cs="宋体"/>
          <w:spacing w:val="-17"/>
          <w:sz w:val="24"/>
          <w:szCs w:val="24"/>
          <w:lang w:eastAsia="zh-CN"/>
        </w:rPr>
        <w:t>年</w:t>
      </w:r>
      <w:r>
        <w:rPr>
          <w:rFonts w:hint="eastAsia" w:ascii="宋体" w:hAnsi="宋体" w:eastAsia="宋体" w:cs="宋体"/>
          <w:spacing w:val="-17"/>
          <w:sz w:val="24"/>
          <w:szCs w:val="24"/>
          <w:lang w:eastAsia="zh-CN"/>
        </w:rPr>
        <w:t xml:space="preserve">    </w:t>
      </w:r>
      <w:r>
        <w:rPr>
          <w:rFonts w:ascii="宋体" w:hAnsi="宋体" w:eastAsia="宋体" w:cs="宋体"/>
          <w:spacing w:val="-17"/>
          <w:sz w:val="24"/>
          <w:szCs w:val="24"/>
          <w:lang w:eastAsia="zh-CN"/>
        </w:rPr>
        <w:t>月</w:t>
      </w:r>
      <w:r>
        <w:rPr>
          <w:rFonts w:hint="eastAsia" w:ascii="宋体" w:hAnsi="宋体" w:eastAsia="宋体" w:cs="宋体"/>
          <w:spacing w:val="-17"/>
          <w:sz w:val="24"/>
          <w:szCs w:val="24"/>
          <w:lang w:eastAsia="zh-CN"/>
        </w:rPr>
        <w:t xml:space="preserve">    </w:t>
      </w:r>
      <w:r>
        <w:rPr>
          <w:rFonts w:ascii="宋体" w:hAnsi="宋体" w:eastAsia="宋体" w:cs="宋体"/>
          <w:spacing w:val="-17"/>
          <w:sz w:val="24"/>
          <w:szCs w:val="24"/>
          <w:lang w:eastAsia="zh-CN"/>
        </w:rPr>
        <w:t>日</w:t>
      </w:r>
    </w:p>
    <w:p w14:paraId="17719093">
      <w:pPr>
        <w:spacing w:line="220" w:lineRule="auto"/>
        <w:rPr>
          <w:rFonts w:ascii="宋体" w:hAnsi="宋体" w:eastAsia="宋体" w:cs="宋体"/>
          <w:sz w:val="24"/>
          <w:szCs w:val="24"/>
          <w:lang w:eastAsia="zh-CN"/>
        </w:rPr>
        <w:sectPr>
          <w:headerReference r:id="rId23" w:type="default"/>
          <w:footerReference r:id="rId24" w:type="default"/>
          <w:pgSz w:w="11907" w:h="16840"/>
          <w:pgMar w:top="1297" w:right="1133" w:bottom="1029" w:left="1701" w:header="1283" w:footer="850" w:gutter="0"/>
          <w:pgNumType w:fmt="decimal"/>
          <w:cols w:space="720" w:num="1"/>
        </w:sectPr>
      </w:pPr>
    </w:p>
    <w:p w14:paraId="4E52D3E2">
      <w:pPr>
        <w:spacing w:before="78" w:line="219" w:lineRule="auto"/>
        <w:ind w:left="28"/>
        <w:rPr>
          <w:rFonts w:ascii="宋体" w:hAnsi="宋体" w:eastAsia="宋体" w:cs="宋体"/>
          <w:sz w:val="24"/>
          <w:szCs w:val="24"/>
          <w:lang w:eastAsia="zh-CN"/>
        </w:rPr>
      </w:pPr>
      <w:r>
        <w:rPr>
          <w:rFonts w:ascii="宋体" w:hAnsi="宋体" w:eastAsia="宋体" w:cs="宋体"/>
          <w:b/>
          <w:bCs/>
          <w:spacing w:val="-4"/>
          <w:sz w:val="24"/>
          <w:szCs w:val="24"/>
          <w:lang w:eastAsia="zh-CN"/>
        </w:rPr>
        <w:t>附件四：不拖欠民工工资承诺书</w:t>
      </w:r>
    </w:p>
    <w:p w14:paraId="39670F6F">
      <w:pPr>
        <w:pStyle w:val="17"/>
        <w:spacing w:line="308" w:lineRule="auto"/>
        <w:rPr>
          <w:lang w:eastAsia="zh-CN"/>
        </w:rPr>
      </w:pPr>
    </w:p>
    <w:p w14:paraId="3BD43A59">
      <w:pPr>
        <w:spacing w:before="78" w:line="219" w:lineRule="auto"/>
        <w:ind w:left="3345"/>
        <w:outlineLvl w:val="0"/>
        <w:rPr>
          <w:rFonts w:ascii="宋体" w:hAnsi="宋体" w:eastAsia="宋体" w:cs="宋体"/>
          <w:sz w:val="24"/>
          <w:szCs w:val="24"/>
          <w:lang w:eastAsia="zh-CN"/>
        </w:rPr>
      </w:pPr>
      <w:r>
        <w:rPr>
          <w:rFonts w:ascii="宋体" w:hAnsi="宋体" w:eastAsia="宋体" w:cs="宋体"/>
          <w:b/>
          <w:bCs/>
          <w:spacing w:val="-3"/>
          <w:sz w:val="24"/>
          <w:szCs w:val="24"/>
          <w:lang w:eastAsia="zh-CN"/>
        </w:rPr>
        <w:t>不拖欠民工工资承诺书</w:t>
      </w:r>
    </w:p>
    <w:p w14:paraId="0EE09A88">
      <w:pPr>
        <w:pStyle w:val="17"/>
        <w:spacing w:line="344" w:lineRule="auto"/>
        <w:rPr>
          <w:lang w:eastAsia="zh-CN"/>
        </w:rPr>
      </w:pPr>
    </w:p>
    <w:p w14:paraId="213A43C6">
      <w:pPr>
        <w:pStyle w:val="17"/>
        <w:spacing w:line="345" w:lineRule="auto"/>
        <w:rPr>
          <w:lang w:eastAsia="zh-CN"/>
        </w:rPr>
      </w:pPr>
    </w:p>
    <w:p w14:paraId="0078D00E">
      <w:pPr>
        <w:spacing w:before="78" w:line="337" w:lineRule="auto"/>
        <w:ind w:left="9" w:right="299" w:firstLine="482"/>
        <w:jc w:val="both"/>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为保护民工的合法权益，做到不拖欠民工工资，本人</w:t>
      </w:r>
      <w:r>
        <w:rPr>
          <w:rFonts w:hint="eastAsia" w:ascii="宋体" w:hAnsi="宋体" w:cs="宋体"/>
          <w:color w:val="auto"/>
          <w:spacing w:val="-4"/>
          <w:sz w:val="24"/>
          <w:szCs w:val="24"/>
          <w:u w:val="single"/>
          <w:lang w:val="en-US" w:eastAsia="zh-CN"/>
        </w:rPr>
        <w:t xml:space="preserve">    </w:t>
      </w:r>
      <w:r>
        <w:rPr>
          <w:rFonts w:ascii="宋体" w:hAnsi="宋体" w:eastAsia="宋体" w:cs="宋体"/>
          <w:color w:val="auto"/>
          <w:spacing w:val="-4"/>
          <w:sz w:val="24"/>
          <w:szCs w:val="24"/>
          <w:lang w:eastAsia="zh-CN"/>
        </w:rPr>
        <w:t>以</w:t>
      </w:r>
      <w:r>
        <w:rPr>
          <w:rFonts w:hint="eastAsia" w:ascii="宋体" w:hAnsi="宋体" w:eastAsia="宋体" w:cs="宋体"/>
          <w:color w:val="auto"/>
          <w:spacing w:val="1"/>
          <w:sz w:val="24"/>
          <w:szCs w:val="24"/>
          <w:u w:val="single"/>
          <w:lang w:eastAsia="zh-CN"/>
        </w:rPr>
        <w:t xml:space="preserve"> </w:t>
      </w:r>
      <w:r>
        <w:rPr>
          <w:rFonts w:hint="eastAsia" w:asciiTheme="minorEastAsia" w:hAnsiTheme="minorEastAsia" w:eastAsiaTheme="minorEastAsia" w:cstheme="minorEastAsia"/>
          <w:color w:val="000000"/>
          <w:sz w:val="24"/>
          <w:u w:val="single"/>
          <w:lang w:val="en-US" w:eastAsia="zh-CN"/>
        </w:rPr>
        <w:t xml:space="preserve">   </w:t>
      </w:r>
      <w:r>
        <w:rPr>
          <w:rFonts w:hint="eastAsia" w:ascii="宋体" w:hAnsi="宋体" w:eastAsia="宋体" w:cs="宋体"/>
          <w:color w:val="auto"/>
          <w:spacing w:val="-4"/>
          <w:sz w:val="24"/>
          <w:szCs w:val="24"/>
          <w:u w:val="single"/>
          <w:lang w:eastAsia="zh-CN"/>
        </w:rPr>
        <w:t>(</w:t>
      </w:r>
      <w:r>
        <w:rPr>
          <w:rFonts w:hint="eastAsia" w:ascii="宋体" w:hAnsi="宋体" w:eastAsia="宋体" w:cs="宋体"/>
          <w:color w:val="auto"/>
          <w:spacing w:val="-4"/>
          <w:sz w:val="24"/>
          <w:szCs w:val="24"/>
          <w:lang w:eastAsia="zh-CN"/>
        </w:rPr>
        <w:t>公司名称)</w:t>
      </w:r>
      <w:r>
        <w:rPr>
          <w:rFonts w:ascii="宋体" w:hAnsi="宋体" w:eastAsia="宋体" w:cs="宋体"/>
          <w:color w:val="auto"/>
          <w:spacing w:val="1"/>
          <w:sz w:val="24"/>
          <w:szCs w:val="24"/>
          <w:lang w:eastAsia="zh-CN"/>
        </w:rPr>
        <w:t>法定代表人的身份，郑重承诺：我单位承建的</w:t>
      </w:r>
      <w:r>
        <w:rPr>
          <w:rFonts w:hint="eastAsia" w:asciiTheme="minorEastAsia" w:hAnsiTheme="minorEastAsia" w:eastAsiaTheme="minorEastAsia" w:cstheme="minorEastAsia"/>
          <w:b w:val="0"/>
          <w:bCs w:val="0"/>
          <w:sz w:val="24"/>
          <w:u w:val="single"/>
          <w:lang w:val="en-US" w:eastAsia="zh-CN"/>
        </w:rPr>
        <w:t xml:space="preserve">            </w:t>
      </w:r>
      <w:r>
        <w:rPr>
          <w:rFonts w:ascii="宋体" w:hAnsi="宋体" w:eastAsia="宋体" w:cs="宋体"/>
          <w:color w:val="auto"/>
          <w:spacing w:val="4"/>
          <w:sz w:val="24"/>
          <w:szCs w:val="24"/>
          <w:lang w:eastAsia="zh-CN"/>
        </w:rPr>
        <w:t>项目 将保证做到：</w:t>
      </w:r>
    </w:p>
    <w:p w14:paraId="686E37A1">
      <w:pPr>
        <w:spacing w:before="23" w:line="290" w:lineRule="auto"/>
        <w:ind w:left="13" w:right="311" w:firstLine="493"/>
        <w:rPr>
          <w:rFonts w:ascii="宋体" w:hAnsi="宋体" w:eastAsia="宋体" w:cs="宋体"/>
          <w:sz w:val="24"/>
          <w:szCs w:val="24"/>
          <w:lang w:eastAsia="zh-CN"/>
        </w:rPr>
      </w:pPr>
      <w:r>
        <w:rPr>
          <w:rFonts w:ascii="宋体" w:hAnsi="宋体" w:eastAsia="宋体" w:cs="宋体"/>
          <w:spacing w:val="-1"/>
          <w:sz w:val="24"/>
          <w:szCs w:val="24"/>
          <w:lang w:eastAsia="zh-CN"/>
        </w:rPr>
        <w:t>1、按照《劳动法》规定雇佣和使用民工，工资将直接发放给民工本人，保证不</w:t>
      </w:r>
      <w:r>
        <w:rPr>
          <w:rFonts w:ascii="宋体" w:hAnsi="宋体" w:eastAsia="宋体" w:cs="宋体"/>
          <w:spacing w:val="-6"/>
          <w:sz w:val="24"/>
          <w:szCs w:val="24"/>
          <w:lang w:eastAsia="zh-CN"/>
        </w:rPr>
        <w:t>发放给“包工头”。</w:t>
      </w:r>
    </w:p>
    <w:p w14:paraId="2C545096">
      <w:pPr>
        <w:spacing w:before="179" w:line="351" w:lineRule="auto"/>
        <w:ind w:left="11" w:right="218" w:firstLine="480"/>
        <w:jc w:val="both"/>
        <w:rPr>
          <w:rFonts w:ascii="宋体" w:hAnsi="宋体" w:eastAsia="宋体" w:cs="宋体"/>
          <w:sz w:val="24"/>
          <w:szCs w:val="24"/>
          <w:lang w:eastAsia="zh-CN"/>
        </w:rPr>
      </w:pPr>
      <w:r>
        <w:rPr>
          <w:rFonts w:ascii="宋体" w:hAnsi="宋体" w:eastAsia="宋体" w:cs="宋体"/>
          <w:sz w:val="24"/>
          <w:szCs w:val="24"/>
          <w:lang w:eastAsia="zh-CN"/>
        </w:rPr>
        <w:t>2、我单位将负责督促分包按照合同规定及时结</w:t>
      </w:r>
      <w:r>
        <w:rPr>
          <w:rFonts w:ascii="宋体" w:hAnsi="宋体" w:eastAsia="宋体" w:cs="宋体"/>
          <w:spacing w:val="-1"/>
          <w:sz w:val="24"/>
          <w:szCs w:val="24"/>
          <w:lang w:eastAsia="zh-CN"/>
        </w:rPr>
        <w:t>付民工工资。如因我单位未按合</w:t>
      </w:r>
      <w:r>
        <w:rPr>
          <w:rFonts w:ascii="宋体" w:hAnsi="宋体" w:eastAsia="宋体" w:cs="宋体"/>
          <w:spacing w:val="-7"/>
          <w:sz w:val="24"/>
          <w:szCs w:val="24"/>
          <w:lang w:eastAsia="zh-CN"/>
        </w:rPr>
        <w:t>同约定与分包单位结清工程款，致使后者拖欠民工工资</w:t>
      </w:r>
      <w:r>
        <w:rPr>
          <w:rFonts w:ascii="宋体" w:hAnsi="宋体" w:eastAsia="宋体" w:cs="宋体"/>
          <w:spacing w:val="-8"/>
          <w:sz w:val="24"/>
          <w:szCs w:val="24"/>
          <w:lang w:eastAsia="zh-CN"/>
        </w:rPr>
        <w:t>的，将由我单位先行垫付欠款。</w:t>
      </w:r>
      <w:r>
        <w:rPr>
          <w:rFonts w:ascii="宋体" w:hAnsi="宋体" w:eastAsia="宋体" w:cs="宋体"/>
          <w:spacing w:val="-1"/>
          <w:sz w:val="24"/>
          <w:szCs w:val="24"/>
          <w:lang w:eastAsia="zh-CN"/>
        </w:rPr>
        <w:t>我单位对分包人清偿欠民工工资负总责。</w:t>
      </w:r>
    </w:p>
    <w:p w14:paraId="5E69A6F1">
      <w:pPr>
        <w:spacing w:before="34" w:line="415" w:lineRule="auto"/>
        <w:ind w:left="8" w:right="299" w:firstLine="485"/>
        <w:jc w:val="both"/>
        <w:rPr>
          <w:rFonts w:ascii="宋体" w:hAnsi="宋体" w:eastAsia="宋体" w:cs="宋体"/>
          <w:sz w:val="24"/>
          <w:szCs w:val="24"/>
          <w:lang w:eastAsia="zh-CN"/>
        </w:rPr>
      </w:pPr>
      <w:r>
        <w:rPr>
          <w:rFonts w:ascii="宋体" w:hAnsi="宋体" w:eastAsia="宋体" w:cs="宋体"/>
          <w:sz w:val="24"/>
          <w:szCs w:val="24"/>
          <w:lang w:eastAsia="zh-CN"/>
        </w:rPr>
        <w:t>3、如果发生违反规定拖欠或克扣民工工资</w:t>
      </w:r>
      <w:r>
        <w:rPr>
          <w:rFonts w:ascii="宋体" w:hAnsi="宋体" w:eastAsia="宋体" w:cs="宋体"/>
          <w:spacing w:val="-1"/>
          <w:sz w:val="24"/>
          <w:szCs w:val="24"/>
          <w:lang w:eastAsia="zh-CN"/>
        </w:rPr>
        <w:t>行为，造成民工上访，及其它突发事</w:t>
      </w:r>
      <w:r>
        <w:rPr>
          <w:rFonts w:ascii="宋体" w:hAnsi="宋体" w:eastAsia="宋体" w:cs="宋体"/>
          <w:spacing w:val="-3"/>
          <w:sz w:val="24"/>
          <w:szCs w:val="24"/>
          <w:lang w:eastAsia="zh-CN"/>
        </w:rPr>
        <w:t>件或公共事件，我单位愿意接受业主的处罚，同时愿意接受建设行政</w:t>
      </w:r>
      <w:r>
        <w:rPr>
          <w:rFonts w:ascii="宋体" w:hAnsi="宋体" w:eastAsia="宋体" w:cs="宋体"/>
          <w:spacing w:val="-4"/>
          <w:sz w:val="24"/>
          <w:szCs w:val="24"/>
          <w:lang w:eastAsia="zh-CN"/>
        </w:rPr>
        <w:t>主管部门依照有</w:t>
      </w:r>
      <w:r>
        <w:rPr>
          <w:rFonts w:ascii="宋体" w:hAnsi="宋体" w:eastAsia="宋体" w:cs="宋体"/>
          <w:spacing w:val="-1"/>
          <w:sz w:val="24"/>
          <w:szCs w:val="24"/>
          <w:lang w:eastAsia="zh-CN"/>
        </w:rPr>
        <w:t>关规定作出的其</w:t>
      </w:r>
      <w:r>
        <w:rPr>
          <w:rFonts w:ascii="宋体" w:hAnsi="宋体" w:eastAsia="宋体" w:cs="宋体"/>
          <w:color w:val="auto"/>
          <w:spacing w:val="-1"/>
          <w:sz w:val="24"/>
          <w:szCs w:val="24"/>
          <w:lang w:eastAsia="zh-CN"/>
        </w:rPr>
        <w:t>它处罚</w:t>
      </w:r>
      <w:r>
        <w:fldChar w:fldCharType="begin"/>
      </w:r>
      <w:r>
        <w:instrText xml:space="preserve"> HYPERLINK "http://www.xuexila.com/fanwen/jueding/" </w:instrText>
      </w:r>
      <w:r>
        <w:fldChar w:fldCharType="separate"/>
      </w:r>
      <w:r>
        <w:rPr>
          <w:rFonts w:ascii="宋体" w:hAnsi="宋体" w:eastAsia="宋体" w:cs="宋体"/>
          <w:color w:val="auto"/>
          <w:spacing w:val="-1"/>
          <w:sz w:val="24"/>
          <w:szCs w:val="24"/>
          <w:u w:val="single"/>
          <w:lang w:eastAsia="zh-CN"/>
        </w:rPr>
        <w:t>决定</w:t>
      </w:r>
      <w:r>
        <w:rPr>
          <w:rFonts w:ascii="宋体" w:hAnsi="宋体" w:eastAsia="宋体" w:cs="宋体"/>
          <w:color w:val="auto"/>
          <w:spacing w:val="-1"/>
          <w:sz w:val="24"/>
          <w:szCs w:val="24"/>
          <w:u w:val="single"/>
          <w:lang w:eastAsia="zh-CN"/>
        </w:rPr>
        <w:fldChar w:fldCharType="end"/>
      </w:r>
      <w:r>
        <w:rPr>
          <w:rFonts w:ascii="宋体" w:hAnsi="宋体" w:eastAsia="宋体" w:cs="宋体"/>
          <w:color w:val="auto"/>
          <w:spacing w:val="-1"/>
          <w:sz w:val="24"/>
          <w:szCs w:val="24"/>
          <w:lang w:eastAsia="zh-CN"/>
        </w:rPr>
        <w:t>。</w:t>
      </w:r>
    </w:p>
    <w:p w14:paraId="52A68B22">
      <w:pPr>
        <w:spacing w:before="248" w:line="220" w:lineRule="auto"/>
        <w:ind w:left="969"/>
        <w:rPr>
          <w:rFonts w:ascii="宋体" w:hAnsi="宋体" w:eastAsia="宋体" w:cs="宋体"/>
          <w:spacing w:val="-13"/>
          <w:sz w:val="24"/>
          <w:szCs w:val="24"/>
          <w:lang w:eastAsia="zh-CN"/>
        </w:rPr>
      </w:pPr>
      <w:r>
        <w:rPr>
          <w:rFonts w:ascii="宋体" w:hAnsi="宋体" w:eastAsia="宋体" w:cs="宋体"/>
          <w:spacing w:val="-13"/>
          <w:sz w:val="24"/>
          <w:szCs w:val="24"/>
          <w:lang w:eastAsia="zh-CN"/>
        </w:rPr>
        <w:t xml:space="preserve">承诺人： </w:t>
      </w:r>
    </w:p>
    <w:p w14:paraId="3DF5CC60">
      <w:pPr>
        <w:spacing w:before="248" w:line="220" w:lineRule="auto"/>
        <w:ind w:left="969"/>
        <w:rPr>
          <w:rFonts w:ascii="宋体" w:hAnsi="宋体" w:eastAsia="宋体" w:cs="宋体"/>
          <w:sz w:val="24"/>
          <w:szCs w:val="24"/>
          <w:lang w:eastAsia="zh-CN"/>
        </w:rPr>
      </w:pPr>
    </w:p>
    <w:p w14:paraId="203BEB06">
      <w:pPr>
        <w:spacing w:before="182" w:line="220" w:lineRule="auto"/>
        <w:ind w:left="970"/>
        <w:rPr>
          <w:rFonts w:ascii="宋体" w:hAnsi="宋体" w:eastAsia="宋体" w:cs="宋体"/>
          <w:spacing w:val="-2"/>
          <w:sz w:val="24"/>
          <w:szCs w:val="24"/>
          <w:lang w:eastAsia="zh-CN"/>
        </w:rPr>
      </w:pPr>
      <w:r>
        <w:rPr>
          <w:rFonts w:ascii="宋体" w:hAnsi="宋体" w:eastAsia="宋体" w:cs="宋体"/>
          <w:spacing w:val="-2"/>
          <w:sz w:val="24"/>
          <w:szCs w:val="24"/>
          <w:lang w:eastAsia="zh-CN"/>
        </w:rPr>
        <w:t xml:space="preserve">法定代表人： </w:t>
      </w:r>
    </w:p>
    <w:p w14:paraId="65C19570">
      <w:pPr>
        <w:spacing w:before="182" w:line="220" w:lineRule="auto"/>
        <w:ind w:left="970"/>
        <w:rPr>
          <w:rFonts w:ascii="宋体" w:hAnsi="宋体" w:eastAsia="宋体" w:cs="宋体"/>
          <w:sz w:val="24"/>
          <w:szCs w:val="24"/>
          <w:lang w:eastAsia="zh-CN"/>
        </w:rPr>
      </w:pPr>
    </w:p>
    <w:p w14:paraId="0CF5593C">
      <w:pPr>
        <w:spacing w:before="179" w:line="219" w:lineRule="auto"/>
        <w:ind w:left="969"/>
        <w:rPr>
          <w:rFonts w:ascii="宋体" w:hAnsi="宋体" w:eastAsia="宋体" w:cs="宋体"/>
          <w:sz w:val="24"/>
          <w:szCs w:val="24"/>
          <w:lang w:eastAsia="zh-CN"/>
        </w:rPr>
      </w:pPr>
      <w:r>
        <w:rPr>
          <w:rFonts w:ascii="宋体" w:hAnsi="宋体" w:eastAsia="宋体" w:cs="宋体"/>
          <w:spacing w:val="-2"/>
          <w:sz w:val="24"/>
          <w:szCs w:val="24"/>
          <w:lang w:eastAsia="zh-CN"/>
        </w:rPr>
        <w:t>承包方印章：</w:t>
      </w:r>
    </w:p>
    <w:p w14:paraId="10A6AAA5">
      <w:pPr>
        <w:pStyle w:val="17"/>
        <w:spacing w:line="258" w:lineRule="auto"/>
        <w:rPr>
          <w:lang w:eastAsia="zh-CN"/>
        </w:rPr>
      </w:pPr>
    </w:p>
    <w:p w14:paraId="5EED8FE0">
      <w:pPr>
        <w:spacing w:before="79" w:line="220" w:lineRule="auto"/>
        <w:ind w:left="5343"/>
        <w:rPr>
          <w:rFonts w:ascii="宋体" w:hAnsi="宋体" w:eastAsia="宋体" w:cs="宋体"/>
          <w:sz w:val="24"/>
          <w:szCs w:val="24"/>
          <w:lang w:eastAsia="zh-CN"/>
        </w:rPr>
      </w:pPr>
      <w:r>
        <w:rPr>
          <w:rFonts w:ascii="宋体" w:hAnsi="宋体" w:eastAsia="宋体" w:cs="宋体"/>
          <w:spacing w:val="-20"/>
          <w:sz w:val="24"/>
          <w:szCs w:val="24"/>
          <w:lang w:eastAsia="zh-CN"/>
        </w:rPr>
        <w:t>日期：</w:t>
      </w:r>
      <w:r>
        <w:rPr>
          <w:rFonts w:hint="eastAsia" w:ascii="宋体" w:hAnsi="宋体" w:eastAsia="宋体" w:cs="宋体"/>
          <w:spacing w:val="-20"/>
          <w:sz w:val="24"/>
          <w:szCs w:val="24"/>
          <w:lang w:eastAsia="zh-CN"/>
        </w:rPr>
        <w:t xml:space="preserve">   </w:t>
      </w:r>
      <w:r>
        <w:rPr>
          <w:rFonts w:ascii="宋体" w:hAnsi="宋体" w:eastAsia="宋体" w:cs="宋体"/>
          <w:spacing w:val="-20"/>
          <w:sz w:val="24"/>
          <w:szCs w:val="24"/>
          <w:lang w:eastAsia="zh-CN"/>
        </w:rPr>
        <w:t>年</w:t>
      </w:r>
      <w:r>
        <w:rPr>
          <w:rFonts w:hint="eastAsia" w:ascii="宋体" w:hAnsi="宋体" w:eastAsia="宋体" w:cs="宋体"/>
          <w:spacing w:val="-20"/>
          <w:sz w:val="24"/>
          <w:szCs w:val="24"/>
          <w:lang w:eastAsia="zh-CN"/>
        </w:rPr>
        <w:t xml:space="preserve">   </w:t>
      </w:r>
      <w:r>
        <w:rPr>
          <w:rFonts w:ascii="宋体" w:hAnsi="宋体" w:eastAsia="宋体" w:cs="宋体"/>
          <w:spacing w:val="-20"/>
          <w:sz w:val="24"/>
          <w:szCs w:val="24"/>
          <w:lang w:eastAsia="zh-CN"/>
        </w:rPr>
        <w:t>月</w:t>
      </w:r>
      <w:r>
        <w:rPr>
          <w:rFonts w:hint="eastAsia" w:ascii="宋体" w:hAnsi="宋体" w:eastAsia="宋体" w:cs="宋体"/>
          <w:spacing w:val="-20"/>
          <w:sz w:val="24"/>
          <w:szCs w:val="24"/>
          <w:lang w:eastAsia="zh-CN"/>
        </w:rPr>
        <w:t xml:space="preserve">   </w:t>
      </w:r>
      <w:r>
        <w:rPr>
          <w:rFonts w:ascii="宋体" w:hAnsi="宋体" w:eastAsia="宋体" w:cs="宋体"/>
          <w:spacing w:val="-20"/>
          <w:sz w:val="24"/>
          <w:szCs w:val="24"/>
          <w:lang w:eastAsia="zh-CN"/>
        </w:rPr>
        <w:t>日</w:t>
      </w:r>
    </w:p>
    <w:p w14:paraId="28A8ABE7">
      <w:pPr>
        <w:spacing w:before="78" w:line="352" w:lineRule="auto"/>
        <w:ind w:left="9" w:right="299" w:firstLine="463"/>
        <w:jc w:val="both"/>
      </w:pPr>
      <w:r>
        <w:rPr>
          <w:rFonts w:ascii="宋体" w:hAnsi="宋体" w:eastAsia="宋体" w:cs="宋体"/>
          <w:spacing w:val="-3"/>
          <w:sz w:val="24"/>
          <w:szCs w:val="24"/>
          <w:lang w:eastAsia="zh-CN"/>
        </w:rPr>
        <w:t>特别说明：《安全生产协议书》与《不拖欠民工工资承诺书》作为主合同的附合同，是主合同不可分割的一部分，与主合同具有等法律效力，应当</w:t>
      </w:r>
      <w:r>
        <w:rPr>
          <w:rFonts w:ascii="宋体" w:hAnsi="宋体" w:eastAsia="宋体" w:cs="宋体"/>
          <w:spacing w:val="-4"/>
          <w:sz w:val="24"/>
          <w:szCs w:val="24"/>
          <w:lang w:eastAsia="zh-CN"/>
        </w:rPr>
        <w:t>共同遵守，承包人</w:t>
      </w:r>
      <w:r>
        <w:rPr>
          <w:rFonts w:ascii="宋体" w:hAnsi="宋体" w:eastAsia="宋体" w:cs="宋体"/>
          <w:spacing w:val="-3"/>
          <w:sz w:val="24"/>
          <w:szCs w:val="24"/>
          <w:lang w:eastAsia="zh-CN"/>
        </w:rPr>
        <w:t>违反上述两书的，应当承担约定责任，发包方有权就工程款所涉及</w:t>
      </w:r>
      <w:r>
        <w:rPr>
          <w:rFonts w:ascii="宋体" w:hAnsi="宋体" w:eastAsia="宋体" w:cs="宋体"/>
          <w:spacing w:val="-4"/>
          <w:sz w:val="24"/>
          <w:szCs w:val="24"/>
          <w:lang w:eastAsia="zh-CN"/>
        </w:rPr>
        <w:t>部分或损失部分予</w:t>
      </w:r>
      <w:r>
        <w:rPr>
          <w:rFonts w:ascii="宋体" w:hAnsi="宋体" w:eastAsia="宋体" w:cs="宋体"/>
          <w:spacing w:val="-2"/>
          <w:sz w:val="24"/>
          <w:szCs w:val="24"/>
          <w:lang w:eastAsia="zh-CN"/>
        </w:rPr>
        <w:t>以扣留或扣除。</w:t>
      </w:r>
    </w:p>
    <w:p w14:paraId="574FBE7E"/>
    <w:p w14:paraId="7A25A624">
      <w:pPr>
        <w:spacing w:before="78" w:line="352" w:lineRule="auto"/>
        <w:ind w:left="9" w:right="299" w:firstLine="463"/>
        <w:rPr>
          <w:rFonts w:hint="eastAsia" w:ascii="宋体" w:hAnsi="宋体" w:cs="宋体"/>
          <w:sz w:val="24"/>
        </w:rPr>
      </w:pPr>
    </w:p>
    <w:p w14:paraId="3C22C18E">
      <w:pPr>
        <w:rPr>
          <w:rFonts w:eastAsiaTheme="minorEastAsia"/>
          <w:b/>
          <w:sz w:val="36"/>
          <w:szCs w:val="36"/>
        </w:rPr>
      </w:pPr>
      <w:bookmarkStart w:id="1508" w:name="_Toc97371947"/>
      <w:r>
        <w:rPr>
          <w:rFonts w:eastAsiaTheme="minorEastAsia"/>
          <w:b/>
          <w:sz w:val="36"/>
          <w:szCs w:val="36"/>
        </w:rPr>
        <w:br w:type="page"/>
      </w:r>
    </w:p>
    <w:p w14:paraId="2DC57F7E">
      <w:pPr>
        <w:spacing w:line="360" w:lineRule="auto"/>
        <w:jc w:val="center"/>
        <w:outlineLvl w:val="0"/>
        <w:rPr>
          <w:rFonts w:eastAsiaTheme="minorEastAsia"/>
          <w:b/>
          <w:sz w:val="36"/>
          <w:szCs w:val="36"/>
        </w:rPr>
      </w:pPr>
      <w:r>
        <w:rPr>
          <w:rFonts w:eastAsiaTheme="minorEastAsia"/>
          <w:b/>
          <w:sz w:val="36"/>
          <w:szCs w:val="36"/>
        </w:rPr>
        <w:t>第六章   响应文件格式</w:t>
      </w:r>
      <w:bookmarkEnd w:id="1508"/>
    </w:p>
    <w:p w14:paraId="6C731A7C">
      <w:pPr>
        <w:widowControl/>
        <w:spacing w:line="360" w:lineRule="auto"/>
        <w:jc w:val="left"/>
        <w:rPr>
          <w:rFonts w:eastAsiaTheme="minorEastAsia"/>
          <w:b/>
          <w:sz w:val="24"/>
        </w:rPr>
      </w:pPr>
    </w:p>
    <w:p w14:paraId="4CE9F153">
      <w:pPr>
        <w:tabs>
          <w:tab w:val="left" w:pos="900"/>
          <w:tab w:val="left" w:pos="1980"/>
        </w:tabs>
        <w:snapToGrid w:val="0"/>
        <w:spacing w:line="360" w:lineRule="auto"/>
        <w:ind w:left="142"/>
        <w:rPr>
          <w:rFonts w:eastAsiaTheme="minorEastAsia"/>
          <w:b/>
          <w:kern w:val="0"/>
          <w:sz w:val="24"/>
        </w:rPr>
      </w:pPr>
      <w:r>
        <w:rPr>
          <w:rFonts w:eastAsiaTheme="minorEastAsia"/>
          <w:b/>
          <w:kern w:val="0"/>
          <w:sz w:val="24"/>
        </w:rPr>
        <w:t>供应商编制文件须知</w:t>
      </w:r>
    </w:p>
    <w:p w14:paraId="5ADD9FBF">
      <w:pPr>
        <w:tabs>
          <w:tab w:val="left" w:pos="900"/>
          <w:tab w:val="left" w:pos="1980"/>
        </w:tabs>
        <w:snapToGrid w:val="0"/>
        <w:spacing w:line="360" w:lineRule="auto"/>
        <w:ind w:left="142"/>
        <w:rPr>
          <w:rFonts w:eastAsiaTheme="minorEastAsia"/>
          <w:sz w:val="24"/>
        </w:rPr>
      </w:pPr>
      <w:r>
        <w:rPr>
          <w:rFonts w:eastAsiaTheme="minorEastAsia"/>
          <w:sz w:val="24"/>
        </w:rPr>
        <w:t>1、供应商按照本部分的顺序编制响应文件，编制中涉及格式资料的，应按照本部分提供的内容和格式（所有表格的格式可扩展）填写提交。</w:t>
      </w:r>
    </w:p>
    <w:p w14:paraId="2354DD35">
      <w:pPr>
        <w:tabs>
          <w:tab w:val="left" w:pos="900"/>
          <w:tab w:val="left" w:pos="1980"/>
        </w:tabs>
        <w:snapToGrid w:val="0"/>
        <w:spacing w:line="360" w:lineRule="auto"/>
        <w:ind w:left="142"/>
        <w:rPr>
          <w:rFonts w:eastAsiaTheme="minorEastAsia"/>
          <w:kern w:val="0"/>
          <w:sz w:val="24"/>
        </w:rPr>
      </w:pPr>
      <w:r>
        <w:rPr>
          <w:rFonts w:eastAsiaTheme="minorEastAsia"/>
          <w:sz w:val="24"/>
        </w:rPr>
        <w:t>2、</w:t>
      </w:r>
      <w:r>
        <w:rPr>
          <w:rFonts w:eastAsiaTheme="minorEastAsia"/>
          <w:kern w:val="0"/>
          <w:sz w:val="24"/>
        </w:rPr>
        <w:t>对于竞争性磋商文件中标记了“实质性格式”文件的，供应商</w:t>
      </w:r>
      <w:r>
        <w:rPr>
          <w:rFonts w:eastAsiaTheme="minorEastAsia"/>
          <w:sz w:val="24"/>
        </w:rPr>
        <w:t>不得改变格式中给定的文字所表达的含义，不得删减格式中的实质性内容，不得自行添加与格式中给定的文字内容相矛盾的内容，不得对应当填写的空格不填写或不实质性响应，</w:t>
      </w:r>
      <w:r>
        <w:rPr>
          <w:rFonts w:eastAsiaTheme="minorEastAsia"/>
          <w:b/>
          <w:kern w:val="0"/>
          <w:sz w:val="24"/>
        </w:rPr>
        <w:t>否则响应无效</w:t>
      </w:r>
      <w:r>
        <w:rPr>
          <w:rFonts w:eastAsiaTheme="minorEastAsia"/>
          <w:kern w:val="0"/>
          <w:sz w:val="24"/>
        </w:rPr>
        <w:t>。未标记“实质性格式”的文件和竞争性磋商文件未提供格式的内容，可由供应商自行编写。</w:t>
      </w:r>
    </w:p>
    <w:p w14:paraId="4F7E29F9">
      <w:pPr>
        <w:tabs>
          <w:tab w:val="left" w:pos="900"/>
          <w:tab w:val="left" w:pos="1980"/>
        </w:tabs>
        <w:snapToGrid w:val="0"/>
        <w:spacing w:line="360" w:lineRule="auto"/>
        <w:ind w:left="142"/>
        <w:rPr>
          <w:rFonts w:eastAsiaTheme="minorEastAsia"/>
          <w:sz w:val="24"/>
        </w:rPr>
      </w:pPr>
      <w:r>
        <w:rPr>
          <w:rFonts w:eastAsiaTheme="minorEastAsia"/>
          <w:sz w:val="24"/>
        </w:rPr>
        <w:t>3、全部声明和问题的回答及所附材料必须是真实的、准确的和完整的。</w:t>
      </w:r>
    </w:p>
    <w:p w14:paraId="62D7A83F">
      <w:pPr>
        <w:tabs>
          <w:tab w:val="left" w:pos="900"/>
          <w:tab w:val="left" w:pos="1980"/>
        </w:tabs>
        <w:snapToGrid w:val="0"/>
        <w:spacing w:line="360" w:lineRule="auto"/>
        <w:ind w:left="142"/>
        <w:rPr>
          <w:rFonts w:eastAsiaTheme="minorEastAsia"/>
          <w:sz w:val="24"/>
        </w:rPr>
      </w:pPr>
    </w:p>
    <w:p w14:paraId="51016A56">
      <w:pPr>
        <w:widowControl/>
        <w:jc w:val="left"/>
        <w:rPr>
          <w:rFonts w:eastAsiaTheme="minorEastAsia"/>
          <w:sz w:val="24"/>
        </w:rPr>
      </w:pPr>
      <w:r>
        <w:rPr>
          <w:rFonts w:eastAsiaTheme="minorEastAsia"/>
          <w:sz w:val="24"/>
        </w:rPr>
        <w:br w:type="page"/>
      </w:r>
    </w:p>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14:paraId="7B98497C">
      <w:pPr>
        <w:rPr>
          <w:rFonts w:eastAsiaTheme="minorEastAsia"/>
          <w:b/>
          <w:spacing w:val="20"/>
          <w:szCs w:val="21"/>
        </w:rPr>
      </w:pPr>
    </w:p>
    <w:p w14:paraId="44B13C61">
      <w:pPr>
        <w:rPr>
          <w:rFonts w:eastAsiaTheme="minorEastAsia"/>
          <w:b/>
          <w:sz w:val="24"/>
        </w:rPr>
      </w:pPr>
      <w:r>
        <w:rPr>
          <w:rFonts w:eastAsiaTheme="minorEastAsia"/>
          <w:b/>
          <w:spacing w:val="20"/>
          <w:sz w:val="24"/>
        </w:rPr>
        <w:t>响应文件</w:t>
      </w:r>
      <w:r>
        <w:rPr>
          <w:rFonts w:eastAsiaTheme="minorEastAsia"/>
          <w:b/>
          <w:sz w:val="24"/>
        </w:rPr>
        <w:t>封面（非实质性格式）</w:t>
      </w:r>
    </w:p>
    <w:p w14:paraId="16073031">
      <w:pPr>
        <w:jc w:val="center"/>
        <w:rPr>
          <w:rFonts w:eastAsiaTheme="minorEastAsia"/>
          <w:szCs w:val="21"/>
        </w:rPr>
      </w:pPr>
    </w:p>
    <w:p w14:paraId="00094DBE">
      <w:pPr>
        <w:jc w:val="center"/>
        <w:rPr>
          <w:rFonts w:eastAsiaTheme="minorEastAsia"/>
          <w:b/>
          <w:spacing w:val="60"/>
          <w:sz w:val="84"/>
          <w:szCs w:val="84"/>
        </w:rPr>
      </w:pPr>
      <w:r>
        <w:rPr>
          <w:rFonts w:eastAsiaTheme="minorEastAsia"/>
          <w:b/>
          <w:spacing w:val="60"/>
          <w:sz w:val="84"/>
          <w:szCs w:val="84"/>
        </w:rPr>
        <w:t>响 应 文 件</w:t>
      </w:r>
    </w:p>
    <w:p w14:paraId="47FFDB03">
      <w:pPr>
        <w:jc w:val="center"/>
        <w:rPr>
          <w:rFonts w:eastAsiaTheme="minorEastAsia"/>
          <w:b/>
          <w:spacing w:val="60"/>
          <w:sz w:val="52"/>
          <w:szCs w:val="52"/>
        </w:rPr>
      </w:pPr>
    </w:p>
    <w:p w14:paraId="7DC40758">
      <w:pPr>
        <w:ind w:firstLine="542" w:firstLineChars="150"/>
        <w:rPr>
          <w:rFonts w:eastAsiaTheme="minorEastAsia"/>
          <w:b/>
          <w:spacing w:val="20"/>
          <w:sz w:val="32"/>
          <w:szCs w:val="32"/>
        </w:rPr>
      </w:pPr>
    </w:p>
    <w:p w14:paraId="222981BD">
      <w:pPr>
        <w:ind w:firstLine="542" w:firstLineChars="150"/>
        <w:rPr>
          <w:rFonts w:eastAsiaTheme="minorEastAsia"/>
          <w:b/>
          <w:spacing w:val="20"/>
          <w:sz w:val="32"/>
          <w:szCs w:val="32"/>
        </w:rPr>
      </w:pPr>
    </w:p>
    <w:p w14:paraId="31A32355">
      <w:pPr>
        <w:ind w:firstLine="542" w:firstLineChars="150"/>
        <w:rPr>
          <w:rFonts w:eastAsiaTheme="minorEastAsia"/>
          <w:b/>
          <w:spacing w:val="20"/>
          <w:sz w:val="32"/>
          <w:szCs w:val="32"/>
        </w:rPr>
      </w:pPr>
      <w:r>
        <w:rPr>
          <w:rFonts w:eastAsiaTheme="minorEastAsia"/>
          <w:b/>
          <w:spacing w:val="20"/>
          <w:sz w:val="32"/>
          <w:szCs w:val="32"/>
        </w:rPr>
        <w:t>项目名称:</w:t>
      </w:r>
    </w:p>
    <w:p w14:paraId="768BCE53">
      <w:pPr>
        <w:ind w:firstLine="542" w:firstLineChars="150"/>
        <w:rPr>
          <w:rFonts w:eastAsiaTheme="minorEastAsia"/>
          <w:b/>
          <w:spacing w:val="20"/>
          <w:sz w:val="32"/>
          <w:szCs w:val="32"/>
        </w:rPr>
      </w:pPr>
      <w:r>
        <w:rPr>
          <w:rFonts w:eastAsiaTheme="minorEastAsia"/>
          <w:b/>
          <w:spacing w:val="20"/>
          <w:sz w:val="32"/>
          <w:szCs w:val="32"/>
        </w:rPr>
        <w:t>项目编号/包号：</w:t>
      </w:r>
    </w:p>
    <w:p w14:paraId="4FE1411B">
      <w:pPr>
        <w:ind w:firstLine="542" w:firstLineChars="150"/>
        <w:rPr>
          <w:rFonts w:eastAsiaTheme="minorEastAsia"/>
          <w:b/>
          <w:spacing w:val="20"/>
          <w:sz w:val="32"/>
          <w:szCs w:val="32"/>
        </w:rPr>
      </w:pPr>
    </w:p>
    <w:p w14:paraId="4DC8C160">
      <w:pPr>
        <w:ind w:firstLine="542" w:firstLineChars="150"/>
        <w:rPr>
          <w:rFonts w:eastAsiaTheme="minorEastAsia"/>
          <w:b/>
          <w:spacing w:val="20"/>
          <w:sz w:val="32"/>
          <w:szCs w:val="32"/>
        </w:rPr>
      </w:pPr>
    </w:p>
    <w:p w14:paraId="5D8AB92C">
      <w:pPr>
        <w:jc w:val="center"/>
        <w:rPr>
          <w:rFonts w:eastAsiaTheme="minorEastAsia"/>
          <w:b/>
          <w:sz w:val="32"/>
          <w:szCs w:val="32"/>
        </w:rPr>
      </w:pPr>
    </w:p>
    <w:p w14:paraId="160FB6F2">
      <w:pPr>
        <w:jc w:val="center"/>
        <w:rPr>
          <w:rFonts w:eastAsiaTheme="minorEastAsia"/>
          <w:b/>
          <w:sz w:val="32"/>
          <w:szCs w:val="32"/>
        </w:rPr>
      </w:pPr>
    </w:p>
    <w:p w14:paraId="76180441">
      <w:pPr>
        <w:jc w:val="center"/>
        <w:rPr>
          <w:rFonts w:eastAsiaTheme="minorEastAsia"/>
          <w:b/>
          <w:sz w:val="32"/>
          <w:szCs w:val="32"/>
        </w:rPr>
      </w:pPr>
    </w:p>
    <w:p w14:paraId="1B0F0B0E">
      <w:pPr>
        <w:jc w:val="center"/>
        <w:rPr>
          <w:rFonts w:eastAsiaTheme="minorEastAsia"/>
          <w:b/>
          <w:spacing w:val="20"/>
          <w:sz w:val="32"/>
          <w:szCs w:val="32"/>
        </w:rPr>
      </w:pPr>
    </w:p>
    <w:p w14:paraId="33220306">
      <w:pPr>
        <w:jc w:val="center"/>
        <w:rPr>
          <w:rFonts w:eastAsiaTheme="minorEastAsia"/>
          <w:b/>
          <w:spacing w:val="20"/>
          <w:sz w:val="32"/>
          <w:szCs w:val="32"/>
        </w:rPr>
      </w:pPr>
    </w:p>
    <w:p w14:paraId="02C74230">
      <w:pPr>
        <w:jc w:val="center"/>
        <w:rPr>
          <w:rFonts w:eastAsiaTheme="minorEastAsia"/>
          <w:b/>
          <w:spacing w:val="20"/>
          <w:sz w:val="32"/>
          <w:szCs w:val="32"/>
        </w:rPr>
      </w:pPr>
    </w:p>
    <w:p w14:paraId="42EF53B8">
      <w:pPr>
        <w:spacing w:line="360" w:lineRule="auto"/>
        <w:ind w:firstLine="1445" w:firstLineChars="400"/>
        <w:jc w:val="left"/>
        <w:rPr>
          <w:rFonts w:eastAsiaTheme="minorEastAsia"/>
          <w:b/>
          <w:spacing w:val="20"/>
          <w:sz w:val="32"/>
          <w:szCs w:val="32"/>
        </w:rPr>
      </w:pPr>
      <w:r>
        <w:rPr>
          <w:rFonts w:eastAsiaTheme="minorEastAsia"/>
          <w:b/>
          <w:spacing w:val="20"/>
          <w:sz w:val="32"/>
          <w:szCs w:val="32"/>
        </w:rPr>
        <w:t>供应商名称：</w:t>
      </w:r>
    </w:p>
    <w:p w14:paraId="6513A3CA">
      <w:pPr>
        <w:jc w:val="center"/>
        <w:rPr>
          <w:rFonts w:eastAsiaTheme="minorEastAsia"/>
          <w:b/>
          <w:sz w:val="32"/>
          <w:szCs w:val="32"/>
        </w:rPr>
      </w:pPr>
    </w:p>
    <w:p w14:paraId="414D11CE">
      <w:pPr>
        <w:rPr>
          <w:rFonts w:eastAsiaTheme="minorEastAsia"/>
          <w:b/>
        </w:rPr>
      </w:pPr>
      <w:r>
        <w:rPr>
          <w:rFonts w:eastAsiaTheme="minorEastAsia"/>
          <w:b/>
          <w:spacing w:val="20"/>
          <w:sz w:val="32"/>
          <w:szCs w:val="32"/>
        </w:rPr>
        <w:br w:type="page"/>
      </w:r>
    </w:p>
    <w:p w14:paraId="33EEE120">
      <w:pPr>
        <w:tabs>
          <w:tab w:val="left" w:pos="360"/>
        </w:tabs>
        <w:snapToGrid w:val="0"/>
        <w:spacing w:line="360" w:lineRule="auto"/>
        <w:outlineLvl w:val="1"/>
        <w:rPr>
          <w:rFonts w:eastAsiaTheme="minorEastAsia"/>
          <w:sz w:val="24"/>
        </w:rPr>
      </w:pPr>
      <w:r>
        <w:rPr>
          <w:rFonts w:eastAsiaTheme="minorEastAsia"/>
          <w:sz w:val="24"/>
        </w:rPr>
        <w:t>1 满足《中华人民共和国政府采购法》第二十二条规定</w:t>
      </w:r>
    </w:p>
    <w:p w14:paraId="51F3CD00">
      <w:pPr>
        <w:spacing w:line="360" w:lineRule="auto"/>
        <w:outlineLvl w:val="2"/>
        <w:rPr>
          <w:rFonts w:eastAsiaTheme="minorEastAsia"/>
          <w:color w:val="000000"/>
          <w:sz w:val="24"/>
        </w:rPr>
      </w:pPr>
      <w:r>
        <w:rPr>
          <w:rFonts w:eastAsiaTheme="minorEastAsia"/>
          <w:color w:val="000000"/>
          <w:sz w:val="24"/>
        </w:rPr>
        <w:t>1-1 营业执照等证明文件</w:t>
      </w:r>
    </w:p>
    <w:p w14:paraId="25C97277">
      <w:pPr>
        <w:tabs>
          <w:tab w:val="left" w:pos="1080"/>
        </w:tabs>
        <w:snapToGrid w:val="0"/>
        <w:rPr>
          <w:rFonts w:eastAsiaTheme="minorEastAsia"/>
          <w:sz w:val="24"/>
        </w:rPr>
      </w:pPr>
    </w:p>
    <w:p w14:paraId="7D23450E">
      <w:pPr>
        <w:widowControl/>
        <w:jc w:val="left"/>
        <w:rPr>
          <w:rFonts w:eastAsiaTheme="minorEastAsia"/>
          <w:color w:val="000000"/>
          <w:sz w:val="24"/>
          <w:szCs w:val="20"/>
        </w:rPr>
      </w:pPr>
      <w:r>
        <w:rPr>
          <w:rFonts w:eastAsiaTheme="minorEastAsia"/>
          <w:color w:val="000000"/>
          <w:sz w:val="24"/>
        </w:rPr>
        <w:br w:type="page"/>
      </w:r>
    </w:p>
    <w:p w14:paraId="42B251A6">
      <w:pPr>
        <w:pStyle w:val="5"/>
        <w:rPr>
          <w:rFonts w:ascii="Times New Roman" w:eastAsiaTheme="minorEastAsia"/>
          <w:b w:val="0"/>
          <w:bCs/>
          <w:color w:val="000000"/>
          <w:szCs w:val="24"/>
          <w:u w:val="none"/>
        </w:rPr>
      </w:pPr>
      <w:r>
        <w:rPr>
          <w:rFonts w:ascii="Times New Roman" w:eastAsiaTheme="minorEastAsia"/>
          <w:b w:val="0"/>
          <w:color w:val="000000"/>
          <w:szCs w:val="24"/>
          <w:u w:val="none"/>
        </w:rPr>
        <w:t>1-2 供应商资格声明书</w:t>
      </w:r>
    </w:p>
    <w:p w14:paraId="437C41FD">
      <w:pPr>
        <w:jc w:val="center"/>
        <w:rPr>
          <w:b/>
          <w:color w:val="000000"/>
          <w:sz w:val="36"/>
          <w:szCs w:val="36"/>
        </w:rPr>
      </w:pPr>
      <w:r>
        <w:rPr>
          <w:b/>
          <w:color w:val="000000"/>
          <w:sz w:val="36"/>
          <w:szCs w:val="36"/>
        </w:rPr>
        <w:t>供应商资格声明书</w:t>
      </w:r>
    </w:p>
    <w:p w14:paraId="70657679">
      <w:pPr>
        <w:tabs>
          <w:tab w:val="left" w:pos="5580"/>
        </w:tabs>
        <w:spacing w:line="360" w:lineRule="auto"/>
        <w:rPr>
          <w:rFonts w:eastAsiaTheme="minorEastAsia"/>
          <w:sz w:val="24"/>
        </w:rPr>
      </w:pPr>
    </w:p>
    <w:p w14:paraId="665F3367">
      <w:pPr>
        <w:tabs>
          <w:tab w:val="left" w:pos="5580"/>
        </w:tabs>
        <w:spacing w:line="360" w:lineRule="auto"/>
        <w:rPr>
          <w:rFonts w:eastAsiaTheme="minorEastAsia"/>
          <w:sz w:val="24"/>
        </w:rPr>
      </w:pPr>
      <w:r>
        <w:rPr>
          <w:rFonts w:eastAsiaTheme="minorEastAsia"/>
          <w:sz w:val="24"/>
        </w:rPr>
        <w:t>致：</w:t>
      </w:r>
      <w:r>
        <w:rPr>
          <w:rFonts w:eastAsiaTheme="minorEastAsia"/>
          <w:sz w:val="24"/>
          <w:u w:val="single"/>
        </w:rPr>
        <w:t>采购人或采购代理机构</w:t>
      </w:r>
    </w:p>
    <w:p w14:paraId="6886262F">
      <w:pPr>
        <w:spacing w:line="360" w:lineRule="auto"/>
        <w:ind w:firstLine="480" w:firstLineChars="200"/>
        <w:rPr>
          <w:rFonts w:eastAsiaTheme="minorEastAsia"/>
          <w:sz w:val="24"/>
        </w:rPr>
      </w:pPr>
      <w:r>
        <w:rPr>
          <w:rFonts w:eastAsiaTheme="minorEastAsia"/>
          <w:sz w:val="24"/>
        </w:rPr>
        <w:t>在参与本次项目磋商中，我单位承诺：</w:t>
      </w:r>
    </w:p>
    <w:p w14:paraId="33D98625">
      <w:pPr>
        <w:numPr>
          <w:ilvl w:val="0"/>
          <w:numId w:val="12"/>
        </w:numPr>
        <w:spacing w:line="360" w:lineRule="auto"/>
        <w:ind w:left="1134"/>
        <w:rPr>
          <w:rFonts w:eastAsiaTheme="minorEastAsia"/>
          <w:sz w:val="24"/>
          <w:szCs w:val="22"/>
        </w:rPr>
      </w:pPr>
      <w:r>
        <w:rPr>
          <w:rFonts w:eastAsiaTheme="minorEastAsia"/>
          <w:sz w:val="24"/>
          <w:szCs w:val="22"/>
        </w:rPr>
        <w:t>具有良好的商业信誉和健全的财务会计制度；</w:t>
      </w:r>
    </w:p>
    <w:p w14:paraId="461E56CD">
      <w:pPr>
        <w:numPr>
          <w:ilvl w:val="0"/>
          <w:numId w:val="12"/>
        </w:numPr>
        <w:spacing w:line="360" w:lineRule="auto"/>
        <w:ind w:left="1134"/>
        <w:rPr>
          <w:rFonts w:eastAsiaTheme="minorEastAsia"/>
          <w:sz w:val="24"/>
          <w:szCs w:val="22"/>
        </w:rPr>
      </w:pPr>
      <w:r>
        <w:rPr>
          <w:rFonts w:eastAsiaTheme="minorEastAsia"/>
          <w:sz w:val="24"/>
          <w:szCs w:val="22"/>
        </w:rPr>
        <w:t>具有履行合同所必需的设备和专业技术能力；</w:t>
      </w:r>
    </w:p>
    <w:p w14:paraId="7DA8CA3E">
      <w:pPr>
        <w:numPr>
          <w:ilvl w:val="0"/>
          <w:numId w:val="12"/>
        </w:numPr>
        <w:spacing w:line="360" w:lineRule="auto"/>
        <w:ind w:left="1134"/>
        <w:rPr>
          <w:rFonts w:eastAsiaTheme="minorEastAsia"/>
          <w:sz w:val="24"/>
          <w:szCs w:val="22"/>
        </w:rPr>
      </w:pPr>
      <w:r>
        <w:rPr>
          <w:rFonts w:eastAsiaTheme="minorEastAsia"/>
          <w:sz w:val="24"/>
          <w:szCs w:val="22"/>
        </w:rPr>
        <w:t>有依法缴纳税收和社会保障资金的良好记录；</w:t>
      </w:r>
    </w:p>
    <w:p w14:paraId="0928D9EC">
      <w:pPr>
        <w:numPr>
          <w:ilvl w:val="0"/>
          <w:numId w:val="12"/>
        </w:numPr>
        <w:spacing w:line="360" w:lineRule="auto"/>
        <w:ind w:left="1134"/>
        <w:rPr>
          <w:rFonts w:eastAsiaTheme="minorEastAsia"/>
          <w:sz w:val="24"/>
          <w:szCs w:val="22"/>
        </w:rPr>
      </w:pPr>
      <w:r>
        <w:rPr>
          <w:rFonts w:eastAsia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1F11829C">
      <w:pPr>
        <w:numPr>
          <w:ilvl w:val="0"/>
          <w:numId w:val="12"/>
        </w:numPr>
        <w:spacing w:line="360" w:lineRule="auto"/>
        <w:ind w:left="1134"/>
        <w:rPr>
          <w:rFonts w:eastAsiaTheme="minorEastAsia"/>
          <w:sz w:val="24"/>
          <w:szCs w:val="22"/>
        </w:rPr>
      </w:pPr>
      <w:r>
        <w:rPr>
          <w:rFonts w:eastAsiaTheme="minorEastAsia"/>
          <w:sz w:val="24"/>
          <w:szCs w:val="22"/>
        </w:rPr>
        <w:t>我单位不属于政府采购法律、行政法规规定的公益一类事业单位、或使用事业编制且由财政拨款保障的群团组织（仅适用于政府购买服务项目）；</w:t>
      </w:r>
    </w:p>
    <w:p w14:paraId="2AF34129">
      <w:pPr>
        <w:numPr>
          <w:ilvl w:val="0"/>
          <w:numId w:val="12"/>
        </w:numPr>
        <w:spacing w:line="360" w:lineRule="auto"/>
        <w:ind w:left="1134"/>
        <w:rPr>
          <w:rFonts w:eastAsiaTheme="minorEastAsia"/>
          <w:sz w:val="24"/>
          <w:szCs w:val="22"/>
        </w:rPr>
      </w:pPr>
      <w:r>
        <w:rPr>
          <w:rFonts w:eastAsiaTheme="minorEastAsia"/>
          <w:sz w:val="24"/>
          <w:szCs w:val="22"/>
        </w:rPr>
        <w:t>我单位不存在为采购项目提供整体设计、规范编制或者项目管理、监理、检测等服务后，再参加该采购项目的其他采购活动的情形（单一来源采购项目除外）；</w:t>
      </w:r>
    </w:p>
    <w:p w14:paraId="35E6818F">
      <w:pPr>
        <w:numPr>
          <w:ilvl w:val="0"/>
          <w:numId w:val="12"/>
        </w:numPr>
        <w:spacing w:line="360" w:lineRule="auto"/>
        <w:ind w:left="1134"/>
        <w:rPr>
          <w:rFonts w:eastAsiaTheme="minorEastAsia"/>
          <w:sz w:val="24"/>
          <w:szCs w:val="22"/>
        </w:rPr>
      </w:pPr>
      <w:r>
        <w:rPr>
          <w:rFonts w:eastAsiaTheme="minorEastAsia"/>
          <w:sz w:val="24"/>
          <w:szCs w:val="22"/>
        </w:rPr>
        <w:t>与我单位存在“单位负责人为同一人或者存在直接控股、管理关系”的其他法人单位信息如下（如有，不论其是否参加同一合同项下的政府采购活动均须填写）：</w:t>
      </w:r>
    </w:p>
    <w:tbl>
      <w:tblPr>
        <w:tblStyle w:val="43"/>
        <w:tblW w:w="85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0"/>
        <w:gridCol w:w="4574"/>
        <w:gridCol w:w="2976"/>
      </w:tblGrid>
      <w:tr w14:paraId="40E05E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53959AA">
            <w:pPr>
              <w:jc w:val="center"/>
              <w:rPr>
                <w:rFonts w:eastAsiaTheme="minorEastAsia"/>
                <w:sz w:val="24"/>
              </w:rPr>
            </w:pPr>
            <w:r>
              <w:rPr>
                <w:rFonts w:eastAsiaTheme="minorEastAsia"/>
                <w:sz w:val="24"/>
              </w:rPr>
              <w:t>序号</w:t>
            </w:r>
          </w:p>
        </w:tc>
        <w:tc>
          <w:tcPr>
            <w:tcW w:w="4574" w:type="dxa"/>
            <w:vAlign w:val="center"/>
          </w:tcPr>
          <w:p w14:paraId="37C1D295">
            <w:pPr>
              <w:jc w:val="center"/>
              <w:rPr>
                <w:rFonts w:eastAsiaTheme="minorEastAsia"/>
                <w:sz w:val="24"/>
              </w:rPr>
            </w:pPr>
            <w:r>
              <w:rPr>
                <w:rFonts w:eastAsiaTheme="minorEastAsia"/>
                <w:sz w:val="24"/>
              </w:rPr>
              <w:t>单位名称</w:t>
            </w:r>
          </w:p>
        </w:tc>
        <w:tc>
          <w:tcPr>
            <w:tcW w:w="2976" w:type="dxa"/>
            <w:vAlign w:val="center"/>
          </w:tcPr>
          <w:p w14:paraId="26F5D236">
            <w:pPr>
              <w:jc w:val="center"/>
              <w:rPr>
                <w:rFonts w:eastAsiaTheme="minorEastAsia"/>
                <w:sz w:val="24"/>
              </w:rPr>
            </w:pPr>
            <w:r>
              <w:rPr>
                <w:rFonts w:eastAsiaTheme="minorEastAsia"/>
                <w:sz w:val="24"/>
              </w:rPr>
              <w:t>相互关系</w:t>
            </w:r>
          </w:p>
        </w:tc>
      </w:tr>
      <w:tr w14:paraId="2B0BAF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670B0AD4">
            <w:pPr>
              <w:jc w:val="center"/>
              <w:rPr>
                <w:rFonts w:eastAsiaTheme="minorEastAsia"/>
                <w:sz w:val="24"/>
              </w:rPr>
            </w:pPr>
            <w:r>
              <w:rPr>
                <w:rFonts w:eastAsiaTheme="minorEastAsia"/>
                <w:sz w:val="24"/>
              </w:rPr>
              <w:t>1</w:t>
            </w:r>
          </w:p>
        </w:tc>
        <w:tc>
          <w:tcPr>
            <w:tcW w:w="4574" w:type="dxa"/>
            <w:vAlign w:val="center"/>
          </w:tcPr>
          <w:p w14:paraId="414E38D5">
            <w:pPr>
              <w:jc w:val="center"/>
              <w:rPr>
                <w:rFonts w:eastAsiaTheme="minorEastAsia"/>
                <w:sz w:val="24"/>
              </w:rPr>
            </w:pPr>
          </w:p>
        </w:tc>
        <w:tc>
          <w:tcPr>
            <w:tcW w:w="2976" w:type="dxa"/>
            <w:vAlign w:val="center"/>
          </w:tcPr>
          <w:p w14:paraId="318C30B7">
            <w:pPr>
              <w:jc w:val="center"/>
              <w:rPr>
                <w:rFonts w:eastAsiaTheme="minorEastAsia"/>
                <w:sz w:val="24"/>
              </w:rPr>
            </w:pPr>
          </w:p>
        </w:tc>
      </w:tr>
      <w:tr w14:paraId="2B384D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3A326F8">
            <w:pPr>
              <w:jc w:val="center"/>
              <w:rPr>
                <w:rFonts w:eastAsiaTheme="minorEastAsia"/>
                <w:sz w:val="24"/>
              </w:rPr>
            </w:pPr>
            <w:r>
              <w:rPr>
                <w:rFonts w:eastAsiaTheme="minorEastAsia"/>
                <w:sz w:val="24"/>
              </w:rPr>
              <w:t>2</w:t>
            </w:r>
          </w:p>
        </w:tc>
        <w:tc>
          <w:tcPr>
            <w:tcW w:w="4574" w:type="dxa"/>
            <w:vAlign w:val="center"/>
          </w:tcPr>
          <w:p w14:paraId="2842D5A1">
            <w:pPr>
              <w:jc w:val="center"/>
              <w:rPr>
                <w:rFonts w:eastAsiaTheme="minorEastAsia"/>
                <w:sz w:val="24"/>
              </w:rPr>
            </w:pPr>
          </w:p>
        </w:tc>
        <w:tc>
          <w:tcPr>
            <w:tcW w:w="2976" w:type="dxa"/>
            <w:vAlign w:val="center"/>
          </w:tcPr>
          <w:p w14:paraId="53287983">
            <w:pPr>
              <w:jc w:val="center"/>
              <w:rPr>
                <w:rFonts w:eastAsiaTheme="minorEastAsia"/>
                <w:sz w:val="24"/>
              </w:rPr>
            </w:pPr>
          </w:p>
        </w:tc>
      </w:tr>
      <w:tr w14:paraId="62FDE4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5EFD4CD">
            <w:pPr>
              <w:jc w:val="center"/>
              <w:rPr>
                <w:rFonts w:eastAsiaTheme="minorEastAsia"/>
                <w:sz w:val="24"/>
              </w:rPr>
            </w:pPr>
            <w:r>
              <w:rPr>
                <w:rFonts w:eastAsiaTheme="minorEastAsia"/>
                <w:sz w:val="24"/>
              </w:rPr>
              <w:t>…</w:t>
            </w:r>
          </w:p>
        </w:tc>
        <w:tc>
          <w:tcPr>
            <w:tcW w:w="4574" w:type="dxa"/>
            <w:vAlign w:val="center"/>
          </w:tcPr>
          <w:p w14:paraId="4B4290FB">
            <w:pPr>
              <w:jc w:val="center"/>
              <w:rPr>
                <w:rFonts w:eastAsiaTheme="minorEastAsia"/>
                <w:sz w:val="24"/>
              </w:rPr>
            </w:pPr>
          </w:p>
        </w:tc>
        <w:tc>
          <w:tcPr>
            <w:tcW w:w="2976" w:type="dxa"/>
            <w:vAlign w:val="center"/>
          </w:tcPr>
          <w:p w14:paraId="2D9613DB">
            <w:pPr>
              <w:jc w:val="center"/>
              <w:rPr>
                <w:rFonts w:eastAsiaTheme="minorEastAsia"/>
                <w:sz w:val="24"/>
              </w:rPr>
            </w:pPr>
          </w:p>
        </w:tc>
      </w:tr>
    </w:tbl>
    <w:p w14:paraId="07FF639A">
      <w:pPr>
        <w:rPr>
          <w:rFonts w:eastAsiaTheme="minorEastAsia"/>
        </w:rPr>
      </w:pPr>
    </w:p>
    <w:p w14:paraId="733C1675">
      <w:pPr>
        <w:ind w:firstLine="480" w:firstLineChars="200"/>
        <w:rPr>
          <w:rFonts w:eastAsiaTheme="minorEastAsia"/>
          <w:sz w:val="24"/>
          <w:szCs w:val="22"/>
        </w:rPr>
      </w:pPr>
      <w:r>
        <w:rPr>
          <w:rFonts w:eastAsiaTheme="minorEastAsia"/>
          <w:sz w:val="24"/>
        </w:rPr>
        <w:t>上述声明真实有效，否则我方负全部责任。</w:t>
      </w:r>
    </w:p>
    <w:p w14:paraId="0A5043D8">
      <w:pPr>
        <w:spacing w:line="360" w:lineRule="auto"/>
        <w:rPr>
          <w:rFonts w:eastAsiaTheme="minorEastAsia"/>
          <w:sz w:val="24"/>
        </w:rPr>
      </w:pPr>
    </w:p>
    <w:p w14:paraId="22DA8F86">
      <w:pPr>
        <w:autoSpaceDE w:val="0"/>
        <w:autoSpaceDN w:val="0"/>
        <w:adjustRightInd w:val="0"/>
        <w:snapToGrid w:val="0"/>
        <w:spacing w:before="25" w:after="25" w:line="360" w:lineRule="auto"/>
        <w:ind w:right="360"/>
        <w:jc w:val="righ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002FD954">
      <w:pPr>
        <w:spacing w:line="360" w:lineRule="auto"/>
        <w:ind w:right="360" w:firstLine="480"/>
        <w:jc w:val="right"/>
        <w:rPr>
          <w:rFonts w:eastAsiaTheme="minorEastAsia"/>
          <w:sz w:val="24"/>
        </w:rPr>
      </w:pPr>
      <w:r>
        <w:rPr>
          <w:rFonts w:eastAsiaTheme="minorEastAsia"/>
          <w:color w:val="000000"/>
          <w:sz w:val="24"/>
          <w:szCs w:val="20"/>
        </w:rPr>
        <w:t xml:space="preserve">日期：____年____月____日   </w:t>
      </w:r>
    </w:p>
    <w:p w14:paraId="0C00B55F">
      <w:pPr>
        <w:spacing w:line="360" w:lineRule="auto"/>
        <w:rPr>
          <w:rFonts w:eastAsiaTheme="minorEastAsia"/>
          <w:sz w:val="24"/>
        </w:rPr>
      </w:pPr>
      <w:r>
        <w:rPr>
          <w:sz w:val="24"/>
        </w:rPr>
        <w:t>说明：供应商承诺不实的，依据《政府采购法》第七十七条“提供虚假材料谋取中标、成交的”有关规定予以处理。</w:t>
      </w:r>
    </w:p>
    <w:p w14:paraId="3B548E64">
      <w:pPr>
        <w:tabs>
          <w:tab w:val="left" w:pos="5580"/>
        </w:tabs>
        <w:spacing w:line="360" w:lineRule="auto"/>
        <w:rPr>
          <w:rFonts w:eastAsiaTheme="minorEastAsia"/>
          <w:sz w:val="24"/>
        </w:rPr>
        <w:sectPr>
          <w:headerReference r:id="rId27" w:type="first"/>
          <w:footerReference r:id="rId30" w:type="first"/>
          <w:headerReference r:id="rId25" w:type="default"/>
          <w:footerReference r:id="rId28" w:type="default"/>
          <w:headerReference r:id="rId26" w:type="even"/>
          <w:footerReference r:id="rId29" w:type="even"/>
          <w:pgSz w:w="11907" w:h="16840"/>
          <w:pgMar w:top="1418" w:right="1134" w:bottom="1418" w:left="1701" w:header="851" w:footer="851" w:gutter="0"/>
          <w:pgNumType w:fmt="decimal"/>
          <w:cols w:space="720" w:num="1"/>
          <w:docGrid w:linePitch="462" w:charSpace="0"/>
        </w:sectPr>
      </w:pPr>
    </w:p>
    <w:p w14:paraId="1AE4406F">
      <w:pPr>
        <w:tabs>
          <w:tab w:val="left" w:pos="360"/>
        </w:tabs>
        <w:snapToGrid w:val="0"/>
        <w:spacing w:line="360" w:lineRule="auto"/>
        <w:outlineLvl w:val="1"/>
        <w:rPr>
          <w:rFonts w:eastAsiaTheme="minorEastAsia"/>
          <w:sz w:val="24"/>
        </w:rPr>
      </w:pPr>
      <w:r>
        <w:rPr>
          <w:rFonts w:eastAsiaTheme="minorEastAsia"/>
          <w:sz w:val="24"/>
        </w:rPr>
        <w:t>2 落实政府采购政策需满足的资格要求（如有）</w:t>
      </w:r>
    </w:p>
    <w:p w14:paraId="440383AA">
      <w:pPr>
        <w:spacing w:line="360" w:lineRule="auto"/>
        <w:outlineLvl w:val="2"/>
        <w:rPr>
          <w:rFonts w:eastAsiaTheme="minorEastAsia"/>
          <w:color w:val="000000"/>
          <w:sz w:val="24"/>
          <w:szCs w:val="20"/>
        </w:rPr>
      </w:pPr>
      <w:r>
        <w:rPr>
          <w:rFonts w:eastAsiaTheme="minorEastAsia"/>
          <w:color w:val="000000"/>
          <w:sz w:val="24"/>
          <w:szCs w:val="20"/>
        </w:rPr>
        <w:t>2-1 中小企业</w:t>
      </w:r>
      <w:r>
        <w:rPr>
          <w:rFonts w:hint="eastAsia" w:eastAsiaTheme="minorEastAsia"/>
          <w:color w:val="000000"/>
          <w:sz w:val="24"/>
          <w:szCs w:val="20"/>
        </w:rPr>
        <w:t>政策</w:t>
      </w:r>
      <w:r>
        <w:rPr>
          <w:rFonts w:eastAsiaTheme="minorEastAsia"/>
          <w:color w:val="000000"/>
          <w:sz w:val="24"/>
          <w:szCs w:val="20"/>
        </w:rPr>
        <w:t>证明文件</w:t>
      </w:r>
    </w:p>
    <w:p w14:paraId="5650979A">
      <w:pPr>
        <w:tabs>
          <w:tab w:val="left" w:pos="5580"/>
        </w:tabs>
        <w:spacing w:line="360" w:lineRule="auto"/>
        <w:rPr>
          <w:rFonts w:eastAsiaTheme="minorEastAsia"/>
          <w:sz w:val="24"/>
        </w:rPr>
      </w:pPr>
      <w:r>
        <w:rPr>
          <w:rFonts w:eastAsiaTheme="minorEastAsia"/>
          <w:sz w:val="24"/>
        </w:rPr>
        <w:t>说明：</w:t>
      </w:r>
    </w:p>
    <w:p w14:paraId="13FCFA36">
      <w:pPr>
        <w:tabs>
          <w:tab w:val="left" w:pos="5580"/>
        </w:tabs>
        <w:spacing w:line="360" w:lineRule="auto"/>
        <w:rPr>
          <w:sz w:val="24"/>
        </w:rPr>
      </w:pPr>
      <w:r>
        <w:rPr>
          <w:sz w:val="24"/>
        </w:rPr>
        <w:t>（1）如本项目（包）不专门面向中小企业预留采购份额，供应商无须提供《中小企业声明函》或《残疾人福利性单位声明函》或由省级以上监狱管理局、戒毒管理局（含新疆生产建设兵团）出具的属于监狱企业的证明文件；当供应商拟享受中小企业扶持政策时，仍应提供上述证明文件，</w:t>
      </w:r>
      <w:r>
        <w:rPr>
          <w:rFonts w:eastAsiaTheme="minorEastAsia"/>
          <w:color w:val="000000" w:themeColor="text1"/>
          <w:sz w:val="24"/>
          <w14:textFill>
            <w14:solidFill>
              <w14:schemeClr w14:val="tx1"/>
            </w14:solidFill>
          </w14:textFill>
        </w:rPr>
        <w:t>否则不享受相关中小企业扶持政策</w:t>
      </w:r>
      <w:r>
        <w:rPr>
          <w:sz w:val="24"/>
        </w:rPr>
        <w:t>。</w:t>
      </w:r>
    </w:p>
    <w:p w14:paraId="0B5E4602">
      <w:pPr>
        <w:tabs>
          <w:tab w:val="left" w:pos="5580"/>
        </w:tabs>
        <w:spacing w:line="360" w:lineRule="auto"/>
        <w:rPr>
          <w:rFonts w:eastAsiaTheme="minorEastAsia"/>
          <w:sz w:val="24"/>
        </w:rPr>
      </w:pPr>
      <w:r>
        <w:rPr>
          <w:rFonts w:eastAsiaTheme="minorEastAsia"/>
          <w:sz w:val="24"/>
        </w:rPr>
        <w:t>（2）如本项目（包）专门面向中小企业采购，响应文件中须提供《中小企业声明函》</w:t>
      </w:r>
      <w:r>
        <w:rPr>
          <w:sz w:val="24"/>
        </w:rPr>
        <w:t>或《残疾人福利性单位声明函》，或提供由省级以上监狱管理局、戒毒管理局（含新疆生产建设兵团）出具的属于监狱企业的证明文件</w:t>
      </w:r>
      <w:r>
        <w:rPr>
          <w:rFonts w:eastAsiaTheme="minorEastAsia"/>
          <w:sz w:val="24"/>
        </w:rPr>
        <w:t>。</w:t>
      </w:r>
    </w:p>
    <w:p w14:paraId="25195FB6">
      <w:pPr>
        <w:tabs>
          <w:tab w:val="left" w:pos="5580"/>
        </w:tabs>
        <w:spacing w:line="360" w:lineRule="auto"/>
        <w:rPr>
          <w:rFonts w:eastAsiaTheme="minorEastAsia"/>
          <w:sz w:val="24"/>
        </w:rPr>
      </w:pPr>
      <w:r>
        <w:rPr>
          <w:sz w:val="24"/>
        </w:rPr>
        <w:t>（3）如本项目（包）预留部分采购项目预算专门面向中小企业采购，且要求获得采购合同的供应商将采购项目中的一定比例分包给一家或者多家中小企业或要求供应商以联合体形式参加采购活动，响应文件中须提供《中小企业声明函》或《残疾人福利性单位声明函》或由省级以上监狱管理局、戒毒管理局（含新疆生产建设兵团）出具的属于监狱企业的证明文件。</w:t>
      </w:r>
    </w:p>
    <w:p w14:paraId="701DB542">
      <w:pPr>
        <w:tabs>
          <w:tab w:val="left" w:pos="5580"/>
        </w:tabs>
        <w:spacing w:line="360" w:lineRule="auto"/>
        <w:rPr>
          <w:sz w:val="24"/>
        </w:rPr>
      </w:pPr>
      <w:r>
        <w:rPr>
          <w:rFonts w:eastAsiaTheme="minorEastAsia"/>
          <w:sz w:val="24"/>
        </w:rPr>
        <w:t>（4）</w:t>
      </w:r>
      <w:r>
        <w:rPr>
          <w:sz w:val="24"/>
        </w:rPr>
        <w:t>中小企业声明函填写注意事项</w:t>
      </w:r>
    </w:p>
    <w:p w14:paraId="5C2C920B">
      <w:pPr>
        <w:tabs>
          <w:tab w:val="left" w:pos="5580"/>
        </w:tabs>
        <w:spacing w:line="360" w:lineRule="auto"/>
        <w:rPr>
          <w:sz w:val="24"/>
        </w:rPr>
      </w:pPr>
      <w:r>
        <w:rPr>
          <w:sz w:val="24"/>
        </w:rPr>
        <w:t>1）《中小企业声明函》由参加政府采购活动的供应商出具。联合体参与的，《中小企业声明函》可由牵头人出具。</w:t>
      </w:r>
    </w:p>
    <w:p w14:paraId="4F08CF59">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7EA19041">
      <w:pPr>
        <w:tabs>
          <w:tab w:val="left" w:pos="5580"/>
        </w:tabs>
        <w:spacing w:line="360" w:lineRule="auto"/>
        <w:rPr>
          <w:rFonts w:eastAsiaTheme="minorEastAsia"/>
          <w:sz w:val="24"/>
        </w:rPr>
      </w:pPr>
      <w:r>
        <w:rPr>
          <w:sz w:val="24"/>
        </w:rPr>
        <w:t>3）对于多标的采购项目，供应商应充分、准确地了解所提供货物的制造企业、提供服务的承接企业信息。对相关情况了解不清楚的，不建议填报本声明函。</w:t>
      </w:r>
    </w:p>
    <w:p w14:paraId="6294A465">
      <w:pPr>
        <w:tabs>
          <w:tab w:val="left" w:pos="5580"/>
        </w:tabs>
        <w:spacing w:line="360" w:lineRule="auto"/>
        <w:rPr>
          <w:rFonts w:eastAsiaTheme="minorEastAsia"/>
          <w:b/>
          <w:bCs/>
          <w:color w:val="000000"/>
          <w:sz w:val="36"/>
          <w:szCs w:val="36"/>
        </w:rPr>
      </w:pPr>
      <w:r>
        <w:rPr>
          <w:rFonts w:eastAsiaTheme="minorEastAsia"/>
          <w:sz w:val="24"/>
        </w:rPr>
        <w:t>（5）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w:t>
      </w:r>
      <w:r>
        <w:rPr>
          <w:sz w:val="24"/>
        </w:rPr>
        <w:t>本项目中小企业划分标准所属行业详见第二章《供应商须知资料表》，如在该程序中未找到本项目文件规定的中小企业划分标准所属行业，则按照《关于印发中小企业划型标准规定的通知（工信部联企业﹝2011﹞300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r>
        <w:rPr>
          <w:rFonts w:eastAsiaTheme="minorEastAsia"/>
          <w:b/>
          <w:bCs/>
          <w:color w:val="000000"/>
          <w:sz w:val="36"/>
          <w:szCs w:val="36"/>
        </w:rPr>
        <w:br w:type="page"/>
      </w:r>
    </w:p>
    <w:p w14:paraId="506B96CF">
      <w:pPr>
        <w:pStyle w:val="6"/>
        <w:rPr>
          <w:rFonts w:ascii="Times New Roman" w:hAnsi="Times New Roman" w:eastAsiaTheme="majorEastAsia"/>
          <w:sz w:val="24"/>
          <w:szCs w:val="24"/>
        </w:rPr>
      </w:pPr>
      <w:r>
        <w:rPr>
          <w:rFonts w:ascii="Times New Roman" w:hAnsi="Times New Roman" w:eastAsiaTheme="majorEastAsia"/>
          <w:sz w:val="24"/>
          <w:szCs w:val="24"/>
        </w:rPr>
        <w:t>2-1-1 中小企业</w:t>
      </w:r>
      <w:r>
        <w:rPr>
          <w:rFonts w:hint="eastAsia" w:ascii="Times New Roman" w:hAnsi="Times New Roman" w:eastAsiaTheme="majorEastAsia"/>
          <w:sz w:val="24"/>
          <w:szCs w:val="24"/>
        </w:rPr>
        <w:t>证明文件</w:t>
      </w:r>
    </w:p>
    <w:p w14:paraId="1F8B6B44">
      <w:pPr>
        <w:spacing w:before="240" w:beforeLines="100" w:after="240" w:afterLines="100" w:line="360" w:lineRule="auto"/>
        <w:jc w:val="center"/>
        <w:rPr>
          <w:rFonts w:eastAsiaTheme="minorEastAsia"/>
          <w:b/>
          <w:bCs/>
          <w:color w:val="000000"/>
          <w:sz w:val="36"/>
          <w:szCs w:val="36"/>
        </w:rPr>
      </w:pPr>
      <w:r>
        <w:rPr>
          <w:rFonts w:eastAsiaTheme="minorEastAsia"/>
          <w:b/>
          <w:bCs/>
          <w:color w:val="000000"/>
          <w:sz w:val="36"/>
          <w:szCs w:val="36"/>
        </w:rPr>
        <w:t>中小企业声明函（工程、服务）格式</w:t>
      </w:r>
    </w:p>
    <w:p w14:paraId="19247FDC">
      <w:pPr>
        <w:spacing w:line="360" w:lineRule="auto"/>
        <w:ind w:firstLine="504"/>
        <w:rPr>
          <w:rFonts w:eastAsiaTheme="minorEastAsia"/>
          <w:spacing w:val="6"/>
          <w:sz w:val="24"/>
        </w:rPr>
      </w:pPr>
      <w:r>
        <w:rPr>
          <w:rFonts w:eastAsiaTheme="minorEastAsia"/>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4F2B473D">
      <w:pPr>
        <w:spacing w:line="360" w:lineRule="auto"/>
        <w:ind w:firstLine="504"/>
        <w:rPr>
          <w:rFonts w:eastAsiaTheme="minorEastAsia"/>
          <w:spacing w:val="6"/>
          <w:sz w:val="24"/>
        </w:rPr>
      </w:pPr>
      <w:r>
        <w:rPr>
          <w:rFonts w:eastAsiaTheme="minorEastAsia"/>
          <w:spacing w:val="6"/>
          <w:sz w:val="24"/>
        </w:rPr>
        <w:t>1.</w:t>
      </w:r>
      <w:r>
        <w:rPr>
          <w:rFonts w:eastAsiaTheme="minorEastAsia"/>
          <w:spacing w:val="6"/>
          <w:sz w:val="24"/>
          <w:u w:val="single"/>
        </w:rPr>
        <w:t xml:space="preserve"> （标的名称）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行业；承建（承接）企业为</w:t>
      </w:r>
      <w:r>
        <w:rPr>
          <w:rFonts w:eastAsiaTheme="minorEastAsia"/>
          <w:spacing w:val="6"/>
          <w:sz w:val="24"/>
          <w:u w:val="single"/>
        </w:rPr>
        <w:t>（企业名称）</w:t>
      </w:r>
      <w:r>
        <w:rPr>
          <w:rFonts w:eastAsiaTheme="minorEastAsia"/>
          <w:spacing w:val="6"/>
          <w:sz w:val="24"/>
        </w:rPr>
        <w:t>，从业人员</w:t>
      </w:r>
      <w:r>
        <w:rPr>
          <w:rFonts w:eastAsiaTheme="minorEastAsia"/>
          <w:sz w:val="24"/>
        </w:rPr>
        <w:t>______</w:t>
      </w:r>
      <w:r>
        <w:rPr>
          <w:rFonts w:eastAsiaTheme="minorEastAsia"/>
          <w:spacing w:val="6"/>
          <w:sz w:val="24"/>
        </w:rPr>
        <w:t>人，营业收入为</w:t>
      </w:r>
      <w:r>
        <w:rPr>
          <w:rFonts w:eastAsiaTheme="minorEastAsia"/>
          <w:sz w:val="24"/>
        </w:rPr>
        <w:t>______</w:t>
      </w:r>
      <w:r>
        <w:rPr>
          <w:rFonts w:eastAsiaTheme="minorEastAsia"/>
          <w:spacing w:val="6"/>
          <w:sz w:val="24"/>
        </w:rPr>
        <w:t>万元，资产总额为</w:t>
      </w:r>
      <w:r>
        <w:rPr>
          <w:rFonts w:eastAsiaTheme="minorEastAsia"/>
          <w:sz w:val="24"/>
        </w:rPr>
        <w:t>______</w:t>
      </w:r>
      <w:r>
        <w:rPr>
          <w:rFonts w:eastAsiaTheme="minorEastAsia"/>
          <w:spacing w:val="6"/>
          <w:sz w:val="24"/>
        </w:rPr>
        <w:t>万元</w:t>
      </w:r>
      <w:r>
        <w:rPr>
          <w:rFonts w:eastAsiaTheme="minorEastAsia"/>
          <w:spacing w:val="6"/>
          <w:sz w:val="24"/>
          <w:vertAlign w:val="superscript"/>
        </w:rPr>
        <w:t>1</w:t>
      </w:r>
      <w:r>
        <w:rPr>
          <w:rFonts w:eastAsiaTheme="minorEastAsia"/>
          <w:spacing w:val="6"/>
          <w:sz w:val="24"/>
        </w:rPr>
        <w:t>，属于（中型企业、小型企业、微型企业）；</w:t>
      </w:r>
    </w:p>
    <w:p w14:paraId="265997A8">
      <w:pPr>
        <w:spacing w:line="360" w:lineRule="auto"/>
        <w:ind w:firstLine="504"/>
        <w:rPr>
          <w:rFonts w:eastAsiaTheme="minorEastAsia"/>
          <w:spacing w:val="6"/>
          <w:sz w:val="24"/>
        </w:rPr>
      </w:pPr>
      <w:r>
        <w:rPr>
          <w:rFonts w:eastAsiaTheme="minorEastAsia"/>
          <w:spacing w:val="6"/>
          <w:sz w:val="24"/>
        </w:rPr>
        <w:t xml:space="preserve">2. </w:t>
      </w:r>
      <w:r>
        <w:rPr>
          <w:rFonts w:eastAsiaTheme="minorEastAsia"/>
          <w:spacing w:val="6"/>
          <w:sz w:val="24"/>
          <w:u w:val="single"/>
        </w:rPr>
        <w:t xml:space="preserve">（标的名称）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行业；承建（承接）企业为</w:t>
      </w:r>
      <w:r>
        <w:rPr>
          <w:rFonts w:eastAsiaTheme="minorEastAsia"/>
          <w:spacing w:val="6"/>
          <w:sz w:val="24"/>
          <w:u w:val="single"/>
        </w:rPr>
        <w:t>（企业名称）</w:t>
      </w:r>
      <w:r>
        <w:rPr>
          <w:rFonts w:eastAsiaTheme="minorEastAsia"/>
          <w:spacing w:val="6"/>
          <w:sz w:val="24"/>
        </w:rPr>
        <w:t>，从业人员</w:t>
      </w:r>
      <w:r>
        <w:rPr>
          <w:rFonts w:eastAsiaTheme="minorEastAsia"/>
          <w:sz w:val="24"/>
        </w:rPr>
        <w:t>______</w:t>
      </w:r>
      <w:r>
        <w:rPr>
          <w:rFonts w:eastAsiaTheme="minorEastAsia"/>
          <w:spacing w:val="6"/>
          <w:sz w:val="24"/>
        </w:rPr>
        <w:t>人，营业收入为</w:t>
      </w:r>
      <w:r>
        <w:rPr>
          <w:rFonts w:eastAsiaTheme="minorEastAsia"/>
          <w:sz w:val="24"/>
        </w:rPr>
        <w:t>______</w:t>
      </w:r>
      <w:r>
        <w:rPr>
          <w:rFonts w:eastAsiaTheme="minorEastAsia"/>
          <w:spacing w:val="6"/>
          <w:sz w:val="24"/>
        </w:rPr>
        <w:t>万元，资产总额为</w:t>
      </w:r>
      <w:r>
        <w:rPr>
          <w:rFonts w:eastAsiaTheme="minorEastAsia"/>
          <w:sz w:val="24"/>
        </w:rPr>
        <w:t>______</w:t>
      </w:r>
      <w:r>
        <w:rPr>
          <w:rFonts w:eastAsiaTheme="minorEastAsia"/>
          <w:spacing w:val="6"/>
          <w:sz w:val="24"/>
        </w:rPr>
        <w:t>万元，属于</w:t>
      </w:r>
      <w:r>
        <w:rPr>
          <w:rFonts w:eastAsiaTheme="minorEastAsia"/>
          <w:spacing w:val="6"/>
          <w:sz w:val="24"/>
          <w:u w:val="single"/>
        </w:rPr>
        <w:t>（中型企业、小型企业、微型企业）</w:t>
      </w:r>
      <w:r>
        <w:rPr>
          <w:rFonts w:eastAsiaTheme="minorEastAsia"/>
          <w:spacing w:val="6"/>
          <w:sz w:val="24"/>
        </w:rPr>
        <w:t>；</w:t>
      </w:r>
    </w:p>
    <w:p w14:paraId="07CC5D6C">
      <w:pPr>
        <w:spacing w:line="360" w:lineRule="auto"/>
        <w:ind w:firstLine="504"/>
        <w:rPr>
          <w:rFonts w:eastAsiaTheme="minorEastAsia"/>
          <w:spacing w:val="6"/>
          <w:sz w:val="24"/>
        </w:rPr>
      </w:pPr>
    </w:p>
    <w:p w14:paraId="3D8506E4">
      <w:pPr>
        <w:spacing w:line="360" w:lineRule="auto"/>
        <w:ind w:firstLine="504"/>
        <w:rPr>
          <w:rFonts w:eastAsiaTheme="minorEastAsia"/>
          <w:spacing w:val="6"/>
          <w:sz w:val="24"/>
        </w:rPr>
      </w:pPr>
      <w:r>
        <w:rPr>
          <w:rFonts w:eastAsiaTheme="minorEastAsia"/>
          <w:spacing w:val="6"/>
          <w:sz w:val="24"/>
        </w:rPr>
        <w:t>……</w:t>
      </w:r>
    </w:p>
    <w:p w14:paraId="3A68B8E8">
      <w:pPr>
        <w:spacing w:line="360" w:lineRule="auto"/>
        <w:ind w:firstLine="504"/>
        <w:rPr>
          <w:rFonts w:eastAsiaTheme="minorEastAsia"/>
          <w:spacing w:val="6"/>
          <w:sz w:val="24"/>
        </w:rPr>
      </w:pPr>
      <w:r>
        <w:rPr>
          <w:rFonts w:eastAsiaTheme="minorEastAsia"/>
          <w:spacing w:val="6"/>
          <w:sz w:val="24"/>
        </w:rPr>
        <w:t>以上企业，不属于大企业的分支机构，不存在控股股东为大企业的情形，也不存在与大企业的负责人为同一人的情形。</w:t>
      </w:r>
    </w:p>
    <w:p w14:paraId="217B59A7">
      <w:pPr>
        <w:spacing w:line="360" w:lineRule="auto"/>
        <w:ind w:firstLine="504"/>
        <w:rPr>
          <w:rFonts w:eastAsiaTheme="minorEastAsia"/>
          <w:spacing w:val="6"/>
          <w:sz w:val="24"/>
        </w:rPr>
      </w:pPr>
      <w:r>
        <w:rPr>
          <w:rFonts w:eastAsiaTheme="minorEastAsia"/>
          <w:spacing w:val="6"/>
          <w:sz w:val="24"/>
        </w:rPr>
        <w:t>本企业对上述声明内容的真实性负责。如有虚假，将依法承担相应责任。</w:t>
      </w:r>
    </w:p>
    <w:p w14:paraId="5E1F0E95">
      <w:pPr>
        <w:spacing w:line="360" w:lineRule="auto"/>
        <w:ind w:right="360" w:firstLine="480"/>
        <w:jc w:val="right"/>
        <w:rPr>
          <w:rFonts w:eastAsiaTheme="minorEastAsia"/>
          <w:color w:val="000000"/>
          <w:sz w:val="24"/>
        </w:rPr>
      </w:pPr>
    </w:p>
    <w:p w14:paraId="61DE323D">
      <w:pPr>
        <w:spacing w:line="360" w:lineRule="auto"/>
        <w:ind w:right="360" w:firstLine="480"/>
        <w:jc w:val="right"/>
        <w:rPr>
          <w:rFonts w:eastAsiaTheme="minorEastAsia"/>
          <w:color w:val="000000"/>
          <w:sz w:val="24"/>
        </w:rPr>
      </w:pPr>
      <w:r>
        <w:rPr>
          <w:rFonts w:eastAsiaTheme="minorEastAsia"/>
          <w:color w:val="000000"/>
          <w:sz w:val="24"/>
        </w:rPr>
        <w:t>企业名称（盖章）：</w:t>
      </w:r>
      <w:r>
        <w:rPr>
          <w:rFonts w:eastAsiaTheme="minorEastAsia"/>
          <w:sz w:val="24"/>
        </w:rPr>
        <w:t>______</w:t>
      </w:r>
    </w:p>
    <w:p w14:paraId="7A50BFF9">
      <w:pPr>
        <w:spacing w:line="360" w:lineRule="auto"/>
        <w:ind w:right="360" w:firstLine="480"/>
        <w:jc w:val="right"/>
        <w:rPr>
          <w:rFonts w:eastAsiaTheme="minorEastAsia"/>
          <w:color w:val="000000"/>
          <w:sz w:val="24"/>
        </w:rPr>
      </w:pPr>
      <w:r>
        <w:rPr>
          <w:rFonts w:eastAsiaTheme="minorEastAsia"/>
          <w:color w:val="000000"/>
          <w:sz w:val="24"/>
        </w:rPr>
        <w:t>日 期：</w:t>
      </w:r>
      <w:r>
        <w:rPr>
          <w:rFonts w:eastAsiaTheme="minorEastAsia"/>
          <w:sz w:val="24"/>
        </w:rPr>
        <w:t>______</w:t>
      </w:r>
    </w:p>
    <w:p w14:paraId="352D4FC5">
      <w:pPr>
        <w:adjustRightInd w:val="0"/>
        <w:snapToGrid w:val="0"/>
        <w:jc w:val="left"/>
        <w:rPr>
          <w:rFonts w:eastAsiaTheme="minorEastAsia"/>
          <w:color w:val="000000"/>
          <w:sz w:val="24"/>
          <w:szCs w:val="21"/>
        </w:rPr>
      </w:pPr>
    </w:p>
    <w:p w14:paraId="1CE06854">
      <w:pPr>
        <w:adjustRightInd w:val="0"/>
        <w:snapToGrid w:val="0"/>
        <w:jc w:val="left"/>
        <w:rPr>
          <w:rFonts w:eastAsiaTheme="minorEastAsia"/>
          <w:color w:val="000000"/>
          <w:sz w:val="24"/>
          <w:szCs w:val="21"/>
        </w:rPr>
      </w:pPr>
    </w:p>
    <w:tbl>
      <w:tblPr>
        <w:tblStyle w:val="43"/>
        <w:tblW w:w="8946"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14:paraId="331DF97F">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7DE431A9">
            <w:pPr>
              <w:adjustRightInd w:val="0"/>
              <w:snapToGrid w:val="0"/>
              <w:jc w:val="left"/>
              <w:rPr>
                <w:rFonts w:eastAsiaTheme="minorEastAsia"/>
                <w:color w:val="000000"/>
                <w:szCs w:val="21"/>
              </w:rPr>
            </w:pPr>
            <w:r>
              <w:rPr>
                <w:rFonts w:eastAsiaTheme="minorEastAsia"/>
                <w:color w:val="000000"/>
                <w:szCs w:val="21"/>
                <w:vertAlign w:val="superscript"/>
              </w:rPr>
              <w:t>1</w:t>
            </w:r>
            <w:r>
              <w:rPr>
                <w:rFonts w:eastAsiaTheme="minorEastAsia"/>
                <w:color w:val="000000"/>
                <w:szCs w:val="21"/>
              </w:rPr>
              <w:t>从业人员、营业收入、资产总额填报上一年度数据，无上一年度数据的新成立企业可不填报。</w:t>
            </w:r>
          </w:p>
        </w:tc>
      </w:tr>
    </w:tbl>
    <w:p w14:paraId="4E008D5A">
      <w:pPr>
        <w:adjustRightInd w:val="0"/>
        <w:snapToGrid w:val="0"/>
        <w:jc w:val="left"/>
        <w:rPr>
          <w:rFonts w:eastAsiaTheme="minorEastAsia"/>
          <w:color w:val="000000"/>
          <w:szCs w:val="21"/>
          <w:vertAlign w:val="superscript"/>
        </w:rPr>
      </w:pPr>
    </w:p>
    <w:p w14:paraId="5B546266">
      <w:pPr>
        <w:spacing w:line="360" w:lineRule="auto"/>
        <w:ind w:right="360" w:firstLine="480"/>
        <w:jc w:val="right"/>
        <w:rPr>
          <w:rFonts w:eastAsiaTheme="minorEastAsia"/>
          <w:color w:val="000000"/>
          <w:sz w:val="24"/>
        </w:rPr>
      </w:pPr>
    </w:p>
    <w:p w14:paraId="1B75A2B3">
      <w:pPr>
        <w:spacing w:line="360" w:lineRule="auto"/>
        <w:ind w:right="360" w:firstLine="480"/>
        <w:jc w:val="right"/>
        <w:rPr>
          <w:rFonts w:eastAsiaTheme="minorEastAsia"/>
          <w:color w:val="000000"/>
          <w:sz w:val="24"/>
        </w:rPr>
      </w:pPr>
    </w:p>
    <w:p w14:paraId="2A3573EB">
      <w:pPr>
        <w:spacing w:line="360" w:lineRule="auto"/>
        <w:ind w:right="360" w:firstLine="480"/>
        <w:jc w:val="right"/>
        <w:rPr>
          <w:rFonts w:eastAsiaTheme="minorEastAsia"/>
          <w:color w:val="000000"/>
          <w:sz w:val="24"/>
          <w:szCs w:val="20"/>
        </w:rPr>
      </w:pPr>
      <w:r>
        <w:rPr>
          <w:rFonts w:eastAsiaTheme="minorEastAsia"/>
          <w:color w:val="000000"/>
          <w:sz w:val="24"/>
          <w:szCs w:val="20"/>
        </w:rPr>
        <w:br w:type="page"/>
      </w:r>
    </w:p>
    <w:p w14:paraId="5F3F2F60">
      <w:pPr>
        <w:spacing w:before="240" w:beforeLines="100" w:after="240" w:afterLines="100" w:line="360" w:lineRule="auto"/>
        <w:jc w:val="center"/>
        <w:rPr>
          <w:rFonts w:eastAsiaTheme="minorEastAsia"/>
          <w:b/>
          <w:color w:val="000000"/>
          <w:sz w:val="36"/>
          <w:szCs w:val="36"/>
        </w:rPr>
      </w:pPr>
      <w:r>
        <w:rPr>
          <w:rFonts w:eastAsiaTheme="minorEastAsia"/>
          <w:b/>
          <w:bCs/>
          <w:color w:val="000000"/>
          <w:sz w:val="36"/>
          <w:szCs w:val="36"/>
        </w:rPr>
        <w:t>残疾人福利性单位声明函格式</w:t>
      </w:r>
      <w:r>
        <w:rPr>
          <w:rFonts w:eastAsiaTheme="minorEastAsia"/>
          <w:b/>
          <w:color w:val="000000"/>
          <w:sz w:val="36"/>
          <w:szCs w:val="36"/>
        </w:rPr>
        <w:t xml:space="preserve">       </w:t>
      </w:r>
    </w:p>
    <w:p w14:paraId="51E83734">
      <w:pPr>
        <w:spacing w:line="588" w:lineRule="exact"/>
        <w:ind w:firstLine="504"/>
        <w:rPr>
          <w:rFonts w:eastAsiaTheme="minorEastAsia"/>
          <w:spacing w:val="6"/>
          <w:sz w:val="24"/>
        </w:rPr>
      </w:pPr>
      <w:r>
        <w:rPr>
          <w:rFonts w:eastAsiaTheme="minorEastAsia"/>
          <w:spacing w:val="6"/>
          <w:sz w:val="24"/>
        </w:rPr>
        <w:t>本单位郑重声明，根据《财政部 民政部 中国残疾人联合会关于促进残疾人就业政府采购政策的通知》（财库</w:t>
      </w:r>
      <w:r>
        <w:rPr>
          <w:rFonts w:eastAsiaTheme="minorEastAsia"/>
          <w:sz w:val="24"/>
        </w:rPr>
        <w:t>〔2017〕 141</w:t>
      </w:r>
      <w:r>
        <w:rPr>
          <w:rFonts w:eastAsiaTheme="minorEastAsia"/>
          <w:spacing w:val="6"/>
          <w:sz w:val="24"/>
        </w:rPr>
        <w:t>号）的规定，本单位</w:t>
      </w:r>
      <w:r>
        <w:rPr>
          <w:rFonts w:eastAsiaTheme="minorEastAsia"/>
          <w:b/>
          <w:sz w:val="24"/>
        </w:rPr>
        <w:t>（请进行选择）</w:t>
      </w:r>
      <w:r>
        <w:rPr>
          <w:rFonts w:eastAsiaTheme="minorEastAsia"/>
          <w:spacing w:val="6"/>
          <w:sz w:val="24"/>
        </w:rPr>
        <w:t>：</w:t>
      </w:r>
    </w:p>
    <w:p w14:paraId="772F5449">
      <w:pPr>
        <w:spacing w:line="588" w:lineRule="exact"/>
        <w:ind w:firstLine="482"/>
        <w:rPr>
          <w:rFonts w:eastAsiaTheme="minorEastAsia"/>
          <w:b/>
          <w:spacing w:val="6"/>
          <w:sz w:val="24"/>
        </w:rPr>
      </w:pPr>
      <w:r>
        <w:rPr>
          <w:rFonts w:eastAsiaTheme="minorEastAsia"/>
          <w:b/>
          <w:sz w:val="24"/>
        </w:rPr>
        <w:t>□</w:t>
      </w:r>
      <w:r>
        <w:rPr>
          <w:rFonts w:eastAsiaTheme="minorEastAsia"/>
          <w:b/>
          <w:spacing w:val="6"/>
          <w:sz w:val="24"/>
        </w:rPr>
        <w:t>不属于符合条件的残疾人福利性单位。</w:t>
      </w:r>
    </w:p>
    <w:p w14:paraId="281B56AE">
      <w:pPr>
        <w:spacing w:line="588" w:lineRule="exact"/>
        <w:ind w:firstLine="482"/>
        <w:rPr>
          <w:rFonts w:eastAsiaTheme="minorEastAsia"/>
          <w:spacing w:val="6"/>
          <w:sz w:val="24"/>
        </w:rPr>
      </w:pPr>
      <w:r>
        <w:rPr>
          <w:rFonts w:eastAsiaTheme="minorEastAsia"/>
          <w:b/>
          <w:sz w:val="24"/>
        </w:rPr>
        <w:t>□</w:t>
      </w:r>
      <w:r>
        <w:rPr>
          <w:rFonts w:eastAsiaTheme="minorEastAsia"/>
          <w:b/>
          <w:spacing w:val="6"/>
          <w:sz w:val="24"/>
        </w:rPr>
        <w:t>属于符合条件的残疾人福利性单位，</w:t>
      </w:r>
      <w:r>
        <w:rPr>
          <w:rFonts w:eastAsiaTheme="minorEastAsia"/>
          <w:spacing w:val="6"/>
          <w:sz w:val="24"/>
        </w:rPr>
        <w:t>且本单位参加</w:t>
      </w:r>
      <w:r>
        <w:rPr>
          <w:rFonts w:eastAsiaTheme="minorEastAsia"/>
          <w:sz w:val="24"/>
        </w:rPr>
        <w:t>______</w:t>
      </w:r>
      <w:r>
        <w:rPr>
          <w:rFonts w:eastAsiaTheme="minorEastAsia"/>
          <w:spacing w:val="6"/>
          <w:sz w:val="24"/>
        </w:rPr>
        <w:t>单位的</w:t>
      </w:r>
      <w:r>
        <w:rPr>
          <w:rFonts w:eastAsiaTheme="minorEastAsia"/>
          <w:sz w:val="24"/>
        </w:rPr>
        <w:t>______</w:t>
      </w:r>
      <w:r>
        <w:rPr>
          <w:rFonts w:eastAsiaTheme="minorEastAsia"/>
          <w:spacing w:val="6"/>
          <w:sz w:val="24"/>
        </w:rPr>
        <w:t>项目采购活动提供本单位制造的货物（由本单位承担工程/提供服务），或者提供其他残疾人福利性单位制造的货物（不包括使用非残疾人福利性单位注册商标的货物）。</w:t>
      </w:r>
    </w:p>
    <w:p w14:paraId="0596CEC9">
      <w:pPr>
        <w:spacing w:line="588" w:lineRule="exact"/>
        <w:ind w:firstLine="506" w:firstLineChars="200"/>
        <w:rPr>
          <w:rFonts w:eastAsiaTheme="minorEastAsia"/>
          <w:spacing w:val="6"/>
          <w:sz w:val="24"/>
        </w:rPr>
      </w:pPr>
      <w:r>
        <w:rPr>
          <w:rFonts w:eastAsiaTheme="minorEastAsia"/>
          <w:b/>
          <w:spacing w:val="6"/>
          <w:sz w:val="24"/>
        </w:rPr>
        <w:t>本单位对上述声明的真实性负责。如有虚假，将依法承担相应责任。</w:t>
      </w:r>
    </w:p>
    <w:p w14:paraId="4E5AA280">
      <w:pPr>
        <w:spacing w:line="588" w:lineRule="exact"/>
        <w:ind w:firstLine="504" w:firstLineChars="200"/>
        <w:rPr>
          <w:rFonts w:eastAsiaTheme="minorEastAsia"/>
          <w:spacing w:val="6"/>
          <w:sz w:val="24"/>
        </w:rPr>
      </w:pPr>
    </w:p>
    <w:p w14:paraId="618DC5AC">
      <w:pPr>
        <w:spacing w:line="588" w:lineRule="exact"/>
        <w:ind w:firstLine="504" w:firstLineChars="200"/>
        <w:rPr>
          <w:rFonts w:eastAsiaTheme="minorEastAsia"/>
          <w:spacing w:val="6"/>
          <w:sz w:val="24"/>
        </w:rPr>
      </w:pPr>
    </w:p>
    <w:p w14:paraId="1AD97815">
      <w:pPr>
        <w:tabs>
          <w:tab w:val="left" w:pos="4860"/>
        </w:tabs>
        <w:spacing w:line="588" w:lineRule="exact"/>
        <w:ind w:right="1560" w:firstLine="504" w:firstLineChars="200"/>
        <w:jc w:val="right"/>
        <w:rPr>
          <w:rFonts w:eastAsiaTheme="minorEastAsia"/>
          <w:spacing w:val="6"/>
          <w:sz w:val="24"/>
        </w:rPr>
      </w:pPr>
      <w:r>
        <w:rPr>
          <w:rFonts w:eastAsiaTheme="minorEastAsia"/>
          <w:spacing w:val="6"/>
          <w:sz w:val="24"/>
        </w:rPr>
        <w:t xml:space="preserve">          单位名称（盖章）：</w:t>
      </w:r>
      <w:r>
        <w:rPr>
          <w:rFonts w:eastAsiaTheme="minorEastAsia"/>
          <w:sz w:val="24"/>
        </w:rPr>
        <w:t>______</w:t>
      </w:r>
    </w:p>
    <w:p w14:paraId="622693D0">
      <w:pPr>
        <w:tabs>
          <w:tab w:val="left" w:pos="4860"/>
        </w:tabs>
        <w:spacing w:line="588" w:lineRule="exact"/>
        <w:ind w:right="1560" w:firstLine="504" w:firstLineChars="200"/>
        <w:jc w:val="right"/>
        <w:rPr>
          <w:rFonts w:eastAsiaTheme="minorEastAsia"/>
          <w:spacing w:val="6"/>
          <w:sz w:val="24"/>
        </w:rPr>
      </w:pPr>
      <w:r>
        <w:rPr>
          <w:rFonts w:eastAsiaTheme="minorEastAsia"/>
          <w:spacing w:val="6"/>
          <w:sz w:val="24"/>
        </w:rPr>
        <w:t xml:space="preserve">       日  期：</w:t>
      </w:r>
      <w:r>
        <w:rPr>
          <w:rFonts w:eastAsiaTheme="minorEastAsia"/>
          <w:sz w:val="24"/>
        </w:rPr>
        <w:t>______</w:t>
      </w:r>
    </w:p>
    <w:p w14:paraId="6B721176">
      <w:pPr>
        <w:widowControl/>
        <w:jc w:val="left"/>
        <w:rPr>
          <w:rFonts w:eastAsiaTheme="minorEastAsia"/>
          <w:color w:val="000000"/>
          <w:sz w:val="24"/>
          <w:szCs w:val="20"/>
        </w:rPr>
      </w:pPr>
      <w:r>
        <w:rPr>
          <w:rFonts w:eastAsiaTheme="minorEastAsia"/>
          <w:color w:val="000000"/>
          <w:sz w:val="24"/>
          <w:szCs w:val="20"/>
        </w:rPr>
        <w:br w:type="page"/>
      </w:r>
    </w:p>
    <w:p w14:paraId="6202DAFA">
      <w:pPr>
        <w:spacing w:line="360" w:lineRule="auto"/>
        <w:outlineLvl w:val="2"/>
        <w:rPr>
          <w:rFonts w:eastAsiaTheme="minorEastAsia"/>
          <w:color w:val="000000"/>
          <w:sz w:val="24"/>
          <w:szCs w:val="20"/>
        </w:rPr>
      </w:pPr>
      <w:r>
        <w:rPr>
          <w:rFonts w:eastAsiaTheme="minorEastAsia"/>
          <w:color w:val="000000"/>
          <w:sz w:val="24"/>
          <w:szCs w:val="20"/>
        </w:rPr>
        <w:t xml:space="preserve">2-2 </w:t>
      </w:r>
      <w:r>
        <w:rPr>
          <w:rFonts w:eastAsiaTheme="minorEastAsia"/>
          <w:sz w:val="24"/>
        </w:rPr>
        <w:t>其它落实政府采购政策的资格要求</w:t>
      </w:r>
      <w:r>
        <w:rPr>
          <w:rFonts w:eastAsiaTheme="minorEastAsia"/>
          <w:color w:val="000000"/>
          <w:sz w:val="24"/>
          <w:szCs w:val="20"/>
        </w:rPr>
        <w:t>（如有）</w:t>
      </w:r>
    </w:p>
    <w:p w14:paraId="1E0589AD">
      <w:pPr>
        <w:widowControl/>
        <w:jc w:val="left"/>
        <w:rPr>
          <w:rFonts w:eastAsiaTheme="minorEastAsia"/>
          <w:sz w:val="24"/>
        </w:rPr>
      </w:pPr>
    </w:p>
    <w:p w14:paraId="18756529">
      <w:pPr>
        <w:widowControl/>
        <w:jc w:val="left"/>
        <w:rPr>
          <w:rFonts w:eastAsiaTheme="minorEastAsia"/>
          <w:sz w:val="24"/>
        </w:rPr>
      </w:pPr>
      <w:r>
        <w:rPr>
          <w:rFonts w:eastAsiaTheme="minorEastAsia"/>
          <w:sz w:val="24"/>
        </w:rPr>
        <w:br w:type="page"/>
      </w:r>
    </w:p>
    <w:p w14:paraId="2C0BB575">
      <w:pPr>
        <w:tabs>
          <w:tab w:val="left" w:pos="360"/>
        </w:tabs>
        <w:snapToGrid w:val="0"/>
        <w:spacing w:line="360" w:lineRule="auto"/>
        <w:outlineLvl w:val="1"/>
        <w:rPr>
          <w:rFonts w:eastAsiaTheme="minorEastAsia"/>
          <w:sz w:val="24"/>
        </w:rPr>
      </w:pPr>
      <w:r>
        <w:rPr>
          <w:rFonts w:eastAsiaTheme="minorEastAsia"/>
          <w:sz w:val="24"/>
        </w:rPr>
        <w:t>3 本项目的特定资格要求（如有）</w:t>
      </w:r>
    </w:p>
    <w:p w14:paraId="021A8E20">
      <w:pPr>
        <w:spacing w:line="360" w:lineRule="auto"/>
        <w:outlineLvl w:val="2"/>
        <w:rPr>
          <w:rFonts w:eastAsiaTheme="minorEastAsia"/>
          <w:sz w:val="24"/>
          <w:szCs w:val="20"/>
        </w:rPr>
      </w:pPr>
      <w:r>
        <w:rPr>
          <w:rFonts w:eastAsiaTheme="minorEastAsia"/>
          <w:color w:val="000000"/>
          <w:sz w:val="24"/>
          <w:szCs w:val="20"/>
        </w:rPr>
        <w:t>3-2 其他</w:t>
      </w:r>
      <w:r>
        <w:rPr>
          <w:rFonts w:eastAsiaTheme="minorEastAsia"/>
          <w:sz w:val="24"/>
          <w:szCs w:val="20"/>
        </w:rPr>
        <w:t>特定资格要求</w:t>
      </w:r>
    </w:p>
    <w:p w14:paraId="3958184D">
      <w:pPr>
        <w:tabs>
          <w:tab w:val="left" w:pos="5580"/>
        </w:tabs>
        <w:spacing w:line="360" w:lineRule="auto"/>
        <w:rPr>
          <w:rFonts w:eastAsiaTheme="minorEastAsia"/>
          <w:sz w:val="24"/>
        </w:rPr>
      </w:pPr>
    </w:p>
    <w:p w14:paraId="607ADEAE">
      <w:pPr>
        <w:widowControl/>
        <w:jc w:val="left"/>
        <w:rPr>
          <w:rFonts w:eastAsiaTheme="minorEastAsia"/>
          <w:sz w:val="24"/>
          <w:szCs w:val="20"/>
        </w:rPr>
      </w:pPr>
      <w:r>
        <w:rPr>
          <w:rFonts w:eastAsiaTheme="minorEastAsia"/>
          <w:sz w:val="24"/>
          <w:szCs w:val="20"/>
        </w:rPr>
        <w:br w:type="page"/>
      </w:r>
    </w:p>
    <w:p w14:paraId="2B18DEB5">
      <w:pPr>
        <w:tabs>
          <w:tab w:val="left" w:pos="360"/>
        </w:tabs>
        <w:snapToGrid w:val="0"/>
        <w:spacing w:line="360" w:lineRule="auto"/>
        <w:outlineLvl w:val="1"/>
        <w:rPr>
          <w:rFonts w:eastAsiaTheme="minorEastAsia"/>
          <w:sz w:val="24"/>
        </w:rPr>
      </w:pPr>
      <w:bookmarkStart w:id="1509" w:name="_Hlt520274393"/>
      <w:bookmarkEnd w:id="1509"/>
      <w:bookmarkStart w:id="1510" w:name="_Hlt520274121"/>
      <w:bookmarkEnd w:id="1510"/>
      <w:bookmarkStart w:id="1511" w:name="_Hlt520350918"/>
      <w:bookmarkEnd w:id="1511"/>
      <w:bookmarkStart w:id="1512" w:name="_Hlt520355504"/>
      <w:bookmarkEnd w:id="1512"/>
      <w:bookmarkStart w:id="1513" w:name="_Hlt520271212"/>
      <w:bookmarkEnd w:id="1513"/>
      <w:bookmarkStart w:id="1514" w:name="_Hlt520343000"/>
      <w:bookmarkEnd w:id="1514"/>
      <w:bookmarkStart w:id="1515" w:name="_Hlt520273711"/>
      <w:bookmarkEnd w:id="1515"/>
      <w:bookmarkStart w:id="1516" w:name="_Hlt520343392"/>
      <w:bookmarkEnd w:id="1516"/>
      <w:bookmarkStart w:id="1517" w:name="_Hlt520274407"/>
      <w:bookmarkEnd w:id="1517"/>
      <w:bookmarkStart w:id="1518" w:name="_Hlt520274065"/>
      <w:bookmarkEnd w:id="1518"/>
      <w:bookmarkStart w:id="1519" w:name="_Toc480942349"/>
      <w:bookmarkStart w:id="1520" w:name="_Ref467988698"/>
      <w:bookmarkStart w:id="1521" w:name="_Toc142311058"/>
      <w:bookmarkStart w:id="1522" w:name="_Toc150774761"/>
      <w:bookmarkStart w:id="1523" w:name="_Toc195842921"/>
      <w:bookmarkStart w:id="1524" w:name="_Toc520356217"/>
      <w:bookmarkStart w:id="1525" w:name="_Toc127151556"/>
      <w:bookmarkStart w:id="1526" w:name="_Toc150480794"/>
      <w:bookmarkStart w:id="1527" w:name="_Toc226965746"/>
      <w:bookmarkStart w:id="1528" w:name="_Toc226309800"/>
      <w:bookmarkStart w:id="1529" w:name="_Toc226965829"/>
      <w:bookmarkStart w:id="1530" w:name="_Toc226337252"/>
      <w:r>
        <w:rPr>
          <w:rFonts w:eastAsiaTheme="minorEastAsia"/>
          <w:sz w:val="24"/>
        </w:rPr>
        <w:t xml:space="preserve">5  </w:t>
      </w:r>
      <w:bookmarkEnd w:id="1519"/>
      <w:bookmarkEnd w:id="1520"/>
      <w:r>
        <w:rPr>
          <w:rFonts w:eastAsiaTheme="minorEastAsia"/>
          <w:sz w:val="24"/>
        </w:rPr>
        <w:t>响应书</w:t>
      </w:r>
      <w:bookmarkEnd w:id="1521"/>
      <w:bookmarkEnd w:id="1522"/>
      <w:bookmarkEnd w:id="1523"/>
      <w:bookmarkEnd w:id="1524"/>
      <w:bookmarkEnd w:id="1525"/>
      <w:bookmarkEnd w:id="1526"/>
      <w:bookmarkEnd w:id="1527"/>
      <w:bookmarkEnd w:id="1528"/>
      <w:bookmarkEnd w:id="1529"/>
      <w:bookmarkEnd w:id="1530"/>
      <w:r>
        <w:rPr>
          <w:rFonts w:eastAsiaTheme="minorEastAsia"/>
          <w:sz w:val="24"/>
        </w:rPr>
        <w:t>（实质性格式）</w:t>
      </w:r>
    </w:p>
    <w:p w14:paraId="0F66E83E">
      <w:pPr>
        <w:tabs>
          <w:tab w:val="left" w:pos="5580"/>
        </w:tabs>
        <w:spacing w:line="360" w:lineRule="auto"/>
        <w:rPr>
          <w:rFonts w:eastAsiaTheme="minorEastAsia"/>
          <w:color w:val="000000"/>
          <w:sz w:val="24"/>
        </w:rPr>
      </w:pPr>
    </w:p>
    <w:p w14:paraId="72E7081A">
      <w:pPr>
        <w:spacing w:line="360" w:lineRule="auto"/>
        <w:jc w:val="center"/>
        <w:rPr>
          <w:rFonts w:eastAsiaTheme="minorEastAsia"/>
          <w:b/>
          <w:color w:val="000000"/>
          <w:sz w:val="36"/>
          <w:szCs w:val="36"/>
        </w:rPr>
      </w:pPr>
      <w:r>
        <w:rPr>
          <w:rFonts w:eastAsiaTheme="minorEastAsia"/>
          <w:b/>
          <w:color w:val="000000"/>
          <w:sz w:val="36"/>
          <w:szCs w:val="36"/>
        </w:rPr>
        <w:t>响应书</w:t>
      </w:r>
    </w:p>
    <w:p w14:paraId="2BE9C350">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u w:val="single"/>
        </w:rPr>
        <w:t>（采购人或采购代理机构）</w:t>
      </w:r>
    </w:p>
    <w:p w14:paraId="1D57E59E">
      <w:pPr>
        <w:tabs>
          <w:tab w:val="left" w:pos="5580"/>
        </w:tabs>
        <w:spacing w:line="360" w:lineRule="auto"/>
        <w:rPr>
          <w:rFonts w:eastAsiaTheme="minorEastAsia"/>
          <w:color w:val="000000"/>
          <w:sz w:val="24"/>
          <w:szCs w:val="20"/>
        </w:rPr>
      </w:pPr>
    </w:p>
    <w:p w14:paraId="6C3EC037">
      <w:pPr>
        <w:tabs>
          <w:tab w:val="left" w:pos="5580"/>
        </w:tabs>
        <w:spacing w:line="360" w:lineRule="auto"/>
        <w:ind w:firstLine="408"/>
        <w:rPr>
          <w:rFonts w:eastAsiaTheme="minorEastAsia"/>
          <w:color w:val="000000"/>
          <w:sz w:val="24"/>
          <w:szCs w:val="20"/>
        </w:rPr>
      </w:pPr>
      <w:r>
        <w:rPr>
          <w:rFonts w:eastAsiaTheme="minorEastAsia"/>
          <w:color w:val="000000"/>
          <w:sz w:val="24"/>
          <w:szCs w:val="20"/>
        </w:rPr>
        <w:t>我方参加你方就</w:t>
      </w:r>
      <w:r>
        <w:rPr>
          <w:rFonts w:eastAsiaTheme="minorEastAsia"/>
          <w:sz w:val="24"/>
        </w:rPr>
        <w:t>______</w:t>
      </w:r>
      <w:r>
        <w:rPr>
          <w:rFonts w:eastAsiaTheme="minorEastAsia"/>
          <w:color w:val="000000"/>
          <w:sz w:val="24"/>
          <w:szCs w:val="20"/>
        </w:rPr>
        <w:t>（项目名称，项目编号/包号）组织的采购活动，并对此项目进行磋商。</w:t>
      </w:r>
    </w:p>
    <w:p w14:paraId="0A92AA09">
      <w:pPr>
        <w:tabs>
          <w:tab w:val="left" w:pos="5580"/>
        </w:tabs>
        <w:spacing w:line="360" w:lineRule="auto"/>
        <w:ind w:firstLine="408"/>
        <w:rPr>
          <w:rFonts w:eastAsiaTheme="minorEastAsia"/>
          <w:color w:val="000000"/>
          <w:sz w:val="24"/>
          <w:szCs w:val="20"/>
        </w:rPr>
      </w:pPr>
      <w:r>
        <w:rPr>
          <w:rFonts w:eastAsiaTheme="minorEastAsia"/>
          <w:color w:val="000000"/>
          <w:sz w:val="24"/>
          <w:szCs w:val="20"/>
        </w:rPr>
        <w:t>1. 我方</w:t>
      </w:r>
      <w:r>
        <w:rPr>
          <w:rFonts w:eastAsiaTheme="minorEastAsia"/>
          <w:color w:val="000000"/>
          <w:sz w:val="24"/>
        </w:rPr>
        <w:t>已详细审查全部竞争性磋商文件</w:t>
      </w:r>
      <w:r>
        <w:rPr>
          <w:rFonts w:eastAsiaTheme="minorEastAsia"/>
          <w:color w:val="000000"/>
          <w:sz w:val="24"/>
          <w:szCs w:val="20"/>
        </w:rPr>
        <w:t>，自愿参与磋商并承诺如下：</w:t>
      </w:r>
    </w:p>
    <w:p w14:paraId="485E1A3C">
      <w:pPr>
        <w:tabs>
          <w:tab w:val="left" w:pos="720"/>
          <w:tab w:val="left" w:pos="900"/>
        </w:tabs>
        <w:spacing w:line="360" w:lineRule="auto"/>
        <w:ind w:left="360" w:firstLine="72" w:firstLineChars="30"/>
        <w:rPr>
          <w:rFonts w:eastAsiaTheme="minorEastAsia"/>
          <w:color w:val="000000"/>
          <w:sz w:val="24"/>
          <w:szCs w:val="20"/>
        </w:rPr>
      </w:pPr>
      <w:r>
        <w:rPr>
          <w:rFonts w:eastAsiaTheme="minorEastAsia"/>
          <w:color w:val="000000"/>
          <w:sz w:val="24"/>
          <w:szCs w:val="20"/>
        </w:rPr>
        <w:t>（1）本响应有效期为自响应文件提交截止之日起</w:t>
      </w:r>
      <w:r>
        <w:rPr>
          <w:rFonts w:eastAsiaTheme="minorEastAsia"/>
          <w:sz w:val="24"/>
        </w:rPr>
        <w:t>______</w:t>
      </w:r>
      <w:r>
        <w:rPr>
          <w:rFonts w:eastAsiaTheme="minorEastAsia"/>
          <w:color w:val="000000"/>
          <w:sz w:val="24"/>
          <w:szCs w:val="20"/>
        </w:rPr>
        <w:t>个日历日。</w:t>
      </w:r>
    </w:p>
    <w:p w14:paraId="6D0ACE54">
      <w:pPr>
        <w:tabs>
          <w:tab w:val="left" w:pos="720"/>
          <w:tab w:val="left" w:pos="900"/>
        </w:tabs>
        <w:spacing w:line="360" w:lineRule="auto"/>
        <w:ind w:left="360" w:firstLine="72" w:firstLineChars="30"/>
        <w:rPr>
          <w:rFonts w:eastAsiaTheme="minorEastAsia"/>
          <w:color w:val="000000"/>
          <w:sz w:val="24"/>
          <w:szCs w:val="20"/>
        </w:rPr>
      </w:pPr>
      <w:r>
        <w:rPr>
          <w:rFonts w:eastAsiaTheme="minorEastAsia"/>
          <w:color w:val="000000"/>
          <w:sz w:val="24"/>
          <w:szCs w:val="20"/>
        </w:rPr>
        <w:t>（2）除合同条款及采购需求偏离表列出的偏离外，我方响应竞争性磋商文件的全部要求。</w:t>
      </w:r>
    </w:p>
    <w:p w14:paraId="57D3BB2F">
      <w:pPr>
        <w:tabs>
          <w:tab w:val="left" w:pos="5580"/>
        </w:tabs>
        <w:spacing w:line="360" w:lineRule="auto"/>
        <w:ind w:firstLine="420" w:firstLineChars="175"/>
        <w:rPr>
          <w:rFonts w:eastAsiaTheme="minorEastAsia"/>
          <w:color w:val="000000"/>
          <w:sz w:val="24"/>
          <w:szCs w:val="20"/>
        </w:rPr>
      </w:pPr>
      <w:r>
        <w:rPr>
          <w:rFonts w:eastAsiaTheme="minorEastAsia"/>
          <w:color w:val="000000"/>
          <w:sz w:val="24"/>
          <w:szCs w:val="20"/>
        </w:rPr>
        <w:t>（3）我方已提供的全部文件资料是真实、准确的，并对此承担一切法律后果。</w:t>
      </w:r>
    </w:p>
    <w:p w14:paraId="28C40443">
      <w:pPr>
        <w:tabs>
          <w:tab w:val="left" w:pos="5580"/>
        </w:tabs>
        <w:spacing w:line="360" w:lineRule="auto"/>
        <w:ind w:firstLine="420" w:firstLineChars="175"/>
        <w:rPr>
          <w:rFonts w:eastAsiaTheme="minorEastAsia"/>
          <w:color w:val="000000"/>
          <w:sz w:val="24"/>
        </w:rPr>
      </w:pPr>
      <w:r>
        <w:rPr>
          <w:rFonts w:eastAsiaTheme="minorEastAsia"/>
          <w:color w:val="000000"/>
          <w:sz w:val="24"/>
          <w:szCs w:val="20"/>
        </w:rPr>
        <w:t>（4）如我方成交，我方将在法律规定的期限内与你方签订合同，按照竞争性磋商文件要求提交履约保证金，并在合同约定的期限内完成合同规定的全部义务。</w:t>
      </w:r>
    </w:p>
    <w:p w14:paraId="40AEBFB6">
      <w:pPr>
        <w:spacing w:line="360" w:lineRule="auto"/>
        <w:ind w:left="420"/>
        <w:rPr>
          <w:rFonts w:eastAsiaTheme="minorEastAsia"/>
          <w:color w:val="000000"/>
          <w:sz w:val="24"/>
        </w:rPr>
      </w:pPr>
      <w:r>
        <w:rPr>
          <w:rFonts w:eastAsiaTheme="minorEastAsia"/>
          <w:color w:val="000000"/>
          <w:sz w:val="24"/>
        </w:rPr>
        <w:t>2. 其他补充条款（如有）：</w:t>
      </w:r>
      <w:r>
        <w:rPr>
          <w:rFonts w:eastAsiaTheme="minorEastAsia"/>
          <w:sz w:val="24"/>
        </w:rPr>
        <w:t>______</w:t>
      </w:r>
      <w:r>
        <w:rPr>
          <w:rFonts w:eastAsiaTheme="minorEastAsia"/>
          <w:color w:val="000000"/>
          <w:sz w:val="24"/>
        </w:rPr>
        <w:t>。</w:t>
      </w:r>
    </w:p>
    <w:p w14:paraId="614AE265">
      <w:pPr>
        <w:spacing w:line="360" w:lineRule="auto"/>
        <w:ind w:firstLine="480" w:firstLineChars="200"/>
        <w:rPr>
          <w:rFonts w:eastAsiaTheme="minorEastAsia"/>
          <w:color w:val="000000"/>
          <w:sz w:val="24"/>
        </w:rPr>
      </w:pPr>
      <w:r>
        <w:rPr>
          <w:rFonts w:eastAsiaTheme="minorEastAsia"/>
          <w:color w:val="000000"/>
          <w:sz w:val="24"/>
        </w:rPr>
        <w:t>与本磋商有关的一切正式往来信函请寄：</w:t>
      </w:r>
    </w:p>
    <w:p w14:paraId="17A61849">
      <w:pPr>
        <w:tabs>
          <w:tab w:val="left" w:pos="5580"/>
        </w:tabs>
        <w:spacing w:line="360" w:lineRule="auto"/>
        <w:ind w:left="420"/>
        <w:rPr>
          <w:rFonts w:eastAsiaTheme="minorEastAsia"/>
          <w:color w:val="000000"/>
          <w:sz w:val="24"/>
          <w:szCs w:val="20"/>
        </w:rPr>
      </w:pPr>
    </w:p>
    <w:p w14:paraId="122EB443">
      <w:pPr>
        <w:tabs>
          <w:tab w:val="left" w:pos="5580"/>
        </w:tabs>
        <w:spacing w:line="360" w:lineRule="auto"/>
        <w:ind w:left="420"/>
        <w:rPr>
          <w:rFonts w:eastAsiaTheme="minorEastAsia"/>
          <w:color w:val="000000"/>
          <w:sz w:val="24"/>
          <w:szCs w:val="20"/>
        </w:rPr>
      </w:pPr>
      <w:r>
        <w:rPr>
          <w:rFonts w:eastAsiaTheme="minorEastAsia"/>
          <w:color w:val="000000"/>
          <w:sz w:val="24"/>
          <w:szCs w:val="20"/>
        </w:rPr>
        <w:t>地址</w:t>
      </w:r>
      <w:r>
        <w:rPr>
          <w:rFonts w:eastAsiaTheme="minorEastAsia"/>
          <w:bCs/>
          <w:color w:val="000000"/>
          <w:sz w:val="24"/>
        </w:rPr>
        <w:t>_________________________</w:t>
      </w:r>
      <w:r>
        <w:rPr>
          <w:rFonts w:eastAsiaTheme="minorEastAsia"/>
          <w:color w:val="000000"/>
          <w:sz w:val="24"/>
          <w:szCs w:val="20"/>
        </w:rPr>
        <w:t xml:space="preserve">      传   真</w:t>
      </w:r>
      <w:r>
        <w:rPr>
          <w:rFonts w:eastAsiaTheme="minorEastAsia"/>
          <w:bCs/>
          <w:color w:val="000000"/>
          <w:sz w:val="24"/>
        </w:rPr>
        <w:t>_________________________</w:t>
      </w:r>
    </w:p>
    <w:p w14:paraId="7829C724">
      <w:pPr>
        <w:tabs>
          <w:tab w:val="left" w:pos="5580"/>
        </w:tabs>
        <w:spacing w:line="360" w:lineRule="auto"/>
        <w:ind w:left="420"/>
        <w:rPr>
          <w:rFonts w:eastAsiaTheme="minorEastAsia"/>
          <w:color w:val="000000"/>
          <w:sz w:val="24"/>
          <w:szCs w:val="20"/>
        </w:rPr>
      </w:pPr>
      <w:r>
        <w:rPr>
          <w:rFonts w:eastAsiaTheme="minorEastAsia"/>
          <w:color w:val="000000"/>
          <w:sz w:val="24"/>
          <w:szCs w:val="20"/>
        </w:rPr>
        <w:t>电话</w:t>
      </w:r>
      <w:r>
        <w:rPr>
          <w:rFonts w:eastAsiaTheme="minorEastAsia"/>
          <w:bCs/>
          <w:color w:val="000000"/>
          <w:sz w:val="24"/>
        </w:rPr>
        <w:t>_________________________</w:t>
      </w:r>
      <w:r>
        <w:rPr>
          <w:rFonts w:eastAsiaTheme="minorEastAsia"/>
          <w:color w:val="000000"/>
          <w:sz w:val="24"/>
          <w:szCs w:val="20"/>
        </w:rPr>
        <w:t xml:space="preserve">      电子函件</w:t>
      </w:r>
      <w:r>
        <w:rPr>
          <w:rFonts w:eastAsiaTheme="minorEastAsia"/>
          <w:bCs/>
          <w:color w:val="000000"/>
          <w:sz w:val="24"/>
        </w:rPr>
        <w:t>_________________________</w:t>
      </w:r>
    </w:p>
    <w:p w14:paraId="5A3B8D66">
      <w:pPr>
        <w:tabs>
          <w:tab w:val="left" w:pos="5580"/>
        </w:tabs>
        <w:spacing w:line="360" w:lineRule="auto"/>
        <w:ind w:left="420"/>
        <w:rPr>
          <w:rFonts w:eastAsiaTheme="minorEastAsia"/>
          <w:color w:val="000000"/>
          <w:sz w:val="24"/>
          <w:szCs w:val="20"/>
        </w:rPr>
      </w:pPr>
    </w:p>
    <w:p w14:paraId="6EE3CB53">
      <w:pPr>
        <w:tabs>
          <w:tab w:val="left" w:pos="5580"/>
        </w:tabs>
        <w:spacing w:line="360" w:lineRule="auto"/>
        <w:ind w:left="420"/>
        <w:rPr>
          <w:rFonts w:eastAsiaTheme="minorEastAsia"/>
          <w:color w:val="000000"/>
          <w:sz w:val="24"/>
          <w:szCs w:val="20"/>
        </w:rPr>
      </w:pPr>
    </w:p>
    <w:p w14:paraId="5AE692E3">
      <w:pPr>
        <w:tabs>
          <w:tab w:val="left" w:pos="5580"/>
        </w:tabs>
        <w:spacing w:line="360" w:lineRule="auto"/>
        <w:ind w:left="420"/>
        <w:rPr>
          <w:rFonts w:eastAsiaTheme="minorEastAsia"/>
          <w:color w:val="000000"/>
          <w:sz w:val="24"/>
          <w:szCs w:val="20"/>
        </w:rPr>
      </w:pPr>
    </w:p>
    <w:p w14:paraId="076AAE4D">
      <w:pPr>
        <w:autoSpaceDE w:val="0"/>
        <w:autoSpaceDN w:val="0"/>
        <w:adjustRightInd w:val="0"/>
        <w:snapToGrid w:val="0"/>
        <w:spacing w:before="25" w:after="25" w:line="360" w:lineRule="auto"/>
        <w:ind w:right="360" w:firstLine="360" w:firstLineChars="150"/>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7AEF79A4">
      <w:pPr>
        <w:tabs>
          <w:tab w:val="left" w:pos="5580"/>
        </w:tabs>
        <w:spacing w:line="360" w:lineRule="auto"/>
        <w:ind w:firstLine="360" w:firstLineChars="150"/>
        <w:rPr>
          <w:rFonts w:eastAsiaTheme="minorEastAsia"/>
          <w:color w:val="000000"/>
          <w:sz w:val="24"/>
          <w:szCs w:val="20"/>
        </w:rPr>
      </w:pPr>
      <w:r>
        <w:rPr>
          <w:rFonts w:eastAsiaTheme="minorEastAsia"/>
          <w:color w:val="000000"/>
          <w:sz w:val="24"/>
          <w:szCs w:val="20"/>
        </w:rPr>
        <w:t xml:space="preserve">日期：____年____月____日  </w:t>
      </w:r>
    </w:p>
    <w:p w14:paraId="39330228">
      <w:pPr>
        <w:tabs>
          <w:tab w:val="left" w:pos="5580"/>
        </w:tabs>
        <w:spacing w:line="360" w:lineRule="auto"/>
        <w:ind w:left="420"/>
        <w:jc w:val="left"/>
        <w:rPr>
          <w:rFonts w:eastAsiaTheme="minorEastAsia"/>
          <w:color w:val="000000"/>
          <w:sz w:val="24"/>
          <w:szCs w:val="20"/>
        </w:rPr>
      </w:pPr>
    </w:p>
    <w:p w14:paraId="3913F2B8">
      <w:pPr>
        <w:widowControl/>
        <w:jc w:val="left"/>
        <w:rPr>
          <w:rFonts w:eastAsiaTheme="minorEastAsia"/>
          <w:b/>
          <w:color w:val="000000"/>
          <w:sz w:val="24"/>
          <w:szCs w:val="20"/>
        </w:rPr>
      </w:pPr>
      <w:r>
        <w:rPr>
          <w:rFonts w:eastAsiaTheme="minorEastAsia"/>
          <w:b/>
          <w:color w:val="000000"/>
          <w:sz w:val="24"/>
          <w:szCs w:val="20"/>
        </w:rPr>
        <w:br w:type="page"/>
      </w:r>
    </w:p>
    <w:p w14:paraId="3F3E4907">
      <w:pPr>
        <w:tabs>
          <w:tab w:val="left" w:pos="360"/>
        </w:tabs>
        <w:snapToGrid w:val="0"/>
        <w:spacing w:line="360" w:lineRule="auto"/>
        <w:outlineLvl w:val="1"/>
        <w:rPr>
          <w:rFonts w:eastAsiaTheme="minorEastAsia"/>
          <w:sz w:val="24"/>
        </w:rPr>
      </w:pPr>
      <w:bookmarkStart w:id="1531" w:name="_Hlt520356243"/>
      <w:bookmarkEnd w:id="1531"/>
      <w:bookmarkStart w:id="1532" w:name="_Hlt520355938"/>
      <w:bookmarkEnd w:id="1532"/>
      <w:bookmarkStart w:id="1533" w:name="_Toc195842922"/>
      <w:bookmarkStart w:id="1534" w:name="_Toc150480795"/>
      <w:bookmarkStart w:id="1535" w:name="_Toc226309801"/>
      <w:bookmarkStart w:id="1536" w:name="_Toc305158899"/>
      <w:bookmarkStart w:id="1537" w:name="_Toc150774762"/>
      <w:bookmarkStart w:id="1538" w:name="_Toc264969247"/>
      <w:bookmarkStart w:id="1539" w:name="_Toc305158825"/>
      <w:bookmarkStart w:id="1540" w:name="_Toc226965747"/>
      <w:bookmarkStart w:id="1541" w:name="_Toc520356218"/>
      <w:bookmarkStart w:id="1542" w:name="_Toc226337253"/>
      <w:bookmarkStart w:id="1543" w:name="_Toc142311059"/>
      <w:bookmarkStart w:id="1544" w:name="_Toc480942350"/>
      <w:bookmarkStart w:id="1545" w:name="_Toc265228395"/>
      <w:bookmarkStart w:id="1546" w:name="_Ref467988705"/>
      <w:bookmarkStart w:id="1547" w:name="_Toc226965830"/>
      <w:bookmarkStart w:id="1548" w:name="_Toc127151557"/>
      <w:r>
        <w:rPr>
          <w:rFonts w:eastAsiaTheme="minorEastAsia"/>
          <w:sz w:val="24"/>
        </w:rPr>
        <w:t>6  授权委托书（实质性格式）</w:t>
      </w:r>
    </w:p>
    <w:p w14:paraId="29D111E7">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授权委托书</w:t>
      </w:r>
    </w:p>
    <w:p w14:paraId="6A05E1E9">
      <w:pPr>
        <w:spacing w:line="360" w:lineRule="auto"/>
        <w:ind w:firstLine="420"/>
        <w:rPr>
          <w:rFonts w:eastAsiaTheme="minorEastAsia"/>
          <w:color w:val="000000"/>
          <w:sz w:val="24"/>
          <w:szCs w:val="20"/>
        </w:rPr>
      </w:pPr>
      <w:r>
        <w:rPr>
          <w:rFonts w:eastAsiaTheme="minorEastAsia"/>
          <w:color w:val="000000"/>
          <w:sz w:val="24"/>
          <w:szCs w:val="20"/>
        </w:rPr>
        <w:t>本人____（姓名）系____（供应商名称）的法定代表人（单位负责人），现委托_____ （姓名）为我方代理人。代理人根据授权，以我方名义签署、澄清确认、提交、撤回、修改____（项目名称）响应文件和处理有关事宜，其法律后果由我方承担。</w:t>
      </w:r>
    </w:p>
    <w:p w14:paraId="75B634E2">
      <w:pPr>
        <w:spacing w:line="360" w:lineRule="auto"/>
        <w:ind w:firstLine="420"/>
        <w:rPr>
          <w:rFonts w:eastAsiaTheme="minorEastAsia"/>
          <w:color w:val="000000"/>
          <w:sz w:val="24"/>
          <w:szCs w:val="20"/>
        </w:rPr>
      </w:pPr>
      <w:r>
        <w:rPr>
          <w:rFonts w:eastAsiaTheme="minorEastAsia"/>
          <w:color w:val="000000"/>
          <w:sz w:val="24"/>
          <w:szCs w:val="20"/>
        </w:rPr>
        <w:t>委托期限：自本授权委托书签署之日起至响应有效期届满之日止。</w:t>
      </w:r>
    </w:p>
    <w:p w14:paraId="400EF526">
      <w:pPr>
        <w:spacing w:line="360" w:lineRule="auto"/>
        <w:ind w:firstLine="420"/>
        <w:rPr>
          <w:rFonts w:eastAsiaTheme="minorEastAsia"/>
          <w:color w:val="000000"/>
          <w:sz w:val="24"/>
          <w:szCs w:val="20"/>
        </w:rPr>
      </w:pPr>
      <w:r>
        <w:rPr>
          <w:rFonts w:eastAsiaTheme="minorEastAsia"/>
          <w:color w:val="000000"/>
          <w:sz w:val="24"/>
          <w:szCs w:val="20"/>
        </w:rPr>
        <w:t>代理人无转委托权。</w:t>
      </w:r>
      <w:r>
        <w:rPr>
          <w:rFonts w:eastAsiaTheme="minorEastAsia"/>
          <w:color w:val="000000"/>
          <w:sz w:val="24"/>
          <w:szCs w:val="20"/>
        </w:rPr>
        <w:cr/>
      </w:r>
    </w:p>
    <w:p w14:paraId="4CE0DDE6">
      <w:pPr>
        <w:spacing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color w:val="000000"/>
          <w:sz w:val="24"/>
          <w:szCs w:val="20"/>
        </w:rPr>
        <w:t>______________</w:t>
      </w:r>
    </w:p>
    <w:p w14:paraId="07F6F529">
      <w:pPr>
        <w:spacing w:line="360" w:lineRule="auto"/>
        <w:rPr>
          <w:rFonts w:eastAsiaTheme="minorEastAsia"/>
          <w:color w:val="000000"/>
          <w:sz w:val="24"/>
          <w:szCs w:val="20"/>
        </w:rPr>
      </w:pPr>
      <w:r>
        <w:rPr>
          <w:rFonts w:eastAsiaTheme="minorEastAsia"/>
          <w:color w:val="000000"/>
          <w:sz w:val="24"/>
          <w:szCs w:val="20"/>
        </w:rPr>
        <w:t>法定代表人（单位负责人）（签字</w:t>
      </w:r>
      <w:r>
        <w:rPr>
          <w:color w:val="000000"/>
          <w:sz w:val="24"/>
          <w:szCs w:val="20"/>
        </w:rPr>
        <w:t>或签章</w:t>
      </w:r>
      <w:r>
        <w:rPr>
          <w:rFonts w:eastAsiaTheme="minorEastAsia"/>
          <w:color w:val="000000"/>
          <w:sz w:val="24"/>
          <w:szCs w:val="20"/>
        </w:rPr>
        <w:t>）：______________</w:t>
      </w:r>
    </w:p>
    <w:p w14:paraId="41510B6E">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委托代理人（签字</w:t>
      </w:r>
      <w:r>
        <w:rPr>
          <w:color w:val="000000"/>
          <w:sz w:val="24"/>
          <w:szCs w:val="20"/>
        </w:rPr>
        <w:t>或签章</w:t>
      </w:r>
      <w:r>
        <w:rPr>
          <w:rFonts w:eastAsiaTheme="minorEastAsia"/>
          <w:color w:val="000000"/>
          <w:sz w:val="24"/>
        </w:rPr>
        <w:t>）：</w:t>
      </w:r>
      <w:r>
        <w:rPr>
          <w:rFonts w:eastAsiaTheme="minorEastAsia"/>
          <w:color w:val="000000"/>
          <w:sz w:val="24"/>
          <w:szCs w:val="20"/>
        </w:rPr>
        <w:t>______________</w:t>
      </w:r>
      <w:r>
        <w:rPr>
          <w:rFonts w:eastAsiaTheme="minorEastAsia"/>
          <w:color w:val="000000"/>
          <w:sz w:val="24"/>
          <w:lang w:val="zh-CN"/>
        </w:rPr>
        <w:t xml:space="preserve">        </w:t>
      </w:r>
    </w:p>
    <w:p w14:paraId="2EF83EC6">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w:t>
      </w:r>
      <w:r>
        <w:rPr>
          <w:rFonts w:eastAsiaTheme="minorEastAsia"/>
          <w:color w:val="000000"/>
          <w:sz w:val="24"/>
        </w:rPr>
        <w:t>年</w:t>
      </w:r>
      <w:r>
        <w:rPr>
          <w:rFonts w:eastAsiaTheme="minorEastAsia"/>
          <w:color w:val="000000"/>
          <w:sz w:val="24"/>
          <w:szCs w:val="20"/>
        </w:rPr>
        <w:t>____</w:t>
      </w:r>
      <w:r>
        <w:rPr>
          <w:rFonts w:eastAsiaTheme="minorEastAsia"/>
          <w:color w:val="000000"/>
          <w:sz w:val="24"/>
        </w:rPr>
        <w:t>月</w:t>
      </w:r>
      <w:r>
        <w:rPr>
          <w:rFonts w:eastAsiaTheme="minorEastAsia"/>
          <w:color w:val="000000"/>
          <w:sz w:val="24"/>
          <w:szCs w:val="20"/>
        </w:rPr>
        <w:t>____</w:t>
      </w:r>
      <w:r>
        <w:rPr>
          <w:rFonts w:eastAsiaTheme="minorEastAsia"/>
          <w:color w:val="000000"/>
          <w:sz w:val="24"/>
        </w:rPr>
        <w:t>日</w:t>
      </w:r>
    </w:p>
    <w:p w14:paraId="2F31DF41">
      <w:pPr>
        <w:tabs>
          <w:tab w:val="left" w:pos="5580"/>
        </w:tabs>
        <w:spacing w:line="360" w:lineRule="auto"/>
        <w:ind w:firstLine="480" w:firstLineChars="200"/>
        <w:rPr>
          <w:rFonts w:eastAsiaTheme="minorEastAsia"/>
          <w:color w:val="000000"/>
          <w:sz w:val="24"/>
          <w:szCs w:val="20"/>
        </w:rPr>
      </w:pPr>
    </w:p>
    <w:p w14:paraId="53CA027E">
      <w:pPr>
        <w:tabs>
          <w:tab w:val="left" w:pos="5580"/>
        </w:tabs>
        <w:spacing w:line="360" w:lineRule="auto"/>
        <w:rPr>
          <w:color w:val="000000"/>
          <w:sz w:val="24"/>
          <w:szCs w:val="20"/>
        </w:rPr>
      </w:pPr>
      <w:r>
        <w:rPr>
          <w:rFonts w:hint="eastAsia"/>
          <w:color w:val="000000"/>
          <w:sz w:val="24"/>
          <w:szCs w:val="20"/>
        </w:rPr>
        <w:t>附：</w:t>
      </w:r>
      <w:r>
        <w:rPr>
          <w:color w:val="000000"/>
          <w:sz w:val="24"/>
          <w:szCs w:val="20"/>
        </w:rPr>
        <w:t>法定代表人</w:t>
      </w:r>
      <w:r>
        <w:rPr>
          <w:rFonts w:hint="eastAsia"/>
          <w:sz w:val="24"/>
          <w:szCs w:val="20"/>
        </w:rPr>
        <w:t>（单位负责人）</w:t>
      </w:r>
      <w:r>
        <w:rPr>
          <w:color w:val="000000"/>
          <w:sz w:val="24"/>
          <w:szCs w:val="20"/>
        </w:rPr>
        <w:t>及委托代理人身份证明文件电子件：</w:t>
      </w:r>
    </w:p>
    <w:p w14:paraId="562C7AEB">
      <w:pPr>
        <w:tabs>
          <w:tab w:val="left" w:pos="5580"/>
        </w:tabs>
        <w:spacing w:line="360" w:lineRule="auto"/>
        <w:jc w:val="left"/>
        <w:rPr>
          <w:rFonts w:eastAsiaTheme="minorEastAsia"/>
          <w:color w:val="000000"/>
          <w:sz w:val="24"/>
          <w:szCs w:val="20"/>
        </w:rPr>
      </w:pPr>
      <w:r>
        <w:rPr>
          <w:sz w:val="24"/>
        </w:rPr>
        <mc:AlternateContent>
          <mc:Choice Requires="wps">
            <w:drawing>
              <wp:anchor distT="0" distB="0" distL="114300" distR="114300" simplePos="0" relativeHeight="251659264" behindDoc="0" locked="0" layoutInCell="1" allowOverlap="1">
                <wp:simplePos x="0" y="0"/>
                <wp:positionH relativeFrom="column">
                  <wp:posOffset>-42545</wp:posOffset>
                </wp:positionH>
                <wp:positionV relativeFrom="paragraph">
                  <wp:posOffset>77470</wp:posOffset>
                </wp:positionV>
                <wp:extent cx="5408295" cy="1138555"/>
                <wp:effectExtent l="6350" t="6350" r="14605" b="17145"/>
                <wp:wrapNone/>
                <wp:docPr id="1" name="矩形 1"/>
                <wp:cNvGraphicFramePr/>
                <a:graphic xmlns:a="http://schemas.openxmlformats.org/drawingml/2006/main">
                  <a:graphicData uri="http://schemas.microsoft.com/office/word/2010/wordprocessingShape">
                    <wps:wsp>
                      <wps:cNvSpPr/>
                      <wps:spPr>
                        <a:xfrm>
                          <a:off x="1037590" y="5208905"/>
                          <a:ext cx="5408295" cy="1138555"/>
                        </a:xfrm>
                        <a:prstGeom prst="rect">
                          <a:avLst/>
                        </a:prstGeom>
                        <a:ln w="12700">
                          <a:gradFill>
                            <a:gsLst>
                              <a:gs pos="50410">
                                <a:srgbClr val="1F1F1F"/>
                              </a:gs>
                              <a:gs pos="0">
                                <a:srgbClr val="020202"/>
                              </a:gs>
                              <a:gs pos="100000">
                                <a:srgbClr val="424242"/>
                              </a:gs>
                            </a:gsLst>
                            <a:lin ang="5400000" scaled="0"/>
                          </a:gradFill>
                        </a:ln>
                      </wps:spPr>
                      <wps:style>
                        <a:lnRef idx="2">
                          <a:schemeClr val="accent1"/>
                        </a:lnRef>
                        <a:fillRef idx="0">
                          <a:srgbClr val="FFFFFF"/>
                        </a:fillRef>
                        <a:effectRef idx="0">
                          <a:srgbClr val="FFFFFF"/>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35pt;margin-top:6.1pt;height:89.65pt;width:425.85pt;z-index:251659264;v-text-anchor:middle;mso-width-relative:page;mso-height-relative:page;" filled="f" stroked="t" coordsize="21600,21600" o:gfxdata="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">
                <v:fill on="f" focussize="0,0"/>
                <v:stroke weight="1pt" color="#000000" joinstyle="round"/>
                <v:imagedata o:title=""/>
                <o:lock v:ext="edit" aspectratio="f"/>
              </v:rect>
            </w:pict>
          </mc:Fallback>
        </mc:AlternateContent>
      </w:r>
    </w:p>
    <w:p w14:paraId="387CFAB3">
      <w:pPr>
        <w:tabs>
          <w:tab w:val="left" w:pos="5580"/>
        </w:tabs>
        <w:spacing w:line="360" w:lineRule="auto"/>
        <w:jc w:val="left"/>
        <w:rPr>
          <w:rFonts w:eastAsiaTheme="minorEastAsia"/>
          <w:color w:val="000000"/>
          <w:sz w:val="24"/>
          <w:szCs w:val="20"/>
        </w:rPr>
      </w:pPr>
    </w:p>
    <w:p w14:paraId="550F1047">
      <w:pPr>
        <w:tabs>
          <w:tab w:val="left" w:pos="5580"/>
        </w:tabs>
        <w:spacing w:line="360" w:lineRule="auto"/>
        <w:jc w:val="left"/>
        <w:rPr>
          <w:rFonts w:eastAsiaTheme="minorEastAsia"/>
          <w:color w:val="000000"/>
          <w:sz w:val="24"/>
          <w:szCs w:val="20"/>
        </w:rPr>
      </w:pPr>
    </w:p>
    <w:p w14:paraId="4F23546C">
      <w:pPr>
        <w:tabs>
          <w:tab w:val="left" w:pos="5580"/>
        </w:tabs>
        <w:spacing w:line="360" w:lineRule="auto"/>
        <w:jc w:val="left"/>
        <w:rPr>
          <w:rFonts w:eastAsiaTheme="minorEastAsia"/>
          <w:color w:val="000000"/>
          <w:sz w:val="24"/>
          <w:szCs w:val="20"/>
        </w:rPr>
      </w:pPr>
    </w:p>
    <w:p w14:paraId="11B58A33">
      <w:pPr>
        <w:tabs>
          <w:tab w:val="left" w:pos="5580"/>
        </w:tabs>
        <w:spacing w:line="360" w:lineRule="auto"/>
        <w:jc w:val="left"/>
        <w:rPr>
          <w:rFonts w:eastAsiaTheme="minorEastAsia"/>
          <w:color w:val="000000"/>
          <w:sz w:val="24"/>
          <w:szCs w:val="20"/>
        </w:rPr>
      </w:pPr>
    </w:p>
    <w:p w14:paraId="7740621D">
      <w:pPr>
        <w:tabs>
          <w:tab w:val="left" w:pos="5580"/>
        </w:tabs>
        <w:spacing w:line="360" w:lineRule="auto"/>
        <w:jc w:val="left"/>
        <w:rPr>
          <w:rFonts w:eastAsiaTheme="minorEastAsia"/>
          <w:color w:val="000000"/>
          <w:sz w:val="24"/>
          <w:szCs w:val="20"/>
        </w:rPr>
      </w:pPr>
      <w:r>
        <w:rPr>
          <w:rFonts w:eastAsiaTheme="minorEastAsia"/>
          <w:color w:val="000000"/>
          <w:sz w:val="24"/>
          <w:szCs w:val="20"/>
        </w:rPr>
        <w:t>说明：</w:t>
      </w:r>
    </w:p>
    <w:p w14:paraId="504B5272">
      <w:pPr>
        <w:tabs>
          <w:tab w:val="left" w:pos="5580"/>
        </w:tabs>
        <w:spacing w:line="360" w:lineRule="auto"/>
        <w:jc w:val="left"/>
        <w:rPr>
          <w:rFonts w:eastAsiaTheme="minorEastAsia"/>
          <w:color w:val="000000"/>
          <w:sz w:val="24"/>
          <w:szCs w:val="20"/>
        </w:rPr>
      </w:pPr>
      <w:r>
        <w:rPr>
          <w:rFonts w:eastAsiaTheme="minorEastAsia"/>
          <w:color w:val="000000"/>
          <w:sz w:val="24"/>
          <w:szCs w:val="20"/>
        </w:rPr>
        <w:t>1.若供应商为事业单位或其他组织或分支机构，则法定代表人（单位负责人）处的签署人可为单位负责人。</w:t>
      </w:r>
    </w:p>
    <w:p w14:paraId="3EA3CACB">
      <w:pPr>
        <w:tabs>
          <w:tab w:val="left" w:pos="5580"/>
        </w:tabs>
        <w:spacing w:line="360" w:lineRule="auto"/>
        <w:jc w:val="left"/>
        <w:rPr>
          <w:rFonts w:eastAsiaTheme="minorEastAsia"/>
          <w:color w:val="000000"/>
          <w:sz w:val="24"/>
          <w:szCs w:val="20"/>
        </w:rPr>
      </w:pPr>
      <w:r>
        <w:rPr>
          <w:rFonts w:eastAsiaTheme="minorEastAsia"/>
          <w:color w:val="000000"/>
          <w:sz w:val="24"/>
          <w:szCs w:val="20"/>
        </w:rPr>
        <w:t>2.若响应文件中签字之处均为法定代表人（单位负责人）本人签署，则可不提供本《授权委托书》，但须提供《法定代表人（单位负责人）身份证明》</w:t>
      </w:r>
      <w:r>
        <w:rPr>
          <w:color w:val="000000"/>
          <w:sz w:val="24"/>
          <w:szCs w:val="20"/>
        </w:rPr>
        <w:t>；否则，不需要提供《法定代表人（单位负责人）身份证明》</w:t>
      </w:r>
      <w:r>
        <w:rPr>
          <w:rFonts w:eastAsiaTheme="minorEastAsia"/>
          <w:color w:val="000000"/>
          <w:sz w:val="24"/>
          <w:szCs w:val="20"/>
        </w:rPr>
        <w:t>。</w:t>
      </w:r>
    </w:p>
    <w:p w14:paraId="411B73CB">
      <w:pPr>
        <w:tabs>
          <w:tab w:val="left" w:pos="5580"/>
        </w:tabs>
        <w:spacing w:line="360" w:lineRule="auto"/>
        <w:jc w:val="left"/>
        <w:rPr>
          <w:rFonts w:eastAsiaTheme="minorEastAsia"/>
          <w:color w:val="000000"/>
          <w:sz w:val="24"/>
          <w:szCs w:val="20"/>
        </w:rPr>
      </w:pPr>
      <w:r>
        <w:rPr>
          <w:rFonts w:eastAsiaTheme="minorEastAsia"/>
          <w:color w:val="000000"/>
          <w:sz w:val="24"/>
          <w:szCs w:val="20"/>
        </w:rPr>
        <w:t>3.供应商为自然人的情形，可不提供本《授权委托书》。</w:t>
      </w:r>
    </w:p>
    <w:p w14:paraId="1E57DA9A">
      <w:pPr>
        <w:tabs>
          <w:tab w:val="left" w:pos="5580"/>
        </w:tabs>
        <w:spacing w:line="360" w:lineRule="auto"/>
        <w:jc w:val="left"/>
        <w:rPr>
          <w:rFonts w:eastAsiaTheme="minorEastAsia"/>
          <w:color w:val="000000"/>
          <w:sz w:val="30"/>
          <w:szCs w:val="30"/>
        </w:rPr>
      </w:pPr>
      <w:r>
        <w:rPr>
          <w:color w:val="000000"/>
          <w:sz w:val="24"/>
          <w:szCs w:val="20"/>
        </w:rPr>
        <w:t>4.供应商应随本《授权委托书》同时提供法定代表人（单位负责人）及委托代理人的有效的身份证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rFonts w:eastAsiaTheme="minorEastAsia"/>
          <w:color w:val="000000"/>
          <w:sz w:val="30"/>
          <w:szCs w:val="30"/>
        </w:rPr>
        <w:br w:type="page"/>
      </w:r>
    </w:p>
    <w:p w14:paraId="6BC4B2C5">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法定代表人（单位负责人）身份证明</w:t>
      </w:r>
    </w:p>
    <w:p w14:paraId="56262F02">
      <w:pPr>
        <w:kinsoku w:val="0"/>
        <w:overflowPunct w:val="0"/>
        <w:spacing w:line="200" w:lineRule="exact"/>
        <w:rPr>
          <w:rFonts w:eastAsiaTheme="minorEastAsia"/>
          <w:sz w:val="20"/>
          <w:szCs w:val="20"/>
        </w:rPr>
      </w:pPr>
    </w:p>
    <w:p w14:paraId="1B276FAE">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szCs w:val="20"/>
        </w:rPr>
        <w:t>____</w:t>
      </w:r>
      <w:r>
        <w:rPr>
          <w:rFonts w:eastAsiaTheme="minorEastAsia"/>
          <w:color w:val="000000"/>
          <w:sz w:val="24"/>
        </w:rPr>
        <w:t>（采购人或采购代理机构）</w:t>
      </w:r>
    </w:p>
    <w:p w14:paraId="67B74F70">
      <w:pPr>
        <w:pStyle w:val="17"/>
        <w:tabs>
          <w:tab w:val="left" w:pos="2412"/>
          <w:tab w:val="left" w:pos="3883"/>
          <w:tab w:val="left" w:pos="5352"/>
          <w:tab w:val="left" w:pos="6821"/>
        </w:tabs>
        <w:kinsoku w:val="0"/>
        <w:overflowPunct w:val="0"/>
        <w:spacing w:line="335" w:lineRule="exact"/>
        <w:ind w:firstLine="480" w:firstLineChars="200"/>
        <w:rPr>
          <w:rFonts w:ascii="Times New Roman" w:hAnsi="Times New Roman" w:eastAsiaTheme="minorEastAsia"/>
        </w:rPr>
      </w:pPr>
      <w:r>
        <w:rPr>
          <w:rFonts w:ascii="Times New Roman" w:hAnsi="Times New Roman" w:eastAsiaTheme="minorEastAsia"/>
        </w:rPr>
        <w:t>兹证明，</w:t>
      </w:r>
    </w:p>
    <w:p w14:paraId="02230210">
      <w:pPr>
        <w:pStyle w:val="17"/>
        <w:tabs>
          <w:tab w:val="left" w:pos="1690"/>
          <w:tab w:val="left" w:pos="3400"/>
          <w:tab w:val="left" w:pos="5110"/>
          <w:tab w:val="left" w:pos="6821"/>
        </w:tabs>
        <w:kinsoku w:val="0"/>
        <w:overflowPunct w:val="0"/>
        <w:spacing w:line="335" w:lineRule="exact"/>
        <w:rPr>
          <w:rFonts w:ascii="Times New Roman" w:hAnsi="Times New Roman" w:eastAsiaTheme="minorEastAsia"/>
        </w:rPr>
      </w:pPr>
      <w:r>
        <w:rPr>
          <w:rFonts w:ascii="Times New Roman" w:hAnsi="Times New Roman" w:eastAsiaTheme="minorEastAsia"/>
        </w:rPr>
        <w:t>姓名：</w:t>
      </w:r>
      <w:r>
        <w:rPr>
          <w:rFonts w:ascii="Times New Roman" w:hAnsi="Times New Roman" w:eastAsiaTheme="minorEastAsia"/>
          <w:color w:val="000000"/>
          <w:szCs w:val="20"/>
        </w:rPr>
        <w:t>____</w:t>
      </w:r>
      <w:r>
        <w:rPr>
          <w:rFonts w:ascii="Times New Roman" w:hAnsi="Times New Roman" w:eastAsiaTheme="minorEastAsia"/>
        </w:rPr>
        <w:t>性别：</w:t>
      </w:r>
      <w:r>
        <w:rPr>
          <w:rFonts w:ascii="Times New Roman" w:hAnsi="Times New Roman" w:eastAsiaTheme="minorEastAsia"/>
          <w:color w:val="000000"/>
          <w:szCs w:val="20"/>
        </w:rPr>
        <w:t>____</w:t>
      </w:r>
      <w:r>
        <w:rPr>
          <w:rFonts w:ascii="Times New Roman" w:hAnsi="Times New Roman" w:eastAsiaTheme="minorEastAsia"/>
        </w:rPr>
        <w:t>年龄：</w:t>
      </w:r>
      <w:r>
        <w:rPr>
          <w:rFonts w:ascii="Times New Roman" w:hAnsi="Times New Roman" w:eastAsiaTheme="minorEastAsia"/>
          <w:color w:val="000000"/>
          <w:szCs w:val="20"/>
        </w:rPr>
        <w:t>____</w:t>
      </w:r>
      <w:r>
        <w:rPr>
          <w:rFonts w:ascii="Times New Roman" w:hAnsi="Times New Roman" w:eastAsiaTheme="minorEastAsia"/>
        </w:rPr>
        <w:t>职务：</w:t>
      </w:r>
      <w:r>
        <w:rPr>
          <w:rFonts w:ascii="Times New Roman" w:hAnsi="Times New Roman" w:eastAsiaTheme="minorEastAsia"/>
          <w:color w:val="000000"/>
          <w:szCs w:val="20"/>
        </w:rPr>
        <w:t>____</w:t>
      </w:r>
    </w:p>
    <w:p w14:paraId="104CF939">
      <w:pPr>
        <w:pStyle w:val="17"/>
        <w:tabs>
          <w:tab w:val="left" w:pos="2412"/>
          <w:tab w:val="left" w:pos="3883"/>
          <w:tab w:val="left" w:pos="5352"/>
          <w:tab w:val="left" w:pos="6821"/>
        </w:tabs>
        <w:kinsoku w:val="0"/>
        <w:overflowPunct w:val="0"/>
        <w:spacing w:line="335" w:lineRule="exact"/>
        <w:rPr>
          <w:rFonts w:ascii="Times New Roman" w:hAnsi="Times New Roman" w:eastAsiaTheme="minorEastAsia"/>
        </w:rPr>
      </w:pPr>
    </w:p>
    <w:p w14:paraId="4315AF61">
      <w:pPr>
        <w:pStyle w:val="17"/>
        <w:tabs>
          <w:tab w:val="left" w:pos="2250"/>
          <w:tab w:val="left" w:pos="2412"/>
          <w:tab w:val="left" w:pos="3883"/>
          <w:tab w:val="left" w:pos="5352"/>
          <w:tab w:val="left" w:pos="6821"/>
          <w:tab w:val="clear" w:pos="567"/>
        </w:tabs>
        <w:kinsoku w:val="0"/>
        <w:overflowPunct w:val="0"/>
        <w:spacing w:line="335" w:lineRule="exact"/>
        <w:rPr>
          <w:rFonts w:ascii="Times New Roman" w:hAnsi="Times New Roman" w:eastAsiaTheme="minorEastAsia"/>
        </w:rPr>
      </w:pPr>
      <w:r>
        <w:rPr>
          <w:rFonts w:ascii="Times New Roman" w:hAnsi="Times New Roman" w:eastAsiaTheme="minorEastAsia"/>
        </w:rPr>
        <w:t>系</w:t>
      </w:r>
      <w:r>
        <w:rPr>
          <w:rFonts w:ascii="Times New Roman" w:hAnsi="Times New Roman" w:eastAsiaTheme="minorEastAsia"/>
          <w:color w:val="000000"/>
          <w:szCs w:val="20"/>
        </w:rPr>
        <w:t>__________</w:t>
      </w:r>
      <w:r>
        <w:rPr>
          <w:rFonts w:ascii="Times New Roman" w:hAnsi="Times New Roman" w:eastAsiaTheme="minorEastAsia"/>
        </w:rPr>
        <w:t>（供应商名称）的法定代表人（单位负责人）。</w:t>
      </w:r>
    </w:p>
    <w:p w14:paraId="0CD41974">
      <w:pPr>
        <w:pStyle w:val="17"/>
        <w:tabs>
          <w:tab w:val="left" w:pos="2412"/>
          <w:tab w:val="left" w:pos="3883"/>
          <w:tab w:val="left" w:pos="5352"/>
          <w:tab w:val="left" w:pos="6821"/>
        </w:tabs>
        <w:kinsoku w:val="0"/>
        <w:overflowPunct w:val="0"/>
        <w:spacing w:line="335" w:lineRule="exact"/>
        <w:rPr>
          <w:rFonts w:ascii="Times New Roman" w:hAnsi="Times New Roman" w:eastAsiaTheme="minorEastAsia"/>
        </w:rPr>
      </w:pPr>
    </w:p>
    <w:p w14:paraId="3335A59D">
      <w:pPr>
        <w:pStyle w:val="17"/>
        <w:tabs>
          <w:tab w:val="left" w:pos="2412"/>
          <w:tab w:val="left" w:pos="3883"/>
          <w:tab w:val="left" w:pos="5352"/>
          <w:tab w:val="left" w:pos="6821"/>
        </w:tabs>
        <w:kinsoku w:val="0"/>
        <w:overflowPunct w:val="0"/>
        <w:spacing w:line="335" w:lineRule="exact"/>
        <w:rPr>
          <w:rFonts w:ascii="Times New Roman" w:hAnsi="Times New Roman" w:eastAsiaTheme="minorEastAsia"/>
        </w:rPr>
      </w:pPr>
    </w:p>
    <w:p w14:paraId="7D19CE04">
      <w:pPr>
        <w:pStyle w:val="17"/>
        <w:kinsoku w:val="0"/>
        <w:overflowPunct w:val="0"/>
        <w:spacing w:line="583" w:lineRule="auto"/>
        <w:ind w:right="-46"/>
        <w:rPr>
          <w:rFonts w:hint="eastAsia"/>
          <w:color w:val="000000"/>
          <w:szCs w:val="20"/>
        </w:rPr>
      </w:pPr>
      <w:r>
        <mc:AlternateContent>
          <mc:Choice Requires="wps">
            <w:drawing>
              <wp:anchor distT="0" distB="0" distL="114300" distR="114300" simplePos="0" relativeHeight="251660288" behindDoc="0" locked="0" layoutInCell="1" allowOverlap="1">
                <wp:simplePos x="0" y="0"/>
                <wp:positionH relativeFrom="column">
                  <wp:posOffset>-97155</wp:posOffset>
                </wp:positionH>
                <wp:positionV relativeFrom="paragraph">
                  <wp:posOffset>459105</wp:posOffset>
                </wp:positionV>
                <wp:extent cx="5408295" cy="1138555"/>
                <wp:effectExtent l="6350" t="6350" r="14605" b="17145"/>
                <wp:wrapNone/>
                <wp:docPr id="2" name="矩形 2"/>
                <wp:cNvGraphicFramePr/>
                <a:graphic xmlns:a="http://schemas.openxmlformats.org/drawingml/2006/main">
                  <a:graphicData uri="http://schemas.microsoft.com/office/word/2010/wordprocessingShape">
                    <wps:wsp>
                      <wps:cNvSpPr/>
                      <wps:spPr>
                        <a:xfrm>
                          <a:off x="0" y="0"/>
                          <a:ext cx="5408295" cy="1138555"/>
                        </a:xfrm>
                        <a:prstGeom prst="rect">
                          <a:avLst/>
                        </a:prstGeom>
                        <a:ln w="12700">
                          <a:gradFill>
                            <a:gsLst>
                              <a:gs pos="50410">
                                <a:srgbClr val="1F1F1F"/>
                              </a:gs>
                              <a:gs pos="0">
                                <a:srgbClr val="020202"/>
                              </a:gs>
                              <a:gs pos="100000">
                                <a:srgbClr val="424242"/>
                              </a:gs>
                            </a:gsLst>
                            <a:lin ang="5400000" scaled="0"/>
                          </a:gradFill>
                        </a:ln>
                      </wps:spPr>
                      <wps:style>
                        <a:lnRef idx="2">
                          <a:schemeClr val="accent1"/>
                        </a:lnRef>
                        <a:fillRef idx="0">
                          <a:srgbClr val="FFFFFF"/>
                        </a:fillRef>
                        <a:effectRef idx="0">
                          <a:srgbClr val="FFFFFF"/>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65pt;margin-top:36.15pt;height:89.65pt;width:425.85pt;z-index:251660288;v-text-anchor:middle;mso-width-relative:page;mso-height-relative:page;" filled="f" stroked="t" coordsize="21600,21600" o:gfxdata="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">
                <v:fill on="f" focussize="0,0"/>
                <v:stroke weight="1pt" color="#000000" joinstyle="round"/>
                <v:imagedata o:title=""/>
                <o:lock v:ext="edit" aspectratio="f"/>
              </v:rect>
            </w:pict>
          </mc:Fallback>
        </mc:AlternateContent>
      </w:r>
      <w:r>
        <w:rPr>
          <w:rFonts w:hint="eastAsia"/>
          <w:color w:val="000000"/>
          <w:szCs w:val="20"/>
        </w:rPr>
        <w:t>附：</w:t>
      </w:r>
      <w:r>
        <w:rPr>
          <w:color w:val="000000"/>
          <w:szCs w:val="20"/>
        </w:rPr>
        <w:t>法定代表人</w:t>
      </w:r>
      <w:r>
        <w:rPr>
          <w:rFonts w:hint="eastAsia"/>
          <w:color w:val="000000"/>
          <w:szCs w:val="20"/>
        </w:rPr>
        <w:t>（单位负责人）</w:t>
      </w:r>
      <w:r>
        <w:rPr>
          <w:color w:val="000000"/>
          <w:szCs w:val="20"/>
        </w:rPr>
        <w:t>身份证</w:t>
      </w:r>
      <w:r>
        <w:rPr>
          <w:rFonts w:hint="eastAsia"/>
          <w:color w:val="000000"/>
          <w:szCs w:val="20"/>
        </w:rPr>
        <w:t>或</w:t>
      </w:r>
      <w:r>
        <w:rPr>
          <w:color w:val="000000"/>
          <w:szCs w:val="20"/>
        </w:rPr>
        <w:t>护照等身份证明文件电子件：</w:t>
      </w:r>
    </w:p>
    <w:p w14:paraId="4E4000D6">
      <w:pPr>
        <w:pStyle w:val="17"/>
        <w:kinsoku w:val="0"/>
        <w:overflowPunct w:val="0"/>
        <w:spacing w:line="583" w:lineRule="auto"/>
        <w:ind w:right="4305"/>
        <w:rPr>
          <w:rFonts w:ascii="Times New Roman" w:hAnsi="Times New Roman" w:eastAsiaTheme="minorEastAsia"/>
          <w:spacing w:val="-3"/>
        </w:rPr>
      </w:pPr>
    </w:p>
    <w:p w14:paraId="7D74D9C8">
      <w:pPr>
        <w:autoSpaceDE w:val="0"/>
        <w:autoSpaceDN w:val="0"/>
        <w:adjustRightInd w:val="0"/>
        <w:snapToGrid w:val="0"/>
        <w:spacing w:line="360" w:lineRule="auto"/>
        <w:rPr>
          <w:rFonts w:eastAsiaTheme="minorEastAsia"/>
          <w:color w:val="000000"/>
          <w:sz w:val="24"/>
        </w:rPr>
      </w:pPr>
    </w:p>
    <w:p w14:paraId="7149EAB9">
      <w:pPr>
        <w:autoSpaceDE w:val="0"/>
        <w:autoSpaceDN w:val="0"/>
        <w:adjustRightInd w:val="0"/>
        <w:snapToGrid w:val="0"/>
        <w:spacing w:line="360" w:lineRule="auto"/>
        <w:rPr>
          <w:rFonts w:eastAsiaTheme="minorEastAsia"/>
          <w:color w:val="000000"/>
          <w:sz w:val="24"/>
        </w:rPr>
      </w:pPr>
    </w:p>
    <w:p w14:paraId="61F0C6EC">
      <w:pPr>
        <w:autoSpaceDE w:val="0"/>
        <w:autoSpaceDN w:val="0"/>
        <w:adjustRightInd w:val="0"/>
        <w:snapToGrid w:val="0"/>
        <w:spacing w:line="360" w:lineRule="auto"/>
        <w:rPr>
          <w:rFonts w:eastAsiaTheme="minorEastAsia"/>
          <w:color w:val="000000"/>
          <w:sz w:val="24"/>
        </w:rPr>
      </w:pPr>
    </w:p>
    <w:p w14:paraId="00A1BB07">
      <w:pPr>
        <w:autoSpaceDE w:val="0"/>
        <w:autoSpaceDN w:val="0"/>
        <w:adjustRightInd w:val="0"/>
        <w:snapToGrid w:val="0"/>
        <w:spacing w:line="360" w:lineRule="auto"/>
        <w:rPr>
          <w:rFonts w:eastAsiaTheme="minorEastAsia"/>
          <w:color w:val="000000"/>
          <w:sz w:val="24"/>
        </w:rPr>
      </w:pPr>
    </w:p>
    <w:p w14:paraId="3DA62881">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20B77346">
      <w:pPr>
        <w:autoSpaceDE w:val="0"/>
        <w:autoSpaceDN w:val="0"/>
        <w:adjustRightInd w:val="0"/>
        <w:snapToGrid w:val="0"/>
        <w:spacing w:line="360" w:lineRule="auto"/>
        <w:rPr>
          <w:rFonts w:eastAsiaTheme="minorEastAsia"/>
          <w:color w:val="000000"/>
          <w:sz w:val="24"/>
          <w:lang w:val="zh-CN"/>
        </w:rPr>
      </w:pPr>
      <w:r>
        <w:rPr>
          <w:rFonts w:eastAsiaTheme="minorEastAsia"/>
          <w:spacing w:val="-3"/>
          <w:sz w:val="24"/>
        </w:rPr>
        <w:t>法定代表人（</w:t>
      </w:r>
      <w:r>
        <w:rPr>
          <w:rFonts w:eastAsiaTheme="minorEastAsia"/>
          <w:sz w:val="24"/>
        </w:rPr>
        <w:t>单位负责人</w:t>
      </w:r>
      <w:r>
        <w:rPr>
          <w:rFonts w:eastAsiaTheme="minorEastAsia"/>
          <w:spacing w:val="-3"/>
          <w:sz w:val="24"/>
        </w:rPr>
        <w:t>）（签字</w:t>
      </w:r>
      <w:r>
        <w:rPr>
          <w:color w:val="000000"/>
          <w:sz w:val="24"/>
          <w:szCs w:val="20"/>
        </w:rPr>
        <w:t>或签章</w:t>
      </w:r>
      <w:r>
        <w:rPr>
          <w:rFonts w:eastAsiaTheme="minorEastAsia"/>
          <w:spacing w:val="-3"/>
          <w:sz w:val="24"/>
        </w:rPr>
        <w:t>）：</w:t>
      </w:r>
      <w:r>
        <w:rPr>
          <w:rFonts w:eastAsiaTheme="minorEastAsia"/>
          <w:sz w:val="24"/>
        </w:rPr>
        <w:t>______</w:t>
      </w:r>
    </w:p>
    <w:p w14:paraId="19C43333">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____年____月____日</w:t>
      </w:r>
    </w:p>
    <w:p w14:paraId="5879F485">
      <w:pPr>
        <w:widowControl/>
        <w:jc w:val="left"/>
        <w:rPr>
          <w:rFonts w:eastAsiaTheme="minorEastAsia"/>
          <w:i/>
          <w:color w:val="000000"/>
          <w:sz w:val="24"/>
          <w:szCs w:val="20"/>
          <w:u w:val="single"/>
        </w:rPr>
      </w:pPr>
    </w:p>
    <w:p w14:paraId="6D6BD0D5">
      <w:pPr>
        <w:widowControl/>
        <w:jc w:val="left"/>
        <w:rPr>
          <w:rFonts w:eastAsiaTheme="minorEastAsia"/>
          <w:color w:val="000000"/>
          <w:sz w:val="24"/>
          <w:szCs w:val="20"/>
        </w:rPr>
      </w:pPr>
      <w:r>
        <w:rPr>
          <w:rFonts w:eastAsiaTheme="minorEastAsia"/>
          <w:color w:val="000000"/>
          <w:sz w:val="24"/>
          <w:szCs w:val="20"/>
        </w:rPr>
        <w:br w:type="page"/>
      </w:r>
    </w:p>
    <w:p w14:paraId="42032657">
      <w:pPr>
        <w:tabs>
          <w:tab w:val="left" w:pos="360"/>
        </w:tabs>
        <w:snapToGrid w:val="0"/>
        <w:spacing w:line="360" w:lineRule="auto"/>
        <w:outlineLvl w:val="1"/>
        <w:rPr>
          <w:rFonts w:eastAsiaTheme="minorEastAsia"/>
          <w:sz w:val="24"/>
        </w:rPr>
      </w:pPr>
      <w:r>
        <w:rPr>
          <w:rFonts w:eastAsiaTheme="minorEastAsia"/>
          <w:sz w:val="24"/>
        </w:rPr>
        <w:t>7  报价一览表</w:t>
      </w:r>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p>
    <w:p w14:paraId="4CE1044B">
      <w:pPr>
        <w:spacing w:line="360" w:lineRule="exact"/>
        <w:jc w:val="center"/>
        <w:rPr>
          <w:rFonts w:eastAsiaTheme="minorEastAsia"/>
          <w:b/>
          <w:color w:val="000000"/>
          <w:sz w:val="36"/>
          <w:szCs w:val="36"/>
        </w:rPr>
      </w:pPr>
      <w:bookmarkStart w:id="1549" w:name="_Toc226965748"/>
      <w:bookmarkStart w:id="1550" w:name="_Toc265228396"/>
      <w:bookmarkStart w:id="1551" w:name="_Toc264969248"/>
      <w:bookmarkStart w:id="1552" w:name="_Toc164608672"/>
      <w:bookmarkStart w:id="1553" w:name="_Toc195842923"/>
      <w:bookmarkStart w:id="1554" w:name="_Toc226337254"/>
      <w:bookmarkStart w:id="1555" w:name="_Toc305158900"/>
      <w:bookmarkStart w:id="1556" w:name="_Toc164608827"/>
      <w:bookmarkStart w:id="1557" w:name="_Toc226965831"/>
      <w:bookmarkStart w:id="1558" w:name="_Toc305158826"/>
      <w:bookmarkStart w:id="1559" w:name="_Toc226309802"/>
      <w:r>
        <w:rPr>
          <w:rFonts w:eastAsiaTheme="minorEastAsia"/>
          <w:b/>
          <w:color w:val="000000"/>
          <w:sz w:val="36"/>
          <w:szCs w:val="36"/>
        </w:rPr>
        <w:t>报价一览表</w:t>
      </w:r>
      <w:bookmarkEnd w:id="1549"/>
      <w:bookmarkEnd w:id="1550"/>
      <w:bookmarkEnd w:id="1551"/>
      <w:bookmarkEnd w:id="1552"/>
      <w:bookmarkEnd w:id="1553"/>
      <w:bookmarkEnd w:id="1554"/>
      <w:bookmarkEnd w:id="1555"/>
      <w:bookmarkEnd w:id="1556"/>
      <w:bookmarkEnd w:id="1557"/>
      <w:bookmarkEnd w:id="1558"/>
      <w:bookmarkEnd w:id="1559"/>
    </w:p>
    <w:p w14:paraId="223E8A4E">
      <w:pPr>
        <w:tabs>
          <w:tab w:val="left" w:pos="1800"/>
          <w:tab w:val="left" w:pos="5580"/>
        </w:tabs>
        <w:spacing w:line="360" w:lineRule="auto"/>
        <w:jc w:val="left"/>
        <w:rPr>
          <w:rFonts w:eastAsiaTheme="minorEastAsia"/>
          <w:color w:val="000000"/>
          <w:sz w:val="24"/>
        </w:rPr>
      </w:pPr>
    </w:p>
    <w:p w14:paraId="26948EB3">
      <w:pPr>
        <w:tabs>
          <w:tab w:val="left" w:pos="1800"/>
          <w:tab w:val="left" w:pos="5580"/>
        </w:tabs>
        <w:spacing w:line="360" w:lineRule="auto"/>
        <w:ind w:firstLine="240" w:firstLineChars="100"/>
        <w:jc w:val="left"/>
        <w:rPr>
          <w:rFonts w:eastAsiaTheme="minorEastAsia"/>
          <w:color w:val="000000"/>
          <w:sz w:val="24"/>
          <w:u w:val="single"/>
        </w:rPr>
      </w:pPr>
      <w:r>
        <w:rPr>
          <w:rFonts w:eastAsiaTheme="minorEastAsia"/>
          <w:color w:val="000000"/>
          <w:sz w:val="24"/>
        </w:rPr>
        <w:t>项目编号：</w:t>
      </w:r>
      <w:r>
        <w:rPr>
          <w:rFonts w:eastAsiaTheme="minorEastAsia"/>
          <w:sz w:val="24"/>
        </w:rPr>
        <w:t>___________</w:t>
      </w:r>
      <w:r>
        <w:rPr>
          <w:rFonts w:eastAsiaTheme="minorEastAsia"/>
          <w:color w:val="000000"/>
          <w:sz w:val="24"/>
        </w:rPr>
        <w:t xml:space="preserve">     项目名称：</w:t>
      </w:r>
      <w:r>
        <w:rPr>
          <w:rFonts w:eastAsiaTheme="minorEastAsia"/>
          <w:sz w:val="24"/>
        </w:rPr>
        <w:t>___________</w:t>
      </w:r>
    </w:p>
    <w:tbl>
      <w:tblPr>
        <w:tblStyle w:val="43"/>
        <w:tblW w:w="81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09"/>
        <w:gridCol w:w="3197"/>
        <w:gridCol w:w="2021"/>
        <w:gridCol w:w="2127"/>
      </w:tblGrid>
      <w:tr w14:paraId="08362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809" w:type="dxa"/>
            <w:vMerge w:val="restart"/>
            <w:tcBorders>
              <w:top w:val="single" w:color="auto" w:sz="4" w:space="0"/>
              <w:left w:val="single" w:color="auto" w:sz="4" w:space="0"/>
              <w:bottom w:val="single" w:color="auto" w:sz="4" w:space="0"/>
              <w:right w:val="single" w:color="auto" w:sz="4" w:space="0"/>
            </w:tcBorders>
            <w:vAlign w:val="center"/>
          </w:tcPr>
          <w:p w14:paraId="06765D33">
            <w:pPr>
              <w:tabs>
                <w:tab w:val="left" w:pos="5580"/>
              </w:tabs>
              <w:jc w:val="center"/>
              <w:rPr>
                <w:rFonts w:eastAsiaTheme="minorEastAsia"/>
                <w:b/>
                <w:sz w:val="24"/>
              </w:rPr>
            </w:pPr>
            <w:r>
              <w:rPr>
                <w:rFonts w:eastAsiaTheme="minorEastAsia"/>
                <w:b/>
                <w:sz w:val="24"/>
              </w:rPr>
              <w:t>包号</w:t>
            </w:r>
          </w:p>
        </w:tc>
        <w:tc>
          <w:tcPr>
            <w:tcW w:w="3197" w:type="dxa"/>
            <w:vMerge w:val="restart"/>
            <w:tcBorders>
              <w:top w:val="single" w:color="auto" w:sz="4" w:space="0"/>
              <w:left w:val="single" w:color="auto" w:sz="4" w:space="0"/>
              <w:bottom w:val="single" w:color="auto" w:sz="4" w:space="0"/>
              <w:right w:val="single" w:color="auto" w:sz="4" w:space="0"/>
            </w:tcBorders>
            <w:vAlign w:val="center"/>
          </w:tcPr>
          <w:p w14:paraId="0B4B6020">
            <w:pPr>
              <w:tabs>
                <w:tab w:val="left" w:pos="5580"/>
              </w:tabs>
              <w:jc w:val="center"/>
              <w:rPr>
                <w:rFonts w:eastAsiaTheme="minorEastAsia"/>
                <w:b/>
                <w:sz w:val="24"/>
              </w:rPr>
            </w:pPr>
            <w:r>
              <w:rPr>
                <w:rFonts w:eastAsiaTheme="minorEastAsia"/>
                <w:b/>
                <w:sz w:val="24"/>
              </w:rPr>
              <w:t>供应商名称</w:t>
            </w:r>
          </w:p>
        </w:tc>
        <w:tc>
          <w:tcPr>
            <w:tcW w:w="4148" w:type="dxa"/>
            <w:gridSpan w:val="2"/>
            <w:tcBorders>
              <w:top w:val="single" w:color="auto" w:sz="4" w:space="0"/>
              <w:left w:val="single" w:color="auto" w:sz="4" w:space="0"/>
              <w:bottom w:val="single" w:color="auto" w:sz="4" w:space="0"/>
              <w:right w:val="single" w:color="auto" w:sz="4" w:space="0"/>
            </w:tcBorders>
            <w:vAlign w:val="center"/>
          </w:tcPr>
          <w:p w14:paraId="12BD3E5F">
            <w:pPr>
              <w:tabs>
                <w:tab w:val="left" w:pos="5580"/>
              </w:tabs>
              <w:jc w:val="center"/>
              <w:rPr>
                <w:rFonts w:eastAsiaTheme="minorEastAsia"/>
                <w:b/>
                <w:sz w:val="24"/>
              </w:rPr>
            </w:pPr>
            <w:r>
              <w:rPr>
                <w:rFonts w:eastAsiaTheme="minorEastAsia"/>
                <w:b/>
                <w:sz w:val="24"/>
              </w:rPr>
              <w:t>报价</w:t>
            </w:r>
          </w:p>
        </w:tc>
      </w:tr>
      <w:tr w14:paraId="2A045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809" w:type="dxa"/>
            <w:vMerge w:val="continue"/>
            <w:tcBorders>
              <w:top w:val="single" w:color="auto" w:sz="4" w:space="0"/>
              <w:left w:val="single" w:color="auto" w:sz="4" w:space="0"/>
              <w:bottom w:val="single" w:color="auto" w:sz="4" w:space="0"/>
              <w:right w:val="single" w:color="auto" w:sz="4" w:space="0"/>
            </w:tcBorders>
            <w:vAlign w:val="center"/>
          </w:tcPr>
          <w:p w14:paraId="5DD11636">
            <w:pPr>
              <w:widowControl/>
              <w:jc w:val="left"/>
              <w:rPr>
                <w:rFonts w:eastAsiaTheme="minorEastAsia"/>
                <w:b/>
                <w:sz w:val="24"/>
              </w:rPr>
            </w:pPr>
          </w:p>
        </w:tc>
        <w:tc>
          <w:tcPr>
            <w:tcW w:w="3197" w:type="dxa"/>
            <w:vMerge w:val="continue"/>
            <w:tcBorders>
              <w:top w:val="single" w:color="auto" w:sz="4" w:space="0"/>
              <w:left w:val="single" w:color="auto" w:sz="4" w:space="0"/>
              <w:bottom w:val="single" w:color="auto" w:sz="4" w:space="0"/>
              <w:right w:val="single" w:color="auto" w:sz="4" w:space="0"/>
            </w:tcBorders>
            <w:vAlign w:val="center"/>
          </w:tcPr>
          <w:p w14:paraId="6474AD67">
            <w:pPr>
              <w:widowControl/>
              <w:jc w:val="left"/>
              <w:rPr>
                <w:rFonts w:eastAsiaTheme="minorEastAsia"/>
                <w:b/>
                <w:sz w:val="24"/>
              </w:rPr>
            </w:pPr>
          </w:p>
        </w:tc>
        <w:tc>
          <w:tcPr>
            <w:tcW w:w="2021" w:type="dxa"/>
            <w:tcBorders>
              <w:top w:val="single" w:color="auto" w:sz="4" w:space="0"/>
              <w:left w:val="single" w:color="auto" w:sz="4" w:space="0"/>
              <w:bottom w:val="single" w:color="auto" w:sz="4" w:space="0"/>
              <w:right w:val="single" w:color="auto" w:sz="4" w:space="0"/>
            </w:tcBorders>
            <w:vAlign w:val="center"/>
          </w:tcPr>
          <w:p w14:paraId="48D3CE03">
            <w:pPr>
              <w:tabs>
                <w:tab w:val="left" w:pos="5580"/>
              </w:tabs>
              <w:jc w:val="center"/>
              <w:rPr>
                <w:rFonts w:eastAsiaTheme="minorEastAsia"/>
                <w:b/>
                <w:sz w:val="24"/>
              </w:rPr>
            </w:pPr>
            <w:r>
              <w:rPr>
                <w:rFonts w:eastAsiaTheme="minorEastAsia"/>
                <w:b/>
                <w:sz w:val="24"/>
              </w:rPr>
              <w:t>大写</w:t>
            </w:r>
          </w:p>
        </w:tc>
        <w:tc>
          <w:tcPr>
            <w:tcW w:w="2127" w:type="dxa"/>
            <w:tcBorders>
              <w:top w:val="single" w:color="auto" w:sz="4" w:space="0"/>
              <w:left w:val="single" w:color="auto" w:sz="4" w:space="0"/>
              <w:bottom w:val="single" w:color="auto" w:sz="4" w:space="0"/>
              <w:right w:val="single" w:color="auto" w:sz="4" w:space="0"/>
            </w:tcBorders>
            <w:vAlign w:val="center"/>
          </w:tcPr>
          <w:p w14:paraId="0D33437C">
            <w:pPr>
              <w:tabs>
                <w:tab w:val="left" w:pos="5580"/>
              </w:tabs>
              <w:jc w:val="center"/>
              <w:rPr>
                <w:rFonts w:eastAsiaTheme="minorEastAsia"/>
                <w:b/>
                <w:sz w:val="24"/>
              </w:rPr>
            </w:pPr>
            <w:r>
              <w:rPr>
                <w:rFonts w:eastAsiaTheme="minorEastAsia"/>
                <w:b/>
                <w:sz w:val="24"/>
              </w:rPr>
              <w:t>小写</w:t>
            </w:r>
          </w:p>
        </w:tc>
      </w:tr>
      <w:tr w14:paraId="459EF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03D50763">
            <w:pPr>
              <w:tabs>
                <w:tab w:val="left" w:pos="5580"/>
              </w:tabs>
              <w:jc w:val="center"/>
              <w:rPr>
                <w:rFonts w:eastAsiaTheme="minorEastAsia"/>
                <w:sz w:val="24"/>
              </w:rPr>
            </w:pPr>
          </w:p>
        </w:tc>
        <w:tc>
          <w:tcPr>
            <w:tcW w:w="3197" w:type="dxa"/>
            <w:tcBorders>
              <w:top w:val="single" w:color="auto" w:sz="4" w:space="0"/>
              <w:left w:val="single" w:color="auto" w:sz="4" w:space="0"/>
              <w:bottom w:val="single" w:color="auto" w:sz="4" w:space="0"/>
              <w:right w:val="single" w:color="auto" w:sz="4" w:space="0"/>
            </w:tcBorders>
            <w:vAlign w:val="center"/>
          </w:tcPr>
          <w:p w14:paraId="6F127AED">
            <w:pPr>
              <w:tabs>
                <w:tab w:val="left" w:pos="5580"/>
              </w:tabs>
              <w:jc w:val="center"/>
              <w:rPr>
                <w:rFonts w:eastAsiaTheme="minorEastAsia"/>
                <w:sz w:val="24"/>
              </w:rPr>
            </w:pPr>
          </w:p>
        </w:tc>
        <w:tc>
          <w:tcPr>
            <w:tcW w:w="2021" w:type="dxa"/>
            <w:tcBorders>
              <w:top w:val="single" w:color="auto" w:sz="4" w:space="0"/>
              <w:left w:val="single" w:color="auto" w:sz="4" w:space="0"/>
              <w:bottom w:val="single" w:color="auto" w:sz="4" w:space="0"/>
              <w:right w:val="single" w:color="auto" w:sz="4" w:space="0"/>
            </w:tcBorders>
            <w:vAlign w:val="center"/>
          </w:tcPr>
          <w:p w14:paraId="36DC55BA">
            <w:pPr>
              <w:tabs>
                <w:tab w:val="left" w:pos="5580"/>
              </w:tabs>
              <w:jc w:val="center"/>
              <w:rPr>
                <w:rFonts w:eastAsiaTheme="minorEastAsia"/>
                <w:sz w:val="24"/>
              </w:rPr>
            </w:pPr>
          </w:p>
        </w:tc>
        <w:tc>
          <w:tcPr>
            <w:tcW w:w="2127" w:type="dxa"/>
            <w:tcBorders>
              <w:top w:val="single" w:color="auto" w:sz="4" w:space="0"/>
              <w:left w:val="single" w:color="auto" w:sz="4" w:space="0"/>
              <w:bottom w:val="single" w:color="auto" w:sz="4" w:space="0"/>
              <w:right w:val="single" w:color="auto" w:sz="4" w:space="0"/>
            </w:tcBorders>
            <w:vAlign w:val="center"/>
          </w:tcPr>
          <w:p w14:paraId="47D5AE90">
            <w:pPr>
              <w:tabs>
                <w:tab w:val="left" w:pos="5580"/>
              </w:tabs>
              <w:jc w:val="center"/>
              <w:rPr>
                <w:rFonts w:eastAsiaTheme="minorEastAsia"/>
                <w:sz w:val="24"/>
              </w:rPr>
            </w:pPr>
          </w:p>
        </w:tc>
      </w:tr>
    </w:tbl>
    <w:p w14:paraId="0C0E20D5">
      <w:pPr>
        <w:autoSpaceDE w:val="0"/>
        <w:autoSpaceDN w:val="0"/>
        <w:adjustRightInd w:val="0"/>
        <w:jc w:val="left"/>
        <w:rPr>
          <w:rFonts w:eastAsiaTheme="minorEastAsia"/>
          <w:color w:val="000000"/>
          <w:kern w:val="0"/>
          <w:sz w:val="24"/>
        </w:rPr>
      </w:pPr>
    </w:p>
    <w:p w14:paraId="3ECD66F4">
      <w:pPr>
        <w:autoSpaceDE w:val="0"/>
        <w:autoSpaceDN w:val="0"/>
        <w:adjustRightInd w:val="0"/>
        <w:jc w:val="left"/>
        <w:rPr>
          <w:rFonts w:eastAsiaTheme="minorEastAsia"/>
          <w:color w:val="000000"/>
          <w:sz w:val="24"/>
          <w:szCs w:val="20"/>
        </w:rPr>
      </w:pPr>
      <w:r>
        <w:rPr>
          <w:rFonts w:eastAsiaTheme="minorEastAsia"/>
          <w:color w:val="000000"/>
          <w:kern w:val="0"/>
          <w:sz w:val="24"/>
        </w:rPr>
        <w:t>注：1</w:t>
      </w:r>
      <w:r>
        <w:rPr>
          <w:rFonts w:eastAsiaTheme="minorEastAsia"/>
          <w:color w:val="000000"/>
          <w:sz w:val="24"/>
          <w:szCs w:val="20"/>
        </w:rPr>
        <w:t>.此表中，每包的报价应和《分项报价表》中的总价相一致。</w:t>
      </w:r>
    </w:p>
    <w:p w14:paraId="7A34DAB7">
      <w:pPr>
        <w:tabs>
          <w:tab w:val="left" w:pos="5580"/>
        </w:tabs>
        <w:ind w:firstLine="480" w:firstLineChars="200"/>
        <w:rPr>
          <w:rFonts w:eastAsiaTheme="minorEastAsia"/>
          <w:color w:val="000000"/>
          <w:sz w:val="24"/>
          <w:szCs w:val="20"/>
        </w:rPr>
      </w:pPr>
      <w:r>
        <w:rPr>
          <w:rFonts w:eastAsiaTheme="minorEastAsia"/>
          <w:color w:val="000000"/>
          <w:sz w:val="24"/>
          <w:szCs w:val="20"/>
        </w:rPr>
        <w:t>2.本表必须按包分别填写。</w:t>
      </w:r>
    </w:p>
    <w:p w14:paraId="11A1A709">
      <w:pPr>
        <w:tabs>
          <w:tab w:val="left" w:pos="5580"/>
        </w:tabs>
        <w:ind w:firstLine="480" w:firstLineChars="200"/>
        <w:rPr>
          <w:rFonts w:eastAsiaTheme="minorEastAsia"/>
          <w:color w:val="000000"/>
          <w:sz w:val="24"/>
          <w:szCs w:val="20"/>
        </w:rPr>
      </w:pPr>
    </w:p>
    <w:p w14:paraId="421CFB7C">
      <w:pPr>
        <w:autoSpaceDE w:val="0"/>
        <w:autoSpaceDN w:val="0"/>
        <w:adjustRightInd w:val="0"/>
        <w:snapToGrid w:val="0"/>
        <w:spacing w:before="25" w:after="25" w:line="360" w:lineRule="auto"/>
        <w:rPr>
          <w:rFonts w:eastAsiaTheme="minorEastAsia"/>
          <w:color w:val="000000"/>
          <w:sz w:val="24"/>
          <w:lang w:val="zh-CN"/>
        </w:rPr>
      </w:pPr>
    </w:p>
    <w:p w14:paraId="2D790E88">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lang w:val="zh-CN"/>
        </w:rPr>
        <w:t xml:space="preserve">   </w:t>
      </w:r>
    </w:p>
    <w:p w14:paraId="3F9745E9">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___________</w:t>
      </w:r>
    </w:p>
    <w:p w14:paraId="67372CE6">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____年____月____日</w:t>
      </w:r>
    </w:p>
    <w:p w14:paraId="411D00AB">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 xml:space="preserve">  </w:t>
      </w:r>
    </w:p>
    <w:p w14:paraId="154CD138">
      <w:pPr>
        <w:tabs>
          <w:tab w:val="left" w:pos="360"/>
        </w:tabs>
        <w:snapToGrid w:val="0"/>
        <w:spacing w:line="360" w:lineRule="auto"/>
        <w:outlineLvl w:val="1"/>
        <w:rPr>
          <w:rFonts w:eastAsiaTheme="minorEastAsia"/>
          <w:sz w:val="24"/>
        </w:rPr>
        <w:sectPr>
          <w:headerReference r:id="rId32" w:type="first"/>
          <w:footerReference r:id="rId34" w:type="first"/>
          <w:headerReference r:id="rId31" w:type="even"/>
          <w:footerReference r:id="rId33" w:type="even"/>
          <w:pgSz w:w="11907" w:h="16840"/>
          <w:pgMar w:top="1418" w:right="1134" w:bottom="1418" w:left="1701" w:header="851" w:footer="851" w:gutter="0"/>
          <w:pgNumType w:fmt="decimal"/>
          <w:cols w:space="720" w:num="1"/>
          <w:docGrid w:linePitch="462" w:charSpace="0"/>
        </w:sectPr>
      </w:pPr>
      <w:bookmarkStart w:id="1560" w:name="_Toc142311060"/>
      <w:bookmarkStart w:id="1561" w:name="_Toc226965749"/>
      <w:bookmarkStart w:id="1562" w:name="_Toc226965832"/>
      <w:bookmarkStart w:id="1563" w:name="_Toc195842924"/>
      <w:bookmarkStart w:id="1564" w:name="_Toc226337255"/>
      <w:bookmarkStart w:id="1565" w:name="_Toc150480796"/>
      <w:bookmarkStart w:id="1566" w:name="_Toc305158827"/>
      <w:bookmarkStart w:id="1567" w:name="_Toc264969249"/>
      <w:bookmarkStart w:id="1568" w:name="_Toc305158901"/>
      <w:bookmarkStart w:id="1569" w:name="_Toc150774763"/>
      <w:bookmarkStart w:id="1570" w:name="_Toc226309803"/>
      <w:bookmarkStart w:id="1571" w:name="_Toc265228397"/>
      <w:bookmarkStart w:id="1572" w:name="_Toc127151558"/>
    </w:p>
    <w:p w14:paraId="1D60C930">
      <w:pPr>
        <w:tabs>
          <w:tab w:val="left" w:pos="360"/>
        </w:tabs>
        <w:snapToGrid w:val="0"/>
        <w:spacing w:line="360" w:lineRule="auto"/>
        <w:outlineLvl w:val="1"/>
        <w:rPr>
          <w:rFonts w:eastAsiaTheme="minorEastAsia"/>
          <w:sz w:val="24"/>
        </w:rPr>
      </w:pPr>
      <w:r>
        <w:rPr>
          <w:rFonts w:eastAsiaTheme="minorEastAsia"/>
          <w:sz w:val="24"/>
        </w:rPr>
        <w:t>8  分项报价表</w:t>
      </w:r>
      <w:bookmarkEnd w:id="1560"/>
      <w:bookmarkEnd w:id="1561"/>
      <w:bookmarkEnd w:id="1562"/>
      <w:bookmarkEnd w:id="1563"/>
      <w:bookmarkEnd w:id="1564"/>
      <w:bookmarkEnd w:id="1565"/>
      <w:bookmarkEnd w:id="1566"/>
      <w:bookmarkEnd w:id="1567"/>
      <w:bookmarkEnd w:id="1568"/>
      <w:bookmarkEnd w:id="1569"/>
      <w:bookmarkEnd w:id="1570"/>
      <w:bookmarkEnd w:id="1571"/>
      <w:bookmarkEnd w:id="1572"/>
    </w:p>
    <w:p w14:paraId="464D1695">
      <w:pPr>
        <w:tabs>
          <w:tab w:val="left" w:pos="1800"/>
          <w:tab w:val="left" w:pos="5580"/>
        </w:tabs>
        <w:jc w:val="left"/>
        <w:rPr>
          <w:rFonts w:eastAsiaTheme="minorEastAsia"/>
          <w:color w:val="000000"/>
          <w:sz w:val="24"/>
        </w:rPr>
      </w:pPr>
    </w:p>
    <w:p w14:paraId="771567DF">
      <w:pPr>
        <w:tabs>
          <w:tab w:val="left" w:pos="1800"/>
          <w:tab w:val="left" w:pos="5580"/>
        </w:tabs>
        <w:jc w:val="left"/>
        <w:rPr>
          <w:rFonts w:eastAsiaTheme="minorEastAsia"/>
          <w:bCs/>
          <w:iCs/>
          <w:color w:val="000000" w:themeColor="text1"/>
          <w:sz w:val="24"/>
          <w14:textFill>
            <w14:solidFill>
              <w14:schemeClr w14:val="tx1"/>
            </w14:solidFill>
          </w14:textFill>
        </w:rPr>
      </w:pPr>
      <w:r>
        <w:rPr>
          <w:rFonts w:eastAsiaTheme="minorEastAsia"/>
          <w:bCs/>
          <w:iCs/>
          <w:color w:val="000000" w:themeColor="text1"/>
          <w:sz w:val="24"/>
          <w14:textFill>
            <w14:solidFill>
              <w14:schemeClr w14:val="tx1"/>
            </w14:solidFill>
          </w14:textFill>
        </w:rPr>
        <w:t>（采用工程量清单计价方式的采购项目，应在本部分放置清单计价表格</w:t>
      </w:r>
      <w:r>
        <w:rPr>
          <w:rFonts w:hint="eastAsia" w:eastAsiaTheme="minorEastAsia"/>
          <w:bCs/>
          <w:iCs/>
          <w:color w:val="000000" w:themeColor="text1"/>
          <w:sz w:val="24"/>
          <w:lang w:eastAsia="zh-CN"/>
          <w14:textFill>
            <w14:solidFill>
              <w14:schemeClr w14:val="tx1"/>
            </w14:solidFill>
          </w14:textFill>
        </w:rPr>
        <w:t>，</w:t>
      </w:r>
      <w:r>
        <w:rPr>
          <w:rFonts w:hint="eastAsia" w:eastAsiaTheme="minorEastAsia"/>
          <w:bCs/>
          <w:iCs/>
          <w:color w:val="000000" w:themeColor="text1"/>
          <w:sz w:val="24"/>
          <w:lang w:val="en-US" w:eastAsia="zh-CN"/>
          <w14:textFill>
            <w14:solidFill>
              <w14:schemeClr w14:val="tx1"/>
            </w14:solidFill>
          </w14:textFill>
        </w:rPr>
        <w:t>并按照符合相关规定的格式签字盖章</w:t>
      </w:r>
      <w:r>
        <w:rPr>
          <w:rFonts w:eastAsiaTheme="minorEastAsia"/>
          <w:bCs/>
          <w:iCs/>
          <w:color w:val="000000" w:themeColor="text1"/>
          <w:sz w:val="24"/>
          <w14:textFill>
            <w14:solidFill>
              <w14:schemeClr w14:val="tx1"/>
            </w14:solidFill>
          </w14:textFill>
        </w:rPr>
        <w:t>）</w:t>
      </w:r>
    </w:p>
    <w:p w14:paraId="64ADA6D6">
      <w:pPr>
        <w:tabs>
          <w:tab w:val="left" w:pos="1800"/>
          <w:tab w:val="left" w:pos="5580"/>
        </w:tabs>
        <w:jc w:val="left"/>
        <w:rPr>
          <w:rFonts w:eastAsiaTheme="minorEastAsia"/>
          <w:color w:val="000000"/>
          <w:sz w:val="24"/>
        </w:rPr>
      </w:pPr>
    </w:p>
    <w:p w14:paraId="6EA8B748">
      <w:pPr>
        <w:tabs>
          <w:tab w:val="left" w:pos="1800"/>
          <w:tab w:val="left" w:pos="5580"/>
        </w:tabs>
        <w:jc w:val="left"/>
        <w:rPr>
          <w:rFonts w:eastAsiaTheme="minorEastAsia"/>
          <w:color w:val="000000"/>
          <w:sz w:val="24"/>
        </w:rPr>
      </w:pPr>
    </w:p>
    <w:p w14:paraId="58C86010">
      <w:pPr>
        <w:autoSpaceDE w:val="0"/>
        <w:autoSpaceDN w:val="0"/>
        <w:adjustRightInd w:val="0"/>
        <w:snapToGrid w:val="0"/>
        <w:spacing w:before="25" w:after="25" w:line="360" w:lineRule="auto"/>
        <w:rPr>
          <w:rFonts w:eastAsiaTheme="minorEastAsia"/>
          <w:color w:val="000000"/>
          <w:sz w:val="24"/>
        </w:rPr>
      </w:pPr>
    </w:p>
    <w:p w14:paraId="36ECBD1E">
      <w:pPr>
        <w:autoSpaceDE w:val="0"/>
        <w:autoSpaceDN w:val="0"/>
        <w:adjustRightInd w:val="0"/>
        <w:snapToGrid w:val="0"/>
        <w:spacing w:before="25" w:after="25" w:line="360" w:lineRule="auto"/>
        <w:ind w:right="360"/>
        <w:jc w:val="lef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04B42A2C">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 xml:space="preserve">日期：____年____月____日  </w:t>
      </w:r>
    </w:p>
    <w:p w14:paraId="6A04D491">
      <w:pPr>
        <w:tabs>
          <w:tab w:val="left" w:pos="360"/>
        </w:tabs>
        <w:snapToGrid w:val="0"/>
        <w:spacing w:line="360" w:lineRule="auto"/>
        <w:outlineLvl w:val="1"/>
        <w:rPr>
          <w:rFonts w:eastAsiaTheme="minorEastAsia"/>
          <w:sz w:val="24"/>
        </w:rPr>
        <w:sectPr>
          <w:pgSz w:w="11907" w:h="16840"/>
          <w:pgMar w:top="1418" w:right="1134" w:bottom="1418" w:left="1701" w:header="851" w:footer="851" w:gutter="0"/>
          <w:pgNumType w:fmt="decimal"/>
          <w:cols w:space="720" w:num="1"/>
          <w:docGrid w:linePitch="462" w:charSpace="0"/>
        </w:sectPr>
      </w:pPr>
      <w:bookmarkStart w:id="1573" w:name="_Toc305158904"/>
      <w:bookmarkStart w:id="1574" w:name="_Toc226965752"/>
      <w:bookmarkStart w:id="1575" w:name="_Toc265228400"/>
      <w:bookmarkStart w:id="1576" w:name="_Toc142311062"/>
      <w:bookmarkStart w:id="1577" w:name="_Toc305158830"/>
      <w:bookmarkStart w:id="1578" w:name="_Toc226337258"/>
      <w:bookmarkStart w:id="1579" w:name="_Toc264969252"/>
      <w:bookmarkStart w:id="1580" w:name="_Toc150480798"/>
      <w:bookmarkStart w:id="1581" w:name="_Toc226309806"/>
      <w:bookmarkStart w:id="1582" w:name="_Toc150774765"/>
      <w:bookmarkStart w:id="1583" w:name="_Toc195842927"/>
      <w:bookmarkStart w:id="1584" w:name="_Toc226965835"/>
      <w:bookmarkStart w:id="1585" w:name="_Toc127151562"/>
      <w:bookmarkStart w:id="1586" w:name="_Toc142311061"/>
      <w:bookmarkStart w:id="1587" w:name="_Toc195842926"/>
      <w:bookmarkStart w:id="1588" w:name="_Toc305158829"/>
      <w:bookmarkStart w:id="1589" w:name="_Toc150480797"/>
      <w:bookmarkStart w:id="1590" w:name="_Toc264969251"/>
      <w:bookmarkStart w:id="1591" w:name="_Toc305158903"/>
      <w:bookmarkStart w:id="1592" w:name="_Toc265228399"/>
      <w:bookmarkStart w:id="1593" w:name="_Toc226965834"/>
      <w:bookmarkStart w:id="1594" w:name="_Toc127151561"/>
      <w:bookmarkStart w:id="1595" w:name="_Toc226309805"/>
      <w:bookmarkStart w:id="1596" w:name="_Toc150774764"/>
      <w:bookmarkStart w:id="1597" w:name="_Toc226965751"/>
      <w:bookmarkStart w:id="1598" w:name="_Toc226337257"/>
    </w:p>
    <w:p w14:paraId="39F3BE30">
      <w:pPr>
        <w:tabs>
          <w:tab w:val="left" w:pos="360"/>
        </w:tabs>
        <w:snapToGrid w:val="0"/>
        <w:spacing w:line="360" w:lineRule="auto"/>
        <w:outlineLvl w:val="1"/>
        <w:rPr>
          <w:rFonts w:eastAsiaTheme="minorEastAsia"/>
          <w:color w:val="000000"/>
          <w:sz w:val="24"/>
          <w:szCs w:val="20"/>
        </w:rPr>
      </w:pPr>
      <w:r>
        <w:rPr>
          <w:rFonts w:eastAsiaTheme="minorEastAsia"/>
          <w:sz w:val="24"/>
        </w:rPr>
        <w:t>9  合同条款偏离表</w:t>
      </w:r>
      <w:bookmarkEnd w:id="1573"/>
      <w:bookmarkEnd w:id="1574"/>
      <w:bookmarkEnd w:id="1575"/>
      <w:bookmarkEnd w:id="1576"/>
      <w:bookmarkEnd w:id="1577"/>
      <w:bookmarkEnd w:id="1578"/>
      <w:bookmarkEnd w:id="1579"/>
      <w:bookmarkEnd w:id="1580"/>
      <w:bookmarkEnd w:id="1581"/>
      <w:bookmarkEnd w:id="1582"/>
      <w:bookmarkEnd w:id="1583"/>
      <w:bookmarkEnd w:id="1584"/>
      <w:bookmarkEnd w:id="1585"/>
      <w:r>
        <w:rPr>
          <w:rFonts w:eastAsiaTheme="minorEastAsia"/>
          <w:sz w:val="24"/>
        </w:rPr>
        <w:t>（实质性格式）</w:t>
      </w:r>
    </w:p>
    <w:p w14:paraId="04DECF3E">
      <w:pPr>
        <w:spacing w:line="360" w:lineRule="auto"/>
        <w:rPr>
          <w:rFonts w:eastAsiaTheme="minorEastAsia"/>
          <w:color w:val="000000"/>
          <w:sz w:val="24"/>
          <w:szCs w:val="20"/>
        </w:rPr>
      </w:pPr>
    </w:p>
    <w:p w14:paraId="4161807A">
      <w:pPr>
        <w:tabs>
          <w:tab w:val="left" w:pos="2775"/>
          <w:tab w:val="center" w:pos="4153"/>
        </w:tabs>
        <w:autoSpaceDE w:val="0"/>
        <w:autoSpaceDN w:val="0"/>
        <w:adjustRightInd w:val="0"/>
        <w:spacing w:line="360" w:lineRule="auto"/>
        <w:jc w:val="left"/>
        <w:rPr>
          <w:rFonts w:eastAsiaTheme="minorEastAsia"/>
          <w:b/>
          <w:color w:val="000000"/>
          <w:sz w:val="36"/>
          <w:szCs w:val="36"/>
        </w:rPr>
      </w:pPr>
      <w:r>
        <w:rPr>
          <w:rFonts w:eastAsiaTheme="minorEastAsia"/>
          <w:color w:val="000000"/>
          <w:sz w:val="36"/>
          <w:szCs w:val="36"/>
        </w:rPr>
        <w:tab/>
      </w:r>
      <w:r>
        <w:rPr>
          <w:rFonts w:eastAsiaTheme="minorEastAsia"/>
          <w:b/>
          <w:color w:val="000000"/>
          <w:sz w:val="36"/>
          <w:szCs w:val="36"/>
        </w:rPr>
        <w:tab/>
      </w:r>
      <w:r>
        <w:rPr>
          <w:rFonts w:eastAsiaTheme="minorEastAsia"/>
          <w:b/>
          <w:color w:val="000000"/>
          <w:sz w:val="36"/>
          <w:szCs w:val="36"/>
        </w:rPr>
        <w:t>合同条款偏离表</w:t>
      </w:r>
    </w:p>
    <w:p w14:paraId="57832C53">
      <w:pPr>
        <w:spacing w:line="360" w:lineRule="auto"/>
        <w:rPr>
          <w:rFonts w:eastAsiaTheme="minorEastAsia"/>
          <w:color w:val="000000"/>
          <w:sz w:val="24"/>
          <w:szCs w:val="20"/>
        </w:rPr>
      </w:pPr>
    </w:p>
    <w:p w14:paraId="5FC4547A">
      <w:pPr>
        <w:tabs>
          <w:tab w:val="left" w:pos="1800"/>
          <w:tab w:val="left" w:pos="5580"/>
        </w:tabs>
        <w:spacing w:line="360" w:lineRule="auto"/>
        <w:ind w:firstLine="360" w:firstLineChars="150"/>
        <w:jc w:val="left"/>
        <w:rPr>
          <w:rFonts w:eastAsiaTheme="minorEastAsia"/>
          <w:color w:val="000000"/>
          <w:sz w:val="24"/>
        </w:rPr>
      </w:pPr>
      <w:r>
        <w:rPr>
          <w:rFonts w:eastAsiaTheme="minorEastAsia"/>
          <w:color w:val="000000"/>
          <w:sz w:val="24"/>
        </w:rPr>
        <w:t>项目编号/包号：_______________     项目名称：_______________</w:t>
      </w:r>
    </w:p>
    <w:tbl>
      <w:tblPr>
        <w:tblStyle w:val="43"/>
        <w:tblW w:w="90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0"/>
        <w:gridCol w:w="1530"/>
        <w:gridCol w:w="1729"/>
        <w:gridCol w:w="1730"/>
        <w:gridCol w:w="2121"/>
        <w:gridCol w:w="962"/>
      </w:tblGrid>
      <w:tr w14:paraId="4A7D4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90" w:type="dxa"/>
            <w:vAlign w:val="center"/>
          </w:tcPr>
          <w:p w14:paraId="41F27AB7">
            <w:pPr>
              <w:adjustRightInd w:val="0"/>
              <w:snapToGrid w:val="0"/>
              <w:jc w:val="center"/>
              <w:rPr>
                <w:rFonts w:eastAsiaTheme="minorEastAsia"/>
                <w:color w:val="000000"/>
                <w:sz w:val="24"/>
              </w:rPr>
            </w:pPr>
            <w:r>
              <w:rPr>
                <w:rFonts w:eastAsiaTheme="minorEastAsia"/>
                <w:color w:val="000000"/>
                <w:sz w:val="24"/>
              </w:rPr>
              <w:t>序号</w:t>
            </w:r>
          </w:p>
        </w:tc>
        <w:tc>
          <w:tcPr>
            <w:tcW w:w="1530" w:type="dxa"/>
            <w:vAlign w:val="center"/>
          </w:tcPr>
          <w:p w14:paraId="02D64583">
            <w:pPr>
              <w:adjustRightInd w:val="0"/>
              <w:snapToGrid w:val="0"/>
              <w:jc w:val="center"/>
              <w:rPr>
                <w:rFonts w:eastAsiaTheme="minorEastAsia"/>
                <w:color w:val="000000"/>
                <w:sz w:val="24"/>
              </w:rPr>
            </w:pPr>
            <w:r>
              <w:rPr>
                <w:rFonts w:eastAsiaTheme="minorEastAsia"/>
                <w:color w:val="000000"/>
                <w:sz w:val="24"/>
                <w:szCs w:val="21"/>
              </w:rPr>
              <w:t>竞争性磋商文件</w:t>
            </w:r>
            <w:r>
              <w:rPr>
                <w:rFonts w:eastAsiaTheme="minorEastAsia"/>
                <w:color w:val="000000"/>
                <w:sz w:val="24"/>
              </w:rPr>
              <w:t>条目号（页码）</w:t>
            </w:r>
          </w:p>
        </w:tc>
        <w:tc>
          <w:tcPr>
            <w:tcW w:w="1729" w:type="dxa"/>
            <w:vAlign w:val="center"/>
          </w:tcPr>
          <w:p w14:paraId="4E064D6D">
            <w:pPr>
              <w:adjustRightInd w:val="0"/>
              <w:snapToGrid w:val="0"/>
              <w:jc w:val="center"/>
              <w:rPr>
                <w:rFonts w:eastAsiaTheme="minorEastAsia"/>
                <w:color w:val="000000"/>
                <w:sz w:val="24"/>
              </w:rPr>
            </w:pPr>
            <w:r>
              <w:rPr>
                <w:rFonts w:eastAsiaTheme="minorEastAsia"/>
                <w:color w:val="000000"/>
                <w:sz w:val="24"/>
                <w:szCs w:val="21"/>
              </w:rPr>
              <w:t>竞争性磋商文件</w:t>
            </w:r>
            <w:r>
              <w:rPr>
                <w:rFonts w:eastAsiaTheme="minorEastAsia"/>
                <w:color w:val="000000"/>
                <w:sz w:val="24"/>
              </w:rPr>
              <w:t>要求</w:t>
            </w:r>
          </w:p>
        </w:tc>
        <w:tc>
          <w:tcPr>
            <w:tcW w:w="1730" w:type="dxa"/>
            <w:vAlign w:val="center"/>
          </w:tcPr>
          <w:p w14:paraId="3C2FE26D">
            <w:pPr>
              <w:adjustRightInd w:val="0"/>
              <w:snapToGrid w:val="0"/>
              <w:jc w:val="center"/>
              <w:rPr>
                <w:rFonts w:eastAsiaTheme="minorEastAsia"/>
                <w:color w:val="000000"/>
                <w:sz w:val="24"/>
              </w:rPr>
            </w:pPr>
            <w:r>
              <w:rPr>
                <w:rFonts w:eastAsiaTheme="minorEastAsia"/>
                <w:color w:val="000000"/>
                <w:sz w:val="24"/>
              </w:rPr>
              <w:t>响应文件内容</w:t>
            </w:r>
          </w:p>
        </w:tc>
        <w:tc>
          <w:tcPr>
            <w:tcW w:w="2121" w:type="dxa"/>
            <w:vAlign w:val="center"/>
          </w:tcPr>
          <w:p w14:paraId="754AEDF9">
            <w:pPr>
              <w:adjustRightInd w:val="0"/>
              <w:snapToGrid w:val="0"/>
              <w:jc w:val="center"/>
              <w:rPr>
                <w:rFonts w:eastAsiaTheme="minorEastAsia"/>
                <w:color w:val="000000"/>
                <w:sz w:val="24"/>
              </w:rPr>
            </w:pPr>
            <w:r>
              <w:rPr>
                <w:rFonts w:eastAsiaTheme="minorEastAsia"/>
                <w:color w:val="000000"/>
                <w:sz w:val="24"/>
              </w:rPr>
              <w:t>偏离情况</w:t>
            </w:r>
          </w:p>
        </w:tc>
        <w:tc>
          <w:tcPr>
            <w:tcW w:w="962" w:type="dxa"/>
            <w:vAlign w:val="center"/>
          </w:tcPr>
          <w:p w14:paraId="27A7FD30">
            <w:pPr>
              <w:adjustRightInd w:val="0"/>
              <w:snapToGrid w:val="0"/>
              <w:jc w:val="center"/>
              <w:rPr>
                <w:rFonts w:eastAsiaTheme="minorEastAsia"/>
                <w:color w:val="000000"/>
                <w:sz w:val="24"/>
              </w:rPr>
            </w:pPr>
            <w:r>
              <w:rPr>
                <w:rFonts w:eastAsiaTheme="minorEastAsia"/>
                <w:color w:val="000000"/>
                <w:sz w:val="24"/>
              </w:rPr>
              <w:t>说明</w:t>
            </w:r>
          </w:p>
        </w:tc>
      </w:tr>
      <w:tr w14:paraId="34AB7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062" w:type="dxa"/>
            <w:gridSpan w:val="6"/>
            <w:vAlign w:val="center"/>
          </w:tcPr>
          <w:p w14:paraId="5260ED32">
            <w:pPr>
              <w:adjustRightInd w:val="0"/>
              <w:snapToGrid w:val="0"/>
              <w:jc w:val="left"/>
              <w:rPr>
                <w:rFonts w:eastAsiaTheme="minorEastAsia"/>
                <w:b/>
                <w:color w:val="000000"/>
                <w:sz w:val="24"/>
              </w:rPr>
            </w:pPr>
            <w:r>
              <w:rPr>
                <w:b/>
                <w:color w:val="000000"/>
                <w:sz w:val="24"/>
              </w:rPr>
              <w:t>对本项目合同条款的偏离情况（</w:t>
            </w:r>
            <w:r>
              <w:rPr>
                <w:rFonts w:hint="eastAsia"/>
                <w:bCs/>
                <w:color w:val="000000"/>
                <w:sz w:val="24"/>
              </w:rPr>
              <w:t>应</w:t>
            </w:r>
            <w:r>
              <w:rPr>
                <w:bCs/>
                <w:color w:val="000000"/>
                <w:sz w:val="24"/>
              </w:rPr>
              <w:t>进行选择</w:t>
            </w:r>
            <w:r>
              <w:rPr>
                <w:rFonts w:hint="eastAsia"/>
                <w:bCs/>
                <w:color w:val="000000"/>
                <w:sz w:val="24"/>
              </w:rPr>
              <w:t>，未选择</w:t>
            </w:r>
            <w:r>
              <w:rPr>
                <w:rFonts w:hint="eastAsia"/>
                <w:b/>
                <w:color w:val="000000"/>
                <w:sz w:val="24"/>
              </w:rPr>
              <w:t>响应无效</w:t>
            </w:r>
            <w:r>
              <w:rPr>
                <w:b/>
                <w:color w:val="000000"/>
                <w:sz w:val="24"/>
              </w:rPr>
              <w:t>）：</w:t>
            </w:r>
          </w:p>
          <w:p w14:paraId="5C0AF15C">
            <w:pPr>
              <w:adjustRightInd w:val="0"/>
              <w:snapToGrid w:val="0"/>
              <w:jc w:val="left"/>
              <w:rPr>
                <w:rFonts w:eastAsiaTheme="minorEastAsia"/>
                <w:b/>
                <w:color w:val="000000"/>
                <w:sz w:val="24"/>
              </w:rPr>
            </w:pPr>
            <w:r>
              <w:rPr>
                <w:rFonts w:eastAsiaTheme="minorEastAsia"/>
                <w:b/>
                <w:color w:val="000000"/>
                <w:sz w:val="24"/>
              </w:rPr>
              <w:t>□无偏离</w:t>
            </w:r>
            <w:r>
              <w:rPr>
                <w:rFonts w:eastAsiaTheme="minorEastAsia"/>
                <w:color w:val="000000"/>
                <w:sz w:val="24"/>
              </w:rPr>
              <w:t>（</w:t>
            </w:r>
            <w:r>
              <w:rPr>
                <w:rFonts w:eastAsiaTheme="minorEastAsia"/>
                <w:color w:val="000000"/>
                <w:sz w:val="24"/>
                <w:szCs w:val="21"/>
              </w:rPr>
              <w:t>如无偏离，仅选择无偏离即可</w:t>
            </w:r>
            <w:r>
              <w:rPr>
                <w:rFonts w:hint="eastAsia"/>
                <w:color w:val="000000"/>
                <w:sz w:val="24"/>
                <w:szCs w:val="21"/>
              </w:rPr>
              <w:t>；</w:t>
            </w:r>
            <w:r>
              <w:rPr>
                <w:rFonts w:hint="eastAsia"/>
                <w:bCs/>
                <w:color w:val="000000"/>
                <w:sz w:val="24"/>
              </w:rPr>
              <w:t>无偏离即为</w:t>
            </w:r>
            <w:r>
              <w:rPr>
                <w:sz w:val="24"/>
              </w:rPr>
              <w:t>对合同条款中的所有要求</w:t>
            </w:r>
            <w:r>
              <w:rPr>
                <w:rFonts w:hint="eastAsia"/>
                <w:sz w:val="24"/>
              </w:rPr>
              <w:t>，</w:t>
            </w:r>
            <w:r>
              <w:rPr>
                <w:sz w:val="24"/>
              </w:rPr>
              <w:t>均视作供应商已对之理解和响应。</w:t>
            </w:r>
            <w:r>
              <w:rPr>
                <w:rFonts w:eastAsiaTheme="minorEastAsia"/>
                <w:color w:val="000000"/>
                <w:sz w:val="24"/>
              </w:rPr>
              <w:t>）</w:t>
            </w:r>
          </w:p>
          <w:p w14:paraId="768F3DA8">
            <w:pPr>
              <w:adjustRightInd w:val="0"/>
              <w:snapToGrid w:val="0"/>
              <w:jc w:val="left"/>
              <w:rPr>
                <w:rFonts w:eastAsiaTheme="minorEastAsia"/>
                <w:color w:val="000000"/>
                <w:sz w:val="24"/>
              </w:rPr>
            </w:pPr>
            <w:r>
              <w:rPr>
                <w:rFonts w:eastAsiaTheme="minorEastAsia"/>
                <w:b/>
                <w:color w:val="000000"/>
                <w:sz w:val="24"/>
              </w:rPr>
              <w:t>□有偏离</w:t>
            </w:r>
            <w:r>
              <w:rPr>
                <w:rFonts w:eastAsiaTheme="minorEastAsia"/>
                <w:color w:val="000000"/>
                <w:sz w:val="24"/>
              </w:rPr>
              <w:t>（</w:t>
            </w:r>
            <w:r>
              <w:rPr>
                <w:rFonts w:eastAsiaTheme="minorEastAsia"/>
                <w:color w:val="000000"/>
                <w:sz w:val="24"/>
                <w:szCs w:val="21"/>
              </w:rPr>
              <w:t>如有偏离，</w:t>
            </w:r>
            <w:r>
              <w:rPr>
                <w:rFonts w:eastAsiaTheme="minorEastAsia"/>
                <w:color w:val="000000"/>
                <w:sz w:val="24"/>
              </w:rPr>
              <w:t>则</w:t>
            </w:r>
            <w:r>
              <w:rPr>
                <w:rFonts w:hint="eastAsia" w:eastAsiaTheme="minorEastAsia"/>
                <w:color w:val="000000"/>
                <w:sz w:val="24"/>
              </w:rPr>
              <w:t>应</w:t>
            </w:r>
            <w:r>
              <w:rPr>
                <w:rFonts w:eastAsiaTheme="minorEastAsia"/>
                <w:color w:val="000000"/>
                <w:sz w:val="24"/>
              </w:rPr>
              <w:t>在本表中对负偏离项逐一列明</w:t>
            </w:r>
            <w:r>
              <w:rPr>
                <w:rFonts w:hint="eastAsia"/>
                <w:color w:val="000000"/>
                <w:sz w:val="24"/>
              </w:rPr>
              <w:t>，否则</w:t>
            </w:r>
            <w:r>
              <w:rPr>
                <w:rFonts w:hint="eastAsia"/>
                <w:b/>
                <w:bCs/>
                <w:color w:val="000000"/>
                <w:sz w:val="24"/>
              </w:rPr>
              <w:t>响应无效</w:t>
            </w:r>
            <w:r>
              <w:rPr>
                <w:color w:val="000000"/>
                <w:sz w:val="24"/>
              </w:rPr>
              <w:t>；</w:t>
            </w:r>
            <w:r>
              <w:rPr>
                <w:sz w:val="24"/>
              </w:rPr>
              <w:t>对合同条款中的所有要求，除本表列明的偏离外，均视作供应商已对之理解和响应。</w:t>
            </w:r>
            <w:r>
              <w:rPr>
                <w:rFonts w:eastAsiaTheme="minorEastAsia"/>
                <w:color w:val="000000"/>
                <w:sz w:val="24"/>
              </w:rPr>
              <w:t>）</w:t>
            </w:r>
          </w:p>
        </w:tc>
      </w:tr>
      <w:tr w14:paraId="4CDED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90" w:type="dxa"/>
            <w:vAlign w:val="center"/>
          </w:tcPr>
          <w:p w14:paraId="7373B232">
            <w:pPr>
              <w:adjustRightInd w:val="0"/>
              <w:snapToGrid w:val="0"/>
              <w:jc w:val="center"/>
              <w:rPr>
                <w:rFonts w:eastAsiaTheme="minorEastAsia"/>
                <w:color w:val="000000"/>
                <w:sz w:val="24"/>
              </w:rPr>
            </w:pPr>
          </w:p>
        </w:tc>
        <w:tc>
          <w:tcPr>
            <w:tcW w:w="1530" w:type="dxa"/>
            <w:vAlign w:val="center"/>
          </w:tcPr>
          <w:p w14:paraId="4546D0B7">
            <w:pPr>
              <w:adjustRightInd w:val="0"/>
              <w:snapToGrid w:val="0"/>
              <w:jc w:val="center"/>
              <w:rPr>
                <w:rFonts w:eastAsiaTheme="minorEastAsia"/>
                <w:color w:val="000000"/>
                <w:sz w:val="24"/>
              </w:rPr>
            </w:pPr>
          </w:p>
        </w:tc>
        <w:tc>
          <w:tcPr>
            <w:tcW w:w="1729" w:type="dxa"/>
            <w:vAlign w:val="center"/>
          </w:tcPr>
          <w:p w14:paraId="7BC452DA">
            <w:pPr>
              <w:adjustRightInd w:val="0"/>
              <w:snapToGrid w:val="0"/>
              <w:jc w:val="center"/>
              <w:rPr>
                <w:rFonts w:eastAsiaTheme="minorEastAsia"/>
                <w:color w:val="000000"/>
                <w:sz w:val="24"/>
              </w:rPr>
            </w:pPr>
          </w:p>
        </w:tc>
        <w:tc>
          <w:tcPr>
            <w:tcW w:w="1730" w:type="dxa"/>
            <w:vAlign w:val="center"/>
          </w:tcPr>
          <w:p w14:paraId="0BD23D49">
            <w:pPr>
              <w:adjustRightInd w:val="0"/>
              <w:snapToGrid w:val="0"/>
              <w:jc w:val="center"/>
              <w:rPr>
                <w:rFonts w:eastAsiaTheme="minorEastAsia"/>
                <w:color w:val="000000"/>
                <w:sz w:val="24"/>
              </w:rPr>
            </w:pPr>
          </w:p>
        </w:tc>
        <w:tc>
          <w:tcPr>
            <w:tcW w:w="2121" w:type="dxa"/>
            <w:vAlign w:val="center"/>
          </w:tcPr>
          <w:p w14:paraId="326C070D">
            <w:pPr>
              <w:adjustRightInd w:val="0"/>
              <w:snapToGrid w:val="0"/>
              <w:jc w:val="center"/>
              <w:rPr>
                <w:rFonts w:eastAsiaTheme="minorEastAsia"/>
                <w:color w:val="000000"/>
                <w:sz w:val="24"/>
              </w:rPr>
            </w:pPr>
          </w:p>
        </w:tc>
        <w:tc>
          <w:tcPr>
            <w:tcW w:w="962" w:type="dxa"/>
            <w:vAlign w:val="center"/>
          </w:tcPr>
          <w:p w14:paraId="2AEF7538">
            <w:pPr>
              <w:adjustRightInd w:val="0"/>
              <w:snapToGrid w:val="0"/>
              <w:jc w:val="center"/>
              <w:rPr>
                <w:rFonts w:eastAsiaTheme="minorEastAsia"/>
                <w:color w:val="000000"/>
                <w:sz w:val="24"/>
              </w:rPr>
            </w:pPr>
          </w:p>
        </w:tc>
      </w:tr>
      <w:tr w14:paraId="7F187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90" w:type="dxa"/>
            <w:vAlign w:val="center"/>
          </w:tcPr>
          <w:p w14:paraId="1F537393">
            <w:pPr>
              <w:adjustRightInd w:val="0"/>
              <w:snapToGrid w:val="0"/>
              <w:jc w:val="center"/>
              <w:rPr>
                <w:rFonts w:eastAsiaTheme="minorEastAsia"/>
                <w:color w:val="000000"/>
                <w:sz w:val="24"/>
              </w:rPr>
            </w:pPr>
          </w:p>
        </w:tc>
        <w:tc>
          <w:tcPr>
            <w:tcW w:w="1530" w:type="dxa"/>
            <w:vAlign w:val="center"/>
          </w:tcPr>
          <w:p w14:paraId="0CAFF5F8">
            <w:pPr>
              <w:adjustRightInd w:val="0"/>
              <w:snapToGrid w:val="0"/>
              <w:jc w:val="center"/>
              <w:rPr>
                <w:rFonts w:eastAsiaTheme="minorEastAsia"/>
                <w:color w:val="000000"/>
                <w:sz w:val="24"/>
              </w:rPr>
            </w:pPr>
          </w:p>
        </w:tc>
        <w:tc>
          <w:tcPr>
            <w:tcW w:w="1729" w:type="dxa"/>
            <w:vAlign w:val="center"/>
          </w:tcPr>
          <w:p w14:paraId="2A0F31C2">
            <w:pPr>
              <w:adjustRightInd w:val="0"/>
              <w:snapToGrid w:val="0"/>
              <w:jc w:val="center"/>
              <w:rPr>
                <w:rFonts w:eastAsiaTheme="minorEastAsia"/>
                <w:color w:val="000000"/>
                <w:sz w:val="24"/>
              </w:rPr>
            </w:pPr>
          </w:p>
        </w:tc>
        <w:tc>
          <w:tcPr>
            <w:tcW w:w="1730" w:type="dxa"/>
            <w:vAlign w:val="center"/>
          </w:tcPr>
          <w:p w14:paraId="75DBF97D">
            <w:pPr>
              <w:adjustRightInd w:val="0"/>
              <w:snapToGrid w:val="0"/>
              <w:jc w:val="center"/>
              <w:rPr>
                <w:rFonts w:eastAsiaTheme="minorEastAsia"/>
                <w:color w:val="000000"/>
                <w:sz w:val="24"/>
              </w:rPr>
            </w:pPr>
          </w:p>
        </w:tc>
        <w:tc>
          <w:tcPr>
            <w:tcW w:w="2121" w:type="dxa"/>
            <w:vAlign w:val="center"/>
          </w:tcPr>
          <w:p w14:paraId="1E89B6DF">
            <w:pPr>
              <w:adjustRightInd w:val="0"/>
              <w:snapToGrid w:val="0"/>
              <w:jc w:val="center"/>
              <w:rPr>
                <w:rFonts w:eastAsiaTheme="minorEastAsia"/>
                <w:color w:val="000000"/>
                <w:sz w:val="24"/>
              </w:rPr>
            </w:pPr>
          </w:p>
        </w:tc>
        <w:tc>
          <w:tcPr>
            <w:tcW w:w="962" w:type="dxa"/>
            <w:vAlign w:val="center"/>
          </w:tcPr>
          <w:p w14:paraId="0D8F2C2A">
            <w:pPr>
              <w:adjustRightInd w:val="0"/>
              <w:snapToGrid w:val="0"/>
              <w:jc w:val="center"/>
              <w:rPr>
                <w:rFonts w:eastAsiaTheme="minorEastAsia"/>
                <w:color w:val="000000"/>
                <w:sz w:val="24"/>
              </w:rPr>
            </w:pPr>
          </w:p>
        </w:tc>
      </w:tr>
      <w:tr w14:paraId="666E6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90" w:type="dxa"/>
            <w:vAlign w:val="center"/>
          </w:tcPr>
          <w:p w14:paraId="433A62F4">
            <w:pPr>
              <w:adjustRightInd w:val="0"/>
              <w:snapToGrid w:val="0"/>
              <w:jc w:val="center"/>
              <w:rPr>
                <w:rFonts w:eastAsiaTheme="minorEastAsia"/>
                <w:color w:val="000000"/>
                <w:sz w:val="24"/>
              </w:rPr>
            </w:pPr>
          </w:p>
        </w:tc>
        <w:tc>
          <w:tcPr>
            <w:tcW w:w="1530" w:type="dxa"/>
            <w:vAlign w:val="center"/>
          </w:tcPr>
          <w:p w14:paraId="6F967C08">
            <w:pPr>
              <w:adjustRightInd w:val="0"/>
              <w:snapToGrid w:val="0"/>
              <w:jc w:val="center"/>
              <w:rPr>
                <w:rFonts w:eastAsiaTheme="minorEastAsia"/>
                <w:color w:val="000000"/>
                <w:sz w:val="24"/>
              </w:rPr>
            </w:pPr>
          </w:p>
        </w:tc>
        <w:tc>
          <w:tcPr>
            <w:tcW w:w="1729" w:type="dxa"/>
            <w:vAlign w:val="center"/>
          </w:tcPr>
          <w:p w14:paraId="2453E1A1">
            <w:pPr>
              <w:adjustRightInd w:val="0"/>
              <w:snapToGrid w:val="0"/>
              <w:jc w:val="center"/>
              <w:rPr>
                <w:rFonts w:eastAsiaTheme="minorEastAsia"/>
                <w:color w:val="000000"/>
                <w:sz w:val="24"/>
              </w:rPr>
            </w:pPr>
          </w:p>
        </w:tc>
        <w:tc>
          <w:tcPr>
            <w:tcW w:w="1730" w:type="dxa"/>
            <w:vAlign w:val="center"/>
          </w:tcPr>
          <w:p w14:paraId="21EBC23D">
            <w:pPr>
              <w:adjustRightInd w:val="0"/>
              <w:snapToGrid w:val="0"/>
              <w:jc w:val="center"/>
              <w:rPr>
                <w:rFonts w:eastAsiaTheme="minorEastAsia"/>
                <w:color w:val="000000"/>
                <w:sz w:val="24"/>
              </w:rPr>
            </w:pPr>
          </w:p>
        </w:tc>
        <w:tc>
          <w:tcPr>
            <w:tcW w:w="2121" w:type="dxa"/>
            <w:vAlign w:val="center"/>
          </w:tcPr>
          <w:p w14:paraId="766E5737">
            <w:pPr>
              <w:adjustRightInd w:val="0"/>
              <w:snapToGrid w:val="0"/>
              <w:jc w:val="center"/>
              <w:rPr>
                <w:rFonts w:eastAsiaTheme="minorEastAsia"/>
                <w:color w:val="000000"/>
                <w:sz w:val="24"/>
              </w:rPr>
            </w:pPr>
          </w:p>
        </w:tc>
        <w:tc>
          <w:tcPr>
            <w:tcW w:w="962" w:type="dxa"/>
            <w:vAlign w:val="center"/>
          </w:tcPr>
          <w:p w14:paraId="199EEDCD">
            <w:pPr>
              <w:adjustRightInd w:val="0"/>
              <w:snapToGrid w:val="0"/>
              <w:jc w:val="center"/>
              <w:rPr>
                <w:rFonts w:eastAsiaTheme="minorEastAsia"/>
                <w:color w:val="000000"/>
                <w:sz w:val="24"/>
              </w:rPr>
            </w:pPr>
          </w:p>
        </w:tc>
      </w:tr>
      <w:tr w14:paraId="4EC3A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90" w:type="dxa"/>
            <w:vAlign w:val="center"/>
          </w:tcPr>
          <w:p w14:paraId="13C1A4E1">
            <w:pPr>
              <w:adjustRightInd w:val="0"/>
              <w:snapToGrid w:val="0"/>
              <w:jc w:val="center"/>
              <w:rPr>
                <w:rFonts w:eastAsiaTheme="minorEastAsia"/>
                <w:color w:val="000000"/>
                <w:sz w:val="24"/>
              </w:rPr>
            </w:pPr>
          </w:p>
        </w:tc>
        <w:tc>
          <w:tcPr>
            <w:tcW w:w="1530" w:type="dxa"/>
            <w:vAlign w:val="center"/>
          </w:tcPr>
          <w:p w14:paraId="1315D137">
            <w:pPr>
              <w:adjustRightInd w:val="0"/>
              <w:snapToGrid w:val="0"/>
              <w:jc w:val="center"/>
              <w:rPr>
                <w:rFonts w:eastAsiaTheme="minorEastAsia"/>
                <w:color w:val="000000"/>
                <w:sz w:val="24"/>
              </w:rPr>
            </w:pPr>
          </w:p>
        </w:tc>
        <w:tc>
          <w:tcPr>
            <w:tcW w:w="1729" w:type="dxa"/>
            <w:vAlign w:val="center"/>
          </w:tcPr>
          <w:p w14:paraId="3FE37DF8">
            <w:pPr>
              <w:adjustRightInd w:val="0"/>
              <w:snapToGrid w:val="0"/>
              <w:jc w:val="center"/>
              <w:rPr>
                <w:rFonts w:eastAsiaTheme="minorEastAsia"/>
                <w:color w:val="000000"/>
                <w:sz w:val="24"/>
              </w:rPr>
            </w:pPr>
          </w:p>
        </w:tc>
        <w:tc>
          <w:tcPr>
            <w:tcW w:w="1730" w:type="dxa"/>
            <w:vAlign w:val="center"/>
          </w:tcPr>
          <w:p w14:paraId="3E17BA51">
            <w:pPr>
              <w:adjustRightInd w:val="0"/>
              <w:snapToGrid w:val="0"/>
              <w:jc w:val="center"/>
              <w:rPr>
                <w:rFonts w:eastAsiaTheme="minorEastAsia"/>
                <w:color w:val="000000"/>
                <w:sz w:val="24"/>
              </w:rPr>
            </w:pPr>
          </w:p>
        </w:tc>
        <w:tc>
          <w:tcPr>
            <w:tcW w:w="2121" w:type="dxa"/>
            <w:vAlign w:val="center"/>
          </w:tcPr>
          <w:p w14:paraId="65E35836">
            <w:pPr>
              <w:adjustRightInd w:val="0"/>
              <w:snapToGrid w:val="0"/>
              <w:jc w:val="center"/>
              <w:rPr>
                <w:rFonts w:eastAsiaTheme="minorEastAsia"/>
                <w:color w:val="000000"/>
                <w:sz w:val="24"/>
              </w:rPr>
            </w:pPr>
          </w:p>
        </w:tc>
        <w:tc>
          <w:tcPr>
            <w:tcW w:w="962" w:type="dxa"/>
            <w:vAlign w:val="center"/>
          </w:tcPr>
          <w:p w14:paraId="3152E265">
            <w:pPr>
              <w:adjustRightInd w:val="0"/>
              <w:snapToGrid w:val="0"/>
              <w:jc w:val="center"/>
              <w:rPr>
                <w:rFonts w:eastAsiaTheme="minorEastAsia"/>
                <w:color w:val="000000"/>
                <w:sz w:val="24"/>
              </w:rPr>
            </w:pPr>
          </w:p>
        </w:tc>
      </w:tr>
      <w:tr w14:paraId="1461A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90" w:type="dxa"/>
            <w:vAlign w:val="center"/>
          </w:tcPr>
          <w:p w14:paraId="5DD4EF03">
            <w:pPr>
              <w:adjustRightInd w:val="0"/>
              <w:snapToGrid w:val="0"/>
              <w:jc w:val="center"/>
              <w:rPr>
                <w:rFonts w:eastAsiaTheme="minorEastAsia"/>
                <w:color w:val="000000"/>
                <w:sz w:val="24"/>
              </w:rPr>
            </w:pPr>
          </w:p>
        </w:tc>
        <w:tc>
          <w:tcPr>
            <w:tcW w:w="1530" w:type="dxa"/>
            <w:vAlign w:val="center"/>
          </w:tcPr>
          <w:p w14:paraId="5B83D536">
            <w:pPr>
              <w:adjustRightInd w:val="0"/>
              <w:snapToGrid w:val="0"/>
              <w:jc w:val="center"/>
              <w:rPr>
                <w:rFonts w:eastAsiaTheme="minorEastAsia"/>
                <w:color w:val="000000"/>
                <w:sz w:val="24"/>
              </w:rPr>
            </w:pPr>
          </w:p>
        </w:tc>
        <w:tc>
          <w:tcPr>
            <w:tcW w:w="1729" w:type="dxa"/>
            <w:vAlign w:val="center"/>
          </w:tcPr>
          <w:p w14:paraId="2B364F37">
            <w:pPr>
              <w:adjustRightInd w:val="0"/>
              <w:snapToGrid w:val="0"/>
              <w:jc w:val="center"/>
              <w:rPr>
                <w:rFonts w:eastAsiaTheme="minorEastAsia"/>
                <w:color w:val="000000"/>
                <w:sz w:val="24"/>
              </w:rPr>
            </w:pPr>
          </w:p>
        </w:tc>
        <w:tc>
          <w:tcPr>
            <w:tcW w:w="1730" w:type="dxa"/>
            <w:vAlign w:val="center"/>
          </w:tcPr>
          <w:p w14:paraId="1F2D0E1C">
            <w:pPr>
              <w:adjustRightInd w:val="0"/>
              <w:snapToGrid w:val="0"/>
              <w:jc w:val="center"/>
              <w:rPr>
                <w:rFonts w:eastAsiaTheme="minorEastAsia"/>
                <w:color w:val="000000"/>
                <w:sz w:val="24"/>
              </w:rPr>
            </w:pPr>
          </w:p>
        </w:tc>
        <w:tc>
          <w:tcPr>
            <w:tcW w:w="2121" w:type="dxa"/>
            <w:vAlign w:val="center"/>
          </w:tcPr>
          <w:p w14:paraId="6B27DBC6">
            <w:pPr>
              <w:adjustRightInd w:val="0"/>
              <w:snapToGrid w:val="0"/>
              <w:jc w:val="center"/>
              <w:rPr>
                <w:rFonts w:eastAsiaTheme="minorEastAsia"/>
                <w:color w:val="000000"/>
                <w:sz w:val="24"/>
              </w:rPr>
            </w:pPr>
          </w:p>
        </w:tc>
        <w:tc>
          <w:tcPr>
            <w:tcW w:w="962" w:type="dxa"/>
            <w:vAlign w:val="center"/>
          </w:tcPr>
          <w:p w14:paraId="4EF2D123">
            <w:pPr>
              <w:adjustRightInd w:val="0"/>
              <w:snapToGrid w:val="0"/>
              <w:jc w:val="center"/>
              <w:rPr>
                <w:rFonts w:eastAsiaTheme="minorEastAsia"/>
                <w:color w:val="000000"/>
                <w:sz w:val="24"/>
              </w:rPr>
            </w:pPr>
          </w:p>
        </w:tc>
      </w:tr>
    </w:tbl>
    <w:p w14:paraId="293C89DF">
      <w:pPr>
        <w:tabs>
          <w:tab w:val="left" w:pos="1800"/>
          <w:tab w:val="left" w:pos="5580"/>
        </w:tabs>
        <w:jc w:val="left"/>
        <w:rPr>
          <w:rFonts w:eastAsiaTheme="minorEastAsia"/>
          <w:color w:val="000000"/>
          <w:sz w:val="24"/>
        </w:rPr>
      </w:pPr>
    </w:p>
    <w:p w14:paraId="007B47F4">
      <w:pPr>
        <w:tabs>
          <w:tab w:val="left" w:pos="1800"/>
          <w:tab w:val="left" w:pos="5580"/>
        </w:tabs>
        <w:jc w:val="left"/>
        <w:rPr>
          <w:color w:val="000000"/>
          <w:sz w:val="24"/>
        </w:rPr>
      </w:pPr>
      <w:r>
        <w:rPr>
          <w:color w:val="000000"/>
          <w:sz w:val="24"/>
        </w:rPr>
        <w:t>注：</w:t>
      </w:r>
      <w:r>
        <w:rPr>
          <w:sz w:val="24"/>
        </w:rPr>
        <w:t xml:space="preserve"> “偏离情况”列应</w:t>
      </w:r>
      <w:r>
        <w:rPr>
          <w:color w:val="000000"/>
          <w:sz w:val="24"/>
        </w:rPr>
        <w:t>据实</w:t>
      </w:r>
      <w:r>
        <w:rPr>
          <w:sz w:val="24"/>
        </w:rPr>
        <w:t>填写“正偏离”或“负偏离”。</w:t>
      </w:r>
    </w:p>
    <w:p w14:paraId="11CE6F68">
      <w:pPr>
        <w:spacing w:line="360" w:lineRule="auto"/>
        <w:rPr>
          <w:rFonts w:eastAsiaTheme="minorEastAsia"/>
          <w:color w:val="000000"/>
          <w:sz w:val="24"/>
          <w:szCs w:val="20"/>
        </w:rPr>
      </w:pPr>
    </w:p>
    <w:p w14:paraId="7E429671">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color w:val="000000"/>
          <w:sz w:val="24"/>
        </w:rPr>
        <w:t>_______________</w:t>
      </w:r>
    </w:p>
    <w:p w14:paraId="6A66FDFC">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 xml:space="preserve">日期：____年____月____日    </w:t>
      </w:r>
    </w:p>
    <w:p w14:paraId="3986C658">
      <w:pPr>
        <w:tabs>
          <w:tab w:val="left" w:pos="360"/>
        </w:tabs>
        <w:snapToGrid w:val="0"/>
        <w:spacing w:line="360" w:lineRule="auto"/>
        <w:outlineLvl w:val="1"/>
        <w:rPr>
          <w:rFonts w:eastAsiaTheme="minorEastAsia"/>
          <w:color w:val="000000"/>
          <w:sz w:val="24"/>
          <w:szCs w:val="20"/>
        </w:rPr>
      </w:pPr>
      <w:r>
        <w:rPr>
          <w:rFonts w:eastAsiaTheme="minorEastAsia"/>
          <w:color w:val="000000"/>
          <w:sz w:val="24"/>
          <w:szCs w:val="20"/>
        </w:rPr>
        <w:br w:type="page"/>
      </w:r>
      <w:r>
        <w:rPr>
          <w:rFonts w:eastAsiaTheme="minorEastAsia"/>
          <w:sz w:val="24"/>
        </w:rPr>
        <w:t xml:space="preserve">10  </w:t>
      </w:r>
      <w:bookmarkEnd w:id="1586"/>
      <w:bookmarkEnd w:id="1587"/>
      <w:bookmarkEnd w:id="1588"/>
      <w:bookmarkEnd w:id="1589"/>
      <w:bookmarkEnd w:id="1590"/>
      <w:bookmarkEnd w:id="1591"/>
      <w:bookmarkEnd w:id="1592"/>
      <w:bookmarkEnd w:id="1593"/>
      <w:bookmarkEnd w:id="1594"/>
      <w:bookmarkEnd w:id="1595"/>
      <w:bookmarkEnd w:id="1596"/>
      <w:bookmarkEnd w:id="1597"/>
      <w:bookmarkEnd w:id="1598"/>
      <w:r>
        <w:rPr>
          <w:rFonts w:eastAsiaTheme="minorEastAsia"/>
          <w:sz w:val="24"/>
        </w:rPr>
        <w:t>采购需求偏离表（实质性格式）</w:t>
      </w:r>
    </w:p>
    <w:p w14:paraId="646CD672">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采购需求偏离表</w:t>
      </w:r>
    </w:p>
    <w:p w14:paraId="31D94E16">
      <w:pPr>
        <w:tabs>
          <w:tab w:val="left" w:pos="1800"/>
          <w:tab w:val="left" w:pos="5580"/>
        </w:tabs>
        <w:spacing w:line="360" w:lineRule="auto"/>
        <w:ind w:firstLine="360" w:firstLineChars="150"/>
        <w:jc w:val="left"/>
        <w:rPr>
          <w:rFonts w:eastAsiaTheme="minorEastAsia"/>
          <w:color w:val="000000"/>
          <w:sz w:val="24"/>
        </w:rPr>
      </w:pPr>
      <w:r>
        <w:rPr>
          <w:rFonts w:eastAsiaTheme="minorEastAsia"/>
          <w:color w:val="000000"/>
          <w:sz w:val="24"/>
        </w:rPr>
        <w:t>项目编号/包号：_______________     项目名称：_______________</w:t>
      </w:r>
    </w:p>
    <w:tbl>
      <w:tblPr>
        <w:tblStyle w:val="43"/>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13CE3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7D5BF08C">
            <w:pPr>
              <w:adjustRightInd w:val="0"/>
              <w:snapToGrid w:val="0"/>
              <w:jc w:val="center"/>
              <w:rPr>
                <w:rFonts w:eastAsiaTheme="minorEastAsia"/>
                <w:color w:val="000000"/>
                <w:sz w:val="24"/>
              </w:rPr>
            </w:pPr>
            <w:r>
              <w:rPr>
                <w:rFonts w:eastAsiaTheme="minorEastAsia"/>
                <w:color w:val="000000"/>
                <w:sz w:val="24"/>
              </w:rPr>
              <w:t>序号</w:t>
            </w:r>
          </w:p>
        </w:tc>
        <w:tc>
          <w:tcPr>
            <w:tcW w:w="1482" w:type="dxa"/>
            <w:vAlign w:val="center"/>
          </w:tcPr>
          <w:p w14:paraId="166311D3">
            <w:pPr>
              <w:adjustRightInd w:val="0"/>
              <w:snapToGrid w:val="0"/>
              <w:jc w:val="center"/>
              <w:rPr>
                <w:rFonts w:eastAsiaTheme="minorEastAsia"/>
                <w:color w:val="000000"/>
                <w:sz w:val="24"/>
              </w:rPr>
            </w:pPr>
            <w:r>
              <w:rPr>
                <w:rFonts w:eastAsiaTheme="minorEastAsia"/>
                <w:color w:val="000000"/>
                <w:sz w:val="24"/>
              </w:rPr>
              <w:t>竞争性磋商文件条目号(页码)</w:t>
            </w:r>
          </w:p>
        </w:tc>
        <w:tc>
          <w:tcPr>
            <w:tcW w:w="2384" w:type="dxa"/>
            <w:vAlign w:val="center"/>
          </w:tcPr>
          <w:p w14:paraId="5D528782">
            <w:pPr>
              <w:adjustRightInd w:val="0"/>
              <w:snapToGrid w:val="0"/>
              <w:jc w:val="center"/>
              <w:rPr>
                <w:rFonts w:eastAsiaTheme="minorEastAsia"/>
                <w:color w:val="000000"/>
                <w:sz w:val="24"/>
              </w:rPr>
            </w:pPr>
            <w:r>
              <w:rPr>
                <w:rFonts w:eastAsiaTheme="minorEastAsia"/>
                <w:color w:val="000000"/>
                <w:sz w:val="24"/>
              </w:rPr>
              <w:t>竞争性磋商文件要求</w:t>
            </w:r>
          </w:p>
        </w:tc>
        <w:tc>
          <w:tcPr>
            <w:tcW w:w="2126" w:type="dxa"/>
            <w:vAlign w:val="center"/>
          </w:tcPr>
          <w:p w14:paraId="51C8A594">
            <w:pPr>
              <w:adjustRightInd w:val="0"/>
              <w:snapToGrid w:val="0"/>
              <w:jc w:val="center"/>
              <w:rPr>
                <w:rFonts w:eastAsiaTheme="minorEastAsia"/>
                <w:color w:val="000000"/>
                <w:sz w:val="24"/>
              </w:rPr>
            </w:pPr>
            <w:r>
              <w:rPr>
                <w:rFonts w:eastAsiaTheme="minorEastAsia"/>
                <w:color w:val="000000"/>
                <w:sz w:val="24"/>
              </w:rPr>
              <w:t>响应内容</w:t>
            </w:r>
          </w:p>
        </w:tc>
        <w:tc>
          <w:tcPr>
            <w:tcW w:w="1875" w:type="dxa"/>
            <w:vAlign w:val="center"/>
          </w:tcPr>
          <w:p w14:paraId="4C3CF41D">
            <w:pPr>
              <w:adjustRightInd w:val="0"/>
              <w:snapToGrid w:val="0"/>
              <w:jc w:val="center"/>
              <w:rPr>
                <w:rFonts w:eastAsiaTheme="minorEastAsia"/>
                <w:color w:val="000000"/>
                <w:sz w:val="24"/>
              </w:rPr>
            </w:pPr>
            <w:r>
              <w:rPr>
                <w:rFonts w:eastAsiaTheme="minorEastAsia"/>
                <w:color w:val="000000"/>
                <w:sz w:val="24"/>
              </w:rPr>
              <w:t>偏离情况</w:t>
            </w:r>
          </w:p>
        </w:tc>
        <w:tc>
          <w:tcPr>
            <w:tcW w:w="1009" w:type="dxa"/>
            <w:vAlign w:val="center"/>
          </w:tcPr>
          <w:p w14:paraId="4EBC8703">
            <w:pPr>
              <w:adjustRightInd w:val="0"/>
              <w:snapToGrid w:val="0"/>
              <w:jc w:val="center"/>
              <w:rPr>
                <w:rFonts w:eastAsiaTheme="minorEastAsia"/>
                <w:color w:val="000000"/>
                <w:sz w:val="24"/>
              </w:rPr>
            </w:pPr>
            <w:r>
              <w:rPr>
                <w:rFonts w:eastAsiaTheme="minorEastAsia"/>
                <w:color w:val="000000"/>
                <w:sz w:val="24"/>
              </w:rPr>
              <w:t>说明</w:t>
            </w:r>
          </w:p>
        </w:tc>
      </w:tr>
      <w:tr w14:paraId="4D957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0AE3168">
            <w:pPr>
              <w:adjustRightInd w:val="0"/>
              <w:snapToGrid w:val="0"/>
              <w:jc w:val="center"/>
              <w:rPr>
                <w:rFonts w:eastAsiaTheme="minorEastAsia"/>
                <w:color w:val="000000"/>
                <w:sz w:val="24"/>
              </w:rPr>
            </w:pPr>
          </w:p>
        </w:tc>
        <w:tc>
          <w:tcPr>
            <w:tcW w:w="1482" w:type="dxa"/>
            <w:vAlign w:val="center"/>
          </w:tcPr>
          <w:p w14:paraId="6CD36C23">
            <w:pPr>
              <w:adjustRightInd w:val="0"/>
              <w:snapToGrid w:val="0"/>
              <w:jc w:val="center"/>
              <w:rPr>
                <w:rFonts w:eastAsiaTheme="minorEastAsia"/>
                <w:color w:val="000000"/>
                <w:sz w:val="24"/>
              </w:rPr>
            </w:pPr>
          </w:p>
        </w:tc>
        <w:tc>
          <w:tcPr>
            <w:tcW w:w="2384" w:type="dxa"/>
            <w:vAlign w:val="center"/>
          </w:tcPr>
          <w:p w14:paraId="5D8A35BE">
            <w:pPr>
              <w:adjustRightInd w:val="0"/>
              <w:snapToGrid w:val="0"/>
              <w:jc w:val="center"/>
              <w:rPr>
                <w:rFonts w:eastAsiaTheme="minorEastAsia"/>
                <w:color w:val="000000"/>
                <w:sz w:val="24"/>
              </w:rPr>
            </w:pPr>
          </w:p>
        </w:tc>
        <w:tc>
          <w:tcPr>
            <w:tcW w:w="2126" w:type="dxa"/>
            <w:vAlign w:val="center"/>
          </w:tcPr>
          <w:p w14:paraId="70A96812">
            <w:pPr>
              <w:adjustRightInd w:val="0"/>
              <w:snapToGrid w:val="0"/>
              <w:jc w:val="center"/>
              <w:rPr>
                <w:rFonts w:eastAsiaTheme="minorEastAsia"/>
                <w:color w:val="000000"/>
                <w:sz w:val="24"/>
              </w:rPr>
            </w:pPr>
          </w:p>
        </w:tc>
        <w:tc>
          <w:tcPr>
            <w:tcW w:w="1875" w:type="dxa"/>
            <w:vAlign w:val="center"/>
          </w:tcPr>
          <w:p w14:paraId="0E48ACD0">
            <w:pPr>
              <w:adjustRightInd w:val="0"/>
              <w:snapToGrid w:val="0"/>
              <w:jc w:val="center"/>
              <w:rPr>
                <w:rFonts w:eastAsiaTheme="minorEastAsia"/>
                <w:color w:val="000000"/>
                <w:sz w:val="24"/>
              </w:rPr>
            </w:pPr>
          </w:p>
        </w:tc>
        <w:tc>
          <w:tcPr>
            <w:tcW w:w="1009" w:type="dxa"/>
            <w:vAlign w:val="center"/>
          </w:tcPr>
          <w:p w14:paraId="339DF49E">
            <w:pPr>
              <w:adjustRightInd w:val="0"/>
              <w:snapToGrid w:val="0"/>
              <w:jc w:val="center"/>
              <w:rPr>
                <w:rFonts w:eastAsiaTheme="minorEastAsia"/>
                <w:color w:val="000000"/>
                <w:sz w:val="24"/>
              </w:rPr>
            </w:pPr>
          </w:p>
        </w:tc>
      </w:tr>
      <w:tr w14:paraId="4D4C1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D1ED84E">
            <w:pPr>
              <w:adjustRightInd w:val="0"/>
              <w:snapToGrid w:val="0"/>
              <w:jc w:val="center"/>
              <w:rPr>
                <w:rFonts w:eastAsiaTheme="minorEastAsia"/>
                <w:color w:val="000000"/>
                <w:sz w:val="24"/>
              </w:rPr>
            </w:pPr>
          </w:p>
        </w:tc>
        <w:tc>
          <w:tcPr>
            <w:tcW w:w="1482" w:type="dxa"/>
            <w:vAlign w:val="center"/>
          </w:tcPr>
          <w:p w14:paraId="2D3DCFF4">
            <w:pPr>
              <w:adjustRightInd w:val="0"/>
              <w:snapToGrid w:val="0"/>
              <w:jc w:val="center"/>
              <w:rPr>
                <w:rFonts w:eastAsiaTheme="minorEastAsia"/>
                <w:color w:val="000000"/>
                <w:sz w:val="24"/>
              </w:rPr>
            </w:pPr>
          </w:p>
        </w:tc>
        <w:tc>
          <w:tcPr>
            <w:tcW w:w="2384" w:type="dxa"/>
            <w:vAlign w:val="center"/>
          </w:tcPr>
          <w:p w14:paraId="180FB457">
            <w:pPr>
              <w:adjustRightInd w:val="0"/>
              <w:snapToGrid w:val="0"/>
              <w:jc w:val="center"/>
              <w:rPr>
                <w:rFonts w:eastAsiaTheme="minorEastAsia"/>
                <w:color w:val="000000"/>
                <w:sz w:val="24"/>
              </w:rPr>
            </w:pPr>
          </w:p>
        </w:tc>
        <w:tc>
          <w:tcPr>
            <w:tcW w:w="2126" w:type="dxa"/>
            <w:vAlign w:val="center"/>
          </w:tcPr>
          <w:p w14:paraId="00E95ED8">
            <w:pPr>
              <w:adjustRightInd w:val="0"/>
              <w:snapToGrid w:val="0"/>
              <w:jc w:val="center"/>
              <w:rPr>
                <w:rFonts w:eastAsiaTheme="minorEastAsia"/>
                <w:color w:val="000000"/>
                <w:sz w:val="24"/>
              </w:rPr>
            </w:pPr>
          </w:p>
        </w:tc>
        <w:tc>
          <w:tcPr>
            <w:tcW w:w="1875" w:type="dxa"/>
            <w:vAlign w:val="center"/>
          </w:tcPr>
          <w:p w14:paraId="06355301">
            <w:pPr>
              <w:adjustRightInd w:val="0"/>
              <w:snapToGrid w:val="0"/>
              <w:jc w:val="center"/>
              <w:rPr>
                <w:rFonts w:eastAsiaTheme="minorEastAsia"/>
                <w:color w:val="000000"/>
                <w:sz w:val="24"/>
              </w:rPr>
            </w:pPr>
          </w:p>
        </w:tc>
        <w:tc>
          <w:tcPr>
            <w:tcW w:w="1009" w:type="dxa"/>
            <w:vAlign w:val="center"/>
          </w:tcPr>
          <w:p w14:paraId="1E6FDBAF">
            <w:pPr>
              <w:adjustRightInd w:val="0"/>
              <w:snapToGrid w:val="0"/>
              <w:jc w:val="center"/>
              <w:rPr>
                <w:rFonts w:eastAsiaTheme="minorEastAsia"/>
                <w:color w:val="000000"/>
                <w:sz w:val="24"/>
              </w:rPr>
            </w:pPr>
          </w:p>
        </w:tc>
      </w:tr>
      <w:tr w14:paraId="39E9E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A423ABD">
            <w:pPr>
              <w:adjustRightInd w:val="0"/>
              <w:snapToGrid w:val="0"/>
              <w:jc w:val="center"/>
              <w:rPr>
                <w:rFonts w:eastAsiaTheme="minorEastAsia"/>
                <w:color w:val="000000"/>
                <w:sz w:val="24"/>
              </w:rPr>
            </w:pPr>
          </w:p>
        </w:tc>
        <w:tc>
          <w:tcPr>
            <w:tcW w:w="1482" w:type="dxa"/>
            <w:vAlign w:val="center"/>
          </w:tcPr>
          <w:p w14:paraId="2A4790E5">
            <w:pPr>
              <w:adjustRightInd w:val="0"/>
              <w:snapToGrid w:val="0"/>
              <w:jc w:val="center"/>
              <w:rPr>
                <w:rFonts w:eastAsiaTheme="minorEastAsia"/>
                <w:color w:val="000000"/>
                <w:sz w:val="24"/>
              </w:rPr>
            </w:pPr>
          </w:p>
        </w:tc>
        <w:tc>
          <w:tcPr>
            <w:tcW w:w="2384" w:type="dxa"/>
            <w:vAlign w:val="center"/>
          </w:tcPr>
          <w:p w14:paraId="275449B4">
            <w:pPr>
              <w:adjustRightInd w:val="0"/>
              <w:snapToGrid w:val="0"/>
              <w:jc w:val="center"/>
              <w:rPr>
                <w:rFonts w:eastAsiaTheme="minorEastAsia"/>
                <w:color w:val="000000"/>
                <w:sz w:val="24"/>
              </w:rPr>
            </w:pPr>
          </w:p>
        </w:tc>
        <w:tc>
          <w:tcPr>
            <w:tcW w:w="2126" w:type="dxa"/>
            <w:vAlign w:val="center"/>
          </w:tcPr>
          <w:p w14:paraId="376B1BD5">
            <w:pPr>
              <w:adjustRightInd w:val="0"/>
              <w:snapToGrid w:val="0"/>
              <w:jc w:val="center"/>
              <w:rPr>
                <w:rFonts w:eastAsiaTheme="minorEastAsia"/>
                <w:color w:val="000000"/>
                <w:sz w:val="24"/>
              </w:rPr>
            </w:pPr>
          </w:p>
        </w:tc>
        <w:tc>
          <w:tcPr>
            <w:tcW w:w="1875" w:type="dxa"/>
            <w:vAlign w:val="center"/>
          </w:tcPr>
          <w:p w14:paraId="0E368960">
            <w:pPr>
              <w:adjustRightInd w:val="0"/>
              <w:snapToGrid w:val="0"/>
              <w:jc w:val="center"/>
              <w:rPr>
                <w:rFonts w:eastAsiaTheme="minorEastAsia"/>
                <w:color w:val="000000"/>
                <w:sz w:val="24"/>
              </w:rPr>
            </w:pPr>
          </w:p>
        </w:tc>
        <w:tc>
          <w:tcPr>
            <w:tcW w:w="1009" w:type="dxa"/>
            <w:vAlign w:val="center"/>
          </w:tcPr>
          <w:p w14:paraId="165F535A">
            <w:pPr>
              <w:adjustRightInd w:val="0"/>
              <w:snapToGrid w:val="0"/>
              <w:jc w:val="center"/>
              <w:rPr>
                <w:rFonts w:eastAsiaTheme="minorEastAsia"/>
                <w:color w:val="000000"/>
                <w:sz w:val="24"/>
              </w:rPr>
            </w:pPr>
          </w:p>
        </w:tc>
      </w:tr>
      <w:tr w14:paraId="3EFB8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FF0D2F0">
            <w:pPr>
              <w:adjustRightInd w:val="0"/>
              <w:snapToGrid w:val="0"/>
              <w:jc w:val="center"/>
              <w:rPr>
                <w:rFonts w:eastAsiaTheme="minorEastAsia"/>
                <w:color w:val="000000"/>
                <w:sz w:val="24"/>
              </w:rPr>
            </w:pPr>
          </w:p>
        </w:tc>
        <w:tc>
          <w:tcPr>
            <w:tcW w:w="1482" w:type="dxa"/>
            <w:vAlign w:val="center"/>
          </w:tcPr>
          <w:p w14:paraId="57D098D8">
            <w:pPr>
              <w:adjustRightInd w:val="0"/>
              <w:snapToGrid w:val="0"/>
              <w:jc w:val="center"/>
              <w:rPr>
                <w:rFonts w:eastAsiaTheme="minorEastAsia"/>
                <w:color w:val="000000"/>
                <w:sz w:val="24"/>
              </w:rPr>
            </w:pPr>
          </w:p>
        </w:tc>
        <w:tc>
          <w:tcPr>
            <w:tcW w:w="2384" w:type="dxa"/>
            <w:vAlign w:val="center"/>
          </w:tcPr>
          <w:p w14:paraId="6D2C33D4">
            <w:pPr>
              <w:adjustRightInd w:val="0"/>
              <w:snapToGrid w:val="0"/>
              <w:jc w:val="center"/>
              <w:rPr>
                <w:rFonts w:eastAsiaTheme="minorEastAsia"/>
                <w:color w:val="000000"/>
                <w:sz w:val="24"/>
              </w:rPr>
            </w:pPr>
          </w:p>
        </w:tc>
        <w:tc>
          <w:tcPr>
            <w:tcW w:w="2126" w:type="dxa"/>
            <w:vAlign w:val="center"/>
          </w:tcPr>
          <w:p w14:paraId="7D2FCD52">
            <w:pPr>
              <w:adjustRightInd w:val="0"/>
              <w:snapToGrid w:val="0"/>
              <w:jc w:val="center"/>
              <w:rPr>
                <w:rFonts w:eastAsiaTheme="minorEastAsia"/>
                <w:color w:val="000000"/>
                <w:sz w:val="24"/>
              </w:rPr>
            </w:pPr>
          </w:p>
        </w:tc>
        <w:tc>
          <w:tcPr>
            <w:tcW w:w="1875" w:type="dxa"/>
            <w:vAlign w:val="center"/>
          </w:tcPr>
          <w:p w14:paraId="7282275E">
            <w:pPr>
              <w:adjustRightInd w:val="0"/>
              <w:snapToGrid w:val="0"/>
              <w:jc w:val="center"/>
              <w:rPr>
                <w:rFonts w:eastAsiaTheme="minorEastAsia"/>
                <w:color w:val="000000"/>
                <w:sz w:val="24"/>
              </w:rPr>
            </w:pPr>
          </w:p>
        </w:tc>
        <w:tc>
          <w:tcPr>
            <w:tcW w:w="1009" w:type="dxa"/>
            <w:vAlign w:val="center"/>
          </w:tcPr>
          <w:p w14:paraId="73D83680">
            <w:pPr>
              <w:adjustRightInd w:val="0"/>
              <w:snapToGrid w:val="0"/>
              <w:jc w:val="center"/>
              <w:rPr>
                <w:rFonts w:eastAsiaTheme="minorEastAsia"/>
                <w:color w:val="000000"/>
                <w:sz w:val="24"/>
              </w:rPr>
            </w:pPr>
          </w:p>
        </w:tc>
      </w:tr>
      <w:tr w14:paraId="27D5A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367A231">
            <w:pPr>
              <w:adjustRightInd w:val="0"/>
              <w:snapToGrid w:val="0"/>
              <w:jc w:val="center"/>
              <w:rPr>
                <w:rFonts w:eastAsiaTheme="minorEastAsia"/>
                <w:color w:val="000000"/>
                <w:sz w:val="24"/>
              </w:rPr>
            </w:pPr>
          </w:p>
        </w:tc>
        <w:tc>
          <w:tcPr>
            <w:tcW w:w="1482" w:type="dxa"/>
            <w:vAlign w:val="center"/>
          </w:tcPr>
          <w:p w14:paraId="545BC9A5">
            <w:pPr>
              <w:adjustRightInd w:val="0"/>
              <w:snapToGrid w:val="0"/>
              <w:jc w:val="center"/>
              <w:rPr>
                <w:rFonts w:eastAsiaTheme="minorEastAsia"/>
                <w:color w:val="000000"/>
                <w:sz w:val="24"/>
              </w:rPr>
            </w:pPr>
          </w:p>
        </w:tc>
        <w:tc>
          <w:tcPr>
            <w:tcW w:w="2384" w:type="dxa"/>
            <w:vAlign w:val="center"/>
          </w:tcPr>
          <w:p w14:paraId="3C0056BA">
            <w:pPr>
              <w:adjustRightInd w:val="0"/>
              <w:snapToGrid w:val="0"/>
              <w:jc w:val="center"/>
              <w:rPr>
                <w:rFonts w:eastAsiaTheme="minorEastAsia"/>
                <w:color w:val="000000"/>
                <w:sz w:val="24"/>
              </w:rPr>
            </w:pPr>
          </w:p>
        </w:tc>
        <w:tc>
          <w:tcPr>
            <w:tcW w:w="2126" w:type="dxa"/>
            <w:vAlign w:val="center"/>
          </w:tcPr>
          <w:p w14:paraId="091A801C">
            <w:pPr>
              <w:adjustRightInd w:val="0"/>
              <w:snapToGrid w:val="0"/>
              <w:jc w:val="center"/>
              <w:rPr>
                <w:rFonts w:eastAsiaTheme="minorEastAsia"/>
                <w:color w:val="000000"/>
                <w:sz w:val="24"/>
              </w:rPr>
            </w:pPr>
          </w:p>
        </w:tc>
        <w:tc>
          <w:tcPr>
            <w:tcW w:w="1875" w:type="dxa"/>
            <w:vAlign w:val="center"/>
          </w:tcPr>
          <w:p w14:paraId="184C58C5">
            <w:pPr>
              <w:adjustRightInd w:val="0"/>
              <w:snapToGrid w:val="0"/>
              <w:jc w:val="center"/>
              <w:rPr>
                <w:rFonts w:eastAsiaTheme="minorEastAsia"/>
                <w:color w:val="000000"/>
                <w:sz w:val="24"/>
              </w:rPr>
            </w:pPr>
          </w:p>
        </w:tc>
        <w:tc>
          <w:tcPr>
            <w:tcW w:w="1009" w:type="dxa"/>
            <w:vAlign w:val="center"/>
          </w:tcPr>
          <w:p w14:paraId="4C149B62">
            <w:pPr>
              <w:adjustRightInd w:val="0"/>
              <w:snapToGrid w:val="0"/>
              <w:jc w:val="center"/>
              <w:rPr>
                <w:rFonts w:eastAsiaTheme="minorEastAsia"/>
                <w:color w:val="000000"/>
                <w:sz w:val="24"/>
              </w:rPr>
            </w:pPr>
          </w:p>
        </w:tc>
      </w:tr>
      <w:tr w14:paraId="16359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0BB4210">
            <w:pPr>
              <w:adjustRightInd w:val="0"/>
              <w:snapToGrid w:val="0"/>
              <w:jc w:val="center"/>
              <w:rPr>
                <w:rFonts w:eastAsiaTheme="minorEastAsia"/>
                <w:color w:val="000000"/>
                <w:sz w:val="24"/>
              </w:rPr>
            </w:pPr>
          </w:p>
        </w:tc>
        <w:tc>
          <w:tcPr>
            <w:tcW w:w="1482" w:type="dxa"/>
            <w:vAlign w:val="center"/>
          </w:tcPr>
          <w:p w14:paraId="58C9667E">
            <w:pPr>
              <w:adjustRightInd w:val="0"/>
              <w:snapToGrid w:val="0"/>
              <w:jc w:val="center"/>
              <w:rPr>
                <w:rFonts w:eastAsiaTheme="minorEastAsia"/>
                <w:color w:val="000000"/>
                <w:sz w:val="24"/>
              </w:rPr>
            </w:pPr>
          </w:p>
        </w:tc>
        <w:tc>
          <w:tcPr>
            <w:tcW w:w="2384" w:type="dxa"/>
            <w:vAlign w:val="center"/>
          </w:tcPr>
          <w:p w14:paraId="6435F9DD">
            <w:pPr>
              <w:adjustRightInd w:val="0"/>
              <w:snapToGrid w:val="0"/>
              <w:jc w:val="center"/>
              <w:rPr>
                <w:rFonts w:eastAsiaTheme="minorEastAsia"/>
                <w:color w:val="000000"/>
                <w:sz w:val="24"/>
              </w:rPr>
            </w:pPr>
          </w:p>
        </w:tc>
        <w:tc>
          <w:tcPr>
            <w:tcW w:w="2126" w:type="dxa"/>
            <w:vAlign w:val="center"/>
          </w:tcPr>
          <w:p w14:paraId="071C63D8">
            <w:pPr>
              <w:adjustRightInd w:val="0"/>
              <w:snapToGrid w:val="0"/>
              <w:jc w:val="center"/>
              <w:rPr>
                <w:rFonts w:eastAsiaTheme="minorEastAsia"/>
                <w:color w:val="000000"/>
                <w:sz w:val="24"/>
              </w:rPr>
            </w:pPr>
          </w:p>
        </w:tc>
        <w:tc>
          <w:tcPr>
            <w:tcW w:w="1875" w:type="dxa"/>
            <w:vAlign w:val="center"/>
          </w:tcPr>
          <w:p w14:paraId="7D0A6506">
            <w:pPr>
              <w:adjustRightInd w:val="0"/>
              <w:snapToGrid w:val="0"/>
              <w:jc w:val="center"/>
              <w:rPr>
                <w:rFonts w:eastAsiaTheme="minorEastAsia"/>
                <w:color w:val="000000"/>
                <w:sz w:val="24"/>
              </w:rPr>
            </w:pPr>
          </w:p>
        </w:tc>
        <w:tc>
          <w:tcPr>
            <w:tcW w:w="1009" w:type="dxa"/>
            <w:vAlign w:val="center"/>
          </w:tcPr>
          <w:p w14:paraId="768BBF7F">
            <w:pPr>
              <w:adjustRightInd w:val="0"/>
              <w:snapToGrid w:val="0"/>
              <w:jc w:val="center"/>
              <w:rPr>
                <w:rFonts w:eastAsiaTheme="minorEastAsia"/>
                <w:color w:val="000000"/>
                <w:sz w:val="24"/>
              </w:rPr>
            </w:pPr>
          </w:p>
        </w:tc>
      </w:tr>
    </w:tbl>
    <w:p w14:paraId="56CE0500">
      <w:pPr>
        <w:tabs>
          <w:tab w:val="left" w:pos="1800"/>
          <w:tab w:val="left" w:pos="5580"/>
        </w:tabs>
        <w:spacing w:line="360" w:lineRule="auto"/>
        <w:ind w:firstLine="360" w:firstLineChars="150"/>
        <w:jc w:val="left"/>
        <w:rPr>
          <w:rFonts w:eastAsiaTheme="minorEastAsia"/>
          <w:color w:val="000000"/>
          <w:sz w:val="24"/>
          <w:u w:val="single"/>
        </w:rPr>
      </w:pPr>
    </w:p>
    <w:p w14:paraId="4682AF7B">
      <w:pPr>
        <w:tabs>
          <w:tab w:val="left" w:pos="1800"/>
          <w:tab w:val="left" w:pos="5580"/>
        </w:tabs>
        <w:spacing w:line="360" w:lineRule="auto"/>
        <w:ind w:firstLine="360" w:firstLineChars="150"/>
        <w:jc w:val="left"/>
        <w:rPr>
          <w:rFonts w:eastAsiaTheme="minorEastAsia"/>
          <w:color w:val="000000"/>
          <w:sz w:val="24"/>
          <w:u w:val="single"/>
        </w:rPr>
      </w:pPr>
    </w:p>
    <w:p w14:paraId="1BD2C514">
      <w:pPr>
        <w:tabs>
          <w:tab w:val="left" w:pos="1800"/>
          <w:tab w:val="left" w:pos="5580"/>
        </w:tabs>
        <w:jc w:val="left"/>
        <w:rPr>
          <w:rFonts w:eastAsiaTheme="minorEastAsia"/>
          <w:color w:val="000000"/>
          <w:sz w:val="24"/>
        </w:rPr>
      </w:pPr>
      <w:r>
        <w:rPr>
          <w:rFonts w:eastAsiaTheme="minorEastAsia"/>
          <w:color w:val="000000"/>
          <w:sz w:val="24"/>
        </w:rPr>
        <w:t>注：</w:t>
      </w:r>
    </w:p>
    <w:p w14:paraId="2E35EB26">
      <w:pPr>
        <w:tabs>
          <w:tab w:val="left" w:pos="1800"/>
          <w:tab w:val="left" w:pos="5580"/>
        </w:tabs>
        <w:jc w:val="left"/>
        <w:rPr>
          <w:rFonts w:eastAsiaTheme="minorEastAsia"/>
          <w:sz w:val="24"/>
        </w:rPr>
      </w:pPr>
      <w:r>
        <w:rPr>
          <w:rFonts w:eastAsiaTheme="minorEastAsia"/>
          <w:color w:val="000000"/>
          <w:sz w:val="24"/>
        </w:rPr>
        <w:t xml:space="preserve">1. </w:t>
      </w:r>
      <w:r>
        <w:rPr>
          <w:rFonts w:eastAsiaTheme="minorEastAsia"/>
          <w:sz w:val="24"/>
        </w:rPr>
        <w:t>对竞争性磋商文件中的所有商务、技术要求，除本表所列明的所有偏离外，均视作供应商已对之理解和响应。此表中若无任何文字说明，内容为空白的，</w:t>
      </w:r>
      <w:r>
        <w:rPr>
          <w:rFonts w:eastAsiaTheme="minorEastAsia"/>
          <w:b/>
          <w:sz w:val="24"/>
        </w:rPr>
        <w:t>响应无效</w:t>
      </w:r>
      <w:r>
        <w:rPr>
          <w:rFonts w:eastAsiaTheme="minorEastAsia"/>
          <w:sz w:val="24"/>
        </w:rPr>
        <w:t>。</w:t>
      </w:r>
    </w:p>
    <w:p w14:paraId="2FAD0EC8">
      <w:pPr>
        <w:tabs>
          <w:tab w:val="left" w:pos="1800"/>
          <w:tab w:val="left" w:pos="5580"/>
        </w:tabs>
        <w:jc w:val="left"/>
        <w:rPr>
          <w:color w:val="000000"/>
          <w:sz w:val="24"/>
        </w:rPr>
      </w:pPr>
      <w:r>
        <w:rPr>
          <w:sz w:val="24"/>
        </w:rPr>
        <w:t>2.“偏离情况”列应</w:t>
      </w:r>
      <w:r>
        <w:rPr>
          <w:color w:val="000000"/>
          <w:sz w:val="24"/>
        </w:rPr>
        <w:t>据实</w:t>
      </w:r>
      <w:r>
        <w:rPr>
          <w:sz w:val="24"/>
        </w:rPr>
        <w:t>填写“无偏离”、“正偏离”或“负偏离”。</w:t>
      </w:r>
    </w:p>
    <w:p w14:paraId="75DC4C8E">
      <w:pPr>
        <w:tabs>
          <w:tab w:val="left" w:pos="1800"/>
          <w:tab w:val="left" w:pos="5580"/>
        </w:tabs>
        <w:jc w:val="left"/>
        <w:rPr>
          <w:rFonts w:eastAsiaTheme="minorEastAsia"/>
          <w:color w:val="000000"/>
          <w:sz w:val="24"/>
        </w:rPr>
      </w:pPr>
    </w:p>
    <w:p w14:paraId="486F053D">
      <w:pPr>
        <w:rPr>
          <w:rFonts w:eastAsiaTheme="minorEastAsia"/>
          <w:color w:val="000000"/>
          <w:sz w:val="24"/>
          <w:szCs w:val="20"/>
        </w:rPr>
      </w:pPr>
    </w:p>
    <w:p w14:paraId="25E28C16">
      <w:pPr>
        <w:rPr>
          <w:rFonts w:eastAsiaTheme="minorEastAsia"/>
          <w:color w:val="000000"/>
          <w:sz w:val="24"/>
          <w:szCs w:val="20"/>
        </w:rPr>
      </w:pPr>
    </w:p>
    <w:p w14:paraId="4A2A1915">
      <w:pPr>
        <w:rPr>
          <w:rFonts w:eastAsiaTheme="minorEastAsia"/>
          <w:color w:val="000000"/>
          <w:sz w:val="24"/>
          <w:szCs w:val="20"/>
        </w:rPr>
      </w:pPr>
    </w:p>
    <w:p w14:paraId="0F6ADA44">
      <w:pPr>
        <w:autoSpaceDE w:val="0"/>
        <w:autoSpaceDN w:val="0"/>
        <w:adjustRightInd w:val="0"/>
        <w:snapToGrid w:val="0"/>
        <w:spacing w:before="25" w:after="25" w:line="360" w:lineRule="auto"/>
        <w:ind w:right="360"/>
        <w:jc w:val="left"/>
        <w:rPr>
          <w:rFonts w:eastAsiaTheme="minorEastAsia"/>
          <w:sz w:val="24"/>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44E3C1F6">
      <w:pPr>
        <w:autoSpaceDE w:val="0"/>
        <w:autoSpaceDN w:val="0"/>
        <w:adjustRightInd w:val="0"/>
        <w:snapToGrid w:val="0"/>
        <w:spacing w:before="25" w:after="25" w:line="360" w:lineRule="auto"/>
        <w:ind w:right="360"/>
        <w:jc w:val="left"/>
        <w:rPr>
          <w:rFonts w:eastAsiaTheme="minorEastAsia"/>
          <w:sz w:val="24"/>
          <w:lang w:val="zh-CN"/>
        </w:rPr>
      </w:pPr>
    </w:p>
    <w:p w14:paraId="5E10C6A7">
      <w:pPr>
        <w:autoSpaceDE w:val="0"/>
        <w:autoSpaceDN w:val="0"/>
        <w:adjustRightInd w:val="0"/>
        <w:snapToGrid w:val="0"/>
        <w:spacing w:before="25" w:after="25" w:line="360" w:lineRule="auto"/>
        <w:ind w:right="360"/>
        <w:jc w:val="left"/>
        <w:rPr>
          <w:rFonts w:eastAsiaTheme="minorEastAsia"/>
          <w:color w:val="000000"/>
          <w:sz w:val="24"/>
          <w:szCs w:val="20"/>
        </w:rPr>
      </w:pPr>
      <w:r>
        <w:rPr>
          <w:rFonts w:eastAsiaTheme="minorEastAsia"/>
          <w:color w:val="000000"/>
          <w:sz w:val="24"/>
          <w:szCs w:val="20"/>
        </w:rPr>
        <w:t xml:space="preserve">日期：____年____月____日 </w:t>
      </w:r>
    </w:p>
    <w:p w14:paraId="5BB9EE99">
      <w:pPr>
        <w:widowControl/>
        <w:jc w:val="left"/>
        <w:rPr>
          <w:rFonts w:eastAsiaTheme="minorEastAsia"/>
          <w:sz w:val="24"/>
        </w:rPr>
      </w:pPr>
      <w:r>
        <w:rPr>
          <w:rFonts w:eastAsiaTheme="minorEastAsia"/>
          <w:color w:val="000000"/>
          <w:sz w:val="24"/>
          <w:szCs w:val="20"/>
        </w:rPr>
        <w:br w:type="page"/>
      </w:r>
    </w:p>
    <w:p w14:paraId="3BBAF166">
      <w:pPr>
        <w:tabs>
          <w:tab w:val="left" w:pos="360"/>
        </w:tabs>
        <w:snapToGrid w:val="0"/>
        <w:spacing w:line="360" w:lineRule="auto"/>
        <w:outlineLvl w:val="1"/>
        <w:rPr>
          <w:rFonts w:eastAsiaTheme="minorEastAsia"/>
          <w:color w:val="000000"/>
          <w:sz w:val="24"/>
          <w:szCs w:val="20"/>
        </w:rPr>
      </w:pPr>
      <w:r>
        <w:rPr>
          <w:rFonts w:eastAsiaTheme="minorEastAsia"/>
          <w:sz w:val="24"/>
        </w:rPr>
        <w:t>1</w:t>
      </w:r>
      <w:r>
        <w:rPr>
          <w:rFonts w:hint="eastAsia" w:eastAsiaTheme="minorEastAsia"/>
          <w:sz w:val="24"/>
        </w:rPr>
        <w:t>1</w:t>
      </w:r>
      <w:r>
        <w:rPr>
          <w:rFonts w:eastAsiaTheme="minorEastAsia"/>
          <w:sz w:val="24"/>
        </w:rPr>
        <w:t xml:space="preserve">  竞争性磋商文件要求提供或供应商认为应附的其他材料</w:t>
      </w:r>
    </w:p>
    <w:p w14:paraId="40E7059E">
      <w:pPr>
        <w:widowControl/>
        <w:jc w:val="left"/>
        <w:rPr>
          <w:rFonts w:eastAsiaTheme="minorEastAsia"/>
          <w:b/>
          <w:sz w:val="36"/>
          <w:szCs w:val="36"/>
        </w:rPr>
      </w:pPr>
    </w:p>
    <w:p w14:paraId="1187F407">
      <w:pPr>
        <w:widowControl/>
        <w:jc w:val="left"/>
        <w:rPr>
          <w:color w:val="000000"/>
          <w:sz w:val="24"/>
          <w:szCs w:val="20"/>
        </w:rPr>
      </w:pPr>
      <w:bookmarkStart w:id="1599" w:name="_Hlk167094858"/>
      <w:r>
        <w:rPr>
          <w:rFonts w:hint="eastAsia"/>
          <w:color w:val="000000"/>
          <w:sz w:val="24"/>
          <w:szCs w:val="20"/>
        </w:rPr>
        <w:t>11</w:t>
      </w:r>
      <w:r>
        <w:rPr>
          <w:color w:val="000000"/>
          <w:sz w:val="24"/>
          <w:szCs w:val="20"/>
        </w:rPr>
        <w:t>-1</w:t>
      </w:r>
      <w:r>
        <w:rPr>
          <w:rFonts w:hint="eastAsia"/>
          <w:color w:val="000000"/>
          <w:sz w:val="24"/>
          <w:szCs w:val="20"/>
        </w:rPr>
        <w:t>供应商信息采集表</w:t>
      </w:r>
    </w:p>
    <w:tbl>
      <w:tblPr>
        <w:tblStyle w:val="44"/>
        <w:tblW w:w="906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21"/>
        <w:gridCol w:w="3021"/>
        <w:gridCol w:w="3020"/>
      </w:tblGrid>
      <w:tr w14:paraId="17ACF2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3021" w:type="dxa"/>
          </w:tcPr>
          <w:p w14:paraId="08520DB0">
            <w:pPr>
              <w:rPr>
                <w:sz w:val="24"/>
              </w:rPr>
            </w:pPr>
            <w:r>
              <w:rPr>
                <w:rFonts w:hint="eastAsia"/>
                <w:sz w:val="24"/>
              </w:rPr>
              <w:t>供应商名称</w:t>
            </w:r>
          </w:p>
        </w:tc>
        <w:tc>
          <w:tcPr>
            <w:tcW w:w="3021" w:type="dxa"/>
          </w:tcPr>
          <w:p w14:paraId="575B89A6">
            <w:pPr>
              <w:rPr>
                <w:sz w:val="24"/>
              </w:rPr>
            </w:pPr>
            <w:r>
              <w:rPr>
                <w:rFonts w:hint="eastAsia"/>
                <w:sz w:val="24"/>
              </w:rPr>
              <w:t>供应商所属性别</w:t>
            </w:r>
          </w:p>
        </w:tc>
        <w:tc>
          <w:tcPr>
            <w:tcW w:w="3020" w:type="dxa"/>
          </w:tcPr>
          <w:p w14:paraId="249F52BE">
            <w:pPr>
              <w:rPr>
                <w:sz w:val="24"/>
              </w:rPr>
            </w:pPr>
            <w:r>
              <w:rPr>
                <w:rFonts w:hint="eastAsia"/>
                <w:sz w:val="24"/>
              </w:rPr>
              <w:t>外商投资类型</w:t>
            </w:r>
          </w:p>
        </w:tc>
      </w:tr>
      <w:tr w14:paraId="5DE2D0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3021" w:type="dxa"/>
          </w:tcPr>
          <w:p w14:paraId="206CECD2">
            <w:pPr>
              <w:rPr>
                <w:sz w:val="24"/>
              </w:rPr>
            </w:pPr>
          </w:p>
        </w:tc>
        <w:tc>
          <w:tcPr>
            <w:tcW w:w="3021" w:type="dxa"/>
          </w:tcPr>
          <w:p w14:paraId="5E921649">
            <w:pPr>
              <w:rPr>
                <w:sz w:val="24"/>
              </w:rPr>
            </w:pPr>
          </w:p>
        </w:tc>
        <w:tc>
          <w:tcPr>
            <w:tcW w:w="3020" w:type="dxa"/>
          </w:tcPr>
          <w:p w14:paraId="53B11344">
            <w:pPr>
              <w:rPr>
                <w:sz w:val="24"/>
              </w:rPr>
            </w:pPr>
          </w:p>
        </w:tc>
      </w:tr>
      <w:tr w14:paraId="4F30B4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3021" w:type="dxa"/>
          </w:tcPr>
          <w:p w14:paraId="48FF27A5"/>
        </w:tc>
        <w:tc>
          <w:tcPr>
            <w:tcW w:w="3021" w:type="dxa"/>
          </w:tcPr>
          <w:p w14:paraId="6012C492"/>
        </w:tc>
        <w:tc>
          <w:tcPr>
            <w:tcW w:w="3020" w:type="dxa"/>
          </w:tcPr>
          <w:p w14:paraId="130E9BDD"/>
        </w:tc>
      </w:tr>
      <w:tr w14:paraId="0A09A5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3021" w:type="dxa"/>
          </w:tcPr>
          <w:p w14:paraId="2D39D30D"/>
        </w:tc>
        <w:tc>
          <w:tcPr>
            <w:tcW w:w="3021" w:type="dxa"/>
          </w:tcPr>
          <w:p w14:paraId="5033D9AB"/>
        </w:tc>
        <w:tc>
          <w:tcPr>
            <w:tcW w:w="3020" w:type="dxa"/>
          </w:tcPr>
          <w:p w14:paraId="337359C9"/>
        </w:tc>
      </w:tr>
      <w:tr w14:paraId="480F80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3021" w:type="dxa"/>
          </w:tcPr>
          <w:p w14:paraId="040713BC"/>
        </w:tc>
        <w:tc>
          <w:tcPr>
            <w:tcW w:w="3021" w:type="dxa"/>
          </w:tcPr>
          <w:p w14:paraId="239A8C9C"/>
        </w:tc>
        <w:tc>
          <w:tcPr>
            <w:tcW w:w="3020" w:type="dxa"/>
          </w:tcPr>
          <w:p w14:paraId="4112E0CE"/>
        </w:tc>
      </w:tr>
    </w:tbl>
    <w:p w14:paraId="16DF9E35">
      <w:pPr>
        <w:tabs>
          <w:tab w:val="left" w:pos="1800"/>
          <w:tab w:val="left" w:pos="5580"/>
        </w:tabs>
        <w:jc w:val="left"/>
        <w:rPr>
          <w:color w:val="000000"/>
          <w:sz w:val="24"/>
        </w:rPr>
      </w:pPr>
      <w:r>
        <w:rPr>
          <w:rFonts w:hint="eastAsia"/>
          <w:color w:val="000000"/>
          <w:sz w:val="24"/>
        </w:rPr>
        <w:t>注：1.供应商如为联合体，则应填写联合体各成员信息。</w:t>
      </w:r>
    </w:p>
    <w:p w14:paraId="0D2CA0A4">
      <w:pPr>
        <w:tabs>
          <w:tab w:val="left" w:pos="1800"/>
          <w:tab w:val="left" w:pos="5580"/>
        </w:tabs>
        <w:ind w:firstLine="480" w:firstLineChars="200"/>
        <w:jc w:val="left"/>
        <w:rPr>
          <w:color w:val="000000"/>
          <w:sz w:val="24"/>
        </w:rPr>
      </w:pPr>
      <w:r>
        <w:rPr>
          <w:rFonts w:hint="eastAsia"/>
          <w:color w:val="000000"/>
          <w:sz w:val="24"/>
        </w:rPr>
        <w:t>2.供应商所属性别请填写“男”或“女”，指拥有供应商</w:t>
      </w:r>
      <w:r>
        <w:rPr>
          <w:color w:val="000000"/>
          <w:sz w:val="24"/>
        </w:rPr>
        <w:t>51%</w:t>
      </w:r>
      <w:r>
        <w:rPr>
          <w:rFonts w:hint="eastAsia"/>
          <w:color w:val="000000"/>
          <w:sz w:val="24"/>
        </w:rPr>
        <w:t>以上绝对所有权的性别；绝对所有权拥有者可以是一个人，也可以是多人合计计算。</w:t>
      </w:r>
    </w:p>
    <w:p w14:paraId="6ABAC368">
      <w:pPr>
        <w:tabs>
          <w:tab w:val="left" w:pos="1800"/>
          <w:tab w:val="left" w:pos="5580"/>
        </w:tabs>
        <w:ind w:firstLine="480" w:firstLineChars="200"/>
        <w:jc w:val="left"/>
        <w:rPr>
          <w:color w:val="000000"/>
          <w:sz w:val="24"/>
        </w:rPr>
      </w:pPr>
      <w:r>
        <w:rPr>
          <w:rFonts w:hint="eastAsia"/>
          <w:color w:val="000000"/>
          <w:sz w:val="24"/>
        </w:rPr>
        <w:t>3.外商投资类型请填写“外商单独投资”、“外商部分投资”或“内资”。</w:t>
      </w:r>
    </w:p>
    <w:bookmarkEnd w:id="1599"/>
    <w:p w14:paraId="11CD1BEA">
      <w:pPr>
        <w:widowControl/>
        <w:jc w:val="left"/>
        <w:rPr>
          <w:rFonts w:eastAsiaTheme="minorEastAsia"/>
          <w:b/>
          <w:sz w:val="36"/>
          <w:szCs w:val="36"/>
        </w:rPr>
      </w:pPr>
      <w:r>
        <w:rPr>
          <w:rFonts w:eastAsiaTheme="minorEastAsia"/>
          <w:b/>
          <w:sz w:val="36"/>
          <w:szCs w:val="36"/>
        </w:rPr>
        <w:br w:type="page"/>
      </w:r>
    </w:p>
    <w:p w14:paraId="38F26AD0">
      <w:pPr>
        <w:tabs>
          <w:tab w:val="left" w:pos="360"/>
        </w:tabs>
        <w:snapToGrid w:val="0"/>
        <w:spacing w:line="360" w:lineRule="auto"/>
        <w:outlineLvl w:val="1"/>
        <w:rPr>
          <w:rFonts w:eastAsiaTheme="minorEastAsia"/>
          <w:sz w:val="24"/>
        </w:rPr>
      </w:pPr>
      <w:r>
        <w:rPr>
          <w:rFonts w:hint="eastAsia" w:eastAsiaTheme="minorEastAsia"/>
          <w:sz w:val="24"/>
        </w:rPr>
        <w:t>12</w:t>
      </w:r>
      <w:r>
        <w:rPr>
          <w:rFonts w:eastAsiaTheme="minorEastAsia"/>
          <w:sz w:val="24"/>
        </w:rPr>
        <w:t xml:space="preserve">  最后报价</w:t>
      </w:r>
    </w:p>
    <w:p w14:paraId="5DE109B8">
      <w:pPr>
        <w:widowControl/>
        <w:jc w:val="left"/>
        <w:rPr>
          <w:rFonts w:eastAsiaTheme="minorEastAsia"/>
          <w:kern w:val="0"/>
          <w:sz w:val="24"/>
          <w:szCs w:val="20"/>
        </w:rPr>
      </w:pPr>
    </w:p>
    <w:p w14:paraId="75CAFDE4">
      <w:pPr>
        <w:tabs>
          <w:tab w:val="left" w:pos="1800"/>
          <w:tab w:val="left" w:pos="5580"/>
        </w:tabs>
        <w:jc w:val="left"/>
        <w:rPr>
          <w:rFonts w:eastAsiaTheme="minorEastAsia"/>
          <w:b/>
          <w:bCs/>
          <w:color w:val="000000"/>
          <w:sz w:val="24"/>
        </w:rPr>
      </w:pPr>
      <w:r>
        <w:rPr>
          <w:rFonts w:hint="eastAsia" w:eastAsiaTheme="minorEastAsia"/>
          <w:b/>
          <w:bCs/>
          <w:color w:val="000000"/>
          <w:sz w:val="24"/>
        </w:rPr>
        <w:t>在电子交易平台系统中根据提示进行最终报价。</w:t>
      </w:r>
    </w:p>
    <w:p w14:paraId="60521068">
      <w:pPr>
        <w:rPr>
          <w:rFonts w:eastAsiaTheme="minorEastAsia"/>
          <w:b/>
          <w:bCs/>
          <w:color w:val="000000"/>
          <w:sz w:val="24"/>
        </w:rPr>
      </w:pPr>
      <w:r>
        <w:rPr>
          <w:rFonts w:hint="eastAsia" w:eastAsiaTheme="minorEastAsia"/>
          <w:b/>
          <w:bCs/>
          <w:color w:val="000000"/>
          <w:sz w:val="24"/>
        </w:rPr>
        <w:br w:type="page"/>
      </w:r>
    </w:p>
    <w:p w14:paraId="15D5A7BB">
      <w:pPr>
        <w:autoSpaceDE w:val="0"/>
        <w:autoSpaceDN w:val="0"/>
        <w:spacing w:line="360" w:lineRule="auto"/>
        <w:ind w:firstLine="425"/>
        <w:rPr>
          <w:rFonts w:hint="eastAsia" w:ascii="宋体" w:hAnsi="宋体" w:cs="宋体"/>
          <w:sz w:val="22"/>
          <w:szCs w:val="22"/>
        </w:rPr>
      </w:pPr>
    </w:p>
    <w:p w14:paraId="410998EE">
      <w:pPr>
        <w:autoSpaceDE w:val="0"/>
        <w:autoSpaceDN w:val="0"/>
        <w:spacing w:line="360" w:lineRule="auto"/>
        <w:ind w:firstLine="425"/>
        <w:rPr>
          <w:rFonts w:hint="eastAsia" w:ascii="宋体" w:hAnsi="宋体" w:cs="宋体"/>
          <w:sz w:val="22"/>
          <w:szCs w:val="22"/>
        </w:rPr>
      </w:pPr>
    </w:p>
    <w:p w14:paraId="453B1605">
      <w:pPr>
        <w:autoSpaceDE w:val="0"/>
        <w:autoSpaceDN w:val="0"/>
        <w:spacing w:line="360" w:lineRule="auto"/>
        <w:ind w:firstLine="425"/>
        <w:rPr>
          <w:rFonts w:hint="eastAsia" w:ascii="宋体" w:hAnsi="宋体" w:cs="宋体"/>
          <w:sz w:val="22"/>
          <w:szCs w:val="22"/>
        </w:rPr>
      </w:pPr>
    </w:p>
    <w:p w14:paraId="0523DD2F">
      <w:pPr>
        <w:autoSpaceDE w:val="0"/>
        <w:autoSpaceDN w:val="0"/>
        <w:spacing w:line="360" w:lineRule="auto"/>
        <w:ind w:firstLine="425"/>
        <w:rPr>
          <w:rFonts w:hint="eastAsia" w:ascii="宋体" w:hAnsi="宋体" w:cs="宋体"/>
          <w:sz w:val="22"/>
          <w:szCs w:val="22"/>
        </w:rPr>
      </w:pPr>
    </w:p>
    <w:p w14:paraId="28CB81FE">
      <w:pPr>
        <w:autoSpaceDE w:val="0"/>
        <w:autoSpaceDN w:val="0"/>
        <w:spacing w:line="360" w:lineRule="auto"/>
        <w:ind w:firstLine="425"/>
        <w:rPr>
          <w:rFonts w:hint="eastAsia" w:ascii="宋体" w:hAnsi="宋体" w:cs="宋体"/>
          <w:sz w:val="22"/>
          <w:szCs w:val="22"/>
        </w:rPr>
      </w:pPr>
    </w:p>
    <w:p w14:paraId="6A04D4CC">
      <w:pPr>
        <w:autoSpaceDE w:val="0"/>
        <w:autoSpaceDN w:val="0"/>
        <w:spacing w:line="360" w:lineRule="auto"/>
        <w:ind w:firstLine="425"/>
        <w:rPr>
          <w:rFonts w:hint="eastAsia" w:ascii="宋体" w:hAnsi="宋体" w:cs="宋体"/>
          <w:sz w:val="22"/>
          <w:szCs w:val="22"/>
        </w:rPr>
      </w:pPr>
    </w:p>
    <w:p w14:paraId="22A75D18">
      <w:pPr>
        <w:autoSpaceDE w:val="0"/>
        <w:autoSpaceDN w:val="0"/>
        <w:spacing w:line="360" w:lineRule="auto"/>
        <w:ind w:firstLine="425"/>
        <w:rPr>
          <w:rFonts w:hint="eastAsia" w:ascii="宋体" w:hAnsi="宋体" w:cs="宋体"/>
          <w:sz w:val="22"/>
          <w:szCs w:val="22"/>
        </w:rPr>
      </w:pPr>
    </w:p>
    <w:p w14:paraId="1075B3F4">
      <w:pPr>
        <w:autoSpaceDE w:val="0"/>
        <w:autoSpaceDN w:val="0"/>
        <w:spacing w:line="360" w:lineRule="auto"/>
        <w:ind w:firstLine="425"/>
        <w:rPr>
          <w:rFonts w:hint="eastAsia" w:ascii="宋体" w:hAnsi="宋体" w:cs="宋体"/>
          <w:sz w:val="22"/>
          <w:szCs w:val="22"/>
        </w:rPr>
      </w:pPr>
    </w:p>
    <w:p w14:paraId="79203ED8">
      <w:pPr>
        <w:autoSpaceDE w:val="0"/>
        <w:autoSpaceDN w:val="0"/>
        <w:spacing w:line="360" w:lineRule="auto"/>
        <w:ind w:firstLine="425"/>
        <w:rPr>
          <w:rFonts w:hint="eastAsia" w:ascii="宋体" w:hAnsi="宋体" w:cs="宋体"/>
          <w:sz w:val="22"/>
          <w:szCs w:val="22"/>
        </w:rPr>
      </w:pPr>
    </w:p>
    <w:p w14:paraId="7F3FC043">
      <w:pPr>
        <w:autoSpaceDE w:val="0"/>
        <w:autoSpaceDN w:val="0"/>
        <w:spacing w:line="360" w:lineRule="auto"/>
        <w:ind w:firstLine="425"/>
        <w:jc w:val="center"/>
        <w:rPr>
          <w:rFonts w:hint="eastAsia" w:ascii="宋体" w:hAnsi="宋体" w:cs="宋体"/>
          <w:b/>
          <w:bCs/>
          <w:sz w:val="44"/>
          <w:szCs w:val="44"/>
        </w:rPr>
      </w:pPr>
      <w:r>
        <w:rPr>
          <w:rFonts w:hint="eastAsia" w:ascii="宋体" w:hAnsi="宋体" w:cs="宋体"/>
          <w:b/>
          <w:bCs/>
          <w:sz w:val="44"/>
          <w:szCs w:val="44"/>
        </w:rPr>
        <w:t>以下文件为重要的参考资料，无需编制在响应文件中。</w:t>
      </w:r>
    </w:p>
    <w:p w14:paraId="7CB62AD7">
      <w:pPr>
        <w:autoSpaceDE w:val="0"/>
        <w:autoSpaceDN w:val="0"/>
        <w:spacing w:line="360" w:lineRule="auto"/>
        <w:ind w:firstLine="425"/>
        <w:rPr>
          <w:rFonts w:hint="eastAsia" w:ascii="宋体" w:hAnsi="宋体" w:cs="宋体"/>
          <w:sz w:val="22"/>
          <w:szCs w:val="22"/>
        </w:rPr>
      </w:pPr>
    </w:p>
    <w:p w14:paraId="78592315">
      <w:pPr>
        <w:autoSpaceDE w:val="0"/>
        <w:autoSpaceDN w:val="0"/>
        <w:spacing w:line="360" w:lineRule="auto"/>
        <w:ind w:firstLine="425"/>
        <w:rPr>
          <w:rFonts w:hint="eastAsia" w:ascii="宋体" w:hAnsi="宋体" w:cs="宋体"/>
          <w:sz w:val="22"/>
          <w:szCs w:val="22"/>
        </w:rPr>
      </w:pPr>
    </w:p>
    <w:p w14:paraId="2C21454B">
      <w:pPr>
        <w:autoSpaceDE w:val="0"/>
        <w:autoSpaceDN w:val="0"/>
        <w:spacing w:line="360" w:lineRule="auto"/>
        <w:ind w:firstLine="425"/>
        <w:rPr>
          <w:rFonts w:hint="eastAsia" w:ascii="宋体" w:hAnsi="宋体" w:cs="宋体"/>
          <w:sz w:val="22"/>
          <w:szCs w:val="22"/>
        </w:rPr>
      </w:pPr>
    </w:p>
    <w:p w14:paraId="4F323985">
      <w:pPr>
        <w:autoSpaceDE w:val="0"/>
        <w:autoSpaceDN w:val="0"/>
        <w:spacing w:line="360" w:lineRule="auto"/>
        <w:ind w:firstLine="425"/>
        <w:rPr>
          <w:rFonts w:hint="eastAsia" w:ascii="宋体" w:hAnsi="宋体" w:cs="宋体"/>
          <w:sz w:val="22"/>
          <w:szCs w:val="22"/>
        </w:rPr>
      </w:pPr>
    </w:p>
    <w:p w14:paraId="4C9F1BE8">
      <w:pPr>
        <w:autoSpaceDE w:val="0"/>
        <w:autoSpaceDN w:val="0"/>
        <w:spacing w:line="360" w:lineRule="auto"/>
        <w:ind w:firstLine="425"/>
        <w:rPr>
          <w:rFonts w:hint="eastAsia" w:ascii="宋体" w:hAnsi="宋体" w:cs="宋体"/>
          <w:sz w:val="22"/>
          <w:szCs w:val="22"/>
        </w:rPr>
      </w:pPr>
    </w:p>
    <w:p w14:paraId="7B7F3FEB">
      <w:pPr>
        <w:autoSpaceDE w:val="0"/>
        <w:autoSpaceDN w:val="0"/>
        <w:spacing w:line="360" w:lineRule="auto"/>
        <w:ind w:firstLine="425"/>
        <w:rPr>
          <w:rFonts w:hint="eastAsia" w:ascii="宋体" w:hAnsi="宋体" w:cs="宋体"/>
          <w:sz w:val="22"/>
          <w:szCs w:val="22"/>
        </w:rPr>
      </w:pPr>
    </w:p>
    <w:p w14:paraId="7C3AF6BB">
      <w:pPr>
        <w:autoSpaceDE w:val="0"/>
        <w:autoSpaceDN w:val="0"/>
        <w:spacing w:line="360" w:lineRule="auto"/>
        <w:ind w:firstLine="425"/>
        <w:rPr>
          <w:rFonts w:hint="eastAsia" w:ascii="宋体" w:hAnsi="宋体" w:cs="宋体"/>
          <w:sz w:val="22"/>
          <w:szCs w:val="22"/>
        </w:rPr>
      </w:pPr>
    </w:p>
    <w:p w14:paraId="0986BA71">
      <w:pPr>
        <w:autoSpaceDE w:val="0"/>
        <w:autoSpaceDN w:val="0"/>
        <w:spacing w:line="360" w:lineRule="auto"/>
        <w:ind w:firstLine="425"/>
        <w:rPr>
          <w:rFonts w:hint="eastAsia" w:ascii="宋体" w:hAnsi="宋体" w:cs="宋体"/>
          <w:sz w:val="22"/>
          <w:szCs w:val="22"/>
        </w:rPr>
      </w:pPr>
    </w:p>
    <w:p w14:paraId="0848FA9A">
      <w:pPr>
        <w:autoSpaceDE w:val="0"/>
        <w:autoSpaceDN w:val="0"/>
        <w:spacing w:line="360" w:lineRule="auto"/>
        <w:ind w:firstLine="425"/>
        <w:rPr>
          <w:rFonts w:hint="eastAsia" w:ascii="宋体" w:hAnsi="宋体" w:cs="宋体"/>
          <w:sz w:val="22"/>
          <w:szCs w:val="22"/>
        </w:rPr>
      </w:pPr>
    </w:p>
    <w:p w14:paraId="00E8EFE3">
      <w:pPr>
        <w:spacing w:after="120" w:line="360" w:lineRule="auto"/>
        <w:rPr>
          <w:rFonts w:hint="eastAsia" w:ascii="宋体" w:hAnsi="宋体" w:cs="宋体"/>
          <w:b/>
          <w:bCs/>
          <w:sz w:val="24"/>
        </w:rPr>
      </w:pPr>
    </w:p>
    <w:p w14:paraId="78D3A54E">
      <w:pPr>
        <w:spacing w:after="120" w:line="360" w:lineRule="auto"/>
        <w:rPr>
          <w:rFonts w:hint="eastAsia" w:ascii="宋体" w:hAnsi="宋体" w:cs="宋体"/>
          <w:b/>
          <w:bCs/>
          <w:sz w:val="24"/>
        </w:rPr>
      </w:pPr>
    </w:p>
    <w:p w14:paraId="43B6EEF1">
      <w:pPr>
        <w:spacing w:after="120" w:line="360" w:lineRule="auto"/>
        <w:rPr>
          <w:rFonts w:hint="eastAsia" w:ascii="宋体" w:hAnsi="宋体" w:cs="宋体"/>
          <w:b/>
          <w:bCs/>
          <w:sz w:val="24"/>
        </w:rPr>
      </w:pPr>
    </w:p>
    <w:p w14:paraId="1BB00D34">
      <w:pPr>
        <w:autoSpaceDE w:val="0"/>
        <w:autoSpaceDN w:val="0"/>
        <w:spacing w:line="360" w:lineRule="auto"/>
        <w:ind w:firstLine="425"/>
        <w:rPr>
          <w:rFonts w:hint="eastAsia" w:ascii="宋体" w:hAnsi="宋体" w:cs="宋体"/>
          <w:sz w:val="22"/>
          <w:szCs w:val="22"/>
        </w:rPr>
      </w:pPr>
    </w:p>
    <w:p w14:paraId="5A9C815A">
      <w:pPr>
        <w:spacing w:line="360" w:lineRule="auto"/>
        <w:ind w:firstLine="480"/>
        <w:rPr>
          <w:rFonts w:hint="eastAsia" w:ascii="宋体" w:hAnsi="宋体" w:cs="宋体"/>
          <w:sz w:val="24"/>
        </w:rPr>
      </w:pPr>
    </w:p>
    <w:p w14:paraId="2B0CD71B">
      <w:pPr>
        <w:rPr>
          <w:rFonts w:hint="eastAsia" w:ascii="宋体" w:hAnsi="宋体" w:cs="宋体"/>
          <w:b/>
          <w:bCs/>
          <w:szCs w:val="20"/>
        </w:rPr>
      </w:pPr>
      <w:r>
        <w:rPr>
          <w:rFonts w:hint="eastAsia" w:ascii="宋体" w:hAnsi="宋体" w:cs="宋体"/>
          <w:b/>
          <w:bCs/>
          <w:szCs w:val="20"/>
        </w:rPr>
        <w:br w:type="page"/>
      </w:r>
    </w:p>
    <w:p w14:paraId="433324EA">
      <w:pPr>
        <w:widowControl/>
        <w:autoSpaceDE w:val="0"/>
        <w:autoSpaceDN w:val="0"/>
        <w:spacing w:line="360" w:lineRule="auto"/>
        <w:outlineLvl w:val="2"/>
        <w:rPr>
          <w:rFonts w:hint="eastAsia" w:ascii="宋体" w:hAnsi="宋体" w:cs="宋体"/>
          <w:b/>
          <w:bCs/>
          <w:szCs w:val="20"/>
        </w:rPr>
      </w:pPr>
      <w:r>
        <w:rPr>
          <w:rFonts w:hint="eastAsia" w:ascii="宋体" w:hAnsi="宋体" w:cs="宋体"/>
          <w:b/>
          <w:bCs/>
          <w:szCs w:val="20"/>
        </w:rPr>
        <w:t>附件1：关于印发中小企业划型标准规定的通知</w:t>
      </w:r>
    </w:p>
    <w:p w14:paraId="44F33C14">
      <w:pPr>
        <w:spacing w:line="360" w:lineRule="auto"/>
        <w:ind w:firstLine="480"/>
        <w:jc w:val="center"/>
        <w:rPr>
          <w:rFonts w:hint="eastAsia" w:ascii="宋体" w:hAnsi="宋体" w:cs="宋体"/>
          <w:sz w:val="24"/>
        </w:rPr>
      </w:pPr>
      <w:bookmarkStart w:id="1600" w:name="_Toc31978"/>
      <w:r>
        <w:rPr>
          <w:rFonts w:hint="eastAsia" w:ascii="宋体" w:hAnsi="宋体" w:cs="宋体"/>
          <w:sz w:val="24"/>
          <w:shd w:val="clear" w:color="auto" w:fill="FFFFFF"/>
        </w:rPr>
        <w:t>工信部联企业〔2011〕300号</w:t>
      </w:r>
      <w:bookmarkEnd w:id="1600"/>
    </w:p>
    <w:p w14:paraId="1C572468">
      <w:pPr>
        <w:widowControl/>
        <w:spacing w:before="100" w:beforeAutospacing="1" w:after="100" w:afterAutospacing="1" w:line="360" w:lineRule="auto"/>
        <w:ind w:firstLine="480"/>
        <w:jc w:val="left"/>
        <w:rPr>
          <w:rFonts w:hint="eastAsia" w:ascii="宋体" w:hAnsi="宋体" w:cs="宋体"/>
          <w:b/>
          <w:bCs/>
          <w:kern w:val="0"/>
          <w:sz w:val="24"/>
          <w:shd w:val="clear" w:color="auto" w:fill="FFFFFF"/>
        </w:rPr>
      </w:pPr>
      <w:r>
        <w:rPr>
          <w:rFonts w:hint="eastAsia" w:ascii="宋体" w:hAnsi="宋体" w:cs="宋体"/>
          <w:b/>
          <w:bCs/>
          <w:kern w:val="0"/>
          <w:sz w:val="24"/>
          <w:shd w:val="clear" w:color="auto" w:fill="FFFFFF"/>
        </w:rPr>
        <w:t>各省、自治区、直辖市人民政府，国务院各部委、各直属机构及有关单位：</w:t>
      </w:r>
    </w:p>
    <w:p w14:paraId="6D9CC3AB">
      <w:pPr>
        <w:widowControl/>
        <w:spacing w:before="100" w:beforeAutospacing="1" w:after="100" w:afterAutospacing="1" w:line="360" w:lineRule="auto"/>
        <w:ind w:firstLine="480"/>
        <w:jc w:val="left"/>
        <w:rPr>
          <w:rFonts w:hint="eastAsia" w:ascii="宋体" w:hAnsi="宋体" w:cs="宋体"/>
          <w:b/>
          <w:bCs/>
          <w:kern w:val="0"/>
          <w:sz w:val="24"/>
        </w:rPr>
      </w:pPr>
      <w:r>
        <w:rPr>
          <w:rFonts w:hint="eastAsia" w:ascii="宋体" w:hAnsi="宋体" w:cs="宋体"/>
          <w:b/>
          <w:bCs/>
          <w:kern w:val="0"/>
          <w:sz w:val="24"/>
          <w:shd w:val="clear" w:color="auto" w:fill="FFFFFF"/>
        </w:rPr>
        <w:t>　　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w:t>
      </w:r>
    </w:p>
    <w:p w14:paraId="28BEE0B6">
      <w:pPr>
        <w:widowControl/>
        <w:spacing w:before="100" w:beforeAutospacing="1" w:after="100" w:afterAutospacing="1" w:line="360" w:lineRule="auto"/>
        <w:ind w:firstLine="480"/>
        <w:jc w:val="right"/>
        <w:rPr>
          <w:rFonts w:hint="eastAsia" w:ascii="宋体" w:hAnsi="宋体" w:cs="宋体"/>
          <w:b/>
          <w:bCs/>
          <w:kern w:val="0"/>
          <w:sz w:val="24"/>
          <w:shd w:val="clear" w:color="auto" w:fill="FFFFFF"/>
        </w:rPr>
      </w:pPr>
      <w:r>
        <w:rPr>
          <w:rFonts w:hint="eastAsia" w:ascii="宋体" w:hAnsi="宋体" w:cs="宋体"/>
          <w:b/>
          <w:bCs/>
          <w:kern w:val="0"/>
          <w:sz w:val="24"/>
          <w:shd w:val="clear" w:color="auto" w:fill="FFFFFF"/>
        </w:rPr>
        <w:t>工业和信息化部</w:t>
      </w:r>
    </w:p>
    <w:p w14:paraId="11A2629A">
      <w:pPr>
        <w:widowControl/>
        <w:spacing w:before="100" w:beforeAutospacing="1" w:after="100" w:afterAutospacing="1" w:line="360" w:lineRule="auto"/>
        <w:ind w:firstLine="480"/>
        <w:jc w:val="right"/>
        <w:rPr>
          <w:rFonts w:hint="eastAsia" w:ascii="宋体" w:hAnsi="宋体" w:cs="宋体"/>
          <w:b/>
          <w:bCs/>
          <w:kern w:val="0"/>
          <w:sz w:val="24"/>
          <w:shd w:val="clear" w:color="auto" w:fill="FFFFFF"/>
        </w:rPr>
      </w:pPr>
      <w:r>
        <w:rPr>
          <w:rFonts w:hint="eastAsia" w:ascii="宋体" w:hAnsi="宋体" w:cs="宋体"/>
          <w:b/>
          <w:bCs/>
          <w:kern w:val="0"/>
          <w:sz w:val="24"/>
          <w:shd w:val="clear" w:color="auto" w:fill="FFFFFF"/>
        </w:rPr>
        <w:t>国家统计局</w:t>
      </w:r>
    </w:p>
    <w:p w14:paraId="49502917">
      <w:pPr>
        <w:widowControl/>
        <w:spacing w:before="100" w:beforeAutospacing="1" w:after="100" w:afterAutospacing="1" w:line="360" w:lineRule="auto"/>
        <w:ind w:firstLine="480"/>
        <w:jc w:val="right"/>
        <w:rPr>
          <w:rFonts w:hint="eastAsia" w:ascii="宋体" w:hAnsi="宋体" w:cs="宋体"/>
          <w:b/>
          <w:bCs/>
          <w:kern w:val="0"/>
          <w:sz w:val="24"/>
          <w:shd w:val="clear" w:color="auto" w:fill="FFFFFF"/>
        </w:rPr>
      </w:pPr>
      <w:r>
        <w:rPr>
          <w:rFonts w:hint="eastAsia" w:ascii="宋体" w:hAnsi="宋体" w:cs="宋体"/>
          <w:b/>
          <w:bCs/>
          <w:kern w:val="0"/>
          <w:sz w:val="24"/>
          <w:shd w:val="clear" w:color="auto" w:fill="FFFFFF"/>
        </w:rPr>
        <w:t>国家发展和改革委员会</w:t>
      </w:r>
    </w:p>
    <w:p w14:paraId="7A020B3E">
      <w:pPr>
        <w:widowControl/>
        <w:spacing w:before="100" w:beforeAutospacing="1" w:after="100" w:afterAutospacing="1" w:line="360" w:lineRule="auto"/>
        <w:ind w:firstLine="480"/>
        <w:jc w:val="right"/>
        <w:rPr>
          <w:rFonts w:hint="eastAsia" w:ascii="宋体" w:hAnsi="宋体" w:cs="宋体"/>
          <w:b/>
          <w:bCs/>
          <w:kern w:val="0"/>
          <w:sz w:val="24"/>
          <w:shd w:val="clear" w:color="auto" w:fill="FFFFFF"/>
        </w:rPr>
      </w:pPr>
      <w:r>
        <w:rPr>
          <w:rFonts w:hint="eastAsia" w:ascii="宋体" w:hAnsi="宋体" w:cs="宋体"/>
          <w:b/>
          <w:bCs/>
          <w:kern w:val="0"/>
          <w:sz w:val="24"/>
          <w:shd w:val="clear" w:color="auto" w:fill="FFFFFF"/>
        </w:rPr>
        <w:t>财政部</w:t>
      </w:r>
    </w:p>
    <w:p w14:paraId="3036710D">
      <w:pPr>
        <w:widowControl/>
        <w:spacing w:before="100" w:beforeAutospacing="1" w:after="100" w:afterAutospacing="1" w:line="360" w:lineRule="auto"/>
        <w:ind w:firstLine="480"/>
        <w:jc w:val="right"/>
        <w:rPr>
          <w:rFonts w:hint="eastAsia" w:ascii="宋体" w:hAnsi="宋体" w:cs="宋体"/>
          <w:b/>
          <w:bCs/>
          <w:kern w:val="0"/>
          <w:sz w:val="24"/>
        </w:rPr>
      </w:pPr>
      <w:r>
        <w:rPr>
          <w:rFonts w:hint="eastAsia" w:ascii="宋体" w:hAnsi="宋体" w:cs="宋体"/>
          <w:b/>
          <w:bCs/>
          <w:kern w:val="0"/>
          <w:sz w:val="24"/>
          <w:shd w:val="clear" w:color="auto" w:fill="FFFFFF"/>
        </w:rPr>
        <w:t>二○一一年六月十八日</w:t>
      </w:r>
    </w:p>
    <w:p w14:paraId="0B13463B">
      <w:pPr>
        <w:widowControl/>
        <w:spacing w:line="360" w:lineRule="auto"/>
        <w:jc w:val="center"/>
        <w:textAlignment w:val="baseline"/>
        <w:rPr>
          <w:rFonts w:hint="eastAsia" w:ascii="宋体" w:hAnsi="宋体" w:cs="宋体"/>
          <w:kern w:val="0"/>
          <w:sz w:val="24"/>
          <w:shd w:val="clear" w:color="auto" w:fill="FFFFFF"/>
        </w:rPr>
      </w:pPr>
      <w:r>
        <w:rPr>
          <w:rFonts w:hint="eastAsia" w:ascii="宋体" w:hAnsi="宋体" w:cs="宋体"/>
          <w:sz w:val="24"/>
          <w:shd w:val="clear" w:color="auto" w:fill="FFFFFF"/>
        </w:rPr>
        <w:t>中小企业划型标准规定</w:t>
      </w:r>
    </w:p>
    <w:p w14:paraId="55CBB0A8">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一、根据《中华人民共和国中小企业促进法》和《国务院关于进一步促进中小企业发展的若干意见》(国发〔2009〕36号)，制定本规定。</w:t>
      </w:r>
    </w:p>
    <w:p w14:paraId="357A76D3">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二、中小企业划分为中型、小型、微型三种类型，具体标准根据企业从业人员、营业收入、资产总额等指标，结合行业特点制定。</w:t>
      </w:r>
    </w:p>
    <w:p w14:paraId="27285880">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5C462151">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四、各行业划型标准为：</w:t>
      </w:r>
    </w:p>
    <w:p w14:paraId="0392F60F">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（一）农、林、牧、渔业。营业收入20000万元以下的为中小微型企业。其中，营业收入500万元及以上的为中型企业，营业收入50万元及以上的为小型企业，营业收入50万元以下的为微型企业。</w:t>
      </w:r>
    </w:p>
    <w:p w14:paraId="75DFC8B2">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22278971">
      <w:pPr>
        <w:widowControl/>
        <w:spacing w:line="360" w:lineRule="auto"/>
        <w:jc w:val="left"/>
        <w:textAlignment w:val="baseline"/>
        <w:rPr>
          <w:rFonts w:hint="eastAsia" w:ascii="宋体" w:hAnsi="宋体" w:cs="宋体"/>
          <w:b/>
          <w:bCs/>
          <w:kern w:val="0"/>
          <w:sz w:val="24"/>
          <w:shd w:val="clear" w:color="auto" w:fill="FFFFFF"/>
        </w:rPr>
      </w:pPr>
      <w:r>
        <w:rPr>
          <w:rFonts w:hint="eastAsia" w:ascii="宋体" w:hAnsi="宋体" w:cs="宋体"/>
          <w:kern w:val="0"/>
          <w:sz w:val="24"/>
          <w:shd w:val="clear" w:color="auto" w:fill="FFFFFF"/>
        </w:rPr>
        <w:t>　　</w:t>
      </w:r>
      <w:r>
        <w:rPr>
          <w:rFonts w:hint="eastAsia" w:ascii="宋体" w:hAnsi="宋体" w:cs="宋体"/>
          <w:b/>
          <w:bCs/>
          <w:kern w:val="0"/>
          <w:sz w:val="24"/>
          <w:shd w:val="clear" w:color="auto" w:fill="FFFFFF"/>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66C25051">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58A77443">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68CDA00C">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36F43962">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44ED6D4C">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4497C3E2">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0F393A10">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47C2E808">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1C44A66D">
      <w:pPr>
        <w:widowControl/>
        <w:spacing w:line="360" w:lineRule="auto"/>
        <w:jc w:val="left"/>
        <w:textAlignment w:val="baseline"/>
        <w:rPr>
          <w:rFonts w:hint="eastAsia" w:ascii="宋体" w:hAnsi="宋体" w:cs="宋体"/>
          <w:b/>
          <w:bCs/>
          <w:kern w:val="0"/>
          <w:sz w:val="24"/>
          <w:shd w:val="clear" w:color="auto" w:fill="FFFFFF"/>
        </w:rPr>
      </w:pPr>
      <w:r>
        <w:rPr>
          <w:rFonts w:hint="eastAsia" w:ascii="宋体" w:hAnsi="宋体" w:cs="宋体"/>
          <w:kern w:val="0"/>
          <w:sz w:val="24"/>
          <w:shd w:val="clear" w:color="auto" w:fill="FFFFFF"/>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1C93339B">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3F7087A3">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51E61933">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5BB75133">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（十六）其他未列明行业。从业人员300人以下的为中小微型企业。其中，从业人员100人及以上的为中型企业；从业人员10人及以上的为小型企业；从业人员10人以下的为微型企业。</w:t>
      </w:r>
    </w:p>
    <w:p w14:paraId="4A88FB0D">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五、企业类型的划分以统计部门的统计数据为依据。</w:t>
      </w:r>
    </w:p>
    <w:p w14:paraId="680DC25A">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六、本规定适用于在中华人民共和国境内依法设立的各类所有制和各种组织形式的企业。个体工商户和本规定以外的行业，参照本规定进行划型。</w:t>
      </w:r>
    </w:p>
    <w:p w14:paraId="3A327AD8">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七、本规定的中型企业标准上限即为大型企业标准的下限，国家统计部门据此制定大中小微型企业的统计分类。国务院有关部门据此进行相关数据分析，不得制定与本规定不一致的企业划型标准。</w:t>
      </w:r>
    </w:p>
    <w:p w14:paraId="14B76F67">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八、本规定由工业和信息化部、国家统计局会同有关部门根据《国民经济行业分类》修订情况和企业发展变化情况适时修订。</w:t>
      </w:r>
    </w:p>
    <w:p w14:paraId="726C1A99">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九、本规定由工业和信息化部、国家统计局会同有关部门负责解释。</w:t>
      </w:r>
    </w:p>
    <w:p w14:paraId="66D484F4">
      <w:pPr>
        <w:widowControl/>
        <w:spacing w:line="360" w:lineRule="auto"/>
        <w:jc w:val="left"/>
        <w:textAlignment w:val="baseline"/>
        <w:rPr>
          <w:rFonts w:hint="eastAsia" w:ascii="宋体" w:hAnsi="宋体" w:cs="宋体"/>
          <w:kern w:val="0"/>
          <w:sz w:val="24"/>
          <w:shd w:val="clear" w:color="auto" w:fill="FFFFFF"/>
        </w:rPr>
      </w:pPr>
      <w:r>
        <w:rPr>
          <w:rFonts w:hint="eastAsia" w:ascii="宋体" w:hAnsi="宋体" w:cs="宋体"/>
          <w:kern w:val="0"/>
          <w:sz w:val="24"/>
          <w:shd w:val="clear" w:color="auto" w:fill="FFFFFF"/>
        </w:rPr>
        <w:t>　　十、本规定自发布之日起执行，原国家经贸委、原国家计委、财政部和国家统计局2003年颁布的《中小企业标准暂行规定》同时废止。</w:t>
      </w:r>
    </w:p>
    <w:p w14:paraId="7732177F">
      <w:pPr>
        <w:pStyle w:val="28"/>
        <w:ind w:firstLine="480"/>
        <w:jc w:val="right"/>
        <w:rPr>
          <w:rFonts w:hint="eastAsia" w:hAnsi="宋体"/>
          <w:sz w:val="24"/>
        </w:rPr>
      </w:pPr>
    </w:p>
    <w:p w14:paraId="6DF989B4">
      <w:pPr>
        <w:pStyle w:val="17"/>
        <w:spacing w:before="27" w:line="219" w:lineRule="auto"/>
        <w:ind w:left="603"/>
        <w:rPr>
          <w:rFonts w:hint="eastAsia"/>
          <w:spacing w:val="-2"/>
        </w:rPr>
      </w:pPr>
    </w:p>
    <w:p w14:paraId="72D05D6B">
      <w:pPr>
        <w:widowControl/>
        <w:jc w:val="left"/>
        <w:rPr>
          <w:b/>
          <w:sz w:val="36"/>
          <w:szCs w:val="36"/>
        </w:rPr>
      </w:pPr>
    </w:p>
    <w:p w14:paraId="07CD87B1">
      <w:pPr>
        <w:tabs>
          <w:tab w:val="left" w:pos="1800"/>
          <w:tab w:val="left" w:pos="5580"/>
        </w:tabs>
        <w:jc w:val="left"/>
        <w:rPr>
          <w:rFonts w:eastAsiaTheme="minorEastAsia"/>
          <w:b/>
          <w:bCs/>
          <w:color w:val="000000"/>
          <w:sz w:val="24"/>
        </w:rPr>
      </w:pPr>
    </w:p>
    <w:sectPr>
      <w:pgSz w:w="11907" w:h="16840"/>
      <w:pgMar w:top="1418" w:right="1134" w:bottom="1418" w:left="1701" w:header="851" w:footer="851" w:gutter="0"/>
      <w:pgNumType w:fmt="decimal"/>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Noto Serif SC"/>
    <w:panose1 w:val="00000000000000000000"/>
    <w:charset w:val="00"/>
    <w:family w:val="roman"/>
    <w:pitch w:val="default"/>
    <w:sig w:usb0="00000000" w:usb1="00000000" w:usb2="00000000" w:usb3="00000000" w:csb0="00040001" w:csb1="00000000"/>
  </w:font>
  <w:font w:name="Noto Serif SC">
    <w:panose1 w:val="02020200000000000000"/>
    <w:charset w:val="86"/>
    <w:family w:val="auto"/>
    <w:pitch w:val="default"/>
    <w:sig w:usb0="20000083" w:usb1="2ADF3C10" w:usb2="00000016" w:usb3="00000000" w:csb0="60060107"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微软雅黑">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方正小标宋简体">
    <w:altName w:val="方正舒体"/>
    <w:panose1 w:val="03000509000000000000"/>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KSOFBE25B2F9">
    <w:panose1 w:val="0201060103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B702DB">
    <w:pPr>
      <w:pStyle w:val="28"/>
      <w:jc w:val="center"/>
      <w:rPr>
        <w:rFonts w:asci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A677A4">
    <w:pPr>
      <w:pStyle w:val="28"/>
      <w:framePr w:wrap="around" w:vAnchor="text" w:hAnchor="margin" w:xAlign="center" w:y="1"/>
      <w:rPr>
        <w:rStyle w:val="48"/>
      </w:rPr>
    </w:pPr>
    <w:r>
      <w:fldChar w:fldCharType="begin"/>
    </w:r>
    <w:r>
      <w:rPr>
        <w:rStyle w:val="48"/>
      </w:rPr>
      <w:instrText xml:space="preserve">PAGE  </w:instrText>
    </w:r>
    <w:r>
      <w:fldChar w:fldCharType="end"/>
    </w:r>
  </w:p>
  <w:p w14:paraId="206C157C">
    <w:pPr>
      <w:pStyle w:val="2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CB353">
    <w:pPr>
      <w:pStyle w:val="28"/>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2604FF">
    <w:pPr>
      <w:pStyle w:val="28"/>
      <w:rPr>
        <w:rFonts w:ascii="Times New Roman"/>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55EF37">
                          <w:pPr>
                            <w:pStyle w:val="2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F55EF37">
                    <w:pPr>
                      <w:pStyle w:val="28"/>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D97BE">
    <w:pPr>
      <w:pStyle w:val="28"/>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F657B4">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4F657B4">
                    <w:pPr>
                      <w:pStyle w:val="2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38A29">
    <w:pPr>
      <w:spacing w:line="173" w:lineRule="auto"/>
      <w:ind w:left="4465"/>
      <w:rPr>
        <w:rFonts w:ascii="宋体" w:hAnsi="宋体" w:eastAsia="宋体" w:cs="宋体"/>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EBC12A">
                          <w:pPr>
                            <w:pStyle w:val="28"/>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06EBC12A">
                    <w:pPr>
                      <w:pStyle w:val="28"/>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47860D">
    <w:pPr>
      <w:spacing w:line="173" w:lineRule="auto"/>
      <w:rPr>
        <w:rFonts w:ascii="宋体" w:hAnsi="宋体" w:eastAsia="宋体" w:cs="宋体"/>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2B2F83">
                          <w:pPr>
                            <w:pStyle w:val="28"/>
                          </w:pPr>
                          <w:r>
                            <w:fldChar w:fldCharType="begin"/>
                          </w:r>
                          <w:r>
                            <w:instrText xml:space="preserve"> PAGE  \* MERGEFORMAT </w:instrText>
                          </w:r>
                          <w:r>
                            <w:fldChar w:fldCharType="separate"/>
                          </w:r>
                          <w:r>
                            <w:t>101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B2B2F83">
                    <w:pPr>
                      <w:pStyle w:val="28"/>
                    </w:pPr>
                    <w:r>
                      <w:fldChar w:fldCharType="begin"/>
                    </w:r>
                    <w:r>
                      <w:instrText xml:space="preserve"> PAGE  \* MERGEFORMAT </w:instrText>
                    </w:r>
                    <w:r>
                      <w:fldChar w:fldCharType="separate"/>
                    </w:r>
                    <w:r>
                      <w:t>101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157262">
    <w:pPr>
      <w:spacing w:line="173" w:lineRule="auto"/>
      <w:ind w:left="4465"/>
      <w:rPr>
        <w:rFonts w:ascii="宋体" w:hAnsi="宋体" w:eastAsia="宋体" w:cs="宋体"/>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16B210">
                          <w:pPr>
                            <w:pStyle w:val="28"/>
                          </w:pPr>
                          <w:r>
                            <w:fldChar w:fldCharType="begin"/>
                          </w:r>
                          <w:r>
                            <w:instrText xml:space="preserve"> PAGE  \* MERGEFORMAT </w:instrText>
                          </w:r>
                          <w:r>
                            <w:fldChar w:fldCharType="separate"/>
                          </w:r>
                          <w:r>
                            <w:t>102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0E16B210">
                    <w:pPr>
                      <w:pStyle w:val="28"/>
                    </w:pPr>
                    <w:r>
                      <w:fldChar w:fldCharType="begin"/>
                    </w:r>
                    <w:r>
                      <w:instrText xml:space="preserve"> PAGE  \* MERGEFORMAT </w:instrText>
                    </w:r>
                    <w:r>
                      <w:fldChar w:fldCharType="separate"/>
                    </w:r>
                    <w:r>
                      <w:t>102</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C2B73">
    <w:pPr>
      <w:spacing w:line="173" w:lineRule="auto"/>
      <w:ind w:left="4465"/>
      <w:rPr>
        <w:rFonts w:ascii="宋体" w:hAnsi="宋体" w:eastAsia="宋体" w:cs="宋体"/>
        <w:sz w:val="18"/>
        <w:szCs w:val="18"/>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C44882">
                          <w:pPr>
                            <w:pStyle w:val="28"/>
                          </w:pPr>
                          <w:r>
                            <w:fldChar w:fldCharType="begin"/>
                          </w:r>
                          <w:r>
                            <w:instrText xml:space="preserve"> PAGE  \* MERGEFORMAT </w:instrText>
                          </w:r>
                          <w:r>
                            <w:fldChar w:fldCharType="separate"/>
                          </w:r>
                          <w:r>
                            <w:t>103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48C44882">
                    <w:pPr>
                      <w:pStyle w:val="28"/>
                    </w:pPr>
                    <w:r>
                      <w:fldChar w:fldCharType="begin"/>
                    </w:r>
                    <w:r>
                      <w:instrText xml:space="preserve"> PAGE  \* MERGEFORMAT </w:instrText>
                    </w:r>
                    <w:r>
                      <w:fldChar w:fldCharType="separate"/>
                    </w:r>
                    <w:r>
                      <w:t>103</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A4146">
    <w:pPr>
      <w:spacing w:line="173" w:lineRule="auto"/>
      <w:ind w:left="4465"/>
      <w:rPr>
        <w:rFonts w:ascii="宋体" w:hAnsi="宋体" w:eastAsia="宋体" w:cs="宋体"/>
        <w:sz w:val="18"/>
        <w:szCs w:val="18"/>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B34989">
                          <w:pPr>
                            <w:pStyle w:val="28"/>
                          </w:pPr>
                          <w:r>
                            <w:fldChar w:fldCharType="begin"/>
                          </w:r>
                          <w:r>
                            <w:instrText xml:space="preserve"> PAGE  \* MERGEFORMAT </w:instrText>
                          </w:r>
                          <w:r>
                            <w:fldChar w:fldCharType="separate"/>
                          </w:r>
                          <w:r>
                            <w:t>104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5FB34989">
                    <w:pPr>
                      <w:pStyle w:val="28"/>
                    </w:pPr>
                    <w:r>
                      <w:fldChar w:fldCharType="begin"/>
                    </w:r>
                    <w:r>
                      <w:instrText xml:space="preserve"> PAGE  \* MERGEFORMAT </w:instrText>
                    </w:r>
                    <w:r>
                      <w:fldChar w:fldCharType="separate"/>
                    </w:r>
                    <w:r>
                      <w:t>104</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A01B29">
    <w:pPr>
      <w:spacing w:line="173" w:lineRule="auto"/>
      <w:ind w:left="4465"/>
      <w:rPr>
        <w:rFonts w:ascii="宋体" w:hAnsi="宋体" w:eastAsia="宋体" w:cs="宋体"/>
        <w:sz w:val="18"/>
        <w:szCs w:val="18"/>
      </w:rP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08F7D3">
                          <w:pPr>
                            <w:pStyle w:val="28"/>
                          </w:pPr>
                          <w:r>
                            <w:fldChar w:fldCharType="begin"/>
                          </w:r>
                          <w:r>
                            <w:instrText xml:space="preserve"> PAGE  \* MERGEFORMAT </w:instrText>
                          </w:r>
                          <w:r>
                            <w:fldChar w:fldCharType="separate"/>
                          </w:r>
                          <w:r>
                            <w:t>105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1708F7D3">
                    <w:pPr>
                      <w:pStyle w:val="28"/>
                    </w:pPr>
                    <w:r>
                      <w:fldChar w:fldCharType="begin"/>
                    </w:r>
                    <w:r>
                      <w:instrText xml:space="preserve"> PAGE  \* MERGEFORMAT </w:instrText>
                    </w:r>
                    <w:r>
                      <w:fldChar w:fldCharType="separate"/>
                    </w:r>
                    <w:r>
                      <w:t>105</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EC723C">
    <w:pPr>
      <w:spacing w:line="173" w:lineRule="auto"/>
      <w:ind w:left="4465"/>
      <w:rPr>
        <w:rFonts w:ascii="宋体" w:hAnsi="宋体" w:eastAsia="宋体" w:cs="宋体"/>
        <w:sz w:val="18"/>
        <w:szCs w:val="18"/>
      </w:rPr>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20110D">
                          <w:pPr>
                            <w:pStyle w:val="28"/>
                          </w:pPr>
                          <w:r>
                            <w:fldChar w:fldCharType="begin"/>
                          </w:r>
                          <w:r>
                            <w:instrText xml:space="preserve"> PAGE  \* MERGEFORMAT </w:instrText>
                          </w:r>
                          <w:r>
                            <w:fldChar w:fldCharType="separate"/>
                          </w:r>
                          <w:r>
                            <w:t>106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2A20110D">
                    <w:pPr>
                      <w:pStyle w:val="28"/>
                    </w:pPr>
                    <w:r>
                      <w:fldChar w:fldCharType="begin"/>
                    </w:r>
                    <w:r>
                      <w:instrText xml:space="preserve"> PAGE  \* MERGEFORMAT </w:instrText>
                    </w:r>
                    <w:r>
                      <w:fldChar w:fldCharType="separate"/>
                    </w:r>
                    <w:r>
                      <w:t>106</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0356D2">
    <w:pPr>
      <w:spacing w:line="173" w:lineRule="auto"/>
      <w:ind w:left="4465"/>
      <w:rPr>
        <w:rFonts w:ascii="宋体" w:hAnsi="宋体" w:eastAsia="宋体" w:cs="宋体"/>
        <w:sz w:val="18"/>
        <w:szCs w:val="18"/>
      </w:rP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867895">
                          <w:pPr>
                            <w:pStyle w:val="28"/>
                          </w:pPr>
                          <w:r>
                            <w:fldChar w:fldCharType="begin"/>
                          </w:r>
                          <w:r>
                            <w:instrText xml:space="preserve"> PAGE  \* MERGEFORMAT </w:instrText>
                          </w:r>
                          <w:r>
                            <w:fldChar w:fldCharType="separate"/>
                          </w:r>
                          <w:r>
                            <w:t>107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A867895">
                    <w:pPr>
                      <w:pStyle w:val="28"/>
                    </w:pPr>
                    <w:r>
                      <w:fldChar w:fldCharType="begin"/>
                    </w:r>
                    <w:r>
                      <w:instrText xml:space="preserve"> PAGE  \* MERGEFORMAT </w:instrText>
                    </w:r>
                    <w:r>
                      <w:fldChar w:fldCharType="separate"/>
                    </w:r>
                    <w:r>
                      <w:t>107</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4F7568">
    <w:pPr>
      <w:spacing w:line="173" w:lineRule="auto"/>
      <w:ind w:left="4465"/>
      <w:rPr>
        <w:rFonts w:hint="eastAsia" w:ascii="宋体" w:hAnsi="宋体" w:cs="宋体"/>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5F18E7">
                          <w:pPr>
                            <w:pStyle w:val="28"/>
                          </w:pPr>
                          <w:r>
                            <w:fldChar w:fldCharType="begin"/>
                          </w:r>
                          <w:r>
                            <w:instrText xml:space="preserve"> PAGE  \* MERGEFORMAT </w:instrText>
                          </w:r>
                          <w:r>
                            <w:fldChar w:fldCharType="separate"/>
                          </w:r>
                          <w:r>
                            <w:t>108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275F18E7">
                    <w:pPr>
                      <w:pStyle w:val="28"/>
                    </w:pPr>
                    <w:r>
                      <w:fldChar w:fldCharType="begin"/>
                    </w:r>
                    <w:r>
                      <w:instrText xml:space="preserve"> PAGE  \* MERGEFORMAT </w:instrText>
                    </w:r>
                    <w:r>
                      <w:fldChar w:fldCharType="separate"/>
                    </w:r>
                    <w:r>
                      <w:t>108</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F493C0">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0BFDB987">
    <w:pPr>
      <w:pStyle w:val="28"/>
      <w:ind w:right="360"/>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592B74">
    <w:pPr>
      <w:pStyle w:val="28"/>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8857ED">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4557F4A5">
    <w:pPr>
      <w:pStyle w:val="28"/>
      <w:ind w:right="360"/>
    </w:pPr>
  </w:p>
  <w:p w14:paraId="43BE58D9"/>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FD1411">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DE92DF">
    <w:pPr>
      <w:pStyle w:val="2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6F5B9">
    <w:pPr>
      <w:pStyle w:val="29"/>
      <w:jc w:val="right"/>
    </w:pPr>
    <w:r>
      <w:rPr>
        <w:rFonts w:hint="eastAsia"/>
      </w:rPr>
      <w:t xml:space="preserve">北京市政府采购项目竞争性磋商文件示范文本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AEB537">
    <w:pPr>
      <w:pStyle w:val="29"/>
      <w:pBdr>
        <w:bottom w:val="single" w:color="auto" w:sz="4" w:space="1"/>
      </w:pBdr>
      <w:jc w:val="right"/>
    </w:pPr>
    <w:r>
      <w:rPr>
        <w:rFonts w:hint="eastAsia"/>
      </w:rPr>
      <w:t>北京市政府采购项目竞争性磋商文件示范文本</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99FF87">
    <w:pPr>
      <w:pStyle w:val="17"/>
      <w:pBdr>
        <w:bottom w:val="none" w:color="auto" w:sz="0" w:space="0"/>
      </w:pBdr>
      <w:spacing w:line="46" w:lineRule="auto"/>
      <w:rPr>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68955">
    <w:pPr>
      <w:pStyle w:val="17"/>
      <w:spacing w:line="46" w:lineRule="auto"/>
      <w:rPr>
        <w:sz w:val="2"/>
      </w:rPr>
    </w:pPr>
    <w:r>
      <mc:AlternateContent>
        <mc:Choice Requires="wps">
          <w:drawing>
            <wp:anchor distT="0" distB="0" distL="114300" distR="114300" simplePos="0" relativeHeight="251664384" behindDoc="0" locked="0" layoutInCell="0" allowOverlap="1">
              <wp:simplePos x="0" y="0"/>
              <wp:positionH relativeFrom="page">
                <wp:posOffset>1080135</wp:posOffset>
              </wp:positionH>
              <wp:positionV relativeFrom="page">
                <wp:posOffset>814705</wp:posOffset>
              </wp:positionV>
              <wp:extent cx="5761355" cy="9525"/>
              <wp:effectExtent l="0" t="0" r="0" b="0"/>
              <wp:wrapNone/>
              <wp:docPr id="9" name="任意多边形 9"/>
              <wp:cNvGraphicFramePr/>
              <a:graphic xmlns:a="http://schemas.openxmlformats.org/drawingml/2006/main">
                <a:graphicData uri="http://schemas.microsoft.com/office/word/2010/wordprocessingShape">
                  <wps:wsp>
                    <wps:cNvSpPr/>
                    <wps:spPr>
                      <a:xfrm>
                        <a:off x="0" y="0"/>
                        <a:ext cx="5761355" cy="9525"/>
                      </a:xfrm>
                      <a:custGeom>
                        <a:avLst/>
                        <a:gdLst>
                          <a:gd name="A1" fmla="val 0"/>
                          <a:gd name="A2" fmla="val 0"/>
                        </a:gdLst>
                        <a:ahLst/>
                        <a:cxnLst/>
                        <a:pathLst>
                          <a:path w="9072" h="15">
                            <a:moveTo>
                              <a:pt x="0" y="0"/>
                            </a:moveTo>
                            <a:lnTo>
                              <a:pt x="9072" y="0"/>
                            </a:lnTo>
                            <a:lnTo>
                              <a:pt x="9072"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85.05pt;margin-top:64.15pt;height:0.75pt;width:453.65pt;mso-position-horizontal-relative:page;mso-position-vertical-relative:page;z-index:251664384;mso-width-relative:page;mso-height-relative:page;" fillcolor="#000000" filled="t" stroked="f" coordsize="9072,15" o:allowincell="f" o:gfxdata="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BDtD22QAAAAwBAAAPAAAAAAAAAAEAIAAAACIAAABkcnMvZG93bnJldi54bWxQSwEC&#10;FAAUAAAACACHTuJAAbydrSwCAADABAAADgAAAAAAAAABACAAAAAoAQAAZHJzL2Uyb0RvYy54bWxQ&#10;SwUGAAAAAAYABgBZAQAAxgUAAAAA&#10;" path="m0,0l9072,0,9072,14,0,14,0,0xe">
              <v:fill on="t" focussize="0,0"/>
              <v:stroke on="f"/>
              <v:imagedata o:title=""/>
              <o:lock v:ext="edit" aspectratio="f"/>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A6F49B">
    <w:pPr>
      <w:pStyle w:val="17"/>
      <w:spacing w:line="46" w:lineRule="auto"/>
      <w:rPr>
        <w:sz w:val="2"/>
      </w:rPr>
    </w:pPr>
    <w:r>
      <mc:AlternateContent>
        <mc:Choice Requires="wps">
          <w:drawing>
            <wp:anchor distT="0" distB="0" distL="114300" distR="114300" simplePos="0" relativeHeight="251665408" behindDoc="0" locked="0" layoutInCell="0" allowOverlap="1">
              <wp:simplePos x="0" y="0"/>
              <wp:positionH relativeFrom="page">
                <wp:posOffset>1080135</wp:posOffset>
              </wp:positionH>
              <wp:positionV relativeFrom="page">
                <wp:posOffset>814705</wp:posOffset>
              </wp:positionV>
              <wp:extent cx="5761355" cy="9525"/>
              <wp:effectExtent l="0" t="0" r="0" b="0"/>
              <wp:wrapNone/>
              <wp:docPr id="8" name="任意多边形 8"/>
              <wp:cNvGraphicFramePr/>
              <a:graphic xmlns:a="http://schemas.openxmlformats.org/drawingml/2006/main">
                <a:graphicData uri="http://schemas.microsoft.com/office/word/2010/wordprocessingShape">
                  <wps:wsp>
                    <wps:cNvSpPr/>
                    <wps:spPr>
                      <a:xfrm>
                        <a:off x="0" y="0"/>
                        <a:ext cx="5761355" cy="9525"/>
                      </a:xfrm>
                      <a:custGeom>
                        <a:avLst/>
                        <a:gdLst>
                          <a:gd name="A1" fmla="val 0"/>
                          <a:gd name="A2" fmla="val 0"/>
                        </a:gdLst>
                        <a:ahLst/>
                        <a:cxnLst/>
                        <a:pathLst>
                          <a:path w="9072" h="15">
                            <a:moveTo>
                              <a:pt x="0" y="0"/>
                            </a:moveTo>
                            <a:lnTo>
                              <a:pt x="9072" y="0"/>
                            </a:lnTo>
                            <a:lnTo>
                              <a:pt x="9072"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85.05pt;margin-top:64.15pt;height:0.75pt;width:453.65pt;mso-position-horizontal-relative:page;mso-position-vertical-relative:page;z-index:251665408;mso-width-relative:page;mso-height-relative:page;" fillcolor="#000000" filled="t" stroked="f" coordsize="9072,15" o:allowincell="f" o:gfxdata="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BDtD22QAAAAwBAAAPAAAAAAAAAAEAIAAAACIAAABkcnMvZG93bnJldi54bWxQSwEC&#10;FAAUAAAACACHTuJAQrwSWSwCAADABAAADgAAAAAAAAABACAAAAAoAQAAZHJzL2Uyb0RvYy54bWxQ&#10;SwUGAAAAAAYABgBZAQAAxgUAAAAA&#10;" path="m0,0l9072,0,9072,14,0,14,0,0xe">
              <v:fill on="t" focussize="0,0"/>
              <v:stroke on="f"/>
              <v:imagedata o:title=""/>
              <o:lock v:ext="edit" aspectratio="f"/>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48881">
    <w:pPr>
      <w:pStyle w:val="17"/>
      <w:spacing w:line="46" w:lineRule="auto"/>
      <w:rPr>
        <w:sz w:val="2"/>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746FB">
    <w:pPr>
      <w:pStyle w:val="17"/>
      <w:spacing w:line="46" w:lineRule="auto"/>
      <w:rPr>
        <w:sz w:val="2"/>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7C0FD5">
    <w:pPr>
      <w:pStyle w:val="17"/>
      <w:spacing w:line="46" w:lineRule="auto"/>
      <w:rPr>
        <w:sz w:val="2"/>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191D5E">
    <w:pPr>
      <w:pStyle w:val="17"/>
      <w:spacing w:line="46" w:lineRule="auto"/>
      <w:rPr>
        <w:rFonts w:hint="eastAsia"/>
        <w:sz w:val="2"/>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CF7BD5">
    <w:pPr>
      <w:pStyle w:val="29"/>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2EF640">
    <w:pPr>
      <w:pStyle w:val="29"/>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67A5C">
    <w:pPr>
      <w:pStyle w:val="29"/>
    </w:pPr>
  </w:p>
  <w:p w14:paraId="5EEBA423"/>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9F7EC4">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A"/>
    <w:multiLevelType w:val="multilevel"/>
    <w:tmpl w:val="0000000A"/>
    <w:lvl w:ilvl="0" w:tentative="0">
      <w:start w:val="1"/>
      <w:numFmt w:val="decimal"/>
      <w:pStyle w:val="88"/>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63"/>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33"/>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82"/>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1"/>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8"/>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7"/>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6"/>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9"/>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2"/>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0"/>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000002F"/>
    <w:multiLevelType w:val="multilevel"/>
    <w:tmpl w:val="0000002F"/>
    <w:lvl w:ilvl="0" w:tentative="0">
      <w:start w:val="1"/>
      <w:numFmt w:val="decimal"/>
      <w:pStyle w:val="87"/>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E230849"/>
    <w:multiLevelType w:val="multilevel"/>
    <w:tmpl w:val="0E230849"/>
    <w:lvl w:ilvl="0" w:tentative="0">
      <w:start w:val="1"/>
      <w:numFmt w:val="decimal"/>
      <w:pStyle w:val="191"/>
      <w:lvlText w:val="%1"/>
      <w:lvlJc w:val="left"/>
      <w:pPr>
        <w:ind w:left="680" w:hanging="680"/>
      </w:pPr>
      <w:rPr>
        <w:rFonts w:hint="eastAsia" w:ascii="宋体" w:hAnsi="宋体" w:eastAsia="宋体"/>
      </w:rPr>
    </w:lvl>
    <w:lvl w:ilvl="1" w:tentative="0">
      <w:start w:val="1"/>
      <w:numFmt w:val="decimal"/>
      <w:pStyle w:val="192"/>
      <w:lvlText w:val="%1.%2"/>
      <w:lvlJc w:val="left"/>
      <w:pPr>
        <w:ind w:left="851" w:hanging="851"/>
      </w:pPr>
      <w:rPr>
        <w:rFonts w:hint="eastAsia" w:ascii="宋体" w:hAnsi="宋体" w:eastAsia="宋体"/>
        <w:color w:val="auto"/>
      </w:rPr>
    </w:lvl>
    <w:lvl w:ilvl="2" w:tentative="0">
      <w:start w:val="1"/>
      <w:numFmt w:val="decimal"/>
      <w:pStyle w:val="193"/>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9">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b w:val="0"/>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0">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8"/>
  </w:num>
  <w:num w:numId="8">
    <w:abstractNumId w:val="6"/>
  </w:num>
  <w:num w:numId="9">
    <w:abstractNumId w:val="0"/>
  </w:num>
  <w:num w:numId="10">
    <w:abstractNumId w:val="9"/>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0CF"/>
    <w:rsid w:val="000015BE"/>
    <w:rsid w:val="00001711"/>
    <w:rsid w:val="000017F6"/>
    <w:rsid w:val="00001895"/>
    <w:rsid w:val="00001948"/>
    <w:rsid w:val="00001F9C"/>
    <w:rsid w:val="000020BD"/>
    <w:rsid w:val="0000218D"/>
    <w:rsid w:val="00002358"/>
    <w:rsid w:val="0000240B"/>
    <w:rsid w:val="000026F7"/>
    <w:rsid w:val="0000279B"/>
    <w:rsid w:val="000027EB"/>
    <w:rsid w:val="00002944"/>
    <w:rsid w:val="00002D16"/>
    <w:rsid w:val="00002F3D"/>
    <w:rsid w:val="00002FE1"/>
    <w:rsid w:val="000031CE"/>
    <w:rsid w:val="00003279"/>
    <w:rsid w:val="00003711"/>
    <w:rsid w:val="00003804"/>
    <w:rsid w:val="000039FD"/>
    <w:rsid w:val="00003A41"/>
    <w:rsid w:val="00003D6A"/>
    <w:rsid w:val="00003E5F"/>
    <w:rsid w:val="00003EA2"/>
    <w:rsid w:val="00004254"/>
    <w:rsid w:val="0000429B"/>
    <w:rsid w:val="00004380"/>
    <w:rsid w:val="000044A2"/>
    <w:rsid w:val="000046C6"/>
    <w:rsid w:val="0000474F"/>
    <w:rsid w:val="00004A22"/>
    <w:rsid w:val="00004C44"/>
    <w:rsid w:val="00004D13"/>
    <w:rsid w:val="00004E70"/>
    <w:rsid w:val="0000508D"/>
    <w:rsid w:val="000051DC"/>
    <w:rsid w:val="00005232"/>
    <w:rsid w:val="000053B4"/>
    <w:rsid w:val="00005407"/>
    <w:rsid w:val="00005905"/>
    <w:rsid w:val="00005A31"/>
    <w:rsid w:val="00005AF1"/>
    <w:rsid w:val="00005DF0"/>
    <w:rsid w:val="00005EC8"/>
    <w:rsid w:val="000060A7"/>
    <w:rsid w:val="000064B2"/>
    <w:rsid w:val="00006923"/>
    <w:rsid w:val="00006BD5"/>
    <w:rsid w:val="00006CD1"/>
    <w:rsid w:val="00006CD3"/>
    <w:rsid w:val="000073B1"/>
    <w:rsid w:val="000073E8"/>
    <w:rsid w:val="0000781A"/>
    <w:rsid w:val="00007A5A"/>
    <w:rsid w:val="00007DA4"/>
    <w:rsid w:val="00007F7A"/>
    <w:rsid w:val="00010010"/>
    <w:rsid w:val="000100A2"/>
    <w:rsid w:val="000100B6"/>
    <w:rsid w:val="000104BA"/>
    <w:rsid w:val="000106FC"/>
    <w:rsid w:val="00010763"/>
    <w:rsid w:val="00010962"/>
    <w:rsid w:val="00010DB9"/>
    <w:rsid w:val="00010E8F"/>
    <w:rsid w:val="0001121F"/>
    <w:rsid w:val="0001127B"/>
    <w:rsid w:val="000112A5"/>
    <w:rsid w:val="00011565"/>
    <w:rsid w:val="00011793"/>
    <w:rsid w:val="000118AD"/>
    <w:rsid w:val="00011AFF"/>
    <w:rsid w:val="00011BD5"/>
    <w:rsid w:val="00011DA9"/>
    <w:rsid w:val="0001212D"/>
    <w:rsid w:val="0001235C"/>
    <w:rsid w:val="00012486"/>
    <w:rsid w:val="000124BE"/>
    <w:rsid w:val="000125B2"/>
    <w:rsid w:val="000125FF"/>
    <w:rsid w:val="00012A66"/>
    <w:rsid w:val="00012BE6"/>
    <w:rsid w:val="00012C45"/>
    <w:rsid w:val="00012EBE"/>
    <w:rsid w:val="00013121"/>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8B"/>
    <w:rsid w:val="000151D7"/>
    <w:rsid w:val="00015316"/>
    <w:rsid w:val="000154B9"/>
    <w:rsid w:val="00015645"/>
    <w:rsid w:val="000156A3"/>
    <w:rsid w:val="0001576D"/>
    <w:rsid w:val="000157C2"/>
    <w:rsid w:val="00015C1D"/>
    <w:rsid w:val="00015D20"/>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C6"/>
    <w:rsid w:val="00021AEB"/>
    <w:rsid w:val="00021C9E"/>
    <w:rsid w:val="00021F1F"/>
    <w:rsid w:val="00021F66"/>
    <w:rsid w:val="0002210E"/>
    <w:rsid w:val="0002216A"/>
    <w:rsid w:val="0002217C"/>
    <w:rsid w:val="0002226B"/>
    <w:rsid w:val="000222D0"/>
    <w:rsid w:val="00022354"/>
    <w:rsid w:val="000223C3"/>
    <w:rsid w:val="00022526"/>
    <w:rsid w:val="00022562"/>
    <w:rsid w:val="000227DC"/>
    <w:rsid w:val="000227F5"/>
    <w:rsid w:val="00022BE1"/>
    <w:rsid w:val="00022C7A"/>
    <w:rsid w:val="00022D53"/>
    <w:rsid w:val="00022F7D"/>
    <w:rsid w:val="0002328F"/>
    <w:rsid w:val="00023458"/>
    <w:rsid w:val="000234AD"/>
    <w:rsid w:val="00023CAF"/>
    <w:rsid w:val="00023D59"/>
    <w:rsid w:val="000241D9"/>
    <w:rsid w:val="00024343"/>
    <w:rsid w:val="00024427"/>
    <w:rsid w:val="00024446"/>
    <w:rsid w:val="0002455F"/>
    <w:rsid w:val="000246FD"/>
    <w:rsid w:val="000249B1"/>
    <w:rsid w:val="000249FA"/>
    <w:rsid w:val="00024B4F"/>
    <w:rsid w:val="00024BB5"/>
    <w:rsid w:val="00024D50"/>
    <w:rsid w:val="00024D59"/>
    <w:rsid w:val="00024FD8"/>
    <w:rsid w:val="00025050"/>
    <w:rsid w:val="00025279"/>
    <w:rsid w:val="00025543"/>
    <w:rsid w:val="00025545"/>
    <w:rsid w:val="0002559A"/>
    <w:rsid w:val="00025BF3"/>
    <w:rsid w:val="00025DA9"/>
    <w:rsid w:val="00026353"/>
    <w:rsid w:val="000265E5"/>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373"/>
    <w:rsid w:val="000304E9"/>
    <w:rsid w:val="00030640"/>
    <w:rsid w:val="0003072E"/>
    <w:rsid w:val="000307A8"/>
    <w:rsid w:val="00030887"/>
    <w:rsid w:val="00030993"/>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AFA"/>
    <w:rsid w:val="00032B14"/>
    <w:rsid w:val="00032C55"/>
    <w:rsid w:val="00032E71"/>
    <w:rsid w:val="00033034"/>
    <w:rsid w:val="00033192"/>
    <w:rsid w:val="00033263"/>
    <w:rsid w:val="00033483"/>
    <w:rsid w:val="00033665"/>
    <w:rsid w:val="000337D2"/>
    <w:rsid w:val="00033A69"/>
    <w:rsid w:val="0003416B"/>
    <w:rsid w:val="00034376"/>
    <w:rsid w:val="000343B7"/>
    <w:rsid w:val="000343F4"/>
    <w:rsid w:val="00034473"/>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DE"/>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0D67"/>
    <w:rsid w:val="00041026"/>
    <w:rsid w:val="00041129"/>
    <w:rsid w:val="00041142"/>
    <w:rsid w:val="00041243"/>
    <w:rsid w:val="0004148E"/>
    <w:rsid w:val="000415CF"/>
    <w:rsid w:val="00041993"/>
    <w:rsid w:val="00041A0A"/>
    <w:rsid w:val="00041BE6"/>
    <w:rsid w:val="00041C8A"/>
    <w:rsid w:val="00041D94"/>
    <w:rsid w:val="00041DA9"/>
    <w:rsid w:val="000422C8"/>
    <w:rsid w:val="00042453"/>
    <w:rsid w:val="000424A2"/>
    <w:rsid w:val="00042558"/>
    <w:rsid w:val="000426DE"/>
    <w:rsid w:val="0004276D"/>
    <w:rsid w:val="0004277A"/>
    <w:rsid w:val="00042934"/>
    <w:rsid w:val="00042A9F"/>
    <w:rsid w:val="00042AC7"/>
    <w:rsid w:val="00042BAD"/>
    <w:rsid w:val="00042C3E"/>
    <w:rsid w:val="00042FD2"/>
    <w:rsid w:val="0004311D"/>
    <w:rsid w:val="000431B4"/>
    <w:rsid w:val="0004336D"/>
    <w:rsid w:val="00043A61"/>
    <w:rsid w:val="00043B1C"/>
    <w:rsid w:val="00043C68"/>
    <w:rsid w:val="00043D59"/>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88D"/>
    <w:rsid w:val="0004597F"/>
    <w:rsid w:val="00045A76"/>
    <w:rsid w:val="00045BF7"/>
    <w:rsid w:val="00046001"/>
    <w:rsid w:val="000460A7"/>
    <w:rsid w:val="0004611A"/>
    <w:rsid w:val="000461DC"/>
    <w:rsid w:val="00046238"/>
    <w:rsid w:val="00046309"/>
    <w:rsid w:val="0004639F"/>
    <w:rsid w:val="00046737"/>
    <w:rsid w:val="0004680B"/>
    <w:rsid w:val="00046872"/>
    <w:rsid w:val="00046939"/>
    <w:rsid w:val="00046963"/>
    <w:rsid w:val="00046C5C"/>
    <w:rsid w:val="000470D5"/>
    <w:rsid w:val="00047207"/>
    <w:rsid w:val="00047479"/>
    <w:rsid w:val="000476F9"/>
    <w:rsid w:val="00047889"/>
    <w:rsid w:val="00047961"/>
    <w:rsid w:val="00047AB3"/>
    <w:rsid w:val="00047ADA"/>
    <w:rsid w:val="00047BBA"/>
    <w:rsid w:val="00047E61"/>
    <w:rsid w:val="000500A2"/>
    <w:rsid w:val="000502FD"/>
    <w:rsid w:val="00050351"/>
    <w:rsid w:val="00050606"/>
    <w:rsid w:val="00050747"/>
    <w:rsid w:val="00050899"/>
    <w:rsid w:val="000508C4"/>
    <w:rsid w:val="00050A3F"/>
    <w:rsid w:val="00050AEA"/>
    <w:rsid w:val="00050C78"/>
    <w:rsid w:val="000514DF"/>
    <w:rsid w:val="0005161F"/>
    <w:rsid w:val="00051756"/>
    <w:rsid w:val="000517DD"/>
    <w:rsid w:val="0005182E"/>
    <w:rsid w:val="0005191F"/>
    <w:rsid w:val="0005192B"/>
    <w:rsid w:val="00051C52"/>
    <w:rsid w:val="00052978"/>
    <w:rsid w:val="00052D2A"/>
    <w:rsid w:val="00052FD2"/>
    <w:rsid w:val="0005308E"/>
    <w:rsid w:val="00053251"/>
    <w:rsid w:val="000535E6"/>
    <w:rsid w:val="00053890"/>
    <w:rsid w:val="000539CC"/>
    <w:rsid w:val="00053AC5"/>
    <w:rsid w:val="00053B80"/>
    <w:rsid w:val="00054265"/>
    <w:rsid w:val="0005434F"/>
    <w:rsid w:val="000548B1"/>
    <w:rsid w:val="00054A1D"/>
    <w:rsid w:val="00054B62"/>
    <w:rsid w:val="00054CED"/>
    <w:rsid w:val="00054E53"/>
    <w:rsid w:val="00054E66"/>
    <w:rsid w:val="00054E6E"/>
    <w:rsid w:val="00055046"/>
    <w:rsid w:val="00055165"/>
    <w:rsid w:val="00055298"/>
    <w:rsid w:val="000553C0"/>
    <w:rsid w:val="00055594"/>
    <w:rsid w:val="000555BE"/>
    <w:rsid w:val="00055637"/>
    <w:rsid w:val="0005569F"/>
    <w:rsid w:val="00055B14"/>
    <w:rsid w:val="00055DD7"/>
    <w:rsid w:val="00055F08"/>
    <w:rsid w:val="00055F19"/>
    <w:rsid w:val="00056003"/>
    <w:rsid w:val="000560E2"/>
    <w:rsid w:val="0005626D"/>
    <w:rsid w:val="000562AB"/>
    <w:rsid w:val="00056476"/>
    <w:rsid w:val="00056502"/>
    <w:rsid w:val="0005682F"/>
    <w:rsid w:val="000568DE"/>
    <w:rsid w:val="00056B27"/>
    <w:rsid w:val="00056E70"/>
    <w:rsid w:val="0005707E"/>
    <w:rsid w:val="000570D7"/>
    <w:rsid w:val="0005717B"/>
    <w:rsid w:val="000571B5"/>
    <w:rsid w:val="00057274"/>
    <w:rsid w:val="0005763B"/>
    <w:rsid w:val="00057B08"/>
    <w:rsid w:val="000600AF"/>
    <w:rsid w:val="000600DF"/>
    <w:rsid w:val="00060210"/>
    <w:rsid w:val="000602E6"/>
    <w:rsid w:val="00060333"/>
    <w:rsid w:val="00060350"/>
    <w:rsid w:val="000605F1"/>
    <w:rsid w:val="00060615"/>
    <w:rsid w:val="00060784"/>
    <w:rsid w:val="00060C6B"/>
    <w:rsid w:val="00060D4C"/>
    <w:rsid w:val="00060D82"/>
    <w:rsid w:val="00060E85"/>
    <w:rsid w:val="00060FB3"/>
    <w:rsid w:val="00061003"/>
    <w:rsid w:val="0006108C"/>
    <w:rsid w:val="000613DE"/>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37"/>
    <w:rsid w:val="000634A5"/>
    <w:rsid w:val="00063741"/>
    <w:rsid w:val="00063AB9"/>
    <w:rsid w:val="00063C49"/>
    <w:rsid w:val="000640A5"/>
    <w:rsid w:val="00064564"/>
    <w:rsid w:val="000645FE"/>
    <w:rsid w:val="000649EC"/>
    <w:rsid w:val="00064E78"/>
    <w:rsid w:val="00065020"/>
    <w:rsid w:val="00065240"/>
    <w:rsid w:val="00065259"/>
    <w:rsid w:val="0006564E"/>
    <w:rsid w:val="000659A7"/>
    <w:rsid w:val="00065B6B"/>
    <w:rsid w:val="00065C44"/>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02"/>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4D7"/>
    <w:rsid w:val="000725F4"/>
    <w:rsid w:val="00072698"/>
    <w:rsid w:val="000726DA"/>
    <w:rsid w:val="00072873"/>
    <w:rsid w:val="00072967"/>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670"/>
    <w:rsid w:val="00074764"/>
    <w:rsid w:val="00074780"/>
    <w:rsid w:val="00074786"/>
    <w:rsid w:val="00074C28"/>
    <w:rsid w:val="00074D7A"/>
    <w:rsid w:val="00074E0A"/>
    <w:rsid w:val="00074FC7"/>
    <w:rsid w:val="000752FF"/>
    <w:rsid w:val="000756AC"/>
    <w:rsid w:val="00075879"/>
    <w:rsid w:val="00075941"/>
    <w:rsid w:val="00075AFF"/>
    <w:rsid w:val="00075BC6"/>
    <w:rsid w:val="00075C77"/>
    <w:rsid w:val="00076259"/>
    <w:rsid w:val="000762D0"/>
    <w:rsid w:val="0007662D"/>
    <w:rsid w:val="000768C5"/>
    <w:rsid w:val="00076D3D"/>
    <w:rsid w:val="00076E3C"/>
    <w:rsid w:val="00076E8A"/>
    <w:rsid w:val="00076EFF"/>
    <w:rsid w:val="00076F9C"/>
    <w:rsid w:val="00076FDA"/>
    <w:rsid w:val="00077079"/>
    <w:rsid w:val="000770B3"/>
    <w:rsid w:val="00077705"/>
    <w:rsid w:val="000778B7"/>
    <w:rsid w:val="00077A02"/>
    <w:rsid w:val="00077C79"/>
    <w:rsid w:val="00077D3D"/>
    <w:rsid w:val="00077FE5"/>
    <w:rsid w:val="0008018B"/>
    <w:rsid w:val="000801CC"/>
    <w:rsid w:val="00080289"/>
    <w:rsid w:val="00080443"/>
    <w:rsid w:val="000805BC"/>
    <w:rsid w:val="00080608"/>
    <w:rsid w:val="00080982"/>
    <w:rsid w:val="000809DF"/>
    <w:rsid w:val="00080C51"/>
    <w:rsid w:val="00080E38"/>
    <w:rsid w:val="00080F0F"/>
    <w:rsid w:val="00081030"/>
    <w:rsid w:val="00081713"/>
    <w:rsid w:val="000817A1"/>
    <w:rsid w:val="00081948"/>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6D"/>
    <w:rsid w:val="000851B1"/>
    <w:rsid w:val="00085227"/>
    <w:rsid w:val="000852B5"/>
    <w:rsid w:val="00085AF9"/>
    <w:rsid w:val="00085B15"/>
    <w:rsid w:val="00085C48"/>
    <w:rsid w:val="00085D2A"/>
    <w:rsid w:val="00085D4B"/>
    <w:rsid w:val="00085D71"/>
    <w:rsid w:val="00085F6D"/>
    <w:rsid w:val="0008601C"/>
    <w:rsid w:val="00086020"/>
    <w:rsid w:val="000861B9"/>
    <w:rsid w:val="000861C0"/>
    <w:rsid w:val="0008620D"/>
    <w:rsid w:val="0008626C"/>
    <w:rsid w:val="00086927"/>
    <w:rsid w:val="00086998"/>
    <w:rsid w:val="00086C03"/>
    <w:rsid w:val="00086EFE"/>
    <w:rsid w:val="00087001"/>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B6D"/>
    <w:rsid w:val="00093DF7"/>
    <w:rsid w:val="00093EE8"/>
    <w:rsid w:val="00093F6E"/>
    <w:rsid w:val="0009426B"/>
    <w:rsid w:val="000944DB"/>
    <w:rsid w:val="000945AA"/>
    <w:rsid w:val="00094A82"/>
    <w:rsid w:val="00094BE8"/>
    <w:rsid w:val="00094C51"/>
    <w:rsid w:val="00094C99"/>
    <w:rsid w:val="00094CC8"/>
    <w:rsid w:val="00094CE8"/>
    <w:rsid w:val="000950F5"/>
    <w:rsid w:val="00095312"/>
    <w:rsid w:val="00095435"/>
    <w:rsid w:val="0009559F"/>
    <w:rsid w:val="000956AB"/>
    <w:rsid w:val="00095B18"/>
    <w:rsid w:val="00095B23"/>
    <w:rsid w:val="00095BE5"/>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B5"/>
    <w:rsid w:val="000975C7"/>
    <w:rsid w:val="000976D2"/>
    <w:rsid w:val="000979E2"/>
    <w:rsid w:val="00097DD0"/>
    <w:rsid w:val="00097FB5"/>
    <w:rsid w:val="000A0203"/>
    <w:rsid w:val="000A022B"/>
    <w:rsid w:val="000A08FB"/>
    <w:rsid w:val="000A0C74"/>
    <w:rsid w:val="000A0CC1"/>
    <w:rsid w:val="000A0CE8"/>
    <w:rsid w:val="000A0D6C"/>
    <w:rsid w:val="000A0F92"/>
    <w:rsid w:val="000A1016"/>
    <w:rsid w:val="000A1125"/>
    <w:rsid w:val="000A1172"/>
    <w:rsid w:val="000A1189"/>
    <w:rsid w:val="000A127C"/>
    <w:rsid w:val="000A13AE"/>
    <w:rsid w:val="000A1480"/>
    <w:rsid w:val="000A173F"/>
    <w:rsid w:val="000A1897"/>
    <w:rsid w:val="000A1902"/>
    <w:rsid w:val="000A1A1F"/>
    <w:rsid w:val="000A1A94"/>
    <w:rsid w:val="000A1C46"/>
    <w:rsid w:val="000A1EC2"/>
    <w:rsid w:val="000A1F58"/>
    <w:rsid w:val="000A2051"/>
    <w:rsid w:val="000A2497"/>
    <w:rsid w:val="000A2766"/>
    <w:rsid w:val="000A2DA2"/>
    <w:rsid w:val="000A2DAE"/>
    <w:rsid w:val="000A2E01"/>
    <w:rsid w:val="000A311C"/>
    <w:rsid w:val="000A32EB"/>
    <w:rsid w:val="000A34BA"/>
    <w:rsid w:val="000A34F3"/>
    <w:rsid w:val="000A38B4"/>
    <w:rsid w:val="000A3D00"/>
    <w:rsid w:val="000A3FFB"/>
    <w:rsid w:val="000A414A"/>
    <w:rsid w:val="000A41F4"/>
    <w:rsid w:val="000A4578"/>
    <w:rsid w:val="000A48C7"/>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27"/>
    <w:rsid w:val="000A6F72"/>
    <w:rsid w:val="000A6F99"/>
    <w:rsid w:val="000A6FE6"/>
    <w:rsid w:val="000A721F"/>
    <w:rsid w:val="000A72B1"/>
    <w:rsid w:val="000A77E9"/>
    <w:rsid w:val="000A79A7"/>
    <w:rsid w:val="000A7ACC"/>
    <w:rsid w:val="000A7D7F"/>
    <w:rsid w:val="000B0123"/>
    <w:rsid w:val="000B0141"/>
    <w:rsid w:val="000B0529"/>
    <w:rsid w:val="000B07B3"/>
    <w:rsid w:val="000B086E"/>
    <w:rsid w:val="000B09B0"/>
    <w:rsid w:val="000B09FF"/>
    <w:rsid w:val="000B0BBF"/>
    <w:rsid w:val="000B0C83"/>
    <w:rsid w:val="000B0D2B"/>
    <w:rsid w:val="000B0E8D"/>
    <w:rsid w:val="000B0F08"/>
    <w:rsid w:val="000B0FDB"/>
    <w:rsid w:val="000B1128"/>
    <w:rsid w:val="000B1135"/>
    <w:rsid w:val="000B1156"/>
    <w:rsid w:val="000B136A"/>
    <w:rsid w:val="000B1513"/>
    <w:rsid w:val="000B15B4"/>
    <w:rsid w:val="000B1772"/>
    <w:rsid w:val="000B17DD"/>
    <w:rsid w:val="000B1A73"/>
    <w:rsid w:val="000B1B49"/>
    <w:rsid w:val="000B1CAA"/>
    <w:rsid w:val="000B2097"/>
    <w:rsid w:val="000B21DC"/>
    <w:rsid w:val="000B224F"/>
    <w:rsid w:val="000B2473"/>
    <w:rsid w:val="000B2535"/>
    <w:rsid w:val="000B2E06"/>
    <w:rsid w:val="000B2E78"/>
    <w:rsid w:val="000B2F43"/>
    <w:rsid w:val="000B330A"/>
    <w:rsid w:val="000B3874"/>
    <w:rsid w:val="000B394D"/>
    <w:rsid w:val="000B3B3B"/>
    <w:rsid w:val="000B3FFC"/>
    <w:rsid w:val="000B3FFE"/>
    <w:rsid w:val="000B43F5"/>
    <w:rsid w:val="000B43FB"/>
    <w:rsid w:val="000B4569"/>
    <w:rsid w:val="000B45D7"/>
    <w:rsid w:val="000B4721"/>
    <w:rsid w:val="000B4993"/>
    <w:rsid w:val="000B4A43"/>
    <w:rsid w:val="000B4C17"/>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D0"/>
    <w:rsid w:val="000C003D"/>
    <w:rsid w:val="000C074E"/>
    <w:rsid w:val="000C0D9E"/>
    <w:rsid w:val="000C1275"/>
    <w:rsid w:val="000C15B8"/>
    <w:rsid w:val="000C1698"/>
    <w:rsid w:val="000C1890"/>
    <w:rsid w:val="000C196B"/>
    <w:rsid w:val="000C1AB9"/>
    <w:rsid w:val="000C1B49"/>
    <w:rsid w:val="000C1E46"/>
    <w:rsid w:val="000C1F62"/>
    <w:rsid w:val="000C206A"/>
    <w:rsid w:val="000C2090"/>
    <w:rsid w:val="000C2095"/>
    <w:rsid w:val="000C210C"/>
    <w:rsid w:val="000C219A"/>
    <w:rsid w:val="000C24A8"/>
    <w:rsid w:val="000C2612"/>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953"/>
    <w:rsid w:val="000C5ED7"/>
    <w:rsid w:val="000C5F12"/>
    <w:rsid w:val="000C5FA7"/>
    <w:rsid w:val="000C6043"/>
    <w:rsid w:val="000C6211"/>
    <w:rsid w:val="000C6255"/>
    <w:rsid w:val="000C627A"/>
    <w:rsid w:val="000C655D"/>
    <w:rsid w:val="000C692E"/>
    <w:rsid w:val="000C69D5"/>
    <w:rsid w:val="000C6D78"/>
    <w:rsid w:val="000C6EBF"/>
    <w:rsid w:val="000C6F06"/>
    <w:rsid w:val="000C70D6"/>
    <w:rsid w:val="000C7581"/>
    <w:rsid w:val="000C76DD"/>
    <w:rsid w:val="000C7E46"/>
    <w:rsid w:val="000C7EAD"/>
    <w:rsid w:val="000D02EB"/>
    <w:rsid w:val="000D0723"/>
    <w:rsid w:val="000D074B"/>
    <w:rsid w:val="000D07F4"/>
    <w:rsid w:val="000D0953"/>
    <w:rsid w:val="000D0D09"/>
    <w:rsid w:val="000D0E8B"/>
    <w:rsid w:val="000D0F36"/>
    <w:rsid w:val="000D0F46"/>
    <w:rsid w:val="000D10B3"/>
    <w:rsid w:val="000D11FA"/>
    <w:rsid w:val="000D144A"/>
    <w:rsid w:val="000D16DF"/>
    <w:rsid w:val="000D1A8A"/>
    <w:rsid w:val="000D1AC6"/>
    <w:rsid w:val="000D1B3E"/>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2EA"/>
    <w:rsid w:val="000D3324"/>
    <w:rsid w:val="000D3332"/>
    <w:rsid w:val="000D335B"/>
    <w:rsid w:val="000D3397"/>
    <w:rsid w:val="000D33BE"/>
    <w:rsid w:val="000D38C3"/>
    <w:rsid w:val="000D398B"/>
    <w:rsid w:val="000D3C54"/>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1C0"/>
    <w:rsid w:val="000D524E"/>
    <w:rsid w:val="000D54BA"/>
    <w:rsid w:val="000D5B64"/>
    <w:rsid w:val="000D5C3A"/>
    <w:rsid w:val="000D6209"/>
    <w:rsid w:val="000D643C"/>
    <w:rsid w:val="000D64DD"/>
    <w:rsid w:val="000D6AEB"/>
    <w:rsid w:val="000D6C0B"/>
    <w:rsid w:val="000D6C2E"/>
    <w:rsid w:val="000D6F6E"/>
    <w:rsid w:val="000D7460"/>
    <w:rsid w:val="000D7971"/>
    <w:rsid w:val="000D79DB"/>
    <w:rsid w:val="000D7D7F"/>
    <w:rsid w:val="000D7D9A"/>
    <w:rsid w:val="000D7E52"/>
    <w:rsid w:val="000D7EEC"/>
    <w:rsid w:val="000E00B1"/>
    <w:rsid w:val="000E0249"/>
    <w:rsid w:val="000E0865"/>
    <w:rsid w:val="000E0994"/>
    <w:rsid w:val="000E09FF"/>
    <w:rsid w:val="000E103A"/>
    <w:rsid w:val="000E10BC"/>
    <w:rsid w:val="000E11BF"/>
    <w:rsid w:val="000E1232"/>
    <w:rsid w:val="000E1253"/>
    <w:rsid w:val="000E12D6"/>
    <w:rsid w:val="000E1859"/>
    <w:rsid w:val="000E1C30"/>
    <w:rsid w:val="000E1CCF"/>
    <w:rsid w:val="000E1F55"/>
    <w:rsid w:val="000E208B"/>
    <w:rsid w:val="000E2595"/>
    <w:rsid w:val="000E2961"/>
    <w:rsid w:val="000E2A71"/>
    <w:rsid w:val="000E2C27"/>
    <w:rsid w:val="000E2D24"/>
    <w:rsid w:val="000E2F58"/>
    <w:rsid w:val="000E2F7A"/>
    <w:rsid w:val="000E321B"/>
    <w:rsid w:val="000E3359"/>
    <w:rsid w:val="000E371C"/>
    <w:rsid w:val="000E37B4"/>
    <w:rsid w:val="000E3A1B"/>
    <w:rsid w:val="000E3C86"/>
    <w:rsid w:val="000E3D59"/>
    <w:rsid w:val="000E3DAC"/>
    <w:rsid w:val="000E401D"/>
    <w:rsid w:val="000E41A7"/>
    <w:rsid w:val="000E4215"/>
    <w:rsid w:val="000E439E"/>
    <w:rsid w:val="000E4476"/>
    <w:rsid w:val="000E4703"/>
    <w:rsid w:val="000E478F"/>
    <w:rsid w:val="000E48E2"/>
    <w:rsid w:val="000E48F7"/>
    <w:rsid w:val="000E4CBB"/>
    <w:rsid w:val="000E4DCA"/>
    <w:rsid w:val="000E5132"/>
    <w:rsid w:val="000E53E9"/>
    <w:rsid w:val="000E5525"/>
    <w:rsid w:val="000E554E"/>
    <w:rsid w:val="000E575F"/>
    <w:rsid w:val="000E57D3"/>
    <w:rsid w:val="000E60DC"/>
    <w:rsid w:val="000E62CE"/>
    <w:rsid w:val="000E62D4"/>
    <w:rsid w:val="000E62F5"/>
    <w:rsid w:val="000E6382"/>
    <w:rsid w:val="000E6393"/>
    <w:rsid w:val="000E678B"/>
    <w:rsid w:val="000E6A44"/>
    <w:rsid w:val="000E6EA3"/>
    <w:rsid w:val="000E7152"/>
    <w:rsid w:val="000E7231"/>
    <w:rsid w:val="000E7316"/>
    <w:rsid w:val="000E74CA"/>
    <w:rsid w:val="000E77B6"/>
    <w:rsid w:val="000E7838"/>
    <w:rsid w:val="000E7901"/>
    <w:rsid w:val="000E7910"/>
    <w:rsid w:val="000E795C"/>
    <w:rsid w:val="000E7A0C"/>
    <w:rsid w:val="000E7AF9"/>
    <w:rsid w:val="000E7C99"/>
    <w:rsid w:val="000E7EFD"/>
    <w:rsid w:val="000F0028"/>
    <w:rsid w:val="000F01E6"/>
    <w:rsid w:val="000F0397"/>
    <w:rsid w:val="000F0873"/>
    <w:rsid w:val="000F0979"/>
    <w:rsid w:val="000F0B3B"/>
    <w:rsid w:val="000F0C34"/>
    <w:rsid w:val="000F0C76"/>
    <w:rsid w:val="000F0D7A"/>
    <w:rsid w:val="000F0E42"/>
    <w:rsid w:val="000F17AF"/>
    <w:rsid w:val="000F181A"/>
    <w:rsid w:val="000F2136"/>
    <w:rsid w:val="000F229F"/>
    <w:rsid w:val="000F2348"/>
    <w:rsid w:val="000F2381"/>
    <w:rsid w:val="000F240D"/>
    <w:rsid w:val="000F255C"/>
    <w:rsid w:val="000F2592"/>
    <w:rsid w:val="000F37A3"/>
    <w:rsid w:val="000F3843"/>
    <w:rsid w:val="000F385E"/>
    <w:rsid w:val="000F3C91"/>
    <w:rsid w:val="000F3D72"/>
    <w:rsid w:val="000F42A6"/>
    <w:rsid w:val="000F4378"/>
    <w:rsid w:val="000F43EF"/>
    <w:rsid w:val="000F44ED"/>
    <w:rsid w:val="000F470E"/>
    <w:rsid w:val="000F4813"/>
    <w:rsid w:val="000F4DBC"/>
    <w:rsid w:val="000F4F02"/>
    <w:rsid w:val="000F4F39"/>
    <w:rsid w:val="000F4FC2"/>
    <w:rsid w:val="000F4FF0"/>
    <w:rsid w:val="000F50E7"/>
    <w:rsid w:val="000F512F"/>
    <w:rsid w:val="000F5225"/>
    <w:rsid w:val="000F53A0"/>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6DDD"/>
    <w:rsid w:val="000F72E1"/>
    <w:rsid w:val="000F72FF"/>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A6E"/>
    <w:rsid w:val="00100CF1"/>
    <w:rsid w:val="00100EF3"/>
    <w:rsid w:val="00100FA0"/>
    <w:rsid w:val="001011B1"/>
    <w:rsid w:val="00101254"/>
    <w:rsid w:val="0010166A"/>
    <w:rsid w:val="00101C2D"/>
    <w:rsid w:val="00101CD7"/>
    <w:rsid w:val="00101E70"/>
    <w:rsid w:val="0010209B"/>
    <w:rsid w:val="00102313"/>
    <w:rsid w:val="0010234F"/>
    <w:rsid w:val="00102653"/>
    <w:rsid w:val="0010270C"/>
    <w:rsid w:val="00102833"/>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786"/>
    <w:rsid w:val="00104823"/>
    <w:rsid w:val="001048BF"/>
    <w:rsid w:val="001049C9"/>
    <w:rsid w:val="00104AC6"/>
    <w:rsid w:val="00104C7F"/>
    <w:rsid w:val="00104E4C"/>
    <w:rsid w:val="00104EA1"/>
    <w:rsid w:val="001051DA"/>
    <w:rsid w:val="00105422"/>
    <w:rsid w:val="00105502"/>
    <w:rsid w:val="00106284"/>
    <w:rsid w:val="0010635B"/>
    <w:rsid w:val="00106636"/>
    <w:rsid w:val="00106A5A"/>
    <w:rsid w:val="00106D64"/>
    <w:rsid w:val="00106E02"/>
    <w:rsid w:val="00107187"/>
    <w:rsid w:val="001073A4"/>
    <w:rsid w:val="0010780D"/>
    <w:rsid w:val="0010782F"/>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C8D"/>
    <w:rsid w:val="00110D04"/>
    <w:rsid w:val="00110F91"/>
    <w:rsid w:val="0011139D"/>
    <w:rsid w:val="0011174B"/>
    <w:rsid w:val="0011199A"/>
    <w:rsid w:val="00111AB0"/>
    <w:rsid w:val="00111B72"/>
    <w:rsid w:val="00111BB5"/>
    <w:rsid w:val="00111C2B"/>
    <w:rsid w:val="00111D5C"/>
    <w:rsid w:val="00111DD5"/>
    <w:rsid w:val="0011204B"/>
    <w:rsid w:val="00112212"/>
    <w:rsid w:val="001125D6"/>
    <w:rsid w:val="0011261B"/>
    <w:rsid w:val="00112659"/>
    <w:rsid w:val="0011279B"/>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AEF"/>
    <w:rsid w:val="00113C06"/>
    <w:rsid w:val="001140D4"/>
    <w:rsid w:val="001141CF"/>
    <w:rsid w:val="00114447"/>
    <w:rsid w:val="001146A0"/>
    <w:rsid w:val="0011490F"/>
    <w:rsid w:val="00114978"/>
    <w:rsid w:val="00114A55"/>
    <w:rsid w:val="00114A83"/>
    <w:rsid w:val="00114D97"/>
    <w:rsid w:val="00114FDE"/>
    <w:rsid w:val="001151F2"/>
    <w:rsid w:val="00115203"/>
    <w:rsid w:val="00115763"/>
    <w:rsid w:val="00115942"/>
    <w:rsid w:val="00115943"/>
    <w:rsid w:val="00115979"/>
    <w:rsid w:val="00115A3B"/>
    <w:rsid w:val="00115A7A"/>
    <w:rsid w:val="00115BEF"/>
    <w:rsid w:val="00115CAE"/>
    <w:rsid w:val="001160B0"/>
    <w:rsid w:val="001160FB"/>
    <w:rsid w:val="0011665B"/>
    <w:rsid w:val="001166E1"/>
    <w:rsid w:val="001167AC"/>
    <w:rsid w:val="00116B52"/>
    <w:rsid w:val="00116B99"/>
    <w:rsid w:val="00116C62"/>
    <w:rsid w:val="00116CF7"/>
    <w:rsid w:val="00116D7F"/>
    <w:rsid w:val="00116EC4"/>
    <w:rsid w:val="00117108"/>
    <w:rsid w:val="00117175"/>
    <w:rsid w:val="00117253"/>
    <w:rsid w:val="00117358"/>
    <w:rsid w:val="001174DD"/>
    <w:rsid w:val="00117562"/>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75A"/>
    <w:rsid w:val="001218AD"/>
    <w:rsid w:val="00121CCD"/>
    <w:rsid w:val="00121D83"/>
    <w:rsid w:val="00121E01"/>
    <w:rsid w:val="00122567"/>
    <w:rsid w:val="001226E3"/>
    <w:rsid w:val="0012282D"/>
    <w:rsid w:val="001229F8"/>
    <w:rsid w:val="00122A53"/>
    <w:rsid w:val="00122A5B"/>
    <w:rsid w:val="00122DB8"/>
    <w:rsid w:val="00122E2E"/>
    <w:rsid w:val="00122EC6"/>
    <w:rsid w:val="00122EF1"/>
    <w:rsid w:val="00122F50"/>
    <w:rsid w:val="0012309F"/>
    <w:rsid w:val="001233F3"/>
    <w:rsid w:val="0012341B"/>
    <w:rsid w:val="00123451"/>
    <w:rsid w:val="0012354D"/>
    <w:rsid w:val="0012358D"/>
    <w:rsid w:val="0012386D"/>
    <w:rsid w:val="00123C6B"/>
    <w:rsid w:val="00123C87"/>
    <w:rsid w:val="00123CD1"/>
    <w:rsid w:val="00123E00"/>
    <w:rsid w:val="00123FDC"/>
    <w:rsid w:val="00124151"/>
    <w:rsid w:val="001241ED"/>
    <w:rsid w:val="00124210"/>
    <w:rsid w:val="00124248"/>
    <w:rsid w:val="00124732"/>
    <w:rsid w:val="001248A3"/>
    <w:rsid w:val="001248FD"/>
    <w:rsid w:val="00124C8B"/>
    <w:rsid w:val="00124D00"/>
    <w:rsid w:val="00124E36"/>
    <w:rsid w:val="00124EAB"/>
    <w:rsid w:val="001251E2"/>
    <w:rsid w:val="00125286"/>
    <w:rsid w:val="00125301"/>
    <w:rsid w:val="0012535E"/>
    <w:rsid w:val="00125402"/>
    <w:rsid w:val="0012550F"/>
    <w:rsid w:val="00125659"/>
    <w:rsid w:val="00125686"/>
    <w:rsid w:val="001257EB"/>
    <w:rsid w:val="0012582F"/>
    <w:rsid w:val="00125B2E"/>
    <w:rsid w:val="00125CCA"/>
    <w:rsid w:val="00126237"/>
    <w:rsid w:val="00126824"/>
    <w:rsid w:val="001268BB"/>
    <w:rsid w:val="00126915"/>
    <w:rsid w:val="00126958"/>
    <w:rsid w:val="001269B8"/>
    <w:rsid w:val="00126B14"/>
    <w:rsid w:val="00126BFE"/>
    <w:rsid w:val="00126D60"/>
    <w:rsid w:val="001271FC"/>
    <w:rsid w:val="001273F8"/>
    <w:rsid w:val="0012745B"/>
    <w:rsid w:val="001274A9"/>
    <w:rsid w:val="0012756F"/>
    <w:rsid w:val="001275B2"/>
    <w:rsid w:val="001277CA"/>
    <w:rsid w:val="001278ED"/>
    <w:rsid w:val="00127B9E"/>
    <w:rsid w:val="00127CA5"/>
    <w:rsid w:val="00127D7F"/>
    <w:rsid w:val="00127EBF"/>
    <w:rsid w:val="00127FC5"/>
    <w:rsid w:val="00130315"/>
    <w:rsid w:val="0013043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2024"/>
    <w:rsid w:val="00132696"/>
    <w:rsid w:val="001328EB"/>
    <w:rsid w:val="00132E43"/>
    <w:rsid w:val="00132F01"/>
    <w:rsid w:val="00133060"/>
    <w:rsid w:val="0013309E"/>
    <w:rsid w:val="00133182"/>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B4E"/>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8D1"/>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1FEF"/>
    <w:rsid w:val="00142005"/>
    <w:rsid w:val="001421FC"/>
    <w:rsid w:val="001423BC"/>
    <w:rsid w:val="0014257F"/>
    <w:rsid w:val="001426BC"/>
    <w:rsid w:val="00142714"/>
    <w:rsid w:val="00142776"/>
    <w:rsid w:val="00142876"/>
    <w:rsid w:val="00142EA5"/>
    <w:rsid w:val="00142F2B"/>
    <w:rsid w:val="00143045"/>
    <w:rsid w:val="001436B9"/>
    <w:rsid w:val="001436C2"/>
    <w:rsid w:val="001436DC"/>
    <w:rsid w:val="00143844"/>
    <w:rsid w:val="00143A06"/>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05"/>
    <w:rsid w:val="0014676D"/>
    <w:rsid w:val="00146782"/>
    <w:rsid w:val="00146993"/>
    <w:rsid w:val="00146B14"/>
    <w:rsid w:val="00146C9F"/>
    <w:rsid w:val="00146CFB"/>
    <w:rsid w:val="00146F6C"/>
    <w:rsid w:val="00146FDE"/>
    <w:rsid w:val="00147261"/>
    <w:rsid w:val="00147382"/>
    <w:rsid w:val="001473A6"/>
    <w:rsid w:val="001473C3"/>
    <w:rsid w:val="00147723"/>
    <w:rsid w:val="00147A05"/>
    <w:rsid w:val="00147E46"/>
    <w:rsid w:val="00147FCF"/>
    <w:rsid w:val="00147FEA"/>
    <w:rsid w:val="001501D5"/>
    <w:rsid w:val="00150506"/>
    <w:rsid w:val="00150747"/>
    <w:rsid w:val="001507E8"/>
    <w:rsid w:val="001508A9"/>
    <w:rsid w:val="001509F7"/>
    <w:rsid w:val="00150A8E"/>
    <w:rsid w:val="00150B20"/>
    <w:rsid w:val="00150B66"/>
    <w:rsid w:val="00150CBA"/>
    <w:rsid w:val="00150F62"/>
    <w:rsid w:val="00151323"/>
    <w:rsid w:val="0015147A"/>
    <w:rsid w:val="001514AF"/>
    <w:rsid w:val="0015152B"/>
    <w:rsid w:val="001516F0"/>
    <w:rsid w:val="00151747"/>
    <w:rsid w:val="001518CA"/>
    <w:rsid w:val="00151993"/>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EA"/>
    <w:rsid w:val="001547F6"/>
    <w:rsid w:val="00154E2A"/>
    <w:rsid w:val="00154E60"/>
    <w:rsid w:val="00155202"/>
    <w:rsid w:val="0015538F"/>
    <w:rsid w:val="00155434"/>
    <w:rsid w:val="00155526"/>
    <w:rsid w:val="00155982"/>
    <w:rsid w:val="001559A8"/>
    <w:rsid w:val="001560E5"/>
    <w:rsid w:val="001564FC"/>
    <w:rsid w:val="00156D28"/>
    <w:rsid w:val="00156D64"/>
    <w:rsid w:val="00156EF9"/>
    <w:rsid w:val="001570D9"/>
    <w:rsid w:val="00157375"/>
    <w:rsid w:val="00157500"/>
    <w:rsid w:val="00157721"/>
    <w:rsid w:val="00157952"/>
    <w:rsid w:val="00157A47"/>
    <w:rsid w:val="001602B3"/>
    <w:rsid w:val="0016040C"/>
    <w:rsid w:val="0016050D"/>
    <w:rsid w:val="0016079C"/>
    <w:rsid w:val="0016086E"/>
    <w:rsid w:val="001609D0"/>
    <w:rsid w:val="00160A0C"/>
    <w:rsid w:val="00160C89"/>
    <w:rsid w:val="0016104C"/>
    <w:rsid w:val="0016143E"/>
    <w:rsid w:val="00161555"/>
    <w:rsid w:val="00161574"/>
    <w:rsid w:val="001615D5"/>
    <w:rsid w:val="001618DB"/>
    <w:rsid w:val="00161966"/>
    <w:rsid w:val="00161A84"/>
    <w:rsid w:val="00161AF3"/>
    <w:rsid w:val="001620A0"/>
    <w:rsid w:val="001620E1"/>
    <w:rsid w:val="0016216F"/>
    <w:rsid w:val="0016223A"/>
    <w:rsid w:val="001623B5"/>
    <w:rsid w:val="001624B5"/>
    <w:rsid w:val="001627F3"/>
    <w:rsid w:val="001629D3"/>
    <w:rsid w:val="00162A50"/>
    <w:rsid w:val="00162D12"/>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0B0"/>
    <w:rsid w:val="001655BB"/>
    <w:rsid w:val="001657CC"/>
    <w:rsid w:val="00165B61"/>
    <w:rsid w:val="00165F07"/>
    <w:rsid w:val="0016613B"/>
    <w:rsid w:val="001662E6"/>
    <w:rsid w:val="001664DB"/>
    <w:rsid w:val="0016655E"/>
    <w:rsid w:val="00166A93"/>
    <w:rsid w:val="00166C93"/>
    <w:rsid w:val="00166E60"/>
    <w:rsid w:val="00166EBE"/>
    <w:rsid w:val="00166F3F"/>
    <w:rsid w:val="001670EA"/>
    <w:rsid w:val="001674A5"/>
    <w:rsid w:val="0016784B"/>
    <w:rsid w:val="001679B2"/>
    <w:rsid w:val="00167A55"/>
    <w:rsid w:val="00167AB6"/>
    <w:rsid w:val="00167EBA"/>
    <w:rsid w:val="00167FB2"/>
    <w:rsid w:val="00167FD9"/>
    <w:rsid w:val="001700A5"/>
    <w:rsid w:val="001703B4"/>
    <w:rsid w:val="001705E4"/>
    <w:rsid w:val="00170D89"/>
    <w:rsid w:val="00170FF3"/>
    <w:rsid w:val="0017116A"/>
    <w:rsid w:val="001711DB"/>
    <w:rsid w:val="001712A1"/>
    <w:rsid w:val="001712C4"/>
    <w:rsid w:val="00171325"/>
    <w:rsid w:val="00171451"/>
    <w:rsid w:val="00171482"/>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B73"/>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149"/>
    <w:rsid w:val="0017622F"/>
    <w:rsid w:val="0017623A"/>
    <w:rsid w:val="00176250"/>
    <w:rsid w:val="00176399"/>
    <w:rsid w:val="00176768"/>
    <w:rsid w:val="00176794"/>
    <w:rsid w:val="001767E0"/>
    <w:rsid w:val="0017690B"/>
    <w:rsid w:val="001769DC"/>
    <w:rsid w:val="00176DE2"/>
    <w:rsid w:val="00176E48"/>
    <w:rsid w:val="001770BF"/>
    <w:rsid w:val="001770D4"/>
    <w:rsid w:val="0017712C"/>
    <w:rsid w:val="00177148"/>
    <w:rsid w:val="0017727A"/>
    <w:rsid w:val="001772BB"/>
    <w:rsid w:val="00177385"/>
    <w:rsid w:val="001776C7"/>
    <w:rsid w:val="00177707"/>
    <w:rsid w:val="00177873"/>
    <w:rsid w:val="00177B45"/>
    <w:rsid w:val="00177F9F"/>
    <w:rsid w:val="00180172"/>
    <w:rsid w:val="001801F4"/>
    <w:rsid w:val="001802CA"/>
    <w:rsid w:val="00180664"/>
    <w:rsid w:val="00180775"/>
    <w:rsid w:val="00180829"/>
    <w:rsid w:val="0018083E"/>
    <w:rsid w:val="0018085E"/>
    <w:rsid w:val="00180954"/>
    <w:rsid w:val="00180975"/>
    <w:rsid w:val="001809C7"/>
    <w:rsid w:val="00180D52"/>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2DE9"/>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6ED"/>
    <w:rsid w:val="001849ED"/>
    <w:rsid w:val="00184B0F"/>
    <w:rsid w:val="00184BC3"/>
    <w:rsid w:val="00184DC3"/>
    <w:rsid w:val="00184F04"/>
    <w:rsid w:val="00184FA0"/>
    <w:rsid w:val="00185367"/>
    <w:rsid w:val="0018542F"/>
    <w:rsid w:val="0018557B"/>
    <w:rsid w:val="00185A00"/>
    <w:rsid w:val="00185BBA"/>
    <w:rsid w:val="0018614B"/>
    <w:rsid w:val="001862B1"/>
    <w:rsid w:val="001862ED"/>
    <w:rsid w:val="00186763"/>
    <w:rsid w:val="0018676E"/>
    <w:rsid w:val="0018693D"/>
    <w:rsid w:val="00186AEB"/>
    <w:rsid w:val="00186BD5"/>
    <w:rsid w:val="00186C6E"/>
    <w:rsid w:val="00186CE3"/>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935"/>
    <w:rsid w:val="00191ABB"/>
    <w:rsid w:val="00191D08"/>
    <w:rsid w:val="00191F11"/>
    <w:rsid w:val="00191FD1"/>
    <w:rsid w:val="00192450"/>
    <w:rsid w:val="001924F5"/>
    <w:rsid w:val="001928B8"/>
    <w:rsid w:val="00192A48"/>
    <w:rsid w:val="00192ADE"/>
    <w:rsid w:val="00192D14"/>
    <w:rsid w:val="00192E9C"/>
    <w:rsid w:val="0019302C"/>
    <w:rsid w:val="001930E3"/>
    <w:rsid w:val="00193106"/>
    <w:rsid w:val="00193A98"/>
    <w:rsid w:val="00193BEE"/>
    <w:rsid w:val="00193C95"/>
    <w:rsid w:val="00193D98"/>
    <w:rsid w:val="00193E32"/>
    <w:rsid w:val="00194050"/>
    <w:rsid w:val="00194200"/>
    <w:rsid w:val="00194427"/>
    <w:rsid w:val="001944C6"/>
    <w:rsid w:val="001948CB"/>
    <w:rsid w:val="00194C53"/>
    <w:rsid w:val="00194D42"/>
    <w:rsid w:val="00194D65"/>
    <w:rsid w:val="001950C6"/>
    <w:rsid w:val="0019525E"/>
    <w:rsid w:val="00195427"/>
    <w:rsid w:val="001954DF"/>
    <w:rsid w:val="00195515"/>
    <w:rsid w:val="0019580B"/>
    <w:rsid w:val="001958C9"/>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B7A"/>
    <w:rsid w:val="001A0FE8"/>
    <w:rsid w:val="001A106A"/>
    <w:rsid w:val="001A1224"/>
    <w:rsid w:val="001A13A8"/>
    <w:rsid w:val="001A1606"/>
    <w:rsid w:val="001A168B"/>
    <w:rsid w:val="001A1914"/>
    <w:rsid w:val="001A19C5"/>
    <w:rsid w:val="001A1ABE"/>
    <w:rsid w:val="001A1B50"/>
    <w:rsid w:val="001A1B54"/>
    <w:rsid w:val="001A1B78"/>
    <w:rsid w:val="001A1BA3"/>
    <w:rsid w:val="001A1CEC"/>
    <w:rsid w:val="001A1F0B"/>
    <w:rsid w:val="001A1F70"/>
    <w:rsid w:val="001A229A"/>
    <w:rsid w:val="001A2347"/>
    <w:rsid w:val="001A2415"/>
    <w:rsid w:val="001A25C9"/>
    <w:rsid w:val="001A27B9"/>
    <w:rsid w:val="001A27E8"/>
    <w:rsid w:val="001A287C"/>
    <w:rsid w:val="001A29C1"/>
    <w:rsid w:val="001A2AFE"/>
    <w:rsid w:val="001A3094"/>
    <w:rsid w:val="001A35AC"/>
    <w:rsid w:val="001A390C"/>
    <w:rsid w:val="001A3985"/>
    <w:rsid w:val="001A399C"/>
    <w:rsid w:val="001A3B4D"/>
    <w:rsid w:val="001A3B68"/>
    <w:rsid w:val="001A3CCC"/>
    <w:rsid w:val="001A4045"/>
    <w:rsid w:val="001A40CF"/>
    <w:rsid w:val="001A4877"/>
    <w:rsid w:val="001A4A0B"/>
    <w:rsid w:val="001A4EBF"/>
    <w:rsid w:val="001A52A6"/>
    <w:rsid w:val="001A5496"/>
    <w:rsid w:val="001A5595"/>
    <w:rsid w:val="001A55F7"/>
    <w:rsid w:val="001A570C"/>
    <w:rsid w:val="001A57B9"/>
    <w:rsid w:val="001A5FC1"/>
    <w:rsid w:val="001A5FF0"/>
    <w:rsid w:val="001A62AF"/>
    <w:rsid w:val="001A63B1"/>
    <w:rsid w:val="001A658A"/>
    <w:rsid w:val="001A6701"/>
    <w:rsid w:val="001A6762"/>
    <w:rsid w:val="001A6862"/>
    <w:rsid w:val="001A68CC"/>
    <w:rsid w:val="001A6996"/>
    <w:rsid w:val="001A6BD3"/>
    <w:rsid w:val="001A6D7F"/>
    <w:rsid w:val="001A6F08"/>
    <w:rsid w:val="001A7040"/>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B40"/>
    <w:rsid w:val="001B0D86"/>
    <w:rsid w:val="001B0F08"/>
    <w:rsid w:val="001B0FC5"/>
    <w:rsid w:val="001B106C"/>
    <w:rsid w:val="001B1142"/>
    <w:rsid w:val="001B11B3"/>
    <w:rsid w:val="001B11C4"/>
    <w:rsid w:val="001B1C0B"/>
    <w:rsid w:val="001B1D06"/>
    <w:rsid w:val="001B1F85"/>
    <w:rsid w:val="001B2015"/>
    <w:rsid w:val="001B2049"/>
    <w:rsid w:val="001B2067"/>
    <w:rsid w:val="001B2322"/>
    <w:rsid w:val="001B28F9"/>
    <w:rsid w:val="001B2A06"/>
    <w:rsid w:val="001B2D3E"/>
    <w:rsid w:val="001B2EB9"/>
    <w:rsid w:val="001B2FD0"/>
    <w:rsid w:val="001B302C"/>
    <w:rsid w:val="001B30FE"/>
    <w:rsid w:val="001B3159"/>
    <w:rsid w:val="001B3793"/>
    <w:rsid w:val="001B38ED"/>
    <w:rsid w:val="001B39CE"/>
    <w:rsid w:val="001B39DF"/>
    <w:rsid w:val="001B3A5C"/>
    <w:rsid w:val="001B3B2F"/>
    <w:rsid w:val="001B3B98"/>
    <w:rsid w:val="001B3BBA"/>
    <w:rsid w:val="001B3EF9"/>
    <w:rsid w:val="001B40F1"/>
    <w:rsid w:val="001B43B1"/>
    <w:rsid w:val="001B4499"/>
    <w:rsid w:val="001B47AF"/>
    <w:rsid w:val="001B49F0"/>
    <w:rsid w:val="001B4D9F"/>
    <w:rsid w:val="001B504D"/>
    <w:rsid w:val="001B5307"/>
    <w:rsid w:val="001B5397"/>
    <w:rsid w:val="001B53EE"/>
    <w:rsid w:val="001B56F4"/>
    <w:rsid w:val="001B5918"/>
    <w:rsid w:val="001B5BA3"/>
    <w:rsid w:val="001B5CD4"/>
    <w:rsid w:val="001B64C1"/>
    <w:rsid w:val="001B6C13"/>
    <w:rsid w:val="001B6F07"/>
    <w:rsid w:val="001B7015"/>
    <w:rsid w:val="001B702C"/>
    <w:rsid w:val="001B732E"/>
    <w:rsid w:val="001B73F3"/>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17"/>
    <w:rsid w:val="001C1AE9"/>
    <w:rsid w:val="001C1B8B"/>
    <w:rsid w:val="001C1E53"/>
    <w:rsid w:val="001C2123"/>
    <w:rsid w:val="001C2145"/>
    <w:rsid w:val="001C255E"/>
    <w:rsid w:val="001C2695"/>
    <w:rsid w:val="001C29BE"/>
    <w:rsid w:val="001C2DCD"/>
    <w:rsid w:val="001C2E41"/>
    <w:rsid w:val="001C2ED2"/>
    <w:rsid w:val="001C2F65"/>
    <w:rsid w:val="001C326E"/>
    <w:rsid w:val="001C33D5"/>
    <w:rsid w:val="001C34AE"/>
    <w:rsid w:val="001C34EC"/>
    <w:rsid w:val="001C3701"/>
    <w:rsid w:val="001C38DF"/>
    <w:rsid w:val="001C3982"/>
    <w:rsid w:val="001C3EBD"/>
    <w:rsid w:val="001C41EB"/>
    <w:rsid w:val="001C4429"/>
    <w:rsid w:val="001C47A0"/>
    <w:rsid w:val="001C47E6"/>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8B9"/>
    <w:rsid w:val="001C7909"/>
    <w:rsid w:val="001C7A23"/>
    <w:rsid w:val="001C7A82"/>
    <w:rsid w:val="001C7AE7"/>
    <w:rsid w:val="001C7C91"/>
    <w:rsid w:val="001C7E5E"/>
    <w:rsid w:val="001C7F13"/>
    <w:rsid w:val="001D021A"/>
    <w:rsid w:val="001D03AD"/>
    <w:rsid w:val="001D046C"/>
    <w:rsid w:val="001D0528"/>
    <w:rsid w:val="001D057E"/>
    <w:rsid w:val="001D0778"/>
    <w:rsid w:val="001D07CF"/>
    <w:rsid w:val="001D0985"/>
    <w:rsid w:val="001D0BEB"/>
    <w:rsid w:val="001D0C91"/>
    <w:rsid w:val="001D112C"/>
    <w:rsid w:val="001D165E"/>
    <w:rsid w:val="001D1689"/>
    <w:rsid w:val="001D1980"/>
    <w:rsid w:val="001D1F85"/>
    <w:rsid w:val="001D27F7"/>
    <w:rsid w:val="001D2889"/>
    <w:rsid w:val="001D28C9"/>
    <w:rsid w:val="001D2936"/>
    <w:rsid w:val="001D2BF6"/>
    <w:rsid w:val="001D2C8D"/>
    <w:rsid w:val="001D2D30"/>
    <w:rsid w:val="001D309E"/>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13"/>
    <w:rsid w:val="001D55D6"/>
    <w:rsid w:val="001D5897"/>
    <w:rsid w:val="001D58A8"/>
    <w:rsid w:val="001D5E02"/>
    <w:rsid w:val="001D6001"/>
    <w:rsid w:val="001D606E"/>
    <w:rsid w:val="001D614E"/>
    <w:rsid w:val="001D6399"/>
    <w:rsid w:val="001D66FE"/>
    <w:rsid w:val="001D697D"/>
    <w:rsid w:val="001D6988"/>
    <w:rsid w:val="001D7003"/>
    <w:rsid w:val="001D709A"/>
    <w:rsid w:val="001D73D2"/>
    <w:rsid w:val="001D76D3"/>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6D"/>
    <w:rsid w:val="001E2280"/>
    <w:rsid w:val="001E2310"/>
    <w:rsid w:val="001E280C"/>
    <w:rsid w:val="001E2D70"/>
    <w:rsid w:val="001E306C"/>
    <w:rsid w:val="001E321E"/>
    <w:rsid w:val="001E3228"/>
    <w:rsid w:val="001E3354"/>
    <w:rsid w:val="001E34AA"/>
    <w:rsid w:val="001E34EF"/>
    <w:rsid w:val="001E3638"/>
    <w:rsid w:val="001E3764"/>
    <w:rsid w:val="001E381D"/>
    <w:rsid w:val="001E3875"/>
    <w:rsid w:val="001E3AE0"/>
    <w:rsid w:val="001E3B66"/>
    <w:rsid w:val="001E3C02"/>
    <w:rsid w:val="001E3D80"/>
    <w:rsid w:val="001E3DFC"/>
    <w:rsid w:val="001E4118"/>
    <w:rsid w:val="001E437E"/>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2AC"/>
    <w:rsid w:val="001F0615"/>
    <w:rsid w:val="001F07D6"/>
    <w:rsid w:val="001F07F7"/>
    <w:rsid w:val="001F08D7"/>
    <w:rsid w:val="001F0958"/>
    <w:rsid w:val="001F0C50"/>
    <w:rsid w:val="001F0D10"/>
    <w:rsid w:val="001F126A"/>
    <w:rsid w:val="001F137C"/>
    <w:rsid w:val="001F17AB"/>
    <w:rsid w:val="001F1B18"/>
    <w:rsid w:val="001F1D26"/>
    <w:rsid w:val="001F1E70"/>
    <w:rsid w:val="001F2402"/>
    <w:rsid w:val="001F28AA"/>
    <w:rsid w:val="001F2AB7"/>
    <w:rsid w:val="001F3246"/>
    <w:rsid w:val="001F3530"/>
    <w:rsid w:val="001F3673"/>
    <w:rsid w:val="001F36AF"/>
    <w:rsid w:val="001F385D"/>
    <w:rsid w:val="001F38D7"/>
    <w:rsid w:val="001F3C79"/>
    <w:rsid w:val="001F3D72"/>
    <w:rsid w:val="001F3FA4"/>
    <w:rsid w:val="001F3FAF"/>
    <w:rsid w:val="001F4141"/>
    <w:rsid w:val="001F437A"/>
    <w:rsid w:val="001F4382"/>
    <w:rsid w:val="001F443D"/>
    <w:rsid w:val="001F446B"/>
    <w:rsid w:val="001F448E"/>
    <w:rsid w:val="001F4559"/>
    <w:rsid w:val="001F5191"/>
    <w:rsid w:val="001F5251"/>
    <w:rsid w:val="001F52D4"/>
    <w:rsid w:val="001F5318"/>
    <w:rsid w:val="001F536F"/>
    <w:rsid w:val="001F5482"/>
    <w:rsid w:val="001F5484"/>
    <w:rsid w:val="001F584C"/>
    <w:rsid w:val="001F5D74"/>
    <w:rsid w:val="001F6084"/>
    <w:rsid w:val="001F61FB"/>
    <w:rsid w:val="001F6421"/>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5B4"/>
    <w:rsid w:val="00202B06"/>
    <w:rsid w:val="00202B44"/>
    <w:rsid w:val="00203118"/>
    <w:rsid w:val="00203153"/>
    <w:rsid w:val="002033CB"/>
    <w:rsid w:val="002034C2"/>
    <w:rsid w:val="00203726"/>
    <w:rsid w:val="00203A4A"/>
    <w:rsid w:val="00203BF8"/>
    <w:rsid w:val="00203DAD"/>
    <w:rsid w:val="00203E7F"/>
    <w:rsid w:val="00204574"/>
    <w:rsid w:val="00204728"/>
    <w:rsid w:val="00204761"/>
    <w:rsid w:val="002047C4"/>
    <w:rsid w:val="00204865"/>
    <w:rsid w:val="00204D86"/>
    <w:rsid w:val="00204E72"/>
    <w:rsid w:val="00204FA5"/>
    <w:rsid w:val="002057C1"/>
    <w:rsid w:val="00205CED"/>
    <w:rsid w:val="00205D16"/>
    <w:rsid w:val="00205F4E"/>
    <w:rsid w:val="00206410"/>
    <w:rsid w:val="00206722"/>
    <w:rsid w:val="002067CB"/>
    <w:rsid w:val="00206A04"/>
    <w:rsid w:val="00206BE4"/>
    <w:rsid w:val="00206D3E"/>
    <w:rsid w:val="00206D5B"/>
    <w:rsid w:val="002074D2"/>
    <w:rsid w:val="0020761E"/>
    <w:rsid w:val="002077D3"/>
    <w:rsid w:val="002078ED"/>
    <w:rsid w:val="00207913"/>
    <w:rsid w:val="002079D2"/>
    <w:rsid w:val="00207CF8"/>
    <w:rsid w:val="00207E99"/>
    <w:rsid w:val="00207F97"/>
    <w:rsid w:val="002105B2"/>
    <w:rsid w:val="002105C3"/>
    <w:rsid w:val="0021063C"/>
    <w:rsid w:val="0021085B"/>
    <w:rsid w:val="00210A3A"/>
    <w:rsid w:val="00210C07"/>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9C6"/>
    <w:rsid w:val="00213B0D"/>
    <w:rsid w:val="00213B31"/>
    <w:rsid w:val="00213EC0"/>
    <w:rsid w:val="00213EE5"/>
    <w:rsid w:val="00213F17"/>
    <w:rsid w:val="00214137"/>
    <w:rsid w:val="002141E2"/>
    <w:rsid w:val="00214368"/>
    <w:rsid w:val="00214B2B"/>
    <w:rsid w:val="00214D0B"/>
    <w:rsid w:val="00214F86"/>
    <w:rsid w:val="00214FA6"/>
    <w:rsid w:val="0021509C"/>
    <w:rsid w:val="002152AD"/>
    <w:rsid w:val="00215476"/>
    <w:rsid w:val="0021554A"/>
    <w:rsid w:val="0021618E"/>
    <w:rsid w:val="002161B4"/>
    <w:rsid w:val="00216642"/>
    <w:rsid w:val="002166AF"/>
    <w:rsid w:val="002167D9"/>
    <w:rsid w:val="00216A22"/>
    <w:rsid w:val="00216EEC"/>
    <w:rsid w:val="00216F78"/>
    <w:rsid w:val="00217445"/>
    <w:rsid w:val="0021798F"/>
    <w:rsid w:val="00217C37"/>
    <w:rsid w:val="00217CB8"/>
    <w:rsid w:val="00217E13"/>
    <w:rsid w:val="00217E62"/>
    <w:rsid w:val="00217EA8"/>
    <w:rsid w:val="0022004D"/>
    <w:rsid w:val="002202F6"/>
    <w:rsid w:val="002202FE"/>
    <w:rsid w:val="00220349"/>
    <w:rsid w:val="00220562"/>
    <w:rsid w:val="0022057E"/>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6AC"/>
    <w:rsid w:val="00221869"/>
    <w:rsid w:val="00221992"/>
    <w:rsid w:val="00221D2A"/>
    <w:rsid w:val="00221D31"/>
    <w:rsid w:val="00221E82"/>
    <w:rsid w:val="00221EA7"/>
    <w:rsid w:val="00222202"/>
    <w:rsid w:val="00222614"/>
    <w:rsid w:val="00222706"/>
    <w:rsid w:val="00222A23"/>
    <w:rsid w:val="00222B6A"/>
    <w:rsid w:val="00222B97"/>
    <w:rsid w:val="00222CE5"/>
    <w:rsid w:val="00223224"/>
    <w:rsid w:val="0022334D"/>
    <w:rsid w:val="002239ED"/>
    <w:rsid w:val="002239F5"/>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84"/>
    <w:rsid w:val="002253C2"/>
    <w:rsid w:val="0022558D"/>
    <w:rsid w:val="0022562C"/>
    <w:rsid w:val="002256A6"/>
    <w:rsid w:val="00225A87"/>
    <w:rsid w:val="00225CC1"/>
    <w:rsid w:val="00225D5A"/>
    <w:rsid w:val="00225D96"/>
    <w:rsid w:val="00225DBE"/>
    <w:rsid w:val="00226149"/>
    <w:rsid w:val="0022619D"/>
    <w:rsid w:val="00226217"/>
    <w:rsid w:val="0022656B"/>
    <w:rsid w:val="00226831"/>
    <w:rsid w:val="00226BA4"/>
    <w:rsid w:val="00226F38"/>
    <w:rsid w:val="00226FD1"/>
    <w:rsid w:val="0022737E"/>
    <w:rsid w:val="00227679"/>
    <w:rsid w:val="002278C1"/>
    <w:rsid w:val="00227B21"/>
    <w:rsid w:val="0023049E"/>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1FFD"/>
    <w:rsid w:val="00232100"/>
    <w:rsid w:val="0023249D"/>
    <w:rsid w:val="002324FB"/>
    <w:rsid w:val="0023250D"/>
    <w:rsid w:val="00232793"/>
    <w:rsid w:val="002327DD"/>
    <w:rsid w:val="002327FF"/>
    <w:rsid w:val="0023295E"/>
    <w:rsid w:val="00232AC0"/>
    <w:rsid w:val="00232EAF"/>
    <w:rsid w:val="0023302F"/>
    <w:rsid w:val="002332CE"/>
    <w:rsid w:val="00233389"/>
    <w:rsid w:val="002334AF"/>
    <w:rsid w:val="002335F7"/>
    <w:rsid w:val="0023385B"/>
    <w:rsid w:val="002339B5"/>
    <w:rsid w:val="002339DD"/>
    <w:rsid w:val="00233BE4"/>
    <w:rsid w:val="00233CFD"/>
    <w:rsid w:val="00233DA6"/>
    <w:rsid w:val="00234295"/>
    <w:rsid w:val="00234569"/>
    <w:rsid w:val="00234AA6"/>
    <w:rsid w:val="00234AED"/>
    <w:rsid w:val="00234B77"/>
    <w:rsid w:val="00234BF1"/>
    <w:rsid w:val="002351F1"/>
    <w:rsid w:val="00235450"/>
    <w:rsid w:val="002355E5"/>
    <w:rsid w:val="00235640"/>
    <w:rsid w:val="00235BDF"/>
    <w:rsid w:val="00235BEE"/>
    <w:rsid w:val="00235DA2"/>
    <w:rsid w:val="00235FCF"/>
    <w:rsid w:val="00236642"/>
    <w:rsid w:val="00236689"/>
    <w:rsid w:val="00236765"/>
    <w:rsid w:val="00236AC5"/>
    <w:rsid w:val="00236BA3"/>
    <w:rsid w:val="00236C96"/>
    <w:rsid w:val="00237125"/>
    <w:rsid w:val="002371F0"/>
    <w:rsid w:val="00237712"/>
    <w:rsid w:val="00237B33"/>
    <w:rsid w:val="00237C8B"/>
    <w:rsid w:val="00237DF5"/>
    <w:rsid w:val="00237E9C"/>
    <w:rsid w:val="00240071"/>
    <w:rsid w:val="00240426"/>
    <w:rsid w:val="00240561"/>
    <w:rsid w:val="00240852"/>
    <w:rsid w:val="00240AC8"/>
    <w:rsid w:val="00240D6D"/>
    <w:rsid w:val="00240F8A"/>
    <w:rsid w:val="0024101A"/>
    <w:rsid w:val="002412CB"/>
    <w:rsid w:val="002412F8"/>
    <w:rsid w:val="00241447"/>
    <w:rsid w:val="0024168E"/>
    <w:rsid w:val="00241690"/>
    <w:rsid w:val="0024172C"/>
    <w:rsid w:val="00241803"/>
    <w:rsid w:val="00241A6C"/>
    <w:rsid w:val="00241B38"/>
    <w:rsid w:val="00241C11"/>
    <w:rsid w:val="00241EB1"/>
    <w:rsid w:val="00241FBF"/>
    <w:rsid w:val="002421DA"/>
    <w:rsid w:val="00242324"/>
    <w:rsid w:val="00242A12"/>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A0"/>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7B8"/>
    <w:rsid w:val="00245972"/>
    <w:rsid w:val="002460FE"/>
    <w:rsid w:val="00246133"/>
    <w:rsid w:val="0024623F"/>
    <w:rsid w:val="0024660A"/>
    <w:rsid w:val="00246812"/>
    <w:rsid w:val="002469F5"/>
    <w:rsid w:val="00246BC6"/>
    <w:rsid w:val="00246C6D"/>
    <w:rsid w:val="00246D51"/>
    <w:rsid w:val="00246E3E"/>
    <w:rsid w:val="00246FBC"/>
    <w:rsid w:val="0024701C"/>
    <w:rsid w:val="0024706D"/>
    <w:rsid w:val="00247A52"/>
    <w:rsid w:val="00247C47"/>
    <w:rsid w:val="00247CBF"/>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69F"/>
    <w:rsid w:val="00251844"/>
    <w:rsid w:val="002518B2"/>
    <w:rsid w:val="00251A07"/>
    <w:rsid w:val="00251B30"/>
    <w:rsid w:val="00251D5A"/>
    <w:rsid w:val="00251FDC"/>
    <w:rsid w:val="002522D3"/>
    <w:rsid w:val="0025234D"/>
    <w:rsid w:val="00252427"/>
    <w:rsid w:val="002525D5"/>
    <w:rsid w:val="002525FE"/>
    <w:rsid w:val="002527A2"/>
    <w:rsid w:val="002527B3"/>
    <w:rsid w:val="0025298E"/>
    <w:rsid w:val="00252DF4"/>
    <w:rsid w:val="00252E4C"/>
    <w:rsid w:val="00252F1B"/>
    <w:rsid w:val="00252F1D"/>
    <w:rsid w:val="002531AA"/>
    <w:rsid w:val="0025371C"/>
    <w:rsid w:val="0025374F"/>
    <w:rsid w:val="002539A8"/>
    <w:rsid w:val="00253AA7"/>
    <w:rsid w:val="00253CA5"/>
    <w:rsid w:val="00253F9B"/>
    <w:rsid w:val="002540B5"/>
    <w:rsid w:val="002541F3"/>
    <w:rsid w:val="002543A7"/>
    <w:rsid w:val="00254481"/>
    <w:rsid w:val="00254AEF"/>
    <w:rsid w:val="00254DFD"/>
    <w:rsid w:val="00254E22"/>
    <w:rsid w:val="00254EFD"/>
    <w:rsid w:val="0025510B"/>
    <w:rsid w:val="002553A1"/>
    <w:rsid w:val="00255507"/>
    <w:rsid w:val="002557F8"/>
    <w:rsid w:val="002558CE"/>
    <w:rsid w:val="00255909"/>
    <w:rsid w:val="00255AFF"/>
    <w:rsid w:val="00255C30"/>
    <w:rsid w:val="00255DB7"/>
    <w:rsid w:val="00256234"/>
    <w:rsid w:val="00256587"/>
    <w:rsid w:val="002565FB"/>
    <w:rsid w:val="0025662A"/>
    <w:rsid w:val="00256B21"/>
    <w:rsid w:val="00256DC3"/>
    <w:rsid w:val="00256FCA"/>
    <w:rsid w:val="002570CA"/>
    <w:rsid w:val="0025735E"/>
    <w:rsid w:val="00257615"/>
    <w:rsid w:val="0025784D"/>
    <w:rsid w:val="0025796D"/>
    <w:rsid w:val="00257BBD"/>
    <w:rsid w:val="00257DE9"/>
    <w:rsid w:val="00257EAF"/>
    <w:rsid w:val="00257EC6"/>
    <w:rsid w:val="00257ED6"/>
    <w:rsid w:val="002601B4"/>
    <w:rsid w:val="00260201"/>
    <w:rsid w:val="0026037B"/>
    <w:rsid w:val="002604FD"/>
    <w:rsid w:val="002605E4"/>
    <w:rsid w:val="00260C7F"/>
    <w:rsid w:val="00260CD6"/>
    <w:rsid w:val="0026110D"/>
    <w:rsid w:val="002615F1"/>
    <w:rsid w:val="00261A56"/>
    <w:rsid w:val="00261B80"/>
    <w:rsid w:val="00261DE7"/>
    <w:rsid w:val="002622C9"/>
    <w:rsid w:val="002622ED"/>
    <w:rsid w:val="00262352"/>
    <w:rsid w:val="002623EE"/>
    <w:rsid w:val="00262400"/>
    <w:rsid w:val="002628C6"/>
    <w:rsid w:val="0026296A"/>
    <w:rsid w:val="00262A15"/>
    <w:rsid w:val="00262A99"/>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0FD"/>
    <w:rsid w:val="002654F2"/>
    <w:rsid w:val="00265791"/>
    <w:rsid w:val="00265EFB"/>
    <w:rsid w:val="00266784"/>
    <w:rsid w:val="002667BA"/>
    <w:rsid w:val="00266A1C"/>
    <w:rsid w:val="00266BF6"/>
    <w:rsid w:val="00267022"/>
    <w:rsid w:val="0026712C"/>
    <w:rsid w:val="00267217"/>
    <w:rsid w:val="00267471"/>
    <w:rsid w:val="002674BB"/>
    <w:rsid w:val="002675BA"/>
    <w:rsid w:val="00267698"/>
    <w:rsid w:val="0026796B"/>
    <w:rsid w:val="00267E37"/>
    <w:rsid w:val="00267E98"/>
    <w:rsid w:val="00270039"/>
    <w:rsid w:val="002701E5"/>
    <w:rsid w:val="00270331"/>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1F4E"/>
    <w:rsid w:val="002720D3"/>
    <w:rsid w:val="0027225F"/>
    <w:rsid w:val="00272347"/>
    <w:rsid w:val="00272537"/>
    <w:rsid w:val="00272769"/>
    <w:rsid w:val="00272E7F"/>
    <w:rsid w:val="00273108"/>
    <w:rsid w:val="002731C8"/>
    <w:rsid w:val="0027386E"/>
    <w:rsid w:val="002739CA"/>
    <w:rsid w:val="002739ED"/>
    <w:rsid w:val="00273A94"/>
    <w:rsid w:val="00273E7D"/>
    <w:rsid w:val="00274416"/>
    <w:rsid w:val="002745F8"/>
    <w:rsid w:val="002746C7"/>
    <w:rsid w:val="00274816"/>
    <w:rsid w:val="002748DF"/>
    <w:rsid w:val="0027490A"/>
    <w:rsid w:val="00274969"/>
    <w:rsid w:val="00274991"/>
    <w:rsid w:val="00274A08"/>
    <w:rsid w:val="00274B8B"/>
    <w:rsid w:val="00274C67"/>
    <w:rsid w:val="00274FAE"/>
    <w:rsid w:val="002751EC"/>
    <w:rsid w:val="00275316"/>
    <w:rsid w:val="002753AF"/>
    <w:rsid w:val="002755A1"/>
    <w:rsid w:val="002756B4"/>
    <w:rsid w:val="002758A0"/>
    <w:rsid w:val="00275BC6"/>
    <w:rsid w:val="00275C3F"/>
    <w:rsid w:val="00275D51"/>
    <w:rsid w:val="00275DF0"/>
    <w:rsid w:val="00276129"/>
    <w:rsid w:val="00276239"/>
    <w:rsid w:val="00276311"/>
    <w:rsid w:val="00276469"/>
    <w:rsid w:val="0027647D"/>
    <w:rsid w:val="002764C9"/>
    <w:rsid w:val="002764F5"/>
    <w:rsid w:val="00276556"/>
    <w:rsid w:val="00276631"/>
    <w:rsid w:val="002766F9"/>
    <w:rsid w:val="00276761"/>
    <w:rsid w:val="002769A3"/>
    <w:rsid w:val="00276AEA"/>
    <w:rsid w:val="00276B19"/>
    <w:rsid w:val="00276B43"/>
    <w:rsid w:val="00276B8D"/>
    <w:rsid w:val="00276DA3"/>
    <w:rsid w:val="00276E70"/>
    <w:rsid w:val="00277058"/>
    <w:rsid w:val="0027711C"/>
    <w:rsid w:val="00277147"/>
    <w:rsid w:val="002771C6"/>
    <w:rsid w:val="002772BA"/>
    <w:rsid w:val="00277401"/>
    <w:rsid w:val="0027742A"/>
    <w:rsid w:val="002775CA"/>
    <w:rsid w:val="0027768E"/>
    <w:rsid w:val="002776D8"/>
    <w:rsid w:val="002777C0"/>
    <w:rsid w:val="002777D6"/>
    <w:rsid w:val="00277856"/>
    <w:rsid w:val="00277AC2"/>
    <w:rsid w:val="00277E50"/>
    <w:rsid w:val="00277F3D"/>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8C2"/>
    <w:rsid w:val="00282F4A"/>
    <w:rsid w:val="00283031"/>
    <w:rsid w:val="002832A6"/>
    <w:rsid w:val="002834E4"/>
    <w:rsid w:val="002837B1"/>
    <w:rsid w:val="00283AA1"/>
    <w:rsid w:val="00283C48"/>
    <w:rsid w:val="00283D5E"/>
    <w:rsid w:val="00283E2E"/>
    <w:rsid w:val="00283ED2"/>
    <w:rsid w:val="00283FC0"/>
    <w:rsid w:val="002846A1"/>
    <w:rsid w:val="00284859"/>
    <w:rsid w:val="00284905"/>
    <w:rsid w:val="00284C10"/>
    <w:rsid w:val="00284F69"/>
    <w:rsid w:val="00285306"/>
    <w:rsid w:val="00285314"/>
    <w:rsid w:val="002856BE"/>
    <w:rsid w:val="00285712"/>
    <w:rsid w:val="0028577F"/>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BF3"/>
    <w:rsid w:val="00290CC0"/>
    <w:rsid w:val="002911AB"/>
    <w:rsid w:val="00291282"/>
    <w:rsid w:val="00291411"/>
    <w:rsid w:val="0029160D"/>
    <w:rsid w:val="002917B6"/>
    <w:rsid w:val="002917BF"/>
    <w:rsid w:val="002918EC"/>
    <w:rsid w:val="00291B28"/>
    <w:rsid w:val="00291B63"/>
    <w:rsid w:val="00291C4E"/>
    <w:rsid w:val="00291D08"/>
    <w:rsid w:val="00291FB1"/>
    <w:rsid w:val="00292078"/>
    <w:rsid w:val="00292359"/>
    <w:rsid w:val="002923D5"/>
    <w:rsid w:val="00292ACA"/>
    <w:rsid w:val="00292C09"/>
    <w:rsid w:val="00292D49"/>
    <w:rsid w:val="00292E74"/>
    <w:rsid w:val="00293012"/>
    <w:rsid w:val="00293497"/>
    <w:rsid w:val="00293919"/>
    <w:rsid w:val="002939AF"/>
    <w:rsid w:val="00293BA4"/>
    <w:rsid w:val="00293BCF"/>
    <w:rsid w:val="00293D57"/>
    <w:rsid w:val="00293F96"/>
    <w:rsid w:val="0029467E"/>
    <w:rsid w:val="00294B02"/>
    <w:rsid w:val="00294B71"/>
    <w:rsid w:val="00294EEB"/>
    <w:rsid w:val="0029533F"/>
    <w:rsid w:val="0029552E"/>
    <w:rsid w:val="00295708"/>
    <w:rsid w:val="002957E5"/>
    <w:rsid w:val="00295929"/>
    <w:rsid w:val="00295B27"/>
    <w:rsid w:val="00295FC1"/>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6B2"/>
    <w:rsid w:val="002A09EF"/>
    <w:rsid w:val="002A0D46"/>
    <w:rsid w:val="002A0DD7"/>
    <w:rsid w:val="002A0E44"/>
    <w:rsid w:val="002A0E83"/>
    <w:rsid w:val="002A0FB4"/>
    <w:rsid w:val="002A1511"/>
    <w:rsid w:val="002A158A"/>
    <w:rsid w:val="002A1691"/>
    <w:rsid w:val="002A17AF"/>
    <w:rsid w:val="002A1875"/>
    <w:rsid w:val="002A19C7"/>
    <w:rsid w:val="002A1DEE"/>
    <w:rsid w:val="002A1FE9"/>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75F"/>
    <w:rsid w:val="002A4829"/>
    <w:rsid w:val="002A4847"/>
    <w:rsid w:val="002A4DA4"/>
    <w:rsid w:val="002A524C"/>
    <w:rsid w:val="002A5749"/>
    <w:rsid w:val="002A5A81"/>
    <w:rsid w:val="002A5B18"/>
    <w:rsid w:val="002A5D23"/>
    <w:rsid w:val="002A5D36"/>
    <w:rsid w:val="002A5ECF"/>
    <w:rsid w:val="002A6032"/>
    <w:rsid w:val="002A60AE"/>
    <w:rsid w:val="002A6390"/>
    <w:rsid w:val="002A6B4C"/>
    <w:rsid w:val="002A6C81"/>
    <w:rsid w:val="002A6CB1"/>
    <w:rsid w:val="002A6CBC"/>
    <w:rsid w:val="002A6CFE"/>
    <w:rsid w:val="002A71C9"/>
    <w:rsid w:val="002A7544"/>
    <w:rsid w:val="002A77D7"/>
    <w:rsid w:val="002A7A0F"/>
    <w:rsid w:val="002A7B62"/>
    <w:rsid w:val="002A7CF1"/>
    <w:rsid w:val="002A7F5B"/>
    <w:rsid w:val="002B00E2"/>
    <w:rsid w:val="002B02F2"/>
    <w:rsid w:val="002B04FD"/>
    <w:rsid w:val="002B05CF"/>
    <w:rsid w:val="002B0621"/>
    <w:rsid w:val="002B066E"/>
    <w:rsid w:val="002B06F7"/>
    <w:rsid w:val="002B073A"/>
    <w:rsid w:val="002B087D"/>
    <w:rsid w:val="002B0D06"/>
    <w:rsid w:val="002B0FF8"/>
    <w:rsid w:val="002B10A5"/>
    <w:rsid w:val="002B10CA"/>
    <w:rsid w:val="002B1700"/>
    <w:rsid w:val="002B1C7E"/>
    <w:rsid w:val="002B1EAA"/>
    <w:rsid w:val="002B1EF8"/>
    <w:rsid w:val="002B20CC"/>
    <w:rsid w:val="002B211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5C1"/>
    <w:rsid w:val="002B36C4"/>
    <w:rsid w:val="002B37A2"/>
    <w:rsid w:val="002B380B"/>
    <w:rsid w:val="002B389E"/>
    <w:rsid w:val="002B38E4"/>
    <w:rsid w:val="002B3C62"/>
    <w:rsid w:val="002B3E1D"/>
    <w:rsid w:val="002B3E55"/>
    <w:rsid w:val="002B40E6"/>
    <w:rsid w:val="002B41B7"/>
    <w:rsid w:val="002B425C"/>
    <w:rsid w:val="002B4262"/>
    <w:rsid w:val="002B44C1"/>
    <w:rsid w:val="002B45BD"/>
    <w:rsid w:val="002B45DC"/>
    <w:rsid w:val="002B46EB"/>
    <w:rsid w:val="002B4988"/>
    <w:rsid w:val="002B4A39"/>
    <w:rsid w:val="002B4AC8"/>
    <w:rsid w:val="002B4BF5"/>
    <w:rsid w:val="002B4CAF"/>
    <w:rsid w:val="002B4CB5"/>
    <w:rsid w:val="002B4CC2"/>
    <w:rsid w:val="002B4DE1"/>
    <w:rsid w:val="002B502D"/>
    <w:rsid w:val="002B5166"/>
    <w:rsid w:val="002B518F"/>
    <w:rsid w:val="002B531C"/>
    <w:rsid w:val="002B5632"/>
    <w:rsid w:val="002B597F"/>
    <w:rsid w:val="002B59FD"/>
    <w:rsid w:val="002B5D2F"/>
    <w:rsid w:val="002B6164"/>
    <w:rsid w:val="002B6176"/>
    <w:rsid w:val="002B646E"/>
    <w:rsid w:val="002B6520"/>
    <w:rsid w:val="002B67FB"/>
    <w:rsid w:val="002B6876"/>
    <w:rsid w:val="002B6A46"/>
    <w:rsid w:val="002B6AE5"/>
    <w:rsid w:val="002B6C9C"/>
    <w:rsid w:val="002B6D50"/>
    <w:rsid w:val="002B6D6E"/>
    <w:rsid w:val="002B6F8C"/>
    <w:rsid w:val="002B71BE"/>
    <w:rsid w:val="002B7216"/>
    <w:rsid w:val="002B75F9"/>
    <w:rsid w:val="002B7610"/>
    <w:rsid w:val="002B76C6"/>
    <w:rsid w:val="002B779B"/>
    <w:rsid w:val="002B7903"/>
    <w:rsid w:val="002B79C4"/>
    <w:rsid w:val="002B7A47"/>
    <w:rsid w:val="002B7B00"/>
    <w:rsid w:val="002B7B0E"/>
    <w:rsid w:val="002B7BF3"/>
    <w:rsid w:val="002B7C9A"/>
    <w:rsid w:val="002B7CFD"/>
    <w:rsid w:val="002B7F68"/>
    <w:rsid w:val="002C0062"/>
    <w:rsid w:val="002C00EE"/>
    <w:rsid w:val="002C02E5"/>
    <w:rsid w:val="002C067A"/>
    <w:rsid w:val="002C0957"/>
    <w:rsid w:val="002C09AB"/>
    <w:rsid w:val="002C0ABD"/>
    <w:rsid w:val="002C0BC7"/>
    <w:rsid w:val="002C0C93"/>
    <w:rsid w:val="002C0D61"/>
    <w:rsid w:val="002C0DAA"/>
    <w:rsid w:val="002C0EB8"/>
    <w:rsid w:val="002C0EF3"/>
    <w:rsid w:val="002C12E0"/>
    <w:rsid w:val="002C1363"/>
    <w:rsid w:val="002C1515"/>
    <w:rsid w:val="002C191E"/>
    <w:rsid w:val="002C234D"/>
    <w:rsid w:val="002C26A1"/>
    <w:rsid w:val="002C28A2"/>
    <w:rsid w:val="002C29BA"/>
    <w:rsid w:val="002C2E58"/>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57"/>
    <w:rsid w:val="002C50AE"/>
    <w:rsid w:val="002C5272"/>
    <w:rsid w:val="002C52B0"/>
    <w:rsid w:val="002C52BB"/>
    <w:rsid w:val="002C5322"/>
    <w:rsid w:val="002C53C5"/>
    <w:rsid w:val="002C5696"/>
    <w:rsid w:val="002C56DB"/>
    <w:rsid w:val="002C580F"/>
    <w:rsid w:val="002C5832"/>
    <w:rsid w:val="002C5845"/>
    <w:rsid w:val="002C5A4C"/>
    <w:rsid w:val="002C5D7C"/>
    <w:rsid w:val="002C5F25"/>
    <w:rsid w:val="002C5F4A"/>
    <w:rsid w:val="002C62F5"/>
    <w:rsid w:val="002C6396"/>
    <w:rsid w:val="002C6639"/>
    <w:rsid w:val="002C6AE7"/>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0F"/>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3AE"/>
    <w:rsid w:val="002D29D1"/>
    <w:rsid w:val="002D2ADC"/>
    <w:rsid w:val="002D2B96"/>
    <w:rsid w:val="002D2C1E"/>
    <w:rsid w:val="002D2D9F"/>
    <w:rsid w:val="002D2ECA"/>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80F"/>
    <w:rsid w:val="002D4A67"/>
    <w:rsid w:val="002D4A89"/>
    <w:rsid w:val="002D556A"/>
    <w:rsid w:val="002D5656"/>
    <w:rsid w:val="002D5B33"/>
    <w:rsid w:val="002D5B5C"/>
    <w:rsid w:val="002D5E24"/>
    <w:rsid w:val="002D6234"/>
    <w:rsid w:val="002D6392"/>
    <w:rsid w:val="002D6402"/>
    <w:rsid w:val="002D6554"/>
    <w:rsid w:val="002D66E1"/>
    <w:rsid w:val="002D67DB"/>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2ED8"/>
    <w:rsid w:val="002E397A"/>
    <w:rsid w:val="002E3C7B"/>
    <w:rsid w:val="002E3DDA"/>
    <w:rsid w:val="002E421F"/>
    <w:rsid w:val="002E4257"/>
    <w:rsid w:val="002E4721"/>
    <w:rsid w:val="002E4723"/>
    <w:rsid w:val="002E4E06"/>
    <w:rsid w:val="002E4F75"/>
    <w:rsid w:val="002E51A3"/>
    <w:rsid w:val="002E54A1"/>
    <w:rsid w:val="002E5586"/>
    <w:rsid w:val="002E5875"/>
    <w:rsid w:val="002E58BE"/>
    <w:rsid w:val="002E59B7"/>
    <w:rsid w:val="002E5EA9"/>
    <w:rsid w:val="002E6163"/>
    <w:rsid w:val="002E61AA"/>
    <w:rsid w:val="002E622F"/>
    <w:rsid w:val="002E62DD"/>
    <w:rsid w:val="002E6383"/>
    <w:rsid w:val="002E6675"/>
    <w:rsid w:val="002E6C8A"/>
    <w:rsid w:val="002E6E1F"/>
    <w:rsid w:val="002E6ED1"/>
    <w:rsid w:val="002E6ED6"/>
    <w:rsid w:val="002E6EDD"/>
    <w:rsid w:val="002E70A9"/>
    <w:rsid w:val="002E73BC"/>
    <w:rsid w:val="002E7454"/>
    <w:rsid w:val="002E7602"/>
    <w:rsid w:val="002E7684"/>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19"/>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6C"/>
    <w:rsid w:val="002F7EEB"/>
    <w:rsid w:val="002F7F33"/>
    <w:rsid w:val="002F7F95"/>
    <w:rsid w:val="003003E9"/>
    <w:rsid w:val="00300607"/>
    <w:rsid w:val="00300BFC"/>
    <w:rsid w:val="00300CAB"/>
    <w:rsid w:val="00300D8B"/>
    <w:rsid w:val="00301052"/>
    <w:rsid w:val="00301186"/>
    <w:rsid w:val="003012F3"/>
    <w:rsid w:val="003013BA"/>
    <w:rsid w:val="003013BF"/>
    <w:rsid w:val="003013F3"/>
    <w:rsid w:val="00301620"/>
    <w:rsid w:val="00301668"/>
    <w:rsid w:val="003016CA"/>
    <w:rsid w:val="003016F0"/>
    <w:rsid w:val="003017D5"/>
    <w:rsid w:val="003017ED"/>
    <w:rsid w:val="003018F5"/>
    <w:rsid w:val="00301987"/>
    <w:rsid w:val="00301DC4"/>
    <w:rsid w:val="00301EE9"/>
    <w:rsid w:val="00301FBC"/>
    <w:rsid w:val="003023CD"/>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9"/>
    <w:rsid w:val="00303A1D"/>
    <w:rsid w:val="00303AB7"/>
    <w:rsid w:val="00303E6A"/>
    <w:rsid w:val="00304335"/>
    <w:rsid w:val="0030441F"/>
    <w:rsid w:val="00304454"/>
    <w:rsid w:val="003046D0"/>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9F"/>
    <w:rsid w:val="00306DA5"/>
    <w:rsid w:val="00306E6D"/>
    <w:rsid w:val="00306FC9"/>
    <w:rsid w:val="0030730A"/>
    <w:rsid w:val="0030730E"/>
    <w:rsid w:val="00307877"/>
    <w:rsid w:val="0030792F"/>
    <w:rsid w:val="003079D0"/>
    <w:rsid w:val="00307A94"/>
    <w:rsid w:val="00307C74"/>
    <w:rsid w:val="00307F89"/>
    <w:rsid w:val="0031003F"/>
    <w:rsid w:val="00310638"/>
    <w:rsid w:val="00310741"/>
    <w:rsid w:val="003113D7"/>
    <w:rsid w:val="003114A8"/>
    <w:rsid w:val="003115D1"/>
    <w:rsid w:val="003115F6"/>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1D"/>
    <w:rsid w:val="003130E8"/>
    <w:rsid w:val="003131E3"/>
    <w:rsid w:val="00313241"/>
    <w:rsid w:val="003136ED"/>
    <w:rsid w:val="00313D9D"/>
    <w:rsid w:val="003140A8"/>
    <w:rsid w:val="003141FD"/>
    <w:rsid w:val="00314235"/>
    <w:rsid w:val="00314291"/>
    <w:rsid w:val="0031494D"/>
    <w:rsid w:val="0031495F"/>
    <w:rsid w:val="00314AAF"/>
    <w:rsid w:val="00314D15"/>
    <w:rsid w:val="00314D31"/>
    <w:rsid w:val="00314D98"/>
    <w:rsid w:val="00315055"/>
    <w:rsid w:val="0031524C"/>
    <w:rsid w:val="003152F2"/>
    <w:rsid w:val="0031572F"/>
    <w:rsid w:val="00315BEE"/>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20028"/>
    <w:rsid w:val="00320187"/>
    <w:rsid w:val="00320305"/>
    <w:rsid w:val="003203EF"/>
    <w:rsid w:val="00320658"/>
    <w:rsid w:val="003207F3"/>
    <w:rsid w:val="0032088E"/>
    <w:rsid w:val="00320E72"/>
    <w:rsid w:val="003213AC"/>
    <w:rsid w:val="0032187C"/>
    <w:rsid w:val="00321898"/>
    <w:rsid w:val="003219FA"/>
    <w:rsid w:val="00321F0D"/>
    <w:rsid w:val="0032215D"/>
    <w:rsid w:val="00322197"/>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E7"/>
    <w:rsid w:val="003265F3"/>
    <w:rsid w:val="0032669D"/>
    <w:rsid w:val="00326A80"/>
    <w:rsid w:val="00326B2E"/>
    <w:rsid w:val="00326FF0"/>
    <w:rsid w:val="00327291"/>
    <w:rsid w:val="003275CB"/>
    <w:rsid w:val="003278B6"/>
    <w:rsid w:val="00327C96"/>
    <w:rsid w:val="00327F45"/>
    <w:rsid w:val="00327FE1"/>
    <w:rsid w:val="0033004E"/>
    <w:rsid w:val="0033016A"/>
    <w:rsid w:val="003301B9"/>
    <w:rsid w:val="003301C3"/>
    <w:rsid w:val="00330B18"/>
    <w:rsid w:val="00330D71"/>
    <w:rsid w:val="003315DC"/>
    <w:rsid w:val="00331758"/>
    <w:rsid w:val="00331C19"/>
    <w:rsid w:val="00331E09"/>
    <w:rsid w:val="00331F7B"/>
    <w:rsid w:val="00332228"/>
    <w:rsid w:val="003322B4"/>
    <w:rsid w:val="003322E8"/>
    <w:rsid w:val="003324B7"/>
    <w:rsid w:val="003325BF"/>
    <w:rsid w:val="003325EB"/>
    <w:rsid w:val="003325F4"/>
    <w:rsid w:val="003327DF"/>
    <w:rsid w:val="00332908"/>
    <w:rsid w:val="00332A0B"/>
    <w:rsid w:val="00332A47"/>
    <w:rsid w:val="00332B3E"/>
    <w:rsid w:val="00332B90"/>
    <w:rsid w:val="00333157"/>
    <w:rsid w:val="00333502"/>
    <w:rsid w:val="00333541"/>
    <w:rsid w:val="00333553"/>
    <w:rsid w:val="00333681"/>
    <w:rsid w:val="003336C3"/>
    <w:rsid w:val="003338FF"/>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8B3"/>
    <w:rsid w:val="003359B9"/>
    <w:rsid w:val="00335C2F"/>
    <w:rsid w:val="00335C95"/>
    <w:rsid w:val="00335F65"/>
    <w:rsid w:val="00335FF2"/>
    <w:rsid w:val="003361C6"/>
    <w:rsid w:val="003361E6"/>
    <w:rsid w:val="00336526"/>
    <w:rsid w:val="003367F5"/>
    <w:rsid w:val="0033685F"/>
    <w:rsid w:val="00336993"/>
    <w:rsid w:val="00336A49"/>
    <w:rsid w:val="00336A66"/>
    <w:rsid w:val="00336AB3"/>
    <w:rsid w:val="00336BD1"/>
    <w:rsid w:val="00336E3F"/>
    <w:rsid w:val="00336F09"/>
    <w:rsid w:val="00337009"/>
    <w:rsid w:val="00337245"/>
    <w:rsid w:val="00337349"/>
    <w:rsid w:val="00337354"/>
    <w:rsid w:val="00337785"/>
    <w:rsid w:val="00337934"/>
    <w:rsid w:val="00337B5A"/>
    <w:rsid w:val="00337C7B"/>
    <w:rsid w:val="00337D1D"/>
    <w:rsid w:val="00337FC4"/>
    <w:rsid w:val="00340014"/>
    <w:rsid w:val="00340245"/>
    <w:rsid w:val="0034060B"/>
    <w:rsid w:val="0034065D"/>
    <w:rsid w:val="00340718"/>
    <w:rsid w:val="00340888"/>
    <w:rsid w:val="00340B47"/>
    <w:rsid w:val="00340BDC"/>
    <w:rsid w:val="00340F1F"/>
    <w:rsid w:val="00341185"/>
    <w:rsid w:val="0034179B"/>
    <w:rsid w:val="00341A17"/>
    <w:rsid w:val="00341A8B"/>
    <w:rsid w:val="00341CFB"/>
    <w:rsid w:val="00341E81"/>
    <w:rsid w:val="0034206F"/>
    <w:rsid w:val="00342094"/>
    <w:rsid w:val="003421D1"/>
    <w:rsid w:val="0034225D"/>
    <w:rsid w:val="003426DD"/>
    <w:rsid w:val="00342785"/>
    <w:rsid w:val="003428E8"/>
    <w:rsid w:val="00342B67"/>
    <w:rsid w:val="00342C1D"/>
    <w:rsid w:val="00343098"/>
    <w:rsid w:val="00343555"/>
    <w:rsid w:val="00343567"/>
    <w:rsid w:val="003435AD"/>
    <w:rsid w:val="0034379F"/>
    <w:rsid w:val="0034386E"/>
    <w:rsid w:val="00343CCD"/>
    <w:rsid w:val="00343F1C"/>
    <w:rsid w:val="00344001"/>
    <w:rsid w:val="0034434F"/>
    <w:rsid w:val="003445C2"/>
    <w:rsid w:val="003445D6"/>
    <w:rsid w:val="00344893"/>
    <w:rsid w:val="00344B16"/>
    <w:rsid w:val="00344CA2"/>
    <w:rsid w:val="00344E50"/>
    <w:rsid w:val="00345469"/>
    <w:rsid w:val="003457B8"/>
    <w:rsid w:val="0034581F"/>
    <w:rsid w:val="00345A10"/>
    <w:rsid w:val="00345F57"/>
    <w:rsid w:val="003460FF"/>
    <w:rsid w:val="00346218"/>
    <w:rsid w:val="00346850"/>
    <w:rsid w:val="003469F1"/>
    <w:rsid w:val="00346A6F"/>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1FA"/>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39"/>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7A0"/>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AB"/>
    <w:rsid w:val="003558D7"/>
    <w:rsid w:val="00355968"/>
    <w:rsid w:val="003561DF"/>
    <w:rsid w:val="0035651B"/>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9F6"/>
    <w:rsid w:val="00361A16"/>
    <w:rsid w:val="00361B86"/>
    <w:rsid w:val="00361D07"/>
    <w:rsid w:val="00361E23"/>
    <w:rsid w:val="00361F38"/>
    <w:rsid w:val="00361FDF"/>
    <w:rsid w:val="003622AC"/>
    <w:rsid w:val="00362303"/>
    <w:rsid w:val="003623B1"/>
    <w:rsid w:val="0036251F"/>
    <w:rsid w:val="00362BEA"/>
    <w:rsid w:val="00362D7C"/>
    <w:rsid w:val="00362DBD"/>
    <w:rsid w:val="00362F4E"/>
    <w:rsid w:val="00362F81"/>
    <w:rsid w:val="0036303C"/>
    <w:rsid w:val="00363098"/>
    <w:rsid w:val="0036320F"/>
    <w:rsid w:val="00363307"/>
    <w:rsid w:val="0036371D"/>
    <w:rsid w:val="00363886"/>
    <w:rsid w:val="003648EB"/>
    <w:rsid w:val="00364CF8"/>
    <w:rsid w:val="00364DBC"/>
    <w:rsid w:val="00364E75"/>
    <w:rsid w:val="00364EE4"/>
    <w:rsid w:val="00365073"/>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50C"/>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63"/>
    <w:rsid w:val="003718C3"/>
    <w:rsid w:val="00371B5B"/>
    <w:rsid w:val="00371BB8"/>
    <w:rsid w:val="00371DE5"/>
    <w:rsid w:val="00371E3E"/>
    <w:rsid w:val="00371EF8"/>
    <w:rsid w:val="003720D2"/>
    <w:rsid w:val="00372165"/>
    <w:rsid w:val="003723CB"/>
    <w:rsid w:val="0037249A"/>
    <w:rsid w:val="003725BC"/>
    <w:rsid w:val="003729BC"/>
    <w:rsid w:val="00372A01"/>
    <w:rsid w:val="0037323B"/>
    <w:rsid w:val="00373340"/>
    <w:rsid w:val="00373643"/>
    <w:rsid w:val="003737A4"/>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B83"/>
    <w:rsid w:val="00374C20"/>
    <w:rsid w:val="00375190"/>
    <w:rsid w:val="0037532B"/>
    <w:rsid w:val="00375399"/>
    <w:rsid w:val="003753DE"/>
    <w:rsid w:val="0037540D"/>
    <w:rsid w:val="00375648"/>
    <w:rsid w:val="0037567C"/>
    <w:rsid w:val="003757F5"/>
    <w:rsid w:val="0037584F"/>
    <w:rsid w:val="00375AD0"/>
    <w:rsid w:val="00375BEE"/>
    <w:rsid w:val="00375C9D"/>
    <w:rsid w:val="00375F03"/>
    <w:rsid w:val="0037616A"/>
    <w:rsid w:val="0037621C"/>
    <w:rsid w:val="00376256"/>
    <w:rsid w:val="00376533"/>
    <w:rsid w:val="0037659D"/>
    <w:rsid w:val="003767B6"/>
    <w:rsid w:val="00376823"/>
    <w:rsid w:val="003769B4"/>
    <w:rsid w:val="00376A4B"/>
    <w:rsid w:val="00376B06"/>
    <w:rsid w:val="00376BFD"/>
    <w:rsid w:val="00376C7C"/>
    <w:rsid w:val="00376DE3"/>
    <w:rsid w:val="00376E80"/>
    <w:rsid w:val="00376FB2"/>
    <w:rsid w:val="00377703"/>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DC8"/>
    <w:rsid w:val="0038130C"/>
    <w:rsid w:val="003818E3"/>
    <w:rsid w:val="00381AF0"/>
    <w:rsid w:val="00381AF4"/>
    <w:rsid w:val="00381F0C"/>
    <w:rsid w:val="00382135"/>
    <w:rsid w:val="003822BF"/>
    <w:rsid w:val="003823AA"/>
    <w:rsid w:val="0038240E"/>
    <w:rsid w:val="00382555"/>
    <w:rsid w:val="00382746"/>
    <w:rsid w:val="003827DA"/>
    <w:rsid w:val="0038296E"/>
    <w:rsid w:val="003829B4"/>
    <w:rsid w:val="00382B44"/>
    <w:rsid w:val="00382C3E"/>
    <w:rsid w:val="00382C85"/>
    <w:rsid w:val="00382E18"/>
    <w:rsid w:val="00382F72"/>
    <w:rsid w:val="003834F9"/>
    <w:rsid w:val="0038369C"/>
    <w:rsid w:val="00383A42"/>
    <w:rsid w:val="00383D1B"/>
    <w:rsid w:val="00383D65"/>
    <w:rsid w:val="00383D69"/>
    <w:rsid w:val="00383E08"/>
    <w:rsid w:val="00384368"/>
    <w:rsid w:val="003844D1"/>
    <w:rsid w:val="00384595"/>
    <w:rsid w:val="00384959"/>
    <w:rsid w:val="00384B20"/>
    <w:rsid w:val="00384BD4"/>
    <w:rsid w:val="00384F33"/>
    <w:rsid w:val="0038520A"/>
    <w:rsid w:val="00385227"/>
    <w:rsid w:val="00385392"/>
    <w:rsid w:val="0038560D"/>
    <w:rsid w:val="00385718"/>
    <w:rsid w:val="00385720"/>
    <w:rsid w:val="00385BE1"/>
    <w:rsid w:val="00385C05"/>
    <w:rsid w:val="00385E0E"/>
    <w:rsid w:val="00385F94"/>
    <w:rsid w:val="0038613F"/>
    <w:rsid w:val="00386197"/>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699"/>
    <w:rsid w:val="003917E3"/>
    <w:rsid w:val="00391CA6"/>
    <w:rsid w:val="0039213A"/>
    <w:rsid w:val="003921D2"/>
    <w:rsid w:val="0039230A"/>
    <w:rsid w:val="00392327"/>
    <w:rsid w:val="00392353"/>
    <w:rsid w:val="0039239D"/>
    <w:rsid w:val="003923B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4F48"/>
    <w:rsid w:val="00395373"/>
    <w:rsid w:val="003954B1"/>
    <w:rsid w:val="003955B5"/>
    <w:rsid w:val="00395876"/>
    <w:rsid w:val="00395967"/>
    <w:rsid w:val="00395B6B"/>
    <w:rsid w:val="00395C2B"/>
    <w:rsid w:val="00395CAE"/>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019"/>
    <w:rsid w:val="003A00FB"/>
    <w:rsid w:val="003A03C1"/>
    <w:rsid w:val="003A0486"/>
    <w:rsid w:val="003A057E"/>
    <w:rsid w:val="003A067E"/>
    <w:rsid w:val="003A0AB9"/>
    <w:rsid w:val="003A0AD7"/>
    <w:rsid w:val="003A0D5B"/>
    <w:rsid w:val="003A0EF0"/>
    <w:rsid w:val="003A0FFF"/>
    <w:rsid w:val="003A10D5"/>
    <w:rsid w:val="003A1113"/>
    <w:rsid w:val="003A1194"/>
    <w:rsid w:val="003A12BC"/>
    <w:rsid w:val="003A1452"/>
    <w:rsid w:val="003A150B"/>
    <w:rsid w:val="003A1813"/>
    <w:rsid w:val="003A18A4"/>
    <w:rsid w:val="003A197C"/>
    <w:rsid w:val="003A1A10"/>
    <w:rsid w:val="003A1BDA"/>
    <w:rsid w:val="003A1CFF"/>
    <w:rsid w:val="003A1D63"/>
    <w:rsid w:val="003A1DBA"/>
    <w:rsid w:val="003A1ED4"/>
    <w:rsid w:val="003A1FA6"/>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373"/>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72"/>
    <w:rsid w:val="003A73EB"/>
    <w:rsid w:val="003A745D"/>
    <w:rsid w:val="003A753E"/>
    <w:rsid w:val="003A7605"/>
    <w:rsid w:val="003A78C5"/>
    <w:rsid w:val="003A7AA7"/>
    <w:rsid w:val="003A7C53"/>
    <w:rsid w:val="003A7D05"/>
    <w:rsid w:val="003A7D64"/>
    <w:rsid w:val="003B00AE"/>
    <w:rsid w:val="003B0306"/>
    <w:rsid w:val="003B0365"/>
    <w:rsid w:val="003B07AC"/>
    <w:rsid w:val="003B08E8"/>
    <w:rsid w:val="003B09EC"/>
    <w:rsid w:val="003B0B19"/>
    <w:rsid w:val="003B0CA6"/>
    <w:rsid w:val="003B0D96"/>
    <w:rsid w:val="003B0D9A"/>
    <w:rsid w:val="003B0E65"/>
    <w:rsid w:val="003B0EF6"/>
    <w:rsid w:val="003B0FFF"/>
    <w:rsid w:val="003B121F"/>
    <w:rsid w:val="003B122B"/>
    <w:rsid w:val="003B126E"/>
    <w:rsid w:val="003B1A0F"/>
    <w:rsid w:val="003B1AC0"/>
    <w:rsid w:val="003B1D6F"/>
    <w:rsid w:val="003B1FE6"/>
    <w:rsid w:val="003B2035"/>
    <w:rsid w:val="003B2168"/>
    <w:rsid w:val="003B21DA"/>
    <w:rsid w:val="003B223B"/>
    <w:rsid w:val="003B2502"/>
    <w:rsid w:val="003B2664"/>
    <w:rsid w:val="003B27CC"/>
    <w:rsid w:val="003B298D"/>
    <w:rsid w:val="003B2CF2"/>
    <w:rsid w:val="003B2F25"/>
    <w:rsid w:val="003B3002"/>
    <w:rsid w:val="003B30AB"/>
    <w:rsid w:val="003B3E4A"/>
    <w:rsid w:val="003B480C"/>
    <w:rsid w:val="003B486E"/>
    <w:rsid w:val="003B48F2"/>
    <w:rsid w:val="003B4956"/>
    <w:rsid w:val="003B497D"/>
    <w:rsid w:val="003B4AA6"/>
    <w:rsid w:val="003B4E1F"/>
    <w:rsid w:val="003B4E60"/>
    <w:rsid w:val="003B5128"/>
    <w:rsid w:val="003B5268"/>
    <w:rsid w:val="003B5445"/>
    <w:rsid w:val="003B5675"/>
    <w:rsid w:val="003B58A1"/>
    <w:rsid w:val="003B5B4D"/>
    <w:rsid w:val="003B60FB"/>
    <w:rsid w:val="003B6C76"/>
    <w:rsid w:val="003B6E88"/>
    <w:rsid w:val="003B6F92"/>
    <w:rsid w:val="003B7000"/>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464"/>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233"/>
    <w:rsid w:val="003C43A6"/>
    <w:rsid w:val="003C43D1"/>
    <w:rsid w:val="003C4515"/>
    <w:rsid w:val="003C4840"/>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0BA"/>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3DE"/>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61"/>
    <w:rsid w:val="003D38C7"/>
    <w:rsid w:val="003D3981"/>
    <w:rsid w:val="003D3BFF"/>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E6"/>
    <w:rsid w:val="003D5DEC"/>
    <w:rsid w:val="003D5FE3"/>
    <w:rsid w:val="003D63C0"/>
    <w:rsid w:val="003D6498"/>
    <w:rsid w:val="003D6899"/>
    <w:rsid w:val="003D6B8C"/>
    <w:rsid w:val="003D6C7D"/>
    <w:rsid w:val="003D7368"/>
    <w:rsid w:val="003D7589"/>
    <w:rsid w:val="003D775F"/>
    <w:rsid w:val="003D7A34"/>
    <w:rsid w:val="003D7A93"/>
    <w:rsid w:val="003D7AB7"/>
    <w:rsid w:val="003D7AF8"/>
    <w:rsid w:val="003D7BA7"/>
    <w:rsid w:val="003E0153"/>
    <w:rsid w:val="003E051D"/>
    <w:rsid w:val="003E05FE"/>
    <w:rsid w:val="003E0645"/>
    <w:rsid w:val="003E06E1"/>
    <w:rsid w:val="003E0902"/>
    <w:rsid w:val="003E119D"/>
    <w:rsid w:val="003E1223"/>
    <w:rsid w:val="003E12C2"/>
    <w:rsid w:val="003E135D"/>
    <w:rsid w:val="003E1520"/>
    <w:rsid w:val="003E1DC8"/>
    <w:rsid w:val="003E1EEF"/>
    <w:rsid w:val="003E20C0"/>
    <w:rsid w:val="003E21A8"/>
    <w:rsid w:val="003E22EF"/>
    <w:rsid w:val="003E2554"/>
    <w:rsid w:val="003E281C"/>
    <w:rsid w:val="003E292E"/>
    <w:rsid w:val="003E2A2E"/>
    <w:rsid w:val="003E2B3B"/>
    <w:rsid w:val="003E2B91"/>
    <w:rsid w:val="003E2D06"/>
    <w:rsid w:val="003E2F5F"/>
    <w:rsid w:val="003E2F7A"/>
    <w:rsid w:val="003E30A6"/>
    <w:rsid w:val="003E3327"/>
    <w:rsid w:val="003E3356"/>
    <w:rsid w:val="003E3366"/>
    <w:rsid w:val="003E33F0"/>
    <w:rsid w:val="003E36B2"/>
    <w:rsid w:val="003E373A"/>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4F6"/>
    <w:rsid w:val="003E5628"/>
    <w:rsid w:val="003E56E1"/>
    <w:rsid w:val="003E5A69"/>
    <w:rsid w:val="003E5C42"/>
    <w:rsid w:val="003E5E13"/>
    <w:rsid w:val="003E5E2A"/>
    <w:rsid w:val="003E63C1"/>
    <w:rsid w:val="003E6569"/>
    <w:rsid w:val="003E6589"/>
    <w:rsid w:val="003E6BE1"/>
    <w:rsid w:val="003E703A"/>
    <w:rsid w:val="003E7118"/>
    <w:rsid w:val="003E723A"/>
    <w:rsid w:val="003E738E"/>
    <w:rsid w:val="003E744C"/>
    <w:rsid w:val="003E7552"/>
    <w:rsid w:val="003E778B"/>
    <w:rsid w:val="003E77E1"/>
    <w:rsid w:val="003E792A"/>
    <w:rsid w:val="003E7BD4"/>
    <w:rsid w:val="003E7DFC"/>
    <w:rsid w:val="003F0228"/>
    <w:rsid w:val="003F022F"/>
    <w:rsid w:val="003F0461"/>
    <w:rsid w:val="003F0781"/>
    <w:rsid w:val="003F07E2"/>
    <w:rsid w:val="003F0A92"/>
    <w:rsid w:val="003F0C88"/>
    <w:rsid w:val="003F0D04"/>
    <w:rsid w:val="003F0F52"/>
    <w:rsid w:val="003F10D9"/>
    <w:rsid w:val="003F122D"/>
    <w:rsid w:val="003F14D8"/>
    <w:rsid w:val="003F158D"/>
    <w:rsid w:val="003F1718"/>
    <w:rsid w:val="003F2191"/>
    <w:rsid w:val="003F21E4"/>
    <w:rsid w:val="003F2D0B"/>
    <w:rsid w:val="003F2E4F"/>
    <w:rsid w:val="003F306A"/>
    <w:rsid w:val="003F3126"/>
    <w:rsid w:val="003F31C1"/>
    <w:rsid w:val="003F3204"/>
    <w:rsid w:val="003F34D0"/>
    <w:rsid w:val="003F3583"/>
    <w:rsid w:val="003F35C9"/>
    <w:rsid w:val="003F36A6"/>
    <w:rsid w:val="003F380E"/>
    <w:rsid w:val="003F3847"/>
    <w:rsid w:val="003F3888"/>
    <w:rsid w:val="003F3DC8"/>
    <w:rsid w:val="003F3DD4"/>
    <w:rsid w:val="003F3F77"/>
    <w:rsid w:val="003F4362"/>
    <w:rsid w:val="003F43D6"/>
    <w:rsid w:val="003F479B"/>
    <w:rsid w:val="003F4827"/>
    <w:rsid w:val="003F4839"/>
    <w:rsid w:val="003F4843"/>
    <w:rsid w:val="003F494E"/>
    <w:rsid w:val="003F4950"/>
    <w:rsid w:val="003F4AF4"/>
    <w:rsid w:val="003F4BB2"/>
    <w:rsid w:val="003F4BC8"/>
    <w:rsid w:val="003F4E62"/>
    <w:rsid w:val="003F4F42"/>
    <w:rsid w:val="003F5537"/>
    <w:rsid w:val="003F55BE"/>
    <w:rsid w:val="003F57E9"/>
    <w:rsid w:val="003F583E"/>
    <w:rsid w:val="003F5CFF"/>
    <w:rsid w:val="003F6044"/>
    <w:rsid w:val="003F6088"/>
    <w:rsid w:val="003F6454"/>
    <w:rsid w:val="003F66BB"/>
    <w:rsid w:val="003F6817"/>
    <w:rsid w:val="003F6A80"/>
    <w:rsid w:val="003F6D84"/>
    <w:rsid w:val="003F6E46"/>
    <w:rsid w:val="003F6E64"/>
    <w:rsid w:val="003F6E8E"/>
    <w:rsid w:val="003F6EC1"/>
    <w:rsid w:val="003F73F7"/>
    <w:rsid w:val="003F7435"/>
    <w:rsid w:val="003F7536"/>
    <w:rsid w:val="003F78D1"/>
    <w:rsid w:val="003F7AB6"/>
    <w:rsid w:val="003F7D52"/>
    <w:rsid w:val="003F7EAC"/>
    <w:rsid w:val="003F7F50"/>
    <w:rsid w:val="00400054"/>
    <w:rsid w:val="0040014D"/>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432"/>
    <w:rsid w:val="00401613"/>
    <w:rsid w:val="004017EC"/>
    <w:rsid w:val="00401B1F"/>
    <w:rsid w:val="00401BF6"/>
    <w:rsid w:val="00401D93"/>
    <w:rsid w:val="00402436"/>
    <w:rsid w:val="004027F9"/>
    <w:rsid w:val="004029DF"/>
    <w:rsid w:val="004029EC"/>
    <w:rsid w:val="00402ABC"/>
    <w:rsid w:val="00402B02"/>
    <w:rsid w:val="00402B36"/>
    <w:rsid w:val="00402FE5"/>
    <w:rsid w:val="0040303D"/>
    <w:rsid w:val="004031A5"/>
    <w:rsid w:val="004032E4"/>
    <w:rsid w:val="00403574"/>
    <w:rsid w:val="004037EE"/>
    <w:rsid w:val="00403820"/>
    <w:rsid w:val="00403C92"/>
    <w:rsid w:val="00403D62"/>
    <w:rsid w:val="00403EDA"/>
    <w:rsid w:val="004040A9"/>
    <w:rsid w:val="00404198"/>
    <w:rsid w:val="00404311"/>
    <w:rsid w:val="004043B8"/>
    <w:rsid w:val="0040448E"/>
    <w:rsid w:val="00404538"/>
    <w:rsid w:val="0040453F"/>
    <w:rsid w:val="00404553"/>
    <w:rsid w:val="004046A0"/>
    <w:rsid w:val="004046AC"/>
    <w:rsid w:val="004047F7"/>
    <w:rsid w:val="00404BC7"/>
    <w:rsid w:val="00404F39"/>
    <w:rsid w:val="004050B1"/>
    <w:rsid w:val="004051B4"/>
    <w:rsid w:val="00405368"/>
    <w:rsid w:val="0040567F"/>
    <w:rsid w:val="004056C1"/>
    <w:rsid w:val="004056D6"/>
    <w:rsid w:val="00405789"/>
    <w:rsid w:val="00405940"/>
    <w:rsid w:val="00405BB1"/>
    <w:rsid w:val="00405C17"/>
    <w:rsid w:val="00405C81"/>
    <w:rsid w:val="00405CFC"/>
    <w:rsid w:val="004063CB"/>
    <w:rsid w:val="0040667F"/>
    <w:rsid w:val="004066DC"/>
    <w:rsid w:val="004067F2"/>
    <w:rsid w:val="004068D6"/>
    <w:rsid w:val="00406AC6"/>
    <w:rsid w:val="00406C82"/>
    <w:rsid w:val="00406D6D"/>
    <w:rsid w:val="00406DB3"/>
    <w:rsid w:val="00406E11"/>
    <w:rsid w:val="004072D4"/>
    <w:rsid w:val="0040762C"/>
    <w:rsid w:val="004076C9"/>
    <w:rsid w:val="00407728"/>
    <w:rsid w:val="00407796"/>
    <w:rsid w:val="00407A48"/>
    <w:rsid w:val="00407B86"/>
    <w:rsid w:val="004100CC"/>
    <w:rsid w:val="004100F9"/>
    <w:rsid w:val="00410544"/>
    <w:rsid w:val="0041090A"/>
    <w:rsid w:val="00410B05"/>
    <w:rsid w:val="00410C20"/>
    <w:rsid w:val="00410E28"/>
    <w:rsid w:val="004111AB"/>
    <w:rsid w:val="004112C2"/>
    <w:rsid w:val="0041152A"/>
    <w:rsid w:val="004117C1"/>
    <w:rsid w:val="004117CB"/>
    <w:rsid w:val="00411897"/>
    <w:rsid w:val="004118CE"/>
    <w:rsid w:val="004119DC"/>
    <w:rsid w:val="004119FE"/>
    <w:rsid w:val="00411C38"/>
    <w:rsid w:val="00411E61"/>
    <w:rsid w:val="00411EE0"/>
    <w:rsid w:val="00411F0E"/>
    <w:rsid w:val="0041230E"/>
    <w:rsid w:val="004124E0"/>
    <w:rsid w:val="00412548"/>
    <w:rsid w:val="00412715"/>
    <w:rsid w:val="00412768"/>
    <w:rsid w:val="00412C04"/>
    <w:rsid w:val="00412CAE"/>
    <w:rsid w:val="0041333F"/>
    <w:rsid w:val="00413352"/>
    <w:rsid w:val="0041350D"/>
    <w:rsid w:val="00413546"/>
    <w:rsid w:val="00413562"/>
    <w:rsid w:val="004137C5"/>
    <w:rsid w:val="00413AD8"/>
    <w:rsid w:val="00413CEA"/>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2C4"/>
    <w:rsid w:val="00417323"/>
    <w:rsid w:val="0041744C"/>
    <w:rsid w:val="0041748D"/>
    <w:rsid w:val="004178B4"/>
    <w:rsid w:val="00417A97"/>
    <w:rsid w:val="00417CB1"/>
    <w:rsid w:val="00417E6C"/>
    <w:rsid w:val="00417F67"/>
    <w:rsid w:val="004201A9"/>
    <w:rsid w:val="00420339"/>
    <w:rsid w:val="00420342"/>
    <w:rsid w:val="0042035E"/>
    <w:rsid w:val="0042059F"/>
    <w:rsid w:val="0042075F"/>
    <w:rsid w:val="00420950"/>
    <w:rsid w:val="00420986"/>
    <w:rsid w:val="00420A3C"/>
    <w:rsid w:val="00420A7F"/>
    <w:rsid w:val="00420C49"/>
    <w:rsid w:val="00420DA9"/>
    <w:rsid w:val="00420F35"/>
    <w:rsid w:val="00420FE6"/>
    <w:rsid w:val="0042128D"/>
    <w:rsid w:val="00421484"/>
    <w:rsid w:val="004214DB"/>
    <w:rsid w:val="004215B8"/>
    <w:rsid w:val="004217E2"/>
    <w:rsid w:val="00421BFB"/>
    <w:rsid w:val="00421D59"/>
    <w:rsid w:val="00421EB3"/>
    <w:rsid w:val="00422424"/>
    <w:rsid w:val="004226C2"/>
    <w:rsid w:val="004226E7"/>
    <w:rsid w:val="00422737"/>
    <w:rsid w:val="0042301A"/>
    <w:rsid w:val="00423170"/>
    <w:rsid w:val="004232CD"/>
    <w:rsid w:val="00423597"/>
    <w:rsid w:val="00423600"/>
    <w:rsid w:val="0042374E"/>
    <w:rsid w:val="004237FD"/>
    <w:rsid w:val="00423886"/>
    <w:rsid w:val="004239D8"/>
    <w:rsid w:val="00423B69"/>
    <w:rsid w:val="00423DA1"/>
    <w:rsid w:val="00424063"/>
    <w:rsid w:val="00424126"/>
    <w:rsid w:val="004241E2"/>
    <w:rsid w:val="004241FD"/>
    <w:rsid w:val="004244C4"/>
    <w:rsid w:val="00424855"/>
    <w:rsid w:val="00424975"/>
    <w:rsid w:val="00424A5B"/>
    <w:rsid w:val="00424BC4"/>
    <w:rsid w:val="00424E92"/>
    <w:rsid w:val="004250B7"/>
    <w:rsid w:val="0042512C"/>
    <w:rsid w:val="00425318"/>
    <w:rsid w:val="00425693"/>
    <w:rsid w:val="004257F4"/>
    <w:rsid w:val="00425966"/>
    <w:rsid w:val="00425A07"/>
    <w:rsid w:val="00425A93"/>
    <w:rsid w:val="00425AF3"/>
    <w:rsid w:val="00425C32"/>
    <w:rsid w:val="00425D2D"/>
    <w:rsid w:val="00425E34"/>
    <w:rsid w:val="0042603B"/>
    <w:rsid w:val="0042619A"/>
    <w:rsid w:val="00426255"/>
    <w:rsid w:val="004262D9"/>
    <w:rsid w:val="004263FE"/>
    <w:rsid w:val="004266D1"/>
    <w:rsid w:val="00426707"/>
    <w:rsid w:val="0042670D"/>
    <w:rsid w:val="00426B64"/>
    <w:rsid w:val="00426D3F"/>
    <w:rsid w:val="00426F2B"/>
    <w:rsid w:val="00426F88"/>
    <w:rsid w:val="004270A2"/>
    <w:rsid w:val="004272F1"/>
    <w:rsid w:val="00427334"/>
    <w:rsid w:val="00427411"/>
    <w:rsid w:val="004279F1"/>
    <w:rsid w:val="00427ADF"/>
    <w:rsid w:val="00427BC9"/>
    <w:rsid w:val="00427D91"/>
    <w:rsid w:val="00427EB3"/>
    <w:rsid w:val="00430090"/>
    <w:rsid w:val="004300C8"/>
    <w:rsid w:val="004300DC"/>
    <w:rsid w:val="004302BA"/>
    <w:rsid w:val="004304C5"/>
    <w:rsid w:val="004305CC"/>
    <w:rsid w:val="004306C8"/>
    <w:rsid w:val="004306F8"/>
    <w:rsid w:val="00430815"/>
    <w:rsid w:val="00430A3E"/>
    <w:rsid w:val="00430BC1"/>
    <w:rsid w:val="00430BDB"/>
    <w:rsid w:val="00430DE2"/>
    <w:rsid w:val="004310ED"/>
    <w:rsid w:val="00431249"/>
    <w:rsid w:val="004313E7"/>
    <w:rsid w:val="0043176C"/>
    <w:rsid w:val="00431A06"/>
    <w:rsid w:val="00431EB8"/>
    <w:rsid w:val="00431FE3"/>
    <w:rsid w:val="00432295"/>
    <w:rsid w:val="004322D9"/>
    <w:rsid w:val="004323E2"/>
    <w:rsid w:val="0043266A"/>
    <w:rsid w:val="00432B79"/>
    <w:rsid w:val="00432BDB"/>
    <w:rsid w:val="00432C5E"/>
    <w:rsid w:val="00432DDB"/>
    <w:rsid w:val="00432DDF"/>
    <w:rsid w:val="00432EBF"/>
    <w:rsid w:val="00432F21"/>
    <w:rsid w:val="00432F69"/>
    <w:rsid w:val="00433018"/>
    <w:rsid w:val="00433489"/>
    <w:rsid w:val="004335E9"/>
    <w:rsid w:val="00433602"/>
    <w:rsid w:val="004336C1"/>
    <w:rsid w:val="004336DF"/>
    <w:rsid w:val="00433978"/>
    <w:rsid w:val="00433B4F"/>
    <w:rsid w:val="00433CDD"/>
    <w:rsid w:val="00433CFA"/>
    <w:rsid w:val="00433E0B"/>
    <w:rsid w:val="0043405B"/>
    <w:rsid w:val="004340E0"/>
    <w:rsid w:val="004344B7"/>
    <w:rsid w:val="0043462A"/>
    <w:rsid w:val="00434840"/>
    <w:rsid w:val="004348A3"/>
    <w:rsid w:val="0043498E"/>
    <w:rsid w:val="004349BF"/>
    <w:rsid w:val="00434D74"/>
    <w:rsid w:val="00434F95"/>
    <w:rsid w:val="0043505E"/>
    <w:rsid w:val="00435337"/>
    <w:rsid w:val="004353C7"/>
    <w:rsid w:val="00435519"/>
    <w:rsid w:val="00435536"/>
    <w:rsid w:val="0043555B"/>
    <w:rsid w:val="00435F99"/>
    <w:rsid w:val="00436013"/>
    <w:rsid w:val="004364B0"/>
    <w:rsid w:val="004365B7"/>
    <w:rsid w:val="0043666B"/>
    <w:rsid w:val="004369BA"/>
    <w:rsid w:val="00436B53"/>
    <w:rsid w:val="00436BFB"/>
    <w:rsid w:val="00437070"/>
    <w:rsid w:val="004370F8"/>
    <w:rsid w:val="004376DC"/>
    <w:rsid w:val="0043770F"/>
    <w:rsid w:val="0043793E"/>
    <w:rsid w:val="004379AB"/>
    <w:rsid w:val="00437A34"/>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243"/>
    <w:rsid w:val="004423DE"/>
    <w:rsid w:val="004423F4"/>
    <w:rsid w:val="0044240E"/>
    <w:rsid w:val="00442431"/>
    <w:rsid w:val="00442543"/>
    <w:rsid w:val="004428A3"/>
    <w:rsid w:val="00442A84"/>
    <w:rsid w:val="00442BC6"/>
    <w:rsid w:val="004430BB"/>
    <w:rsid w:val="004431A7"/>
    <w:rsid w:val="00443636"/>
    <w:rsid w:val="0044365F"/>
    <w:rsid w:val="0044383B"/>
    <w:rsid w:val="00443B3F"/>
    <w:rsid w:val="00443B9B"/>
    <w:rsid w:val="00443BD1"/>
    <w:rsid w:val="0044440B"/>
    <w:rsid w:val="0044472F"/>
    <w:rsid w:val="00444783"/>
    <w:rsid w:val="00444A6C"/>
    <w:rsid w:val="00444C59"/>
    <w:rsid w:val="00444ED1"/>
    <w:rsid w:val="00444FC6"/>
    <w:rsid w:val="0044506C"/>
    <w:rsid w:val="00445422"/>
    <w:rsid w:val="0044563B"/>
    <w:rsid w:val="004457C8"/>
    <w:rsid w:val="004457EE"/>
    <w:rsid w:val="00445971"/>
    <w:rsid w:val="00445ABE"/>
    <w:rsid w:val="00445BC2"/>
    <w:rsid w:val="00445C65"/>
    <w:rsid w:val="00445C71"/>
    <w:rsid w:val="00445F8D"/>
    <w:rsid w:val="00446100"/>
    <w:rsid w:val="004461DB"/>
    <w:rsid w:val="00446268"/>
    <w:rsid w:val="00446335"/>
    <w:rsid w:val="00446497"/>
    <w:rsid w:val="004464FA"/>
    <w:rsid w:val="004466E4"/>
    <w:rsid w:val="00446A37"/>
    <w:rsid w:val="00446AB1"/>
    <w:rsid w:val="00446B58"/>
    <w:rsid w:val="00446C4E"/>
    <w:rsid w:val="00446C69"/>
    <w:rsid w:val="00446E59"/>
    <w:rsid w:val="004473B1"/>
    <w:rsid w:val="00447D56"/>
    <w:rsid w:val="00447E53"/>
    <w:rsid w:val="00447EB6"/>
    <w:rsid w:val="00447F16"/>
    <w:rsid w:val="004504F0"/>
    <w:rsid w:val="004504FE"/>
    <w:rsid w:val="00450D50"/>
    <w:rsid w:val="0045100C"/>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6"/>
    <w:rsid w:val="00452D68"/>
    <w:rsid w:val="00452F19"/>
    <w:rsid w:val="00453050"/>
    <w:rsid w:val="00453126"/>
    <w:rsid w:val="004531F7"/>
    <w:rsid w:val="00453259"/>
    <w:rsid w:val="00453E11"/>
    <w:rsid w:val="00453E33"/>
    <w:rsid w:val="00454330"/>
    <w:rsid w:val="00454349"/>
    <w:rsid w:val="0045438B"/>
    <w:rsid w:val="0045446D"/>
    <w:rsid w:val="004545E4"/>
    <w:rsid w:val="004546D5"/>
    <w:rsid w:val="004546EB"/>
    <w:rsid w:val="0045475C"/>
    <w:rsid w:val="004548F0"/>
    <w:rsid w:val="00454DA3"/>
    <w:rsid w:val="00455273"/>
    <w:rsid w:val="004553A0"/>
    <w:rsid w:val="004553BC"/>
    <w:rsid w:val="00455458"/>
    <w:rsid w:val="004556A1"/>
    <w:rsid w:val="0045593F"/>
    <w:rsid w:val="00455A69"/>
    <w:rsid w:val="00455D66"/>
    <w:rsid w:val="00455F7A"/>
    <w:rsid w:val="00455FBB"/>
    <w:rsid w:val="004560F5"/>
    <w:rsid w:val="00456253"/>
    <w:rsid w:val="004564C9"/>
    <w:rsid w:val="00456556"/>
    <w:rsid w:val="00456AA0"/>
    <w:rsid w:val="00456B07"/>
    <w:rsid w:val="00456C34"/>
    <w:rsid w:val="00456CE2"/>
    <w:rsid w:val="00456DC5"/>
    <w:rsid w:val="00456E5E"/>
    <w:rsid w:val="00456E6D"/>
    <w:rsid w:val="0045701E"/>
    <w:rsid w:val="00457393"/>
    <w:rsid w:val="0045745E"/>
    <w:rsid w:val="00457560"/>
    <w:rsid w:val="0045782B"/>
    <w:rsid w:val="00457BD8"/>
    <w:rsid w:val="00457D39"/>
    <w:rsid w:val="00457F6E"/>
    <w:rsid w:val="00457F79"/>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CDF"/>
    <w:rsid w:val="00462F1C"/>
    <w:rsid w:val="00462F92"/>
    <w:rsid w:val="004632F6"/>
    <w:rsid w:val="0046349B"/>
    <w:rsid w:val="00463507"/>
    <w:rsid w:val="004635E0"/>
    <w:rsid w:val="004637A0"/>
    <w:rsid w:val="004637D6"/>
    <w:rsid w:val="004638F4"/>
    <w:rsid w:val="00463A6B"/>
    <w:rsid w:val="00463BB3"/>
    <w:rsid w:val="00463E7C"/>
    <w:rsid w:val="00463F8B"/>
    <w:rsid w:val="00463F8F"/>
    <w:rsid w:val="00463FFE"/>
    <w:rsid w:val="004640D7"/>
    <w:rsid w:val="0046415A"/>
    <w:rsid w:val="00464196"/>
    <w:rsid w:val="004641E8"/>
    <w:rsid w:val="0046420E"/>
    <w:rsid w:val="00464298"/>
    <w:rsid w:val="004646E9"/>
    <w:rsid w:val="0046488C"/>
    <w:rsid w:val="0046489E"/>
    <w:rsid w:val="00464A4E"/>
    <w:rsid w:val="00464AC3"/>
    <w:rsid w:val="00464C7D"/>
    <w:rsid w:val="00464CE2"/>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A43"/>
    <w:rsid w:val="00466DB7"/>
    <w:rsid w:val="00466FCB"/>
    <w:rsid w:val="004671AE"/>
    <w:rsid w:val="004672B1"/>
    <w:rsid w:val="004672EF"/>
    <w:rsid w:val="0046732E"/>
    <w:rsid w:val="00467A55"/>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1EBE"/>
    <w:rsid w:val="00472016"/>
    <w:rsid w:val="00472039"/>
    <w:rsid w:val="0047209C"/>
    <w:rsid w:val="004720D5"/>
    <w:rsid w:val="00472355"/>
    <w:rsid w:val="00472384"/>
    <w:rsid w:val="00472423"/>
    <w:rsid w:val="004724EE"/>
    <w:rsid w:val="004728DE"/>
    <w:rsid w:val="0047297D"/>
    <w:rsid w:val="00472C48"/>
    <w:rsid w:val="00472EB7"/>
    <w:rsid w:val="00472EF7"/>
    <w:rsid w:val="004730D6"/>
    <w:rsid w:val="0047351A"/>
    <w:rsid w:val="004736AF"/>
    <w:rsid w:val="00473B52"/>
    <w:rsid w:val="00473BCA"/>
    <w:rsid w:val="00473DDD"/>
    <w:rsid w:val="00473E75"/>
    <w:rsid w:val="00473F03"/>
    <w:rsid w:val="00473F20"/>
    <w:rsid w:val="00473F25"/>
    <w:rsid w:val="00473F99"/>
    <w:rsid w:val="00474059"/>
    <w:rsid w:val="00474153"/>
    <w:rsid w:val="004741B0"/>
    <w:rsid w:val="004741ED"/>
    <w:rsid w:val="00474489"/>
    <w:rsid w:val="00474494"/>
    <w:rsid w:val="004747C0"/>
    <w:rsid w:val="00474901"/>
    <w:rsid w:val="004749B1"/>
    <w:rsid w:val="00474D4D"/>
    <w:rsid w:val="00474DB4"/>
    <w:rsid w:val="00474F7A"/>
    <w:rsid w:val="00475106"/>
    <w:rsid w:val="004755A4"/>
    <w:rsid w:val="004755B2"/>
    <w:rsid w:val="00475607"/>
    <w:rsid w:val="004759D6"/>
    <w:rsid w:val="00475DDF"/>
    <w:rsid w:val="00475EB7"/>
    <w:rsid w:val="00475EF9"/>
    <w:rsid w:val="004760A4"/>
    <w:rsid w:val="00476129"/>
    <w:rsid w:val="0047647F"/>
    <w:rsid w:val="00476816"/>
    <w:rsid w:val="00476822"/>
    <w:rsid w:val="004768A1"/>
    <w:rsid w:val="004769D3"/>
    <w:rsid w:val="004769D5"/>
    <w:rsid w:val="00477802"/>
    <w:rsid w:val="00477938"/>
    <w:rsid w:val="00477B54"/>
    <w:rsid w:val="00477B57"/>
    <w:rsid w:val="00480096"/>
    <w:rsid w:val="004802F4"/>
    <w:rsid w:val="004807A8"/>
    <w:rsid w:val="0048093B"/>
    <w:rsid w:val="004809A3"/>
    <w:rsid w:val="00480F1D"/>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903"/>
    <w:rsid w:val="00482B33"/>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75"/>
    <w:rsid w:val="004844DB"/>
    <w:rsid w:val="00484762"/>
    <w:rsid w:val="0048479B"/>
    <w:rsid w:val="00484B12"/>
    <w:rsid w:val="00484B2D"/>
    <w:rsid w:val="00484B3E"/>
    <w:rsid w:val="00484EE4"/>
    <w:rsid w:val="004852EE"/>
    <w:rsid w:val="00485858"/>
    <w:rsid w:val="00485904"/>
    <w:rsid w:val="004859CD"/>
    <w:rsid w:val="00485C1D"/>
    <w:rsid w:val="00485C55"/>
    <w:rsid w:val="00485E19"/>
    <w:rsid w:val="004860C5"/>
    <w:rsid w:val="0048613E"/>
    <w:rsid w:val="00486215"/>
    <w:rsid w:val="00486672"/>
    <w:rsid w:val="00486A3E"/>
    <w:rsid w:val="00486AC4"/>
    <w:rsid w:val="00486BB9"/>
    <w:rsid w:val="00486EC6"/>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B65"/>
    <w:rsid w:val="00490CE2"/>
    <w:rsid w:val="00490F7C"/>
    <w:rsid w:val="004910E9"/>
    <w:rsid w:val="00491173"/>
    <w:rsid w:val="00491443"/>
    <w:rsid w:val="004915BF"/>
    <w:rsid w:val="00491711"/>
    <w:rsid w:val="00491735"/>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0D3"/>
    <w:rsid w:val="004931DB"/>
    <w:rsid w:val="00493278"/>
    <w:rsid w:val="0049334B"/>
    <w:rsid w:val="004933AD"/>
    <w:rsid w:val="004936C0"/>
    <w:rsid w:val="0049379C"/>
    <w:rsid w:val="00493956"/>
    <w:rsid w:val="00493F7B"/>
    <w:rsid w:val="004940F6"/>
    <w:rsid w:val="004941FC"/>
    <w:rsid w:val="00494240"/>
    <w:rsid w:val="004942E4"/>
    <w:rsid w:val="00494333"/>
    <w:rsid w:val="00494904"/>
    <w:rsid w:val="004949B4"/>
    <w:rsid w:val="00494C2E"/>
    <w:rsid w:val="00494EF5"/>
    <w:rsid w:val="00495188"/>
    <w:rsid w:val="0049534C"/>
    <w:rsid w:val="00495397"/>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85"/>
    <w:rsid w:val="00497AF8"/>
    <w:rsid w:val="00497D3E"/>
    <w:rsid w:val="004A00A0"/>
    <w:rsid w:val="004A039F"/>
    <w:rsid w:val="004A053C"/>
    <w:rsid w:val="004A06C1"/>
    <w:rsid w:val="004A0B5A"/>
    <w:rsid w:val="004A0B66"/>
    <w:rsid w:val="004A0FC8"/>
    <w:rsid w:val="004A1240"/>
    <w:rsid w:val="004A1346"/>
    <w:rsid w:val="004A1636"/>
    <w:rsid w:val="004A1C93"/>
    <w:rsid w:val="004A1F90"/>
    <w:rsid w:val="004A24C2"/>
    <w:rsid w:val="004A2583"/>
    <w:rsid w:val="004A273A"/>
    <w:rsid w:val="004A27FC"/>
    <w:rsid w:val="004A2810"/>
    <w:rsid w:val="004A2945"/>
    <w:rsid w:val="004A2C49"/>
    <w:rsid w:val="004A2FA0"/>
    <w:rsid w:val="004A30E8"/>
    <w:rsid w:val="004A35D1"/>
    <w:rsid w:val="004A3719"/>
    <w:rsid w:val="004A3941"/>
    <w:rsid w:val="004A3C5F"/>
    <w:rsid w:val="004A3C67"/>
    <w:rsid w:val="004A3CE4"/>
    <w:rsid w:val="004A3DB8"/>
    <w:rsid w:val="004A3E15"/>
    <w:rsid w:val="004A3FA4"/>
    <w:rsid w:val="004A406D"/>
    <w:rsid w:val="004A40A3"/>
    <w:rsid w:val="004A425A"/>
    <w:rsid w:val="004A4329"/>
    <w:rsid w:val="004A43A8"/>
    <w:rsid w:val="004A44F5"/>
    <w:rsid w:val="004A458C"/>
    <w:rsid w:val="004A4670"/>
    <w:rsid w:val="004A4848"/>
    <w:rsid w:val="004A48BB"/>
    <w:rsid w:val="004A4CB1"/>
    <w:rsid w:val="004A4F52"/>
    <w:rsid w:val="004A4F88"/>
    <w:rsid w:val="004A4FB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6F6"/>
    <w:rsid w:val="004A776F"/>
    <w:rsid w:val="004A786A"/>
    <w:rsid w:val="004A78F8"/>
    <w:rsid w:val="004B00A9"/>
    <w:rsid w:val="004B0420"/>
    <w:rsid w:val="004B0461"/>
    <w:rsid w:val="004B0495"/>
    <w:rsid w:val="004B0575"/>
    <w:rsid w:val="004B07E2"/>
    <w:rsid w:val="004B08FE"/>
    <w:rsid w:val="004B0983"/>
    <w:rsid w:val="004B0A52"/>
    <w:rsid w:val="004B0BD6"/>
    <w:rsid w:val="004B0FCE"/>
    <w:rsid w:val="004B1124"/>
    <w:rsid w:val="004B1186"/>
    <w:rsid w:val="004B14FA"/>
    <w:rsid w:val="004B1565"/>
    <w:rsid w:val="004B1687"/>
    <w:rsid w:val="004B1D68"/>
    <w:rsid w:val="004B1FD7"/>
    <w:rsid w:val="004B2764"/>
    <w:rsid w:val="004B2C16"/>
    <w:rsid w:val="004B2C7A"/>
    <w:rsid w:val="004B2EF7"/>
    <w:rsid w:val="004B2FC6"/>
    <w:rsid w:val="004B350E"/>
    <w:rsid w:val="004B3630"/>
    <w:rsid w:val="004B39DB"/>
    <w:rsid w:val="004B3B99"/>
    <w:rsid w:val="004B3D57"/>
    <w:rsid w:val="004B40F6"/>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3F3"/>
    <w:rsid w:val="004B6486"/>
    <w:rsid w:val="004B65C1"/>
    <w:rsid w:val="004B662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371"/>
    <w:rsid w:val="004C03CD"/>
    <w:rsid w:val="004C0490"/>
    <w:rsid w:val="004C0721"/>
    <w:rsid w:val="004C100B"/>
    <w:rsid w:val="004C11AB"/>
    <w:rsid w:val="004C130F"/>
    <w:rsid w:val="004C1409"/>
    <w:rsid w:val="004C147D"/>
    <w:rsid w:val="004C153A"/>
    <w:rsid w:val="004C16AA"/>
    <w:rsid w:val="004C19F0"/>
    <w:rsid w:val="004C1C8D"/>
    <w:rsid w:val="004C1D42"/>
    <w:rsid w:val="004C1D65"/>
    <w:rsid w:val="004C1F3B"/>
    <w:rsid w:val="004C2112"/>
    <w:rsid w:val="004C2120"/>
    <w:rsid w:val="004C228C"/>
    <w:rsid w:val="004C22D4"/>
    <w:rsid w:val="004C22FC"/>
    <w:rsid w:val="004C2547"/>
    <w:rsid w:val="004C2840"/>
    <w:rsid w:val="004C288A"/>
    <w:rsid w:val="004C2F53"/>
    <w:rsid w:val="004C2F6C"/>
    <w:rsid w:val="004C306D"/>
    <w:rsid w:val="004C3202"/>
    <w:rsid w:val="004C325D"/>
    <w:rsid w:val="004C3317"/>
    <w:rsid w:val="004C36AD"/>
    <w:rsid w:val="004C36B4"/>
    <w:rsid w:val="004C3976"/>
    <w:rsid w:val="004C39EC"/>
    <w:rsid w:val="004C3AC3"/>
    <w:rsid w:val="004C3D8B"/>
    <w:rsid w:val="004C3DB9"/>
    <w:rsid w:val="004C3DCE"/>
    <w:rsid w:val="004C3F4B"/>
    <w:rsid w:val="004C4082"/>
    <w:rsid w:val="004C40CF"/>
    <w:rsid w:val="004C43B8"/>
    <w:rsid w:val="004C470C"/>
    <w:rsid w:val="004C4864"/>
    <w:rsid w:val="004C486E"/>
    <w:rsid w:val="004C4A2C"/>
    <w:rsid w:val="004C4A30"/>
    <w:rsid w:val="004C4AE7"/>
    <w:rsid w:val="004C4BCC"/>
    <w:rsid w:val="004C4D68"/>
    <w:rsid w:val="004C4D88"/>
    <w:rsid w:val="004C508A"/>
    <w:rsid w:val="004C50AA"/>
    <w:rsid w:val="004C51EB"/>
    <w:rsid w:val="004C5516"/>
    <w:rsid w:val="004C554D"/>
    <w:rsid w:val="004C5695"/>
    <w:rsid w:val="004C5868"/>
    <w:rsid w:val="004C58D8"/>
    <w:rsid w:val="004C59D6"/>
    <w:rsid w:val="004C5A33"/>
    <w:rsid w:val="004C5BB5"/>
    <w:rsid w:val="004C5D01"/>
    <w:rsid w:val="004C5E1F"/>
    <w:rsid w:val="004C5E27"/>
    <w:rsid w:val="004C5E60"/>
    <w:rsid w:val="004C5E8F"/>
    <w:rsid w:val="004C5F7D"/>
    <w:rsid w:val="004C64F6"/>
    <w:rsid w:val="004C6756"/>
    <w:rsid w:val="004C6B5D"/>
    <w:rsid w:val="004C6C22"/>
    <w:rsid w:val="004C704C"/>
    <w:rsid w:val="004C7211"/>
    <w:rsid w:val="004C72E1"/>
    <w:rsid w:val="004C7D3A"/>
    <w:rsid w:val="004C7E70"/>
    <w:rsid w:val="004D03B1"/>
    <w:rsid w:val="004D03CC"/>
    <w:rsid w:val="004D053C"/>
    <w:rsid w:val="004D05FF"/>
    <w:rsid w:val="004D074C"/>
    <w:rsid w:val="004D0872"/>
    <w:rsid w:val="004D0C2E"/>
    <w:rsid w:val="004D0CF5"/>
    <w:rsid w:val="004D0E23"/>
    <w:rsid w:val="004D0FEC"/>
    <w:rsid w:val="004D10AC"/>
    <w:rsid w:val="004D10FD"/>
    <w:rsid w:val="004D1154"/>
    <w:rsid w:val="004D1191"/>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52F"/>
    <w:rsid w:val="004D354E"/>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633"/>
    <w:rsid w:val="004D57ED"/>
    <w:rsid w:val="004D598D"/>
    <w:rsid w:val="004D5BC2"/>
    <w:rsid w:val="004D5BE8"/>
    <w:rsid w:val="004D5E46"/>
    <w:rsid w:val="004D64B2"/>
    <w:rsid w:val="004D66C9"/>
    <w:rsid w:val="004D66D9"/>
    <w:rsid w:val="004D6765"/>
    <w:rsid w:val="004D6B60"/>
    <w:rsid w:val="004D6FC1"/>
    <w:rsid w:val="004D7442"/>
    <w:rsid w:val="004D7568"/>
    <w:rsid w:val="004D75A7"/>
    <w:rsid w:val="004D78AA"/>
    <w:rsid w:val="004D79C6"/>
    <w:rsid w:val="004D7DEA"/>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CA9"/>
    <w:rsid w:val="004E1D7B"/>
    <w:rsid w:val="004E1FF2"/>
    <w:rsid w:val="004E2740"/>
    <w:rsid w:val="004E2772"/>
    <w:rsid w:val="004E2DF0"/>
    <w:rsid w:val="004E2EAE"/>
    <w:rsid w:val="004E31D9"/>
    <w:rsid w:val="004E3204"/>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D39"/>
    <w:rsid w:val="004E5E78"/>
    <w:rsid w:val="004E5E8F"/>
    <w:rsid w:val="004E5F14"/>
    <w:rsid w:val="004E6220"/>
    <w:rsid w:val="004E6330"/>
    <w:rsid w:val="004E6474"/>
    <w:rsid w:val="004E6487"/>
    <w:rsid w:val="004E651E"/>
    <w:rsid w:val="004E660C"/>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D16"/>
    <w:rsid w:val="004E7E0B"/>
    <w:rsid w:val="004F0319"/>
    <w:rsid w:val="004F0731"/>
    <w:rsid w:val="004F0747"/>
    <w:rsid w:val="004F0ACD"/>
    <w:rsid w:val="004F0DC1"/>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C23"/>
    <w:rsid w:val="004F2D9A"/>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D17"/>
    <w:rsid w:val="004F4FDD"/>
    <w:rsid w:val="004F50AD"/>
    <w:rsid w:val="004F535D"/>
    <w:rsid w:val="004F54BD"/>
    <w:rsid w:val="004F55EA"/>
    <w:rsid w:val="004F599C"/>
    <w:rsid w:val="004F6066"/>
    <w:rsid w:val="004F61E3"/>
    <w:rsid w:val="004F6349"/>
    <w:rsid w:val="004F639C"/>
    <w:rsid w:val="004F6435"/>
    <w:rsid w:val="004F66C8"/>
    <w:rsid w:val="004F670B"/>
    <w:rsid w:val="004F68E3"/>
    <w:rsid w:val="004F6B36"/>
    <w:rsid w:val="004F6DC6"/>
    <w:rsid w:val="004F6E67"/>
    <w:rsid w:val="004F70B5"/>
    <w:rsid w:val="004F75F7"/>
    <w:rsid w:val="004F7691"/>
    <w:rsid w:val="004F78C8"/>
    <w:rsid w:val="004F7A5D"/>
    <w:rsid w:val="004F7B83"/>
    <w:rsid w:val="004F7D30"/>
    <w:rsid w:val="004F7DAE"/>
    <w:rsid w:val="004F7FC7"/>
    <w:rsid w:val="0050023C"/>
    <w:rsid w:val="00500AC9"/>
    <w:rsid w:val="00500DA9"/>
    <w:rsid w:val="00500FA8"/>
    <w:rsid w:val="005013E9"/>
    <w:rsid w:val="005015E0"/>
    <w:rsid w:val="00501649"/>
    <w:rsid w:val="00501682"/>
    <w:rsid w:val="005016C9"/>
    <w:rsid w:val="005017FC"/>
    <w:rsid w:val="00501942"/>
    <w:rsid w:val="00501BD4"/>
    <w:rsid w:val="00501E75"/>
    <w:rsid w:val="00502355"/>
    <w:rsid w:val="005024F5"/>
    <w:rsid w:val="00502573"/>
    <w:rsid w:val="0050271D"/>
    <w:rsid w:val="00502728"/>
    <w:rsid w:val="00502DA6"/>
    <w:rsid w:val="0050319D"/>
    <w:rsid w:val="005031B4"/>
    <w:rsid w:val="00503228"/>
    <w:rsid w:val="00503327"/>
    <w:rsid w:val="005034A0"/>
    <w:rsid w:val="005035D6"/>
    <w:rsid w:val="00503948"/>
    <w:rsid w:val="005039CC"/>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780"/>
    <w:rsid w:val="0050693D"/>
    <w:rsid w:val="00506B42"/>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76"/>
    <w:rsid w:val="00507EC6"/>
    <w:rsid w:val="00510035"/>
    <w:rsid w:val="005100D9"/>
    <w:rsid w:val="005104C5"/>
    <w:rsid w:val="0051058D"/>
    <w:rsid w:val="0051066B"/>
    <w:rsid w:val="00510766"/>
    <w:rsid w:val="0051082E"/>
    <w:rsid w:val="00510C64"/>
    <w:rsid w:val="00510DE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6EA"/>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8D"/>
    <w:rsid w:val="005161C1"/>
    <w:rsid w:val="005167F0"/>
    <w:rsid w:val="0051687D"/>
    <w:rsid w:val="005169B6"/>
    <w:rsid w:val="00516B04"/>
    <w:rsid w:val="00516F93"/>
    <w:rsid w:val="00517139"/>
    <w:rsid w:val="0051713F"/>
    <w:rsid w:val="00517299"/>
    <w:rsid w:val="00517441"/>
    <w:rsid w:val="005176F7"/>
    <w:rsid w:val="005177DB"/>
    <w:rsid w:val="00517830"/>
    <w:rsid w:val="00517871"/>
    <w:rsid w:val="005178F0"/>
    <w:rsid w:val="00517A3D"/>
    <w:rsid w:val="00517A74"/>
    <w:rsid w:val="00517EE4"/>
    <w:rsid w:val="00517F52"/>
    <w:rsid w:val="0052017B"/>
    <w:rsid w:val="0052052D"/>
    <w:rsid w:val="005205B6"/>
    <w:rsid w:val="00520708"/>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58B"/>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8E"/>
    <w:rsid w:val="005262A1"/>
    <w:rsid w:val="005264CD"/>
    <w:rsid w:val="005266BF"/>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664"/>
    <w:rsid w:val="005338EA"/>
    <w:rsid w:val="00533912"/>
    <w:rsid w:val="00533C0A"/>
    <w:rsid w:val="00533C2D"/>
    <w:rsid w:val="00533F25"/>
    <w:rsid w:val="00533FD9"/>
    <w:rsid w:val="005341C6"/>
    <w:rsid w:val="00534376"/>
    <w:rsid w:val="0053484F"/>
    <w:rsid w:val="00534959"/>
    <w:rsid w:val="00534A24"/>
    <w:rsid w:val="00534BBD"/>
    <w:rsid w:val="00534BD4"/>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9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BD7"/>
    <w:rsid w:val="00540C88"/>
    <w:rsid w:val="00540D31"/>
    <w:rsid w:val="00540D35"/>
    <w:rsid w:val="00540D81"/>
    <w:rsid w:val="00540D97"/>
    <w:rsid w:val="00540EBE"/>
    <w:rsid w:val="00540F79"/>
    <w:rsid w:val="00541207"/>
    <w:rsid w:val="0054132D"/>
    <w:rsid w:val="00541555"/>
    <w:rsid w:val="00541AD3"/>
    <w:rsid w:val="00541B36"/>
    <w:rsid w:val="00541CD1"/>
    <w:rsid w:val="00541DC9"/>
    <w:rsid w:val="00541E06"/>
    <w:rsid w:val="00541FCC"/>
    <w:rsid w:val="00542053"/>
    <w:rsid w:val="0054209A"/>
    <w:rsid w:val="005420E4"/>
    <w:rsid w:val="005421B1"/>
    <w:rsid w:val="00542212"/>
    <w:rsid w:val="005423A5"/>
    <w:rsid w:val="0054284A"/>
    <w:rsid w:val="005429E1"/>
    <w:rsid w:val="00542B25"/>
    <w:rsid w:val="00542DD5"/>
    <w:rsid w:val="005433E9"/>
    <w:rsid w:val="00543555"/>
    <w:rsid w:val="0054384C"/>
    <w:rsid w:val="00543983"/>
    <w:rsid w:val="00543AC9"/>
    <w:rsid w:val="00543AE6"/>
    <w:rsid w:val="00543B25"/>
    <w:rsid w:val="00543BCD"/>
    <w:rsid w:val="00543DE6"/>
    <w:rsid w:val="00543DF4"/>
    <w:rsid w:val="00543F80"/>
    <w:rsid w:val="0054402D"/>
    <w:rsid w:val="00544325"/>
    <w:rsid w:val="005446DB"/>
    <w:rsid w:val="0054492F"/>
    <w:rsid w:val="00544BD5"/>
    <w:rsid w:val="00544C4D"/>
    <w:rsid w:val="00545039"/>
    <w:rsid w:val="00545139"/>
    <w:rsid w:val="00545171"/>
    <w:rsid w:val="00545239"/>
    <w:rsid w:val="00545306"/>
    <w:rsid w:val="0054552D"/>
    <w:rsid w:val="00545B6F"/>
    <w:rsid w:val="00545B72"/>
    <w:rsid w:val="00545D40"/>
    <w:rsid w:val="00545DCC"/>
    <w:rsid w:val="00545EE0"/>
    <w:rsid w:val="00545EE7"/>
    <w:rsid w:val="00545FEA"/>
    <w:rsid w:val="00546087"/>
    <w:rsid w:val="005462C8"/>
    <w:rsid w:val="0054637F"/>
    <w:rsid w:val="00546442"/>
    <w:rsid w:val="005465AC"/>
    <w:rsid w:val="00546609"/>
    <w:rsid w:val="005466CB"/>
    <w:rsid w:val="005467F8"/>
    <w:rsid w:val="0054685F"/>
    <w:rsid w:val="00546860"/>
    <w:rsid w:val="00546C93"/>
    <w:rsid w:val="00547183"/>
    <w:rsid w:val="005471CF"/>
    <w:rsid w:val="0054720F"/>
    <w:rsid w:val="005473EF"/>
    <w:rsid w:val="00547524"/>
    <w:rsid w:val="005476CA"/>
    <w:rsid w:val="005478D7"/>
    <w:rsid w:val="00547F9C"/>
    <w:rsid w:val="005501FB"/>
    <w:rsid w:val="005503D2"/>
    <w:rsid w:val="005505D4"/>
    <w:rsid w:val="005506ED"/>
    <w:rsid w:val="00550771"/>
    <w:rsid w:val="005507E7"/>
    <w:rsid w:val="0055095F"/>
    <w:rsid w:val="005509B9"/>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D99"/>
    <w:rsid w:val="00553E7F"/>
    <w:rsid w:val="00553FC8"/>
    <w:rsid w:val="00553FF7"/>
    <w:rsid w:val="00554519"/>
    <w:rsid w:val="00554554"/>
    <w:rsid w:val="00554643"/>
    <w:rsid w:val="005546F8"/>
    <w:rsid w:val="00554735"/>
    <w:rsid w:val="005548AC"/>
    <w:rsid w:val="00554FE7"/>
    <w:rsid w:val="00555056"/>
    <w:rsid w:val="0055508D"/>
    <w:rsid w:val="005550F2"/>
    <w:rsid w:val="00555341"/>
    <w:rsid w:val="005559CB"/>
    <w:rsid w:val="00555A56"/>
    <w:rsid w:val="00555AC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DB7"/>
    <w:rsid w:val="00556E9E"/>
    <w:rsid w:val="005571A1"/>
    <w:rsid w:val="00557648"/>
    <w:rsid w:val="005577C4"/>
    <w:rsid w:val="00557D30"/>
    <w:rsid w:val="00560344"/>
    <w:rsid w:val="005603D9"/>
    <w:rsid w:val="00560420"/>
    <w:rsid w:val="0056044E"/>
    <w:rsid w:val="0056055F"/>
    <w:rsid w:val="005607CA"/>
    <w:rsid w:val="005608DB"/>
    <w:rsid w:val="00561001"/>
    <w:rsid w:val="00561038"/>
    <w:rsid w:val="00561075"/>
    <w:rsid w:val="005611A8"/>
    <w:rsid w:val="00561329"/>
    <w:rsid w:val="00561446"/>
    <w:rsid w:val="0056153B"/>
    <w:rsid w:val="005617D0"/>
    <w:rsid w:val="005618F1"/>
    <w:rsid w:val="00561AC8"/>
    <w:rsid w:val="00561AD8"/>
    <w:rsid w:val="00561C44"/>
    <w:rsid w:val="00561E31"/>
    <w:rsid w:val="00561FAD"/>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0"/>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4C2"/>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52C"/>
    <w:rsid w:val="00570707"/>
    <w:rsid w:val="00570896"/>
    <w:rsid w:val="005708B3"/>
    <w:rsid w:val="00571152"/>
    <w:rsid w:val="005715E8"/>
    <w:rsid w:val="0057164E"/>
    <w:rsid w:val="005717D2"/>
    <w:rsid w:val="00571987"/>
    <w:rsid w:val="00571C53"/>
    <w:rsid w:val="00571C5B"/>
    <w:rsid w:val="00571FD3"/>
    <w:rsid w:val="00572088"/>
    <w:rsid w:val="0057212C"/>
    <w:rsid w:val="00572859"/>
    <w:rsid w:val="00572941"/>
    <w:rsid w:val="00572B74"/>
    <w:rsid w:val="00572CB1"/>
    <w:rsid w:val="00572DEE"/>
    <w:rsid w:val="0057335A"/>
    <w:rsid w:val="005735DF"/>
    <w:rsid w:val="00573815"/>
    <w:rsid w:val="0057393D"/>
    <w:rsid w:val="00573978"/>
    <w:rsid w:val="00573AC3"/>
    <w:rsid w:val="00573C9E"/>
    <w:rsid w:val="00573E28"/>
    <w:rsid w:val="005740C0"/>
    <w:rsid w:val="00574280"/>
    <w:rsid w:val="005742E1"/>
    <w:rsid w:val="00574424"/>
    <w:rsid w:val="005744BF"/>
    <w:rsid w:val="00574529"/>
    <w:rsid w:val="0057456B"/>
    <w:rsid w:val="00574C88"/>
    <w:rsid w:val="00574F21"/>
    <w:rsid w:val="005750CD"/>
    <w:rsid w:val="00575315"/>
    <w:rsid w:val="00575378"/>
    <w:rsid w:val="005754EE"/>
    <w:rsid w:val="00575506"/>
    <w:rsid w:val="00575AEB"/>
    <w:rsid w:val="00575E57"/>
    <w:rsid w:val="0057601E"/>
    <w:rsid w:val="00576180"/>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3C7"/>
    <w:rsid w:val="0057777F"/>
    <w:rsid w:val="005779CF"/>
    <w:rsid w:val="00577BEE"/>
    <w:rsid w:val="00577DDD"/>
    <w:rsid w:val="00577F0C"/>
    <w:rsid w:val="00577F3D"/>
    <w:rsid w:val="00577FA5"/>
    <w:rsid w:val="00580073"/>
    <w:rsid w:val="00580602"/>
    <w:rsid w:val="00580669"/>
    <w:rsid w:val="00580B68"/>
    <w:rsid w:val="00580D5A"/>
    <w:rsid w:val="00580F2F"/>
    <w:rsid w:val="00581066"/>
    <w:rsid w:val="005811FF"/>
    <w:rsid w:val="00581413"/>
    <w:rsid w:val="00581442"/>
    <w:rsid w:val="00581498"/>
    <w:rsid w:val="0058159F"/>
    <w:rsid w:val="005815A1"/>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42B"/>
    <w:rsid w:val="0058361D"/>
    <w:rsid w:val="005839EF"/>
    <w:rsid w:val="00583E24"/>
    <w:rsid w:val="00584267"/>
    <w:rsid w:val="00584368"/>
    <w:rsid w:val="005845B8"/>
    <w:rsid w:val="005845EF"/>
    <w:rsid w:val="00584860"/>
    <w:rsid w:val="00584865"/>
    <w:rsid w:val="00584D9D"/>
    <w:rsid w:val="00584EAC"/>
    <w:rsid w:val="00585427"/>
    <w:rsid w:val="0058555E"/>
    <w:rsid w:val="0058561C"/>
    <w:rsid w:val="00585846"/>
    <w:rsid w:val="00585CE1"/>
    <w:rsid w:val="00585D4C"/>
    <w:rsid w:val="00585D87"/>
    <w:rsid w:val="00585DE7"/>
    <w:rsid w:val="00585ECD"/>
    <w:rsid w:val="005863A7"/>
    <w:rsid w:val="005864DF"/>
    <w:rsid w:val="00586571"/>
    <w:rsid w:val="005865DE"/>
    <w:rsid w:val="005865EA"/>
    <w:rsid w:val="005866D5"/>
    <w:rsid w:val="00586D23"/>
    <w:rsid w:val="00586D58"/>
    <w:rsid w:val="00586D72"/>
    <w:rsid w:val="00586F1B"/>
    <w:rsid w:val="0058716D"/>
    <w:rsid w:val="0058773E"/>
    <w:rsid w:val="00587A6C"/>
    <w:rsid w:val="005900BF"/>
    <w:rsid w:val="005902D0"/>
    <w:rsid w:val="005907FE"/>
    <w:rsid w:val="00590CA6"/>
    <w:rsid w:val="00590CB2"/>
    <w:rsid w:val="00590CFA"/>
    <w:rsid w:val="00590F63"/>
    <w:rsid w:val="005915BE"/>
    <w:rsid w:val="005917C0"/>
    <w:rsid w:val="0059195C"/>
    <w:rsid w:val="00591A04"/>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5D0"/>
    <w:rsid w:val="0059389C"/>
    <w:rsid w:val="00593C7C"/>
    <w:rsid w:val="00593D33"/>
    <w:rsid w:val="0059405A"/>
    <w:rsid w:val="00594208"/>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CC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9F7"/>
    <w:rsid w:val="005A2F44"/>
    <w:rsid w:val="005A2F45"/>
    <w:rsid w:val="005A2F85"/>
    <w:rsid w:val="005A307E"/>
    <w:rsid w:val="005A30B5"/>
    <w:rsid w:val="005A36BC"/>
    <w:rsid w:val="005A37E5"/>
    <w:rsid w:val="005A3933"/>
    <w:rsid w:val="005A3B89"/>
    <w:rsid w:val="005A3DBA"/>
    <w:rsid w:val="005A3EAD"/>
    <w:rsid w:val="005A3EC6"/>
    <w:rsid w:val="005A4321"/>
    <w:rsid w:val="005A44AE"/>
    <w:rsid w:val="005A44D3"/>
    <w:rsid w:val="005A4A2A"/>
    <w:rsid w:val="005A4EB2"/>
    <w:rsid w:val="005A4FD3"/>
    <w:rsid w:val="005A523A"/>
    <w:rsid w:val="005A532E"/>
    <w:rsid w:val="005A536D"/>
    <w:rsid w:val="005A53AD"/>
    <w:rsid w:val="005A5532"/>
    <w:rsid w:val="005A5855"/>
    <w:rsid w:val="005A594D"/>
    <w:rsid w:val="005A5953"/>
    <w:rsid w:val="005A5B16"/>
    <w:rsid w:val="005A5FA2"/>
    <w:rsid w:val="005A6109"/>
    <w:rsid w:val="005A624A"/>
    <w:rsid w:val="005A6302"/>
    <w:rsid w:val="005A639A"/>
    <w:rsid w:val="005A63DA"/>
    <w:rsid w:val="005A6824"/>
    <w:rsid w:val="005A6A07"/>
    <w:rsid w:val="005A6AD0"/>
    <w:rsid w:val="005A6D88"/>
    <w:rsid w:val="005A6DC0"/>
    <w:rsid w:val="005A6EC5"/>
    <w:rsid w:val="005A6FAD"/>
    <w:rsid w:val="005A7050"/>
    <w:rsid w:val="005A7369"/>
    <w:rsid w:val="005A7536"/>
    <w:rsid w:val="005A7D06"/>
    <w:rsid w:val="005A7E7E"/>
    <w:rsid w:val="005A7F16"/>
    <w:rsid w:val="005A7F50"/>
    <w:rsid w:val="005B0002"/>
    <w:rsid w:val="005B007D"/>
    <w:rsid w:val="005B00E7"/>
    <w:rsid w:val="005B02E6"/>
    <w:rsid w:val="005B03D8"/>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AC6"/>
    <w:rsid w:val="005B3C99"/>
    <w:rsid w:val="005B3E7B"/>
    <w:rsid w:val="005B3EFF"/>
    <w:rsid w:val="005B404D"/>
    <w:rsid w:val="005B40C9"/>
    <w:rsid w:val="005B4888"/>
    <w:rsid w:val="005B49B4"/>
    <w:rsid w:val="005B4B6C"/>
    <w:rsid w:val="005B4D05"/>
    <w:rsid w:val="005B5189"/>
    <w:rsid w:val="005B57CD"/>
    <w:rsid w:val="005B58F8"/>
    <w:rsid w:val="005B5AEA"/>
    <w:rsid w:val="005B5BFF"/>
    <w:rsid w:val="005B5F99"/>
    <w:rsid w:val="005B5FF2"/>
    <w:rsid w:val="005B603E"/>
    <w:rsid w:val="005B60C4"/>
    <w:rsid w:val="005B60D3"/>
    <w:rsid w:val="005B65A2"/>
    <w:rsid w:val="005B670A"/>
    <w:rsid w:val="005B6903"/>
    <w:rsid w:val="005B6996"/>
    <w:rsid w:val="005B69B6"/>
    <w:rsid w:val="005B6A92"/>
    <w:rsid w:val="005B6B20"/>
    <w:rsid w:val="005B6BD4"/>
    <w:rsid w:val="005B6C58"/>
    <w:rsid w:val="005B6DDD"/>
    <w:rsid w:val="005B6E54"/>
    <w:rsid w:val="005B6E6C"/>
    <w:rsid w:val="005B7074"/>
    <w:rsid w:val="005B71B7"/>
    <w:rsid w:val="005B7328"/>
    <w:rsid w:val="005B752A"/>
    <w:rsid w:val="005B752E"/>
    <w:rsid w:val="005B7A43"/>
    <w:rsid w:val="005B7BBC"/>
    <w:rsid w:val="005C0398"/>
    <w:rsid w:val="005C04CD"/>
    <w:rsid w:val="005C08DD"/>
    <w:rsid w:val="005C0C8D"/>
    <w:rsid w:val="005C0D6F"/>
    <w:rsid w:val="005C0E2C"/>
    <w:rsid w:val="005C0F0C"/>
    <w:rsid w:val="005C11B0"/>
    <w:rsid w:val="005C129A"/>
    <w:rsid w:val="005C17B9"/>
    <w:rsid w:val="005C1913"/>
    <w:rsid w:val="005C1B09"/>
    <w:rsid w:val="005C1E5C"/>
    <w:rsid w:val="005C1E93"/>
    <w:rsid w:val="005C200F"/>
    <w:rsid w:val="005C21A6"/>
    <w:rsid w:val="005C2210"/>
    <w:rsid w:val="005C239D"/>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4EA7"/>
    <w:rsid w:val="005C4F4B"/>
    <w:rsid w:val="005C54D3"/>
    <w:rsid w:val="005C5540"/>
    <w:rsid w:val="005C5719"/>
    <w:rsid w:val="005C58BB"/>
    <w:rsid w:val="005C5911"/>
    <w:rsid w:val="005C5944"/>
    <w:rsid w:val="005C5A89"/>
    <w:rsid w:val="005C5B2A"/>
    <w:rsid w:val="005C5E5C"/>
    <w:rsid w:val="005C63CC"/>
    <w:rsid w:val="005C65F6"/>
    <w:rsid w:val="005C668A"/>
    <w:rsid w:val="005C68F2"/>
    <w:rsid w:val="005C6B27"/>
    <w:rsid w:val="005C6B7E"/>
    <w:rsid w:val="005C6BF1"/>
    <w:rsid w:val="005C710E"/>
    <w:rsid w:val="005C737F"/>
    <w:rsid w:val="005C7384"/>
    <w:rsid w:val="005C73EA"/>
    <w:rsid w:val="005C740B"/>
    <w:rsid w:val="005C76C6"/>
    <w:rsid w:val="005C7811"/>
    <w:rsid w:val="005C7C45"/>
    <w:rsid w:val="005C7F60"/>
    <w:rsid w:val="005D0079"/>
    <w:rsid w:val="005D02EF"/>
    <w:rsid w:val="005D032D"/>
    <w:rsid w:val="005D0456"/>
    <w:rsid w:val="005D04B0"/>
    <w:rsid w:val="005D0859"/>
    <w:rsid w:val="005D088A"/>
    <w:rsid w:val="005D0980"/>
    <w:rsid w:val="005D10FC"/>
    <w:rsid w:val="005D15F9"/>
    <w:rsid w:val="005D1785"/>
    <w:rsid w:val="005D1BD8"/>
    <w:rsid w:val="005D1CE6"/>
    <w:rsid w:val="005D23E7"/>
    <w:rsid w:val="005D24D1"/>
    <w:rsid w:val="005D2975"/>
    <w:rsid w:val="005D2AB7"/>
    <w:rsid w:val="005D2CCA"/>
    <w:rsid w:val="005D2DE0"/>
    <w:rsid w:val="005D2FFC"/>
    <w:rsid w:val="005D3143"/>
    <w:rsid w:val="005D336D"/>
    <w:rsid w:val="005D33A1"/>
    <w:rsid w:val="005D35FD"/>
    <w:rsid w:val="005D362F"/>
    <w:rsid w:val="005D36A2"/>
    <w:rsid w:val="005D3772"/>
    <w:rsid w:val="005D3842"/>
    <w:rsid w:val="005D396D"/>
    <w:rsid w:val="005D3A16"/>
    <w:rsid w:val="005D3BC1"/>
    <w:rsid w:val="005D3D2C"/>
    <w:rsid w:val="005D3F21"/>
    <w:rsid w:val="005D4550"/>
    <w:rsid w:val="005D4579"/>
    <w:rsid w:val="005D45F8"/>
    <w:rsid w:val="005D48E9"/>
    <w:rsid w:val="005D4B6E"/>
    <w:rsid w:val="005D4C8B"/>
    <w:rsid w:val="005D5032"/>
    <w:rsid w:val="005D520D"/>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5E1"/>
    <w:rsid w:val="005D6848"/>
    <w:rsid w:val="005D68CE"/>
    <w:rsid w:val="005D6B1F"/>
    <w:rsid w:val="005D6B9A"/>
    <w:rsid w:val="005D6BF0"/>
    <w:rsid w:val="005D6D9E"/>
    <w:rsid w:val="005D6E76"/>
    <w:rsid w:val="005D6EF2"/>
    <w:rsid w:val="005D70EF"/>
    <w:rsid w:val="005D7117"/>
    <w:rsid w:val="005D7261"/>
    <w:rsid w:val="005D72C9"/>
    <w:rsid w:val="005D7646"/>
    <w:rsid w:val="005D770B"/>
    <w:rsid w:val="005D7A07"/>
    <w:rsid w:val="005D7C2A"/>
    <w:rsid w:val="005D7CC7"/>
    <w:rsid w:val="005D7DA9"/>
    <w:rsid w:val="005D7DAC"/>
    <w:rsid w:val="005E00A6"/>
    <w:rsid w:val="005E019B"/>
    <w:rsid w:val="005E0B26"/>
    <w:rsid w:val="005E0FEF"/>
    <w:rsid w:val="005E1590"/>
    <w:rsid w:val="005E1749"/>
    <w:rsid w:val="005E1848"/>
    <w:rsid w:val="005E1921"/>
    <w:rsid w:val="005E1C8A"/>
    <w:rsid w:val="005E1DA5"/>
    <w:rsid w:val="005E202B"/>
    <w:rsid w:val="005E222A"/>
    <w:rsid w:val="005E23B5"/>
    <w:rsid w:val="005E23E1"/>
    <w:rsid w:val="005E24E4"/>
    <w:rsid w:val="005E291A"/>
    <w:rsid w:val="005E2B37"/>
    <w:rsid w:val="005E33C3"/>
    <w:rsid w:val="005E3679"/>
    <w:rsid w:val="005E38EB"/>
    <w:rsid w:val="005E3A8C"/>
    <w:rsid w:val="005E3DB2"/>
    <w:rsid w:val="005E4759"/>
    <w:rsid w:val="005E47C2"/>
    <w:rsid w:val="005E4A56"/>
    <w:rsid w:val="005E4BD8"/>
    <w:rsid w:val="005E4F07"/>
    <w:rsid w:val="005E4F2D"/>
    <w:rsid w:val="005E4FE1"/>
    <w:rsid w:val="005E5327"/>
    <w:rsid w:val="005E5605"/>
    <w:rsid w:val="005E5AC7"/>
    <w:rsid w:val="005E5B6D"/>
    <w:rsid w:val="005E5D33"/>
    <w:rsid w:val="005E6164"/>
    <w:rsid w:val="005E6402"/>
    <w:rsid w:val="005E6430"/>
    <w:rsid w:val="005E6457"/>
    <w:rsid w:val="005E64C2"/>
    <w:rsid w:val="005E6DAD"/>
    <w:rsid w:val="005E6E35"/>
    <w:rsid w:val="005E6EB7"/>
    <w:rsid w:val="005E72AA"/>
    <w:rsid w:val="005E73CA"/>
    <w:rsid w:val="005E74F8"/>
    <w:rsid w:val="005E76B5"/>
    <w:rsid w:val="005E7725"/>
    <w:rsid w:val="005E792F"/>
    <w:rsid w:val="005E7E29"/>
    <w:rsid w:val="005F035F"/>
    <w:rsid w:val="005F0396"/>
    <w:rsid w:val="005F03BF"/>
    <w:rsid w:val="005F048D"/>
    <w:rsid w:val="005F049F"/>
    <w:rsid w:val="005F0553"/>
    <w:rsid w:val="005F0580"/>
    <w:rsid w:val="005F0801"/>
    <w:rsid w:val="005F0BFE"/>
    <w:rsid w:val="005F0F57"/>
    <w:rsid w:val="005F0FC1"/>
    <w:rsid w:val="005F0FD2"/>
    <w:rsid w:val="005F173C"/>
    <w:rsid w:val="005F18D0"/>
    <w:rsid w:val="005F1AED"/>
    <w:rsid w:val="005F1D62"/>
    <w:rsid w:val="005F215B"/>
    <w:rsid w:val="005F21BC"/>
    <w:rsid w:val="005F22AF"/>
    <w:rsid w:val="005F25BE"/>
    <w:rsid w:val="005F2711"/>
    <w:rsid w:val="005F2739"/>
    <w:rsid w:val="005F27CD"/>
    <w:rsid w:val="005F2AB4"/>
    <w:rsid w:val="005F2BAE"/>
    <w:rsid w:val="005F2D37"/>
    <w:rsid w:val="005F311F"/>
    <w:rsid w:val="005F3171"/>
    <w:rsid w:val="005F31BB"/>
    <w:rsid w:val="005F32DD"/>
    <w:rsid w:val="005F36BE"/>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1F0"/>
    <w:rsid w:val="005F57E0"/>
    <w:rsid w:val="005F58FD"/>
    <w:rsid w:val="005F599E"/>
    <w:rsid w:val="005F59C1"/>
    <w:rsid w:val="005F5B2D"/>
    <w:rsid w:val="005F5C83"/>
    <w:rsid w:val="005F5ED6"/>
    <w:rsid w:val="005F5FE6"/>
    <w:rsid w:val="005F645C"/>
    <w:rsid w:val="005F64D4"/>
    <w:rsid w:val="005F699D"/>
    <w:rsid w:val="005F6C2C"/>
    <w:rsid w:val="005F6E40"/>
    <w:rsid w:val="005F6EFA"/>
    <w:rsid w:val="005F7011"/>
    <w:rsid w:val="005F70F0"/>
    <w:rsid w:val="005F71A9"/>
    <w:rsid w:val="005F7239"/>
    <w:rsid w:val="005F72F4"/>
    <w:rsid w:val="005F741B"/>
    <w:rsid w:val="005F74FA"/>
    <w:rsid w:val="005F7602"/>
    <w:rsid w:val="005F7682"/>
    <w:rsid w:val="005F7CBF"/>
    <w:rsid w:val="005F7E87"/>
    <w:rsid w:val="005F7E9E"/>
    <w:rsid w:val="005F7ED5"/>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963"/>
    <w:rsid w:val="00603A39"/>
    <w:rsid w:val="00603EAF"/>
    <w:rsid w:val="006043FC"/>
    <w:rsid w:val="006046C4"/>
    <w:rsid w:val="00604734"/>
    <w:rsid w:val="00604770"/>
    <w:rsid w:val="00604AD6"/>
    <w:rsid w:val="00604D09"/>
    <w:rsid w:val="00604EDD"/>
    <w:rsid w:val="00604FBF"/>
    <w:rsid w:val="0060537C"/>
    <w:rsid w:val="0060559C"/>
    <w:rsid w:val="006055A9"/>
    <w:rsid w:val="00605641"/>
    <w:rsid w:val="00605732"/>
    <w:rsid w:val="006057E4"/>
    <w:rsid w:val="00605C76"/>
    <w:rsid w:val="00605DB1"/>
    <w:rsid w:val="00605ECA"/>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1401"/>
    <w:rsid w:val="006114E4"/>
    <w:rsid w:val="00611605"/>
    <w:rsid w:val="00611A40"/>
    <w:rsid w:val="00611EA5"/>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7B1"/>
    <w:rsid w:val="00615B17"/>
    <w:rsid w:val="00615E7C"/>
    <w:rsid w:val="00615FA2"/>
    <w:rsid w:val="00616057"/>
    <w:rsid w:val="0061636D"/>
    <w:rsid w:val="00616373"/>
    <w:rsid w:val="006168DF"/>
    <w:rsid w:val="0061698F"/>
    <w:rsid w:val="00616A4C"/>
    <w:rsid w:val="00616B70"/>
    <w:rsid w:val="00616E0C"/>
    <w:rsid w:val="006174C4"/>
    <w:rsid w:val="00617613"/>
    <w:rsid w:val="0061776F"/>
    <w:rsid w:val="006179DD"/>
    <w:rsid w:val="00617B36"/>
    <w:rsid w:val="00620093"/>
    <w:rsid w:val="006202D7"/>
    <w:rsid w:val="006203E2"/>
    <w:rsid w:val="00620414"/>
    <w:rsid w:val="0062047E"/>
    <w:rsid w:val="0062051B"/>
    <w:rsid w:val="006206D0"/>
    <w:rsid w:val="006207AE"/>
    <w:rsid w:val="00620976"/>
    <w:rsid w:val="00620AAA"/>
    <w:rsid w:val="00620D10"/>
    <w:rsid w:val="00620E82"/>
    <w:rsid w:val="00620EC4"/>
    <w:rsid w:val="0062105C"/>
    <w:rsid w:val="00621521"/>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3"/>
    <w:rsid w:val="00623327"/>
    <w:rsid w:val="0062335C"/>
    <w:rsid w:val="006234BB"/>
    <w:rsid w:val="006236F1"/>
    <w:rsid w:val="00623B86"/>
    <w:rsid w:val="00623E9D"/>
    <w:rsid w:val="00624010"/>
    <w:rsid w:val="006242E3"/>
    <w:rsid w:val="006242F5"/>
    <w:rsid w:val="006247DF"/>
    <w:rsid w:val="00624804"/>
    <w:rsid w:val="00624919"/>
    <w:rsid w:val="006249AF"/>
    <w:rsid w:val="00624A21"/>
    <w:rsid w:val="00624AAA"/>
    <w:rsid w:val="00624BC5"/>
    <w:rsid w:val="0062528A"/>
    <w:rsid w:val="006252D0"/>
    <w:rsid w:val="00625701"/>
    <w:rsid w:val="006259FA"/>
    <w:rsid w:val="00625AFD"/>
    <w:rsid w:val="00625E11"/>
    <w:rsid w:val="00626043"/>
    <w:rsid w:val="0062606A"/>
    <w:rsid w:val="006264C7"/>
    <w:rsid w:val="00626513"/>
    <w:rsid w:val="00626622"/>
    <w:rsid w:val="00626664"/>
    <w:rsid w:val="00626959"/>
    <w:rsid w:val="006269EF"/>
    <w:rsid w:val="006269F6"/>
    <w:rsid w:val="00626DBE"/>
    <w:rsid w:val="0062711B"/>
    <w:rsid w:val="006274B7"/>
    <w:rsid w:val="0062759C"/>
    <w:rsid w:val="006275B6"/>
    <w:rsid w:val="0062791B"/>
    <w:rsid w:val="00627D8F"/>
    <w:rsid w:val="00627E72"/>
    <w:rsid w:val="00627EA6"/>
    <w:rsid w:val="00630146"/>
    <w:rsid w:val="0063019B"/>
    <w:rsid w:val="00630254"/>
    <w:rsid w:val="00630272"/>
    <w:rsid w:val="006302E5"/>
    <w:rsid w:val="00630341"/>
    <w:rsid w:val="006307CB"/>
    <w:rsid w:val="00630865"/>
    <w:rsid w:val="006309C3"/>
    <w:rsid w:val="00630B19"/>
    <w:rsid w:val="00630BC2"/>
    <w:rsid w:val="00630BFE"/>
    <w:rsid w:val="00630C59"/>
    <w:rsid w:val="00630D89"/>
    <w:rsid w:val="00630FE0"/>
    <w:rsid w:val="00631034"/>
    <w:rsid w:val="00631229"/>
    <w:rsid w:val="00631401"/>
    <w:rsid w:val="00631426"/>
    <w:rsid w:val="006314B3"/>
    <w:rsid w:val="006315D7"/>
    <w:rsid w:val="006317F0"/>
    <w:rsid w:val="00631894"/>
    <w:rsid w:val="006318C2"/>
    <w:rsid w:val="00631A0C"/>
    <w:rsid w:val="00631A74"/>
    <w:rsid w:val="00631C70"/>
    <w:rsid w:val="00631D94"/>
    <w:rsid w:val="00631EB7"/>
    <w:rsid w:val="00631F57"/>
    <w:rsid w:val="00631F8E"/>
    <w:rsid w:val="00631FC4"/>
    <w:rsid w:val="006322A4"/>
    <w:rsid w:val="006322FC"/>
    <w:rsid w:val="006323A0"/>
    <w:rsid w:val="006325B9"/>
    <w:rsid w:val="0063276B"/>
    <w:rsid w:val="006327B3"/>
    <w:rsid w:val="00632A0D"/>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428"/>
    <w:rsid w:val="00635674"/>
    <w:rsid w:val="00635835"/>
    <w:rsid w:val="00635F69"/>
    <w:rsid w:val="00636142"/>
    <w:rsid w:val="006362B2"/>
    <w:rsid w:val="00636440"/>
    <w:rsid w:val="0063675D"/>
    <w:rsid w:val="00636942"/>
    <w:rsid w:val="006369C7"/>
    <w:rsid w:val="00636A13"/>
    <w:rsid w:val="00636A1E"/>
    <w:rsid w:val="00636AB1"/>
    <w:rsid w:val="00636BC1"/>
    <w:rsid w:val="00636BE3"/>
    <w:rsid w:val="00636C82"/>
    <w:rsid w:val="00637207"/>
    <w:rsid w:val="00637418"/>
    <w:rsid w:val="006374C1"/>
    <w:rsid w:val="00637514"/>
    <w:rsid w:val="0063757B"/>
    <w:rsid w:val="00637605"/>
    <w:rsid w:val="00637668"/>
    <w:rsid w:val="0063771C"/>
    <w:rsid w:val="00637955"/>
    <w:rsid w:val="00637A0E"/>
    <w:rsid w:val="00637B2E"/>
    <w:rsid w:val="00637D07"/>
    <w:rsid w:val="00637DA1"/>
    <w:rsid w:val="006401B7"/>
    <w:rsid w:val="00640575"/>
    <w:rsid w:val="006405B9"/>
    <w:rsid w:val="006407B6"/>
    <w:rsid w:val="00640A73"/>
    <w:rsid w:val="00640E8D"/>
    <w:rsid w:val="00640FC0"/>
    <w:rsid w:val="00641130"/>
    <w:rsid w:val="00641284"/>
    <w:rsid w:val="006412BA"/>
    <w:rsid w:val="00641492"/>
    <w:rsid w:val="006414CC"/>
    <w:rsid w:val="00641A10"/>
    <w:rsid w:val="00641C0E"/>
    <w:rsid w:val="00641C6D"/>
    <w:rsid w:val="00641D8F"/>
    <w:rsid w:val="00641DD1"/>
    <w:rsid w:val="00641FC0"/>
    <w:rsid w:val="0064202D"/>
    <w:rsid w:val="006420BA"/>
    <w:rsid w:val="00642245"/>
    <w:rsid w:val="0064224A"/>
    <w:rsid w:val="00642278"/>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087"/>
    <w:rsid w:val="006441F5"/>
    <w:rsid w:val="00644393"/>
    <w:rsid w:val="0064443C"/>
    <w:rsid w:val="006444C4"/>
    <w:rsid w:val="0064478B"/>
    <w:rsid w:val="006448CC"/>
    <w:rsid w:val="00644CBB"/>
    <w:rsid w:val="00644D6E"/>
    <w:rsid w:val="00644EBD"/>
    <w:rsid w:val="00645218"/>
    <w:rsid w:val="0064573F"/>
    <w:rsid w:val="00645AE4"/>
    <w:rsid w:val="006463DB"/>
    <w:rsid w:val="006464DA"/>
    <w:rsid w:val="006465F8"/>
    <w:rsid w:val="00646670"/>
    <w:rsid w:val="0064695D"/>
    <w:rsid w:val="00646A70"/>
    <w:rsid w:val="00646C62"/>
    <w:rsid w:val="00646DDB"/>
    <w:rsid w:val="00646DFA"/>
    <w:rsid w:val="00646E0D"/>
    <w:rsid w:val="00646F0D"/>
    <w:rsid w:val="00646F40"/>
    <w:rsid w:val="0064725E"/>
    <w:rsid w:val="0064736E"/>
    <w:rsid w:val="006473D3"/>
    <w:rsid w:val="00647402"/>
    <w:rsid w:val="00647B99"/>
    <w:rsid w:val="00647D06"/>
    <w:rsid w:val="00647E7B"/>
    <w:rsid w:val="00647ED1"/>
    <w:rsid w:val="00650002"/>
    <w:rsid w:val="006500B8"/>
    <w:rsid w:val="006502FC"/>
    <w:rsid w:val="00650441"/>
    <w:rsid w:val="00650683"/>
    <w:rsid w:val="00650A9A"/>
    <w:rsid w:val="00650D13"/>
    <w:rsid w:val="00650D42"/>
    <w:rsid w:val="00650F31"/>
    <w:rsid w:val="00650F5C"/>
    <w:rsid w:val="00651076"/>
    <w:rsid w:val="00651223"/>
    <w:rsid w:val="0065133D"/>
    <w:rsid w:val="00651373"/>
    <w:rsid w:val="00651490"/>
    <w:rsid w:val="006514DB"/>
    <w:rsid w:val="00651918"/>
    <w:rsid w:val="00651A5C"/>
    <w:rsid w:val="00651D5F"/>
    <w:rsid w:val="00651D6E"/>
    <w:rsid w:val="00651E7E"/>
    <w:rsid w:val="00652258"/>
    <w:rsid w:val="006523E8"/>
    <w:rsid w:val="0065247D"/>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69D"/>
    <w:rsid w:val="006556CF"/>
    <w:rsid w:val="0065577D"/>
    <w:rsid w:val="006557DC"/>
    <w:rsid w:val="006559E7"/>
    <w:rsid w:val="00655F67"/>
    <w:rsid w:val="00656011"/>
    <w:rsid w:val="006563B4"/>
    <w:rsid w:val="006567CE"/>
    <w:rsid w:val="00656ACD"/>
    <w:rsid w:val="006574DF"/>
    <w:rsid w:val="006575D0"/>
    <w:rsid w:val="006579FD"/>
    <w:rsid w:val="00657D0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0EF8"/>
    <w:rsid w:val="00661191"/>
    <w:rsid w:val="0066119E"/>
    <w:rsid w:val="006612D1"/>
    <w:rsid w:val="0066138A"/>
    <w:rsid w:val="0066157A"/>
    <w:rsid w:val="0066162F"/>
    <w:rsid w:val="006618D4"/>
    <w:rsid w:val="006619A4"/>
    <w:rsid w:val="006621EF"/>
    <w:rsid w:val="0066247E"/>
    <w:rsid w:val="00662533"/>
    <w:rsid w:val="00662727"/>
    <w:rsid w:val="00662898"/>
    <w:rsid w:val="00662A95"/>
    <w:rsid w:val="00662E68"/>
    <w:rsid w:val="00662EB7"/>
    <w:rsid w:val="00662EE5"/>
    <w:rsid w:val="006630CB"/>
    <w:rsid w:val="0066327C"/>
    <w:rsid w:val="0066354E"/>
    <w:rsid w:val="006635CB"/>
    <w:rsid w:val="006636CB"/>
    <w:rsid w:val="00663955"/>
    <w:rsid w:val="00663B3C"/>
    <w:rsid w:val="00663BD1"/>
    <w:rsid w:val="00663FA2"/>
    <w:rsid w:val="00663FAD"/>
    <w:rsid w:val="0066401C"/>
    <w:rsid w:val="00664192"/>
    <w:rsid w:val="006642CA"/>
    <w:rsid w:val="006644F2"/>
    <w:rsid w:val="006645FE"/>
    <w:rsid w:val="0066462C"/>
    <w:rsid w:val="00664CA5"/>
    <w:rsid w:val="00665170"/>
    <w:rsid w:val="006652F9"/>
    <w:rsid w:val="006654E8"/>
    <w:rsid w:val="00665803"/>
    <w:rsid w:val="006659C6"/>
    <w:rsid w:val="00665A65"/>
    <w:rsid w:val="00665B53"/>
    <w:rsid w:val="00665C03"/>
    <w:rsid w:val="00665C67"/>
    <w:rsid w:val="00665EC5"/>
    <w:rsid w:val="00666097"/>
    <w:rsid w:val="00666355"/>
    <w:rsid w:val="00666528"/>
    <w:rsid w:val="0066659E"/>
    <w:rsid w:val="00666962"/>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0B6"/>
    <w:rsid w:val="00670209"/>
    <w:rsid w:val="006702F1"/>
    <w:rsid w:val="00670413"/>
    <w:rsid w:val="00670456"/>
    <w:rsid w:val="0067055A"/>
    <w:rsid w:val="00670815"/>
    <w:rsid w:val="0067085A"/>
    <w:rsid w:val="006708B6"/>
    <w:rsid w:val="00670B0F"/>
    <w:rsid w:val="00670B37"/>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288"/>
    <w:rsid w:val="006733C6"/>
    <w:rsid w:val="00673687"/>
    <w:rsid w:val="006739BF"/>
    <w:rsid w:val="00673BA1"/>
    <w:rsid w:val="00673BE3"/>
    <w:rsid w:val="00673E19"/>
    <w:rsid w:val="00674596"/>
    <w:rsid w:val="006747E7"/>
    <w:rsid w:val="00674BD5"/>
    <w:rsid w:val="00674DAE"/>
    <w:rsid w:val="00674F95"/>
    <w:rsid w:val="00675379"/>
    <w:rsid w:val="0067561D"/>
    <w:rsid w:val="00675628"/>
    <w:rsid w:val="00675B79"/>
    <w:rsid w:val="00675C31"/>
    <w:rsid w:val="00676065"/>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25D"/>
    <w:rsid w:val="00683471"/>
    <w:rsid w:val="006834FA"/>
    <w:rsid w:val="006835A5"/>
    <w:rsid w:val="0068374C"/>
    <w:rsid w:val="00683777"/>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2A"/>
    <w:rsid w:val="006875FB"/>
    <w:rsid w:val="0068768A"/>
    <w:rsid w:val="00687AFD"/>
    <w:rsid w:val="00687C7A"/>
    <w:rsid w:val="00687D9F"/>
    <w:rsid w:val="006901A5"/>
    <w:rsid w:val="006902AC"/>
    <w:rsid w:val="0069030C"/>
    <w:rsid w:val="0069032C"/>
    <w:rsid w:val="00690509"/>
    <w:rsid w:val="006906AD"/>
    <w:rsid w:val="00690722"/>
    <w:rsid w:val="0069072C"/>
    <w:rsid w:val="00690740"/>
    <w:rsid w:val="00690C47"/>
    <w:rsid w:val="00690D91"/>
    <w:rsid w:val="00691377"/>
    <w:rsid w:val="00691490"/>
    <w:rsid w:val="0069155C"/>
    <w:rsid w:val="006917AE"/>
    <w:rsid w:val="00691B47"/>
    <w:rsid w:val="00691B6D"/>
    <w:rsid w:val="00691C82"/>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047"/>
    <w:rsid w:val="00694568"/>
    <w:rsid w:val="0069457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5DB7"/>
    <w:rsid w:val="00695E83"/>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B99"/>
    <w:rsid w:val="006A1BDA"/>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2B7"/>
    <w:rsid w:val="006A440E"/>
    <w:rsid w:val="006A4510"/>
    <w:rsid w:val="006A4732"/>
    <w:rsid w:val="006A474E"/>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8CD"/>
    <w:rsid w:val="006A79D6"/>
    <w:rsid w:val="006A7A5F"/>
    <w:rsid w:val="006A7D87"/>
    <w:rsid w:val="006A7E11"/>
    <w:rsid w:val="006A7E37"/>
    <w:rsid w:val="006B006E"/>
    <w:rsid w:val="006B01E0"/>
    <w:rsid w:val="006B0671"/>
    <w:rsid w:val="006B0674"/>
    <w:rsid w:val="006B06A9"/>
    <w:rsid w:val="006B0CFE"/>
    <w:rsid w:val="006B1003"/>
    <w:rsid w:val="006B1334"/>
    <w:rsid w:val="006B1449"/>
    <w:rsid w:val="006B179D"/>
    <w:rsid w:val="006B1815"/>
    <w:rsid w:val="006B1A58"/>
    <w:rsid w:val="006B1ACC"/>
    <w:rsid w:val="006B1C2B"/>
    <w:rsid w:val="006B1C4E"/>
    <w:rsid w:val="006B1E1A"/>
    <w:rsid w:val="006B1E6E"/>
    <w:rsid w:val="006B1F37"/>
    <w:rsid w:val="006B1FAF"/>
    <w:rsid w:val="006B23E0"/>
    <w:rsid w:val="006B24F7"/>
    <w:rsid w:val="006B260E"/>
    <w:rsid w:val="006B261E"/>
    <w:rsid w:val="006B29B7"/>
    <w:rsid w:val="006B29C5"/>
    <w:rsid w:val="006B2DC8"/>
    <w:rsid w:val="006B3054"/>
    <w:rsid w:val="006B32BF"/>
    <w:rsid w:val="006B36B9"/>
    <w:rsid w:val="006B37B0"/>
    <w:rsid w:val="006B3809"/>
    <w:rsid w:val="006B398D"/>
    <w:rsid w:val="006B3B6C"/>
    <w:rsid w:val="006B3D55"/>
    <w:rsid w:val="006B3F75"/>
    <w:rsid w:val="006B40EC"/>
    <w:rsid w:val="006B4499"/>
    <w:rsid w:val="006B48A6"/>
    <w:rsid w:val="006B49A8"/>
    <w:rsid w:val="006B4CAE"/>
    <w:rsid w:val="006B4E36"/>
    <w:rsid w:val="006B4FD1"/>
    <w:rsid w:val="006B53C2"/>
    <w:rsid w:val="006B5575"/>
    <w:rsid w:val="006B5619"/>
    <w:rsid w:val="006B5624"/>
    <w:rsid w:val="006B58D8"/>
    <w:rsid w:val="006B5A24"/>
    <w:rsid w:val="006B6020"/>
    <w:rsid w:val="006B6074"/>
    <w:rsid w:val="006B61BE"/>
    <w:rsid w:val="006B624F"/>
    <w:rsid w:val="006B627F"/>
    <w:rsid w:val="006B63E5"/>
    <w:rsid w:val="006B666A"/>
    <w:rsid w:val="006B69B8"/>
    <w:rsid w:val="006B6A84"/>
    <w:rsid w:val="006B6AEC"/>
    <w:rsid w:val="006B6BDF"/>
    <w:rsid w:val="006B6CF2"/>
    <w:rsid w:val="006B6D19"/>
    <w:rsid w:val="006B6D74"/>
    <w:rsid w:val="006B728E"/>
    <w:rsid w:val="006B7295"/>
    <w:rsid w:val="006B7548"/>
    <w:rsid w:val="006B7AB6"/>
    <w:rsid w:val="006B7B20"/>
    <w:rsid w:val="006B7CB2"/>
    <w:rsid w:val="006B7DFB"/>
    <w:rsid w:val="006B7FA1"/>
    <w:rsid w:val="006C000D"/>
    <w:rsid w:val="006C0012"/>
    <w:rsid w:val="006C008C"/>
    <w:rsid w:val="006C0294"/>
    <w:rsid w:val="006C0346"/>
    <w:rsid w:val="006C0487"/>
    <w:rsid w:val="006C05BC"/>
    <w:rsid w:val="006C06CE"/>
    <w:rsid w:val="006C075E"/>
    <w:rsid w:val="006C0A79"/>
    <w:rsid w:val="006C0B14"/>
    <w:rsid w:val="006C0B2D"/>
    <w:rsid w:val="006C0C5B"/>
    <w:rsid w:val="006C0CC4"/>
    <w:rsid w:val="006C1241"/>
    <w:rsid w:val="006C128B"/>
    <w:rsid w:val="006C1325"/>
    <w:rsid w:val="006C15D6"/>
    <w:rsid w:val="006C1619"/>
    <w:rsid w:val="006C1723"/>
    <w:rsid w:val="006C17C0"/>
    <w:rsid w:val="006C181C"/>
    <w:rsid w:val="006C1989"/>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2C2"/>
    <w:rsid w:val="006C44AB"/>
    <w:rsid w:val="006C44F0"/>
    <w:rsid w:val="006C453E"/>
    <w:rsid w:val="006C4872"/>
    <w:rsid w:val="006C4980"/>
    <w:rsid w:val="006C4C23"/>
    <w:rsid w:val="006C4E50"/>
    <w:rsid w:val="006C4E9A"/>
    <w:rsid w:val="006C512C"/>
    <w:rsid w:val="006C52A4"/>
    <w:rsid w:val="006C55E2"/>
    <w:rsid w:val="006C5614"/>
    <w:rsid w:val="006C57DE"/>
    <w:rsid w:val="006C58ED"/>
    <w:rsid w:val="006C5E1A"/>
    <w:rsid w:val="006C632A"/>
    <w:rsid w:val="006C6376"/>
    <w:rsid w:val="006C63FC"/>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0FE9"/>
    <w:rsid w:val="006D1130"/>
    <w:rsid w:val="006D15BE"/>
    <w:rsid w:val="006D1725"/>
    <w:rsid w:val="006D191A"/>
    <w:rsid w:val="006D1935"/>
    <w:rsid w:val="006D19C7"/>
    <w:rsid w:val="006D19FF"/>
    <w:rsid w:val="006D1D65"/>
    <w:rsid w:val="006D1E43"/>
    <w:rsid w:val="006D20DB"/>
    <w:rsid w:val="006D21DA"/>
    <w:rsid w:val="006D2615"/>
    <w:rsid w:val="006D2631"/>
    <w:rsid w:val="006D27D7"/>
    <w:rsid w:val="006D29B4"/>
    <w:rsid w:val="006D2A8E"/>
    <w:rsid w:val="006D2B4E"/>
    <w:rsid w:val="006D2EF2"/>
    <w:rsid w:val="006D3042"/>
    <w:rsid w:val="006D30DF"/>
    <w:rsid w:val="006D342A"/>
    <w:rsid w:val="006D34DF"/>
    <w:rsid w:val="006D38A7"/>
    <w:rsid w:val="006D3A97"/>
    <w:rsid w:val="006D3B23"/>
    <w:rsid w:val="006D3BF5"/>
    <w:rsid w:val="006D3CA6"/>
    <w:rsid w:val="006D42C5"/>
    <w:rsid w:val="006D455A"/>
    <w:rsid w:val="006D4588"/>
    <w:rsid w:val="006D476E"/>
    <w:rsid w:val="006D4A83"/>
    <w:rsid w:val="006D4DD2"/>
    <w:rsid w:val="006D4E72"/>
    <w:rsid w:val="006D4E86"/>
    <w:rsid w:val="006D5150"/>
    <w:rsid w:val="006D575A"/>
    <w:rsid w:val="006D5889"/>
    <w:rsid w:val="006D5DE2"/>
    <w:rsid w:val="006D5EB1"/>
    <w:rsid w:val="006D6063"/>
    <w:rsid w:val="006D60F1"/>
    <w:rsid w:val="006D6246"/>
    <w:rsid w:val="006D6267"/>
    <w:rsid w:val="006D62A6"/>
    <w:rsid w:val="006D659B"/>
    <w:rsid w:val="006D688A"/>
    <w:rsid w:val="006D68CD"/>
    <w:rsid w:val="006D697D"/>
    <w:rsid w:val="006D6AEF"/>
    <w:rsid w:val="006D6C35"/>
    <w:rsid w:val="006D6C36"/>
    <w:rsid w:val="006D6E74"/>
    <w:rsid w:val="006D6F32"/>
    <w:rsid w:val="006D6FC2"/>
    <w:rsid w:val="006D6FC3"/>
    <w:rsid w:val="006D7070"/>
    <w:rsid w:val="006D71CE"/>
    <w:rsid w:val="006D720A"/>
    <w:rsid w:val="006D72C2"/>
    <w:rsid w:val="006D74CC"/>
    <w:rsid w:val="006D74EF"/>
    <w:rsid w:val="006D760C"/>
    <w:rsid w:val="006D7914"/>
    <w:rsid w:val="006D7B05"/>
    <w:rsid w:val="006D7C8A"/>
    <w:rsid w:val="006D7E46"/>
    <w:rsid w:val="006E0388"/>
    <w:rsid w:val="006E03F6"/>
    <w:rsid w:val="006E0413"/>
    <w:rsid w:val="006E04D5"/>
    <w:rsid w:val="006E056A"/>
    <w:rsid w:val="006E05F2"/>
    <w:rsid w:val="006E080B"/>
    <w:rsid w:val="006E0ABA"/>
    <w:rsid w:val="006E0AFE"/>
    <w:rsid w:val="006E0BE7"/>
    <w:rsid w:val="006E0C33"/>
    <w:rsid w:val="006E0CD0"/>
    <w:rsid w:val="006E0D88"/>
    <w:rsid w:val="006E0DDD"/>
    <w:rsid w:val="006E0E66"/>
    <w:rsid w:val="006E0F8E"/>
    <w:rsid w:val="006E10FC"/>
    <w:rsid w:val="006E111A"/>
    <w:rsid w:val="006E1228"/>
    <w:rsid w:val="006E1563"/>
    <w:rsid w:val="006E157D"/>
    <w:rsid w:val="006E159A"/>
    <w:rsid w:val="006E15FC"/>
    <w:rsid w:val="006E16B5"/>
    <w:rsid w:val="006E16F8"/>
    <w:rsid w:val="006E17C5"/>
    <w:rsid w:val="006E1957"/>
    <w:rsid w:val="006E1B9A"/>
    <w:rsid w:val="006E1F38"/>
    <w:rsid w:val="006E202F"/>
    <w:rsid w:val="006E209F"/>
    <w:rsid w:val="006E233C"/>
    <w:rsid w:val="006E24AB"/>
    <w:rsid w:val="006E2649"/>
    <w:rsid w:val="006E27AC"/>
    <w:rsid w:val="006E2B6F"/>
    <w:rsid w:val="006E3029"/>
    <w:rsid w:val="006E316F"/>
    <w:rsid w:val="006E32BB"/>
    <w:rsid w:val="006E3340"/>
    <w:rsid w:val="006E33DD"/>
    <w:rsid w:val="006E361A"/>
    <w:rsid w:val="006E39A4"/>
    <w:rsid w:val="006E3A24"/>
    <w:rsid w:val="006E3D1B"/>
    <w:rsid w:val="006E3D46"/>
    <w:rsid w:val="006E42A7"/>
    <w:rsid w:val="006E456D"/>
    <w:rsid w:val="006E45E5"/>
    <w:rsid w:val="006E474D"/>
    <w:rsid w:val="006E4C0A"/>
    <w:rsid w:val="006E4C39"/>
    <w:rsid w:val="006E4D1E"/>
    <w:rsid w:val="006E4D65"/>
    <w:rsid w:val="006E4F8F"/>
    <w:rsid w:val="006E5092"/>
    <w:rsid w:val="006E55C2"/>
    <w:rsid w:val="006E55F8"/>
    <w:rsid w:val="006E592C"/>
    <w:rsid w:val="006E5CB6"/>
    <w:rsid w:val="006E5ECA"/>
    <w:rsid w:val="006E61F1"/>
    <w:rsid w:val="006E650E"/>
    <w:rsid w:val="006E6590"/>
    <w:rsid w:val="006E65D7"/>
    <w:rsid w:val="006E6602"/>
    <w:rsid w:val="006E665D"/>
    <w:rsid w:val="006E6877"/>
    <w:rsid w:val="006E697D"/>
    <w:rsid w:val="006E6AA9"/>
    <w:rsid w:val="006E6C24"/>
    <w:rsid w:val="006E6C36"/>
    <w:rsid w:val="006E7119"/>
    <w:rsid w:val="006E73A5"/>
    <w:rsid w:val="006E7684"/>
    <w:rsid w:val="006E7802"/>
    <w:rsid w:val="006E78AF"/>
    <w:rsid w:val="006E7C40"/>
    <w:rsid w:val="006E7D21"/>
    <w:rsid w:val="006F003B"/>
    <w:rsid w:val="006F00E8"/>
    <w:rsid w:val="006F0106"/>
    <w:rsid w:val="006F0193"/>
    <w:rsid w:val="006F0427"/>
    <w:rsid w:val="006F075E"/>
    <w:rsid w:val="006F087C"/>
    <w:rsid w:val="006F0AB6"/>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BBD"/>
    <w:rsid w:val="006F4D37"/>
    <w:rsid w:val="006F5283"/>
    <w:rsid w:val="006F542F"/>
    <w:rsid w:val="006F55DB"/>
    <w:rsid w:val="006F57CB"/>
    <w:rsid w:val="006F5823"/>
    <w:rsid w:val="006F5B06"/>
    <w:rsid w:val="006F5BFA"/>
    <w:rsid w:val="006F5EAC"/>
    <w:rsid w:val="006F5ED8"/>
    <w:rsid w:val="006F5F0C"/>
    <w:rsid w:val="006F5F73"/>
    <w:rsid w:val="006F6549"/>
    <w:rsid w:val="006F68B9"/>
    <w:rsid w:val="006F69AA"/>
    <w:rsid w:val="006F6A8C"/>
    <w:rsid w:val="006F6BA8"/>
    <w:rsid w:val="006F6BDA"/>
    <w:rsid w:val="006F6CD0"/>
    <w:rsid w:val="006F6EFC"/>
    <w:rsid w:val="006F725F"/>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94E"/>
    <w:rsid w:val="00700B3A"/>
    <w:rsid w:val="00700E2A"/>
    <w:rsid w:val="00700F49"/>
    <w:rsid w:val="00700F53"/>
    <w:rsid w:val="00701108"/>
    <w:rsid w:val="007012FE"/>
    <w:rsid w:val="007013AD"/>
    <w:rsid w:val="00701675"/>
    <w:rsid w:val="0070179D"/>
    <w:rsid w:val="00701852"/>
    <w:rsid w:val="00702107"/>
    <w:rsid w:val="007025C2"/>
    <w:rsid w:val="007025F4"/>
    <w:rsid w:val="007026F3"/>
    <w:rsid w:val="007028AC"/>
    <w:rsid w:val="00702926"/>
    <w:rsid w:val="00702B46"/>
    <w:rsid w:val="0070331E"/>
    <w:rsid w:val="007037AA"/>
    <w:rsid w:val="00703821"/>
    <w:rsid w:val="00703A67"/>
    <w:rsid w:val="00703B32"/>
    <w:rsid w:val="00703C88"/>
    <w:rsid w:val="00703D1C"/>
    <w:rsid w:val="00703FA5"/>
    <w:rsid w:val="00704004"/>
    <w:rsid w:val="007040DA"/>
    <w:rsid w:val="00704330"/>
    <w:rsid w:val="0070435F"/>
    <w:rsid w:val="00704407"/>
    <w:rsid w:val="007049F8"/>
    <w:rsid w:val="00704A5A"/>
    <w:rsid w:val="00704D75"/>
    <w:rsid w:val="00704FDF"/>
    <w:rsid w:val="007052A4"/>
    <w:rsid w:val="0070538F"/>
    <w:rsid w:val="00705549"/>
    <w:rsid w:val="007059BB"/>
    <w:rsid w:val="00705A2C"/>
    <w:rsid w:val="00705AC9"/>
    <w:rsid w:val="00705B8F"/>
    <w:rsid w:val="00705C10"/>
    <w:rsid w:val="00705C3F"/>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067"/>
    <w:rsid w:val="00712139"/>
    <w:rsid w:val="007123E6"/>
    <w:rsid w:val="00712646"/>
    <w:rsid w:val="0071286D"/>
    <w:rsid w:val="00712958"/>
    <w:rsid w:val="00712B26"/>
    <w:rsid w:val="00712C92"/>
    <w:rsid w:val="00712D21"/>
    <w:rsid w:val="00712ECA"/>
    <w:rsid w:val="00712EDE"/>
    <w:rsid w:val="00713063"/>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A2"/>
    <w:rsid w:val="007155F3"/>
    <w:rsid w:val="0071568F"/>
    <w:rsid w:val="007158BE"/>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0F2B"/>
    <w:rsid w:val="0072110E"/>
    <w:rsid w:val="0072118B"/>
    <w:rsid w:val="007212AB"/>
    <w:rsid w:val="007212F3"/>
    <w:rsid w:val="007215F8"/>
    <w:rsid w:val="00721725"/>
    <w:rsid w:val="00721779"/>
    <w:rsid w:val="00721C43"/>
    <w:rsid w:val="00721C65"/>
    <w:rsid w:val="00721F04"/>
    <w:rsid w:val="0072231C"/>
    <w:rsid w:val="0072236A"/>
    <w:rsid w:val="007227B9"/>
    <w:rsid w:val="00722838"/>
    <w:rsid w:val="00722864"/>
    <w:rsid w:val="007229BD"/>
    <w:rsid w:val="00722BB4"/>
    <w:rsid w:val="00722BBD"/>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057"/>
    <w:rsid w:val="00724176"/>
    <w:rsid w:val="007243E5"/>
    <w:rsid w:val="007246A6"/>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F74"/>
    <w:rsid w:val="00727520"/>
    <w:rsid w:val="00727552"/>
    <w:rsid w:val="007279B8"/>
    <w:rsid w:val="007279FC"/>
    <w:rsid w:val="00727AE6"/>
    <w:rsid w:val="00727BEE"/>
    <w:rsid w:val="00727DD8"/>
    <w:rsid w:val="0073000A"/>
    <w:rsid w:val="007300F6"/>
    <w:rsid w:val="0073016A"/>
    <w:rsid w:val="007301A7"/>
    <w:rsid w:val="007307C9"/>
    <w:rsid w:val="00730A14"/>
    <w:rsid w:val="00730BB1"/>
    <w:rsid w:val="00730D35"/>
    <w:rsid w:val="00730DFE"/>
    <w:rsid w:val="00730F0E"/>
    <w:rsid w:val="00730FCE"/>
    <w:rsid w:val="007312F7"/>
    <w:rsid w:val="0073137B"/>
    <w:rsid w:val="007313C9"/>
    <w:rsid w:val="00731485"/>
    <w:rsid w:val="007315B1"/>
    <w:rsid w:val="00731615"/>
    <w:rsid w:val="007316A1"/>
    <w:rsid w:val="00731A45"/>
    <w:rsid w:val="00731A7C"/>
    <w:rsid w:val="00731C3C"/>
    <w:rsid w:val="00731D06"/>
    <w:rsid w:val="00731D9B"/>
    <w:rsid w:val="00731EF3"/>
    <w:rsid w:val="007320F9"/>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4062"/>
    <w:rsid w:val="007340FE"/>
    <w:rsid w:val="00734121"/>
    <w:rsid w:val="0073414A"/>
    <w:rsid w:val="007343BA"/>
    <w:rsid w:val="0073465A"/>
    <w:rsid w:val="007348C3"/>
    <w:rsid w:val="00734B38"/>
    <w:rsid w:val="00734B51"/>
    <w:rsid w:val="00734CDA"/>
    <w:rsid w:val="00734EE0"/>
    <w:rsid w:val="00735030"/>
    <w:rsid w:val="00735455"/>
    <w:rsid w:val="00735530"/>
    <w:rsid w:val="0073572B"/>
    <w:rsid w:val="00735A94"/>
    <w:rsid w:val="00735E0B"/>
    <w:rsid w:val="00735EA0"/>
    <w:rsid w:val="00735F71"/>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6E9"/>
    <w:rsid w:val="0074088B"/>
    <w:rsid w:val="00740A2B"/>
    <w:rsid w:val="00740A8B"/>
    <w:rsid w:val="00740F1F"/>
    <w:rsid w:val="00740F28"/>
    <w:rsid w:val="00741013"/>
    <w:rsid w:val="007419EE"/>
    <w:rsid w:val="00741A5E"/>
    <w:rsid w:val="00741CCC"/>
    <w:rsid w:val="00742141"/>
    <w:rsid w:val="0074221D"/>
    <w:rsid w:val="0074224C"/>
    <w:rsid w:val="00742252"/>
    <w:rsid w:val="0074263F"/>
    <w:rsid w:val="007426B7"/>
    <w:rsid w:val="007426EA"/>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C79"/>
    <w:rsid w:val="00743F37"/>
    <w:rsid w:val="00744040"/>
    <w:rsid w:val="00744091"/>
    <w:rsid w:val="00744295"/>
    <w:rsid w:val="007442B6"/>
    <w:rsid w:val="007443F7"/>
    <w:rsid w:val="00744430"/>
    <w:rsid w:val="0074495E"/>
    <w:rsid w:val="00744B85"/>
    <w:rsid w:val="00744E0F"/>
    <w:rsid w:val="00745083"/>
    <w:rsid w:val="007451F9"/>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BBE"/>
    <w:rsid w:val="00746CFB"/>
    <w:rsid w:val="00746FCE"/>
    <w:rsid w:val="00747030"/>
    <w:rsid w:val="007473E7"/>
    <w:rsid w:val="00747411"/>
    <w:rsid w:val="007479EB"/>
    <w:rsid w:val="00747CF9"/>
    <w:rsid w:val="00747F2A"/>
    <w:rsid w:val="007500D3"/>
    <w:rsid w:val="00750376"/>
    <w:rsid w:val="00750408"/>
    <w:rsid w:val="00750915"/>
    <w:rsid w:val="00750B42"/>
    <w:rsid w:val="00750DB3"/>
    <w:rsid w:val="00750E44"/>
    <w:rsid w:val="00750EC3"/>
    <w:rsid w:val="00751199"/>
    <w:rsid w:val="00751311"/>
    <w:rsid w:val="007515BE"/>
    <w:rsid w:val="0075161A"/>
    <w:rsid w:val="00751695"/>
    <w:rsid w:val="00751BEF"/>
    <w:rsid w:val="00751F9F"/>
    <w:rsid w:val="00752031"/>
    <w:rsid w:val="007521BC"/>
    <w:rsid w:val="007522FD"/>
    <w:rsid w:val="0075237B"/>
    <w:rsid w:val="00752532"/>
    <w:rsid w:val="00752757"/>
    <w:rsid w:val="00752C38"/>
    <w:rsid w:val="00752E6D"/>
    <w:rsid w:val="00752EC9"/>
    <w:rsid w:val="00752FEA"/>
    <w:rsid w:val="007530B3"/>
    <w:rsid w:val="007532EF"/>
    <w:rsid w:val="00753453"/>
    <w:rsid w:val="00753646"/>
    <w:rsid w:val="007539A9"/>
    <w:rsid w:val="00753A77"/>
    <w:rsid w:val="00753AC1"/>
    <w:rsid w:val="00753B72"/>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053"/>
    <w:rsid w:val="0075719C"/>
    <w:rsid w:val="007571DF"/>
    <w:rsid w:val="00757564"/>
    <w:rsid w:val="00757659"/>
    <w:rsid w:val="007577CB"/>
    <w:rsid w:val="00757AF7"/>
    <w:rsid w:val="00760008"/>
    <w:rsid w:val="007600FB"/>
    <w:rsid w:val="00760258"/>
    <w:rsid w:val="007602C9"/>
    <w:rsid w:val="007604C1"/>
    <w:rsid w:val="00760816"/>
    <w:rsid w:val="00760C0D"/>
    <w:rsid w:val="00760FB1"/>
    <w:rsid w:val="0076128B"/>
    <w:rsid w:val="007612CA"/>
    <w:rsid w:val="00761924"/>
    <w:rsid w:val="00761A15"/>
    <w:rsid w:val="00761A4D"/>
    <w:rsid w:val="00761ADD"/>
    <w:rsid w:val="00761DFA"/>
    <w:rsid w:val="00761E2D"/>
    <w:rsid w:val="00761EA7"/>
    <w:rsid w:val="00761F57"/>
    <w:rsid w:val="00762346"/>
    <w:rsid w:val="007623CF"/>
    <w:rsid w:val="0076249C"/>
    <w:rsid w:val="00762547"/>
    <w:rsid w:val="007628B8"/>
    <w:rsid w:val="00762B1E"/>
    <w:rsid w:val="00762B2A"/>
    <w:rsid w:val="00762D3A"/>
    <w:rsid w:val="00762D8E"/>
    <w:rsid w:val="00762DDF"/>
    <w:rsid w:val="00762F77"/>
    <w:rsid w:val="007632B8"/>
    <w:rsid w:val="007634BF"/>
    <w:rsid w:val="00763623"/>
    <w:rsid w:val="007636DA"/>
    <w:rsid w:val="0076395A"/>
    <w:rsid w:val="00763999"/>
    <w:rsid w:val="00763A7E"/>
    <w:rsid w:val="00764095"/>
    <w:rsid w:val="00764200"/>
    <w:rsid w:val="00764235"/>
    <w:rsid w:val="00764241"/>
    <w:rsid w:val="0076425F"/>
    <w:rsid w:val="007643DD"/>
    <w:rsid w:val="007648C5"/>
    <w:rsid w:val="00764BAB"/>
    <w:rsid w:val="00764BF4"/>
    <w:rsid w:val="00764CD3"/>
    <w:rsid w:val="00764D59"/>
    <w:rsid w:val="00764DA1"/>
    <w:rsid w:val="00764E09"/>
    <w:rsid w:val="00764E22"/>
    <w:rsid w:val="00764F8F"/>
    <w:rsid w:val="007651ED"/>
    <w:rsid w:val="007651FA"/>
    <w:rsid w:val="0076543B"/>
    <w:rsid w:val="00765567"/>
    <w:rsid w:val="007655FE"/>
    <w:rsid w:val="00765A17"/>
    <w:rsid w:val="00765C2F"/>
    <w:rsid w:val="00765C6A"/>
    <w:rsid w:val="00765E51"/>
    <w:rsid w:val="007660A3"/>
    <w:rsid w:val="00766142"/>
    <w:rsid w:val="007661D1"/>
    <w:rsid w:val="007662BE"/>
    <w:rsid w:val="00766480"/>
    <w:rsid w:val="007664C0"/>
    <w:rsid w:val="00766703"/>
    <w:rsid w:val="00766763"/>
    <w:rsid w:val="0076680D"/>
    <w:rsid w:val="00766AD4"/>
    <w:rsid w:val="00766F8B"/>
    <w:rsid w:val="00767563"/>
    <w:rsid w:val="007677FF"/>
    <w:rsid w:val="00767818"/>
    <w:rsid w:val="00767B17"/>
    <w:rsid w:val="00767C00"/>
    <w:rsid w:val="00767C58"/>
    <w:rsid w:val="00767CCF"/>
    <w:rsid w:val="0077016F"/>
    <w:rsid w:val="00770319"/>
    <w:rsid w:val="007705C5"/>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3D6"/>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054"/>
    <w:rsid w:val="007742C6"/>
    <w:rsid w:val="0077433D"/>
    <w:rsid w:val="0077449C"/>
    <w:rsid w:val="007744B2"/>
    <w:rsid w:val="0077455A"/>
    <w:rsid w:val="0077459A"/>
    <w:rsid w:val="007745FD"/>
    <w:rsid w:val="007748DD"/>
    <w:rsid w:val="00774973"/>
    <w:rsid w:val="007749EF"/>
    <w:rsid w:val="00775263"/>
    <w:rsid w:val="00775308"/>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25"/>
    <w:rsid w:val="0077709D"/>
    <w:rsid w:val="007772F6"/>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3F"/>
    <w:rsid w:val="00781860"/>
    <w:rsid w:val="00781942"/>
    <w:rsid w:val="00781AEB"/>
    <w:rsid w:val="00781CF8"/>
    <w:rsid w:val="00781DDE"/>
    <w:rsid w:val="00782139"/>
    <w:rsid w:val="007824B9"/>
    <w:rsid w:val="0078268E"/>
    <w:rsid w:val="0078291C"/>
    <w:rsid w:val="0078296E"/>
    <w:rsid w:val="00782B9E"/>
    <w:rsid w:val="00782C55"/>
    <w:rsid w:val="00782DA3"/>
    <w:rsid w:val="00782F60"/>
    <w:rsid w:val="00782FD8"/>
    <w:rsid w:val="00783091"/>
    <w:rsid w:val="007831A8"/>
    <w:rsid w:val="00783211"/>
    <w:rsid w:val="00783302"/>
    <w:rsid w:val="0078339C"/>
    <w:rsid w:val="00783429"/>
    <w:rsid w:val="007835D6"/>
    <w:rsid w:val="00783ACD"/>
    <w:rsid w:val="00783BC4"/>
    <w:rsid w:val="00783BD9"/>
    <w:rsid w:val="00783D62"/>
    <w:rsid w:val="00783E57"/>
    <w:rsid w:val="00783F10"/>
    <w:rsid w:val="00784065"/>
    <w:rsid w:val="00784123"/>
    <w:rsid w:val="00784241"/>
    <w:rsid w:val="00784282"/>
    <w:rsid w:val="00784308"/>
    <w:rsid w:val="00784408"/>
    <w:rsid w:val="00784541"/>
    <w:rsid w:val="00784788"/>
    <w:rsid w:val="00784C5A"/>
    <w:rsid w:val="00784CBE"/>
    <w:rsid w:val="00784CD4"/>
    <w:rsid w:val="00784E3B"/>
    <w:rsid w:val="00784F26"/>
    <w:rsid w:val="00784F60"/>
    <w:rsid w:val="0078509D"/>
    <w:rsid w:val="00785759"/>
    <w:rsid w:val="00785B54"/>
    <w:rsid w:val="007860AA"/>
    <w:rsid w:val="00786364"/>
    <w:rsid w:val="0078643C"/>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CEA"/>
    <w:rsid w:val="00790E54"/>
    <w:rsid w:val="00790EDE"/>
    <w:rsid w:val="00790FCA"/>
    <w:rsid w:val="00791637"/>
    <w:rsid w:val="007917BA"/>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3F4C"/>
    <w:rsid w:val="00794010"/>
    <w:rsid w:val="0079405E"/>
    <w:rsid w:val="00794785"/>
    <w:rsid w:val="007948BF"/>
    <w:rsid w:val="00794928"/>
    <w:rsid w:val="007949E2"/>
    <w:rsid w:val="00794A1C"/>
    <w:rsid w:val="00794AB9"/>
    <w:rsid w:val="00794B55"/>
    <w:rsid w:val="00794CC0"/>
    <w:rsid w:val="00794E05"/>
    <w:rsid w:val="0079504B"/>
    <w:rsid w:val="00795104"/>
    <w:rsid w:val="007955F7"/>
    <w:rsid w:val="0079571B"/>
    <w:rsid w:val="007957DE"/>
    <w:rsid w:val="007958CE"/>
    <w:rsid w:val="00795905"/>
    <w:rsid w:val="007959D6"/>
    <w:rsid w:val="00795A58"/>
    <w:rsid w:val="00795EE5"/>
    <w:rsid w:val="00795F87"/>
    <w:rsid w:val="007961C9"/>
    <w:rsid w:val="00796337"/>
    <w:rsid w:val="00796383"/>
    <w:rsid w:val="007964B2"/>
    <w:rsid w:val="007964DB"/>
    <w:rsid w:val="00796716"/>
    <w:rsid w:val="007967B9"/>
    <w:rsid w:val="007967D0"/>
    <w:rsid w:val="00796858"/>
    <w:rsid w:val="00796AB3"/>
    <w:rsid w:val="00796B09"/>
    <w:rsid w:val="00796BEB"/>
    <w:rsid w:val="00796E3D"/>
    <w:rsid w:val="0079766C"/>
    <w:rsid w:val="007976C5"/>
    <w:rsid w:val="00797773"/>
    <w:rsid w:val="00797A33"/>
    <w:rsid w:val="00797C4B"/>
    <w:rsid w:val="00797DF7"/>
    <w:rsid w:val="007A019B"/>
    <w:rsid w:val="007A0367"/>
    <w:rsid w:val="007A04BC"/>
    <w:rsid w:val="007A0599"/>
    <w:rsid w:val="007A082D"/>
    <w:rsid w:val="007A08DE"/>
    <w:rsid w:val="007A0D87"/>
    <w:rsid w:val="007A0DC0"/>
    <w:rsid w:val="007A0FD5"/>
    <w:rsid w:val="007A155E"/>
    <w:rsid w:val="007A157D"/>
    <w:rsid w:val="007A163F"/>
    <w:rsid w:val="007A167F"/>
    <w:rsid w:val="007A193C"/>
    <w:rsid w:val="007A1E12"/>
    <w:rsid w:val="007A1EE0"/>
    <w:rsid w:val="007A1EE3"/>
    <w:rsid w:val="007A20DD"/>
    <w:rsid w:val="007A2243"/>
    <w:rsid w:val="007A234F"/>
    <w:rsid w:val="007A23D1"/>
    <w:rsid w:val="007A2429"/>
    <w:rsid w:val="007A2455"/>
    <w:rsid w:val="007A2457"/>
    <w:rsid w:val="007A2483"/>
    <w:rsid w:val="007A2630"/>
    <w:rsid w:val="007A27A0"/>
    <w:rsid w:val="007A2C36"/>
    <w:rsid w:val="007A2C72"/>
    <w:rsid w:val="007A2D17"/>
    <w:rsid w:val="007A2ECA"/>
    <w:rsid w:val="007A3003"/>
    <w:rsid w:val="007A3986"/>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ADC"/>
    <w:rsid w:val="007A5B79"/>
    <w:rsid w:val="007A5BC9"/>
    <w:rsid w:val="007A5C27"/>
    <w:rsid w:val="007A5C5C"/>
    <w:rsid w:val="007A5F13"/>
    <w:rsid w:val="007A5F25"/>
    <w:rsid w:val="007A610C"/>
    <w:rsid w:val="007A613F"/>
    <w:rsid w:val="007A61BA"/>
    <w:rsid w:val="007A6266"/>
    <w:rsid w:val="007A6383"/>
    <w:rsid w:val="007A6583"/>
    <w:rsid w:val="007A66DD"/>
    <w:rsid w:val="007A677F"/>
    <w:rsid w:val="007A6B54"/>
    <w:rsid w:val="007A6C2B"/>
    <w:rsid w:val="007A70AB"/>
    <w:rsid w:val="007A70C1"/>
    <w:rsid w:val="007A7128"/>
    <w:rsid w:val="007A736E"/>
    <w:rsid w:val="007A743B"/>
    <w:rsid w:val="007A74E1"/>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90"/>
    <w:rsid w:val="007B6BEF"/>
    <w:rsid w:val="007B6C3E"/>
    <w:rsid w:val="007B6D96"/>
    <w:rsid w:val="007B6DF1"/>
    <w:rsid w:val="007B6E3C"/>
    <w:rsid w:val="007B6E50"/>
    <w:rsid w:val="007B73E4"/>
    <w:rsid w:val="007B7A3A"/>
    <w:rsid w:val="007B7AE6"/>
    <w:rsid w:val="007C04B1"/>
    <w:rsid w:val="007C04E8"/>
    <w:rsid w:val="007C0B09"/>
    <w:rsid w:val="007C0DC3"/>
    <w:rsid w:val="007C1117"/>
    <w:rsid w:val="007C1443"/>
    <w:rsid w:val="007C156D"/>
    <w:rsid w:val="007C1981"/>
    <w:rsid w:val="007C1ADC"/>
    <w:rsid w:val="007C1EBE"/>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60"/>
    <w:rsid w:val="007C40FE"/>
    <w:rsid w:val="007C41F3"/>
    <w:rsid w:val="007C4266"/>
    <w:rsid w:val="007C42BB"/>
    <w:rsid w:val="007C4628"/>
    <w:rsid w:val="007C4654"/>
    <w:rsid w:val="007C4864"/>
    <w:rsid w:val="007C49D2"/>
    <w:rsid w:val="007C49F7"/>
    <w:rsid w:val="007C4C6E"/>
    <w:rsid w:val="007C4D9C"/>
    <w:rsid w:val="007C4DFD"/>
    <w:rsid w:val="007C50A8"/>
    <w:rsid w:val="007C51A4"/>
    <w:rsid w:val="007C51FA"/>
    <w:rsid w:val="007C5514"/>
    <w:rsid w:val="007C55C2"/>
    <w:rsid w:val="007C59E7"/>
    <w:rsid w:val="007C5B04"/>
    <w:rsid w:val="007C5D1D"/>
    <w:rsid w:val="007C5DE1"/>
    <w:rsid w:val="007C5F5F"/>
    <w:rsid w:val="007C6407"/>
    <w:rsid w:val="007C6835"/>
    <w:rsid w:val="007C688F"/>
    <w:rsid w:val="007C68D6"/>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442"/>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7F1"/>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C6B"/>
    <w:rsid w:val="007E0E0B"/>
    <w:rsid w:val="007E0E50"/>
    <w:rsid w:val="007E1191"/>
    <w:rsid w:val="007E13A3"/>
    <w:rsid w:val="007E1435"/>
    <w:rsid w:val="007E14CF"/>
    <w:rsid w:val="007E1531"/>
    <w:rsid w:val="007E15CA"/>
    <w:rsid w:val="007E167C"/>
    <w:rsid w:val="007E16CF"/>
    <w:rsid w:val="007E1BEF"/>
    <w:rsid w:val="007E1C1C"/>
    <w:rsid w:val="007E1F90"/>
    <w:rsid w:val="007E2293"/>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50A"/>
    <w:rsid w:val="007E761A"/>
    <w:rsid w:val="007E7AD7"/>
    <w:rsid w:val="007E7DF4"/>
    <w:rsid w:val="007E7ED3"/>
    <w:rsid w:val="007E7EE2"/>
    <w:rsid w:val="007E7F95"/>
    <w:rsid w:val="007F02BA"/>
    <w:rsid w:val="007F075E"/>
    <w:rsid w:val="007F07AE"/>
    <w:rsid w:val="007F08B3"/>
    <w:rsid w:val="007F09FA"/>
    <w:rsid w:val="007F0C35"/>
    <w:rsid w:val="007F0C6A"/>
    <w:rsid w:val="007F0FD6"/>
    <w:rsid w:val="007F109E"/>
    <w:rsid w:val="007F1320"/>
    <w:rsid w:val="007F16CB"/>
    <w:rsid w:val="007F1709"/>
    <w:rsid w:val="007F1864"/>
    <w:rsid w:val="007F199C"/>
    <w:rsid w:val="007F1AF1"/>
    <w:rsid w:val="007F1B3D"/>
    <w:rsid w:val="007F1B44"/>
    <w:rsid w:val="007F1BB4"/>
    <w:rsid w:val="007F224E"/>
    <w:rsid w:val="007F22F9"/>
    <w:rsid w:val="007F2509"/>
    <w:rsid w:val="007F255E"/>
    <w:rsid w:val="007F2637"/>
    <w:rsid w:val="007F26A3"/>
    <w:rsid w:val="007F2B0C"/>
    <w:rsid w:val="007F2EDF"/>
    <w:rsid w:val="007F31AB"/>
    <w:rsid w:val="007F32AE"/>
    <w:rsid w:val="007F33C2"/>
    <w:rsid w:val="007F34BD"/>
    <w:rsid w:val="007F3802"/>
    <w:rsid w:val="007F3AD1"/>
    <w:rsid w:val="007F3C5D"/>
    <w:rsid w:val="007F3D8E"/>
    <w:rsid w:val="007F3EB7"/>
    <w:rsid w:val="007F3F48"/>
    <w:rsid w:val="007F4162"/>
    <w:rsid w:val="007F457B"/>
    <w:rsid w:val="007F4A41"/>
    <w:rsid w:val="007F4AC6"/>
    <w:rsid w:val="007F4B3B"/>
    <w:rsid w:val="007F4B5E"/>
    <w:rsid w:val="007F4E0E"/>
    <w:rsid w:val="007F4E9D"/>
    <w:rsid w:val="007F5150"/>
    <w:rsid w:val="007F51F7"/>
    <w:rsid w:val="007F55EE"/>
    <w:rsid w:val="007F5834"/>
    <w:rsid w:val="007F5C0C"/>
    <w:rsid w:val="007F5D71"/>
    <w:rsid w:val="007F5FAB"/>
    <w:rsid w:val="007F615C"/>
    <w:rsid w:val="007F67A8"/>
    <w:rsid w:val="007F6857"/>
    <w:rsid w:val="007F6B9A"/>
    <w:rsid w:val="007F6EFD"/>
    <w:rsid w:val="007F6F15"/>
    <w:rsid w:val="007F7080"/>
    <w:rsid w:val="007F70A1"/>
    <w:rsid w:val="007F72CE"/>
    <w:rsid w:val="007F74F9"/>
    <w:rsid w:val="007F7528"/>
    <w:rsid w:val="0080016C"/>
    <w:rsid w:val="008001CE"/>
    <w:rsid w:val="00800249"/>
    <w:rsid w:val="00800280"/>
    <w:rsid w:val="00800904"/>
    <w:rsid w:val="00800919"/>
    <w:rsid w:val="00800A8E"/>
    <w:rsid w:val="00800C4E"/>
    <w:rsid w:val="00800D8E"/>
    <w:rsid w:val="00800DEE"/>
    <w:rsid w:val="00800E4F"/>
    <w:rsid w:val="0080104C"/>
    <w:rsid w:val="008014CF"/>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BBD"/>
    <w:rsid w:val="00804C23"/>
    <w:rsid w:val="00804D33"/>
    <w:rsid w:val="00804F05"/>
    <w:rsid w:val="008052FD"/>
    <w:rsid w:val="00805538"/>
    <w:rsid w:val="00805763"/>
    <w:rsid w:val="00805C03"/>
    <w:rsid w:val="00805D99"/>
    <w:rsid w:val="0080611C"/>
    <w:rsid w:val="008061FF"/>
    <w:rsid w:val="0080631D"/>
    <w:rsid w:val="0080668A"/>
    <w:rsid w:val="00806957"/>
    <w:rsid w:val="008069EC"/>
    <w:rsid w:val="00806C4A"/>
    <w:rsid w:val="00806DDE"/>
    <w:rsid w:val="00807183"/>
    <w:rsid w:val="0080721C"/>
    <w:rsid w:val="008073FA"/>
    <w:rsid w:val="00807499"/>
    <w:rsid w:val="00807525"/>
    <w:rsid w:val="008075F7"/>
    <w:rsid w:val="008077D5"/>
    <w:rsid w:val="00807869"/>
    <w:rsid w:val="008078BF"/>
    <w:rsid w:val="00807A30"/>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1B"/>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7FA"/>
    <w:rsid w:val="00812D05"/>
    <w:rsid w:val="00812E97"/>
    <w:rsid w:val="00813005"/>
    <w:rsid w:val="008133C1"/>
    <w:rsid w:val="008135FE"/>
    <w:rsid w:val="00813756"/>
    <w:rsid w:val="008137B4"/>
    <w:rsid w:val="00813BE7"/>
    <w:rsid w:val="00813C24"/>
    <w:rsid w:val="00813F08"/>
    <w:rsid w:val="00813F36"/>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5EDF"/>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C7B"/>
    <w:rsid w:val="00817D68"/>
    <w:rsid w:val="00817D77"/>
    <w:rsid w:val="00817EEC"/>
    <w:rsid w:val="00820288"/>
    <w:rsid w:val="008206CD"/>
    <w:rsid w:val="00820AB3"/>
    <w:rsid w:val="00821209"/>
    <w:rsid w:val="00821281"/>
    <w:rsid w:val="00821348"/>
    <w:rsid w:val="00821370"/>
    <w:rsid w:val="008214FC"/>
    <w:rsid w:val="0082174C"/>
    <w:rsid w:val="00821753"/>
    <w:rsid w:val="008218B4"/>
    <w:rsid w:val="008219D5"/>
    <w:rsid w:val="00821B21"/>
    <w:rsid w:val="00821BF7"/>
    <w:rsid w:val="00821C3B"/>
    <w:rsid w:val="00821CA9"/>
    <w:rsid w:val="00821CFD"/>
    <w:rsid w:val="00822412"/>
    <w:rsid w:val="008226A5"/>
    <w:rsid w:val="00822A9E"/>
    <w:rsid w:val="00822C21"/>
    <w:rsid w:val="00822C7F"/>
    <w:rsid w:val="00822E76"/>
    <w:rsid w:val="0082327A"/>
    <w:rsid w:val="008233DC"/>
    <w:rsid w:val="008233EA"/>
    <w:rsid w:val="0082343C"/>
    <w:rsid w:val="00823473"/>
    <w:rsid w:val="00823672"/>
    <w:rsid w:val="00823849"/>
    <w:rsid w:val="00823979"/>
    <w:rsid w:val="00823B04"/>
    <w:rsid w:val="00823BC5"/>
    <w:rsid w:val="00823C8B"/>
    <w:rsid w:val="00823CBE"/>
    <w:rsid w:val="00823CE7"/>
    <w:rsid w:val="00823E22"/>
    <w:rsid w:val="008247AE"/>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92"/>
    <w:rsid w:val="008260AB"/>
    <w:rsid w:val="008260F2"/>
    <w:rsid w:val="008263C1"/>
    <w:rsid w:val="008263E1"/>
    <w:rsid w:val="00826907"/>
    <w:rsid w:val="00826C10"/>
    <w:rsid w:val="00826CB3"/>
    <w:rsid w:val="00826EB9"/>
    <w:rsid w:val="0082700E"/>
    <w:rsid w:val="008270A9"/>
    <w:rsid w:val="00827320"/>
    <w:rsid w:val="00827366"/>
    <w:rsid w:val="008273DE"/>
    <w:rsid w:val="008274CC"/>
    <w:rsid w:val="00827F5D"/>
    <w:rsid w:val="008300DC"/>
    <w:rsid w:val="008301E5"/>
    <w:rsid w:val="00830300"/>
    <w:rsid w:val="00830623"/>
    <w:rsid w:val="0083090B"/>
    <w:rsid w:val="00830A8F"/>
    <w:rsid w:val="00830C2B"/>
    <w:rsid w:val="0083123C"/>
    <w:rsid w:val="008312B0"/>
    <w:rsid w:val="008313E5"/>
    <w:rsid w:val="00831774"/>
    <w:rsid w:val="0083183F"/>
    <w:rsid w:val="00831A3C"/>
    <w:rsid w:val="00831B3D"/>
    <w:rsid w:val="00831BD9"/>
    <w:rsid w:val="00831C76"/>
    <w:rsid w:val="00831D99"/>
    <w:rsid w:val="00831FA9"/>
    <w:rsid w:val="008323B0"/>
    <w:rsid w:val="008324E0"/>
    <w:rsid w:val="008326FC"/>
    <w:rsid w:val="00832890"/>
    <w:rsid w:val="0083290A"/>
    <w:rsid w:val="00832F7A"/>
    <w:rsid w:val="00833677"/>
    <w:rsid w:val="008337A3"/>
    <w:rsid w:val="0083395D"/>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77"/>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C1B"/>
    <w:rsid w:val="00843FB9"/>
    <w:rsid w:val="0084415C"/>
    <w:rsid w:val="00844428"/>
    <w:rsid w:val="0084476C"/>
    <w:rsid w:val="00844A39"/>
    <w:rsid w:val="0084509D"/>
    <w:rsid w:val="0084534E"/>
    <w:rsid w:val="00845604"/>
    <w:rsid w:val="00845C18"/>
    <w:rsid w:val="00845D51"/>
    <w:rsid w:val="00845D5A"/>
    <w:rsid w:val="008462D7"/>
    <w:rsid w:val="00846501"/>
    <w:rsid w:val="00846875"/>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21"/>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6ED"/>
    <w:rsid w:val="00851706"/>
    <w:rsid w:val="00851A1D"/>
    <w:rsid w:val="00851A88"/>
    <w:rsid w:val="00851D4F"/>
    <w:rsid w:val="008527C5"/>
    <w:rsid w:val="00852842"/>
    <w:rsid w:val="0085291D"/>
    <w:rsid w:val="00852A85"/>
    <w:rsid w:val="00852EA6"/>
    <w:rsid w:val="00852F47"/>
    <w:rsid w:val="00852F5D"/>
    <w:rsid w:val="0085329A"/>
    <w:rsid w:val="00853515"/>
    <w:rsid w:val="008536A0"/>
    <w:rsid w:val="0085385B"/>
    <w:rsid w:val="008539BA"/>
    <w:rsid w:val="00853A25"/>
    <w:rsid w:val="00853A4A"/>
    <w:rsid w:val="00853C8C"/>
    <w:rsid w:val="00853D1D"/>
    <w:rsid w:val="00853D2C"/>
    <w:rsid w:val="00853DCF"/>
    <w:rsid w:val="00853F87"/>
    <w:rsid w:val="00853F94"/>
    <w:rsid w:val="008540C6"/>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05"/>
    <w:rsid w:val="00856445"/>
    <w:rsid w:val="008564A8"/>
    <w:rsid w:val="00856753"/>
    <w:rsid w:val="008568E5"/>
    <w:rsid w:val="00856A89"/>
    <w:rsid w:val="0085742E"/>
    <w:rsid w:val="00857749"/>
    <w:rsid w:val="00857882"/>
    <w:rsid w:val="00857889"/>
    <w:rsid w:val="0085793E"/>
    <w:rsid w:val="00857AF5"/>
    <w:rsid w:val="00857F5E"/>
    <w:rsid w:val="008600D4"/>
    <w:rsid w:val="00860211"/>
    <w:rsid w:val="00860418"/>
    <w:rsid w:val="008604D4"/>
    <w:rsid w:val="00860614"/>
    <w:rsid w:val="0086081D"/>
    <w:rsid w:val="00860AE9"/>
    <w:rsid w:val="00860B28"/>
    <w:rsid w:val="00860BD7"/>
    <w:rsid w:val="00860E03"/>
    <w:rsid w:val="008611C9"/>
    <w:rsid w:val="008613B8"/>
    <w:rsid w:val="008618B4"/>
    <w:rsid w:val="008618FA"/>
    <w:rsid w:val="00861B50"/>
    <w:rsid w:val="00861B6C"/>
    <w:rsid w:val="00861C42"/>
    <w:rsid w:val="00861C46"/>
    <w:rsid w:val="00861C4F"/>
    <w:rsid w:val="00861D04"/>
    <w:rsid w:val="00861D84"/>
    <w:rsid w:val="008622FF"/>
    <w:rsid w:val="00862479"/>
    <w:rsid w:val="008625A1"/>
    <w:rsid w:val="008626CC"/>
    <w:rsid w:val="008627F4"/>
    <w:rsid w:val="008628E9"/>
    <w:rsid w:val="00862AC5"/>
    <w:rsid w:val="00862B0F"/>
    <w:rsid w:val="00862B1B"/>
    <w:rsid w:val="00862C8A"/>
    <w:rsid w:val="00862CB3"/>
    <w:rsid w:val="00862F19"/>
    <w:rsid w:val="008633A2"/>
    <w:rsid w:val="008634F7"/>
    <w:rsid w:val="008638CC"/>
    <w:rsid w:val="00863BBD"/>
    <w:rsid w:val="00863C9D"/>
    <w:rsid w:val="008645B9"/>
    <w:rsid w:val="00864762"/>
    <w:rsid w:val="008647B1"/>
    <w:rsid w:val="00864838"/>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1C"/>
    <w:rsid w:val="00866DC7"/>
    <w:rsid w:val="00866F8D"/>
    <w:rsid w:val="008674D3"/>
    <w:rsid w:val="00867712"/>
    <w:rsid w:val="00867B19"/>
    <w:rsid w:val="00867D83"/>
    <w:rsid w:val="00867E81"/>
    <w:rsid w:val="00870274"/>
    <w:rsid w:val="00870285"/>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0F1"/>
    <w:rsid w:val="008722BC"/>
    <w:rsid w:val="008727CF"/>
    <w:rsid w:val="008727D4"/>
    <w:rsid w:val="0087297B"/>
    <w:rsid w:val="00872B25"/>
    <w:rsid w:val="00872CD4"/>
    <w:rsid w:val="00872CD5"/>
    <w:rsid w:val="00872F5A"/>
    <w:rsid w:val="00872FD8"/>
    <w:rsid w:val="0087306A"/>
    <w:rsid w:val="0087348E"/>
    <w:rsid w:val="008735D9"/>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D85"/>
    <w:rsid w:val="00875ED9"/>
    <w:rsid w:val="00875EEA"/>
    <w:rsid w:val="00875FAB"/>
    <w:rsid w:val="0087642E"/>
    <w:rsid w:val="00876560"/>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BA3"/>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AF"/>
    <w:rsid w:val="00883AC7"/>
    <w:rsid w:val="00883B36"/>
    <w:rsid w:val="00883C40"/>
    <w:rsid w:val="00883C8D"/>
    <w:rsid w:val="00883C9E"/>
    <w:rsid w:val="00883CB5"/>
    <w:rsid w:val="00883D39"/>
    <w:rsid w:val="00883F45"/>
    <w:rsid w:val="00883FF3"/>
    <w:rsid w:val="00884021"/>
    <w:rsid w:val="00884045"/>
    <w:rsid w:val="00884627"/>
    <w:rsid w:val="00884699"/>
    <w:rsid w:val="0088470D"/>
    <w:rsid w:val="008848E2"/>
    <w:rsid w:val="00884B98"/>
    <w:rsid w:val="00884BFB"/>
    <w:rsid w:val="00884F12"/>
    <w:rsid w:val="008850C2"/>
    <w:rsid w:val="008850EF"/>
    <w:rsid w:val="008851ED"/>
    <w:rsid w:val="00885409"/>
    <w:rsid w:val="00885448"/>
    <w:rsid w:val="00885633"/>
    <w:rsid w:val="00885811"/>
    <w:rsid w:val="00885D46"/>
    <w:rsid w:val="00885D73"/>
    <w:rsid w:val="00885EB7"/>
    <w:rsid w:val="00885F02"/>
    <w:rsid w:val="008861C6"/>
    <w:rsid w:val="0088631A"/>
    <w:rsid w:val="00886533"/>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B3A"/>
    <w:rsid w:val="00887C8C"/>
    <w:rsid w:val="00887E69"/>
    <w:rsid w:val="00887F78"/>
    <w:rsid w:val="008900C0"/>
    <w:rsid w:val="008900F3"/>
    <w:rsid w:val="00890728"/>
    <w:rsid w:val="00890780"/>
    <w:rsid w:val="00890812"/>
    <w:rsid w:val="00890A87"/>
    <w:rsid w:val="00890FAB"/>
    <w:rsid w:val="0089125B"/>
    <w:rsid w:val="008912F8"/>
    <w:rsid w:val="0089130C"/>
    <w:rsid w:val="00891B95"/>
    <w:rsid w:val="00891CB4"/>
    <w:rsid w:val="00891CBC"/>
    <w:rsid w:val="008923EF"/>
    <w:rsid w:val="00892554"/>
    <w:rsid w:val="008927ED"/>
    <w:rsid w:val="0089297A"/>
    <w:rsid w:val="00892A3A"/>
    <w:rsid w:val="00892A8C"/>
    <w:rsid w:val="00892DD0"/>
    <w:rsid w:val="00892DDB"/>
    <w:rsid w:val="00893391"/>
    <w:rsid w:val="008933EB"/>
    <w:rsid w:val="00893435"/>
    <w:rsid w:val="00893470"/>
    <w:rsid w:val="0089394D"/>
    <w:rsid w:val="008939F8"/>
    <w:rsid w:val="00893B56"/>
    <w:rsid w:val="00893BD4"/>
    <w:rsid w:val="00893C94"/>
    <w:rsid w:val="00893E6C"/>
    <w:rsid w:val="00893E73"/>
    <w:rsid w:val="00893F26"/>
    <w:rsid w:val="008945E2"/>
    <w:rsid w:val="0089478D"/>
    <w:rsid w:val="008947F8"/>
    <w:rsid w:val="0089491C"/>
    <w:rsid w:val="00894A3C"/>
    <w:rsid w:val="00894BC7"/>
    <w:rsid w:val="00894DF2"/>
    <w:rsid w:val="00895094"/>
    <w:rsid w:val="00895161"/>
    <w:rsid w:val="0089520B"/>
    <w:rsid w:val="008952ED"/>
    <w:rsid w:val="008955B1"/>
    <w:rsid w:val="00895B87"/>
    <w:rsid w:val="00895BD8"/>
    <w:rsid w:val="00896127"/>
    <w:rsid w:val="00896206"/>
    <w:rsid w:val="008968C2"/>
    <w:rsid w:val="00896964"/>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CC1"/>
    <w:rsid w:val="008A1E23"/>
    <w:rsid w:val="008A237E"/>
    <w:rsid w:val="008A2407"/>
    <w:rsid w:val="008A242B"/>
    <w:rsid w:val="008A2730"/>
    <w:rsid w:val="008A282E"/>
    <w:rsid w:val="008A29FD"/>
    <w:rsid w:val="008A2CBB"/>
    <w:rsid w:val="008A2ED4"/>
    <w:rsid w:val="008A32BA"/>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398"/>
    <w:rsid w:val="008A5582"/>
    <w:rsid w:val="008A5883"/>
    <w:rsid w:val="008A5A2E"/>
    <w:rsid w:val="008A5A78"/>
    <w:rsid w:val="008A5EC5"/>
    <w:rsid w:val="008A5ED2"/>
    <w:rsid w:val="008A5F93"/>
    <w:rsid w:val="008A6082"/>
    <w:rsid w:val="008A60B6"/>
    <w:rsid w:val="008A613D"/>
    <w:rsid w:val="008A632B"/>
    <w:rsid w:val="008A6594"/>
    <w:rsid w:val="008A66CE"/>
    <w:rsid w:val="008A6703"/>
    <w:rsid w:val="008A678E"/>
    <w:rsid w:val="008A6819"/>
    <w:rsid w:val="008A6B15"/>
    <w:rsid w:val="008A6E40"/>
    <w:rsid w:val="008A6E91"/>
    <w:rsid w:val="008A7036"/>
    <w:rsid w:val="008A7407"/>
    <w:rsid w:val="008A7410"/>
    <w:rsid w:val="008A7567"/>
    <w:rsid w:val="008A75EE"/>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3FC"/>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6EA"/>
    <w:rsid w:val="008B2708"/>
    <w:rsid w:val="008B2A93"/>
    <w:rsid w:val="008B2B7A"/>
    <w:rsid w:val="008B2F50"/>
    <w:rsid w:val="008B3075"/>
    <w:rsid w:val="008B3113"/>
    <w:rsid w:val="008B350D"/>
    <w:rsid w:val="008B3586"/>
    <w:rsid w:val="008B3CD3"/>
    <w:rsid w:val="008B3EB4"/>
    <w:rsid w:val="008B3EE8"/>
    <w:rsid w:val="008B400F"/>
    <w:rsid w:val="008B4139"/>
    <w:rsid w:val="008B41F0"/>
    <w:rsid w:val="008B42B2"/>
    <w:rsid w:val="008B44EB"/>
    <w:rsid w:val="008B4527"/>
    <w:rsid w:val="008B4566"/>
    <w:rsid w:val="008B482A"/>
    <w:rsid w:val="008B49B0"/>
    <w:rsid w:val="008B4A8E"/>
    <w:rsid w:val="008B4C73"/>
    <w:rsid w:val="008B4DD3"/>
    <w:rsid w:val="008B4E26"/>
    <w:rsid w:val="008B4E67"/>
    <w:rsid w:val="008B5270"/>
    <w:rsid w:val="008B5336"/>
    <w:rsid w:val="008B5785"/>
    <w:rsid w:val="008B59C0"/>
    <w:rsid w:val="008B5AB2"/>
    <w:rsid w:val="008B5FFB"/>
    <w:rsid w:val="008B6197"/>
    <w:rsid w:val="008B6220"/>
    <w:rsid w:val="008B63E5"/>
    <w:rsid w:val="008B640F"/>
    <w:rsid w:val="008B645E"/>
    <w:rsid w:val="008B6652"/>
    <w:rsid w:val="008B675D"/>
    <w:rsid w:val="008B6A03"/>
    <w:rsid w:val="008B6A3E"/>
    <w:rsid w:val="008B6AAE"/>
    <w:rsid w:val="008B6B85"/>
    <w:rsid w:val="008B7090"/>
    <w:rsid w:val="008B71F9"/>
    <w:rsid w:val="008B7214"/>
    <w:rsid w:val="008B7283"/>
    <w:rsid w:val="008B7442"/>
    <w:rsid w:val="008B755E"/>
    <w:rsid w:val="008B7576"/>
    <w:rsid w:val="008B7587"/>
    <w:rsid w:val="008B7ADB"/>
    <w:rsid w:val="008B7DD3"/>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20AA"/>
    <w:rsid w:val="008C226E"/>
    <w:rsid w:val="008C228E"/>
    <w:rsid w:val="008C2431"/>
    <w:rsid w:val="008C245A"/>
    <w:rsid w:val="008C25BB"/>
    <w:rsid w:val="008C2847"/>
    <w:rsid w:val="008C29A0"/>
    <w:rsid w:val="008C2ADD"/>
    <w:rsid w:val="008C2C38"/>
    <w:rsid w:val="008C2D87"/>
    <w:rsid w:val="008C2E0B"/>
    <w:rsid w:val="008C30E5"/>
    <w:rsid w:val="008C3214"/>
    <w:rsid w:val="008C3AB7"/>
    <w:rsid w:val="008C3C01"/>
    <w:rsid w:val="008C3F40"/>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275"/>
    <w:rsid w:val="008C6423"/>
    <w:rsid w:val="008C6473"/>
    <w:rsid w:val="008C65A7"/>
    <w:rsid w:val="008C6918"/>
    <w:rsid w:val="008C6947"/>
    <w:rsid w:val="008C6953"/>
    <w:rsid w:val="008C6AEB"/>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AA5"/>
    <w:rsid w:val="008D1B24"/>
    <w:rsid w:val="008D1B57"/>
    <w:rsid w:val="008D1B8D"/>
    <w:rsid w:val="008D1BF7"/>
    <w:rsid w:val="008D1C7B"/>
    <w:rsid w:val="008D1DAE"/>
    <w:rsid w:val="008D1F24"/>
    <w:rsid w:val="008D208D"/>
    <w:rsid w:val="008D216F"/>
    <w:rsid w:val="008D242A"/>
    <w:rsid w:val="008D2845"/>
    <w:rsid w:val="008D2A8B"/>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5DB"/>
    <w:rsid w:val="008D4972"/>
    <w:rsid w:val="008D4C14"/>
    <w:rsid w:val="008D4C2C"/>
    <w:rsid w:val="008D4D0E"/>
    <w:rsid w:val="008D5435"/>
    <w:rsid w:val="008D57EE"/>
    <w:rsid w:val="008D590C"/>
    <w:rsid w:val="008D5A3E"/>
    <w:rsid w:val="008D5B1F"/>
    <w:rsid w:val="008D5D7C"/>
    <w:rsid w:val="008D5D9C"/>
    <w:rsid w:val="008D5E11"/>
    <w:rsid w:val="008D5EEF"/>
    <w:rsid w:val="008D5F81"/>
    <w:rsid w:val="008D6146"/>
    <w:rsid w:val="008D621A"/>
    <w:rsid w:val="008D647A"/>
    <w:rsid w:val="008D6760"/>
    <w:rsid w:val="008D68F4"/>
    <w:rsid w:val="008D694B"/>
    <w:rsid w:val="008D6A14"/>
    <w:rsid w:val="008D6D26"/>
    <w:rsid w:val="008D6F8B"/>
    <w:rsid w:val="008D6FAF"/>
    <w:rsid w:val="008D70BC"/>
    <w:rsid w:val="008D74A9"/>
    <w:rsid w:val="008D74B5"/>
    <w:rsid w:val="008D7582"/>
    <w:rsid w:val="008D7609"/>
    <w:rsid w:val="008D765C"/>
    <w:rsid w:val="008D7A32"/>
    <w:rsid w:val="008D7B67"/>
    <w:rsid w:val="008D7BAB"/>
    <w:rsid w:val="008D7D28"/>
    <w:rsid w:val="008E06D4"/>
    <w:rsid w:val="008E07AB"/>
    <w:rsid w:val="008E07E6"/>
    <w:rsid w:val="008E0855"/>
    <w:rsid w:val="008E099B"/>
    <w:rsid w:val="008E0A61"/>
    <w:rsid w:val="008E0FBB"/>
    <w:rsid w:val="008E1624"/>
    <w:rsid w:val="008E180F"/>
    <w:rsid w:val="008E1970"/>
    <w:rsid w:val="008E19DD"/>
    <w:rsid w:val="008E1A99"/>
    <w:rsid w:val="008E1D36"/>
    <w:rsid w:val="008E1E77"/>
    <w:rsid w:val="008E1EC8"/>
    <w:rsid w:val="008E1F5F"/>
    <w:rsid w:val="008E1FA7"/>
    <w:rsid w:val="008E207F"/>
    <w:rsid w:val="008E20F0"/>
    <w:rsid w:val="008E20FC"/>
    <w:rsid w:val="008E218C"/>
    <w:rsid w:val="008E28A5"/>
    <w:rsid w:val="008E298E"/>
    <w:rsid w:val="008E2DEF"/>
    <w:rsid w:val="008E2EA9"/>
    <w:rsid w:val="008E2F78"/>
    <w:rsid w:val="008E2FB9"/>
    <w:rsid w:val="008E308B"/>
    <w:rsid w:val="008E319D"/>
    <w:rsid w:val="008E3292"/>
    <w:rsid w:val="008E3B5B"/>
    <w:rsid w:val="008E3C89"/>
    <w:rsid w:val="008E3CA1"/>
    <w:rsid w:val="008E3CEB"/>
    <w:rsid w:val="008E3CF9"/>
    <w:rsid w:val="008E3D68"/>
    <w:rsid w:val="008E4046"/>
    <w:rsid w:val="008E41CA"/>
    <w:rsid w:val="008E4234"/>
    <w:rsid w:val="008E4363"/>
    <w:rsid w:val="008E4366"/>
    <w:rsid w:val="008E43BE"/>
    <w:rsid w:val="008E441B"/>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45E"/>
    <w:rsid w:val="008E6638"/>
    <w:rsid w:val="008E6698"/>
    <w:rsid w:val="008E66F0"/>
    <w:rsid w:val="008E69A1"/>
    <w:rsid w:val="008E6A88"/>
    <w:rsid w:val="008E6ACE"/>
    <w:rsid w:val="008E6AF8"/>
    <w:rsid w:val="008E6DA9"/>
    <w:rsid w:val="008E7545"/>
    <w:rsid w:val="008F0102"/>
    <w:rsid w:val="008F01F5"/>
    <w:rsid w:val="008F0795"/>
    <w:rsid w:val="008F07C6"/>
    <w:rsid w:val="008F084E"/>
    <w:rsid w:val="008F08B0"/>
    <w:rsid w:val="008F095C"/>
    <w:rsid w:val="008F0F1F"/>
    <w:rsid w:val="008F0FEA"/>
    <w:rsid w:val="008F115D"/>
    <w:rsid w:val="008F13B1"/>
    <w:rsid w:val="008F13F7"/>
    <w:rsid w:val="008F1714"/>
    <w:rsid w:val="008F179C"/>
    <w:rsid w:val="008F1957"/>
    <w:rsid w:val="008F19F6"/>
    <w:rsid w:val="008F1D28"/>
    <w:rsid w:val="008F2218"/>
    <w:rsid w:val="008F22A6"/>
    <w:rsid w:val="008F2342"/>
    <w:rsid w:val="008F23EF"/>
    <w:rsid w:val="008F245D"/>
    <w:rsid w:val="008F24D9"/>
    <w:rsid w:val="008F2700"/>
    <w:rsid w:val="008F2982"/>
    <w:rsid w:val="008F298A"/>
    <w:rsid w:val="008F2A75"/>
    <w:rsid w:val="008F2DCE"/>
    <w:rsid w:val="008F2F30"/>
    <w:rsid w:val="008F334F"/>
    <w:rsid w:val="008F3A24"/>
    <w:rsid w:val="008F3CB2"/>
    <w:rsid w:val="008F3DCB"/>
    <w:rsid w:val="008F40F9"/>
    <w:rsid w:val="008F41C3"/>
    <w:rsid w:val="008F41D4"/>
    <w:rsid w:val="008F475C"/>
    <w:rsid w:val="008F47BE"/>
    <w:rsid w:val="008F49E2"/>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889"/>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EFE"/>
    <w:rsid w:val="0090404C"/>
    <w:rsid w:val="009043BA"/>
    <w:rsid w:val="009044EA"/>
    <w:rsid w:val="0090463B"/>
    <w:rsid w:val="009046D4"/>
    <w:rsid w:val="00904925"/>
    <w:rsid w:val="00904AF3"/>
    <w:rsid w:val="00904DCE"/>
    <w:rsid w:val="0090517C"/>
    <w:rsid w:val="0090539C"/>
    <w:rsid w:val="009053FA"/>
    <w:rsid w:val="009057AC"/>
    <w:rsid w:val="00905823"/>
    <w:rsid w:val="00905A08"/>
    <w:rsid w:val="00905BC2"/>
    <w:rsid w:val="00905C79"/>
    <w:rsid w:val="00905E5C"/>
    <w:rsid w:val="00905EAF"/>
    <w:rsid w:val="00905FC6"/>
    <w:rsid w:val="00906996"/>
    <w:rsid w:val="009069A3"/>
    <w:rsid w:val="00906D3B"/>
    <w:rsid w:val="00906E61"/>
    <w:rsid w:val="00907066"/>
    <w:rsid w:val="0090717F"/>
    <w:rsid w:val="009075C0"/>
    <w:rsid w:val="00907B53"/>
    <w:rsid w:val="00907DC8"/>
    <w:rsid w:val="00910070"/>
    <w:rsid w:val="00910091"/>
    <w:rsid w:val="0091013C"/>
    <w:rsid w:val="009101DF"/>
    <w:rsid w:val="00910647"/>
    <w:rsid w:val="0091081D"/>
    <w:rsid w:val="00910933"/>
    <w:rsid w:val="00910B75"/>
    <w:rsid w:val="00910CD7"/>
    <w:rsid w:val="00910D1F"/>
    <w:rsid w:val="00910D9D"/>
    <w:rsid w:val="00910E48"/>
    <w:rsid w:val="00910EB3"/>
    <w:rsid w:val="00910ECD"/>
    <w:rsid w:val="00910F42"/>
    <w:rsid w:val="009114CB"/>
    <w:rsid w:val="009115D8"/>
    <w:rsid w:val="0091171A"/>
    <w:rsid w:val="0091173A"/>
    <w:rsid w:val="009118CD"/>
    <w:rsid w:val="00911944"/>
    <w:rsid w:val="009119E4"/>
    <w:rsid w:val="00911B5B"/>
    <w:rsid w:val="00911C67"/>
    <w:rsid w:val="00911DB0"/>
    <w:rsid w:val="00911E9A"/>
    <w:rsid w:val="00911F43"/>
    <w:rsid w:val="009121A7"/>
    <w:rsid w:val="00912218"/>
    <w:rsid w:val="009125E8"/>
    <w:rsid w:val="0091271A"/>
    <w:rsid w:val="0091285C"/>
    <w:rsid w:val="00912C4A"/>
    <w:rsid w:val="00912E8F"/>
    <w:rsid w:val="00913077"/>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A84"/>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B1B"/>
    <w:rsid w:val="00917B3C"/>
    <w:rsid w:val="00917D31"/>
    <w:rsid w:val="00917D3D"/>
    <w:rsid w:val="00917DC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707"/>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94"/>
    <w:rsid w:val="00922AA6"/>
    <w:rsid w:val="00922BE5"/>
    <w:rsid w:val="00922C9F"/>
    <w:rsid w:val="00923034"/>
    <w:rsid w:val="009231DA"/>
    <w:rsid w:val="00923234"/>
    <w:rsid w:val="00923842"/>
    <w:rsid w:val="009238E8"/>
    <w:rsid w:val="009239EC"/>
    <w:rsid w:val="00923C11"/>
    <w:rsid w:val="00923CEE"/>
    <w:rsid w:val="00923DA7"/>
    <w:rsid w:val="0092415A"/>
    <w:rsid w:val="009245BA"/>
    <w:rsid w:val="009245BB"/>
    <w:rsid w:val="00924790"/>
    <w:rsid w:val="00924837"/>
    <w:rsid w:val="00924A63"/>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5CBD"/>
    <w:rsid w:val="00925DEE"/>
    <w:rsid w:val="00925E0C"/>
    <w:rsid w:val="00926339"/>
    <w:rsid w:val="0092642B"/>
    <w:rsid w:val="00926670"/>
    <w:rsid w:val="00926964"/>
    <w:rsid w:val="0092697A"/>
    <w:rsid w:val="00926A92"/>
    <w:rsid w:val="00926C6C"/>
    <w:rsid w:val="00926D57"/>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D43"/>
    <w:rsid w:val="00930FF5"/>
    <w:rsid w:val="009311EF"/>
    <w:rsid w:val="0093136E"/>
    <w:rsid w:val="00931419"/>
    <w:rsid w:val="0093179A"/>
    <w:rsid w:val="0093198C"/>
    <w:rsid w:val="0093253B"/>
    <w:rsid w:val="009328E3"/>
    <w:rsid w:val="00932B27"/>
    <w:rsid w:val="00932B6D"/>
    <w:rsid w:val="00932D38"/>
    <w:rsid w:val="00932D76"/>
    <w:rsid w:val="00932EB3"/>
    <w:rsid w:val="00932F41"/>
    <w:rsid w:val="00933004"/>
    <w:rsid w:val="00933215"/>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0EF"/>
    <w:rsid w:val="009401D0"/>
    <w:rsid w:val="00940263"/>
    <w:rsid w:val="009403C7"/>
    <w:rsid w:val="00940474"/>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A0D"/>
    <w:rsid w:val="00943170"/>
    <w:rsid w:val="009431E8"/>
    <w:rsid w:val="00943325"/>
    <w:rsid w:val="009436D4"/>
    <w:rsid w:val="0094371D"/>
    <w:rsid w:val="00943A66"/>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DB"/>
    <w:rsid w:val="009465FF"/>
    <w:rsid w:val="00946666"/>
    <w:rsid w:val="009468A6"/>
    <w:rsid w:val="009469D8"/>
    <w:rsid w:val="00946AA1"/>
    <w:rsid w:val="00946BDB"/>
    <w:rsid w:val="00946CCD"/>
    <w:rsid w:val="00946DF8"/>
    <w:rsid w:val="009474C9"/>
    <w:rsid w:val="00947531"/>
    <w:rsid w:val="0094774C"/>
    <w:rsid w:val="00947C7A"/>
    <w:rsid w:val="00947ECF"/>
    <w:rsid w:val="00950054"/>
    <w:rsid w:val="009500EF"/>
    <w:rsid w:val="009503F9"/>
    <w:rsid w:val="0095068D"/>
    <w:rsid w:val="00950706"/>
    <w:rsid w:val="009508D2"/>
    <w:rsid w:val="00950AAC"/>
    <w:rsid w:val="00950AB4"/>
    <w:rsid w:val="00951531"/>
    <w:rsid w:val="00951758"/>
    <w:rsid w:val="009517B8"/>
    <w:rsid w:val="009519F3"/>
    <w:rsid w:val="00951A27"/>
    <w:rsid w:val="00951D82"/>
    <w:rsid w:val="00951DE6"/>
    <w:rsid w:val="00952277"/>
    <w:rsid w:val="0095251F"/>
    <w:rsid w:val="009525DB"/>
    <w:rsid w:val="00952604"/>
    <w:rsid w:val="00952779"/>
    <w:rsid w:val="00952801"/>
    <w:rsid w:val="00952846"/>
    <w:rsid w:val="00952860"/>
    <w:rsid w:val="0095293C"/>
    <w:rsid w:val="00952AF8"/>
    <w:rsid w:val="00952BCC"/>
    <w:rsid w:val="00952DF4"/>
    <w:rsid w:val="00952F68"/>
    <w:rsid w:val="00952FDE"/>
    <w:rsid w:val="00952FF7"/>
    <w:rsid w:val="009533F0"/>
    <w:rsid w:val="0095370F"/>
    <w:rsid w:val="00953740"/>
    <w:rsid w:val="009538E8"/>
    <w:rsid w:val="00953904"/>
    <w:rsid w:val="00953A28"/>
    <w:rsid w:val="00953C20"/>
    <w:rsid w:val="00953EB0"/>
    <w:rsid w:val="009540A7"/>
    <w:rsid w:val="00954128"/>
    <w:rsid w:val="009547A7"/>
    <w:rsid w:val="00954DB9"/>
    <w:rsid w:val="00954F12"/>
    <w:rsid w:val="0095502C"/>
    <w:rsid w:val="009552E8"/>
    <w:rsid w:val="00955C13"/>
    <w:rsid w:val="00955DA2"/>
    <w:rsid w:val="00955EE1"/>
    <w:rsid w:val="00956060"/>
    <w:rsid w:val="009561D9"/>
    <w:rsid w:val="0095632F"/>
    <w:rsid w:val="0095634D"/>
    <w:rsid w:val="00956636"/>
    <w:rsid w:val="00956C12"/>
    <w:rsid w:val="00956DAB"/>
    <w:rsid w:val="009576B3"/>
    <w:rsid w:val="00957747"/>
    <w:rsid w:val="009578F0"/>
    <w:rsid w:val="00957AE1"/>
    <w:rsid w:val="00957C00"/>
    <w:rsid w:val="00957C4E"/>
    <w:rsid w:val="00957CB5"/>
    <w:rsid w:val="00957FBA"/>
    <w:rsid w:val="009606E9"/>
    <w:rsid w:val="0096076A"/>
    <w:rsid w:val="00960981"/>
    <w:rsid w:val="009609D0"/>
    <w:rsid w:val="00960C9C"/>
    <w:rsid w:val="00960E19"/>
    <w:rsid w:val="00960E79"/>
    <w:rsid w:val="00960E85"/>
    <w:rsid w:val="00960EF2"/>
    <w:rsid w:val="00960F82"/>
    <w:rsid w:val="009610BE"/>
    <w:rsid w:val="0096114D"/>
    <w:rsid w:val="00961307"/>
    <w:rsid w:val="0096138C"/>
    <w:rsid w:val="009614A4"/>
    <w:rsid w:val="009615D5"/>
    <w:rsid w:val="0096191D"/>
    <w:rsid w:val="00961935"/>
    <w:rsid w:val="00961E94"/>
    <w:rsid w:val="0096204D"/>
    <w:rsid w:val="009620AB"/>
    <w:rsid w:val="009623CA"/>
    <w:rsid w:val="0096292A"/>
    <w:rsid w:val="00962995"/>
    <w:rsid w:val="0096299A"/>
    <w:rsid w:val="00962B1A"/>
    <w:rsid w:val="00962B51"/>
    <w:rsid w:val="009632EE"/>
    <w:rsid w:val="009634DD"/>
    <w:rsid w:val="00963547"/>
    <w:rsid w:val="009636E9"/>
    <w:rsid w:val="00963710"/>
    <w:rsid w:val="009637A9"/>
    <w:rsid w:val="00963872"/>
    <w:rsid w:val="00963C5A"/>
    <w:rsid w:val="00963F36"/>
    <w:rsid w:val="00964197"/>
    <w:rsid w:val="0096425A"/>
    <w:rsid w:val="00964293"/>
    <w:rsid w:val="00964A43"/>
    <w:rsid w:val="00964B95"/>
    <w:rsid w:val="00964C01"/>
    <w:rsid w:val="00964C61"/>
    <w:rsid w:val="00964C79"/>
    <w:rsid w:val="00964CEF"/>
    <w:rsid w:val="00964DC8"/>
    <w:rsid w:val="00964F8C"/>
    <w:rsid w:val="0096555E"/>
    <w:rsid w:val="0096572F"/>
    <w:rsid w:val="00965818"/>
    <w:rsid w:val="00965B06"/>
    <w:rsid w:val="00965E07"/>
    <w:rsid w:val="00965F96"/>
    <w:rsid w:val="0096609A"/>
    <w:rsid w:val="00966189"/>
    <w:rsid w:val="00966A2D"/>
    <w:rsid w:val="00966D41"/>
    <w:rsid w:val="0096713B"/>
    <w:rsid w:val="0096720F"/>
    <w:rsid w:val="00967210"/>
    <w:rsid w:val="009672D3"/>
    <w:rsid w:val="00967513"/>
    <w:rsid w:val="00967A58"/>
    <w:rsid w:val="00967D01"/>
    <w:rsid w:val="00967D0F"/>
    <w:rsid w:val="00967E67"/>
    <w:rsid w:val="00967ECC"/>
    <w:rsid w:val="009706BF"/>
    <w:rsid w:val="00970862"/>
    <w:rsid w:val="0097086F"/>
    <w:rsid w:val="00970C01"/>
    <w:rsid w:val="00970E59"/>
    <w:rsid w:val="00970F06"/>
    <w:rsid w:val="00971237"/>
    <w:rsid w:val="00971511"/>
    <w:rsid w:val="0097185C"/>
    <w:rsid w:val="0097190C"/>
    <w:rsid w:val="00971BF5"/>
    <w:rsid w:val="00971D15"/>
    <w:rsid w:val="00971E50"/>
    <w:rsid w:val="00971E6D"/>
    <w:rsid w:val="00971F85"/>
    <w:rsid w:val="0097201A"/>
    <w:rsid w:val="0097201E"/>
    <w:rsid w:val="0097202F"/>
    <w:rsid w:val="00972063"/>
    <w:rsid w:val="009721D3"/>
    <w:rsid w:val="009723F2"/>
    <w:rsid w:val="009725D1"/>
    <w:rsid w:val="009726E4"/>
    <w:rsid w:val="0097285B"/>
    <w:rsid w:val="00972AB4"/>
    <w:rsid w:val="00972D36"/>
    <w:rsid w:val="00972EBB"/>
    <w:rsid w:val="00973416"/>
    <w:rsid w:val="0097347E"/>
    <w:rsid w:val="009736C3"/>
    <w:rsid w:val="0097397D"/>
    <w:rsid w:val="00973C21"/>
    <w:rsid w:val="00973C4C"/>
    <w:rsid w:val="00973C88"/>
    <w:rsid w:val="009745EE"/>
    <w:rsid w:val="0097476F"/>
    <w:rsid w:val="0097481B"/>
    <w:rsid w:val="00974CA4"/>
    <w:rsid w:val="00974D42"/>
    <w:rsid w:val="00975051"/>
    <w:rsid w:val="00975348"/>
    <w:rsid w:val="00975395"/>
    <w:rsid w:val="00975409"/>
    <w:rsid w:val="0097555A"/>
    <w:rsid w:val="00975603"/>
    <w:rsid w:val="00975717"/>
    <w:rsid w:val="00975818"/>
    <w:rsid w:val="0097591A"/>
    <w:rsid w:val="009759ED"/>
    <w:rsid w:val="00975ADD"/>
    <w:rsid w:val="00975AE5"/>
    <w:rsid w:val="00975CEC"/>
    <w:rsid w:val="0097610D"/>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649"/>
    <w:rsid w:val="009808AF"/>
    <w:rsid w:val="009809EA"/>
    <w:rsid w:val="00980A46"/>
    <w:rsid w:val="00980AEB"/>
    <w:rsid w:val="00980B8F"/>
    <w:rsid w:val="00980EC9"/>
    <w:rsid w:val="00981009"/>
    <w:rsid w:val="00981129"/>
    <w:rsid w:val="009812D2"/>
    <w:rsid w:val="0098138D"/>
    <w:rsid w:val="0098165B"/>
    <w:rsid w:val="00981D34"/>
    <w:rsid w:val="00981DCC"/>
    <w:rsid w:val="009820D0"/>
    <w:rsid w:val="0098229E"/>
    <w:rsid w:val="00982649"/>
    <w:rsid w:val="009827D6"/>
    <w:rsid w:val="009828C1"/>
    <w:rsid w:val="00982AB7"/>
    <w:rsid w:val="00982C2F"/>
    <w:rsid w:val="00982E88"/>
    <w:rsid w:val="00982EDC"/>
    <w:rsid w:val="009836AB"/>
    <w:rsid w:val="009836F3"/>
    <w:rsid w:val="009839ED"/>
    <w:rsid w:val="00983DF4"/>
    <w:rsid w:val="009840B2"/>
    <w:rsid w:val="009841EB"/>
    <w:rsid w:val="0098446D"/>
    <w:rsid w:val="009846CB"/>
    <w:rsid w:val="00984798"/>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1"/>
    <w:rsid w:val="009878FE"/>
    <w:rsid w:val="00987A5E"/>
    <w:rsid w:val="00987A7F"/>
    <w:rsid w:val="00987A95"/>
    <w:rsid w:val="00987CBD"/>
    <w:rsid w:val="00987D10"/>
    <w:rsid w:val="00987F74"/>
    <w:rsid w:val="0099036B"/>
    <w:rsid w:val="00990515"/>
    <w:rsid w:val="009906E2"/>
    <w:rsid w:val="009907F8"/>
    <w:rsid w:val="00990878"/>
    <w:rsid w:val="00990C0D"/>
    <w:rsid w:val="00990C70"/>
    <w:rsid w:val="00990D73"/>
    <w:rsid w:val="00990E71"/>
    <w:rsid w:val="00990E8F"/>
    <w:rsid w:val="00990F66"/>
    <w:rsid w:val="00990FCD"/>
    <w:rsid w:val="00991116"/>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EC2"/>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30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08C"/>
    <w:rsid w:val="0099709E"/>
    <w:rsid w:val="00997308"/>
    <w:rsid w:val="0099735C"/>
    <w:rsid w:val="00997395"/>
    <w:rsid w:val="00997495"/>
    <w:rsid w:val="0099762E"/>
    <w:rsid w:val="0099780B"/>
    <w:rsid w:val="0099785E"/>
    <w:rsid w:val="00997E5D"/>
    <w:rsid w:val="009A021D"/>
    <w:rsid w:val="009A0512"/>
    <w:rsid w:val="009A0D3B"/>
    <w:rsid w:val="009A0F97"/>
    <w:rsid w:val="009A120B"/>
    <w:rsid w:val="009A133D"/>
    <w:rsid w:val="009A139E"/>
    <w:rsid w:val="009A151C"/>
    <w:rsid w:val="009A1919"/>
    <w:rsid w:val="009A1ADC"/>
    <w:rsid w:val="009A1BAA"/>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F6E"/>
    <w:rsid w:val="009A4086"/>
    <w:rsid w:val="009A4180"/>
    <w:rsid w:val="009A4195"/>
    <w:rsid w:val="009A445C"/>
    <w:rsid w:val="009A47BD"/>
    <w:rsid w:val="009A496E"/>
    <w:rsid w:val="009A4BFB"/>
    <w:rsid w:val="009A4C5A"/>
    <w:rsid w:val="009A4C6B"/>
    <w:rsid w:val="009A4D1D"/>
    <w:rsid w:val="009A5244"/>
    <w:rsid w:val="009A534F"/>
    <w:rsid w:val="009A5429"/>
    <w:rsid w:val="009A5677"/>
    <w:rsid w:val="009A585D"/>
    <w:rsid w:val="009A59E9"/>
    <w:rsid w:val="009A5D2A"/>
    <w:rsid w:val="009A5E2B"/>
    <w:rsid w:val="009A6021"/>
    <w:rsid w:val="009A62D2"/>
    <w:rsid w:val="009A6737"/>
    <w:rsid w:val="009A6B12"/>
    <w:rsid w:val="009A6E3E"/>
    <w:rsid w:val="009A715B"/>
    <w:rsid w:val="009A720E"/>
    <w:rsid w:val="009A72D1"/>
    <w:rsid w:val="009A73D5"/>
    <w:rsid w:val="009A758A"/>
    <w:rsid w:val="009A76CA"/>
    <w:rsid w:val="009A7727"/>
    <w:rsid w:val="009A78B4"/>
    <w:rsid w:val="009A7D7B"/>
    <w:rsid w:val="009A7E5E"/>
    <w:rsid w:val="009B0014"/>
    <w:rsid w:val="009B0059"/>
    <w:rsid w:val="009B017F"/>
    <w:rsid w:val="009B03C2"/>
    <w:rsid w:val="009B04AB"/>
    <w:rsid w:val="009B091A"/>
    <w:rsid w:val="009B0A64"/>
    <w:rsid w:val="009B0AD7"/>
    <w:rsid w:val="009B0BE2"/>
    <w:rsid w:val="009B0C7C"/>
    <w:rsid w:val="009B0D21"/>
    <w:rsid w:val="009B1488"/>
    <w:rsid w:val="009B1695"/>
    <w:rsid w:val="009B1905"/>
    <w:rsid w:val="009B2084"/>
    <w:rsid w:val="009B21D9"/>
    <w:rsid w:val="009B227A"/>
    <w:rsid w:val="009B24F6"/>
    <w:rsid w:val="009B264A"/>
    <w:rsid w:val="009B2773"/>
    <w:rsid w:val="009B27D5"/>
    <w:rsid w:val="009B2981"/>
    <w:rsid w:val="009B2A33"/>
    <w:rsid w:val="009B2F2F"/>
    <w:rsid w:val="009B33F8"/>
    <w:rsid w:val="009B3411"/>
    <w:rsid w:val="009B36DD"/>
    <w:rsid w:val="009B394B"/>
    <w:rsid w:val="009B3983"/>
    <w:rsid w:val="009B39A1"/>
    <w:rsid w:val="009B3A11"/>
    <w:rsid w:val="009B3F50"/>
    <w:rsid w:val="009B3F9B"/>
    <w:rsid w:val="009B4164"/>
    <w:rsid w:val="009B4231"/>
    <w:rsid w:val="009B4234"/>
    <w:rsid w:val="009B42A4"/>
    <w:rsid w:val="009B4319"/>
    <w:rsid w:val="009B43D2"/>
    <w:rsid w:val="009B4676"/>
    <w:rsid w:val="009B477C"/>
    <w:rsid w:val="009B485A"/>
    <w:rsid w:val="009B4D64"/>
    <w:rsid w:val="009B4DD2"/>
    <w:rsid w:val="009B4E95"/>
    <w:rsid w:val="009B50D4"/>
    <w:rsid w:val="009B511C"/>
    <w:rsid w:val="009B51FB"/>
    <w:rsid w:val="009B53FA"/>
    <w:rsid w:val="009B5488"/>
    <w:rsid w:val="009B55F9"/>
    <w:rsid w:val="009B573E"/>
    <w:rsid w:val="009B5ABB"/>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B7E93"/>
    <w:rsid w:val="009C004B"/>
    <w:rsid w:val="009C02F4"/>
    <w:rsid w:val="009C0529"/>
    <w:rsid w:val="009C08FE"/>
    <w:rsid w:val="009C0B37"/>
    <w:rsid w:val="009C0E08"/>
    <w:rsid w:val="009C113D"/>
    <w:rsid w:val="009C11C0"/>
    <w:rsid w:val="009C15EC"/>
    <w:rsid w:val="009C15F0"/>
    <w:rsid w:val="009C16A5"/>
    <w:rsid w:val="009C1993"/>
    <w:rsid w:val="009C199B"/>
    <w:rsid w:val="009C1D81"/>
    <w:rsid w:val="009C1D8C"/>
    <w:rsid w:val="009C1FBB"/>
    <w:rsid w:val="009C1FCE"/>
    <w:rsid w:val="009C2579"/>
    <w:rsid w:val="009C25D7"/>
    <w:rsid w:val="009C2819"/>
    <w:rsid w:val="009C2AD3"/>
    <w:rsid w:val="009C2AEC"/>
    <w:rsid w:val="009C2E42"/>
    <w:rsid w:val="009C3097"/>
    <w:rsid w:val="009C32A3"/>
    <w:rsid w:val="009C3486"/>
    <w:rsid w:val="009C3875"/>
    <w:rsid w:val="009C3CF4"/>
    <w:rsid w:val="009C3CFE"/>
    <w:rsid w:val="009C3EA4"/>
    <w:rsid w:val="009C406A"/>
    <w:rsid w:val="009C42EE"/>
    <w:rsid w:val="009C44CD"/>
    <w:rsid w:val="009C45C5"/>
    <w:rsid w:val="009C45EF"/>
    <w:rsid w:val="009C49DA"/>
    <w:rsid w:val="009C4B2A"/>
    <w:rsid w:val="009C4C3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4C7"/>
    <w:rsid w:val="009C66AE"/>
    <w:rsid w:val="009C671A"/>
    <w:rsid w:val="009C687F"/>
    <w:rsid w:val="009C692B"/>
    <w:rsid w:val="009C6CAF"/>
    <w:rsid w:val="009C6CBB"/>
    <w:rsid w:val="009C6EF6"/>
    <w:rsid w:val="009C6F46"/>
    <w:rsid w:val="009C71EE"/>
    <w:rsid w:val="009C72A1"/>
    <w:rsid w:val="009C72D8"/>
    <w:rsid w:val="009C72E6"/>
    <w:rsid w:val="009C7423"/>
    <w:rsid w:val="009C75A3"/>
    <w:rsid w:val="009C7C37"/>
    <w:rsid w:val="009D0003"/>
    <w:rsid w:val="009D0287"/>
    <w:rsid w:val="009D03DF"/>
    <w:rsid w:val="009D0423"/>
    <w:rsid w:val="009D0542"/>
    <w:rsid w:val="009D06BF"/>
    <w:rsid w:val="009D08D0"/>
    <w:rsid w:val="009D0CCB"/>
    <w:rsid w:val="009D0CFE"/>
    <w:rsid w:val="009D0D6B"/>
    <w:rsid w:val="009D1098"/>
    <w:rsid w:val="009D10F3"/>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02"/>
    <w:rsid w:val="009D2349"/>
    <w:rsid w:val="009D2A80"/>
    <w:rsid w:val="009D2B5A"/>
    <w:rsid w:val="009D2B8F"/>
    <w:rsid w:val="009D2C18"/>
    <w:rsid w:val="009D2C19"/>
    <w:rsid w:val="009D316B"/>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4B8"/>
    <w:rsid w:val="009D6740"/>
    <w:rsid w:val="009D69B3"/>
    <w:rsid w:val="009D6CAE"/>
    <w:rsid w:val="009D6CF1"/>
    <w:rsid w:val="009D6CFB"/>
    <w:rsid w:val="009D6F9D"/>
    <w:rsid w:val="009D7188"/>
    <w:rsid w:val="009D73A2"/>
    <w:rsid w:val="009D74E9"/>
    <w:rsid w:val="009D75B6"/>
    <w:rsid w:val="009D75D6"/>
    <w:rsid w:val="009D76DC"/>
    <w:rsid w:val="009D7708"/>
    <w:rsid w:val="009D7DD8"/>
    <w:rsid w:val="009D7EB1"/>
    <w:rsid w:val="009D7EF0"/>
    <w:rsid w:val="009E0166"/>
    <w:rsid w:val="009E027C"/>
    <w:rsid w:val="009E064C"/>
    <w:rsid w:val="009E06B6"/>
    <w:rsid w:val="009E0759"/>
    <w:rsid w:val="009E07FC"/>
    <w:rsid w:val="009E08D7"/>
    <w:rsid w:val="009E0BBC"/>
    <w:rsid w:val="009E0D71"/>
    <w:rsid w:val="009E0DDB"/>
    <w:rsid w:val="009E1097"/>
    <w:rsid w:val="009E1130"/>
    <w:rsid w:val="009E11CA"/>
    <w:rsid w:val="009E12DF"/>
    <w:rsid w:val="009E143A"/>
    <w:rsid w:val="009E154F"/>
    <w:rsid w:val="009E1AC7"/>
    <w:rsid w:val="009E1ACA"/>
    <w:rsid w:val="009E1B56"/>
    <w:rsid w:val="009E1DFD"/>
    <w:rsid w:val="009E1E0B"/>
    <w:rsid w:val="009E1E2C"/>
    <w:rsid w:val="009E2298"/>
    <w:rsid w:val="009E2533"/>
    <w:rsid w:val="009E25AA"/>
    <w:rsid w:val="009E267A"/>
    <w:rsid w:val="009E2709"/>
    <w:rsid w:val="009E271E"/>
    <w:rsid w:val="009E27CF"/>
    <w:rsid w:val="009E28FB"/>
    <w:rsid w:val="009E302B"/>
    <w:rsid w:val="009E3533"/>
    <w:rsid w:val="009E398D"/>
    <w:rsid w:val="009E39AA"/>
    <w:rsid w:val="009E4A6A"/>
    <w:rsid w:val="009E4F39"/>
    <w:rsid w:val="009E505E"/>
    <w:rsid w:val="009E51F0"/>
    <w:rsid w:val="009E53B0"/>
    <w:rsid w:val="009E5427"/>
    <w:rsid w:val="009E55B5"/>
    <w:rsid w:val="009E5615"/>
    <w:rsid w:val="009E568E"/>
    <w:rsid w:val="009E56FE"/>
    <w:rsid w:val="009E5C9C"/>
    <w:rsid w:val="009E5DAC"/>
    <w:rsid w:val="009E5E80"/>
    <w:rsid w:val="009E5E96"/>
    <w:rsid w:val="009E5EDD"/>
    <w:rsid w:val="009E5FEB"/>
    <w:rsid w:val="009E6181"/>
    <w:rsid w:val="009E6204"/>
    <w:rsid w:val="009E634C"/>
    <w:rsid w:val="009E63CD"/>
    <w:rsid w:val="009E6783"/>
    <w:rsid w:val="009E688E"/>
    <w:rsid w:val="009E69D7"/>
    <w:rsid w:val="009E6A7A"/>
    <w:rsid w:val="009E6A9C"/>
    <w:rsid w:val="009E6B2A"/>
    <w:rsid w:val="009E6C6E"/>
    <w:rsid w:val="009E6F1A"/>
    <w:rsid w:val="009E7A35"/>
    <w:rsid w:val="009E7A72"/>
    <w:rsid w:val="009E7EC0"/>
    <w:rsid w:val="009F0011"/>
    <w:rsid w:val="009F062E"/>
    <w:rsid w:val="009F066D"/>
    <w:rsid w:val="009F06A9"/>
    <w:rsid w:val="009F0D6F"/>
    <w:rsid w:val="009F0FFD"/>
    <w:rsid w:val="009F1428"/>
    <w:rsid w:val="009F152C"/>
    <w:rsid w:val="009F178C"/>
    <w:rsid w:val="009F19FC"/>
    <w:rsid w:val="009F1AAB"/>
    <w:rsid w:val="009F1B19"/>
    <w:rsid w:val="009F1B6E"/>
    <w:rsid w:val="009F1E22"/>
    <w:rsid w:val="009F2076"/>
    <w:rsid w:val="009F2295"/>
    <w:rsid w:val="009F2467"/>
    <w:rsid w:val="009F297A"/>
    <w:rsid w:val="009F2B85"/>
    <w:rsid w:val="009F302A"/>
    <w:rsid w:val="009F3032"/>
    <w:rsid w:val="009F31A7"/>
    <w:rsid w:val="009F33DC"/>
    <w:rsid w:val="009F360A"/>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C4"/>
    <w:rsid w:val="009F587E"/>
    <w:rsid w:val="009F58AE"/>
    <w:rsid w:val="009F60B3"/>
    <w:rsid w:val="009F6157"/>
    <w:rsid w:val="009F62E7"/>
    <w:rsid w:val="009F6691"/>
    <w:rsid w:val="009F6825"/>
    <w:rsid w:val="009F6847"/>
    <w:rsid w:val="009F6B7C"/>
    <w:rsid w:val="009F6B9A"/>
    <w:rsid w:val="009F6DF8"/>
    <w:rsid w:val="009F6E76"/>
    <w:rsid w:val="009F7088"/>
    <w:rsid w:val="009F727D"/>
    <w:rsid w:val="009F736A"/>
    <w:rsid w:val="009F761D"/>
    <w:rsid w:val="009F7866"/>
    <w:rsid w:val="009F7902"/>
    <w:rsid w:val="00A00029"/>
    <w:rsid w:val="00A00096"/>
    <w:rsid w:val="00A000E8"/>
    <w:rsid w:val="00A00524"/>
    <w:rsid w:val="00A00581"/>
    <w:rsid w:val="00A0083F"/>
    <w:rsid w:val="00A008A5"/>
    <w:rsid w:val="00A0092F"/>
    <w:rsid w:val="00A00AFF"/>
    <w:rsid w:val="00A00DE7"/>
    <w:rsid w:val="00A00E80"/>
    <w:rsid w:val="00A00E99"/>
    <w:rsid w:val="00A00F3E"/>
    <w:rsid w:val="00A01053"/>
    <w:rsid w:val="00A011A7"/>
    <w:rsid w:val="00A011E9"/>
    <w:rsid w:val="00A011FF"/>
    <w:rsid w:val="00A014CA"/>
    <w:rsid w:val="00A01659"/>
    <w:rsid w:val="00A01677"/>
    <w:rsid w:val="00A01809"/>
    <w:rsid w:val="00A01964"/>
    <w:rsid w:val="00A01AA4"/>
    <w:rsid w:val="00A01AD0"/>
    <w:rsid w:val="00A01B59"/>
    <w:rsid w:val="00A01C10"/>
    <w:rsid w:val="00A01DC9"/>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026"/>
    <w:rsid w:val="00A0511E"/>
    <w:rsid w:val="00A052ED"/>
    <w:rsid w:val="00A05371"/>
    <w:rsid w:val="00A054C9"/>
    <w:rsid w:val="00A05918"/>
    <w:rsid w:val="00A05AC6"/>
    <w:rsid w:val="00A060B4"/>
    <w:rsid w:val="00A060EB"/>
    <w:rsid w:val="00A0636B"/>
    <w:rsid w:val="00A06CF7"/>
    <w:rsid w:val="00A06D47"/>
    <w:rsid w:val="00A06D88"/>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DEC"/>
    <w:rsid w:val="00A11E32"/>
    <w:rsid w:val="00A11F12"/>
    <w:rsid w:val="00A11FD6"/>
    <w:rsid w:val="00A12425"/>
    <w:rsid w:val="00A12641"/>
    <w:rsid w:val="00A126A9"/>
    <w:rsid w:val="00A1279B"/>
    <w:rsid w:val="00A12815"/>
    <w:rsid w:val="00A128F8"/>
    <w:rsid w:val="00A12AB9"/>
    <w:rsid w:val="00A12F49"/>
    <w:rsid w:val="00A12FA4"/>
    <w:rsid w:val="00A130CE"/>
    <w:rsid w:val="00A131A5"/>
    <w:rsid w:val="00A132A9"/>
    <w:rsid w:val="00A132EA"/>
    <w:rsid w:val="00A132F6"/>
    <w:rsid w:val="00A1361A"/>
    <w:rsid w:val="00A13CC8"/>
    <w:rsid w:val="00A14112"/>
    <w:rsid w:val="00A14113"/>
    <w:rsid w:val="00A14120"/>
    <w:rsid w:val="00A1416C"/>
    <w:rsid w:val="00A1424A"/>
    <w:rsid w:val="00A1427A"/>
    <w:rsid w:val="00A145E0"/>
    <w:rsid w:val="00A1462B"/>
    <w:rsid w:val="00A14693"/>
    <w:rsid w:val="00A14870"/>
    <w:rsid w:val="00A1488E"/>
    <w:rsid w:val="00A14906"/>
    <w:rsid w:val="00A1495D"/>
    <w:rsid w:val="00A149BE"/>
    <w:rsid w:val="00A14AB7"/>
    <w:rsid w:val="00A14CFA"/>
    <w:rsid w:val="00A14D1C"/>
    <w:rsid w:val="00A14DF4"/>
    <w:rsid w:val="00A14FC0"/>
    <w:rsid w:val="00A14FF6"/>
    <w:rsid w:val="00A15341"/>
    <w:rsid w:val="00A155F1"/>
    <w:rsid w:val="00A15748"/>
    <w:rsid w:val="00A15789"/>
    <w:rsid w:val="00A157CF"/>
    <w:rsid w:val="00A158D0"/>
    <w:rsid w:val="00A15A0C"/>
    <w:rsid w:val="00A15BD6"/>
    <w:rsid w:val="00A15D2E"/>
    <w:rsid w:val="00A15D94"/>
    <w:rsid w:val="00A15E30"/>
    <w:rsid w:val="00A15F56"/>
    <w:rsid w:val="00A15FD3"/>
    <w:rsid w:val="00A167E1"/>
    <w:rsid w:val="00A16AFB"/>
    <w:rsid w:val="00A16B6B"/>
    <w:rsid w:val="00A16BD2"/>
    <w:rsid w:val="00A170A8"/>
    <w:rsid w:val="00A17670"/>
    <w:rsid w:val="00A17926"/>
    <w:rsid w:val="00A17D36"/>
    <w:rsid w:val="00A17D8D"/>
    <w:rsid w:val="00A17D96"/>
    <w:rsid w:val="00A17EB7"/>
    <w:rsid w:val="00A17FEF"/>
    <w:rsid w:val="00A20035"/>
    <w:rsid w:val="00A2035D"/>
    <w:rsid w:val="00A203F0"/>
    <w:rsid w:val="00A20477"/>
    <w:rsid w:val="00A2059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B27"/>
    <w:rsid w:val="00A21CAE"/>
    <w:rsid w:val="00A21E42"/>
    <w:rsid w:val="00A21E7F"/>
    <w:rsid w:val="00A2236B"/>
    <w:rsid w:val="00A22866"/>
    <w:rsid w:val="00A22DDE"/>
    <w:rsid w:val="00A23076"/>
    <w:rsid w:val="00A238DC"/>
    <w:rsid w:val="00A239B8"/>
    <w:rsid w:val="00A23CA3"/>
    <w:rsid w:val="00A23D26"/>
    <w:rsid w:val="00A23E58"/>
    <w:rsid w:val="00A23E66"/>
    <w:rsid w:val="00A2429F"/>
    <w:rsid w:val="00A2433D"/>
    <w:rsid w:val="00A2433E"/>
    <w:rsid w:val="00A24445"/>
    <w:rsid w:val="00A24549"/>
    <w:rsid w:val="00A2467C"/>
    <w:rsid w:val="00A24820"/>
    <w:rsid w:val="00A2491F"/>
    <w:rsid w:val="00A24C6C"/>
    <w:rsid w:val="00A24DE8"/>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17"/>
    <w:rsid w:val="00A266AD"/>
    <w:rsid w:val="00A26739"/>
    <w:rsid w:val="00A267BC"/>
    <w:rsid w:val="00A268AF"/>
    <w:rsid w:val="00A269EB"/>
    <w:rsid w:val="00A26B67"/>
    <w:rsid w:val="00A26C30"/>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0DB6"/>
    <w:rsid w:val="00A31059"/>
    <w:rsid w:val="00A31572"/>
    <w:rsid w:val="00A317A5"/>
    <w:rsid w:val="00A3190D"/>
    <w:rsid w:val="00A319E6"/>
    <w:rsid w:val="00A31B12"/>
    <w:rsid w:val="00A31BBD"/>
    <w:rsid w:val="00A31C94"/>
    <w:rsid w:val="00A31CB4"/>
    <w:rsid w:val="00A31D41"/>
    <w:rsid w:val="00A3208A"/>
    <w:rsid w:val="00A3231E"/>
    <w:rsid w:val="00A325BC"/>
    <w:rsid w:val="00A3267E"/>
    <w:rsid w:val="00A3268D"/>
    <w:rsid w:val="00A3288C"/>
    <w:rsid w:val="00A3291E"/>
    <w:rsid w:val="00A32A41"/>
    <w:rsid w:val="00A32E3A"/>
    <w:rsid w:val="00A32EEF"/>
    <w:rsid w:val="00A332CE"/>
    <w:rsid w:val="00A334A2"/>
    <w:rsid w:val="00A3368C"/>
    <w:rsid w:val="00A33866"/>
    <w:rsid w:val="00A339E7"/>
    <w:rsid w:val="00A340AA"/>
    <w:rsid w:val="00A341B5"/>
    <w:rsid w:val="00A341DB"/>
    <w:rsid w:val="00A343EF"/>
    <w:rsid w:val="00A3445C"/>
    <w:rsid w:val="00A3463A"/>
    <w:rsid w:val="00A347D1"/>
    <w:rsid w:val="00A34A2A"/>
    <w:rsid w:val="00A34A69"/>
    <w:rsid w:val="00A34B79"/>
    <w:rsid w:val="00A34F3B"/>
    <w:rsid w:val="00A34FE4"/>
    <w:rsid w:val="00A353E5"/>
    <w:rsid w:val="00A35417"/>
    <w:rsid w:val="00A35486"/>
    <w:rsid w:val="00A358FF"/>
    <w:rsid w:val="00A35B60"/>
    <w:rsid w:val="00A35B78"/>
    <w:rsid w:val="00A35FA3"/>
    <w:rsid w:val="00A36280"/>
    <w:rsid w:val="00A36296"/>
    <w:rsid w:val="00A3642D"/>
    <w:rsid w:val="00A364E1"/>
    <w:rsid w:val="00A36633"/>
    <w:rsid w:val="00A3698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4E3"/>
    <w:rsid w:val="00A40558"/>
    <w:rsid w:val="00A40AB2"/>
    <w:rsid w:val="00A40AED"/>
    <w:rsid w:val="00A40B5C"/>
    <w:rsid w:val="00A40BE8"/>
    <w:rsid w:val="00A40C65"/>
    <w:rsid w:val="00A40DFC"/>
    <w:rsid w:val="00A41273"/>
    <w:rsid w:val="00A415E6"/>
    <w:rsid w:val="00A41676"/>
    <w:rsid w:val="00A4189F"/>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70"/>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813"/>
    <w:rsid w:val="00A4798B"/>
    <w:rsid w:val="00A47A11"/>
    <w:rsid w:val="00A47B20"/>
    <w:rsid w:val="00A47B50"/>
    <w:rsid w:val="00A5018B"/>
    <w:rsid w:val="00A50442"/>
    <w:rsid w:val="00A5083B"/>
    <w:rsid w:val="00A50851"/>
    <w:rsid w:val="00A50B6E"/>
    <w:rsid w:val="00A50BEE"/>
    <w:rsid w:val="00A50C46"/>
    <w:rsid w:val="00A50D01"/>
    <w:rsid w:val="00A50F5C"/>
    <w:rsid w:val="00A50FC2"/>
    <w:rsid w:val="00A514E9"/>
    <w:rsid w:val="00A5162C"/>
    <w:rsid w:val="00A51DA9"/>
    <w:rsid w:val="00A521D5"/>
    <w:rsid w:val="00A5270C"/>
    <w:rsid w:val="00A5270F"/>
    <w:rsid w:val="00A528B6"/>
    <w:rsid w:val="00A528F3"/>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43B"/>
    <w:rsid w:val="00A545D5"/>
    <w:rsid w:val="00A546C5"/>
    <w:rsid w:val="00A54B2F"/>
    <w:rsid w:val="00A54C74"/>
    <w:rsid w:val="00A54D26"/>
    <w:rsid w:val="00A54D4F"/>
    <w:rsid w:val="00A54E86"/>
    <w:rsid w:val="00A551E5"/>
    <w:rsid w:val="00A55260"/>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4CB"/>
    <w:rsid w:val="00A606DD"/>
    <w:rsid w:val="00A60707"/>
    <w:rsid w:val="00A60835"/>
    <w:rsid w:val="00A608BC"/>
    <w:rsid w:val="00A608F4"/>
    <w:rsid w:val="00A60920"/>
    <w:rsid w:val="00A60AB1"/>
    <w:rsid w:val="00A60ACC"/>
    <w:rsid w:val="00A60D21"/>
    <w:rsid w:val="00A60FAF"/>
    <w:rsid w:val="00A610FF"/>
    <w:rsid w:val="00A6134C"/>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3F08"/>
    <w:rsid w:val="00A64055"/>
    <w:rsid w:val="00A64171"/>
    <w:rsid w:val="00A6455B"/>
    <w:rsid w:val="00A64582"/>
    <w:rsid w:val="00A64805"/>
    <w:rsid w:val="00A648EF"/>
    <w:rsid w:val="00A64924"/>
    <w:rsid w:val="00A6493F"/>
    <w:rsid w:val="00A6499E"/>
    <w:rsid w:val="00A64A40"/>
    <w:rsid w:val="00A64CA7"/>
    <w:rsid w:val="00A64DC9"/>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90D"/>
    <w:rsid w:val="00A67C35"/>
    <w:rsid w:val="00A70367"/>
    <w:rsid w:val="00A7040A"/>
    <w:rsid w:val="00A704FC"/>
    <w:rsid w:val="00A70505"/>
    <w:rsid w:val="00A70812"/>
    <w:rsid w:val="00A7096A"/>
    <w:rsid w:val="00A709A7"/>
    <w:rsid w:val="00A709FA"/>
    <w:rsid w:val="00A70CD7"/>
    <w:rsid w:val="00A71159"/>
    <w:rsid w:val="00A71190"/>
    <w:rsid w:val="00A711B4"/>
    <w:rsid w:val="00A712E1"/>
    <w:rsid w:val="00A7132A"/>
    <w:rsid w:val="00A71903"/>
    <w:rsid w:val="00A7199F"/>
    <w:rsid w:val="00A71A1F"/>
    <w:rsid w:val="00A71C5E"/>
    <w:rsid w:val="00A71D29"/>
    <w:rsid w:val="00A71E77"/>
    <w:rsid w:val="00A71ECA"/>
    <w:rsid w:val="00A71F32"/>
    <w:rsid w:val="00A72194"/>
    <w:rsid w:val="00A72306"/>
    <w:rsid w:val="00A725D9"/>
    <w:rsid w:val="00A72707"/>
    <w:rsid w:val="00A72774"/>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09"/>
    <w:rsid w:val="00A746CD"/>
    <w:rsid w:val="00A746E1"/>
    <w:rsid w:val="00A755A4"/>
    <w:rsid w:val="00A7563F"/>
    <w:rsid w:val="00A757BF"/>
    <w:rsid w:val="00A7581D"/>
    <w:rsid w:val="00A75A91"/>
    <w:rsid w:val="00A75AC9"/>
    <w:rsid w:val="00A75B1C"/>
    <w:rsid w:val="00A75C5A"/>
    <w:rsid w:val="00A75E2B"/>
    <w:rsid w:val="00A75EEF"/>
    <w:rsid w:val="00A76016"/>
    <w:rsid w:val="00A76147"/>
    <w:rsid w:val="00A76517"/>
    <w:rsid w:val="00A7663F"/>
    <w:rsid w:val="00A7683C"/>
    <w:rsid w:val="00A76A18"/>
    <w:rsid w:val="00A76A95"/>
    <w:rsid w:val="00A76C12"/>
    <w:rsid w:val="00A76C51"/>
    <w:rsid w:val="00A77035"/>
    <w:rsid w:val="00A77136"/>
    <w:rsid w:val="00A77267"/>
    <w:rsid w:val="00A773C6"/>
    <w:rsid w:val="00A775FD"/>
    <w:rsid w:val="00A77699"/>
    <w:rsid w:val="00A77784"/>
    <w:rsid w:val="00A77807"/>
    <w:rsid w:val="00A7789A"/>
    <w:rsid w:val="00A77993"/>
    <w:rsid w:val="00A80272"/>
    <w:rsid w:val="00A804D4"/>
    <w:rsid w:val="00A805DE"/>
    <w:rsid w:val="00A80976"/>
    <w:rsid w:val="00A809FD"/>
    <w:rsid w:val="00A80D5E"/>
    <w:rsid w:val="00A80D6F"/>
    <w:rsid w:val="00A81355"/>
    <w:rsid w:val="00A8147F"/>
    <w:rsid w:val="00A81590"/>
    <w:rsid w:val="00A8161B"/>
    <w:rsid w:val="00A81693"/>
    <w:rsid w:val="00A81825"/>
    <w:rsid w:val="00A819B1"/>
    <w:rsid w:val="00A81C5F"/>
    <w:rsid w:val="00A81CA7"/>
    <w:rsid w:val="00A81D0F"/>
    <w:rsid w:val="00A821C7"/>
    <w:rsid w:val="00A821D9"/>
    <w:rsid w:val="00A822DB"/>
    <w:rsid w:val="00A8269C"/>
    <w:rsid w:val="00A82719"/>
    <w:rsid w:val="00A8277E"/>
    <w:rsid w:val="00A827BD"/>
    <w:rsid w:val="00A82A0F"/>
    <w:rsid w:val="00A82AB3"/>
    <w:rsid w:val="00A82B11"/>
    <w:rsid w:val="00A82B43"/>
    <w:rsid w:val="00A82B66"/>
    <w:rsid w:val="00A82C21"/>
    <w:rsid w:val="00A82E19"/>
    <w:rsid w:val="00A82F1D"/>
    <w:rsid w:val="00A8303C"/>
    <w:rsid w:val="00A83679"/>
    <w:rsid w:val="00A83CF5"/>
    <w:rsid w:val="00A83EC4"/>
    <w:rsid w:val="00A83F88"/>
    <w:rsid w:val="00A83FA8"/>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8E5"/>
    <w:rsid w:val="00A87AF8"/>
    <w:rsid w:val="00A87B7D"/>
    <w:rsid w:val="00A87D56"/>
    <w:rsid w:val="00A9014B"/>
    <w:rsid w:val="00A90794"/>
    <w:rsid w:val="00A90795"/>
    <w:rsid w:val="00A90DEA"/>
    <w:rsid w:val="00A90E6B"/>
    <w:rsid w:val="00A90E85"/>
    <w:rsid w:val="00A90FA1"/>
    <w:rsid w:val="00A90FA4"/>
    <w:rsid w:val="00A91174"/>
    <w:rsid w:val="00A9174A"/>
    <w:rsid w:val="00A91A1C"/>
    <w:rsid w:val="00A91ACD"/>
    <w:rsid w:val="00A91EDF"/>
    <w:rsid w:val="00A91FF9"/>
    <w:rsid w:val="00A92347"/>
    <w:rsid w:val="00A92407"/>
    <w:rsid w:val="00A9253B"/>
    <w:rsid w:val="00A925F3"/>
    <w:rsid w:val="00A92AFF"/>
    <w:rsid w:val="00A92BD1"/>
    <w:rsid w:val="00A92DAC"/>
    <w:rsid w:val="00A92DF9"/>
    <w:rsid w:val="00A92EF0"/>
    <w:rsid w:val="00A93101"/>
    <w:rsid w:val="00A931F2"/>
    <w:rsid w:val="00A932B8"/>
    <w:rsid w:val="00A9336E"/>
    <w:rsid w:val="00A9338F"/>
    <w:rsid w:val="00A935BD"/>
    <w:rsid w:val="00A937D7"/>
    <w:rsid w:val="00A93C9B"/>
    <w:rsid w:val="00A93D0E"/>
    <w:rsid w:val="00A93F0B"/>
    <w:rsid w:val="00A93F4F"/>
    <w:rsid w:val="00A940DF"/>
    <w:rsid w:val="00A9421F"/>
    <w:rsid w:val="00A94354"/>
    <w:rsid w:val="00A94843"/>
    <w:rsid w:val="00A94BD7"/>
    <w:rsid w:val="00A94DED"/>
    <w:rsid w:val="00A94EA5"/>
    <w:rsid w:val="00A94F39"/>
    <w:rsid w:val="00A950FC"/>
    <w:rsid w:val="00A95198"/>
    <w:rsid w:val="00A951FE"/>
    <w:rsid w:val="00A95399"/>
    <w:rsid w:val="00A95740"/>
    <w:rsid w:val="00A95962"/>
    <w:rsid w:val="00A95A4A"/>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68F"/>
    <w:rsid w:val="00A977C6"/>
    <w:rsid w:val="00A97857"/>
    <w:rsid w:val="00A97E78"/>
    <w:rsid w:val="00A97FF2"/>
    <w:rsid w:val="00AA003E"/>
    <w:rsid w:val="00AA007C"/>
    <w:rsid w:val="00AA00EC"/>
    <w:rsid w:val="00AA03E9"/>
    <w:rsid w:val="00AA0746"/>
    <w:rsid w:val="00AA089A"/>
    <w:rsid w:val="00AA09A4"/>
    <w:rsid w:val="00AA0A27"/>
    <w:rsid w:val="00AA0AA9"/>
    <w:rsid w:val="00AA125A"/>
    <w:rsid w:val="00AA1285"/>
    <w:rsid w:val="00AA1692"/>
    <w:rsid w:val="00AA16EC"/>
    <w:rsid w:val="00AA1718"/>
    <w:rsid w:val="00AA17CC"/>
    <w:rsid w:val="00AA1937"/>
    <w:rsid w:val="00AA1A34"/>
    <w:rsid w:val="00AA1AE8"/>
    <w:rsid w:val="00AA1C95"/>
    <w:rsid w:val="00AA2140"/>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E77"/>
    <w:rsid w:val="00AA3F07"/>
    <w:rsid w:val="00AA4003"/>
    <w:rsid w:val="00AA44DF"/>
    <w:rsid w:val="00AA47D6"/>
    <w:rsid w:val="00AA480C"/>
    <w:rsid w:val="00AA4D54"/>
    <w:rsid w:val="00AA4E39"/>
    <w:rsid w:val="00AA4E8D"/>
    <w:rsid w:val="00AA54CD"/>
    <w:rsid w:val="00AA5555"/>
    <w:rsid w:val="00AA5760"/>
    <w:rsid w:val="00AA5B08"/>
    <w:rsid w:val="00AA5C8A"/>
    <w:rsid w:val="00AA5CD0"/>
    <w:rsid w:val="00AA5EDA"/>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0A"/>
    <w:rsid w:val="00AB0869"/>
    <w:rsid w:val="00AB0990"/>
    <w:rsid w:val="00AB0A9D"/>
    <w:rsid w:val="00AB0B8A"/>
    <w:rsid w:val="00AB0B8D"/>
    <w:rsid w:val="00AB1678"/>
    <w:rsid w:val="00AB16D4"/>
    <w:rsid w:val="00AB17A8"/>
    <w:rsid w:val="00AB1967"/>
    <w:rsid w:val="00AB1FCB"/>
    <w:rsid w:val="00AB26B5"/>
    <w:rsid w:val="00AB27ED"/>
    <w:rsid w:val="00AB2E6E"/>
    <w:rsid w:val="00AB2EC7"/>
    <w:rsid w:val="00AB2FA7"/>
    <w:rsid w:val="00AB303F"/>
    <w:rsid w:val="00AB3097"/>
    <w:rsid w:val="00AB3197"/>
    <w:rsid w:val="00AB31EB"/>
    <w:rsid w:val="00AB32D3"/>
    <w:rsid w:val="00AB338F"/>
    <w:rsid w:val="00AB348C"/>
    <w:rsid w:val="00AB34BD"/>
    <w:rsid w:val="00AB3566"/>
    <w:rsid w:val="00AB38F7"/>
    <w:rsid w:val="00AB3957"/>
    <w:rsid w:val="00AB3A06"/>
    <w:rsid w:val="00AB3AAE"/>
    <w:rsid w:val="00AB3B39"/>
    <w:rsid w:val="00AB3B57"/>
    <w:rsid w:val="00AB3B93"/>
    <w:rsid w:val="00AB3CB9"/>
    <w:rsid w:val="00AB3D53"/>
    <w:rsid w:val="00AB3E6E"/>
    <w:rsid w:val="00AB4283"/>
    <w:rsid w:val="00AB462E"/>
    <w:rsid w:val="00AB4A81"/>
    <w:rsid w:val="00AB4B02"/>
    <w:rsid w:val="00AB4DB8"/>
    <w:rsid w:val="00AB4F5F"/>
    <w:rsid w:val="00AB514D"/>
    <w:rsid w:val="00AB5462"/>
    <w:rsid w:val="00AB5793"/>
    <w:rsid w:val="00AB595D"/>
    <w:rsid w:val="00AB5A1A"/>
    <w:rsid w:val="00AB5AAE"/>
    <w:rsid w:val="00AB5ADA"/>
    <w:rsid w:val="00AB5BEE"/>
    <w:rsid w:val="00AB5C18"/>
    <w:rsid w:val="00AB5CD2"/>
    <w:rsid w:val="00AB5CDF"/>
    <w:rsid w:val="00AB5F84"/>
    <w:rsid w:val="00AB6251"/>
    <w:rsid w:val="00AB62EC"/>
    <w:rsid w:val="00AB6356"/>
    <w:rsid w:val="00AB638F"/>
    <w:rsid w:val="00AB659A"/>
    <w:rsid w:val="00AB66B6"/>
    <w:rsid w:val="00AB673C"/>
    <w:rsid w:val="00AB6741"/>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65B"/>
    <w:rsid w:val="00AC182D"/>
    <w:rsid w:val="00AC1871"/>
    <w:rsid w:val="00AC18CE"/>
    <w:rsid w:val="00AC1B93"/>
    <w:rsid w:val="00AC1F99"/>
    <w:rsid w:val="00AC20E6"/>
    <w:rsid w:val="00AC210F"/>
    <w:rsid w:val="00AC23F5"/>
    <w:rsid w:val="00AC2748"/>
    <w:rsid w:val="00AC2CC1"/>
    <w:rsid w:val="00AC2D3F"/>
    <w:rsid w:val="00AC2DD6"/>
    <w:rsid w:val="00AC2E89"/>
    <w:rsid w:val="00AC2F2D"/>
    <w:rsid w:val="00AC31D1"/>
    <w:rsid w:val="00AC33F1"/>
    <w:rsid w:val="00AC3717"/>
    <w:rsid w:val="00AC39D0"/>
    <w:rsid w:val="00AC3A68"/>
    <w:rsid w:val="00AC3B16"/>
    <w:rsid w:val="00AC3FBF"/>
    <w:rsid w:val="00AC424F"/>
    <w:rsid w:val="00AC45E1"/>
    <w:rsid w:val="00AC4C08"/>
    <w:rsid w:val="00AC511C"/>
    <w:rsid w:val="00AC5357"/>
    <w:rsid w:val="00AC566A"/>
    <w:rsid w:val="00AC5DDE"/>
    <w:rsid w:val="00AC5F08"/>
    <w:rsid w:val="00AC614A"/>
    <w:rsid w:val="00AC62F8"/>
    <w:rsid w:val="00AC64A3"/>
    <w:rsid w:val="00AC652D"/>
    <w:rsid w:val="00AC6845"/>
    <w:rsid w:val="00AC6A5A"/>
    <w:rsid w:val="00AC6A9B"/>
    <w:rsid w:val="00AC6CA4"/>
    <w:rsid w:val="00AC6F2E"/>
    <w:rsid w:val="00AC7115"/>
    <w:rsid w:val="00AC736F"/>
    <w:rsid w:val="00AC756F"/>
    <w:rsid w:val="00AC7694"/>
    <w:rsid w:val="00AC7D08"/>
    <w:rsid w:val="00AC7DAA"/>
    <w:rsid w:val="00AD0099"/>
    <w:rsid w:val="00AD0135"/>
    <w:rsid w:val="00AD06E3"/>
    <w:rsid w:val="00AD0AF2"/>
    <w:rsid w:val="00AD0D6E"/>
    <w:rsid w:val="00AD0F8B"/>
    <w:rsid w:val="00AD1124"/>
    <w:rsid w:val="00AD1174"/>
    <w:rsid w:val="00AD176A"/>
    <w:rsid w:val="00AD1808"/>
    <w:rsid w:val="00AD19BD"/>
    <w:rsid w:val="00AD1AFF"/>
    <w:rsid w:val="00AD209C"/>
    <w:rsid w:val="00AD235D"/>
    <w:rsid w:val="00AD2668"/>
    <w:rsid w:val="00AD293E"/>
    <w:rsid w:val="00AD2D43"/>
    <w:rsid w:val="00AD34AA"/>
    <w:rsid w:val="00AD351F"/>
    <w:rsid w:val="00AD35EE"/>
    <w:rsid w:val="00AD36DC"/>
    <w:rsid w:val="00AD3B62"/>
    <w:rsid w:val="00AD3BD1"/>
    <w:rsid w:val="00AD3C9F"/>
    <w:rsid w:val="00AD3D64"/>
    <w:rsid w:val="00AD3DDE"/>
    <w:rsid w:val="00AD3E2E"/>
    <w:rsid w:val="00AD3F65"/>
    <w:rsid w:val="00AD3F83"/>
    <w:rsid w:val="00AD3FF3"/>
    <w:rsid w:val="00AD411D"/>
    <w:rsid w:val="00AD416B"/>
    <w:rsid w:val="00AD4193"/>
    <w:rsid w:val="00AD41EE"/>
    <w:rsid w:val="00AD42D2"/>
    <w:rsid w:val="00AD4420"/>
    <w:rsid w:val="00AD450E"/>
    <w:rsid w:val="00AD47EF"/>
    <w:rsid w:val="00AD486A"/>
    <w:rsid w:val="00AD4CA9"/>
    <w:rsid w:val="00AD4DDC"/>
    <w:rsid w:val="00AD4E56"/>
    <w:rsid w:val="00AD50EA"/>
    <w:rsid w:val="00AD50FB"/>
    <w:rsid w:val="00AD5377"/>
    <w:rsid w:val="00AD53D6"/>
    <w:rsid w:val="00AD5813"/>
    <w:rsid w:val="00AD59EB"/>
    <w:rsid w:val="00AD5A0B"/>
    <w:rsid w:val="00AD5A3D"/>
    <w:rsid w:val="00AD5AE7"/>
    <w:rsid w:val="00AD5BCC"/>
    <w:rsid w:val="00AD5BFF"/>
    <w:rsid w:val="00AD5C59"/>
    <w:rsid w:val="00AD5DD1"/>
    <w:rsid w:val="00AD600F"/>
    <w:rsid w:val="00AD60BB"/>
    <w:rsid w:val="00AD63B1"/>
    <w:rsid w:val="00AD65A4"/>
    <w:rsid w:val="00AD678D"/>
    <w:rsid w:val="00AD67CF"/>
    <w:rsid w:val="00AD6BDF"/>
    <w:rsid w:val="00AD70DA"/>
    <w:rsid w:val="00AD73C9"/>
    <w:rsid w:val="00AD75BF"/>
    <w:rsid w:val="00AD764F"/>
    <w:rsid w:val="00AD76E3"/>
    <w:rsid w:val="00AD77CA"/>
    <w:rsid w:val="00AD78E8"/>
    <w:rsid w:val="00AD7A28"/>
    <w:rsid w:val="00AD7CE7"/>
    <w:rsid w:val="00AD7F1E"/>
    <w:rsid w:val="00AD7F21"/>
    <w:rsid w:val="00AD7F73"/>
    <w:rsid w:val="00AE0298"/>
    <w:rsid w:val="00AE038C"/>
    <w:rsid w:val="00AE047F"/>
    <w:rsid w:val="00AE075D"/>
    <w:rsid w:val="00AE08B3"/>
    <w:rsid w:val="00AE0918"/>
    <w:rsid w:val="00AE0B6E"/>
    <w:rsid w:val="00AE0C70"/>
    <w:rsid w:val="00AE0D0A"/>
    <w:rsid w:val="00AE0F81"/>
    <w:rsid w:val="00AE1330"/>
    <w:rsid w:val="00AE138C"/>
    <w:rsid w:val="00AE1634"/>
    <w:rsid w:val="00AE16FE"/>
    <w:rsid w:val="00AE1733"/>
    <w:rsid w:val="00AE17BC"/>
    <w:rsid w:val="00AE17FC"/>
    <w:rsid w:val="00AE1A0B"/>
    <w:rsid w:val="00AE1FE4"/>
    <w:rsid w:val="00AE262B"/>
    <w:rsid w:val="00AE27F4"/>
    <w:rsid w:val="00AE27F9"/>
    <w:rsid w:val="00AE2C2B"/>
    <w:rsid w:val="00AE3058"/>
    <w:rsid w:val="00AE3310"/>
    <w:rsid w:val="00AE354F"/>
    <w:rsid w:val="00AE37A1"/>
    <w:rsid w:val="00AE3956"/>
    <w:rsid w:val="00AE3A4F"/>
    <w:rsid w:val="00AE3D5E"/>
    <w:rsid w:val="00AE3D85"/>
    <w:rsid w:val="00AE41EF"/>
    <w:rsid w:val="00AE4646"/>
    <w:rsid w:val="00AE4703"/>
    <w:rsid w:val="00AE4BF3"/>
    <w:rsid w:val="00AE4FE2"/>
    <w:rsid w:val="00AE516D"/>
    <w:rsid w:val="00AE517E"/>
    <w:rsid w:val="00AE5246"/>
    <w:rsid w:val="00AE5292"/>
    <w:rsid w:val="00AE52B4"/>
    <w:rsid w:val="00AE56A2"/>
    <w:rsid w:val="00AE56C7"/>
    <w:rsid w:val="00AE586E"/>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6F29"/>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03A"/>
    <w:rsid w:val="00AF32EB"/>
    <w:rsid w:val="00AF333E"/>
    <w:rsid w:val="00AF37FA"/>
    <w:rsid w:val="00AF38BE"/>
    <w:rsid w:val="00AF3928"/>
    <w:rsid w:val="00AF3B06"/>
    <w:rsid w:val="00AF3C4D"/>
    <w:rsid w:val="00AF3D18"/>
    <w:rsid w:val="00AF40A0"/>
    <w:rsid w:val="00AF44F8"/>
    <w:rsid w:val="00AF4514"/>
    <w:rsid w:val="00AF46C4"/>
    <w:rsid w:val="00AF46C7"/>
    <w:rsid w:val="00AF4717"/>
    <w:rsid w:val="00AF4956"/>
    <w:rsid w:val="00AF53A4"/>
    <w:rsid w:val="00AF5798"/>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959"/>
    <w:rsid w:val="00B00B19"/>
    <w:rsid w:val="00B00B7E"/>
    <w:rsid w:val="00B00D80"/>
    <w:rsid w:val="00B00F03"/>
    <w:rsid w:val="00B012CC"/>
    <w:rsid w:val="00B01732"/>
    <w:rsid w:val="00B0177D"/>
    <w:rsid w:val="00B01887"/>
    <w:rsid w:val="00B01E07"/>
    <w:rsid w:val="00B0237B"/>
    <w:rsid w:val="00B02557"/>
    <w:rsid w:val="00B02BFB"/>
    <w:rsid w:val="00B030F8"/>
    <w:rsid w:val="00B03106"/>
    <w:rsid w:val="00B03253"/>
    <w:rsid w:val="00B0332F"/>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1B2"/>
    <w:rsid w:val="00B063D3"/>
    <w:rsid w:val="00B06D28"/>
    <w:rsid w:val="00B06D9A"/>
    <w:rsid w:val="00B06DB4"/>
    <w:rsid w:val="00B06EB7"/>
    <w:rsid w:val="00B070B0"/>
    <w:rsid w:val="00B070CE"/>
    <w:rsid w:val="00B073F0"/>
    <w:rsid w:val="00B07756"/>
    <w:rsid w:val="00B07799"/>
    <w:rsid w:val="00B07D77"/>
    <w:rsid w:val="00B1041B"/>
    <w:rsid w:val="00B10616"/>
    <w:rsid w:val="00B10651"/>
    <w:rsid w:val="00B110A1"/>
    <w:rsid w:val="00B111CE"/>
    <w:rsid w:val="00B11204"/>
    <w:rsid w:val="00B1128E"/>
    <w:rsid w:val="00B112A0"/>
    <w:rsid w:val="00B11476"/>
    <w:rsid w:val="00B114BC"/>
    <w:rsid w:val="00B1153A"/>
    <w:rsid w:val="00B1169E"/>
    <w:rsid w:val="00B119E6"/>
    <w:rsid w:val="00B11A60"/>
    <w:rsid w:val="00B11A88"/>
    <w:rsid w:val="00B11CB2"/>
    <w:rsid w:val="00B11DB8"/>
    <w:rsid w:val="00B1246F"/>
    <w:rsid w:val="00B12729"/>
    <w:rsid w:val="00B12874"/>
    <w:rsid w:val="00B12B30"/>
    <w:rsid w:val="00B12DED"/>
    <w:rsid w:val="00B131F1"/>
    <w:rsid w:val="00B13222"/>
    <w:rsid w:val="00B1388B"/>
    <w:rsid w:val="00B138BE"/>
    <w:rsid w:val="00B13AB7"/>
    <w:rsid w:val="00B13BCC"/>
    <w:rsid w:val="00B13D36"/>
    <w:rsid w:val="00B13DDF"/>
    <w:rsid w:val="00B14018"/>
    <w:rsid w:val="00B1410B"/>
    <w:rsid w:val="00B143D6"/>
    <w:rsid w:val="00B14457"/>
    <w:rsid w:val="00B14596"/>
    <w:rsid w:val="00B147F7"/>
    <w:rsid w:val="00B14EA4"/>
    <w:rsid w:val="00B1504B"/>
    <w:rsid w:val="00B150C9"/>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370"/>
    <w:rsid w:val="00B17465"/>
    <w:rsid w:val="00B17555"/>
    <w:rsid w:val="00B175FE"/>
    <w:rsid w:val="00B17728"/>
    <w:rsid w:val="00B177C0"/>
    <w:rsid w:val="00B1791F"/>
    <w:rsid w:val="00B17C2C"/>
    <w:rsid w:val="00B17C49"/>
    <w:rsid w:val="00B17D83"/>
    <w:rsid w:val="00B17E55"/>
    <w:rsid w:val="00B17E99"/>
    <w:rsid w:val="00B203E8"/>
    <w:rsid w:val="00B203F9"/>
    <w:rsid w:val="00B2087F"/>
    <w:rsid w:val="00B20B60"/>
    <w:rsid w:val="00B20D55"/>
    <w:rsid w:val="00B21494"/>
    <w:rsid w:val="00B21CF0"/>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C66"/>
    <w:rsid w:val="00B23D98"/>
    <w:rsid w:val="00B23DCC"/>
    <w:rsid w:val="00B23F89"/>
    <w:rsid w:val="00B2413F"/>
    <w:rsid w:val="00B246A8"/>
    <w:rsid w:val="00B24B3B"/>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81A"/>
    <w:rsid w:val="00B268AA"/>
    <w:rsid w:val="00B26ADC"/>
    <w:rsid w:val="00B26C56"/>
    <w:rsid w:val="00B27011"/>
    <w:rsid w:val="00B27180"/>
    <w:rsid w:val="00B27219"/>
    <w:rsid w:val="00B27349"/>
    <w:rsid w:val="00B27586"/>
    <w:rsid w:val="00B2775D"/>
    <w:rsid w:val="00B279A8"/>
    <w:rsid w:val="00B27C91"/>
    <w:rsid w:val="00B27E12"/>
    <w:rsid w:val="00B30180"/>
    <w:rsid w:val="00B30817"/>
    <w:rsid w:val="00B3086D"/>
    <w:rsid w:val="00B308F0"/>
    <w:rsid w:val="00B30920"/>
    <w:rsid w:val="00B30A5C"/>
    <w:rsid w:val="00B30AFC"/>
    <w:rsid w:val="00B30C8B"/>
    <w:rsid w:val="00B30CFB"/>
    <w:rsid w:val="00B30E52"/>
    <w:rsid w:val="00B31025"/>
    <w:rsid w:val="00B31204"/>
    <w:rsid w:val="00B314AB"/>
    <w:rsid w:val="00B31566"/>
    <w:rsid w:val="00B31581"/>
    <w:rsid w:val="00B31982"/>
    <w:rsid w:val="00B319BB"/>
    <w:rsid w:val="00B31A2B"/>
    <w:rsid w:val="00B31A5C"/>
    <w:rsid w:val="00B31E74"/>
    <w:rsid w:val="00B31FDF"/>
    <w:rsid w:val="00B3227B"/>
    <w:rsid w:val="00B322F9"/>
    <w:rsid w:val="00B3235B"/>
    <w:rsid w:val="00B3261B"/>
    <w:rsid w:val="00B3269A"/>
    <w:rsid w:val="00B32BB0"/>
    <w:rsid w:val="00B33185"/>
    <w:rsid w:val="00B33196"/>
    <w:rsid w:val="00B331B4"/>
    <w:rsid w:val="00B3334F"/>
    <w:rsid w:val="00B333C6"/>
    <w:rsid w:val="00B34035"/>
    <w:rsid w:val="00B341E3"/>
    <w:rsid w:val="00B3449D"/>
    <w:rsid w:val="00B34511"/>
    <w:rsid w:val="00B34544"/>
    <w:rsid w:val="00B34768"/>
    <w:rsid w:val="00B34929"/>
    <w:rsid w:val="00B34B78"/>
    <w:rsid w:val="00B34BD6"/>
    <w:rsid w:val="00B34D6A"/>
    <w:rsid w:val="00B34F23"/>
    <w:rsid w:val="00B34F3A"/>
    <w:rsid w:val="00B35083"/>
    <w:rsid w:val="00B35799"/>
    <w:rsid w:val="00B357D5"/>
    <w:rsid w:val="00B357EA"/>
    <w:rsid w:val="00B35A02"/>
    <w:rsid w:val="00B35C09"/>
    <w:rsid w:val="00B35FBF"/>
    <w:rsid w:val="00B36604"/>
    <w:rsid w:val="00B36817"/>
    <w:rsid w:val="00B36A04"/>
    <w:rsid w:val="00B36D32"/>
    <w:rsid w:val="00B3722B"/>
    <w:rsid w:val="00B3733A"/>
    <w:rsid w:val="00B373A4"/>
    <w:rsid w:val="00B373B1"/>
    <w:rsid w:val="00B3763C"/>
    <w:rsid w:val="00B37640"/>
    <w:rsid w:val="00B37769"/>
    <w:rsid w:val="00B378BB"/>
    <w:rsid w:val="00B37A70"/>
    <w:rsid w:val="00B37C5E"/>
    <w:rsid w:val="00B4009E"/>
    <w:rsid w:val="00B4013A"/>
    <w:rsid w:val="00B4031E"/>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00"/>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BB7"/>
    <w:rsid w:val="00B45F88"/>
    <w:rsid w:val="00B4604D"/>
    <w:rsid w:val="00B46080"/>
    <w:rsid w:val="00B461B6"/>
    <w:rsid w:val="00B463FF"/>
    <w:rsid w:val="00B464EF"/>
    <w:rsid w:val="00B4662E"/>
    <w:rsid w:val="00B466E4"/>
    <w:rsid w:val="00B4682D"/>
    <w:rsid w:val="00B46989"/>
    <w:rsid w:val="00B46CAE"/>
    <w:rsid w:val="00B46EF0"/>
    <w:rsid w:val="00B47049"/>
    <w:rsid w:val="00B47289"/>
    <w:rsid w:val="00B47A9B"/>
    <w:rsid w:val="00B47E82"/>
    <w:rsid w:val="00B47EAF"/>
    <w:rsid w:val="00B47EF4"/>
    <w:rsid w:val="00B47F59"/>
    <w:rsid w:val="00B5005D"/>
    <w:rsid w:val="00B501AD"/>
    <w:rsid w:val="00B502E7"/>
    <w:rsid w:val="00B50454"/>
    <w:rsid w:val="00B5048E"/>
    <w:rsid w:val="00B504D4"/>
    <w:rsid w:val="00B50566"/>
    <w:rsid w:val="00B505FD"/>
    <w:rsid w:val="00B50711"/>
    <w:rsid w:val="00B50AB8"/>
    <w:rsid w:val="00B50C6A"/>
    <w:rsid w:val="00B50C8A"/>
    <w:rsid w:val="00B5149E"/>
    <w:rsid w:val="00B517F8"/>
    <w:rsid w:val="00B5183F"/>
    <w:rsid w:val="00B51979"/>
    <w:rsid w:val="00B51A65"/>
    <w:rsid w:val="00B51A6A"/>
    <w:rsid w:val="00B51DBB"/>
    <w:rsid w:val="00B51FF2"/>
    <w:rsid w:val="00B521D0"/>
    <w:rsid w:val="00B5233E"/>
    <w:rsid w:val="00B52520"/>
    <w:rsid w:val="00B52684"/>
    <w:rsid w:val="00B528F3"/>
    <w:rsid w:val="00B52A02"/>
    <w:rsid w:val="00B52F7E"/>
    <w:rsid w:val="00B53165"/>
    <w:rsid w:val="00B53566"/>
    <w:rsid w:val="00B5362D"/>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3D1"/>
    <w:rsid w:val="00B55433"/>
    <w:rsid w:val="00B55894"/>
    <w:rsid w:val="00B558F6"/>
    <w:rsid w:val="00B55B8F"/>
    <w:rsid w:val="00B55D61"/>
    <w:rsid w:val="00B55F8D"/>
    <w:rsid w:val="00B5600E"/>
    <w:rsid w:val="00B56297"/>
    <w:rsid w:val="00B5651D"/>
    <w:rsid w:val="00B56796"/>
    <w:rsid w:val="00B56AF7"/>
    <w:rsid w:val="00B56B9B"/>
    <w:rsid w:val="00B56B9D"/>
    <w:rsid w:val="00B56F47"/>
    <w:rsid w:val="00B57039"/>
    <w:rsid w:val="00B574D6"/>
    <w:rsid w:val="00B574DA"/>
    <w:rsid w:val="00B57A5C"/>
    <w:rsid w:val="00B57DA4"/>
    <w:rsid w:val="00B57DFA"/>
    <w:rsid w:val="00B60168"/>
    <w:rsid w:val="00B60531"/>
    <w:rsid w:val="00B605F5"/>
    <w:rsid w:val="00B606D8"/>
    <w:rsid w:val="00B60720"/>
    <w:rsid w:val="00B609CF"/>
    <w:rsid w:val="00B60B94"/>
    <w:rsid w:val="00B60D77"/>
    <w:rsid w:val="00B6133F"/>
    <w:rsid w:val="00B6140D"/>
    <w:rsid w:val="00B614FB"/>
    <w:rsid w:val="00B615B0"/>
    <w:rsid w:val="00B6161C"/>
    <w:rsid w:val="00B61741"/>
    <w:rsid w:val="00B61C14"/>
    <w:rsid w:val="00B61E60"/>
    <w:rsid w:val="00B61EEC"/>
    <w:rsid w:val="00B62057"/>
    <w:rsid w:val="00B620EB"/>
    <w:rsid w:val="00B62742"/>
    <w:rsid w:val="00B6277A"/>
    <w:rsid w:val="00B627DF"/>
    <w:rsid w:val="00B62A1E"/>
    <w:rsid w:val="00B62A55"/>
    <w:rsid w:val="00B62B23"/>
    <w:rsid w:val="00B62C60"/>
    <w:rsid w:val="00B62DF4"/>
    <w:rsid w:val="00B62DFA"/>
    <w:rsid w:val="00B62E72"/>
    <w:rsid w:val="00B632AA"/>
    <w:rsid w:val="00B63385"/>
    <w:rsid w:val="00B63589"/>
    <w:rsid w:val="00B635F8"/>
    <w:rsid w:val="00B6387E"/>
    <w:rsid w:val="00B6391C"/>
    <w:rsid w:val="00B639A5"/>
    <w:rsid w:val="00B63AB7"/>
    <w:rsid w:val="00B63C37"/>
    <w:rsid w:val="00B63CBC"/>
    <w:rsid w:val="00B63E94"/>
    <w:rsid w:val="00B63F7D"/>
    <w:rsid w:val="00B64064"/>
    <w:rsid w:val="00B6437B"/>
    <w:rsid w:val="00B64439"/>
    <w:rsid w:val="00B64479"/>
    <w:rsid w:val="00B644CF"/>
    <w:rsid w:val="00B645A6"/>
    <w:rsid w:val="00B64BC8"/>
    <w:rsid w:val="00B64D0E"/>
    <w:rsid w:val="00B654E9"/>
    <w:rsid w:val="00B65616"/>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A47"/>
    <w:rsid w:val="00B67B72"/>
    <w:rsid w:val="00B67FAD"/>
    <w:rsid w:val="00B7022A"/>
    <w:rsid w:val="00B7048E"/>
    <w:rsid w:val="00B705FC"/>
    <w:rsid w:val="00B70771"/>
    <w:rsid w:val="00B709B3"/>
    <w:rsid w:val="00B71188"/>
    <w:rsid w:val="00B71267"/>
    <w:rsid w:val="00B714AC"/>
    <w:rsid w:val="00B7153E"/>
    <w:rsid w:val="00B71628"/>
    <w:rsid w:val="00B716A9"/>
    <w:rsid w:val="00B71770"/>
    <w:rsid w:val="00B71881"/>
    <w:rsid w:val="00B71BFD"/>
    <w:rsid w:val="00B7217B"/>
    <w:rsid w:val="00B721D9"/>
    <w:rsid w:val="00B7226F"/>
    <w:rsid w:val="00B72639"/>
    <w:rsid w:val="00B72767"/>
    <w:rsid w:val="00B7282B"/>
    <w:rsid w:val="00B72948"/>
    <w:rsid w:val="00B72C26"/>
    <w:rsid w:val="00B72E2A"/>
    <w:rsid w:val="00B72F6D"/>
    <w:rsid w:val="00B72FA9"/>
    <w:rsid w:val="00B73062"/>
    <w:rsid w:val="00B7372C"/>
    <w:rsid w:val="00B738DB"/>
    <w:rsid w:val="00B73B96"/>
    <w:rsid w:val="00B73D9B"/>
    <w:rsid w:val="00B740D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5B89"/>
    <w:rsid w:val="00B75BBA"/>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0F04"/>
    <w:rsid w:val="00B8104D"/>
    <w:rsid w:val="00B81080"/>
    <w:rsid w:val="00B810AC"/>
    <w:rsid w:val="00B81153"/>
    <w:rsid w:val="00B8127D"/>
    <w:rsid w:val="00B81361"/>
    <w:rsid w:val="00B8160D"/>
    <w:rsid w:val="00B816E8"/>
    <w:rsid w:val="00B819DA"/>
    <w:rsid w:val="00B81AED"/>
    <w:rsid w:val="00B81DB6"/>
    <w:rsid w:val="00B81F3E"/>
    <w:rsid w:val="00B81F79"/>
    <w:rsid w:val="00B81FBD"/>
    <w:rsid w:val="00B8224B"/>
    <w:rsid w:val="00B8252D"/>
    <w:rsid w:val="00B8275D"/>
    <w:rsid w:val="00B8278C"/>
    <w:rsid w:val="00B827B3"/>
    <w:rsid w:val="00B827BF"/>
    <w:rsid w:val="00B82949"/>
    <w:rsid w:val="00B8298E"/>
    <w:rsid w:val="00B82A42"/>
    <w:rsid w:val="00B82D59"/>
    <w:rsid w:val="00B82DCD"/>
    <w:rsid w:val="00B831ED"/>
    <w:rsid w:val="00B83334"/>
    <w:rsid w:val="00B83433"/>
    <w:rsid w:val="00B8349C"/>
    <w:rsid w:val="00B834D2"/>
    <w:rsid w:val="00B8357B"/>
    <w:rsid w:val="00B83696"/>
    <w:rsid w:val="00B83BFF"/>
    <w:rsid w:val="00B83CAA"/>
    <w:rsid w:val="00B83D84"/>
    <w:rsid w:val="00B840CD"/>
    <w:rsid w:val="00B842F9"/>
    <w:rsid w:val="00B844A4"/>
    <w:rsid w:val="00B844AA"/>
    <w:rsid w:val="00B8453F"/>
    <w:rsid w:val="00B845D5"/>
    <w:rsid w:val="00B84609"/>
    <w:rsid w:val="00B84936"/>
    <w:rsid w:val="00B84AFC"/>
    <w:rsid w:val="00B84BD7"/>
    <w:rsid w:val="00B84C82"/>
    <w:rsid w:val="00B84CBA"/>
    <w:rsid w:val="00B85140"/>
    <w:rsid w:val="00B851D1"/>
    <w:rsid w:val="00B85228"/>
    <w:rsid w:val="00B85756"/>
    <w:rsid w:val="00B85ABC"/>
    <w:rsid w:val="00B85E49"/>
    <w:rsid w:val="00B8616B"/>
    <w:rsid w:val="00B863F0"/>
    <w:rsid w:val="00B864C4"/>
    <w:rsid w:val="00B8659E"/>
    <w:rsid w:val="00B865D1"/>
    <w:rsid w:val="00B866B2"/>
    <w:rsid w:val="00B866CA"/>
    <w:rsid w:val="00B86739"/>
    <w:rsid w:val="00B869D6"/>
    <w:rsid w:val="00B86AA1"/>
    <w:rsid w:val="00B86C24"/>
    <w:rsid w:val="00B86EC0"/>
    <w:rsid w:val="00B86F6F"/>
    <w:rsid w:val="00B87270"/>
    <w:rsid w:val="00B87385"/>
    <w:rsid w:val="00B879A4"/>
    <w:rsid w:val="00B879AB"/>
    <w:rsid w:val="00B87DBE"/>
    <w:rsid w:val="00B87EEE"/>
    <w:rsid w:val="00B87EF2"/>
    <w:rsid w:val="00B900E9"/>
    <w:rsid w:val="00B9012D"/>
    <w:rsid w:val="00B90535"/>
    <w:rsid w:val="00B90566"/>
    <w:rsid w:val="00B905E0"/>
    <w:rsid w:val="00B90619"/>
    <w:rsid w:val="00B908C8"/>
    <w:rsid w:val="00B908E0"/>
    <w:rsid w:val="00B909A7"/>
    <w:rsid w:val="00B90E70"/>
    <w:rsid w:val="00B90F4B"/>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79"/>
    <w:rsid w:val="00B95DBF"/>
    <w:rsid w:val="00B95E24"/>
    <w:rsid w:val="00B96224"/>
    <w:rsid w:val="00B9626C"/>
    <w:rsid w:val="00B962F3"/>
    <w:rsid w:val="00B96418"/>
    <w:rsid w:val="00B9649D"/>
    <w:rsid w:val="00B96C70"/>
    <w:rsid w:val="00B96D23"/>
    <w:rsid w:val="00B96D4F"/>
    <w:rsid w:val="00B96D54"/>
    <w:rsid w:val="00B96ED9"/>
    <w:rsid w:val="00B97104"/>
    <w:rsid w:val="00B977B6"/>
    <w:rsid w:val="00B97934"/>
    <w:rsid w:val="00B97A1F"/>
    <w:rsid w:val="00B97A26"/>
    <w:rsid w:val="00B97A7A"/>
    <w:rsid w:val="00B97D6A"/>
    <w:rsid w:val="00B97D76"/>
    <w:rsid w:val="00B97FA4"/>
    <w:rsid w:val="00BA01F4"/>
    <w:rsid w:val="00BA0325"/>
    <w:rsid w:val="00BA03BD"/>
    <w:rsid w:val="00BA04CC"/>
    <w:rsid w:val="00BA0564"/>
    <w:rsid w:val="00BA070E"/>
    <w:rsid w:val="00BA083E"/>
    <w:rsid w:val="00BA08F2"/>
    <w:rsid w:val="00BA0A5E"/>
    <w:rsid w:val="00BA0BB1"/>
    <w:rsid w:val="00BA0D70"/>
    <w:rsid w:val="00BA0E24"/>
    <w:rsid w:val="00BA1112"/>
    <w:rsid w:val="00BA12C3"/>
    <w:rsid w:val="00BA1432"/>
    <w:rsid w:val="00BA15B9"/>
    <w:rsid w:val="00BA1913"/>
    <w:rsid w:val="00BA198C"/>
    <w:rsid w:val="00BA1AD6"/>
    <w:rsid w:val="00BA1C33"/>
    <w:rsid w:val="00BA1DA0"/>
    <w:rsid w:val="00BA1DF1"/>
    <w:rsid w:val="00BA1F19"/>
    <w:rsid w:val="00BA1FBE"/>
    <w:rsid w:val="00BA20CC"/>
    <w:rsid w:val="00BA23F6"/>
    <w:rsid w:val="00BA242D"/>
    <w:rsid w:val="00BA246A"/>
    <w:rsid w:val="00BA27FC"/>
    <w:rsid w:val="00BA3271"/>
    <w:rsid w:val="00BA3A40"/>
    <w:rsid w:val="00BA3FED"/>
    <w:rsid w:val="00BA401F"/>
    <w:rsid w:val="00BA424C"/>
    <w:rsid w:val="00BA43C9"/>
    <w:rsid w:val="00BA467F"/>
    <w:rsid w:val="00BA48DE"/>
    <w:rsid w:val="00BA4931"/>
    <w:rsid w:val="00BA4950"/>
    <w:rsid w:val="00BA4A43"/>
    <w:rsid w:val="00BA4AC6"/>
    <w:rsid w:val="00BA4CD6"/>
    <w:rsid w:val="00BA4CFB"/>
    <w:rsid w:val="00BA4D1B"/>
    <w:rsid w:val="00BA5729"/>
    <w:rsid w:val="00BA578E"/>
    <w:rsid w:val="00BA5A80"/>
    <w:rsid w:val="00BA5CD2"/>
    <w:rsid w:val="00BA5CF4"/>
    <w:rsid w:val="00BA5DA3"/>
    <w:rsid w:val="00BA5E0C"/>
    <w:rsid w:val="00BA5E19"/>
    <w:rsid w:val="00BA5EA4"/>
    <w:rsid w:val="00BA5F47"/>
    <w:rsid w:val="00BA615C"/>
    <w:rsid w:val="00BA62AC"/>
    <w:rsid w:val="00BA639F"/>
    <w:rsid w:val="00BA650B"/>
    <w:rsid w:val="00BA6B0A"/>
    <w:rsid w:val="00BA6C68"/>
    <w:rsid w:val="00BA7008"/>
    <w:rsid w:val="00BA7068"/>
    <w:rsid w:val="00BA71B4"/>
    <w:rsid w:val="00BA7218"/>
    <w:rsid w:val="00BA72BD"/>
    <w:rsid w:val="00BA73E5"/>
    <w:rsid w:val="00BA73F4"/>
    <w:rsid w:val="00BA78BA"/>
    <w:rsid w:val="00BA7AB7"/>
    <w:rsid w:val="00BA7E56"/>
    <w:rsid w:val="00BB00AA"/>
    <w:rsid w:val="00BB00FE"/>
    <w:rsid w:val="00BB046D"/>
    <w:rsid w:val="00BB04FF"/>
    <w:rsid w:val="00BB0673"/>
    <w:rsid w:val="00BB09BC"/>
    <w:rsid w:val="00BB0A06"/>
    <w:rsid w:val="00BB0B5D"/>
    <w:rsid w:val="00BB0C8E"/>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2"/>
    <w:rsid w:val="00BB2883"/>
    <w:rsid w:val="00BB29BF"/>
    <w:rsid w:val="00BB2B37"/>
    <w:rsid w:val="00BB2CC6"/>
    <w:rsid w:val="00BB30FF"/>
    <w:rsid w:val="00BB3306"/>
    <w:rsid w:val="00BB33C2"/>
    <w:rsid w:val="00BB3442"/>
    <w:rsid w:val="00BB38EA"/>
    <w:rsid w:val="00BB39DF"/>
    <w:rsid w:val="00BB39E4"/>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5FB1"/>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DAA"/>
    <w:rsid w:val="00BB7EEF"/>
    <w:rsid w:val="00BB7F93"/>
    <w:rsid w:val="00BC0005"/>
    <w:rsid w:val="00BC001B"/>
    <w:rsid w:val="00BC003D"/>
    <w:rsid w:val="00BC02EA"/>
    <w:rsid w:val="00BC0561"/>
    <w:rsid w:val="00BC0766"/>
    <w:rsid w:val="00BC082A"/>
    <w:rsid w:val="00BC0B24"/>
    <w:rsid w:val="00BC0DBD"/>
    <w:rsid w:val="00BC0E3E"/>
    <w:rsid w:val="00BC0EBB"/>
    <w:rsid w:val="00BC0EF4"/>
    <w:rsid w:val="00BC0FF3"/>
    <w:rsid w:val="00BC13D1"/>
    <w:rsid w:val="00BC1472"/>
    <w:rsid w:val="00BC14CB"/>
    <w:rsid w:val="00BC1862"/>
    <w:rsid w:val="00BC18D1"/>
    <w:rsid w:val="00BC1A6E"/>
    <w:rsid w:val="00BC1ACB"/>
    <w:rsid w:val="00BC1B76"/>
    <w:rsid w:val="00BC1CE1"/>
    <w:rsid w:val="00BC1D2F"/>
    <w:rsid w:val="00BC1D41"/>
    <w:rsid w:val="00BC1E0E"/>
    <w:rsid w:val="00BC1E78"/>
    <w:rsid w:val="00BC1FCB"/>
    <w:rsid w:val="00BC208F"/>
    <w:rsid w:val="00BC216C"/>
    <w:rsid w:val="00BC268B"/>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25"/>
    <w:rsid w:val="00BC3E8D"/>
    <w:rsid w:val="00BC41B4"/>
    <w:rsid w:val="00BC44C8"/>
    <w:rsid w:val="00BC452B"/>
    <w:rsid w:val="00BC478A"/>
    <w:rsid w:val="00BC47FA"/>
    <w:rsid w:val="00BC48C2"/>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7DF"/>
    <w:rsid w:val="00BC6C1B"/>
    <w:rsid w:val="00BC703D"/>
    <w:rsid w:val="00BC721C"/>
    <w:rsid w:val="00BC7362"/>
    <w:rsid w:val="00BC75DF"/>
    <w:rsid w:val="00BC7825"/>
    <w:rsid w:val="00BC7915"/>
    <w:rsid w:val="00BC79A7"/>
    <w:rsid w:val="00BC7A0E"/>
    <w:rsid w:val="00BC7A40"/>
    <w:rsid w:val="00BC7AE1"/>
    <w:rsid w:val="00BC7E8F"/>
    <w:rsid w:val="00BC7EA1"/>
    <w:rsid w:val="00BC7EC1"/>
    <w:rsid w:val="00BD0237"/>
    <w:rsid w:val="00BD031C"/>
    <w:rsid w:val="00BD03EE"/>
    <w:rsid w:val="00BD08EC"/>
    <w:rsid w:val="00BD0992"/>
    <w:rsid w:val="00BD0A98"/>
    <w:rsid w:val="00BD0ADB"/>
    <w:rsid w:val="00BD0B34"/>
    <w:rsid w:val="00BD0D90"/>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9E"/>
    <w:rsid w:val="00BD2A5C"/>
    <w:rsid w:val="00BD2A66"/>
    <w:rsid w:val="00BD2AE5"/>
    <w:rsid w:val="00BD2C5F"/>
    <w:rsid w:val="00BD2D35"/>
    <w:rsid w:val="00BD2E77"/>
    <w:rsid w:val="00BD30CC"/>
    <w:rsid w:val="00BD32B6"/>
    <w:rsid w:val="00BD34DB"/>
    <w:rsid w:val="00BD3819"/>
    <w:rsid w:val="00BD3855"/>
    <w:rsid w:val="00BD3919"/>
    <w:rsid w:val="00BD3B4D"/>
    <w:rsid w:val="00BD3EAD"/>
    <w:rsid w:val="00BD3EC2"/>
    <w:rsid w:val="00BD412C"/>
    <w:rsid w:val="00BD41B0"/>
    <w:rsid w:val="00BD4327"/>
    <w:rsid w:val="00BD44B6"/>
    <w:rsid w:val="00BD4632"/>
    <w:rsid w:val="00BD480C"/>
    <w:rsid w:val="00BD4B10"/>
    <w:rsid w:val="00BD4C67"/>
    <w:rsid w:val="00BD4CC2"/>
    <w:rsid w:val="00BD4CED"/>
    <w:rsid w:val="00BD4EE8"/>
    <w:rsid w:val="00BD4F99"/>
    <w:rsid w:val="00BD5101"/>
    <w:rsid w:val="00BD51F2"/>
    <w:rsid w:val="00BD5375"/>
    <w:rsid w:val="00BD5397"/>
    <w:rsid w:val="00BD53A6"/>
    <w:rsid w:val="00BD5B74"/>
    <w:rsid w:val="00BD5C3F"/>
    <w:rsid w:val="00BD5CEA"/>
    <w:rsid w:val="00BD5E45"/>
    <w:rsid w:val="00BD5FDF"/>
    <w:rsid w:val="00BD64AF"/>
    <w:rsid w:val="00BD6552"/>
    <w:rsid w:val="00BD65DA"/>
    <w:rsid w:val="00BD66D6"/>
    <w:rsid w:val="00BD68EA"/>
    <w:rsid w:val="00BD6CD9"/>
    <w:rsid w:val="00BD6D6D"/>
    <w:rsid w:val="00BD7023"/>
    <w:rsid w:val="00BD720C"/>
    <w:rsid w:val="00BD7317"/>
    <w:rsid w:val="00BD732A"/>
    <w:rsid w:val="00BD7F8E"/>
    <w:rsid w:val="00BE02B3"/>
    <w:rsid w:val="00BE050B"/>
    <w:rsid w:val="00BE0590"/>
    <w:rsid w:val="00BE080D"/>
    <w:rsid w:val="00BE0AB8"/>
    <w:rsid w:val="00BE0E8B"/>
    <w:rsid w:val="00BE0FB8"/>
    <w:rsid w:val="00BE13D8"/>
    <w:rsid w:val="00BE14A0"/>
    <w:rsid w:val="00BE1866"/>
    <w:rsid w:val="00BE19F0"/>
    <w:rsid w:val="00BE1D5A"/>
    <w:rsid w:val="00BE1E31"/>
    <w:rsid w:val="00BE1F26"/>
    <w:rsid w:val="00BE21BC"/>
    <w:rsid w:val="00BE2249"/>
    <w:rsid w:val="00BE248C"/>
    <w:rsid w:val="00BE2593"/>
    <w:rsid w:val="00BE26BD"/>
    <w:rsid w:val="00BE26D7"/>
    <w:rsid w:val="00BE27F3"/>
    <w:rsid w:val="00BE2CD1"/>
    <w:rsid w:val="00BE3451"/>
    <w:rsid w:val="00BE3506"/>
    <w:rsid w:val="00BE3990"/>
    <w:rsid w:val="00BE3AE6"/>
    <w:rsid w:val="00BE3CA2"/>
    <w:rsid w:val="00BE3E18"/>
    <w:rsid w:val="00BE3FAB"/>
    <w:rsid w:val="00BE4A40"/>
    <w:rsid w:val="00BE4B1D"/>
    <w:rsid w:val="00BE53DF"/>
    <w:rsid w:val="00BE54CF"/>
    <w:rsid w:val="00BE5604"/>
    <w:rsid w:val="00BE5642"/>
    <w:rsid w:val="00BE5713"/>
    <w:rsid w:val="00BE5749"/>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8C"/>
    <w:rsid w:val="00BE69C2"/>
    <w:rsid w:val="00BE6B3F"/>
    <w:rsid w:val="00BE6C29"/>
    <w:rsid w:val="00BE6EFA"/>
    <w:rsid w:val="00BE6F03"/>
    <w:rsid w:val="00BE6F11"/>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0F34"/>
    <w:rsid w:val="00BF10B7"/>
    <w:rsid w:val="00BF114E"/>
    <w:rsid w:val="00BF1401"/>
    <w:rsid w:val="00BF1480"/>
    <w:rsid w:val="00BF1651"/>
    <w:rsid w:val="00BF1A35"/>
    <w:rsid w:val="00BF1BD7"/>
    <w:rsid w:val="00BF1CA3"/>
    <w:rsid w:val="00BF1D73"/>
    <w:rsid w:val="00BF225C"/>
    <w:rsid w:val="00BF2288"/>
    <w:rsid w:val="00BF26BE"/>
    <w:rsid w:val="00BF26C3"/>
    <w:rsid w:val="00BF2803"/>
    <w:rsid w:val="00BF2D63"/>
    <w:rsid w:val="00BF33AD"/>
    <w:rsid w:val="00BF344D"/>
    <w:rsid w:val="00BF34E7"/>
    <w:rsid w:val="00BF3777"/>
    <w:rsid w:val="00BF3914"/>
    <w:rsid w:val="00BF3A01"/>
    <w:rsid w:val="00BF3BF6"/>
    <w:rsid w:val="00BF3EC6"/>
    <w:rsid w:val="00BF48F4"/>
    <w:rsid w:val="00BF497A"/>
    <w:rsid w:val="00BF4B98"/>
    <w:rsid w:val="00BF4D92"/>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60A"/>
    <w:rsid w:val="00BF67EF"/>
    <w:rsid w:val="00BF68A0"/>
    <w:rsid w:val="00BF68B7"/>
    <w:rsid w:val="00BF68D9"/>
    <w:rsid w:val="00BF6AB5"/>
    <w:rsid w:val="00BF6B12"/>
    <w:rsid w:val="00BF6B85"/>
    <w:rsid w:val="00BF721B"/>
    <w:rsid w:val="00BF727A"/>
    <w:rsid w:val="00BF73F0"/>
    <w:rsid w:val="00BF744E"/>
    <w:rsid w:val="00BF7780"/>
    <w:rsid w:val="00BF7813"/>
    <w:rsid w:val="00BF7845"/>
    <w:rsid w:val="00BF7865"/>
    <w:rsid w:val="00BF7BF2"/>
    <w:rsid w:val="00BF7C8B"/>
    <w:rsid w:val="00C0000C"/>
    <w:rsid w:val="00C0079C"/>
    <w:rsid w:val="00C0083C"/>
    <w:rsid w:val="00C009F0"/>
    <w:rsid w:val="00C010A8"/>
    <w:rsid w:val="00C0141D"/>
    <w:rsid w:val="00C014DE"/>
    <w:rsid w:val="00C0152B"/>
    <w:rsid w:val="00C0164A"/>
    <w:rsid w:val="00C01798"/>
    <w:rsid w:val="00C017BF"/>
    <w:rsid w:val="00C019FC"/>
    <w:rsid w:val="00C01B0B"/>
    <w:rsid w:val="00C01E7D"/>
    <w:rsid w:val="00C01EBD"/>
    <w:rsid w:val="00C01F1E"/>
    <w:rsid w:val="00C02001"/>
    <w:rsid w:val="00C0202B"/>
    <w:rsid w:val="00C02049"/>
    <w:rsid w:val="00C021BB"/>
    <w:rsid w:val="00C021EB"/>
    <w:rsid w:val="00C02299"/>
    <w:rsid w:val="00C0240F"/>
    <w:rsid w:val="00C0277E"/>
    <w:rsid w:val="00C029EA"/>
    <w:rsid w:val="00C02A20"/>
    <w:rsid w:val="00C02B39"/>
    <w:rsid w:val="00C02B4F"/>
    <w:rsid w:val="00C02DE3"/>
    <w:rsid w:val="00C02ECB"/>
    <w:rsid w:val="00C02FE1"/>
    <w:rsid w:val="00C03012"/>
    <w:rsid w:val="00C030C5"/>
    <w:rsid w:val="00C03526"/>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91"/>
    <w:rsid w:val="00C051D9"/>
    <w:rsid w:val="00C0525D"/>
    <w:rsid w:val="00C05451"/>
    <w:rsid w:val="00C05455"/>
    <w:rsid w:val="00C0555E"/>
    <w:rsid w:val="00C0558B"/>
    <w:rsid w:val="00C05613"/>
    <w:rsid w:val="00C05699"/>
    <w:rsid w:val="00C057EE"/>
    <w:rsid w:val="00C058D4"/>
    <w:rsid w:val="00C05A1B"/>
    <w:rsid w:val="00C05B9C"/>
    <w:rsid w:val="00C05BE5"/>
    <w:rsid w:val="00C05C4E"/>
    <w:rsid w:val="00C05CB8"/>
    <w:rsid w:val="00C05E55"/>
    <w:rsid w:val="00C0606C"/>
    <w:rsid w:val="00C063D9"/>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08D"/>
    <w:rsid w:val="00C10462"/>
    <w:rsid w:val="00C106BA"/>
    <w:rsid w:val="00C10792"/>
    <w:rsid w:val="00C108D4"/>
    <w:rsid w:val="00C1092E"/>
    <w:rsid w:val="00C10B90"/>
    <w:rsid w:val="00C10C7E"/>
    <w:rsid w:val="00C10DC1"/>
    <w:rsid w:val="00C112DF"/>
    <w:rsid w:val="00C1166D"/>
    <w:rsid w:val="00C1195F"/>
    <w:rsid w:val="00C119A8"/>
    <w:rsid w:val="00C119DA"/>
    <w:rsid w:val="00C119EF"/>
    <w:rsid w:val="00C11AAC"/>
    <w:rsid w:val="00C11D8F"/>
    <w:rsid w:val="00C11E99"/>
    <w:rsid w:val="00C11EE1"/>
    <w:rsid w:val="00C11F76"/>
    <w:rsid w:val="00C123F5"/>
    <w:rsid w:val="00C12574"/>
    <w:rsid w:val="00C125F2"/>
    <w:rsid w:val="00C12A56"/>
    <w:rsid w:val="00C12BF3"/>
    <w:rsid w:val="00C12C47"/>
    <w:rsid w:val="00C12C7C"/>
    <w:rsid w:val="00C12DE2"/>
    <w:rsid w:val="00C12E59"/>
    <w:rsid w:val="00C12E7E"/>
    <w:rsid w:val="00C12E82"/>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2E"/>
    <w:rsid w:val="00C16AAA"/>
    <w:rsid w:val="00C16CBF"/>
    <w:rsid w:val="00C176E9"/>
    <w:rsid w:val="00C178E6"/>
    <w:rsid w:val="00C179EB"/>
    <w:rsid w:val="00C17EA5"/>
    <w:rsid w:val="00C17FC3"/>
    <w:rsid w:val="00C2012B"/>
    <w:rsid w:val="00C203E8"/>
    <w:rsid w:val="00C206A9"/>
    <w:rsid w:val="00C20794"/>
    <w:rsid w:val="00C2081E"/>
    <w:rsid w:val="00C20C68"/>
    <w:rsid w:val="00C20D05"/>
    <w:rsid w:val="00C20D4D"/>
    <w:rsid w:val="00C2107D"/>
    <w:rsid w:val="00C2123D"/>
    <w:rsid w:val="00C21334"/>
    <w:rsid w:val="00C213B8"/>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417"/>
    <w:rsid w:val="00C245B1"/>
    <w:rsid w:val="00C24672"/>
    <w:rsid w:val="00C246EA"/>
    <w:rsid w:val="00C247C0"/>
    <w:rsid w:val="00C248A8"/>
    <w:rsid w:val="00C24FF6"/>
    <w:rsid w:val="00C250CC"/>
    <w:rsid w:val="00C253D2"/>
    <w:rsid w:val="00C25A07"/>
    <w:rsid w:val="00C25A2D"/>
    <w:rsid w:val="00C25EFB"/>
    <w:rsid w:val="00C26018"/>
    <w:rsid w:val="00C267F3"/>
    <w:rsid w:val="00C2684E"/>
    <w:rsid w:val="00C269F2"/>
    <w:rsid w:val="00C26B1C"/>
    <w:rsid w:val="00C26BBA"/>
    <w:rsid w:val="00C26BE9"/>
    <w:rsid w:val="00C26D6D"/>
    <w:rsid w:val="00C26E34"/>
    <w:rsid w:val="00C2730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BE3"/>
    <w:rsid w:val="00C30C25"/>
    <w:rsid w:val="00C30D7D"/>
    <w:rsid w:val="00C30DE6"/>
    <w:rsid w:val="00C31173"/>
    <w:rsid w:val="00C312DF"/>
    <w:rsid w:val="00C31501"/>
    <w:rsid w:val="00C315AB"/>
    <w:rsid w:val="00C316DD"/>
    <w:rsid w:val="00C31CD6"/>
    <w:rsid w:val="00C31DE7"/>
    <w:rsid w:val="00C31E10"/>
    <w:rsid w:val="00C320B7"/>
    <w:rsid w:val="00C32243"/>
    <w:rsid w:val="00C322D1"/>
    <w:rsid w:val="00C3252A"/>
    <w:rsid w:val="00C325BB"/>
    <w:rsid w:val="00C3278C"/>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312"/>
    <w:rsid w:val="00C35562"/>
    <w:rsid w:val="00C3571B"/>
    <w:rsid w:val="00C35744"/>
    <w:rsid w:val="00C35A5F"/>
    <w:rsid w:val="00C35AA4"/>
    <w:rsid w:val="00C35B2C"/>
    <w:rsid w:val="00C35D8E"/>
    <w:rsid w:val="00C35E70"/>
    <w:rsid w:val="00C360CA"/>
    <w:rsid w:val="00C36143"/>
    <w:rsid w:val="00C361B3"/>
    <w:rsid w:val="00C361FF"/>
    <w:rsid w:val="00C36550"/>
    <w:rsid w:val="00C367C7"/>
    <w:rsid w:val="00C367EC"/>
    <w:rsid w:val="00C3691E"/>
    <w:rsid w:val="00C36963"/>
    <w:rsid w:val="00C369A6"/>
    <w:rsid w:val="00C369AA"/>
    <w:rsid w:val="00C36A9A"/>
    <w:rsid w:val="00C36AD2"/>
    <w:rsid w:val="00C36B32"/>
    <w:rsid w:val="00C36CE4"/>
    <w:rsid w:val="00C36E60"/>
    <w:rsid w:val="00C37096"/>
    <w:rsid w:val="00C3709C"/>
    <w:rsid w:val="00C370AD"/>
    <w:rsid w:val="00C3715C"/>
    <w:rsid w:val="00C37397"/>
    <w:rsid w:val="00C3743B"/>
    <w:rsid w:val="00C374D6"/>
    <w:rsid w:val="00C37618"/>
    <w:rsid w:val="00C37689"/>
    <w:rsid w:val="00C37D11"/>
    <w:rsid w:val="00C37D38"/>
    <w:rsid w:val="00C37FED"/>
    <w:rsid w:val="00C406A2"/>
    <w:rsid w:val="00C40A33"/>
    <w:rsid w:val="00C40AA1"/>
    <w:rsid w:val="00C40B04"/>
    <w:rsid w:val="00C40B8D"/>
    <w:rsid w:val="00C40C0E"/>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50321"/>
    <w:rsid w:val="00C510DD"/>
    <w:rsid w:val="00C511E3"/>
    <w:rsid w:val="00C517F3"/>
    <w:rsid w:val="00C51E31"/>
    <w:rsid w:val="00C51E7E"/>
    <w:rsid w:val="00C51E81"/>
    <w:rsid w:val="00C52044"/>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70C"/>
    <w:rsid w:val="00C53937"/>
    <w:rsid w:val="00C53BD5"/>
    <w:rsid w:val="00C53D31"/>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1FE"/>
    <w:rsid w:val="00C55335"/>
    <w:rsid w:val="00C55368"/>
    <w:rsid w:val="00C553AD"/>
    <w:rsid w:val="00C554B9"/>
    <w:rsid w:val="00C5572A"/>
    <w:rsid w:val="00C55863"/>
    <w:rsid w:val="00C5586A"/>
    <w:rsid w:val="00C55CBF"/>
    <w:rsid w:val="00C55CE9"/>
    <w:rsid w:val="00C55D12"/>
    <w:rsid w:val="00C55DBC"/>
    <w:rsid w:val="00C55E8F"/>
    <w:rsid w:val="00C55EC4"/>
    <w:rsid w:val="00C561BB"/>
    <w:rsid w:val="00C56708"/>
    <w:rsid w:val="00C56779"/>
    <w:rsid w:val="00C5683B"/>
    <w:rsid w:val="00C56842"/>
    <w:rsid w:val="00C56861"/>
    <w:rsid w:val="00C568F7"/>
    <w:rsid w:val="00C56901"/>
    <w:rsid w:val="00C56E1F"/>
    <w:rsid w:val="00C5707C"/>
    <w:rsid w:val="00C572B3"/>
    <w:rsid w:val="00C57632"/>
    <w:rsid w:val="00C576D9"/>
    <w:rsid w:val="00C5776B"/>
    <w:rsid w:val="00C578FE"/>
    <w:rsid w:val="00C5797D"/>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710"/>
    <w:rsid w:val="00C6283E"/>
    <w:rsid w:val="00C62C6C"/>
    <w:rsid w:val="00C63336"/>
    <w:rsid w:val="00C63370"/>
    <w:rsid w:val="00C636BA"/>
    <w:rsid w:val="00C638E0"/>
    <w:rsid w:val="00C63D71"/>
    <w:rsid w:val="00C63DEE"/>
    <w:rsid w:val="00C63EE7"/>
    <w:rsid w:val="00C63F9C"/>
    <w:rsid w:val="00C64232"/>
    <w:rsid w:val="00C6452E"/>
    <w:rsid w:val="00C645FE"/>
    <w:rsid w:val="00C64994"/>
    <w:rsid w:val="00C64E9E"/>
    <w:rsid w:val="00C65012"/>
    <w:rsid w:val="00C653A3"/>
    <w:rsid w:val="00C6549F"/>
    <w:rsid w:val="00C65635"/>
    <w:rsid w:val="00C6572B"/>
    <w:rsid w:val="00C65838"/>
    <w:rsid w:val="00C65963"/>
    <w:rsid w:val="00C65A2C"/>
    <w:rsid w:val="00C65BFD"/>
    <w:rsid w:val="00C65E23"/>
    <w:rsid w:val="00C65EA3"/>
    <w:rsid w:val="00C65FCA"/>
    <w:rsid w:val="00C6609F"/>
    <w:rsid w:val="00C6633B"/>
    <w:rsid w:val="00C667C4"/>
    <w:rsid w:val="00C6681D"/>
    <w:rsid w:val="00C66B29"/>
    <w:rsid w:val="00C6703C"/>
    <w:rsid w:val="00C6742F"/>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913"/>
    <w:rsid w:val="00C70B23"/>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D74"/>
    <w:rsid w:val="00C72EA2"/>
    <w:rsid w:val="00C72EBD"/>
    <w:rsid w:val="00C72F03"/>
    <w:rsid w:val="00C7322E"/>
    <w:rsid w:val="00C73443"/>
    <w:rsid w:val="00C7349A"/>
    <w:rsid w:val="00C73553"/>
    <w:rsid w:val="00C73633"/>
    <w:rsid w:val="00C736EA"/>
    <w:rsid w:val="00C73803"/>
    <w:rsid w:val="00C73918"/>
    <w:rsid w:val="00C73965"/>
    <w:rsid w:val="00C739FE"/>
    <w:rsid w:val="00C73CEC"/>
    <w:rsid w:val="00C73DCD"/>
    <w:rsid w:val="00C73EA6"/>
    <w:rsid w:val="00C745C6"/>
    <w:rsid w:val="00C74CEC"/>
    <w:rsid w:val="00C74EBE"/>
    <w:rsid w:val="00C751DF"/>
    <w:rsid w:val="00C753CF"/>
    <w:rsid w:val="00C75657"/>
    <w:rsid w:val="00C75782"/>
    <w:rsid w:val="00C759F3"/>
    <w:rsid w:val="00C75A9D"/>
    <w:rsid w:val="00C75AA9"/>
    <w:rsid w:val="00C75CE8"/>
    <w:rsid w:val="00C7614A"/>
    <w:rsid w:val="00C761D5"/>
    <w:rsid w:val="00C764D9"/>
    <w:rsid w:val="00C76646"/>
    <w:rsid w:val="00C766E7"/>
    <w:rsid w:val="00C7671C"/>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54"/>
    <w:rsid w:val="00C813CD"/>
    <w:rsid w:val="00C81487"/>
    <w:rsid w:val="00C81B85"/>
    <w:rsid w:val="00C81CC0"/>
    <w:rsid w:val="00C81E70"/>
    <w:rsid w:val="00C8207F"/>
    <w:rsid w:val="00C8272D"/>
    <w:rsid w:val="00C82922"/>
    <w:rsid w:val="00C82968"/>
    <w:rsid w:val="00C82CCB"/>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283"/>
    <w:rsid w:val="00C85287"/>
    <w:rsid w:val="00C85567"/>
    <w:rsid w:val="00C85753"/>
    <w:rsid w:val="00C85814"/>
    <w:rsid w:val="00C85816"/>
    <w:rsid w:val="00C85A0A"/>
    <w:rsid w:val="00C85D43"/>
    <w:rsid w:val="00C85F9E"/>
    <w:rsid w:val="00C85FD2"/>
    <w:rsid w:val="00C85FD9"/>
    <w:rsid w:val="00C8602D"/>
    <w:rsid w:val="00C8609E"/>
    <w:rsid w:val="00C860A9"/>
    <w:rsid w:val="00C86277"/>
    <w:rsid w:val="00C862C8"/>
    <w:rsid w:val="00C863DC"/>
    <w:rsid w:val="00C8665D"/>
    <w:rsid w:val="00C8675E"/>
    <w:rsid w:val="00C86873"/>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004"/>
    <w:rsid w:val="00C9112C"/>
    <w:rsid w:val="00C9116D"/>
    <w:rsid w:val="00C911DB"/>
    <w:rsid w:val="00C9186A"/>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4FB"/>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45"/>
    <w:rsid w:val="00C962B9"/>
    <w:rsid w:val="00C96474"/>
    <w:rsid w:val="00C9651E"/>
    <w:rsid w:val="00C9653C"/>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97FC4"/>
    <w:rsid w:val="00CA03BA"/>
    <w:rsid w:val="00CA043C"/>
    <w:rsid w:val="00CA057D"/>
    <w:rsid w:val="00CA0A26"/>
    <w:rsid w:val="00CA0A48"/>
    <w:rsid w:val="00CA0BEF"/>
    <w:rsid w:val="00CA0D2F"/>
    <w:rsid w:val="00CA0E21"/>
    <w:rsid w:val="00CA0EE9"/>
    <w:rsid w:val="00CA0EF4"/>
    <w:rsid w:val="00CA1363"/>
    <w:rsid w:val="00CA13E0"/>
    <w:rsid w:val="00CA1414"/>
    <w:rsid w:val="00CA1505"/>
    <w:rsid w:val="00CA16B4"/>
    <w:rsid w:val="00CA17E9"/>
    <w:rsid w:val="00CA1851"/>
    <w:rsid w:val="00CA189C"/>
    <w:rsid w:val="00CA18FF"/>
    <w:rsid w:val="00CA1C56"/>
    <w:rsid w:val="00CA1EBD"/>
    <w:rsid w:val="00CA1FE9"/>
    <w:rsid w:val="00CA22DA"/>
    <w:rsid w:val="00CA2A3F"/>
    <w:rsid w:val="00CA2B16"/>
    <w:rsid w:val="00CA2B6C"/>
    <w:rsid w:val="00CA2ED6"/>
    <w:rsid w:val="00CA2FC0"/>
    <w:rsid w:val="00CA3041"/>
    <w:rsid w:val="00CA309B"/>
    <w:rsid w:val="00CA310A"/>
    <w:rsid w:val="00CA32F1"/>
    <w:rsid w:val="00CA33D5"/>
    <w:rsid w:val="00CA3589"/>
    <w:rsid w:val="00CA367F"/>
    <w:rsid w:val="00CA3796"/>
    <w:rsid w:val="00CA3CE3"/>
    <w:rsid w:val="00CA3D63"/>
    <w:rsid w:val="00CA4312"/>
    <w:rsid w:val="00CA4338"/>
    <w:rsid w:val="00CA4534"/>
    <w:rsid w:val="00CA49D0"/>
    <w:rsid w:val="00CA4B1F"/>
    <w:rsid w:val="00CA4BFB"/>
    <w:rsid w:val="00CA4E3D"/>
    <w:rsid w:val="00CA4E51"/>
    <w:rsid w:val="00CA514E"/>
    <w:rsid w:val="00CA5196"/>
    <w:rsid w:val="00CA51B8"/>
    <w:rsid w:val="00CA5654"/>
    <w:rsid w:val="00CA5663"/>
    <w:rsid w:val="00CA5698"/>
    <w:rsid w:val="00CA5789"/>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A7FA0"/>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2D65"/>
    <w:rsid w:val="00CB3051"/>
    <w:rsid w:val="00CB328E"/>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39"/>
    <w:rsid w:val="00CB5364"/>
    <w:rsid w:val="00CB548D"/>
    <w:rsid w:val="00CB551A"/>
    <w:rsid w:val="00CB565E"/>
    <w:rsid w:val="00CB5661"/>
    <w:rsid w:val="00CB5A2F"/>
    <w:rsid w:val="00CB5AFE"/>
    <w:rsid w:val="00CB5B23"/>
    <w:rsid w:val="00CB5CA0"/>
    <w:rsid w:val="00CB5E12"/>
    <w:rsid w:val="00CB6036"/>
    <w:rsid w:val="00CB6416"/>
    <w:rsid w:val="00CB65C6"/>
    <w:rsid w:val="00CB6778"/>
    <w:rsid w:val="00CB677B"/>
    <w:rsid w:val="00CB681E"/>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8D3"/>
    <w:rsid w:val="00CC0908"/>
    <w:rsid w:val="00CC0EB8"/>
    <w:rsid w:val="00CC102B"/>
    <w:rsid w:val="00CC11C7"/>
    <w:rsid w:val="00CC11D8"/>
    <w:rsid w:val="00CC1212"/>
    <w:rsid w:val="00CC1293"/>
    <w:rsid w:val="00CC15FC"/>
    <w:rsid w:val="00CC176E"/>
    <w:rsid w:val="00CC18DD"/>
    <w:rsid w:val="00CC1989"/>
    <w:rsid w:val="00CC1DBF"/>
    <w:rsid w:val="00CC1DCC"/>
    <w:rsid w:val="00CC1E69"/>
    <w:rsid w:val="00CC1EC6"/>
    <w:rsid w:val="00CC1EF8"/>
    <w:rsid w:val="00CC212F"/>
    <w:rsid w:val="00CC2382"/>
    <w:rsid w:val="00CC250B"/>
    <w:rsid w:val="00CC259B"/>
    <w:rsid w:val="00CC2701"/>
    <w:rsid w:val="00CC293A"/>
    <w:rsid w:val="00CC2A27"/>
    <w:rsid w:val="00CC2DC0"/>
    <w:rsid w:val="00CC2E12"/>
    <w:rsid w:val="00CC2E8A"/>
    <w:rsid w:val="00CC3237"/>
    <w:rsid w:val="00CC32E7"/>
    <w:rsid w:val="00CC35A9"/>
    <w:rsid w:val="00CC36DC"/>
    <w:rsid w:val="00CC3B57"/>
    <w:rsid w:val="00CC3CF5"/>
    <w:rsid w:val="00CC4179"/>
    <w:rsid w:val="00CC429D"/>
    <w:rsid w:val="00CC43EA"/>
    <w:rsid w:val="00CC4426"/>
    <w:rsid w:val="00CC48EF"/>
    <w:rsid w:val="00CC4D07"/>
    <w:rsid w:val="00CC4EBB"/>
    <w:rsid w:val="00CC4F40"/>
    <w:rsid w:val="00CC5215"/>
    <w:rsid w:val="00CC52AC"/>
    <w:rsid w:val="00CC53FF"/>
    <w:rsid w:val="00CC540C"/>
    <w:rsid w:val="00CC5883"/>
    <w:rsid w:val="00CC5A11"/>
    <w:rsid w:val="00CC5CA1"/>
    <w:rsid w:val="00CC5CDE"/>
    <w:rsid w:val="00CC5E9D"/>
    <w:rsid w:val="00CC6025"/>
    <w:rsid w:val="00CC607F"/>
    <w:rsid w:val="00CC620D"/>
    <w:rsid w:val="00CC6367"/>
    <w:rsid w:val="00CC64AC"/>
    <w:rsid w:val="00CC64D4"/>
    <w:rsid w:val="00CC6763"/>
    <w:rsid w:val="00CC699C"/>
    <w:rsid w:val="00CC6CEB"/>
    <w:rsid w:val="00CC71CB"/>
    <w:rsid w:val="00CC734D"/>
    <w:rsid w:val="00CC74FD"/>
    <w:rsid w:val="00CC7542"/>
    <w:rsid w:val="00CC769A"/>
    <w:rsid w:val="00CC780A"/>
    <w:rsid w:val="00CC7813"/>
    <w:rsid w:val="00CC7ACA"/>
    <w:rsid w:val="00CC7D29"/>
    <w:rsid w:val="00CC7E8B"/>
    <w:rsid w:val="00CD001A"/>
    <w:rsid w:val="00CD009E"/>
    <w:rsid w:val="00CD00A8"/>
    <w:rsid w:val="00CD02DC"/>
    <w:rsid w:val="00CD0351"/>
    <w:rsid w:val="00CD0989"/>
    <w:rsid w:val="00CD0AEA"/>
    <w:rsid w:val="00CD0F55"/>
    <w:rsid w:val="00CD1082"/>
    <w:rsid w:val="00CD10A8"/>
    <w:rsid w:val="00CD12CC"/>
    <w:rsid w:val="00CD12DC"/>
    <w:rsid w:val="00CD15FC"/>
    <w:rsid w:val="00CD173C"/>
    <w:rsid w:val="00CD1B9A"/>
    <w:rsid w:val="00CD1E7D"/>
    <w:rsid w:val="00CD21EC"/>
    <w:rsid w:val="00CD222E"/>
    <w:rsid w:val="00CD227E"/>
    <w:rsid w:val="00CD229A"/>
    <w:rsid w:val="00CD23E0"/>
    <w:rsid w:val="00CD24AA"/>
    <w:rsid w:val="00CD263E"/>
    <w:rsid w:val="00CD272C"/>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10F"/>
    <w:rsid w:val="00CD445C"/>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A5C"/>
    <w:rsid w:val="00CD5B99"/>
    <w:rsid w:val="00CD5C88"/>
    <w:rsid w:val="00CD620A"/>
    <w:rsid w:val="00CD69E7"/>
    <w:rsid w:val="00CD6A76"/>
    <w:rsid w:val="00CD6D39"/>
    <w:rsid w:val="00CD6EAC"/>
    <w:rsid w:val="00CD6F01"/>
    <w:rsid w:val="00CD73DB"/>
    <w:rsid w:val="00CD7575"/>
    <w:rsid w:val="00CD767C"/>
    <w:rsid w:val="00CD7F16"/>
    <w:rsid w:val="00CE0296"/>
    <w:rsid w:val="00CE0318"/>
    <w:rsid w:val="00CE03FE"/>
    <w:rsid w:val="00CE099E"/>
    <w:rsid w:val="00CE0B02"/>
    <w:rsid w:val="00CE0C3C"/>
    <w:rsid w:val="00CE0DED"/>
    <w:rsid w:val="00CE0FA8"/>
    <w:rsid w:val="00CE1767"/>
    <w:rsid w:val="00CE1860"/>
    <w:rsid w:val="00CE1B9A"/>
    <w:rsid w:val="00CE1D2D"/>
    <w:rsid w:val="00CE1F90"/>
    <w:rsid w:val="00CE2209"/>
    <w:rsid w:val="00CE222E"/>
    <w:rsid w:val="00CE2560"/>
    <w:rsid w:val="00CE26B4"/>
    <w:rsid w:val="00CE278A"/>
    <w:rsid w:val="00CE2C72"/>
    <w:rsid w:val="00CE2C9E"/>
    <w:rsid w:val="00CE2EA7"/>
    <w:rsid w:val="00CE339D"/>
    <w:rsid w:val="00CE347A"/>
    <w:rsid w:val="00CE34D3"/>
    <w:rsid w:val="00CE352F"/>
    <w:rsid w:val="00CE36FE"/>
    <w:rsid w:val="00CE37A0"/>
    <w:rsid w:val="00CE38C8"/>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37B"/>
    <w:rsid w:val="00CE641D"/>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0C9C"/>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219"/>
    <w:rsid w:val="00CF44C8"/>
    <w:rsid w:val="00CF4656"/>
    <w:rsid w:val="00CF4FA6"/>
    <w:rsid w:val="00CF5018"/>
    <w:rsid w:val="00CF5257"/>
    <w:rsid w:val="00CF52CF"/>
    <w:rsid w:val="00CF53CD"/>
    <w:rsid w:val="00CF5502"/>
    <w:rsid w:val="00CF55E0"/>
    <w:rsid w:val="00CF56F9"/>
    <w:rsid w:val="00CF5739"/>
    <w:rsid w:val="00CF5772"/>
    <w:rsid w:val="00CF59FB"/>
    <w:rsid w:val="00CF5DBF"/>
    <w:rsid w:val="00CF5EEA"/>
    <w:rsid w:val="00CF60CE"/>
    <w:rsid w:val="00CF62E7"/>
    <w:rsid w:val="00CF635E"/>
    <w:rsid w:val="00CF63C0"/>
    <w:rsid w:val="00CF660A"/>
    <w:rsid w:val="00CF669A"/>
    <w:rsid w:val="00CF66A1"/>
    <w:rsid w:val="00CF7036"/>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BD1"/>
    <w:rsid w:val="00D02C48"/>
    <w:rsid w:val="00D02E63"/>
    <w:rsid w:val="00D02E8D"/>
    <w:rsid w:val="00D02FBF"/>
    <w:rsid w:val="00D03384"/>
    <w:rsid w:val="00D036AA"/>
    <w:rsid w:val="00D037CD"/>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3FC"/>
    <w:rsid w:val="00D0652C"/>
    <w:rsid w:val="00D06785"/>
    <w:rsid w:val="00D067B2"/>
    <w:rsid w:val="00D06A3B"/>
    <w:rsid w:val="00D06C03"/>
    <w:rsid w:val="00D06ED5"/>
    <w:rsid w:val="00D06EED"/>
    <w:rsid w:val="00D0734A"/>
    <w:rsid w:val="00D0734B"/>
    <w:rsid w:val="00D073A2"/>
    <w:rsid w:val="00D0763B"/>
    <w:rsid w:val="00D07EB3"/>
    <w:rsid w:val="00D1008B"/>
    <w:rsid w:val="00D10096"/>
    <w:rsid w:val="00D10632"/>
    <w:rsid w:val="00D106A0"/>
    <w:rsid w:val="00D10784"/>
    <w:rsid w:val="00D1090B"/>
    <w:rsid w:val="00D10D36"/>
    <w:rsid w:val="00D10D3B"/>
    <w:rsid w:val="00D10DD2"/>
    <w:rsid w:val="00D10EEB"/>
    <w:rsid w:val="00D10FBC"/>
    <w:rsid w:val="00D111D2"/>
    <w:rsid w:val="00D11B4C"/>
    <w:rsid w:val="00D11BA8"/>
    <w:rsid w:val="00D11D3E"/>
    <w:rsid w:val="00D11EA1"/>
    <w:rsid w:val="00D11F1D"/>
    <w:rsid w:val="00D11F7B"/>
    <w:rsid w:val="00D11FA9"/>
    <w:rsid w:val="00D1217D"/>
    <w:rsid w:val="00D1223A"/>
    <w:rsid w:val="00D1226C"/>
    <w:rsid w:val="00D123EE"/>
    <w:rsid w:val="00D12403"/>
    <w:rsid w:val="00D1250A"/>
    <w:rsid w:val="00D125E1"/>
    <w:rsid w:val="00D1262D"/>
    <w:rsid w:val="00D1276C"/>
    <w:rsid w:val="00D127D3"/>
    <w:rsid w:val="00D12999"/>
    <w:rsid w:val="00D12D74"/>
    <w:rsid w:val="00D12F06"/>
    <w:rsid w:val="00D12F2B"/>
    <w:rsid w:val="00D12FB8"/>
    <w:rsid w:val="00D12FFF"/>
    <w:rsid w:val="00D131BE"/>
    <w:rsid w:val="00D1331E"/>
    <w:rsid w:val="00D1340B"/>
    <w:rsid w:val="00D1349E"/>
    <w:rsid w:val="00D134A3"/>
    <w:rsid w:val="00D13852"/>
    <w:rsid w:val="00D13863"/>
    <w:rsid w:val="00D13BD5"/>
    <w:rsid w:val="00D13D5B"/>
    <w:rsid w:val="00D13FC6"/>
    <w:rsid w:val="00D14453"/>
    <w:rsid w:val="00D14564"/>
    <w:rsid w:val="00D14879"/>
    <w:rsid w:val="00D14B41"/>
    <w:rsid w:val="00D14B54"/>
    <w:rsid w:val="00D14CF3"/>
    <w:rsid w:val="00D14E2E"/>
    <w:rsid w:val="00D1520A"/>
    <w:rsid w:val="00D1542D"/>
    <w:rsid w:val="00D15649"/>
    <w:rsid w:val="00D1577A"/>
    <w:rsid w:val="00D15C80"/>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01F"/>
    <w:rsid w:val="00D23286"/>
    <w:rsid w:val="00D23416"/>
    <w:rsid w:val="00D236C2"/>
    <w:rsid w:val="00D238CB"/>
    <w:rsid w:val="00D238D9"/>
    <w:rsid w:val="00D238FA"/>
    <w:rsid w:val="00D2391D"/>
    <w:rsid w:val="00D23C54"/>
    <w:rsid w:val="00D23CF1"/>
    <w:rsid w:val="00D23F9C"/>
    <w:rsid w:val="00D24196"/>
    <w:rsid w:val="00D241E2"/>
    <w:rsid w:val="00D24245"/>
    <w:rsid w:val="00D24784"/>
    <w:rsid w:val="00D248A2"/>
    <w:rsid w:val="00D248DB"/>
    <w:rsid w:val="00D24B79"/>
    <w:rsid w:val="00D24BAD"/>
    <w:rsid w:val="00D24BD6"/>
    <w:rsid w:val="00D24CF9"/>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CEA"/>
    <w:rsid w:val="00D26D28"/>
    <w:rsid w:val="00D27362"/>
    <w:rsid w:val="00D27423"/>
    <w:rsid w:val="00D27428"/>
    <w:rsid w:val="00D274B4"/>
    <w:rsid w:val="00D278A2"/>
    <w:rsid w:val="00D2796E"/>
    <w:rsid w:val="00D279E0"/>
    <w:rsid w:val="00D27D25"/>
    <w:rsid w:val="00D27D58"/>
    <w:rsid w:val="00D27FC8"/>
    <w:rsid w:val="00D3013A"/>
    <w:rsid w:val="00D30348"/>
    <w:rsid w:val="00D3057A"/>
    <w:rsid w:val="00D305D6"/>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4A"/>
    <w:rsid w:val="00D33C96"/>
    <w:rsid w:val="00D341CB"/>
    <w:rsid w:val="00D342A1"/>
    <w:rsid w:val="00D3431B"/>
    <w:rsid w:val="00D34C9C"/>
    <w:rsid w:val="00D34F66"/>
    <w:rsid w:val="00D35333"/>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72D"/>
    <w:rsid w:val="00D36DF4"/>
    <w:rsid w:val="00D36E5C"/>
    <w:rsid w:val="00D36F82"/>
    <w:rsid w:val="00D3727B"/>
    <w:rsid w:val="00D373F2"/>
    <w:rsid w:val="00D376B7"/>
    <w:rsid w:val="00D3793B"/>
    <w:rsid w:val="00D379A6"/>
    <w:rsid w:val="00D37A0F"/>
    <w:rsid w:val="00D37EC3"/>
    <w:rsid w:val="00D37FF0"/>
    <w:rsid w:val="00D40246"/>
    <w:rsid w:val="00D403B4"/>
    <w:rsid w:val="00D403BF"/>
    <w:rsid w:val="00D40B51"/>
    <w:rsid w:val="00D40CD6"/>
    <w:rsid w:val="00D40E05"/>
    <w:rsid w:val="00D41072"/>
    <w:rsid w:val="00D4108F"/>
    <w:rsid w:val="00D410DF"/>
    <w:rsid w:val="00D410E6"/>
    <w:rsid w:val="00D413F9"/>
    <w:rsid w:val="00D4168F"/>
    <w:rsid w:val="00D41691"/>
    <w:rsid w:val="00D418E0"/>
    <w:rsid w:val="00D4194B"/>
    <w:rsid w:val="00D419E2"/>
    <w:rsid w:val="00D419F8"/>
    <w:rsid w:val="00D41B77"/>
    <w:rsid w:val="00D41DC9"/>
    <w:rsid w:val="00D4205D"/>
    <w:rsid w:val="00D420B7"/>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75F"/>
    <w:rsid w:val="00D447CB"/>
    <w:rsid w:val="00D44D18"/>
    <w:rsid w:val="00D4510A"/>
    <w:rsid w:val="00D4514A"/>
    <w:rsid w:val="00D4528E"/>
    <w:rsid w:val="00D45333"/>
    <w:rsid w:val="00D454C9"/>
    <w:rsid w:val="00D45541"/>
    <w:rsid w:val="00D45567"/>
    <w:rsid w:val="00D45949"/>
    <w:rsid w:val="00D45979"/>
    <w:rsid w:val="00D45A6D"/>
    <w:rsid w:val="00D45A7A"/>
    <w:rsid w:val="00D45A89"/>
    <w:rsid w:val="00D45AED"/>
    <w:rsid w:val="00D45EC8"/>
    <w:rsid w:val="00D464F3"/>
    <w:rsid w:val="00D4661C"/>
    <w:rsid w:val="00D466C6"/>
    <w:rsid w:val="00D46875"/>
    <w:rsid w:val="00D46AF0"/>
    <w:rsid w:val="00D46C04"/>
    <w:rsid w:val="00D46C89"/>
    <w:rsid w:val="00D47101"/>
    <w:rsid w:val="00D47755"/>
    <w:rsid w:val="00D4791C"/>
    <w:rsid w:val="00D479F7"/>
    <w:rsid w:val="00D47B6E"/>
    <w:rsid w:val="00D47D59"/>
    <w:rsid w:val="00D47DCD"/>
    <w:rsid w:val="00D47F5F"/>
    <w:rsid w:val="00D502E1"/>
    <w:rsid w:val="00D5044A"/>
    <w:rsid w:val="00D50805"/>
    <w:rsid w:val="00D50820"/>
    <w:rsid w:val="00D509E9"/>
    <w:rsid w:val="00D50ADB"/>
    <w:rsid w:val="00D50E0F"/>
    <w:rsid w:val="00D50E2C"/>
    <w:rsid w:val="00D50F79"/>
    <w:rsid w:val="00D510E8"/>
    <w:rsid w:val="00D512E5"/>
    <w:rsid w:val="00D513FC"/>
    <w:rsid w:val="00D514FF"/>
    <w:rsid w:val="00D51E5C"/>
    <w:rsid w:val="00D5201B"/>
    <w:rsid w:val="00D520B1"/>
    <w:rsid w:val="00D52174"/>
    <w:rsid w:val="00D522C6"/>
    <w:rsid w:val="00D522EC"/>
    <w:rsid w:val="00D5240E"/>
    <w:rsid w:val="00D52643"/>
    <w:rsid w:val="00D5269C"/>
    <w:rsid w:val="00D52B21"/>
    <w:rsid w:val="00D52EC1"/>
    <w:rsid w:val="00D5311C"/>
    <w:rsid w:val="00D533C3"/>
    <w:rsid w:val="00D534A9"/>
    <w:rsid w:val="00D53605"/>
    <w:rsid w:val="00D53633"/>
    <w:rsid w:val="00D536B9"/>
    <w:rsid w:val="00D53823"/>
    <w:rsid w:val="00D5393A"/>
    <w:rsid w:val="00D5396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15"/>
    <w:rsid w:val="00D5527B"/>
    <w:rsid w:val="00D55285"/>
    <w:rsid w:val="00D554A8"/>
    <w:rsid w:val="00D55619"/>
    <w:rsid w:val="00D5577E"/>
    <w:rsid w:val="00D559C0"/>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86C"/>
    <w:rsid w:val="00D60B11"/>
    <w:rsid w:val="00D60CBF"/>
    <w:rsid w:val="00D60CD3"/>
    <w:rsid w:val="00D610E6"/>
    <w:rsid w:val="00D61134"/>
    <w:rsid w:val="00D61600"/>
    <w:rsid w:val="00D61614"/>
    <w:rsid w:val="00D6171D"/>
    <w:rsid w:val="00D61821"/>
    <w:rsid w:val="00D6184A"/>
    <w:rsid w:val="00D6186E"/>
    <w:rsid w:val="00D61BAC"/>
    <w:rsid w:val="00D61C06"/>
    <w:rsid w:val="00D61CF1"/>
    <w:rsid w:val="00D622A7"/>
    <w:rsid w:val="00D623C7"/>
    <w:rsid w:val="00D624A2"/>
    <w:rsid w:val="00D6266A"/>
    <w:rsid w:val="00D62689"/>
    <w:rsid w:val="00D627DA"/>
    <w:rsid w:val="00D62858"/>
    <w:rsid w:val="00D6287C"/>
    <w:rsid w:val="00D629F4"/>
    <w:rsid w:val="00D62B65"/>
    <w:rsid w:val="00D62BF2"/>
    <w:rsid w:val="00D62E02"/>
    <w:rsid w:val="00D63089"/>
    <w:rsid w:val="00D6318E"/>
    <w:rsid w:val="00D631D4"/>
    <w:rsid w:val="00D6331E"/>
    <w:rsid w:val="00D63324"/>
    <w:rsid w:val="00D63329"/>
    <w:rsid w:val="00D6377C"/>
    <w:rsid w:val="00D637E1"/>
    <w:rsid w:val="00D6381C"/>
    <w:rsid w:val="00D63902"/>
    <w:rsid w:val="00D63925"/>
    <w:rsid w:val="00D63AA5"/>
    <w:rsid w:val="00D63C09"/>
    <w:rsid w:val="00D63C7D"/>
    <w:rsid w:val="00D63DB7"/>
    <w:rsid w:val="00D63E54"/>
    <w:rsid w:val="00D63E7D"/>
    <w:rsid w:val="00D6403E"/>
    <w:rsid w:val="00D64142"/>
    <w:rsid w:val="00D645EC"/>
    <w:rsid w:val="00D646A9"/>
    <w:rsid w:val="00D646F4"/>
    <w:rsid w:val="00D647B8"/>
    <w:rsid w:val="00D648B8"/>
    <w:rsid w:val="00D64BE0"/>
    <w:rsid w:val="00D6530A"/>
    <w:rsid w:val="00D653FD"/>
    <w:rsid w:val="00D654C2"/>
    <w:rsid w:val="00D65554"/>
    <w:rsid w:val="00D655FD"/>
    <w:rsid w:val="00D6564E"/>
    <w:rsid w:val="00D657AA"/>
    <w:rsid w:val="00D65A30"/>
    <w:rsid w:val="00D65AC0"/>
    <w:rsid w:val="00D65C5D"/>
    <w:rsid w:val="00D65CD5"/>
    <w:rsid w:val="00D65D22"/>
    <w:rsid w:val="00D65DBB"/>
    <w:rsid w:val="00D65E0A"/>
    <w:rsid w:val="00D65F79"/>
    <w:rsid w:val="00D66259"/>
    <w:rsid w:val="00D662F5"/>
    <w:rsid w:val="00D66EE3"/>
    <w:rsid w:val="00D67254"/>
    <w:rsid w:val="00D67324"/>
    <w:rsid w:val="00D673EA"/>
    <w:rsid w:val="00D67939"/>
    <w:rsid w:val="00D679A2"/>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8D0"/>
    <w:rsid w:val="00D71BB0"/>
    <w:rsid w:val="00D71C4C"/>
    <w:rsid w:val="00D71D10"/>
    <w:rsid w:val="00D71DA0"/>
    <w:rsid w:val="00D71F28"/>
    <w:rsid w:val="00D72069"/>
    <w:rsid w:val="00D720C6"/>
    <w:rsid w:val="00D720E8"/>
    <w:rsid w:val="00D72112"/>
    <w:rsid w:val="00D722D1"/>
    <w:rsid w:val="00D724CE"/>
    <w:rsid w:val="00D72561"/>
    <w:rsid w:val="00D725A3"/>
    <w:rsid w:val="00D725D7"/>
    <w:rsid w:val="00D727AF"/>
    <w:rsid w:val="00D72B7F"/>
    <w:rsid w:val="00D72BDE"/>
    <w:rsid w:val="00D73015"/>
    <w:rsid w:val="00D7308C"/>
    <w:rsid w:val="00D731D6"/>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4DF5"/>
    <w:rsid w:val="00D74E6A"/>
    <w:rsid w:val="00D750F8"/>
    <w:rsid w:val="00D75177"/>
    <w:rsid w:val="00D7528F"/>
    <w:rsid w:val="00D752E8"/>
    <w:rsid w:val="00D75304"/>
    <w:rsid w:val="00D75566"/>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94"/>
    <w:rsid w:val="00D771AA"/>
    <w:rsid w:val="00D7724A"/>
    <w:rsid w:val="00D7764C"/>
    <w:rsid w:val="00D776DA"/>
    <w:rsid w:val="00D77781"/>
    <w:rsid w:val="00D777CF"/>
    <w:rsid w:val="00D77D28"/>
    <w:rsid w:val="00D77EF4"/>
    <w:rsid w:val="00D77EF6"/>
    <w:rsid w:val="00D801B7"/>
    <w:rsid w:val="00D80432"/>
    <w:rsid w:val="00D8056F"/>
    <w:rsid w:val="00D80697"/>
    <w:rsid w:val="00D806E4"/>
    <w:rsid w:val="00D807BB"/>
    <w:rsid w:val="00D8081D"/>
    <w:rsid w:val="00D80B51"/>
    <w:rsid w:val="00D80C62"/>
    <w:rsid w:val="00D80C86"/>
    <w:rsid w:val="00D80D5E"/>
    <w:rsid w:val="00D80DA2"/>
    <w:rsid w:val="00D80E22"/>
    <w:rsid w:val="00D81231"/>
    <w:rsid w:val="00D8183C"/>
    <w:rsid w:val="00D818A4"/>
    <w:rsid w:val="00D8242C"/>
    <w:rsid w:val="00D827D1"/>
    <w:rsid w:val="00D827F2"/>
    <w:rsid w:val="00D828A6"/>
    <w:rsid w:val="00D832B9"/>
    <w:rsid w:val="00D83398"/>
    <w:rsid w:val="00D83410"/>
    <w:rsid w:val="00D8348E"/>
    <w:rsid w:val="00D83660"/>
    <w:rsid w:val="00D836EF"/>
    <w:rsid w:val="00D8389F"/>
    <w:rsid w:val="00D8398B"/>
    <w:rsid w:val="00D839EE"/>
    <w:rsid w:val="00D841A8"/>
    <w:rsid w:val="00D8469F"/>
    <w:rsid w:val="00D846E7"/>
    <w:rsid w:val="00D8485A"/>
    <w:rsid w:val="00D84AB7"/>
    <w:rsid w:val="00D84CF0"/>
    <w:rsid w:val="00D84D6A"/>
    <w:rsid w:val="00D84DD6"/>
    <w:rsid w:val="00D8533B"/>
    <w:rsid w:val="00D855CF"/>
    <w:rsid w:val="00D85876"/>
    <w:rsid w:val="00D85942"/>
    <w:rsid w:val="00D85CB6"/>
    <w:rsid w:val="00D8615E"/>
    <w:rsid w:val="00D86240"/>
    <w:rsid w:val="00D8627B"/>
    <w:rsid w:val="00D8653D"/>
    <w:rsid w:val="00D86588"/>
    <w:rsid w:val="00D86907"/>
    <w:rsid w:val="00D86A8A"/>
    <w:rsid w:val="00D86D62"/>
    <w:rsid w:val="00D86EC6"/>
    <w:rsid w:val="00D86F1C"/>
    <w:rsid w:val="00D86FFA"/>
    <w:rsid w:val="00D870D2"/>
    <w:rsid w:val="00D87219"/>
    <w:rsid w:val="00D8736B"/>
    <w:rsid w:val="00D87463"/>
    <w:rsid w:val="00D879FB"/>
    <w:rsid w:val="00D87BB6"/>
    <w:rsid w:val="00D87CC8"/>
    <w:rsid w:val="00D87CCC"/>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B53"/>
    <w:rsid w:val="00D93C24"/>
    <w:rsid w:val="00D94234"/>
    <w:rsid w:val="00D94689"/>
    <w:rsid w:val="00D948A7"/>
    <w:rsid w:val="00D94B94"/>
    <w:rsid w:val="00D94DE7"/>
    <w:rsid w:val="00D950A6"/>
    <w:rsid w:val="00D952DD"/>
    <w:rsid w:val="00D95787"/>
    <w:rsid w:val="00D9585A"/>
    <w:rsid w:val="00D958DF"/>
    <w:rsid w:val="00D9591B"/>
    <w:rsid w:val="00D959AF"/>
    <w:rsid w:val="00D95B05"/>
    <w:rsid w:val="00D95C5C"/>
    <w:rsid w:val="00D95CDE"/>
    <w:rsid w:val="00D95E0F"/>
    <w:rsid w:val="00D96183"/>
    <w:rsid w:val="00D961EC"/>
    <w:rsid w:val="00D96346"/>
    <w:rsid w:val="00D966C5"/>
    <w:rsid w:val="00D96872"/>
    <w:rsid w:val="00D968CE"/>
    <w:rsid w:val="00D96956"/>
    <w:rsid w:val="00D96A13"/>
    <w:rsid w:val="00D96B03"/>
    <w:rsid w:val="00D96BCE"/>
    <w:rsid w:val="00D96DD6"/>
    <w:rsid w:val="00D96E60"/>
    <w:rsid w:val="00D96E8B"/>
    <w:rsid w:val="00D96F24"/>
    <w:rsid w:val="00D96FAF"/>
    <w:rsid w:val="00D9704D"/>
    <w:rsid w:val="00D97066"/>
    <w:rsid w:val="00D97163"/>
    <w:rsid w:val="00D9729F"/>
    <w:rsid w:val="00D97654"/>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835"/>
    <w:rsid w:val="00DA2B9E"/>
    <w:rsid w:val="00DA2D8E"/>
    <w:rsid w:val="00DA2E17"/>
    <w:rsid w:val="00DA2E2C"/>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2B8"/>
    <w:rsid w:val="00DA53BC"/>
    <w:rsid w:val="00DA53CC"/>
    <w:rsid w:val="00DA5593"/>
    <w:rsid w:val="00DA55FB"/>
    <w:rsid w:val="00DA58FB"/>
    <w:rsid w:val="00DA59BE"/>
    <w:rsid w:val="00DA5A6E"/>
    <w:rsid w:val="00DA5A95"/>
    <w:rsid w:val="00DA5D0E"/>
    <w:rsid w:val="00DA5D33"/>
    <w:rsid w:val="00DA5E8D"/>
    <w:rsid w:val="00DA6059"/>
    <w:rsid w:val="00DA609E"/>
    <w:rsid w:val="00DA651E"/>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A8"/>
    <w:rsid w:val="00DB0CDD"/>
    <w:rsid w:val="00DB0D8F"/>
    <w:rsid w:val="00DB1192"/>
    <w:rsid w:val="00DB12C2"/>
    <w:rsid w:val="00DB13ED"/>
    <w:rsid w:val="00DB13F3"/>
    <w:rsid w:val="00DB1666"/>
    <w:rsid w:val="00DB1B8E"/>
    <w:rsid w:val="00DB1C7C"/>
    <w:rsid w:val="00DB1CF8"/>
    <w:rsid w:val="00DB1D67"/>
    <w:rsid w:val="00DB1D97"/>
    <w:rsid w:val="00DB1E5E"/>
    <w:rsid w:val="00DB1F48"/>
    <w:rsid w:val="00DB21EB"/>
    <w:rsid w:val="00DB2247"/>
    <w:rsid w:val="00DB243C"/>
    <w:rsid w:val="00DB25EC"/>
    <w:rsid w:val="00DB2686"/>
    <w:rsid w:val="00DB341E"/>
    <w:rsid w:val="00DB34E0"/>
    <w:rsid w:val="00DB3623"/>
    <w:rsid w:val="00DB367D"/>
    <w:rsid w:val="00DB399C"/>
    <w:rsid w:val="00DB3C3F"/>
    <w:rsid w:val="00DB41C2"/>
    <w:rsid w:val="00DB4261"/>
    <w:rsid w:val="00DB472B"/>
    <w:rsid w:val="00DB47E8"/>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D76"/>
    <w:rsid w:val="00DB7116"/>
    <w:rsid w:val="00DB7125"/>
    <w:rsid w:val="00DB71A1"/>
    <w:rsid w:val="00DB745A"/>
    <w:rsid w:val="00DB7597"/>
    <w:rsid w:val="00DB765A"/>
    <w:rsid w:val="00DB77DD"/>
    <w:rsid w:val="00DB790E"/>
    <w:rsid w:val="00DB7B22"/>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261"/>
    <w:rsid w:val="00DC3406"/>
    <w:rsid w:val="00DC3536"/>
    <w:rsid w:val="00DC38A7"/>
    <w:rsid w:val="00DC3AE7"/>
    <w:rsid w:val="00DC400F"/>
    <w:rsid w:val="00DC4088"/>
    <w:rsid w:val="00DC4174"/>
    <w:rsid w:val="00DC4572"/>
    <w:rsid w:val="00DC49D5"/>
    <w:rsid w:val="00DC4AFB"/>
    <w:rsid w:val="00DC4BE5"/>
    <w:rsid w:val="00DC4CA1"/>
    <w:rsid w:val="00DC4F15"/>
    <w:rsid w:val="00DC4F38"/>
    <w:rsid w:val="00DC4F9B"/>
    <w:rsid w:val="00DC500E"/>
    <w:rsid w:val="00DC53E8"/>
    <w:rsid w:val="00DC54CE"/>
    <w:rsid w:val="00DC5651"/>
    <w:rsid w:val="00DC5BF7"/>
    <w:rsid w:val="00DC5C3B"/>
    <w:rsid w:val="00DC5D7B"/>
    <w:rsid w:val="00DC5ED1"/>
    <w:rsid w:val="00DC6038"/>
    <w:rsid w:val="00DC618E"/>
    <w:rsid w:val="00DC665F"/>
    <w:rsid w:val="00DC681A"/>
    <w:rsid w:val="00DC6B57"/>
    <w:rsid w:val="00DC6CC8"/>
    <w:rsid w:val="00DC6D51"/>
    <w:rsid w:val="00DC6DBC"/>
    <w:rsid w:val="00DC6F41"/>
    <w:rsid w:val="00DC7238"/>
    <w:rsid w:val="00DC7489"/>
    <w:rsid w:val="00DC7553"/>
    <w:rsid w:val="00DC766F"/>
    <w:rsid w:val="00DC76B5"/>
    <w:rsid w:val="00DC7888"/>
    <w:rsid w:val="00DC78B7"/>
    <w:rsid w:val="00DC7921"/>
    <w:rsid w:val="00DC7B36"/>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B30"/>
    <w:rsid w:val="00DD1CF4"/>
    <w:rsid w:val="00DD1ECF"/>
    <w:rsid w:val="00DD1FDF"/>
    <w:rsid w:val="00DD2007"/>
    <w:rsid w:val="00DD2405"/>
    <w:rsid w:val="00DD242E"/>
    <w:rsid w:val="00DD2574"/>
    <w:rsid w:val="00DD25D2"/>
    <w:rsid w:val="00DD2608"/>
    <w:rsid w:val="00DD2791"/>
    <w:rsid w:val="00DD27DA"/>
    <w:rsid w:val="00DD2925"/>
    <w:rsid w:val="00DD2B15"/>
    <w:rsid w:val="00DD2B95"/>
    <w:rsid w:val="00DD2DA0"/>
    <w:rsid w:val="00DD2E3D"/>
    <w:rsid w:val="00DD2F9A"/>
    <w:rsid w:val="00DD3334"/>
    <w:rsid w:val="00DD36AA"/>
    <w:rsid w:val="00DD37A4"/>
    <w:rsid w:val="00DD37C0"/>
    <w:rsid w:val="00DD39AA"/>
    <w:rsid w:val="00DD3D7B"/>
    <w:rsid w:val="00DD40A6"/>
    <w:rsid w:val="00DD40C0"/>
    <w:rsid w:val="00DD4281"/>
    <w:rsid w:val="00DD4321"/>
    <w:rsid w:val="00DD4406"/>
    <w:rsid w:val="00DD449F"/>
    <w:rsid w:val="00DD44EF"/>
    <w:rsid w:val="00DD453C"/>
    <w:rsid w:val="00DD46FA"/>
    <w:rsid w:val="00DD47EE"/>
    <w:rsid w:val="00DD4815"/>
    <w:rsid w:val="00DD4E56"/>
    <w:rsid w:val="00DD501C"/>
    <w:rsid w:val="00DD501E"/>
    <w:rsid w:val="00DD50FA"/>
    <w:rsid w:val="00DD5262"/>
    <w:rsid w:val="00DD52A7"/>
    <w:rsid w:val="00DD531D"/>
    <w:rsid w:val="00DD56B9"/>
    <w:rsid w:val="00DD588A"/>
    <w:rsid w:val="00DD5955"/>
    <w:rsid w:val="00DD59A4"/>
    <w:rsid w:val="00DD5A0C"/>
    <w:rsid w:val="00DD5BA4"/>
    <w:rsid w:val="00DD5BB8"/>
    <w:rsid w:val="00DD5D7A"/>
    <w:rsid w:val="00DD5D9E"/>
    <w:rsid w:val="00DD6558"/>
    <w:rsid w:val="00DD6731"/>
    <w:rsid w:val="00DD6A2A"/>
    <w:rsid w:val="00DD6CFF"/>
    <w:rsid w:val="00DD735E"/>
    <w:rsid w:val="00DD7362"/>
    <w:rsid w:val="00DD739E"/>
    <w:rsid w:val="00DD74A1"/>
    <w:rsid w:val="00DD74C3"/>
    <w:rsid w:val="00DD7674"/>
    <w:rsid w:val="00DD782E"/>
    <w:rsid w:val="00DD7873"/>
    <w:rsid w:val="00DD7968"/>
    <w:rsid w:val="00DD7995"/>
    <w:rsid w:val="00DD7A1C"/>
    <w:rsid w:val="00DD7CDE"/>
    <w:rsid w:val="00DD7E87"/>
    <w:rsid w:val="00DD7F13"/>
    <w:rsid w:val="00DD7F56"/>
    <w:rsid w:val="00DE00CF"/>
    <w:rsid w:val="00DE017C"/>
    <w:rsid w:val="00DE0183"/>
    <w:rsid w:val="00DE03B8"/>
    <w:rsid w:val="00DE06F3"/>
    <w:rsid w:val="00DE07E8"/>
    <w:rsid w:val="00DE0B69"/>
    <w:rsid w:val="00DE0DF4"/>
    <w:rsid w:val="00DE0E10"/>
    <w:rsid w:val="00DE0E7E"/>
    <w:rsid w:val="00DE1012"/>
    <w:rsid w:val="00DE10A1"/>
    <w:rsid w:val="00DE10E3"/>
    <w:rsid w:val="00DE10F5"/>
    <w:rsid w:val="00DE1692"/>
    <w:rsid w:val="00DE18EC"/>
    <w:rsid w:val="00DE1C22"/>
    <w:rsid w:val="00DE23FF"/>
    <w:rsid w:val="00DE249D"/>
    <w:rsid w:val="00DE2804"/>
    <w:rsid w:val="00DE2AC1"/>
    <w:rsid w:val="00DE2CEF"/>
    <w:rsid w:val="00DE2D73"/>
    <w:rsid w:val="00DE2F65"/>
    <w:rsid w:val="00DE31EA"/>
    <w:rsid w:val="00DE3265"/>
    <w:rsid w:val="00DE35D3"/>
    <w:rsid w:val="00DE36D4"/>
    <w:rsid w:val="00DE38E4"/>
    <w:rsid w:val="00DE3A0B"/>
    <w:rsid w:val="00DE3F06"/>
    <w:rsid w:val="00DE4552"/>
    <w:rsid w:val="00DE4720"/>
    <w:rsid w:val="00DE48A4"/>
    <w:rsid w:val="00DE4B9F"/>
    <w:rsid w:val="00DE4C0C"/>
    <w:rsid w:val="00DE4EA3"/>
    <w:rsid w:val="00DE502D"/>
    <w:rsid w:val="00DE50E4"/>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F05C8"/>
    <w:rsid w:val="00DF0768"/>
    <w:rsid w:val="00DF0C29"/>
    <w:rsid w:val="00DF0C96"/>
    <w:rsid w:val="00DF0FD9"/>
    <w:rsid w:val="00DF15B0"/>
    <w:rsid w:val="00DF1795"/>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8A0"/>
    <w:rsid w:val="00DF3BA0"/>
    <w:rsid w:val="00DF3BB3"/>
    <w:rsid w:val="00DF3E29"/>
    <w:rsid w:val="00DF3ED6"/>
    <w:rsid w:val="00DF4065"/>
    <w:rsid w:val="00DF40E0"/>
    <w:rsid w:val="00DF4192"/>
    <w:rsid w:val="00DF41CC"/>
    <w:rsid w:val="00DF430A"/>
    <w:rsid w:val="00DF45C8"/>
    <w:rsid w:val="00DF4B52"/>
    <w:rsid w:val="00DF4C6D"/>
    <w:rsid w:val="00DF4E1B"/>
    <w:rsid w:val="00DF5018"/>
    <w:rsid w:val="00DF52B2"/>
    <w:rsid w:val="00DF53CC"/>
    <w:rsid w:val="00DF53D0"/>
    <w:rsid w:val="00DF5519"/>
    <w:rsid w:val="00DF554B"/>
    <w:rsid w:val="00DF58A8"/>
    <w:rsid w:val="00DF5B46"/>
    <w:rsid w:val="00DF5BD7"/>
    <w:rsid w:val="00DF64CA"/>
    <w:rsid w:val="00DF659E"/>
    <w:rsid w:val="00DF6C9D"/>
    <w:rsid w:val="00DF6E5D"/>
    <w:rsid w:val="00DF70EF"/>
    <w:rsid w:val="00DF7250"/>
    <w:rsid w:val="00DF72CD"/>
    <w:rsid w:val="00DF743C"/>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40"/>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3F34"/>
    <w:rsid w:val="00E045C3"/>
    <w:rsid w:val="00E048FF"/>
    <w:rsid w:val="00E04AB7"/>
    <w:rsid w:val="00E05064"/>
    <w:rsid w:val="00E050EF"/>
    <w:rsid w:val="00E05400"/>
    <w:rsid w:val="00E0556C"/>
    <w:rsid w:val="00E055B0"/>
    <w:rsid w:val="00E05789"/>
    <w:rsid w:val="00E05A4D"/>
    <w:rsid w:val="00E05AC4"/>
    <w:rsid w:val="00E05E9E"/>
    <w:rsid w:val="00E06073"/>
    <w:rsid w:val="00E06096"/>
    <w:rsid w:val="00E060E3"/>
    <w:rsid w:val="00E06402"/>
    <w:rsid w:val="00E064D9"/>
    <w:rsid w:val="00E06708"/>
    <w:rsid w:val="00E06B00"/>
    <w:rsid w:val="00E06F85"/>
    <w:rsid w:val="00E07354"/>
    <w:rsid w:val="00E074FB"/>
    <w:rsid w:val="00E076FC"/>
    <w:rsid w:val="00E07897"/>
    <w:rsid w:val="00E07ACC"/>
    <w:rsid w:val="00E07B1B"/>
    <w:rsid w:val="00E07C91"/>
    <w:rsid w:val="00E07D0C"/>
    <w:rsid w:val="00E1056D"/>
    <w:rsid w:val="00E10788"/>
    <w:rsid w:val="00E109C4"/>
    <w:rsid w:val="00E10C6A"/>
    <w:rsid w:val="00E10D28"/>
    <w:rsid w:val="00E10F98"/>
    <w:rsid w:val="00E110A4"/>
    <w:rsid w:val="00E11213"/>
    <w:rsid w:val="00E115D7"/>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8D8"/>
    <w:rsid w:val="00E13A86"/>
    <w:rsid w:val="00E13C9E"/>
    <w:rsid w:val="00E13DFD"/>
    <w:rsid w:val="00E13E06"/>
    <w:rsid w:val="00E140C2"/>
    <w:rsid w:val="00E14237"/>
    <w:rsid w:val="00E1428C"/>
    <w:rsid w:val="00E14756"/>
    <w:rsid w:val="00E14C91"/>
    <w:rsid w:val="00E14F41"/>
    <w:rsid w:val="00E1562D"/>
    <w:rsid w:val="00E1598D"/>
    <w:rsid w:val="00E159AC"/>
    <w:rsid w:val="00E16030"/>
    <w:rsid w:val="00E163CF"/>
    <w:rsid w:val="00E16862"/>
    <w:rsid w:val="00E16868"/>
    <w:rsid w:val="00E16869"/>
    <w:rsid w:val="00E16D8A"/>
    <w:rsid w:val="00E16E34"/>
    <w:rsid w:val="00E16EEE"/>
    <w:rsid w:val="00E173C1"/>
    <w:rsid w:val="00E174E6"/>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6FE"/>
    <w:rsid w:val="00E219AB"/>
    <w:rsid w:val="00E21BB5"/>
    <w:rsid w:val="00E21D2F"/>
    <w:rsid w:val="00E21DA1"/>
    <w:rsid w:val="00E22052"/>
    <w:rsid w:val="00E222A0"/>
    <w:rsid w:val="00E222FD"/>
    <w:rsid w:val="00E225C4"/>
    <w:rsid w:val="00E22624"/>
    <w:rsid w:val="00E22FD9"/>
    <w:rsid w:val="00E22FEC"/>
    <w:rsid w:val="00E2326C"/>
    <w:rsid w:val="00E233C7"/>
    <w:rsid w:val="00E23528"/>
    <w:rsid w:val="00E23723"/>
    <w:rsid w:val="00E23918"/>
    <w:rsid w:val="00E23940"/>
    <w:rsid w:val="00E23B7A"/>
    <w:rsid w:val="00E23ED8"/>
    <w:rsid w:val="00E2408E"/>
    <w:rsid w:val="00E2427C"/>
    <w:rsid w:val="00E24295"/>
    <w:rsid w:val="00E242D5"/>
    <w:rsid w:val="00E242EA"/>
    <w:rsid w:val="00E24406"/>
    <w:rsid w:val="00E24649"/>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6D90"/>
    <w:rsid w:val="00E270D0"/>
    <w:rsid w:val="00E2718A"/>
    <w:rsid w:val="00E271A7"/>
    <w:rsid w:val="00E27289"/>
    <w:rsid w:val="00E27383"/>
    <w:rsid w:val="00E276B7"/>
    <w:rsid w:val="00E277D4"/>
    <w:rsid w:val="00E27B37"/>
    <w:rsid w:val="00E27BE4"/>
    <w:rsid w:val="00E27D57"/>
    <w:rsid w:val="00E27DF1"/>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71E"/>
    <w:rsid w:val="00E318F4"/>
    <w:rsid w:val="00E318F9"/>
    <w:rsid w:val="00E3198C"/>
    <w:rsid w:val="00E31995"/>
    <w:rsid w:val="00E319AE"/>
    <w:rsid w:val="00E31DAA"/>
    <w:rsid w:val="00E326A7"/>
    <w:rsid w:val="00E3275F"/>
    <w:rsid w:val="00E3279C"/>
    <w:rsid w:val="00E327F0"/>
    <w:rsid w:val="00E32B0C"/>
    <w:rsid w:val="00E32BBD"/>
    <w:rsid w:val="00E32C82"/>
    <w:rsid w:val="00E32CB2"/>
    <w:rsid w:val="00E32EC7"/>
    <w:rsid w:val="00E33065"/>
    <w:rsid w:val="00E330D5"/>
    <w:rsid w:val="00E33237"/>
    <w:rsid w:val="00E333F7"/>
    <w:rsid w:val="00E33484"/>
    <w:rsid w:val="00E335F7"/>
    <w:rsid w:val="00E3367F"/>
    <w:rsid w:val="00E33745"/>
    <w:rsid w:val="00E338E0"/>
    <w:rsid w:val="00E3409A"/>
    <w:rsid w:val="00E34475"/>
    <w:rsid w:val="00E3448C"/>
    <w:rsid w:val="00E347A5"/>
    <w:rsid w:val="00E34DFA"/>
    <w:rsid w:val="00E34F03"/>
    <w:rsid w:val="00E3516E"/>
    <w:rsid w:val="00E35233"/>
    <w:rsid w:val="00E353C2"/>
    <w:rsid w:val="00E3571D"/>
    <w:rsid w:val="00E3578F"/>
    <w:rsid w:val="00E35BB4"/>
    <w:rsid w:val="00E35C74"/>
    <w:rsid w:val="00E35D78"/>
    <w:rsid w:val="00E36081"/>
    <w:rsid w:val="00E36137"/>
    <w:rsid w:val="00E3630E"/>
    <w:rsid w:val="00E363D7"/>
    <w:rsid w:val="00E36682"/>
    <w:rsid w:val="00E36870"/>
    <w:rsid w:val="00E36894"/>
    <w:rsid w:val="00E368D0"/>
    <w:rsid w:val="00E37049"/>
    <w:rsid w:val="00E372B6"/>
    <w:rsid w:val="00E3754A"/>
    <w:rsid w:val="00E3754C"/>
    <w:rsid w:val="00E37B1A"/>
    <w:rsid w:val="00E37B6D"/>
    <w:rsid w:val="00E37D0A"/>
    <w:rsid w:val="00E37FD7"/>
    <w:rsid w:val="00E4006C"/>
    <w:rsid w:val="00E400DC"/>
    <w:rsid w:val="00E4011E"/>
    <w:rsid w:val="00E40299"/>
    <w:rsid w:val="00E405E9"/>
    <w:rsid w:val="00E40774"/>
    <w:rsid w:val="00E409A6"/>
    <w:rsid w:val="00E40B32"/>
    <w:rsid w:val="00E4118D"/>
    <w:rsid w:val="00E41208"/>
    <w:rsid w:val="00E4139D"/>
    <w:rsid w:val="00E4147A"/>
    <w:rsid w:val="00E414F4"/>
    <w:rsid w:val="00E41658"/>
    <w:rsid w:val="00E41B4A"/>
    <w:rsid w:val="00E41BF4"/>
    <w:rsid w:val="00E42457"/>
    <w:rsid w:val="00E424EE"/>
    <w:rsid w:val="00E428B1"/>
    <w:rsid w:val="00E42971"/>
    <w:rsid w:val="00E42CF4"/>
    <w:rsid w:val="00E42E09"/>
    <w:rsid w:val="00E430C6"/>
    <w:rsid w:val="00E43475"/>
    <w:rsid w:val="00E4362C"/>
    <w:rsid w:val="00E43637"/>
    <w:rsid w:val="00E43686"/>
    <w:rsid w:val="00E436CB"/>
    <w:rsid w:val="00E43729"/>
    <w:rsid w:val="00E4376E"/>
    <w:rsid w:val="00E437BD"/>
    <w:rsid w:val="00E43819"/>
    <w:rsid w:val="00E43A01"/>
    <w:rsid w:val="00E43BE1"/>
    <w:rsid w:val="00E43D20"/>
    <w:rsid w:val="00E4427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445"/>
    <w:rsid w:val="00E46553"/>
    <w:rsid w:val="00E46758"/>
    <w:rsid w:val="00E467F7"/>
    <w:rsid w:val="00E468AD"/>
    <w:rsid w:val="00E4690E"/>
    <w:rsid w:val="00E469A5"/>
    <w:rsid w:val="00E46E0C"/>
    <w:rsid w:val="00E46E74"/>
    <w:rsid w:val="00E46E7C"/>
    <w:rsid w:val="00E471F8"/>
    <w:rsid w:val="00E47207"/>
    <w:rsid w:val="00E47333"/>
    <w:rsid w:val="00E47428"/>
    <w:rsid w:val="00E476FC"/>
    <w:rsid w:val="00E477E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9AF"/>
    <w:rsid w:val="00E50BE6"/>
    <w:rsid w:val="00E50D06"/>
    <w:rsid w:val="00E50E90"/>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2FC4"/>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62"/>
    <w:rsid w:val="00E54A9B"/>
    <w:rsid w:val="00E54E0A"/>
    <w:rsid w:val="00E55056"/>
    <w:rsid w:val="00E55079"/>
    <w:rsid w:val="00E556E9"/>
    <w:rsid w:val="00E557A0"/>
    <w:rsid w:val="00E557B2"/>
    <w:rsid w:val="00E5589A"/>
    <w:rsid w:val="00E55AA5"/>
    <w:rsid w:val="00E562E2"/>
    <w:rsid w:val="00E564EC"/>
    <w:rsid w:val="00E5659C"/>
    <w:rsid w:val="00E568D0"/>
    <w:rsid w:val="00E56965"/>
    <w:rsid w:val="00E56C80"/>
    <w:rsid w:val="00E56D16"/>
    <w:rsid w:val="00E570A5"/>
    <w:rsid w:val="00E57172"/>
    <w:rsid w:val="00E5730B"/>
    <w:rsid w:val="00E5774E"/>
    <w:rsid w:val="00E577A4"/>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82F"/>
    <w:rsid w:val="00E61DC9"/>
    <w:rsid w:val="00E62006"/>
    <w:rsid w:val="00E62015"/>
    <w:rsid w:val="00E62336"/>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9BB"/>
    <w:rsid w:val="00E63A7A"/>
    <w:rsid w:val="00E63BBD"/>
    <w:rsid w:val="00E63F9C"/>
    <w:rsid w:val="00E6403D"/>
    <w:rsid w:val="00E640F5"/>
    <w:rsid w:val="00E641E4"/>
    <w:rsid w:val="00E6435F"/>
    <w:rsid w:val="00E64413"/>
    <w:rsid w:val="00E644DA"/>
    <w:rsid w:val="00E64634"/>
    <w:rsid w:val="00E64A4A"/>
    <w:rsid w:val="00E64D54"/>
    <w:rsid w:val="00E64FEE"/>
    <w:rsid w:val="00E6510E"/>
    <w:rsid w:val="00E65220"/>
    <w:rsid w:val="00E6537E"/>
    <w:rsid w:val="00E65702"/>
    <w:rsid w:val="00E65E3D"/>
    <w:rsid w:val="00E65EF6"/>
    <w:rsid w:val="00E65EFA"/>
    <w:rsid w:val="00E65EFE"/>
    <w:rsid w:val="00E65FFE"/>
    <w:rsid w:val="00E66064"/>
    <w:rsid w:val="00E66293"/>
    <w:rsid w:val="00E66479"/>
    <w:rsid w:val="00E667E3"/>
    <w:rsid w:val="00E669C1"/>
    <w:rsid w:val="00E66E5F"/>
    <w:rsid w:val="00E670A6"/>
    <w:rsid w:val="00E672C0"/>
    <w:rsid w:val="00E673CC"/>
    <w:rsid w:val="00E673DD"/>
    <w:rsid w:val="00E674AE"/>
    <w:rsid w:val="00E67716"/>
    <w:rsid w:val="00E67893"/>
    <w:rsid w:val="00E67AD0"/>
    <w:rsid w:val="00E67C1F"/>
    <w:rsid w:val="00E67CF6"/>
    <w:rsid w:val="00E67D1E"/>
    <w:rsid w:val="00E7014F"/>
    <w:rsid w:val="00E70276"/>
    <w:rsid w:val="00E703A4"/>
    <w:rsid w:val="00E705CB"/>
    <w:rsid w:val="00E705F0"/>
    <w:rsid w:val="00E70C77"/>
    <w:rsid w:val="00E70CB0"/>
    <w:rsid w:val="00E70DFF"/>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3FB0"/>
    <w:rsid w:val="00E740BE"/>
    <w:rsid w:val="00E741AD"/>
    <w:rsid w:val="00E7426C"/>
    <w:rsid w:val="00E74287"/>
    <w:rsid w:val="00E743DB"/>
    <w:rsid w:val="00E744A0"/>
    <w:rsid w:val="00E74679"/>
    <w:rsid w:val="00E74A61"/>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8CF"/>
    <w:rsid w:val="00E768DB"/>
    <w:rsid w:val="00E769E0"/>
    <w:rsid w:val="00E76A29"/>
    <w:rsid w:val="00E77248"/>
    <w:rsid w:val="00E77435"/>
    <w:rsid w:val="00E774EA"/>
    <w:rsid w:val="00E77521"/>
    <w:rsid w:val="00E77601"/>
    <w:rsid w:val="00E776BC"/>
    <w:rsid w:val="00E777D8"/>
    <w:rsid w:val="00E77821"/>
    <w:rsid w:val="00E77A94"/>
    <w:rsid w:val="00E77AF5"/>
    <w:rsid w:val="00E77D78"/>
    <w:rsid w:val="00E803F4"/>
    <w:rsid w:val="00E80409"/>
    <w:rsid w:val="00E805A8"/>
    <w:rsid w:val="00E805F0"/>
    <w:rsid w:val="00E80C1B"/>
    <w:rsid w:val="00E80D88"/>
    <w:rsid w:val="00E80EA1"/>
    <w:rsid w:val="00E80F72"/>
    <w:rsid w:val="00E81056"/>
    <w:rsid w:val="00E810B2"/>
    <w:rsid w:val="00E8118B"/>
    <w:rsid w:val="00E81272"/>
    <w:rsid w:val="00E814FD"/>
    <w:rsid w:val="00E81877"/>
    <w:rsid w:val="00E81D81"/>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3FF0"/>
    <w:rsid w:val="00E84004"/>
    <w:rsid w:val="00E841A5"/>
    <w:rsid w:val="00E84274"/>
    <w:rsid w:val="00E8431B"/>
    <w:rsid w:val="00E8439A"/>
    <w:rsid w:val="00E8492C"/>
    <w:rsid w:val="00E84B4C"/>
    <w:rsid w:val="00E84C10"/>
    <w:rsid w:val="00E84CF5"/>
    <w:rsid w:val="00E84D2B"/>
    <w:rsid w:val="00E8506A"/>
    <w:rsid w:val="00E850A9"/>
    <w:rsid w:val="00E85376"/>
    <w:rsid w:val="00E853FC"/>
    <w:rsid w:val="00E85A25"/>
    <w:rsid w:val="00E85ABB"/>
    <w:rsid w:val="00E85C65"/>
    <w:rsid w:val="00E85E24"/>
    <w:rsid w:val="00E86246"/>
    <w:rsid w:val="00E86506"/>
    <w:rsid w:val="00E867C7"/>
    <w:rsid w:val="00E869B1"/>
    <w:rsid w:val="00E86B25"/>
    <w:rsid w:val="00E86C3F"/>
    <w:rsid w:val="00E86DF7"/>
    <w:rsid w:val="00E86ED9"/>
    <w:rsid w:val="00E86EE5"/>
    <w:rsid w:val="00E871C7"/>
    <w:rsid w:val="00E87246"/>
    <w:rsid w:val="00E874C9"/>
    <w:rsid w:val="00E87571"/>
    <w:rsid w:val="00E87686"/>
    <w:rsid w:val="00E87A54"/>
    <w:rsid w:val="00E87B02"/>
    <w:rsid w:val="00E87BC3"/>
    <w:rsid w:val="00E87D9B"/>
    <w:rsid w:val="00E90073"/>
    <w:rsid w:val="00E903DC"/>
    <w:rsid w:val="00E90611"/>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153"/>
    <w:rsid w:val="00E93586"/>
    <w:rsid w:val="00E9383F"/>
    <w:rsid w:val="00E93848"/>
    <w:rsid w:val="00E93881"/>
    <w:rsid w:val="00E939BA"/>
    <w:rsid w:val="00E939E2"/>
    <w:rsid w:val="00E93A3F"/>
    <w:rsid w:val="00E93A97"/>
    <w:rsid w:val="00E93AEA"/>
    <w:rsid w:val="00E93E62"/>
    <w:rsid w:val="00E93F56"/>
    <w:rsid w:val="00E94035"/>
    <w:rsid w:val="00E940E2"/>
    <w:rsid w:val="00E943EC"/>
    <w:rsid w:val="00E9461A"/>
    <w:rsid w:val="00E946F8"/>
    <w:rsid w:val="00E94726"/>
    <w:rsid w:val="00E94786"/>
    <w:rsid w:val="00E94861"/>
    <w:rsid w:val="00E949DB"/>
    <w:rsid w:val="00E94AF7"/>
    <w:rsid w:val="00E95513"/>
    <w:rsid w:val="00E95556"/>
    <w:rsid w:val="00E956C4"/>
    <w:rsid w:val="00E95B1C"/>
    <w:rsid w:val="00E95BA3"/>
    <w:rsid w:val="00E95CF4"/>
    <w:rsid w:val="00E95E85"/>
    <w:rsid w:val="00E962AA"/>
    <w:rsid w:val="00E964AA"/>
    <w:rsid w:val="00E96896"/>
    <w:rsid w:val="00E968F5"/>
    <w:rsid w:val="00E9692F"/>
    <w:rsid w:val="00E96949"/>
    <w:rsid w:val="00E96B09"/>
    <w:rsid w:val="00E96FCA"/>
    <w:rsid w:val="00E9700B"/>
    <w:rsid w:val="00E9702D"/>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10A1"/>
    <w:rsid w:val="00EA14F4"/>
    <w:rsid w:val="00EA17C0"/>
    <w:rsid w:val="00EA1A59"/>
    <w:rsid w:val="00EA1CF1"/>
    <w:rsid w:val="00EA1D0F"/>
    <w:rsid w:val="00EA1DB6"/>
    <w:rsid w:val="00EA1FC5"/>
    <w:rsid w:val="00EA219F"/>
    <w:rsid w:val="00EA22C2"/>
    <w:rsid w:val="00EA23E6"/>
    <w:rsid w:val="00EA25D3"/>
    <w:rsid w:val="00EA2618"/>
    <w:rsid w:val="00EA2665"/>
    <w:rsid w:val="00EA2893"/>
    <w:rsid w:val="00EA2A3E"/>
    <w:rsid w:val="00EA2B7F"/>
    <w:rsid w:val="00EA2F8C"/>
    <w:rsid w:val="00EA3110"/>
    <w:rsid w:val="00EA32C4"/>
    <w:rsid w:val="00EA342F"/>
    <w:rsid w:val="00EA3D1F"/>
    <w:rsid w:val="00EA40E5"/>
    <w:rsid w:val="00EA45BC"/>
    <w:rsid w:val="00EA4706"/>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DE2"/>
    <w:rsid w:val="00EA5F56"/>
    <w:rsid w:val="00EA5F76"/>
    <w:rsid w:val="00EA5FC8"/>
    <w:rsid w:val="00EA66B2"/>
    <w:rsid w:val="00EA67F5"/>
    <w:rsid w:val="00EA6D06"/>
    <w:rsid w:val="00EA736E"/>
    <w:rsid w:val="00EA7648"/>
    <w:rsid w:val="00EA7934"/>
    <w:rsid w:val="00EA7F07"/>
    <w:rsid w:val="00EA7FC3"/>
    <w:rsid w:val="00EB0190"/>
    <w:rsid w:val="00EB02A1"/>
    <w:rsid w:val="00EB0500"/>
    <w:rsid w:val="00EB07BC"/>
    <w:rsid w:val="00EB0A07"/>
    <w:rsid w:val="00EB0BD6"/>
    <w:rsid w:val="00EB0DFC"/>
    <w:rsid w:val="00EB13BB"/>
    <w:rsid w:val="00EB161C"/>
    <w:rsid w:val="00EB1636"/>
    <w:rsid w:val="00EB1746"/>
    <w:rsid w:val="00EB204E"/>
    <w:rsid w:val="00EB21F8"/>
    <w:rsid w:val="00EB2513"/>
    <w:rsid w:val="00EB2751"/>
    <w:rsid w:val="00EB27A3"/>
    <w:rsid w:val="00EB27BF"/>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075"/>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5EA"/>
    <w:rsid w:val="00EB571A"/>
    <w:rsid w:val="00EB5763"/>
    <w:rsid w:val="00EB58A0"/>
    <w:rsid w:val="00EB5BD5"/>
    <w:rsid w:val="00EB5EAC"/>
    <w:rsid w:val="00EB61A0"/>
    <w:rsid w:val="00EB63FA"/>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4A3"/>
    <w:rsid w:val="00EC0525"/>
    <w:rsid w:val="00EC066F"/>
    <w:rsid w:val="00EC06A4"/>
    <w:rsid w:val="00EC077E"/>
    <w:rsid w:val="00EC0801"/>
    <w:rsid w:val="00EC1046"/>
    <w:rsid w:val="00EC10C6"/>
    <w:rsid w:val="00EC10E0"/>
    <w:rsid w:val="00EC1172"/>
    <w:rsid w:val="00EC1494"/>
    <w:rsid w:val="00EC1572"/>
    <w:rsid w:val="00EC158A"/>
    <w:rsid w:val="00EC1743"/>
    <w:rsid w:val="00EC17D1"/>
    <w:rsid w:val="00EC1993"/>
    <w:rsid w:val="00EC19AE"/>
    <w:rsid w:val="00EC2123"/>
    <w:rsid w:val="00EC2364"/>
    <w:rsid w:val="00EC25F1"/>
    <w:rsid w:val="00EC266E"/>
    <w:rsid w:val="00EC29CF"/>
    <w:rsid w:val="00EC2C48"/>
    <w:rsid w:val="00EC306F"/>
    <w:rsid w:val="00EC3331"/>
    <w:rsid w:val="00EC335F"/>
    <w:rsid w:val="00EC34D1"/>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5F6B"/>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380"/>
    <w:rsid w:val="00EC770C"/>
    <w:rsid w:val="00EC7AC9"/>
    <w:rsid w:val="00EC7B42"/>
    <w:rsid w:val="00EC7C29"/>
    <w:rsid w:val="00EC7C67"/>
    <w:rsid w:val="00EC7D83"/>
    <w:rsid w:val="00EC7DBC"/>
    <w:rsid w:val="00EC7ECF"/>
    <w:rsid w:val="00ED009A"/>
    <w:rsid w:val="00ED00D7"/>
    <w:rsid w:val="00ED0189"/>
    <w:rsid w:val="00ED01C6"/>
    <w:rsid w:val="00ED0202"/>
    <w:rsid w:val="00ED041A"/>
    <w:rsid w:val="00ED04F6"/>
    <w:rsid w:val="00ED05A7"/>
    <w:rsid w:val="00ED0873"/>
    <w:rsid w:val="00ED0B8A"/>
    <w:rsid w:val="00ED0D0D"/>
    <w:rsid w:val="00ED0DB7"/>
    <w:rsid w:val="00ED0E59"/>
    <w:rsid w:val="00ED0F72"/>
    <w:rsid w:val="00ED1050"/>
    <w:rsid w:val="00ED10F0"/>
    <w:rsid w:val="00ED11FD"/>
    <w:rsid w:val="00ED12FF"/>
    <w:rsid w:val="00ED15F6"/>
    <w:rsid w:val="00ED1687"/>
    <w:rsid w:val="00ED16CF"/>
    <w:rsid w:val="00ED187E"/>
    <w:rsid w:val="00ED19A1"/>
    <w:rsid w:val="00ED2146"/>
    <w:rsid w:val="00ED21DF"/>
    <w:rsid w:val="00ED2759"/>
    <w:rsid w:val="00ED2DCB"/>
    <w:rsid w:val="00ED2E38"/>
    <w:rsid w:val="00ED3131"/>
    <w:rsid w:val="00ED34D6"/>
    <w:rsid w:val="00ED3555"/>
    <w:rsid w:val="00ED3658"/>
    <w:rsid w:val="00ED36CB"/>
    <w:rsid w:val="00ED386C"/>
    <w:rsid w:val="00ED388D"/>
    <w:rsid w:val="00ED3F2C"/>
    <w:rsid w:val="00ED444C"/>
    <w:rsid w:val="00ED46BE"/>
    <w:rsid w:val="00ED4813"/>
    <w:rsid w:val="00ED4861"/>
    <w:rsid w:val="00ED48C7"/>
    <w:rsid w:val="00ED4AD4"/>
    <w:rsid w:val="00ED4E49"/>
    <w:rsid w:val="00ED4F5B"/>
    <w:rsid w:val="00ED5054"/>
    <w:rsid w:val="00ED527B"/>
    <w:rsid w:val="00ED531F"/>
    <w:rsid w:val="00ED5489"/>
    <w:rsid w:val="00ED5619"/>
    <w:rsid w:val="00ED58A4"/>
    <w:rsid w:val="00ED5955"/>
    <w:rsid w:val="00ED5B77"/>
    <w:rsid w:val="00ED5C2E"/>
    <w:rsid w:val="00ED6057"/>
    <w:rsid w:val="00ED6102"/>
    <w:rsid w:val="00ED612A"/>
    <w:rsid w:val="00ED64C8"/>
    <w:rsid w:val="00ED66D4"/>
    <w:rsid w:val="00ED67AC"/>
    <w:rsid w:val="00ED67D5"/>
    <w:rsid w:val="00ED68E4"/>
    <w:rsid w:val="00ED6A48"/>
    <w:rsid w:val="00ED6E81"/>
    <w:rsid w:val="00ED7019"/>
    <w:rsid w:val="00ED7599"/>
    <w:rsid w:val="00ED7626"/>
    <w:rsid w:val="00ED7B25"/>
    <w:rsid w:val="00ED7B82"/>
    <w:rsid w:val="00ED7E8F"/>
    <w:rsid w:val="00ED7ED4"/>
    <w:rsid w:val="00EE0203"/>
    <w:rsid w:val="00EE021A"/>
    <w:rsid w:val="00EE02AA"/>
    <w:rsid w:val="00EE03D2"/>
    <w:rsid w:val="00EE08D8"/>
    <w:rsid w:val="00EE0949"/>
    <w:rsid w:val="00EE09CC"/>
    <w:rsid w:val="00EE0A9A"/>
    <w:rsid w:val="00EE0BFC"/>
    <w:rsid w:val="00EE0C0F"/>
    <w:rsid w:val="00EE0DE3"/>
    <w:rsid w:val="00EE0EE6"/>
    <w:rsid w:val="00EE0FB2"/>
    <w:rsid w:val="00EE124F"/>
    <w:rsid w:val="00EE1498"/>
    <w:rsid w:val="00EE18CA"/>
    <w:rsid w:val="00EE18F4"/>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7E3"/>
    <w:rsid w:val="00EE4A17"/>
    <w:rsid w:val="00EE4A2C"/>
    <w:rsid w:val="00EE4C46"/>
    <w:rsid w:val="00EE4CA5"/>
    <w:rsid w:val="00EE4E37"/>
    <w:rsid w:val="00EE52B7"/>
    <w:rsid w:val="00EE534C"/>
    <w:rsid w:val="00EE5677"/>
    <w:rsid w:val="00EE5806"/>
    <w:rsid w:val="00EE5B34"/>
    <w:rsid w:val="00EE5BAF"/>
    <w:rsid w:val="00EE6104"/>
    <w:rsid w:val="00EE6500"/>
    <w:rsid w:val="00EE6898"/>
    <w:rsid w:val="00EE6984"/>
    <w:rsid w:val="00EE69A4"/>
    <w:rsid w:val="00EE6BBB"/>
    <w:rsid w:val="00EE6C8E"/>
    <w:rsid w:val="00EE71D1"/>
    <w:rsid w:val="00EE7277"/>
    <w:rsid w:val="00EE7804"/>
    <w:rsid w:val="00EE78C0"/>
    <w:rsid w:val="00EE7A4F"/>
    <w:rsid w:val="00EE7C07"/>
    <w:rsid w:val="00EE7D09"/>
    <w:rsid w:val="00EE7D7C"/>
    <w:rsid w:val="00EE7DE0"/>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39"/>
    <w:rsid w:val="00EF1C9B"/>
    <w:rsid w:val="00EF2956"/>
    <w:rsid w:val="00EF2EEA"/>
    <w:rsid w:val="00EF2FF5"/>
    <w:rsid w:val="00EF32EF"/>
    <w:rsid w:val="00EF3821"/>
    <w:rsid w:val="00EF3AFF"/>
    <w:rsid w:val="00EF3C24"/>
    <w:rsid w:val="00EF3F75"/>
    <w:rsid w:val="00EF3FAA"/>
    <w:rsid w:val="00EF409D"/>
    <w:rsid w:val="00EF4185"/>
    <w:rsid w:val="00EF421E"/>
    <w:rsid w:val="00EF4329"/>
    <w:rsid w:val="00EF4717"/>
    <w:rsid w:val="00EF4A02"/>
    <w:rsid w:val="00EF4CD2"/>
    <w:rsid w:val="00EF4E7D"/>
    <w:rsid w:val="00EF4FE3"/>
    <w:rsid w:val="00EF5016"/>
    <w:rsid w:val="00EF51F9"/>
    <w:rsid w:val="00EF5211"/>
    <w:rsid w:val="00EF548C"/>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4DD"/>
    <w:rsid w:val="00EF7525"/>
    <w:rsid w:val="00EF7561"/>
    <w:rsid w:val="00EF7703"/>
    <w:rsid w:val="00EF77B9"/>
    <w:rsid w:val="00EF7BEC"/>
    <w:rsid w:val="00EF7D5D"/>
    <w:rsid w:val="00F001AC"/>
    <w:rsid w:val="00F0045B"/>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6EA"/>
    <w:rsid w:val="00F019E0"/>
    <w:rsid w:val="00F019EA"/>
    <w:rsid w:val="00F01A6E"/>
    <w:rsid w:val="00F01BAB"/>
    <w:rsid w:val="00F01C04"/>
    <w:rsid w:val="00F020E4"/>
    <w:rsid w:val="00F02245"/>
    <w:rsid w:val="00F025AA"/>
    <w:rsid w:val="00F026AE"/>
    <w:rsid w:val="00F02AB2"/>
    <w:rsid w:val="00F02B09"/>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4CE1"/>
    <w:rsid w:val="00F0507E"/>
    <w:rsid w:val="00F050A7"/>
    <w:rsid w:val="00F05190"/>
    <w:rsid w:val="00F054D8"/>
    <w:rsid w:val="00F0559B"/>
    <w:rsid w:val="00F0561B"/>
    <w:rsid w:val="00F05755"/>
    <w:rsid w:val="00F05789"/>
    <w:rsid w:val="00F05BA9"/>
    <w:rsid w:val="00F06199"/>
    <w:rsid w:val="00F06919"/>
    <w:rsid w:val="00F06A73"/>
    <w:rsid w:val="00F06B50"/>
    <w:rsid w:val="00F06B95"/>
    <w:rsid w:val="00F06C2C"/>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AA0"/>
    <w:rsid w:val="00F11C1D"/>
    <w:rsid w:val="00F11DB5"/>
    <w:rsid w:val="00F11EA8"/>
    <w:rsid w:val="00F120BE"/>
    <w:rsid w:val="00F12108"/>
    <w:rsid w:val="00F12232"/>
    <w:rsid w:val="00F1251D"/>
    <w:rsid w:val="00F12573"/>
    <w:rsid w:val="00F1269E"/>
    <w:rsid w:val="00F1271F"/>
    <w:rsid w:val="00F1282A"/>
    <w:rsid w:val="00F128EA"/>
    <w:rsid w:val="00F129B9"/>
    <w:rsid w:val="00F12AD0"/>
    <w:rsid w:val="00F12D67"/>
    <w:rsid w:val="00F12DCF"/>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BFB"/>
    <w:rsid w:val="00F15C51"/>
    <w:rsid w:val="00F15C99"/>
    <w:rsid w:val="00F15E38"/>
    <w:rsid w:val="00F15FE6"/>
    <w:rsid w:val="00F1615C"/>
    <w:rsid w:val="00F16225"/>
    <w:rsid w:val="00F163F1"/>
    <w:rsid w:val="00F1648F"/>
    <w:rsid w:val="00F16504"/>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A1B"/>
    <w:rsid w:val="00F22A4F"/>
    <w:rsid w:val="00F22BA1"/>
    <w:rsid w:val="00F22D0B"/>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4C4"/>
    <w:rsid w:val="00F26066"/>
    <w:rsid w:val="00F26125"/>
    <w:rsid w:val="00F261FB"/>
    <w:rsid w:val="00F2622B"/>
    <w:rsid w:val="00F262C1"/>
    <w:rsid w:val="00F2650D"/>
    <w:rsid w:val="00F26A49"/>
    <w:rsid w:val="00F26CF1"/>
    <w:rsid w:val="00F26FC4"/>
    <w:rsid w:val="00F272AD"/>
    <w:rsid w:val="00F2785A"/>
    <w:rsid w:val="00F279DD"/>
    <w:rsid w:val="00F27A21"/>
    <w:rsid w:val="00F27D20"/>
    <w:rsid w:val="00F27DCE"/>
    <w:rsid w:val="00F300C2"/>
    <w:rsid w:val="00F30378"/>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155"/>
    <w:rsid w:val="00F352F9"/>
    <w:rsid w:val="00F353BF"/>
    <w:rsid w:val="00F356B2"/>
    <w:rsid w:val="00F3575A"/>
    <w:rsid w:val="00F35BDB"/>
    <w:rsid w:val="00F35E57"/>
    <w:rsid w:val="00F3609A"/>
    <w:rsid w:val="00F363BA"/>
    <w:rsid w:val="00F36520"/>
    <w:rsid w:val="00F3653E"/>
    <w:rsid w:val="00F3654E"/>
    <w:rsid w:val="00F36AED"/>
    <w:rsid w:val="00F36E70"/>
    <w:rsid w:val="00F37085"/>
    <w:rsid w:val="00F37181"/>
    <w:rsid w:val="00F372F6"/>
    <w:rsid w:val="00F373F7"/>
    <w:rsid w:val="00F37425"/>
    <w:rsid w:val="00F3742D"/>
    <w:rsid w:val="00F374C7"/>
    <w:rsid w:val="00F37823"/>
    <w:rsid w:val="00F37ABA"/>
    <w:rsid w:val="00F37C40"/>
    <w:rsid w:val="00F37CA7"/>
    <w:rsid w:val="00F37CB0"/>
    <w:rsid w:val="00F37CC0"/>
    <w:rsid w:val="00F37D4B"/>
    <w:rsid w:val="00F37E74"/>
    <w:rsid w:val="00F37FF9"/>
    <w:rsid w:val="00F4016F"/>
    <w:rsid w:val="00F402AB"/>
    <w:rsid w:val="00F4056B"/>
    <w:rsid w:val="00F40647"/>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38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B87"/>
    <w:rsid w:val="00F44172"/>
    <w:rsid w:val="00F44214"/>
    <w:rsid w:val="00F44329"/>
    <w:rsid w:val="00F44521"/>
    <w:rsid w:val="00F445DC"/>
    <w:rsid w:val="00F445FB"/>
    <w:rsid w:val="00F44818"/>
    <w:rsid w:val="00F44C27"/>
    <w:rsid w:val="00F44CD6"/>
    <w:rsid w:val="00F44D4F"/>
    <w:rsid w:val="00F4528E"/>
    <w:rsid w:val="00F452C3"/>
    <w:rsid w:val="00F454A8"/>
    <w:rsid w:val="00F454C0"/>
    <w:rsid w:val="00F460E8"/>
    <w:rsid w:val="00F461BD"/>
    <w:rsid w:val="00F46492"/>
    <w:rsid w:val="00F465A7"/>
    <w:rsid w:val="00F46651"/>
    <w:rsid w:val="00F466C9"/>
    <w:rsid w:val="00F467C3"/>
    <w:rsid w:val="00F467EF"/>
    <w:rsid w:val="00F46848"/>
    <w:rsid w:val="00F4691E"/>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C"/>
    <w:rsid w:val="00F50D1E"/>
    <w:rsid w:val="00F5116C"/>
    <w:rsid w:val="00F513CD"/>
    <w:rsid w:val="00F515D2"/>
    <w:rsid w:val="00F51915"/>
    <w:rsid w:val="00F51B80"/>
    <w:rsid w:val="00F51B96"/>
    <w:rsid w:val="00F524C4"/>
    <w:rsid w:val="00F52537"/>
    <w:rsid w:val="00F5286F"/>
    <w:rsid w:val="00F528A3"/>
    <w:rsid w:val="00F52A68"/>
    <w:rsid w:val="00F52BE5"/>
    <w:rsid w:val="00F52C61"/>
    <w:rsid w:val="00F52F59"/>
    <w:rsid w:val="00F530A7"/>
    <w:rsid w:val="00F530DE"/>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DB"/>
    <w:rsid w:val="00F550ED"/>
    <w:rsid w:val="00F55639"/>
    <w:rsid w:val="00F5586B"/>
    <w:rsid w:val="00F558DD"/>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33"/>
    <w:rsid w:val="00F615A6"/>
    <w:rsid w:val="00F61691"/>
    <w:rsid w:val="00F616B3"/>
    <w:rsid w:val="00F6175B"/>
    <w:rsid w:val="00F61AF7"/>
    <w:rsid w:val="00F61BCF"/>
    <w:rsid w:val="00F61F1B"/>
    <w:rsid w:val="00F61F54"/>
    <w:rsid w:val="00F62076"/>
    <w:rsid w:val="00F621D8"/>
    <w:rsid w:val="00F622DB"/>
    <w:rsid w:val="00F62531"/>
    <w:rsid w:val="00F62698"/>
    <w:rsid w:val="00F6270C"/>
    <w:rsid w:val="00F62774"/>
    <w:rsid w:val="00F628DA"/>
    <w:rsid w:val="00F628E7"/>
    <w:rsid w:val="00F6295F"/>
    <w:rsid w:val="00F6298B"/>
    <w:rsid w:val="00F62C25"/>
    <w:rsid w:val="00F62EBC"/>
    <w:rsid w:val="00F63108"/>
    <w:rsid w:val="00F633F1"/>
    <w:rsid w:val="00F6349F"/>
    <w:rsid w:val="00F635F9"/>
    <w:rsid w:val="00F6369D"/>
    <w:rsid w:val="00F646A3"/>
    <w:rsid w:val="00F646A8"/>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C4F"/>
    <w:rsid w:val="00F65DB0"/>
    <w:rsid w:val="00F65F2F"/>
    <w:rsid w:val="00F66038"/>
    <w:rsid w:val="00F660F6"/>
    <w:rsid w:val="00F661AC"/>
    <w:rsid w:val="00F66ED4"/>
    <w:rsid w:val="00F66FB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1B2"/>
    <w:rsid w:val="00F7120C"/>
    <w:rsid w:val="00F712EE"/>
    <w:rsid w:val="00F71383"/>
    <w:rsid w:val="00F714A8"/>
    <w:rsid w:val="00F716BF"/>
    <w:rsid w:val="00F7170C"/>
    <w:rsid w:val="00F71753"/>
    <w:rsid w:val="00F72086"/>
    <w:rsid w:val="00F721FA"/>
    <w:rsid w:val="00F7226B"/>
    <w:rsid w:val="00F7257C"/>
    <w:rsid w:val="00F728DC"/>
    <w:rsid w:val="00F72A45"/>
    <w:rsid w:val="00F72C7E"/>
    <w:rsid w:val="00F72E31"/>
    <w:rsid w:val="00F73078"/>
    <w:rsid w:val="00F73194"/>
    <w:rsid w:val="00F7324A"/>
    <w:rsid w:val="00F7342F"/>
    <w:rsid w:val="00F73720"/>
    <w:rsid w:val="00F737C0"/>
    <w:rsid w:val="00F7384E"/>
    <w:rsid w:val="00F738A5"/>
    <w:rsid w:val="00F73A9B"/>
    <w:rsid w:val="00F73FBA"/>
    <w:rsid w:val="00F743D0"/>
    <w:rsid w:val="00F7448A"/>
    <w:rsid w:val="00F7473A"/>
    <w:rsid w:val="00F747BE"/>
    <w:rsid w:val="00F749BA"/>
    <w:rsid w:val="00F74EFA"/>
    <w:rsid w:val="00F74FD2"/>
    <w:rsid w:val="00F754A0"/>
    <w:rsid w:val="00F7577D"/>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3620"/>
    <w:rsid w:val="00F837A5"/>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C2A"/>
    <w:rsid w:val="00F85DC9"/>
    <w:rsid w:val="00F85F1E"/>
    <w:rsid w:val="00F85FED"/>
    <w:rsid w:val="00F860AE"/>
    <w:rsid w:val="00F861F4"/>
    <w:rsid w:val="00F862B1"/>
    <w:rsid w:val="00F8636E"/>
    <w:rsid w:val="00F86837"/>
    <w:rsid w:val="00F86973"/>
    <w:rsid w:val="00F86A60"/>
    <w:rsid w:val="00F86AD2"/>
    <w:rsid w:val="00F86C85"/>
    <w:rsid w:val="00F87590"/>
    <w:rsid w:val="00F875DF"/>
    <w:rsid w:val="00F875E0"/>
    <w:rsid w:val="00F87722"/>
    <w:rsid w:val="00F877D1"/>
    <w:rsid w:val="00F878B7"/>
    <w:rsid w:val="00F878BA"/>
    <w:rsid w:val="00F87B05"/>
    <w:rsid w:val="00F87ED9"/>
    <w:rsid w:val="00F9094D"/>
    <w:rsid w:val="00F90952"/>
    <w:rsid w:val="00F90B92"/>
    <w:rsid w:val="00F9127C"/>
    <w:rsid w:val="00F91315"/>
    <w:rsid w:val="00F914FA"/>
    <w:rsid w:val="00F9159D"/>
    <w:rsid w:val="00F917D3"/>
    <w:rsid w:val="00F918F5"/>
    <w:rsid w:val="00F91A25"/>
    <w:rsid w:val="00F91F72"/>
    <w:rsid w:val="00F922C2"/>
    <w:rsid w:val="00F923AD"/>
    <w:rsid w:val="00F92A28"/>
    <w:rsid w:val="00F92B4C"/>
    <w:rsid w:val="00F92CDA"/>
    <w:rsid w:val="00F92E24"/>
    <w:rsid w:val="00F93224"/>
    <w:rsid w:val="00F934CB"/>
    <w:rsid w:val="00F93541"/>
    <w:rsid w:val="00F9354E"/>
    <w:rsid w:val="00F936A7"/>
    <w:rsid w:val="00F9389D"/>
    <w:rsid w:val="00F939D0"/>
    <w:rsid w:val="00F93C7F"/>
    <w:rsid w:val="00F9410B"/>
    <w:rsid w:val="00F94214"/>
    <w:rsid w:val="00F94221"/>
    <w:rsid w:val="00F943B5"/>
    <w:rsid w:val="00F9455B"/>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9A0"/>
    <w:rsid w:val="00FA09FA"/>
    <w:rsid w:val="00FA0CFA"/>
    <w:rsid w:val="00FA10C2"/>
    <w:rsid w:val="00FA127F"/>
    <w:rsid w:val="00FA13FA"/>
    <w:rsid w:val="00FA16E6"/>
    <w:rsid w:val="00FA181C"/>
    <w:rsid w:val="00FA1B4D"/>
    <w:rsid w:val="00FA1BDF"/>
    <w:rsid w:val="00FA1E10"/>
    <w:rsid w:val="00FA1FB6"/>
    <w:rsid w:val="00FA2056"/>
    <w:rsid w:val="00FA214F"/>
    <w:rsid w:val="00FA2254"/>
    <w:rsid w:val="00FA2333"/>
    <w:rsid w:val="00FA272F"/>
    <w:rsid w:val="00FA277C"/>
    <w:rsid w:val="00FA2BB1"/>
    <w:rsid w:val="00FA3090"/>
    <w:rsid w:val="00FA30B6"/>
    <w:rsid w:val="00FA3105"/>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54C"/>
    <w:rsid w:val="00FA580D"/>
    <w:rsid w:val="00FA5D4E"/>
    <w:rsid w:val="00FA5F08"/>
    <w:rsid w:val="00FA5F91"/>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28D"/>
    <w:rsid w:val="00FB14ED"/>
    <w:rsid w:val="00FB1A20"/>
    <w:rsid w:val="00FB1BBE"/>
    <w:rsid w:val="00FB1C91"/>
    <w:rsid w:val="00FB1C98"/>
    <w:rsid w:val="00FB1CB3"/>
    <w:rsid w:val="00FB1E07"/>
    <w:rsid w:val="00FB21AF"/>
    <w:rsid w:val="00FB2262"/>
    <w:rsid w:val="00FB2290"/>
    <w:rsid w:val="00FB231B"/>
    <w:rsid w:val="00FB23DB"/>
    <w:rsid w:val="00FB2423"/>
    <w:rsid w:val="00FB24A7"/>
    <w:rsid w:val="00FB24FE"/>
    <w:rsid w:val="00FB2665"/>
    <w:rsid w:val="00FB29E0"/>
    <w:rsid w:val="00FB2ADA"/>
    <w:rsid w:val="00FB2B72"/>
    <w:rsid w:val="00FB2DA9"/>
    <w:rsid w:val="00FB2F46"/>
    <w:rsid w:val="00FB330B"/>
    <w:rsid w:val="00FB35F4"/>
    <w:rsid w:val="00FB36A0"/>
    <w:rsid w:val="00FB3B9C"/>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AD"/>
    <w:rsid w:val="00FB65ED"/>
    <w:rsid w:val="00FB6830"/>
    <w:rsid w:val="00FB6A1A"/>
    <w:rsid w:val="00FB6B14"/>
    <w:rsid w:val="00FB6BAE"/>
    <w:rsid w:val="00FB6D47"/>
    <w:rsid w:val="00FB6DA8"/>
    <w:rsid w:val="00FB6E73"/>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C2D"/>
    <w:rsid w:val="00FC0D68"/>
    <w:rsid w:val="00FC0E38"/>
    <w:rsid w:val="00FC12B0"/>
    <w:rsid w:val="00FC16BF"/>
    <w:rsid w:val="00FC1858"/>
    <w:rsid w:val="00FC1900"/>
    <w:rsid w:val="00FC1937"/>
    <w:rsid w:val="00FC1A78"/>
    <w:rsid w:val="00FC1C90"/>
    <w:rsid w:val="00FC1CC8"/>
    <w:rsid w:val="00FC1F5E"/>
    <w:rsid w:val="00FC1F95"/>
    <w:rsid w:val="00FC20E9"/>
    <w:rsid w:val="00FC217D"/>
    <w:rsid w:val="00FC2340"/>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16"/>
    <w:rsid w:val="00FC644A"/>
    <w:rsid w:val="00FC6461"/>
    <w:rsid w:val="00FC678F"/>
    <w:rsid w:val="00FC67BC"/>
    <w:rsid w:val="00FC6833"/>
    <w:rsid w:val="00FC69BA"/>
    <w:rsid w:val="00FC6AE6"/>
    <w:rsid w:val="00FC6D71"/>
    <w:rsid w:val="00FC6ECE"/>
    <w:rsid w:val="00FC70A1"/>
    <w:rsid w:val="00FC7163"/>
    <w:rsid w:val="00FC7844"/>
    <w:rsid w:val="00FC7D4D"/>
    <w:rsid w:val="00FC7DF4"/>
    <w:rsid w:val="00FC7E5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1FCE"/>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01C"/>
    <w:rsid w:val="00FD51EA"/>
    <w:rsid w:val="00FD5672"/>
    <w:rsid w:val="00FD56D4"/>
    <w:rsid w:val="00FD5982"/>
    <w:rsid w:val="00FD59F8"/>
    <w:rsid w:val="00FD5B63"/>
    <w:rsid w:val="00FD5B91"/>
    <w:rsid w:val="00FD5BD3"/>
    <w:rsid w:val="00FD5D9B"/>
    <w:rsid w:val="00FD649F"/>
    <w:rsid w:val="00FD660F"/>
    <w:rsid w:val="00FD699B"/>
    <w:rsid w:val="00FD6A78"/>
    <w:rsid w:val="00FD6C8A"/>
    <w:rsid w:val="00FD7033"/>
    <w:rsid w:val="00FD737E"/>
    <w:rsid w:val="00FD743B"/>
    <w:rsid w:val="00FD75A6"/>
    <w:rsid w:val="00FD7650"/>
    <w:rsid w:val="00FD7805"/>
    <w:rsid w:val="00FD7864"/>
    <w:rsid w:val="00FD7B88"/>
    <w:rsid w:val="00FD7C8B"/>
    <w:rsid w:val="00FD7DCF"/>
    <w:rsid w:val="00FD7F14"/>
    <w:rsid w:val="00FD7FDF"/>
    <w:rsid w:val="00FE00AA"/>
    <w:rsid w:val="00FE03E4"/>
    <w:rsid w:val="00FE04AB"/>
    <w:rsid w:val="00FE055F"/>
    <w:rsid w:val="00FE0863"/>
    <w:rsid w:val="00FE0A0C"/>
    <w:rsid w:val="00FE0D8A"/>
    <w:rsid w:val="00FE0F06"/>
    <w:rsid w:val="00FE0FCF"/>
    <w:rsid w:val="00FE0FDD"/>
    <w:rsid w:val="00FE0FE5"/>
    <w:rsid w:val="00FE112E"/>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109"/>
    <w:rsid w:val="00FE3D93"/>
    <w:rsid w:val="00FE3E5C"/>
    <w:rsid w:val="00FE3EA0"/>
    <w:rsid w:val="00FE414C"/>
    <w:rsid w:val="00FE4246"/>
    <w:rsid w:val="00FE43B0"/>
    <w:rsid w:val="00FE4415"/>
    <w:rsid w:val="00FE4486"/>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646"/>
    <w:rsid w:val="00FE669B"/>
    <w:rsid w:val="00FE714D"/>
    <w:rsid w:val="00FE7352"/>
    <w:rsid w:val="00FE7D6A"/>
    <w:rsid w:val="00FF018D"/>
    <w:rsid w:val="00FF01B0"/>
    <w:rsid w:val="00FF029E"/>
    <w:rsid w:val="00FF034B"/>
    <w:rsid w:val="00FF03B0"/>
    <w:rsid w:val="00FF0403"/>
    <w:rsid w:val="00FF05A6"/>
    <w:rsid w:val="00FF0655"/>
    <w:rsid w:val="00FF0961"/>
    <w:rsid w:val="00FF09F9"/>
    <w:rsid w:val="00FF0C30"/>
    <w:rsid w:val="00FF1007"/>
    <w:rsid w:val="00FF122C"/>
    <w:rsid w:val="00FF13B9"/>
    <w:rsid w:val="00FF1660"/>
    <w:rsid w:val="00FF1842"/>
    <w:rsid w:val="00FF196B"/>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5ED"/>
    <w:rsid w:val="00FF48E6"/>
    <w:rsid w:val="00FF4ACE"/>
    <w:rsid w:val="00FF4AD0"/>
    <w:rsid w:val="00FF4B29"/>
    <w:rsid w:val="00FF4B4F"/>
    <w:rsid w:val="00FF4D99"/>
    <w:rsid w:val="00FF4DA1"/>
    <w:rsid w:val="00FF5225"/>
    <w:rsid w:val="00FF5450"/>
    <w:rsid w:val="00FF547C"/>
    <w:rsid w:val="00FF5C14"/>
    <w:rsid w:val="00FF5FA3"/>
    <w:rsid w:val="00FF5FF1"/>
    <w:rsid w:val="00FF6005"/>
    <w:rsid w:val="00FF613D"/>
    <w:rsid w:val="00FF6189"/>
    <w:rsid w:val="00FF677B"/>
    <w:rsid w:val="00FF6916"/>
    <w:rsid w:val="00FF6982"/>
    <w:rsid w:val="00FF6A2B"/>
    <w:rsid w:val="00FF6C1C"/>
    <w:rsid w:val="00FF6C35"/>
    <w:rsid w:val="00FF6F85"/>
    <w:rsid w:val="00FF7060"/>
    <w:rsid w:val="00FF7636"/>
    <w:rsid w:val="00FF765F"/>
    <w:rsid w:val="00FF7989"/>
    <w:rsid w:val="00FF7D03"/>
    <w:rsid w:val="03C52454"/>
    <w:rsid w:val="043A2333"/>
    <w:rsid w:val="049B30C5"/>
    <w:rsid w:val="04D469B6"/>
    <w:rsid w:val="0520422F"/>
    <w:rsid w:val="0B660C1A"/>
    <w:rsid w:val="0DAE649D"/>
    <w:rsid w:val="17D3547E"/>
    <w:rsid w:val="17F93E0B"/>
    <w:rsid w:val="1A21737F"/>
    <w:rsid w:val="1A426837"/>
    <w:rsid w:val="1C1A25A1"/>
    <w:rsid w:val="1C455CA5"/>
    <w:rsid w:val="1D2C69D2"/>
    <w:rsid w:val="1D767BAB"/>
    <w:rsid w:val="239E00B4"/>
    <w:rsid w:val="251E74A4"/>
    <w:rsid w:val="26BE7C84"/>
    <w:rsid w:val="27843CE5"/>
    <w:rsid w:val="2AD215B8"/>
    <w:rsid w:val="2AFD69A8"/>
    <w:rsid w:val="2C3148F1"/>
    <w:rsid w:val="32EB653A"/>
    <w:rsid w:val="336D27D3"/>
    <w:rsid w:val="33986C3A"/>
    <w:rsid w:val="34823958"/>
    <w:rsid w:val="36B87E05"/>
    <w:rsid w:val="36CF79E3"/>
    <w:rsid w:val="3785514C"/>
    <w:rsid w:val="392F7A8B"/>
    <w:rsid w:val="39B0457A"/>
    <w:rsid w:val="3BCB6780"/>
    <w:rsid w:val="3D262385"/>
    <w:rsid w:val="3D79144F"/>
    <w:rsid w:val="3DE5187B"/>
    <w:rsid w:val="3F9651BD"/>
    <w:rsid w:val="415D6705"/>
    <w:rsid w:val="42CD0A98"/>
    <w:rsid w:val="431A0C09"/>
    <w:rsid w:val="46701A19"/>
    <w:rsid w:val="46827EEC"/>
    <w:rsid w:val="473115D9"/>
    <w:rsid w:val="480E2158"/>
    <w:rsid w:val="4918548C"/>
    <w:rsid w:val="4B65373A"/>
    <w:rsid w:val="4D00163A"/>
    <w:rsid w:val="4F0F5BE3"/>
    <w:rsid w:val="52422029"/>
    <w:rsid w:val="54357201"/>
    <w:rsid w:val="547555E6"/>
    <w:rsid w:val="5476515C"/>
    <w:rsid w:val="55040901"/>
    <w:rsid w:val="55096CBD"/>
    <w:rsid w:val="552C5BF2"/>
    <w:rsid w:val="556672E4"/>
    <w:rsid w:val="56694F04"/>
    <w:rsid w:val="56DF05DE"/>
    <w:rsid w:val="577377C7"/>
    <w:rsid w:val="57FC6189"/>
    <w:rsid w:val="581F4765"/>
    <w:rsid w:val="5A30165E"/>
    <w:rsid w:val="5A9A07E3"/>
    <w:rsid w:val="5DAD31A7"/>
    <w:rsid w:val="5E1005D1"/>
    <w:rsid w:val="5F073306"/>
    <w:rsid w:val="5F1871E8"/>
    <w:rsid w:val="5F5F73B9"/>
    <w:rsid w:val="624058DA"/>
    <w:rsid w:val="674E4910"/>
    <w:rsid w:val="679F7011"/>
    <w:rsid w:val="6838144E"/>
    <w:rsid w:val="68AA7398"/>
    <w:rsid w:val="68B2212B"/>
    <w:rsid w:val="6BEC4B83"/>
    <w:rsid w:val="6C6475C8"/>
    <w:rsid w:val="6DCB6264"/>
    <w:rsid w:val="6E6E308A"/>
    <w:rsid w:val="72ED3C32"/>
    <w:rsid w:val="742C597A"/>
    <w:rsid w:val="74D329AC"/>
    <w:rsid w:val="74FC259F"/>
    <w:rsid w:val="753D38EF"/>
    <w:rsid w:val="7A2455EA"/>
    <w:rsid w:val="7D3169A2"/>
    <w:rsid w:val="7E1823A6"/>
    <w:rsid w:val="7F8E4676"/>
    <w:rsid w:val="7FA54055"/>
    <w:rsid w:val="BE9B761B"/>
    <w:rsid w:val="EFC7E0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iPriority="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29"/>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4"/>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55"/>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30"/>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7">
    <w:name w:val="heading 5"/>
    <w:basedOn w:val="1"/>
    <w:next w:val="1"/>
    <w:link w:val="231"/>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2"/>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3"/>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4"/>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5"/>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6">
    <w:name w:val="Default Paragraph Font"/>
    <w:unhideWhenUsed/>
    <w:qFormat/>
    <w:uiPriority w:val="1"/>
  </w:style>
  <w:style w:type="table" w:default="1" w:styleId="43">
    <w:name w:val="Normal Table"/>
    <w:unhideWhenUsed/>
    <w:qFormat/>
    <w:uiPriority w:val="99"/>
    <w:tblPr>
      <w:tblCellMar>
        <w:top w:w="0" w:type="dxa"/>
        <w:left w:w="108" w:type="dxa"/>
        <w:bottom w:w="0" w:type="dxa"/>
        <w:right w:w="108" w:type="dxa"/>
      </w:tblCellMar>
    </w:tblPr>
  </w:style>
  <w:style w:type="paragraph" w:styleId="4">
    <w:name w:val="Normal Indent"/>
    <w:basedOn w:val="1"/>
    <w:next w:val="1"/>
    <w:link w:val="62"/>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6"/>
    <w:qFormat/>
    <w:uiPriority w:val="0"/>
    <w:pPr>
      <w:shd w:val="clear" w:color="auto" w:fill="000080"/>
    </w:pPr>
  </w:style>
  <w:style w:type="paragraph" w:styleId="15">
    <w:name w:val="annotation text"/>
    <w:basedOn w:val="1"/>
    <w:link w:val="182"/>
    <w:qFormat/>
    <w:uiPriority w:val="99"/>
    <w:pPr>
      <w:jc w:val="left"/>
    </w:pPr>
  </w:style>
  <w:style w:type="paragraph" w:styleId="16">
    <w:name w:val="Body Text 3"/>
    <w:basedOn w:val="1"/>
    <w:link w:val="237"/>
    <w:qFormat/>
    <w:uiPriority w:val="0"/>
    <w:pPr>
      <w:spacing w:after="120"/>
    </w:pPr>
    <w:rPr>
      <w:sz w:val="16"/>
      <w:szCs w:val="16"/>
    </w:rPr>
  </w:style>
  <w:style w:type="paragraph" w:styleId="17">
    <w:name w:val="Body Text"/>
    <w:basedOn w:val="1"/>
    <w:link w:val="238"/>
    <w:qFormat/>
    <w:uiPriority w:val="0"/>
    <w:pPr>
      <w:tabs>
        <w:tab w:val="left" w:pos="567"/>
      </w:tabs>
      <w:spacing w:before="120" w:line="22" w:lineRule="atLeast"/>
    </w:pPr>
    <w:rPr>
      <w:rFonts w:ascii="宋体" w:hAnsi="宋体"/>
      <w:sz w:val="24"/>
    </w:rPr>
  </w:style>
  <w:style w:type="paragraph" w:styleId="18">
    <w:name w:val="Body Text Indent"/>
    <w:basedOn w:val="1"/>
    <w:link w:val="67"/>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2"/>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9"/>
    <w:qFormat/>
    <w:uiPriority w:val="0"/>
    <w:pPr>
      <w:ind w:left="100" w:leftChars="2500"/>
    </w:pPr>
    <w:rPr>
      <w:rFonts w:ascii="仿宋_GB2312" w:hAnsi="宋体" w:eastAsia="仿宋_GB2312"/>
      <w:color w:val="000000"/>
      <w:sz w:val="24"/>
    </w:rPr>
  </w:style>
  <w:style w:type="paragraph" w:styleId="26">
    <w:name w:val="Body Text Indent 2"/>
    <w:basedOn w:val="1"/>
    <w:link w:val="240"/>
    <w:qFormat/>
    <w:uiPriority w:val="0"/>
    <w:pPr>
      <w:ind w:firstLine="480" w:firstLineChars="200"/>
    </w:pPr>
    <w:rPr>
      <w:rFonts w:ascii="仿宋_GB2312" w:eastAsia="仿宋_GB2312"/>
      <w:sz w:val="24"/>
    </w:rPr>
  </w:style>
  <w:style w:type="paragraph" w:styleId="27">
    <w:name w:val="Balloon Text"/>
    <w:basedOn w:val="1"/>
    <w:link w:val="241"/>
    <w:qFormat/>
    <w:uiPriority w:val="0"/>
    <w:rPr>
      <w:sz w:val="18"/>
      <w:szCs w:val="18"/>
    </w:rPr>
  </w:style>
  <w:style w:type="paragraph" w:styleId="28">
    <w:name w:val="footer"/>
    <w:basedOn w:val="1"/>
    <w:link w:val="169"/>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6"/>
    <w:qFormat/>
    <w:uiPriority w:val="99"/>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2"/>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able of figures"/>
    <w:basedOn w:val="1"/>
    <w:next w:val="1"/>
    <w:qFormat/>
    <w:uiPriority w:val="0"/>
    <w:pPr>
      <w:ind w:left="420" w:hanging="420"/>
      <w:jc w:val="left"/>
    </w:pPr>
    <w:rPr>
      <w:rFonts w:ascii="Calibri" w:hAnsi="Calibri"/>
      <w:smallCaps/>
      <w:sz w:val="20"/>
      <w:szCs w:val="20"/>
    </w:rPr>
  </w:style>
  <w:style w:type="paragraph" w:styleId="35">
    <w:name w:val="toc 2"/>
    <w:basedOn w:val="1"/>
    <w:next w:val="1"/>
    <w:qFormat/>
    <w:uiPriority w:val="39"/>
    <w:pPr>
      <w:tabs>
        <w:tab w:val="right" w:leader="dot" w:pos="8937"/>
      </w:tabs>
      <w:spacing w:line="312" w:lineRule="auto"/>
      <w:ind w:left="420" w:leftChars="200"/>
    </w:pPr>
  </w:style>
  <w:style w:type="paragraph" w:styleId="36">
    <w:name w:val="toc 9"/>
    <w:basedOn w:val="1"/>
    <w:next w:val="1"/>
    <w:qFormat/>
    <w:uiPriority w:val="0"/>
    <w:pPr>
      <w:ind w:left="3360" w:leftChars="1600"/>
    </w:pPr>
  </w:style>
  <w:style w:type="paragraph" w:styleId="37">
    <w:name w:val="HTML Preformatted"/>
    <w:basedOn w:val="1"/>
    <w:link w:val="24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8">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9">
    <w:name w:val="index 1"/>
    <w:basedOn w:val="1"/>
    <w:next w:val="1"/>
    <w:qFormat/>
    <w:uiPriority w:val="0"/>
    <w:rPr>
      <w:szCs w:val="20"/>
    </w:rPr>
  </w:style>
  <w:style w:type="paragraph" w:styleId="40">
    <w:name w:val="Title"/>
    <w:basedOn w:val="1"/>
    <w:link w:val="188"/>
    <w:qFormat/>
    <w:uiPriority w:val="0"/>
    <w:pPr>
      <w:jc w:val="center"/>
      <w:outlineLvl w:val="0"/>
    </w:pPr>
    <w:rPr>
      <w:b/>
      <w:sz w:val="32"/>
      <w:szCs w:val="20"/>
    </w:rPr>
  </w:style>
  <w:style w:type="paragraph" w:styleId="41">
    <w:name w:val="annotation subject"/>
    <w:basedOn w:val="15"/>
    <w:next w:val="15"/>
    <w:link w:val="244"/>
    <w:qFormat/>
    <w:uiPriority w:val="0"/>
    <w:rPr>
      <w:b/>
      <w:bCs/>
    </w:rPr>
  </w:style>
  <w:style w:type="paragraph" w:styleId="42">
    <w:name w:val="Body Text First Indent 2"/>
    <w:basedOn w:val="18"/>
    <w:link w:val="245"/>
    <w:qFormat/>
    <w:uiPriority w:val="0"/>
    <w:pPr>
      <w:spacing w:after="120" w:line="480" w:lineRule="exact"/>
      <w:ind w:left="420" w:leftChars="200" w:firstLine="420" w:firstLineChars="200"/>
    </w:pPr>
    <w:rPr>
      <w:szCs w:val="20"/>
    </w:rPr>
  </w:style>
  <w:style w:type="table" w:styleId="44">
    <w:name w:val="Table Grid"/>
    <w:basedOn w:val="43"/>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
    <w:name w:val="Medium Grid 1 Accent 2"/>
    <w:basedOn w:val="43"/>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7">
    <w:name w:val="Strong"/>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Emphasis"/>
    <w:qFormat/>
    <w:uiPriority w:val="0"/>
    <w:rPr>
      <w:color w:val="CC0033"/>
    </w:rPr>
  </w:style>
  <w:style w:type="character" w:styleId="51">
    <w:name w:val="Hyperlink"/>
    <w:qFormat/>
    <w:uiPriority w:val="99"/>
    <w:rPr>
      <w:color w:val="0000FF"/>
      <w:u w:val="single"/>
    </w:rPr>
  </w:style>
  <w:style w:type="character" w:styleId="52">
    <w:name w:val="annotation reference"/>
    <w:qFormat/>
    <w:uiPriority w:val="99"/>
    <w:rPr>
      <w:sz w:val="21"/>
      <w:szCs w:val="21"/>
    </w:rPr>
  </w:style>
  <w:style w:type="character" w:styleId="53">
    <w:name w:val="HTML Cite"/>
    <w:qFormat/>
    <w:uiPriority w:val="0"/>
    <w:rPr>
      <w:i/>
      <w:iCs/>
    </w:rPr>
  </w:style>
  <w:style w:type="character" w:customStyle="1" w:styleId="54">
    <w:name w:val="标题 2 字符"/>
    <w:link w:val="3"/>
    <w:qFormat/>
    <w:uiPriority w:val="0"/>
    <w:rPr>
      <w:rFonts w:ascii="Arial" w:hAnsi="Arial" w:eastAsia="黑体"/>
      <w:b/>
      <w:sz w:val="30"/>
      <w:lang w:val="en-US" w:eastAsia="zh-CN" w:bidi="ar-SA"/>
    </w:rPr>
  </w:style>
  <w:style w:type="character" w:customStyle="1" w:styleId="55">
    <w:name w:val="标题 3 字符"/>
    <w:link w:val="5"/>
    <w:qFormat/>
    <w:uiPriority w:val="0"/>
    <w:rPr>
      <w:rFonts w:ascii="宋体" w:eastAsia="宋体"/>
      <w:b/>
      <w:sz w:val="24"/>
      <w:u w:val="single"/>
      <w:lang w:val="en-US" w:eastAsia="zh-CN" w:bidi="ar-SA"/>
    </w:rPr>
  </w:style>
  <w:style w:type="character" w:customStyle="1" w:styleId="56">
    <w:name w:val="c21"/>
    <w:qFormat/>
    <w:uiPriority w:val="0"/>
    <w:rPr>
      <w:rFonts w:hint="default" w:ascii="ˎ̥" w:hAnsi="ˎ̥"/>
      <w:color w:val="000000"/>
      <w:sz w:val="20"/>
      <w:szCs w:val="20"/>
      <w:u w:val="none"/>
    </w:rPr>
  </w:style>
  <w:style w:type="character" w:customStyle="1" w:styleId="57">
    <w:name w:val="title4"/>
    <w:qFormat/>
    <w:uiPriority w:val="0"/>
    <w:rPr>
      <w:b/>
      <w:bCs/>
      <w:color w:val="1D87B3"/>
      <w:sz w:val="15"/>
      <w:szCs w:val="15"/>
    </w:rPr>
  </w:style>
  <w:style w:type="character" w:customStyle="1" w:styleId="58">
    <w:name w:val="标题 2 Char Char"/>
    <w:qFormat/>
    <w:uiPriority w:val="0"/>
    <w:rPr>
      <w:rFonts w:ascii="Arial" w:hAnsi="Arial" w:eastAsia="黑体"/>
      <w:b/>
      <w:bCs/>
      <w:kern w:val="2"/>
      <w:sz w:val="32"/>
      <w:szCs w:val="32"/>
      <w:lang w:val="en-US" w:eastAsia="zh-CN" w:bidi="ar-SA"/>
    </w:rPr>
  </w:style>
  <w:style w:type="character" w:customStyle="1" w:styleId="59">
    <w:name w:val="black1"/>
    <w:qFormat/>
    <w:uiPriority w:val="0"/>
    <w:rPr>
      <w:color w:val="000000"/>
    </w:rPr>
  </w:style>
  <w:style w:type="character" w:customStyle="1" w:styleId="60">
    <w:name w:val="street-address"/>
    <w:basedOn w:val="46"/>
    <w:qFormat/>
    <w:uiPriority w:val="0"/>
  </w:style>
  <w:style w:type="character" w:customStyle="1" w:styleId="61">
    <w:name w:val="locality"/>
    <w:basedOn w:val="46"/>
    <w:qFormat/>
    <w:uiPriority w:val="0"/>
  </w:style>
  <w:style w:type="character" w:customStyle="1" w:styleId="62">
    <w:name w:val="正文缩进 字符"/>
    <w:link w:val="4"/>
    <w:qFormat/>
    <w:uiPriority w:val="0"/>
    <w:rPr>
      <w:rFonts w:ascii="宋体" w:eastAsia="宋体"/>
      <w:kern w:val="2"/>
      <w:sz w:val="24"/>
      <w:szCs w:val="24"/>
      <w:lang w:val="en-US" w:eastAsia="zh-CN" w:bidi="ar-SA"/>
    </w:rPr>
  </w:style>
  <w:style w:type="character" w:customStyle="1" w:styleId="63">
    <w:name w:val="正文文本缩进 Char1"/>
    <w:link w:val="64"/>
    <w:qFormat/>
    <w:uiPriority w:val="0"/>
    <w:rPr>
      <w:rFonts w:ascii="宋体" w:hAnsi="宋体" w:eastAsia="宋体"/>
      <w:sz w:val="24"/>
      <w:szCs w:val="24"/>
      <w:lang w:bidi="ar-SA"/>
    </w:rPr>
  </w:style>
  <w:style w:type="paragraph" w:customStyle="1" w:styleId="64">
    <w:name w:val="正文文本缩进1"/>
    <w:basedOn w:val="1"/>
    <w:link w:val="63"/>
    <w:qFormat/>
    <w:uiPriority w:val="0"/>
    <w:pPr>
      <w:spacing w:line="480" w:lineRule="exact"/>
      <w:ind w:firstLine="480" w:firstLineChars="200"/>
    </w:pPr>
    <w:rPr>
      <w:rFonts w:ascii="宋体" w:hAnsi="宋体"/>
      <w:kern w:val="0"/>
      <w:sz w:val="24"/>
    </w:rPr>
  </w:style>
  <w:style w:type="character" w:customStyle="1" w:styleId="65">
    <w:name w:val="Char Char11"/>
    <w:qFormat/>
    <w:uiPriority w:val="0"/>
    <w:rPr>
      <w:rFonts w:ascii="宋体" w:eastAsia="宋体"/>
      <w:b/>
      <w:sz w:val="24"/>
      <w:u w:val="single"/>
      <w:lang w:val="en-US" w:eastAsia="zh-CN" w:bidi="ar-SA"/>
    </w:rPr>
  </w:style>
  <w:style w:type="character" w:customStyle="1" w:styleId="66">
    <w:name w:val="txt"/>
    <w:basedOn w:val="46"/>
    <w:qFormat/>
    <w:uiPriority w:val="0"/>
  </w:style>
  <w:style w:type="character" w:customStyle="1" w:styleId="67">
    <w:name w:val="正文文本缩进 字符"/>
    <w:link w:val="18"/>
    <w:qFormat/>
    <w:uiPriority w:val="0"/>
    <w:rPr>
      <w:rFonts w:eastAsia="宋体"/>
      <w:kern w:val="2"/>
      <w:sz w:val="24"/>
      <w:szCs w:val="24"/>
      <w:lang w:val="en-US" w:eastAsia="zh-CN" w:bidi="ar-SA"/>
    </w:rPr>
  </w:style>
  <w:style w:type="character" w:customStyle="1" w:styleId="68">
    <w:name w:val="正文缩进 Char Char"/>
    <w:link w:val="69"/>
    <w:qFormat/>
    <w:uiPriority w:val="0"/>
    <w:rPr>
      <w:rFonts w:ascii="宋体" w:eastAsia="宋体"/>
      <w:snapToGrid w:val="0"/>
      <w:color w:val="000000"/>
      <w:kern w:val="28"/>
      <w:sz w:val="28"/>
      <w:lang w:bidi="ar-SA"/>
    </w:rPr>
  </w:style>
  <w:style w:type="paragraph" w:customStyle="1" w:styleId="69">
    <w:name w:val="正文缩进1"/>
    <w:basedOn w:val="1"/>
    <w:link w:val="68"/>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0">
    <w:name w:val="普通文字1 Char1"/>
    <w:qFormat/>
    <w:uiPriority w:val="0"/>
    <w:rPr>
      <w:rFonts w:ascii="宋体" w:hAnsi="Courier New" w:eastAsia="宋体"/>
      <w:kern w:val="2"/>
      <w:sz w:val="21"/>
      <w:lang w:val="en-US" w:eastAsia="zh-CN" w:bidi="ar-SA"/>
    </w:rPr>
  </w:style>
  <w:style w:type="character" w:customStyle="1" w:styleId="71">
    <w:name w:val="chanpin1"/>
    <w:qFormat/>
    <w:uiPriority w:val="0"/>
    <w:rPr>
      <w:rFonts w:hint="default" w:ascii="ˎ̥" w:hAnsi="ˎ̥"/>
      <w:color w:val="000000"/>
      <w:sz w:val="20"/>
      <w:szCs w:val="20"/>
      <w:u w:val="none"/>
    </w:rPr>
  </w:style>
  <w:style w:type="character" w:customStyle="1" w:styleId="72">
    <w:name w:val="列表段落 字符"/>
    <w:link w:val="73"/>
    <w:qFormat/>
    <w:uiPriority w:val="34"/>
    <w:rPr>
      <w:rFonts w:ascii="Calibri" w:hAnsi="Calibri" w:eastAsia="宋体"/>
      <w:kern w:val="2"/>
      <w:sz w:val="21"/>
      <w:szCs w:val="22"/>
      <w:lang w:val="en-US" w:eastAsia="zh-CN" w:bidi="ar-SA"/>
    </w:rPr>
  </w:style>
  <w:style w:type="paragraph" w:customStyle="1" w:styleId="73">
    <w:name w:val="List Paragraph"/>
    <w:basedOn w:val="1"/>
    <w:link w:val="72"/>
    <w:qFormat/>
    <w:uiPriority w:val="34"/>
    <w:pPr>
      <w:ind w:firstLine="420" w:firstLineChars="200"/>
    </w:pPr>
    <w:rPr>
      <w:rFonts w:ascii="Calibri" w:hAnsi="Calibri"/>
      <w:szCs w:val="22"/>
    </w:rPr>
  </w:style>
  <w:style w:type="character" w:customStyle="1" w:styleId="74">
    <w:name w:val="标题 3 Char Char"/>
    <w:qFormat/>
    <w:uiPriority w:val="0"/>
    <w:rPr>
      <w:rFonts w:eastAsia="宋体"/>
      <w:b/>
      <w:bCs/>
      <w:kern w:val="2"/>
      <w:sz w:val="32"/>
      <w:szCs w:val="32"/>
      <w:lang w:val="en-US" w:eastAsia="zh-CN" w:bidi="ar-SA"/>
    </w:rPr>
  </w:style>
  <w:style w:type="character" w:customStyle="1" w:styleId="75">
    <w:name w:val="段1 Char"/>
    <w:qFormat/>
    <w:uiPriority w:val="0"/>
    <w:rPr>
      <w:rFonts w:ascii="宋体" w:eastAsia="宋体"/>
      <w:sz w:val="24"/>
      <w:lang w:val="en-US" w:eastAsia="zh-CN" w:bidi="ar-SA"/>
    </w:rPr>
  </w:style>
  <w:style w:type="character" w:customStyle="1" w:styleId="76">
    <w:name w:val="页眉 字符"/>
    <w:link w:val="29"/>
    <w:qFormat/>
    <w:uiPriority w:val="99"/>
    <w:rPr>
      <w:rFonts w:eastAsia="宋体"/>
      <w:kern w:val="2"/>
      <w:sz w:val="18"/>
      <w:szCs w:val="18"/>
      <w:lang w:val="en-US" w:eastAsia="zh-CN" w:bidi="ar-SA"/>
    </w:rPr>
  </w:style>
  <w:style w:type="character" w:customStyle="1" w:styleId="77">
    <w:name w:val="chanpin拷贝"/>
    <w:basedOn w:val="46"/>
    <w:qFormat/>
    <w:uiPriority w:val="0"/>
  </w:style>
  <w:style w:type="character" w:customStyle="1" w:styleId="78">
    <w:name w:val="纯文本 Char1"/>
    <w:qFormat/>
    <w:uiPriority w:val="0"/>
    <w:rPr>
      <w:rFonts w:ascii="宋体" w:hAnsi="Courier New" w:eastAsia="宋体"/>
      <w:kern w:val="2"/>
      <w:sz w:val="21"/>
      <w:lang w:val="en-US" w:eastAsia="zh-CN" w:bidi="ar-SA"/>
    </w:rPr>
  </w:style>
  <w:style w:type="character" w:customStyle="1" w:styleId="79">
    <w:name w:val="apple-style-span"/>
    <w:qFormat/>
    <w:uiPriority w:val="0"/>
    <w:rPr>
      <w:rFonts w:cs="Times New Roman"/>
    </w:rPr>
  </w:style>
  <w:style w:type="paragraph" w:customStyle="1" w:styleId="80">
    <w:name w:val="二级条标题"/>
    <w:basedOn w:val="81"/>
    <w:next w:val="1"/>
    <w:qFormat/>
    <w:uiPriority w:val="0"/>
    <w:pPr>
      <w:numPr>
        <w:numId w:val="0"/>
      </w:numPr>
      <w:tabs>
        <w:tab w:val="left" w:pos="360"/>
        <w:tab w:val="left" w:pos="840"/>
      </w:tabs>
      <w:ind w:hanging="840"/>
      <w:outlineLvl w:val="2"/>
    </w:pPr>
    <w:rPr>
      <w:rFonts w:ascii="宋体" w:eastAsia="宋体"/>
      <w:b w:val="0"/>
    </w:rPr>
  </w:style>
  <w:style w:type="paragraph" w:customStyle="1" w:styleId="81">
    <w:name w:val="一级条标题"/>
    <w:basedOn w:val="82"/>
    <w:next w:val="1"/>
    <w:qFormat/>
    <w:uiPriority w:val="0"/>
    <w:pPr>
      <w:numPr>
        <w:ilvl w:val="1"/>
      </w:numPr>
      <w:tabs>
        <w:tab w:val="left" w:pos="360"/>
        <w:tab w:val="left" w:pos="840"/>
      </w:tabs>
      <w:ind w:left="0" w:hanging="840"/>
      <w:outlineLvl w:val="1"/>
    </w:pPr>
  </w:style>
  <w:style w:type="paragraph" w:customStyle="1" w:styleId="82">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3">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4">
    <w:name w:val="字元 字元"/>
    <w:basedOn w:val="1"/>
    <w:qFormat/>
    <w:uiPriority w:val="0"/>
    <w:rPr>
      <w:rFonts w:ascii="Tahoma" w:hAnsi="Tahoma"/>
      <w:sz w:val="24"/>
      <w:szCs w:val="20"/>
    </w:rPr>
  </w:style>
  <w:style w:type="paragraph" w:customStyle="1" w:styleId="85">
    <w:name w:val="Char3 Char Char Char"/>
    <w:basedOn w:val="1"/>
    <w:qFormat/>
    <w:uiPriority w:val="0"/>
    <w:rPr>
      <w:rFonts w:ascii="Tahoma" w:hAnsi="Tahoma"/>
      <w:sz w:val="24"/>
      <w:szCs w:val="20"/>
    </w:rPr>
  </w:style>
  <w:style w:type="paragraph" w:customStyle="1" w:styleId="86">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7">
    <w:name w:val="项目编号2"/>
    <w:basedOn w:val="88"/>
    <w:qFormat/>
    <w:uiPriority w:val="0"/>
    <w:pPr>
      <w:numPr>
        <w:numId w:val="2"/>
      </w:numPr>
    </w:pPr>
  </w:style>
  <w:style w:type="paragraph" w:customStyle="1" w:styleId="88">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9">
    <w:name w:val="图中文字"/>
    <w:basedOn w:val="1"/>
    <w:qFormat/>
    <w:uiPriority w:val="0"/>
    <w:pPr>
      <w:adjustRightInd w:val="0"/>
      <w:snapToGrid w:val="0"/>
      <w:spacing w:line="0" w:lineRule="atLeast"/>
      <w:jc w:val="center"/>
    </w:pPr>
    <w:rPr>
      <w:sz w:val="24"/>
      <w:szCs w:val="20"/>
    </w:rPr>
  </w:style>
  <w:style w:type="paragraph" w:customStyle="1" w:styleId="90">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2">
    <w:name w:val="Char2"/>
    <w:basedOn w:val="1"/>
    <w:qFormat/>
    <w:uiPriority w:val="0"/>
    <w:rPr>
      <w:rFonts w:ascii="Tahoma" w:hAnsi="Tahoma"/>
      <w:sz w:val="24"/>
      <w:szCs w:val="20"/>
    </w:rPr>
  </w:style>
  <w:style w:type="paragraph" w:customStyle="1" w:styleId="93">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6">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8">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9">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0">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1">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2">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3">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4">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6">
    <w:name w:val="font8"/>
    <w:basedOn w:val="1"/>
    <w:qFormat/>
    <w:uiPriority w:val="0"/>
    <w:pPr>
      <w:widowControl/>
      <w:spacing w:before="100" w:beforeAutospacing="1" w:after="100" w:afterAutospacing="1"/>
      <w:jc w:val="left"/>
    </w:pPr>
    <w:rPr>
      <w:kern w:val="0"/>
      <w:sz w:val="36"/>
      <w:szCs w:val="36"/>
    </w:rPr>
  </w:style>
  <w:style w:type="paragraph" w:customStyle="1" w:styleId="107">
    <w:name w:val="Char"/>
    <w:basedOn w:val="1"/>
    <w:qFormat/>
    <w:uiPriority w:val="0"/>
    <w:pPr>
      <w:tabs>
        <w:tab w:val="left" w:pos="360"/>
      </w:tabs>
    </w:pPr>
    <w:rPr>
      <w:sz w:val="24"/>
    </w:rPr>
  </w:style>
  <w:style w:type="paragraph" w:customStyle="1" w:styleId="108">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09">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0">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1">
    <w:name w:val="Char Char1"/>
    <w:basedOn w:val="14"/>
    <w:qFormat/>
    <w:uiPriority w:val="0"/>
    <w:rPr>
      <w:rFonts w:ascii="Tahoma" w:hAnsi="Tahoma"/>
      <w:sz w:val="24"/>
    </w:rPr>
  </w:style>
  <w:style w:type="paragraph" w:customStyle="1" w:styleId="11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4">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5">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6">
    <w:name w:val="Char1 Char Char Char1"/>
    <w:basedOn w:val="1"/>
    <w:qFormat/>
    <w:uiPriority w:val="0"/>
    <w:rPr>
      <w:rFonts w:ascii="Tahoma" w:hAnsi="Tahoma" w:cs="仿宋_GB2312"/>
      <w:sz w:val="24"/>
      <w:szCs w:val="28"/>
    </w:rPr>
  </w:style>
  <w:style w:type="paragraph" w:customStyle="1" w:styleId="117">
    <w:name w:val="四级条标题"/>
    <w:basedOn w:val="118"/>
    <w:next w:val="1"/>
    <w:qFormat/>
    <w:uiPriority w:val="0"/>
    <w:pPr>
      <w:numPr>
        <w:ilvl w:val="4"/>
      </w:numPr>
      <w:tabs>
        <w:tab w:val="left" w:pos="360"/>
        <w:tab w:val="left" w:pos="840"/>
      </w:tabs>
      <w:ind w:left="0" w:hanging="840"/>
      <w:outlineLvl w:val="4"/>
    </w:pPr>
  </w:style>
  <w:style w:type="paragraph" w:customStyle="1" w:styleId="118">
    <w:name w:val="三级条标题"/>
    <w:basedOn w:val="80"/>
    <w:next w:val="1"/>
    <w:qFormat/>
    <w:uiPriority w:val="0"/>
    <w:pPr>
      <w:numPr>
        <w:ilvl w:val="3"/>
        <w:numId w:val="1"/>
      </w:numPr>
      <w:ind w:left="0" w:hanging="840"/>
      <w:outlineLvl w:val="3"/>
    </w:pPr>
  </w:style>
  <w:style w:type="paragraph" w:customStyle="1" w:styleId="119">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0">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1">
    <w:name w:val="List Paragraph1"/>
    <w:basedOn w:val="1"/>
    <w:qFormat/>
    <w:uiPriority w:val="0"/>
    <w:pPr>
      <w:ind w:firstLine="420" w:firstLineChars="200"/>
    </w:pPr>
    <w:rPr>
      <w:rFonts w:ascii="Calibri" w:hAnsi="Calibri"/>
      <w:szCs w:val="22"/>
    </w:rPr>
  </w:style>
  <w:style w:type="paragraph" w:customStyle="1" w:styleId="122">
    <w:name w:val="项目符号1"/>
    <w:basedOn w:val="123"/>
    <w:qFormat/>
    <w:uiPriority w:val="0"/>
    <w:pPr>
      <w:ind w:left="-25" w:firstLine="0"/>
    </w:pPr>
  </w:style>
  <w:style w:type="paragraph" w:customStyle="1" w:styleId="123">
    <w:name w:val="正文文本样式"/>
    <w:basedOn w:val="1"/>
    <w:qFormat/>
    <w:uiPriority w:val="0"/>
    <w:pPr>
      <w:spacing w:line="360" w:lineRule="auto"/>
      <w:ind w:firstLine="482"/>
    </w:pPr>
    <w:rPr>
      <w:rFonts w:cs="宋体"/>
      <w:sz w:val="24"/>
      <w:szCs w:val="20"/>
    </w:rPr>
  </w:style>
  <w:style w:type="paragraph" w:customStyle="1" w:styleId="124">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6">
    <w:name w:val="五级条标题"/>
    <w:basedOn w:val="117"/>
    <w:next w:val="1"/>
    <w:qFormat/>
    <w:uiPriority w:val="0"/>
    <w:pPr>
      <w:numPr>
        <w:ilvl w:val="5"/>
      </w:numPr>
      <w:ind w:left="0" w:hanging="840"/>
      <w:outlineLvl w:val="5"/>
    </w:pPr>
  </w:style>
  <w:style w:type="paragraph" w:customStyle="1" w:styleId="127">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8">
    <w:name w:val="文档正文"/>
    <w:basedOn w:val="1"/>
    <w:qFormat/>
    <w:uiPriority w:val="0"/>
    <w:pPr>
      <w:snapToGrid w:val="0"/>
      <w:spacing w:before="120" w:after="120" w:line="180" w:lineRule="auto"/>
    </w:pPr>
    <w:rPr>
      <w:rFonts w:ascii="Arial" w:hAnsi="Arial"/>
      <w:szCs w:val="20"/>
    </w:rPr>
  </w:style>
  <w:style w:type="paragraph" w:customStyle="1" w:styleId="129">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0">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1">
    <w:name w:val="Char Char Char1 Char"/>
    <w:basedOn w:val="1"/>
    <w:qFormat/>
    <w:uiPriority w:val="0"/>
    <w:rPr>
      <w:rFonts w:ascii="Tahoma" w:hAnsi="Tahoma"/>
      <w:sz w:val="24"/>
      <w:szCs w:val="20"/>
    </w:rPr>
  </w:style>
  <w:style w:type="paragraph" w:customStyle="1" w:styleId="132">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3">
    <w:name w:val="1名"/>
    <w:basedOn w:val="1"/>
    <w:qFormat/>
    <w:uiPriority w:val="0"/>
    <w:pPr>
      <w:numPr>
        <w:ilvl w:val="0"/>
        <w:numId w:val="5"/>
      </w:numPr>
      <w:spacing w:before="120"/>
    </w:pPr>
    <w:rPr>
      <w:rFonts w:ascii="宋体"/>
      <w:sz w:val="28"/>
      <w:szCs w:val="20"/>
    </w:rPr>
  </w:style>
  <w:style w:type="paragraph" w:customStyle="1" w:styleId="134">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5">
    <w:name w:val="Char Char Char1 Char1"/>
    <w:basedOn w:val="1"/>
    <w:qFormat/>
    <w:uiPriority w:val="0"/>
    <w:rPr>
      <w:rFonts w:ascii="Tahoma" w:hAnsi="Tahoma"/>
      <w:sz w:val="24"/>
      <w:szCs w:val="20"/>
    </w:rPr>
  </w:style>
  <w:style w:type="paragraph" w:customStyle="1" w:styleId="136">
    <w:name w:val="Char Char Char Char Char Char Char Char Char Char"/>
    <w:basedOn w:val="1"/>
    <w:qFormat/>
    <w:uiPriority w:val="0"/>
  </w:style>
  <w:style w:type="paragraph" w:customStyle="1" w:styleId="137">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8">
    <w:name w:val="Char1"/>
    <w:basedOn w:val="1"/>
    <w:qFormat/>
    <w:uiPriority w:val="0"/>
    <w:pPr>
      <w:tabs>
        <w:tab w:val="left" w:pos="360"/>
      </w:tabs>
    </w:pPr>
    <w:rPr>
      <w:sz w:val="24"/>
    </w:rPr>
  </w:style>
  <w:style w:type="paragraph" w:customStyle="1" w:styleId="139">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1">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2">
    <w:name w:val="默认段落字体 Para Char Char Char Char"/>
    <w:basedOn w:val="1"/>
    <w:qFormat/>
    <w:uiPriority w:val="0"/>
    <w:rPr>
      <w:rFonts w:ascii="Arial" w:hAnsi="Arial" w:cs="Arial"/>
      <w:szCs w:val="21"/>
    </w:rPr>
  </w:style>
  <w:style w:type="paragraph" w:customStyle="1" w:styleId="143">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4">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5">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6">
    <w:name w:val="Char Char Char"/>
    <w:basedOn w:val="1"/>
    <w:qFormat/>
    <w:uiPriority w:val="0"/>
    <w:rPr>
      <w:rFonts w:ascii="Tahoma" w:hAnsi="Tahoma"/>
      <w:sz w:val="24"/>
      <w:szCs w:val="20"/>
    </w:rPr>
  </w:style>
  <w:style w:type="paragraph" w:customStyle="1" w:styleId="14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8">
    <w:name w:val="缺省文本"/>
    <w:basedOn w:val="1"/>
    <w:qFormat/>
    <w:uiPriority w:val="0"/>
    <w:pPr>
      <w:autoSpaceDE w:val="0"/>
      <w:autoSpaceDN w:val="0"/>
      <w:adjustRightInd w:val="0"/>
      <w:jc w:val="left"/>
    </w:pPr>
    <w:rPr>
      <w:kern w:val="0"/>
      <w:sz w:val="24"/>
    </w:rPr>
  </w:style>
  <w:style w:type="paragraph" w:customStyle="1" w:styleId="149">
    <w:name w:val="Char Char Char1"/>
    <w:basedOn w:val="1"/>
    <w:qFormat/>
    <w:uiPriority w:val="0"/>
    <w:rPr>
      <w:rFonts w:ascii="Tahoma" w:hAnsi="Tahoma"/>
      <w:sz w:val="24"/>
      <w:szCs w:val="20"/>
    </w:rPr>
  </w:style>
  <w:style w:type="paragraph" w:customStyle="1" w:styleId="150">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1">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2">
    <w:name w:val="样式2"/>
    <w:basedOn w:val="39"/>
    <w:qFormat/>
    <w:uiPriority w:val="0"/>
    <w:pPr>
      <w:spacing w:line="360" w:lineRule="auto"/>
      <w:jc w:val="center"/>
    </w:pPr>
    <w:rPr>
      <w:sz w:val="24"/>
    </w:rPr>
  </w:style>
  <w:style w:type="paragraph" w:customStyle="1" w:styleId="153">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5">
    <w:name w:val="正文 + 楷体_GB2312"/>
    <w:basedOn w:val="1"/>
    <w:qFormat/>
    <w:uiPriority w:val="0"/>
    <w:pPr>
      <w:widowControl/>
      <w:jc w:val="left"/>
    </w:pPr>
    <w:rPr>
      <w:rFonts w:ascii="楷体_GB2312" w:eastAsia="楷体_GB2312" w:cs="Arial"/>
      <w:kern w:val="0"/>
      <w:sz w:val="24"/>
    </w:rPr>
  </w:style>
  <w:style w:type="paragraph" w:customStyle="1" w:styleId="156">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7">
    <w:name w:val="1 Char Char Char Char"/>
    <w:basedOn w:val="1"/>
    <w:qFormat/>
    <w:uiPriority w:val="0"/>
    <w:rPr>
      <w:rFonts w:ascii="Tahoma" w:hAnsi="Tahoma"/>
      <w:sz w:val="24"/>
      <w:szCs w:val="20"/>
    </w:rPr>
  </w:style>
  <w:style w:type="paragraph" w:customStyle="1" w:styleId="158">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59">
    <w:name w:val="列出段落1"/>
    <w:basedOn w:val="1"/>
    <w:qFormat/>
    <w:uiPriority w:val="0"/>
    <w:pPr>
      <w:ind w:firstLine="420" w:firstLineChars="200"/>
    </w:pPr>
    <w:rPr>
      <w:rFonts w:ascii="Calibri" w:hAnsi="Calibri"/>
      <w:szCs w:val="22"/>
    </w:rPr>
  </w:style>
  <w:style w:type="paragraph" w:customStyle="1" w:styleId="160">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1">
    <w:name w:val="字元 字元1"/>
    <w:basedOn w:val="1"/>
    <w:qFormat/>
    <w:uiPriority w:val="0"/>
    <w:rPr>
      <w:rFonts w:ascii="Tahoma" w:hAnsi="Tahoma"/>
      <w:sz w:val="24"/>
      <w:szCs w:val="20"/>
    </w:rPr>
  </w:style>
  <w:style w:type="paragraph" w:customStyle="1" w:styleId="162">
    <w:name w:val="_Style 160"/>
    <w:qFormat/>
    <w:uiPriority w:val="0"/>
    <w:rPr>
      <w:rFonts w:ascii="Times New Roman" w:hAnsi="Times New Roman" w:eastAsia="宋体" w:cs="Times New Roman"/>
      <w:kern w:val="2"/>
      <w:sz w:val="21"/>
      <w:szCs w:val="24"/>
      <w:lang w:val="en-US" w:eastAsia="zh-CN" w:bidi="ar-SA"/>
    </w:rPr>
  </w:style>
  <w:style w:type="paragraph" w:customStyle="1" w:styleId="163">
    <w:name w:val="项目编号3"/>
    <w:basedOn w:val="123"/>
    <w:qFormat/>
    <w:uiPriority w:val="0"/>
    <w:pPr>
      <w:numPr>
        <w:ilvl w:val="0"/>
        <w:numId w:val="6"/>
      </w:numPr>
    </w:pPr>
  </w:style>
  <w:style w:type="paragraph" w:customStyle="1" w:styleId="164">
    <w:name w:val="Char21"/>
    <w:basedOn w:val="1"/>
    <w:qFormat/>
    <w:uiPriority w:val="0"/>
    <w:rPr>
      <w:rFonts w:ascii="Tahoma" w:hAnsi="Tahoma"/>
      <w:sz w:val="24"/>
      <w:szCs w:val="20"/>
    </w:rPr>
  </w:style>
  <w:style w:type="paragraph" w:customStyle="1" w:styleId="165">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6">
    <w:name w:val="Char Char Char Char Char Char Char Char Char Char1"/>
    <w:basedOn w:val="1"/>
    <w:qFormat/>
    <w:uiPriority w:val="0"/>
    <w:rPr>
      <w:rFonts w:ascii="宋体" w:hAnsi="宋体" w:cs="Courier New"/>
      <w:sz w:val="32"/>
      <w:szCs w:val="32"/>
    </w:rPr>
  </w:style>
  <w:style w:type="paragraph" w:customStyle="1" w:styleId="167">
    <w:name w:val="正文文本样式 加粗"/>
    <w:basedOn w:val="123"/>
    <w:qFormat/>
    <w:uiPriority w:val="0"/>
    <w:rPr>
      <w:b/>
    </w:rPr>
  </w:style>
  <w:style w:type="paragraph" w:customStyle="1" w:styleId="168">
    <w:name w:val="Char2 Char Char Char Char Char Char"/>
    <w:basedOn w:val="1"/>
    <w:qFormat/>
    <w:uiPriority w:val="0"/>
    <w:pPr>
      <w:widowControl/>
      <w:spacing w:line="400" w:lineRule="exact"/>
      <w:jc w:val="center"/>
    </w:pPr>
  </w:style>
  <w:style w:type="character" w:customStyle="1" w:styleId="169">
    <w:name w:val="页脚 字符"/>
    <w:link w:val="28"/>
    <w:qFormat/>
    <w:uiPriority w:val="99"/>
    <w:rPr>
      <w:rFonts w:ascii="宋体" w:eastAsia="宋体"/>
      <w:sz w:val="18"/>
      <w:lang w:val="en-US" w:eastAsia="zh-CN" w:bidi="ar-SA"/>
    </w:rPr>
  </w:style>
  <w:style w:type="paragraph" w:customStyle="1" w:styleId="170">
    <w:name w:val="Char Char4"/>
    <w:basedOn w:val="1"/>
    <w:qFormat/>
    <w:uiPriority w:val="0"/>
    <w:pPr>
      <w:widowControl/>
      <w:spacing w:line="400" w:lineRule="exact"/>
      <w:jc w:val="center"/>
    </w:pPr>
  </w:style>
  <w:style w:type="paragraph" w:customStyle="1" w:styleId="171">
    <w:name w:val="Char3 Char Char Char1"/>
    <w:basedOn w:val="1"/>
    <w:qFormat/>
    <w:uiPriority w:val="0"/>
    <w:rPr>
      <w:rFonts w:ascii="Tahoma" w:hAnsi="Tahoma"/>
      <w:sz w:val="24"/>
      <w:szCs w:val="20"/>
    </w:rPr>
  </w:style>
  <w:style w:type="paragraph" w:customStyle="1" w:styleId="172">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3">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4">
    <w:name w:val="中等深浅网格 1 - 强调文字颜色 2 Char"/>
    <w:link w:val="175"/>
    <w:qFormat/>
    <w:uiPriority w:val="0"/>
    <w:rPr>
      <w:kern w:val="2"/>
      <w:sz w:val="21"/>
      <w:szCs w:val="24"/>
      <w:lang w:val="zh-CN" w:eastAsia="zh-CN"/>
    </w:rPr>
  </w:style>
  <w:style w:type="paragraph" w:customStyle="1" w:styleId="175">
    <w:name w:val="1"/>
    <w:link w:val="174"/>
    <w:qFormat/>
    <w:uiPriority w:val="0"/>
    <w:rPr>
      <w:rFonts w:ascii="Times New Roman" w:hAnsi="Times New Roman" w:eastAsia="宋体" w:cs="Times New Roman"/>
      <w:kern w:val="2"/>
      <w:sz w:val="21"/>
      <w:szCs w:val="24"/>
      <w:lang w:val="zh-CN" w:eastAsia="zh-CN" w:bidi="ar-SA"/>
    </w:rPr>
  </w:style>
  <w:style w:type="paragraph" w:customStyle="1" w:styleId="176">
    <w:name w:val="图文"/>
    <w:basedOn w:val="1"/>
    <w:qFormat/>
    <w:uiPriority w:val="0"/>
    <w:pPr>
      <w:adjustRightInd w:val="0"/>
      <w:snapToGrid w:val="0"/>
      <w:spacing w:after="50" w:line="360" w:lineRule="auto"/>
    </w:pPr>
    <w:rPr>
      <w:sz w:val="24"/>
    </w:rPr>
  </w:style>
  <w:style w:type="paragraph" w:customStyle="1" w:styleId="177">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8">
    <w:name w:val="正文表格"/>
    <w:basedOn w:val="1"/>
    <w:link w:val="179"/>
    <w:qFormat/>
    <w:uiPriority w:val="0"/>
    <w:pPr>
      <w:adjustRightInd w:val="0"/>
      <w:snapToGrid w:val="0"/>
      <w:jc w:val="left"/>
    </w:pPr>
    <w:rPr>
      <w:rFonts w:ascii="宋体" w:hAnsi="宋体"/>
      <w:color w:val="000000"/>
      <w:szCs w:val="21"/>
    </w:rPr>
  </w:style>
  <w:style w:type="character" w:customStyle="1" w:styleId="179">
    <w:name w:val="正文表格 Char"/>
    <w:link w:val="178"/>
    <w:qFormat/>
    <w:uiPriority w:val="0"/>
    <w:rPr>
      <w:rFonts w:ascii="宋体" w:hAnsi="宋体"/>
      <w:color w:val="000000"/>
      <w:kern w:val="2"/>
      <w:sz w:val="21"/>
      <w:szCs w:val="21"/>
    </w:rPr>
  </w:style>
  <w:style w:type="paragraph" w:customStyle="1" w:styleId="180">
    <w:name w:val="正文重点"/>
    <w:basedOn w:val="1"/>
    <w:link w:val="181"/>
    <w:qFormat/>
    <w:uiPriority w:val="0"/>
    <w:pPr>
      <w:adjustRightInd w:val="0"/>
      <w:spacing w:line="360" w:lineRule="auto"/>
      <w:ind w:firstLine="482" w:firstLineChars="200"/>
      <w:jc w:val="left"/>
      <w:textAlignment w:val="baseline"/>
    </w:pPr>
    <w:rPr>
      <w:b/>
      <w:kern w:val="0"/>
      <w:sz w:val="24"/>
      <w:szCs w:val="20"/>
    </w:rPr>
  </w:style>
  <w:style w:type="character" w:customStyle="1" w:styleId="181">
    <w:name w:val="正文重点 Char"/>
    <w:link w:val="180"/>
    <w:qFormat/>
    <w:uiPriority w:val="0"/>
    <w:rPr>
      <w:b/>
      <w:sz w:val="24"/>
    </w:rPr>
  </w:style>
  <w:style w:type="character" w:customStyle="1" w:styleId="182">
    <w:name w:val="批注文字 字符1"/>
    <w:link w:val="15"/>
    <w:qFormat/>
    <w:uiPriority w:val="99"/>
    <w:rPr>
      <w:kern w:val="2"/>
      <w:sz w:val="21"/>
      <w:szCs w:val="24"/>
    </w:rPr>
  </w:style>
  <w:style w:type="paragraph" w:customStyle="1" w:styleId="183">
    <w:name w:val="标题1-附件"/>
    <w:basedOn w:val="2"/>
    <w:qFormat/>
    <w:uiPriority w:val="0"/>
    <w:pPr>
      <w:jc w:val="left"/>
    </w:pPr>
    <w:rPr>
      <w:sz w:val="24"/>
      <w:szCs w:val="24"/>
    </w:rPr>
  </w:style>
  <w:style w:type="paragraph" w:customStyle="1" w:styleId="184">
    <w:name w:val="正文小标题"/>
    <w:basedOn w:val="1"/>
    <w:next w:val="4"/>
    <w:link w:val="185"/>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5">
    <w:name w:val="正文小标题 Char"/>
    <w:link w:val="184"/>
    <w:qFormat/>
    <w:uiPriority w:val="0"/>
    <w:rPr>
      <w:rFonts w:ascii="宋体" w:hAnsi="宋体"/>
      <w:b/>
      <w:i/>
      <w:color w:val="FF0000"/>
      <w:kern w:val="2"/>
      <w:sz w:val="24"/>
    </w:rPr>
  </w:style>
  <w:style w:type="paragraph" w:customStyle="1" w:styleId="186">
    <w:name w:val="正文大标题"/>
    <w:basedOn w:val="184"/>
    <w:next w:val="4"/>
    <w:link w:val="187"/>
    <w:qFormat/>
    <w:uiPriority w:val="0"/>
    <w:pPr>
      <w:jc w:val="center"/>
    </w:pPr>
    <w:rPr>
      <w:i w:val="0"/>
      <w:color w:val="000000"/>
      <w:sz w:val="28"/>
      <w:szCs w:val="21"/>
    </w:rPr>
  </w:style>
  <w:style w:type="character" w:customStyle="1" w:styleId="187">
    <w:name w:val="正文大标题 Char"/>
    <w:link w:val="186"/>
    <w:qFormat/>
    <w:uiPriority w:val="0"/>
    <w:rPr>
      <w:rFonts w:ascii="宋体" w:hAnsi="宋体"/>
      <w:b/>
      <w:color w:val="000000"/>
      <w:kern w:val="2"/>
      <w:sz w:val="28"/>
      <w:szCs w:val="21"/>
    </w:rPr>
  </w:style>
  <w:style w:type="character" w:customStyle="1" w:styleId="188">
    <w:name w:val="标题 字符"/>
    <w:link w:val="40"/>
    <w:qFormat/>
    <w:uiPriority w:val="0"/>
    <w:rPr>
      <w:b/>
      <w:kern w:val="2"/>
      <w:sz w:val="32"/>
    </w:rPr>
  </w:style>
  <w:style w:type="paragraph" w:customStyle="1" w:styleId="189">
    <w:name w:val="注释"/>
    <w:basedOn w:val="1"/>
    <w:link w:val="190"/>
    <w:qFormat/>
    <w:uiPriority w:val="0"/>
    <w:pPr>
      <w:adjustRightInd w:val="0"/>
      <w:snapToGrid w:val="0"/>
      <w:ind w:left="420" w:hanging="420" w:hangingChars="200"/>
      <w:jc w:val="left"/>
    </w:pPr>
    <w:rPr>
      <w:rFonts w:ascii="宋体" w:hAnsi="宋体"/>
      <w:szCs w:val="21"/>
    </w:rPr>
  </w:style>
  <w:style w:type="character" w:customStyle="1" w:styleId="190">
    <w:name w:val="注释 Char"/>
    <w:link w:val="189"/>
    <w:qFormat/>
    <w:uiPriority w:val="0"/>
    <w:rPr>
      <w:rFonts w:ascii="宋体" w:hAnsi="宋体"/>
      <w:kern w:val="2"/>
      <w:sz w:val="21"/>
      <w:szCs w:val="21"/>
    </w:rPr>
  </w:style>
  <w:style w:type="paragraph" w:customStyle="1" w:styleId="191">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2">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3">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4">
    <w:name w:val="批注文字 字符"/>
    <w:qFormat/>
    <w:uiPriority w:val="99"/>
    <w:rPr>
      <w:rFonts w:ascii="Times New Roman" w:hAnsi="Times New Roman" w:eastAsia="宋体" w:cs="Times New Roman"/>
      <w:sz w:val="24"/>
      <w:lang w:val="en-US" w:eastAsia="zh-CN" w:bidi="ar-SA"/>
    </w:rPr>
  </w:style>
  <w:style w:type="character" w:customStyle="1" w:styleId="195">
    <w:name w:val="纯文本 字符"/>
    <w:qFormat/>
    <w:uiPriority w:val="99"/>
    <w:rPr>
      <w:rFonts w:ascii="宋体" w:hAnsi="Courier New" w:eastAsia="宋体" w:cs="Times New Roman"/>
      <w:kern w:val="2"/>
      <w:sz w:val="21"/>
      <w:szCs w:val="21"/>
      <w:lang w:val="en-US" w:eastAsia="zh-CN" w:bidi="ar-SA"/>
    </w:rPr>
  </w:style>
  <w:style w:type="paragraph" w:customStyle="1" w:styleId="196">
    <w:name w:val="表格1"/>
    <w:basedOn w:val="1"/>
    <w:qFormat/>
    <w:uiPriority w:val="0"/>
    <w:pPr>
      <w:ind w:firstLine="480" w:firstLineChars="200"/>
      <w:jc w:val="center"/>
    </w:pPr>
    <w:rPr>
      <w:sz w:val="24"/>
      <w:szCs w:val="20"/>
    </w:rPr>
  </w:style>
  <w:style w:type="character" w:customStyle="1" w:styleId="197">
    <w:name w:val="纯文本 字符1"/>
    <w:qFormat/>
    <w:uiPriority w:val="0"/>
    <w:rPr>
      <w:rFonts w:ascii="宋体" w:hAnsi="Courier New"/>
    </w:rPr>
  </w:style>
  <w:style w:type="character" w:customStyle="1" w:styleId="198">
    <w:name w:val="bjh-p"/>
    <w:qFormat/>
    <w:uiPriority w:val="0"/>
  </w:style>
  <w:style w:type="paragraph" w:customStyle="1" w:styleId="199">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0">
    <w:name w:val="正文格式 Char"/>
    <w:link w:val="201"/>
    <w:qFormat/>
    <w:locked/>
    <w:uiPriority w:val="0"/>
    <w:rPr>
      <w:rFonts w:ascii="宋体" w:hAnsi="宋体"/>
      <w:sz w:val="24"/>
      <w:szCs w:val="24"/>
      <w:lang w:val="en-GB"/>
    </w:rPr>
  </w:style>
  <w:style w:type="paragraph" w:customStyle="1" w:styleId="201">
    <w:name w:val="正文格式"/>
    <w:basedOn w:val="1"/>
    <w:link w:val="200"/>
    <w:qFormat/>
    <w:uiPriority w:val="0"/>
    <w:pPr>
      <w:spacing w:beforeLines="50" w:line="360" w:lineRule="auto"/>
      <w:ind w:firstLine="480" w:firstLineChars="200"/>
    </w:pPr>
    <w:rPr>
      <w:rFonts w:ascii="宋体" w:hAnsi="宋体"/>
      <w:kern w:val="0"/>
      <w:sz w:val="24"/>
      <w:lang w:val="en-GB"/>
    </w:rPr>
  </w:style>
  <w:style w:type="character" w:customStyle="1" w:styleId="202">
    <w:name w:val="纯文本 字符2"/>
    <w:basedOn w:val="46"/>
    <w:link w:val="23"/>
    <w:qFormat/>
    <w:uiPriority w:val="0"/>
    <w:rPr>
      <w:rFonts w:hint="eastAsia" w:ascii="宋体" w:hAnsi="Courier New" w:eastAsia="宋体" w:cs="宋体"/>
      <w:kern w:val="2"/>
      <w:sz w:val="21"/>
    </w:rPr>
  </w:style>
  <w:style w:type="character" w:customStyle="1" w:styleId="203">
    <w:name w:val="标题 3 Char"/>
    <w:qFormat/>
    <w:uiPriority w:val="0"/>
    <w:rPr>
      <w:rFonts w:ascii="宋体" w:eastAsia="宋体"/>
      <w:b/>
      <w:sz w:val="24"/>
      <w:u w:val="single"/>
      <w:lang w:val="en-US" w:eastAsia="zh-CN" w:bidi="ar-SA"/>
    </w:rPr>
  </w:style>
  <w:style w:type="character" w:customStyle="1" w:styleId="204">
    <w:name w:val="正文缩进 Char"/>
    <w:qFormat/>
    <w:uiPriority w:val="0"/>
    <w:rPr>
      <w:rFonts w:ascii="宋体" w:eastAsia="宋体"/>
      <w:kern w:val="2"/>
      <w:sz w:val="24"/>
      <w:szCs w:val="24"/>
      <w:lang w:val="en-US" w:eastAsia="zh-CN" w:bidi="ar-SA"/>
    </w:rPr>
  </w:style>
  <w:style w:type="character" w:customStyle="1" w:styleId="205">
    <w:name w:val="Char Char111"/>
    <w:qFormat/>
    <w:uiPriority w:val="0"/>
    <w:rPr>
      <w:rFonts w:ascii="宋体" w:eastAsia="宋体"/>
      <w:b/>
      <w:sz w:val="24"/>
      <w:u w:val="single"/>
      <w:lang w:val="en-US" w:eastAsia="zh-CN" w:bidi="ar-SA"/>
    </w:rPr>
  </w:style>
  <w:style w:type="character" w:customStyle="1" w:styleId="206">
    <w:name w:val="正文文本缩进 Char"/>
    <w:qFormat/>
    <w:uiPriority w:val="0"/>
    <w:rPr>
      <w:rFonts w:eastAsia="宋体"/>
      <w:kern w:val="2"/>
      <w:sz w:val="24"/>
      <w:szCs w:val="24"/>
      <w:lang w:val="en-US" w:eastAsia="zh-CN" w:bidi="ar-SA"/>
    </w:rPr>
  </w:style>
  <w:style w:type="character" w:customStyle="1" w:styleId="207">
    <w:name w:val="列出段落 Char"/>
    <w:qFormat/>
    <w:uiPriority w:val="0"/>
    <w:rPr>
      <w:rFonts w:ascii="Calibri" w:hAnsi="Calibri" w:eastAsia="宋体"/>
      <w:kern w:val="2"/>
      <w:sz w:val="21"/>
      <w:szCs w:val="22"/>
      <w:lang w:val="en-US" w:eastAsia="zh-CN" w:bidi="ar-SA"/>
    </w:rPr>
  </w:style>
  <w:style w:type="character" w:customStyle="1" w:styleId="208">
    <w:name w:val="页眉 Char"/>
    <w:qFormat/>
    <w:uiPriority w:val="0"/>
    <w:rPr>
      <w:rFonts w:eastAsia="宋体"/>
      <w:kern w:val="2"/>
      <w:sz w:val="18"/>
      <w:szCs w:val="18"/>
      <w:lang w:val="en-US" w:eastAsia="zh-CN" w:bidi="ar-SA"/>
    </w:rPr>
  </w:style>
  <w:style w:type="character" w:customStyle="1" w:styleId="209">
    <w:name w:val="标题 2 Char"/>
    <w:qFormat/>
    <w:uiPriority w:val="0"/>
    <w:rPr>
      <w:rFonts w:ascii="Arial" w:hAnsi="Arial" w:eastAsia="黑体"/>
      <w:b/>
      <w:sz w:val="30"/>
      <w:lang w:val="en-US" w:eastAsia="zh-CN" w:bidi="ar-SA"/>
    </w:rPr>
  </w:style>
  <w:style w:type="paragraph" w:customStyle="1" w:styleId="210">
    <w:name w:val="字元 字元2"/>
    <w:basedOn w:val="1"/>
    <w:qFormat/>
    <w:uiPriority w:val="0"/>
    <w:rPr>
      <w:rFonts w:ascii="Tahoma" w:hAnsi="Tahoma"/>
      <w:sz w:val="24"/>
      <w:szCs w:val="20"/>
    </w:rPr>
  </w:style>
  <w:style w:type="paragraph" w:customStyle="1" w:styleId="211">
    <w:name w:val="Char3 Char Char Char2"/>
    <w:basedOn w:val="1"/>
    <w:qFormat/>
    <w:uiPriority w:val="0"/>
    <w:rPr>
      <w:rFonts w:ascii="Tahoma" w:hAnsi="Tahoma"/>
      <w:sz w:val="24"/>
      <w:szCs w:val="20"/>
    </w:rPr>
  </w:style>
  <w:style w:type="paragraph" w:customStyle="1" w:styleId="212">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3">
    <w:name w:val="Char3"/>
    <w:basedOn w:val="1"/>
    <w:qFormat/>
    <w:uiPriority w:val="0"/>
    <w:pPr>
      <w:tabs>
        <w:tab w:val="left" w:pos="360"/>
      </w:tabs>
    </w:pPr>
    <w:rPr>
      <w:sz w:val="24"/>
    </w:rPr>
  </w:style>
  <w:style w:type="paragraph" w:customStyle="1" w:styleId="214">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5">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6">
    <w:name w:val="列出段落2"/>
    <w:basedOn w:val="1"/>
    <w:qFormat/>
    <w:uiPriority w:val="0"/>
    <w:pPr>
      <w:ind w:firstLine="420" w:firstLineChars="200"/>
    </w:pPr>
    <w:rPr>
      <w:rFonts w:ascii="Calibri" w:hAnsi="Calibri"/>
      <w:szCs w:val="22"/>
    </w:rPr>
  </w:style>
  <w:style w:type="paragraph" w:customStyle="1" w:styleId="217">
    <w:name w:val="Char Char Char1 Char2"/>
    <w:basedOn w:val="1"/>
    <w:qFormat/>
    <w:uiPriority w:val="0"/>
    <w:rPr>
      <w:rFonts w:ascii="Tahoma" w:hAnsi="Tahoma"/>
      <w:sz w:val="24"/>
      <w:szCs w:val="20"/>
    </w:rPr>
  </w:style>
  <w:style w:type="paragraph" w:customStyle="1" w:styleId="218">
    <w:name w:val="Char Char Char2"/>
    <w:basedOn w:val="1"/>
    <w:qFormat/>
    <w:uiPriority w:val="0"/>
    <w:rPr>
      <w:rFonts w:ascii="Tahoma" w:hAnsi="Tahoma"/>
      <w:sz w:val="24"/>
      <w:szCs w:val="20"/>
    </w:rPr>
  </w:style>
  <w:style w:type="paragraph" w:customStyle="1" w:styleId="219">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0">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1">
    <w:name w:val="修订1"/>
    <w:qFormat/>
    <w:uiPriority w:val="0"/>
    <w:rPr>
      <w:rFonts w:ascii="Times New Roman" w:hAnsi="Times New Roman" w:eastAsia="宋体" w:cs="Times New Roman"/>
      <w:kern w:val="2"/>
      <w:sz w:val="21"/>
      <w:szCs w:val="24"/>
      <w:lang w:val="en-US" w:eastAsia="zh-CN" w:bidi="ar-SA"/>
    </w:rPr>
  </w:style>
  <w:style w:type="paragraph" w:customStyle="1" w:styleId="222">
    <w:name w:val="Char22"/>
    <w:basedOn w:val="1"/>
    <w:qFormat/>
    <w:uiPriority w:val="0"/>
    <w:rPr>
      <w:rFonts w:ascii="Tahoma" w:hAnsi="Tahoma"/>
      <w:sz w:val="24"/>
      <w:szCs w:val="20"/>
    </w:rPr>
  </w:style>
  <w:style w:type="paragraph" w:customStyle="1" w:styleId="223">
    <w:name w:val="Char Char Char Char Char Char Char Char Char Char2"/>
    <w:basedOn w:val="1"/>
    <w:qFormat/>
    <w:uiPriority w:val="0"/>
    <w:rPr>
      <w:rFonts w:ascii="宋体" w:hAnsi="宋体" w:cs="Courier New"/>
      <w:sz w:val="32"/>
      <w:szCs w:val="32"/>
    </w:rPr>
  </w:style>
  <w:style w:type="paragraph" w:customStyle="1" w:styleId="224">
    <w:name w:val="Char2 Char Char Char Char Char Char1"/>
    <w:basedOn w:val="1"/>
    <w:qFormat/>
    <w:uiPriority w:val="0"/>
    <w:pPr>
      <w:widowControl/>
      <w:spacing w:line="400" w:lineRule="exact"/>
      <w:jc w:val="center"/>
    </w:pPr>
  </w:style>
  <w:style w:type="character" w:customStyle="1" w:styleId="225">
    <w:name w:val="页脚 Char"/>
    <w:qFormat/>
    <w:uiPriority w:val="0"/>
    <w:rPr>
      <w:rFonts w:ascii="宋体" w:eastAsia="宋体"/>
      <w:sz w:val="18"/>
      <w:lang w:val="en-US" w:eastAsia="zh-CN" w:bidi="ar-SA"/>
    </w:rPr>
  </w:style>
  <w:style w:type="paragraph" w:customStyle="1" w:styleId="226">
    <w:name w:val="Char Char41"/>
    <w:basedOn w:val="1"/>
    <w:qFormat/>
    <w:uiPriority w:val="0"/>
    <w:pPr>
      <w:widowControl/>
      <w:spacing w:line="400" w:lineRule="exact"/>
      <w:jc w:val="center"/>
    </w:pPr>
  </w:style>
  <w:style w:type="character" w:customStyle="1" w:styleId="227">
    <w:name w:val="批注文字 Char"/>
    <w:qFormat/>
    <w:uiPriority w:val="99"/>
    <w:rPr>
      <w:kern w:val="2"/>
      <w:sz w:val="21"/>
      <w:szCs w:val="24"/>
    </w:rPr>
  </w:style>
  <w:style w:type="character" w:customStyle="1" w:styleId="228">
    <w:name w:val="标题 Char"/>
    <w:qFormat/>
    <w:uiPriority w:val="0"/>
    <w:rPr>
      <w:b/>
      <w:kern w:val="2"/>
      <w:sz w:val="32"/>
    </w:rPr>
  </w:style>
  <w:style w:type="character" w:customStyle="1" w:styleId="229">
    <w:name w:val="标题 1 字符"/>
    <w:basedOn w:val="46"/>
    <w:link w:val="2"/>
    <w:qFormat/>
    <w:uiPriority w:val="0"/>
    <w:rPr>
      <w:rFonts w:ascii="宋体"/>
      <w:b/>
      <w:kern w:val="44"/>
      <w:sz w:val="32"/>
    </w:rPr>
  </w:style>
  <w:style w:type="character" w:customStyle="1" w:styleId="230">
    <w:name w:val="标题 4 字符"/>
    <w:basedOn w:val="46"/>
    <w:link w:val="6"/>
    <w:qFormat/>
    <w:uiPriority w:val="0"/>
    <w:rPr>
      <w:rFonts w:ascii="Arial" w:hAnsi="Arial" w:eastAsia="黑体"/>
      <w:b/>
      <w:sz w:val="28"/>
    </w:rPr>
  </w:style>
  <w:style w:type="character" w:customStyle="1" w:styleId="231">
    <w:name w:val="标题 5 字符"/>
    <w:basedOn w:val="46"/>
    <w:link w:val="7"/>
    <w:qFormat/>
    <w:uiPriority w:val="0"/>
    <w:rPr>
      <w:b/>
      <w:sz w:val="28"/>
    </w:rPr>
  </w:style>
  <w:style w:type="character" w:customStyle="1" w:styleId="232">
    <w:name w:val="标题 6 字符"/>
    <w:basedOn w:val="46"/>
    <w:link w:val="8"/>
    <w:qFormat/>
    <w:uiPriority w:val="0"/>
    <w:rPr>
      <w:rFonts w:ascii="Arial" w:hAnsi="Arial" w:eastAsia="黑体"/>
      <w:b/>
      <w:sz w:val="24"/>
    </w:rPr>
  </w:style>
  <w:style w:type="character" w:customStyle="1" w:styleId="233">
    <w:name w:val="标题 7 字符"/>
    <w:basedOn w:val="46"/>
    <w:link w:val="9"/>
    <w:qFormat/>
    <w:uiPriority w:val="0"/>
    <w:rPr>
      <w:b/>
      <w:sz w:val="24"/>
    </w:rPr>
  </w:style>
  <w:style w:type="character" w:customStyle="1" w:styleId="234">
    <w:name w:val="标题 8 字符"/>
    <w:basedOn w:val="46"/>
    <w:link w:val="10"/>
    <w:qFormat/>
    <w:uiPriority w:val="0"/>
    <w:rPr>
      <w:rFonts w:ascii="Arial" w:hAnsi="Arial" w:eastAsia="黑体"/>
      <w:sz w:val="24"/>
    </w:rPr>
  </w:style>
  <w:style w:type="character" w:customStyle="1" w:styleId="235">
    <w:name w:val="标题 9 字符"/>
    <w:basedOn w:val="46"/>
    <w:link w:val="11"/>
    <w:qFormat/>
    <w:uiPriority w:val="0"/>
    <w:rPr>
      <w:rFonts w:ascii="Arial" w:hAnsi="Arial" w:eastAsia="黑体"/>
      <w:sz w:val="21"/>
    </w:rPr>
  </w:style>
  <w:style w:type="character" w:customStyle="1" w:styleId="236">
    <w:name w:val="文档结构图 字符"/>
    <w:basedOn w:val="46"/>
    <w:link w:val="14"/>
    <w:qFormat/>
    <w:uiPriority w:val="0"/>
    <w:rPr>
      <w:kern w:val="2"/>
      <w:sz w:val="21"/>
      <w:szCs w:val="24"/>
      <w:shd w:val="clear" w:color="auto" w:fill="000080"/>
    </w:rPr>
  </w:style>
  <w:style w:type="character" w:customStyle="1" w:styleId="237">
    <w:name w:val="正文文本 3 字符"/>
    <w:basedOn w:val="46"/>
    <w:link w:val="16"/>
    <w:qFormat/>
    <w:uiPriority w:val="0"/>
    <w:rPr>
      <w:kern w:val="2"/>
      <w:sz w:val="16"/>
      <w:szCs w:val="16"/>
    </w:rPr>
  </w:style>
  <w:style w:type="character" w:customStyle="1" w:styleId="238">
    <w:name w:val="正文文本 字符"/>
    <w:basedOn w:val="46"/>
    <w:link w:val="17"/>
    <w:qFormat/>
    <w:uiPriority w:val="0"/>
    <w:rPr>
      <w:rFonts w:ascii="宋体" w:hAnsi="宋体"/>
      <w:kern w:val="2"/>
      <w:sz w:val="24"/>
      <w:szCs w:val="24"/>
    </w:rPr>
  </w:style>
  <w:style w:type="character" w:customStyle="1" w:styleId="239">
    <w:name w:val="日期 字符"/>
    <w:basedOn w:val="46"/>
    <w:link w:val="25"/>
    <w:qFormat/>
    <w:uiPriority w:val="0"/>
    <w:rPr>
      <w:rFonts w:ascii="仿宋_GB2312" w:hAnsi="宋体" w:eastAsia="仿宋_GB2312"/>
      <w:color w:val="000000"/>
      <w:kern w:val="2"/>
      <w:sz w:val="24"/>
      <w:szCs w:val="24"/>
    </w:rPr>
  </w:style>
  <w:style w:type="character" w:customStyle="1" w:styleId="240">
    <w:name w:val="正文文本缩进 2 字符"/>
    <w:basedOn w:val="46"/>
    <w:link w:val="26"/>
    <w:qFormat/>
    <w:uiPriority w:val="0"/>
    <w:rPr>
      <w:rFonts w:ascii="仿宋_GB2312" w:eastAsia="仿宋_GB2312"/>
      <w:kern w:val="2"/>
      <w:sz w:val="24"/>
      <w:szCs w:val="24"/>
    </w:rPr>
  </w:style>
  <w:style w:type="character" w:customStyle="1" w:styleId="241">
    <w:name w:val="批注框文本 字符"/>
    <w:basedOn w:val="46"/>
    <w:link w:val="27"/>
    <w:qFormat/>
    <w:uiPriority w:val="0"/>
    <w:rPr>
      <w:kern w:val="2"/>
      <w:sz w:val="18"/>
      <w:szCs w:val="18"/>
    </w:rPr>
  </w:style>
  <w:style w:type="character" w:customStyle="1" w:styleId="242">
    <w:name w:val="正文文本缩进 3 字符"/>
    <w:basedOn w:val="46"/>
    <w:link w:val="33"/>
    <w:qFormat/>
    <w:uiPriority w:val="0"/>
    <w:rPr>
      <w:rFonts w:ascii="宋体"/>
      <w:sz w:val="24"/>
    </w:rPr>
  </w:style>
  <w:style w:type="character" w:customStyle="1" w:styleId="243">
    <w:name w:val="HTML 预设格式 字符"/>
    <w:basedOn w:val="46"/>
    <w:link w:val="37"/>
    <w:qFormat/>
    <w:uiPriority w:val="0"/>
    <w:rPr>
      <w:rFonts w:ascii="宋体" w:hAnsi="宋体" w:cs="宋体"/>
      <w:sz w:val="24"/>
      <w:szCs w:val="24"/>
    </w:rPr>
  </w:style>
  <w:style w:type="character" w:customStyle="1" w:styleId="244">
    <w:name w:val="批注主题 字符"/>
    <w:basedOn w:val="194"/>
    <w:link w:val="41"/>
    <w:qFormat/>
    <w:uiPriority w:val="0"/>
    <w:rPr>
      <w:rFonts w:ascii="Times New Roman" w:hAnsi="Times New Roman" w:eastAsia="宋体" w:cs="Times New Roman"/>
      <w:b/>
      <w:bCs/>
      <w:kern w:val="2"/>
      <w:sz w:val="21"/>
      <w:szCs w:val="24"/>
      <w:lang w:val="en-US" w:eastAsia="zh-CN" w:bidi="ar-SA"/>
    </w:rPr>
  </w:style>
  <w:style w:type="character" w:customStyle="1" w:styleId="245">
    <w:name w:val="正文文本首行缩进 2 字符"/>
    <w:basedOn w:val="67"/>
    <w:link w:val="42"/>
    <w:qFormat/>
    <w:uiPriority w:val="0"/>
    <w:rPr>
      <w:rFonts w:eastAsia="宋体"/>
      <w:kern w:val="2"/>
      <w:sz w:val="24"/>
      <w:szCs w:val="24"/>
      <w:lang w:val="en-US" w:eastAsia="zh-CN" w:bidi="ar-SA"/>
    </w:rPr>
  </w:style>
  <w:style w:type="paragraph" w:customStyle="1" w:styleId="246">
    <w:name w:val="图例"/>
    <w:basedOn w:val="1"/>
    <w:qFormat/>
    <w:uiPriority w:val="0"/>
    <w:pPr>
      <w:spacing w:before="120" w:after="120" w:line="360" w:lineRule="auto"/>
      <w:jc w:val="center"/>
    </w:pPr>
    <w:rPr>
      <w:rFonts w:eastAsia="仿宋_GB2312"/>
      <w:b/>
      <w:sz w:val="24"/>
      <w:szCs w:val="20"/>
    </w:rPr>
  </w:style>
  <w:style w:type="paragraph" w:customStyle="1" w:styleId="247">
    <w:name w:val="Table Paragraph"/>
    <w:basedOn w:val="1"/>
    <w:qFormat/>
    <w:uiPriority w:val="1"/>
    <w:pPr>
      <w:autoSpaceDE w:val="0"/>
      <w:autoSpaceDN w:val="0"/>
      <w:jc w:val="left"/>
    </w:pPr>
    <w:rPr>
      <w:rFonts w:ascii="宋体" w:hAnsi="宋体" w:cs="宋体"/>
      <w:kern w:val="0"/>
      <w:sz w:val="22"/>
      <w:szCs w:val="22"/>
      <w:lang w:eastAsia="en-US"/>
    </w:rPr>
  </w:style>
  <w:style w:type="table" w:customStyle="1" w:styleId="248">
    <w:name w:val="Table Normal"/>
    <w:semiHidden/>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9">
    <w:name w:val="pf0"/>
    <w:basedOn w:val="1"/>
    <w:qFormat/>
    <w:uiPriority w:val="0"/>
    <w:pPr>
      <w:widowControl/>
      <w:spacing w:before="100" w:beforeAutospacing="1" w:after="100" w:afterAutospacing="1"/>
      <w:jc w:val="left"/>
    </w:pPr>
    <w:rPr>
      <w:rFonts w:ascii="宋体" w:hAnsi="宋体" w:cs="宋体"/>
      <w:kern w:val="0"/>
      <w:sz w:val="24"/>
    </w:rPr>
  </w:style>
  <w:style w:type="paragraph" w:customStyle="1" w:styleId="250">
    <w:name w:val="样式 标题 3 + (中文) 黑体 小四 非加粗 段前: 7.8 磅 段后: 0 磅 行距: 固定值 20 磅"/>
    <w:basedOn w:val="5"/>
    <w:qFormat/>
    <w:uiPriority w:val="0"/>
    <w:pPr>
      <w:autoSpaceDE/>
      <w:autoSpaceDN/>
      <w:adjustRightInd/>
      <w:spacing w:before="50" w:beforeLines="50" w:after="50" w:afterLines="50" w:line="360" w:lineRule="auto"/>
      <w:jc w:val="both"/>
    </w:pPr>
    <w:rPr>
      <w:rFonts w:hAnsi="宋体" w:cstheme="minorBidi"/>
      <w:b w:val="0"/>
      <w:bCs/>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3" Type="http://schemas.openxmlformats.org/officeDocument/2006/relationships/fontTable" Target="fontTable.xml"/><Relationship Id="rId42" Type="http://schemas.openxmlformats.org/officeDocument/2006/relationships/numbering" Target="numbering.xml"/><Relationship Id="rId41" Type="http://schemas.openxmlformats.org/officeDocument/2006/relationships/customXml" Target="../customXml/item1.xml"/><Relationship Id="rId40" Type="http://schemas.openxmlformats.org/officeDocument/2006/relationships/image" Target="media/image4.wmf"/><Relationship Id="rId4" Type="http://schemas.openxmlformats.org/officeDocument/2006/relationships/header" Target="header2.xml"/><Relationship Id="rId39" Type="http://schemas.openxmlformats.org/officeDocument/2006/relationships/oleObject" Target="embeddings/oleObject1.bin"/><Relationship Id="rId38" Type="http://schemas.openxmlformats.org/officeDocument/2006/relationships/image" Target="media/image3.png"/><Relationship Id="rId37" Type="http://schemas.openxmlformats.org/officeDocument/2006/relationships/image" Target="media/image2.jpeg"/><Relationship Id="rId36" Type="http://schemas.openxmlformats.org/officeDocument/2006/relationships/image" Target="media/image1.png"/><Relationship Id="rId35" Type="http://schemas.openxmlformats.org/officeDocument/2006/relationships/theme" Target="theme/theme1.xml"/><Relationship Id="rId34" Type="http://schemas.openxmlformats.org/officeDocument/2006/relationships/footer" Target="footer18.xml"/><Relationship Id="rId33" Type="http://schemas.openxmlformats.org/officeDocument/2006/relationships/footer" Target="footer17.xml"/><Relationship Id="rId32" Type="http://schemas.openxmlformats.org/officeDocument/2006/relationships/header" Target="header14.xml"/><Relationship Id="rId31" Type="http://schemas.openxmlformats.org/officeDocument/2006/relationships/header" Target="header13.xml"/><Relationship Id="rId30" Type="http://schemas.openxmlformats.org/officeDocument/2006/relationships/footer" Target="footer16.xml"/><Relationship Id="rId3" Type="http://schemas.openxmlformats.org/officeDocument/2006/relationships/header" Target="header1.xml"/><Relationship Id="rId29" Type="http://schemas.openxmlformats.org/officeDocument/2006/relationships/footer" Target="footer15.xml"/><Relationship Id="rId28" Type="http://schemas.openxmlformats.org/officeDocument/2006/relationships/footer" Target="footer14.xml"/><Relationship Id="rId27" Type="http://schemas.openxmlformats.org/officeDocument/2006/relationships/header" Target="header12.xml"/><Relationship Id="rId26" Type="http://schemas.openxmlformats.org/officeDocument/2006/relationships/header" Target="header11.xml"/><Relationship Id="rId25" Type="http://schemas.openxmlformats.org/officeDocument/2006/relationships/header" Target="header10.xml"/><Relationship Id="rId24" Type="http://schemas.openxmlformats.org/officeDocument/2006/relationships/footer" Target="footer13.xml"/><Relationship Id="rId23" Type="http://schemas.openxmlformats.org/officeDocument/2006/relationships/header" Target="header9.xml"/><Relationship Id="rId22" Type="http://schemas.openxmlformats.org/officeDocument/2006/relationships/footer" Target="footer12.xml"/><Relationship Id="rId21" Type="http://schemas.openxmlformats.org/officeDocument/2006/relationships/footer" Target="footer11.xml"/><Relationship Id="rId20" Type="http://schemas.openxmlformats.org/officeDocument/2006/relationships/header" Target="header8.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footer" Target="footer9.xml"/><Relationship Id="rId17" Type="http://schemas.openxmlformats.org/officeDocument/2006/relationships/header" Target="header7.xml"/><Relationship Id="rId16" Type="http://schemas.openxmlformats.org/officeDocument/2006/relationships/footer" Target="footer8.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132</Pages>
  <Words>25463</Words>
  <Characters>27077</Characters>
  <Lines>2243</Lines>
  <Paragraphs>2321</Paragraphs>
  <TotalTime>11</TotalTime>
  <ScaleCrop>false</ScaleCrop>
  <LinksUpToDate>false</LinksUpToDate>
  <CharactersWithSpaces>27693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2024-06-05T14:21:00Z</dcterms:created>
  <dc:creator>Yin Hao</dc:creator>
  <cp:lastModifiedBy>WPS_1693193111</cp:lastModifiedBy>
  <cp:lastPrinted>2026-01-30T09:20:00Z</cp:lastPrinted>
  <dcterms:modified xsi:type="dcterms:W3CDTF">2026-08-25T06:02:34Z</dcterms:modified>
  <dc:title>政府采购示范文本（2023）</dc:title>
  <cp:revision>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D0B6E7FFF9B643338BCA71CFCC6D9278_13</vt:lpwstr>
  </property>
  <property fmtid="{D5CDD505-2E9C-101B-9397-08002B2CF9AE}" pid="4" name="KSOTemplateDocerSaveRecord">
    <vt:lpwstr>eyJoZGlkIjoiNWM0ZWVhMGE2ODc2N2YwYjc1M2ZkZWJhOGMzOTE4MTkiLCJ1c2VySWQiOiIxNTI0NzUwODYzIn0=</vt:lpwstr>
  </property>
</Properties>
</file>