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83988DE">
      <w:pPr>
        <w:spacing w:line="360" w:lineRule="auto"/>
        <w:ind w:firstLine="160" w:firstLineChars="50"/>
        <w:rPr>
          <w:rFonts w:hint="eastAsia" w:ascii="宋体" w:hAnsi="宋体" w:eastAsia="宋体" w:cs="宋体"/>
          <w:color w:val="auto"/>
          <w:sz w:val="32"/>
          <w:szCs w:val="32"/>
          <w:highlight w:val="none"/>
        </w:rPr>
      </w:pPr>
    </w:p>
    <w:p w14:paraId="6D406AA0">
      <w:pPr>
        <w:spacing w:line="360" w:lineRule="auto"/>
        <w:ind w:firstLine="300" w:firstLineChars="50"/>
        <w:rPr>
          <w:rFonts w:hint="eastAsia" w:ascii="宋体" w:hAnsi="宋体" w:eastAsia="宋体" w:cs="宋体"/>
          <w:color w:val="auto"/>
          <w:sz w:val="60"/>
          <w:szCs w:val="60"/>
          <w:highlight w:val="none"/>
        </w:rPr>
      </w:pPr>
    </w:p>
    <w:p w14:paraId="4A7CF415">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北京市政府采购项目</w:t>
      </w:r>
    </w:p>
    <w:p w14:paraId="0E37C28E">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公开招标文件</w:t>
      </w:r>
    </w:p>
    <w:p w14:paraId="06099C3D">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（202</w:t>
      </w:r>
      <w:r>
        <w:rPr>
          <w:rFonts w:hint="eastAsia" w:ascii="宋体" w:hAnsi="宋体" w:cs="宋体"/>
          <w:b/>
          <w:bCs/>
          <w:color w:val="auto"/>
          <w:sz w:val="60"/>
          <w:szCs w:val="60"/>
          <w:highlight w:val="none"/>
          <w:lang w:val="en-US" w:eastAsia="zh-CN"/>
        </w:rPr>
        <w:t>6</w:t>
      </w:r>
      <w:r>
        <w:rPr>
          <w:rFonts w:hint="eastAsia" w:ascii="宋体" w:hAnsi="宋体" w:eastAsia="宋体" w:cs="宋体"/>
          <w:b/>
          <w:bCs/>
          <w:color w:val="auto"/>
          <w:sz w:val="60"/>
          <w:szCs w:val="60"/>
          <w:highlight w:val="none"/>
        </w:rPr>
        <w:t>年版）</w:t>
      </w:r>
    </w:p>
    <w:p w14:paraId="4B811A6A">
      <w:pPr>
        <w:jc w:val="center"/>
        <w:rPr>
          <w:rFonts w:hint="eastAsia" w:ascii="宋体" w:hAnsi="宋体" w:eastAsia="宋体" w:cs="宋体"/>
          <w:b/>
          <w:bCs/>
          <w:color w:val="auto"/>
          <w:sz w:val="60"/>
          <w:szCs w:val="60"/>
          <w:highlight w:val="none"/>
        </w:rPr>
      </w:pPr>
    </w:p>
    <w:p w14:paraId="3368F272">
      <w:pPr>
        <w:jc w:val="center"/>
        <w:rPr>
          <w:rFonts w:hint="eastAsia" w:ascii="宋体" w:hAnsi="宋体" w:eastAsia="宋体" w:cs="宋体"/>
          <w:b/>
          <w:bCs/>
          <w:color w:val="auto"/>
          <w:sz w:val="60"/>
          <w:szCs w:val="60"/>
          <w:highlight w:val="none"/>
        </w:rPr>
      </w:pPr>
    </w:p>
    <w:p w14:paraId="1D7F96D5">
      <w:pPr>
        <w:jc w:val="center"/>
        <w:rPr>
          <w:rFonts w:hint="eastAsia" w:ascii="宋体" w:hAnsi="宋体" w:eastAsia="宋体" w:cs="宋体"/>
          <w:b/>
          <w:bCs/>
          <w:color w:val="auto"/>
          <w:sz w:val="60"/>
          <w:szCs w:val="60"/>
          <w:highlight w:val="none"/>
        </w:rPr>
      </w:pPr>
    </w:p>
    <w:p w14:paraId="4E4A4E85">
      <w:pPr>
        <w:pStyle w:val="28"/>
        <w:rPr>
          <w:rFonts w:hint="eastAsia" w:ascii="宋体" w:hAnsi="宋体" w:eastAsia="宋体" w:cs="宋体"/>
          <w:color w:val="auto"/>
          <w:highlight w:val="none"/>
        </w:rPr>
      </w:pPr>
    </w:p>
    <w:p w14:paraId="7AF3F2B0">
      <w:pPr>
        <w:rPr>
          <w:rFonts w:hint="eastAsia" w:ascii="宋体" w:hAnsi="宋体" w:eastAsia="宋体" w:cs="宋体"/>
          <w:color w:val="auto"/>
          <w:highlight w:val="none"/>
        </w:rPr>
      </w:pPr>
    </w:p>
    <w:p w14:paraId="3B07E6B3">
      <w:pPr>
        <w:pStyle w:val="28"/>
        <w:rPr>
          <w:rFonts w:hint="eastAsia" w:ascii="宋体" w:hAnsi="宋体" w:eastAsia="宋体" w:cs="宋体"/>
          <w:color w:val="auto"/>
          <w:highlight w:val="none"/>
        </w:rPr>
      </w:pPr>
    </w:p>
    <w:p w14:paraId="39070CA8">
      <w:pPr>
        <w:rPr>
          <w:rFonts w:hint="eastAsia" w:ascii="宋体" w:hAnsi="宋体" w:eastAsia="宋体" w:cs="宋体"/>
          <w:color w:val="auto"/>
          <w:highlight w:val="none"/>
        </w:rPr>
      </w:pPr>
    </w:p>
    <w:p w14:paraId="356B13EE">
      <w:pPr>
        <w:rPr>
          <w:rFonts w:hint="eastAsia" w:ascii="宋体" w:hAnsi="宋体" w:eastAsia="宋体" w:cs="宋体"/>
          <w:color w:val="auto"/>
          <w:highlight w:val="none"/>
        </w:rPr>
      </w:pPr>
    </w:p>
    <w:p w14:paraId="14D1D9FD">
      <w:pPr>
        <w:rPr>
          <w:rFonts w:hint="eastAsia" w:ascii="宋体" w:hAnsi="宋体" w:eastAsia="宋体" w:cs="宋体"/>
          <w:color w:val="auto"/>
          <w:highlight w:val="none"/>
        </w:rPr>
      </w:pPr>
    </w:p>
    <w:p w14:paraId="4FA5CCCC">
      <w:pPr>
        <w:keepNext w:val="0"/>
        <w:keepLines w:val="0"/>
        <w:pageBreakBefore w:val="0"/>
        <w:widowControl w:val="0"/>
        <w:tabs>
          <w:tab w:val="left" w:pos="3240"/>
          <w:tab w:val="left" w:pos="3420"/>
        </w:tabs>
        <w:kinsoku/>
        <w:wordWrap w:val="0"/>
        <w:overflowPunct/>
        <w:topLinePunct w:val="0"/>
        <w:autoSpaceDE/>
        <w:autoSpaceDN/>
        <w:bidi w:val="0"/>
        <w:adjustRightInd/>
        <w:snapToGrid/>
        <w:spacing w:line="360" w:lineRule="auto"/>
        <w:ind w:left="3279" w:leftChars="-95" w:right="-512" w:rightChars="-244" w:hanging="3478" w:hangingChars="1029"/>
        <w:jc w:val="left"/>
        <w:textAlignment w:val="auto"/>
        <w:rPr>
          <w:rFonts w:hint="eastAsia" w:ascii="宋体" w:hAnsi="宋体" w:eastAsia="宋体" w:cs="宋体"/>
          <w:bCs/>
          <w:color w:val="auto"/>
          <w:spacing w:val="-11"/>
          <w:sz w:val="36"/>
          <w:szCs w:val="36"/>
          <w:highlight w:val="none"/>
        </w:rPr>
      </w:pPr>
      <w:r>
        <w:rPr>
          <w:rFonts w:hint="eastAsia" w:ascii="宋体" w:hAnsi="宋体" w:eastAsia="宋体" w:cs="宋体"/>
          <w:bCs/>
          <w:color w:val="auto"/>
          <w:spacing w:val="-11"/>
          <w:sz w:val="36"/>
          <w:szCs w:val="36"/>
          <w:highlight w:val="none"/>
        </w:rPr>
        <w:t>项目名称：</w:t>
      </w:r>
      <w:r>
        <w:rPr>
          <w:rFonts w:hint="eastAsia" w:ascii="宋体" w:hAnsi="宋体" w:cs="宋体"/>
          <w:bCs/>
          <w:color w:val="auto"/>
          <w:spacing w:val="-11"/>
          <w:sz w:val="36"/>
          <w:szCs w:val="36"/>
          <w:highlight w:val="none"/>
          <w:lang w:val="en-US" w:eastAsia="zh-CN"/>
        </w:rPr>
        <w:t>特定行业公用经费</w:t>
      </w:r>
    </w:p>
    <w:p w14:paraId="6A8C0E87">
      <w:pPr>
        <w:keepNext w:val="0"/>
        <w:keepLines w:val="0"/>
        <w:pageBreakBefore w:val="0"/>
        <w:widowControl w:val="0"/>
        <w:tabs>
          <w:tab w:val="left" w:pos="3240"/>
          <w:tab w:val="left" w:pos="3420"/>
        </w:tabs>
        <w:kinsoku/>
        <w:wordWrap w:val="0"/>
        <w:overflowPunct/>
        <w:topLinePunct w:val="0"/>
        <w:autoSpaceDE/>
        <w:autoSpaceDN/>
        <w:bidi w:val="0"/>
        <w:adjustRightInd/>
        <w:snapToGrid/>
        <w:spacing w:line="360" w:lineRule="auto"/>
        <w:ind w:left="3279" w:leftChars="-95" w:right="-512" w:rightChars="-244" w:hanging="3478" w:hangingChars="1029"/>
        <w:jc w:val="left"/>
        <w:textAlignment w:val="auto"/>
        <w:rPr>
          <w:rFonts w:hint="default" w:ascii="宋体" w:hAnsi="宋体" w:eastAsia="宋体" w:cs="宋体"/>
          <w:bCs/>
          <w:color w:val="auto"/>
          <w:spacing w:val="-11"/>
          <w:sz w:val="36"/>
          <w:szCs w:val="36"/>
          <w:highlight w:val="none"/>
          <w:lang w:val="en-US" w:eastAsia="zh-CN"/>
        </w:rPr>
      </w:pPr>
      <w:r>
        <w:rPr>
          <w:rFonts w:hint="eastAsia" w:ascii="宋体" w:hAnsi="宋体" w:eastAsia="宋体" w:cs="宋体"/>
          <w:bCs/>
          <w:color w:val="auto"/>
          <w:spacing w:val="-11"/>
          <w:sz w:val="36"/>
          <w:szCs w:val="36"/>
          <w:highlight w:val="none"/>
        </w:rPr>
        <w:t>项目编号：</w:t>
      </w:r>
      <w:r>
        <w:rPr>
          <w:rFonts w:hint="eastAsia" w:ascii="宋体" w:hAnsi="宋体" w:cs="宋体"/>
          <w:bCs/>
          <w:color w:val="auto"/>
          <w:spacing w:val="-11"/>
          <w:sz w:val="36"/>
          <w:szCs w:val="36"/>
          <w:highlight w:val="none"/>
          <w:lang w:val="en-US" w:eastAsia="zh-CN"/>
        </w:rPr>
        <w:t>11011326210200027217-XM001</w:t>
      </w:r>
    </w:p>
    <w:p w14:paraId="3455BE33">
      <w:pPr>
        <w:keepNext w:val="0"/>
        <w:keepLines w:val="0"/>
        <w:pageBreakBefore w:val="0"/>
        <w:widowControl w:val="0"/>
        <w:tabs>
          <w:tab w:val="left" w:pos="3240"/>
          <w:tab w:val="left" w:pos="3420"/>
        </w:tabs>
        <w:kinsoku/>
        <w:wordWrap w:val="0"/>
        <w:overflowPunct/>
        <w:topLinePunct w:val="0"/>
        <w:autoSpaceDE/>
        <w:autoSpaceDN/>
        <w:bidi w:val="0"/>
        <w:adjustRightInd/>
        <w:snapToGrid/>
        <w:spacing w:line="360" w:lineRule="auto"/>
        <w:ind w:left="3279" w:leftChars="-95" w:right="-512" w:rightChars="-244" w:hanging="3478" w:hangingChars="1029"/>
        <w:jc w:val="left"/>
        <w:textAlignment w:val="auto"/>
        <w:rPr>
          <w:rFonts w:hint="eastAsia" w:ascii="宋体" w:hAnsi="宋体" w:eastAsia="宋体" w:cs="宋体"/>
          <w:bCs/>
          <w:color w:val="auto"/>
          <w:spacing w:val="-11"/>
          <w:sz w:val="36"/>
          <w:szCs w:val="36"/>
          <w:highlight w:val="none"/>
          <w:lang w:eastAsia="zh-CN"/>
        </w:rPr>
      </w:pPr>
      <w:r>
        <w:rPr>
          <w:rFonts w:hint="eastAsia" w:ascii="宋体" w:hAnsi="宋体" w:eastAsia="宋体" w:cs="宋体"/>
          <w:bCs/>
          <w:color w:val="auto"/>
          <w:spacing w:val="-11"/>
          <w:sz w:val="36"/>
          <w:szCs w:val="36"/>
          <w:highlight w:val="none"/>
        </w:rPr>
        <w:t>采 购 人：</w:t>
      </w:r>
      <w:r>
        <w:rPr>
          <w:rFonts w:hint="eastAsia" w:ascii="宋体" w:hAnsi="宋体" w:cs="宋体"/>
          <w:bCs/>
          <w:color w:val="auto"/>
          <w:spacing w:val="-11"/>
          <w:sz w:val="36"/>
          <w:szCs w:val="36"/>
          <w:highlight w:val="none"/>
          <w:lang w:eastAsia="zh-CN"/>
        </w:rPr>
        <w:t>北京市顺义牛栏山第一中学板桥学校</w:t>
      </w:r>
    </w:p>
    <w:p w14:paraId="47827241">
      <w:pPr>
        <w:keepNext w:val="0"/>
        <w:keepLines w:val="0"/>
        <w:pageBreakBefore w:val="0"/>
        <w:widowControl w:val="0"/>
        <w:tabs>
          <w:tab w:val="left" w:pos="3240"/>
          <w:tab w:val="left" w:pos="3420"/>
        </w:tabs>
        <w:kinsoku/>
        <w:wordWrap w:val="0"/>
        <w:overflowPunct/>
        <w:topLinePunct w:val="0"/>
        <w:autoSpaceDE/>
        <w:autoSpaceDN/>
        <w:bidi w:val="0"/>
        <w:adjustRightInd/>
        <w:snapToGrid/>
        <w:spacing w:line="360" w:lineRule="auto"/>
        <w:ind w:left="3279" w:leftChars="-95" w:right="-512" w:rightChars="-244" w:hanging="3478" w:hangingChars="1029"/>
        <w:jc w:val="left"/>
        <w:textAlignment w:val="auto"/>
        <w:rPr>
          <w:rFonts w:hint="eastAsia" w:ascii="宋体" w:hAnsi="宋体" w:eastAsia="宋体" w:cs="宋体"/>
          <w:bCs/>
          <w:color w:val="auto"/>
          <w:spacing w:val="-11"/>
          <w:sz w:val="36"/>
          <w:szCs w:val="36"/>
          <w:highlight w:val="none"/>
          <w:lang w:eastAsia="zh-CN"/>
        </w:rPr>
      </w:pPr>
      <w:r>
        <w:rPr>
          <w:rFonts w:hint="eastAsia" w:ascii="宋体" w:hAnsi="宋体" w:eastAsia="宋体" w:cs="宋体"/>
          <w:bCs/>
          <w:color w:val="auto"/>
          <w:spacing w:val="-11"/>
          <w:sz w:val="36"/>
          <w:szCs w:val="36"/>
          <w:highlight w:val="none"/>
        </w:rPr>
        <w:t>采购代理机构：</w:t>
      </w:r>
      <w:r>
        <w:rPr>
          <w:rFonts w:hint="eastAsia" w:ascii="宋体" w:hAnsi="宋体" w:eastAsia="宋体" w:cs="宋体"/>
          <w:bCs/>
          <w:color w:val="auto"/>
          <w:spacing w:val="-11"/>
          <w:sz w:val="36"/>
          <w:szCs w:val="36"/>
          <w:highlight w:val="none"/>
          <w:lang w:eastAsia="zh-CN"/>
        </w:rPr>
        <w:t>北京嘉诚晟泰工程管理咨询有限公司</w:t>
      </w:r>
    </w:p>
    <w:p w14:paraId="1F5C4746">
      <w:pPr>
        <w:keepNext w:val="0"/>
        <w:keepLines w:val="0"/>
        <w:pageBreakBefore w:val="0"/>
        <w:widowControl w:val="0"/>
        <w:kinsoku/>
        <w:wordWrap w:val="0"/>
        <w:overflowPunct/>
        <w:topLinePunct w:val="0"/>
        <w:autoSpaceDE/>
        <w:autoSpaceDN/>
        <w:bidi w:val="0"/>
        <w:adjustRightInd/>
        <w:snapToGrid/>
        <w:spacing w:line="360" w:lineRule="auto"/>
        <w:ind w:left="3293" w:leftChars="-95" w:right="-512" w:rightChars="-244" w:hanging="3492" w:hangingChars="1029"/>
        <w:jc w:val="center"/>
        <w:textAlignment w:val="auto"/>
        <w:outlineLvl w:val="0"/>
        <w:rPr>
          <w:rFonts w:hint="eastAsia" w:ascii="宋体" w:hAnsi="宋体" w:eastAsia="宋体" w:cs="宋体"/>
          <w:b/>
          <w:color w:val="auto"/>
          <w:spacing w:val="-11"/>
          <w:sz w:val="36"/>
          <w:szCs w:val="36"/>
          <w:highlight w:val="none"/>
        </w:rPr>
        <w:sectPr>
          <w:headerReference r:id="rId4" w:type="first"/>
          <w:footerReference r:id="rId6" w:type="first"/>
          <w:headerReference r:id="rId3" w:type="default"/>
          <w:footerReference r:id="rId5" w:type="default"/>
          <w:type w:val="nextColumn"/>
          <w:pgSz w:w="11907" w:h="16840"/>
          <w:pgMar w:top="1440" w:right="1800" w:bottom="1440" w:left="1800" w:header="851" w:footer="851" w:gutter="0"/>
          <w:pgNumType w:start="0"/>
          <w:cols w:space="720" w:num="1"/>
          <w:titlePg/>
          <w:docGrid w:linePitch="462" w:charSpace="0"/>
        </w:sectPr>
      </w:pPr>
      <w:bookmarkStart w:id="0" w:name="_Toc99301418"/>
      <w:bookmarkStart w:id="1" w:name="_Toc4826"/>
      <w:bookmarkStart w:id="2" w:name="_Toc8668"/>
    </w:p>
    <w:p w14:paraId="2D5F0559">
      <w:pPr>
        <w:spacing w:line="360" w:lineRule="auto"/>
        <w:jc w:val="center"/>
        <w:outlineLvl w:val="0"/>
        <w:rPr>
          <w:rFonts w:hint="eastAsia" w:ascii="宋体" w:hAnsi="宋体" w:eastAsia="宋体" w:cs="宋体"/>
          <w:b/>
          <w:color w:val="auto"/>
          <w:sz w:val="36"/>
          <w:szCs w:val="36"/>
          <w:highlight w:val="none"/>
        </w:rPr>
      </w:pPr>
      <w:bookmarkStart w:id="3" w:name="_Toc19730"/>
      <w:bookmarkStart w:id="4" w:name="_Toc3790"/>
      <w:r>
        <w:rPr>
          <w:rFonts w:hint="eastAsia" w:ascii="宋体" w:hAnsi="宋体" w:eastAsia="宋体" w:cs="宋体"/>
          <w:b/>
          <w:color w:val="auto"/>
          <w:sz w:val="36"/>
          <w:szCs w:val="36"/>
          <w:highlight w:val="none"/>
        </w:rPr>
        <w:t>目      录</w:t>
      </w:r>
      <w:bookmarkEnd w:id="0"/>
      <w:bookmarkEnd w:id="1"/>
      <w:bookmarkEnd w:id="2"/>
      <w:bookmarkEnd w:id="3"/>
      <w:bookmarkEnd w:id="4"/>
    </w:p>
    <w:p w14:paraId="2DAADADC">
      <w:pPr>
        <w:rPr>
          <w:rFonts w:hint="eastAsia" w:ascii="宋体" w:hAnsi="宋体" w:eastAsia="宋体" w:cs="宋体"/>
          <w:color w:val="auto"/>
          <w:highlight w:val="none"/>
        </w:rPr>
      </w:pPr>
    </w:p>
    <w:p w14:paraId="20DD656A">
      <w:pPr>
        <w:rPr>
          <w:rFonts w:hint="eastAsia" w:ascii="宋体" w:hAnsi="宋体" w:eastAsia="宋体" w:cs="宋体"/>
          <w:color w:val="auto"/>
          <w:highlight w:val="none"/>
        </w:rPr>
      </w:pPr>
    </w:p>
    <w:p w14:paraId="088C559B">
      <w:pPr>
        <w:pStyle w:val="31"/>
        <w:tabs>
          <w:tab w:val="right" w:leader="dot" w:pos="9072"/>
          <w:tab w:val="clear" w:pos="1050"/>
          <w:tab w:val="clear" w:pos="8937"/>
        </w:tabs>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TOC \o "1-1" \h \z \u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_Toc8535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36"/>
          <w:highlight w:val="none"/>
        </w:rPr>
        <w:t>第一章   投标邀请</w:t>
      </w:r>
      <w:r>
        <w:rPr>
          <w:rFonts w:hint="default" w:ascii="Times New Roman" w:hAnsi="Times New Roman" w:eastAsia="宋体" w:cs="Times New Roman"/>
          <w:b w:val="0"/>
          <w:bCs w:val="0"/>
          <w:color w:val="auto"/>
          <w:highlight w:val="none"/>
        </w:rPr>
        <w:tab/>
      </w: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PAGEREF _Toc8535 \h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t>1</w:t>
      </w:r>
      <w:r>
        <w:rPr>
          <w:rFonts w:hint="eastAsia" w:ascii="宋体" w:hAnsi="宋体" w:eastAsia="宋体" w:cs="宋体"/>
          <w:b w:val="0"/>
          <w:bCs w:val="0"/>
          <w:color w:val="auto"/>
          <w:highlight w:val="none"/>
        </w:rPr>
        <w:fldChar w:fldCharType="end"/>
      </w:r>
      <w:r>
        <w:rPr>
          <w:rFonts w:hint="eastAsia" w:ascii="宋体" w:hAnsi="宋体" w:eastAsia="宋体" w:cs="宋体"/>
          <w:b w:val="0"/>
          <w:bCs w:val="0"/>
          <w:color w:val="auto"/>
          <w:highlight w:val="none"/>
        </w:rPr>
        <w:fldChar w:fldCharType="end"/>
      </w:r>
    </w:p>
    <w:p w14:paraId="13F7F4E0">
      <w:pPr>
        <w:pStyle w:val="31"/>
        <w:tabs>
          <w:tab w:val="right" w:leader="dot" w:pos="9072"/>
          <w:tab w:val="clear" w:pos="1050"/>
          <w:tab w:val="clear" w:pos="8937"/>
        </w:tabs>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_Toc28209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36"/>
          <w:highlight w:val="none"/>
        </w:rPr>
        <w:t>第二章   投标人须知</w:t>
      </w:r>
      <w:r>
        <w:rPr>
          <w:rFonts w:hint="default" w:ascii="Times New Roman" w:hAnsi="Times New Roman" w:eastAsia="宋体" w:cs="Times New Roman"/>
          <w:b w:val="0"/>
          <w:bCs w:val="0"/>
          <w:color w:val="auto"/>
          <w:highlight w:val="none"/>
        </w:rPr>
        <w:tab/>
      </w: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PAGEREF _Toc28209 \h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t>5</w:t>
      </w:r>
      <w:r>
        <w:rPr>
          <w:rFonts w:hint="eastAsia" w:ascii="宋体" w:hAnsi="宋体" w:eastAsia="宋体" w:cs="宋体"/>
          <w:b w:val="0"/>
          <w:bCs w:val="0"/>
          <w:color w:val="auto"/>
          <w:highlight w:val="none"/>
        </w:rPr>
        <w:fldChar w:fldCharType="end"/>
      </w:r>
      <w:r>
        <w:rPr>
          <w:rFonts w:hint="eastAsia" w:ascii="宋体" w:hAnsi="宋体" w:eastAsia="宋体" w:cs="宋体"/>
          <w:b w:val="0"/>
          <w:bCs w:val="0"/>
          <w:color w:val="auto"/>
          <w:highlight w:val="none"/>
        </w:rPr>
        <w:fldChar w:fldCharType="end"/>
      </w:r>
    </w:p>
    <w:p w14:paraId="303B00AE">
      <w:pPr>
        <w:pStyle w:val="31"/>
        <w:tabs>
          <w:tab w:val="right" w:leader="dot" w:pos="9072"/>
          <w:tab w:val="clear" w:pos="1050"/>
          <w:tab w:val="clear" w:pos="8937"/>
        </w:tabs>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_Toc12984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36"/>
          <w:highlight w:val="none"/>
        </w:rPr>
        <w:t>第三章   资格审查</w:t>
      </w:r>
      <w:r>
        <w:rPr>
          <w:rFonts w:hint="default" w:ascii="Times New Roman" w:hAnsi="Times New Roman" w:eastAsia="宋体" w:cs="Times New Roman"/>
          <w:b w:val="0"/>
          <w:bCs w:val="0"/>
          <w:color w:val="auto"/>
          <w:highlight w:val="none"/>
        </w:rPr>
        <w:tab/>
      </w: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PAGEREF _Toc12984 \h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t>22</w:t>
      </w:r>
      <w:r>
        <w:rPr>
          <w:rFonts w:hint="eastAsia" w:ascii="宋体" w:hAnsi="宋体" w:eastAsia="宋体" w:cs="宋体"/>
          <w:b w:val="0"/>
          <w:bCs w:val="0"/>
          <w:color w:val="auto"/>
          <w:highlight w:val="none"/>
        </w:rPr>
        <w:fldChar w:fldCharType="end"/>
      </w:r>
      <w:r>
        <w:rPr>
          <w:rFonts w:hint="eastAsia" w:ascii="宋体" w:hAnsi="宋体" w:eastAsia="宋体" w:cs="宋体"/>
          <w:b w:val="0"/>
          <w:bCs w:val="0"/>
          <w:color w:val="auto"/>
          <w:highlight w:val="none"/>
        </w:rPr>
        <w:fldChar w:fldCharType="end"/>
      </w:r>
    </w:p>
    <w:p w14:paraId="42A6CB88">
      <w:pPr>
        <w:pStyle w:val="31"/>
        <w:tabs>
          <w:tab w:val="right" w:leader="dot" w:pos="9072"/>
          <w:tab w:val="clear" w:pos="1050"/>
          <w:tab w:val="clear" w:pos="8937"/>
        </w:tabs>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_Toc31376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36"/>
          <w:highlight w:val="none"/>
        </w:rPr>
        <w:t>第四章   评标程序、评标方法和评标标准</w:t>
      </w:r>
      <w:r>
        <w:rPr>
          <w:rFonts w:hint="default" w:ascii="Times New Roman" w:hAnsi="Times New Roman" w:eastAsia="宋体" w:cs="Times New Roman"/>
          <w:b w:val="0"/>
          <w:bCs w:val="0"/>
          <w:color w:val="auto"/>
          <w:highlight w:val="none"/>
        </w:rPr>
        <w:tab/>
      </w: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PAGEREF _Toc31376 \h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t>22</w:t>
      </w:r>
      <w:r>
        <w:rPr>
          <w:rFonts w:hint="eastAsia" w:ascii="宋体" w:hAnsi="宋体" w:eastAsia="宋体" w:cs="宋体"/>
          <w:b w:val="0"/>
          <w:bCs w:val="0"/>
          <w:color w:val="auto"/>
          <w:highlight w:val="none"/>
        </w:rPr>
        <w:fldChar w:fldCharType="end"/>
      </w:r>
      <w:r>
        <w:rPr>
          <w:rFonts w:hint="eastAsia" w:ascii="宋体" w:hAnsi="宋体" w:eastAsia="宋体" w:cs="宋体"/>
          <w:b w:val="0"/>
          <w:bCs w:val="0"/>
          <w:color w:val="auto"/>
          <w:highlight w:val="none"/>
        </w:rPr>
        <w:fldChar w:fldCharType="end"/>
      </w:r>
    </w:p>
    <w:p w14:paraId="5534A211">
      <w:pPr>
        <w:pStyle w:val="31"/>
        <w:tabs>
          <w:tab w:val="right" w:leader="dot" w:pos="9072"/>
          <w:tab w:val="clear" w:pos="1050"/>
          <w:tab w:val="clear" w:pos="8937"/>
        </w:tabs>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_Toc24239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36"/>
          <w:highlight w:val="none"/>
        </w:rPr>
        <w:t>第五章   采购需求</w:t>
      </w:r>
      <w:r>
        <w:rPr>
          <w:rFonts w:hint="default" w:ascii="Times New Roman" w:hAnsi="Times New Roman" w:eastAsia="宋体" w:cs="Times New Roman"/>
          <w:b w:val="0"/>
          <w:bCs w:val="0"/>
          <w:color w:val="auto"/>
          <w:highlight w:val="none"/>
        </w:rPr>
        <w:tab/>
      </w: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PAGEREF _Toc24239 \h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t>34</w:t>
      </w:r>
      <w:r>
        <w:rPr>
          <w:rFonts w:hint="eastAsia" w:ascii="宋体" w:hAnsi="宋体" w:eastAsia="宋体" w:cs="宋体"/>
          <w:b w:val="0"/>
          <w:bCs w:val="0"/>
          <w:color w:val="auto"/>
          <w:highlight w:val="none"/>
        </w:rPr>
        <w:fldChar w:fldCharType="end"/>
      </w:r>
      <w:r>
        <w:rPr>
          <w:rFonts w:hint="eastAsia" w:ascii="宋体" w:hAnsi="宋体" w:eastAsia="宋体" w:cs="宋体"/>
          <w:b w:val="0"/>
          <w:bCs w:val="0"/>
          <w:color w:val="auto"/>
          <w:highlight w:val="none"/>
        </w:rPr>
        <w:fldChar w:fldCharType="end"/>
      </w:r>
    </w:p>
    <w:p w14:paraId="70A1920C">
      <w:pPr>
        <w:pStyle w:val="31"/>
        <w:tabs>
          <w:tab w:val="right" w:leader="dot" w:pos="9072"/>
          <w:tab w:val="clear" w:pos="1050"/>
          <w:tab w:val="clear" w:pos="8937"/>
        </w:tabs>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_Toc21766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36"/>
          <w:highlight w:val="none"/>
        </w:rPr>
        <w:t>第六章   拟签订的合同文本</w:t>
      </w:r>
      <w:r>
        <w:rPr>
          <w:rFonts w:hint="default" w:ascii="Times New Roman" w:hAnsi="Times New Roman" w:eastAsia="宋体" w:cs="Times New Roman"/>
          <w:b w:val="0"/>
          <w:bCs w:val="0"/>
          <w:color w:val="auto"/>
          <w:highlight w:val="none"/>
        </w:rPr>
        <w:tab/>
      </w: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PAGEREF _Toc21766 \h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t>38</w:t>
      </w:r>
      <w:r>
        <w:rPr>
          <w:rFonts w:hint="eastAsia" w:ascii="宋体" w:hAnsi="宋体" w:eastAsia="宋体" w:cs="宋体"/>
          <w:b w:val="0"/>
          <w:bCs w:val="0"/>
          <w:color w:val="auto"/>
          <w:highlight w:val="none"/>
        </w:rPr>
        <w:fldChar w:fldCharType="end"/>
      </w:r>
      <w:r>
        <w:rPr>
          <w:rFonts w:hint="eastAsia" w:ascii="宋体" w:hAnsi="宋体" w:eastAsia="宋体" w:cs="宋体"/>
          <w:b w:val="0"/>
          <w:bCs w:val="0"/>
          <w:color w:val="auto"/>
          <w:highlight w:val="none"/>
        </w:rPr>
        <w:fldChar w:fldCharType="end"/>
      </w:r>
    </w:p>
    <w:p w14:paraId="22F6494A">
      <w:pPr>
        <w:pStyle w:val="31"/>
        <w:tabs>
          <w:tab w:val="right" w:leader="dot" w:pos="9072"/>
          <w:tab w:val="clear" w:pos="1050"/>
          <w:tab w:val="clear" w:pos="8937"/>
        </w:tabs>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_Toc26329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36"/>
          <w:highlight w:val="none"/>
        </w:rPr>
        <w:t>第七章   投标文件格式</w:t>
      </w:r>
      <w:r>
        <w:rPr>
          <w:rFonts w:hint="default" w:ascii="Times New Roman" w:hAnsi="Times New Roman" w:eastAsia="宋体" w:cs="Times New Roman"/>
          <w:b w:val="0"/>
          <w:bCs w:val="0"/>
          <w:color w:val="auto"/>
          <w:highlight w:val="none"/>
        </w:rPr>
        <w:tab/>
      </w: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PAGEREF _Toc26329 \h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t>61</w:t>
      </w:r>
      <w:r>
        <w:rPr>
          <w:rFonts w:hint="eastAsia" w:ascii="宋体" w:hAnsi="宋体" w:eastAsia="宋体" w:cs="宋体"/>
          <w:b w:val="0"/>
          <w:bCs w:val="0"/>
          <w:color w:val="auto"/>
          <w:highlight w:val="none"/>
        </w:rPr>
        <w:fldChar w:fldCharType="end"/>
      </w:r>
      <w:r>
        <w:rPr>
          <w:rFonts w:hint="eastAsia" w:ascii="宋体" w:hAnsi="宋体" w:eastAsia="宋体" w:cs="宋体"/>
          <w:b w:val="0"/>
          <w:bCs w:val="0"/>
          <w:color w:val="auto"/>
          <w:highlight w:val="none"/>
        </w:rPr>
        <w:fldChar w:fldCharType="end"/>
      </w:r>
    </w:p>
    <w:p w14:paraId="017D1B03">
      <w:pPr>
        <w:pStyle w:val="31"/>
        <w:spacing w:line="360" w:lineRule="auto"/>
        <w:rPr>
          <w:rFonts w:hint="eastAsia" w:ascii="宋体" w:hAnsi="宋体" w:eastAsia="宋体" w:cs="宋体"/>
          <w:b w:val="0"/>
          <w:color w:val="auto"/>
          <w:highlight w:val="none"/>
        </w:rPr>
      </w:pPr>
      <w:r>
        <w:rPr>
          <w:rFonts w:hint="eastAsia" w:ascii="宋体" w:hAnsi="宋体" w:eastAsia="宋体" w:cs="宋体"/>
          <w:b w:val="0"/>
          <w:bCs w:val="0"/>
          <w:color w:val="auto"/>
          <w:highlight w:val="none"/>
        </w:rPr>
        <w:fldChar w:fldCharType="end"/>
      </w:r>
    </w:p>
    <w:p w14:paraId="28884CE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注：采购文件条款中以“■”形式标记的内容适用于本项目，以“□”形式标记的内容不适用于本项目。</w:t>
      </w:r>
    </w:p>
    <w:p w14:paraId="209BA4B8">
      <w:pPr>
        <w:spacing w:line="360" w:lineRule="auto"/>
        <w:jc w:val="center"/>
        <w:outlineLvl w:val="0"/>
        <w:rPr>
          <w:rFonts w:hint="eastAsia" w:ascii="宋体" w:hAnsi="宋体" w:eastAsia="宋体" w:cs="宋体"/>
          <w:b/>
          <w:color w:val="auto"/>
          <w:sz w:val="36"/>
          <w:szCs w:val="36"/>
          <w:highlight w:val="none"/>
        </w:rPr>
        <w:sectPr>
          <w:footerReference r:id="rId8" w:type="first"/>
          <w:footerReference r:id="rId7" w:type="default"/>
          <w:pgSz w:w="11907" w:h="16840"/>
          <w:pgMar w:top="1440" w:right="1800" w:bottom="1440" w:left="1800" w:header="851" w:footer="851" w:gutter="0"/>
          <w:pgNumType w:start="1"/>
          <w:cols w:space="720" w:num="1"/>
          <w:docGrid w:linePitch="462" w:charSpace="0"/>
        </w:sectPr>
      </w:pPr>
      <w:bookmarkStart w:id="5" w:name="_Toc8535"/>
    </w:p>
    <w:p w14:paraId="35113A80">
      <w:p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第一章   投标邀请</w:t>
      </w:r>
      <w:bookmarkEnd w:id="5"/>
    </w:p>
    <w:p w14:paraId="438FF9F2">
      <w:pPr>
        <w:pStyle w:val="3"/>
        <w:spacing w:before="0" w:line="360" w:lineRule="auto"/>
        <w:jc w:val="left"/>
        <w:rPr>
          <w:rFonts w:hint="eastAsia" w:ascii="宋体" w:hAnsi="宋体" w:eastAsia="宋体" w:cs="宋体"/>
          <w:color w:val="auto"/>
          <w:sz w:val="24"/>
          <w:szCs w:val="24"/>
          <w:highlight w:val="none"/>
        </w:rPr>
      </w:pPr>
      <w:bookmarkStart w:id="6" w:name="_Toc35393790"/>
      <w:bookmarkStart w:id="7" w:name="_Toc35393621"/>
      <w:bookmarkStart w:id="8" w:name="_Toc28359079"/>
      <w:bookmarkStart w:id="9" w:name="_Toc28359002"/>
      <w:bookmarkStart w:id="10" w:name="_Hlk24379207"/>
      <w:r>
        <w:rPr>
          <w:rFonts w:hint="eastAsia" w:ascii="宋体" w:hAnsi="宋体" w:eastAsia="宋体" w:cs="宋体"/>
          <w:color w:val="auto"/>
          <w:sz w:val="24"/>
          <w:szCs w:val="24"/>
          <w:highlight w:val="none"/>
        </w:rPr>
        <w:t>一、项目基本情况</w:t>
      </w:r>
      <w:bookmarkEnd w:id="6"/>
      <w:bookmarkEnd w:id="7"/>
      <w:bookmarkEnd w:id="8"/>
      <w:bookmarkEnd w:id="9"/>
    </w:p>
    <w:p w14:paraId="77B38492">
      <w:pPr>
        <w:spacing w:line="360" w:lineRule="auto"/>
        <w:ind w:firstLine="480" w:firstLineChars="200"/>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1.项目编号：</w:t>
      </w:r>
      <w:r>
        <w:rPr>
          <w:rFonts w:hint="eastAsia" w:ascii="宋体" w:hAnsi="宋体" w:cs="宋体"/>
          <w:color w:val="auto"/>
          <w:sz w:val="24"/>
          <w:highlight w:val="none"/>
          <w:lang w:eastAsia="zh-CN"/>
        </w:rPr>
        <w:t>11011326210200027217-XM001</w:t>
      </w:r>
    </w:p>
    <w:p w14:paraId="19FA1F57">
      <w:pPr>
        <w:spacing w:line="360" w:lineRule="auto"/>
        <w:ind w:firstLine="480" w:firstLineChars="200"/>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2.项目名称：</w:t>
      </w:r>
      <w:bookmarkEnd w:id="10"/>
      <w:r>
        <w:rPr>
          <w:rFonts w:hint="eastAsia" w:ascii="宋体" w:hAnsi="宋体" w:cs="宋体"/>
          <w:color w:val="auto"/>
          <w:sz w:val="24"/>
          <w:highlight w:val="none"/>
          <w:u w:val="single"/>
          <w:lang w:eastAsia="zh-CN"/>
        </w:rPr>
        <w:t>特定行业公用经费</w:t>
      </w:r>
    </w:p>
    <w:p w14:paraId="71CBCF06">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3.项目预算金额：</w:t>
      </w:r>
      <w:r>
        <w:rPr>
          <w:rFonts w:hint="eastAsia" w:ascii="宋体" w:hAnsi="宋体" w:cs="宋体"/>
          <w:color w:val="auto"/>
          <w:sz w:val="24"/>
          <w:highlight w:val="none"/>
          <w:u w:val="single"/>
          <w:lang w:val="en-US" w:eastAsia="zh-CN"/>
        </w:rPr>
        <w:t>187</w:t>
      </w:r>
      <w:r>
        <w:rPr>
          <w:rFonts w:hint="eastAsia" w:ascii="宋体" w:hAnsi="宋体" w:eastAsia="宋体" w:cs="宋体"/>
          <w:color w:val="auto"/>
          <w:sz w:val="24"/>
          <w:highlight w:val="none"/>
          <w:u w:val="none"/>
          <w:lang w:val="en-US" w:eastAsia="zh-CN"/>
        </w:rPr>
        <w:t>万元</w:t>
      </w:r>
      <w:r>
        <w:rPr>
          <w:rFonts w:hint="eastAsia" w:ascii="宋体" w:hAnsi="宋体" w:eastAsia="宋体" w:cs="宋体"/>
          <w:color w:val="auto"/>
          <w:sz w:val="24"/>
          <w:highlight w:val="none"/>
        </w:rPr>
        <w:t>、项目最高限价：</w:t>
      </w:r>
      <w:r>
        <w:rPr>
          <w:rFonts w:hint="eastAsia" w:ascii="宋体" w:hAnsi="宋体" w:cs="宋体"/>
          <w:color w:val="auto"/>
          <w:sz w:val="24"/>
          <w:highlight w:val="none"/>
          <w:u w:val="single"/>
          <w:lang w:val="en-US" w:eastAsia="zh-CN"/>
        </w:rPr>
        <w:t>187</w:t>
      </w:r>
      <w:r>
        <w:rPr>
          <w:rFonts w:hint="eastAsia" w:ascii="宋体" w:hAnsi="宋体" w:eastAsia="宋体" w:cs="宋体"/>
          <w:color w:val="auto"/>
          <w:sz w:val="24"/>
          <w:highlight w:val="none"/>
          <w:u w:val="none"/>
          <w:lang w:val="en-US" w:eastAsia="zh-CN"/>
        </w:rPr>
        <w:t>万元</w:t>
      </w:r>
    </w:p>
    <w:p w14:paraId="13FD051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4.采购需求：</w:t>
      </w:r>
    </w:p>
    <w:tbl>
      <w:tblPr>
        <w:tblStyle w:val="45"/>
        <w:tblW w:w="54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1896"/>
        <w:gridCol w:w="1341"/>
        <w:gridCol w:w="1420"/>
        <w:gridCol w:w="840"/>
        <w:gridCol w:w="2913"/>
      </w:tblGrid>
      <w:tr w14:paraId="4C30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vAlign w:val="center"/>
          </w:tcPr>
          <w:p w14:paraId="4A70F73B">
            <w:pPr>
              <w:jc w:val="center"/>
              <w:rPr>
                <w:rFonts w:hint="eastAsia" w:ascii="宋体" w:hAnsi="宋体"/>
                <w:bCs/>
                <w:color w:val="auto"/>
                <w:highlight w:val="none"/>
              </w:rPr>
            </w:pPr>
            <w:r>
              <w:rPr>
                <w:rFonts w:ascii="宋体" w:hAnsi="宋体"/>
                <w:bCs/>
                <w:color w:val="auto"/>
                <w:highlight w:val="none"/>
              </w:rPr>
              <w:t>包号</w:t>
            </w:r>
          </w:p>
        </w:tc>
        <w:tc>
          <w:tcPr>
            <w:tcW w:w="1028" w:type="pct"/>
            <w:vAlign w:val="center"/>
          </w:tcPr>
          <w:p w14:paraId="6AC97809">
            <w:pPr>
              <w:jc w:val="center"/>
              <w:rPr>
                <w:rFonts w:hint="eastAsia" w:ascii="宋体" w:hAnsi="宋体"/>
                <w:color w:val="auto"/>
                <w:highlight w:val="none"/>
              </w:rPr>
            </w:pPr>
            <w:r>
              <w:rPr>
                <w:rFonts w:ascii="宋体" w:hAnsi="宋体"/>
                <w:color w:val="auto"/>
                <w:highlight w:val="none"/>
              </w:rPr>
              <w:t>标</w:t>
            </w:r>
            <w:r>
              <w:rPr>
                <w:rFonts w:hint="eastAsia" w:ascii="宋体" w:hAnsi="宋体"/>
                <w:color w:val="auto"/>
                <w:highlight w:val="none"/>
                <w:lang w:val="en-US" w:eastAsia="zh-CN"/>
              </w:rPr>
              <w:t>的</w:t>
            </w:r>
            <w:r>
              <w:rPr>
                <w:rFonts w:ascii="宋体" w:hAnsi="宋体"/>
                <w:color w:val="auto"/>
                <w:highlight w:val="none"/>
              </w:rPr>
              <w:t>名称</w:t>
            </w:r>
          </w:p>
        </w:tc>
        <w:tc>
          <w:tcPr>
            <w:tcW w:w="727" w:type="pct"/>
            <w:vAlign w:val="center"/>
          </w:tcPr>
          <w:p w14:paraId="2536D524">
            <w:pPr>
              <w:jc w:val="center"/>
              <w:rPr>
                <w:rFonts w:hint="eastAsia" w:ascii="宋体" w:hAnsi="宋体"/>
                <w:color w:val="auto"/>
                <w:highlight w:val="none"/>
              </w:rPr>
            </w:pPr>
            <w:r>
              <w:rPr>
                <w:rFonts w:ascii="宋体" w:hAnsi="宋体"/>
                <w:color w:val="auto"/>
                <w:highlight w:val="none"/>
              </w:rPr>
              <w:t>采购包预算金额（万元）</w:t>
            </w:r>
          </w:p>
        </w:tc>
        <w:tc>
          <w:tcPr>
            <w:tcW w:w="769" w:type="pct"/>
            <w:vAlign w:val="center"/>
          </w:tcPr>
          <w:p w14:paraId="35FC73F0">
            <w:pPr>
              <w:jc w:val="center"/>
              <w:rPr>
                <w:rFonts w:hint="eastAsia" w:ascii="宋体" w:hAnsi="宋体" w:eastAsia="宋体"/>
                <w:color w:val="auto"/>
                <w:highlight w:val="none"/>
                <w:lang w:eastAsia="zh-CN"/>
              </w:rPr>
            </w:pPr>
            <w:r>
              <w:rPr>
                <w:rFonts w:ascii="宋体" w:hAnsi="宋体"/>
                <w:color w:val="auto"/>
                <w:highlight w:val="none"/>
              </w:rPr>
              <w:t>采购包最高限价</w:t>
            </w:r>
            <w:r>
              <w:rPr>
                <w:rFonts w:hint="eastAsia" w:ascii="宋体" w:hAnsi="宋体"/>
                <w:color w:val="auto"/>
                <w:highlight w:val="none"/>
                <w:lang w:eastAsia="zh-CN"/>
              </w:rPr>
              <w:t>（</w:t>
            </w:r>
            <w:r>
              <w:rPr>
                <w:rFonts w:hint="eastAsia" w:ascii="宋体" w:hAnsi="宋体"/>
                <w:color w:val="auto"/>
                <w:highlight w:val="none"/>
                <w:lang w:val="en-US" w:eastAsia="zh-CN"/>
              </w:rPr>
              <w:t>万元</w:t>
            </w:r>
            <w:r>
              <w:rPr>
                <w:rFonts w:hint="eastAsia" w:ascii="宋体" w:hAnsi="宋体"/>
                <w:color w:val="auto"/>
                <w:highlight w:val="none"/>
                <w:lang w:eastAsia="zh-CN"/>
              </w:rPr>
              <w:t>）</w:t>
            </w:r>
          </w:p>
        </w:tc>
        <w:tc>
          <w:tcPr>
            <w:tcW w:w="455" w:type="pct"/>
            <w:vAlign w:val="center"/>
          </w:tcPr>
          <w:p w14:paraId="4E0ED6CC">
            <w:pPr>
              <w:jc w:val="center"/>
              <w:rPr>
                <w:rFonts w:hint="eastAsia" w:ascii="宋体" w:hAnsi="宋体"/>
                <w:color w:val="auto"/>
                <w:highlight w:val="none"/>
              </w:rPr>
            </w:pPr>
            <w:r>
              <w:rPr>
                <w:rFonts w:ascii="宋体" w:hAnsi="宋体"/>
                <w:color w:val="auto"/>
                <w:highlight w:val="none"/>
              </w:rPr>
              <w:t>数量</w:t>
            </w:r>
          </w:p>
        </w:tc>
        <w:tc>
          <w:tcPr>
            <w:tcW w:w="1580" w:type="pct"/>
            <w:vAlign w:val="center"/>
          </w:tcPr>
          <w:p w14:paraId="6CEFF252">
            <w:pPr>
              <w:jc w:val="center"/>
              <w:rPr>
                <w:rFonts w:hint="eastAsia" w:ascii="宋体" w:hAnsi="宋体"/>
                <w:color w:val="auto"/>
                <w:highlight w:val="none"/>
              </w:rPr>
            </w:pPr>
            <w:r>
              <w:rPr>
                <w:rFonts w:ascii="宋体" w:hAnsi="宋体"/>
                <w:color w:val="auto"/>
                <w:highlight w:val="none"/>
              </w:rPr>
              <w:t>简要技术需求或服务要求</w:t>
            </w:r>
          </w:p>
        </w:tc>
      </w:tr>
      <w:tr w14:paraId="53AE7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439" w:type="pct"/>
            <w:vAlign w:val="center"/>
          </w:tcPr>
          <w:p w14:paraId="6EE2F90E">
            <w:pPr>
              <w:jc w:val="center"/>
              <w:rPr>
                <w:rFonts w:hint="eastAsia" w:ascii="宋体" w:hAnsi="宋体" w:eastAsia="宋体"/>
                <w:color w:val="auto"/>
                <w:highlight w:val="none"/>
                <w:lang w:val="en-US" w:eastAsia="zh-CN"/>
              </w:rPr>
            </w:pPr>
            <w:r>
              <w:rPr>
                <w:rFonts w:hint="eastAsia" w:ascii="宋体" w:hAnsi="宋体"/>
                <w:bCs/>
                <w:color w:val="auto"/>
                <w:highlight w:val="none"/>
              </w:rPr>
              <w:t>0</w:t>
            </w:r>
            <w:r>
              <w:rPr>
                <w:rFonts w:hint="eastAsia" w:ascii="宋体" w:hAnsi="宋体"/>
                <w:bCs/>
                <w:color w:val="auto"/>
                <w:highlight w:val="none"/>
                <w:lang w:val="en-US" w:eastAsia="zh-CN"/>
              </w:rPr>
              <w:t>1</w:t>
            </w:r>
          </w:p>
        </w:tc>
        <w:tc>
          <w:tcPr>
            <w:tcW w:w="1028" w:type="pct"/>
            <w:vAlign w:val="center"/>
          </w:tcPr>
          <w:p w14:paraId="14797ABC">
            <w:pPr>
              <w:jc w:val="center"/>
              <w:rPr>
                <w:rFonts w:hint="eastAsia" w:ascii="宋体" w:hAnsi="宋体" w:eastAsia="宋体"/>
                <w:color w:val="auto"/>
                <w:highlight w:val="none"/>
                <w:lang w:eastAsia="zh-CN"/>
              </w:rPr>
            </w:pPr>
            <w:r>
              <w:rPr>
                <w:rFonts w:hint="eastAsia" w:ascii="宋体" w:hAnsi="宋体"/>
                <w:color w:val="auto"/>
                <w:highlight w:val="none"/>
                <w:lang w:eastAsia="zh-CN"/>
              </w:rPr>
              <w:t>热力生产和供应</w:t>
            </w:r>
          </w:p>
        </w:tc>
        <w:tc>
          <w:tcPr>
            <w:tcW w:w="727" w:type="pct"/>
            <w:vAlign w:val="center"/>
          </w:tcPr>
          <w:p w14:paraId="426FE1C5">
            <w:pPr>
              <w:jc w:val="center"/>
              <w:rPr>
                <w:rFonts w:hint="default" w:ascii="宋体" w:hAnsi="宋体" w:eastAsia="宋体"/>
                <w:bCs/>
                <w:color w:val="auto"/>
                <w:highlight w:val="none"/>
                <w:lang w:val="en-US" w:eastAsia="zh-CN"/>
              </w:rPr>
            </w:pPr>
            <w:r>
              <w:rPr>
                <w:rFonts w:hint="eastAsia" w:ascii="宋体" w:hAnsi="宋体"/>
                <w:bCs/>
                <w:color w:val="auto"/>
                <w:highlight w:val="none"/>
                <w:lang w:val="en-US" w:eastAsia="zh-CN"/>
              </w:rPr>
              <w:t>187</w:t>
            </w:r>
          </w:p>
        </w:tc>
        <w:tc>
          <w:tcPr>
            <w:tcW w:w="769" w:type="pct"/>
            <w:vAlign w:val="center"/>
          </w:tcPr>
          <w:p w14:paraId="67D9C1DB">
            <w:pPr>
              <w:jc w:val="center"/>
              <w:rPr>
                <w:rFonts w:hint="default" w:ascii="宋体" w:hAnsi="宋体"/>
                <w:bCs/>
                <w:color w:val="auto"/>
                <w:highlight w:val="none"/>
                <w:lang w:val="en-US"/>
              </w:rPr>
            </w:pPr>
            <w:r>
              <w:rPr>
                <w:rFonts w:hint="eastAsia" w:ascii="宋体" w:hAnsi="宋体"/>
                <w:bCs/>
                <w:color w:val="auto"/>
                <w:highlight w:val="none"/>
                <w:lang w:val="en-US" w:eastAsia="zh-CN"/>
              </w:rPr>
              <w:t>187</w:t>
            </w:r>
          </w:p>
        </w:tc>
        <w:tc>
          <w:tcPr>
            <w:tcW w:w="455" w:type="pct"/>
            <w:vAlign w:val="center"/>
          </w:tcPr>
          <w:p w14:paraId="13664076">
            <w:pPr>
              <w:jc w:val="center"/>
              <w:rPr>
                <w:rFonts w:hint="eastAsia" w:ascii="宋体" w:hAnsi="宋体" w:eastAsia="宋体"/>
                <w:bCs/>
                <w:color w:val="auto"/>
                <w:highlight w:val="none"/>
                <w:lang w:val="en-US" w:eastAsia="zh-CN"/>
              </w:rPr>
            </w:pPr>
            <w:r>
              <w:rPr>
                <w:rFonts w:hint="eastAsia" w:ascii="宋体" w:hAnsi="宋体"/>
                <w:bCs/>
                <w:color w:val="auto"/>
                <w:highlight w:val="none"/>
              </w:rPr>
              <w:t>1</w:t>
            </w:r>
            <w:r>
              <w:rPr>
                <w:rFonts w:hint="eastAsia" w:ascii="宋体" w:hAnsi="宋体"/>
                <w:bCs/>
                <w:color w:val="auto"/>
                <w:highlight w:val="none"/>
                <w:lang w:val="en-US" w:eastAsia="zh-CN"/>
              </w:rPr>
              <w:t>项</w:t>
            </w:r>
          </w:p>
        </w:tc>
        <w:tc>
          <w:tcPr>
            <w:tcW w:w="1580" w:type="pct"/>
            <w:vAlign w:val="center"/>
          </w:tcPr>
          <w:p w14:paraId="6D64FDE7">
            <w:pPr>
              <w:jc w:val="left"/>
              <w:rPr>
                <w:rFonts w:hint="eastAsia" w:ascii="宋体" w:hAnsi="宋体"/>
                <w:color w:val="auto"/>
                <w:kern w:val="0"/>
                <w:highlight w:val="none"/>
              </w:rPr>
            </w:pPr>
            <w:r>
              <w:rPr>
                <w:rFonts w:hint="eastAsia" w:ascii="宋体" w:hAnsi="宋体"/>
                <w:color w:val="auto"/>
                <w:kern w:val="0"/>
                <w:highlight w:val="none"/>
              </w:rPr>
              <w:t>包括但不限于提供三台1.45MW的常压燃气热水锅炉的采暖服务、生活热水供应服务、设备维护保养（包括锅炉、燃烧机、供热系统、换热器、循环泵、补水泵、电气自控等设备）、管网巡视维护、废水、废气检测及运行期间消耗品等。具体内容及要求详见“采购需求”</w:t>
            </w:r>
          </w:p>
        </w:tc>
      </w:tr>
    </w:tbl>
    <w:p w14:paraId="59462CCE">
      <w:pPr>
        <w:spacing w:line="360" w:lineRule="auto"/>
        <w:ind w:firstLine="480" w:firstLineChars="200"/>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5.合同履行期限</w:t>
      </w:r>
      <w:r>
        <w:rPr>
          <w:rFonts w:hint="eastAsia" w:ascii="宋体" w:hAnsi="宋体" w:cs="宋体"/>
          <w:color w:val="auto"/>
          <w:sz w:val="24"/>
          <w:highlight w:val="none"/>
          <w:lang w:eastAsia="zh-CN"/>
        </w:rPr>
        <w:t>：</w:t>
      </w:r>
      <w:r>
        <w:rPr>
          <w:rFonts w:hint="eastAsia" w:ascii="宋体" w:hAnsi="宋体" w:cs="宋体"/>
          <w:color w:val="auto"/>
          <w:sz w:val="24"/>
          <w:szCs w:val="24"/>
          <w:highlight w:val="none"/>
          <w:lang w:val="en-US" w:eastAsia="zh-CN"/>
        </w:rPr>
        <w:t>自2026年11月 1日起至 2027年3月31日止，共计151日历天</w:t>
      </w:r>
    </w:p>
    <w:p w14:paraId="4605007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6.本项目是否接受联合体投标：□是  </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否。</w:t>
      </w:r>
    </w:p>
    <w:p w14:paraId="39AAE846">
      <w:pPr>
        <w:spacing w:line="360" w:lineRule="auto"/>
        <w:ind w:firstLine="480" w:firstLineChars="200"/>
        <w:rPr>
          <w:rFonts w:hint="eastAsia" w:ascii="宋体" w:hAnsi="宋体" w:eastAsia="宋体" w:cs="宋体"/>
          <w:color w:val="auto"/>
          <w:sz w:val="24"/>
          <w:highlight w:val="none"/>
        </w:rPr>
      </w:pPr>
    </w:p>
    <w:p w14:paraId="6A44B05F">
      <w:pPr>
        <w:pStyle w:val="3"/>
        <w:spacing w:before="0" w:line="360" w:lineRule="auto"/>
        <w:jc w:val="left"/>
        <w:rPr>
          <w:rFonts w:hint="eastAsia" w:ascii="宋体" w:hAnsi="宋体" w:eastAsia="宋体" w:cs="宋体"/>
          <w:color w:val="auto"/>
          <w:sz w:val="24"/>
          <w:szCs w:val="24"/>
          <w:highlight w:val="none"/>
        </w:rPr>
      </w:pPr>
      <w:bookmarkStart w:id="11" w:name="_Toc28359080"/>
      <w:bookmarkStart w:id="12" w:name="_Toc35393791"/>
      <w:bookmarkStart w:id="13" w:name="_Toc35393622"/>
      <w:bookmarkStart w:id="14" w:name="_Toc28359003"/>
      <w:r>
        <w:rPr>
          <w:rFonts w:hint="eastAsia" w:ascii="宋体" w:hAnsi="宋体" w:eastAsia="宋体" w:cs="宋体"/>
          <w:color w:val="auto"/>
          <w:sz w:val="24"/>
          <w:szCs w:val="24"/>
          <w:highlight w:val="none"/>
        </w:rPr>
        <w:t>二、申请人的资格要求（须同时满足）</w:t>
      </w:r>
      <w:bookmarkEnd w:id="11"/>
      <w:bookmarkEnd w:id="12"/>
      <w:bookmarkEnd w:id="13"/>
      <w:bookmarkEnd w:id="14"/>
    </w:p>
    <w:p w14:paraId="0A51BBC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6D9C0E2F">
      <w:pPr>
        <w:spacing w:line="360" w:lineRule="auto"/>
        <w:ind w:firstLine="480" w:firstLineChars="200"/>
        <w:rPr>
          <w:rFonts w:hint="eastAsia" w:ascii="宋体" w:hAnsi="宋体" w:eastAsia="宋体" w:cs="宋体"/>
          <w:color w:val="auto"/>
          <w:sz w:val="24"/>
          <w:szCs w:val="24"/>
          <w:highlight w:val="none"/>
        </w:rPr>
      </w:pPr>
      <w:bookmarkStart w:id="15" w:name="_Toc28359004"/>
      <w:bookmarkStart w:id="16" w:name="_Toc28359081"/>
      <w:r>
        <w:rPr>
          <w:rFonts w:hint="eastAsia" w:ascii="宋体" w:hAnsi="宋体" w:eastAsia="宋体" w:cs="宋体"/>
          <w:color w:val="auto"/>
          <w:sz w:val="24"/>
          <w:szCs w:val="24"/>
          <w:highlight w:val="none"/>
        </w:rPr>
        <w:t>2.落实政府采购政策需满足的资格要求：</w:t>
      </w:r>
    </w:p>
    <w:p w14:paraId="423A4CA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中小企业政策</w:t>
      </w:r>
    </w:p>
    <w:p w14:paraId="7781803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□本项目不专门面向中小企业预留采购份额。</w:t>
      </w:r>
    </w:p>
    <w:p w14:paraId="555A3BC9">
      <w:pPr>
        <w:spacing w:line="360" w:lineRule="auto"/>
        <w:ind w:firstLine="420" w:firstLineChars="200"/>
        <w:rPr>
          <w:rFonts w:hint="eastAsia" w:ascii="宋体" w:hAnsi="宋体" w:eastAsia="宋体" w:cs="宋体"/>
          <w:color w:val="auto"/>
          <w:sz w:val="24"/>
          <w:szCs w:val="24"/>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sz w:val="24"/>
          <w:szCs w:val="24"/>
          <w:highlight w:val="none"/>
        </w:rPr>
        <w:t xml:space="preserve">本项目专门面向 □中小 </w:t>
      </w:r>
      <w:r>
        <w:rPr>
          <w:rFonts w:hint="eastAsia" w:ascii="宋体" w:hAnsi="宋体" w:eastAsia="宋体" w:cs="宋体"/>
          <w:color w:val="auto"/>
          <w:highlight w:val="none"/>
          <w:lang w:eastAsia="zh-CN"/>
        </w:rPr>
        <w:t>■</w:t>
      </w:r>
      <w:r>
        <w:rPr>
          <w:rFonts w:hint="eastAsia" w:ascii="宋体" w:hAnsi="宋体" w:eastAsia="宋体" w:cs="宋体"/>
          <w:color w:val="auto"/>
          <w:sz w:val="24"/>
          <w:szCs w:val="24"/>
          <w:highlight w:val="none"/>
        </w:rPr>
        <w:t>小微企业  采购。即：提供的货物全部由符合政策要求的小微企业制造、服务全部由符合政策要求的小微企业承接。</w:t>
      </w:r>
    </w:p>
    <w:p w14:paraId="08238B8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7CDCCD5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其它落实政府采购政策的资格要求（如有）：</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2C9D52DF">
      <w:pPr>
        <w:spacing w:line="360" w:lineRule="auto"/>
        <w:ind w:firstLine="480" w:firstLineChars="200"/>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rPr>
        <w:t>3.本项目的特定资格要求：</w:t>
      </w:r>
    </w:p>
    <w:p w14:paraId="34D1ED9C">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本项目是否属于政府购买服务：</w:t>
      </w:r>
    </w:p>
    <w:p w14:paraId="35ADC223">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否</w:t>
      </w:r>
    </w:p>
    <w:p w14:paraId="7A812C9C">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□是，公益一类事业单位、使用事业编制且由财政拨款保障的群团组织，不得作为承接主体；</w:t>
      </w:r>
    </w:p>
    <w:p w14:paraId="7DB9A3F3">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3.2 其他特定资格要求：</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57C2E45D">
      <w:pPr>
        <w:spacing w:line="360" w:lineRule="auto"/>
        <w:ind w:firstLine="480" w:firstLineChars="200"/>
        <w:rPr>
          <w:rFonts w:hint="eastAsia" w:ascii="宋体" w:hAnsi="宋体" w:eastAsia="宋体" w:cs="宋体"/>
          <w:i/>
          <w:iCs/>
          <w:color w:val="auto"/>
          <w:sz w:val="24"/>
          <w:highlight w:val="none"/>
          <w:u w:val="single"/>
        </w:rPr>
      </w:pPr>
    </w:p>
    <w:bookmarkEnd w:id="15"/>
    <w:bookmarkEnd w:id="16"/>
    <w:p w14:paraId="2253E753">
      <w:pPr>
        <w:pStyle w:val="3"/>
        <w:widowControl/>
        <w:spacing w:before="0" w:line="360" w:lineRule="auto"/>
        <w:jc w:val="left"/>
        <w:rPr>
          <w:rFonts w:hint="eastAsia" w:ascii="宋体" w:hAnsi="宋体" w:eastAsia="宋体" w:cs="宋体"/>
          <w:color w:val="auto"/>
          <w:sz w:val="24"/>
          <w:szCs w:val="24"/>
          <w:highlight w:val="none"/>
        </w:rPr>
      </w:pPr>
      <w:bookmarkStart w:id="17" w:name="_Toc35393623"/>
      <w:bookmarkStart w:id="18" w:name="_Toc35393792"/>
      <w:r>
        <w:rPr>
          <w:rFonts w:hint="eastAsia" w:ascii="宋体" w:hAnsi="宋体" w:eastAsia="宋体" w:cs="宋体"/>
          <w:color w:val="auto"/>
          <w:sz w:val="24"/>
          <w:szCs w:val="24"/>
          <w:highlight w:val="none"/>
        </w:rPr>
        <w:t>三、获取招标文件</w:t>
      </w:r>
      <w:bookmarkEnd w:id="17"/>
      <w:bookmarkEnd w:id="18"/>
    </w:p>
    <w:p w14:paraId="62618744">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1.时间：</w:t>
      </w:r>
      <w:r>
        <w:rPr>
          <w:rFonts w:hint="eastAsia" w:ascii="宋体" w:hAnsi="宋体" w:eastAsia="宋体" w:cs="宋体"/>
          <w:color w:val="auto"/>
          <w:sz w:val="24"/>
          <w:highlight w:val="none"/>
          <w:u w:val="single"/>
          <w:lang w:bidi="ar"/>
        </w:rPr>
        <w:t>202</w:t>
      </w:r>
      <w:r>
        <w:rPr>
          <w:rFonts w:hint="eastAsia" w:ascii="宋体" w:hAnsi="宋体" w:cs="宋体"/>
          <w:color w:val="auto"/>
          <w:sz w:val="24"/>
          <w:highlight w:val="none"/>
          <w:u w:val="single"/>
          <w:lang w:val="en-US" w:eastAsia="zh-CN" w:bidi="ar"/>
        </w:rPr>
        <w:t>6</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val="en-US" w:eastAsia="zh-CN" w:bidi="ar"/>
        </w:rPr>
        <w:t>09</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val="en-US" w:eastAsia="zh-CN" w:bidi="ar"/>
        </w:rPr>
        <w:t>03</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日至</w:t>
      </w:r>
      <w:r>
        <w:rPr>
          <w:rFonts w:hint="eastAsia" w:ascii="宋体" w:hAnsi="宋体" w:eastAsia="宋体" w:cs="宋体"/>
          <w:color w:val="auto"/>
          <w:sz w:val="24"/>
          <w:highlight w:val="none"/>
          <w:u w:val="single"/>
          <w:lang w:bidi="ar"/>
        </w:rPr>
        <w:t xml:space="preserve"> 202</w:t>
      </w:r>
      <w:r>
        <w:rPr>
          <w:rFonts w:hint="eastAsia" w:ascii="宋体" w:hAnsi="宋体" w:cs="宋体"/>
          <w:color w:val="auto"/>
          <w:sz w:val="24"/>
          <w:highlight w:val="none"/>
          <w:u w:val="single"/>
          <w:lang w:val="en-US" w:eastAsia="zh-CN" w:bidi="ar"/>
        </w:rPr>
        <w:t>6</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val="en-US" w:eastAsia="zh-CN" w:bidi="ar"/>
        </w:rPr>
        <w:t>09</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val="en-US" w:eastAsia="zh-CN" w:bidi="ar"/>
        </w:rPr>
        <w:t>09</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日，每天上午</w:t>
      </w:r>
      <w:r>
        <w:rPr>
          <w:rFonts w:hint="eastAsia" w:ascii="宋体" w:hAnsi="宋体" w:eastAsia="宋体" w:cs="宋体"/>
          <w:color w:val="auto"/>
          <w:sz w:val="24"/>
          <w:highlight w:val="none"/>
          <w:u w:val="single"/>
          <w:lang w:bidi="ar"/>
        </w:rPr>
        <w:t>09:00</w:t>
      </w:r>
      <w:r>
        <w:rPr>
          <w:rFonts w:hint="eastAsia" w:ascii="宋体" w:hAnsi="宋体" w:eastAsia="宋体" w:cs="宋体"/>
          <w:color w:val="auto"/>
          <w:sz w:val="24"/>
          <w:highlight w:val="none"/>
          <w:lang w:bidi="ar"/>
        </w:rPr>
        <w:t>至</w:t>
      </w:r>
      <w:r>
        <w:rPr>
          <w:rFonts w:hint="eastAsia" w:ascii="宋体" w:hAnsi="宋体" w:eastAsia="宋体" w:cs="宋体"/>
          <w:color w:val="auto"/>
          <w:sz w:val="24"/>
          <w:highlight w:val="none"/>
          <w:u w:val="single"/>
          <w:lang w:bidi="ar"/>
        </w:rPr>
        <w:t>12:00</w:t>
      </w:r>
      <w:r>
        <w:rPr>
          <w:rFonts w:hint="eastAsia" w:ascii="宋体" w:hAnsi="宋体" w:eastAsia="宋体" w:cs="宋体"/>
          <w:color w:val="auto"/>
          <w:sz w:val="24"/>
          <w:highlight w:val="none"/>
          <w:lang w:bidi="ar"/>
        </w:rPr>
        <w:t>，下午</w:t>
      </w:r>
      <w:r>
        <w:rPr>
          <w:rFonts w:hint="eastAsia" w:ascii="宋体" w:hAnsi="宋体" w:eastAsia="宋体" w:cs="宋体"/>
          <w:color w:val="auto"/>
          <w:sz w:val="24"/>
          <w:highlight w:val="none"/>
          <w:u w:val="single"/>
          <w:lang w:bidi="ar"/>
        </w:rPr>
        <w:t>12:00</w:t>
      </w:r>
      <w:r>
        <w:rPr>
          <w:rFonts w:hint="eastAsia" w:ascii="宋体" w:hAnsi="宋体" w:eastAsia="宋体" w:cs="宋体"/>
          <w:color w:val="auto"/>
          <w:sz w:val="24"/>
          <w:highlight w:val="none"/>
          <w:lang w:bidi="ar"/>
        </w:rPr>
        <w:t>至</w:t>
      </w:r>
      <w:r>
        <w:rPr>
          <w:rFonts w:hint="eastAsia" w:ascii="宋体" w:hAnsi="宋体" w:eastAsia="宋体" w:cs="宋体"/>
          <w:color w:val="auto"/>
          <w:sz w:val="24"/>
          <w:highlight w:val="none"/>
          <w:u w:val="single"/>
          <w:lang w:bidi="ar"/>
        </w:rPr>
        <w:t>17:00</w:t>
      </w:r>
      <w:r>
        <w:rPr>
          <w:rFonts w:hint="eastAsia" w:ascii="宋体" w:hAnsi="宋体" w:eastAsia="宋体" w:cs="宋体"/>
          <w:color w:val="auto"/>
          <w:sz w:val="24"/>
          <w:highlight w:val="none"/>
          <w:lang w:bidi="ar"/>
        </w:rPr>
        <w:t>（北京时间，法定节假日除外）。</w:t>
      </w:r>
    </w:p>
    <w:p w14:paraId="6A0FBB6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2.地点：北京市政府采购电子交易平台</w:t>
      </w:r>
    </w:p>
    <w:p w14:paraId="33F98F77">
      <w:pPr>
        <w:widowControl/>
        <w:adjustRightInd w:val="0"/>
        <w:snapToGrid w:val="0"/>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3.方式：供应商使用CA数字证书或电子营业执照登录北京市政府采购电子交易平台（http://zbcg-bjzc.zhongcy.com/bjczj-portal-site/index.html#/home）获取电子版招标文件。</w:t>
      </w:r>
    </w:p>
    <w:p w14:paraId="2CF03CCC">
      <w:pPr>
        <w:widowControl/>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4.售价：0元。</w:t>
      </w:r>
    </w:p>
    <w:p w14:paraId="2F809737">
      <w:pPr>
        <w:tabs>
          <w:tab w:val="left" w:pos="900"/>
          <w:tab w:val="left" w:pos="1980"/>
        </w:tabs>
        <w:snapToGrid w:val="0"/>
        <w:spacing w:line="360" w:lineRule="auto"/>
        <w:ind w:left="840"/>
        <w:rPr>
          <w:rFonts w:hint="eastAsia" w:ascii="宋体" w:hAnsi="宋体" w:eastAsia="宋体" w:cs="宋体"/>
          <w:color w:val="auto"/>
          <w:sz w:val="24"/>
          <w:highlight w:val="none"/>
        </w:rPr>
      </w:pPr>
    </w:p>
    <w:p w14:paraId="7D4A376B">
      <w:pPr>
        <w:pStyle w:val="3"/>
        <w:widowControl/>
        <w:spacing w:before="0" w:line="360" w:lineRule="auto"/>
        <w:jc w:val="left"/>
        <w:rPr>
          <w:rFonts w:hint="eastAsia" w:ascii="宋体" w:hAnsi="宋体" w:eastAsia="宋体" w:cs="宋体"/>
          <w:color w:val="auto"/>
          <w:sz w:val="24"/>
          <w:szCs w:val="24"/>
          <w:highlight w:val="none"/>
        </w:rPr>
      </w:pPr>
      <w:bookmarkStart w:id="19" w:name="_Toc28359005"/>
      <w:bookmarkStart w:id="20" w:name="_Toc28359082"/>
      <w:bookmarkStart w:id="21" w:name="_Toc35393793"/>
      <w:bookmarkStart w:id="22" w:name="_Toc35393624"/>
      <w:r>
        <w:rPr>
          <w:rFonts w:hint="eastAsia" w:ascii="宋体" w:hAnsi="宋体" w:eastAsia="宋体" w:cs="宋体"/>
          <w:color w:val="auto"/>
          <w:sz w:val="24"/>
          <w:szCs w:val="24"/>
          <w:highlight w:val="none"/>
        </w:rPr>
        <w:t>四、提交投标文件</w:t>
      </w:r>
      <w:bookmarkEnd w:id="19"/>
      <w:bookmarkEnd w:id="20"/>
      <w:r>
        <w:rPr>
          <w:rFonts w:hint="eastAsia" w:ascii="宋体" w:hAnsi="宋体" w:eastAsia="宋体" w:cs="宋体"/>
          <w:color w:val="auto"/>
          <w:sz w:val="24"/>
          <w:szCs w:val="24"/>
          <w:highlight w:val="none"/>
        </w:rPr>
        <w:t>截止时间、开标时间和地点</w:t>
      </w:r>
      <w:bookmarkEnd w:id="21"/>
      <w:bookmarkEnd w:id="22"/>
    </w:p>
    <w:p w14:paraId="5A9953BB">
      <w:pPr>
        <w:spacing w:line="360"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投标截止时间、开标时间：</w:t>
      </w:r>
      <w:r>
        <w:rPr>
          <w:rFonts w:hint="eastAsia" w:ascii="宋体" w:hAnsi="宋体" w:eastAsia="宋体" w:cs="宋体"/>
          <w:color w:val="auto"/>
          <w:sz w:val="24"/>
          <w:highlight w:val="none"/>
          <w:u w:val="single"/>
          <w:lang w:bidi="ar"/>
        </w:rPr>
        <w:t>202</w:t>
      </w:r>
      <w:r>
        <w:rPr>
          <w:rFonts w:hint="eastAsia" w:ascii="宋体" w:hAnsi="宋体" w:cs="宋体"/>
          <w:color w:val="auto"/>
          <w:sz w:val="24"/>
          <w:highlight w:val="none"/>
          <w:u w:val="single"/>
          <w:lang w:val="en-US" w:eastAsia="zh-CN" w:bidi="ar"/>
        </w:rPr>
        <w:t>6</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val="en-US" w:eastAsia="zh-CN" w:bidi="ar"/>
        </w:rPr>
        <w:t>09</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val="en-US" w:eastAsia="zh-CN" w:bidi="ar"/>
        </w:rPr>
        <w:t>24</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lang w:val="en-US" w:eastAsia="zh-CN"/>
        </w:rPr>
        <w:t>09</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u w:val="single"/>
        </w:rPr>
        <w:t xml:space="preserve">30 </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166324E7">
      <w:pPr>
        <w:spacing w:line="360" w:lineRule="auto"/>
        <w:ind w:left="479" w:leftChars="228"/>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地点：</w:t>
      </w:r>
      <w:r>
        <w:rPr>
          <w:rFonts w:hint="eastAsia" w:ascii="宋体" w:hAnsi="宋体" w:eastAsia="宋体" w:cs="宋体"/>
          <w:color w:val="auto"/>
          <w:sz w:val="24"/>
          <w:highlight w:val="none"/>
          <w:u w:val="single"/>
          <w:lang w:bidi="ar"/>
        </w:rPr>
        <w:t>北京市顺义区复兴东街3号院顺义区政务服务中心6号电梯厅二层（具体标室以当天大屏幕为准）</w:t>
      </w:r>
      <w:r>
        <w:rPr>
          <w:rFonts w:hint="eastAsia" w:ascii="宋体" w:hAnsi="宋体" w:eastAsia="宋体" w:cs="宋体"/>
          <w:color w:val="auto"/>
          <w:sz w:val="24"/>
          <w:highlight w:val="none"/>
          <w:lang w:bidi="ar"/>
        </w:rPr>
        <w:t>。</w:t>
      </w:r>
    </w:p>
    <w:p w14:paraId="36B05647">
      <w:pPr>
        <w:spacing w:line="360" w:lineRule="auto"/>
        <w:ind w:firstLine="480" w:firstLineChars="200"/>
        <w:rPr>
          <w:rFonts w:hint="eastAsia" w:ascii="宋体" w:hAnsi="宋体" w:eastAsia="宋体" w:cs="宋体"/>
          <w:bCs/>
          <w:color w:val="auto"/>
          <w:sz w:val="24"/>
          <w:highlight w:val="none"/>
          <w:u w:val="single"/>
        </w:rPr>
      </w:pPr>
    </w:p>
    <w:p w14:paraId="64E921EB">
      <w:pPr>
        <w:pStyle w:val="3"/>
        <w:spacing w:before="0" w:line="360" w:lineRule="auto"/>
        <w:jc w:val="left"/>
        <w:rPr>
          <w:rFonts w:hint="eastAsia" w:ascii="宋体" w:hAnsi="宋体" w:eastAsia="宋体" w:cs="宋体"/>
          <w:color w:val="auto"/>
          <w:sz w:val="24"/>
          <w:szCs w:val="24"/>
          <w:highlight w:val="none"/>
        </w:rPr>
      </w:pPr>
      <w:bookmarkStart w:id="23" w:name="_Toc28359007"/>
      <w:bookmarkStart w:id="24" w:name="_Toc28359084"/>
      <w:bookmarkStart w:id="25" w:name="_Toc35393625"/>
      <w:bookmarkStart w:id="26" w:name="_Toc35393794"/>
      <w:r>
        <w:rPr>
          <w:rFonts w:hint="eastAsia" w:ascii="宋体" w:hAnsi="宋体" w:eastAsia="宋体" w:cs="宋体"/>
          <w:color w:val="auto"/>
          <w:sz w:val="24"/>
          <w:szCs w:val="24"/>
          <w:highlight w:val="none"/>
        </w:rPr>
        <w:t>五、公告期限</w:t>
      </w:r>
      <w:bookmarkEnd w:id="23"/>
      <w:bookmarkEnd w:id="24"/>
      <w:bookmarkEnd w:id="25"/>
      <w:bookmarkEnd w:id="26"/>
    </w:p>
    <w:p w14:paraId="4BA18AB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自本公告发布之日起5个工作日。</w:t>
      </w:r>
    </w:p>
    <w:p w14:paraId="47BE1E5D">
      <w:pPr>
        <w:spacing w:line="360" w:lineRule="auto"/>
        <w:ind w:firstLine="480" w:firstLineChars="200"/>
        <w:rPr>
          <w:rFonts w:hint="eastAsia" w:ascii="宋体" w:hAnsi="宋体" w:eastAsia="宋体" w:cs="宋体"/>
          <w:color w:val="auto"/>
          <w:kern w:val="0"/>
          <w:sz w:val="24"/>
          <w:highlight w:val="none"/>
        </w:rPr>
      </w:pPr>
    </w:p>
    <w:p w14:paraId="72444CFC">
      <w:pPr>
        <w:pStyle w:val="3"/>
        <w:spacing w:before="0" w:line="360" w:lineRule="auto"/>
        <w:jc w:val="left"/>
        <w:rPr>
          <w:rFonts w:hint="eastAsia" w:ascii="宋体" w:hAnsi="宋体" w:eastAsia="宋体" w:cs="宋体"/>
          <w:color w:val="auto"/>
          <w:sz w:val="24"/>
          <w:szCs w:val="24"/>
          <w:highlight w:val="none"/>
        </w:rPr>
      </w:pPr>
      <w:bookmarkStart w:id="27" w:name="_Toc35393795"/>
      <w:bookmarkStart w:id="28" w:name="_Toc35393626"/>
      <w:r>
        <w:rPr>
          <w:rFonts w:hint="eastAsia" w:ascii="宋体" w:hAnsi="宋体" w:eastAsia="宋体" w:cs="宋体"/>
          <w:color w:val="auto"/>
          <w:sz w:val="24"/>
          <w:szCs w:val="24"/>
          <w:highlight w:val="none"/>
        </w:rPr>
        <w:t>六、其他补充事宜</w:t>
      </w:r>
      <w:bookmarkEnd w:id="27"/>
      <w:bookmarkEnd w:id="28"/>
    </w:p>
    <w:p w14:paraId="630E923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1.本项目需要落实的政府采购政策：</w:t>
      </w:r>
      <w:r>
        <w:rPr>
          <w:rFonts w:hint="eastAsia" w:ascii="宋体" w:hAnsi="宋体" w:eastAsia="宋体" w:cs="宋体"/>
          <w:color w:val="auto"/>
          <w:sz w:val="24"/>
          <w:highlight w:val="none"/>
          <w:lang w:bidi="ar"/>
        </w:rPr>
        <w:t>本项目需要落实</w:t>
      </w:r>
      <w:r>
        <w:rPr>
          <w:rFonts w:hint="eastAsia" w:ascii="宋体" w:hAnsi="宋体" w:eastAsia="宋体" w:cs="宋体"/>
          <w:color w:val="auto"/>
          <w:sz w:val="24"/>
          <w:highlight w:val="none"/>
          <w:u w:val="single"/>
          <w:lang w:bidi="ar"/>
        </w:rPr>
        <w:t>促进中小企业发展、</w:t>
      </w:r>
      <w:r>
        <w:rPr>
          <w:rFonts w:hint="eastAsia" w:ascii="宋体" w:hAnsi="宋体" w:eastAsia="宋体" w:cs="宋体"/>
          <w:color w:val="auto"/>
          <w:sz w:val="24"/>
          <w:highlight w:val="none"/>
          <w:u w:val="single"/>
        </w:rPr>
        <w:t>监狱企业及残疾人福利性单位发展</w:t>
      </w:r>
      <w:r>
        <w:rPr>
          <w:rFonts w:hint="eastAsia" w:ascii="宋体" w:hAnsi="宋体" w:eastAsia="宋体" w:cs="宋体"/>
          <w:color w:val="auto"/>
          <w:sz w:val="24"/>
          <w:highlight w:val="none"/>
          <w:lang w:bidi="ar"/>
        </w:rPr>
        <w:t>等政府采购政策（具体要求见招标文件）。</w:t>
      </w:r>
    </w:p>
    <w:p w14:paraId="73B05930">
      <w:pPr>
        <w:widowControl/>
        <w:adjustRightInd w:val="0"/>
        <w:snapToGrid w:val="0"/>
        <w:spacing w:line="360" w:lineRule="auto"/>
        <w:ind w:firstLine="480" w:firstLineChars="200"/>
        <w:jc w:val="left"/>
        <w:rPr>
          <w:rFonts w:hint="eastAsia" w:ascii="宋体" w:hAnsi="宋体" w:eastAsia="宋体" w:cs="宋体"/>
          <w:bCs/>
          <w:color w:val="auto"/>
          <w:sz w:val="24"/>
          <w:highlight w:val="none"/>
          <w:lang w:bidi="ar"/>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bidi="ar"/>
        </w:rPr>
        <w:t>本项目采用全流程电子化采购方式，请投标人认真学习北京市政府采购电子交易平台发布的相关操作手册，办理CA认证证书、进行北京市政府采购电子交易平台注册绑定，并认真核实</w:t>
      </w:r>
      <w:r>
        <w:rPr>
          <w:rFonts w:hint="eastAsia" w:ascii="宋体" w:hAnsi="宋体" w:eastAsia="宋体" w:cs="宋体"/>
          <w:bCs/>
          <w:color w:val="auto"/>
          <w:sz w:val="24"/>
          <w:highlight w:val="none"/>
          <w:lang w:bidi="ar"/>
        </w:rPr>
        <w:t>数字认证证书情况确认是否符合本项目电子化采购流程要求。</w:t>
      </w:r>
    </w:p>
    <w:p w14:paraId="0962C9EB">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CA数字证书服务热线 010-58511086</w:t>
      </w:r>
    </w:p>
    <w:p w14:paraId="6B667436">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电子营业执照服务热线 400-699-7000</w:t>
      </w:r>
    </w:p>
    <w:p w14:paraId="1B46BED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技术支持服务热线    010-86483801</w:t>
      </w:r>
    </w:p>
    <w:p w14:paraId="7FC51B8F">
      <w:pPr>
        <w:widowControl/>
        <w:adjustRightInd w:val="0"/>
        <w:snapToGrid w:val="0"/>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2.1办理CA数字证书或电子营业执照</w:t>
      </w:r>
    </w:p>
    <w:p w14:paraId="2B583DDD">
      <w:pPr>
        <w:widowControl/>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供应商登录北京市政府采购电子交易平台查阅 “用户指南”—“操作指南”—“市场主体CA办理操作流程指引”/“电子营业执照使用指南”，按照程序要求办理。</w:t>
      </w:r>
    </w:p>
    <w:p w14:paraId="61FAAC8D">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2.2注册</w:t>
      </w:r>
    </w:p>
    <w:p w14:paraId="22A12FCF">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供应商登录北京市政府采购电子交易平台“用户指南”—“操作指南”—“市场主体注册入库操作流程指引”进行自助注册绑定。</w:t>
      </w:r>
    </w:p>
    <w:p w14:paraId="6F9523FF">
      <w:pPr>
        <w:widowControl/>
        <w:adjustRightInd w:val="0"/>
        <w:snapToGrid w:val="0"/>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2.3驱动、客户端下载</w:t>
      </w:r>
    </w:p>
    <w:p w14:paraId="28EEA7E0">
      <w:pPr>
        <w:widowControl/>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供应商登录北京市政府采购电子交易平台“用户指南”—“工具下载”—“招标采购系统文件驱动安装包”下载相关驱动。</w:t>
      </w:r>
    </w:p>
    <w:p w14:paraId="3265F0D3">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投标人登录北京市政府采购电子交易平台“用户指南”—“工具下载”—“投标文件编制工具”下载相关客户端。</w:t>
      </w:r>
    </w:p>
    <w:p w14:paraId="31CBA073">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2.4 获取电子招标文件</w:t>
      </w:r>
    </w:p>
    <w:p w14:paraId="2424BAE5">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供应商使用CA数字证书或电子营业执照登录北京市政府采购电子交易平台获取电子招标文件。</w:t>
      </w:r>
    </w:p>
    <w:p w14:paraId="71B737DC">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49BB833">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2.5编制电子投标文件</w:t>
      </w:r>
    </w:p>
    <w:p w14:paraId="1FB580BF">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供应商应使用电子投标客户端编制电子投标文件并进行线上投标，供应商电子投标文件需要加密并加盖电子签章</w:t>
      </w:r>
      <w:r>
        <w:rPr>
          <w:rFonts w:hint="eastAsia" w:ascii="宋体" w:hAnsi="宋体" w:eastAsia="宋体" w:cs="宋体"/>
          <w:bCs/>
          <w:color w:val="auto"/>
          <w:sz w:val="24"/>
          <w:highlight w:val="none"/>
          <w:lang w:bidi="ar"/>
        </w:rPr>
        <w:t>，如无法按照要求在电子投标文件中加盖电子签章和加密，请及时通过技术支持服务热线联系技术人员</w:t>
      </w:r>
      <w:r>
        <w:rPr>
          <w:rFonts w:hint="eastAsia" w:ascii="宋体" w:hAnsi="宋体" w:eastAsia="宋体" w:cs="宋体"/>
          <w:color w:val="auto"/>
          <w:sz w:val="24"/>
          <w:highlight w:val="none"/>
          <w:lang w:bidi="ar"/>
        </w:rPr>
        <w:t>。</w:t>
      </w:r>
    </w:p>
    <w:p w14:paraId="0A48B7A0">
      <w:pPr>
        <w:widowControl/>
        <w:spacing w:line="360" w:lineRule="auto"/>
        <w:ind w:firstLine="480" w:firstLineChars="200"/>
        <w:jc w:val="left"/>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val="zh-TW" w:eastAsia="zh-TW" w:bidi="ar"/>
        </w:rPr>
        <w:t>.6</w:t>
      </w:r>
      <w:r>
        <w:rPr>
          <w:rFonts w:hint="eastAsia" w:ascii="宋体" w:hAnsi="宋体" w:eastAsia="宋体" w:cs="宋体"/>
          <w:color w:val="auto"/>
          <w:sz w:val="24"/>
          <w:highlight w:val="none"/>
          <w:lang w:val="zh-TW" w:bidi="ar"/>
        </w:rPr>
        <w:t>提交电子投标文件</w:t>
      </w:r>
    </w:p>
    <w:p w14:paraId="2E33BE3A">
      <w:pPr>
        <w:widowControl/>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投标人应于投标截止时间前在北京市政府采购电子交易平台提交电子投标文件，上传电子投标文件过程中请保持与互联网的连接畅通。</w:t>
      </w:r>
    </w:p>
    <w:p w14:paraId="0D510CA7">
      <w:pPr>
        <w:widowControl/>
        <w:spacing w:line="360" w:lineRule="auto"/>
        <w:ind w:firstLine="480" w:firstLineChars="200"/>
        <w:jc w:val="left"/>
        <w:rPr>
          <w:rFonts w:hint="eastAsia" w:ascii="宋体" w:hAnsi="宋体" w:eastAsia="宋体" w:cs="宋体"/>
          <w:color w:val="auto"/>
          <w:sz w:val="24"/>
          <w:highlight w:val="none"/>
          <w:lang w:eastAsia="zh-TW" w:bidi="ar"/>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val="zh-TW" w:bidi="ar"/>
        </w:rPr>
        <w:t>.</w:t>
      </w:r>
      <w:r>
        <w:rPr>
          <w:rFonts w:hint="eastAsia" w:ascii="宋体" w:hAnsi="宋体" w:eastAsia="宋体" w:cs="宋体"/>
          <w:color w:val="auto"/>
          <w:sz w:val="24"/>
          <w:highlight w:val="none"/>
          <w:lang w:val="zh-TW" w:eastAsia="zh-TW" w:bidi="ar"/>
        </w:rPr>
        <w:t>7</w:t>
      </w:r>
      <w:r>
        <w:rPr>
          <w:rFonts w:hint="eastAsia" w:ascii="宋体" w:hAnsi="宋体" w:eastAsia="宋体" w:cs="宋体"/>
          <w:color w:val="auto"/>
          <w:sz w:val="24"/>
          <w:highlight w:val="none"/>
          <w:lang w:val="zh-TW" w:bidi="ar"/>
        </w:rPr>
        <w:t>电子开标</w:t>
      </w:r>
    </w:p>
    <w:p w14:paraId="412E8A1F">
      <w:pPr>
        <w:spacing w:line="360" w:lineRule="auto"/>
        <w:ind w:firstLine="480" w:firstLineChars="200"/>
        <w:rPr>
          <w:rFonts w:hint="eastAsia" w:ascii="宋体" w:hAnsi="宋体" w:eastAsia="宋体" w:cs="宋体"/>
          <w:color w:val="auto"/>
          <w:sz w:val="24"/>
          <w:highlight w:val="none"/>
          <w:lang w:eastAsia="zh-TW"/>
        </w:rPr>
      </w:pPr>
      <w:r>
        <w:rPr>
          <w:rFonts w:hint="eastAsia" w:ascii="宋体" w:hAnsi="宋体" w:eastAsia="宋体" w:cs="宋体"/>
          <w:color w:val="auto"/>
          <w:sz w:val="24"/>
          <w:highlight w:val="none"/>
          <w:lang w:bidi="ar"/>
        </w:rPr>
        <w:t>供应商</w:t>
      </w:r>
      <w:r>
        <w:rPr>
          <w:rFonts w:hint="eastAsia" w:ascii="宋体" w:hAnsi="宋体" w:eastAsia="宋体" w:cs="宋体"/>
          <w:color w:val="auto"/>
          <w:sz w:val="24"/>
          <w:highlight w:val="none"/>
          <w:lang w:val="zh-TW" w:bidi="ar"/>
        </w:rPr>
        <w:t>在开标地点使用</w:t>
      </w:r>
      <w:r>
        <w:rPr>
          <w:rFonts w:hint="eastAsia" w:ascii="宋体" w:hAnsi="宋体" w:eastAsia="宋体" w:cs="宋体"/>
          <w:color w:val="auto"/>
          <w:sz w:val="24"/>
          <w:highlight w:val="none"/>
          <w:lang w:bidi="ar"/>
        </w:rPr>
        <w:t>CA数字证书或电子营业执照</w:t>
      </w:r>
      <w:r>
        <w:rPr>
          <w:rFonts w:hint="eastAsia" w:ascii="宋体" w:hAnsi="宋体" w:eastAsia="宋体" w:cs="宋体"/>
          <w:color w:val="auto"/>
          <w:sz w:val="24"/>
          <w:highlight w:val="none"/>
          <w:lang w:val="zh-TW" w:bidi="ar"/>
        </w:rPr>
        <w:t>登录</w:t>
      </w:r>
      <w:r>
        <w:rPr>
          <w:rFonts w:hint="eastAsia" w:ascii="宋体" w:hAnsi="宋体" w:eastAsia="宋体" w:cs="宋体"/>
          <w:color w:val="auto"/>
          <w:sz w:val="24"/>
          <w:highlight w:val="none"/>
          <w:lang w:bidi="ar"/>
        </w:rPr>
        <w:t>北京市政府采购电子交易平台进行电子开标</w:t>
      </w:r>
      <w:r>
        <w:rPr>
          <w:rFonts w:hint="eastAsia" w:ascii="宋体" w:hAnsi="宋体" w:eastAsia="宋体" w:cs="宋体"/>
          <w:color w:val="auto"/>
          <w:sz w:val="24"/>
          <w:highlight w:val="none"/>
          <w:lang w:val="zh-TW" w:bidi="ar"/>
        </w:rPr>
        <w:t>。</w:t>
      </w:r>
    </w:p>
    <w:p w14:paraId="4161EEF7">
      <w:pPr>
        <w:spacing w:line="360" w:lineRule="auto"/>
        <w:ind w:firstLine="480" w:firstLineChars="200"/>
        <w:outlineLvl w:val="3"/>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rPr>
        <w:t>评审方法和标准：本项目采用综合评分法，满分100分（具体要求见招标文件）</w:t>
      </w:r>
      <w:r>
        <w:rPr>
          <w:rFonts w:hint="eastAsia" w:ascii="宋体" w:hAnsi="宋体" w:cs="宋体"/>
          <w:color w:val="auto"/>
          <w:sz w:val="24"/>
          <w:highlight w:val="none"/>
          <w:lang w:eastAsia="zh-CN"/>
        </w:rPr>
        <w:t>。</w:t>
      </w:r>
    </w:p>
    <w:p w14:paraId="5DFAD60F">
      <w:pPr>
        <w:spacing w:line="360" w:lineRule="auto"/>
        <w:ind w:firstLine="480" w:firstLineChars="200"/>
        <w:outlineLvl w:val="3"/>
        <w:rPr>
          <w:rFonts w:hint="eastAsia" w:ascii="宋体" w:hAnsi="宋体" w:eastAsia="宋体" w:cs="宋体"/>
          <w:color w:val="auto"/>
          <w:sz w:val="24"/>
          <w:highlight w:val="none"/>
          <w:lang w:val="en" w:bidi="ar"/>
        </w:rPr>
      </w:pPr>
      <w:r>
        <w:rPr>
          <w:rFonts w:hint="eastAsia" w:ascii="宋体" w:hAnsi="宋体" w:eastAsia="宋体" w:cs="宋体"/>
          <w:color w:val="auto"/>
          <w:sz w:val="24"/>
          <w:highlight w:val="none"/>
          <w:lang w:bidi="ar"/>
        </w:rPr>
        <w:t>4</w:t>
      </w:r>
      <w:r>
        <w:rPr>
          <w:rFonts w:hint="eastAsia" w:ascii="宋体" w:hAnsi="宋体" w:eastAsia="宋体" w:cs="宋体"/>
          <w:color w:val="auto"/>
          <w:sz w:val="24"/>
          <w:highlight w:val="none"/>
          <w:lang w:val="en" w:bidi="ar"/>
        </w:rPr>
        <w:t>.公告媒体：本公告在中国政府采购网、北京市政府采购网发布。</w:t>
      </w:r>
    </w:p>
    <w:p w14:paraId="076A84C8">
      <w:pPr>
        <w:pStyle w:val="3"/>
        <w:spacing w:before="0" w:line="360" w:lineRule="auto"/>
        <w:jc w:val="left"/>
        <w:rPr>
          <w:rFonts w:hint="eastAsia" w:ascii="宋体" w:hAnsi="宋体" w:eastAsia="宋体" w:cs="宋体"/>
          <w:color w:val="auto"/>
          <w:sz w:val="24"/>
          <w:szCs w:val="24"/>
          <w:highlight w:val="none"/>
        </w:rPr>
      </w:pPr>
      <w:bookmarkStart w:id="29" w:name="_Toc28359008"/>
      <w:bookmarkStart w:id="30" w:name="_Toc28359085"/>
      <w:bookmarkStart w:id="31" w:name="_Toc35393796"/>
      <w:bookmarkStart w:id="32" w:name="_Toc35393627"/>
      <w:r>
        <w:rPr>
          <w:rFonts w:hint="eastAsia" w:ascii="宋体" w:hAnsi="宋体" w:eastAsia="宋体" w:cs="宋体"/>
          <w:color w:val="auto"/>
          <w:sz w:val="24"/>
          <w:szCs w:val="24"/>
          <w:highlight w:val="none"/>
        </w:rPr>
        <w:t>七、对本次招标提出询问，请按以下方式联系。</w:t>
      </w:r>
      <w:bookmarkEnd w:id="29"/>
      <w:bookmarkEnd w:id="30"/>
      <w:bookmarkEnd w:id="31"/>
      <w:bookmarkEnd w:id="32"/>
    </w:p>
    <w:p w14:paraId="121B8634">
      <w:pPr>
        <w:widowControl/>
        <w:spacing w:line="360" w:lineRule="auto"/>
        <w:ind w:firstLine="723" w:firstLineChars="3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1.采购人信息</w:t>
      </w:r>
    </w:p>
    <w:p w14:paraId="2D3F9557">
      <w:pPr>
        <w:spacing w:line="360" w:lineRule="auto"/>
        <w:ind w:left="1079" w:leftChars="371" w:hanging="300" w:hangingChars="125"/>
        <w:jc w:val="left"/>
        <w:rPr>
          <w:rFonts w:hint="eastAsia" w:ascii="宋体" w:hAnsi="宋体" w:eastAsia="宋体" w:cs="宋体"/>
          <w:color w:val="auto"/>
          <w:sz w:val="24"/>
          <w:highlight w:val="none"/>
          <w:lang w:eastAsia="zh-CN"/>
        </w:rPr>
      </w:pPr>
      <w:bookmarkStart w:id="33" w:name="_Toc28359009"/>
      <w:bookmarkStart w:id="34" w:name="_Toc28359086"/>
      <w:r>
        <w:rPr>
          <w:rFonts w:hint="eastAsia" w:ascii="宋体" w:hAnsi="宋体" w:eastAsia="宋体" w:cs="宋体"/>
          <w:color w:val="auto"/>
          <w:sz w:val="24"/>
          <w:highlight w:val="none"/>
        </w:rPr>
        <w:t>名    称：</w:t>
      </w:r>
      <w:r>
        <w:rPr>
          <w:rFonts w:hint="eastAsia" w:ascii="宋体" w:hAnsi="宋体" w:cs="宋体"/>
          <w:color w:val="auto"/>
          <w:sz w:val="24"/>
          <w:highlight w:val="none"/>
          <w:u w:val="single"/>
          <w:lang w:eastAsia="zh-CN"/>
        </w:rPr>
        <w:t>北京市顺义牛栏山第一中学板桥学校</w:t>
      </w:r>
    </w:p>
    <w:p w14:paraId="426F742B">
      <w:pPr>
        <w:spacing w:line="360" w:lineRule="auto"/>
        <w:ind w:left="1079" w:leftChars="371" w:hanging="300" w:hangingChars="125"/>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cs="宋体"/>
          <w:color w:val="auto"/>
          <w:sz w:val="24"/>
          <w:highlight w:val="none"/>
          <w:u w:val="single"/>
          <w:lang w:eastAsia="zh-CN"/>
        </w:rPr>
        <w:t>北京市顺义区瑞吉路1号</w:t>
      </w:r>
    </w:p>
    <w:p w14:paraId="2F98E361">
      <w:pPr>
        <w:spacing w:line="360" w:lineRule="auto"/>
        <w:ind w:left="1079" w:leftChars="371" w:hanging="300" w:hangingChars="125"/>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联系方式：</w:t>
      </w:r>
      <w:r>
        <w:rPr>
          <w:rFonts w:hint="eastAsia" w:ascii="宋体" w:hAnsi="宋体" w:cs="宋体"/>
          <w:color w:val="auto"/>
          <w:sz w:val="24"/>
          <w:highlight w:val="none"/>
          <w:u w:val="single"/>
          <w:lang w:val="en-US" w:eastAsia="zh-CN"/>
        </w:rPr>
        <w:t>高旺，010-69410026</w:t>
      </w:r>
    </w:p>
    <w:p w14:paraId="34C157F0">
      <w:pPr>
        <w:spacing w:line="360" w:lineRule="auto"/>
        <w:ind w:left="1080" w:leftChars="371" w:hanging="301" w:hangingChars="125"/>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2.采购代理机构信息</w:t>
      </w:r>
      <w:bookmarkEnd w:id="33"/>
      <w:bookmarkEnd w:id="34"/>
    </w:p>
    <w:p w14:paraId="36DD642D">
      <w:pPr>
        <w:spacing w:line="360" w:lineRule="auto"/>
        <w:ind w:left="1079" w:leftChars="371" w:hanging="300" w:hangingChars="125"/>
        <w:jc w:val="left"/>
        <w:rPr>
          <w:rFonts w:hint="eastAsia" w:ascii="宋体" w:hAnsi="宋体" w:eastAsia="宋体" w:cs="宋体"/>
          <w:color w:val="auto"/>
          <w:sz w:val="24"/>
          <w:highlight w:val="none"/>
          <w:lang w:eastAsia="zh-CN"/>
        </w:rPr>
      </w:pPr>
      <w:bookmarkStart w:id="35" w:name="_Toc28359010"/>
      <w:bookmarkStart w:id="36" w:name="_Toc28359087"/>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u w:val="single"/>
          <w:lang w:eastAsia="zh-CN"/>
        </w:rPr>
        <w:t>北京嘉诚晟泰工程管理咨询有限公司</w:t>
      </w:r>
    </w:p>
    <w:p w14:paraId="4F4DB363">
      <w:pPr>
        <w:spacing w:line="360" w:lineRule="auto"/>
        <w:ind w:left="1079" w:leftChars="371" w:hanging="300" w:hangingChars="125"/>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lang w:eastAsia="zh-CN"/>
        </w:rPr>
        <w:t>北京市顺义区顺平辅线181号14幢3层</w:t>
      </w:r>
    </w:p>
    <w:p w14:paraId="6C97A9C8">
      <w:pPr>
        <w:spacing w:line="360" w:lineRule="auto"/>
        <w:ind w:left="1079" w:leftChars="371" w:hanging="300" w:hangingChars="125"/>
        <w:jc w:val="lef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联系方式：</w:t>
      </w:r>
      <w:r>
        <w:rPr>
          <w:rFonts w:hint="eastAsia" w:ascii="宋体" w:hAnsi="宋体" w:cs="宋体"/>
          <w:color w:val="auto"/>
          <w:sz w:val="24"/>
          <w:highlight w:val="none"/>
          <w:u w:val="single"/>
          <w:lang w:val="en-US" w:eastAsia="zh-CN"/>
        </w:rPr>
        <w:t>刘旭红</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eastAsia="zh-CN"/>
        </w:rPr>
        <w:t>010-60418509</w:t>
      </w:r>
    </w:p>
    <w:p w14:paraId="4A52707F">
      <w:pPr>
        <w:spacing w:line="360" w:lineRule="auto"/>
        <w:ind w:firstLine="723" w:firstLineChars="300"/>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3.项目联系方式</w:t>
      </w:r>
      <w:bookmarkEnd w:id="35"/>
      <w:bookmarkEnd w:id="36"/>
    </w:p>
    <w:p w14:paraId="734F5C85">
      <w:pPr>
        <w:pStyle w:val="23"/>
        <w:spacing w:line="360" w:lineRule="auto"/>
        <w:ind w:firstLine="720" w:firstLine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w:t>
      </w:r>
      <w:r>
        <w:rPr>
          <w:rFonts w:hint="eastAsia" w:ascii="宋体" w:hAnsi="宋体" w:cs="宋体"/>
          <w:color w:val="auto"/>
          <w:sz w:val="24"/>
          <w:highlight w:val="none"/>
          <w:u w:val="single"/>
          <w:lang w:val="en-US" w:eastAsia="zh-CN"/>
        </w:rPr>
        <w:t>刘旭红</w:t>
      </w:r>
    </w:p>
    <w:p w14:paraId="0AFA63E3">
      <w:pPr>
        <w:pStyle w:val="23"/>
        <w:spacing w:line="360" w:lineRule="auto"/>
        <w:ind w:firstLine="720" w:firstLine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lang w:eastAsia="zh-CN"/>
        </w:rPr>
        <w:t>010-60418509</w:t>
      </w:r>
    </w:p>
    <w:p w14:paraId="1CE49911">
      <w:pPr>
        <w:spacing w:line="360" w:lineRule="auto"/>
        <w:ind w:firstLine="5880" w:firstLineChars="2450"/>
        <w:jc w:val="right"/>
        <w:rPr>
          <w:rFonts w:hint="eastAsia" w:ascii="宋体" w:hAnsi="宋体" w:eastAsia="宋体" w:cs="宋体"/>
          <w:color w:val="auto"/>
          <w:sz w:val="24"/>
          <w:highlight w:val="none"/>
        </w:rPr>
      </w:pPr>
    </w:p>
    <w:p w14:paraId="37F40560">
      <w:p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r>
      <w:bookmarkStart w:id="37" w:name="_Toc305158928"/>
      <w:bookmarkStart w:id="38" w:name="_Toc195842950"/>
      <w:bookmarkStart w:id="39" w:name="_Toc150774783"/>
      <w:bookmarkStart w:id="40" w:name="_Toc28209"/>
      <w:bookmarkStart w:id="41" w:name="_Toc512937850"/>
      <w:bookmarkStart w:id="42" w:name="_Toc226965856"/>
      <w:bookmarkStart w:id="43" w:name="_Toc353825548"/>
      <w:bookmarkStart w:id="44" w:name="_Toc264969275"/>
      <w:bookmarkStart w:id="45" w:name="_Toc305158854"/>
      <w:bookmarkStart w:id="46" w:name="_Toc353873938"/>
      <w:bookmarkStart w:id="47" w:name="_Toc127161488"/>
      <w:bookmarkStart w:id="48" w:name="_Toc127151777"/>
      <w:bookmarkStart w:id="49" w:name="_Toc265228423"/>
      <w:r>
        <w:rPr>
          <w:rFonts w:hint="eastAsia" w:ascii="宋体" w:hAnsi="宋体" w:eastAsia="宋体" w:cs="宋体"/>
          <w:b/>
          <w:color w:val="auto"/>
          <w:sz w:val="36"/>
          <w:szCs w:val="36"/>
          <w:highlight w:val="none"/>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24C33F56">
      <w:pPr>
        <w:pStyle w:val="3"/>
        <w:tabs>
          <w:tab w:val="center" w:pos="4592"/>
          <w:tab w:val="left" w:pos="7860"/>
        </w:tabs>
        <w:spacing w:before="0" w:line="360" w:lineRule="auto"/>
        <w:rPr>
          <w:rFonts w:hint="eastAsia" w:ascii="宋体" w:hAnsi="宋体" w:eastAsia="宋体" w:cs="宋体"/>
          <w:color w:val="auto"/>
          <w:sz w:val="28"/>
          <w:highlight w:val="none"/>
        </w:rPr>
      </w:pPr>
      <w:bookmarkStart w:id="50" w:name="_Toc226309763"/>
      <w:bookmarkStart w:id="51" w:name="_Toc226965709"/>
      <w:bookmarkStart w:id="52" w:name="_Toc164608788"/>
      <w:bookmarkStart w:id="53" w:name="_Toc150774724"/>
      <w:bookmarkStart w:id="54" w:name="_Toc151190146"/>
      <w:bookmarkStart w:id="55" w:name="_Toc226337215"/>
      <w:bookmarkStart w:id="56" w:name="_Toc150509270"/>
      <w:bookmarkStart w:id="57" w:name="_Toc127151720"/>
      <w:bookmarkStart w:id="58" w:name="_Toc164229214"/>
      <w:bookmarkStart w:id="59" w:name="_Toc151193617"/>
      <w:bookmarkStart w:id="60" w:name="_Toc151193833"/>
      <w:bookmarkStart w:id="61" w:name="_Toc164351613"/>
      <w:bookmarkStart w:id="62" w:name="_Toc142311021"/>
      <w:bookmarkStart w:id="63" w:name="_Toc520356144"/>
      <w:bookmarkStart w:id="64" w:name="_Toc150774619"/>
      <w:bookmarkStart w:id="65" w:name="_Toc151193907"/>
      <w:bookmarkStart w:id="66" w:name="_Toc151193689"/>
      <w:bookmarkStart w:id="67" w:name="_Toc149720812"/>
      <w:bookmarkStart w:id="68" w:name="_Toc127151519"/>
      <w:bookmarkStart w:id="69" w:name="_Toc151193761"/>
      <w:bookmarkStart w:id="70" w:name="_Toc127161433"/>
      <w:bookmarkStart w:id="71" w:name="_Toc164229360"/>
      <w:bookmarkStart w:id="72" w:name="_Toc164608633"/>
      <w:bookmarkStart w:id="73" w:name="_Toc226965792"/>
      <w:bookmarkStart w:id="74" w:name="_Toc195842884"/>
      <w:bookmarkStart w:id="75" w:name="_Toc150480757"/>
      <w:r>
        <w:rPr>
          <w:rFonts w:hint="eastAsia" w:ascii="宋体" w:hAnsi="宋体" w:eastAsia="宋体" w:cs="宋体"/>
          <w:color w:val="auto"/>
          <w:sz w:val="28"/>
          <w:highlight w:val="none"/>
        </w:rPr>
        <w:t>投标人须知资料表</w:t>
      </w:r>
    </w:p>
    <w:p w14:paraId="496B5C82">
      <w:pPr>
        <w:jc w:val="center"/>
        <w:rPr>
          <w:rFonts w:hint="eastAsia" w:ascii="宋体" w:hAnsi="宋体" w:eastAsia="宋体" w:cs="宋体"/>
          <w:b/>
          <w:color w:val="auto"/>
          <w:sz w:val="28"/>
          <w:szCs w:val="28"/>
          <w:highlight w:val="none"/>
        </w:rPr>
      </w:pPr>
    </w:p>
    <w:p w14:paraId="633224B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本表是对投标人须知的具体补充和修改，如有矛盾，均以本资料表为准。</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0E61E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3F94182">
            <w:pPr>
              <w:jc w:val="center"/>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条款号</w:t>
            </w:r>
          </w:p>
        </w:tc>
        <w:tc>
          <w:tcPr>
            <w:tcW w:w="1701" w:type="dxa"/>
            <w:vAlign w:val="center"/>
          </w:tcPr>
          <w:p w14:paraId="26B58159">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条目</w:t>
            </w:r>
          </w:p>
        </w:tc>
        <w:tc>
          <w:tcPr>
            <w:tcW w:w="7540" w:type="dxa"/>
            <w:vAlign w:val="center"/>
          </w:tcPr>
          <w:p w14:paraId="21098227">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内容</w:t>
            </w:r>
          </w:p>
        </w:tc>
      </w:tr>
      <w:tr w14:paraId="08A96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B4F078D">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701" w:type="dxa"/>
            <w:vAlign w:val="center"/>
          </w:tcPr>
          <w:p w14:paraId="036D9CF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tc>
        <w:tc>
          <w:tcPr>
            <w:tcW w:w="7540" w:type="dxa"/>
            <w:vAlign w:val="center"/>
          </w:tcPr>
          <w:p w14:paraId="1C1652B4">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p w14:paraId="3FED4FA7">
            <w:pPr>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■服务</w:t>
            </w:r>
          </w:p>
          <w:p w14:paraId="0F325B07">
            <w:pPr>
              <w:jc w:val="left"/>
              <w:rPr>
                <w:rFonts w:hint="eastAsia" w:ascii="宋体" w:hAnsi="宋体" w:eastAsia="宋体" w:cs="宋体"/>
                <w:color w:val="auto"/>
                <w:sz w:val="24"/>
                <w:highlight w:val="none"/>
                <w:u w:val="single"/>
              </w:rPr>
            </w:pPr>
            <w:r>
              <w:rPr>
                <w:rFonts w:hint="eastAsia" w:ascii="宋体" w:hAnsi="宋体" w:eastAsia="宋体" w:cs="宋体"/>
                <w:b w:val="0"/>
                <w:bCs/>
                <w:color w:val="auto"/>
                <w:sz w:val="24"/>
                <w:highlight w:val="none"/>
              </w:rPr>
              <w:t>□</w:t>
            </w:r>
            <w:r>
              <w:rPr>
                <w:rFonts w:hint="eastAsia" w:ascii="宋体" w:hAnsi="宋体" w:eastAsia="宋体" w:cs="宋体"/>
                <w:color w:val="auto"/>
                <w:sz w:val="24"/>
                <w:highlight w:val="none"/>
              </w:rPr>
              <w:t>货物</w:t>
            </w:r>
          </w:p>
        </w:tc>
      </w:tr>
      <w:tr w14:paraId="6940F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EB498B5">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1701" w:type="dxa"/>
            <w:vAlign w:val="center"/>
          </w:tcPr>
          <w:p w14:paraId="6A118F1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科研仪器设备</w:t>
            </w:r>
          </w:p>
        </w:tc>
        <w:tc>
          <w:tcPr>
            <w:tcW w:w="7540" w:type="dxa"/>
            <w:vAlign w:val="center"/>
          </w:tcPr>
          <w:p w14:paraId="57C3ACDE">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是否属于科研仪器设备采购项目：</w:t>
            </w:r>
          </w:p>
          <w:p w14:paraId="6AE94CA6">
            <w:pPr>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□是</w:t>
            </w:r>
          </w:p>
          <w:p w14:paraId="44092A91">
            <w:pPr>
              <w:jc w:val="left"/>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rPr>
              <w:t>■</w:t>
            </w:r>
            <w:r>
              <w:rPr>
                <w:rFonts w:hint="eastAsia" w:ascii="宋体" w:hAnsi="宋体" w:eastAsia="宋体" w:cs="宋体"/>
                <w:color w:val="auto"/>
                <w:sz w:val="24"/>
                <w:highlight w:val="none"/>
              </w:rPr>
              <w:t>否</w:t>
            </w:r>
          </w:p>
        </w:tc>
      </w:tr>
      <w:tr w14:paraId="26E4F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0B42427">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p>
        </w:tc>
        <w:tc>
          <w:tcPr>
            <w:tcW w:w="1701" w:type="dxa"/>
            <w:vAlign w:val="center"/>
          </w:tcPr>
          <w:p w14:paraId="2AF021D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核心产品</w:t>
            </w:r>
          </w:p>
        </w:tc>
        <w:tc>
          <w:tcPr>
            <w:tcW w:w="7540" w:type="dxa"/>
            <w:vAlign w:val="center"/>
          </w:tcPr>
          <w:p w14:paraId="651417B1">
            <w:pPr>
              <w:pStyle w:val="23"/>
              <w:adjustRightInd w:val="0"/>
              <w:snapToGrid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highlight w:val="none"/>
              </w:rPr>
              <w:t>■</w:t>
            </w:r>
            <w:r>
              <w:rPr>
                <w:rFonts w:hint="eastAsia" w:ascii="宋体" w:hAnsi="宋体" w:eastAsia="宋体" w:cs="宋体"/>
                <w:b w:val="0"/>
                <w:bCs/>
                <w:color w:val="auto"/>
                <w:sz w:val="24"/>
                <w:szCs w:val="24"/>
                <w:highlight w:val="none"/>
              </w:rPr>
              <w:t>关于核心产品本项目</w:t>
            </w:r>
            <w:r>
              <w:rPr>
                <w:rFonts w:hint="eastAsia" w:hAnsi="宋体" w:cs="宋体"/>
                <w:b w:val="0"/>
                <w:bCs/>
                <w:color w:val="auto"/>
                <w:sz w:val="24"/>
                <w:szCs w:val="24"/>
                <w:highlight w:val="none"/>
                <w:u w:val="single"/>
                <w:lang w:val="en-US" w:eastAsia="zh-CN"/>
              </w:rPr>
              <w:t xml:space="preserve">  /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包不适用。</w:t>
            </w:r>
          </w:p>
          <w:p w14:paraId="5B512BF7">
            <w:pPr>
              <w:pStyle w:val="23"/>
              <w:adjustRightInd w:val="0"/>
              <w:snapToGrid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highlight w:val="none"/>
              </w:rPr>
              <w:t>□</w:t>
            </w:r>
            <w:r>
              <w:rPr>
                <w:rFonts w:hint="eastAsia" w:ascii="宋体" w:hAnsi="宋体" w:eastAsia="宋体" w:cs="宋体"/>
                <w:b w:val="0"/>
                <w:bCs/>
                <w:color w:val="auto"/>
                <w:sz w:val="24"/>
                <w:szCs w:val="24"/>
                <w:highlight w:val="none"/>
              </w:rPr>
              <w:t>本项目_</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_包为单一产品采购项目。</w:t>
            </w:r>
          </w:p>
          <w:p w14:paraId="7F04E16C">
            <w:pPr>
              <w:jc w:val="left"/>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rPr>
              <w:t>□</w:t>
            </w:r>
            <w:r>
              <w:rPr>
                <w:rFonts w:hint="eastAsia" w:ascii="宋体" w:hAnsi="宋体" w:eastAsia="宋体" w:cs="宋体"/>
                <w:color w:val="auto"/>
                <w:sz w:val="24"/>
                <w:highlight w:val="none"/>
              </w:rPr>
              <w:t>本项目_</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_包为非单一产品采购项目，核心产品为：_</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___。</w:t>
            </w:r>
          </w:p>
        </w:tc>
      </w:tr>
      <w:tr w14:paraId="15C1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4A1B343">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701" w:type="dxa"/>
            <w:vAlign w:val="center"/>
          </w:tcPr>
          <w:p w14:paraId="71CA1DC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现场考察</w:t>
            </w:r>
          </w:p>
        </w:tc>
        <w:tc>
          <w:tcPr>
            <w:tcW w:w="7540" w:type="dxa"/>
            <w:vAlign w:val="center"/>
          </w:tcPr>
          <w:p w14:paraId="3909AEC5">
            <w:pPr>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■不组织</w:t>
            </w:r>
          </w:p>
          <w:p w14:paraId="005F0A18">
            <w:pPr>
              <w:jc w:val="left"/>
              <w:rPr>
                <w:rFonts w:hint="eastAsia" w:ascii="宋体" w:hAnsi="宋体" w:eastAsia="宋体" w:cs="宋体"/>
                <w:bCs/>
                <w:color w:val="auto"/>
                <w:sz w:val="24"/>
                <w:highlight w:val="none"/>
              </w:rPr>
            </w:pPr>
            <w:r>
              <w:rPr>
                <w:rFonts w:hint="eastAsia" w:ascii="宋体" w:hAnsi="宋体" w:eastAsia="宋体" w:cs="宋体"/>
                <w:b w:val="0"/>
                <w:bCs/>
                <w:color w:val="auto"/>
                <w:sz w:val="24"/>
                <w:highlight w:val="none"/>
              </w:rPr>
              <w:t>□</w:t>
            </w:r>
            <w:r>
              <w:rPr>
                <w:rFonts w:hint="eastAsia" w:ascii="宋体" w:hAnsi="宋体" w:eastAsia="宋体" w:cs="宋体"/>
                <w:color w:val="auto"/>
                <w:sz w:val="24"/>
                <w:highlight w:val="none"/>
              </w:rPr>
              <w:t>组织，考察时间：_</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_年</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_月</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_日_</w:t>
            </w:r>
            <w:r>
              <w:rPr>
                <w:rFonts w:hint="eastAsia" w:ascii="宋体" w:hAnsi="宋体" w:eastAsia="宋体" w:cs="宋体"/>
                <w:color w:val="auto"/>
                <w:sz w:val="24"/>
                <w:highlight w:val="none"/>
                <w:lang w:val="en-US" w:eastAsia="zh-CN"/>
              </w:rPr>
              <w:t>/</w:t>
            </w:r>
            <w:r>
              <w:rPr>
                <w:rFonts w:hint="eastAsia" w:ascii="宋体" w:hAnsi="宋体" w:eastAsia="宋体" w:cs="宋体"/>
                <w:bCs/>
                <w:color w:val="auto"/>
                <w:sz w:val="24"/>
                <w:highlight w:val="none"/>
              </w:rPr>
              <w:t>点</w:t>
            </w:r>
            <w:r>
              <w:rPr>
                <w:rFonts w:hint="eastAsia" w:ascii="宋体" w:hAnsi="宋体" w:eastAsia="宋体" w:cs="宋体"/>
                <w:color w:val="auto"/>
                <w:sz w:val="24"/>
                <w:highlight w:val="none"/>
              </w:rPr>
              <w:t>_</w:t>
            </w:r>
            <w:r>
              <w:rPr>
                <w:rFonts w:hint="eastAsia" w:ascii="宋体" w:hAnsi="宋体" w:eastAsia="宋体" w:cs="宋体"/>
                <w:color w:val="auto"/>
                <w:sz w:val="24"/>
                <w:highlight w:val="none"/>
                <w:lang w:val="en-US" w:eastAsia="zh-CN"/>
              </w:rPr>
              <w:t>/</w:t>
            </w:r>
            <w:r>
              <w:rPr>
                <w:rFonts w:hint="eastAsia" w:ascii="宋体" w:hAnsi="宋体" w:eastAsia="宋体" w:cs="宋体"/>
                <w:bCs/>
                <w:color w:val="auto"/>
                <w:sz w:val="24"/>
                <w:highlight w:val="none"/>
              </w:rPr>
              <w:t>分</w:t>
            </w:r>
          </w:p>
          <w:p w14:paraId="384CE594">
            <w:pPr>
              <w:pStyle w:val="23"/>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考察地点：____</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________。</w:t>
            </w:r>
          </w:p>
        </w:tc>
      </w:tr>
      <w:tr w14:paraId="30D40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4C7707D2">
            <w:pPr>
              <w:pStyle w:val="23"/>
              <w:adjustRightInd w:val="0"/>
              <w:snapToGrid w:val="0"/>
              <w:jc w:val="center"/>
              <w:rPr>
                <w:rFonts w:hint="eastAsia" w:ascii="宋体" w:hAnsi="宋体" w:eastAsia="宋体" w:cs="宋体"/>
                <w:color w:val="auto"/>
                <w:sz w:val="24"/>
                <w:szCs w:val="24"/>
                <w:highlight w:val="none"/>
              </w:rPr>
            </w:pPr>
          </w:p>
        </w:tc>
        <w:tc>
          <w:tcPr>
            <w:tcW w:w="1701" w:type="dxa"/>
            <w:vAlign w:val="center"/>
          </w:tcPr>
          <w:p w14:paraId="767EF0D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开标前答疑会</w:t>
            </w:r>
          </w:p>
        </w:tc>
        <w:tc>
          <w:tcPr>
            <w:tcW w:w="7540" w:type="dxa"/>
            <w:vAlign w:val="center"/>
          </w:tcPr>
          <w:p w14:paraId="0AE95BB0">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不召开</w:t>
            </w:r>
          </w:p>
          <w:p w14:paraId="02959CA5">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召开，召开时间：_</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_年</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_月_</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日_</w:t>
            </w:r>
            <w:r>
              <w:rPr>
                <w:rFonts w:hint="eastAsia" w:ascii="宋体" w:hAnsi="宋体" w:eastAsia="宋体" w:cs="宋体"/>
                <w:color w:val="auto"/>
                <w:sz w:val="24"/>
                <w:highlight w:val="none"/>
                <w:lang w:val="en-US" w:eastAsia="zh-CN"/>
              </w:rPr>
              <w:t>/</w:t>
            </w:r>
            <w:r>
              <w:rPr>
                <w:rFonts w:hint="eastAsia" w:ascii="宋体" w:hAnsi="宋体" w:eastAsia="宋体" w:cs="宋体"/>
                <w:bCs/>
                <w:color w:val="auto"/>
                <w:sz w:val="24"/>
                <w:highlight w:val="none"/>
              </w:rPr>
              <w:t>点</w:t>
            </w:r>
            <w:r>
              <w:rPr>
                <w:rFonts w:hint="eastAsia" w:ascii="宋体" w:hAnsi="宋体" w:eastAsia="宋体" w:cs="宋体"/>
                <w:color w:val="auto"/>
                <w:sz w:val="24"/>
                <w:highlight w:val="none"/>
              </w:rPr>
              <w:t>_</w:t>
            </w:r>
            <w:r>
              <w:rPr>
                <w:rFonts w:hint="eastAsia" w:ascii="宋体" w:hAnsi="宋体" w:eastAsia="宋体" w:cs="宋体"/>
                <w:color w:val="auto"/>
                <w:sz w:val="24"/>
                <w:highlight w:val="none"/>
                <w:lang w:val="en-US" w:eastAsia="zh-CN"/>
              </w:rPr>
              <w:t>/</w:t>
            </w:r>
            <w:r>
              <w:rPr>
                <w:rFonts w:hint="eastAsia" w:ascii="宋体" w:hAnsi="宋体" w:eastAsia="宋体" w:cs="宋体"/>
                <w:bCs/>
                <w:color w:val="auto"/>
                <w:sz w:val="24"/>
                <w:highlight w:val="none"/>
              </w:rPr>
              <w:t>分</w:t>
            </w:r>
          </w:p>
          <w:p w14:paraId="1A4D2906">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召开地点：_____</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_______。</w:t>
            </w:r>
          </w:p>
        </w:tc>
      </w:tr>
      <w:tr w14:paraId="3C91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95A77C">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p>
        </w:tc>
        <w:tc>
          <w:tcPr>
            <w:tcW w:w="1701" w:type="dxa"/>
            <w:vAlign w:val="center"/>
          </w:tcPr>
          <w:p w14:paraId="3DB328E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样品</w:t>
            </w:r>
          </w:p>
        </w:tc>
        <w:tc>
          <w:tcPr>
            <w:tcW w:w="7540" w:type="dxa"/>
            <w:vAlign w:val="center"/>
          </w:tcPr>
          <w:p w14:paraId="037599A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投标样品递交：</w:t>
            </w:r>
          </w:p>
          <w:p w14:paraId="1965EAC7">
            <w:pPr>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■不需要</w:t>
            </w:r>
          </w:p>
          <w:p w14:paraId="58F17915">
            <w:pPr>
              <w:jc w:val="left"/>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rPr>
              <w:t>□需要</w:t>
            </w:r>
            <w:r>
              <w:rPr>
                <w:rFonts w:hint="eastAsia" w:ascii="宋体" w:hAnsi="宋体" w:eastAsia="宋体" w:cs="宋体"/>
                <w:color w:val="auto"/>
                <w:sz w:val="24"/>
                <w:highlight w:val="none"/>
              </w:rPr>
              <w:t>，具体要求如下：</w:t>
            </w:r>
          </w:p>
          <w:p w14:paraId="2E294116">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（1）样品制作的标准和要求：____</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_____；</w:t>
            </w:r>
          </w:p>
          <w:p w14:paraId="2A7FAE14">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（2）是否需要随样品提交相关检测报告：</w:t>
            </w:r>
          </w:p>
          <w:p w14:paraId="73F7543E">
            <w:pPr>
              <w:ind w:firstLine="600" w:firstLineChars="25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□不需要</w:t>
            </w:r>
          </w:p>
          <w:p w14:paraId="0262730A">
            <w:pPr>
              <w:ind w:firstLine="600" w:firstLineChars="250"/>
              <w:jc w:val="left"/>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rPr>
              <w:t>□</w:t>
            </w:r>
            <w:r>
              <w:rPr>
                <w:rFonts w:hint="eastAsia" w:ascii="宋体" w:hAnsi="宋体" w:eastAsia="宋体" w:cs="宋体"/>
                <w:color w:val="auto"/>
                <w:sz w:val="24"/>
                <w:highlight w:val="none"/>
              </w:rPr>
              <w:t>需要</w:t>
            </w:r>
          </w:p>
          <w:p w14:paraId="5DB3864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（3）样品递交要求：_____</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____；</w:t>
            </w:r>
          </w:p>
          <w:p w14:paraId="343936D4">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（4）未中标人样品退还：_____</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____；</w:t>
            </w:r>
          </w:p>
          <w:p w14:paraId="0B58FDE6">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（5）中标人样品保管、封存及退还：_____</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____；</w:t>
            </w:r>
          </w:p>
          <w:p w14:paraId="2186288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（6）其他要求（如有）：____</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_____。</w:t>
            </w:r>
          </w:p>
        </w:tc>
      </w:tr>
      <w:tr w14:paraId="2BD42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7" w:hRule="atLeast"/>
          <w:jc w:val="center"/>
        </w:trPr>
        <w:tc>
          <w:tcPr>
            <w:tcW w:w="988" w:type="dxa"/>
            <w:vAlign w:val="center"/>
          </w:tcPr>
          <w:p w14:paraId="01192664">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5.2.5</w:t>
            </w:r>
          </w:p>
        </w:tc>
        <w:tc>
          <w:tcPr>
            <w:tcW w:w="1701" w:type="dxa"/>
            <w:vAlign w:val="center"/>
          </w:tcPr>
          <w:p w14:paraId="624FFF2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标的所属行业</w:t>
            </w:r>
          </w:p>
        </w:tc>
        <w:tc>
          <w:tcPr>
            <w:tcW w:w="7540" w:type="dxa"/>
            <w:vAlign w:val="center"/>
          </w:tcPr>
          <w:p w14:paraId="044E0C25">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本项目采购标的对应的中小企业划分标准所属行业：</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2880"/>
              <w:gridCol w:w="3486"/>
            </w:tblGrid>
            <w:tr w14:paraId="37871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892" w:type="dxa"/>
                  <w:vAlign w:val="center"/>
                </w:tcPr>
                <w:p w14:paraId="7C29BB2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包号</w:t>
                  </w:r>
                </w:p>
              </w:tc>
              <w:tc>
                <w:tcPr>
                  <w:tcW w:w="2880" w:type="dxa"/>
                  <w:vAlign w:val="center"/>
                </w:tcPr>
                <w:p w14:paraId="5E1BBF8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标的名称</w:t>
                  </w:r>
                </w:p>
              </w:tc>
              <w:tc>
                <w:tcPr>
                  <w:tcW w:w="3486" w:type="dxa"/>
                  <w:vAlign w:val="center"/>
                </w:tcPr>
                <w:p w14:paraId="674D22F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中小企业划分标准所属行业</w:t>
                  </w:r>
                </w:p>
              </w:tc>
            </w:tr>
            <w:tr w14:paraId="101D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92" w:type="dxa"/>
                  <w:vAlign w:val="center"/>
                </w:tcPr>
                <w:p w14:paraId="5761B502">
                  <w:pPr>
                    <w:jc w:val="center"/>
                    <w:rPr>
                      <w:rFonts w:hint="eastAsia" w:ascii="宋体" w:hAnsi="宋体" w:eastAsia="宋体" w:cs="宋体"/>
                      <w:color w:val="auto"/>
                      <w:sz w:val="24"/>
                      <w:highlight w:val="none"/>
                    </w:rPr>
                  </w:pPr>
                  <w:r>
                    <w:rPr>
                      <w:rFonts w:hint="eastAsia"/>
                      <w:color w:val="auto"/>
                      <w:sz w:val="24"/>
                      <w:highlight w:val="none"/>
                    </w:rPr>
                    <w:t>01</w:t>
                  </w:r>
                </w:p>
              </w:tc>
              <w:tc>
                <w:tcPr>
                  <w:tcW w:w="2880" w:type="dxa"/>
                  <w:vAlign w:val="center"/>
                </w:tcPr>
                <w:p w14:paraId="2B87ED8E">
                  <w:pPr>
                    <w:jc w:val="center"/>
                    <w:rPr>
                      <w:rFonts w:hint="eastAsia" w:ascii="宋体" w:hAnsi="宋体" w:eastAsia="宋体" w:cs="宋体"/>
                      <w:b w:val="0"/>
                      <w:bCs/>
                      <w:color w:val="auto"/>
                      <w:szCs w:val="21"/>
                      <w:highlight w:val="none"/>
                    </w:rPr>
                  </w:pPr>
                  <w:r>
                    <w:rPr>
                      <w:rFonts w:hint="eastAsia"/>
                      <w:sz w:val="24"/>
                      <w:szCs w:val="24"/>
                      <w:highlight w:val="none"/>
                    </w:rPr>
                    <w:t>热力生产和供应</w:t>
                  </w:r>
                </w:p>
              </w:tc>
              <w:tc>
                <w:tcPr>
                  <w:tcW w:w="3486" w:type="dxa"/>
                  <w:vAlign w:val="center"/>
                </w:tcPr>
                <w:p w14:paraId="4EE7761A">
                  <w:pPr>
                    <w:jc w:val="center"/>
                    <w:rPr>
                      <w:rFonts w:hint="default" w:ascii="宋体" w:hAnsi="宋体" w:eastAsia="宋体" w:cs="宋体"/>
                      <w:color w:val="auto"/>
                      <w:sz w:val="24"/>
                      <w:highlight w:val="none"/>
                      <w:lang w:val="en-US" w:eastAsia="zh-CN"/>
                    </w:rPr>
                  </w:pPr>
                  <w:r>
                    <w:rPr>
                      <w:rFonts w:hint="eastAsia"/>
                      <w:color w:val="auto"/>
                      <w:kern w:val="0"/>
                      <w:sz w:val="24"/>
                      <w:highlight w:val="none"/>
                      <w:lang w:val="en-US" w:eastAsia="zh-CN"/>
                    </w:rPr>
                    <w:t>工</w:t>
                  </w:r>
                  <w:r>
                    <w:rPr>
                      <w:rFonts w:hint="eastAsia"/>
                      <w:color w:val="auto"/>
                      <w:kern w:val="0"/>
                      <w:sz w:val="24"/>
                      <w:highlight w:val="none"/>
                    </w:rPr>
                    <w:t>业</w:t>
                  </w:r>
                </w:p>
              </w:tc>
            </w:tr>
          </w:tbl>
          <w:p w14:paraId="1CFB21BC">
            <w:pPr>
              <w:bidi w:val="0"/>
              <w:rPr>
                <w:rFonts w:hint="eastAsia"/>
                <w:color w:val="auto"/>
                <w:highlight w:val="none"/>
              </w:rPr>
            </w:pPr>
            <w:r>
              <w:rPr>
                <w:rFonts w:hint="eastAsia"/>
                <w:color w:val="auto"/>
                <w:highlight w:val="none"/>
                <w:lang w:val="en-US" w:eastAsia="zh-CN"/>
              </w:rPr>
              <w:t>注：</w:t>
            </w:r>
            <w:r>
              <w:rPr>
                <w:rFonts w:hint="eastAsia"/>
                <w:color w:val="auto"/>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478ED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988" w:type="dxa"/>
            <w:vAlign w:val="center"/>
          </w:tcPr>
          <w:p w14:paraId="59AC0048">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1701" w:type="dxa"/>
            <w:vAlign w:val="center"/>
          </w:tcPr>
          <w:p w14:paraId="78C9BDE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w:t>
            </w:r>
          </w:p>
        </w:tc>
        <w:tc>
          <w:tcPr>
            <w:tcW w:w="7540" w:type="dxa"/>
            <w:vAlign w:val="center"/>
          </w:tcPr>
          <w:p w14:paraId="49E68E8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投标报价的特殊规定：</w:t>
            </w:r>
          </w:p>
          <w:p w14:paraId="3E6A0F8E">
            <w:pPr>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■无</w:t>
            </w:r>
          </w:p>
          <w:p w14:paraId="1D5F4438">
            <w:pPr>
              <w:jc w:val="left"/>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有</w:t>
            </w:r>
            <w:r>
              <w:rPr>
                <w:rFonts w:hint="eastAsia" w:ascii="宋体" w:hAnsi="宋体" w:eastAsia="宋体" w:cs="宋体"/>
                <w:color w:val="auto"/>
                <w:sz w:val="24"/>
                <w:highlight w:val="none"/>
              </w:rPr>
              <w:t>，具体情形：</w:t>
            </w:r>
          </w:p>
          <w:p w14:paraId="5E4E173B">
            <w:pPr>
              <w:keepNext w:val="0"/>
              <w:keepLines w:val="0"/>
              <w:pageBreakBefore w:val="0"/>
              <w:widowControl w:val="0"/>
              <w:kinsoku/>
              <w:wordWrap w:val="0"/>
              <w:overflowPunct/>
              <w:topLinePunct w:val="0"/>
              <w:autoSpaceDE/>
              <w:autoSpaceDN/>
              <w:bidi w:val="0"/>
              <w:adjustRightInd/>
              <w:snapToGrid/>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投标价格：</w:t>
            </w:r>
            <w:r>
              <w:rPr>
                <w:rFonts w:hint="eastAsia" w:ascii="宋体" w:hAnsi="宋体" w:eastAsia="宋体" w:cs="宋体"/>
                <w:color w:val="auto"/>
                <w:sz w:val="24"/>
                <w:highlight w:val="none"/>
                <w:u w:val="single"/>
              </w:rPr>
              <w:t xml:space="preserve">     /     。</w:t>
            </w:r>
          </w:p>
        </w:tc>
      </w:tr>
      <w:tr w14:paraId="25AD1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988" w:type="dxa"/>
            <w:vAlign w:val="center"/>
          </w:tcPr>
          <w:p w14:paraId="47FC810C">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1701" w:type="dxa"/>
            <w:vMerge w:val="restart"/>
            <w:vAlign w:val="center"/>
          </w:tcPr>
          <w:p w14:paraId="644BE7A5">
            <w:pPr>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投标保证金</w:t>
            </w:r>
          </w:p>
          <w:p w14:paraId="6B5B5E50">
            <w:pPr>
              <w:pStyle w:val="84"/>
              <w:jc w:val="center"/>
              <w:rPr>
                <w:rFonts w:hint="eastAsia" w:ascii="宋体" w:hAnsi="宋体" w:eastAsia="宋体" w:cs="宋体"/>
                <w:color w:val="auto"/>
                <w:highlight w:val="none"/>
              </w:rPr>
            </w:pPr>
            <w:r>
              <w:rPr>
                <w:rFonts w:hint="eastAsia" w:ascii="宋体" w:hAnsi="宋体" w:eastAsia="宋体" w:cs="宋体"/>
                <w:b w:val="0"/>
                <w:bCs w:val="0"/>
                <w:color w:val="auto"/>
                <w:sz w:val="24"/>
                <w:szCs w:val="32"/>
                <w:highlight w:val="none"/>
              </w:rPr>
              <w:t>（不适用）</w:t>
            </w:r>
          </w:p>
        </w:tc>
        <w:tc>
          <w:tcPr>
            <w:tcW w:w="7540" w:type="dxa"/>
            <w:vAlign w:val="center"/>
          </w:tcPr>
          <w:p w14:paraId="0001A4B9">
            <w:pPr>
              <w:pStyle w:val="23"/>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投标保证金金额：</w:t>
            </w:r>
          </w:p>
          <w:p w14:paraId="7F295BC4">
            <w:pPr>
              <w:pStyle w:val="23"/>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01包：</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szCs w:val="24"/>
                <w:highlight w:val="none"/>
              </w:rPr>
              <w:t>；</w:t>
            </w:r>
          </w:p>
          <w:p w14:paraId="5D2A539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投标保证金收受人信息：</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tc>
      </w:tr>
      <w:tr w14:paraId="2192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88" w:type="dxa"/>
            <w:vAlign w:val="center"/>
          </w:tcPr>
          <w:p w14:paraId="3ABB6F51">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w:t>
            </w:r>
          </w:p>
        </w:tc>
        <w:tc>
          <w:tcPr>
            <w:tcW w:w="1701" w:type="dxa"/>
            <w:vMerge w:val="continue"/>
            <w:vAlign w:val="center"/>
          </w:tcPr>
          <w:p w14:paraId="1598E5C8">
            <w:pPr>
              <w:jc w:val="center"/>
              <w:rPr>
                <w:rFonts w:hint="eastAsia" w:ascii="宋体" w:hAnsi="宋体" w:eastAsia="宋体" w:cs="宋体"/>
                <w:color w:val="auto"/>
                <w:sz w:val="24"/>
                <w:highlight w:val="none"/>
              </w:rPr>
            </w:pPr>
          </w:p>
        </w:tc>
        <w:tc>
          <w:tcPr>
            <w:tcW w:w="7540" w:type="dxa"/>
            <w:vAlign w:val="center"/>
          </w:tcPr>
          <w:p w14:paraId="21481062">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投标保证金可以不予退还的其他情形：</w:t>
            </w:r>
          </w:p>
          <w:p w14:paraId="06B16EB6">
            <w:pPr>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■无</w:t>
            </w:r>
          </w:p>
          <w:p w14:paraId="7192102E">
            <w:pPr>
              <w:pStyle w:val="23"/>
              <w:adjustRightInd w:val="0"/>
              <w:snapToGrid w:val="0"/>
              <w:rPr>
                <w:rFonts w:hint="eastAsia" w:ascii="宋体" w:hAnsi="宋体" w:eastAsia="宋体" w:cs="宋体"/>
                <w:color w:val="auto"/>
                <w:sz w:val="24"/>
                <w:szCs w:val="24"/>
                <w:highlight w:val="none"/>
              </w:rPr>
            </w:pPr>
            <w:r>
              <w:rPr>
                <w:rFonts w:hint="eastAsia" w:ascii="宋体" w:hAnsi="宋体" w:eastAsia="宋体" w:cs="宋体"/>
                <w:b w:val="0"/>
                <w:bCs/>
                <w:color w:val="auto"/>
                <w:sz w:val="24"/>
                <w:highlight w:val="none"/>
              </w:rPr>
              <w:t>□有</w:t>
            </w:r>
            <w:r>
              <w:rPr>
                <w:rFonts w:hint="eastAsia" w:ascii="宋体" w:hAnsi="宋体" w:eastAsia="宋体" w:cs="宋体"/>
                <w:color w:val="auto"/>
                <w:sz w:val="24"/>
                <w:highlight w:val="none"/>
              </w:rPr>
              <w:t>，具体情形：</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tc>
      </w:tr>
      <w:tr w14:paraId="5306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464AB6AC">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p>
        </w:tc>
        <w:tc>
          <w:tcPr>
            <w:tcW w:w="1701" w:type="dxa"/>
            <w:vAlign w:val="center"/>
          </w:tcPr>
          <w:p w14:paraId="56456D3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w:t>
            </w:r>
          </w:p>
        </w:tc>
        <w:tc>
          <w:tcPr>
            <w:tcW w:w="7540" w:type="dxa"/>
            <w:vAlign w:val="center"/>
          </w:tcPr>
          <w:p w14:paraId="5A4A6E2A">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自提交投标文件的截止之日起算</w:t>
            </w:r>
            <w:r>
              <w:rPr>
                <w:rFonts w:hint="eastAsia" w:ascii="宋体" w:hAnsi="宋体" w:eastAsia="宋体" w:cs="宋体"/>
                <w:color w:val="auto"/>
                <w:sz w:val="24"/>
                <w:highlight w:val="none"/>
                <w:u w:val="single"/>
              </w:rPr>
              <w:t xml:space="preserve"> 90 </w:t>
            </w:r>
            <w:r>
              <w:rPr>
                <w:rFonts w:hint="eastAsia" w:ascii="宋体" w:hAnsi="宋体" w:eastAsia="宋体" w:cs="宋体"/>
                <w:color w:val="auto"/>
                <w:sz w:val="24"/>
                <w:highlight w:val="none"/>
              </w:rPr>
              <w:t>日历天。</w:t>
            </w:r>
          </w:p>
        </w:tc>
      </w:tr>
      <w:tr w14:paraId="1F0D1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Merge w:val="restart"/>
            <w:vAlign w:val="center"/>
          </w:tcPr>
          <w:p w14:paraId="3889E917">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w:t>
            </w:r>
          </w:p>
        </w:tc>
        <w:tc>
          <w:tcPr>
            <w:tcW w:w="1701" w:type="dxa"/>
            <w:vMerge w:val="restart"/>
            <w:vAlign w:val="center"/>
          </w:tcPr>
          <w:p w14:paraId="3710AC4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w:t>
            </w:r>
          </w:p>
        </w:tc>
        <w:tc>
          <w:tcPr>
            <w:tcW w:w="7540" w:type="dxa"/>
            <w:vAlign w:val="center"/>
          </w:tcPr>
          <w:p w14:paraId="534C135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投标人的法定代表人或其委托代理人，应在开标前</w:t>
            </w:r>
            <w:r>
              <w:rPr>
                <w:rFonts w:hint="eastAsia" w:ascii="宋体" w:hAnsi="宋体" w:eastAsia="宋体" w:cs="宋体"/>
                <w:b/>
                <w:bCs/>
                <w:color w:val="auto"/>
                <w:sz w:val="24"/>
                <w:highlight w:val="none"/>
              </w:rPr>
              <w:t>单独</w:t>
            </w:r>
            <w:r>
              <w:rPr>
                <w:rFonts w:hint="eastAsia" w:ascii="宋体" w:hAnsi="宋体" w:eastAsia="宋体" w:cs="宋体"/>
                <w:color w:val="auto"/>
                <w:sz w:val="24"/>
                <w:highlight w:val="none"/>
              </w:rPr>
              <w:t>提交按照《投标文件格式》要求填写的授权委托书或法定代表人身份证明（盖单位公章），同时出示其本人身份证明。同时携带CA 数字证书或电子营业执照等解锁工具，准时到</w:t>
            </w:r>
            <w:r>
              <w:rPr>
                <w:rFonts w:hint="eastAsia" w:ascii="宋体" w:hAnsi="宋体" w:eastAsia="宋体" w:cs="宋体"/>
                <w:b/>
                <w:bCs/>
                <w:color w:val="auto"/>
                <w:sz w:val="24"/>
                <w:highlight w:val="none"/>
              </w:rPr>
              <w:t>现场参加开标</w:t>
            </w:r>
            <w:r>
              <w:rPr>
                <w:rFonts w:hint="eastAsia" w:ascii="宋体" w:hAnsi="宋体" w:eastAsia="宋体" w:cs="宋体"/>
                <w:color w:val="auto"/>
                <w:sz w:val="24"/>
                <w:highlight w:val="none"/>
              </w:rPr>
              <w:t>。</w:t>
            </w:r>
          </w:p>
        </w:tc>
      </w:tr>
      <w:tr w14:paraId="0B41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Merge w:val="continue"/>
            <w:vAlign w:val="center"/>
          </w:tcPr>
          <w:p w14:paraId="48C92E02">
            <w:pPr>
              <w:pStyle w:val="23"/>
              <w:adjustRightInd w:val="0"/>
              <w:snapToGrid w:val="0"/>
              <w:jc w:val="center"/>
              <w:rPr>
                <w:rFonts w:hint="eastAsia" w:ascii="宋体" w:hAnsi="宋体" w:eastAsia="宋体" w:cs="宋体"/>
                <w:color w:val="auto"/>
                <w:sz w:val="24"/>
                <w:szCs w:val="24"/>
                <w:highlight w:val="none"/>
                <w:lang w:eastAsia="zh-CN"/>
              </w:rPr>
            </w:pPr>
          </w:p>
        </w:tc>
        <w:tc>
          <w:tcPr>
            <w:tcW w:w="1701" w:type="dxa"/>
            <w:vMerge w:val="continue"/>
            <w:vAlign w:val="center"/>
          </w:tcPr>
          <w:p w14:paraId="6D821F9A">
            <w:pPr>
              <w:jc w:val="center"/>
              <w:rPr>
                <w:rFonts w:hint="eastAsia" w:ascii="宋体" w:hAnsi="宋体" w:eastAsia="宋体" w:cs="宋体"/>
                <w:color w:val="auto"/>
                <w:sz w:val="24"/>
                <w:highlight w:val="none"/>
              </w:rPr>
            </w:pPr>
          </w:p>
        </w:tc>
        <w:tc>
          <w:tcPr>
            <w:tcW w:w="7540" w:type="dxa"/>
            <w:vAlign w:val="center"/>
          </w:tcPr>
          <w:p w14:paraId="43E49504">
            <w:pPr>
              <w:jc w:val="left"/>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参加开标的投标人代表应确保携带加密电子投标文件相对应的移动数字CA证书，投标人应在规定的时间内对投标文件进行解密，因非系统原因导致的解密失败，视为投标无效。投标人代表参加开标会议的授权委托人</w:t>
            </w:r>
            <w:r>
              <w:rPr>
                <w:rFonts w:hint="eastAsia" w:ascii="宋体" w:hAnsi="宋体" w:eastAsia="宋体" w:cs="宋体"/>
                <w:b/>
                <w:bCs/>
                <w:color w:val="auto"/>
                <w:sz w:val="24"/>
                <w:highlight w:val="none"/>
              </w:rPr>
              <w:t>必须</w:t>
            </w:r>
            <w:r>
              <w:rPr>
                <w:rFonts w:hint="eastAsia" w:ascii="宋体" w:hAnsi="宋体" w:eastAsia="宋体" w:cs="宋体"/>
                <w:color w:val="auto"/>
                <w:sz w:val="24"/>
                <w:highlight w:val="none"/>
              </w:rPr>
              <w:t>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w:t>
            </w:r>
          </w:p>
        </w:tc>
      </w:tr>
      <w:tr w14:paraId="111CA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3CA08A90">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w:t>
            </w:r>
          </w:p>
        </w:tc>
        <w:tc>
          <w:tcPr>
            <w:tcW w:w="1701" w:type="dxa"/>
            <w:vMerge w:val="continue"/>
            <w:vAlign w:val="center"/>
          </w:tcPr>
          <w:p w14:paraId="5C2930F6">
            <w:pPr>
              <w:jc w:val="center"/>
              <w:rPr>
                <w:rFonts w:hint="eastAsia" w:ascii="宋体" w:hAnsi="宋体" w:eastAsia="宋体" w:cs="宋体"/>
                <w:color w:val="auto"/>
                <w:sz w:val="24"/>
                <w:highlight w:val="none"/>
              </w:rPr>
            </w:pPr>
          </w:p>
        </w:tc>
        <w:tc>
          <w:tcPr>
            <w:tcW w:w="7540" w:type="dxa"/>
            <w:vAlign w:val="center"/>
          </w:tcPr>
          <w:p w14:paraId="0C7689F4">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解密时间：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15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分钟</w:t>
            </w:r>
          </w:p>
        </w:tc>
      </w:tr>
      <w:tr w14:paraId="3E71C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5EAD823A">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w:t>
            </w:r>
          </w:p>
        </w:tc>
        <w:tc>
          <w:tcPr>
            <w:tcW w:w="1701" w:type="dxa"/>
            <w:vMerge w:val="continue"/>
            <w:vAlign w:val="center"/>
          </w:tcPr>
          <w:p w14:paraId="6566E5B8">
            <w:pPr>
              <w:jc w:val="center"/>
              <w:rPr>
                <w:rFonts w:hint="eastAsia" w:ascii="宋体" w:hAnsi="宋体" w:eastAsia="宋体" w:cs="宋体"/>
                <w:color w:val="auto"/>
                <w:sz w:val="24"/>
                <w:highlight w:val="none"/>
              </w:rPr>
            </w:pPr>
          </w:p>
        </w:tc>
        <w:tc>
          <w:tcPr>
            <w:tcW w:w="7540" w:type="dxa"/>
            <w:vAlign w:val="center"/>
          </w:tcPr>
          <w:p w14:paraId="22E13477">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本项目开标使用电子交易平台。投标人应在规定的时间内对投标文件进行解密，因非系统原因导致的解密失败，视为投标无效。</w:t>
            </w:r>
          </w:p>
        </w:tc>
      </w:tr>
      <w:tr w14:paraId="1379B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1540131E">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18.4</w:t>
            </w:r>
          </w:p>
        </w:tc>
        <w:tc>
          <w:tcPr>
            <w:tcW w:w="1701" w:type="dxa"/>
            <w:vMerge w:val="continue"/>
            <w:vAlign w:val="center"/>
          </w:tcPr>
          <w:p w14:paraId="0A2BFA86">
            <w:pPr>
              <w:jc w:val="center"/>
              <w:rPr>
                <w:rFonts w:hint="eastAsia" w:ascii="宋体" w:hAnsi="宋体" w:eastAsia="宋体" w:cs="宋体"/>
                <w:color w:val="auto"/>
                <w:sz w:val="24"/>
                <w:highlight w:val="none"/>
              </w:rPr>
            </w:pPr>
          </w:p>
        </w:tc>
        <w:tc>
          <w:tcPr>
            <w:tcW w:w="7540" w:type="dxa"/>
            <w:vAlign w:val="center"/>
          </w:tcPr>
          <w:p w14:paraId="7472F56E">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开标过程将使用电子交易平台宣布投标人名称、投标价格和招标文件规定的需要宣布的其他内容并进行记录，并由参加开标的各投标人代表确认。</w:t>
            </w:r>
          </w:p>
        </w:tc>
      </w:tr>
      <w:tr w14:paraId="5514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988" w:type="dxa"/>
            <w:vAlign w:val="center"/>
          </w:tcPr>
          <w:p w14:paraId="4C41976B">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p>
        </w:tc>
        <w:tc>
          <w:tcPr>
            <w:tcW w:w="1701" w:type="dxa"/>
            <w:vAlign w:val="center"/>
          </w:tcPr>
          <w:p w14:paraId="375DBDD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确定中标人</w:t>
            </w:r>
          </w:p>
        </w:tc>
        <w:tc>
          <w:tcPr>
            <w:tcW w:w="7540" w:type="dxa"/>
            <w:vAlign w:val="center"/>
          </w:tcPr>
          <w:p w14:paraId="46067304">
            <w:pPr>
              <w:pStyle w:val="23"/>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中标候选人并列的，采购人是否委托评标委员会确定中标人：</w:t>
            </w:r>
          </w:p>
          <w:p w14:paraId="2969B0D7">
            <w:pPr>
              <w:pStyle w:val="23"/>
              <w:adjustRightInd w:val="0"/>
              <w:snapToGrid w:val="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■否</w:t>
            </w:r>
          </w:p>
          <w:p w14:paraId="1F6AE2F9">
            <w:pPr>
              <w:pStyle w:val="23"/>
              <w:adjustRightInd w:val="0"/>
              <w:snapToGrid w:val="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□是</w:t>
            </w:r>
          </w:p>
          <w:p w14:paraId="71BF684C">
            <w:pPr>
              <w:pStyle w:val="23"/>
              <w:adjustRightInd w:val="0"/>
              <w:snapToGrid w:val="0"/>
              <w:rPr>
                <w:rFonts w:hint="eastAsia" w:ascii="宋体" w:hAnsi="宋体" w:eastAsia="宋体" w:cs="宋体"/>
                <w:color w:val="auto"/>
                <w:highlight w:val="none"/>
              </w:rPr>
            </w:pPr>
            <w:r>
              <w:rPr>
                <w:rFonts w:hint="eastAsia" w:ascii="宋体" w:hAnsi="宋体" w:eastAsia="宋体" w:cs="宋体"/>
                <w:color w:val="auto"/>
                <w:sz w:val="24"/>
                <w:highlight w:val="none"/>
              </w:rPr>
              <w:t>中标候选人并列的，按照以下方式确定中标人：</w:t>
            </w:r>
            <w:r>
              <w:rPr>
                <w:rFonts w:hint="eastAsia" w:ascii="宋体" w:hAnsi="宋体" w:eastAsia="宋体" w:cs="宋体"/>
                <w:color w:val="auto"/>
                <w:highlight w:val="none"/>
              </w:rPr>
              <w:t xml:space="preserve"> </w:t>
            </w:r>
          </w:p>
          <w:p w14:paraId="7406A0B7">
            <w:pPr>
              <w:pStyle w:val="23"/>
              <w:adjustRightInd w:val="0"/>
              <w:snapToGrid w:val="0"/>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得分且投标报价均相同的，以</w:t>
            </w:r>
            <w:r>
              <w:rPr>
                <w:rFonts w:hint="eastAsia" w:hAnsi="宋体" w:cs="宋体"/>
                <w:color w:val="auto"/>
                <w:sz w:val="24"/>
                <w:highlight w:val="none"/>
                <w:u w:val="single"/>
                <w:lang w:val="en-US" w:eastAsia="zh-CN"/>
              </w:rPr>
              <w:t>技术部分</w:t>
            </w:r>
            <w:r>
              <w:rPr>
                <w:rFonts w:hint="eastAsia" w:ascii="宋体" w:hAnsi="宋体" w:eastAsia="宋体" w:cs="宋体"/>
                <w:color w:val="auto"/>
                <w:sz w:val="24"/>
                <w:highlight w:val="none"/>
              </w:rPr>
              <w:t>得分高者为中标人</w:t>
            </w:r>
            <w:r>
              <w:rPr>
                <w:rFonts w:hint="eastAsia" w:hAnsi="宋体" w:cs="宋体"/>
                <w:color w:val="auto"/>
                <w:sz w:val="24"/>
                <w:highlight w:val="none"/>
                <w:lang w:eastAsia="zh-CN"/>
              </w:rPr>
              <w:t>，</w:t>
            </w:r>
            <w:r>
              <w:rPr>
                <w:rFonts w:hint="eastAsia" w:hAnsi="宋体" w:cs="宋体"/>
                <w:color w:val="auto"/>
                <w:sz w:val="24"/>
                <w:highlight w:val="none"/>
                <w:u w:val="single"/>
                <w:lang w:eastAsia="zh-CN"/>
              </w:rPr>
              <w:t>技术部分</w:t>
            </w:r>
            <w:r>
              <w:rPr>
                <w:rFonts w:hint="eastAsia" w:hAnsi="宋体" w:cs="宋体"/>
                <w:color w:val="auto"/>
                <w:sz w:val="24"/>
                <w:highlight w:val="none"/>
                <w:lang w:eastAsia="zh-CN"/>
              </w:rPr>
              <w:t>评审得分也相同的，以技术部分</w:t>
            </w:r>
            <w:r>
              <w:rPr>
                <w:rFonts w:hint="eastAsia" w:hAnsi="宋体" w:cs="宋体"/>
                <w:color w:val="auto"/>
                <w:sz w:val="24"/>
                <w:highlight w:val="none"/>
                <w:u w:val="single"/>
                <w:lang w:eastAsia="zh-CN"/>
              </w:rPr>
              <w:t xml:space="preserve"> 运行维护方案 </w:t>
            </w:r>
            <w:r>
              <w:rPr>
                <w:rFonts w:hint="eastAsia" w:hAnsi="宋体" w:cs="宋体"/>
                <w:color w:val="auto"/>
                <w:sz w:val="24"/>
                <w:highlight w:val="none"/>
                <w:lang w:eastAsia="zh-CN"/>
              </w:rPr>
              <w:t>评审得分高者为中标人。</w:t>
            </w:r>
          </w:p>
          <w:p w14:paraId="5F8793C3">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随机抽取</w:t>
            </w:r>
          </w:p>
        </w:tc>
      </w:tr>
      <w:tr w14:paraId="0B111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4139094D">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w:t>
            </w:r>
          </w:p>
        </w:tc>
        <w:tc>
          <w:tcPr>
            <w:tcW w:w="1701" w:type="dxa"/>
            <w:vAlign w:val="center"/>
          </w:tcPr>
          <w:p w14:paraId="3DDE61E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分包</w:t>
            </w:r>
          </w:p>
        </w:tc>
        <w:tc>
          <w:tcPr>
            <w:tcW w:w="7540" w:type="dxa"/>
            <w:vAlign w:val="center"/>
          </w:tcPr>
          <w:p w14:paraId="7F7DD5F2">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本项目的非主体、非关键性工作是否允许分包： </w:t>
            </w:r>
          </w:p>
          <w:p w14:paraId="066120AB">
            <w:pPr>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■不允许</w:t>
            </w:r>
          </w:p>
          <w:p w14:paraId="59436ADE">
            <w:pPr>
              <w:jc w:val="left"/>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rPr>
              <w:t>□允</w:t>
            </w:r>
            <w:r>
              <w:rPr>
                <w:rFonts w:hint="eastAsia" w:ascii="宋体" w:hAnsi="宋体" w:eastAsia="宋体" w:cs="宋体"/>
                <w:color w:val="auto"/>
                <w:sz w:val="24"/>
                <w:highlight w:val="none"/>
              </w:rPr>
              <w:t>许，具体要求：</w:t>
            </w:r>
          </w:p>
          <w:p w14:paraId="49F386EA">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（1）可以分包履行的具体内容：</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p>
          <w:p w14:paraId="152CE3E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（2）允许分包的金额或者比例：</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p>
          <w:p w14:paraId="1EF90E6A">
            <w:pPr>
              <w:jc w:val="left"/>
              <w:rPr>
                <w:rFonts w:hint="default" w:ascii="宋体" w:hAnsi="宋体" w:eastAsia="宋体" w:cs="宋体"/>
                <w:color w:val="auto"/>
                <w:sz w:val="24"/>
                <w:highlight w:val="none"/>
                <w:u w:val="none"/>
                <w:lang w:val="en-US"/>
              </w:rPr>
            </w:pPr>
            <w:r>
              <w:rPr>
                <w:rFonts w:hint="eastAsia" w:ascii="宋体" w:hAnsi="宋体" w:eastAsia="宋体" w:cs="宋体"/>
                <w:color w:val="auto"/>
                <w:sz w:val="24"/>
                <w:highlight w:val="none"/>
              </w:rPr>
              <w:t>（3）其他要求：</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w:t>
            </w:r>
          </w:p>
        </w:tc>
      </w:tr>
      <w:tr w14:paraId="0A638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5703F715">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25.6</w:t>
            </w:r>
          </w:p>
        </w:tc>
        <w:tc>
          <w:tcPr>
            <w:tcW w:w="1701" w:type="dxa"/>
            <w:vAlign w:val="center"/>
          </w:tcPr>
          <w:p w14:paraId="35281C0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政采贷</w:t>
            </w:r>
          </w:p>
        </w:tc>
        <w:tc>
          <w:tcPr>
            <w:tcW w:w="7540" w:type="dxa"/>
            <w:vAlign w:val="center"/>
          </w:tcPr>
          <w:p w14:paraId="529B45B2">
            <w:pPr>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2742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05895AB3">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w:t>
            </w:r>
          </w:p>
        </w:tc>
        <w:tc>
          <w:tcPr>
            <w:tcW w:w="1701" w:type="dxa"/>
            <w:vAlign w:val="center"/>
          </w:tcPr>
          <w:p w14:paraId="3FDA350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询问</w:t>
            </w:r>
          </w:p>
        </w:tc>
        <w:tc>
          <w:tcPr>
            <w:tcW w:w="7540" w:type="dxa"/>
            <w:vAlign w:val="center"/>
          </w:tcPr>
          <w:p w14:paraId="5B044F5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询问送达形式：</w:t>
            </w:r>
            <w:r>
              <w:rPr>
                <w:rFonts w:hint="eastAsia" w:ascii="宋体" w:hAnsi="宋体" w:eastAsia="宋体" w:cs="宋体"/>
                <w:color w:val="auto"/>
                <w:sz w:val="24"/>
                <w:highlight w:val="none"/>
                <w:u w:val="single"/>
              </w:rPr>
              <w:t>书面形式（传真、电子邮件、加盖单位公章的纸质文件等）。</w:t>
            </w:r>
          </w:p>
        </w:tc>
      </w:tr>
      <w:tr w14:paraId="333C3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13A7908D">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w:t>
            </w:r>
          </w:p>
        </w:tc>
        <w:tc>
          <w:tcPr>
            <w:tcW w:w="1701" w:type="dxa"/>
            <w:vAlign w:val="center"/>
          </w:tcPr>
          <w:p w14:paraId="53550BE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7540" w:type="dxa"/>
            <w:vAlign w:val="center"/>
          </w:tcPr>
          <w:p w14:paraId="39722697">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接收询问和质疑的联系方式</w:t>
            </w:r>
          </w:p>
          <w:p w14:paraId="7C651A2F">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联系部门：</w:t>
            </w:r>
            <w:r>
              <w:rPr>
                <w:rFonts w:hint="eastAsia" w:ascii="宋体" w:hAnsi="宋体" w:eastAsia="宋体" w:cs="宋体"/>
                <w:color w:val="auto"/>
                <w:sz w:val="24"/>
                <w:highlight w:val="none"/>
                <w:u w:val="single"/>
                <w:lang w:eastAsia="zh-CN"/>
              </w:rPr>
              <w:t>北京嘉诚晟泰工程管理咨询有限公司</w:t>
            </w:r>
            <w:r>
              <w:rPr>
                <w:rFonts w:hint="eastAsia" w:ascii="宋体" w:hAnsi="宋体" w:eastAsia="宋体" w:cs="宋体"/>
                <w:color w:val="auto"/>
                <w:sz w:val="24"/>
                <w:highlight w:val="none"/>
                <w:u w:val="single"/>
              </w:rPr>
              <w:t>；</w:t>
            </w:r>
          </w:p>
          <w:p w14:paraId="0E1386E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lang w:eastAsia="zh-CN"/>
              </w:rPr>
              <w:t>010-60418509</w:t>
            </w:r>
            <w:r>
              <w:rPr>
                <w:rFonts w:hint="eastAsia" w:ascii="宋体" w:hAnsi="宋体" w:eastAsia="宋体" w:cs="宋体"/>
                <w:color w:val="auto"/>
                <w:sz w:val="24"/>
                <w:highlight w:val="none"/>
                <w:u w:val="single"/>
              </w:rPr>
              <w:t>；</w:t>
            </w:r>
          </w:p>
          <w:p w14:paraId="335357EE">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w:t>
            </w:r>
            <w:r>
              <w:rPr>
                <w:rFonts w:hint="eastAsia" w:ascii="宋体" w:hAnsi="宋体" w:eastAsia="宋体" w:cs="宋体"/>
                <w:color w:val="auto"/>
                <w:sz w:val="24"/>
                <w:highlight w:val="none"/>
                <w:u w:val="single"/>
                <w:lang w:eastAsia="zh-CN"/>
              </w:rPr>
              <w:t>北京市顺义区顺平辅线181号14幢3层</w:t>
            </w:r>
            <w:r>
              <w:rPr>
                <w:rFonts w:hint="eastAsia" w:ascii="宋体" w:hAnsi="宋体" w:eastAsia="宋体" w:cs="宋体"/>
                <w:color w:val="auto"/>
                <w:sz w:val="24"/>
                <w:highlight w:val="none"/>
                <w:u w:val="single"/>
              </w:rPr>
              <w:t>。</w:t>
            </w:r>
          </w:p>
        </w:tc>
      </w:tr>
      <w:tr w14:paraId="6504F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6B6140F0">
            <w:pPr>
              <w:pStyle w:val="23"/>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w:t>
            </w:r>
          </w:p>
        </w:tc>
        <w:tc>
          <w:tcPr>
            <w:tcW w:w="1701" w:type="dxa"/>
            <w:vAlign w:val="center"/>
          </w:tcPr>
          <w:p w14:paraId="58B636F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代理费</w:t>
            </w:r>
          </w:p>
        </w:tc>
        <w:tc>
          <w:tcPr>
            <w:tcW w:w="7540" w:type="dxa"/>
            <w:vAlign w:val="center"/>
          </w:tcPr>
          <w:p w14:paraId="021F66F5">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收费对象：</w:t>
            </w:r>
          </w:p>
          <w:p w14:paraId="2CEB2070">
            <w:pPr>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□采购人</w:t>
            </w:r>
          </w:p>
          <w:p w14:paraId="59168ACA">
            <w:pPr>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■中标人</w:t>
            </w:r>
          </w:p>
          <w:p w14:paraId="62E225B3">
            <w:pPr>
              <w:jc w:val="left"/>
              <w:rPr>
                <w:rFonts w:hint="eastAsia" w:ascii="宋体" w:hAnsi="宋体" w:cs="宋体"/>
                <w:color w:val="auto"/>
                <w:sz w:val="24"/>
                <w:highlight w:val="none"/>
                <w:u w:val="single"/>
                <w:lang w:val="en-US" w:eastAsia="zh-CN"/>
              </w:rPr>
            </w:pPr>
            <w:r>
              <w:rPr>
                <w:rFonts w:hint="eastAsia" w:ascii="宋体" w:hAnsi="宋体" w:eastAsia="宋体" w:cs="宋体"/>
                <w:color w:val="auto"/>
                <w:sz w:val="24"/>
                <w:highlight w:val="none"/>
              </w:rPr>
              <w:t>收费标准：</w:t>
            </w:r>
            <w:r>
              <w:rPr>
                <w:rFonts w:hint="eastAsia" w:ascii="宋体" w:hAnsi="宋体" w:eastAsia="宋体" w:cs="宋体"/>
                <w:color w:val="auto"/>
                <w:sz w:val="24"/>
                <w:highlight w:val="none"/>
                <w:u w:val="single"/>
                <w:lang w:val="en-US" w:eastAsia="zh-CN"/>
              </w:rPr>
              <w:t>依据国家发展改革委《关于进一步放开建设项目专业服务价格的通知》（发改价格〔2015〕299号）及参考国家发展改革委发改价格[2011]534号文件的规定计取，在标准收费基础上按8折收费</w:t>
            </w:r>
            <w:r>
              <w:rPr>
                <w:rFonts w:hint="eastAsia" w:ascii="宋体" w:hAnsi="宋体" w:cs="宋体"/>
                <w:color w:val="auto"/>
                <w:sz w:val="24"/>
                <w:highlight w:val="none"/>
                <w:u w:val="single"/>
                <w:lang w:val="en-US" w:eastAsia="zh-CN"/>
              </w:rPr>
              <w:t>；</w:t>
            </w:r>
          </w:p>
          <w:p w14:paraId="54541C56">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none"/>
              </w:rPr>
              <w:t>缴纳时间：</w:t>
            </w:r>
            <w:r>
              <w:rPr>
                <w:rFonts w:hint="eastAsia" w:ascii="宋体" w:hAnsi="宋体" w:eastAsia="宋体" w:cs="宋体"/>
                <w:color w:val="auto"/>
                <w:sz w:val="24"/>
                <w:highlight w:val="none"/>
                <w:u w:val="single"/>
              </w:rPr>
              <w:t>中标人在领取中标通知书时一次性支付招标代理服务费</w:t>
            </w:r>
            <w:r>
              <w:rPr>
                <w:rFonts w:hint="eastAsia" w:ascii="宋体" w:hAnsi="宋体" w:eastAsia="宋体" w:cs="宋体"/>
                <w:color w:val="auto"/>
                <w:sz w:val="24"/>
                <w:highlight w:val="none"/>
                <w:u w:val="none"/>
              </w:rPr>
              <w:t>。</w:t>
            </w:r>
          </w:p>
        </w:tc>
      </w:tr>
    </w:tbl>
    <w:p w14:paraId="7604118B">
      <w:pPr>
        <w:rPr>
          <w:rFonts w:hint="eastAsia" w:ascii="宋体" w:hAnsi="宋体" w:eastAsia="宋体" w:cs="宋体"/>
          <w:color w:val="auto"/>
          <w:highlight w:val="none"/>
        </w:rPr>
      </w:pPr>
    </w:p>
    <w:p w14:paraId="503D7D36">
      <w:pPr>
        <w:tabs>
          <w:tab w:val="left" w:pos="5580"/>
        </w:tabs>
        <w:adjustRightInd w:val="0"/>
        <w:spacing w:line="360" w:lineRule="auto"/>
        <w:jc w:val="distribute"/>
        <w:rPr>
          <w:rFonts w:hint="eastAsia" w:ascii="宋体" w:hAnsi="宋体" w:eastAsia="宋体" w:cs="宋体"/>
          <w:color w:val="auto"/>
          <w:sz w:val="24"/>
          <w:highlight w:val="none"/>
        </w:rPr>
        <w:sectPr>
          <w:footerReference r:id="rId9" w:type="default"/>
          <w:pgSz w:w="11907" w:h="16840"/>
          <w:pgMar w:top="1440" w:right="1800" w:bottom="1440" w:left="1800" w:header="851" w:footer="851" w:gutter="0"/>
          <w:pgNumType w:fmt="decimal" w:start="1"/>
          <w:cols w:space="720" w:num="1"/>
          <w:docGrid w:linePitch="462" w:charSpace="0"/>
        </w:sectPr>
      </w:pPr>
    </w:p>
    <w:p w14:paraId="75E98C02">
      <w:pPr>
        <w:spacing w:before="240" w:beforeLines="100" w:after="240" w:afterLines="100"/>
        <w:jc w:val="center"/>
        <w:rPr>
          <w:rFonts w:hint="eastAsia" w:ascii="宋体" w:hAnsi="宋体" w:eastAsia="宋体" w:cs="宋体"/>
          <w:b/>
          <w:color w:val="auto"/>
          <w:sz w:val="28"/>
          <w:szCs w:val="28"/>
          <w:highlight w:val="none"/>
        </w:rPr>
      </w:pPr>
      <w:bookmarkStart w:id="76" w:name="_Toc150774722"/>
      <w:bookmarkStart w:id="77" w:name="_Toc226965790"/>
      <w:bookmarkStart w:id="78" w:name="_Toc150480755"/>
      <w:bookmarkStart w:id="79" w:name="_Toc353873932"/>
      <w:bookmarkStart w:id="80" w:name="_Toc195842882"/>
      <w:bookmarkStart w:id="81" w:name="_Toc142311019"/>
      <w:bookmarkStart w:id="82" w:name="_Toc264969207"/>
      <w:bookmarkStart w:id="83" w:name="_Toc353873662"/>
      <w:bookmarkStart w:id="84" w:name="_Toc226337213"/>
      <w:bookmarkStart w:id="85" w:name="_Toc305158859"/>
      <w:bookmarkStart w:id="86" w:name="_Toc305158785"/>
      <w:bookmarkStart w:id="87" w:name="_Toc265228355"/>
      <w:bookmarkStart w:id="88" w:name="_Toc353825542"/>
      <w:bookmarkStart w:id="89" w:name="_Toc127151517"/>
      <w:r>
        <w:rPr>
          <w:rFonts w:hint="eastAsia" w:ascii="宋体" w:hAnsi="宋体" w:eastAsia="宋体" w:cs="宋体"/>
          <w:b/>
          <w:color w:val="auto"/>
          <w:sz w:val="28"/>
          <w:szCs w:val="28"/>
          <w:highlight w:val="none"/>
        </w:rPr>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3DEED396">
      <w:pPr>
        <w:pStyle w:val="3"/>
        <w:tabs>
          <w:tab w:val="center" w:pos="4592"/>
          <w:tab w:val="left" w:pos="7860"/>
        </w:tabs>
        <w:spacing w:before="0" w:line="360" w:lineRule="auto"/>
        <w:jc w:val="left"/>
        <w:rPr>
          <w:rFonts w:ascii="Times New Roman" w:hAnsi="Times New Roman" w:eastAsia="宋体"/>
          <w:color w:val="auto"/>
          <w:sz w:val="28"/>
          <w:highlight w:val="none"/>
        </w:rPr>
      </w:pPr>
      <w:bookmarkStart w:id="90" w:name="_Toc127151518"/>
      <w:bookmarkStart w:id="91" w:name="_Toc520356143"/>
      <w:r>
        <w:rPr>
          <w:rFonts w:hint="eastAsia" w:ascii="宋体" w:hAnsi="宋体" w:eastAsia="宋体" w:cs="宋体"/>
          <w:color w:val="auto"/>
          <w:sz w:val="28"/>
          <w:highlight w:val="none"/>
        </w:rPr>
        <w:tab/>
      </w:r>
      <w:bookmarkEnd w:id="90"/>
      <w:bookmarkEnd w:id="91"/>
      <w:bookmarkStart w:id="92" w:name="_Toc264969208"/>
      <w:bookmarkStart w:id="93" w:name="_Toc151193616"/>
      <w:bookmarkStart w:id="94" w:name="_Toc305158860"/>
      <w:bookmarkStart w:id="95" w:name="_Toc226309762"/>
      <w:bookmarkStart w:id="96" w:name="_Toc151193832"/>
      <w:bookmarkStart w:id="97" w:name="_Toc226337214"/>
      <w:bookmarkStart w:id="98" w:name="_Toc151193688"/>
      <w:bookmarkStart w:id="99" w:name="_Toc151193906"/>
      <w:bookmarkStart w:id="100" w:name="_Toc226965791"/>
      <w:bookmarkStart w:id="101" w:name="_Toc150774618"/>
      <w:bookmarkStart w:id="102" w:name="_Toc150480756"/>
      <w:bookmarkStart w:id="103" w:name="_Toc142311020"/>
      <w:bookmarkStart w:id="104" w:name="_Toc151190145"/>
      <w:bookmarkStart w:id="105" w:name="_Toc151193760"/>
      <w:bookmarkStart w:id="106" w:name="_Toc305158786"/>
      <w:bookmarkStart w:id="107" w:name="_Toc226965708"/>
      <w:bookmarkStart w:id="108" w:name="_Toc150774723"/>
      <w:bookmarkStart w:id="109" w:name="_Toc195842883"/>
      <w:bookmarkStart w:id="110" w:name="_Toc150509269"/>
      <w:bookmarkStart w:id="111" w:name="_Toc265228356"/>
      <w:r>
        <w:rPr>
          <w:rFonts w:ascii="Times New Roman" w:hAnsi="Times New Roman" w:eastAsia="宋体"/>
          <w:color w:val="auto"/>
          <w:sz w:val="28"/>
          <w:highlight w:val="none"/>
        </w:rPr>
        <w:t>一   说  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Fonts w:ascii="Times New Roman" w:hAnsi="Times New Roman" w:eastAsia="宋体"/>
          <w:color w:val="auto"/>
          <w:sz w:val="28"/>
          <w:highlight w:val="none"/>
        </w:rPr>
        <w:tab/>
      </w:r>
    </w:p>
    <w:p w14:paraId="2029EBB6">
      <w:pPr>
        <w:numPr>
          <w:ilvl w:val="0"/>
          <w:numId w:val="8"/>
        </w:numPr>
        <w:tabs>
          <w:tab w:val="left" w:pos="360"/>
          <w:tab w:val="clear" w:pos="900"/>
        </w:tabs>
        <w:snapToGrid w:val="0"/>
        <w:spacing w:line="360" w:lineRule="auto"/>
        <w:ind w:left="357" w:hanging="357"/>
        <w:outlineLvl w:val="1"/>
        <w:rPr>
          <w:color w:val="auto"/>
          <w:sz w:val="24"/>
          <w:highlight w:val="none"/>
        </w:rPr>
      </w:pPr>
      <w:bookmarkStart w:id="112" w:name="_Toc265228357"/>
      <w:bookmarkStart w:id="113" w:name="_Toc305158861"/>
      <w:bookmarkStart w:id="114" w:name="_Toc264969209"/>
      <w:bookmarkStart w:id="115" w:name="_Toc305158787"/>
      <w:r>
        <w:rPr>
          <w:color w:val="auto"/>
          <w:sz w:val="24"/>
          <w:highlight w:val="none"/>
        </w:rPr>
        <w:t>采购人、采购代理机构、投标人</w:t>
      </w:r>
      <w:bookmarkEnd w:id="112"/>
      <w:bookmarkEnd w:id="113"/>
      <w:bookmarkEnd w:id="114"/>
      <w:bookmarkEnd w:id="115"/>
      <w:r>
        <w:rPr>
          <w:color w:val="auto"/>
          <w:sz w:val="24"/>
          <w:highlight w:val="none"/>
        </w:rPr>
        <w:t>、联合体</w:t>
      </w:r>
    </w:p>
    <w:p w14:paraId="1D141AB8">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7B64CF8F">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6C6282F1">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6F3B222F">
      <w:pPr>
        <w:numPr>
          <w:ilvl w:val="0"/>
          <w:numId w:val="8"/>
        </w:numPr>
        <w:tabs>
          <w:tab w:val="left" w:pos="360"/>
          <w:tab w:val="clear" w:pos="900"/>
        </w:tabs>
        <w:snapToGrid w:val="0"/>
        <w:spacing w:line="360" w:lineRule="auto"/>
        <w:ind w:left="357" w:hanging="357"/>
        <w:outlineLvl w:val="1"/>
        <w:rPr>
          <w:color w:val="auto"/>
          <w:sz w:val="24"/>
          <w:highlight w:val="none"/>
        </w:rPr>
      </w:pPr>
      <w:bookmarkStart w:id="116" w:name="_Toc164608634"/>
      <w:bookmarkStart w:id="117" w:name="_Toc142311022"/>
      <w:bookmarkStart w:id="118" w:name="_Toc151193834"/>
      <w:bookmarkStart w:id="119" w:name="_Toc164229361"/>
      <w:bookmarkStart w:id="120" w:name="_Toc151193618"/>
      <w:bookmarkStart w:id="121" w:name="_Toc151190147"/>
      <w:bookmarkStart w:id="122" w:name="_Toc264969210"/>
      <w:bookmarkStart w:id="123" w:name="_Toc226965710"/>
      <w:bookmarkStart w:id="124" w:name="_Toc151193908"/>
      <w:bookmarkStart w:id="125" w:name="_Toc226309764"/>
      <w:bookmarkStart w:id="126" w:name="_Toc164229215"/>
      <w:bookmarkStart w:id="127" w:name="_Toc127161434"/>
      <w:bookmarkStart w:id="128" w:name="_Toc195842885"/>
      <w:bookmarkStart w:id="129" w:name="_Toc127151520"/>
      <w:bookmarkStart w:id="130" w:name="_Toc151193762"/>
      <w:bookmarkStart w:id="131" w:name="_Toc127151721"/>
      <w:bookmarkStart w:id="132" w:name="_Toc226337216"/>
      <w:bookmarkStart w:id="133" w:name="_Toc150509271"/>
      <w:bookmarkStart w:id="134" w:name="_Toc151193690"/>
      <w:bookmarkStart w:id="135" w:name="_Toc305158862"/>
      <w:bookmarkStart w:id="136" w:name="_Toc305158788"/>
      <w:bookmarkStart w:id="137" w:name="_Toc164608789"/>
      <w:bookmarkStart w:id="138" w:name="_Toc150774725"/>
      <w:bookmarkStart w:id="139" w:name="_Toc150774620"/>
      <w:bookmarkStart w:id="140" w:name="_Toc149720813"/>
      <w:bookmarkStart w:id="141" w:name="_Toc164351614"/>
      <w:bookmarkStart w:id="142" w:name="_Toc150480758"/>
      <w:bookmarkStart w:id="143" w:name="_Toc265228358"/>
      <w:bookmarkStart w:id="144" w:name="_Toc226965793"/>
      <w:r>
        <w:rPr>
          <w:color w:val="auto"/>
          <w:sz w:val="24"/>
          <w:highlight w:val="none"/>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color w:val="auto"/>
          <w:sz w:val="24"/>
          <w:highlight w:val="none"/>
        </w:rPr>
        <w:t>、项目属性、科研仪器设备采购、核心产品</w:t>
      </w:r>
    </w:p>
    <w:p w14:paraId="17B4615E">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4967A96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22B318F5">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0A07766C">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48104C54">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7FA1848D">
      <w:pPr>
        <w:numPr>
          <w:ilvl w:val="1"/>
          <w:numId w:val="8"/>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5" w:name="_Toc150774727"/>
      <w:bookmarkStart w:id="146" w:name="_Toc151193764"/>
      <w:bookmarkStart w:id="147" w:name="_Toc226309766"/>
      <w:bookmarkStart w:id="148" w:name="_Toc264969212"/>
      <w:bookmarkStart w:id="149" w:name="_Toc142311024"/>
      <w:bookmarkStart w:id="150" w:name="_Toc226965795"/>
      <w:bookmarkStart w:id="151" w:name="_Toc150774622"/>
      <w:bookmarkStart w:id="152" w:name="_Toc305158864"/>
      <w:bookmarkStart w:id="153" w:name="_Toc265228360"/>
      <w:bookmarkStart w:id="154" w:name="_Toc151190149"/>
      <w:bookmarkStart w:id="155" w:name="_Toc226965712"/>
      <w:bookmarkStart w:id="156" w:name="_Toc151193836"/>
      <w:bookmarkStart w:id="157" w:name="_Toc150509273"/>
      <w:bookmarkStart w:id="158" w:name="_Toc151193620"/>
      <w:bookmarkStart w:id="159" w:name="_Toc520356146"/>
      <w:bookmarkStart w:id="160" w:name="_Toc151193692"/>
      <w:bookmarkStart w:id="161" w:name="_Toc127151522"/>
      <w:bookmarkStart w:id="162" w:name="_Toc195842887"/>
      <w:bookmarkStart w:id="163" w:name="_Toc150480760"/>
      <w:bookmarkStart w:id="164" w:name="_Toc226337218"/>
      <w:bookmarkStart w:id="165" w:name="_Toc305158790"/>
      <w:bookmarkStart w:id="166" w:name="_Toc151193910"/>
    </w:p>
    <w:p w14:paraId="49505CC1">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640776A4">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791AD3E9">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2EED0AF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317DFEF7">
      <w:pPr>
        <w:numPr>
          <w:ilvl w:val="0"/>
          <w:numId w:val="8"/>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1A915443">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53D30035">
      <w:pPr>
        <w:numPr>
          <w:ilvl w:val="2"/>
          <w:numId w:val="8"/>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3B2EE819">
      <w:pPr>
        <w:numPr>
          <w:ilvl w:val="2"/>
          <w:numId w:val="8"/>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本项目如接受非本国货物、工程、服务参与投标，则具体要求见第五章《采购需求》。</w:t>
      </w:r>
    </w:p>
    <w:p w14:paraId="573BF553">
      <w:pPr>
        <w:numPr>
          <w:ilvl w:val="2"/>
          <w:numId w:val="8"/>
        </w:numPr>
        <w:tabs>
          <w:tab w:val="left" w:pos="2014"/>
        </w:tabs>
        <w:snapToGrid w:val="0"/>
        <w:spacing w:line="360" w:lineRule="auto"/>
        <w:rPr>
          <w:color w:val="auto"/>
          <w:sz w:val="24"/>
          <w:highlight w:val="none"/>
        </w:rPr>
      </w:pPr>
      <w:r>
        <w:rPr>
          <w:rFonts w:eastAsiaTheme="minorEastAsia"/>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79361A9">
      <w:pPr>
        <w:numPr>
          <w:ilvl w:val="1"/>
          <w:numId w:val="8"/>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本国产品</w:t>
      </w:r>
    </w:p>
    <w:p w14:paraId="396636DC">
      <w:pPr>
        <w:tabs>
          <w:tab w:val="left" w:pos="900"/>
          <w:tab w:val="left" w:pos="1080"/>
          <w:tab w:val="left" w:pos="1589"/>
        </w:tabs>
        <w:snapToGrid w:val="0"/>
        <w:spacing w:line="360" w:lineRule="auto"/>
        <w:ind w:left="1080"/>
        <w:rPr>
          <w:color w:val="auto"/>
          <w:sz w:val="24"/>
          <w:highlight w:val="none"/>
        </w:rPr>
      </w:pPr>
      <w:bookmarkStart w:id="167" w:name="_Hlk217316762"/>
      <w:r>
        <w:rPr>
          <w:rFonts w:hint="eastAsia"/>
          <w:color w:val="auto"/>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7"/>
      <w:r>
        <w:rPr>
          <w:rFonts w:hint="eastAsia"/>
          <w:color w:val="auto"/>
          <w:sz w:val="24"/>
          <w:highlight w:val="none"/>
        </w:rPr>
        <w:t>，落实本国产品</w:t>
      </w:r>
      <w:r>
        <w:rPr>
          <w:rFonts w:hint="eastAsia"/>
          <w:color w:val="auto"/>
          <w:sz w:val="24"/>
          <w:highlight w:val="none"/>
          <w:lang w:eastAsia="zh-CN"/>
        </w:rPr>
        <w:t>标准</w:t>
      </w:r>
      <w:r>
        <w:rPr>
          <w:rFonts w:hint="eastAsia"/>
          <w:color w:val="auto"/>
          <w:sz w:val="24"/>
          <w:highlight w:val="none"/>
        </w:rPr>
        <w:t>。</w:t>
      </w:r>
    </w:p>
    <w:p w14:paraId="71F4F288">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4EED5F54">
      <w:pPr>
        <w:numPr>
          <w:ilvl w:val="2"/>
          <w:numId w:val="8"/>
        </w:numPr>
        <w:snapToGrid w:val="0"/>
        <w:spacing w:line="360" w:lineRule="auto"/>
        <w:rPr>
          <w:color w:val="auto"/>
          <w:sz w:val="24"/>
          <w:highlight w:val="none"/>
        </w:rPr>
      </w:pPr>
      <w:r>
        <w:rPr>
          <w:color w:val="auto"/>
          <w:sz w:val="24"/>
          <w:highlight w:val="none"/>
        </w:rPr>
        <w:t>中小企业定义：</w:t>
      </w:r>
    </w:p>
    <w:p w14:paraId="76811072">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C44E516">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2D5F6BE">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3CCE92BF">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6157EEA9">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7F7302B">
      <w:pPr>
        <w:pStyle w:val="102"/>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549D9D8D">
      <w:pPr>
        <w:pStyle w:val="102"/>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1FB6CF9D">
      <w:pPr>
        <w:pStyle w:val="102"/>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529DB86F">
      <w:pPr>
        <w:pStyle w:val="102"/>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77903129">
      <w:pPr>
        <w:numPr>
          <w:ilvl w:val="3"/>
          <w:numId w:val="9"/>
        </w:numPr>
        <w:tabs>
          <w:tab w:val="left" w:pos="1988"/>
          <w:tab w:val="left" w:pos="2035"/>
          <w:tab w:val="left" w:pos="2977"/>
        </w:tabs>
        <w:snapToGrid w:val="0"/>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auto"/>
          <w:sz w:val="24"/>
          <w:highlight w:val="none"/>
        </w:rPr>
        <w:t>判定</w:t>
      </w:r>
      <w:r>
        <w:rPr>
          <w:color w:val="auto"/>
          <w:sz w:val="24"/>
          <w:highlight w:val="none"/>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2BFBEFED">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供应商提供的货物、工程或者服务符合下列情形的，享受中小企业扶持政策：</w:t>
      </w:r>
    </w:p>
    <w:p w14:paraId="3E665F80">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54CA63C9">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113985B0">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6BDF810E">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14:paraId="286BA762">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14:paraId="0FDDC5EC">
      <w:pPr>
        <w:numPr>
          <w:ilvl w:val="2"/>
          <w:numId w:val="8"/>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D8977F">
      <w:pPr>
        <w:numPr>
          <w:ilvl w:val="2"/>
          <w:numId w:val="8"/>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C579684">
      <w:pPr>
        <w:pStyle w:val="102"/>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33CAAE6C">
      <w:pPr>
        <w:pStyle w:val="102"/>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351A8644">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14:paraId="12481B3A">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依法与安置的每位残疾人签订了一年以上（含一年）的劳动合同或服务协议；</w:t>
      </w:r>
    </w:p>
    <w:p w14:paraId="511C2B4A">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3D363FF0">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4799AD5E">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67816677">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7C510D4">
      <w:pPr>
        <w:numPr>
          <w:ilvl w:val="2"/>
          <w:numId w:val="8"/>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6DE66F2D">
      <w:pPr>
        <w:numPr>
          <w:ilvl w:val="2"/>
          <w:numId w:val="8"/>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3C55A8A9">
      <w:pPr>
        <w:numPr>
          <w:ilvl w:val="2"/>
          <w:numId w:val="8"/>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149B35C4">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49BE03ED">
      <w:pPr>
        <w:numPr>
          <w:ilvl w:val="2"/>
          <w:numId w:val="8"/>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5F1696D">
      <w:pPr>
        <w:numPr>
          <w:ilvl w:val="2"/>
          <w:numId w:val="8"/>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C7ADBDB">
      <w:pPr>
        <w:numPr>
          <w:ilvl w:val="2"/>
          <w:numId w:val="8"/>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0BB02A49">
      <w:pPr>
        <w:numPr>
          <w:ilvl w:val="2"/>
          <w:numId w:val="8"/>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04F43C63">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494324BC">
      <w:pPr>
        <w:numPr>
          <w:ilvl w:val="2"/>
          <w:numId w:val="8"/>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C7DC8AC">
      <w:pPr>
        <w:numPr>
          <w:ilvl w:val="1"/>
          <w:numId w:val="8"/>
        </w:numPr>
        <w:tabs>
          <w:tab w:val="left" w:pos="1080"/>
          <w:tab w:val="left" w:pos="2014"/>
        </w:tabs>
        <w:snapToGrid w:val="0"/>
        <w:spacing w:line="360" w:lineRule="auto"/>
        <w:ind w:left="1080" w:hanging="720"/>
        <w:rPr>
          <w:color w:val="auto"/>
          <w:sz w:val="24"/>
          <w:highlight w:val="none"/>
        </w:rPr>
      </w:pPr>
      <w:r>
        <w:rPr>
          <w:rFonts w:eastAsiaTheme="minorEastAsia"/>
          <w:color w:val="auto"/>
          <w:sz w:val="24"/>
          <w:highlight w:val="none"/>
        </w:rPr>
        <w:t>网络安全专用产品</w:t>
      </w:r>
    </w:p>
    <w:p w14:paraId="60634FE4">
      <w:pPr>
        <w:numPr>
          <w:ilvl w:val="2"/>
          <w:numId w:val="8"/>
        </w:numPr>
        <w:tabs>
          <w:tab w:val="left" w:pos="900"/>
          <w:tab w:val="left" w:pos="2014"/>
        </w:tabs>
        <w:snapToGrid w:val="0"/>
        <w:spacing w:line="360" w:lineRule="auto"/>
        <w:rPr>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60A30818">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7A3F32CD">
      <w:pPr>
        <w:numPr>
          <w:ilvl w:val="2"/>
          <w:numId w:val="8"/>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36727BC1">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4A2E983B">
      <w:pPr>
        <w:numPr>
          <w:ilvl w:val="2"/>
          <w:numId w:val="8"/>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6DBBCE5E">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C74ACC5">
      <w:pPr>
        <w:numPr>
          <w:ilvl w:val="2"/>
          <w:numId w:val="8"/>
        </w:numPr>
        <w:tabs>
          <w:tab w:val="left" w:pos="2014"/>
        </w:tabs>
        <w:snapToGrid w:val="0"/>
        <w:spacing w:line="360" w:lineRule="auto"/>
        <w:rPr>
          <w:color w:val="auto"/>
          <w:sz w:val="24"/>
          <w:highlight w:val="none"/>
        </w:rPr>
      </w:pPr>
      <w:bookmarkStart w:id="168" w:name="_Hlk164953935"/>
      <w:r>
        <w:rPr>
          <w:color w:val="auto"/>
          <w:sz w:val="24"/>
          <w:highlight w:val="none"/>
        </w:rPr>
        <w:t xml:space="preserve">其他政府采购需求标准 </w:t>
      </w:r>
    </w:p>
    <w:bookmarkEnd w:id="168"/>
    <w:p w14:paraId="3F767AAD">
      <w:pPr>
        <w:tabs>
          <w:tab w:val="left" w:pos="900"/>
          <w:tab w:val="left" w:pos="1980"/>
        </w:tabs>
        <w:snapToGrid w:val="0"/>
        <w:spacing w:line="360" w:lineRule="auto"/>
        <w:ind w:left="1980"/>
        <w:rPr>
          <w:color w:val="auto"/>
          <w:sz w:val="24"/>
          <w:highlight w:val="none"/>
        </w:rPr>
      </w:pPr>
      <w:bookmarkStart w:id="169" w:name="_Hlk164955325"/>
      <w:r>
        <w:rPr>
          <w:color w:val="auto"/>
          <w:sz w:val="24"/>
          <w:highlight w:val="none"/>
        </w:rPr>
        <w:t>为贯彻落实《深化政府采购制度改革方案》有关要求，推动政府采购需求标准建设</w:t>
      </w:r>
      <w:bookmarkEnd w:id="169"/>
      <w:r>
        <w:rPr>
          <w:color w:val="auto"/>
          <w:sz w:val="24"/>
          <w:highlight w:val="none"/>
        </w:rPr>
        <w:t>，财政部门会同有关部门制定发布的其他政府采购需求标准，本项目如涉及，则具体要求见第五章《采购需求》。</w:t>
      </w:r>
    </w:p>
    <w:p w14:paraId="4352124F">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38488EA1">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16C708ED">
      <w:pPr>
        <w:tabs>
          <w:tab w:val="left" w:pos="1080"/>
        </w:tabs>
        <w:snapToGrid w:val="0"/>
        <w:spacing w:line="360" w:lineRule="auto"/>
        <w:ind w:left="1080"/>
        <w:rPr>
          <w:color w:val="auto"/>
          <w:sz w:val="28"/>
          <w:highlight w:val="none"/>
        </w:rPr>
      </w:pPr>
      <w:bookmarkStart w:id="170" w:name="_1.8_计量单位"/>
      <w:bookmarkEnd w:id="170"/>
    </w:p>
    <w:p w14:paraId="165D985F">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486B1ED9">
      <w:pPr>
        <w:numPr>
          <w:ilvl w:val="0"/>
          <w:numId w:val="8"/>
        </w:numPr>
        <w:tabs>
          <w:tab w:val="left" w:pos="360"/>
        </w:tabs>
        <w:snapToGrid w:val="0"/>
        <w:spacing w:line="360" w:lineRule="auto"/>
        <w:ind w:left="357" w:hanging="357"/>
        <w:outlineLvl w:val="1"/>
        <w:rPr>
          <w:color w:val="auto"/>
          <w:sz w:val="24"/>
          <w:highlight w:val="none"/>
        </w:rPr>
      </w:pPr>
      <w:bookmarkStart w:id="171" w:name="_Toc226309767"/>
      <w:bookmarkStart w:id="172" w:name="_Toc151193693"/>
      <w:bookmarkStart w:id="173" w:name="_Toc127151724"/>
      <w:bookmarkStart w:id="174" w:name="_Toc520356147"/>
      <w:bookmarkStart w:id="175" w:name="_Toc164608792"/>
      <w:bookmarkStart w:id="176" w:name="_Toc151190150"/>
      <w:bookmarkStart w:id="177" w:name="_Toc151193911"/>
      <w:bookmarkStart w:id="178" w:name="_Toc150774623"/>
      <w:bookmarkStart w:id="179" w:name="_Toc226337219"/>
      <w:bookmarkStart w:id="180" w:name="_Toc226965713"/>
      <w:bookmarkStart w:id="181" w:name="_Toc226965796"/>
      <w:bookmarkStart w:id="182" w:name="_Toc305158865"/>
      <w:bookmarkStart w:id="183" w:name="_Toc164608637"/>
      <w:bookmarkStart w:id="184" w:name="_Toc149720816"/>
      <w:bookmarkStart w:id="185" w:name="_Toc127161437"/>
      <w:bookmarkStart w:id="186" w:name="_Toc164351617"/>
      <w:bookmarkStart w:id="187" w:name="_Toc195842888"/>
      <w:bookmarkStart w:id="188" w:name="_Toc151193765"/>
      <w:bookmarkStart w:id="189" w:name="_Toc265228361"/>
      <w:bookmarkStart w:id="190" w:name="_Toc150509274"/>
      <w:bookmarkStart w:id="191" w:name="_Toc151193837"/>
      <w:bookmarkStart w:id="192" w:name="_Toc164229364"/>
      <w:bookmarkStart w:id="193" w:name="_Toc151193621"/>
      <w:bookmarkStart w:id="194" w:name="_Toc150480761"/>
      <w:bookmarkStart w:id="195" w:name="_Toc164229218"/>
      <w:bookmarkStart w:id="196" w:name="_Toc150774728"/>
      <w:bookmarkStart w:id="197" w:name="_Toc264969213"/>
      <w:bookmarkStart w:id="198" w:name="_Toc142311025"/>
      <w:bookmarkStart w:id="199" w:name="_Toc305158791"/>
      <w:bookmarkStart w:id="200" w:name="_Toc127151523"/>
      <w:r>
        <w:rPr>
          <w:color w:val="auto"/>
          <w:sz w:val="24"/>
          <w:highlight w:val="none"/>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color w:val="auto"/>
          <w:sz w:val="24"/>
          <w:highlight w:val="none"/>
        </w:rPr>
        <w:t>成</w:t>
      </w:r>
    </w:p>
    <w:p w14:paraId="7866DD7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22D5549C">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3A5E258C">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3DD655E2">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1875FA33">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62B5AE7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7A588C2A">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324AD345">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6982FEA8">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2B94F903">
      <w:pPr>
        <w:numPr>
          <w:ilvl w:val="0"/>
          <w:numId w:val="8"/>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47C3383B">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308D0769">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1AF778C3">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6D3C2E2">
      <w:pPr>
        <w:tabs>
          <w:tab w:val="left" w:pos="1080"/>
          <w:tab w:val="left" w:pos="1561"/>
        </w:tabs>
        <w:snapToGrid w:val="0"/>
        <w:spacing w:line="360" w:lineRule="auto"/>
        <w:ind w:left="1080"/>
        <w:rPr>
          <w:color w:val="auto"/>
          <w:sz w:val="28"/>
          <w:highlight w:val="none"/>
        </w:rPr>
      </w:pPr>
      <w:bookmarkStart w:id="201" w:name="_Toc516367020"/>
      <w:bookmarkStart w:id="202" w:name="_Toc150774731"/>
      <w:bookmarkStart w:id="203" w:name="_Toc195842891"/>
      <w:bookmarkStart w:id="204" w:name="_Toc127151526"/>
      <w:bookmarkStart w:id="205" w:name="_Toc226965716"/>
      <w:bookmarkStart w:id="206" w:name="_Toc520356150"/>
      <w:bookmarkStart w:id="207" w:name="_Toc151193696"/>
      <w:bookmarkStart w:id="208" w:name="_Toc142311028"/>
      <w:bookmarkStart w:id="209" w:name="_Toc151193624"/>
      <w:bookmarkStart w:id="210" w:name="_Toc151193914"/>
      <w:bookmarkStart w:id="211" w:name="_Toc151190153"/>
      <w:bookmarkStart w:id="212" w:name="_Toc264969216"/>
      <w:bookmarkStart w:id="213" w:name="_Toc305158868"/>
      <w:bookmarkStart w:id="214" w:name="_Toc150480764"/>
      <w:bookmarkStart w:id="215" w:name="_Toc265228364"/>
      <w:bookmarkStart w:id="216" w:name="_Toc150509277"/>
      <w:bookmarkStart w:id="217" w:name="_Toc150774626"/>
      <w:bookmarkStart w:id="218" w:name="_Toc151193840"/>
      <w:bookmarkStart w:id="219" w:name="_Toc226337222"/>
      <w:bookmarkStart w:id="220" w:name="_Toc151193768"/>
      <w:bookmarkStart w:id="221" w:name="_Toc226965799"/>
      <w:bookmarkStart w:id="222" w:name="_Toc305158794"/>
      <w:bookmarkStart w:id="223" w:name="_Toc226309770"/>
    </w:p>
    <w:p w14:paraId="78EB7F7D">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201"/>
      <w:r>
        <w:rPr>
          <w:rFonts w:ascii="Times New Roman" w:hAnsi="Times New Roman" w:eastAsia="宋体"/>
          <w:color w:val="auto"/>
          <w:sz w:val="28"/>
          <w:highlight w:val="none"/>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68939834">
      <w:pPr>
        <w:numPr>
          <w:ilvl w:val="0"/>
          <w:numId w:val="8"/>
        </w:numPr>
        <w:tabs>
          <w:tab w:val="left" w:pos="360"/>
        </w:tabs>
        <w:snapToGrid w:val="0"/>
        <w:spacing w:line="360" w:lineRule="auto"/>
        <w:ind w:left="357" w:hanging="357"/>
        <w:outlineLvl w:val="1"/>
        <w:rPr>
          <w:color w:val="auto"/>
          <w:sz w:val="24"/>
          <w:highlight w:val="none"/>
        </w:rPr>
      </w:pPr>
      <w:bookmarkStart w:id="224" w:name="_Toc151193769"/>
      <w:bookmarkStart w:id="225" w:name="_Toc149720820"/>
      <w:bookmarkStart w:id="226" w:name="_Toc150480765"/>
      <w:bookmarkStart w:id="227" w:name="_Toc150509278"/>
      <w:bookmarkStart w:id="228" w:name="_Toc195842892"/>
      <w:bookmarkStart w:id="229" w:name="_Toc127161441"/>
      <w:bookmarkStart w:id="230" w:name="_Toc127151728"/>
      <w:bookmarkStart w:id="231" w:name="_Toc164608641"/>
      <w:bookmarkStart w:id="232" w:name="_Toc127151527"/>
      <w:bookmarkStart w:id="233" w:name="_Toc226965717"/>
      <w:bookmarkStart w:id="234" w:name="_Toc151190154"/>
      <w:bookmarkStart w:id="235" w:name="_Toc151193915"/>
      <w:bookmarkStart w:id="236" w:name="_Toc264969217"/>
      <w:bookmarkStart w:id="237" w:name="_Toc516367021"/>
      <w:bookmarkStart w:id="238" w:name="_Toc305158795"/>
      <w:bookmarkStart w:id="239" w:name="_Toc151193697"/>
      <w:bookmarkStart w:id="240" w:name="_Toc142311029"/>
      <w:bookmarkStart w:id="241" w:name="_Toc305158869"/>
      <w:bookmarkStart w:id="242" w:name="_Toc520356151"/>
      <w:bookmarkStart w:id="243" w:name="_Toc265228365"/>
      <w:bookmarkStart w:id="244" w:name="_Toc150774732"/>
      <w:bookmarkStart w:id="245" w:name="_Toc164608796"/>
      <w:bookmarkStart w:id="246" w:name="_Toc164351621"/>
      <w:bookmarkStart w:id="247" w:name="_Toc226337223"/>
      <w:bookmarkStart w:id="248" w:name="_Toc226309771"/>
      <w:bookmarkStart w:id="249" w:name="_Toc151193841"/>
      <w:bookmarkStart w:id="250" w:name="_Toc164229368"/>
      <w:bookmarkStart w:id="251" w:name="_Toc226965800"/>
      <w:bookmarkStart w:id="252" w:name="_Toc151193625"/>
      <w:bookmarkStart w:id="253" w:name="_Toc150774627"/>
      <w:bookmarkStart w:id="254" w:name="_Toc164229222"/>
      <w:r>
        <w:rPr>
          <w:color w:val="auto"/>
          <w:sz w:val="24"/>
          <w:highlight w:val="none"/>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color w:val="auto"/>
          <w:sz w:val="24"/>
          <w:highlight w:val="none"/>
        </w:rPr>
        <w:t>及投标语言</w:t>
      </w:r>
    </w:p>
    <w:p w14:paraId="2BFDB993">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45CFFC42">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4B7E5159">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AD7DB87">
      <w:pPr>
        <w:numPr>
          <w:ilvl w:val="0"/>
          <w:numId w:val="8"/>
        </w:numPr>
        <w:tabs>
          <w:tab w:val="left" w:pos="360"/>
        </w:tabs>
        <w:snapToGrid w:val="0"/>
        <w:spacing w:line="360" w:lineRule="auto"/>
        <w:ind w:left="357" w:hanging="357"/>
        <w:outlineLvl w:val="1"/>
        <w:rPr>
          <w:color w:val="auto"/>
          <w:sz w:val="24"/>
          <w:highlight w:val="none"/>
        </w:rPr>
      </w:pPr>
      <w:bookmarkStart w:id="255" w:name="_Ref467306676"/>
      <w:bookmarkStart w:id="256" w:name="_Ref467306195"/>
      <w:bookmarkStart w:id="257" w:name="_Toc516367022"/>
      <w:bookmarkStart w:id="258" w:name="_Toc150774733"/>
      <w:bookmarkStart w:id="259" w:name="_Toc164608642"/>
      <w:bookmarkStart w:id="260" w:name="_Toc195842893"/>
      <w:bookmarkStart w:id="261" w:name="_Toc151193916"/>
      <w:bookmarkStart w:id="262" w:name="_Toc150480766"/>
      <w:bookmarkStart w:id="263" w:name="_Toc164608797"/>
      <w:bookmarkStart w:id="264" w:name="_Toc305158870"/>
      <w:bookmarkStart w:id="265" w:name="_Toc305158796"/>
      <w:bookmarkStart w:id="266" w:name="_Toc150509279"/>
      <w:bookmarkStart w:id="267" w:name="_Toc151193626"/>
      <w:bookmarkStart w:id="268" w:name="_Toc151193842"/>
      <w:bookmarkStart w:id="269" w:name="_Toc265228366"/>
      <w:bookmarkStart w:id="270" w:name="_Toc127161442"/>
      <w:bookmarkStart w:id="271" w:name="_Toc164229223"/>
      <w:bookmarkStart w:id="272" w:name="_Toc164229369"/>
      <w:bookmarkStart w:id="273" w:name="_Toc127151729"/>
      <w:bookmarkStart w:id="274" w:name="_Toc164351622"/>
      <w:bookmarkStart w:id="275" w:name="_Toc226337224"/>
      <w:bookmarkStart w:id="276" w:name="_Toc151193770"/>
      <w:bookmarkStart w:id="277" w:name="_Toc150774628"/>
      <w:bookmarkStart w:id="278" w:name="_Toc149720821"/>
      <w:bookmarkStart w:id="279" w:name="_Toc151190155"/>
      <w:bookmarkStart w:id="280" w:name="_Toc226965718"/>
      <w:bookmarkStart w:id="281" w:name="_Toc151193698"/>
      <w:bookmarkStart w:id="282" w:name="_Toc127151528"/>
      <w:bookmarkStart w:id="283" w:name="_Toc142311030"/>
      <w:bookmarkStart w:id="284" w:name="_Toc264969218"/>
      <w:bookmarkStart w:id="285" w:name="_Toc520356152"/>
      <w:bookmarkStart w:id="286" w:name="_Toc226309772"/>
      <w:bookmarkStart w:id="287" w:name="_Toc226965801"/>
      <w:r>
        <w:rPr>
          <w:color w:val="auto"/>
          <w:sz w:val="24"/>
          <w:highlight w:val="none"/>
        </w:rPr>
        <w:t>投标文件</w:t>
      </w:r>
      <w:bookmarkEnd w:id="255"/>
      <w:bookmarkEnd w:id="256"/>
      <w:bookmarkEnd w:id="257"/>
      <w:r>
        <w:rPr>
          <w:color w:val="auto"/>
          <w:sz w:val="24"/>
          <w:highlight w:val="none"/>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4259428D">
      <w:pPr>
        <w:numPr>
          <w:ilvl w:val="1"/>
          <w:numId w:val="8"/>
        </w:numPr>
        <w:tabs>
          <w:tab w:val="left" w:pos="1080"/>
          <w:tab w:val="left" w:pos="2014"/>
        </w:tabs>
        <w:snapToGrid w:val="0"/>
        <w:spacing w:line="360" w:lineRule="auto"/>
        <w:ind w:left="1077" w:hanging="720"/>
        <w:rPr>
          <w:color w:val="auto"/>
          <w:sz w:val="24"/>
          <w:highlight w:val="none"/>
        </w:rPr>
      </w:pPr>
      <w:bookmarkStart w:id="288"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72A5B2AD">
      <w:pPr>
        <w:numPr>
          <w:ilvl w:val="1"/>
          <w:numId w:val="8"/>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0736362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5206C4C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5F6431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88"/>
    </w:p>
    <w:p w14:paraId="4B8C3677">
      <w:pPr>
        <w:numPr>
          <w:ilvl w:val="0"/>
          <w:numId w:val="8"/>
        </w:numPr>
        <w:tabs>
          <w:tab w:val="left" w:pos="360"/>
        </w:tabs>
        <w:snapToGrid w:val="0"/>
        <w:spacing w:line="360" w:lineRule="auto"/>
        <w:ind w:left="357" w:hanging="357"/>
        <w:outlineLvl w:val="1"/>
        <w:rPr>
          <w:color w:val="auto"/>
          <w:sz w:val="24"/>
          <w:highlight w:val="none"/>
        </w:rPr>
      </w:pPr>
      <w:bookmarkStart w:id="289" w:name="_Toc151190157"/>
      <w:bookmarkStart w:id="290" w:name="_Toc127151530"/>
      <w:bookmarkStart w:id="291" w:name="_Toc520356155"/>
      <w:bookmarkStart w:id="292" w:name="_Toc150480768"/>
      <w:bookmarkStart w:id="293" w:name="_Toc164608644"/>
      <w:bookmarkStart w:id="294" w:name="_Toc195842895"/>
      <w:bookmarkStart w:id="295" w:name="_Toc151193844"/>
      <w:bookmarkStart w:id="296" w:name="_Toc142311032"/>
      <w:bookmarkStart w:id="297" w:name="_Toc151193918"/>
      <w:bookmarkStart w:id="298" w:name="_Toc150774735"/>
      <w:bookmarkStart w:id="299" w:name="_Toc151193772"/>
      <w:bookmarkStart w:id="300" w:name="_Toc164351624"/>
      <w:bookmarkStart w:id="301" w:name="_Toc150774630"/>
      <w:bookmarkStart w:id="302" w:name="_Toc164229225"/>
      <w:bookmarkStart w:id="303" w:name="_Toc151193628"/>
      <w:bookmarkStart w:id="304" w:name="_Toc151193700"/>
      <w:bookmarkStart w:id="305" w:name="_Toc164229371"/>
      <w:bookmarkStart w:id="306" w:name="_Toc127151731"/>
      <w:bookmarkStart w:id="307" w:name="_Toc149720823"/>
      <w:bookmarkStart w:id="308" w:name="_Toc150509281"/>
      <w:bookmarkStart w:id="309" w:name="_Toc127161444"/>
      <w:bookmarkStart w:id="310" w:name="_Toc164608799"/>
      <w:r>
        <w:rPr>
          <w:color w:val="auto"/>
          <w:sz w:val="24"/>
          <w:highlight w:val="none"/>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4CA8127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w:t>
      </w:r>
      <w:r>
        <w:rPr>
          <w:rFonts w:hint="eastAsia" w:eastAsiaTheme="minorEastAsia"/>
          <w:color w:val="auto"/>
          <w:sz w:val="24"/>
          <w:highlight w:val="none"/>
        </w:rPr>
        <w:t>为计价货币</w:t>
      </w:r>
      <w:r>
        <w:rPr>
          <w:color w:val="auto"/>
          <w:sz w:val="24"/>
          <w:highlight w:val="none"/>
        </w:rPr>
        <w:t>。</w:t>
      </w:r>
    </w:p>
    <w:p w14:paraId="5E14DD0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5795254C">
      <w:pPr>
        <w:numPr>
          <w:ilvl w:val="2"/>
          <w:numId w:val="8"/>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EC7D390">
      <w:pPr>
        <w:numPr>
          <w:ilvl w:val="2"/>
          <w:numId w:val="8"/>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414A452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4DD3937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投标人不能提供任何有选择性或可调整的报价（招标文件另有规定的除外），否则其</w:t>
      </w:r>
      <w:r>
        <w:rPr>
          <w:b/>
          <w:color w:val="auto"/>
          <w:sz w:val="24"/>
          <w:highlight w:val="none"/>
        </w:rPr>
        <w:t>投标无效</w:t>
      </w:r>
      <w:r>
        <w:rPr>
          <w:color w:val="auto"/>
          <w:sz w:val="24"/>
          <w:highlight w:val="none"/>
        </w:rPr>
        <w:t>。</w:t>
      </w:r>
    </w:p>
    <w:p w14:paraId="0868D2F7">
      <w:pPr>
        <w:numPr>
          <w:ilvl w:val="0"/>
          <w:numId w:val="8"/>
        </w:numPr>
        <w:tabs>
          <w:tab w:val="left" w:pos="360"/>
        </w:tabs>
        <w:snapToGrid w:val="0"/>
        <w:spacing w:line="360" w:lineRule="auto"/>
        <w:ind w:left="357" w:hanging="357"/>
        <w:outlineLvl w:val="1"/>
        <w:rPr>
          <w:color w:val="auto"/>
          <w:sz w:val="24"/>
          <w:highlight w:val="none"/>
        </w:rPr>
      </w:pPr>
      <w:bookmarkStart w:id="311" w:name="_Toc149720824"/>
      <w:bookmarkStart w:id="312" w:name="_Toc226337227"/>
      <w:bookmarkStart w:id="313" w:name="_Toc226965804"/>
      <w:bookmarkStart w:id="314" w:name="_Toc151190158"/>
      <w:bookmarkStart w:id="315" w:name="_Toc195842896"/>
      <w:bookmarkStart w:id="316" w:name="_Toc164608800"/>
      <w:bookmarkStart w:id="317" w:name="_Toc151193845"/>
      <w:bookmarkStart w:id="318" w:name="_Toc142311033"/>
      <w:bookmarkStart w:id="319" w:name="_Toc127151531"/>
      <w:bookmarkStart w:id="320" w:name="_Toc226309775"/>
      <w:bookmarkStart w:id="321" w:name="_Toc151193773"/>
      <w:bookmarkStart w:id="322" w:name="_Toc305158799"/>
      <w:bookmarkStart w:id="323" w:name="_Toc520356156"/>
      <w:bookmarkStart w:id="324" w:name="_Toc226965721"/>
      <w:bookmarkStart w:id="325" w:name="_Ref467306513"/>
      <w:bookmarkStart w:id="326" w:name="_Toc164229372"/>
      <w:bookmarkStart w:id="327" w:name="_Toc127161445"/>
      <w:bookmarkStart w:id="328" w:name="_Toc264969221"/>
      <w:bookmarkStart w:id="329" w:name="_Toc150774631"/>
      <w:bookmarkStart w:id="330" w:name="_Toc265228369"/>
      <w:bookmarkStart w:id="331" w:name="_Toc151193629"/>
      <w:bookmarkStart w:id="332" w:name="_Toc150480769"/>
      <w:bookmarkStart w:id="333" w:name="_Toc305158873"/>
      <w:bookmarkStart w:id="334" w:name="_Toc127151732"/>
      <w:bookmarkStart w:id="335" w:name="_Toc150509282"/>
      <w:bookmarkStart w:id="336" w:name="_Toc151193919"/>
      <w:bookmarkStart w:id="337" w:name="_Toc150774736"/>
      <w:bookmarkStart w:id="338" w:name="_Toc151193701"/>
      <w:bookmarkStart w:id="339" w:name="_Toc164608645"/>
      <w:bookmarkStart w:id="340" w:name="_Toc164351625"/>
      <w:bookmarkStart w:id="341" w:name="_Toc164229226"/>
      <w:r>
        <w:rPr>
          <w:color w:val="auto"/>
          <w:sz w:val="24"/>
          <w:highlight w:val="none"/>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4E18BF6F">
      <w:pPr>
        <w:numPr>
          <w:ilvl w:val="1"/>
          <w:numId w:val="8"/>
        </w:numPr>
        <w:tabs>
          <w:tab w:val="left" w:pos="1080"/>
          <w:tab w:val="left" w:pos="2014"/>
        </w:tabs>
        <w:snapToGrid w:val="0"/>
        <w:spacing w:line="360" w:lineRule="auto"/>
        <w:ind w:left="1077" w:hanging="720"/>
        <w:rPr>
          <w:color w:val="auto"/>
          <w:sz w:val="24"/>
          <w:highlight w:val="none"/>
        </w:rPr>
      </w:pPr>
      <w:bookmarkStart w:id="342" w:name="_Ref467306302"/>
      <w:r>
        <w:rPr>
          <w:color w:val="auto"/>
          <w:sz w:val="24"/>
          <w:highlight w:val="none"/>
        </w:rPr>
        <w:t>投标人应按《投标人须知资料表》中规定的金额及要求交纳投标保证金</w:t>
      </w:r>
      <w:bookmarkEnd w:id="342"/>
      <w:r>
        <w:rPr>
          <w:color w:val="auto"/>
          <w:sz w:val="24"/>
          <w:highlight w:val="none"/>
        </w:rPr>
        <w:t>。投标人自愿超额缴纳投标保证金的，投标文件不做无效处理。</w:t>
      </w:r>
    </w:p>
    <w:p w14:paraId="5F1931D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1F052CA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3" w:name="_Hlk164959831"/>
      <w:r>
        <w:rPr>
          <w:color w:val="auto"/>
          <w:sz w:val="24"/>
          <w:highlight w:val="none"/>
        </w:rPr>
        <w:t>以电子保函形式提交投标保证金的，应在投标截止时间前通过</w:t>
      </w:r>
      <w:r>
        <w:rPr>
          <w:color w:val="auto"/>
          <w:sz w:val="24"/>
          <w:highlight w:val="none"/>
          <w:lang w:bidi="ar"/>
        </w:rPr>
        <w:t>北京市政府采购电子交易平台完成电子保函在线办理。</w:t>
      </w:r>
      <w:bookmarkEnd w:id="343"/>
      <w:r>
        <w:rPr>
          <w:rFonts w:hint="eastAsia"/>
          <w:color w:val="auto"/>
          <w:sz w:val="24"/>
          <w:highlight w:val="none"/>
        </w:rPr>
        <w:t>未按上述要求缴纳投标保证金</w:t>
      </w:r>
      <w:r>
        <w:rPr>
          <w:color w:val="auto"/>
          <w:sz w:val="24"/>
          <w:highlight w:val="none"/>
        </w:rPr>
        <w:t>的，其</w:t>
      </w:r>
      <w:r>
        <w:rPr>
          <w:b/>
          <w:color w:val="auto"/>
          <w:sz w:val="24"/>
          <w:highlight w:val="none"/>
        </w:rPr>
        <w:t>投标无效</w:t>
      </w:r>
      <w:r>
        <w:rPr>
          <w:color w:val="auto"/>
          <w:sz w:val="24"/>
          <w:highlight w:val="none"/>
        </w:rPr>
        <w:t>。</w:t>
      </w:r>
    </w:p>
    <w:p w14:paraId="180CA8FC">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投标人</w:t>
      </w:r>
      <w:r>
        <w:rPr>
          <w:color w:val="auto"/>
          <w:sz w:val="24"/>
          <w:highlight w:val="none"/>
        </w:rPr>
        <w:t>除</w:t>
      </w:r>
      <w:r>
        <w:rPr>
          <w:rFonts w:hint="eastAsia"/>
          <w:color w:val="auto"/>
          <w:sz w:val="24"/>
          <w:highlight w:val="none"/>
        </w:rPr>
        <w:t>需在</w:t>
      </w:r>
      <w:r>
        <w:rPr>
          <w:color w:val="auto"/>
          <w:sz w:val="24"/>
          <w:highlight w:val="none"/>
        </w:rPr>
        <w:t>投标文件中</w:t>
      </w:r>
      <w:r>
        <w:rPr>
          <w:rFonts w:hint="eastAsia"/>
          <w:color w:val="auto"/>
          <w:sz w:val="24"/>
          <w:highlight w:val="none"/>
        </w:rPr>
        <w:t>提供“</w:t>
      </w:r>
      <w:r>
        <w:rPr>
          <w:color w:val="auto"/>
          <w:sz w:val="24"/>
          <w:szCs w:val="20"/>
          <w:highlight w:val="none"/>
        </w:rPr>
        <w:t>投标保证金凭证/交款单据电子件</w:t>
      </w:r>
      <w:r>
        <w:rPr>
          <w:rFonts w:hint="eastAsia"/>
          <w:color w:val="auto"/>
          <w:sz w:val="24"/>
          <w:highlight w:val="none"/>
        </w:rPr>
        <w:t>”</w:t>
      </w:r>
      <w:r>
        <w:rPr>
          <w:color w:val="auto"/>
          <w:sz w:val="24"/>
          <w:highlight w:val="none"/>
        </w:rPr>
        <w:t>，</w:t>
      </w:r>
      <w:r>
        <w:rPr>
          <w:rFonts w:hint="eastAsia"/>
          <w:color w:val="auto"/>
          <w:sz w:val="24"/>
          <w:highlight w:val="none"/>
        </w:rPr>
        <w:t>还需在投标截止时间前，通过电子交易平台上传“</w:t>
      </w:r>
      <w:r>
        <w:rPr>
          <w:color w:val="auto"/>
          <w:sz w:val="24"/>
          <w:szCs w:val="20"/>
          <w:highlight w:val="none"/>
        </w:rPr>
        <w:t>投标保证金凭证/交款单据电子件</w:t>
      </w:r>
      <w:r>
        <w:rPr>
          <w:rFonts w:hint="eastAsia"/>
          <w:color w:val="auto"/>
          <w:sz w:val="24"/>
          <w:highlight w:val="none"/>
        </w:rPr>
        <w:t>”。</w:t>
      </w:r>
    </w:p>
    <w:p w14:paraId="7C52950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0A35D48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1C8FE0E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Theme="minorEastAsia"/>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5233CC50">
      <w:pPr>
        <w:numPr>
          <w:ilvl w:val="2"/>
          <w:numId w:val="8"/>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19F958C6">
      <w:pPr>
        <w:numPr>
          <w:ilvl w:val="2"/>
          <w:numId w:val="8"/>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6A18AF5F">
      <w:pPr>
        <w:numPr>
          <w:ilvl w:val="2"/>
          <w:numId w:val="8"/>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78DB7AFE">
      <w:pPr>
        <w:numPr>
          <w:ilvl w:val="2"/>
          <w:numId w:val="8"/>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500F815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5A292FBA">
      <w:pPr>
        <w:numPr>
          <w:ilvl w:val="2"/>
          <w:numId w:val="8"/>
        </w:numPr>
        <w:snapToGrid w:val="0"/>
        <w:spacing w:line="360" w:lineRule="auto"/>
        <w:rPr>
          <w:color w:val="auto"/>
          <w:sz w:val="24"/>
          <w:highlight w:val="none"/>
        </w:rPr>
      </w:pPr>
      <w:r>
        <w:rPr>
          <w:color w:val="auto"/>
          <w:sz w:val="24"/>
          <w:highlight w:val="none"/>
        </w:rPr>
        <w:t>投标有效期内投标人撤销投标文件的；</w:t>
      </w:r>
    </w:p>
    <w:p w14:paraId="39E1628F">
      <w:pPr>
        <w:numPr>
          <w:ilvl w:val="2"/>
          <w:numId w:val="8"/>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7969C542">
      <w:pPr>
        <w:numPr>
          <w:ilvl w:val="0"/>
          <w:numId w:val="8"/>
        </w:numPr>
        <w:tabs>
          <w:tab w:val="left" w:pos="360"/>
        </w:tabs>
        <w:snapToGrid w:val="0"/>
        <w:spacing w:line="360" w:lineRule="auto"/>
        <w:ind w:left="357" w:hanging="357"/>
        <w:outlineLvl w:val="1"/>
        <w:rPr>
          <w:color w:val="auto"/>
          <w:sz w:val="24"/>
          <w:highlight w:val="none"/>
        </w:rPr>
      </w:pPr>
      <w:bookmarkStart w:id="344" w:name="_Toc149720825"/>
      <w:bookmarkStart w:id="345" w:name="_Toc305158874"/>
      <w:bookmarkStart w:id="346" w:name="_Toc164608801"/>
      <w:bookmarkStart w:id="347" w:name="_Toc151193630"/>
      <w:bookmarkStart w:id="348" w:name="_Toc151193702"/>
      <w:bookmarkStart w:id="349" w:name="_Toc265228370"/>
      <w:bookmarkStart w:id="350" w:name="_Toc127161446"/>
      <w:bookmarkStart w:id="351" w:name="_Toc226965805"/>
      <w:bookmarkStart w:id="352" w:name="_Toc164229227"/>
      <w:bookmarkStart w:id="353" w:name="_Toc226965722"/>
      <w:bookmarkStart w:id="354" w:name="_Toc151193920"/>
      <w:bookmarkStart w:id="355" w:name="_Toc127151532"/>
      <w:bookmarkStart w:id="356" w:name="_Toc164351626"/>
      <w:bookmarkStart w:id="357" w:name="_Toc195842897"/>
      <w:bookmarkStart w:id="358" w:name="_Toc142311034"/>
      <w:bookmarkStart w:id="359" w:name="_Toc164608646"/>
      <w:bookmarkStart w:id="360" w:name="_Toc305158800"/>
      <w:bookmarkStart w:id="361" w:name="_Toc150774737"/>
      <w:bookmarkStart w:id="362" w:name="_Toc150509283"/>
      <w:bookmarkStart w:id="363" w:name="_Toc127151733"/>
      <w:bookmarkStart w:id="364" w:name="_Toc164229373"/>
      <w:bookmarkStart w:id="365" w:name="_Toc150480770"/>
      <w:bookmarkStart w:id="366" w:name="_Toc151193846"/>
      <w:bookmarkStart w:id="367" w:name="_Toc264969222"/>
      <w:bookmarkStart w:id="368" w:name="_Toc151190159"/>
      <w:bookmarkStart w:id="369" w:name="_Toc520356157"/>
      <w:bookmarkStart w:id="370" w:name="_Toc226309776"/>
      <w:bookmarkStart w:id="371" w:name="_Toc150774632"/>
      <w:bookmarkStart w:id="372" w:name="_Toc151193774"/>
      <w:bookmarkStart w:id="373" w:name="_Toc226337228"/>
      <w:r>
        <w:rPr>
          <w:color w:val="auto"/>
          <w:sz w:val="24"/>
          <w:highlight w:val="none"/>
        </w:rPr>
        <w:t>投标有效期</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540848B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5C64EA6E">
      <w:pPr>
        <w:numPr>
          <w:ilvl w:val="0"/>
          <w:numId w:val="8"/>
        </w:numPr>
        <w:tabs>
          <w:tab w:val="left" w:pos="360"/>
        </w:tabs>
        <w:snapToGrid w:val="0"/>
        <w:spacing w:line="360" w:lineRule="auto"/>
        <w:ind w:left="357" w:hanging="357"/>
        <w:outlineLvl w:val="1"/>
        <w:rPr>
          <w:color w:val="auto"/>
          <w:sz w:val="24"/>
          <w:highlight w:val="none"/>
        </w:rPr>
      </w:pPr>
      <w:bookmarkStart w:id="374" w:name="_Toc264969223"/>
      <w:bookmarkStart w:id="375" w:name="_Toc226965723"/>
      <w:bookmarkStart w:id="376" w:name="_Toc150774738"/>
      <w:bookmarkStart w:id="377" w:name="_Toc151193921"/>
      <w:bookmarkStart w:id="378" w:name="_Toc150480771"/>
      <w:bookmarkStart w:id="379" w:name="_Toc151190160"/>
      <w:bookmarkStart w:id="380" w:name="_Toc164229374"/>
      <w:bookmarkStart w:id="381" w:name="_Toc226309777"/>
      <w:bookmarkStart w:id="382" w:name="_Toc151193775"/>
      <w:bookmarkStart w:id="383" w:name="_Toc127151734"/>
      <w:bookmarkStart w:id="384" w:name="_Toc142311035"/>
      <w:bookmarkStart w:id="385" w:name="_Toc151193703"/>
      <w:bookmarkStart w:id="386" w:name="_Toc151193847"/>
      <w:bookmarkStart w:id="387" w:name="_Toc164608647"/>
      <w:bookmarkStart w:id="388" w:name="_Toc127151533"/>
      <w:bookmarkStart w:id="389" w:name="_Toc150774633"/>
      <w:bookmarkStart w:id="390" w:name="_Toc164229228"/>
      <w:bookmarkStart w:id="391" w:name="_Toc305158801"/>
      <w:bookmarkStart w:id="392" w:name="_Toc226337229"/>
      <w:bookmarkStart w:id="393" w:name="_Toc151193631"/>
      <w:bookmarkStart w:id="394" w:name="_Toc149720826"/>
      <w:bookmarkStart w:id="395" w:name="_Toc265228371"/>
      <w:bookmarkStart w:id="396" w:name="_Toc195842898"/>
      <w:bookmarkStart w:id="397" w:name="_Toc520356158"/>
      <w:bookmarkStart w:id="398" w:name="_Toc164351627"/>
      <w:bookmarkStart w:id="399" w:name="_Toc226965806"/>
      <w:bookmarkStart w:id="400" w:name="_Toc150509284"/>
      <w:bookmarkStart w:id="401" w:name="_Toc127161447"/>
      <w:bookmarkStart w:id="402" w:name="_Toc305158875"/>
      <w:bookmarkStart w:id="403" w:name="_Toc164608802"/>
      <w:r>
        <w:rPr>
          <w:color w:val="auto"/>
          <w:sz w:val="24"/>
          <w:highlight w:val="none"/>
        </w:rPr>
        <w:t>投标文件的签署</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color w:val="auto"/>
          <w:sz w:val="24"/>
          <w:highlight w:val="none"/>
        </w:rPr>
        <w:t>、盖章</w:t>
      </w:r>
    </w:p>
    <w:p w14:paraId="782610AD">
      <w:pPr>
        <w:numPr>
          <w:ilvl w:val="1"/>
          <w:numId w:val="8"/>
        </w:numPr>
        <w:tabs>
          <w:tab w:val="left" w:pos="1080"/>
          <w:tab w:val="left" w:pos="2014"/>
        </w:tabs>
        <w:snapToGrid w:val="0"/>
        <w:spacing w:line="360" w:lineRule="auto"/>
        <w:ind w:left="1077" w:hanging="720"/>
        <w:rPr>
          <w:color w:val="auto"/>
          <w:sz w:val="24"/>
          <w:highlight w:val="none"/>
        </w:rPr>
      </w:pPr>
      <w:bookmarkStart w:id="404" w:name="_Toc151193922"/>
      <w:bookmarkStart w:id="405" w:name="_Toc127151534"/>
      <w:bookmarkStart w:id="406" w:name="_Toc265228372"/>
      <w:bookmarkStart w:id="407" w:name="_Toc226309778"/>
      <w:bookmarkStart w:id="408" w:name="_Toc151193632"/>
      <w:bookmarkStart w:id="409" w:name="_Toc226965807"/>
      <w:bookmarkStart w:id="410" w:name="_Toc150774634"/>
      <w:bookmarkStart w:id="411" w:name="_Toc264969224"/>
      <w:bookmarkStart w:id="412" w:name="_Toc150509285"/>
      <w:bookmarkStart w:id="413" w:name="_Toc142311036"/>
      <w:bookmarkStart w:id="414" w:name="_Toc226337230"/>
      <w:bookmarkStart w:id="415" w:name="_Toc150774739"/>
      <w:bookmarkStart w:id="416" w:name="_Toc195842899"/>
      <w:bookmarkStart w:id="417" w:name="_Toc520356159"/>
      <w:bookmarkStart w:id="418" w:name="_Toc151193848"/>
      <w:bookmarkStart w:id="419" w:name="_Toc226965724"/>
      <w:bookmarkStart w:id="420" w:name="_Toc150480772"/>
      <w:bookmarkStart w:id="421" w:name="_Toc151190161"/>
      <w:bookmarkStart w:id="422" w:name="_Toc305158802"/>
      <w:bookmarkStart w:id="423" w:name="_Toc151193704"/>
      <w:bookmarkStart w:id="424" w:name="_Toc305158876"/>
      <w:bookmarkStart w:id="425" w:name="_Toc151193776"/>
      <w:r>
        <w:rPr>
          <w:color w:val="auto"/>
          <w:sz w:val="24"/>
          <w:highlight w:val="none"/>
        </w:rPr>
        <w:t>招标文件要求签字的内容（如授权委托书等），</w:t>
      </w:r>
      <w:r>
        <w:rPr>
          <w:rFonts w:eastAsiaTheme="minorEastAsia"/>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60EE4ED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招标文件要求盖章的内容，一般通过投标文件编制工具加盖电子签章。</w:t>
      </w:r>
    </w:p>
    <w:p w14:paraId="6E6BC26E">
      <w:pPr>
        <w:tabs>
          <w:tab w:val="left" w:pos="900"/>
          <w:tab w:val="left" w:pos="1080"/>
        </w:tabs>
        <w:snapToGrid w:val="0"/>
        <w:spacing w:line="360" w:lineRule="auto"/>
        <w:ind w:left="357"/>
        <w:rPr>
          <w:color w:val="auto"/>
          <w:highlight w:val="none"/>
        </w:rPr>
      </w:pPr>
    </w:p>
    <w:p w14:paraId="36466F5E">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6FFCF1B7">
      <w:pPr>
        <w:numPr>
          <w:ilvl w:val="0"/>
          <w:numId w:val="8"/>
        </w:numPr>
        <w:tabs>
          <w:tab w:val="left" w:pos="360"/>
        </w:tabs>
        <w:snapToGrid w:val="0"/>
        <w:spacing w:line="360" w:lineRule="auto"/>
        <w:ind w:left="357" w:hanging="357"/>
        <w:outlineLvl w:val="1"/>
        <w:rPr>
          <w:color w:val="auto"/>
          <w:sz w:val="24"/>
          <w:highlight w:val="none"/>
        </w:rPr>
      </w:pPr>
      <w:bookmarkStart w:id="426" w:name="_Toc226309779"/>
      <w:bookmarkStart w:id="427" w:name="_Toc127151535"/>
      <w:bookmarkStart w:id="428" w:name="_Toc226965808"/>
      <w:bookmarkStart w:id="429" w:name="_Toc164229376"/>
      <w:bookmarkStart w:id="430" w:name="_Toc520356160"/>
      <w:bookmarkStart w:id="431" w:name="_Toc151193633"/>
      <w:bookmarkStart w:id="432" w:name="_Toc150480773"/>
      <w:bookmarkStart w:id="433" w:name="_Toc127161449"/>
      <w:bookmarkStart w:id="434" w:name="_Toc305158877"/>
      <w:bookmarkStart w:id="435" w:name="_Toc164351629"/>
      <w:bookmarkStart w:id="436" w:name="_Toc265228373"/>
      <w:bookmarkStart w:id="437" w:name="_Toc151193849"/>
      <w:bookmarkStart w:id="438" w:name="_Toc195842900"/>
      <w:bookmarkStart w:id="439" w:name="_Toc151190162"/>
      <w:bookmarkStart w:id="440" w:name="_Toc150774740"/>
      <w:bookmarkStart w:id="441" w:name="_Toc305158803"/>
      <w:bookmarkStart w:id="442" w:name="_Toc151193923"/>
      <w:bookmarkStart w:id="443" w:name="_Toc164608649"/>
      <w:bookmarkStart w:id="444" w:name="_Toc164608804"/>
      <w:bookmarkStart w:id="445" w:name="_Toc150509286"/>
      <w:bookmarkStart w:id="446" w:name="_Toc164229230"/>
      <w:bookmarkStart w:id="447" w:name="_Toc151193705"/>
      <w:bookmarkStart w:id="448" w:name="_Toc226965725"/>
      <w:bookmarkStart w:id="449" w:name="_Toc127151736"/>
      <w:bookmarkStart w:id="450" w:name="_Toc142311037"/>
      <w:bookmarkStart w:id="451" w:name="_Toc151193777"/>
      <w:bookmarkStart w:id="452" w:name="_Toc264969225"/>
      <w:bookmarkStart w:id="453" w:name="_Toc226337231"/>
      <w:bookmarkStart w:id="454" w:name="_Toc150774635"/>
      <w:bookmarkStart w:id="455" w:name="_Toc149720828"/>
      <w:r>
        <w:rPr>
          <w:color w:val="auto"/>
          <w:sz w:val="24"/>
          <w:highlight w:val="none"/>
        </w:rPr>
        <w:t>投标文件的</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color w:val="auto"/>
          <w:sz w:val="24"/>
          <w:highlight w:val="none"/>
        </w:rPr>
        <w:t>提交</w:t>
      </w:r>
    </w:p>
    <w:p w14:paraId="475AD74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eastAsiaTheme="minorEastAsia"/>
          <w:color w:val="auto"/>
          <w:sz w:val="24"/>
          <w:highlight w:val="none"/>
        </w:rPr>
        <w:t>北京市政府采购</w:t>
      </w:r>
      <w:r>
        <w:rPr>
          <w:color w:val="auto"/>
          <w:sz w:val="24"/>
          <w:highlight w:val="none"/>
        </w:rPr>
        <w:t>电子交易平台。投标人根据招标文件及电子交易平台供应商操作手册要求编制、生成并提交电子投标文件。</w:t>
      </w:r>
    </w:p>
    <w:p w14:paraId="451606A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p>
    <w:p w14:paraId="3C478925">
      <w:pPr>
        <w:numPr>
          <w:ilvl w:val="0"/>
          <w:numId w:val="8"/>
        </w:numPr>
        <w:tabs>
          <w:tab w:val="left" w:pos="360"/>
        </w:tabs>
        <w:snapToGrid w:val="0"/>
        <w:spacing w:line="360" w:lineRule="auto"/>
        <w:ind w:left="357" w:hanging="357"/>
        <w:outlineLvl w:val="1"/>
        <w:rPr>
          <w:color w:val="auto"/>
          <w:sz w:val="24"/>
          <w:highlight w:val="none"/>
        </w:rPr>
      </w:pPr>
      <w:bookmarkStart w:id="456" w:name="_Toc151193924"/>
      <w:bookmarkStart w:id="457" w:name="_Toc226309780"/>
      <w:bookmarkStart w:id="458" w:name="_Toc164229377"/>
      <w:bookmarkStart w:id="459" w:name="_Toc150480774"/>
      <w:bookmarkStart w:id="460" w:name="_Toc164608650"/>
      <w:bookmarkStart w:id="461" w:name="_Toc305158878"/>
      <w:bookmarkStart w:id="462" w:name="_Toc127151536"/>
      <w:bookmarkStart w:id="463" w:name="_Toc142311038"/>
      <w:bookmarkStart w:id="464" w:name="_Toc305158804"/>
      <w:bookmarkStart w:id="465" w:name="_Toc151193634"/>
      <w:bookmarkStart w:id="466" w:name="_Toc127151737"/>
      <w:bookmarkStart w:id="467" w:name="_Toc151190163"/>
      <w:bookmarkStart w:id="468" w:name="_Toc149720829"/>
      <w:bookmarkStart w:id="469" w:name="_Toc520356161"/>
      <w:bookmarkStart w:id="470" w:name="_Toc150509287"/>
      <w:bookmarkStart w:id="471" w:name="_Toc226965809"/>
      <w:bookmarkStart w:id="472" w:name="_Toc151193706"/>
      <w:bookmarkStart w:id="473" w:name="_Toc151193778"/>
      <w:bookmarkStart w:id="474" w:name="_Toc265228374"/>
      <w:bookmarkStart w:id="475" w:name="_Toc127161450"/>
      <w:bookmarkStart w:id="476" w:name="_Toc164608805"/>
      <w:bookmarkStart w:id="477" w:name="_Toc150774636"/>
      <w:bookmarkStart w:id="478" w:name="_Toc226965726"/>
      <w:bookmarkStart w:id="479" w:name="_Toc151193850"/>
      <w:bookmarkStart w:id="480" w:name="_Toc150774741"/>
      <w:bookmarkStart w:id="481" w:name="_Toc264969226"/>
      <w:bookmarkStart w:id="482" w:name="_Toc195842901"/>
      <w:bookmarkStart w:id="483" w:name="_Toc226337232"/>
      <w:bookmarkStart w:id="484" w:name="_Toc164229231"/>
      <w:bookmarkStart w:id="485" w:name="_Toc164351630"/>
      <w:r>
        <w:rPr>
          <w:color w:val="auto"/>
          <w:sz w:val="24"/>
          <w:highlight w:val="none"/>
        </w:rPr>
        <w:t>投标截止</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color w:val="auto"/>
          <w:sz w:val="24"/>
          <w:highlight w:val="none"/>
        </w:rPr>
        <w:t>时间</w:t>
      </w:r>
    </w:p>
    <w:p w14:paraId="3BA5FE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14:paraId="66D1CE7C">
      <w:pPr>
        <w:numPr>
          <w:ilvl w:val="0"/>
          <w:numId w:val="8"/>
        </w:numPr>
        <w:tabs>
          <w:tab w:val="left" w:pos="360"/>
        </w:tabs>
        <w:snapToGrid w:val="0"/>
        <w:spacing w:line="360" w:lineRule="auto"/>
        <w:ind w:left="357" w:hanging="357"/>
        <w:outlineLvl w:val="1"/>
        <w:rPr>
          <w:color w:val="auto"/>
          <w:sz w:val="24"/>
          <w:highlight w:val="none"/>
        </w:rPr>
      </w:pPr>
      <w:bookmarkStart w:id="486" w:name="_Toc164229378"/>
      <w:bookmarkStart w:id="487" w:name="_Toc142311039"/>
      <w:bookmarkStart w:id="488" w:name="_Toc226965810"/>
      <w:bookmarkStart w:id="489" w:name="_Toc150774742"/>
      <w:bookmarkStart w:id="490" w:name="_Toc226309781"/>
      <w:bookmarkStart w:id="491" w:name="_Toc265228375"/>
      <w:bookmarkStart w:id="492" w:name="_Toc150480775"/>
      <w:bookmarkStart w:id="493" w:name="_Toc150509288"/>
      <w:bookmarkStart w:id="494" w:name="_Toc164229232"/>
      <w:bookmarkStart w:id="495" w:name="_Toc127151537"/>
      <w:bookmarkStart w:id="496" w:name="_Toc305158879"/>
      <w:bookmarkStart w:id="497" w:name="_Toc127151738"/>
      <w:bookmarkStart w:id="498" w:name="_Toc520356162"/>
      <w:bookmarkStart w:id="499" w:name="_Toc151193779"/>
      <w:bookmarkStart w:id="500" w:name="_Toc149720830"/>
      <w:bookmarkStart w:id="501" w:name="_Toc127161451"/>
      <w:bookmarkStart w:id="502" w:name="_Toc305158805"/>
      <w:bookmarkStart w:id="503" w:name="_Toc151193707"/>
      <w:bookmarkStart w:id="504" w:name="_Toc151193925"/>
      <w:bookmarkStart w:id="505" w:name="_Toc195842902"/>
      <w:bookmarkStart w:id="506" w:name="_Toc151193635"/>
      <w:bookmarkStart w:id="507" w:name="_Toc164351631"/>
      <w:bookmarkStart w:id="508" w:name="_Toc151193851"/>
      <w:bookmarkStart w:id="509" w:name="_Toc226965727"/>
      <w:bookmarkStart w:id="510" w:name="_Toc164608651"/>
      <w:bookmarkStart w:id="511" w:name="_Toc226337233"/>
      <w:bookmarkStart w:id="512" w:name="_Toc151190164"/>
      <w:bookmarkStart w:id="513" w:name="_Toc264969227"/>
      <w:bookmarkStart w:id="514" w:name="_Toc150774637"/>
      <w:bookmarkStart w:id="515" w:name="_Toc164608806"/>
      <w:r>
        <w:rPr>
          <w:color w:val="auto"/>
          <w:sz w:val="24"/>
          <w:highlight w:val="none"/>
        </w:rPr>
        <w:t>投标文件的修改与撤回</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45BE282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9BBAA0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09FB7752">
      <w:pPr>
        <w:spacing w:line="360" w:lineRule="auto"/>
        <w:rPr>
          <w:color w:val="auto"/>
          <w:sz w:val="24"/>
          <w:highlight w:val="none"/>
        </w:rPr>
      </w:pPr>
    </w:p>
    <w:p w14:paraId="436F9B76">
      <w:pPr>
        <w:pStyle w:val="3"/>
        <w:spacing w:before="0" w:line="360" w:lineRule="auto"/>
        <w:rPr>
          <w:rFonts w:ascii="Times New Roman" w:hAnsi="Times New Roman" w:eastAsia="宋体"/>
          <w:color w:val="auto"/>
          <w:sz w:val="28"/>
          <w:highlight w:val="none"/>
        </w:rPr>
      </w:pPr>
      <w:bookmarkStart w:id="516" w:name="_Toc520356163"/>
      <w:bookmarkStart w:id="517" w:name="_Toc305158806"/>
      <w:bookmarkStart w:id="518" w:name="_Toc265228376"/>
      <w:bookmarkStart w:id="519" w:name="_Toc142311040"/>
      <w:bookmarkStart w:id="520" w:name="_Toc150774638"/>
      <w:bookmarkStart w:id="521" w:name="_Toc151193926"/>
      <w:bookmarkStart w:id="522" w:name="_Toc150509289"/>
      <w:bookmarkStart w:id="523" w:name="_Toc150774743"/>
      <w:bookmarkStart w:id="524" w:name="_Toc195842903"/>
      <w:bookmarkStart w:id="525" w:name="_Toc305158880"/>
      <w:bookmarkStart w:id="526" w:name="_Toc151190165"/>
      <w:bookmarkStart w:id="527" w:name="_Toc264969228"/>
      <w:bookmarkStart w:id="528" w:name="_Toc151193636"/>
      <w:bookmarkStart w:id="529" w:name="_Toc226965811"/>
      <w:bookmarkStart w:id="530" w:name="_Toc151193708"/>
      <w:bookmarkStart w:id="531" w:name="_Toc226965728"/>
      <w:bookmarkStart w:id="532" w:name="_Toc151193780"/>
      <w:bookmarkStart w:id="533" w:name="_Toc150480776"/>
      <w:bookmarkStart w:id="534" w:name="_Toc151193852"/>
      <w:bookmarkStart w:id="535" w:name="_Toc226309782"/>
      <w:bookmarkStart w:id="536" w:name="_Toc127151538"/>
      <w:bookmarkStart w:id="537" w:name="_Toc226337234"/>
      <w:r>
        <w:rPr>
          <w:rFonts w:ascii="Times New Roman" w:hAnsi="Times New Roman" w:eastAsia="宋体"/>
          <w:color w:val="auto"/>
          <w:sz w:val="28"/>
          <w:highlight w:val="none"/>
        </w:rPr>
        <w:t>五   开标、资格审查及评标</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7AFFC357">
      <w:pPr>
        <w:numPr>
          <w:ilvl w:val="0"/>
          <w:numId w:val="8"/>
        </w:numPr>
        <w:tabs>
          <w:tab w:val="left" w:pos="360"/>
        </w:tabs>
        <w:snapToGrid w:val="0"/>
        <w:spacing w:line="360" w:lineRule="auto"/>
        <w:ind w:left="357" w:hanging="357"/>
        <w:outlineLvl w:val="1"/>
        <w:rPr>
          <w:color w:val="auto"/>
          <w:sz w:val="24"/>
          <w:highlight w:val="none"/>
        </w:rPr>
      </w:pPr>
      <w:bookmarkStart w:id="538" w:name="_Toc264969229"/>
      <w:bookmarkStart w:id="539" w:name="_Toc149720832"/>
      <w:bookmarkStart w:id="540" w:name="_Toc226337235"/>
      <w:bookmarkStart w:id="541" w:name="_Toc195842904"/>
      <w:bookmarkStart w:id="542" w:name="_Toc151190166"/>
      <w:bookmarkStart w:id="543" w:name="_Toc151193781"/>
      <w:bookmarkStart w:id="544" w:name="_Toc142311041"/>
      <w:bookmarkStart w:id="545" w:name="_Toc127151740"/>
      <w:bookmarkStart w:id="546" w:name="_Toc127151539"/>
      <w:bookmarkStart w:id="547" w:name="_Toc164608808"/>
      <w:bookmarkStart w:id="548" w:name="_Toc305158807"/>
      <w:bookmarkStart w:id="549" w:name="_Toc150480777"/>
      <w:bookmarkStart w:id="550" w:name="_Toc265228377"/>
      <w:bookmarkStart w:id="551" w:name="_Toc151193637"/>
      <w:bookmarkStart w:id="552" w:name="_Toc150774744"/>
      <w:bookmarkStart w:id="553" w:name="_Toc520356164"/>
      <w:bookmarkStart w:id="554" w:name="_Toc150774639"/>
      <w:bookmarkStart w:id="555" w:name="_Toc164229234"/>
      <w:bookmarkStart w:id="556" w:name="_Toc305158881"/>
      <w:bookmarkStart w:id="557" w:name="_Toc127161453"/>
      <w:bookmarkStart w:id="558" w:name="_Toc150509290"/>
      <w:bookmarkStart w:id="559" w:name="_Toc226309783"/>
      <w:bookmarkStart w:id="560" w:name="_Toc226965812"/>
      <w:bookmarkStart w:id="561" w:name="_Toc164229380"/>
      <w:bookmarkStart w:id="562" w:name="_Toc151193853"/>
      <w:bookmarkStart w:id="563" w:name="_Toc151193927"/>
      <w:bookmarkStart w:id="564" w:name="_Toc226965729"/>
      <w:bookmarkStart w:id="565" w:name="_Toc164351633"/>
      <w:bookmarkStart w:id="566" w:name="_Toc151193709"/>
      <w:bookmarkStart w:id="567" w:name="_Toc164608653"/>
      <w:r>
        <w:rPr>
          <w:color w:val="auto"/>
          <w:sz w:val="24"/>
          <w:highlight w:val="none"/>
        </w:rPr>
        <w:t>开标</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517CF58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07E0566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w:t>
      </w:r>
      <w:r>
        <w:rPr>
          <w:rFonts w:eastAsiaTheme="minorEastAsia"/>
          <w:color w:val="auto"/>
          <w:sz w:val="24"/>
          <w:highlight w:val="none"/>
        </w:rPr>
        <w:t>北京市政府采购</w:t>
      </w:r>
      <w:r>
        <w:rPr>
          <w:color w:val="auto"/>
          <w:sz w:val="24"/>
          <w:highlight w:val="none"/>
        </w:rPr>
        <w:t>电子交易平台。投标人应在</w:t>
      </w:r>
      <w:bookmarkStart w:id="568" w:name="_Hlk167284562"/>
      <w:r>
        <w:rPr>
          <w:color w:val="auto"/>
          <w:sz w:val="24"/>
          <w:highlight w:val="none"/>
        </w:rPr>
        <w:t>《投标人须知资料表》</w:t>
      </w:r>
      <w:bookmarkEnd w:id="568"/>
      <w:r>
        <w:rPr>
          <w:color w:val="auto"/>
          <w:sz w:val="24"/>
          <w:highlight w:val="none"/>
        </w:rPr>
        <w:t>规定的时间内对投标文件进行解密，因非系统原因导致的解密失败，视为</w:t>
      </w:r>
      <w:r>
        <w:rPr>
          <w:b/>
          <w:color w:val="auto"/>
          <w:sz w:val="24"/>
          <w:highlight w:val="none"/>
        </w:rPr>
        <w:t>投标无效</w:t>
      </w:r>
      <w:r>
        <w:rPr>
          <w:color w:val="auto"/>
          <w:sz w:val="24"/>
          <w:highlight w:val="none"/>
        </w:rPr>
        <w:t>。</w:t>
      </w:r>
    </w:p>
    <w:p w14:paraId="714C5C9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开标过程将使用电子交易平台宣布投标人名称、投标价格和招标文件规定的需要宣布的其他内容并进行记录，并由参加开标的各投标人确认</w:t>
      </w:r>
      <w:bookmarkStart w:id="569" w:name="_Toc520356165"/>
      <w:r>
        <w:rPr>
          <w:color w:val="auto"/>
          <w:sz w:val="24"/>
          <w:highlight w:val="none"/>
        </w:rPr>
        <w:t>。</w:t>
      </w:r>
      <w:bookmarkStart w:id="570" w:name="_Hlk143533942"/>
      <w:r>
        <w:rPr>
          <w:color w:val="auto"/>
          <w:sz w:val="24"/>
          <w:highlight w:val="none"/>
        </w:rPr>
        <w:t>投标人未在规定时间内提出疑义或确认一览表的，视同认可开标结果。</w:t>
      </w:r>
      <w:bookmarkEnd w:id="570"/>
    </w:p>
    <w:p w14:paraId="6A89C32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091CC8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573D631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345C722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69"/>
    <w:p w14:paraId="5D7854CD">
      <w:pPr>
        <w:numPr>
          <w:ilvl w:val="0"/>
          <w:numId w:val="8"/>
        </w:numPr>
        <w:tabs>
          <w:tab w:val="left" w:pos="360"/>
        </w:tabs>
        <w:snapToGrid w:val="0"/>
        <w:spacing w:line="360" w:lineRule="auto"/>
        <w:ind w:left="357" w:hanging="357"/>
        <w:outlineLvl w:val="1"/>
        <w:rPr>
          <w:color w:val="auto"/>
          <w:sz w:val="24"/>
          <w:highlight w:val="none"/>
        </w:rPr>
      </w:pPr>
      <w:bookmarkStart w:id="571" w:name="_Toc226965813"/>
      <w:bookmarkStart w:id="572" w:name="_Toc142311042"/>
      <w:bookmarkStart w:id="573" w:name="_Toc151193928"/>
      <w:bookmarkStart w:id="574" w:name="_Toc127151540"/>
      <w:bookmarkStart w:id="575" w:name="_Toc151193638"/>
      <w:bookmarkStart w:id="576" w:name="_Toc151193782"/>
      <w:bookmarkStart w:id="577" w:name="_Toc305158882"/>
      <w:bookmarkStart w:id="578" w:name="_Toc151193854"/>
      <w:bookmarkStart w:id="579" w:name="_Toc150774745"/>
      <w:bookmarkStart w:id="580" w:name="_Toc195842905"/>
      <w:bookmarkStart w:id="581" w:name="_Toc164229235"/>
      <w:bookmarkStart w:id="582" w:name="_Toc226309784"/>
      <w:bookmarkStart w:id="583" w:name="_Toc164351634"/>
      <w:bookmarkStart w:id="584" w:name="_Toc127151741"/>
      <w:bookmarkStart w:id="585" w:name="_Toc305158808"/>
      <w:bookmarkStart w:id="586" w:name="_Toc151193710"/>
      <w:bookmarkStart w:id="587" w:name="_Toc149720833"/>
      <w:bookmarkStart w:id="588" w:name="_Toc164229381"/>
      <w:bookmarkStart w:id="589" w:name="_Toc264969230"/>
      <w:bookmarkStart w:id="590" w:name="_Toc226337236"/>
      <w:bookmarkStart w:id="591" w:name="_Toc164608809"/>
      <w:bookmarkStart w:id="592" w:name="_Toc265228378"/>
      <w:bookmarkStart w:id="593" w:name="_Toc164608654"/>
      <w:bookmarkStart w:id="594" w:name="_Toc151190167"/>
      <w:bookmarkStart w:id="595" w:name="_Toc150509291"/>
      <w:bookmarkStart w:id="596" w:name="_Toc150480778"/>
      <w:bookmarkStart w:id="597" w:name="_Toc226965730"/>
      <w:bookmarkStart w:id="598" w:name="_Toc127161454"/>
      <w:bookmarkStart w:id="599" w:name="_Toc150774640"/>
      <w:r>
        <w:rPr>
          <w:color w:val="auto"/>
          <w:sz w:val="24"/>
          <w:highlight w:val="none"/>
        </w:rPr>
        <w:t>评标委员会</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103DAD8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600" w:name="_Toc520356166"/>
    </w:p>
    <w:p w14:paraId="6DC6307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0"/>
      <w:bookmarkStart w:id="601" w:name="_Toc520356169"/>
    </w:p>
    <w:p w14:paraId="126EEC92">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27214AA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3ADD949">
      <w:pPr>
        <w:tabs>
          <w:tab w:val="left" w:pos="360"/>
          <w:tab w:val="left" w:pos="1080"/>
        </w:tabs>
        <w:snapToGrid w:val="0"/>
        <w:spacing w:line="360" w:lineRule="auto"/>
        <w:ind w:left="1080"/>
        <w:rPr>
          <w:color w:val="auto"/>
          <w:sz w:val="24"/>
          <w:highlight w:val="none"/>
        </w:rPr>
      </w:pPr>
    </w:p>
    <w:p w14:paraId="7C323D1B">
      <w:pPr>
        <w:pStyle w:val="3"/>
        <w:spacing w:before="0" w:line="360" w:lineRule="auto"/>
        <w:rPr>
          <w:rFonts w:ascii="Times New Roman" w:hAnsi="Times New Roman" w:eastAsia="宋体"/>
          <w:color w:val="auto"/>
          <w:sz w:val="28"/>
          <w:highlight w:val="none"/>
        </w:rPr>
      </w:pPr>
      <w:bookmarkStart w:id="602" w:name="_Toc226309789"/>
      <w:bookmarkStart w:id="603" w:name="_Toc151193643"/>
      <w:bookmarkStart w:id="604" w:name="_Toc150774750"/>
      <w:bookmarkStart w:id="605" w:name="_Toc150509296"/>
      <w:bookmarkStart w:id="606" w:name="_Toc265228383"/>
      <w:bookmarkStart w:id="607" w:name="_Toc226337241"/>
      <w:bookmarkStart w:id="608" w:name="_Toc151193715"/>
      <w:bookmarkStart w:id="609" w:name="_Toc151193933"/>
      <w:bookmarkStart w:id="610" w:name="_Toc150480783"/>
      <w:bookmarkStart w:id="611" w:name="_Toc151190172"/>
      <w:bookmarkStart w:id="612" w:name="_Toc151193787"/>
      <w:bookmarkStart w:id="613" w:name="_Toc127151545"/>
      <w:bookmarkStart w:id="614" w:name="_Toc195842910"/>
      <w:bookmarkStart w:id="615" w:name="_Toc142311047"/>
      <w:bookmarkStart w:id="616" w:name="_Toc226965818"/>
      <w:bookmarkStart w:id="617" w:name="_Toc150774645"/>
      <w:bookmarkStart w:id="618" w:name="_Toc305158887"/>
      <w:bookmarkStart w:id="619" w:name="_Toc264969235"/>
      <w:bookmarkStart w:id="620" w:name="_Toc151193859"/>
      <w:bookmarkStart w:id="621" w:name="_Toc226965735"/>
      <w:bookmarkStart w:id="622" w:name="_Toc305158813"/>
      <w:r>
        <w:rPr>
          <w:rFonts w:ascii="Times New Roman" w:hAnsi="Times New Roman" w:eastAsia="宋体"/>
          <w:color w:val="auto"/>
          <w:sz w:val="28"/>
          <w:highlight w:val="none"/>
        </w:rPr>
        <w:t xml:space="preserve">六   </w:t>
      </w:r>
      <w:bookmarkEnd w:id="601"/>
      <w:r>
        <w:rPr>
          <w:rFonts w:ascii="Times New Roman" w:hAnsi="Times New Roman" w:eastAsia="宋体"/>
          <w:color w:val="auto"/>
          <w:sz w:val="28"/>
          <w:highlight w:val="none"/>
        </w:rPr>
        <w:t>确定中标</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Start w:id="623" w:name="_Toc150480785"/>
      <w:bookmarkStart w:id="624" w:name="_Toc164608661"/>
      <w:bookmarkStart w:id="625" w:name="_Toc195842912"/>
      <w:bookmarkStart w:id="626" w:name="_Toc264969237"/>
      <w:bookmarkStart w:id="627" w:name="_Toc226337243"/>
      <w:bookmarkStart w:id="628" w:name="_Toc150509298"/>
      <w:bookmarkStart w:id="629" w:name="_Toc150774752"/>
      <w:bookmarkStart w:id="630" w:name="_Toc151193789"/>
      <w:bookmarkStart w:id="631" w:name="_Toc127161461"/>
      <w:bookmarkStart w:id="632" w:name="_Toc151193645"/>
      <w:bookmarkStart w:id="633" w:name="_Toc265228385"/>
      <w:bookmarkStart w:id="634" w:name="_Toc127151748"/>
      <w:bookmarkStart w:id="635" w:name="_Toc164351641"/>
      <w:bookmarkStart w:id="636" w:name="_Toc151193935"/>
      <w:bookmarkStart w:id="637" w:name="_Toc151193717"/>
      <w:bookmarkStart w:id="638" w:name="_Toc142311049"/>
      <w:bookmarkStart w:id="639" w:name="_Toc226309791"/>
      <w:bookmarkStart w:id="640" w:name="_Toc150774647"/>
      <w:bookmarkStart w:id="641" w:name="_Toc151190174"/>
      <w:bookmarkStart w:id="642" w:name="_Toc151193861"/>
      <w:bookmarkStart w:id="643" w:name="_Toc164229388"/>
      <w:bookmarkStart w:id="644" w:name="_Toc164608816"/>
      <w:bookmarkStart w:id="645" w:name="_Toc305158815"/>
      <w:bookmarkStart w:id="646" w:name="_Toc226965820"/>
      <w:bookmarkStart w:id="647" w:name="_Toc305158889"/>
      <w:bookmarkStart w:id="648" w:name="_Toc226965737"/>
      <w:bookmarkStart w:id="649" w:name="_Toc149720840"/>
      <w:bookmarkStart w:id="650" w:name="_Toc164229242"/>
      <w:bookmarkStart w:id="651" w:name="_Toc127151547"/>
    </w:p>
    <w:p w14:paraId="68E9527D">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5F8432B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auto"/>
          <w:sz w:val="24"/>
          <w:highlight w:val="none"/>
        </w:rPr>
        <w:t>采购人是否</w:t>
      </w:r>
      <w:r>
        <w:rPr>
          <w:color w:val="auto"/>
          <w:sz w:val="24"/>
          <w:highlight w:val="none"/>
        </w:rPr>
        <w:t>委托评标委员会</w:t>
      </w:r>
      <w:r>
        <w:rPr>
          <w:rFonts w:eastAsiaTheme="minorEastAsia"/>
          <w:color w:val="auto"/>
          <w:sz w:val="24"/>
          <w:highlight w:val="none"/>
        </w:rPr>
        <w:t>直接确定中标人，见《投标人须知资料表》。中标候选人并列的，按照《投标人须知资料表》要求确定中标人。</w:t>
      </w:r>
    </w:p>
    <w:p w14:paraId="077AD823">
      <w:pPr>
        <w:numPr>
          <w:ilvl w:val="0"/>
          <w:numId w:val="8"/>
        </w:numPr>
        <w:tabs>
          <w:tab w:val="left" w:pos="360"/>
        </w:tabs>
        <w:snapToGrid w:val="0"/>
        <w:spacing w:line="360" w:lineRule="auto"/>
        <w:ind w:left="357" w:hanging="357"/>
        <w:outlineLvl w:val="1"/>
        <w:rPr>
          <w:color w:val="auto"/>
          <w:sz w:val="24"/>
          <w:highlight w:val="none"/>
        </w:rPr>
      </w:pPr>
      <w:bookmarkStart w:id="652" w:name="_Toc305158891"/>
      <w:bookmarkStart w:id="653" w:name="_Toc305158817"/>
      <w:bookmarkStart w:id="654" w:name="_Toc151193937"/>
      <w:bookmarkStart w:id="655" w:name="_Toc151190176"/>
      <w:bookmarkStart w:id="656" w:name="_Toc150774754"/>
      <w:bookmarkStart w:id="657" w:name="_Toc164229244"/>
      <w:bookmarkStart w:id="658" w:name="_Toc265228387"/>
      <w:bookmarkStart w:id="659" w:name="_Toc226965739"/>
      <w:bookmarkStart w:id="660" w:name="_Toc164229390"/>
      <w:bookmarkStart w:id="661" w:name="_Toc151193719"/>
      <w:bookmarkStart w:id="662" w:name="_Toc264969239"/>
      <w:bookmarkStart w:id="663" w:name="_Toc151193863"/>
      <w:bookmarkStart w:id="664" w:name="_Toc151193791"/>
      <w:bookmarkStart w:id="665" w:name="_Toc226309793"/>
      <w:bookmarkStart w:id="666" w:name="_Toc127151750"/>
      <w:bookmarkStart w:id="667" w:name="_Toc150774649"/>
      <w:bookmarkStart w:id="668" w:name="_Toc226965822"/>
      <w:bookmarkStart w:id="669" w:name="_Toc164351643"/>
      <w:bookmarkStart w:id="670" w:name="_Toc150480787"/>
      <w:bookmarkStart w:id="671" w:name="_Toc149720842"/>
      <w:bookmarkStart w:id="672" w:name="_Toc195842914"/>
      <w:bookmarkStart w:id="673" w:name="_Toc127161463"/>
      <w:bookmarkStart w:id="674" w:name="_Toc127151549"/>
      <w:bookmarkStart w:id="675" w:name="_Toc226337245"/>
      <w:bookmarkStart w:id="676" w:name="_Toc150509300"/>
      <w:bookmarkStart w:id="677" w:name="_Toc151193647"/>
      <w:bookmarkStart w:id="678" w:name="_Toc142311051"/>
      <w:bookmarkStart w:id="679" w:name="_Toc164608818"/>
      <w:bookmarkStart w:id="680" w:name="_Toc164608663"/>
      <w:bookmarkStart w:id="681" w:name="_Ref467306425"/>
      <w:bookmarkStart w:id="682" w:name="_Toc520356176"/>
      <w:bookmarkStart w:id="683" w:name="_Ref467307090"/>
      <w:r>
        <w:rPr>
          <w:color w:val="auto"/>
          <w:sz w:val="24"/>
          <w:highlight w:val="none"/>
        </w:rPr>
        <w:t>中标公告与中标通知书</w:t>
      </w:r>
      <w:bookmarkEnd w:id="652"/>
      <w:bookmarkEnd w:id="653"/>
    </w:p>
    <w:p w14:paraId="3B93DCF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在北京市政府采购网公告中标结果</w:t>
      </w:r>
      <w:r>
        <w:rPr>
          <w:color w:val="auto"/>
          <w:sz w:val="24"/>
          <w:highlight w:val="none"/>
        </w:rPr>
        <w:t>，同时向中标人发出中标通知书，中标公告期限为1个工作日。</w:t>
      </w:r>
    </w:p>
    <w:p w14:paraId="5A9B8C1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7AA1D7C6">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4149AEF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171208EC">
      <w:pPr>
        <w:numPr>
          <w:ilvl w:val="2"/>
          <w:numId w:val="8"/>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06C9C1C1">
      <w:pPr>
        <w:numPr>
          <w:ilvl w:val="2"/>
          <w:numId w:val="8"/>
        </w:numPr>
        <w:snapToGrid w:val="0"/>
        <w:spacing w:line="360" w:lineRule="auto"/>
        <w:rPr>
          <w:color w:val="auto"/>
          <w:sz w:val="24"/>
          <w:highlight w:val="none"/>
        </w:rPr>
      </w:pPr>
      <w:r>
        <w:rPr>
          <w:color w:val="auto"/>
          <w:sz w:val="24"/>
          <w:highlight w:val="none"/>
        </w:rPr>
        <w:t>出现影响采购公正的违法、违规行为的；</w:t>
      </w:r>
    </w:p>
    <w:p w14:paraId="49345BF6">
      <w:pPr>
        <w:numPr>
          <w:ilvl w:val="2"/>
          <w:numId w:val="8"/>
        </w:numPr>
        <w:snapToGrid w:val="0"/>
        <w:spacing w:line="360" w:lineRule="auto"/>
        <w:rPr>
          <w:color w:val="auto"/>
          <w:sz w:val="24"/>
          <w:highlight w:val="none"/>
        </w:rPr>
      </w:pPr>
      <w:r>
        <w:rPr>
          <w:color w:val="auto"/>
          <w:sz w:val="24"/>
          <w:highlight w:val="none"/>
        </w:rPr>
        <w:t>投标人的报价均超过了采购预算，采购人不能支付的；</w:t>
      </w:r>
    </w:p>
    <w:p w14:paraId="4237768B">
      <w:pPr>
        <w:numPr>
          <w:ilvl w:val="2"/>
          <w:numId w:val="8"/>
        </w:numPr>
        <w:snapToGrid w:val="0"/>
        <w:spacing w:line="360" w:lineRule="auto"/>
        <w:rPr>
          <w:color w:val="auto"/>
          <w:sz w:val="24"/>
          <w:highlight w:val="none"/>
        </w:rPr>
      </w:pPr>
      <w:r>
        <w:rPr>
          <w:color w:val="auto"/>
          <w:sz w:val="24"/>
          <w:highlight w:val="none"/>
        </w:rPr>
        <w:t>因重大变故，采购任务取消的。</w:t>
      </w:r>
    </w:p>
    <w:p w14:paraId="316CDCE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14:paraId="38A81176">
      <w:pPr>
        <w:numPr>
          <w:ilvl w:val="0"/>
          <w:numId w:val="8"/>
        </w:numPr>
        <w:tabs>
          <w:tab w:val="left" w:pos="360"/>
        </w:tabs>
        <w:snapToGrid w:val="0"/>
        <w:spacing w:line="360" w:lineRule="auto"/>
        <w:ind w:left="357" w:hanging="357"/>
        <w:outlineLvl w:val="1"/>
        <w:rPr>
          <w:color w:val="auto"/>
          <w:sz w:val="24"/>
          <w:highlight w:val="none"/>
        </w:rPr>
      </w:pPr>
      <w:bookmarkStart w:id="684" w:name="_Toc150774650"/>
      <w:bookmarkStart w:id="685" w:name="_Toc127151550"/>
      <w:bookmarkStart w:id="686" w:name="_Ref467306377"/>
      <w:bookmarkStart w:id="687" w:name="_Ref467306978"/>
      <w:bookmarkStart w:id="688" w:name="_Toc305158818"/>
      <w:bookmarkStart w:id="689" w:name="_Toc164608819"/>
      <w:bookmarkStart w:id="690" w:name="_Toc142311052"/>
      <w:bookmarkStart w:id="691" w:name="_Ref467307062"/>
      <w:bookmarkStart w:id="692" w:name="_Toc151193864"/>
      <w:bookmarkStart w:id="693" w:name="_Toc151193792"/>
      <w:bookmarkStart w:id="694" w:name="_Toc164351644"/>
      <w:bookmarkStart w:id="695" w:name="_Toc127151751"/>
      <w:bookmarkStart w:id="696" w:name="_Toc520356175"/>
      <w:bookmarkStart w:id="697" w:name="_Toc164229245"/>
      <w:bookmarkStart w:id="698" w:name="_Toc226965823"/>
      <w:bookmarkStart w:id="699" w:name="_Toc150480788"/>
      <w:bookmarkStart w:id="700" w:name="_Toc151193648"/>
      <w:bookmarkStart w:id="701" w:name="_Toc305158892"/>
      <w:bookmarkStart w:id="702" w:name="_Toc149720843"/>
      <w:bookmarkStart w:id="703" w:name="_Toc226309794"/>
      <w:bookmarkStart w:id="704" w:name="_Toc164608664"/>
      <w:bookmarkStart w:id="705" w:name="_Toc151190177"/>
      <w:bookmarkStart w:id="706" w:name="_Toc226337246"/>
      <w:bookmarkStart w:id="707" w:name="_Toc164229391"/>
      <w:bookmarkStart w:id="708" w:name="_Toc264969240"/>
      <w:bookmarkStart w:id="709" w:name="_Toc127161464"/>
      <w:bookmarkStart w:id="710" w:name="_Toc150774755"/>
      <w:bookmarkStart w:id="711" w:name="_Toc195842915"/>
      <w:bookmarkStart w:id="712" w:name="_Toc151193720"/>
      <w:bookmarkStart w:id="713" w:name="_Toc150509301"/>
      <w:bookmarkStart w:id="714" w:name="_Ref467307204"/>
      <w:bookmarkStart w:id="715" w:name="_Toc151193938"/>
      <w:bookmarkStart w:id="716" w:name="_Toc265228388"/>
      <w:bookmarkStart w:id="717" w:name="_Toc226965740"/>
      <w:r>
        <w:rPr>
          <w:color w:val="auto"/>
          <w:sz w:val="24"/>
          <w:highlight w:val="none"/>
        </w:rPr>
        <w:t>签订合同</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12E680E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5B6D29E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018BD6A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15CC5F1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5FB0D6D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p w14:paraId="6D581AE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“政采贷”融资指引：详见</w:t>
      </w:r>
      <w:r>
        <w:rPr>
          <w:rFonts w:eastAsiaTheme="minorEastAsia"/>
          <w:color w:val="auto"/>
          <w:sz w:val="24"/>
          <w:highlight w:val="none"/>
        </w:rPr>
        <w:t>《投标人须知资料表》。</w:t>
      </w:r>
    </w:p>
    <w:bookmarkEnd w:id="681"/>
    <w:bookmarkEnd w:id="682"/>
    <w:bookmarkEnd w:id="683"/>
    <w:p w14:paraId="5175302D">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0FC6040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35A64F68">
      <w:pPr>
        <w:numPr>
          <w:ilvl w:val="2"/>
          <w:numId w:val="8"/>
        </w:numPr>
        <w:snapToGrid w:val="0"/>
        <w:spacing w:line="360" w:lineRule="auto"/>
        <w:rPr>
          <w:color w:val="auto"/>
          <w:sz w:val="24"/>
          <w:highlight w:val="none"/>
        </w:rPr>
      </w:pPr>
      <w:bookmarkStart w:id="718" w:name="_Hlk179293370"/>
      <w:r>
        <w:rPr>
          <w:color w:val="auto"/>
          <w:sz w:val="24"/>
          <w:highlight w:val="none"/>
        </w:rPr>
        <w:t>投标人对政府采购活动事项有疑问的，可依法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《投标人须知资料表》。</w:t>
      </w:r>
      <w:bookmarkEnd w:id="718"/>
    </w:p>
    <w:p w14:paraId="2616CC0A">
      <w:pPr>
        <w:numPr>
          <w:ilvl w:val="2"/>
          <w:numId w:val="8"/>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35C9359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14:paraId="33A84CAB">
      <w:pPr>
        <w:numPr>
          <w:ilvl w:val="2"/>
          <w:numId w:val="8"/>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6EC128EA">
      <w:pPr>
        <w:numPr>
          <w:ilvl w:val="2"/>
          <w:numId w:val="8"/>
        </w:numPr>
        <w:snapToGrid w:val="0"/>
        <w:spacing w:line="360" w:lineRule="auto"/>
        <w:rPr>
          <w:color w:val="auto"/>
          <w:sz w:val="24"/>
          <w:highlight w:val="none"/>
        </w:rPr>
      </w:pPr>
      <w:r>
        <w:rPr>
          <w:color w:val="auto"/>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62686CCF">
      <w:pPr>
        <w:numPr>
          <w:ilvl w:val="2"/>
          <w:numId w:val="8"/>
        </w:numPr>
        <w:snapToGrid w:val="0"/>
        <w:spacing w:line="360" w:lineRule="auto"/>
        <w:rPr>
          <w:color w:val="auto"/>
          <w:sz w:val="24"/>
          <w:highlight w:val="none"/>
        </w:rPr>
      </w:pPr>
      <w:r>
        <w:rPr>
          <w:color w:val="auto"/>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E6C43BA">
      <w:pPr>
        <w:numPr>
          <w:ilvl w:val="2"/>
          <w:numId w:val="8"/>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1A76AB1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p>
    <w:p w14:paraId="0971DEBA">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14:paraId="1744B320">
      <w:pPr>
        <w:numPr>
          <w:ilvl w:val="1"/>
          <w:numId w:val="0"/>
        </w:numPr>
        <w:tabs>
          <w:tab w:val="left" w:pos="1080"/>
          <w:tab w:val="left" w:pos="2014"/>
        </w:tabs>
        <w:snapToGrid w:val="0"/>
        <w:spacing w:line="360" w:lineRule="auto"/>
        <w:ind w:left="1077" w:hanging="720"/>
        <w:rPr>
          <w:rFonts w:hint="eastAsia" w:ascii="宋体" w:hAnsi="宋体" w:eastAsia="宋体" w:cs="宋体"/>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10AC1B77">
      <w:pPr>
        <w:tabs>
          <w:tab w:val="left" w:pos="900"/>
          <w:tab w:val="left" w:pos="1080"/>
          <w:tab w:val="left" w:pos="1589"/>
        </w:tabs>
        <w:snapToGrid w:val="0"/>
        <w:spacing w:line="360" w:lineRule="auto"/>
        <w:rPr>
          <w:rFonts w:hint="eastAsia" w:ascii="宋体" w:hAnsi="宋体" w:eastAsia="宋体" w:cs="宋体"/>
          <w:color w:val="auto"/>
          <w:sz w:val="24"/>
          <w:highlight w:val="none"/>
        </w:rPr>
      </w:pPr>
    </w:p>
    <w:p w14:paraId="3B3779C1">
      <w:pPr>
        <w:tabs>
          <w:tab w:val="left" w:pos="360"/>
          <w:tab w:val="left" w:pos="1080"/>
        </w:tabs>
        <w:snapToGrid w:val="0"/>
        <w:spacing w:line="360" w:lineRule="auto"/>
        <w:ind w:left="360"/>
        <w:rPr>
          <w:rFonts w:hint="eastAsia" w:ascii="宋体" w:hAnsi="宋体" w:eastAsia="宋体" w:cs="宋体"/>
          <w:color w:val="auto"/>
          <w:sz w:val="24"/>
          <w:highlight w:val="none"/>
        </w:rPr>
      </w:pPr>
    </w:p>
    <w:p w14:paraId="777831AE">
      <w:pPr>
        <w:spacing w:line="360" w:lineRule="auto"/>
        <w:jc w:val="center"/>
        <w:outlineLvl w:val="0"/>
        <w:rPr>
          <w:rFonts w:hint="eastAsia" w:ascii="宋体" w:hAnsi="宋体" w:eastAsia="宋体" w:cs="宋体"/>
          <w:b/>
          <w:color w:val="auto"/>
          <w:sz w:val="36"/>
          <w:szCs w:val="36"/>
          <w:highlight w:val="none"/>
        </w:rPr>
      </w:pPr>
      <w:bookmarkStart w:id="719" w:name="_Toc150480792"/>
      <w:bookmarkStart w:id="720" w:name="_Toc127151554"/>
      <w:bookmarkStart w:id="721" w:name="_Toc226337250"/>
      <w:bookmarkStart w:id="722" w:name="_Toc305158896"/>
      <w:bookmarkStart w:id="723" w:name="_Toc305158822"/>
      <w:bookmarkStart w:id="724" w:name="_Toc353825544"/>
      <w:bookmarkStart w:id="725" w:name="_Toc142311056"/>
      <w:bookmarkStart w:id="726" w:name="_Toc150774759"/>
      <w:bookmarkStart w:id="727" w:name="_Toc264969244"/>
      <w:bookmarkStart w:id="728" w:name="_Toc353873934"/>
      <w:bookmarkStart w:id="729" w:name="_Toc226965827"/>
      <w:bookmarkStart w:id="730" w:name="_Toc353873664"/>
      <w:bookmarkStart w:id="731" w:name="_Toc265228392"/>
      <w:r>
        <w:rPr>
          <w:rFonts w:hint="eastAsia" w:ascii="宋体" w:hAnsi="宋体" w:eastAsia="宋体" w:cs="宋体"/>
          <w:color w:val="auto"/>
          <w:sz w:val="24"/>
          <w:highlight w:val="none"/>
        </w:rPr>
        <w:br w:type="page"/>
      </w:r>
      <w:bookmarkStart w:id="732" w:name="_Toc12984"/>
      <w:r>
        <w:rPr>
          <w:rFonts w:hint="eastAsia" w:ascii="宋体" w:hAnsi="宋体" w:eastAsia="宋体" w:cs="宋体"/>
          <w:b/>
          <w:color w:val="auto"/>
          <w:sz w:val="36"/>
          <w:szCs w:val="36"/>
          <w:highlight w:val="none"/>
        </w:rPr>
        <w:t xml:space="preserve">第三章   </w:t>
      </w:r>
      <w:bookmarkEnd w:id="719"/>
      <w:bookmarkEnd w:id="720"/>
      <w:bookmarkEnd w:id="721"/>
      <w:bookmarkEnd w:id="722"/>
      <w:bookmarkEnd w:id="723"/>
      <w:bookmarkEnd w:id="724"/>
      <w:bookmarkEnd w:id="725"/>
      <w:bookmarkEnd w:id="726"/>
      <w:bookmarkEnd w:id="727"/>
      <w:bookmarkEnd w:id="728"/>
      <w:bookmarkEnd w:id="729"/>
      <w:bookmarkEnd w:id="730"/>
      <w:bookmarkEnd w:id="731"/>
      <w:r>
        <w:rPr>
          <w:rFonts w:hint="eastAsia" w:ascii="宋体" w:hAnsi="宋体" w:eastAsia="宋体" w:cs="宋体"/>
          <w:b/>
          <w:color w:val="auto"/>
          <w:sz w:val="36"/>
          <w:szCs w:val="36"/>
          <w:highlight w:val="none"/>
        </w:rPr>
        <w:t>资格审查</w:t>
      </w:r>
      <w:bookmarkEnd w:id="732"/>
      <w:bookmarkStart w:id="733" w:name="_Toc487900382"/>
    </w:p>
    <w:p w14:paraId="1B4C4102">
      <w:pPr>
        <w:tabs>
          <w:tab w:val="left" w:pos="360"/>
          <w:tab w:val="left" w:pos="900"/>
        </w:tabs>
        <w:snapToGrid w:val="0"/>
        <w:spacing w:line="360" w:lineRule="auto"/>
        <w:jc w:val="center"/>
        <w:outlineLvl w:val="1"/>
        <w:rPr>
          <w:rFonts w:hint="eastAsia" w:ascii="宋体" w:hAnsi="宋体" w:eastAsia="宋体" w:cs="宋体"/>
          <w:b/>
          <w:color w:val="auto"/>
          <w:sz w:val="24"/>
          <w:highlight w:val="none"/>
        </w:rPr>
      </w:pPr>
      <w:bookmarkStart w:id="734" w:name="_Toc99301422"/>
      <w:r>
        <w:rPr>
          <w:rFonts w:hint="eastAsia" w:ascii="宋体" w:hAnsi="宋体" w:eastAsia="宋体" w:cs="宋体"/>
          <w:b/>
          <w:color w:val="auto"/>
          <w:sz w:val="24"/>
          <w:highlight w:val="none"/>
        </w:rPr>
        <w:t>一、资格审查程序</w:t>
      </w:r>
      <w:bookmarkEnd w:id="734"/>
    </w:p>
    <w:p w14:paraId="063ECDC8">
      <w:pPr>
        <w:tabs>
          <w:tab w:val="left" w:pos="426"/>
          <w:tab w:val="left" w:pos="851"/>
        </w:tabs>
        <w:snapToGrid w:val="0"/>
        <w:spacing w:line="360" w:lineRule="auto"/>
        <w:ind w:left="426" w:hanging="426"/>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1  开标结束后，采购人或采购代理机构将根据《资格审查要求》中的规定，对投标人进行资格审查，并形成资格审查结果。</w:t>
      </w:r>
    </w:p>
    <w:p w14:paraId="713A75B1">
      <w:pPr>
        <w:tabs>
          <w:tab w:val="left" w:pos="426"/>
          <w:tab w:val="left" w:pos="851"/>
        </w:tabs>
        <w:snapToGrid w:val="0"/>
        <w:spacing w:line="360" w:lineRule="auto"/>
        <w:ind w:left="426" w:hanging="426"/>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2  《资格审查要求》中对格式有要求的，除招标文件另有规定外，均为“实质性格式”文件。</w:t>
      </w:r>
    </w:p>
    <w:p w14:paraId="474068BD">
      <w:pPr>
        <w:tabs>
          <w:tab w:val="left" w:pos="426"/>
          <w:tab w:val="left" w:pos="851"/>
        </w:tabs>
        <w:snapToGrid w:val="0"/>
        <w:spacing w:line="360" w:lineRule="auto"/>
        <w:ind w:left="426" w:hanging="426"/>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3  投标人《资格证明文件》有任何一项不符合《资格审查要求》的，资格审查不合格，其</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04757B2C">
      <w:pPr>
        <w:tabs>
          <w:tab w:val="left" w:pos="426"/>
          <w:tab w:val="left" w:pos="851"/>
        </w:tabs>
        <w:snapToGrid w:val="0"/>
        <w:spacing w:line="360" w:lineRule="auto"/>
        <w:ind w:left="426" w:hanging="426"/>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4  资格审查合格的投标人不足3家的，不进行评标。</w:t>
      </w:r>
    </w:p>
    <w:p w14:paraId="0CE96D02">
      <w:pPr>
        <w:tabs>
          <w:tab w:val="left" w:pos="360"/>
          <w:tab w:val="left" w:pos="900"/>
        </w:tabs>
        <w:snapToGrid w:val="0"/>
        <w:spacing w:line="360" w:lineRule="auto"/>
        <w:jc w:val="center"/>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二、资格审查要求</w:t>
      </w:r>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33"/>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819"/>
        <w:gridCol w:w="4426"/>
        <w:gridCol w:w="1505"/>
      </w:tblGrid>
      <w:tr w14:paraId="74829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3" w:type="pct"/>
            <w:vAlign w:val="center"/>
          </w:tcPr>
          <w:p w14:paraId="063D28E4">
            <w:pPr>
              <w:tabs>
                <w:tab w:val="left" w:pos="1080"/>
              </w:tabs>
              <w:snapToGrid w:val="0"/>
              <w:jc w:val="center"/>
              <w:rPr>
                <w:rFonts w:hint="eastAsia" w:ascii="宋体" w:hAnsi="宋体" w:eastAsia="宋体" w:cs="宋体"/>
                <w:b/>
                <w:color w:val="auto"/>
                <w:sz w:val="24"/>
                <w:highlight w:val="none"/>
              </w:rPr>
            </w:pPr>
            <w:bookmarkStart w:id="735" w:name="_Hlt487972895"/>
            <w:bookmarkEnd w:id="735"/>
            <w:bookmarkStart w:id="736" w:name="_Toc127161490"/>
            <w:bookmarkStart w:id="737" w:name="_Toc353825550"/>
            <w:bookmarkStart w:id="738" w:name="_Toc127151779"/>
            <w:bookmarkStart w:id="739" w:name="_Toc353873940"/>
            <w:bookmarkStart w:id="740" w:name="_Toc226965858"/>
            <w:bookmarkStart w:id="741" w:name="_Toc31376"/>
            <w:r>
              <w:rPr>
                <w:rFonts w:hint="eastAsia" w:ascii="宋体" w:hAnsi="宋体" w:eastAsia="宋体" w:cs="宋体"/>
                <w:b/>
                <w:color w:val="auto"/>
                <w:sz w:val="24"/>
                <w:highlight w:val="none"/>
              </w:rPr>
              <w:t>序号</w:t>
            </w:r>
          </w:p>
        </w:tc>
        <w:tc>
          <w:tcPr>
            <w:tcW w:w="1067" w:type="pct"/>
            <w:vAlign w:val="center"/>
          </w:tcPr>
          <w:p w14:paraId="0FDD2703">
            <w:pPr>
              <w:tabs>
                <w:tab w:val="left" w:pos="1080"/>
              </w:tabs>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审查因素</w:t>
            </w:r>
          </w:p>
        </w:tc>
        <w:tc>
          <w:tcPr>
            <w:tcW w:w="2596" w:type="pct"/>
            <w:vAlign w:val="center"/>
          </w:tcPr>
          <w:p w14:paraId="30AE17CB">
            <w:pPr>
              <w:tabs>
                <w:tab w:val="left" w:pos="1080"/>
              </w:tabs>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审查内容</w:t>
            </w:r>
          </w:p>
        </w:tc>
        <w:tc>
          <w:tcPr>
            <w:tcW w:w="882" w:type="pct"/>
            <w:vAlign w:val="center"/>
          </w:tcPr>
          <w:p w14:paraId="1720ACE1">
            <w:pPr>
              <w:tabs>
                <w:tab w:val="left" w:pos="1080"/>
              </w:tabs>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格式要求</w:t>
            </w:r>
          </w:p>
        </w:tc>
      </w:tr>
      <w:tr w14:paraId="54126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7B9C9BA7">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067" w:type="pct"/>
            <w:vAlign w:val="center"/>
          </w:tcPr>
          <w:p w14:paraId="7E9E0DC8">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满足《中华人民共和国政府采购法》第二十二条规定及法律法规的其他规定</w:t>
            </w:r>
          </w:p>
        </w:tc>
        <w:tc>
          <w:tcPr>
            <w:tcW w:w="2596" w:type="pct"/>
            <w:vAlign w:val="center"/>
          </w:tcPr>
          <w:p w14:paraId="7012B3A2">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具体规定见第一章《投标邀请》</w:t>
            </w:r>
          </w:p>
        </w:tc>
        <w:tc>
          <w:tcPr>
            <w:tcW w:w="882" w:type="pct"/>
            <w:vAlign w:val="center"/>
          </w:tcPr>
          <w:p w14:paraId="38A91B14">
            <w:pPr>
              <w:tabs>
                <w:tab w:val="left" w:pos="1080"/>
              </w:tabs>
              <w:snapToGrid w:val="0"/>
              <w:rPr>
                <w:rFonts w:hint="eastAsia" w:ascii="宋体" w:hAnsi="宋体" w:eastAsia="宋体" w:cs="宋体"/>
                <w:color w:val="auto"/>
                <w:sz w:val="24"/>
                <w:highlight w:val="none"/>
              </w:rPr>
            </w:pPr>
          </w:p>
        </w:tc>
      </w:tr>
      <w:tr w14:paraId="75CA1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394431A4">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1067" w:type="pct"/>
            <w:vAlign w:val="center"/>
          </w:tcPr>
          <w:p w14:paraId="459C60F9">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营业执照等证明文件</w:t>
            </w:r>
          </w:p>
        </w:tc>
        <w:tc>
          <w:tcPr>
            <w:tcW w:w="2596" w:type="pct"/>
            <w:vAlign w:val="center"/>
          </w:tcPr>
          <w:p w14:paraId="028291C2">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投标人为企业（包括合伙企业）的，应提供有效的“营业执照”；</w:t>
            </w:r>
          </w:p>
          <w:p w14:paraId="67D5FAC1">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投标人为事业单位的，应提供有效的“事业单位法人证书”；</w:t>
            </w:r>
          </w:p>
          <w:p w14:paraId="5AE78D40">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投标人是非企业机构的，应提供有效的“执业许可证”、“登记证书”等证明文件；</w:t>
            </w:r>
          </w:p>
          <w:p w14:paraId="66351CD7">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投标人是个体工商户的，应提供有效的“个体工商户营业执照”；</w:t>
            </w:r>
          </w:p>
          <w:p w14:paraId="2A3F1D72">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投标人是自然人的，应提供有效的自然人身份证明。</w:t>
            </w:r>
          </w:p>
          <w:p w14:paraId="710D5390">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化工、电力、电信等行业的分支机构，可以提供上述授权，也可以提供其所属法人/其他组织的有关文件或制度等能够证明授权其独立开展业务的证明材料。</w:t>
            </w:r>
          </w:p>
        </w:tc>
        <w:tc>
          <w:tcPr>
            <w:tcW w:w="882" w:type="pct"/>
            <w:vAlign w:val="center"/>
          </w:tcPr>
          <w:p w14:paraId="7E757CDC">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提供证明文件的电子件或电子证照并加盖电子印章。</w:t>
            </w:r>
          </w:p>
        </w:tc>
      </w:tr>
      <w:tr w14:paraId="0A4FF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7D268CB6">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1067" w:type="pct"/>
            <w:vAlign w:val="center"/>
          </w:tcPr>
          <w:p w14:paraId="01FE2FA6">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投标人资格声明书</w:t>
            </w:r>
          </w:p>
        </w:tc>
        <w:tc>
          <w:tcPr>
            <w:tcW w:w="2596" w:type="pct"/>
            <w:vAlign w:val="center"/>
          </w:tcPr>
          <w:p w14:paraId="27F5CF5D">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提供了符合招标文件要求的《投标人资格声明书》。</w:t>
            </w:r>
          </w:p>
        </w:tc>
        <w:tc>
          <w:tcPr>
            <w:tcW w:w="882" w:type="pct"/>
            <w:vAlign w:val="center"/>
          </w:tcPr>
          <w:p w14:paraId="16CFAF7F">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格式见《投标文件格式》</w:t>
            </w:r>
          </w:p>
        </w:tc>
      </w:tr>
      <w:tr w14:paraId="159CF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50235EDE">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1067" w:type="pct"/>
            <w:vAlign w:val="center"/>
          </w:tcPr>
          <w:p w14:paraId="1CD21C82">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投标人信用记录</w:t>
            </w:r>
          </w:p>
        </w:tc>
        <w:tc>
          <w:tcPr>
            <w:tcW w:w="2596" w:type="pct"/>
            <w:vAlign w:val="center"/>
          </w:tcPr>
          <w:p w14:paraId="696F2441">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查询渠道：信用中国网站和中国政府采购网（</w:t>
            </w:r>
            <w:r>
              <w:rPr>
                <w:rFonts w:hint="eastAsia" w:ascii="宋体" w:hAnsi="宋体" w:eastAsia="宋体" w:cs="宋体"/>
                <w:color w:val="auto"/>
                <w:highlight w:val="none"/>
              </w:rPr>
              <w:t>www.creditchina.gov.cn</w:t>
            </w:r>
            <w:r>
              <w:rPr>
                <w:rFonts w:hint="eastAsia" w:ascii="宋体" w:hAnsi="宋体" w:eastAsia="宋体" w:cs="宋体"/>
                <w:color w:val="auto"/>
                <w:sz w:val="24"/>
                <w:highlight w:val="none"/>
              </w:rPr>
              <w:t>、</w:t>
            </w:r>
            <w:r>
              <w:rPr>
                <w:rFonts w:hint="eastAsia" w:ascii="宋体" w:hAnsi="宋体" w:eastAsia="宋体" w:cs="宋体"/>
                <w:color w:val="auto"/>
                <w:highlight w:val="none"/>
              </w:rPr>
              <w:t>www.ccgp.gov.cn</w:t>
            </w:r>
            <w:r>
              <w:rPr>
                <w:rFonts w:hint="eastAsia" w:ascii="宋体" w:hAnsi="宋体" w:eastAsia="宋体" w:cs="宋体"/>
                <w:color w:val="auto"/>
                <w:sz w:val="24"/>
                <w:highlight w:val="none"/>
              </w:rPr>
              <w:t>）；</w:t>
            </w:r>
          </w:p>
          <w:p w14:paraId="52AE65B3">
            <w:pPr>
              <w:tabs>
                <w:tab w:val="left" w:pos="900"/>
                <w:tab w:val="left" w:pos="19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截止时</w:t>
            </w:r>
            <w:r>
              <w:rPr>
                <w:rFonts w:hint="eastAsia" w:ascii="宋体" w:hAnsi="宋体" w:cs="宋体"/>
                <w:color w:val="auto"/>
                <w:sz w:val="24"/>
                <w:highlight w:val="none"/>
                <w:lang w:val="en-US" w:eastAsia="zh-CN"/>
              </w:rPr>
              <w:t>间</w:t>
            </w:r>
            <w:r>
              <w:rPr>
                <w:rFonts w:hint="eastAsia" w:ascii="宋体" w:hAnsi="宋体" w:eastAsia="宋体" w:cs="宋体"/>
                <w:color w:val="auto"/>
                <w:sz w:val="24"/>
                <w:highlight w:val="none"/>
              </w:rPr>
              <w:t>：投标截止时间以后、资格审查阶段采购人或采购代理机构的实际查询时间；</w:t>
            </w:r>
          </w:p>
          <w:p w14:paraId="4A2245B7">
            <w:pPr>
              <w:tabs>
                <w:tab w:val="left" w:pos="900"/>
                <w:tab w:val="left" w:pos="19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信用信息查询记录和证据留存具体方式：查询结果网页打印页作为查询记录和证据，与其他采购文件一并保存；</w:t>
            </w:r>
          </w:p>
          <w:p w14:paraId="48B40678">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信用信息的使用原则：经认定的被列入失信被执行人、重大税收违法失信主体、政府采购严重违法失信行为记录名单的投标人，其</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。联合体形式投标的，联合体成员存在不良信用记录，视同联合体存在不良信用记录。</w:t>
            </w:r>
          </w:p>
        </w:tc>
        <w:tc>
          <w:tcPr>
            <w:tcW w:w="882" w:type="pct"/>
            <w:vAlign w:val="center"/>
          </w:tcPr>
          <w:p w14:paraId="38EB9A65">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无须投标人提供，由采购人或采购代理机构查询。</w:t>
            </w:r>
          </w:p>
        </w:tc>
      </w:tr>
      <w:tr w14:paraId="7E3B4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64239531">
            <w:pPr>
              <w:tabs>
                <w:tab w:val="left" w:pos="1080"/>
              </w:tabs>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p>
        </w:tc>
        <w:tc>
          <w:tcPr>
            <w:tcW w:w="1067" w:type="pct"/>
            <w:vAlign w:val="center"/>
          </w:tcPr>
          <w:p w14:paraId="20D70A70">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法律、行政法规规定的其他条件</w:t>
            </w:r>
          </w:p>
        </w:tc>
        <w:tc>
          <w:tcPr>
            <w:tcW w:w="2596" w:type="pct"/>
            <w:vAlign w:val="center"/>
          </w:tcPr>
          <w:p w14:paraId="0286F810">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法律、行政法规规定的其他条件</w:t>
            </w:r>
          </w:p>
        </w:tc>
        <w:tc>
          <w:tcPr>
            <w:tcW w:w="882" w:type="pct"/>
            <w:vAlign w:val="center"/>
          </w:tcPr>
          <w:p w14:paraId="6CE919A9">
            <w:pPr>
              <w:tabs>
                <w:tab w:val="left" w:pos="1080"/>
              </w:tabs>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r>
      <w:tr w14:paraId="60719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164E3691">
            <w:pPr>
              <w:tabs>
                <w:tab w:val="left" w:pos="1080"/>
              </w:tabs>
              <w:snapToGrid w:val="0"/>
              <w:jc w:val="center"/>
              <w:rPr>
                <w:rFonts w:hint="eastAsia" w:ascii="宋体" w:hAnsi="宋体" w:eastAsia="宋体" w:cs="宋体"/>
                <w:color w:val="auto"/>
                <w:sz w:val="24"/>
                <w:highlight w:val="none"/>
                <w:lang w:val="en-US" w:eastAsia="zh-CN"/>
              </w:rPr>
            </w:pPr>
            <w:r>
              <w:rPr>
                <w:color w:val="auto"/>
                <w:sz w:val="24"/>
                <w:highlight w:val="none"/>
              </w:rPr>
              <w:t>2</w:t>
            </w:r>
          </w:p>
        </w:tc>
        <w:tc>
          <w:tcPr>
            <w:tcW w:w="1067" w:type="pct"/>
            <w:vAlign w:val="center"/>
          </w:tcPr>
          <w:p w14:paraId="7E7154A5">
            <w:pPr>
              <w:tabs>
                <w:tab w:val="left" w:pos="1080"/>
              </w:tabs>
              <w:snapToGrid w:val="0"/>
              <w:rPr>
                <w:rFonts w:hint="eastAsia" w:ascii="宋体" w:hAnsi="宋体" w:eastAsia="宋体" w:cs="宋体"/>
                <w:color w:val="auto"/>
                <w:sz w:val="24"/>
                <w:highlight w:val="none"/>
              </w:rPr>
            </w:pPr>
            <w:r>
              <w:rPr>
                <w:color w:val="auto"/>
                <w:sz w:val="24"/>
                <w:highlight w:val="none"/>
              </w:rPr>
              <w:t>落实政府采购政策需满足的资格要求</w:t>
            </w:r>
          </w:p>
        </w:tc>
        <w:tc>
          <w:tcPr>
            <w:tcW w:w="2596" w:type="pct"/>
            <w:vAlign w:val="center"/>
          </w:tcPr>
          <w:p w14:paraId="1F6B3D0B">
            <w:pPr>
              <w:tabs>
                <w:tab w:val="left" w:pos="1080"/>
              </w:tabs>
              <w:snapToGrid w:val="0"/>
              <w:rPr>
                <w:rFonts w:hint="eastAsia" w:ascii="宋体" w:hAnsi="宋体" w:eastAsia="宋体" w:cs="宋体"/>
                <w:color w:val="auto"/>
                <w:sz w:val="24"/>
                <w:highlight w:val="none"/>
              </w:rPr>
            </w:pPr>
            <w:r>
              <w:rPr>
                <w:color w:val="auto"/>
                <w:sz w:val="24"/>
                <w:highlight w:val="none"/>
              </w:rPr>
              <w:t>具体要求见第一章《投标邀请》</w:t>
            </w:r>
          </w:p>
        </w:tc>
        <w:tc>
          <w:tcPr>
            <w:tcW w:w="882" w:type="pct"/>
            <w:vAlign w:val="center"/>
          </w:tcPr>
          <w:p w14:paraId="44BF2C91">
            <w:pPr>
              <w:tabs>
                <w:tab w:val="left" w:pos="1080"/>
              </w:tabs>
              <w:snapToGrid w:val="0"/>
              <w:rPr>
                <w:rFonts w:hint="eastAsia" w:ascii="宋体" w:hAnsi="宋体" w:eastAsia="宋体" w:cs="宋体"/>
                <w:color w:val="auto"/>
                <w:sz w:val="24"/>
                <w:highlight w:val="none"/>
              </w:rPr>
            </w:pPr>
          </w:p>
        </w:tc>
      </w:tr>
      <w:tr w14:paraId="5291B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12E0D537">
            <w:pPr>
              <w:tabs>
                <w:tab w:val="left" w:pos="1080"/>
              </w:tabs>
              <w:snapToGrid w:val="0"/>
              <w:jc w:val="center"/>
              <w:rPr>
                <w:rFonts w:hint="eastAsia" w:ascii="宋体" w:hAnsi="宋体" w:eastAsia="宋体" w:cs="宋体"/>
                <w:color w:val="auto"/>
                <w:sz w:val="24"/>
                <w:highlight w:val="none"/>
                <w:lang w:val="en-US" w:eastAsia="zh-CN"/>
              </w:rPr>
            </w:pPr>
            <w:r>
              <w:rPr>
                <w:color w:val="auto"/>
                <w:sz w:val="24"/>
                <w:highlight w:val="none"/>
              </w:rPr>
              <w:t>2-1</w:t>
            </w:r>
          </w:p>
        </w:tc>
        <w:tc>
          <w:tcPr>
            <w:tcW w:w="1067" w:type="pct"/>
            <w:vAlign w:val="center"/>
          </w:tcPr>
          <w:p w14:paraId="6525329F">
            <w:pPr>
              <w:tabs>
                <w:tab w:val="left" w:pos="1080"/>
              </w:tabs>
              <w:snapToGrid w:val="0"/>
              <w:rPr>
                <w:rFonts w:hint="eastAsia" w:ascii="宋体" w:hAnsi="宋体" w:eastAsia="宋体" w:cs="宋体"/>
                <w:color w:val="auto"/>
                <w:sz w:val="24"/>
                <w:highlight w:val="none"/>
              </w:rPr>
            </w:pPr>
            <w:r>
              <w:rPr>
                <w:color w:val="auto"/>
                <w:sz w:val="24"/>
                <w:highlight w:val="none"/>
              </w:rPr>
              <w:t>中小企业政策证明文件</w:t>
            </w:r>
          </w:p>
        </w:tc>
        <w:tc>
          <w:tcPr>
            <w:tcW w:w="2596" w:type="pct"/>
            <w:vAlign w:val="center"/>
          </w:tcPr>
          <w:p w14:paraId="790C372D">
            <w:pPr>
              <w:tabs>
                <w:tab w:val="left" w:pos="1080"/>
              </w:tabs>
              <w:snapToGrid w:val="0"/>
              <w:rPr>
                <w:rFonts w:hint="eastAsia" w:ascii="宋体" w:hAnsi="宋体" w:eastAsia="宋体" w:cs="宋体"/>
                <w:color w:val="auto"/>
                <w:sz w:val="24"/>
                <w:highlight w:val="none"/>
              </w:rPr>
            </w:pPr>
            <w:r>
              <w:rPr>
                <w:color w:val="auto"/>
                <w:sz w:val="24"/>
                <w:highlight w:val="none"/>
              </w:rPr>
              <w:t>具体要求见第一章《投标邀请》</w:t>
            </w:r>
          </w:p>
        </w:tc>
        <w:tc>
          <w:tcPr>
            <w:tcW w:w="882" w:type="pct"/>
            <w:vAlign w:val="center"/>
          </w:tcPr>
          <w:p w14:paraId="7D18D1C4">
            <w:pPr>
              <w:tabs>
                <w:tab w:val="left" w:pos="1080"/>
              </w:tabs>
              <w:snapToGrid w:val="0"/>
              <w:rPr>
                <w:rFonts w:hint="eastAsia" w:ascii="宋体" w:hAnsi="宋体" w:eastAsia="宋体" w:cs="宋体"/>
                <w:color w:val="auto"/>
                <w:sz w:val="24"/>
                <w:highlight w:val="none"/>
              </w:rPr>
            </w:pPr>
          </w:p>
        </w:tc>
      </w:tr>
      <w:tr w14:paraId="1AFD6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297C5915">
            <w:pPr>
              <w:tabs>
                <w:tab w:val="left" w:pos="1080"/>
              </w:tabs>
              <w:snapToGrid w:val="0"/>
              <w:jc w:val="center"/>
              <w:rPr>
                <w:rFonts w:hint="default" w:ascii="宋体" w:hAnsi="宋体" w:eastAsia="宋体" w:cs="宋体"/>
                <w:color w:val="auto"/>
                <w:sz w:val="24"/>
                <w:highlight w:val="none"/>
                <w:lang w:val="en-US" w:eastAsia="zh-CN"/>
              </w:rPr>
            </w:pPr>
            <w:r>
              <w:rPr>
                <w:color w:val="auto"/>
                <w:sz w:val="24"/>
                <w:highlight w:val="none"/>
              </w:rPr>
              <w:t>2-1-1</w:t>
            </w:r>
          </w:p>
        </w:tc>
        <w:tc>
          <w:tcPr>
            <w:tcW w:w="1067" w:type="pct"/>
            <w:vAlign w:val="center"/>
          </w:tcPr>
          <w:p w14:paraId="1FDA9526">
            <w:pPr>
              <w:tabs>
                <w:tab w:val="left" w:pos="1080"/>
              </w:tabs>
              <w:snapToGrid w:val="0"/>
              <w:rPr>
                <w:rFonts w:hint="default" w:ascii="宋体" w:hAnsi="宋体" w:eastAsia="宋体" w:cs="宋体"/>
                <w:color w:val="auto"/>
                <w:sz w:val="24"/>
                <w:highlight w:val="none"/>
                <w:lang w:val="en-US" w:eastAsia="zh-CN"/>
              </w:rPr>
            </w:pPr>
            <w:r>
              <w:rPr>
                <w:color w:val="auto"/>
                <w:sz w:val="24"/>
                <w:highlight w:val="none"/>
              </w:rPr>
              <w:t>中小企业证明文件</w:t>
            </w:r>
          </w:p>
        </w:tc>
        <w:tc>
          <w:tcPr>
            <w:tcW w:w="2596" w:type="pct"/>
            <w:shd w:val="clear" w:color="auto" w:fill="auto"/>
            <w:vAlign w:val="center"/>
          </w:tcPr>
          <w:p w14:paraId="741FDAA9">
            <w:pPr>
              <w:tabs>
                <w:tab w:val="left" w:pos="1080"/>
              </w:tabs>
              <w:snapToGrid w:val="0"/>
              <w:rPr>
                <w:color w:val="auto"/>
                <w:sz w:val="24"/>
                <w:highlight w:val="none"/>
              </w:rPr>
            </w:pPr>
            <w:r>
              <w:rPr>
                <w:color w:val="auto"/>
                <w:sz w:val="24"/>
                <w:highlight w:val="none"/>
              </w:rPr>
              <w:t>当本项目（包）涉及预留份额专门面向中小企业采购，此时建议在《资格证明文件》中提供。</w:t>
            </w:r>
          </w:p>
          <w:p w14:paraId="110FFC71">
            <w:pPr>
              <w:tabs>
                <w:tab w:val="left" w:pos="1080"/>
              </w:tabs>
              <w:snapToGrid w:val="0"/>
              <w:rPr>
                <w:color w:val="auto"/>
                <w:sz w:val="24"/>
                <w:highlight w:val="none"/>
              </w:rPr>
            </w:pPr>
            <w:r>
              <w:rPr>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12AEBE49">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shd w:val="clear" w:color="auto" w:fill="auto"/>
            <w:vAlign w:val="center"/>
          </w:tcPr>
          <w:p w14:paraId="6F1757FC">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格式见《投标文件格式》</w:t>
            </w:r>
          </w:p>
        </w:tc>
      </w:tr>
      <w:tr w14:paraId="6A395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shd w:val="clear" w:color="auto" w:fill="auto"/>
            <w:vAlign w:val="center"/>
          </w:tcPr>
          <w:p w14:paraId="699ECF28">
            <w:pPr>
              <w:tabs>
                <w:tab w:val="left" w:pos="1080"/>
              </w:tabs>
              <w:snapToGrid w:val="0"/>
              <w:jc w:val="center"/>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2-2</w:t>
            </w:r>
          </w:p>
        </w:tc>
        <w:tc>
          <w:tcPr>
            <w:tcW w:w="1067" w:type="pct"/>
            <w:shd w:val="clear" w:color="auto" w:fill="auto"/>
            <w:vAlign w:val="center"/>
          </w:tcPr>
          <w:p w14:paraId="5371C90B">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其它落实政府采购政策的资格要求</w:t>
            </w:r>
          </w:p>
        </w:tc>
        <w:tc>
          <w:tcPr>
            <w:tcW w:w="2596" w:type="pct"/>
            <w:shd w:val="clear" w:color="auto" w:fill="auto"/>
            <w:vAlign w:val="center"/>
          </w:tcPr>
          <w:p w14:paraId="26E09633">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如有，见第一章《投标邀请》</w:t>
            </w:r>
          </w:p>
        </w:tc>
        <w:tc>
          <w:tcPr>
            <w:tcW w:w="882" w:type="pct"/>
            <w:shd w:val="clear" w:color="auto" w:fill="auto"/>
            <w:vAlign w:val="center"/>
          </w:tcPr>
          <w:p w14:paraId="7FA438FC">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提供证明文件的电子件或电子证照</w:t>
            </w:r>
          </w:p>
        </w:tc>
      </w:tr>
      <w:tr w14:paraId="1B2A2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shd w:val="clear" w:color="auto" w:fill="auto"/>
            <w:vAlign w:val="center"/>
          </w:tcPr>
          <w:p w14:paraId="1975E35F">
            <w:pPr>
              <w:tabs>
                <w:tab w:val="left" w:pos="1080"/>
              </w:tabs>
              <w:snapToGrid w:val="0"/>
              <w:jc w:val="center"/>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3</w:t>
            </w:r>
          </w:p>
        </w:tc>
        <w:tc>
          <w:tcPr>
            <w:tcW w:w="1067" w:type="pct"/>
            <w:shd w:val="clear" w:color="auto" w:fill="auto"/>
            <w:vAlign w:val="center"/>
          </w:tcPr>
          <w:p w14:paraId="0C148093">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本项目的特定资格要求</w:t>
            </w:r>
          </w:p>
        </w:tc>
        <w:tc>
          <w:tcPr>
            <w:tcW w:w="2596" w:type="pct"/>
            <w:shd w:val="clear" w:color="auto" w:fill="auto"/>
            <w:vAlign w:val="center"/>
          </w:tcPr>
          <w:p w14:paraId="43B6489E">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如有，见第一章《投标邀请》</w:t>
            </w:r>
          </w:p>
        </w:tc>
        <w:tc>
          <w:tcPr>
            <w:tcW w:w="882" w:type="pct"/>
            <w:shd w:val="clear" w:color="auto" w:fill="auto"/>
            <w:vAlign w:val="center"/>
          </w:tcPr>
          <w:p w14:paraId="0D763EFD">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p>
        </w:tc>
      </w:tr>
      <w:tr w14:paraId="2F97F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shd w:val="clear" w:color="auto" w:fill="auto"/>
            <w:vAlign w:val="center"/>
          </w:tcPr>
          <w:p w14:paraId="5FD1D022">
            <w:pPr>
              <w:tabs>
                <w:tab w:val="left" w:pos="1080"/>
              </w:tabs>
              <w:snapToGrid w:val="0"/>
              <w:jc w:val="center"/>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3-</w:t>
            </w:r>
            <w:r>
              <w:rPr>
                <w:rFonts w:hint="eastAsia"/>
                <w:color w:val="auto"/>
                <w:sz w:val="24"/>
                <w:highlight w:val="none"/>
                <w:lang w:val="en-US" w:eastAsia="zh-CN"/>
              </w:rPr>
              <w:t>1</w:t>
            </w:r>
          </w:p>
        </w:tc>
        <w:tc>
          <w:tcPr>
            <w:tcW w:w="1067" w:type="pct"/>
            <w:shd w:val="clear" w:color="auto" w:fill="auto"/>
            <w:vAlign w:val="center"/>
          </w:tcPr>
          <w:p w14:paraId="30EC48AE">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政府购买服务承接主体的要求</w:t>
            </w:r>
          </w:p>
        </w:tc>
        <w:tc>
          <w:tcPr>
            <w:tcW w:w="2596" w:type="pct"/>
            <w:shd w:val="clear" w:color="auto" w:fill="auto"/>
            <w:vAlign w:val="center"/>
          </w:tcPr>
          <w:p w14:paraId="4189C2AD">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如本项目属于政府购买服务，投标人不属于公益一类事业单位、使用事业编制且由财政拨款保障的群团组织。</w:t>
            </w:r>
          </w:p>
        </w:tc>
        <w:tc>
          <w:tcPr>
            <w:tcW w:w="882" w:type="pct"/>
            <w:shd w:val="clear" w:color="auto" w:fill="auto"/>
            <w:vAlign w:val="center"/>
          </w:tcPr>
          <w:p w14:paraId="4476D8FC">
            <w:pPr>
              <w:tabs>
                <w:tab w:val="left" w:pos="1080"/>
              </w:tabs>
              <w:snapToGrid w:val="0"/>
              <w:jc w:val="center"/>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格式见《投标文件格式》</w:t>
            </w:r>
            <w:r>
              <w:rPr>
                <w:rFonts w:hint="eastAsia"/>
                <w:color w:val="auto"/>
                <w:sz w:val="24"/>
                <w:highlight w:val="none"/>
              </w:rPr>
              <w:t>“1-2 投标人资格声明书”</w:t>
            </w:r>
          </w:p>
        </w:tc>
      </w:tr>
      <w:tr w14:paraId="07E0E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shd w:val="clear" w:color="auto" w:fill="auto"/>
            <w:vAlign w:val="center"/>
          </w:tcPr>
          <w:p w14:paraId="4BEEA61C">
            <w:pPr>
              <w:tabs>
                <w:tab w:val="left" w:pos="1080"/>
              </w:tabs>
              <w:snapToGrid w:val="0"/>
              <w:jc w:val="center"/>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3-</w:t>
            </w:r>
            <w:r>
              <w:rPr>
                <w:rFonts w:hint="eastAsia"/>
                <w:color w:val="auto"/>
                <w:sz w:val="24"/>
                <w:highlight w:val="none"/>
                <w:lang w:val="en-US" w:eastAsia="zh-CN"/>
              </w:rPr>
              <w:t>2</w:t>
            </w:r>
          </w:p>
        </w:tc>
        <w:tc>
          <w:tcPr>
            <w:tcW w:w="1067" w:type="pct"/>
            <w:shd w:val="clear" w:color="auto" w:fill="auto"/>
            <w:vAlign w:val="center"/>
          </w:tcPr>
          <w:p w14:paraId="07484B33">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其他特定资格要求</w:t>
            </w:r>
          </w:p>
        </w:tc>
        <w:tc>
          <w:tcPr>
            <w:tcW w:w="2596" w:type="pct"/>
            <w:shd w:val="clear" w:color="auto" w:fill="auto"/>
            <w:vAlign w:val="center"/>
          </w:tcPr>
          <w:p w14:paraId="16BDDEFD">
            <w:pPr>
              <w:tabs>
                <w:tab w:val="left" w:pos="1080"/>
              </w:tabs>
              <w:snapToGrid w:val="0"/>
              <w:rPr>
                <w:color w:val="auto"/>
                <w:sz w:val="24"/>
                <w:highlight w:val="none"/>
              </w:rPr>
            </w:pPr>
            <w:r>
              <w:rPr>
                <w:color w:val="auto"/>
                <w:sz w:val="24"/>
                <w:highlight w:val="none"/>
              </w:rPr>
              <w:t>如有，见第一章《投标邀请》</w:t>
            </w:r>
          </w:p>
          <w:p w14:paraId="7248FDE0">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注：如联合体中有同类资质的供应商按照联合体分工承担相同工作的，均应当提供资质证书电子件或电子证照。</w:t>
            </w:r>
          </w:p>
        </w:tc>
        <w:tc>
          <w:tcPr>
            <w:tcW w:w="882" w:type="pct"/>
            <w:shd w:val="clear" w:color="auto" w:fill="auto"/>
            <w:vAlign w:val="center"/>
          </w:tcPr>
          <w:p w14:paraId="7093C0C6">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提供证明文件的电子件或电子证照</w:t>
            </w:r>
          </w:p>
        </w:tc>
      </w:tr>
      <w:tr w14:paraId="5678E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shd w:val="clear" w:color="auto" w:fill="auto"/>
            <w:vAlign w:val="center"/>
          </w:tcPr>
          <w:p w14:paraId="3C222603">
            <w:pPr>
              <w:tabs>
                <w:tab w:val="left" w:pos="1080"/>
              </w:tabs>
              <w:snapToGrid w:val="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w:t>
            </w:r>
          </w:p>
        </w:tc>
        <w:tc>
          <w:tcPr>
            <w:tcW w:w="1067" w:type="pct"/>
            <w:shd w:val="clear" w:color="auto" w:fill="auto"/>
            <w:vAlign w:val="center"/>
          </w:tcPr>
          <w:p w14:paraId="0490C9A7">
            <w:pPr>
              <w:tabs>
                <w:tab w:val="left" w:pos="1080"/>
              </w:tabs>
              <w:snapToGrid w:val="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获取招标文件</w:t>
            </w:r>
          </w:p>
        </w:tc>
        <w:tc>
          <w:tcPr>
            <w:tcW w:w="2596" w:type="pct"/>
            <w:shd w:val="clear" w:color="auto" w:fill="auto"/>
            <w:vAlign w:val="center"/>
          </w:tcPr>
          <w:p w14:paraId="4D7EA05F">
            <w:pPr>
              <w:tabs>
                <w:tab w:val="left" w:pos="1080"/>
              </w:tabs>
              <w:snapToGrid w:val="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在规定期限内通过北京市政府采购电子交易平台获取本项目的招标文件。</w:t>
            </w:r>
          </w:p>
        </w:tc>
        <w:tc>
          <w:tcPr>
            <w:tcW w:w="882" w:type="pct"/>
            <w:shd w:val="clear" w:color="auto" w:fill="auto"/>
            <w:vAlign w:val="center"/>
          </w:tcPr>
          <w:p w14:paraId="778FFAF6">
            <w:pPr>
              <w:tabs>
                <w:tab w:val="left" w:pos="1080"/>
              </w:tabs>
              <w:snapToGrid w:val="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提供北京市政府采购电子交易平台获取本项目的截图并加盖电子</w:t>
            </w:r>
            <w:r>
              <w:rPr>
                <w:rFonts w:hint="eastAsia" w:ascii="宋体" w:hAnsi="宋体" w:cs="宋体"/>
                <w:color w:val="auto"/>
                <w:sz w:val="24"/>
                <w:szCs w:val="24"/>
                <w:highlight w:val="none"/>
                <w:lang w:val="en-US" w:eastAsia="zh-CN"/>
              </w:rPr>
              <w:t>印</w:t>
            </w:r>
            <w:r>
              <w:rPr>
                <w:rFonts w:hint="eastAsia" w:ascii="宋体" w:hAnsi="宋体" w:eastAsia="宋体" w:cs="宋体"/>
                <w:color w:val="auto"/>
                <w:sz w:val="24"/>
                <w:szCs w:val="24"/>
                <w:highlight w:val="none"/>
              </w:rPr>
              <w:t>章</w:t>
            </w:r>
          </w:p>
        </w:tc>
      </w:tr>
    </w:tbl>
    <w:p w14:paraId="5A7CE4E7">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p>
    <w:p w14:paraId="078AD6FB">
      <w:p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第四章   </w:t>
      </w:r>
      <w:bookmarkEnd w:id="736"/>
      <w:bookmarkEnd w:id="737"/>
      <w:bookmarkEnd w:id="738"/>
      <w:bookmarkEnd w:id="739"/>
      <w:bookmarkEnd w:id="740"/>
      <w:bookmarkStart w:id="742" w:name="_Hlt164229061"/>
      <w:bookmarkEnd w:id="742"/>
      <w:r>
        <w:rPr>
          <w:rFonts w:hint="eastAsia" w:ascii="宋体" w:hAnsi="宋体" w:eastAsia="宋体" w:cs="宋体"/>
          <w:b/>
          <w:color w:val="auto"/>
          <w:sz w:val="36"/>
          <w:szCs w:val="36"/>
          <w:highlight w:val="none"/>
        </w:rPr>
        <w:t>评标程序、评标方法和评标标准</w:t>
      </w:r>
      <w:bookmarkEnd w:id="741"/>
    </w:p>
    <w:p w14:paraId="4370B963">
      <w:pPr>
        <w:tabs>
          <w:tab w:val="left" w:pos="360"/>
          <w:tab w:val="left" w:pos="900"/>
        </w:tabs>
        <w:snapToGrid w:val="0"/>
        <w:spacing w:line="360" w:lineRule="auto"/>
        <w:jc w:val="center"/>
        <w:outlineLvl w:val="1"/>
        <w:rPr>
          <w:rFonts w:hint="eastAsia" w:ascii="宋体" w:hAnsi="宋体" w:eastAsia="宋体" w:cs="宋体"/>
          <w:b/>
          <w:color w:val="auto"/>
          <w:highlight w:val="none"/>
        </w:rPr>
      </w:pPr>
      <w:r>
        <w:rPr>
          <w:rFonts w:hint="eastAsia" w:ascii="宋体" w:hAnsi="宋体" w:eastAsia="宋体" w:cs="宋体"/>
          <w:b/>
          <w:color w:val="auto"/>
          <w:sz w:val="24"/>
          <w:highlight w:val="none"/>
        </w:rPr>
        <w:t>一、评标方法</w:t>
      </w:r>
    </w:p>
    <w:p w14:paraId="4F014AE1">
      <w:pPr>
        <w:numPr>
          <w:ilvl w:val="0"/>
          <w:numId w:val="11"/>
        </w:numPr>
        <w:tabs>
          <w:tab w:val="left" w:pos="360"/>
        </w:tabs>
        <w:snapToGrid w:val="0"/>
        <w:spacing w:line="360" w:lineRule="auto"/>
        <w:outlineLvl w:val="1"/>
        <w:rPr>
          <w:rFonts w:hint="eastAsia" w:ascii="宋体" w:hAnsi="宋体" w:eastAsia="宋体" w:cs="宋体"/>
          <w:color w:val="auto"/>
          <w:sz w:val="24"/>
          <w:highlight w:val="none"/>
        </w:rPr>
      </w:pPr>
      <w:bookmarkStart w:id="743" w:name="_Toc151193639"/>
      <w:bookmarkStart w:id="744" w:name="_Toc150480779"/>
      <w:bookmarkStart w:id="745" w:name="_Toc151193929"/>
      <w:bookmarkStart w:id="746" w:name="_Toc150774641"/>
      <w:bookmarkStart w:id="747" w:name="_Toc226337237"/>
      <w:bookmarkStart w:id="748" w:name="_Toc305158809"/>
      <w:bookmarkStart w:id="749" w:name="_Toc150509292"/>
      <w:bookmarkStart w:id="750" w:name="_Toc127161455"/>
      <w:bookmarkStart w:id="751" w:name="_Toc195842906"/>
      <w:bookmarkStart w:id="752" w:name="_Toc265228379"/>
      <w:bookmarkStart w:id="753" w:name="_Toc151193783"/>
      <w:bookmarkStart w:id="754" w:name="_Toc164351635"/>
      <w:bookmarkStart w:id="755" w:name="_Toc305158883"/>
      <w:bookmarkStart w:id="756" w:name="_Toc151193711"/>
      <w:bookmarkStart w:id="757" w:name="_Toc164608655"/>
      <w:bookmarkStart w:id="758" w:name="_Toc164608810"/>
      <w:bookmarkStart w:id="759" w:name="_Toc151190168"/>
      <w:bookmarkStart w:id="760" w:name="_Toc226965731"/>
      <w:bookmarkStart w:id="761" w:name="_Toc164229382"/>
      <w:bookmarkStart w:id="762" w:name="_Toc150774746"/>
      <w:bookmarkStart w:id="763" w:name="_Toc142311043"/>
      <w:bookmarkStart w:id="764" w:name="_Toc127151742"/>
      <w:bookmarkStart w:id="765" w:name="_Toc151193855"/>
      <w:bookmarkStart w:id="766" w:name="_Toc264969231"/>
      <w:bookmarkStart w:id="767" w:name="_Toc127151541"/>
      <w:bookmarkStart w:id="768" w:name="_Toc226965814"/>
      <w:bookmarkStart w:id="769" w:name="_Toc149720834"/>
      <w:bookmarkStart w:id="770" w:name="_Toc164229236"/>
      <w:bookmarkStart w:id="771" w:name="_Toc226309785"/>
      <w:bookmarkStart w:id="772" w:name="_Toc353825551"/>
      <w:bookmarkStart w:id="773" w:name="_Toc353873941"/>
      <w:bookmarkStart w:id="774" w:name="_Toc353825545"/>
      <w:bookmarkStart w:id="775" w:name="_Toc265228393"/>
      <w:bookmarkStart w:id="776" w:name="_Toc150774760"/>
      <w:bookmarkStart w:id="777" w:name="_Toc353873935"/>
      <w:bookmarkStart w:id="778" w:name="_Toc305158823"/>
      <w:bookmarkStart w:id="779" w:name="_Toc195842920"/>
      <w:bookmarkStart w:id="780" w:name="_Toc150480793"/>
      <w:bookmarkStart w:id="781" w:name="_Toc142311057"/>
      <w:bookmarkStart w:id="782" w:name="_Toc127151555"/>
      <w:bookmarkStart w:id="783" w:name="_Toc226337251"/>
      <w:bookmarkStart w:id="784" w:name="_Toc264969245"/>
      <w:bookmarkStart w:id="785" w:name="_Toc305158897"/>
      <w:bookmarkStart w:id="786" w:name="_Toc226965828"/>
      <w:bookmarkStart w:id="787" w:name="_Toc353873665"/>
      <w:r>
        <w:rPr>
          <w:rFonts w:hint="eastAsia" w:ascii="宋体" w:hAnsi="宋体" w:eastAsia="宋体" w:cs="宋体"/>
          <w:color w:val="auto"/>
          <w:sz w:val="24"/>
          <w:highlight w:val="none"/>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48499D1A">
      <w:pPr>
        <w:numPr>
          <w:ilvl w:val="1"/>
          <w:numId w:val="11"/>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评标委员会对资格审查合格的投标人的投标文件进行符合性审查，以确定其是否满足招标文件的实质性要求。</w:t>
      </w:r>
      <w:bookmarkStart w:id="788" w:name="_Toc520356167"/>
    </w:p>
    <w:p w14:paraId="154A974B">
      <w:pPr>
        <w:numPr>
          <w:ilvl w:val="1"/>
          <w:numId w:val="11"/>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rFonts w:hint="eastAsia" w:ascii="宋体" w:hAnsi="宋体" w:eastAsia="宋体" w:cs="宋体"/>
          <w:color w:val="auto"/>
          <w:sz w:val="24"/>
          <w:highlight w:val="none"/>
        </w:rPr>
        <w:t>要求的，</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1C283497">
      <w:pPr>
        <w:tabs>
          <w:tab w:val="left" w:pos="900"/>
          <w:tab w:val="left" w:pos="1080"/>
          <w:tab w:val="left" w:pos="1589"/>
        </w:tabs>
        <w:snapToGrid w:val="0"/>
        <w:spacing w:line="360" w:lineRule="auto"/>
        <w:ind w:leftChars="-170" w:hanging="357" w:hangingChars="14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符合性审查要求</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662"/>
        <w:gridCol w:w="6177"/>
      </w:tblGrid>
      <w:tr w14:paraId="76302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1" w:type="pct"/>
            <w:vAlign w:val="center"/>
          </w:tcPr>
          <w:p w14:paraId="0BA4371C">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序号</w:t>
            </w:r>
          </w:p>
        </w:tc>
        <w:tc>
          <w:tcPr>
            <w:tcW w:w="975" w:type="pct"/>
            <w:vAlign w:val="center"/>
          </w:tcPr>
          <w:p w14:paraId="77B134AD">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审查因素</w:t>
            </w:r>
          </w:p>
        </w:tc>
        <w:tc>
          <w:tcPr>
            <w:tcW w:w="3623" w:type="pct"/>
            <w:vAlign w:val="center"/>
          </w:tcPr>
          <w:p w14:paraId="0C8386D4">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审查内容</w:t>
            </w:r>
          </w:p>
        </w:tc>
      </w:tr>
      <w:tr w14:paraId="15229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45FD87D6">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975" w:type="pct"/>
            <w:vAlign w:val="center"/>
          </w:tcPr>
          <w:p w14:paraId="597E943A">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授权委托书</w:t>
            </w:r>
          </w:p>
        </w:tc>
        <w:tc>
          <w:tcPr>
            <w:tcW w:w="3623" w:type="pct"/>
            <w:vAlign w:val="center"/>
          </w:tcPr>
          <w:p w14:paraId="4AF957D1">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按招标文件要求提供授权委托书；</w:t>
            </w:r>
          </w:p>
        </w:tc>
      </w:tr>
      <w:tr w14:paraId="18F72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1DB48C49">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975" w:type="pct"/>
            <w:vAlign w:val="center"/>
          </w:tcPr>
          <w:p w14:paraId="6528DB52">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投标完整性</w:t>
            </w:r>
          </w:p>
        </w:tc>
        <w:tc>
          <w:tcPr>
            <w:tcW w:w="3623" w:type="pct"/>
            <w:vAlign w:val="center"/>
          </w:tcPr>
          <w:p w14:paraId="7A7BAF1A">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未将一个采购包中的内容拆开投标；</w:t>
            </w:r>
          </w:p>
        </w:tc>
      </w:tr>
      <w:tr w14:paraId="04EEF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134F2C24">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975" w:type="pct"/>
            <w:vAlign w:val="center"/>
          </w:tcPr>
          <w:p w14:paraId="28F8BCA6">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投标报价</w:t>
            </w:r>
          </w:p>
        </w:tc>
        <w:tc>
          <w:tcPr>
            <w:tcW w:w="3623" w:type="pct"/>
            <w:vAlign w:val="center"/>
          </w:tcPr>
          <w:p w14:paraId="73110A3F">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投标报价未</w:t>
            </w:r>
            <w:r>
              <w:rPr>
                <w:rFonts w:hint="eastAsia" w:ascii="宋体" w:hAnsi="宋体" w:eastAsia="宋体" w:cs="宋体"/>
                <w:color w:val="auto"/>
                <w:sz w:val="24"/>
                <w:highlight w:val="none"/>
              </w:rPr>
              <w:t>超过招标文件中规定的项目/采购包预算金额或者项目/采购包最高限价</w:t>
            </w:r>
            <w:r>
              <w:rPr>
                <w:rFonts w:hint="eastAsia" w:ascii="宋体" w:hAnsi="宋体" w:eastAsia="宋体" w:cs="宋体"/>
                <w:color w:val="auto"/>
                <w:kern w:val="0"/>
                <w:sz w:val="24"/>
                <w:highlight w:val="none"/>
              </w:rPr>
              <w:t>；</w:t>
            </w:r>
          </w:p>
        </w:tc>
      </w:tr>
      <w:tr w14:paraId="400F2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428FB5D8">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w:t>
            </w:r>
          </w:p>
        </w:tc>
        <w:tc>
          <w:tcPr>
            <w:tcW w:w="975" w:type="pct"/>
            <w:vAlign w:val="center"/>
          </w:tcPr>
          <w:p w14:paraId="486E6BD1">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报价唯一性</w:t>
            </w:r>
          </w:p>
        </w:tc>
        <w:tc>
          <w:tcPr>
            <w:tcW w:w="3623" w:type="pct"/>
            <w:vAlign w:val="center"/>
          </w:tcPr>
          <w:p w14:paraId="58CBD6D1">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投标文件未</w:t>
            </w:r>
            <w:r>
              <w:rPr>
                <w:rFonts w:hint="eastAsia" w:ascii="宋体" w:hAnsi="宋体" w:eastAsia="宋体" w:cs="宋体"/>
                <w:color w:val="auto"/>
                <w:sz w:val="24"/>
                <w:highlight w:val="none"/>
              </w:rPr>
              <w:t>出现可选择性或可调整的报价（招标文件另有规定的除外）</w:t>
            </w:r>
            <w:r>
              <w:rPr>
                <w:rFonts w:hint="eastAsia" w:ascii="宋体" w:hAnsi="宋体" w:eastAsia="宋体" w:cs="宋体"/>
                <w:color w:val="auto"/>
                <w:kern w:val="0"/>
                <w:sz w:val="24"/>
                <w:highlight w:val="none"/>
              </w:rPr>
              <w:t>；</w:t>
            </w:r>
          </w:p>
        </w:tc>
      </w:tr>
      <w:tr w14:paraId="44753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3F560344">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w:t>
            </w:r>
          </w:p>
        </w:tc>
        <w:tc>
          <w:tcPr>
            <w:tcW w:w="975" w:type="pct"/>
            <w:vAlign w:val="center"/>
          </w:tcPr>
          <w:p w14:paraId="7CD0970C">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投标有效期</w:t>
            </w:r>
          </w:p>
        </w:tc>
        <w:tc>
          <w:tcPr>
            <w:tcW w:w="3623" w:type="pct"/>
            <w:vAlign w:val="center"/>
          </w:tcPr>
          <w:p w14:paraId="6241E66E">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投标文件中承诺的投标有效期满足招标文件中载明的投标有效期的；</w:t>
            </w:r>
          </w:p>
        </w:tc>
      </w:tr>
      <w:tr w14:paraId="20EE5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086F5587">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w:t>
            </w:r>
          </w:p>
        </w:tc>
        <w:tc>
          <w:tcPr>
            <w:tcW w:w="975" w:type="pct"/>
            <w:vAlign w:val="center"/>
          </w:tcPr>
          <w:p w14:paraId="0163CA75">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实质性格式</w:t>
            </w:r>
          </w:p>
        </w:tc>
        <w:tc>
          <w:tcPr>
            <w:tcW w:w="3623" w:type="pct"/>
            <w:vAlign w:val="center"/>
          </w:tcPr>
          <w:p w14:paraId="10DA007D">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标记为“实质性格式”的文件均按招标文件要求提供且签署、盖章的；</w:t>
            </w:r>
          </w:p>
        </w:tc>
      </w:tr>
      <w:tr w14:paraId="04C1E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28D2E3C8">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w:t>
            </w:r>
          </w:p>
        </w:tc>
        <w:tc>
          <w:tcPr>
            <w:tcW w:w="975" w:type="pct"/>
            <w:vAlign w:val="center"/>
          </w:tcPr>
          <w:p w14:paraId="3C9E2EDC">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★号条款响应</w:t>
            </w:r>
          </w:p>
        </w:tc>
        <w:tc>
          <w:tcPr>
            <w:tcW w:w="3623" w:type="pct"/>
            <w:vAlign w:val="center"/>
          </w:tcPr>
          <w:p w14:paraId="2BE22E16">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投标文件满足招标文件</w:t>
            </w:r>
            <w:r>
              <w:rPr>
                <w:rFonts w:hint="eastAsia" w:ascii="宋体" w:hAnsi="宋体" w:eastAsia="宋体" w:cs="宋体"/>
                <w:color w:val="auto"/>
                <w:sz w:val="24"/>
                <w:highlight w:val="none"/>
              </w:rPr>
              <w:t>第五章《采购需求》</w:t>
            </w:r>
            <w:r>
              <w:rPr>
                <w:rFonts w:hint="eastAsia" w:ascii="宋体" w:hAnsi="宋体" w:eastAsia="宋体" w:cs="宋体"/>
                <w:color w:val="auto"/>
                <w:kern w:val="0"/>
                <w:sz w:val="24"/>
                <w:highlight w:val="none"/>
              </w:rPr>
              <w:t>中★号条款要求的；</w:t>
            </w:r>
          </w:p>
        </w:tc>
      </w:tr>
      <w:tr w14:paraId="4EEAA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73125301">
            <w:pPr>
              <w:widowControl/>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8</w:t>
            </w:r>
          </w:p>
        </w:tc>
        <w:tc>
          <w:tcPr>
            <w:tcW w:w="975" w:type="pct"/>
            <w:vAlign w:val="center"/>
          </w:tcPr>
          <w:p w14:paraId="436E1940">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报价的修正（如有）</w:t>
            </w:r>
          </w:p>
        </w:tc>
        <w:tc>
          <w:tcPr>
            <w:tcW w:w="3623" w:type="pct"/>
            <w:vAlign w:val="center"/>
          </w:tcPr>
          <w:p w14:paraId="6F9044DA">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不涉及报价修正，或投标文件报价出现前后不一致时，投标人对修正后的报价予以确认；（如有）</w:t>
            </w:r>
          </w:p>
        </w:tc>
      </w:tr>
      <w:tr w14:paraId="323BA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14:paraId="60F49E83">
            <w:pPr>
              <w:widowControl/>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highlight w:val="none"/>
                <w:lang w:val="en-US" w:eastAsia="zh-CN"/>
              </w:rPr>
              <w:t>9</w:t>
            </w:r>
          </w:p>
        </w:tc>
        <w:tc>
          <w:tcPr>
            <w:tcW w:w="975" w:type="pct"/>
            <w:vAlign w:val="center"/>
          </w:tcPr>
          <w:p w14:paraId="605097AF">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公平竞争</w:t>
            </w:r>
          </w:p>
        </w:tc>
        <w:tc>
          <w:tcPr>
            <w:tcW w:w="3623" w:type="pct"/>
            <w:vAlign w:val="center"/>
          </w:tcPr>
          <w:p w14:paraId="6D09E5D4">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投标人遵循公平竞争的原则，不存在恶意串通，妨碍其他投标人的竞争行为，不存在损害采购人或者其他投标人的合法权益情形的；</w:t>
            </w:r>
          </w:p>
        </w:tc>
      </w:tr>
      <w:tr w14:paraId="5F4C0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14:paraId="041C5B11">
            <w:pPr>
              <w:widowControl/>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0</w:t>
            </w:r>
          </w:p>
        </w:tc>
        <w:tc>
          <w:tcPr>
            <w:tcW w:w="975" w:type="pct"/>
            <w:vAlign w:val="center"/>
          </w:tcPr>
          <w:p w14:paraId="133B71AE">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串通投标</w:t>
            </w:r>
          </w:p>
        </w:tc>
        <w:tc>
          <w:tcPr>
            <w:tcW w:w="3623" w:type="pct"/>
            <w:vAlign w:val="center"/>
          </w:tcPr>
          <w:p w14:paraId="25701E21">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8DE0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3CD9607B">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1</w:t>
            </w:r>
          </w:p>
        </w:tc>
        <w:tc>
          <w:tcPr>
            <w:tcW w:w="975" w:type="pct"/>
            <w:vAlign w:val="center"/>
          </w:tcPr>
          <w:p w14:paraId="400831C0">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附加条件</w:t>
            </w:r>
          </w:p>
        </w:tc>
        <w:tc>
          <w:tcPr>
            <w:tcW w:w="3623" w:type="pct"/>
            <w:vAlign w:val="center"/>
          </w:tcPr>
          <w:p w14:paraId="3041760B">
            <w:pPr>
              <w:widowControl/>
              <w:jc w:val="left"/>
              <w:rPr>
                <w:rFonts w:hint="eastAsia" w:ascii="宋体" w:hAnsi="宋体" w:eastAsia="宋体" w:cs="宋体"/>
                <w:color w:val="auto"/>
                <w:kern w:val="0"/>
                <w:sz w:val="24"/>
                <w:highlight w:val="none"/>
              </w:rPr>
            </w:pPr>
            <w:bookmarkStart w:id="789" w:name="OLE_LINK1"/>
            <w:r>
              <w:rPr>
                <w:rFonts w:hint="eastAsia" w:ascii="宋体" w:hAnsi="宋体" w:eastAsia="宋体" w:cs="宋体"/>
                <w:color w:val="auto"/>
                <w:kern w:val="0"/>
                <w:sz w:val="24"/>
                <w:highlight w:val="none"/>
              </w:rPr>
              <w:t>投标文件未含有采购人不能接受的附加条件的；</w:t>
            </w:r>
            <w:bookmarkEnd w:id="789"/>
          </w:p>
        </w:tc>
      </w:tr>
      <w:tr w14:paraId="14E88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vAlign w:val="center"/>
          </w:tcPr>
          <w:p w14:paraId="09B63E3F">
            <w:pPr>
              <w:widowControl/>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12</w:t>
            </w:r>
          </w:p>
        </w:tc>
        <w:tc>
          <w:tcPr>
            <w:tcW w:w="975" w:type="pct"/>
            <w:vAlign w:val="center"/>
          </w:tcPr>
          <w:p w14:paraId="23FC84C2">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其他无效情形</w:t>
            </w:r>
          </w:p>
        </w:tc>
        <w:tc>
          <w:tcPr>
            <w:tcW w:w="3623" w:type="pct"/>
            <w:vAlign w:val="center"/>
          </w:tcPr>
          <w:p w14:paraId="3BF62CA5">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投标人、投标文件不存在不符合法律、法规和招标文件规定的其他无效情形。</w:t>
            </w:r>
          </w:p>
        </w:tc>
      </w:tr>
    </w:tbl>
    <w:p w14:paraId="64D702A7">
      <w:pPr>
        <w:numPr>
          <w:ilvl w:val="0"/>
          <w:numId w:val="12"/>
        </w:numPr>
        <w:tabs>
          <w:tab w:val="left" w:pos="1080"/>
          <w:tab w:val="left" w:pos="1589"/>
        </w:tabs>
        <w:snapToGrid w:val="0"/>
        <w:spacing w:line="360" w:lineRule="auto"/>
        <w:rPr>
          <w:rFonts w:hint="eastAsia" w:ascii="宋体" w:hAnsi="宋体" w:eastAsia="宋体" w:cs="宋体"/>
          <w:color w:val="auto"/>
          <w:sz w:val="24"/>
          <w:highlight w:val="none"/>
        </w:rPr>
        <w:sectPr>
          <w:headerReference r:id="rId11" w:type="first"/>
          <w:footerReference r:id="rId13" w:type="first"/>
          <w:headerReference r:id="rId10" w:type="even"/>
          <w:footerReference r:id="rId12" w:type="even"/>
          <w:pgSz w:w="11907" w:h="16840"/>
          <w:pgMar w:top="1440" w:right="1800" w:bottom="1440" w:left="1800" w:header="851" w:footer="851" w:gutter="0"/>
          <w:pgNumType w:fmt="decimal"/>
          <w:cols w:space="720" w:num="1"/>
          <w:docGrid w:linePitch="462" w:charSpace="0"/>
        </w:sectPr>
      </w:pPr>
    </w:p>
    <w:p w14:paraId="1739DDCB">
      <w:pPr>
        <w:numPr>
          <w:ilvl w:val="0"/>
          <w:numId w:val="11"/>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0B45D228">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0" w:name="_Hlk144225607"/>
      <w:r>
        <w:rPr>
          <w:color w:val="auto"/>
          <w:sz w:val="24"/>
          <w:szCs w:val="20"/>
          <w:highlight w:val="none"/>
        </w:rPr>
        <w:t>若投标人为事业单位或其他组织或分支机构，可为单位负责人</w:t>
      </w:r>
      <w:bookmarkEnd w:id="790"/>
      <w:r>
        <w:rPr>
          <w:color w:val="auto"/>
          <w:sz w:val="24"/>
          <w:highlight w:val="none"/>
        </w:rPr>
        <w:t>）或其授权的代表签字。投标人的澄清、说明或者补正不得超出投标文件的范围或者改变投标文件的实质性内容。澄清文件将作为投标文件内容的一部分。</w:t>
      </w:r>
    </w:p>
    <w:p w14:paraId="39374C9C">
      <w:pPr>
        <w:numPr>
          <w:ilvl w:val="1"/>
          <w:numId w:val="11"/>
        </w:numPr>
        <w:tabs>
          <w:tab w:val="left" w:pos="1080"/>
        </w:tabs>
        <w:snapToGrid w:val="0"/>
        <w:spacing w:line="360" w:lineRule="auto"/>
        <w:ind w:left="1077" w:hanging="720"/>
        <w:rPr>
          <w:color w:val="auto"/>
          <w:sz w:val="24"/>
          <w:highlight w:val="none"/>
        </w:rPr>
      </w:pPr>
      <w:bookmarkStart w:id="791" w:name="_Hlk220085436"/>
      <w:r>
        <w:rPr>
          <w:rFonts w:hint="eastAsia"/>
          <w:color w:val="auto"/>
          <w:sz w:val="24"/>
          <w:highlight w:val="none"/>
        </w:rPr>
        <w:t>异常低价处理</w:t>
      </w:r>
    </w:p>
    <w:p w14:paraId="22342EB1">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政府采购评审中出现下列情形之一的，评审委员会应当启动异常低价投标（响应）审查程序：</w:t>
      </w:r>
    </w:p>
    <w:p w14:paraId="11541B7F">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（1）投标（响应）报价低于全部通过符合性审查供应商投标（响应）报价平均值</w:t>
      </w:r>
      <w:r>
        <w:rPr>
          <w:rFonts w:hint="eastAsia"/>
          <w:color w:val="auto"/>
          <w:sz w:val="24"/>
          <w:highlight w:val="none"/>
          <w:u w:val="single"/>
          <w:lang w:val="en-US" w:eastAsia="zh-CN"/>
        </w:rPr>
        <w:t xml:space="preserve"> 50  </w:t>
      </w:r>
      <w:r>
        <w:rPr>
          <w:rFonts w:hint="eastAsia"/>
          <w:color w:val="auto"/>
          <w:sz w:val="24"/>
          <w:highlight w:val="none"/>
        </w:rPr>
        <w:t>%的，即投标（响应）报价&lt;全部通过符合性审查供应商投标（响应）报价平均值×</w:t>
      </w:r>
      <w:r>
        <w:rPr>
          <w:rFonts w:hint="eastAsia"/>
          <w:color w:val="auto"/>
          <w:sz w:val="24"/>
          <w:highlight w:val="none"/>
          <w:u w:val="single"/>
          <w:lang w:val="en-US" w:eastAsia="zh-CN"/>
        </w:rPr>
        <w:t xml:space="preserve">  50  </w:t>
      </w:r>
      <w:r>
        <w:rPr>
          <w:rFonts w:hint="eastAsia"/>
          <w:color w:val="auto"/>
          <w:sz w:val="24"/>
          <w:highlight w:val="none"/>
        </w:rPr>
        <w:t>%；</w:t>
      </w:r>
    </w:p>
    <w:p w14:paraId="17793ACA">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（2）投标（响应）报价低于通过符合性审查的次低报价供应商投标（响应）报价</w:t>
      </w:r>
      <w:r>
        <w:rPr>
          <w:rFonts w:hint="eastAsia"/>
          <w:color w:val="auto"/>
          <w:sz w:val="24"/>
          <w:highlight w:val="none"/>
          <w:u w:val="single"/>
          <w:lang w:val="en-US" w:eastAsia="zh-CN"/>
        </w:rPr>
        <w:t xml:space="preserve"> 50  </w:t>
      </w:r>
      <w:r>
        <w:rPr>
          <w:rFonts w:hint="eastAsia"/>
          <w:color w:val="auto"/>
          <w:sz w:val="24"/>
          <w:highlight w:val="none"/>
        </w:rPr>
        <w:t>%的，即投标（响应）报价&lt;通过符合性审查的次低报价供应商投标（响应）报价×</w:t>
      </w:r>
      <w:r>
        <w:rPr>
          <w:rFonts w:hint="eastAsia"/>
          <w:color w:val="auto"/>
          <w:sz w:val="24"/>
          <w:highlight w:val="none"/>
          <w:u w:val="single"/>
          <w:lang w:val="en-US" w:eastAsia="zh-CN"/>
        </w:rPr>
        <w:t xml:space="preserve"> 50  </w:t>
      </w:r>
      <w:r>
        <w:rPr>
          <w:rFonts w:hint="eastAsia"/>
          <w:color w:val="auto"/>
          <w:sz w:val="24"/>
          <w:highlight w:val="none"/>
        </w:rPr>
        <w:t>%；</w:t>
      </w:r>
    </w:p>
    <w:p w14:paraId="6BA088DD">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（3）投标（响应）报价低于采购项目最高限价</w:t>
      </w:r>
      <w:r>
        <w:rPr>
          <w:rFonts w:hint="eastAsia"/>
          <w:color w:val="auto"/>
          <w:sz w:val="24"/>
          <w:highlight w:val="none"/>
          <w:u w:val="single"/>
          <w:lang w:val="en-US" w:eastAsia="zh-CN"/>
        </w:rPr>
        <w:t xml:space="preserve"> 45  </w:t>
      </w:r>
      <w:r>
        <w:rPr>
          <w:rFonts w:hint="eastAsia"/>
          <w:color w:val="auto"/>
          <w:sz w:val="24"/>
          <w:highlight w:val="none"/>
        </w:rPr>
        <w:t>%的，即投标（响应）报价&lt;采购项目最高限价×</w:t>
      </w:r>
      <w:r>
        <w:rPr>
          <w:rFonts w:hint="eastAsia"/>
          <w:color w:val="auto"/>
          <w:sz w:val="24"/>
          <w:highlight w:val="none"/>
          <w:u w:val="single"/>
          <w:lang w:val="en-US" w:eastAsia="zh-CN"/>
        </w:rPr>
        <w:t xml:space="preserve"> 45  </w:t>
      </w:r>
      <w:r>
        <w:rPr>
          <w:rFonts w:hint="eastAsia"/>
          <w:color w:val="auto"/>
          <w:sz w:val="24"/>
          <w:highlight w:val="none"/>
        </w:rPr>
        <w:t>%；</w:t>
      </w:r>
      <w:r>
        <w:rPr>
          <w:color w:val="auto"/>
          <w:sz w:val="24"/>
          <w:highlight w:val="none"/>
        </w:rPr>
        <w:t>未设定最高限价的采购项目，以采购项目预算金额作为最高限价</w:t>
      </w:r>
      <w:r>
        <w:rPr>
          <w:rFonts w:hint="eastAsia"/>
          <w:color w:val="auto"/>
          <w:sz w:val="24"/>
          <w:highlight w:val="none"/>
        </w:rPr>
        <w:t>；</w:t>
      </w:r>
    </w:p>
    <w:p w14:paraId="1305ED4E">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（4）评审委员会基于专业判断，认为供应商报价过低，有可能影响产品质量或者不能诚信履约的其他情形。</w:t>
      </w:r>
    </w:p>
    <w:p w14:paraId="5FD7FEFC">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评审委员会启动异常低价投标（响应）审查后，属于前述第</w:t>
      </w:r>
      <w:r>
        <w:rPr>
          <w:rFonts w:hint="eastAsia"/>
          <w:color w:val="auto"/>
          <w:sz w:val="24"/>
          <w:highlight w:val="none"/>
        </w:rPr>
        <w:t>（1）</w:t>
      </w:r>
      <w:r>
        <w:rPr>
          <w:color w:val="auto"/>
          <w:sz w:val="24"/>
          <w:highlight w:val="none"/>
        </w:rPr>
        <w:t>项至第</w:t>
      </w:r>
      <w:r>
        <w:rPr>
          <w:rFonts w:hint="eastAsia"/>
          <w:color w:val="auto"/>
          <w:sz w:val="24"/>
          <w:highlight w:val="none"/>
        </w:rPr>
        <w:t>（</w:t>
      </w:r>
      <w:r>
        <w:rPr>
          <w:color w:val="auto"/>
          <w:sz w:val="24"/>
          <w:highlight w:val="none"/>
        </w:rPr>
        <w:t>4</w:t>
      </w:r>
      <w:r>
        <w:rPr>
          <w:rFonts w:hint="eastAsia"/>
          <w:color w:val="auto"/>
          <w:sz w:val="24"/>
          <w:highlight w:val="none"/>
        </w:rPr>
        <w:t>）</w:t>
      </w:r>
      <w:r>
        <w:rPr>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auto"/>
          <w:sz w:val="24"/>
          <w:highlight w:val="none"/>
        </w:rPr>
        <w:t>（</w:t>
      </w:r>
      <w:r>
        <w:rPr>
          <w:color w:val="auto"/>
          <w:sz w:val="24"/>
          <w:highlight w:val="none"/>
        </w:rPr>
        <w:t>3</w:t>
      </w:r>
      <w:r>
        <w:rPr>
          <w:rFonts w:hint="eastAsia"/>
          <w:color w:val="auto"/>
          <w:sz w:val="24"/>
          <w:highlight w:val="none"/>
        </w:rPr>
        <w:t>）</w:t>
      </w:r>
      <w:r>
        <w:rPr>
          <w:color w:val="auto"/>
          <w:sz w:val="24"/>
          <w:highlight w:val="none"/>
        </w:rPr>
        <w:t>项情形，供应商已随投标（响应）文件一并提交相关书面说明及必要的证明材料的，在评审现场可不再重复提交。</w:t>
      </w:r>
    </w:p>
    <w:p w14:paraId="4A470220">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sectPr>
          <w:footerReference r:id="rId15" w:type="first"/>
          <w:footerReference r:id="rId14" w:type="default"/>
          <w:pgSz w:w="11906" w:h="16838"/>
          <w:pgMar w:top="1440" w:right="1463" w:bottom="1440" w:left="1463" w:header="851" w:footer="992" w:gutter="0"/>
          <w:pgNumType w:fmt="decimal"/>
          <w:cols w:space="0" w:num="1"/>
          <w:titlePg/>
          <w:rtlGutter w:val="0"/>
          <w:docGrid w:type="lines" w:linePitch="312" w:charSpace="0"/>
        </w:sectPr>
      </w:pPr>
      <w:r>
        <w:rPr>
          <w:rFonts w:hint="eastAsia"/>
          <w:color w:val="auto"/>
          <w:sz w:val="24"/>
          <w:highlight w:val="none"/>
        </w:rPr>
        <w:t xml:space="preserve"> </w:t>
      </w:r>
      <w:r>
        <w:rPr>
          <w:color w:val="auto"/>
          <w:sz w:val="24"/>
          <w:highlight w:val="none"/>
        </w:rPr>
        <w:t>评审委员会依据专业经验，参考同类项目中标（成交）价格、类似产</w:t>
      </w:r>
    </w:p>
    <w:p w14:paraId="2158DA71">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color w:val="auto"/>
          <w:sz w:val="24"/>
          <w:highlight w:val="none"/>
        </w:rPr>
        <w:t>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auto"/>
          <w:sz w:val="24"/>
          <w:highlight w:val="none"/>
        </w:rPr>
        <w:t>无效投标（响应）</w:t>
      </w:r>
      <w:r>
        <w:rPr>
          <w:color w:val="auto"/>
          <w:sz w:val="24"/>
          <w:highlight w:val="none"/>
        </w:rPr>
        <w:t>处理。</w:t>
      </w:r>
    </w:p>
    <w:p w14:paraId="0A084781">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bookmarkStart w:id="792" w:name="_Hlk190337965"/>
      <w:r>
        <w:rPr>
          <w:rFonts w:hint="eastAsia"/>
          <w:color w:val="auto"/>
          <w:sz w:val="24"/>
          <w:highlight w:val="none"/>
        </w:rPr>
        <w:t xml:space="preserve"> 上述投标（响应）报价指按照本章2.4修正后的报价</w:t>
      </w:r>
      <w:bookmarkEnd w:id="792"/>
      <w:r>
        <w:rPr>
          <w:rFonts w:hint="eastAsia"/>
          <w:color w:val="auto"/>
          <w:sz w:val="24"/>
          <w:highlight w:val="none"/>
        </w:rPr>
        <w:t>。</w:t>
      </w:r>
    </w:p>
    <w:bookmarkEnd w:id="791"/>
    <w:p w14:paraId="04BDADEB">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30E6CF30">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6F2FAEAA">
      <w:pPr>
        <w:numPr>
          <w:ilvl w:val="2"/>
          <w:numId w:val="11"/>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369D6F3F">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14:paraId="73127755">
      <w:pPr>
        <w:tabs>
          <w:tab w:val="left" w:pos="1080"/>
          <w:tab w:val="left" w:pos="1589"/>
          <w:tab w:val="left" w:pos="2035"/>
          <w:tab w:val="left" w:pos="2114"/>
        </w:tabs>
        <w:snapToGrid w:val="0"/>
        <w:spacing w:line="360" w:lineRule="auto"/>
        <w:ind w:left="2035"/>
        <w:rPr>
          <w:color w:val="auto"/>
          <w:sz w:val="24"/>
          <w:highlight w:val="none"/>
        </w:rPr>
      </w:pPr>
      <w:r>
        <w:rPr>
          <w:rFonts w:hint="eastAsia" w:ascii="宋体" w:hAnsi="宋体" w:eastAsia="宋体" w:cs="宋体"/>
          <w:b/>
          <w:color w:val="auto"/>
          <w:sz w:val="24"/>
          <w:szCs w:val="24"/>
          <w:highlight w:val="none"/>
        </w:rPr>
        <w:t>■</w:t>
      </w:r>
      <w:r>
        <w:rPr>
          <w:color w:val="auto"/>
          <w:sz w:val="24"/>
          <w:highlight w:val="none"/>
        </w:rPr>
        <w:t>无，按下述2.4.2-2.4.7项规定修正。</w:t>
      </w:r>
    </w:p>
    <w:p w14:paraId="6AB55E8A">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28CD241E">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2F84E1A4">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74051805">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4390F935">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73D0C588">
      <w:pPr>
        <w:numPr>
          <w:ilvl w:val="2"/>
          <w:numId w:val="11"/>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w:t>
      </w:r>
    </w:p>
    <w:p w14:paraId="3B6847F1">
      <w:pPr>
        <w:numPr>
          <w:ilvl w:val="2"/>
          <w:numId w:val="11"/>
        </w:numPr>
        <w:tabs>
          <w:tab w:val="left" w:pos="1080"/>
          <w:tab w:val="left" w:pos="1589"/>
          <w:tab w:val="left" w:pos="2035"/>
          <w:tab w:val="left" w:pos="2114"/>
        </w:tabs>
        <w:snapToGrid w:val="0"/>
        <w:spacing w:line="360" w:lineRule="auto"/>
        <w:ind w:left="2035"/>
        <w:rPr>
          <w:color w:val="auto"/>
          <w:sz w:val="24"/>
          <w:highlight w:val="none"/>
        </w:rPr>
      </w:pPr>
      <w:r>
        <w:rPr>
          <w:rFonts w:hint="eastAsia"/>
          <w:color w:val="auto"/>
          <w:sz w:val="24"/>
          <w:highlight w:val="none"/>
        </w:rPr>
        <w:t>修正后的报价经投标人书面确认后产生约束力，投标人不确认的，</w:t>
      </w:r>
      <w:r>
        <w:rPr>
          <w:rFonts w:hint="eastAsia"/>
          <w:b/>
          <w:bCs/>
          <w:color w:val="auto"/>
          <w:sz w:val="24"/>
          <w:highlight w:val="none"/>
        </w:rPr>
        <w:t>其投标无效。</w:t>
      </w:r>
    </w:p>
    <w:p w14:paraId="07DEDB20">
      <w:pPr>
        <w:numPr>
          <w:ilvl w:val="1"/>
          <w:numId w:val="11"/>
        </w:numPr>
        <w:tabs>
          <w:tab w:val="left" w:pos="1080"/>
        </w:tabs>
        <w:snapToGrid w:val="0"/>
        <w:spacing w:line="360" w:lineRule="auto"/>
        <w:ind w:left="1077" w:hanging="720"/>
        <w:rPr>
          <w:color w:val="auto"/>
          <w:sz w:val="24"/>
          <w:highlight w:val="none"/>
        </w:rPr>
      </w:pPr>
      <w:r>
        <w:rPr>
          <w:rFonts w:hint="eastAsia"/>
          <w:color w:val="auto"/>
          <w:sz w:val="24"/>
          <w:highlight w:val="none"/>
        </w:rPr>
        <w:t>支持中小企业</w:t>
      </w:r>
      <w:r>
        <w:rPr>
          <w:color w:val="auto"/>
          <w:sz w:val="24"/>
          <w:highlight w:val="none"/>
        </w:rPr>
        <w:t>政府采购政策的价格调整：只有符合第二章《投标人须知》5.3条规定情形的，可以享受中小企业扶持政策，用扣除后的价格参加评审；否则，评标时价格不予扣除。</w:t>
      </w:r>
    </w:p>
    <w:p w14:paraId="161B74F2">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对于未预留份额专门面向中小企业采购的采购项目，以及预留份额项目中的非预留部分采购包，对小微企业报价给予__</w:t>
      </w:r>
      <w:r>
        <w:rPr>
          <w:rFonts w:hint="eastAsia"/>
          <w:color w:val="auto"/>
          <w:sz w:val="24"/>
          <w:highlight w:val="none"/>
          <w:u w:val="single"/>
          <w:lang w:val="en-US" w:eastAsia="zh-CN"/>
        </w:rPr>
        <w:t>/</w:t>
      </w:r>
      <w:r>
        <w:rPr>
          <w:color w:val="auto"/>
          <w:sz w:val="24"/>
          <w:highlight w:val="none"/>
        </w:rPr>
        <w:t>_%的扣除，用扣除后的价格参加评审。</w:t>
      </w:r>
    </w:p>
    <w:p w14:paraId="577491C6">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color w:val="auto"/>
          <w:sz w:val="24"/>
          <w:highlight w:val="none"/>
          <w:u w:val="single"/>
          <w:lang w:val="en-US" w:eastAsia="zh-CN"/>
        </w:rPr>
        <w:t>/</w:t>
      </w:r>
      <w:r>
        <w:rPr>
          <w:color w:val="auto"/>
          <w:sz w:val="24"/>
          <w:highlight w:val="none"/>
        </w:rPr>
        <w:t>__%的扣除，用扣除后的价格参加评审。</w:t>
      </w:r>
    </w:p>
    <w:p w14:paraId="00EB7452">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4A9859B0">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57FCB33D">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7BEA9CB4">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3314CD55">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42E55617">
      <w:pPr>
        <w:numPr>
          <w:ilvl w:val="2"/>
          <w:numId w:val="11"/>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0D3E8CDD">
      <w:pPr>
        <w:numPr>
          <w:ilvl w:val="1"/>
          <w:numId w:val="11"/>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的价格调整：只有符合第二章《投标人须知》5.2条规定情形的，可以享受</w:t>
      </w:r>
      <w:r>
        <w:rPr>
          <w:rFonts w:hint="eastAsia"/>
          <w:color w:val="auto"/>
          <w:sz w:val="24"/>
          <w:highlight w:val="none"/>
        </w:rPr>
        <w:t>本国产品支持</w:t>
      </w:r>
      <w:r>
        <w:rPr>
          <w:color w:val="auto"/>
          <w:sz w:val="24"/>
          <w:highlight w:val="none"/>
        </w:rPr>
        <w:t>政策，用扣除后的价格参加评审；否则，评标时价格不予扣除。</w:t>
      </w:r>
    </w:p>
    <w:p w14:paraId="63E34F20">
      <w:pPr>
        <w:numPr>
          <w:ilvl w:val="2"/>
          <w:numId w:val="11"/>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2CAB320E">
      <w:pPr>
        <w:numPr>
          <w:ilvl w:val="2"/>
          <w:numId w:val="11"/>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584797D">
      <w:pPr>
        <w:numPr>
          <w:ilvl w:val="2"/>
          <w:numId w:val="11"/>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应当按照招标文件给定的格式出具《</w:t>
      </w:r>
      <w:r>
        <w:rPr>
          <w:rFonts w:hint="eastAsia"/>
          <w:color w:val="auto"/>
          <w:sz w:val="24"/>
          <w:highlight w:val="none"/>
        </w:rPr>
        <w:t>关于符合本国产品标准的</w:t>
      </w:r>
      <w:r>
        <w:rPr>
          <w:color w:val="auto"/>
          <w:sz w:val="24"/>
          <w:highlight w:val="none"/>
        </w:rPr>
        <w:t>声明函》</w:t>
      </w:r>
      <w:r>
        <w:rPr>
          <w:rFonts w:hint="eastAsia"/>
          <w:color w:val="auto"/>
          <w:sz w:val="24"/>
          <w:highlight w:val="none"/>
        </w:rPr>
        <w:t>或提供财政部会同有关部门规定的有关证明文件</w:t>
      </w:r>
      <w:r>
        <w:rPr>
          <w:color w:val="auto"/>
          <w:sz w:val="24"/>
          <w:highlight w:val="none"/>
        </w:rPr>
        <w:t>，否则</w:t>
      </w:r>
      <w:r>
        <w:rPr>
          <w:rFonts w:hint="eastAsia"/>
          <w:color w:val="auto"/>
          <w:sz w:val="24"/>
          <w:highlight w:val="none"/>
        </w:rPr>
        <w:t>视为非本国产品。</w:t>
      </w:r>
      <w:r>
        <w:rPr>
          <w:rFonts w:hint="eastAsia"/>
          <w:color w:val="auto"/>
          <w:sz w:val="24"/>
          <w:highlight w:val="none"/>
          <w:lang w:eastAsia="zh-CN"/>
        </w:rPr>
        <w:t>（</w:t>
      </w:r>
      <w:r>
        <w:rPr>
          <w:rFonts w:hint="eastAsia"/>
          <w:color w:val="auto"/>
          <w:sz w:val="24"/>
          <w:highlight w:val="none"/>
          <w:lang w:val="en-US" w:eastAsia="zh-CN"/>
        </w:rPr>
        <w:t>本项目不适用</w:t>
      </w:r>
      <w:r>
        <w:rPr>
          <w:rFonts w:hint="eastAsia"/>
          <w:color w:val="auto"/>
          <w:sz w:val="24"/>
          <w:highlight w:val="none"/>
          <w:lang w:eastAsia="zh-CN"/>
        </w:rPr>
        <w:t>）</w:t>
      </w:r>
    </w:p>
    <w:p w14:paraId="0CC3F489">
      <w:pPr>
        <w:numPr>
          <w:ilvl w:val="0"/>
          <w:numId w:val="11"/>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投标文件的比较和评价</w:t>
      </w:r>
      <w:bookmarkEnd w:id="772"/>
      <w:bookmarkEnd w:id="773"/>
    </w:p>
    <w:p w14:paraId="3E78D456">
      <w:pPr>
        <w:numPr>
          <w:ilvl w:val="1"/>
          <w:numId w:val="11"/>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1B4996DE">
      <w:pPr>
        <w:numPr>
          <w:ilvl w:val="1"/>
          <w:numId w:val="11"/>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评标方法和评标标准</w:t>
      </w:r>
    </w:p>
    <w:p w14:paraId="7FD42038">
      <w:pPr>
        <w:numPr>
          <w:ilvl w:val="2"/>
          <w:numId w:val="11"/>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本项目采用的评标方法为：</w:t>
      </w:r>
    </w:p>
    <w:p w14:paraId="48DF3623">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49762978">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2" w:char="00A3"/>
      </w:r>
      <w:r>
        <w:rPr>
          <w:rFonts w:hint="eastAsia" w:ascii="宋体" w:hAnsi="宋体" w:eastAsia="宋体" w:cs="宋体"/>
          <w:color w:val="auto"/>
          <w:sz w:val="24"/>
          <w:highlight w:val="none"/>
        </w:rPr>
        <w:t>最低评标价法，指投标文件满足招标文件全部实质性要求，且投标报价最低的投标人为中标候选人的评标方法。</w:t>
      </w:r>
    </w:p>
    <w:p w14:paraId="2E03DCAC">
      <w:pPr>
        <w:numPr>
          <w:ilvl w:val="2"/>
          <w:numId w:val="11"/>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067573AD">
      <w:p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2" w:char="00A3"/>
      </w:r>
      <w:r>
        <w:rPr>
          <w:rFonts w:hint="eastAsia" w:ascii="宋体" w:hAnsi="宋体" w:eastAsia="宋体" w:cs="宋体"/>
          <w:color w:val="auto"/>
          <w:sz w:val="24"/>
          <w:highlight w:val="none"/>
        </w:rPr>
        <w:t>随机抽取</w:t>
      </w:r>
    </w:p>
    <w:p w14:paraId="1CDAF703">
      <w:pPr>
        <w:tabs>
          <w:tab w:val="left" w:pos="1080"/>
          <w:tab w:val="left" w:pos="1589"/>
          <w:tab w:val="left" w:pos="2035"/>
        </w:tabs>
        <w:snapToGrid w:val="0"/>
        <w:spacing w:line="360" w:lineRule="auto"/>
        <w:ind w:left="203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sym w:font="Wingdings 2" w:char="00A3"/>
      </w:r>
      <w:r>
        <w:rPr>
          <w:rFonts w:hint="eastAsia" w:ascii="宋体" w:hAnsi="宋体" w:eastAsia="宋体" w:cs="宋体"/>
          <w:color w:val="auto"/>
          <w:sz w:val="24"/>
          <w:highlight w:val="none"/>
        </w:rPr>
        <w:t>其他方式，具体要求：</w:t>
      </w:r>
      <w:r>
        <w:rPr>
          <w:rFonts w:hint="eastAsia" w:ascii="宋体" w:hAnsi="宋体" w:eastAsia="宋体" w:cs="宋体"/>
          <w:color w:val="auto"/>
          <w:sz w:val="24"/>
          <w:highlight w:val="none"/>
          <w:u w:val="single"/>
        </w:rPr>
        <w:t xml:space="preserve">  /  </w:t>
      </w:r>
    </w:p>
    <w:p w14:paraId="116FB75D">
      <w:pPr>
        <w:numPr>
          <w:ilvl w:val="2"/>
          <w:numId w:val="11"/>
        </w:numPr>
        <w:tabs>
          <w:tab w:val="left" w:pos="1080"/>
          <w:tab w:val="left" w:pos="1589"/>
          <w:tab w:val="left" w:pos="2035"/>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非政府强制采购的节能产品或环境标志产品，依据品目清单和认证证书实施政府优先采购。优先采购的具体规定（如涉及）</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69034F30">
      <w:pPr>
        <w:numPr>
          <w:ilvl w:val="0"/>
          <w:numId w:val="11"/>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确定</w:t>
      </w:r>
      <w:bookmarkStart w:id="793" w:name="_Toc142311048"/>
      <w:bookmarkStart w:id="794" w:name="_Toc151190173"/>
      <w:bookmarkStart w:id="795" w:name="_Toc150774646"/>
      <w:bookmarkStart w:id="796" w:name="_Toc164351640"/>
      <w:bookmarkStart w:id="797" w:name="_Toc127151546"/>
      <w:bookmarkStart w:id="798" w:name="_Toc164608815"/>
      <w:bookmarkStart w:id="799" w:name="_Toc150774751"/>
      <w:bookmarkStart w:id="800" w:name="_Toc226337242"/>
      <w:bookmarkStart w:id="801" w:name="_Toc151193860"/>
      <w:bookmarkStart w:id="802" w:name="_Toc226965819"/>
      <w:bookmarkStart w:id="803" w:name="_Toc164229241"/>
      <w:bookmarkStart w:id="804" w:name="_Toc226965736"/>
      <w:bookmarkStart w:id="805" w:name="_Toc151193934"/>
      <w:bookmarkStart w:id="806" w:name="_Toc520356170"/>
      <w:bookmarkStart w:id="807" w:name="_Toc265228384"/>
      <w:bookmarkStart w:id="808" w:name="_Toc127151747"/>
      <w:bookmarkStart w:id="809" w:name="_Toc151193644"/>
      <w:bookmarkStart w:id="810" w:name="_Toc305158814"/>
      <w:bookmarkStart w:id="811" w:name="_Toc226309790"/>
      <w:bookmarkStart w:id="812" w:name="_Toc195842911"/>
      <w:bookmarkStart w:id="813" w:name="_Toc151193788"/>
      <w:bookmarkStart w:id="814" w:name="_Toc149720839"/>
      <w:bookmarkStart w:id="815" w:name="_Toc150480784"/>
      <w:bookmarkStart w:id="816" w:name="_Toc264969236"/>
      <w:bookmarkStart w:id="817" w:name="_Toc305158888"/>
      <w:bookmarkStart w:id="818" w:name="_Toc127161460"/>
      <w:bookmarkStart w:id="819" w:name="_Toc164608660"/>
      <w:bookmarkStart w:id="820" w:name="_Toc150509297"/>
      <w:bookmarkStart w:id="821" w:name="_Ref467307010"/>
      <w:bookmarkStart w:id="822" w:name="_Toc151193716"/>
      <w:bookmarkStart w:id="823" w:name="_Toc164229387"/>
      <w:r>
        <w:rPr>
          <w:rFonts w:hint="eastAsia" w:ascii="宋体" w:hAnsi="宋体" w:eastAsia="宋体" w:cs="宋体"/>
          <w:color w:val="auto"/>
          <w:sz w:val="24"/>
          <w:highlight w:val="none"/>
        </w:rPr>
        <w:t>中标候选人名单</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25F46783">
      <w:pPr>
        <w:numPr>
          <w:ilvl w:val="1"/>
          <w:numId w:val="11"/>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D4866DE">
      <w:pPr>
        <w:pStyle w:val="23"/>
        <w:tabs>
          <w:tab w:val="left" w:pos="900"/>
          <w:tab w:val="left" w:pos="2127"/>
        </w:tabs>
        <w:adjustRightInd w:val="0"/>
        <w:snapToGrid w:val="0"/>
        <w:spacing w:line="360" w:lineRule="auto"/>
        <w:ind w:left="993" w:firstLine="136" w:firstLineChars="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随机抽取</w:t>
      </w:r>
    </w:p>
    <w:p w14:paraId="28F8EC6F">
      <w:pPr>
        <w:pStyle w:val="23"/>
        <w:tabs>
          <w:tab w:val="left" w:pos="900"/>
          <w:tab w:val="left" w:pos="2127"/>
        </w:tabs>
        <w:adjustRightInd w:val="0"/>
        <w:snapToGrid w:val="0"/>
        <w:spacing w:line="360" w:lineRule="auto"/>
        <w:ind w:left="993" w:firstLine="137" w:firstLineChars="57"/>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szCs w:val="24"/>
          <w:highlight w:val="none"/>
        </w:rPr>
        <w:t>其他方式，具体要求：</w:t>
      </w:r>
      <w:r>
        <w:rPr>
          <w:rFonts w:hint="eastAsia" w:ascii="宋体" w:hAnsi="宋体" w:eastAsia="宋体" w:cs="宋体"/>
          <w:color w:val="auto"/>
          <w:sz w:val="24"/>
          <w:highlight w:val="none"/>
          <w:u w:val="single"/>
        </w:rPr>
        <w:t>投标报价低者获推荐；价格仍相同的，由评标委员会按照少数服从多数原则推荐产生一个投标人获得中标人推荐资格。</w:t>
      </w:r>
    </w:p>
    <w:p w14:paraId="3CFAF8AA">
      <w:pPr>
        <w:numPr>
          <w:ilvl w:val="1"/>
          <w:numId w:val="11"/>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976C197">
      <w:pPr>
        <w:numPr>
          <w:ilvl w:val="1"/>
          <w:numId w:val="11"/>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5DEDEB83">
      <w:pPr>
        <w:numPr>
          <w:ilvl w:val="1"/>
          <w:numId w:val="11"/>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评标委员会要对评分汇总情况进行复核，特别是对排名第一的、报价最低的、投标或响应文件被认定为无效的情形进行重点复核。</w:t>
      </w:r>
    </w:p>
    <w:p w14:paraId="1ECDCF9D">
      <w:pPr>
        <w:numPr>
          <w:ilvl w:val="1"/>
          <w:numId w:val="11"/>
        </w:numPr>
        <w:tabs>
          <w:tab w:val="left" w:pos="1080"/>
        </w:tabs>
        <w:snapToGrid w:val="0"/>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评标委员会将根据各投标人的评标排序，依次推荐本项目（各采购包）的中标候选人，起草并签署评标报告。本项目（各采购包）评标委员会共（各）推荐</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名中标候选人。</w:t>
      </w:r>
    </w:p>
    <w:p w14:paraId="293CAF7B">
      <w:pPr>
        <w:numPr>
          <w:ilvl w:val="0"/>
          <w:numId w:val="11"/>
        </w:numPr>
        <w:tabs>
          <w:tab w:val="left" w:pos="360"/>
        </w:tabs>
        <w:snapToGrid w:val="0"/>
        <w:spacing w:line="360" w:lineRule="auto"/>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报告违法行为</w:t>
      </w:r>
    </w:p>
    <w:p w14:paraId="772D501C">
      <w:pPr>
        <w:numPr>
          <w:ilvl w:val="1"/>
          <w:numId w:val="11"/>
        </w:numPr>
        <w:tabs>
          <w:tab w:val="left" w:pos="1080"/>
        </w:tabs>
        <w:snapToGrid w:val="0"/>
        <w:spacing w:line="360" w:lineRule="auto"/>
        <w:ind w:left="1077" w:hanging="720"/>
        <w:rPr>
          <w:rFonts w:hint="eastAsia" w:ascii="宋体" w:hAnsi="宋体" w:eastAsia="宋体" w:cs="宋体"/>
          <w:b/>
          <w:color w:val="auto"/>
          <w:sz w:val="24"/>
          <w:highlight w:val="none"/>
        </w:rPr>
      </w:pPr>
      <w:r>
        <w:rPr>
          <w:rFonts w:hint="eastAsia" w:ascii="宋体" w:hAnsi="宋体" w:eastAsia="宋体" w:cs="宋体"/>
          <w:color w:val="auto"/>
          <w:sz w:val="24"/>
          <w:highlight w:val="none"/>
        </w:rPr>
        <w:t>评标委员会在评标过程中发现投标人有行贿、提供虚假材料或者串通等违法行为时，应当及时向财政部门报告。</w:t>
      </w:r>
      <w:r>
        <w:rPr>
          <w:rFonts w:hint="eastAsia" w:ascii="宋体" w:hAnsi="宋体" w:eastAsia="宋体" w:cs="宋体"/>
          <w:b/>
          <w:color w:val="auto"/>
          <w:sz w:val="24"/>
          <w:highlight w:val="none"/>
        </w:rPr>
        <w:br w:type="page"/>
      </w:r>
    </w:p>
    <w:p w14:paraId="222D17F3">
      <w:pPr>
        <w:tabs>
          <w:tab w:val="left" w:pos="360"/>
          <w:tab w:val="left" w:pos="900"/>
        </w:tabs>
        <w:snapToGrid w:val="0"/>
        <w:spacing w:line="360" w:lineRule="auto"/>
        <w:jc w:val="center"/>
        <w:outlineLvl w:val="1"/>
        <w:rPr>
          <w:rFonts w:hint="eastAsia" w:ascii="宋体" w:hAnsi="宋体" w:eastAsia="宋体" w:cs="宋体"/>
          <w:b/>
          <w:color w:val="auto"/>
          <w:highlight w:val="none"/>
        </w:rPr>
      </w:pPr>
      <w:r>
        <w:rPr>
          <w:rFonts w:hint="eastAsia" w:ascii="宋体" w:hAnsi="宋体" w:eastAsia="宋体" w:cs="宋体"/>
          <w:b/>
          <w:color w:val="auto"/>
          <w:sz w:val="24"/>
          <w:highlight w:val="none"/>
        </w:rPr>
        <w:t>二、评标标准</w:t>
      </w:r>
    </w:p>
    <w:tbl>
      <w:tblPr>
        <w:tblStyle w:val="45"/>
        <w:tblW w:w="9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
        <w:gridCol w:w="1272"/>
        <w:gridCol w:w="660"/>
        <w:gridCol w:w="6624"/>
      </w:tblGrid>
      <w:tr w14:paraId="19CB4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487" w:type="dxa"/>
            <w:vAlign w:val="center"/>
          </w:tcPr>
          <w:p w14:paraId="3FEF48DC">
            <w:pPr>
              <w:ind w:firstLine="28"/>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序号</w:t>
            </w:r>
          </w:p>
        </w:tc>
        <w:tc>
          <w:tcPr>
            <w:tcW w:w="1272" w:type="dxa"/>
            <w:vAlign w:val="center"/>
          </w:tcPr>
          <w:p w14:paraId="44C986F1">
            <w:pPr>
              <w:ind w:firstLine="28"/>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评分因素</w:t>
            </w:r>
          </w:p>
        </w:tc>
        <w:tc>
          <w:tcPr>
            <w:tcW w:w="660" w:type="dxa"/>
            <w:vAlign w:val="center"/>
          </w:tcPr>
          <w:p w14:paraId="43C0DB1F">
            <w:pPr>
              <w:ind w:firstLine="28"/>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分值</w:t>
            </w:r>
          </w:p>
        </w:tc>
        <w:tc>
          <w:tcPr>
            <w:tcW w:w="6624" w:type="dxa"/>
            <w:vAlign w:val="center"/>
          </w:tcPr>
          <w:p w14:paraId="0FB882E5">
            <w:pPr>
              <w:ind w:firstLine="28"/>
              <w:jc w:val="center"/>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评分标准</w:t>
            </w:r>
          </w:p>
        </w:tc>
      </w:tr>
      <w:tr w14:paraId="2484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9043" w:type="dxa"/>
            <w:gridSpan w:val="4"/>
            <w:vAlign w:val="center"/>
          </w:tcPr>
          <w:p w14:paraId="23BA10A2">
            <w:pPr>
              <w:pStyle w:val="252"/>
              <w:spacing w:before="0" w:after="0" w:line="240" w:lineRule="auto"/>
              <w:jc w:val="left"/>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一、投标报价（10分）</w:t>
            </w:r>
          </w:p>
        </w:tc>
      </w:tr>
      <w:tr w14:paraId="05466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066A33F1">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72" w:type="dxa"/>
            <w:vAlign w:val="center"/>
          </w:tcPr>
          <w:p w14:paraId="1222D293">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660" w:type="dxa"/>
            <w:vAlign w:val="center"/>
          </w:tcPr>
          <w:p w14:paraId="0478E980">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624" w:type="dxa"/>
            <w:vAlign w:val="center"/>
          </w:tcPr>
          <w:p w14:paraId="07EA9A1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满足招标文件要求且</w:t>
            </w:r>
            <w:r>
              <w:rPr>
                <w:rFonts w:hint="eastAsia" w:ascii="宋体" w:hAnsi="宋体" w:eastAsia="宋体" w:cs="宋体"/>
                <w:color w:val="auto"/>
                <w:sz w:val="21"/>
                <w:szCs w:val="21"/>
                <w:highlight w:val="none"/>
                <w:lang w:eastAsia="zh-CN"/>
              </w:rPr>
              <w:t>投标报价</w:t>
            </w:r>
            <w:r>
              <w:rPr>
                <w:rFonts w:hint="eastAsia" w:ascii="宋体" w:hAnsi="宋体" w:eastAsia="宋体" w:cs="宋体"/>
                <w:color w:val="auto"/>
                <w:sz w:val="21"/>
                <w:szCs w:val="21"/>
                <w:highlight w:val="none"/>
              </w:rPr>
              <w:t>最低的</w:t>
            </w:r>
            <w:r>
              <w:rPr>
                <w:rFonts w:hint="eastAsia" w:ascii="宋体" w:hAnsi="宋体" w:eastAsia="宋体" w:cs="宋体"/>
                <w:color w:val="auto"/>
                <w:sz w:val="21"/>
                <w:szCs w:val="21"/>
                <w:highlight w:val="none"/>
                <w:lang w:eastAsia="zh-CN"/>
              </w:rPr>
              <w:t>投标报价</w:t>
            </w:r>
            <w:r>
              <w:rPr>
                <w:rFonts w:hint="eastAsia" w:ascii="宋体" w:hAnsi="宋体" w:eastAsia="宋体" w:cs="宋体"/>
                <w:color w:val="auto"/>
                <w:sz w:val="21"/>
                <w:szCs w:val="21"/>
                <w:highlight w:val="none"/>
              </w:rPr>
              <w:t>为评标基准价，其价格分为满分。其他投标人的价格分统一按照下列公式计算：</w:t>
            </w:r>
          </w:p>
          <w:p w14:paraId="5C29F2B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投标报价</w:t>
            </w:r>
            <w:r>
              <w:rPr>
                <w:rFonts w:hint="eastAsia" w:ascii="宋体" w:hAnsi="宋体" w:eastAsia="宋体" w:cs="宋体"/>
                <w:color w:val="auto"/>
                <w:sz w:val="21"/>
                <w:szCs w:val="21"/>
                <w:highlight w:val="none"/>
              </w:rPr>
              <w:t>得分＝（评标基准价/</w:t>
            </w:r>
            <w:r>
              <w:rPr>
                <w:rFonts w:hint="eastAsia" w:ascii="宋体" w:hAnsi="宋体" w:eastAsia="宋体" w:cs="宋体"/>
                <w:color w:val="auto"/>
                <w:sz w:val="21"/>
                <w:szCs w:val="21"/>
                <w:highlight w:val="none"/>
                <w:lang w:eastAsia="zh-CN"/>
              </w:rPr>
              <w:t>投标报价</w:t>
            </w:r>
            <w:r>
              <w:rPr>
                <w:rFonts w:hint="eastAsia" w:ascii="宋体" w:hAnsi="宋体" w:eastAsia="宋体" w:cs="宋体"/>
                <w:color w:val="auto"/>
                <w:sz w:val="21"/>
                <w:szCs w:val="21"/>
                <w:highlight w:val="none"/>
              </w:rPr>
              <w:t>）×10。</w:t>
            </w:r>
          </w:p>
          <w:p w14:paraId="4A25E3CB">
            <w:pPr>
              <w:ind w:left="-3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w:t>
            </w:r>
            <w:r>
              <w:rPr>
                <w:rFonts w:hint="eastAsia" w:ascii="宋体" w:hAnsi="宋体" w:eastAsia="宋体" w:cs="宋体"/>
                <w:color w:val="auto"/>
                <w:sz w:val="21"/>
                <w:szCs w:val="21"/>
                <w:highlight w:val="none"/>
              </w:rPr>
              <w:t>此处投标报价指经过报价修正，及因落实政府采购政策进行价格调整后的报价，详见第四章《评标程序、评标方法和评标标准》2.4、2.5及2.6。</w:t>
            </w:r>
          </w:p>
        </w:tc>
      </w:tr>
      <w:tr w14:paraId="2D40B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9043" w:type="dxa"/>
            <w:gridSpan w:val="4"/>
            <w:vAlign w:val="center"/>
          </w:tcPr>
          <w:p w14:paraId="695F3A29">
            <w:pPr>
              <w:pStyle w:val="252"/>
              <w:spacing w:before="0" w:after="0" w:line="240" w:lineRule="auto"/>
              <w:jc w:val="left"/>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二、商务部分（</w:t>
            </w:r>
            <w:r>
              <w:rPr>
                <w:rFonts w:hint="eastAsia" w:ascii="宋体" w:hAnsi="宋体" w:eastAsia="宋体" w:cs="宋体"/>
                <w:b w:val="0"/>
                <w:bCs/>
                <w:color w:val="auto"/>
                <w:sz w:val="21"/>
                <w:szCs w:val="21"/>
                <w:highlight w:val="none"/>
                <w:lang w:val="en-US" w:eastAsia="zh-CN"/>
              </w:rPr>
              <w:t>15</w:t>
            </w:r>
            <w:r>
              <w:rPr>
                <w:rFonts w:hint="eastAsia" w:ascii="宋体" w:hAnsi="宋体" w:eastAsia="宋体" w:cs="宋体"/>
                <w:b w:val="0"/>
                <w:bCs/>
                <w:color w:val="auto"/>
                <w:sz w:val="21"/>
                <w:szCs w:val="21"/>
                <w:highlight w:val="none"/>
              </w:rPr>
              <w:t>分）</w:t>
            </w:r>
          </w:p>
        </w:tc>
      </w:tr>
      <w:tr w14:paraId="6E12F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04AB1D8C">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72" w:type="dxa"/>
            <w:vAlign w:val="center"/>
          </w:tcPr>
          <w:p w14:paraId="36CE4EBF">
            <w:pPr>
              <w:widowControl/>
              <w:jc w:val="center"/>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bidi="ar"/>
              </w:rPr>
              <w:t>企业类似项目业绩</w:t>
            </w:r>
          </w:p>
        </w:tc>
        <w:tc>
          <w:tcPr>
            <w:tcW w:w="660" w:type="dxa"/>
            <w:vAlign w:val="center"/>
          </w:tcPr>
          <w:p w14:paraId="0F4DFB3E">
            <w:pPr>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6624" w:type="dxa"/>
            <w:vAlign w:val="center"/>
          </w:tcPr>
          <w:p w14:paraId="17185790">
            <w:pPr>
              <w:ind w:firstLine="28"/>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提供投标人近3年（</w:t>
            </w:r>
            <w:r>
              <w:rPr>
                <w:rFonts w:hint="eastAsia" w:ascii="宋体" w:hAnsi="宋体" w:eastAsia="宋体" w:cs="宋体"/>
                <w:b/>
                <w:bCs/>
                <w:color w:val="auto"/>
                <w:sz w:val="21"/>
                <w:szCs w:val="21"/>
                <w:highlight w:val="none"/>
                <w:lang w:eastAsia="zh-CN"/>
              </w:rPr>
              <w:t>202</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eastAsia="zh-CN"/>
              </w:rPr>
              <w:t>年</w:t>
            </w:r>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lang w:eastAsia="zh-CN"/>
              </w:rPr>
              <w:t>月</w:t>
            </w:r>
            <w:r>
              <w:rPr>
                <w:rFonts w:hint="eastAsia" w:ascii="宋体" w:hAnsi="宋体" w:eastAsia="宋体" w:cs="宋体"/>
                <w:b/>
                <w:bCs/>
                <w:color w:val="auto"/>
                <w:sz w:val="21"/>
                <w:szCs w:val="21"/>
                <w:highlight w:val="none"/>
                <w:lang w:val="en-US" w:eastAsia="zh-CN"/>
              </w:rPr>
              <w:t>1日</w:t>
            </w:r>
            <w:r>
              <w:rPr>
                <w:rFonts w:hint="eastAsia" w:ascii="宋体" w:hAnsi="宋体" w:eastAsia="宋体" w:cs="宋体"/>
                <w:b/>
                <w:bCs/>
                <w:color w:val="auto"/>
                <w:sz w:val="21"/>
                <w:szCs w:val="21"/>
                <w:highlight w:val="none"/>
                <w:lang w:eastAsia="zh-CN"/>
              </w:rPr>
              <w:t>至</w:t>
            </w:r>
            <w:r>
              <w:rPr>
                <w:rFonts w:hint="eastAsia" w:ascii="宋体" w:hAnsi="宋体" w:eastAsia="宋体" w:cs="宋体"/>
                <w:b/>
                <w:bCs/>
                <w:color w:val="auto"/>
                <w:sz w:val="21"/>
                <w:szCs w:val="21"/>
                <w:highlight w:val="none"/>
                <w:lang w:val="en-US" w:eastAsia="zh-CN"/>
              </w:rPr>
              <w:t>提交投标文件截止时间止</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已完成或在施的类似</w:t>
            </w:r>
            <w:r>
              <w:rPr>
                <w:rFonts w:hint="eastAsia" w:ascii="宋体" w:hAnsi="宋体" w:eastAsia="宋体" w:cs="宋体"/>
                <w:b/>
                <w:bCs/>
                <w:color w:val="auto"/>
                <w:sz w:val="21"/>
                <w:szCs w:val="21"/>
                <w:highlight w:val="none"/>
                <w:lang w:val="en-US" w:eastAsia="zh-CN"/>
              </w:rPr>
              <w:t>供热服务</w:t>
            </w:r>
            <w:r>
              <w:rPr>
                <w:rFonts w:hint="eastAsia" w:ascii="宋体" w:hAnsi="宋体" w:eastAsia="宋体" w:cs="宋体"/>
                <w:color w:val="auto"/>
                <w:sz w:val="21"/>
                <w:szCs w:val="21"/>
                <w:highlight w:val="none"/>
                <w:lang w:eastAsia="zh-CN"/>
              </w:rPr>
              <w:t xml:space="preserve">业绩，每提供1个得4分，最多得12分；未提供不得分。 </w:t>
            </w:r>
          </w:p>
          <w:p w14:paraId="4DEB351E">
            <w:pPr>
              <w:ind w:firstLine="2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（须提供相应的合同首页、服务内容页、与合同双方盖章页复印件并加盖公章，未按要求提供完整材料的不得分）。</w:t>
            </w:r>
          </w:p>
          <w:p w14:paraId="12A4514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合同有效时间以签订合同的时间为准。</w:t>
            </w:r>
          </w:p>
        </w:tc>
      </w:tr>
      <w:tr w14:paraId="3676E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487" w:type="dxa"/>
            <w:vAlign w:val="center"/>
          </w:tcPr>
          <w:p w14:paraId="71057B1F">
            <w:pPr>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272" w:type="dxa"/>
            <w:vAlign w:val="center"/>
          </w:tcPr>
          <w:p w14:paraId="5716DDE2">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kern w:val="0"/>
                <w:sz w:val="21"/>
                <w:szCs w:val="21"/>
                <w:highlight w:val="none"/>
                <w:lang w:val="en-US" w:eastAsia="zh-CN" w:bidi="ar"/>
              </w:rPr>
              <w:t>项目经理</w:t>
            </w:r>
          </w:p>
        </w:tc>
        <w:tc>
          <w:tcPr>
            <w:tcW w:w="660" w:type="dxa"/>
            <w:vAlign w:val="center"/>
          </w:tcPr>
          <w:p w14:paraId="7EDA6E63">
            <w:pPr>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6624" w:type="dxa"/>
            <w:vAlign w:val="center"/>
          </w:tcPr>
          <w:p w14:paraId="7E23028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拟派项目经理具有特种设备作业人员A类证书</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rPr>
              <w:t>得3分，未提供不得分。</w:t>
            </w:r>
          </w:p>
          <w:p w14:paraId="29EF31C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须提供证书复印件加盖公章。</w:t>
            </w:r>
          </w:p>
        </w:tc>
      </w:tr>
      <w:tr w14:paraId="1CC6F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9043" w:type="dxa"/>
            <w:gridSpan w:val="4"/>
            <w:vAlign w:val="center"/>
          </w:tcPr>
          <w:p w14:paraId="46CF075F">
            <w:pPr>
              <w:pStyle w:val="252"/>
              <w:spacing w:before="0" w:after="0" w:line="240" w:lineRule="auto"/>
              <w:jc w:val="left"/>
              <w:rPr>
                <w:rFonts w:hint="eastAsia" w:ascii="宋体" w:hAnsi="宋体" w:eastAsia="宋体" w:cs="宋体"/>
                <w:color w:val="auto"/>
                <w:sz w:val="22"/>
                <w:szCs w:val="22"/>
                <w:highlight w:val="none"/>
              </w:rPr>
            </w:pPr>
            <w:r>
              <w:rPr>
                <w:rFonts w:hint="eastAsia" w:ascii="宋体" w:hAnsi="宋体" w:eastAsia="宋体" w:cs="宋体"/>
                <w:b w:val="0"/>
                <w:bCs/>
                <w:color w:val="auto"/>
                <w:sz w:val="21"/>
                <w:szCs w:val="21"/>
                <w:highlight w:val="none"/>
                <w:lang w:val="en-US" w:eastAsia="zh-CN"/>
              </w:rPr>
              <w:t>三</w:t>
            </w:r>
            <w:r>
              <w:rPr>
                <w:rFonts w:hint="eastAsia" w:ascii="宋体" w:hAnsi="宋体" w:eastAsia="宋体" w:cs="宋体"/>
                <w:b w:val="0"/>
                <w:bCs/>
                <w:color w:val="auto"/>
                <w:sz w:val="21"/>
                <w:szCs w:val="21"/>
                <w:highlight w:val="none"/>
              </w:rPr>
              <w:t>、技术部分（</w:t>
            </w:r>
            <w:r>
              <w:rPr>
                <w:rFonts w:hint="eastAsia" w:ascii="宋体" w:hAnsi="宋体" w:eastAsia="宋体" w:cs="宋体"/>
                <w:b w:val="0"/>
                <w:bCs/>
                <w:color w:val="auto"/>
                <w:sz w:val="21"/>
                <w:szCs w:val="21"/>
                <w:highlight w:val="none"/>
                <w:lang w:val="en-US" w:eastAsia="zh-CN"/>
              </w:rPr>
              <w:t>75</w:t>
            </w:r>
            <w:r>
              <w:rPr>
                <w:rFonts w:hint="eastAsia" w:ascii="宋体" w:hAnsi="宋体" w:eastAsia="宋体" w:cs="宋体"/>
                <w:b w:val="0"/>
                <w:bCs/>
                <w:color w:val="auto"/>
                <w:sz w:val="21"/>
                <w:szCs w:val="21"/>
                <w:highlight w:val="none"/>
              </w:rPr>
              <w:t>分）</w:t>
            </w:r>
          </w:p>
        </w:tc>
      </w:tr>
      <w:tr w14:paraId="5DBAB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jc w:val="center"/>
        </w:trPr>
        <w:tc>
          <w:tcPr>
            <w:tcW w:w="487" w:type="dxa"/>
            <w:vAlign w:val="center"/>
          </w:tcPr>
          <w:p w14:paraId="5149BA3B">
            <w:pPr>
              <w:ind w:firstLine="28" w:firstLineChars="0"/>
              <w:jc w:val="center"/>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rPr>
              <w:t>1</w:t>
            </w:r>
          </w:p>
        </w:tc>
        <w:tc>
          <w:tcPr>
            <w:tcW w:w="1272" w:type="dxa"/>
            <w:vAlign w:val="center"/>
          </w:tcPr>
          <w:p w14:paraId="3E9F26C9">
            <w:pPr>
              <w:widowControl/>
              <w:jc w:val="center"/>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bidi="ar"/>
              </w:rPr>
              <w:t>运行维护方案</w:t>
            </w:r>
          </w:p>
        </w:tc>
        <w:tc>
          <w:tcPr>
            <w:tcW w:w="660" w:type="dxa"/>
            <w:vAlign w:val="center"/>
          </w:tcPr>
          <w:p w14:paraId="59580762">
            <w:pPr>
              <w:widowControl/>
              <w:ind w:firstLine="28"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val="en-US" w:eastAsia="zh-CN" w:bidi="ar"/>
              </w:rPr>
              <w:t>20</w:t>
            </w:r>
          </w:p>
        </w:tc>
        <w:tc>
          <w:tcPr>
            <w:tcW w:w="6624" w:type="dxa"/>
            <w:shd w:val="clear" w:color="auto" w:fill="auto"/>
            <w:vAlign w:val="center"/>
          </w:tcPr>
          <w:p w14:paraId="706CEEF3">
            <w:pPr>
              <w:widowControl/>
              <w:rPr>
                <w:rFonts w:hint="eastAsia" w:ascii="宋体" w:hAnsi="宋体" w:cs="宋体"/>
                <w:color w:val="auto"/>
                <w:kern w:val="0"/>
                <w:sz w:val="21"/>
                <w:szCs w:val="21"/>
                <w:highlight w:val="none"/>
                <w:lang w:bidi="ar"/>
              </w:rPr>
            </w:pPr>
            <w:bookmarkStart w:id="923" w:name="_GoBack"/>
            <w:r>
              <w:rPr>
                <w:rFonts w:hint="eastAsia" w:ascii="宋体" w:hAnsi="宋体" w:cs="宋体"/>
                <w:color w:val="auto"/>
                <w:kern w:val="0"/>
                <w:sz w:val="21"/>
                <w:szCs w:val="21"/>
                <w:highlight w:val="none"/>
                <w:lang w:bidi="ar"/>
              </w:rPr>
              <w:t>根据投标人提供的相关供暖、</w:t>
            </w:r>
            <w:r>
              <w:rPr>
                <w:rFonts w:hint="eastAsia" w:ascii="宋体" w:hAnsi="宋体" w:cs="宋体"/>
                <w:color w:val="auto"/>
                <w:kern w:val="0"/>
                <w:sz w:val="21"/>
                <w:szCs w:val="21"/>
                <w:highlight w:val="none"/>
                <w:lang w:val="en-US" w:eastAsia="zh-CN" w:bidi="ar"/>
              </w:rPr>
              <w:t>日常生活水供应</w:t>
            </w:r>
            <w:r>
              <w:rPr>
                <w:rFonts w:hint="eastAsia" w:ascii="宋体" w:hAnsi="宋体" w:cs="宋体"/>
                <w:color w:val="auto"/>
                <w:kern w:val="0"/>
                <w:sz w:val="21"/>
                <w:szCs w:val="21"/>
                <w:highlight w:val="none"/>
                <w:lang w:bidi="ar"/>
              </w:rPr>
              <w:t>运行维护方案的详细度、合理可行性等进行评审。</w:t>
            </w:r>
          </w:p>
          <w:p w14:paraId="6E2247DD">
            <w:pPr>
              <w:widowControl/>
              <w:rPr>
                <w:color w:val="auto"/>
                <w:sz w:val="21"/>
                <w:szCs w:val="21"/>
                <w:highlight w:val="none"/>
              </w:rPr>
            </w:pPr>
            <w:r>
              <w:rPr>
                <w:rFonts w:hint="eastAsia" w:ascii="宋体" w:hAnsi="宋体" w:cs="宋体"/>
                <w:color w:val="auto"/>
                <w:kern w:val="0"/>
                <w:sz w:val="21"/>
                <w:szCs w:val="21"/>
                <w:highlight w:val="none"/>
                <w:lang w:bidi="ar"/>
              </w:rPr>
              <w:t>方案内容齐全、结构完整、表述清楚准确、条理清晰得</w:t>
            </w:r>
            <w:r>
              <w:rPr>
                <w:rFonts w:hint="eastAsia" w:ascii="宋体" w:hAnsi="宋体" w:cs="宋体"/>
                <w:color w:val="auto"/>
                <w:kern w:val="0"/>
                <w:sz w:val="21"/>
                <w:szCs w:val="21"/>
                <w:highlight w:val="none"/>
                <w:lang w:val="en-US" w:eastAsia="zh-CN" w:bidi="ar"/>
              </w:rPr>
              <w:t>20</w:t>
            </w:r>
            <w:r>
              <w:rPr>
                <w:rFonts w:hint="eastAsia" w:ascii="宋体" w:hAnsi="宋体" w:cs="宋体"/>
                <w:color w:val="auto"/>
                <w:kern w:val="0"/>
                <w:sz w:val="21"/>
                <w:szCs w:val="21"/>
                <w:highlight w:val="none"/>
                <w:lang w:bidi="ar"/>
              </w:rPr>
              <w:t xml:space="preserve">分； </w:t>
            </w:r>
          </w:p>
          <w:p w14:paraId="76051B75">
            <w:pPr>
              <w:widowControl/>
              <w:rPr>
                <w:color w:val="auto"/>
                <w:sz w:val="21"/>
                <w:szCs w:val="21"/>
                <w:highlight w:val="none"/>
              </w:rPr>
            </w:pPr>
            <w:r>
              <w:rPr>
                <w:rFonts w:hint="eastAsia" w:ascii="宋体" w:hAnsi="宋体" w:cs="宋体"/>
                <w:color w:val="auto"/>
                <w:kern w:val="0"/>
                <w:sz w:val="21"/>
                <w:szCs w:val="21"/>
                <w:highlight w:val="none"/>
                <w:lang w:bidi="ar"/>
              </w:rPr>
              <w:t>方案内容较齐全、结构较完整、表述基本准确、条理较为清晰得</w:t>
            </w:r>
            <w:r>
              <w:rPr>
                <w:rFonts w:hint="eastAsia" w:ascii="宋体" w:hAnsi="宋体" w:cs="宋体"/>
                <w:color w:val="auto"/>
                <w:kern w:val="0"/>
                <w:sz w:val="21"/>
                <w:szCs w:val="21"/>
                <w:highlight w:val="none"/>
                <w:lang w:val="en-US" w:eastAsia="zh-CN" w:bidi="ar"/>
              </w:rPr>
              <w:t>15</w:t>
            </w:r>
            <w:r>
              <w:rPr>
                <w:rFonts w:hint="eastAsia" w:ascii="宋体" w:hAnsi="宋体" w:cs="宋体"/>
                <w:color w:val="auto"/>
                <w:kern w:val="0"/>
                <w:sz w:val="21"/>
                <w:szCs w:val="21"/>
                <w:highlight w:val="none"/>
                <w:lang w:bidi="ar"/>
              </w:rPr>
              <w:t xml:space="preserve">分； </w:t>
            </w:r>
          </w:p>
          <w:p w14:paraId="5630CB4B">
            <w:pPr>
              <w:widowControl/>
              <w:rPr>
                <w:color w:val="auto"/>
                <w:sz w:val="21"/>
                <w:szCs w:val="21"/>
                <w:highlight w:val="none"/>
              </w:rPr>
            </w:pPr>
            <w:r>
              <w:rPr>
                <w:rFonts w:hint="eastAsia" w:ascii="宋体" w:hAnsi="宋体" w:cs="宋体"/>
                <w:color w:val="auto"/>
                <w:kern w:val="0"/>
                <w:sz w:val="21"/>
                <w:szCs w:val="21"/>
                <w:highlight w:val="none"/>
                <w:lang w:bidi="ar"/>
              </w:rPr>
              <w:t>方案内容不够齐全、结构相对完整、表述相对准确、条理不够清晰得</w:t>
            </w:r>
            <w:r>
              <w:rPr>
                <w:rFonts w:hint="eastAsia" w:ascii="宋体" w:hAnsi="宋体" w:cs="宋体"/>
                <w:color w:val="auto"/>
                <w:kern w:val="0"/>
                <w:sz w:val="21"/>
                <w:szCs w:val="21"/>
                <w:highlight w:val="none"/>
                <w:lang w:val="en-US" w:eastAsia="zh-CN" w:bidi="ar"/>
              </w:rPr>
              <w:t>10</w:t>
            </w:r>
            <w:r>
              <w:rPr>
                <w:rFonts w:hint="eastAsia" w:ascii="宋体" w:hAnsi="宋体" w:cs="宋体"/>
                <w:color w:val="auto"/>
                <w:kern w:val="0"/>
                <w:sz w:val="21"/>
                <w:szCs w:val="21"/>
                <w:highlight w:val="none"/>
                <w:lang w:bidi="ar"/>
              </w:rPr>
              <w:t xml:space="preserve">分； </w:t>
            </w:r>
          </w:p>
          <w:p w14:paraId="694F0E01">
            <w:pPr>
              <w:widowControl/>
              <w:rPr>
                <w:color w:val="auto"/>
                <w:sz w:val="21"/>
                <w:szCs w:val="21"/>
                <w:highlight w:val="none"/>
              </w:rPr>
            </w:pPr>
            <w:r>
              <w:rPr>
                <w:rFonts w:hint="eastAsia" w:ascii="宋体" w:hAnsi="宋体" w:cs="宋体"/>
                <w:color w:val="auto"/>
                <w:kern w:val="0"/>
                <w:sz w:val="21"/>
                <w:szCs w:val="21"/>
                <w:highlight w:val="none"/>
                <w:lang w:bidi="ar"/>
              </w:rPr>
              <w:t>方案内容不够齐全、没有针对性得</w:t>
            </w:r>
            <w:r>
              <w:rPr>
                <w:rFonts w:hint="eastAsia" w:ascii="宋体" w:hAnsi="宋体" w:cs="宋体"/>
                <w:color w:val="auto"/>
                <w:kern w:val="0"/>
                <w:sz w:val="21"/>
                <w:szCs w:val="21"/>
                <w:highlight w:val="none"/>
                <w:lang w:val="en-US" w:eastAsia="zh-CN" w:bidi="ar"/>
              </w:rPr>
              <w:t>5</w:t>
            </w:r>
            <w:r>
              <w:rPr>
                <w:rFonts w:hint="eastAsia" w:ascii="宋体" w:hAnsi="宋体" w:cs="宋体"/>
                <w:color w:val="auto"/>
                <w:kern w:val="0"/>
                <w:sz w:val="21"/>
                <w:szCs w:val="21"/>
                <w:highlight w:val="none"/>
                <w:lang w:bidi="ar"/>
              </w:rPr>
              <w:t xml:space="preserve">分； </w:t>
            </w:r>
          </w:p>
          <w:p w14:paraId="1443027B">
            <w:pPr>
              <w:widowControl/>
              <w:rPr>
                <w:rFonts w:hint="eastAsia" w:ascii="宋体" w:hAnsi="宋体" w:eastAsia="宋体" w:cs="宋体"/>
                <w:bCs/>
                <w:color w:val="auto"/>
                <w:kern w:val="2"/>
                <w:sz w:val="21"/>
                <w:szCs w:val="21"/>
                <w:highlight w:val="none"/>
                <w:lang w:val="en-US" w:eastAsia="zh-CN" w:bidi="ar-SA"/>
              </w:rPr>
            </w:pPr>
            <w:r>
              <w:rPr>
                <w:rFonts w:hint="eastAsia" w:ascii="宋体" w:hAnsi="宋体" w:cs="宋体"/>
                <w:color w:val="auto"/>
                <w:kern w:val="0"/>
                <w:sz w:val="21"/>
                <w:szCs w:val="21"/>
                <w:highlight w:val="none"/>
                <w:lang w:bidi="ar"/>
              </w:rPr>
              <w:t>未提供不得分。</w:t>
            </w:r>
            <w:bookmarkEnd w:id="923"/>
          </w:p>
        </w:tc>
      </w:tr>
      <w:tr w14:paraId="3C277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4" w:hRule="atLeast"/>
          <w:jc w:val="center"/>
        </w:trPr>
        <w:tc>
          <w:tcPr>
            <w:tcW w:w="487" w:type="dxa"/>
            <w:vAlign w:val="center"/>
          </w:tcPr>
          <w:p w14:paraId="6E8BD349">
            <w:pPr>
              <w:ind w:firstLine="28" w:firstLineChars="0"/>
              <w:jc w:val="center"/>
              <w:rPr>
                <w:rFonts w:hint="eastAsia" w:ascii="宋体" w:hAnsi="宋体" w:eastAsia="宋体" w:cs="宋体"/>
                <w:color w:val="auto"/>
                <w:sz w:val="21"/>
                <w:szCs w:val="21"/>
                <w:highlight w:val="none"/>
                <w:lang w:val="en-US" w:eastAsia="zh-CN"/>
              </w:rPr>
            </w:pPr>
            <w:r>
              <w:rPr>
                <w:rFonts w:hint="eastAsia" w:ascii="宋体" w:hAnsi="宋体" w:cs="宋体"/>
                <w:bCs/>
                <w:color w:val="auto"/>
                <w:sz w:val="21"/>
                <w:szCs w:val="21"/>
                <w:highlight w:val="none"/>
              </w:rPr>
              <w:t>2</w:t>
            </w:r>
          </w:p>
        </w:tc>
        <w:tc>
          <w:tcPr>
            <w:tcW w:w="1272" w:type="dxa"/>
            <w:shd w:val="clear" w:color="auto" w:fill="auto"/>
            <w:vAlign w:val="center"/>
          </w:tcPr>
          <w:p w14:paraId="62DE562C">
            <w:pPr>
              <w:widowControl/>
              <w:jc w:val="center"/>
              <w:rPr>
                <w:rFonts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设备维护、</w:t>
            </w:r>
          </w:p>
          <w:p w14:paraId="3FF1ECEB">
            <w:pPr>
              <w:widowControl/>
              <w:jc w:val="center"/>
              <w:rPr>
                <w:rFonts w:hint="eastAsia" w:ascii="宋体" w:hAnsi="宋体" w:eastAsia="宋体" w:cs="宋体"/>
                <w:bCs/>
                <w:color w:val="auto"/>
                <w:kern w:val="2"/>
                <w:sz w:val="21"/>
                <w:szCs w:val="21"/>
                <w:highlight w:val="none"/>
                <w:lang w:val="en-US" w:eastAsia="zh-CN" w:bidi="ar-SA"/>
              </w:rPr>
            </w:pPr>
            <w:r>
              <w:rPr>
                <w:rFonts w:hint="eastAsia" w:ascii="宋体" w:hAnsi="宋体" w:cs="宋体"/>
                <w:color w:val="auto"/>
                <w:kern w:val="0"/>
                <w:sz w:val="21"/>
                <w:szCs w:val="21"/>
                <w:highlight w:val="none"/>
                <w:lang w:bidi="ar"/>
              </w:rPr>
              <w:t>维修及保养</w:t>
            </w:r>
          </w:p>
        </w:tc>
        <w:tc>
          <w:tcPr>
            <w:tcW w:w="660" w:type="dxa"/>
            <w:vAlign w:val="center"/>
          </w:tcPr>
          <w:p w14:paraId="0AC5A47F">
            <w:pPr>
              <w:ind w:firstLine="28"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1</w:t>
            </w:r>
            <w:r>
              <w:rPr>
                <w:rFonts w:hint="eastAsia" w:ascii="宋体" w:hAnsi="宋体" w:cs="宋体"/>
                <w:color w:val="auto"/>
                <w:kern w:val="0"/>
                <w:sz w:val="21"/>
                <w:szCs w:val="21"/>
                <w:highlight w:val="none"/>
                <w:lang w:val="en-US" w:eastAsia="zh-CN" w:bidi="ar"/>
              </w:rPr>
              <w:t>0</w:t>
            </w:r>
          </w:p>
        </w:tc>
        <w:tc>
          <w:tcPr>
            <w:tcW w:w="6624" w:type="dxa"/>
            <w:shd w:val="clear" w:color="auto" w:fill="auto"/>
            <w:vAlign w:val="center"/>
          </w:tcPr>
          <w:p w14:paraId="23264D7B">
            <w:pPr>
              <w:widowControl/>
              <w:rPr>
                <w:color w:val="auto"/>
                <w:sz w:val="21"/>
                <w:szCs w:val="21"/>
                <w:highlight w:val="none"/>
              </w:rPr>
            </w:pPr>
            <w:r>
              <w:rPr>
                <w:rFonts w:hint="eastAsia" w:ascii="宋体" w:hAnsi="宋体" w:cs="宋体"/>
                <w:color w:val="auto"/>
                <w:kern w:val="0"/>
                <w:sz w:val="21"/>
                <w:szCs w:val="21"/>
                <w:highlight w:val="none"/>
                <w:lang w:bidi="ar"/>
              </w:rPr>
              <w:t>根据投标人提供的锅炉设备、供暖相关设备的维修、调试、保养服务方案的详细度、合理可行性等进行评审。方案细致合理、针对性强，得1</w:t>
            </w:r>
            <w:r>
              <w:rPr>
                <w:rFonts w:hint="eastAsia" w:ascii="宋体" w:hAnsi="宋体" w:cs="宋体"/>
                <w:color w:val="auto"/>
                <w:kern w:val="0"/>
                <w:sz w:val="21"/>
                <w:szCs w:val="21"/>
                <w:highlight w:val="none"/>
                <w:lang w:val="en-US" w:eastAsia="zh-CN" w:bidi="ar"/>
              </w:rPr>
              <w:t>0</w:t>
            </w:r>
            <w:r>
              <w:rPr>
                <w:rFonts w:hint="eastAsia" w:ascii="宋体" w:hAnsi="宋体" w:cs="宋体"/>
                <w:color w:val="auto"/>
                <w:kern w:val="0"/>
                <w:sz w:val="21"/>
                <w:szCs w:val="21"/>
                <w:highlight w:val="none"/>
                <w:lang w:bidi="ar"/>
              </w:rPr>
              <w:t xml:space="preserve">分； </w:t>
            </w:r>
          </w:p>
          <w:p w14:paraId="52F1CA74">
            <w:pPr>
              <w:widowControl/>
              <w:rPr>
                <w:color w:val="auto"/>
                <w:sz w:val="21"/>
                <w:szCs w:val="21"/>
                <w:highlight w:val="none"/>
              </w:rPr>
            </w:pPr>
            <w:r>
              <w:rPr>
                <w:rFonts w:hint="eastAsia" w:ascii="宋体" w:hAnsi="宋体" w:cs="宋体"/>
                <w:color w:val="auto"/>
                <w:kern w:val="0"/>
                <w:sz w:val="21"/>
                <w:szCs w:val="21"/>
                <w:highlight w:val="none"/>
                <w:lang w:bidi="ar"/>
              </w:rPr>
              <w:t>方案较细致合理、针对性一般，得</w:t>
            </w:r>
            <w:r>
              <w:rPr>
                <w:rFonts w:hint="eastAsia" w:ascii="宋体" w:hAnsi="宋体" w:cs="宋体"/>
                <w:color w:val="auto"/>
                <w:kern w:val="0"/>
                <w:sz w:val="21"/>
                <w:szCs w:val="21"/>
                <w:highlight w:val="none"/>
                <w:lang w:val="en-US" w:eastAsia="zh-CN" w:bidi="ar"/>
              </w:rPr>
              <w:t>7</w:t>
            </w:r>
            <w:r>
              <w:rPr>
                <w:rFonts w:hint="eastAsia" w:ascii="宋体" w:hAnsi="宋体" w:cs="宋体"/>
                <w:color w:val="auto"/>
                <w:kern w:val="0"/>
                <w:sz w:val="21"/>
                <w:szCs w:val="21"/>
                <w:highlight w:val="none"/>
                <w:lang w:bidi="ar"/>
              </w:rPr>
              <w:t xml:space="preserve">分； </w:t>
            </w:r>
          </w:p>
          <w:p w14:paraId="2C3277D1">
            <w:pPr>
              <w:widowControl/>
              <w:rPr>
                <w:color w:val="auto"/>
                <w:sz w:val="21"/>
                <w:szCs w:val="21"/>
                <w:highlight w:val="none"/>
              </w:rPr>
            </w:pPr>
            <w:r>
              <w:rPr>
                <w:rFonts w:hint="eastAsia" w:ascii="宋体" w:hAnsi="宋体" w:cs="宋体"/>
                <w:color w:val="auto"/>
                <w:kern w:val="0"/>
                <w:sz w:val="21"/>
                <w:szCs w:val="21"/>
                <w:highlight w:val="none"/>
                <w:lang w:bidi="ar"/>
              </w:rPr>
              <w:t>方案不够齐全，无针对性，得</w:t>
            </w:r>
            <w:r>
              <w:rPr>
                <w:rFonts w:hint="eastAsia" w:ascii="宋体" w:hAnsi="宋体" w:cs="宋体"/>
                <w:color w:val="auto"/>
                <w:kern w:val="0"/>
                <w:sz w:val="21"/>
                <w:szCs w:val="21"/>
                <w:highlight w:val="none"/>
                <w:lang w:val="en-US" w:eastAsia="zh-CN" w:bidi="ar"/>
              </w:rPr>
              <w:t>4</w:t>
            </w:r>
            <w:r>
              <w:rPr>
                <w:rFonts w:hint="eastAsia" w:ascii="宋体" w:hAnsi="宋体" w:cs="宋体"/>
                <w:color w:val="auto"/>
                <w:kern w:val="0"/>
                <w:sz w:val="21"/>
                <w:szCs w:val="21"/>
                <w:highlight w:val="none"/>
                <w:lang w:bidi="ar"/>
              </w:rPr>
              <w:t xml:space="preserve">分； </w:t>
            </w:r>
          </w:p>
          <w:p w14:paraId="1E643242">
            <w:pPr>
              <w:widowControl/>
              <w:rPr>
                <w:rFonts w:hint="eastAsia" w:ascii="宋体" w:hAnsi="宋体" w:eastAsia="宋体" w:cs="宋体"/>
                <w:bCs/>
                <w:color w:val="auto"/>
                <w:kern w:val="2"/>
                <w:sz w:val="21"/>
                <w:szCs w:val="21"/>
                <w:highlight w:val="none"/>
                <w:lang w:val="en-US" w:eastAsia="zh-CN" w:bidi="ar-SA"/>
              </w:rPr>
            </w:pPr>
            <w:r>
              <w:rPr>
                <w:rFonts w:hint="eastAsia" w:ascii="宋体" w:hAnsi="宋体" w:cs="宋体"/>
                <w:color w:val="auto"/>
                <w:kern w:val="0"/>
                <w:sz w:val="21"/>
                <w:szCs w:val="21"/>
                <w:highlight w:val="none"/>
                <w:lang w:bidi="ar"/>
              </w:rPr>
              <w:t>未提供不得分。</w:t>
            </w:r>
          </w:p>
        </w:tc>
      </w:tr>
      <w:tr w14:paraId="4DC8E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7360C717">
            <w:pPr>
              <w:ind w:firstLine="28" w:firstLineChars="0"/>
              <w:jc w:val="center"/>
              <w:rPr>
                <w:rFonts w:hint="eastAsia" w:ascii="宋体" w:hAnsi="宋体" w:eastAsia="宋体" w:cs="宋体"/>
                <w:color w:val="auto"/>
                <w:sz w:val="21"/>
                <w:szCs w:val="21"/>
                <w:highlight w:val="none"/>
                <w:lang w:eastAsia="zh-CN"/>
              </w:rPr>
            </w:pPr>
            <w:r>
              <w:rPr>
                <w:rFonts w:hint="eastAsia" w:ascii="宋体" w:hAnsi="宋体" w:cs="宋体"/>
                <w:bCs/>
                <w:color w:val="auto"/>
                <w:sz w:val="21"/>
                <w:szCs w:val="21"/>
                <w:highlight w:val="none"/>
              </w:rPr>
              <w:t>3</w:t>
            </w:r>
          </w:p>
        </w:tc>
        <w:tc>
          <w:tcPr>
            <w:tcW w:w="1272" w:type="dxa"/>
            <w:shd w:val="clear" w:color="auto" w:fill="auto"/>
            <w:vAlign w:val="center"/>
          </w:tcPr>
          <w:p w14:paraId="75C7AF1D">
            <w:pPr>
              <w:widowControl/>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0"/>
                <w:sz w:val="21"/>
                <w:szCs w:val="21"/>
                <w:highlight w:val="none"/>
                <w:lang w:bidi="ar"/>
              </w:rPr>
              <w:t>应急处置方案</w:t>
            </w:r>
          </w:p>
        </w:tc>
        <w:tc>
          <w:tcPr>
            <w:tcW w:w="660" w:type="dxa"/>
            <w:vAlign w:val="center"/>
          </w:tcPr>
          <w:p w14:paraId="6A45E821">
            <w:pPr>
              <w:widowControl/>
              <w:jc w:val="center"/>
              <w:rPr>
                <w:rFonts w:hint="eastAsia" w:eastAsia="宋体"/>
                <w:color w:val="auto"/>
                <w:sz w:val="21"/>
                <w:szCs w:val="21"/>
                <w:highlight w:val="none"/>
                <w:lang w:val="en-US" w:eastAsia="zh-CN"/>
              </w:rPr>
            </w:pPr>
            <w:r>
              <w:rPr>
                <w:rFonts w:hint="eastAsia" w:ascii="宋体" w:hAnsi="宋体" w:cs="宋体"/>
                <w:color w:val="auto"/>
                <w:kern w:val="0"/>
                <w:sz w:val="21"/>
                <w:szCs w:val="21"/>
                <w:highlight w:val="none"/>
                <w:lang w:bidi="ar"/>
              </w:rPr>
              <w:t>1</w:t>
            </w:r>
            <w:r>
              <w:rPr>
                <w:rFonts w:hint="eastAsia" w:ascii="宋体" w:hAnsi="宋体" w:cs="宋体"/>
                <w:color w:val="auto"/>
                <w:kern w:val="0"/>
                <w:sz w:val="21"/>
                <w:szCs w:val="21"/>
                <w:highlight w:val="none"/>
                <w:lang w:val="en-US" w:eastAsia="zh-CN" w:bidi="ar"/>
              </w:rPr>
              <w:t>0</w:t>
            </w:r>
          </w:p>
          <w:p w14:paraId="5632EEFE">
            <w:pPr>
              <w:ind w:firstLine="28" w:firstLineChars="0"/>
              <w:jc w:val="center"/>
              <w:rPr>
                <w:rFonts w:hint="default" w:ascii="宋体" w:hAnsi="宋体" w:eastAsia="宋体" w:cs="宋体"/>
                <w:color w:val="auto"/>
                <w:sz w:val="21"/>
                <w:szCs w:val="21"/>
                <w:highlight w:val="none"/>
                <w:lang w:val="en-US" w:eastAsia="zh-CN"/>
              </w:rPr>
            </w:pPr>
          </w:p>
        </w:tc>
        <w:tc>
          <w:tcPr>
            <w:tcW w:w="6624" w:type="dxa"/>
            <w:shd w:val="clear" w:color="auto" w:fill="auto"/>
            <w:vAlign w:val="center"/>
          </w:tcPr>
          <w:p w14:paraId="12DEE8CC">
            <w:pPr>
              <w:widowControl/>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bidi="ar"/>
              </w:rPr>
              <w:t>根据投标人提供的相关</w:t>
            </w:r>
            <w:r>
              <w:rPr>
                <w:rFonts w:hint="eastAsia" w:ascii="宋体" w:hAnsi="宋体" w:cs="宋体"/>
                <w:color w:val="auto"/>
                <w:kern w:val="0"/>
                <w:sz w:val="21"/>
                <w:szCs w:val="21"/>
                <w:highlight w:val="none"/>
                <w:lang w:val="en-US" w:eastAsia="zh-CN" w:bidi="ar"/>
              </w:rPr>
              <w:t>应急处置方案进行评审；</w:t>
            </w:r>
          </w:p>
          <w:p w14:paraId="4DDBADBE">
            <w:pPr>
              <w:widowControl/>
              <w:rPr>
                <w:rFonts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应急处置方案完善，合理，针对性强，满足采购人需求，得 1</w:t>
            </w:r>
            <w:r>
              <w:rPr>
                <w:rFonts w:hint="eastAsia" w:ascii="宋体" w:hAnsi="宋体" w:cs="宋体"/>
                <w:color w:val="auto"/>
                <w:kern w:val="0"/>
                <w:sz w:val="21"/>
                <w:szCs w:val="21"/>
                <w:highlight w:val="none"/>
                <w:lang w:val="en-US" w:eastAsia="zh-CN" w:bidi="ar"/>
              </w:rPr>
              <w:t>0</w:t>
            </w:r>
            <w:r>
              <w:rPr>
                <w:rFonts w:hint="eastAsia" w:ascii="宋体" w:hAnsi="宋体" w:cs="宋体"/>
                <w:color w:val="auto"/>
                <w:kern w:val="0"/>
                <w:sz w:val="21"/>
                <w:szCs w:val="21"/>
                <w:highlight w:val="none"/>
                <w:lang w:bidi="ar"/>
              </w:rPr>
              <w:t>分；</w:t>
            </w:r>
          </w:p>
          <w:p w14:paraId="3437C8C3">
            <w:pPr>
              <w:widowControl/>
              <w:rPr>
                <w:rFonts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 xml:space="preserve">紧急事故的预防及处理方案可行，针对性一般，基本满足采购人需求，得 </w:t>
            </w:r>
            <w:r>
              <w:rPr>
                <w:rFonts w:hint="eastAsia" w:ascii="宋体" w:hAnsi="宋体" w:cs="宋体"/>
                <w:color w:val="auto"/>
                <w:kern w:val="0"/>
                <w:sz w:val="21"/>
                <w:szCs w:val="21"/>
                <w:highlight w:val="none"/>
                <w:lang w:val="en-US" w:eastAsia="zh-CN" w:bidi="ar"/>
              </w:rPr>
              <w:t>7</w:t>
            </w:r>
            <w:r>
              <w:rPr>
                <w:rFonts w:hint="eastAsia" w:ascii="宋体" w:hAnsi="宋体" w:cs="宋体"/>
                <w:color w:val="auto"/>
                <w:kern w:val="0"/>
                <w:sz w:val="21"/>
                <w:szCs w:val="21"/>
                <w:highlight w:val="none"/>
                <w:lang w:bidi="ar"/>
              </w:rPr>
              <w:t>分；</w:t>
            </w:r>
          </w:p>
          <w:p w14:paraId="2DA649A3">
            <w:pPr>
              <w:widowControl/>
              <w:rPr>
                <w:rFonts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紧急事故的预防及处理方案不完善，没有针对性，不满足采购人需求，得</w:t>
            </w:r>
            <w:r>
              <w:rPr>
                <w:rFonts w:hint="eastAsia" w:ascii="宋体" w:hAnsi="宋体" w:cs="宋体"/>
                <w:color w:val="auto"/>
                <w:kern w:val="0"/>
                <w:sz w:val="21"/>
                <w:szCs w:val="21"/>
                <w:highlight w:val="none"/>
                <w:lang w:val="en-US" w:eastAsia="zh-CN" w:bidi="ar"/>
              </w:rPr>
              <w:t>4</w:t>
            </w:r>
            <w:r>
              <w:rPr>
                <w:rFonts w:hint="eastAsia" w:ascii="宋体" w:hAnsi="宋体" w:cs="宋体"/>
                <w:color w:val="auto"/>
                <w:kern w:val="0"/>
                <w:sz w:val="21"/>
                <w:szCs w:val="21"/>
                <w:highlight w:val="none"/>
                <w:lang w:bidi="ar"/>
              </w:rPr>
              <w:t>分；</w:t>
            </w:r>
          </w:p>
          <w:p w14:paraId="2CFB53DA">
            <w:pPr>
              <w:widowControl/>
              <w:rPr>
                <w:rFonts w:hint="eastAsia" w:ascii="Times New Roman" w:hAnsi="宋体" w:eastAsia="宋体" w:cs="宋体"/>
                <w:bCs/>
                <w:color w:val="auto"/>
                <w:kern w:val="2"/>
                <w:sz w:val="21"/>
                <w:szCs w:val="21"/>
                <w:highlight w:val="none"/>
                <w:lang w:val="en-US" w:eastAsia="zh-CN" w:bidi="ar-SA"/>
              </w:rPr>
            </w:pPr>
            <w:r>
              <w:rPr>
                <w:rFonts w:hint="eastAsia" w:ascii="宋体" w:hAnsi="宋体" w:cs="宋体"/>
                <w:color w:val="auto"/>
                <w:kern w:val="0"/>
                <w:sz w:val="21"/>
                <w:szCs w:val="21"/>
                <w:highlight w:val="none"/>
                <w:lang w:bidi="ar"/>
              </w:rPr>
              <w:t>未提供不得分</w:t>
            </w:r>
            <w:r>
              <w:rPr>
                <w:rFonts w:hint="eastAsia" w:ascii="宋体" w:hAnsi="宋体" w:cs="宋体"/>
                <w:color w:val="auto"/>
                <w:kern w:val="0"/>
                <w:sz w:val="21"/>
                <w:szCs w:val="21"/>
                <w:highlight w:val="none"/>
                <w:lang w:eastAsia="zh-CN" w:bidi="ar"/>
              </w:rPr>
              <w:t>。</w:t>
            </w:r>
          </w:p>
        </w:tc>
      </w:tr>
      <w:tr w14:paraId="137BB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jc w:val="center"/>
        </w:trPr>
        <w:tc>
          <w:tcPr>
            <w:tcW w:w="487" w:type="dxa"/>
            <w:vAlign w:val="center"/>
          </w:tcPr>
          <w:p w14:paraId="5EF0D799">
            <w:pPr>
              <w:ind w:firstLine="28" w:firstLineChars="0"/>
              <w:jc w:val="center"/>
              <w:rPr>
                <w:rFonts w:hint="eastAsia" w:ascii="宋体" w:hAnsi="宋体" w:eastAsia="宋体" w:cs="宋体"/>
                <w:color w:val="auto"/>
                <w:sz w:val="21"/>
                <w:szCs w:val="21"/>
                <w:highlight w:val="none"/>
                <w:lang w:eastAsia="zh-CN"/>
              </w:rPr>
            </w:pPr>
            <w:r>
              <w:rPr>
                <w:rFonts w:hint="eastAsia" w:ascii="宋体" w:hAnsi="宋体" w:cs="宋体"/>
                <w:bCs/>
                <w:color w:val="auto"/>
                <w:sz w:val="21"/>
                <w:szCs w:val="21"/>
                <w:highlight w:val="none"/>
              </w:rPr>
              <w:t>4</w:t>
            </w:r>
          </w:p>
        </w:tc>
        <w:tc>
          <w:tcPr>
            <w:tcW w:w="1272" w:type="dxa"/>
            <w:shd w:val="clear" w:color="auto" w:fill="auto"/>
            <w:vAlign w:val="center"/>
          </w:tcPr>
          <w:p w14:paraId="0C9DE269">
            <w:pPr>
              <w:widowControl/>
              <w:jc w:val="center"/>
              <w:rPr>
                <w:color w:val="auto"/>
                <w:sz w:val="21"/>
                <w:szCs w:val="21"/>
                <w:highlight w:val="none"/>
              </w:rPr>
            </w:pPr>
            <w:r>
              <w:rPr>
                <w:rFonts w:hint="eastAsia" w:ascii="宋体" w:hAnsi="宋体" w:cs="宋体"/>
                <w:color w:val="auto"/>
                <w:kern w:val="0"/>
                <w:sz w:val="21"/>
                <w:szCs w:val="21"/>
                <w:highlight w:val="none"/>
                <w:lang w:bidi="ar"/>
              </w:rPr>
              <w:t>人员配备方案</w:t>
            </w:r>
          </w:p>
          <w:p w14:paraId="739B1D99">
            <w:pPr>
              <w:ind w:firstLine="28" w:firstLineChars="0"/>
              <w:jc w:val="center"/>
              <w:rPr>
                <w:rFonts w:hint="eastAsia" w:ascii="宋体" w:hAnsi="宋体" w:eastAsia="宋体" w:cs="宋体"/>
                <w:color w:val="auto"/>
                <w:kern w:val="2"/>
                <w:sz w:val="21"/>
                <w:szCs w:val="21"/>
                <w:highlight w:val="none"/>
                <w:lang w:val="en-US" w:eastAsia="zh-CN" w:bidi="ar-SA"/>
              </w:rPr>
            </w:pPr>
          </w:p>
        </w:tc>
        <w:tc>
          <w:tcPr>
            <w:tcW w:w="660" w:type="dxa"/>
            <w:vAlign w:val="center"/>
          </w:tcPr>
          <w:p w14:paraId="4662251C">
            <w:pPr>
              <w:ind w:firstLine="28" w:firstLineChars="0"/>
              <w:jc w:val="center"/>
              <w:rPr>
                <w:rFonts w:hint="default" w:ascii="宋体" w:hAnsi="宋体" w:eastAsia="宋体" w:cs="宋体"/>
                <w:color w:val="auto"/>
                <w:sz w:val="21"/>
                <w:szCs w:val="21"/>
                <w:highlight w:val="none"/>
                <w:lang w:val="en-US" w:eastAsia="zh-CN"/>
              </w:rPr>
            </w:pPr>
            <w:r>
              <w:rPr>
                <w:rFonts w:hint="eastAsia" w:ascii="宋体" w:hAnsi="宋体" w:cs="宋体"/>
                <w:bCs/>
                <w:color w:val="auto"/>
                <w:sz w:val="21"/>
                <w:szCs w:val="21"/>
                <w:highlight w:val="none"/>
              </w:rPr>
              <w:t>1</w:t>
            </w:r>
            <w:r>
              <w:rPr>
                <w:rFonts w:hint="eastAsia" w:ascii="宋体" w:hAnsi="宋体" w:cs="宋体"/>
                <w:bCs/>
                <w:color w:val="auto"/>
                <w:sz w:val="21"/>
                <w:szCs w:val="21"/>
                <w:highlight w:val="none"/>
                <w:lang w:val="en-US" w:eastAsia="zh-CN"/>
              </w:rPr>
              <w:t>0</w:t>
            </w:r>
          </w:p>
        </w:tc>
        <w:tc>
          <w:tcPr>
            <w:tcW w:w="6624" w:type="dxa"/>
            <w:shd w:val="clear" w:color="auto" w:fill="auto"/>
            <w:vAlign w:val="center"/>
          </w:tcPr>
          <w:p w14:paraId="2A1741AA">
            <w:pPr>
              <w:widowControl/>
              <w:rPr>
                <w:rFonts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 xml:space="preserve">方案包含人员组织架构、各岗位人员配备、职责划分、人员管理等方面综合评审。 </w:t>
            </w:r>
          </w:p>
          <w:p w14:paraId="056FD894">
            <w:pPr>
              <w:widowControl/>
              <w:rPr>
                <w:rFonts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人员配备充足，架构合理，职责划分明确，人员管理详细，得1</w:t>
            </w:r>
            <w:r>
              <w:rPr>
                <w:rFonts w:hint="eastAsia" w:ascii="宋体" w:hAnsi="宋体" w:cs="宋体"/>
                <w:color w:val="auto"/>
                <w:kern w:val="0"/>
                <w:sz w:val="21"/>
                <w:szCs w:val="21"/>
                <w:highlight w:val="none"/>
                <w:lang w:val="en-US" w:eastAsia="zh-CN" w:bidi="ar"/>
              </w:rPr>
              <w:t>0</w:t>
            </w:r>
            <w:r>
              <w:rPr>
                <w:rFonts w:hint="eastAsia" w:ascii="宋体" w:hAnsi="宋体" w:cs="宋体"/>
                <w:color w:val="auto"/>
                <w:kern w:val="0"/>
                <w:sz w:val="21"/>
                <w:szCs w:val="21"/>
                <w:highlight w:val="none"/>
                <w:lang w:bidi="ar"/>
              </w:rPr>
              <w:t xml:space="preserve">分； </w:t>
            </w:r>
          </w:p>
          <w:p w14:paraId="47AD7618">
            <w:pPr>
              <w:widowControl/>
              <w:rPr>
                <w:rFonts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人员配备基本充足，架构基本合理，职责划分基本明确，人员管理基本详细，得</w:t>
            </w:r>
            <w:r>
              <w:rPr>
                <w:rFonts w:hint="eastAsia" w:ascii="宋体" w:hAnsi="宋体" w:cs="宋体"/>
                <w:color w:val="auto"/>
                <w:kern w:val="0"/>
                <w:sz w:val="21"/>
                <w:szCs w:val="21"/>
                <w:highlight w:val="none"/>
                <w:lang w:val="en-US" w:eastAsia="zh-CN" w:bidi="ar"/>
              </w:rPr>
              <w:t>7</w:t>
            </w:r>
            <w:r>
              <w:rPr>
                <w:rFonts w:hint="eastAsia" w:ascii="宋体" w:hAnsi="宋体" w:cs="宋体"/>
                <w:color w:val="auto"/>
                <w:kern w:val="0"/>
                <w:sz w:val="21"/>
                <w:szCs w:val="21"/>
                <w:highlight w:val="none"/>
                <w:lang w:bidi="ar"/>
              </w:rPr>
              <w:t xml:space="preserve">分； </w:t>
            </w:r>
          </w:p>
          <w:p w14:paraId="4393F7D9">
            <w:pPr>
              <w:widowControl/>
              <w:rPr>
                <w:rFonts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人员配备不太充足，架构不太合理，职责划分不太明确，人员管理不太详细，得</w:t>
            </w:r>
            <w:r>
              <w:rPr>
                <w:rFonts w:hint="eastAsia" w:ascii="宋体" w:hAnsi="宋体" w:cs="宋体"/>
                <w:color w:val="auto"/>
                <w:kern w:val="0"/>
                <w:sz w:val="21"/>
                <w:szCs w:val="21"/>
                <w:highlight w:val="none"/>
                <w:lang w:val="en-US" w:eastAsia="zh-CN" w:bidi="ar"/>
              </w:rPr>
              <w:t>3</w:t>
            </w:r>
            <w:r>
              <w:rPr>
                <w:rFonts w:hint="eastAsia" w:ascii="宋体" w:hAnsi="宋体" w:cs="宋体"/>
                <w:color w:val="auto"/>
                <w:kern w:val="0"/>
                <w:sz w:val="21"/>
                <w:szCs w:val="21"/>
                <w:highlight w:val="none"/>
                <w:lang w:bidi="ar"/>
              </w:rPr>
              <w:t xml:space="preserve">分； </w:t>
            </w:r>
          </w:p>
          <w:p w14:paraId="1CB121FF">
            <w:pPr>
              <w:widowControl/>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 xml:space="preserve">未提供不得分。 </w:t>
            </w:r>
          </w:p>
        </w:tc>
      </w:tr>
      <w:tr w14:paraId="32D49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jc w:val="center"/>
        </w:trPr>
        <w:tc>
          <w:tcPr>
            <w:tcW w:w="487" w:type="dxa"/>
            <w:shd w:val="clear" w:color="auto" w:fill="auto"/>
            <w:vAlign w:val="center"/>
          </w:tcPr>
          <w:p w14:paraId="553BBEB2">
            <w:pPr>
              <w:ind w:firstLine="28"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bCs/>
                <w:color w:val="auto"/>
                <w:kern w:val="2"/>
                <w:sz w:val="21"/>
                <w:szCs w:val="21"/>
                <w:highlight w:val="none"/>
                <w:lang w:val="en-US" w:eastAsia="zh-CN" w:bidi="ar-SA"/>
              </w:rPr>
              <w:t>5</w:t>
            </w:r>
          </w:p>
        </w:tc>
        <w:tc>
          <w:tcPr>
            <w:tcW w:w="1272" w:type="dxa"/>
            <w:shd w:val="clear" w:color="auto" w:fill="auto"/>
            <w:vAlign w:val="center"/>
          </w:tcPr>
          <w:p w14:paraId="6B18007D">
            <w:pPr>
              <w:ind w:firstLine="28" w:firstLineChars="0"/>
              <w:jc w:val="center"/>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sz w:val="21"/>
                <w:szCs w:val="21"/>
                <w:highlight w:val="none"/>
              </w:rPr>
              <w:t>相关制度</w:t>
            </w:r>
          </w:p>
        </w:tc>
        <w:tc>
          <w:tcPr>
            <w:tcW w:w="660" w:type="dxa"/>
            <w:shd w:val="clear" w:color="auto" w:fill="auto"/>
            <w:vAlign w:val="center"/>
          </w:tcPr>
          <w:p w14:paraId="2C17F149">
            <w:pPr>
              <w:ind w:firstLine="28"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bCs/>
                <w:color w:val="auto"/>
                <w:sz w:val="21"/>
                <w:szCs w:val="21"/>
                <w:highlight w:val="none"/>
                <w:lang w:val="en-US" w:eastAsia="zh-CN"/>
              </w:rPr>
              <w:t>12</w:t>
            </w:r>
          </w:p>
        </w:tc>
        <w:tc>
          <w:tcPr>
            <w:tcW w:w="6624" w:type="dxa"/>
            <w:shd w:val="clear" w:color="auto" w:fill="auto"/>
            <w:vAlign w:val="center"/>
          </w:tcPr>
          <w:p w14:paraId="7623D74A">
            <w:pPr>
              <w:widowControl/>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bidi="ar"/>
              </w:rPr>
              <w:t>针对</w:t>
            </w:r>
            <w:r>
              <w:rPr>
                <w:rFonts w:hint="eastAsia" w:ascii="宋体" w:hAnsi="宋体" w:cs="宋体"/>
                <w:color w:val="auto"/>
                <w:kern w:val="0"/>
                <w:sz w:val="21"/>
                <w:szCs w:val="21"/>
                <w:highlight w:val="none"/>
                <w:lang w:val="en-US" w:eastAsia="zh-CN" w:bidi="ar"/>
              </w:rPr>
              <w:t>本项目需求</w:t>
            </w:r>
            <w:r>
              <w:rPr>
                <w:rFonts w:hint="eastAsia" w:ascii="宋体" w:hAnsi="宋体" w:cs="宋体"/>
                <w:color w:val="auto"/>
                <w:kern w:val="0"/>
                <w:sz w:val="21"/>
                <w:szCs w:val="21"/>
                <w:highlight w:val="none"/>
                <w:lang w:bidi="ar"/>
              </w:rPr>
              <w:t>提供相关制度，内容包括1</w:t>
            </w: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bidi="ar"/>
              </w:rPr>
              <w:t>锅炉房运行制度2</w:t>
            </w: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bidi="ar"/>
              </w:rPr>
              <w:t>水质化验检查制度3</w:t>
            </w: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bidi="ar"/>
              </w:rPr>
              <w:t>锅炉房设施设备维护养</w:t>
            </w:r>
            <w:r>
              <w:rPr>
                <w:rFonts w:hint="eastAsia" w:ascii="宋体" w:hAnsi="宋体" w:cs="宋体"/>
                <w:color w:val="auto"/>
                <w:kern w:val="0"/>
                <w:sz w:val="21"/>
                <w:szCs w:val="21"/>
                <w:highlight w:val="none"/>
                <w:lang w:val="en-US" w:eastAsia="zh-CN" w:bidi="ar"/>
              </w:rPr>
              <w:t>护制度4）锅炉房安全保卫制度，进行综合评审。</w:t>
            </w:r>
          </w:p>
          <w:p w14:paraId="195DA3C1">
            <w:pPr>
              <w:widowControl/>
              <w:rPr>
                <w:rFonts w:hint="eastAsia" w:ascii="宋体" w:hAnsi="宋体" w:cs="宋体"/>
                <w:color w:val="auto"/>
                <w:kern w:val="0"/>
                <w:sz w:val="21"/>
                <w:szCs w:val="21"/>
                <w:highlight w:val="none"/>
                <w:lang w:eastAsia="zh-CN" w:bidi="ar"/>
              </w:rPr>
            </w:pPr>
            <w:r>
              <w:rPr>
                <w:rFonts w:hint="eastAsia" w:ascii="宋体" w:hAnsi="宋体" w:cs="宋体"/>
                <w:color w:val="auto"/>
                <w:kern w:val="0"/>
                <w:sz w:val="21"/>
                <w:szCs w:val="21"/>
                <w:highlight w:val="none"/>
                <w:lang w:bidi="ar"/>
              </w:rPr>
              <w:t>每有1项内容</w:t>
            </w:r>
            <w:r>
              <w:rPr>
                <w:rFonts w:hint="eastAsia" w:ascii="宋体" w:hAnsi="宋体" w:cs="宋体"/>
                <w:color w:val="auto"/>
                <w:kern w:val="0"/>
                <w:sz w:val="21"/>
                <w:szCs w:val="21"/>
                <w:highlight w:val="none"/>
                <w:lang w:val="en-US" w:eastAsia="zh-CN" w:bidi="ar"/>
              </w:rPr>
              <w:t>进行了阐述，制度完善，实施细节及措施完善，</w:t>
            </w:r>
            <w:r>
              <w:rPr>
                <w:rFonts w:hint="eastAsia" w:ascii="宋体" w:hAnsi="宋体" w:cs="宋体"/>
                <w:color w:val="auto"/>
                <w:kern w:val="0"/>
                <w:sz w:val="21"/>
                <w:szCs w:val="21"/>
                <w:highlight w:val="none"/>
                <w:lang w:bidi="ar"/>
              </w:rPr>
              <w:t>满足采购需求，</w:t>
            </w:r>
            <w:r>
              <w:rPr>
                <w:rFonts w:hint="eastAsia" w:ascii="宋体" w:hAnsi="宋体" w:cs="宋体"/>
                <w:color w:val="auto"/>
                <w:kern w:val="0"/>
                <w:sz w:val="21"/>
                <w:szCs w:val="21"/>
                <w:highlight w:val="none"/>
                <w:lang w:val="en-US" w:eastAsia="zh-CN" w:bidi="ar"/>
              </w:rPr>
              <w:t>此项</w:t>
            </w:r>
            <w:r>
              <w:rPr>
                <w:rFonts w:hint="eastAsia" w:ascii="宋体" w:hAnsi="宋体" w:cs="宋体"/>
                <w:color w:val="auto"/>
                <w:kern w:val="0"/>
                <w:sz w:val="21"/>
                <w:szCs w:val="21"/>
                <w:highlight w:val="none"/>
                <w:lang w:bidi="ar"/>
              </w:rPr>
              <w:t>得3分</w:t>
            </w:r>
            <w:r>
              <w:rPr>
                <w:rFonts w:hint="eastAsia" w:ascii="宋体" w:hAnsi="宋体" w:cs="宋体"/>
                <w:color w:val="auto"/>
                <w:kern w:val="0"/>
                <w:sz w:val="21"/>
                <w:szCs w:val="21"/>
                <w:highlight w:val="none"/>
                <w:lang w:eastAsia="zh-CN" w:bidi="ar"/>
              </w:rPr>
              <w:t>；</w:t>
            </w:r>
          </w:p>
          <w:p w14:paraId="23E4F309">
            <w:pPr>
              <w:widowControl/>
              <w:rPr>
                <w:rFonts w:hint="eastAsia" w:ascii="宋体" w:hAnsi="宋体" w:eastAsia="宋体" w:cs="宋体"/>
                <w:color w:val="auto"/>
                <w:kern w:val="0"/>
                <w:sz w:val="21"/>
                <w:szCs w:val="21"/>
                <w:highlight w:val="none"/>
                <w:lang w:eastAsia="zh-CN" w:bidi="ar"/>
              </w:rPr>
            </w:pPr>
            <w:r>
              <w:rPr>
                <w:rFonts w:hint="eastAsia" w:ascii="宋体" w:hAnsi="宋体" w:cs="宋体"/>
                <w:color w:val="auto"/>
                <w:kern w:val="0"/>
                <w:sz w:val="21"/>
                <w:szCs w:val="21"/>
                <w:highlight w:val="none"/>
                <w:lang w:bidi="ar"/>
              </w:rPr>
              <w:t>每有1项内容</w:t>
            </w:r>
            <w:r>
              <w:rPr>
                <w:rFonts w:hint="eastAsia" w:ascii="宋体" w:hAnsi="宋体" w:cs="宋体"/>
                <w:color w:val="auto"/>
                <w:kern w:val="0"/>
                <w:sz w:val="21"/>
                <w:szCs w:val="21"/>
                <w:highlight w:val="none"/>
                <w:lang w:val="en-US" w:eastAsia="zh-CN" w:bidi="ar"/>
              </w:rPr>
              <w:t>进行了</w:t>
            </w:r>
            <w:r>
              <w:rPr>
                <w:rFonts w:hint="eastAsia" w:ascii="宋体" w:hAnsi="宋体" w:cs="宋体"/>
                <w:color w:val="auto"/>
                <w:kern w:val="0"/>
                <w:sz w:val="21"/>
                <w:szCs w:val="21"/>
                <w:highlight w:val="none"/>
                <w:lang w:bidi="ar"/>
              </w:rPr>
              <w:t>阐述</w:t>
            </w: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val="en-US" w:eastAsia="zh-CN" w:bidi="ar"/>
              </w:rPr>
              <w:t>制度一般，无实施细节及措施</w:t>
            </w:r>
            <w:r>
              <w:rPr>
                <w:rFonts w:hint="eastAsia" w:ascii="宋体" w:hAnsi="宋体" w:cs="宋体"/>
                <w:color w:val="auto"/>
                <w:kern w:val="0"/>
                <w:sz w:val="21"/>
                <w:szCs w:val="21"/>
                <w:highlight w:val="none"/>
                <w:lang w:bidi="ar"/>
              </w:rPr>
              <w:t>，</w:t>
            </w:r>
            <w:r>
              <w:rPr>
                <w:rFonts w:hint="eastAsia" w:ascii="宋体" w:hAnsi="宋体" w:cs="宋体"/>
                <w:color w:val="auto"/>
                <w:kern w:val="0"/>
                <w:sz w:val="21"/>
                <w:szCs w:val="21"/>
                <w:highlight w:val="none"/>
                <w:lang w:val="en-US" w:eastAsia="zh-CN" w:bidi="ar"/>
              </w:rPr>
              <w:t>此项</w:t>
            </w:r>
            <w:r>
              <w:rPr>
                <w:rFonts w:hint="eastAsia" w:ascii="宋体" w:hAnsi="宋体" w:cs="宋体"/>
                <w:color w:val="auto"/>
                <w:kern w:val="0"/>
                <w:sz w:val="21"/>
                <w:szCs w:val="21"/>
                <w:highlight w:val="none"/>
                <w:lang w:bidi="ar"/>
              </w:rPr>
              <w:t>得2分</w:t>
            </w:r>
            <w:r>
              <w:rPr>
                <w:rFonts w:hint="eastAsia" w:ascii="宋体" w:hAnsi="宋体" w:cs="宋体"/>
                <w:color w:val="auto"/>
                <w:kern w:val="0"/>
                <w:sz w:val="21"/>
                <w:szCs w:val="21"/>
                <w:highlight w:val="none"/>
                <w:lang w:eastAsia="zh-CN" w:bidi="ar"/>
              </w:rPr>
              <w:t>；</w:t>
            </w:r>
          </w:p>
          <w:p w14:paraId="12268226">
            <w:pPr>
              <w:widowControl/>
              <w:rPr>
                <w:rFonts w:hint="eastAsia" w:ascii="宋体" w:hAnsi="宋体" w:eastAsia="宋体" w:cs="宋体"/>
                <w:bCs/>
                <w:color w:val="auto"/>
                <w:kern w:val="2"/>
                <w:sz w:val="21"/>
                <w:szCs w:val="21"/>
                <w:highlight w:val="none"/>
                <w:lang w:val="en-US" w:eastAsia="zh-CN" w:bidi="ar-SA"/>
              </w:rPr>
            </w:pPr>
            <w:r>
              <w:rPr>
                <w:rFonts w:hint="eastAsia" w:ascii="宋体" w:hAnsi="宋体" w:cs="宋体"/>
                <w:color w:val="auto"/>
                <w:kern w:val="0"/>
                <w:sz w:val="21"/>
                <w:szCs w:val="21"/>
                <w:highlight w:val="none"/>
                <w:lang w:bidi="ar"/>
              </w:rPr>
              <w:t>每有1项内容未进行阐述或不满足采购需求，</w:t>
            </w:r>
            <w:r>
              <w:rPr>
                <w:rFonts w:hint="eastAsia" w:ascii="宋体" w:hAnsi="宋体" w:cs="宋体"/>
                <w:color w:val="auto"/>
                <w:kern w:val="0"/>
                <w:sz w:val="21"/>
                <w:szCs w:val="21"/>
                <w:highlight w:val="none"/>
                <w:lang w:val="en-US" w:eastAsia="zh-CN" w:bidi="ar"/>
              </w:rPr>
              <w:t>此项</w:t>
            </w:r>
            <w:r>
              <w:rPr>
                <w:rFonts w:hint="eastAsia" w:ascii="宋体" w:hAnsi="宋体" w:cs="宋体"/>
                <w:color w:val="auto"/>
                <w:kern w:val="0"/>
                <w:sz w:val="21"/>
                <w:szCs w:val="21"/>
                <w:highlight w:val="none"/>
                <w:lang w:bidi="ar"/>
              </w:rPr>
              <w:t>得0分。</w:t>
            </w:r>
          </w:p>
        </w:tc>
      </w:tr>
      <w:tr w14:paraId="147E9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487" w:type="dxa"/>
            <w:shd w:val="clear" w:color="auto" w:fill="auto"/>
            <w:vAlign w:val="center"/>
          </w:tcPr>
          <w:p w14:paraId="3B82DDEF">
            <w:pPr>
              <w:ind w:firstLine="28" w:firstLineChars="0"/>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bCs/>
                <w:color w:val="auto"/>
                <w:sz w:val="21"/>
                <w:szCs w:val="21"/>
                <w:highlight w:val="none"/>
                <w:lang w:val="en-US" w:eastAsia="zh-CN"/>
              </w:rPr>
              <w:t>6</w:t>
            </w:r>
          </w:p>
        </w:tc>
        <w:tc>
          <w:tcPr>
            <w:tcW w:w="1272" w:type="dxa"/>
            <w:shd w:val="clear" w:color="auto" w:fill="auto"/>
            <w:vAlign w:val="center"/>
          </w:tcPr>
          <w:p w14:paraId="13C81371">
            <w:pPr>
              <w:ind w:firstLine="28" w:firstLineChars="0"/>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bCs/>
                <w:color w:val="auto"/>
                <w:sz w:val="21"/>
                <w:szCs w:val="21"/>
                <w:highlight w:val="none"/>
              </w:rPr>
              <w:t>培训措施</w:t>
            </w:r>
          </w:p>
        </w:tc>
        <w:tc>
          <w:tcPr>
            <w:tcW w:w="660" w:type="dxa"/>
            <w:shd w:val="clear" w:color="auto" w:fill="auto"/>
            <w:vAlign w:val="center"/>
          </w:tcPr>
          <w:p w14:paraId="63DE4B7C">
            <w:pPr>
              <w:ind w:firstLine="28"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bCs/>
                <w:color w:val="auto"/>
                <w:sz w:val="21"/>
                <w:szCs w:val="21"/>
                <w:highlight w:val="none"/>
                <w:lang w:val="en-US" w:eastAsia="zh-CN"/>
              </w:rPr>
              <w:t>7</w:t>
            </w:r>
          </w:p>
        </w:tc>
        <w:tc>
          <w:tcPr>
            <w:tcW w:w="6624" w:type="dxa"/>
            <w:shd w:val="clear" w:color="auto" w:fill="auto"/>
            <w:vAlign w:val="center"/>
          </w:tcPr>
          <w:p w14:paraId="48AF52E2">
            <w:pPr>
              <w:widowControl/>
              <w:rPr>
                <w:rFonts w:hint="eastAsia" w:ascii="宋体" w:hAnsi="宋体" w:eastAsia="宋体" w:cs="宋体"/>
                <w:color w:val="auto"/>
                <w:kern w:val="0"/>
                <w:sz w:val="21"/>
                <w:szCs w:val="21"/>
                <w:highlight w:val="none"/>
                <w:lang w:eastAsia="zh-CN" w:bidi="ar"/>
              </w:rPr>
            </w:pPr>
            <w:r>
              <w:rPr>
                <w:rFonts w:hint="eastAsia" w:ascii="宋体" w:hAnsi="宋体" w:cs="宋体"/>
                <w:color w:val="auto"/>
                <w:kern w:val="0"/>
                <w:sz w:val="21"/>
                <w:szCs w:val="21"/>
                <w:highlight w:val="none"/>
                <w:lang w:bidi="ar"/>
              </w:rPr>
              <w:t>培训措施方案完善，合理，针对性强，满足采购人需求，得</w:t>
            </w:r>
            <w:r>
              <w:rPr>
                <w:rFonts w:hint="eastAsia" w:ascii="宋体" w:hAnsi="宋体" w:cs="宋体"/>
                <w:color w:val="auto"/>
                <w:kern w:val="0"/>
                <w:sz w:val="21"/>
                <w:szCs w:val="21"/>
                <w:highlight w:val="none"/>
                <w:lang w:val="en-US" w:eastAsia="zh-CN" w:bidi="ar"/>
              </w:rPr>
              <w:t>7</w:t>
            </w:r>
            <w:r>
              <w:rPr>
                <w:rFonts w:hint="eastAsia" w:ascii="宋体" w:hAnsi="宋体" w:cs="宋体"/>
                <w:color w:val="auto"/>
                <w:kern w:val="0"/>
                <w:sz w:val="21"/>
                <w:szCs w:val="21"/>
                <w:highlight w:val="none"/>
                <w:lang w:bidi="ar"/>
              </w:rPr>
              <w:t>分</w:t>
            </w:r>
            <w:r>
              <w:rPr>
                <w:rFonts w:hint="eastAsia" w:ascii="宋体" w:hAnsi="宋体" w:cs="宋体"/>
                <w:color w:val="auto"/>
                <w:kern w:val="0"/>
                <w:sz w:val="21"/>
                <w:szCs w:val="21"/>
                <w:highlight w:val="none"/>
                <w:lang w:eastAsia="zh-CN" w:bidi="ar"/>
              </w:rPr>
              <w:t>；</w:t>
            </w:r>
          </w:p>
          <w:p w14:paraId="53754741">
            <w:pPr>
              <w:widowControl/>
              <w:rPr>
                <w:rFonts w:hint="eastAsia" w:ascii="宋体" w:hAnsi="宋体" w:eastAsia="宋体" w:cs="宋体"/>
                <w:color w:val="auto"/>
                <w:kern w:val="0"/>
                <w:sz w:val="21"/>
                <w:szCs w:val="21"/>
                <w:highlight w:val="none"/>
                <w:lang w:eastAsia="zh-CN" w:bidi="ar"/>
              </w:rPr>
            </w:pPr>
            <w:r>
              <w:rPr>
                <w:rFonts w:hint="eastAsia" w:ascii="宋体" w:hAnsi="宋体" w:cs="宋体"/>
                <w:color w:val="auto"/>
                <w:kern w:val="0"/>
                <w:sz w:val="21"/>
                <w:szCs w:val="21"/>
                <w:highlight w:val="none"/>
                <w:lang w:bidi="ar"/>
              </w:rPr>
              <w:t>培训措施方案可行，针对性一般，基本满足采购人需求，得</w:t>
            </w:r>
            <w:r>
              <w:rPr>
                <w:rFonts w:hint="eastAsia" w:ascii="宋体" w:hAnsi="宋体" w:cs="宋体"/>
                <w:color w:val="auto"/>
                <w:kern w:val="0"/>
                <w:sz w:val="21"/>
                <w:szCs w:val="21"/>
                <w:highlight w:val="none"/>
                <w:lang w:val="en-US" w:eastAsia="zh-CN" w:bidi="ar"/>
              </w:rPr>
              <w:t>4</w:t>
            </w:r>
            <w:r>
              <w:rPr>
                <w:rFonts w:hint="eastAsia" w:ascii="宋体" w:hAnsi="宋体" w:cs="宋体"/>
                <w:color w:val="auto"/>
                <w:kern w:val="0"/>
                <w:sz w:val="21"/>
                <w:szCs w:val="21"/>
                <w:highlight w:val="none"/>
                <w:lang w:bidi="ar"/>
              </w:rPr>
              <w:t>分</w:t>
            </w:r>
            <w:r>
              <w:rPr>
                <w:rFonts w:hint="eastAsia" w:ascii="宋体" w:hAnsi="宋体" w:cs="宋体"/>
                <w:color w:val="auto"/>
                <w:kern w:val="0"/>
                <w:sz w:val="21"/>
                <w:szCs w:val="21"/>
                <w:highlight w:val="none"/>
                <w:lang w:eastAsia="zh-CN" w:bidi="ar"/>
              </w:rPr>
              <w:t>；</w:t>
            </w:r>
          </w:p>
          <w:p w14:paraId="04824CC8">
            <w:pPr>
              <w:widowControl/>
              <w:rPr>
                <w:rFonts w:hint="eastAsia" w:ascii="宋体" w:hAnsi="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bidi="ar"/>
              </w:rPr>
              <w:t>培训措施方案不完善，没有针对性，不满足采购人需求，</w:t>
            </w:r>
            <w:r>
              <w:rPr>
                <w:rFonts w:hint="eastAsia" w:ascii="宋体" w:hAnsi="宋体" w:cs="宋体"/>
                <w:color w:val="auto"/>
                <w:kern w:val="0"/>
                <w:sz w:val="21"/>
                <w:szCs w:val="21"/>
                <w:highlight w:val="none"/>
                <w:lang w:val="en-US" w:eastAsia="zh-CN" w:bidi="ar"/>
              </w:rPr>
              <w:t>得1分；</w:t>
            </w:r>
          </w:p>
          <w:p w14:paraId="4748B8E8">
            <w:pPr>
              <w:widowControl/>
              <w:rPr>
                <w:rFonts w:hint="eastAsia" w:ascii="宋体" w:hAnsi="宋体" w:eastAsia="宋体" w:cs="宋体"/>
                <w:color w:val="auto"/>
                <w:kern w:val="2"/>
                <w:sz w:val="21"/>
                <w:szCs w:val="21"/>
                <w:highlight w:val="none"/>
                <w:lang w:val="en-US" w:eastAsia="zh-CN" w:bidi="ar-SA"/>
              </w:rPr>
            </w:pPr>
            <w:r>
              <w:rPr>
                <w:rFonts w:hint="default" w:ascii="宋体" w:hAnsi="宋体" w:cs="宋体"/>
                <w:color w:val="auto"/>
                <w:kern w:val="0"/>
                <w:sz w:val="21"/>
                <w:szCs w:val="21"/>
                <w:highlight w:val="none"/>
                <w:lang w:val="en-US" w:eastAsia="zh-CN" w:bidi="ar"/>
              </w:rPr>
              <w:t>未提供不得分</w:t>
            </w:r>
            <w:r>
              <w:rPr>
                <w:rFonts w:hint="eastAsia" w:ascii="宋体" w:hAnsi="宋体" w:cs="宋体"/>
                <w:color w:val="auto"/>
                <w:kern w:val="0"/>
                <w:sz w:val="21"/>
                <w:szCs w:val="21"/>
                <w:highlight w:val="none"/>
                <w:lang w:val="en-US" w:eastAsia="zh-CN" w:bidi="ar"/>
              </w:rPr>
              <w:t>。</w:t>
            </w:r>
          </w:p>
        </w:tc>
      </w:tr>
      <w:tr w14:paraId="635FC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487" w:type="dxa"/>
            <w:vAlign w:val="center"/>
          </w:tcPr>
          <w:p w14:paraId="74C9C6D3">
            <w:pPr>
              <w:ind w:firstLine="28" w:firstLineChars="0"/>
              <w:jc w:val="center"/>
              <w:rPr>
                <w:rFonts w:hint="default" w:ascii="宋体" w:hAnsi="宋体" w:cs="宋体"/>
                <w:color w:val="auto"/>
                <w:sz w:val="21"/>
                <w:szCs w:val="21"/>
                <w:highlight w:val="none"/>
                <w:lang w:val="en-US" w:eastAsia="zh-CN"/>
              </w:rPr>
            </w:pPr>
            <w:r>
              <w:rPr>
                <w:rFonts w:hint="eastAsia" w:ascii="宋体" w:hAnsi="宋体" w:cs="宋体"/>
                <w:bCs/>
                <w:color w:val="auto"/>
                <w:sz w:val="21"/>
                <w:szCs w:val="21"/>
                <w:highlight w:val="none"/>
                <w:lang w:val="en-US" w:eastAsia="zh-CN"/>
              </w:rPr>
              <w:t>7</w:t>
            </w:r>
          </w:p>
        </w:tc>
        <w:tc>
          <w:tcPr>
            <w:tcW w:w="1272" w:type="dxa"/>
            <w:shd w:val="clear" w:color="auto" w:fill="auto"/>
            <w:vAlign w:val="center"/>
          </w:tcPr>
          <w:p w14:paraId="4539762B">
            <w:pPr>
              <w:ind w:firstLine="28"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bCs/>
                <w:color w:val="auto"/>
                <w:sz w:val="21"/>
                <w:szCs w:val="21"/>
                <w:highlight w:val="none"/>
              </w:rPr>
              <w:t>质量控制方案</w:t>
            </w:r>
          </w:p>
        </w:tc>
        <w:tc>
          <w:tcPr>
            <w:tcW w:w="660" w:type="dxa"/>
            <w:vAlign w:val="center"/>
          </w:tcPr>
          <w:p w14:paraId="5968515B">
            <w:pPr>
              <w:ind w:firstLine="28" w:firstLineChars="0"/>
              <w:jc w:val="center"/>
              <w:rPr>
                <w:rFonts w:hint="default" w:ascii="宋体" w:hAnsi="宋体" w:eastAsia="宋体" w:cs="宋体"/>
                <w:color w:val="auto"/>
                <w:sz w:val="21"/>
                <w:szCs w:val="21"/>
                <w:highlight w:val="none"/>
                <w:lang w:val="en-US" w:eastAsia="zh-CN"/>
              </w:rPr>
            </w:pPr>
            <w:r>
              <w:rPr>
                <w:rFonts w:hint="eastAsia" w:ascii="宋体" w:hAnsi="宋体" w:cs="宋体"/>
                <w:bCs/>
                <w:color w:val="auto"/>
                <w:sz w:val="21"/>
                <w:szCs w:val="21"/>
                <w:highlight w:val="none"/>
                <w:lang w:val="en-US" w:eastAsia="zh-CN"/>
              </w:rPr>
              <w:t>6</w:t>
            </w:r>
          </w:p>
        </w:tc>
        <w:tc>
          <w:tcPr>
            <w:tcW w:w="6624" w:type="dxa"/>
            <w:shd w:val="clear" w:color="auto" w:fill="auto"/>
            <w:vAlign w:val="center"/>
          </w:tcPr>
          <w:p w14:paraId="2CBD5AEC">
            <w:pPr>
              <w:widowControl/>
              <w:rPr>
                <w:rFonts w:ascii="宋体" w:hAnsi="宋体" w:cs="宋体"/>
                <w:color w:val="auto"/>
                <w:kern w:val="0"/>
                <w:sz w:val="21"/>
                <w:szCs w:val="21"/>
                <w:highlight w:val="none"/>
                <w:lang w:bidi="ar"/>
              </w:rPr>
            </w:pPr>
            <w:r>
              <w:rPr>
                <w:rFonts w:hint="eastAsia" w:ascii="宋体" w:hAnsi="宋体" w:cs="宋体"/>
                <w:bCs/>
                <w:color w:val="auto"/>
                <w:sz w:val="21"/>
                <w:szCs w:val="21"/>
                <w:highlight w:val="none"/>
              </w:rPr>
              <w:t>质量控制方案</w:t>
            </w:r>
            <w:r>
              <w:rPr>
                <w:rFonts w:hint="eastAsia" w:ascii="宋体" w:hAnsi="宋体" w:cs="宋体"/>
                <w:color w:val="auto"/>
                <w:kern w:val="0"/>
                <w:sz w:val="21"/>
                <w:szCs w:val="21"/>
                <w:highlight w:val="none"/>
                <w:lang w:bidi="ar"/>
              </w:rPr>
              <w:t>完善，合理，针对性强，满足采购人需求，得</w:t>
            </w:r>
            <w:r>
              <w:rPr>
                <w:rFonts w:hint="eastAsia" w:ascii="宋体" w:hAnsi="宋体" w:cs="宋体"/>
                <w:color w:val="auto"/>
                <w:kern w:val="0"/>
                <w:sz w:val="21"/>
                <w:szCs w:val="21"/>
                <w:highlight w:val="none"/>
                <w:lang w:val="en-US" w:eastAsia="zh-CN" w:bidi="ar"/>
              </w:rPr>
              <w:t>6</w:t>
            </w:r>
            <w:r>
              <w:rPr>
                <w:rFonts w:hint="eastAsia" w:ascii="宋体" w:hAnsi="宋体" w:cs="宋体"/>
                <w:color w:val="auto"/>
                <w:kern w:val="0"/>
                <w:sz w:val="21"/>
                <w:szCs w:val="21"/>
                <w:highlight w:val="none"/>
                <w:lang w:bidi="ar"/>
              </w:rPr>
              <w:t>分；</w:t>
            </w:r>
          </w:p>
          <w:p w14:paraId="7CE0E3B2">
            <w:pPr>
              <w:widowControl/>
              <w:rPr>
                <w:rFonts w:ascii="宋体" w:hAnsi="宋体" w:cs="宋体"/>
                <w:color w:val="auto"/>
                <w:kern w:val="0"/>
                <w:sz w:val="21"/>
                <w:szCs w:val="21"/>
                <w:highlight w:val="none"/>
                <w:lang w:bidi="ar"/>
              </w:rPr>
            </w:pPr>
            <w:r>
              <w:rPr>
                <w:rFonts w:hint="eastAsia" w:ascii="宋体" w:hAnsi="宋体" w:cs="宋体"/>
                <w:bCs/>
                <w:color w:val="auto"/>
                <w:sz w:val="21"/>
                <w:szCs w:val="21"/>
                <w:highlight w:val="none"/>
              </w:rPr>
              <w:t>质量控制方案</w:t>
            </w:r>
            <w:r>
              <w:rPr>
                <w:rFonts w:hint="eastAsia" w:ascii="宋体" w:hAnsi="宋体" w:cs="宋体"/>
                <w:color w:val="auto"/>
                <w:kern w:val="0"/>
                <w:sz w:val="21"/>
                <w:szCs w:val="21"/>
                <w:highlight w:val="none"/>
                <w:lang w:bidi="ar"/>
              </w:rPr>
              <w:t>可行，针对性一般，基本满足采购人需求，得</w:t>
            </w:r>
            <w:r>
              <w:rPr>
                <w:rFonts w:hint="eastAsia" w:ascii="宋体" w:hAnsi="宋体" w:cs="宋体"/>
                <w:color w:val="auto"/>
                <w:kern w:val="0"/>
                <w:sz w:val="21"/>
                <w:szCs w:val="21"/>
                <w:highlight w:val="none"/>
                <w:lang w:val="en-US" w:eastAsia="zh-CN" w:bidi="ar"/>
              </w:rPr>
              <w:t>4</w:t>
            </w:r>
            <w:r>
              <w:rPr>
                <w:rFonts w:hint="eastAsia" w:ascii="宋体" w:hAnsi="宋体" w:cs="宋体"/>
                <w:color w:val="auto"/>
                <w:kern w:val="0"/>
                <w:sz w:val="21"/>
                <w:szCs w:val="21"/>
                <w:highlight w:val="none"/>
                <w:lang w:bidi="ar"/>
              </w:rPr>
              <w:t>分；</w:t>
            </w:r>
          </w:p>
          <w:p w14:paraId="4B44F5C6">
            <w:pPr>
              <w:widowControl/>
              <w:rPr>
                <w:rFonts w:ascii="宋体" w:hAnsi="宋体" w:cs="宋体"/>
                <w:color w:val="auto"/>
                <w:kern w:val="0"/>
                <w:sz w:val="21"/>
                <w:szCs w:val="21"/>
                <w:highlight w:val="none"/>
                <w:lang w:bidi="ar"/>
              </w:rPr>
            </w:pPr>
            <w:r>
              <w:rPr>
                <w:rFonts w:hint="eastAsia" w:ascii="宋体" w:hAnsi="宋体" w:cs="宋体"/>
                <w:bCs/>
                <w:color w:val="auto"/>
                <w:sz w:val="21"/>
                <w:szCs w:val="21"/>
                <w:highlight w:val="none"/>
              </w:rPr>
              <w:t>质量控制方案</w:t>
            </w:r>
            <w:r>
              <w:rPr>
                <w:rFonts w:hint="eastAsia" w:ascii="宋体" w:hAnsi="宋体" w:cs="宋体"/>
                <w:color w:val="auto"/>
                <w:kern w:val="0"/>
                <w:sz w:val="21"/>
                <w:szCs w:val="21"/>
                <w:highlight w:val="none"/>
                <w:lang w:bidi="ar"/>
              </w:rPr>
              <w:t>不完善，没有针对性，不满足采购人需求，得</w:t>
            </w:r>
            <w:r>
              <w:rPr>
                <w:rFonts w:hint="eastAsia" w:ascii="宋体" w:hAnsi="宋体" w:cs="宋体"/>
                <w:color w:val="auto"/>
                <w:kern w:val="0"/>
                <w:sz w:val="21"/>
                <w:szCs w:val="21"/>
                <w:highlight w:val="none"/>
                <w:lang w:val="en-US" w:eastAsia="zh-CN" w:bidi="ar"/>
              </w:rPr>
              <w:t>2</w:t>
            </w:r>
            <w:r>
              <w:rPr>
                <w:rFonts w:hint="eastAsia" w:ascii="宋体" w:hAnsi="宋体" w:cs="宋体"/>
                <w:color w:val="auto"/>
                <w:kern w:val="0"/>
                <w:sz w:val="21"/>
                <w:szCs w:val="21"/>
                <w:highlight w:val="none"/>
                <w:lang w:bidi="ar"/>
              </w:rPr>
              <w:t>分；</w:t>
            </w:r>
          </w:p>
          <w:p w14:paraId="43810337">
            <w:pPr>
              <w:widowControl/>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未提供不得分。</w:t>
            </w:r>
          </w:p>
        </w:tc>
      </w:tr>
      <w:tr w14:paraId="6B08F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759" w:type="dxa"/>
            <w:gridSpan w:val="2"/>
            <w:vAlign w:val="center"/>
          </w:tcPr>
          <w:p w14:paraId="5E25EDC7">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7284" w:type="dxa"/>
            <w:gridSpan w:val="2"/>
            <w:vAlign w:val="center"/>
          </w:tcPr>
          <w:p w14:paraId="69F1518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r>
    </w:tbl>
    <w:p w14:paraId="5EE6C5D7">
      <w:p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bookmarkStart w:id="824" w:name="_Toc24239"/>
      <w:r>
        <w:rPr>
          <w:rFonts w:hint="eastAsia" w:ascii="宋体" w:hAnsi="宋体" w:eastAsia="宋体" w:cs="宋体"/>
          <w:b/>
          <w:color w:val="auto"/>
          <w:sz w:val="36"/>
          <w:szCs w:val="36"/>
          <w:highlight w:val="none"/>
        </w:rPr>
        <w:t>第五章   采购需求</w:t>
      </w:r>
      <w:bookmarkEnd w:id="824"/>
    </w:p>
    <w:p w14:paraId="1A044967">
      <w:pPr>
        <w:adjustRightInd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第一部分 </w:t>
      </w:r>
      <w:r>
        <w:rPr>
          <w:rFonts w:hint="eastAsia" w:ascii="宋体" w:hAnsi="宋体" w:cs="宋体"/>
          <w:b/>
          <w:color w:val="auto"/>
          <w:sz w:val="24"/>
          <w:highlight w:val="none"/>
        </w:rPr>
        <w:t>采购标的</w:t>
      </w:r>
    </w:p>
    <w:tbl>
      <w:tblPr>
        <w:tblStyle w:val="45"/>
        <w:tblW w:w="8875" w:type="dxa"/>
        <w:tblInd w:w="-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34"/>
        <w:gridCol w:w="1318"/>
        <w:gridCol w:w="1243"/>
        <w:gridCol w:w="685"/>
        <w:gridCol w:w="3699"/>
      </w:tblGrid>
      <w:tr w14:paraId="57552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596" w:type="dxa"/>
            <w:vAlign w:val="center"/>
          </w:tcPr>
          <w:p w14:paraId="253BF292">
            <w:pPr>
              <w:jc w:val="center"/>
              <w:rPr>
                <w:bCs/>
                <w:color w:val="auto"/>
                <w:szCs w:val="21"/>
                <w:highlight w:val="none"/>
              </w:rPr>
            </w:pPr>
            <w:r>
              <w:rPr>
                <w:bCs/>
                <w:color w:val="auto"/>
                <w:szCs w:val="21"/>
                <w:highlight w:val="none"/>
              </w:rPr>
              <w:t>包号</w:t>
            </w:r>
          </w:p>
        </w:tc>
        <w:tc>
          <w:tcPr>
            <w:tcW w:w="1334" w:type="dxa"/>
            <w:vAlign w:val="center"/>
          </w:tcPr>
          <w:p w14:paraId="5384004C">
            <w:pPr>
              <w:jc w:val="center"/>
              <w:rPr>
                <w:bCs/>
                <w:color w:val="auto"/>
                <w:szCs w:val="21"/>
                <w:highlight w:val="none"/>
              </w:rPr>
            </w:pPr>
            <w:r>
              <w:rPr>
                <w:rFonts w:hint="eastAsia"/>
                <w:bCs/>
                <w:color w:val="auto"/>
                <w:szCs w:val="21"/>
                <w:highlight w:val="none"/>
                <w:lang w:val="en-US" w:eastAsia="zh-CN"/>
              </w:rPr>
              <w:t>标的名称</w:t>
            </w:r>
          </w:p>
        </w:tc>
        <w:tc>
          <w:tcPr>
            <w:tcW w:w="1318" w:type="dxa"/>
            <w:vAlign w:val="center"/>
          </w:tcPr>
          <w:p w14:paraId="708021EB">
            <w:pPr>
              <w:jc w:val="center"/>
              <w:rPr>
                <w:bCs/>
                <w:color w:val="auto"/>
                <w:szCs w:val="21"/>
                <w:highlight w:val="none"/>
              </w:rPr>
            </w:pPr>
            <w:r>
              <w:rPr>
                <w:bCs/>
                <w:color w:val="auto"/>
                <w:szCs w:val="21"/>
                <w:highlight w:val="none"/>
              </w:rPr>
              <w:t>采购包预算金额（万元）</w:t>
            </w:r>
          </w:p>
        </w:tc>
        <w:tc>
          <w:tcPr>
            <w:tcW w:w="1243" w:type="dxa"/>
            <w:vAlign w:val="center"/>
          </w:tcPr>
          <w:p w14:paraId="38A4DA63">
            <w:pPr>
              <w:jc w:val="center"/>
              <w:rPr>
                <w:bCs/>
                <w:color w:val="auto"/>
                <w:szCs w:val="21"/>
                <w:highlight w:val="none"/>
              </w:rPr>
            </w:pPr>
            <w:r>
              <w:rPr>
                <w:rFonts w:hint="eastAsia"/>
                <w:bCs/>
                <w:color w:val="auto"/>
                <w:szCs w:val="21"/>
                <w:highlight w:val="none"/>
                <w:lang w:val="en-US" w:eastAsia="zh-CN"/>
              </w:rPr>
              <w:t>最高限价（万元）</w:t>
            </w:r>
          </w:p>
        </w:tc>
        <w:tc>
          <w:tcPr>
            <w:tcW w:w="685" w:type="dxa"/>
            <w:vAlign w:val="center"/>
          </w:tcPr>
          <w:p w14:paraId="117E9E0D">
            <w:pPr>
              <w:jc w:val="center"/>
              <w:rPr>
                <w:bCs/>
                <w:color w:val="auto"/>
                <w:szCs w:val="21"/>
                <w:highlight w:val="none"/>
              </w:rPr>
            </w:pPr>
            <w:r>
              <w:rPr>
                <w:bCs/>
                <w:color w:val="auto"/>
                <w:szCs w:val="21"/>
                <w:highlight w:val="none"/>
              </w:rPr>
              <w:t>数量</w:t>
            </w:r>
          </w:p>
        </w:tc>
        <w:tc>
          <w:tcPr>
            <w:tcW w:w="3699" w:type="dxa"/>
            <w:vAlign w:val="center"/>
          </w:tcPr>
          <w:p w14:paraId="59A090DB">
            <w:pPr>
              <w:jc w:val="center"/>
              <w:rPr>
                <w:color w:val="auto"/>
                <w:szCs w:val="21"/>
                <w:highlight w:val="none"/>
              </w:rPr>
            </w:pPr>
            <w:r>
              <w:rPr>
                <w:color w:val="auto"/>
                <w:szCs w:val="21"/>
                <w:highlight w:val="none"/>
              </w:rPr>
              <w:t>简要技术需求或服务要求</w:t>
            </w:r>
          </w:p>
        </w:tc>
      </w:tr>
      <w:tr w14:paraId="02C04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596" w:type="dxa"/>
            <w:vAlign w:val="center"/>
          </w:tcPr>
          <w:p w14:paraId="16ACB63D">
            <w:pPr>
              <w:jc w:val="center"/>
              <w:rPr>
                <w:rFonts w:ascii="Times New Roman" w:hAnsi="Times New Roman" w:eastAsia="宋体" w:cs="Times New Roman"/>
                <w:bCs/>
                <w:color w:val="auto"/>
                <w:szCs w:val="21"/>
                <w:highlight w:val="none"/>
              </w:rPr>
            </w:pPr>
            <w:r>
              <w:rPr>
                <w:rFonts w:hint="eastAsia" w:ascii="宋体" w:hAnsi="宋体"/>
                <w:bCs/>
                <w:color w:val="auto"/>
                <w:highlight w:val="none"/>
              </w:rPr>
              <w:t>0</w:t>
            </w:r>
            <w:r>
              <w:rPr>
                <w:rFonts w:hint="eastAsia" w:ascii="宋体" w:hAnsi="宋体"/>
                <w:bCs/>
                <w:color w:val="auto"/>
                <w:highlight w:val="none"/>
                <w:lang w:val="en-US" w:eastAsia="zh-CN"/>
              </w:rPr>
              <w:t>1</w:t>
            </w:r>
          </w:p>
        </w:tc>
        <w:tc>
          <w:tcPr>
            <w:tcW w:w="1334" w:type="dxa"/>
            <w:vAlign w:val="center"/>
          </w:tcPr>
          <w:p w14:paraId="03928A45">
            <w:pPr>
              <w:jc w:val="center"/>
              <w:rPr>
                <w:rFonts w:hint="default" w:ascii="Times New Roman" w:hAnsi="Times New Roman" w:eastAsia="宋体" w:cs="Times New Roman"/>
                <w:bCs/>
                <w:color w:val="auto"/>
                <w:szCs w:val="21"/>
                <w:highlight w:val="none"/>
                <w:lang w:val="en-US"/>
              </w:rPr>
            </w:pPr>
            <w:r>
              <w:rPr>
                <w:rFonts w:hint="eastAsia" w:ascii="宋体" w:hAnsi="宋体"/>
                <w:color w:val="auto"/>
                <w:highlight w:val="none"/>
                <w:lang w:eastAsia="zh-CN"/>
              </w:rPr>
              <w:t>热力生产和供应</w:t>
            </w:r>
          </w:p>
        </w:tc>
        <w:tc>
          <w:tcPr>
            <w:tcW w:w="1318" w:type="dxa"/>
            <w:vAlign w:val="center"/>
          </w:tcPr>
          <w:p w14:paraId="221CC2C0">
            <w:pPr>
              <w:jc w:val="center"/>
              <w:rPr>
                <w:rFonts w:hint="default" w:ascii="Times New Roman" w:hAnsi="Times New Roman" w:eastAsia="宋体" w:cs="Times New Roman"/>
                <w:bCs/>
                <w:color w:val="auto"/>
                <w:szCs w:val="21"/>
                <w:highlight w:val="none"/>
                <w:lang w:val="en-US" w:eastAsia="zh-CN"/>
              </w:rPr>
            </w:pPr>
            <w:r>
              <w:rPr>
                <w:rFonts w:hint="eastAsia" w:ascii="宋体" w:hAnsi="宋体"/>
                <w:bCs/>
                <w:color w:val="auto"/>
                <w:highlight w:val="none"/>
                <w:lang w:val="en-US" w:eastAsia="zh-CN"/>
              </w:rPr>
              <w:t>187</w:t>
            </w:r>
          </w:p>
        </w:tc>
        <w:tc>
          <w:tcPr>
            <w:tcW w:w="1243" w:type="dxa"/>
            <w:vAlign w:val="center"/>
          </w:tcPr>
          <w:p w14:paraId="03F57AAF">
            <w:pPr>
              <w:jc w:val="center"/>
              <w:rPr>
                <w:rFonts w:hint="default" w:ascii="Times New Roman" w:hAnsi="Times New Roman" w:eastAsia="宋体" w:cs="Times New Roman"/>
                <w:bCs/>
                <w:color w:val="auto"/>
                <w:szCs w:val="21"/>
                <w:highlight w:val="none"/>
                <w:lang w:val="en-US" w:eastAsia="zh-CN"/>
              </w:rPr>
            </w:pPr>
            <w:r>
              <w:rPr>
                <w:rFonts w:hint="eastAsia" w:ascii="宋体" w:hAnsi="宋体"/>
                <w:bCs/>
                <w:color w:val="auto"/>
                <w:highlight w:val="none"/>
                <w:lang w:val="en-US" w:eastAsia="zh-CN"/>
              </w:rPr>
              <w:t>187</w:t>
            </w:r>
          </w:p>
        </w:tc>
        <w:tc>
          <w:tcPr>
            <w:tcW w:w="685" w:type="dxa"/>
            <w:vAlign w:val="center"/>
          </w:tcPr>
          <w:p w14:paraId="5BA8869A">
            <w:pPr>
              <w:jc w:val="center"/>
              <w:rPr>
                <w:rFonts w:ascii="Times New Roman" w:hAnsi="Times New Roman" w:eastAsia="宋体" w:cs="Times New Roman"/>
                <w:bCs/>
                <w:color w:val="auto"/>
                <w:szCs w:val="21"/>
                <w:highlight w:val="none"/>
              </w:rPr>
            </w:pPr>
            <w:r>
              <w:rPr>
                <w:rFonts w:hint="eastAsia" w:ascii="宋体" w:hAnsi="宋体"/>
                <w:bCs/>
                <w:color w:val="auto"/>
                <w:highlight w:val="none"/>
              </w:rPr>
              <w:t>1</w:t>
            </w:r>
            <w:r>
              <w:rPr>
                <w:rFonts w:hint="eastAsia" w:ascii="宋体" w:hAnsi="宋体"/>
                <w:bCs/>
                <w:color w:val="auto"/>
                <w:highlight w:val="none"/>
                <w:lang w:val="en-US" w:eastAsia="zh-CN"/>
              </w:rPr>
              <w:t>项</w:t>
            </w:r>
          </w:p>
        </w:tc>
        <w:tc>
          <w:tcPr>
            <w:tcW w:w="3699" w:type="dxa"/>
            <w:vAlign w:val="center"/>
          </w:tcPr>
          <w:p w14:paraId="3ED15702">
            <w:pPr>
              <w:jc w:val="left"/>
              <w:rPr>
                <w:rFonts w:hint="default" w:ascii="Times New Roman" w:hAnsi="Times New Roman" w:eastAsia="宋体" w:cs="Times New Roman"/>
                <w:bCs/>
                <w:color w:val="auto"/>
                <w:szCs w:val="21"/>
                <w:highlight w:val="none"/>
                <w:lang w:val="en-US" w:eastAsia="zh-CN"/>
              </w:rPr>
            </w:pPr>
            <w:r>
              <w:rPr>
                <w:rFonts w:hint="eastAsia" w:ascii="宋体" w:hAnsi="宋体"/>
                <w:color w:val="auto"/>
                <w:kern w:val="0"/>
                <w:highlight w:val="none"/>
              </w:rPr>
              <w:t>包括但不限于提供三台1.45MW的常压燃气热水锅炉的采暖服务、生活热水供应服务、设备维护保养（包括锅炉、燃烧机、供热系统、换热器、循环泵、补水泵、电气自控等设备）、管网巡视维护、废水、废气检测及运行期间消耗品等。具体内容及要求详见“采购需求”</w:t>
            </w:r>
          </w:p>
        </w:tc>
      </w:tr>
    </w:tbl>
    <w:p w14:paraId="35BD5651">
      <w:pPr>
        <w:snapToGrid w:val="0"/>
        <w:spacing w:line="360" w:lineRule="auto"/>
        <w:rPr>
          <w:rFonts w:hint="eastAsia" w:ascii="宋体" w:hAnsi="宋体" w:cs="宋体"/>
          <w:color w:val="auto"/>
          <w:sz w:val="24"/>
          <w:highlight w:val="none"/>
        </w:rPr>
      </w:pPr>
    </w:p>
    <w:p w14:paraId="0D94ACB5">
      <w:pPr>
        <w:adjustRightInd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第二部分 </w:t>
      </w:r>
      <w:r>
        <w:rPr>
          <w:rFonts w:hint="eastAsia" w:ascii="宋体" w:hAnsi="宋体" w:cs="宋体"/>
          <w:b/>
          <w:color w:val="auto"/>
          <w:sz w:val="24"/>
          <w:highlight w:val="none"/>
        </w:rPr>
        <w:t>商务要求</w:t>
      </w:r>
    </w:p>
    <w:p w14:paraId="249928B9">
      <w:pPr>
        <w:spacing w:line="360" w:lineRule="auto"/>
        <w:ind w:firstLine="480" w:firstLineChars="200"/>
        <w:contextualSpacing/>
        <w:rPr>
          <w:rFonts w:hint="eastAsia"/>
          <w:color w:val="auto"/>
          <w:sz w:val="24"/>
          <w:highlight w:val="none"/>
        </w:rPr>
      </w:pPr>
      <w:r>
        <w:rPr>
          <w:rFonts w:hint="eastAsia" w:ascii="宋体" w:hAnsi="宋体"/>
          <w:color w:val="auto"/>
          <w:sz w:val="24"/>
          <w:highlight w:val="none"/>
        </w:rPr>
        <w:t>★</w:t>
      </w:r>
      <w:r>
        <w:rPr>
          <w:color w:val="auto"/>
          <w:sz w:val="24"/>
          <w:highlight w:val="none"/>
        </w:rPr>
        <w:t>1</w:t>
      </w:r>
      <w:r>
        <w:rPr>
          <w:rFonts w:hint="eastAsia"/>
          <w:color w:val="auto"/>
          <w:sz w:val="24"/>
          <w:highlight w:val="none"/>
        </w:rPr>
        <w:t>.合同履行期限：</w:t>
      </w:r>
      <w:r>
        <w:rPr>
          <w:rFonts w:hint="eastAsia"/>
          <w:color w:val="auto"/>
          <w:sz w:val="24"/>
          <w:highlight w:val="none"/>
          <w:lang w:val="en-US" w:eastAsia="zh-CN"/>
        </w:rPr>
        <w:t>自2026年11月 1日起至 2027年3月31日止，共计151日历天</w:t>
      </w:r>
      <w:r>
        <w:rPr>
          <w:rFonts w:hint="eastAsia"/>
          <w:color w:val="auto"/>
          <w:sz w:val="24"/>
          <w:highlight w:val="none"/>
        </w:rPr>
        <w:t>；</w:t>
      </w:r>
    </w:p>
    <w:p w14:paraId="167071AC">
      <w:pPr>
        <w:spacing w:line="360" w:lineRule="auto"/>
        <w:ind w:firstLine="480" w:firstLineChars="200"/>
        <w:contextualSpacing/>
        <w:rPr>
          <w:i/>
          <w:color w:val="auto"/>
          <w:sz w:val="24"/>
          <w:highlight w:val="none"/>
        </w:rPr>
      </w:pPr>
      <w:r>
        <w:rPr>
          <w:rFonts w:hint="eastAsia" w:ascii="宋体" w:hAnsi="宋体"/>
          <w:color w:val="auto"/>
          <w:sz w:val="24"/>
          <w:highlight w:val="none"/>
        </w:rPr>
        <w:t>★</w:t>
      </w:r>
      <w:r>
        <w:rPr>
          <w:rFonts w:hint="eastAsia"/>
          <w:color w:val="auto"/>
          <w:sz w:val="24"/>
          <w:highlight w:val="none"/>
        </w:rPr>
        <w:t>2.服务</w:t>
      </w:r>
      <w:r>
        <w:rPr>
          <w:color w:val="auto"/>
          <w:sz w:val="24"/>
          <w:highlight w:val="none"/>
        </w:rPr>
        <w:t>地点：</w:t>
      </w:r>
      <w:r>
        <w:rPr>
          <w:rFonts w:hint="eastAsia"/>
          <w:color w:val="auto"/>
          <w:sz w:val="24"/>
          <w:highlight w:val="none"/>
        </w:rPr>
        <w:t>北京市顺义牛栏山第一中学板桥学校；</w:t>
      </w:r>
    </w:p>
    <w:p w14:paraId="6906750E">
      <w:pPr>
        <w:spacing w:line="360" w:lineRule="auto"/>
        <w:ind w:firstLine="480" w:firstLineChars="200"/>
        <w:contextualSpacing/>
        <w:rPr>
          <w:rFonts w:hint="eastAsia" w:cs="Times New Roman"/>
          <w:color w:val="auto"/>
          <w:sz w:val="24"/>
          <w:highlight w:val="none"/>
          <w:lang w:val="en-US" w:eastAsia="zh-CN"/>
        </w:rPr>
      </w:pPr>
      <w:r>
        <w:rPr>
          <w:rFonts w:hint="eastAsia" w:ascii="宋体" w:hAnsi="宋体"/>
          <w:color w:val="auto"/>
          <w:sz w:val="24"/>
          <w:highlight w:val="none"/>
        </w:rPr>
        <w:t>★</w:t>
      </w:r>
      <w:r>
        <w:rPr>
          <w:rFonts w:hint="eastAsia"/>
          <w:color w:val="auto"/>
          <w:sz w:val="24"/>
          <w:highlight w:val="none"/>
        </w:rPr>
        <w:t>3</w:t>
      </w:r>
      <w:r>
        <w:rPr>
          <w:color w:val="auto"/>
          <w:sz w:val="24"/>
          <w:highlight w:val="none"/>
        </w:rPr>
        <w:t>.付款条件（进度和方式）：</w:t>
      </w:r>
      <w:r>
        <w:rPr>
          <w:rFonts w:hint="eastAsia" w:ascii="宋体" w:hAnsi="宋体" w:cs="宋体"/>
          <w:color w:val="auto"/>
          <w:sz w:val="24"/>
          <w:highlight w:val="none"/>
        </w:rPr>
        <w:t>详见合同相应条款</w:t>
      </w:r>
      <w:r>
        <w:rPr>
          <w:rFonts w:hint="eastAsia" w:cs="Times New Roman"/>
          <w:color w:val="auto"/>
          <w:sz w:val="24"/>
          <w:highlight w:val="none"/>
          <w:lang w:val="en-US" w:eastAsia="zh-CN"/>
        </w:rPr>
        <w:t>。</w:t>
      </w:r>
    </w:p>
    <w:p w14:paraId="0C18FE13">
      <w:pPr>
        <w:adjustRightInd w:val="0"/>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第三部分 技术要求</w:t>
      </w:r>
    </w:p>
    <w:p w14:paraId="45DB6238">
      <w:pPr>
        <w:adjustRightIn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一</w:t>
      </w:r>
      <w:r>
        <w:rPr>
          <w:rFonts w:hint="eastAsia" w:ascii="宋体" w:hAnsi="宋体" w:cs="宋体"/>
          <w:b/>
          <w:color w:val="auto"/>
          <w:sz w:val="24"/>
          <w:highlight w:val="none"/>
          <w:lang w:eastAsia="zh-CN"/>
        </w:rPr>
        <w:t>）</w:t>
      </w:r>
      <w:r>
        <w:rPr>
          <w:rFonts w:hint="eastAsia" w:ascii="宋体" w:hAnsi="宋体" w:cs="宋体"/>
          <w:b/>
          <w:color w:val="auto"/>
          <w:sz w:val="24"/>
          <w:highlight w:val="none"/>
        </w:rPr>
        <w:t>项目概况：</w:t>
      </w:r>
    </w:p>
    <w:p w14:paraId="7AFF5870">
      <w:pPr>
        <w:pStyle w:val="4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shd w:val="clear" w:color="auto" w:fill="FFFFFF"/>
        </w:rPr>
        <w:t>该</w:t>
      </w:r>
      <w:r>
        <w:rPr>
          <w:rFonts w:hint="eastAsia" w:ascii="宋体" w:hAnsi="宋体" w:cs="宋体"/>
          <w:color w:val="auto"/>
          <w:sz w:val="24"/>
          <w:highlight w:val="none"/>
        </w:rPr>
        <w:t>项目位于北京市顺义区赵全营镇板桥地区，学校总建筑面积</w:t>
      </w:r>
      <w:r>
        <w:rPr>
          <w:rFonts w:hint="eastAsia" w:ascii="宋体" w:hAnsi="宋体" w:cs="宋体"/>
          <w:bCs/>
          <w:color w:val="auto"/>
          <w:kern w:val="0"/>
          <w:sz w:val="24"/>
          <w:highlight w:val="none"/>
          <w:lang w:bidi="ar"/>
        </w:rPr>
        <w:t>46868.82</w:t>
      </w:r>
      <w:r>
        <w:rPr>
          <w:rFonts w:hint="eastAsia" w:ascii="宋体" w:hAnsi="宋体" w:cs="宋体"/>
          <w:color w:val="auto"/>
          <w:sz w:val="24"/>
          <w:highlight w:val="none"/>
        </w:rPr>
        <w:t>平方米</w:t>
      </w:r>
      <w:r>
        <w:rPr>
          <w:rFonts w:hint="eastAsia" w:ascii="宋体" w:hAnsi="宋体" w:cs="宋体"/>
          <w:color w:val="auto"/>
          <w:sz w:val="24"/>
          <w:highlight w:val="none"/>
          <w:shd w:val="clear" w:color="auto" w:fill="FFFFFF"/>
        </w:rPr>
        <w:t>，</w:t>
      </w:r>
      <w:r>
        <w:rPr>
          <w:rFonts w:hint="eastAsia" w:ascii="宋体" w:hAnsi="宋体" w:cs="宋体"/>
          <w:color w:val="auto"/>
          <w:sz w:val="24"/>
          <w:highlight w:val="none"/>
        </w:rPr>
        <w:t>内容包括但不限于采暖服务、生活热水供应服务、设备维护保养、管网巡视维护、废水、废气检测及运行期间消耗品等。</w:t>
      </w:r>
    </w:p>
    <w:p w14:paraId="0F7DDB0A">
      <w:pPr>
        <w:adjustRightInd w:val="0"/>
        <w:spacing w:line="360" w:lineRule="auto"/>
        <w:ind w:firstLine="482" w:firstLineChars="200"/>
        <w:rPr>
          <w:rFonts w:hint="eastAsia" w:ascii="宋体" w:hAnsi="宋体" w:cs="宋体"/>
          <w:b/>
          <w:color w:val="auto"/>
          <w:sz w:val="24"/>
          <w:highlight w:val="none"/>
          <w:lang w:eastAsia="zh-CN"/>
        </w:rPr>
      </w:pPr>
      <w:r>
        <w:rPr>
          <w:rFonts w:hint="eastAsia" w:ascii="宋体" w:hAnsi="宋体" w:cs="宋体"/>
          <w:b/>
          <w:color w:val="auto"/>
          <w:sz w:val="24"/>
          <w:highlight w:val="none"/>
          <w:lang w:val="en-US" w:eastAsia="zh-CN"/>
        </w:rPr>
        <w:t>（二）</w:t>
      </w:r>
      <w:r>
        <w:rPr>
          <w:rFonts w:hint="eastAsia" w:ascii="宋体" w:hAnsi="宋体" w:cs="宋体"/>
          <w:b/>
          <w:color w:val="auto"/>
          <w:sz w:val="24"/>
          <w:highlight w:val="none"/>
          <w:lang w:eastAsia="zh-CN"/>
        </w:rPr>
        <w:t>服务内容</w:t>
      </w:r>
    </w:p>
    <w:p w14:paraId="330DC4A0">
      <w:pPr>
        <w:snapToGrid w:val="0"/>
        <w:spacing w:line="360" w:lineRule="auto"/>
        <w:ind w:firstLine="480" w:firstLineChars="200"/>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1.本项目锅炉运行分成两部分：一部分为锅炉供暖，另一部分为日常生活水供应。</w:t>
      </w:r>
    </w:p>
    <w:p w14:paraId="74E8E9E9">
      <w:pPr>
        <w:snapToGrid w:val="0"/>
        <w:spacing w:line="360" w:lineRule="auto"/>
        <w:ind w:firstLine="480" w:firstLineChars="200"/>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2.</w:t>
      </w:r>
      <w:r>
        <w:rPr>
          <w:rFonts w:hint="eastAsia" w:ascii="宋体" w:hAnsi="宋体" w:cs="宋体"/>
          <w:color w:val="auto"/>
          <w:sz w:val="24"/>
          <w:highlight w:val="none"/>
        </w:rPr>
        <w:t>该项目燃气锅炉房配备三台1.45MW的常压燃气热水锅炉，处于教学楼地下车库的地下二层位置，其中两台锅炉用于供暖，另一台锅炉供应生活水。</w:t>
      </w:r>
      <w:r>
        <w:rPr>
          <w:rFonts w:hint="eastAsia" w:ascii="宋体" w:hAnsi="宋体" w:cs="宋体"/>
          <w:color w:val="auto"/>
          <w:sz w:val="24"/>
          <w:highlight w:val="none"/>
          <w:shd w:val="clear" w:color="auto" w:fill="FFFFFF"/>
        </w:rPr>
        <w:t>换热站配备一二次循环水泵各二台、一二次补水泵各二台、板式换热器二台、生活水换热器，稳压缓冲罐二台、控制柜两台、变频器三台等。室外管网及室内用热设备。</w:t>
      </w:r>
    </w:p>
    <w:p w14:paraId="4ADE9A51">
      <w:pPr>
        <w:snapToGrid w:val="0"/>
        <w:spacing w:line="360" w:lineRule="auto"/>
        <w:ind w:firstLine="480" w:firstLineChars="200"/>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3.根据往年供热燃气使用量、锅炉型号消耗量、建筑面积、24小时供应热水、每天热水使用量等预估出供暖季所需燃气量约56.82万m³。</w:t>
      </w:r>
    </w:p>
    <w:p w14:paraId="6355FA8F">
      <w:pPr>
        <w:adjustRightInd w:val="0"/>
        <w:spacing w:line="360" w:lineRule="auto"/>
        <w:ind w:firstLine="482" w:firstLineChars="200"/>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（三）服务范围：</w:t>
      </w:r>
    </w:p>
    <w:p w14:paraId="5303FE8B">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1.供暖时间：执行相关规定，确保供暖时间、室温达标。</w:t>
      </w:r>
    </w:p>
    <w:p w14:paraId="1BB1D48B">
      <w:pPr>
        <w:spacing w:line="360" w:lineRule="auto"/>
        <w:ind w:firstLine="480" w:firstLineChars="200"/>
        <w:rPr>
          <w:color w:val="auto"/>
          <w:sz w:val="24"/>
          <w:highlight w:val="none"/>
        </w:rPr>
      </w:pPr>
      <w:r>
        <w:rPr>
          <w:rFonts w:hint="eastAsia" w:ascii="宋体" w:hAnsi="宋体" w:cs="宋体"/>
          <w:bCs/>
          <w:color w:val="auto"/>
          <w:sz w:val="24"/>
          <w:highlight w:val="none"/>
        </w:rPr>
        <w:t>2.</w:t>
      </w:r>
      <w:r>
        <w:rPr>
          <w:color w:val="auto"/>
          <w:sz w:val="24"/>
          <w:highlight w:val="none"/>
        </w:rPr>
        <w:t>按照国家设备运行的相关规定，保证安全运行</w:t>
      </w:r>
      <w:r>
        <w:rPr>
          <w:rFonts w:hint="eastAsia"/>
          <w:color w:val="auto"/>
          <w:sz w:val="24"/>
          <w:highlight w:val="none"/>
        </w:rPr>
        <w:t>；</w:t>
      </w:r>
      <w:r>
        <w:rPr>
          <w:color w:val="auto"/>
          <w:sz w:val="24"/>
          <w:highlight w:val="none"/>
        </w:rPr>
        <w:t>按照供暖、供气锅炉运行标准，确保水质符合要求</w:t>
      </w:r>
      <w:r>
        <w:rPr>
          <w:rFonts w:hint="eastAsia"/>
          <w:color w:val="auto"/>
          <w:sz w:val="24"/>
          <w:highlight w:val="none"/>
        </w:rPr>
        <w:t>。</w:t>
      </w:r>
    </w:p>
    <w:p w14:paraId="3E6BE82F">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3.运行方负责锅炉房安全生产运行管理工作。</w:t>
      </w:r>
    </w:p>
    <w:p w14:paraId="2F072696">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4.运行方要严格遵守校方条件制定锅炉房设备运行管理、维护保养及检修工作相关的操作规程及各项管理制度。</w:t>
      </w:r>
    </w:p>
    <w:p w14:paraId="06A01096">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5.运行方负责学校冬季供暖、生活水供应的运行管理工作及燃气费的缴纳，及时认真填写水、电、气，水质化验、锅炉运行值班等各种报表。</w:t>
      </w:r>
    </w:p>
    <w:p w14:paraId="3F72AB74">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6.做好室外管网初调节，根据天气情况，科学进行质调节或量调节，保证室内温度达标。</w:t>
      </w:r>
    </w:p>
    <w:p w14:paraId="2939F783">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7.运行方负责锅炉房内锅炉、燃烧机、锅炉自控系统、燃气报警系统、燃气调压箱，换热站内循环水泵、补水泵、换热器、控制柜、变频器等，室外热力管网、阀门，热用户内暖气管道</w:t>
      </w:r>
      <w:r>
        <w:rPr>
          <w:rFonts w:hint="eastAsia" w:ascii="宋体" w:hAnsi="宋体" w:cs="宋体"/>
          <w:color w:val="auto"/>
          <w:sz w:val="24"/>
          <w:highlight w:val="none"/>
        </w:rPr>
        <w:t>室内供暖设施</w:t>
      </w:r>
      <w:r>
        <w:rPr>
          <w:rFonts w:hint="eastAsia" w:ascii="宋体" w:hAnsi="宋体" w:cs="宋体"/>
          <w:bCs/>
          <w:color w:val="auto"/>
          <w:sz w:val="24"/>
          <w:highlight w:val="none"/>
        </w:rPr>
        <w:t>维修与保养工作。（不含更换零件及产生的维修费用）。</w:t>
      </w:r>
    </w:p>
    <w:p w14:paraId="3365D38B">
      <w:pPr>
        <w:snapToGrid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8.运行方负责供暖系统应急抢修任务（不包含管网，阀门等需要更换材料）。专业技术人员对锅炉房设备维护保养，保证设备在最佳状态，延长使用寿命（详见设备型号表） 。</w:t>
      </w:r>
    </w:p>
    <w:p w14:paraId="0216D7D7">
      <w:pPr>
        <w:snapToGrid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9.锅炉停暖以后，所有管道设备做一次全面维保。</w:t>
      </w:r>
    </w:p>
    <w:p w14:paraId="64A5EF70">
      <w:pPr>
        <w:adjustRightInd w:val="0"/>
        <w:spacing w:line="360" w:lineRule="auto"/>
        <w:ind w:firstLine="482" w:firstLineChars="200"/>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（四）团队人员要求</w:t>
      </w:r>
    </w:p>
    <w:p w14:paraId="72901CF1">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1.人员配置依据</w:t>
      </w:r>
    </w:p>
    <w:p w14:paraId="1FAC4278">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运行维护各岗位人员按照行业管理规范配置，岗位设置齐全，架构合理。固定运行维护人员不少于 9人，值班室 24 小时双人值守，负责设备日常运行管理、状态监控、巡检、故障预判、日常维护维修和机房及设备清洁工作，并做好运行记录，保障服务设备正常运行。</w:t>
      </w:r>
    </w:p>
    <w:p w14:paraId="1767A350">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 xml:space="preserve">1.1 </w:t>
      </w:r>
      <w:r>
        <w:rPr>
          <w:rStyle w:val="53"/>
          <w:rFonts w:hint="eastAsia" w:ascii="宋体" w:hAnsi="宋体" w:cs="宋体"/>
          <w:bCs/>
          <w:color w:val="auto"/>
          <w:sz w:val="24"/>
          <w:highlight w:val="none"/>
          <w:u w:val="none"/>
        </w:rPr>
        <w:t>项目经理</w:t>
      </w:r>
      <w:r>
        <w:rPr>
          <w:rFonts w:hint="eastAsia" w:ascii="宋体" w:hAnsi="宋体" w:cs="宋体"/>
          <w:bCs/>
          <w:color w:val="auto"/>
          <w:sz w:val="24"/>
          <w:highlight w:val="none"/>
        </w:rPr>
        <w:t>不少于 1 名：负责锅炉日常安全运行管理。</w:t>
      </w:r>
    </w:p>
    <w:p w14:paraId="4CA3703A">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 xml:space="preserve">1.2 </w:t>
      </w:r>
      <w:r>
        <w:rPr>
          <w:rStyle w:val="53"/>
          <w:rFonts w:hint="eastAsia" w:ascii="宋体" w:hAnsi="宋体" w:cs="宋体"/>
          <w:bCs/>
          <w:color w:val="auto"/>
          <w:sz w:val="24"/>
          <w:highlight w:val="none"/>
          <w:u w:val="none"/>
        </w:rPr>
        <w:t>技术负责人</w:t>
      </w:r>
      <w:r>
        <w:rPr>
          <w:rFonts w:hint="eastAsia" w:ascii="宋体" w:hAnsi="宋体" w:cs="宋体"/>
          <w:bCs/>
          <w:color w:val="auto"/>
          <w:sz w:val="24"/>
          <w:highlight w:val="none"/>
        </w:rPr>
        <w:t>不少于 1 名：负责提供技术支持处理应急状况。</w:t>
      </w:r>
    </w:p>
    <w:p w14:paraId="118136BA">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1.3 锅炉水质化验员不少于 1 名：负责锅炉用水处理及硬度、锅炉水碱度、PH 值三项指标化验，保证补给锅炉合格的软化水或软化除碱水。根据炉水的水质情况，向汽锅内定量投加防垢剂或其他药剂，以保证锅炉用水的各项指标符合标准。</w:t>
      </w:r>
    </w:p>
    <w:p w14:paraId="4F1659F7">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1.4 司炉工不少于4 名：负责锅炉日常运行、巡视、故障应急处理。</w:t>
      </w:r>
    </w:p>
    <w:p w14:paraId="54CB19B4">
      <w:pPr>
        <w:snapToGrid w:val="0"/>
        <w:spacing w:line="360" w:lineRule="auto"/>
        <w:ind w:firstLine="480" w:firstLineChars="200"/>
        <w:rPr>
          <w:rStyle w:val="53"/>
          <w:rFonts w:ascii="宋体" w:hAnsi="宋体" w:cs="宋体"/>
          <w:bCs/>
          <w:color w:val="auto"/>
          <w:sz w:val="24"/>
          <w:highlight w:val="none"/>
          <w:u w:val="none"/>
        </w:rPr>
      </w:pPr>
      <w:r>
        <w:rPr>
          <w:rFonts w:hint="eastAsia" w:ascii="宋体" w:hAnsi="宋体" w:cs="宋体"/>
          <w:bCs/>
          <w:color w:val="auto"/>
          <w:sz w:val="24"/>
          <w:highlight w:val="none"/>
        </w:rPr>
        <w:t>1.5</w:t>
      </w:r>
      <w:r>
        <w:rPr>
          <w:rStyle w:val="53"/>
          <w:rFonts w:hint="eastAsia" w:ascii="宋体" w:hAnsi="宋体" w:cs="宋体"/>
          <w:bCs/>
          <w:color w:val="auto"/>
          <w:sz w:val="24"/>
          <w:highlight w:val="none"/>
          <w:u w:val="none"/>
        </w:rPr>
        <w:t>维修工不少于2人：负责日常检修设备及整个供暖系统运行维修。</w:t>
      </w:r>
    </w:p>
    <w:p w14:paraId="05545396">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2.人员配置要求</w:t>
      </w:r>
    </w:p>
    <w:p w14:paraId="32594C81">
      <w:pPr>
        <w:snapToGrid w:val="0"/>
        <w:spacing w:line="360" w:lineRule="auto"/>
        <w:ind w:firstLine="480" w:firstLineChars="200"/>
        <w:rPr>
          <w:rFonts w:ascii="宋体" w:hAnsi="宋体" w:cs="宋体"/>
          <w:b/>
          <w:color w:val="auto"/>
          <w:sz w:val="24"/>
          <w:highlight w:val="none"/>
        </w:rPr>
      </w:pPr>
      <w:r>
        <w:rPr>
          <w:rFonts w:hint="eastAsia" w:ascii="宋体" w:hAnsi="宋体" w:cs="宋体"/>
          <w:bCs/>
          <w:color w:val="auto"/>
          <w:sz w:val="24"/>
          <w:highlight w:val="none"/>
        </w:rPr>
        <w:t>运行维护人员必须具备必要的相关知识和业务技能，负责及时处理设备的各种应急故障。运行方所有派驻运行维护人员，在服务过程中出现考核不合格的应立即更换。</w:t>
      </w:r>
    </w:p>
    <w:p w14:paraId="4E36AE7D">
      <w:pPr>
        <w:adjustRightInd w:val="0"/>
        <w:spacing w:line="360" w:lineRule="auto"/>
        <w:ind w:firstLine="482" w:firstLineChars="200"/>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（五）项目质量控制方案要求</w:t>
      </w:r>
    </w:p>
    <w:p w14:paraId="513077E0">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1.质量控制方案</w:t>
      </w:r>
    </w:p>
    <w:p w14:paraId="05EBEA33">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严格执行《供热燃气蒸汽锅炉运行技术规程》，《锅炉大气污染物排放标准》《工业锅炉水质》设备运行管理规程，保证锅炉系统的正常运行，认真巡视，定期保养，及时维护。因外包服务公司责任，发生三次以上（含三次）未按照合同约定履行维保协议，且经校方多次提醒仍不履约，则校方有权立即单方解除合同，按照外包服务公司实际履约的比例并扣除违约金后进行结算。</w:t>
      </w:r>
    </w:p>
    <w:p w14:paraId="4AF3193D">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2.质量控制规范</w:t>
      </w:r>
    </w:p>
    <w:p w14:paraId="60448046">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依据 《锅炉安装工程施工及验收标准》GB 50273-2022,《锅炉安全技术监察规程》TSG G0001-2012, DB11/T 759—2010《供热燃气蒸汽锅炉运行技术规程》,GB/T 1576-2018 《工业锅炉水质》,DB11/139-2015《锅炉大气污染物排放标准》,2009年北京市人民政府发布的文件《北京市供热采暖管理办法》编制质量控制方案。</w:t>
      </w:r>
    </w:p>
    <w:p w14:paraId="5DACFD4B">
      <w:pPr>
        <w:adjustRightInd w:val="0"/>
        <w:spacing w:line="360" w:lineRule="auto"/>
        <w:ind w:firstLine="482" w:firstLineChars="200"/>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（六）应急处置方案要求</w:t>
      </w:r>
    </w:p>
    <w:p w14:paraId="479A2E3E">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1.方案合理完善。</w:t>
      </w:r>
    </w:p>
    <w:p w14:paraId="00B7B59C">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2.应急抢修工程车辆、检测仪器设备齐全完备，检查检测手段丰富，物资保障充足。</w:t>
      </w:r>
    </w:p>
    <w:p w14:paraId="2FC3258F">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3.资源调动能力强，与行业主管部门协调能力经验丰富。</w:t>
      </w:r>
    </w:p>
    <w:p w14:paraId="62577799">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4.锅炉站内系统运行过程中出现异常，运行值班人员应立即到达现场进行处理。</w:t>
      </w:r>
    </w:p>
    <w:p w14:paraId="7468964A">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5.当班运行维护人员接到校内相关设备故障报修必须在10分钟内赶到现场及时进行处置。</w:t>
      </w:r>
    </w:p>
    <w:p w14:paraId="3FA0D80E">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6.抢修团队和工程车辆以及应急抢修设备，60 分钟之内到达应急抢修现场。</w:t>
      </w:r>
    </w:p>
    <w:p w14:paraId="658C2A83">
      <w:pPr>
        <w:adjustRightInd w:val="0"/>
        <w:spacing w:line="360" w:lineRule="auto"/>
        <w:ind w:firstLine="482" w:firstLineChars="200"/>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（七）节能、环保要求</w:t>
      </w:r>
    </w:p>
    <w:p w14:paraId="1E1C32CE">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1.要建立完善的节能、环保规章制度。</w:t>
      </w:r>
    </w:p>
    <w:p w14:paraId="74B8A9A1">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2.有具体的设备设施节能方案且实施效果优。</w:t>
      </w:r>
    </w:p>
    <w:p w14:paraId="2DFE8FF7">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3.确保本项目设备设施在节能模式下稳定运行。</w:t>
      </w:r>
    </w:p>
    <w:p w14:paraId="0DAF17CE">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4.科学分析运行数据，避免能源浪费。</w:t>
      </w:r>
    </w:p>
    <w:p w14:paraId="1290A948">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5.定期检测污染物排放指标，确保达标排放。</w:t>
      </w:r>
    </w:p>
    <w:p w14:paraId="379C33B4">
      <w:pPr>
        <w:adjustRightInd w:val="0"/>
        <w:spacing w:line="360" w:lineRule="auto"/>
        <w:ind w:firstLine="482" w:firstLineChars="200"/>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（八）设备型号</w:t>
      </w:r>
    </w:p>
    <w:p w14:paraId="52866261">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 xml:space="preserve">热水锅炉3台 富尔顿VTG-5000 额定热功率1.45MW 额定工作压力≤0.09Mpa 额定出水温度≤95℃ 额定进口水温20℃ </w:t>
      </w:r>
    </w:p>
    <w:p w14:paraId="2D42C5E2">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一二次循环泵4台  380V7.5W 型号YCT-11</w:t>
      </w:r>
    </w:p>
    <w:p w14:paraId="628E5D3A">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一二次补水泵4台  380v1.1KW 型号W071110-2-V181</w:t>
      </w:r>
    </w:p>
    <w:p w14:paraId="05555D03">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板式换热器2台S47—IG16</w:t>
      </w:r>
    </w:p>
    <w:p w14:paraId="7E2902AF">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生活水换热器S47—IG16</w:t>
      </w:r>
    </w:p>
    <w:p w14:paraId="3ED65B73">
      <w:pPr>
        <w:snapToGri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控制柜2个GBX-11</w:t>
      </w:r>
    </w:p>
    <w:p w14:paraId="34D7F25E">
      <w:pPr>
        <w:snapToGrid w:val="0"/>
        <w:spacing w:line="360" w:lineRule="auto"/>
        <w:ind w:firstLine="480" w:firstLineChars="200"/>
        <w:rPr>
          <w:rFonts w:hint="eastAsia" w:ascii="宋体" w:hAnsi="宋体" w:cs="宋体"/>
          <w:b/>
          <w:color w:val="auto"/>
          <w:sz w:val="24"/>
          <w:highlight w:val="none"/>
          <w:lang w:val="en-US" w:eastAsia="zh-CN"/>
        </w:rPr>
      </w:pPr>
      <w:r>
        <w:rPr>
          <w:rFonts w:hint="eastAsia" w:ascii="宋体" w:hAnsi="宋体" w:cs="宋体"/>
          <w:bCs/>
          <w:color w:val="auto"/>
          <w:sz w:val="24"/>
          <w:highlight w:val="none"/>
        </w:rPr>
        <w:t>变频供水控制柜3个ACS510--02</w:t>
      </w:r>
      <w:r>
        <w:rPr>
          <w:rFonts w:hint="eastAsia" w:ascii="宋体" w:hAnsi="宋体" w:eastAsia="宋体" w:cs="宋体"/>
          <w:sz w:val="24"/>
          <w:szCs w:val="24"/>
          <w:highlight w:val="none"/>
          <w:lang w:val="en-US" w:eastAsia="zh-CN"/>
        </w:rPr>
        <w:t xml:space="preserve">     </w:t>
      </w:r>
    </w:p>
    <w:p w14:paraId="27547979">
      <w:pPr>
        <w:pStyle w:val="102"/>
        <w:spacing w:line="360" w:lineRule="auto"/>
        <w:ind w:left="500" w:hanging="500" w:firstLineChars="0"/>
        <w:contextualSpacing/>
        <w:outlineLvl w:val="1"/>
        <w:rPr>
          <w:rFonts w:hint="eastAsia" w:ascii="宋体" w:hAnsi="宋体"/>
          <w:color w:val="auto"/>
          <w:sz w:val="24"/>
          <w:szCs w:val="24"/>
          <w:highlight w:val="none"/>
        </w:rPr>
      </w:pPr>
      <w:r>
        <w:rPr>
          <w:rFonts w:hint="eastAsia" w:ascii="宋体" w:hAnsi="宋体" w:cs="宋体"/>
          <w:b/>
          <w:color w:val="auto"/>
          <w:sz w:val="24"/>
          <w:highlight w:val="none"/>
          <w:lang w:val="en-US" w:eastAsia="zh-CN"/>
        </w:rPr>
        <w:t>第四部分 偏离</w:t>
      </w:r>
    </w:p>
    <w:p w14:paraId="2025B78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1.除另有约定外，本章中在条款号前加注“★”或字体加粗的内容均为实质性内容，</w:t>
      </w:r>
      <w:r>
        <w:rPr>
          <w:rFonts w:hint="eastAsia" w:ascii="宋体" w:hAnsi="宋体"/>
          <w:color w:val="auto"/>
          <w:sz w:val="24"/>
          <w:highlight w:val="none"/>
          <w:lang w:val="en-US" w:eastAsia="zh-CN"/>
        </w:rPr>
        <w:t>投标人</w:t>
      </w:r>
      <w:r>
        <w:rPr>
          <w:rFonts w:hint="eastAsia" w:ascii="宋体" w:hAnsi="宋体"/>
          <w:color w:val="auto"/>
          <w:sz w:val="24"/>
          <w:highlight w:val="none"/>
        </w:rPr>
        <w:t>在</w:t>
      </w:r>
      <w:r>
        <w:rPr>
          <w:rFonts w:hint="eastAsia" w:ascii="宋体" w:hAnsi="宋体"/>
          <w:color w:val="auto"/>
          <w:sz w:val="24"/>
          <w:highlight w:val="none"/>
          <w:lang w:val="en-US" w:eastAsia="zh-CN"/>
        </w:rPr>
        <w:t>投标</w:t>
      </w:r>
      <w:r>
        <w:rPr>
          <w:rFonts w:hint="eastAsia" w:ascii="宋体" w:hAnsi="宋体"/>
          <w:color w:val="auto"/>
          <w:sz w:val="24"/>
          <w:highlight w:val="none"/>
        </w:rPr>
        <w:t>文件中应全面响应。</w:t>
      </w:r>
    </w:p>
    <w:p w14:paraId="0E8A0C1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2.除实质性内容以外，允许</w:t>
      </w:r>
      <w:r>
        <w:rPr>
          <w:rFonts w:hint="eastAsia" w:ascii="宋体" w:hAnsi="宋体"/>
          <w:color w:val="auto"/>
          <w:sz w:val="24"/>
          <w:highlight w:val="none"/>
          <w:lang w:val="en-US" w:eastAsia="zh-CN"/>
        </w:rPr>
        <w:t>投标</w:t>
      </w:r>
      <w:r>
        <w:rPr>
          <w:rFonts w:hint="eastAsia" w:ascii="宋体" w:hAnsi="宋体"/>
          <w:color w:val="auto"/>
          <w:sz w:val="24"/>
          <w:highlight w:val="none"/>
        </w:rPr>
        <w:t>文件产生偏离，但应遵守</w:t>
      </w:r>
      <w:r>
        <w:rPr>
          <w:rFonts w:hint="eastAsia" w:ascii="宋体" w:hAnsi="宋体"/>
          <w:color w:val="auto"/>
          <w:sz w:val="24"/>
          <w:highlight w:val="none"/>
          <w:lang w:val="en-US" w:eastAsia="zh-CN"/>
        </w:rPr>
        <w:t>招标</w:t>
      </w:r>
      <w:r>
        <w:rPr>
          <w:rFonts w:hint="eastAsia" w:ascii="宋体" w:hAnsi="宋体"/>
          <w:color w:val="auto"/>
          <w:sz w:val="24"/>
          <w:highlight w:val="none"/>
        </w:rPr>
        <w:t>文件规定的偏离范围和幅度（如有），并应按照“响应文件格式”加以说明。</w:t>
      </w:r>
    </w:p>
    <w:p w14:paraId="70471608">
      <w:pPr>
        <w:spacing w:line="360" w:lineRule="auto"/>
        <w:ind w:firstLine="643" w:firstLineChars="200"/>
        <w:jc w:val="center"/>
        <w:rPr>
          <w:rFonts w:hint="eastAsia" w:ascii="宋体" w:hAnsi="宋体" w:cs="宋体"/>
          <w:b/>
          <w:bCs/>
          <w:color w:val="auto"/>
          <w:sz w:val="32"/>
          <w:szCs w:val="32"/>
          <w:highlight w:val="none"/>
          <w:lang w:eastAsia="zh-CN"/>
        </w:rPr>
        <w:sectPr>
          <w:headerReference r:id="rId16" w:type="default"/>
          <w:footerReference r:id="rId17" w:type="default"/>
          <w:pgSz w:w="11907" w:h="16840"/>
          <w:pgMar w:top="1440" w:right="1800" w:bottom="1440" w:left="1800" w:header="851" w:footer="851" w:gutter="0"/>
          <w:pgNumType w:fmt="decimal"/>
          <w:cols w:space="720" w:num="1"/>
          <w:docGrid w:linePitch="462" w:charSpace="0"/>
        </w:sectPr>
      </w:pPr>
    </w:p>
    <w:p w14:paraId="430ACBC3">
      <w:pPr>
        <w:spacing w:line="360" w:lineRule="auto"/>
        <w:ind w:firstLine="480" w:firstLineChars="200"/>
        <w:jc w:val="left"/>
        <w:rPr>
          <w:rFonts w:hint="eastAsia" w:ascii="宋体" w:hAnsi="宋体" w:eastAsia="宋体" w:cs="宋体"/>
          <w:color w:val="auto"/>
          <w:sz w:val="24"/>
          <w:highlight w:val="none"/>
        </w:rPr>
      </w:pPr>
    </w:p>
    <w:p w14:paraId="499BDB26">
      <w:pPr>
        <w:jc w:val="center"/>
        <w:rPr>
          <w:rFonts w:hint="eastAsia" w:ascii="宋体" w:hAnsi="宋体" w:eastAsia="宋体" w:cs="宋体"/>
          <w:b/>
          <w:color w:val="auto"/>
          <w:sz w:val="36"/>
          <w:szCs w:val="36"/>
          <w:highlight w:val="none"/>
        </w:rPr>
      </w:pPr>
      <w:bookmarkStart w:id="825" w:name="_Toc21766"/>
      <w:r>
        <w:rPr>
          <w:rFonts w:hint="eastAsia" w:ascii="宋体" w:hAnsi="宋体" w:eastAsia="宋体" w:cs="宋体"/>
          <w:b/>
          <w:color w:val="auto"/>
          <w:sz w:val="36"/>
          <w:szCs w:val="36"/>
          <w:highlight w:val="none"/>
        </w:rPr>
        <w:t>第六章   拟签订的合同文本</w:t>
      </w:r>
      <w:bookmarkEnd w:id="825"/>
    </w:p>
    <w:p w14:paraId="656632DF">
      <w:pPr>
        <w:tabs>
          <w:tab w:val="left" w:pos="900"/>
          <w:tab w:val="left" w:pos="1080"/>
        </w:tabs>
        <w:snapToGrid w:val="0"/>
        <w:spacing w:before="240" w:line="360" w:lineRule="auto"/>
        <w:jc w:val="center"/>
        <w:rPr>
          <w:rFonts w:hint="eastAsia" w:ascii="宋体" w:hAnsi="宋体" w:eastAsia="宋体" w:cs="宋体"/>
          <w:b/>
          <w:bCs/>
          <w:color w:val="auto"/>
          <w:sz w:val="24"/>
          <w:highlight w:val="none"/>
        </w:rPr>
      </w:pPr>
      <w:bookmarkStart w:id="826" w:name="_Toc9522176"/>
      <w:bookmarkStart w:id="827" w:name="_Toc21942752"/>
      <w:bookmarkStart w:id="828" w:name="_Toc10198300"/>
      <w:bookmarkStart w:id="829" w:name="_Toc97112705"/>
      <w:bookmarkStart w:id="830" w:name="_Toc9507674"/>
      <w:r>
        <w:rPr>
          <w:rFonts w:hint="eastAsia" w:ascii="宋体" w:hAnsi="宋体" w:eastAsia="宋体" w:cs="宋体"/>
          <w:b/>
          <w:bCs/>
          <w:color w:val="auto"/>
          <w:sz w:val="24"/>
          <w:highlight w:val="none"/>
        </w:rPr>
        <w:t>（此合同仅供参考。以最终采购人与</w:t>
      </w:r>
      <w:r>
        <w:rPr>
          <w:rFonts w:hint="eastAsia" w:ascii="宋体" w:hAnsi="宋体" w:eastAsia="宋体" w:cs="宋体"/>
          <w:b/>
          <w:bCs/>
          <w:color w:val="auto"/>
          <w:sz w:val="24"/>
          <w:highlight w:val="none"/>
          <w:lang w:val="en-US" w:eastAsia="zh-CN"/>
        </w:rPr>
        <w:t>中标</w:t>
      </w:r>
      <w:r>
        <w:rPr>
          <w:rFonts w:hint="eastAsia" w:ascii="宋体" w:hAnsi="宋体" w:eastAsia="宋体" w:cs="宋体"/>
          <w:b/>
          <w:bCs/>
          <w:color w:val="auto"/>
          <w:sz w:val="24"/>
          <w:highlight w:val="none"/>
        </w:rPr>
        <w:t>供应商签定的合同条款为准进行公示，最终签定合同的主要条款不能与招标文件有冲突）</w:t>
      </w:r>
      <w:bookmarkEnd w:id="826"/>
      <w:bookmarkEnd w:id="827"/>
      <w:bookmarkEnd w:id="828"/>
      <w:bookmarkEnd w:id="829"/>
      <w:bookmarkEnd w:id="830"/>
    </w:p>
    <w:p w14:paraId="6614E5C9">
      <w:pPr>
        <w:jc w:val="center"/>
        <w:rPr>
          <w:rFonts w:hint="eastAsia" w:ascii="宋体" w:hAnsi="宋体" w:cs="宋体"/>
          <w:b/>
          <w:sz w:val="48"/>
          <w:szCs w:val="48"/>
        </w:rPr>
      </w:pPr>
      <w:r>
        <w:rPr>
          <w:rFonts w:hint="eastAsia" w:ascii="宋体" w:hAnsi="宋体" w:eastAsia="宋体" w:cs="宋体"/>
          <w:b/>
          <w:bCs/>
          <w:color w:val="auto"/>
          <w:sz w:val="24"/>
          <w:highlight w:val="none"/>
        </w:rPr>
        <w:br w:type="page"/>
      </w:r>
    </w:p>
    <w:p w14:paraId="4391904E">
      <w:pPr>
        <w:jc w:val="center"/>
        <w:rPr>
          <w:rFonts w:hint="eastAsia" w:ascii="宋体" w:hAnsi="宋体" w:cs="宋体"/>
          <w:b/>
          <w:sz w:val="48"/>
          <w:szCs w:val="48"/>
        </w:rPr>
      </w:pPr>
    </w:p>
    <w:p w14:paraId="1100D3D9">
      <w:pPr>
        <w:jc w:val="center"/>
        <w:rPr>
          <w:rFonts w:hint="eastAsia" w:ascii="宋体" w:hAnsi="宋体" w:cs="宋体"/>
          <w:b/>
          <w:sz w:val="48"/>
          <w:szCs w:val="48"/>
        </w:rPr>
      </w:pPr>
    </w:p>
    <w:p w14:paraId="4F3C3F82">
      <w:pPr>
        <w:jc w:val="center"/>
        <w:rPr>
          <w:rFonts w:hint="eastAsia" w:ascii="仿宋_GB2312" w:eastAsia="仿宋_GB2312" w:cs="仿宋_GB2312"/>
          <w:b/>
          <w:sz w:val="48"/>
          <w:szCs w:val="48"/>
        </w:rPr>
      </w:pPr>
      <w:r>
        <w:rPr>
          <w:rFonts w:hint="eastAsia" w:ascii="宋体" w:hAnsi="宋体" w:cs="宋体"/>
          <w:b/>
          <w:sz w:val="48"/>
          <w:szCs w:val="48"/>
        </w:rPr>
        <w:t>北京市顺义牛栏山第一中学板桥学校</w:t>
      </w:r>
      <w:r>
        <w:rPr>
          <w:rFonts w:hint="eastAsia" w:ascii="宋体" w:hAnsi="宋体" w:cs="宋体"/>
          <w:b/>
          <w:sz w:val="48"/>
          <w:szCs w:val="48"/>
          <w:lang w:val="en-US" w:eastAsia="zh-CN"/>
        </w:rPr>
        <w:t>2026至2027年冬季</w:t>
      </w:r>
      <w:r>
        <w:rPr>
          <w:rFonts w:hint="eastAsia" w:ascii="宋体" w:hAnsi="宋体" w:cs="宋体"/>
          <w:b/>
          <w:sz w:val="48"/>
          <w:szCs w:val="48"/>
        </w:rPr>
        <w:t>供热托管运营合同</w:t>
      </w:r>
    </w:p>
    <w:p w14:paraId="78C7C5F3">
      <w:pPr>
        <w:spacing w:line="600" w:lineRule="auto"/>
        <w:jc w:val="center"/>
        <w:rPr>
          <w:rFonts w:hint="eastAsia" w:ascii="仿宋_GB2312" w:eastAsia="仿宋_GB2312" w:cs="仿宋_GB2312"/>
          <w:sz w:val="48"/>
        </w:rPr>
      </w:pPr>
    </w:p>
    <w:p w14:paraId="18B68CD3">
      <w:pPr>
        <w:spacing w:line="600" w:lineRule="auto"/>
        <w:jc w:val="center"/>
        <w:rPr>
          <w:rFonts w:hint="eastAsia" w:ascii="仿宋_GB2312" w:eastAsia="仿宋_GB2312" w:cs="仿宋_GB2312"/>
          <w:sz w:val="32"/>
        </w:rPr>
      </w:pPr>
    </w:p>
    <w:p w14:paraId="4B2F124E">
      <w:pPr>
        <w:spacing w:line="600" w:lineRule="auto"/>
        <w:jc w:val="center"/>
        <w:rPr>
          <w:rFonts w:hint="eastAsia" w:ascii="仿宋_GB2312" w:eastAsia="仿宋_GB2312" w:cs="仿宋_GB2312"/>
          <w:sz w:val="32"/>
        </w:rPr>
      </w:pPr>
    </w:p>
    <w:p w14:paraId="406803E6">
      <w:pPr>
        <w:spacing w:line="600" w:lineRule="auto"/>
        <w:jc w:val="center"/>
        <w:rPr>
          <w:rFonts w:hint="eastAsia" w:ascii="仿宋_GB2312" w:eastAsia="仿宋_GB2312" w:cs="仿宋_GB2312"/>
          <w:sz w:val="32"/>
        </w:rPr>
      </w:pPr>
    </w:p>
    <w:p w14:paraId="68EF3135">
      <w:pPr>
        <w:spacing w:line="600" w:lineRule="auto"/>
        <w:rPr>
          <w:rFonts w:hint="eastAsia" w:ascii="仿宋_GB2312" w:eastAsia="仿宋_GB2312" w:cs="仿宋_GB2312"/>
          <w:sz w:val="32"/>
        </w:rPr>
      </w:pPr>
    </w:p>
    <w:p w14:paraId="400AE14C">
      <w:pPr>
        <w:spacing w:line="600" w:lineRule="auto"/>
        <w:jc w:val="center"/>
        <w:rPr>
          <w:rFonts w:hint="eastAsia" w:ascii="仿宋_GB2312" w:eastAsia="仿宋_GB2312" w:cs="仿宋_GB2312"/>
          <w:sz w:val="32"/>
        </w:rPr>
      </w:pPr>
    </w:p>
    <w:p w14:paraId="61864097">
      <w:pPr>
        <w:spacing w:line="600" w:lineRule="auto"/>
        <w:jc w:val="center"/>
        <w:rPr>
          <w:rFonts w:hint="eastAsia" w:ascii="仿宋_GB2312" w:eastAsia="仿宋_GB2312" w:cs="仿宋_GB2312"/>
          <w:sz w:val="32"/>
        </w:rPr>
      </w:pPr>
    </w:p>
    <w:p w14:paraId="18B1CCCF">
      <w:pPr>
        <w:spacing w:line="600" w:lineRule="auto"/>
        <w:jc w:val="center"/>
        <w:rPr>
          <w:rFonts w:hint="eastAsia" w:ascii="仿宋_GB2312" w:eastAsia="仿宋_GB2312" w:cs="仿宋_GB2312"/>
          <w:sz w:val="32"/>
        </w:rPr>
      </w:pPr>
    </w:p>
    <w:p w14:paraId="0D877C73">
      <w:pPr>
        <w:spacing w:line="600" w:lineRule="auto"/>
        <w:rPr>
          <w:rFonts w:hint="eastAsia" w:ascii="宋体" w:cs="宋体"/>
          <w:sz w:val="32"/>
        </w:rPr>
      </w:pPr>
      <w:r>
        <w:rPr>
          <w:rFonts w:hint="eastAsia" w:ascii="宋体" w:hAnsi="宋体" w:cs="宋体"/>
          <w:sz w:val="32"/>
        </w:rPr>
        <w:t>甲方：北京市顺义牛栏山第一中学板桥学校</w:t>
      </w:r>
    </w:p>
    <w:p w14:paraId="3E699360">
      <w:pPr>
        <w:spacing w:line="600" w:lineRule="auto"/>
        <w:rPr>
          <w:rFonts w:hint="default" w:ascii="宋体" w:eastAsia="宋体" w:cs="宋体"/>
          <w:b/>
          <w:sz w:val="32"/>
          <w:lang w:val="en-US" w:eastAsia="zh-CN"/>
        </w:rPr>
        <w:sectPr>
          <w:pgSz w:w="11906" w:h="16838"/>
          <w:pgMar w:top="1440" w:right="1800" w:bottom="1440" w:left="1800" w:header="720" w:footer="720" w:gutter="0"/>
          <w:cols w:space="720" w:num="1"/>
          <w:docGrid w:type="lines" w:linePitch="312" w:charSpace="0"/>
        </w:sectPr>
      </w:pPr>
      <w:r>
        <w:rPr>
          <w:rFonts w:hint="eastAsia" w:ascii="宋体" w:hAnsi="宋体" w:cs="宋体"/>
          <w:sz w:val="32"/>
        </w:rPr>
        <w:t>乙方：</w:t>
      </w:r>
    </w:p>
    <w:p w14:paraId="0CFA0A52">
      <w:pPr>
        <w:numPr>
          <w:ilvl w:val="0"/>
          <w:numId w:val="13"/>
        </w:numPr>
        <w:spacing w:line="456" w:lineRule="auto"/>
        <w:ind w:firstLine="2409"/>
        <w:jc w:val="left"/>
        <w:rPr>
          <w:rFonts w:hint="eastAsia" w:ascii="宋体" w:cs="宋体"/>
          <w:b/>
          <w:sz w:val="24"/>
        </w:rPr>
      </w:pPr>
      <w:r>
        <w:rPr>
          <w:rFonts w:hint="eastAsia" w:ascii="宋体" w:hAnsi="宋体" w:cs="宋体"/>
          <w:b/>
          <w:sz w:val="24"/>
        </w:rPr>
        <w:t>总</w:t>
      </w:r>
      <w:r>
        <w:rPr>
          <w:rFonts w:hint="eastAsia" w:ascii="仿宋_GB2312" w:eastAsia="仿宋_GB2312" w:cs="仿宋_GB2312"/>
          <w:b/>
          <w:sz w:val="24"/>
        </w:rPr>
        <w:t xml:space="preserve">  </w:t>
      </w:r>
      <w:r>
        <w:rPr>
          <w:rFonts w:hint="eastAsia" w:ascii="宋体" w:hAnsi="宋体" w:cs="宋体"/>
          <w:b/>
          <w:sz w:val="24"/>
        </w:rPr>
        <w:t>则</w:t>
      </w:r>
    </w:p>
    <w:p w14:paraId="4E3F9D2F">
      <w:pPr>
        <w:spacing w:line="480" w:lineRule="auto"/>
        <w:ind w:left="678" w:hanging="241"/>
        <w:rPr>
          <w:rFonts w:hint="eastAsia" w:ascii="仿宋_GB2312" w:eastAsia="仿宋_GB2312" w:cs="仿宋_GB2312"/>
          <w:sz w:val="24"/>
        </w:rPr>
      </w:pPr>
      <w:r>
        <w:rPr>
          <w:rFonts w:hint="eastAsia" w:ascii="仿宋_GB2312" w:eastAsia="仿宋_GB2312" w:cs="仿宋_GB2312"/>
          <w:b/>
          <w:sz w:val="24"/>
        </w:rPr>
        <w:t>1.1</w:t>
      </w:r>
      <w:r>
        <w:rPr>
          <w:rFonts w:hint="eastAsia" w:ascii="仿宋_GB2312" w:eastAsia="仿宋_GB2312" w:cs="仿宋_GB2312"/>
          <w:sz w:val="24"/>
        </w:rPr>
        <w:t xml:space="preserve"> </w:t>
      </w:r>
      <w:r>
        <w:rPr>
          <w:rFonts w:hint="eastAsia" w:ascii="宋体" w:hAnsi="宋体" w:cs="宋体"/>
          <w:sz w:val="24"/>
        </w:rPr>
        <w:t>合同双方分别为：</w:t>
      </w:r>
    </w:p>
    <w:p w14:paraId="51728CEC">
      <w:pPr>
        <w:spacing w:line="480" w:lineRule="auto"/>
        <w:ind w:left="677" w:hanging="240"/>
        <w:rPr>
          <w:rFonts w:hint="eastAsia" w:ascii="仿宋_GB2312" w:eastAsia="仿宋_GB2312" w:cs="仿宋_GB2312"/>
          <w:sz w:val="24"/>
        </w:rPr>
      </w:pPr>
      <w:r>
        <w:rPr>
          <w:rFonts w:hint="eastAsia" w:ascii="宋体" w:hAnsi="宋体" w:cs="宋体"/>
          <w:sz w:val="24"/>
        </w:rPr>
        <w:t>甲方：</w:t>
      </w:r>
      <w:r>
        <w:rPr>
          <w:rFonts w:hint="eastAsia" w:ascii="仿宋_GB2312" w:eastAsia="仿宋_GB2312" w:cs="仿宋_GB2312"/>
          <w:sz w:val="24"/>
          <w:u w:val="single"/>
        </w:rPr>
        <w:t xml:space="preserve"> </w:t>
      </w:r>
      <w:r>
        <w:rPr>
          <w:rFonts w:hint="eastAsia" w:ascii="宋体" w:hAnsi="宋体" w:cs="宋体"/>
          <w:sz w:val="24"/>
          <w:u w:val="single"/>
        </w:rPr>
        <w:t xml:space="preserve">北京市顺义牛栏山第一中学板桥学校 </w:t>
      </w:r>
      <w:r>
        <w:rPr>
          <w:rFonts w:hint="eastAsia" w:ascii="宋体" w:hAnsi="宋体" w:cs="宋体"/>
          <w:sz w:val="24"/>
        </w:rPr>
        <w:t>（简称甲方）</w:t>
      </w:r>
    </w:p>
    <w:p w14:paraId="039F262C">
      <w:pPr>
        <w:spacing w:line="480" w:lineRule="auto"/>
        <w:ind w:firstLine="480"/>
        <w:rPr>
          <w:rFonts w:hint="eastAsia" w:ascii="仿宋_GB2312" w:eastAsia="仿宋_GB2312" w:cs="仿宋_GB2312"/>
          <w:sz w:val="24"/>
          <w:u w:val="single"/>
        </w:rPr>
      </w:pPr>
      <w:r>
        <w:rPr>
          <w:rFonts w:hint="eastAsia" w:ascii="宋体" w:hAnsi="宋体" w:cs="宋体"/>
          <w:sz w:val="24"/>
        </w:rPr>
        <w:t>注册地址：</w:t>
      </w:r>
      <w:r>
        <w:rPr>
          <w:rFonts w:hint="eastAsia" w:ascii="仿宋_GB2312" w:eastAsia="仿宋_GB2312" w:cs="仿宋_GB2312"/>
          <w:sz w:val="24"/>
          <w:u w:val="single"/>
        </w:rPr>
        <w:t xml:space="preserve">   </w:t>
      </w:r>
      <w:r>
        <w:rPr>
          <w:rFonts w:hint="eastAsia" w:ascii="仿宋_GB2312" w:eastAsia="仿宋_GB2312" w:cs="仿宋_GB2312"/>
          <w:sz w:val="24"/>
          <w:u w:val="single"/>
          <w:lang w:val="en-US" w:eastAsia="zh-CN"/>
        </w:rPr>
        <w:t>顺义区瑞吉路</w:t>
      </w:r>
      <w:r>
        <w:rPr>
          <w:rFonts w:hint="default" w:ascii="仿宋_GB2312" w:eastAsia="仿宋_GB2312" w:cs="仿宋_GB2312"/>
          <w:sz w:val="24"/>
          <w:u w:val="single"/>
          <w:lang w:val="en-US" w:eastAsia="zh-CN"/>
        </w:rPr>
        <w:t>1</w:t>
      </w:r>
      <w:r>
        <w:rPr>
          <w:rFonts w:hint="eastAsia" w:ascii="仿宋_GB2312" w:eastAsia="仿宋_GB2312" w:cs="仿宋_GB2312"/>
          <w:sz w:val="24"/>
          <w:u w:val="single"/>
          <w:lang w:val="en-US" w:eastAsia="zh-CN"/>
        </w:rPr>
        <w:t>号</w:t>
      </w:r>
      <w:r>
        <w:rPr>
          <w:rFonts w:hint="eastAsia" w:ascii="仿宋_GB2312" w:eastAsia="仿宋_GB2312" w:cs="仿宋_GB2312"/>
          <w:sz w:val="24"/>
          <w:u w:val="single"/>
        </w:rPr>
        <w:t xml:space="preserve">                   </w:t>
      </w:r>
    </w:p>
    <w:p w14:paraId="192581C7">
      <w:pPr>
        <w:spacing w:line="480" w:lineRule="auto"/>
        <w:ind w:left="677" w:hanging="240"/>
        <w:rPr>
          <w:rFonts w:hint="eastAsia" w:ascii="仿宋_GB2312" w:eastAsia="仿宋_GB2312" w:cs="仿宋_GB2312"/>
          <w:sz w:val="24"/>
          <w:u w:val="single"/>
        </w:rPr>
      </w:pPr>
      <w:r>
        <w:rPr>
          <w:rFonts w:hint="eastAsia" w:ascii="宋体" w:hAnsi="宋体" w:cs="宋体"/>
          <w:sz w:val="24"/>
        </w:rPr>
        <w:t>法定代表人：</w:t>
      </w:r>
      <w:r>
        <w:rPr>
          <w:rFonts w:hint="eastAsia" w:ascii="仿宋_GB2312" w:eastAsia="仿宋_GB2312" w:cs="仿宋_GB2312"/>
          <w:sz w:val="24"/>
          <w:u w:val="single"/>
        </w:rPr>
        <w:t xml:space="preserve">      </w:t>
      </w:r>
      <w:r>
        <w:rPr>
          <w:rFonts w:hint="eastAsia" w:ascii="仿宋_GB2312" w:eastAsia="仿宋_GB2312" w:cs="仿宋_GB2312"/>
          <w:sz w:val="24"/>
          <w:u w:val="single"/>
          <w:lang w:val="en-US" w:eastAsia="zh-CN"/>
        </w:rPr>
        <w:t>白瑛</w:t>
      </w:r>
      <w:r>
        <w:rPr>
          <w:rFonts w:hint="eastAsia" w:ascii="仿宋_GB2312" w:eastAsia="仿宋_GB2312" w:cs="仿宋_GB2312"/>
          <w:sz w:val="24"/>
          <w:u w:val="single"/>
        </w:rPr>
        <w:t xml:space="preserve">                        </w:t>
      </w:r>
    </w:p>
    <w:p w14:paraId="59241018">
      <w:pPr>
        <w:spacing w:line="480" w:lineRule="auto"/>
        <w:ind w:left="677" w:hanging="240"/>
        <w:rPr>
          <w:rFonts w:hint="eastAsia" w:ascii="仿宋_GB2312" w:eastAsia="仿宋_GB2312" w:cs="仿宋_GB2312"/>
          <w:sz w:val="24"/>
        </w:rPr>
      </w:pPr>
      <w:r>
        <w:rPr>
          <w:rFonts w:hint="eastAsia" w:ascii="宋体" w:hAnsi="宋体" w:cs="宋体"/>
          <w:sz w:val="24"/>
        </w:rPr>
        <w:t>乙方：</w:t>
      </w:r>
      <w:r>
        <w:rPr>
          <w:rFonts w:hint="eastAsia" w:ascii="仿宋_GB2312" w:eastAsia="仿宋_GB2312" w:cs="仿宋_GB2312"/>
          <w:sz w:val="24"/>
          <w:u w:val="single"/>
        </w:rPr>
        <w:t xml:space="preserve"> </w:t>
      </w:r>
      <w:r>
        <w:rPr>
          <w:rFonts w:hint="eastAsia" w:ascii="仿宋_GB2312" w:eastAsia="仿宋_GB2312" w:cs="仿宋_GB2312"/>
          <w:sz w:val="24"/>
          <w:u w:val="single"/>
          <w:lang w:val="en-US" w:eastAsia="zh-CN"/>
        </w:rPr>
        <w:t xml:space="preserve">                           </w:t>
      </w:r>
      <w:r>
        <w:rPr>
          <w:rFonts w:hint="eastAsia" w:ascii="仿宋_GB2312" w:eastAsia="仿宋_GB2312" w:cs="仿宋_GB2312"/>
          <w:sz w:val="24"/>
          <w:u w:val="single"/>
        </w:rPr>
        <w:t xml:space="preserve"> </w:t>
      </w:r>
      <w:r>
        <w:rPr>
          <w:rFonts w:hint="eastAsia" w:ascii="仿宋_GB2312" w:eastAsia="仿宋_GB2312" w:cs="仿宋_GB2312"/>
          <w:sz w:val="24"/>
        </w:rPr>
        <w:t>(</w:t>
      </w:r>
      <w:r>
        <w:rPr>
          <w:rFonts w:hint="eastAsia" w:ascii="宋体" w:hAnsi="宋体" w:cs="宋体"/>
          <w:sz w:val="24"/>
        </w:rPr>
        <w:t>简称乙方）</w:t>
      </w:r>
    </w:p>
    <w:p w14:paraId="24724087">
      <w:pPr>
        <w:spacing w:line="480" w:lineRule="auto"/>
        <w:ind w:firstLine="480"/>
        <w:rPr>
          <w:rFonts w:hint="default" w:ascii="仿宋_GB2312" w:eastAsia="宋体" w:cs="仿宋_GB2312"/>
          <w:sz w:val="24"/>
          <w:u w:val="single"/>
          <w:lang w:val="en-US" w:eastAsia="zh-CN"/>
        </w:rPr>
      </w:pPr>
      <w:r>
        <w:rPr>
          <w:rFonts w:hint="eastAsia" w:ascii="宋体" w:hAnsi="宋体" w:cs="宋体"/>
          <w:sz w:val="24"/>
        </w:rPr>
        <w:t>注册地址：</w:t>
      </w:r>
      <w:r>
        <w:rPr>
          <w:rFonts w:hint="eastAsia" w:ascii="宋体" w:hAnsi="宋体" w:cs="宋体"/>
          <w:sz w:val="24"/>
          <w:u w:val="single"/>
          <w:lang w:val="en-US" w:eastAsia="zh-CN"/>
        </w:rPr>
        <w:t xml:space="preserve">                         </w:t>
      </w:r>
    </w:p>
    <w:p w14:paraId="55A079EB">
      <w:pPr>
        <w:spacing w:line="480" w:lineRule="auto"/>
        <w:ind w:left="677" w:hanging="240"/>
        <w:rPr>
          <w:rFonts w:hint="default" w:ascii="仿宋_GB2312" w:eastAsia="宋体" w:cs="仿宋_GB2312"/>
          <w:sz w:val="24"/>
          <w:u w:val="single"/>
          <w:lang w:val="en-US" w:eastAsia="zh-CN"/>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p>
    <w:p w14:paraId="2F02A05A">
      <w:pPr>
        <w:spacing w:line="480" w:lineRule="auto"/>
        <w:ind w:firstLine="241"/>
        <w:rPr>
          <w:rFonts w:hint="eastAsia" w:ascii="仿宋_GB2312" w:eastAsia="仿宋_GB2312" w:cs="仿宋_GB2312"/>
          <w:b/>
          <w:sz w:val="24"/>
          <w:u w:val="single"/>
        </w:rPr>
      </w:pPr>
      <w:r>
        <w:rPr>
          <w:rFonts w:hint="eastAsia" w:ascii="仿宋_GB2312" w:eastAsia="仿宋_GB2312" w:cs="仿宋_GB2312"/>
          <w:b/>
          <w:sz w:val="24"/>
        </w:rPr>
        <w:t xml:space="preserve">  1.2</w:t>
      </w:r>
      <w:r>
        <w:rPr>
          <w:rFonts w:hint="eastAsia" w:ascii="宋体" w:hAnsi="宋体" w:cs="宋体"/>
          <w:b/>
          <w:sz w:val="24"/>
        </w:rPr>
        <w:t>经营原则</w:t>
      </w:r>
      <w:r>
        <w:rPr>
          <w:rFonts w:hint="eastAsia" w:ascii="仿宋_GB2312" w:eastAsia="仿宋_GB2312" w:cs="仿宋_GB2312"/>
          <w:b/>
          <w:sz w:val="24"/>
        </w:rPr>
        <w:t xml:space="preserve"> </w:t>
      </w:r>
    </w:p>
    <w:p w14:paraId="0348AAD6">
      <w:pPr>
        <w:spacing w:line="480" w:lineRule="auto"/>
        <w:ind w:firstLine="480"/>
        <w:jc w:val="left"/>
        <w:rPr>
          <w:rFonts w:hint="eastAsia" w:ascii="仿宋_GB2312" w:eastAsia="仿宋_GB2312" w:cs="仿宋_GB2312"/>
          <w:sz w:val="24"/>
        </w:rPr>
      </w:pPr>
      <w:r>
        <w:rPr>
          <w:rFonts w:hint="eastAsia" w:ascii="宋体" w:hAnsi="宋体" w:cs="宋体"/>
          <w:sz w:val="24"/>
        </w:rPr>
        <w:t>甲、乙双方签订并履行本合同，应当遵循以下原则：</w:t>
      </w:r>
    </w:p>
    <w:p w14:paraId="38CD1543">
      <w:pPr>
        <w:spacing w:line="480" w:lineRule="auto"/>
        <w:jc w:val="left"/>
        <w:rPr>
          <w:rFonts w:hint="eastAsia" w:ascii="仿宋_GB2312" w:eastAsia="仿宋_GB2312" w:cs="仿宋_GB2312"/>
          <w:sz w:val="24"/>
        </w:rPr>
      </w:pPr>
      <w:r>
        <w:rPr>
          <w:rFonts w:hint="eastAsia" w:ascii="仿宋_GB2312" w:eastAsia="仿宋_GB2312" w:cs="仿宋_GB2312"/>
          <w:sz w:val="24"/>
        </w:rPr>
        <w:t xml:space="preserve">    1</w:t>
      </w:r>
      <w:r>
        <w:rPr>
          <w:rFonts w:hint="eastAsia" w:ascii="宋体" w:hAnsi="宋体" w:cs="宋体"/>
          <w:sz w:val="24"/>
        </w:rPr>
        <w:t>、遵循中国的法律；</w:t>
      </w:r>
      <w:r>
        <w:rPr>
          <w:rFonts w:hint="eastAsia" w:ascii="仿宋_GB2312" w:eastAsia="仿宋_GB2312" w:cs="仿宋_GB2312"/>
          <w:sz w:val="24"/>
        </w:rPr>
        <w:t xml:space="preserve"> </w:t>
      </w:r>
    </w:p>
    <w:p w14:paraId="596CB69C">
      <w:pPr>
        <w:spacing w:line="480" w:lineRule="auto"/>
        <w:jc w:val="left"/>
        <w:rPr>
          <w:rFonts w:hint="eastAsia" w:ascii="宋体" w:cs="宋体"/>
          <w:sz w:val="24"/>
        </w:rPr>
      </w:pPr>
      <w:r>
        <w:rPr>
          <w:rFonts w:hint="eastAsia" w:ascii="仿宋_GB2312" w:eastAsia="仿宋_GB2312" w:cs="仿宋_GB2312"/>
          <w:sz w:val="24"/>
        </w:rPr>
        <w:t xml:space="preserve">    2</w:t>
      </w:r>
      <w:r>
        <w:rPr>
          <w:rFonts w:hint="eastAsia" w:ascii="宋体" w:hAnsi="宋体" w:cs="宋体"/>
          <w:sz w:val="24"/>
        </w:rPr>
        <w:t xml:space="preserve">、公开、公平、公正； </w:t>
      </w:r>
    </w:p>
    <w:p w14:paraId="7207C42C">
      <w:pPr>
        <w:spacing w:line="480" w:lineRule="auto"/>
        <w:jc w:val="left"/>
        <w:rPr>
          <w:rFonts w:hint="eastAsia" w:ascii="??_GB2312" w:hAnsi="??_GB2312" w:cs="??_GB2312"/>
          <w:sz w:val="24"/>
        </w:rPr>
      </w:pPr>
      <w:r>
        <w:rPr>
          <w:rFonts w:hint="eastAsia" w:ascii="宋体" w:hAnsi="宋体" w:cs="宋体"/>
          <w:sz w:val="24"/>
        </w:rPr>
        <w:t xml:space="preserve">    </w:t>
      </w:r>
      <w:r>
        <w:rPr>
          <w:rFonts w:hint="eastAsia" w:ascii="仿宋_GB2312" w:eastAsia="仿宋_GB2312" w:cs="仿宋_GB2312"/>
          <w:sz w:val="24"/>
        </w:rPr>
        <w:t>3</w:t>
      </w:r>
      <w:r>
        <w:rPr>
          <w:rFonts w:hint="eastAsia" w:ascii="宋体" w:hAnsi="宋体" w:cs="宋体"/>
          <w:sz w:val="24"/>
        </w:rPr>
        <w:t>、符合城市发展规划、环保规划及供热专项规划；</w:t>
      </w:r>
    </w:p>
    <w:p w14:paraId="2CF841FF">
      <w:pPr>
        <w:spacing w:line="480" w:lineRule="auto"/>
        <w:jc w:val="left"/>
        <w:rPr>
          <w:rFonts w:ascii="仿宋_GB2312" w:eastAsia="仿宋_GB2312" w:cs="仿宋_GB2312"/>
          <w:sz w:val="24"/>
        </w:rPr>
      </w:pPr>
      <w:r>
        <w:rPr>
          <w:rFonts w:hint="eastAsia" w:ascii="仿宋_GB2312" w:eastAsia="仿宋_GB2312" w:cs="仿宋_GB2312"/>
          <w:sz w:val="24"/>
        </w:rPr>
        <w:t xml:space="preserve">    4</w:t>
      </w:r>
      <w:r>
        <w:rPr>
          <w:rFonts w:hint="eastAsia" w:ascii="宋体" w:hAnsi="宋体" w:cs="宋体"/>
          <w:sz w:val="24"/>
        </w:rPr>
        <w:t>、有利于保障供热安全和高效节能；</w:t>
      </w:r>
    </w:p>
    <w:p w14:paraId="41D3F630">
      <w:pPr>
        <w:spacing w:line="480" w:lineRule="auto"/>
        <w:jc w:val="left"/>
        <w:rPr>
          <w:rFonts w:hint="eastAsia" w:ascii="仿宋_GB2312" w:eastAsia="仿宋_GB2312" w:cs="仿宋_GB2312"/>
          <w:sz w:val="24"/>
        </w:rPr>
      </w:pPr>
      <w:r>
        <w:rPr>
          <w:rFonts w:hint="eastAsia" w:ascii="仿宋_GB2312" w:eastAsia="仿宋_GB2312" w:cs="仿宋_GB2312"/>
          <w:sz w:val="24"/>
        </w:rPr>
        <w:t xml:space="preserve">    5</w:t>
      </w:r>
      <w:r>
        <w:rPr>
          <w:rFonts w:hint="eastAsia" w:ascii="宋体" w:hAnsi="宋体" w:cs="宋体"/>
          <w:sz w:val="24"/>
        </w:rPr>
        <w:t>、有利于促进供热行业的健康发展。</w:t>
      </w:r>
    </w:p>
    <w:p w14:paraId="7BF5DBEB">
      <w:pPr>
        <w:numPr>
          <w:ilvl w:val="0"/>
          <w:numId w:val="14"/>
        </w:numPr>
        <w:spacing w:before="100" w:after="100" w:line="480" w:lineRule="auto"/>
        <w:ind w:firstLine="2409"/>
        <w:rPr>
          <w:rFonts w:hint="eastAsia" w:ascii="宋体" w:cs="宋体"/>
          <w:b/>
          <w:sz w:val="24"/>
        </w:rPr>
      </w:pPr>
      <w:r>
        <w:rPr>
          <w:rFonts w:hint="eastAsia" w:ascii="仿宋_GB2312" w:eastAsia="Times New Roman"/>
          <w:b/>
          <w:sz w:val="24"/>
        </w:rPr>
        <w:t xml:space="preserve">   </w:t>
      </w:r>
      <w:r>
        <w:rPr>
          <w:rFonts w:hint="eastAsia" w:ascii="宋体" w:hAnsi="宋体" w:cs="宋体"/>
          <w:b/>
          <w:sz w:val="24"/>
        </w:rPr>
        <w:t>定义与解释</w:t>
      </w:r>
    </w:p>
    <w:p w14:paraId="27576775">
      <w:pPr>
        <w:spacing w:line="480" w:lineRule="auto"/>
        <w:ind w:firstLine="480"/>
        <w:rPr>
          <w:rFonts w:hint="eastAsia" w:ascii="仿宋_GB2312" w:eastAsia="仿宋_GB2312" w:cs="仿宋_GB2312"/>
          <w:sz w:val="24"/>
        </w:rPr>
      </w:pPr>
      <w:r>
        <w:rPr>
          <w:rFonts w:hint="eastAsia" w:ascii="宋体" w:hAnsi="宋体" w:cs="宋体"/>
          <w:sz w:val="24"/>
        </w:rPr>
        <w:t>本合同中下列名词或术语的含义遵从本章定义的意义或解释。</w:t>
      </w:r>
    </w:p>
    <w:p w14:paraId="4C1C8B4B">
      <w:pPr>
        <w:spacing w:line="480" w:lineRule="auto"/>
        <w:ind w:firstLine="482"/>
        <w:rPr>
          <w:rFonts w:hint="eastAsia" w:ascii="仿宋_GB2312" w:eastAsia="仿宋_GB2312" w:cs="仿宋_GB2312"/>
          <w:sz w:val="24"/>
        </w:rPr>
      </w:pPr>
      <w:r>
        <w:rPr>
          <w:rFonts w:hint="eastAsia" w:ascii="仿宋_GB2312" w:eastAsia="仿宋_GB2312" w:cs="仿宋_GB2312"/>
          <w:b/>
          <w:sz w:val="24"/>
        </w:rPr>
        <w:t>2.1</w:t>
      </w:r>
      <w:r>
        <w:rPr>
          <w:rFonts w:hint="eastAsia" w:ascii="宋体" w:hAnsi="宋体" w:cs="宋体"/>
          <w:b/>
          <w:sz w:val="24"/>
        </w:rPr>
        <w:t>［中国］</w:t>
      </w:r>
      <w:r>
        <w:rPr>
          <w:rFonts w:hint="eastAsia" w:ascii="宋体" w:hAnsi="宋体" w:cs="宋体"/>
          <w:sz w:val="24"/>
        </w:rPr>
        <w:t>指中华人民共和国，仅为本合同之目的，不包括香港特别行政区、澳门特别行政区和台湾地区。</w:t>
      </w:r>
    </w:p>
    <w:p w14:paraId="11FDD79F">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2.2</w:t>
      </w:r>
      <w:r>
        <w:rPr>
          <w:rFonts w:hint="eastAsia" w:ascii="宋体" w:hAnsi="宋体" w:cs="宋体"/>
          <w:b/>
          <w:sz w:val="24"/>
        </w:rPr>
        <w:t>［法律］</w:t>
      </w:r>
      <w:r>
        <w:rPr>
          <w:rFonts w:hint="eastAsia" w:ascii="宋体" w:hAnsi="宋体" w:cs="宋体"/>
          <w:sz w:val="24"/>
        </w:rPr>
        <w:t>指所有适用的中国法律、行政法规、地方性法规、单行条例、规章、司法解释及其它有法律约束力的规范性文件。</w:t>
      </w:r>
    </w:p>
    <w:p w14:paraId="0DC6081F">
      <w:pPr>
        <w:spacing w:line="480" w:lineRule="auto"/>
        <w:ind w:firstLine="482"/>
        <w:rPr>
          <w:rFonts w:hint="eastAsia" w:ascii="仿宋_GB2312" w:eastAsia="仿宋_GB2312" w:cs="仿宋_GB2312"/>
          <w:sz w:val="24"/>
        </w:rPr>
      </w:pPr>
      <w:r>
        <w:rPr>
          <w:rFonts w:hint="eastAsia" w:ascii="仿宋_GB2312" w:eastAsia="仿宋_GB2312" w:cs="仿宋_GB2312"/>
          <w:b/>
          <w:sz w:val="24"/>
        </w:rPr>
        <w:t>2.3 [</w:t>
      </w:r>
      <w:r>
        <w:rPr>
          <w:rFonts w:hint="eastAsia" w:ascii="宋体" w:hAnsi="宋体" w:cs="宋体"/>
          <w:b/>
          <w:sz w:val="24"/>
        </w:rPr>
        <w:t>供热</w:t>
      </w:r>
      <w:r>
        <w:rPr>
          <w:rFonts w:hint="eastAsia" w:ascii="仿宋_GB2312" w:eastAsia="仿宋_GB2312" w:cs="仿宋_GB2312"/>
          <w:b/>
          <w:sz w:val="24"/>
        </w:rPr>
        <w:t xml:space="preserve">] </w:t>
      </w:r>
      <w:r>
        <w:rPr>
          <w:rFonts w:hint="eastAsia" w:ascii="宋体" w:hAnsi="宋体" w:cs="宋体"/>
          <w:sz w:val="24"/>
        </w:rPr>
        <w:t>向热用户有偿提供热能的行为。</w:t>
      </w:r>
    </w:p>
    <w:p w14:paraId="1A4662D1">
      <w:pPr>
        <w:spacing w:line="480" w:lineRule="auto"/>
        <w:ind w:firstLine="482"/>
        <w:rPr>
          <w:rFonts w:hint="eastAsia" w:ascii="仿宋_GB2312" w:eastAsia="仿宋_GB2312" w:cs="仿宋_GB2312"/>
          <w:sz w:val="24"/>
        </w:rPr>
      </w:pPr>
      <w:r>
        <w:rPr>
          <w:rFonts w:hint="eastAsia" w:ascii="仿宋_GB2312" w:eastAsia="仿宋_GB2312" w:cs="仿宋_GB2312"/>
          <w:b/>
          <w:sz w:val="24"/>
        </w:rPr>
        <w:t>2.4 [</w:t>
      </w:r>
      <w:r>
        <w:rPr>
          <w:rFonts w:hint="eastAsia" w:ascii="宋体" w:hAnsi="宋体" w:cs="宋体"/>
          <w:b/>
          <w:sz w:val="24"/>
        </w:rPr>
        <w:t>供热系统</w:t>
      </w:r>
      <w:r>
        <w:rPr>
          <w:rFonts w:hint="eastAsia" w:ascii="仿宋_GB2312" w:eastAsia="仿宋_GB2312" w:cs="仿宋_GB2312"/>
          <w:b/>
          <w:sz w:val="24"/>
        </w:rPr>
        <w:t>]</w:t>
      </w:r>
      <w:r>
        <w:rPr>
          <w:rFonts w:hint="eastAsia" w:ascii="宋体" w:hAnsi="宋体" w:cs="宋体"/>
          <w:sz w:val="24"/>
        </w:rPr>
        <w:t>由热源通过热网向热用户供应热能的系统总称。</w:t>
      </w:r>
    </w:p>
    <w:p w14:paraId="23B850EA">
      <w:pPr>
        <w:spacing w:line="480" w:lineRule="auto"/>
        <w:ind w:firstLine="482"/>
        <w:jc w:val="left"/>
        <w:rPr>
          <w:rFonts w:hint="eastAsia" w:ascii="仿宋_GB2312" w:eastAsia="仿宋_GB2312" w:cs="仿宋_GB2312"/>
          <w:sz w:val="24"/>
        </w:rPr>
      </w:pPr>
      <w:r>
        <w:rPr>
          <w:rFonts w:hint="eastAsia" w:ascii="仿宋_GB2312" w:eastAsia="仿宋_GB2312" w:cs="仿宋_GB2312"/>
          <w:b/>
          <w:sz w:val="24"/>
        </w:rPr>
        <w:t>2.5</w:t>
      </w:r>
      <w:r>
        <w:rPr>
          <w:rFonts w:hint="eastAsia" w:ascii="宋体" w:hAnsi="宋体" w:cs="宋体"/>
          <w:b/>
          <w:sz w:val="24"/>
        </w:rPr>
        <w:t>［集中供热］</w:t>
      </w:r>
      <w:r>
        <w:rPr>
          <w:rFonts w:hint="eastAsia" w:ascii="宋体" w:hAnsi="宋体" w:cs="宋体"/>
          <w:sz w:val="24"/>
        </w:rPr>
        <w:t>从一个或多个热源通过热网向市区、镇或区域热用户供热。</w:t>
      </w:r>
    </w:p>
    <w:p w14:paraId="66984E29">
      <w:pPr>
        <w:spacing w:line="480" w:lineRule="auto"/>
        <w:ind w:firstLine="482"/>
        <w:rPr>
          <w:rFonts w:hint="eastAsia" w:ascii="仿宋_GB2312" w:eastAsia="仿宋_GB2312" w:cs="仿宋_GB2312"/>
          <w:sz w:val="24"/>
        </w:rPr>
      </w:pPr>
      <w:r>
        <w:rPr>
          <w:rFonts w:hint="eastAsia" w:ascii="仿宋_GB2312" w:eastAsia="仿宋_GB2312" w:cs="仿宋_GB2312"/>
          <w:b/>
          <w:sz w:val="24"/>
        </w:rPr>
        <w:t>2.6</w:t>
      </w:r>
      <w:r>
        <w:rPr>
          <w:rFonts w:hint="eastAsia" w:ascii="宋体" w:hAnsi="宋体" w:cs="宋体"/>
          <w:b/>
          <w:sz w:val="24"/>
        </w:rPr>
        <w:t>［热力管网］</w:t>
      </w:r>
      <w:r>
        <w:rPr>
          <w:rFonts w:hint="eastAsia" w:ascii="宋体" w:hAnsi="宋体" w:cs="宋体"/>
          <w:sz w:val="24"/>
        </w:rPr>
        <w:t>由热源向热用户输送和分配供热介质的管线系统。</w:t>
      </w:r>
    </w:p>
    <w:p w14:paraId="6A80E1A0">
      <w:pPr>
        <w:spacing w:line="480" w:lineRule="auto"/>
        <w:ind w:firstLine="482"/>
        <w:rPr>
          <w:rFonts w:hint="eastAsia" w:ascii="仿宋_GB2312" w:eastAsia="仿宋_GB2312" w:cs="仿宋_GB2312"/>
          <w:sz w:val="24"/>
        </w:rPr>
      </w:pPr>
      <w:r>
        <w:rPr>
          <w:rFonts w:hint="eastAsia" w:ascii="仿宋_GB2312" w:eastAsia="仿宋_GB2312" w:cs="仿宋_GB2312"/>
          <w:b/>
          <w:sz w:val="24"/>
        </w:rPr>
        <w:t>2.7</w:t>
      </w:r>
      <w:r>
        <w:rPr>
          <w:rFonts w:hint="eastAsia" w:ascii="宋体" w:hAnsi="宋体" w:cs="宋体"/>
          <w:b/>
          <w:sz w:val="24"/>
        </w:rPr>
        <w:t>［管道业务］</w:t>
      </w:r>
      <w:r>
        <w:rPr>
          <w:rFonts w:hint="eastAsia" w:ascii="宋体" w:hAnsi="宋体" w:cs="宋体"/>
          <w:sz w:val="24"/>
        </w:rPr>
        <w:t>在本合同规定的范围内，依照本合同价格机制之规定的价格向使用者提供的管道热力及相关的有偿服务的经营业务。</w:t>
      </w:r>
    </w:p>
    <w:p w14:paraId="08D907AE">
      <w:pPr>
        <w:spacing w:line="480" w:lineRule="auto"/>
        <w:ind w:firstLine="482"/>
        <w:rPr>
          <w:rFonts w:hint="eastAsia" w:ascii="仿宋_GB2312" w:eastAsia="仿宋_GB2312" w:cs="仿宋_GB2312"/>
          <w:sz w:val="24"/>
        </w:rPr>
      </w:pPr>
      <w:r>
        <w:rPr>
          <w:rFonts w:hint="eastAsia" w:ascii="仿宋_GB2312" w:eastAsia="仿宋_GB2312" w:cs="仿宋_GB2312"/>
          <w:b/>
          <w:sz w:val="24"/>
        </w:rPr>
        <w:t>2.8</w:t>
      </w:r>
      <w:r>
        <w:rPr>
          <w:rFonts w:hint="eastAsia" w:ascii="宋体" w:hAnsi="宋体" w:cs="宋体"/>
          <w:b/>
          <w:sz w:val="24"/>
        </w:rPr>
        <w:t>［合理利润］</w:t>
      </w:r>
      <w:r>
        <w:rPr>
          <w:rFonts w:hint="eastAsia" w:ascii="宋体" w:hAnsi="宋体" w:cs="宋体"/>
          <w:sz w:val="24"/>
        </w:rPr>
        <w:t>依据当期供热行业平均投资回报率及有利于经营业务长期良性发展而衡量的利润率水平。</w:t>
      </w:r>
    </w:p>
    <w:p w14:paraId="23A6EF4B">
      <w:pPr>
        <w:spacing w:line="480" w:lineRule="auto"/>
        <w:ind w:firstLine="482"/>
        <w:rPr>
          <w:rFonts w:hint="eastAsia" w:ascii="仿宋_GB2312" w:eastAsia="仿宋_GB2312" w:cs="仿宋_GB2312"/>
          <w:sz w:val="24"/>
        </w:rPr>
      </w:pPr>
      <w:r>
        <w:rPr>
          <w:rFonts w:hint="eastAsia" w:ascii="仿宋_GB2312" w:eastAsia="仿宋_GB2312" w:cs="仿宋_GB2312"/>
          <w:b/>
          <w:sz w:val="24"/>
        </w:rPr>
        <w:t>2.9</w:t>
      </w:r>
      <w:r>
        <w:rPr>
          <w:rFonts w:hint="eastAsia" w:ascii="宋体" w:hAnsi="宋体" w:cs="宋体"/>
          <w:b/>
          <w:sz w:val="24"/>
        </w:rPr>
        <w:t>［完全成本］</w:t>
      </w:r>
      <w:r>
        <w:rPr>
          <w:rFonts w:hint="eastAsia" w:ascii="宋体" w:hAnsi="宋体" w:cs="宋体"/>
          <w:sz w:val="24"/>
        </w:rPr>
        <w:t>以恰当履行本合同经营业务、义务所发生的全部费用之和作为乙方的完全成本，与乙方应得的合理利润相加之和并依据北京市统一热费指导价而确定集中供热价格的定价法则。</w:t>
      </w:r>
    </w:p>
    <w:p w14:paraId="4E82CA60">
      <w:pPr>
        <w:spacing w:line="480" w:lineRule="auto"/>
        <w:ind w:firstLine="482"/>
        <w:rPr>
          <w:rFonts w:hint="eastAsia" w:ascii="仿宋_GB2312" w:eastAsia="仿宋_GB2312" w:cs="仿宋_GB2312"/>
          <w:sz w:val="24"/>
        </w:rPr>
      </w:pPr>
      <w:r>
        <w:rPr>
          <w:rFonts w:hint="eastAsia" w:ascii="仿宋_GB2312" w:eastAsia="仿宋_GB2312" w:cs="仿宋_GB2312"/>
          <w:b/>
          <w:sz w:val="24"/>
        </w:rPr>
        <w:t>2.10</w:t>
      </w:r>
      <w:r>
        <w:rPr>
          <w:rFonts w:hint="eastAsia" w:ascii="宋体" w:hAnsi="宋体" w:cs="宋体"/>
          <w:b/>
          <w:sz w:val="24"/>
        </w:rPr>
        <w:t>［成熟市场业务］</w:t>
      </w:r>
      <w:r>
        <w:rPr>
          <w:rFonts w:hint="eastAsia" w:ascii="宋体" w:hAnsi="宋体" w:cs="宋体"/>
          <w:sz w:val="24"/>
        </w:rPr>
        <w:t>按照当地市场化水平，具有经营盈利的经营项目。</w:t>
      </w:r>
    </w:p>
    <w:p w14:paraId="50D5570D">
      <w:pPr>
        <w:spacing w:line="480" w:lineRule="auto"/>
        <w:ind w:firstLine="482"/>
        <w:rPr>
          <w:rFonts w:hint="eastAsia" w:ascii="仿宋_GB2312" w:eastAsia="仿宋_GB2312" w:cs="仿宋_GB2312"/>
          <w:sz w:val="24"/>
        </w:rPr>
      </w:pPr>
      <w:r>
        <w:rPr>
          <w:rFonts w:hint="eastAsia" w:ascii="仿宋_GB2312" w:eastAsia="仿宋_GB2312" w:cs="仿宋_GB2312"/>
          <w:b/>
          <w:sz w:val="24"/>
        </w:rPr>
        <w:t>2.11</w:t>
      </w:r>
      <w:r>
        <w:rPr>
          <w:rFonts w:hint="eastAsia" w:ascii="宋体" w:hAnsi="宋体" w:cs="宋体"/>
          <w:b/>
          <w:sz w:val="24"/>
        </w:rPr>
        <w:t>［违约］</w:t>
      </w:r>
      <w:r>
        <w:rPr>
          <w:rFonts w:hint="eastAsia" w:ascii="宋体" w:hAnsi="宋体" w:cs="宋体"/>
          <w:sz w:val="24"/>
        </w:rPr>
        <w:t>违反本合同条款的行为。</w:t>
      </w:r>
    </w:p>
    <w:p w14:paraId="7317CB4E">
      <w:pPr>
        <w:spacing w:line="480" w:lineRule="auto"/>
        <w:ind w:firstLine="482"/>
        <w:rPr>
          <w:rFonts w:hint="eastAsia" w:ascii="仿宋_GB2312" w:eastAsia="仿宋_GB2312" w:cs="仿宋_GB2312"/>
          <w:sz w:val="24"/>
        </w:rPr>
      </w:pPr>
      <w:r>
        <w:rPr>
          <w:rFonts w:hint="eastAsia" w:ascii="仿宋_GB2312" w:eastAsia="仿宋_GB2312" w:cs="仿宋_GB2312"/>
          <w:b/>
          <w:sz w:val="24"/>
        </w:rPr>
        <w:t>2.12</w:t>
      </w:r>
      <w:r>
        <w:rPr>
          <w:rFonts w:hint="eastAsia" w:ascii="宋体" w:hAnsi="宋体" w:cs="宋体"/>
          <w:b/>
          <w:sz w:val="24"/>
        </w:rPr>
        <w:t>［不可抗力］</w:t>
      </w:r>
      <w:r>
        <w:rPr>
          <w:rFonts w:hint="eastAsia" w:ascii="宋体" w:hAnsi="宋体" w:cs="宋体"/>
          <w:sz w:val="24"/>
        </w:rPr>
        <w:t>合同当事人在履行合同期间遇到的无法预见、无法避免、无法抗拒的事件。</w:t>
      </w:r>
    </w:p>
    <w:p w14:paraId="28D9B414">
      <w:pPr>
        <w:spacing w:line="480" w:lineRule="auto"/>
        <w:ind w:firstLine="482"/>
        <w:rPr>
          <w:rFonts w:hint="eastAsia" w:ascii="仿宋_GB2312" w:eastAsia="仿宋_GB2312" w:cs="仿宋_GB2312"/>
          <w:sz w:val="24"/>
        </w:rPr>
      </w:pPr>
      <w:r>
        <w:rPr>
          <w:rFonts w:hint="eastAsia" w:ascii="仿宋_GB2312" w:eastAsia="仿宋_GB2312" w:cs="仿宋_GB2312"/>
          <w:b/>
          <w:sz w:val="24"/>
        </w:rPr>
        <w:t>2.13</w:t>
      </w:r>
      <w:r>
        <w:rPr>
          <w:rFonts w:hint="eastAsia" w:ascii="宋体" w:hAnsi="宋体" w:cs="宋体"/>
          <w:b/>
          <w:sz w:val="24"/>
        </w:rPr>
        <w:t>［经营权］</w:t>
      </w:r>
      <w:r>
        <w:rPr>
          <w:rFonts w:hint="eastAsia" w:ascii="宋体" w:hAnsi="宋体" w:cs="宋体"/>
          <w:sz w:val="24"/>
        </w:rPr>
        <w:t>本合同规定之经营权为经营供热业务专营权，即在其有效期和规定范围内，经营权受让方独自占有该项的经营权利。</w:t>
      </w:r>
    </w:p>
    <w:p w14:paraId="58A6AB8D">
      <w:pPr>
        <w:spacing w:line="480" w:lineRule="auto"/>
        <w:ind w:firstLine="482"/>
        <w:rPr>
          <w:rFonts w:hint="eastAsia" w:ascii="仿宋_GB2312" w:eastAsia="仿宋_GB2312" w:cs="仿宋_GB2312"/>
          <w:sz w:val="24"/>
        </w:rPr>
      </w:pPr>
      <w:r>
        <w:rPr>
          <w:rFonts w:hint="eastAsia" w:ascii="仿宋_GB2312" w:eastAsia="仿宋_GB2312" w:cs="仿宋_GB2312"/>
          <w:b/>
          <w:sz w:val="24"/>
        </w:rPr>
        <w:t>2.14</w:t>
      </w:r>
      <w:r>
        <w:rPr>
          <w:rFonts w:hint="eastAsia" w:ascii="宋体" w:hAnsi="宋体" w:cs="宋体"/>
          <w:b/>
          <w:sz w:val="24"/>
        </w:rPr>
        <w:t>［经营期续展］</w:t>
      </w:r>
      <w:r>
        <w:rPr>
          <w:rFonts w:hint="eastAsia" w:ascii="宋体" w:hAnsi="宋体" w:cs="宋体"/>
          <w:sz w:val="24"/>
        </w:rPr>
        <w:t>经营权期满由经营权受让方申请并经过法定审批程序获得的经营权延期。</w:t>
      </w:r>
    </w:p>
    <w:p w14:paraId="336096C8">
      <w:pPr>
        <w:spacing w:line="480" w:lineRule="auto"/>
        <w:ind w:firstLine="482"/>
        <w:rPr>
          <w:rFonts w:hint="eastAsia" w:ascii="仿宋_GB2312" w:eastAsia="仿宋_GB2312" w:cs="仿宋_GB2312"/>
          <w:sz w:val="24"/>
        </w:rPr>
      </w:pPr>
      <w:r>
        <w:rPr>
          <w:rFonts w:hint="eastAsia" w:ascii="仿宋_GB2312" w:eastAsia="仿宋_GB2312" w:cs="仿宋_GB2312"/>
          <w:b/>
          <w:sz w:val="24"/>
        </w:rPr>
        <w:t>2.15</w:t>
      </w:r>
      <w:r>
        <w:rPr>
          <w:rFonts w:hint="eastAsia" w:ascii="宋体" w:hAnsi="宋体" w:cs="宋体"/>
          <w:b/>
          <w:sz w:val="24"/>
        </w:rPr>
        <w:t>［一级管网］</w:t>
      </w:r>
      <w:r>
        <w:rPr>
          <w:rFonts w:hint="eastAsia" w:ascii="宋体" w:hAnsi="宋体" w:cs="宋体"/>
          <w:sz w:val="24"/>
        </w:rPr>
        <w:t>从热源至换热站的供回水管网。</w:t>
      </w:r>
    </w:p>
    <w:p w14:paraId="1EBCD8F5">
      <w:pPr>
        <w:spacing w:line="480" w:lineRule="auto"/>
        <w:ind w:firstLine="482"/>
        <w:rPr>
          <w:rFonts w:hint="eastAsia" w:ascii="仿宋_GB2312" w:eastAsia="仿宋_GB2312" w:cs="仿宋_GB2312"/>
          <w:sz w:val="24"/>
        </w:rPr>
      </w:pPr>
      <w:r>
        <w:rPr>
          <w:rFonts w:hint="eastAsia" w:ascii="仿宋_GB2312" w:eastAsia="仿宋_GB2312" w:cs="仿宋_GB2312"/>
          <w:b/>
          <w:sz w:val="24"/>
        </w:rPr>
        <w:t>2.16</w:t>
      </w:r>
      <w:r>
        <w:rPr>
          <w:rFonts w:hint="eastAsia" w:ascii="宋体" w:hAnsi="宋体" w:cs="宋体"/>
          <w:b/>
          <w:sz w:val="24"/>
        </w:rPr>
        <w:t>［二级管网］</w:t>
      </w:r>
      <w:r>
        <w:rPr>
          <w:rFonts w:hint="eastAsia" w:ascii="宋体" w:hAnsi="宋体" w:cs="宋体"/>
          <w:sz w:val="24"/>
        </w:rPr>
        <w:t>从换热站到用户室外第一道截门的供回水管网。</w:t>
      </w:r>
    </w:p>
    <w:p w14:paraId="38C3269A">
      <w:pPr>
        <w:spacing w:line="480" w:lineRule="auto"/>
        <w:ind w:firstLine="482"/>
        <w:rPr>
          <w:rFonts w:hint="eastAsia" w:ascii="仿宋_GB2312" w:eastAsia="仿宋_GB2312" w:cs="仿宋_GB2312"/>
          <w:sz w:val="24"/>
        </w:rPr>
      </w:pPr>
      <w:r>
        <w:rPr>
          <w:rFonts w:hint="eastAsia" w:ascii="仿宋_GB2312" w:eastAsia="仿宋_GB2312" w:cs="仿宋_GB2312"/>
          <w:b/>
          <w:sz w:val="24"/>
        </w:rPr>
        <w:t>2.17</w:t>
      </w:r>
      <w:r>
        <w:rPr>
          <w:rFonts w:hint="eastAsia" w:ascii="宋体" w:hAnsi="宋体" w:cs="宋体"/>
          <w:b/>
          <w:sz w:val="24"/>
        </w:rPr>
        <w:t>［用户自用管道热力设施］</w:t>
      </w:r>
      <w:r>
        <w:rPr>
          <w:rFonts w:hint="eastAsia" w:ascii="宋体" w:hAnsi="宋体" w:cs="宋体"/>
          <w:sz w:val="24"/>
        </w:rPr>
        <w:t>自楼内共用热力管道引入到用户户内热力管道、阀门、计量表等设施。</w:t>
      </w:r>
    </w:p>
    <w:p w14:paraId="5E3C6503">
      <w:pPr>
        <w:spacing w:line="480" w:lineRule="auto"/>
        <w:ind w:firstLine="482"/>
        <w:rPr>
          <w:rFonts w:hint="eastAsia" w:ascii="仿宋_GB2312" w:eastAsia="仿宋_GB2312" w:cs="仿宋_GB2312"/>
          <w:sz w:val="24"/>
        </w:rPr>
      </w:pPr>
      <w:r>
        <w:rPr>
          <w:rFonts w:hint="eastAsia" w:ascii="仿宋_GB2312" w:eastAsia="仿宋_GB2312" w:cs="仿宋_GB2312"/>
          <w:b/>
          <w:sz w:val="24"/>
        </w:rPr>
        <w:t>2.18</w:t>
      </w:r>
      <w:r>
        <w:rPr>
          <w:rFonts w:hint="eastAsia" w:ascii="宋体" w:hAnsi="宋体" w:cs="宋体"/>
          <w:b/>
          <w:sz w:val="24"/>
        </w:rPr>
        <w:t>［业主共用管道热力设施］</w:t>
      </w:r>
      <w:r>
        <w:rPr>
          <w:rFonts w:hint="eastAsia" w:ascii="宋体" w:hAnsi="宋体" w:cs="宋体"/>
          <w:sz w:val="24"/>
        </w:rPr>
        <w:t>用户引入管、楼内立管、水平管及阀门等热力设施。</w:t>
      </w:r>
    </w:p>
    <w:p w14:paraId="28A9A26F">
      <w:pPr>
        <w:spacing w:line="480" w:lineRule="auto"/>
        <w:ind w:firstLine="482"/>
        <w:rPr>
          <w:rFonts w:hint="eastAsia" w:ascii="仿宋_GB2312" w:eastAsia="仿宋_GB2312" w:cs="仿宋_GB2312"/>
          <w:sz w:val="24"/>
        </w:rPr>
      </w:pPr>
      <w:r>
        <w:rPr>
          <w:rFonts w:hint="eastAsia" w:ascii="仿宋_GB2312" w:eastAsia="仿宋_GB2312" w:cs="仿宋_GB2312"/>
          <w:b/>
          <w:sz w:val="24"/>
        </w:rPr>
        <w:t>2.19</w:t>
      </w:r>
      <w:r>
        <w:rPr>
          <w:rFonts w:hint="eastAsia" w:ascii="宋体" w:hAnsi="宋体" w:cs="宋体"/>
          <w:b/>
          <w:sz w:val="24"/>
        </w:rPr>
        <w:t>［新建（扩建）管道热力设施］</w:t>
      </w:r>
      <w:r>
        <w:rPr>
          <w:rFonts w:hint="eastAsia" w:ascii="宋体" w:hAnsi="宋体" w:cs="宋体"/>
          <w:sz w:val="24"/>
        </w:rPr>
        <w:t>新建住房城市集中供热管网工程。</w:t>
      </w:r>
    </w:p>
    <w:p w14:paraId="316473E2">
      <w:pPr>
        <w:spacing w:line="480" w:lineRule="auto"/>
        <w:ind w:firstLine="482"/>
        <w:rPr>
          <w:rFonts w:hint="eastAsia" w:ascii="仿宋_GB2312" w:eastAsia="仿宋_GB2312" w:cs="仿宋_GB2312"/>
          <w:b/>
          <w:sz w:val="24"/>
        </w:rPr>
      </w:pPr>
      <w:r>
        <w:rPr>
          <w:rFonts w:hint="eastAsia" w:ascii="仿宋_GB2312" w:eastAsia="仿宋_GB2312" w:cs="仿宋_GB2312"/>
          <w:b/>
          <w:sz w:val="24"/>
        </w:rPr>
        <w:t>2.20</w:t>
      </w:r>
      <w:r>
        <w:rPr>
          <w:rFonts w:hint="eastAsia" w:ascii="宋体" w:hAnsi="宋体" w:cs="宋体"/>
          <w:b/>
          <w:sz w:val="24"/>
        </w:rPr>
        <w:t>［既有管道热力设施］</w:t>
      </w:r>
      <w:r>
        <w:rPr>
          <w:rFonts w:hint="eastAsia" w:ascii="宋体" w:hAnsi="宋体" w:cs="宋体"/>
          <w:sz w:val="24"/>
        </w:rPr>
        <w:t>原锅炉供热改造为集中供热管网工程。</w:t>
      </w:r>
    </w:p>
    <w:p w14:paraId="44FE74E5">
      <w:pPr>
        <w:spacing w:line="480" w:lineRule="auto"/>
        <w:ind w:firstLine="482"/>
        <w:rPr>
          <w:rFonts w:hint="eastAsia" w:ascii="仿宋_GB2312" w:eastAsia="仿宋_GB2312" w:cs="仿宋_GB2312"/>
          <w:sz w:val="24"/>
        </w:rPr>
      </w:pPr>
      <w:r>
        <w:rPr>
          <w:rFonts w:hint="eastAsia" w:ascii="仿宋_GB2312" w:eastAsia="仿宋_GB2312" w:cs="仿宋_GB2312"/>
          <w:b/>
          <w:sz w:val="24"/>
        </w:rPr>
        <w:t>2.20</w:t>
      </w:r>
      <w:r>
        <w:rPr>
          <w:rFonts w:hint="eastAsia" w:ascii="宋体" w:hAnsi="宋体" w:cs="宋体"/>
          <w:b/>
          <w:sz w:val="24"/>
        </w:rPr>
        <w:t>［热力紧急事件］</w:t>
      </w:r>
      <w:r>
        <w:rPr>
          <w:rFonts w:hint="eastAsia" w:ascii="宋体" w:hAnsi="宋体" w:cs="宋体"/>
          <w:sz w:val="24"/>
        </w:rPr>
        <w:t>涉及供热设施需要紧急采取非正常措施的事件，包括爆炸、泄漏以及管道热力设施紧急利用等。</w:t>
      </w:r>
    </w:p>
    <w:p w14:paraId="746B03F2">
      <w:pPr>
        <w:spacing w:line="480" w:lineRule="auto"/>
        <w:ind w:firstLine="482"/>
        <w:rPr>
          <w:rFonts w:hint="eastAsia" w:ascii="仿宋_GB2312" w:eastAsia="仿宋_GB2312" w:cs="仿宋_GB2312"/>
          <w:sz w:val="24"/>
        </w:rPr>
      </w:pPr>
      <w:r>
        <w:rPr>
          <w:rFonts w:hint="eastAsia" w:ascii="仿宋_GB2312" w:eastAsia="仿宋_GB2312" w:cs="仿宋_GB2312"/>
          <w:b/>
          <w:sz w:val="24"/>
        </w:rPr>
        <w:t>2.21</w:t>
      </w:r>
      <w:r>
        <w:rPr>
          <w:rFonts w:hint="eastAsia" w:ascii="宋体" w:hAnsi="宋体" w:cs="宋体"/>
          <w:sz w:val="24"/>
        </w:rPr>
        <w:t>日、月、季度、年：均指公历的日、月、季度和年。</w:t>
      </w:r>
    </w:p>
    <w:p w14:paraId="6AAA6F48">
      <w:pPr>
        <w:spacing w:line="480" w:lineRule="auto"/>
        <w:ind w:firstLine="480"/>
        <w:rPr>
          <w:rFonts w:hint="eastAsia" w:ascii="仿宋_GB2312" w:eastAsia="仿宋_GB2312" w:cs="仿宋_GB2312"/>
          <w:sz w:val="24"/>
        </w:rPr>
      </w:pPr>
      <w:r>
        <w:rPr>
          <w:rFonts w:hint="eastAsia" w:ascii="宋体" w:hAnsi="宋体" w:cs="宋体"/>
          <w:sz w:val="24"/>
        </w:rPr>
        <w:t>其他在本合同中出现的需要加以定义的术语。</w:t>
      </w:r>
    </w:p>
    <w:p w14:paraId="28A595A8">
      <w:pPr>
        <w:numPr>
          <w:ilvl w:val="0"/>
          <w:numId w:val="15"/>
        </w:numPr>
        <w:spacing w:before="100" w:after="100" w:line="480" w:lineRule="auto"/>
        <w:ind w:firstLine="2409"/>
        <w:rPr>
          <w:rFonts w:hint="eastAsia" w:ascii="宋体" w:cs="宋体"/>
          <w:b/>
          <w:sz w:val="24"/>
        </w:rPr>
      </w:pPr>
      <w:r>
        <w:rPr>
          <w:rFonts w:hint="eastAsia" w:ascii="仿宋_GB2312" w:eastAsia="Times New Roman"/>
          <w:b/>
          <w:sz w:val="24"/>
        </w:rPr>
        <w:t xml:space="preserve"> </w:t>
      </w:r>
      <w:r>
        <w:rPr>
          <w:rFonts w:hint="eastAsia" w:ascii="宋体" w:hAnsi="宋体" w:cs="宋体"/>
          <w:b/>
          <w:sz w:val="24"/>
        </w:rPr>
        <w:t>经营权授予</w:t>
      </w:r>
    </w:p>
    <w:p w14:paraId="6482E746">
      <w:pPr>
        <w:spacing w:line="480" w:lineRule="auto"/>
        <w:ind w:firstLine="482"/>
        <w:rPr>
          <w:rFonts w:hint="eastAsia" w:ascii="仿宋_GB2312" w:eastAsia="仿宋_GB2312" w:cs="仿宋_GB2312"/>
          <w:sz w:val="24"/>
        </w:rPr>
      </w:pPr>
      <w:r>
        <w:rPr>
          <w:rFonts w:hint="eastAsia" w:ascii="仿宋_GB2312" w:eastAsia="仿宋_GB2312" w:cs="仿宋_GB2312"/>
          <w:b/>
          <w:sz w:val="24"/>
        </w:rPr>
        <w:t xml:space="preserve">3.1  </w:t>
      </w:r>
      <w:r>
        <w:rPr>
          <w:rFonts w:hint="eastAsia" w:ascii="宋体" w:hAnsi="宋体" w:cs="宋体"/>
          <w:b/>
          <w:sz w:val="24"/>
        </w:rPr>
        <w:t>经营权授予</w:t>
      </w:r>
    </w:p>
    <w:p w14:paraId="3E9B41BB">
      <w:pPr>
        <w:spacing w:line="480" w:lineRule="auto"/>
        <w:ind w:left="437"/>
        <w:rPr>
          <w:rFonts w:hint="eastAsia" w:ascii="仿宋_GB2312" w:eastAsia="仿宋_GB2312" w:cs="仿宋_GB2312"/>
          <w:sz w:val="24"/>
        </w:rPr>
      </w:pPr>
      <w:r>
        <w:rPr>
          <w:rFonts w:hint="eastAsia" w:ascii="宋体" w:hAnsi="宋体" w:cs="宋体"/>
          <w:sz w:val="24"/>
        </w:rPr>
        <w:t>签订本合同之日起，甲方对乙方关于</w:t>
      </w:r>
      <w:r>
        <w:rPr>
          <w:rFonts w:hint="eastAsia" w:ascii="宋体" w:hAnsi="宋体" w:cs="宋体"/>
          <w:sz w:val="24"/>
          <w:u w:val="single"/>
        </w:rPr>
        <w:t>北京市顺义牛栏山第一中学板桥学校</w:t>
      </w:r>
      <w:r>
        <w:rPr>
          <w:rFonts w:hint="eastAsia" w:ascii="仿宋_GB2312" w:eastAsia="仿宋_GB2312" w:cs="仿宋_GB2312"/>
          <w:sz w:val="24"/>
          <w:u w:val="single"/>
        </w:rPr>
        <w:t xml:space="preserve">                        </w:t>
      </w:r>
      <w:r>
        <w:rPr>
          <w:rFonts w:hint="eastAsia" w:ascii="宋体" w:hAnsi="宋体" w:cs="宋体"/>
          <w:sz w:val="24"/>
        </w:rPr>
        <w:t>供热经营权授予完成。</w:t>
      </w:r>
    </w:p>
    <w:p w14:paraId="5E9D3538">
      <w:pPr>
        <w:numPr>
          <w:ilvl w:val="0"/>
          <w:numId w:val="16"/>
        </w:numPr>
        <w:spacing w:before="100" w:after="100" w:line="480" w:lineRule="auto"/>
        <w:ind w:firstLine="2409"/>
        <w:rPr>
          <w:rFonts w:hint="eastAsia" w:ascii="宋体" w:cs="宋体"/>
          <w:b/>
          <w:sz w:val="24"/>
        </w:rPr>
      </w:pPr>
      <w:r>
        <w:rPr>
          <w:rFonts w:hint="eastAsia" w:ascii="仿宋_GB2312" w:eastAsia="Times New Roman"/>
          <w:b/>
          <w:sz w:val="24"/>
        </w:rPr>
        <w:t xml:space="preserve"> </w:t>
      </w:r>
      <w:r>
        <w:rPr>
          <w:rFonts w:hint="eastAsia" w:ascii="宋体" w:hAnsi="宋体" w:cs="宋体"/>
          <w:b/>
          <w:sz w:val="24"/>
        </w:rPr>
        <w:t>经营权期限及续展</w:t>
      </w:r>
    </w:p>
    <w:p w14:paraId="24AC60E5">
      <w:pPr>
        <w:spacing w:line="480" w:lineRule="auto"/>
        <w:ind w:firstLine="482"/>
        <w:rPr>
          <w:rFonts w:hint="eastAsia" w:ascii="仿宋_GB2312" w:eastAsia="仿宋_GB2312" w:cs="仿宋_GB2312"/>
          <w:b/>
          <w:sz w:val="24"/>
        </w:rPr>
      </w:pPr>
      <w:r>
        <w:rPr>
          <w:rFonts w:hint="eastAsia" w:ascii="仿宋_GB2312" w:eastAsia="仿宋_GB2312" w:cs="仿宋_GB2312"/>
          <w:b/>
          <w:sz w:val="24"/>
        </w:rPr>
        <w:t xml:space="preserve">4.1  </w:t>
      </w:r>
      <w:r>
        <w:rPr>
          <w:rFonts w:hint="eastAsia" w:ascii="宋体" w:hAnsi="宋体" w:cs="宋体"/>
          <w:b/>
          <w:sz w:val="24"/>
        </w:rPr>
        <w:t>经营期限</w:t>
      </w:r>
    </w:p>
    <w:p w14:paraId="3B309841">
      <w:pPr>
        <w:spacing w:line="480" w:lineRule="auto"/>
        <w:ind w:left="479" w:leftChars="228" w:firstLine="64" w:firstLineChars="27"/>
        <w:jc w:val="left"/>
        <w:rPr>
          <w:rFonts w:hint="eastAsia" w:ascii="仿宋_GB2312" w:eastAsia="仿宋_GB2312" w:cs="仿宋_GB2312"/>
          <w:sz w:val="24"/>
        </w:rPr>
      </w:pPr>
      <w:r>
        <w:rPr>
          <w:rFonts w:hint="eastAsia" w:ascii="宋体" w:hAnsi="宋体" w:cs="宋体"/>
          <w:color w:val="auto"/>
          <w:sz w:val="24"/>
        </w:rPr>
        <w:t>自</w:t>
      </w:r>
      <w:r>
        <w:rPr>
          <w:rFonts w:hint="eastAsia" w:ascii="仿宋_GB2312" w:eastAsia="仿宋_GB2312" w:cs="仿宋_GB2312"/>
          <w:color w:val="auto"/>
          <w:sz w:val="24"/>
          <w:u w:val="single"/>
        </w:rPr>
        <w:t xml:space="preserve"> 202</w:t>
      </w:r>
      <w:r>
        <w:rPr>
          <w:rFonts w:hint="eastAsia" w:ascii="仿宋_GB2312" w:eastAsia="仿宋_GB2312" w:cs="仿宋_GB2312"/>
          <w:color w:val="auto"/>
          <w:sz w:val="24"/>
          <w:u w:val="single"/>
          <w:lang w:val="en-US" w:eastAsia="zh-CN"/>
        </w:rPr>
        <w:t>6</w:t>
      </w:r>
      <w:r>
        <w:rPr>
          <w:rFonts w:hint="eastAsia" w:ascii="仿宋_GB2312" w:eastAsia="仿宋_GB2312" w:cs="仿宋_GB2312"/>
          <w:color w:val="auto"/>
          <w:sz w:val="24"/>
          <w:u w:val="single"/>
        </w:rPr>
        <w:t xml:space="preserve"> </w:t>
      </w:r>
      <w:r>
        <w:rPr>
          <w:rFonts w:hint="eastAsia" w:ascii="宋体" w:hAnsi="宋体" w:cs="宋体"/>
          <w:color w:val="auto"/>
          <w:sz w:val="24"/>
        </w:rPr>
        <w:t>年</w:t>
      </w:r>
      <w:r>
        <w:rPr>
          <w:rFonts w:hint="eastAsia" w:ascii="仿宋_GB2312" w:eastAsia="仿宋_GB2312" w:cs="仿宋_GB2312"/>
          <w:color w:val="auto"/>
          <w:sz w:val="24"/>
          <w:u w:val="single"/>
        </w:rPr>
        <w:t xml:space="preserve"> 11</w:t>
      </w:r>
      <w:r>
        <w:rPr>
          <w:rFonts w:hint="eastAsia" w:ascii="宋体" w:hAnsi="宋体" w:cs="宋体"/>
          <w:color w:val="auto"/>
          <w:sz w:val="24"/>
        </w:rPr>
        <w:t>月</w:t>
      </w:r>
      <w:r>
        <w:rPr>
          <w:rFonts w:hint="eastAsia" w:ascii="仿宋_GB2312" w:eastAsia="仿宋_GB2312" w:cs="仿宋_GB2312"/>
          <w:color w:val="auto"/>
          <w:sz w:val="24"/>
          <w:u w:val="single"/>
        </w:rPr>
        <w:t xml:space="preserve">  1  </w:t>
      </w:r>
      <w:r>
        <w:rPr>
          <w:rFonts w:hint="eastAsia" w:ascii="宋体" w:hAnsi="宋体" w:cs="宋体"/>
          <w:color w:val="auto"/>
          <w:sz w:val="24"/>
        </w:rPr>
        <w:t>日起至</w:t>
      </w:r>
      <w:r>
        <w:rPr>
          <w:rFonts w:hint="eastAsia" w:ascii="仿宋_GB2312" w:eastAsia="仿宋_GB2312" w:cs="仿宋_GB2312"/>
          <w:color w:val="auto"/>
          <w:sz w:val="24"/>
          <w:u w:val="single"/>
        </w:rPr>
        <w:t xml:space="preserve"> 202</w:t>
      </w:r>
      <w:r>
        <w:rPr>
          <w:rFonts w:hint="eastAsia" w:ascii="仿宋_GB2312" w:eastAsia="仿宋_GB2312" w:cs="仿宋_GB2312"/>
          <w:color w:val="auto"/>
          <w:sz w:val="24"/>
          <w:u w:val="single"/>
          <w:lang w:val="en-US" w:eastAsia="zh-CN"/>
        </w:rPr>
        <w:t>7</w:t>
      </w:r>
      <w:r>
        <w:rPr>
          <w:rFonts w:hint="eastAsia" w:ascii="仿宋_GB2312" w:eastAsia="仿宋_GB2312" w:cs="仿宋_GB2312"/>
          <w:color w:val="auto"/>
          <w:sz w:val="24"/>
          <w:u w:val="single"/>
        </w:rPr>
        <w:t xml:space="preserve"> </w:t>
      </w:r>
      <w:r>
        <w:rPr>
          <w:rFonts w:hint="eastAsia" w:ascii="宋体" w:hAnsi="宋体" w:cs="宋体"/>
          <w:color w:val="auto"/>
          <w:sz w:val="24"/>
        </w:rPr>
        <w:t>年</w:t>
      </w:r>
      <w:r>
        <w:rPr>
          <w:rFonts w:hint="eastAsia" w:ascii="仿宋_GB2312" w:eastAsia="仿宋_GB2312" w:cs="仿宋_GB2312"/>
          <w:color w:val="auto"/>
          <w:sz w:val="24"/>
        </w:rPr>
        <w:t xml:space="preserve"> </w:t>
      </w:r>
      <w:r>
        <w:rPr>
          <w:rFonts w:hint="eastAsia" w:ascii="仿宋_GB2312" w:eastAsia="仿宋_GB2312" w:cs="仿宋_GB2312"/>
          <w:color w:val="auto"/>
          <w:sz w:val="24"/>
          <w:u w:val="single"/>
        </w:rPr>
        <w:t xml:space="preserve"> </w:t>
      </w:r>
      <w:r>
        <w:rPr>
          <w:rFonts w:hint="eastAsia" w:ascii="仿宋_GB2312" w:eastAsia="仿宋_GB2312" w:cs="仿宋_GB2312"/>
          <w:color w:val="auto"/>
          <w:sz w:val="24"/>
          <w:u w:val="single"/>
          <w:lang w:val="en-US" w:eastAsia="zh-CN"/>
        </w:rPr>
        <w:t>3</w:t>
      </w:r>
      <w:r>
        <w:rPr>
          <w:rFonts w:hint="eastAsia" w:ascii="仿宋_GB2312" w:eastAsia="仿宋_GB2312" w:cs="仿宋_GB2312"/>
          <w:color w:val="auto"/>
          <w:sz w:val="24"/>
          <w:u w:val="single"/>
        </w:rPr>
        <w:t xml:space="preserve"> </w:t>
      </w:r>
      <w:r>
        <w:rPr>
          <w:rFonts w:hint="eastAsia" w:ascii="宋体" w:hAnsi="宋体" w:cs="宋体"/>
          <w:color w:val="auto"/>
          <w:sz w:val="24"/>
        </w:rPr>
        <w:t>月</w:t>
      </w:r>
      <w:r>
        <w:rPr>
          <w:rFonts w:hint="eastAsia" w:ascii="仿宋_GB2312" w:eastAsia="仿宋_GB2312" w:cs="仿宋_GB2312"/>
          <w:color w:val="auto"/>
          <w:sz w:val="24"/>
          <w:u w:val="single"/>
        </w:rPr>
        <w:t xml:space="preserve"> 31 </w:t>
      </w:r>
      <w:r>
        <w:rPr>
          <w:rFonts w:hint="eastAsia" w:ascii="宋体" w:hAnsi="宋体" w:cs="宋体"/>
          <w:color w:val="auto"/>
          <w:sz w:val="24"/>
        </w:rPr>
        <w:t>日止，共计</w:t>
      </w:r>
      <w:r>
        <w:rPr>
          <w:rFonts w:hint="eastAsia" w:ascii="宋体" w:hAnsi="宋体" w:cs="宋体"/>
          <w:color w:val="auto"/>
          <w:sz w:val="24"/>
          <w:lang w:val="en-US" w:eastAsia="zh-CN"/>
        </w:rPr>
        <w:t>151</w:t>
      </w:r>
      <w:r>
        <w:rPr>
          <w:rFonts w:hint="eastAsia" w:ascii="宋体" w:hAnsi="宋体" w:cs="宋体"/>
          <w:color w:val="auto"/>
          <w:sz w:val="24"/>
        </w:rPr>
        <w:t>日历天。</w:t>
      </w:r>
      <w:r>
        <w:rPr>
          <w:rFonts w:hint="eastAsia" w:ascii="宋体" w:hAnsi="宋体" w:cs="宋体"/>
          <w:sz w:val="24"/>
        </w:rPr>
        <w:t>乙方在供热运营项目合同有效期内提出解除合同的，应当在供热期结束后一个月内提出书面申请，甲方应当自收到申请之日起十五日内作出书面答复</w:t>
      </w:r>
      <w:r>
        <w:rPr>
          <w:rFonts w:hint="eastAsia" w:ascii="仿宋_GB2312" w:eastAsia="仿宋_GB2312" w:cs="仿宋_GB2312"/>
          <w:sz w:val="24"/>
        </w:rPr>
        <w:t>,</w:t>
      </w:r>
      <w:r>
        <w:rPr>
          <w:rFonts w:hint="eastAsia" w:ascii="宋体" w:hAnsi="宋体" w:cs="宋体"/>
          <w:sz w:val="24"/>
        </w:rPr>
        <w:t>逾期答复视为甲方同意解除，应及时与乙方办理交接手续，否则由此产生的一切不利后果由甲方自行承担。</w:t>
      </w:r>
    </w:p>
    <w:p w14:paraId="17AF1CB4">
      <w:pPr>
        <w:spacing w:line="480" w:lineRule="auto"/>
        <w:ind w:firstLine="480"/>
        <w:jc w:val="left"/>
        <w:rPr>
          <w:rFonts w:hint="eastAsia" w:ascii="宋体" w:cs="宋体"/>
          <w:sz w:val="24"/>
        </w:rPr>
      </w:pPr>
      <w:r>
        <w:rPr>
          <w:rFonts w:hint="eastAsia" w:ascii="宋体" w:hAnsi="宋体" w:cs="宋体"/>
          <w:sz w:val="24"/>
        </w:rPr>
        <w:t>甲方同意解除供热运营项目合同前，乙方应当保证正常的经营与服务。</w:t>
      </w:r>
    </w:p>
    <w:p w14:paraId="5ECE4798">
      <w:pPr>
        <w:spacing w:line="480" w:lineRule="auto"/>
        <w:ind w:firstLine="480"/>
        <w:jc w:val="left"/>
        <w:rPr>
          <w:rFonts w:hint="eastAsia" w:ascii="仿宋_GB2312" w:eastAsia="仿宋_GB2312" w:cs="仿宋_GB2312"/>
          <w:sz w:val="24"/>
        </w:rPr>
      </w:pPr>
      <w:r>
        <w:rPr>
          <w:rFonts w:hint="eastAsia" w:ascii="宋体" w:hAnsi="宋体" w:cs="宋体"/>
          <w:sz w:val="24"/>
        </w:rPr>
        <w:t>乙方因甲方违约提前解除协议的，不受上述条款约束。</w:t>
      </w:r>
    </w:p>
    <w:p w14:paraId="465637DA">
      <w:pPr>
        <w:spacing w:line="480" w:lineRule="auto"/>
        <w:ind w:firstLine="241"/>
        <w:jc w:val="left"/>
        <w:rPr>
          <w:rFonts w:hint="eastAsia" w:ascii="仿宋_GB2312" w:eastAsia="仿宋_GB2312" w:cs="仿宋_GB2312"/>
          <w:b/>
          <w:sz w:val="24"/>
        </w:rPr>
      </w:pPr>
      <w:r>
        <w:rPr>
          <w:rFonts w:hint="eastAsia" w:ascii="仿宋_GB2312" w:eastAsia="仿宋_GB2312" w:cs="仿宋_GB2312"/>
          <w:b/>
          <w:sz w:val="24"/>
        </w:rPr>
        <w:t xml:space="preserve">4.2  </w:t>
      </w:r>
      <w:r>
        <w:rPr>
          <w:rFonts w:hint="eastAsia" w:ascii="宋体" w:hAnsi="宋体" w:cs="宋体"/>
          <w:b/>
          <w:sz w:val="24"/>
        </w:rPr>
        <w:t>经营期限的续展</w:t>
      </w:r>
    </w:p>
    <w:p w14:paraId="5063772F">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 xml:space="preserve"> 1</w:t>
      </w:r>
      <w:r>
        <w:rPr>
          <w:rFonts w:hint="eastAsia" w:ascii="宋体" w:hAnsi="宋体" w:cs="宋体"/>
          <w:sz w:val="24"/>
        </w:rPr>
        <w:t>、经营期限可按照法律规定的条件和程序续展，同等条件下乙方有续展优先权。</w:t>
      </w:r>
    </w:p>
    <w:p w14:paraId="1B50CF8A">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 xml:space="preserve"> 2</w:t>
      </w:r>
      <w:r>
        <w:rPr>
          <w:rFonts w:hint="eastAsia" w:ascii="宋体" w:hAnsi="宋体" w:cs="宋体"/>
          <w:sz w:val="24"/>
        </w:rPr>
        <w:t>、乙方需于经营期限届满前一个月提出经营期限续展的申请，不提出或者逾期提出的，视为乙方未提出，将于期限届满时终止。</w:t>
      </w:r>
    </w:p>
    <w:p w14:paraId="54B01FAF">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 xml:space="preserve"> 3</w:t>
      </w:r>
      <w:r>
        <w:rPr>
          <w:rFonts w:hint="eastAsia" w:ascii="宋体" w:hAnsi="宋体" w:cs="宋体"/>
          <w:sz w:val="24"/>
        </w:rPr>
        <w:t>、甲方应当在乙方经营期限续展申请提出后的</w:t>
      </w:r>
      <w:r>
        <w:rPr>
          <w:rFonts w:hint="eastAsia" w:ascii="仿宋_GB2312" w:eastAsia="仿宋_GB2312" w:cs="仿宋_GB2312"/>
          <w:sz w:val="24"/>
        </w:rPr>
        <w:t>1</w:t>
      </w:r>
      <w:r>
        <w:rPr>
          <w:rFonts w:hint="eastAsia" w:ascii="宋体" w:hAnsi="宋体" w:cs="宋体"/>
          <w:sz w:val="24"/>
        </w:rPr>
        <w:t>个月内做出是否准予续展的决定，逾期视为甲方同意乙方续展申请。</w:t>
      </w:r>
    </w:p>
    <w:p w14:paraId="19223963">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 xml:space="preserve"> 4</w:t>
      </w:r>
      <w:r>
        <w:rPr>
          <w:rFonts w:hint="eastAsia" w:ascii="宋体" w:hAnsi="宋体" w:cs="宋体"/>
          <w:sz w:val="24"/>
        </w:rPr>
        <w:t>、经营期限获得续展的，除甲乙双方另有约定外，本合同效力覆及续展期间。</w:t>
      </w:r>
    </w:p>
    <w:p w14:paraId="170E631E">
      <w:pPr>
        <w:numPr>
          <w:ilvl w:val="0"/>
          <w:numId w:val="17"/>
        </w:numPr>
        <w:spacing w:line="480" w:lineRule="auto"/>
        <w:ind w:firstLine="2409"/>
        <w:jc w:val="left"/>
        <w:rPr>
          <w:rFonts w:hint="eastAsia" w:ascii="宋体" w:cs="宋体"/>
          <w:b/>
          <w:sz w:val="24"/>
        </w:rPr>
      </w:pPr>
      <w:r>
        <w:rPr>
          <w:rFonts w:hint="eastAsia" w:ascii="仿宋_GB2312" w:eastAsia="Times New Roman"/>
          <w:b/>
          <w:sz w:val="24"/>
        </w:rPr>
        <w:t xml:space="preserve"> </w:t>
      </w:r>
      <w:r>
        <w:rPr>
          <w:rFonts w:hint="eastAsia" w:ascii="宋体" w:hAnsi="宋体" w:cs="宋体"/>
          <w:b/>
          <w:sz w:val="24"/>
        </w:rPr>
        <w:t>供热面积、服务费支付时间、金额及方式</w:t>
      </w:r>
    </w:p>
    <w:p w14:paraId="0265D82E">
      <w:pPr>
        <w:spacing w:line="480" w:lineRule="auto"/>
        <w:jc w:val="left"/>
        <w:rPr>
          <w:rFonts w:hint="eastAsia" w:ascii="仿宋_GB2312" w:eastAsia="仿宋_GB2312" w:cs="仿宋_GB2312"/>
          <w:sz w:val="24"/>
          <w:u w:val="single"/>
        </w:rPr>
      </w:pPr>
      <w:r>
        <w:rPr>
          <w:rFonts w:hint="eastAsia" w:ascii="仿宋_GB2312" w:eastAsia="仿宋_GB2312" w:cs="仿宋_GB2312"/>
          <w:b/>
          <w:sz w:val="24"/>
        </w:rPr>
        <w:t xml:space="preserve">    5.1</w:t>
      </w:r>
      <w:r>
        <w:rPr>
          <w:rFonts w:hint="eastAsia" w:ascii="宋体" w:hAnsi="宋体" w:cs="宋体"/>
          <w:sz w:val="24"/>
        </w:rPr>
        <w:t>供暖日期：</w:t>
      </w:r>
      <w:r>
        <w:rPr>
          <w:rFonts w:hint="eastAsia" w:ascii="宋体" w:hAnsi="宋体" w:cs="宋体"/>
          <w:color w:val="auto"/>
          <w:sz w:val="24"/>
          <w:u w:val="single"/>
        </w:rPr>
        <w:t>自</w:t>
      </w:r>
      <w:r>
        <w:rPr>
          <w:rFonts w:hint="eastAsia" w:ascii="仿宋_GB2312" w:eastAsia="仿宋_GB2312" w:cs="仿宋_GB2312"/>
          <w:color w:val="auto"/>
          <w:sz w:val="24"/>
          <w:u w:val="single"/>
        </w:rPr>
        <w:t>202</w:t>
      </w:r>
      <w:r>
        <w:rPr>
          <w:rFonts w:hint="eastAsia" w:ascii="仿宋_GB2312" w:eastAsia="仿宋_GB2312" w:cs="仿宋_GB2312"/>
          <w:color w:val="auto"/>
          <w:sz w:val="24"/>
          <w:u w:val="single"/>
          <w:lang w:val="en-US" w:eastAsia="zh-CN"/>
        </w:rPr>
        <w:t>6</w:t>
      </w:r>
      <w:r>
        <w:rPr>
          <w:rFonts w:hint="eastAsia" w:ascii="宋体" w:hAnsi="宋体" w:cs="宋体"/>
          <w:color w:val="auto"/>
          <w:sz w:val="24"/>
          <w:u w:val="single"/>
        </w:rPr>
        <w:t>年</w:t>
      </w:r>
      <w:r>
        <w:rPr>
          <w:rFonts w:hint="eastAsia" w:ascii="仿宋_GB2312" w:eastAsia="仿宋_GB2312" w:cs="仿宋_GB2312"/>
          <w:color w:val="auto"/>
          <w:sz w:val="24"/>
          <w:u w:val="single"/>
        </w:rPr>
        <w:t>11</w:t>
      </w:r>
      <w:r>
        <w:rPr>
          <w:rFonts w:hint="eastAsia" w:ascii="宋体" w:hAnsi="宋体" w:cs="宋体"/>
          <w:color w:val="auto"/>
          <w:sz w:val="24"/>
          <w:u w:val="single"/>
        </w:rPr>
        <w:t>月</w:t>
      </w:r>
      <w:r>
        <w:rPr>
          <w:rFonts w:hint="eastAsia" w:ascii="仿宋_GB2312" w:eastAsia="仿宋_GB2312" w:cs="仿宋_GB2312"/>
          <w:color w:val="auto"/>
          <w:sz w:val="24"/>
          <w:u w:val="single"/>
        </w:rPr>
        <w:t>1</w:t>
      </w:r>
      <w:r>
        <w:rPr>
          <w:rFonts w:hint="eastAsia" w:ascii="宋体" w:hAnsi="宋体" w:cs="宋体"/>
          <w:color w:val="auto"/>
          <w:sz w:val="24"/>
          <w:u w:val="single"/>
        </w:rPr>
        <w:t>日起</w:t>
      </w:r>
      <w:r>
        <w:rPr>
          <w:rFonts w:hint="eastAsia" w:ascii="仿宋_GB2312" w:eastAsia="仿宋_GB2312" w:cs="仿宋_GB2312"/>
          <w:color w:val="auto"/>
          <w:sz w:val="24"/>
          <w:u w:val="single"/>
        </w:rPr>
        <w:t>--202</w:t>
      </w:r>
      <w:r>
        <w:rPr>
          <w:rFonts w:hint="eastAsia" w:ascii="仿宋_GB2312" w:eastAsia="仿宋_GB2312" w:cs="仿宋_GB2312"/>
          <w:color w:val="auto"/>
          <w:sz w:val="24"/>
          <w:u w:val="single"/>
          <w:lang w:val="en-US" w:eastAsia="zh-CN"/>
        </w:rPr>
        <w:t>7</w:t>
      </w:r>
      <w:r>
        <w:rPr>
          <w:rFonts w:hint="eastAsia" w:ascii="宋体" w:hAnsi="宋体" w:cs="宋体"/>
          <w:color w:val="auto"/>
          <w:sz w:val="24"/>
          <w:u w:val="single"/>
        </w:rPr>
        <w:t>年</w:t>
      </w:r>
      <w:r>
        <w:rPr>
          <w:rFonts w:hint="eastAsia" w:ascii="宋体" w:hAnsi="宋体" w:cs="宋体"/>
          <w:color w:val="auto"/>
          <w:sz w:val="24"/>
          <w:u w:val="single"/>
          <w:lang w:val="en-US" w:eastAsia="zh-CN"/>
        </w:rPr>
        <w:t>3</w:t>
      </w:r>
      <w:r>
        <w:rPr>
          <w:rFonts w:hint="eastAsia" w:ascii="宋体" w:hAnsi="宋体" w:cs="宋体"/>
          <w:color w:val="auto"/>
          <w:sz w:val="24"/>
          <w:u w:val="single"/>
        </w:rPr>
        <w:t>月</w:t>
      </w:r>
      <w:r>
        <w:rPr>
          <w:rFonts w:hint="eastAsia" w:ascii="仿宋_GB2312" w:eastAsia="仿宋_GB2312" w:cs="仿宋_GB2312"/>
          <w:color w:val="auto"/>
          <w:sz w:val="24"/>
          <w:u w:val="single"/>
        </w:rPr>
        <w:t>31</w:t>
      </w:r>
      <w:r>
        <w:rPr>
          <w:rFonts w:hint="eastAsia" w:ascii="宋体" w:hAnsi="宋体" w:cs="宋体"/>
          <w:color w:val="auto"/>
          <w:sz w:val="24"/>
          <w:u w:val="single"/>
        </w:rPr>
        <w:t>日止，</w:t>
      </w:r>
      <w:r>
        <w:rPr>
          <w:rFonts w:hint="eastAsia" w:ascii="宋体" w:hAnsi="宋体" w:cs="宋体"/>
          <w:sz w:val="24"/>
          <w:u w:val="single"/>
        </w:rPr>
        <w:t>《北京市供热采暖管理办法》有特殊要求甲乙双方另行协商。</w:t>
      </w:r>
    </w:p>
    <w:p w14:paraId="7F8BB179">
      <w:pPr>
        <w:spacing w:line="480" w:lineRule="auto"/>
        <w:ind w:left="1443" w:hanging="964"/>
        <w:jc w:val="left"/>
        <w:rPr>
          <w:rFonts w:hint="eastAsia" w:ascii="宋体" w:hAnsi="宋体" w:cs="宋体"/>
          <w:sz w:val="24"/>
        </w:rPr>
      </w:pPr>
      <w:r>
        <w:rPr>
          <w:rFonts w:hint="eastAsia" w:ascii="仿宋_GB2312" w:eastAsia="仿宋_GB2312" w:cs="仿宋_GB2312"/>
          <w:b/>
          <w:sz w:val="24"/>
        </w:rPr>
        <w:t>5.2</w:t>
      </w:r>
      <w:r>
        <w:rPr>
          <w:rFonts w:hint="eastAsia" w:ascii="宋体" w:hAnsi="宋体" w:cs="宋体"/>
          <w:sz w:val="24"/>
        </w:rPr>
        <w:t>供热面积：</w:t>
      </w:r>
      <w:r>
        <w:rPr>
          <w:rFonts w:hint="eastAsia" w:ascii="宋体" w:hAnsi="宋体" w:cs="宋体"/>
          <w:sz w:val="24"/>
          <w:u w:val="single"/>
        </w:rPr>
        <w:t xml:space="preserve">46868.82㎡ </w:t>
      </w:r>
      <w:r>
        <w:rPr>
          <w:rFonts w:hint="eastAsia" w:ascii="宋体" w:hAnsi="宋体" w:cs="宋体"/>
          <w:sz w:val="24"/>
        </w:rPr>
        <w:t>。按照每平米</w:t>
      </w:r>
      <w:r>
        <w:rPr>
          <w:rFonts w:hint="eastAsia" w:ascii="宋体" w:hAnsi="宋体" w:cs="宋体"/>
          <w:sz w:val="24"/>
          <w:u w:val="single"/>
          <w:lang w:val="en-US" w:eastAsia="zh-CN"/>
        </w:rPr>
        <w:t xml:space="preserve">     </w:t>
      </w:r>
      <w:r>
        <w:rPr>
          <w:rFonts w:hint="eastAsia" w:ascii="宋体" w:hAnsi="宋体" w:cs="宋体"/>
          <w:sz w:val="24"/>
        </w:rPr>
        <w:t>元一平米计算，低于北京市非居民供热价格非城区每平米43元的规定。</w:t>
      </w:r>
    </w:p>
    <w:p w14:paraId="6C788949">
      <w:pPr>
        <w:spacing w:line="480" w:lineRule="auto"/>
        <w:ind w:firstLine="482"/>
        <w:jc w:val="left"/>
        <w:rPr>
          <w:rFonts w:hint="eastAsia" w:ascii="宋体" w:hAnsi="宋体" w:cs="宋体"/>
          <w:sz w:val="24"/>
        </w:rPr>
      </w:pPr>
      <w:r>
        <w:rPr>
          <w:rFonts w:hint="eastAsia" w:ascii="仿宋_GB2312" w:eastAsia="仿宋_GB2312" w:cs="仿宋_GB2312"/>
          <w:b/>
          <w:sz w:val="24"/>
        </w:rPr>
        <w:t>5.3</w:t>
      </w:r>
      <w:r>
        <w:rPr>
          <w:rFonts w:hint="eastAsia" w:ascii="宋体" w:hAnsi="宋体" w:cs="宋体"/>
          <w:sz w:val="24"/>
        </w:rPr>
        <w:t>合同金额：</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u w:val="single"/>
        </w:rPr>
        <w:t>元（人民币大写：</w:t>
      </w:r>
      <w:r>
        <w:rPr>
          <w:rFonts w:hint="eastAsia" w:ascii="宋体" w:hAnsi="宋体" w:cs="宋体"/>
          <w:sz w:val="24"/>
          <w:u w:val="single"/>
          <w:lang w:val="en-US" w:eastAsia="zh-CN"/>
        </w:rPr>
        <w:t xml:space="preserve">       </w:t>
      </w:r>
      <w:r>
        <w:rPr>
          <w:rFonts w:hint="eastAsia" w:ascii="宋体" w:hAnsi="宋体" w:cs="宋体"/>
          <w:sz w:val="24"/>
          <w:u w:val="single"/>
        </w:rPr>
        <w:t>）</w:t>
      </w:r>
    </w:p>
    <w:p w14:paraId="40988295">
      <w:pPr>
        <w:spacing w:line="480" w:lineRule="auto"/>
        <w:ind w:firstLine="482"/>
        <w:jc w:val="left"/>
        <w:rPr>
          <w:rFonts w:hint="eastAsia" w:ascii="宋体" w:hAnsi="宋体" w:eastAsia="宋体" w:cs="宋体"/>
          <w:sz w:val="24"/>
          <w:highlight w:val="yellow"/>
          <w:lang w:eastAsia="zh-CN"/>
        </w:rPr>
      </w:pPr>
      <w:r>
        <w:rPr>
          <w:rFonts w:hint="eastAsia" w:ascii="仿宋_GB2312" w:eastAsia="仿宋_GB2312" w:cs="仿宋_GB2312"/>
          <w:b/>
          <w:sz w:val="24"/>
        </w:rPr>
        <w:t>5.4</w:t>
      </w:r>
      <w:r>
        <w:rPr>
          <w:rFonts w:hint="eastAsia" w:ascii="宋体" w:hAnsi="宋体" w:cs="宋体"/>
          <w:color w:val="auto"/>
          <w:sz w:val="24"/>
        </w:rPr>
        <w:t>服务费支付方式及时间：取暖费分</w:t>
      </w:r>
      <w:r>
        <w:rPr>
          <w:rFonts w:hint="eastAsia" w:ascii="仿宋_GB2312" w:eastAsia="仿宋_GB2312" w:cs="仿宋_GB2312"/>
          <w:color w:val="auto"/>
          <w:sz w:val="24"/>
          <w:u w:val="single"/>
        </w:rPr>
        <w:t xml:space="preserve"> </w:t>
      </w:r>
      <w:r>
        <w:rPr>
          <w:rFonts w:hint="eastAsia" w:ascii="仿宋_GB2312" w:eastAsia="仿宋_GB2312" w:cs="仿宋_GB2312"/>
          <w:color w:val="auto"/>
          <w:sz w:val="24"/>
          <w:u w:val="single"/>
          <w:lang w:val="en-US" w:eastAsia="zh-CN"/>
        </w:rPr>
        <w:t>二</w:t>
      </w:r>
      <w:r>
        <w:rPr>
          <w:rFonts w:hint="eastAsia" w:ascii="仿宋_GB2312" w:eastAsia="仿宋_GB2312" w:cs="仿宋_GB2312"/>
          <w:color w:val="auto"/>
          <w:sz w:val="24"/>
          <w:u w:val="single"/>
        </w:rPr>
        <w:t xml:space="preserve"> </w:t>
      </w:r>
      <w:r>
        <w:rPr>
          <w:rFonts w:hint="eastAsia" w:ascii="宋体" w:hAnsi="宋体" w:cs="宋体"/>
          <w:color w:val="auto"/>
          <w:sz w:val="24"/>
        </w:rPr>
        <w:t>次付清。</w:t>
      </w:r>
      <w:r>
        <w:rPr>
          <w:rFonts w:hint="eastAsia" w:ascii="宋体" w:hAnsi="宋体" w:cs="宋体"/>
          <w:color w:val="auto"/>
          <w:sz w:val="24"/>
          <w:lang w:val="en-US" w:eastAsia="zh-CN"/>
        </w:rPr>
        <w:t>合同签订一周日内支付合同总价的50%,剩余合同款待合同结束后一个月内支付。</w:t>
      </w:r>
      <w:r>
        <w:rPr>
          <w:rFonts w:hint="eastAsia" w:ascii="宋体" w:hAnsi="宋体" w:cs="宋体"/>
          <w:color w:val="auto"/>
          <w:sz w:val="24"/>
        </w:rPr>
        <w:t>乙方需提供等额增值税普通发票</w:t>
      </w:r>
      <w:r>
        <w:rPr>
          <w:rFonts w:hint="eastAsia" w:ascii="宋体" w:hAnsi="宋体" w:cs="宋体"/>
          <w:color w:val="auto"/>
          <w:sz w:val="24"/>
          <w:lang w:val="en-US" w:eastAsia="zh-CN"/>
        </w:rPr>
        <w:t>后</w:t>
      </w:r>
      <w:r>
        <w:rPr>
          <w:rFonts w:hint="eastAsia" w:ascii="宋体" w:hAnsi="宋体" w:cs="宋体"/>
          <w:color w:val="auto"/>
          <w:sz w:val="24"/>
        </w:rPr>
        <w:t>甲方付款。</w:t>
      </w:r>
    </w:p>
    <w:p w14:paraId="30A21D21">
      <w:pPr>
        <w:numPr>
          <w:ilvl w:val="0"/>
          <w:numId w:val="0"/>
        </w:numPr>
        <w:spacing w:line="560" w:lineRule="exact"/>
        <w:ind w:firstLine="480" w:firstLineChars="200"/>
        <w:rPr>
          <w:rFonts w:hint="default" w:ascii="仿宋" w:hAnsi="仿宋" w:eastAsia="仿宋" w:cs="宋体"/>
          <w:color w:val="auto"/>
          <w:sz w:val="28"/>
          <w:szCs w:val="28"/>
          <w:highlight w:val="none"/>
          <w:lang w:val="en-US" w:eastAsia="zh-CN"/>
        </w:rPr>
      </w:pPr>
      <w:r>
        <w:rPr>
          <w:rFonts w:hint="eastAsia" w:ascii="宋体" w:hAnsi="宋体" w:cs="宋体"/>
          <w:color w:val="auto"/>
          <w:sz w:val="24"/>
          <w:lang w:val="en-US" w:eastAsia="zh-CN"/>
        </w:rPr>
        <w:t>5.5鉴于甲方付款依托于财政拨款，如遇财政拨款计划有变动，以款项实际到账金额、时间为准。因财政拨款变动导致甲方实际付款时间迟于合同约定的，不构成甲方违约，甲方无需承担任何责任。</w:t>
      </w:r>
      <w:r>
        <w:rPr>
          <w:rFonts w:hint="eastAsia" w:ascii="宋体" w:hAnsi="宋体" w:eastAsia="宋体" w:cs="宋体"/>
          <w:color w:val="auto"/>
          <w:kern w:val="0"/>
          <w:sz w:val="24"/>
          <w:szCs w:val="24"/>
          <w:lang w:val="en-US" w:eastAsia="zh-CN"/>
        </w:rPr>
        <w:t>由于乙方的原因造成甲方损失，全部由乙方负责。乙方未按照合同要求完成服务的，甲方有权在结算时扣除合同额</w:t>
      </w:r>
      <w:r>
        <w:rPr>
          <w:rFonts w:hint="eastAsia" w:ascii="宋体" w:hAnsi="宋体" w:eastAsia="宋体" w:cs="宋体"/>
          <w:color w:val="auto"/>
          <w:kern w:val="0"/>
          <w:sz w:val="24"/>
          <w:szCs w:val="24"/>
          <w:u w:val="single"/>
          <w:lang w:val="en-US" w:eastAsia="zh-CN"/>
        </w:rPr>
        <w:t>10</w:t>
      </w:r>
      <w:r>
        <w:rPr>
          <w:rFonts w:hint="eastAsia" w:ascii="宋体" w:hAnsi="宋体" w:eastAsia="宋体" w:cs="宋体"/>
          <w:color w:val="auto"/>
          <w:kern w:val="0"/>
          <w:sz w:val="24"/>
          <w:szCs w:val="24"/>
          <w:lang w:val="en-US" w:eastAsia="zh-CN"/>
        </w:rPr>
        <w:t>%的违约金。付款前，乙方应当向甲方提供等额正规发票，甲方根据发票金额付款，否则甲方可以拒绝付款且不承担任何责任。</w:t>
      </w:r>
    </w:p>
    <w:p w14:paraId="4BDC538D">
      <w:pPr>
        <w:spacing w:line="480" w:lineRule="auto"/>
        <w:ind w:firstLine="482"/>
        <w:jc w:val="left"/>
        <w:rPr>
          <w:rFonts w:hint="default" w:ascii="宋体" w:hAnsi="宋体" w:eastAsia="宋体" w:cs="宋体"/>
          <w:color w:val="auto"/>
          <w:sz w:val="24"/>
          <w:lang w:val="en-US" w:eastAsia="zh-CN"/>
        </w:rPr>
      </w:pPr>
    </w:p>
    <w:p w14:paraId="7170C769">
      <w:pPr>
        <w:numPr>
          <w:ilvl w:val="0"/>
          <w:numId w:val="17"/>
        </w:numPr>
        <w:spacing w:line="480" w:lineRule="auto"/>
        <w:ind w:firstLine="2409"/>
        <w:jc w:val="left"/>
        <w:rPr>
          <w:rFonts w:hint="eastAsia" w:ascii="仿宋_GB2312" w:hAnsi="Calibri" w:eastAsia="Times New Roman"/>
          <w:b/>
          <w:sz w:val="24"/>
        </w:rPr>
      </w:pPr>
      <w:r>
        <w:rPr>
          <w:rFonts w:hint="eastAsia" w:ascii="仿宋_GB2312" w:hAnsi="Calibri" w:eastAsia="Times New Roman"/>
          <w:b/>
          <w:sz w:val="24"/>
        </w:rPr>
        <w:t xml:space="preserve"> </w:t>
      </w:r>
      <w:r>
        <w:rPr>
          <w:rFonts w:hint="eastAsia" w:ascii="宋体" w:hAnsi="宋体" w:cs="宋体"/>
          <w:b/>
          <w:sz w:val="24"/>
        </w:rPr>
        <w:t>经营权范围与扩展</w:t>
      </w:r>
    </w:p>
    <w:p w14:paraId="7AAE4494">
      <w:pPr>
        <w:tabs>
          <w:tab w:val="center" w:pos="4857"/>
        </w:tabs>
        <w:spacing w:line="480" w:lineRule="auto"/>
        <w:ind w:firstLine="482"/>
        <w:rPr>
          <w:rFonts w:hint="eastAsia" w:ascii="仿宋_GB2312" w:eastAsia="仿宋_GB2312" w:cs="仿宋_GB2312"/>
          <w:b/>
          <w:sz w:val="24"/>
        </w:rPr>
      </w:pPr>
      <w:r>
        <w:rPr>
          <w:rFonts w:hint="eastAsia" w:ascii="仿宋_GB2312" w:eastAsia="仿宋_GB2312" w:cs="仿宋_GB2312"/>
          <w:b/>
          <w:sz w:val="24"/>
        </w:rPr>
        <w:t>6.1</w:t>
      </w:r>
      <w:r>
        <w:rPr>
          <w:rFonts w:hint="eastAsia" w:ascii="宋体" w:hAnsi="宋体" w:cs="宋体"/>
          <w:b/>
          <w:sz w:val="24"/>
        </w:rPr>
        <w:t>经营权地域范围</w:t>
      </w:r>
      <w:r>
        <w:rPr>
          <w:rFonts w:hint="eastAsia" w:ascii="仿宋_GB2312" w:eastAsia="仿宋_GB2312" w:cs="仿宋_GB2312"/>
          <w:b/>
          <w:sz w:val="24"/>
        </w:rPr>
        <w:tab/>
      </w:r>
    </w:p>
    <w:p w14:paraId="229DA431">
      <w:pPr>
        <w:tabs>
          <w:tab w:val="center" w:pos="4857"/>
        </w:tabs>
        <w:spacing w:line="480" w:lineRule="auto"/>
        <w:ind w:firstLine="480"/>
        <w:rPr>
          <w:rFonts w:hint="eastAsia" w:ascii="宋体" w:cs="宋体"/>
          <w:sz w:val="24"/>
        </w:rPr>
      </w:pPr>
      <w:r>
        <w:rPr>
          <w:rFonts w:hint="eastAsia" w:ascii="宋体" w:hAnsi="宋体" w:cs="宋体"/>
          <w:sz w:val="24"/>
        </w:rPr>
        <w:t>甲方根据本合同确定授予乙方对下列区域享有供热经营权：</w:t>
      </w:r>
    </w:p>
    <w:p w14:paraId="3C7E5A29">
      <w:pPr>
        <w:tabs>
          <w:tab w:val="center" w:pos="4857"/>
        </w:tabs>
        <w:spacing w:line="480" w:lineRule="auto"/>
        <w:ind w:firstLine="480"/>
        <w:rPr>
          <w:rFonts w:hint="eastAsia" w:ascii="仿宋_GB2312" w:eastAsia="仿宋_GB2312" w:cs="仿宋_GB2312"/>
          <w:sz w:val="24"/>
        </w:rPr>
      </w:pPr>
      <w:r>
        <w:rPr>
          <w:rFonts w:hint="eastAsia" w:ascii="宋体" w:hAnsi="宋体" w:cs="宋体"/>
          <w:sz w:val="24"/>
        </w:rPr>
        <w:t>合同签订之日起，乙方负责</w:t>
      </w:r>
      <w:r>
        <w:rPr>
          <w:rFonts w:hint="eastAsia" w:ascii="宋体" w:hAnsi="宋体" w:cs="宋体"/>
          <w:sz w:val="24"/>
          <w:u w:val="single"/>
        </w:rPr>
        <w:t>北京市顺义牛栏山第一中学板桥学校</w:t>
      </w:r>
      <w:r>
        <w:rPr>
          <w:rFonts w:hint="eastAsia" w:ascii="宋体" w:hAnsi="宋体" w:cs="宋体"/>
          <w:sz w:val="24"/>
        </w:rPr>
        <w:t xml:space="preserve">                     供暖事宜。</w:t>
      </w:r>
    </w:p>
    <w:p w14:paraId="2132AF7C">
      <w:pPr>
        <w:spacing w:line="480" w:lineRule="auto"/>
        <w:ind w:firstLine="482"/>
        <w:rPr>
          <w:rFonts w:hint="eastAsia" w:ascii="仿宋_GB2312" w:eastAsia="仿宋_GB2312" w:cs="仿宋_GB2312"/>
          <w:sz w:val="24"/>
        </w:rPr>
      </w:pPr>
      <w:r>
        <w:rPr>
          <w:rFonts w:hint="eastAsia" w:ascii="仿宋_GB2312" w:eastAsia="仿宋_GB2312" w:cs="仿宋_GB2312"/>
          <w:b/>
          <w:sz w:val="24"/>
        </w:rPr>
        <w:t xml:space="preserve">6.2  </w:t>
      </w:r>
      <w:r>
        <w:rPr>
          <w:rFonts w:hint="eastAsia" w:ascii="宋体" w:hAnsi="宋体" w:cs="宋体"/>
          <w:b/>
          <w:sz w:val="24"/>
        </w:rPr>
        <w:t>经营权地域范围的扩展</w:t>
      </w:r>
    </w:p>
    <w:p w14:paraId="2C25DCE9">
      <w:pPr>
        <w:spacing w:line="480" w:lineRule="auto"/>
        <w:ind w:firstLine="480"/>
        <w:rPr>
          <w:rFonts w:hint="eastAsia" w:ascii="仿宋_GB2312" w:eastAsia="仿宋_GB2312" w:cs="仿宋_GB2312"/>
          <w:sz w:val="24"/>
        </w:rPr>
      </w:pPr>
      <w:r>
        <w:rPr>
          <w:rFonts w:hint="eastAsia" w:ascii="宋体" w:hAnsi="宋体" w:cs="宋体"/>
          <w:sz w:val="24"/>
        </w:rPr>
        <w:t>未经甲方同意，乙方不得擅自拓展经营权地域范围。</w:t>
      </w:r>
    </w:p>
    <w:p w14:paraId="303D8922">
      <w:pPr>
        <w:spacing w:line="480" w:lineRule="auto"/>
        <w:ind w:firstLine="482"/>
        <w:rPr>
          <w:rFonts w:hint="eastAsia" w:ascii="仿宋_GB2312" w:eastAsia="仿宋_GB2312" w:cs="仿宋_GB2312"/>
          <w:b/>
          <w:sz w:val="24"/>
        </w:rPr>
      </w:pPr>
      <w:r>
        <w:rPr>
          <w:rFonts w:hint="eastAsia" w:ascii="仿宋_GB2312" w:eastAsia="仿宋_GB2312" w:cs="仿宋_GB2312"/>
          <w:b/>
          <w:sz w:val="24"/>
        </w:rPr>
        <w:t xml:space="preserve">6.3  </w:t>
      </w:r>
      <w:r>
        <w:rPr>
          <w:rFonts w:hint="eastAsia" w:ascii="宋体" w:hAnsi="宋体" w:cs="宋体"/>
          <w:b/>
          <w:sz w:val="24"/>
        </w:rPr>
        <w:t>经营权范围</w:t>
      </w:r>
    </w:p>
    <w:p w14:paraId="7E60F648">
      <w:pPr>
        <w:spacing w:line="480" w:lineRule="auto"/>
        <w:ind w:firstLine="480"/>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本合同规定之经营权的范围为在规定的经营期限和地域范围内，乙方对该地域供热的运营。</w:t>
      </w:r>
    </w:p>
    <w:p w14:paraId="358DDDE7">
      <w:pPr>
        <w:spacing w:line="480" w:lineRule="auto"/>
        <w:rPr>
          <w:rFonts w:hint="eastAsia" w:ascii="仿宋_GB2312" w:eastAsia="仿宋_GB2312" w:cs="仿宋_GB2312"/>
          <w:b/>
          <w:sz w:val="24"/>
        </w:rPr>
      </w:pPr>
      <w:r>
        <w:rPr>
          <w:rFonts w:hint="eastAsia" w:ascii="仿宋_GB2312" w:eastAsia="仿宋_GB2312" w:cs="仿宋_GB2312"/>
          <w:b/>
          <w:sz w:val="24"/>
        </w:rPr>
        <w:t xml:space="preserve">    6.4  </w:t>
      </w:r>
      <w:r>
        <w:rPr>
          <w:rFonts w:hint="eastAsia" w:ascii="宋体" w:hAnsi="宋体" w:cs="宋体"/>
          <w:b/>
          <w:sz w:val="24"/>
        </w:rPr>
        <w:t>经营权范围的调整</w:t>
      </w:r>
    </w:p>
    <w:p w14:paraId="5CD74C15">
      <w:pPr>
        <w:spacing w:line="480" w:lineRule="auto"/>
        <w:ind w:firstLine="480"/>
        <w:rPr>
          <w:rFonts w:hint="eastAsia" w:ascii="仿宋_GB2312" w:eastAsia="仿宋_GB2312" w:cs="仿宋_GB2312"/>
          <w:sz w:val="24"/>
        </w:rPr>
      </w:pPr>
      <w:r>
        <w:rPr>
          <w:rFonts w:hint="eastAsia" w:ascii="宋体" w:hAnsi="宋体" w:cs="宋体"/>
          <w:sz w:val="24"/>
        </w:rPr>
        <w:t>经营期间，如遇因甲方不可抗力原因确实需要调整乙方经营权业务范围的情况，甲方应向乙方出示相关证明文件，乙方应予配合。</w:t>
      </w:r>
    </w:p>
    <w:p w14:paraId="3A87D288">
      <w:pPr>
        <w:numPr>
          <w:ilvl w:val="0"/>
          <w:numId w:val="17"/>
        </w:numPr>
        <w:spacing w:line="480" w:lineRule="auto"/>
        <w:ind w:firstLine="2409"/>
        <w:jc w:val="left"/>
        <w:rPr>
          <w:rFonts w:hint="eastAsia" w:ascii="仿宋_GB2312" w:hAnsi="Calibri" w:eastAsia="Times New Roman"/>
          <w:b/>
          <w:sz w:val="24"/>
        </w:rPr>
      </w:pPr>
      <w:r>
        <w:rPr>
          <w:rFonts w:hint="eastAsia" w:ascii="仿宋_GB2312" w:hAnsi="Calibri" w:eastAsia="Times New Roman"/>
          <w:b/>
          <w:sz w:val="24"/>
        </w:rPr>
        <w:t xml:space="preserve"> </w:t>
      </w:r>
      <w:r>
        <w:rPr>
          <w:rFonts w:hint="eastAsia" w:ascii="宋体" w:hAnsi="宋体" w:cs="宋体"/>
          <w:b/>
          <w:sz w:val="24"/>
        </w:rPr>
        <w:t>经营权的实施</w:t>
      </w:r>
    </w:p>
    <w:p w14:paraId="12209F2B">
      <w:pPr>
        <w:spacing w:line="480" w:lineRule="auto"/>
        <w:ind w:firstLine="482"/>
        <w:rPr>
          <w:rFonts w:hint="eastAsia" w:ascii="仿宋_GB2312" w:eastAsia="仿宋_GB2312" w:cs="仿宋_GB2312"/>
          <w:b/>
          <w:sz w:val="24"/>
        </w:rPr>
      </w:pPr>
      <w:r>
        <w:rPr>
          <w:rFonts w:hint="eastAsia" w:ascii="仿宋_GB2312" w:eastAsia="仿宋_GB2312" w:cs="仿宋_GB2312"/>
          <w:b/>
          <w:sz w:val="24"/>
        </w:rPr>
        <w:t xml:space="preserve">7.1  </w:t>
      </w:r>
      <w:r>
        <w:rPr>
          <w:rFonts w:hint="eastAsia" w:ascii="宋体" w:hAnsi="宋体" w:cs="宋体"/>
          <w:b/>
          <w:sz w:val="24"/>
        </w:rPr>
        <w:t>不妨碍使用</w:t>
      </w:r>
    </w:p>
    <w:p w14:paraId="24BE420F">
      <w:pPr>
        <w:spacing w:line="480" w:lineRule="auto"/>
        <w:ind w:firstLine="480"/>
        <w:rPr>
          <w:rFonts w:hint="eastAsia" w:ascii="仿宋_GB2312" w:eastAsia="仿宋_GB2312" w:cs="仿宋_GB2312"/>
          <w:b/>
          <w:sz w:val="24"/>
        </w:rPr>
      </w:pPr>
      <w:r>
        <w:rPr>
          <w:rFonts w:hint="eastAsia" w:ascii="宋体" w:hAnsi="宋体" w:cs="宋体"/>
          <w:sz w:val="24"/>
        </w:rPr>
        <w:t>在经营期间，甲方承诺不将本项目经营权授予第三者或无故终止经营权，并承诺不会无故减少乙方经营权范围或妨碍经营权的实施，但本合同规定的经营权终止和撤销的情况除外。</w:t>
      </w:r>
    </w:p>
    <w:p w14:paraId="36F19C69">
      <w:pPr>
        <w:numPr>
          <w:ilvl w:val="0"/>
          <w:numId w:val="17"/>
        </w:numPr>
        <w:spacing w:line="480" w:lineRule="auto"/>
        <w:ind w:firstLine="1880"/>
        <w:jc w:val="left"/>
        <w:rPr>
          <w:rFonts w:hint="eastAsia" w:ascii="宋体" w:cs="宋体"/>
          <w:b/>
          <w:sz w:val="24"/>
        </w:rPr>
      </w:pPr>
      <w:r>
        <w:rPr>
          <w:rFonts w:hint="eastAsia" w:ascii="宋体" w:hAnsi="宋体" w:cs="宋体"/>
          <w:b/>
          <w:sz w:val="24"/>
        </w:rPr>
        <w:t xml:space="preserve"> 项目资产及经营权的转让、出租、抵押或质押</w:t>
      </w:r>
    </w:p>
    <w:p w14:paraId="721D070E">
      <w:pPr>
        <w:spacing w:line="480" w:lineRule="auto"/>
        <w:jc w:val="left"/>
        <w:rPr>
          <w:rFonts w:hint="eastAsia" w:ascii="仿宋_GB2312" w:eastAsia="仿宋_GB2312" w:cs="仿宋_GB2312"/>
          <w:b/>
          <w:sz w:val="24"/>
        </w:rPr>
      </w:pPr>
      <w:r>
        <w:rPr>
          <w:rFonts w:hint="eastAsia" w:ascii="仿宋_GB2312" w:eastAsia="仿宋_GB2312" w:cs="仿宋_GB2312"/>
          <w:sz w:val="24"/>
        </w:rPr>
        <w:t xml:space="preserve"> </w:t>
      </w:r>
      <w:r>
        <w:rPr>
          <w:rFonts w:hint="eastAsia" w:ascii="仿宋_GB2312" w:eastAsia="仿宋_GB2312" w:cs="仿宋_GB2312"/>
          <w:b/>
          <w:sz w:val="24"/>
        </w:rPr>
        <w:t xml:space="preserve">   8.1  </w:t>
      </w:r>
      <w:r>
        <w:rPr>
          <w:rFonts w:hint="eastAsia" w:ascii="宋体" w:hAnsi="宋体" w:cs="宋体"/>
          <w:b/>
          <w:sz w:val="24"/>
        </w:rPr>
        <w:t>项目资产及经营权的转让、出租、抵押或质押</w:t>
      </w:r>
      <w:r>
        <w:rPr>
          <w:rFonts w:hint="eastAsia" w:ascii="仿宋_GB2312" w:eastAsia="仿宋_GB2312" w:cs="仿宋_GB2312"/>
          <w:b/>
          <w:sz w:val="24"/>
        </w:rPr>
        <w:t xml:space="preserve">  </w:t>
      </w:r>
    </w:p>
    <w:p w14:paraId="56D4A360">
      <w:pPr>
        <w:spacing w:line="480" w:lineRule="auto"/>
        <w:jc w:val="left"/>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除非本合同另有规定并经甲方批准，在经营期限内，乙方不得以任何形式转让经营权。经甲方批准而发生的经营权或相关权益有转让的，本合同中的相应的权利和义务同时转让，由受让人履行本合同。</w:t>
      </w:r>
    </w:p>
    <w:p w14:paraId="2E813D61">
      <w:pPr>
        <w:spacing w:line="480" w:lineRule="auto"/>
        <w:jc w:val="left"/>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在经营期间，未经甲方批准，乙方不得将经营权及相关权益进行出租、抵押或质押。</w:t>
      </w:r>
    </w:p>
    <w:p w14:paraId="6F2F1481">
      <w:pPr>
        <w:numPr>
          <w:ilvl w:val="0"/>
          <w:numId w:val="17"/>
        </w:numPr>
        <w:spacing w:line="480" w:lineRule="auto"/>
        <w:ind w:firstLine="2409"/>
        <w:jc w:val="left"/>
        <w:rPr>
          <w:rFonts w:hint="eastAsia" w:ascii="仿宋_GB2312" w:hAnsi="Calibri" w:eastAsia="Times New Roman"/>
          <w:b/>
          <w:sz w:val="24"/>
        </w:rPr>
      </w:pPr>
      <w:r>
        <w:rPr>
          <w:rFonts w:hint="eastAsia" w:ascii="宋体" w:hAnsi="宋体" w:cs="宋体"/>
          <w:b/>
          <w:sz w:val="24"/>
        </w:rPr>
        <w:t>供热设施的管理、维修及更换</w:t>
      </w:r>
    </w:p>
    <w:p w14:paraId="6A5794A7">
      <w:pPr>
        <w:spacing w:line="436" w:lineRule="auto"/>
        <w:jc w:val="left"/>
        <w:rPr>
          <w:rFonts w:hint="eastAsia" w:ascii="仿宋_GB2312" w:eastAsia="仿宋_GB2312" w:cs="仿宋_GB2312"/>
          <w:b/>
          <w:sz w:val="24"/>
        </w:rPr>
      </w:pPr>
      <w:r>
        <w:rPr>
          <w:rFonts w:hint="eastAsia" w:ascii="仿宋_GB2312" w:eastAsia="仿宋_GB2312" w:cs="仿宋_GB2312"/>
          <w:b/>
          <w:sz w:val="24"/>
        </w:rPr>
        <w:t xml:space="preserve">  9.1  </w:t>
      </w:r>
      <w:r>
        <w:rPr>
          <w:rFonts w:hint="eastAsia" w:ascii="宋体" w:hAnsi="宋体" w:cs="宋体"/>
          <w:b/>
          <w:sz w:val="24"/>
        </w:rPr>
        <w:t>供热设备设施的管理、维修及更新</w:t>
      </w:r>
    </w:p>
    <w:p w14:paraId="7234B5B9">
      <w:pPr>
        <w:spacing w:line="436" w:lineRule="auto"/>
        <w:ind w:firstLine="570"/>
        <w:rPr>
          <w:rFonts w:hint="eastAsia" w:ascii="仿宋_GB2312" w:eastAsia="仿宋_GB2312" w:cs="仿宋_GB2312"/>
          <w:sz w:val="24"/>
        </w:rPr>
      </w:pPr>
      <w:r>
        <w:rPr>
          <w:rFonts w:hint="eastAsia" w:ascii="宋体" w:hAnsi="宋体" w:cs="宋体"/>
          <w:sz w:val="24"/>
        </w:rPr>
        <w:t>乙方自签订本合同之日起，即承担规定范围内（锅炉房内）基本的供热设备设施管理、维护工作（涉及到工程施工及更换主材的除外）；由于甲方原因需要进行维修、更新的，乙方可以实行有偿服务，收取合理费用。如发生整改施工费用及主材更换等费用，按北京市工程造价的相关规定，由供、用热双方另行约定。</w:t>
      </w:r>
    </w:p>
    <w:p w14:paraId="5D5839AA">
      <w:pPr>
        <w:spacing w:line="436" w:lineRule="auto"/>
        <w:ind w:firstLine="482"/>
        <w:rPr>
          <w:rFonts w:hint="eastAsia" w:ascii="仿宋_GB2312" w:eastAsia="仿宋_GB2312" w:cs="仿宋_GB2312"/>
          <w:b/>
          <w:sz w:val="24"/>
        </w:rPr>
      </w:pPr>
      <w:r>
        <w:rPr>
          <w:rFonts w:hint="eastAsia" w:ascii="仿宋_GB2312" w:eastAsia="仿宋_GB2312" w:cs="仿宋_GB2312"/>
          <w:b/>
          <w:sz w:val="24"/>
        </w:rPr>
        <w:t>9.2</w:t>
      </w:r>
      <w:r>
        <w:rPr>
          <w:rFonts w:hint="eastAsia" w:ascii="宋体" w:hAnsi="宋体" w:cs="宋体"/>
          <w:b/>
          <w:sz w:val="24"/>
        </w:rPr>
        <w:t>其他要求</w:t>
      </w:r>
    </w:p>
    <w:p w14:paraId="3F81697D">
      <w:pPr>
        <w:spacing w:line="436" w:lineRule="auto"/>
        <w:ind w:firstLine="240"/>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其中未提及的相关技术要求、服务要求，按照《锅炉大气污染物排放标准》、《供热燃气热水锅炉运行技术规程》等相关法律法规执行。</w:t>
      </w:r>
    </w:p>
    <w:p w14:paraId="38D67291">
      <w:pPr>
        <w:numPr>
          <w:ilvl w:val="0"/>
          <w:numId w:val="17"/>
        </w:numPr>
        <w:spacing w:line="480" w:lineRule="auto"/>
        <w:ind w:firstLine="2409"/>
        <w:jc w:val="left"/>
        <w:rPr>
          <w:rFonts w:hint="eastAsia" w:ascii="仿宋_GB2312" w:hAnsi="Calibri" w:eastAsia="Times New Roman"/>
          <w:b/>
          <w:sz w:val="24"/>
        </w:rPr>
      </w:pPr>
      <w:r>
        <w:rPr>
          <w:rFonts w:hint="eastAsia" w:ascii="宋体" w:hAnsi="宋体" w:cs="宋体"/>
          <w:b/>
          <w:sz w:val="24"/>
        </w:rPr>
        <w:t>供热设施的征用、收回</w:t>
      </w:r>
    </w:p>
    <w:p w14:paraId="5E9782CC">
      <w:pPr>
        <w:spacing w:line="436" w:lineRule="auto"/>
        <w:jc w:val="left"/>
        <w:rPr>
          <w:rFonts w:hint="eastAsia" w:ascii="仿宋_GB2312" w:eastAsia="仿宋_GB2312" w:cs="仿宋_GB2312"/>
          <w:b/>
          <w:sz w:val="24"/>
        </w:rPr>
      </w:pPr>
      <w:r>
        <w:rPr>
          <w:rFonts w:hint="eastAsia" w:ascii="仿宋_GB2312" w:eastAsia="仿宋_GB2312" w:cs="仿宋_GB2312"/>
          <w:b/>
          <w:sz w:val="24"/>
        </w:rPr>
        <w:t xml:space="preserve">  10.1  </w:t>
      </w:r>
      <w:r>
        <w:rPr>
          <w:rFonts w:hint="eastAsia" w:ascii="宋体" w:hAnsi="宋体" w:cs="宋体"/>
          <w:b/>
          <w:sz w:val="24"/>
        </w:rPr>
        <w:t>供热设施征用及收回</w:t>
      </w:r>
    </w:p>
    <w:p w14:paraId="2D31A47B">
      <w:pPr>
        <w:spacing w:line="436" w:lineRule="auto"/>
        <w:ind w:firstLine="480"/>
        <w:rPr>
          <w:rFonts w:hint="eastAsia" w:ascii="仿宋_GB2312" w:eastAsia="仿宋_GB2312" w:cs="仿宋_GB2312"/>
          <w:sz w:val="24"/>
        </w:rPr>
      </w:pPr>
      <w:r>
        <w:rPr>
          <w:rFonts w:hint="eastAsia" w:ascii="宋体" w:hAnsi="宋体" w:cs="宋体"/>
          <w:sz w:val="24"/>
        </w:rPr>
        <w:t>甲方出于公共利益的需要并向乙方出示相关证明文件的可依法征用或收回供热设施，但甲方需于乙方要求时间给予乙方相应的乙方认可的补偿，乙方应予配合。</w:t>
      </w:r>
      <w:r>
        <w:rPr>
          <w:rFonts w:hint="eastAsia" w:ascii="仿宋_GB2312" w:eastAsia="仿宋_GB2312" w:cs="仿宋_GB2312"/>
          <w:sz w:val="24"/>
        </w:rPr>
        <w:t xml:space="preserve">                                         </w:t>
      </w:r>
    </w:p>
    <w:p w14:paraId="31321B3F">
      <w:pPr>
        <w:numPr>
          <w:ilvl w:val="0"/>
          <w:numId w:val="17"/>
        </w:numPr>
        <w:spacing w:line="480" w:lineRule="auto"/>
        <w:ind w:firstLine="2409"/>
        <w:jc w:val="left"/>
        <w:rPr>
          <w:rFonts w:hint="eastAsia" w:ascii="宋体" w:hAnsi="宋体" w:cs="宋体"/>
          <w:b/>
          <w:sz w:val="24"/>
        </w:rPr>
      </w:pPr>
      <w:r>
        <w:rPr>
          <w:rFonts w:hint="eastAsia" w:ascii="宋体" w:hAnsi="宋体" w:cs="宋体"/>
          <w:b/>
          <w:sz w:val="24"/>
        </w:rPr>
        <w:t>公用设施的占用</w:t>
      </w:r>
    </w:p>
    <w:p w14:paraId="1BDA1844">
      <w:pPr>
        <w:spacing w:after="120" w:line="436" w:lineRule="auto"/>
        <w:ind w:firstLine="480"/>
        <w:rPr>
          <w:rFonts w:hint="eastAsia" w:ascii="仿宋_GB2312" w:eastAsia="仿宋_GB2312" w:cs="仿宋_GB2312"/>
          <w:sz w:val="24"/>
        </w:rPr>
      </w:pPr>
      <w:r>
        <w:rPr>
          <w:rFonts w:hint="eastAsia" w:ascii="宋体" w:hAnsi="宋体" w:cs="宋体"/>
          <w:sz w:val="24"/>
        </w:rPr>
        <w:t>经营期间，乙方在供热设施的管理、维护和建设中，需要进入用户室内或其拥有土地使用权的范围内作业的，应事先与该用户协商，用户应给予积极配合和提供方便。乙方在作业结束后应对所占用或动用的设施恢复原状。</w:t>
      </w:r>
    </w:p>
    <w:p w14:paraId="44382EC5">
      <w:pPr>
        <w:numPr>
          <w:ilvl w:val="0"/>
          <w:numId w:val="17"/>
        </w:numPr>
        <w:spacing w:line="480" w:lineRule="auto"/>
        <w:ind w:firstLine="2409"/>
        <w:jc w:val="left"/>
        <w:rPr>
          <w:rFonts w:hint="eastAsia" w:ascii="宋体" w:hAnsi="宋体" w:cs="宋体"/>
          <w:b/>
          <w:sz w:val="24"/>
        </w:rPr>
      </w:pPr>
      <w:r>
        <w:rPr>
          <w:rFonts w:hint="eastAsia" w:ascii="宋体" w:hAnsi="宋体" w:cs="宋体"/>
          <w:b/>
          <w:sz w:val="24"/>
        </w:rPr>
        <w:t xml:space="preserve"> 影响用户用热工程、事故的报告与通知</w:t>
      </w:r>
    </w:p>
    <w:p w14:paraId="39613BE3">
      <w:pPr>
        <w:spacing w:after="120" w:line="480" w:lineRule="auto"/>
        <w:jc w:val="left"/>
        <w:rPr>
          <w:rFonts w:hint="eastAsia" w:ascii="仿宋_GB2312" w:eastAsia="仿宋_GB2312" w:cs="仿宋_GB2312"/>
          <w:b/>
          <w:sz w:val="24"/>
        </w:rPr>
      </w:pPr>
      <w:r>
        <w:rPr>
          <w:rFonts w:hint="eastAsia" w:ascii="仿宋_GB2312" w:eastAsia="仿宋_GB2312" w:cs="仿宋_GB2312"/>
          <w:b/>
          <w:sz w:val="24"/>
        </w:rPr>
        <w:t xml:space="preserve">    12.1  </w:t>
      </w:r>
      <w:r>
        <w:rPr>
          <w:rFonts w:hint="eastAsia" w:ascii="宋体" w:hAnsi="宋体" w:cs="宋体"/>
          <w:b/>
          <w:sz w:val="24"/>
        </w:rPr>
        <w:t>影响用户用热工程报告</w:t>
      </w:r>
    </w:p>
    <w:p w14:paraId="1548B8C7">
      <w:pPr>
        <w:spacing w:after="120" w:line="480" w:lineRule="auto"/>
        <w:ind w:left="420" w:firstLine="220"/>
        <w:jc w:val="left"/>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乙方进行供热设施维护或改造工程应当在非供热运行期，并必须在供热期开始前完成。如果可能影响到用户用热，则应当将工程简况、施工历时、可能受影响的程度及区域等情况向相关用户和社会公众公示通报，重要影响工程应报告甲方。</w:t>
      </w:r>
    </w:p>
    <w:p w14:paraId="1B7B983C">
      <w:pPr>
        <w:spacing w:line="480" w:lineRule="auto"/>
        <w:jc w:val="left"/>
        <w:rPr>
          <w:rFonts w:hint="eastAsia" w:ascii="仿宋_GB2312" w:eastAsia="仿宋_GB2312" w:cs="仿宋_GB2312"/>
          <w:b/>
          <w:sz w:val="24"/>
        </w:rPr>
      </w:pPr>
      <w:r>
        <w:rPr>
          <w:rFonts w:hint="eastAsia" w:ascii="仿宋_GB2312" w:eastAsia="仿宋_GB2312" w:cs="仿宋_GB2312"/>
          <w:b/>
          <w:sz w:val="24"/>
        </w:rPr>
        <w:t xml:space="preserve">    12.2  </w:t>
      </w:r>
      <w:r>
        <w:rPr>
          <w:rFonts w:hint="eastAsia" w:ascii="宋体" w:hAnsi="宋体" w:cs="宋体"/>
          <w:b/>
          <w:sz w:val="24"/>
        </w:rPr>
        <w:t>影响用户用热的事故分类</w:t>
      </w:r>
    </w:p>
    <w:p w14:paraId="001C66A4">
      <w:pPr>
        <w:spacing w:line="480" w:lineRule="auto"/>
        <w:ind w:firstLine="480"/>
        <w:jc w:val="left"/>
        <w:rPr>
          <w:rFonts w:hint="eastAsia" w:ascii="仿宋_GB2312" w:eastAsia="仿宋_GB2312" w:cs="仿宋_GB2312"/>
          <w:sz w:val="24"/>
        </w:rPr>
      </w:pPr>
      <w:r>
        <w:rPr>
          <w:rFonts w:hint="eastAsia" w:ascii="宋体" w:hAnsi="宋体" w:cs="宋体"/>
          <w:sz w:val="24"/>
        </w:rPr>
        <w:t>事故分类标准按国家规定执行。</w:t>
      </w:r>
    </w:p>
    <w:p w14:paraId="6C7D4E73">
      <w:pPr>
        <w:spacing w:line="480" w:lineRule="auto"/>
        <w:rPr>
          <w:rFonts w:hint="eastAsia" w:ascii="仿宋_GB2312" w:eastAsia="仿宋_GB2312" w:cs="仿宋_GB2312"/>
          <w:b/>
          <w:sz w:val="24"/>
        </w:rPr>
      </w:pPr>
      <w:r>
        <w:rPr>
          <w:rFonts w:hint="eastAsia" w:ascii="仿宋_GB2312" w:eastAsia="仿宋_GB2312" w:cs="仿宋_GB2312"/>
          <w:b/>
          <w:sz w:val="24"/>
        </w:rPr>
        <w:t xml:space="preserve">    12.3  </w:t>
      </w:r>
      <w:r>
        <w:rPr>
          <w:rFonts w:hint="eastAsia" w:ascii="宋体" w:hAnsi="宋体" w:cs="宋体"/>
          <w:b/>
          <w:sz w:val="24"/>
        </w:rPr>
        <w:t>事故报告与通知</w:t>
      </w:r>
    </w:p>
    <w:p w14:paraId="1DAC980F">
      <w:pPr>
        <w:spacing w:after="120" w:line="480" w:lineRule="auto"/>
        <w:ind w:left="420" w:firstLine="360"/>
        <w:jc w:val="left"/>
        <w:rPr>
          <w:rFonts w:hint="eastAsia" w:ascii="仿宋_GB2312" w:eastAsia="仿宋_GB2312" w:cs="仿宋_GB2312"/>
          <w:sz w:val="24"/>
        </w:rPr>
      </w:pPr>
      <w:r>
        <w:rPr>
          <w:rFonts w:hint="eastAsia" w:ascii="宋体" w:hAnsi="宋体" w:cs="宋体"/>
          <w:sz w:val="24"/>
        </w:rPr>
        <w:t>乙方应当在事故发生后，【</w:t>
      </w:r>
      <w:r>
        <w:rPr>
          <w:rFonts w:hint="eastAsia" w:ascii="仿宋_GB2312" w:eastAsia="仿宋_GB2312" w:cs="仿宋_GB2312"/>
          <w:sz w:val="24"/>
        </w:rPr>
        <w:t>1</w:t>
      </w:r>
      <w:r>
        <w:rPr>
          <w:rFonts w:hint="eastAsia" w:ascii="宋体" w:hAnsi="宋体" w:cs="宋体"/>
          <w:sz w:val="24"/>
        </w:rPr>
        <w:t>】个工作日内报告甲方，告知事故可能造成的影响及处理的情况。</w:t>
      </w:r>
    </w:p>
    <w:p w14:paraId="14CC9C6D">
      <w:pPr>
        <w:spacing w:after="120"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12.4  </w:t>
      </w:r>
      <w:r>
        <w:rPr>
          <w:rFonts w:hint="eastAsia" w:ascii="宋体" w:hAnsi="宋体" w:cs="宋体"/>
          <w:b/>
          <w:sz w:val="24"/>
        </w:rPr>
        <w:t>应急预案</w:t>
      </w:r>
    </w:p>
    <w:p w14:paraId="30E5DE7F">
      <w:pPr>
        <w:spacing w:line="480" w:lineRule="auto"/>
        <w:jc w:val="left"/>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乙方应制定供热事故应急预案，将对用户可能受到的影响降到最低。</w:t>
      </w:r>
    </w:p>
    <w:p w14:paraId="22AAAD5E">
      <w:pPr>
        <w:spacing w:line="480" w:lineRule="auto"/>
        <w:jc w:val="left"/>
        <w:rPr>
          <w:rFonts w:hint="eastAsia" w:ascii="仿宋_GB2312" w:eastAsia="仿宋_GB2312" w:cs="仿宋_GB2312"/>
          <w:b/>
          <w:sz w:val="24"/>
        </w:rPr>
      </w:pPr>
      <w:r>
        <w:rPr>
          <w:rFonts w:hint="eastAsia" w:ascii="仿宋_GB2312" w:eastAsia="仿宋_GB2312" w:cs="仿宋_GB2312"/>
          <w:b/>
          <w:sz w:val="24"/>
        </w:rPr>
        <w:t xml:space="preserve">    12.5  </w:t>
      </w:r>
      <w:r>
        <w:rPr>
          <w:rFonts w:hint="eastAsia" w:ascii="宋体" w:hAnsi="宋体" w:cs="宋体"/>
          <w:b/>
          <w:sz w:val="24"/>
        </w:rPr>
        <w:t>事故影响赔偿</w:t>
      </w:r>
    </w:p>
    <w:p w14:paraId="273073AF">
      <w:pPr>
        <w:spacing w:line="480" w:lineRule="auto"/>
        <w:jc w:val="left"/>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由乙方责任造成的重大事故影响，乙方应按影响的程度退还相应的采暖费。</w:t>
      </w:r>
    </w:p>
    <w:p w14:paraId="71A447D8">
      <w:pPr>
        <w:numPr>
          <w:ilvl w:val="0"/>
          <w:numId w:val="17"/>
        </w:numPr>
        <w:spacing w:line="480" w:lineRule="auto"/>
        <w:ind w:firstLine="2409"/>
        <w:jc w:val="left"/>
        <w:rPr>
          <w:rFonts w:hint="eastAsia" w:ascii="宋体" w:hAnsi="宋体" w:cs="宋体"/>
          <w:b/>
          <w:sz w:val="24"/>
        </w:rPr>
      </w:pPr>
      <w:r>
        <w:rPr>
          <w:rFonts w:hint="eastAsia" w:ascii="宋体" w:hAnsi="宋体" w:cs="宋体"/>
          <w:b/>
          <w:sz w:val="24"/>
        </w:rPr>
        <w:t xml:space="preserve">  甲方的权利与义务</w:t>
      </w:r>
    </w:p>
    <w:p w14:paraId="25446D78">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13.1  </w:t>
      </w:r>
      <w:r>
        <w:rPr>
          <w:rFonts w:hint="eastAsia" w:ascii="宋体" w:hAnsi="宋体" w:cs="宋体"/>
          <w:b/>
          <w:sz w:val="24"/>
        </w:rPr>
        <w:t>甲方权利</w:t>
      </w:r>
    </w:p>
    <w:p w14:paraId="57E20411">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w:t>
      </w:r>
      <w:r>
        <w:rPr>
          <w:rFonts w:hint="eastAsia" w:ascii="宋体" w:hAnsi="宋体" w:cs="宋体"/>
          <w:sz w:val="24"/>
        </w:rPr>
        <w:t>、监督供热经营企业履行法定义务和合同中规定的义务；</w:t>
      </w:r>
    </w:p>
    <w:p w14:paraId="2DF3D78B">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2</w:t>
      </w:r>
      <w:r>
        <w:rPr>
          <w:rFonts w:hint="eastAsia" w:ascii="宋体" w:hAnsi="宋体" w:cs="宋体"/>
          <w:sz w:val="24"/>
        </w:rPr>
        <w:t>、对乙方的经营计划实施情况、产品和服务的质量以及安全生产情况进行监督；对乙方的供热运行和服务进行抽检、调查和评估；</w:t>
      </w:r>
    </w:p>
    <w:p w14:paraId="430B6A92">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3</w:t>
      </w:r>
      <w:r>
        <w:rPr>
          <w:rFonts w:hint="eastAsia" w:ascii="宋体" w:hAnsi="宋体" w:cs="宋体"/>
          <w:sz w:val="24"/>
        </w:rPr>
        <w:t>、协助相关部门核算和监控企业成本，提出价格调整意见；</w:t>
      </w:r>
    </w:p>
    <w:p w14:paraId="33B8FA58">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4</w:t>
      </w:r>
      <w:r>
        <w:rPr>
          <w:rFonts w:hint="eastAsia" w:ascii="宋体" w:hAnsi="宋体" w:cs="宋体"/>
          <w:sz w:val="24"/>
        </w:rPr>
        <w:t>、定期对乙方进行监督检查；</w:t>
      </w:r>
    </w:p>
    <w:p w14:paraId="21C8AAC3">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5</w:t>
      </w:r>
      <w:r>
        <w:rPr>
          <w:rFonts w:hint="eastAsia" w:ascii="宋体" w:hAnsi="宋体" w:cs="宋体"/>
          <w:sz w:val="24"/>
        </w:rPr>
        <w:t>、制定供热应急预案，在危及或者可能危及公众利益、公共安全等紧急情况下，组织临时接管；</w:t>
      </w:r>
    </w:p>
    <w:p w14:paraId="083E2A8D">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6</w:t>
      </w:r>
      <w:r>
        <w:rPr>
          <w:rFonts w:hint="eastAsia" w:ascii="宋体" w:hAnsi="宋体" w:cs="宋体"/>
          <w:sz w:val="24"/>
        </w:rPr>
        <w:t>、法律、法规、规章规定的其它监管权利。</w:t>
      </w:r>
    </w:p>
    <w:p w14:paraId="03B0BAC5">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13.2  </w:t>
      </w:r>
      <w:r>
        <w:rPr>
          <w:rFonts w:hint="eastAsia" w:ascii="宋体" w:hAnsi="宋体" w:cs="宋体"/>
          <w:b/>
          <w:sz w:val="24"/>
        </w:rPr>
        <w:t>甲方义务</w:t>
      </w:r>
    </w:p>
    <w:p w14:paraId="219AED27">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w:t>
      </w:r>
      <w:r>
        <w:rPr>
          <w:rFonts w:hint="eastAsia" w:ascii="宋体" w:hAnsi="宋体" w:cs="宋体"/>
          <w:sz w:val="24"/>
        </w:rPr>
        <w:t>、维护乙方经营权的完整、专营和独占性；</w:t>
      </w:r>
    </w:p>
    <w:p w14:paraId="7A014A22">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2</w:t>
      </w:r>
      <w:r>
        <w:rPr>
          <w:rFonts w:hint="eastAsia" w:ascii="宋体" w:hAnsi="宋体" w:cs="宋体"/>
          <w:sz w:val="24"/>
        </w:rPr>
        <w:t>、维护经营范围内供热市场秩序；</w:t>
      </w:r>
    </w:p>
    <w:p w14:paraId="2C2F9F2D">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3</w:t>
      </w:r>
      <w:r>
        <w:rPr>
          <w:rFonts w:hint="eastAsia" w:ascii="宋体" w:hAnsi="宋体" w:cs="宋体"/>
          <w:sz w:val="24"/>
        </w:rPr>
        <w:t>、在供热项目运营合同约定的经营期限内，对乙方为满足社会公众利益、完成政府公益性目标而承担政府指令性任务的，给予相应的补偿；</w:t>
      </w:r>
    </w:p>
    <w:p w14:paraId="579B4572">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4</w:t>
      </w:r>
      <w:r>
        <w:rPr>
          <w:rFonts w:hint="eastAsia" w:ascii="宋体" w:hAnsi="宋体" w:cs="宋体"/>
          <w:sz w:val="24"/>
        </w:rPr>
        <w:t>、为乙方提供值班用食、宿条件；</w:t>
      </w:r>
    </w:p>
    <w:p w14:paraId="60466EC2">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5</w:t>
      </w:r>
      <w:r>
        <w:rPr>
          <w:rFonts w:hint="eastAsia" w:ascii="宋体" w:hAnsi="宋体" w:cs="宋体"/>
          <w:sz w:val="24"/>
        </w:rPr>
        <w:t>、为乙方的经营提供必须的政策支持和扶持；</w:t>
      </w:r>
    </w:p>
    <w:p w14:paraId="1C3D1D20">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6</w:t>
      </w:r>
      <w:r>
        <w:rPr>
          <w:rFonts w:hint="eastAsia" w:ascii="宋体" w:hAnsi="宋体" w:cs="宋体"/>
          <w:sz w:val="24"/>
        </w:rPr>
        <w:t>、为乙方能源采购提供必要协助；</w:t>
      </w:r>
    </w:p>
    <w:p w14:paraId="5D3BE7D3">
      <w:pPr>
        <w:spacing w:line="480" w:lineRule="auto"/>
        <w:ind w:firstLine="480"/>
        <w:jc w:val="left"/>
        <w:rPr>
          <w:rFonts w:hint="eastAsia" w:ascii="宋体" w:cs="宋体"/>
          <w:sz w:val="24"/>
        </w:rPr>
      </w:pPr>
      <w:r>
        <w:rPr>
          <w:rFonts w:hint="eastAsia" w:ascii="仿宋_GB2312" w:eastAsia="仿宋_GB2312" w:cs="仿宋_GB2312"/>
          <w:sz w:val="24"/>
        </w:rPr>
        <w:t>7</w:t>
      </w:r>
      <w:r>
        <w:rPr>
          <w:rFonts w:hint="eastAsia" w:ascii="宋体" w:hAnsi="宋体" w:cs="宋体"/>
          <w:sz w:val="24"/>
        </w:rPr>
        <w:t>、甲方为响应国家提倡的节能环保政策，委托乙方在保障甲方节、假日期间值班用房的正常供暖情况下开展的节能降耗相关工作，甲方均予以全面配合。</w:t>
      </w:r>
    </w:p>
    <w:p w14:paraId="4D64F53D">
      <w:pPr>
        <w:spacing w:line="480" w:lineRule="auto"/>
        <w:ind w:firstLine="480"/>
        <w:jc w:val="left"/>
        <w:rPr>
          <w:rFonts w:hint="eastAsia" w:ascii="宋体" w:cs="宋体"/>
          <w:sz w:val="24"/>
        </w:rPr>
      </w:pPr>
      <w:r>
        <w:rPr>
          <w:rFonts w:hint="eastAsia" w:ascii="宋体" w:hAnsi="宋体" w:cs="宋体"/>
          <w:sz w:val="24"/>
        </w:rPr>
        <w:t>8、按照合同约定及时缴纳取暖费；</w:t>
      </w:r>
    </w:p>
    <w:p w14:paraId="02DD0494">
      <w:pPr>
        <w:spacing w:line="480" w:lineRule="auto"/>
        <w:ind w:firstLine="480"/>
        <w:jc w:val="left"/>
        <w:rPr>
          <w:rFonts w:hint="eastAsia" w:ascii="仿宋_GB2312" w:eastAsia="仿宋_GB2312" w:cs="仿宋_GB2312"/>
          <w:sz w:val="24"/>
        </w:rPr>
      </w:pPr>
      <w:r>
        <w:rPr>
          <w:rFonts w:hint="eastAsia" w:ascii="宋体" w:hAnsi="宋体" w:cs="宋体"/>
          <w:sz w:val="24"/>
        </w:rPr>
        <w:t>9、法律、法规及本合同规定的其他义务。</w:t>
      </w:r>
    </w:p>
    <w:p w14:paraId="22878F73">
      <w:pPr>
        <w:numPr>
          <w:ilvl w:val="0"/>
          <w:numId w:val="17"/>
        </w:numPr>
        <w:spacing w:line="480" w:lineRule="auto"/>
        <w:ind w:firstLine="2409"/>
        <w:jc w:val="left"/>
        <w:rPr>
          <w:rFonts w:hint="eastAsia" w:ascii="宋体" w:hAnsi="宋体" w:cs="宋体"/>
          <w:b/>
          <w:sz w:val="24"/>
        </w:rPr>
      </w:pPr>
      <w:r>
        <w:rPr>
          <w:rFonts w:hint="eastAsia" w:ascii="宋体" w:hAnsi="宋体" w:cs="宋体"/>
          <w:b/>
          <w:sz w:val="24"/>
        </w:rPr>
        <w:t xml:space="preserve">  乙方的权利义务及承诺</w:t>
      </w:r>
    </w:p>
    <w:p w14:paraId="08E0C0CA">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14.1  </w:t>
      </w:r>
      <w:r>
        <w:rPr>
          <w:rFonts w:hint="eastAsia" w:ascii="宋体" w:hAnsi="宋体" w:cs="宋体"/>
          <w:b/>
          <w:sz w:val="24"/>
        </w:rPr>
        <w:t>乙方权利</w:t>
      </w:r>
    </w:p>
    <w:p w14:paraId="21A31AC9">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w:t>
      </w:r>
      <w:r>
        <w:rPr>
          <w:rFonts w:hint="eastAsia" w:ascii="宋体" w:hAnsi="宋体" w:cs="宋体"/>
          <w:sz w:val="24"/>
        </w:rPr>
        <w:t>、依据法律、法规和本合同规定对区域范围内的供热业务享有独家经营的权利；</w:t>
      </w:r>
    </w:p>
    <w:p w14:paraId="3C1E0656">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2</w:t>
      </w:r>
      <w:r>
        <w:rPr>
          <w:rFonts w:hint="eastAsia" w:ascii="宋体" w:hAnsi="宋体" w:cs="宋体"/>
          <w:sz w:val="24"/>
        </w:rPr>
        <w:t>、拥有根据城市总体规划及供热规划供热的投资、发展权；</w:t>
      </w:r>
    </w:p>
    <w:p w14:paraId="7823084F">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3</w:t>
      </w:r>
      <w:r>
        <w:rPr>
          <w:rFonts w:hint="eastAsia" w:ascii="宋体" w:hAnsi="宋体" w:cs="宋体"/>
          <w:sz w:val="24"/>
        </w:rPr>
        <w:t>、依据本合同规定的价格机制，参与制订供热价格，向甲方及用户收取规定的供热供应费及相关服务费；</w:t>
      </w:r>
    </w:p>
    <w:p w14:paraId="3AD3DFD5">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4</w:t>
      </w:r>
      <w:r>
        <w:rPr>
          <w:rFonts w:hint="eastAsia" w:ascii="宋体" w:hAnsi="宋体" w:cs="宋体"/>
          <w:sz w:val="24"/>
        </w:rPr>
        <w:t>、经有关部门批准，占用公共用地或城市道路维护供热管网的权利；</w:t>
      </w:r>
    </w:p>
    <w:p w14:paraId="592F519F">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5</w:t>
      </w:r>
      <w:r>
        <w:rPr>
          <w:rFonts w:hint="eastAsia" w:ascii="宋体" w:hAnsi="宋体" w:cs="宋体"/>
          <w:sz w:val="24"/>
        </w:rPr>
        <w:t>、对拒缴、欠缴应向乙方缴纳费用的供热用户及甲方依法追缴的权利；</w:t>
      </w:r>
    </w:p>
    <w:p w14:paraId="4CAD868B">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6</w:t>
      </w:r>
      <w:r>
        <w:rPr>
          <w:rFonts w:hint="eastAsia" w:ascii="宋体" w:hAnsi="宋体" w:cs="宋体"/>
          <w:sz w:val="24"/>
        </w:rPr>
        <w:t>、对用热设施不符合国家有关安全技术标准或存在安全隐患的用户暂停供热服务的权利；</w:t>
      </w:r>
    </w:p>
    <w:p w14:paraId="1692B8AA">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7</w:t>
      </w:r>
      <w:r>
        <w:rPr>
          <w:rFonts w:hint="eastAsia" w:ascii="宋体" w:hAnsi="宋体" w:cs="宋体"/>
          <w:sz w:val="24"/>
        </w:rPr>
        <w:t>、乙方有权对不符合供热规范的供热设备设施进行改造的权利；</w:t>
      </w:r>
    </w:p>
    <w:p w14:paraId="40AB566A">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8</w:t>
      </w:r>
      <w:r>
        <w:rPr>
          <w:rFonts w:hint="eastAsia" w:ascii="宋体" w:hAnsi="宋体" w:cs="宋体"/>
          <w:sz w:val="24"/>
        </w:rPr>
        <w:t>、对严重违反供、用热合同的用户有依法举报的权利；</w:t>
      </w:r>
    </w:p>
    <w:p w14:paraId="2B193ABF">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9</w:t>
      </w:r>
      <w:r>
        <w:rPr>
          <w:rFonts w:hint="eastAsia" w:ascii="宋体" w:hAnsi="宋体" w:cs="宋体"/>
          <w:sz w:val="24"/>
        </w:rPr>
        <w:t>、法律、法规及本合同规定的其他权利。</w:t>
      </w:r>
    </w:p>
    <w:p w14:paraId="4C9B2A04">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14.2   </w:t>
      </w:r>
      <w:r>
        <w:rPr>
          <w:rFonts w:hint="eastAsia" w:ascii="宋体" w:hAnsi="宋体" w:cs="宋体"/>
          <w:b/>
          <w:sz w:val="24"/>
        </w:rPr>
        <w:t>乙方义务</w:t>
      </w:r>
    </w:p>
    <w:p w14:paraId="2BC51C9D">
      <w:pPr>
        <w:spacing w:line="480" w:lineRule="auto"/>
        <w:ind w:firstLine="570"/>
        <w:jc w:val="left"/>
        <w:rPr>
          <w:rFonts w:hint="eastAsia" w:ascii="仿宋_GB2312" w:eastAsia="仿宋_GB2312" w:cs="仿宋_GB2312"/>
          <w:sz w:val="24"/>
        </w:rPr>
      </w:pPr>
      <w:r>
        <w:rPr>
          <w:rFonts w:hint="eastAsia" w:ascii="宋体" w:hAnsi="宋体" w:cs="宋体"/>
          <w:sz w:val="24"/>
        </w:rPr>
        <w:t>经营期间，乙方负有下列义务：</w:t>
      </w:r>
    </w:p>
    <w:p w14:paraId="6DBC0F6D">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w:t>
      </w:r>
      <w:r>
        <w:rPr>
          <w:rFonts w:hint="eastAsia" w:ascii="宋体" w:hAnsi="宋体" w:cs="宋体"/>
          <w:sz w:val="24"/>
        </w:rPr>
        <w:t>、接受甲方的监管及社会公众的监督；</w:t>
      </w:r>
    </w:p>
    <w:p w14:paraId="14C1FFD6">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2</w:t>
      </w:r>
      <w:r>
        <w:rPr>
          <w:rFonts w:hint="eastAsia" w:ascii="宋体" w:hAnsi="宋体" w:cs="宋体"/>
          <w:sz w:val="24"/>
        </w:rPr>
        <w:t>、供热运行和服务应当符合相关技术、质量标准以及合同的要求，保证按时供热或者不间断供热，不得无故推迟或者提前结束供热，不得无故中途停热或者降低供热质量标准；</w:t>
      </w:r>
    </w:p>
    <w:p w14:paraId="60B05329">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3</w:t>
      </w:r>
      <w:r>
        <w:rPr>
          <w:rFonts w:hint="eastAsia" w:ascii="宋体" w:hAnsi="宋体" w:cs="宋体"/>
          <w:sz w:val="24"/>
        </w:rPr>
        <w:t>、按照国家安全生产法规和供热行业安全生产标准、规程，组织生产运行。制定应急抢修抢险预案，建立相应的组织、指挥、设备、物资等保障体系；</w:t>
      </w:r>
    </w:p>
    <w:p w14:paraId="7D17E931">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4</w:t>
      </w:r>
      <w:r>
        <w:rPr>
          <w:rFonts w:hint="eastAsia" w:ascii="宋体" w:hAnsi="宋体" w:cs="宋体"/>
          <w:sz w:val="24"/>
        </w:rPr>
        <w:t>、对供热设施的状况及性能按照规定要求进行定期检修保养，将设施运行情况按时报告甲方；</w:t>
      </w:r>
    </w:p>
    <w:p w14:paraId="18F8CCBB">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5</w:t>
      </w:r>
      <w:r>
        <w:rPr>
          <w:rFonts w:hint="eastAsia" w:ascii="宋体" w:hAnsi="宋体" w:cs="宋体"/>
          <w:sz w:val="24"/>
        </w:rPr>
        <w:t>、按照供热服务的具体标准，接受社会监督；</w:t>
      </w:r>
    </w:p>
    <w:p w14:paraId="1D00D676">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6</w:t>
      </w:r>
      <w:r>
        <w:rPr>
          <w:rFonts w:hint="eastAsia" w:ascii="宋体" w:hAnsi="宋体" w:cs="宋体"/>
          <w:sz w:val="24"/>
        </w:rPr>
        <w:t>、受理用户对乙方的供热投诉并按相关法规去处理、妥善解决；</w:t>
      </w:r>
    </w:p>
    <w:p w14:paraId="6199B620">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7</w:t>
      </w:r>
      <w:r>
        <w:rPr>
          <w:rFonts w:hint="eastAsia" w:ascii="宋体" w:hAnsi="宋体" w:cs="宋体"/>
          <w:sz w:val="24"/>
        </w:rPr>
        <w:t>、对供热设施的技术资料进行统一收集，立卷和归档，保证账实相符、图网相符；完善供热设施、收费信息化管理系统；</w:t>
      </w:r>
    </w:p>
    <w:p w14:paraId="7898D235">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8</w:t>
      </w:r>
      <w:r>
        <w:rPr>
          <w:rFonts w:hint="eastAsia" w:ascii="宋体" w:hAnsi="宋体" w:cs="宋体"/>
          <w:sz w:val="24"/>
        </w:rPr>
        <w:t>、经营期间，乙方未经甲方批准，不得擅自转让、出租、抵押或变更经营权。</w:t>
      </w:r>
    </w:p>
    <w:p w14:paraId="0ECCCC6E">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9</w:t>
      </w:r>
      <w:r>
        <w:rPr>
          <w:rFonts w:hint="eastAsia" w:ascii="宋体" w:hAnsi="宋体" w:cs="宋体"/>
          <w:sz w:val="24"/>
        </w:rPr>
        <w:t>、经甲方批准，对于乙方从事的经营业务衍生出来的相关业务，乙方可通过委托、发包等方式将其交由具备相应资质的社会第三方经营；</w:t>
      </w:r>
    </w:p>
    <w:p w14:paraId="1FAA6E3C">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10</w:t>
      </w:r>
      <w:r>
        <w:rPr>
          <w:rFonts w:hint="eastAsia" w:ascii="宋体" w:hAnsi="宋体" w:cs="宋体"/>
          <w:sz w:val="24"/>
        </w:rPr>
        <w:t>、执行价格监管规定及政府制定的价格标准；</w:t>
      </w:r>
    </w:p>
    <w:p w14:paraId="460C9632">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11</w:t>
      </w:r>
      <w:r>
        <w:rPr>
          <w:rFonts w:hint="eastAsia" w:ascii="宋体" w:hAnsi="宋体" w:cs="宋体"/>
          <w:sz w:val="24"/>
        </w:rPr>
        <w:t>、在追缴热用户欠费的过程中，不得降低服务标准；</w:t>
      </w:r>
    </w:p>
    <w:p w14:paraId="69F7FB1C">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12</w:t>
      </w:r>
      <w:r>
        <w:rPr>
          <w:rFonts w:hint="eastAsia" w:ascii="宋体" w:hAnsi="宋体" w:cs="宋体"/>
          <w:sz w:val="24"/>
        </w:rPr>
        <w:t>、法律、法规和供热运营项目合同约定的其他责任。</w:t>
      </w:r>
    </w:p>
    <w:p w14:paraId="4CFF6639">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14.3  </w:t>
      </w:r>
      <w:r>
        <w:rPr>
          <w:rFonts w:hint="eastAsia" w:ascii="宋体" w:hAnsi="宋体" w:cs="宋体"/>
          <w:b/>
          <w:sz w:val="24"/>
        </w:rPr>
        <w:t>乙方承诺：</w:t>
      </w:r>
      <w:r>
        <w:rPr>
          <w:rFonts w:hint="eastAsia" w:ascii="仿宋_GB2312" w:eastAsia="仿宋_GB2312" w:cs="仿宋_GB2312"/>
          <w:b/>
          <w:sz w:val="24"/>
        </w:rPr>
        <w:t xml:space="preserve"> </w:t>
      </w:r>
    </w:p>
    <w:p w14:paraId="1CE049C4">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1</w:t>
      </w:r>
      <w:r>
        <w:rPr>
          <w:rFonts w:hint="eastAsia" w:ascii="宋体" w:hAnsi="宋体" w:cs="宋体"/>
          <w:b/>
          <w:sz w:val="24"/>
        </w:rPr>
        <w:t>、供热服务承诺</w:t>
      </w:r>
    </w:p>
    <w:p w14:paraId="3AE2B9D4">
      <w:pPr>
        <w:spacing w:line="480" w:lineRule="auto"/>
        <w:ind w:firstLine="480"/>
        <w:jc w:val="left"/>
        <w:rPr>
          <w:rFonts w:hint="eastAsia" w:ascii="宋体" w:hAnsi="宋体" w:cs="宋体"/>
          <w:sz w:val="24"/>
        </w:rPr>
      </w:pPr>
      <w:r>
        <w:rPr>
          <w:rFonts w:hint="eastAsia" w:ascii="宋体" w:hAnsi="宋体" w:cs="宋体"/>
          <w:sz w:val="24"/>
        </w:rPr>
        <w:t>乙方保证善意地、适当地行使本合同授予乙方的供热经营权，尽最大限度地为市民、企业及其他供热用户提供公平、优质、普遍的供应与服务；并遵循城市总体规划和供热专项规划，尽力满足社会对供热利用的新需求。</w:t>
      </w:r>
    </w:p>
    <w:p w14:paraId="171693EB">
      <w:pPr>
        <w:spacing w:line="480" w:lineRule="auto"/>
        <w:ind w:firstLine="241" w:firstLineChars="100"/>
        <w:jc w:val="left"/>
        <w:rPr>
          <w:rFonts w:hint="eastAsia" w:ascii="仿宋_GB2312" w:eastAsia="仿宋_GB2312" w:cs="仿宋_GB2312"/>
          <w:b/>
          <w:sz w:val="24"/>
        </w:rPr>
      </w:pPr>
      <w:r>
        <w:rPr>
          <w:rFonts w:hint="eastAsia" w:ascii="仿宋_GB2312" w:eastAsia="仿宋_GB2312" w:cs="仿宋_GB2312"/>
          <w:b/>
          <w:sz w:val="24"/>
        </w:rPr>
        <w:t>2</w:t>
      </w:r>
      <w:r>
        <w:rPr>
          <w:rFonts w:hint="eastAsia" w:ascii="宋体" w:hAnsi="宋体" w:cs="宋体"/>
          <w:b/>
          <w:sz w:val="24"/>
        </w:rPr>
        <w:t>、价格承诺</w:t>
      </w:r>
    </w:p>
    <w:p w14:paraId="7BF72F91">
      <w:pPr>
        <w:spacing w:line="480" w:lineRule="auto"/>
        <w:ind w:firstLine="570"/>
        <w:jc w:val="left"/>
        <w:rPr>
          <w:rFonts w:hint="eastAsia" w:ascii="仿宋_GB2312" w:eastAsia="仿宋_GB2312" w:cs="仿宋_GB2312"/>
          <w:sz w:val="24"/>
        </w:rPr>
      </w:pPr>
      <w:r>
        <w:rPr>
          <w:rFonts w:hint="eastAsia" w:ascii="宋体" w:hAnsi="宋体" w:cs="宋体"/>
          <w:sz w:val="24"/>
        </w:rPr>
        <w:t>乙方保证采取一切必要措施，控制运行成本，接受政府监管和社会监督，严格执行北京市政府供热价格规定。</w:t>
      </w:r>
    </w:p>
    <w:p w14:paraId="12436F2C">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3</w:t>
      </w:r>
      <w:r>
        <w:rPr>
          <w:rFonts w:hint="eastAsia" w:ascii="宋体" w:hAnsi="宋体" w:cs="宋体"/>
          <w:b/>
          <w:sz w:val="24"/>
        </w:rPr>
        <w:t>、降低供热成本承诺</w:t>
      </w:r>
    </w:p>
    <w:p w14:paraId="766B7FB0">
      <w:pPr>
        <w:spacing w:line="480" w:lineRule="auto"/>
        <w:ind w:firstLine="570"/>
        <w:jc w:val="left"/>
        <w:rPr>
          <w:rFonts w:hint="eastAsia" w:ascii="仿宋_GB2312" w:eastAsia="仿宋_GB2312" w:cs="仿宋_GB2312"/>
          <w:sz w:val="24"/>
        </w:rPr>
      </w:pPr>
      <w:r>
        <w:rPr>
          <w:rFonts w:hint="eastAsia" w:ascii="宋体" w:hAnsi="宋体" w:cs="宋体"/>
          <w:sz w:val="24"/>
        </w:rPr>
        <w:t>乙方完善内部管理，严格控制成本，不断地降低供热成本。</w:t>
      </w:r>
    </w:p>
    <w:p w14:paraId="53C4EEF3">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4</w:t>
      </w:r>
      <w:r>
        <w:rPr>
          <w:rFonts w:hint="eastAsia" w:ascii="宋体" w:hAnsi="宋体" w:cs="宋体"/>
          <w:b/>
          <w:sz w:val="24"/>
        </w:rPr>
        <w:t>、提高环境保护质量承诺</w:t>
      </w:r>
    </w:p>
    <w:p w14:paraId="24EF1EF5">
      <w:pPr>
        <w:spacing w:line="480" w:lineRule="auto"/>
        <w:ind w:firstLine="570"/>
        <w:jc w:val="left"/>
        <w:rPr>
          <w:rFonts w:hint="eastAsia" w:ascii="仿宋_GB2312" w:eastAsia="仿宋_GB2312" w:cs="仿宋_GB2312"/>
          <w:sz w:val="24"/>
        </w:rPr>
      </w:pPr>
      <w:r>
        <w:rPr>
          <w:rFonts w:hint="eastAsia" w:ascii="宋体" w:hAnsi="宋体" w:cs="宋体"/>
          <w:sz w:val="24"/>
        </w:rPr>
        <w:t>乙方承诺在经营期间的一切经营和供热服务中，充分考虑对环境的影响，采用先进的环保技术和措施，减少环境污染，维护生态环境，保护市民健康。</w:t>
      </w:r>
    </w:p>
    <w:p w14:paraId="3E333BD3">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5</w:t>
      </w:r>
      <w:r>
        <w:rPr>
          <w:rFonts w:hint="eastAsia" w:ascii="宋体" w:hAnsi="宋体" w:cs="宋体"/>
          <w:b/>
          <w:sz w:val="24"/>
        </w:rPr>
        <w:t>、开展公益服务承诺</w:t>
      </w:r>
    </w:p>
    <w:p w14:paraId="59E02B0A">
      <w:pPr>
        <w:spacing w:line="480" w:lineRule="auto"/>
        <w:ind w:firstLine="570"/>
        <w:jc w:val="left"/>
        <w:rPr>
          <w:rFonts w:hint="eastAsia" w:ascii="仿宋_GB2312" w:eastAsia="仿宋_GB2312" w:cs="仿宋_GB2312"/>
          <w:sz w:val="24"/>
        </w:rPr>
      </w:pPr>
      <w:r>
        <w:rPr>
          <w:rFonts w:hint="eastAsia" w:ascii="宋体" w:hAnsi="宋体" w:cs="宋体"/>
          <w:sz w:val="24"/>
        </w:rPr>
        <w:t>乙方承诺在经营期间，面向广大市民及供热用户开展供热公益活动，宣传供热知识及相关能源知识，促进供热在人们生活、生产中的合理应用。</w:t>
      </w:r>
    </w:p>
    <w:p w14:paraId="160B617C">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6</w:t>
      </w:r>
      <w:r>
        <w:rPr>
          <w:rFonts w:hint="eastAsia" w:ascii="宋体" w:hAnsi="宋体" w:cs="宋体"/>
          <w:b/>
          <w:sz w:val="24"/>
        </w:rPr>
        <w:t>、提高供热信息化水平承诺</w:t>
      </w:r>
    </w:p>
    <w:p w14:paraId="646970A6">
      <w:pPr>
        <w:spacing w:line="480" w:lineRule="auto"/>
        <w:ind w:firstLine="570"/>
        <w:jc w:val="left"/>
        <w:rPr>
          <w:rFonts w:hint="eastAsia" w:ascii="宋体" w:hAnsi="宋体" w:cs="宋体"/>
          <w:sz w:val="24"/>
        </w:rPr>
      </w:pPr>
      <w:r>
        <w:rPr>
          <w:rFonts w:hint="eastAsia" w:ascii="宋体" w:hAnsi="宋体" w:cs="宋体"/>
          <w:sz w:val="24"/>
        </w:rPr>
        <w:t>乙方承诺在经营期间不断提高企业信息化水平，对供热设施的图纸资料、供热管理资料、用户基本信息及其他与供热经营服务有关的信息进行收集、归类和整理，建立和完善供热服务信息管理系统。</w:t>
      </w:r>
    </w:p>
    <w:p w14:paraId="23F6FFAF">
      <w:pPr>
        <w:spacing w:line="480" w:lineRule="auto"/>
        <w:ind w:firstLine="570"/>
        <w:jc w:val="left"/>
        <w:rPr>
          <w:rFonts w:hint="eastAsia" w:ascii="宋体" w:hAnsi="宋体" w:cs="宋体"/>
          <w:b/>
          <w:sz w:val="24"/>
        </w:rPr>
      </w:pPr>
      <w:r>
        <w:rPr>
          <w:rFonts w:hint="eastAsia" w:ascii="宋体" w:hAnsi="宋体" w:cs="宋体"/>
          <w:b/>
          <w:sz w:val="24"/>
        </w:rPr>
        <w:t>7.供热时间调整</w:t>
      </w:r>
    </w:p>
    <w:p w14:paraId="3C5E67FC">
      <w:pPr>
        <w:spacing w:line="480" w:lineRule="auto"/>
        <w:ind w:firstLine="570"/>
        <w:jc w:val="left"/>
        <w:rPr>
          <w:rFonts w:hint="eastAsia" w:ascii="宋体" w:hAnsi="宋体" w:cs="宋体"/>
          <w:sz w:val="24"/>
        </w:rPr>
      </w:pPr>
      <w:r>
        <w:rPr>
          <w:rFonts w:hint="eastAsia" w:ascii="宋体" w:hAnsi="宋体" w:cs="宋体"/>
          <w:sz w:val="24"/>
        </w:rPr>
        <w:t>如果遇到极端天气，供暖时间按照学校要求可适当提前或者后延。</w:t>
      </w:r>
    </w:p>
    <w:p w14:paraId="16EFE9AE">
      <w:pPr>
        <w:spacing w:line="480" w:lineRule="auto"/>
        <w:ind w:firstLine="570"/>
        <w:jc w:val="left"/>
        <w:rPr>
          <w:rFonts w:hint="eastAsia" w:ascii="宋体" w:hAnsi="宋体" w:cs="宋体"/>
          <w:b/>
          <w:sz w:val="24"/>
        </w:rPr>
      </w:pPr>
      <w:r>
        <w:rPr>
          <w:rFonts w:hint="eastAsia" w:ascii="宋体" w:hAnsi="宋体" w:cs="宋体"/>
          <w:b/>
          <w:sz w:val="24"/>
        </w:rPr>
        <w:t>8.保养承诺</w:t>
      </w:r>
    </w:p>
    <w:p w14:paraId="355999EB">
      <w:pPr>
        <w:spacing w:line="480" w:lineRule="auto"/>
        <w:ind w:firstLine="570"/>
        <w:jc w:val="left"/>
        <w:rPr>
          <w:rFonts w:hint="eastAsia" w:ascii="仿宋_GB2312" w:eastAsia="仿宋_GB2312" w:cs="仿宋_GB2312"/>
          <w:sz w:val="24"/>
        </w:rPr>
      </w:pPr>
      <w:r>
        <w:rPr>
          <w:rFonts w:hint="eastAsia" w:ascii="宋体" w:hAnsi="宋体" w:cs="宋体"/>
          <w:sz w:val="24"/>
        </w:rPr>
        <w:t>锅炉停暖之后，承包公司要负责锅炉的维护和保养，要负责校内暖气管线的维修和养护。</w:t>
      </w:r>
    </w:p>
    <w:p w14:paraId="074476B4">
      <w:pPr>
        <w:numPr>
          <w:ilvl w:val="0"/>
          <w:numId w:val="17"/>
        </w:numPr>
        <w:spacing w:line="480" w:lineRule="auto"/>
        <w:ind w:firstLine="2409"/>
        <w:jc w:val="left"/>
        <w:rPr>
          <w:rFonts w:hint="eastAsia" w:ascii="宋体" w:hAnsi="宋体" w:cs="宋体"/>
          <w:b/>
          <w:sz w:val="24"/>
        </w:rPr>
      </w:pPr>
      <w:r>
        <w:rPr>
          <w:rFonts w:hint="eastAsia" w:ascii="宋体" w:hAnsi="宋体" w:cs="宋体"/>
          <w:b/>
          <w:sz w:val="24"/>
        </w:rPr>
        <w:t xml:space="preserve"> 供热安全</w:t>
      </w:r>
    </w:p>
    <w:p w14:paraId="606E7F7F">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15.1 </w:t>
      </w:r>
      <w:r>
        <w:rPr>
          <w:rFonts w:hint="eastAsia" w:ascii="宋体" w:hAnsi="宋体" w:cs="宋体"/>
          <w:b/>
          <w:sz w:val="24"/>
        </w:rPr>
        <w:t>安全责任</w:t>
      </w:r>
    </w:p>
    <w:p w14:paraId="3F68D9E7">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w:t>
      </w:r>
      <w:r>
        <w:rPr>
          <w:rFonts w:hint="eastAsia" w:ascii="宋体" w:hAnsi="宋体" w:cs="宋体"/>
          <w:sz w:val="24"/>
        </w:rPr>
        <w:t>、乙方须严格遵守有关供热安全的法律、法规、规章及政策性文件，供热生产、运行和服务的质量、安全、服务标准应当符合国家、行业和地方相关标准。</w:t>
      </w:r>
    </w:p>
    <w:p w14:paraId="2175265C">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2</w:t>
      </w:r>
      <w:r>
        <w:rPr>
          <w:rFonts w:hint="eastAsia" w:ascii="宋体" w:hAnsi="宋体" w:cs="宋体"/>
          <w:sz w:val="24"/>
        </w:rPr>
        <w:t>、乙方建立安全生产制度，建立安全生产保证体系和稳定供应、运行和服务体系，防止责任事故发生；建立抢修、抢险、救灾应急预案和相应的组织、指挥、设备等保障体系，在出现重大意外事故时其保障体系能够正常启动。</w:t>
      </w:r>
    </w:p>
    <w:p w14:paraId="1684921A">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3</w:t>
      </w:r>
      <w:r>
        <w:rPr>
          <w:rFonts w:hint="eastAsia" w:ascii="宋体" w:hAnsi="宋体" w:cs="宋体"/>
          <w:sz w:val="24"/>
        </w:rPr>
        <w:t>、对出现重大意外事故和在事故期间，乙方应采取各种应急措施进行补救，尽量减少事故对用户的影响，同时，乙方必须即时、如实向有关部门报告。</w:t>
      </w:r>
    </w:p>
    <w:p w14:paraId="0FD868DF">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4</w:t>
      </w:r>
      <w:r>
        <w:rPr>
          <w:rFonts w:hint="eastAsia" w:ascii="宋体" w:hAnsi="宋体" w:cs="宋体"/>
          <w:sz w:val="24"/>
        </w:rPr>
        <w:t>、乙方加强安全巡检，消除安全隐患，对危及热力设施安全的事件应及时制止，并报告有关部门，同时进行宣传、解释、劝阻和书面告知违反规定的单位或个人进行整改；对逾期不改的，书面向甲方或行政执法部门报告，甲方接到乙方报告后，及时协调执法部门予以查处。</w:t>
      </w:r>
    </w:p>
    <w:p w14:paraId="6F56A78E">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5</w:t>
      </w:r>
      <w:r>
        <w:rPr>
          <w:rFonts w:hint="eastAsia" w:ascii="宋体" w:hAnsi="宋体" w:cs="宋体"/>
          <w:sz w:val="24"/>
        </w:rPr>
        <w:t>、乙方应采用合适的手段，监测管道供热工况，及时应对发生的紧急事故。</w:t>
      </w:r>
    </w:p>
    <w:p w14:paraId="4AC8C384">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6</w:t>
      </w:r>
      <w:r>
        <w:rPr>
          <w:rFonts w:hint="eastAsia" w:ascii="宋体" w:hAnsi="宋体" w:cs="宋体"/>
          <w:sz w:val="24"/>
        </w:rPr>
        <w:t>、乙方应严格执行有关建设工程开工报建前对地下管网进行核查的规定，并对认为有必要的建设项目实行管道供热设施现场监管，对发现的野蛮施工危及管道供热设施安全的，要加以劝阻，劝阻不听的应及时向主管部门或市城市管理综合行政执法部门报告，予以查处。</w:t>
      </w:r>
    </w:p>
    <w:p w14:paraId="5C9A5A4A">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7</w:t>
      </w:r>
      <w:r>
        <w:rPr>
          <w:rFonts w:hint="eastAsia" w:ascii="宋体" w:hAnsi="宋体" w:cs="宋体"/>
          <w:sz w:val="24"/>
        </w:rPr>
        <w:t>、乙方应开展各种形式的供热安全宣传活动，以提高公众对供热设施的保护意识和节能意识，加强对用户采暖的指导，解答用户的采暖咨询，发放用户采暖手册。</w:t>
      </w:r>
    </w:p>
    <w:p w14:paraId="64EE4D68">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8</w:t>
      </w:r>
      <w:r>
        <w:rPr>
          <w:rFonts w:hint="eastAsia" w:ascii="宋体" w:hAnsi="宋体" w:cs="宋体"/>
          <w:sz w:val="24"/>
        </w:rPr>
        <w:t>、当用户和乙方之间就消除违章安装或安全隐患未达成一致时，甲方有责任予以协调；对危及公共安全的，甲方应当依法采取强制措施，协助乙方立即消除安全隐患。</w:t>
      </w:r>
    </w:p>
    <w:p w14:paraId="0FB8CA9F">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9</w:t>
      </w:r>
      <w:r>
        <w:rPr>
          <w:rFonts w:hint="eastAsia" w:ascii="宋体" w:hAnsi="宋体" w:cs="宋体"/>
          <w:sz w:val="24"/>
        </w:rPr>
        <w:t>、安全事件若因甲方原因造成，甲方负责处理，并承担相应赔偿，给乙方造成损失的，还应赔偿乙方因此遭受的损失，包括但不限于律师费等合理费用。</w:t>
      </w:r>
    </w:p>
    <w:p w14:paraId="57339398">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15.2  </w:t>
      </w:r>
      <w:r>
        <w:rPr>
          <w:rFonts w:hint="eastAsia" w:ascii="宋体" w:hAnsi="宋体" w:cs="宋体"/>
          <w:b/>
          <w:sz w:val="24"/>
        </w:rPr>
        <w:t>供热设施安全预防</w:t>
      </w:r>
    </w:p>
    <w:p w14:paraId="1B8625CA">
      <w:pPr>
        <w:spacing w:line="480" w:lineRule="auto"/>
        <w:ind w:firstLine="480"/>
        <w:jc w:val="left"/>
        <w:rPr>
          <w:rFonts w:hint="eastAsia" w:ascii="仿宋_GB2312" w:eastAsia="仿宋_GB2312" w:cs="仿宋_GB2312"/>
          <w:sz w:val="24"/>
        </w:rPr>
      </w:pPr>
      <w:r>
        <w:rPr>
          <w:rFonts w:hint="eastAsia" w:ascii="宋体" w:hAnsi="宋体" w:cs="宋体"/>
          <w:sz w:val="24"/>
        </w:rPr>
        <w:t>乙方严格执行运行、维护和抢修安全技术规程，对供热设施的状况及性能进行定期巡视、保养和检修，按期进行设备大修和更新改造。</w:t>
      </w:r>
    </w:p>
    <w:p w14:paraId="343CFFE5">
      <w:pPr>
        <w:spacing w:line="480" w:lineRule="auto"/>
        <w:ind w:firstLine="480"/>
        <w:jc w:val="left"/>
        <w:rPr>
          <w:rFonts w:hint="eastAsia" w:ascii="仿宋_GB2312" w:eastAsia="仿宋_GB2312" w:cs="仿宋_GB2312"/>
          <w:sz w:val="24"/>
        </w:rPr>
      </w:pPr>
      <w:r>
        <w:rPr>
          <w:rFonts w:hint="eastAsia" w:ascii="宋体" w:hAnsi="宋体" w:cs="宋体"/>
          <w:sz w:val="24"/>
        </w:rPr>
        <w:t>用户对其拥有的供热设施安全负责。乙方在发现属于用户的供热设施存有严重安全隐患时，乙方可采取可能的措施以防止安全事故的发生。</w:t>
      </w:r>
    </w:p>
    <w:p w14:paraId="40721EF5">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15.3  </w:t>
      </w:r>
      <w:r>
        <w:rPr>
          <w:rFonts w:hint="eastAsia" w:ascii="宋体" w:hAnsi="宋体" w:cs="宋体"/>
          <w:b/>
          <w:sz w:val="24"/>
        </w:rPr>
        <w:t>因安全原因的停热</w:t>
      </w:r>
    </w:p>
    <w:p w14:paraId="4FC69284">
      <w:pPr>
        <w:spacing w:line="480" w:lineRule="auto"/>
        <w:ind w:firstLine="480"/>
        <w:jc w:val="left"/>
        <w:rPr>
          <w:rFonts w:hint="eastAsia" w:ascii="仿宋_GB2312" w:eastAsia="仿宋_GB2312" w:cs="仿宋_GB2312"/>
          <w:sz w:val="24"/>
        </w:rPr>
      </w:pPr>
      <w:r>
        <w:rPr>
          <w:rFonts w:hint="eastAsia" w:ascii="宋体" w:hAnsi="宋体" w:cs="宋体"/>
          <w:sz w:val="24"/>
        </w:rPr>
        <w:t>乙方在必要时有权对用户的供热设施进行查验，对认定不符合安全规定、违章安装管道设施或用户拒绝接受查验的，可以在安全隐患被排除前停止向该用户供热。</w:t>
      </w:r>
    </w:p>
    <w:p w14:paraId="3D100825">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15.4  </w:t>
      </w:r>
      <w:r>
        <w:rPr>
          <w:rFonts w:hint="eastAsia" w:ascii="宋体" w:hAnsi="宋体" w:cs="宋体"/>
          <w:b/>
          <w:sz w:val="24"/>
        </w:rPr>
        <w:t>应急与临时接管</w:t>
      </w:r>
    </w:p>
    <w:p w14:paraId="752D3E9E">
      <w:pPr>
        <w:spacing w:line="480" w:lineRule="auto"/>
        <w:ind w:firstLine="480"/>
        <w:jc w:val="left"/>
        <w:rPr>
          <w:rFonts w:hint="eastAsia" w:ascii="仿宋_GB2312" w:eastAsia="仿宋_GB2312" w:cs="仿宋_GB2312"/>
          <w:b/>
          <w:sz w:val="24"/>
        </w:rPr>
      </w:pPr>
      <w:r>
        <w:rPr>
          <w:rFonts w:hint="eastAsia" w:ascii="宋体" w:hAnsi="宋体" w:cs="宋体"/>
          <w:sz w:val="24"/>
        </w:rPr>
        <w:t>乙方应完善供热设施资料档案和设施信息化管理系统，建立应急抢修、抢险预案，设立供热设施应急抢修队伍和用户维修服务网点，提供</w:t>
      </w:r>
      <w:r>
        <w:rPr>
          <w:rFonts w:hint="eastAsia" w:ascii="仿宋_GB2312" w:eastAsia="仿宋_GB2312" w:cs="仿宋_GB2312"/>
          <w:sz w:val="24"/>
        </w:rPr>
        <w:t>24</w:t>
      </w:r>
      <w:r>
        <w:rPr>
          <w:rFonts w:hint="eastAsia" w:ascii="宋体" w:hAnsi="宋体" w:cs="宋体"/>
          <w:sz w:val="24"/>
        </w:rPr>
        <w:t>小时紧急热线服务和紧急抢修抢险。</w:t>
      </w:r>
    </w:p>
    <w:p w14:paraId="092A0E57">
      <w:pPr>
        <w:spacing w:line="480" w:lineRule="auto"/>
        <w:ind w:firstLine="480"/>
        <w:jc w:val="left"/>
        <w:rPr>
          <w:rFonts w:hint="eastAsia" w:ascii="仿宋_GB2312" w:eastAsia="仿宋_GB2312" w:cs="仿宋_GB2312"/>
          <w:sz w:val="24"/>
        </w:rPr>
      </w:pPr>
      <w:r>
        <w:rPr>
          <w:rFonts w:hint="eastAsia" w:ascii="宋体" w:hAnsi="宋体" w:cs="宋体"/>
          <w:sz w:val="24"/>
        </w:rPr>
        <w:t>甲、乙双方应建立供热应急预案，对乙方在冬季供热运行期间因无故拒绝供热，直接影响到居民正常采暖，给社会造成恶劣影响的情况，甲方可以采取临时应急接管措施。</w:t>
      </w:r>
    </w:p>
    <w:p w14:paraId="0125D19A">
      <w:pPr>
        <w:spacing w:line="480" w:lineRule="auto"/>
        <w:ind w:firstLine="480"/>
        <w:jc w:val="left"/>
        <w:rPr>
          <w:rFonts w:hint="eastAsia" w:ascii="仿宋_GB2312" w:eastAsia="仿宋_GB2312" w:cs="仿宋_GB2312"/>
          <w:sz w:val="24"/>
        </w:rPr>
      </w:pPr>
      <w:r>
        <w:rPr>
          <w:rFonts w:hint="eastAsia" w:ascii="宋体" w:hAnsi="宋体" w:cs="宋体"/>
          <w:sz w:val="24"/>
        </w:rPr>
        <w:t>出现下列现象时，甲方也可采取临时应急接管措施：</w:t>
      </w:r>
    </w:p>
    <w:p w14:paraId="1645349F">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w:t>
      </w:r>
      <w:r>
        <w:rPr>
          <w:rFonts w:hint="eastAsia" w:ascii="宋体" w:hAnsi="宋体" w:cs="宋体"/>
          <w:sz w:val="24"/>
        </w:rPr>
        <w:t>、公共利益需要；</w:t>
      </w:r>
    </w:p>
    <w:p w14:paraId="7FF07BF4">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2</w:t>
      </w:r>
      <w:r>
        <w:rPr>
          <w:rFonts w:hint="eastAsia" w:ascii="宋体" w:hAnsi="宋体" w:cs="宋体"/>
          <w:sz w:val="24"/>
        </w:rPr>
        <w:t>、非因乙方原因，致使乙方无法履行本合同所规定的义务情况；</w:t>
      </w:r>
    </w:p>
    <w:p w14:paraId="3FD91456">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3</w:t>
      </w:r>
      <w:r>
        <w:rPr>
          <w:rFonts w:hint="eastAsia" w:ascii="宋体" w:hAnsi="宋体" w:cs="宋体"/>
          <w:sz w:val="24"/>
        </w:rPr>
        <w:t>、任何发生本合同终止的情况。</w:t>
      </w:r>
    </w:p>
    <w:p w14:paraId="38088302">
      <w:pPr>
        <w:numPr>
          <w:ilvl w:val="0"/>
          <w:numId w:val="17"/>
        </w:numPr>
        <w:spacing w:line="480" w:lineRule="auto"/>
        <w:ind w:firstLine="2409"/>
        <w:jc w:val="left"/>
        <w:rPr>
          <w:rFonts w:hint="eastAsia" w:ascii="宋体" w:hAnsi="宋体" w:cs="宋体"/>
          <w:b/>
          <w:sz w:val="24"/>
        </w:rPr>
      </w:pPr>
      <w:r>
        <w:rPr>
          <w:rFonts w:hint="eastAsia" w:ascii="宋体" w:hAnsi="宋体" w:cs="宋体"/>
          <w:b/>
          <w:sz w:val="24"/>
        </w:rPr>
        <w:t xml:space="preserve"> 运营项目合同的终止</w:t>
      </w:r>
    </w:p>
    <w:p w14:paraId="51B102F7">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16.1  </w:t>
      </w:r>
      <w:r>
        <w:rPr>
          <w:rFonts w:hint="eastAsia" w:ascii="宋体" w:hAnsi="宋体" w:cs="宋体"/>
          <w:b/>
          <w:sz w:val="24"/>
        </w:rPr>
        <w:t>运营项目合同期限届满的终止</w:t>
      </w:r>
    </w:p>
    <w:p w14:paraId="0795F479">
      <w:pPr>
        <w:spacing w:line="480" w:lineRule="auto"/>
        <w:jc w:val="left"/>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经营期限届满时，运营项目合同自动终止。</w:t>
      </w:r>
    </w:p>
    <w:p w14:paraId="658742DF">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16.2  </w:t>
      </w:r>
      <w:r>
        <w:rPr>
          <w:rFonts w:hint="eastAsia" w:ascii="宋体" w:hAnsi="宋体" w:cs="宋体"/>
          <w:b/>
          <w:sz w:val="24"/>
        </w:rPr>
        <w:t>经营的提前终止</w:t>
      </w:r>
    </w:p>
    <w:p w14:paraId="6E72EE01">
      <w:pPr>
        <w:spacing w:line="480" w:lineRule="auto"/>
        <w:jc w:val="left"/>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发生下列情况，运营项目合同可以提前终止：</w:t>
      </w:r>
    </w:p>
    <w:p w14:paraId="49F42077">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w:t>
      </w:r>
      <w:r>
        <w:rPr>
          <w:rFonts w:hint="eastAsia" w:ascii="宋体" w:hAnsi="宋体" w:cs="宋体"/>
          <w:sz w:val="24"/>
        </w:rPr>
        <w:t>、双方一致同意提前终止；</w:t>
      </w:r>
    </w:p>
    <w:p w14:paraId="2CD03A9A">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2</w:t>
      </w:r>
      <w:r>
        <w:rPr>
          <w:rFonts w:hint="eastAsia" w:ascii="宋体" w:hAnsi="宋体" w:cs="宋体"/>
          <w:sz w:val="24"/>
        </w:rPr>
        <w:t>、因不可抗力发生后</w:t>
      </w:r>
      <w:r>
        <w:rPr>
          <w:rFonts w:hint="eastAsia" w:ascii="仿宋_GB2312" w:eastAsia="仿宋_GB2312" w:cs="仿宋_GB2312"/>
          <w:sz w:val="24"/>
        </w:rPr>
        <w:t>180</w:t>
      </w:r>
      <w:r>
        <w:rPr>
          <w:rFonts w:hint="eastAsia" w:ascii="宋体" w:hAnsi="宋体" w:cs="宋体"/>
          <w:sz w:val="24"/>
        </w:rPr>
        <w:t>天其后果仍未消除，致使双方或任何一方无法履行本合同情况的；</w:t>
      </w:r>
    </w:p>
    <w:p w14:paraId="7D5C51F3">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3</w:t>
      </w:r>
      <w:r>
        <w:rPr>
          <w:rFonts w:hint="eastAsia" w:ascii="宋体" w:hAnsi="宋体" w:cs="宋体"/>
          <w:sz w:val="24"/>
        </w:rPr>
        <w:t>、发生下列情况，甲方有权提前终止运营项目合同，并选择和指定有资质供热企业接管，乙方无条件退出：</w:t>
      </w:r>
    </w:p>
    <w:p w14:paraId="161B5889">
      <w:pPr>
        <w:spacing w:line="480" w:lineRule="auto"/>
        <w:jc w:val="left"/>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w:t>
      </w:r>
      <w:r>
        <w:rPr>
          <w:rFonts w:hint="eastAsia" w:ascii="仿宋_GB2312" w:eastAsia="仿宋_GB2312" w:cs="仿宋_GB2312"/>
          <w:sz w:val="24"/>
        </w:rPr>
        <w:t>1</w:t>
      </w:r>
      <w:r>
        <w:rPr>
          <w:rFonts w:hint="eastAsia" w:ascii="宋体" w:hAnsi="宋体" w:cs="宋体"/>
          <w:sz w:val="24"/>
        </w:rPr>
        <w:t>）擅自转让、出租经营权的；</w:t>
      </w:r>
    </w:p>
    <w:p w14:paraId="11CB2BB6">
      <w:pPr>
        <w:spacing w:line="480" w:lineRule="auto"/>
        <w:jc w:val="left"/>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w:t>
      </w:r>
      <w:r>
        <w:rPr>
          <w:rFonts w:hint="eastAsia" w:ascii="仿宋_GB2312" w:eastAsia="仿宋_GB2312" w:cs="仿宋_GB2312"/>
          <w:sz w:val="24"/>
        </w:rPr>
        <w:t>3</w:t>
      </w:r>
      <w:r>
        <w:rPr>
          <w:rFonts w:hint="eastAsia" w:ascii="宋体" w:hAnsi="宋体" w:cs="宋体"/>
          <w:sz w:val="24"/>
        </w:rPr>
        <w:t>）无故停止供热，无故推迟或者提前结束供热，严重影响社会公众利益，经责令其立即供热而拒不执行的，但出现合同约定原因的除外；</w:t>
      </w:r>
    </w:p>
    <w:p w14:paraId="2FA3AA6F">
      <w:pPr>
        <w:spacing w:line="480" w:lineRule="auto"/>
        <w:jc w:val="left"/>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w:t>
      </w:r>
      <w:r>
        <w:rPr>
          <w:rFonts w:hint="eastAsia" w:ascii="仿宋_GB2312" w:eastAsia="仿宋_GB2312" w:cs="仿宋_GB2312"/>
          <w:sz w:val="24"/>
        </w:rPr>
        <w:t>4</w:t>
      </w:r>
      <w:r>
        <w:rPr>
          <w:rFonts w:hint="eastAsia" w:ascii="宋体" w:hAnsi="宋体" w:cs="宋体"/>
          <w:sz w:val="24"/>
        </w:rPr>
        <w:t>）因乙方责任，造成大面积（占供暖面积三分之一）采暖用户室内温度不能达到服务标准和规定，供热监管部门责令其限期改正，逾期不改的；</w:t>
      </w:r>
    </w:p>
    <w:p w14:paraId="4A9B7B47">
      <w:pPr>
        <w:spacing w:line="480" w:lineRule="auto"/>
        <w:jc w:val="left"/>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w:t>
      </w:r>
      <w:r>
        <w:rPr>
          <w:rFonts w:hint="eastAsia" w:ascii="仿宋_GB2312" w:eastAsia="仿宋_GB2312" w:cs="仿宋_GB2312"/>
          <w:sz w:val="24"/>
        </w:rPr>
        <w:t>5</w:t>
      </w:r>
      <w:r>
        <w:rPr>
          <w:rFonts w:hint="eastAsia" w:ascii="宋体" w:hAnsi="宋体" w:cs="宋体"/>
          <w:sz w:val="24"/>
        </w:rPr>
        <w:t>）因乙方管理不善等原因造成停止供热，无法再继续正常供热或拒绝为热用户供热，己危及社会公众利益的；</w:t>
      </w:r>
    </w:p>
    <w:p w14:paraId="4C8D12E4">
      <w:pPr>
        <w:spacing w:line="480" w:lineRule="auto"/>
        <w:jc w:val="left"/>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w:t>
      </w:r>
      <w:r>
        <w:rPr>
          <w:rFonts w:hint="eastAsia" w:ascii="仿宋_GB2312" w:eastAsia="仿宋_GB2312" w:cs="仿宋_GB2312"/>
          <w:sz w:val="24"/>
        </w:rPr>
        <w:t>6</w:t>
      </w:r>
      <w:r>
        <w:rPr>
          <w:rFonts w:hint="eastAsia" w:ascii="宋体" w:hAnsi="宋体" w:cs="宋体"/>
          <w:sz w:val="24"/>
        </w:rPr>
        <w:t>）擅自停业、歇业或终止《合同》，严重影响到社会公共利益和安全的；</w:t>
      </w:r>
    </w:p>
    <w:p w14:paraId="338D2D6A">
      <w:pPr>
        <w:spacing w:line="480" w:lineRule="auto"/>
        <w:jc w:val="left"/>
        <w:rPr>
          <w:rFonts w:hint="eastAsia" w:ascii="仿宋_GB2312" w:eastAsia="仿宋_GB2312" w:cs="仿宋_GB2312"/>
          <w:sz w:val="24"/>
        </w:rPr>
      </w:pPr>
      <w:r>
        <w:rPr>
          <w:rFonts w:hint="eastAsia" w:ascii="仿宋_GB2312" w:eastAsia="仿宋_GB2312" w:cs="仿宋_GB2312"/>
          <w:sz w:val="24"/>
        </w:rPr>
        <w:t xml:space="preserve">   </w:t>
      </w:r>
      <w:r>
        <w:rPr>
          <w:rFonts w:hint="eastAsia" w:ascii="宋体" w:hAnsi="宋体" w:cs="宋体"/>
          <w:sz w:val="24"/>
        </w:rPr>
        <w:t>（</w:t>
      </w:r>
      <w:r>
        <w:rPr>
          <w:rFonts w:hint="eastAsia" w:ascii="仿宋_GB2312" w:eastAsia="仿宋_GB2312" w:cs="仿宋_GB2312"/>
          <w:sz w:val="24"/>
        </w:rPr>
        <w:t>7</w:t>
      </w:r>
      <w:r>
        <w:rPr>
          <w:rFonts w:hint="eastAsia" w:ascii="宋体" w:hAnsi="宋体" w:cs="宋体"/>
          <w:sz w:val="24"/>
        </w:rPr>
        <w:t>）严重违规违法经营，影响正常供热的</w:t>
      </w:r>
      <w:r>
        <w:rPr>
          <w:rFonts w:hint="eastAsia" w:ascii="仿宋_GB2312" w:hAnsi="仿宋_GB2312" w:cs="仿宋_GB2312"/>
          <w:sz w:val="24"/>
        </w:rPr>
        <w:t>。</w:t>
      </w:r>
    </w:p>
    <w:p w14:paraId="682FE269">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4</w:t>
      </w:r>
      <w:r>
        <w:rPr>
          <w:rFonts w:hint="eastAsia" w:ascii="宋体" w:hAnsi="宋体" w:cs="宋体"/>
          <w:sz w:val="24"/>
        </w:rPr>
        <w:t>、发生下列情况，乙方有权提前终止运营项目合同，甲方应配合乙方办理接管手续：</w:t>
      </w:r>
    </w:p>
    <w:p w14:paraId="13BFD091">
      <w:pPr>
        <w:spacing w:line="480" w:lineRule="auto"/>
        <w:ind w:firstLine="480"/>
        <w:jc w:val="left"/>
        <w:rPr>
          <w:rFonts w:hint="eastAsia" w:ascii="仿宋_GB2312" w:eastAsia="仿宋_GB2312" w:cs="仿宋_GB2312"/>
          <w:sz w:val="24"/>
        </w:rPr>
      </w:pPr>
      <w:r>
        <w:rPr>
          <w:rFonts w:hint="eastAsia" w:ascii="宋体" w:hAnsi="宋体" w:cs="宋体"/>
          <w:sz w:val="24"/>
        </w:rPr>
        <w:t>（</w:t>
      </w:r>
      <w:r>
        <w:rPr>
          <w:rFonts w:hint="eastAsia" w:ascii="仿宋_GB2312" w:eastAsia="仿宋_GB2312" w:cs="仿宋_GB2312"/>
          <w:sz w:val="24"/>
        </w:rPr>
        <w:t>1</w:t>
      </w:r>
      <w:r>
        <w:rPr>
          <w:rFonts w:hint="eastAsia" w:ascii="宋体" w:hAnsi="宋体" w:cs="宋体"/>
          <w:sz w:val="24"/>
        </w:rPr>
        <w:t>）擅自委托第三方对运营项目进行经营管理；</w:t>
      </w:r>
    </w:p>
    <w:p w14:paraId="30A2C3C4">
      <w:pPr>
        <w:spacing w:line="480" w:lineRule="auto"/>
        <w:ind w:firstLine="480"/>
        <w:jc w:val="left"/>
        <w:rPr>
          <w:rFonts w:hint="eastAsia" w:ascii="仿宋_GB2312" w:eastAsia="仿宋_GB2312" w:cs="仿宋_GB2312"/>
          <w:sz w:val="24"/>
        </w:rPr>
      </w:pPr>
      <w:r>
        <w:rPr>
          <w:rFonts w:hint="eastAsia" w:ascii="宋体" w:hAnsi="宋体" w:cs="宋体"/>
          <w:sz w:val="24"/>
        </w:rPr>
        <w:t>（</w:t>
      </w:r>
      <w:r>
        <w:rPr>
          <w:rFonts w:hint="eastAsia" w:ascii="仿宋_GB2312" w:eastAsia="仿宋_GB2312" w:cs="仿宋_GB2312"/>
          <w:sz w:val="24"/>
        </w:rPr>
        <w:t>2</w:t>
      </w:r>
      <w:r>
        <w:rPr>
          <w:rFonts w:hint="eastAsia" w:ascii="宋体" w:hAnsi="宋体" w:cs="宋体"/>
          <w:sz w:val="24"/>
        </w:rPr>
        <w:t>）过分干预乙方运营该项目，包括但不限于参与乙方收费活动，未经乙方允许擅自以监督管理名义影响乙方正常经营活动等；</w:t>
      </w:r>
    </w:p>
    <w:p w14:paraId="2B47D8B7">
      <w:pPr>
        <w:spacing w:line="480" w:lineRule="auto"/>
        <w:ind w:firstLine="480"/>
        <w:jc w:val="left"/>
        <w:rPr>
          <w:rFonts w:hint="eastAsia" w:ascii="仿宋_GB2312" w:eastAsia="仿宋_GB2312" w:cs="仿宋_GB2312"/>
          <w:sz w:val="24"/>
        </w:rPr>
      </w:pPr>
      <w:r>
        <w:rPr>
          <w:rFonts w:hint="eastAsia" w:ascii="宋体" w:hAnsi="宋体" w:cs="宋体"/>
          <w:sz w:val="24"/>
        </w:rPr>
        <w:t>（</w:t>
      </w:r>
      <w:r>
        <w:rPr>
          <w:rFonts w:hint="eastAsia" w:ascii="仿宋_GB2312" w:eastAsia="仿宋_GB2312" w:cs="仿宋_GB2312"/>
          <w:sz w:val="24"/>
        </w:rPr>
        <w:t>3</w:t>
      </w:r>
      <w:r>
        <w:rPr>
          <w:rFonts w:hint="eastAsia" w:ascii="宋体" w:hAnsi="宋体" w:cs="宋体"/>
          <w:sz w:val="24"/>
        </w:rPr>
        <w:t>）未将运营项目完整资料移交乙方，经乙方要求仍不配合移交的；</w:t>
      </w:r>
    </w:p>
    <w:p w14:paraId="5B83F863">
      <w:pPr>
        <w:spacing w:line="480" w:lineRule="auto"/>
        <w:ind w:firstLine="480"/>
        <w:jc w:val="left"/>
        <w:rPr>
          <w:rFonts w:hint="eastAsia" w:ascii="仿宋_GB2312" w:eastAsia="仿宋_GB2312" w:cs="仿宋_GB2312"/>
          <w:sz w:val="24"/>
        </w:rPr>
      </w:pPr>
      <w:r>
        <w:rPr>
          <w:rFonts w:hint="eastAsia" w:ascii="宋体" w:hAnsi="宋体" w:cs="宋体"/>
          <w:sz w:val="24"/>
        </w:rPr>
        <w:t>（</w:t>
      </w:r>
      <w:r>
        <w:rPr>
          <w:rFonts w:hint="eastAsia" w:ascii="仿宋_GB2312" w:eastAsia="仿宋_GB2312" w:cs="仿宋_GB2312"/>
          <w:sz w:val="24"/>
        </w:rPr>
        <w:t>4</w:t>
      </w:r>
      <w:r>
        <w:rPr>
          <w:rFonts w:hint="eastAsia" w:ascii="宋体" w:hAnsi="宋体" w:cs="宋体"/>
          <w:sz w:val="24"/>
        </w:rPr>
        <w:t>）严重影响乙方正常供热的其他行为；</w:t>
      </w:r>
    </w:p>
    <w:p w14:paraId="4853E736">
      <w:pPr>
        <w:spacing w:line="480" w:lineRule="auto"/>
        <w:ind w:firstLine="480"/>
        <w:jc w:val="left"/>
        <w:rPr>
          <w:rFonts w:hint="eastAsia" w:ascii="仿宋_GB2312" w:eastAsia="仿宋_GB2312" w:cs="仿宋_GB2312"/>
          <w:sz w:val="24"/>
        </w:rPr>
      </w:pPr>
      <w:r>
        <w:rPr>
          <w:rFonts w:hint="eastAsia" w:ascii="宋体" w:hAnsi="宋体" w:cs="宋体"/>
          <w:sz w:val="24"/>
        </w:rPr>
        <w:t>（</w:t>
      </w:r>
      <w:r>
        <w:rPr>
          <w:rFonts w:hint="eastAsia" w:ascii="仿宋_GB2312" w:eastAsia="仿宋_GB2312" w:cs="仿宋_GB2312"/>
          <w:sz w:val="24"/>
        </w:rPr>
        <w:t>5</w:t>
      </w:r>
      <w:r>
        <w:rPr>
          <w:rFonts w:hint="eastAsia" w:ascii="宋体" w:hAnsi="宋体" w:cs="宋体"/>
          <w:sz w:val="24"/>
        </w:rPr>
        <w:t>）其他合同约定、法律、法规禁止的行为。</w:t>
      </w:r>
    </w:p>
    <w:p w14:paraId="1422955B">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5</w:t>
      </w:r>
      <w:r>
        <w:rPr>
          <w:rFonts w:hint="eastAsia" w:ascii="宋体" w:hAnsi="宋体" w:cs="宋体"/>
          <w:sz w:val="24"/>
        </w:rPr>
        <w:t>、甲方发生在本合同下的重大违约，乙方有权提前终止运营项目合同：</w:t>
      </w:r>
    </w:p>
    <w:p w14:paraId="331B0ADF">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6</w:t>
      </w:r>
      <w:r>
        <w:rPr>
          <w:rFonts w:hint="eastAsia" w:ascii="宋体" w:hAnsi="宋体" w:cs="宋体"/>
          <w:sz w:val="24"/>
        </w:rPr>
        <w:t>、因运营项目合同任意一方认为有必要时，经甲、乙双方协商可以提前终止本合同，并签订协议提前终止合同。协商不能达成一致时，按照争议解决机制解决，终止前任意一方都有义务继续履行本合同的义务不得擅自提前终止本合同。</w:t>
      </w:r>
      <w:r>
        <w:rPr>
          <w:rFonts w:hint="eastAsia" w:ascii="仿宋_GB2312" w:eastAsia="仿宋_GB2312" w:cs="仿宋_GB2312"/>
          <w:sz w:val="24"/>
        </w:rPr>
        <w:t xml:space="preserve"> </w:t>
      </w:r>
    </w:p>
    <w:p w14:paraId="66B016A1">
      <w:pPr>
        <w:spacing w:line="480" w:lineRule="auto"/>
        <w:jc w:val="left"/>
        <w:rPr>
          <w:rFonts w:hint="eastAsia" w:ascii="仿宋_GB2312" w:eastAsia="仿宋_GB2312" w:cs="仿宋_GB2312"/>
          <w:b/>
          <w:sz w:val="24"/>
        </w:rPr>
      </w:pPr>
      <w:r>
        <w:rPr>
          <w:rFonts w:hint="eastAsia" w:ascii="仿宋_GB2312" w:eastAsia="仿宋_GB2312" w:cs="仿宋_GB2312"/>
          <w:b/>
          <w:sz w:val="24"/>
        </w:rPr>
        <w:t xml:space="preserve">    16.3  </w:t>
      </w:r>
      <w:r>
        <w:rPr>
          <w:rFonts w:hint="eastAsia" w:ascii="宋体" w:hAnsi="宋体" w:cs="宋体"/>
          <w:b/>
          <w:sz w:val="24"/>
        </w:rPr>
        <w:t>运营项目合同终止相关责任</w:t>
      </w:r>
    </w:p>
    <w:p w14:paraId="7F3C18C7">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w:t>
      </w:r>
      <w:r>
        <w:rPr>
          <w:rFonts w:hint="eastAsia" w:ascii="宋体" w:hAnsi="宋体" w:cs="宋体"/>
          <w:sz w:val="24"/>
        </w:rPr>
        <w:t>、本合同终止前，任何一方均有义务继续履行本合同。</w:t>
      </w:r>
    </w:p>
    <w:p w14:paraId="6B988CB5">
      <w:pPr>
        <w:spacing w:line="480" w:lineRule="auto"/>
        <w:ind w:firstLine="480"/>
        <w:jc w:val="left"/>
        <w:rPr>
          <w:rFonts w:hint="eastAsia" w:ascii="宋体" w:cs="宋体"/>
          <w:sz w:val="24"/>
        </w:rPr>
      </w:pPr>
      <w:r>
        <w:rPr>
          <w:rFonts w:hint="eastAsia" w:ascii="仿宋_GB2312" w:eastAsia="仿宋_GB2312" w:cs="仿宋_GB2312"/>
          <w:sz w:val="24"/>
        </w:rPr>
        <w:t>2</w:t>
      </w:r>
      <w:r>
        <w:rPr>
          <w:rFonts w:hint="eastAsia" w:ascii="宋体" w:hAnsi="宋体" w:cs="宋体"/>
          <w:sz w:val="24"/>
        </w:rPr>
        <w:t>、本合同正常终止前，应在终止日前</w:t>
      </w:r>
      <w:r>
        <w:rPr>
          <w:rFonts w:hint="eastAsia" w:ascii="仿宋_GB2312" w:eastAsia="仿宋_GB2312" w:cs="仿宋_GB2312"/>
          <w:sz w:val="24"/>
        </w:rPr>
        <w:t>180</w:t>
      </w:r>
      <w:r>
        <w:rPr>
          <w:rFonts w:hint="eastAsia" w:ascii="宋体" w:hAnsi="宋体" w:cs="宋体"/>
          <w:sz w:val="24"/>
        </w:rPr>
        <w:t>日内完成谈判，并签订相关合同。若谈判无结果则合同到期自动解除。</w:t>
      </w:r>
    </w:p>
    <w:p w14:paraId="128B6343">
      <w:pPr>
        <w:numPr>
          <w:ilvl w:val="0"/>
          <w:numId w:val="17"/>
        </w:numPr>
        <w:spacing w:line="480" w:lineRule="auto"/>
        <w:ind w:firstLine="2409"/>
        <w:jc w:val="left"/>
        <w:rPr>
          <w:rFonts w:hint="eastAsia" w:ascii="宋体" w:hAnsi="宋体" w:cs="宋体"/>
          <w:b/>
          <w:sz w:val="24"/>
        </w:rPr>
      </w:pPr>
      <w:r>
        <w:rPr>
          <w:rFonts w:hint="eastAsia" w:ascii="宋体" w:hAnsi="宋体" w:cs="宋体"/>
          <w:b/>
          <w:sz w:val="24"/>
        </w:rPr>
        <w:t>经营期限期满的移交</w:t>
      </w:r>
    </w:p>
    <w:p w14:paraId="414ABA2B">
      <w:pPr>
        <w:spacing w:line="480" w:lineRule="auto"/>
        <w:ind w:firstLine="482"/>
        <w:rPr>
          <w:rFonts w:hint="eastAsia" w:ascii="仿宋_GB2312" w:eastAsia="仿宋_GB2312" w:cs="仿宋_GB2312"/>
          <w:sz w:val="24"/>
        </w:rPr>
      </w:pPr>
      <w:r>
        <w:rPr>
          <w:rFonts w:hint="eastAsia" w:ascii="仿宋_GB2312" w:eastAsia="仿宋_GB2312" w:cs="仿宋_GB2312"/>
          <w:b/>
          <w:sz w:val="24"/>
        </w:rPr>
        <w:t>17.1</w:t>
      </w:r>
      <w:r>
        <w:rPr>
          <w:rFonts w:hint="eastAsia" w:ascii="仿宋_GB2312" w:eastAsia="仿宋_GB2312" w:cs="仿宋_GB2312"/>
          <w:sz w:val="24"/>
        </w:rPr>
        <w:t xml:space="preserve"> </w:t>
      </w:r>
      <w:r>
        <w:rPr>
          <w:rFonts w:hint="eastAsia" w:ascii="宋体" w:hAnsi="宋体" w:cs="宋体"/>
          <w:sz w:val="24"/>
        </w:rPr>
        <w:t>在经营期限期满</w:t>
      </w:r>
      <w:r>
        <w:rPr>
          <w:rFonts w:hint="eastAsia" w:ascii="仿宋_GB2312" w:eastAsia="仿宋_GB2312" w:cs="仿宋_GB2312"/>
          <w:sz w:val="24"/>
        </w:rPr>
        <w:t>1</w:t>
      </w:r>
      <w:r>
        <w:rPr>
          <w:rFonts w:hint="eastAsia" w:ascii="宋体" w:hAnsi="宋体" w:cs="宋体"/>
          <w:sz w:val="24"/>
        </w:rPr>
        <w:t>个月之前，由甲乙双方成立移交委员会；研究制定移交方案和计划。</w:t>
      </w:r>
    </w:p>
    <w:p w14:paraId="48F5BC52">
      <w:pPr>
        <w:numPr>
          <w:ilvl w:val="0"/>
          <w:numId w:val="17"/>
        </w:numPr>
        <w:spacing w:line="480" w:lineRule="auto"/>
        <w:ind w:firstLine="2409"/>
        <w:jc w:val="left"/>
        <w:rPr>
          <w:rFonts w:hint="eastAsia" w:ascii="宋体" w:hAnsi="宋体" w:cs="宋体"/>
          <w:b/>
          <w:sz w:val="24"/>
        </w:rPr>
      </w:pPr>
      <w:r>
        <w:rPr>
          <w:rFonts w:hint="eastAsia" w:ascii="宋体" w:hAnsi="宋体" w:cs="宋体"/>
          <w:b/>
          <w:sz w:val="24"/>
        </w:rPr>
        <w:t>经营权终止后的资产处置</w:t>
      </w:r>
    </w:p>
    <w:p w14:paraId="12BA8BCE">
      <w:pPr>
        <w:spacing w:line="480" w:lineRule="auto"/>
        <w:jc w:val="left"/>
        <w:rPr>
          <w:rFonts w:hint="eastAsia" w:ascii="仿宋_GB2312" w:eastAsia="仿宋_GB2312" w:cs="仿宋_GB2312"/>
          <w:b/>
          <w:sz w:val="24"/>
        </w:rPr>
      </w:pPr>
      <w:r>
        <w:rPr>
          <w:rFonts w:hint="eastAsia" w:ascii="仿宋_GB2312" w:eastAsia="仿宋_GB2312" w:cs="仿宋_GB2312"/>
          <w:b/>
          <w:sz w:val="24"/>
        </w:rPr>
        <w:t xml:space="preserve">    18.1 </w:t>
      </w:r>
      <w:r>
        <w:rPr>
          <w:rFonts w:hint="eastAsia" w:ascii="宋体" w:hAnsi="宋体" w:cs="宋体"/>
          <w:b/>
          <w:sz w:val="24"/>
        </w:rPr>
        <w:t>资产处置谈判</w:t>
      </w:r>
    </w:p>
    <w:p w14:paraId="24CA0AB6">
      <w:pPr>
        <w:spacing w:line="480" w:lineRule="auto"/>
        <w:ind w:firstLine="480"/>
        <w:jc w:val="left"/>
        <w:rPr>
          <w:rFonts w:hint="eastAsia" w:ascii="仿宋_GB2312" w:eastAsia="仿宋_GB2312" w:cs="仿宋_GB2312"/>
          <w:sz w:val="24"/>
        </w:rPr>
      </w:pPr>
      <w:r>
        <w:rPr>
          <w:rFonts w:hint="eastAsia" w:ascii="宋体" w:hAnsi="宋体" w:cs="宋体"/>
          <w:sz w:val="24"/>
        </w:rPr>
        <w:t>发生提前终止的情况，双方应对资产处置进行谈判，提前终止资产处置谈判应区分政府征收、不可抗力、乙方违约、甲方违约等不同情况。若谈判无法达成一致诉讼至当地法院。</w:t>
      </w:r>
    </w:p>
    <w:p w14:paraId="46914519">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18.2</w:t>
      </w:r>
      <w:r>
        <w:rPr>
          <w:rFonts w:hint="eastAsia" w:ascii="宋体" w:hAnsi="宋体" w:cs="宋体"/>
          <w:b/>
          <w:sz w:val="24"/>
        </w:rPr>
        <w:t>经营权终止日的确定</w:t>
      </w:r>
    </w:p>
    <w:p w14:paraId="377CAE2E">
      <w:pPr>
        <w:spacing w:line="480" w:lineRule="auto"/>
        <w:ind w:firstLine="480"/>
        <w:jc w:val="left"/>
        <w:rPr>
          <w:rFonts w:hint="eastAsia" w:ascii="仿宋_GB2312" w:eastAsia="仿宋_GB2312" w:cs="仿宋_GB2312"/>
          <w:sz w:val="24"/>
        </w:rPr>
      </w:pPr>
      <w:r>
        <w:rPr>
          <w:rFonts w:hint="eastAsia" w:ascii="宋体" w:hAnsi="宋体" w:cs="宋体"/>
          <w:sz w:val="24"/>
        </w:rPr>
        <w:t>经营权终止日依照下列各情况而定：</w:t>
      </w:r>
    </w:p>
    <w:p w14:paraId="659F99B5">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w:t>
      </w:r>
      <w:r>
        <w:rPr>
          <w:rFonts w:hint="eastAsia" w:ascii="宋体" w:hAnsi="宋体" w:cs="宋体"/>
          <w:sz w:val="24"/>
        </w:rPr>
        <w:t>、经营权因经营期限届满而终止的，经营权终止日为经营期限届满日；</w:t>
      </w:r>
    </w:p>
    <w:p w14:paraId="269508DC">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2</w:t>
      </w:r>
      <w:r>
        <w:rPr>
          <w:rFonts w:hint="eastAsia" w:ascii="宋体" w:hAnsi="宋体" w:cs="宋体"/>
          <w:sz w:val="24"/>
        </w:rPr>
        <w:t>、经营权因本合同第十七章规定的经营权终止情况的出现而终止的，该情况发生日为经营权终止日；</w:t>
      </w:r>
    </w:p>
    <w:p w14:paraId="7E63A49F">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3</w:t>
      </w:r>
      <w:r>
        <w:rPr>
          <w:rFonts w:hint="eastAsia" w:ascii="宋体" w:hAnsi="宋体" w:cs="宋体"/>
          <w:sz w:val="24"/>
        </w:rPr>
        <w:t>、因本合同解除而引起经营权终止的，引起合同解除的情况发生日或者做出解除合同的决定日为经营权终止日。</w:t>
      </w:r>
      <w:r>
        <w:rPr>
          <w:rFonts w:hint="eastAsia" w:ascii="仿宋_GB2312" w:eastAsia="仿宋_GB2312" w:cs="仿宋_GB2312"/>
          <w:b/>
          <w:sz w:val="24"/>
        </w:rPr>
        <w:t xml:space="preserve"> </w:t>
      </w:r>
    </w:p>
    <w:p w14:paraId="173E2FE2">
      <w:pPr>
        <w:numPr>
          <w:ilvl w:val="0"/>
          <w:numId w:val="17"/>
        </w:numPr>
        <w:spacing w:line="480" w:lineRule="auto"/>
        <w:ind w:firstLine="2409"/>
        <w:jc w:val="left"/>
        <w:rPr>
          <w:rFonts w:hint="eastAsia" w:ascii="宋体" w:hAnsi="宋体" w:cs="宋体"/>
          <w:b/>
          <w:sz w:val="24"/>
        </w:rPr>
      </w:pPr>
      <w:r>
        <w:rPr>
          <w:rFonts w:hint="eastAsia" w:ascii="宋体" w:hAnsi="宋体" w:cs="宋体"/>
          <w:b/>
          <w:sz w:val="24"/>
        </w:rPr>
        <w:t>服务质量</w:t>
      </w:r>
    </w:p>
    <w:p w14:paraId="2197883C">
      <w:pPr>
        <w:spacing w:line="480" w:lineRule="auto"/>
        <w:ind w:firstLine="482"/>
        <w:rPr>
          <w:rFonts w:hint="eastAsia" w:ascii="仿宋_GB2312" w:eastAsia="仿宋_GB2312" w:cs="仿宋_GB2312"/>
          <w:b/>
          <w:sz w:val="24"/>
        </w:rPr>
      </w:pPr>
      <w:r>
        <w:rPr>
          <w:rFonts w:hint="eastAsia" w:ascii="仿宋_GB2312" w:eastAsia="仿宋_GB2312" w:cs="仿宋_GB2312"/>
          <w:b/>
          <w:sz w:val="24"/>
        </w:rPr>
        <w:t xml:space="preserve">19.1  </w:t>
      </w:r>
      <w:r>
        <w:rPr>
          <w:rFonts w:hint="eastAsia" w:ascii="宋体" w:hAnsi="宋体" w:cs="宋体"/>
          <w:b/>
          <w:sz w:val="24"/>
        </w:rPr>
        <w:t>供热质量</w:t>
      </w:r>
    </w:p>
    <w:p w14:paraId="2C285959">
      <w:pPr>
        <w:spacing w:line="480" w:lineRule="auto"/>
        <w:ind w:firstLine="645"/>
        <w:rPr>
          <w:rFonts w:hint="eastAsia" w:ascii="仿宋_GB2312" w:eastAsia="仿宋_GB2312" w:cs="仿宋_GB2312"/>
          <w:sz w:val="24"/>
        </w:rPr>
      </w:pPr>
      <w:r>
        <w:rPr>
          <w:rFonts w:hint="eastAsia" w:ascii="宋体" w:hAnsi="宋体" w:cs="宋体"/>
          <w:sz w:val="24"/>
        </w:rPr>
        <w:t>乙方应当建立供热质量保证体系和相应设施。</w:t>
      </w:r>
    </w:p>
    <w:p w14:paraId="64C66692">
      <w:pPr>
        <w:spacing w:line="480" w:lineRule="auto"/>
        <w:ind w:firstLine="482"/>
        <w:rPr>
          <w:rFonts w:hint="eastAsia" w:ascii="仿宋_GB2312" w:eastAsia="仿宋_GB2312" w:cs="仿宋_GB2312"/>
          <w:b/>
          <w:sz w:val="24"/>
        </w:rPr>
      </w:pPr>
      <w:r>
        <w:rPr>
          <w:rFonts w:hint="eastAsia" w:ascii="仿宋_GB2312" w:eastAsia="仿宋_GB2312" w:cs="仿宋_GB2312"/>
          <w:b/>
          <w:sz w:val="24"/>
        </w:rPr>
        <w:t xml:space="preserve">19.2  </w:t>
      </w:r>
      <w:r>
        <w:rPr>
          <w:rFonts w:hint="eastAsia" w:ascii="宋体" w:hAnsi="宋体" w:cs="宋体"/>
          <w:b/>
          <w:sz w:val="24"/>
        </w:rPr>
        <w:t>服务质量</w:t>
      </w:r>
    </w:p>
    <w:p w14:paraId="2FB0B884">
      <w:pPr>
        <w:spacing w:line="480" w:lineRule="auto"/>
        <w:ind w:firstLine="480"/>
        <w:jc w:val="left"/>
        <w:rPr>
          <w:rFonts w:hint="eastAsia" w:ascii="仿宋_GB2312" w:eastAsia="仿宋_GB2312" w:cs="仿宋_GB2312"/>
          <w:sz w:val="24"/>
        </w:rPr>
      </w:pPr>
      <w:r>
        <w:rPr>
          <w:rFonts w:hint="eastAsia" w:ascii="宋体" w:hAnsi="宋体" w:cs="宋体"/>
          <w:sz w:val="24"/>
        </w:rPr>
        <w:t>乙方应当根据用户的实际需要向用户提供业务热线、营业接待、室温检测、设施安装检修等综合服务。</w:t>
      </w:r>
    </w:p>
    <w:p w14:paraId="5DB921E6">
      <w:pPr>
        <w:numPr>
          <w:ilvl w:val="0"/>
          <w:numId w:val="17"/>
        </w:numPr>
        <w:spacing w:line="480" w:lineRule="auto"/>
        <w:ind w:firstLine="2409"/>
        <w:jc w:val="left"/>
        <w:rPr>
          <w:rFonts w:hint="eastAsia" w:ascii="宋体" w:cs="宋体"/>
          <w:b/>
          <w:sz w:val="24"/>
        </w:rPr>
      </w:pPr>
      <w:r>
        <w:rPr>
          <w:rFonts w:hint="eastAsia" w:ascii="宋体" w:hAnsi="宋体" w:cs="宋体"/>
          <w:b/>
          <w:sz w:val="24"/>
        </w:rPr>
        <w:t>禁止行为</w:t>
      </w:r>
    </w:p>
    <w:p w14:paraId="13B1BF15">
      <w:pPr>
        <w:spacing w:line="480" w:lineRule="auto"/>
        <w:ind w:firstLine="570"/>
        <w:jc w:val="left"/>
        <w:rPr>
          <w:rFonts w:hint="eastAsia" w:ascii="仿宋_GB2312" w:eastAsia="仿宋_GB2312" w:cs="仿宋_GB2312"/>
          <w:b/>
          <w:sz w:val="24"/>
        </w:rPr>
      </w:pPr>
      <w:r>
        <w:rPr>
          <w:rFonts w:hint="eastAsia" w:ascii="仿宋_GB2312" w:eastAsia="仿宋_GB2312" w:cs="仿宋_GB2312"/>
          <w:b/>
          <w:sz w:val="24"/>
        </w:rPr>
        <w:t xml:space="preserve">20.1  </w:t>
      </w:r>
      <w:r>
        <w:rPr>
          <w:rFonts w:hint="eastAsia" w:ascii="宋体" w:hAnsi="宋体" w:cs="宋体"/>
          <w:b/>
          <w:sz w:val="24"/>
        </w:rPr>
        <w:t>获得经营权的供热企业在经营期间禁止以下行为：</w:t>
      </w:r>
    </w:p>
    <w:p w14:paraId="14A391E0">
      <w:pPr>
        <w:spacing w:line="480" w:lineRule="auto"/>
        <w:ind w:firstLine="570"/>
        <w:jc w:val="left"/>
        <w:rPr>
          <w:rFonts w:hint="eastAsia" w:ascii="仿宋_GB2312" w:eastAsia="仿宋_GB2312" w:cs="仿宋_GB2312"/>
          <w:sz w:val="24"/>
        </w:rPr>
      </w:pPr>
      <w:r>
        <w:rPr>
          <w:rFonts w:hint="eastAsia" w:ascii="仿宋_GB2312" w:eastAsia="仿宋_GB2312" w:cs="仿宋_GB2312"/>
          <w:sz w:val="24"/>
        </w:rPr>
        <w:t>1</w:t>
      </w:r>
      <w:r>
        <w:rPr>
          <w:rFonts w:hint="eastAsia" w:ascii="宋体" w:hAnsi="宋体" w:cs="宋体"/>
          <w:sz w:val="24"/>
        </w:rPr>
        <w:t>、严重违规、违法经营的；</w:t>
      </w:r>
    </w:p>
    <w:p w14:paraId="44194DB6">
      <w:pPr>
        <w:spacing w:line="480" w:lineRule="auto"/>
        <w:ind w:firstLine="570"/>
        <w:jc w:val="left"/>
        <w:rPr>
          <w:rFonts w:hint="eastAsia" w:ascii="仿宋_GB2312" w:eastAsia="仿宋_GB2312" w:cs="仿宋_GB2312"/>
          <w:sz w:val="24"/>
        </w:rPr>
      </w:pPr>
      <w:r>
        <w:rPr>
          <w:rFonts w:hint="eastAsia" w:ascii="仿宋_GB2312" w:eastAsia="仿宋_GB2312" w:cs="仿宋_GB2312"/>
          <w:sz w:val="24"/>
        </w:rPr>
        <w:t>2</w:t>
      </w:r>
      <w:r>
        <w:rPr>
          <w:rFonts w:hint="eastAsia" w:ascii="宋体" w:hAnsi="宋体" w:cs="宋体"/>
          <w:sz w:val="24"/>
        </w:rPr>
        <w:t>、未按要求履行本合同，供热供应、运行和服务质量不符合标准，并未按行业主管部门要求限期整改的；</w:t>
      </w:r>
    </w:p>
    <w:p w14:paraId="6A1886DD">
      <w:pPr>
        <w:spacing w:line="480" w:lineRule="auto"/>
        <w:ind w:firstLine="570"/>
        <w:jc w:val="left"/>
        <w:rPr>
          <w:rFonts w:hint="eastAsia" w:ascii="仿宋_GB2312" w:eastAsia="仿宋_GB2312" w:cs="仿宋_GB2312"/>
          <w:sz w:val="24"/>
        </w:rPr>
      </w:pPr>
      <w:r>
        <w:rPr>
          <w:rFonts w:hint="eastAsia" w:ascii="仿宋_GB2312" w:eastAsia="仿宋_GB2312" w:cs="仿宋_GB2312"/>
          <w:sz w:val="24"/>
        </w:rPr>
        <w:t>3</w:t>
      </w:r>
      <w:r>
        <w:rPr>
          <w:rFonts w:hint="eastAsia" w:ascii="宋体" w:hAnsi="宋体" w:cs="宋体"/>
          <w:sz w:val="24"/>
        </w:rPr>
        <w:t>、未经政府及甲方批准，擅自转让、出租、抵押或变更经营权的；</w:t>
      </w:r>
    </w:p>
    <w:p w14:paraId="5ED24863">
      <w:pPr>
        <w:spacing w:line="480" w:lineRule="auto"/>
        <w:ind w:firstLine="570"/>
        <w:jc w:val="left"/>
        <w:rPr>
          <w:rFonts w:hint="eastAsia" w:ascii="仿宋_GB2312" w:eastAsia="仿宋_GB2312" w:cs="仿宋_GB2312"/>
          <w:sz w:val="24"/>
        </w:rPr>
      </w:pPr>
      <w:r>
        <w:rPr>
          <w:rFonts w:hint="eastAsia" w:ascii="仿宋_GB2312" w:eastAsia="仿宋_GB2312" w:cs="仿宋_GB2312"/>
          <w:sz w:val="24"/>
        </w:rPr>
        <w:t>4</w:t>
      </w:r>
      <w:r>
        <w:rPr>
          <w:rFonts w:hint="eastAsia" w:ascii="宋体" w:hAnsi="宋体" w:cs="宋体"/>
          <w:sz w:val="24"/>
        </w:rPr>
        <w:t>、未经甲方批准，无故停热、停业、歇业或终止本合同，严重影响到社会公共利益和安全的，但发生合同约定原因的除外；</w:t>
      </w:r>
    </w:p>
    <w:p w14:paraId="17EA3B2F">
      <w:pPr>
        <w:spacing w:line="480" w:lineRule="auto"/>
        <w:ind w:firstLine="570"/>
        <w:jc w:val="left"/>
        <w:rPr>
          <w:rFonts w:hint="eastAsia" w:ascii="仿宋_GB2312" w:eastAsia="仿宋_GB2312" w:cs="仿宋_GB2312"/>
          <w:sz w:val="24"/>
        </w:rPr>
      </w:pPr>
      <w:r>
        <w:rPr>
          <w:rFonts w:hint="eastAsia" w:ascii="仿宋_GB2312" w:eastAsia="仿宋_GB2312" w:cs="仿宋_GB2312"/>
          <w:sz w:val="24"/>
        </w:rPr>
        <w:t>5</w:t>
      </w:r>
      <w:r>
        <w:rPr>
          <w:rFonts w:hint="eastAsia" w:ascii="宋体" w:hAnsi="宋体" w:cs="宋体"/>
          <w:sz w:val="24"/>
        </w:rPr>
        <w:t>、发生重大供热质量事故、供热安全生产责任事故或企业法人有重大违规违纪行为的，严重影响供热的，因甲方原因造成的除外；</w:t>
      </w:r>
    </w:p>
    <w:p w14:paraId="47A175DC">
      <w:pPr>
        <w:spacing w:line="480" w:lineRule="auto"/>
        <w:ind w:firstLine="570"/>
        <w:jc w:val="left"/>
        <w:rPr>
          <w:rFonts w:hint="eastAsia" w:ascii="仿宋_GB2312" w:eastAsia="仿宋_GB2312" w:cs="仿宋_GB2312"/>
          <w:sz w:val="24"/>
        </w:rPr>
      </w:pPr>
      <w:r>
        <w:rPr>
          <w:rFonts w:hint="eastAsia" w:ascii="仿宋_GB2312" w:eastAsia="仿宋_GB2312" w:cs="仿宋_GB2312"/>
          <w:sz w:val="24"/>
        </w:rPr>
        <w:t>6</w:t>
      </w:r>
      <w:r>
        <w:rPr>
          <w:rFonts w:hint="eastAsia" w:ascii="宋体" w:hAnsi="宋体" w:cs="宋体"/>
          <w:sz w:val="24"/>
        </w:rPr>
        <w:t>、因经营管理不善，财务状况严重恶化，严重危及社会供热的；</w:t>
      </w:r>
    </w:p>
    <w:p w14:paraId="3A5B91B5">
      <w:pPr>
        <w:spacing w:line="480" w:lineRule="auto"/>
        <w:ind w:firstLine="570"/>
        <w:jc w:val="left"/>
        <w:rPr>
          <w:rFonts w:hint="eastAsia" w:ascii="仿宋_GB2312" w:eastAsia="仿宋_GB2312" w:cs="仿宋_GB2312"/>
          <w:sz w:val="24"/>
        </w:rPr>
      </w:pPr>
      <w:r>
        <w:rPr>
          <w:rFonts w:hint="eastAsia" w:ascii="仿宋_GB2312" w:eastAsia="仿宋_GB2312" w:cs="仿宋_GB2312"/>
          <w:sz w:val="24"/>
        </w:rPr>
        <w:t>7</w:t>
      </w:r>
      <w:r>
        <w:rPr>
          <w:rFonts w:hint="eastAsia" w:ascii="宋体" w:hAnsi="宋体" w:cs="宋体"/>
          <w:sz w:val="24"/>
        </w:rPr>
        <w:t>、不按城市规划投资、建设供热设施，经供热监管部门限期改正但拒不改正的；</w:t>
      </w:r>
    </w:p>
    <w:p w14:paraId="2DDAD08D">
      <w:pPr>
        <w:spacing w:line="480" w:lineRule="auto"/>
        <w:ind w:firstLine="570"/>
        <w:jc w:val="left"/>
        <w:rPr>
          <w:rFonts w:hint="eastAsia" w:ascii="仿宋_GB2312" w:eastAsia="仿宋_GB2312" w:cs="仿宋_GB2312"/>
          <w:sz w:val="24"/>
        </w:rPr>
      </w:pPr>
      <w:r>
        <w:rPr>
          <w:rFonts w:hint="eastAsia" w:ascii="仿宋_GB2312" w:eastAsia="仿宋_GB2312" w:cs="仿宋_GB2312"/>
          <w:sz w:val="24"/>
        </w:rPr>
        <w:t>8</w:t>
      </w:r>
      <w:r>
        <w:rPr>
          <w:rFonts w:hint="eastAsia" w:ascii="宋体" w:hAnsi="宋体" w:cs="宋体"/>
          <w:sz w:val="24"/>
        </w:rPr>
        <w:t>、在经营期限内滥用经营权，违背市场原则，以不正当竞争的手段垄断封闭供热建筑设计、施工、设备采购市场，进行关联交易，损害公众利益并造成不良影响，经有关主管部门责令改正但拒绝改正，严重影响供热的；</w:t>
      </w:r>
    </w:p>
    <w:p w14:paraId="7BAACACE">
      <w:pPr>
        <w:spacing w:line="480" w:lineRule="auto"/>
        <w:ind w:firstLine="570"/>
        <w:jc w:val="left"/>
        <w:rPr>
          <w:rFonts w:hint="eastAsia" w:ascii="仿宋_GB2312" w:eastAsia="仿宋_GB2312" w:cs="仿宋_GB2312"/>
          <w:sz w:val="24"/>
        </w:rPr>
      </w:pPr>
      <w:r>
        <w:rPr>
          <w:rFonts w:hint="eastAsia" w:ascii="仿宋_GB2312" w:eastAsia="仿宋_GB2312" w:cs="仿宋_GB2312"/>
          <w:sz w:val="24"/>
        </w:rPr>
        <w:t>9</w:t>
      </w:r>
      <w:r>
        <w:rPr>
          <w:rFonts w:hint="eastAsia" w:ascii="宋体" w:hAnsi="宋体" w:cs="宋体"/>
          <w:sz w:val="24"/>
        </w:rPr>
        <w:t>、拒绝接受监督管理，情节严重，严重影响供热的；</w:t>
      </w:r>
    </w:p>
    <w:p w14:paraId="1C2F2072">
      <w:pPr>
        <w:spacing w:line="480" w:lineRule="auto"/>
        <w:ind w:firstLine="480"/>
        <w:jc w:val="left"/>
        <w:rPr>
          <w:rFonts w:hint="eastAsia" w:ascii="宋体" w:cs="宋体"/>
          <w:b/>
          <w:sz w:val="24"/>
        </w:rPr>
      </w:pPr>
      <w:r>
        <w:rPr>
          <w:rFonts w:hint="eastAsia" w:ascii="仿宋_GB2312" w:eastAsia="仿宋_GB2312" w:cs="仿宋_GB2312"/>
          <w:sz w:val="24"/>
        </w:rPr>
        <w:t>10</w:t>
      </w:r>
      <w:r>
        <w:rPr>
          <w:rFonts w:hint="eastAsia" w:ascii="宋体" w:hAnsi="宋体" w:cs="宋体"/>
          <w:sz w:val="24"/>
        </w:rPr>
        <w:t>、不履行运营项目合同义务，违反申请经营权时所承诺，严重影响供热的</w:t>
      </w:r>
      <w:r>
        <w:rPr>
          <w:rFonts w:hint="eastAsia" w:ascii="仿宋_GB2312" w:hAnsi="仿宋_GB2312" w:cs="仿宋_GB2312"/>
          <w:sz w:val="24"/>
        </w:rPr>
        <w:t>。</w:t>
      </w:r>
    </w:p>
    <w:p w14:paraId="56DE0457">
      <w:pPr>
        <w:numPr>
          <w:ilvl w:val="0"/>
          <w:numId w:val="17"/>
        </w:numPr>
        <w:spacing w:line="480" w:lineRule="auto"/>
        <w:ind w:firstLine="2409"/>
        <w:jc w:val="left"/>
        <w:rPr>
          <w:rFonts w:hint="eastAsia" w:ascii="宋体" w:hAnsi="宋体" w:cs="宋体"/>
          <w:b/>
          <w:sz w:val="24"/>
        </w:rPr>
      </w:pPr>
      <w:r>
        <w:rPr>
          <w:rFonts w:hint="eastAsia" w:ascii="宋体" w:hAnsi="宋体" w:cs="宋体"/>
          <w:b/>
          <w:sz w:val="24"/>
        </w:rPr>
        <w:t xml:space="preserve"> 法律责任</w:t>
      </w:r>
    </w:p>
    <w:p w14:paraId="386C27F0">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21.1  </w:t>
      </w:r>
      <w:r>
        <w:rPr>
          <w:rFonts w:hint="eastAsia" w:ascii="宋体" w:hAnsi="宋体" w:cs="宋体"/>
          <w:b/>
          <w:sz w:val="24"/>
        </w:rPr>
        <w:t>甲方法律责任</w:t>
      </w:r>
    </w:p>
    <w:p w14:paraId="357498FC">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w:t>
      </w:r>
      <w:r>
        <w:rPr>
          <w:rFonts w:hint="eastAsia" w:ascii="宋体" w:hAnsi="宋体" w:cs="宋体"/>
          <w:sz w:val="24"/>
        </w:rPr>
        <w:t>、甲方违反本合同第</w:t>
      </w:r>
      <w:r>
        <w:rPr>
          <w:rFonts w:hint="eastAsia" w:ascii="仿宋_GB2312" w:eastAsia="仿宋_GB2312" w:cs="仿宋_GB2312"/>
          <w:sz w:val="24"/>
        </w:rPr>
        <w:t>8.1</w:t>
      </w:r>
      <w:r>
        <w:rPr>
          <w:rFonts w:hint="eastAsia" w:ascii="宋体" w:hAnsi="宋体" w:cs="宋体"/>
          <w:sz w:val="24"/>
        </w:rPr>
        <w:t>条的规定，对乙方的经营权构成妨碍的，应当及时改正，并应赔偿乙方因此而造成的经济损失，包括但不限于律师费等合理费用；</w:t>
      </w:r>
    </w:p>
    <w:p w14:paraId="69973351">
      <w:pPr>
        <w:spacing w:line="480" w:lineRule="auto"/>
        <w:ind w:firstLine="480"/>
        <w:jc w:val="left"/>
        <w:rPr>
          <w:rFonts w:hint="eastAsia" w:ascii="仿宋_GB2312" w:eastAsia="仿宋_GB2312" w:cs="仿宋_GB2312"/>
          <w:sz w:val="24"/>
        </w:rPr>
      </w:pPr>
      <w:r>
        <w:rPr>
          <w:rFonts w:hint="eastAsia" w:ascii="仿宋_GB2312" w:hAnsi="仿宋_GB2312" w:cs="仿宋_GB2312"/>
          <w:sz w:val="24"/>
          <w:lang w:val="en-US" w:eastAsia="zh-CN"/>
        </w:rPr>
        <w:t>2</w:t>
      </w:r>
      <w:r>
        <w:rPr>
          <w:rFonts w:hint="eastAsia" w:ascii="仿宋_GB2312" w:hAnsi="仿宋_GB2312" w:cs="仿宋_GB2312"/>
          <w:sz w:val="24"/>
        </w:rPr>
        <w:t>、</w:t>
      </w:r>
      <w:r>
        <w:rPr>
          <w:rFonts w:hint="eastAsia" w:ascii="宋体" w:hAnsi="宋体"/>
          <w:sz w:val="24"/>
        </w:rPr>
        <w:t>本合同中乙方损失包括但不限于甲方应当承担相关诉讼的全部诉讼费、相关仲裁的全部仲裁费，甲方应当赔偿乙方支出的律师费、鉴定费以及其他所有相关合理支出。</w:t>
      </w:r>
    </w:p>
    <w:p w14:paraId="48B6BF52">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21.2   </w:t>
      </w:r>
      <w:r>
        <w:rPr>
          <w:rFonts w:hint="eastAsia" w:ascii="宋体" w:hAnsi="宋体" w:cs="宋体"/>
          <w:b/>
          <w:sz w:val="24"/>
        </w:rPr>
        <w:t>乙方法律责任</w:t>
      </w:r>
    </w:p>
    <w:p w14:paraId="15217451">
      <w:pPr>
        <w:spacing w:line="480" w:lineRule="auto"/>
        <w:ind w:firstLine="480"/>
        <w:jc w:val="left"/>
        <w:rPr>
          <w:rFonts w:hint="eastAsia" w:ascii="仿宋_GB2312" w:eastAsia="仿宋_GB2312" w:cs="仿宋_GB2312"/>
          <w:sz w:val="24"/>
        </w:rPr>
      </w:pPr>
      <w:r>
        <w:rPr>
          <w:rFonts w:hint="eastAsia" w:ascii="宋体" w:hAnsi="宋体" w:cs="宋体"/>
          <w:color w:val="auto"/>
          <w:sz w:val="24"/>
        </w:rPr>
        <w:t>乙方如违反有关法律法规的，均适用所违反法律法规的处罚规定；按照相关条款处罚。</w:t>
      </w:r>
      <w:r>
        <w:rPr>
          <w:rFonts w:hint="eastAsia" w:ascii="宋体" w:hAnsi="宋体"/>
          <w:color w:val="auto"/>
          <w:sz w:val="24"/>
        </w:rPr>
        <w:t>本合同中</w:t>
      </w:r>
      <w:r>
        <w:rPr>
          <w:rFonts w:hint="eastAsia" w:ascii="宋体" w:hAnsi="宋体"/>
          <w:color w:val="auto"/>
          <w:sz w:val="24"/>
          <w:lang w:val="en-US" w:eastAsia="zh-CN"/>
        </w:rPr>
        <w:t>甲方</w:t>
      </w:r>
      <w:r>
        <w:rPr>
          <w:rFonts w:hint="eastAsia" w:ascii="宋体" w:hAnsi="宋体"/>
          <w:color w:val="auto"/>
          <w:sz w:val="24"/>
        </w:rPr>
        <w:t>损失包括但不限于</w:t>
      </w:r>
      <w:r>
        <w:rPr>
          <w:rFonts w:hint="eastAsia" w:ascii="宋体" w:hAnsi="宋体"/>
          <w:color w:val="auto"/>
          <w:sz w:val="24"/>
          <w:lang w:val="en-US" w:eastAsia="zh-CN"/>
        </w:rPr>
        <w:t>乙方</w:t>
      </w:r>
      <w:r>
        <w:rPr>
          <w:rFonts w:hint="eastAsia" w:ascii="宋体" w:hAnsi="宋体"/>
          <w:color w:val="auto"/>
          <w:sz w:val="24"/>
        </w:rPr>
        <w:t>应当承担相关诉讼的全部诉讼费、相关仲裁的全部仲裁费，</w:t>
      </w:r>
      <w:r>
        <w:rPr>
          <w:rFonts w:hint="eastAsia" w:ascii="宋体" w:hAnsi="宋体"/>
          <w:color w:val="auto"/>
          <w:sz w:val="24"/>
          <w:lang w:val="en-US" w:eastAsia="zh-CN"/>
        </w:rPr>
        <w:t>乙方</w:t>
      </w:r>
      <w:r>
        <w:rPr>
          <w:rFonts w:hint="eastAsia" w:ascii="宋体" w:hAnsi="宋体"/>
          <w:color w:val="auto"/>
          <w:sz w:val="24"/>
        </w:rPr>
        <w:t>应当赔偿</w:t>
      </w:r>
      <w:r>
        <w:rPr>
          <w:rFonts w:hint="eastAsia" w:ascii="宋体" w:hAnsi="宋体"/>
          <w:color w:val="auto"/>
          <w:sz w:val="24"/>
          <w:lang w:val="en-US" w:eastAsia="zh-CN"/>
        </w:rPr>
        <w:t>甲方</w:t>
      </w:r>
      <w:r>
        <w:rPr>
          <w:rFonts w:hint="eastAsia" w:ascii="宋体" w:hAnsi="宋体"/>
          <w:color w:val="auto"/>
          <w:sz w:val="24"/>
        </w:rPr>
        <w:t>支出的律</w:t>
      </w:r>
      <w:r>
        <w:rPr>
          <w:rFonts w:hint="eastAsia" w:ascii="宋体" w:hAnsi="宋体"/>
          <w:sz w:val="24"/>
        </w:rPr>
        <w:t>师费、鉴定费以及其他所有相关合理支出。</w:t>
      </w:r>
    </w:p>
    <w:p w14:paraId="0DC9ABA6">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21.3  </w:t>
      </w:r>
      <w:r>
        <w:rPr>
          <w:rFonts w:hint="eastAsia" w:ascii="宋体" w:hAnsi="宋体" w:cs="宋体"/>
          <w:b/>
          <w:sz w:val="24"/>
        </w:rPr>
        <w:t>不中断合同履行</w:t>
      </w:r>
    </w:p>
    <w:p w14:paraId="7813FEE3">
      <w:pPr>
        <w:spacing w:line="480" w:lineRule="auto"/>
        <w:ind w:firstLine="570"/>
        <w:jc w:val="left"/>
        <w:rPr>
          <w:rFonts w:hint="eastAsia" w:ascii="仿宋_GB2312" w:eastAsia="仿宋_GB2312" w:cs="仿宋_GB2312"/>
          <w:sz w:val="24"/>
        </w:rPr>
      </w:pPr>
      <w:r>
        <w:rPr>
          <w:rFonts w:hint="eastAsia" w:ascii="宋体" w:hAnsi="宋体" w:cs="宋体"/>
          <w:sz w:val="24"/>
        </w:rPr>
        <w:t>除非本合同终止，针对本合同的任何违约责任的追究及责任承担，均不影响本合同之继续履行。</w:t>
      </w:r>
    </w:p>
    <w:p w14:paraId="40E39171">
      <w:pPr>
        <w:numPr>
          <w:ilvl w:val="0"/>
          <w:numId w:val="17"/>
        </w:numPr>
        <w:spacing w:line="480" w:lineRule="auto"/>
        <w:ind w:firstLine="2409"/>
        <w:jc w:val="left"/>
        <w:rPr>
          <w:rFonts w:hint="eastAsia" w:ascii="宋体" w:hAnsi="宋体" w:cs="宋体"/>
          <w:b/>
          <w:sz w:val="24"/>
        </w:rPr>
      </w:pPr>
      <w:r>
        <w:rPr>
          <w:rFonts w:hint="eastAsia" w:ascii="宋体" w:hAnsi="宋体" w:cs="宋体"/>
          <w:b/>
          <w:sz w:val="24"/>
        </w:rPr>
        <w:t>合同的变更</w:t>
      </w:r>
    </w:p>
    <w:p w14:paraId="6533133C">
      <w:pPr>
        <w:spacing w:line="480" w:lineRule="auto"/>
        <w:ind w:firstLine="480"/>
        <w:jc w:val="left"/>
        <w:rPr>
          <w:rFonts w:hint="eastAsia" w:ascii="仿宋_GB2312" w:eastAsia="仿宋_GB2312" w:cs="仿宋_GB2312"/>
          <w:sz w:val="24"/>
        </w:rPr>
      </w:pPr>
      <w:r>
        <w:rPr>
          <w:rFonts w:hint="eastAsia" w:ascii="宋体" w:hAnsi="宋体" w:cs="宋体"/>
          <w:sz w:val="24"/>
        </w:rPr>
        <w:t>除非经过甲、乙双方就合同内容的变动协商并书面达成一致，否则任何情况都不构成本合同的变更。甲、乙双方可以采取签订书面补充合同的方式修改本合同。</w:t>
      </w:r>
    </w:p>
    <w:p w14:paraId="142E4B45">
      <w:pPr>
        <w:numPr>
          <w:ilvl w:val="0"/>
          <w:numId w:val="17"/>
        </w:numPr>
        <w:spacing w:line="480" w:lineRule="auto"/>
        <w:ind w:firstLine="2409"/>
        <w:jc w:val="left"/>
        <w:rPr>
          <w:rFonts w:hint="eastAsia" w:ascii="宋体" w:hAnsi="宋体" w:cs="宋体"/>
          <w:b/>
          <w:sz w:val="24"/>
        </w:rPr>
      </w:pPr>
      <w:r>
        <w:rPr>
          <w:rFonts w:hint="eastAsia" w:ascii="宋体" w:hAnsi="宋体" w:cs="宋体"/>
          <w:b/>
          <w:sz w:val="24"/>
        </w:rPr>
        <w:t>不可抗力</w:t>
      </w:r>
    </w:p>
    <w:p w14:paraId="0C861DB3">
      <w:pPr>
        <w:spacing w:line="480" w:lineRule="auto"/>
        <w:jc w:val="left"/>
        <w:rPr>
          <w:rFonts w:hint="eastAsia" w:ascii="仿宋_GB2312" w:eastAsia="仿宋_GB2312" w:cs="仿宋_GB2312"/>
          <w:b/>
          <w:sz w:val="24"/>
        </w:rPr>
      </w:pPr>
      <w:r>
        <w:rPr>
          <w:rFonts w:hint="eastAsia" w:ascii="仿宋_GB2312" w:eastAsia="仿宋_GB2312" w:cs="仿宋_GB2312"/>
          <w:b/>
          <w:sz w:val="24"/>
        </w:rPr>
        <w:t xml:space="preserve">    23.1  </w:t>
      </w:r>
      <w:r>
        <w:rPr>
          <w:rFonts w:hint="eastAsia" w:ascii="宋体" w:hAnsi="宋体" w:cs="宋体"/>
          <w:b/>
          <w:sz w:val="24"/>
        </w:rPr>
        <w:t>不可抗力</w:t>
      </w:r>
    </w:p>
    <w:p w14:paraId="06F732DD">
      <w:pPr>
        <w:spacing w:after="120" w:line="480" w:lineRule="auto"/>
        <w:ind w:left="420"/>
        <w:jc w:val="left"/>
        <w:rPr>
          <w:rFonts w:hint="eastAsia" w:ascii="仿宋_GB2312" w:eastAsia="仿宋_GB2312" w:cs="仿宋_GB2312"/>
          <w:sz w:val="24"/>
          <w:u w:val="single"/>
        </w:rPr>
      </w:pPr>
      <w:r>
        <w:rPr>
          <w:rFonts w:hint="eastAsia" w:ascii="宋体" w:hAnsi="宋体" w:cs="宋体"/>
          <w:sz w:val="24"/>
        </w:rPr>
        <w:t>不可抗力是指不能预见、不能避免并不能克服的客观情况。</w:t>
      </w:r>
    </w:p>
    <w:p w14:paraId="3A729935">
      <w:pPr>
        <w:spacing w:after="120" w:line="480" w:lineRule="auto"/>
        <w:ind w:left="420"/>
        <w:jc w:val="left"/>
        <w:rPr>
          <w:rFonts w:hint="eastAsia" w:ascii="仿宋_GB2312" w:eastAsia="仿宋_GB2312" w:cs="仿宋_GB2312"/>
          <w:b/>
          <w:sz w:val="24"/>
        </w:rPr>
      </w:pPr>
      <w:r>
        <w:rPr>
          <w:rFonts w:hint="eastAsia" w:ascii="仿宋_GB2312" w:eastAsia="仿宋_GB2312" w:cs="仿宋_GB2312"/>
          <w:b/>
          <w:sz w:val="24"/>
        </w:rPr>
        <w:t xml:space="preserve">23.2  </w:t>
      </w:r>
      <w:r>
        <w:rPr>
          <w:rFonts w:hint="eastAsia" w:ascii="宋体" w:hAnsi="宋体" w:cs="宋体"/>
          <w:b/>
          <w:sz w:val="24"/>
        </w:rPr>
        <w:t>不可抗力事件</w:t>
      </w:r>
    </w:p>
    <w:p w14:paraId="0503A8B0">
      <w:pPr>
        <w:spacing w:after="120" w:line="480" w:lineRule="auto"/>
        <w:ind w:left="420"/>
        <w:jc w:val="left"/>
        <w:rPr>
          <w:rFonts w:hint="eastAsia" w:ascii="仿宋_GB2312" w:eastAsia="仿宋_GB2312" w:cs="仿宋_GB2312"/>
          <w:sz w:val="24"/>
        </w:rPr>
      </w:pPr>
      <w:r>
        <w:rPr>
          <w:rFonts w:hint="eastAsia" w:ascii="宋体" w:hAnsi="宋体" w:cs="宋体"/>
          <w:sz w:val="24"/>
        </w:rPr>
        <w:t>构成不可抗力的行为、事件或情况包括但不限于下列所述行为、事件或情况：</w:t>
      </w:r>
    </w:p>
    <w:p w14:paraId="3B703F49">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w:t>
      </w:r>
      <w:r>
        <w:rPr>
          <w:rFonts w:hint="eastAsia" w:ascii="宋体" w:hAnsi="宋体" w:cs="宋体"/>
          <w:sz w:val="24"/>
        </w:rPr>
        <w:t>、火灾、水灾、干旱、爆炸、闪电、暴雨、台风、龙卷风、地震、地陷、地面下沉、疫情或其他天灾；</w:t>
      </w:r>
    </w:p>
    <w:p w14:paraId="1ACFF2F4">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2</w:t>
      </w:r>
      <w:r>
        <w:rPr>
          <w:rFonts w:hint="eastAsia" w:ascii="宋体" w:hAnsi="宋体" w:cs="宋体"/>
          <w:sz w:val="24"/>
        </w:rPr>
        <w:t>、战争（无论是否宣战）、暴乱、封锁、叛乱、公敌行动、入侵、禁运、贸易制裁、破坏或恐怖行动等严重威胁；</w:t>
      </w:r>
    </w:p>
    <w:p w14:paraId="2727EBC4">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3</w:t>
      </w:r>
      <w:r>
        <w:rPr>
          <w:rFonts w:hint="eastAsia" w:ascii="宋体" w:hAnsi="宋体" w:cs="宋体"/>
          <w:sz w:val="24"/>
        </w:rPr>
        <w:t>、其他不可抗力事件。</w:t>
      </w:r>
    </w:p>
    <w:p w14:paraId="22106194">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23.3  </w:t>
      </w:r>
      <w:r>
        <w:rPr>
          <w:rFonts w:hint="eastAsia" w:ascii="宋体" w:hAnsi="宋体" w:cs="宋体"/>
          <w:b/>
          <w:sz w:val="24"/>
        </w:rPr>
        <w:t>对不可抗力免责的限制</w:t>
      </w:r>
    </w:p>
    <w:p w14:paraId="4C2E2F51">
      <w:pPr>
        <w:spacing w:line="480" w:lineRule="auto"/>
        <w:ind w:firstLine="480"/>
        <w:jc w:val="left"/>
        <w:rPr>
          <w:rFonts w:hint="eastAsia" w:ascii="仿宋_GB2312" w:eastAsia="仿宋_GB2312" w:cs="仿宋_GB2312"/>
          <w:sz w:val="24"/>
        </w:rPr>
      </w:pPr>
      <w:r>
        <w:rPr>
          <w:rFonts w:hint="eastAsia" w:ascii="宋体" w:hAnsi="宋体" w:cs="宋体"/>
          <w:sz w:val="24"/>
        </w:rPr>
        <w:t>以下各项事件不构成不可抗力：</w:t>
      </w:r>
    </w:p>
    <w:p w14:paraId="75C305F1">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w:t>
      </w:r>
      <w:r>
        <w:rPr>
          <w:rFonts w:hint="eastAsia" w:ascii="宋体" w:hAnsi="宋体" w:cs="宋体"/>
          <w:sz w:val="24"/>
        </w:rPr>
        <w:t>、因正常损耗、未适当维护设备或零部件存货不足而引起的设备故障或损坏；</w:t>
      </w:r>
      <w:r>
        <w:rPr>
          <w:rFonts w:hint="eastAsia" w:ascii="仿宋_GB2312" w:eastAsia="仿宋_GB2312" w:cs="仿宋_GB2312"/>
          <w:sz w:val="24"/>
        </w:rPr>
        <w:t xml:space="preserve"> </w:t>
      </w:r>
    </w:p>
    <w:p w14:paraId="42A9B737">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2</w:t>
      </w:r>
      <w:r>
        <w:rPr>
          <w:rFonts w:hint="eastAsia" w:ascii="宋体" w:hAnsi="宋体" w:cs="宋体"/>
          <w:sz w:val="24"/>
        </w:rPr>
        <w:t>、个别用户缺乏资金支付应付款项，除非发生所有有效支付方式失效的情况；</w:t>
      </w:r>
    </w:p>
    <w:p w14:paraId="7AADA113">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3</w:t>
      </w:r>
      <w:r>
        <w:rPr>
          <w:rFonts w:hint="eastAsia" w:ascii="宋体" w:hAnsi="宋体" w:cs="宋体"/>
          <w:sz w:val="24"/>
        </w:rPr>
        <w:t>、仅仅导致履约不经济的任何行为、事件或情况。</w:t>
      </w:r>
    </w:p>
    <w:p w14:paraId="2009350C">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23.4  </w:t>
      </w:r>
      <w:r>
        <w:rPr>
          <w:rFonts w:hint="eastAsia" w:ascii="宋体" w:hAnsi="宋体" w:cs="宋体"/>
          <w:b/>
          <w:sz w:val="24"/>
        </w:rPr>
        <w:t>提出不可抗力一方的义务</w:t>
      </w:r>
    </w:p>
    <w:p w14:paraId="6457FCCE">
      <w:pPr>
        <w:spacing w:line="480" w:lineRule="auto"/>
        <w:ind w:firstLine="480"/>
        <w:jc w:val="left"/>
        <w:rPr>
          <w:rFonts w:hint="eastAsia" w:ascii="仿宋_GB2312" w:eastAsia="仿宋_GB2312" w:cs="仿宋_GB2312"/>
          <w:sz w:val="24"/>
        </w:rPr>
      </w:pPr>
      <w:r>
        <w:rPr>
          <w:rFonts w:hint="eastAsia" w:ascii="宋体" w:hAnsi="宋体" w:cs="宋体"/>
          <w:sz w:val="24"/>
        </w:rPr>
        <w:t>提出不可抗力的一方应当：</w:t>
      </w:r>
    </w:p>
    <w:p w14:paraId="295DFC13">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1</w:t>
      </w:r>
      <w:r>
        <w:rPr>
          <w:rFonts w:hint="eastAsia" w:ascii="宋体" w:hAnsi="宋体" w:cs="宋体"/>
          <w:sz w:val="24"/>
        </w:rPr>
        <w:t>、尽早（在任何情况下不迟于</w:t>
      </w:r>
      <w:r>
        <w:rPr>
          <w:rFonts w:hint="eastAsia" w:ascii="仿宋_GB2312" w:eastAsia="仿宋_GB2312" w:cs="仿宋_GB2312"/>
          <w:sz w:val="24"/>
        </w:rPr>
        <w:t>24</w:t>
      </w:r>
      <w:r>
        <w:rPr>
          <w:rFonts w:hint="eastAsia" w:ascii="宋体" w:hAnsi="宋体" w:cs="宋体"/>
          <w:sz w:val="24"/>
        </w:rPr>
        <w:t>小时）通知另一方发生了不可抗力事件，除非不可抗力事件或情况导致通知无法发出；</w:t>
      </w:r>
    </w:p>
    <w:p w14:paraId="23B9D847">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2</w:t>
      </w:r>
      <w:r>
        <w:rPr>
          <w:rFonts w:hint="eastAsia" w:ascii="宋体" w:hAnsi="宋体" w:cs="宋体"/>
          <w:sz w:val="24"/>
        </w:rPr>
        <w:t>、尽早（在任何情况下不迟于</w:t>
      </w:r>
      <w:r>
        <w:rPr>
          <w:rFonts w:hint="eastAsia" w:ascii="仿宋_GB2312" w:eastAsia="仿宋_GB2312" w:cs="仿宋_GB2312"/>
          <w:sz w:val="24"/>
        </w:rPr>
        <w:t>48</w:t>
      </w:r>
      <w:r>
        <w:rPr>
          <w:rFonts w:hint="eastAsia" w:ascii="宋体" w:hAnsi="宋体" w:cs="宋体"/>
          <w:sz w:val="24"/>
        </w:rPr>
        <w:t>小时）通知另一方，说明不可抗力事件的详细情况以及预计的持续期间，除非不可抗力事件或情况导致通知无法发出；</w:t>
      </w:r>
    </w:p>
    <w:p w14:paraId="5A79E59E">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3</w:t>
      </w:r>
      <w:r>
        <w:rPr>
          <w:rFonts w:hint="eastAsia" w:ascii="宋体" w:hAnsi="宋体" w:cs="宋体"/>
          <w:sz w:val="24"/>
        </w:rPr>
        <w:t>、在任何时候采取合理的行动，以避免或尽量减少不可抗力事件的影响；</w:t>
      </w:r>
    </w:p>
    <w:p w14:paraId="4BEC9CDA">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4</w:t>
      </w:r>
      <w:r>
        <w:rPr>
          <w:rFonts w:hint="eastAsia" w:ascii="宋体" w:hAnsi="宋体" w:cs="宋体"/>
          <w:sz w:val="24"/>
        </w:rPr>
        <w:t>、在任何时候告知另一方不可抗力事件的进展及其预计结束日期；</w:t>
      </w:r>
    </w:p>
    <w:p w14:paraId="3438AE45">
      <w:pPr>
        <w:spacing w:line="480" w:lineRule="auto"/>
        <w:ind w:firstLine="480"/>
        <w:jc w:val="left"/>
        <w:rPr>
          <w:rFonts w:hint="eastAsia" w:ascii="仿宋_GB2312" w:eastAsia="仿宋_GB2312" w:cs="仿宋_GB2312"/>
          <w:sz w:val="24"/>
        </w:rPr>
      </w:pPr>
      <w:r>
        <w:rPr>
          <w:rFonts w:hint="eastAsia" w:ascii="仿宋_GB2312" w:eastAsia="仿宋_GB2312" w:cs="仿宋_GB2312"/>
          <w:sz w:val="24"/>
        </w:rPr>
        <w:t>5</w:t>
      </w:r>
      <w:r>
        <w:rPr>
          <w:rFonts w:hint="eastAsia" w:ascii="宋体" w:hAnsi="宋体" w:cs="宋体"/>
          <w:sz w:val="24"/>
        </w:rPr>
        <w:t>、通知另一方能够部分或全面恢复履行其义务的日期。</w:t>
      </w:r>
    </w:p>
    <w:p w14:paraId="5893FBF5">
      <w:pPr>
        <w:spacing w:line="480" w:lineRule="auto"/>
        <w:ind w:firstLine="482"/>
        <w:jc w:val="left"/>
        <w:rPr>
          <w:rFonts w:hint="eastAsia" w:ascii="仿宋_GB2312" w:eastAsia="仿宋_GB2312" w:cs="仿宋_GB2312"/>
          <w:b/>
          <w:sz w:val="24"/>
        </w:rPr>
      </w:pPr>
      <w:r>
        <w:rPr>
          <w:rFonts w:hint="eastAsia" w:ascii="仿宋_GB2312" w:eastAsia="仿宋_GB2312" w:cs="仿宋_GB2312"/>
          <w:b/>
          <w:sz w:val="24"/>
        </w:rPr>
        <w:t xml:space="preserve">23.5  </w:t>
      </w:r>
      <w:r>
        <w:rPr>
          <w:rFonts w:hint="eastAsia" w:ascii="宋体" w:hAnsi="宋体" w:cs="宋体"/>
          <w:b/>
          <w:sz w:val="24"/>
        </w:rPr>
        <w:t>不可抗力免责</w:t>
      </w:r>
    </w:p>
    <w:p w14:paraId="4B259263">
      <w:pPr>
        <w:spacing w:after="120" w:line="480" w:lineRule="auto"/>
        <w:ind w:firstLine="480"/>
        <w:jc w:val="left"/>
        <w:rPr>
          <w:rFonts w:hint="eastAsia" w:ascii="宋体" w:cs="宋体"/>
          <w:b/>
          <w:sz w:val="24"/>
        </w:rPr>
      </w:pPr>
      <w:r>
        <w:rPr>
          <w:rFonts w:hint="eastAsia" w:ascii="宋体" w:hAnsi="宋体" w:cs="宋体"/>
          <w:sz w:val="24"/>
        </w:rPr>
        <w:t>一方出现不可抗力且尽到本合同规定的义务时，无须对其延误或未履行其在本合同项下的义务承担责任。</w:t>
      </w:r>
    </w:p>
    <w:p w14:paraId="08900A41">
      <w:pPr>
        <w:numPr>
          <w:ilvl w:val="0"/>
          <w:numId w:val="17"/>
        </w:numPr>
        <w:spacing w:line="480" w:lineRule="auto"/>
        <w:ind w:firstLine="2409"/>
        <w:jc w:val="left"/>
        <w:rPr>
          <w:rFonts w:hint="eastAsia" w:ascii="宋体" w:cs="宋体"/>
          <w:b/>
          <w:sz w:val="24"/>
        </w:rPr>
      </w:pPr>
      <w:r>
        <w:rPr>
          <w:rFonts w:hint="eastAsia" w:ascii="宋体" w:hAnsi="宋体" w:cs="宋体"/>
          <w:b/>
          <w:sz w:val="24"/>
        </w:rPr>
        <w:t>争议的解决</w:t>
      </w:r>
    </w:p>
    <w:p w14:paraId="43560556">
      <w:pPr>
        <w:spacing w:line="480" w:lineRule="auto"/>
        <w:ind w:firstLine="723"/>
        <w:rPr>
          <w:rFonts w:hint="eastAsia" w:ascii="仿宋_GB2312" w:eastAsia="仿宋_GB2312" w:cs="仿宋_GB2312"/>
          <w:b/>
          <w:sz w:val="24"/>
        </w:rPr>
      </w:pPr>
      <w:r>
        <w:rPr>
          <w:rFonts w:hint="eastAsia" w:ascii="仿宋_GB2312" w:eastAsia="仿宋_GB2312" w:cs="仿宋_GB2312"/>
          <w:b/>
          <w:sz w:val="24"/>
        </w:rPr>
        <w:t xml:space="preserve">24.1  </w:t>
      </w:r>
      <w:r>
        <w:rPr>
          <w:rFonts w:hint="eastAsia" w:ascii="宋体" w:hAnsi="宋体" w:cs="宋体"/>
          <w:b/>
          <w:sz w:val="24"/>
        </w:rPr>
        <w:t>合同争议的协商</w:t>
      </w:r>
    </w:p>
    <w:p w14:paraId="04813EB8">
      <w:pPr>
        <w:spacing w:line="480" w:lineRule="auto"/>
        <w:ind w:firstLine="480"/>
        <w:rPr>
          <w:rFonts w:hint="eastAsia" w:ascii="仿宋_GB2312" w:eastAsia="仿宋_GB2312" w:cs="仿宋_GB2312"/>
          <w:sz w:val="24"/>
        </w:rPr>
      </w:pPr>
      <w:r>
        <w:rPr>
          <w:rFonts w:hint="eastAsia" w:ascii="宋体" w:hAnsi="宋体" w:cs="宋体"/>
          <w:sz w:val="24"/>
        </w:rPr>
        <w:t>因本合同的签订、履行、变更和解除而产生的争议，甲、乙双方应当通过协商予以解决。协商应当在争议发生的</w:t>
      </w:r>
      <w:r>
        <w:rPr>
          <w:rFonts w:hint="eastAsia" w:ascii="仿宋_GB2312" w:eastAsia="仿宋_GB2312" w:cs="仿宋_GB2312"/>
          <w:sz w:val="24"/>
        </w:rPr>
        <w:t>60</w:t>
      </w:r>
      <w:r>
        <w:rPr>
          <w:rFonts w:hint="eastAsia" w:ascii="宋体" w:hAnsi="宋体" w:cs="宋体"/>
          <w:sz w:val="24"/>
        </w:rPr>
        <w:t>日内举行。</w:t>
      </w:r>
      <w:r>
        <w:rPr>
          <w:rFonts w:hint="eastAsia" w:ascii="仿宋_GB2312" w:eastAsia="仿宋_GB2312" w:cs="仿宋_GB2312"/>
          <w:sz w:val="24"/>
        </w:rPr>
        <w:t>60</w:t>
      </w:r>
      <w:r>
        <w:rPr>
          <w:rFonts w:hint="eastAsia" w:ascii="宋体" w:hAnsi="宋体" w:cs="宋体"/>
          <w:sz w:val="24"/>
        </w:rPr>
        <w:t>日内未能就争议解决达成一致的，视为协商失败，甲、乙任何一方均可以按本合同规定的其他途径解决争议。</w:t>
      </w:r>
    </w:p>
    <w:p w14:paraId="05CC5DEC">
      <w:pPr>
        <w:spacing w:line="480" w:lineRule="auto"/>
        <w:ind w:firstLine="660"/>
        <w:rPr>
          <w:rFonts w:hint="eastAsia" w:ascii="仿宋_GB2312" w:eastAsia="仿宋_GB2312" w:cs="仿宋_GB2312"/>
          <w:b/>
          <w:sz w:val="24"/>
        </w:rPr>
      </w:pPr>
      <w:r>
        <w:rPr>
          <w:rFonts w:hint="eastAsia" w:ascii="仿宋_GB2312" w:eastAsia="仿宋_GB2312" w:cs="仿宋_GB2312"/>
          <w:b/>
          <w:sz w:val="24"/>
        </w:rPr>
        <w:t xml:space="preserve">24.2  </w:t>
      </w:r>
      <w:r>
        <w:rPr>
          <w:rFonts w:hint="eastAsia" w:ascii="宋体" w:hAnsi="宋体" w:cs="宋体"/>
          <w:b/>
          <w:sz w:val="24"/>
        </w:rPr>
        <w:t>合同争议诉讼管辖</w:t>
      </w:r>
    </w:p>
    <w:p w14:paraId="6194B168">
      <w:pPr>
        <w:spacing w:line="480" w:lineRule="auto"/>
        <w:ind w:firstLine="570"/>
        <w:jc w:val="left"/>
        <w:rPr>
          <w:rFonts w:hint="eastAsia" w:ascii="宋体" w:cs="宋体"/>
          <w:b/>
          <w:sz w:val="24"/>
        </w:rPr>
      </w:pPr>
      <w:r>
        <w:rPr>
          <w:rFonts w:hint="eastAsia" w:ascii="宋体" w:hAnsi="宋体" w:cs="宋体"/>
          <w:sz w:val="24"/>
        </w:rPr>
        <w:t>因本合同争议而引起的任何诉讼，任何一方均可提交顺义区人民法院处理。</w:t>
      </w:r>
    </w:p>
    <w:p w14:paraId="37A8D227">
      <w:pPr>
        <w:numPr>
          <w:ilvl w:val="0"/>
          <w:numId w:val="17"/>
        </w:numPr>
        <w:spacing w:line="480" w:lineRule="auto"/>
        <w:ind w:firstLine="2409"/>
        <w:jc w:val="left"/>
        <w:rPr>
          <w:rFonts w:hint="eastAsia" w:ascii="宋体" w:cs="宋体"/>
          <w:b/>
          <w:sz w:val="24"/>
        </w:rPr>
      </w:pPr>
      <w:r>
        <w:rPr>
          <w:rFonts w:hint="eastAsia" w:ascii="宋体" w:hAnsi="宋体" w:cs="宋体"/>
          <w:b/>
          <w:sz w:val="24"/>
        </w:rPr>
        <w:t>通知送达</w:t>
      </w:r>
    </w:p>
    <w:p w14:paraId="3EF7860A">
      <w:pPr>
        <w:spacing w:line="482" w:lineRule="auto"/>
        <w:ind w:firstLine="720"/>
        <w:rPr>
          <w:rFonts w:hint="eastAsia" w:ascii="仿宋_GB2312" w:eastAsia="仿宋_GB2312" w:cs="仿宋_GB2312"/>
          <w:sz w:val="24"/>
        </w:rPr>
      </w:pPr>
      <w:r>
        <w:rPr>
          <w:rFonts w:hint="eastAsia" w:ascii="仿宋_GB2312" w:eastAsia="仿宋_GB2312" w:cs="仿宋_GB2312"/>
          <w:sz w:val="24"/>
        </w:rPr>
        <w:t>25.1 .</w:t>
      </w:r>
      <w:r>
        <w:rPr>
          <w:rFonts w:hint="eastAsia" w:ascii="宋体" w:hAnsi="宋体" w:cs="宋体"/>
          <w:sz w:val="24"/>
        </w:rPr>
        <w:t>甲乙双方因履行本合同而相互发出或者提供的所有通知、文件、资料等（以下统称</w:t>
      </w:r>
      <w:r>
        <w:rPr>
          <w:rFonts w:hint="eastAsia" w:ascii="仿宋_GB2312" w:eastAsia="仿宋_GB2312" w:cs="仿宋_GB2312"/>
          <w:sz w:val="24"/>
        </w:rPr>
        <w:t>"</w:t>
      </w:r>
      <w:r>
        <w:rPr>
          <w:rFonts w:hint="eastAsia" w:ascii="宋体" w:hAnsi="宋体" w:cs="宋体"/>
          <w:sz w:val="24"/>
        </w:rPr>
        <w:t>通知</w:t>
      </w:r>
      <w:r>
        <w:rPr>
          <w:rFonts w:hint="eastAsia" w:ascii="仿宋_GB2312" w:eastAsia="仿宋_GB2312" w:cs="仿宋_GB2312"/>
          <w:sz w:val="24"/>
        </w:rPr>
        <w:t>"</w:t>
      </w:r>
      <w:r>
        <w:rPr>
          <w:rFonts w:hint="eastAsia" w:ascii="宋体" w:hAnsi="宋体" w:cs="宋体"/>
          <w:sz w:val="24"/>
        </w:rPr>
        <w:t>），均应按照本合同所列明的通讯地址、电子邮件地址以邮寄或信誉良好的快递或传真或电子邮件方式送达；一方如果迁址或者变更传真、电子邮件地址应当书面通知对方，否则发至本合同中所列明的通讯地址或传真、电子邮件系统的通知、文件、资料均视为有效送达。</w:t>
      </w:r>
    </w:p>
    <w:p w14:paraId="4D0E15B0">
      <w:pPr>
        <w:spacing w:line="482" w:lineRule="auto"/>
        <w:ind w:firstLine="480"/>
        <w:rPr>
          <w:rFonts w:hint="eastAsia" w:ascii="宋体" w:cs="宋体"/>
          <w:b/>
          <w:sz w:val="24"/>
        </w:rPr>
      </w:pPr>
      <w:r>
        <w:rPr>
          <w:rFonts w:hint="eastAsia" w:ascii="仿宋_GB2312" w:eastAsia="仿宋_GB2312" w:cs="仿宋_GB2312"/>
          <w:sz w:val="24"/>
        </w:rPr>
        <w:t>25.2.</w:t>
      </w:r>
      <w:r>
        <w:rPr>
          <w:rFonts w:hint="eastAsia" w:ascii="宋体" w:hAnsi="宋体" w:cs="宋体"/>
          <w:sz w:val="24"/>
        </w:rPr>
        <w:t>以邮寄或信誉良好的快递方式送达的，另一方签收（在该地址任何人的签收均视为收件方的授权签收）之日视为送达；签收之日不明确或因收件方无人接收、拒收、迁址导致通知被退回的，以通知递出或者投邮后第五日视为送达。通过传真、电子邮件方式送达的，通知数据电文进入另一方系统之时视为送达；通知数据电文进入另一方系统之时不明确的，以传真、电子邮件发出后的第二日视为送达。</w:t>
      </w:r>
    </w:p>
    <w:p w14:paraId="4A47E0A4">
      <w:pPr>
        <w:numPr>
          <w:ilvl w:val="0"/>
          <w:numId w:val="17"/>
        </w:numPr>
        <w:spacing w:line="480" w:lineRule="auto"/>
        <w:ind w:firstLine="2409"/>
        <w:jc w:val="left"/>
        <w:rPr>
          <w:rFonts w:hint="eastAsia" w:ascii="宋体" w:cs="宋体"/>
          <w:b/>
          <w:sz w:val="24"/>
        </w:rPr>
      </w:pPr>
      <w:r>
        <w:rPr>
          <w:rFonts w:hint="eastAsia" w:ascii="仿宋_GB2312" w:eastAsia="仿宋_GB2312" w:cs="仿宋_GB2312"/>
          <w:b/>
          <w:sz w:val="24"/>
        </w:rPr>
        <w:t xml:space="preserve"> </w:t>
      </w:r>
      <w:r>
        <w:rPr>
          <w:rFonts w:hint="eastAsia" w:ascii="宋体" w:hAnsi="宋体" w:cs="宋体"/>
          <w:b/>
          <w:sz w:val="24"/>
        </w:rPr>
        <w:t>附则</w:t>
      </w:r>
    </w:p>
    <w:p w14:paraId="17F0E4D9">
      <w:pPr>
        <w:spacing w:line="480" w:lineRule="auto"/>
        <w:ind w:firstLine="570"/>
        <w:jc w:val="left"/>
        <w:rPr>
          <w:rFonts w:hint="eastAsia" w:ascii="仿宋_GB2312" w:eastAsia="仿宋_GB2312" w:cs="仿宋_GB2312"/>
          <w:b/>
          <w:sz w:val="24"/>
        </w:rPr>
      </w:pPr>
      <w:r>
        <w:rPr>
          <w:rFonts w:hint="eastAsia" w:ascii="仿宋_GB2312" w:eastAsia="仿宋_GB2312" w:cs="仿宋_GB2312"/>
          <w:b/>
          <w:sz w:val="24"/>
        </w:rPr>
        <w:t xml:space="preserve">26.1  </w:t>
      </w:r>
      <w:r>
        <w:rPr>
          <w:rFonts w:hint="eastAsia" w:ascii="宋体" w:hAnsi="宋体" w:cs="宋体"/>
          <w:b/>
          <w:sz w:val="24"/>
        </w:rPr>
        <w:t>合同文本</w:t>
      </w:r>
    </w:p>
    <w:p w14:paraId="2F9293B0">
      <w:pPr>
        <w:spacing w:line="480" w:lineRule="auto"/>
        <w:ind w:firstLine="570"/>
        <w:jc w:val="left"/>
        <w:rPr>
          <w:rFonts w:hint="eastAsia" w:ascii="仿宋_GB2312" w:eastAsia="仿宋_GB2312" w:cs="仿宋_GB2312"/>
          <w:sz w:val="24"/>
        </w:rPr>
      </w:pPr>
      <w:r>
        <w:rPr>
          <w:rFonts w:hint="eastAsia" w:ascii="宋体" w:hAnsi="宋体" w:cs="宋体"/>
          <w:sz w:val="24"/>
        </w:rPr>
        <w:t>本合同连同附件均用中文书写。共</w:t>
      </w:r>
      <w:r>
        <w:rPr>
          <w:rFonts w:hint="eastAsia" w:ascii="仿宋_GB2312" w:eastAsia="仿宋_GB2312" w:cs="仿宋_GB2312"/>
          <w:sz w:val="24"/>
        </w:rPr>
        <w:t>5</w:t>
      </w:r>
      <w:r>
        <w:rPr>
          <w:rFonts w:hint="eastAsia" w:ascii="宋体" w:hAnsi="宋体" w:cs="宋体"/>
          <w:sz w:val="24"/>
        </w:rPr>
        <w:t>份，甲方</w:t>
      </w:r>
      <w:r>
        <w:rPr>
          <w:rFonts w:hint="eastAsia" w:ascii="仿宋_GB2312" w:eastAsia="仿宋_GB2312" w:cs="仿宋_GB2312"/>
          <w:sz w:val="24"/>
        </w:rPr>
        <w:t>3</w:t>
      </w:r>
      <w:r>
        <w:rPr>
          <w:rFonts w:hint="eastAsia" w:ascii="宋体" w:hAnsi="宋体" w:cs="宋体"/>
          <w:sz w:val="24"/>
        </w:rPr>
        <w:t>份；乙方</w:t>
      </w:r>
      <w:r>
        <w:rPr>
          <w:rFonts w:hint="eastAsia" w:ascii="仿宋_GB2312" w:eastAsia="仿宋_GB2312" w:cs="仿宋_GB2312"/>
          <w:sz w:val="24"/>
        </w:rPr>
        <w:t>2</w:t>
      </w:r>
      <w:r>
        <w:rPr>
          <w:rFonts w:hint="eastAsia" w:ascii="宋体" w:hAnsi="宋体" w:cs="宋体"/>
          <w:sz w:val="24"/>
        </w:rPr>
        <w:t>份，具有同等法律效力。</w:t>
      </w:r>
    </w:p>
    <w:p w14:paraId="26A5E26B">
      <w:pPr>
        <w:spacing w:line="480" w:lineRule="auto"/>
        <w:ind w:firstLine="570"/>
        <w:jc w:val="left"/>
        <w:rPr>
          <w:rFonts w:hint="eastAsia" w:ascii="仿宋_GB2312" w:eastAsia="仿宋_GB2312" w:cs="仿宋_GB2312"/>
          <w:b/>
          <w:sz w:val="24"/>
        </w:rPr>
      </w:pPr>
      <w:r>
        <w:rPr>
          <w:rFonts w:hint="eastAsia" w:ascii="仿宋_GB2312" w:eastAsia="仿宋_GB2312" w:cs="仿宋_GB2312"/>
          <w:b/>
          <w:sz w:val="24"/>
        </w:rPr>
        <w:t xml:space="preserve">26.2  </w:t>
      </w:r>
      <w:r>
        <w:rPr>
          <w:rFonts w:hint="eastAsia" w:ascii="宋体" w:hAnsi="宋体" w:cs="宋体"/>
          <w:b/>
          <w:sz w:val="24"/>
        </w:rPr>
        <w:t>合同签订</w:t>
      </w:r>
    </w:p>
    <w:p w14:paraId="3362646A">
      <w:pPr>
        <w:spacing w:line="480" w:lineRule="auto"/>
        <w:ind w:firstLine="570"/>
        <w:jc w:val="left"/>
        <w:rPr>
          <w:rFonts w:hint="eastAsia" w:ascii="仿宋_GB2312" w:eastAsia="仿宋_GB2312" w:cs="仿宋_GB2312"/>
          <w:sz w:val="24"/>
        </w:rPr>
      </w:pPr>
      <w:r>
        <w:rPr>
          <w:rFonts w:hint="eastAsia" w:ascii="宋体" w:hAnsi="宋体" w:cs="宋体"/>
          <w:sz w:val="24"/>
        </w:rPr>
        <w:t>甲方、乙方签订本合同之代表均应在已经获得签订授权的情况下签订本合同，并在此前各方均已完成各自内部批准本合同之程序。</w:t>
      </w:r>
    </w:p>
    <w:p w14:paraId="38A3E777">
      <w:pPr>
        <w:spacing w:line="480" w:lineRule="auto"/>
        <w:ind w:firstLine="570"/>
        <w:jc w:val="left"/>
        <w:rPr>
          <w:rFonts w:hint="eastAsia" w:ascii="仿宋_GB2312" w:eastAsia="仿宋_GB2312" w:cs="仿宋_GB2312"/>
          <w:b/>
          <w:sz w:val="24"/>
        </w:rPr>
      </w:pPr>
      <w:r>
        <w:rPr>
          <w:rFonts w:hint="eastAsia" w:ascii="仿宋_GB2312" w:eastAsia="仿宋_GB2312" w:cs="仿宋_GB2312"/>
          <w:b/>
          <w:sz w:val="24"/>
        </w:rPr>
        <w:t xml:space="preserve">26.3  </w:t>
      </w:r>
      <w:r>
        <w:rPr>
          <w:rFonts w:hint="eastAsia" w:ascii="宋体" w:hAnsi="宋体" w:cs="宋体"/>
          <w:b/>
          <w:sz w:val="24"/>
        </w:rPr>
        <w:t>合同生效</w:t>
      </w:r>
    </w:p>
    <w:p w14:paraId="4BCE72D8">
      <w:pPr>
        <w:spacing w:line="480" w:lineRule="auto"/>
        <w:ind w:firstLine="570"/>
        <w:jc w:val="left"/>
        <w:rPr>
          <w:rFonts w:hint="eastAsia" w:ascii="仿宋_GB2312" w:eastAsia="仿宋_GB2312" w:cs="仿宋_GB2312"/>
          <w:sz w:val="24"/>
        </w:rPr>
      </w:pPr>
      <w:r>
        <w:rPr>
          <w:rFonts w:hint="eastAsia" w:ascii="宋体" w:hAnsi="宋体" w:cs="宋体"/>
          <w:sz w:val="24"/>
        </w:rPr>
        <w:t>本合同自甲乙双方代表签字或盖章、并加盖公章并经批准之日起生效。本合同的补充合同以及附件为本合同的组成部分，与本合同具有同等效力。</w:t>
      </w:r>
    </w:p>
    <w:p w14:paraId="2B40F603">
      <w:pPr>
        <w:spacing w:line="480" w:lineRule="auto"/>
        <w:ind w:firstLine="570"/>
        <w:jc w:val="left"/>
        <w:rPr>
          <w:rFonts w:hint="eastAsia" w:ascii="仿宋_GB2312" w:eastAsia="仿宋_GB2312" w:cs="仿宋_GB2312"/>
          <w:sz w:val="24"/>
        </w:rPr>
      </w:pPr>
      <w:r>
        <w:rPr>
          <w:rFonts w:hint="eastAsia" w:ascii="仿宋_GB2312" w:eastAsia="仿宋_GB2312" w:cs="仿宋_GB2312"/>
          <w:b/>
          <w:sz w:val="24"/>
        </w:rPr>
        <w:t>26.4</w:t>
      </w:r>
      <w:r>
        <w:rPr>
          <w:rFonts w:hint="eastAsia" w:ascii="仿宋_GB2312" w:eastAsia="仿宋_GB2312" w:cs="仿宋_GB2312"/>
          <w:sz w:val="24"/>
        </w:rPr>
        <w:t xml:space="preserve"> </w:t>
      </w:r>
      <w:r>
        <w:rPr>
          <w:rFonts w:hint="eastAsia" w:ascii="宋体" w:hAnsi="宋体" w:cs="宋体"/>
          <w:b/>
          <w:sz w:val="24"/>
        </w:rPr>
        <w:t>合同适用的法律</w:t>
      </w:r>
    </w:p>
    <w:p w14:paraId="1C26D5B8">
      <w:pPr>
        <w:spacing w:line="480" w:lineRule="auto"/>
        <w:ind w:firstLine="570"/>
        <w:jc w:val="left"/>
        <w:rPr>
          <w:rFonts w:hint="eastAsia" w:ascii="宋体" w:hAnsi="宋体" w:cs="宋体"/>
          <w:sz w:val="24"/>
        </w:rPr>
      </w:pPr>
      <w:r>
        <w:rPr>
          <w:rFonts w:hint="eastAsia" w:ascii="宋体" w:hAnsi="宋体" w:cs="宋体"/>
          <w:sz w:val="24"/>
        </w:rPr>
        <w:t>本合同受中华人民共和国法律管辖，并根据中华人民共和国法律对其进行解释。</w:t>
      </w:r>
    </w:p>
    <w:p w14:paraId="6C573E16">
      <w:pPr>
        <w:spacing w:line="480" w:lineRule="auto"/>
        <w:ind w:firstLine="570"/>
        <w:jc w:val="left"/>
        <w:rPr>
          <w:rFonts w:hint="eastAsia" w:ascii="仿宋_GB2312" w:eastAsia="仿宋_GB2312" w:cs="仿宋_GB2312"/>
          <w:b/>
          <w:sz w:val="24"/>
        </w:rPr>
      </w:pPr>
      <w:r>
        <w:rPr>
          <w:rFonts w:hint="eastAsia" w:ascii="宋体" w:hAnsi="宋体" w:cs="宋体"/>
          <w:b/>
          <w:sz w:val="24"/>
        </w:rPr>
        <w:t xml:space="preserve">26.5  </w:t>
      </w:r>
      <w:r>
        <w:rPr>
          <w:rFonts w:hint="eastAsia" w:ascii="宋体" w:hAnsi="宋体" w:cs="宋体"/>
          <w:sz w:val="24"/>
        </w:rPr>
        <w:t>附件一《供暖取费明细表》</w:t>
      </w:r>
    </w:p>
    <w:p w14:paraId="5D8A6D71">
      <w:pPr>
        <w:spacing w:line="480" w:lineRule="auto"/>
        <w:rPr>
          <w:rFonts w:hint="eastAsia" w:ascii="宋体" w:hAnsi="宋体" w:cs="宋体"/>
          <w:sz w:val="24"/>
        </w:rPr>
      </w:pPr>
      <w:r>
        <w:rPr>
          <w:rFonts w:hint="eastAsia" w:ascii="宋体" w:hAnsi="宋体" w:cs="宋体"/>
          <w:sz w:val="24"/>
        </w:rPr>
        <w:t xml:space="preserve">甲方：北京市顺义牛栏山第一中板桥学校 </w:t>
      </w:r>
      <w:r>
        <w:rPr>
          <w:rFonts w:hint="eastAsia" w:ascii="宋体" w:hAnsi="宋体" w:cs="宋体"/>
          <w:sz w:val="24"/>
          <w:lang w:val="en-US" w:eastAsia="zh-CN"/>
        </w:rPr>
        <w:t xml:space="preserve">  </w:t>
      </w:r>
      <w:r>
        <w:rPr>
          <w:rFonts w:hint="eastAsia" w:ascii="宋体" w:hAnsi="宋体" w:cs="宋体"/>
          <w:sz w:val="24"/>
        </w:rPr>
        <w:t xml:space="preserve"> 乙方：</w:t>
      </w:r>
    </w:p>
    <w:p w14:paraId="3B1D9EB6">
      <w:pPr>
        <w:spacing w:line="480" w:lineRule="auto"/>
        <w:rPr>
          <w:rFonts w:hint="eastAsia" w:ascii="宋体" w:hAnsi="宋体" w:cs="宋体"/>
          <w:sz w:val="24"/>
        </w:rPr>
      </w:pPr>
      <w:r>
        <w:rPr>
          <w:rFonts w:hint="eastAsia" w:ascii="宋体" w:hAnsi="宋体" w:cs="宋体"/>
          <w:sz w:val="24"/>
        </w:rPr>
        <w:t>法定代表人签字：</w:t>
      </w:r>
      <w:r>
        <w:rPr>
          <w:rFonts w:hint="eastAsia" w:ascii="仿宋_GB2312" w:eastAsia="仿宋_GB2312" w:cs="仿宋_GB2312"/>
          <w:sz w:val="24"/>
        </w:rPr>
        <w:tab/>
      </w:r>
      <w:r>
        <w:rPr>
          <w:rFonts w:hint="eastAsia" w:ascii="仿宋_GB2312" w:eastAsia="仿宋_GB2312" w:cs="仿宋_GB2312"/>
          <w:sz w:val="24"/>
        </w:rPr>
        <w:t xml:space="preserve">      </w:t>
      </w:r>
      <w:r>
        <w:rPr>
          <w:rFonts w:hint="eastAsia" w:ascii="仿宋_GB2312" w:eastAsia="仿宋_GB2312" w:cs="仿宋_GB2312"/>
          <w:sz w:val="24"/>
          <w:lang w:val="en-US" w:eastAsia="zh-CN"/>
        </w:rPr>
        <w:t xml:space="preserve">                </w:t>
      </w:r>
      <w:r>
        <w:rPr>
          <w:rFonts w:hint="eastAsia" w:ascii="宋体" w:hAnsi="宋体" w:cs="宋体"/>
          <w:sz w:val="24"/>
        </w:rPr>
        <w:t xml:space="preserve">法定代表人签字： </w:t>
      </w:r>
    </w:p>
    <w:p w14:paraId="2E4DF03B">
      <w:pPr>
        <w:spacing w:line="480" w:lineRule="auto"/>
        <w:rPr>
          <w:rFonts w:hint="default" w:ascii="仿宋_GB2312" w:eastAsia="宋体" w:cs="仿宋_GB2312"/>
          <w:sz w:val="24"/>
          <w:lang w:val="en-US" w:eastAsia="zh-CN"/>
        </w:rPr>
      </w:pPr>
      <w:r>
        <w:rPr>
          <w:rFonts w:hint="eastAsia" w:ascii="宋体" w:hAnsi="宋体" w:cs="宋体"/>
          <w:sz w:val="24"/>
        </w:rPr>
        <w:t xml:space="preserve"> 通讯地址：</w:t>
      </w:r>
      <w:r>
        <w:rPr>
          <w:rFonts w:hint="eastAsia" w:ascii="仿宋_GB2312" w:eastAsia="仿宋_GB2312" w:cs="仿宋_GB2312"/>
          <w:sz w:val="24"/>
        </w:rPr>
        <w:t xml:space="preserve">                            </w:t>
      </w:r>
      <w:r>
        <w:rPr>
          <w:rFonts w:hint="eastAsia" w:ascii="宋体" w:hAnsi="宋体" w:cs="宋体"/>
          <w:sz w:val="24"/>
        </w:rPr>
        <w:t>通讯地址：</w:t>
      </w:r>
    </w:p>
    <w:p w14:paraId="5F792846">
      <w:pPr>
        <w:spacing w:line="480" w:lineRule="auto"/>
        <w:rPr>
          <w:rFonts w:hint="eastAsia" w:ascii="仿宋_GB2312" w:eastAsia="仿宋_GB2312" w:cs="仿宋_GB2312"/>
          <w:sz w:val="24"/>
        </w:rPr>
      </w:pPr>
      <w:r>
        <w:rPr>
          <w:rFonts w:hint="eastAsia" w:ascii="宋体" w:hAnsi="宋体" w:cs="宋体"/>
          <w:sz w:val="24"/>
        </w:rPr>
        <w:t>联系电话：</w:t>
      </w:r>
      <w:r>
        <w:rPr>
          <w:rFonts w:hint="eastAsia" w:ascii="仿宋_GB2312" w:eastAsia="仿宋_GB2312" w:cs="仿宋_GB2312"/>
          <w:sz w:val="24"/>
        </w:rPr>
        <w:t xml:space="preserve">                            </w:t>
      </w:r>
      <w:r>
        <w:rPr>
          <w:rFonts w:hint="eastAsia" w:ascii="宋体" w:hAnsi="宋体" w:cs="宋体"/>
          <w:sz w:val="24"/>
        </w:rPr>
        <w:t>联系电话：</w:t>
      </w:r>
    </w:p>
    <w:p w14:paraId="6D784E18">
      <w:pPr>
        <w:spacing w:line="480" w:lineRule="auto"/>
        <w:jc w:val="center"/>
        <w:rPr>
          <w:rFonts w:hint="eastAsia"/>
        </w:rPr>
      </w:pPr>
      <w:r>
        <w:rPr>
          <w:rFonts w:hint="eastAsia" w:ascii="宋体" w:hAnsi="宋体" w:cs="宋体"/>
          <w:sz w:val="24"/>
        </w:rPr>
        <w:t>年</w:t>
      </w:r>
      <w:r>
        <w:rPr>
          <w:rFonts w:hint="eastAsia" w:ascii="仿宋_GB2312" w:eastAsia="仿宋_GB2312" w:cs="仿宋_GB2312"/>
          <w:sz w:val="24"/>
        </w:rPr>
        <w:t xml:space="preserve">    </w:t>
      </w:r>
      <w:r>
        <w:rPr>
          <w:rFonts w:hint="eastAsia" w:ascii="宋体" w:hAnsi="宋体" w:cs="宋体"/>
          <w:sz w:val="24"/>
        </w:rPr>
        <w:t>月</w:t>
      </w:r>
      <w:r>
        <w:rPr>
          <w:rFonts w:hint="eastAsia" w:ascii="仿宋_GB2312" w:eastAsia="仿宋_GB2312" w:cs="仿宋_GB2312"/>
          <w:sz w:val="24"/>
        </w:rPr>
        <w:t xml:space="preserve">   </w:t>
      </w:r>
      <w:r>
        <w:rPr>
          <w:rFonts w:hint="eastAsia" w:ascii="宋体" w:hAnsi="宋体" w:cs="宋体"/>
          <w:sz w:val="24"/>
        </w:rPr>
        <w:t>日</w:t>
      </w:r>
      <w:r>
        <w:rPr>
          <w:rFonts w:hint="eastAsia" w:ascii="仿宋_GB2312" w:eastAsia="仿宋_GB2312" w:cs="仿宋_GB2312"/>
          <w:sz w:val="24"/>
        </w:rPr>
        <w:t xml:space="preserve">                         </w:t>
      </w:r>
      <w:r>
        <w:rPr>
          <w:rFonts w:hint="eastAsia" w:ascii="宋体" w:hAnsi="宋体" w:cs="宋体"/>
          <w:sz w:val="24"/>
        </w:rPr>
        <w:t>年</w:t>
      </w:r>
      <w:r>
        <w:rPr>
          <w:rFonts w:hint="eastAsia" w:ascii="仿宋_GB2312" w:eastAsia="仿宋_GB2312" w:cs="仿宋_GB2312"/>
          <w:sz w:val="24"/>
        </w:rPr>
        <w:t xml:space="preserve">   </w:t>
      </w:r>
      <w:r>
        <w:rPr>
          <w:rFonts w:hint="eastAsia" w:ascii="宋体" w:hAnsi="宋体" w:cs="宋体"/>
          <w:sz w:val="24"/>
        </w:rPr>
        <w:t>月</w:t>
      </w:r>
      <w:r>
        <w:rPr>
          <w:rFonts w:hint="eastAsia" w:ascii="仿宋_GB2312" w:eastAsia="仿宋_GB2312" w:cs="仿宋_GB2312"/>
          <w:sz w:val="24"/>
        </w:rPr>
        <w:t xml:space="preserve">   </w:t>
      </w:r>
      <w:r>
        <w:rPr>
          <w:rFonts w:hint="eastAsia" w:ascii="宋体" w:hAnsi="宋体" w:cs="宋体"/>
          <w:sz w:val="24"/>
        </w:rPr>
        <w:t>日</w:t>
      </w:r>
    </w:p>
    <w:p w14:paraId="67AFF99E">
      <w:pPr>
        <w:rPr>
          <w:rFonts w:hint="eastAsia"/>
        </w:rPr>
      </w:pPr>
    </w:p>
    <w:p w14:paraId="69A30795">
      <w:pPr>
        <w:widowControl/>
        <w:rPr>
          <w:rFonts w:ascii="宋体" w:hAnsi="宋体" w:cs="宋体"/>
          <w:b/>
          <w:bCs/>
          <w:color w:val="000000"/>
          <w:kern w:val="0"/>
          <w:sz w:val="36"/>
          <w:szCs w:val="36"/>
        </w:rPr>
        <w:sectPr>
          <w:pgSz w:w="11906" w:h="16838"/>
          <w:pgMar w:top="1440" w:right="1800" w:bottom="1440" w:left="1800" w:header="851" w:footer="992" w:gutter="0"/>
          <w:cols w:space="720" w:num="1"/>
          <w:docGrid w:type="lines" w:linePitch="312" w:charSpace="0"/>
        </w:sectPr>
      </w:pPr>
    </w:p>
    <w:tbl>
      <w:tblPr>
        <w:tblStyle w:val="45"/>
        <w:tblpPr w:leftFromText="180" w:rightFromText="180" w:vertAnchor="page" w:horzAnchor="page" w:tblpX="1430" w:tblpY="2249"/>
        <w:tblW w:w="12743" w:type="dxa"/>
        <w:tblInd w:w="0" w:type="dxa"/>
        <w:tblLayout w:type="autofit"/>
        <w:tblCellMar>
          <w:top w:w="0" w:type="dxa"/>
          <w:left w:w="108" w:type="dxa"/>
          <w:bottom w:w="0" w:type="dxa"/>
          <w:right w:w="108" w:type="dxa"/>
        </w:tblCellMar>
      </w:tblPr>
      <w:tblGrid>
        <w:gridCol w:w="540"/>
        <w:gridCol w:w="1834"/>
        <w:gridCol w:w="1833"/>
        <w:gridCol w:w="1819"/>
        <w:gridCol w:w="1761"/>
        <w:gridCol w:w="1833"/>
        <w:gridCol w:w="1354"/>
        <w:gridCol w:w="1769"/>
      </w:tblGrid>
      <w:tr w14:paraId="284EBB80">
        <w:tblPrEx>
          <w:tblCellMar>
            <w:top w:w="0" w:type="dxa"/>
            <w:left w:w="108" w:type="dxa"/>
            <w:bottom w:w="0" w:type="dxa"/>
            <w:right w:w="108" w:type="dxa"/>
          </w:tblCellMar>
        </w:tblPrEx>
        <w:trPr>
          <w:trHeight w:val="732" w:hRule="atLeast"/>
        </w:trPr>
        <w:tc>
          <w:tcPr>
            <w:tcW w:w="12743" w:type="dxa"/>
            <w:gridSpan w:val="8"/>
            <w:tcBorders>
              <w:top w:val="single" w:color="auto" w:sz="4" w:space="0"/>
              <w:left w:val="single" w:color="auto" w:sz="4" w:space="0"/>
              <w:bottom w:val="single" w:color="auto" w:sz="4" w:space="0"/>
              <w:right w:val="single" w:color="000000" w:sz="4" w:space="0"/>
            </w:tcBorders>
            <w:noWrap w:val="0"/>
            <w:vAlign w:val="center"/>
          </w:tcPr>
          <w:p w14:paraId="5FDF2DDF">
            <w:pPr>
              <w:widowControl/>
              <w:jc w:val="center"/>
              <w:rPr>
                <w:rFonts w:ascii="宋体" w:hAnsi="宋体" w:cs="宋体"/>
                <w:b/>
                <w:bCs/>
                <w:color w:val="000000"/>
                <w:kern w:val="0"/>
                <w:sz w:val="36"/>
                <w:szCs w:val="36"/>
              </w:rPr>
            </w:pPr>
            <w:r>
              <w:rPr>
                <w:rFonts w:hint="eastAsia" w:ascii="宋体" w:hAnsi="宋体" w:cs="宋体"/>
                <w:b/>
                <w:bCs/>
                <w:color w:val="000000"/>
                <w:kern w:val="0"/>
                <w:sz w:val="36"/>
                <w:szCs w:val="36"/>
              </w:rPr>
              <w:t>北京市顺义牛栏山第一中学板桥学校供暖取费明细表</w:t>
            </w:r>
          </w:p>
        </w:tc>
      </w:tr>
      <w:tr w14:paraId="443E50BA">
        <w:tblPrEx>
          <w:tblCellMar>
            <w:top w:w="0" w:type="dxa"/>
            <w:left w:w="108" w:type="dxa"/>
            <w:bottom w:w="0" w:type="dxa"/>
            <w:right w:w="108" w:type="dxa"/>
          </w:tblCellMar>
        </w:tblPrEx>
        <w:trPr>
          <w:trHeight w:val="942" w:hRule="atLeast"/>
        </w:trPr>
        <w:tc>
          <w:tcPr>
            <w:tcW w:w="540" w:type="dxa"/>
            <w:vMerge w:val="restart"/>
            <w:tcBorders>
              <w:top w:val="nil"/>
              <w:left w:val="single" w:color="auto" w:sz="4" w:space="0"/>
              <w:bottom w:val="single" w:color="auto" w:sz="4" w:space="0"/>
              <w:right w:val="single" w:color="auto" w:sz="4" w:space="0"/>
            </w:tcBorders>
            <w:shd w:val="clear" w:color="000000" w:fill="FFFFFF"/>
            <w:noWrap w:val="0"/>
            <w:vAlign w:val="center"/>
          </w:tcPr>
          <w:p w14:paraId="6BB559D6">
            <w:pPr>
              <w:widowControl/>
              <w:jc w:val="center"/>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序号</w:t>
            </w:r>
          </w:p>
        </w:tc>
        <w:tc>
          <w:tcPr>
            <w:tcW w:w="7247" w:type="dxa"/>
            <w:gridSpan w:val="4"/>
            <w:tcBorders>
              <w:top w:val="single" w:color="auto" w:sz="4" w:space="0"/>
              <w:left w:val="nil"/>
              <w:bottom w:val="single" w:color="auto" w:sz="4" w:space="0"/>
              <w:right w:val="single" w:color="auto" w:sz="4" w:space="0"/>
            </w:tcBorders>
            <w:shd w:val="clear" w:color="000000" w:fill="FFFFFF"/>
            <w:noWrap w:val="0"/>
            <w:vAlign w:val="center"/>
          </w:tcPr>
          <w:p w14:paraId="2D7DAE3E">
            <w:pPr>
              <w:widowControl/>
              <w:jc w:val="center"/>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供暖面积（㎡）</w:t>
            </w:r>
          </w:p>
        </w:tc>
        <w:tc>
          <w:tcPr>
            <w:tcW w:w="1833" w:type="dxa"/>
            <w:vMerge w:val="restart"/>
            <w:tcBorders>
              <w:top w:val="nil"/>
              <w:left w:val="single" w:color="auto" w:sz="4" w:space="0"/>
              <w:bottom w:val="single" w:color="auto" w:sz="4" w:space="0"/>
              <w:right w:val="single" w:color="auto" w:sz="4" w:space="0"/>
            </w:tcBorders>
            <w:shd w:val="clear" w:color="000000" w:fill="FFFFFF"/>
            <w:noWrap w:val="0"/>
            <w:vAlign w:val="center"/>
          </w:tcPr>
          <w:p w14:paraId="21C5277C">
            <w:pPr>
              <w:widowControl/>
              <w:jc w:val="center"/>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面积合计</w:t>
            </w:r>
          </w:p>
        </w:tc>
        <w:tc>
          <w:tcPr>
            <w:tcW w:w="1354" w:type="dxa"/>
            <w:vMerge w:val="restart"/>
            <w:tcBorders>
              <w:top w:val="nil"/>
              <w:left w:val="single" w:color="auto" w:sz="4" w:space="0"/>
              <w:bottom w:val="single" w:color="auto" w:sz="4" w:space="0"/>
              <w:right w:val="single" w:color="auto" w:sz="4" w:space="0"/>
            </w:tcBorders>
            <w:noWrap/>
            <w:vAlign w:val="center"/>
          </w:tcPr>
          <w:p w14:paraId="06CF1DD8">
            <w:pPr>
              <w:widowControl/>
              <w:jc w:val="center"/>
              <w:rPr>
                <w:rFonts w:ascii="宋体" w:hAnsi="宋体" w:cs="宋体"/>
                <w:b/>
                <w:bCs/>
                <w:color w:val="000000"/>
                <w:kern w:val="0"/>
                <w:sz w:val="28"/>
                <w:szCs w:val="28"/>
              </w:rPr>
            </w:pPr>
            <w:r>
              <w:rPr>
                <w:rFonts w:hint="eastAsia" w:ascii="宋体" w:hAnsi="宋体" w:cs="宋体"/>
                <w:b/>
                <w:bCs/>
                <w:color w:val="000000"/>
                <w:kern w:val="0"/>
                <w:sz w:val="28"/>
                <w:szCs w:val="28"/>
              </w:rPr>
              <w:t>单价（元）</w:t>
            </w:r>
          </w:p>
        </w:tc>
        <w:tc>
          <w:tcPr>
            <w:tcW w:w="1769" w:type="dxa"/>
            <w:vMerge w:val="restart"/>
            <w:tcBorders>
              <w:top w:val="nil"/>
              <w:left w:val="single" w:color="auto" w:sz="4" w:space="0"/>
              <w:bottom w:val="single" w:color="auto" w:sz="4" w:space="0"/>
              <w:right w:val="single" w:color="auto" w:sz="4" w:space="0"/>
            </w:tcBorders>
            <w:noWrap/>
            <w:vAlign w:val="center"/>
          </w:tcPr>
          <w:p w14:paraId="52CDA1DE">
            <w:pPr>
              <w:widowControl/>
              <w:jc w:val="center"/>
              <w:rPr>
                <w:rFonts w:ascii="宋体" w:hAnsi="宋体" w:cs="宋体"/>
                <w:b/>
                <w:bCs/>
                <w:color w:val="000000"/>
                <w:kern w:val="0"/>
                <w:sz w:val="28"/>
                <w:szCs w:val="28"/>
              </w:rPr>
            </w:pPr>
            <w:r>
              <w:rPr>
                <w:rFonts w:hint="eastAsia" w:ascii="宋体" w:hAnsi="宋体" w:cs="宋体"/>
                <w:b/>
                <w:bCs/>
                <w:color w:val="000000"/>
                <w:kern w:val="0"/>
                <w:sz w:val="28"/>
                <w:szCs w:val="28"/>
              </w:rPr>
              <w:t>合计（元）</w:t>
            </w:r>
          </w:p>
        </w:tc>
      </w:tr>
      <w:tr w14:paraId="67C9ECE0">
        <w:tblPrEx>
          <w:tblCellMar>
            <w:top w:w="0" w:type="dxa"/>
            <w:left w:w="108" w:type="dxa"/>
            <w:bottom w:w="0" w:type="dxa"/>
            <w:right w:w="108" w:type="dxa"/>
          </w:tblCellMar>
        </w:tblPrEx>
        <w:trPr>
          <w:trHeight w:val="658" w:hRule="atLeast"/>
        </w:trPr>
        <w:tc>
          <w:tcPr>
            <w:tcW w:w="540" w:type="dxa"/>
            <w:vMerge w:val="continue"/>
            <w:tcBorders>
              <w:top w:val="nil"/>
              <w:left w:val="single" w:color="auto" w:sz="4" w:space="0"/>
              <w:bottom w:val="single" w:color="auto" w:sz="4" w:space="0"/>
              <w:right w:val="single" w:color="auto" w:sz="4" w:space="0"/>
            </w:tcBorders>
            <w:shd w:val="clear" w:color="auto" w:fill="auto"/>
            <w:noWrap w:val="0"/>
            <w:vAlign w:val="center"/>
          </w:tcPr>
          <w:p w14:paraId="7900D6FF">
            <w:pPr>
              <w:widowControl/>
              <w:jc w:val="left"/>
              <w:rPr>
                <w:rFonts w:ascii="仿宋" w:hAnsi="仿宋" w:eastAsia="仿宋" w:cs="宋体"/>
                <w:b/>
                <w:bCs/>
                <w:color w:val="000000"/>
                <w:kern w:val="0"/>
                <w:sz w:val="28"/>
                <w:szCs w:val="28"/>
              </w:rPr>
            </w:pPr>
          </w:p>
        </w:tc>
        <w:tc>
          <w:tcPr>
            <w:tcW w:w="1834" w:type="dxa"/>
            <w:tcBorders>
              <w:top w:val="nil"/>
              <w:left w:val="nil"/>
              <w:bottom w:val="single" w:color="auto" w:sz="4" w:space="0"/>
              <w:right w:val="single" w:color="auto" w:sz="4" w:space="0"/>
            </w:tcBorders>
            <w:shd w:val="clear" w:color="000000" w:fill="FFFFFF"/>
            <w:noWrap w:val="0"/>
            <w:vAlign w:val="center"/>
          </w:tcPr>
          <w:p w14:paraId="3A22CD7E">
            <w:pPr>
              <w:widowControl/>
              <w:jc w:val="center"/>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1#教学楼</w:t>
            </w:r>
          </w:p>
        </w:tc>
        <w:tc>
          <w:tcPr>
            <w:tcW w:w="1833" w:type="dxa"/>
            <w:tcBorders>
              <w:top w:val="nil"/>
              <w:left w:val="nil"/>
              <w:bottom w:val="single" w:color="auto" w:sz="4" w:space="0"/>
              <w:right w:val="single" w:color="auto" w:sz="4" w:space="0"/>
            </w:tcBorders>
            <w:shd w:val="clear" w:color="000000" w:fill="FFFFFF"/>
            <w:noWrap w:val="0"/>
            <w:vAlign w:val="center"/>
          </w:tcPr>
          <w:p w14:paraId="40BCC0A7">
            <w:pPr>
              <w:widowControl/>
              <w:jc w:val="center"/>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2#宿舍楼</w:t>
            </w:r>
          </w:p>
        </w:tc>
        <w:tc>
          <w:tcPr>
            <w:tcW w:w="1819" w:type="dxa"/>
            <w:tcBorders>
              <w:top w:val="nil"/>
              <w:left w:val="nil"/>
              <w:bottom w:val="single" w:color="auto" w:sz="4" w:space="0"/>
              <w:right w:val="single" w:color="auto" w:sz="4" w:space="0"/>
            </w:tcBorders>
            <w:shd w:val="clear" w:color="000000" w:fill="FFFFFF"/>
            <w:noWrap w:val="0"/>
            <w:vAlign w:val="center"/>
          </w:tcPr>
          <w:p w14:paraId="05D1686B">
            <w:pPr>
              <w:widowControl/>
              <w:jc w:val="center"/>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3#食堂风雨操场</w:t>
            </w:r>
          </w:p>
        </w:tc>
        <w:tc>
          <w:tcPr>
            <w:tcW w:w="1761" w:type="dxa"/>
            <w:tcBorders>
              <w:top w:val="nil"/>
              <w:left w:val="nil"/>
              <w:bottom w:val="single" w:color="auto" w:sz="4" w:space="0"/>
              <w:right w:val="single" w:color="auto" w:sz="4" w:space="0"/>
            </w:tcBorders>
            <w:shd w:val="clear" w:color="000000" w:fill="FFFFFF"/>
            <w:noWrap w:val="0"/>
            <w:vAlign w:val="center"/>
          </w:tcPr>
          <w:p w14:paraId="5F6CD978">
            <w:pPr>
              <w:widowControl/>
              <w:jc w:val="center"/>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4#变电站</w:t>
            </w:r>
          </w:p>
        </w:tc>
        <w:tc>
          <w:tcPr>
            <w:tcW w:w="1833" w:type="dxa"/>
            <w:vMerge w:val="continue"/>
            <w:tcBorders>
              <w:top w:val="nil"/>
              <w:left w:val="single" w:color="auto" w:sz="4" w:space="0"/>
              <w:bottom w:val="single" w:color="auto" w:sz="4" w:space="0"/>
              <w:right w:val="single" w:color="auto" w:sz="4" w:space="0"/>
            </w:tcBorders>
            <w:noWrap w:val="0"/>
            <w:vAlign w:val="center"/>
          </w:tcPr>
          <w:p w14:paraId="11D9B701">
            <w:pPr>
              <w:widowControl/>
              <w:jc w:val="left"/>
              <w:rPr>
                <w:rFonts w:ascii="仿宋" w:hAnsi="仿宋" w:eastAsia="仿宋" w:cs="宋体"/>
                <w:b/>
                <w:bCs/>
                <w:color w:val="000000"/>
                <w:kern w:val="0"/>
                <w:sz w:val="28"/>
                <w:szCs w:val="28"/>
              </w:rPr>
            </w:pPr>
          </w:p>
        </w:tc>
        <w:tc>
          <w:tcPr>
            <w:tcW w:w="1354" w:type="dxa"/>
            <w:vMerge w:val="continue"/>
            <w:tcBorders>
              <w:top w:val="nil"/>
              <w:left w:val="single" w:color="auto" w:sz="4" w:space="0"/>
              <w:bottom w:val="single" w:color="auto" w:sz="4" w:space="0"/>
              <w:right w:val="single" w:color="auto" w:sz="4" w:space="0"/>
            </w:tcBorders>
            <w:noWrap w:val="0"/>
            <w:vAlign w:val="center"/>
          </w:tcPr>
          <w:p w14:paraId="3706B5C0">
            <w:pPr>
              <w:widowControl/>
              <w:jc w:val="left"/>
              <w:rPr>
                <w:rFonts w:ascii="宋体" w:hAnsi="宋体" w:cs="宋体"/>
                <w:b/>
                <w:bCs/>
                <w:color w:val="000000"/>
                <w:kern w:val="0"/>
                <w:sz w:val="28"/>
                <w:szCs w:val="28"/>
              </w:rPr>
            </w:pPr>
          </w:p>
        </w:tc>
        <w:tc>
          <w:tcPr>
            <w:tcW w:w="1769" w:type="dxa"/>
            <w:vMerge w:val="continue"/>
            <w:tcBorders>
              <w:top w:val="nil"/>
              <w:left w:val="single" w:color="auto" w:sz="4" w:space="0"/>
              <w:bottom w:val="single" w:color="auto" w:sz="4" w:space="0"/>
              <w:right w:val="single" w:color="auto" w:sz="4" w:space="0"/>
            </w:tcBorders>
            <w:noWrap w:val="0"/>
            <w:vAlign w:val="center"/>
          </w:tcPr>
          <w:p w14:paraId="07A0B415">
            <w:pPr>
              <w:widowControl/>
              <w:jc w:val="left"/>
              <w:rPr>
                <w:rFonts w:ascii="宋体" w:hAnsi="宋体" w:cs="宋体"/>
                <w:b/>
                <w:bCs/>
                <w:color w:val="000000"/>
                <w:kern w:val="0"/>
                <w:sz w:val="28"/>
                <w:szCs w:val="28"/>
              </w:rPr>
            </w:pPr>
          </w:p>
        </w:tc>
      </w:tr>
      <w:tr w14:paraId="57AEB860">
        <w:tblPrEx>
          <w:tblCellMar>
            <w:top w:w="0" w:type="dxa"/>
            <w:left w:w="108" w:type="dxa"/>
            <w:bottom w:w="0" w:type="dxa"/>
            <w:right w:w="108" w:type="dxa"/>
          </w:tblCellMar>
        </w:tblPrEx>
        <w:trPr>
          <w:trHeight w:val="580" w:hRule="atLeast"/>
        </w:trPr>
        <w:tc>
          <w:tcPr>
            <w:tcW w:w="540" w:type="dxa"/>
            <w:tcBorders>
              <w:top w:val="nil"/>
              <w:left w:val="single" w:color="auto" w:sz="4" w:space="0"/>
              <w:bottom w:val="single" w:color="auto" w:sz="4" w:space="0"/>
              <w:right w:val="single" w:color="auto" w:sz="4" w:space="0"/>
            </w:tcBorders>
            <w:shd w:val="clear" w:color="000000" w:fill="FFFFFF"/>
            <w:noWrap w:val="0"/>
            <w:vAlign w:val="center"/>
          </w:tcPr>
          <w:p w14:paraId="56030837">
            <w:pPr>
              <w:widowControl/>
              <w:jc w:val="center"/>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1</w:t>
            </w:r>
          </w:p>
        </w:tc>
        <w:tc>
          <w:tcPr>
            <w:tcW w:w="1834" w:type="dxa"/>
            <w:tcBorders>
              <w:top w:val="nil"/>
              <w:left w:val="nil"/>
              <w:bottom w:val="single" w:color="auto" w:sz="4" w:space="0"/>
              <w:right w:val="single" w:color="auto" w:sz="4" w:space="0"/>
            </w:tcBorders>
            <w:shd w:val="clear" w:color="000000" w:fill="FFFFFF"/>
            <w:noWrap w:val="0"/>
            <w:vAlign w:val="center"/>
          </w:tcPr>
          <w:p w14:paraId="445179E8">
            <w:pPr>
              <w:widowControl/>
              <w:jc w:val="center"/>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27149.21</w:t>
            </w:r>
          </w:p>
        </w:tc>
        <w:tc>
          <w:tcPr>
            <w:tcW w:w="1833" w:type="dxa"/>
            <w:tcBorders>
              <w:top w:val="nil"/>
              <w:left w:val="nil"/>
              <w:bottom w:val="single" w:color="auto" w:sz="4" w:space="0"/>
              <w:right w:val="single" w:color="auto" w:sz="4" w:space="0"/>
            </w:tcBorders>
            <w:shd w:val="clear" w:color="000000" w:fill="FFFFFF"/>
            <w:noWrap w:val="0"/>
            <w:vAlign w:val="center"/>
          </w:tcPr>
          <w:p w14:paraId="6F897729">
            <w:pPr>
              <w:widowControl/>
              <w:jc w:val="center"/>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11076.39</w:t>
            </w:r>
          </w:p>
        </w:tc>
        <w:tc>
          <w:tcPr>
            <w:tcW w:w="1819" w:type="dxa"/>
            <w:tcBorders>
              <w:top w:val="nil"/>
              <w:left w:val="nil"/>
              <w:bottom w:val="single" w:color="auto" w:sz="4" w:space="0"/>
              <w:right w:val="single" w:color="auto" w:sz="4" w:space="0"/>
            </w:tcBorders>
            <w:shd w:val="clear" w:color="000000" w:fill="FFFFFF"/>
            <w:noWrap w:val="0"/>
            <w:vAlign w:val="center"/>
          </w:tcPr>
          <w:p w14:paraId="078290B8">
            <w:pPr>
              <w:widowControl/>
              <w:jc w:val="center"/>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8363.22</w:t>
            </w:r>
          </w:p>
        </w:tc>
        <w:tc>
          <w:tcPr>
            <w:tcW w:w="1761" w:type="dxa"/>
            <w:tcBorders>
              <w:top w:val="nil"/>
              <w:left w:val="nil"/>
              <w:bottom w:val="single" w:color="auto" w:sz="4" w:space="0"/>
              <w:right w:val="single" w:color="auto" w:sz="4" w:space="0"/>
            </w:tcBorders>
            <w:shd w:val="clear" w:color="000000" w:fill="FFFFFF"/>
            <w:noWrap w:val="0"/>
            <w:vAlign w:val="center"/>
          </w:tcPr>
          <w:p w14:paraId="161CBEAA">
            <w:pPr>
              <w:widowControl/>
              <w:jc w:val="center"/>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280</w:t>
            </w:r>
          </w:p>
        </w:tc>
        <w:tc>
          <w:tcPr>
            <w:tcW w:w="1833" w:type="dxa"/>
            <w:tcBorders>
              <w:top w:val="nil"/>
              <w:left w:val="nil"/>
              <w:bottom w:val="single" w:color="auto" w:sz="4" w:space="0"/>
              <w:right w:val="single" w:color="auto" w:sz="4" w:space="0"/>
            </w:tcBorders>
            <w:shd w:val="clear" w:color="000000" w:fill="FFFFFF"/>
            <w:noWrap w:val="0"/>
            <w:vAlign w:val="center"/>
          </w:tcPr>
          <w:p w14:paraId="0704044D">
            <w:pPr>
              <w:widowControl/>
              <w:jc w:val="center"/>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46868.82</w:t>
            </w:r>
          </w:p>
        </w:tc>
        <w:tc>
          <w:tcPr>
            <w:tcW w:w="1354" w:type="dxa"/>
            <w:tcBorders>
              <w:top w:val="nil"/>
              <w:left w:val="nil"/>
              <w:bottom w:val="single" w:color="auto" w:sz="4" w:space="0"/>
              <w:right w:val="single" w:color="auto" w:sz="4" w:space="0"/>
            </w:tcBorders>
            <w:noWrap/>
            <w:vAlign w:val="center"/>
          </w:tcPr>
          <w:p w14:paraId="6264361A">
            <w:pPr>
              <w:widowControl/>
              <w:jc w:val="center"/>
              <w:rPr>
                <w:rFonts w:hint="eastAsia" w:ascii="宋体" w:hAnsi="宋体" w:eastAsia="宋体" w:cs="宋体"/>
                <w:b/>
                <w:bCs/>
                <w:color w:val="000000"/>
                <w:kern w:val="0"/>
                <w:sz w:val="28"/>
                <w:szCs w:val="28"/>
                <w:lang w:eastAsia="zh-CN"/>
              </w:rPr>
            </w:pPr>
          </w:p>
        </w:tc>
        <w:tc>
          <w:tcPr>
            <w:tcW w:w="1769" w:type="dxa"/>
            <w:tcBorders>
              <w:top w:val="nil"/>
              <w:left w:val="nil"/>
              <w:bottom w:val="single" w:color="auto" w:sz="4" w:space="0"/>
              <w:right w:val="single" w:color="auto" w:sz="4" w:space="0"/>
            </w:tcBorders>
            <w:noWrap/>
            <w:vAlign w:val="center"/>
          </w:tcPr>
          <w:p w14:paraId="7839112D">
            <w:pPr>
              <w:widowControl/>
              <w:jc w:val="center"/>
              <w:rPr>
                <w:rFonts w:hint="eastAsia" w:ascii="宋体" w:hAnsi="宋体" w:eastAsia="宋体" w:cs="宋体"/>
                <w:b/>
                <w:bCs/>
                <w:color w:val="000000"/>
                <w:kern w:val="0"/>
                <w:sz w:val="28"/>
                <w:szCs w:val="28"/>
                <w:lang w:eastAsia="zh-CN"/>
              </w:rPr>
            </w:pPr>
          </w:p>
        </w:tc>
      </w:tr>
    </w:tbl>
    <w:p w14:paraId="617DE7EA">
      <w:pPr>
        <w:sectPr>
          <w:pgSz w:w="16838" w:h="11906" w:orient="landscape"/>
          <w:pgMar w:top="1797" w:right="1440" w:bottom="1797" w:left="1440" w:header="851" w:footer="992" w:gutter="0"/>
          <w:cols w:space="720" w:num="1"/>
          <w:docGrid w:type="linesAndChars" w:linePitch="312" w:charSpace="0"/>
        </w:sectPr>
      </w:pPr>
      <w:r>
        <w:rPr>
          <w:rFonts w:hint="eastAsia"/>
        </w:rPr>
        <w:t>附</w:t>
      </w:r>
    </w:p>
    <w:p w14:paraId="5426A366">
      <w:pPr>
        <w:spacing w:line="360" w:lineRule="auto"/>
        <w:jc w:val="center"/>
        <w:outlineLvl w:val="0"/>
        <w:rPr>
          <w:rFonts w:hint="eastAsia" w:ascii="宋体" w:hAnsi="宋体" w:eastAsia="宋体" w:cs="宋体"/>
          <w:b/>
          <w:color w:val="auto"/>
          <w:sz w:val="36"/>
          <w:szCs w:val="36"/>
          <w:highlight w:val="none"/>
        </w:rPr>
      </w:pPr>
      <w:bookmarkStart w:id="831" w:name="_Toc26329"/>
      <w:r>
        <w:rPr>
          <w:rFonts w:hint="eastAsia" w:ascii="宋体" w:hAnsi="宋体" w:eastAsia="宋体" w:cs="宋体"/>
          <w:b/>
          <w:color w:val="auto"/>
          <w:sz w:val="36"/>
          <w:szCs w:val="36"/>
          <w:highlight w:val="none"/>
        </w:rPr>
        <w:t>第七章   投标文件格式</w:t>
      </w:r>
      <w:bookmarkEnd w:id="831"/>
    </w:p>
    <w:p w14:paraId="3E8E6238">
      <w:pPr>
        <w:tabs>
          <w:tab w:val="left" w:pos="900"/>
          <w:tab w:val="left" w:pos="1980"/>
        </w:tabs>
        <w:snapToGrid w:val="0"/>
        <w:spacing w:line="360" w:lineRule="auto"/>
        <w:ind w:left="142"/>
        <w:rPr>
          <w:rFonts w:hint="eastAsia" w:ascii="宋体" w:hAnsi="宋体" w:eastAsia="宋体" w:cs="宋体"/>
          <w:b/>
          <w:color w:val="auto"/>
          <w:sz w:val="24"/>
          <w:highlight w:val="none"/>
        </w:rPr>
      </w:pPr>
    </w:p>
    <w:p w14:paraId="08409108">
      <w:pPr>
        <w:tabs>
          <w:tab w:val="left" w:pos="900"/>
          <w:tab w:val="left" w:pos="1980"/>
        </w:tabs>
        <w:snapToGrid w:val="0"/>
        <w:spacing w:line="360" w:lineRule="auto"/>
        <w:ind w:left="142"/>
        <w:rPr>
          <w:rFonts w:hint="eastAsia" w:ascii="宋体" w:hAnsi="宋体" w:eastAsia="宋体" w:cs="宋体"/>
          <w:b/>
          <w:color w:val="auto"/>
          <w:sz w:val="24"/>
          <w:highlight w:val="none"/>
        </w:rPr>
      </w:pPr>
    </w:p>
    <w:p w14:paraId="2DC5EF79">
      <w:pPr>
        <w:tabs>
          <w:tab w:val="left" w:pos="900"/>
          <w:tab w:val="left" w:pos="1980"/>
        </w:tabs>
        <w:snapToGrid w:val="0"/>
        <w:spacing w:line="360" w:lineRule="auto"/>
        <w:ind w:left="142"/>
        <w:rPr>
          <w:rFonts w:hint="eastAsia" w:ascii="宋体" w:hAnsi="宋体" w:eastAsia="宋体" w:cs="宋体"/>
          <w:color w:val="auto"/>
          <w:sz w:val="24"/>
          <w:highlight w:val="none"/>
        </w:rPr>
      </w:pPr>
      <w:r>
        <w:rPr>
          <w:rFonts w:hint="eastAsia" w:ascii="宋体" w:hAnsi="宋体" w:eastAsia="宋体" w:cs="宋体"/>
          <w:b/>
          <w:color w:val="auto"/>
          <w:sz w:val="24"/>
          <w:highlight w:val="none"/>
        </w:rPr>
        <w:t>投标人编制文件须知</w:t>
      </w:r>
    </w:p>
    <w:p w14:paraId="7EE0690D">
      <w:pPr>
        <w:tabs>
          <w:tab w:val="left" w:pos="900"/>
          <w:tab w:val="left" w:pos="1980"/>
        </w:tabs>
        <w:snapToGrid w:val="0"/>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E697CD3">
      <w:pPr>
        <w:tabs>
          <w:tab w:val="left" w:pos="900"/>
          <w:tab w:val="left" w:pos="1980"/>
        </w:tabs>
        <w:snapToGrid w:val="0"/>
        <w:spacing w:line="360" w:lineRule="auto"/>
        <w:ind w:left="142"/>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kern w:val="0"/>
          <w:sz w:val="24"/>
          <w:highlight w:val="none"/>
        </w:rPr>
        <w:t>对于招标文件中标记了“实质性格式”文件的，</w:t>
      </w:r>
      <w:r>
        <w:rPr>
          <w:rFonts w:hint="eastAsia" w:ascii="宋体" w:hAnsi="宋体" w:eastAsia="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auto"/>
          <w:kern w:val="0"/>
          <w:sz w:val="24"/>
          <w:highlight w:val="none"/>
        </w:rPr>
        <w:t>否则</w:t>
      </w:r>
      <w:r>
        <w:rPr>
          <w:rFonts w:hint="eastAsia" w:ascii="宋体" w:hAnsi="宋体" w:eastAsia="宋体" w:cs="宋体"/>
          <w:b/>
          <w:color w:val="auto"/>
          <w:kern w:val="0"/>
          <w:sz w:val="24"/>
          <w:highlight w:val="none"/>
        </w:rPr>
        <w:t>投标无效</w:t>
      </w:r>
      <w:r>
        <w:rPr>
          <w:rFonts w:hint="eastAsia" w:ascii="宋体" w:hAnsi="宋体" w:eastAsia="宋体" w:cs="宋体"/>
          <w:color w:val="auto"/>
          <w:kern w:val="0"/>
          <w:sz w:val="24"/>
          <w:highlight w:val="none"/>
        </w:rPr>
        <w:t>。未标记“实质性格式”的文件和招标文件未提供格式的内容，可由投标人自行编写。</w:t>
      </w:r>
    </w:p>
    <w:p w14:paraId="237F041B">
      <w:pPr>
        <w:tabs>
          <w:tab w:val="left" w:pos="900"/>
          <w:tab w:val="left" w:pos="1980"/>
        </w:tabs>
        <w:snapToGrid w:val="0"/>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3、全部声明和问题的回答及所附材料必须是真实的、准确的和完整的。</w:t>
      </w:r>
    </w:p>
    <w:p w14:paraId="6E57A23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43A386A5">
      <w:pPr>
        <w:keepNext/>
        <w:keepLines/>
        <w:autoSpaceDE w:val="0"/>
        <w:autoSpaceDN w:val="0"/>
        <w:adjustRightInd w:val="0"/>
        <w:spacing w:before="120" w:line="300" w:lineRule="auto"/>
        <w:jc w:val="left"/>
        <w:outlineLvl w:val="1"/>
        <w:rPr>
          <w:rFonts w:hint="eastAsia" w:ascii="宋体" w:hAnsi="宋体" w:eastAsia="宋体" w:cs="宋体"/>
          <w:b/>
          <w:color w:val="auto"/>
          <w:kern w:val="0"/>
          <w:sz w:val="30"/>
          <w:szCs w:val="20"/>
          <w:highlight w:val="none"/>
        </w:rPr>
      </w:pPr>
      <w:r>
        <w:rPr>
          <w:rFonts w:hint="eastAsia" w:ascii="宋体" w:hAnsi="宋体" w:eastAsia="宋体" w:cs="宋体"/>
          <w:b/>
          <w:color w:val="auto"/>
          <w:spacing w:val="20"/>
          <w:sz w:val="24"/>
          <w:highlight w:val="none"/>
        </w:rPr>
        <w:t>一、资格证明文件格式</w:t>
      </w:r>
    </w:p>
    <w:p w14:paraId="58518100">
      <w:pPr>
        <w:rPr>
          <w:rFonts w:hint="eastAsia" w:ascii="宋体" w:hAnsi="宋体" w:eastAsia="宋体" w:cs="宋体"/>
          <w:b/>
          <w:color w:val="auto"/>
          <w:spacing w:val="20"/>
          <w:szCs w:val="21"/>
          <w:highlight w:val="none"/>
        </w:rPr>
      </w:pPr>
    </w:p>
    <w:p w14:paraId="0F61FC2F">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投标文件（资格证明文件）</w:t>
      </w:r>
      <w:r>
        <w:rPr>
          <w:rFonts w:hint="eastAsia" w:ascii="宋体" w:hAnsi="宋体" w:eastAsia="宋体" w:cs="宋体"/>
          <w:b/>
          <w:color w:val="auto"/>
          <w:sz w:val="24"/>
          <w:highlight w:val="none"/>
        </w:rPr>
        <w:t>封面（非实质性格式）</w:t>
      </w:r>
    </w:p>
    <w:p w14:paraId="2594C2DA">
      <w:pPr>
        <w:jc w:val="center"/>
        <w:rPr>
          <w:rFonts w:hint="eastAsia" w:ascii="宋体" w:hAnsi="宋体" w:eastAsia="宋体" w:cs="宋体"/>
          <w:color w:val="auto"/>
          <w:szCs w:val="21"/>
          <w:highlight w:val="none"/>
        </w:rPr>
      </w:pPr>
    </w:p>
    <w:p w14:paraId="0F1AAFE7">
      <w:pPr>
        <w:jc w:val="center"/>
        <w:rPr>
          <w:rFonts w:hint="eastAsia" w:ascii="宋体" w:hAnsi="宋体" w:eastAsia="宋体" w:cs="宋体"/>
          <w:b/>
          <w:color w:val="auto"/>
          <w:spacing w:val="60"/>
          <w:sz w:val="84"/>
          <w:szCs w:val="84"/>
          <w:highlight w:val="none"/>
        </w:rPr>
      </w:pPr>
    </w:p>
    <w:p w14:paraId="02428096">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投 标 文 件</w:t>
      </w:r>
    </w:p>
    <w:p w14:paraId="13C8A5C8">
      <w:pPr>
        <w:jc w:val="center"/>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t>（资格证明文件）</w:t>
      </w:r>
    </w:p>
    <w:p w14:paraId="640535C2">
      <w:pPr>
        <w:ind w:firstLine="542" w:firstLineChars="150"/>
        <w:rPr>
          <w:rFonts w:hint="eastAsia" w:ascii="宋体" w:hAnsi="宋体" w:eastAsia="宋体" w:cs="宋体"/>
          <w:b/>
          <w:color w:val="auto"/>
          <w:spacing w:val="20"/>
          <w:sz w:val="32"/>
          <w:szCs w:val="32"/>
          <w:highlight w:val="none"/>
        </w:rPr>
      </w:pPr>
    </w:p>
    <w:p w14:paraId="13112384">
      <w:pPr>
        <w:ind w:firstLine="542" w:firstLineChars="150"/>
        <w:rPr>
          <w:rFonts w:hint="eastAsia" w:ascii="宋体" w:hAnsi="宋体" w:eastAsia="宋体" w:cs="宋体"/>
          <w:b/>
          <w:color w:val="auto"/>
          <w:spacing w:val="20"/>
          <w:sz w:val="32"/>
          <w:szCs w:val="32"/>
          <w:highlight w:val="none"/>
        </w:rPr>
      </w:pPr>
    </w:p>
    <w:p w14:paraId="451B2F82">
      <w:pPr>
        <w:ind w:firstLine="542" w:firstLineChars="150"/>
        <w:rPr>
          <w:rFonts w:hint="eastAsia" w:ascii="宋体" w:hAnsi="宋体" w:eastAsia="宋体" w:cs="宋体"/>
          <w:b/>
          <w:color w:val="auto"/>
          <w:spacing w:val="20"/>
          <w:sz w:val="32"/>
          <w:szCs w:val="32"/>
          <w:highlight w:val="none"/>
          <w:lang w:eastAsia="zh-CN"/>
        </w:rPr>
      </w:pPr>
      <w:r>
        <w:rPr>
          <w:rFonts w:hint="eastAsia" w:ascii="宋体" w:hAnsi="宋体" w:eastAsia="宋体" w:cs="宋体"/>
          <w:b/>
          <w:color w:val="auto"/>
          <w:spacing w:val="20"/>
          <w:sz w:val="32"/>
          <w:szCs w:val="32"/>
          <w:highlight w:val="none"/>
        </w:rPr>
        <w:t>项目名称</w:t>
      </w:r>
      <w:r>
        <w:rPr>
          <w:rFonts w:hint="eastAsia" w:ascii="宋体" w:hAnsi="宋体" w:eastAsia="宋体" w:cs="宋体"/>
          <w:b/>
          <w:color w:val="auto"/>
          <w:spacing w:val="20"/>
          <w:sz w:val="32"/>
          <w:szCs w:val="32"/>
          <w:highlight w:val="none"/>
          <w:lang w:eastAsia="zh-CN"/>
        </w:rPr>
        <w:t>：</w:t>
      </w:r>
    </w:p>
    <w:p w14:paraId="60309B4A">
      <w:pPr>
        <w:ind w:firstLine="542" w:firstLineChars="150"/>
        <w:rPr>
          <w:rFonts w:hint="eastAsia" w:ascii="宋体" w:hAnsi="宋体" w:eastAsia="宋体" w:cs="宋体"/>
          <w:b/>
          <w:color w:val="auto"/>
          <w:spacing w:val="20"/>
          <w:sz w:val="32"/>
          <w:szCs w:val="32"/>
          <w:highlight w:val="none"/>
          <w:lang w:val="en-US" w:eastAsia="zh-CN"/>
        </w:rPr>
      </w:pPr>
      <w:r>
        <w:rPr>
          <w:rFonts w:hint="eastAsia" w:ascii="宋体" w:hAnsi="宋体" w:eastAsia="宋体" w:cs="宋体"/>
          <w:b/>
          <w:color w:val="auto"/>
          <w:spacing w:val="20"/>
          <w:sz w:val="32"/>
          <w:szCs w:val="32"/>
          <w:highlight w:val="none"/>
        </w:rPr>
        <w:t>项目编号：</w:t>
      </w:r>
    </w:p>
    <w:p w14:paraId="12D1A815">
      <w:pPr>
        <w:ind w:firstLine="542" w:firstLineChars="150"/>
        <w:rPr>
          <w:rFonts w:hint="eastAsia" w:ascii="宋体" w:hAnsi="宋体" w:eastAsia="宋体" w:cs="宋体"/>
          <w:b/>
          <w:color w:val="auto"/>
          <w:spacing w:val="20"/>
          <w:sz w:val="32"/>
          <w:szCs w:val="32"/>
          <w:highlight w:val="none"/>
        </w:rPr>
      </w:pPr>
    </w:p>
    <w:p w14:paraId="5422A85A">
      <w:pPr>
        <w:ind w:firstLine="542" w:firstLineChars="150"/>
        <w:rPr>
          <w:rFonts w:hint="eastAsia" w:ascii="宋体" w:hAnsi="宋体" w:eastAsia="宋体" w:cs="宋体"/>
          <w:b/>
          <w:color w:val="auto"/>
          <w:spacing w:val="20"/>
          <w:sz w:val="32"/>
          <w:szCs w:val="32"/>
          <w:highlight w:val="none"/>
        </w:rPr>
      </w:pPr>
    </w:p>
    <w:p w14:paraId="4670A77B">
      <w:pPr>
        <w:ind w:firstLine="542" w:firstLineChars="150"/>
        <w:rPr>
          <w:rFonts w:hint="eastAsia" w:ascii="宋体" w:hAnsi="宋体" w:eastAsia="宋体" w:cs="宋体"/>
          <w:b/>
          <w:color w:val="auto"/>
          <w:spacing w:val="20"/>
          <w:sz w:val="32"/>
          <w:szCs w:val="32"/>
          <w:highlight w:val="none"/>
        </w:rPr>
      </w:pPr>
    </w:p>
    <w:p w14:paraId="66A9ACDB">
      <w:pPr>
        <w:jc w:val="center"/>
        <w:rPr>
          <w:rFonts w:hint="eastAsia" w:ascii="宋体" w:hAnsi="宋体" w:eastAsia="宋体" w:cs="宋体"/>
          <w:b/>
          <w:color w:val="auto"/>
          <w:sz w:val="32"/>
          <w:szCs w:val="32"/>
          <w:highlight w:val="none"/>
        </w:rPr>
      </w:pPr>
    </w:p>
    <w:p w14:paraId="1298C3B9">
      <w:pPr>
        <w:jc w:val="center"/>
        <w:rPr>
          <w:rFonts w:hint="eastAsia" w:ascii="宋体" w:hAnsi="宋体" w:eastAsia="宋体" w:cs="宋体"/>
          <w:b/>
          <w:color w:val="auto"/>
          <w:sz w:val="32"/>
          <w:szCs w:val="32"/>
          <w:highlight w:val="none"/>
        </w:rPr>
      </w:pPr>
    </w:p>
    <w:p w14:paraId="0FBA62D5">
      <w:pPr>
        <w:jc w:val="center"/>
        <w:rPr>
          <w:rFonts w:hint="eastAsia" w:ascii="宋体" w:hAnsi="宋体" w:eastAsia="宋体" w:cs="宋体"/>
          <w:b/>
          <w:color w:val="auto"/>
          <w:sz w:val="32"/>
          <w:szCs w:val="32"/>
          <w:highlight w:val="none"/>
        </w:rPr>
      </w:pPr>
    </w:p>
    <w:p w14:paraId="2ADBE4B8">
      <w:pPr>
        <w:jc w:val="center"/>
        <w:rPr>
          <w:rFonts w:hint="eastAsia" w:ascii="宋体" w:hAnsi="宋体" w:eastAsia="宋体" w:cs="宋体"/>
          <w:b/>
          <w:color w:val="auto"/>
          <w:spacing w:val="20"/>
          <w:sz w:val="32"/>
          <w:szCs w:val="32"/>
          <w:highlight w:val="none"/>
        </w:rPr>
      </w:pPr>
    </w:p>
    <w:p w14:paraId="48A8DFC3">
      <w:pPr>
        <w:jc w:val="center"/>
        <w:rPr>
          <w:rFonts w:hint="eastAsia" w:ascii="宋体" w:hAnsi="宋体" w:eastAsia="宋体" w:cs="宋体"/>
          <w:b/>
          <w:color w:val="auto"/>
          <w:spacing w:val="20"/>
          <w:sz w:val="32"/>
          <w:szCs w:val="32"/>
          <w:highlight w:val="none"/>
        </w:rPr>
      </w:pPr>
    </w:p>
    <w:p w14:paraId="319F05C0">
      <w:pPr>
        <w:jc w:val="center"/>
        <w:rPr>
          <w:rFonts w:hint="eastAsia" w:ascii="宋体" w:hAnsi="宋体" w:eastAsia="宋体" w:cs="宋体"/>
          <w:b/>
          <w:color w:val="auto"/>
          <w:spacing w:val="20"/>
          <w:sz w:val="32"/>
          <w:szCs w:val="32"/>
          <w:highlight w:val="none"/>
        </w:rPr>
      </w:pPr>
    </w:p>
    <w:p w14:paraId="388D9629">
      <w:pPr>
        <w:spacing w:line="360" w:lineRule="auto"/>
        <w:ind w:firstLine="1445" w:firstLineChars="400"/>
        <w:jc w:val="left"/>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投标人名称：</w:t>
      </w:r>
    </w:p>
    <w:p w14:paraId="7DA3EF54">
      <w:pPr>
        <w:spacing w:line="360" w:lineRule="auto"/>
        <w:ind w:firstLine="1445" w:firstLineChars="400"/>
        <w:jc w:val="left"/>
        <w:rPr>
          <w:rFonts w:hint="eastAsia" w:ascii="宋体" w:hAnsi="宋体" w:eastAsia="宋体" w:cs="宋体"/>
          <w:b/>
          <w:color w:val="auto"/>
          <w:spacing w:val="20"/>
          <w:sz w:val="32"/>
          <w:szCs w:val="32"/>
          <w:highlight w:val="none"/>
          <w:lang w:val="en-US" w:eastAsia="zh-CN"/>
        </w:rPr>
      </w:pPr>
      <w:r>
        <w:rPr>
          <w:rFonts w:hint="eastAsia" w:ascii="宋体" w:hAnsi="宋体" w:eastAsia="宋体" w:cs="宋体"/>
          <w:b/>
          <w:color w:val="auto"/>
          <w:spacing w:val="20"/>
          <w:sz w:val="32"/>
          <w:szCs w:val="32"/>
          <w:highlight w:val="none"/>
          <w:lang w:val="en-US" w:eastAsia="zh-CN"/>
        </w:rPr>
        <w:t>日     期：   年    月   日</w:t>
      </w:r>
    </w:p>
    <w:p w14:paraId="56E94621">
      <w:pPr>
        <w:pStyle w:val="28"/>
        <w:rPr>
          <w:rFonts w:hint="eastAsia" w:ascii="宋体" w:hAnsi="宋体" w:eastAsia="宋体" w:cs="宋体"/>
          <w:color w:val="auto"/>
          <w:highlight w:val="none"/>
        </w:rPr>
      </w:pPr>
    </w:p>
    <w:p w14:paraId="09A53A7A">
      <w:pPr>
        <w:jc w:val="center"/>
        <w:rPr>
          <w:rFonts w:hint="eastAsia" w:ascii="宋体" w:hAnsi="宋体" w:eastAsia="宋体" w:cs="宋体"/>
          <w:b/>
          <w:color w:val="auto"/>
          <w:sz w:val="32"/>
          <w:szCs w:val="32"/>
          <w:highlight w:val="none"/>
        </w:rPr>
      </w:pPr>
    </w:p>
    <w:p w14:paraId="1BAA5768">
      <w:pPr>
        <w:rPr>
          <w:rFonts w:hint="eastAsia" w:ascii="宋体" w:hAnsi="宋体" w:eastAsia="宋体" w:cs="宋体"/>
          <w:b/>
          <w:color w:val="auto"/>
          <w:highlight w:val="none"/>
        </w:rPr>
      </w:pPr>
      <w:r>
        <w:rPr>
          <w:rFonts w:hint="eastAsia" w:ascii="宋体" w:hAnsi="宋体" w:eastAsia="宋体" w:cs="宋体"/>
          <w:b/>
          <w:color w:val="auto"/>
          <w:spacing w:val="20"/>
          <w:sz w:val="32"/>
          <w:szCs w:val="32"/>
          <w:highlight w:val="none"/>
        </w:rPr>
        <w:br w:type="page"/>
      </w:r>
    </w:p>
    <w:p w14:paraId="7D7F47D3">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 </w:t>
      </w:r>
      <w:r>
        <w:rPr>
          <w:rFonts w:hint="eastAsia" w:ascii="宋体" w:hAnsi="宋体" w:eastAsia="宋体" w:cs="宋体"/>
          <w:color w:val="auto"/>
          <w:sz w:val="24"/>
          <w:highlight w:val="none"/>
        </w:rPr>
        <w:t>满足《中华人民共和国政府采购法》第二十二条规定及法律法规的其他规定</w:t>
      </w:r>
    </w:p>
    <w:p w14:paraId="20B2BD88">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1-1营业执照等证明文件</w:t>
      </w:r>
    </w:p>
    <w:p w14:paraId="614E1663">
      <w:pPr>
        <w:tabs>
          <w:tab w:val="left" w:pos="1080"/>
        </w:tabs>
        <w:snapToGrid w:val="0"/>
        <w:rPr>
          <w:rFonts w:hint="eastAsia" w:ascii="宋体" w:hAnsi="宋体" w:eastAsia="宋体" w:cs="宋体"/>
          <w:color w:val="auto"/>
          <w:sz w:val="24"/>
          <w:highlight w:val="none"/>
        </w:rPr>
      </w:pPr>
    </w:p>
    <w:p w14:paraId="20065484">
      <w:pPr>
        <w:widowControl/>
        <w:jc w:val="left"/>
        <w:rPr>
          <w:rFonts w:hint="eastAsia" w:ascii="宋体" w:hAnsi="宋体" w:eastAsia="宋体" w:cs="宋体"/>
          <w:bCs/>
          <w:color w:val="auto"/>
          <w:highlight w:val="none"/>
        </w:rPr>
      </w:pPr>
      <w:r>
        <w:rPr>
          <w:rFonts w:hint="eastAsia" w:ascii="宋体" w:hAnsi="宋体" w:eastAsia="宋体" w:cs="宋体"/>
          <w:color w:val="auto"/>
          <w:sz w:val="24"/>
          <w:highlight w:val="none"/>
        </w:rPr>
        <w:br w:type="page"/>
      </w:r>
      <w:r>
        <w:rPr>
          <w:rFonts w:hint="eastAsia" w:ascii="宋体" w:hAnsi="宋体" w:eastAsia="宋体" w:cs="宋体"/>
          <w:color w:val="auto"/>
          <w:sz w:val="24"/>
          <w:highlight w:val="none"/>
        </w:rPr>
        <w:t>1-2 投标人资格声明书（实质性格式）</w:t>
      </w:r>
    </w:p>
    <w:p w14:paraId="508E96DF">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投标人资格声明书</w:t>
      </w:r>
    </w:p>
    <w:p w14:paraId="727CC1C8">
      <w:pPr>
        <w:tabs>
          <w:tab w:val="left" w:pos="5580"/>
        </w:tabs>
        <w:spacing w:line="360" w:lineRule="auto"/>
        <w:rPr>
          <w:rFonts w:hint="eastAsia" w:ascii="宋体" w:hAnsi="宋体" w:eastAsia="宋体" w:cs="宋体"/>
          <w:color w:val="auto"/>
          <w:sz w:val="24"/>
          <w:highlight w:val="none"/>
        </w:rPr>
      </w:pPr>
    </w:p>
    <w:p w14:paraId="146B07ED">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采购人或采购代理机构</w:t>
      </w:r>
    </w:p>
    <w:p w14:paraId="611B20B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在参与本次项目投标中，我单位承诺：</w:t>
      </w:r>
    </w:p>
    <w:p w14:paraId="4F3E4A8E">
      <w:pPr>
        <w:numPr>
          <w:ilvl w:val="0"/>
          <w:numId w:val="18"/>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具有良好的商业信誉和健全的财务会计制度；</w:t>
      </w:r>
    </w:p>
    <w:p w14:paraId="18728120">
      <w:pPr>
        <w:numPr>
          <w:ilvl w:val="0"/>
          <w:numId w:val="18"/>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具有履行合同所必需的设备和专业技术能力；</w:t>
      </w:r>
    </w:p>
    <w:p w14:paraId="249053D2">
      <w:pPr>
        <w:numPr>
          <w:ilvl w:val="0"/>
          <w:numId w:val="18"/>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有依法缴纳税收和社会保障资金的良好记录；</w:t>
      </w:r>
    </w:p>
    <w:p w14:paraId="6F6EB6C4">
      <w:pPr>
        <w:numPr>
          <w:ilvl w:val="0"/>
          <w:numId w:val="18"/>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8E0537E">
      <w:pPr>
        <w:numPr>
          <w:ilvl w:val="0"/>
          <w:numId w:val="18"/>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我单位不属于政府采购法律、行政法规规定的公益一类事业单位、或使用事业编制且由财政拨款保障的群团组织（仅适用于政府购买服务项目）；</w:t>
      </w:r>
    </w:p>
    <w:p w14:paraId="5D08A0DB">
      <w:pPr>
        <w:numPr>
          <w:ilvl w:val="0"/>
          <w:numId w:val="18"/>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我单位不存在为采购项目提供整体设计、规范编制或者项目管理、监理、检测等服务后，再参加该采购项目的其他采购活动的情形（单一来源采购项目除外）；</w:t>
      </w:r>
    </w:p>
    <w:p w14:paraId="713E8858">
      <w:pPr>
        <w:numPr>
          <w:ilvl w:val="0"/>
          <w:numId w:val="18"/>
        </w:numPr>
        <w:spacing w:line="360" w:lineRule="auto"/>
        <w:ind w:left="1134"/>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B91C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5DF30D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4574" w:type="dxa"/>
            <w:vAlign w:val="center"/>
          </w:tcPr>
          <w:p w14:paraId="6A49020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p>
        </w:tc>
        <w:tc>
          <w:tcPr>
            <w:tcW w:w="2976" w:type="dxa"/>
            <w:vAlign w:val="center"/>
          </w:tcPr>
          <w:p w14:paraId="1278F2A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相互关系</w:t>
            </w:r>
          </w:p>
        </w:tc>
      </w:tr>
      <w:tr w14:paraId="10DFA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46EA1C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4574" w:type="dxa"/>
            <w:vAlign w:val="center"/>
          </w:tcPr>
          <w:p w14:paraId="64E09699">
            <w:pPr>
              <w:jc w:val="center"/>
              <w:rPr>
                <w:rFonts w:hint="eastAsia" w:ascii="宋体" w:hAnsi="宋体" w:eastAsia="宋体" w:cs="宋体"/>
                <w:color w:val="auto"/>
                <w:sz w:val="24"/>
                <w:highlight w:val="none"/>
              </w:rPr>
            </w:pPr>
          </w:p>
        </w:tc>
        <w:tc>
          <w:tcPr>
            <w:tcW w:w="2976" w:type="dxa"/>
            <w:vAlign w:val="center"/>
          </w:tcPr>
          <w:p w14:paraId="55FA3A1F">
            <w:pPr>
              <w:jc w:val="center"/>
              <w:rPr>
                <w:rFonts w:hint="eastAsia" w:ascii="宋体" w:hAnsi="宋体" w:eastAsia="宋体" w:cs="宋体"/>
                <w:color w:val="auto"/>
                <w:sz w:val="24"/>
                <w:highlight w:val="none"/>
              </w:rPr>
            </w:pPr>
          </w:p>
        </w:tc>
      </w:tr>
      <w:tr w14:paraId="0CB16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A3A145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4574" w:type="dxa"/>
            <w:vAlign w:val="center"/>
          </w:tcPr>
          <w:p w14:paraId="3B28BE62">
            <w:pPr>
              <w:jc w:val="center"/>
              <w:rPr>
                <w:rFonts w:hint="eastAsia" w:ascii="宋体" w:hAnsi="宋体" w:eastAsia="宋体" w:cs="宋体"/>
                <w:color w:val="auto"/>
                <w:sz w:val="24"/>
                <w:highlight w:val="none"/>
              </w:rPr>
            </w:pPr>
          </w:p>
        </w:tc>
        <w:tc>
          <w:tcPr>
            <w:tcW w:w="2976" w:type="dxa"/>
            <w:vAlign w:val="center"/>
          </w:tcPr>
          <w:p w14:paraId="0681DBE4">
            <w:pPr>
              <w:jc w:val="center"/>
              <w:rPr>
                <w:rFonts w:hint="eastAsia" w:ascii="宋体" w:hAnsi="宋体" w:eastAsia="宋体" w:cs="宋体"/>
                <w:color w:val="auto"/>
                <w:sz w:val="24"/>
                <w:highlight w:val="none"/>
              </w:rPr>
            </w:pPr>
          </w:p>
        </w:tc>
      </w:tr>
      <w:tr w14:paraId="11C15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14B4A3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4574" w:type="dxa"/>
            <w:vAlign w:val="center"/>
          </w:tcPr>
          <w:p w14:paraId="3885ED99">
            <w:pPr>
              <w:jc w:val="center"/>
              <w:rPr>
                <w:rFonts w:hint="eastAsia" w:ascii="宋体" w:hAnsi="宋体" w:eastAsia="宋体" w:cs="宋体"/>
                <w:color w:val="auto"/>
                <w:sz w:val="24"/>
                <w:highlight w:val="none"/>
              </w:rPr>
            </w:pPr>
          </w:p>
        </w:tc>
        <w:tc>
          <w:tcPr>
            <w:tcW w:w="2976" w:type="dxa"/>
            <w:vAlign w:val="center"/>
          </w:tcPr>
          <w:p w14:paraId="1F5C40DE">
            <w:pPr>
              <w:jc w:val="center"/>
              <w:rPr>
                <w:rFonts w:hint="eastAsia" w:ascii="宋体" w:hAnsi="宋体" w:eastAsia="宋体" w:cs="宋体"/>
                <w:color w:val="auto"/>
                <w:sz w:val="24"/>
                <w:highlight w:val="none"/>
              </w:rPr>
            </w:pPr>
          </w:p>
        </w:tc>
      </w:tr>
    </w:tbl>
    <w:p w14:paraId="3C74070C">
      <w:pPr>
        <w:rPr>
          <w:rFonts w:hint="eastAsia" w:ascii="宋体" w:hAnsi="宋体" w:eastAsia="宋体" w:cs="宋体"/>
          <w:color w:val="auto"/>
          <w:highlight w:val="none"/>
        </w:rPr>
      </w:pPr>
    </w:p>
    <w:p w14:paraId="52BF5994">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上述声明真实有效，否则我方负全部责任。</w:t>
      </w:r>
    </w:p>
    <w:p w14:paraId="6EA5AE4A">
      <w:pPr>
        <w:autoSpaceDE w:val="0"/>
        <w:autoSpaceDN w:val="0"/>
        <w:adjustRightInd w:val="0"/>
        <w:snapToGrid w:val="0"/>
        <w:spacing w:before="25" w:after="25" w:line="360" w:lineRule="auto"/>
        <w:jc w:val="righ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投标人名称（加盖公章）</w:t>
      </w:r>
      <w:r>
        <w:rPr>
          <w:rFonts w:hint="eastAsia" w:ascii="宋体" w:hAnsi="宋体" w:eastAsia="宋体" w:cs="宋体"/>
          <w:color w:val="auto"/>
          <w:sz w:val="24"/>
          <w:highlight w:val="none"/>
          <w:lang w:val="zh-CN"/>
        </w:rPr>
        <w:t>：____________</w:t>
      </w:r>
    </w:p>
    <w:p w14:paraId="67C288FD">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日期：_____年______月______日   </w:t>
      </w:r>
    </w:p>
    <w:p w14:paraId="26BF743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说明：投标人承诺不实的，依据《政府采购法》第七十七条“提供虚假材料谋取中标、成交的”有关规定予以处理。</w:t>
      </w:r>
    </w:p>
    <w:p w14:paraId="05F890C8">
      <w:pPr>
        <w:tabs>
          <w:tab w:val="left" w:pos="5580"/>
        </w:tabs>
        <w:spacing w:line="360" w:lineRule="auto"/>
        <w:rPr>
          <w:rFonts w:hint="eastAsia" w:ascii="宋体" w:hAnsi="宋体" w:eastAsia="宋体" w:cs="宋体"/>
          <w:color w:val="auto"/>
          <w:sz w:val="24"/>
          <w:highlight w:val="none"/>
        </w:rPr>
        <w:sectPr>
          <w:pgSz w:w="11907" w:h="16840"/>
          <w:pgMar w:top="1440" w:right="1800" w:bottom="1440" w:left="1800" w:header="851" w:footer="851" w:gutter="0"/>
          <w:pgNumType w:fmt="decimal"/>
          <w:cols w:space="720" w:num="1"/>
          <w:docGrid w:linePitch="462" w:charSpace="0"/>
        </w:sectPr>
      </w:pPr>
    </w:p>
    <w:p w14:paraId="6D1E9A75">
      <w:pPr>
        <w:numPr>
          <w:ilvl w:val="0"/>
          <w:numId w:val="0"/>
        </w:numPr>
        <w:tabs>
          <w:tab w:val="left" w:pos="360"/>
        </w:tabs>
        <w:snapToGrid w:val="0"/>
        <w:spacing w:line="360" w:lineRule="auto"/>
        <w:ind w:leftChars="0"/>
        <w:outlineLvl w:val="1"/>
        <w:rPr>
          <w:color w:val="auto"/>
          <w:sz w:val="24"/>
          <w:szCs w:val="20"/>
          <w:highlight w:val="none"/>
        </w:rPr>
      </w:pPr>
      <w:r>
        <w:rPr>
          <w:rFonts w:hint="eastAsia"/>
          <w:color w:val="auto"/>
          <w:sz w:val="24"/>
          <w:highlight w:val="none"/>
          <w:lang w:val="en-US" w:eastAsia="zh-CN"/>
        </w:rPr>
        <w:t>2</w:t>
      </w:r>
      <w:r>
        <w:rPr>
          <w:color w:val="auto"/>
          <w:sz w:val="24"/>
          <w:szCs w:val="20"/>
          <w:highlight w:val="none"/>
        </w:rPr>
        <w:t>落实政府采购政策需满足的资格要求</w:t>
      </w:r>
    </w:p>
    <w:p w14:paraId="6CC63912">
      <w:pPr>
        <w:spacing w:line="360" w:lineRule="auto"/>
        <w:outlineLvl w:val="2"/>
        <w:rPr>
          <w:color w:val="auto"/>
          <w:sz w:val="24"/>
          <w:szCs w:val="20"/>
          <w:highlight w:val="none"/>
        </w:rPr>
      </w:pPr>
      <w:r>
        <w:rPr>
          <w:color w:val="auto"/>
          <w:sz w:val="24"/>
          <w:szCs w:val="20"/>
          <w:highlight w:val="none"/>
        </w:rPr>
        <w:t>2-1 中小企业政策证明文件</w:t>
      </w:r>
    </w:p>
    <w:p w14:paraId="5C9CA3AD">
      <w:pPr>
        <w:tabs>
          <w:tab w:val="left" w:pos="5580"/>
        </w:tabs>
        <w:spacing w:line="360" w:lineRule="auto"/>
        <w:rPr>
          <w:color w:val="auto"/>
          <w:sz w:val="24"/>
          <w:highlight w:val="none"/>
        </w:rPr>
      </w:pPr>
      <w:r>
        <w:rPr>
          <w:color w:val="auto"/>
          <w:sz w:val="24"/>
          <w:highlight w:val="none"/>
        </w:rPr>
        <w:t>说明：</w:t>
      </w:r>
    </w:p>
    <w:p w14:paraId="6F481221">
      <w:pPr>
        <w:tabs>
          <w:tab w:val="left" w:pos="5580"/>
        </w:tabs>
        <w:spacing w:line="360" w:lineRule="auto"/>
        <w:rPr>
          <w:color w:val="auto"/>
          <w:sz w:val="24"/>
          <w:highlight w:val="none"/>
        </w:rPr>
      </w:pPr>
      <w:r>
        <w:rPr>
          <w:color w:val="auto"/>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4B23D62">
      <w:pPr>
        <w:tabs>
          <w:tab w:val="left" w:pos="5580"/>
        </w:tabs>
        <w:spacing w:line="360" w:lineRule="auto"/>
        <w:rPr>
          <w:color w:val="auto"/>
          <w:sz w:val="24"/>
          <w:highlight w:val="none"/>
        </w:rPr>
      </w:pPr>
      <w:r>
        <w:rPr>
          <w:color w:val="auto"/>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02EDFB5">
      <w:pPr>
        <w:tabs>
          <w:tab w:val="left" w:pos="5580"/>
        </w:tabs>
        <w:spacing w:line="360" w:lineRule="auto"/>
        <w:rPr>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8EE5095">
      <w:pPr>
        <w:tabs>
          <w:tab w:val="left" w:pos="5580"/>
        </w:tabs>
        <w:spacing w:line="360" w:lineRule="auto"/>
        <w:rPr>
          <w:color w:val="auto"/>
          <w:sz w:val="24"/>
          <w:highlight w:val="none"/>
        </w:rPr>
      </w:pPr>
      <w:r>
        <w:rPr>
          <w:color w:val="auto"/>
          <w:sz w:val="24"/>
          <w:highlight w:val="none"/>
        </w:rPr>
        <w:t>（4）如本项目（包）预留部分采购项目预算专门面向中小企业采购，且要求供应商以联合体形式参加采购活动</w:t>
      </w:r>
      <w:r>
        <w:rPr>
          <w:color w:val="auto"/>
          <w:highlight w:val="none"/>
        </w:rPr>
        <w:t>，</w:t>
      </w:r>
      <w:bookmarkStart w:id="832" w:name="_Hlk145526067"/>
      <w:r>
        <w:rPr>
          <w:color w:val="auto"/>
          <w:sz w:val="24"/>
          <w:highlight w:val="none"/>
        </w:rPr>
        <w:t>如供应商为联合体的，</w:t>
      </w:r>
      <w:bookmarkEnd w:id="832"/>
      <w:r>
        <w:rPr>
          <w:color w:val="auto"/>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424394B">
      <w:pPr>
        <w:tabs>
          <w:tab w:val="left" w:pos="5580"/>
        </w:tabs>
        <w:spacing w:line="360" w:lineRule="auto"/>
        <w:rPr>
          <w:color w:val="auto"/>
          <w:sz w:val="24"/>
          <w:highlight w:val="none"/>
        </w:rPr>
      </w:pPr>
      <w:r>
        <w:rPr>
          <w:color w:val="auto"/>
          <w:sz w:val="24"/>
          <w:highlight w:val="none"/>
        </w:rPr>
        <w:t>（5）中小企业声明函填写注意事项</w:t>
      </w:r>
    </w:p>
    <w:p w14:paraId="055EC459">
      <w:pPr>
        <w:tabs>
          <w:tab w:val="left" w:pos="5580"/>
        </w:tabs>
        <w:spacing w:line="360" w:lineRule="auto"/>
        <w:rPr>
          <w:color w:val="auto"/>
          <w:sz w:val="24"/>
          <w:highlight w:val="none"/>
        </w:rPr>
      </w:pPr>
      <w:r>
        <w:rPr>
          <w:color w:val="auto"/>
          <w:sz w:val="24"/>
          <w:highlight w:val="none"/>
        </w:rPr>
        <w:t>1）《中小企业声明函》由参加政府采购活动的投标人出具。联合体投标的，《中小企业声明函》可由牵头人出具。</w:t>
      </w:r>
    </w:p>
    <w:p w14:paraId="7EFFEDCD">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1A994E6">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2FD8E1E1">
      <w:pPr>
        <w:tabs>
          <w:tab w:val="left" w:pos="5580"/>
        </w:tabs>
        <w:spacing w:line="360" w:lineRule="auto"/>
        <w:rPr>
          <w:color w:val="auto"/>
          <w:sz w:val="24"/>
          <w:highlight w:val="none"/>
        </w:rPr>
      </w:pPr>
      <w:r>
        <w:rPr>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60059FA7">
      <w:pPr>
        <w:tabs>
          <w:tab w:val="left" w:pos="5580"/>
        </w:tabs>
        <w:spacing w:line="360" w:lineRule="auto"/>
        <w:rPr>
          <w:color w:val="auto"/>
          <w:sz w:val="24"/>
          <w:highlight w:val="none"/>
        </w:rPr>
      </w:pPr>
    </w:p>
    <w:p w14:paraId="6BA4D9CA">
      <w:pPr>
        <w:tabs>
          <w:tab w:val="left" w:pos="5580"/>
        </w:tabs>
        <w:spacing w:line="360" w:lineRule="auto"/>
        <w:rPr>
          <w:color w:val="auto"/>
          <w:sz w:val="24"/>
          <w:highlight w:val="none"/>
        </w:rPr>
      </w:pPr>
      <w:r>
        <w:rPr>
          <w:color w:val="auto"/>
          <w:sz w:val="24"/>
          <w:highlight w:val="none"/>
        </w:rPr>
        <w:br w:type="page"/>
      </w:r>
    </w:p>
    <w:p w14:paraId="5456D68C">
      <w:pPr>
        <w:spacing w:line="360" w:lineRule="auto"/>
        <w:outlineLvl w:val="2"/>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t>2-1-1 中小企业证明文件</w:t>
      </w:r>
    </w:p>
    <w:p w14:paraId="71C465FB">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62E9B22B">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w:t>
      </w:r>
      <w:r>
        <w:rPr>
          <w:color w:val="auto"/>
          <w:spacing w:val="6"/>
          <w:sz w:val="24"/>
          <w:highlight w:val="none"/>
          <w:u w:val="single"/>
        </w:rPr>
        <w:t>单位名称</w:t>
      </w:r>
      <w:r>
        <w:rPr>
          <w:color w:val="auto"/>
          <w:spacing w:val="6"/>
          <w:sz w:val="24"/>
          <w:highlight w:val="none"/>
        </w:rPr>
        <w:t>）的（</w:t>
      </w:r>
      <w:r>
        <w:rPr>
          <w:color w:val="auto"/>
          <w:spacing w:val="6"/>
          <w:sz w:val="24"/>
          <w:highlight w:val="none"/>
          <w:u w:val="single"/>
        </w:rPr>
        <w:t>项目名称</w:t>
      </w:r>
      <w:r>
        <w:rPr>
          <w:color w:val="auto"/>
          <w:spacing w:val="6"/>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FAD5021">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42E9E27F">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6313D68F">
      <w:pPr>
        <w:spacing w:line="360" w:lineRule="auto"/>
        <w:ind w:firstLine="504"/>
        <w:rPr>
          <w:color w:val="auto"/>
          <w:spacing w:val="6"/>
          <w:sz w:val="24"/>
          <w:highlight w:val="none"/>
        </w:rPr>
      </w:pPr>
    </w:p>
    <w:p w14:paraId="46B98936">
      <w:pPr>
        <w:spacing w:line="360" w:lineRule="auto"/>
        <w:ind w:firstLine="504"/>
        <w:rPr>
          <w:color w:val="auto"/>
          <w:spacing w:val="6"/>
          <w:sz w:val="24"/>
          <w:highlight w:val="none"/>
        </w:rPr>
      </w:pPr>
      <w:r>
        <w:rPr>
          <w:color w:val="auto"/>
          <w:spacing w:val="6"/>
          <w:sz w:val="24"/>
          <w:highlight w:val="none"/>
        </w:rPr>
        <w:t>……</w:t>
      </w:r>
    </w:p>
    <w:p w14:paraId="12CE2598">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54F82C6B">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3CCA461E">
      <w:pPr>
        <w:spacing w:line="360" w:lineRule="auto"/>
        <w:ind w:right="360" w:firstLine="480"/>
        <w:jc w:val="right"/>
        <w:rPr>
          <w:color w:val="auto"/>
          <w:sz w:val="24"/>
          <w:highlight w:val="none"/>
        </w:rPr>
      </w:pPr>
    </w:p>
    <w:p w14:paraId="4C06A9BB">
      <w:pPr>
        <w:spacing w:line="360" w:lineRule="auto"/>
        <w:ind w:right="360" w:firstLine="480"/>
        <w:jc w:val="right"/>
        <w:rPr>
          <w:color w:val="auto"/>
          <w:sz w:val="24"/>
          <w:highlight w:val="none"/>
        </w:rPr>
      </w:pPr>
      <w:r>
        <w:rPr>
          <w:color w:val="auto"/>
          <w:sz w:val="24"/>
          <w:highlight w:val="none"/>
        </w:rPr>
        <w:t>企业名称（盖章）：________</w:t>
      </w:r>
    </w:p>
    <w:p w14:paraId="030E03CD">
      <w:pPr>
        <w:spacing w:line="360" w:lineRule="auto"/>
        <w:ind w:right="360" w:firstLine="480"/>
        <w:jc w:val="right"/>
        <w:rPr>
          <w:color w:val="auto"/>
          <w:sz w:val="24"/>
          <w:highlight w:val="none"/>
        </w:rPr>
      </w:pPr>
      <w:r>
        <w:rPr>
          <w:color w:val="auto"/>
          <w:sz w:val="24"/>
          <w:highlight w:val="none"/>
        </w:rPr>
        <w:t>日 期：________</w:t>
      </w:r>
    </w:p>
    <w:p w14:paraId="265CE7FA">
      <w:pPr>
        <w:adjustRightInd w:val="0"/>
        <w:snapToGrid w:val="0"/>
        <w:jc w:val="left"/>
        <w:rPr>
          <w:color w:val="auto"/>
          <w:sz w:val="24"/>
          <w:szCs w:val="21"/>
          <w:highlight w:val="none"/>
        </w:rPr>
      </w:pPr>
    </w:p>
    <w:p w14:paraId="1637CD54">
      <w:pPr>
        <w:adjustRightInd w:val="0"/>
        <w:snapToGrid w:val="0"/>
        <w:jc w:val="left"/>
        <w:rPr>
          <w:color w:val="auto"/>
          <w:sz w:val="24"/>
          <w:szCs w:val="21"/>
          <w:highlight w:val="none"/>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3"/>
      </w:tblGrid>
      <w:tr w14:paraId="77C85C9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shd w:val="clear" w:color="auto" w:fill="auto"/>
          </w:tcPr>
          <w:p w14:paraId="1B313D7C">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080F1C00">
      <w:pPr>
        <w:adjustRightInd w:val="0"/>
        <w:snapToGrid w:val="0"/>
        <w:jc w:val="left"/>
        <w:rPr>
          <w:color w:val="auto"/>
          <w:szCs w:val="21"/>
          <w:highlight w:val="none"/>
          <w:vertAlign w:val="superscript"/>
        </w:rPr>
      </w:pPr>
    </w:p>
    <w:p w14:paraId="4E359331">
      <w:pPr>
        <w:spacing w:line="360" w:lineRule="auto"/>
        <w:ind w:right="360" w:firstLine="480"/>
        <w:jc w:val="right"/>
        <w:rPr>
          <w:color w:val="auto"/>
          <w:sz w:val="24"/>
          <w:highlight w:val="none"/>
        </w:rPr>
      </w:pPr>
    </w:p>
    <w:p w14:paraId="0A9D0C0E">
      <w:pPr>
        <w:spacing w:line="360" w:lineRule="auto"/>
        <w:ind w:right="360" w:firstLine="480"/>
        <w:jc w:val="right"/>
        <w:rPr>
          <w:color w:val="auto"/>
          <w:sz w:val="24"/>
          <w:highlight w:val="none"/>
        </w:rPr>
      </w:pPr>
    </w:p>
    <w:p w14:paraId="0EB6331A">
      <w:pPr>
        <w:spacing w:line="360" w:lineRule="auto"/>
        <w:outlineLvl w:val="2"/>
        <w:rPr>
          <w:color w:val="auto"/>
          <w:sz w:val="24"/>
          <w:szCs w:val="20"/>
          <w:highlight w:val="none"/>
        </w:rPr>
      </w:pPr>
      <w:r>
        <w:rPr>
          <w:color w:val="auto"/>
          <w:sz w:val="24"/>
          <w:szCs w:val="20"/>
          <w:highlight w:val="none"/>
        </w:rPr>
        <w:br w:type="page"/>
      </w:r>
    </w:p>
    <w:p w14:paraId="1D86CF2A">
      <w:pPr>
        <w:spacing w:before="240" w:beforeLines="100" w:after="240" w:afterLines="100" w:line="360" w:lineRule="auto"/>
        <w:jc w:val="center"/>
        <w:rPr>
          <w:b/>
          <w:color w:val="auto"/>
          <w:sz w:val="36"/>
          <w:szCs w:val="36"/>
          <w:highlight w:val="none"/>
        </w:rPr>
      </w:pPr>
      <w:r>
        <w:rPr>
          <w:b/>
          <w:bCs/>
          <w:color w:val="auto"/>
          <w:sz w:val="36"/>
          <w:szCs w:val="36"/>
          <w:highlight w:val="none"/>
        </w:rPr>
        <w:t>残疾人福利性单位声明函格式</w:t>
      </w:r>
      <w:r>
        <w:rPr>
          <w:b/>
          <w:color w:val="auto"/>
          <w:sz w:val="36"/>
          <w:szCs w:val="36"/>
          <w:highlight w:val="none"/>
        </w:rPr>
        <w:t xml:space="preserve">       </w:t>
      </w:r>
    </w:p>
    <w:p w14:paraId="396DED70">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603EA391">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64579375">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3181C7E6">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50C0645C">
      <w:pPr>
        <w:spacing w:line="588" w:lineRule="exact"/>
        <w:ind w:firstLine="504" w:firstLineChars="200"/>
        <w:rPr>
          <w:color w:val="auto"/>
          <w:spacing w:val="6"/>
          <w:sz w:val="24"/>
          <w:highlight w:val="none"/>
        </w:rPr>
      </w:pPr>
    </w:p>
    <w:p w14:paraId="7683042D">
      <w:pPr>
        <w:spacing w:line="588" w:lineRule="exact"/>
        <w:ind w:firstLine="504" w:firstLineChars="200"/>
        <w:rPr>
          <w:color w:val="auto"/>
          <w:spacing w:val="6"/>
          <w:sz w:val="24"/>
          <w:highlight w:val="none"/>
        </w:rPr>
      </w:pPr>
    </w:p>
    <w:p w14:paraId="4C99DDB9">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11E4B33A">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05DE2464">
      <w:pPr>
        <w:widowControl/>
        <w:jc w:val="left"/>
        <w:rPr>
          <w:color w:val="auto"/>
          <w:sz w:val="24"/>
          <w:szCs w:val="20"/>
          <w:highlight w:val="none"/>
        </w:rPr>
      </w:pPr>
      <w:r>
        <w:rPr>
          <w:color w:val="auto"/>
          <w:sz w:val="24"/>
          <w:szCs w:val="20"/>
          <w:highlight w:val="none"/>
        </w:rPr>
        <w:br w:type="page"/>
      </w:r>
    </w:p>
    <w:p w14:paraId="7731468A">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14:paraId="64611B92">
      <w:pPr>
        <w:widowControl/>
        <w:jc w:val="left"/>
        <w:rPr>
          <w:color w:val="auto"/>
          <w:sz w:val="24"/>
          <w:highlight w:val="none"/>
        </w:rPr>
      </w:pPr>
    </w:p>
    <w:p w14:paraId="21B302CB">
      <w:pPr>
        <w:widowControl/>
        <w:jc w:val="left"/>
        <w:rPr>
          <w:color w:val="auto"/>
          <w:sz w:val="24"/>
          <w:highlight w:val="none"/>
        </w:rPr>
      </w:pPr>
      <w:r>
        <w:rPr>
          <w:color w:val="auto"/>
          <w:sz w:val="24"/>
          <w:highlight w:val="none"/>
        </w:rPr>
        <w:br w:type="page"/>
      </w:r>
    </w:p>
    <w:p w14:paraId="545E2A7E">
      <w:pPr>
        <w:spacing w:line="360" w:lineRule="auto"/>
        <w:outlineLvl w:val="2"/>
        <w:rPr>
          <w:rFonts w:hint="eastAsia" w:eastAsia="宋体"/>
          <w:color w:val="auto"/>
          <w:sz w:val="24"/>
          <w:szCs w:val="20"/>
          <w:highlight w:val="none"/>
          <w:lang w:eastAsia="zh-CN"/>
        </w:rPr>
      </w:pPr>
      <w:r>
        <w:rPr>
          <w:color w:val="auto"/>
          <w:sz w:val="24"/>
          <w:szCs w:val="20"/>
          <w:highlight w:val="none"/>
        </w:rPr>
        <w:t>3 其他特定资格要求</w:t>
      </w:r>
      <w:r>
        <w:rPr>
          <w:rFonts w:hint="eastAsia"/>
          <w:color w:val="auto"/>
          <w:sz w:val="24"/>
          <w:szCs w:val="20"/>
          <w:highlight w:val="none"/>
          <w:lang w:eastAsia="zh-CN"/>
        </w:rPr>
        <w:t>（</w:t>
      </w:r>
      <w:r>
        <w:rPr>
          <w:rFonts w:hint="eastAsia"/>
          <w:color w:val="auto"/>
          <w:sz w:val="24"/>
          <w:szCs w:val="20"/>
          <w:highlight w:val="none"/>
          <w:lang w:val="en-US" w:eastAsia="zh-CN"/>
        </w:rPr>
        <w:t>如有</w:t>
      </w:r>
      <w:r>
        <w:rPr>
          <w:rFonts w:hint="eastAsia"/>
          <w:color w:val="auto"/>
          <w:sz w:val="24"/>
          <w:szCs w:val="20"/>
          <w:highlight w:val="none"/>
          <w:lang w:eastAsia="zh-CN"/>
        </w:rPr>
        <w:t>）</w:t>
      </w:r>
    </w:p>
    <w:p w14:paraId="7C54293E">
      <w:pPr>
        <w:widowControl/>
        <w:jc w:val="left"/>
        <w:rPr>
          <w:color w:val="auto"/>
          <w:sz w:val="24"/>
          <w:szCs w:val="20"/>
          <w:highlight w:val="none"/>
        </w:rPr>
      </w:pPr>
      <w:r>
        <w:rPr>
          <w:color w:val="auto"/>
          <w:sz w:val="24"/>
          <w:szCs w:val="20"/>
          <w:highlight w:val="none"/>
        </w:rPr>
        <w:br w:type="page"/>
      </w:r>
    </w:p>
    <w:p w14:paraId="5AF63A90">
      <w:pPr>
        <w:widowControl/>
        <w:spacing w:line="360" w:lineRule="auto"/>
        <w:jc w:val="left"/>
        <w:rPr>
          <w:rFonts w:hint="eastAsia"/>
          <w:color w:val="auto"/>
          <w:sz w:val="24"/>
          <w:szCs w:val="20"/>
          <w:highlight w:val="none"/>
          <w:lang w:val="en-US" w:eastAsia="zh-CN"/>
        </w:rPr>
      </w:pPr>
      <w:r>
        <w:rPr>
          <w:rFonts w:hint="eastAsia"/>
          <w:color w:val="auto"/>
          <w:sz w:val="24"/>
          <w:szCs w:val="20"/>
          <w:highlight w:val="none"/>
          <w:lang w:val="en-US" w:eastAsia="zh-CN"/>
        </w:rPr>
        <w:t>4</w:t>
      </w:r>
      <w:r>
        <w:rPr>
          <w:rFonts w:hint="eastAsia" w:ascii="宋体" w:hAnsi="宋体" w:eastAsia="宋体" w:cs="宋体"/>
          <w:color w:val="auto"/>
          <w:spacing w:val="-2"/>
          <w:sz w:val="24"/>
          <w:szCs w:val="24"/>
          <w:highlight w:val="none"/>
        </w:rPr>
        <w:t>获取招标文件</w:t>
      </w:r>
    </w:p>
    <w:p w14:paraId="418F31BE">
      <w:pPr>
        <w:widowControl/>
        <w:spacing w:line="360" w:lineRule="auto"/>
        <w:jc w:val="left"/>
        <w:rPr>
          <w:color w:val="auto"/>
          <w:sz w:val="24"/>
          <w:szCs w:val="20"/>
          <w:highlight w:val="none"/>
        </w:rPr>
      </w:pPr>
      <w:r>
        <w:rPr>
          <w:rFonts w:hint="eastAsia" w:ascii="宋体" w:hAnsi="宋体" w:eastAsia="宋体" w:cs="宋体"/>
          <w:color w:val="auto"/>
          <w:spacing w:val="2"/>
          <w:sz w:val="22"/>
          <w:szCs w:val="22"/>
          <w:highlight w:val="none"/>
        </w:rPr>
        <w:t>在规定期限内通过北京市政府采购电子交易</w:t>
      </w:r>
      <w:r>
        <w:rPr>
          <w:rFonts w:hint="eastAsia" w:ascii="宋体" w:hAnsi="宋体" w:eastAsia="宋体" w:cs="宋体"/>
          <w:color w:val="auto"/>
          <w:spacing w:val="-1"/>
          <w:sz w:val="22"/>
          <w:szCs w:val="22"/>
          <w:highlight w:val="none"/>
        </w:rPr>
        <w:t>平台获取</w:t>
      </w:r>
      <w:r>
        <w:rPr>
          <w:rFonts w:hint="eastAsia" w:ascii="宋体" w:hAnsi="宋体" w:eastAsia="宋体" w:cs="宋体"/>
          <w:color w:val="auto"/>
          <w:spacing w:val="-1"/>
          <w:sz w:val="22"/>
          <w:szCs w:val="22"/>
          <w:highlight w:val="none"/>
          <w:lang w:val="en-US" w:eastAsia="zh-CN"/>
        </w:rPr>
        <w:t>本项目</w:t>
      </w:r>
      <w:r>
        <w:rPr>
          <w:rFonts w:hint="eastAsia" w:ascii="宋体" w:hAnsi="宋体" w:eastAsia="宋体" w:cs="宋体"/>
          <w:color w:val="auto"/>
          <w:spacing w:val="-1"/>
          <w:sz w:val="22"/>
          <w:szCs w:val="22"/>
          <w:highlight w:val="none"/>
        </w:rPr>
        <w:t>的招标文件。</w:t>
      </w:r>
      <w:r>
        <w:rPr>
          <w:rFonts w:hint="eastAsia" w:ascii="宋体" w:hAnsi="宋体" w:eastAsia="宋体" w:cs="宋体"/>
          <w:color w:val="auto"/>
          <w:spacing w:val="-1"/>
          <w:sz w:val="22"/>
          <w:szCs w:val="22"/>
          <w:highlight w:val="none"/>
          <w:lang w:eastAsia="zh-CN"/>
        </w:rPr>
        <w:t>（</w:t>
      </w:r>
      <w:r>
        <w:rPr>
          <w:rFonts w:hint="eastAsia" w:ascii="宋体" w:hAnsi="宋体" w:eastAsia="宋体" w:cs="宋体"/>
          <w:color w:val="auto"/>
          <w:sz w:val="22"/>
          <w:szCs w:val="22"/>
          <w:highlight w:val="none"/>
        </w:rPr>
        <w:t>提供北京市</w:t>
      </w:r>
      <w:r>
        <w:rPr>
          <w:rFonts w:hint="eastAsia" w:ascii="宋体" w:hAnsi="宋体" w:eastAsia="宋体" w:cs="宋体"/>
          <w:color w:val="auto"/>
          <w:sz w:val="22"/>
          <w:szCs w:val="22"/>
          <w:highlight w:val="none"/>
          <w:lang w:val="en-US" w:eastAsia="zh-CN"/>
        </w:rPr>
        <w:t>政府</w:t>
      </w:r>
      <w:r>
        <w:rPr>
          <w:rFonts w:hint="eastAsia" w:ascii="宋体" w:hAnsi="宋体" w:eastAsia="宋体" w:cs="宋体"/>
          <w:color w:val="auto"/>
          <w:sz w:val="22"/>
          <w:szCs w:val="22"/>
          <w:highlight w:val="none"/>
        </w:rPr>
        <w:t>采购电子交易平台获取</w:t>
      </w:r>
      <w:r>
        <w:rPr>
          <w:rFonts w:hint="eastAsia" w:ascii="宋体" w:hAnsi="宋体" w:eastAsia="宋体" w:cs="宋体"/>
          <w:color w:val="auto"/>
          <w:sz w:val="22"/>
          <w:szCs w:val="22"/>
          <w:highlight w:val="none"/>
          <w:lang w:val="en-US" w:eastAsia="zh-CN"/>
        </w:rPr>
        <w:t>本项目</w:t>
      </w:r>
      <w:r>
        <w:rPr>
          <w:rFonts w:hint="eastAsia" w:ascii="宋体" w:hAnsi="宋体" w:eastAsia="宋体" w:cs="宋体"/>
          <w:color w:val="auto"/>
          <w:sz w:val="22"/>
          <w:szCs w:val="22"/>
          <w:highlight w:val="none"/>
        </w:rPr>
        <w:t>的截图</w:t>
      </w:r>
      <w:r>
        <w:rPr>
          <w:rFonts w:hint="eastAsia" w:ascii="宋体" w:hAnsi="宋体" w:eastAsia="宋体" w:cs="宋体"/>
          <w:color w:val="auto"/>
          <w:sz w:val="22"/>
          <w:szCs w:val="22"/>
          <w:highlight w:val="none"/>
          <w:lang w:val="en-US" w:eastAsia="zh-CN"/>
        </w:rPr>
        <w:t>并</w:t>
      </w:r>
      <w:r>
        <w:rPr>
          <w:rFonts w:hint="eastAsia" w:ascii="宋体" w:hAnsi="宋体" w:eastAsia="宋体" w:cs="宋体"/>
          <w:color w:val="auto"/>
          <w:sz w:val="22"/>
          <w:szCs w:val="22"/>
          <w:highlight w:val="none"/>
        </w:rPr>
        <w:t>加盖</w:t>
      </w:r>
      <w:r>
        <w:rPr>
          <w:rFonts w:hint="eastAsia" w:ascii="宋体" w:hAnsi="宋体" w:eastAsia="宋体" w:cs="宋体"/>
          <w:color w:val="auto"/>
          <w:sz w:val="22"/>
          <w:szCs w:val="22"/>
          <w:highlight w:val="none"/>
          <w:lang w:val="en-US" w:eastAsia="zh-CN"/>
        </w:rPr>
        <w:t>电子签章</w:t>
      </w:r>
      <w:r>
        <w:rPr>
          <w:rFonts w:hint="eastAsia" w:ascii="宋体" w:hAnsi="宋体" w:eastAsia="宋体" w:cs="宋体"/>
          <w:color w:val="auto"/>
          <w:sz w:val="22"/>
          <w:szCs w:val="22"/>
          <w:highlight w:val="none"/>
        </w:rPr>
        <w:t>）</w:t>
      </w:r>
      <w:r>
        <w:rPr>
          <w:color w:val="auto"/>
          <w:sz w:val="24"/>
          <w:szCs w:val="20"/>
          <w:highlight w:val="none"/>
        </w:rPr>
        <w:br w:type="page"/>
      </w:r>
    </w:p>
    <w:p w14:paraId="6A58971A">
      <w:pPr>
        <w:keepNext/>
        <w:keepLines/>
        <w:autoSpaceDE w:val="0"/>
        <w:autoSpaceDN w:val="0"/>
        <w:adjustRightInd w:val="0"/>
        <w:spacing w:before="120" w:line="300" w:lineRule="auto"/>
        <w:jc w:val="left"/>
        <w:outlineLvl w:val="1"/>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二、商务技术文件格式</w:t>
      </w:r>
    </w:p>
    <w:p w14:paraId="1163578E">
      <w:pPr>
        <w:rPr>
          <w:rFonts w:hint="eastAsia" w:ascii="宋体" w:hAnsi="宋体" w:eastAsia="宋体" w:cs="宋体"/>
          <w:b/>
          <w:color w:val="auto"/>
          <w:spacing w:val="20"/>
          <w:szCs w:val="21"/>
          <w:highlight w:val="none"/>
        </w:rPr>
      </w:pPr>
    </w:p>
    <w:p w14:paraId="4AE17AFE">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投标文件（商务技术文件）</w:t>
      </w:r>
      <w:r>
        <w:rPr>
          <w:rFonts w:hint="eastAsia" w:ascii="宋体" w:hAnsi="宋体" w:eastAsia="宋体" w:cs="宋体"/>
          <w:b/>
          <w:color w:val="auto"/>
          <w:sz w:val="24"/>
          <w:highlight w:val="none"/>
        </w:rPr>
        <w:t>封面（非实质性格式）</w:t>
      </w:r>
    </w:p>
    <w:p w14:paraId="747AEADF">
      <w:pPr>
        <w:jc w:val="center"/>
        <w:rPr>
          <w:rFonts w:hint="eastAsia" w:ascii="宋体" w:hAnsi="宋体" w:eastAsia="宋体" w:cs="宋体"/>
          <w:color w:val="auto"/>
          <w:szCs w:val="21"/>
          <w:highlight w:val="none"/>
        </w:rPr>
      </w:pPr>
    </w:p>
    <w:p w14:paraId="7A078FBE">
      <w:pPr>
        <w:jc w:val="center"/>
        <w:rPr>
          <w:rFonts w:hint="eastAsia" w:ascii="宋体" w:hAnsi="宋体" w:eastAsia="宋体" w:cs="宋体"/>
          <w:b/>
          <w:color w:val="auto"/>
          <w:spacing w:val="60"/>
          <w:sz w:val="84"/>
          <w:szCs w:val="84"/>
          <w:highlight w:val="none"/>
        </w:rPr>
      </w:pPr>
    </w:p>
    <w:p w14:paraId="632CBE31">
      <w:pPr>
        <w:jc w:val="center"/>
        <w:rPr>
          <w:rFonts w:hint="eastAsia" w:ascii="宋体" w:hAnsi="宋体" w:eastAsia="宋体" w:cs="宋体"/>
          <w:b/>
          <w:color w:val="auto"/>
          <w:spacing w:val="60"/>
          <w:sz w:val="84"/>
          <w:szCs w:val="84"/>
          <w:highlight w:val="none"/>
        </w:rPr>
      </w:pPr>
    </w:p>
    <w:p w14:paraId="117C449D">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投 标 文 件</w:t>
      </w:r>
    </w:p>
    <w:p w14:paraId="2DC438D4">
      <w:pPr>
        <w:jc w:val="center"/>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t>（商务技术文件）</w:t>
      </w:r>
    </w:p>
    <w:p w14:paraId="1A192453">
      <w:pPr>
        <w:ind w:firstLine="542" w:firstLineChars="150"/>
        <w:rPr>
          <w:rFonts w:hint="eastAsia" w:ascii="宋体" w:hAnsi="宋体" w:eastAsia="宋体" w:cs="宋体"/>
          <w:b/>
          <w:color w:val="auto"/>
          <w:spacing w:val="20"/>
          <w:sz w:val="32"/>
          <w:szCs w:val="32"/>
          <w:highlight w:val="none"/>
        </w:rPr>
      </w:pPr>
    </w:p>
    <w:p w14:paraId="548AD30F">
      <w:pPr>
        <w:ind w:firstLine="542" w:firstLineChars="150"/>
        <w:rPr>
          <w:rFonts w:hint="eastAsia" w:ascii="宋体" w:hAnsi="宋体" w:eastAsia="宋体" w:cs="宋体"/>
          <w:b/>
          <w:color w:val="auto"/>
          <w:spacing w:val="20"/>
          <w:sz w:val="32"/>
          <w:szCs w:val="32"/>
          <w:highlight w:val="none"/>
        </w:rPr>
      </w:pPr>
    </w:p>
    <w:p w14:paraId="007F9C43">
      <w:pPr>
        <w:ind w:firstLine="542" w:firstLineChars="150"/>
        <w:rPr>
          <w:rFonts w:hint="eastAsia" w:ascii="宋体" w:hAnsi="宋体" w:eastAsia="宋体" w:cs="宋体"/>
          <w:b/>
          <w:color w:val="auto"/>
          <w:spacing w:val="20"/>
          <w:sz w:val="32"/>
          <w:szCs w:val="32"/>
          <w:highlight w:val="none"/>
          <w:lang w:eastAsia="zh-CN"/>
        </w:rPr>
      </w:pPr>
      <w:r>
        <w:rPr>
          <w:rFonts w:hint="eastAsia" w:ascii="宋体" w:hAnsi="宋体" w:eastAsia="宋体" w:cs="宋体"/>
          <w:b/>
          <w:color w:val="auto"/>
          <w:spacing w:val="20"/>
          <w:sz w:val="32"/>
          <w:szCs w:val="32"/>
          <w:highlight w:val="none"/>
        </w:rPr>
        <w:t>项目名称</w:t>
      </w:r>
      <w:r>
        <w:rPr>
          <w:rFonts w:hint="eastAsia" w:ascii="宋体" w:hAnsi="宋体" w:eastAsia="宋体" w:cs="宋体"/>
          <w:b/>
          <w:color w:val="auto"/>
          <w:spacing w:val="20"/>
          <w:sz w:val="32"/>
          <w:szCs w:val="32"/>
          <w:highlight w:val="none"/>
          <w:lang w:eastAsia="zh-CN"/>
        </w:rPr>
        <w:t>：</w:t>
      </w:r>
    </w:p>
    <w:p w14:paraId="383CB995">
      <w:pPr>
        <w:ind w:firstLine="542" w:firstLineChars="150"/>
        <w:rPr>
          <w:rFonts w:hint="eastAsia" w:ascii="宋体" w:hAnsi="宋体" w:eastAsia="宋体" w:cs="宋体"/>
          <w:b/>
          <w:color w:val="auto"/>
          <w:spacing w:val="20"/>
          <w:sz w:val="32"/>
          <w:szCs w:val="32"/>
          <w:highlight w:val="none"/>
          <w:lang w:val="en-US" w:eastAsia="zh-CN"/>
        </w:rPr>
      </w:pPr>
      <w:r>
        <w:rPr>
          <w:rFonts w:hint="eastAsia" w:ascii="宋体" w:hAnsi="宋体" w:eastAsia="宋体" w:cs="宋体"/>
          <w:b/>
          <w:color w:val="auto"/>
          <w:spacing w:val="20"/>
          <w:sz w:val="32"/>
          <w:szCs w:val="32"/>
          <w:highlight w:val="none"/>
        </w:rPr>
        <w:t>项目编号：</w:t>
      </w:r>
    </w:p>
    <w:p w14:paraId="58C578AD">
      <w:pPr>
        <w:ind w:firstLine="542" w:firstLineChars="150"/>
        <w:rPr>
          <w:rFonts w:hint="eastAsia" w:ascii="宋体" w:hAnsi="宋体" w:eastAsia="宋体" w:cs="宋体"/>
          <w:b/>
          <w:color w:val="auto"/>
          <w:spacing w:val="20"/>
          <w:sz w:val="32"/>
          <w:szCs w:val="32"/>
          <w:highlight w:val="none"/>
        </w:rPr>
      </w:pPr>
    </w:p>
    <w:p w14:paraId="6BDA492D">
      <w:pPr>
        <w:ind w:firstLine="542" w:firstLineChars="150"/>
        <w:rPr>
          <w:rFonts w:hint="eastAsia" w:ascii="宋体" w:hAnsi="宋体" w:eastAsia="宋体" w:cs="宋体"/>
          <w:b/>
          <w:color w:val="auto"/>
          <w:spacing w:val="20"/>
          <w:sz w:val="32"/>
          <w:szCs w:val="32"/>
          <w:highlight w:val="none"/>
        </w:rPr>
      </w:pPr>
    </w:p>
    <w:p w14:paraId="5E0862F8">
      <w:pPr>
        <w:jc w:val="center"/>
        <w:rPr>
          <w:rFonts w:hint="eastAsia" w:ascii="宋体" w:hAnsi="宋体" w:eastAsia="宋体" w:cs="宋体"/>
          <w:b/>
          <w:color w:val="auto"/>
          <w:sz w:val="32"/>
          <w:szCs w:val="32"/>
          <w:highlight w:val="none"/>
        </w:rPr>
      </w:pPr>
    </w:p>
    <w:p w14:paraId="7DF4C7CA">
      <w:pPr>
        <w:jc w:val="center"/>
        <w:rPr>
          <w:rFonts w:hint="eastAsia" w:ascii="宋体" w:hAnsi="宋体" w:eastAsia="宋体" w:cs="宋体"/>
          <w:b/>
          <w:color w:val="auto"/>
          <w:sz w:val="32"/>
          <w:szCs w:val="32"/>
          <w:highlight w:val="none"/>
        </w:rPr>
      </w:pPr>
    </w:p>
    <w:p w14:paraId="2DC9247E">
      <w:pPr>
        <w:jc w:val="center"/>
        <w:rPr>
          <w:rFonts w:hint="eastAsia" w:ascii="宋体" w:hAnsi="宋体" w:eastAsia="宋体" w:cs="宋体"/>
          <w:b/>
          <w:color w:val="auto"/>
          <w:sz w:val="32"/>
          <w:szCs w:val="32"/>
          <w:highlight w:val="none"/>
        </w:rPr>
      </w:pPr>
    </w:p>
    <w:p w14:paraId="2845E269">
      <w:pPr>
        <w:jc w:val="center"/>
        <w:rPr>
          <w:rFonts w:hint="eastAsia" w:ascii="宋体" w:hAnsi="宋体" w:eastAsia="宋体" w:cs="宋体"/>
          <w:b/>
          <w:color w:val="auto"/>
          <w:spacing w:val="20"/>
          <w:sz w:val="32"/>
          <w:szCs w:val="32"/>
          <w:highlight w:val="none"/>
        </w:rPr>
      </w:pPr>
    </w:p>
    <w:p w14:paraId="67D3E89E">
      <w:pPr>
        <w:jc w:val="center"/>
        <w:rPr>
          <w:rFonts w:hint="eastAsia" w:ascii="宋体" w:hAnsi="宋体" w:eastAsia="宋体" w:cs="宋体"/>
          <w:b/>
          <w:color w:val="auto"/>
          <w:spacing w:val="20"/>
          <w:sz w:val="32"/>
          <w:szCs w:val="32"/>
          <w:highlight w:val="none"/>
        </w:rPr>
      </w:pPr>
    </w:p>
    <w:p w14:paraId="6213512B">
      <w:pPr>
        <w:jc w:val="center"/>
        <w:rPr>
          <w:rFonts w:hint="eastAsia" w:ascii="宋体" w:hAnsi="宋体" w:eastAsia="宋体" w:cs="宋体"/>
          <w:b/>
          <w:color w:val="auto"/>
          <w:spacing w:val="20"/>
          <w:sz w:val="32"/>
          <w:szCs w:val="32"/>
          <w:highlight w:val="none"/>
        </w:rPr>
      </w:pPr>
    </w:p>
    <w:p w14:paraId="0198CB5A">
      <w:pPr>
        <w:spacing w:line="360" w:lineRule="auto"/>
        <w:ind w:firstLine="1445" w:firstLineChars="400"/>
        <w:jc w:val="left"/>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投标人名称：</w:t>
      </w:r>
    </w:p>
    <w:p w14:paraId="3F763298">
      <w:pPr>
        <w:spacing w:line="360" w:lineRule="auto"/>
        <w:ind w:firstLine="1445" w:firstLineChars="400"/>
        <w:jc w:val="left"/>
        <w:rPr>
          <w:rFonts w:hint="eastAsia" w:ascii="宋体" w:hAnsi="宋体" w:eastAsia="宋体" w:cs="宋体"/>
          <w:b/>
          <w:color w:val="auto"/>
          <w:spacing w:val="20"/>
          <w:sz w:val="32"/>
          <w:szCs w:val="32"/>
          <w:highlight w:val="none"/>
          <w:lang w:val="en-US" w:eastAsia="zh-CN"/>
        </w:rPr>
      </w:pPr>
      <w:r>
        <w:rPr>
          <w:rFonts w:hint="eastAsia" w:ascii="宋体" w:hAnsi="宋体" w:eastAsia="宋体" w:cs="宋体"/>
          <w:b/>
          <w:color w:val="auto"/>
          <w:spacing w:val="20"/>
          <w:sz w:val="32"/>
          <w:szCs w:val="32"/>
          <w:highlight w:val="none"/>
          <w:lang w:val="en-US" w:eastAsia="zh-CN"/>
        </w:rPr>
        <w:t>日     期：   年    月   日</w:t>
      </w:r>
    </w:p>
    <w:p w14:paraId="609F4146">
      <w:pPr>
        <w:spacing w:line="360" w:lineRule="auto"/>
        <w:ind w:firstLine="1445" w:firstLineChars="400"/>
        <w:jc w:val="left"/>
        <w:rPr>
          <w:rFonts w:hint="eastAsia" w:ascii="宋体" w:hAnsi="宋体" w:eastAsia="宋体" w:cs="宋体"/>
          <w:b/>
          <w:color w:val="auto"/>
          <w:spacing w:val="20"/>
          <w:sz w:val="32"/>
          <w:szCs w:val="32"/>
          <w:highlight w:val="none"/>
        </w:rPr>
      </w:pPr>
    </w:p>
    <w:p w14:paraId="2A35BE2B">
      <w:pPr>
        <w:jc w:val="center"/>
        <w:rPr>
          <w:rFonts w:hint="eastAsia" w:ascii="宋体" w:hAnsi="宋体" w:eastAsia="宋体" w:cs="宋体"/>
          <w:b/>
          <w:color w:val="auto"/>
          <w:sz w:val="32"/>
          <w:szCs w:val="32"/>
          <w:highlight w:val="none"/>
        </w:rPr>
      </w:pPr>
    </w:p>
    <w:p w14:paraId="7B242977">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b/>
          <w:color w:val="auto"/>
          <w:sz w:val="24"/>
          <w:highlight w:val="none"/>
        </w:rPr>
        <w:br w:type="page"/>
      </w:r>
      <w:bookmarkStart w:id="833" w:name="_Hlt520274121"/>
      <w:bookmarkEnd w:id="833"/>
      <w:bookmarkStart w:id="834" w:name="_Hlt520271212"/>
      <w:bookmarkEnd w:id="834"/>
      <w:bookmarkStart w:id="835" w:name="_Hlt520343000"/>
      <w:bookmarkEnd w:id="835"/>
      <w:bookmarkStart w:id="836" w:name="_Hlt520343392"/>
      <w:bookmarkEnd w:id="836"/>
      <w:bookmarkStart w:id="837" w:name="_Hlt520350918"/>
      <w:bookmarkEnd w:id="837"/>
      <w:bookmarkStart w:id="838" w:name="_Hlt520274407"/>
      <w:bookmarkEnd w:id="838"/>
      <w:bookmarkStart w:id="839" w:name="_Hlt520355504"/>
      <w:bookmarkEnd w:id="839"/>
      <w:bookmarkStart w:id="840" w:name="_Hlt520273711"/>
      <w:bookmarkEnd w:id="840"/>
      <w:bookmarkStart w:id="841" w:name="_Hlt520274393"/>
      <w:bookmarkEnd w:id="841"/>
      <w:bookmarkStart w:id="842" w:name="_Hlt520274065"/>
      <w:bookmarkEnd w:id="842"/>
      <w:bookmarkStart w:id="843" w:name="_Toc480942349"/>
      <w:bookmarkStart w:id="844" w:name="_Ref467988698"/>
      <w:bookmarkStart w:id="845" w:name="_Toc226337252"/>
      <w:bookmarkStart w:id="846" w:name="_Toc142311058"/>
      <w:bookmarkStart w:id="847" w:name="_Toc127151556"/>
      <w:bookmarkStart w:id="848" w:name="_Toc195842921"/>
      <w:bookmarkStart w:id="849" w:name="_Toc520356217"/>
      <w:bookmarkStart w:id="850" w:name="_Toc226965746"/>
      <w:bookmarkStart w:id="851" w:name="_Toc150774761"/>
      <w:bookmarkStart w:id="852" w:name="_Toc226309800"/>
      <w:bookmarkStart w:id="853" w:name="_Toc226965829"/>
      <w:bookmarkStart w:id="854" w:name="_Toc150480794"/>
      <w:r>
        <w:rPr>
          <w:rFonts w:hint="eastAsia" w:ascii="宋体" w:hAnsi="宋体" w:eastAsia="宋体" w:cs="宋体"/>
          <w:color w:val="auto"/>
          <w:sz w:val="24"/>
          <w:highlight w:val="none"/>
        </w:rPr>
        <w:t>1</w:t>
      </w:r>
      <w:r>
        <w:rPr>
          <w:rFonts w:hint="eastAsia" w:ascii="宋体" w:hAnsi="宋体" w:eastAsia="宋体" w:cs="宋体"/>
          <w:color w:val="auto"/>
          <w:sz w:val="24"/>
          <w:szCs w:val="20"/>
          <w:highlight w:val="none"/>
        </w:rPr>
        <w:t xml:space="preserve">  </w:t>
      </w:r>
      <w:r>
        <w:rPr>
          <w:rFonts w:hint="eastAsia" w:ascii="宋体" w:hAnsi="宋体" w:eastAsia="宋体" w:cs="宋体"/>
          <w:color w:val="auto"/>
          <w:sz w:val="24"/>
          <w:highlight w:val="none"/>
        </w:rPr>
        <w:t>投标</w:t>
      </w:r>
      <w:bookmarkEnd w:id="843"/>
      <w:bookmarkEnd w:id="844"/>
      <w:r>
        <w:rPr>
          <w:rFonts w:hint="eastAsia" w:ascii="宋体" w:hAnsi="宋体" w:eastAsia="宋体" w:cs="宋体"/>
          <w:color w:val="auto"/>
          <w:sz w:val="24"/>
          <w:highlight w:val="none"/>
        </w:rPr>
        <w:t>书</w:t>
      </w:r>
      <w:bookmarkEnd w:id="845"/>
      <w:bookmarkEnd w:id="846"/>
      <w:bookmarkEnd w:id="847"/>
      <w:bookmarkEnd w:id="848"/>
      <w:bookmarkEnd w:id="849"/>
      <w:bookmarkEnd w:id="850"/>
      <w:bookmarkEnd w:id="851"/>
      <w:bookmarkEnd w:id="852"/>
      <w:bookmarkEnd w:id="853"/>
      <w:bookmarkEnd w:id="854"/>
      <w:r>
        <w:rPr>
          <w:rFonts w:hint="eastAsia" w:ascii="宋体" w:hAnsi="宋体" w:eastAsia="宋体" w:cs="宋体"/>
          <w:color w:val="auto"/>
          <w:sz w:val="24"/>
          <w:szCs w:val="20"/>
          <w:highlight w:val="none"/>
        </w:rPr>
        <w:t>（实质性格式）</w:t>
      </w:r>
    </w:p>
    <w:p w14:paraId="770259A5">
      <w:pPr>
        <w:tabs>
          <w:tab w:val="left" w:pos="5580"/>
        </w:tabs>
        <w:spacing w:line="360" w:lineRule="auto"/>
        <w:rPr>
          <w:rFonts w:hint="eastAsia" w:ascii="宋体" w:hAnsi="宋体" w:eastAsia="宋体" w:cs="宋体"/>
          <w:color w:val="auto"/>
          <w:sz w:val="24"/>
          <w:highlight w:val="none"/>
        </w:rPr>
      </w:pPr>
    </w:p>
    <w:p w14:paraId="4F06511A">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投标书</w:t>
      </w:r>
    </w:p>
    <w:p w14:paraId="69C98ACD">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（采购人或采购代理机构）</w:t>
      </w:r>
    </w:p>
    <w:p w14:paraId="4BC27DF3">
      <w:pPr>
        <w:tabs>
          <w:tab w:val="left" w:pos="5580"/>
        </w:tabs>
        <w:spacing w:line="360" w:lineRule="auto"/>
        <w:rPr>
          <w:rFonts w:hint="eastAsia" w:ascii="宋体" w:hAnsi="宋体" w:eastAsia="宋体" w:cs="宋体"/>
          <w:color w:val="auto"/>
          <w:sz w:val="24"/>
          <w:szCs w:val="20"/>
          <w:highlight w:val="none"/>
        </w:rPr>
      </w:pPr>
    </w:p>
    <w:p w14:paraId="174CB96D">
      <w:pPr>
        <w:tabs>
          <w:tab w:val="left" w:pos="5580"/>
        </w:tabs>
        <w:spacing w:line="360" w:lineRule="auto"/>
        <w:ind w:firstLine="40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我方参加你方就___________（项目名称，项目编号）组织的招标活动，并对此项目进行投标。</w:t>
      </w:r>
    </w:p>
    <w:p w14:paraId="5B04C56F">
      <w:pPr>
        <w:tabs>
          <w:tab w:val="left" w:pos="5580"/>
        </w:tabs>
        <w:spacing w:line="360" w:lineRule="auto"/>
        <w:ind w:firstLine="40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 我方</w:t>
      </w:r>
      <w:r>
        <w:rPr>
          <w:rFonts w:hint="eastAsia" w:ascii="宋体" w:hAnsi="宋体" w:eastAsia="宋体" w:cs="宋体"/>
          <w:color w:val="auto"/>
          <w:sz w:val="24"/>
          <w:highlight w:val="none"/>
        </w:rPr>
        <w:t>已详细审查全部招标文件</w:t>
      </w:r>
      <w:r>
        <w:rPr>
          <w:rFonts w:hint="eastAsia" w:ascii="宋体" w:hAnsi="宋体" w:eastAsia="宋体" w:cs="宋体"/>
          <w:color w:val="auto"/>
          <w:sz w:val="24"/>
          <w:szCs w:val="20"/>
          <w:highlight w:val="none"/>
        </w:rPr>
        <w:t>，自愿参与投标并承诺如下：</w:t>
      </w:r>
    </w:p>
    <w:p w14:paraId="1E4D8D5C">
      <w:pPr>
        <w:tabs>
          <w:tab w:val="left" w:pos="720"/>
          <w:tab w:val="left" w:pos="900"/>
        </w:tabs>
        <w:spacing w:line="360" w:lineRule="auto"/>
        <w:ind w:left="360" w:firstLine="72" w:firstLineChars="3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（1）本投标有效期为自提交投标文件的截止之日起</w:t>
      </w:r>
      <w:r>
        <w:rPr>
          <w:rFonts w:hint="eastAsia" w:ascii="宋体" w:hAnsi="宋体" w:eastAsia="宋体" w:cs="宋体"/>
          <w:color w:val="auto"/>
          <w:sz w:val="24"/>
          <w:highlight w:val="none"/>
        </w:rPr>
        <w:t>_____</w:t>
      </w:r>
      <w:r>
        <w:rPr>
          <w:rFonts w:hint="eastAsia" w:ascii="宋体" w:hAnsi="宋体" w:eastAsia="宋体" w:cs="宋体"/>
          <w:color w:val="auto"/>
          <w:sz w:val="24"/>
          <w:szCs w:val="20"/>
          <w:highlight w:val="none"/>
        </w:rPr>
        <w:t>个日历日。</w:t>
      </w:r>
    </w:p>
    <w:p w14:paraId="4BC75E58">
      <w:pPr>
        <w:tabs>
          <w:tab w:val="left" w:pos="720"/>
          <w:tab w:val="left" w:pos="900"/>
        </w:tabs>
        <w:spacing w:line="360" w:lineRule="auto"/>
        <w:ind w:left="360" w:firstLine="72" w:firstLineChars="3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（2）除合同条款及采购需求偏离表列出的偏离外，我方</w:t>
      </w:r>
      <w:r>
        <w:rPr>
          <w:rFonts w:hint="eastAsia" w:ascii="宋体" w:hAnsi="宋体" w:cs="宋体"/>
          <w:color w:val="auto"/>
          <w:sz w:val="24"/>
          <w:szCs w:val="20"/>
          <w:highlight w:val="none"/>
          <w:lang w:val="en-US" w:eastAsia="zh-CN"/>
        </w:rPr>
        <w:t>投标</w:t>
      </w:r>
      <w:r>
        <w:rPr>
          <w:rFonts w:hint="eastAsia" w:ascii="宋体" w:hAnsi="宋体" w:eastAsia="宋体" w:cs="宋体"/>
          <w:color w:val="auto"/>
          <w:sz w:val="24"/>
          <w:szCs w:val="20"/>
          <w:highlight w:val="none"/>
        </w:rPr>
        <w:t>招标文件的全部要求。</w:t>
      </w:r>
    </w:p>
    <w:p w14:paraId="63B0F864">
      <w:pPr>
        <w:tabs>
          <w:tab w:val="left" w:pos="5580"/>
        </w:tabs>
        <w:spacing w:line="360" w:lineRule="auto"/>
        <w:ind w:firstLine="420" w:firstLineChars="175"/>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（3）我方已提供的全部文件资料是真实、准确的，并对此承担一切法律后果。</w:t>
      </w:r>
    </w:p>
    <w:p w14:paraId="4BCEAA9C">
      <w:pPr>
        <w:tabs>
          <w:tab w:val="left" w:pos="5580"/>
        </w:tabs>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（4）如我方中标，我方将在法律规定的期限内与你方签订合同，按照招标文件要求提交履约保证金，并在合同约定的期限内完成合同规定的全部义务。</w:t>
      </w:r>
    </w:p>
    <w:p w14:paraId="5F88EBA1">
      <w:pPr>
        <w:spacing w:line="360" w:lineRule="auto"/>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2. 其他补充条款（如有）：</w:t>
      </w:r>
      <w:r>
        <w:rPr>
          <w:rFonts w:hint="eastAsia" w:ascii="宋体" w:hAnsi="宋体" w:eastAsia="宋体" w:cs="宋体"/>
          <w:color w:val="auto"/>
          <w:sz w:val="24"/>
          <w:szCs w:val="20"/>
          <w:highlight w:val="none"/>
        </w:rPr>
        <w:t>___________</w:t>
      </w:r>
      <w:r>
        <w:rPr>
          <w:rFonts w:hint="eastAsia" w:ascii="宋体" w:hAnsi="宋体" w:eastAsia="宋体" w:cs="宋体"/>
          <w:color w:val="auto"/>
          <w:sz w:val="24"/>
          <w:highlight w:val="none"/>
        </w:rPr>
        <w:t>。</w:t>
      </w:r>
    </w:p>
    <w:p w14:paraId="18CF0C5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与本投标有关的一切正式往来信函请寄：</w:t>
      </w:r>
    </w:p>
    <w:p w14:paraId="652E1051">
      <w:pPr>
        <w:tabs>
          <w:tab w:val="left" w:pos="5580"/>
        </w:tabs>
        <w:spacing w:line="360" w:lineRule="auto"/>
        <w:ind w:left="420"/>
        <w:rPr>
          <w:rFonts w:hint="eastAsia" w:ascii="宋体" w:hAnsi="宋体" w:eastAsia="宋体" w:cs="宋体"/>
          <w:color w:val="auto"/>
          <w:sz w:val="24"/>
          <w:szCs w:val="20"/>
          <w:highlight w:val="none"/>
        </w:rPr>
      </w:pPr>
    </w:p>
    <w:p w14:paraId="202C3142">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地址：_________________________  传真：____________________________</w:t>
      </w:r>
    </w:p>
    <w:p w14:paraId="72B2D13F">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电话</w:t>
      </w:r>
      <w:r>
        <w:rPr>
          <w:rFonts w:hint="eastAsia" w:ascii="宋体" w:hAnsi="宋体" w:eastAsia="宋体" w:cs="宋体"/>
          <w:color w:val="auto"/>
          <w:sz w:val="24"/>
          <w:szCs w:val="20"/>
          <w:highlight w:val="none"/>
        </w:rPr>
        <w:t>：_________________________  电子函件：________________________</w:t>
      </w:r>
    </w:p>
    <w:p w14:paraId="5879EFE6">
      <w:pPr>
        <w:tabs>
          <w:tab w:val="left" w:pos="5580"/>
        </w:tabs>
        <w:spacing w:line="360" w:lineRule="auto"/>
        <w:ind w:left="420"/>
        <w:rPr>
          <w:rFonts w:hint="eastAsia" w:ascii="宋体" w:hAnsi="宋体" w:eastAsia="宋体" w:cs="宋体"/>
          <w:color w:val="auto"/>
          <w:sz w:val="24"/>
          <w:szCs w:val="20"/>
          <w:highlight w:val="none"/>
        </w:rPr>
      </w:pPr>
    </w:p>
    <w:p w14:paraId="51B8D225">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投标人名称（加盖公章） ___________</w:t>
      </w:r>
    </w:p>
    <w:p w14:paraId="46EC56A8">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日期：_____年______月______日    </w:t>
      </w:r>
    </w:p>
    <w:p w14:paraId="726F1677">
      <w:pPr>
        <w:tabs>
          <w:tab w:val="left" w:pos="5580"/>
        </w:tabs>
        <w:spacing w:line="360" w:lineRule="auto"/>
        <w:ind w:left="420"/>
        <w:rPr>
          <w:rFonts w:hint="eastAsia" w:ascii="宋体" w:hAnsi="宋体" w:eastAsia="宋体" w:cs="宋体"/>
          <w:color w:val="auto"/>
          <w:sz w:val="24"/>
          <w:szCs w:val="20"/>
          <w:highlight w:val="none"/>
          <w:u w:val="single"/>
        </w:rPr>
      </w:pPr>
    </w:p>
    <w:p w14:paraId="79BA8E7E">
      <w:pPr>
        <w:widowControl/>
        <w:jc w:val="left"/>
        <w:rPr>
          <w:rFonts w:hint="eastAsia" w:ascii="宋体" w:hAnsi="宋体" w:eastAsia="宋体" w:cs="宋体"/>
          <w:color w:val="auto"/>
          <w:sz w:val="24"/>
          <w:highlight w:val="none"/>
        </w:rPr>
      </w:pPr>
      <w:bookmarkStart w:id="855" w:name="_Hlt520356243"/>
      <w:bookmarkEnd w:id="855"/>
      <w:bookmarkStart w:id="856" w:name="_Hlt520355938"/>
      <w:bookmarkEnd w:id="856"/>
      <w:bookmarkStart w:id="857" w:name="_Toc150774762"/>
      <w:bookmarkStart w:id="858" w:name="_Toc520356218"/>
      <w:bookmarkStart w:id="859" w:name="_Toc226337253"/>
      <w:bookmarkStart w:id="860" w:name="_Toc226965747"/>
      <w:bookmarkStart w:id="861" w:name="_Toc480942350"/>
      <w:bookmarkStart w:id="862" w:name="_Toc265228395"/>
      <w:bookmarkStart w:id="863" w:name="_Toc305158825"/>
      <w:bookmarkStart w:id="864" w:name="_Toc264969247"/>
      <w:bookmarkStart w:id="865" w:name="_Toc142311059"/>
      <w:bookmarkStart w:id="866" w:name="_Ref467988705"/>
      <w:bookmarkStart w:id="867" w:name="_Toc195842922"/>
      <w:bookmarkStart w:id="868" w:name="_Toc305158899"/>
      <w:bookmarkStart w:id="869" w:name="_Toc226965830"/>
      <w:bookmarkStart w:id="870" w:name="_Toc226309801"/>
      <w:bookmarkStart w:id="871" w:name="_Toc150480795"/>
      <w:bookmarkStart w:id="872" w:name="_Toc127151557"/>
      <w:r>
        <w:rPr>
          <w:rFonts w:hint="eastAsia" w:ascii="宋体" w:hAnsi="宋体" w:eastAsia="宋体" w:cs="宋体"/>
          <w:color w:val="auto"/>
          <w:sz w:val="24"/>
          <w:highlight w:val="none"/>
        </w:rPr>
        <w:br w:type="page"/>
      </w:r>
    </w:p>
    <w:p w14:paraId="5C17B6C5">
      <w:pPr>
        <w:spacing w:line="360" w:lineRule="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2  授权委托书（实质性格式）</w:t>
      </w:r>
    </w:p>
    <w:p w14:paraId="722C9642">
      <w:pPr>
        <w:spacing w:line="24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授权委托书</w:t>
      </w:r>
    </w:p>
    <w:p w14:paraId="77876B69">
      <w:pPr>
        <w:spacing w:line="360" w:lineRule="auto"/>
        <w:ind w:firstLine="420"/>
        <w:rPr>
          <w:rFonts w:hint="eastAsia" w:ascii="宋体" w:hAnsi="宋体" w:eastAsia="宋体" w:cs="宋体"/>
          <w:color w:val="auto"/>
          <w:sz w:val="24"/>
          <w:szCs w:val="20"/>
          <w:highlight w:val="none"/>
        </w:rPr>
      </w:pPr>
    </w:p>
    <w:p w14:paraId="79D17608">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本人</w:t>
      </w:r>
      <w:r>
        <w:rPr>
          <w:rFonts w:hint="eastAsia" w:ascii="宋体" w:hAnsi="宋体" w:eastAsia="宋体" w:cs="宋体"/>
          <w:color w:val="auto"/>
          <w:sz w:val="24"/>
          <w:highlight w:val="none"/>
          <w:lang w:val="zh-CN"/>
        </w:rPr>
        <w:t>_______</w:t>
      </w:r>
      <w:r>
        <w:rPr>
          <w:rFonts w:hint="eastAsia" w:ascii="宋体" w:hAnsi="宋体" w:eastAsia="宋体" w:cs="宋体"/>
          <w:color w:val="auto"/>
          <w:sz w:val="24"/>
          <w:szCs w:val="20"/>
          <w:highlight w:val="none"/>
        </w:rPr>
        <w:t>（姓名）系</w:t>
      </w:r>
      <w:r>
        <w:rPr>
          <w:rFonts w:hint="eastAsia" w:ascii="宋体" w:hAnsi="宋体" w:eastAsia="宋体" w:cs="宋体"/>
          <w:color w:val="auto"/>
          <w:sz w:val="24"/>
          <w:highlight w:val="none"/>
          <w:lang w:val="zh-CN"/>
        </w:rPr>
        <w:t>________________</w:t>
      </w:r>
      <w:r>
        <w:rPr>
          <w:rFonts w:hint="eastAsia" w:ascii="宋体" w:hAnsi="宋体" w:eastAsia="宋体" w:cs="宋体"/>
          <w:color w:val="auto"/>
          <w:sz w:val="24"/>
          <w:szCs w:val="20"/>
          <w:highlight w:val="none"/>
        </w:rPr>
        <w:t>（投标人名称）的法定代表人（单位负责人），现委托</w:t>
      </w:r>
      <w:r>
        <w:rPr>
          <w:rFonts w:hint="eastAsia" w:ascii="宋体" w:hAnsi="宋体" w:eastAsia="宋体" w:cs="宋体"/>
          <w:color w:val="auto"/>
          <w:sz w:val="24"/>
          <w:highlight w:val="none"/>
          <w:lang w:val="zh-CN"/>
        </w:rPr>
        <w:t>_______</w:t>
      </w:r>
      <w:r>
        <w:rPr>
          <w:rFonts w:hint="eastAsia" w:ascii="宋体" w:hAnsi="宋体" w:eastAsia="宋体" w:cs="宋体"/>
          <w:color w:val="auto"/>
          <w:sz w:val="24"/>
          <w:szCs w:val="20"/>
          <w:highlight w:val="none"/>
        </w:rPr>
        <w:t>（姓名）为我方代理人。代理人根据授权，以我方名义签署、澄清确认、递交、撤回、修改</w:t>
      </w:r>
      <w:r>
        <w:rPr>
          <w:rFonts w:hint="eastAsia" w:ascii="宋体" w:hAnsi="宋体" w:eastAsia="宋体" w:cs="宋体"/>
          <w:color w:val="auto"/>
          <w:sz w:val="24"/>
          <w:highlight w:val="none"/>
          <w:lang w:val="zh-CN"/>
        </w:rPr>
        <w:t>________________</w:t>
      </w:r>
      <w:r>
        <w:rPr>
          <w:rFonts w:hint="eastAsia" w:ascii="宋体" w:hAnsi="宋体" w:eastAsia="宋体" w:cs="宋体"/>
          <w:color w:val="auto"/>
          <w:sz w:val="24"/>
          <w:szCs w:val="20"/>
          <w:highlight w:val="none"/>
        </w:rPr>
        <w:t>（项目名称，项目编号）投标文件和处理有关事宜，其法律后果由我方承担。</w:t>
      </w:r>
    </w:p>
    <w:p w14:paraId="3D04A3D4">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委托期限：自本授权委托书签署之日起至</w:t>
      </w:r>
      <w:r>
        <w:rPr>
          <w:rFonts w:hint="eastAsia" w:ascii="宋体" w:hAnsi="宋体" w:cs="宋体"/>
          <w:color w:val="auto"/>
          <w:sz w:val="24"/>
          <w:szCs w:val="20"/>
          <w:highlight w:val="none"/>
          <w:lang w:val="en-US" w:eastAsia="zh-CN"/>
        </w:rPr>
        <w:t>投标</w:t>
      </w:r>
      <w:r>
        <w:rPr>
          <w:rFonts w:hint="eastAsia" w:ascii="宋体" w:hAnsi="宋体" w:eastAsia="宋体" w:cs="宋体"/>
          <w:color w:val="auto"/>
          <w:sz w:val="24"/>
          <w:szCs w:val="20"/>
          <w:highlight w:val="none"/>
        </w:rPr>
        <w:t>有效期届满之日止。</w:t>
      </w:r>
    </w:p>
    <w:p w14:paraId="4F1D3218">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代理人无转委托权。</w:t>
      </w:r>
      <w:r>
        <w:rPr>
          <w:rFonts w:hint="eastAsia" w:ascii="宋体" w:hAnsi="宋体" w:eastAsia="宋体" w:cs="宋体"/>
          <w:color w:val="auto"/>
          <w:sz w:val="24"/>
          <w:szCs w:val="20"/>
          <w:highlight w:val="none"/>
        </w:rPr>
        <w:cr/>
      </w:r>
    </w:p>
    <w:p w14:paraId="54532AF8">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投标人名称（加盖公章）</w:t>
      </w:r>
      <w:r>
        <w:rPr>
          <w:rFonts w:hint="eastAsia" w:ascii="宋体" w:hAnsi="宋体" w:eastAsia="宋体" w:cs="宋体"/>
          <w:color w:val="auto"/>
          <w:sz w:val="24"/>
          <w:highlight w:val="none"/>
          <w:lang w:val="zh-CN"/>
        </w:rPr>
        <w:t>：________________</w:t>
      </w:r>
    </w:p>
    <w:p w14:paraId="24B049EB">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法定代表人（单位负责人）（签字或</w:t>
      </w:r>
      <w:r>
        <w:rPr>
          <w:rFonts w:hint="eastAsia" w:ascii="宋体" w:hAnsi="宋体" w:eastAsia="宋体" w:cs="宋体"/>
          <w:color w:val="auto"/>
          <w:sz w:val="24"/>
          <w:szCs w:val="20"/>
          <w:highlight w:val="none"/>
          <w:lang w:val="en-US" w:eastAsia="zh-CN"/>
        </w:rPr>
        <w:t>盖</w:t>
      </w:r>
      <w:r>
        <w:rPr>
          <w:rFonts w:hint="eastAsia" w:ascii="宋体" w:hAnsi="宋体" w:eastAsia="宋体" w:cs="宋体"/>
          <w:color w:val="auto"/>
          <w:sz w:val="24"/>
          <w:szCs w:val="20"/>
          <w:highlight w:val="none"/>
        </w:rPr>
        <w:t>章）：</w:t>
      </w:r>
      <w:r>
        <w:rPr>
          <w:rFonts w:hint="eastAsia" w:ascii="宋体" w:hAnsi="宋体" w:eastAsia="宋体" w:cs="宋体"/>
          <w:color w:val="auto"/>
          <w:sz w:val="24"/>
          <w:highlight w:val="none"/>
          <w:lang w:val="zh-CN"/>
        </w:rPr>
        <w:t>________________</w:t>
      </w:r>
    </w:p>
    <w:p w14:paraId="0DA4D7B1">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委托代理人</w:t>
      </w:r>
      <w:r>
        <w:rPr>
          <w:rFonts w:hint="eastAsia" w:ascii="宋体" w:hAnsi="宋体" w:eastAsia="宋体" w:cs="宋体"/>
          <w:color w:val="auto"/>
          <w:sz w:val="24"/>
          <w:szCs w:val="20"/>
          <w:highlight w:val="none"/>
        </w:rPr>
        <w:t>（签字或</w:t>
      </w:r>
      <w:r>
        <w:rPr>
          <w:rFonts w:hint="eastAsia" w:ascii="宋体" w:hAnsi="宋体" w:eastAsia="宋体" w:cs="宋体"/>
          <w:color w:val="auto"/>
          <w:sz w:val="24"/>
          <w:szCs w:val="20"/>
          <w:highlight w:val="none"/>
          <w:lang w:val="en-US" w:eastAsia="zh-CN"/>
        </w:rPr>
        <w:t>盖</w:t>
      </w:r>
      <w:r>
        <w:rPr>
          <w:rFonts w:hint="eastAsia" w:ascii="宋体" w:hAnsi="宋体" w:eastAsia="宋体" w:cs="宋体"/>
          <w:color w:val="auto"/>
          <w:sz w:val="24"/>
          <w:szCs w:val="20"/>
          <w:highlight w:val="none"/>
        </w:rPr>
        <w:t>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________________</w:t>
      </w:r>
    </w:p>
    <w:p w14:paraId="52AC7059">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日期：_____年______月______日</w:t>
      </w:r>
    </w:p>
    <w:p w14:paraId="75222195">
      <w:pPr>
        <w:tabs>
          <w:tab w:val="left" w:pos="5580"/>
        </w:tabs>
        <w:spacing w:line="360" w:lineRule="auto"/>
        <w:ind w:firstLine="480" w:firstLineChars="200"/>
        <w:rPr>
          <w:rFonts w:hint="eastAsia" w:ascii="宋体" w:hAnsi="宋体" w:eastAsia="宋体" w:cs="宋体"/>
          <w:color w:val="auto"/>
          <w:sz w:val="24"/>
          <w:szCs w:val="20"/>
          <w:highlight w:val="none"/>
        </w:rPr>
      </w:pPr>
    </w:p>
    <w:p w14:paraId="145EB585">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附：法定代表人（单位负责人）及委托代理人身份证明文件电子件：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3DFD3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0" w:hRule="atLeast"/>
        </w:trPr>
        <w:tc>
          <w:tcPr>
            <w:tcW w:w="9209" w:type="dxa"/>
          </w:tcPr>
          <w:p w14:paraId="1596DE36">
            <w:pPr>
              <w:tabs>
                <w:tab w:val="left" w:pos="5580"/>
              </w:tabs>
              <w:spacing w:line="360" w:lineRule="auto"/>
              <w:jc w:val="left"/>
              <w:rPr>
                <w:rFonts w:hint="eastAsia" w:ascii="宋体" w:hAnsi="宋体" w:eastAsia="宋体" w:cs="宋体"/>
                <w:color w:val="auto"/>
                <w:sz w:val="24"/>
                <w:szCs w:val="20"/>
                <w:highlight w:val="none"/>
              </w:rPr>
            </w:pPr>
          </w:p>
        </w:tc>
      </w:tr>
    </w:tbl>
    <w:p w14:paraId="4EDD9506">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说明：</w:t>
      </w:r>
    </w:p>
    <w:p w14:paraId="305D260F">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1.若供应商为事业单位或其他组织或分支机构，则法定代表人（单位负责人）处的签署人可为单位负责人。</w:t>
      </w:r>
    </w:p>
    <w:p w14:paraId="73CAC368">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7F429827">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3.投标人为自然人的情形，可不提供本《授权委托书》。</w:t>
      </w:r>
    </w:p>
    <w:p w14:paraId="6635AB19">
      <w:pPr>
        <w:tabs>
          <w:tab w:val="left" w:pos="5580"/>
        </w:tabs>
        <w:spacing w:line="360" w:lineRule="auto"/>
        <w:jc w:val="left"/>
        <w:rPr>
          <w:rFonts w:hint="eastAsia" w:ascii="宋体" w:hAnsi="宋体" w:eastAsia="宋体" w:cs="宋体"/>
          <w:b/>
          <w:color w:val="auto"/>
          <w:sz w:val="36"/>
          <w:szCs w:val="36"/>
          <w:highlight w:val="none"/>
        </w:rPr>
      </w:pPr>
      <w:r>
        <w:rPr>
          <w:rFonts w:hint="eastAsia" w:ascii="宋体" w:hAnsi="宋体" w:eastAsia="宋体" w:cs="宋体"/>
          <w:color w:val="auto"/>
          <w:sz w:val="24"/>
          <w:szCs w:val="20"/>
          <w:highlight w:val="none"/>
        </w:rPr>
        <w:t>4.供应商应随本《授权委托书》同时提供法定代表人（单位负责人）及委托代理人的有效身份证</w:t>
      </w:r>
      <w:r>
        <w:rPr>
          <w:rFonts w:hint="eastAsia" w:ascii="宋体" w:hAnsi="宋体" w:eastAsia="宋体" w:cs="宋体"/>
          <w:color w:val="auto"/>
          <w:sz w:val="24"/>
          <w:szCs w:val="20"/>
          <w:highlight w:val="none"/>
          <w:lang w:val="en-US" w:eastAsia="zh-CN"/>
        </w:rPr>
        <w:t>或</w:t>
      </w:r>
      <w:r>
        <w:rPr>
          <w:rFonts w:hint="eastAsia" w:ascii="宋体" w:hAnsi="宋体" w:eastAsia="宋体" w:cs="宋体"/>
          <w:color w:val="auto"/>
          <w:sz w:val="24"/>
          <w:szCs w:val="20"/>
          <w:highlight w:val="none"/>
        </w:rPr>
        <w:t>护照等身份证明文件电子件。提供身份证的，应同时提供身份证双面电子件。</w:t>
      </w:r>
      <w:r>
        <w:rPr>
          <w:rFonts w:hint="eastAsia" w:ascii="宋体" w:hAnsi="宋体" w:eastAsia="宋体" w:cs="宋体"/>
          <w:color w:val="auto"/>
          <w:sz w:val="30"/>
          <w:szCs w:val="30"/>
          <w:highlight w:val="none"/>
        </w:rPr>
        <w:br w:type="page"/>
      </w:r>
      <w:r>
        <w:rPr>
          <w:rFonts w:hint="eastAsia" w:ascii="宋体" w:hAnsi="宋体" w:eastAsia="宋体" w:cs="宋体"/>
          <w:b/>
          <w:color w:val="auto"/>
          <w:sz w:val="36"/>
          <w:szCs w:val="36"/>
          <w:highlight w:val="none"/>
        </w:rPr>
        <w:t>法定代表人（单位负责人）身份证明</w:t>
      </w:r>
    </w:p>
    <w:p w14:paraId="5CCE1B53">
      <w:pPr>
        <w:kinsoku w:val="0"/>
        <w:overflowPunct w:val="0"/>
        <w:spacing w:line="200" w:lineRule="exact"/>
        <w:rPr>
          <w:rFonts w:hint="eastAsia" w:ascii="宋体" w:hAnsi="宋体" w:eastAsia="宋体" w:cs="宋体"/>
          <w:color w:val="auto"/>
          <w:sz w:val="20"/>
          <w:szCs w:val="20"/>
          <w:highlight w:val="none"/>
        </w:rPr>
      </w:pPr>
    </w:p>
    <w:p w14:paraId="04ED5454">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（采购人或采购代理机构）</w:t>
      </w:r>
    </w:p>
    <w:p w14:paraId="429B163F">
      <w:pPr>
        <w:pStyle w:val="17"/>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兹证明，</w:t>
      </w:r>
    </w:p>
    <w:p w14:paraId="153E9E3A">
      <w:pPr>
        <w:pStyle w:val="17"/>
        <w:tabs>
          <w:tab w:val="left" w:pos="1690"/>
          <w:tab w:val="left" w:pos="3400"/>
          <w:tab w:val="left" w:pos="5110"/>
          <w:tab w:val="left" w:pos="6821"/>
        </w:tabs>
        <w:kinsoku w:val="0"/>
        <w:overflowPunct w:val="0"/>
        <w:spacing w:line="335" w:lineRule="exact"/>
        <w:rPr>
          <w:rFonts w:hint="eastAsia" w:ascii="宋体" w:hAnsi="宋体" w:eastAsia="宋体" w:cs="宋体"/>
          <w:color w:val="auto"/>
          <w:highlight w:val="none"/>
        </w:rPr>
      </w:pPr>
      <w:r>
        <w:rPr>
          <w:rFonts w:hint="eastAsia" w:ascii="宋体" w:hAnsi="宋体" w:eastAsia="宋体" w:cs="宋体"/>
          <w:color w:val="auto"/>
          <w:highlight w:val="none"/>
        </w:rPr>
        <w:t>姓名：____</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性别：____</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年龄：____</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职务：____</w:t>
      </w:r>
    </w:p>
    <w:p w14:paraId="17D31CE5">
      <w:pPr>
        <w:pStyle w:val="17"/>
        <w:tabs>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14:paraId="35427481">
      <w:pPr>
        <w:pStyle w:val="17"/>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color w:val="auto"/>
          <w:highlight w:val="none"/>
        </w:rPr>
      </w:pPr>
      <w:r>
        <w:rPr>
          <w:rFonts w:hint="eastAsia" w:ascii="宋体" w:hAnsi="宋体" w:eastAsia="宋体" w:cs="宋体"/>
          <w:color w:val="auto"/>
          <w:highlight w:val="none"/>
        </w:rPr>
        <w:t>系</w:t>
      </w:r>
      <w:r>
        <w:rPr>
          <w:rFonts w:hint="eastAsia" w:ascii="宋体" w:hAnsi="宋体" w:eastAsia="宋体" w:cs="宋体"/>
          <w:color w:val="auto"/>
          <w:highlight w:val="none"/>
          <w:u w:val="single"/>
        </w:rPr>
        <w:tab/>
      </w:r>
      <w:r>
        <w:rPr>
          <w:rFonts w:hint="eastAsia" w:ascii="宋体" w:hAnsi="宋体" w:eastAsia="宋体" w:cs="宋体"/>
          <w:color w:val="auto"/>
          <w:highlight w:val="none"/>
        </w:rPr>
        <w:t>（投标人名称）的法定代表人（单位负责人）。</w:t>
      </w:r>
    </w:p>
    <w:p w14:paraId="3B1946AC">
      <w:pPr>
        <w:pStyle w:val="17"/>
        <w:tabs>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14:paraId="67A21571">
      <w:pPr>
        <w:pStyle w:val="17"/>
        <w:tabs>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14:paraId="4C9A9E42">
      <w:pPr>
        <w:pStyle w:val="17"/>
        <w:tabs>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14:paraId="3BA7BFC1">
      <w:pPr>
        <w:pStyle w:val="17"/>
        <w:kinsoku w:val="0"/>
        <w:overflowPunct w:val="0"/>
        <w:spacing w:line="583" w:lineRule="auto"/>
        <w:ind w:right="-46"/>
        <w:rPr>
          <w:rFonts w:hint="eastAsia" w:ascii="宋体" w:hAnsi="宋体" w:eastAsia="宋体" w:cs="宋体"/>
          <w:color w:val="auto"/>
          <w:spacing w:val="-3"/>
          <w:highlight w:val="none"/>
        </w:rPr>
      </w:pPr>
      <w:r>
        <w:rPr>
          <w:rFonts w:hint="eastAsia" w:ascii="宋体" w:hAnsi="宋体" w:eastAsia="宋体" w:cs="宋体"/>
          <w:color w:val="auto"/>
          <w:highlight w:val="none"/>
        </w:rPr>
        <w:t>附：</w:t>
      </w:r>
      <w:r>
        <w:rPr>
          <w:rFonts w:hint="eastAsia" w:ascii="宋体" w:hAnsi="宋体" w:eastAsia="宋体" w:cs="宋体"/>
          <w:color w:val="auto"/>
          <w:spacing w:val="-3"/>
          <w:highlight w:val="none"/>
        </w:rPr>
        <w:t>法</w:t>
      </w:r>
      <w:r>
        <w:rPr>
          <w:rFonts w:hint="eastAsia" w:ascii="宋体" w:hAnsi="宋体" w:eastAsia="宋体" w:cs="宋体"/>
          <w:color w:val="auto"/>
          <w:highlight w:val="none"/>
        </w:rPr>
        <w:t>定</w:t>
      </w:r>
      <w:r>
        <w:rPr>
          <w:rFonts w:hint="eastAsia" w:ascii="宋体" w:hAnsi="宋体" w:eastAsia="宋体" w:cs="宋体"/>
          <w:color w:val="auto"/>
          <w:spacing w:val="-3"/>
          <w:highlight w:val="none"/>
        </w:rPr>
        <w:t>代</w:t>
      </w:r>
      <w:r>
        <w:rPr>
          <w:rFonts w:hint="eastAsia" w:ascii="宋体" w:hAnsi="宋体" w:eastAsia="宋体" w:cs="宋体"/>
          <w:color w:val="auto"/>
          <w:highlight w:val="none"/>
        </w:rPr>
        <w:t>表</w:t>
      </w:r>
      <w:r>
        <w:rPr>
          <w:rFonts w:hint="eastAsia" w:ascii="宋体" w:hAnsi="宋体" w:eastAsia="宋体" w:cs="宋体"/>
          <w:color w:val="auto"/>
          <w:spacing w:val="-3"/>
          <w:highlight w:val="none"/>
        </w:rPr>
        <w:t>人</w:t>
      </w:r>
      <w:r>
        <w:rPr>
          <w:rFonts w:hint="eastAsia" w:ascii="宋体" w:hAnsi="宋体" w:eastAsia="宋体" w:cs="宋体"/>
          <w:color w:val="auto"/>
          <w:highlight w:val="none"/>
        </w:rPr>
        <w:t>（</w:t>
      </w:r>
      <w:r>
        <w:rPr>
          <w:rFonts w:hint="eastAsia" w:ascii="宋体" w:hAnsi="宋体" w:eastAsia="宋体" w:cs="宋体"/>
          <w:color w:val="auto"/>
          <w:spacing w:val="-3"/>
          <w:highlight w:val="none"/>
        </w:rPr>
        <w:t>单</w:t>
      </w:r>
      <w:r>
        <w:rPr>
          <w:rFonts w:hint="eastAsia" w:ascii="宋体" w:hAnsi="宋体" w:eastAsia="宋体" w:cs="宋体"/>
          <w:color w:val="auto"/>
          <w:highlight w:val="none"/>
        </w:rPr>
        <w:t>位</w:t>
      </w:r>
      <w:r>
        <w:rPr>
          <w:rFonts w:hint="eastAsia" w:ascii="宋体" w:hAnsi="宋体" w:eastAsia="宋体" w:cs="宋体"/>
          <w:color w:val="auto"/>
          <w:spacing w:val="-3"/>
          <w:highlight w:val="none"/>
        </w:rPr>
        <w:t>负</w:t>
      </w:r>
      <w:r>
        <w:rPr>
          <w:rFonts w:hint="eastAsia" w:ascii="宋体" w:hAnsi="宋体" w:eastAsia="宋体" w:cs="宋体"/>
          <w:color w:val="auto"/>
          <w:highlight w:val="none"/>
        </w:rPr>
        <w:t>责人</w:t>
      </w:r>
      <w:r>
        <w:rPr>
          <w:rFonts w:hint="eastAsia" w:ascii="宋体" w:hAnsi="宋体" w:eastAsia="宋体" w:cs="宋体"/>
          <w:color w:val="auto"/>
          <w:spacing w:val="-3"/>
          <w:highlight w:val="none"/>
        </w:rPr>
        <w:t>）身份证</w:t>
      </w:r>
      <w:r>
        <w:rPr>
          <w:rFonts w:hint="eastAsia" w:ascii="宋体" w:hAnsi="宋体" w:eastAsia="宋体" w:cs="宋体"/>
          <w:color w:val="auto"/>
          <w:spacing w:val="-3"/>
          <w:highlight w:val="none"/>
          <w:lang w:val="en-US" w:eastAsia="zh-CN"/>
        </w:rPr>
        <w:t>或</w:t>
      </w:r>
      <w:r>
        <w:rPr>
          <w:rFonts w:hint="eastAsia" w:ascii="宋体" w:hAnsi="宋体" w:eastAsia="宋体" w:cs="宋体"/>
          <w:color w:val="auto"/>
          <w:spacing w:val="-3"/>
          <w:highlight w:val="none"/>
        </w:rPr>
        <w:t>护照等身份证明文件电子件：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24C38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15" w:hRule="atLeast"/>
        </w:trPr>
        <w:tc>
          <w:tcPr>
            <w:tcW w:w="9209" w:type="dxa"/>
          </w:tcPr>
          <w:p w14:paraId="5CBC18B7">
            <w:pPr>
              <w:tabs>
                <w:tab w:val="left" w:pos="5580"/>
              </w:tabs>
              <w:spacing w:line="360" w:lineRule="auto"/>
              <w:jc w:val="left"/>
              <w:rPr>
                <w:rFonts w:hint="eastAsia" w:ascii="宋体" w:hAnsi="宋体" w:eastAsia="宋体" w:cs="宋体"/>
                <w:color w:val="auto"/>
                <w:sz w:val="24"/>
                <w:szCs w:val="20"/>
                <w:highlight w:val="none"/>
              </w:rPr>
            </w:pPr>
          </w:p>
        </w:tc>
      </w:tr>
    </w:tbl>
    <w:p w14:paraId="02635320">
      <w:pPr>
        <w:pStyle w:val="17"/>
        <w:kinsoku w:val="0"/>
        <w:overflowPunct w:val="0"/>
        <w:spacing w:line="583" w:lineRule="auto"/>
        <w:ind w:right="4305"/>
        <w:rPr>
          <w:rFonts w:hint="eastAsia" w:ascii="宋体" w:hAnsi="宋体" w:eastAsia="宋体" w:cs="宋体"/>
          <w:color w:val="auto"/>
          <w:spacing w:val="-3"/>
          <w:highlight w:val="none"/>
        </w:rPr>
      </w:pPr>
    </w:p>
    <w:p w14:paraId="3AB72132">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投标人名称（加盖公章）</w:t>
      </w:r>
      <w:r>
        <w:rPr>
          <w:rFonts w:hint="eastAsia" w:ascii="宋体" w:hAnsi="宋体" w:eastAsia="宋体" w:cs="宋体"/>
          <w:color w:val="auto"/>
          <w:sz w:val="24"/>
          <w:highlight w:val="none"/>
          <w:lang w:val="zh-CN"/>
        </w:rPr>
        <w:t>：________________</w:t>
      </w:r>
    </w:p>
    <w:p w14:paraId="07117C3D">
      <w:pPr>
        <w:pStyle w:val="17"/>
        <w:kinsoku w:val="0"/>
        <w:overflowPunct w:val="0"/>
        <w:spacing w:line="583" w:lineRule="auto"/>
        <w:ind w:right="95"/>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t>法定代表人（</w:t>
      </w:r>
      <w:r>
        <w:rPr>
          <w:rFonts w:hint="eastAsia" w:ascii="宋体" w:hAnsi="宋体" w:eastAsia="宋体" w:cs="宋体"/>
          <w:color w:val="auto"/>
          <w:highlight w:val="none"/>
        </w:rPr>
        <w:t>单位负责人</w:t>
      </w:r>
      <w:r>
        <w:rPr>
          <w:rFonts w:hint="eastAsia" w:ascii="宋体" w:hAnsi="宋体" w:eastAsia="宋体" w:cs="宋体"/>
          <w:color w:val="auto"/>
          <w:spacing w:val="-3"/>
          <w:highlight w:val="none"/>
        </w:rPr>
        <w:t>）（签字或</w:t>
      </w:r>
      <w:r>
        <w:rPr>
          <w:rFonts w:hint="eastAsia" w:ascii="宋体" w:hAnsi="宋体" w:eastAsia="宋体" w:cs="宋体"/>
          <w:color w:val="auto"/>
          <w:spacing w:val="-3"/>
          <w:highlight w:val="none"/>
          <w:lang w:val="en-US" w:eastAsia="zh-CN"/>
        </w:rPr>
        <w:t>盖章</w:t>
      </w:r>
      <w:r>
        <w:rPr>
          <w:rFonts w:hint="eastAsia" w:ascii="宋体" w:hAnsi="宋体" w:eastAsia="宋体" w:cs="宋体"/>
          <w:color w:val="auto"/>
          <w:spacing w:val="-3"/>
          <w:highlight w:val="none"/>
        </w:rPr>
        <w:t>）：_______</w:t>
      </w:r>
    </w:p>
    <w:p w14:paraId="3C0875DC">
      <w:pPr>
        <w:autoSpaceDE w:val="0"/>
        <w:autoSpaceDN w:val="0"/>
        <w:adjustRightInd w:val="0"/>
        <w:snapToGrid w:val="0"/>
        <w:spacing w:line="360" w:lineRule="auto"/>
        <w:rPr>
          <w:rFonts w:hint="eastAsia" w:ascii="宋体" w:hAnsi="宋体" w:eastAsia="宋体" w:cs="宋体"/>
          <w:color w:val="auto"/>
          <w:sz w:val="24"/>
          <w:highlight w:val="none"/>
        </w:rPr>
      </w:pPr>
    </w:p>
    <w:p w14:paraId="120C1143">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日期：_____年______月______日</w:t>
      </w:r>
    </w:p>
    <w:p w14:paraId="480FFBAA">
      <w:pPr>
        <w:widowControl/>
        <w:jc w:val="left"/>
        <w:rPr>
          <w:rFonts w:hint="eastAsia" w:ascii="宋体" w:hAnsi="宋体" w:eastAsia="宋体" w:cs="宋体"/>
          <w:i/>
          <w:color w:val="auto"/>
          <w:sz w:val="24"/>
          <w:szCs w:val="20"/>
          <w:highlight w:val="none"/>
          <w:u w:val="single"/>
        </w:rPr>
      </w:pPr>
    </w:p>
    <w:p w14:paraId="37F65D77">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r>
        <w:rPr>
          <w:rFonts w:hint="eastAsia" w:ascii="宋体" w:hAnsi="宋体" w:eastAsia="宋体" w:cs="宋体"/>
          <w:color w:val="auto"/>
          <w:sz w:val="24"/>
          <w:szCs w:val="20"/>
          <w:highlight w:val="none"/>
        </w:rPr>
        <w:t>3  开标一览表（实质性格式）</w:t>
      </w:r>
    </w:p>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p w14:paraId="358909A5">
      <w:pPr>
        <w:spacing w:line="360" w:lineRule="auto"/>
        <w:outlineLvl w:val="9"/>
        <w:rPr>
          <w:rFonts w:hint="eastAsia" w:ascii="宋体" w:hAnsi="宋体" w:eastAsia="宋体" w:cs="宋体"/>
          <w:color w:val="auto"/>
          <w:sz w:val="24"/>
          <w:szCs w:val="20"/>
          <w:highlight w:val="none"/>
        </w:rPr>
      </w:pPr>
    </w:p>
    <w:p w14:paraId="4C05E6D9">
      <w:pPr>
        <w:spacing w:line="240" w:lineRule="auto"/>
        <w:jc w:val="center"/>
        <w:rPr>
          <w:rFonts w:hint="eastAsia" w:ascii="宋体" w:hAnsi="宋体" w:eastAsia="宋体" w:cs="宋体"/>
          <w:b/>
          <w:color w:val="auto"/>
          <w:sz w:val="36"/>
          <w:szCs w:val="36"/>
          <w:highlight w:val="none"/>
        </w:rPr>
      </w:pPr>
      <w:bookmarkStart w:id="873" w:name="_Toc195842923"/>
      <w:bookmarkStart w:id="874" w:name="_Toc226337254"/>
      <w:bookmarkStart w:id="875" w:name="_Toc305158826"/>
      <w:bookmarkStart w:id="876" w:name="_Toc226309802"/>
      <w:bookmarkStart w:id="877" w:name="_Toc164608827"/>
      <w:bookmarkStart w:id="878" w:name="_Toc164608672"/>
      <w:bookmarkStart w:id="879" w:name="_Toc226965831"/>
      <w:bookmarkStart w:id="880" w:name="_Toc265228396"/>
      <w:bookmarkStart w:id="881" w:name="_Toc226965748"/>
      <w:bookmarkStart w:id="882" w:name="_Toc264969248"/>
      <w:bookmarkStart w:id="883" w:name="_Toc305158900"/>
      <w:r>
        <w:rPr>
          <w:rFonts w:hint="eastAsia" w:ascii="宋体" w:hAnsi="宋体" w:eastAsia="宋体" w:cs="宋体"/>
          <w:b/>
          <w:color w:val="auto"/>
          <w:sz w:val="36"/>
          <w:szCs w:val="36"/>
          <w:highlight w:val="none"/>
        </w:rPr>
        <w:t>开标一览表</w:t>
      </w:r>
      <w:bookmarkEnd w:id="873"/>
      <w:bookmarkEnd w:id="874"/>
      <w:bookmarkEnd w:id="875"/>
      <w:bookmarkEnd w:id="876"/>
      <w:bookmarkEnd w:id="877"/>
      <w:bookmarkEnd w:id="878"/>
      <w:bookmarkEnd w:id="879"/>
      <w:bookmarkEnd w:id="880"/>
      <w:bookmarkEnd w:id="881"/>
      <w:bookmarkEnd w:id="882"/>
      <w:bookmarkEnd w:id="883"/>
    </w:p>
    <w:p w14:paraId="4CEBC991">
      <w:pPr>
        <w:tabs>
          <w:tab w:val="left" w:pos="1800"/>
          <w:tab w:val="left" w:pos="5580"/>
        </w:tabs>
        <w:spacing w:line="360" w:lineRule="auto"/>
        <w:jc w:val="left"/>
        <w:rPr>
          <w:rFonts w:hint="eastAsia" w:ascii="宋体" w:hAnsi="宋体" w:eastAsia="宋体" w:cs="宋体"/>
          <w:i/>
          <w:color w:val="auto"/>
          <w:sz w:val="24"/>
          <w:highlight w:val="none"/>
        </w:rPr>
      </w:pPr>
    </w:p>
    <w:p w14:paraId="79883C05">
      <w:pPr>
        <w:tabs>
          <w:tab w:val="left" w:pos="1800"/>
          <w:tab w:val="left" w:pos="5580"/>
        </w:tabs>
        <w:spacing w:line="360" w:lineRule="auto"/>
        <w:jc w:val="left"/>
        <w:rPr>
          <w:rFonts w:hint="eastAsia" w:ascii="宋体" w:hAnsi="宋体" w:eastAsia="宋体" w:cs="宋体"/>
          <w:i/>
          <w:color w:val="auto"/>
          <w:sz w:val="24"/>
          <w:highlight w:val="none"/>
        </w:rPr>
      </w:pPr>
    </w:p>
    <w:p w14:paraId="3B2CC550">
      <w:pPr>
        <w:tabs>
          <w:tab w:val="left" w:pos="1800"/>
          <w:tab w:val="left" w:pos="5580"/>
        </w:tabs>
        <w:spacing w:line="360" w:lineRule="auto"/>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项目名称：</w:t>
      </w:r>
      <w:r>
        <w:rPr>
          <w:rFonts w:hint="eastAsia" w:ascii="宋体" w:hAnsi="宋体" w:eastAsia="宋体" w:cs="宋体"/>
          <w:color w:val="auto"/>
          <w:sz w:val="24"/>
          <w:highlight w:val="none"/>
          <w:u w:val="single"/>
        </w:rPr>
        <w:t xml:space="preserve">                  </w:t>
      </w:r>
    </w:p>
    <w:tbl>
      <w:tblPr>
        <w:tblStyle w:val="45"/>
        <w:tblW w:w="52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1"/>
        <w:gridCol w:w="1845"/>
        <w:gridCol w:w="1227"/>
        <w:gridCol w:w="1354"/>
        <w:gridCol w:w="1794"/>
        <w:gridCol w:w="1143"/>
        <w:gridCol w:w="764"/>
      </w:tblGrid>
      <w:tr w14:paraId="3E3ED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6" w:hRule="atLeast"/>
          <w:jc w:val="center"/>
        </w:trPr>
        <w:tc>
          <w:tcPr>
            <w:tcW w:w="381" w:type="pct"/>
            <w:vMerge w:val="restart"/>
            <w:tcBorders>
              <w:top w:val="single" w:color="auto" w:sz="4" w:space="0"/>
              <w:left w:val="single" w:color="auto" w:sz="4" w:space="0"/>
              <w:bottom w:val="single" w:color="auto" w:sz="4" w:space="0"/>
              <w:right w:val="single" w:color="auto" w:sz="4" w:space="0"/>
            </w:tcBorders>
            <w:vAlign w:val="center"/>
          </w:tcPr>
          <w:p w14:paraId="560A3D06">
            <w:pPr>
              <w:tabs>
                <w:tab w:val="left" w:pos="5580"/>
              </w:tabs>
              <w:jc w:val="center"/>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1048" w:type="pct"/>
            <w:vMerge w:val="restart"/>
            <w:tcBorders>
              <w:top w:val="single" w:color="auto" w:sz="4" w:space="0"/>
              <w:left w:val="single" w:color="auto" w:sz="4" w:space="0"/>
              <w:bottom w:val="single" w:color="auto" w:sz="4" w:space="0"/>
              <w:right w:val="single" w:color="auto" w:sz="4" w:space="0"/>
            </w:tcBorders>
            <w:vAlign w:val="center"/>
          </w:tcPr>
          <w:p w14:paraId="63F8630F">
            <w:pPr>
              <w:tabs>
                <w:tab w:val="left" w:pos="5580"/>
              </w:tabs>
              <w:jc w:val="center"/>
              <w:rPr>
                <w:rFonts w:ascii="宋体" w:hAnsi="宋体" w:cs="宋体"/>
                <w:b/>
                <w:color w:val="auto"/>
                <w:sz w:val="24"/>
                <w:szCs w:val="24"/>
                <w:highlight w:val="none"/>
              </w:rPr>
            </w:pPr>
            <w:r>
              <w:rPr>
                <w:rFonts w:hint="eastAsia" w:ascii="宋体" w:hAnsi="宋体" w:eastAsia="宋体" w:cs="宋体"/>
                <w:b/>
                <w:color w:val="auto"/>
                <w:sz w:val="24"/>
                <w:szCs w:val="24"/>
                <w:highlight w:val="none"/>
                <w:lang w:eastAsia="zh-CN"/>
              </w:rPr>
              <w:t>投标人</w:t>
            </w:r>
            <w:r>
              <w:rPr>
                <w:rFonts w:hint="eastAsia" w:ascii="宋体" w:hAnsi="宋体" w:cs="宋体"/>
                <w:b/>
                <w:color w:val="auto"/>
                <w:sz w:val="24"/>
                <w:szCs w:val="24"/>
                <w:highlight w:val="none"/>
              </w:rPr>
              <w:t>名称</w:t>
            </w:r>
          </w:p>
        </w:tc>
        <w:tc>
          <w:tcPr>
            <w:tcW w:w="1466" w:type="pct"/>
            <w:gridSpan w:val="2"/>
            <w:tcBorders>
              <w:top w:val="single" w:color="auto" w:sz="4" w:space="0"/>
              <w:left w:val="single" w:color="auto" w:sz="4" w:space="0"/>
              <w:bottom w:val="single" w:color="auto" w:sz="4" w:space="0"/>
              <w:right w:val="single" w:color="auto" w:sz="4" w:space="0"/>
            </w:tcBorders>
            <w:vAlign w:val="center"/>
          </w:tcPr>
          <w:p w14:paraId="1BA8841E">
            <w:pPr>
              <w:tabs>
                <w:tab w:val="left" w:pos="5580"/>
              </w:tabs>
              <w:jc w:val="center"/>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投标报价（元）</w:t>
            </w:r>
          </w:p>
        </w:tc>
        <w:tc>
          <w:tcPr>
            <w:tcW w:w="1019" w:type="pct"/>
            <w:vMerge w:val="restart"/>
            <w:tcBorders>
              <w:top w:val="single" w:color="auto" w:sz="4" w:space="0"/>
              <w:left w:val="single" w:color="auto" w:sz="4" w:space="0"/>
              <w:right w:val="single" w:color="auto" w:sz="4" w:space="0"/>
            </w:tcBorders>
            <w:vAlign w:val="center"/>
          </w:tcPr>
          <w:p w14:paraId="2A152179">
            <w:pPr>
              <w:tabs>
                <w:tab w:val="left" w:pos="5580"/>
              </w:tabs>
              <w:jc w:val="center"/>
              <w:rPr>
                <w:rFonts w:ascii="宋体" w:hAnsi="宋体" w:cs="宋体"/>
                <w:b/>
                <w:color w:val="auto"/>
                <w:sz w:val="24"/>
                <w:szCs w:val="24"/>
                <w:highlight w:val="none"/>
              </w:rPr>
            </w:pPr>
            <w:r>
              <w:rPr>
                <w:rFonts w:hint="eastAsia" w:ascii="宋体" w:hAnsi="宋体" w:cs="宋体"/>
                <w:b/>
                <w:color w:val="auto"/>
                <w:sz w:val="24"/>
                <w:szCs w:val="24"/>
                <w:highlight w:val="none"/>
              </w:rPr>
              <w:t>合同履行期限</w:t>
            </w:r>
          </w:p>
        </w:tc>
        <w:tc>
          <w:tcPr>
            <w:tcW w:w="649" w:type="pct"/>
            <w:vMerge w:val="restart"/>
            <w:tcBorders>
              <w:top w:val="single" w:color="auto" w:sz="4" w:space="0"/>
              <w:left w:val="single" w:color="auto" w:sz="4" w:space="0"/>
              <w:right w:val="single" w:color="auto" w:sz="4" w:space="0"/>
            </w:tcBorders>
            <w:vAlign w:val="center"/>
          </w:tcPr>
          <w:p w14:paraId="1247682B">
            <w:pPr>
              <w:tabs>
                <w:tab w:val="left" w:pos="5580"/>
              </w:tabs>
              <w:jc w:val="center"/>
              <w:rPr>
                <w:rFonts w:ascii="宋体" w:hAnsi="宋体" w:cs="宋体"/>
                <w:b/>
                <w:color w:val="auto"/>
                <w:sz w:val="24"/>
                <w:szCs w:val="24"/>
                <w:highlight w:val="none"/>
              </w:rPr>
            </w:pPr>
            <w:r>
              <w:rPr>
                <w:rFonts w:hint="eastAsia" w:ascii="宋体" w:hAnsi="宋体" w:cs="宋体"/>
                <w:b/>
                <w:color w:val="auto"/>
                <w:sz w:val="24"/>
                <w:szCs w:val="24"/>
                <w:highlight w:val="none"/>
              </w:rPr>
              <w:t>服务地点</w:t>
            </w:r>
          </w:p>
        </w:tc>
        <w:tc>
          <w:tcPr>
            <w:tcW w:w="434" w:type="pct"/>
            <w:vMerge w:val="restart"/>
            <w:tcBorders>
              <w:top w:val="single" w:color="auto" w:sz="4" w:space="0"/>
              <w:left w:val="single" w:color="auto" w:sz="4" w:space="0"/>
              <w:right w:val="single" w:color="auto" w:sz="4" w:space="0"/>
            </w:tcBorders>
            <w:vAlign w:val="center"/>
          </w:tcPr>
          <w:p w14:paraId="645EADD8">
            <w:pPr>
              <w:tabs>
                <w:tab w:val="left" w:pos="5580"/>
              </w:tabs>
              <w:jc w:val="center"/>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14:paraId="61B4A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6" w:hRule="atLeast"/>
          <w:jc w:val="center"/>
        </w:trPr>
        <w:tc>
          <w:tcPr>
            <w:tcW w:w="381" w:type="pct"/>
            <w:vMerge w:val="continue"/>
            <w:tcBorders>
              <w:top w:val="single" w:color="auto" w:sz="4" w:space="0"/>
              <w:left w:val="single" w:color="auto" w:sz="4" w:space="0"/>
              <w:bottom w:val="single" w:color="auto" w:sz="4" w:space="0"/>
              <w:right w:val="single" w:color="auto" w:sz="4" w:space="0"/>
            </w:tcBorders>
            <w:vAlign w:val="center"/>
          </w:tcPr>
          <w:p w14:paraId="7F672990">
            <w:pPr>
              <w:rPr>
                <w:rFonts w:ascii="宋体" w:hAnsi="宋体" w:cs="宋体"/>
                <w:b/>
                <w:color w:val="auto"/>
                <w:sz w:val="24"/>
                <w:szCs w:val="24"/>
                <w:highlight w:val="none"/>
              </w:rPr>
            </w:pPr>
          </w:p>
        </w:tc>
        <w:tc>
          <w:tcPr>
            <w:tcW w:w="1048" w:type="pct"/>
            <w:vMerge w:val="continue"/>
            <w:tcBorders>
              <w:top w:val="single" w:color="auto" w:sz="4" w:space="0"/>
              <w:left w:val="single" w:color="auto" w:sz="4" w:space="0"/>
              <w:bottom w:val="single" w:color="auto" w:sz="4" w:space="0"/>
              <w:right w:val="single" w:color="auto" w:sz="4" w:space="0"/>
            </w:tcBorders>
            <w:vAlign w:val="center"/>
          </w:tcPr>
          <w:p w14:paraId="7BA385B9">
            <w:pPr>
              <w:rPr>
                <w:rFonts w:ascii="宋体" w:hAnsi="宋体" w:cs="宋体"/>
                <w:b/>
                <w:color w:val="auto"/>
                <w:sz w:val="24"/>
                <w:szCs w:val="24"/>
                <w:highlight w:val="none"/>
              </w:rPr>
            </w:pPr>
          </w:p>
        </w:tc>
        <w:tc>
          <w:tcPr>
            <w:tcW w:w="697" w:type="pct"/>
            <w:tcBorders>
              <w:top w:val="single" w:color="auto" w:sz="4" w:space="0"/>
              <w:left w:val="single" w:color="auto" w:sz="4" w:space="0"/>
              <w:bottom w:val="single" w:color="auto" w:sz="4" w:space="0"/>
              <w:right w:val="single" w:color="auto" w:sz="4" w:space="0"/>
            </w:tcBorders>
            <w:vAlign w:val="center"/>
          </w:tcPr>
          <w:p w14:paraId="00B62132">
            <w:pPr>
              <w:tabs>
                <w:tab w:val="left" w:pos="5580"/>
              </w:tabs>
              <w:jc w:val="center"/>
              <w:rPr>
                <w:rFonts w:ascii="宋体" w:hAnsi="宋体" w:cs="宋体"/>
                <w:b/>
                <w:color w:val="auto"/>
                <w:sz w:val="24"/>
                <w:szCs w:val="24"/>
                <w:highlight w:val="none"/>
              </w:rPr>
            </w:pPr>
            <w:r>
              <w:rPr>
                <w:rFonts w:hint="eastAsia" w:ascii="宋体" w:hAnsi="宋体" w:cs="宋体"/>
                <w:b/>
                <w:color w:val="auto"/>
                <w:sz w:val="24"/>
                <w:szCs w:val="24"/>
                <w:highlight w:val="none"/>
              </w:rPr>
              <w:t>大写</w:t>
            </w:r>
          </w:p>
        </w:tc>
        <w:tc>
          <w:tcPr>
            <w:tcW w:w="769" w:type="pct"/>
            <w:tcBorders>
              <w:top w:val="single" w:color="auto" w:sz="4" w:space="0"/>
              <w:left w:val="single" w:color="auto" w:sz="4" w:space="0"/>
              <w:bottom w:val="single" w:color="auto" w:sz="4" w:space="0"/>
              <w:right w:val="single" w:color="auto" w:sz="4" w:space="0"/>
            </w:tcBorders>
            <w:vAlign w:val="center"/>
          </w:tcPr>
          <w:p w14:paraId="74A60706">
            <w:pPr>
              <w:tabs>
                <w:tab w:val="left" w:pos="5580"/>
              </w:tabs>
              <w:jc w:val="center"/>
              <w:rPr>
                <w:rFonts w:ascii="宋体" w:hAnsi="宋体" w:cs="宋体"/>
                <w:b/>
                <w:color w:val="auto"/>
                <w:sz w:val="24"/>
                <w:szCs w:val="24"/>
                <w:highlight w:val="none"/>
              </w:rPr>
            </w:pPr>
            <w:r>
              <w:rPr>
                <w:rFonts w:hint="eastAsia" w:ascii="宋体" w:hAnsi="宋体" w:cs="宋体"/>
                <w:b/>
                <w:color w:val="auto"/>
                <w:sz w:val="24"/>
                <w:szCs w:val="24"/>
                <w:highlight w:val="none"/>
              </w:rPr>
              <w:t>小写</w:t>
            </w:r>
          </w:p>
        </w:tc>
        <w:tc>
          <w:tcPr>
            <w:tcW w:w="1019" w:type="pct"/>
            <w:vMerge w:val="continue"/>
            <w:tcBorders>
              <w:left w:val="single" w:color="auto" w:sz="4" w:space="0"/>
              <w:bottom w:val="single" w:color="auto" w:sz="4" w:space="0"/>
              <w:right w:val="single" w:color="auto" w:sz="4" w:space="0"/>
            </w:tcBorders>
            <w:vAlign w:val="center"/>
          </w:tcPr>
          <w:p w14:paraId="4D41A246">
            <w:pPr>
              <w:tabs>
                <w:tab w:val="left" w:pos="5580"/>
              </w:tabs>
              <w:jc w:val="center"/>
              <w:rPr>
                <w:rFonts w:ascii="宋体" w:hAnsi="宋体" w:cs="宋体"/>
                <w:b/>
                <w:color w:val="auto"/>
                <w:sz w:val="24"/>
                <w:szCs w:val="24"/>
                <w:highlight w:val="none"/>
              </w:rPr>
            </w:pPr>
          </w:p>
        </w:tc>
        <w:tc>
          <w:tcPr>
            <w:tcW w:w="649" w:type="pct"/>
            <w:vMerge w:val="continue"/>
            <w:tcBorders>
              <w:left w:val="single" w:color="auto" w:sz="4" w:space="0"/>
              <w:bottom w:val="single" w:color="auto" w:sz="4" w:space="0"/>
              <w:right w:val="single" w:color="auto" w:sz="4" w:space="0"/>
            </w:tcBorders>
            <w:vAlign w:val="center"/>
          </w:tcPr>
          <w:p w14:paraId="55CFC3F0">
            <w:pPr>
              <w:tabs>
                <w:tab w:val="left" w:pos="5580"/>
              </w:tabs>
              <w:jc w:val="center"/>
              <w:rPr>
                <w:rFonts w:ascii="宋体" w:hAnsi="宋体" w:cs="宋体"/>
                <w:b/>
                <w:color w:val="auto"/>
                <w:sz w:val="24"/>
                <w:szCs w:val="24"/>
                <w:highlight w:val="none"/>
              </w:rPr>
            </w:pPr>
          </w:p>
        </w:tc>
        <w:tc>
          <w:tcPr>
            <w:tcW w:w="434" w:type="pct"/>
            <w:vMerge w:val="continue"/>
            <w:tcBorders>
              <w:left w:val="single" w:color="auto" w:sz="4" w:space="0"/>
              <w:bottom w:val="single" w:color="auto" w:sz="4" w:space="0"/>
              <w:right w:val="single" w:color="auto" w:sz="4" w:space="0"/>
            </w:tcBorders>
            <w:vAlign w:val="center"/>
          </w:tcPr>
          <w:p w14:paraId="1BEAFD54">
            <w:pPr>
              <w:tabs>
                <w:tab w:val="left" w:pos="5580"/>
              </w:tabs>
              <w:jc w:val="center"/>
              <w:rPr>
                <w:rFonts w:ascii="宋体" w:hAnsi="宋体" w:cs="宋体"/>
                <w:b/>
                <w:color w:val="auto"/>
                <w:sz w:val="24"/>
                <w:szCs w:val="24"/>
                <w:highlight w:val="none"/>
              </w:rPr>
            </w:pPr>
          </w:p>
        </w:tc>
      </w:tr>
      <w:tr w14:paraId="71D76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9" w:hRule="atLeast"/>
          <w:jc w:val="center"/>
        </w:trPr>
        <w:tc>
          <w:tcPr>
            <w:tcW w:w="381" w:type="pct"/>
            <w:tcBorders>
              <w:top w:val="single" w:color="auto" w:sz="4" w:space="0"/>
              <w:left w:val="single" w:color="auto" w:sz="4" w:space="0"/>
              <w:bottom w:val="single" w:color="auto" w:sz="4" w:space="0"/>
              <w:right w:val="single" w:color="auto" w:sz="4" w:space="0"/>
            </w:tcBorders>
            <w:vAlign w:val="center"/>
          </w:tcPr>
          <w:p w14:paraId="681AFD28">
            <w:pPr>
              <w:tabs>
                <w:tab w:val="left" w:pos="5580"/>
              </w:tabs>
              <w:jc w:val="center"/>
              <w:rPr>
                <w:rFonts w:ascii="宋体" w:hAnsi="宋体" w:cs="宋体"/>
                <w:color w:val="auto"/>
                <w:sz w:val="24"/>
                <w:szCs w:val="24"/>
                <w:highlight w:val="none"/>
              </w:rPr>
            </w:pPr>
          </w:p>
        </w:tc>
        <w:tc>
          <w:tcPr>
            <w:tcW w:w="1048" w:type="pct"/>
            <w:tcBorders>
              <w:top w:val="single" w:color="auto" w:sz="4" w:space="0"/>
              <w:left w:val="single" w:color="auto" w:sz="4" w:space="0"/>
              <w:bottom w:val="single" w:color="auto" w:sz="4" w:space="0"/>
              <w:right w:val="single" w:color="auto" w:sz="4" w:space="0"/>
            </w:tcBorders>
            <w:vAlign w:val="center"/>
          </w:tcPr>
          <w:p w14:paraId="3A411036">
            <w:pPr>
              <w:tabs>
                <w:tab w:val="left" w:pos="5580"/>
              </w:tabs>
              <w:jc w:val="center"/>
              <w:rPr>
                <w:rFonts w:ascii="宋体" w:hAnsi="宋体" w:cs="宋体"/>
                <w:color w:val="auto"/>
                <w:sz w:val="24"/>
                <w:szCs w:val="24"/>
                <w:highlight w:val="none"/>
              </w:rPr>
            </w:pPr>
          </w:p>
        </w:tc>
        <w:tc>
          <w:tcPr>
            <w:tcW w:w="697" w:type="pct"/>
            <w:tcBorders>
              <w:top w:val="single" w:color="auto" w:sz="4" w:space="0"/>
              <w:left w:val="single" w:color="auto" w:sz="4" w:space="0"/>
              <w:bottom w:val="single" w:color="auto" w:sz="4" w:space="0"/>
              <w:right w:val="single" w:color="auto" w:sz="4" w:space="0"/>
            </w:tcBorders>
            <w:vAlign w:val="center"/>
          </w:tcPr>
          <w:p w14:paraId="3CEE1CDC">
            <w:pPr>
              <w:tabs>
                <w:tab w:val="left" w:pos="5580"/>
              </w:tabs>
              <w:jc w:val="center"/>
              <w:rPr>
                <w:rFonts w:ascii="宋体" w:hAnsi="宋体" w:cs="宋体"/>
                <w:color w:val="auto"/>
                <w:sz w:val="24"/>
                <w:szCs w:val="24"/>
                <w:highlight w:val="none"/>
              </w:rPr>
            </w:pPr>
          </w:p>
        </w:tc>
        <w:tc>
          <w:tcPr>
            <w:tcW w:w="769" w:type="pct"/>
            <w:tcBorders>
              <w:top w:val="single" w:color="auto" w:sz="4" w:space="0"/>
              <w:left w:val="single" w:color="auto" w:sz="4" w:space="0"/>
              <w:bottom w:val="single" w:color="auto" w:sz="4" w:space="0"/>
              <w:right w:val="single" w:color="auto" w:sz="4" w:space="0"/>
            </w:tcBorders>
            <w:vAlign w:val="center"/>
          </w:tcPr>
          <w:p w14:paraId="2532767D">
            <w:pPr>
              <w:tabs>
                <w:tab w:val="left" w:pos="5580"/>
              </w:tabs>
              <w:jc w:val="center"/>
              <w:rPr>
                <w:rFonts w:ascii="宋体" w:hAnsi="宋体" w:eastAsia="宋体" w:cs="宋体"/>
                <w:color w:val="auto"/>
                <w:sz w:val="24"/>
                <w:szCs w:val="24"/>
                <w:highlight w:val="none"/>
                <w:lang w:eastAsia="zh-CN"/>
              </w:rPr>
            </w:pPr>
          </w:p>
        </w:tc>
        <w:tc>
          <w:tcPr>
            <w:tcW w:w="1019" w:type="pct"/>
            <w:tcBorders>
              <w:top w:val="single" w:color="auto" w:sz="4" w:space="0"/>
              <w:left w:val="single" w:color="auto" w:sz="4" w:space="0"/>
              <w:bottom w:val="single" w:color="auto" w:sz="4" w:space="0"/>
              <w:right w:val="single" w:color="auto" w:sz="4" w:space="0"/>
            </w:tcBorders>
            <w:vAlign w:val="center"/>
          </w:tcPr>
          <w:p w14:paraId="3CF3C06C">
            <w:pPr>
              <w:tabs>
                <w:tab w:val="left" w:pos="5580"/>
              </w:tabs>
              <w:jc w:val="center"/>
              <w:rPr>
                <w:rFonts w:ascii="宋体" w:hAnsi="宋体" w:cs="宋体"/>
                <w:color w:val="auto"/>
                <w:sz w:val="24"/>
                <w:szCs w:val="24"/>
                <w:highlight w:val="none"/>
              </w:rPr>
            </w:pPr>
          </w:p>
        </w:tc>
        <w:tc>
          <w:tcPr>
            <w:tcW w:w="649" w:type="pct"/>
            <w:tcBorders>
              <w:top w:val="single" w:color="auto" w:sz="4" w:space="0"/>
              <w:left w:val="single" w:color="auto" w:sz="4" w:space="0"/>
              <w:bottom w:val="single" w:color="auto" w:sz="4" w:space="0"/>
              <w:right w:val="single" w:color="auto" w:sz="4" w:space="0"/>
            </w:tcBorders>
            <w:vAlign w:val="center"/>
          </w:tcPr>
          <w:p w14:paraId="62E89A05">
            <w:pPr>
              <w:tabs>
                <w:tab w:val="left" w:pos="5580"/>
              </w:tabs>
              <w:jc w:val="center"/>
              <w:rPr>
                <w:rFonts w:ascii="宋体" w:hAnsi="宋体" w:cs="宋体"/>
                <w:color w:val="auto"/>
                <w:sz w:val="24"/>
                <w:szCs w:val="24"/>
                <w:highlight w:val="none"/>
              </w:rPr>
            </w:pPr>
          </w:p>
        </w:tc>
        <w:tc>
          <w:tcPr>
            <w:tcW w:w="434" w:type="pct"/>
            <w:tcBorders>
              <w:top w:val="single" w:color="auto" w:sz="4" w:space="0"/>
              <w:left w:val="single" w:color="auto" w:sz="4" w:space="0"/>
              <w:bottom w:val="single" w:color="auto" w:sz="4" w:space="0"/>
              <w:right w:val="single" w:color="auto" w:sz="4" w:space="0"/>
            </w:tcBorders>
            <w:vAlign w:val="center"/>
          </w:tcPr>
          <w:p w14:paraId="017112BE">
            <w:pPr>
              <w:tabs>
                <w:tab w:val="left" w:pos="5580"/>
              </w:tabs>
              <w:jc w:val="center"/>
              <w:rPr>
                <w:rFonts w:ascii="宋体" w:hAnsi="宋体" w:cs="宋体"/>
                <w:color w:val="auto"/>
                <w:sz w:val="24"/>
                <w:szCs w:val="24"/>
                <w:highlight w:val="none"/>
              </w:rPr>
            </w:pPr>
          </w:p>
        </w:tc>
      </w:tr>
    </w:tbl>
    <w:p w14:paraId="43DB1A1C">
      <w:pPr>
        <w:autoSpaceDE w:val="0"/>
        <w:autoSpaceDN w:val="0"/>
        <w:adjustRightInd w:val="0"/>
        <w:jc w:val="left"/>
        <w:rPr>
          <w:rFonts w:hint="eastAsia" w:ascii="宋体" w:hAnsi="宋体" w:eastAsia="宋体" w:cs="宋体"/>
          <w:color w:val="auto"/>
          <w:kern w:val="0"/>
          <w:sz w:val="24"/>
          <w:highlight w:val="none"/>
        </w:rPr>
      </w:pPr>
    </w:p>
    <w:p w14:paraId="6B7C2739">
      <w:pPr>
        <w:tabs>
          <w:tab w:val="left" w:pos="5580"/>
        </w:tabs>
        <w:ind w:firstLine="960" w:firstLineChars="400"/>
        <w:rPr>
          <w:rFonts w:hint="eastAsia" w:ascii="宋体" w:hAnsi="宋体" w:eastAsia="宋体" w:cs="宋体"/>
          <w:color w:val="auto"/>
          <w:kern w:val="0"/>
          <w:sz w:val="24"/>
          <w:highlight w:val="none"/>
        </w:rPr>
      </w:pPr>
    </w:p>
    <w:p w14:paraId="050889FA">
      <w:pPr>
        <w:tabs>
          <w:tab w:val="left" w:pos="1800"/>
          <w:tab w:val="left" w:pos="5580"/>
        </w:tabs>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注：1.此表中，每包的投标报价应和《投标分项报价表》中的总价相一致。</w:t>
      </w:r>
    </w:p>
    <w:p w14:paraId="3D33023F">
      <w:pPr>
        <w:tabs>
          <w:tab w:val="left" w:pos="1800"/>
          <w:tab w:val="left" w:pos="5580"/>
        </w:tabs>
        <w:ind w:firstLine="480" w:firstLineChars="200"/>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lang w:val="zh-CN" w:eastAsia="zh-CN"/>
        </w:rPr>
        <w:t>本表必须按包分别填写。</w:t>
      </w:r>
    </w:p>
    <w:p w14:paraId="0B42BED9">
      <w:pPr>
        <w:tabs>
          <w:tab w:val="left" w:pos="5580"/>
        </w:tabs>
        <w:ind w:firstLine="480" w:firstLineChars="200"/>
        <w:rPr>
          <w:rFonts w:hint="eastAsia" w:ascii="宋体" w:hAnsi="宋体" w:eastAsia="宋体" w:cs="宋体"/>
          <w:color w:val="auto"/>
          <w:kern w:val="0"/>
          <w:sz w:val="24"/>
          <w:szCs w:val="20"/>
          <w:highlight w:val="none"/>
        </w:rPr>
      </w:pPr>
    </w:p>
    <w:p w14:paraId="1984B43B">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p>
    <w:p w14:paraId="12394EFA">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119FB989">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投标人名称（加盖公章）</w:t>
      </w:r>
      <w:r>
        <w:rPr>
          <w:rFonts w:hint="eastAsia" w:ascii="宋体" w:hAnsi="宋体" w:eastAsia="宋体" w:cs="宋体"/>
          <w:color w:val="auto"/>
          <w:sz w:val="24"/>
          <w:highlight w:val="none"/>
          <w:lang w:val="zh-CN"/>
        </w:rPr>
        <w:t>：____________</w:t>
      </w:r>
    </w:p>
    <w:p w14:paraId="09A4AC37">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19C2B362">
      <w:pPr>
        <w:widowControl/>
        <w:jc w:val="left"/>
        <w:rPr>
          <w:rFonts w:hint="eastAsia" w:ascii="宋体" w:hAnsi="宋体" w:eastAsia="宋体" w:cs="宋体"/>
          <w:color w:val="auto"/>
          <w:sz w:val="24"/>
          <w:szCs w:val="20"/>
          <w:highlight w:val="none"/>
        </w:rPr>
        <w:sectPr>
          <w:headerReference r:id="rId19" w:type="first"/>
          <w:footerReference r:id="rId21" w:type="first"/>
          <w:headerReference r:id="rId18" w:type="even"/>
          <w:footerReference r:id="rId20" w:type="even"/>
          <w:pgSz w:w="11907" w:h="16840"/>
          <w:pgMar w:top="1440" w:right="1800" w:bottom="1440" w:left="1800" w:header="851" w:footer="851" w:gutter="0"/>
          <w:pgNumType w:fmt="decimal"/>
          <w:cols w:space="720" w:num="1"/>
          <w:docGrid w:linePitch="462" w:charSpace="0"/>
        </w:sectPr>
      </w:pPr>
      <w:bookmarkStart w:id="884" w:name="_Toc142311060"/>
      <w:bookmarkStart w:id="885" w:name="_Toc226309803"/>
      <w:bookmarkStart w:id="886" w:name="_Toc226337255"/>
      <w:bookmarkStart w:id="887" w:name="_Toc226965749"/>
      <w:bookmarkStart w:id="888" w:name="_Toc150480796"/>
      <w:bookmarkStart w:id="889" w:name="_Toc265228397"/>
      <w:bookmarkStart w:id="890" w:name="_Toc305158901"/>
      <w:bookmarkStart w:id="891" w:name="_Toc195842924"/>
      <w:bookmarkStart w:id="892" w:name="_Toc127151558"/>
      <w:bookmarkStart w:id="893" w:name="_Toc305158827"/>
      <w:bookmarkStart w:id="894" w:name="_Toc264969249"/>
      <w:bookmarkStart w:id="895" w:name="_Toc226965832"/>
      <w:bookmarkStart w:id="896" w:name="_Toc150774763"/>
    </w:p>
    <w:bookmarkEnd w:id="884"/>
    <w:bookmarkEnd w:id="885"/>
    <w:bookmarkEnd w:id="886"/>
    <w:bookmarkEnd w:id="887"/>
    <w:bookmarkEnd w:id="888"/>
    <w:bookmarkEnd w:id="889"/>
    <w:bookmarkEnd w:id="890"/>
    <w:bookmarkEnd w:id="891"/>
    <w:bookmarkEnd w:id="892"/>
    <w:bookmarkEnd w:id="893"/>
    <w:bookmarkEnd w:id="894"/>
    <w:bookmarkEnd w:id="895"/>
    <w:bookmarkEnd w:id="896"/>
    <w:p w14:paraId="132002EA">
      <w:pPr>
        <w:spacing w:line="360" w:lineRule="auto"/>
        <w:outlineLvl w:val="2"/>
        <w:rPr>
          <w:rFonts w:hint="eastAsia" w:ascii="宋体" w:hAnsi="宋体" w:eastAsia="宋体" w:cs="宋体"/>
          <w:color w:val="auto"/>
          <w:sz w:val="24"/>
          <w:szCs w:val="20"/>
          <w:highlight w:val="none"/>
          <w:lang w:val="en-US" w:eastAsia="zh-CN"/>
        </w:rPr>
      </w:pPr>
      <w:bookmarkStart w:id="897" w:name="_Toc226965835"/>
      <w:bookmarkStart w:id="898" w:name="_Toc142311062"/>
      <w:bookmarkStart w:id="899" w:name="_Toc305158830"/>
      <w:bookmarkStart w:id="900" w:name="_Toc264969252"/>
      <w:bookmarkStart w:id="901" w:name="_Toc226965752"/>
      <w:bookmarkStart w:id="902" w:name="_Toc226309806"/>
      <w:bookmarkStart w:id="903" w:name="_Toc226337258"/>
      <w:bookmarkStart w:id="904" w:name="_Toc150480798"/>
      <w:bookmarkStart w:id="905" w:name="_Toc265228400"/>
      <w:bookmarkStart w:id="906" w:name="_Toc127151562"/>
      <w:bookmarkStart w:id="907" w:name="_Toc305158904"/>
      <w:bookmarkStart w:id="908" w:name="_Toc195842927"/>
      <w:bookmarkStart w:id="909" w:name="_Toc150774765"/>
      <w:bookmarkStart w:id="910" w:name="_Toc265228399"/>
      <w:bookmarkStart w:id="911" w:name="_Toc305158903"/>
      <w:bookmarkStart w:id="912" w:name="_Toc226965751"/>
      <w:bookmarkStart w:id="913" w:name="_Toc142311061"/>
      <w:bookmarkStart w:id="914" w:name="_Toc226965834"/>
      <w:bookmarkStart w:id="915" w:name="_Toc150480797"/>
      <w:bookmarkStart w:id="916" w:name="_Toc226309805"/>
      <w:bookmarkStart w:id="917" w:name="_Toc150774764"/>
      <w:bookmarkStart w:id="918" w:name="_Toc226337257"/>
      <w:bookmarkStart w:id="919" w:name="_Toc264969251"/>
      <w:bookmarkStart w:id="920" w:name="_Toc195842926"/>
      <w:bookmarkStart w:id="921" w:name="_Toc127151561"/>
      <w:bookmarkStart w:id="922" w:name="_Toc305158829"/>
      <w:r>
        <w:rPr>
          <w:rFonts w:hint="eastAsia" w:ascii="宋体" w:hAnsi="宋体" w:eastAsia="宋体" w:cs="宋体"/>
          <w:color w:val="auto"/>
          <w:sz w:val="24"/>
          <w:szCs w:val="20"/>
          <w:highlight w:val="none"/>
          <w:lang w:val="en-US" w:eastAsia="zh-CN"/>
        </w:rPr>
        <w:t>4  分项报价表（实质性格式）</w:t>
      </w:r>
    </w:p>
    <w:p w14:paraId="0A82E560">
      <w:pPr>
        <w:spacing w:line="24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分项报价表</w:t>
      </w:r>
    </w:p>
    <w:p w14:paraId="66296A77">
      <w:pPr>
        <w:adjustRightInd w:val="0"/>
        <w:snapToGrid w:val="0"/>
        <w:spacing w:before="240" w:beforeLines="100" w:after="240" w:afterLines="100"/>
        <w:jc w:val="left"/>
        <w:rPr>
          <w:rFonts w:hint="eastAsia" w:ascii="宋体" w:hAnsi="宋体" w:eastAsia="宋体" w:cs="宋体"/>
          <w:b/>
          <w:i/>
          <w:color w:val="auto"/>
          <w:sz w:val="24"/>
          <w:highlight w:val="none"/>
        </w:rPr>
      </w:pPr>
    </w:p>
    <w:tbl>
      <w:tblPr>
        <w:tblStyle w:val="45"/>
        <w:tblpPr w:leftFromText="180" w:rightFromText="180" w:vertAnchor="page" w:horzAnchor="page" w:tblpX="1577" w:tblpY="4534"/>
        <w:tblW w:w="12743" w:type="dxa"/>
        <w:tblInd w:w="0" w:type="dxa"/>
        <w:tblLayout w:type="autofit"/>
        <w:tblCellMar>
          <w:top w:w="0" w:type="dxa"/>
          <w:left w:w="108" w:type="dxa"/>
          <w:bottom w:w="0" w:type="dxa"/>
          <w:right w:w="108" w:type="dxa"/>
        </w:tblCellMar>
      </w:tblPr>
      <w:tblGrid>
        <w:gridCol w:w="540"/>
        <w:gridCol w:w="1834"/>
        <w:gridCol w:w="1833"/>
        <w:gridCol w:w="1819"/>
        <w:gridCol w:w="1761"/>
        <w:gridCol w:w="1833"/>
        <w:gridCol w:w="1354"/>
        <w:gridCol w:w="1769"/>
      </w:tblGrid>
      <w:tr w14:paraId="58EB3122">
        <w:tblPrEx>
          <w:tblCellMar>
            <w:top w:w="0" w:type="dxa"/>
            <w:left w:w="108" w:type="dxa"/>
            <w:bottom w:w="0" w:type="dxa"/>
            <w:right w:w="108" w:type="dxa"/>
          </w:tblCellMar>
        </w:tblPrEx>
        <w:trPr>
          <w:trHeight w:val="942" w:hRule="atLeast"/>
        </w:trPr>
        <w:tc>
          <w:tcPr>
            <w:tcW w:w="540"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9C725C9">
            <w:pPr>
              <w:widowControl/>
              <w:jc w:val="center"/>
              <w:rPr>
                <w:rFonts w:ascii="仿宋" w:hAnsi="仿宋" w:eastAsia="仿宋" w:cs="宋体"/>
                <w:b/>
                <w:bCs/>
                <w:color w:val="auto"/>
                <w:kern w:val="0"/>
                <w:sz w:val="28"/>
                <w:szCs w:val="28"/>
                <w:highlight w:val="none"/>
              </w:rPr>
            </w:pPr>
            <w:r>
              <w:rPr>
                <w:rFonts w:hint="eastAsia" w:ascii="仿宋" w:hAnsi="仿宋" w:eastAsia="仿宋" w:cs="宋体"/>
                <w:b/>
                <w:bCs/>
                <w:color w:val="auto"/>
                <w:kern w:val="0"/>
                <w:sz w:val="28"/>
                <w:szCs w:val="28"/>
                <w:highlight w:val="none"/>
              </w:rPr>
              <w:t>序号</w:t>
            </w:r>
          </w:p>
        </w:tc>
        <w:tc>
          <w:tcPr>
            <w:tcW w:w="7247" w:type="dxa"/>
            <w:gridSpan w:val="4"/>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C6776D5">
            <w:pPr>
              <w:widowControl/>
              <w:jc w:val="center"/>
              <w:rPr>
                <w:rFonts w:ascii="仿宋" w:hAnsi="仿宋" w:eastAsia="仿宋" w:cs="宋体"/>
                <w:b/>
                <w:bCs/>
                <w:color w:val="auto"/>
                <w:kern w:val="0"/>
                <w:sz w:val="28"/>
                <w:szCs w:val="28"/>
                <w:highlight w:val="none"/>
              </w:rPr>
            </w:pPr>
            <w:r>
              <w:rPr>
                <w:rFonts w:hint="eastAsia" w:ascii="仿宋" w:hAnsi="仿宋" w:eastAsia="仿宋" w:cs="宋体"/>
                <w:b/>
                <w:bCs/>
                <w:color w:val="auto"/>
                <w:kern w:val="0"/>
                <w:sz w:val="28"/>
                <w:szCs w:val="28"/>
                <w:highlight w:val="none"/>
              </w:rPr>
              <w:t>供暖面积（㎡）</w:t>
            </w:r>
          </w:p>
        </w:tc>
        <w:tc>
          <w:tcPr>
            <w:tcW w:w="1833"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78CAB0E">
            <w:pPr>
              <w:widowControl/>
              <w:jc w:val="center"/>
              <w:rPr>
                <w:rFonts w:ascii="仿宋" w:hAnsi="仿宋" w:eastAsia="仿宋" w:cs="宋体"/>
                <w:b/>
                <w:bCs/>
                <w:color w:val="auto"/>
                <w:kern w:val="0"/>
                <w:sz w:val="28"/>
                <w:szCs w:val="28"/>
                <w:highlight w:val="none"/>
              </w:rPr>
            </w:pPr>
            <w:r>
              <w:rPr>
                <w:rFonts w:hint="eastAsia" w:ascii="仿宋" w:hAnsi="仿宋" w:eastAsia="仿宋" w:cs="宋体"/>
                <w:b/>
                <w:bCs/>
                <w:color w:val="auto"/>
                <w:kern w:val="0"/>
                <w:sz w:val="28"/>
                <w:szCs w:val="28"/>
                <w:highlight w:val="none"/>
              </w:rPr>
              <w:t>面积合计</w:t>
            </w:r>
          </w:p>
        </w:tc>
        <w:tc>
          <w:tcPr>
            <w:tcW w:w="1354" w:type="dxa"/>
            <w:vMerge w:val="restart"/>
            <w:tcBorders>
              <w:top w:val="single" w:color="auto" w:sz="4" w:space="0"/>
              <w:left w:val="single" w:color="auto" w:sz="4" w:space="0"/>
              <w:bottom w:val="single" w:color="auto" w:sz="4" w:space="0"/>
              <w:right w:val="single" w:color="auto" w:sz="4" w:space="0"/>
            </w:tcBorders>
            <w:noWrap/>
            <w:vAlign w:val="center"/>
          </w:tcPr>
          <w:p w14:paraId="0A8E89D8">
            <w:pPr>
              <w:widowControl/>
              <w:jc w:val="center"/>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单价（元）</w:t>
            </w:r>
          </w:p>
        </w:tc>
        <w:tc>
          <w:tcPr>
            <w:tcW w:w="1769" w:type="dxa"/>
            <w:vMerge w:val="restart"/>
            <w:tcBorders>
              <w:top w:val="single" w:color="auto" w:sz="4" w:space="0"/>
              <w:left w:val="single" w:color="auto" w:sz="4" w:space="0"/>
              <w:bottom w:val="single" w:color="auto" w:sz="4" w:space="0"/>
              <w:right w:val="single" w:color="auto" w:sz="4" w:space="0"/>
            </w:tcBorders>
            <w:noWrap/>
            <w:vAlign w:val="center"/>
          </w:tcPr>
          <w:p w14:paraId="35A04397">
            <w:pPr>
              <w:widowControl/>
              <w:jc w:val="center"/>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合计（元）</w:t>
            </w:r>
          </w:p>
        </w:tc>
      </w:tr>
      <w:tr w14:paraId="36CA5468">
        <w:tblPrEx>
          <w:tblCellMar>
            <w:top w:w="0" w:type="dxa"/>
            <w:left w:w="108" w:type="dxa"/>
            <w:bottom w:w="0" w:type="dxa"/>
            <w:right w:w="108" w:type="dxa"/>
          </w:tblCellMar>
        </w:tblPrEx>
        <w:trPr>
          <w:trHeight w:val="658" w:hRule="atLeast"/>
        </w:trPr>
        <w:tc>
          <w:tcPr>
            <w:tcW w:w="540"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58940658">
            <w:pPr>
              <w:widowControl/>
              <w:jc w:val="left"/>
              <w:rPr>
                <w:rFonts w:ascii="仿宋" w:hAnsi="仿宋" w:eastAsia="仿宋" w:cs="宋体"/>
                <w:b/>
                <w:bCs/>
                <w:color w:val="auto"/>
                <w:kern w:val="0"/>
                <w:sz w:val="28"/>
                <w:szCs w:val="28"/>
                <w:highlight w:val="none"/>
              </w:rPr>
            </w:pPr>
          </w:p>
        </w:tc>
        <w:tc>
          <w:tcPr>
            <w:tcW w:w="183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2A4FE84">
            <w:pPr>
              <w:widowControl/>
              <w:jc w:val="center"/>
              <w:rPr>
                <w:rFonts w:ascii="仿宋" w:hAnsi="仿宋" w:eastAsia="仿宋" w:cs="宋体"/>
                <w:b/>
                <w:bCs/>
                <w:color w:val="auto"/>
                <w:kern w:val="0"/>
                <w:sz w:val="28"/>
                <w:szCs w:val="28"/>
                <w:highlight w:val="none"/>
              </w:rPr>
            </w:pPr>
            <w:r>
              <w:rPr>
                <w:rFonts w:hint="eastAsia" w:ascii="仿宋" w:hAnsi="仿宋" w:eastAsia="仿宋" w:cs="宋体"/>
                <w:b/>
                <w:bCs/>
                <w:color w:val="auto"/>
                <w:kern w:val="0"/>
                <w:sz w:val="28"/>
                <w:szCs w:val="28"/>
                <w:highlight w:val="none"/>
              </w:rPr>
              <w:t>1#教学楼</w:t>
            </w:r>
          </w:p>
        </w:tc>
        <w:tc>
          <w:tcPr>
            <w:tcW w:w="183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85FE292">
            <w:pPr>
              <w:widowControl/>
              <w:jc w:val="center"/>
              <w:rPr>
                <w:rFonts w:ascii="仿宋" w:hAnsi="仿宋" w:eastAsia="仿宋" w:cs="宋体"/>
                <w:b/>
                <w:bCs/>
                <w:color w:val="auto"/>
                <w:kern w:val="0"/>
                <w:sz w:val="28"/>
                <w:szCs w:val="28"/>
                <w:highlight w:val="none"/>
              </w:rPr>
            </w:pPr>
            <w:r>
              <w:rPr>
                <w:rFonts w:hint="eastAsia" w:ascii="仿宋" w:hAnsi="仿宋" w:eastAsia="仿宋" w:cs="宋体"/>
                <w:b/>
                <w:bCs/>
                <w:color w:val="auto"/>
                <w:kern w:val="0"/>
                <w:sz w:val="28"/>
                <w:szCs w:val="28"/>
                <w:highlight w:val="none"/>
              </w:rPr>
              <w:t>2#宿舍楼</w:t>
            </w:r>
          </w:p>
        </w:tc>
        <w:tc>
          <w:tcPr>
            <w:tcW w:w="181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3972979">
            <w:pPr>
              <w:widowControl/>
              <w:jc w:val="center"/>
              <w:rPr>
                <w:rFonts w:ascii="仿宋" w:hAnsi="仿宋" w:eastAsia="仿宋" w:cs="宋体"/>
                <w:b/>
                <w:bCs/>
                <w:color w:val="auto"/>
                <w:kern w:val="0"/>
                <w:sz w:val="28"/>
                <w:szCs w:val="28"/>
                <w:highlight w:val="none"/>
              </w:rPr>
            </w:pPr>
            <w:r>
              <w:rPr>
                <w:rFonts w:hint="eastAsia" w:ascii="仿宋" w:hAnsi="仿宋" w:eastAsia="仿宋" w:cs="宋体"/>
                <w:b/>
                <w:bCs/>
                <w:color w:val="auto"/>
                <w:kern w:val="0"/>
                <w:sz w:val="28"/>
                <w:szCs w:val="28"/>
                <w:highlight w:val="none"/>
              </w:rPr>
              <w:t>3#食堂风雨操场</w:t>
            </w:r>
          </w:p>
        </w:tc>
        <w:tc>
          <w:tcPr>
            <w:tcW w:w="176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7861C49">
            <w:pPr>
              <w:widowControl/>
              <w:jc w:val="center"/>
              <w:rPr>
                <w:rFonts w:ascii="仿宋" w:hAnsi="仿宋" w:eastAsia="仿宋" w:cs="宋体"/>
                <w:b/>
                <w:bCs/>
                <w:color w:val="auto"/>
                <w:kern w:val="0"/>
                <w:sz w:val="28"/>
                <w:szCs w:val="28"/>
                <w:highlight w:val="none"/>
              </w:rPr>
            </w:pPr>
            <w:r>
              <w:rPr>
                <w:rFonts w:hint="eastAsia" w:ascii="仿宋" w:hAnsi="仿宋" w:eastAsia="仿宋" w:cs="宋体"/>
                <w:b/>
                <w:bCs/>
                <w:color w:val="auto"/>
                <w:kern w:val="0"/>
                <w:sz w:val="28"/>
                <w:szCs w:val="28"/>
                <w:highlight w:val="none"/>
              </w:rPr>
              <w:t>4#变电站</w:t>
            </w:r>
          </w:p>
        </w:tc>
        <w:tc>
          <w:tcPr>
            <w:tcW w:w="1833" w:type="dxa"/>
            <w:vMerge w:val="continue"/>
            <w:tcBorders>
              <w:top w:val="single" w:color="auto" w:sz="4" w:space="0"/>
              <w:left w:val="single" w:color="auto" w:sz="4" w:space="0"/>
              <w:bottom w:val="single" w:color="auto" w:sz="4" w:space="0"/>
              <w:right w:val="single" w:color="auto" w:sz="4" w:space="0"/>
            </w:tcBorders>
            <w:noWrap w:val="0"/>
            <w:vAlign w:val="center"/>
          </w:tcPr>
          <w:p w14:paraId="003537BA">
            <w:pPr>
              <w:widowControl/>
              <w:jc w:val="left"/>
              <w:rPr>
                <w:rFonts w:ascii="仿宋" w:hAnsi="仿宋" w:eastAsia="仿宋" w:cs="宋体"/>
                <w:b/>
                <w:bCs/>
                <w:color w:val="auto"/>
                <w:kern w:val="0"/>
                <w:sz w:val="28"/>
                <w:szCs w:val="28"/>
                <w:highlight w:val="none"/>
              </w:rPr>
            </w:pPr>
          </w:p>
        </w:tc>
        <w:tc>
          <w:tcPr>
            <w:tcW w:w="1354" w:type="dxa"/>
            <w:vMerge w:val="continue"/>
            <w:tcBorders>
              <w:top w:val="single" w:color="auto" w:sz="4" w:space="0"/>
              <w:left w:val="single" w:color="auto" w:sz="4" w:space="0"/>
              <w:bottom w:val="single" w:color="auto" w:sz="4" w:space="0"/>
              <w:right w:val="single" w:color="auto" w:sz="4" w:space="0"/>
            </w:tcBorders>
            <w:noWrap w:val="0"/>
            <w:vAlign w:val="center"/>
          </w:tcPr>
          <w:p w14:paraId="7B23EEAA">
            <w:pPr>
              <w:widowControl/>
              <w:jc w:val="left"/>
              <w:rPr>
                <w:rFonts w:ascii="宋体" w:hAnsi="宋体" w:cs="宋体"/>
                <w:b/>
                <w:bCs/>
                <w:color w:val="auto"/>
                <w:kern w:val="0"/>
                <w:sz w:val="28"/>
                <w:szCs w:val="28"/>
                <w:highlight w:val="none"/>
              </w:rPr>
            </w:pPr>
          </w:p>
        </w:tc>
        <w:tc>
          <w:tcPr>
            <w:tcW w:w="1769" w:type="dxa"/>
            <w:vMerge w:val="continue"/>
            <w:tcBorders>
              <w:top w:val="single" w:color="auto" w:sz="4" w:space="0"/>
              <w:left w:val="single" w:color="auto" w:sz="4" w:space="0"/>
              <w:bottom w:val="single" w:color="auto" w:sz="4" w:space="0"/>
              <w:right w:val="single" w:color="auto" w:sz="4" w:space="0"/>
            </w:tcBorders>
            <w:noWrap w:val="0"/>
            <w:vAlign w:val="center"/>
          </w:tcPr>
          <w:p w14:paraId="0AE9F0B7">
            <w:pPr>
              <w:widowControl/>
              <w:jc w:val="left"/>
              <w:rPr>
                <w:rFonts w:ascii="宋体" w:hAnsi="宋体" w:cs="宋体"/>
                <w:b/>
                <w:bCs/>
                <w:color w:val="auto"/>
                <w:kern w:val="0"/>
                <w:sz w:val="28"/>
                <w:szCs w:val="28"/>
                <w:highlight w:val="none"/>
              </w:rPr>
            </w:pPr>
          </w:p>
        </w:tc>
      </w:tr>
      <w:tr w14:paraId="2ED741BB">
        <w:tblPrEx>
          <w:tblCellMar>
            <w:top w:w="0" w:type="dxa"/>
            <w:left w:w="108" w:type="dxa"/>
            <w:bottom w:w="0" w:type="dxa"/>
            <w:right w:w="108" w:type="dxa"/>
          </w:tblCellMar>
        </w:tblPrEx>
        <w:trPr>
          <w:trHeight w:val="580" w:hRule="atLeast"/>
        </w:trPr>
        <w:tc>
          <w:tcPr>
            <w:tcW w:w="54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EE43562">
            <w:pPr>
              <w:widowControl/>
              <w:jc w:val="center"/>
              <w:rPr>
                <w:rFonts w:ascii="仿宋" w:hAnsi="仿宋" w:eastAsia="仿宋" w:cs="宋体"/>
                <w:b/>
                <w:bCs/>
                <w:color w:val="auto"/>
                <w:kern w:val="0"/>
                <w:sz w:val="28"/>
                <w:szCs w:val="28"/>
                <w:highlight w:val="none"/>
              </w:rPr>
            </w:pPr>
            <w:r>
              <w:rPr>
                <w:rFonts w:hint="eastAsia" w:ascii="仿宋" w:hAnsi="仿宋" w:eastAsia="仿宋" w:cs="宋体"/>
                <w:b/>
                <w:bCs/>
                <w:color w:val="auto"/>
                <w:kern w:val="0"/>
                <w:sz w:val="28"/>
                <w:szCs w:val="28"/>
                <w:highlight w:val="none"/>
              </w:rPr>
              <w:t>1</w:t>
            </w:r>
          </w:p>
        </w:tc>
        <w:tc>
          <w:tcPr>
            <w:tcW w:w="183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8CD3E40">
            <w:pPr>
              <w:widowControl/>
              <w:jc w:val="center"/>
              <w:rPr>
                <w:rFonts w:ascii="仿宋" w:hAnsi="仿宋" w:eastAsia="仿宋" w:cs="宋体"/>
                <w:b/>
                <w:bCs/>
                <w:color w:val="auto"/>
                <w:kern w:val="0"/>
                <w:sz w:val="28"/>
                <w:szCs w:val="28"/>
                <w:highlight w:val="none"/>
              </w:rPr>
            </w:pPr>
            <w:r>
              <w:rPr>
                <w:rFonts w:hint="eastAsia" w:ascii="仿宋" w:hAnsi="仿宋" w:eastAsia="仿宋" w:cs="宋体"/>
                <w:b/>
                <w:bCs/>
                <w:color w:val="auto"/>
                <w:kern w:val="0"/>
                <w:sz w:val="28"/>
                <w:szCs w:val="28"/>
                <w:highlight w:val="none"/>
              </w:rPr>
              <w:t>27149.21</w:t>
            </w:r>
          </w:p>
        </w:tc>
        <w:tc>
          <w:tcPr>
            <w:tcW w:w="183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26E8BE1">
            <w:pPr>
              <w:widowControl/>
              <w:jc w:val="center"/>
              <w:rPr>
                <w:rFonts w:ascii="仿宋" w:hAnsi="仿宋" w:eastAsia="仿宋" w:cs="宋体"/>
                <w:b/>
                <w:bCs/>
                <w:color w:val="auto"/>
                <w:kern w:val="0"/>
                <w:sz w:val="28"/>
                <w:szCs w:val="28"/>
                <w:highlight w:val="none"/>
              </w:rPr>
            </w:pPr>
            <w:r>
              <w:rPr>
                <w:rFonts w:hint="eastAsia" w:ascii="仿宋" w:hAnsi="仿宋" w:eastAsia="仿宋" w:cs="宋体"/>
                <w:b/>
                <w:bCs/>
                <w:color w:val="auto"/>
                <w:kern w:val="0"/>
                <w:sz w:val="28"/>
                <w:szCs w:val="28"/>
                <w:highlight w:val="none"/>
              </w:rPr>
              <w:t>11076.39</w:t>
            </w:r>
          </w:p>
        </w:tc>
        <w:tc>
          <w:tcPr>
            <w:tcW w:w="181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1C38425">
            <w:pPr>
              <w:widowControl/>
              <w:jc w:val="center"/>
              <w:rPr>
                <w:rFonts w:ascii="仿宋" w:hAnsi="仿宋" w:eastAsia="仿宋" w:cs="宋体"/>
                <w:b/>
                <w:bCs/>
                <w:color w:val="auto"/>
                <w:kern w:val="0"/>
                <w:sz w:val="28"/>
                <w:szCs w:val="28"/>
                <w:highlight w:val="none"/>
              </w:rPr>
            </w:pPr>
            <w:r>
              <w:rPr>
                <w:rFonts w:hint="eastAsia" w:ascii="仿宋" w:hAnsi="仿宋" w:eastAsia="仿宋" w:cs="宋体"/>
                <w:b/>
                <w:bCs/>
                <w:color w:val="auto"/>
                <w:kern w:val="0"/>
                <w:sz w:val="28"/>
                <w:szCs w:val="28"/>
                <w:highlight w:val="none"/>
              </w:rPr>
              <w:t>8363.22</w:t>
            </w:r>
          </w:p>
        </w:tc>
        <w:tc>
          <w:tcPr>
            <w:tcW w:w="176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B53A069">
            <w:pPr>
              <w:widowControl/>
              <w:jc w:val="center"/>
              <w:rPr>
                <w:rFonts w:ascii="仿宋" w:hAnsi="仿宋" w:eastAsia="仿宋" w:cs="宋体"/>
                <w:b/>
                <w:bCs/>
                <w:color w:val="auto"/>
                <w:kern w:val="0"/>
                <w:sz w:val="28"/>
                <w:szCs w:val="28"/>
                <w:highlight w:val="none"/>
              </w:rPr>
            </w:pPr>
            <w:r>
              <w:rPr>
                <w:rFonts w:hint="eastAsia" w:ascii="仿宋" w:hAnsi="仿宋" w:eastAsia="仿宋" w:cs="宋体"/>
                <w:b/>
                <w:bCs/>
                <w:color w:val="auto"/>
                <w:kern w:val="0"/>
                <w:sz w:val="28"/>
                <w:szCs w:val="28"/>
                <w:highlight w:val="none"/>
              </w:rPr>
              <w:t>280</w:t>
            </w:r>
          </w:p>
        </w:tc>
        <w:tc>
          <w:tcPr>
            <w:tcW w:w="183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979CEC2">
            <w:pPr>
              <w:widowControl/>
              <w:jc w:val="center"/>
              <w:rPr>
                <w:rFonts w:ascii="仿宋" w:hAnsi="仿宋" w:eastAsia="仿宋" w:cs="宋体"/>
                <w:b/>
                <w:bCs/>
                <w:color w:val="auto"/>
                <w:kern w:val="0"/>
                <w:sz w:val="28"/>
                <w:szCs w:val="28"/>
                <w:highlight w:val="none"/>
              </w:rPr>
            </w:pPr>
            <w:r>
              <w:rPr>
                <w:rFonts w:hint="eastAsia" w:ascii="仿宋" w:hAnsi="仿宋" w:eastAsia="仿宋" w:cs="宋体"/>
                <w:b/>
                <w:bCs/>
                <w:color w:val="auto"/>
                <w:kern w:val="0"/>
                <w:sz w:val="28"/>
                <w:szCs w:val="28"/>
                <w:highlight w:val="none"/>
              </w:rPr>
              <w:t>46868.82</w:t>
            </w:r>
          </w:p>
        </w:tc>
        <w:tc>
          <w:tcPr>
            <w:tcW w:w="1354" w:type="dxa"/>
            <w:tcBorders>
              <w:top w:val="single" w:color="auto" w:sz="4" w:space="0"/>
              <w:left w:val="single" w:color="auto" w:sz="4" w:space="0"/>
              <w:bottom w:val="single" w:color="auto" w:sz="4" w:space="0"/>
              <w:right w:val="single" w:color="auto" w:sz="4" w:space="0"/>
            </w:tcBorders>
            <w:noWrap/>
            <w:vAlign w:val="center"/>
          </w:tcPr>
          <w:p w14:paraId="0A6455EA">
            <w:pPr>
              <w:widowControl/>
              <w:jc w:val="center"/>
              <w:rPr>
                <w:rFonts w:hint="eastAsia" w:ascii="宋体" w:hAnsi="宋体" w:eastAsia="宋体" w:cs="宋体"/>
                <w:b/>
                <w:bCs/>
                <w:color w:val="auto"/>
                <w:kern w:val="0"/>
                <w:sz w:val="28"/>
                <w:szCs w:val="28"/>
                <w:highlight w:val="none"/>
                <w:lang w:eastAsia="zh-CN"/>
              </w:rPr>
            </w:pPr>
          </w:p>
        </w:tc>
        <w:tc>
          <w:tcPr>
            <w:tcW w:w="1769" w:type="dxa"/>
            <w:tcBorders>
              <w:top w:val="single" w:color="auto" w:sz="4" w:space="0"/>
              <w:left w:val="single" w:color="auto" w:sz="4" w:space="0"/>
              <w:bottom w:val="single" w:color="auto" w:sz="4" w:space="0"/>
              <w:right w:val="single" w:color="auto" w:sz="4" w:space="0"/>
            </w:tcBorders>
            <w:noWrap/>
            <w:vAlign w:val="center"/>
          </w:tcPr>
          <w:p w14:paraId="67693539">
            <w:pPr>
              <w:widowControl/>
              <w:jc w:val="center"/>
              <w:rPr>
                <w:rFonts w:hint="eastAsia" w:ascii="宋体" w:hAnsi="宋体" w:eastAsia="宋体" w:cs="宋体"/>
                <w:b/>
                <w:bCs/>
                <w:color w:val="auto"/>
                <w:kern w:val="0"/>
                <w:sz w:val="28"/>
                <w:szCs w:val="28"/>
                <w:highlight w:val="none"/>
                <w:lang w:eastAsia="zh-CN"/>
              </w:rPr>
            </w:pPr>
          </w:p>
        </w:tc>
      </w:tr>
    </w:tbl>
    <w:p w14:paraId="1E9DE5B4">
      <w:pPr>
        <w:tabs>
          <w:tab w:val="left" w:pos="1800"/>
          <w:tab w:val="left" w:pos="55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项目编号：_________ 项目名称：_________</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报价单位：人民币元</w:t>
      </w:r>
    </w:p>
    <w:p w14:paraId="358FF44F">
      <w:pPr>
        <w:tabs>
          <w:tab w:val="left" w:pos="1800"/>
          <w:tab w:val="left" w:pos="5580"/>
        </w:tabs>
        <w:jc w:val="left"/>
        <w:rPr>
          <w:rFonts w:hint="eastAsia" w:ascii="宋体" w:hAnsi="宋体" w:eastAsia="宋体" w:cs="宋体"/>
          <w:color w:val="auto"/>
          <w:sz w:val="24"/>
          <w:highlight w:val="none"/>
        </w:rPr>
      </w:pPr>
    </w:p>
    <w:p w14:paraId="2AAD6E00">
      <w:pPr>
        <w:tabs>
          <w:tab w:val="left" w:pos="1800"/>
          <w:tab w:val="left" w:pos="5580"/>
        </w:tabs>
        <w:jc w:val="left"/>
        <w:rPr>
          <w:rFonts w:hint="eastAsia" w:ascii="宋体" w:hAnsi="宋体" w:eastAsia="宋体" w:cs="宋体"/>
          <w:color w:val="auto"/>
          <w:sz w:val="24"/>
          <w:highlight w:val="none"/>
        </w:rPr>
      </w:pPr>
    </w:p>
    <w:p w14:paraId="2E436FB8">
      <w:pPr>
        <w:tabs>
          <w:tab w:val="left" w:pos="1800"/>
          <w:tab w:val="left" w:pos="5580"/>
        </w:tabs>
        <w:jc w:val="left"/>
        <w:rPr>
          <w:rFonts w:hint="eastAsia" w:ascii="宋体" w:hAnsi="宋体" w:eastAsia="宋体" w:cs="宋体"/>
          <w:color w:val="auto"/>
          <w:sz w:val="24"/>
          <w:highlight w:val="none"/>
        </w:rPr>
      </w:pPr>
    </w:p>
    <w:p w14:paraId="72665038">
      <w:pPr>
        <w:tabs>
          <w:tab w:val="left" w:pos="1800"/>
          <w:tab w:val="left" w:pos="5580"/>
        </w:tabs>
        <w:jc w:val="left"/>
        <w:rPr>
          <w:rFonts w:hint="eastAsia" w:ascii="宋体" w:hAnsi="宋体" w:eastAsia="宋体" w:cs="宋体"/>
          <w:color w:val="auto"/>
          <w:sz w:val="24"/>
          <w:highlight w:val="none"/>
        </w:rPr>
      </w:pPr>
    </w:p>
    <w:p w14:paraId="637E6F03">
      <w:pPr>
        <w:tabs>
          <w:tab w:val="left" w:pos="1800"/>
          <w:tab w:val="left" w:pos="5580"/>
        </w:tabs>
        <w:jc w:val="left"/>
        <w:rPr>
          <w:rFonts w:hint="eastAsia" w:ascii="宋体" w:hAnsi="宋体" w:eastAsia="宋体" w:cs="宋体"/>
          <w:color w:val="auto"/>
          <w:sz w:val="24"/>
          <w:highlight w:val="none"/>
        </w:rPr>
      </w:pPr>
    </w:p>
    <w:p w14:paraId="57DBBCF2">
      <w:pPr>
        <w:tabs>
          <w:tab w:val="left" w:pos="1800"/>
          <w:tab w:val="left" w:pos="5580"/>
        </w:tabs>
        <w:jc w:val="left"/>
        <w:rPr>
          <w:rFonts w:hint="eastAsia" w:ascii="宋体" w:hAnsi="宋体" w:eastAsia="宋体" w:cs="宋体"/>
          <w:color w:val="auto"/>
          <w:sz w:val="24"/>
          <w:highlight w:val="none"/>
        </w:rPr>
      </w:pPr>
    </w:p>
    <w:p w14:paraId="0630286C">
      <w:pPr>
        <w:tabs>
          <w:tab w:val="left" w:pos="1800"/>
          <w:tab w:val="left" w:pos="5580"/>
        </w:tabs>
        <w:jc w:val="left"/>
        <w:rPr>
          <w:rFonts w:hint="eastAsia" w:ascii="宋体" w:hAnsi="宋体" w:eastAsia="宋体" w:cs="宋体"/>
          <w:color w:val="auto"/>
          <w:sz w:val="24"/>
          <w:highlight w:val="none"/>
        </w:rPr>
      </w:pPr>
    </w:p>
    <w:p w14:paraId="1DDBA573">
      <w:pPr>
        <w:tabs>
          <w:tab w:val="left" w:pos="1800"/>
          <w:tab w:val="left" w:pos="5580"/>
        </w:tabs>
        <w:jc w:val="left"/>
        <w:rPr>
          <w:rFonts w:hint="eastAsia" w:ascii="宋体" w:hAnsi="宋体" w:eastAsia="宋体" w:cs="宋体"/>
          <w:color w:val="auto"/>
          <w:sz w:val="24"/>
          <w:highlight w:val="none"/>
        </w:rPr>
      </w:pPr>
    </w:p>
    <w:p w14:paraId="1298556E">
      <w:pPr>
        <w:tabs>
          <w:tab w:val="left" w:pos="1800"/>
          <w:tab w:val="left" w:pos="5580"/>
        </w:tabs>
        <w:jc w:val="left"/>
        <w:rPr>
          <w:rFonts w:hint="eastAsia" w:ascii="宋体" w:hAnsi="宋体" w:eastAsia="宋体" w:cs="宋体"/>
          <w:color w:val="auto"/>
          <w:sz w:val="24"/>
          <w:highlight w:val="none"/>
        </w:rPr>
      </w:pPr>
    </w:p>
    <w:p w14:paraId="4F9D913B">
      <w:pPr>
        <w:tabs>
          <w:tab w:val="left" w:pos="1800"/>
          <w:tab w:val="left" w:pos="5580"/>
        </w:tabs>
        <w:jc w:val="left"/>
        <w:rPr>
          <w:rFonts w:hint="eastAsia" w:ascii="宋体" w:hAnsi="宋体" w:eastAsia="宋体" w:cs="宋体"/>
          <w:color w:val="auto"/>
          <w:sz w:val="24"/>
          <w:highlight w:val="none"/>
        </w:rPr>
      </w:pPr>
    </w:p>
    <w:p w14:paraId="2E055F6D">
      <w:pPr>
        <w:tabs>
          <w:tab w:val="left" w:pos="1800"/>
          <w:tab w:val="left" w:pos="5580"/>
        </w:tabs>
        <w:jc w:val="left"/>
        <w:rPr>
          <w:rFonts w:hint="eastAsia" w:ascii="宋体" w:hAnsi="宋体" w:eastAsia="宋体" w:cs="宋体"/>
          <w:color w:val="auto"/>
          <w:sz w:val="24"/>
          <w:highlight w:val="none"/>
        </w:rPr>
      </w:pPr>
    </w:p>
    <w:p w14:paraId="0774BA15">
      <w:pPr>
        <w:tabs>
          <w:tab w:val="left" w:pos="1800"/>
          <w:tab w:val="left" w:pos="5580"/>
        </w:tabs>
        <w:jc w:val="left"/>
        <w:rPr>
          <w:rFonts w:hint="eastAsia" w:ascii="宋体" w:hAnsi="宋体" w:eastAsia="宋体" w:cs="宋体"/>
          <w:color w:val="auto"/>
          <w:sz w:val="24"/>
          <w:highlight w:val="none"/>
        </w:rPr>
      </w:pPr>
    </w:p>
    <w:p w14:paraId="5B2B1562">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注：1.本表应按包分别填写。</w:t>
      </w:r>
    </w:p>
    <w:p w14:paraId="1D8E65A5">
      <w:pPr>
        <w:numPr>
          <w:ilvl w:val="0"/>
          <w:numId w:val="0"/>
        </w:numPr>
        <w:tabs>
          <w:tab w:val="left" w:pos="1800"/>
          <w:tab w:val="left" w:pos="5580"/>
        </w:tabs>
        <w:ind w:leftChars="20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上述各项的详细规格（如有），可另页描述。</w:t>
      </w:r>
    </w:p>
    <w:p w14:paraId="419059A3">
      <w:pPr>
        <w:autoSpaceDE w:val="0"/>
        <w:autoSpaceDN w:val="0"/>
        <w:adjustRightInd w:val="0"/>
        <w:snapToGrid w:val="0"/>
        <w:spacing w:before="25" w:after="25" w:line="360" w:lineRule="auto"/>
        <w:rPr>
          <w:rFonts w:hint="eastAsia" w:ascii="宋体" w:hAnsi="宋体" w:eastAsia="宋体" w:cs="宋体"/>
          <w:color w:val="auto"/>
          <w:sz w:val="24"/>
          <w:highlight w:val="none"/>
        </w:rPr>
      </w:pPr>
    </w:p>
    <w:p w14:paraId="584A5167">
      <w:pPr>
        <w:autoSpaceDE w:val="0"/>
        <w:autoSpaceDN w:val="0"/>
        <w:adjustRightInd w:val="0"/>
        <w:snapToGrid w:val="0"/>
        <w:spacing w:before="25" w:after="25" w:line="360" w:lineRule="auto"/>
        <w:ind w:right="36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14:paraId="07F5A3D1">
      <w:pPr>
        <w:spacing w:line="360" w:lineRule="auto"/>
        <w:outlineLvl w:val="2"/>
        <w:rPr>
          <w:rFonts w:hint="eastAsia" w:ascii="宋体" w:hAnsi="宋体" w:eastAsia="宋体" w:cs="宋体"/>
          <w:color w:val="auto"/>
          <w:sz w:val="24"/>
          <w:szCs w:val="20"/>
          <w:highlight w:val="none"/>
        </w:rPr>
        <w:sectPr>
          <w:pgSz w:w="16840" w:h="11907" w:orient="landscape"/>
          <w:pgMar w:top="1800" w:right="1440" w:bottom="1800" w:left="1440" w:header="851" w:footer="851" w:gutter="0"/>
          <w:pgNumType w:fmt="decimal"/>
          <w:cols w:space="720" w:num="1"/>
          <w:docGrid w:linePitch="462" w:charSpace="0"/>
        </w:sectPr>
      </w:pPr>
      <w:r>
        <w:rPr>
          <w:rFonts w:hint="eastAsia" w:ascii="宋体" w:hAnsi="宋体" w:eastAsia="宋体" w:cs="宋体"/>
          <w:color w:val="auto"/>
          <w:sz w:val="24"/>
          <w:szCs w:val="20"/>
          <w:highlight w:val="none"/>
        </w:rPr>
        <w:t>日期：____年____月____日</w:t>
      </w:r>
    </w:p>
    <w:p w14:paraId="194F6519">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 xml:space="preserve">  合同条款偏离表</w:t>
      </w:r>
      <w:bookmarkEnd w:id="897"/>
      <w:bookmarkEnd w:id="898"/>
      <w:bookmarkEnd w:id="899"/>
      <w:bookmarkEnd w:id="900"/>
      <w:bookmarkEnd w:id="901"/>
      <w:bookmarkEnd w:id="902"/>
      <w:bookmarkEnd w:id="903"/>
      <w:bookmarkEnd w:id="904"/>
      <w:bookmarkEnd w:id="905"/>
      <w:bookmarkEnd w:id="906"/>
      <w:bookmarkEnd w:id="907"/>
      <w:bookmarkEnd w:id="908"/>
      <w:bookmarkEnd w:id="909"/>
      <w:r>
        <w:rPr>
          <w:rFonts w:hint="eastAsia" w:ascii="宋体" w:hAnsi="宋体" w:eastAsia="宋体" w:cs="宋体"/>
          <w:color w:val="auto"/>
          <w:sz w:val="24"/>
          <w:szCs w:val="20"/>
          <w:highlight w:val="none"/>
        </w:rPr>
        <w:t>（实质性格式）</w:t>
      </w:r>
    </w:p>
    <w:p w14:paraId="3E8B27EB">
      <w:pPr>
        <w:spacing w:line="360" w:lineRule="auto"/>
        <w:rPr>
          <w:rFonts w:hint="eastAsia" w:ascii="宋体" w:hAnsi="宋体" w:eastAsia="宋体" w:cs="宋体"/>
          <w:color w:val="auto"/>
          <w:sz w:val="24"/>
          <w:szCs w:val="20"/>
          <w:highlight w:val="none"/>
        </w:rPr>
      </w:pPr>
    </w:p>
    <w:p w14:paraId="13FAD363">
      <w:pPr>
        <w:tabs>
          <w:tab w:val="left" w:pos="2775"/>
          <w:tab w:val="center" w:pos="4153"/>
        </w:tabs>
        <w:autoSpaceDE w:val="0"/>
        <w:autoSpaceDN w:val="0"/>
        <w:adjustRightInd w:val="0"/>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合同条款偏离表</w:t>
      </w:r>
    </w:p>
    <w:p w14:paraId="11B0B402">
      <w:pPr>
        <w:spacing w:line="360" w:lineRule="auto"/>
        <w:rPr>
          <w:rFonts w:hint="eastAsia" w:ascii="宋体" w:hAnsi="宋体" w:eastAsia="宋体" w:cs="宋体"/>
          <w:color w:val="auto"/>
          <w:sz w:val="24"/>
          <w:szCs w:val="20"/>
          <w:highlight w:val="none"/>
        </w:rPr>
      </w:pPr>
    </w:p>
    <w:p w14:paraId="40E919F0">
      <w:pPr>
        <w:tabs>
          <w:tab w:val="left" w:pos="1800"/>
          <w:tab w:val="left" w:pos="5580"/>
        </w:tabs>
        <w:spacing w:line="360" w:lineRule="auto"/>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项目名称：</w:t>
      </w:r>
      <w:r>
        <w:rPr>
          <w:rFonts w:hint="eastAsia" w:ascii="宋体" w:hAnsi="宋体" w:eastAsia="宋体" w:cs="宋体"/>
          <w:color w:val="auto"/>
          <w:sz w:val="24"/>
          <w:highlight w:val="none"/>
          <w:u w:val="single"/>
        </w:rPr>
        <w:t xml:space="preserve">                  </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1219"/>
        <w:gridCol w:w="1796"/>
        <w:gridCol w:w="1797"/>
        <w:gridCol w:w="2185"/>
        <w:gridCol w:w="743"/>
      </w:tblGrid>
      <w:tr w14:paraId="796B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7DB7B80">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291" w:type="dxa"/>
            <w:vAlign w:val="center"/>
          </w:tcPr>
          <w:p w14:paraId="17CA7E8F">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招标文件</w:t>
            </w:r>
            <w:r>
              <w:rPr>
                <w:rFonts w:hint="eastAsia" w:ascii="宋体" w:hAnsi="宋体" w:eastAsia="宋体" w:cs="宋体"/>
                <w:color w:val="auto"/>
                <w:sz w:val="24"/>
                <w:highlight w:val="none"/>
              </w:rPr>
              <w:t>条目号（页码）</w:t>
            </w:r>
          </w:p>
        </w:tc>
        <w:tc>
          <w:tcPr>
            <w:tcW w:w="1981" w:type="dxa"/>
            <w:vAlign w:val="center"/>
          </w:tcPr>
          <w:p w14:paraId="464450AB">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招标文件</w:t>
            </w:r>
            <w:r>
              <w:rPr>
                <w:rFonts w:hint="eastAsia" w:ascii="宋体" w:hAnsi="宋体" w:eastAsia="宋体" w:cs="宋体"/>
                <w:color w:val="auto"/>
                <w:sz w:val="24"/>
                <w:highlight w:val="none"/>
              </w:rPr>
              <w:t>要求</w:t>
            </w:r>
          </w:p>
        </w:tc>
        <w:tc>
          <w:tcPr>
            <w:tcW w:w="1982" w:type="dxa"/>
            <w:vAlign w:val="center"/>
          </w:tcPr>
          <w:p w14:paraId="06D738C4">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投标文件内容</w:t>
            </w:r>
          </w:p>
        </w:tc>
        <w:tc>
          <w:tcPr>
            <w:tcW w:w="2424" w:type="dxa"/>
            <w:vAlign w:val="center"/>
          </w:tcPr>
          <w:p w14:paraId="749F5CBA">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偏离情况</w:t>
            </w:r>
          </w:p>
        </w:tc>
        <w:tc>
          <w:tcPr>
            <w:tcW w:w="782" w:type="dxa"/>
            <w:vAlign w:val="center"/>
          </w:tcPr>
          <w:p w14:paraId="54EE73D8">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14:paraId="60347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0D0A9EFF">
            <w:pPr>
              <w:adjustRightInd w:val="0"/>
              <w:snapToGrid w:val="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对本项目合同条款的偏离情况（应进行选择，未选择投标无效）：</w:t>
            </w:r>
          </w:p>
          <w:p w14:paraId="2E851A0A">
            <w:pPr>
              <w:adjustRightInd w:val="0"/>
              <w:snapToGrid w:val="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sym w:font="Wingdings 2" w:char="00A3"/>
            </w:r>
            <w:r>
              <w:rPr>
                <w:rFonts w:hint="eastAsia" w:ascii="宋体" w:hAnsi="宋体" w:eastAsia="宋体" w:cs="宋体"/>
                <w:bCs/>
                <w:color w:val="auto"/>
                <w:sz w:val="24"/>
                <w:highlight w:val="none"/>
              </w:rPr>
              <w:t>无偏离（</w:t>
            </w:r>
            <w:r>
              <w:rPr>
                <w:rFonts w:hint="eastAsia" w:ascii="宋体" w:hAnsi="宋体" w:eastAsia="宋体" w:cs="宋体"/>
                <w:bCs/>
                <w:color w:val="auto"/>
                <w:sz w:val="24"/>
                <w:szCs w:val="21"/>
                <w:highlight w:val="none"/>
              </w:rPr>
              <w:t>如无偏离，仅勾选无偏离即可；无偏离即为对合同条款中的所有要求，均视作供应商已对之理解和响应。</w:t>
            </w:r>
            <w:r>
              <w:rPr>
                <w:rFonts w:hint="eastAsia" w:ascii="宋体" w:hAnsi="宋体" w:eastAsia="宋体" w:cs="宋体"/>
                <w:bCs/>
                <w:color w:val="auto"/>
                <w:sz w:val="24"/>
                <w:highlight w:val="none"/>
              </w:rPr>
              <w:t>）</w:t>
            </w:r>
          </w:p>
          <w:p w14:paraId="72F52AF8">
            <w:pPr>
              <w:adjustRightInd w:val="0"/>
              <w:snapToGrid w:val="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sym w:font="Wingdings 2" w:char="00A3"/>
            </w:r>
            <w:r>
              <w:rPr>
                <w:rFonts w:hint="eastAsia" w:ascii="宋体" w:hAnsi="宋体" w:eastAsia="宋体" w:cs="宋体"/>
                <w:bCs/>
                <w:color w:val="auto"/>
                <w:sz w:val="24"/>
                <w:highlight w:val="none"/>
              </w:rPr>
              <w:t>有偏离（</w:t>
            </w:r>
            <w:r>
              <w:rPr>
                <w:rFonts w:hint="eastAsia" w:ascii="宋体" w:hAnsi="宋体" w:eastAsia="宋体" w:cs="宋体"/>
                <w:bCs/>
                <w:color w:val="auto"/>
                <w:sz w:val="24"/>
                <w:szCs w:val="21"/>
                <w:highlight w:val="none"/>
              </w:rPr>
              <w:t>如有偏离，</w:t>
            </w:r>
            <w:r>
              <w:rPr>
                <w:rFonts w:hint="eastAsia" w:ascii="宋体" w:hAnsi="宋体" w:eastAsia="宋体" w:cs="宋体"/>
                <w:bCs/>
                <w:color w:val="auto"/>
                <w:sz w:val="24"/>
                <w:highlight w:val="none"/>
              </w:rPr>
              <w:t>则应在本表中对偏离项逐一列明，否则投标无效；对合同条款中的所有要求，除本表列明的偏离外，均视作供应商已对之理解和响应。）</w:t>
            </w:r>
          </w:p>
        </w:tc>
      </w:tr>
      <w:tr w14:paraId="6126C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D6F163C">
            <w:pPr>
              <w:adjustRightInd w:val="0"/>
              <w:snapToGrid w:val="0"/>
              <w:jc w:val="center"/>
              <w:rPr>
                <w:rFonts w:hint="eastAsia" w:ascii="宋体" w:hAnsi="宋体" w:eastAsia="宋体" w:cs="宋体"/>
                <w:color w:val="auto"/>
                <w:sz w:val="24"/>
                <w:highlight w:val="none"/>
              </w:rPr>
            </w:pPr>
          </w:p>
        </w:tc>
        <w:tc>
          <w:tcPr>
            <w:tcW w:w="1291" w:type="dxa"/>
            <w:vAlign w:val="center"/>
          </w:tcPr>
          <w:p w14:paraId="6FA7503B">
            <w:pPr>
              <w:adjustRightInd w:val="0"/>
              <w:snapToGrid w:val="0"/>
              <w:jc w:val="center"/>
              <w:rPr>
                <w:rFonts w:hint="eastAsia" w:ascii="宋体" w:hAnsi="宋体" w:eastAsia="宋体" w:cs="宋体"/>
                <w:color w:val="auto"/>
                <w:sz w:val="24"/>
                <w:highlight w:val="none"/>
              </w:rPr>
            </w:pPr>
          </w:p>
        </w:tc>
        <w:tc>
          <w:tcPr>
            <w:tcW w:w="1981" w:type="dxa"/>
            <w:vAlign w:val="center"/>
          </w:tcPr>
          <w:p w14:paraId="4E65282D">
            <w:pPr>
              <w:adjustRightInd w:val="0"/>
              <w:snapToGrid w:val="0"/>
              <w:jc w:val="center"/>
              <w:rPr>
                <w:rFonts w:hint="eastAsia" w:ascii="宋体" w:hAnsi="宋体" w:eastAsia="宋体" w:cs="宋体"/>
                <w:color w:val="auto"/>
                <w:sz w:val="24"/>
                <w:highlight w:val="none"/>
              </w:rPr>
            </w:pPr>
          </w:p>
        </w:tc>
        <w:tc>
          <w:tcPr>
            <w:tcW w:w="1982" w:type="dxa"/>
            <w:vAlign w:val="center"/>
          </w:tcPr>
          <w:p w14:paraId="24E91B9A">
            <w:pPr>
              <w:adjustRightInd w:val="0"/>
              <w:snapToGrid w:val="0"/>
              <w:jc w:val="center"/>
              <w:rPr>
                <w:rFonts w:hint="eastAsia" w:ascii="宋体" w:hAnsi="宋体" w:eastAsia="宋体" w:cs="宋体"/>
                <w:color w:val="auto"/>
                <w:sz w:val="24"/>
                <w:highlight w:val="none"/>
              </w:rPr>
            </w:pPr>
          </w:p>
        </w:tc>
        <w:tc>
          <w:tcPr>
            <w:tcW w:w="2424" w:type="dxa"/>
            <w:vAlign w:val="center"/>
          </w:tcPr>
          <w:p w14:paraId="03763D92">
            <w:pPr>
              <w:adjustRightInd w:val="0"/>
              <w:snapToGrid w:val="0"/>
              <w:jc w:val="center"/>
              <w:rPr>
                <w:rFonts w:hint="eastAsia" w:ascii="宋体" w:hAnsi="宋体" w:eastAsia="宋体" w:cs="宋体"/>
                <w:color w:val="auto"/>
                <w:sz w:val="24"/>
                <w:highlight w:val="none"/>
              </w:rPr>
            </w:pPr>
          </w:p>
        </w:tc>
        <w:tc>
          <w:tcPr>
            <w:tcW w:w="782" w:type="dxa"/>
            <w:vAlign w:val="center"/>
          </w:tcPr>
          <w:p w14:paraId="25D46435">
            <w:pPr>
              <w:adjustRightInd w:val="0"/>
              <w:snapToGrid w:val="0"/>
              <w:jc w:val="center"/>
              <w:rPr>
                <w:rFonts w:hint="eastAsia" w:ascii="宋体" w:hAnsi="宋体" w:eastAsia="宋体" w:cs="宋体"/>
                <w:color w:val="auto"/>
                <w:sz w:val="24"/>
                <w:highlight w:val="none"/>
              </w:rPr>
            </w:pPr>
          </w:p>
        </w:tc>
      </w:tr>
      <w:tr w14:paraId="19026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E7E3C85">
            <w:pPr>
              <w:adjustRightInd w:val="0"/>
              <w:snapToGrid w:val="0"/>
              <w:jc w:val="center"/>
              <w:rPr>
                <w:rFonts w:hint="eastAsia" w:ascii="宋体" w:hAnsi="宋体" w:eastAsia="宋体" w:cs="宋体"/>
                <w:color w:val="auto"/>
                <w:sz w:val="24"/>
                <w:highlight w:val="none"/>
              </w:rPr>
            </w:pPr>
          </w:p>
        </w:tc>
        <w:tc>
          <w:tcPr>
            <w:tcW w:w="1291" w:type="dxa"/>
            <w:vAlign w:val="center"/>
          </w:tcPr>
          <w:p w14:paraId="5C6D2545">
            <w:pPr>
              <w:adjustRightInd w:val="0"/>
              <w:snapToGrid w:val="0"/>
              <w:jc w:val="center"/>
              <w:rPr>
                <w:rFonts w:hint="eastAsia" w:ascii="宋体" w:hAnsi="宋体" w:eastAsia="宋体" w:cs="宋体"/>
                <w:color w:val="auto"/>
                <w:sz w:val="24"/>
                <w:highlight w:val="none"/>
              </w:rPr>
            </w:pPr>
          </w:p>
        </w:tc>
        <w:tc>
          <w:tcPr>
            <w:tcW w:w="1981" w:type="dxa"/>
            <w:vAlign w:val="center"/>
          </w:tcPr>
          <w:p w14:paraId="1D361213">
            <w:pPr>
              <w:adjustRightInd w:val="0"/>
              <w:snapToGrid w:val="0"/>
              <w:jc w:val="center"/>
              <w:rPr>
                <w:rFonts w:hint="eastAsia" w:ascii="宋体" w:hAnsi="宋体" w:eastAsia="宋体" w:cs="宋体"/>
                <w:color w:val="auto"/>
                <w:sz w:val="24"/>
                <w:highlight w:val="none"/>
              </w:rPr>
            </w:pPr>
          </w:p>
        </w:tc>
        <w:tc>
          <w:tcPr>
            <w:tcW w:w="1982" w:type="dxa"/>
            <w:vAlign w:val="center"/>
          </w:tcPr>
          <w:p w14:paraId="5E416E52">
            <w:pPr>
              <w:adjustRightInd w:val="0"/>
              <w:snapToGrid w:val="0"/>
              <w:jc w:val="center"/>
              <w:rPr>
                <w:rFonts w:hint="eastAsia" w:ascii="宋体" w:hAnsi="宋体" w:eastAsia="宋体" w:cs="宋体"/>
                <w:color w:val="auto"/>
                <w:sz w:val="24"/>
                <w:highlight w:val="none"/>
              </w:rPr>
            </w:pPr>
          </w:p>
        </w:tc>
        <w:tc>
          <w:tcPr>
            <w:tcW w:w="2424" w:type="dxa"/>
            <w:vAlign w:val="center"/>
          </w:tcPr>
          <w:p w14:paraId="73A2553E">
            <w:pPr>
              <w:adjustRightInd w:val="0"/>
              <w:snapToGrid w:val="0"/>
              <w:jc w:val="center"/>
              <w:rPr>
                <w:rFonts w:hint="eastAsia" w:ascii="宋体" w:hAnsi="宋体" w:eastAsia="宋体" w:cs="宋体"/>
                <w:color w:val="auto"/>
                <w:sz w:val="24"/>
                <w:highlight w:val="none"/>
              </w:rPr>
            </w:pPr>
          </w:p>
        </w:tc>
        <w:tc>
          <w:tcPr>
            <w:tcW w:w="782" w:type="dxa"/>
            <w:vAlign w:val="center"/>
          </w:tcPr>
          <w:p w14:paraId="5AD71220">
            <w:pPr>
              <w:adjustRightInd w:val="0"/>
              <w:snapToGrid w:val="0"/>
              <w:jc w:val="center"/>
              <w:rPr>
                <w:rFonts w:hint="eastAsia" w:ascii="宋体" w:hAnsi="宋体" w:eastAsia="宋体" w:cs="宋体"/>
                <w:color w:val="auto"/>
                <w:sz w:val="24"/>
                <w:highlight w:val="none"/>
              </w:rPr>
            </w:pPr>
          </w:p>
        </w:tc>
      </w:tr>
      <w:tr w14:paraId="48F61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49CAF96">
            <w:pPr>
              <w:adjustRightInd w:val="0"/>
              <w:snapToGrid w:val="0"/>
              <w:jc w:val="center"/>
              <w:rPr>
                <w:rFonts w:hint="eastAsia" w:ascii="宋体" w:hAnsi="宋体" w:eastAsia="宋体" w:cs="宋体"/>
                <w:color w:val="auto"/>
                <w:sz w:val="24"/>
                <w:highlight w:val="none"/>
              </w:rPr>
            </w:pPr>
          </w:p>
        </w:tc>
        <w:tc>
          <w:tcPr>
            <w:tcW w:w="1291" w:type="dxa"/>
            <w:vAlign w:val="center"/>
          </w:tcPr>
          <w:p w14:paraId="06193598">
            <w:pPr>
              <w:adjustRightInd w:val="0"/>
              <w:snapToGrid w:val="0"/>
              <w:jc w:val="center"/>
              <w:rPr>
                <w:rFonts w:hint="eastAsia" w:ascii="宋体" w:hAnsi="宋体" w:eastAsia="宋体" w:cs="宋体"/>
                <w:color w:val="auto"/>
                <w:sz w:val="24"/>
                <w:highlight w:val="none"/>
              </w:rPr>
            </w:pPr>
          </w:p>
        </w:tc>
        <w:tc>
          <w:tcPr>
            <w:tcW w:w="1981" w:type="dxa"/>
            <w:vAlign w:val="center"/>
          </w:tcPr>
          <w:p w14:paraId="5513A6F5">
            <w:pPr>
              <w:adjustRightInd w:val="0"/>
              <w:snapToGrid w:val="0"/>
              <w:jc w:val="center"/>
              <w:rPr>
                <w:rFonts w:hint="eastAsia" w:ascii="宋体" w:hAnsi="宋体" w:eastAsia="宋体" w:cs="宋体"/>
                <w:color w:val="auto"/>
                <w:sz w:val="24"/>
                <w:highlight w:val="none"/>
              </w:rPr>
            </w:pPr>
          </w:p>
        </w:tc>
        <w:tc>
          <w:tcPr>
            <w:tcW w:w="1982" w:type="dxa"/>
            <w:vAlign w:val="center"/>
          </w:tcPr>
          <w:p w14:paraId="5BB68C2A">
            <w:pPr>
              <w:adjustRightInd w:val="0"/>
              <w:snapToGrid w:val="0"/>
              <w:jc w:val="center"/>
              <w:rPr>
                <w:rFonts w:hint="eastAsia" w:ascii="宋体" w:hAnsi="宋体" w:eastAsia="宋体" w:cs="宋体"/>
                <w:color w:val="auto"/>
                <w:sz w:val="24"/>
                <w:highlight w:val="none"/>
              </w:rPr>
            </w:pPr>
          </w:p>
        </w:tc>
        <w:tc>
          <w:tcPr>
            <w:tcW w:w="2424" w:type="dxa"/>
            <w:vAlign w:val="center"/>
          </w:tcPr>
          <w:p w14:paraId="1907D8B8">
            <w:pPr>
              <w:adjustRightInd w:val="0"/>
              <w:snapToGrid w:val="0"/>
              <w:jc w:val="center"/>
              <w:rPr>
                <w:rFonts w:hint="eastAsia" w:ascii="宋体" w:hAnsi="宋体" w:eastAsia="宋体" w:cs="宋体"/>
                <w:color w:val="auto"/>
                <w:sz w:val="24"/>
                <w:highlight w:val="none"/>
              </w:rPr>
            </w:pPr>
          </w:p>
        </w:tc>
        <w:tc>
          <w:tcPr>
            <w:tcW w:w="782" w:type="dxa"/>
            <w:vAlign w:val="center"/>
          </w:tcPr>
          <w:p w14:paraId="1DF518C7">
            <w:pPr>
              <w:adjustRightInd w:val="0"/>
              <w:snapToGrid w:val="0"/>
              <w:jc w:val="center"/>
              <w:rPr>
                <w:rFonts w:hint="eastAsia" w:ascii="宋体" w:hAnsi="宋体" w:eastAsia="宋体" w:cs="宋体"/>
                <w:color w:val="auto"/>
                <w:sz w:val="24"/>
                <w:highlight w:val="none"/>
              </w:rPr>
            </w:pPr>
          </w:p>
        </w:tc>
      </w:tr>
      <w:tr w14:paraId="58490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41CCF1C">
            <w:pPr>
              <w:adjustRightInd w:val="0"/>
              <w:snapToGrid w:val="0"/>
              <w:jc w:val="center"/>
              <w:rPr>
                <w:rFonts w:hint="eastAsia" w:ascii="宋体" w:hAnsi="宋体" w:eastAsia="宋体" w:cs="宋体"/>
                <w:color w:val="auto"/>
                <w:sz w:val="24"/>
                <w:highlight w:val="none"/>
              </w:rPr>
            </w:pPr>
          </w:p>
        </w:tc>
        <w:tc>
          <w:tcPr>
            <w:tcW w:w="1291" w:type="dxa"/>
            <w:vAlign w:val="center"/>
          </w:tcPr>
          <w:p w14:paraId="7CE949CF">
            <w:pPr>
              <w:adjustRightInd w:val="0"/>
              <w:snapToGrid w:val="0"/>
              <w:jc w:val="center"/>
              <w:rPr>
                <w:rFonts w:hint="eastAsia" w:ascii="宋体" w:hAnsi="宋体" w:eastAsia="宋体" w:cs="宋体"/>
                <w:color w:val="auto"/>
                <w:sz w:val="24"/>
                <w:highlight w:val="none"/>
              </w:rPr>
            </w:pPr>
          </w:p>
        </w:tc>
        <w:tc>
          <w:tcPr>
            <w:tcW w:w="1981" w:type="dxa"/>
            <w:vAlign w:val="center"/>
          </w:tcPr>
          <w:p w14:paraId="345A2186">
            <w:pPr>
              <w:adjustRightInd w:val="0"/>
              <w:snapToGrid w:val="0"/>
              <w:jc w:val="center"/>
              <w:rPr>
                <w:rFonts w:hint="eastAsia" w:ascii="宋体" w:hAnsi="宋体" w:eastAsia="宋体" w:cs="宋体"/>
                <w:color w:val="auto"/>
                <w:sz w:val="24"/>
                <w:highlight w:val="none"/>
              </w:rPr>
            </w:pPr>
          </w:p>
        </w:tc>
        <w:tc>
          <w:tcPr>
            <w:tcW w:w="1982" w:type="dxa"/>
            <w:vAlign w:val="center"/>
          </w:tcPr>
          <w:p w14:paraId="50670315">
            <w:pPr>
              <w:adjustRightInd w:val="0"/>
              <w:snapToGrid w:val="0"/>
              <w:jc w:val="center"/>
              <w:rPr>
                <w:rFonts w:hint="eastAsia" w:ascii="宋体" w:hAnsi="宋体" w:eastAsia="宋体" w:cs="宋体"/>
                <w:color w:val="auto"/>
                <w:sz w:val="24"/>
                <w:highlight w:val="none"/>
              </w:rPr>
            </w:pPr>
          </w:p>
        </w:tc>
        <w:tc>
          <w:tcPr>
            <w:tcW w:w="2424" w:type="dxa"/>
            <w:vAlign w:val="center"/>
          </w:tcPr>
          <w:p w14:paraId="42B272DA">
            <w:pPr>
              <w:adjustRightInd w:val="0"/>
              <w:snapToGrid w:val="0"/>
              <w:jc w:val="center"/>
              <w:rPr>
                <w:rFonts w:hint="eastAsia" w:ascii="宋体" w:hAnsi="宋体" w:eastAsia="宋体" w:cs="宋体"/>
                <w:color w:val="auto"/>
                <w:sz w:val="24"/>
                <w:highlight w:val="none"/>
              </w:rPr>
            </w:pPr>
          </w:p>
        </w:tc>
        <w:tc>
          <w:tcPr>
            <w:tcW w:w="782" w:type="dxa"/>
            <w:vAlign w:val="center"/>
          </w:tcPr>
          <w:p w14:paraId="7D112B5A">
            <w:pPr>
              <w:adjustRightInd w:val="0"/>
              <w:snapToGrid w:val="0"/>
              <w:jc w:val="center"/>
              <w:rPr>
                <w:rFonts w:hint="eastAsia" w:ascii="宋体" w:hAnsi="宋体" w:eastAsia="宋体" w:cs="宋体"/>
                <w:color w:val="auto"/>
                <w:sz w:val="24"/>
                <w:highlight w:val="none"/>
              </w:rPr>
            </w:pPr>
          </w:p>
        </w:tc>
      </w:tr>
    </w:tbl>
    <w:p w14:paraId="0A67D570">
      <w:pPr>
        <w:tabs>
          <w:tab w:val="left" w:pos="1800"/>
          <w:tab w:val="left" w:pos="5580"/>
        </w:tabs>
        <w:jc w:val="left"/>
        <w:rPr>
          <w:rFonts w:hint="eastAsia" w:ascii="宋体" w:hAnsi="宋体" w:eastAsia="宋体" w:cs="宋体"/>
          <w:color w:val="auto"/>
          <w:sz w:val="24"/>
          <w:highlight w:val="none"/>
        </w:rPr>
      </w:pPr>
    </w:p>
    <w:p w14:paraId="2DE0EE99">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注：“偏离情况”列应据实填写“正偏离”或“负偏离”</w:t>
      </w:r>
      <w:r>
        <w:rPr>
          <w:rFonts w:hint="eastAsia" w:ascii="宋体" w:hAnsi="宋体" w:eastAsia="宋体" w:cs="宋体"/>
          <w:color w:val="auto"/>
          <w:sz w:val="24"/>
          <w:highlight w:val="none"/>
          <w:lang w:val="en-US" w:eastAsia="zh-CN"/>
        </w:rPr>
        <w:t>或“无偏离”</w:t>
      </w:r>
      <w:r>
        <w:rPr>
          <w:rFonts w:hint="eastAsia" w:ascii="宋体" w:hAnsi="宋体" w:eastAsia="宋体" w:cs="宋体"/>
          <w:color w:val="auto"/>
          <w:sz w:val="24"/>
          <w:highlight w:val="none"/>
        </w:rPr>
        <w:t>。</w:t>
      </w:r>
    </w:p>
    <w:p w14:paraId="7A447004">
      <w:pPr>
        <w:spacing w:line="360" w:lineRule="auto"/>
        <w:rPr>
          <w:rFonts w:hint="eastAsia" w:ascii="宋体" w:hAnsi="宋体" w:eastAsia="宋体" w:cs="宋体"/>
          <w:color w:val="auto"/>
          <w:sz w:val="24"/>
          <w:szCs w:val="20"/>
          <w:highlight w:val="none"/>
        </w:rPr>
      </w:pPr>
    </w:p>
    <w:p w14:paraId="4305CE39">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74173DCD">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投标人名称（加盖公章）</w:t>
      </w:r>
      <w:r>
        <w:rPr>
          <w:rFonts w:hint="eastAsia" w:ascii="宋体" w:hAnsi="宋体" w:eastAsia="宋体" w:cs="宋体"/>
          <w:color w:val="auto"/>
          <w:sz w:val="24"/>
          <w:highlight w:val="none"/>
          <w:lang w:val="zh-CN"/>
        </w:rPr>
        <w:t>：    ____________</w:t>
      </w:r>
    </w:p>
    <w:p w14:paraId="69AEDD30">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306018DB">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r>
        <w:rPr>
          <w:rFonts w:hint="eastAsia" w:ascii="宋体" w:hAnsi="宋体" w:eastAsia="宋体" w:cs="宋体"/>
          <w:color w:val="auto"/>
          <w:sz w:val="24"/>
          <w:szCs w:val="20"/>
          <w:highlight w:val="none"/>
          <w:lang w:val="en-US" w:eastAsia="zh-CN"/>
        </w:rPr>
        <w:t>6</w:t>
      </w:r>
      <w:r>
        <w:rPr>
          <w:rFonts w:hint="eastAsia" w:ascii="宋体" w:hAnsi="宋体" w:eastAsia="宋体" w:cs="宋体"/>
          <w:color w:val="auto"/>
          <w:sz w:val="24"/>
          <w:szCs w:val="20"/>
          <w:highlight w:val="none"/>
        </w:rPr>
        <w:t xml:space="preserve">  </w:t>
      </w:r>
      <w:bookmarkEnd w:id="910"/>
      <w:bookmarkEnd w:id="911"/>
      <w:bookmarkEnd w:id="912"/>
      <w:bookmarkEnd w:id="913"/>
      <w:bookmarkEnd w:id="914"/>
      <w:bookmarkEnd w:id="915"/>
      <w:bookmarkEnd w:id="916"/>
      <w:bookmarkEnd w:id="917"/>
      <w:bookmarkEnd w:id="918"/>
      <w:bookmarkEnd w:id="919"/>
      <w:bookmarkEnd w:id="920"/>
      <w:bookmarkEnd w:id="921"/>
      <w:bookmarkEnd w:id="922"/>
      <w:r>
        <w:rPr>
          <w:rFonts w:hint="eastAsia" w:ascii="宋体" w:hAnsi="宋体" w:eastAsia="宋体" w:cs="宋体"/>
          <w:color w:val="auto"/>
          <w:sz w:val="24"/>
          <w:szCs w:val="20"/>
          <w:highlight w:val="none"/>
        </w:rPr>
        <w:t>采购需求偏离表（实质性格式）</w:t>
      </w:r>
    </w:p>
    <w:p w14:paraId="4C8E7E02">
      <w:pPr>
        <w:autoSpaceDE w:val="0"/>
        <w:autoSpaceDN w:val="0"/>
        <w:adjustRightInd w:val="0"/>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采购需求偏离表</w:t>
      </w:r>
    </w:p>
    <w:p w14:paraId="7EE01C38">
      <w:pPr>
        <w:tabs>
          <w:tab w:val="left" w:pos="1800"/>
          <w:tab w:val="left" w:pos="5580"/>
        </w:tabs>
        <w:spacing w:line="360" w:lineRule="auto"/>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项目名称：</w:t>
      </w:r>
      <w:r>
        <w:rPr>
          <w:rFonts w:hint="eastAsia" w:ascii="宋体" w:hAnsi="宋体" w:eastAsia="宋体" w:cs="宋体"/>
          <w:color w:val="auto"/>
          <w:sz w:val="24"/>
          <w:highlight w:val="none"/>
          <w:u w:val="single"/>
        </w:rPr>
        <w:t xml:space="preserve">                  </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B8B0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5F04011A">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482" w:type="dxa"/>
            <w:vAlign w:val="center"/>
          </w:tcPr>
          <w:p w14:paraId="0678E3C8">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招标文件条目号(页码)</w:t>
            </w:r>
          </w:p>
        </w:tc>
        <w:tc>
          <w:tcPr>
            <w:tcW w:w="2384" w:type="dxa"/>
            <w:vAlign w:val="center"/>
          </w:tcPr>
          <w:p w14:paraId="74375CD4">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招标文件要求</w:t>
            </w:r>
          </w:p>
        </w:tc>
        <w:tc>
          <w:tcPr>
            <w:tcW w:w="2126" w:type="dxa"/>
            <w:vAlign w:val="center"/>
          </w:tcPr>
          <w:p w14:paraId="07A24570">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投标响应内容</w:t>
            </w:r>
          </w:p>
        </w:tc>
        <w:tc>
          <w:tcPr>
            <w:tcW w:w="1875" w:type="dxa"/>
            <w:vAlign w:val="center"/>
          </w:tcPr>
          <w:p w14:paraId="0CC3E1BA">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偏离情况</w:t>
            </w:r>
          </w:p>
        </w:tc>
        <w:tc>
          <w:tcPr>
            <w:tcW w:w="1009" w:type="dxa"/>
            <w:vAlign w:val="center"/>
          </w:tcPr>
          <w:p w14:paraId="79F48E44">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14:paraId="65CF0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49FE80F">
            <w:pPr>
              <w:adjustRightInd w:val="0"/>
              <w:snapToGrid w:val="0"/>
              <w:jc w:val="center"/>
              <w:rPr>
                <w:rFonts w:hint="eastAsia" w:ascii="宋体" w:hAnsi="宋体" w:eastAsia="宋体" w:cs="宋体"/>
                <w:color w:val="auto"/>
                <w:sz w:val="24"/>
                <w:highlight w:val="none"/>
              </w:rPr>
            </w:pPr>
          </w:p>
        </w:tc>
        <w:tc>
          <w:tcPr>
            <w:tcW w:w="1482" w:type="dxa"/>
            <w:vAlign w:val="center"/>
          </w:tcPr>
          <w:p w14:paraId="144B01A6">
            <w:pPr>
              <w:adjustRightInd w:val="0"/>
              <w:snapToGrid w:val="0"/>
              <w:jc w:val="center"/>
              <w:rPr>
                <w:rFonts w:hint="eastAsia" w:ascii="宋体" w:hAnsi="宋体" w:eastAsia="宋体" w:cs="宋体"/>
                <w:color w:val="auto"/>
                <w:sz w:val="24"/>
                <w:highlight w:val="none"/>
              </w:rPr>
            </w:pPr>
          </w:p>
        </w:tc>
        <w:tc>
          <w:tcPr>
            <w:tcW w:w="2384" w:type="dxa"/>
            <w:vAlign w:val="center"/>
          </w:tcPr>
          <w:p w14:paraId="0FDD1AA8">
            <w:pPr>
              <w:adjustRightInd w:val="0"/>
              <w:snapToGrid w:val="0"/>
              <w:jc w:val="center"/>
              <w:rPr>
                <w:rFonts w:hint="eastAsia" w:ascii="宋体" w:hAnsi="宋体" w:eastAsia="宋体" w:cs="宋体"/>
                <w:color w:val="auto"/>
                <w:sz w:val="24"/>
                <w:highlight w:val="none"/>
              </w:rPr>
            </w:pPr>
          </w:p>
        </w:tc>
        <w:tc>
          <w:tcPr>
            <w:tcW w:w="2126" w:type="dxa"/>
            <w:vAlign w:val="center"/>
          </w:tcPr>
          <w:p w14:paraId="780EDDFE">
            <w:pPr>
              <w:adjustRightInd w:val="0"/>
              <w:snapToGrid w:val="0"/>
              <w:jc w:val="center"/>
              <w:rPr>
                <w:rFonts w:hint="eastAsia" w:ascii="宋体" w:hAnsi="宋体" w:eastAsia="宋体" w:cs="宋体"/>
                <w:color w:val="auto"/>
                <w:sz w:val="24"/>
                <w:highlight w:val="none"/>
              </w:rPr>
            </w:pPr>
          </w:p>
        </w:tc>
        <w:tc>
          <w:tcPr>
            <w:tcW w:w="1875" w:type="dxa"/>
            <w:vAlign w:val="center"/>
          </w:tcPr>
          <w:p w14:paraId="73314D0B">
            <w:pPr>
              <w:adjustRightInd w:val="0"/>
              <w:snapToGrid w:val="0"/>
              <w:jc w:val="center"/>
              <w:rPr>
                <w:rFonts w:hint="eastAsia" w:ascii="宋体" w:hAnsi="宋体" w:eastAsia="宋体" w:cs="宋体"/>
                <w:color w:val="auto"/>
                <w:sz w:val="24"/>
                <w:highlight w:val="none"/>
              </w:rPr>
            </w:pPr>
          </w:p>
        </w:tc>
        <w:tc>
          <w:tcPr>
            <w:tcW w:w="1009" w:type="dxa"/>
            <w:vAlign w:val="center"/>
          </w:tcPr>
          <w:p w14:paraId="6AD174A8">
            <w:pPr>
              <w:adjustRightInd w:val="0"/>
              <w:snapToGrid w:val="0"/>
              <w:jc w:val="center"/>
              <w:rPr>
                <w:rFonts w:hint="eastAsia" w:ascii="宋体" w:hAnsi="宋体" w:eastAsia="宋体" w:cs="宋体"/>
                <w:color w:val="auto"/>
                <w:sz w:val="24"/>
                <w:highlight w:val="none"/>
              </w:rPr>
            </w:pPr>
          </w:p>
        </w:tc>
      </w:tr>
      <w:tr w14:paraId="7BE20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88517BF">
            <w:pPr>
              <w:adjustRightInd w:val="0"/>
              <w:snapToGrid w:val="0"/>
              <w:jc w:val="center"/>
              <w:rPr>
                <w:rFonts w:hint="eastAsia" w:ascii="宋体" w:hAnsi="宋体" w:eastAsia="宋体" w:cs="宋体"/>
                <w:color w:val="auto"/>
                <w:sz w:val="24"/>
                <w:highlight w:val="none"/>
              </w:rPr>
            </w:pPr>
          </w:p>
        </w:tc>
        <w:tc>
          <w:tcPr>
            <w:tcW w:w="1482" w:type="dxa"/>
            <w:vAlign w:val="center"/>
          </w:tcPr>
          <w:p w14:paraId="748B8F0B">
            <w:pPr>
              <w:adjustRightInd w:val="0"/>
              <w:snapToGrid w:val="0"/>
              <w:jc w:val="center"/>
              <w:rPr>
                <w:rFonts w:hint="eastAsia" w:ascii="宋体" w:hAnsi="宋体" w:eastAsia="宋体" w:cs="宋体"/>
                <w:color w:val="auto"/>
                <w:sz w:val="24"/>
                <w:highlight w:val="none"/>
              </w:rPr>
            </w:pPr>
          </w:p>
        </w:tc>
        <w:tc>
          <w:tcPr>
            <w:tcW w:w="2384" w:type="dxa"/>
            <w:vAlign w:val="center"/>
          </w:tcPr>
          <w:p w14:paraId="583B8409">
            <w:pPr>
              <w:adjustRightInd w:val="0"/>
              <w:snapToGrid w:val="0"/>
              <w:jc w:val="center"/>
              <w:rPr>
                <w:rFonts w:hint="eastAsia" w:ascii="宋体" w:hAnsi="宋体" w:eastAsia="宋体" w:cs="宋体"/>
                <w:color w:val="auto"/>
                <w:sz w:val="24"/>
                <w:highlight w:val="none"/>
              </w:rPr>
            </w:pPr>
          </w:p>
        </w:tc>
        <w:tc>
          <w:tcPr>
            <w:tcW w:w="2126" w:type="dxa"/>
            <w:vAlign w:val="center"/>
          </w:tcPr>
          <w:p w14:paraId="7232AC26">
            <w:pPr>
              <w:adjustRightInd w:val="0"/>
              <w:snapToGrid w:val="0"/>
              <w:jc w:val="center"/>
              <w:rPr>
                <w:rFonts w:hint="eastAsia" w:ascii="宋体" w:hAnsi="宋体" w:eastAsia="宋体" w:cs="宋体"/>
                <w:color w:val="auto"/>
                <w:sz w:val="24"/>
                <w:highlight w:val="none"/>
              </w:rPr>
            </w:pPr>
          </w:p>
        </w:tc>
        <w:tc>
          <w:tcPr>
            <w:tcW w:w="1875" w:type="dxa"/>
            <w:vAlign w:val="center"/>
          </w:tcPr>
          <w:p w14:paraId="6CF45AE9">
            <w:pPr>
              <w:adjustRightInd w:val="0"/>
              <w:snapToGrid w:val="0"/>
              <w:jc w:val="center"/>
              <w:rPr>
                <w:rFonts w:hint="eastAsia" w:ascii="宋体" w:hAnsi="宋体" w:eastAsia="宋体" w:cs="宋体"/>
                <w:color w:val="auto"/>
                <w:sz w:val="24"/>
                <w:highlight w:val="none"/>
              </w:rPr>
            </w:pPr>
          </w:p>
        </w:tc>
        <w:tc>
          <w:tcPr>
            <w:tcW w:w="1009" w:type="dxa"/>
            <w:vAlign w:val="center"/>
          </w:tcPr>
          <w:p w14:paraId="6C7986A8">
            <w:pPr>
              <w:adjustRightInd w:val="0"/>
              <w:snapToGrid w:val="0"/>
              <w:jc w:val="center"/>
              <w:rPr>
                <w:rFonts w:hint="eastAsia" w:ascii="宋体" w:hAnsi="宋体" w:eastAsia="宋体" w:cs="宋体"/>
                <w:color w:val="auto"/>
                <w:sz w:val="24"/>
                <w:highlight w:val="none"/>
              </w:rPr>
            </w:pPr>
          </w:p>
        </w:tc>
      </w:tr>
      <w:tr w14:paraId="06F5C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754C5CD">
            <w:pPr>
              <w:adjustRightInd w:val="0"/>
              <w:snapToGrid w:val="0"/>
              <w:jc w:val="center"/>
              <w:rPr>
                <w:rFonts w:hint="eastAsia" w:ascii="宋体" w:hAnsi="宋体" w:eastAsia="宋体" w:cs="宋体"/>
                <w:color w:val="auto"/>
                <w:sz w:val="24"/>
                <w:highlight w:val="none"/>
              </w:rPr>
            </w:pPr>
          </w:p>
        </w:tc>
        <w:tc>
          <w:tcPr>
            <w:tcW w:w="1482" w:type="dxa"/>
            <w:vAlign w:val="center"/>
          </w:tcPr>
          <w:p w14:paraId="7B8B8F01">
            <w:pPr>
              <w:adjustRightInd w:val="0"/>
              <w:snapToGrid w:val="0"/>
              <w:jc w:val="center"/>
              <w:rPr>
                <w:rFonts w:hint="eastAsia" w:ascii="宋体" w:hAnsi="宋体" w:eastAsia="宋体" w:cs="宋体"/>
                <w:color w:val="auto"/>
                <w:sz w:val="24"/>
                <w:highlight w:val="none"/>
              </w:rPr>
            </w:pPr>
          </w:p>
        </w:tc>
        <w:tc>
          <w:tcPr>
            <w:tcW w:w="2384" w:type="dxa"/>
            <w:vAlign w:val="center"/>
          </w:tcPr>
          <w:p w14:paraId="18E2E0F7">
            <w:pPr>
              <w:adjustRightInd w:val="0"/>
              <w:snapToGrid w:val="0"/>
              <w:jc w:val="center"/>
              <w:rPr>
                <w:rFonts w:hint="eastAsia" w:ascii="宋体" w:hAnsi="宋体" w:eastAsia="宋体" w:cs="宋体"/>
                <w:color w:val="auto"/>
                <w:sz w:val="24"/>
                <w:highlight w:val="none"/>
              </w:rPr>
            </w:pPr>
          </w:p>
        </w:tc>
        <w:tc>
          <w:tcPr>
            <w:tcW w:w="2126" w:type="dxa"/>
            <w:vAlign w:val="center"/>
          </w:tcPr>
          <w:p w14:paraId="03D87659">
            <w:pPr>
              <w:adjustRightInd w:val="0"/>
              <w:snapToGrid w:val="0"/>
              <w:jc w:val="center"/>
              <w:rPr>
                <w:rFonts w:hint="eastAsia" w:ascii="宋体" w:hAnsi="宋体" w:eastAsia="宋体" w:cs="宋体"/>
                <w:color w:val="auto"/>
                <w:sz w:val="24"/>
                <w:highlight w:val="none"/>
              </w:rPr>
            </w:pPr>
          </w:p>
        </w:tc>
        <w:tc>
          <w:tcPr>
            <w:tcW w:w="1875" w:type="dxa"/>
            <w:vAlign w:val="center"/>
          </w:tcPr>
          <w:p w14:paraId="05EB2260">
            <w:pPr>
              <w:adjustRightInd w:val="0"/>
              <w:snapToGrid w:val="0"/>
              <w:jc w:val="center"/>
              <w:rPr>
                <w:rFonts w:hint="eastAsia" w:ascii="宋体" w:hAnsi="宋体" w:eastAsia="宋体" w:cs="宋体"/>
                <w:color w:val="auto"/>
                <w:sz w:val="24"/>
                <w:highlight w:val="none"/>
              </w:rPr>
            </w:pPr>
          </w:p>
        </w:tc>
        <w:tc>
          <w:tcPr>
            <w:tcW w:w="1009" w:type="dxa"/>
            <w:vAlign w:val="center"/>
          </w:tcPr>
          <w:p w14:paraId="052BE24D">
            <w:pPr>
              <w:adjustRightInd w:val="0"/>
              <w:snapToGrid w:val="0"/>
              <w:jc w:val="center"/>
              <w:rPr>
                <w:rFonts w:hint="eastAsia" w:ascii="宋体" w:hAnsi="宋体" w:eastAsia="宋体" w:cs="宋体"/>
                <w:color w:val="auto"/>
                <w:sz w:val="24"/>
                <w:highlight w:val="none"/>
              </w:rPr>
            </w:pPr>
          </w:p>
        </w:tc>
      </w:tr>
      <w:tr w14:paraId="69C10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D1B83E1">
            <w:pPr>
              <w:adjustRightInd w:val="0"/>
              <w:snapToGrid w:val="0"/>
              <w:jc w:val="center"/>
              <w:rPr>
                <w:rFonts w:hint="eastAsia" w:ascii="宋体" w:hAnsi="宋体" w:eastAsia="宋体" w:cs="宋体"/>
                <w:color w:val="auto"/>
                <w:sz w:val="24"/>
                <w:highlight w:val="none"/>
              </w:rPr>
            </w:pPr>
          </w:p>
        </w:tc>
        <w:tc>
          <w:tcPr>
            <w:tcW w:w="1482" w:type="dxa"/>
            <w:vAlign w:val="center"/>
          </w:tcPr>
          <w:p w14:paraId="3A945D55">
            <w:pPr>
              <w:adjustRightInd w:val="0"/>
              <w:snapToGrid w:val="0"/>
              <w:jc w:val="center"/>
              <w:rPr>
                <w:rFonts w:hint="eastAsia" w:ascii="宋体" w:hAnsi="宋体" w:eastAsia="宋体" w:cs="宋体"/>
                <w:color w:val="auto"/>
                <w:sz w:val="24"/>
                <w:highlight w:val="none"/>
              </w:rPr>
            </w:pPr>
          </w:p>
        </w:tc>
        <w:tc>
          <w:tcPr>
            <w:tcW w:w="2384" w:type="dxa"/>
            <w:vAlign w:val="center"/>
          </w:tcPr>
          <w:p w14:paraId="1D1CC2BE">
            <w:pPr>
              <w:adjustRightInd w:val="0"/>
              <w:snapToGrid w:val="0"/>
              <w:jc w:val="center"/>
              <w:rPr>
                <w:rFonts w:hint="eastAsia" w:ascii="宋体" w:hAnsi="宋体" w:eastAsia="宋体" w:cs="宋体"/>
                <w:color w:val="auto"/>
                <w:sz w:val="24"/>
                <w:highlight w:val="none"/>
              </w:rPr>
            </w:pPr>
          </w:p>
        </w:tc>
        <w:tc>
          <w:tcPr>
            <w:tcW w:w="2126" w:type="dxa"/>
            <w:vAlign w:val="center"/>
          </w:tcPr>
          <w:p w14:paraId="677680AE">
            <w:pPr>
              <w:adjustRightInd w:val="0"/>
              <w:snapToGrid w:val="0"/>
              <w:jc w:val="center"/>
              <w:rPr>
                <w:rFonts w:hint="eastAsia" w:ascii="宋体" w:hAnsi="宋体" w:eastAsia="宋体" w:cs="宋体"/>
                <w:color w:val="auto"/>
                <w:sz w:val="24"/>
                <w:highlight w:val="none"/>
              </w:rPr>
            </w:pPr>
          </w:p>
        </w:tc>
        <w:tc>
          <w:tcPr>
            <w:tcW w:w="1875" w:type="dxa"/>
            <w:vAlign w:val="center"/>
          </w:tcPr>
          <w:p w14:paraId="2BAD5C0F">
            <w:pPr>
              <w:adjustRightInd w:val="0"/>
              <w:snapToGrid w:val="0"/>
              <w:jc w:val="center"/>
              <w:rPr>
                <w:rFonts w:hint="eastAsia" w:ascii="宋体" w:hAnsi="宋体" w:eastAsia="宋体" w:cs="宋体"/>
                <w:color w:val="auto"/>
                <w:sz w:val="24"/>
                <w:highlight w:val="none"/>
              </w:rPr>
            </w:pPr>
          </w:p>
        </w:tc>
        <w:tc>
          <w:tcPr>
            <w:tcW w:w="1009" w:type="dxa"/>
            <w:vAlign w:val="center"/>
          </w:tcPr>
          <w:p w14:paraId="4B45213E">
            <w:pPr>
              <w:adjustRightInd w:val="0"/>
              <w:snapToGrid w:val="0"/>
              <w:jc w:val="center"/>
              <w:rPr>
                <w:rFonts w:hint="eastAsia" w:ascii="宋体" w:hAnsi="宋体" w:eastAsia="宋体" w:cs="宋体"/>
                <w:color w:val="auto"/>
                <w:sz w:val="24"/>
                <w:highlight w:val="none"/>
              </w:rPr>
            </w:pPr>
          </w:p>
        </w:tc>
      </w:tr>
      <w:tr w14:paraId="4D6DF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E0B64A9">
            <w:pPr>
              <w:adjustRightInd w:val="0"/>
              <w:snapToGrid w:val="0"/>
              <w:jc w:val="center"/>
              <w:rPr>
                <w:rFonts w:hint="eastAsia" w:ascii="宋体" w:hAnsi="宋体" w:eastAsia="宋体" w:cs="宋体"/>
                <w:color w:val="auto"/>
                <w:sz w:val="24"/>
                <w:highlight w:val="none"/>
              </w:rPr>
            </w:pPr>
          </w:p>
        </w:tc>
        <w:tc>
          <w:tcPr>
            <w:tcW w:w="1482" w:type="dxa"/>
            <w:vAlign w:val="center"/>
          </w:tcPr>
          <w:p w14:paraId="2D7F68A4">
            <w:pPr>
              <w:adjustRightInd w:val="0"/>
              <w:snapToGrid w:val="0"/>
              <w:jc w:val="center"/>
              <w:rPr>
                <w:rFonts w:hint="eastAsia" w:ascii="宋体" w:hAnsi="宋体" w:eastAsia="宋体" w:cs="宋体"/>
                <w:color w:val="auto"/>
                <w:sz w:val="24"/>
                <w:highlight w:val="none"/>
              </w:rPr>
            </w:pPr>
          </w:p>
        </w:tc>
        <w:tc>
          <w:tcPr>
            <w:tcW w:w="2384" w:type="dxa"/>
            <w:vAlign w:val="center"/>
          </w:tcPr>
          <w:p w14:paraId="09A6ADB1">
            <w:pPr>
              <w:adjustRightInd w:val="0"/>
              <w:snapToGrid w:val="0"/>
              <w:jc w:val="center"/>
              <w:rPr>
                <w:rFonts w:hint="eastAsia" w:ascii="宋体" w:hAnsi="宋体" w:eastAsia="宋体" w:cs="宋体"/>
                <w:color w:val="auto"/>
                <w:sz w:val="24"/>
                <w:highlight w:val="none"/>
              </w:rPr>
            </w:pPr>
          </w:p>
        </w:tc>
        <w:tc>
          <w:tcPr>
            <w:tcW w:w="2126" w:type="dxa"/>
            <w:vAlign w:val="center"/>
          </w:tcPr>
          <w:p w14:paraId="70836FBF">
            <w:pPr>
              <w:adjustRightInd w:val="0"/>
              <w:snapToGrid w:val="0"/>
              <w:jc w:val="center"/>
              <w:rPr>
                <w:rFonts w:hint="eastAsia" w:ascii="宋体" w:hAnsi="宋体" w:eastAsia="宋体" w:cs="宋体"/>
                <w:color w:val="auto"/>
                <w:sz w:val="24"/>
                <w:highlight w:val="none"/>
              </w:rPr>
            </w:pPr>
          </w:p>
        </w:tc>
        <w:tc>
          <w:tcPr>
            <w:tcW w:w="1875" w:type="dxa"/>
            <w:vAlign w:val="center"/>
          </w:tcPr>
          <w:p w14:paraId="501C5C09">
            <w:pPr>
              <w:adjustRightInd w:val="0"/>
              <w:snapToGrid w:val="0"/>
              <w:jc w:val="center"/>
              <w:rPr>
                <w:rFonts w:hint="eastAsia" w:ascii="宋体" w:hAnsi="宋体" w:eastAsia="宋体" w:cs="宋体"/>
                <w:color w:val="auto"/>
                <w:sz w:val="24"/>
                <w:highlight w:val="none"/>
              </w:rPr>
            </w:pPr>
          </w:p>
        </w:tc>
        <w:tc>
          <w:tcPr>
            <w:tcW w:w="1009" w:type="dxa"/>
            <w:vAlign w:val="center"/>
          </w:tcPr>
          <w:p w14:paraId="54AAE5B4">
            <w:pPr>
              <w:adjustRightInd w:val="0"/>
              <w:snapToGrid w:val="0"/>
              <w:jc w:val="center"/>
              <w:rPr>
                <w:rFonts w:hint="eastAsia" w:ascii="宋体" w:hAnsi="宋体" w:eastAsia="宋体" w:cs="宋体"/>
                <w:color w:val="auto"/>
                <w:sz w:val="24"/>
                <w:highlight w:val="none"/>
              </w:rPr>
            </w:pPr>
          </w:p>
        </w:tc>
      </w:tr>
      <w:tr w14:paraId="2E56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FEB8C42">
            <w:pPr>
              <w:adjustRightInd w:val="0"/>
              <w:snapToGrid w:val="0"/>
              <w:jc w:val="center"/>
              <w:rPr>
                <w:rFonts w:hint="eastAsia" w:ascii="宋体" w:hAnsi="宋体" w:eastAsia="宋体" w:cs="宋体"/>
                <w:color w:val="auto"/>
                <w:sz w:val="24"/>
                <w:highlight w:val="none"/>
              </w:rPr>
            </w:pPr>
          </w:p>
        </w:tc>
        <w:tc>
          <w:tcPr>
            <w:tcW w:w="1482" w:type="dxa"/>
            <w:vAlign w:val="center"/>
          </w:tcPr>
          <w:p w14:paraId="0E4DFE25">
            <w:pPr>
              <w:adjustRightInd w:val="0"/>
              <w:snapToGrid w:val="0"/>
              <w:jc w:val="center"/>
              <w:rPr>
                <w:rFonts w:hint="eastAsia" w:ascii="宋体" w:hAnsi="宋体" w:eastAsia="宋体" w:cs="宋体"/>
                <w:color w:val="auto"/>
                <w:sz w:val="24"/>
                <w:highlight w:val="none"/>
              </w:rPr>
            </w:pPr>
          </w:p>
        </w:tc>
        <w:tc>
          <w:tcPr>
            <w:tcW w:w="2384" w:type="dxa"/>
            <w:vAlign w:val="center"/>
          </w:tcPr>
          <w:p w14:paraId="299967DA">
            <w:pPr>
              <w:adjustRightInd w:val="0"/>
              <w:snapToGrid w:val="0"/>
              <w:jc w:val="center"/>
              <w:rPr>
                <w:rFonts w:hint="eastAsia" w:ascii="宋体" w:hAnsi="宋体" w:eastAsia="宋体" w:cs="宋体"/>
                <w:color w:val="auto"/>
                <w:sz w:val="24"/>
                <w:highlight w:val="none"/>
              </w:rPr>
            </w:pPr>
          </w:p>
        </w:tc>
        <w:tc>
          <w:tcPr>
            <w:tcW w:w="2126" w:type="dxa"/>
            <w:vAlign w:val="center"/>
          </w:tcPr>
          <w:p w14:paraId="0456E101">
            <w:pPr>
              <w:adjustRightInd w:val="0"/>
              <w:snapToGrid w:val="0"/>
              <w:jc w:val="center"/>
              <w:rPr>
                <w:rFonts w:hint="eastAsia" w:ascii="宋体" w:hAnsi="宋体" w:eastAsia="宋体" w:cs="宋体"/>
                <w:color w:val="auto"/>
                <w:sz w:val="24"/>
                <w:highlight w:val="none"/>
              </w:rPr>
            </w:pPr>
          </w:p>
        </w:tc>
        <w:tc>
          <w:tcPr>
            <w:tcW w:w="1875" w:type="dxa"/>
            <w:vAlign w:val="center"/>
          </w:tcPr>
          <w:p w14:paraId="08F51916">
            <w:pPr>
              <w:adjustRightInd w:val="0"/>
              <w:snapToGrid w:val="0"/>
              <w:jc w:val="center"/>
              <w:rPr>
                <w:rFonts w:hint="eastAsia" w:ascii="宋体" w:hAnsi="宋体" w:eastAsia="宋体" w:cs="宋体"/>
                <w:color w:val="auto"/>
                <w:sz w:val="24"/>
                <w:highlight w:val="none"/>
              </w:rPr>
            </w:pPr>
          </w:p>
        </w:tc>
        <w:tc>
          <w:tcPr>
            <w:tcW w:w="1009" w:type="dxa"/>
            <w:vAlign w:val="center"/>
          </w:tcPr>
          <w:p w14:paraId="6001DE89">
            <w:pPr>
              <w:adjustRightInd w:val="0"/>
              <w:snapToGrid w:val="0"/>
              <w:jc w:val="center"/>
              <w:rPr>
                <w:rFonts w:hint="eastAsia" w:ascii="宋体" w:hAnsi="宋体" w:eastAsia="宋体" w:cs="宋体"/>
                <w:color w:val="auto"/>
                <w:sz w:val="24"/>
                <w:highlight w:val="none"/>
              </w:rPr>
            </w:pPr>
          </w:p>
        </w:tc>
      </w:tr>
    </w:tbl>
    <w:p w14:paraId="040B2620">
      <w:pPr>
        <w:tabs>
          <w:tab w:val="left" w:pos="1800"/>
          <w:tab w:val="left" w:pos="5580"/>
        </w:tabs>
        <w:spacing w:line="360" w:lineRule="auto"/>
        <w:ind w:firstLine="360" w:firstLineChars="150"/>
        <w:jc w:val="left"/>
        <w:rPr>
          <w:rFonts w:hint="eastAsia" w:ascii="宋体" w:hAnsi="宋体" w:eastAsia="宋体" w:cs="宋体"/>
          <w:color w:val="auto"/>
          <w:sz w:val="24"/>
          <w:highlight w:val="none"/>
          <w:u w:val="single"/>
        </w:rPr>
      </w:pPr>
    </w:p>
    <w:p w14:paraId="48E8B1CF">
      <w:pPr>
        <w:tabs>
          <w:tab w:val="left" w:pos="1800"/>
          <w:tab w:val="left" w:pos="5580"/>
        </w:tabs>
        <w:spacing w:line="360" w:lineRule="auto"/>
        <w:ind w:firstLine="360" w:firstLineChars="150"/>
        <w:jc w:val="left"/>
        <w:rPr>
          <w:rFonts w:hint="eastAsia" w:ascii="宋体" w:hAnsi="宋体" w:eastAsia="宋体" w:cs="宋体"/>
          <w:color w:val="auto"/>
          <w:sz w:val="24"/>
          <w:highlight w:val="none"/>
          <w:u w:val="single"/>
        </w:rPr>
      </w:pPr>
    </w:p>
    <w:p w14:paraId="27F4A47E">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16A0A851">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对招标文件中的所有商务、技术要求，除本表所列明的所有偏离外，均视作供应商已对之理解和响应。此表中若无任何文字说明，内容为空白，</w:t>
      </w:r>
      <w:r>
        <w:rPr>
          <w:rFonts w:hint="eastAsia" w:ascii="宋体" w:hAnsi="宋体" w:eastAsia="宋体" w:cs="宋体"/>
          <w:b/>
          <w:color w:val="auto"/>
          <w:sz w:val="24"/>
          <w:highlight w:val="none"/>
        </w:rPr>
        <w:t>投标无效。</w:t>
      </w:r>
    </w:p>
    <w:p w14:paraId="05C2FC7C">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2.“偏离情况”列应据实填写“正偏离”或“负偏离”或“无偏离”。</w:t>
      </w:r>
    </w:p>
    <w:p w14:paraId="0624F7D2">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3.如对招标文件中的所有采购需求相关要求均不存在偏离情况，可不一一列示，在“偏离情况”列填写“全部响应，无偏离”。</w:t>
      </w:r>
    </w:p>
    <w:p w14:paraId="530E4DBE">
      <w:pPr>
        <w:tabs>
          <w:tab w:val="left" w:pos="1800"/>
          <w:tab w:val="left" w:pos="5580"/>
        </w:tabs>
        <w:jc w:val="left"/>
        <w:rPr>
          <w:rFonts w:hint="eastAsia" w:ascii="宋体" w:hAnsi="宋体" w:eastAsia="宋体" w:cs="宋体"/>
          <w:color w:val="auto"/>
          <w:sz w:val="24"/>
          <w:highlight w:val="none"/>
        </w:rPr>
      </w:pPr>
    </w:p>
    <w:p w14:paraId="37494247">
      <w:pPr>
        <w:rPr>
          <w:rFonts w:hint="eastAsia" w:ascii="宋体" w:hAnsi="宋体" w:eastAsia="宋体" w:cs="宋体"/>
          <w:color w:val="auto"/>
          <w:sz w:val="24"/>
          <w:szCs w:val="20"/>
          <w:highlight w:val="none"/>
        </w:rPr>
      </w:pPr>
    </w:p>
    <w:p w14:paraId="2032E71E">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1C07D1C8">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投标人名称（加盖公章）</w:t>
      </w:r>
      <w:r>
        <w:rPr>
          <w:rFonts w:hint="eastAsia" w:ascii="宋体" w:hAnsi="宋体" w:eastAsia="宋体" w:cs="宋体"/>
          <w:color w:val="auto"/>
          <w:sz w:val="24"/>
          <w:highlight w:val="none"/>
          <w:lang w:val="zh-CN"/>
        </w:rPr>
        <w:t>：____________</w:t>
      </w:r>
    </w:p>
    <w:p w14:paraId="24240FE9">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4D43442D">
      <w:pPr>
        <w:spacing w:line="360" w:lineRule="auto"/>
        <w:outlineLvl w:val="2"/>
        <w:rPr>
          <w:rFonts w:hint="eastAsia" w:ascii="宋体" w:hAnsi="宋体" w:eastAsia="宋体" w:cs="宋体"/>
          <w:color w:val="auto"/>
          <w:sz w:val="24"/>
          <w:szCs w:val="20"/>
          <w:highlight w:val="none"/>
          <w:lang w:eastAsia="zh-CN"/>
        </w:rPr>
      </w:pPr>
      <w:r>
        <w:rPr>
          <w:rFonts w:hint="eastAsia"/>
          <w:color w:val="auto"/>
          <w:highlight w:val="none"/>
        </w:rPr>
        <w:br w:type="page"/>
      </w:r>
      <w:r>
        <w:rPr>
          <w:rFonts w:hint="eastAsia" w:ascii="宋体" w:hAnsi="宋体" w:cs="宋体"/>
          <w:color w:val="auto"/>
          <w:sz w:val="24"/>
          <w:szCs w:val="20"/>
          <w:highlight w:val="none"/>
          <w:lang w:val="en-US" w:eastAsia="zh-CN"/>
        </w:rPr>
        <w:t>7</w:t>
      </w:r>
      <w:r>
        <w:rPr>
          <w:rFonts w:hint="eastAsia" w:ascii="宋体" w:hAnsi="宋体" w:eastAsia="宋体" w:cs="宋体"/>
          <w:color w:val="auto"/>
          <w:sz w:val="24"/>
          <w:szCs w:val="20"/>
          <w:highlight w:val="none"/>
        </w:rPr>
        <w:t xml:space="preserve"> 落实政府采购政策需满足的资格要求（如有）</w:t>
      </w:r>
    </w:p>
    <w:p w14:paraId="29974B42">
      <w:pPr>
        <w:spacing w:line="360" w:lineRule="auto"/>
        <w:outlineLvl w:val="2"/>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7</w:t>
      </w:r>
      <w:r>
        <w:rPr>
          <w:rFonts w:hint="eastAsia" w:ascii="宋体" w:hAnsi="宋体" w:eastAsia="宋体" w:cs="宋体"/>
          <w:color w:val="auto"/>
          <w:sz w:val="24"/>
          <w:szCs w:val="20"/>
          <w:highlight w:val="none"/>
        </w:rPr>
        <w:t>-1中小企业证明文件</w:t>
      </w:r>
    </w:p>
    <w:p w14:paraId="55B05936">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p w14:paraId="774BDD39">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642D6085">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（2）如本项目（包）专门面向中小企业采购，投标文件中须提供《中小企业声明函》</w:t>
      </w:r>
      <w:r>
        <w:rPr>
          <w:rFonts w:hint="eastAsia" w:ascii="宋体" w:hAnsi="宋体" w:eastAsia="宋体" w:cs="宋体"/>
          <w:color w:val="auto"/>
          <w:sz w:val="24"/>
          <w:szCs w:val="20"/>
          <w:highlight w:val="none"/>
        </w:rPr>
        <w:t>或《残疾人福利性单位声明函》</w:t>
      </w:r>
      <w:r>
        <w:rPr>
          <w:rFonts w:hint="eastAsia" w:ascii="宋体" w:hAnsi="宋体" w:eastAsia="宋体" w:cs="宋体"/>
          <w:color w:val="auto"/>
          <w:sz w:val="24"/>
          <w:highlight w:val="none"/>
        </w:rPr>
        <w:t>或由省级以上监狱管理局、戒毒管理局（含新疆生产建设兵团）出具的属于监狱企业的证明文件，且建议在资格证明文件部分提供。</w:t>
      </w:r>
    </w:p>
    <w:p w14:paraId="3B779508">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（3）如本项目（包）预留部分采购项目预算专门面向中小企业采购，且要求获得采购合同的供应商将采购项目中的一定比例分包给一家或者多家中小企业的，投标文件中除须提供《中小企业声明函》</w:t>
      </w:r>
      <w:r>
        <w:rPr>
          <w:rFonts w:hint="eastAsia" w:ascii="宋体" w:hAnsi="宋体" w:eastAsia="宋体" w:cs="宋体"/>
          <w:color w:val="auto"/>
          <w:sz w:val="24"/>
          <w:szCs w:val="20"/>
          <w:highlight w:val="none"/>
        </w:rPr>
        <w:t>或《残疾人福利性单位声明函》</w:t>
      </w:r>
      <w:r>
        <w:rPr>
          <w:rFonts w:hint="eastAsia" w:ascii="宋体" w:hAnsi="宋体" w:eastAsia="宋体" w:cs="宋体"/>
          <w:color w:val="auto"/>
          <w:sz w:val="24"/>
          <w:highlight w:val="none"/>
        </w:rPr>
        <w:t>或由省级以上监狱管理局、戒毒管理局（含新疆生产建设兵团）出具的属于监狱企业的证明文件，还须同时提供《拟分包情况说明》及《分包意向协议》，且建议在资格证明文件部分提供。</w:t>
      </w:r>
    </w:p>
    <w:p w14:paraId="39C4D465">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（4）如本项目（包）预留部分采购项目预算专门面向中小企业采购，且要求供应商以联合体形式参加采购活动，投标文件中除需提供《中小企业声明函》</w:t>
      </w:r>
      <w:r>
        <w:rPr>
          <w:rFonts w:hint="eastAsia" w:ascii="宋体" w:hAnsi="宋体" w:eastAsia="宋体" w:cs="宋体"/>
          <w:color w:val="auto"/>
          <w:sz w:val="24"/>
          <w:szCs w:val="20"/>
          <w:highlight w:val="none"/>
        </w:rPr>
        <w:t>或《残疾人福利性单位声明函》</w:t>
      </w:r>
      <w:r>
        <w:rPr>
          <w:rFonts w:hint="eastAsia" w:ascii="宋体" w:hAnsi="宋体" w:eastAsia="宋体" w:cs="宋体"/>
          <w:color w:val="auto"/>
          <w:sz w:val="24"/>
          <w:highlight w:val="none"/>
        </w:rPr>
        <w:t>或由省级以上监狱管理局、戒毒管理局（含新疆生产建设兵团）出具的属于监狱企业的证明文件，还须同时提供《联合协议》；上述文件建议在资格证明文件部分提供。</w:t>
      </w:r>
    </w:p>
    <w:p w14:paraId="5CB9B7D7">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（5）中小企业声明函填写注意事项</w:t>
      </w:r>
    </w:p>
    <w:p w14:paraId="4D707B3F">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1）《中小企业声明函》由参加政府采购活动的投标人出具。联合体投标的，《中小企业声明函》由牵头人出具。</w:t>
      </w:r>
    </w:p>
    <w:p w14:paraId="5B112639">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3C0512B">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3）对于多标的的采购项目，投标人应充分、准确地了解所提供货物的制造企业、提供服务的承接企业信息。对相关情况了解不清楚的，不建议填报本声明函。</w:t>
      </w:r>
    </w:p>
    <w:p w14:paraId="181A9650">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6E0878E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中小企业声明函及残疾人福利性单位声明函格式</w:t>
      </w:r>
    </w:p>
    <w:p w14:paraId="33296355">
      <w:pPr>
        <w:spacing w:before="240" w:beforeLines="100" w:after="240" w:afterLines="100"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中小企业声明函（工程、服务）格式</w:t>
      </w:r>
    </w:p>
    <w:p w14:paraId="65BF8C06">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本公司</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（联合体）郑重声明，根据《政府采购促进中小企业发展管理办法》（财库﹝2020﹞46 号）的规定，本公司</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（联合体）参加</w:t>
      </w:r>
      <w:r>
        <w:rPr>
          <w:rFonts w:hint="eastAsia" w:ascii="宋体" w:hAnsi="宋体" w:cs="宋体"/>
          <w:color w:val="auto"/>
          <w:spacing w:val="6"/>
          <w:sz w:val="24"/>
          <w:highlight w:val="none"/>
          <w:lang w:val="en-US" w:eastAsia="zh-CN"/>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（单位名称）的</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4C9789F7">
      <w:pPr>
        <w:numPr>
          <w:ilvl w:val="0"/>
          <w:numId w:val="19"/>
        </w:numPr>
        <w:spacing w:line="360" w:lineRule="auto"/>
        <w:ind w:firstLine="504"/>
        <w:rPr>
          <w:rFonts w:hint="eastAsia" w:ascii="宋体" w:hAnsi="宋体" w:eastAsia="宋体" w:cs="宋体"/>
          <w:color w:val="auto"/>
          <w:spacing w:val="6"/>
          <w:sz w:val="24"/>
          <w:highlight w:val="none"/>
        </w:rPr>
      </w:pP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（标的名称）</w:t>
      </w:r>
      <w:r>
        <w:rPr>
          <w:rFonts w:hint="eastAsia" w:ascii="宋体" w:hAnsi="宋体" w:eastAsia="宋体" w:cs="宋体"/>
          <w:color w:val="auto"/>
          <w:spacing w:val="6"/>
          <w:sz w:val="24"/>
          <w:highlight w:val="none"/>
        </w:rPr>
        <w:t>，属于</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行业；承建（承接）企业为</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，从业人员______人，营业收入为______万元，资产总额为______万元</w:t>
      </w:r>
      <w:r>
        <w:rPr>
          <w:rFonts w:hint="eastAsia" w:ascii="宋体" w:hAnsi="宋体" w:eastAsia="宋体" w:cs="宋体"/>
          <w:color w:val="auto"/>
          <w:spacing w:val="6"/>
          <w:sz w:val="24"/>
          <w:highlight w:val="none"/>
          <w:vertAlign w:val="superscript"/>
        </w:rPr>
        <w:t>1</w:t>
      </w:r>
      <w:r>
        <w:rPr>
          <w:rFonts w:hint="eastAsia" w:ascii="宋体" w:hAnsi="宋体" w:eastAsia="宋体" w:cs="宋体"/>
          <w:color w:val="auto"/>
          <w:spacing w:val="6"/>
          <w:sz w:val="24"/>
          <w:highlight w:val="none"/>
        </w:rPr>
        <w:t>，属于</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4AFCFF0D">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2.</w:t>
      </w:r>
      <w:r>
        <w:rPr>
          <w:rFonts w:hint="eastAsia" w:ascii="宋体" w:hAnsi="宋体" w:eastAsia="宋体" w:cs="宋体"/>
          <w:color w:val="auto"/>
          <w:spacing w:val="6"/>
          <w:sz w:val="24"/>
          <w:highlight w:val="none"/>
          <w:u w:val="single"/>
        </w:rPr>
        <w:t>（标的名称）</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行业；承建（承接）企业为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，从业人员______人，营业收入为______万元，资产总额为______万元，属于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1B488360">
      <w:pPr>
        <w:spacing w:line="360" w:lineRule="auto"/>
        <w:ind w:firstLine="504"/>
        <w:rPr>
          <w:rFonts w:hint="eastAsia" w:ascii="宋体" w:hAnsi="宋体" w:eastAsia="宋体" w:cs="宋体"/>
          <w:color w:val="auto"/>
          <w:spacing w:val="6"/>
          <w:sz w:val="24"/>
          <w:highlight w:val="none"/>
        </w:rPr>
      </w:pPr>
    </w:p>
    <w:p w14:paraId="084CFE62">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p>
    <w:p w14:paraId="16B757A6">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以上企业，不属于大企业的分支机构，不存在控股股东为大企业的情形，也不存在与大企业的负责人为同一人的情形。</w:t>
      </w:r>
    </w:p>
    <w:p w14:paraId="4F42586B">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本企业对上述声明内容的真实性负责。如有虚假，将依法承担相应责任。</w:t>
      </w:r>
    </w:p>
    <w:p w14:paraId="777E3E1B">
      <w:pPr>
        <w:spacing w:line="360" w:lineRule="auto"/>
        <w:ind w:right="360" w:firstLine="480"/>
        <w:jc w:val="right"/>
        <w:rPr>
          <w:rFonts w:hint="eastAsia" w:ascii="宋体" w:hAnsi="宋体" w:eastAsia="宋体" w:cs="宋体"/>
          <w:color w:val="auto"/>
          <w:sz w:val="24"/>
          <w:highlight w:val="none"/>
        </w:rPr>
      </w:pPr>
    </w:p>
    <w:p w14:paraId="36B3171F">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企业名称（盖章）：________</w:t>
      </w:r>
    </w:p>
    <w:p w14:paraId="0AF81792">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期：________</w:t>
      </w:r>
    </w:p>
    <w:p w14:paraId="1F28B6AC">
      <w:pPr>
        <w:adjustRightInd w:val="0"/>
        <w:snapToGrid w:val="0"/>
        <w:jc w:val="left"/>
        <w:rPr>
          <w:rFonts w:hint="eastAsia" w:ascii="宋体" w:hAnsi="宋体" w:eastAsia="宋体" w:cs="宋体"/>
          <w:color w:val="auto"/>
          <w:sz w:val="24"/>
          <w:szCs w:val="21"/>
          <w:highlight w:val="none"/>
        </w:rPr>
      </w:pPr>
    </w:p>
    <w:p w14:paraId="25DE94F8">
      <w:pPr>
        <w:adjustRightInd w:val="0"/>
        <w:snapToGrid w:val="0"/>
        <w:jc w:val="left"/>
        <w:rPr>
          <w:rFonts w:hint="eastAsia" w:ascii="宋体" w:hAnsi="宋体" w:eastAsia="宋体" w:cs="宋体"/>
          <w:color w:val="auto"/>
          <w:sz w:val="24"/>
          <w:szCs w:val="21"/>
          <w:highlight w:val="none"/>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3"/>
      </w:tblGrid>
      <w:tr w14:paraId="1294D09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B950186">
            <w:pPr>
              <w:adjustRightInd w:val="0"/>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14:paraId="5CEAA1E0">
      <w:pPr>
        <w:adjustRightInd w:val="0"/>
        <w:snapToGrid w:val="0"/>
        <w:jc w:val="left"/>
        <w:rPr>
          <w:rFonts w:hint="eastAsia" w:ascii="宋体" w:hAnsi="宋体" w:eastAsia="宋体" w:cs="宋体"/>
          <w:color w:val="auto"/>
          <w:szCs w:val="21"/>
          <w:highlight w:val="none"/>
          <w:vertAlign w:val="superscript"/>
        </w:rPr>
      </w:pPr>
    </w:p>
    <w:p w14:paraId="457E251C">
      <w:pPr>
        <w:spacing w:line="360" w:lineRule="auto"/>
        <w:ind w:right="360" w:firstLine="480"/>
        <w:jc w:val="right"/>
        <w:rPr>
          <w:rFonts w:hint="eastAsia" w:ascii="宋体" w:hAnsi="宋体" w:eastAsia="宋体" w:cs="宋体"/>
          <w:color w:val="auto"/>
          <w:sz w:val="24"/>
          <w:highlight w:val="none"/>
        </w:rPr>
      </w:pPr>
    </w:p>
    <w:p w14:paraId="4846803C">
      <w:pPr>
        <w:spacing w:line="360" w:lineRule="auto"/>
        <w:ind w:right="360" w:firstLine="480"/>
        <w:jc w:val="right"/>
        <w:rPr>
          <w:rFonts w:hint="eastAsia" w:ascii="宋体" w:hAnsi="宋体" w:eastAsia="宋体" w:cs="宋体"/>
          <w:color w:val="auto"/>
          <w:sz w:val="24"/>
          <w:highlight w:val="none"/>
        </w:rPr>
      </w:pPr>
    </w:p>
    <w:p w14:paraId="6DC028E9">
      <w:pPr>
        <w:spacing w:line="360" w:lineRule="auto"/>
        <w:outlineLvl w:val="9"/>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p>
    <w:p w14:paraId="0CAA6AB7">
      <w:pPr>
        <w:spacing w:before="240" w:beforeLines="100" w:after="240" w:afterLines="100" w:line="360" w:lineRule="auto"/>
        <w:jc w:val="center"/>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rPr>
        <w:t>残疾人福利性单位声明函格式</w:t>
      </w:r>
      <w:r>
        <w:rPr>
          <w:rFonts w:hint="eastAsia" w:ascii="宋体" w:hAnsi="宋体" w:eastAsia="宋体" w:cs="宋体"/>
          <w:b/>
          <w:color w:val="auto"/>
          <w:sz w:val="36"/>
          <w:szCs w:val="36"/>
          <w:highlight w:val="none"/>
        </w:rPr>
        <w:t xml:space="preserve">       </w:t>
      </w:r>
    </w:p>
    <w:p w14:paraId="37E27DC6">
      <w:pPr>
        <w:spacing w:line="588" w:lineRule="exact"/>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 141</w:t>
      </w:r>
      <w:r>
        <w:rPr>
          <w:rFonts w:hint="eastAsia" w:ascii="宋体" w:hAnsi="宋体" w:eastAsia="宋体" w:cs="宋体"/>
          <w:color w:val="auto"/>
          <w:spacing w:val="6"/>
          <w:sz w:val="24"/>
          <w:highlight w:val="none"/>
        </w:rPr>
        <w:t>号）的规定，本单位</w:t>
      </w:r>
      <w:r>
        <w:rPr>
          <w:rFonts w:hint="eastAsia" w:ascii="宋体" w:hAnsi="宋体" w:eastAsia="宋体" w:cs="宋体"/>
          <w:b/>
          <w:color w:val="auto"/>
          <w:sz w:val="24"/>
          <w:highlight w:val="none"/>
        </w:rPr>
        <w:t>（请进行勾选）</w:t>
      </w:r>
      <w:r>
        <w:rPr>
          <w:rFonts w:hint="eastAsia" w:ascii="宋体" w:hAnsi="宋体" w:eastAsia="宋体" w:cs="宋体"/>
          <w:color w:val="auto"/>
          <w:spacing w:val="6"/>
          <w:sz w:val="24"/>
          <w:highlight w:val="none"/>
        </w:rPr>
        <w:t>：</w:t>
      </w:r>
    </w:p>
    <w:p w14:paraId="183DD6E4">
      <w:pPr>
        <w:spacing w:line="588" w:lineRule="exact"/>
        <w:ind w:firstLine="482"/>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sym w:font="Wingdings 2" w:char="00A3"/>
      </w:r>
      <w:r>
        <w:rPr>
          <w:rFonts w:hint="eastAsia" w:ascii="宋体" w:hAnsi="宋体" w:eastAsia="宋体" w:cs="宋体"/>
          <w:b/>
          <w:color w:val="auto"/>
          <w:spacing w:val="6"/>
          <w:sz w:val="24"/>
          <w:highlight w:val="none"/>
        </w:rPr>
        <w:t>不属于符合条件的残疾人福利性单位。</w:t>
      </w:r>
    </w:p>
    <w:p w14:paraId="57CF26EB">
      <w:pPr>
        <w:spacing w:line="588" w:lineRule="exact"/>
        <w:ind w:firstLine="482"/>
        <w:rPr>
          <w:rFonts w:hint="eastAsia" w:ascii="宋体" w:hAnsi="宋体" w:eastAsia="宋体" w:cs="宋体"/>
          <w:color w:val="auto"/>
          <w:spacing w:val="6"/>
          <w:sz w:val="24"/>
          <w:highlight w:val="none"/>
        </w:rPr>
      </w:pPr>
      <w:r>
        <w:rPr>
          <w:rFonts w:hint="eastAsia" w:ascii="宋体" w:hAnsi="宋体" w:eastAsia="宋体" w:cs="宋体"/>
          <w:b/>
          <w:color w:val="auto"/>
          <w:sz w:val="24"/>
          <w:highlight w:val="none"/>
        </w:rPr>
        <w:sym w:font="Wingdings 2" w:char="00A3"/>
      </w:r>
      <w:r>
        <w:rPr>
          <w:rFonts w:hint="eastAsia" w:ascii="宋体" w:hAnsi="宋体" w:eastAsia="宋体" w:cs="宋体"/>
          <w:b/>
          <w:color w:val="auto"/>
          <w:spacing w:val="6"/>
          <w:sz w:val="24"/>
          <w:highlight w:val="none"/>
        </w:rPr>
        <w:t>属于符合条件的残疾人福利性单位，</w:t>
      </w:r>
      <w:r>
        <w:rPr>
          <w:rFonts w:hint="eastAsia" w:ascii="宋体" w:hAnsi="宋体" w:eastAsia="宋体" w:cs="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B7ACFCB">
      <w:pPr>
        <w:spacing w:line="588" w:lineRule="exact"/>
        <w:ind w:firstLine="506" w:firstLineChars="200"/>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本单位对上述声明的真实性负责。如有虚假，将依法承担相应责任。</w:t>
      </w:r>
    </w:p>
    <w:p w14:paraId="06BEAE3B">
      <w:pPr>
        <w:spacing w:line="588" w:lineRule="exact"/>
        <w:ind w:firstLine="504" w:firstLineChars="200"/>
        <w:rPr>
          <w:rFonts w:hint="eastAsia" w:ascii="宋体" w:hAnsi="宋体" w:eastAsia="宋体" w:cs="宋体"/>
          <w:color w:val="auto"/>
          <w:spacing w:val="6"/>
          <w:sz w:val="24"/>
          <w:highlight w:val="none"/>
        </w:rPr>
      </w:pPr>
    </w:p>
    <w:p w14:paraId="4910D5AE">
      <w:pPr>
        <w:spacing w:line="588" w:lineRule="exact"/>
        <w:ind w:firstLine="504" w:firstLineChars="200"/>
        <w:rPr>
          <w:rFonts w:hint="eastAsia" w:ascii="宋体" w:hAnsi="宋体" w:eastAsia="宋体" w:cs="宋体"/>
          <w:color w:val="auto"/>
          <w:spacing w:val="6"/>
          <w:sz w:val="24"/>
          <w:highlight w:val="none"/>
        </w:rPr>
      </w:pPr>
    </w:p>
    <w:p w14:paraId="482C236B">
      <w:pPr>
        <w:tabs>
          <w:tab w:val="left" w:pos="4860"/>
        </w:tabs>
        <w:spacing w:line="588" w:lineRule="exact"/>
        <w:ind w:right="1560" w:firstLine="504" w:firstLineChars="200"/>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p>
    <w:p w14:paraId="035FA1E0">
      <w:pPr>
        <w:tabs>
          <w:tab w:val="left" w:pos="4860"/>
        </w:tabs>
        <w:spacing w:line="588" w:lineRule="exact"/>
        <w:ind w:right="1560" w:firstLine="504" w:firstLineChars="200"/>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p>
    <w:p w14:paraId="052DE2E7">
      <w:pPr>
        <w:bidi w:val="0"/>
        <w:rPr>
          <w:rFonts w:hint="eastAsia"/>
          <w:color w:val="auto"/>
          <w:highlight w:val="none"/>
        </w:rPr>
      </w:pPr>
      <w:r>
        <w:rPr>
          <w:rFonts w:hint="eastAsia"/>
          <w:color w:val="auto"/>
          <w:highlight w:val="none"/>
        </w:rPr>
        <w:br w:type="page"/>
      </w:r>
    </w:p>
    <w:p w14:paraId="197D4BCC">
      <w:pPr>
        <w:pStyle w:val="28"/>
        <w:rPr>
          <w:rFonts w:hint="eastAsia"/>
          <w:color w:val="auto"/>
          <w:highlight w:val="none"/>
        </w:rPr>
      </w:pPr>
    </w:p>
    <w:p w14:paraId="6A81880E">
      <w:pPr>
        <w:tabs>
          <w:tab w:val="left" w:pos="360"/>
        </w:tabs>
        <w:snapToGrid w:val="0"/>
        <w:spacing w:line="360" w:lineRule="auto"/>
        <w:outlineLvl w:val="2"/>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8</w:t>
      </w:r>
      <w:r>
        <w:rPr>
          <w:rFonts w:hint="eastAsia" w:ascii="宋体" w:hAnsi="宋体" w:eastAsia="宋体" w:cs="宋体"/>
          <w:color w:val="auto"/>
          <w:sz w:val="24"/>
          <w:szCs w:val="20"/>
          <w:highlight w:val="none"/>
        </w:rPr>
        <w:t xml:space="preserve">  技术部分</w:t>
      </w:r>
    </w:p>
    <w:p w14:paraId="468D48AB">
      <w:pPr>
        <w:numPr>
          <w:ilvl w:val="0"/>
          <w:numId w:val="0"/>
        </w:numPr>
        <w:spacing w:line="360" w:lineRule="auto"/>
        <w:ind w:firstLine="720" w:firstLineChars="3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4"/>
          <w:highlight w:val="none"/>
        </w:rPr>
        <w:t>投标人应根据采购人需求、评审因素和采购项目特点，结合自身优势，有针对性地提供项目实施方案</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格式自拟</w:t>
      </w:r>
      <w:r>
        <w:rPr>
          <w:rFonts w:hint="eastAsia" w:ascii="宋体" w:hAnsi="宋体" w:eastAsia="宋体" w:cs="宋体"/>
          <w:color w:val="auto"/>
          <w:sz w:val="24"/>
          <w:highlight w:val="none"/>
          <w:lang w:eastAsia="zh-CN"/>
        </w:rPr>
        <w:t>）</w:t>
      </w:r>
    </w:p>
    <w:p w14:paraId="05087965">
      <w:pPr>
        <w:spacing w:line="360" w:lineRule="auto"/>
        <w:ind w:firstLine="480" w:firstLineChars="200"/>
        <w:rPr>
          <w:rFonts w:hint="eastAsia" w:ascii="宋体" w:hAnsi="宋体" w:eastAsia="宋体" w:cs="宋体"/>
          <w:color w:val="auto"/>
          <w:sz w:val="24"/>
          <w:highlight w:val="none"/>
        </w:rPr>
      </w:pPr>
    </w:p>
    <w:p w14:paraId="3981D6D9">
      <w:pPr>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br w:type="page"/>
      </w:r>
    </w:p>
    <w:p w14:paraId="551B762A">
      <w:pPr>
        <w:pStyle w:val="102"/>
        <w:tabs>
          <w:tab w:val="left" w:pos="360"/>
        </w:tabs>
        <w:snapToGrid w:val="0"/>
        <w:spacing w:line="360" w:lineRule="auto"/>
        <w:ind w:firstLine="0" w:firstLineChars="0"/>
        <w:outlineLvl w:val="2"/>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9</w:t>
      </w:r>
      <w:r>
        <w:rPr>
          <w:rFonts w:hint="eastAsia" w:ascii="宋体" w:hAnsi="宋体" w:eastAsia="宋体" w:cs="宋体"/>
          <w:color w:val="auto"/>
          <w:sz w:val="24"/>
          <w:szCs w:val="20"/>
          <w:highlight w:val="none"/>
        </w:rPr>
        <w:t xml:space="preserve">  招标文件要求提供或投标人认为应附的其他材料</w:t>
      </w:r>
    </w:p>
    <w:p w14:paraId="25C03B51">
      <w:pPr>
        <w:widowControl/>
        <w:jc w:val="left"/>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rPr>
        <w:t>供应商信息采集表</w:t>
      </w:r>
    </w:p>
    <w:tbl>
      <w:tblPr>
        <w:tblStyle w:val="46"/>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2"/>
        <w:gridCol w:w="3021"/>
        <w:gridCol w:w="3019"/>
      </w:tblGrid>
      <w:tr w14:paraId="55031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3022" w:type="dxa"/>
          </w:tcPr>
          <w:p w14:paraId="26CCF731">
            <w:pP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p>
        </w:tc>
        <w:tc>
          <w:tcPr>
            <w:tcW w:w="3021" w:type="dxa"/>
          </w:tcPr>
          <w:p w14:paraId="74E33A89">
            <w:pP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供应商所属性别</w:t>
            </w:r>
          </w:p>
        </w:tc>
        <w:tc>
          <w:tcPr>
            <w:tcW w:w="3019" w:type="dxa"/>
          </w:tcPr>
          <w:p w14:paraId="030709BB">
            <w:pPr>
              <w:rPr>
                <w:rFonts w:hint="eastAsia" w:ascii="宋体" w:hAnsi="宋体" w:eastAsia="宋体" w:cs="宋体"/>
                <w:color w:val="auto"/>
                <w:sz w:val="24"/>
                <w:highlight w:val="none"/>
              </w:rPr>
            </w:pPr>
            <w:r>
              <w:rPr>
                <w:rFonts w:hint="eastAsia" w:ascii="宋体" w:hAnsi="宋体" w:eastAsia="宋体" w:cs="宋体"/>
                <w:color w:val="auto"/>
                <w:sz w:val="24"/>
                <w:highlight w:val="none"/>
              </w:rPr>
              <w:t>外商投资类型</w:t>
            </w:r>
          </w:p>
        </w:tc>
      </w:tr>
      <w:tr w14:paraId="542D8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3022" w:type="dxa"/>
          </w:tcPr>
          <w:p w14:paraId="3595C1A6">
            <w:pPr>
              <w:rPr>
                <w:rFonts w:hint="eastAsia" w:ascii="宋体" w:hAnsi="宋体" w:eastAsia="宋体" w:cs="宋体"/>
                <w:color w:val="auto"/>
                <w:sz w:val="24"/>
                <w:highlight w:val="none"/>
              </w:rPr>
            </w:pPr>
          </w:p>
        </w:tc>
        <w:tc>
          <w:tcPr>
            <w:tcW w:w="3021" w:type="dxa"/>
          </w:tcPr>
          <w:p w14:paraId="2243CA96">
            <w:pPr>
              <w:rPr>
                <w:rFonts w:hint="eastAsia" w:ascii="宋体" w:hAnsi="宋体" w:eastAsia="宋体" w:cs="宋体"/>
                <w:color w:val="auto"/>
                <w:sz w:val="24"/>
                <w:highlight w:val="none"/>
              </w:rPr>
            </w:pPr>
          </w:p>
        </w:tc>
        <w:tc>
          <w:tcPr>
            <w:tcW w:w="3019" w:type="dxa"/>
          </w:tcPr>
          <w:p w14:paraId="48574D44">
            <w:pPr>
              <w:rPr>
                <w:rFonts w:hint="eastAsia" w:ascii="宋体" w:hAnsi="宋体" w:eastAsia="宋体" w:cs="宋体"/>
                <w:color w:val="auto"/>
                <w:sz w:val="24"/>
                <w:highlight w:val="none"/>
              </w:rPr>
            </w:pPr>
          </w:p>
        </w:tc>
      </w:tr>
      <w:tr w14:paraId="79A55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3022" w:type="dxa"/>
          </w:tcPr>
          <w:p w14:paraId="0CDF5833">
            <w:pPr>
              <w:rPr>
                <w:rFonts w:hint="eastAsia" w:ascii="宋体" w:hAnsi="宋体" w:eastAsia="宋体" w:cs="宋体"/>
                <w:color w:val="auto"/>
                <w:sz w:val="24"/>
                <w:highlight w:val="none"/>
              </w:rPr>
            </w:pPr>
          </w:p>
        </w:tc>
        <w:tc>
          <w:tcPr>
            <w:tcW w:w="3021" w:type="dxa"/>
          </w:tcPr>
          <w:p w14:paraId="3BD05E7D">
            <w:pPr>
              <w:rPr>
                <w:rFonts w:hint="eastAsia" w:ascii="宋体" w:hAnsi="宋体" w:eastAsia="宋体" w:cs="宋体"/>
                <w:color w:val="auto"/>
                <w:sz w:val="24"/>
                <w:highlight w:val="none"/>
              </w:rPr>
            </w:pPr>
          </w:p>
        </w:tc>
        <w:tc>
          <w:tcPr>
            <w:tcW w:w="3019" w:type="dxa"/>
          </w:tcPr>
          <w:p w14:paraId="53286DB8">
            <w:pPr>
              <w:rPr>
                <w:rFonts w:hint="eastAsia" w:ascii="宋体" w:hAnsi="宋体" w:eastAsia="宋体" w:cs="宋体"/>
                <w:color w:val="auto"/>
                <w:sz w:val="24"/>
                <w:highlight w:val="none"/>
              </w:rPr>
            </w:pPr>
          </w:p>
        </w:tc>
      </w:tr>
      <w:tr w14:paraId="29396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3022" w:type="dxa"/>
          </w:tcPr>
          <w:p w14:paraId="20C24D46">
            <w:pPr>
              <w:rPr>
                <w:rFonts w:hint="eastAsia" w:ascii="宋体" w:hAnsi="宋体" w:eastAsia="宋体" w:cs="宋体"/>
                <w:color w:val="auto"/>
                <w:sz w:val="24"/>
                <w:highlight w:val="none"/>
              </w:rPr>
            </w:pPr>
          </w:p>
        </w:tc>
        <w:tc>
          <w:tcPr>
            <w:tcW w:w="3021" w:type="dxa"/>
          </w:tcPr>
          <w:p w14:paraId="4EE27B03">
            <w:pPr>
              <w:rPr>
                <w:rFonts w:hint="eastAsia" w:ascii="宋体" w:hAnsi="宋体" w:eastAsia="宋体" w:cs="宋体"/>
                <w:color w:val="auto"/>
                <w:sz w:val="24"/>
                <w:highlight w:val="none"/>
              </w:rPr>
            </w:pPr>
          </w:p>
        </w:tc>
        <w:tc>
          <w:tcPr>
            <w:tcW w:w="3019" w:type="dxa"/>
          </w:tcPr>
          <w:p w14:paraId="7C86ADCD">
            <w:pPr>
              <w:rPr>
                <w:rFonts w:hint="eastAsia" w:ascii="宋体" w:hAnsi="宋体" w:eastAsia="宋体" w:cs="宋体"/>
                <w:color w:val="auto"/>
                <w:sz w:val="24"/>
                <w:highlight w:val="none"/>
              </w:rPr>
            </w:pPr>
          </w:p>
        </w:tc>
      </w:tr>
      <w:tr w14:paraId="51BF6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022" w:type="dxa"/>
          </w:tcPr>
          <w:p w14:paraId="2B3F6BBE">
            <w:pPr>
              <w:rPr>
                <w:rFonts w:hint="eastAsia" w:ascii="宋体" w:hAnsi="宋体" w:eastAsia="宋体" w:cs="宋体"/>
                <w:color w:val="auto"/>
                <w:sz w:val="24"/>
                <w:highlight w:val="none"/>
              </w:rPr>
            </w:pPr>
          </w:p>
        </w:tc>
        <w:tc>
          <w:tcPr>
            <w:tcW w:w="3021" w:type="dxa"/>
          </w:tcPr>
          <w:p w14:paraId="53F39172">
            <w:pPr>
              <w:rPr>
                <w:rFonts w:hint="eastAsia" w:ascii="宋体" w:hAnsi="宋体" w:eastAsia="宋体" w:cs="宋体"/>
                <w:color w:val="auto"/>
                <w:sz w:val="24"/>
                <w:highlight w:val="none"/>
              </w:rPr>
            </w:pPr>
          </w:p>
        </w:tc>
        <w:tc>
          <w:tcPr>
            <w:tcW w:w="3019" w:type="dxa"/>
          </w:tcPr>
          <w:p w14:paraId="36381F3E">
            <w:pPr>
              <w:rPr>
                <w:rFonts w:hint="eastAsia" w:ascii="宋体" w:hAnsi="宋体" w:eastAsia="宋体" w:cs="宋体"/>
                <w:color w:val="auto"/>
                <w:sz w:val="24"/>
                <w:highlight w:val="none"/>
              </w:rPr>
            </w:pPr>
          </w:p>
        </w:tc>
      </w:tr>
    </w:tbl>
    <w:p w14:paraId="27BDC5F1">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供应商如为联合体，则应填写联合体各成员信息。</w:t>
      </w:r>
    </w:p>
    <w:p w14:paraId="34B9A339">
      <w:pPr>
        <w:tabs>
          <w:tab w:val="left" w:pos="1800"/>
          <w:tab w:val="left" w:pos="5580"/>
        </w:tabs>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供应商所属性别请填写“男”或“女”，指拥有供应商51%以上绝对所有权的性别；绝对所有权拥有者可以是一个人，也可以是多人合计计算。</w:t>
      </w:r>
    </w:p>
    <w:p w14:paraId="13AA49B8">
      <w:pPr>
        <w:tabs>
          <w:tab w:val="left" w:pos="1800"/>
          <w:tab w:val="left" w:pos="5580"/>
        </w:tabs>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外商投资类型请填写“外商单独投资”、“外商部分投资”或“内资”。</w:t>
      </w:r>
    </w:p>
    <w:p w14:paraId="1A98C979">
      <w:pPr>
        <w:spacing w:line="360" w:lineRule="auto"/>
        <w:ind w:firstLine="240" w:firstLineChars="100"/>
        <w:outlineLvl w:val="2"/>
        <w:rPr>
          <w:rFonts w:hint="eastAsia" w:ascii="宋体" w:hAnsi="宋体" w:eastAsia="宋体" w:cs="宋体"/>
          <w:color w:val="auto"/>
          <w:sz w:val="24"/>
          <w:szCs w:val="20"/>
          <w:highlight w:val="none"/>
          <w:lang w:val="en-US" w:eastAsia="zh-CN"/>
        </w:rPr>
      </w:pPr>
    </w:p>
    <w:p w14:paraId="325998F4">
      <w:pPr>
        <w:pStyle w:val="256"/>
        <w:keepNext w:val="0"/>
        <w:keepLines w:val="0"/>
        <w:tabs>
          <w:tab w:val="left" w:pos="420"/>
          <w:tab w:val="left" w:pos="660"/>
        </w:tabs>
        <w:snapToGrid w:val="0"/>
        <w:spacing w:before="0" w:line="360" w:lineRule="auto"/>
        <w:outlineLvl w:val="9"/>
        <w:rPr>
          <w:rFonts w:hint="eastAsia" w:ascii="宋体" w:hAnsi="宋体" w:eastAsia="宋体" w:cs="宋体"/>
          <w:b w:val="0"/>
          <w:color w:val="auto"/>
          <w:sz w:val="24"/>
          <w:szCs w:val="24"/>
          <w:highlight w:val="none"/>
        </w:rPr>
      </w:pPr>
      <w:r>
        <w:rPr>
          <w:rFonts w:hint="eastAsia" w:cs="宋体"/>
          <w:b w:val="0"/>
          <w:color w:val="auto"/>
          <w:sz w:val="24"/>
          <w:szCs w:val="24"/>
          <w:highlight w:val="none"/>
          <w:lang w:val="en-US" w:eastAsia="zh-CN"/>
        </w:rPr>
        <w:t>9-2</w:t>
      </w:r>
      <w:r>
        <w:rPr>
          <w:rFonts w:hint="eastAsia" w:ascii="宋体" w:hAnsi="宋体" w:eastAsia="宋体" w:cs="宋体"/>
          <w:b w:val="0"/>
          <w:color w:val="auto"/>
          <w:sz w:val="24"/>
          <w:szCs w:val="24"/>
          <w:highlight w:val="none"/>
        </w:rPr>
        <w:t>类似项目业绩（如有）</w:t>
      </w:r>
    </w:p>
    <w:p w14:paraId="152BB809">
      <w:pPr>
        <w:spacing w:line="360" w:lineRule="auto"/>
        <w:ind w:firstLine="480" w:firstLineChars="200"/>
        <w:rPr>
          <w:rFonts w:hint="eastAsia" w:ascii="宋体" w:hAnsi="宋体" w:cs="宋体"/>
          <w:color w:val="auto"/>
          <w:sz w:val="24"/>
          <w:highlight w:val="none"/>
          <w:lang w:eastAsia="zh-CN"/>
        </w:rPr>
      </w:pPr>
      <w:r>
        <w:rPr>
          <w:rFonts w:hint="eastAsia" w:ascii="宋体" w:hAnsi="宋体" w:eastAsia="宋体" w:cs="宋体"/>
          <w:color w:val="auto"/>
          <w:sz w:val="24"/>
          <w:highlight w:val="none"/>
          <w:lang w:eastAsia="zh-CN"/>
        </w:rPr>
        <w:t>近3年（2023年9月1日至提交投标文件截止时间止）已完成或在施的</w:t>
      </w:r>
      <w:r>
        <w:rPr>
          <w:rFonts w:hint="eastAsia" w:ascii="宋体" w:hAnsi="宋体" w:eastAsia="宋体" w:cs="宋体"/>
          <w:color w:val="auto"/>
          <w:sz w:val="24"/>
          <w:highlight w:val="none"/>
          <w:lang w:val="en-US" w:eastAsia="zh-CN"/>
        </w:rPr>
        <w:t>类似</w:t>
      </w:r>
      <w:r>
        <w:rPr>
          <w:rFonts w:hint="eastAsia" w:ascii="宋体" w:hAnsi="宋体" w:cs="宋体"/>
          <w:b/>
          <w:bCs/>
          <w:color w:val="auto"/>
          <w:sz w:val="24"/>
          <w:highlight w:val="none"/>
          <w:lang w:val="en-US" w:eastAsia="zh-CN"/>
        </w:rPr>
        <w:t>供热服务</w:t>
      </w:r>
      <w:r>
        <w:rPr>
          <w:rFonts w:hint="eastAsia" w:ascii="宋体" w:hAnsi="宋体" w:eastAsia="宋体" w:cs="宋体"/>
          <w:b w:val="0"/>
          <w:bCs w:val="0"/>
          <w:color w:val="auto"/>
          <w:sz w:val="24"/>
          <w:highlight w:val="none"/>
          <w:lang w:eastAsia="zh-CN"/>
        </w:rPr>
        <w:t>业绩</w:t>
      </w:r>
      <w:r>
        <w:rPr>
          <w:rFonts w:hint="eastAsia" w:ascii="宋体" w:hAnsi="宋体" w:eastAsia="宋体" w:cs="宋体"/>
          <w:color w:val="auto"/>
          <w:sz w:val="24"/>
          <w:highlight w:val="none"/>
          <w:lang w:eastAsia="zh-CN"/>
        </w:rPr>
        <w:t>（须提供相应的合同首页、服务内容页、与合同双方盖章页复印件</w:t>
      </w:r>
      <w:r>
        <w:rPr>
          <w:rFonts w:hint="eastAsia" w:ascii="宋体" w:hAnsi="宋体" w:cs="宋体"/>
          <w:color w:val="auto"/>
          <w:sz w:val="24"/>
          <w:highlight w:val="none"/>
          <w:lang w:eastAsia="zh-CN"/>
        </w:rPr>
        <w:t>）。</w:t>
      </w:r>
    </w:p>
    <w:p w14:paraId="023CAF5F">
      <w:pPr>
        <w:spacing w:line="360" w:lineRule="auto"/>
        <w:ind w:firstLine="480" w:firstLineChars="200"/>
        <w:rPr>
          <w:rFonts w:hint="eastAsia" w:ascii="宋体" w:hAnsi="宋体" w:eastAsia="宋体" w:cs="宋体"/>
          <w:color w:val="auto"/>
          <w:sz w:val="24"/>
          <w:highlight w:val="none"/>
        </w:rPr>
        <w:sectPr>
          <w:pgSz w:w="11907" w:h="16840"/>
          <w:pgMar w:top="1440" w:right="1800" w:bottom="1440" w:left="1800" w:header="851" w:footer="851" w:gutter="0"/>
          <w:pgNumType w:fmt="decimal"/>
          <w:cols w:space="720" w:num="1"/>
          <w:docGrid w:linePitch="462" w:charSpace="0"/>
        </w:sectPr>
      </w:pPr>
      <w:r>
        <w:rPr>
          <w:rFonts w:hint="eastAsia" w:ascii="宋体" w:hAnsi="宋体" w:eastAsia="宋体" w:cs="宋体"/>
          <w:color w:val="auto"/>
          <w:sz w:val="24"/>
          <w:highlight w:val="none"/>
        </w:rPr>
        <w:t>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合同有效时间以签订合同的时间为准。</w:t>
      </w:r>
    </w:p>
    <w:p w14:paraId="64D49AA6">
      <w:pPr>
        <w:spacing w:line="360" w:lineRule="auto"/>
        <w:outlineLvl w:val="2"/>
        <w:rPr>
          <w:rFonts w:hint="eastAsia"/>
          <w:color w:val="auto"/>
          <w:sz w:val="24"/>
          <w:szCs w:val="20"/>
          <w:highlight w:val="none"/>
          <w:lang w:val="en-US" w:eastAsia="zh-CN"/>
        </w:rPr>
      </w:pPr>
      <w:r>
        <w:rPr>
          <w:rFonts w:hint="eastAsia" w:ascii="宋体" w:hAnsi="宋体" w:cs="宋体"/>
          <w:color w:val="auto"/>
          <w:sz w:val="24"/>
          <w:szCs w:val="20"/>
          <w:highlight w:val="none"/>
          <w:lang w:val="en-US" w:eastAsia="zh-CN"/>
        </w:rPr>
        <w:t xml:space="preserve">9-3 </w:t>
      </w:r>
      <w:r>
        <w:rPr>
          <w:rFonts w:hint="eastAsia"/>
          <w:color w:val="auto"/>
          <w:sz w:val="24"/>
          <w:szCs w:val="20"/>
          <w:highlight w:val="none"/>
          <w:lang w:val="en-US" w:eastAsia="zh-CN"/>
        </w:rPr>
        <w:t>主要人员简历表</w:t>
      </w:r>
    </w:p>
    <w:p w14:paraId="2E7A85F5">
      <w:pPr>
        <w:pStyle w:val="4"/>
        <w:widowControl w:val="0"/>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附1：项目</w:t>
      </w:r>
      <w:r>
        <w:rPr>
          <w:rFonts w:hint="eastAsia" w:hAnsi="宋体" w:cs="宋体"/>
          <w:color w:val="auto"/>
          <w:sz w:val="24"/>
          <w:highlight w:val="none"/>
          <w:lang w:val="en-US" w:eastAsia="zh-CN"/>
        </w:rPr>
        <w:t>经理</w:t>
      </w:r>
      <w:r>
        <w:rPr>
          <w:rFonts w:hint="eastAsia"/>
          <w:color w:val="auto"/>
          <w:sz w:val="24"/>
          <w:szCs w:val="20"/>
          <w:highlight w:val="none"/>
          <w:lang w:val="en-US" w:eastAsia="zh-CN"/>
        </w:rPr>
        <w:t>简</w:t>
      </w:r>
      <w:r>
        <w:rPr>
          <w:rFonts w:hint="eastAsia" w:ascii="宋体" w:hAnsi="宋体" w:eastAsia="宋体" w:cs="宋体"/>
          <w:color w:val="auto"/>
          <w:sz w:val="24"/>
          <w:highlight w:val="none"/>
        </w:rPr>
        <w:t>历表</w:t>
      </w:r>
    </w:p>
    <w:tbl>
      <w:tblPr>
        <w:tblStyle w:val="45"/>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2"/>
        <w:gridCol w:w="1103"/>
        <w:gridCol w:w="837"/>
        <w:gridCol w:w="1199"/>
        <w:gridCol w:w="2013"/>
        <w:gridCol w:w="411"/>
        <w:gridCol w:w="1941"/>
      </w:tblGrid>
      <w:tr w14:paraId="4D423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212" w:type="dxa"/>
            <w:noWrap w:val="0"/>
            <w:vAlign w:val="center"/>
          </w:tcPr>
          <w:p w14:paraId="510BA0D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1103" w:type="dxa"/>
            <w:noWrap w:val="0"/>
            <w:vAlign w:val="center"/>
          </w:tcPr>
          <w:p w14:paraId="2217A231">
            <w:pPr>
              <w:spacing w:line="360" w:lineRule="auto"/>
              <w:jc w:val="center"/>
              <w:rPr>
                <w:rFonts w:hint="eastAsia" w:ascii="宋体" w:hAnsi="宋体" w:eastAsia="宋体" w:cs="宋体"/>
                <w:color w:val="auto"/>
                <w:sz w:val="24"/>
                <w:szCs w:val="24"/>
                <w:highlight w:val="none"/>
              </w:rPr>
            </w:pPr>
          </w:p>
        </w:tc>
        <w:tc>
          <w:tcPr>
            <w:tcW w:w="837" w:type="dxa"/>
            <w:noWrap w:val="0"/>
            <w:vAlign w:val="center"/>
          </w:tcPr>
          <w:p w14:paraId="39F9439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p>
        </w:tc>
        <w:tc>
          <w:tcPr>
            <w:tcW w:w="1199" w:type="dxa"/>
            <w:noWrap w:val="0"/>
            <w:vAlign w:val="center"/>
          </w:tcPr>
          <w:p w14:paraId="68A26FA2">
            <w:pPr>
              <w:spacing w:line="360" w:lineRule="auto"/>
              <w:jc w:val="center"/>
              <w:rPr>
                <w:rFonts w:hint="eastAsia" w:ascii="宋体" w:hAnsi="宋体" w:eastAsia="宋体" w:cs="宋体"/>
                <w:color w:val="auto"/>
                <w:sz w:val="24"/>
                <w:szCs w:val="24"/>
                <w:highlight w:val="none"/>
              </w:rPr>
            </w:pPr>
          </w:p>
        </w:tc>
        <w:tc>
          <w:tcPr>
            <w:tcW w:w="2424" w:type="dxa"/>
            <w:gridSpan w:val="2"/>
            <w:noWrap w:val="0"/>
            <w:vAlign w:val="center"/>
          </w:tcPr>
          <w:p w14:paraId="01DD00B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 份 证</w:t>
            </w:r>
          </w:p>
        </w:tc>
        <w:tc>
          <w:tcPr>
            <w:tcW w:w="1941" w:type="dxa"/>
            <w:noWrap w:val="0"/>
            <w:vAlign w:val="center"/>
          </w:tcPr>
          <w:p w14:paraId="05DAB3E3">
            <w:pPr>
              <w:spacing w:line="360" w:lineRule="auto"/>
              <w:jc w:val="center"/>
              <w:rPr>
                <w:rFonts w:hint="eastAsia" w:ascii="宋体" w:hAnsi="宋体" w:eastAsia="宋体" w:cs="宋体"/>
                <w:color w:val="auto"/>
                <w:sz w:val="24"/>
                <w:szCs w:val="24"/>
                <w:highlight w:val="none"/>
              </w:rPr>
            </w:pPr>
          </w:p>
        </w:tc>
      </w:tr>
      <w:tr w14:paraId="4CDD1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212" w:type="dxa"/>
            <w:noWrap w:val="0"/>
            <w:vAlign w:val="center"/>
          </w:tcPr>
          <w:p w14:paraId="466C3EE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 历 </w:t>
            </w:r>
          </w:p>
        </w:tc>
        <w:tc>
          <w:tcPr>
            <w:tcW w:w="1103" w:type="dxa"/>
            <w:noWrap w:val="0"/>
            <w:vAlign w:val="center"/>
          </w:tcPr>
          <w:p w14:paraId="5C2F6ACA">
            <w:pPr>
              <w:spacing w:line="360" w:lineRule="auto"/>
              <w:jc w:val="center"/>
              <w:rPr>
                <w:rFonts w:hint="eastAsia" w:ascii="宋体" w:hAnsi="宋体" w:eastAsia="宋体" w:cs="宋体"/>
                <w:color w:val="auto"/>
                <w:sz w:val="24"/>
                <w:szCs w:val="24"/>
                <w:highlight w:val="none"/>
              </w:rPr>
            </w:pPr>
          </w:p>
        </w:tc>
        <w:tc>
          <w:tcPr>
            <w:tcW w:w="837" w:type="dxa"/>
            <w:noWrap w:val="0"/>
            <w:vAlign w:val="center"/>
          </w:tcPr>
          <w:p w14:paraId="7832160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称 </w:t>
            </w:r>
          </w:p>
        </w:tc>
        <w:tc>
          <w:tcPr>
            <w:tcW w:w="1199" w:type="dxa"/>
            <w:noWrap w:val="0"/>
            <w:vAlign w:val="center"/>
          </w:tcPr>
          <w:p w14:paraId="15095BCB">
            <w:pPr>
              <w:spacing w:line="360" w:lineRule="auto"/>
              <w:jc w:val="center"/>
              <w:rPr>
                <w:rFonts w:hint="eastAsia" w:ascii="宋体" w:hAnsi="宋体" w:eastAsia="宋体" w:cs="宋体"/>
                <w:color w:val="auto"/>
                <w:sz w:val="24"/>
                <w:szCs w:val="24"/>
                <w:highlight w:val="none"/>
              </w:rPr>
            </w:pPr>
          </w:p>
        </w:tc>
        <w:tc>
          <w:tcPr>
            <w:tcW w:w="2424" w:type="dxa"/>
            <w:gridSpan w:val="2"/>
            <w:noWrap w:val="0"/>
            <w:vAlign w:val="center"/>
          </w:tcPr>
          <w:p w14:paraId="18AFDBF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p>
        </w:tc>
        <w:tc>
          <w:tcPr>
            <w:tcW w:w="1941" w:type="dxa"/>
            <w:noWrap w:val="0"/>
            <w:vAlign w:val="center"/>
          </w:tcPr>
          <w:p w14:paraId="3B57DAF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r w14:paraId="2141F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212" w:type="dxa"/>
            <w:noWrap w:val="0"/>
            <w:vAlign w:val="center"/>
          </w:tcPr>
          <w:p w14:paraId="2544A24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毕业学校</w:t>
            </w:r>
          </w:p>
        </w:tc>
        <w:tc>
          <w:tcPr>
            <w:tcW w:w="7504" w:type="dxa"/>
            <w:gridSpan w:val="6"/>
            <w:noWrap w:val="0"/>
            <w:vAlign w:val="top"/>
          </w:tcPr>
          <w:p w14:paraId="5B8B953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年毕业于            学校        专业</w:t>
            </w:r>
          </w:p>
        </w:tc>
      </w:tr>
      <w:tr w14:paraId="4E893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716" w:type="dxa"/>
            <w:gridSpan w:val="7"/>
            <w:noWrap w:val="0"/>
            <w:vAlign w:val="center"/>
          </w:tcPr>
          <w:p w14:paraId="44F3D26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主要工作业绩</w:t>
            </w:r>
          </w:p>
        </w:tc>
      </w:tr>
      <w:tr w14:paraId="6DD1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212" w:type="dxa"/>
            <w:noWrap w:val="0"/>
            <w:vAlign w:val="center"/>
          </w:tcPr>
          <w:p w14:paraId="06DDA68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  间</w:t>
            </w:r>
          </w:p>
        </w:tc>
        <w:tc>
          <w:tcPr>
            <w:tcW w:w="3139" w:type="dxa"/>
            <w:gridSpan w:val="3"/>
            <w:noWrap w:val="0"/>
            <w:vAlign w:val="center"/>
          </w:tcPr>
          <w:p w14:paraId="06ABA64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参加过的类似工程名称</w:t>
            </w:r>
          </w:p>
        </w:tc>
        <w:tc>
          <w:tcPr>
            <w:tcW w:w="2013" w:type="dxa"/>
            <w:noWrap w:val="0"/>
            <w:vAlign w:val="center"/>
          </w:tcPr>
          <w:p w14:paraId="240A3C0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工程概况说明</w:t>
            </w:r>
          </w:p>
        </w:tc>
        <w:tc>
          <w:tcPr>
            <w:tcW w:w="2352" w:type="dxa"/>
            <w:gridSpan w:val="2"/>
            <w:noWrap w:val="0"/>
            <w:vAlign w:val="center"/>
          </w:tcPr>
          <w:p w14:paraId="2A26FA6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发包人及联系电话</w:t>
            </w:r>
          </w:p>
        </w:tc>
      </w:tr>
      <w:tr w14:paraId="3654A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212" w:type="dxa"/>
            <w:noWrap w:val="0"/>
            <w:vAlign w:val="top"/>
          </w:tcPr>
          <w:p w14:paraId="141FB71D">
            <w:pPr>
              <w:spacing w:line="360" w:lineRule="auto"/>
              <w:rPr>
                <w:rFonts w:hint="eastAsia" w:ascii="宋体" w:hAnsi="宋体" w:eastAsia="宋体" w:cs="宋体"/>
                <w:color w:val="auto"/>
                <w:sz w:val="24"/>
                <w:szCs w:val="24"/>
                <w:highlight w:val="none"/>
              </w:rPr>
            </w:pPr>
          </w:p>
        </w:tc>
        <w:tc>
          <w:tcPr>
            <w:tcW w:w="3139" w:type="dxa"/>
            <w:gridSpan w:val="3"/>
            <w:noWrap w:val="0"/>
            <w:vAlign w:val="top"/>
          </w:tcPr>
          <w:p w14:paraId="6E3F2042">
            <w:pPr>
              <w:spacing w:line="360" w:lineRule="auto"/>
              <w:rPr>
                <w:rFonts w:hint="eastAsia" w:ascii="宋体" w:hAnsi="宋体" w:eastAsia="宋体" w:cs="宋体"/>
                <w:color w:val="auto"/>
                <w:sz w:val="24"/>
                <w:szCs w:val="24"/>
                <w:highlight w:val="none"/>
              </w:rPr>
            </w:pPr>
          </w:p>
        </w:tc>
        <w:tc>
          <w:tcPr>
            <w:tcW w:w="2013" w:type="dxa"/>
            <w:noWrap w:val="0"/>
            <w:vAlign w:val="top"/>
          </w:tcPr>
          <w:p w14:paraId="53A34BAB">
            <w:pPr>
              <w:spacing w:line="360" w:lineRule="auto"/>
              <w:rPr>
                <w:rFonts w:hint="eastAsia" w:ascii="宋体" w:hAnsi="宋体" w:eastAsia="宋体" w:cs="宋体"/>
                <w:color w:val="auto"/>
                <w:sz w:val="24"/>
                <w:szCs w:val="24"/>
                <w:highlight w:val="none"/>
              </w:rPr>
            </w:pPr>
          </w:p>
        </w:tc>
        <w:tc>
          <w:tcPr>
            <w:tcW w:w="2352" w:type="dxa"/>
            <w:gridSpan w:val="2"/>
            <w:noWrap w:val="0"/>
            <w:vAlign w:val="top"/>
          </w:tcPr>
          <w:p w14:paraId="757EC8B0">
            <w:pPr>
              <w:spacing w:line="360" w:lineRule="auto"/>
              <w:rPr>
                <w:rFonts w:hint="eastAsia" w:ascii="宋体" w:hAnsi="宋体" w:eastAsia="宋体" w:cs="宋体"/>
                <w:color w:val="auto"/>
                <w:sz w:val="24"/>
                <w:szCs w:val="24"/>
                <w:highlight w:val="none"/>
              </w:rPr>
            </w:pPr>
          </w:p>
        </w:tc>
      </w:tr>
      <w:tr w14:paraId="33897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212" w:type="dxa"/>
            <w:noWrap w:val="0"/>
            <w:vAlign w:val="top"/>
          </w:tcPr>
          <w:p w14:paraId="698B4F5C">
            <w:pPr>
              <w:spacing w:line="360" w:lineRule="auto"/>
              <w:rPr>
                <w:rFonts w:hint="eastAsia" w:ascii="宋体" w:hAnsi="宋体" w:eastAsia="宋体" w:cs="宋体"/>
                <w:color w:val="auto"/>
                <w:sz w:val="24"/>
                <w:szCs w:val="24"/>
                <w:highlight w:val="none"/>
              </w:rPr>
            </w:pPr>
          </w:p>
        </w:tc>
        <w:tc>
          <w:tcPr>
            <w:tcW w:w="3139" w:type="dxa"/>
            <w:gridSpan w:val="3"/>
            <w:noWrap w:val="0"/>
            <w:vAlign w:val="top"/>
          </w:tcPr>
          <w:p w14:paraId="164F273E">
            <w:pPr>
              <w:spacing w:line="360" w:lineRule="auto"/>
              <w:rPr>
                <w:rFonts w:hint="eastAsia" w:ascii="宋体" w:hAnsi="宋体" w:eastAsia="宋体" w:cs="宋体"/>
                <w:color w:val="auto"/>
                <w:sz w:val="24"/>
                <w:szCs w:val="24"/>
                <w:highlight w:val="none"/>
              </w:rPr>
            </w:pPr>
          </w:p>
        </w:tc>
        <w:tc>
          <w:tcPr>
            <w:tcW w:w="2013" w:type="dxa"/>
            <w:noWrap w:val="0"/>
            <w:vAlign w:val="top"/>
          </w:tcPr>
          <w:p w14:paraId="559496BA">
            <w:pPr>
              <w:spacing w:line="360" w:lineRule="auto"/>
              <w:rPr>
                <w:rFonts w:hint="eastAsia" w:ascii="宋体" w:hAnsi="宋体" w:eastAsia="宋体" w:cs="宋体"/>
                <w:color w:val="auto"/>
                <w:sz w:val="24"/>
                <w:szCs w:val="24"/>
                <w:highlight w:val="none"/>
              </w:rPr>
            </w:pPr>
          </w:p>
        </w:tc>
        <w:tc>
          <w:tcPr>
            <w:tcW w:w="2352" w:type="dxa"/>
            <w:gridSpan w:val="2"/>
            <w:noWrap w:val="0"/>
            <w:vAlign w:val="top"/>
          </w:tcPr>
          <w:p w14:paraId="12BD2220">
            <w:pPr>
              <w:spacing w:line="360" w:lineRule="auto"/>
              <w:rPr>
                <w:rFonts w:hint="eastAsia" w:ascii="宋体" w:hAnsi="宋体" w:eastAsia="宋体" w:cs="宋体"/>
                <w:color w:val="auto"/>
                <w:sz w:val="24"/>
                <w:szCs w:val="24"/>
                <w:highlight w:val="none"/>
              </w:rPr>
            </w:pPr>
          </w:p>
        </w:tc>
      </w:tr>
      <w:tr w14:paraId="0C1B4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212" w:type="dxa"/>
            <w:noWrap w:val="0"/>
            <w:vAlign w:val="center"/>
          </w:tcPr>
          <w:p w14:paraId="5FE001DB">
            <w:pPr>
              <w:spacing w:line="360" w:lineRule="auto"/>
              <w:rPr>
                <w:rFonts w:hint="eastAsia" w:ascii="宋体" w:hAnsi="宋体" w:eastAsia="宋体" w:cs="宋体"/>
                <w:color w:val="auto"/>
                <w:sz w:val="24"/>
                <w:szCs w:val="24"/>
                <w:highlight w:val="none"/>
              </w:rPr>
            </w:pPr>
          </w:p>
        </w:tc>
        <w:tc>
          <w:tcPr>
            <w:tcW w:w="3139" w:type="dxa"/>
            <w:gridSpan w:val="3"/>
            <w:noWrap w:val="0"/>
            <w:vAlign w:val="center"/>
          </w:tcPr>
          <w:p w14:paraId="26A394AD">
            <w:pPr>
              <w:spacing w:line="360" w:lineRule="auto"/>
              <w:rPr>
                <w:rFonts w:hint="eastAsia" w:ascii="宋体" w:hAnsi="宋体" w:eastAsia="宋体" w:cs="宋体"/>
                <w:color w:val="auto"/>
                <w:sz w:val="24"/>
                <w:szCs w:val="24"/>
                <w:highlight w:val="none"/>
              </w:rPr>
            </w:pPr>
          </w:p>
        </w:tc>
        <w:tc>
          <w:tcPr>
            <w:tcW w:w="2013" w:type="dxa"/>
            <w:noWrap w:val="0"/>
            <w:vAlign w:val="center"/>
          </w:tcPr>
          <w:p w14:paraId="16C31591">
            <w:pPr>
              <w:spacing w:line="360" w:lineRule="auto"/>
              <w:rPr>
                <w:rFonts w:hint="eastAsia" w:ascii="宋体" w:hAnsi="宋体" w:eastAsia="宋体" w:cs="宋体"/>
                <w:color w:val="auto"/>
                <w:sz w:val="24"/>
                <w:szCs w:val="24"/>
                <w:highlight w:val="none"/>
              </w:rPr>
            </w:pPr>
          </w:p>
        </w:tc>
        <w:tc>
          <w:tcPr>
            <w:tcW w:w="2352" w:type="dxa"/>
            <w:gridSpan w:val="2"/>
            <w:noWrap w:val="0"/>
            <w:vAlign w:val="center"/>
          </w:tcPr>
          <w:p w14:paraId="50FD3F6A">
            <w:pPr>
              <w:spacing w:line="360" w:lineRule="auto"/>
              <w:rPr>
                <w:rFonts w:hint="eastAsia" w:ascii="宋体" w:hAnsi="宋体" w:eastAsia="宋体" w:cs="宋体"/>
                <w:color w:val="auto"/>
                <w:sz w:val="24"/>
                <w:szCs w:val="24"/>
                <w:highlight w:val="none"/>
              </w:rPr>
            </w:pPr>
          </w:p>
        </w:tc>
      </w:tr>
      <w:tr w14:paraId="2CB77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1212" w:type="dxa"/>
            <w:noWrap w:val="0"/>
            <w:vAlign w:val="center"/>
          </w:tcPr>
          <w:p w14:paraId="1E437432">
            <w:pPr>
              <w:spacing w:line="360" w:lineRule="auto"/>
              <w:rPr>
                <w:rFonts w:hint="eastAsia" w:ascii="宋体" w:hAnsi="宋体" w:eastAsia="宋体" w:cs="宋体"/>
                <w:color w:val="auto"/>
                <w:sz w:val="24"/>
                <w:szCs w:val="24"/>
                <w:highlight w:val="none"/>
              </w:rPr>
            </w:pPr>
          </w:p>
        </w:tc>
        <w:tc>
          <w:tcPr>
            <w:tcW w:w="3139" w:type="dxa"/>
            <w:gridSpan w:val="3"/>
            <w:noWrap w:val="0"/>
            <w:vAlign w:val="center"/>
          </w:tcPr>
          <w:p w14:paraId="010FAC8E">
            <w:pPr>
              <w:spacing w:line="360" w:lineRule="auto"/>
              <w:rPr>
                <w:rFonts w:hint="eastAsia" w:ascii="宋体" w:hAnsi="宋体" w:eastAsia="宋体" w:cs="宋体"/>
                <w:color w:val="auto"/>
                <w:sz w:val="24"/>
                <w:szCs w:val="24"/>
                <w:highlight w:val="none"/>
              </w:rPr>
            </w:pPr>
          </w:p>
        </w:tc>
        <w:tc>
          <w:tcPr>
            <w:tcW w:w="2013" w:type="dxa"/>
            <w:noWrap w:val="0"/>
            <w:vAlign w:val="center"/>
          </w:tcPr>
          <w:p w14:paraId="61D12E11">
            <w:pPr>
              <w:spacing w:line="360" w:lineRule="auto"/>
              <w:rPr>
                <w:rFonts w:hint="eastAsia" w:ascii="宋体" w:hAnsi="宋体" w:eastAsia="宋体" w:cs="宋体"/>
                <w:color w:val="auto"/>
                <w:sz w:val="24"/>
                <w:szCs w:val="24"/>
                <w:highlight w:val="none"/>
              </w:rPr>
            </w:pPr>
          </w:p>
        </w:tc>
        <w:tc>
          <w:tcPr>
            <w:tcW w:w="2352" w:type="dxa"/>
            <w:gridSpan w:val="2"/>
            <w:noWrap w:val="0"/>
            <w:vAlign w:val="center"/>
          </w:tcPr>
          <w:p w14:paraId="72DD64AA">
            <w:pPr>
              <w:spacing w:line="360" w:lineRule="auto"/>
              <w:rPr>
                <w:rFonts w:hint="eastAsia" w:ascii="宋体" w:hAnsi="宋体" w:eastAsia="宋体" w:cs="宋体"/>
                <w:color w:val="auto"/>
                <w:sz w:val="24"/>
                <w:szCs w:val="24"/>
                <w:highlight w:val="none"/>
              </w:rPr>
            </w:pPr>
          </w:p>
        </w:tc>
      </w:tr>
    </w:tbl>
    <w:p w14:paraId="4BDDBD07">
      <w:pPr>
        <w:pStyle w:val="4"/>
        <w:keepNext w:val="0"/>
        <w:keepLines w:val="0"/>
        <w:pageBreakBefore w:val="0"/>
        <w:widowControl w:val="0"/>
        <w:kinsoku/>
        <w:wordWrap/>
        <w:overflowPunct/>
        <w:topLinePunct w:val="0"/>
        <w:autoSpaceDE w:val="0"/>
        <w:autoSpaceDN w:val="0"/>
        <w:bidi w:val="0"/>
        <w:adjustRightInd w:val="0"/>
        <w:snapToGrid w:val="0"/>
        <w:spacing w:before="464" w:beforeLines="100"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kern w:val="2"/>
          <w:sz w:val="21"/>
          <w:szCs w:val="21"/>
          <w:highlight w:val="none"/>
          <w:lang w:val="en-US" w:eastAsia="zh-CN" w:bidi="ar-SA"/>
        </w:rPr>
        <w:t>备注：项目</w:t>
      </w:r>
      <w:r>
        <w:rPr>
          <w:rFonts w:hint="eastAsia" w:hAnsi="宋体" w:cs="宋体"/>
          <w:color w:val="auto"/>
          <w:kern w:val="2"/>
          <w:sz w:val="21"/>
          <w:szCs w:val="21"/>
          <w:highlight w:val="none"/>
          <w:lang w:val="en-US" w:eastAsia="zh-CN" w:bidi="ar-SA"/>
        </w:rPr>
        <w:t>经理</w:t>
      </w:r>
      <w:r>
        <w:rPr>
          <w:rFonts w:hint="eastAsia" w:ascii="宋体" w:hAnsi="宋体" w:eastAsia="宋体" w:cs="宋体"/>
          <w:color w:val="auto"/>
          <w:kern w:val="2"/>
          <w:sz w:val="21"/>
          <w:szCs w:val="21"/>
          <w:highlight w:val="none"/>
          <w:lang w:val="en-US" w:eastAsia="zh-CN" w:bidi="ar-SA"/>
        </w:rPr>
        <w:t>须提供身份证、相关证书等相关证明材料的扫描件并加盖公章。</w:t>
      </w:r>
    </w:p>
    <w:p w14:paraId="34FFAB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7772A6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rPr>
        <w:t>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14:paraId="3BB9A4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pacing w:val="-3"/>
          <w:sz w:val="24"/>
          <w:highlight w:val="none"/>
        </w:rPr>
        <w:t>法定代表人（</w:t>
      </w:r>
      <w:r>
        <w:rPr>
          <w:rFonts w:hint="eastAsia" w:ascii="宋体" w:hAnsi="宋体" w:eastAsia="宋体" w:cs="宋体"/>
          <w:color w:val="auto"/>
          <w:sz w:val="24"/>
          <w:highlight w:val="none"/>
        </w:rPr>
        <w:t>单位负责人</w:t>
      </w:r>
      <w:r>
        <w:rPr>
          <w:rFonts w:hint="eastAsia" w:ascii="宋体" w:hAnsi="宋体" w:eastAsia="宋体" w:cs="宋体"/>
          <w:color w:val="auto"/>
          <w:spacing w:val="-3"/>
          <w:sz w:val="24"/>
          <w:highlight w:val="none"/>
        </w:rPr>
        <w:t>）（签字</w:t>
      </w:r>
      <w:r>
        <w:rPr>
          <w:rFonts w:hint="eastAsia" w:ascii="宋体" w:hAnsi="宋体" w:eastAsia="宋体" w:cs="宋体"/>
          <w:color w:val="auto"/>
          <w:sz w:val="24"/>
          <w:szCs w:val="20"/>
          <w:highlight w:val="none"/>
        </w:rPr>
        <w:t>或</w:t>
      </w:r>
      <w:r>
        <w:rPr>
          <w:rFonts w:hint="eastAsia" w:ascii="宋体" w:hAnsi="宋体" w:eastAsia="宋体" w:cs="宋体"/>
          <w:color w:val="auto"/>
          <w:sz w:val="24"/>
          <w:szCs w:val="20"/>
          <w:highlight w:val="none"/>
          <w:lang w:val="en-US" w:eastAsia="zh-CN"/>
        </w:rPr>
        <w:t>盖章</w:t>
      </w:r>
      <w:r>
        <w:rPr>
          <w:rFonts w:hint="eastAsia" w:ascii="宋体" w:hAnsi="宋体" w:eastAsia="宋体" w:cs="宋体"/>
          <w:color w:val="auto"/>
          <w:spacing w:val="-3"/>
          <w:sz w:val="24"/>
          <w:highlight w:val="none"/>
        </w:rPr>
        <w:t>）：</w:t>
      </w:r>
      <w:r>
        <w:rPr>
          <w:rFonts w:hint="eastAsia" w:ascii="宋体" w:hAnsi="宋体" w:eastAsia="宋体" w:cs="宋体"/>
          <w:color w:val="auto"/>
          <w:sz w:val="24"/>
          <w:highlight w:val="none"/>
        </w:rPr>
        <w:t>______</w:t>
      </w:r>
      <w:r>
        <w:rPr>
          <w:rFonts w:hint="eastAsia" w:ascii="宋体" w:hAnsi="宋体" w:eastAsia="宋体" w:cs="宋体"/>
          <w:color w:val="auto"/>
          <w:sz w:val="24"/>
          <w:szCs w:val="24"/>
          <w:highlight w:val="none"/>
        </w:rPr>
        <w:br w:type="page"/>
      </w:r>
    </w:p>
    <w:p w14:paraId="6F0371E0">
      <w:pPr>
        <w:spacing w:line="360" w:lineRule="auto"/>
        <w:ind w:firstLine="480" w:firstLineChars="200"/>
        <w:rPr>
          <w:rFonts w:hint="eastAsia" w:ascii="宋体" w:hAnsi="宋体" w:cs="宋体"/>
          <w:color w:val="auto"/>
          <w:sz w:val="24"/>
          <w:highlight w:val="none"/>
        </w:rPr>
      </w:pPr>
      <w:r>
        <w:rPr>
          <w:rFonts w:hint="eastAsia" w:ascii="宋体" w:hAnsi="宋体" w:eastAsia="宋体" w:cs="宋体"/>
          <w:color w:val="auto"/>
          <w:sz w:val="24"/>
          <w:highlight w:val="none"/>
        </w:rPr>
        <w:t>附2：</w:t>
      </w:r>
      <w:r>
        <w:rPr>
          <w:rFonts w:hint="eastAsia" w:ascii="宋体" w:hAnsi="宋体" w:cs="宋体"/>
          <w:color w:val="auto"/>
          <w:sz w:val="24"/>
          <w:highlight w:val="none"/>
        </w:rPr>
        <w:t>项目人员配备表</w:t>
      </w:r>
    </w:p>
    <w:p w14:paraId="76DEFC8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（格式自拟）</w:t>
      </w:r>
    </w:p>
    <w:p w14:paraId="15C67883">
      <w:pPr>
        <w:spacing w:line="360" w:lineRule="auto"/>
        <w:rPr>
          <w:rFonts w:hint="eastAsia" w:ascii="宋体" w:hAnsi="宋体" w:eastAsia="宋体" w:cs="宋体"/>
          <w:color w:val="auto"/>
          <w:highlight w:val="none"/>
          <w:lang w:val="en-US" w:eastAsia="zh-CN"/>
        </w:rPr>
      </w:pPr>
    </w:p>
    <w:p w14:paraId="16701A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06164F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rPr>
        <w:t>名称（加盖公章）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w:t>
      </w:r>
    </w:p>
    <w:p w14:paraId="44CBDACB">
      <w:pPr>
        <w:spacing w:line="360" w:lineRule="auto"/>
        <w:outlineLvl w:val="2"/>
        <w:rPr>
          <w:rFonts w:hint="eastAsia"/>
          <w:color w:val="auto"/>
          <w:sz w:val="24"/>
          <w:szCs w:val="20"/>
          <w:highlight w:val="none"/>
          <w:lang w:val="en-US" w:eastAsia="zh-CN"/>
        </w:rPr>
      </w:pPr>
      <w:r>
        <w:rPr>
          <w:rFonts w:hint="eastAsia" w:ascii="宋体" w:hAnsi="宋体" w:eastAsia="宋体" w:cs="宋体"/>
          <w:color w:val="auto"/>
          <w:spacing w:val="-3"/>
          <w:sz w:val="24"/>
          <w:highlight w:val="none"/>
        </w:rPr>
        <w:t>法定代表人（</w:t>
      </w:r>
      <w:r>
        <w:rPr>
          <w:rFonts w:hint="eastAsia" w:ascii="宋体" w:hAnsi="宋体" w:eastAsia="宋体" w:cs="宋体"/>
          <w:color w:val="auto"/>
          <w:sz w:val="24"/>
          <w:highlight w:val="none"/>
        </w:rPr>
        <w:t>单位负责人</w:t>
      </w:r>
      <w:r>
        <w:rPr>
          <w:rFonts w:hint="eastAsia" w:ascii="宋体" w:hAnsi="宋体" w:eastAsia="宋体" w:cs="宋体"/>
          <w:color w:val="auto"/>
          <w:spacing w:val="-3"/>
          <w:sz w:val="24"/>
          <w:highlight w:val="none"/>
        </w:rPr>
        <w:t>）（签字</w:t>
      </w:r>
      <w:r>
        <w:rPr>
          <w:rFonts w:hint="eastAsia" w:ascii="宋体" w:hAnsi="宋体" w:eastAsia="宋体" w:cs="宋体"/>
          <w:color w:val="auto"/>
          <w:sz w:val="24"/>
          <w:szCs w:val="20"/>
          <w:highlight w:val="none"/>
        </w:rPr>
        <w:t>或</w:t>
      </w:r>
      <w:r>
        <w:rPr>
          <w:rFonts w:hint="eastAsia" w:ascii="宋体" w:hAnsi="宋体" w:eastAsia="宋体" w:cs="宋体"/>
          <w:color w:val="auto"/>
          <w:sz w:val="24"/>
          <w:szCs w:val="20"/>
          <w:highlight w:val="none"/>
          <w:lang w:val="en-US" w:eastAsia="zh-CN"/>
        </w:rPr>
        <w:t>盖章</w:t>
      </w:r>
      <w:r>
        <w:rPr>
          <w:rFonts w:hint="eastAsia" w:ascii="宋体" w:hAnsi="宋体" w:eastAsia="宋体" w:cs="宋体"/>
          <w:color w:val="auto"/>
          <w:spacing w:val="-3"/>
          <w:sz w:val="24"/>
          <w:highlight w:val="none"/>
        </w:rPr>
        <w:t>）：</w:t>
      </w:r>
    </w:p>
    <w:p w14:paraId="5B5D6488">
      <w:pPr>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br w:type="page"/>
      </w:r>
    </w:p>
    <w:p w14:paraId="7D83C98F">
      <w:pPr>
        <w:spacing w:line="360" w:lineRule="auto"/>
        <w:outlineLvl w:val="2"/>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9-6</w:t>
      </w:r>
      <w:r>
        <w:rPr>
          <w:rFonts w:hint="eastAsia" w:ascii="宋体" w:hAnsi="宋体" w:eastAsia="宋体" w:cs="宋体"/>
          <w:color w:val="auto"/>
          <w:sz w:val="24"/>
          <w:szCs w:val="20"/>
          <w:highlight w:val="none"/>
        </w:rPr>
        <w:t>招标文件要求提供或投标人认为应附的其他材料</w:t>
      </w:r>
    </w:p>
    <w:p w14:paraId="4605CE20">
      <w:pPr>
        <w:widowControl/>
        <w:jc w:val="left"/>
        <w:rPr>
          <w:rFonts w:hint="eastAsia" w:ascii="宋体" w:hAnsi="宋体" w:eastAsia="宋体" w:cs="宋体"/>
          <w:b/>
          <w:color w:val="auto"/>
          <w:sz w:val="36"/>
          <w:szCs w:val="36"/>
          <w:highlight w:val="none"/>
        </w:rPr>
      </w:pPr>
    </w:p>
    <w:p w14:paraId="27F7FAAB">
      <w:pPr>
        <w:widowControl/>
        <w:jc w:val="left"/>
        <w:rPr>
          <w:rFonts w:hint="eastAsia" w:ascii="宋体" w:hAnsi="宋体" w:eastAsia="宋体" w:cs="宋体"/>
          <w:b/>
          <w:color w:val="auto"/>
          <w:sz w:val="36"/>
          <w:szCs w:val="36"/>
          <w:highlight w:val="none"/>
        </w:rPr>
      </w:pPr>
    </w:p>
    <w:sectPr>
      <w:pgSz w:w="11907" w:h="16840"/>
      <w:pgMar w:top="1440" w:right="1800" w:bottom="1440" w:left="1800"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font>
  <w:font w:name="??_GB2312">
    <w:altName w:val="Calibri"/>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C415F">
    <w:pPr>
      <w:pStyle w:val="2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05931">
    <w:pPr>
      <w:pStyle w:val="28"/>
      <w:rPr>
        <w:rStyle w:val="50"/>
      </w:rPr>
    </w:pPr>
  </w:p>
  <w:p w14:paraId="0B57E314">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7A30">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033">
    <w:pPr>
      <w:pStyle w:val="28"/>
      <w:rPr>
        <w:rStyle w:val="50"/>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07922A">
                          <w:pPr>
                            <w:pStyle w:val="28"/>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D07922A">
                    <w:pPr>
                      <w:pStyle w:val="28"/>
                    </w:pPr>
                    <w:r>
                      <w:fldChar w:fldCharType="begin"/>
                    </w:r>
                    <w:r>
                      <w:instrText xml:space="preserve"> PAGE  \* MERGEFORMAT </w:instrText>
                    </w:r>
                    <w:r>
                      <w:fldChar w:fldCharType="separate"/>
                    </w:r>
                    <w:r>
                      <w:t>0</w:t>
                    </w:r>
                    <w:r>
                      <w:fldChar w:fldCharType="end"/>
                    </w:r>
                  </w:p>
                </w:txbxContent>
              </v:textbox>
            </v:shape>
          </w:pict>
        </mc:Fallback>
      </mc:AlternateContent>
    </w:r>
  </w:p>
  <w:p w14:paraId="5F47532A">
    <w:pPr>
      <w:pStyle w:val="28"/>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43CA0">
    <w:pPr>
      <w:pStyle w:val="28"/>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33C8AF">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733C8AF">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4C2A2">
    <w:pPr>
      <w:pStyle w:val="28"/>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521927DD">
    <w:pPr>
      <w:pStyle w:val="2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37F1E">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2C987">
    <w:pPr>
      <w:pStyle w:val="28"/>
      <w:jc w:val="center"/>
      <w:rPr>
        <w:sz w:val="22"/>
        <w:szCs w:val="22"/>
      </w:rPr>
    </w:pPr>
    <w:r>
      <w:rPr>
        <w:sz w:val="22"/>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72C1ED">
                          <w:pPr>
                            <w:pStyle w:val="28"/>
                            <w:jc w:val="center"/>
                          </w:pPr>
                          <w:r>
                            <w:rPr>
                              <w:sz w:val="22"/>
                              <w:szCs w:val="22"/>
                              <w:lang w:val="zh-CN"/>
                            </w:rPr>
                            <w:t xml:space="preserve"> </w:t>
                          </w:r>
                          <w:r>
                            <w:rPr>
                              <w:b/>
                              <w:bCs/>
                              <w:sz w:val="22"/>
                              <w:szCs w:val="22"/>
                            </w:rPr>
                            <w:fldChar w:fldCharType="begin"/>
                          </w:r>
                          <w:r>
                            <w:rPr>
                              <w:b/>
                              <w:bCs/>
                              <w:sz w:val="22"/>
                              <w:szCs w:val="22"/>
                            </w:rPr>
                            <w:instrText xml:space="preserve">PAGE</w:instrText>
                          </w:r>
                          <w:r>
                            <w:rPr>
                              <w:b/>
                              <w:bCs/>
                              <w:sz w:val="22"/>
                              <w:szCs w:val="22"/>
                            </w:rPr>
                            <w:fldChar w:fldCharType="separate"/>
                          </w:r>
                          <w:r>
                            <w:rPr>
                              <w:b/>
                              <w:bCs/>
                              <w:sz w:val="22"/>
                              <w:szCs w:val="22"/>
                            </w:rPr>
                            <w:t>2</w:t>
                          </w:r>
                          <w:r>
                            <w:rPr>
                              <w:b/>
                              <w:bCs/>
                              <w:sz w:val="22"/>
                              <w:szCs w:val="22"/>
                            </w:rPr>
                            <w:fldChar w:fldCharType="end"/>
                          </w:r>
                          <w:r>
                            <w:rPr>
                              <w:sz w:val="22"/>
                              <w:szCs w:val="22"/>
                              <w:lang w:val="zh-CN"/>
                            </w:rPr>
                            <w:t xml:space="preserve"> / </w:t>
                          </w:r>
                          <w:r>
                            <w:rPr>
                              <w:b/>
                              <w:bCs/>
                              <w:sz w:val="22"/>
                              <w:szCs w:val="22"/>
                            </w:rPr>
                            <w:fldChar w:fldCharType="begin"/>
                          </w:r>
                          <w:r>
                            <w:rPr>
                              <w:b/>
                              <w:bCs/>
                              <w:sz w:val="22"/>
                              <w:szCs w:val="22"/>
                            </w:rPr>
                            <w:instrText xml:space="preserve">NUMPAGES</w:instrText>
                          </w:r>
                          <w:r>
                            <w:rPr>
                              <w:b/>
                              <w:bCs/>
                              <w:sz w:val="22"/>
                              <w:szCs w:val="22"/>
                            </w:rPr>
                            <w:fldChar w:fldCharType="separate"/>
                          </w:r>
                          <w:r>
                            <w:rPr>
                              <w:b/>
                              <w:bCs/>
                              <w:sz w:val="22"/>
                              <w:szCs w:val="22"/>
                            </w:rPr>
                            <w:t>5</w:t>
                          </w:r>
                          <w:r>
                            <w:rPr>
                              <w:b/>
                              <w:bCs/>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072C1ED">
                    <w:pPr>
                      <w:pStyle w:val="28"/>
                      <w:jc w:val="center"/>
                    </w:pPr>
                    <w:r>
                      <w:rPr>
                        <w:sz w:val="22"/>
                        <w:szCs w:val="22"/>
                        <w:lang w:val="zh-CN"/>
                      </w:rPr>
                      <w:t xml:space="preserve"> </w:t>
                    </w:r>
                    <w:r>
                      <w:rPr>
                        <w:b/>
                        <w:bCs/>
                        <w:sz w:val="22"/>
                        <w:szCs w:val="22"/>
                      </w:rPr>
                      <w:fldChar w:fldCharType="begin"/>
                    </w:r>
                    <w:r>
                      <w:rPr>
                        <w:b/>
                        <w:bCs/>
                        <w:sz w:val="22"/>
                        <w:szCs w:val="22"/>
                      </w:rPr>
                      <w:instrText xml:space="preserve">PAGE</w:instrText>
                    </w:r>
                    <w:r>
                      <w:rPr>
                        <w:b/>
                        <w:bCs/>
                        <w:sz w:val="22"/>
                        <w:szCs w:val="22"/>
                      </w:rPr>
                      <w:fldChar w:fldCharType="separate"/>
                    </w:r>
                    <w:r>
                      <w:rPr>
                        <w:b/>
                        <w:bCs/>
                        <w:sz w:val="22"/>
                        <w:szCs w:val="22"/>
                      </w:rPr>
                      <w:t>2</w:t>
                    </w:r>
                    <w:r>
                      <w:rPr>
                        <w:b/>
                        <w:bCs/>
                        <w:sz w:val="22"/>
                        <w:szCs w:val="22"/>
                      </w:rPr>
                      <w:fldChar w:fldCharType="end"/>
                    </w:r>
                    <w:r>
                      <w:rPr>
                        <w:sz w:val="22"/>
                        <w:szCs w:val="22"/>
                        <w:lang w:val="zh-CN"/>
                      </w:rPr>
                      <w:t xml:space="preserve"> / </w:t>
                    </w:r>
                    <w:r>
                      <w:rPr>
                        <w:b/>
                        <w:bCs/>
                        <w:sz w:val="22"/>
                        <w:szCs w:val="22"/>
                      </w:rPr>
                      <w:fldChar w:fldCharType="begin"/>
                    </w:r>
                    <w:r>
                      <w:rPr>
                        <w:b/>
                        <w:bCs/>
                        <w:sz w:val="22"/>
                        <w:szCs w:val="22"/>
                      </w:rPr>
                      <w:instrText xml:space="preserve">NUMPAGES</w:instrText>
                    </w:r>
                    <w:r>
                      <w:rPr>
                        <w:b/>
                        <w:bCs/>
                        <w:sz w:val="22"/>
                        <w:szCs w:val="22"/>
                      </w:rPr>
                      <w:fldChar w:fldCharType="separate"/>
                    </w:r>
                    <w:r>
                      <w:rPr>
                        <w:b/>
                        <w:bCs/>
                        <w:sz w:val="22"/>
                        <w:szCs w:val="22"/>
                      </w:rPr>
                      <w:t>5</w:t>
                    </w:r>
                    <w:r>
                      <w:rPr>
                        <w:b/>
                        <w:bCs/>
                        <w:sz w:val="22"/>
                        <w:szCs w:val="22"/>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C7E1E">
    <w:pPr>
      <w:pStyle w:val="2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8D557D">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58D557D">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19E8E">
    <w:pPr>
      <w:spacing w:line="384" w:lineRule="auto"/>
      <w:jc w:val="both"/>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700EB3">
                          <w:pPr>
                            <w:pStyle w:val="28"/>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4700EB3">
                    <w:pPr>
                      <w:pStyle w:val="28"/>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E60EE">
    <w:pPr>
      <w:pStyle w:val="28"/>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3AEB6C91">
    <w:pPr>
      <w:pStyle w:val="28"/>
      <w:ind w:right="360"/>
    </w:pPr>
  </w:p>
  <w:p w14:paraId="68F424B2"/>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F4E7E">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1350B">
    <w:pPr>
      <w:pStyle w:val="30"/>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D388D">
    <w:pPr>
      <w:pStyle w:val="30"/>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A1B21">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18F39">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CE3AA">
    <w:pPr>
      <w:spacing w:line="219" w:lineRule="auto"/>
      <w:ind w:right="68"/>
      <w:jc w:val="right"/>
      <w:rPr>
        <w:rFonts w:ascii="宋体" w:hAnsi="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 name="IM 20"/>
          <wp:cNvGraphicFramePr/>
          <a:graphic xmlns:a="http://schemas.openxmlformats.org/drawingml/2006/main">
            <a:graphicData uri="http://schemas.openxmlformats.org/drawingml/2006/picture">
              <pic:pic xmlns:pic="http://schemas.openxmlformats.org/drawingml/2006/picture">
                <pic:nvPicPr>
                  <pic:cNvPr id="2" name="IM 20"/>
                  <pic:cNvPicPr/>
                </pic:nvPicPr>
                <pic:blipFill>
                  <a:blip r:embed="rId1"/>
                  <a:stretch>
                    <a:fillRect/>
                  </a:stretch>
                </pic:blipFill>
                <pic:spPr>
                  <a:xfrm>
                    <a:off x="0" y="0"/>
                    <a:ext cx="5760720" cy="8255"/>
                  </a:xfrm>
                  <a:prstGeom prst="rect">
                    <a:avLst/>
                  </a:prstGeom>
                  <a:noFill/>
                  <a:ln>
                    <a:noFill/>
                  </a:ln>
                </pic:spPr>
              </pic:pic>
            </a:graphicData>
          </a:graphic>
        </wp:anchor>
      </w:drawing>
    </w:r>
    <w:r>
      <w:rPr>
        <w:rFonts w:ascii="宋体" w:hAnsi="宋体" w:cs="宋体"/>
        <w:spacing w:val="-1"/>
        <w:sz w:val="18"/>
        <w:szCs w:val="18"/>
      </w:rPr>
      <w:t>北京市政府采购项目公</w:t>
    </w:r>
    <w:r>
      <w:rPr>
        <w:rFonts w:ascii="宋体" w:hAnsi="宋体" w:cs="宋体"/>
        <w:sz w:val="18"/>
        <w:szCs w:val="18"/>
      </w:rPr>
      <w:t>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EADDB">
    <w:pPr>
      <w:pStyle w:val="30"/>
    </w:pPr>
  </w:p>
  <w:p w14:paraId="18B1A39A"/>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0FC8D">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6FE87"/>
    <w:multiLevelType w:val="singleLevel"/>
    <w:tmpl w:val="8B66FE87"/>
    <w:lvl w:ilvl="0" w:tentative="0">
      <w:start w:val="1"/>
      <w:numFmt w:val="chineseCounting"/>
      <w:suff w:val="space"/>
      <w:lvlText w:val="第%1章"/>
      <w:lvlJc w:val="left"/>
      <w:pPr>
        <w:ind w:left="0" w:firstLine="0"/>
      </w:pPr>
      <w:rPr>
        <w:rFonts w:cs="Times New Roman"/>
      </w:rPr>
    </w:lvl>
  </w:abstractNum>
  <w:abstractNum w:abstractNumId="1">
    <w:nsid w:val="A1C127A1"/>
    <w:multiLevelType w:val="singleLevel"/>
    <w:tmpl w:val="A1C127A1"/>
    <w:lvl w:ilvl="0" w:tentative="0">
      <w:start w:val="5"/>
      <w:numFmt w:val="chineseCounting"/>
      <w:suff w:val="space"/>
      <w:lvlText w:val="第%1章"/>
      <w:lvlJc w:val="left"/>
      <w:pPr>
        <w:ind w:left="0" w:firstLine="0"/>
      </w:pPr>
      <w:rPr>
        <w:rFonts w:cs="Times New Roman"/>
      </w:rPr>
    </w:lvl>
  </w:abstractNum>
  <w:abstractNum w:abstractNumId="2">
    <w:nsid w:val="AFD66D33"/>
    <w:multiLevelType w:val="singleLevel"/>
    <w:tmpl w:val="AFD66D33"/>
    <w:lvl w:ilvl="0" w:tentative="0">
      <w:start w:val="1"/>
      <w:numFmt w:val="decimal"/>
      <w:suff w:val="space"/>
      <w:lvlText w:val="%1."/>
      <w:lvlJc w:val="left"/>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11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91"/>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61"/>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11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9"/>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11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E230849"/>
    <w:multiLevelType w:val="multilevel"/>
    <w:tmpl w:val="0E230849"/>
    <w:lvl w:ilvl="0" w:tentative="0">
      <w:start w:val="1"/>
      <w:numFmt w:val="decimal"/>
      <w:pStyle w:val="216"/>
      <w:lvlText w:val="%1"/>
      <w:lvlJc w:val="left"/>
      <w:pPr>
        <w:ind w:left="680" w:hanging="680"/>
      </w:pPr>
      <w:rPr>
        <w:rFonts w:hint="eastAsia" w:ascii="宋体" w:hAnsi="宋体" w:eastAsia="宋体"/>
      </w:rPr>
    </w:lvl>
    <w:lvl w:ilvl="1" w:tentative="0">
      <w:start w:val="1"/>
      <w:numFmt w:val="decimal"/>
      <w:pStyle w:val="217"/>
      <w:lvlText w:val="%1.%2"/>
      <w:lvlJc w:val="left"/>
      <w:pPr>
        <w:ind w:left="851" w:hanging="851"/>
      </w:pPr>
      <w:rPr>
        <w:rFonts w:hint="eastAsia" w:ascii="宋体" w:hAnsi="宋体" w:eastAsia="宋体"/>
        <w:color w:val="auto"/>
      </w:rPr>
    </w:lvl>
    <w:lvl w:ilvl="2" w:tentative="0">
      <w:start w:val="1"/>
      <w:numFmt w:val="decimal"/>
      <w:pStyle w:val="21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29F198BB"/>
    <w:multiLevelType w:val="singleLevel"/>
    <w:tmpl w:val="29F198BB"/>
    <w:lvl w:ilvl="0" w:tentative="0">
      <w:start w:val="2"/>
      <w:numFmt w:val="chineseCounting"/>
      <w:suff w:val="space"/>
      <w:lvlText w:val="第%1章"/>
      <w:lvlJc w:val="left"/>
      <w:pPr>
        <w:ind w:left="0" w:firstLine="0"/>
      </w:pPr>
      <w:rPr>
        <w:rFonts w:cs="Times New Roman"/>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19CAFE8"/>
    <w:multiLevelType w:val="singleLevel"/>
    <w:tmpl w:val="319CAFE8"/>
    <w:lvl w:ilvl="0" w:tentative="0">
      <w:start w:val="4"/>
      <w:numFmt w:val="chineseCounting"/>
      <w:suff w:val="space"/>
      <w:lvlText w:val="第%1章"/>
      <w:lvlJc w:val="left"/>
      <w:pPr>
        <w:ind w:left="0" w:firstLine="0"/>
      </w:pPr>
      <w:rPr>
        <w:rFonts w:cs="Times New Roman"/>
      </w:rPr>
    </w:lvl>
  </w:abstractNum>
  <w:abstractNum w:abstractNumId="17">
    <w:nsid w:val="61995B9D"/>
    <w:multiLevelType w:val="singleLevel"/>
    <w:tmpl w:val="61995B9D"/>
    <w:lvl w:ilvl="0" w:tentative="0">
      <w:start w:val="3"/>
      <w:numFmt w:val="chineseCounting"/>
      <w:suff w:val="space"/>
      <w:lvlText w:val="第%1章"/>
      <w:lvlJc w:val="left"/>
      <w:pPr>
        <w:ind w:left="0" w:firstLine="0"/>
      </w:pPr>
      <w:rPr>
        <w:rFonts w:cs="Times New Roman"/>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1"/>
  </w:num>
  <w:num w:numId="8">
    <w:abstractNumId w:val="9"/>
  </w:num>
  <w:num w:numId="9">
    <w:abstractNumId w:val="13"/>
  </w:num>
  <w:num w:numId="10">
    <w:abstractNumId w:val="3"/>
  </w:num>
  <w:num w:numId="11">
    <w:abstractNumId w:val="12"/>
  </w:num>
  <w:num w:numId="12">
    <w:abstractNumId w:val="18"/>
  </w:num>
  <w:num w:numId="13">
    <w:abstractNumId w:val="0"/>
    <w:lvlOverride w:ilvl="0">
      <w:startOverride w:val="1"/>
    </w:lvlOverride>
  </w:num>
  <w:num w:numId="14">
    <w:abstractNumId w:val="14"/>
    <w:lvlOverride w:ilvl="0">
      <w:startOverride w:val="2"/>
    </w:lvlOverride>
  </w:num>
  <w:num w:numId="15">
    <w:abstractNumId w:val="17"/>
    <w:lvlOverride w:ilvl="0">
      <w:startOverride w:val="3"/>
    </w:lvlOverride>
  </w:num>
  <w:num w:numId="16">
    <w:abstractNumId w:val="16"/>
    <w:lvlOverride w:ilvl="0">
      <w:startOverride w:val="4"/>
    </w:lvlOverride>
  </w:num>
  <w:num w:numId="17">
    <w:abstractNumId w:val="1"/>
    <w:lvlOverride w:ilvl="0">
      <w:startOverride w:val="5"/>
    </w:lvlOverride>
  </w:num>
  <w:num w:numId="18">
    <w:abstractNumId w:val="1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zM5Nzk0Yjc2ODhlMzRhMDY2YjkzNDJmZWE3OGI4MG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75B"/>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1DE"/>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E78"/>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716"/>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6E0"/>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476"/>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3F39"/>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A95"/>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DB8"/>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3F6"/>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F0A"/>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5D4"/>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17F"/>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CB"/>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F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5D1"/>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44D"/>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5FA9"/>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71"/>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474"/>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E19"/>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BF7F04"/>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C98"/>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7E3"/>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2DC7"/>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6EBD"/>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A2"/>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1B9"/>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992"/>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28A"/>
    <w:rsid w:val="00FF7636"/>
    <w:rsid w:val="00FF765F"/>
    <w:rsid w:val="00FF7989"/>
    <w:rsid w:val="00FF7D03"/>
    <w:rsid w:val="01086C64"/>
    <w:rsid w:val="011473B7"/>
    <w:rsid w:val="01227D26"/>
    <w:rsid w:val="0123584C"/>
    <w:rsid w:val="012810B4"/>
    <w:rsid w:val="01282E62"/>
    <w:rsid w:val="01284C10"/>
    <w:rsid w:val="0136732D"/>
    <w:rsid w:val="014001AC"/>
    <w:rsid w:val="01423F24"/>
    <w:rsid w:val="01520363"/>
    <w:rsid w:val="01565C22"/>
    <w:rsid w:val="015E6884"/>
    <w:rsid w:val="01626374"/>
    <w:rsid w:val="01874535"/>
    <w:rsid w:val="019E3125"/>
    <w:rsid w:val="01BF1294"/>
    <w:rsid w:val="01CA5EAE"/>
    <w:rsid w:val="0200793B"/>
    <w:rsid w:val="02076F1C"/>
    <w:rsid w:val="020F7B7E"/>
    <w:rsid w:val="02184C85"/>
    <w:rsid w:val="021913F8"/>
    <w:rsid w:val="021F4265"/>
    <w:rsid w:val="0224187C"/>
    <w:rsid w:val="023615AF"/>
    <w:rsid w:val="024617F2"/>
    <w:rsid w:val="0247556A"/>
    <w:rsid w:val="02477318"/>
    <w:rsid w:val="024B6E08"/>
    <w:rsid w:val="024D764E"/>
    <w:rsid w:val="025D4D8E"/>
    <w:rsid w:val="025F28B4"/>
    <w:rsid w:val="02671768"/>
    <w:rsid w:val="02781BC8"/>
    <w:rsid w:val="027C16B8"/>
    <w:rsid w:val="02867E41"/>
    <w:rsid w:val="028F15C1"/>
    <w:rsid w:val="02987B74"/>
    <w:rsid w:val="029D33DC"/>
    <w:rsid w:val="02B20C36"/>
    <w:rsid w:val="02BE7C24"/>
    <w:rsid w:val="02D43AE7"/>
    <w:rsid w:val="02E9339F"/>
    <w:rsid w:val="02F254D6"/>
    <w:rsid w:val="03065EF4"/>
    <w:rsid w:val="0310038C"/>
    <w:rsid w:val="031C69F7"/>
    <w:rsid w:val="031F751A"/>
    <w:rsid w:val="03224A5B"/>
    <w:rsid w:val="032C4E8C"/>
    <w:rsid w:val="03323B24"/>
    <w:rsid w:val="036B7036"/>
    <w:rsid w:val="03777E5D"/>
    <w:rsid w:val="03800D34"/>
    <w:rsid w:val="0390563A"/>
    <w:rsid w:val="03922815"/>
    <w:rsid w:val="0394658D"/>
    <w:rsid w:val="039842CF"/>
    <w:rsid w:val="039E11BA"/>
    <w:rsid w:val="039E565E"/>
    <w:rsid w:val="03A2514E"/>
    <w:rsid w:val="03BF351B"/>
    <w:rsid w:val="03D60954"/>
    <w:rsid w:val="03E56E95"/>
    <w:rsid w:val="03F82FC0"/>
    <w:rsid w:val="03F90AE6"/>
    <w:rsid w:val="040D00EE"/>
    <w:rsid w:val="0414517A"/>
    <w:rsid w:val="04206073"/>
    <w:rsid w:val="04207E21"/>
    <w:rsid w:val="04275653"/>
    <w:rsid w:val="04335DA6"/>
    <w:rsid w:val="043E2516"/>
    <w:rsid w:val="04545D1C"/>
    <w:rsid w:val="04581CB1"/>
    <w:rsid w:val="045954B6"/>
    <w:rsid w:val="04675A50"/>
    <w:rsid w:val="046E6DDE"/>
    <w:rsid w:val="047343F5"/>
    <w:rsid w:val="04781A0B"/>
    <w:rsid w:val="048204D9"/>
    <w:rsid w:val="048670A4"/>
    <w:rsid w:val="049802FF"/>
    <w:rsid w:val="04AC51BF"/>
    <w:rsid w:val="04C74740"/>
    <w:rsid w:val="04DF5F2E"/>
    <w:rsid w:val="04E363FC"/>
    <w:rsid w:val="050A2F1B"/>
    <w:rsid w:val="050B6D23"/>
    <w:rsid w:val="05131110"/>
    <w:rsid w:val="051B0480"/>
    <w:rsid w:val="051C4A8C"/>
    <w:rsid w:val="052B1173"/>
    <w:rsid w:val="054D10EA"/>
    <w:rsid w:val="05654685"/>
    <w:rsid w:val="056874D4"/>
    <w:rsid w:val="056A3A4A"/>
    <w:rsid w:val="05832D5D"/>
    <w:rsid w:val="059D3E1F"/>
    <w:rsid w:val="05A131E3"/>
    <w:rsid w:val="05A56D21"/>
    <w:rsid w:val="05B42F17"/>
    <w:rsid w:val="05E27A84"/>
    <w:rsid w:val="05FB16D5"/>
    <w:rsid w:val="06085010"/>
    <w:rsid w:val="061333E6"/>
    <w:rsid w:val="0616597F"/>
    <w:rsid w:val="06180735"/>
    <w:rsid w:val="061816F7"/>
    <w:rsid w:val="06224324"/>
    <w:rsid w:val="06270FA0"/>
    <w:rsid w:val="06285D73"/>
    <w:rsid w:val="062A4F87"/>
    <w:rsid w:val="062F6A41"/>
    <w:rsid w:val="064E54C4"/>
    <w:rsid w:val="065A1D10"/>
    <w:rsid w:val="066429FE"/>
    <w:rsid w:val="068B1EC9"/>
    <w:rsid w:val="068C5825"/>
    <w:rsid w:val="068E19BA"/>
    <w:rsid w:val="06936FD0"/>
    <w:rsid w:val="06982838"/>
    <w:rsid w:val="06C07699"/>
    <w:rsid w:val="06C54CB0"/>
    <w:rsid w:val="06D53145"/>
    <w:rsid w:val="06E12EA1"/>
    <w:rsid w:val="06E67100"/>
    <w:rsid w:val="06EE2458"/>
    <w:rsid w:val="06FE6B3F"/>
    <w:rsid w:val="072D4D2F"/>
    <w:rsid w:val="07384C0C"/>
    <w:rsid w:val="073C31C4"/>
    <w:rsid w:val="073E6F3C"/>
    <w:rsid w:val="0754675F"/>
    <w:rsid w:val="075C3866"/>
    <w:rsid w:val="077C1812"/>
    <w:rsid w:val="07972A1D"/>
    <w:rsid w:val="079E3E7E"/>
    <w:rsid w:val="07A50D69"/>
    <w:rsid w:val="07A5520D"/>
    <w:rsid w:val="07AC2FB9"/>
    <w:rsid w:val="07AD40C1"/>
    <w:rsid w:val="07B05752"/>
    <w:rsid w:val="07B0770E"/>
    <w:rsid w:val="07BB058C"/>
    <w:rsid w:val="07C82CA9"/>
    <w:rsid w:val="07CF5DE6"/>
    <w:rsid w:val="07E5385B"/>
    <w:rsid w:val="07E6312F"/>
    <w:rsid w:val="07F35494"/>
    <w:rsid w:val="08033CE1"/>
    <w:rsid w:val="08055CAB"/>
    <w:rsid w:val="08065580"/>
    <w:rsid w:val="081859DF"/>
    <w:rsid w:val="082617B3"/>
    <w:rsid w:val="08541C5F"/>
    <w:rsid w:val="085602B5"/>
    <w:rsid w:val="085B3B1D"/>
    <w:rsid w:val="08601134"/>
    <w:rsid w:val="086F6867"/>
    <w:rsid w:val="087A0447"/>
    <w:rsid w:val="08836BD0"/>
    <w:rsid w:val="088771E0"/>
    <w:rsid w:val="08901A19"/>
    <w:rsid w:val="089808CE"/>
    <w:rsid w:val="08C01BD2"/>
    <w:rsid w:val="08C711B3"/>
    <w:rsid w:val="08E24B5B"/>
    <w:rsid w:val="092B1742"/>
    <w:rsid w:val="0932487E"/>
    <w:rsid w:val="09336848"/>
    <w:rsid w:val="093C56FD"/>
    <w:rsid w:val="093D0A31"/>
    <w:rsid w:val="093D3223"/>
    <w:rsid w:val="09664528"/>
    <w:rsid w:val="096C36E7"/>
    <w:rsid w:val="097C01EF"/>
    <w:rsid w:val="09927A92"/>
    <w:rsid w:val="09AF4121"/>
    <w:rsid w:val="09B039F5"/>
    <w:rsid w:val="09BE6112"/>
    <w:rsid w:val="09C120A6"/>
    <w:rsid w:val="09C3197A"/>
    <w:rsid w:val="09CB6A81"/>
    <w:rsid w:val="09D65B51"/>
    <w:rsid w:val="09D75426"/>
    <w:rsid w:val="09D9119E"/>
    <w:rsid w:val="09DC0C8E"/>
    <w:rsid w:val="09F14739"/>
    <w:rsid w:val="09F61D50"/>
    <w:rsid w:val="09F71624"/>
    <w:rsid w:val="09F935EE"/>
    <w:rsid w:val="0A0C3321"/>
    <w:rsid w:val="0A203EEE"/>
    <w:rsid w:val="0A2A37A7"/>
    <w:rsid w:val="0A2C39C3"/>
    <w:rsid w:val="0A2E391C"/>
    <w:rsid w:val="0A3326C6"/>
    <w:rsid w:val="0A4A209B"/>
    <w:rsid w:val="0A4F1460"/>
    <w:rsid w:val="0A530F50"/>
    <w:rsid w:val="0A6112CA"/>
    <w:rsid w:val="0A682522"/>
    <w:rsid w:val="0A690774"/>
    <w:rsid w:val="0A92134D"/>
    <w:rsid w:val="0AC73FC8"/>
    <w:rsid w:val="0ADA51CD"/>
    <w:rsid w:val="0ADD081A"/>
    <w:rsid w:val="0AE55920"/>
    <w:rsid w:val="0B0508D1"/>
    <w:rsid w:val="0B073AE9"/>
    <w:rsid w:val="0B0C55A3"/>
    <w:rsid w:val="0B0E131B"/>
    <w:rsid w:val="0B2B5A29"/>
    <w:rsid w:val="0B2E5519"/>
    <w:rsid w:val="0B4379B9"/>
    <w:rsid w:val="0B440899"/>
    <w:rsid w:val="0B492353"/>
    <w:rsid w:val="0B4D7C74"/>
    <w:rsid w:val="0B660304"/>
    <w:rsid w:val="0B660C1A"/>
    <w:rsid w:val="0B772A1C"/>
    <w:rsid w:val="0B773172"/>
    <w:rsid w:val="0B7C42C7"/>
    <w:rsid w:val="0B8415DD"/>
    <w:rsid w:val="0BA61553"/>
    <w:rsid w:val="0BAE21B6"/>
    <w:rsid w:val="0BB65255"/>
    <w:rsid w:val="0BB70EA7"/>
    <w:rsid w:val="0BBB3A1A"/>
    <w:rsid w:val="0BCB2D68"/>
    <w:rsid w:val="0BD22349"/>
    <w:rsid w:val="0BDA2FAB"/>
    <w:rsid w:val="0BDC4F75"/>
    <w:rsid w:val="0BE502CE"/>
    <w:rsid w:val="0BE856C8"/>
    <w:rsid w:val="0BEA7692"/>
    <w:rsid w:val="0BEF6A57"/>
    <w:rsid w:val="0BF57DE5"/>
    <w:rsid w:val="0C193AD3"/>
    <w:rsid w:val="0C197F77"/>
    <w:rsid w:val="0C403756"/>
    <w:rsid w:val="0C4072B2"/>
    <w:rsid w:val="0C5114BF"/>
    <w:rsid w:val="0C690668"/>
    <w:rsid w:val="0C790A16"/>
    <w:rsid w:val="0C7E602C"/>
    <w:rsid w:val="0C8353F1"/>
    <w:rsid w:val="0C943AA2"/>
    <w:rsid w:val="0C9F66CF"/>
    <w:rsid w:val="0CA912FB"/>
    <w:rsid w:val="0CB8153E"/>
    <w:rsid w:val="0CCC4FEA"/>
    <w:rsid w:val="0CCE0D62"/>
    <w:rsid w:val="0CD43E9E"/>
    <w:rsid w:val="0CE642FD"/>
    <w:rsid w:val="0CF167FE"/>
    <w:rsid w:val="0D076022"/>
    <w:rsid w:val="0D0E73B0"/>
    <w:rsid w:val="0D1A5D55"/>
    <w:rsid w:val="0D215336"/>
    <w:rsid w:val="0D240982"/>
    <w:rsid w:val="0D3123C7"/>
    <w:rsid w:val="0D335069"/>
    <w:rsid w:val="0D363F3D"/>
    <w:rsid w:val="0D6B4803"/>
    <w:rsid w:val="0D786F20"/>
    <w:rsid w:val="0D9A0C44"/>
    <w:rsid w:val="0DA25D4B"/>
    <w:rsid w:val="0DAB4BFF"/>
    <w:rsid w:val="0DB461AA"/>
    <w:rsid w:val="0DB8731C"/>
    <w:rsid w:val="0DBA12E6"/>
    <w:rsid w:val="0DD025E6"/>
    <w:rsid w:val="0DD203DE"/>
    <w:rsid w:val="0DDA3736"/>
    <w:rsid w:val="0DF50570"/>
    <w:rsid w:val="0DF76096"/>
    <w:rsid w:val="0E0D7668"/>
    <w:rsid w:val="0E1704E7"/>
    <w:rsid w:val="0E1F1149"/>
    <w:rsid w:val="0E3270CE"/>
    <w:rsid w:val="0E415C9A"/>
    <w:rsid w:val="0E4312DC"/>
    <w:rsid w:val="0E6059EA"/>
    <w:rsid w:val="0E683859"/>
    <w:rsid w:val="0E6C0832"/>
    <w:rsid w:val="0E7033EB"/>
    <w:rsid w:val="0E72396F"/>
    <w:rsid w:val="0E7B2823"/>
    <w:rsid w:val="0E83347D"/>
    <w:rsid w:val="0E910299"/>
    <w:rsid w:val="0EB43F87"/>
    <w:rsid w:val="0EB9159E"/>
    <w:rsid w:val="0EBD12D4"/>
    <w:rsid w:val="0EC0292C"/>
    <w:rsid w:val="0EC817E1"/>
    <w:rsid w:val="0EE04D7C"/>
    <w:rsid w:val="0EE228A3"/>
    <w:rsid w:val="0EE77EB9"/>
    <w:rsid w:val="0EEE63D8"/>
    <w:rsid w:val="0EF425D6"/>
    <w:rsid w:val="0EFB3964"/>
    <w:rsid w:val="0F080674"/>
    <w:rsid w:val="0F0F5662"/>
    <w:rsid w:val="0F1D1B2D"/>
    <w:rsid w:val="0F380715"/>
    <w:rsid w:val="0F4C41C0"/>
    <w:rsid w:val="0F5512C6"/>
    <w:rsid w:val="0F5F5CA1"/>
    <w:rsid w:val="0F6E05DA"/>
    <w:rsid w:val="0F8E47D8"/>
    <w:rsid w:val="0F985657"/>
    <w:rsid w:val="0F987405"/>
    <w:rsid w:val="0FAB7138"/>
    <w:rsid w:val="0FAD3BDD"/>
    <w:rsid w:val="0FBA55CD"/>
    <w:rsid w:val="0FDF5034"/>
    <w:rsid w:val="0FE443F8"/>
    <w:rsid w:val="0FEB5787"/>
    <w:rsid w:val="0FF07241"/>
    <w:rsid w:val="0FF46D31"/>
    <w:rsid w:val="0FF5000B"/>
    <w:rsid w:val="10022AD1"/>
    <w:rsid w:val="10066A65"/>
    <w:rsid w:val="100B5E29"/>
    <w:rsid w:val="10120F66"/>
    <w:rsid w:val="10152804"/>
    <w:rsid w:val="10202516"/>
    <w:rsid w:val="102313C5"/>
    <w:rsid w:val="10282537"/>
    <w:rsid w:val="10765998"/>
    <w:rsid w:val="107B4D5D"/>
    <w:rsid w:val="109D1177"/>
    <w:rsid w:val="10B02816"/>
    <w:rsid w:val="10CB7366"/>
    <w:rsid w:val="10CF50A9"/>
    <w:rsid w:val="10E2302E"/>
    <w:rsid w:val="1122167C"/>
    <w:rsid w:val="11302021"/>
    <w:rsid w:val="113849FC"/>
    <w:rsid w:val="113D2012"/>
    <w:rsid w:val="11440688"/>
    <w:rsid w:val="114C494B"/>
    <w:rsid w:val="115B06EA"/>
    <w:rsid w:val="116B3023"/>
    <w:rsid w:val="116E041E"/>
    <w:rsid w:val="11980BFD"/>
    <w:rsid w:val="11A16A45"/>
    <w:rsid w:val="11AC53EA"/>
    <w:rsid w:val="11AC7198"/>
    <w:rsid w:val="11AF6F4A"/>
    <w:rsid w:val="11C20769"/>
    <w:rsid w:val="11CA0D58"/>
    <w:rsid w:val="11D02E86"/>
    <w:rsid w:val="11E3705D"/>
    <w:rsid w:val="11E76422"/>
    <w:rsid w:val="11EB7CC0"/>
    <w:rsid w:val="11FD5C45"/>
    <w:rsid w:val="120174E4"/>
    <w:rsid w:val="1202500A"/>
    <w:rsid w:val="12151E32"/>
    <w:rsid w:val="1230601B"/>
    <w:rsid w:val="12380A2C"/>
    <w:rsid w:val="123F1DBA"/>
    <w:rsid w:val="12422527"/>
    <w:rsid w:val="125E66E4"/>
    <w:rsid w:val="126B0E01"/>
    <w:rsid w:val="127057EE"/>
    <w:rsid w:val="12745F08"/>
    <w:rsid w:val="12BA7692"/>
    <w:rsid w:val="12BD6324"/>
    <w:rsid w:val="12C14EC5"/>
    <w:rsid w:val="12EA7F78"/>
    <w:rsid w:val="12ED320B"/>
    <w:rsid w:val="12F23B9B"/>
    <w:rsid w:val="13053004"/>
    <w:rsid w:val="13054DB2"/>
    <w:rsid w:val="132F0080"/>
    <w:rsid w:val="13502D8F"/>
    <w:rsid w:val="1357211B"/>
    <w:rsid w:val="136715C8"/>
    <w:rsid w:val="136A10B9"/>
    <w:rsid w:val="13702B73"/>
    <w:rsid w:val="137A57A0"/>
    <w:rsid w:val="13897791"/>
    <w:rsid w:val="13961EAE"/>
    <w:rsid w:val="13963C5C"/>
    <w:rsid w:val="1399374C"/>
    <w:rsid w:val="139B5716"/>
    <w:rsid w:val="13AA7707"/>
    <w:rsid w:val="13B32A60"/>
    <w:rsid w:val="13BB1914"/>
    <w:rsid w:val="13BB6555"/>
    <w:rsid w:val="13C95DDF"/>
    <w:rsid w:val="13E64BE3"/>
    <w:rsid w:val="13F13588"/>
    <w:rsid w:val="13F4157C"/>
    <w:rsid w:val="140D5BF4"/>
    <w:rsid w:val="14103A0E"/>
    <w:rsid w:val="142314B2"/>
    <w:rsid w:val="14253D51"/>
    <w:rsid w:val="14264FE0"/>
    <w:rsid w:val="14397409"/>
    <w:rsid w:val="14467430"/>
    <w:rsid w:val="1457788F"/>
    <w:rsid w:val="147321EF"/>
    <w:rsid w:val="14741FA9"/>
    <w:rsid w:val="1482205A"/>
    <w:rsid w:val="14926B19"/>
    <w:rsid w:val="14A95C11"/>
    <w:rsid w:val="14AD74AF"/>
    <w:rsid w:val="14B051F1"/>
    <w:rsid w:val="14B46A8F"/>
    <w:rsid w:val="14BC3B96"/>
    <w:rsid w:val="14C52A4A"/>
    <w:rsid w:val="14C64A14"/>
    <w:rsid w:val="14CF5677"/>
    <w:rsid w:val="14E86739"/>
    <w:rsid w:val="14EF5D19"/>
    <w:rsid w:val="150F3CC6"/>
    <w:rsid w:val="151B6B0E"/>
    <w:rsid w:val="15267261"/>
    <w:rsid w:val="15316332"/>
    <w:rsid w:val="15325C06"/>
    <w:rsid w:val="153E45AB"/>
    <w:rsid w:val="154047C7"/>
    <w:rsid w:val="154716B1"/>
    <w:rsid w:val="15485429"/>
    <w:rsid w:val="154A2F50"/>
    <w:rsid w:val="154F237D"/>
    <w:rsid w:val="155F4BAC"/>
    <w:rsid w:val="156A53A0"/>
    <w:rsid w:val="156D4E90"/>
    <w:rsid w:val="1571672E"/>
    <w:rsid w:val="1585667E"/>
    <w:rsid w:val="158669BF"/>
    <w:rsid w:val="158D108E"/>
    <w:rsid w:val="158F12AA"/>
    <w:rsid w:val="15915022"/>
    <w:rsid w:val="15A57CDD"/>
    <w:rsid w:val="15AB2B1E"/>
    <w:rsid w:val="15AB60E4"/>
    <w:rsid w:val="15D32F45"/>
    <w:rsid w:val="15DA0777"/>
    <w:rsid w:val="16077093"/>
    <w:rsid w:val="162D4D4B"/>
    <w:rsid w:val="164126BF"/>
    <w:rsid w:val="164B3423"/>
    <w:rsid w:val="16507EE5"/>
    <w:rsid w:val="166D339A"/>
    <w:rsid w:val="1684137A"/>
    <w:rsid w:val="16866209"/>
    <w:rsid w:val="16A13043"/>
    <w:rsid w:val="16B40FC8"/>
    <w:rsid w:val="16B65465"/>
    <w:rsid w:val="16B66F43"/>
    <w:rsid w:val="16C17241"/>
    <w:rsid w:val="16DD38AE"/>
    <w:rsid w:val="16FE0496"/>
    <w:rsid w:val="16FE3FF2"/>
    <w:rsid w:val="17045380"/>
    <w:rsid w:val="170D692B"/>
    <w:rsid w:val="171B41FF"/>
    <w:rsid w:val="171C091C"/>
    <w:rsid w:val="171C4DC0"/>
    <w:rsid w:val="172577D0"/>
    <w:rsid w:val="17283CCA"/>
    <w:rsid w:val="17321EED"/>
    <w:rsid w:val="17400AAE"/>
    <w:rsid w:val="175C51BC"/>
    <w:rsid w:val="17681DB3"/>
    <w:rsid w:val="1783099B"/>
    <w:rsid w:val="17887895"/>
    <w:rsid w:val="17A34B99"/>
    <w:rsid w:val="17AF353E"/>
    <w:rsid w:val="17B60D70"/>
    <w:rsid w:val="17BA0860"/>
    <w:rsid w:val="17C214C3"/>
    <w:rsid w:val="17D17958"/>
    <w:rsid w:val="17D42FA4"/>
    <w:rsid w:val="17E21B65"/>
    <w:rsid w:val="17E86A50"/>
    <w:rsid w:val="17EA4F1E"/>
    <w:rsid w:val="17EA6492"/>
    <w:rsid w:val="17EE22B8"/>
    <w:rsid w:val="17F55BC7"/>
    <w:rsid w:val="17F6116D"/>
    <w:rsid w:val="17F93E0B"/>
    <w:rsid w:val="18087453"/>
    <w:rsid w:val="18226406"/>
    <w:rsid w:val="183D6D9C"/>
    <w:rsid w:val="1840063A"/>
    <w:rsid w:val="18420856"/>
    <w:rsid w:val="184C6FDF"/>
    <w:rsid w:val="18730A0F"/>
    <w:rsid w:val="18B10839"/>
    <w:rsid w:val="18B54B84"/>
    <w:rsid w:val="18B90B18"/>
    <w:rsid w:val="18BC5F12"/>
    <w:rsid w:val="18E15979"/>
    <w:rsid w:val="18EE62E8"/>
    <w:rsid w:val="18F97167"/>
    <w:rsid w:val="18FC77C6"/>
    <w:rsid w:val="190D2C12"/>
    <w:rsid w:val="191C10A7"/>
    <w:rsid w:val="191E097B"/>
    <w:rsid w:val="191E6BCD"/>
    <w:rsid w:val="192D5445"/>
    <w:rsid w:val="19353F17"/>
    <w:rsid w:val="19457535"/>
    <w:rsid w:val="19573E8D"/>
    <w:rsid w:val="19742C91"/>
    <w:rsid w:val="198E3DDB"/>
    <w:rsid w:val="19962C07"/>
    <w:rsid w:val="19B337B9"/>
    <w:rsid w:val="19C84D8B"/>
    <w:rsid w:val="19C85E69"/>
    <w:rsid w:val="19C92FDD"/>
    <w:rsid w:val="19E80F89"/>
    <w:rsid w:val="19F811CC"/>
    <w:rsid w:val="1A023DF9"/>
    <w:rsid w:val="1A0E09F0"/>
    <w:rsid w:val="1A27385F"/>
    <w:rsid w:val="1A3579A2"/>
    <w:rsid w:val="1A3746CB"/>
    <w:rsid w:val="1A3D12D5"/>
    <w:rsid w:val="1A473F02"/>
    <w:rsid w:val="1A4965B0"/>
    <w:rsid w:val="1A5959E3"/>
    <w:rsid w:val="1A8769F4"/>
    <w:rsid w:val="1A8B64E4"/>
    <w:rsid w:val="1A98475D"/>
    <w:rsid w:val="1AB86BAD"/>
    <w:rsid w:val="1AB92D65"/>
    <w:rsid w:val="1ABC044C"/>
    <w:rsid w:val="1ABF7F3C"/>
    <w:rsid w:val="1AC94917"/>
    <w:rsid w:val="1AD03EF7"/>
    <w:rsid w:val="1ADD03C2"/>
    <w:rsid w:val="1ADF6A10"/>
    <w:rsid w:val="1AE31E7C"/>
    <w:rsid w:val="1AE91E6A"/>
    <w:rsid w:val="1AED2CFB"/>
    <w:rsid w:val="1AFA71C6"/>
    <w:rsid w:val="1B140288"/>
    <w:rsid w:val="1B252495"/>
    <w:rsid w:val="1B32070E"/>
    <w:rsid w:val="1B4B5C73"/>
    <w:rsid w:val="1B4F7512"/>
    <w:rsid w:val="1B5F44FD"/>
    <w:rsid w:val="1B6034CD"/>
    <w:rsid w:val="1B617245"/>
    <w:rsid w:val="1B682381"/>
    <w:rsid w:val="1B707488"/>
    <w:rsid w:val="1B8A22F8"/>
    <w:rsid w:val="1B970EB9"/>
    <w:rsid w:val="1BA07D6D"/>
    <w:rsid w:val="1BA710FC"/>
    <w:rsid w:val="1BB50C9B"/>
    <w:rsid w:val="1BC872C4"/>
    <w:rsid w:val="1BE97B91"/>
    <w:rsid w:val="1BEA548C"/>
    <w:rsid w:val="1BEE6D2B"/>
    <w:rsid w:val="1C0E2F29"/>
    <w:rsid w:val="1C1222ED"/>
    <w:rsid w:val="1C142509"/>
    <w:rsid w:val="1C3D55BC"/>
    <w:rsid w:val="1C455CA5"/>
    <w:rsid w:val="1C481726"/>
    <w:rsid w:val="1C5648D0"/>
    <w:rsid w:val="1C640D9B"/>
    <w:rsid w:val="1C654B13"/>
    <w:rsid w:val="1C6F5EE1"/>
    <w:rsid w:val="1C8036FB"/>
    <w:rsid w:val="1C8B457A"/>
    <w:rsid w:val="1C8C02F2"/>
    <w:rsid w:val="1C8E29FC"/>
    <w:rsid w:val="1C8E7BC6"/>
    <w:rsid w:val="1C9571A6"/>
    <w:rsid w:val="1CA27479"/>
    <w:rsid w:val="1CBA3085"/>
    <w:rsid w:val="1CC932F4"/>
    <w:rsid w:val="1CE75528"/>
    <w:rsid w:val="1CEC2B3E"/>
    <w:rsid w:val="1D0E51AB"/>
    <w:rsid w:val="1D13456F"/>
    <w:rsid w:val="1D2C69D2"/>
    <w:rsid w:val="1D306ECF"/>
    <w:rsid w:val="1D37585D"/>
    <w:rsid w:val="1D3C55BB"/>
    <w:rsid w:val="1D482BFC"/>
    <w:rsid w:val="1D4B5AB7"/>
    <w:rsid w:val="1D5232E9"/>
    <w:rsid w:val="1D577F34"/>
    <w:rsid w:val="1D5A3F4C"/>
    <w:rsid w:val="1D646B79"/>
    <w:rsid w:val="1D666D95"/>
    <w:rsid w:val="1D886D0B"/>
    <w:rsid w:val="1D9A0A35"/>
    <w:rsid w:val="1D9E02DC"/>
    <w:rsid w:val="1DC53ABB"/>
    <w:rsid w:val="1DD8668B"/>
    <w:rsid w:val="1DDA6E3B"/>
    <w:rsid w:val="1DF75C3F"/>
    <w:rsid w:val="1E075E82"/>
    <w:rsid w:val="1E0B5E3C"/>
    <w:rsid w:val="1E18008F"/>
    <w:rsid w:val="1E2C7696"/>
    <w:rsid w:val="1E320A25"/>
    <w:rsid w:val="1E4F15D7"/>
    <w:rsid w:val="1E5135A1"/>
    <w:rsid w:val="1E566E09"/>
    <w:rsid w:val="1E5A2908"/>
    <w:rsid w:val="1E5D3CF4"/>
    <w:rsid w:val="1E6950A9"/>
    <w:rsid w:val="1E74103D"/>
    <w:rsid w:val="1E7E3C6A"/>
    <w:rsid w:val="1E8474D2"/>
    <w:rsid w:val="1E8A6AB3"/>
    <w:rsid w:val="1E8F4F19"/>
    <w:rsid w:val="1E9A332A"/>
    <w:rsid w:val="1EA2204E"/>
    <w:rsid w:val="1EA77665"/>
    <w:rsid w:val="1EBD22AA"/>
    <w:rsid w:val="1ECA6EAF"/>
    <w:rsid w:val="1ECE074D"/>
    <w:rsid w:val="1EE2244B"/>
    <w:rsid w:val="1F0D396C"/>
    <w:rsid w:val="1F1F4271"/>
    <w:rsid w:val="1F2107B9"/>
    <w:rsid w:val="1F232574"/>
    <w:rsid w:val="1F262635"/>
    <w:rsid w:val="1F2952CA"/>
    <w:rsid w:val="1F38650F"/>
    <w:rsid w:val="1F3C1B5B"/>
    <w:rsid w:val="1F443106"/>
    <w:rsid w:val="1F446C62"/>
    <w:rsid w:val="1F58270D"/>
    <w:rsid w:val="1F5A6485"/>
    <w:rsid w:val="1F69491A"/>
    <w:rsid w:val="1F6D61B8"/>
    <w:rsid w:val="1F707A57"/>
    <w:rsid w:val="1F7F5EEC"/>
    <w:rsid w:val="1F85618B"/>
    <w:rsid w:val="1F881244"/>
    <w:rsid w:val="1F901EA7"/>
    <w:rsid w:val="1F9A0F77"/>
    <w:rsid w:val="1FA53BA4"/>
    <w:rsid w:val="1FB060A5"/>
    <w:rsid w:val="1FBC4A4A"/>
    <w:rsid w:val="1FC14756"/>
    <w:rsid w:val="1FC16500"/>
    <w:rsid w:val="1FD06747"/>
    <w:rsid w:val="1FD6774F"/>
    <w:rsid w:val="1FD77AD6"/>
    <w:rsid w:val="1FE87F35"/>
    <w:rsid w:val="1FF00B97"/>
    <w:rsid w:val="1FF22B62"/>
    <w:rsid w:val="1FF24910"/>
    <w:rsid w:val="1FFC753C"/>
    <w:rsid w:val="20016901"/>
    <w:rsid w:val="202820DF"/>
    <w:rsid w:val="202A5E57"/>
    <w:rsid w:val="203C3DDD"/>
    <w:rsid w:val="204F3B10"/>
    <w:rsid w:val="206D3F96"/>
    <w:rsid w:val="20711CD8"/>
    <w:rsid w:val="207332F6"/>
    <w:rsid w:val="2079293B"/>
    <w:rsid w:val="207B4905"/>
    <w:rsid w:val="208A2D9A"/>
    <w:rsid w:val="20971013"/>
    <w:rsid w:val="209B0B03"/>
    <w:rsid w:val="20CF4C51"/>
    <w:rsid w:val="20D14525"/>
    <w:rsid w:val="20F546B7"/>
    <w:rsid w:val="20F931A0"/>
    <w:rsid w:val="20FD356C"/>
    <w:rsid w:val="2107263D"/>
    <w:rsid w:val="210C1A01"/>
    <w:rsid w:val="2110329F"/>
    <w:rsid w:val="212A0BF1"/>
    <w:rsid w:val="215C4736"/>
    <w:rsid w:val="21661111"/>
    <w:rsid w:val="21674E89"/>
    <w:rsid w:val="217C26E3"/>
    <w:rsid w:val="21837F15"/>
    <w:rsid w:val="218C684C"/>
    <w:rsid w:val="21933ED0"/>
    <w:rsid w:val="219A525F"/>
    <w:rsid w:val="219F63D1"/>
    <w:rsid w:val="21C422DC"/>
    <w:rsid w:val="21DA38AD"/>
    <w:rsid w:val="21E169EA"/>
    <w:rsid w:val="21E87D78"/>
    <w:rsid w:val="21F030D1"/>
    <w:rsid w:val="21FF173F"/>
    <w:rsid w:val="220426D8"/>
    <w:rsid w:val="22077432"/>
    <w:rsid w:val="22105521"/>
    <w:rsid w:val="222A0391"/>
    <w:rsid w:val="22494289"/>
    <w:rsid w:val="224D0523"/>
    <w:rsid w:val="22513B6F"/>
    <w:rsid w:val="225C2514"/>
    <w:rsid w:val="226338A3"/>
    <w:rsid w:val="22680EB9"/>
    <w:rsid w:val="226B2757"/>
    <w:rsid w:val="22842735"/>
    <w:rsid w:val="228F4698"/>
    <w:rsid w:val="22A46176"/>
    <w:rsid w:val="22B365D8"/>
    <w:rsid w:val="22BF471C"/>
    <w:rsid w:val="22CA5FBD"/>
    <w:rsid w:val="22E70030"/>
    <w:rsid w:val="22E76282"/>
    <w:rsid w:val="22EE7610"/>
    <w:rsid w:val="22F664C5"/>
    <w:rsid w:val="22F8048F"/>
    <w:rsid w:val="230C7A96"/>
    <w:rsid w:val="231F082F"/>
    <w:rsid w:val="232E2103"/>
    <w:rsid w:val="2342170A"/>
    <w:rsid w:val="23445482"/>
    <w:rsid w:val="234F5BD5"/>
    <w:rsid w:val="235558E1"/>
    <w:rsid w:val="23711FEF"/>
    <w:rsid w:val="2378337E"/>
    <w:rsid w:val="238E0DF3"/>
    <w:rsid w:val="23983A20"/>
    <w:rsid w:val="239D1036"/>
    <w:rsid w:val="239E00B4"/>
    <w:rsid w:val="23B95E70"/>
    <w:rsid w:val="23CD191B"/>
    <w:rsid w:val="23D305B4"/>
    <w:rsid w:val="23EB1DA2"/>
    <w:rsid w:val="23ED1676"/>
    <w:rsid w:val="23EE3640"/>
    <w:rsid w:val="23F21382"/>
    <w:rsid w:val="23F70746"/>
    <w:rsid w:val="240D1D18"/>
    <w:rsid w:val="241906BD"/>
    <w:rsid w:val="24207C9D"/>
    <w:rsid w:val="243454F7"/>
    <w:rsid w:val="243948BB"/>
    <w:rsid w:val="24482D50"/>
    <w:rsid w:val="24547947"/>
    <w:rsid w:val="246102B6"/>
    <w:rsid w:val="246F652F"/>
    <w:rsid w:val="2492046F"/>
    <w:rsid w:val="24AE34FB"/>
    <w:rsid w:val="24DE5462"/>
    <w:rsid w:val="24F54A8C"/>
    <w:rsid w:val="25090731"/>
    <w:rsid w:val="251E74A4"/>
    <w:rsid w:val="252F5CBE"/>
    <w:rsid w:val="25387269"/>
    <w:rsid w:val="25396B3D"/>
    <w:rsid w:val="253B4663"/>
    <w:rsid w:val="253F4495"/>
    <w:rsid w:val="254A0D4A"/>
    <w:rsid w:val="254C4AC2"/>
    <w:rsid w:val="255D0A7D"/>
    <w:rsid w:val="255E0351"/>
    <w:rsid w:val="25783B09"/>
    <w:rsid w:val="257858B7"/>
    <w:rsid w:val="257D111F"/>
    <w:rsid w:val="258C1362"/>
    <w:rsid w:val="258E6E89"/>
    <w:rsid w:val="259D531E"/>
    <w:rsid w:val="25C26B32"/>
    <w:rsid w:val="25D23219"/>
    <w:rsid w:val="25D9231B"/>
    <w:rsid w:val="25F45FB9"/>
    <w:rsid w:val="26213859"/>
    <w:rsid w:val="26284BE7"/>
    <w:rsid w:val="26307F40"/>
    <w:rsid w:val="26435EC5"/>
    <w:rsid w:val="265E4AAD"/>
    <w:rsid w:val="26606A77"/>
    <w:rsid w:val="266A3452"/>
    <w:rsid w:val="26775B6F"/>
    <w:rsid w:val="267918E7"/>
    <w:rsid w:val="26793695"/>
    <w:rsid w:val="269335E8"/>
    <w:rsid w:val="269F5DA8"/>
    <w:rsid w:val="26B11081"/>
    <w:rsid w:val="26B11296"/>
    <w:rsid w:val="26B4291F"/>
    <w:rsid w:val="26E73922"/>
    <w:rsid w:val="26F5608A"/>
    <w:rsid w:val="26FC7FC9"/>
    <w:rsid w:val="26FE1DEC"/>
    <w:rsid w:val="27140E52"/>
    <w:rsid w:val="27483067"/>
    <w:rsid w:val="27504801"/>
    <w:rsid w:val="275A4CE2"/>
    <w:rsid w:val="275D4D64"/>
    <w:rsid w:val="2762237B"/>
    <w:rsid w:val="276637D0"/>
    <w:rsid w:val="276B56D3"/>
    <w:rsid w:val="276E2ACE"/>
    <w:rsid w:val="27795E86"/>
    <w:rsid w:val="2780766D"/>
    <w:rsid w:val="27840543"/>
    <w:rsid w:val="27843CE5"/>
    <w:rsid w:val="2790513A"/>
    <w:rsid w:val="27960276"/>
    <w:rsid w:val="279F35CF"/>
    <w:rsid w:val="27B01338"/>
    <w:rsid w:val="27C070A1"/>
    <w:rsid w:val="27DD5EA5"/>
    <w:rsid w:val="27EE1E60"/>
    <w:rsid w:val="28173165"/>
    <w:rsid w:val="28177609"/>
    <w:rsid w:val="281C69CE"/>
    <w:rsid w:val="282615FA"/>
    <w:rsid w:val="283006CB"/>
    <w:rsid w:val="284101E2"/>
    <w:rsid w:val="2849353B"/>
    <w:rsid w:val="28553C8E"/>
    <w:rsid w:val="28700AC7"/>
    <w:rsid w:val="287405B8"/>
    <w:rsid w:val="2874680A"/>
    <w:rsid w:val="287E4F92"/>
    <w:rsid w:val="289724F8"/>
    <w:rsid w:val="289C18BC"/>
    <w:rsid w:val="28AA222B"/>
    <w:rsid w:val="28B9246E"/>
    <w:rsid w:val="28D728F5"/>
    <w:rsid w:val="28EA6ACC"/>
    <w:rsid w:val="28EC2844"/>
    <w:rsid w:val="28ED2CD5"/>
    <w:rsid w:val="28EF40E2"/>
    <w:rsid w:val="28F9286B"/>
    <w:rsid w:val="28F95257"/>
    <w:rsid w:val="290C6A42"/>
    <w:rsid w:val="291D4652"/>
    <w:rsid w:val="29220014"/>
    <w:rsid w:val="292D69B8"/>
    <w:rsid w:val="293164A9"/>
    <w:rsid w:val="29345F99"/>
    <w:rsid w:val="293A0405"/>
    <w:rsid w:val="293E2974"/>
    <w:rsid w:val="29422464"/>
    <w:rsid w:val="2944442E"/>
    <w:rsid w:val="295403E9"/>
    <w:rsid w:val="295C3E2E"/>
    <w:rsid w:val="296879F1"/>
    <w:rsid w:val="296C74E1"/>
    <w:rsid w:val="29733D0B"/>
    <w:rsid w:val="298F31CF"/>
    <w:rsid w:val="29A50C45"/>
    <w:rsid w:val="29A70519"/>
    <w:rsid w:val="29B03871"/>
    <w:rsid w:val="29B95389"/>
    <w:rsid w:val="29C015DB"/>
    <w:rsid w:val="29C27101"/>
    <w:rsid w:val="29D3130E"/>
    <w:rsid w:val="29E21551"/>
    <w:rsid w:val="29F3375E"/>
    <w:rsid w:val="29FF65A7"/>
    <w:rsid w:val="2A04596B"/>
    <w:rsid w:val="2A1831C5"/>
    <w:rsid w:val="2A36189D"/>
    <w:rsid w:val="2A3864A5"/>
    <w:rsid w:val="2A524929"/>
    <w:rsid w:val="2A571F3F"/>
    <w:rsid w:val="2A612DBE"/>
    <w:rsid w:val="2A6308E4"/>
    <w:rsid w:val="2A662182"/>
    <w:rsid w:val="2A685EFA"/>
    <w:rsid w:val="2A6E7289"/>
    <w:rsid w:val="2A783C63"/>
    <w:rsid w:val="2A7D127A"/>
    <w:rsid w:val="2A7D74CC"/>
    <w:rsid w:val="2AB949A8"/>
    <w:rsid w:val="2AC1385C"/>
    <w:rsid w:val="2AC82E3D"/>
    <w:rsid w:val="2ADE61BC"/>
    <w:rsid w:val="2AE31A25"/>
    <w:rsid w:val="2AE5754B"/>
    <w:rsid w:val="2AEA2DB3"/>
    <w:rsid w:val="2AFC4894"/>
    <w:rsid w:val="2AFE685E"/>
    <w:rsid w:val="2B090260"/>
    <w:rsid w:val="2B1C6CE5"/>
    <w:rsid w:val="2B2636BF"/>
    <w:rsid w:val="2B2C517A"/>
    <w:rsid w:val="2B2F4C6A"/>
    <w:rsid w:val="2B3C1135"/>
    <w:rsid w:val="2B45293D"/>
    <w:rsid w:val="2B4869EF"/>
    <w:rsid w:val="2B620B9B"/>
    <w:rsid w:val="2B7B1C5D"/>
    <w:rsid w:val="2B7D59D5"/>
    <w:rsid w:val="2B7E174D"/>
    <w:rsid w:val="2B836D64"/>
    <w:rsid w:val="2B8A0465"/>
    <w:rsid w:val="2BA94A1C"/>
    <w:rsid w:val="2BAB3DB8"/>
    <w:rsid w:val="2BB1742D"/>
    <w:rsid w:val="2BB94533"/>
    <w:rsid w:val="2BC453B2"/>
    <w:rsid w:val="2BD17ACF"/>
    <w:rsid w:val="2BE21CDC"/>
    <w:rsid w:val="2BF81500"/>
    <w:rsid w:val="2BFC0FF0"/>
    <w:rsid w:val="2C0734F1"/>
    <w:rsid w:val="2C145E68"/>
    <w:rsid w:val="2C1D2D14"/>
    <w:rsid w:val="2C273B93"/>
    <w:rsid w:val="2C302A48"/>
    <w:rsid w:val="2C3047F6"/>
    <w:rsid w:val="2C385DA0"/>
    <w:rsid w:val="2C536736"/>
    <w:rsid w:val="2C5A1872"/>
    <w:rsid w:val="2C6D5A4A"/>
    <w:rsid w:val="2C7F39CF"/>
    <w:rsid w:val="2C8F603A"/>
    <w:rsid w:val="2C98683F"/>
    <w:rsid w:val="2CBF3DCB"/>
    <w:rsid w:val="2CC118F2"/>
    <w:rsid w:val="2CC94C4A"/>
    <w:rsid w:val="2CF021D7"/>
    <w:rsid w:val="2CFE66A2"/>
    <w:rsid w:val="2CFF066C"/>
    <w:rsid w:val="2D067C4C"/>
    <w:rsid w:val="2D355E3C"/>
    <w:rsid w:val="2D393B7E"/>
    <w:rsid w:val="2D430559"/>
    <w:rsid w:val="2D4D587B"/>
    <w:rsid w:val="2D4F33A1"/>
    <w:rsid w:val="2D4F6EFD"/>
    <w:rsid w:val="2D524C40"/>
    <w:rsid w:val="2D542766"/>
    <w:rsid w:val="2D547A16"/>
    <w:rsid w:val="2D7626DC"/>
    <w:rsid w:val="2D796670"/>
    <w:rsid w:val="2D9708A4"/>
    <w:rsid w:val="2DA03BFD"/>
    <w:rsid w:val="2DA84860"/>
    <w:rsid w:val="2DAA682A"/>
    <w:rsid w:val="2DB63420"/>
    <w:rsid w:val="2DCC49F2"/>
    <w:rsid w:val="2DE27D71"/>
    <w:rsid w:val="2DF67CC1"/>
    <w:rsid w:val="2E0028ED"/>
    <w:rsid w:val="2E045F3A"/>
    <w:rsid w:val="2E0F2B31"/>
    <w:rsid w:val="2E1E4B22"/>
    <w:rsid w:val="2E20089A"/>
    <w:rsid w:val="2E224612"/>
    <w:rsid w:val="2E232138"/>
    <w:rsid w:val="2E3E1D79"/>
    <w:rsid w:val="2E4A00F3"/>
    <w:rsid w:val="2E642E7C"/>
    <w:rsid w:val="2E731311"/>
    <w:rsid w:val="2E732B82"/>
    <w:rsid w:val="2E8B0409"/>
    <w:rsid w:val="2E903C71"/>
    <w:rsid w:val="2E9574DA"/>
    <w:rsid w:val="2E9D1EEA"/>
    <w:rsid w:val="2EA52F70"/>
    <w:rsid w:val="2EB21E3A"/>
    <w:rsid w:val="2EBF00B3"/>
    <w:rsid w:val="2EC102CF"/>
    <w:rsid w:val="2EC90F31"/>
    <w:rsid w:val="2ECE0195"/>
    <w:rsid w:val="2ED578D6"/>
    <w:rsid w:val="2ED63A8D"/>
    <w:rsid w:val="2EDE49DD"/>
    <w:rsid w:val="2EE47B19"/>
    <w:rsid w:val="2EF53AD4"/>
    <w:rsid w:val="2EF6324F"/>
    <w:rsid w:val="2EF73CF0"/>
    <w:rsid w:val="2F081A5A"/>
    <w:rsid w:val="2F2148C9"/>
    <w:rsid w:val="2F246502"/>
    <w:rsid w:val="2F2D0889"/>
    <w:rsid w:val="2F364819"/>
    <w:rsid w:val="2F3C7955"/>
    <w:rsid w:val="2F452CAE"/>
    <w:rsid w:val="2F5702EB"/>
    <w:rsid w:val="2F5C3B54"/>
    <w:rsid w:val="2F6535AC"/>
    <w:rsid w:val="2F6649D2"/>
    <w:rsid w:val="2F6A001E"/>
    <w:rsid w:val="2F792957"/>
    <w:rsid w:val="2FAA0D63"/>
    <w:rsid w:val="2FB83480"/>
    <w:rsid w:val="2FC02334"/>
    <w:rsid w:val="2FCA4F61"/>
    <w:rsid w:val="2FD656B4"/>
    <w:rsid w:val="2FEC3129"/>
    <w:rsid w:val="2FFD492C"/>
    <w:rsid w:val="302E54F0"/>
    <w:rsid w:val="303B5E5F"/>
    <w:rsid w:val="3045283A"/>
    <w:rsid w:val="30536D05"/>
    <w:rsid w:val="30542A7D"/>
    <w:rsid w:val="3058256D"/>
    <w:rsid w:val="305C4144"/>
    <w:rsid w:val="305D5DD5"/>
    <w:rsid w:val="306152DF"/>
    <w:rsid w:val="306E1D90"/>
    <w:rsid w:val="307355F9"/>
    <w:rsid w:val="308C0468"/>
    <w:rsid w:val="30937A49"/>
    <w:rsid w:val="309D0472"/>
    <w:rsid w:val="30A6152A"/>
    <w:rsid w:val="30AA08EF"/>
    <w:rsid w:val="30B005FB"/>
    <w:rsid w:val="30B31E99"/>
    <w:rsid w:val="30C46588"/>
    <w:rsid w:val="30C6397A"/>
    <w:rsid w:val="30DB5CCE"/>
    <w:rsid w:val="30E20088"/>
    <w:rsid w:val="30EB33E1"/>
    <w:rsid w:val="30EE2ED1"/>
    <w:rsid w:val="30F97D5A"/>
    <w:rsid w:val="31077AEF"/>
    <w:rsid w:val="31126BC0"/>
    <w:rsid w:val="311E7EB8"/>
    <w:rsid w:val="312D39F9"/>
    <w:rsid w:val="31374878"/>
    <w:rsid w:val="31456F95"/>
    <w:rsid w:val="314F1BC2"/>
    <w:rsid w:val="315A2BA1"/>
    <w:rsid w:val="315C7E3B"/>
    <w:rsid w:val="31605B7D"/>
    <w:rsid w:val="31717D8A"/>
    <w:rsid w:val="31A30FDD"/>
    <w:rsid w:val="31AF08B2"/>
    <w:rsid w:val="31B40132"/>
    <w:rsid w:val="31D64091"/>
    <w:rsid w:val="31F42769"/>
    <w:rsid w:val="31FD161E"/>
    <w:rsid w:val="320D55D9"/>
    <w:rsid w:val="321B5F48"/>
    <w:rsid w:val="3220530C"/>
    <w:rsid w:val="32292413"/>
    <w:rsid w:val="322A618B"/>
    <w:rsid w:val="3244724D"/>
    <w:rsid w:val="32470E35"/>
    <w:rsid w:val="32496611"/>
    <w:rsid w:val="324A05DB"/>
    <w:rsid w:val="3257699A"/>
    <w:rsid w:val="325A3905"/>
    <w:rsid w:val="325D41F6"/>
    <w:rsid w:val="32655415"/>
    <w:rsid w:val="326A2A2B"/>
    <w:rsid w:val="32803FFD"/>
    <w:rsid w:val="32853251"/>
    <w:rsid w:val="328F173A"/>
    <w:rsid w:val="32951856"/>
    <w:rsid w:val="32AE2918"/>
    <w:rsid w:val="32B25FB4"/>
    <w:rsid w:val="32C043F9"/>
    <w:rsid w:val="32D14858"/>
    <w:rsid w:val="32DA370D"/>
    <w:rsid w:val="32EB653A"/>
    <w:rsid w:val="32F56799"/>
    <w:rsid w:val="32FD73FC"/>
    <w:rsid w:val="32FE389F"/>
    <w:rsid w:val="32FF3174"/>
    <w:rsid w:val="33010C9A"/>
    <w:rsid w:val="330D3AE3"/>
    <w:rsid w:val="331C3D26"/>
    <w:rsid w:val="33266952"/>
    <w:rsid w:val="3349403B"/>
    <w:rsid w:val="334943EF"/>
    <w:rsid w:val="334B460B"/>
    <w:rsid w:val="335334BF"/>
    <w:rsid w:val="3355548A"/>
    <w:rsid w:val="335D7E9A"/>
    <w:rsid w:val="336E3F51"/>
    <w:rsid w:val="337376BE"/>
    <w:rsid w:val="3381002D"/>
    <w:rsid w:val="33876A6C"/>
    <w:rsid w:val="33883169"/>
    <w:rsid w:val="33897E1B"/>
    <w:rsid w:val="338B0EAB"/>
    <w:rsid w:val="339A2E9C"/>
    <w:rsid w:val="339C6C14"/>
    <w:rsid w:val="339F4F3C"/>
    <w:rsid w:val="33AA7583"/>
    <w:rsid w:val="33AF6948"/>
    <w:rsid w:val="33B51A84"/>
    <w:rsid w:val="33BC2E13"/>
    <w:rsid w:val="33C57F19"/>
    <w:rsid w:val="33C87A09"/>
    <w:rsid w:val="33D20888"/>
    <w:rsid w:val="33E835D1"/>
    <w:rsid w:val="33E83C08"/>
    <w:rsid w:val="33FF27C2"/>
    <w:rsid w:val="340053F5"/>
    <w:rsid w:val="340A6274"/>
    <w:rsid w:val="340F388A"/>
    <w:rsid w:val="34126ED7"/>
    <w:rsid w:val="341E3ACD"/>
    <w:rsid w:val="342B3056"/>
    <w:rsid w:val="34313801"/>
    <w:rsid w:val="34401C96"/>
    <w:rsid w:val="344E43B3"/>
    <w:rsid w:val="34684D49"/>
    <w:rsid w:val="34761214"/>
    <w:rsid w:val="3498562E"/>
    <w:rsid w:val="349A75F8"/>
    <w:rsid w:val="34A00986"/>
    <w:rsid w:val="34A16E0A"/>
    <w:rsid w:val="34AC10D9"/>
    <w:rsid w:val="34B306BA"/>
    <w:rsid w:val="34B41D3C"/>
    <w:rsid w:val="34C0096A"/>
    <w:rsid w:val="34C44675"/>
    <w:rsid w:val="34C46423"/>
    <w:rsid w:val="34D81ECE"/>
    <w:rsid w:val="35026F4B"/>
    <w:rsid w:val="35223149"/>
    <w:rsid w:val="35243365"/>
    <w:rsid w:val="35431A3E"/>
    <w:rsid w:val="354B26A0"/>
    <w:rsid w:val="354E3F3E"/>
    <w:rsid w:val="355A342B"/>
    <w:rsid w:val="35777939"/>
    <w:rsid w:val="357A2F85"/>
    <w:rsid w:val="358B0CEF"/>
    <w:rsid w:val="35A149B6"/>
    <w:rsid w:val="35AB75E3"/>
    <w:rsid w:val="35B46497"/>
    <w:rsid w:val="35BE10C4"/>
    <w:rsid w:val="35C16E06"/>
    <w:rsid w:val="35D07049"/>
    <w:rsid w:val="35D501BC"/>
    <w:rsid w:val="35D73F34"/>
    <w:rsid w:val="35DD14E0"/>
    <w:rsid w:val="35DE1766"/>
    <w:rsid w:val="35F1149A"/>
    <w:rsid w:val="35F9034E"/>
    <w:rsid w:val="35FB2318"/>
    <w:rsid w:val="360016DD"/>
    <w:rsid w:val="36117FF1"/>
    <w:rsid w:val="361E6007"/>
    <w:rsid w:val="361F6654"/>
    <w:rsid w:val="3623361D"/>
    <w:rsid w:val="362829E1"/>
    <w:rsid w:val="36317AE8"/>
    <w:rsid w:val="36343134"/>
    <w:rsid w:val="3636283A"/>
    <w:rsid w:val="365732C7"/>
    <w:rsid w:val="365B6913"/>
    <w:rsid w:val="36716136"/>
    <w:rsid w:val="36721EAF"/>
    <w:rsid w:val="367E6AA5"/>
    <w:rsid w:val="368A369C"/>
    <w:rsid w:val="36A007CA"/>
    <w:rsid w:val="36A44137"/>
    <w:rsid w:val="36B349A1"/>
    <w:rsid w:val="36B424C7"/>
    <w:rsid w:val="36C95F72"/>
    <w:rsid w:val="36C977A0"/>
    <w:rsid w:val="36D30B9F"/>
    <w:rsid w:val="36FD79CA"/>
    <w:rsid w:val="37164F30"/>
    <w:rsid w:val="37184804"/>
    <w:rsid w:val="371C0798"/>
    <w:rsid w:val="371C1A6D"/>
    <w:rsid w:val="371E0226"/>
    <w:rsid w:val="372235CE"/>
    <w:rsid w:val="37227431"/>
    <w:rsid w:val="3736112E"/>
    <w:rsid w:val="37515F68"/>
    <w:rsid w:val="37537F32"/>
    <w:rsid w:val="376637C1"/>
    <w:rsid w:val="376932B2"/>
    <w:rsid w:val="377B1B24"/>
    <w:rsid w:val="377C1237"/>
    <w:rsid w:val="377C4D93"/>
    <w:rsid w:val="37854AF1"/>
    <w:rsid w:val="378620B5"/>
    <w:rsid w:val="378679C0"/>
    <w:rsid w:val="379C3687"/>
    <w:rsid w:val="37A91900"/>
    <w:rsid w:val="37B502A5"/>
    <w:rsid w:val="37B7226F"/>
    <w:rsid w:val="37B81D19"/>
    <w:rsid w:val="37E82428"/>
    <w:rsid w:val="37EE4E6A"/>
    <w:rsid w:val="38044D88"/>
    <w:rsid w:val="3806711F"/>
    <w:rsid w:val="381A45AC"/>
    <w:rsid w:val="38213B8C"/>
    <w:rsid w:val="382947EF"/>
    <w:rsid w:val="38303DCF"/>
    <w:rsid w:val="3837515E"/>
    <w:rsid w:val="384004B6"/>
    <w:rsid w:val="38455560"/>
    <w:rsid w:val="38591578"/>
    <w:rsid w:val="38603452"/>
    <w:rsid w:val="386341A5"/>
    <w:rsid w:val="38635F53"/>
    <w:rsid w:val="38685317"/>
    <w:rsid w:val="386A72E1"/>
    <w:rsid w:val="38806B05"/>
    <w:rsid w:val="3882287D"/>
    <w:rsid w:val="389D76B7"/>
    <w:rsid w:val="38B95B73"/>
    <w:rsid w:val="38BD1B07"/>
    <w:rsid w:val="38CC7AD3"/>
    <w:rsid w:val="391A0CE7"/>
    <w:rsid w:val="392C0A3B"/>
    <w:rsid w:val="39371C85"/>
    <w:rsid w:val="394418E0"/>
    <w:rsid w:val="395C1320"/>
    <w:rsid w:val="396226AE"/>
    <w:rsid w:val="39684EB4"/>
    <w:rsid w:val="396E2E01"/>
    <w:rsid w:val="397C3770"/>
    <w:rsid w:val="39810D86"/>
    <w:rsid w:val="39916AF0"/>
    <w:rsid w:val="39972358"/>
    <w:rsid w:val="39A700C1"/>
    <w:rsid w:val="39B50E1B"/>
    <w:rsid w:val="39B85C3D"/>
    <w:rsid w:val="39DA2245"/>
    <w:rsid w:val="39E15381"/>
    <w:rsid w:val="39E84962"/>
    <w:rsid w:val="39E92488"/>
    <w:rsid w:val="39F350B4"/>
    <w:rsid w:val="39FC665F"/>
    <w:rsid w:val="3A6B10EF"/>
    <w:rsid w:val="3A706705"/>
    <w:rsid w:val="3A742699"/>
    <w:rsid w:val="3A824DB6"/>
    <w:rsid w:val="3AA30888"/>
    <w:rsid w:val="3AAD5BAB"/>
    <w:rsid w:val="3AAF547F"/>
    <w:rsid w:val="3ABB3E24"/>
    <w:rsid w:val="3AD153F6"/>
    <w:rsid w:val="3AD93E6C"/>
    <w:rsid w:val="3AF31810"/>
    <w:rsid w:val="3AFD213A"/>
    <w:rsid w:val="3B0752BB"/>
    <w:rsid w:val="3B131EB2"/>
    <w:rsid w:val="3B3D6F2F"/>
    <w:rsid w:val="3B4E35AC"/>
    <w:rsid w:val="3B583D69"/>
    <w:rsid w:val="3B677B08"/>
    <w:rsid w:val="3B712735"/>
    <w:rsid w:val="3B822B94"/>
    <w:rsid w:val="3B9D177C"/>
    <w:rsid w:val="3BA40D5C"/>
    <w:rsid w:val="3BA42B0A"/>
    <w:rsid w:val="3BA90120"/>
    <w:rsid w:val="3BAB0637"/>
    <w:rsid w:val="3BB05953"/>
    <w:rsid w:val="3BB52F69"/>
    <w:rsid w:val="3BCB62E9"/>
    <w:rsid w:val="3BCB6780"/>
    <w:rsid w:val="3BCE402B"/>
    <w:rsid w:val="3BDA652C"/>
    <w:rsid w:val="3BDC6748"/>
    <w:rsid w:val="3BFC2946"/>
    <w:rsid w:val="3C07234F"/>
    <w:rsid w:val="3C166A9C"/>
    <w:rsid w:val="3C1E0B0E"/>
    <w:rsid w:val="3C244377"/>
    <w:rsid w:val="3C3C2D43"/>
    <w:rsid w:val="3C4131D2"/>
    <w:rsid w:val="3C5067EE"/>
    <w:rsid w:val="3C5D38DD"/>
    <w:rsid w:val="3C636521"/>
    <w:rsid w:val="3C836BC3"/>
    <w:rsid w:val="3C85293C"/>
    <w:rsid w:val="3CAA23A2"/>
    <w:rsid w:val="3CAA7A36"/>
    <w:rsid w:val="3CAE1CE4"/>
    <w:rsid w:val="3CB925E5"/>
    <w:rsid w:val="3CCD6C33"/>
    <w:rsid w:val="3CD63197"/>
    <w:rsid w:val="3CDB255C"/>
    <w:rsid w:val="3CED04E1"/>
    <w:rsid w:val="3CFB0E50"/>
    <w:rsid w:val="3D05582A"/>
    <w:rsid w:val="3D0C0967"/>
    <w:rsid w:val="3D29776B"/>
    <w:rsid w:val="3D2A703F"/>
    <w:rsid w:val="3D344362"/>
    <w:rsid w:val="3D380DA1"/>
    <w:rsid w:val="3D532A3A"/>
    <w:rsid w:val="3D5D1021"/>
    <w:rsid w:val="3D600CB3"/>
    <w:rsid w:val="3D6562C9"/>
    <w:rsid w:val="3D6A38DF"/>
    <w:rsid w:val="3D6D517E"/>
    <w:rsid w:val="3D6E1622"/>
    <w:rsid w:val="3D6F7148"/>
    <w:rsid w:val="3D70539A"/>
    <w:rsid w:val="3DA54918"/>
    <w:rsid w:val="3DB334D8"/>
    <w:rsid w:val="3DB35286"/>
    <w:rsid w:val="3DB80AEF"/>
    <w:rsid w:val="3DB86D41"/>
    <w:rsid w:val="3DB930C9"/>
    <w:rsid w:val="3DC76F84"/>
    <w:rsid w:val="3DCB0822"/>
    <w:rsid w:val="3DCE20C0"/>
    <w:rsid w:val="3DD11BB1"/>
    <w:rsid w:val="3DFA2EB5"/>
    <w:rsid w:val="3E0C2BE9"/>
    <w:rsid w:val="3E0D2837"/>
    <w:rsid w:val="3E133F77"/>
    <w:rsid w:val="3E300685"/>
    <w:rsid w:val="3E335831"/>
    <w:rsid w:val="3E3C527C"/>
    <w:rsid w:val="3E3E6DD7"/>
    <w:rsid w:val="3E41232F"/>
    <w:rsid w:val="3E4B1963"/>
    <w:rsid w:val="3E5C76CC"/>
    <w:rsid w:val="3E701F10"/>
    <w:rsid w:val="3E802C9A"/>
    <w:rsid w:val="3E817133"/>
    <w:rsid w:val="3E9055C8"/>
    <w:rsid w:val="3E9C21BE"/>
    <w:rsid w:val="3E9E0431"/>
    <w:rsid w:val="3EBF1A09"/>
    <w:rsid w:val="3ED82BDB"/>
    <w:rsid w:val="3EE15E23"/>
    <w:rsid w:val="3EF26282"/>
    <w:rsid w:val="3EF26D09"/>
    <w:rsid w:val="3EF8055F"/>
    <w:rsid w:val="3F0F0BE2"/>
    <w:rsid w:val="3F1C50AD"/>
    <w:rsid w:val="3F244D49"/>
    <w:rsid w:val="3F32042D"/>
    <w:rsid w:val="3F4343E8"/>
    <w:rsid w:val="3F5605BF"/>
    <w:rsid w:val="3F6525B0"/>
    <w:rsid w:val="3F6D4287"/>
    <w:rsid w:val="3F6D76B7"/>
    <w:rsid w:val="3F746C97"/>
    <w:rsid w:val="3F7D3D9E"/>
    <w:rsid w:val="3F7D78FA"/>
    <w:rsid w:val="3F84512C"/>
    <w:rsid w:val="3F8844F1"/>
    <w:rsid w:val="3F8F5139"/>
    <w:rsid w:val="3FA4757D"/>
    <w:rsid w:val="3FBA0B4E"/>
    <w:rsid w:val="3FC217B1"/>
    <w:rsid w:val="3FCC2962"/>
    <w:rsid w:val="401D732F"/>
    <w:rsid w:val="401F6C03"/>
    <w:rsid w:val="40210BCD"/>
    <w:rsid w:val="40424C83"/>
    <w:rsid w:val="40591A3B"/>
    <w:rsid w:val="405C7E57"/>
    <w:rsid w:val="40632F94"/>
    <w:rsid w:val="406E7B8B"/>
    <w:rsid w:val="40805A26"/>
    <w:rsid w:val="40860A30"/>
    <w:rsid w:val="40B557B9"/>
    <w:rsid w:val="40D45C40"/>
    <w:rsid w:val="40DA0D7C"/>
    <w:rsid w:val="40DE086C"/>
    <w:rsid w:val="40E13EB9"/>
    <w:rsid w:val="4101455B"/>
    <w:rsid w:val="41087697"/>
    <w:rsid w:val="411A73CB"/>
    <w:rsid w:val="41223A92"/>
    <w:rsid w:val="412F2E76"/>
    <w:rsid w:val="41412BA9"/>
    <w:rsid w:val="41434B73"/>
    <w:rsid w:val="414C7ECC"/>
    <w:rsid w:val="41566655"/>
    <w:rsid w:val="4157061F"/>
    <w:rsid w:val="415840B6"/>
    <w:rsid w:val="41586871"/>
    <w:rsid w:val="4168282C"/>
    <w:rsid w:val="418C02C8"/>
    <w:rsid w:val="418C2076"/>
    <w:rsid w:val="418C651A"/>
    <w:rsid w:val="418F1B67"/>
    <w:rsid w:val="41961147"/>
    <w:rsid w:val="41984EBF"/>
    <w:rsid w:val="41C23CEA"/>
    <w:rsid w:val="41DA54D8"/>
    <w:rsid w:val="41E94AAD"/>
    <w:rsid w:val="420C1409"/>
    <w:rsid w:val="422E137F"/>
    <w:rsid w:val="42332E3A"/>
    <w:rsid w:val="4253528A"/>
    <w:rsid w:val="425F778B"/>
    <w:rsid w:val="42641245"/>
    <w:rsid w:val="426B4382"/>
    <w:rsid w:val="42733236"/>
    <w:rsid w:val="42817701"/>
    <w:rsid w:val="429733C9"/>
    <w:rsid w:val="42990D96"/>
    <w:rsid w:val="42B850ED"/>
    <w:rsid w:val="42BD2703"/>
    <w:rsid w:val="42C02EB8"/>
    <w:rsid w:val="42C972FA"/>
    <w:rsid w:val="42CB4E20"/>
    <w:rsid w:val="42CD0A98"/>
    <w:rsid w:val="42E03DEE"/>
    <w:rsid w:val="42F26851"/>
    <w:rsid w:val="43086074"/>
    <w:rsid w:val="430A1DED"/>
    <w:rsid w:val="43140575"/>
    <w:rsid w:val="431A0C09"/>
    <w:rsid w:val="432F53AF"/>
    <w:rsid w:val="433E55F2"/>
    <w:rsid w:val="434075BC"/>
    <w:rsid w:val="43476B9D"/>
    <w:rsid w:val="436314FD"/>
    <w:rsid w:val="43655275"/>
    <w:rsid w:val="437B23A2"/>
    <w:rsid w:val="43803E5D"/>
    <w:rsid w:val="438C0A54"/>
    <w:rsid w:val="43A044FF"/>
    <w:rsid w:val="43AF029E"/>
    <w:rsid w:val="43B6787E"/>
    <w:rsid w:val="43C27FD1"/>
    <w:rsid w:val="43C35DE5"/>
    <w:rsid w:val="43CA332A"/>
    <w:rsid w:val="43CC0E50"/>
    <w:rsid w:val="43D917BF"/>
    <w:rsid w:val="43DF25BE"/>
    <w:rsid w:val="43E22422"/>
    <w:rsid w:val="43E76B31"/>
    <w:rsid w:val="43E837B0"/>
    <w:rsid w:val="43F633A3"/>
    <w:rsid w:val="43F6411F"/>
    <w:rsid w:val="43FB1735"/>
    <w:rsid w:val="43FE4D82"/>
    <w:rsid w:val="440A1978"/>
    <w:rsid w:val="440A5A5D"/>
    <w:rsid w:val="440C3942"/>
    <w:rsid w:val="440E7F9D"/>
    <w:rsid w:val="4416656F"/>
    <w:rsid w:val="44213356"/>
    <w:rsid w:val="44254A04"/>
    <w:rsid w:val="442C18EF"/>
    <w:rsid w:val="44307631"/>
    <w:rsid w:val="444529B0"/>
    <w:rsid w:val="444E7AB7"/>
    <w:rsid w:val="44541D1D"/>
    <w:rsid w:val="445826E4"/>
    <w:rsid w:val="445A645C"/>
    <w:rsid w:val="447E20A0"/>
    <w:rsid w:val="449B1E09"/>
    <w:rsid w:val="44D37FBC"/>
    <w:rsid w:val="44F22B38"/>
    <w:rsid w:val="44F248E6"/>
    <w:rsid w:val="44F543D6"/>
    <w:rsid w:val="44FE14DD"/>
    <w:rsid w:val="4504461A"/>
    <w:rsid w:val="450D34CE"/>
    <w:rsid w:val="451F1453"/>
    <w:rsid w:val="45216F7A"/>
    <w:rsid w:val="453D47C7"/>
    <w:rsid w:val="454068F0"/>
    <w:rsid w:val="45433394"/>
    <w:rsid w:val="45571591"/>
    <w:rsid w:val="455E3D2A"/>
    <w:rsid w:val="45603F46"/>
    <w:rsid w:val="45605CF4"/>
    <w:rsid w:val="4565330A"/>
    <w:rsid w:val="45660E30"/>
    <w:rsid w:val="457479F1"/>
    <w:rsid w:val="45796DB6"/>
    <w:rsid w:val="458539AC"/>
    <w:rsid w:val="45921C25"/>
    <w:rsid w:val="45A1630C"/>
    <w:rsid w:val="45A32084"/>
    <w:rsid w:val="45D466E2"/>
    <w:rsid w:val="45D64EAF"/>
    <w:rsid w:val="45DE130F"/>
    <w:rsid w:val="45EA380F"/>
    <w:rsid w:val="45F1670E"/>
    <w:rsid w:val="45F20916"/>
    <w:rsid w:val="45FD1795"/>
    <w:rsid w:val="45FE550D"/>
    <w:rsid w:val="46081EE8"/>
    <w:rsid w:val="46144D30"/>
    <w:rsid w:val="46357180"/>
    <w:rsid w:val="4654337F"/>
    <w:rsid w:val="466435C2"/>
    <w:rsid w:val="4665733A"/>
    <w:rsid w:val="466943CF"/>
    <w:rsid w:val="467852BF"/>
    <w:rsid w:val="4678706D"/>
    <w:rsid w:val="46844D9D"/>
    <w:rsid w:val="468A0B4E"/>
    <w:rsid w:val="46946D06"/>
    <w:rsid w:val="469601B1"/>
    <w:rsid w:val="46AB11F1"/>
    <w:rsid w:val="46AE2307"/>
    <w:rsid w:val="46B02CAB"/>
    <w:rsid w:val="46C6427C"/>
    <w:rsid w:val="46C671D1"/>
    <w:rsid w:val="46D00C57"/>
    <w:rsid w:val="46D85D5E"/>
    <w:rsid w:val="46DA049C"/>
    <w:rsid w:val="46DA79FE"/>
    <w:rsid w:val="46F22495"/>
    <w:rsid w:val="46F52EDB"/>
    <w:rsid w:val="470703F1"/>
    <w:rsid w:val="471C3E9C"/>
    <w:rsid w:val="4723522B"/>
    <w:rsid w:val="473311E6"/>
    <w:rsid w:val="47354F5E"/>
    <w:rsid w:val="474156B1"/>
    <w:rsid w:val="47460F19"/>
    <w:rsid w:val="47462CC7"/>
    <w:rsid w:val="47507FEA"/>
    <w:rsid w:val="47683533"/>
    <w:rsid w:val="4770243A"/>
    <w:rsid w:val="4771627F"/>
    <w:rsid w:val="478D6B48"/>
    <w:rsid w:val="47946129"/>
    <w:rsid w:val="479954ED"/>
    <w:rsid w:val="47C209DA"/>
    <w:rsid w:val="47DB78B4"/>
    <w:rsid w:val="47DE1152"/>
    <w:rsid w:val="480E2158"/>
    <w:rsid w:val="481C1C7A"/>
    <w:rsid w:val="48403BBB"/>
    <w:rsid w:val="484A4A39"/>
    <w:rsid w:val="484F781F"/>
    <w:rsid w:val="486C0E54"/>
    <w:rsid w:val="487F2935"/>
    <w:rsid w:val="4889679F"/>
    <w:rsid w:val="48967C7F"/>
    <w:rsid w:val="48AB372A"/>
    <w:rsid w:val="48B6445C"/>
    <w:rsid w:val="48C06AA9"/>
    <w:rsid w:val="48C22822"/>
    <w:rsid w:val="48C52312"/>
    <w:rsid w:val="48C93BB0"/>
    <w:rsid w:val="48CB3DCC"/>
    <w:rsid w:val="48DF33D4"/>
    <w:rsid w:val="48E629B4"/>
    <w:rsid w:val="48EB7FCA"/>
    <w:rsid w:val="48F13107"/>
    <w:rsid w:val="48F7696F"/>
    <w:rsid w:val="48FA020D"/>
    <w:rsid w:val="48FA1FBB"/>
    <w:rsid w:val="49080B7C"/>
    <w:rsid w:val="49117305"/>
    <w:rsid w:val="49382AE4"/>
    <w:rsid w:val="493C25D4"/>
    <w:rsid w:val="49583186"/>
    <w:rsid w:val="497004D0"/>
    <w:rsid w:val="49746212"/>
    <w:rsid w:val="497A30FC"/>
    <w:rsid w:val="49C34AA3"/>
    <w:rsid w:val="49C619BA"/>
    <w:rsid w:val="49CF3448"/>
    <w:rsid w:val="49D835B1"/>
    <w:rsid w:val="49E14F29"/>
    <w:rsid w:val="4A1946C3"/>
    <w:rsid w:val="4A1E7F2C"/>
    <w:rsid w:val="4A2319E6"/>
    <w:rsid w:val="4A280DAA"/>
    <w:rsid w:val="4A2C089A"/>
    <w:rsid w:val="4A2D4613"/>
    <w:rsid w:val="4A2D63C1"/>
    <w:rsid w:val="4A325785"/>
    <w:rsid w:val="4A38281B"/>
    <w:rsid w:val="4A3B6D2F"/>
    <w:rsid w:val="4A5676C5"/>
    <w:rsid w:val="4A834233"/>
    <w:rsid w:val="4A895CED"/>
    <w:rsid w:val="4A8A3813"/>
    <w:rsid w:val="4A9B77CE"/>
    <w:rsid w:val="4AAC5537"/>
    <w:rsid w:val="4ACC3E2B"/>
    <w:rsid w:val="4AE7656F"/>
    <w:rsid w:val="4AEA6060"/>
    <w:rsid w:val="4AFF5F31"/>
    <w:rsid w:val="4AFF5FAF"/>
    <w:rsid w:val="4B007631"/>
    <w:rsid w:val="4B0233A9"/>
    <w:rsid w:val="4B06733D"/>
    <w:rsid w:val="4B0709C0"/>
    <w:rsid w:val="4B11183E"/>
    <w:rsid w:val="4B180E1F"/>
    <w:rsid w:val="4B182BCD"/>
    <w:rsid w:val="4B1F3F5B"/>
    <w:rsid w:val="4B24732B"/>
    <w:rsid w:val="4B2E3FD9"/>
    <w:rsid w:val="4B337A07"/>
    <w:rsid w:val="4B35377F"/>
    <w:rsid w:val="4B4E4840"/>
    <w:rsid w:val="4B560527"/>
    <w:rsid w:val="4B65373A"/>
    <w:rsid w:val="4B6B1001"/>
    <w:rsid w:val="4B7C7600"/>
    <w:rsid w:val="4B7C7EF4"/>
    <w:rsid w:val="4B842010"/>
    <w:rsid w:val="4B9366F7"/>
    <w:rsid w:val="4BAB3A41"/>
    <w:rsid w:val="4BAF1783"/>
    <w:rsid w:val="4BB5041C"/>
    <w:rsid w:val="4BBF129A"/>
    <w:rsid w:val="4BC44B03"/>
    <w:rsid w:val="4BD27220"/>
    <w:rsid w:val="4BD5286C"/>
    <w:rsid w:val="4BDC009E"/>
    <w:rsid w:val="4BDF193C"/>
    <w:rsid w:val="4BE96317"/>
    <w:rsid w:val="4BEF6B87"/>
    <w:rsid w:val="4C066EC9"/>
    <w:rsid w:val="4C143394"/>
    <w:rsid w:val="4C17004E"/>
    <w:rsid w:val="4C215AB1"/>
    <w:rsid w:val="4C2537F3"/>
    <w:rsid w:val="4C417F01"/>
    <w:rsid w:val="4C4A6411"/>
    <w:rsid w:val="4C545E87"/>
    <w:rsid w:val="4C5C4D3B"/>
    <w:rsid w:val="4C673E0C"/>
    <w:rsid w:val="4C6D0CF6"/>
    <w:rsid w:val="4C733D00"/>
    <w:rsid w:val="4C76404F"/>
    <w:rsid w:val="4C88628C"/>
    <w:rsid w:val="4C910E89"/>
    <w:rsid w:val="4C940979"/>
    <w:rsid w:val="4C962698"/>
    <w:rsid w:val="4CA30BBC"/>
    <w:rsid w:val="4CAA019C"/>
    <w:rsid w:val="4CB132D9"/>
    <w:rsid w:val="4CD82614"/>
    <w:rsid w:val="4CD9638C"/>
    <w:rsid w:val="4CDC69BA"/>
    <w:rsid w:val="4CE27936"/>
    <w:rsid w:val="4D00163A"/>
    <w:rsid w:val="4D0A4797"/>
    <w:rsid w:val="4D14138D"/>
    <w:rsid w:val="4D186EB4"/>
    <w:rsid w:val="4D1B2D86"/>
    <w:rsid w:val="4D20220D"/>
    <w:rsid w:val="4D221AE1"/>
    <w:rsid w:val="4D2412B5"/>
    <w:rsid w:val="4D2B09BA"/>
    <w:rsid w:val="4D353608"/>
    <w:rsid w:val="4D442C23"/>
    <w:rsid w:val="4D493511"/>
    <w:rsid w:val="4D4B54DB"/>
    <w:rsid w:val="4D4E4631"/>
    <w:rsid w:val="4D812CAB"/>
    <w:rsid w:val="4D84279B"/>
    <w:rsid w:val="4D85209C"/>
    <w:rsid w:val="4D896004"/>
    <w:rsid w:val="4D8B3B2A"/>
    <w:rsid w:val="4D8D78A2"/>
    <w:rsid w:val="4D9964EA"/>
    <w:rsid w:val="4DB34E2F"/>
    <w:rsid w:val="4DBF51B2"/>
    <w:rsid w:val="4DCF7EBB"/>
    <w:rsid w:val="4DDA685F"/>
    <w:rsid w:val="4DDC6134"/>
    <w:rsid w:val="4DE374C2"/>
    <w:rsid w:val="4DE90850"/>
    <w:rsid w:val="4DED6593"/>
    <w:rsid w:val="4DF72F6D"/>
    <w:rsid w:val="4DF74D1B"/>
    <w:rsid w:val="4DF96CE5"/>
    <w:rsid w:val="4E037FF9"/>
    <w:rsid w:val="4E191136"/>
    <w:rsid w:val="4E37780E"/>
    <w:rsid w:val="4E3A10AC"/>
    <w:rsid w:val="4E3C3076"/>
    <w:rsid w:val="4E3E0B9C"/>
    <w:rsid w:val="4E485577"/>
    <w:rsid w:val="4E606D65"/>
    <w:rsid w:val="4E740A62"/>
    <w:rsid w:val="4E74636C"/>
    <w:rsid w:val="4E83032A"/>
    <w:rsid w:val="4E8A0571"/>
    <w:rsid w:val="4E8D38D2"/>
    <w:rsid w:val="4EA76741"/>
    <w:rsid w:val="4EA824BA"/>
    <w:rsid w:val="4EB40E5E"/>
    <w:rsid w:val="4EB62E28"/>
    <w:rsid w:val="4ED137BE"/>
    <w:rsid w:val="4ED84B4D"/>
    <w:rsid w:val="4EDD6607"/>
    <w:rsid w:val="4EDE412D"/>
    <w:rsid w:val="4EDE5EDB"/>
    <w:rsid w:val="4F0516BA"/>
    <w:rsid w:val="4F0F5BE3"/>
    <w:rsid w:val="4F196F13"/>
    <w:rsid w:val="4F334479"/>
    <w:rsid w:val="4F4927E9"/>
    <w:rsid w:val="4F5148FF"/>
    <w:rsid w:val="4F54599D"/>
    <w:rsid w:val="4F5E3164"/>
    <w:rsid w:val="4F806F93"/>
    <w:rsid w:val="4FB355BA"/>
    <w:rsid w:val="4FB530E0"/>
    <w:rsid w:val="4FBA4253"/>
    <w:rsid w:val="4FDE2637"/>
    <w:rsid w:val="4FEB08B0"/>
    <w:rsid w:val="4FED4628"/>
    <w:rsid w:val="4FF534DD"/>
    <w:rsid w:val="500A342C"/>
    <w:rsid w:val="501871CB"/>
    <w:rsid w:val="50210776"/>
    <w:rsid w:val="502B6476"/>
    <w:rsid w:val="5032028D"/>
    <w:rsid w:val="50461F8A"/>
    <w:rsid w:val="504F52E3"/>
    <w:rsid w:val="506643DA"/>
    <w:rsid w:val="50680152"/>
    <w:rsid w:val="50697A27"/>
    <w:rsid w:val="50B769E4"/>
    <w:rsid w:val="50B909AE"/>
    <w:rsid w:val="50C64E79"/>
    <w:rsid w:val="50E35A2B"/>
    <w:rsid w:val="50E81293"/>
    <w:rsid w:val="50FD6ED7"/>
    <w:rsid w:val="51085492"/>
    <w:rsid w:val="510A12E0"/>
    <w:rsid w:val="510A745C"/>
    <w:rsid w:val="510C31D4"/>
    <w:rsid w:val="510F6820"/>
    <w:rsid w:val="51281F4E"/>
    <w:rsid w:val="512A5408"/>
    <w:rsid w:val="5153495F"/>
    <w:rsid w:val="5161133B"/>
    <w:rsid w:val="51646B6C"/>
    <w:rsid w:val="5167665C"/>
    <w:rsid w:val="51705511"/>
    <w:rsid w:val="517D3175"/>
    <w:rsid w:val="519C4558"/>
    <w:rsid w:val="519D5BDA"/>
    <w:rsid w:val="51A72EFC"/>
    <w:rsid w:val="51BC69A8"/>
    <w:rsid w:val="51C8534D"/>
    <w:rsid w:val="51C969CF"/>
    <w:rsid w:val="51CE0489"/>
    <w:rsid w:val="51D75590"/>
    <w:rsid w:val="51DF2696"/>
    <w:rsid w:val="51E67581"/>
    <w:rsid w:val="51F7178E"/>
    <w:rsid w:val="520B348B"/>
    <w:rsid w:val="521045FE"/>
    <w:rsid w:val="5212481A"/>
    <w:rsid w:val="52190993"/>
    <w:rsid w:val="522A3822"/>
    <w:rsid w:val="52422029"/>
    <w:rsid w:val="524D7600"/>
    <w:rsid w:val="526D4CD2"/>
    <w:rsid w:val="526D7CA2"/>
    <w:rsid w:val="526E7576"/>
    <w:rsid w:val="52833022"/>
    <w:rsid w:val="52972F71"/>
    <w:rsid w:val="52A336C4"/>
    <w:rsid w:val="52AD62F0"/>
    <w:rsid w:val="52B458D1"/>
    <w:rsid w:val="52BB7DFA"/>
    <w:rsid w:val="52BD660C"/>
    <w:rsid w:val="52CD2A54"/>
    <w:rsid w:val="52D4387D"/>
    <w:rsid w:val="52D7511B"/>
    <w:rsid w:val="52E54F7F"/>
    <w:rsid w:val="52FC4EBC"/>
    <w:rsid w:val="530A54F1"/>
    <w:rsid w:val="530F6FAB"/>
    <w:rsid w:val="531A431B"/>
    <w:rsid w:val="532365B3"/>
    <w:rsid w:val="532A5B93"/>
    <w:rsid w:val="533E33EC"/>
    <w:rsid w:val="536C7F5A"/>
    <w:rsid w:val="536E11E4"/>
    <w:rsid w:val="537137C2"/>
    <w:rsid w:val="537E1A3B"/>
    <w:rsid w:val="538C05FC"/>
    <w:rsid w:val="5391168D"/>
    <w:rsid w:val="53A54AEB"/>
    <w:rsid w:val="53CE4770"/>
    <w:rsid w:val="53D006CA"/>
    <w:rsid w:val="53F40A0B"/>
    <w:rsid w:val="540E7263"/>
    <w:rsid w:val="54176117"/>
    <w:rsid w:val="541F4FCC"/>
    <w:rsid w:val="54646E83"/>
    <w:rsid w:val="54774E08"/>
    <w:rsid w:val="549179A4"/>
    <w:rsid w:val="5492579E"/>
    <w:rsid w:val="54931516"/>
    <w:rsid w:val="54992FD0"/>
    <w:rsid w:val="54A84FC1"/>
    <w:rsid w:val="54C0055D"/>
    <w:rsid w:val="54D2203E"/>
    <w:rsid w:val="54D9161F"/>
    <w:rsid w:val="54E104D3"/>
    <w:rsid w:val="55040901"/>
    <w:rsid w:val="55050666"/>
    <w:rsid w:val="5523329E"/>
    <w:rsid w:val="55302983"/>
    <w:rsid w:val="55314FB7"/>
    <w:rsid w:val="553700F3"/>
    <w:rsid w:val="55376345"/>
    <w:rsid w:val="553E73EB"/>
    <w:rsid w:val="554271C4"/>
    <w:rsid w:val="5546444E"/>
    <w:rsid w:val="555E38D2"/>
    <w:rsid w:val="5560764A"/>
    <w:rsid w:val="556A671B"/>
    <w:rsid w:val="556C2493"/>
    <w:rsid w:val="55741347"/>
    <w:rsid w:val="5579695E"/>
    <w:rsid w:val="557B26D6"/>
    <w:rsid w:val="558275C0"/>
    <w:rsid w:val="559A7000"/>
    <w:rsid w:val="559D7FA3"/>
    <w:rsid w:val="55A559A5"/>
    <w:rsid w:val="55BD2CEE"/>
    <w:rsid w:val="55C4407D"/>
    <w:rsid w:val="55D342C0"/>
    <w:rsid w:val="55D43B94"/>
    <w:rsid w:val="55E22755"/>
    <w:rsid w:val="55F34962"/>
    <w:rsid w:val="55F67FAE"/>
    <w:rsid w:val="55F9755F"/>
    <w:rsid w:val="56010E2D"/>
    <w:rsid w:val="56220DA3"/>
    <w:rsid w:val="562E599A"/>
    <w:rsid w:val="5632283D"/>
    <w:rsid w:val="5641657F"/>
    <w:rsid w:val="5647080A"/>
    <w:rsid w:val="565A678F"/>
    <w:rsid w:val="56721153"/>
    <w:rsid w:val="567C4958"/>
    <w:rsid w:val="56876E58"/>
    <w:rsid w:val="568A7075"/>
    <w:rsid w:val="56925F29"/>
    <w:rsid w:val="569A3030"/>
    <w:rsid w:val="56A30136"/>
    <w:rsid w:val="56A619D5"/>
    <w:rsid w:val="56B57E6A"/>
    <w:rsid w:val="56BD287A"/>
    <w:rsid w:val="56D7393C"/>
    <w:rsid w:val="56D95906"/>
    <w:rsid w:val="56DF05DE"/>
    <w:rsid w:val="56E06B93"/>
    <w:rsid w:val="56EE0C86"/>
    <w:rsid w:val="56F02C50"/>
    <w:rsid w:val="56F50266"/>
    <w:rsid w:val="56F70118"/>
    <w:rsid w:val="57080108"/>
    <w:rsid w:val="571A1A7B"/>
    <w:rsid w:val="571E5A0F"/>
    <w:rsid w:val="57396669"/>
    <w:rsid w:val="574134AB"/>
    <w:rsid w:val="574865E8"/>
    <w:rsid w:val="574A2360"/>
    <w:rsid w:val="575051A4"/>
    <w:rsid w:val="57555DD5"/>
    <w:rsid w:val="57664CC0"/>
    <w:rsid w:val="57671164"/>
    <w:rsid w:val="578F2469"/>
    <w:rsid w:val="5798756F"/>
    <w:rsid w:val="579B2BBB"/>
    <w:rsid w:val="57B65C47"/>
    <w:rsid w:val="57C02622"/>
    <w:rsid w:val="57C87729"/>
    <w:rsid w:val="57CE2F91"/>
    <w:rsid w:val="57DB745C"/>
    <w:rsid w:val="57DF519E"/>
    <w:rsid w:val="57E44562"/>
    <w:rsid w:val="57EA0B47"/>
    <w:rsid w:val="57EA58F1"/>
    <w:rsid w:val="57EF4CB5"/>
    <w:rsid w:val="57F86260"/>
    <w:rsid w:val="57FC6189"/>
    <w:rsid w:val="5806097D"/>
    <w:rsid w:val="580A7D41"/>
    <w:rsid w:val="5813309A"/>
    <w:rsid w:val="58242BB1"/>
    <w:rsid w:val="58360B36"/>
    <w:rsid w:val="5838665C"/>
    <w:rsid w:val="583A0626"/>
    <w:rsid w:val="583D5FB9"/>
    <w:rsid w:val="58403763"/>
    <w:rsid w:val="58550FBC"/>
    <w:rsid w:val="585D2567"/>
    <w:rsid w:val="5866141B"/>
    <w:rsid w:val="587A0A23"/>
    <w:rsid w:val="587F072F"/>
    <w:rsid w:val="588418A2"/>
    <w:rsid w:val="58900246"/>
    <w:rsid w:val="58A40196"/>
    <w:rsid w:val="58A61818"/>
    <w:rsid w:val="58A837E2"/>
    <w:rsid w:val="58CA2091"/>
    <w:rsid w:val="58DF4D2A"/>
    <w:rsid w:val="58E6430A"/>
    <w:rsid w:val="58EB3729"/>
    <w:rsid w:val="58FB06C8"/>
    <w:rsid w:val="5903310E"/>
    <w:rsid w:val="590C6BFB"/>
    <w:rsid w:val="59140E77"/>
    <w:rsid w:val="59170968"/>
    <w:rsid w:val="591744DE"/>
    <w:rsid w:val="5939268C"/>
    <w:rsid w:val="594D6137"/>
    <w:rsid w:val="59527BF2"/>
    <w:rsid w:val="59594ADC"/>
    <w:rsid w:val="595D1BDA"/>
    <w:rsid w:val="596F4300"/>
    <w:rsid w:val="59771406"/>
    <w:rsid w:val="5980650D"/>
    <w:rsid w:val="5987789B"/>
    <w:rsid w:val="598D4786"/>
    <w:rsid w:val="599C0E6D"/>
    <w:rsid w:val="59A0270B"/>
    <w:rsid w:val="59A57D21"/>
    <w:rsid w:val="59C04B5B"/>
    <w:rsid w:val="59DD74BB"/>
    <w:rsid w:val="59E14BD8"/>
    <w:rsid w:val="59E35ED0"/>
    <w:rsid w:val="5A0B4331"/>
    <w:rsid w:val="5A0C1B4F"/>
    <w:rsid w:val="5A1924BD"/>
    <w:rsid w:val="5A1D5B0A"/>
    <w:rsid w:val="5A225816"/>
    <w:rsid w:val="5A3410A5"/>
    <w:rsid w:val="5A3572F7"/>
    <w:rsid w:val="5A3B2434"/>
    <w:rsid w:val="5A3F1F24"/>
    <w:rsid w:val="5A4A2677"/>
    <w:rsid w:val="5A533C21"/>
    <w:rsid w:val="5A64198B"/>
    <w:rsid w:val="5A6C7B2F"/>
    <w:rsid w:val="5A7932AB"/>
    <w:rsid w:val="5A8042EB"/>
    <w:rsid w:val="5A9009D2"/>
    <w:rsid w:val="5A9A35FE"/>
    <w:rsid w:val="5A9D4E9D"/>
    <w:rsid w:val="5AA004E9"/>
    <w:rsid w:val="5AAC3332"/>
    <w:rsid w:val="5AAD1584"/>
    <w:rsid w:val="5ACC4D23"/>
    <w:rsid w:val="5ACC6298"/>
    <w:rsid w:val="5AD07020"/>
    <w:rsid w:val="5AD3240B"/>
    <w:rsid w:val="5AE20B01"/>
    <w:rsid w:val="5AEE394A"/>
    <w:rsid w:val="5AF50835"/>
    <w:rsid w:val="5AFE3B8D"/>
    <w:rsid w:val="5AFF16B3"/>
    <w:rsid w:val="5B123195"/>
    <w:rsid w:val="5B1A473F"/>
    <w:rsid w:val="5B1A64ED"/>
    <w:rsid w:val="5B1E422F"/>
    <w:rsid w:val="5B1F3B03"/>
    <w:rsid w:val="5B2D7FCE"/>
    <w:rsid w:val="5B2E0D18"/>
    <w:rsid w:val="5B323837"/>
    <w:rsid w:val="5B3A26EB"/>
    <w:rsid w:val="5B44356A"/>
    <w:rsid w:val="5B525C87"/>
    <w:rsid w:val="5B70610D"/>
    <w:rsid w:val="5B7B6070"/>
    <w:rsid w:val="5B7E4CCE"/>
    <w:rsid w:val="5B7F3AD9"/>
    <w:rsid w:val="5B9444F1"/>
    <w:rsid w:val="5B9462A0"/>
    <w:rsid w:val="5B9938B6"/>
    <w:rsid w:val="5B9A3355"/>
    <w:rsid w:val="5BBB382C"/>
    <w:rsid w:val="5BC16969"/>
    <w:rsid w:val="5BCA1CC1"/>
    <w:rsid w:val="5BD25782"/>
    <w:rsid w:val="5BD40D92"/>
    <w:rsid w:val="5BE80399"/>
    <w:rsid w:val="5BFD3E45"/>
    <w:rsid w:val="5C090A3C"/>
    <w:rsid w:val="5C190553"/>
    <w:rsid w:val="5C34538D"/>
    <w:rsid w:val="5C4A2E02"/>
    <w:rsid w:val="5C763BF7"/>
    <w:rsid w:val="5C78796F"/>
    <w:rsid w:val="5C910A31"/>
    <w:rsid w:val="5C95407D"/>
    <w:rsid w:val="5C961BA3"/>
    <w:rsid w:val="5C9F4EFC"/>
    <w:rsid w:val="5CA02A22"/>
    <w:rsid w:val="5CA54208"/>
    <w:rsid w:val="5CAB71D2"/>
    <w:rsid w:val="5CAE15E3"/>
    <w:rsid w:val="5CCD7CBB"/>
    <w:rsid w:val="5CDD5A24"/>
    <w:rsid w:val="5CED3EB9"/>
    <w:rsid w:val="5CF35248"/>
    <w:rsid w:val="5D0C00B7"/>
    <w:rsid w:val="5D153410"/>
    <w:rsid w:val="5D186A5C"/>
    <w:rsid w:val="5D292A17"/>
    <w:rsid w:val="5D616655"/>
    <w:rsid w:val="5D6D4FFA"/>
    <w:rsid w:val="5D8B722E"/>
    <w:rsid w:val="5D8D744A"/>
    <w:rsid w:val="5DB6074F"/>
    <w:rsid w:val="5DBC1ADE"/>
    <w:rsid w:val="5DC6470A"/>
    <w:rsid w:val="5DCC7F73"/>
    <w:rsid w:val="5DD24E5D"/>
    <w:rsid w:val="5DD45079"/>
    <w:rsid w:val="5DE03A1E"/>
    <w:rsid w:val="5DE66B5A"/>
    <w:rsid w:val="5DEF11E6"/>
    <w:rsid w:val="5DF63241"/>
    <w:rsid w:val="5E280F21"/>
    <w:rsid w:val="5E421185"/>
    <w:rsid w:val="5E4C713F"/>
    <w:rsid w:val="5E6006BB"/>
    <w:rsid w:val="5E710B1A"/>
    <w:rsid w:val="5E736640"/>
    <w:rsid w:val="5E745F14"/>
    <w:rsid w:val="5E8048B9"/>
    <w:rsid w:val="5E84084D"/>
    <w:rsid w:val="5E8425FB"/>
    <w:rsid w:val="5E8F0FA0"/>
    <w:rsid w:val="5E944771"/>
    <w:rsid w:val="5E960581"/>
    <w:rsid w:val="5EA15541"/>
    <w:rsid w:val="5EA54320"/>
    <w:rsid w:val="5EA762EA"/>
    <w:rsid w:val="5EAE7678"/>
    <w:rsid w:val="5EBF3633"/>
    <w:rsid w:val="5ED74E21"/>
    <w:rsid w:val="5EDA66BF"/>
    <w:rsid w:val="5EE94B54"/>
    <w:rsid w:val="5EFD23AE"/>
    <w:rsid w:val="5EFF7ED4"/>
    <w:rsid w:val="5F00156E"/>
    <w:rsid w:val="5F047298"/>
    <w:rsid w:val="5F073306"/>
    <w:rsid w:val="5F095452"/>
    <w:rsid w:val="5F105C3D"/>
    <w:rsid w:val="5F117C07"/>
    <w:rsid w:val="5F2E6A0B"/>
    <w:rsid w:val="5F424C1C"/>
    <w:rsid w:val="5F4B3119"/>
    <w:rsid w:val="5F50072F"/>
    <w:rsid w:val="5F555D46"/>
    <w:rsid w:val="5F5F73B9"/>
    <w:rsid w:val="5F681F1D"/>
    <w:rsid w:val="5F6B39FD"/>
    <w:rsid w:val="5F6B7317"/>
    <w:rsid w:val="5F7A57AC"/>
    <w:rsid w:val="5F950838"/>
    <w:rsid w:val="5F9C361C"/>
    <w:rsid w:val="5F9C5E7F"/>
    <w:rsid w:val="5FA16C3A"/>
    <w:rsid w:val="5FB011CE"/>
    <w:rsid w:val="5FB32A6C"/>
    <w:rsid w:val="5FB52C88"/>
    <w:rsid w:val="5FB56C89"/>
    <w:rsid w:val="5FC23025"/>
    <w:rsid w:val="5FC52ECB"/>
    <w:rsid w:val="5FE61094"/>
    <w:rsid w:val="5FED5F7E"/>
    <w:rsid w:val="5FFE1F39"/>
    <w:rsid w:val="60237BF2"/>
    <w:rsid w:val="6028345A"/>
    <w:rsid w:val="603E2C7E"/>
    <w:rsid w:val="6045400C"/>
    <w:rsid w:val="60455DBA"/>
    <w:rsid w:val="60483AFC"/>
    <w:rsid w:val="60566219"/>
    <w:rsid w:val="607E307A"/>
    <w:rsid w:val="60805044"/>
    <w:rsid w:val="60824919"/>
    <w:rsid w:val="60885CA7"/>
    <w:rsid w:val="608E59B3"/>
    <w:rsid w:val="6094289E"/>
    <w:rsid w:val="60A725D1"/>
    <w:rsid w:val="60B91857"/>
    <w:rsid w:val="60DF6B5F"/>
    <w:rsid w:val="60E03D35"/>
    <w:rsid w:val="60EA0710"/>
    <w:rsid w:val="60F021CA"/>
    <w:rsid w:val="60F8107F"/>
    <w:rsid w:val="60FB46CB"/>
    <w:rsid w:val="60FF240D"/>
    <w:rsid w:val="61016185"/>
    <w:rsid w:val="6106379C"/>
    <w:rsid w:val="611759A9"/>
    <w:rsid w:val="611A0FF5"/>
    <w:rsid w:val="61204131"/>
    <w:rsid w:val="612E4AA0"/>
    <w:rsid w:val="6131633F"/>
    <w:rsid w:val="615F2EAC"/>
    <w:rsid w:val="61842912"/>
    <w:rsid w:val="61951838"/>
    <w:rsid w:val="619743F4"/>
    <w:rsid w:val="619C5EAE"/>
    <w:rsid w:val="61B551C2"/>
    <w:rsid w:val="61B56F70"/>
    <w:rsid w:val="61C15914"/>
    <w:rsid w:val="61CE1DDF"/>
    <w:rsid w:val="61D05B58"/>
    <w:rsid w:val="61E6665C"/>
    <w:rsid w:val="61E73754"/>
    <w:rsid w:val="61F50F1C"/>
    <w:rsid w:val="61F555BE"/>
    <w:rsid w:val="61F730E4"/>
    <w:rsid w:val="61FF01EB"/>
    <w:rsid w:val="621023F8"/>
    <w:rsid w:val="62127F1E"/>
    <w:rsid w:val="621719D8"/>
    <w:rsid w:val="62206ADF"/>
    <w:rsid w:val="622814F0"/>
    <w:rsid w:val="623E6F65"/>
    <w:rsid w:val="62402CDD"/>
    <w:rsid w:val="624125B1"/>
    <w:rsid w:val="625B7B17"/>
    <w:rsid w:val="625D388F"/>
    <w:rsid w:val="627E7362"/>
    <w:rsid w:val="62802E5D"/>
    <w:rsid w:val="62890576"/>
    <w:rsid w:val="62B9215C"/>
    <w:rsid w:val="62BE1E54"/>
    <w:rsid w:val="62C12BFD"/>
    <w:rsid w:val="62C54F90"/>
    <w:rsid w:val="62C645D5"/>
    <w:rsid w:val="62C76F5B"/>
    <w:rsid w:val="62C92CD3"/>
    <w:rsid w:val="62D96C8E"/>
    <w:rsid w:val="62E21FE6"/>
    <w:rsid w:val="62E704BB"/>
    <w:rsid w:val="62E775FD"/>
    <w:rsid w:val="62EA2C49"/>
    <w:rsid w:val="62EA3B94"/>
    <w:rsid w:val="63030853"/>
    <w:rsid w:val="630F445E"/>
    <w:rsid w:val="63181564"/>
    <w:rsid w:val="63387E58"/>
    <w:rsid w:val="637A5D7B"/>
    <w:rsid w:val="637F5A87"/>
    <w:rsid w:val="63862972"/>
    <w:rsid w:val="638839AD"/>
    <w:rsid w:val="63960E93"/>
    <w:rsid w:val="639826A5"/>
    <w:rsid w:val="63A33078"/>
    <w:rsid w:val="63A63014"/>
    <w:rsid w:val="63B868A3"/>
    <w:rsid w:val="63CB65D6"/>
    <w:rsid w:val="63CC234F"/>
    <w:rsid w:val="63CF256B"/>
    <w:rsid w:val="64144421"/>
    <w:rsid w:val="642D7291"/>
    <w:rsid w:val="642F125B"/>
    <w:rsid w:val="644840CB"/>
    <w:rsid w:val="644B5969"/>
    <w:rsid w:val="644C3BBB"/>
    <w:rsid w:val="645741D2"/>
    <w:rsid w:val="645C58D7"/>
    <w:rsid w:val="64682077"/>
    <w:rsid w:val="647749B0"/>
    <w:rsid w:val="648275DD"/>
    <w:rsid w:val="648773BE"/>
    <w:rsid w:val="648A0240"/>
    <w:rsid w:val="648C045C"/>
    <w:rsid w:val="649710E7"/>
    <w:rsid w:val="64A62BA0"/>
    <w:rsid w:val="64B11C70"/>
    <w:rsid w:val="64B8597C"/>
    <w:rsid w:val="64BB7235"/>
    <w:rsid w:val="64BE613B"/>
    <w:rsid w:val="64C42002"/>
    <w:rsid w:val="64CA4AE0"/>
    <w:rsid w:val="64E9765C"/>
    <w:rsid w:val="64F20C29"/>
    <w:rsid w:val="64FF45FE"/>
    <w:rsid w:val="652561BA"/>
    <w:rsid w:val="65401246"/>
    <w:rsid w:val="654027A7"/>
    <w:rsid w:val="65516FAF"/>
    <w:rsid w:val="65547E29"/>
    <w:rsid w:val="656F0DD2"/>
    <w:rsid w:val="65735178"/>
    <w:rsid w:val="65752C9E"/>
    <w:rsid w:val="657F3B1C"/>
    <w:rsid w:val="65801643"/>
    <w:rsid w:val="658547FB"/>
    <w:rsid w:val="65870C23"/>
    <w:rsid w:val="65D5198E"/>
    <w:rsid w:val="65D75707"/>
    <w:rsid w:val="65DA6FA5"/>
    <w:rsid w:val="66236B9E"/>
    <w:rsid w:val="662717F2"/>
    <w:rsid w:val="662B5AB5"/>
    <w:rsid w:val="662E0238"/>
    <w:rsid w:val="663012BB"/>
    <w:rsid w:val="663F505A"/>
    <w:rsid w:val="664663E8"/>
    <w:rsid w:val="66482160"/>
    <w:rsid w:val="665F56FC"/>
    <w:rsid w:val="66682803"/>
    <w:rsid w:val="666D606B"/>
    <w:rsid w:val="6672542F"/>
    <w:rsid w:val="66742F55"/>
    <w:rsid w:val="667E70B5"/>
    <w:rsid w:val="667F13D1"/>
    <w:rsid w:val="66884C53"/>
    <w:rsid w:val="668A2779"/>
    <w:rsid w:val="668A4527"/>
    <w:rsid w:val="668D0DB7"/>
    <w:rsid w:val="66976C44"/>
    <w:rsid w:val="66A51361"/>
    <w:rsid w:val="66A852F5"/>
    <w:rsid w:val="66AF0431"/>
    <w:rsid w:val="66B75538"/>
    <w:rsid w:val="66D734E4"/>
    <w:rsid w:val="66EC51E2"/>
    <w:rsid w:val="66EF6A80"/>
    <w:rsid w:val="66FE0D4A"/>
    <w:rsid w:val="67087B42"/>
    <w:rsid w:val="67144738"/>
    <w:rsid w:val="671464E6"/>
    <w:rsid w:val="67191D4F"/>
    <w:rsid w:val="671B1623"/>
    <w:rsid w:val="67334BBF"/>
    <w:rsid w:val="673D77EB"/>
    <w:rsid w:val="6740552D"/>
    <w:rsid w:val="676217A2"/>
    <w:rsid w:val="6764121C"/>
    <w:rsid w:val="67650AF0"/>
    <w:rsid w:val="677156E7"/>
    <w:rsid w:val="677B2349"/>
    <w:rsid w:val="677D408C"/>
    <w:rsid w:val="67852F40"/>
    <w:rsid w:val="6789494D"/>
    <w:rsid w:val="67A529E5"/>
    <w:rsid w:val="67A71109"/>
    <w:rsid w:val="67A94E81"/>
    <w:rsid w:val="67A96C2F"/>
    <w:rsid w:val="67B51A77"/>
    <w:rsid w:val="67B57CC9"/>
    <w:rsid w:val="67B850C4"/>
    <w:rsid w:val="67BC1058"/>
    <w:rsid w:val="67BF6452"/>
    <w:rsid w:val="67C1041C"/>
    <w:rsid w:val="67C577E1"/>
    <w:rsid w:val="67F8300E"/>
    <w:rsid w:val="68012F0F"/>
    <w:rsid w:val="68024591"/>
    <w:rsid w:val="6809591F"/>
    <w:rsid w:val="681B3BF7"/>
    <w:rsid w:val="68224C33"/>
    <w:rsid w:val="682269E1"/>
    <w:rsid w:val="68243EC6"/>
    <w:rsid w:val="682D5AB2"/>
    <w:rsid w:val="6838144E"/>
    <w:rsid w:val="684502A6"/>
    <w:rsid w:val="685E3EBD"/>
    <w:rsid w:val="68676E99"/>
    <w:rsid w:val="68753630"/>
    <w:rsid w:val="688B0A2A"/>
    <w:rsid w:val="688B60CC"/>
    <w:rsid w:val="68953657"/>
    <w:rsid w:val="689E075E"/>
    <w:rsid w:val="689F6284"/>
    <w:rsid w:val="68A45648"/>
    <w:rsid w:val="68A97740"/>
    <w:rsid w:val="68AA7398"/>
    <w:rsid w:val="68C61A62"/>
    <w:rsid w:val="68C857DA"/>
    <w:rsid w:val="68F6059A"/>
    <w:rsid w:val="690124F7"/>
    <w:rsid w:val="690F3409"/>
    <w:rsid w:val="69140A20"/>
    <w:rsid w:val="691C1682"/>
    <w:rsid w:val="693966D8"/>
    <w:rsid w:val="6949691B"/>
    <w:rsid w:val="696E0130"/>
    <w:rsid w:val="697239DE"/>
    <w:rsid w:val="69731BEA"/>
    <w:rsid w:val="697414BE"/>
    <w:rsid w:val="69765236"/>
    <w:rsid w:val="69814125"/>
    <w:rsid w:val="69823BDB"/>
    <w:rsid w:val="69913E1E"/>
    <w:rsid w:val="69917FD9"/>
    <w:rsid w:val="6994390F"/>
    <w:rsid w:val="69C75A92"/>
    <w:rsid w:val="69CC12FA"/>
    <w:rsid w:val="69D87D83"/>
    <w:rsid w:val="69EA2B06"/>
    <w:rsid w:val="69F33097"/>
    <w:rsid w:val="69F50851"/>
    <w:rsid w:val="69FB573C"/>
    <w:rsid w:val="6A002D52"/>
    <w:rsid w:val="6A0171F6"/>
    <w:rsid w:val="6A152CA1"/>
    <w:rsid w:val="6A184540"/>
    <w:rsid w:val="6A1D3904"/>
    <w:rsid w:val="6A1F58CE"/>
    <w:rsid w:val="6A350C4E"/>
    <w:rsid w:val="6A49294B"/>
    <w:rsid w:val="6A4D243B"/>
    <w:rsid w:val="6A5C267E"/>
    <w:rsid w:val="6A6D488B"/>
    <w:rsid w:val="6A7259FE"/>
    <w:rsid w:val="6A7A297D"/>
    <w:rsid w:val="6A90057A"/>
    <w:rsid w:val="6AB37DC4"/>
    <w:rsid w:val="6ACA1723"/>
    <w:rsid w:val="6AE85CC0"/>
    <w:rsid w:val="6AEA5EDC"/>
    <w:rsid w:val="6AF932B1"/>
    <w:rsid w:val="6B024DEC"/>
    <w:rsid w:val="6B253075"/>
    <w:rsid w:val="6B3B4599"/>
    <w:rsid w:val="6B4F21E3"/>
    <w:rsid w:val="6B623CC4"/>
    <w:rsid w:val="6B6317EA"/>
    <w:rsid w:val="6B657311"/>
    <w:rsid w:val="6B6C4B43"/>
    <w:rsid w:val="6BAC3191"/>
    <w:rsid w:val="6BB362CE"/>
    <w:rsid w:val="6BBB1626"/>
    <w:rsid w:val="6BBD539F"/>
    <w:rsid w:val="6BCA186A"/>
    <w:rsid w:val="6BD44496"/>
    <w:rsid w:val="6BE26BB3"/>
    <w:rsid w:val="6BE648F5"/>
    <w:rsid w:val="6BEA3CBA"/>
    <w:rsid w:val="6C00528B"/>
    <w:rsid w:val="6C021003"/>
    <w:rsid w:val="6C117498"/>
    <w:rsid w:val="6C133210"/>
    <w:rsid w:val="6C2076DB"/>
    <w:rsid w:val="6C223454"/>
    <w:rsid w:val="6C2471CC"/>
    <w:rsid w:val="6C2B055A"/>
    <w:rsid w:val="6C2C7E2E"/>
    <w:rsid w:val="6C327B3B"/>
    <w:rsid w:val="6C353CDA"/>
    <w:rsid w:val="6C382C77"/>
    <w:rsid w:val="6C496C32"/>
    <w:rsid w:val="6C4B6506"/>
    <w:rsid w:val="6C515AE7"/>
    <w:rsid w:val="6C67530A"/>
    <w:rsid w:val="6C823EF2"/>
    <w:rsid w:val="6C8E6D3B"/>
    <w:rsid w:val="6C90660F"/>
    <w:rsid w:val="6CAE2F39"/>
    <w:rsid w:val="6CB27C7E"/>
    <w:rsid w:val="6CBF282C"/>
    <w:rsid w:val="6CCE0EE6"/>
    <w:rsid w:val="6CDB1B6D"/>
    <w:rsid w:val="6CE10C19"/>
    <w:rsid w:val="6CE626D3"/>
    <w:rsid w:val="6CEA21C3"/>
    <w:rsid w:val="6CF03552"/>
    <w:rsid w:val="6CF7668E"/>
    <w:rsid w:val="6CF92406"/>
    <w:rsid w:val="6D035033"/>
    <w:rsid w:val="6D1159A2"/>
    <w:rsid w:val="6D147240"/>
    <w:rsid w:val="6D203E37"/>
    <w:rsid w:val="6D286848"/>
    <w:rsid w:val="6D4502D9"/>
    <w:rsid w:val="6D635AD2"/>
    <w:rsid w:val="6D655CEE"/>
    <w:rsid w:val="6D6D4BA2"/>
    <w:rsid w:val="6D837F22"/>
    <w:rsid w:val="6D8A12B0"/>
    <w:rsid w:val="6D9263B7"/>
    <w:rsid w:val="6D94720D"/>
    <w:rsid w:val="6DA46816"/>
    <w:rsid w:val="6DB30807"/>
    <w:rsid w:val="6DBE0F5A"/>
    <w:rsid w:val="6DC01176"/>
    <w:rsid w:val="6DC76061"/>
    <w:rsid w:val="6DD32C57"/>
    <w:rsid w:val="6DE210EC"/>
    <w:rsid w:val="6DE54739"/>
    <w:rsid w:val="6DE94229"/>
    <w:rsid w:val="6DF40E20"/>
    <w:rsid w:val="6DF606F4"/>
    <w:rsid w:val="6DFF3A4C"/>
    <w:rsid w:val="6E072901"/>
    <w:rsid w:val="6E1279D9"/>
    <w:rsid w:val="6E5C0E9F"/>
    <w:rsid w:val="6E744B6A"/>
    <w:rsid w:val="6E7A30D3"/>
    <w:rsid w:val="6E843F52"/>
    <w:rsid w:val="6E934195"/>
    <w:rsid w:val="6E9817AB"/>
    <w:rsid w:val="6EAA2BF7"/>
    <w:rsid w:val="6ECB392F"/>
    <w:rsid w:val="6ED865BA"/>
    <w:rsid w:val="6EF03395"/>
    <w:rsid w:val="6EF2710D"/>
    <w:rsid w:val="6F082DD5"/>
    <w:rsid w:val="6F0A40B9"/>
    <w:rsid w:val="6F1C23DC"/>
    <w:rsid w:val="6F323C08"/>
    <w:rsid w:val="6F3457AC"/>
    <w:rsid w:val="6F433E0D"/>
    <w:rsid w:val="6F481423"/>
    <w:rsid w:val="6F484F7F"/>
    <w:rsid w:val="6F523FDF"/>
    <w:rsid w:val="6F6124E5"/>
    <w:rsid w:val="6F7F0C85"/>
    <w:rsid w:val="6F8561D3"/>
    <w:rsid w:val="6F8F2BAE"/>
    <w:rsid w:val="6F9603E0"/>
    <w:rsid w:val="6F97D24A"/>
    <w:rsid w:val="6FAA79E8"/>
    <w:rsid w:val="6FB41C14"/>
    <w:rsid w:val="6FC7059A"/>
    <w:rsid w:val="6FDC1B6B"/>
    <w:rsid w:val="6FE50A20"/>
    <w:rsid w:val="6FE85364"/>
    <w:rsid w:val="6FEA072C"/>
    <w:rsid w:val="6FF9271D"/>
    <w:rsid w:val="6FFE1AE2"/>
    <w:rsid w:val="700A0586"/>
    <w:rsid w:val="700C06A3"/>
    <w:rsid w:val="70120E06"/>
    <w:rsid w:val="701B278E"/>
    <w:rsid w:val="701C0B7D"/>
    <w:rsid w:val="702C53A6"/>
    <w:rsid w:val="703C5FE7"/>
    <w:rsid w:val="703E6382"/>
    <w:rsid w:val="70514307"/>
    <w:rsid w:val="706A53C9"/>
    <w:rsid w:val="706E4EB9"/>
    <w:rsid w:val="70710506"/>
    <w:rsid w:val="70730722"/>
    <w:rsid w:val="708446DD"/>
    <w:rsid w:val="708B7819"/>
    <w:rsid w:val="708C3591"/>
    <w:rsid w:val="708E2E66"/>
    <w:rsid w:val="70934920"/>
    <w:rsid w:val="70AE3508"/>
    <w:rsid w:val="70AE52B6"/>
    <w:rsid w:val="70B20111"/>
    <w:rsid w:val="70C20D61"/>
    <w:rsid w:val="70F01D72"/>
    <w:rsid w:val="7104581E"/>
    <w:rsid w:val="711D243B"/>
    <w:rsid w:val="71245578"/>
    <w:rsid w:val="71283DC9"/>
    <w:rsid w:val="712B4B58"/>
    <w:rsid w:val="71330B4C"/>
    <w:rsid w:val="713734FD"/>
    <w:rsid w:val="713C0B14"/>
    <w:rsid w:val="713C53B2"/>
    <w:rsid w:val="7148570A"/>
    <w:rsid w:val="715E6CDC"/>
    <w:rsid w:val="716360A0"/>
    <w:rsid w:val="716365A6"/>
    <w:rsid w:val="71755DD4"/>
    <w:rsid w:val="71956476"/>
    <w:rsid w:val="71A861A9"/>
    <w:rsid w:val="71AF12E6"/>
    <w:rsid w:val="71B0505E"/>
    <w:rsid w:val="71C31235"/>
    <w:rsid w:val="71CA4371"/>
    <w:rsid w:val="71D37015"/>
    <w:rsid w:val="71DC40A5"/>
    <w:rsid w:val="71E371E1"/>
    <w:rsid w:val="71E909FE"/>
    <w:rsid w:val="720F7FD6"/>
    <w:rsid w:val="72247F25"/>
    <w:rsid w:val="722577FA"/>
    <w:rsid w:val="72374648"/>
    <w:rsid w:val="723D234C"/>
    <w:rsid w:val="723E08BB"/>
    <w:rsid w:val="724A6783"/>
    <w:rsid w:val="72536115"/>
    <w:rsid w:val="725B146D"/>
    <w:rsid w:val="725E2D0C"/>
    <w:rsid w:val="726A16B0"/>
    <w:rsid w:val="726C2A3A"/>
    <w:rsid w:val="726C5429"/>
    <w:rsid w:val="7275252F"/>
    <w:rsid w:val="727662A7"/>
    <w:rsid w:val="728B2434"/>
    <w:rsid w:val="729D3834"/>
    <w:rsid w:val="72A96205"/>
    <w:rsid w:val="72B15531"/>
    <w:rsid w:val="72B8066E"/>
    <w:rsid w:val="72BD7A32"/>
    <w:rsid w:val="72D27981"/>
    <w:rsid w:val="72EE5E3E"/>
    <w:rsid w:val="73090EC9"/>
    <w:rsid w:val="73102258"/>
    <w:rsid w:val="733777E5"/>
    <w:rsid w:val="733D7598"/>
    <w:rsid w:val="733E6E36"/>
    <w:rsid w:val="73461B31"/>
    <w:rsid w:val="734737A0"/>
    <w:rsid w:val="734939BC"/>
    <w:rsid w:val="734E2D80"/>
    <w:rsid w:val="73520AC2"/>
    <w:rsid w:val="735613ED"/>
    <w:rsid w:val="735D2FC3"/>
    <w:rsid w:val="737A3B75"/>
    <w:rsid w:val="73816CB2"/>
    <w:rsid w:val="73893DB8"/>
    <w:rsid w:val="739F538A"/>
    <w:rsid w:val="73A806E2"/>
    <w:rsid w:val="73BC418E"/>
    <w:rsid w:val="73D53EE5"/>
    <w:rsid w:val="73D9089C"/>
    <w:rsid w:val="73EA2AA9"/>
    <w:rsid w:val="73F41B79"/>
    <w:rsid w:val="73F6144E"/>
    <w:rsid w:val="73F90F3E"/>
    <w:rsid w:val="73FE0302"/>
    <w:rsid w:val="74033B6B"/>
    <w:rsid w:val="740B2A1F"/>
    <w:rsid w:val="74111B3C"/>
    <w:rsid w:val="74237D69"/>
    <w:rsid w:val="74253AE1"/>
    <w:rsid w:val="742C597A"/>
    <w:rsid w:val="743326A2"/>
    <w:rsid w:val="745148D6"/>
    <w:rsid w:val="74546174"/>
    <w:rsid w:val="745B7503"/>
    <w:rsid w:val="74806BAC"/>
    <w:rsid w:val="74842075"/>
    <w:rsid w:val="748F64C6"/>
    <w:rsid w:val="749D7B1B"/>
    <w:rsid w:val="74A0585D"/>
    <w:rsid w:val="74AC7D5E"/>
    <w:rsid w:val="74C50E20"/>
    <w:rsid w:val="74D12037"/>
    <w:rsid w:val="74EB6AD9"/>
    <w:rsid w:val="74F71921"/>
    <w:rsid w:val="74FA1909"/>
    <w:rsid w:val="74FA373C"/>
    <w:rsid w:val="74FD4A5E"/>
    <w:rsid w:val="7501454E"/>
    <w:rsid w:val="750E27C7"/>
    <w:rsid w:val="7513602F"/>
    <w:rsid w:val="75264992"/>
    <w:rsid w:val="75412B9C"/>
    <w:rsid w:val="7544443B"/>
    <w:rsid w:val="754461E9"/>
    <w:rsid w:val="75497CA3"/>
    <w:rsid w:val="754C32EF"/>
    <w:rsid w:val="75587EE6"/>
    <w:rsid w:val="755F74C6"/>
    <w:rsid w:val="7577036C"/>
    <w:rsid w:val="758D193E"/>
    <w:rsid w:val="75994786"/>
    <w:rsid w:val="759C7DE2"/>
    <w:rsid w:val="75B90985"/>
    <w:rsid w:val="75BE243F"/>
    <w:rsid w:val="75E4177A"/>
    <w:rsid w:val="75ED1152"/>
    <w:rsid w:val="75F0011F"/>
    <w:rsid w:val="75F75951"/>
    <w:rsid w:val="76151AFF"/>
    <w:rsid w:val="761F13D1"/>
    <w:rsid w:val="762304F4"/>
    <w:rsid w:val="762F0C47"/>
    <w:rsid w:val="763444AF"/>
    <w:rsid w:val="7634625D"/>
    <w:rsid w:val="7637012B"/>
    <w:rsid w:val="76443AFC"/>
    <w:rsid w:val="76487F5B"/>
    <w:rsid w:val="765068F5"/>
    <w:rsid w:val="76524935"/>
    <w:rsid w:val="765661D4"/>
    <w:rsid w:val="765B5EE0"/>
    <w:rsid w:val="766823AB"/>
    <w:rsid w:val="766905FD"/>
    <w:rsid w:val="766E0B59"/>
    <w:rsid w:val="7671125F"/>
    <w:rsid w:val="767453C3"/>
    <w:rsid w:val="76796366"/>
    <w:rsid w:val="76876CD5"/>
    <w:rsid w:val="768865A9"/>
    <w:rsid w:val="76911902"/>
    <w:rsid w:val="76992564"/>
    <w:rsid w:val="769E5DCD"/>
    <w:rsid w:val="76A56BA3"/>
    <w:rsid w:val="76AC04E9"/>
    <w:rsid w:val="76B949B4"/>
    <w:rsid w:val="76D82955"/>
    <w:rsid w:val="76E25CB9"/>
    <w:rsid w:val="76F854DD"/>
    <w:rsid w:val="76FE0619"/>
    <w:rsid w:val="77065E4C"/>
    <w:rsid w:val="771147F0"/>
    <w:rsid w:val="77170059"/>
    <w:rsid w:val="772938E8"/>
    <w:rsid w:val="77336515"/>
    <w:rsid w:val="773A7DA2"/>
    <w:rsid w:val="774D4158"/>
    <w:rsid w:val="77505319"/>
    <w:rsid w:val="775546DD"/>
    <w:rsid w:val="77560455"/>
    <w:rsid w:val="77655548"/>
    <w:rsid w:val="776963DA"/>
    <w:rsid w:val="776C7C79"/>
    <w:rsid w:val="776F784A"/>
    <w:rsid w:val="77866F8C"/>
    <w:rsid w:val="779276DF"/>
    <w:rsid w:val="779F1DFC"/>
    <w:rsid w:val="779F3B61"/>
    <w:rsid w:val="77A411C1"/>
    <w:rsid w:val="77AB254F"/>
    <w:rsid w:val="77BA4A28"/>
    <w:rsid w:val="77D00208"/>
    <w:rsid w:val="77D93560"/>
    <w:rsid w:val="77F2017E"/>
    <w:rsid w:val="780103C1"/>
    <w:rsid w:val="780A371A"/>
    <w:rsid w:val="780F6F82"/>
    <w:rsid w:val="78120820"/>
    <w:rsid w:val="781400F4"/>
    <w:rsid w:val="781520BE"/>
    <w:rsid w:val="78280044"/>
    <w:rsid w:val="782B18E2"/>
    <w:rsid w:val="783B1B25"/>
    <w:rsid w:val="78412EB3"/>
    <w:rsid w:val="78485FF0"/>
    <w:rsid w:val="78544995"/>
    <w:rsid w:val="785E1CB7"/>
    <w:rsid w:val="787B4617"/>
    <w:rsid w:val="7883527A"/>
    <w:rsid w:val="78874D6A"/>
    <w:rsid w:val="7892370F"/>
    <w:rsid w:val="78983A98"/>
    <w:rsid w:val="789A6190"/>
    <w:rsid w:val="789B0816"/>
    <w:rsid w:val="78A0407E"/>
    <w:rsid w:val="78CA2EA9"/>
    <w:rsid w:val="78E201F2"/>
    <w:rsid w:val="78E33F6B"/>
    <w:rsid w:val="78EC1071"/>
    <w:rsid w:val="78EE21DF"/>
    <w:rsid w:val="78F53783"/>
    <w:rsid w:val="78FD327E"/>
    <w:rsid w:val="79020895"/>
    <w:rsid w:val="790C34C1"/>
    <w:rsid w:val="790E7239"/>
    <w:rsid w:val="7924080B"/>
    <w:rsid w:val="79330A4E"/>
    <w:rsid w:val="79336CA0"/>
    <w:rsid w:val="793A002E"/>
    <w:rsid w:val="793A1DDD"/>
    <w:rsid w:val="793D120C"/>
    <w:rsid w:val="793D367B"/>
    <w:rsid w:val="79412514"/>
    <w:rsid w:val="794846C7"/>
    <w:rsid w:val="79534C4C"/>
    <w:rsid w:val="79554E68"/>
    <w:rsid w:val="795B1D53"/>
    <w:rsid w:val="795F5CE7"/>
    <w:rsid w:val="79667075"/>
    <w:rsid w:val="796706F8"/>
    <w:rsid w:val="79674B9C"/>
    <w:rsid w:val="79764DDF"/>
    <w:rsid w:val="797A7C24"/>
    <w:rsid w:val="797E788E"/>
    <w:rsid w:val="79823784"/>
    <w:rsid w:val="798E2128"/>
    <w:rsid w:val="79907D61"/>
    <w:rsid w:val="79955265"/>
    <w:rsid w:val="79A61220"/>
    <w:rsid w:val="79B31DF3"/>
    <w:rsid w:val="79C31CB9"/>
    <w:rsid w:val="79C478F8"/>
    <w:rsid w:val="79C8388C"/>
    <w:rsid w:val="79CE69C9"/>
    <w:rsid w:val="79F71A7C"/>
    <w:rsid w:val="7A0917AF"/>
    <w:rsid w:val="7A167690"/>
    <w:rsid w:val="7A28432B"/>
    <w:rsid w:val="7A2860D9"/>
    <w:rsid w:val="7A2A3030"/>
    <w:rsid w:val="7A340F22"/>
    <w:rsid w:val="7A3A405E"/>
    <w:rsid w:val="7A3A5E0C"/>
    <w:rsid w:val="7A3C1B84"/>
    <w:rsid w:val="7A42348A"/>
    <w:rsid w:val="7A505630"/>
    <w:rsid w:val="7A7632E8"/>
    <w:rsid w:val="7A861051"/>
    <w:rsid w:val="7A9279F6"/>
    <w:rsid w:val="7AA00365"/>
    <w:rsid w:val="7AA716F4"/>
    <w:rsid w:val="7AAD2A82"/>
    <w:rsid w:val="7AC35E02"/>
    <w:rsid w:val="7AC51B7A"/>
    <w:rsid w:val="7ACD6C80"/>
    <w:rsid w:val="7AD61FD9"/>
    <w:rsid w:val="7ADB314B"/>
    <w:rsid w:val="7AEC4A1A"/>
    <w:rsid w:val="7AF406B1"/>
    <w:rsid w:val="7B0075BF"/>
    <w:rsid w:val="7B024B7C"/>
    <w:rsid w:val="7B072192"/>
    <w:rsid w:val="7B0E3521"/>
    <w:rsid w:val="7B1D3764"/>
    <w:rsid w:val="7B1F572E"/>
    <w:rsid w:val="7B226FCC"/>
    <w:rsid w:val="7B246774"/>
    <w:rsid w:val="7B29035B"/>
    <w:rsid w:val="7B2965AD"/>
    <w:rsid w:val="7B2D6CCE"/>
    <w:rsid w:val="7B30793B"/>
    <w:rsid w:val="7B430CF1"/>
    <w:rsid w:val="7B51165F"/>
    <w:rsid w:val="7B5829EE"/>
    <w:rsid w:val="7B694BFB"/>
    <w:rsid w:val="7B6E5D6D"/>
    <w:rsid w:val="7B917CAE"/>
    <w:rsid w:val="7B931C78"/>
    <w:rsid w:val="7BB045D8"/>
    <w:rsid w:val="7BB75966"/>
    <w:rsid w:val="7BC506FF"/>
    <w:rsid w:val="7BCE0F02"/>
    <w:rsid w:val="7BCE4A5E"/>
    <w:rsid w:val="7BD76009"/>
    <w:rsid w:val="7BD858DD"/>
    <w:rsid w:val="7BE75B20"/>
    <w:rsid w:val="7BE95D3C"/>
    <w:rsid w:val="7BEE5100"/>
    <w:rsid w:val="7BF2699E"/>
    <w:rsid w:val="7BF72207"/>
    <w:rsid w:val="7BF81ADB"/>
    <w:rsid w:val="7BF81FB5"/>
    <w:rsid w:val="7C2E19A1"/>
    <w:rsid w:val="7C442F72"/>
    <w:rsid w:val="7C4A4A2C"/>
    <w:rsid w:val="7C5331B5"/>
    <w:rsid w:val="7C5C02BC"/>
    <w:rsid w:val="7C754956"/>
    <w:rsid w:val="7C7C50C0"/>
    <w:rsid w:val="7C7E6484"/>
    <w:rsid w:val="7C865339"/>
    <w:rsid w:val="7C885555"/>
    <w:rsid w:val="7C8A4E29"/>
    <w:rsid w:val="7C8B0BA1"/>
    <w:rsid w:val="7CAD6D69"/>
    <w:rsid w:val="7CC85951"/>
    <w:rsid w:val="7CD04806"/>
    <w:rsid w:val="7CD73144"/>
    <w:rsid w:val="7CE502B1"/>
    <w:rsid w:val="7CE81B50"/>
    <w:rsid w:val="7CF3625E"/>
    <w:rsid w:val="7CF95B0B"/>
    <w:rsid w:val="7D020E63"/>
    <w:rsid w:val="7D050953"/>
    <w:rsid w:val="7D0E5A5A"/>
    <w:rsid w:val="7D1D5C9D"/>
    <w:rsid w:val="7D2E7EAA"/>
    <w:rsid w:val="7D383C22"/>
    <w:rsid w:val="7D384885"/>
    <w:rsid w:val="7D407BDD"/>
    <w:rsid w:val="7D5D253D"/>
    <w:rsid w:val="7D676F18"/>
    <w:rsid w:val="7D7B29C4"/>
    <w:rsid w:val="7D943A85"/>
    <w:rsid w:val="7D9D293A"/>
    <w:rsid w:val="7D9D3514"/>
    <w:rsid w:val="7DA406E4"/>
    <w:rsid w:val="7DC12ACC"/>
    <w:rsid w:val="7DDA520A"/>
    <w:rsid w:val="7DE467BB"/>
    <w:rsid w:val="7DFF35F5"/>
    <w:rsid w:val="7E002EC9"/>
    <w:rsid w:val="7E01111B"/>
    <w:rsid w:val="7E1626EC"/>
    <w:rsid w:val="7E17093E"/>
    <w:rsid w:val="7E265025"/>
    <w:rsid w:val="7E266DD3"/>
    <w:rsid w:val="7E2766A8"/>
    <w:rsid w:val="7E490D14"/>
    <w:rsid w:val="7E682F48"/>
    <w:rsid w:val="7E694F12"/>
    <w:rsid w:val="7E6972DA"/>
    <w:rsid w:val="7E6A3164"/>
    <w:rsid w:val="7E9006F1"/>
    <w:rsid w:val="7EAB72D9"/>
    <w:rsid w:val="7ED20D09"/>
    <w:rsid w:val="7EF02F3D"/>
    <w:rsid w:val="7EF754E4"/>
    <w:rsid w:val="7F272E03"/>
    <w:rsid w:val="7F2F3A2C"/>
    <w:rsid w:val="7F463BFE"/>
    <w:rsid w:val="7F4D4FAB"/>
    <w:rsid w:val="7F58120E"/>
    <w:rsid w:val="7F5C05D3"/>
    <w:rsid w:val="7F6531DB"/>
    <w:rsid w:val="7F6776A3"/>
    <w:rsid w:val="7F6B0F1D"/>
    <w:rsid w:val="7F97D7F2"/>
    <w:rsid w:val="7FA06711"/>
    <w:rsid w:val="7FA77AA0"/>
    <w:rsid w:val="7FBA5A25"/>
    <w:rsid w:val="7FC22B2C"/>
    <w:rsid w:val="7FCC5758"/>
    <w:rsid w:val="7FE55F45"/>
    <w:rsid w:val="7FE7259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6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3"/>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5"/>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0"/>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8"/>
    <w:qFormat/>
    <w:uiPriority w:val="0"/>
    <w:pPr>
      <w:shd w:val="clear" w:color="auto" w:fill="000080"/>
    </w:pPr>
  </w:style>
  <w:style w:type="paragraph" w:styleId="15">
    <w:name w:val="annotation text"/>
    <w:basedOn w:val="1"/>
    <w:link w:val="69"/>
    <w:qFormat/>
    <w:uiPriority w:val="99"/>
    <w:pPr>
      <w:jc w:val="left"/>
    </w:pPr>
  </w:style>
  <w:style w:type="paragraph" w:styleId="16">
    <w:name w:val="Body Text 3"/>
    <w:basedOn w:val="1"/>
    <w:link w:val="70"/>
    <w:qFormat/>
    <w:uiPriority w:val="0"/>
    <w:pPr>
      <w:spacing w:after="120"/>
    </w:pPr>
    <w:rPr>
      <w:sz w:val="16"/>
      <w:szCs w:val="16"/>
    </w:rPr>
  </w:style>
  <w:style w:type="paragraph" w:styleId="17">
    <w:name w:val="Body Text"/>
    <w:basedOn w:val="1"/>
    <w:next w:val="1"/>
    <w:link w:val="71"/>
    <w:qFormat/>
    <w:uiPriority w:val="0"/>
    <w:pPr>
      <w:tabs>
        <w:tab w:val="left" w:pos="567"/>
      </w:tabs>
      <w:spacing w:before="120" w:line="22" w:lineRule="atLeast"/>
    </w:pPr>
    <w:rPr>
      <w:rFonts w:ascii="宋体" w:hAnsi="宋体"/>
      <w:sz w:val="24"/>
    </w:rPr>
  </w:style>
  <w:style w:type="paragraph" w:styleId="18">
    <w:name w:val="Body Text Indent"/>
    <w:basedOn w:val="1"/>
    <w:link w:val="72"/>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73"/>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4"/>
    <w:qFormat/>
    <w:uiPriority w:val="0"/>
    <w:pPr>
      <w:ind w:left="100" w:leftChars="2500"/>
    </w:pPr>
    <w:rPr>
      <w:rFonts w:ascii="仿宋_GB2312" w:hAnsi="宋体" w:eastAsia="仿宋_GB2312"/>
      <w:color w:val="000000"/>
      <w:sz w:val="24"/>
    </w:rPr>
  </w:style>
  <w:style w:type="paragraph" w:styleId="26">
    <w:name w:val="Body Text Indent 2"/>
    <w:basedOn w:val="1"/>
    <w:link w:val="75"/>
    <w:qFormat/>
    <w:uiPriority w:val="0"/>
    <w:pPr>
      <w:ind w:firstLine="480" w:firstLineChars="200"/>
    </w:pPr>
    <w:rPr>
      <w:rFonts w:ascii="仿宋_GB2312" w:eastAsia="仿宋_GB2312"/>
      <w:sz w:val="24"/>
    </w:rPr>
  </w:style>
  <w:style w:type="paragraph" w:styleId="27">
    <w:name w:val="Balloon Text"/>
    <w:basedOn w:val="1"/>
    <w:link w:val="76"/>
    <w:qFormat/>
    <w:uiPriority w:val="0"/>
    <w:rPr>
      <w:sz w:val="18"/>
      <w:szCs w:val="18"/>
    </w:rPr>
  </w:style>
  <w:style w:type="paragraph" w:styleId="28">
    <w:name w:val="footer"/>
    <w:basedOn w:val="1"/>
    <w:link w:val="5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envelope return"/>
    <w:basedOn w:val="1"/>
    <w:qFormat/>
    <w:uiPriority w:val="99"/>
    <w:pPr>
      <w:snapToGrid w:val="0"/>
    </w:pPr>
    <w:rPr>
      <w:rFonts w:ascii="Arial" w:hAnsi="Arial" w:cs="Arial"/>
    </w:rPr>
  </w:style>
  <w:style w:type="paragraph" w:styleId="30">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footnote text"/>
    <w:basedOn w:val="1"/>
    <w:qFormat/>
    <w:uiPriority w:val="0"/>
    <w:pPr>
      <w:snapToGrid w:val="0"/>
      <w:jc w:val="left"/>
    </w:pPr>
    <w:rPr>
      <w:rFonts w:ascii="Calibri" w:hAnsi="Calibri"/>
      <w:sz w:val="18"/>
    </w:rPr>
  </w:style>
  <w:style w:type="paragraph" w:styleId="34">
    <w:name w:val="toc 6"/>
    <w:basedOn w:val="1"/>
    <w:next w:val="1"/>
    <w:qFormat/>
    <w:uiPriority w:val="0"/>
    <w:pPr>
      <w:ind w:left="2100" w:leftChars="1000"/>
    </w:pPr>
  </w:style>
  <w:style w:type="paragraph" w:styleId="35">
    <w:name w:val="Body Text Indent 3"/>
    <w:basedOn w:val="1"/>
    <w:link w:val="78"/>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7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80"/>
    <w:qFormat/>
    <w:uiPriority w:val="0"/>
    <w:pPr>
      <w:jc w:val="center"/>
      <w:outlineLvl w:val="0"/>
    </w:pPr>
    <w:rPr>
      <w:b/>
      <w:sz w:val="32"/>
      <w:szCs w:val="20"/>
    </w:rPr>
  </w:style>
  <w:style w:type="paragraph" w:styleId="42">
    <w:name w:val="annotation subject"/>
    <w:basedOn w:val="15"/>
    <w:next w:val="15"/>
    <w:link w:val="81"/>
    <w:qFormat/>
    <w:uiPriority w:val="0"/>
    <w:rPr>
      <w:b/>
      <w:bCs/>
    </w:rPr>
  </w:style>
  <w:style w:type="paragraph" w:styleId="43">
    <w:name w:val="Body Text First Indent"/>
    <w:basedOn w:val="17"/>
    <w:semiHidden/>
    <w:unhideWhenUsed/>
    <w:qFormat/>
    <w:uiPriority w:val="99"/>
    <w:pPr>
      <w:ind w:firstLine="420" w:firstLineChars="100"/>
    </w:pPr>
  </w:style>
  <w:style w:type="paragraph" w:styleId="44">
    <w:name w:val="Body Text First Indent 2"/>
    <w:basedOn w:val="18"/>
    <w:next w:val="1"/>
    <w:link w:val="83"/>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paragraph" w:customStyle="1" w:styleId="56">
    <w:name w:val="目录 74"/>
    <w:next w:val="1"/>
    <w:qFormat/>
    <w:uiPriority w:val="0"/>
    <w:pPr>
      <w:wordWrap w:val="0"/>
      <w:ind w:left="2125"/>
      <w:jc w:val="both"/>
    </w:pPr>
    <w:rPr>
      <w:rFonts w:ascii="Times New Roman" w:hAnsi="Times New Roman" w:eastAsia="宋体" w:cs="Times New Roman"/>
      <w:sz w:val="21"/>
      <w:lang w:val="en-US" w:eastAsia="zh-CN" w:bidi="ar-SA"/>
    </w:rPr>
  </w:style>
  <w:style w:type="character" w:customStyle="1" w:styleId="57">
    <w:name w:val="页脚 Char1"/>
    <w:link w:val="28"/>
    <w:qFormat/>
    <w:uiPriority w:val="99"/>
    <w:rPr>
      <w:rFonts w:ascii="宋体" w:eastAsia="宋体"/>
      <w:sz w:val="18"/>
      <w:lang w:val="en-US" w:eastAsia="zh-CN" w:bidi="ar-SA"/>
    </w:rPr>
  </w:style>
  <w:style w:type="character" w:customStyle="1" w:styleId="58">
    <w:name w:val="标题 1 Char"/>
    <w:basedOn w:val="48"/>
    <w:link w:val="2"/>
    <w:qFormat/>
    <w:uiPriority w:val="0"/>
    <w:rPr>
      <w:rFonts w:ascii="宋体"/>
      <w:b/>
      <w:kern w:val="44"/>
      <w:sz w:val="32"/>
    </w:rPr>
  </w:style>
  <w:style w:type="character" w:customStyle="1" w:styleId="59">
    <w:name w:val="标题 2 Char1"/>
    <w:link w:val="3"/>
    <w:qFormat/>
    <w:uiPriority w:val="0"/>
    <w:rPr>
      <w:rFonts w:ascii="Arial" w:hAnsi="Arial" w:eastAsia="黑体"/>
      <w:b/>
      <w:sz w:val="30"/>
      <w:lang w:val="en-US" w:eastAsia="zh-CN" w:bidi="ar-SA"/>
    </w:rPr>
  </w:style>
  <w:style w:type="character" w:customStyle="1" w:styleId="60">
    <w:name w:val="正文缩进 Char1"/>
    <w:link w:val="4"/>
    <w:qFormat/>
    <w:uiPriority w:val="0"/>
    <w:rPr>
      <w:rFonts w:ascii="宋体" w:eastAsia="宋体"/>
      <w:kern w:val="2"/>
      <w:sz w:val="24"/>
      <w:szCs w:val="24"/>
      <w:lang w:val="en-US" w:eastAsia="zh-CN" w:bidi="ar-SA"/>
    </w:rPr>
  </w:style>
  <w:style w:type="character" w:customStyle="1" w:styleId="61">
    <w:name w:val="标题 3 Char1"/>
    <w:link w:val="5"/>
    <w:qFormat/>
    <w:uiPriority w:val="0"/>
    <w:rPr>
      <w:rFonts w:ascii="宋体" w:eastAsia="宋体"/>
      <w:b/>
      <w:sz w:val="24"/>
      <w:u w:val="single"/>
      <w:lang w:val="en-US" w:eastAsia="zh-CN" w:bidi="ar-SA"/>
    </w:rPr>
  </w:style>
  <w:style w:type="character" w:customStyle="1" w:styleId="62">
    <w:name w:val="标题 4 Char"/>
    <w:basedOn w:val="48"/>
    <w:link w:val="6"/>
    <w:qFormat/>
    <w:uiPriority w:val="0"/>
    <w:rPr>
      <w:rFonts w:ascii="Arial" w:hAnsi="Arial" w:eastAsia="黑体"/>
      <w:b/>
      <w:sz w:val="28"/>
    </w:rPr>
  </w:style>
  <w:style w:type="character" w:customStyle="1" w:styleId="63">
    <w:name w:val="标题 5 Char"/>
    <w:basedOn w:val="48"/>
    <w:link w:val="7"/>
    <w:qFormat/>
    <w:uiPriority w:val="0"/>
    <w:rPr>
      <w:b/>
      <w:sz w:val="28"/>
    </w:rPr>
  </w:style>
  <w:style w:type="character" w:customStyle="1" w:styleId="64">
    <w:name w:val="标题 6 Char"/>
    <w:basedOn w:val="48"/>
    <w:link w:val="8"/>
    <w:qFormat/>
    <w:uiPriority w:val="0"/>
    <w:rPr>
      <w:rFonts w:ascii="Arial" w:hAnsi="Arial" w:eastAsia="黑体"/>
      <w:b/>
      <w:sz w:val="24"/>
    </w:rPr>
  </w:style>
  <w:style w:type="character" w:customStyle="1" w:styleId="65">
    <w:name w:val="标题 7 Char"/>
    <w:basedOn w:val="48"/>
    <w:link w:val="9"/>
    <w:qFormat/>
    <w:uiPriority w:val="0"/>
    <w:rPr>
      <w:b/>
      <w:sz w:val="24"/>
    </w:rPr>
  </w:style>
  <w:style w:type="character" w:customStyle="1" w:styleId="66">
    <w:name w:val="标题 8 Char"/>
    <w:basedOn w:val="48"/>
    <w:link w:val="10"/>
    <w:qFormat/>
    <w:uiPriority w:val="0"/>
    <w:rPr>
      <w:rFonts w:ascii="Arial" w:hAnsi="Arial" w:eastAsia="黑体"/>
      <w:sz w:val="24"/>
    </w:rPr>
  </w:style>
  <w:style w:type="character" w:customStyle="1" w:styleId="67">
    <w:name w:val="标题 9 Char"/>
    <w:basedOn w:val="48"/>
    <w:link w:val="11"/>
    <w:qFormat/>
    <w:uiPriority w:val="0"/>
    <w:rPr>
      <w:rFonts w:ascii="Arial" w:hAnsi="Arial" w:eastAsia="黑体"/>
      <w:sz w:val="21"/>
    </w:rPr>
  </w:style>
  <w:style w:type="character" w:customStyle="1" w:styleId="68">
    <w:name w:val="文档结构图 Char"/>
    <w:basedOn w:val="48"/>
    <w:link w:val="14"/>
    <w:qFormat/>
    <w:uiPriority w:val="0"/>
    <w:rPr>
      <w:kern w:val="2"/>
      <w:sz w:val="21"/>
      <w:szCs w:val="24"/>
      <w:shd w:val="clear" w:color="auto" w:fill="000080"/>
    </w:rPr>
  </w:style>
  <w:style w:type="character" w:customStyle="1" w:styleId="69">
    <w:name w:val="批注文字 Char1"/>
    <w:link w:val="15"/>
    <w:qFormat/>
    <w:uiPriority w:val="99"/>
    <w:rPr>
      <w:kern w:val="2"/>
      <w:sz w:val="21"/>
      <w:szCs w:val="24"/>
    </w:rPr>
  </w:style>
  <w:style w:type="character" w:customStyle="1" w:styleId="70">
    <w:name w:val="正文文本 3 Char"/>
    <w:basedOn w:val="48"/>
    <w:link w:val="16"/>
    <w:qFormat/>
    <w:uiPriority w:val="0"/>
    <w:rPr>
      <w:kern w:val="2"/>
      <w:sz w:val="16"/>
      <w:szCs w:val="16"/>
    </w:rPr>
  </w:style>
  <w:style w:type="character" w:customStyle="1" w:styleId="71">
    <w:name w:val="正文文本 Char"/>
    <w:basedOn w:val="48"/>
    <w:link w:val="17"/>
    <w:qFormat/>
    <w:uiPriority w:val="0"/>
    <w:rPr>
      <w:rFonts w:ascii="宋体" w:hAnsi="宋体"/>
      <w:kern w:val="2"/>
      <w:sz w:val="24"/>
      <w:szCs w:val="24"/>
    </w:rPr>
  </w:style>
  <w:style w:type="character" w:customStyle="1" w:styleId="72">
    <w:name w:val="正文文本缩进 Char2"/>
    <w:link w:val="18"/>
    <w:qFormat/>
    <w:uiPriority w:val="0"/>
    <w:rPr>
      <w:rFonts w:eastAsia="宋体"/>
      <w:kern w:val="2"/>
      <w:sz w:val="24"/>
      <w:szCs w:val="24"/>
      <w:lang w:val="en-US" w:eastAsia="zh-CN" w:bidi="ar-SA"/>
    </w:rPr>
  </w:style>
  <w:style w:type="character" w:customStyle="1" w:styleId="73">
    <w:name w:val="纯文本 Char"/>
    <w:basedOn w:val="48"/>
    <w:link w:val="23"/>
    <w:qFormat/>
    <w:uiPriority w:val="0"/>
    <w:rPr>
      <w:rFonts w:hint="eastAsia" w:ascii="宋体" w:hAnsi="Courier New" w:eastAsia="宋体" w:cs="宋体"/>
      <w:kern w:val="2"/>
      <w:sz w:val="21"/>
    </w:rPr>
  </w:style>
  <w:style w:type="character" w:customStyle="1" w:styleId="74">
    <w:name w:val="日期 Char"/>
    <w:basedOn w:val="48"/>
    <w:link w:val="25"/>
    <w:qFormat/>
    <w:uiPriority w:val="0"/>
    <w:rPr>
      <w:rFonts w:ascii="仿宋_GB2312" w:hAnsi="宋体" w:eastAsia="仿宋_GB2312"/>
      <w:color w:val="000000"/>
      <w:kern w:val="2"/>
      <w:sz w:val="24"/>
      <w:szCs w:val="24"/>
    </w:rPr>
  </w:style>
  <w:style w:type="character" w:customStyle="1" w:styleId="75">
    <w:name w:val="正文文本缩进 2 Char"/>
    <w:basedOn w:val="48"/>
    <w:link w:val="26"/>
    <w:qFormat/>
    <w:uiPriority w:val="0"/>
    <w:rPr>
      <w:rFonts w:ascii="仿宋_GB2312" w:eastAsia="仿宋_GB2312"/>
      <w:kern w:val="2"/>
      <w:sz w:val="24"/>
      <w:szCs w:val="24"/>
    </w:rPr>
  </w:style>
  <w:style w:type="character" w:customStyle="1" w:styleId="76">
    <w:name w:val="批注框文本 Char"/>
    <w:basedOn w:val="48"/>
    <w:link w:val="27"/>
    <w:qFormat/>
    <w:uiPriority w:val="0"/>
    <w:rPr>
      <w:kern w:val="2"/>
      <w:sz w:val="18"/>
      <w:szCs w:val="18"/>
    </w:rPr>
  </w:style>
  <w:style w:type="character" w:customStyle="1" w:styleId="77">
    <w:name w:val="页眉 Char1"/>
    <w:link w:val="30"/>
    <w:qFormat/>
    <w:uiPriority w:val="0"/>
    <w:rPr>
      <w:rFonts w:eastAsia="宋体"/>
      <w:kern w:val="2"/>
      <w:sz w:val="18"/>
      <w:szCs w:val="18"/>
      <w:lang w:val="en-US" w:eastAsia="zh-CN" w:bidi="ar-SA"/>
    </w:rPr>
  </w:style>
  <w:style w:type="character" w:customStyle="1" w:styleId="78">
    <w:name w:val="正文文本缩进 3 Char"/>
    <w:basedOn w:val="48"/>
    <w:link w:val="35"/>
    <w:qFormat/>
    <w:uiPriority w:val="0"/>
    <w:rPr>
      <w:rFonts w:ascii="宋体"/>
      <w:sz w:val="24"/>
    </w:rPr>
  </w:style>
  <w:style w:type="character" w:customStyle="1" w:styleId="79">
    <w:name w:val="HTML 预设格式 Char"/>
    <w:basedOn w:val="48"/>
    <w:link w:val="38"/>
    <w:qFormat/>
    <w:uiPriority w:val="0"/>
    <w:rPr>
      <w:rFonts w:ascii="宋体" w:hAnsi="宋体" w:cs="宋体"/>
      <w:sz w:val="24"/>
      <w:szCs w:val="24"/>
    </w:rPr>
  </w:style>
  <w:style w:type="character" w:customStyle="1" w:styleId="80">
    <w:name w:val="标题 Char1"/>
    <w:link w:val="41"/>
    <w:qFormat/>
    <w:uiPriority w:val="0"/>
    <w:rPr>
      <w:b/>
      <w:kern w:val="2"/>
      <w:sz w:val="32"/>
    </w:rPr>
  </w:style>
  <w:style w:type="character" w:customStyle="1" w:styleId="81">
    <w:name w:val="批注主题 Char"/>
    <w:basedOn w:val="82"/>
    <w:link w:val="42"/>
    <w:qFormat/>
    <w:uiPriority w:val="0"/>
    <w:rPr>
      <w:rFonts w:ascii="Times New Roman" w:hAnsi="Times New Roman" w:eastAsia="宋体" w:cs="Times New Roman"/>
      <w:b/>
      <w:bCs/>
      <w:kern w:val="2"/>
      <w:sz w:val="21"/>
      <w:szCs w:val="24"/>
      <w:lang w:val="en-US" w:eastAsia="zh-CN" w:bidi="ar-SA"/>
    </w:rPr>
  </w:style>
  <w:style w:type="character" w:customStyle="1" w:styleId="82">
    <w:name w:val="批注文字 字符"/>
    <w:qFormat/>
    <w:uiPriority w:val="99"/>
    <w:rPr>
      <w:rFonts w:ascii="Times New Roman" w:hAnsi="Times New Roman" w:eastAsia="宋体" w:cs="Times New Roman"/>
      <w:sz w:val="24"/>
      <w:lang w:val="en-US" w:eastAsia="zh-CN" w:bidi="ar-SA"/>
    </w:rPr>
  </w:style>
  <w:style w:type="character" w:customStyle="1" w:styleId="83">
    <w:name w:val="正文首行缩进 2 Char"/>
    <w:basedOn w:val="72"/>
    <w:link w:val="44"/>
    <w:qFormat/>
    <w:uiPriority w:val="0"/>
    <w:rPr>
      <w:rFonts w:eastAsia="宋体"/>
      <w:kern w:val="2"/>
      <w:sz w:val="24"/>
      <w:szCs w:val="24"/>
      <w:lang w:val="en-US" w:eastAsia="zh-CN" w:bidi="ar-SA"/>
    </w:rPr>
  </w:style>
  <w:style w:type="paragraph" w:customStyle="1" w:styleId="84">
    <w:name w:val="标题 5（有编号）（绿盟科技）"/>
    <w:basedOn w:val="1"/>
    <w:next w:val="85"/>
    <w:qFormat/>
    <w:uiPriority w:val="99"/>
    <w:pPr>
      <w:keepNext/>
      <w:keepLines/>
      <w:spacing w:before="280" w:after="156" w:line="377" w:lineRule="auto"/>
      <w:outlineLvl w:val="4"/>
    </w:pPr>
    <w:rPr>
      <w:rFonts w:ascii="Arial" w:hAnsi="Arial" w:eastAsia="黑体" w:cs="Arial"/>
      <w:b/>
      <w:bCs/>
      <w:sz w:val="24"/>
    </w:rPr>
  </w:style>
  <w:style w:type="paragraph" w:customStyle="1" w:styleId="85">
    <w:name w:val="正文（绿盟科技）"/>
    <w:qFormat/>
    <w:uiPriority w:val="99"/>
    <w:pPr>
      <w:spacing w:line="300" w:lineRule="auto"/>
    </w:pPr>
    <w:rPr>
      <w:rFonts w:ascii="Arial" w:hAnsi="Arial" w:eastAsia="宋体" w:cs="Arial"/>
      <w:sz w:val="21"/>
      <w:szCs w:val="21"/>
      <w:lang w:val="en-US" w:eastAsia="zh-CN" w:bidi="ar-SA"/>
    </w:rPr>
  </w:style>
  <w:style w:type="paragraph" w:customStyle="1" w:styleId="86">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character" w:customStyle="1" w:styleId="87">
    <w:name w:val="c21"/>
    <w:qFormat/>
    <w:uiPriority w:val="0"/>
    <w:rPr>
      <w:rFonts w:hint="default" w:ascii="ˎ̥" w:hAnsi="ˎ̥"/>
      <w:color w:val="000000"/>
      <w:sz w:val="20"/>
      <w:szCs w:val="20"/>
      <w:u w:val="none"/>
    </w:rPr>
  </w:style>
  <w:style w:type="character" w:customStyle="1" w:styleId="88">
    <w:name w:val="title4"/>
    <w:qFormat/>
    <w:uiPriority w:val="0"/>
    <w:rPr>
      <w:b/>
      <w:bCs/>
      <w:color w:val="1D87B3"/>
      <w:sz w:val="15"/>
      <w:szCs w:val="15"/>
    </w:rPr>
  </w:style>
  <w:style w:type="character" w:customStyle="1" w:styleId="89">
    <w:name w:val="标题 2 Char Char"/>
    <w:qFormat/>
    <w:uiPriority w:val="0"/>
    <w:rPr>
      <w:rFonts w:ascii="Arial" w:hAnsi="Arial" w:eastAsia="黑体"/>
      <w:b/>
      <w:bCs/>
      <w:kern w:val="2"/>
      <w:sz w:val="32"/>
      <w:szCs w:val="32"/>
      <w:lang w:val="en-US" w:eastAsia="zh-CN" w:bidi="ar-SA"/>
    </w:rPr>
  </w:style>
  <w:style w:type="character" w:customStyle="1" w:styleId="90">
    <w:name w:val="black1"/>
    <w:qFormat/>
    <w:uiPriority w:val="0"/>
    <w:rPr>
      <w:color w:val="000000"/>
    </w:rPr>
  </w:style>
  <w:style w:type="character" w:customStyle="1" w:styleId="91">
    <w:name w:val="street-address"/>
    <w:basedOn w:val="48"/>
    <w:qFormat/>
    <w:uiPriority w:val="0"/>
  </w:style>
  <w:style w:type="character" w:customStyle="1" w:styleId="92">
    <w:name w:val="locality"/>
    <w:basedOn w:val="48"/>
    <w:qFormat/>
    <w:uiPriority w:val="0"/>
  </w:style>
  <w:style w:type="character" w:customStyle="1" w:styleId="93">
    <w:name w:val="正文文本缩进 Char1"/>
    <w:link w:val="94"/>
    <w:qFormat/>
    <w:uiPriority w:val="0"/>
    <w:rPr>
      <w:rFonts w:ascii="宋体" w:hAnsi="宋体" w:eastAsia="宋体"/>
      <w:sz w:val="24"/>
      <w:szCs w:val="24"/>
      <w:lang w:bidi="ar-SA"/>
    </w:rPr>
  </w:style>
  <w:style w:type="paragraph" w:customStyle="1" w:styleId="94">
    <w:name w:val="正文文本缩进1"/>
    <w:basedOn w:val="1"/>
    <w:link w:val="93"/>
    <w:qFormat/>
    <w:uiPriority w:val="0"/>
    <w:pPr>
      <w:spacing w:line="480" w:lineRule="exact"/>
      <w:ind w:firstLine="480" w:firstLineChars="200"/>
    </w:pPr>
    <w:rPr>
      <w:rFonts w:ascii="宋体" w:hAnsi="宋体"/>
      <w:kern w:val="0"/>
      <w:sz w:val="24"/>
    </w:rPr>
  </w:style>
  <w:style w:type="character" w:customStyle="1" w:styleId="95">
    <w:name w:val="Char Char11"/>
    <w:qFormat/>
    <w:uiPriority w:val="0"/>
    <w:rPr>
      <w:rFonts w:ascii="宋体" w:eastAsia="宋体"/>
      <w:b/>
      <w:sz w:val="24"/>
      <w:u w:val="single"/>
      <w:lang w:val="en-US" w:eastAsia="zh-CN" w:bidi="ar-SA"/>
    </w:rPr>
  </w:style>
  <w:style w:type="character" w:customStyle="1" w:styleId="96">
    <w:name w:val="txt"/>
    <w:basedOn w:val="48"/>
    <w:qFormat/>
    <w:uiPriority w:val="0"/>
  </w:style>
  <w:style w:type="character" w:customStyle="1" w:styleId="97">
    <w:name w:val="正文缩进 Char Char"/>
    <w:link w:val="98"/>
    <w:qFormat/>
    <w:uiPriority w:val="0"/>
    <w:rPr>
      <w:rFonts w:ascii="宋体" w:eastAsia="宋体"/>
      <w:snapToGrid w:val="0"/>
      <w:color w:val="000000"/>
      <w:kern w:val="28"/>
      <w:sz w:val="28"/>
      <w:lang w:bidi="ar-SA"/>
    </w:rPr>
  </w:style>
  <w:style w:type="paragraph" w:customStyle="1" w:styleId="98">
    <w:name w:val="正文缩进1"/>
    <w:basedOn w:val="1"/>
    <w:link w:val="9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9">
    <w:name w:val="普通文字1 Char1"/>
    <w:qFormat/>
    <w:uiPriority w:val="0"/>
    <w:rPr>
      <w:rFonts w:ascii="宋体" w:hAnsi="Courier New" w:eastAsia="宋体"/>
      <w:kern w:val="2"/>
      <w:sz w:val="21"/>
      <w:lang w:val="en-US" w:eastAsia="zh-CN" w:bidi="ar-SA"/>
    </w:rPr>
  </w:style>
  <w:style w:type="character" w:customStyle="1" w:styleId="100">
    <w:name w:val="chanpin1"/>
    <w:qFormat/>
    <w:uiPriority w:val="0"/>
    <w:rPr>
      <w:rFonts w:hint="default" w:ascii="ˎ̥" w:hAnsi="ˎ̥"/>
      <w:color w:val="000000"/>
      <w:sz w:val="20"/>
      <w:szCs w:val="20"/>
      <w:u w:val="none"/>
    </w:rPr>
  </w:style>
  <w:style w:type="character" w:customStyle="1" w:styleId="101">
    <w:name w:val="列出段落 Char1"/>
    <w:link w:val="102"/>
    <w:qFormat/>
    <w:uiPriority w:val="34"/>
    <w:rPr>
      <w:rFonts w:ascii="Calibri" w:hAnsi="Calibri" w:eastAsia="宋体"/>
      <w:kern w:val="2"/>
      <w:sz w:val="21"/>
      <w:szCs w:val="22"/>
      <w:lang w:val="en-US" w:eastAsia="zh-CN" w:bidi="ar-SA"/>
    </w:rPr>
  </w:style>
  <w:style w:type="paragraph" w:styleId="102">
    <w:name w:val="List Paragraph"/>
    <w:basedOn w:val="1"/>
    <w:link w:val="101"/>
    <w:qFormat/>
    <w:uiPriority w:val="34"/>
    <w:pPr>
      <w:ind w:firstLine="420" w:firstLineChars="200"/>
    </w:pPr>
    <w:rPr>
      <w:rFonts w:ascii="Calibri" w:hAnsi="Calibri"/>
      <w:szCs w:val="22"/>
    </w:rPr>
  </w:style>
  <w:style w:type="character" w:customStyle="1" w:styleId="103">
    <w:name w:val="标题 3 Char Char"/>
    <w:qFormat/>
    <w:uiPriority w:val="0"/>
    <w:rPr>
      <w:rFonts w:eastAsia="宋体"/>
      <w:b/>
      <w:bCs/>
      <w:kern w:val="2"/>
      <w:sz w:val="32"/>
      <w:szCs w:val="32"/>
      <w:lang w:val="en-US" w:eastAsia="zh-CN" w:bidi="ar-SA"/>
    </w:rPr>
  </w:style>
  <w:style w:type="character" w:customStyle="1" w:styleId="104">
    <w:name w:val="段1 Char"/>
    <w:qFormat/>
    <w:uiPriority w:val="0"/>
    <w:rPr>
      <w:rFonts w:ascii="宋体" w:eastAsia="宋体"/>
      <w:sz w:val="24"/>
      <w:lang w:val="en-US" w:eastAsia="zh-CN" w:bidi="ar-SA"/>
    </w:rPr>
  </w:style>
  <w:style w:type="character" w:customStyle="1" w:styleId="105">
    <w:name w:val="chanpin拷贝"/>
    <w:basedOn w:val="48"/>
    <w:qFormat/>
    <w:uiPriority w:val="0"/>
  </w:style>
  <w:style w:type="character" w:customStyle="1" w:styleId="106">
    <w:name w:val="纯文本 Char1"/>
    <w:qFormat/>
    <w:uiPriority w:val="0"/>
    <w:rPr>
      <w:rFonts w:ascii="宋体" w:hAnsi="Courier New" w:eastAsia="宋体"/>
      <w:kern w:val="2"/>
      <w:sz w:val="21"/>
      <w:lang w:val="en-US" w:eastAsia="zh-CN" w:bidi="ar-SA"/>
    </w:rPr>
  </w:style>
  <w:style w:type="character" w:customStyle="1" w:styleId="107">
    <w:name w:val="apple-style-span"/>
    <w:qFormat/>
    <w:uiPriority w:val="0"/>
    <w:rPr>
      <w:rFonts w:cs="Times New Roman"/>
    </w:rPr>
  </w:style>
  <w:style w:type="paragraph" w:customStyle="1" w:styleId="108">
    <w:name w:val="二级条标题"/>
    <w:basedOn w:val="109"/>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9">
    <w:name w:val="一级条标题"/>
    <w:basedOn w:val="110"/>
    <w:next w:val="1"/>
    <w:qFormat/>
    <w:uiPriority w:val="0"/>
    <w:pPr>
      <w:numPr>
        <w:ilvl w:val="1"/>
      </w:numPr>
      <w:tabs>
        <w:tab w:val="left" w:pos="360"/>
        <w:tab w:val="left" w:pos="840"/>
      </w:tabs>
      <w:ind w:left="0" w:hanging="840"/>
      <w:outlineLvl w:val="1"/>
    </w:pPr>
  </w:style>
  <w:style w:type="paragraph" w:customStyle="1" w:styleId="110">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1">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2">
    <w:name w:val="字元 字元"/>
    <w:basedOn w:val="1"/>
    <w:qFormat/>
    <w:uiPriority w:val="0"/>
    <w:rPr>
      <w:rFonts w:ascii="Tahoma" w:hAnsi="Tahoma"/>
      <w:sz w:val="24"/>
      <w:szCs w:val="20"/>
    </w:rPr>
  </w:style>
  <w:style w:type="paragraph" w:customStyle="1" w:styleId="113">
    <w:name w:val="Char3 Char Char Char"/>
    <w:basedOn w:val="1"/>
    <w:qFormat/>
    <w:uiPriority w:val="0"/>
    <w:rPr>
      <w:rFonts w:ascii="Tahoma" w:hAnsi="Tahoma"/>
      <w:sz w:val="24"/>
      <w:szCs w:val="20"/>
    </w:rPr>
  </w:style>
  <w:style w:type="paragraph" w:customStyle="1" w:styleId="114">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5">
    <w:name w:val="项目编号2"/>
    <w:basedOn w:val="116"/>
    <w:qFormat/>
    <w:uiPriority w:val="0"/>
    <w:pPr>
      <w:numPr>
        <w:numId w:val="2"/>
      </w:numPr>
    </w:pPr>
  </w:style>
  <w:style w:type="paragraph" w:customStyle="1" w:styleId="116">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7">
    <w:name w:val="图中文字"/>
    <w:basedOn w:val="1"/>
    <w:qFormat/>
    <w:uiPriority w:val="0"/>
    <w:pPr>
      <w:adjustRightInd w:val="0"/>
      <w:snapToGrid w:val="0"/>
      <w:spacing w:line="0" w:lineRule="atLeast"/>
      <w:jc w:val="center"/>
    </w:pPr>
    <w:rPr>
      <w:sz w:val="24"/>
      <w:szCs w:val="20"/>
    </w:rPr>
  </w:style>
  <w:style w:type="paragraph" w:customStyle="1" w:styleId="118">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0">
    <w:name w:val="Char2"/>
    <w:basedOn w:val="1"/>
    <w:qFormat/>
    <w:uiPriority w:val="0"/>
    <w:rPr>
      <w:rFonts w:ascii="Tahoma" w:hAnsi="Tahoma"/>
      <w:sz w:val="24"/>
      <w:szCs w:val="20"/>
    </w:rPr>
  </w:style>
  <w:style w:type="paragraph" w:customStyle="1" w:styleId="12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8">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30">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4">
    <w:name w:val="font8"/>
    <w:basedOn w:val="1"/>
    <w:qFormat/>
    <w:uiPriority w:val="0"/>
    <w:pPr>
      <w:widowControl/>
      <w:spacing w:before="100" w:beforeAutospacing="1" w:after="100" w:afterAutospacing="1"/>
      <w:jc w:val="left"/>
    </w:pPr>
    <w:rPr>
      <w:kern w:val="0"/>
      <w:sz w:val="36"/>
      <w:szCs w:val="36"/>
    </w:rPr>
  </w:style>
  <w:style w:type="paragraph" w:customStyle="1" w:styleId="135">
    <w:name w:val="Char"/>
    <w:basedOn w:val="1"/>
    <w:qFormat/>
    <w:uiPriority w:val="0"/>
    <w:pPr>
      <w:tabs>
        <w:tab w:val="left" w:pos="360"/>
      </w:tabs>
    </w:pPr>
    <w:rPr>
      <w:sz w:val="24"/>
    </w:rPr>
  </w:style>
  <w:style w:type="paragraph" w:customStyle="1" w:styleId="136">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7">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9">
    <w:name w:val="Char Char1"/>
    <w:basedOn w:val="14"/>
    <w:qFormat/>
    <w:uiPriority w:val="0"/>
    <w:rPr>
      <w:rFonts w:ascii="Tahoma" w:hAnsi="Tahoma"/>
      <w:sz w:val="24"/>
    </w:rPr>
  </w:style>
  <w:style w:type="paragraph" w:customStyle="1" w:styleId="14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4">
    <w:name w:val="Char1 Char Char Char1"/>
    <w:basedOn w:val="1"/>
    <w:qFormat/>
    <w:uiPriority w:val="0"/>
    <w:rPr>
      <w:rFonts w:ascii="Tahoma" w:hAnsi="Tahoma" w:cs="仿宋_GB2312"/>
      <w:sz w:val="24"/>
      <w:szCs w:val="28"/>
    </w:rPr>
  </w:style>
  <w:style w:type="paragraph" w:customStyle="1" w:styleId="145">
    <w:name w:val="四级条标题"/>
    <w:basedOn w:val="146"/>
    <w:next w:val="1"/>
    <w:qFormat/>
    <w:uiPriority w:val="0"/>
    <w:pPr>
      <w:numPr>
        <w:ilvl w:val="4"/>
      </w:numPr>
      <w:tabs>
        <w:tab w:val="left" w:pos="360"/>
        <w:tab w:val="left" w:pos="840"/>
      </w:tabs>
      <w:ind w:left="0" w:hanging="840"/>
      <w:outlineLvl w:val="4"/>
    </w:pPr>
  </w:style>
  <w:style w:type="paragraph" w:customStyle="1" w:styleId="146">
    <w:name w:val="三级条标题"/>
    <w:basedOn w:val="108"/>
    <w:next w:val="1"/>
    <w:qFormat/>
    <w:uiPriority w:val="0"/>
    <w:pPr>
      <w:numPr>
        <w:ilvl w:val="3"/>
        <w:numId w:val="1"/>
      </w:numPr>
      <w:ind w:left="0" w:hanging="840"/>
      <w:outlineLvl w:val="3"/>
    </w:pPr>
  </w:style>
  <w:style w:type="paragraph" w:customStyle="1" w:styleId="147">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8">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9">
    <w:name w:val="List Paragraph1"/>
    <w:basedOn w:val="1"/>
    <w:qFormat/>
    <w:uiPriority w:val="0"/>
    <w:pPr>
      <w:ind w:firstLine="420" w:firstLineChars="200"/>
    </w:pPr>
    <w:rPr>
      <w:rFonts w:ascii="Calibri" w:hAnsi="Calibri"/>
      <w:szCs w:val="22"/>
    </w:rPr>
  </w:style>
  <w:style w:type="paragraph" w:customStyle="1" w:styleId="150">
    <w:name w:val="项目符号1"/>
    <w:basedOn w:val="151"/>
    <w:qFormat/>
    <w:uiPriority w:val="0"/>
    <w:pPr>
      <w:ind w:left="-25" w:firstLine="0"/>
    </w:pPr>
  </w:style>
  <w:style w:type="paragraph" w:customStyle="1" w:styleId="151">
    <w:name w:val="正文文本样式"/>
    <w:basedOn w:val="1"/>
    <w:qFormat/>
    <w:uiPriority w:val="0"/>
    <w:pPr>
      <w:spacing w:line="360" w:lineRule="auto"/>
      <w:ind w:firstLine="482"/>
    </w:pPr>
    <w:rPr>
      <w:rFonts w:cs="宋体"/>
      <w:sz w:val="24"/>
      <w:szCs w:val="20"/>
    </w:rPr>
  </w:style>
  <w:style w:type="paragraph" w:customStyle="1" w:styleId="15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4">
    <w:name w:val="五级条标题"/>
    <w:basedOn w:val="145"/>
    <w:next w:val="1"/>
    <w:qFormat/>
    <w:uiPriority w:val="0"/>
    <w:pPr>
      <w:numPr>
        <w:ilvl w:val="5"/>
      </w:numPr>
      <w:ind w:left="0" w:hanging="840"/>
      <w:outlineLvl w:val="5"/>
    </w:pPr>
  </w:style>
  <w:style w:type="paragraph" w:customStyle="1" w:styleId="15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6">
    <w:name w:val="文档正文"/>
    <w:basedOn w:val="1"/>
    <w:qFormat/>
    <w:uiPriority w:val="0"/>
    <w:pPr>
      <w:snapToGrid w:val="0"/>
      <w:spacing w:before="120" w:after="120" w:line="180" w:lineRule="auto"/>
    </w:pPr>
    <w:rPr>
      <w:rFonts w:ascii="Arial" w:hAnsi="Arial"/>
      <w:szCs w:val="20"/>
    </w:rPr>
  </w:style>
  <w:style w:type="paragraph" w:customStyle="1" w:styleId="15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9">
    <w:name w:val="Char Char Char1 Char"/>
    <w:basedOn w:val="1"/>
    <w:qFormat/>
    <w:uiPriority w:val="0"/>
    <w:rPr>
      <w:rFonts w:ascii="Tahoma" w:hAnsi="Tahoma"/>
      <w:sz w:val="24"/>
      <w:szCs w:val="20"/>
    </w:rPr>
  </w:style>
  <w:style w:type="paragraph" w:customStyle="1" w:styleId="160">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1">
    <w:name w:val="1名"/>
    <w:basedOn w:val="1"/>
    <w:qFormat/>
    <w:uiPriority w:val="0"/>
    <w:pPr>
      <w:numPr>
        <w:ilvl w:val="0"/>
        <w:numId w:val="5"/>
      </w:numPr>
      <w:spacing w:before="120"/>
    </w:pPr>
    <w:rPr>
      <w:rFonts w:ascii="宋体"/>
      <w:sz w:val="28"/>
      <w:szCs w:val="20"/>
    </w:rPr>
  </w:style>
  <w:style w:type="paragraph" w:customStyle="1" w:styleId="162">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3">
    <w:name w:val="Char Char Char1 Char1"/>
    <w:basedOn w:val="1"/>
    <w:qFormat/>
    <w:uiPriority w:val="0"/>
    <w:rPr>
      <w:rFonts w:ascii="Tahoma" w:hAnsi="Tahoma"/>
      <w:sz w:val="24"/>
      <w:szCs w:val="20"/>
    </w:rPr>
  </w:style>
  <w:style w:type="paragraph" w:customStyle="1" w:styleId="164">
    <w:name w:val="Char Char Char Char Char Char Char Char Char Char"/>
    <w:basedOn w:val="1"/>
    <w:qFormat/>
    <w:uiPriority w:val="0"/>
  </w:style>
  <w:style w:type="paragraph" w:customStyle="1" w:styleId="165">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6">
    <w:name w:val="Char1"/>
    <w:basedOn w:val="1"/>
    <w:qFormat/>
    <w:uiPriority w:val="0"/>
    <w:pPr>
      <w:tabs>
        <w:tab w:val="left" w:pos="360"/>
      </w:tabs>
    </w:pPr>
    <w:rPr>
      <w:sz w:val="24"/>
    </w:rPr>
  </w:style>
  <w:style w:type="paragraph" w:customStyle="1" w:styleId="167">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9">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0">
    <w:name w:val="默认段落字体 Para Char Char Char Char"/>
    <w:basedOn w:val="1"/>
    <w:qFormat/>
    <w:uiPriority w:val="0"/>
    <w:rPr>
      <w:rFonts w:ascii="Arial" w:hAnsi="Arial" w:cs="Arial"/>
      <w:szCs w:val="21"/>
    </w:rPr>
  </w:style>
  <w:style w:type="paragraph" w:customStyle="1" w:styleId="17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4">
    <w:name w:val="Char Char Char"/>
    <w:basedOn w:val="1"/>
    <w:qFormat/>
    <w:uiPriority w:val="0"/>
    <w:rPr>
      <w:rFonts w:ascii="Tahoma" w:hAnsi="Tahoma"/>
      <w:sz w:val="24"/>
      <w:szCs w:val="20"/>
    </w:rPr>
  </w:style>
  <w:style w:type="paragraph" w:customStyle="1" w:styleId="175">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6">
    <w:name w:val="缺省文本"/>
    <w:basedOn w:val="1"/>
    <w:qFormat/>
    <w:uiPriority w:val="0"/>
    <w:pPr>
      <w:autoSpaceDE w:val="0"/>
      <w:autoSpaceDN w:val="0"/>
      <w:adjustRightInd w:val="0"/>
      <w:jc w:val="left"/>
    </w:pPr>
    <w:rPr>
      <w:kern w:val="0"/>
      <w:sz w:val="24"/>
    </w:rPr>
  </w:style>
  <w:style w:type="paragraph" w:customStyle="1" w:styleId="177">
    <w:name w:val="Char Char Char1"/>
    <w:basedOn w:val="1"/>
    <w:qFormat/>
    <w:uiPriority w:val="0"/>
    <w:rPr>
      <w:rFonts w:ascii="Tahoma" w:hAnsi="Tahoma"/>
      <w:sz w:val="24"/>
      <w:szCs w:val="20"/>
    </w:rPr>
  </w:style>
  <w:style w:type="paragraph" w:customStyle="1" w:styleId="17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0">
    <w:name w:val="样式2"/>
    <w:basedOn w:val="40"/>
    <w:qFormat/>
    <w:uiPriority w:val="0"/>
    <w:pPr>
      <w:spacing w:line="360" w:lineRule="auto"/>
      <w:jc w:val="center"/>
    </w:pPr>
    <w:rPr>
      <w:sz w:val="24"/>
    </w:rPr>
  </w:style>
  <w:style w:type="paragraph" w:customStyle="1" w:styleId="1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3">
    <w:name w:val="正文 + 楷体_GB2312"/>
    <w:basedOn w:val="1"/>
    <w:qFormat/>
    <w:uiPriority w:val="0"/>
    <w:pPr>
      <w:widowControl/>
      <w:jc w:val="left"/>
    </w:pPr>
    <w:rPr>
      <w:rFonts w:ascii="楷体_GB2312" w:eastAsia="楷体_GB2312" w:cs="Arial"/>
      <w:kern w:val="0"/>
      <w:sz w:val="24"/>
    </w:rPr>
  </w:style>
  <w:style w:type="paragraph" w:customStyle="1" w:styleId="18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5">
    <w:name w:val="1 Char Char Char Char"/>
    <w:basedOn w:val="1"/>
    <w:qFormat/>
    <w:uiPriority w:val="0"/>
    <w:rPr>
      <w:rFonts w:ascii="Tahoma" w:hAnsi="Tahoma"/>
      <w:sz w:val="24"/>
      <w:szCs w:val="20"/>
    </w:rPr>
  </w:style>
  <w:style w:type="paragraph" w:customStyle="1" w:styleId="18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7">
    <w:name w:val="列出段落1"/>
    <w:basedOn w:val="1"/>
    <w:qFormat/>
    <w:uiPriority w:val="0"/>
    <w:pPr>
      <w:ind w:firstLine="420" w:firstLineChars="200"/>
    </w:pPr>
    <w:rPr>
      <w:rFonts w:ascii="Calibri" w:hAnsi="Calibri"/>
      <w:szCs w:val="22"/>
    </w:rPr>
  </w:style>
  <w:style w:type="paragraph" w:customStyle="1" w:styleId="18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9">
    <w:name w:val="字元 字元1"/>
    <w:basedOn w:val="1"/>
    <w:qFormat/>
    <w:uiPriority w:val="0"/>
    <w:rPr>
      <w:rFonts w:ascii="Tahoma" w:hAnsi="Tahoma"/>
      <w:sz w:val="24"/>
      <w:szCs w:val="20"/>
    </w:rPr>
  </w:style>
  <w:style w:type="paragraph" w:customStyle="1" w:styleId="190">
    <w:name w:val="_Style 160"/>
    <w:qFormat/>
    <w:uiPriority w:val="0"/>
    <w:rPr>
      <w:rFonts w:ascii="Times New Roman" w:hAnsi="Times New Roman" w:eastAsia="宋体" w:cs="Times New Roman"/>
      <w:kern w:val="2"/>
      <w:sz w:val="21"/>
      <w:szCs w:val="24"/>
      <w:lang w:val="en-US" w:eastAsia="zh-CN" w:bidi="ar-SA"/>
    </w:rPr>
  </w:style>
  <w:style w:type="paragraph" w:customStyle="1" w:styleId="191">
    <w:name w:val="项目编号3"/>
    <w:basedOn w:val="151"/>
    <w:qFormat/>
    <w:uiPriority w:val="0"/>
    <w:pPr>
      <w:numPr>
        <w:ilvl w:val="0"/>
        <w:numId w:val="6"/>
      </w:numPr>
    </w:pPr>
  </w:style>
  <w:style w:type="paragraph" w:customStyle="1" w:styleId="192">
    <w:name w:val="Char21"/>
    <w:basedOn w:val="1"/>
    <w:qFormat/>
    <w:uiPriority w:val="0"/>
    <w:rPr>
      <w:rFonts w:ascii="Tahoma" w:hAnsi="Tahoma"/>
      <w:sz w:val="24"/>
      <w:szCs w:val="20"/>
    </w:rPr>
  </w:style>
  <w:style w:type="paragraph" w:customStyle="1" w:styleId="193">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94">
    <w:name w:val="Char Char Char Char Char Char Char Char Char Char1"/>
    <w:basedOn w:val="1"/>
    <w:qFormat/>
    <w:uiPriority w:val="0"/>
    <w:rPr>
      <w:rFonts w:ascii="宋体" w:hAnsi="宋体" w:cs="Courier New"/>
      <w:sz w:val="32"/>
      <w:szCs w:val="32"/>
    </w:rPr>
  </w:style>
  <w:style w:type="paragraph" w:customStyle="1" w:styleId="195">
    <w:name w:val="正文文本样式 加粗"/>
    <w:basedOn w:val="151"/>
    <w:qFormat/>
    <w:uiPriority w:val="0"/>
    <w:rPr>
      <w:b/>
    </w:rPr>
  </w:style>
  <w:style w:type="paragraph" w:customStyle="1" w:styleId="196">
    <w:name w:val="Char2 Char Char Char Char Char Char"/>
    <w:basedOn w:val="1"/>
    <w:qFormat/>
    <w:uiPriority w:val="0"/>
    <w:pPr>
      <w:widowControl/>
      <w:spacing w:line="400" w:lineRule="exact"/>
      <w:jc w:val="center"/>
    </w:pPr>
  </w:style>
  <w:style w:type="paragraph" w:customStyle="1" w:styleId="197">
    <w:name w:val="Char Char4"/>
    <w:basedOn w:val="1"/>
    <w:qFormat/>
    <w:uiPriority w:val="0"/>
    <w:pPr>
      <w:widowControl/>
      <w:spacing w:line="400" w:lineRule="exact"/>
      <w:jc w:val="center"/>
    </w:pPr>
  </w:style>
  <w:style w:type="paragraph" w:customStyle="1" w:styleId="198">
    <w:name w:val="Char3 Char Char Char1"/>
    <w:basedOn w:val="1"/>
    <w:qFormat/>
    <w:uiPriority w:val="0"/>
    <w:rPr>
      <w:rFonts w:ascii="Tahoma" w:hAnsi="Tahoma"/>
      <w:sz w:val="24"/>
      <w:szCs w:val="20"/>
    </w:rPr>
  </w:style>
  <w:style w:type="paragraph" w:styleId="199">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0">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201">
    <w:name w:val="中等深浅网格 1 - 强调文字颜色 2 Char"/>
    <w:link w:val="202"/>
    <w:qFormat/>
    <w:uiPriority w:val="0"/>
    <w:rPr>
      <w:kern w:val="2"/>
      <w:sz w:val="21"/>
      <w:szCs w:val="24"/>
      <w:lang w:val="zh-CN" w:eastAsia="zh-CN"/>
    </w:rPr>
  </w:style>
  <w:style w:type="paragraph" w:customStyle="1" w:styleId="202">
    <w:name w:val="1"/>
    <w:link w:val="201"/>
    <w:qFormat/>
    <w:uiPriority w:val="0"/>
    <w:rPr>
      <w:rFonts w:ascii="Times New Roman" w:hAnsi="Times New Roman" w:eastAsia="宋体" w:cs="Times New Roman"/>
      <w:kern w:val="2"/>
      <w:sz w:val="21"/>
      <w:szCs w:val="24"/>
      <w:lang w:val="zh-CN" w:eastAsia="zh-CN" w:bidi="ar-SA"/>
    </w:rPr>
  </w:style>
  <w:style w:type="paragraph" w:customStyle="1" w:styleId="203">
    <w:name w:val="图文"/>
    <w:basedOn w:val="1"/>
    <w:qFormat/>
    <w:uiPriority w:val="0"/>
    <w:pPr>
      <w:adjustRightInd w:val="0"/>
      <w:snapToGrid w:val="0"/>
      <w:spacing w:after="50" w:line="360" w:lineRule="auto"/>
    </w:pPr>
    <w:rPr>
      <w:sz w:val="24"/>
    </w:rPr>
  </w:style>
  <w:style w:type="paragraph" w:customStyle="1" w:styleId="204">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5">
    <w:name w:val="正文表格"/>
    <w:basedOn w:val="1"/>
    <w:link w:val="206"/>
    <w:qFormat/>
    <w:uiPriority w:val="0"/>
    <w:pPr>
      <w:adjustRightInd w:val="0"/>
      <w:snapToGrid w:val="0"/>
      <w:jc w:val="left"/>
    </w:pPr>
    <w:rPr>
      <w:rFonts w:ascii="宋体" w:hAnsi="宋体"/>
      <w:color w:val="000000"/>
      <w:szCs w:val="21"/>
    </w:rPr>
  </w:style>
  <w:style w:type="character" w:customStyle="1" w:styleId="206">
    <w:name w:val="正文表格 Char"/>
    <w:link w:val="205"/>
    <w:qFormat/>
    <w:uiPriority w:val="0"/>
    <w:rPr>
      <w:rFonts w:ascii="宋体" w:hAnsi="宋体"/>
      <w:color w:val="000000"/>
      <w:kern w:val="2"/>
      <w:sz w:val="21"/>
      <w:szCs w:val="21"/>
    </w:rPr>
  </w:style>
  <w:style w:type="paragraph" w:customStyle="1" w:styleId="207">
    <w:name w:val="正文重点"/>
    <w:basedOn w:val="1"/>
    <w:link w:val="208"/>
    <w:qFormat/>
    <w:uiPriority w:val="0"/>
    <w:pPr>
      <w:adjustRightInd w:val="0"/>
      <w:spacing w:line="360" w:lineRule="auto"/>
      <w:ind w:firstLine="482" w:firstLineChars="200"/>
      <w:jc w:val="left"/>
      <w:textAlignment w:val="baseline"/>
    </w:pPr>
    <w:rPr>
      <w:b/>
      <w:kern w:val="0"/>
      <w:sz w:val="24"/>
      <w:szCs w:val="20"/>
    </w:rPr>
  </w:style>
  <w:style w:type="character" w:customStyle="1" w:styleId="208">
    <w:name w:val="正文重点 Char"/>
    <w:link w:val="207"/>
    <w:qFormat/>
    <w:uiPriority w:val="0"/>
    <w:rPr>
      <w:b/>
      <w:sz w:val="24"/>
    </w:rPr>
  </w:style>
  <w:style w:type="paragraph" w:customStyle="1" w:styleId="209">
    <w:name w:val="标题1-附件"/>
    <w:basedOn w:val="2"/>
    <w:qFormat/>
    <w:uiPriority w:val="0"/>
    <w:pPr>
      <w:jc w:val="left"/>
    </w:pPr>
    <w:rPr>
      <w:sz w:val="24"/>
      <w:szCs w:val="24"/>
    </w:rPr>
  </w:style>
  <w:style w:type="paragraph" w:customStyle="1" w:styleId="210">
    <w:name w:val="正文小标题"/>
    <w:basedOn w:val="1"/>
    <w:next w:val="4"/>
    <w:link w:val="211"/>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1">
    <w:name w:val="正文小标题 Char"/>
    <w:link w:val="210"/>
    <w:qFormat/>
    <w:uiPriority w:val="0"/>
    <w:rPr>
      <w:rFonts w:ascii="宋体" w:hAnsi="宋体"/>
      <w:b/>
      <w:i/>
      <w:color w:val="FF0000"/>
      <w:kern w:val="2"/>
      <w:sz w:val="24"/>
    </w:rPr>
  </w:style>
  <w:style w:type="paragraph" w:customStyle="1" w:styleId="212">
    <w:name w:val="正文大标题"/>
    <w:basedOn w:val="210"/>
    <w:next w:val="4"/>
    <w:link w:val="213"/>
    <w:qFormat/>
    <w:uiPriority w:val="0"/>
    <w:pPr>
      <w:jc w:val="center"/>
    </w:pPr>
    <w:rPr>
      <w:i w:val="0"/>
      <w:color w:val="000000"/>
      <w:sz w:val="28"/>
      <w:szCs w:val="21"/>
    </w:rPr>
  </w:style>
  <w:style w:type="character" w:customStyle="1" w:styleId="213">
    <w:name w:val="正文大标题 Char"/>
    <w:link w:val="212"/>
    <w:qFormat/>
    <w:uiPriority w:val="0"/>
    <w:rPr>
      <w:rFonts w:ascii="宋体" w:hAnsi="宋体"/>
      <w:b/>
      <w:color w:val="000000"/>
      <w:kern w:val="2"/>
      <w:sz w:val="28"/>
      <w:szCs w:val="21"/>
    </w:rPr>
  </w:style>
  <w:style w:type="paragraph" w:customStyle="1" w:styleId="214">
    <w:name w:val="注释"/>
    <w:basedOn w:val="1"/>
    <w:link w:val="215"/>
    <w:qFormat/>
    <w:uiPriority w:val="0"/>
    <w:pPr>
      <w:adjustRightInd w:val="0"/>
      <w:snapToGrid w:val="0"/>
      <w:ind w:left="420" w:hanging="420" w:hangingChars="200"/>
      <w:jc w:val="left"/>
    </w:pPr>
    <w:rPr>
      <w:rFonts w:ascii="宋体" w:hAnsi="宋体"/>
      <w:szCs w:val="21"/>
    </w:rPr>
  </w:style>
  <w:style w:type="character" w:customStyle="1" w:styleId="215">
    <w:name w:val="注释 Char"/>
    <w:link w:val="214"/>
    <w:qFormat/>
    <w:uiPriority w:val="0"/>
    <w:rPr>
      <w:rFonts w:ascii="宋体" w:hAnsi="宋体"/>
      <w:kern w:val="2"/>
      <w:sz w:val="21"/>
      <w:szCs w:val="21"/>
    </w:rPr>
  </w:style>
  <w:style w:type="paragraph" w:customStyle="1" w:styleId="216">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7">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8">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9">
    <w:name w:val="纯文本 字符"/>
    <w:qFormat/>
    <w:uiPriority w:val="99"/>
    <w:rPr>
      <w:rFonts w:ascii="宋体" w:hAnsi="Courier New" w:eastAsia="宋体" w:cs="Times New Roman"/>
      <w:kern w:val="2"/>
      <w:sz w:val="21"/>
      <w:szCs w:val="21"/>
      <w:lang w:val="en-US" w:eastAsia="zh-CN" w:bidi="ar-SA"/>
    </w:rPr>
  </w:style>
  <w:style w:type="paragraph" w:customStyle="1" w:styleId="220">
    <w:name w:val="表格1"/>
    <w:basedOn w:val="1"/>
    <w:qFormat/>
    <w:uiPriority w:val="0"/>
    <w:pPr>
      <w:ind w:firstLine="480" w:firstLineChars="200"/>
      <w:jc w:val="center"/>
    </w:pPr>
    <w:rPr>
      <w:sz w:val="24"/>
      <w:szCs w:val="20"/>
    </w:rPr>
  </w:style>
  <w:style w:type="character" w:customStyle="1" w:styleId="221">
    <w:name w:val="纯文本 字符1"/>
    <w:qFormat/>
    <w:uiPriority w:val="0"/>
    <w:rPr>
      <w:rFonts w:ascii="宋体" w:hAnsi="Courier New"/>
    </w:rPr>
  </w:style>
  <w:style w:type="character" w:customStyle="1" w:styleId="222">
    <w:name w:val="bjh-p"/>
    <w:qFormat/>
    <w:uiPriority w:val="0"/>
  </w:style>
  <w:style w:type="paragraph" w:customStyle="1" w:styleId="22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4">
    <w:name w:val="正文格式 Char"/>
    <w:link w:val="225"/>
    <w:qFormat/>
    <w:locked/>
    <w:uiPriority w:val="0"/>
    <w:rPr>
      <w:rFonts w:ascii="宋体" w:hAnsi="宋体"/>
      <w:sz w:val="24"/>
      <w:szCs w:val="24"/>
      <w:lang w:val="en-GB"/>
    </w:rPr>
  </w:style>
  <w:style w:type="paragraph" w:customStyle="1" w:styleId="225">
    <w:name w:val="正文格式"/>
    <w:basedOn w:val="1"/>
    <w:link w:val="224"/>
    <w:qFormat/>
    <w:uiPriority w:val="0"/>
    <w:pPr>
      <w:spacing w:beforeLines="50" w:line="360" w:lineRule="auto"/>
      <w:ind w:firstLine="480" w:firstLineChars="200"/>
    </w:pPr>
    <w:rPr>
      <w:rFonts w:ascii="宋体" w:hAnsi="宋体"/>
      <w:kern w:val="0"/>
      <w:sz w:val="24"/>
      <w:lang w:val="en-GB"/>
    </w:rPr>
  </w:style>
  <w:style w:type="character" w:customStyle="1" w:styleId="226">
    <w:name w:val="标题 3 Char"/>
    <w:qFormat/>
    <w:uiPriority w:val="0"/>
    <w:rPr>
      <w:rFonts w:ascii="宋体" w:eastAsia="宋体"/>
      <w:b/>
      <w:sz w:val="24"/>
      <w:u w:val="single"/>
      <w:lang w:val="en-US" w:eastAsia="zh-CN" w:bidi="ar-SA"/>
    </w:rPr>
  </w:style>
  <w:style w:type="character" w:customStyle="1" w:styleId="227">
    <w:name w:val="正文缩进 Char"/>
    <w:qFormat/>
    <w:uiPriority w:val="0"/>
    <w:rPr>
      <w:rFonts w:ascii="宋体" w:eastAsia="宋体"/>
      <w:kern w:val="2"/>
      <w:sz w:val="24"/>
      <w:szCs w:val="24"/>
      <w:lang w:val="en-US" w:eastAsia="zh-CN" w:bidi="ar-SA"/>
    </w:rPr>
  </w:style>
  <w:style w:type="character" w:customStyle="1" w:styleId="228">
    <w:name w:val="Char Char111"/>
    <w:qFormat/>
    <w:uiPriority w:val="0"/>
    <w:rPr>
      <w:rFonts w:ascii="宋体" w:eastAsia="宋体"/>
      <w:b/>
      <w:sz w:val="24"/>
      <w:u w:val="single"/>
      <w:lang w:val="en-US" w:eastAsia="zh-CN" w:bidi="ar-SA"/>
    </w:rPr>
  </w:style>
  <w:style w:type="character" w:customStyle="1" w:styleId="229">
    <w:name w:val="正文文本缩进 Char"/>
    <w:qFormat/>
    <w:uiPriority w:val="0"/>
    <w:rPr>
      <w:rFonts w:eastAsia="宋体"/>
      <w:kern w:val="2"/>
      <w:sz w:val="24"/>
      <w:szCs w:val="24"/>
      <w:lang w:val="en-US" w:eastAsia="zh-CN" w:bidi="ar-SA"/>
    </w:rPr>
  </w:style>
  <w:style w:type="character" w:customStyle="1" w:styleId="230">
    <w:name w:val="列出段落 Char"/>
    <w:qFormat/>
    <w:uiPriority w:val="0"/>
    <w:rPr>
      <w:rFonts w:ascii="Calibri" w:hAnsi="Calibri" w:eastAsia="宋体"/>
      <w:kern w:val="2"/>
      <w:sz w:val="21"/>
      <w:szCs w:val="22"/>
      <w:lang w:val="en-US" w:eastAsia="zh-CN" w:bidi="ar-SA"/>
    </w:rPr>
  </w:style>
  <w:style w:type="character" w:customStyle="1" w:styleId="231">
    <w:name w:val="页眉 Char"/>
    <w:qFormat/>
    <w:uiPriority w:val="0"/>
    <w:rPr>
      <w:rFonts w:eastAsia="宋体"/>
      <w:kern w:val="2"/>
      <w:sz w:val="18"/>
      <w:szCs w:val="18"/>
      <w:lang w:val="en-US" w:eastAsia="zh-CN" w:bidi="ar-SA"/>
    </w:rPr>
  </w:style>
  <w:style w:type="character" w:customStyle="1" w:styleId="232">
    <w:name w:val="标题 2 Char"/>
    <w:qFormat/>
    <w:uiPriority w:val="0"/>
    <w:rPr>
      <w:rFonts w:ascii="Arial" w:hAnsi="Arial" w:eastAsia="黑体"/>
      <w:b/>
      <w:sz w:val="30"/>
      <w:lang w:val="en-US" w:eastAsia="zh-CN" w:bidi="ar-SA"/>
    </w:rPr>
  </w:style>
  <w:style w:type="paragraph" w:customStyle="1" w:styleId="233">
    <w:name w:val="字元 字元2"/>
    <w:basedOn w:val="1"/>
    <w:qFormat/>
    <w:uiPriority w:val="0"/>
    <w:rPr>
      <w:rFonts w:ascii="Tahoma" w:hAnsi="Tahoma"/>
      <w:sz w:val="24"/>
      <w:szCs w:val="20"/>
    </w:rPr>
  </w:style>
  <w:style w:type="paragraph" w:customStyle="1" w:styleId="234">
    <w:name w:val="Char3 Char Char Char2"/>
    <w:basedOn w:val="1"/>
    <w:qFormat/>
    <w:uiPriority w:val="0"/>
    <w:rPr>
      <w:rFonts w:ascii="Tahoma" w:hAnsi="Tahoma"/>
      <w:sz w:val="24"/>
      <w:szCs w:val="20"/>
    </w:rPr>
  </w:style>
  <w:style w:type="paragraph" w:customStyle="1" w:styleId="23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6">
    <w:name w:val="Char3"/>
    <w:basedOn w:val="1"/>
    <w:qFormat/>
    <w:uiPriority w:val="0"/>
    <w:pPr>
      <w:tabs>
        <w:tab w:val="left" w:pos="360"/>
      </w:tabs>
    </w:pPr>
    <w:rPr>
      <w:sz w:val="24"/>
    </w:rPr>
  </w:style>
  <w:style w:type="paragraph" w:customStyle="1" w:styleId="23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9">
    <w:name w:val="列出段落2"/>
    <w:basedOn w:val="1"/>
    <w:qFormat/>
    <w:uiPriority w:val="0"/>
    <w:pPr>
      <w:ind w:firstLine="420" w:firstLineChars="200"/>
    </w:pPr>
    <w:rPr>
      <w:rFonts w:ascii="Calibri" w:hAnsi="Calibri"/>
      <w:szCs w:val="22"/>
    </w:rPr>
  </w:style>
  <w:style w:type="paragraph" w:customStyle="1" w:styleId="240">
    <w:name w:val="Char Char Char1 Char2"/>
    <w:basedOn w:val="1"/>
    <w:qFormat/>
    <w:uiPriority w:val="0"/>
    <w:rPr>
      <w:rFonts w:ascii="Tahoma" w:hAnsi="Tahoma"/>
      <w:sz w:val="24"/>
      <w:szCs w:val="20"/>
    </w:rPr>
  </w:style>
  <w:style w:type="paragraph" w:customStyle="1" w:styleId="241">
    <w:name w:val="Char Char Char2"/>
    <w:basedOn w:val="1"/>
    <w:qFormat/>
    <w:uiPriority w:val="0"/>
    <w:rPr>
      <w:rFonts w:ascii="Tahoma" w:hAnsi="Tahoma"/>
      <w:sz w:val="24"/>
      <w:szCs w:val="20"/>
    </w:rPr>
  </w:style>
  <w:style w:type="paragraph" w:customStyle="1" w:styleId="24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4">
    <w:name w:val="修订1"/>
    <w:qFormat/>
    <w:uiPriority w:val="0"/>
    <w:rPr>
      <w:rFonts w:ascii="Times New Roman" w:hAnsi="Times New Roman" w:eastAsia="宋体" w:cs="Times New Roman"/>
      <w:kern w:val="2"/>
      <w:sz w:val="21"/>
      <w:szCs w:val="24"/>
      <w:lang w:val="en-US" w:eastAsia="zh-CN" w:bidi="ar-SA"/>
    </w:rPr>
  </w:style>
  <w:style w:type="paragraph" w:customStyle="1" w:styleId="245">
    <w:name w:val="Char22"/>
    <w:basedOn w:val="1"/>
    <w:qFormat/>
    <w:uiPriority w:val="0"/>
    <w:rPr>
      <w:rFonts w:ascii="Tahoma" w:hAnsi="Tahoma"/>
      <w:sz w:val="24"/>
      <w:szCs w:val="20"/>
    </w:rPr>
  </w:style>
  <w:style w:type="paragraph" w:customStyle="1" w:styleId="246">
    <w:name w:val="Char Char Char Char Char Char Char Char Char Char2"/>
    <w:basedOn w:val="1"/>
    <w:qFormat/>
    <w:uiPriority w:val="0"/>
    <w:rPr>
      <w:rFonts w:ascii="宋体" w:hAnsi="宋体" w:cs="Courier New"/>
      <w:sz w:val="32"/>
      <w:szCs w:val="32"/>
    </w:rPr>
  </w:style>
  <w:style w:type="paragraph" w:customStyle="1" w:styleId="247">
    <w:name w:val="Char2 Char Char Char Char Char Char1"/>
    <w:basedOn w:val="1"/>
    <w:qFormat/>
    <w:uiPriority w:val="0"/>
    <w:pPr>
      <w:widowControl/>
      <w:spacing w:line="400" w:lineRule="exact"/>
      <w:jc w:val="center"/>
    </w:pPr>
  </w:style>
  <w:style w:type="character" w:customStyle="1" w:styleId="248">
    <w:name w:val="页脚 Char"/>
    <w:qFormat/>
    <w:uiPriority w:val="0"/>
    <w:rPr>
      <w:rFonts w:ascii="宋体" w:eastAsia="宋体"/>
      <w:sz w:val="18"/>
      <w:lang w:val="en-US" w:eastAsia="zh-CN" w:bidi="ar-SA"/>
    </w:rPr>
  </w:style>
  <w:style w:type="paragraph" w:customStyle="1" w:styleId="249">
    <w:name w:val="Char Char41"/>
    <w:basedOn w:val="1"/>
    <w:qFormat/>
    <w:uiPriority w:val="0"/>
    <w:pPr>
      <w:widowControl/>
      <w:spacing w:line="400" w:lineRule="exact"/>
      <w:jc w:val="center"/>
    </w:pPr>
  </w:style>
  <w:style w:type="character" w:customStyle="1" w:styleId="250">
    <w:name w:val="批注文字 Char"/>
    <w:qFormat/>
    <w:uiPriority w:val="99"/>
    <w:rPr>
      <w:kern w:val="2"/>
      <w:sz w:val="21"/>
      <w:szCs w:val="24"/>
    </w:rPr>
  </w:style>
  <w:style w:type="character" w:customStyle="1" w:styleId="251">
    <w:name w:val="标题 Char"/>
    <w:qFormat/>
    <w:uiPriority w:val="0"/>
    <w:rPr>
      <w:b/>
      <w:kern w:val="2"/>
      <w:sz w:val="32"/>
    </w:rPr>
  </w:style>
  <w:style w:type="paragraph" w:customStyle="1" w:styleId="252">
    <w:name w:val="图例"/>
    <w:basedOn w:val="1"/>
    <w:qFormat/>
    <w:uiPriority w:val="0"/>
    <w:pPr>
      <w:spacing w:before="120" w:after="120" w:line="360" w:lineRule="auto"/>
      <w:jc w:val="center"/>
    </w:pPr>
    <w:rPr>
      <w:rFonts w:eastAsia="仿宋_GB2312"/>
      <w:b/>
      <w:sz w:val="24"/>
      <w:szCs w:val="20"/>
    </w:rPr>
  </w:style>
  <w:style w:type="table" w:customStyle="1" w:styleId="253">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4">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5">
    <w:name w:val="表格内容"/>
    <w:basedOn w:val="1"/>
    <w:qFormat/>
    <w:uiPriority w:val="0"/>
    <w:pPr>
      <w:spacing w:line="300" w:lineRule="auto"/>
      <w:ind w:firstLine="50" w:firstLineChars="50"/>
    </w:pPr>
    <w:rPr>
      <w:szCs w:val="21"/>
    </w:rPr>
  </w:style>
  <w:style w:type="paragraph" w:customStyle="1" w:styleId="256">
    <w:name w:val="样式 样式 样式 样式 标题 2 + 宋体 五号 非加粗 黑色 + 段前: 6 磅 段后: 0 磅 行距: 单倍行距 + 段前:..."/>
    <w:basedOn w:val="1"/>
    <w:qFormat/>
    <w:uiPriority w:val="0"/>
    <w:pPr>
      <w:keepNext/>
      <w:keepLines/>
      <w:adjustRightInd w:val="0"/>
      <w:spacing w:before="240"/>
      <w:jc w:val="left"/>
      <w:textAlignment w:val="baseline"/>
      <w:outlineLvl w:val="1"/>
    </w:pPr>
    <w:rPr>
      <w:rFonts w:ascii="宋体" w:hAnsi="宋体" w:cs="宋体"/>
      <w:b/>
      <w:bCs/>
      <w:color w:val="000000"/>
      <w:kern w:val="0"/>
      <w:szCs w:val="20"/>
    </w:rPr>
  </w:style>
  <w:style w:type="paragraph" w:customStyle="1" w:styleId="257">
    <w:name w:val="样式 标题 2 + Times New Roman 四号 非加粗 段前: 5 磅 段后: 0 磅 行距: 固定值 20..."/>
    <w:basedOn w:val="3"/>
    <w:next w:val="33"/>
    <w:qFormat/>
    <w:uiPriority w:val="0"/>
    <w:pPr>
      <w:widowControl w:val="0"/>
      <w:spacing w:beforeLines="50" w:afterLines="50" w:line="360" w:lineRule="auto"/>
      <w:jc w:val="both"/>
    </w:pPr>
    <w:rPr>
      <w:rFonts w:hAnsi="Times New Roman" w:cs="宋体"/>
      <w:color w:val="auto"/>
      <w:sz w:val="28"/>
      <w:szCs w:val="20"/>
    </w:rPr>
  </w:style>
  <w:style w:type="character" w:customStyle="1" w:styleId="258">
    <w:name w:val="font31"/>
    <w:basedOn w:val="48"/>
    <w:qFormat/>
    <w:uiPriority w:val="0"/>
    <w:rPr>
      <w:rFonts w:ascii="宋体" w:hAnsi="宋体" w:eastAsia="宋体" w:cs="宋体"/>
      <w:color w:val="000000"/>
      <w:sz w:val="22"/>
      <w:szCs w:val="22"/>
      <w:u w:val="none"/>
    </w:rPr>
  </w:style>
  <w:style w:type="paragraph" w:customStyle="1" w:styleId="259">
    <w:name w:val="_Style 13"/>
    <w:qFormat/>
    <w:uiPriority w:val="0"/>
    <w:pPr>
      <w:spacing w:before="120" w:after="120" w:line="288" w:lineRule="auto"/>
      <w:ind w:left="0"/>
      <w:jc w:val="left"/>
    </w:pPr>
    <w:rPr>
      <w:rFonts w:ascii="Arial" w:hAnsi="Arial" w:eastAsia="等线" w:cs="Arial"/>
      <w:sz w:val="22"/>
      <w:szCs w:val="22"/>
    </w:rPr>
  </w:style>
  <w:style w:type="character" w:customStyle="1" w:styleId="260">
    <w:name w:val="font01"/>
    <w:basedOn w:val="48"/>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90</Pages>
  <Words>22377</Words>
  <Characters>23346</Characters>
  <Lines>333</Lines>
  <Paragraphs>93</Paragraphs>
  <TotalTime>54</TotalTime>
  <ScaleCrop>false</ScaleCrop>
  <LinksUpToDate>false</LinksUpToDate>
  <CharactersWithSpaces>23685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Piggy</cp:lastModifiedBy>
  <cp:lastPrinted>2025-06-23T06:50:00Z</cp:lastPrinted>
  <dcterms:modified xsi:type="dcterms:W3CDTF">2026-09-01T10:29:53Z</dcterms:modified>
  <dc:title>02年杜范本稿</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A1FA376B77494A9A8A4AED3BAEEEBD19_13</vt:lpwstr>
  </property>
  <property fmtid="{D5CDD505-2E9C-101B-9397-08002B2CF9AE}" pid="4" name="KSOTemplateDocerSaveRecord">
    <vt:lpwstr>eyJoZGlkIjoiN2VjNTE1NzZiZmVmMTgwNmM4NWVmZDBmYzlkZjIxOGUiLCJ1c2VySWQiOiI5NDczMDY4NjUifQ==</vt:lpwstr>
  </property>
</Properties>
</file>