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color w:val="000000" w:themeColor="text1"/>
          <w:sz w:val="60"/>
          <w:szCs w:val="60"/>
          <w14:textFill>
            <w14:solidFill>
              <w14:schemeClr w14:val="tx1"/>
            </w14:solidFill>
          </w14:textFill>
        </w:rPr>
      </w:pPr>
    </w:p>
    <w:p>
      <w:pPr>
        <w:spacing w:line="360" w:lineRule="auto"/>
        <w:ind w:firstLine="300" w:firstLineChars="50"/>
        <w:rPr>
          <w:color w:val="000000" w:themeColor="text1"/>
          <w:sz w:val="60"/>
          <w:szCs w:val="60"/>
          <w14:textFill>
            <w14:solidFill>
              <w14:schemeClr w14:val="tx1"/>
            </w14:solidFill>
          </w14:textFill>
        </w:rPr>
      </w:pP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北京市政府采购项目</w:t>
      </w: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公开招标文件示范文本</w:t>
      </w: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（2026年版）</w:t>
      </w:r>
    </w:p>
    <w:p>
      <w:pPr>
        <w:spacing w:line="360" w:lineRule="auto"/>
        <w:jc w:val="center"/>
        <w:rPr>
          <w:color w:val="000000" w:themeColor="text1"/>
          <w:sz w:val="60"/>
          <w:szCs w:val="60"/>
          <w14:textFill>
            <w14:solidFill>
              <w14:schemeClr w14:val="tx1"/>
            </w14:solidFill>
          </w14:textFill>
        </w:rPr>
      </w:pPr>
    </w:p>
    <w:p>
      <w:pPr>
        <w:tabs>
          <w:tab w:val="left" w:pos="3240"/>
          <w:tab w:val="left" w:pos="3420"/>
        </w:tabs>
        <w:spacing w:line="360" w:lineRule="auto"/>
        <w:ind w:left="2832" w:leftChars="444" w:hanging="1900" w:hangingChars="528"/>
        <w:jc w:val="left"/>
        <w:rPr>
          <w:rFonts w:hint="eastAsia" w:eastAsia="宋体"/>
          <w:bCs/>
          <w:color w:val="000000" w:themeColor="text1"/>
          <w:sz w:val="36"/>
          <w:szCs w:val="36"/>
          <w:lang w:eastAsia="zh-CN"/>
          <w14:textFill>
            <w14:solidFill>
              <w14:schemeClr w14:val="tx1"/>
            </w14:solidFill>
          </w14:textFill>
        </w:rPr>
      </w:pPr>
      <w:r>
        <w:rPr>
          <w:bCs/>
          <w:color w:val="000000" w:themeColor="text1"/>
          <w:sz w:val="36"/>
          <w:szCs w:val="36"/>
          <w14:textFill>
            <w14:solidFill>
              <w14:schemeClr w14:val="tx1"/>
            </w14:solidFill>
          </w14:textFill>
        </w:rPr>
        <w:t>项目名称：</w:t>
      </w:r>
      <w:r>
        <w:rPr>
          <w:rFonts w:hint="eastAsia" w:eastAsiaTheme="minorEastAsia"/>
          <w:bCs/>
          <w:color w:val="000000" w:themeColor="text1"/>
          <w:sz w:val="36"/>
          <w:szCs w:val="36"/>
          <w:lang w:eastAsia="zh-CN"/>
          <w14:textFill>
            <w14:solidFill>
              <w14:schemeClr w14:val="tx1"/>
            </w14:solidFill>
          </w14:textFill>
        </w:rPr>
        <w:t>北京市顺义区医院放射科西门子CT(SOMATOMgo.up)保修服务购置项目</w:t>
      </w:r>
    </w:p>
    <w:p>
      <w:pPr>
        <w:tabs>
          <w:tab w:val="left" w:pos="3240"/>
          <w:tab w:val="left" w:pos="3420"/>
        </w:tabs>
        <w:spacing w:line="360" w:lineRule="auto"/>
        <w:ind w:left="2832" w:leftChars="444" w:hanging="1900" w:hangingChars="528"/>
        <w:jc w:val="left"/>
        <w:rPr>
          <w:rFonts w:hint="default" w:eastAsia="宋体"/>
          <w:bCs/>
          <w:color w:val="000000" w:themeColor="text1"/>
          <w:sz w:val="36"/>
          <w:szCs w:val="36"/>
          <w:lang w:val="en-US" w:eastAsia="zh-CN"/>
          <w14:textFill>
            <w14:solidFill>
              <w14:schemeClr w14:val="tx1"/>
            </w14:solidFill>
          </w14:textFill>
        </w:rPr>
      </w:pPr>
      <w:r>
        <w:rPr>
          <w:bCs/>
          <w:color w:val="000000" w:themeColor="text1"/>
          <w:sz w:val="36"/>
          <w:szCs w:val="36"/>
          <w14:textFill>
            <w14:solidFill>
              <w14:schemeClr w14:val="tx1"/>
            </w14:solidFill>
          </w14:textFill>
        </w:rPr>
        <w:t>项目编号/包号：</w:t>
      </w:r>
      <w:r>
        <w:rPr>
          <w:rFonts w:hint="eastAsia"/>
          <w:bCs/>
          <w:color w:val="000000" w:themeColor="text1"/>
          <w:sz w:val="36"/>
          <w:szCs w:val="36"/>
          <w:lang w:eastAsia="zh-CN"/>
          <w14:textFill>
            <w14:solidFill>
              <w14:schemeClr w14:val="tx1"/>
            </w14:solidFill>
          </w14:textFill>
        </w:rPr>
        <w:t>11011326210200027512-XM001</w:t>
      </w:r>
      <w:r>
        <w:rPr>
          <w:rFonts w:hint="eastAsia"/>
          <w:bCs/>
          <w:color w:val="000000" w:themeColor="text1"/>
          <w:sz w:val="36"/>
          <w:szCs w:val="36"/>
          <w:lang w:val="en-US" w:eastAsia="zh-CN"/>
          <w14:textFill>
            <w14:solidFill>
              <w14:schemeClr w14:val="tx1"/>
            </w14:solidFill>
          </w14:textFill>
        </w:rPr>
        <w:t>/1</w:t>
      </w:r>
    </w:p>
    <w:p>
      <w:pPr>
        <w:tabs>
          <w:tab w:val="left" w:pos="3240"/>
          <w:tab w:val="left" w:pos="3420"/>
        </w:tabs>
        <w:spacing w:line="360" w:lineRule="auto"/>
        <w:ind w:left="2832" w:leftChars="444" w:hanging="1900" w:hangingChars="528"/>
        <w:jc w:val="left"/>
        <w:rPr>
          <w:rFonts w:hint="eastAsia" w:eastAsia="宋体"/>
          <w:bCs/>
          <w:color w:val="000000" w:themeColor="text1"/>
          <w:sz w:val="36"/>
          <w:szCs w:val="36"/>
          <w:lang w:eastAsia="zh-CN"/>
          <w14:textFill>
            <w14:solidFill>
              <w14:schemeClr w14:val="tx1"/>
            </w14:solidFill>
          </w14:textFill>
        </w:rPr>
      </w:pPr>
      <w:r>
        <w:rPr>
          <w:bCs/>
          <w:color w:val="000000" w:themeColor="text1"/>
          <w:sz w:val="36"/>
          <w:szCs w:val="36"/>
          <w14:textFill>
            <w14:solidFill>
              <w14:schemeClr w14:val="tx1"/>
            </w14:solidFill>
          </w14:textFill>
        </w:rPr>
        <w:t>采 购 人：</w:t>
      </w:r>
      <w:r>
        <w:rPr>
          <w:rFonts w:hint="eastAsia" w:eastAsiaTheme="minorEastAsia"/>
          <w:bCs/>
          <w:color w:val="000000" w:themeColor="text1"/>
          <w:sz w:val="36"/>
          <w:szCs w:val="36"/>
          <w:lang w:eastAsia="zh-CN"/>
          <w14:textFill>
            <w14:solidFill>
              <w14:schemeClr w14:val="tx1"/>
            </w14:solidFill>
          </w14:textFill>
        </w:rPr>
        <w:t>北京市顺义区医院</w:t>
      </w:r>
    </w:p>
    <w:p>
      <w:pPr>
        <w:tabs>
          <w:tab w:val="left" w:pos="3240"/>
          <w:tab w:val="left" w:pos="3420"/>
        </w:tabs>
        <w:spacing w:line="360" w:lineRule="auto"/>
        <w:ind w:left="2832" w:leftChars="444" w:hanging="1900" w:hangingChars="528"/>
        <w:jc w:val="left"/>
        <w:rPr>
          <w:rFonts w:hint="eastAsia" w:eastAsia="宋体"/>
          <w:bCs/>
          <w:color w:val="000000" w:themeColor="text1"/>
          <w:sz w:val="36"/>
          <w:szCs w:val="36"/>
          <w:lang w:eastAsia="zh-CN"/>
          <w14:textFill>
            <w14:solidFill>
              <w14:schemeClr w14:val="tx1"/>
            </w14:solidFill>
          </w14:textFill>
        </w:rPr>
      </w:pPr>
      <w:r>
        <w:rPr>
          <w:bCs/>
          <w:color w:val="000000" w:themeColor="text1"/>
          <w:sz w:val="36"/>
          <w:szCs w:val="36"/>
          <w14:textFill>
            <w14:solidFill>
              <w14:schemeClr w14:val="tx1"/>
            </w14:solidFill>
          </w14:textFill>
        </w:rPr>
        <w:t>采购代理机构：</w:t>
      </w:r>
      <w:r>
        <w:rPr>
          <w:rFonts w:hint="eastAsia" w:eastAsiaTheme="minorEastAsia"/>
          <w:bCs/>
          <w:color w:val="000000" w:themeColor="text1"/>
          <w:sz w:val="36"/>
          <w:szCs w:val="36"/>
          <w:lang w:eastAsia="zh-CN"/>
          <w14:textFill>
            <w14:solidFill>
              <w14:schemeClr w14:val="tx1"/>
            </w14:solidFill>
          </w14:textFill>
        </w:rPr>
        <w:t>北京北咨招标有限公司</w:t>
      </w:r>
    </w:p>
    <w:p>
      <w:pPr>
        <w:widowControl/>
        <w:jc w:val="left"/>
        <w:rPr>
          <w:b/>
          <w:bCs/>
          <w:color w:val="000000" w:themeColor="text1"/>
          <w:sz w:val="44"/>
          <w14:textFill>
            <w14:solidFill>
              <w14:schemeClr w14:val="tx1"/>
            </w14:solidFill>
          </w14:textFill>
        </w:rPr>
      </w:pPr>
      <w:r>
        <w:rPr>
          <w:b/>
          <w:bCs/>
          <w:color w:val="000000" w:themeColor="text1"/>
          <w:sz w:val="44"/>
          <w14:textFill>
            <w14:solidFill>
              <w14:schemeClr w14:val="tx1"/>
            </w14:solidFill>
          </w14:textFill>
        </w:rPr>
        <w:br w:type="page"/>
      </w:r>
    </w:p>
    <w:p>
      <w:pPr>
        <w:spacing w:line="360" w:lineRule="auto"/>
        <w:rPr>
          <w:b/>
          <w:color w:val="000000" w:themeColor="text1"/>
          <w:sz w:val="36"/>
          <w:szCs w:val="36"/>
          <w14:textFill>
            <w14:solidFill>
              <w14:schemeClr w14:val="tx1"/>
            </w14:solidFill>
          </w14:textFill>
        </w:rPr>
      </w:pPr>
      <w:bookmarkStart w:id="0" w:name="_Toc74227630"/>
      <w:bookmarkStart w:id="1" w:name="_Toc99301417"/>
    </w:p>
    <w:bookmarkEnd w:id="0"/>
    <w:bookmarkEnd w:id="1"/>
    <w:p>
      <w:pPr>
        <w:spacing w:line="360" w:lineRule="auto"/>
        <w:jc w:val="center"/>
        <w:rPr>
          <w:b/>
          <w:color w:val="000000" w:themeColor="text1"/>
          <w:sz w:val="36"/>
          <w:szCs w:val="36"/>
          <w14:textFill>
            <w14:solidFill>
              <w14:schemeClr w14:val="tx1"/>
            </w14:solidFill>
          </w14:textFill>
        </w:rPr>
      </w:pPr>
      <w:bookmarkStart w:id="2" w:name="_Toc99301418"/>
      <w:r>
        <w:rPr>
          <w:b/>
          <w:color w:val="000000" w:themeColor="text1"/>
          <w:sz w:val="36"/>
          <w:szCs w:val="36"/>
          <w14:textFill>
            <w14:solidFill>
              <w14:schemeClr w14:val="tx1"/>
            </w14:solidFill>
          </w14:textFill>
        </w:rPr>
        <w:t>目      录</w:t>
      </w:r>
      <w:bookmarkEnd w:id="2"/>
    </w:p>
    <w:p>
      <w:pPr>
        <w:pStyle w:val="17"/>
        <w:tabs>
          <w:tab w:val="right" w:leader="dot" w:pos="9062"/>
        </w:tabs>
        <w:rPr>
          <w:rFonts w:asciiTheme="minorHAnsi" w:hAnsiTheme="minorHAnsi" w:eastAsiaTheme="minorEastAsia" w:cstheme="minorBidi"/>
          <w:b w:val="0"/>
          <w:sz w:val="21"/>
          <w:szCs w:val="22"/>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"1-1" \h \z \u </w:instrText>
      </w:r>
      <w:r>
        <w:rPr>
          <w:color w:val="000000" w:themeColor="text1"/>
          <w14:textFill>
            <w14:solidFill>
              <w14:schemeClr w14:val="tx1"/>
            </w14:solidFill>
          </w14:textFill>
        </w:rPr>
        <w:fldChar w:fldCharType="separate"/>
      </w:r>
      <w:r>
        <w:fldChar w:fldCharType="begin"/>
      </w:r>
      <w:r>
        <w:instrText xml:space="preserve"> HYPERLINK \l "_Toc229670241" </w:instrText>
      </w:r>
      <w:r>
        <w:fldChar w:fldCharType="separate"/>
      </w:r>
      <w:r>
        <w:rPr>
          <w:rStyle w:val="21"/>
          <w:rFonts w:hint="eastAsia"/>
        </w:rPr>
        <w:t>第一章</w:t>
      </w:r>
      <w:r>
        <w:rPr>
          <w:rStyle w:val="21"/>
        </w:rPr>
        <w:t xml:space="preserve">   </w:t>
      </w:r>
      <w:r>
        <w:rPr>
          <w:rStyle w:val="21"/>
          <w:rFonts w:hint="eastAsia"/>
        </w:rPr>
        <w:t>投标邀请</w:t>
      </w:r>
      <w:r>
        <w:tab/>
      </w:r>
      <w:r>
        <w:fldChar w:fldCharType="begin"/>
      </w:r>
      <w:r>
        <w:instrText xml:space="preserve"> PAGEREF _Toc229670241 \h </w:instrText>
      </w:r>
      <w:r>
        <w:fldChar w:fldCharType="separate"/>
      </w:r>
      <w:r>
        <w:t>1</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"_Toc229670242" </w:instrText>
      </w:r>
      <w:r>
        <w:fldChar w:fldCharType="separate"/>
      </w:r>
      <w:r>
        <w:rPr>
          <w:rStyle w:val="21"/>
          <w:rFonts w:hint="eastAsia"/>
        </w:rPr>
        <w:t>第二章</w:t>
      </w:r>
      <w:r>
        <w:rPr>
          <w:rStyle w:val="21"/>
        </w:rPr>
        <w:t xml:space="preserve">   </w:t>
      </w:r>
      <w:r>
        <w:rPr>
          <w:rStyle w:val="21"/>
          <w:rFonts w:hint="eastAsia"/>
        </w:rPr>
        <w:t>投标人须知</w:t>
      </w:r>
      <w:r>
        <w:tab/>
      </w:r>
      <w:r>
        <w:fldChar w:fldCharType="begin"/>
      </w:r>
      <w:r>
        <w:instrText xml:space="preserve"> PAGEREF _Toc229670242 \h </w:instrText>
      </w:r>
      <w:r>
        <w:fldChar w:fldCharType="separate"/>
      </w:r>
      <w:r>
        <w:t>5</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"_Toc229670243" </w:instrText>
      </w:r>
      <w:r>
        <w:fldChar w:fldCharType="separate"/>
      </w:r>
      <w:r>
        <w:rPr>
          <w:rStyle w:val="21"/>
          <w:rFonts w:hint="eastAsia"/>
        </w:rPr>
        <w:t>第三章</w:t>
      </w:r>
      <w:r>
        <w:rPr>
          <w:rStyle w:val="21"/>
        </w:rPr>
        <w:t xml:space="preserve">   </w:t>
      </w:r>
      <w:r>
        <w:rPr>
          <w:rStyle w:val="21"/>
          <w:rFonts w:hint="eastAsia"/>
        </w:rPr>
        <w:t>资格审查</w:t>
      </w:r>
      <w:r>
        <w:tab/>
      </w:r>
      <w:r>
        <w:fldChar w:fldCharType="begin"/>
      </w:r>
      <w:r>
        <w:instrText xml:space="preserve"> PAGEREF _Toc229670243 \h </w:instrText>
      </w:r>
      <w:r>
        <w:fldChar w:fldCharType="separate"/>
      </w:r>
      <w:r>
        <w:t>21</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"_Toc229670244" </w:instrText>
      </w:r>
      <w:r>
        <w:fldChar w:fldCharType="separate"/>
      </w:r>
      <w:r>
        <w:rPr>
          <w:rStyle w:val="21"/>
          <w:rFonts w:hint="eastAsia"/>
        </w:rPr>
        <w:t>第四章</w:t>
      </w:r>
      <w:r>
        <w:rPr>
          <w:rStyle w:val="21"/>
        </w:rPr>
        <w:t xml:space="preserve">   </w:t>
      </w:r>
      <w:r>
        <w:rPr>
          <w:rStyle w:val="21"/>
          <w:rFonts w:hint="eastAsia"/>
        </w:rPr>
        <w:t>评标程序、评标方法和评标标准</w:t>
      </w:r>
      <w:r>
        <w:tab/>
      </w:r>
      <w:r>
        <w:fldChar w:fldCharType="begin"/>
      </w:r>
      <w:r>
        <w:instrText xml:space="preserve"> PAGEREF _Toc229670244 \h </w:instrText>
      </w:r>
      <w:r>
        <w:fldChar w:fldCharType="separate"/>
      </w:r>
      <w:r>
        <w:t>25</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"_Toc229670245" </w:instrText>
      </w:r>
      <w:r>
        <w:fldChar w:fldCharType="separate"/>
      </w:r>
      <w:r>
        <w:rPr>
          <w:rStyle w:val="21"/>
          <w:rFonts w:hint="eastAsia"/>
        </w:rPr>
        <w:t>第五章</w:t>
      </w:r>
      <w:r>
        <w:rPr>
          <w:rStyle w:val="21"/>
        </w:rPr>
        <w:t xml:space="preserve">   </w:t>
      </w:r>
      <w:r>
        <w:rPr>
          <w:rStyle w:val="21"/>
          <w:rFonts w:hint="eastAsia"/>
        </w:rPr>
        <w:t>采购需求</w:t>
      </w:r>
      <w:r>
        <w:tab/>
      </w:r>
      <w:r>
        <w:fldChar w:fldCharType="begin"/>
      </w:r>
      <w:r>
        <w:instrText xml:space="preserve"> PAGEREF _Toc229670245 \h </w:instrText>
      </w:r>
      <w:r>
        <w:fldChar w:fldCharType="separate"/>
      </w:r>
      <w:r>
        <w:t>34</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"_Toc229670246" </w:instrText>
      </w:r>
      <w:r>
        <w:fldChar w:fldCharType="separate"/>
      </w:r>
      <w:r>
        <w:rPr>
          <w:rStyle w:val="21"/>
          <w:rFonts w:hint="eastAsia"/>
        </w:rPr>
        <w:t>第六章</w:t>
      </w:r>
      <w:r>
        <w:rPr>
          <w:rStyle w:val="21"/>
        </w:rPr>
        <w:t xml:space="preserve">   </w:t>
      </w:r>
      <w:r>
        <w:rPr>
          <w:rStyle w:val="21"/>
          <w:rFonts w:hint="eastAsia"/>
        </w:rPr>
        <w:t>拟签订的合同文本</w:t>
      </w:r>
      <w:r>
        <w:tab/>
      </w:r>
      <w:r>
        <w:fldChar w:fldCharType="begin"/>
      </w:r>
      <w:r>
        <w:instrText xml:space="preserve"> PAGEREF _Toc229670246 \h </w:instrText>
      </w:r>
      <w:r>
        <w:fldChar w:fldCharType="separate"/>
      </w:r>
      <w:r>
        <w:t>3</w:t>
      </w:r>
      <w:r>
        <w:rPr>
          <w:rFonts w:hint="eastAsia"/>
          <w:lang w:val="en-US" w:eastAsia="zh-CN"/>
        </w:rPr>
        <w:t>8</w:t>
      </w:r>
      <w:r>
        <w:fldChar w:fldCharType="end"/>
      </w:r>
      <w:r>
        <w:fldChar w:fldCharType="end"/>
      </w:r>
    </w:p>
    <w:p>
      <w:pPr>
        <w:pStyle w:val="17"/>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"_Toc229670247" </w:instrText>
      </w:r>
      <w:r>
        <w:fldChar w:fldCharType="separate"/>
      </w:r>
      <w:r>
        <w:rPr>
          <w:rStyle w:val="21"/>
          <w:rFonts w:hint="eastAsia"/>
        </w:rPr>
        <w:t>第七章</w:t>
      </w:r>
      <w:r>
        <w:rPr>
          <w:rStyle w:val="21"/>
        </w:rPr>
        <w:t xml:space="preserve">   </w:t>
      </w:r>
      <w:r>
        <w:rPr>
          <w:rStyle w:val="21"/>
          <w:rFonts w:hint="eastAsia"/>
        </w:rPr>
        <w:t>投标文件格式</w:t>
      </w:r>
      <w:r>
        <w:tab/>
      </w:r>
      <w:r>
        <w:fldChar w:fldCharType="begin"/>
      </w:r>
      <w:r>
        <w:instrText xml:space="preserve"> PAGEREF _Toc229670247 \h </w:instrText>
      </w:r>
      <w:r>
        <w:fldChar w:fldCharType="separate"/>
      </w:r>
      <w:r>
        <w:t>4</w:t>
      </w:r>
      <w:r>
        <w:rPr>
          <w:rFonts w:hint="eastAsia"/>
          <w:lang w:val="en-US" w:eastAsia="zh-CN"/>
        </w:rPr>
        <w:t>7</w:t>
      </w:r>
      <w:r>
        <w:fldChar w:fldCharType="end"/>
      </w:r>
      <w:r>
        <w:fldChar w:fldCharType="end"/>
      </w:r>
    </w:p>
    <w:p>
      <w:pPr>
        <w:spacing w:line="480" w:lineRule="auto"/>
        <w:rPr>
          <w:rFonts w:eastAsiaTheme="minorEastAsia"/>
          <w:b/>
          <w:color w:val="000000" w:themeColor="text1"/>
          <w14:textFill>
            <w14:solidFill>
              <w14:schemeClr w14:val="tx1"/>
            </w14:solidFill>
          </w14:textFill>
        </w:rPr>
      </w:pPr>
      <w:r>
        <w:rPr>
          <w:color w:val="000000" w:themeColor="text1"/>
          <w:sz w:val="24"/>
          <w14:textFill>
            <w14:solidFill>
              <w14:schemeClr w14:val="tx1"/>
            </w14:solidFill>
          </w14:textFill>
        </w:rPr>
        <w:fldChar w:fldCharType="end"/>
      </w:r>
    </w:p>
    <w:p>
      <w:pPr>
        <w:rPr>
          <w:color w:val="000000" w:themeColor="text1"/>
          <w14:textFill>
            <w14:solidFill>
              <w14:schemeClr w14:val="tx1"/>
            </w14:solidFill>
          </w14:textFill>
        </w:rPr>
      </w:pPr>
    </w:p>
    <w:p>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hint="eastAsia" w:ascii="宋体" w:hAnsi="宋体" w:cs="宋体"/>
          <w:b/>
          <w:color w:val="auto"/>
          <w:sz w:val="24"/>
          <w:szCs w:val="24"/>
          <w:highlight w:val="none"/>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hint="eastAsia" w:ascii="宋体" w:hAnsi="宋体" w:cs="宋体"/>
          <w:b/>
          <w:color w:val="auto"/>
          <w:sz w:val="24"/>
          <w:szCs w:val="24"/>
          <w:highlight w:val="none"/>
        </w:rPr>
        <w:sym w:font="Wingdings" w:char="00A8"/>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pPr>
        <w:spacing w:line="360" w:lineRule="auto"/>
        <w:rPr>
          <w:b/>
          <w:color w:val="000000" w:themeColor="text1"/>
          <w14:textFill>
            <w14:solidFill>
              <w14:schemeClr w14:val="tx1"/>
            </w14:solidFill>
          </w14:textFill>
        </w:rPr>
      </w:pPr>
    </w:p>
    <w:p>
      <w:pPr>
        <w:spacing w:line="360" w:lineRule="auto"/>
        <w:jc w:val="center"/>
        <w:outlineLvl w:val="0"/>
        <w:rPr>
          <w:color w:val="000000" w:themeColor="text1"/>
          <w:sz w:val="24"/>
          <w14:textFill>
            <w14:solidFill>
              <w14:schemeClr w14:val="tx1"/>
            </w14:solidFill>
          </w14:textFill>
        </w:rPr>
        <w:sectPr>
          <w:type w:val="nextColumn"/>
          <w:pgSz w:w="11907" w:h="16840"/>
          <w:pgMar w:top="1418" w:right="1134" w:bottom="1418" w:left="1701" w:header="851" w:footer="851" w:gutter="0"/>
          <w:pgNumType w:start="0"/>
          <w:cols w:space="720" w:num="1"/>
          <w:titlePg/>
          <w:docGrid w:linePitch="462" w:charSpace="0"/>
        </w:sectPr>
      </w:pPr>
    </w:p>
    <w:p>
      <w:pPr>
        <w:spacing w:line="360" w:lineRule="auto"/>
        <w:jc w:val="center"/>
        <w:outlineLvl w:val="0"/>
        <w:rPr>
          <w:b/>
          <w:color w:val="000000" w:themeColor="text1"/>
          <w:sz w:val="36"/>
          <w:szCs w:val="36"/>
          <w14:textFill>
            <w14:solidFill>
              <w14:schemeClr w14:val="tx1"/>
            </w14:solidFill>
          </w14:textFill>
        </w:rPr>
      </w:pPr>
      <w:bookmarkStart w:id="3" w:name="_Toc229670241"/>
      <w:r>
        <w:rPr>
          <w:b/>
          <w:color w:val="000000" w:themeColor="text1"/>
          <w:sz w:val="36"/>
          <w:szCs w:val="36"/>
          <w14:textFill>
            <w14:solidFill>
              <w14:schemeClr w14:val="tx1"/>
            </w14:solidFill>
          </w14:textFill>
        </w:rPr>
        <w:t>第一章   投标邀请</w:t>
      </w:r>
      <w:bookmarkEnd w:id="3"/>
    </w:p>
    <w:p>
      <w:pPr>
        <w:spacing w:line="360" w:lineRule="auto"/>
        <w:ind w:firstLine="640" w:firstLineChars="200"/>
        <w:rPr>
          <w:color w:val="000000" w:themeColor="text1"/>
          <w:sz w:val="32"/>
          <w:szCs w:val="32"/>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4" w:name="_Toc28359002"/>
      <w:bookmarkStart w:id="5" w:name="_Toc28359079"/>
      <w:bookmarkStart w:id="6" w:name="_Toc35393790"/>
      <w:bookmarkStart w:id="7" w:name="_Toc35393621"/>
      <w:bookmarkStart w:id="8" w:name="_Hlk24379207"/>
      <w:r>
        <w:rPr>
          <w:rFonts w:ascii="Times New Roman" w:hAnsi="Times New Roman" w:eastAsia="宋体"/>
          <w:color w:val="000000" w:themeColor="text1"/>
          <w:sz w:val="24"/>
          <w:szCs w:val="24"/>
          <w14:textFill>
            <w14:solidFill>
              <w14:schemeClr w14:val="tx1"/>
            </w14:solidFill>
          </w14:textFill>
        </w:rPr>
        <w:t>一、项目基本情况</w:t>
      </w:r>
      <w:bookmarkEnd w:id="4"/>
      <w:bookmarkEnd w:id="5"/>
      <w:bookmarkEnd w:id="6"/>
      <w:bookmarkEnd w:id="7"/>
    </w:p>
    <w:p>
      <w:pPr>
        <w:spacing w:line="360" w:lineRule="auto"/>
        <w:ind w:firstLine="480" w:firstLineChars="200"/>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1.项目编号：</w:t>
      </w:r>
      <w:r>
        <w:rPr>
          <w:rFonts w:hint="eastAsia"/>
          <w:color w:val="000000" w:themeColor="text1"/>
          <w:sz w:val="24"/>
          <w:u w:val="single"/>
          <w:lang w:eastAsia="zh-CN"/>
          <w14:textFill>
            <w14:solidFill>
              <w14:schemeClr w14:val="tx1"/>
            </w14:solidFill>
          </w14:textFill>
        </w:rPr>
        <w:t>11011326210200027512-XM001</w:t>
      </w:r>
    </w:p>
    <w:p>
      <w:pPr>
        <w:spacing w:line="360" w:lineRule="auto"/>
        <w:ind w:firstLine="480" w:firstLineChars="200"/>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2.项目名称：</w:t>
      </w:r>
      <w:r>
        <w:rPr>
          <w:rFonts w:hint="eastAsia" w:ascii="宋体" w:hAnsi="宋体"/>
          <w:color w:val="000000" w:themeColor="text1"/>
          <w:sz w:val="24"/>
          <w:u w:val="single"/>
          <w:lang w:eastAsia="zh-CN"/>
          <w14:textFill>
            <w14:solidFill>
              <w14:schemeClr w14:val="tx1"/>
            </w14:solidFill>
          </w14:textFill>
        </w:rPr>
        <w:t>北京市顺义区医院放射科西门子CT(SOMATOMgo.up)保修服务购置项目</w:t>
      </w:r>
    </w:p>
    <w:bookmarkEnd w:id="8"/>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3.项目预算金额：</w:t>
      </w:r>
      <w:bookmarkStart w:id="9" w:name="OLE_LINK14"/>
      <w:bookmarkStart w:id="10" w:name="OLE_LINK15"/>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164.4</w:t>
      </w:r>
      <w:r>
        <w:rPr>
          <w:rFonts w:hint="eastAsia"/>
          <w:color w:val="000000" w:themeColor="text1"/>
          <w:sz w:val="24"/>
          <w:u w:val="single"/>
          <w14:textFill>
            <w14:solidFill>
              <w14:schemeClr w14:val="tx1"/>
            </w14:solidFill>
          </w14:textFill>
        </w:rPr>
        <w:t xml:space="preserve">  </w:t>
      </w:r>
      <w:bookmarkEnd w:id="9"/>
      <w:bookmarkEnd w:id="10"/>
      <w:r>
        <w:rPr>
          <w:color w:val="000000" w:themeColor="text1"/>
          <w:sz w:val="24"/>
          <w14:textFill>
            <w14:solidFill>
              <w14:schemeClr w14:val="tx1"/>
            </w14:solidFill>
          </w14:textFill>
        </w:rPr>
        <w:t>万元、项目最高限价（如有）：</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164.4</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万元</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p>
    <w:tbl>
      <w:tblPr>
        <w:tblStyle w:val="18"/>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557"/>
        <w:gridCol w:w="1701"/>
        <w:gridCol w:w="997"/>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6"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包号</w:t>
            </w:r>
          </w:p>
        </w:tc>
        <w:tc>
          <w:tcPr>
            <w:tcW w:w="1557"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标的名称</w:t>
            </w:r>
          </w:p>
        </w:tc>
        <w:tc>
          <w:tcPr>
            <w:tcW w:w="1701"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预算金额</w:t>
            </w:r>
          </w:p>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（万元）</w:t>
            </w:r>
          </w:p>
        </w:tc>
        <w:tc>
          <w:tcPr>
            <w:tcW w:w="997"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数量</w:t>
            </w:r>
          </w:p>
        </w:tc>
        <w:tc>
          <w:tcPr>
            <w:tcW w:w="4275"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6"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1557" w:type="dxa"/>
            <w:vAlign w:val="center"/>
          </w:tcPr>
          <w:p>
            <w:pPr>
              <w:jc w:val="center"/>
              <w:rPr>
                <w:rFonts w:hint="eastAsia" w:eastAsia="宋体"/>
                <w:bCs/>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北京市顺义区医院放射科西门子CT(SOMATOMgo.up)保修服务购置项目</w:t>
            </w:r>
          </w:p>
        </w:tc>
        <w:tc>
          <w:tcPr>
            <w:tcW w:w="1701" w:type="dxa"/>
            <w:vAlign w:val="center"/>
          </w:tcPr>
          <w:p>
            <w:pPr>
              <w:jc w:val="center"/>
              <w:rPr>
                <w:rFonts w:hint="default" w:eastAsia="宋体"/>
                <w:bCs/>
                <w:color w:val="000000" w:themeColor="text1"/>
                <w:sz w:val="24"/>
                <w:lang w:val="en-US" w:eastAsia="zh-CN"/>
                <w14:textFill>
                  <w14:solidFill>
                    <w14:schemeClr w14:val="tx1"/>
                  </w14:solidFill>
                </w14:textFill>
              </w:rPr>
            </w:pPr>
            <w:r>
              <w:rPr>
                <w:rFonts w:hint="eastAsia"/>
                <w:bCs/>
                <w:color w:val="000000" w:themeColor="text1"/>
                <w:sz w:val="24"/>
                <w:lang w:val="en-US" w:eastAsia="zh-CN"/>
                <w14:textFill>
                  <w14:solidFill>
                    <w14:schemeClr w14:val="tx1"/>
                  </w14:solidFill>
                </w14:textFill>
              </w:rPr>
              <w:t>164.4（万元/3年）</w:t>
            </w:r>
          </w:p>
        </w:tc>
        <w:tc>
          <w:tcPr>
            <w:tcW w:w="997" w:type="dxa"/>
            <w:vAlign w:val="center"/>
          </w:tcPr>
          <w:p>
            <w:pPr>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w:t>
            </w:r>
          </w:p>
        </w:tc>
        <w:tc>
          <w:tcPr>
            <w:tcW w:w="4275" w:type="dxa"/>
            <w:vAlign w:val="center"/>
          </w:tcPr>
          <w:p>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西门子SOMATOM go.Up 32排CT设备提供维保服务，必须保证设备开机率＞97%（按每年365天计算），同时提供该设备第三方产品的保修服务，包括且不限于高压注射器、机房空调、工作站等，定期完成维护保养服务。无限工时维修加免费更换任何损坏备件，含球管、探测器、高压油箱及所有零部件。每次维护保养完成后，须向院方提供维护保养报告。</w:t>
            </w:r>
            <w:r>
              <w:rPr>
                <w:rFonts w:hint="eastAsia"/>
                <w:color w:val="000000" w:themeColor="text1"/>
                <w:kern w:val="0"/>
                <w:sz w:val="24"/>
                <w:lang w:val="en-US" w:eastAsia="zh-CN"/>
                <w14:textFill>
                  <w14:solidFill>
                    <w14:schemeClr w14:val="tx1"/>
                  </w14:solidFill>
                </w14:textFill>
              </w:rPr>
              <w:t>具体详见《</w:t>
            </w:r>
            <w:r>
              <w:rPr>
                <w:rFonts w:hint="eastAsia"/>
                <w:color w:val="000000" w:themeColor="text1"/>
                <w:kern w:val="0"/>
                <w:sz w:val="24"/>
                <w14:textFill>
                  <w14:solidFill>
                    <w14:schemeClr w14:val="tx1"/>
                  </w14:solidFill>
                </w14:textFill>
              </w:rPr>
              <w:t>第五章 采购需求</w:t>
            </w:r>
            <w:r>
              <w:rPr>
                <w:rFonts w:hint="eastAsia"/>
                <w:color w:val="000000" w:themeColor="text1"/>
                <w:kern w:val="0"/>
                <w:sz w:val="24"/>
                <w:lang w:val="en-US" w:eastAsia="zh-CN"/>
                <w14:textFill>
                  <w14:solidFill>
                    <w14:schemeClr w14:val="tx1"/>
                  </w14:solidFill>
                </w14:textFill>
              </w:rPr>
              <w:t>》</w:t>
            </w:r>
          </w:p>
        </w:tc>
      </w:tr>
    </w:tbl>
    <w:p>
      <w:pPr>
        <w:spacing w:line="360" w:lineRule="auto"/>
        <w:ind w:firstLine="480" w:firstLineChars="200"/>
        <w:rPr>
          <w:color w:val="000000" w:themeColor="text1"/>
          <w:sz w:val="24"/>
          <w:highlight w:val="none"/>
          <w:u w:val="single"/>
          <w14:textFill>
            <w14:solidFill>
              <w14:schemeClr w14:val="tx1"/>
            </w14:solidFill>
          </w14:textFill>
        </w:rPr>
      </w:pPr>
      <w:r>
        <w:rPr>
          <w:color w:val="000000" w:themeColor="text1"/>
          <w:sz w:val="24"/>
          <w14:textFill>
            <w14:solidFill>
              <w14:schemeClr w14:val="tx1"/>
            </w14:solidFill>
          </w14:textFill>
        </w:rPr>
        <w:t>5.合同履</w:t>
      </w:r>
      <w:r>
        <w:rPr>
          <w:color w:val="000000" w:themeColor="text1"/>
          <w:sz w:val="24"/>
          <w:highlight w:val="none"/>
          <w14:textFill>
            <w14:solidFill>
              <w14:schemeClr w14:val="tx1"/>
            </w14:solidFill>
          </w14:textFill>
        </w:rPr>
        <w:t>行期限：</w:t>
      </w:r>
      <w:bookmarkStart w:id="11" w:name="OLE_LINK105"/>
      <w:bookmarkStart w:id="12" w:name="OLE_LINK106"/>
      <w:r>
        <w:rPr>
          <w:rFonts w:hint="eastAsia"/>
          <w:color w:val="000000" w:themeColor="text1"/>
          <w:sz w:val="24"/>
          <w:highlight w:val="none"/>
          <w:u w:val="single"/>
          <w14:textFill>
            <w14:solidFill>
              <w14:schemeClr w14:val="tx1"/>
            </w14:solidFill>
          </w14:textFill>
        </w:rPr>
        <w:t>自合同签订之日起</w:t>
      </w:r>
      <w:r>
        <w:rPr>
          <w:rFonts w:hint="eastAsia"/>
          <w:color w:val="000000" w:themeColor="text1"/>
          <w:sz w:val="24"/>
          <w:highlight w:val="none"/>
          <w:u w:val="single"/>
          <w:lang w:val="en-US" w:eastAsia="zh-CN"/>
          <w14:textFill>
            <w14:solidFill>
              <w14:schemeClr w14:val="tx1"/>
            </w14:solidFill>
          </w14:textFill>
        </w:rPr>
        <w:t>3</w:t>
      </w:r>
      <w:r>
        <w:rPr>
          <w:rFonts w:hint="eastAsia"/>
          <w:color w:val="000000" w:themeColor="text1"/>
          <w:sz w:val="24"/>
          <w:highlight w:val="none"/>
          <w:u w:val="single"/>
          <w14:textFill>
            <w14:solidFill>
              <w14:schemeClr w14:val="tx1"/>
            </w14:solidFill>
          </w14:textFill>
        </w:rPr>
        <w:t>年</w:t>
      </w:r>
      <w:bookmarkEnd w:id="11"/>
      <w:bookmarkEnd w:id="12"/>
    </w:p>
    <w:p>
      <w:pPr>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6.本项目是否接受联合体投标：</w:t>
      </w:r>
      <w:r>
        <w:rPr>
          <w:rFonts w:hint="eastAsia"/>
          <w:color w:val="000000" w:themeColor="text1"/>
          <w:sz w:val="24"/>
          <w:highlight w:val="none"/>
          <w:lang w:eastAsia="zh-CN"/>
          <w14:textFill>
            <w14:solidFill>
              <w14:schemeClr w14:val="tx1"/>
            </w14:solidFill>
          </w14:textFill>
        </w:rPr>
        <w:t>□</w:t>
      </w:r>
      <w:r>
        <w:rPr>
          <w:color w:val="000000" w:themeColor="text1"/>
          <w:sz w:val="24"/>
          <w:highlight w:val="none"/>
          <w14:textFill>
            <w14:solidFill>
              <w14:schemeClr w14:val="tx1"/>
            </w14:solidFill>
          </w14:textFill>
        </w:rPr>
        <w:t xml:space="preserve">是  </w:t>
      </w:r>
      <w:r>
        <w:rPr>
          <w:rFonts w:hint="eastAsia" w:ascii="宋体" w:hAnsi="宋体" w:cs="宋体"/>
          <w:b/>
          <w:color w:val="auto"/>
          <w:sz w:val="24"/>
          <w:szCs w:val="24"/>
          <w:highlight w:val="none"/>
        </w:rPr>
        <w:t>■</w:t>
      </w:r>
      <w:r>
        <w:rPr>
          <w:color w:val="000000" w:themeColor="text1"/>
          <w:sz w:val="24"/>
          <w:highlight w:val="none"/>
          <w14:textFill>
            <w14:solidFill>
              <w14:schemeClr w14:val="tx1"/>
            </w14:solidFill>
          </w14:textFill>
        </w:rPr>
        <w:t>否。</w:t>
      </w:r>
    </w:p>
    <w:p>
      <w:pPr>
        <w:spacing w:line="360" w:lineRule="auto"/>
        <w:ind w:firstLine="480" w:firstLineChars="200"/>
        <w:rPr>
          <w:color w:val="000000" w:themeColor="text1"/>
          <w:sz w:val="24"/>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3" w:name="_Toc35393622"/>
      <w:bookmarkStart w:id="14" w:name="_Toc28359080"/>
      <w:bookmarkStart w:id="15" w:name="_Toc28359003"/>
      <w:bookmarkStart w:id="16" w:name="_Toc35393791"/>
      <w:r>
        <w:rPr>
          <w:rFonts w:ascii="Times New Roman" w:hAnsi="Times New Roman" w:eastAsia="宋体"/>
          <w:color w:val="000000" w:themeColor="text1"/>
          <w:sz w:val="24"/>
          <w:szCs w:val="24"/>
          <w14:textFill>
            <w14:solidFill>
              <w14:schemeClr w14:val="tx1"/>
            </w14:solidFill>
          </w14:textFill>
        </w:rPr>
        <w:t>二、申请人的资格要求（须同时满足）</w:t>
      </w:r>
      <w:bookmarkEnd w:id="13"/>
      <w:bookmarkEnd w:id="14"/>
      <w:bookmarkEnd w:id="15"/>
      <w:bookmarkEnd w:id="16"/>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1.满足《中华人民共和国政府采购法》第二十二条规定；</w:t>
      </w:r>
    </w:p>
    <w:p>
      <w:pPr>
        <w:spacing w:line="360" w:lineRule="auto"/>
        <w:ind w:firstLine="480" w:firstLineChars="200"/>
        <w:rPr>
          <w:color w:val="000000" w:themeColor="text1"/>
          <w:sz w:val="24"/>
          <w14:textFill>
            <w14:solidFill>
              <w14:schemeClr w14:val="tx1"/>
            </w14:solidFill>
          </w14:textFill>
        </w:rPr>
      </w:pPr>
      <w:bookmarkStart w:id="17" w:name="_Toc28359004"/>
      <w:bookmarkStart w:id="18" w:name="_Toc28359081"/>
      <w:r>
        <w:rPr>
          <w:color w:val="000000" w:themeColor="text1"/>
          <w:sz w:val="24"/>
          <w14:textFill>
            <w14:solidFill>
              <w14:schemeClr w14:val="tx1"/>
            </w14:solidFill>
          </w14:textFill>
        </w:rPr>
        <w:t>2.落实政府采购政策需满足的资格要求：</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2.1 </w:t>
      </w:r>
      <w:bookmarkStart w:id="19" w:name="OLE_LINK20"/>
      <w:bookmarkStart w:id="20" w:name="OLE_LINK24"/>
      <w:r>
        <w:rPr>
          <w:color w:val="000000" w:themeColor="text1"/>
          <w:sz w:val="24"/>
          <w14:textFill>
            <w14:solidFill>
              <w14:schemeClr w14:val="tx1"/>
            </w14:solidFill>
          </w14:textFill>
        </w:rPr>
        <w:t>中小企业政策</w:t>
      </w:r>
    </w:p>
    <w:p>
      <w:pPr>
        <w:spacing w:line="360" w:lineRule="auto"/>
        <w:ind w:firstLine="482" w:firstLineChars="20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本项目不专门面向中小企业预留采购份额。</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本项目专门面向  </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中小 </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小微企业  采购。即：提供的货物全部由符合政策要求的中小/小微企业制造、服务全部由符合政策要求的中小/小微企业承接。</w:t>
      </w:r>
      <w:bookmarkEnd w:id="19"/>
      <w:bookmarkEnd w:id="20"/>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2.2 其它落实政府采购政策的资格要求（如有）：</w:t>
      </w:r>
      <w:r>
        <w:rPr>
          <w:rFonts w:eastAsiaTheme="minorEastAsia"/>
          <w:color w:val="000000" w:themeColor="text1"/>
          <w:sz w:val="24"/>
          <w:u w:val="single"/>
          <w14:textFill>
            <w14:solidFill>
              <w14:schemeClr w14:val="tx1"/>
            </w14:solidFill>
          </w14:textFill>
        </w:rPr>
        <w:t xml:space="preserve">  </w:t>
      </w:r>
      <w:r>
        <w:rPr>
          <w:rFonts w:hint="eastAsia" w:eastAsiaTheme="minorEastAsia"/>
          <w:color w:val="000000" w:themeColor="text1"/>
          <w:sz w:val="24"/>
          <w:u w:val="single"/>
          <w14:textFill>
            <w14:solidFill>
              <w14:schemeClr w14:val="tx1"/>
            </w14:solidFill>
          </w14:textFill>
        </w:rPr>
        <w:t>无</w:t>
      </w:r>
      <w:r>
        <w:rPr>
          <w:rFonts w:eastAsiaTheme="minor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pPr>
        <w:spacing w:line="360" w:lineRule="auto"/>
        <w:ind w:firstLine="480" w:firstLineChars="200"/>
        <w:rPr>
          <w:i/>
          <w:i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3.本项目的特定资格要求：</w:t>
      </w:r>
    </w:p>
    <w:p>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3.1本项目是否属于政府购买服务：</w:t>
      </w:r>
    </w:p>
    <w:p>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p>
    <w:p>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根据财政部财库〔2016〕125 号《财政部要求加强政采信用记录查询及使用信用记录有关问题的通知》文件相关规定，供应商不</w:t>
      </w:r>
      <w:r>
        <w:rPr>
          <w:rFonts w:hint="eastAsia"/>
          <w:color w:val="000000" w:themeColor="text1"/>
          <w:sz w:val="24"/>
          <w:u w:val="single"/>
          <w14:textFill>
            <w14:solidFill>
              <w14:schemeClr w14:val="tx1"/>
            </w14:solidFill>
          </w14:textFill>
        </w:rPr>
        <w:t>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r>
        <w:rPr>
          <w:rFonts w:eastAsiaTheme="minorEastAsia"/>
          <w:color w:val="000000" w:themeColor="text1"/>
          <w:sz w:val="24"/>
          <w:u w:val="single"/>
          <w14:textFill>
            <w14:solidFill>
              <w14:schemeClr w14:val="tx1"/>
            </w14:solidFill>
          </w14:textFill>
        </w:rPr>
        <w:t>。</w:t>
      </w:r>
    </w:p>
    <w:p>
      <w:pPr>
        <w:spacing w:line="360" w:lineRule="auto"/>
        <w:ind w:firstLine="480" w:firstLineChars="200"/>
        <w:rPr>
          <w:i/>
          <w:iCs/>
          <w:color w:val="000000" w:themeColor="text1"/>
          <w:sz w:val="24"/>
          <w:u w:val="single"/>
          <w14:textFill>
            <w14:solidFill>
              <w14:schemeClr w14:val="tx1"/>
            </w14:solidFill>
          </w14:textFill>
        </w:rPr>
      </w:pPr>
    </w:p>
    <w:bookmarkEnd w:id="17"/>
    <w:bookmarkEnd w:id="18"/>
    <w:p>
      <w:pPr>
        <w:pStyle w:val="3"/>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1" w:name="_Toc35393623"/>
      <w:bookmarkStart w:id="22" w:name="_Toc35393792"/>
      <w:r>
        <w:rPr>
          <w:rFonts w:ascii="Times New Roman" w:hAnsi="Times New Roman" w:eastAsia="宋体"/>
          <w:color w:val="000000" w:themeColor="text1"/>
          <w:sz w:val="24"/>
          <w:szCs w:val="24"/>
          <w14:textFill>
            <w14:solidFill>
              <w14:schemeClr w14:val="tx1"/>
            </w14:solidFill>
          </w14:textFill>
        </w:rPr>
        <w:t>三、获取招标文件</w:t>
      </w:r>
      <w:bookmarkEnd w:id="21"/>
      <w:bookmarkEnd w:id="22"/>
    </w:p>
    <w:p>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w:t>
      </w:r>
      <w:r>
        <w:rPr>
          <w:color w:val="0000FF"/>
          <w:sz w:val="24"/>
          <w:lang w:bidi="ar"/>
        </w:rPr>
        <w:t>.时间：</w:t>
      </w:r>
      <w:bookmarkStart w:id="23" w:name="OLE_LINK143"/>
      <w:bookmarkStart w:id="24" w:name="OLE_LINK144"/>
      <w:bookmarkStart w:id="25" w:name="OLE_LINK138"/>
      <w:bookmarkStart w:id="26" w:name="OLE_LINK137"/>
      <w:r>
        <w:rPr>
          <w:rFonts w:hint="eastAsia"/>
          <w:color w:val="0000FF"/>
          <w:sz w:val="24"/>
          <w:u w:val="single"/>
          <w:lang w:bidi="ar"/>
        </w:rPr>
        <w:t>2026</w:t>
      </w:r>
      <w:r>
        <w:rPr>
          <w:color w:val="0000FF"/>
          <w:sz w:val="24"/>
          <w:lang w:bidi="ar"/>
        </w:rPr>
        <w:t>年</w:t>
      </w:r>
      <w:bookmarkEnd w:id="23"/>
      <w:r>
        <w:rPr>
          <w:rFonts w:hint="eastAsia"/>
          <w:color w:val="0000FF"/>
          <w:sz w:val="24"/>
          <w:u w:val="single"/>
          <w:lang w:bidi="ar"/>
        </w:rPr>
        <w:t>0</w:t>
      </w:r>
      <w:r>
        <w:rPr>
          <w:rFonts w:hint="eastAsia"/>
          <w:color w:val="0000FF"/>
          <w:sz w:val="24"/>
          <w:u w:val="single"/>
          <w:lang w:val="en-US" w:eastAsia="zh-CN" w:bidi="ar"/>
        </w:rPr>
        <w:t>8</w:t>
      </w:r>
      <w:r>
        <w:rPr>
          <w:color w:val="0000FF"/>
          <w:sz w:val="24"/>
          <w:lang w:bidi="ar"/>
        </w:rPr>
        <w:t>月</w:t>
      </w:r>
      <w:bookmarkEnd w:id="24"/>
      <w:bookmarkEnd w:id="25"/>
      <w:bookmarkEnd w:id="26"/>
      <w:r>
        <w:rPr>
          <w:rFonts w:hint="eastAsia"/>
          <w:color w:val="0000FF"/>
          <w:sz w:val="24"/>
          <w:u w:val="single"/>
          <w:lang w:val="en-US" w:eastAsia="zh-CN" w:bidi="ar"/>
        </w:rPr>
        <w:t>05</w:t>
      </w:r>
      <w:r>
        <w:rPr>
          <w:color w:val="0000FF"/>
          <w:sz w:val="24"/>
          <w:lang w:bidi="ar"/>
        </w:rPr>
        <w:t>日至</w:t>
      </w:r>
      <w:r>
        <w:rPr>
          <w:rFonts w:hint="eastAsia"/>
          <w:color w:val="0000FF"/>
          <w:sz w:val="24"/>
          <w:u w:val="single"/>
          <w:lang w:bidi="ar"/>
        </w:rPr>
        <w:t>2026</w:t>
      </w:r>
      <w:r>
        <w:rPr>
          <w:color w:val="0000FF"/>
          <w:sz w:val="24"/>
          <w:lang w:bidi="ar"/>
        </w:rPr>
        <w:t>年</w:t>
      </w:r>
      <w:r>
        <w:rPr>
          <w:rFonts w:hint="eastAsia"/>
          <w:color w:val="0000FF"/>
          <w:sz w:val="24"/>
          <w:u w:val="single"/>
          <w:lang w:bidi="ar"/>
        </w:rPr>
        <w:t>0</w:t>
      </w:r>
      <w:r>
        <w:rPr>
          <w:rFonts w:hint="eastAsia"/>
          <w:color w:val="0000FF"/>
          <w:sz w:val="24"/>
          <w:u w:val="single"/>
          <w:lang w:val="en-US" w:eastAsia="zh-CN" w:bidi="ar"/>
        </w:rPr>
        <w:t>8</w:t>
      </w:r>
      <w:r>
        <w:rPr>
          <w:color w:val="0000FF"/>
          <w:sz w:val="24"/>
          <w:lang w:bidi="ar"/>
        </w:rPr>
        <w:t>月</w:t>
      </w:r>
      <w:r>
        <w:rPr>
          <w:rFonts w:hint="eastAsia"/>
          <w:color w:val="0000FF"/>
          <w:sz w:val="24"/>
          <w:u w:val="single"/>
          <w:lang w:val="en-US" w:eastAsia="zh-CN" w:bidi="ar"/>
        </w:rPr>
        <w:t>11</w:t>
      </w:r>
      <w:r>
        <w:rPr>
          <w:color w:val="0000FF"/>
          <w:sz w:val="24"/>
          <w:lang w:bidi="ar"/>
        </w:rPr>
        <w:t>日，每天上午</w:t>
      </w:r>
      <w:r>
        <w:rPr>
          <w:rFonts w:hint="eastAsia" w:ascii="宋体" w:hAnsi="宋体" w:cs="宋体"/>
          <w:color w:val="0000FF"/>
          <w:sz w:val="24"/>
          <w:u w:val="single"/>
        </w:rPr>
        <w:t>09:00</w:t>
      </w:r>
      <w:r>
        <w:rPr>
          <w:rFonts w:hint="eastAsia" w:ascii="宋体" w:hAnsi="宋体" w:cs="宋体"/>
          <w:color w:val="0000FF"/>
          <w:sz w:val="24"/>
          <w:lang w:bidi="ar"/>
        </w:rPr>
        <w:t>至</w:t>
      </w:r>
      <w:r>
        <w:rPr>
          <w:rFonts w:hint="eastAsia" w:ascii="宋体" w:hAnsi="宋体" w:cs="宋体"/>
          <w:color w:val="0000FF"/>
          <w:sz w:val="24"/>
          <w:u w:val="single"/>
        </w:rPr>
        <w:t>1</w:t>
      </w:r>
      <w:r>
        <w:rPr>
          <w:rFonts w:hint="eastAsia" w:ascii="宋体" w:hAnsi="宋体" w:cs="宋体"/>
          <w:color w:val="0000FF"/>
          <w:sz w:val="24"/>
          <w:u w:val="single"/>
          <w:lang w:val="en-US" w:eastAsia="zh-CN"/>
        </w:rPr>
        <w:t>2</w:t>
      </w:r>
      <w:r>
        <w:rPr>
          <w:rFonts w:hint="eastAsia" w:ascii="宋体" w:hAnsi="宋体" w:cs="宋体"/>
          <w:color w:val="0000FF"/>
          <w:sz w:val="24"/>
          <w:u w:val="single"/>
        </w:rPr>
        <w:t>:00</w:t>
      </w:r>
      <w:r>
        <w:rPr>
          <w:color w:val="0000FF"/>
          <w:sz w:val="24"/>
          <w:lang w:bidi="ar"/>
        </w:rPr>
        <w:t>，下午</w:t>
      </w:r>
      <w:r>
        <w:rPr>
          <w:rFonts w:hint="eastAsia" w:ascii="宋体" w:hAnsi="宋体" w:cs="宋体"/>
          <w:color w:val="0000FF"/>
          <w:sz w:val="24"/>
          <w:u w:val="single"/>
        </w:rPr>
        <w:t>1</w:t>
      </w:r>
      <w:r>
        <w:rPr>
          <w:rFonts w:hint="eastAsia" w:ascii="宋体" w:hAnsi="宋体" w:cs="宋体"/>
          <w:color w:val="0000FF"/>
          <w:sz w:val="24"/>
          <w:u w:val="single"/>
          <w:lang w:val="en-US" w:eastAsia="zh-CN"/>
        </w:rPr>
        <w:t>2</w:t>
      </w:r>
      <w:r>
        <w:rPr>
          <w:rFonts w:hint="eastAsia" w:ascii="宋体" w:hAnsi="宋体" w:cs="宋体"/>
          <w:color w:val="0000FF"/>
          <w:sz w:val="24"/>
          <w:u w:val="single"/>
        </w:rPr>
        <w:t>:00</w:t>
      </w:r>
      <w:r>
        <w:rPr>
          <w:rFonts w:hint="eastAsia" w:ascii="宋体" w:hAnsi="宋体" w:cs="宋体"/>
          <w:color w:val="0000FF"/>
          <w:sz w:val="24"/>
          <w:lang w:bidi="ar"/>
        </w:rPr>
        <w:t>至</w:t>
      </w:r>
      <w:r>
        <w:rPr>
          <w:rFonts w:hint="eastAsia" w:ascii="宋体" w:hAnsi="宋体" w:cs="宋体"/>
          <w:color w:val="0000FF"/>
          <w:sz w:val="24"/>
          <w:u w:val="single"/>
        </w:rPr>
        <w:t>16:00</w:t>
      </w:r>
      <w:r>
        <w:rPr>
          <w:color w:val="0000FF"/>
          <w:sz w:val="24"/>
          <w:lang w:bidi="ar"/>
        </w:rPr>
        <w:t>（北京时间，法定节假日除外）。</w:t>
      </w:r>
    </w:p>
    <w:p>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pPr>
        <w:pStyle w:val="3"/>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7" w:name="_Toc28359005"/>
      <w:bookmarkStart w:id="28" w:name="_Toc28359082"/>
      <w:bookmarkStart w:id="29" w:name="_Toc35393793"/>
      <w:bookmarkStart w:id="30" w:name="_Toc35393624"/>
      <w:r>
        <w:rPr>
          <w:rFonts w:ascii="Times New Roman" w:hAnsi="Times New Roman" w:eastAsia="宋体"/>
          <w:color w:val="000000" w:themeColor="text1"/>
          <w:sz w:val="24"/>
          <w:szCs w:val="24"/>
          <w14:textFill>
            <w14:solidFill>
              <w14:schemeClr w14:val="tx1"/>
            </w14:solidFill>
          </w14:textFill>
        </w:rPr>
        <w:t>四、提交投标文件</w:t>
      </w:r>
      <w:bookmarkEnd w:id="27"/>
      <w:bookmarkEnd w:id="28"/>
      <w:r>
        <w:rPr>
          <w:rFonts w:ascii="Times New Roman" w:hAnsi="Times New Roman" w:eastAsia="宋体"/>
          <w:color w:val="000000" w:themeColor="text1"/>
          <w:sz w:val="24"/>
          <w:szCs w:val="24"/>
          <w14:textFill>
            <w14:solidFill>
              <w14:schemeClr w14:val="tx1"/>
            </w14:solidFill>
          </w14:textFill>
        </w:rPr>
        <w:t>截止时间、开标时间和地点</w:t>
      </w:r>
      <w:bookmarkEnd w:id="29"/>
      <w:bookmarkEnd w:id="30"/>
    </w:p>
    <w:p>
      <w:pPr>
        <w:spacing w:line="360" w:lineRule="auto"/>
        <w:ind w:firstLine="480" w:firstLineChars="200"/>
        <w:rPr>
          <w:bCs/>
          <w:color w:val="0000FF"/>
          <w:sz w:val="24"/>
          <w:u w:val="single"/>
        </w:rPr>
      </w:pPr>
      <w:r>
        <w:rPr>
          <w:color w:val="0000FF"/>
          <w:sz w:val="24"/>
          <w:lang w:bidi="ar"/>
        </w:rPr>
        <w:t>投标截止时间、开标时间：</w:t>
      </w:r>
      <w:r>
        <w:rPr>
          <w:color w:val="0000FF"/>
          <w:sz w:val="24"/>
          <w:u w:val="single"/>
          <w:lang w:bidi="ar"/>
        </w:rPr>
        <w:t>2026</w:t>
      </w:r>
      <w:r>
        <w:rPr>
          <w:rFonts w:hint="eastAsia"/>
          <w:color w:val="0000FF"/>
          <w:sz w:val="24"/>
          <w:lang w:bidi="ar"/>
        </w:rPr>
        <w:t>年</w:t>
      </w:r>
      <w:r>
        <w:rPr>
          <w:rFonts w:hint="eastAsia"/>
          <w:color w:val="0000FF"/>
          <w:sz w:val="24"/>
          <w:u w:val="single"/>
          <w:lang w:bidi="ar"/>
        </w:rPr>
        <w:t>0</w:t>
      </w:r>
      <w:r>
        <w:rPr>
          <w:rFonts w:hint="eastAsia"/>
          <w:color w:val="0000FF"/>
          <w:sz w:val="24"/>
          <w:u w:val="single"/>
          <w:lang w:val="en-US" w:eastAsia="zh-CN" w:bidi="ar"/>
        </w:rPr>
        <w:t>8</w:t>
      </w:r>
      <w:r>
        <w:rPr>
          <w:rFonts w:hint="eastAsia"/>
          <w:color w:val="0000FF"/>
          <w:sz w:val="24"/>
          <w:lang w:bidi="ar"/>
        </w:rPr>
        <w:t>月</w:t>
      </w:r>
      <w:r>
        <w:rPr>
          <w:rFonts w:hint="eastAsia"/>
          <w:color w:val="0000FF"/>
          <w:sz w:val="24"/>
          <w:u w:val="single"/>
          <w:lang w:val="en-US" w:eastAsia="zh-CN" w:bidi="ar"/>
        </w:rPr>
        <w:t>26</w:t>
      </w:r>
      <w:r>
        <w:rPr>
          <w:color w:val="0000FF"/>
          <w:sz w:val="24"/>
          <w:lang w:bidi="ar"/>
        </w:rPr>
        <w:t>日</w:t>
      </w:r>
      <w:r>
        <w:rPr>
          <w:rFonts w:hint="eastAsia"/>
          <w:color w:val="0000FF"/>
          <w:sz w:val="24"/>
          <w:u w:val="single"/>
          <w:lang w:val="en-US" w:eastAsia="zh-CN" w:bidi="ar"/>
        </w:rPr>
        <w:t>09</w:t>
      </w:r>
      <w:r>
        <w:rPr>
          <w:color w:val="0000FF"/>
          <w:sz w:val="24"/>
          <w:lang w:bidi="ar"/>
        </w:rPr>
        <w:t>点</w:t>
      </w:r>
      <w:r>
        <w:rPr>
          <w:rFonts w:hint="eastAsia"/>
          <w:color w:val="0000FF"/>
          <w:sz w:val="24"/>
          <w:u w:val="single"/>
          <w:lang w:val="en-US" w:eastAsia="zh-CN" w:bidi="ar"/>
        </w:rPr>
        <w:t>30</w:t>
      </w:r>
      <w:r>
        <w:rPr>
          <w:color w:val="0000FF"/>
          <w:sz w:val="24"/>
          <w:lang w:bidi="ar"/>
        </w:rPr>
        <w:t>分</w:t>
      </w:r>
      <w:r>
        <w:rPr>
          <w:bCs/>
          <w:color w:val="0000FF"/>
          <w:sz w:val="24"/>
          <w:lang w:bidi="ar"/>
        </w:rPr>
        <w:t>（北京时间）</w:t>
      </w:r>
      <w:r>
        <w:rPr>
          <w:iCs/>
          <w:color w:val="0000FF"/>
          <w:sz w:val="24"/>
          <w:lang w:bidi="ar"/>
        </w:rPr>
        <w:t>。</w:t>
      </w:r>
    </w:p>
    <w:p>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bidi="ar"/>
          <w14:textFill>
            <w14:solidFill>
              <w14:schemeClr w14:val="tx1"/>
            </w14:solidFill>
          </w14:textFill>
        </w:rPr>
        <w:t>地点：</w:t>
      </w:r>
      <w:r>
        <w:rPr>
          <w:rFonts w:hint="eastAsia" w:ascii="宋体" w:hAnsi="宋体" w:cs="宋体"/>
          <w:color w:val="000000" w:themeColor="text1"/>
          <w:sz w:val="24"/>
          <w:u w:val="single"/>
          <w:lang w:val="zh-CN"/>
          <w14:textFill>
            <w14:solidFill>
              <w14:schemeClr w14:val="tx1"/>
            </w14:solidFill>
          </w14:textFill>
        </w:rPr>
        <w:t>北京市政府采购电子交易平台。本项目采用远程电子开标方式，由投标人自行对电子投标文件进行解密，不接受纸质文件，无须投标人到达现场。</w:t>
      </w:r>
    </w:p>
    <w:p>
      <w:pPr>
        <w:spacing w:line="360" w:lineRule="auto"/>
        <w:ind w:firstLine="480" w:firstLineChars="200"/>
        <w:rPr>
          <w:bCs/>
          <w:color w:val="000000" w:themeColor="text1"/>
          <w:sz w:val="24"/>
          <w:u w:val="single"/>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1" w:name="_Toc28359007"/>
      <w:bookmarkStart w:id="32" w:name="_Toc35393794"/>
      <w:bookmarkStart w:id="33" w:name="_Toc28359084"/>
      <w:bookmarkStart w:id="34" w:name="_Toc35393625"/>
      <w:r>
        <w:rPr>
          <w:rFonts w:ascii="Times New Roman" w:hAnsi="Times New Roman" w:eastAsia="宋体"/>
          <w:color w:val="000000" w:themeColor="text1"/>
          <w:sz w:val="24"/>
          <w:szCs w:val="24"/>
          <w14:textFill>
            <w14:solidFill>
              <w14:schemeClr w14:val="tx1"/>
            </w14:solidFill>
          </w14:textFill>
        </w:rPr>
        <w:t>五、公告期限</w:t>
      </w:r>
      <w:bookmarkEnd w:id="31"/>
      <w:bookmarkEnd w:id="32"/>
      <w:bookmarkEnd w:id="33"/>
      <w:bookmarkEnd w:id="34"/>
    </w:p>
    <w:p>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自本公告发布之日起5个工作日。</w:t>
      </w:r>
    </w:p>
    <w:p>
      <w:pPr>
        <w:spacing w:line="360" w:lineRule="auto"/>
        <w:ind w:firstLine="480" w:firstLineChars="200"/>
        <w:rPr>
          <w:color w:val="000000" w:themeColor="text1"/>
          <w:kern w:val="0"/>
          <w:sz w:val="24"/>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5" w:name="_Toc35393626"/>
      <w:bookmarkStart w:id="36" w:name="_Toc35393795"/>
      <w:r>
        <w:rPr>
          <w:rFonts w:ascii="Times New Roman" w:hAnsi="Times New Roman" w:eastAsia="宋体"/>
          <w:color w:val="000000" w:themeColor="text1"/>
          <w:sz w:val="24"/>
          <w:szCs w:val="24"/>
          <w14:textFill>
            <w14:solidFill>
              <w14:schemeClr w14:val="tx1"/>
            </w14:solidFill>
          </w14:textFill>
        </w:rPr>
        <w:t>六、其他补充事宜</w:t>
      </w:r>
      <w:bookmarkEnd w:id="35"/>
      <w:bookmarkEnd w:id="36"/>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14:textFill>
            <w14:solidFill>
              <w14:schemeClr w14:val="tx1"/>
            </w14:solidFill>
          </w14:textFill>
        </w:rPr>
        <w:t>1.本项目需要落实的政府采购</w:t>
      </w:r>
      <w:r>
        <w:rPr>
          <w:rFonts w:hint="eastAsia"/>
          <w:color w:val="000000" w:themeColor="text1"/>
          <w:sz w:val="24"/>
          <w:highlight w:val="none"/>
          <w14:textFill>
            <w14:solidFill>
              <w14:schemeClr w14:val="tx1"/>
            </w14:solidFill>
          </w14:textFill>
        </w:rPr>
        <w:t xml:space="preserve">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 发展改革委关于印发节能产品政府采购品目清单的通知》（财库[2019]19号）、《政府采购促进中小企业发展管理办法》（财库[2020]46号）、《关于进一步加大政府采购支持中小企业力度的通知》(财库(2022)19号)及其它相关法律法规。 </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2.本项目采用全流程电子化采购方式，请供应商认真学习</w:t>
      </w:r>
      <w:r>
        <w:rPr>
          <w:rFonts w:hint="eastAsia"/>
          <w:color w:val="000000" w:themeColor="text1"/>
          <w:sz w:val="24"/>
          <w14:textFill>
            <w14:solidFill>
              <w14:schemeClr w14:val="tx1"/>
            </w14:solidFill>
          </w14:textFill>
        </w:rPr>
        <w:t>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CA数字证书服务热线 010-58511086</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电子营业执照服务热线 400-699-7000</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技术支持服务热线    010-86483801</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2.1办理CA数字证书或电子营业执照</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供应商登录北京市政府采购电子交易平台查阅 “用户指南”—“操作指南”—“市场主体CA办理操作流程指引”/“电子营业执照使用指南”，按照程序要求办理。</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2.2注册</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供应商登录北京市政府采购电子交易平台“用户指南”—“操作指南”—“市场主体注册入库操作流程指引”进行自助注册绑定。</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2.3驱动、客户端下载</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供应商登录北京市政府采购电子交易平台“用户指南”—“工具下载”—“招标采购系统文件驱动安装包”下载相关驱动。</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供应商登录北京市政府采购电子交易平台“用户指南”—“工具下载”—“投标文件编制工具”下载相关客户端。</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 获取电子招标文件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供应商使用CA数字证书或电子营业执照登录北京市政府采购电子交易平台获取电子招标文件。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2.5编制电子投标文件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2.6提交电子投标文件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供应商应于投标截止时间前在北京市政府采购电子交易平台提交电子投标文件，上传电子投标文件过程中请保持与互联网的连接畅通。</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2.7电子开标</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供应商在开标地点使用CA数字证书或电子营业执照登录北京市政府采购电子交易平台进行电子开标。</w:t>
      </w:r>
    </w:p>
    <w:p>
      <w:pPr>
        <w:spacing w:line="360" w:lineRule="auto"/>
        <w:ind w:firstLine="480" w:firstLineChars="200"/>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2.8本项目的采购年限为</w:t>
      </w:r>
      <w:r>
        <w:rPr>
          <w:rFonts w:hint="eastAsia"/>
          <w:color w:val="000000" w:themeColor="text1"/>
          <w:sz w:val="24"/>
          <w:u w:val="single"/>
          <w:lang w:val="en-US" w:eastAsia="zh-CN"/>
          <w14:textFill>
            <w14:solidFill>
              <w14:schemeClr w14:val="tx1"/>
            </w14:solidFill>
          </w14:textFill>
        </w:rPr>
        <w:t xml:space="preserve"> 3 </w:t>
      </w:r>
      <w:r>
        <w:rPr>
          <w:rFonts w:hint="eastAsia"/>
          <w:color w:val="000000" w:themeColor="text1"/>
          <w:sz w:val="24"/>
          <w:lang w:val="en-US" w:eastAsia="zh-CN"/>
          <w14:textFill>
            <w14:solidFill>
              <w14:schemeClr w14:val="tx1"/>
            </w14:solidFill>
          </w14:textFill>
        </w:rPr>
        <w:t>年、预算金额为</w:t>
      </w:r>
      <w:r>
        <w:rPr>
          <w:rFonts w:hint="eastAsia"/>
          <w:color w:val="000000" w:themeColor="text1"/>
          <w:sz w:val="24"/>
          <w:u w:val="single"/>
          <w:lang w:val="en-US" w:eastAsia="zh-CN"/>
          <w14:textFill>
            <w14:solidFill>
              <w14:schemeClr w14:val="tx1"/>
            </w14:solidFill>
          </w14:textFill>
        </w:rPr>
        <w:t xml:space="preserve"> 164.4 </w:t>
      </w:r>
      <w:r>
        <w:rPr>
          <w:rFonts w:hint="eastAsia"/>
          <w:color w:val="000000" w:themeColor="text1"/>
          <w:sz w:val="24"/>
          <w:lang w:val="en-US" w:eastAsia="zh-CN"/>
          <w14:textFill>
            <w14:solidFill>
              <w14:schemeClr w14:val="tx1"/>
            </w14:solidFill>
          </w14:textFill>
        </w:rPr>
        <w:t>万元、当年安排数为</w:t>
      </w:r>
      <w:r>
        <w:rPr>
          <w:rFonts w:hint="eastAsia"/>
          <w:color w:val="000000" w:themeColor="text1"/>
          <w:sz w:val="24"/>
          <w:u w:val="single"/>
          <w:lang w:val="en-US" w:eastAsia="zh-CN"/>
          <w14:textFill>
            <w14:solidFill>
              <w14:schemeClr w14:val="tx1"/>
            </w14:solidFill>
          </w14:textFill>
        </w:rPr>
        <w:t xml:space="preserve"> 54.8 </w:t>
      </w:r>
      <w:r>
        <w:rPr>
          <w:rFonts w:hint="eastAsia"/>
          <w:color w:val="000000" w:themeColor="text1"/>
          <w:sz w:val="24"/>
          <w:lang w:val="en-US" w:eastAsia="zh-CN"/>
          <w14:textFill>
            <w14:solidFill>
              <w14:schemeClr w14:val="tx1"/>
            </w14:solidFill>
          </w14:textFill>
        </w:rPr>
        <w:t>万元。</w:t>
      </w:r>
    </w:p>
    <w:p>
      <w:pPr>
        <w:pStyle w:val="12"/>
        <w:rPr>
          <w:lang w:eastAsia="zh-TW"/>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7" w:name="_Toc35393627"/>
      <w:bookmarkStart w:id="38" w:name="_Toc35393796"/>
      <w:bookmarkStart w:id="39" w:name="_Toc28359008"/>
      <w:bookmarkStart w:id="40" w:name="_Toc28359085"/>
      <w:r>
        <w:rPr>
          <w:rFonts w:ascii="Times New Roman" w:hAnsi="Times New Roman" w:eastAsia="宋体"/>
          <w:color w:val="000000" w:themeColor="text1"/>
          <w:sz w:val="24"/>
          <w:szCs w:val="24"/>
          <w14:textFill>
            <w14:solidFill>
              <w14:schemeClr w14:val="tx1"/>
            </w14:solidFill>
          </w14:textFill>
        </w:rPr>
        <w:t>七、对本次招标提出询问，请按以下方式联系。</w:t>
      </w:r>
      <w:bookmarkEnd w:id="37"/>
      <w:bookmarkEnd w:id="38"/>
      <w:bookmarkEnd w:id="39"/>
      <w:bookmarkEnd w:id="40"/>
    </w:p>
    <w:p>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1.采购人信息</w:t>
      </w:r>
    </w:p>
    <w:p>
      <w:pPr>
        <w:spacing w:line="360" w:lineRule="auto"/>
        <w:ind w:left="1079" w:leftChars="371" w:hanging="300" w:hangingChars="125"/>
        <w:jc w:val="left"/>
        <w:rPr>
          <w:rFonts w:hint="eastAsia" w:eastAsia="宋体"/>
          <w:color w:val="000000" w:themeColor="text1"/>
          <w:sz w:val="24"/>
          <w:highlight w:val="none"/>
          <w:lang w:eastAsia="zh-CN"/>
          <w14:textFill>
            <w14:solidFill>
              <w14:schemeClr w14:val="tx1"/>
            </w14:solidFill>
          </w14:textFill>
        </w:rPr>
      </w:pPr>
      <w:bookmarkStart w:id="41" w:name="_Toc28359009"/>
      <w:bookmarkStart w:id="42" w:name="_Toc28359086"/>
      <w:r>
        <w:rPr>
          <w:color w:val="000000" w:themeColor="text1"/>
          <w:sz w:val="24"/>
          <w14:textFill>
            <w14:solidFill>
              <w14:schemeClr w14:val="tx1"/>
            </w14:solidFill>
          </w14:textFill>
        </w:rPr>
        <w:t xml:space="preserve">名 </w:t>
      </w:r>
      <w:r>
        <w:rPr>
          <w:color w:val="000000" w:themeColor="text1"/>
          <w:sz w:val="24"/>
          <w:highlight w:val="none"/>
          <w14:textFill>
            <w14:solidFill>
              <w14:schemeClr w14:val="tx1"/>
            </w14:solidFill>
          </w14:textFill>
        </w:rPr>
        <w:t xml:space="preserve">   称：</w:t>
      </w:r>
      <w:r>
        <w:rPr>
          <w:rFonts w:hint="eastAsia" w:ascii="宋体" w:hAnsi="宋体" w:cs="宋体"/>
          <w:color w:val="000000" w:themeColor="text1"/>
          <w:sz w:val="24"/>
          <w:highlight w:val="none"/>
          <w:u w:val="single"/>
          <w:lang w:eastAsia="zh-CN"/>
          <w14:textFill>
            <w14:solidFill>
              <w14:schemeClr w14:val="tx1"/>
            </w14:solidFill>
          </w14:textFill>
        </w:rPr>
        <w:t>北京市顺义区医院</w:t>
      </w:r>
    </w:p>
    <w:p>
      <w:pPr>
        <w:spacing w:line="360" w:lineRule="auto"/>
        <w:ind w:left="1079" w:leftChars="371" w:hanging="300" w:hangingChars="125"/>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地    址：</w:t>
      </w:r>
      <w:r>
        <w:rPr>
          <w:rFonts w:hint="eastAsia" w:ascii="宋体" w:hAnsi="宋体" w:cs="宋体"/>
          <w:color w:val="000000" w:themeColor="text1"/>
          <w:sz w:val="24"/>
          <w:highlight w:val="none"/>
          <w:u w:val="single"/>
          <w14:textFill>
            <w14:solidFill>
              <w14:schemeClr w14:val="tx1"/>
            </w14:solidFill>
          </w14:textFill>
        </w:rPr>
        <w:t>北京市顺义区胜利街道光明南街3号</w:t>
      </w:r>
    </w:p>
    <w:p>
      <w:pPr>
        <w:spacing w:line="360" w:lineRule="auto"/>
        <w:ind w:left="1079" w:leftChars="371" w:hanging="300" w:hangingChars="125"/>
        <w:jc w:val="left"/>
        <w:rPr>
          <w:rFonts w:hint="default" w:eastAsia="宋体"/>
          <w:color w:val="000000" w:themeColor="text1"/>
          <w:sz w:val="24"/>
          <w:u w:val="single"/>
          <w:lang w:val="en-US" w:eastAsia="zh-CN"/>
          <w14:textFill>
            <w14:solidFill>
              <w14:schemeClr w14:val="tx1"/>
            </w14:solidFill>
          </w14:textFill>
        </w:rPr>
      </w:pPr>
      <w:r>
        <w:rPr>
          <w:color w:val="000000" w:themeColor="text1"/>
          <w:sz w:val="24"/>
          <w:highlight w:val="none"/>
          <w14:textFill>
            <w14:solidFill>
              <w14:schemeClr w14:val="tx1"/>
            </w14:solidFill>
          </w14:textFill>
        </w:rPr>
        <w:t>联系方式：</w:t>
      </w:r>
      <w:r>
        <w:rPr>
          <w:rFonts w:hint="eastAsia" w:ascii="宋体" w:hAnsi="宋体" w:cs="宋体"/>
          <w:color w:val="000000" w:themeColor="text1"/>
          <w:sz w:val="24"/>
          <w:highlight w:val="none"/>
          <w:u w:val="single"/>
          <w:lang w:val="en-US" w:eastAsia="zh-CN"/>
          <w14:textFill>
            <w14:solidFill>
              <w14:schemeClr w14:val="tx1"/>
            </w14:solidFill>
          </w14:textFill>
        </w:rPr>
        <w:t>徐老师</w:t>
      </w:r>
      <w:r>
        <w:rPr>
          <w:rFonts w:hint="eastAsia"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010-69420598</w:t>
      </w:r>
    </w:p>
    <w:p>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2.采购代理机构信息</w:t>
      </w:r>
      <w:bookmarkEnd w:id="41"/>
      <w:bookmarkEnd w:id="42"/>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bookmarkStart w:id="43" w:name="_Toc28359087"/>
      <w:bookmarkStart w:id="44" w:name="_Toc28359010"/>
      <w:r>
        <w:rPr>
          <w:color w:val="000000" w:themeColor="text1"/>
          <w:sz w:val="24"/>
          <w14:textFill>
            <w14:solidFill>
              <w14:schemeClr w14:val="tx1"/>
            </w14:solidFill>
          </w14:textFill>
        </w:rPr>
        <w:t>名    称：</w:t>
      </w:r>
      <w:r>
        <w:rPr>
          <w:rFonts w:hint="eastAsia" w:ascii="宋体" w:hAnsi="宋体" w:cs="宋体"/>
          <w:color w:val="000000" w:themeColor="text1"/>
          <w:sz w:val="24"/>
          <w:u w:val="single"/>
          <w:lang w:eastAsia="zh-CN"/>
          <w14:textFill>
            <w14:solidFill>
              <w14:schemeClr w14:val="tx1"/>
            </w14:solidFill>
          </w14:textFill>
        </w:rPr>
        <w:t>北京北咨招标有限公司</w:t>
      </w:r>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地    址：</w:t>
      </w:r>
      <w:r>
        <w:rPr>
          <w:rFonts w:hint="eastAsia" w:ascii="宋体" w:hAnsi="宋体" w:cs="宋体"/>
          <w:color w:val="000000" w:themeColor="text1"/>
          <w:sz w:val="24"/>
          <w:u w:val="single"/>
          <w:lang w:eastAsia="zh-CN"/>
          <w14:textFill>
            <w14:solidFill>
              <w14:schemeClr w14:val="tx1"/>
            </w14:solidFill>
          </w14:textFill>
        </w:rPr>
        <w:t>北京市朝阳区华腾世纪总部公园F座11层</w:t>
      </w:r>
    </w:p>
    <w:p>
      <w:pPr>
        <w:spacing w:line="360" w:lineRule="auto"/>
        <w:ind w:left="1079" w:leftChars="371" w:hanging="300" w:hangingChars="125"/>
        <w:jc w:val="left"/>
        <w:rPr>
          <w:rFonts w:hint="eastAsia" w:eastAsia="宋体"/>
          <w:color w:val="000000" w:themeColor="text1"/>
          <w:sz w:val="24"/>
          <w:u w:val="single"/>
          <w:lang w:eastAsia="zh-CN"/>
          <w14:textFill>
            <w14:solidFill>
              <w14:schemeClr w14:val="tx1"/>
            </w14:solidFill>
          </w14:textFill>
        </w:rPr>
      </w:pPr>
      <w:r>
        <w:rPr>
          <w:color w:val="000000" w:themeColor="text1"/>
          <w:sz w:val="24"/>
          <w14:textFill>
            <w14:solidFill>
              <w14:schemeClr w14:val="tx1"/>
            </w14:solidFill>
          </w14:textFill>
        </w:rPr>
        <w:t>联系方式：</w:t>
      </w:r>
      <w:bookmarkStart w:id="45" w:name="OLE_LINK42"/>
      <w:bookmarkStart w:id="46" w:name="OLE_LINK41"/>
      <w:r>
        <w:rPr>
          <w:rFonts w:hint="eastAsia" w:ascii="宋体" w:hAnsi="宋体" w:cs="宋体"/>
          <w:color w:val="000000" w:themeColor="text1"/>
          <w:sz w:val="24"/>
          <w:u w:val="single"/>
          <w:lang w:eastAsia="zh-CN"/>
          <w14:textFill>
            <w14:solidFill>
              <w14:schemeClr w14:val="tx1"/>
            </w14:solidFill>
          </w14:textFill>
        </w:rPr>
        <w:t>陈思、锅妍</w:t>
      </w:r>
      <w:r>
        <w:rPr>
          <w:rFonts w:hint="eastAsia" w:ascii="宋体" w:hAnsi="宋体" w:cs="宋体"/>
          <w:color w:val="000000" w:themeColor="text1"/>
          <w:sz w:val="24"/>
          <w14:textFill>
            <w14:solidFill>
              <w14:schemeClr w14:val="tx1"/>
            </w14:solidFill>
          </w14:textFill>
        </w:rPr>
        <w:t xml:space="preserve">   电话：</w:t>
      </w:r>
      <w:bookmarkEnd w:id="45"/>
      <w:bookmarkEnd w:id="46"/>
      <w:r>
        <w:rPr>
          <w:rFonts w:hint="eastAsia" w:ascii="宋体" w:hAnsi="宋体" w:cs="宋体"/>
          <w:color w:val="000000" w:themeColor="text1"/>
          <w:sz w:val="24"/>
          <w:u w:val="single"/>
          <w:lang w:eastAsia="zh-CN"/>
          <w14:textFill>
            <w14:solidFill>
              <w14:schemeClr w14:val="tx1"/>
            </w14:solidFill>
          </w14:textFill>
        </w:rPr>
        <w:t>18614255086</w:t>
      </w:r>
    </w:p>
    <w:p>
      <w:pPr>
        <w:spacing w:line="360" w:lineRule="auto"/>
        <w:ind w:left="1080" w:leftChars="371" w:hanging="301" w:hangingChars="125"/>
        <w:jc w:val="left"/>
        <w:rPr>
          <w:b/>
          <w:color w:val="000000" w:themeColor="text1"/>
          <w:sz w:val="24"/>
          <w:u w:val="single"/>
          <w14:textFill>
            <w14:solidFill>
              <w14:schemeClr w14:val="tx1"/>
            </w14:solidFill>
          </w14:textFill>
        </w:rPr>
      </w:pPr>
      <w:r>
        <w:rPr>
          <w:b/>
          <w:color w:val="000000" w:themeColor="text1"/>
          <w:sz w:val="24"/>
          <w14:textFill>
            <w14:solidFill>
              <w14:schemeClr w14:val="tx1"/>
            </w14:solidFill>
          </w14:textFill>
        </w:rPr>
        <w:t>3.项目联系方式</w:t>
      </w:r>
      <w:bookmarkEnd w:id="43"/>
      <w:bookmarkEnd w:id="44"/>
    </w:p>
    <w:p>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项目联系人：</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u w:val="single"/>
          <w:lang w:eastAsia="zh-CN"/>
          <w14:textFill>
            <w14:solidFill>
              <w14:schemeClr w14:val="tx1"/>
            </w14:solidFill>
          </w14:textFill>
        </w:rPr>
        <w:t>陈思、锅妍</w:t>
      </w:r>
      <w:r>
        <w:rPr>
          <w:rFonts w:hint="eastAsia" w:hAnsi="宋体" w:cs="宋体"/>
          <w:color w:val="000000" w:themeColor="text1"/>
          <w:sz w:val="24"/>
          <w:u w:val="single"/>
          <w14:textFill>
            <w14:solidFill>
              <w14:schemeClr w14:val="tx1"/>
            </w14:solidFill>
          </w14:textFill>
        </w:rPr>
        <w:t xml:space="preserve"> </w:t>
      </w:r>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电      话：</w:t>
      </w:r>
      <w:r>
        <w:rPr>
          <w:rFonts w:hint="eastAsia" w:hAnsi="宋体" w:cs="宋体"/>
          <w:color w:val="000000" w:themeColor="text1"/>
          <w:sz w:val="24"/>
          <w:u w:val="single"/>
          <w:lang w:eastAsia="zh-CN"/>
          <w14:textFill>
            <w14:solidFill>
              <w14:schemeClr w14:val="tx1"/>
            </w14:solidFill>
          </w14:textFill>
        </w:rPr>
        <w:t>18614255086</w:t>
      </w:r>
    </w:p>
    <w:p>
      <w:pPr>
        <w:spacing w:line="360" w:lineRule="auto"/>
        <w:ind w:firstLine="5880" w:firstLineChars="2450"/>
        <w:jc w:val="right"/>
        <w:rPr>
          <w:color w:val="000000" w:themeColor="text1"/>
          <w:sz w:val="24"/>
          <w14:textFill>
            <w14:solidFill>
              <w14:schemeClr w14:val="tx1"/>
            </w14:solidFill>
          </w14:textFill>
        </w:rPr>
      </w:pPr>
    </w:p>
    <w:p>
      <w:pPr>
        <w:spacing w:line="360" w:lineRule="auto"/>
        <w:jc w:val="center"/>
        <w:outlineLvl w:val="0"/>
        <w:rPr>
          <w:b/>
          <w:color w:val="000000" w:themeColor="text1"/>
          <w:sz w:val="32"/>
          <w:szCs w:val="32"/>
          <w14:textFill>
            <w14:solidFill>
              <w14:schemeClr w14:val="tx1"/>
            </w14:solidFill>
          </w14:textFill>
        </w:rPr>
      </w:pPr>
      <w:r>
        <w:rPr>
          <w:color w:val="000000" w:themeColor="text1"/>
          <w:sz w:val="24"/>
          <w14:textFill>
            <w14:solidFill>
              <w14:schemeClr w14:val="tx1"/>
            </w14:solidFill>
          </w14:textFill>
        </w:rPr>
        <w:br w:type="page"/>
      </w:r>
      <w:bookmarkStart w:id="47" w:name="_Toc150774783"/>
      <w:bookmarkStart w:id="48" w:name="_Toc305158854"/>
      <w:bookmarkStart w:id="49" w:name="_Toc127151777"/>
      <w:bookmarkStart w:id="50" w:name="_Toc127161488"/>
      <w:bookmarkStart w:id="51" w:name="_Toc265228423"/>
      <w:bookmarkStart w:id="52" w:name="_Toc226965856"/>
      <w:bookmarkStart w:id="53" w:name="_Toc353825548"/>
      <w:bookmarkStart w:id="54" w:name="_Toc353873938"/>
      <w:bookmarkStart w:id="55" w:name="_Toc264969275"/>
      <w:bookmarkStart w:id="56" w:name="_Toc512937850"/>
      <w:bookmarkStart w:id="57" w:name="_Toc195842950"/>
      <w:bookmarkStart w:id="58" w:name="_Toc229670242"/>
      <w:bookmarkStart w:id="59" w:name="_Toc305158928"/>
      <w:r>
        <w:rPr>
          <w:b/>
          <w:color w:val="000000" w:themeColor="text1"/>
          <w:sz w:val="36"/>
          <w:szCs w:val="36"/>
          <w14:textFill>
            <w14:solidFill>
              <w14:schemeClr w14:val="tx1"/>
            </w14:solidFill>
          </w14:textFill>
        </w:rPr>
        <w:t>第二章   投标人须知</w:t>
      </w:r>
      <w:bookmarkEnd w:id="47"/>
      <w:bookmarkEnd w:id="48"/>
      <w:bookmarkEnd w:id="49"/>
      <w:bookmarkEnd w:id="50"/>
      <w:bookmarkEnd w:id="51"/>
      <w:bookmarkEnd w:id="52"/>
      <w:bookmarkEnd w:id="53"/>
      <w:bookmarkEnd w:id="54"/>
      <w:bookmarkEnd w:id="55"/>
      <w:bookmarkEnd w:id="56"/>
      <w:bookmarkEnd w:id="57"/>
      <w:bookmarkEnd w:id="58"/>
      <w:bookmarkEnd w:id="59"/>
    </w:p>
    <w:p>
      <w:pPr>
        <w:pStyle w:val="3"/>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60" w:name="_Toc149720812"/>
      <w:bookmarkStart w:id="61" w:name="_Toc151193761"/>
      <w:bookmarkStart w:id="62" w:name="_Toc151190146"/>
      <w:bookmarkStart w:id="63" w:name="_Toc520356144"/>
      <w:bookmarkStart w:id="64" w:name="_Toc150774619"/>
      <w:bookmarkStart w:id="65" w:name="_Toc151193689"/>
      <w:bookmarkStart w:id="66" w:name="_Toc195842884"/>
      <w:bookmarkStart w:id="67" w:name="_Toc151193833"/>
      <w:bookmarkStart w:id="68" w:name="_Toc150774724"/>
      <w:bookmarkStart w:id="69" w:name="_Toc142311021"/>
      <w:bookmarkStart w:id="70" w:name="_Toc150480757"/>
      <w:bookmarkStart w:id="71" w:name="_Toc226965792"/>
      <w:bookmarkStart w:id="72" w:name="_Toc164229360"/>
      <w:bookmarkStart w:id="73" w:name="_Toc127151720"/>
      <w:bookmarkStart w:id="74" w:name="_Toc164608633"/>
      <w:bookmarkStart w:id="75" w:name="_Toc127161433"/>
      <w:bookmarkStart w:id="76" w:name="_Toc164229214"/>
      <w:bookmarkStart w:id="77" w:name="_Toc164351613"/>
      <w:bookmarkStart w:id="78" w:name="_Toc164608788"/>
      <w:bookmarkStart w:id="79" w:name="_Toc150509270"/>
      <w:bookmarkStart w:id="80" w:name="_Toc226965709"/>
      <w:bookmarkStart w:id="81" w:name="_Toc226337215"/>
      <w:bookmarkStart w:id="82" w:name="_Toc151193907"/>
      <w:bookmarkStart w:id="83" w:name="_Toc226309763"/>
      <w:bookmarkStart w:id="84" w:name="_Toc151193617"/>
      <w:bookmarkStart w:id="85" w:name="_Toc127151519"/>
      <w:r>
        <w:rPr>
          <w:rFonts w:ascii="Times New Roman" w:hAnsi="Times New Roman" w:eastAsia="宋体"/>
          <w:color w:val="000000" w:themeColor="text1"/>
          <w:sz w:val="28"/>
          <w14:textFill>
            <w14:solidFill>
              <w14:schemeClr w14:val="tx1"/>
            </w14:solidFill>
          </w14:textFill>
        </w:rPr>
        <w:t>投标人须知资料表</w:t>
      </w:r>
    </w:p>
    <w:p>
      <w:pPr>
        <w:jc w:val="center"/>
        <w:rPr>
          <w:b/>
          <w:color w:val="000000" w:themeColor="text1"/>
          <w:sz w:val="28"/>
          <w:szCs w:val="28"/>
          <w14:textFill>
            <w14:solidFill>
              <w14:schemeClr w14:val="tx1"/>
            </w14:solidFill>
          </w14:textFill>
        </w:rPr>
      </w:pPr>
    </w:p>
    <w:p>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本表是对投标人须知的具体补充和修改，如有矛盾，均以本资料表为准。</w:t>
      </w:r>
    </w:p>
    <w:tbl>
      <w:tblPr>
        <w:tblStyle w:val="18"/>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条目</w:t>
            </w:r>
          </w:p>
        </w:tc>
        <w:tc>
          <w:tcPr>
            <w:tcW w:w="7540" w:type="dxa"/>
            <w:vAlign w:val="center"/>
          </w:tcPr>
          <w:p>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服务</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2.3</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w:t>
            </w:r>
          </w:p>
          <w:p>
            <w:pPr>
              <w:jc w:val="left"/>
              <w:rPr>
                <w:color w:val="000000" w:themeColor="text1"/>
                <w:sz w:val="24"/>
                <w14:textFill>
                  <w14:solidFill>
                    <w14:schemeClr w14:val="tx1"/>
                  </w14:solidFill>
                </w14:textFill>
              </w:rPr>
            </w:pPr>
            <w:bookmarkStart w:id="86" w:name="OLE_LINK147"/>
            <w:bookmarkStart w:id="87" w:name="OLE_LINK148"/>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bookmarkEnd w:id="86"/>
            <w:bookmarkEnd w:id="8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2.4</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w:t>
            </w:r>
          </w:p>
        </w:tc>
        <w:tc>
          <w:tcPr>
            <w:tcW w:w="7540" w:type="dxa"/>
            <w:vAlign w:val="center"/>
          </w:tcPr>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关于核心产品本项目__包不适用。</w:t>
            </w:r>
          </w:p>
          <w:p>
            <w:pPr>
              <w:adjustRightInd w:val="0"/>
              <w:snapToGrid w:val="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本项目__包为单一产品采购项目。</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7540" w:type="dxa"/>
            <w:vAlign w:val="center"/>
          </w:tcPr>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不组织</w:t>
            </w:r>
          </w:p>
          <w:p>
            <w:pPr>
              <w:jc w:val="left"/>
              <w:rPr>
                <w:bCs/>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组织，考察时间：__年_月_日_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adjustRightInd w:val="0"/>
              <w:snapToGrid w:val="0"/>
              <w:jc w:val="center"/>
              <w:rPr>
                <w:color w:val="000000" w:themeColor="text1"/>
                <w:sz w:val="24"/>
                <w14:textFill>
                  <w14:solidFill>
                    <w14:schemeClr w14:val="tx1"/>
                  </w14:solidFill>
                </w14:textFill>
              </w:rPr>
            </w:pP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7540" w:type="dxa"/>
            <w:vAlign w:val="center"/>
          </w:tcPr>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不召开</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召开，召开时间：__年_月_日_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不需要</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需要，具体要求如下：</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（5）中标人样品保管、封存及退还：_________；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5.3.5</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本项目采购标的对应的中小企业划分标准所属行业：</w:t>
            </w:r>
          </w:p>
          <w:tbl>
            <w:tblPr>
              <w:tblStyle w:val="18"/>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themeColor="text1"/>
                      <w:sz w:val="24"/>
                      <w:lang w:eastAsia="zh-CN"/>
                      <w14:textFill>
                        <w14:solidFill>
                          <w14:schemeClr w14:val="tx1"/>
                        </w14:solidFill>
                      </w14:textFill>
                    </w:rPr>
                  </w:pPr>
                  <w:r>
                    <w:rPr>
                      <w:rFonts w:hint="eastAsia"/>
                      <w:bCs/>
                      <w:color w:val="000000" w:themeColor="text1"/>
                      <w:sz w:val="24"/>
                      <w:lang w:eastAsia="zh-CN"/>
                      <w14:textFill>
                        <w14:solidFill>
                          <w14:schemeClr w14:val="tx1"/>
                        </w14:solidFill>
                      </w14:textFill>
                    </w:rPr>
                    <w:t>北京市顺义区医院放射科西门子CT(SOMATOMgo.up)保修服务购置项目</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其他未列明行业</w:t>
                  </w:r>
                </w:p>
              </w:tc>
            </w:tr>
          </w:tbl>
          <w:p>
            <w:pPr>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14:textFill>
                  <w14:solidFill>
                    <w14:schemeClr w14:val="tx1"/>
                  </w14:solidFill>
                </w14:textFill>
              </w:rPr>
              <w:br w:type="page"/>
            </w:r>
            <w:r>
              <w:rPr>
                <w:color w:val="000000" w:themeColor="text1"/>
                <w:sz w:val="24"/>
                <w14:textFill>
                  <w14:solidFill>
                    <w14:schemeClr w14:val="tx1"/>
                  </w14:solidFill>
                </w14:textFill>
              </w:rPr>
              <w:t>11.2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无</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有，具体情形：</w:t>
            </w:r>
            <w:r>
              <w:rPr>
                <w:rFonts w:hint="eastAsia" w:eastAsiaTheme="minorEastAsia"/>
                <w:color w:val="000000" w:themeColor="text1"/>
                <w:sz w:val="24"/>
                <w:u w:val="single"/>
                <w14:textFill>
                  <w14:solidFill>
                    <w14:schemeClr w14:val="tx1"/>
                  </w14:solidFill>
                </w14:textFill>
              </w:rPr>
              <w:t>最高限价</w:t>
            </w:r>
            <w:r>
              <w:rPr>
                <w:rFonts w:hint="eastAsia" w:eastAsiaTheme="minorEastAsia"/>
                <w:color w:val="000000" w:themeColor="text1"/>
                <w:sz w:val="24"/>
                <w:u w:val="single"/>
                <w:lang w:val="en-US" w:eastAsia="zh-CN"/>
                <w14:textFill>
                  <w14:solidFill>
                    <w14:schemeClr w14:val="tx1"/>
                  </w14:solidFill>
                </w14:textFill>
              </w:rPr>
              <w:t>1644</w:t>
            </w:r>
            <w:r>
              <w:rPr>
                <w:rFonts w:eastAsiaTheme="minorEastAsia"/>
                <w:color w:val="000000" w:themeColor="text1"/>
                <w:sz w:val="24"/>
                <w:u w:val="single"/>
                <w14:textFill>
                  <w14:solidFill>
                    <w14:schemeClr w14:val="tx1"/>
                  </w14:solidFill>
                </w14:textFill>
              </w:rPr>
              <w:t>000</w:t>
            </w:r>
            <w:r>
              <w:rPr>
                <w:rFonts w:hint="eastAsia" w:eastAsiaTheme="minorEastAsia"/>
                <w:color w:val="000000" w:themeColor="text1"/>
                <w:sz w:val="24"/>
                <w:u w:val="single"/>
                <w:lang w:val="en-US" w:eastAsia="zh-CN"/>
                <w14:textFill>
                  <w14:solidFill>
                    <w14:schemeClr w14:val="tx1"/>
                  </w14:solidFill>
                </w14:textFill>
              </w:rPr>
              <w:t>元</w:t>
            </w:r>
            <w:r>
              <w:rPr>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12.1</w:t>
            </w:r>
          </w:p>
        </w:tc>
        <w:tc>
          <w:tcPr>
            <w:tcW w:w="1701" w:type="dxa"/>
            <w:vMerge w:val="restart"/>
            <w:vAlign w:val="center"/>
          </w:tcPr>
          <w:p>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pPr>
              <w:adjustRightInd w:val="0"/>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投标保证金金额：</w:t>
            </w:r>
            <w:r>
              <w:rPr>
                <w:rFonts w:hAnsi="宋体" w:cs="宋体"/>
                <w:color w:val="000000" w:themeColor="text1"/>
                <w:sz w:val="24"/>
                <w:highlight w:val="none"/>
                <w14:textFill>
                  <w14:solidFill>
                    <w14:schemeClr w14:val="tx1"/>
                  </w14:solidFill>
                </w14:textFill>
              </w:rPr>
              <w:t>¥</w:t>
            </w:r>
            <w:r>
              <w:rPr>
                <w:rFonts w:hint="eastAsia" w:hAnsi="宋体" w:cs="宋体"/>
                <w:color w:val="000000" w:themeColor="text1"/>
                <w:sz w:val="24"/>
                <w:highlight w:val="none"/>
                <w:u w:val="single"/>
                <w:lang w:val="en-US" w:eastAsia="zh-CN"/>
                <w14:textFill>
                  <w14:solidFill>
                    <w14:schemeClr w14:val="tx1"/>
                  </w14:solidFill>
                </w14:textFill>
              </w:rPr>
              <w:t>24660</w:t>
            </w:r>
            <w:r>
              <w:rPr>
                <w:rFonts w:hAnsi="宋体" w:cs="宋体"/>
                <w:color w:val="000000" w:themeColor="text1"/>
                <w:sz w:val="24"/>
                <w:highlight w:val="none"/>
                <w:u w:val="single"/>
                <w14:textFill>
                  <w14:solidFill>
                    <w14:schemeClr w14:val="tx1"/>
                  </w14:solidFill>
                </w14:textFill>
              </w:rPr>
              <w:t xml:space="preserve"> 元</w:t>
            </w:r>
            <w:r>
              <w:rPr>
                <w:rFonts w:hAnsi="宋体" w:cs="宋体"/>
                <w:color w:val="000000" w:themeColor="text1"/>
                <w:sz w:val="24"/>
                <w:highlight w:val="none"/>
                <w14:textFill>
                  <w14:solidFill>
                    <w14:schemeClr w14:val="tx1"/>
                  </w14:solidFill>
                </w14:textFill>
              </w:rPr>
              <w:t>（大写：</w:t>
            </w:r>
            <w:r>
              <w:rPr>
                <w:rFonts w:hAnsi="宋体" w:cs="宋体"/>
                <w:color w:val="000000" w:themeColor="text1"/>
                <w:sz w:val="24"/>
                <w:highlight w:val="none"/>
                <w:u w:val="single"/>
                <w14:textFill>
                  <w14:solidFill>
                    <w14:schemeClr w14:val="tx1"/>
                  </w14:solidFill>
                </w14:textFill>
              </w:rPr>
              <w:t xml:space="preserve"> </w:t>
            </w:r>
            <w:r>
              <w:rPr>
                <w:rFonts w:hint="eastAsia" w:hAnsi="宋体" w:cs="宋体"/>
                <w:color w:val="000000" w:themeColor="text1"/>
                <w:sz w:val="24"/>
                <w:highlight w:val="none"/>
                <w:u w:val="single"/>
                <w:lang w:val="en-US" w:eastAsia="zh-CN"/>
                <w14:textFill>
                  <w14:solidFill>
                    <w14:schemeClr w14:val="tx1"/>
                  </w14:solidFill>
                </w14:textFill>
              </w:rPr>
              <w:t>贰万肆仟陆佰陆拾</w:t>
            </w:r>
            <w:r>
              <w:rPr>
                <w:rFonts w:hAnsi="宋体" w:cs="宋体"/>
                <w:color w:val="000000" w:themeColor="text1"/>
                <w:sz w:val="24"/>
                <w:highlight w:val="none"/>
                <w:u w:val="single"/>
                <w14:textFill>
                  <w14:solidFill>
                    <w14:schemeClr w14:val="tx1"/>
                  </w14:solidFill>
                </w14:textFill>
              </w:rPr>
              <w:t xml:space="preserve"> </w:t>
            </w:r>
            <w:r>
              <w:rPr>
                <w:rFonts w:hAnsi="宋体" w:cs="宋体"/>
                <w:color w:val="000000" w:themeColor="text1"/>
                <w:sz w:val="24"/>
                <w:highlight w:val="none"/>
                <w14:textFill>
                  <w14:solidFill>
                    <w14:schemeClr w14:val="tx1"/>
                  </w14:solidFill>
                </w14:textFill>
              </w:rPr>
              <w:t>元整）</w:t>
            </w:r>
            <w:r>
              <w:rPr>
                <w:color w:val="000000" w:themeColor="text1"/>
                <w:sz w:val="24"/>
                <w:highlight w:val="none"/>
                <w14:textFill>
                  <w14:solidFill>
                    <w14:schemeClr w14:val="tx1"/>
                  </w14:solidFill>
                </w14:textFill>
              </w:rPr>
              <w:t>；</w:t>
            </w:r>
          </w:p>
          <w:p>
            <w:pPr>
              <w:spacing w:line="28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投标保证金收受人信息：</w:t>
            </w:r>
            <w:bookmarkStart w:id="88" w:name="OLE_LINK62"/>
            <w:bookmarkStart w:id="89" w:name="OLE_LINK63"/>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开户名称：北京北咨招标有限公司</w:t>
            </w:r>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开户银行：北京银行股份有限公司西单支行</w:t>
            </w:r>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帐    号：20000043272000033646532</w:t>
            </w:r>
          </w:p>
          <w:bookmarkEnd w:id="88"/>
          <w:bookmarkEnd w:id="89"/>
          <w:p>
            <w:pPr>
              <w:spacing w:before="120" w:after="120" w:line="280" w:lineRule="exact"/>
              <w:rPr>
                <w:color w:val="000000" w:themeColor="text1"/>
                <w:sz w:val="24"/>
                <w:szCs w:val="32"/>
                <w:highlight w:val="none"/>
                <w14:textFill>
                  <w14:solidFill>
                    <w14:schemeClr w14:val="tx1"/>
                  </w14:solidFill>
                </w14:textFill>
              </w:rPr>
            </w:pPr>
            <w:r>
              <w:rPr>
                <w:rFonts w:hint="eastAsia" w:cs="宋体"/>
                <w:color w:val="000000" w:themeColor="text1"/>
                <w:sz w:val="24"/>
                <w:szCs w:val="32"/>
                <w:highlight w:val="none"/>
                <w14:textFill>
                  <w14:solidFill>
                    <w14:schemeClr w14:val="tx1"/>
                  </w14:solidFill>
                </w14:textFill>
              </w:rPr>
              <w:t>投标保证金形式</w:t>
            </w:r>
            <w:r>
              <w:rPr>
                <w:rFonts w:cs="宋体"/>
                <w:color w:val="000000" w:themeColor="text1"/>
                <w:sz w:val="24"/>
                <w:szCs w:val="32"/>
                <w:highlight w:val="none"/>
                <w14:textFill>
                  <w14:solidFill>
                    <w14:schemeClr w14:val="tx1"/>
                  </w14:solidFill>
                </w14:textFill>
              </w:rPr>
              <w:t>:</w:t>
            </w:r>
            <w:r>
              <w:rPr>
                <w:rFonts w:hint="eastAsia" w:cs="宋体"/>
                <w:color w:val="000000" w:themeColor="text1"/>
                <w:sz w:val="24"/>
                <w:szCs w:val="32"/>
                <w:highlight w:val="none"/>
                <w14:textFill>
                  <w14:solidFill>
                    <w14:schemeClr w14:val="tx1"/>
                  </w14:solidFill>
                </w14:textFill>
              </w:rPr>
              <w:t>应当以支票、汇票、本</w:t>
            </w:r>
            <w:r>
              <w:rPr>
                <w:rFonts w:hint="eastAsia"/>
                <w:color w:val="000000" w:themeColor="text1"/>
                <w:sz w:val="24"/>
                <w:szCs w:val="32"/>
                <w:highlight w:val="none"/>
                <w14:textFill>
                  <w14:solidFill>
                    <w14:schemeClr w14:val="tx1"/>
                  </w14:solidFill>
                </w14:textFill>
              </w:rPr>
              <w:t>票、电汇、转账或者金融机构、担保机构出具的保函等非现金形式提交。</w:t>
            </w:r>
          </w:p>
          <w:p>
            <w:pPr>
              <w:spacing w:before="120" w:after="120" w:line="280" w:lineRule="exact"/>
              <w:rPr>
                <w:color w:val="000000" w:themeColor="text1"/>
                <w:sz w:val="24"/>
                <w:szCs w:val="32"/>
                <w:highlight w:val="none"/>
                <w14:textFill>
                  <w14:solidFill>
                    <w14:schemeClr w14:val="tx1"/>
                  </w14:solidFill>
                </w14:textFill>
              </w:rPr>
            </w:pPr>
            <w:r>
              <w:rPr>
                <w:rFonts w:hint="eastAsia"/>
                <w:color w:val="000000" w:themeColor="text1"/>
                <w:sz w:val="24"/>
                <w:szCs w:val="32"/>
                <w:highlight w:val="none"/>
                <w14:textFill>
                  <w14:solidFill>
                    <w14:schemeClr w14:val="tx1"/>
                  </w14:solidFill>
                </w14:textFill>
              </w:rPr>
              <w:t>提交截止时间：需在开标截止日期前交至</w:t>
            </w:r>
            <w:r>
              <w:rPr>
                <w:rFonts w:hint="eastAsia"/>
                <w:color w:val="000000" w:themeColor="text1"/>
                <w:sz w:val="24"/>
                <w:szCs w:val="32"/>
                <w:highlight w:val="none"/>
                <w:lang w:eastAsia="zh-CN"/>
                <w14:textFill>
                  <w14:solidFill>
                    <w14:schemeClr w14:val="tx1"/>
                  </w14:solidFill>
                </w14:textFill>
              </w:rPr>
              <w:t>北京北咨招标有限公司</w:t>
            </w:r>
            <w:r>
              <w:rPr>
                <w:rFonts w:hint="eastAsia"/>
                <w:color w:val="000000" w:themeColor="text1"/>
                <w:sz w:val="24"/>
                <w:szCs w:val="32"/>
                <w:highlight w:val="none"/>
                <w14:textFill>
                  <w14:solidFill>
                    <w14:schemeClr w14:val="tx1"/>
                  </w14:solidFill>
                </w14:textFill>
              </w:rPr>
              <w:t>（需注明项目名称（可简写）、项目编号）逾期不再受理，将取消其投标资格。（以采购代理机构实际到账为准）</w:t>
            </w:r>
          </w:p>
          <w:p>
            <w:pPr>
              <w:jc w:val="left"/>
              <w:rPr>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投标保证金缴纳凭证在投标截止之前需上传到北京市政府采购电子交易平台</w:t>
            </w:r>
            <w:r>
              <w:rPr>
                <w:rFonts w:hint="eastAsia" w:eastAsiaTheme="minorEastAsia"/>
                <w:color w:val="000000" w:themeColor="text1"/>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12.8.2</w:t>
            </w:r>
          </w:p>
        </w:tc>
        <w:tc>
          <w:tcPr>
            <w:tcW w:w="1701" w:type="dxa"/>
            <w:vMerge w:val="continue"/>
            <w:vAlign w:val="center"/>
          </w:tcPr>
          <w:p>
            <w:pPr>
              <w:jc w:val="center"/>
              <w:rPr>
                <w:color w:val="000000" w:themeColor="text1"/>
                <w:sz w:val="24"/>
                <w14:textFill>
                  <w14:solidFill>
                    <w14:schemeClr w14:val="tx1"/>
                  </w14:solidFill>
                </w14:textFill>
              </w:rPr>
            </w:pP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投标保证金可以不予退还的其他情形：</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无</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有，具体情形：</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（1）在开标之日后到投标有效期满前，投标人擅自撤回投标的；</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（2）中标人不按规定与</w:t>
            </w:r>
            <w:r>
              <w:rPr>
                <w:rFonts w:hint="eastAsia" w:hAnsi="宋体" w:cs="宋体"/>
                <w:color w:val="000000" w:themeColor="text1"/>
                <w:sz w:val="24"/>
                <w:u w:val="single"/>
                <w:lang w:val="en-US" w:eastAsia="zh-CN"/>
                <w14:textFill>
                  <w14:solidFill>
                    <w14:schemeClr w14:val="tx1"/>
                  </w14:solidFill>
                </w14:textFill>
              </w:rPr>
              <w:t>采购人</w:t>
            </w:r>
            <w:r>
              <w:rPr>
                <w:rFonts w:hint="eastAsia" w:hAnsi="宋体" w:cs="宋体"/>
                <w:color w:val="000000" w:themeColor="text1"/>
                <w:sz w:val="24"/>
                <w:u w:val="single"/>
                <w14:textFill>
                  <w14:solidFill>
                    <w14:schemeClr w14:val="tx1"/>
                  </w14:solidFill>
                </w14:textFill>
              </w:rPr>
              <w:t>签订合同的；</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（3）中标人不按规定提交履约保证金的；</w:t>
            </w:r>
          </w:p>
          <w:p>
            <w:pPr>
              <w:adjustRightInd w:val="0"/>
              <w:snapToGrid w:val="0"/>
              <w:rPr>
                <w:color w:val="000000" w:themeColor="text1"/>
                <w:sz w:val="24"/>
                <w14:textFill>
                  <w14:solidFill>
                    <w14:schemeClr w14:val="tx1"/>
                  </w14:solidFill>
                </w14:textFill>
              </w:rPr>
            </w:pPr>
            <w:r>
              <w:rPr>
                <w:rFonts w:hint="eastAsia" w:hAnsi="宋体" w:cs="宋体"/>
                <w:color w:val="000000" w:themeColor="text1"/>
                <w:sz w:val="24"/>
                <w:u w:val="single"/>
                <w14:textFill>
                  <w14:solidFill>
                    <w14:schemeClr w14:val="tx1"/>
                  </w14:solidFill>
                </w14:textFill>
              </w:rPr>
              <w:t>（4）投标文件中提供虚假文件骗取中标的。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rFonts w:eastAsiaTheme="minorEastAsia"/>
                <w:color w:val="000000" w:themeColor="text1"/>
                <w:sz w:val="24"/>
                <w:u w:val="single"/>
                <w14:textFill>
                  <w14:solidFill>
                    <w14:schemeClr w14:val="tx1"/>
                  </w14:solidFill>
                </w14:textFill>
              </w:rPr>
              <w:t xml:space="preserve">  90  </w:t>
            </w:r>
            <w:r>
              <w:rPr>
                <w:color w:val="000000" w:themeColor="text1"/>
                <w:sz w:val="24"/>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18.2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7540" w:type="dxa"/>
            <w:vAlign w:val="center"/>
          </w:tcPr>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15</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p>
        </w:tc>
        <w:tc>
          <w:tcPr>
            <w:tcW w:w="7540" w:type="dxa"/>
            <w:vAlign w:val="center"/>
          </w:tcPr>
          <w:p>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中标候选人并列的，采购人是否委托评标委员会确定中标人：</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p>
          <w:p>
            <w:pPr>
              <w:adjustRightInd w:val="0"/>
              <w:snapToGrid w:val="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w:t>
            </w:r>
          </w:p>
          <w:p>
            <w:pPr>
              <w:adjustRightInd w:val="0"/>
              <w:snapToGrid w:val="0"/>
              <w:rPr>
                <w:color w:val="000000" w:themeColor="text1"/>
                <w14:textFill>
                  <w14:solidFill>
                    <w14:schemeClr w14:val="tx1"/>
                  </w14:solidFill>
                </w14:textFill>
              </w:rPr>
            </w:pPr>
            <w:r>
              <w:rPr>
                <w:color w:val="000000" w:themeColor="text1"/>
                <w:sz w:val="24"/>
                <w14:textFill>
                  <w14:solidFill>
                    <w14:schemeClr w14:val="tx1"/>
                  </w14:solidFill>
                </w14:textFill>
              </w:rPr>
              <w:t>中标候选人并列的，按照以下方式确定中标人：</w:t>
            </w:r>
            <w:r>
              <w:rPr>
                <w:color w:val="000000" w:themeColor="text1"/>
                <w14:textFill>
                  <w14:solidFill>
                    <w14:schemeClr w14:val="tx1"/>
                  </w14:solidFill>
                </w14:textFill>
              </w:rPr>
              <w:t xml:space="preserve"> </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得分且投标报价均相同的，以_</w:t>
            </w:r>
            <w:r>
              <w:rPr>
                <w:rFonts w:hint="eastAsia"/>
                <w:color w:val="000000" w:themeColor="text1"/>
                <w:sz w:val="24"/>
                <w:u w:val="single"/>
                <w14:textFill>
                  <w14:solidFill>
                    <w14:schemeClr w14:val="tx1"/>
                  </w14:solidFill>
                </w14:textFill>
              </w:rPr>
              <w:t>技术部分</w:t>
            </w:r>
            <w:r>
              <w:rPr>
                <w:color w:val="000000" w:themeColor="text1"/>
                <w:sz w:val="24"/>
                <w14:textFill>
                  <w14:solidFill>
                    <w14:schemeClr w14:val="tx1"/>
                  </w14:solidFill>
                </w14:textFill>
              </w:rPr>
              <w:t>_得分高者为中标人</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25.5</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不允许</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允许，具体要求：</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（2）允许分包的金额或者比例：_____；</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25.6</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7540" w:type="dxa"/>
            <w:vAlign w:val="center"/>
          </w:tcPr>
          <w:p>
            <w:pPr>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26.1.1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7540" w:type="dxa"/>
            <w:vAlign w:val="center"/>
          </w:tcPr>
          <w:p>
            <w:pPr>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询问</w:t>
            </w:r>
            <w:r>
              <w:rPr>
                <w:rFonts w:hint="eastAsia"/>
                <w:color w:val="000000" w:themeColor="text1"/>
                <w:sz w:val="24"/>
                <w14:textFill>
                  <w14:solidFill>
                    <w14:schemeClr w14:val="tx1"/>
                  </w14:solidFill>
                </w14:textFill>
              </w:rPr>
              <w:t>提出</w:t>
            </w:r>
            <w:r>
              <w:rPr>
                <w:color w:val="000000" w:themeColor="text1"/>
                <w:sz w:val="24"/>
                <w14:textFill>
                  <w14:solidFill>
                    <w14:schemeClr w14:val="tx1"/>
                  </w14:solidFill>
                </w14:textFill>
              </w:rPr>
              <w:t>形式：</w:t>
            </w:r>
            <w:r>
              <w:rPr>
                <w:rFonts w:hint="eastAsia" w:ascii="宋体" w:hAnsi="宋体" w:cs="宋体"/>
                <w:color w:val="000000" w:themeColor="text1"/>
                <w:sz w:val="24"/>
                <w:u w:val="single"/>
                <w:lang w:bidi="ar"/>
                <w14:textFill>
                  <w14:solidFill>
                    <w14:schemeClr w14:val="tx1"/>
                  </w14:solidFill>
                </w14:textFill>
              </w:rPr>
              <w:t>将盖章扫描件和可编辑的文档发至采购代理机构邮箱guoyan_er@163.com且与代理机构确认已收到</w:t>
            </w:r>
            <w:r>
              <w:rPr>
                <w:rFonts w:hint="eastAsia" w:ascii="宋体" w:hAnsi="宋体" w:cs="宋体"/>
                <w:color w:val="000000" w:themeColor="text1"/>
                <w:sz w:val="24"/>
                <w:u w:val="single"/>
                <w:lang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26.3</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接收询问和质疑的联系方式</w:t>
            </w:r>
          </w:p>
          <w:p>
            <w:pPr>
              <w:jc w:val="left"/>
              <w:rPr>
                <w:rFonts w:ascii="宋体" w:hAnsi="宋体" w:cs="宋体"/>
                <w:color w:val="000000" w:themeColor="text1"/>
                <w:sz w:val="24"/>
                <w14:textFill>
                  <w14:solidFill>
                    <w14:schemeClr w14:val="tx1"/>
                  </w14:solidFill>
                </w14:textFill>
              </w:rPr>
            </w:pPr>
            <w:r>
              <w:rPr>
                <w:color w:val="000000" w:themeColor="text1"/>
                <w:sz w:val="24"/>
                <w14:textFill>
                  <w14:solidFill>
                    <w14:schemeClr w14:val="tx1"/>
                  </w14:solidFill>
                </w14:textFill>
              </w:rPr>
              <w:t>联系部门：</w:t>
            </w:r>
            <w:r>
              <w:rPr>
                <w:rFonts w:hint="eastAsia" w:ascii="宋体" w:hAnsi="宋体" w:cs="宋体"/>
                <w:color w:val="000000" w:themeColor="text1"/>
                <w:sz w:val="24"/>
                <w:u w:val="single"/>
                <w:lang w:eastAsia="zh-CN"/>
                <w14:textFill>
                  <w14:solidFill>
                    <w14:schemeClr w14:val="tx1"/>
                  </w14:solidFill>
                </w14:textFill>
              </w:rPr>
              <w:t>北京北咨招标有限公司</w:t>
            </w:r>
            <w:r>
              <w:rPr>
                <w:rFonts w:hint="eastAsia" w:ascii="宋体" w:hAnsi="宋体" w:cs="宋体"/>
                <w:color w:val="000000" w:themeColor="text1"/>
                <w:sz w:val="24"/>
                <w14:textFill>
                  <w14:solidFill>
                    <w14:schemeClr w14:val="tx1"/>
                  </w14:solidFill>
                </w14:textFill>
              </w:rPr>
              <w:t>；</w:t>
            </w:r>
          </w:p>
          <w:p>
            <w:pPr>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r>
              <w:rPr>
                <w:rFonts w:hint="eastAsia" w:ascii="宋体" w:hAnsi="宋体" w:cs="宋体"/>
                <w:color w:val="000000" w:themeColor="text1"/>
                <w:sz w:val="24"/>
                <w:u w:val="single"/>
                <w:lang w:eastAsia="zh-CN"/>
                <w14:textFill>
                  <w14:solidFill>
                    <w14:schemeClr w14:val="tx1"/>
                  </w14:solidFill>
                </w14:textFill>
              </w:rPr>
              <w:t>18614255086</w:t>
            </w:r>
            <w:r>
              <w:rPr>
                <w:rFonts w:hint="eastAsia" w:ascii="宋体" w:hAnsi="宋体" w:cs="宋体"/>
                <w:color w:val="000000" w:themeColor="text1"/>
                <w:sz w:val="24"/>
                <w14:textFill>
                  <w14:solidFill>
                    <w14:schemeClr w14:val="tx1"/>
                  </w14:solidFill>
                </w14:textFill>
              </w:rPr>
              <w:t>；</w:t>
            </w:r>
          </w:p>
          <w:p>
            <w:pPr>
              <w:jc w:val="left"/>
              <w:rPr>
                <w:rFonts w:hint="default" w:eastAsia="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通讯地址：</w:t>
            </w:r>
            <w:r>
              <w:rPr>
                <w:rFonts w:hint="eastAsia" w:ascii="宋体" w:hAnsi="宋体" w:cs="宋体"/>
                <w:color w:val="000000" w:themeColor="text1"/>
                <w:sz w:val="24"/>
                <w:u w:val="single"/>
                <w:lang w:eastAsia="zh-CN"/>
                <w14:textFill>
                  <w14:solidFill>
                    <w14:schemeClr w14:val="tx1"/>
                  </w14:solidFill>
                </w14:textFill>
              </w:rPr>
              <w:t>北京市朝阳区华腾世纪总部公园F座11层</w:t>
            </w:r>
            <w:r>
              <w:rPr>
                <w:rFonts w:hint="eastAsia" w:ascii="宋体" w:hAnsi="宋体" w:cs="宋体"/>
                <w:color w:val="000000" w:themeColor="text1"/>
                <w:sz w:val="24"/>
                <w:u w:val="single"/>
                <w:lang w:val="en-US" w:eastAsia="zh-CN"/>
                <w14:textFill>
                  <w14:solidFill>
                    <w14:schemeClr w14:val="tx1"/>
                  </w14:solidFill>
                </w14:textFill>
              </w:rPr>
              <w:t>1107室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采购人</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中标人</w:t>
            </w:r>
          </w:p>
          <w:p>
            <w:pPr>
              <w:jc w:val="left"/>
              <w:rPr>
                <w:rFonts w:eastAsiaTheme="minorEastAsia"/>
                <w:color w:val="000000" w:themeColor="text1"/>
                <w:sz w:val="24"/>
                <w:u w:val="single"/>
                <w14:textFill>
                  <w14:solidFill>
                    <w14:schemeClr w14:val="tx1"/>
                  </w14:solidFill>
                </w14:textFill>
              </w:rPr>
            </w:pPr>
            <w:r>
              <w:rPr>
                <w:color w:val="000000" w:themeColor="text1"/>
                <w:sz w:val="24"/>
                <w14:textFill>
                  <w14:solidFill>
                    <w14:schemeClr w14:val="tx1"/>
                  </w14:solidFill>
                </w14:textFill>
              </w:rPr>
              <w:t>收费标准：</w:t>
            </w:r>
            <w:r>
              <w:rPr>
                <w:rFonts w:hint="eastAsia" w:ascii="宋体" w:hAnsi="宋体" w:cs="宋体"/>
                <w:color w:val="000000" w:themeColor="text1"/>
                <w:sz w:val="24"/>
                <w:u w:val="single"/>
                <w14:textFill>
                  <w14:solidFill>
                    <w14:schemeClr w14:val="tx1"/>
                  </w14:solidFill>
                </w14:textFill>
              </w:rPr>
              <w:t>以中标金额为基数（按费率招标的项目以合同暂估金额为基数），参照“国家发展计划委员会《招标代理服务收费管理暂行办法》（计价格[2002]1980号）及国家发展改革委《关于降低部分建设项目收费标准规范收费行为等有关问题的通知》[2011]534号”标准计算下浮 20% （折扣率：80%）</w:t>
            </w:r>
            <w:r>
              <w:rPr>
                <w:rFonts w:eastAsiaTheme="minorEastAsia"/>
                <w:color w:val="000000" w:themeColor="text1"/>
                <w:sz w:val="24"/>
                <w14:textFill>
                  <w14:solidFill>
                    <w14:schemeClr w14:val="tx1"/>
                  </w14:solidFill>
                </w14:textFill>
              </w:rPr>
              <w:t>；</w:t>
            </w:r>
          </w:p>
          <w:p>
            <w:pPr>
              <w:jc w:val="left"/>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缴纳时间：</w:t>
            </w:r>
            <w:r>
              <w:rPr>
                <w:rFonts w:hint="eastAsia" w:ascii="宋体" w:hAnsi="宋体" w:cs="宋体"/>
                <w:color w:val="000000" w:themeColor="text1"/>
                <w:sz w:val="24"/>
                <w:u w:val="single"/>
                <w14:textFill>
                  <w14:solidFill>
                    <w14:schemeClr w14:val="tx1"/>
                  </w14:solidFill>
                </w14:textFill>
              </w:rPr>
              <w:t>在发出中标通知书五个工作日内，向中标单位一次性收取采购代理服务费</w:t>
            </w:r>
            <w:r>
              <w:rPr>
                <w:rFonts w:eastAsiaTheme="minorEastAsia"/>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13"/>
              <w:adjustRightInd w:val="0"/>
              <w:snapToGrid w:val="0"/>
              <w:jc w:val="center"/>
              <w:rPr>
                <w:color w:val="000000" w:themeColor="text1"/>
                <w:sz w:val="24"/>
                <w14:textFill>
                  <w14:solidFill>
                    <w14:schemeClr w14:val="tx1"/>
                  </w14:solidFill>
                </w14:textFill>
              </w:rPr>
            </w:pPr>
            <w:r>
              <w:rPr>
                <w:rFonts w:hint="eastAsia" w:ascii="Times New Roman" w:hAnsi="Times New Roman"/>
                <w:sz w:val="24"/>
                <w:szCs w:val="24"/>
                <w:lang w:val="en-US" w:eastAsia="zh-CN"/>
              </w:rPr>
              <w:t>其他</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themeColor="text1"/>
                <w:sz w:val="24"/>
                <w:lang w:val="en-US" w:eastAsia="zh-CN"/>
                <w14:textFill>
                  <w14:solidFill>
                    <w14:schemeClr w14:val="tx1"/>
                  </w14:solidFill>
                </w14:textFill>
              </w:rPr>
            </w:pPr>
            <w:r>
              <w:rPr>
                <w:rFonts w:hint="eastAsia"/>
                <w:sz w:val="24"/>
                <w:lang w:val="en-US" w:eastAsia="zh-CN"/>
              </w:rPr>
              <w:t>履约保证金</w:t>
            </w:r>
          </w:p>
        </w:tc>
        <w:tc>
          <w:tcPr>
            <w:tcW w:w="7540" w:type="dxa"/>
            <w:tcBorders>
              <w:top w:val="single" w:color="auto" w:sz="4" w:space="0"/>
              <w:left w:val="single" w:color="auto" w:sz="4" w:space="0"/>
              <w:bottom w:val="single" w:color="auto" w:sz="4" w:space="0"/>
              <w:right w:val="single" w:color="auto" w:sz="4" w:space="0"/>
            </w:tcBorders>
            <w:vAlign w:val="center"/>
          </w:tcPr>
          <w:p>
            <w:pPr>
              <w:pStyle w:val="35"/>
              <w:numPr>
                <w:ilvl w:val="0"/>
                <w:numId w:val="0"/>
              </w:numPr>
              <w:tabs>
                <w:tab w:val="left" w:pos="1562"/>
              </w:tabs>
              <w:spacing w:line="364" w:lineRule="auto"/>
              <w:ind w:left="0" w:leftChars="0" w:right="428" w:rightChars="0" w:firstLine="0" w:firstLineChars="0"/>
              <w:jc w:val="both"/>
              <w:rPr>
                <w:rFonts w:hint="eastAsia"/>
                <w:spacing w:val="-3"/>
                <w:sz w:val="24"/>
              </w:rPr>
            </w:pPr>
            <w:r>
              <w:rPr>
                <w:rFonts w:hint="eastAsia"/>
                <w:spacing w:val="-3"/>
                <w:sz w:val="24"/>
              </w:rPr>
              <w:t>是否要求</w:t>
            </w:r>
            <w:r>
              <w:rPr>
                <w:color w:val="000000" w:themeColor="text1"/>
                <w:sz w:val="24"/>
                <w14:textFill>
                  <w14:solidFill>
                    <w14:schemeClr w14:val="tx1"/>
                  </w14:solidFill>
                </w14:textFill>
              </w:rPr>
              <w:t>中标人</w:t>
            </w:r>
            <w:r>
              <w:rPr>
                <w:rFonts w:hint="eastAsia"/>
                <w:spacing w:val="-3"/>
                <w:sz w:val="24"/>
              </w:rPr>
              <w:t>提供</w:t>
            </w:r>
            <w:r>
              <w:rPr>
                <w:rFonts w:hint="eastAsia"/>
                <w:sz w:val="24"/>
                <w:lang w:val="en-US" w:eastAsia="zh-CN"/>
              </w:rPr>
              <w:t>履约保证金</w:t>
            </w:r>
            <w:r>
              <w:rPr>
                <w:rFonts w:hint="eastAsia"/>
                <w:spacing w:val="-3"/>
                <w:sz w:val="24"/>
              </w:rPr>
              <w:t>：</w:t>
            </w:r>
          </w:p>
          <w:p>
            <w:pPr>
              <w:pStyle w:val="35"/>
              <w:numPr>
                <w:ilvl w:val="0"/>
                <w:numId w:val="0"/>
              </w:numPr>
              <w:tabs>
                <w:tab w:val="left" w:pos="1562"/>
              </w:tabs>
              <w:spacing w:line="364" w:lineRule="auto"/>
              <w:ind w:left="0" w:leftChars="0" w:right="428" w:rightChars="0" w:firstLine="0" w:firstLineChars="0"/>
              <w:jc w:val="both"/>
              <w:rPr>
                <w:rFonts w:hint="eastAsia"/>
                <w:spacing w:val="-3"/>
                <w:sz w:val="24"/>
              </w:rPr>
            </w:pPr>
            <w:r>
              <w:rPr>
                <w:rFonts w:hint="eastAsia"/>
                <w:spacing w:val="-3"/>
                <w:sz w:val="24"/>
                <w:lang w:eastAsia="zh-CN"/>
              </w:rPr>
              <w:t>□</w:t>
            </w:r>
            <w:r>
              <w:rPr>
                <w:rFonts w:hint="eastAsia"/>
                <w:spacing w:val="-3"/>
                <w:sz w:val="24"/>
              </w:rPr>
              <w:fldChar w:fldCharType="begin"/>
            </w:r>
            <w:r>
              <w:rPr>
                <w:rFonts w:hint="eastAsia"/>
                <w:spacing w:val="-3"/>
                <w:sz w:val="24"/>
              </w:rPr>
              <w:instrText xml:space="preserve"> AUTOTEXT  input815 \* MERGEFORMAT </w:instrText>
            </w:r>
            <w:r>
              <w:rPr>
                <w:rFonts w:hint="eastAsia"/>
                <w:spacing w:val="-3"/>
                <w:sz w:val="24"/>
              </w:rPr>
              <w:fldChar w:fldCharType="end"/>
            </w:r>
            <w:r>
              <w:rPr>
                <w:rFonts w:hint="eastAsia"/>
                <w:spacing w:val="-3"/>
                <w:sz w:val="24"/>
              </w:rPr>
              <w:t>不要求提交</w:t>
            </w:r>
          </w:p>
          <w:p>
            <w:pPr>
              <w:pStyle w:val="35"/>
              <w:numPr>
                <w:ilvl w:val="0"/>
                <w:numId w:val="0"/>
              </w:numPr>
              <w:tabs>
                <w:tab w:val="left" w:pos="1562"/>
              </w:tabs>
              <w:spacing w:line="364" w:lineRule="auto"/>
              <w:ind w:left="0" w:leftChars="0" w:right="428" w:rightChars="0" w:firstLine="0" w:firstLineChars="0"/>
              <w:jc w:val="both"/>
              <w:rPr>
                <w:rFonts w:hint="eastAsia"/>
                <w:spacing w:val="-3"/>
                <w:sz w:val="24"/>
              </w:rPr>
            </w:pPr>
            <w:r>
              <w:rPr>
                <w:rFonts w:eastAsia="宋体"/>
                <w:sz w:val="24"/>
              </w:rPr>
              <w:t>■</w:t>
            </w:r>
            <w:r>
              <w:rPr>
                <w:rFonts w:hint="eastAsia"/>
                <w:spacing w:val="-3"/>
                <w:sz w:val="24"/>
              </w:rPr>
              <w:fldChar w:fldCharType="begin"/>
            </w:r>
            <w:r>
              <w:rPr>
                <w:rFonts w:hint="eastAsia"/>
                <w:spacing w:val="-3"/>
                <w:sz w:val="24"/>
              </w:rPr>
              <w:instrText xml:space="preserve"> AUTOTEXT  input816 \* MERGEFORMAT </w:instrText>
            </w:r>
            <w:r>
              <w:rPr>
                <w:rFonts w:hint="eastAsia"/>
                <w:spacing w:val="-3"/>
                <w:sz w:val="24"/>
              </w:rPr>
              <w:fldChar w:fldCharType="end"/>
            </w:r>
            <w:r>
              <w:rPr>
                <w:rFonts w:hint="eastAsia"/>
                <w:spacing w:val="-3"/>
                <w:sz w:val="24"/>
              </w:rPr>
              <w:t>要求提交</w:t>
            </w:r>
          </w:p>
          <w:p>
            <w:pPr>
              <w:pStyle w:val="35"/>
              <w:numPr>
                <w:ilvl w:val="0"/>
                <w:numId w:val="0"/>
              </w:numPr>
              <w:tabs>
                <w:tab w:val="left" w:pos="1562"/>
              </w:tabs>
              <w:spacing w:line="364" w:lineRule="auto"/>
              <w:ind w:left="0" w:leftChars="0" w:right="428" w:rightChars="0" w:firstLine="0" w:firstLineChars="0"/>
              <w:jc w:val="both"/>
              <w:rPr>
                <w:rFonts w:hint="eastAsia"/>
                <w:spacing w:val="-3"/>
                <w:sz w:val="24"/>
              </w:rPr>
            </w:pPr>
            <w:r>
              <w:rPr>
                <w:rFonts w:hint="eastAsia"/>
                <w:spacing w:val="-3"/>
                <w:sz w:val="24"/>
              </w:rPr>
              <w:t>履约</w:t>
            </w:r>
            <w:r>
              <w:rPr>
                <w:rFonts w:hint="eastAsia"/>
                <w:sz w:val="24"/>
                <w:lang w:val="en-US" w:eastAsia="zh-CN"/>
              </w:rPr>
              <w:t>保证金</w:t>
            </w:r>
            <w:r>
              <w:rPr>
                <w:rFonts w:hint="eastAsia"/>
                <w:spacing w:val="-3"/>
                <w:sz w:val="24"/>
              </w:rPr>
              <w:t>的形式：以</w:t>
            </w:r>
            <w:r>
              <w:rPr>
                <w:rFonts w:hint="eastAsia"/>
                <w:b/>
                <w:bCs/>
                <w:spacing w:val="-3"/>
                <w:sz w:val="24"/>
              </w:rPr>
              <w:t>电汇/支票/现金</w:t>
            </w:r>
            <w:r>
              <w:rPr>
                <w:rFonts w:hint="eastAsia"/>
                <w:spacing w:val="-3"/>
                <w:sz w:val="24"/>
              </w:rPr>
              <w:t>形式提交</w:t>
            </w:r>
          </w:p>
          <w:p>
            <w:pPr>
              <w:jc w:val="left"/>
              <w:rPr>
                <w:rFonts w:eastAsiaTheme="minorEastAsia"/>
                <w:color w:val="000000" w:themeColor="text1"/>
                <w:sz w:val="24"/>
                <w14:textFill>
                  <w14:solidFill>
                    <w14:schemeClr w14:val="tx1"/>
                  </w14:solidFill>
                </w14:textFill>
              </w:rPr>
            </w:pPr>
            <w:r>
              <w:rPr>
                <w:rFonts w:hint="eastAsia"/>
                <w:spacing w:val="-3"/>
                <w:sz w:val="24"/>
              </w:rPr>
              <w:t>履约</w:t>
            </w:r>
            <w:r>
              <w:rPr>
                <w:rFonts w:hint="eastAsia"/>
                <w:sz w:val="24"/>
                <w:lang w:val="en-US" w:eastAsia="zh-CN"/>
              </w:rPr>
              <w:t>保证金</w:t>
            </w:r>
            <w:r>
              <w:rPr>
                <w:rFonts w:hint="eastAsia"/>
                <w:spacing w:val="-3"/>
                <w:sz w:val="24"/>
              </w:rPr>
              <w:t>的金额：</w:t>
            </w:r>
            <w:r>
              <w:rPr>
                <w:rFonts w:hint="eastAsia"/>
                <w:spacing w:val="-3"/>
                <w:sz w:val="24"/>
                <w:lang w:val="en-US" w:eastAsia="zh-CN"/>
              </w:rPr>
              <w:t>合同金额的5%</w:t>
            </w:r>
          </w:p>
        </w:tc>
      </w:tr>
    </w:tbl>
    <w:p>
      <w:pPr>
        <w:tabs>
          <w:tab w:val="left" w:pos="5580"/>
        </w:tabs>
        <w:adjustRightInd w:val="0"/>
        <w:spacing w:line="360" w:lineRule="auto"/>
        <w:jc w:val="distribute"/>
        <w:rPr>
          <w:color w:val="000000" w:themeColor="text1"/>
          <w:sz w:val="24"/>
          <w14:textFill>
            <w14:solidFill>
              <w14:schemeClr w14:val="tx1"/>
            </w14:solidFill>
          </w14:textFill>
        </w:rPr>
        <w:sectPr>
          <w:footerReference r:id="rId3" w:type="default"/>
          <w:pgSz w:w="11907" w:h="16840"/>
          <w:pgMar w:top="1418" w:right="1134" w:bottom="1418" w:left="1701" w:header="851" w:footer="851" w:gutter="0"/>
          <w:pgNumType w:start="1"/>
          <w:cols w:space="720" w:num="1"/>
          <w:docGrid w:linePitch="462" w:charSpace="0"/>
        </w:sectPr>
      </w:pPr>
    </w:p>
    <w:p>
      <w:pPr>
        <w:spacing w:before="240" w:beforeLines="100" w:after="240" w:afterLines="100"/>
        <w:jc w:val="center"/>
        <w:rPr>
          <w:b/>
          <w:color w:val="000000" w:themeColor="text1"/>
          <w:sz w:val="28"/>
          <w:szCs w:val="28"/>
          <w14:textFill>
            <w14:solidFill>
              <w14:schemeClr w14:val="tx1"/>
            </w14:solidFill>
          </w14:textFill>
        </w:rPr>
      </w:pPr>
      <w:bookmarkStart w:id="90" w:name="_Toc265228355"/>
      <w:bookmarkStart w:id="91" w:name="_Toc142311019"/>
      <w:bookmarkStart w:id="92" w:name="_Toc353873932"/>
      <w:bookmarkStart w:id="93" w:name="_Toc195842882"/>
      <w:bookmarkStart w:id="94" w:name="_Toc226337213"/>
      <w:bookmarkStart w:id="95" w:name="_Toc353825542"/>
      <w:bookmarkStart w:id="96" w:name="_Toc150774722"/>
      <w:bookmarkStart w:id="97" w:name="_Toc150480755"/>
      <w:bookmarkStart w:id="98" w:name="_Toc226965790"/>
      <w:bookmarkStart w:id="99" w:name="_Toc353873662"/>
      <w:bookmarkStart w:id="100" w:name="_Toc264969207"/>
      <w:bookmarkStart w:id="101" w:name="_Toc127151517"/>
      <w:bookmarkStart w:id="102" w:name="_Toc305158785"/>
      <w:bookmarkStart w:id="103" w:name="_Toc305158859"/>
      <w:r>
        <w:rPr>
          <w:b/>
          <w:color w:val="000000" w:themeColor="text1"/>
          <w:sz w:val="28"/>
          <w:szCs w:val="28"/>
          <w14:textFill>
            <w14:solidFill>
              <w14:schemeClr w14:val="tx1"/>
            </w14:solidFill>
          </w14:textFill>
        </w:rPr>
        <w:t>投标人须知</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3"/>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104" w:name="_Toc127151518"/>
      <w:bookmarkStart w:id="105" w:name="_Toc520356143"/>
      <w:r>
        <w:rPr>
          <w:rFonts w:ascii="Times New Roman" w:hAnsi="Times New Roman" w:eastAsia="宋体"/>
          <w:color w:val="000000" w:themeColor="text1"/>
          <w:sz w:val="28"/>
          <w14:textFill>
            <w14:solidFill>
              <w14:schemeClr w14:val="tx1"/>
            </w14:solidFill>
          </w14:textFill>
        </w:rPr>
        <w:tab/>
      </w:r>
      <w:bookmarkStart w:id="106" w:name="_Toc305158860"/>
      <w:bookmarkStart w:id="107" w:name="_Toc226965791"/>
      <w:bookmarkStart w:id="108" w:name="_Toc195842883"/>
      <w:bookmarkStart w:id="109" w:name="_Toc150509269"/>
      <w:bookmarkStart w:id="110" w:name="_Toc151193832"/>
      <w:bookmarkStart w:id="111" w:name="_Toc226337214"/>
      <w:bookmarkStart w:id="112" w:name="_Toc151193906"/>
      <w:bookmarkStart w:id="113" w:name="_Toc151193688"/>
      <w:bookmarkStart w:id="114" w:name="_Toc264969208"/>
      <w:bookmarkStart w:id="115" w:name="_Toc226965708"/>
      <w:bookmarkStart w:id="116" w:name="_Toc265228356"/>
      <w:bookmarkStart w:id="117" w:name="_Toc150774723"/>
      <w:bookmarkStart w:id="118" w:name="_Toc151190145"/>
      <w:bookmarkStart w:id="119" w:name="_Toc305158786"/>
      <w:bookmarkStart w:id="120" w:name="_Toc142311020"/>
      <w:bookmarkStart w:id="121" w:name="_Toc151193616"/>
      <w:bookmarkStart w:id="122" w:name="_Toc150774618"/>
      <w:bookmarkStart w:id="123" w:name="_Toc226309762"/>
      <w:bookmarkStart w:id="124" w:name="_Toc151193760"/>
      <w:bookmarkStart w:id="125" w:name="_Toc150480756"/>
      <w:r>
        <w:rPr>
          <w:rFonts w:ascii="Times New Roman" w:hAnsi="Times New Roman" w:eastAsia="宋体"/>
          <w:color w:val="000000" w:themeColor="text1"/>
          <w:sz w:val="28"/>
          <w14:textFill>
            <w14:solidFill>
              <w14:schemeClr w14:val="tx1"/>
            </w14:solidFill>
          </w14:textFill>
        </w:rPr>
        <w:t>一   说  明</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Fonts w:ascii="Times New Roman" w:hAnsi="Times New Roman" w:eastAsia="宋体"/>
          <w:color w:val="000000" w:themeColor="text1"/>
          <w:sz w:val="28"/>
          <w14:textFill>
            <w14:solidFill>
              <w14:schemeClr w14:val="tx1"/>
            </w14:solidFill>
          </w14:textFill>
        </w:rPr>
        <w:tab/>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26" w:name="_Toc264969209"/>
      <w:bookmarkStart w:id="127" w:name="_Toc305158861"/>
      <w:bookmarkStart w:id="128" w:name="_Toc265228357"/>
      <w:bookmarkStart w:id="129" w:name="_Toc305158787"/>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采购人、采购代理机构、投标人</w:t>
      </w:r>
      <w:bookmarkEnd w:id="126"/>
      <w:bookmarkEnd w:id="127"/>
      <w:bookmarkEnd w:id="128"/>
      <w:bookmarkEnd w:id="129"/>
      <w:r>
        <w:rPr>
          <w:color w:val="000000" w:themeColor="text1"/>
          <w:sz w:val="24"/>
          <w14:textFill>
            <w14:solidFill>
              <w14:schemeClr w14:val="tx1"/>
            </w14:solidFill>
          </w14:textFill>
        </w:rPr>
        <w:t>、联合体</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投标人（也称“供应商”、“申请人”）：指向采购人提供货物、工程或者服务的法人、其他组织或者自然人。</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30" w:name="_Toc127151721"/>
      <w:bookmarkStart w:id="131" w:name="_Toc151193908"/>
      <w:bookmarkStart w:id="132" w:name="_Toc195842885"/>
      <w:bookmarkStart w:id="133" w:name="_Toc264969210"/>
      <w:bookmarkStart w:id="134" w:name="_Toc265228358"/>
      <w:bookmarkStart w:id="135" w:name="_Toc142311022"/>
      <w:bookmarkStart w:id="136" w:name="_Toc305158862"/>
      <w:bookmarkStart w:id="137" w:name="_Toc151193690"/>
      <w:bookmarkStart w:id="138" w:name="_Toc151193618"/>
      <w:bookmarkStart w:id="139" w:name="_Toc226965710"/>
      <w:bookmarkStart w:id="140" w:name="_Toc305158788"/>
      <w:bookmarkStart w:id="141" w:name="_Toc226337216"/>
      <w:bookmarkStart w:id="142" w:name="_Toc226309764"/>
      <w:bookmarkStart w:id="143" w:name="_Toc151190147"/>
      <w:bookmarkStart w:id="144" w:name="_Toc164229215"/>
      <w:bookmarkStart w:id="145" w:name="_Toc164608789"/>
      <w:bookmarkStart w:id="146" w:name="_Toc151193762"/>
      <w:bookmarkStart w:id="147" w:name="_Toc226965793"/>
      <w:bookmarkStart w:id="148" w:name="_Toc150774620"/>
      <w:bookmarkStart w:id="149" w:name="_Toc164608634"/>
      <w:bookmarkStart w:id="150" w:name="_Toc164351614"/>
      <w:bookmarkStart w:id="151" w:name="_Toc127151520"/>
      <w:bookmarkStart w:id="152" w:name="_Toc150774725"/>
      <w:bookmarkStart w:id="153" w:name="_Toc150480758"/>
      <w:bookmarkStart w:id="154" w:name="_Toc150509271"/>
      <w:bookmarkStart w:id="155" w:name="_Toc164229361"/>
      <w:bookmarkStart w:id="156" w:name="_Toc149720813"/>
      <w:bookmarkStart w:id="157" w:name="_Toc151193834"/>
      <w:bookmarkStart w:id="158" w:name="_Toc127161434"/>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资金来源</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color w:val="000000" w:themeColor="text1"/>
          <w:sz w:val="24"/>
          <w14:textFill>
            <w14:solidFill>
              <w14:schemeClr w14:val="tx1"/>
            </w14:solidFill>
          </w14:textFill>
        </w:rPr>
        <w:t>、项目属性、科研仪器设备采购、核心产品</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资金来源为财政性资金和/或本项目采购中无法与财政性资金分割的非财政性资金。</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项目属性见《投标人须知资料表》。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是否属于科研仪器设备采购见《投标人须知资料表》。</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核心产品见《投标人须知资料表》。</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现场考察、开标前答疑会</w:t>
      </w:r>
    </w:p>
    <w:p>
      <w:pPr>
        <w:tabs>
          <w:tab w:val="left" w:pos="900"/>
          <w:tab w:val="left" w:pos="1080"/>
          <w:tab w:val="left" w:pos="1589"/>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59" w:name="_Toc151190149"/>
      <w:bookmarkStart w:id="160" w:name="_Toc264969212"/>
      <w:bookmarkStart w:id="161" w:name="_Toc150480760"/>
      <w:bookmarkStart w:id="162" w:name="_Toc151193620"/>
      <w:bookmarkStart w:id="163" w:name="_Toc305158790"/>
      <w:bookmarkStart w:id="164" w:name="_Toc226337218"/>
      <w:bookmarkStart w:id="165" w:name="_Toc150774622"/>
      <w:bookmarkStart w:id="166" w:name="_Toc142311024"/>
      <w:bookmarkStart w:id="167" w:name="_Toc226309766"/>
      <w:bookmarkStart w:id="168" w:name="_Toc226965712"/>
      <w:bookmarkStart w:id="169" w:name="_Toc150509273"/>
      <w:bookmarkStart w:id="170" w:name="_Toc226965795"/>
      <w:bookmarkStart w:id="171" w:name="_Toc151193836"/>
      <w:bookmarkStart w:id="172" w:name="_Toc151193910"/>
      <w:bookmarkStart w:id="173" w:name="_Toc150774727"/>
      <w:bookmarkStart w:id="174" w:name="_Toc127151522"/>
      <w:bookmarkStart w:id="175" w:name="_Toc151193764"/>
      <w:bookmarkStart w:id="176" w:name="_Toc151193692"/>
      <w:bookmarkStart w:id="177" w:name="_Toc305158864"/>
      <w:bookmarkStart w:id="178" w:name="_Toc520356146"/>
      <w:bookmarkStart w:id="179" w:name="_Toc195842887"/>
      <w:bookmarkStart w:id="180" w:name="_Toc265228360"/>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样品</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样品的评审方法以及评审标准等内容见第四章《评标程序、评标方法和评标标准》。</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政府采购政策（包括但不限于下列具体政策要求）</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采购本国货物、工程和服务</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5.1.1</w:t>
      </w:r>
      <w:r>
        <w:rPr>
          <w:rFonts w:hint="eastAsia"/>
          <w:color w:val="000000" w:themeColor="text1"/>
          <w:sz w:val="24"/>
          <w14:textFill>
            <w14:solidFill>
              <w14:schemeClr w14:val="tx1"/>
            </w14:solidFill>
          </w14:textFill>
        </w:rPr>
        <w:tab/>
      </w: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本项目如接受非本国货物、工程、服务参与投标，则具体要求见第五章《采购需求》。</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5.1.3</w:t>
      </w:r>
      <w:r>
        <w:rPr>
          <w:rFonts w:hint="eastAsia"/>
          <w:color w:val="000000" w:themeColor="text1"/>
          <w:sz w:val="24"/>
          <w14:textFill>
            <w14:solidFill>
              <w14:schemeClr w14:val="tx1"/>
            </w14:solidFill>
          </w14:textFill>
        </w:rPr>
        <w:tab/>
      </w: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本国产品</w:t>
      </w:r>
    </w:p>
    <w:p>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81"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1"/>
      <w:r>
        <w:rPr>
          <w:rFonts w:hint="eastAsia"/>
          <w:color w:val="000000" w:themeColor="text1"/>
          <w:sz w:val="24"/>
          <w14:textFill>
            <w14:solidFill>
              <w14:schemeClr w14:val="tx1"/>
            </w14:solidFill>
          </w14:textFill>
        </w:rPr>
        <w:t>，落实本国产品标准。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中小企业、监狱企业及残疾人福利性单位</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中小企业定义：</w:t>
      </w:r>
    </w:p>
    <w:p>
      <w:pPr>
        <w:tabs>
          <w:tab w:val="left" w:pos="900"/>
          <w:tab w:val="left" w:pos="1988"/>
          <w:tab w:val="left" w:pos="203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依法与安置的每位残疾人签订了一年以上（含一年）的劳动合同或服务协议；</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本项目是否专门面向中小企业预留采购份额见第一章《投标邀请》。</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采购标的对应的中小企业划分标准所属行业见《投标人须知资料表》。</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小微企业价格评审优惠的政策调整：见第四章《评标程序、评标方法和评标标准》。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政府采购节能产品、环境标志产品</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正版软件</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5.5.1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5.6</w:t>
      </w:r>
      <w:r>
        <w:rPr>
          <w:color w:val="000000" w:themeColor="text1"/>
          <w:sz w:val="24"/>
          <w14:textFill>
            <w14:solidFill>
              <w14:schemeClr w14:val="tx1"/>
            </w14:solidFill>
          </w14:textFill>
        </w:rPr>
        <w:tab/>
      </w:r>
      <w:r>
        <w:rPr>
          <w:rFonts w:eastAsiaTheme="minorEastAsia"/>
          <w:color w:val="000000" w:themeColor="text1"/>
          <w:sz w:val="24"/>
          <w14:textFill>
            <w14:solidFill>
              <w14:schemeClr w14:val="tx1"/>
            </w14:solidFill>
          </w14:textFill>
        </w:rPr>
        <w:t>网络安全专用产品</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5.6.1</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推广使用低挥发性有机化合物（VOCs）</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5.7.1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采购需求标准</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5.8.1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商品包装、快递包装政府采购需求标准（试行）</w:t>
      </w:r>
    </w:p>
    <w:p>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bookmarkStart w:id="182" w:name="_Hlk164953935"/>
      <w:r>
        <w:rPr>
          <w:rFonts w:hint="eastAsia"/>
          <w:color w:val="000000" w:themeColor="text1"/>
          <w:sz w:val="24"/>
          <w14:textFill>
            <w14:solidFill>
              <w14:schemeClr w14:val="tx1"/>
            </w14:solidFill>
          </w14:textFill>
        </w:rPr>
        <w:t>5.8.2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其他政府采购需求标准 </w:t>
      </w:r>
    </w:p>
    <w:bookmarkEnd w:id="182"/>
    <w:p>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83" w:name="_Hlk164955325"/>
      <w:r>
        <w:rPr>
          <w:color w:val="000000" w:themeColor="text1"/>
          <w:sz w:val="24"/>
          <w14:textFill>
            <w14:solidFill>
              <w14:schemeClr w14:val="tx1"/>
            </w14:solidFill>
          </w14:textFill>
        </w:rPr>
        <w:t>为贯彻落实《深化政府采购制度改革方案》有关要求，推动政府采购需求标准建设</w:t>
      </w:r>
      <w:bookmarkEnd w:id="183"/>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投标费用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color w:val="000000" w:themeColor="text1"/>
          <w:sz w:val="28"/>
          <w14:textFill>
            <w14:solidFill>
              <w14:schemeClr w14:val="tx1"/>
            </w14:solidFill>
          </w14:textFill>
        </w:rPr>
      </w:pPr>
      <w:bookmarkStart w:id="184" w:name="_1.8_计量单位"/>
      <w:bookmarkEnd w:id="184"/>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85" w:name="_Toc164608637"/>
      <w:bookmarkStart w:id="186" w:name="_Toc151193911"/>
      <w:bookmarkStart w:id="187" w:name="_Toc226309767"/>
      <w:bookmarkStart w:id="188" w:name="_Toc127161437"/>
      <w:bookmarkStart w:id="189" w:name="_Toc195842888"/>
      <w:bookmarkStart w:id="190" w:name="_Toc151193621"/>
      <w:bookmarkStart w:id="191" w:name="_Toc127151523"/>
      <w:bookmarkStart w:id="192" w:name="_Toc305158791"/>
      <w:bookmarkStart w:id="193" w:name="_Toc305158865"/>
      <w:bookmarkStart w:id="194" w:name="_Toc520356147"/>
      <w:bookmarkStart w:id="195" w:name="_Toc151193693"/>
      <w:bookmarkStart w:id="196" w:name="_Toc142311025"/>
      <w:bookmarkStart w:id="197" w:name="_Toc164229218"/>
      <w:bookmarkStart w:id="198" w:name="_Toc127151724"/>
      <w:bookmarkStart w:id="199" w:name="_Toc164229364"/>
      <w:bookmarkStart w:id="200" w:name="_Toc151190150"/>
      <w:bookmarkStart w:id="201" w:name="_Toc164351617"/>
      <w:bookmarkStart w:id="202" w:name="_Toc151193837"/>
      <w:bookmarkStart w:id="203" w:name="_Toc226337219"/>
      <w:bookmarkStart w:id="204" w:name="_Toc264969213"/>
      <w:bookmarkStart w:id="205" w:name="_Toc164608792"/>
      <w:bookmarkStart w:id="206" w:name="_Toc226965796"/>
      <w:bookmarkStart w:id="207" w:name="_Toc151193765"/>
      <w:bookmarkStart w:id="208" w:name="_Toc150509274"/>
      <w:bookmarkStart w:id="209" w:name="_Toc149720816"/>
      <w:bookmarkStart w:id="210" w:name="_Toc265228361"/>
      <w:bookmarkStart w:id="211" w:name="_Toc150480761"/>
      <w:bookmarkStart w:id="212" w:name="_Toc226965713"/>
      <w:bookmarkStart w:id="213" w:name="_Toc150774728"/>
      <w:bookmarkStart w:id="214" w:name="_Toc150774623"/>
      <w:r>
        <w:rPr>
          <w:rFonts w:hint="eastAsia"/>
          <w:color w:val="000000" w:themeColor="text1"/>
          <w:sz w:val="24"/>
          <w14:textFill>
            <w14:solidFill>
              <w14:schemeClr w14:val="tx1"/>
            </w14:solidFill>
          </w14:textFill>
        </w:rPr>
        <w:t>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招标文件构</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color w:val="000000" w:themeColor="text1"/>
          <w:sz w:val="24"/>
          <w14:textFill>
            <w14:solidFill>
              <w14:schemeClr w14:val="tx1"/>
            </w14:solidFill>
          </w14:textFill>
        </w:rPr>
        <w:t>成</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招标文件包括以下部分：</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第一章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投标邀请</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投标人须知</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第三章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第四章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评标程序、评标方法和评标标准</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第五章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采购需求</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第六章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拟签订的合同文本</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第七章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投标文件格式</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7.2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对招标文件的澄清或修改</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15" w:name="_Toc516367020"/>
      <w:bookmarkStart w:id="216" w:name="_Toc151193840"/>
      <w:bookmarkStart w:id="217" w:name="_Toc151190153"/>
      <w:bookmarkStart w:id="218" w:name="_Toc151193624"/>
      <w:bookmarkStart w:id="219" w:name="_Toc150774626"/>
      <w:bookmarkStart w:id="220" w:name="_Toc151193768"/>
      <w:bookmarkStart w:id="221" w:name="_Toc226337222"/>
      <w:bookmarkStart w:id="222" w:name="_Toc226965716"/>
      <w:bookmarkStart w:id="223" w:name="_Toc150509277"/>
      <w:bookmarkStart w:id="224" w:name="_Toc127151526"/>
      <w:bookmarkStart w:id="225" w:name="_Toc520356150"/>
      <w:bookmarkStart w:id="226" w:name="_Toc151193696"/>
      <w:bookmarkStart w:id="227" w:name="_Toc264969216"/>
      <w:bookmarkStart w:id="228" w:name="_Toc195842891"/>
      <w:bookmarkStart w:id="229" w:name="_Toc226965799"/>
      <w:bookmarkStart w:id="230" w:name="_Toc142311028"/>
      <w:bookmarkStart w:id="231" w:name="_Toc150774731"/>
      <w:bookmarkStart w:id="232" w:name="_Toc305158868"/>
      <w:bookmarkStart w:id="233" w:name="_Toc226309770"/>
      <w:bookmarkStart w:id="234" w:name="_Toc151193914"/>
      <w:bookmarkStart w:id="235" w:name="_Toc265228364"/>
      <w:bookmarkStart w:id="236" w:name="_Toc150480764"/>
      <w:bookmarkStart w:id="237" w:name="_Toc305158794"/>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15"/>
      <w:r>
        <w:rPr>
          <w:rFonts w:ascii="Times New Roman" w:hAnsi="Times New Roman" w:eastAsia="宋体"/>
          <w:color w:val="000000" w:themeColor="text1"/>
          <w:sz w:val="28"/>
          <w14:textFill>
            <w14:solidFill>
              <w14:schemeClr w14:val="tx1"/>
            </w14:solidFill>
          </w14:textFill>
        </w:rPr>
        <w:t>的编制</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238" w:name="_Toc150774732"/>
      <w:bookmarkStart w:id="239" w:name="_Toc150509278"/>
      <w:bookmarkStart w:id="240" w:name="_Toc164229368"/>
      <w:bookmarkStart w:id="241" w:name="_Toc164608796"/>
      <w:bookmarkStart w:id="242" w:name="_Toc150480765"/>
      <w:bookmarkStart w:id="243" w:name="_Toc265228365"/>
      <w:bookmarkStart w:id="244" w:name="_Toc164351621"/>
      <w:bookmarkStart w:id="245" w:name="_Toc150774627"/>
      <w:bookmarkStart w:id="246" w:name="_Toc305158795"/>
      <w:bookmarkStart w:id="247" w:name="_Toc151193915"/>
      <w:bookmarkStart w:id="248" w:name="_Toc516367021"/>
      <w:bookmarkStart w:id="249" w:name="_Toc226337223"/>
      <w:bookmarkStart w:id="250" w:name="_Toc151193697"/>
      <w:bookmarkStart w:id="251" w:name="_Toc226309771"/>
      <w:bookmarkStart w:id="252" w:name="_Toc195842892"/>
      <w:bookmarkStart w:id="253" w:name="_Toc164608641"/>
      <w:bookmarkStart w:id="254" w:name="_Toc149720820"/>
      <w:bookmarkStart w:id="255" w:name="_Toc520356151"/>
      <w:bookmarkStart w:id="256" w:name="_Toc127161441"/>
      <w:bookmarkStart w:id="257" w:name="_Toc127151728"/>
      <w:bookmarkStart w:id="258" w:name="_Toc151193769"/>
      <w:bookmarkStart w:id="259" w:name="_Toc151193625"/>
      <w:bookmarkStart w:id="260" w:name="_Toc305158869"/>
      <w:bookmarkStart w:id="261" w:name="_Toc264969217"/>
      <w:bookmarkStart w:id="262" w:name="_Toc127151527"/>
      <w:bookmarkStart w:id="263" w:name="_Toc142311029"/>
      <w:bookmarkStart w:id="264" w:name="_Toc226965717"/>
      <w:bookmarkStart w:id="265" w:name="_Toc226965800"/>
      <w:bookmarkStart w:id="266" w:name="_Toc151190154"/>
      <w:bookmarkStart w:id="267" w:name="_Toc164229222"/>
      <w:bookmarkStart w:id="268" w:name="_Toc151193841"/>
      <w:r>
        <w:rPr>
          <w:rFonts w:hint="eastAsia"/>
          <w:color w:val="000000" w:themeColor="text1"/>
          <w:sz w:val="24"/>
          <w14:textFill>
            <w14:solidFill>
              <w14:schemeClr w14:val="tx1"/>
            </w14:solidFill>
          </w14:textFill>
        </w:rPr>
        <w:t>9</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投标范围、投标文件中计量单位的使用</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color w:val="000000" w:themeColor="text1"/>
          <w:sz w:val="24"/>
          <w14:textFill>
            <w14:solidFill>
              <w14:schemeClr w14:val="tx1"/>
            </w14:solidFill>
          </w14:textFill>
        </w:rPr>
        <w:t>及投标语言</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除招标文件有特殊要求外，本项目投标所使用的计量单位，应采用中华人民共和国法定计量单位。</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269" w:name="_Ref467306676"/>
      <w:bookmarkStart w:id="270" w:name="_Ref467306195"/>
      <w:bookmarkStart w:id="271" w:name="_Toc516367022"/>
      <w:bookmarkStart w:id="272" w:name="_Toc142311030"/>
      <w:bookmarkStart w:id="273" w:name="_Toc151193626"/>
      <w:bookmarkStart w:id="274" w:name="_Toc164229369"/>
      <w:bookmarkStart w:id="275" w:name="_Toc151193842"/>
      <w:bookmarkStart w:id="276" w:name="_Toc195842893"/>
      <w:bookmarkStart w:id="277" w:name="_Toc150480766"/>
      <w:bookmarkStart w:id="278" w:name="_Toc127151528"/>
      <w:bookmarkStart w:id="279" w:name="_Toc264969218"/>
      <w:bookmarkStart w:id="280" w:name="_Toc164229223"/>
      <w:bookmarkStart w:id="281" w:name="_Toc164608797"/>
      <w:bookmarkStart w:id="282" w:name="_Toc164608642"/>
      <w:bookmarkStart w:id="283" w:name="_Toc150774733"/>
      <w:bookmarkStart w:id="284" w:name="_Toc305158796"/>
      <w:bookmarkStart w:id="285" w:name="_Toc151193916"/>
      <w:bookmarkStart w:id="286" w:name="_Toc226337224"/>
      <w:bookmarkStart w:id="287" w:name="_Toc127151729"/>
      <w:bookmarkStart w:id="288" w:name="_Toc520356152"/>
      <w:bookmarkStart w:id="289" w:name="_Toc305158870"/>
      <w:bookmarkStart w:id="290" w:name="_Toc150774628"/>
      <w:bookmarkStart w:id="291" w:name="_Toc149720821"/>
      <w:bookmarkStart w:id="292" w:name="_Toc226965718"/>
      <w:bookmarkStart w:id="293" w:name="_Toc150509279"/>
      <w:bookmarkStart w:id="294" w:name="_Toc226965801"/>
      <w:bookmarkStart w:id="295" w:name="_Toc151190155"/>
      <w:bookmarkStart w:id="296" w:name="_Toc265228366"/>
      <w:bookmarkStart w:id="297" w:name="_Toc127161442"/>
      <w:bookmarkStart w:id="298" w:name="_Toc226309772"/>
      <w:bookmarkStart w:id="299" w:name="_Toc164351622"/>
      <w:bookmarkStart w:id="300" w:name="_Toc151193770"/>
      <w:bookmarkStart w:id="301" w:name="_Toc151193698"/>
      <w:r>
        <w:rPr>
          <w:rFonts w:hint="eastAsia"/>
          <w:color w:val="000000" w:themeColor="text1"/>
          <w:sz w:val="24"/>
          <w14:textFill>
            <w14:solidFill>
              <w14:schemeClr w14:val="tx1"/>
            </w14:solidFill>
          </w14:textFill>
        </w:rPr>
        <w:t>10</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w:t>
      </w:r>
      <w:bookmarkEnd w:id="269"/>
      <w:bookmarkEnd w:id="270"/>
      <w:bookmarkEnd w:id="271"/>
      <w:r>
        <w:rPr>
          <w:color w:val="000000" w:themeColor="text1"/>
          <w:sz w:val="24"/>
          <w14:textFill>
            <w14:solidFill>
              <w14:schemeClr w14:val="tx1"/>
            </w14:solidFill>
          </w14:textFill>
        </w:rPr>
        <w:t>构成</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302" w:name="_Ref467052588"/>
      <w:r>
        <w:rPr>
          <w:color w:val="000000" w:themeColor="text1"/>
          <w:sz w:val="24"/>
          <w14:textFill>
            <w14:solidFill>
              <w14:schemeClr w14:val="tx1"/>
            </w14:solidFill>
          </w14:textFill>
        </w:rPr>
        <w:t>10.1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10.2</w:t>
      </w:r>
      <w:r>
        <w:rPr>
          <w:color w:val="000000" w:themeColor="text1"/>
          <w:sz w:val="24"/>
          <w14:textFill>
            <w14:solidFill>
              <w14:schemeClr w14:val="tx1"/>
            </w14:solidFill>
          </w14:textFill>
        </w:rPr>
        <w:tab/>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第四章《评标程序、评标方法和评标标准》中涉及的证明文件。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投标人认为应附的其他材料。</w:t>
      </w:r>
      <w:bookmarkEnd w:id="302"/>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03" w:name="_Toc149720823"/>
      <w:bookmarkStart w:id="304" w:name="_Toc151193772"/>
      <w:bookmarkStart w:id="305" w:name="_Toc151190157"/>
      <w:bookmarkStart w:id="306" w:name="_Toc127151530"/>
      <w:bookmarkStart w:id="307" w:name="_Toc151193918"/>
      <w:bookmarkStart w:id="308" w:name="_Toc164229225"/>
      <w:bookmarkStart w:id="309" w:name="_Toc164608644"/>
      <w:bookmarkStart w:id="310" w:name="_Toc151193844"/>
      <w:bookmarkStart w:id="311" w:name="_Toc164229371"/>
      <w:bookmarkStart w:id="312" w:name="_Toc520356155"/>
      <w:bookmarkStart w:id="313" w:name="_Toc150509281"/>
      <w:bookmarkStart w:id="314" w:name="_Toc150774630"/>
      <w:bookmarkStart w:id="315" w:name="_Toc150774735"/>
      <w:bookmarkStart w:id="316" w:name="_Toc150480768"/>
      <w:bookmarkStart w:id="317" w:name="_Toc142311032"/>
      <w:bookmarkStart w:id="318" w:name="_Toc164351624"/>
      <w:bookmarkStart w:id="319" w:name="_Toc127161444"/>
      <w:bookmarkStart w:id="320" w:name="_Toc151193700"/>
      <w:bookmarkStart w:id="321" w:name="_Toc164608799"/>
      <w:bookmarkStart w:id="322" w:name="_Toc127151731"/>
      <w:bookmarkStart w:id="323" w:name="_Toc195842895"/>
      <w:bookmarkStart w:id="324" w:name="_Toc151193628"/>
      <w:r>
        <w:rPr>
          <w:rFonts w:hint="eastAsia"/>
          <w:color w:val="000000" w:themeColor="text1"/>
          <w:sz w:val="24"/>
          <w14:textFill>
            <w14:solidFill>
              <w14:schemeClr w14:val="tx1"/>
            </w14:solidFill>
          </w14:textFill>
        </w:rPr>
        <w:t>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投标报价</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按照招标文件要求完成本项目的全部相关费用。 </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采购人不得向供应商索要或者接受其给予的赠品、回扣或者与采购无关的其他商品、服务。</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25" w:name="_Toc150509282"/>
      <w:bookmarkStart w:id="326" w:name="_Toc149720824"/>
      <w:bookmarkStart w:id="327" w:name="_Toc150774736"/>
      <w:bookmarkStart w:id="328" w:name="_Toc305158799"/>
      <w:bookmarkStart w:id="329" w:name="_Toc164608800"/>
      <w:bookmarkStart w:id="330" w:name="_Toc520356156"/>
      <w:bookmarkStart w:id="331" w:name="_Toc142311033"/>
      <w:bookmarkStart w:id="332" w:name="_Toc226965804"/>
      <w:bookmarkStart w:id="333" w:name="_Toc150480769"/>
      <w:bookmarkStart w:id="334" w:name="_Toc127151531"/>
      <w:bookmarkStart w:id="335" w:name="_Toc164608645"/>
      <w:bookmarkStart w:id="336" w:name="_Toc151193845"/>
      <w:bookmarkStart w:id="337" w:name="_Toc151193629"/>
      <w:bookmarkStart w:id="338" w:name="_Toc195842896"/>
      <w:bookmarkStart w:id="339" w:name="_Toc305158873"/>
      <w:bookmarkStart w:id="340" w:name="_Toc164351625"/>
      <w:bookmarkStart w:id="341" w:name="_Toc151190158"/>
      <w:bookmarkStart w:id="342" w:name="_Toc226337227"/>
      <w:bookmarkStart w:id="343" w:name="_Toc127151732"/>
      <w:bookmarkStart w:id="344" w:name="_Toc164229372"/>
      <w:bookmarkStart w:id="345" w:name="_Toc151193701"/>
      <w:bookmarkStart w:id="346" w:name="_Toc151193773"/>
      <w:bookmarkStart w:id="347" w:name="_Toc226965721"/>
      <w:bookmarkStart w:id="348" w:name="_Toc127161445"/>
      <w:bookmarkStart w:id="349" w:name="_Toc226309775"/>
      <w:bookmarkStart w:id="350" w:name="_Toc265228369"/>
      <w:bookmarkStart w:id="351" w:name="_Toc150774631"/>
      <w:bookmarkStart w:id="352" w:name="_Toc164229226"/>
      <w:bookmarkStart w:id="353" w:name="_Ref467306513"/>
      <w:bookmarkStart w:id="354" w:name="_Toc151193919"/>
      <w:bookmarkStart w:id="355" w:name="_Toc264969221"/>
      <w:r>
        <w:rPr>
          <w:rFonts w:hint="eastAsia"/>
          <w:color w:val="000000" w:themeColor="text1"/>
          <w:sz w:val="24"/>
          <w14:textFill>
            <w14:solidFill>
              <w14:schemeClr w14:val="tx1"/>
            </w14:solidFill>
          </w14:textFill>
        </w:rPr>
        <w:t>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356" w:name="_Ref467306302"/>
      <w:r>
        <w:rPr>
          <w:color w:val="000000" w:themeColor="text1"/>
          <w:sz w:val="24"/>
          <w14:textFill>
            <w14:solidFill>
              <w14:schemeClr w14:val="tx1"/>
            </w14:solidFill>
          </w14:textFill>
        </w:rPr>
        <w:t>12.1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投标人应按《投标人须知资料表》中规定的金额及要求交纳投标保证金</w:t>
      </w:r>
      <w:bookmarkEnd w:id="356"/>
      <w:r>
        <w:rPr>
          <w:color w:val="000000" w:themeColor="text1"/>
          <w:sz w:val="24"/>
          <w14:textFill>
            <w14:solidFill>
              <w14:schemeClr w14:val="tx1"/>
            </w14:solidFill>
          </w14:textFill>
        </w:rPr>
        <w:t>。投标人自愿超额缴纳投标保证金的，投标文件不做无效处理。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7"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57"/>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12.4</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投标保证金有效期同投标有效期。</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中标人的投标保证金，自采购合同签订之日起5个工作日内退还中标人；</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未中标投标人的投标保证金，自中标通知书发出之日起5个工作日内退还未中标人；</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有下列情形之一的，采购人或采购代理机构可以不予退还投标保证金：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12.8.1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投标有效期内投标人撤销投标文件的；</w:t>
      </w:r>
    </w:p>
    <w:p>
      <w:pPr>
        <w:tabs>
          <w:tab w:val="left" w:pos="900"/>
          <w:tab w:val="left" w:pos="108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12.8.2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《投标人须知资料表》中规定的其他情形。</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58" w:name="_Toc151193920"/>
      <w:bookmarkStart w:id="359" w:name="_Toc150774737"/>
      <w:bookmarkStart w:id="360" w:name="_Toc151193846"/>
      <w:bookmarkStart w:id="361" w:name="_Toc149720825"/>
      <w:bookmarkStart w:id="362" w:name="_Toc164608646"/>
      <w:bookmarkStart w:id="363" w:name="_Toc226965805"/>
      <w:bookmarkStart w:id="364" w:name="_Toc305158800"/>
      <w:bookmarkStart w:id="365" w:name="_Toc226965722"/>
      <w:bookmarkStart w:id="366" w:name="_Toc264969222"/>
      <w:bookmarkStart w:id="367" w:name="_Toc142311034"/>
      <w:bookmarkStart w:id="368" w:name="_Toc265228370"/>
      <w:bookmarkStart w:id="369" w:name="_Toc164229227"/>
      <w:bookmarkStart w:id="370" w:name="_Toc151193630"/>
      <w:bookmarkStart w:id="371" w:name="_Toc150774632"/>
      <w:bookmarkStart w:id="372" w:name="_Toc164229373"/>
      <w:bookmarkStart w:id="373" w:name="_Toc150480770"/>
      <w:bookmarkStart w:id="374" w:name="_Toc164608801"/>
      <w:bookmarkStart w:id="375" w:name="_Toc226337228"/>
      <w:bookmarkStart w:id="376" w:name="_Toc195842897"/>
      <w:bookmarkStart w:id="377" w:name="_Toc151193774"/>
      <w:bookmarkStart w:id="378" w:name="_Toc127161446"/>
      <w:bookmarkStart w:id="379" w:name="_Toc151190159"/>
      <w:bookmarkStart w:id="380" w:name="_Toc305158874"/>
      <w:bookmarkStart w:id="381" w:name="_Toc150509283"/>
      <w:bookmarkStart w:id="382" w:name="_Toc164351626"/>
      <w:bookmarkStart w:id="383" w:name="_Toc151193702"/>
      <w:bookmarkStart w:id="384" w:name="_Toc226309776"/>
      <w:bookmarkStart w:id="385" w:name="_Toc127151733"/>
      <w:bookmarkStart w:id="386" w:name="_Toc520356157"/>
      <w:bookmarkStart w:id="387" w:name="_Toc127151532"/>
      <w:r>
        <w:rPr>
          <w:rFonts w:hint="eastAsia"/>
          <w:color w:val="000000" w:themeColor="text1"/>
          <w:sz w:val="24"/>
          <w14:textFill>
            <w14:solidFill>
              <w14:schemeClr w14:val="tx1"/>
            </w14:solidFill>
          </w14:textFill>
        </w:rPr>
        <w:t>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投标有效期</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88" w:name="_Toc150509284"/>
      <w:bookmarkStart w:id="389" w:name="_Toc305158875"/>
      <w:bookmarkStart w:id="390" w:name="_Toc164229374"/>
      <w:bookmarkStart w:id="391" w:name="_Toc226965723"/>
      <w:bookmarkStart w:id="392" w:name="_Toc164351627"/>
      <w:bookmarkStart w:id="393" w:name="_Toc520356158"/>
      <w:bookmarkStart w:id="394" w:name="_Toc151193921"/>
      <w:bookmarkStart w:id="395" w:name="_Toc264969223"/>
      <w:bookmarkStart w:id="396" w:name="_Toc149720826"/>
      <w:bookmarkStart w:id="397" w:name="_Toc151193631"/>
      <w:bookmarkStart w:id="398" w:name="_Toc151193775"/>
      <w:bookmarkStart w:id="399" w:name="_Toc226337229"/>
      <w:bookmarkStart w:id="400" w:name="_Toc164229228"/>
      <w:bookmarkStart w:id="401" w:name="_Toc150774633"/>
      <w:bookmarkStart w:id="402" w:name="_Toc150480771"/>
      <w:bookmarkStart w:id="403" w:name="_Toc164608647"/>
      <w:bookmarkStart w:id="404" w:name="_Toc127151533"/>
      <w:bookmarkStart w:id="405" w:name="_Toc265228371"/>
      <w:bookmarkStart w:id="406" w:name="_Toc226965806"/>
      <w:bookmarkStart w:id="407" w:name="_Toc150774738"/>
      <w:bookmarkStart w:id="408" w:name="_Toc127151734"/>
      <w:bookmarkStart w:id="409" w:name="_Toc142311035"/>
      <w:bookmarkStart w:id="410" w:name="_Toc226309777"/>
      <w:bookmarkStart w:id="411" w:name="_Toc151190160"/>
      <w:bookmarkStart w:id="412" w:name="_Toc195842898"/>
      <w:bookmarkStart w:id="413" w:name="_Toc127161447"/>
      <w:bookmarkStart w:id="414" w:name="_Toc151193703"/>
      <w:bookmarkStart w:id="415" w:name="_Toc151193847"/>
      <w:bookmarkStart w:id="416" w:name="_Toc164608802"/>
      <w:bookmarkStart w:id="417" w:name="_Toc305158801"/>
      <w:r>
        <w:rPr>
          <w:rFonts w:hint="eastAsia"/>
          <w:color w:val="000000" w:themeColor="text1"/>
          <w:sz w:val="24"/>
          <w14:textFill>
            <w14:solidFill>
              <w14:schemeClr w14:val="tx1"/>
            </w14:solidFill>
          </w14:textFill>
        </w:rPr>
        <w:t>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投标文件的签署</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color w:val="000000" w:themeColor="text1"/>
          <w:sz w:val="24"/>
          <w14:textFill>
            <w14:solidFill>
              <w14:schemeClr w14:val="tx1"/>
            </w14:solidFill>
          </w14:textFill>
        </w:rPr>
        <w:t>、盖章</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418" w:name="_Toc520356159"/>
      <w:bookmarkStart w:id="419" w:name="_Toc265228372"/>
      <w:bookmarkStart w:id="420" w:name="_Toc151193704"/>
      <w:bookmarkStart w:id="421" w:name="_Toc305158802"/>
      <w:bookmarkStart w:id="422" w:name="_Toc195842899"/>
      <w:bookmarkStart w:id="423" w:name="_Toc150774634"/>
      <w:bookmarkStart w:id="424" w:name="_Toc142311036"/>
      <w:bookmarkStart w:id="425" w:name="_Toc150480772"/>
      <w:bookmarkStart w:id="426" w:name="_Toc226965807"/>
      <w:bookmarkStart w:id="427" w:name="_Toc151193776"/>
      <w:bookmarkStart w:id="428" w:name="_Toc127151534"/>
      <w:bookmarkStart w:id="429" w:name="_Toc226309778"/>
      <w:bookmarkStart w:id="430" w:name="_Toc226337230"/>
      <w:bookmarkStart w:id="431" w:name="_Toc264969224"/>
      <w:bookmarkStart w:id="432" w:name="_Toc151193922"/>
      <w:bookmarkStart w:id="433" w:name="_Toc151193848"/>
      <w:bookmarkStart w:id="434" w:name="_Toc151190161"/>
      <w:bookmarkStart w:id="435" w:name="_Toc226965724"/>
      <w:bookmarkStart w:id="436" w:name="_Toc151193632"/>
      <w:bookmarkStart w:id="437" w:name="_Toc150509285"/>
      <w:bookmarkStart w:id="438" w:name="_Toc305158876"/>
      <w:bookmarkStart w:id="439" w:name="_Toc150774739"/>
      <w:r>
        <w:rPr>
          <w:color w:val="000000" w:themeColor="text1"/>
          <w:sz w:val="24"/>
          <w14:textFill>
            <w14:solidFill>
              <w14:schemeClr w14:val="tx1"/>
            </w14:solidFill>
          </w14:textFill>
        </w:rPr>
        <w:t>14.1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招标文件要求盖章的内容，一般通过投标文件编制工具加盖电子签章。</w:t>
      </w:r>
    </w:p>
    <w:p>
      <w:pPr>
        <w:tabs>
          <w:tab w:val="left" w:pos="900"/>
          <w:tab w:val="left" w:pos="1080"/>
        </w:tabs>
        <w:snapToGrid w:val="0"/>
        <w:spacing w:line="360" w:lineRule="auto"/>
        <w:ind w:left="357"/>
        <w:rPr>
          <w:color w:val="000000" w:themeColor="text1"/>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440" w:name="_Toc305158803"/>
      <w:bookmarkStart w:id="441" w:name="_Toc226337231"/>
      <w:bookmarkStart w:id="442" w:name="_Toc151193923"/>
      <w:bookmarkStart w:id="443" w:name="_Toc150774740"/>
      <w:bookmarkStart w:id="444" w:name="_Toc149720828"/>
      <w:bookmarkStart w:id="445" w:name="_Toc151193633"/>
      <w:bookmarkStart w:id="446" w:name="_Toc265228373"/>
      <w:bookmarkStart w:id="447" w:name="_Toc127161449"/>
      <w:bookmarkStart w:id="448" w:name="_Toc150774635"/>
      <w:bookmarkStart w:id="449" w:name="_Toc142311037"/>
      <w:bookmarkStart w:id="450" w:name="_Toc226309779"/>
      <w:bookmarkStart w:id="451" w:name="_Toc151193849"/>
      <w:bookmarkStart w:id="452" w:name="_Toc127151736"/>
      <w:bookmarkStart w:id="453" w:name="_Toc520356160"/>
      <w:bookmarkStart w:id="454" w:name="_Toc164229230"/>
      <w:bookmarkStart w:id="455" w:name="_Toc305158877"/>
      <w:bookmarkStart w:id="456" w:name="_Toc127151535"/>
      <w:bookmarkStart w:id="457" w:name="_Toc264969225"/>
      <w:bookmarkStart w:id="458" w:name="_Toc195842900"/>
      <w:bookmarkStart w:id="459" w:name="_Toc150480773"/>
      <w:bookmarkStart w:id="460" w:name="_Toc226965808"/>
      <w:bookmarkStart w:id="461" w:name="_Toc164608649"/>
      <w:bookmarkStart w:id="462" w:name="_Toc150509286"/>
      <w:bookmarkStart w:id="463" w:name="_Toc151193705"/>
      <w:bookmarkStart w:id="464" w:name="_Toc164229376"/>
      <w:bookmarkStart w:id="465" w:name="_Toc226965725"/>
      <w:bookmarkStart w:id="466" w:name="_Toc164351629"/>
      <w:bookmarkStart w:id="467" w:name="_Toc164608804"/>
      <w:bookmarkStart w:id="468" w:name="_Toc151190162"/>
      <w:bookmarkStart w:id="469" w:name="_Toc151193777"/>
      <w:r>
        <w:rPr>
          <w:rFonts w:hint="eastAsia"/>
          <w:color w:val="000000" w:themeColor="text1"/>
          <w:sz w:val="24"/>
          <w14:textFill>
            <w14:solidFill>
              <w14:schemeClr w14:val="tx1"/>
            </w14:solidFill>
          </w14:textFill>
        </w:rPr>
        <w:t>15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color w:val="000000" w:themeColor="text1"/>
          <w:sz w:val="24"/>
          <w14:textFill>
            <w14:solidFill>
              <w14:schemeClr w14:val="tx1"/>
            </w14:solidFill>
          </w14:textFill>
        </w:rPr>
        <w:t>提交</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15.2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采购人及采购代理机构拒绝接受通过电子交易平台以外任何形式提交的投标文件，投标保证金除外。</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470" w:name="_Toc151190163"/>
      <w:bookmarkStart w:id="471" w:name="_Toc151193924"/>
      <w:bookmarkStart w:id="472" w:name="_Toc226337232"/>
      <w:bookmarkStart w:id="473" w:name="_Toc151193634"/>
      <w:bookmarkStart w:id="474" w:name="_Toc195842901"/>
      <w:bookmarkStart w:id="475" w:name="_Toc305158878"/>
      <w:bookmarkStart w:id="476" w:name="_Toc226965726"/>
      <w:bookmarkStart w:id="477" w:name="_Toc127161450"/>
      <w:bookmarkStart w:id="478" w:name="_Toc164608650"/>
      <w:bookmarkStart w:id="479" w:name="_Toc264969226"/>
      <w:bookmarkStart w:id="480" w:name="_Toc151193706"/>
      <w:bookmarkStart w:id="481" w:name="_Toc151193778"/>
      <w:bookmarkStart w:id="482" w:name="_Toc265228374"/>
      <w:bookmarkStart w:id="483" w:name="_Toc164351630"/>
      <w:bookmarkStart w:id="484" w:name="_Toc127151737"/>
      <w:bookmarkStart w:id="485" w:name="_Toc142311038"/>
      <w:bookmarkStart w:id="486" w:name="_Toc520356161"/>
      <w:bookmarkStart w:id="487" w:name="_Toc226965809"/>
      <w:bookmarkStart w:id="488" w:name="_Toc150774636"/>
      <w:bookmarkStart w:id="489" w:name="_Toc226309780"/>
      <w:bookmarkStart w:id="490" w:name="_Toc150774741"/>
      <w:bookmarkStart w:id="491" w:name="_Toc150480774"/>
      <w:bookmarkStart w:id="492" w:name="_Toc150509287"/>
      <w:bookmarkStart w:id="493" w:name="_Toc164229377"/>
      <w:bookmarkStart w:id="494" w:name="_Toc149720829"/>
      <w:bookmarkStart w:id="495" w:name="_Toc127151536"/>
      <w:bookmarkStart w:id="496" w:name="_Toc305158804"/>
      <w:bookmarkStart w:id="497" w:name="_Toc151193850"/>
      <w:bookmarkStart w:id="498" w:name="_Toc164229231"/>
      <w:bookmarkStart w:id="499" w:name="_Toc164608805"/>
      <w:r>
        <w:rPr>
          <w:rFonts w:hint="eastAsia"/>
          <w:color w:val="000000" w:themeColor="text1"/>
          <w:sz w:val="24"/>
          <w14:textFill>
            <w14:solidFill>
              <w14:schemeClr w14:val="tx1"/>
            </w14:solidFill>
          </w14:textFill>
        </w:rPr>
        <w:t>16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投标截止</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color w:val="000000" w:themeColor="text1"/>
          <w:sz w:val="24"/>
          <w14:textFill>
            <w14:solidFill>
              <w14:schemeClr w14:val="tx1"/>
            </w14:solidFill>
          </w14:textFill>
        </w:rPr>
        <w:t>时间</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投标人应在招标文件要求提交投标文件截止时间前，将电子投标文件提交至电子交易平台。</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00" w:name="_Toc164608651"/>
      <w:bookmarkStart w:id="501" w:name="_Toc151193635"/>
      <w:bookmarkStart w:id="502" w:name="_Toc164351631"/>
      <w:bookmarkStart w:id="503" w:name="_Toc226965727"/>
      <w:bookmarkStart w:id="504" w:name="_Toc151193779"/>
      <w:bookmarkStart w:id="505" w:name="_Toc520356162"/>
      <w:bookmarkStart w:id="506" w:name="_Toc151190164"/>
      <w:bookmarkStart w:id="507" w:name="_Toc151193851"/>
      <w:bookmarkStart w:id="508" w:name="_Toc226337233"/>
      <w:bookmarkStart w:id="509" w:name="_Toc226309781"/>
      <w:bookmarkStart w:id="510" w:name="_Toc127151537"/>
      <w:bookmarkStart w:id="511" w:name="_Toc305158879"/>
      <w:bookmarkStart w:id="512" w:name="_Toc151193925"/>
      <w:bookmarkStart w:id="513" w:name="_Toc127151738"/>
      <w:bookmarkStart w:id="514" w:name="_Toc195842902"/>
      <w:bookmarkStart w:id="515" w:name="_Toc149720830"/>
      <w:bookmarkStart w:id="516" w:name="_Toc164608806"/>
      <w:bookmarkStart w:id="517" w:name="_Toc150774742"/>
      <w:bookmarkStart w:id="518" w:name="_Toc226965810"/>
      <w:bookmarkStart w:id="519" w:name="_Toc305158805"/>
      <w:bookmarkStart w:id="520" w:name="_Toc142311039"/>
      <w:bookmarkStart w:id="521" w:name="_Toc127161451"/>
      <w:bookmarkStart w:id="522" w:name="_Toc150509288"/>
      <w:bookmarkStart w:id="523" w:name="_Toc264969227"/>
      <w:bookmarkStart w:id="524" w:name="_Toc164229232"/>
      <w:bookmarkStart w:id="525" w:name="_Toc151193707"/>
      <w:bookmarkStart w:id="526" w:name="_Toc265228375"/>
      <w:bookmarkStart w:id="527" w:name="_Toc164229378"/>
      <w:bookmarkStart w:id="528" w:name="_Toc150774637"/>
      <w:bookmarkStart w:id="529" w:name="_Toc150480775"/>
      <w:r>
        <w:rPr>
          <w:rFonts w:hint="eastAsia"/>
          <w:color w:val="000000" w:themeColor="text1"/>
          <w:sz w:val="24"/>
          <w14:textFill>
            <w14:solidFill>
              <w14:schemeClr w14:val="tx1"/>
            </w14:solidFill>
          </w14:textFill>
        </w:rPr>
        <w:t>17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投标文件的修改与撤回</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17.2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投标人对投标文件的补充、修改的内容应当按照招标文件要求签署、盖章，作为投标文件的组成部分。</w:t>
      </w:r>
    </w:p>
    <w:p>
      <w:pPr>
        <w:spacing w:line="360" w:lineRule="auto"/>
        <w:rPr>
          <w:color w:val="000000" w:themeColor="text1"/>
          <w:sz w:val="24"/>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bookmarkStart w:id="530" w:name="_Toc150774638"/>
      <w:bookmarkStart w:id="531" w:name="_Toc305158880"/>
      <w:bookmarkStart w:id="532" w:name="_Toc264969228"/>
      <w:bookmarkStart w:id="533" w:name="_Toc150774743"/>
      <w:bookmarkStart w:id="534" w:name="_Toc151190165"/>
      <w:bookmarkStart w:id="535" w:name="_Toc151193926"/>
      <w:bookmarkStart w:id="536" w:name="_Toc150509289"/>
      <w:bookmarkStart w:id="537" w:name="_Toc226309782"/>
      <w:bookmarkStart w:id="538" w:name="_Toc151193780"/>
      <w:bookmarkStart w:id="539" w:name="_Toc195842903"/>
      <w:bookmarkStart w:id="540" w:name="_Toc150480776"/>
      <w:bookmarkStart w:id="541" w:name="_Toc142311040"/>
      <w:bookmarkStart w:id="542" w:name="_Toc226965728"/>
      <w:bookmarkStart w:id="543" w:name="_Toc151193636"/>
      <w:bookmarkStart w:id="544" w:name="_Toc151193852"/>
      <w:bookmarkStart w:id="545" w:name="_Toc520356163"/>
      <w:bookmarkStart w:id="546" w:name="_Toc265228376"/>
      <w:bookmarkStart w:id="547" w:name="_Toc226965811"/>
      <w:bookmarkStart w:id="548" w:name="_Toc127151538"/>
      <w:bookmarkStart w:id="549" w:name="_Toc226337234"/>
      <w:bookmarkStart w:id="550" w:name="_Toc305158806"/>
      <w:bookmarkStart w:id="551" w:name="_Toc151193708"/>
      <w:r>
        <w:rPr>
          <w:rFonts w:ascii="Times New Roman" w:hAnsi="Times New Roman" w:eastAsia="宋体"/>
          <w:color w:val="000000" w:themeColor="text1"/>
          <w:sz w:val="28"/>
          <w14:textFill>
            <w14:solidFill>
              <w14:schemeClr w14:val="tx1"/>
            </w14:solidFill>
          </w14:textFill>
        </w:rPr>
        <w:t>五   开标、资格审查及评标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52" w:name="_Toc151193853"/>
      <w:bookmarkStart w:id="553" w:name="_Toc151193637"/>
      <w:bookmarkStart w:id="554" w:name="_Toc164608653"/>
      <w:bookmarkStart w:id="555" w:name="_Toc164351633"/>
      <w:bookmarkStart w:id="556" w:name="_Toc127151539"/>
      <w:bookmarkStart w:id="557" w:name="_Toc151190166"/>
      <w:bookmarkStart w:id="558" w:name="_Toc305158807"/>
      <w:bookmarkStart w:id="559" w:name="_Toc150480777"/>
      <w:bookmarkStart w:id="560" w:name="_Toc127151740"/>
      <w:bookmarkStart w:id="561" w:name="_Toc305158881"/>
      <w:bookmarkStart w:id="562" w:name="_Toc226965729"/>
      <w:bookmarkStart w:id="563" w:name="_Toc151193781"/>
      <w:bookmarkStart w:id="564" w:name="_Toc164229234"/>
      <w:bookmarkStart w:id="565" w:name="_Toc226337235"/>
      <w:bookmarkStart w:id="566" w:name="_Toc142311041"/>
      <w:bookmarkStart w:id="567" w:name="_Toc164229380"/>
      <w:bookmarkStart w:id="568" w:name="_Toc150774744"/>
      <w:bookmarkStart w:id="569" w:name="_Toc149720832"/>
      <w:bookmarkStart w:id="570" w:name="_Toc150509290"/>
      <w:bookmarkStart w:id="571" w:name="_Toc151193927"/>
      <w:bookmarkStart w:id="572" w:name="_Toc264969229"/>
      <w:bookmarkStart w:id="573" w:name="_Toc127161453"/>
      <w:bookmarkStart w:id="574" w:name="_Toc520356164"/>
      <w:bookmarkStart w:id="575" w:name="_Toc226965812"/>
      <w:bookmarkStart w:id="576" w:name="_Toc150774639"/>
      <w:bookmarkStart w:id="577" w:name="_Toc195842904"/>
      <w:bookmarkStart w:id="578" w:name="_Toc265228377"/>
      <w:bookmarkStart w:id="579" w:name="_Toc151193709"/>
      <w:bookmarkStart w:id="580" w:name="_Toc226309783"/>
      <w:bookmarkStart w:id="581" w:name="_Toc164608808"/>
      <w:r>
        <w:rPr>
          <w:rFonts w:hint="eastAsia"/>
          <w:color w:val="000000" w:themeColor="text1"/>
          <w:sz w:val="24"/>
          <w14:textFill>
            <w14:solidFill>
              <w14:schemeClr w14:val="tx1"/>
            </w14:solidFill>
          </w14:textFill>
        </w:rPr>
        <w:t>18</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开标</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82" w:name="_Hlk167284562"/>
      <w:r>
        <w:rPr>
          <w:color w:val="000000" w:themeColor="text1"/>
          <w:sz w:val="24"/>
          <w14:textFill>
            <w14:solidFill>
              <w14:schemeClr w14:val="tx1"/>
            </w14:solidFill>
          </w14:textFill>
        </w:rPr>
        <w:t>《投标人须知资料表》</w:t>
      </w:r>
      <w:bookmarkEnd w:id="582"/>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83" w:name="_Toc520356165"/>
      <w:r>
        <w:rPr>
          <w:color w:val="000000" w:themeColor="text1"/>
          <w:sz w:val="24"/>
          <w14:textFill>
            <w14:solidFill>
              <w14:schemeClr w14:val="tx1"/>
            </w14:solidFill>
          </w14:textFill>
        </w:rPr>
        <w:t>。</w:t>
      </w:r>
      <w:bookmarkStart w:id="584" w:name="_Hlk143533942"/>
      <w:r>
        <w:rPr>
          <w:color w:val="000000" w:themeColor="text1"/>
          <w:sz w:val="24"/>
          <w14:textFill>
            <w14:solidFill>
              <w14:schemeClr w14:val="tx1"/>
            </w14:solidFill>
          </w14:textFill>
        </w:rPr>
        <w:t>投标人未在规定时间内提出疑义或确认一览表的，视同认可开标结果。</w:t>
      </w:r>
      <w:bookmarkEnd w:id="584"/>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投标人不足3家的，不予开标。</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19.1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见第三章《资格审查》。</w:t>
      </w:r>
    </w:p>
    <w:bookmarkEnd w:id="583"/>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85" w:name="_Toc150774745"/>
      <w:bookmarkStart w:id="586" w:name="_Toc164229235"/>
      <w:bookmarkStart w:id="587" w:name="_Toc305158808"/>
      <w:bookmarkStart w:id="588" w:name="_Toc226965730"/>
      <w:bookmarkStart w:id="589" w:name="_Toc151193928"/>
      <w:bookmarkStart w:id="590" w:name="_Toc142311042"/>
      <w:bookmarkStart w:id="591" w:name="_Toc151193782"/>
      <w:bookmarkStart w:id="592" w:name="_Toc127161454"/>
      <w:bookmarkStart w:id="593" w:name="_Toc226337236"/>
      <w:bookmarkStart w:id="594" w:name="_Toc264969230"/>
      <w:bookmarkStart w:id="595" w:name="_Toc150509291"/>
      <w:bookmarkStart w:id="596" w:name="_Toc150774640"/>
      <w:bookmarkStart w:id="597" w:name="_Toc151190167"/>
      <w:bookmarkStart w:id="598" w:name="_Toc164351634"/>
      <w:bookmarkStart w:id="599" w:name="_Toc127151540"/>
      <w:bookmarkStart w:id="600" w:name="_Toc151193710"/>
      <w:bookmarkStart w:id="601" w:name="_Toc226965813"/>
      <w:bookmarkStart w:id="602" w:name="_Toc149720833"/>
      <w:bookmarkStart w:id="603" w:name="_Toc164608809"/>
      <w:bookmarkStart w:id="604" w:name="_Toc151193854"/>
      <w:bookmarkStart w:id="605" w:name="_Toc150480778"/>
      <w:bookmarkStart w:id="606" w:name="_Toc127151741"/>
      <w:bookmarkStart w:id="607" w:name="_Toc265228378"/>
      <w:bookmarkStart w:id="608" w:name="_Toc195842905"/>
      <w:bookmarkStart w:id="609" w:name="_Toc151193638"/>
      <w:bookmarkStart w:id="610" w:name="_Toc164229381"/>
      <w:bookmarkStart w:id="611" w:name="_Toc305158882"/>
      <w:bookmarkStart w:id="612" w:name="_Toc164608654"/>
      <w:bookmarkStart w:id="613" w:name="_Toc226309784"/>
      <w:r>
        <w:rPr>
          <w:rFonts w:hint="eastAsia"/>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20.1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14" w:name="_Toc520356166"/>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20.2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14"/>
      <w:bookmarkStart w:id="615" w:name="_Toc520356169"/>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评标程序、评标方法和评标标准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见第四章《评标程序、评标方法和评标标准》。</w:t>
      </w:r>
    </w:p>
    <w:p>
      <w:pPr>
        <w:tabs>
          <w:tab w:val="left" w:pos="360"/>
          <w:tab w:val="left" w:pos="1080"/>
        </w:tabs>
        <w:snapToGrid w:val="0"/>
        <w:spacing w:line="360" w:lineRule="auto"/>
        <w:ind w:left="1080"/>
        <w:rPr>
          <w:color w:val="000000" w:themeColor="text1"/>
          <w:sz w:val="24"/>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bookmarkStart w:id="616" w:name="_Toc150480783"/>
      <w:bookmarkStart w:id="617" w:name="_Toc151193715"/>
      <w:bookmarkStart w:id="618" w:name="_Toc226309789"/>
      <w:bookmarkStart w:id="619" w:name="_Toc264969235"/>
      <w:bookmarkStart w:id="620" w:name="_Toc150774645"/>
      <w:bookmarkStart w:id="621" w:name="_Toc195842910"/>
      <w:bookmarkStart w:id="622" w:name="_Toc150774750"/>
      <w:bookmarkStart w:id="623" w:name="_Toc151193933"/>
      <w:bookmarkStart w:id="624" w:name="_Toc127151545"/>
      <w:bookmarkStart w:id="625" w:name="_Toc142311047"/>
      <w:bookmarkStart w:id="626" w:name="_Toc226965818"/>
      <w:bookmarkStart w:id="627" w:name="_Toc226965735"/>
      <w:bookmarkStart w:id="628" w:name="_Toc305158813"/>
      <w:bookmarkStart w:id="629" w:name="_Toc150509296"/>
      <w:bookmarkStart w:id="630" w:name="_Toc151190172"/>
      <w:bookmarkStart w:id="631" w:name="_Toc151193643"/>
      <w:bookmarkStart w:id="632" w:name="_Toc226337241"/>
      <w:bookmarkStart w:id="633" w:name="_Toc265228383"/>
      <w:bookmarkStart w:id="634" w:name="_Toc151193859"/>
      <w:bookmarkStart w:id="635" w:name="_Toc151193787"/>
      <w:bookmarkStart w:id="636" w:name="_Toc305158887"/>
      <w:r>
        <w:rPr>
          <w:rFonts w:ascii="Times New Roman" w:hAnsi="Times New Roman" w:eastAsia="宋体"/>
          <w:color w:val="000000" w:themeColor="text1"/>
          <w:sz w:val="28"/>
          <w14:textFill>
            <w14:solidFill>
              <w14:schemeClr w14:val="tx1"/>
            </w14:solidFill>
          </w14:textFill>
        </w:rPr>
        <w:t xml:space="preserve">六   </w:t>
      </w:r>
      <w:bookmarkEnd w:id="615"/>
      <w:r>
        <w:rPr>
          <w:rFonts w:ascii="Times New Roman" w:hAnsi="Times New Roman" w:eastAsia="宋体"/>
          <w:color w:val="000000" w:themeColor="text1"/>
          <w:sz w:val="28"/>
          <w14:textFill>
            <w14:solidFill>
              <w14:schemeClr w14:val="tx1"/>
            </w14:solidFill>
          </w14:textFill>
        </w:rPr>
        <w:t>确定中标</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Start w:id="637" w:name="_Toc150509298"/>
      <w:bookmarkStart w:id="638" w:name="_Toc150480785"/>
      <w:bookmarkStart w:id="639" w:name="_Toc195842912"/>
      <w:bookmarkStart w:id="640" w:name="_Toc127151547"/>
      <w:bookmarkStart w:id="641" w:name="_Toc149720840"/>
      <w:bookmarkStart w:id="642" w:name="_Toc150774647"/>
      <w:bookmarkStart w:id="643" w:name="_Toc164608661"/>
      <w:bookmarkStart w:id="644" w:name="_Toc142311049"/>
      <w:bookmarkStart w:id="645" w:name="_Toc127151748"/>
      <w:bookmarkStart w:id="646" w:name="_Toc164351641"/>
      <w:bookmarkStart w:id="647" w:name="_Toc151193789"/>
      <w:bookmarkStart w:id="648" w:name="_Toc226965820"/>
      <w:bookmarkStart w:id="649" w:name="_Toc164229388"/>
      <w:bookmarkStart w:id="650" w:name="_Toc151190174"/>
      <w:bookmarkStart w:id="651" w:name="_Toc226965737"/>
      <w:bookmarkStart w:id="652" w:name="_Toc226309791"/>
      <w:bookmarkStart w:id="653" w:name="_Toc127161461"/>
      <w:bookmarkStart w:id="654" w:name="_Toc151193645"/>
      <w:bookmarkStart w:id="655" w:name="_Toc264969237"/>
      <w:bookmarkStart w:id="656" w:name="_Toc226337243"/>
      <w:bookmarkStart w:id="657" w:name="_Toc151193717"/>
      <w:bookmarkStart w:id="658" w:name="_Toc305158889"/>
      <w:bookmarkStart w:id="659" w:name="_Toc151193861"/>
      <w:bookmarkStart w:id="660" w:name="_Toc164229242"/>
      <w:bookmarkStart w:id="661" w:name="_Toc265228385"/>
      <w:bookmarkStart w:id="662" w:name="_Toc151193935"/>
      <w:bookmarkStart w:id="663" w:name="_Toc305158815"/>
      <w:bookmarkStart w:id="664" w:name="_Toc164608816"/>
      <w:bookmarkStart w:id="665" w:name="_Toc150774752"/>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确定中标人</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666" w:name="_Toc305158817"/>
      <w:bookmarkStart w:id="667" w:name="_Toc305158891"/>
      <w:bookmarkStart w:id="668" w:name="_Toc151193719"/>
      <w:bookmarkStart w:id="669" w:name="_Toc164608663"/>
      <w:bookmarkStart w:id="670" w:name="_Toc164229244"/>
      <w:bookmarkStart w:id="671" w:name="_Toc226337245"/>
      <w:bookmarkStart w:id="672" w:name="_Toc151193647"/>
      <w:bookmarkStart w:id="673" w:name="_Toc151190176"/>
      <w:bookmarkStart w:id="674" w:name="_Toc226965739"/>
      <w:bookmarkStart w:id="675" w:name="_Toc150509300"/>
      <w:bookmarkStart w:id="676" w:name="_Toc226965822"/>
      <w:bookmarkStart w:id="677" w:name="_Toc151193937"/>
      <w:bookmarkStart w:id="678" w:name="_Toc151193863"/>
      <w:bookmarkStart w:id="679" w:name="_Toc127151549"/>
      <w:bookmarkStart w:id="680" w:name="_Toc142311051"/>
      <w:bookmarkStart w:id="681" w:name="_Toc195842914"/>
      <w:bookmarkStart w:id="682" w:name="_Toc127151750"/>
      <w:bookmarkStart w:id="683" w:name="_Toc164351643"/>
      <w:bookmarkStart w:id="684" w:name="_Toc164229390"/>
      <w:bookmarkStart w:id="685" w:name="_Toc150774649"/>
      <w:bookmarkStart w:id="686" w:name="_Toc226309793"/>
      <w:bookmarkStart w:id="687" w:name="_Toc150774754"/>
      <w:bookmarkStart w:id="688" w:name="_Toc265228387"/>
      <w:bookmarkStart w:id="689" w:name="_Toc164608818"/>
      <w:bookmarkStart w:id="690" w:name="_Toc150480787"/>
      <w:bookmarkStart w:id="691" w:name="_Toc264969239"/>
      <w:bookmarkStart w:id="692" w:name="_Toc127161463"/>
      <w:bookmarkStart w:id="693" w:name="_Toc149720842"/>
      <w:bookmarkStart w:id="694" w:name="_Toc151193791"/>
      <w:bookmarkStart w:id="695" w:name="_Toc520356176"/>
      <w:bookmarkStart w:id="696" w:name="_Ref467307090"/>
      <w:bookmarkStart w:id="697" w:name="_Ref467306425"/>
      <w:r>
        <w:rPr>
          <w:rFonts w:hint="eastAsia"/>
          <w:color w:val="000000" w:themeColor="text1"/>
          <w:sz w:val="24"/>
          <w14:textFill>
            <w14:solidFill>
              <w14:schemeClr w14:val="tx1"/>
            </w14:solidFill>
          </w14:textFill>
        </w:rPr>
        <w:t>23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中标公告与中标通知书</w:t>
      </w:r>
      <w:bookmarkEnd w:id="666"/>
      <w:bookmarkEnd w:id="667"/>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废标</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在招标采购中，出现下列情形之一的，应予废标：</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符合专业条件的供应商或者对招标文件作实质响应的供应商不足三家的；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出现影响采购公正的违法、违规行为的；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投标人的报价均超过了采购预算，采购人不能支付的；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因重大变故，采购任务取消的。</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废标后，采购人将废标理由书面通知所有投标人。</w:t>
      </w:r>
    </w:p>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698" w:name="_Toc195842915"/>
      <w:bookmarkStart w:id="699" w:name="_Toc127151751"/>
      <w:bookmarkStart w:id="700" w:name="_Toc150480788"/>
      <w:bookmarkStart w:id="701" w:name="_Toc226309794"/>
      <w:bookmarkStart w:id="702" w:name="_Toc150774755"/>
      <w:bookmarkStart w:id="703" w:name="_Toc142311052"/>
      <w:bookmarkStart w:id="704" w:name="_Ref467307204"/>
      <w:bookmarkStart w:id="705" w:name="_Ref467306377"/>
      <w:bookmarkStart w:id="706" w:name="_Toc151193648"/>
      <w:bookmarkStart w:id="707" w:name="_Toc151193720"/>
      <w:bookmarkStart w:id="708" w:name="_Toc164608819"/>
      <w:bookmarkStart w:id="709" w:name="_Toc265228388"/>
      <w:bookmarkStart w:id="710" w:name="_Toc305158818"/>
      <w:bookmarkStart w:id="711" w:name="_Toc150774650"/>
      <w:bookmarkStart w:id="712" w:name="_Toc127161464"/>
      <w:bookmarkStart w:id="713" w:name="_Toc520356175"/>
      <w:bookmarkStart w:id="714" w:name="_Toc164351644"/>
      <w:bookmarkStart w:id="715" w:name="_Toc264969240"/>
      <w:bookmarkStart w:id="716" w:name="_Toc164229245"/>
      <w:bookmarkStart w:id="717" w:name="_Toc149720843"/>
      <w:bookmarkStart w:id="718" w:name="_Toc164608664"/>
      <w:bookmarkStart w:id="719" w:name="_Toc151193792"/>
      <w:bookmarkStart w:id="720" w:name="_Toc151193938"/>
      <w:bookmarkStart w:id="721" w:name="_Toc226965740"/>
      <w:bookmarkStart w:id="722" w:name="_Toc164229391"/>
      <w:bookmarkStart w:id="723" w:name="_Toc151190177"/>
      <w:bookmarkStart w:id="724" w:name="_Toc305158892"/>
      <w:bookmarkStart w:id="725" w:name="_Ref467307062"/>
      <w:bookmarkStart w:id="726" w:name="_Toc151193864"/>
      <w:bookmarkStart w:id="727" w:name="_Toc127151550"/>
      <w:bookmarkStart w:id="728" w:name="_Toc226965823"/>
      <w:bookmarkStart w:id="729" w:name="_Toc150509301"/>
      <w:bookmarkStart w:id="730" w:name="_Ref467306978"/>
      <w:bookmarkStart w:id="731" w:name="_Toc226337246"/>
      <w:r>
        <w:rPr>
          <w:rFonts w:hint="eastAsia"/>
          <w:color w:val="000000" w:themeColor="text1"/>
          <w:sz w:val="24"/>
          <w14:textFill>
            <w14:solidFill>
              <w14:schemeClr w14:val="tx1"/>
            </w14:solidFill>
          </w14:textFill>
        </w:rPr>
        <w:t>25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签订合同</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联合体中标的，联合体各方应当共同与采购人签订合同，就采购合同约定的事项向采购人承担连带责任。</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政府采购合同不能转包。</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95"/>
    <w:bookmarkEnd w:id="696"/>
    <w:bookmarkEnd w:id="697"/>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询问与质疑</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询问</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bookmarkStart w:id="732" w:name="_Hlk179293370"/>
      <w:r>
        <w:rPr>
          <w:rFonts w:hint="eastAsia"/>
          <w:color w:val="000000" w:themeColor="text1"/>
          <w:sz w:val="24"/>
          <w14:textFill>
            <w14:solidFill>
              <w14:schemeClr w14:val="tx1"/>
            </w14:solidFill>
          </w14:textFill>
        </w:rPr>
        <w:t>26.1.1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32"/>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质疑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接收询问和质疑的联系部门、联系电话和通讯地址见《投标人须知资料表》。</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代理费</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color w:val="000000" w:themeColor="text1"/>
          <w:sz w:val="24"/>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bookmarkStart w:id="733" w:name="_Toc353825544"/>
      <w:bookmarkStart w:id="734" w:name="_Toc150774759"/>
      <w:bookmarkStart w:id="735" w:name="_Toc265228392"/>
      <w:bookmarkStart w:id="736" w:name="_Toc226965827"/>
      <w:bookmarkStart w:id="737" w:name="_Toc305158822"/>
      <w:bookmarkStart w:id="738" w:name="_Toc305158896"/>
      <w:bookmarkStart w:id="739" w:name="_Toc353873934"/>
      <w:bookmarkStart w:id="740" w:name="_Toc127151554"/>
      <w:bookmarkStart w:id="741" w:name="_Toc353873664"/>
      <w:bookmarkStart w:id="742" w:name="_Toc226337250"/>
      <w:bookmarkStart w:id="743" w:name="_Toc150480792"/>
      <w:bookmarkStart w:id="744" w:name="_Toc142311056"/>
      <w:bookmarkStart w:id="745" w:name="_Toc264969244"/>
      <w:r>
        <w:rPr>
          <w:color w:val="000000" w:themeColor="text1"/>
          <w:sz w:val="24"/>
          <w14:textFill>
            <w14:solidFill>
              <w14:schemeClr w14:val="tx1"/>
            </w14:solidFill>
          </w14:textFill>
        </w:rPr>
        <w:br w:type="page"/>
      </w:r>
      <w:bookmarkStart w:id="746" w:name="_Toc229670243"/>
      <w:r>
        <w:rPr>
          <w:b/>
          <w:color w:val="000000" w:themeColor="text1"/>
          <w:sz w:val="36"/>
          <w:szCs w:val="36"/>
          <w14:textFill>
            <w14:solidFill>
              <w14:schemeClr w14:val="tx1"/>
            </w14:solidFill>
          </w14:textFill>
        </w:rPr>
        <w:t xml:space="preserve">第三章   </w:t>
      </w:r>
      <w:bookmarkEnd w:id="733"/>
      <w:bookmarkEnd w:id="734"/>
      <w:bookmarkEnd w:id="735"/>
      <w:bookmarkEnd w:id="736"/>
      <w:bookmarkEnd w:id="737"/>
      <w:bookmarkEnd w:id="738"/>
      <w:bookmarkEnd w:id="739"/>
      <w:bookmarkEnd w:id="740"/>
      <w:bookmarkEnd w:id="741"/>
      <w:bookmarkEnd w:id="742"/>
      <w:bookmarkEnd w:id="743"/>
      <w:bookmarkEnd w:id="744"/>
      <w:bookmarkEnd w:id="745"/>
      <w:r>
        <w:rPr>
          <w:b/>
          <w:color w:val="000000" w:themeColor="text1"/>
          <w:sz w:val="36"/>
          <w:szCs w:val="36"/>
          <w14:textFill>
            <w14:solidFill>
              <w14:schemeClr w14:val="tx1"/>
            </w14:solidFill>
          </w14:textFill>
        </w:rPr>
        <w:t>资格审查</w:t>
      </w:r>
      <w:bookmarkEnd w:id="746"/>
      <w:bookmarkStart w:id="747" w:name="_Toc487900382"/>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48" w:name="_Toc99301422"/>
      <w:r>
        <w:rPr>
          <w:b/>
          <w:color w:val="000000" w:themeColor="text1"/>
          <w:sz w:val="24"/>
          <w14:textFill>
            <w14:solidFill>
              <w14:schemeClr w14:val="tx1"/>
            </w14:solidFill>
          </w14:textFill>
        </w:rPr>
        <w:t>一、资格审查程序</w:t>
      </w:r>
      <w:bookmarkEnd w:id="748"/>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《资格审查要求》中对格式有要求的，除招标文件另有规定外，均为“实质性格式”文件。</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资格审查合格的投标人不足3家的，不进行评标。</w:t>
      </w:r>
    </w:p>
    <w:p>
      <w:pPr>
        <w:widowControl/>
        <w:jc w:val="left"/>
        <w:rPr>
          <w:color w:val="000000" w:themeColor="text1"/>
          <w:sz w:val="24"/>
          <w14:textFill>
            <w14:solidFill>
              <w14:schemeClr w14:val="tx1"/>
            </w14:solidFill>
          </w14:textFill>
        </w:rPr>
      </w:pPr>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49" w:name="_Hlk143693557"/>
      <w:r>
        <w:rPr>
          <w:b/>
          <w:color w:val="000000" w:themeColor="text1"/>
          <w:sz w:val="24"/>
          <w14:textFill>
            <w14:solidFill>
              <w14:schemeClr w14:val="tx1"/>
            </w14:solidFill>
          </w14:textFill>
        </w:rPr>
        <w:t>二、资格审查要求</w:t>
      </w:r>
      <w:bookmarkEnd w:id="749"/>
    </w:p>
    <w:tbl>
      <w:tblPr>
        <w:tblStyle w:val="18"/>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pPr>
              <w:tabs>
                <w:tab w:val="left" w:pos="1080"/>
              </w:tabs>
              <w:snapToGrid w:val="0"/>
              <w:jc w:val="center"/>
              <w:rPr>
                <w:b/>
                <w:color w:val="000000" w:themeColor="text1"/>
                <w:sz w:val="24"/>
                <w14:textFill>
                  <w14:solidFill>
                    <w14:schemeClr w14:val="tx1"/>
                  </w14:solidFill>
                </w14:textFill>
              </w:rPr>
            </w:pPr>
            <w:bookmarkStart w:id="750" w:name="_Hlt487972895"/>
            <w:bookmarkEnd w:id="750"/>
            <w:bookmarkStart w:id="751" w:name="_Hlk143693460"/>
            <w:r>
              <w:rPr>
                <w:b/>
                <w:color w:val="000000" w:themeColor="text1"/>
                <w:sz w:val="24"/>
                <w14:textFill>
                  <w14:solidFill>
                    <w14:schemeClr w14:val="tx1"/>
                  </w14:solidFill>
                </w14:textFill>
              </w:rPr>
              <w:t>序号</w:t>
            </w:r>
          </w:p>
        </w:tc>
        <w:tc>
          <w:tcPr>
            <w:tcW w:w="1982"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审查因素</w:t>
            </w:r>
          </w:p>
        </w:tc>
        <w:tc>
          <w:tcPr>
            <w:tcW w:w="4822"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审查内容</w:t>
            </w:r>
          </w:p>
        </w:tc>
        <w:tc>
          <w:tcPr>
            <w:tcW w:w="1638"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具体规定见第一章《投标邀请》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营业执照等证明文件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投标人为企业（包括合伙企业）的，应提供有效的“营业执照”；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投标人为事业单位的，应提供有效的“事业单位法人证书”；</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投标人是非企业机构的，应提供有效的“执业许可证”、“登记证书”等证明文件；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投标人是个体工商户的，应提供有效的“个体工商户营业执照”；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投标人是自然人的，应提供有效的自然人身份证明。</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14:textFill>
                  <w14:solidFill>
                    <w14:schemeClr w14:val="tx1"/>
                  </w14:solidFill>
                </w14:textFill>
              </w:rPr>
              <w:t>银行、保险、石油石化、电力、电信等行业的分支机构，可以提供上述</w:t>
            </w:r>
            <w:r>
              <w:rPr>
                <w:color w:val="000000" w:themeColor="text1"/>
                <w:sz w:val="24"/>
                <w14:textFill>
                  <w14:solidFill>
                    <w14:schemeClr w14:val="tx1"/>
                  </w14:solidFill>
                </w14:textFill>
              </w:rPr>
              <w:t>授权，也可以提供其所属法人/其他组织的有关文件或制度等能够证明授权其独立开展业务的证明材料。</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投标人资格声明书</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提供了符合招标文件要求的《投标人资格声明书》。</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投标人信用记录</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查询渠道：信用中国网站和中国政府采购网（</w:t>
            </w:r>
            <w:r>
              <w:rPr>
                <w:color w:val="000000" w:themeColor="text1"/>
                <w14:textFill>
                  <w14:solidFill>
                    <w14:schemeClr w14:val="tx1"/>
                  </w14:solidFill>
                </w14:textFill>
              </w:rPr>
              <w:t>www.creditchina.gov.cn</w:t>
            </w:r>
            <w:r>
              <w:rPr>
                <w:color w:val="000000" w:themeColor="text1"/>
                <w:sz w:val="24"/>
                <w14:textFill>
                  <w14:solidFill>
                    <w14:schemeClr w14:val="tx1"/>
                  </w14:solidFill>
                </w14:textFill>
              </w:rPr>
              <w:t>、</w:t>
            </w:r>
            <w:r>
              <w:rPr>
                <w:color w:val="000000" w:themeColor="text1"/>
                <w14:textFill>
                  <w14:solidFill>
                    <w14:schemeClr w14:val="tx1"/>
                  </w14:solidFill>
                </w14:textFill>
              </w:rPr>
              <w:t>www.ccgp.gov.cn</w:t>
            </w:r>
            <w:r>
              <w:rPr>
                <w:color w:val="000000" w:themeColor="text1"/>
                <w:sz w:val="24"/>
                <w14:textFill>
                  <w14:solidFill>
                    <w14:schemeClr w14:val="tx1"/>
                  </w14:solidFill>
                </w14:textFill>
              </w:rPr>
              <w:t>）；</w:t>
            </w:r>
          </w:p>
          <w:p>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截止时点：投标截止时间以后、资格审查阶段采购人或采购代理机构的实际查询时间；</w:t>
            </w:r>
          </w:p>
          <w:p>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信用信息查询记录和证据留存具体方式：查询结果网页打印页作为查询记录和证据，与其他采购文件一并保存；</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。联合体形式投标的，联合体成员存在不良信用记录，视同联合体存在不良信用记录。</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1-4</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1638"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落实政府采购政策需满足的资格要求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当本项目（包）涉及预留份额专门面向中小企业采购，此时建议在《资格证明文件》中提供。</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拟分包情况说明及分包意向协议</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如本项目（包）要求通过分包措施预留部分采购份额面向中小企业采购、且投标人因落实政府采购政策拟进行分包的，必须提供；否则无须提供。</w:t>
            </w:r>
          </w:p>
          <w:p>
            <w:pPr>
              <w:tabs>
                <w:tab w:val="left" w:pos="1080"/>
              </w:tabs>
              <w:snapToGrid w:val="0"/>
              <w:rPr>
                <w:b/>
                <w:color w:val="000000" w:themeColor="text1"/>
                <w:sz w:val="24"/>
                <w14:textFill>
                  <w14:solidFill>
                    <w14:schemeClr w14:val="tx1"/>
                  </w14:solidFill>
                </w14:textFill>
              </w:rPr>
            </w:pPr>
            <w:r>
              <w:rPr>
                <w:color w:val="000000" w:themeColor="text1"/>
                <w:sz w:val="24"/>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1638" w:type="dxa"/>
            <w:vAlign w:val="center"/>
          </w:tcPr>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其它落实政府采购政策的资格要求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本项目对于联合体的要求</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2、联合体各成员单位均须提供本表中序号1-1、1-2的证明文件。联合体各成员单位均应满足本表3-2项规定。</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3、本表序号3-3项规定的其他特定资格要求中的每一小项要求，联合体各方中至少应当有一方符合本表中其他资格要求并提供证明文件。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4、联合体中有同类资质的供应商按照联合体分工承担相同工作的，应当按照资质等级较低的供应商确定资质等级。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5、以联合体形式参加政府采购活动的，联合体各方不得再单独参加或者与其他供应商另外组成联合体参加同一合同项下的政府采购活动。</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6、若联合体中任一成员单位中途退出，则该联合体的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7、本项目不接受联合体投标时，投标人不得为联合体。</w:t>
            </w:r>
          </w:p>
        </w:tc>
        <w:tc>
          <w:tcPr>
            <w:tcW w:w="1638" w:type="dxa"/>
            <w:vAlign w:val="center"/>
          </w:tcPr>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政府购买服务承接主体的要求</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如本项目属于政府购买服务，投标人不属于公益一类事业单位、使用事业编制且由财政拨款保障的群团组织。</w:t>
            </w:r>
          </w:p>
        </w:tc>
        <w:tc>
          <w:tcPr>
            <w:tcW w:w="1638" w:type="dxa"/>
            <w:vAlign w:val="center"/>
          </w:tcPr>
          <w:p>
            <w:pPr>
              <w:tabs>
                <w:tab w:val="left" w:pos="1080"/>
              </w:tabs>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其他特定资格要求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注：如联合体中有同类资质的供应商按照联合体分工承担相同工作的，均应当提供资质证书电子件或电子证照。</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按照招标文件的规定提交投标保证金。</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获取招标文件</w:t>
            </w:r>
          </w:p>
        </w:tc>
        <w:tc>
          <w:tcPr>
            <w:tcW w:w="4822" w:type="dxa"/>
            <w:vAlign w:val="center"/>
          </w:tcPr>
          <w:p>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在规定期限内通过北京市政府采购电子交易平台获取所参与包的招标文件。</w:t>
            </w:r>
          </w:p>
          <w:p>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注：如本项目接受联合体，且供应商为联合体时，联合体中任一成员获取文件即视为满足要求。</w:t>
            </w:r>
          </w:p>
        </w:tc>
        <w:tc>
          <w:tcPr>
            <w:tcW w:w="1638" w:type="dxa"/>
            <w:vAlign w:val="center"/>
          </w:tcPr>
          <w:p>
            <w:pPr>
              <w:tabs>
                <w:tab w:val="left" w:pos="1080"/>
              </w:tabs>
              <w:snapToGrid w:val="0"/>
              <w:rPr>
                <w:color w:val="000000" w:themeColor="text1"/>
                <w:sz w:val="24"/>
                <w14:textFill>
                  <w14:solidFill>
                    <w14:schemeClr w14:val="tx1"/>
                  </w14:solidFill>
                </w14:textFill>
              </w:rPr>
            </w:pPr>
          </w:p>
        </w:tc>
      </w:t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747"/>
      <w:bookmarkEnd w:id="751"/>
    </w:tbl>
    <w:p>
      <w:pPr>
        <w:widowControl/>
        <w:jc w:val="left"/>
        <w:rPr>
          <w:color w:val="000000" w:themeColor="text1"/>
          <w:sz w:val="24"/>
          <w14:textFill>
            <w14:solidFill>
              <w14:schemeClr w14:val="tx1"/>
            </w14:solidFill>
          </w14:textFill>
        </w:rPr>
      </w:pPr>
      <w:bookmarkStart w:id="752" w:name="_Hlt522424701"/>
      <w:bookmarkEnd w:id="752"/>
      <w:bookmarkStart w:id="753" w:name="_Hlt487900425"/>
      <w:bookmarkEnd w:id="753"/>
      <w:bookmarkStart w:id="754" w:name="_Toc226965858"/>
      <w:bookmarkStart w:id="755" w:name="_Toc127151779"/>
      <w:bookmarkStart w:id="756" w:name="_Toc353873940"/>
      <w:bookmarkStart w:id="757" w:name="_Toc353825550"/>
      <w:bookmarkStart w:id="758" w:name="_Toc127161490"/>
      <w:r>
        <w:rPr>
          <w:color w:val="000000" w:themeColor="text1"/>
          <w:sz w:val="24"/>
          <w14:textFill>
            <w14:solidFill>
              <w14:schemeClr w14:val="tx1"/>
            </w14:solidFill>
          </w14:textFill>
        </w:rPr>
        <w:br w:type="page"/>
      </w:r>
    </w:p>
    <w:p>
      <w:pPr>
        <w:spacing w:line="360" w:lineRule="auto"/>
        <w:jc w:val="center"/>
        <w:outlineLvl w:val="0"/>
        <w:rPr>
          <w:b/>
          <w:color w:val="000000" w:themeColor="text1"/>
          <w:sz w:val="36"/>
          <w:szCs w:val="36"/>
          <w14:textFill>
            <w14:solidFill>
              <w14:schemeClr w14:val="tx1"/>
            </w14:solidFill>
          </w14:textFill>
        </w:rPr>
      </w:pPr>
      <w:bookmarkStart w:id="759" w:name="_Toc229670244"/>
      <w:r>
        <w:rPr>
          <w:b/>
          <w:color w:val="000000" w:themeColor="text1"/>
          <w:sz w:val="36"/>
          <w:szCs w:val="36"/>
          <w14:textFill>
            <w14:solidFill>
              <w14:schemeClr w14:val="tx1"/>
            </w14:solidFill>
          </w14:textFill>
        </w:rPr>
        <w:t xml:space="preserve">第四章   </w:t>
      </w:r>
      <w:bookmarkEnd w:id="754"/>
      <w:bookmarkEnd w:id="755"/>
      <w:bookmarkEnd w:id="756"/>
      <w:bookmarkEnd w:id="757"/>
      <w:bookmarkEnd w:id="758"/>
      <w:bookmarkStart w:id="760" w:name="_Hlt164229061"/>
      <w:bookmarkEnd w:id="760"/>
      <w:r>
        <w:rPr>
          <w:b/>
          <w:color w:val="000000" w:themeColor="text1"/>
          <w:sz w:val="36"/>
          <w:szCs w:val="36"/>
          <w14:textFill>
            <w14:solidFill>
              <w14:schemeClr w14:val="tx1"/>
            </w14:solidFill>
          </w14:textFill>
        </w:rPr>
        <w:t>评标程序、评标方法和评标标准</w:t>
      </w:r>
      <w:bookmarkEnd w:id="759"/>
    </w:p>
    <w:p>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bookmarkStart w:id="761" w:name="_Toc150774641"/>
      <w:bookmarkStart w:id="762" w:name="_Toc127151541"/>
      <w:bookmarkStart w:id="763" w:name="_Toc195842906"/>
      <w:bookmarkStart w:id="764" w:name="_Toc151193711"/>
      <w:bookmarkStart w:id="765" w:name="_Toc127151742"/>
      <w:bookmarkStart w:id="766" w:name="_Toc164229236"/>
      <w:bookmarkStart w:id="767" w:name="_Toc127161455"/>
      <w:bookmarkStart w:id="768" w:name="_Toc164608655"/>
      <w:bookmarkStart w:id="769" w:name="_Toc164229382"/>
      <w:bookmarkStart w:id="770" w:name="_Toc164608810"/>
      <w:bookmarkStart w:id="771" w:name="_Toc226309785"/>
      <w:bookmarkStart w:id="772" w:name="_Toc151193855"/>
      <w:bookmarkStart w:id="773" w:name="_Toc149720834"/>
      <w:bookmarkStart w:id="774" w:name="_Toc264969231"/>
      <w:bookmarkStart w:id="775" w:name="_Toc265228379"/>
      <w:bookmarkStart w:id="776" w:name="_Toc305158809"/>
      <w:bookmarkStart w:id="777" w:name="_Toc142311043"/>
      <w:bookmarkStart w:id="778" w:name="_Toc150480779"/>
      <w:bookmarkStart w:id="779" w:name="_Toc151193639"/>
      <w:bookmarkStart w:id="780" w:name="_Toc226965814"/>
      <w:bookmarkStart w:id="781" w:name="_Toc150774746"/>
      <w:bookmarkStart w:id="782" w:name="_Toc164351635"/>
      <w:bookmarkStart w:id="783" w:name="_Toc305158883"/>
      <w:bookmarkStart w:id="784" w:name="_Toc151190168"/>
      <w:bookmarkStart w:id="785" w:name="_Toc226965731"/>
      <w:bookmarkStart w:id="786" w:name="_Toc226337237"/>
      <w:bookmarkStart w:id="787" w:name="_Toc151193929"/>
      <w:bookmarkStart w:id="788" w:name="_Toc150509292"/>
      <w:bookmarkStart w:id="789" w:name="_Toc151193783"/>
      <w:bookmarkStart w:id="790" w:name="_Toc353825551"/>
      <w:bookmarkStart w:id="791" w:name="_Toc353873941"/>
      <w:bookmarkStart w:id="792" w:name="_Toc150480793"/>
      <w:bookmarkStart w:id="793" w:name="_Toc305158897"/>
      <w:bookmarkStart w:id="794" w:name="_Toc353873665"/>
      <w:bookmarkStart w:id="795" w:name="_Toc195842920"/>
      <w:bookmarkStart w:id="796" w:name="_Toc226965828"/>
      <w:bookmarkStart w:id="797" w:name="_Toc226337251"/>
      <w:bookmarkStart w:id="798" w:name="_Toc265228393"/>
      <w:bookmarkStart w:id="799" w:name="_Toc142311057"/>
      <w:bookmarkStart w:id="800" w:name="_Toc150774760"/>
      <w:bookmarkStart w:id="801" w:name="_Toc305158823"/>
      <w:bookmarkStart w:id="802" w:name="_Toc264969245"/>
      <w:bookmarkStart w:id="803" w:name="_Toc353873935"/>
      <w:bookmarkStart w:id="804" w:name="_Toc127151555"/>
      <w:bookmarkStart w:id="805" w:name="_Toc353825545"/>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投标文件的符合性审查</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806" w:name="_Toc520356167"/>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6"/>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18"/>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序号</w:t>
            </w:r>
          </w:p>
        </w:tc>
        <w:tc>
          <w:tcPr>
            <w:tcW w:w="1812"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审查因素</w:t>
            </w:r>
          </w:p>
        </w:tc>
        <w:tc>
          <w:tcPr>
            <w:tcW w:w="6727"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授权委托书</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投标完整性</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报价唯一性</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w:t>
            </w:r>
            <w:r>
              <w:rPr>
                <w:color w:val="000000" w:themeColor="text1"/>
                <w:sz w:val="24"/>
                <w14:textFill>
                  <w14:solidFill>
                    <w14:schemeClr w14:val="tx1"/>
                  </w14:solidFill>
                </w14:textFill>
              </w:rPr>
              <w:t>出现可选择性或可调整的报价（招标文件另有规定的除外）</w:t>
            </w:r>
            <w:r>
              <w:rPr>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投标有效期</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实质性格式</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w:t>
            </w:r>
          </w:p>
        </w:tc>
        <w:tc>
          <w:tcPr>
            <w:tcW w:w="1812" w:type="dxa"/>
            <w:vAlign w:val="center"/>
          </w:tcPr>
          <w:p>
            <w:pPr>
              <w:widowControl/>
              <w:jc w:val="left"/>
              <w:rPr>
                <w:color w:val="000000" w:themeColor="text1"/>
                <w:kern w:val="0"/>
                <w:sz w:val="24"/>
                <w14:textFill>
                  <w14:solidFill>
                    <w14:schemeClr w14:val="tx1"/>
                  </w14:solidFill>
                </w14:textFill>
              </w:rPr>
            </w:pP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号条款响应</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投标文件满足招标文件</w:t>
            </w:r>
            <w:r>
              <w:rPr>
                <w:color w:val="000000" w:themeColor="text1"/>
                <w:sz w:val="24"/>
                <w14:textFill>
                  <w14:solidFill>
                    <w14:schemeClr w14:val="tx1"/>
                  </w14:solidFill>
                </w14:textFill>
              </w:rPr>
              <w:t>第五章《采购需求》</w:t>
            </w:r>
            <w:r>
              <w:rPr>
                <w:color w:val="000000" w:themeColor="text1"/>
                <w:kern w:val="0"/>
                <w:sz w:val="24"/>
                <w14:textFill>
                  <w14:solidFill>
                    <w14:schemeClr w14:val="tx1"/>
                  </w14:solidFill>
                </w14:textFill>
              </w:rPr>
              <w:t>中</w:t>
            </w: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w:t>
            </w:r>
            <w:r>
              <w:rPr>
                <w:color w:val="000000" w:themeColor="text1"/>
                <w:kern w:val="0"/>
                <w:sz w:val="24"/>
                <w:highlight w:val="none"/>
                <w14:textFill>
                  <w14:solidFill>
                    <w14:schemeClr w14:val="tx1"/>
                  </w14:solidFill>
                </w14:textFill>
              </w:rPr>
              <w:t>款要求的</w:t>
            </w:r>
            <w:r>
              <w:rPr>
                <w:rFonts w:hint="eastAsia"/>
                <w:color w:val="000000" w:themeColor="text1"/>
                <w:kern w:val="0"/>
                <w:sz w:val="24"/>
                <w:highlight w:val="none"/>
                <w:lang w:eastAsia="zh-CN"/>
                <w14:textFill>
                  <w14:solidFill>
                    <w14:schemeClr w14:val="tx1"/>
                  </w14:solidFill>
                </w14:textFill>
              </w:rPr>
              <w:t>，</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w:t>
            </w:r>
            <w:r>
              <w:rPr>
                <w:rFonts w:hint="eastAsia"/>
                <w:color w:val="000000" w:themeColor="text1"/>
                <w:kern w:val="0"/>
                <w:sz w:val="24"/>
                <w:highlight w:val="none"/>
                <w:lang w:val="en-US" w:eastAsia="zh-CN"/>
                <w14:textFill>
                  <w14:solidFill>
                    <w14:schemeClr w14:val="tx1"/>
                  </w14:solidFill>
                </w14:textFill>
              </w:rPr>
              <w:t>不允许负偏离</w:t>
            </w:r>
            <w:r>
              <w:rPr>
                <w:color w:val="000000" w:themeColor="text1"/>
                <w:kern w:val="0"/>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拟分包情况说明（如有）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9</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分包其他要求（如有）</w:t>
            </w:r>
          </w:p>
        </w:tc>
        <w:tc>
          <w:tcPr>
            <w:tcW w:w="6727" w:type="dxa"/>
            <w:vAlign w:val="center"/>
          </w:tcPr>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分包履行的内容、金额或者比例未超出《投标人须知资料表》中的规定；</w:t>
            </w:r>
          </w:p>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10</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报价的修正（如有）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进口产品（如有）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12</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pPr>
              <w:widowControl/>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sz w:val="24"/>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14:textFill>
                  <w14:solidFill>
                    <w14:schemeClr w14:val="tx1"/>
                  </w14:solidFill>
                </w14:textFill>
              </w:rPr>
              <w:t>公安部颁发的计算机信息系统安全专用产品销售许可证</w:t>
            </w:r>
            <w:r>
              <w:rPr>
                <w:color w:val="000000" w:themeColor="text1"/>
                <w:sz w:val="24"/>
                <w14:textFill>
                  <w14:solidFill>
                    <w14:schemeClr w14:val="tx1"/>
                  </w14:solidFill>
                </w14:textFill>
              </w:rPr>
              <w:t>，且在有效期内，亦视为符合要求）</w:t>
            </w:r>
          </w:p>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13</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公平竞争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14</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串通投标</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5</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附加条件</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6</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其他无效情形</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投标人、投标文件不存在不符合法律、法规和招标文件规定的其他无效情形。</w:t>
            </w:r>
          </w:p>
        </w:tc>
      </w:tr>
    </w:tbl>
    <w:p>
      <w:pPr>
        <w:tabs>
          <w:tab w:val="left" w:pos="1080"/>
          <w:tab w:val="left" w:pos="1589"/>
        </w:tabs>
        <w:snapToGrid w:val="0"/>
        <w:spacing w:line="360" w:lineRule="auto"/>
        <w:ind w:left="900" w:hanging="900"/>
        <w:rPr>
          <w:color w:val="000000" w:themeColor="text1"/>
          <w:sz w:val="24"/>
          <w14:textFill>
            <w14:solidFill>
              <w14:schemeClr w14:val="tx1"/>
            </w14:solidFill>
          </w14:textFill>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投标文件有关事项的澄清或者说明</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7" w:name="_Hlk144225607"/>
      <w:r>
        <w:rPr>
          <w:color w:val="000000" w:themeColor="text1"/>
          <w:sz w:val="24"/>
          <w:szCs w:val="20"/>
          <w14:textFill>
            <w14:solidFill>
              <w14:schemeClr w14:val="tx1"/>
            </w14:solidFill>
          </w14:textFill>
        </w:rPr>
        <w:t>若投标人为事业单位或其他组织或分支机构，可为单位负责人</w:t>
      </w:r>
      <w:bookmarkEnd w:id="807"/>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bookmarkStart w:id="808" w:name="_Hlk220085436"/>
      <w:r>
        <w:rPr>
          <w:color w:val="000000" w:themeColor="text1"/>
          <w:sz w:val="24"/>
          <w14:textFill>
            <w14:solidFill>
              <w14:schemeClr w14:val="tx1"/>
            </w14:solidFill>
          </w14:textFill>
        </w:rPr>
        <w:t>2.2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异常低价处理</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2.2.1</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（1）投标（响应）报价低于全部通过符合性审查供应商投标（响应）报价平均值</w:t>
      </w:r>
      <w:r>
        <w:rPr>
          <w:rFonts w:eastAsiaTheme="minorEastAsia"/>
          <w:color w:val="000000" w:themeColor="text1"/>
          <w:sz w:val="24"/>
          <w:u w:val="single"/>
          <w14:textFill>
            <w14:solidFill>
              <w14:schemeClr w14:val="tx1"/>
            </w14:solidFill>
          </w14:textFill>
        </w:rPr>
        <w:t>_50__%</w:t>
      </w:r>
      <w:r>
        <w:rPr>
          <w:rFonts w:hint="eastAsia"/>
          <w:color w:val="000000" w:themeColor="text1"/>
          <w:sz w:val="24"/>
          <w14:textFill>
            <w14:solidFill>
              <w14:schemeClr w14:val="tx1"/>
            </w14:solidFill>
          </w14:textFill>
        </w:rPr>
        <w:t>的，即投标（响应）报价&lt;全部通过符合性审查供应商投标（响应）报价平均值×</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（2）投标（响应）报价低于通过符合性审查的次低报价供应商投标（响应）报价</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的，即投标（响应）报价&lt;通过符合性审查的次低报价供应商投标（响应）报价×</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（3）投标（响应）报价低于采购项目最高限价</w:t>
      </w:r>
      <w:r>
        <w:rPr>
          <w:rFonts w:eastAsiaTheme="minorEastAsia"/>
          <w:color w:val="000000" w:themeColor="text1"/>
          <w:sz w:val="24"/>
          <w14:textFill>
            <w14:solidFill>
              <w14:schemeClr w14:val="tx1"/>
            </w14:solidFill>
          </w14:textFill>
        </w:rPr>
        <w:t>__</w:t>
      </w:r>
      <w:r>
        <w:rPr>
          <w:rFonts w:eastAsiaTheme="minorEastAsia"/>
          <w:color w:val="000000" w:themeColor="text1"/>
          <w:sz w:val="24"/>
          <w:u w:val="single"/>
          <w14:textFill>
            <w14:solidFill>
              <w14:schemeClr w14:val="tx1"/>
            </w14:solidFill>
          </w14:textFill>
        </w:rPr>
        <w:t>45_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的，即投标（响应）报价&lt;采购项目最高限价×</w:t>
      </w:r>
      <w:r>
        <w:rPr>
          <w:rFonts w:eastAsiaTheme="minorEastAsia"/>
          <w:color w:val="000000" w:themeColor="text1"/>
          <w:sz w:val="24"/>
          <w14:textFill>
            <w14:solidFill>
              <w14:schemeClr w14:val="tx1"/>
            </w14:solidFill>
          </w14:textFill>
        </w:rPr>
        <w:t>__</w:t>
      </w:r>
      <w:r>
        <w:rPr>
          <w:rFonts w:eastAsiaTheme="minorEastAsia"/>
          <w:color w:val="000000" w:themeColor="text1"/>
          <w:sz w:val="24"/>
          <w:u w:val="single"/>
          <w14:textFill>
            <w14:solidFill>
              <w14:schemeClr w14:val="tx1"/>
            </w14:solidFill>
          </w14:textFill>
        </w:rPr>
        <w:t>45_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未设定最高限价的采购项目，以采购项目预算金额作为最高限价</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（4）评审委员会基于专业判断，认为供应商报价过低，有可能影响产品质量或者不能诚信履约的其他情形。</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2.2.3</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bookmarkStart w:id="809" w:name="_Hlk190337965"/>
      <w:r>
        <w:rPr>
          <w:color w:val="000000" w:themeColor="text1"/>
          <w:sz w:val="24"/>
          <w14:textFill>
            <w14:solidFill>
              <w14:schemeClr w14:val="tx1"/>
            </w14:solidFill>
          </w14:textFill>
        </w:rPr>
        <w:t>2.2.4</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上述投标（响应）报价指按照本章2.4修正后的报价</w:t>
      </w:r>
      <w:bookmarkEnd w:id="809"/>
      <w:r>
        <w:rPr>
          <w:rFonts w:hint="eastAsia"/>
          <w:color w:val="000000" w:themeColor="text1"/>
          <w:sz w:val="24"/>
          <w14:textFill>
            <w14:solidFill>
              <w14:schemeClr w14:val="tx1"/>
            </w14:solidFill>
          </w14:textFill>
        </w:rPr>
        <w:t>。</w:t>
      </w:r>
    </w:p>
    <w:bookmarkEnd w:id="808"/>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投标文件报价出现前后不一致的，按照下列规定修正：</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招标文件对于报价修正是否另有规定：</w:t>
      </w:r>
    </w:p>
    <w:p>
      <w:pPr>
        <w:tabs>
          <w:tab w:val="left" w:pos="1080"/>
          <w:tab w:val="left" w:pos="1589"/>
          <w:tab w:val="left" w:pos="2035"/>
          <w:tab w:val="left" w:pos="2114"/>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□有，具体规定为：_</w:t>
      </w:r>
      <w:r>
        <w:rPr>
          <w:rFonts w:eastAsiaTheme="minor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_</w:t>
      </w:r>
    </w:p>
    <w:p>
      <w:p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无，按下述2.4.2-2.4.7项规定修正。</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投标文件中开标一览表（报价表）内容与投标文件中相应内容不一致的，以开标一览表（报价表）为准；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大写金额和小写金额不一致的，以大写金额为准；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单价金额小数点或者百分比有明显错位的，以开标一览表的总价为准，并修改单价；</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总价金额与按单价汇总金额不一致的，以单价金额计算结果为准。</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同时出现两种以上不一致的，按照前款规定的顺序修正。</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修正后的报价经投标人书面确认后产生约束力，投标人不确认的，其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pPr>
        <w:tabs>
          <w:tab w:val="left" w:pos="900"/>
          <w:tab w:val="left" w:pos="1080"/>
          <w:tab w:val="left" w:pos="1589"/>
          <w:tab w:val="left" w:pos="1980"/>
          <w:tab w:val="left" w:pos="2035"/>
        </w:tabs>
        <w:snapToGrid w:val="0"/>
        <w:spacing w:line="360" w:lineRule="auto"/>
        <w:ind w:left="2035" w:hanging="900"/>
        <w:rPr>
          <w:color w:val="000000" w:themeColor="text1"/>
          <w:sz w:val="24"/>
          <w:highlight w:val="none"/>
          <w14:textFill>
            <w14:solidFill>
              <w14:schemeClr w14:val="tx1"/>
            </w14:solidFill>
          </w14:textFill>
        </w:rPr>
      </w:pPr>
      <w:r>
        <w:rPr>
          <w:color w:val="000000" w:themeColor="text1"/>
          <w:sz w:val="24"/>
          <w14:textFill>
            <w14:solidFill>
              <w14:schemeClr w14:val="tx1"/>
            </w14:solidFill>
          </w14:textFill>
        </w:rPr>
        <w:t>2.5.1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对于未预留份额专门面向中小企业采购的采购项目，以及预留份额项目中的非预留部分</w:t>
      </w:r>
      <w:r>
        <w:rPr>
          <w:color w:val="000000" w:themeColor="text1"/>
          <w:sz w:val="24"/>
          <w:highlight w:val="none"/>
          <w14:textFill>
            <w14:solidFill>
              <w14:schemeClr w14:val="tx1"/>
            </w14:solidFill>
          </w14:textFill>
        </w:rPr>
        <w:t>采购包，对小微企业报价给予</w:t>
      </w:r>
      <w:bookmarkStart w:id="810" w:name="OLE_LINK91"/>
      <w:bookmarkStart w:id="811" w:name="OLE_LINK92"/>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10 </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bookmarkEnd w:id="810"/>
      <w:bookmarkEnd w:id="811"/>
      <w:r>
        <w:rPr>
          <w:color w:val="000000" w:themeColor="text1"/>
          <w:sz w:val="24"/>
          <w:highlight w:val="none"/>
          <w14:textFill>
            <w14:solidFill>
              <w14:schemeClr w14:val="tx1"/>
            </w14:solidFill>
          </w14:textFill>
        </w:rPr>
        <w:t>的扣除，用扣除后的价格参加评审。</w:t>
      </w:r>
    </w:p>
    <w:p>
      <w:pPr>
        <w:tabs>
          <w:tab w:val="left" w:pos="900"/>
          <w:tab w:val="left" w:pos="1080"/>
          <w:tab w:val="left" w:pos="1589"/>
          <w:tab w:val="left" w:pos="1980"/>
          <w:tab w:val="left" w:pos="2035"/>
        </w:tabs>
        <w:snapToGrid w:val="0"/>
        <w:spacing w:line="360" w:lineRule="auto"/>
        <w:ind w:left="2035" w:hanging="9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2.5.2</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lang w:val="en-US" w:eastAsia="zh-CN"/>
          <w14:textFill>
            <w14:solidFill>
              <w14:schemeClr w14:val="tx1"/>
            </w14:solidFill>
          </w14:textFill>
        </w:rPr>
        <w:t xml:space="preserve"> 4</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%的扣除，用扣除后的价格参加评审。</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2.5.3</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组成联合体或者接受分包的小微企业与联合体内其他企业、分</w:t>
      </w:r>
      <w:r>
        <w:rPr>
          <w:color w:val="000000" w:themeColor="text1"/>
          <w:sz w:val="24"/>
          <w14:textFill>
            <w14:solidFill>
              <w14:schemeClr w14:val="tx1"/>
            </w14:solidFill>
          </w14:textFill>
        </w:rPr>
        <w:t>包企业之间存在直接控股、管理关系的，不享受价格扣除优惠政策。</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价格扣除比例对小型企业和微型企业同等对待，不作区分。</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残疾人福利性单位按招标文件要求提供了《残疾人福利性单位声明函》的，视同小微企业。</w:t>
      </w:r>
    </w:p>
    <w:p>
      <w:pPr>
        <w:tabs>
          <w:tab w:val="left" w:pos="900"/>
          <w:tab w:val="left" w:pos="1080"/>
          <w:tab w:val="left" w:pos="1589"/>
          <w:tab w:val="left" w:pos="20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2.6.1</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2.6.3</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投标文件的比较和评价</w:t>
      </w:r>
      <w:bookmarkEnd w:id="790"/>
      <w:bookmarkEnd w:id="791"/>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评标方法和评标标准</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本项目采用的评标方法为：</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随机抽取</w:t>
      </w:r>
    </w:p>
    <w:p>
      <w:pPr>
        <w:tabs>
          <w:tab w:val="left" w:pos="1080"/>
          <w:tab w:val="left" w:pos="1589"/>
          <w:tab w:val="left" w:pos="2035"/>
        </w:tabs>
        <w:snapToGrid w:val="0"/>
        <w:spacing w:line="360" w:lineRule="auto"/>
        <w:ind w:left="2035"/>
        <w:rPr>
          <w:color w:val="000000" w:themeColor="text1"/>
          <w:sz w:val="24"/>
          <w:u w:val="single"/>
          <w14:textFill>
            <w14:solidFill>
              <w14:schemeClr w14:val="tx1"/>
            </w14:solidFill>
          </w14:textFill>
        </w:rPr>
      </w:pPr>
      <w:r>
        <w:rPr>
          <w:rFonts w:hint="eastAsia"/>
          <w:color w:val="000000" w:themeColor="text1"/>
          <w:kern w:val="0"/>
          <w:sz w:val="24"/>
          <w14:textFill>
            <w14:solidFill>
              <w14:schemeClr w14:val="tx1"/>
            </w14:solidFill>
          </w14:textFill>
        </w:rPr>
        <w:t>■</w:t>
      </w:r>
      <w:r>
        <w:rPr>
          <w:color w:val="000000" w:themeColor="text1"/>
          <w:sz w:val="24"/>
          <w14:textFill>
            <w14:solidFill>
              <w14:schemeClr w14:val="tx1"/>
            </w14:solidFill>
          </w14:textFill>
        </w:rPr>
        <w:t>其他方式，具体要求：</w:t>
      </w:r>
      <w:bookmarkStart w:id="812" w:name="OLE_LINK93"/>
      <w:bookmarkStart w:id="813" w:name="OLE_LINK94"/>
      <w:r>
        <w:rPr>
          <w:rFonts w:hint="eastAsia"/>
          <w:color w:val="000000" w:themeColor="text1"/>
          <w:sz w:val="24"/>
          <w:u w:val="single"/>
          <w:lang w:val="en-US" w:eastAsia="zh-CN"/>
          <w14:textFill>
            <w14:solidFill>
              <w14:schemeClr w14:val="tx1"/>
            </w14:solidFill>
          </w14:textFill>
        </w:rPr>
        <w:t xml:space="preserve"> </w:t>
      </w:r>
      <w:r>
        <w:rPr>
          <w:rFonts w:hint="eastAsia"/>
          <w:color w:val="000000" w:themeColor="text1"/>
          <w:sz w:val="24"/>
          <w:u w:val="single"/>
          <w14:textFill>
            <w14:solidFill>
              <w14:schemeClr w14:val="tx1"/>
            </w14:solidFill>
          </w14:textFill>
        </w:rPr>
        <w:t>/</w:t>
      </w:r>
      <w:r>
        <w:rPr>
          <w:rFonts w:hint="eastAsia"/>
          <w:color w:val="000000" w:themeColor="text1"/>
          <w:sz w:val="24"/>
          <w14:textFill>
            <w14:solidFill>
              <w14:schemeClr w14:val="tx1"/>
            </w14:solidFill>
          </w14:textFill>
        </w:rPr>
        <w:t>。</w:t>
      </w:r>
      <w:bookmarkEnd w:id="812"/>
      <w:bookmarkEnd w:id="813"/>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u w:val="single"/>
          <w14:textFill>
            <w14:solidFill>
              <w14:schemeClr w14:val="tx1"/>
            </w14:solidFill>
          </w14:textFill>
        </w:rPr>
        <w:t>/</w:t>
      </w:r>
      <w:r>
        <w:rPr>
          <w:color w:val="000000" w:themeColor="text1"/>
          <w:sz w:val="24"/>
          <w14:textFill>
            <w14:solidFill>
              <w14:schemeClr w14:val="tx1"/>
            </w14:solidFill>
          </w14:textFill>
        </w:rPr>
        <w:t>。</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确定</w:t>
      </w:r>
      <w:bookmarkStart w:id="814" w:name="_Toc164229387"/>
      <w:bookmarkStart w:id="815" w:name="_Toc520356170"/>
      <w:bookmarkStart w:id="816" w:name="_Toc149720839"/>
      <w:bookmarkStart w:id="817" w:name="_Toc226337242"/>
      <w:bookmarkStart w:id="818" w:name="_Toc151190173"/>
      <w:bookmarkStart w:id="819" w:name="_Toc226309790"/>
      <w:bookmarkStart w:id="820" w:name="_Toc127161460"/>
      <w:bookmarkStart w:id="821" w:name="_Toc305158814"/>
      <w:bookmarkStart w:id="822" w:name="_Toc151193860"/>
      <w:bookmarkStart w:id="823" w:name="_Toc142311048"/>
      <w:bookmarkStart w:id="824" w:name="_Toc264969236"/>
      <w:bookmarkStart w:id="825" w:name="_Toc150480784"/>
      <w:bookmarkStart w:id="826" w:name="_Toc164229241"/>
      <w:bookmarkStart w:id="827" w:name="_Toc127151747"/>
      <w:bookmarkStart w:id="828" w:name="_Toc127151546"/>
      <w:bookmarkStart w:id="829" w:name="_Toc226965736"/>
      <w:bookmarkStart w:id="830" w:name="_Toc305158888"/>
      <w:bookmarkStart w:id="831" w:name="_Toc265228384"/>
      <w:bookmarkStart w:id="832" w:name="_Toc164608660"/>
      <w:bookmarkStart w:id="833" w:name="_Toc151193644"/>
      <w:bookmarkStart w:id="834" w:name="_Toc151193934"/>
      <w:bookmarkStart w:id="835" w:name="_Toc150774751"/>
      <w:bookmarkStart w:id="836" w:name="_Toc151193716"/>
      <w:bookmarkStart w:id="837" w:name="_Toc226965819"/>
      <w:bookmarkStart w:id="838" w:name="_Toc164351640"/>
      <w:bookmarkStart w:id="839" w:name="_Toc150509297"/>
      <w:bookmarkStart w:id="840" w:name="_Toc164608815"/>
      <w:bookmarkStart w:id="841" w:name="_Toc151193788"/>
      <w:bookmarkStart w:id="842" w:name="_Toc150774646"/>
      <w:bookmarkStart w:id="843" w:name="_Ref467307010"/>
      <w:bookmarkStart w:id="844" w:name="_Toc195842911"/>
      <w:r>
        <w:rPr>
          <w:color w:val="000000" w:themeColor="text1"/>
          <w:sz w:val="24"/>
          <w14:textFill>
            <w14:solidFill>
              <w14:schemeClr w14:val="tx1"/>
            </w14:solidFill>
          </w14:textFill>
        </w:rPr>
        <w:t>中标候选人名单</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tabs>
          <w:tab w:val="left" w:pos="900"/>
          <w:tab w:val="left" w:pos="2127"/>
        </w:tabs>
        <w:adjustRightInd w:val="0"/>
        <w:snapToGrid w:val="0"/>
        <w:spacing w:line="360" w:lineRule="auto"/>
        <w:ind w:left="993" w:firstLine="136" w:firstLineChars="57"/>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随机抽取</w:t>
      </w:r>
    </w:p>
    <w:p>
      <w:pPr>
        <w:tabs>
          <w:tab w:val="left" w:pos="900"/>
          <w:tab w:val="left" w:pos="2127"/>
        </w:tabs>
        <w:adjustRightInd w:val="0"/>
        <w:snapToGrid w:val="0"/>
        <w:spacing w:line="360" w:lineRule="auto"/>
        <w:ind w:left="993" w:firstLine="136" w:firstLineChars="57"/>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w:t>
      </w:r>
      <w:r>
        <w:rPr>
          <w:color w:val="000000" w:themeColor="text1"/>
          <w:sz w:val="24"/>
          <w:highlight w:val="none"/>
          <w14:textFill>
            <w14:solidFill>
              <w14:schemeClr w14:val="tx1"/>
            </w14:solidFill>
          </w14:textFill>
        </w:rPr>
        <w:t>其他方式，具体要求：</w:t>
      </w:r>
      <w:r>
        <w:rPr>
          <w:rFonts w:hint="eastAsia" w:hAnsi="宋体" w:cs="宋体"/>
          <w:color w:val="auto"/>
          <w:sz w:val="24"/>
          <w:szCs w:val="24"/>
          <w:highlight w:val="none"/>
          <w:u w:val="single"/>
          <w:lang w:val="en-US" w:eastAsia="zh-CN"/>
        </w:rPr>
        <w:t>技术部分</w:t>
      </w:r>
      <w:r>
        <w:rPr>
          <w:rFonts w:hAnsi="宋体" w:cs="宋体"/>
          <w:color w:val="auto"/>
          <w:sz w:val="24"/>
          <w:szCs w:val="24"/>
          <w:highlight w:val="none"/>
          <w:u w:val="single"/>
        </w:rPr>
        <w:t>得分高者为中标侯选人</w:t>
      </w:r>
      <w:r>
        <w:rPr>
          <w:rFonts w:hint="eastAsia" w:hAnsi="宋体" w:cs="宋体"/>
          <w:color w:val="auto"/>
          <w:sz w:val="24"/>
          <w:szCs w:val="24"/>
          <w:highlight w:val="none"/>
          <w:u w:val="single"/>
          <w:lang w:eastAsia="zh-CN"/>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u w:val="single"/>
          <w14:textFill>
            <w14:solidFill>
              <w14:schemeClr w14:val="tx1"/>
            </w14:solidFill>
          </w14:textFill>
        </w:rPr>
        <w:t xml:space="preserve">  3  </w:t>
      </w:r>
      <w:r>
        <w:rPr>
          <w:color w:val="000000" w:themeColor="text1"/>
          <w:sz w:val="24"/>
          <w14:textFill>
            <w14:solidFill>
              <w14:schemeClr w14:val="tx1"/>
            </w14:solidFill>
          </w14:textFill>
        </w:rPr>
        <w:t>名中标候选人。</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报告违法行为</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tabs>
          <w:tab w:val="left" w:pos="360"/>
          <w:tab w:val="left" w:pos="900"/>
        </w:tabs>
        <w:snapToGrid w:val="0"/>
        <w:spacing w:line="360" w:lineRule="auto"/>
        <w:jc w:val="center"/>
        <w:outlineLvl w:val="1"/>
        <w:rPr>
          <w:b/>
          <w:color w:val="000000" w:themeColor="text1"/>
          <w:highlight w:val="none"/>
          <w14:textFill>
            <w14:solidFill>
              <w14:schemeClr w14:val="tx1"/>
            </w14:solidFill>
          </w14:textFill>
        </w:rPr>
      </w:pPr>
      <w:r>
        <w:rPr>
          <w:b/>
          <w:color w:val="000000" w:themeColor="text1"/>
          <w:sz w:val="24"/>
          <w:highlight w:val="none"/>
          <w14:textFill>
            <w14:solidFill>
              <w14:schemeClr w14:val="tx1"/>
            </w14:solidFill>
          </w14:textFill>
        </w:rPr>
        <w:t>二、评标标准</w:t>
      </w:r>
    </w:p>
    <w:p>
      <w:pPr>
        <w:tabs>
          <w:tab w:val="left" w:pos="360"/>
          <w:tab w:val="left" w:pos="900"/>
          <w:tab w:val="left" w:pos="1080"/>
          <w:tab w:val="left" w:pos="2014"/>
        </w:tabs>
        <w:snapToGrid w:val="0"/>
        <w:spacing w:line="360" w:lineRule="auto"/>
        <w:rPr>
          <w:color w:val="000000" w:themeColor="text1"/>
          <w:sz w:val="24"/>
          <w14:textFill>
            <w14:solidFill>
              <w14:schemeClr w14:val="tx1"/>
            </w14:solidFill>
          </w14:textFill>
        </w:rPr>
      </w:pPr>
    </w:p>
    <w:tbl>
      <w:tblPr>
        <w:tblStyle w:val="18"/>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017"/>
        <w:gridCol w:w="1251"/>
        <w:gridCol w:w="6335"/>
        <w:gridCol w:w="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序号</w:t>
            </w:r>
          </w:p>
        </w:tc>
        <w:tc>
          <w:tcPr>
            <w:tcW w:w="101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评审</w:t>
            </w:r>
          </w:p>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项目</w:t>
            </w:r>
          </w:p>
        </w:tc>
        <w:tc>
          <w:tcPr>
            <w:tcW w:w="12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评分</w:t>
            </w:r>
          </w:p>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因素</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评分标准</w:t>
            </w:r>
          </w:p>
        </w:tc>
        <w:tc>
          <w:tcPr>
            <w:tcW w:w="729"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宋体"/>
                <w:b/>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01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部分</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1"/>
                <w:sz w:val="24"/>
                <w14:textFill>
                  <w14:solidFill>
                    <w14:schemeClr w14:val="tx1"/>
                  </w14:solidFill>
                </w14:textFill>
              </w:rPr>
              <w:t>（10分）</w:t>
            </w:r>
          </w:p>
        </w:tc>
        <w:tc>
          <w:tcPr>
            <w:tcW w:w="12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满足招标文件要求且投标价格最低的投标报价为评标基准价，其价格分为满分。其他投标人的价格分统一按照下列公式计算：</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投标报价得分＝（评标基准价/投标报价）×分值。</w:t>
            </w:r>
          </w:p>
          <w:p>
            <w:pPr>
              <w:keepNext w:val="0"/>
              <w:keepLines w:val="0"/>
              <w:pageBreakBefore w:val="0"/>
              <w:widowControl/>
              <w:kinsoku/>
              <w:wordWrap/>
              <w:overflowPunct/>
              <w:topLinePunct w:val="0"/>
              <w:autoSpaceDE/>
              <w:autoSpaceDN/>
              <w:bidi w:val="0"/>
              <w:adjustRightInd/>
              <w:snapToGrid/>
              <w:spacing w:line="240" w:lineRule="auto"/>
              <w:textAlignment w:val="auto"/>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此处投标报价指经过报价修正，及因落实政府采购政策进行价格调整后的报价，详见第四章《评标程序、评标方法和评标标准》2.4、2.5及2.6。</w:t>
            </w:r>
          </w:p>
        </w:tc>
        <w:tc>
          <w:tcPr>
            <w:tcW w:w="729"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Calibri"/>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017"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商务</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部分</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pacing w:val="-11"/>
                <w:sz w:val="24"/>
                <w14:textFill>
                  <w14:solidFill>
                    <w14:schemeClr w14:val="tx1"/>
                  </w14:solidFill>
                </w14:textFill>
              </w:rPr>
              <w:t>（</w:t>
            </w:r>
            <w:r>
              <w:rPr>
                <w:rFonts w:hint="eastAsia" w:ascii="宋体" w:hAnsi="宋体" w:cs="宋体"/>
                <w:bCs/>
                <w:color w:val="000000" w:themeColor="text1"/>
                <w:spacing w:val="-11"/>
                <w:sz w:val="24"/>
                <w:lang w:val="en-US" w:eastAsia="zh-CN"/>
                <w14:textFill>
                  <w14:solidFill>
                    <w14:schemeClr w14:val="tx1"/>
                  </w14:solidFill>
                </w14:textFill>
              </w:rPr>
              <w:t>30</w:t>
            </w:r>
            <w:r>
              <w:rPr>
                <w:rFonts w:hint="eastAsia" w:ascii="宋体" w:hAnsi="宋体" w:cs="宋体"/>
                <w:bCs/>
                <w:color w:val="000000" w:themeColor="text1"/>
                <w:spacing w:val="-11"/>
                <w:sz w:val="24"/>
                <w14:textFill>
                  <w14:solidFill>
                    <w14:schemeClr w14:val="tx1"/>
                  </w14:solidFill>
                </w14:textFill>
              </w:rPr>
              <w:t>分）</w:t>
            </w:r>
          </w:p>
        </w:tc>
        <w:tc>
          <w:tcPr>
            <w:tcW w:w="1251"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w:t>
            </w:r>
            <w:r>
              <w:rPr>
                <w:rFonts w:hint="eastAsia" w:ascii="宋体" w:hAnsi="宋体" w:cs="宋体"/>
                <w:color w:val="000000" w:themeColor="text1"/>
                <w:sz w:val="24"/>
                <w:lang w:val="en-US" w:eastAsia="zh-CN"/>
                <w14:textFill>
                  <w14:solidFill>
                    <w14:schemeClr w14:val="tx1"/>
                  </w14:solidFill>
                </w14:textFill>
              </w:rPr>
              <w:t>投标人</w:t>
            </w:r>
            <w:r>
              <w:rPr>
                <w:rFonts w:hint="eastAsia" w:ascii="宋体" w:hAnsi="宋体" w:cs="宋体"/>
                <w:color w:val="000000" w:themeColor="text1"/>
                <w:sz w:val="24"/>
                <w14:textFill>
                  <w14:solidFill>
                    <w14:schemeClr w14:val="tx1"/>
                  </w14:solidFill>
                </w14:textFill>
              </w:rPr>
              <w:t>履约能力的评价</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投标人</w:t>
            </w:r>
            <w:r>
              <w:rPr>
                <w:rFonts w:hint="eastAsia" w:ascii="宋体" w:hAnsi="宋体" w:cs="宋体"/>
                <w:color w:val="000000" w:themeColor="text1"/>
                <w:sz w:val="24"/>
                <w14:textFill>
                  <w14:solidFill>
                    <w14:schemeClr w14:val="tx1"/>
                  </w14:solidFill>
                </w14:textFill>
              </w:rPr>
              <w:t>具备：</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1）质量管理体系认证证书，得1分；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2）环境管理体系认证证书，得1分；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3）职业健康安全管理体系认证证书，得1分。</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注：需提供有效证书</w:t>
            </w:r>
            <w:r>
              <w:rPr>
                <w:rFonts w:hint="eastAsia" w:ascii="宋体" w:hAnsi="宋体" w:cs="宋体"/>
                <w:color w:val="000000" w:themeColor="text1"/>
                <w:sz w:val="24"/>
                <w:lang w:val="en-US" w:eastAsia="zh-CN"/>
                <w14:textFill>
                  <w14:solidFill>
                    <w14:schemeClr w14:val="tx1"/>
                  </w14:solidFill>
                </w14:textFill>
              </w:rPr>
              <w:t>扫描</w:t>
            </w:r>
            <w:r>
              <w:rPr>
                <w:rFonts w:hint="eastAsia" w:ascii="宋体" w:hAnsi="宋体" w:cs="宋体"/>
                <w:color w:val="000000" w:themeColor="text1"/>
                <w:sz w:val="24"/>
                <w14:textFill>
                  <w14:solidFill>
                    <w14:schemeClr w14:val="tx1"/>
                  </w14:solidFill>
                </w14:textFill>
              </w:rPr>
              <w:t>件并加盖公章，否则不予认可。</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hAnsi="宋体" w:eastAsia="宋体" w:cs="宋体"/>
                <w:color w:val="000000" w:themeColor="text1"/>
                <w:spacing w:val="-8"/>
                <w:sz w:val="24"/>
                <w:lang w:eastAsia="zh-CN"/>
                <w14:textFill>
                  <w14:solidFill>
                    <w14:schemeClr w14:val="tx1"/>
                  </w14:solidFill>
                </w14:textFill>
              </w:rPr>
            </w:pPr>
            <w:r>
              <w:rPr>
                <w:rFonts w:hint="eastAsia" w:hAnsi="宋体" w:cs="宋体"/>
                <w:color w:val="000000" w:themeColor="text1"/>
                <w:spacing w:val="-8"/>
                <w:sz w:val="24"/>
                <w:lang w:val="en-US" w:eastAsia="zh-CN"/>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01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bCs/>
                <w:color w:val="000000" w:themeColor="text1"/>
                <w:sz w:val="24"/>
                <w14:textFill>
                  <w14:solidFill>
                    <w14:schemeClr w14:val="tx1"/>
                  </w14:solidFill>
                </w14:textFill>
              </w:rPr>
            </w:pPr>
          </w:p>
        </w:tc>
        <w:tc>
          <w:tcPr>
            <w:tcW w:w="1251" w:type="dxa"/>
            <w:vMerge w:val="continue"/>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ascii="宋体" w:hAnsi="宋体" w:cs="宋体"/>
                <w:spacing w:val="-19"/>
                <w:sz w:val="24"/>
              </w:rPr>
            </w:pPr>
            <w:r>
              <w:rPr>
                <w:rFonts w:hint="eastAsia" w:ascii="宋体" w:hAnsi="宋体" w:cs="宋体"/>
                <w:sz w:val="24"/>
              </w:rPr>
              <w:t>根据</w:t>
            </w:r>
            <w:r>
              <w:rPr>
                <w:rFonts w:hint="eastAsia" w:ascii="宋体" w:hAnsi="宋体" w:cs="宋体"/>
                <w:sz w:val="24"/>
                <w:lang w:val="en-US" w:eastAsia="zh-CN"/>
              </w:rPr>
              <w:t>投标人</w:t>
            </w:r>
            <w:r>
              <w:rPr>
                <w:rFonts w:hint="eastAsia" w:ascii="宋体" w:hAnsi="宋体" w:cs="宋体"/>
                <w:sz w:val="24"/>
              </w:rPr>
              <w:t>在中国境内近三年（</w:t>
            </w:r>
            <w:r>
              <w:rPr>
                <w:rFonts w:hint="eastAsia" w:ascii="宋体" w:hAnsi="宋体" w:cs="宋体"/>
                <w:sz w:val="24"/>
                <w:lang w:eastAsia="zh-CN"/>
              </w:rPr>
              <w:t>20</w:t>
            </w:r>
            <w:r>
              <w:rPr>
                <w:rFonts w:hint="eastAsia" w:ascii="宋体" w:hAnsi="宋体" w:cs="宋体"/>
                <w:sz w:val="24"/>
                <w:lang w:val="en-US" w:eastAsia="zh-CN"/>
              </w:rPr>
              <w:t>23</w:t>
            </w:r>
            <w:r>
              <w:rPr>
                <w:rFonts w:hint="eastAsia" w:ascii="宋体" w:hAnsi="宋体" w:cs="宋体"/>
                <w:sz w:val="24"/>
                <w:lang w:eastAsia="zh-CN"/>
              </w:rPr>
              <w:t>年</w:t>
            </w:r>
            <w:r>
              <w:rPr>
                <w:rFonts w:hint="eastAsia" w:ascii="宋体" w:hAnsi="宋体" w:cs="宋体"/>
                <w:sz w:val="24"/>
                <w:lang w:val="en-US" w:eastAsia="zh-CN"/>
              </w:rPr>
              <w:t>08</w:t>
            </w:r>
            <w:r>
              <w:rPr>
                <w:rFonts w:hint="eastAsia" w:ascii="宋体" w:hAnsi="宋体" w:cs="宋体"/>
                <w:sz w:val="24"/>
                <w:lang w:eastAsia="zh-CN"/>
              </w:rPr>
              <w:t>月</w:t>
            </w:r>
            <w:r>
              <w:rPr>
                <w:rFonts w:hint="eastAsia" w:ascii="宋体" w:hAnsi="宋体" w:cs="宋体"/>
                <w:sz w:val="24"/>
                <w:lang w:val="en-US" w:eastAsia="zh-CN"/>
              </w:rPr>
              <w:t>0</w:t>
            </w:r>
            <w:r>
              <w:rPr>
                <w:rFonts w:hint="eastAsia" w:ascii="宋体" w:hAnsi="宋体" w:cs="宋体"/>
                <w:sz w:val="24"/>
                <w:lang w:eastAsia="zh-CN"/>
              </w:rPr>
              <w:t>1日</w:t>
            </w:r>
            <w:r>
              <w:rPr>
                <w:rFonts w:hint="eastAsia" w:ascii="宋体" w:hAnsi="宋体" w:cs="宋体"/>
                <w:sz w:val="24"/>
              </w:rPr>
              <w:t>至投标截止期）承担类似项目业绩进行评价，一个业绩得</w:t>
            </w:r>
            <w:r>
              <w:rPr>
                <w:rFonts w:hint="eastAsia" w:ascii="宋体" w:hAnsi="宋体" w:cs="宋体"/>
                <w:sz w:val="24"/>
                <w:lang w:val="en-US" w:eastAsia="zh-CN"/>
              </w:rPr>
              <w:t>1</w:t>
            </w:r>
            <w:r>
              <w:rPr>
                <w:rFonts w:hint="eastAsia" w:ascii="宋体" w:hAnsi="宋体" w:cs="宋体"/>
                <w:sz w:val="24"/>
              </w:rPr>
              <w:t>分，最高得10分。</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ascii="宋体" w:hAnsi="宋体" w:cs="宋体"/>
                <w:spacing w:val="-4"/>
                <w:sz w:val="24"/>
              </w:rPr>
            </w:pPr>
            <w:r>
              <w:rPr>
                <w:rFonts w:hint="eastAsia" w:ascii="宋体" w:hAnsi="宋体" w:cs="宋体"/>
                <w:spacing w:val="-4"/>
                <w:sz w:val="24"/>
              </w:rPr>
              <w:t>注：1、类似项目业绩指与本项目维保服务设备同</w:t>
            </w:r>
            <w:r>
              <w:rPr>
                <w:rFonts w:hint="eastAsia" w:ascii="宋体" w:hAnsi="宋体" w:cs="宋体"/>
                <w:spacing w:val="-4"/>
                <w:sz w:val="24"/>
                <w:lang w:val="en-US" w:eastAsia="zh-CN"/>
              </w:rPr>
              <w:t>型号</w:t>
            </w:r>
            <w:r>
              <w:rPr>
                <w:rFonts w:hint="eastAsia" w:ascii="宋体" w:hAnsi="宋体" w:cs="宋体"/>
                <w:spacing w:val="-4"/>
                <w:sz w:val="24"/>
              </w:rPr>
              <w:t>的设备</w:t>
            </w:r>
            <w:r>
              <w:rPr>
                <w:rFonts w:hint="eastAsia" w:ascii="宋体" w:hAnsi="宋体" w:cs="宋体"/>
                <w:spacing w:val="-4"/>
                <w:sz w:val="24"/>
                <w:lang w:val="en-US" w:eastAsia="zh-CN"/>
              </w:rPr>
              <w:t>或同类设备</w:t>
            </w:r>
            <w:bookmarkStart w:id="942" w:name="_GoBack"/>
            <w:bookmarkEnd w:id="942"/>
            <w:r>
              <w:rPr>
                <w:rFonts w:hint="eastAsia" w:ascii="宋体" w:hAnsi="宋体" w:cs="宋体"/>
                <w:spacing w:val="-4"/>
                <w:sz w:val="24"/>
              </w:rPr>
              <w:t>维保服务项目。</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spacing w:val="-4"/>
                <w:sz w:val="24"/>
              </w:rPr>
              <w:t>2、</w:t>
            </w:r>
            <w:r>
              <w:rPr>
                <w:rFonts w:hint="eastAsia" w:ascii="宋体" w:hAnsi="宋体" w:cs="宋体"/>
                <w:sz w:val="24"/>
                <w:lang w:val="en-US" w:eastAsia="zh-CN"/>
              </w:rPr>
              <w:t>投标人</w:t>
            </w:r>
            <w:r>
              <w:rPr>
                <w:rFonts w:hint="eastAsia" w:ascii="宋体" w:hAnsi="宋体" w:cs="宋体"/>
                <w:spacing w:val="-4"/>
                <w:sz w:val="24"/>
              </w:rPr>
              <w:t>需提供采购合同（含首页、维保服务内容、金额数量页、签字页）</w:t>
            </w:r>
            <w:r>
              <w:rPr>
                <w:rFonts w:hint="eastAsia" w:ascii="宋体" w:hAnsi="宋体" w:cs="宋体"/>
                <w:spacing w:val="-4"/>
                <w:sz w:val="24"/>
                <w:lang w:val="en-US" w:eastAsia="zh-CN"/>
              </w:rPr>
              <w:t>扫描</w:t>
            </w:r>
            <w:r>
              <w:rPr>
                <w:rFonts w:hint="eastAsia" w:ascii="宋体" w:hAnsi="宋体" w:cs="宋体"/>
                <w:spacing w:val="-4"/>
                <w:sz w:val="24"/>
              </w:rPr>
              <w:t>件，否则业绩不予认可。</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Ansi="宋体" w:cs="宋体"/>
                <w:color w:val="000000" w:themeColor="text1"/>
                <w:spacing w:val="-8"/>
                <w:sz w:val="24"/>
                <w14:textFill>
                  <w14:solidFill>
                    <w14:schemeClr w14:val="tx1"/>
                  </w14:solidFill>
                </w14:textFill>
              </w:rPr>
            </w:pPr>
            <w:r>
              <w:rPr>
                <w:rFonts w:hint="eastAsia" w:hAnsi="宋体" w:cs="宋体"/>
                <w:color w:val="000000" w:themeColor="text1"/>
                <w:spacing w:val="-8"/>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4</w:t>
            </w:r>
          </w:p>
        </w:tc>
        <w:tc>
          <w:tcPr>
            <w:tcW w:w="1017" w:type="dxa"/>
            <w:vMerge w:val="continue"/>
            <w:tcBorders>
              <w:left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bCs/>
                <w:color w:val="000000" w:themeColor="text1"/>
                <w:sz w:val="24"/>
                <w14:textFill>
                  <w14:solidFill>
                    <w14:schemeClr w14:val="tx1"/>
                  </w14:solidFill>
                </w14:textFill>
              </w:rPr>
            </w:pPr>
          </w:p>
        </w:tc>
        <w:tc>
          <w:tcPr>
            <w:tcW w:w="1251" w:type="dxa"/>
            <w:vMerge w:val="restart"/>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服务能力</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w:t>
            </w:r>
            <w:r>
              <w:rPr>
                <w:rFonts w:hint="eastAsia" w:ascii="宋体" w:hAnsi="宋体"/>
                <w:color w:val="000000" w:themeColor="text1"/>
                <w:sz w:val="24"/>
                <w:highlight w:val="none"/>
                <w:lang w:val="en-US" w:eastAsia="zh-CN"/>
                <w14:textFill>
                  <w14:solidFill>
                    <w14:schemeClr w14:val="tx1"/>
                  </w14:solidFill>
                </w14:textFill>
              </w:rPr>
              <w:t>投标人</w:t>
            </w:r>
            <w:r>
              <w:rPr>
                <w:rFonts w:hint="eastAsia" w:ascii="宋体" w:hAnsi="宋体"/>
                <w:color w:val="000000" w:themeColor="text1"/>
                <w:sz w:val="24"/>
                <w:highlight w:val="none"/>
                <w14:textFill>
                  <w14:solidFill>
                    <w14:schemeClr w14:val="tx1"/>
                  </w14:solidFill>
                </w14:textFill>
              </w:rPr>
              <w:t>提供常驻服务机构整体情况进行评价：</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1）提供方案内容均进行详细阐述且满足采购需求，得8分；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2）提供相关方案但未贴合项目实际情况进行论述，或内容中未包括具体实施细节及措施，得5分；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3）方案内容不符合项目实际情况且未提供具体实施细节及措施，得2分；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4）未提供相关方案不得分。</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hAnsi="宋体" w:eastAsia="宋体" w:cs="宋体"/>
                <w:color w:val="000000" w:themeColor="text1"/>
                <w:spacing w:val="-8"/>
                <w:sz w:val="24"/>
                <w:lang w:val="en-US" w:eastAsia="zh-CN"/>
                <w14:textFill>
                  <w14:solidFill>
                    <w14:schemeClr w14:val="tx1"/>
                  </w14:solidFill>
                </w14:textFill>
              </w:rPr>
            </w:pPr>
            <w:r>
              <w:rPr>
                <w:rFonts w:hint="eastAsia" w:hAnsi="宋体" w:cs="宋体"/>
                <w:color w:val="000000" w:themeColor="text1"/>
                <w:spacing w:val="-8"/>
                <w:sz w:val="24"/>
                <w:lang w:val="en-US" w:eastAsia="zh-CN"/>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p>
        </w:tc>
        <w:tc>
          <w:tcPr>
            <w:tcW w:w="1017"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bCs/>
                <w:color w:val="000000" w:themeColor="text1"/>
                <w:sz w:val="24"/>
                <w14:textFill>
                  <w14:solidFill>
                    <w14:schemeClr w14:val="tx1"/>
                  </w14:solidFill>
                </w14:textFill>
              </w:rPr>
            </w:pPr>
          </w:p>
        </w:tc>
        <w:tc>
          <w:tcPr>
            <w:tcW w:w="1251" w:type="dxa"/>
            <w:vMerge w:val="continue"/>
            <w:tcBorders>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color w:val="000000" w:themeColor="text1"/>
                <w:sz w:val="24"/>
                <w14:textFill>
                  <w14:solidFill>
                    <w14:schemeClr w14:val="tx1"/>
                  </w14:solidFill>
                </w14:textFill>
              </w:rPr>
            </w:pP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w:t>
            </w:r>
            <w:r>
              <w:rPr>
                <w:rFonts w:hint="eastAsia" w:ascii="宋体" w:hAnsi="宋体"/>
                <w:color w:val="000000" w:themeColor="text1"/>
                <w:sz w:val="24"/>
                <w:highlight w:val="none"/>
                <w:lang w:val="en-US" w:eastAsia="zh-CN"/>
                <w14:textFill>
                  <w14:solidFill>
                    <w14:schemeClr w14:val="tx1"/>
                  </w14:solidFill>
                </w14:textFill>
              </w:rPr>
              <w:t>投标人</w:t>
            </w:r>
            <w:r>
              <w:rPr>
                <w:rFonts w:hint="eastAsia" w:ascii="宋体" w:hAnsi="宋体"/>
                <w:color w:val="000000" w:themeColor="text1"/>
                <w:sz w:val="24"/>
                <w:highlight w:val="none"/>
                <w14:textFill>
                  <w14:solidFill>
                    <w14:schemeClr w14:val="tx1"/>
                  </w14:solidFill>
                </w14:textFill>
              </w:rPr>
              <w:t>提供技术支持团队整体情况及人员安排进行评价：</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1）提供方案内容均进行详细阐述且满足采购需求，得9分；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2）提供相关方案但未贴合项目实际情况进行论述，或内容中未包括具体实施细节及措施，得5分；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3）方案内容不符合项目实际情况且未提供具体实施细节及措施，得2分；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4）未提供相关方案不得分。</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hAnsi="宋体" w:eastAsia="宋体" w:cs="宋体"/>
                <w:color w:val="000000" w:themeColor="text1"/>
                <w:spacing w:val="-8"/>
                <w:sz w:val="24"/>
                <w:lang w:val="en-US" w:eastAsia="zh-CN"/>
                <w14:textFill>
                  <w14:solidFill>
                    <w14:schemeClr w14:val="tx1"/>
                  </w14:solidFill>
                </w14:textFill>
              </w:rPr>
            </w:pPr>
            <w:r>
              <w:rPr>
                <w:rFonts w:hint="eastAsia" w:hAnsi="宋体" w:cs="宋体"/>
                <w:color w:val="000000" w:themeColor="text1"/>
                <w:spacing w:val="-8"/>
                <w:sz w:val="24"/>
                <w:lang w:val="en-US" w:eastAsia="zh-CN"/>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hint="eastAsia" w:ascii="宋体" w:hAnsi="宋体" w:eastAsia="宋体" w:cs="Arial"/>
                <w:color w:val="000000" w:themeColor="text1"/>
                <w:sz w:val="24"/>
                <w:lang w:eastAsia="zh-CN"/>
                <w14:textFill>
                  <w14:solidFill>
                    <w14:schemeClr w14:val="tx1"/>
                  </w14:solidFill>
                </w14:textFill>
              </w:rPr>
            </w:pPr>
            <w:r>
              <w:rPr>
                <w:rFonts w:hint="eastAsia" w:ascii="宋体" w:hAnsi="宋体" w:cs="Arial"/>
                <w:color w:val="000000" w:themeColor="text1"/>
                <w:sz w:val="24"/>
                <w:lang w:val="en-US" w:eastAsia="zh-CN"/>
                <w14:textFill>
                  <w14:solidFill>
                    <w14:schemeClr w14:val="tx1"/>
                  </w14:solidFill>
                </w14:textFill>
              </w:rPr>
              <w:t>6</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部分</w:t>
            </w:r>
          </w:p>
          <w:p>
            <w:pPr>
              <w:keepNext w:val="0"/>
              <w:keepLines w:val="0"/>
              <w:pageBreakBefore w:val="0"/>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1"/>
                <w:sz w:val="24"/>
                <w14:textFill>
                  <w14:solidFill>
                    <w14:schemeClr w14:val="tx1"/>
                  </w14:solidFill>
                </w14:textFill>
              </w:rPr>
              <w:t>（</w:t>
            </w:r>
            <w:r>
              <w:rPr>
                <w:rFonts w:hint="eastAsia" w:ascii="宋体" w:hAnsi="宋体" w:cs="宋体"/>
                <w:color w:val="000000" w:themeColor="text1"/>
                <w:spacing w:val="-11"/>
                <w:sz w:val="24"/>
                <w:lang w:val="en-US" w:eastAsia="zh-CN"/>
                <w14:textFill>
                  <w14:solidFill>
                    <w14:schemeClr w14:val="tx1"/>
                  </w14:solidFill>
                </w14:textFill>
              </w:rPr>
              <w:t>6</w:t>
            </w:r>
            <w:r>
              <w:rPr>
                <w:rFonts w:hint="eastAsia" w:ascii="宋体" w:hAnsi="宋体" w:cs="宋体"/>
                <w:color w:val="000000" w:themeColor="text1"/>
                <w:spacing w:val="-11"/>
                <w:sz w:val="24"/>
                <w14:textFill>
                  <w14:solidFill>
                    <w14:schemeClr w14:val="tx1"/>
                  </w14:solidFill>
                </w14:textFill>
              </w:rPr>
              <w:t>0分）</w:t>
            </w:r>
          </w:p>
        </w:tc>
        <w:tc>
          <w:tcPr>
            <w:tcW w:w="12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themeColor="text1"/>
                <w:spacing w:val="-8"/>
                <w:sz w:val="24"/>
                <w:lang w:eastAsia="zh-CN"/>
                <w14:textFill>
                  <w14:solidFill>
                    <w14:schemeClr w14:val="tx1"/>
                  </w14:solidFill>
                </w14:textFill>
              </w:rPr>
            </w:pPr>
            <w:r>
              <w:rPr>
                <w:rFonts w:hint="eastAsia" w:ascii="宋体" w:hAnsi="宋体" w:cs="宋体"/>
                <w:color w:val="000000" w:themeColor="text1"/>
                <w:spacing w:val="-8"/>
                <w:sz w:val="24"/>
                <w14:textFill>
                  <w14:solidFill>
                    <w14:schemeClr w14:val="tx1"/>
                  </w14:solidFill>
                </w14:textFill>
              </w:rPr>
              <w:t>对本次服务目的理解</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：①对采购人本次所购买服务的理解、②对所提供保修设备应用状况的掌握、③对设备操作使用特点的描述、④设备故障原因分析、⑤针对日常维护提出的合理化建议进行评价，其中：</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每有1项内容进行了阐述且满足采购需求得3分；</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每有1项内容虽阐述但未贴合项目实际情况进行论述，或内容中未包括具体实施细节及措施，得1分；</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每有1项内容未进行阐述或不满足采购需求得0分。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hint="eastAsia" w:ascii="宋体" w:hAnsi="宋体" w:eastAsia="宋体" w:cs="Arial"/>
                <w:color w:val="000000" w:themeColor="text1"/>
                <w:sz w:val="24"/>
                <w:lang w:eastAsia="zh-CN"/>
                <w14:textFill>
                  <w14:solidFill>
                    <w14:schemeClr w14:val="tx1"/>
                  </w14:solidFill>
                </w14:textFill>
              </w:rPr>
            </w:pPr>
            <w:r>
              <w:rPr>
                <w:rFonts w:hint="eastAsia" w:ascii="宋体" w:hAnsi="宋体" w:cs="Arial"/>
                <w:color w:val="000000" w:themeColor="text1"/>
                <w:sz w:val="24"/>
                <w:lang w:val="en-US" w:eastAsia="zh-CN"/>
                <w14:textFill>
                  <w14:solidFill>
                    <w14:schemeClr w14:val="tx1"/>
                  </w14:solidFill>
                </w14:textFill>
              </w:rPr>
              <w:t>7</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w:t>
            </w:r>
            <w:r>
              <w:rPr>
                <w:rFonts w:hint="eastAsia" w:ascii="宋体" w:hAnsi="宋体" w:cs="宋体"/>
                <w:color w:val="000000" w:themeColor="text1"/>
                <w:sz w:val="24"/>
                <w:lang w:val="en-US" w:eastAsia="zh-CN"/>
                <w14:textFill>
                  <w14:solidFill>
                    <w14:schemeClr w14:val="tx1"/>
                  </w14:solidFill>
                </w14:textFill>
              </w:rPr>
              <w:t>投标人</w:t>
            </w:r>
            <w:r>
              <w:rPr>
                <w:rFonts w:hint="eastAsia" w:ascii="宋体" w:hAnsi="宋体" w:cs="宋体"/>
                <w:color w:val="000000" w:themeColor="text1"/>
                <w:sz w:val="24"/>
                <w14:textFill>
                  <w14:solidFill>
                    <w14:schemeClr w14:val="tx1"/>
                  </w14:solidFill>
                </w14:textFill>
              </w:rPr>
              <w:t>提供的整体服务方案进行评价</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对</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提供的整体服务方案，包括：①维护服务流程、②服务标准、③服务管理制度、④服务措施、⑤安全保障措施进行评价，其中：</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每有1项内容进行了阐述且满足采购需求得3分；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每有1项内容虽阐述但未贴合项目实际情况进行论述，或内容中未包括具体实施细节及措施，得1分；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每有1项内容未进行阐述或不满足采购需求得0分。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hint="default" w:ascii="宋体" w:hAnsi="宋体" w:cs="Arial"/>
                <w:color w:val="000000" w:themeColor="text1"/>
                <w:sz w:val="24"/>
                <w:lang w:val="en-US" w:eastAsia="zh-CN"/>
                <w14:textFill>
                  <w14:solidFill>
                    <w14:schemeClr w14:val="tx1"/>
                  </w14:solidFill>
                </w14:textFill>
              </w:rPr>
            </w:pPr>
            <w:r>
              <w:rPr>
                <w:rFonts w:hint="eastAsia" w:ascii="宋体" w:hAnsi="宋体" w:cs="Arial"/>
                <w:color w:val="000000" w:themeColor="text1"/>
                <w:sz w:val="24"/>
                <w:lang w:val="en-US" w:eastAsia="zh-CN"/>
                <w14:textFill>
                  <w14:solidFill>
                    <w14:schemeClr w14:val="tx1"/>
                  </w14:solidFill>
                </w14:textFill>
              </w:rPr>
              <w:t>8</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kern w:val="0"/>
                <w:sz w:val="24"/>
              </w:rPr>
              <w:t>对</w:t>
            </w:r>
            <w:r>
              <w:rPr>
                <w:rFonts w:hint="eastAsia" w:ascii="宋体" w:hAnsi="宋体" w:cs="宋体"/>
                <w:kern w:val="0"/>
                <w:sz w:val="24"/>
                <w:lang w:val="en-US" w:eastAsia="zh-CN"/>
              </w:rPr>
              <w:t>投标人</w:t>
            </w:r>
            <w:r>
              <w:rPr>
                <w:rFonts w:hint="eastAsia" w:ascii="宋体" w:hAnsi="宋体" w:cs="宋体"/>
                <w:kern w:val="0"/>
                <w:sz w:val="24"/>
              </w:rPr>
              <w:t>提供的</w:t>
            </w:r>
            <w:r>
              <w:rPr>
                <w:rFonts w:hint="eastAsia" w:ascii="宋体" w:hAnsi="宋体" w:cs="宋体"/>
                <w:kern w:val="0"/>
                <w:sz w:val="24"/>
                <w:lang w:val="en-US" w:eastAsia="zh-CN"/>
              </w:rPr>
              <w:t>应急响应方案</w:t>
            </w:r>
            <w:r>
              <w:rPr>
                <w:rFonts w:hint="eastAsia" w:ascii="宋体" w:hAnsi="宋体" w:cs="宋体"/>
                <w:kern w:val="0"/>
                <w:sz w:val="24"/>
              </w:rPr>
              <w:t>进行评价</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对</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w:t>
            </w:r>
            <w:r>
              <w:rPr>
                <w:rFonts w:hint="eastAsia" w:ascii="宋体" w:hAnsi="宋体" w:cs="宋体"/>
                <w:kern w:val="0"/>
                <w:sz w:val="24"/>
                <w:lang w:val="en-US" w:eastAsia="zh-CN"/>
              </w:rPr>
              <w:t>应急响应方案</w:t>
            </w:r>
            <w:r>
              <w:rPr>
                <w:rFonts w:hint="eastAsia" w:ascii="宋体" w:hAnsi="宋体" w:cs="宋体"/>
                <w:color w:val="000000" w:themeColor="text1"/>
                <w:sz w:val="24"/>
                <w:highlight w:val="none"/>
                <w14:textFill>
                  <w14:solidFill>
                    <w14:schemeClr w14:val="tx1"/>
                  </w14:solidFill>
                </w14:textFill>
              </w:rPr>
              <w:t>，包括：①</w:t>
            </w:r>
            <w:r>
              <w:rPr>
                <w:rFonts w:hint="eastAsia" w:ascii="宋体" w:hAnsi="宋体" w:cs="宋体"/>
                <w:color w:val="000000" w:themeColor="text1"/>
                <w:sz w:val="24"/>
                <w:highlight w:val="none"/>
                <w:lang w:val="en-US" w:eastAsia="zh-CN"/>
                <w14:textFill>
                  <w14:solidFill>
                    <w14:schemeClr w14:val="tx1"/>
                  </w14:solidFill>
                </w14:textFill>
              </w:rPr>
              <w:t>突发应急医疗事件</w:t>
            </w:r>
            <w:r>
              <w:rPr>
                <w:rFonts w:hint="eastAsia"/>
                <w:spacing w:val="-4"/>
                <w:sz w:val="24"/>
                <w:lang w:val="en-US" w:eastAsia="zh-CN"/>
              </w:rPr>
              <w:t>状态下的应急方案</w:t>
            </w:r>
            <w:r>
              <w:rPr>
                <w:rFonts w:hint="eastAsia" w:ascii="宋体" w:hAnsi="宋体" w:cs="宋体"/>
                <w:color w:val="000000" w:themeColor="text1"/>
                <w:sz w:val="24"/>
                <w:highlight w:val="none"/>
                <w14:textFill>
                  <w14:solidFill>
                    <w14:schemeClr w14:val="tx1"/>
                  </w14:solidFill>
                </w14:textFill>
              </w:rPr>
              <w:t>、②</w:t>
            </w:r>
            <w:r>
              <w:rPr>
                <w:rFonts w:hint="eastAsia"/>
                <w:spacing w:val="-4"/>
                <w:sz w:val="24"/>
                <w:lang w:val="en-US" w:eastAsia="zh-CN"/>
              </w:rPr>
              <w:t>汛情等不可抗拒力情况下的应急方案</w:t>
            </w:r>
            <w:r>
              <w:rPr>
                <w:rFonts w:hint="eastAsia" w:ascii="宋体" w:hAnsi="宋体" w:cs="宋体"/>
                <w:color w:val="000000" w:themeColor="text1"/>
                <w:sz w:val="24"/>
                <w:highlight w:val="none"/>
                <w14:textFill>
                  <w14:solidFill>
                    <w14:schemeClr w14:val="tx1"/>
                  </w14:solidFill>
                </w14:textFill>
              </w:rPr>
              <w:t>、③</w:t>
            </w:r>
            <w:r>
              <w:rPr>
                <w:rFonts w:hint="eastAsia"/>
                <w:spacing w:val="-4"/>
                <w:sz w:val="24"/>
                <w:lang w:val="en-US" w:eastAsia="zh-CN"/>
              </w:rPr>
              <w:t>重要部件损害时的应急方案</w:t>
            </w:r>
            <w:r>
              <w:rPr>
                <w:rFonts w:hint="eastAsia" w:ascii="宋体" w:hAnsi="宋体" w:cs="宋体"/>
                <w:color w:val="000000" w:themeColor="text1"/>
                <w:sz w:val="24"/>
                <w:highlight w:val="none"/>
                <w14:textFill>
                  <w14:solidFill>
                    <w14:schemeClr w14:val="tx1"/>
                  </w14:solidFill>
                </w14:textFill>
              </w:rPr>
              <w:t>、④</w:t>
            </w:r>
            <w:r>
              <w:rPr>
                <w:rFonts w:hint="eastAsia" w:ascii="宋体" w:hAnsi="宋体" w:cs="宋体"/>
                <w:color w:val="000000" w:themeColor="text1"/>
                <w:sz w:val="24"/>
                <w:highlight w:val="none"/>
                <w:lang w:val="en-US" w:eastAsia="zh-CN"/>
                <w14:textFill>
                  <w14:solidFill>
                    <w14:schemeClr w14:val="tx1"/>
                  </w14:solidFill>
                </w14:textFill>
              </w:rPr>
              <w:t>设备长时间停机或开机率不达标时的应急方案</w:t>
            </w:r>
            <w:r>
              <w:rPr>
                <w:rFonts w:hint="eastAsia" w:ascii="宋体" w:hAnsi="宋体" w:cs="宋体"/>
                <w:color w:val="000000" w:themeColor="text1"/>
                <w:sz w:val="24"/>
                <w:highlight w:val="none"/>
                <w14:textFill>
                  <w14:solidFill>
                    <w14:schemeClr w14:val="tx1"/>
                  </w14:solidFill>
                </w14:textFill>
              </w:rPr>
              <w:t>、⑤</w:t>
            </w:r>
            <w:r>
              <w:rPr>
                <w:rFonts w:hint="eastAsia" w:ascii="宋体" w:hAnsi="宋体" w:cs="宋体"/>
                <w:color w:val="000000" w:themeColor="text1"/>
                <w:sz w:val="24"/>
                <w:highlight w:val="none"/>
                <w:lang w:val="en-US" w:eastAsia="zh-CN"/>
                <w14:textFill>
                  <w14:solidFill>
                    <w14:schemeClr w14:val="tx1"/>
                  </w14:solidFill>
                </w14:textFill>
              </w:rPr>
              <w:t>突发软件系统故障的应急方案</w:t>
            </w:r>
            <w:r>
              <w:rPr>
                <w:rFonts w:hint="eastAsia" w:ascii="宋体" w:hAnsi="宋体" w:cs="宋体"/>
                <w:color w:val="000000" w:themeColor="text1"/>
                <w:sz w:val="24"/>
                <w:highlight w:val="none"/>
                <w14:textFill>
                  <w14:solidFill>
                    <w14:schemeClr w14:val="tx1"/>
                  </w14:solidFill>
                </w14:textFill>
              </w:rPr>
              <w:t>进行评价，其中：</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每有1项内容进行了阐述且满足采购需求得3分；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每有1项内容虽阐述但未贴合项目实际情况进行论述，或内容中未包括具体实施细节及措施，得1分；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每有1项内容未进行阐述或不满足采购需求得0分。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default"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hint="eastAsia" w:ascii="宋体" w:hAnsi="宋体" w:eastAsia="宋体" w:cs="Arial"/>
                <w:color w:val="000000" w:themeColor="text1"/>
                <w:sz w:val="24"/>
                <w:lang w:eastAsia="zh-CN"/>
                <w14:textFill>
                  <w14:solidFill>
                    <w14:schemeClr w14:val="tx1"/>
                  </w14:solidFill>
                </w14:textFill>
              </w:rPr>
            </w:pPr>
            <w:r>
              <w:rPr>
                <w:rFonts w:hint="eastAsia" w:ascii="宋体" w:hAnsi="宋体" w:cs="Arial"/>
                <w:color w:val="000000" w:themeColor="text1"/>
                <w:sz w:val="24"/>
                <w:lang w:val="en-US" w:eastAsia="zh-CN"/>
                <w14:textFill>
                  <w14:solidFill>
                    <w14:schemeClr w14:val="tx1"/>
                  </w14:solidFill>
                </w14:textFill>
              </w:rPr>
              <w:t>9</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Ansi="宋体" w:cs="宋体"/>
                <w:color w:val="000000" w:themeColor="text1"/>
                <w:sz w:val="24"/>
                <w:highlight w:val="none"/>
                <w14:textFill>
                  <w14:solidFill>
                    <w14:schemeClr w14:val="tx1"/>
                  </w14:solidFill>
                </w14:textFill>
              </w:rPr>
            </w:pPr>
            <w:r>
              <w:rPr>
                <w:rFonts w:hint="eastAsia" w:hAnsi="宋体" w:cs="宋体"/>
                <w:color w:val="000000" w:themeColor="text1"/>
                <w:sz w:val="24"/>
                <w:highlight w:val="none"/>
                <w14:textFill>
                  <w14:solidFill>
                    <w14:schemeClr w14:val="tx1"/>
                  </w14:solidFill>
                </w14:textFill>
              </w:rPr>
              <w:t>对维护内容的响应评价</w:t>
            </w:r>
          </w:p>
        </w:tc>
        <w:tc>
          <w:tcPr>
            <w:tcW w:w="633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技术规格响应全部满足采购需求要求的为</w:t>
            </w:r>
            <w:r>
              <w:rPr>
                <w:rFonts w:hint="eastAsia" w:ascii="宋体" w:hAnsi="宋体" w:cs="宋体"/>
                <w:color w:val="000000" w:themeColor="text1"/>
                <w:sz w:val="24"/>
                <w:highlight w:val="none"/>
                <w:lang w:val="en-US" w:eastAsia="zh-CN"/>
                <w14:textFill>
                  <w14:solidFill>
                    <w14:schemeClr w14:val="tx1"/>
                  </w14:solidFill>
                </w14:textFill>
              </w:rPr>
              <w:t>15</w:t>
            </w:r>
            <w:r>
              <w:rPr>
                <w:rFonts w:hint="eastAsia" w:ascii="宋体" w:hAnsi="宋体" w:cs="宋体"/>
                <w:color w:val="000000" w:themeColor="text1"/>
                <w:sz w:val="24"/>
                <w:highlight w:val="none"/>
                <w14:textFill>
                  <w14:solidFill>
                    <w14:schemeClr w14:val="tx1"/>
                  </w14:solidFill>
                </w14:textFill>
              </w:rPr>
              <w:t>分，其中有一项条款不满足的扣0.5分，扣完为止，最低得0分。</w:t>
            </w:r>
          </w:p>
          <w:p>
            <w:pPr>
              <w:keepNext w:val="0"/>
              <w:keepLines w:val="0"/>
              <w:pageBreakBefore w:val="0"/>
              <w:kinsoku/>
              <w:wordWrap/>
              <w:overflowPunct/>
              <w:topLinePunct w:val="0"/>
              <w:autoSpaceDE/>
              <w:autoSpaceDN/>
              <w:bidi w:val="0"/>
              <w:adjustRightInd/>
              <w:snapToGrid/>
              <w:spacing w:line="240" w:lineRule="auto"/>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注：技术参数中“*”号条款为重要指标参数，1条不满足属于技术参数的重大偏差，按无效投标处理。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default" w:ascii="宋体" w:hAnsi="宋体" w:cs="宋体"/>
                <w:color w:val="000000" w:themeColor="text1"/>
                <w:sz w:val="24"/>
                <w:highlight w:val="none"/>
                <w:lang w:val="en-US"/>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9126" w:type="dxa"/>
            <w:gridSpan w:val="4"/>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得分合计</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w:t>
            </w:r>
          </w:p>
        </w:tc>
      </w:tr>
    </w:tbl>
    <w:p>
      <w:pPr>
        <w:tabs>
          <w:tab w:val="left" w:pos="360"/>
          <w:tab w:val="left" w:pos="1080"/>
        </w:tabs>
        <w:snapToGrid w:val="0"/>
        <w:spacing w:line="360" w:lineRule="auto"/>
        <w:ind w:left="1080"/>
        <w:rPr>
          <w:color w:val="000000" w:themeColor="text1"/>
          <w:sz w:val="24"/>
          <w14:textFill>
            <w14:solidFill>
              <w14:schemeClr w14:val="tx1"/>
            </w14:solidFill>
          </w14:textFill>
        </w:rPr>
      </w:pPr>
    </w:p>
    <w:p>
      <w:pPr>
        <w:widowControl/>
        <w:jc w:val="left"/>
        <w:rPr>
          <w:b/>
          <w:color w:val="000000" w:themeColor="text1"/>
          <w:sz w:val="36"/>
          <w:szCs w:val="36"/>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45" w:name="_Toc229670245"/>
      <w:r>
        <w:rPr>
          <w:b/>
          <w:color w:val="000000" w:themeColor="text1"/>
          <w:sz w:val="36"/>
          <w:szCs w:val="36"/>
          <w14:textFill>
            <w14:solidFill>
              <w14:schemeClr w14:val="tx1"/>
            </w14:solidFill>
          </w14:textFill>
        </w:rPr>
        <w:t xml:space="preserve">第五章   </w:t>
      </w:r>
      <w:bookmarkStart w:id="846" w:name="OLE_LINK28"/>
      <w:r>
        <w:rPr>
          <w:b/>
          <w:color w:val="000000" w:themeColor="text1"/>
          <w:sz w:val="36"/>
          <w:szCs w:val="36"/>
          <w14:textFill>
            <w14:solidFill>
              <w14:schemeClr w14:val="tx1"/>
            </w14:solidFill>
          </w14:textFill>
        </w:rPr>
        <w:t>采购需求</w:t>
      </w:r>
      <w:bookmarkEnd w:id="845"/>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14:textFill>
            <w14:solidFill>
              <w14:schemeClr w14:val="tx1"/>
            </w14:solidFill>
          </w14:textFill>
        </w:rPr>
        <w:t>一、</w:t>
      </w:r>
      <w:r>
        <w:rPr>
          <w:rFonts w:eastAsiaTheme="minorEastAsia"/>
          <w:b/>
          <w:color w:val="000000" w:themeColor="text1"/>
          <w:sz w:val="24"/>
          <w14:textFill>
            <w14:solidFill>
              <w14:schemeClr w14:val="tx1"/>
            </w14:solidFill>
          </w14:textFill>
        </w:rPr>
        <w:tab/>
      </w:r>
      <w:r>
        <w:rPr>
          <w:rFonts w:hint="eastAsia" w:eastAsiaTheme="minorEastAsia"/>
          <w:b/>
          <w:color w:val="000000" w:themeColor="text1"/>
          <w:sz w:val="24"/>
          <w14:textFill>
            <w14:solidFill>
              <w14:schemeClr w14:val="tx1"/>
            </w14:solidFill>
          </w14:textFill>
        </w:rPr>
        <w:t>采购标的</w:t>
      </w:r>
    </w:p>
    <w:p>
      <w:pPr>
        <w:spacing w:line="360" w:lineRule="auto"/>
        <w:rPr>
          <w:rFonts w:hint="eastAsia" w:ascii="Times New Roman" w:hAnsi="Times New Roman" w:eastAsia="宋体"/>
          <w:b w:val="0"/>
          <w:bCs/>
          <w:color w:val="000000" w:themeColor="text1"/>
          <w:sz w:val="24"/>
          <w:lang w:eastAsia="zh-CN"/>
          <w14:textFill>
            <w14:solidFill>
              <w14:schemeClr w14:val="tx1"/>
            </w14:solidFill>
          </w14:textFill>
        </w:rPr>
      </w:pPr>
      <w:r>
        <w:rPr>
          <w:rFonts w:ascii="Times New Roman" w:hAnsi="Times New Roman" w:eastAsia="宋体"/>
          <w:b w:val="0"/>
          <w:bCs/>
          <w:color w:val="000000" w:themeColor="text1"/>
          <w:sz w:val="24"/>
          <w14:textFill>
            <w14:solidFill>
              <w14:schemeClr w14:val="tx1"/>
            </w14:solidFill>
          </w14:textFill>
        </w:rPr>
        <w:t>1.</w:t>
      </w:r>
      <w:r>
        <w:rPr>
          <w:rFonts w:hint="eastAsia" w:ascii="Times New Roman" w:hAnsi="Times New Roman" w:eastAsia="宋体"/>
          <w:b w:val="0"/>
          <w:bCs/>
          <w:color w:val="000000" w:themeColor="text1"/>
          <w:sz w:val="24"/>
          <w14:textFill>
            <w14:solidFill>
              <w14:schemeClr w14:val="tx1"/>
            </w14:solidFill>
          </w14:textFill>
        </w:rPr>
        <w:t>采购标的：</w:t>
      </w:r>
      <w:r>
        <w:rPr>
          <w:rFonts w:hint="eastAsia" w:ascii="Times New Roman" w:hAnsi="Times New Roman" w:eastAsia="宋体"/>
          <w:b w:val="0"/>
          <w:bCs/>
          <w:color w:val="000000" w:themeColor="text1"/>
          <w:sz w:val="24"/>
          <w:lang w:eastAsia="zh-CN"/>
          <w14:textFill>
            <w14:solidFill>
              <w14:schemeClr w14:val="tx1"/>
            </w14:solidFill>
          </w14:textFill>
        </w:rPr>
        <w:t>北京市顺义区医院放射科西门子CT(SOMATOMgo.up)保修服务购置项目</w:t>
      </w:r>
    </w:p>
    <w:p>
      <w:pPr>
        <w:spacing w:line="360" w:lineRule="auto"/>
        <w:rPr>
          <w:rFonts w:ascii="Times New Roman" w:hAnsi="Times New Roman" w:eastAsia="宋体"/>
          <w:b w:val="0"/>
          <w:bCs/>
          <w:color w:val="000000" w:themeColor="text1"/>
          <w:sz w:val="24"/>
          <w14:textFill>
            <w14:solidFill>
              <w14:schemeClr w14:val="tx1"/>
            </w14:solidFill>
          </w14:textFill>
        </w:rPr>
      </w:pPr>
      <w:r>
        <w:rPr>
          <w:rFonts w:hint="eastAsia" w:ascii="Times New Roman" w:hAnsi="Times New Roman" w:eastAsia="宋体" w:cs="Segoe UI Symbol"/>
          <w:b w:val="0"/>
          <w:bCs/>
          <w:color w:val="000000" w:themeColor="text1"/>
          <w:sz w:val="24"/>
          <w:lang w:val="en-US" w:eastAsia="zh-CN"/>
          <w14:textFill>
            <w14:solidFill>
              <w14:schemeClr w14:val="tx1"/>
            </w14:solidFill>
          </w14:textFill>
        </w:rPr>
        <w:t>2.</w:t>
      </w:r>
      <w:r>
        <w:rPr>
          <w:rFonts w:hint="eastAsia" w:ascii="Times New Roman" w:hAnsi="Times New Roman" w:eastAsia="宋体"/>
          <w:b w:val="0"/>
          <w:bCs/>
          <w:color w:val="000000" w:themeColor="text1"/>
          <w:sz w:val="24"/>
          <w14:textFill>
            <w14:solidFill>
              <w14:schemeClr w14:val="tx1"/>
            </w14:solidFill>
          </w14:textFill>
        </w:rPr>
        <w:t>项目预算金额：</w:t>
      </w:r>
      <w:r>
        <w:rPr>
          <w:rFonts w:hint="eastAsia" w:ascii="Times New Roman" w:hAnsi="Times New Roman" w:eastAsia="宋体"/>
          <w:b w:val="0"/>
          <w:bCs/>
          <w:color w:val="000000" w:themeColor="text1"/>
          <w:sz w:val="24"/>
          <w:lang w:val="en-US" w:eastAsia="zh-CN"/>
          <w14:textFill>
            <w14:solidFill>
              <w14:schemeClr w14:val="tx1"/>
            </w14:solidFill>
          </w14:textFill>
        </w:rPr>
        <w:t>164.4</w:t>
      </w:r>
      <w:r>
        <w:rPr>
          <w:rFonts w:hint="eastAsia" w:ascii="Times New Roman" w:hAnsi="Times New Roman" w:eastAsia="宋体"/>
          <w:b w:val="0"/>
          <w:bCs/>
          <w:color w:val="000000" w:themeColor="text1"/>
          <w:sz w:val="24"/>
          <w14:textFill>
            <w14:solidFill>
              <w14:schemeClr w14:val="tx1"/>
            </w14:solidFill>
          </w14:textFill>
        </w:rPr>
        <w:t>万元</w:t>
      </w:r>
    </w:p>
    <w:p>
      <w:pPr>
        <w:spacing w:line="360" w:lineRule="auto"/>
        <w:rPr>
          <w:rFonts w:eastAsiaTheme="minorEastAsia"/>
          <w:b/>
          <w:color w:val="000000" w:themeColor="text1"/>
          <w:sz w:val="24"/>
          <w14:textFill>
            <w14:solidFill>
              <w14:schemeClr w14:val="tx1"/>
            </w14:solidFill>
          </w14:textFill>
        </w:rPr>
      </w:pPr>
      <w:r>
        <w:rPr>
          <w:rFonts w:hint="eastAsia" w:ascii="Times New Roman" w:hAnsi="Times New Roman" w:eastAsia="宋体" w:cs="Segoe UI Symbol"/>
          <w:b w:val="0"/>
          <w:bCs/>
          <w:color w:val="000000" w:themeColor="text1"/>
          <w:sz w:val="24"/>
          <w:lang w:val="en-US" w:eastAsia="zh-CN"/>
          <w14:textFill>
            <w14:solidFill>
              <w14:schemeClr w14:val="tx1"/>
            </w14:solidFill>
          </w14:textFill>
        </w:rPr>
        <w:t>3.</w:t>
      </w:r>
      <w:r>
        <w:rPr>
          <w:rFonts w:hint="eastAsia" w:ascii="Times New Roman" w:hAnsi="Times New Roman" w:eastAsia="宋体"/>
          <w:b w:val="0"/>
          <w:bCs/>
          <w:color w:val="000000" w:themeColor="text1"/>
          <w:sz w:val="24"/>
          <w14:textFill>
            <w14:solidFill>
              <w14:schemeClr w14:val="tx1"/>
            </w14:solidFill>
          </w14:textFill>
        </w:rPr>
        <w:t>项目概述：</w:t>
      </w:r>
      <w:r>
        <w:rPr>
          <w:rFonts w:hint="eastAsia" w:ascii="Times New Roman" w:hAnsi="Times New Roman" w:eastAsia="宋体"/>
          <w:b w:val="0"/>
          <w:bCs/>
          <w:color w:val="000000" w:themeColor="text1"/>
          <w:kern w:val="0"/>
          <w:sz w:val="24"/>
          <w14:textFill>
            <w14:solidFill>
              <w14:schemeClr w14:val="tx1"/>
            </w14:solidFill>
          </w14:textFill>
        </w:rPr>
        <w:t>西门子SOMATOM go.Up 32排CT设备提供维保服务，必须保证设备开机率＞97%（按每年365天计算），同时提供该设备第三方产品的保修服务，包括且不限于高压注射器、机房空调、工作站等，定期完成维护保养服务。无限工时维修加免费更换任何损坏备件，含球管、探测器、高压油箱及所有零部件。每次维护保养完成后，须向院方提供维护保养报告。</w:t>
      </w:r>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14:textFill>
            <w14:solidFill>
              <w14:schemeClr w14:val="tx1"/>
            </w14:solidFill>
          </w14:textFill>
        </w:rPr>
        <w:t>二、</w:t>
      </w:r>
      <w:r>
        <w:rPr>
          <w:rFonts w:eastAsiaTheme="minorEastAsia"/>
          <w:b/>
          <w:color w:val="000000" w:themeColor="text1"/>
          <w:sz w:val="24"/>
          <w14:textFill>
            <w14:solidFill>
              <w14:schemeClr w14:val="tx1"/>
            </w14:solidFill>
          </w14:textFill>
        </w:rPr>
        <w:tab/>
      </w:r>
      <w:r>
        <w:rPr>
          <w:rFonts w:hint="eastAsia" w:eastAsiaTheme="minorEastAsia"/>
          <w:b/>
          <w:color w:val="000000" w:themeColor="text1"/>
          <w:sz w:val="24"/>
          <w14:textFill>
            <w14:solidFill>
              <w14:schemeClr w14:val="tx1"/>
            </w14:solidFill>
          </w14:textFill>
        </w:rPr>
        <w:t>商务要求</w:t>
      </w:r>
    </w:p>
    <w:p>
      <w:pPr>
        <w:spacing w:line="360" w:lineRule="auto"/>
        <w:rPr>
          <w:rFonts w:hint="default" w:eastAsia="宋体"/>
          <w:b w:val="0"/>
          <w:bCs/>
          <w:color w:val="000000" w:themeColor="text1"/>
          <w:sz w:val="24"/>
          <w:lang w:val="en-US" w:eastAsia="zh-CN"/>
          <w14:textFill>
            <w14:solidFill>
              <w14:schemeClr w14:val="tx1"/>
            </w14:solidFill>
          </w14:textFill>
        </w:rPr>
      </w:pPr>
      <w:r>
        <w:rPr>
          <w:rFonts w:hint="eastAsia" w:eastAsia="宋体"/>
          <w:b w:val="0"/>
          <w:bCs/>
          <w:color w:val="000000" w:themeColor="text1"/>
          <w:sz w:val="24"/>
          <w:lang w:val="en-US" w:eastAsia="zh-CN"/>
          <w14:textFill>
            <w14:solidFill>
              <w14:schemeClr w14:val="tx1"/>
            </w14:solidFill>
          </w14:textFill>
        </w:rPr>
        <w:t>1.</w:t>
      </w:r>
      <w:r>
        <w:rPr>
          <w:rFonts w:hint="eastAsia" w:eastAsia="宋体"/>
          <w:b w:val="0"/>
          <w:bCs/>
          <w:color w:val="000000" w:themeColor="text1"/>
          <w:sz w:val="24"/>
          <w14:textFill>
            <w14:solidFill>
              <w14:schemeClr w14:val="tx1"/>
            </w14:solidFill>
          </w14:textFill>
        </w:rPr>
        <w:t>服务期限：自合同签订之日起</w:t>
      </w:r>
      <w:r>
        <w:rPr>
          <w:rFonts w:hint="eastAsia" w:eastAsia="宋体"/>
          <w:b w:val="0"/>
          <w:bCs/>
          <w:color w:val="000000" w:themeColor="text1"/>
          <w:sz w:val="24"/>
          <w:lang w:val="en-US" w:eastAsia="zh-CN"/>
          <w14:textFill>
            <w14:solidFill>
              <w14:schemeClr w14:val="tx1"/>
            </w14:solidFill>
          </w14:textFill>
        </w:rPr>
        <w:t>3</w:t>
      </w:r>
      <w:r>
        <w:rPr>
          <w:rFonts w:hint="eastAsia" w:eastAsia="宋体"/>
          <w:b w:val="0"/>
          <w:bCs/>
          <w:color w:val="000000" w:themeColor="text1"/>
          <w:sz w:val="24"/>
          <w14:textFill>
            <w14:solidFill>
              <w14:schemeClr w14:val="tx1"/>
            </w14:solidFill>
          </w14:textFill>
        </w:rPr>
        <w:t>年</w:t>
      </w:r>
    </w:p>
    <w:p>
      <w:pPr>
        <w:spacing w:line="360" w:lineRule="auto"/>
        <w:rPr>
          <w:rFonts w:eastAsia="宋体"/>
          <w:b w:val="0"/>
          <w:bCs/>
          <w:color w:val="000000" w:themeColor="text1"/>
          <w:sz w:val="24"/>
          <w:highlight w:val="none"/>
          <w14:textFill>
            <w14:solidFill>
              <w14:schemeClr w14:val="tx1"/>
            </w14:solidFill>
          </w14:textFill>
        </w:rPr>
      </w:pPr>
      <w:r>
        <w:rPr>
          <w:rFonts w:eastAsia="宋体"/>
          <w:b w:val="0"/>
          <w:bCs/>
          <w:color w:val="000000" w:themeColor="text1"/>
          <w:sz w:val="24"/>
          <w:highlight w:val="none"/>
          <w14:textFill>
            <w14:solidFill>
              <w14:schemeClr w14:val="tx1"/>
            </w14:solidFill>
          </w14:textFill>
        </w:rPr>
        <w:t>2</w:t>
      </w:r>
      <w:r>
        <w:rPr>
          <w:rFonts w:hint="eastAsia" w:eastAsia="宋体"/>
          <w:b w:val="0"/>
          <w:bCs/>
          <w:color w:val="000000" w:themeColor="text1"/>
          <w:sz w:val="24"/>
          <w:highlight w:val="none"/>
          <w:lang w:val="en-US" w:eastAsia="zh-CN"/>
          <w14:textFill>
            <w14:solidFill>
              <w14:schemeClr w14:val="tx1"/>
            </w14:solidFill>
          </w14:textFill>
        </w:rPr>
        <w:t>.</w:t>
      </w:r>
      <w:r>
        <w:rPr>
          <w:rFonts w:hint="eastAsia" w:eastAsia="宋体"/>
          <w:b w:val="0"/>
          <w:bCs/>
          <w:color w:val="000000" w:themeColor="text1"/>
          <w:sz w:val="24"/>
          <w:highlight w:val="none"/>
          <w14:textFill>
            <w14:solidFill>
              <w14:schemeClr w14:val="tx1"/>
            </w14:solidFill>
          </w14:textFill>
        </w:rPr>
        <w:t>付款条件（进度和方式）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color w:val="000000" w:themeColor="text1"/>
          <w:sz w:val="24"/>
          <w:highlight w:val="none"/>
          <w14:textFill>
            <w14:solidFill>
              <w14:schemeClr w14:val="tx1"/>
            </w14:solidFill>
          </w14:textFill>
        </w:rPr>
      </w:pPr>
      <w:r>
        <w:rPr>
          <w:rFonts w:hint="eastAsia" w:eastAsia="宋体"/>
          <w:b w:val="0"/>
          <w:bCs/>
          <w:color w:val="000000" w:themeColor="text1"/>
          <w:sz w:val="24"/>
          <w:highlight w:val="none"/>
          <w14:textFill>
            <w14:solidFill>
              <w14:schemeClr w14:val="tx1"/>
            </w14:solidFill>
          </w14:textFill>
        </w:rPr>
        <w:t>在合同生效后，按照年度保修金额计算，每个合同年度第6个月内支付年度保修金额的50%</w:t>
      </w:r>
      <w:r>
        <w:rPr>
          <w:rFonts w:hint="eastAsia" w:eastAsia="宋体"/>
          <w:b w:val="0"/>
          <w:bCs/>
          <w:color w:val="000000" w:themeColor="text1"/>
          <w:sz w:val="24"/>
          <w:highlight w:val="none"/>
          <w:lang w:eastAsia="zh-CN"/>
          <w14:textFill>
            <w14:solidFill>
              <w14:schemeClr w14:val="tx1"/>
            </w14:solidFill>
          </w14:textFill>
        </w:rPr>
        <w:t>；</w:t>
      </w:r>
      <w:r>
        <w:rPr>
          <w:rFonts w:hint="eastAsia" w:eastAsia="宋体"/>
          <w:b w:val="0"/>
          <w:bCs/>
          <w:color w:val="000000" w:themeColor="text1"/>
          <w:sz w:val="24"/>
          <w:highlight w:val="none"/>
          <w14:textFill>
            <w14:solidFill>
              <w14:schemeClr w14:val="tx1"/>
            </w14:solidFill>
          </w14:textFill>
        </w:rPr>
        <w:t>每个合同年度第12个月内支付年度保修金额的50%。</w:t>
      </w:r>
    </w:p>
    <w:p>
      <w:pPr>
        <w:spacing w:line="360" w:lineRule="auto"/>
        <w:ind w:left="500" w:hanging="500"/>
        <w:contextualSpacing/>
        <w:rPr>
          <w:rFonts w:hint="default" w:eastAsiaTheme="minorEastAsia"/>
          <w:b/>
          <w:color w:val="000000" w:themeColor="text1"/>
          <w:sz w:val="24"/>
          <w:lang w:val="en-US" w:eastAsia="zh-CN"/>
          <w14:textFill>
            <w14:solidFill>
              <w14:schemeClr w14:val="tx1"/>
            </w14:solidFill>
          </w14:textFill>
        </w:rPr>
      </w:pPr>
      <w:r>
        <w:rPr>
          <w:rFonts w:hint="eastAsia" w:eastAsiaTheme="minorEastAsia"/>
          <w:b/>
          <w:color w:val="000000" w:themeColor="text1"/>
          <w:sz w:val="24"/>
          <w:lang w:val="en-US" w:eastAsia="zh-CN"/>
          <w14:textFill>
            <w14:solidFill>
              <w14:schemeClr w14:val="tx1"/>
            </w14:solidFill>
          </w14:textFill>
        </w:rPr>
        <w:t>三</w:t>
      </w:r>
      <w:r>
        <w:rPr>
          <w:rFonts w:hint="eastAsia" w:eastAsiaTheme="minorEastAsia"/>
          <w:b/>
          <w:color w:val="000000" w:themeColor="text1"/>
          <w:sz w:val="24"/>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技术要求</w:t>
      </w:r>
    </w:p>
    <w:p>
      <w:pPr>
        <w:spacing w:line="360" w:lineRule="auto"/>
        <w:ind w:left="500" w:hanging="500"/>
        <w:contextualSpacing/>
        <w:rPr>
          <w:rFonts w:hint="default" w:eastAsiaTheme="minorEastAsia"/>
          <w:b/>
          <w:color w:val="000000" w:themeColor="text1"/>
          <w:sz w:val="24"/>
          <w:lang w:val="en-US" w:eastAsia="zh-CN"/>
          <w14:textFill>
            <w14:solidFill>
              <w14:schemeClr w14:val="tx1"/>
            </w14:solidFill>
          </w14:textFill>
        </w:rPr>
      </w:pPr>
      <w:r>
        <w:rPr>
          <w:rFonts w:hint="eastAsia" w:eastAsiaTheme="minorEastAsia"/>
          <w:b/>
          <w:color w:val="000000" w:themeColor="text1"/>
          <w:sz w:val="24"/>
          <w:lang w:eastAsia="zh-CN"/>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一</w:t>
      </w:r>
      <w:r>
        <w:rPr>
          <w:rFonts w:hint="eastAsia" w:eastAsiaTheme="minorEastAsia"/>
          <w:b/>
          <w:color w:val="000000" w:themeColor="text1"/>
          <w:sz w:val="24"/>
          <w:lang w:eastAsia="zh-CN"/>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基本要求</w:t>
      </w:r>
    </w:p>
    <w:p>
      <w:pPr>
        <w:spacing w:line="360" w:lineRule="auto"/>
        <w:ind w:left="0" w:firstLine="480" w:firstLineChars="200"/>
        <w:contextualSpacing w:val="0"/>
        <w:rPr>
          <w:rFonts w:hint="eastAsia"/>
          <w:b w:val="0"/>
          <w:color w:val="000000" w:themeColor="text1"/>
          <w:sz w:val="24"/>
          <w:lang w:val="en-US" w:eastAsia="zh-CN"/>
          <w14:textFill>
            <w14:solidFill>
              <w14:schemeClr w14:val="tx1"/>
            </w14:solidFill>
          </w14:textFill>
        </w:rPr>
      </w:pPr>
      <w:r>
        <w:rPr>
          <w:rFonts w:hint="eastAsia" w:ascii="宋体" w:hAnsi="宋体" w:eastAsia="宋体" w:cs="宋体"/>
          <w:b w:val="0"/>
          <w:bCs w:val="0"/>
          <w:color w:val="000000"/>
          <w:sz w:val="24"/>
          <w:szCs w:val="24"/>
        </w:rPr>
        <w:t>1.采购标的需实现的功能或者目标本次招标为“</w:t>
      </w:r>
      <w:r>
        <w:rPr>
          <w:rFonts w:hint="eastAsia" w:ascii="Times New Roman" w:hAnsi="Times New Roman" w:eastAsia="宋体"/>
          <w:b w:val="0"/>
          <w:bCs/>
          <w:color w:val="000000" w:themeColor="text1"/>
          <w:sz w:val="24"/>
          <w:lang w:eastAsia="zh-CN"/>
          <w14:textFill>
            <w14:solidFill>
              <w14:schemeClr w14:val="tx1"/>
            </w14:solidFill>
          </w14:textFill>
        </w:rPr>
        <w:t>北京市顺义区医院放射科西门子CT(SOMATOMgo.up)保修服务购置项目</w:t>
      </w:r>
      <w:r>
        <w:rPr>
          <w:rFonts w:hint="eastAsia" w:ascii="宋体" w:hAnsi="宋体" w:eastAsia="宋体" w:cs="宋体"/>
          <w:b w:val="0"/>
          <w:bCs w:val="0"/>
          <w:color w:val="000000"/>
          <w:sz w:val="24"/>
          <w:szCs w:val="24"/>
        </w:rPr>
        <w:t>”，供应商应根据招标文件所提出的要求，以优良的服务和优惠的价格，充分显示自己的竞争实力</w:t>
      </w:r>
    </w:p>
    <w:p>
      <w:pPr>
        <w:spacing w:line="360" w:lineRule="auto"/>
        <w:ind w:left="0" w:firstLine="480" w:firstLineChars="200"/>
        <w:contextualSpacing w:val="0"/>
        <w:rPr>
          <w:rFonts w:hint="eastAsia" w:eastAsia="宋体"/>
          <w:b w:val="0"/>
          <w:color w:val="000000" w:themeColor="text1"/>
          <w:sz w:val="24"/>
          <w14:textFill>
            <w14:solidFill>
              <w14:schemeClr w14:val="tx1"/>
            </w14:solidFill>
          </w14:textFill>
        </w:rPr>
      </w:pPr>
      <w:r>
        <w:rPr>
          <w:rFonts w:hint="eastAsia"/>
          <w:b w:val="0"/>
          <w:color w:val="000000" w:themeColor="text1"/>
          <w:sz w:val="24"/>
          <w:lang w:val="en-US" w:eastAsia="zh-CN"/>
          <w14:textFill>
            <w14:solidFill>
              <w14:schemeClr w14:val="tx1"/>
            </w14:solidFill>
          </w14:textFill>
        </w:rPr>
        <w:t>2.</w:t>
      </w:r>
      <w:r>
        <w:rPr>
          <w:rFonts w:hint="eastAsia" w:eastAsia="宋体"/>
          <w:b w:val="0"/>
          <w:color w:val="000000" w:themeColor="text1"/>
          <w:sz w:val="24"/>
          <w14:textFill>
            <w14:solidFill>
              <w14:schemeClr w14:val="tx1"/>
            </w14:solidFill>
          </w14:textFill>
        </w:rPr>
        <w:t>需执行的国家相关标准、行业标准、地方标准或者其他标准、规范：符合已颁布的现行中华人民共和国认可的国家标准、地方标准和行业标准。如果这些标准内容有矛盾时，应按最高标准的条款执行。</w:t>
      </w:r>
    </w:p>
    <w:p>
      <w:pPr>
        <w:spacing w:line="360" w:lineRule="auto"/>
        <w:ind w:left="500" w:hanging="500"/>
        <w:contextualSpacing/>
        <w:rPr>
          <w:rFonts w:hint="eastAsia" w:eastAsiaTheme="minorEastAsia"/>
          <w:b/>
          <w:color w:val="000000" w:themeColor="text1"/>
          <w:sz w:val="24"/>
          <w:lang w:eastAsia="zh-CN"/>
          <w14:textFill>
            <w14:solidFill>
              <w14:schemeClr w14:val="tx1"/>
            </w14:solidFill>
          </w14:textFill>
        </w:rPr>
      </w:pPr>
    </w:p>
    <w:p>
      <w:pPr>
        <w:spacing w:line="360" w:lineRule="auto"/>
        <w:ind w:left="500" w:hanging="500"/>
        <w:contextualSpacing/>
        <w:rPr>
          <w:rFonts w:hint="eastAsia" w:eastAsiaTheme="minorEastAsia"/>
          <w:b/>
          <w:color w:val="000000" w:themeColor="text1"/>
          <w:sz w:val="24"/>
          <w:lang w:val="en-US" w:eastAsia="zh-CN"/>
          <w14:textFill>
            <w14:solidFill>
              <w14:schemeClr w14:val="tx1"/>
            </w14:solidFill>
          </w14:textFill>
        </w:rPr>
      </w:pPr>
      <w:r>
        <w:rPr>
          <w:rFonts w:hint="eastAsia" w:eastAsiaTheme="minorEastAsia"/>
          <w:b/>
          <w:color w:val="000000" w:themeColor="text1"/>
          <w:sz w:val="24"/>
          <w:lang w:eastAsia="zh-CN"/>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二</w:t>
      </w:r>
      <w:r>
        <w:rPr>
          <w:rFonts w:hint="eastAsia" w:eastAsiaTheme="minorEastAsia"/>
          <w:b/>
          <w:color w:val="000000" w:themeColor="text1"/>
          <w:sz w:val="24"/>
          <w:lang w:eastAsia="zh-CN"/>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设备情况</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2266"/>
        <w:gridCol w:w="1984"/>
        <w:gridCol w:w="1550"/>
        <w:gridCol w:w="2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900" w:type="dxa"/>
          </w:tcPr>
          <w:p>
            <w:pPr>
              <w:spacing w:line="360" w:lineRule="auto"/>
              <w:contextualSpacing/>
              <w:rPr>
                <w:rFonts w:hint="eastAsia" w:eastAsiaTheme="minorEastAsia"/>
                <w:b/>
                <w:color w:val="000000" w:themeColor="text1"/>
                <w:sz w:val="24"/>
                <w:vertAlign w:val="baseline"/>
                <w:lang w:val="en-US" w:eastAsia="zh-CN"/>
                <w14:textFill>
                  <w14:solidFill>
                    <w14:schemeClr w14:val="tx1"/>
                  </w14:solidFill>
                </w14:textFill>
              </w:rPr>
            </w:pPr>
            <w:r>
              <w:rPr>
                <w:rFonts w:hint="eastAsia" w:eastAsiaTheme="minorEastAsia"/>
                <w:b/>
                <w:color w:val="000000" w:themeColor="text1"/>
                <w:sz w:val="24"/>
                <w:vertAlign w:val="baseline"/>
                <w:lang w:val="en-US" w:eastAsia="zh-CN"/>
                <w14:textFill>
                  <w14:solidFill>
                    <w14:schemeClr w14:val="tx1"/>
                  </w14:solidFill>
                </w14:textFill>
              </w:rPr>
              <w:t>序号</w:t>
            </w:r>
          </w:p>
        </w:tc>
        <w:tc>
          <w:tcPr>
            <w:tcW w:w="2266" w:type="dxa"/>
          </w:tcPr>
          <w:p>
            <w:pPr>
              <w:spacing w:line="360" w:lineRule="auto"/>
              <w:contextualSpacing/>
              <w:rPr>
                <w:rFonts w:hint="eastAsia" w:ascii="宋体" w:hAnsi="宋体" w:eastAsia="宋体" w:cs="宋体"/>
                <w:b/>
                <w:bCs/>
                <w:color w:val="000000"/>
                <w:sz w:val="24"/>
                <w:vertAlign w:val="baseline"/>
              </w:rPr>
            </w:pPr>
            <w:r>
              <w:rPr>
                <w:rFonts w:hint="eastAsia" w:ascii="宋体" w:hAnsi="宋体" w:eastAsia="宋体" w:cs="宋体"/>
                <w:b/>
                <w:bCs/>
                <w:color w:val="000000"/>
                <w:sz w:val="24"/>
                <w:szCs w:val="24"/>
              </w:rPr>
              <w:t>设备</w:t>
            </w:r>
          </w:p>
        </w:tc>
        <w:tc>
          <w:tcPr>
            <w:tcW w:w="1984" w:type="dxa"/>
          </w:tcPr>
          <w:p>
            <w:pPr>
              <w:spacing w:line="360" w:lineRule="auto"/>
              <w:contextualSpacing/>
              <w:rPr>
                <w:rFonts w:hint="eastAsia" w:ascii="宋体" w:hAnsi="宋体" w:eastAsia="宋体" w:cs="宋体"/>
                <w:b/>
                <w:bCs/>
                <w:color w:val="000000"/>
                <w:sz w:val="24"/>
                <w:vertAlign w:val="baseline"/>
              </w:rPr>
            </w:pPr>
            <w:r>
              <w:rPr>
                <w:rFonts w:hint="eastAsia" w:ascii="宋体" w:hAnsi="宋体" w:eastAsia="宋体" w:cs="宋体"/>
                <w:b/>
                <w:bCs/>
                <w:color w:val="000000"/>
                <w:sz w:val="24"/>
                <w:szCs w:val="24"/>
                <w:lang w:val="en-US" w:eastAsia="zh-CN"/>
              </w:rPr>
              <w:t>型号</w:t>
            </w:r>
          </w:p>
        </w:tc>
        <w:tc>
          <w:tcPr>
            <w:tcW w:w="1550" w:type="dxa"/>
          </w:tcPr>
          <w:p>
            <w:pPr>
              <w:spacing w:line="360" w:lineRule="auto"/>
              <w:contextualSpacing/>
              <w:rPr>
                <w:rFonts w:hint="default" w:eastAsiaTheme="minorEastAsia"/>
                <w:b/>
                <w:color w:val="000000" w:themeColor="text1"/>
                <w:sz w:val="24"/>
                <w:vertAlign w:val="baseline"/>
                <w14:textFill>
                  <w14:solidFill>
                    <w14:schemeClr w14:val="tx1"/>
                  </w14:solidFill>
                </w14:textFill>
              </w:rPr>
            </w:pPr>
            <w:r>
              <w:rPr>
                <w:rFonts w:hint="eastAsia" w:ascii="宋体" w:hAnsi="宋体" w:eastAsia="宋体" w:cs="宋体"/>
                <w:b/>
                <w:bCs/>
                <w:color w:val="000000"/>
                <w:sz w:val="24"/>
                <w:szCs w:val="24"/>
              </w:rPr>
              <w:t>数量（台）</w:t>
            </w:r>
          </w:p>
        </w:tc>
        <w:tc>
          <w:tcPr>
            <w:tcW w:w="2586" w:type="dxa"/>
          </w:tcPr>
          <w:p>
            <w:pPr>
              <w:spacing w:line="360" w:lineRule="auto"/>
              <w:contextualSpacing/>
              <w:rPr>
                <w:rFonts w:hint="default" w:eastAsiaTheme="minorEastAsia"/>
                <w:b/>
                <w:color w:val="000000" w:themeColor="text1"/>
                <w:sz w:val="24"/>
                <w:vertAlign w:val="baseline"/>
                <w:lang w:val="en-US" w:eastAsia="zh-CN"/>
                <w14:textFill>
                  <w14:solidFill>
                    <w14:schemeClr w14:val="tx1"/>
                  </w14:solidFill>
                </w14:textFill>
              </w:rPr>
            </w:pPr>
            <w:r>
              <w:rPr>
                <w:rFonts w:hint="eastAsia" w:eastAsiaTheme="minorEastAsia"/>
                <w:b/>
                <w:color w:val="000000" w:themeColor="text1"/>
                <w:sz w:val="24"/>
                <w:vertAlign w:val="baseline"/>
                <w:lang w:val="en-US" w:eastAsia="zh-CN"/>
                <w14:textFill>
                  <w14:solidFill>
                    <w14:schemeClr w14:val="tx1"/>
                  </w14:solidFill>
                </w14:textFill>
              </w:rPr>
              <w:t>采购日期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spacing w:line="360" w:lineRule="auto"/>
              <w:contextualSpacing/>
              <w:rPr>
                <w:rFonts w:hint="eastAsia" w:eastAsiaTheme="minorEastAsia"/>
                <w:b/>
                <w:color w:val="000000" w:themeColor="text1"/>
                <w:sz w:val="24"/>
                <w:vertAlign w:val="baseline"/>
                <w:lang w:val="en-US" w:eastAsia="zh-CN"/>
                <w14:textFill>
                  <w14:solidFill>
                    <w14:schemeClr w14:val="tx1"/>
                  </w14:solidFill>
                </w14:textFill>
              </w:rPr>
            </w:pPr>
            <w:r>
              <w:rPr>
                <w:rFonts w:hint="eastAsia" w:eastAsiaTheme="minorEastAsia"/>
                <w:b/>
                <w:color w:val="000000" w:themeColor="text1"/>
                <w:sz w:val="24"/>
                <w:vertAlign w:val="baseline"/>
                <w:lang w:val="en-US" w:eastAsia="zh-CN"/>
                <w14:textFill>
                  <w14:solidFill>
                    <w14:schemeClr w14:val="tx1"/>
                  </w14:solidFill>
                </w14:textFill>
              </w:rPr>
              <w:t>1</w:t>
            </w:r>
          </w:p>
        </w:tc>
        <w:tc>
          <w:tcPr>
            <w:tcW w:w="2266" w:type="dxa"/>
          </w:tcPr>
          <w:p>
            <w:pPr>
              <w:spacing w:line="360" w:lineRule="auto"/>
              <w:contextualSpacing/>
              <w:rPr>
                <w:rFonts w:hint="eastAsia" w:ascii="宋体" w:hAnsi="宋体" w:eastAsia="宋体" w:cs="宋体"/>
                <w:b w:val="0"/>
                <w:color w:val="auto"/>
                <w:sz w:val="24"/>
                <w:vertAlign w:val="baseline"/>
              </w:rPr>
            </w:pPr>
            <w:r>
              <w:rPr>
                <w:rFonts w:hint="eastAsia" w:ascii="宋体" w:hAnsi="宋体" w:eastAsia="宋体" w:cs="宋体"/>
                <w:sz w:val="24"/>
                <w:szCs w:val="24"/>
                <w:lang w:eastAsia="zh-CN"/>
              </w:rPr>
              <w:t>西门子</w:t>
            </w:r>
            <w:r>
              <w:rPr>
                <w:rFonts w:hint="eastAsia" w:ascii="宋体" w:hAnsi="宋体" w:eastAsia="宋体" w:cs="宋体"/>
                <w:sz w:val="24"/>
                <w:szCs w:val="24"/>
                <w:lang w:val="en-US" w:eastAsia="zh-CN"/>
              </w:rPr>
              <w:t>品牌</w:t>
            </w:r>
            <w:r>
              <w:rPr>
                <w:rFonts w:hint="eastAsia" w:ascii="宋体" w:hAnsi="宋体" w:eastAsia="宋体" w:cs="宋体"/>
                <w:sz w:val="24"/>
                <w:szCs w:val="24"/>
                <w:lang w:eastAsia="zh-CN"/>
              </w:rPr>
              <w:t>多排</w:t>
            </w:r>
            <w:r>
              <w:rPr>
                <w:rFonts w:hint="eastAsia" w:ascii="宋体" w:hAnsi="宋体" w:eastAsia="宋体" w:cs="宋体"/>
                <w:sz w:val="24"/>
                <w:szCs w:val="24"/>
                <w:lang w:val="en-US" w:eastAsia="zh-CN"/>
              </w:rPr>
              <w:t>CT</w:t>
            </w:r>
          </w:p>
        </w:tc>
        <w:tc>
          <w:tcPr>
            <w:tcW w:w="1984" w:type="dxa"/>
          </w:tcPr>
          <w:p>
            <w:pPr>
              <w:spacing w:line="360" w:lineRule="auto"/>
              <w:contextualSpacing/>
              <w:rPr>
                <w:rFonts w:hint="eastAsia" w:ascii="宋体" w:hAnsi="宋体" w:eastAsia="宋体" w:cs="宋体"/>
                <w:b w:val="0"/>
                <w:color w:val="auto"/>
                <w:sz w:val="24"/>
                <w:vertAlign w:val="baseline"/>
              </w:rPr>
            </w:pPr>
            <w:r>
              <w:rPr>
                <w:rFonts w:hint="eastAsia" w:ascii="宋体" w:hAnsi="宋体" w:eastAsia="宋体" w:cs="宋体"/>
                <w:sz w:val="24"/>
                <w:szCs w:val="24"/>
                <w:lang w:val="en-US" w:eastAsia="zh-CN"/>
              </w:rPr>
              <w:t>SOMATOM go.Up</w:t>
            </w:r>
          </w:p>
        </w:tc>
        <w:tc>
          <w:tcPr>
            <w:tcW w:w="1550" w:type="dxa"/>
          </w:tcPr>
          <w:p>
            <w:pPr>
              <w:spacing w:line="360" w:lineRule="auto"/>
              <w:contextualSpacing/>
              <w:rPr>
                <w:rFonts w:hint="eastAsia" w:ascii="宋体" w:hAnsi="宋体" w:eastAsia="宋体" w:cs="宋体"/>
                <w:b w:val="0"/>
                <w:color w:val="auto"/>
                <w:sz w:val="24"/>
                <w:vertAlign w:val="baseline"/>
                <w:lang w:val="en-US" w:eastAsia="zh-CN"/>
              </w:rPr>
            </w:pPr>
            <w:r>
              <w:rPr>
                <w:rFonts w:hint="eastAsia" w:ascii="宋体" w:hAnsi="宋体" w:eastAsia="宋体" w:cs="宋体"/>
                <w:b w:val="0"/>
                <w:color w:val="auto"/>
                <w:sz w:val="24"/>
                <w:vertAlign w:val="baseline"/>
                <w:lang w:val="en-US" w:eastAsia="zh-CN"/>
              </w:rPr>
              <w:t>1</w:t>
            </w:r>
          </w:p>
        </w:tc>
        <w:tc>
          <w:tcPr>
            <w:tcW w:w="2586" w:type="dxa"/>
          </w:tcPr>
          <w:p>
            <w:pPr>
              <w:spacing w:line="360" w:lineRule="auto"/>
              <w:contextualSpacing/>
              <w:rPr>
                <w:rFonts w:hint="default" w:eastAsiaTheme="minorEastAsia"/>
                <w:b/>
                <w:color w:val="000000" w:themeColor="text1"/>
                <w:sz w:val="24"/>
                <w:vertAlign w:val="baseline"/>
                <w14:textFill>
                  <w14:solidFill>
                    <w14:schemeClr w14:val="tx1"/>
                  </w14:solidFill>
                </w14:textFill>
              </w:rPr>
            </w:pPr>
            <w:r>
              <w:rPr>
                <w:rFonts w:hint="eastAsia" w:ascii="宋体" w:hAnsi="宋体" w:eastAsia="宋体" w:cs="宋体"/>
                <w:sz w:val="24"/>
                <w:szCs w:val="24"/>
                <w:lang w:val="en-US" w:eastAsia="zh-CN"/>
              </w:rPr>
              <w:t>2020年3月</w:t>
            </w:r>
          </w:p>
        </w:tc>
      </w:tr>
    </w:tbl>
    <w:p>
      <w:pPr>
        <w:spacing w:line="360" w:lineRule="auto"/>
        <w:ind w:left="500" w:hanging="500"/>
        <w:contextualSpacing/>
        <w:rPr>
          <w:rFonts w:hint="eastAsia" w:eastAsiaTheme="minorEastAsia"/>
          <w:b/>
          <w:color w:val="000000" w:themeColor="text1"/>
          <w:sz w:val="24"/>
          <w:lang w:val="en-US" w:eastAsia="zh-CN"/>
          <w14:textFill>
            <w14:solidFill>
              <w14:schemeClr w14:val="tx1"/>
            </w14:solidFill>
          </w14:textFill>
        </w:rPr>
      </w:pPr>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lang w:val="en-US" w:eastAsia="zh-CN"/>
          <w14:textFill>
            <w14:solidFill>
              <w14:schemeClr w14:val="tx1"/>
            </w14:solidFill>
          </w14:textFill>
        </w:rPr>
        <w:t>（三）保修服务内容及要求</w:t>
      </w:r>
    </w:p>
    <w:bookmarkEnd w:id="846"/>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1.无限工时维修+免费更换任何损坏备件。主要包括：球管、探测器、高压油箱及其他所有零部件。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2.更换备件应为同一生产厂家同一设备、型号一致的原厂备件，安装完毕后达到设备运行标准。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3.同时提供与以上设备相关第三方产品的保修服务，包括且不限于：高压注射器、空调、工作站等。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4.提供服务期内设备的软件及硬件升级服务， 保证所用软件为设备在用的最新版本。</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5.每年2次定期保养，包括：设备的安全检查、影像质量检查、设备清洁保养、性能测试及校准、运行状态检查等。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6.保证开机率达到97％，按全年365天计算。如有不足时需通过延长服务期补足，每超过1天，服务期延长＞2天。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7.响应时间：服务方需为医院提供客户服务专线电话服务系统，电话全天开通。服务方接获报修电话后，能够提供突发性问题的解决措施及特殊紧急的合理化处理措施。工程师到达现场时间不得超过24小时。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8.针对本项目特点有具体的应急响应方案，包括但不限于以下几个方面：特殊情况下的应急方案，如</w:t>
      </w:r>
      <w:r>
        <w:rPr>
          <w:rFonts w:hint="eastAsia" w:ascii="宋体" w:hAnsi="宋体" w:cs="宋体"/>
          <w:color w:val="000000" w:themeColor="text1"/>
          <w:sz w:val="24"/>
          <w:highlight w:val="none"/>
          <w:lang w:val="en-US" w:eastAsia="zh-CN"/>
          <w14:textFill>
            <w14:solidFill>
              <w14:schemeClr w14:val="tx1"/>
            </w14:solidFill>
          </w14:textFill>
        </w:rPr>
        <w:t>应急医疗事件</w:t>
      </w:r>
      <w:r>
        <w:rPr>
          <w:rFonts w:hint="eastAsia"/>
          <w:spacing w:val="-4"/>
          <w:sz w:val="24"/>
          <w:lang w:val="en-US" w:eastAsia="zh-CN"/>
        </w:rPr>
        <w:t>状态下的应急方案</w:t>
      </w:r>
      <w:r>
        <w:rPr>
          <w:rFonts w:hint="eastAsia"/>
          <w:color w:val="000000" w:themeColor="text1"/>
          <w:sz w:val="24"/>
          <w14:textFill>
            <w14:solidFill>
              <w14:schemeClr w14:val="tx1"/>
            </w14:solidFill>
          </w14:textFill>
        </w:rPr>
        <w:t>；汛情等不可抗拒力情况下的应急方案；重要部件损害时的应急方案等。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9.要求有专人负责此维保项目，所派项目负责工程师须经过公司针对设备的专业培训，并取得有效的培训证书或上岗证</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需提供证书复印件</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10.提供应急备件清单。</w:t>
      </w:r>
    </w:p>
    <w:p>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四、</w:t>
      </w:r>
      <w:r>
        <w:rPr>
          <w:rFonts w:hint="eastAsia"/>
          <w:b/>
          <w:color w:val="000000" w:themeColor="text1"/>
          <w:sz w:val="24"/>
          <w:highlight w:val="none"/>
          <w14:textFill>
            <w14:solidFill>
              <w14:schemeClr w14:val="tx1"/>
            </w14:solidFill>
          </w14:textFill>
        </w:rPr>
        <w:t>验收、交付标准和方法</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 开机率考核（核心指标）</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考核标准：设备全年开机率必须达到 </w:t>
      </w:r>
      <w:r>
        <w:rPr>
          <w:rFonts w:hint="eastAsia" w:ascii="Times New Roman" w:hAnsi="Times New Roman" w:eastAsia="宋体"/>
          <w:b w:val="0"/>
          <w:bCs/>
          <w:color w:val="000000" w:themeColor="text1"/>
          <w:kern w:val="0"/>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97%（按全年365天计算）。</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计算公式：开机率 = (365天 - 故障停机天数) / 365天 × 100%。</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违约责任：若年度开机率未达到97%，每低于每一个百分点，服务合同期限将相应延长7个日历日。若无法通过延长服务期补足，采购人有权扣除相应比例的年度保修金。</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记录方式：以设备系统日志及双方签字确认的维修报告为准。</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 响应时效与到场时间考核</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电话响应：服务方需提供7×24小时专线电话。接到报修电话后，必须在即时</w:t>
      </w:r>
      <w:r>
        <w:rPr>
          <w:rFonts w:hint="eastAsia"/>
          <w:color w:val="000000" w:themeColor="text1"/>
          <w:sz w:val="24"/>
          <w:lang w:val="en-US" w:eastAsia="zh-CN"/>
          <w14:textFill>
            <w14:solidFill>
              <w14:schemeClr w14:val="tx1"/>
            </w14:solidFill>
          </w14:textFill>
        </w:rPr>
        <w:t>或</w:t>
      </w:r>
      <w:r>
        <w:rPr>
          <w:rFonts w:hint="eastAsia"/>
          <w:color w:val="000000" w:themeColor="text1"/>
          <w:sz w:val="24"/>
          <w14:textFill>
            <w14:solidFill>
              <w14:schemeClr w14:val="tx1"/>
            </w14:solidFill>
          </w14:textFill>
        </w:rPr>
        <w:t>短时间内提供电话技术支持及应急处理措施。</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现场到达：若电话指导无法解决问题，工程师到达现场的时间不得超过24小时。</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考核方式：每次报修均需填写《维修服务单》，详细记录报修时间、电话响应时间、工程师到达时间及修复时间，由院方使用科室签字确认。</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3.备件更换与质量验收</w:t>
      </w:r>
    </w:p>
    <w:p>
      <w:pPr>
        <w:spacing w:line="360" w:lineRule="auto"/>
        <w:ind w:firstLine="480" w:firstLineChars="200"/>
        <w:contextualSpacing/>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14:textFill>
            <w14:solidFill>
              <w14:schemeClr w14:val="tx1"/>
            </w14:solidFill>
          </w14:textFill>
        </w:rPr>
        <w:t>原厂保证：所有更换的备件（含球管、探测器</w:t>
      </w:r>
      <w:r>
        <w:rPr>
          <w:rFonts w:hint="eastAsia"/>
          <w:color w:val="000000" w:themeColor="text1"/>
          <w:sz w:val="24"/>
          <w:highlight w:val="none"/>
          <w14:textFill>
            <w14:solidFill>
              <w14:schemeClr w14:val="tx1"/>
            </w14:solidFill>
          </w14:textFill>
        </w:rPr>
        <w:t>、高压油箱等）必须为同一生产厂家、同一设备型号的原厂备件。严禁使用拆机件、翻新件或非原厂件。</w:t>
      </w:r>
      <w:r>
        <w:rPr>
          <w:rFonts w:hint="eastAsia"/>
          <w:color w:val="000000" w:themeColor="text1"/>
          <w:sz w:val="24"/>
          <w:highlight w:val="none"/>
          <w:lang w:val="en-US" w:eastAsia="zh-CN"/>
          <w14:textFill>
            <w14:solidFill>
              <w14:schemeClr w14:val="tx1"/>
            </w14:solidFill>
          </w14:textFill>
        </w:rPr>
        <w:t>须承诺维修更换</w:t>
      </w:r>
      <w:r>
        <w:rPr>
          <w:rFonts w:hint="eastAsia"/>
          <w:color w:val="000000" w:themeColor="text1"/>
          <w:sz w:val="24"/>
          <w:highlight w:val="none"/>
          <w14:textFill>
            <w14:solidFill>
              <w14:schemeClr w14:val="tx1"/>
            </w14:solidFill>
          </w14:textFill>
        </w:rPr>
        <w:t>球管</w:t>
      </w:r>
      <w:r>
        <w:rPr>
          <w:rFonts w:hint="eastAsia"/>
          <w:color w:val="000000" w:themeColor="text1"/>
          <w:sz w:val="24"/>
          <w:highlight w:val="none"/>
          <w:lang w:val="en-US" w:eastAsia="zh-CN"/>
          <w14:textFill>
            <w14:solidFill>
              <w14:schemeClr w14:val="tx1"/>
            </w14:solidFill>
          </w14:textFill>
        </w:rPr>
        <w:t>时提供该原厂球管</w:t>
      </w:r>
      <w:r>
        <w:rPr>
          <w:rFonts w:hint="eastAsia"/>
          <w:color w:val="000000" w:themeColor="text1"/>
          <w:sz w:val="24"/>
          <w:highlight w:val="none"/>
          <w14:textFill>
            <w14:solidFill>
              <w14:schemeClr w14:val="tx1"/>
            </w14:solidFill>
          </w14:textFill>
        </w:rPr>
        <w:t>进口报关证明</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提供承诺函</w:t>
      </w:r>
      <w:r>
        <w:rPr>
          <w:rFonts w:hint="eastAsia"/>
          <w:b/>
          <w:bCs/>
          <w:color w:val="000000" w:themeColor="text1"/>
          <w:sz w:val="24"/>
          <w:highlight w:val="none"/>
          <w:lang w:eastAsia="zh-CN"/>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安装标准：备件安装完毕后，必须达到设备出厂运行标准或行业通用标准。</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验收凭证：</w:t>
      </w:r>
      <w:r>
        <w:rPr>
          <w:rFonts w:hint="eastAsia" w:ascii="宋体" w:hAnsi="宋体" w:eastAsia="宋体" w:cs="宋体"/>
          <w:b w:val="0"/>
          <w:bCs w:val="0"/>
          <w:color w:val="000000"/>
          <w:sz w:val="24"/>
          <w:szCs w:val="24"/>
          <w:highlight w:val="none"/>
        </w:rPr>
        <w:t>投标人应具有经校正的维修、保养设备的专业维修工具、仪器，并提供序列号和需校正的工具仪器的校正记录文件</w:t>
      </w:r>
      <w:r>
        <w:rPr>
          <w:rFonts w:hint="eastAsia"/>
          <w:color w:val="000000" w:themeColor="text1"/>
          <w:sz w:val="24"/>
          <w:highlight w:val="none"/>
          <w14:textFill>
            <w14:solidFill>
              <w14:schemeClr w14:val="tx1"/>
            </w14:solidFill>
          </w14:textFill>
        </w:rPr>
        <w:t>。</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 预防性保养（PM）执行情况</w:t>
      </w:r>
    </w:p>
    <w:p>
      <w:pPr>
        <w:spacing w:line="360" w:lineRule="auto"/>
        <w:ind w:firstLine="480" w:firstLineChars="200"/>
        <w:contextualSpacing/>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频次要求：每年至少进行 </w:t>
      </w:r>
      <w:r>
        <w:rPr>
          <w:rFonts w:hint="eastAsia"/>
          <w:color w:val="000000" w:themeColor="text1"/>
          <w:sz w:val="24"/>
          <w:highlight w:val="none"/>
          <w:lang w:val="en-US" w:eastAsia="zh-CN"/>
          <w14:textFill>
            <w14:solidFill>
              <w14:schemeClr w14:val="tx1"/>
            </w14:solidFill>
          </w14:textFill>
        </w:rPr>
        <w:t>4</w:t>
      </w:r>
      <w:r>
        <w:rPr>
          <w:rFonts w:hint="eastAsia"/>
          <w:color w:val="000000" w:themeColor="text1"/>
          <w:sz w:val="24"/>
          <w:highlight w:val="none"/>
          <w14:textFill>
            <w14:solidFill>
              <w14:schemeClr w14:val="tx1"/>
            </w14:solidFill>
          </w14:textFill>
        </w:rPr>
        <w:t>次全面定期保养。</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保养内容：必须包含安全检查、影像质量检查、设备清洁保养、性能测试及校准</w:t>
      </w:r>
      <w:r>
        <w:rPr>
          <w:rFonts w:hint="eastAsia"/>
          <w:color w:val="000000" w:themeColor="text1"/>
          <w:sz w:val="24"/>
          <w14:textFill>
            <w14:solidFill>
              <w14:schemeClr w14:val="tx1"/>
            </w14:solidFill>
          </w14:textFill>
        </w:rPr>
        <w:t>、运行状态检查等。</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交付物：每次保养结束后，须向院方提交书面《维护保养报告》，报告中需包含保养前后的数据对比及影像测试图片。未提交报告视为当次保养未完成。</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 第三方设备维保考核</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覆盖范围：必须包含高压注射器、机房空调、工作站等配套设备的维护。</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考核标准：第三方设备出现故障时，服务方需负责协调原厂或专业机构进行维修，不得推诿。若因第三方设备故障导致CT主设备无法正常运行，计入CT主设备的停机时间考核。</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 软件升级与安全</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版本要求：保证服务期内，设备所用软件为在用的最新版本。</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功能完善：针对厂家发布的已知Bug修复或功能优化补丁，服务方应及时免费升级，确保系统安全稳定。</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 人员资质核查</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专人专责：项目须有专人负责。</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资质查验：派驻的项目负责工程师必须经过公司针对该设备的专业培训，并持有有效的培训证书或上岗证。院方有权随时抽查核实，人证不符视为违约。</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 年度综合验收</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验收节点：每个合同年度的第12个月末进行年度验收。</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验收条件：</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 xml:space="preserve"> 开机率达到约定标准（或已执行延期补偿）；</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 xml:space="preserve"> 所有维修保养报告齐全；</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 xml:space="preserve"> 无重大医疗安全事故因设备原因引起；</w:t>
      </w:r>
    </w:p>
    <w:p>
      <w:pPr>
        <w:spacing w:line="360" w:lineRule="auto"/>
        <w:ind w:firstLine="480" w:firstLineChars="200"/>
        <w:contextualSpacing/>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 xml:space="preserve"> 第三方设备运行正常。</w:t>
      </w:r>
    </w:p>
    <w:p>
      <w:pPr>
        <w:spacing w:line="360" w:lineRule="auto"/>
        <w:ind w:firstLine="480" w:firstLineChars="200"/>
        <w:contextualSpacing/>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结果应用：验收合格后，采购人方可支付该年度剩余的50%保修金额。</w:t>
      </w:r>
    </w:p>
    <w:p>
      <w:pPr>
        <w:rPr>
          <w:color w:val="000000" w:themeColor="text1"/>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47" w:name="_Toc229670246"/>
      <w:r>
        <w:rPr>
          <w:b/>
          <w:color w:val="000000" w:themeColor="text1"/>
          <w:sz w:val="36"/>
          <w:szCs w:val="36"/>
          <w14:textFill>
            <w14:solidFill>
              <w14:schemeClr w14:val="tx1"/>
            </w14:solidFill>
          </w14:textFill>
        </w:rPr>
        <w:t>第六章   拟签订的合同文本</w:t>
      </w:r>
      <w:bookmarkEnd w:id="847"/>
    </w:p>
    <w:p>
      <w:pPr>
        <w:tabs>
          <w:tab w:val="left" w:pos="900"/>
          <w:tab w:val="left" w:pos="1080"/>
        </w:tabs>
        <w:snapToGrid w:val="0"/>
        <w:spacing w:line="360" w:lineRule="auto"/>
        <w:rPr>
          <w:color w:val="000000" w:themeColor="text1"/>
          <w:kern w:val="0"/>
          <w:sz w:val="18"/>
          <w:szCs w:val="18"/>
          <w14:textFill>
            <w14:solidFill>
              <w14:schemeClr w14:val="tx1"/>
            </w14:solidFill>
          </w14:textFill>
        </w:rPr>
      </w:pPr>
    </w:p>
    <w:p>
      <w:pPr>
        <w:tabs>
          <w:tab w:val="left" w:pos="900"/>
          <w:tab w:val="left" w:pos="1080"/>
        </w:tabs>
        <w:snapToGrid w:val="0"/>
        <w:spacing w:line="360" w:lineRule="auto"/>
        <w:jc w:val="center"/>
        <w:rPr>
          <w:rFonts w:hint="eastAsia" w:hAnsi="宋体"/>
          <w:color w:val="000000" w:themeColor="text1"/>
          <w:sz w:val="24"/>
          <w14:textFill>
            <w14:solidFill>
              <w14:schemeClr w14:val="tx1"/>
            </w14:solidFill>
          </w14:textFill>
        </w:rPr>
      </w:pPr>
      <w:bookmarkStart w:id="848" w:name="_Hlk167285151"/>
      <w:r>
        <w:rPr>
          <w:rFonts w:hint="eastAsia" w:hAnsi="宋体"/>
          <w:color w:val="000000" w:themeColor="text1"/>
          <w:sz w:val="24"/>
          <w14:textFill>
            <w14:solidFill>
              <w14:schemeClr w14:val="tx1"/>
            </w14:solidFill>
          </w14:textFill>
        </w:rPr>
        <w:t>（本合同格式可供参考，具体内容以甲乙双方签订合同为准）</w:t>
      </w:r>
    </w:p>
    <w:p>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设备维修及保养服务合同</w:t>
      </w:r>
    </w:p>
    <w:p>
      <w:pPr>
        <w:spacing w:line="360" w:lineRule="auto"/>
        <w:jc w:val="center"/>
        <w:rPr>
          <w:rFonts w:hint="eastAsia" w:ascii="仿宋" w:hAnsi="仿宋" w:eastAsia="仿宋" w:cs="仿宋"/>
          <w:color w:val="auto"/>
          <w:szCs w:val="21"/>
          <w:highlight w:val="none"/>
        </w:rPr>
      </w:pPr>
    </w:p>
    <w:p>
      <w:pPr>
        <w:spacing w:line="360" w:lineRule="auto"/>
        <w:rPr>
          <w:rFonts w:hint="eastAsia" w:ascii="仿宋" w:hAnsi="仿宋" w:eastAsia="仿宋" w:cs="仿宋"/>
          <w:color w:val="auto"/>
          <w:sz w:val="22"/>
          <w:szCs w:val="21"/>
          <w:highlight w:val="none"/>
        </w:rPr>
      </w:pPr>
      <w:r>
        <w:rPr>
          <w:rFonts w:hint="eastAsia" w:ascii="仿宋" w:hAnsi="仿宋" w:eastAsia="仿宋" w:cs="仿宋"/>
          <w:b/>
          <w:color w:val="auto"/>
          <w:sz w:val="22"/>
          <w:szCs w:val="21"/>
          <w:highlight w:val="none"/>
        </w:rPr>
        <w:t>甲方：</w:t>
      </w:r>
      <w:r>
        <w:rPr>
          <w:rFonts w:hint="eastAsia" w:ascii="仿宋" w:hAnsi="仿宋" w:eastAsia="仿宋" w:cs="仿宋"/>
          <w:color w:val="auto"/>
          <w:sz w:val="22"/>
          <w:szCs w:val="21"/>
          <w:highlight w:val="none"/>
        </w:rPr>
        <w:t>北京市顺义区医院</w:t>
      </w:r>
    </w:p>
    <w:p>
      <w:pPr>
        <w:spacing w:line="360" w:lineRule="auto"/>
        <w:rPr>
          <w:rFonts w:hint="eastAsia" w:ascii="仿宋" w:hAnsi="仿宋" w:eastAsia="仿宋" w:cs="仿宋"/>
          <w:color w:val="auto"/>
          <w:sz w:val="22"/>
          <w:szCs w:val="21"/>
          <w:highlight w:val="none"/>
        </w:rPr>
      </w:pPr>
      <w:r>
        <w:rPr>
          <w:rFonts w:hint="eastAsia" w:ascii="仿宋" w:hAnsi="仿宋" w:eastAsia="仿宋" w:cs="仿宋"/>
          <w:b/>
          <w:color w:val="auto"/>
          <w:sz w:val="22"/>
          <w:szCs w:val="21"/>
          <w:highlight w:val="none"/>
        </w:rPr>
        <w:t>地址：</w:t>
      </w:r>
      <w:r>
        <w:rPr>
          <w:rFonts w:hint="eastAsia" w:ascii="仿宋" w:hAnsi="仿宋" w:eastAsia="仿宋" w:cs="仿宋"/>
          <w:bCs/>
          <w:color w:val="auto"/>
          <w:sz w:val="22"/>
          <w:szCs w:val="21"/>
          <w:highlight w:val="none"/>
        </w:rPr>
        <w:t>北京市顺义区光明南街3号</w:t>
      </w:r>
    </w:p>
    <w:p>
      <w:pPr>
        <w:spacing w:line="360" w:lineRule="auto"/>
        <w:rPr>
          <w:rFonts w:hint="eastAsia" w:ascii="仿宋" w:hAnsi="仿宋" w:eastAsia="仿宋" w:cs="仿宋"/>
          <w:b/>
          <w:bCs/>
          <w:color w:val="auto"/>
          <w:sz w:val="22"/>
          <w:szCs w:val="21"/>
          <w:highlight w:val="none"/>
          <w:lang w:val="en-US" w:eastAsia="zh-CN"/>
        </w:rPr>
      </w:pPr>
      <w:r>
        <w:rPr>
          <w:rFonts w:hint="eastAsia" w:ascii="仿宋" w:hAnsi="仿宋" w:eastAsia="仿宋" w:cs="仿宋"/>
          <w:b/>
          <w:bCs/>
          <w:color w:val="auto"/>
          <w:sz w:val="22"/>
          <w:szCs w:val="21"/>
          <w:highlight w:val="none"/>
        </w:rPr>
        <w:t>联系人：</w:t>
      </w:r>
    </w:p>
    <w:p>
      <w:pPr>
        <w:spacing w:line="360" w:lineRule="auto"/>
        <w:rPr>
          <w:rFonts w:hint="eastAsia" w:ascii="仿宋" w:hAnsi="仿宋" w:eastAsia="仿宋" w:cs="仿宋"/>
          <w:b/>
          <w:bCs/>
          <w:color w:val="auto"/>
          <w:sz w:val="22"/>
          <w:szCs w:val="21"/>
          <w:highlight w:val="none"/>
        </w:rPr>
      </w:pP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乙方：</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地址：</w:t>
      </w:r>
    </w:p>
    <w:p>
      <w:pPr>
        <w:spacing w:line="360" w:lineRule="auto"/>
        <w:rPr>
          <w:rFonts w:hint="eastAsia" w:ascii="仿宋" w:hAnsi="仿宋" w:eastAsia="仿宋" w:cs="仿宋"/>
          <w:b/>
          <w:bCs/>
          <w:color w:val="auto"/>
          <w:sz w:val="22"/>
          <w:szCs w:val="21"/>
          <w:highlight w:val="none"/>
        </w:rPr>
      </w:pPr>
      <w:r>
        <w:rPr>
          <w:rFonts w:hint="eastAsia" w:ascii="仿宋" w:hAnsi="仿宋" w:eastAsia="仿宋" w:cs="仿宋"/>
          <w:b/>
          <w:bCs/>
          <w:color w:val="auto"/>
          <w:sz w:val="22"/>
          <w:szCs w:val="21"/>
          <w:highlight w:val="none"/>
        </w:rPr>
        <w:t>联系人：</w:t>
      </w:r>
    </w:p>
    <w:p>
      <w:pPr>
        <w:spacing w:line="360" w:lineRule="auto"/>
        <w:rPr>
          <w:rFonts w:hint="default" w:ascii="仿宋" w:hAnsi="仿宋" w:eastAsia="仿宋" w:cs="仿宋"/>
          <w:b/>
          <w:bCs/>
          <w:color w:val="auto"/>
          <w:sz w:val="22"/>
          <w:szCs w:val="21"/>
          <w:highlight w:val="none"/>
          <w:lang w:val="en-US" w:eastAsia="zh-CN"/>
        </w:rPr>
      </w:pPr>
      <w:r>
        <w:rPr>
          <w:rFonts w:hint="eastAsia" w:ascii="仿宋" w:hAnsi="仿宋" w:eastAsia="仿宋" w:cs="仿宋"/>
          <w:b/>
          <w:bCs/>
          <w:color w:val="auto"/>
          <w:sz w:val="22"/>
          <w:szCs w:val="21"/>
          <w:highlight w:val="none"/>
          <w:lang w:val="en-US" w:eastAsia="zh-CN"/>
        </w:rPr>
        <w:t>联系电话：</w:t>
      </w:r>
    </w:p>
    <w:p>
      <w:pPr>
        <w:spacing w:line="360" w:lineRule="auto"/>
        <w:ind w:firstLine="440" w:firstLineChars="200"/>
        <w:rPr>
          <w:rFonts w:hint="eastAsia" w:ascii="仿宋" w:hAnsi="仿宋" w:eastAsia="仿宋" w:cs="仿宋"/>
          <w:b/>
          <w:color w:val="auto"/>
          <w:sz w:val="22"/>
          <w:szCs w:val="21"/>
          <w:highlight w:val="none"/>
        </w:rPr>
      </w:pPr>
      <w:r>
        <w:rPr>
          <w:rFonts w:hint="eastAsia" w:ascii="仿宋" w:hAnsi="仿宋" w:eastAsia="仿宋" w:cs="仿宋"/>
          <w:color w:val="auto"/>
          <w:sz w:val="22"/>
          <w:szCs w:val="21"/>
          <w:highlight w:val="none"/>
        </w:rPr>
        <w:t>为保证甲方医院的医疗设备的正常使用，乙方接受甲方委托，对甲方指定设备进行维修保养服务。为保护甲乙双方的合法权益，现根据中华人民共和国相关法律法规，签订本合同。</w:t>
      </w:r>
    </w:p>
    <w:p>
      <w:pPr>
        <w:pStyle w:val="35"/>
        <w:spacing w:line="360" w:lineRule="auto"/>
        <w:ind w:firstLine="0" w:firstLineChars="0"/>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一、设备明细及合同期内的维修服务费用</w:t>
      </w:r>
    </w:p>
    <w:tbl>
      <w:tblPr>
        <w:tblStyle w:val="18"/>
        <w:tblW w:w="9535" w:type="dxa"/>
        <w:jc w:val="center"/>
        <w:tblLayout w:type="fixed"/>
        <w:tblCellMar>
          <w:top w:w="0" w:type="dxa"/>
          <w:left w:w="108" w:type="dxa"/>
          <w:bottom w:w="0" w:type="dxa"/>
          <w:right w:w="108" w:type="dxa"/>
        </w:tblCellMar>
      </w:tblPr>
      <w:tblGrid>
        <w:gridCol w:w="2335"/>
        <w:gridCol w:w="900"/>
        <w:gridCol w:w="900"/>
        <w:gridCol w:w="1260"/>
        <w:gridCol w:w="1216"/>
        <w:gridCol w:w="854"/>
        <w:gridCol w:w="1646"/>
        <w:gridCol w:w="424"/>
      </w:tblGrid>
      <w:tr>
        <w:tblPrEx>
          <w:tblCellMar>
            <w:top w:w="0" w:type="dxa"/>
            <w:left w:w="108" w:type="dxa"/>
            <w:bottom w:w="0" w:type="dxa"/>
            <w:right w:w="108" w:type="dxa"/>
          </w:tblCellMar>
        </w:tblPrEx>
        <w:trPr>
          <w:trHeight w:val="330" w:hRule="atLeast"/>
          <w:jc w:val="center"/>
        </w:trPr>
        <w:tc>
          <w:tcPr>
            <w:tcW w:w="233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设备名称</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品牌</w:t>
            </w:r>
          </w:p>
        </w:tc>
        <w:tc>
          <w:tcPr>
            <w:tcW w:w="90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序列号</w:t>
            </w:r>
          </w:p>
        </w:tc>
        <w:tc>
          <w:tcPr>
            <w:tcW w:w="126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购置时间</w:t>
            </w:r>
          </w:p>
        </w:tc>
        <w:tc>
          <w:tcPr>
            <w:tcW w:w="12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购买金额</w:t>
            </w:r>
          </w:p>
        </w:tc>
        <w:tc>
          <w:tcPr>
            <w:tcW w:w="85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数量</w:t>
            </w:r>
          </w:p>
        </w:tc>
        <w:tc>
          <w:tcPr>
            <w:tcW w:w="2070"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所在位置</w:t>
            </w:r>
          </w:p>
        </w:tc>
      </w:tr>
      <w:tr>
        <w:tblPrEx>
          <w:tblCellMar>
            <w:top w:w="0" w:type="dxa"/>
            <w:left w:w="108" w:type="dxa"/>
            <w:bottom w:w="0" w:type="dxa"/>
            <w:right w:w="108" w:type="dxa"/>
          </w:tblCellMar>
        </w:tblPrEx>
        <w:trPr>
          <w:trHeight w:val="330" w:hRule="atLeast"/>
          <w:jc w:val="center"/>
        </w:trPr>
        <w:tc>
          <w:tcPr>
            <w:tcW w:w="2335"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90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90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6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16"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854"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207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r>
      <w:tr>
        <w:tblPrEx>
          <w:tblCellMar>
            <w:top w:w="0" w:type="dxa"/>
            <w:left w:w="108" w:type="dxa"/>
            <w:bottom w:w="0" w:type="dxa"/>
            <w:right w:w="108" w:type="dxa"/>
          </w:tblCellMar>
        </w:tblPrEx>
        <w:trPr>
          <w:trHeight w:val="330" w:hRule="atLeast"/>
          <w:jc w:val="center"/>
        </w:trPr>
        <w:tc>
          <w:tcPr>
            <w:tcW w:w="2335"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90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90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6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16"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854"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2070" w:type="dxa"/>
            <w:gridSpan w:val="2"/>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r>
      <w:tr>
        <w:tblPrEx>
          <w:tblCellMar>
            <w:top w:w="0" w:type="dxa"/>
            <w:left w:w="108" w:type="dxa"/>
            <w:bottom w:w="0" w:type="dxa"/>
            <w:right w:w="108" w:type="dxa"/>
          </w:tblCellMar>
        </w:tblPrEx>
        <w:trPr>
          <w:trHeight w:val="330" w:hRule="atLeast"/>
          <w:jc w:val="center"/>
        </w:trPr>
        <w:tc>
          <w:tcPr>
            <w:tcW w:w="233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90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6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0"/>
                <w:szCs w:val="18"/>
                <w:highlight w:val="none"/>
              </w:rPr>
            </w:pPr>
          </w:p>
        </w:tc>
        <w:tc>
          <w:tcPr>
            <w:tcW w:w="121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85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c>
          <w:tcPr>
            <w:tcW w:w="2070"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r>
      <w:tr>
        <w:tblPrEx>
          <w:tblCellMar>
            <w:top w:w="0" w:type="dxa"/>
            <w:left w:w="108" w:type="dxa"/>
            <w:bottom w:w="0" w:type="dxa"/>
            <w:right w:w="108" w:type="dxa"/>
          </w:tblCellMar>
        </w:tblPrEx>
        <w:trPr>
          <w:trHeight w:val="622" w:hRule="atLeast"/>
          <w:jc w:val="center"/>
        </w:trPr>
        <w:tc>
          <w:tcPr>
            <w:tcW w:w="2335"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总计</w:t>
            </w:r>
          </w:p>
        </w:tc>
        <w:tc>
          <w:tcPr>
            <w:tcW w:w="6776" w:type="dxa"/>
            <w:gridSpan w:val="6"/>
            <w:tcBorders>
              <w:top w:val="single" w:color="auto" w:sz="4" w:space="0"/>
              <w:left w:val="single" w:color="auto" w:sz="4" w:space="0"/>
              <w:bottom w:val="single" w:color="auto" w:sz="4" w:space="0"/>
            </w:tcBorders>
            <w:shd w:val="clear" w:color="auto" w:fill="auto"/>
            <w:noWrap/>
            <w:vAlign w:val="center"/>
          </w:tcPr>
          <w:p>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    元，大写：  ；税前：  元，税金：  元</w:t>
            </w:r>
          </w:p>
        </w:tc>
        <w:tc>
          <w:tcPr>
            <w:tcW w:w="424" w:type="dxa"/>
            <w:tcBorders>
              <w:top w:val="single" w:color="auto" w:sz="4" w:space="0"/>
              <w:bottom w:val="single" w:color="auto" w:sz="4" w:space="0"/>
              <w:right w:val="single" w:color="auto" w:sz="4" w:space="0"/>
            </w:tcBorders>
            <w:shd w:val="clear" w:color="auto" w:fill="auto"/>
            <w:noWrap/>
            <w:vAlign w:val="center"/>
          </w:tcPr>
          <w:p>
            <w:pPr>
              <w:widowControl/>
              <w:spacing w:line="360" w:lineRule="auto"/>
              <w:jc w:val="center"/>
              <w:rPr>
                <w:rFonts w:hint="eastAsia" w:ascii="仿宋" w:hAnsi="仿宋" w:eastAsia="仿宋" w:cs="仿宋"/>
                <w:color w:val="auto"/>
                <w:kern w:val="0"/>
                <w:sz w:val="24"/>
                <w:highlight w:val="none"/>
              </w:rPr>
            </w:pPr>
          </w:p>
        </w:tc>
      </w:tr>
    </w:tbl>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二、合同有效期</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本合同有效期为</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u w:val="single"/>
          <w:lang w:val="en-US" w:eastAsia="zh-CN"/>
        </w:rPr>
        <w:t xml:space="preserve"> </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年，自</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年</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月</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日至</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年</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月</w:t>
      </w:r>
      <w:r>
        <w:rPr>
          <w:rFonts w:hint="eastAsia" w:ascii="仿宋" w:hAnsi="仿宋" w:eastAsia="仿宋" w:cs="仿宋"/>
          <w:color w:val="auto"/>
          <w:sz w:val="22"/>
          <w:szCs w:val="21"/>
          <w:highlight w:val="none"/>
          <w:u w:val="single"/>
        </w:rPr>
        <w:t xml:space="preserve">  </w:t>
      </w:r>
      <w:r>
        <w:rPr>
          <w:rFonts w:hint="eastAsia" w:ascii="仿宋" w:hAnsi="仿宋" w:eastAsia="仿宋" w:cs="仿宋"/>
          <w:color w:val="auto"/>
          <w:sz w:val="22"/>
          <w:szCs w:val="21"/>
          <w:highlight w:val="none"/>
        </w:rPr>
        <w:t>日。</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三、付款方式</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xml:space="preserve">1、付款方式 1 修改为：合同生效后  日内，乙方以电汇 /支票/现金形式向甲方提交合同总金额的 5%作为履约保证金。服务期 满后，甲方扣除相应费用后（如有）无息退还乙方合同总价 5%的履 约保证金。 </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在合同生效后，甲方按照年度保修金额计算，每个合同年度第 6个月内支付乙方年度保修金额的 50%，即合同款     元；每个合 同年度第 12 个月内支付乙方年度保修金额的 50%，即合同款      元。 甲方每次付款前，乙方应首先提供等额增值税发票，否则甲方有权延期付款。 合同款项的具体支付时间由双方另行商定，每次实际付款前，乙 方还需满足以下条件，否则甲方有权不予付款，且不承担任何责任:(1) 乙方向甲方提供工作量确认单，甲方对乙方的工作量进行审核，双方共同签字确认交付日期;(2)如需财政资金拨付的，待财政资金到位且 甲方履行完毕资金拨付审批程序后，乙方方可向甲方开具发票，由甲方向乙方拨付资金。(3)相关法律法规另有规定的，从其规定服务期满后，甲方无息退还乙方合同总价 5%的履约保证金。</w:t>
      </w:r>
    </w:p>
    <w:p>
      <w:pPr>
        <w:spacing w:line="360" w:lineRule="auto"/>
        <w:ind w:firstLine="440" w:firstLineChars="200"/>
        <w:rPr>
          <w:rFonts w:hint="eastAsia" w:ascii="仿宋" w:hAnsi="仿宋" w:eastAsia="仿宋" w:cs="仿宋"/>
          <w:color w:val="auto"/>
          <w:sz w:val="22"/>
          <w:szCs w:val="21"/>
          <w:highlight w:val="none"/>
        </w:rPr>
      </w:pPr>
    </w:p>
    <w:p>
      <w:pPr>
        <w:numPr>
          <w:ilvl w:val="0"/>
          <w:numId w:val="1"/>
        </w:numPr>
        <w:spacing w:line="360" w:lineRule="auto"/>
        <w:ind w:firstLine="54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甲方银行账户信息：</w:t>
      </w:r>
    </w:p>
    <w:p>
      <w:pPr>
        <w:numPr>
          <w:ilvl w:val="0"/>
          <w:numId w:val="0"/>
        </w:numPr>
        <w:spacing w:line="360" w:lineRule="auto"/>
        <w:ind w:firstLine="480" w:firstLineChars="200"/>
        <w:rPr>
          <w:rFonts w:hint="eastAsia" w:ascii="仿宋" w:hAnsi="仿宋" w:eastAsia="仿宋"/>
          <w:sz w:val="24"/>
        </w:rPr>
      </w:pPr>
      <w:r>
        <w:rPr>
          <w:rFonts w:hint="eastAsia" w:ascii="仿宋" w:hAnsi="仿宋" w:eastAsia="仿宋"/>
          <w:sz w:val="24"/>
        </w:rPr>
        <w:t>单位名称:北京市顺义区医院</w:t>
      </w:r>
    </w:p>
    <w:p>
      <w:pPr>
        <w:numPr>
          <w:ilvl w:val="0"/>
          <w:numId w:val="0"/>
        </w:numPr>
        <w:spacing w:line="360" w:lineRule="auto"/>
        <w:ind w:firstLine="480" w:firstLineChars="200"/>
        <w:rPr>
          <w:rFonts w:hint="eastAsia" w:ascii="仿宋" w:hAnsi="仿宋" w:eastAsia="仿宋"/>
          <w:sz w:val="24"/>
        </w:rPr>
      </w:pPr>
      <w:r>
        <w:rPr>
          <w:rFonts w:hint="eastAsia" w:ascii="仿宋" w:hAnsi="仿宋" w:eastAsia="仿宋"/>
          <w:sz w:val="24"/>
        </w:rPr>
        <w:t>统一社会信用代码:12110110400944158C</w:t>
      </w:r>
    </w:p>
    <w:p>
      <w:pPr>
        <w:numPr>
          <w:ilvl w:val="0"/>
          <w:numId w:val="0"/>
        </w:numPr>
        <w:spacing w:line="360" w:lineRule="auto"/>
        <w:ind w:firstLine="480" w:firstLineChars="200"/>
        <w:rPr>
          <w:rFonts w:hint="eastAsia" w:ascii="仿宋" w:hAnsi="仿宋" w:eastAsia="仿宋"/>
          <w:sz w:val="24"/>
        </w:rPr>
      </w:pPr>
      <w:r>
        <w:rPr>
          <w:rFonts w:hint="eastAsia" w:ascii="仿宋" w:hAnsi="仿宋" w:eastAsia="仿宋"/>
          <w:sz w:val="24"/>
        </w:rPr>
        <w:t xml:space="preserve">开户银行：农行北京顺义支行营业部 </w:t>
      </w:r>
      <w:r>
        <w:rPr>
          <w:rFonts w:hint="eastAsia" w:ascii="仿宋" w:hAnsi="仿宋" w:eastAsia="仿宋"/>
          <w:sz w:val="24"/>
        </w:rPr>
        <w:tab/>
      </w:r>
      <w:r>
        <w:rPr>
          <w:rFonts w:hint="eastAsia" w:ascii="仿宋" w:hAnsi="仿宋" w:eastAsia="仿宋"/>
          <w:sz w:val="24"/>
        </w:rPr>
        <w:tab/>
      </w:r>
      <w:r>
        <w:rPr>
          <w:rFonts w:hint="eastAsia" w:ascii="仿宋" w:hAnsi="仿宋" w:eastAsia="仿宋"/>
          <w:sz w:val="24"/>
        </w:rPr>
        <w:t xml:space="preserve">                   </w:t>
      </w:r>
    </w:p>
    <w:p>
      <w:pPr>
        <w:spacing w:line="360" w:lineRule="auto"/>
        <w:ind w:firstLine="480" w:firstLineChars="200"/>
        <w:rPr>
          <w:rFonts w:hint="default" w:ascii="仿宋" w:hAnsi="仿宋" w:eastAsia="仿宋" w:cs="仿宋"/>
          <w:color w:val="auto"/>
          <w:sz w:val="22"/>
          <w:szCs w:val="21"/>
          <w:highlight w:val="none"/>
          <w:lang w:val="en-US" w:eastAsia="zh-CN"/>
        </w:rPr>
      </w:pPr>
      <w:r>
        <w:rPr>
          <w:rFonts w:hint="eastAsia" w:ascii="仿宋" w:hAnsi="仿宋" w:eastAsia="仿宋"/>
          <w:sz w:val="24"/>
        </w:rPr>
        <w:t>账　　号：11120101040072408</w:t>
      </w:r>
      <w:r>
        <w:rPr>
          <w:rFonts w:hint="eastAsia" w:ascii="仿宋" w:hAnsi="仿宋" w:eastAsia="仿宋"/>
          <w:sz w:val="24"/>
        </w:rPr>
        <w:tab/>
      </w:r>
    </w:p>
    <w:p>
      <w:pPr>
        <w:spacing w:line="360" w:lineRule="auto"/>
        <w:ind w:firstLine="660" w:firstLineChars="3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乙方银行账户信息：</w:t>
      </w:r>
    </w:p>
    <w:p>
      <w:pPr>
        <w:spacing w:line="360" w:lineRule="auto"/>
        <w:ind w:firstLine="770" w:firstLineChars="35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xml:space="preserve">户  名： </w:t>
      </w:r>
    </w:p>
    <w:p>
      <w:pPr>
        <w:spacing w:line="360" w:lineRule="auto"/>
        <w:ind w:firstLine="770" w:firstLineChars="35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开户行：</w:t>
      </w:r>
    </w:p>
    <w:p>
      <w:pPr>
        <w:spacing w:line="360" w:lineRule="auto"/>
        <w:ind w:firstLine="770" w:firstLineChars="35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xml:space="preserve">账  号： </w:t>
      </w:r>
    </w:p>
    <w:p>
      <w:pPr>
        <w:spacing w:line="360" w:lineRule="auto"/>
        <w:ind w:firstLine="770" w:firstLineChars="350"/>
        <w:rPr>
          <w:rFonts w:hint="eastAsia" w:ascii="仿宋" w:hAnsi="仿宋" w:eastAsia="仿宋" w:cs="仿宋"/>
          <w:color w:val="auto"/>
          <w:sz w:val="22"/>
          <w:szCs w:val="21"/>
          <w:highlight w:val="none"/>
        </w:rPr>
      </w:pPr>
      <w:r>
        <w:rPr>
          <w:rFonts w:hint="eastAsia" w:ascii="仿宋" w:hAnsi="仿宋" w:eastAsia="仿宋" w:cs="仿宋"/>
          <w:color w:val="auto"/>
          <w:sz w:val="22"/>
          <w:highlight w:val="none"/>
        </w:rPr>
        <w:t xml:space="preserve">纳税人识别号： </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四、维保服务内容</w:t>
      </w:r>
    </w:p>
    <w:p>
      <w:pPr>
        <w:spacing w:line="360" w:lineRule="auto"/>
        <w:rPr>
          <w:rFonts w:hint="eastAsia" w:ascii="仿宋" w:hAnsi="仿宋" w:eastAsia="仿宋" w:cs="仿宋"/>
          <w:b/>
          <w:color w:val="auto"/>
          <w:sz w:val="22"/>
          <w:szCs w:val="21"/>
          <w:highlight w:val="none"/>
          <w:u w:val="single"/>
          <w:lang w:val="en-GB"/>
        </w:rPr>
      </w:pPr>
      <w:r>
        <w:rPr>
          <w:rFonts w:hint="eastAsia" w:ascii="仿宋" w:hAnsi="仿宋" w:eastAsia="仿宋" w:cs="仿宋"/>
          <w:b/>
          <w:color w:val="auto"/>
          <w:sz w:val="22"/>
          <w:szCs w:val="21"/>
          <w:highlight w:val="none"/>
          <w:lang w:val="en-GB"/>
        </w:rPr>
        <w:t xml:space="preserve">   </w:t>
      </w:r>
      <w:r>
        <w:rPr>
          <w:rFonts w:hint="eastAsia" w:ascii="仿宋" w:hAnsi="仿宋" w:eastAsia="仿宋" w:cs="仿宋"/>
          <w:b/>
          <w:color w:val="auto"/>
          <w:sz w:val="22"/>
          <w:szCs w:val="21"/>
          <w:highlight w:val="none"/>
          <w:u w:val="single"/>
          <w:lang w:val="en-GB"/>
        </w:rPr>
        <w:t xml:space="preserve">                                                                                  </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五、甲方义务</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1、甲方应使乙方维护人员得以进入设备所在地进行相关维护工作，并为乙方提供必要的劳动安全保护条件，且不受无理阻挠。</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2、甲方应对维修设备进行一般性日常维护工作。下列所述各项为甲方负责的一般性日常维护工作：</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设备所需电源/水源之正常供应；</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设备电源/水源之开启和关闭；</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 按设备/仪器的使用守则的要求进行正当操作和必要的日常维护。</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3、甲方不能使用未经乙方认可的非原厂的零配件、消耗品，否则产生的设备故障，乙方不承担责任。</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4、甲方不得对合同设备进行私自拆卸，否则由甲方承担所造成的全部损失。</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5、本合同所服务的设备发生转移或转让时，甲方应及时通知乙方。</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6、甲方应向乙方维护人员如实告知其设备使用、维护情况以及当前故障或损坏的可能原因。甲方应根据乙方技术人员的要求提供相关信息，并向乙方提供必要的协助。</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7、按照本合同约定向乙方支付维保费用。</w:t>
      </w:r>
    </w:p>
    <w:p>
      <w:pPr>
        <w:spacing w:line="360" w:lineRule="auto"/>
        <w:rPr>
          <w:rFonts w:hint="eastAsia" w:ascii="仿宋" w:hAnsi="仿宋" w:eastAsia="仿宋" w:cs="仿宋"/>
          <w:b/>
          <w:bCs/>
          <w:color w:val="auto"/>
          <w:sz w:val="22"/>
          <w:szCs w:val="21"/>
          <w:highlight w:val="none"/>
        </w:rPr>
      </w:pPr>
      <w:r>
        <w:rPr>
          <w:rFonts w:hint="eastAsia" w:ascii="仿宋" w:hAnsi="仿宋" w:eastAsia="仿宋" w:cs="仿宋"/>
          <w:b/>
          <w:bCs/>
          <w:color w:val="auto"/>
          <w:sz w:val="22"/>
          <w:szCs w:val="21"/>
          <w:highlight w:val="none"/>
        </w:rPr>
        <w:t>六、乙方义务</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1、乙方应甲方要求对本合同第一条中涉及的设备进行维护保养并根据甲方设备情况制定设备维护计划，并报甲方确认。在没有甲方报修通知的情况下，乙方按维护保养计划，对甲方合同设备进行上门维护。</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合同期内，乙方接到甲方的维修呼叫后，应在48小时内上门检查维修合同设备在正常使用情况下所发生的故障。若乙方未能修复设备，甲方有权要求乙方改正，若乙方在收到甲方发出的书面整改通知后十五个工作日内仍未采取补救措施的，甲方有权解除合同，并要求乙方承担相应的违约责任，乙方支付的全部违约金不应超过当年度合同金额的10%，同时乙方应按照天数折算费用，将未发生的费用退还甲方（如甲方已支付当期合同款）。</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3、对突发性的机组问题及故障，紧急情况双方协商，乙方以现有交通条件最快的方式到达现场。</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4、乙方上门维修不收取上门费及工时费且上门维修没有次数限制。</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5、乙方每次对甲方设备进行保养或维修后，均应提供服务单由甲方签字确认。服务单为电子版本，可发至医院提供的接收邮箱 。</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6、乙方为甲方提供的所有更换零部件必须为上述保修设备规格型号的原厂认证/测试合格件，且未被拆封使用（进口备件如海关开箱查验除外），如有特殊情况，乙方需在与甲方协商并甲方认同后更换与原部件应用功能与技术指标相近的部件。</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7、乙方向甲方免费提供及更换合同设备的零部件。</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8、因非乙方原因导致的设备问题，不在本合同约定维保服务范围内。但乙方应协助甲方处理，由此产生的费用由双方另行协商。</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9、乙方及其关联公司和受聘于乙方和/或其关联公司的其他公司对在本合同履行期间获取到的甲方及相关第三方的信息及业务数据有保密的义务，不应在本合同约定服务范围外的领域使用或公布相关信息及业务数据，且该保密义务不因本合同结束而终止。</w:t>
      </w:r>
    </w:p>
    <w:p>
      <w:pPr>
        <w:spacing w:line="360" w:lineRule="auto"/>
        <w:ind w:firstLine="44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lang w:val="en-US" w:eastAsia="zh-CN"/>
        </w:rPr>
        <w:t>10、</w:t>
      </w:r>
      <w:r>
        <w:rPr>
          <w:rFonts w:hint="eastAsia" w:ascii="仿宋" w:hAnsi="仿宋" w:eastAsia="仿宋" w:cs="仿宋"/>
          <w:color w:val="auto"/>
          <w:sz w:val="22"/>
          <w:szCs w:val="21"/>
          <w:highlight w:val="none"/>
        </w:rPr>
        <w:t>乙方完全遵守《中华人民共和国妇女权益保障法》中关于“劳动和社会保障权益”的有关要求。</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七、除外责任</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1、由火灾、水灾，地震、电压不稳定及其它自然灾害等非人为原因造成的设备损坏；</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2、甲方自行拆卸机体及部件造成的设备损坏；</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3、因非乙方提供的消耗材料、零部件等而造成的设备损坏。</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八、违约处理</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1、因乙方工作失误导致甲方设备损坏，乙方应赔偿甲方相应零件并负责修复工作，同时按照本合同约定及法律规定承担由此给甲方带来的损失。</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2、乙方未能按本合同规定及时到场修复设备，每逾期一日应支付甲方当年度合同金额的 1%作为违约金，且对于开机率低于 9</w:t>
      </w:r>
      <w:r>
        <w:rPr>
          <w:rFonts w:hint="eastAsia" w:ascii="仿宋" w:hAnsi="仿宋" w:eastAsia="仿宋" w:cs="仿宋"/>
          <w:color w:val="auto"/>
          <w:sz w:val="22"/>
          <w:szCs w:val="21"/>
          <w:highlight w:val="none"/>
          <w:lang w:val="en-US" w:eastAsia="zh-CN"/>
        </w:rPr>
        <w:t>7</w:t>
      </w:r>
      <w:r>
        <w:rPr>
          <w:rFonts w:hint="eastAsia" w:ascii="仿宋" w:hAnsi="仿宋" w:eastAsia="仿宋" w:cs="仿宋"/>
          <w:color w:val="auto"/>
          <w:sz w:val="22"/>
          <w:szCs w:val="21"/>
          <w:highlight w:val="none"/>
        </w:rPr>
        <w:t>%</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rPr>
        <w:t>的每一个百分点，服务合同期限将相应延长 7 个日历日。</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3、若任何一方违反其在本合同项下的义务，并且在收到守约方的书面违约通知后 30 天内未予纠正，守约方有权以书面形式通知违约方立即终止本合同，违约方并应支付对方不超过当年度合同金额的12%作为违约金。</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4、因为乙方无正当理由不履行本合同或者履行合同不符合约定给甲方造成损失的，乙方负责赔偿。因乙方提供维保的医疗设备不合格等原因给第三人造成人身伤害的，由乙方承担相应法律责任和赔偿责任；有第三人向甲方主张权利且甲方赔偿的，甲方有权向乙方追偿。但甲方应立即通知乙方并采取一切合理措施协助减少双方可能因此遭受的任何潜在损失、成本或费用。甲方要求乙方赔偿或追偿范围包括但不限于赔偿款以及甲方因为应诉而产生的诉讼费、律师费、保全费、鉴定费、评估费等费用。</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5、甲方未能按本合同条款三中的规定及时付款时，每逾期一日， 应向乙方按全国银行间同业拆借中心同期公布的贷款市场报价利率标准就逾期未付费用支付违约金。</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6、甲方未能按本合同条款三中的规定及时付款时，每逾期一日，应向乙方按全国银行间同业拆借中心同期公布的贷款市场报价利率标准就逾期未付费用支付违约金。</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九、网络安全和数据保护</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1、在执行本合同过程中，乙方可能收集的关于甲方和设备的数据主要包括：</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a)甲方名称、地址、联系人及联系方式；</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b)应用日志文件、报错信息、设备属性、质控（技术状态信息）；</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c)配置、软件版本、补丁、许可、网络设置、设备服务历史（配置数据）；</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d)各类任务的执行顺序，使用的应用/许可及其交互过程（使用数据）；</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e)为故障维修目的收集的匿名影像信息。</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以下简称“数据”。</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除通过现场服务收集和处理数据外，乙方及其关联公司和受聘于乙方和/或其关联公司的其他公司可通过连接远程服务来访问、维护、修理、校准设备或为设备进行升级或安装补丁，或提供远程培训，以及为上述目的通过连接远程服务采集数据（即上述b）、c)和d)项）。</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据此，甲方应同意乙方和其关联公司为履行设备售后服务义务和/或合理合法的自身商业目的收集、处理、使用、转移给第三方、关联公司或向境外传输数据。乙方确保对上述数据的收集和处理符合相关法律法规的要求且不会损害甲方的合法权益。如果对该等数据的收集和处理是通过乙方关联公司或受聘于乙方和/或其关联公司的其他公司进行的，乙方亦按本合同的约定对上述乙方关联公司或其他公司的行为承担责任。同时，甲方也应配合设立法律规定的前提条件（如需要）以便乙方可依法完成上述数据收集和处理。</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4、为实施设备服务，乙方需获得现场和远程访问设备的机会。甲方同意为设备连接远程服务并由乙方完成相关远程接入工作后，乙方即可本按合同约定提供设备的远程服务。本合同到期结束/解除时，乙方无义务再提供设备的远程服务。同时，甲方需为设备的正常运行和远程接入提供安全稳定的网络环境。为使设备在安全的网络环境下运行，甲方需确保设备仅由被授权人员操作以防止设备遭遇未经授权的访问，并避免未经授权对设备的系统配置或IT安全控制进行修改，或在设备系统中安装未经验证的软件。如果设备发生疑似或实际发生网络安全事件或漏洞，请立即通知乙方。如果乙方提供补丁升级，请及时协助安排适时安装。甲方同意乙方及其关联公司仅为实现本合同目的而收集或使用相关数据，如因乙方违反数据保密义务而致使甲方及数据相关的第三方遭受损失，乙方应承担相应的法律责任和赔偿责任，消除对甲方的负面影响，使得甲方免受损失。</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 xml:space="preserve">十、出口管制 </w:t>
      </w:r>
    </w:p>
    <w:p>
      <w:pPr>
        <w:spacing w:line="360" w:lineRule="auto"/>
        <w:ind w:firstLine="442" w:firstLineChars="200"/>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1、保留条款</w:t>
      </w:r>
    </w:p>
    <w:p>
      <w:pPr>
        <w:spacing w:line="360" w:lineRule="auto"/>
        <w:ind w:firstLine="440" w:firstLineChars="200"/>
        <w:rPr>
          <w:rFonts w:hint="eastAsia" w:ascii="仿宋" w:hAnsi="仿宋" w:eastAsia="仿宋" w:cs="仿宋"/>
          <w:b/>
          <w:color w:val="auto"/>
          <w:sz w:val="22"/>
          <w:szCs w:val="21"/>
          <w:highlight w:val="none"/>
        </w:rPr>
      </w:pPr>
      <w:r>
        <w:rPr>
          <w:rFonts w:hint="eastAsia" w:ascii="仿宋" w:hAnsi="仿宋" w:eastAsia="仿宋" w:cs="仿宋"/>
          <w:color w:val="auto"/>
          <w:sz w:val="22"/>
          <w:szCs w:val="21"/>
          <w:highlight w:val="none"/>
        </w:rPr>
        <w:t>如乙方因遵守国内、国际外贸规定或海关规定或任何禁运、制裁规定而无法履行服务合同，则乙方不再承担履行服务合同的义务。但乙方应及时通知甲方，双方就合同的变更或解除进行友好协商，如因乙方迟延通知而造成甲方损失，乙方应予赔偿。</w:t>
      </w:r>
    </w:p>
    <w:p>
      <w:pPr>
        <w:spacing w:line="360" w:lineRule="auto"/>
        <w:ind w:firstLine="442" w:firstLineChars="200"/>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2、遵守出口管制法规</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如果甲方将乙方提供的货物（包括无论以何种方式提供的硬件和/或软件和/或技术，以及相关的文件），以及乙方完成的工作和服务（包括所有种类的技术支持）转移给世界范围内的第三方，则甲方应遵守所有适用的国内、国际的（再）出口管制法规。在任何情况下，甲方都应遵守德国、欧盟以及美国的（再）出口管制法规。</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2）如果需要进行出口管制审查，则甲方在收到乙方的要求后应及时向乙方提供有关乙方提供的货物、工作和服务的特定最终甲方、最终目的地，以及预期用途的所有信息，以及任何存在的出口管制限制。</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对于因甲方不遵守出口管制法规而产生的或与之相关的任何索赔、法律程序、诉讼、罚款、损失、成本和损害，甲方应补偿乙方并使其免受损害。如果上述不合规行为系因甲方过错而导致，甲方应赔偿乙方由此产生的所有损失和费用。本条规定并不意味着改变举证责任。</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十一、其他说明</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1、甲方的名称、地址、电话以及指定设备负责人等资料如有变更，请及时通知乙方，以免造成甲方利益的损失。</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2、如甲方将设备转与他人，则乙方对该设备的服务及服务承诺既告终止。</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3、如有未尽事宜，甲乙双方应友好协商，达成一致后可另行签署补充协议，补充协议与本合同具有同等效力。</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4、在合同期内，若设备确认报废处理，乙方应按照天数折算费用，并将未发生的费用退还甲方。</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十</w:t>
      </w:r>
      <w:r>
        <w:rPr>
          <w:rFonts w:hint="eastAsia" w:ascii="仿宋" w:hAnsi="仿宋" w:eastAsia="仿宋" w:cs="仿宋"/>
          <w:b/>
          <w:color w:val="auto"/>
          <w:sz w:val="22"/>
          <w:szCs w:val="21"/>
          <w:highlight w:val="none"/>
          <w:lang w:val="en-US" w:eastAsia="zh-CN"/>
        </w:rPr>
        <w:t>二</w:t>
      </w:r>
      <w:r>
        <w:rPr>
          <w:rFonts w:hint="eastAsia" w:ascii="仿宋" w:hAnsi="仿宋" w:eastAsia="仿宋" w:cs="仿宋"/>
          <w:b/>
          <w:color w:val="auto"/>
          <w:sz w:val="22"/>
          <w:szCs w:val="21"/>
          <w:highlight w:val="none"/>
        </w:rPr>
        <w:t>、签署和文本</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1、</w:t>
      </w:r>
      <w:r>
        <w:rPr>
          <w:rFonts w:hint="eastAsia" w:ascii="仿宋" w:hAnsi="仿宋" w:eastAsia="仿宋" w:cs="仿宋"/>
          <w:color w:val="auto"/>
          <w:sz w:val="22"/>
          <w:szCs w:val="21"/>
          <w:highlight w:val="none"/>
          <w:lang w:val="en-US" w:eastAsia="zh-CN"/>
        </w:rPr>
        <w:t>本合同</w:t>
      </w:r>
      <w:r>
        <w:rPr>
          <w:rFonts w:hint="eastAsia" w:ascii="仿宋" w:hAnsi="仿宋" w:eastAsia="仿宋" w:cs="仿宋"/>
          <w:color w:val="auto"/>
          <w:sz w:val="22"/>
          <w:szCs w:val="21"/>
          <w:highlight w:val="none"/>
        </w:rPr>
        <w:t>自双方法定代表人或授权代表签字并加盖公章之日起生效，原件一式</w:t>
      </w:r>
      <w:r>
        <w:rPr>
          <w:rFonts w:hint="eastAsia" w:ascii="仿宋" w:hAnsi="仿宋" w:eastAsia="仿宋" w:cs="仿宋"/>
          <w:color w:val="auto"/>
          <w:sz w:val="22"/>
          <w:szCs w:val="21"/>
          <w:highlight w:val="none"/>
          <w:lang w:val="en-US" w:eastAsia="zh-CN"/>
        </w:rPr>
        <w:t>六</w:t>
      </w:r>
      <w:r>
        <w:rPr>
          <w:rFonts w:hint="eastAsia" w:ascii="仿宋" w:hAnsi="仿宋" w:eastAsia="仿宋" w:cs="仿宋"/>
          <w:color w:val="auto"/>
          <w:sz w:val="22"/>
          <w:szCs w:val="21"/>
          <w:highlight w:val="none"/>
        </w:rPr>
        <w:t>份，甲方执</w:t>
      </w:r>
      <w:r>
        <w:rPr>
          <w:rFonts w:hint="eastAsia" w:ascii="仿宋" w:hAnsi="仿宋" w:eastAsia="仿宋" w:cs="仿宋"/>
          <w:color w:val="auto"/>
          <w:sz w:val="22"/>
          <w:szCs w:val="21"/>
          <w:highlight w:val="none"/>
          <w:lang w:val="en-US" w:eastAsia="zh-CN"/>
        </w:rPr>
        <w:t>五</w:t>
      </w:r>
      <w:r>
        <w:rPr>
          <w:rFonts w:hint="eastAsia" w:ascii="仿宋" w:hAnsi="仿宋" w:eastAsia="仿宋" w:cs="仿宋"/>
          <w:color w:val="auto"/>
          <w:sz w:val="22"/>
          <w:szCs w:val="21"/>
          <w:highlight w:val="none"/>
        </w:rPr>
        <w:t>份，乙方</w:t>
      </w:r>
      <w:r>
        <w:rPr>
          <w:rFonts w:hint="eastAsia" w:ascii="仿宋" w:hAnsi="仿宋" w:eastAsia="仿宋" w:cs="仿宋"/>
          <w:color w:val="auto"/>
          <w:sz w:val="22"/>
          <w:szCs w:val="21"/>
          <w:highlight w:val="none"/>
          <w:lang w:val="en-US" w:eastAsia="zh-CN"/>
        </w:rPr>
        <w:t>执</w:t>
      </w:r>
      <w:r>
        <w:rPr>
          <w:rFonts w:hint="eastAsia" w:ascii="仿宋" w:hAnsi="仿宋" w:eastAsia="仿宋" w:cs="仿宋"/>
          <w:color w:val="auto"/>
          <w:sz w:val="22"/>
          <w:szCs w:val="21"/>
          <w:highlight w:val="none"/>
        </w:rPr>
        <w:t>一份。</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2、本合同的所有附件(</w:t>
      </w:r>
      <w:r>
        <w:rPr>
          <w:rFonts w:hint="eastAsia" w:ascii="仿宋" w:hAnsi="仿宋" w:eastAsia="仿宋" w:cs="仿宋"/>
          <w:color w:val="auto"/>
          <w:sz w:val="22"/>
          <w:szCs w:val="21"/>
          <w:highlight w:val="none"/>
          <w:lang w:val="zh-CN"/>
        </w:rPr>
        <w:t>安全生产协议书</w:t>
      </w:r>
      <w:r>
        <w:rPr>
          <w:rFonts w:hint="eastAsia" w:ascii="仿宋" w:hAnsi="仿宋" w:eastAsia="仿宋" w:cs="仿宋"/>
          <w:color w:val="auto"/>
          <w:sz w:val="22"/>
          <w:szCs w:val="21"/>
          <w:highlight w:val="none"/>
        </w:rPr>
        <w:t>、</w:t>
      </w:r>
      <w:r>
        <w:rPr>
          <w:rFonts w:hint="eastAsia" w:ascii="仿宋" w:hAnsi="仿宋" w:eastAsia="仿宋" w:cs="仿宋"/>
          <w:color w:val="auto"/>
          <w:sz w:val="22"/>
          <w:szCs w:val="21"/>
          <w:highlight w:val="none"/>
          <w:lang w:val="en-US" w:eastAsia="zh-CN"/>
        </w:rPr>
        <w:t>法定代表人授权书、</w:t>
      </w:r>
      <w:r>
        <w:rPr>
          <w:rFonts w:hint="eastAsia" w:ascii="仿宋" w:hAnsi="仿宋" w:eastAsia="仿宋" w:cs="仿宋"/>
          <w:color w:val="auto"/>
          <w:sz w:val="22"/>
          <w:szCs w:val="21"/>
          <w:highlight w:val="none"/>
        </w:rPr>
        <w:t>售后服务承诺书</w:t>
      </w:r>
      <w:r>
        <w:rPr>
          <w:rFonts w:hint="eastAsia" w:ascii="仿宋" w:hAnsi="仿宋" w:eastAsia="仿宋" w:cs="仿宋"/>
          <w:color w:val="auto"/>
          <w:sz w:val="22"/>
          <w:szCs w:val="21"/>
          <w:highlight w:val="none"/>
          <w:lang w:val="en-US" w:eastAsia="zh-CN"/>
        </w:rPr>
        <w:t>及乙方资质证明、中标通知书等</w:t>
      </w:r>
      <w:r>
        <w:rPr>
          <w:rFonts w:hint="eastAsia" w:ascii="仿宋" w:hAnsi="仿宋" w:eastAsia="仿宋" w:cs="仿宋"/>
          <w:color w:val="auto"/>
          <w:sz w:val="22"/>
          <w:szCs w:val="21"/>
          <w:highlight w:val="none"/>
        </w:rPr>
        <w:t>)均为本合同不可分割的组成部分，与本合同具有同等法律效力。</w:t>
      </w:r>
    </w:p>
    <w:p>
      <w:pPr>
        <w:spacing w:line="360" w:lineRule="auto"/>
        <w:rPr>
          <w:rFonts w:hint="eastAsia" w:ascii="仿宋" w:hAnsi="仿宋" w:eastAsia="仿宋" w:cs="仿宋"/>
          <w:b/>
          <w:color w:val="auto"/>
          <w:sz w:val="22"/>
          <w:szCs w:val="21"/>
          <w:highlight w:val="none"/>
        </w:rPr>
      </w:pPr>
      <w:r>
        <w:rPr>
          <w:rFonts w:hint="eastAsia" w:ascii="仿宋" w:hAnsi="仿宋" w:eastAsia="仿宋" w:cs="仿宋"/>
          <w:b/>
          <w:color w:val="auto"/>
          <w:sz w:val="22"/>
          <w:szCs w:val="21"/>
          <w:highlight w:val="none"/>
        </w:rPr>
        <w:t>十</w:t>
      </w:r>
      <w:r>
        <w:rPr>
          <w:rFonts w:hint="eastAsia" w:ascii="仿宋" w:hAnsi="仿宋" w:eastAsia="仿宋" w:cs="仿宋"/>
          <w:b/>
          <w:color w:val="auto"/>
          <w:sz w:val="22"/>
          <w:szCs w:val="21"/>
          <w:highlight w:val="none"/>
          <w:lang w:val="en-US" w:eastAsia="zh-CN"/>
        </w:rPr>
        <w:t>三</w:t>
      </w:r>
      <w:r>
        <w:rPr>
          <w:rFonts w:hint="eastAsia" w:ascii="仿宋" w:hAnsi="仿宋" w:eastAsia="仿宋" w:cs="仿宋"/>
          <w:b/>
          <w:color w:val="auto"/>
          <w:sz w:val="22"/>
          <w:szCs w:val="21"/>
          <w:highlight w:val="none"/>
        </w:rPr>
        <w:t>、争议解决条款</w:t>
      </w:r>
    </w:p>
    <w:p>
      <w:pPr>
        <w:spacing w:line="360" w:lineRule="auto"/>
        <w:ind w:firstLine="440" w:firstLineChars="200"/>
        <w:rPr>
          <w:rFonts w:hint="eastAsia" w:ascii="仿宋" w:hAnsi="仿宋" w:eastAsia="仿宋" w:cs="仿宋"/>
          <w:color w:val="auto"/>
          <w:sz w:val="22"/>
          <w:szCs w:val="21"/>
          <w:highlight w:val="none"/>
        </w:rPr>
      </w:pPr>
      <w:r>
        <w:rPr>
          <w:rFonts w:hint="eastAsia" w:ascii="仿宋" w:hAnsi="仿宋" w:eastAsia="仿宋" w:cs="仿宋"/>
          <w:color w:val="auto"/>
          <w:sz w:val="22"/>
          <w:szCs w:val="21"/>
          <w:highlight w:val="none"/>
        </w:rPr>
        <w:t>若因本合同发生争议，双方友好协商解决；协商不成，双方均可向甲方所在地人民法院提起诉讼。</w:t>
      </w:r>
    </w:p>
    <w:p>
      <w:pPr>
        <w:spacing w:line="360" w:lineRule="auto"/>
        <w:ind w:firstLine="440" w:firstLineChars="200"/>
        <w:rPr>
          <w:rFonts w:hint="eastAsia" w:ascii="仿宋" w:hAnsi="仿宋" w:eastAsia="仿宋" w:cs="仿宋"/>
          <w:color w:val="auto"/>
          <w:kern w:val="0"/>
          <w:sz w:val="22"/>
          <w:szCs w:val="21"/>
          <w:highlight w:val="none"/>
        </w:rPr>
      </w:pPr>
      <w:r>
        <w:rPr>
          <w:rFonts w:hint="eastAsia" w:ascii="仿宋" w:hAnsi="仿宋" w:eastAsia="仿宋" w:cs="仿宋"/>
          <w:color w:val="auto"/>
          <w:kern w:val="0"/>
          <w:sz w:val="22"/>
          <w:szCs w:val="21"/>
          <w:highlight w:val="none"/>
        </w:rPr>
        <w:t xml:space="preserve">甲方：北京市顺义区医院  　　             乙方： </w:t>
      </w:r>
    </w:p>
    <w:p>
      <w:pPr>
        <w:widowControl/>
        <w:shd w:val="clear" w:color="auto" w:fill="FFFFFF"/>
        <w:spacing w:line="360" w:lineRule="auto"/>
        <w:ind w:firstLine="440" w:firstLineChars="200"/>
        <w:contextualSpacing/>
        <w:jc w:val="left"/>
        <w:rPr>
          <w:rFonts w:hint="eastAsia" w:ascii="仿宋" w:hAnsi="仿宋" w:eastAsia="仿宋" w:cs="仿宋"/>
          <w:color w:val="auto"/>
          <w:kern w:val="0"/>
          <w:sz w:val="22"/>
          <w:szCs w:val="21"/>
          <w:highlight w:val="none"/>
        </w:rPr>
      </w:pPr>
      <w:r>
        <w:rPr>
          <w:rFonts w:hint="eastAsia" w:ascii="仿宋" w:hAnsi="仿宋" w:eastAsia="仿宋" w:cs="仿宋"/>
          <w:color w:val="auto"/>
          <w:kern w:val="0"/>
          <w:sz w:val="22"/>
          <w:szCs w:val="21"/>
          <w:highlight w:val="none"/>
        </w:rPr>
        <w:t>法定代表人或授权代表（签字）             法定代表人或授权代表（签字）</w:t>
      </w:r>
    </w:p>
    <w:p>
      <w:pPr>
        <w:widowControl/>
        <w:shd w:val="clear" w:color="auto" w:fill="FFFFFF"/>
        <w:spacing w:line="360" w:lineRule="auto"/>
        <w:ind w:firstLine="440" w:firstLineChars="200"/>
        <w:contextualSpacing/>
        <w:jc w:val="left"/>
        <w:rPr>
          <w:rFonts w:hint="eastAsia" w:ascii="仿宋" w:hAnsi="仿宋" w:eastAsia="仿宋" w:cs="仿宋"/>
          <w:color w:val="auto"/>
          <w:kern w:val="0"/>
          <w:sz w:val="22"/>
          <w:szCs w:val="21"/>
          <w:highlight w:val="none"/>
        </w:rPr>
      </w:pPr>
    </w:p>
    <w:p>
      <w:pPr>
        <w:widowControl/>
        <w:shd w:val="clear" w:color="auto" w:fill="FFFFFF"/>
        <w:spacing w:line="360" w:lineRule="auto"/>
        <w:ind w:firstLine="440" w:firstLineChars="200"/>
        <w:contextualSpacing/>
        <w:jc w:val="left"/>
        <w:rPr>
          <w:rFonts w:hint="eastAsia" w:ascii="仿宋" w:hAnsi="仿宋" w:eastAsia="仿宋" w:cs="仿宋"/>
          <w:color w:val="auto"/>
          <w:kern w:val="0"/>
          <w:sz w:val="22"/>
          <w:szCs w:val="21"/>
          <w:highlight w:val="none"/>
        </w:rPr>
      </w:pPr>
      <w:r>
        <w:rPr>
          <w:rFonts w:hint="eastAsia" w:ascii="仿宋" w:hAnsi="仿宋" w:eastAsia="仿宋" w:cs="仿宋"/>
          <w:color w:val="auto"/>
          <w:kern w:val="0"/>
          <w:sz w:val="22"/>
          <w:szCs w:val="21"/>
          <w:highlight w:val="none"/>
        </w:rPr>
        <w:t xml:space="preserve">授权委托人（签字）　　　　               授权委托人（签字）  </w:t>
      </w:r>
    </w:p>
    <w:p>
      <w:pPr>
        <w:widowControl/>
        <w:shd w:val="clear" w:color="auto" w:fill="FFFFFF"/>
        <w:spacing w:line="360" w:lineRule="auto"/>
        <w:ind w:firstLine="440" w:firstLineChars="200"/>
        <w:contextualSpacing/>
        <w:jc w:val="left"/>
        <w:rPr>
          <w:rFonts w:hint="eastAsia" w:ascii="仿宋" w:hAnsi="仿宋" w:eastAsia="仿宋" w:cs="仿宋"/>
          <w:color w:val="auto"/>
          <w:kern w:val="0"/>
          <w:sz w:val="22"/>
          <w:szCs w:val="21"/>
          <w:highlight w:val="none"/>
        </w:rPr>
      </w:pPr>
    </w:p>
    <w:p>
      <w:pPr>
        <w:ind w:firstLine="440" w:firstLineChars="200"/>
        <w:rPr>
          <w:rFonts w:hint="eastAsia" w:ascii="仿宋" w:hAnsi="仿宋" w:eastAsia="仿宋" w:cs="仿宋"/>
          <w:b/>
          <w:color w:val="auto"/>
          <w:sz w:val="36"/>
          <w:szCs w:val="36"/>
          <w:highlight w:val="none"/>
        </w:rPr>
      </w:pPr>
      <w:r>
        <w:rPr>
          <w:rFonts w:hint="eastAsia" w:ascii="仿宋" w:hAnsi="仿宋" w:eastAsia="仿宋" w:cs="仿宋"/>
          <w:color w:val="auto"/>
          <w:sz w:val="22"/>
          <w:szCs w:val="21"/>
          <w:highlight w:val="none"/>
        </w:rPr>
        <w:t>签约日期：                               签约日期</w:t>
      </w:r>
      <w:r>
        <w:rPr>
          <w:rFonts w:hint="eastAsia" w:ascii="仿宋" w:hAnsi="仿宋" w:eastAsia="仿宋" w:cs="仿宋"/>
          <w:color w:val="auto"/>
          <w:sz w:val="22"/>
          <w:szCs w:val="21"/>
          <w:highlight w:val="none"/>
          <w:lang w:val="en-US" w:eastAsia="zh-CN"/>
        </w:rPr>
        <w:t>:</w:t>
      </w:r>
    </w:p>
    <w:p/>
    <w:p/>
    <w:p>
      <w:r>
        <w:br w:type="page"/>
      </w:r>
    </w:p>
    <w:p>
      <w:pPr>
        <w:spacing w:line="360" w:lineRule="auto"/>
        <w:ind w:firstLine="723" w:firstLineChars="200"/>
        <w:jc w:val="center"/>
        <w:rPr>
          <w:rFonts w:hint="eastAsia" w:ascii="仿宋" w:hAnsi="仿宋" w:eastAsia="仿宋" w:cs="仿宋"/>
          <w:b/>
          <w:bCs/>
          <w:color w:val="auto"/>
          <w:sz w:val="36"/>
          <w:szCs w:val="36"/>
          <w:highlight w:val="none"/>
          <w:lang w:val="zh-CN"/>
        </w:rPr>
      </w:pPr>
      <w:r>
        <w:rPr>
          <w:rFonts w:hint="eastAsia" w:ascii="仿宋" w:hAnsi="仿宋" w:eastAsia="仿宋" w:cs="仿宋"/>
          <w:b/>
          <w:bCs/>
          <w:color w:val="auto"/>
          <w:sz w:val="36"/>
          <w:szCs w:val="36"/>
          <w:highlight w:val="none"/>
          <w:lang w:val="zh-CN"/>
        </w:rPr>
        <w:t>安全生产协议书</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甲方：北京市顺义区医院</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住所地：北京市顺义区光明南街3号</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乙方：</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住所地：</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为确保顺义医院区域工作正常有序，预防安全生产事故、消防事故及治安案件、刑事案件的发生，依据《中华人民共和国安全生产法》、《中华人民共和国消防法》、《北京市消防条例》等相关法律法规的规定，经甲、乙双方商定一致，就安全管理工作事宜签订本协议如下：</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第一条：</w:t>
      </w:r>
    </w:p>
    <w:p>
      <w:pPr>
        <w:spacing w:line="360" w:lineRule="auto"/>
        <w:ind w:firstLine="440" w:firstLineChars="200"/>
        <w:rPr>
          <w:rFonts w:hint="eastAsia" w:ascii="仿宋" w:hAnsi="仿宋" w:eastAsia="仿宋" w:cs="仿宋"/>
          <w:color w:val="auto"/>
          <w:sz w:val="22"/>
          <w:szCs w:val="21"/>
          <w:highlight w:val="none"/>
          <w:lang w:val="zh-CN" w:eastAsia="zh-CN"/>
        </w:rPr>
      </w:pPr>
      <w:r>
        <w:rPr>
          <w:rFonts w:hint="eastAsia" w:ascii="仿宋" w:hAnsi="仿宋" w:eastAsia="仿宋" w:cs="仿宋"/>
          <w:color w:val="auto"/>
          <w:sz w:val="22"/>
          <w:szCs w:val="21"/>
          <w:highlight w:val="none"/>
          <w:lang w:val="en-US" w:eastAsia="zh-CN"/>
        </w:rPr>
        <w:t>一.乙方在日常服务或运维过程中，如需开展</w:t>
      </w:r>
      <w:r>
        <w:rPr>
          <w:rFonts w:hint="eastAsia" w:ascii="仿宋" w:hAnsi="仿宋" w:eastAsia="仿宋" w:cs="仿宋"/>
          <w:color w:val="auto"/>
          <w:sz w:val="22"/>
          <w:szCs w:val="21"/>
          <w:highlight w:val="none"/>
          <w:lang w:val="zh-CN" w:eastAsia="zh-CN"/>
        </w:rPr>
        <w:t>有限空间作业、动火作业、外墙清洗、烟道清洗、冷库作业；水、电、气、暖作业及各类特种作业等，应按医院相关要求进行作业审批报备，完善审批手续后方可施工作业；</w:t>
      </w:r>
      <w:r>
        <w:rPr>
          <w:rFonts w:hint="eastAsia" w:ascii="仿宋" w:hAnsi="仿宋" w:eastAsia="仿宋" w:cs="仿宋"/>
          <w:color w:val="auto"/>
          <w:sz w:val="22"/>
          <w:szCs w:val="21"/>
          <w:highlight w:val="none"/>
          <w:lang w:val="en-US" w:eastAsia="zh-CN"/>
        </w:rPr>
        <w:t>严禁违规私自作业，私自作业的由乙方承担相应责任。对于开展施工作业的，乙方须制定</w:t>
      </w:r>
      <w:r>
        <w:rPr>
          <w:rFonts w:hint="eastAsia" w:ascii="仿宋" w:hAnsi="仿宋" w:eastAsia="仿宋" w:cs="仿宋"/>
          <w:color w:val="auto"/>
          <w:sz w:val="22"/>
          <w:szCs w:val="21"/>
          <w:highlight w:val="none"/>
          <w:lang w:val="zh-CN" w:eastAsia="zh-CN"/>
        </w:rPr>
        <w:t>作业方案</w:t>
      </w:r>
      <w:r>
        <w:rPr>
          <w:rFonts w:hint="eastAsia" w:ascii="仿宋" w:hAnsi="仿宋" w:eastAsia="仿宋" w:cs="仿宋"/>
          <w:color w:val="auto"/>
          <w:sz w:val="22"/>
          <w:szCs w:val="21"/>
          <w:highlight w:val="none"/>
          <w:lang w:val="en-US" w:eastAsia="zh-CN"/>
        </w:rPr>
        <w:t>、配备劳动防护用品、安全警示标志和应急救援设备，</w:t>
      </w:r>
      <w:r>
        <w:rPr>
          <w:rFonts w:hint="eastAsia" w:ascii="仿宋" w:hAnsi="仿宋" w:eastAsia="仿宋" w:cs="仿宋"/>
          <w:color w:val="auto"/>
          <w:sz w:val="22"/>
          <w:szCs w:val="21"/>
          <w:highlight w:val="none"/>
          <w:lang w:val="zh-CN" w:eastAsia="zh-CN"/>
        </w:rPr>
        <w:t>落实安全防范措施、并</w:t>
      </w:r>
      <w:r>
        <w:rPr>
          <w:rFonts w:hint="eastAsia" w:ascii="仿宋" w:hAnsi="仿宋" w:eastAsia="仿宋" w:cs="仿宋"/>
          <w:color w:val="auto"/>
          <w:sz w:val="22"/>
          <w:szCs w:val="21"/>
          <w:highlight w:val="none"/>
          <w:lang w:val="en-US" w:eastAsia="zh-CN"/>
        </w:rPr>
        <w:t>安排专门人员进行现场管理，确保人员遵守操作规程并落实安全防范措施，</w:t>
      </w:r>
      <w:r>
        <w:rPr>
          <w:rFonts w:hint="eastAsia" w:ascii="仿宋" w:hAnsi="仿宋" w:eastAsia="仿宋" w:cs="仿宋"/>
          <w:color w:val="auto"/>
          <w:sz w:val="22"/>
          <w:szCs w:val="21"/>
          <w:highlight w:val="none"/>
          <w:lang w:val="zh-CN" w:eastAsia="zh-CN"/>
        </w:rPr>
        <w:t>同时制定</w:t>
      </w:r>
      <w:r>
        <w:rPr>
          <w:rFonts w:hint="eastAsia" w:ascii="仿宋" w:hAnsi="仿宋" w:eastAsia="仿宋" w:cs="仿宋"/>
          <w:color w:val="auto"/>
          <w:sz w:val="22"/>
          <w:szCs w:val="21"/>
          <w:highlight w:val="none"/>
          <w:lang w:val="en-US" w:eastAsia="zh-CN"/>
        </w:rPr>
        <w:t>事故报告和应急救援预案等措施。</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二.乙方应加强现场作业人员安全教育、风险辨识和管控，督促从业人员遵守安全操作规程。向作业人员告知作业现场和工作岗位存在的危险因素、防范措施以及事故应急措施。</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三.乙方应保障所辖区域的安全出口和疏散通道畅通，不得埋压、圈占、遮挡消火栓。不得违规存放易燃易爆物品、危险化学品、放射性物品等危险物品。</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四.</w:t>
      </w:r>
      <w:r>
        <w:rPr>
          <w:rFonts w:hint="eastAsia" w:ascii="仿宋" w:hAnsi="仿宋" w:eastAsia="仿宋" w:cs="仿宋"/>
          <w:color w:val="auto"/>
          <w:sz w:val="22"/>
          <w:szCs w:val="21"/>
          <w:highlight w:val="none"/>
          <w:lang w:val="zh-CN" w:eastAsia="zh-CN"/>
        </w:rPr>
        <w:t>医院主管职能科室负责审查乙方的资质、信用记录、安全生产条件、特种作业人员资格等，并对相关资料进行存档。开展</w:t>
      </w:r>
      <w:r>
        <w:rPr>
          <w:rFonts w:hint="eastAsia" w:ascii="仿宋" w:hAnsi="仿宋" w:eastAsia="仿宋" w:cs="仿宋"/>
          <w:color w:val="auto"/>
          <w:sz w:val="22"/>
          <w:szCs w:val="21"/>
          <w:highlight w:val="none"/>
          <w:lang w:val="en-US" w:eastAsia="zh-CN"/>
        </w:rPr>
        <w:t>特种作业的人员须持真实有效、符合操作类别的特种作业操作证件上岗作业。</w:t>
      </w:r>
      <w:r>
        <w:rPr>
          <w:rFonts w:hint="eastAsia" w:ascii="仿宋" w:hAnsi="仿宋" w:eastAsia="仿宋" w:cs="仿宋"/>
          <w:color w:val="auto"/>
          <w:sz w:val="22"/>
          <w:szCs w:val="21"/>
          <w:highlight w:val="none"/>
          <w:lang w:val="zh-CN" w:eastAsia="zh-CN"/>
        </w:rPr>
        <w:t>不具备资质的严禁作业或终止合同。</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五.</w:t>
      </w:r>
      <w:r>
        <w:rPr>
          <w:rFonts w:hint="eastAsia" w:ascii="仿宋" w:hAnsi="仿宋" w:eastAsia="仿宋" w:cs="仿宋"/>
          <w:color w:val="auto"/>
          <w:sz w:val="22"/>
          <w:szCs w:val="21"/>
          <w:highlight w:val="none"/>
          <w:lang w:val="zh-CN" w:eastAsia="zh-CN"/>
        </w:rPr>
        <w:t>医院主管职能科室应与乙方</w:t>
      </w:r>
      <w:r>
        <w:rPr>
          <w:rFonts w:hint="eastAsia" w:ascii="仿宋" w:hAnsi="仿宋" w:eastAsia="仿宋" w:cs="仿宋"/>
          <w:color w:val="auto"/>
          <w:sz w:val="22"/>
          <w:szCs w:val="21"/>
          <w:highlight w:val="none"/>
          <w:lang w:val="en-US" w:eastAsia="zh-CN"/>
        </w:rPr>
        <w:t>约定管理区域、人员和设施设备。乙方应加强对相关区域、人员及设施设备的安全运维保障及巡查，并负直接管理责任。</w:t>
      </w:r>
    </w:p>
    <w:p>
      <w:pPr>
        <w:spacing w:line="360" w:lineRule="auto"/>
        <w:ind w:firstLine="440" w:firstLineChars="200"/>
        <w:rPr>
          <w:rFonts w:hint="eastAsia" w:ascii="仿宋" w:hAnsi="仿宋" w:eastAsia="仿宋" w:cs="仿宋"/>
          <w:color w:val="auto"/>
          <w:sz w:val="22"/>
          <w:szCs w:val="21"/>
          <w:highlight w:val="none"/>
          <w:lang w:val="en-US" w:eastAsia="zh-CN"/>
        </w:rPr>
      </w:pPr>
      <w:r>
        <w:rPr>
          <w:rFonts w:hint="eastAsia" w:ascii="仿宋" w:hAnsi="仿宋" w:eastAsia="仿宋" w:cs="仿宋"/>
          <w:color w:val="auto"/>
          <w:sz w:val="22"/>
          <w:szCs w:val="21"/>
          <w:highlight w:val="none"/>
          <w:lang w:val="en-US" w:eastAsia="zh-CN"/>
        </w:rPr>
        <w:t>六.</w:t>
      </w:r>
      <w:r>
        <w:rPr>
          <w:rFonts w:hint="eastAsia" w:ascii="仿宋" w:hAnsi="仿宋" w:eastAsia="仿宋" w:cs="仿宋"/>
          <w:color w:val="auto"/>
          <w:sz w:val="22"/>
          <w:szCs w:val="21"/>
          <w:highlight w:val="none"/>
          <w:lang w:val="zh-CN" w:eastAsia="zh-CN"/>
        </w:rPr>
        <w:t>医院主管职能科室应</w:t>
      </w:r>
      <w:r>
        <w:rPr>
          <w:rFonts w:hint="eastAsia" w:ascii="仿宋" w:hAnsi="仿宋" w:eastAsia="仿宋" w:cs="仿宋"/>
          <w:color w:val="auto"/>
          <w:sz w:val="22"/>
          <w:szCs w:val="21"/>
          <w:highlight w:val="none"/>
          <w:lang w:val="en-US" w:eastAsia="zh-CN"/>
        </w:rPr>
        <w:t>对乙方落实安全生产工作进行评估考核，定期进行安全检查，并做好检查记录。发现有安全隐患的，督促乙方采取措施及时消除。安全隐患不能及时消除或者排除过程中无法确保安全的，应当采取措施暂停作业或停止场所、设施设备使用。拒不执行的，医院有权对乙方进行处罚，并及时报告属地政府或行业主管部门。</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en-US" w:eastAsia="zh-CN"/>
        </w:rPr>
        <w:t>七.乙方应督促全员积极参加医院组织的消防安全培训、疏散演练等，并对所管辖人员定期开展应急演练。</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第二条：乙方及乙方人员进入北京市顺义区医院工作，必须遵守本协议。本协议所称乙方人员包括乙方管理人员和工作人员等。</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第三条：乙方接受甲方安全监督的内容包括但不限于作业安全、人身安全、设备安全、环境保护、治安、消防等方面。</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第四条：甲方的权利和义务</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一、甲方有权对乙方的工作区域、工作内容进行安全监督和检查，发现存在重大安全隐患的，甲方有权下发隐患整改通知书，责令乙方进行整改。对存在重大安全隐患或乙方整改不力的，甲方有权暂停乙方的工作。</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二、乙方违规操作或不服从甲方监督的，甲方有权下发整改通知。对乙方未按照甲方要求整改或拒不改正的，甲方有权停止乙方的工作并解除《</w:t>
      </w:r>
      <w:r>
        <w:rPr>
          <w:rFonts w:hint="eastAsia" w:ascii="仿宋" w:hAnsi="仿宋" w:eastAsia="仿宋" w:cs="仿宋"/>
          <w:color w:val="auto"/>
          <w:sz w:val="22"/>
          <w:szCs w:val="21"/>
          <w:highlight w:val="none"/>
          <w:lang w:val="en-US" w:eastAsia="zh-CN"/>
        </w:rPr>
        <w:t>xxxxxxxxxxxxxxx</w:t>
      </w:r>
      <w:r>
        <w:rPr>
          <w:rFonts w:hint="eastAsia" w:ascii="仿宋" w:hAnsi="仿宋" w:eastAsia="仿宋" w:cs="仿宋"/>
          <w:color w:val="auto"/>
          <w:sz w:val="22"/>
          <w:szCs w:val="21"/>
          <w:highlight w:val="none"/>
          <w:lang w:val="zh-CN"/>
        </w:rPr>
        <w:t>合同》。</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第五条：乙方的权利和义务</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一、乙方应符合相关法律、法规等规定的要求，具备</w:t>
      </w:r>
      <w:r>
        <w:rPr>
          <w:rFonts w:hint="eastAsia" w:ascii="仿宋" w:hAnsi="仿宋" w:eastAsia="仿宋" w:cs="仿宋"/>
          <w:color w:val="auto"/>
          <w:sz w:val="22"/>
          <w:szCs w:val="21"/>
          <w:highlight w:val="none"/>
          <w:lang w:val="en-US" w:eastAsia="zh-CN"/>
        </w:rPr>
        <w:t>消防</w:t>
      </w:r>
      <w:r>
        <w:rPr>
          <w:rFonts w:hint="eastAsia" w:ascii="仿宋" w:hAnsi="仿宋" w:eastAsia="仿宋" w:cs="仿宋"/>
          <w:color w:val="auto"/>
          <w:sz w:val="22"/>
          <w:szCs w:val="21"/>
          <w:highlight w:val="none"/>
          <w:lang w:val="zh-CN"/>
        </w:rPr>
        <w:t>相关业务相应的资质条件和履行能力。</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二、乙方应当遵守甲方的安全规章制度，接受甲方的安全监督，并有义务教育和督促乙方人员严格执行安全生产规章制度和安全操作规程，如实告知作业场所和工作岗位存在的危险因素、防范措施以及事故应急措施，留有教育记录。</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三、乙方应根据工作特点，合理安排身体素质、技术水平、安全意识都符合要求的人员上岗，严禁使用未成年工，严禁使用有职业禁忌、患有妨碍工作病症的人员。严禁使用患有传染病、精神病的人员。严禁使用身份不明的人员。</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四、乙方对作业地点的安全工作负责，指定一名现场负责人负责日常安全管理工作并接受甲方监督指导。</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五、乙方有义务对乙方人员进行安全生产、消防、治安、交通、卫生、业务、服务技能等教育和培训。</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六、乙方负责属地安全设施的日常检查，确保设施正常运行。</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七、乙方定期组织保持乙方工作卫生环境整洁。</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八、乙方应依法为其工作人员签订劳动合同、缴纳各项社会保险，乙方工作人员如发生工伤，由乙方为其工作人员办理工伤理赔并承担相应的法律责任，为乙方人员提供符合国家标准或者行业标准的劳动防护用品，并监督、教育从业人员按照使用规则佩戴、使用。乙方工作人员花名册应向甲方备案，如人员发生变化及时向甲方上报。</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九、乙方作业前应对工作区域进行安全检查，如发现存在安全隐患或者其他不安全因素，乙方应立即向甲方报告并要求甲方整改，不得冒险作业。</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十、乙方应爱护甲方的设备、物资和各种设施，未经甲方许可不得使用，否则由此造成的损失由乙方负责相应赔偿;乙方自备的各类物资由乙方自行妥善保管，由于乙方保管不善而造成的丢失、损坏，由乙方自负。</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十一、乙方在接到甲方发出的隐患整改通知书后，必须按整改要求、整改期限落实整改;如解决不力而被甲方责令停工，由此造成的损失由乙方相应承担。</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第六条：如乙方违反本协议规定的义务，依法应当承担相应的法律责任。</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七条：乙方工作和生活区域的安全责任由乙方相应承担，如发生意外或事故造成人身、财产损失的，乙方应承担相应赔偿责任。如该意外或事故导致甲方承担赔偿责任的，乙方应赔偿甲方因此造成相应损失。乙方应约束乙方人员的行为，使之符合有关法律、法规及顺义医院的规章制度。如因上述人员侵害甲方或第三方的人身或财产权益，乙方应赔偿由此给甲方或第三方造成的相应损失。</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第八条：本协议一式捌份，甲方执陆份，乙方执两份，经双方签字盖章后与《</w:t>
      </w:r>
      <w:r>
        <w:rPr>
          <w:rFonts w:hint="eastAsia" w:ascii="仿宋" w:hAnsi="仿宋" w:eastAsia="仿宋" w:cs="仿宋"/>
          <w:color w:val="auto"/>
          <w:sz w:val="22"/>
          <w:szCs w:val="21"/>
          <w:highlight w:val="none"/>
          <w:lang w:val="en-US" w:eastAsia="zh-CN"/>
        </w:rPr>
        <w:t>xxxxxxxxxxxxxxxxx</w:t>
      </w:r>
      <w:r>
        <w:rPr>
          <w:rFonts w:hint="eastAsia" w:ascii="仿宋" w:hAnsi="仿宋" w:eastAsia="仿宋" w:cs="仿宋"/>
          <w:color w:val="auto"/>
          <w:sz w:val="22"/>
          <w:szCs w:val="21"/>
          <w:highlight w:val="none"/>
          <w:lang w:val="zh-CN"/>
        </w:rPr>
        <w:t>合同》同时生效。</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甲方（盖章）：北京市顺义区医院</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法定代表或授权代表人签字：</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签署日期：</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年</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月</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日</w:t>
      </w: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乙方（盖章）：</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法定代表或授权代表人签字：</w:t>
      </w:r>
    </w:p>
    <w:p>
      <w:pPr>
        <w:spacing w:line="360" w:lineRule="auto"/>
        <w:ind w:firstLine="440" w:firstLineChars="200"/>
        <w:rPr>
          <w:rFonts w:hint="eastAsia" w:ascii="仿宋" w:hAnsi="仿宋" w:eastAsia="仿宋" w:cs="仿宋"/>
          <w:color w:val="auto"/>
          <w:sz w:val="22"/>
          <w:szCs w:val="21"/>
          <w:highlight w:val="none"/>
          <w:lang w:val="zh-CN"/>
        </w:rPr>
      </w:pPr>
      <w:r>
        <w:rPr>
          <w:rFonts w:hint="eastAsia" w:ascii="仿宋" w:hAnsi="仿宋" w:eastAsia="仿宋" w:cs="仿宋"/>
          <w:color w:val="auto"/>
          <w:sz w:val="22"/>
          <w:szCs w:val="21"/>
          <w:highlight w:val="none"/>
          <w:lang w:val="zh-CN"/>
        </w:rPr>
        <w:t>签署日期：</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年</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月</w:t>
      </w:r>
      <w:r>
        <w:rPr>
          <w:rFonts w:hint="eastAsia" w:ascii="仿宋" w:hAnsi="仿宋" w:eastAsia="仿宋" w:cs="仿宋"/>
          <w:color w:val="auto"/>
          <w:sz w:val="22"/>
          <w:szCs w:val="21"/>
          <w:highlight w:val="none"/>
          <w:lang w:val="en-US" w:eastAsia="zh-CN"/>
        </w:rPr>
        <w:t xml:space="preserve">  </w:t>
      </w:r>
      <w:r>
        <w:rPr>
          <w:rFonts w:hint="eastAsia" w:ascii="仿宋" w:hAnsi="仿宋" w:eastAsia="仿宋" w:cs="仿宋"/>
          <w:color w:val="auto"/>
          <w:sz w:val="22"/>
          <w:szCs w:val="21"/>
          <w:highlight w:val="none"/>
          <w:lang w:val="zh-CN"/>
        </w:rPr>
        <w:t>日</w:t>
      </w: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40" w:firstLineChars="200"/>
        <w:rPr>
          <w:rFonts w:hint="eastAsia" w:ascii="仿宋" w:hAnsi="仿宋" w:eastAsia="仿宋" w:cs="仿宋"/>
          <w:color w:val="auto"/>
          <w:sz w:val="22"/>
          <w:szCs w:val="21"/>
          <w:highlight w:val="none"/>
          <w:lang w:val="zh-CN"/>
        </w:rPr>
      </w:pPr>
    </w:p>
    <w:p>
      <w:pPr>
        <w:spacing w:line="360" w:lineRule="auto"/>
        <w:ind w:firstLine="480" w:firstLineChars="200"/>
        <w:rPr>
          <w:rFonts w:hint="default" w:ascii="仿宋" w:hAnsi="仿宋" w:eastAsia="仿宋"/>
          <w:sz w:val="24"/>
          <w:lang w:val="en-US" w:eastAsia="zh-CN"/>
        </w:rPr>
      </w:pPr>
      <w:r>
        <w:rPr>
          <w:rFonts w:hint="eastAsia" w:ascii="仿宋" w:hAnsi="仿宋" w:eastAsia="仿宋"/>
          <w:sz w:val="24"/>
          <w:highlight w:val="none"/>
        </w:rPr>
        <w:t>本合同附件：1）</w:t>
      </w:r>
      <w:r>
        <w:rPr>
          <w:rFonts w:hint="eastAsia" w:ascii="仿宋" w:hAnsi="仿宋" w:eastAsia="仿宋"/>
          <w:sz w:val="24"/>
        </w:rPr>
        <w:t>法定代表人授权书</w:t>
      </w:r>
      <w:r>
        <w:rPr>
          <w:rFonts w:hint="eastAsia" w:ascii="仿宋" w:hAnsi="仿宋" w:eastAsia="仿宋"/>
          <w:sz w:val="24"/>
          <w:lang w:eastAsia="zh-CN"/>
        </w:rPr>
        <w:t>，</w:t>
      </w:r>
      <w:r>
        <w:rPr>
          <w:rFonts w:hint="eastAsia" w:ascii="仿宋" w:hAnsi="仿宋" w:eastAsia="仿宋"/>
          <w:sz w:val="24"/>
          <w:lang w:val="en-US" w:eastAsia="zh-CN"/>
        </w:rPr>
        <w:t>加盖公章</w:t>
      </w:r>
      <w:r>
        <w:rPr>
          <w:rFonts w:hint="eastAsia" w:ascii="仿宋" w:hAnsi="仿宋" w:eastAsia="仿宋"/>
          <w:sz w:val="24"/>
        </w:rPr>
        <w:t>；2）</w:t>
      </w:r>
      <w:r>
        <w:rPr>
          <w:rFonts w:hint="eastAsia" w:ascii="仿宋" w:hAnsi="仿宋" w:eastAsia="仿宋"/>
          <w:sz w:val="24"/>
          <w:lang w:val="en-US" w:eastAsia="zh-CN"/>
        </w:rPr>
        <w:t>使用</w:t>
      </w:r>
      <w:r>
        <w:rPr>
          <w:rFonts w:hint="eastAsia" w:ascii="仿宋" w:hAnsi="仿宋" w:eastAsia="仿宋"/>
          <w:sz w:val="24"/>
        </w:rPr>
        <w:t>科室负责人维保服务内容</w:t>
      </w:r>
      <w:r>
        <w:rPr>
          <w:rFonts w:hint="eastAsia" w:ascii="仿宋" w:hAnsi="仿宋" w:eastAsia="仿宋"/>
          <w:sz w:val="24"/>
          <w:lang w:val="en-US" w:eastAsia="zh-CN"/>
        </w:rPr>
        <w:t>页</w:t>
      </w:r>
      <w:r>
        <w:rPr>
          <w:rFonts w:hint="eastAsia" w:ascii="仿宋" w:hAnsi="仿宋" w:eastAsia="仿宋"/>
          <w:sz w:val="24"/>
        </w:rPr>
        <w:t>手写签字</w:t>
      </w:r>
      <w:r>
        <w:rPr>
          <w:rFonts w:hint="eastAsia" w:ascii="仿宋" w:hAnsi="仿宋" w:eastAsia="仿宋"/>
          <w:sz w:val="24"/>
          <w:lang w:val="en-US" w:eastAsia="zh-CN"/>
        </w:rPr>
        <w:t>确认</w:t>
      </w:r>
      <w:r>
        <w:rPr>
          <w:rFonts w:hint="eastAsia" w:ascii="仿宋" w:hAnsi="仿宋" w:eastAsia="仿宋"/>
          <w:sz w:val="24"/>
        </w:rPr>
        <w:t>；3）加盖公章的售后服务承诺书；</w:t>
      </w:r>
      <w:r>
        <w:rPr>
          <w:rFonts w:hint="eastAsia" w:ascii="仿宋" w:hAnsi="仿宋" w:eastAsia="仿宋"/>
          <w:sz w:val="24"/>
          <w:highlight w:val="none"/>
        </w:rPr>
        <w:t>4）</w:t>
      </w:r>
      <w:r>
        <w:rPr>
          <w:rFonts w:hint="eastAsia" w:ascii="仿宋" w:hAnsi="仿宋" w:eastAsia="仿宋"/>
          <w:sz w:val="24"/>
          <w:highlight w:val="none"/>
          <w:lang w:val="en-US" w:eastAsia="zh-CN"/>
        </w:rPr>
        <w:t>乙</w:t>
      </w:r>
      <w:r>
        <w:rPr>
          <w:rFonts w:ascii="仿宋" w:hAnsi="仿宋" w:eastAsia="仿宋"/>
          <w:sz w:val="24"/>
          <w:highlight w:val="none"/>
        </w:rPr>
        <w:t>方资质证明</w:t>
      </w:r>
      <w:r>
        <w:rPr>
          <w:rFonts w:hint="eastAsia" w:ascii="仿宋" w:hAnsi="仿宋" w:eastAsia="仿宋"/>
          <w:sz w:val="24"/>
        </w:rPr>
        <w:t>；</w:t>
      </w:r>
      <w:r>
        <w:rPr>
          <w:rFonts w:hint="eastAsia" w:ascii="Helvetica" w:hAnsi="Helvetica" w:eastAsia="仿宋"/>
          <w:sz w:val="24"/>
          <w:lang w:val="en-US" w:eastAsia="zh-CN"/>
        </w:rPr>
        <w:t>5</w:t>
      </w:r>
      <w:r>
        <w:rPr>
          <w:rFonts w:hint="eastAsia" w:ascii="Helvetica" w:hAnsi="Helvetica"/>
          <w:sz w:val="24"/>
        </w:rPr>
        <w:t>）</w:t>
      </w:r>
      <w:r>
        <w:rPr>
          <w:rFonts w:hint="eastAsia" w:ascii="仿宋" w:hAnsi="仿宋" w:eastAsia="仿宋"/>
          <w:sz w:val="24"/>
        </w:rPr>
        <w:t>中标</w:t>
      </w:r>
      <w:r>
        <w:rPr>
          <w:rFonts w:hint="eastAsia" w:ascii="仿宋" w:hAnsi="仿宋" w:eastAsia="仿宋"/>
          <w:sz w:val="24"/>
          <w:lang w:eastAsia="zh-CN"/>
        </w:rPr>
        <w:t>（</w:t>
      </w:r>
      <w:r>
        <w:rPr>
          <w:rFonts w:hint="eastAsia" w:ascii="仿宋" w:hAnsi="仿宋" w:eastAsia="仿宋"/>
          <w:sz w:val="24"/>
          <w:lang w:val="en-US" w:eastAsia="zh-CN"/>
        </w:rPr>
        <w:t>中选</w:t>
      </w:r>
      <w:r>
        <w:rPr>
          <w:rFonts w:hint="eastAsia" w:ascii="仿宋" w:hAnsi="仿宋" w:eastAsia="仿宋"/>
          <w:sz w:val="24"/>
          <w:lang w:eastAsia="zh-CN"/>
        </w:rPr>
        <w:t>）</w:t>
      </w:r>
      <w:r>
        <w:rPr>
          <w:rFonts w:hint="eastAsia" w:ascii="仿宋" w:hAnsi="仿宋" w:eastAsia="仿宋"/>
          <w:sz w:val="24"/>
        </w:rPr>
        <w:t>通知书；</w:t>
      </w:r>
      <w:r>
        <w:rPr>
          <w:rFonts w:hint="eastAsia" w:ascii="仿宋" w:hAnsi="仿宋" w:eastAsia="仿宋"/>
          <w:sz w:val="24"/>
          <w:lang w:val="en-US" w:eastAsia="zh-CN"/>
        </w:rPr>
        <w:t>6</w:t>
      </w:r>
      <w:r>
        <w:rPr>
          <w:rFonts w:hint="eastAsia" w:ascii="仿宋" w:hAnsi="仿宋" w:eastAsia="仿宋"/>
          <w:sz w:val="24"/>
        </w:rPr>
        <w:t>）</w:t>
      </w:r>
      <w:r>
        <w:rPr>
          <w:rFonts w:hint="eastAsia" w:ascii="仿宋" w:hAnsi="仿宋" w:eastAsia="仿宋"/>
          <w:sz w:val="24"/>
          <w:lang w:val="en-US" w:eastAsia="zh-CN"/>
        </w:rPr>
        <w:t>乙方</w:t>
      </w:r>
      <w:r>
        <w:rPr>
          <w:rFonts w:hint="eastAsia" w:ascii="仿宋" w:hAnsi="仿宋" w:eastAsia="仿宋"/>
          <w:sz w:val="24"/>
        </w:rPr>
        <w:t>法定代表人身份证及被授权人身份证复印件，加盖公章；</w:t>
      </w:r>
      <w:r>
        <w:rPr>
          <w:rFonts w:hint="eastAsia" w:ascii="仿宋" w:hAnsi="仿宋" w:eastAsia="仿宋"/>
          <w:sz w:val="24"/>
          <w:lang w:val="en-US" w:eastAsia="zh-CN"/>
        </w:rPr>
        <w:t>7</w:t>
      </w:r>
      <w:r>
        <w:rPr>
          <w:rFonts w:hint="eastAsia" w:ascii="仿宋" w:hAnsi="仿宋" w:eastAsia="仿宋"/>
          <w:sz w:val="24"/>
        </w:rPr>
        <w:t>）安全生产协议书</w:t>
      </w:r>
      <w:r>
        <w:rPr>
          <w:rFonts w:hint="eastAsia" w:ascii="仿宋" w:hAnsi="仿宋" w:eastAsia="仿宋"/>
          <w:sz w:val="24"/>
          <w:lang w:eastAsia="zh-CN"/>
        </w:rPr>
        <w:t>，</w:t>
      </w:r>
      <w:r>
        <w:rPr>
          <w:rFonts w:hint="eastAsia" w:ascii="仿宋" w:hAnsi="仿宋" w:eastAsia="仿宋"/>
          <w:sz w:val="24"/>
          <w:lang w:val="en-US" w:eastAsia="zh-CN"/>
        </w:rPr>
        <w:t>加盖公章。</w:t>
      </w:r>
    </w:p>
    <w:p/>
    <w:p>
      <w:pPr>
        <w:tabs>
          <w:tab w:val="left" w:pos="900"/>
          <w:tab w:val="left" w:pos="1080"/>
        </w:tabs>
        <w:snapToGrid w:val="0"/>
        <w:spacing w:line="360" w:lineRule="auto"/>
        <w:jc w:val="center"/>
        <w:rPr>
          <w:rFonts w:hint="eastAsia" w:hAnsi="宋体"/>
          <w:color w:val="000000" w:themeColor="text1"/>
          <w:sz w:val="24"/>
          <w14:textFill>
            <w14:solidFill>
              <w14:schemeClr w14:val="tx1"/>
            </w14:solidFill>
          </w14:textFill>
        </w:rPr>
      </w:pPr>
    </w:p>
    <w:p>
      <w:pPr>
        <w:widowControl/>
        <w:jc w:val="left"/>
        <w:rPr>
          <w:rFonts w:hAnsi="宋体"/>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br w:type="page"/>
      </w:r>
    </w:p>
    <w:bookmarkEnd w:id="848"/>
    <w:p>
      <w:pPr>
        <w:spacing w:line="360" w:lineRule="auto"/>
        <w:jc w:val="center"/>
        <w:outlineLvl w:val="0"/>
        <w:rPr>
          <w:b/>
          <w:color w:val="000000" w:themeColor="text1"/>
          <w:sz w:val="36"/>
          <w:szCs w:val="36"/>
          <w14:textFill>
            <w14:solidFill>
              <w14:schemeClr w14:val="tx1"/>
            </w14:solidFill>
          </w14:textFill>
        </w:rPr>
      </w:pPr>
      <w:bookmarkStart w:id="849" w:name="_Toc229670247"/>
      <w:r>
        <w:rPr>
          <w:b/>
          <w:color w:val="000000" w:themeColor="text1"/>
          <w:sz w:val="36"/>
          <w:szCs w:val="36"/>
          <w14:textFill>
            <w14:solidFill>
              <w14:schemeClr w14:val="tx1"/>
            </w14:solidFill>
          </w14:textFill>
        </w:rPr>
        <w:t>第七章   投标文件格式</w:t>
      </w:r>
      <w:bookmarkEnd w:id="849"/>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3、全部声明和问题的回答及所附材料必须是真实的、准确的和完整的。</w:t>
      </w:r>
    </w:p>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r>
        <w:rPr>
          <w:b/>
          <w:color w:val="000000" w:themeColor="text1"/>
          <w:spacing w:val="20"/>
          <w:sz w:val="24"/>
          <w14:textFill>
            <w14:solidFill>
              <w14:schemeClr w14:val="tx1"/>
            </w14:solidFill>
          </w14:textFill>
        </w:rPr>
        <w:t>一、资格证明文件格式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pPr>
        <w:jc w:val="center"/>
        <w:rPr>
          <w:color w:val="000000" w:themeColor="text1"/>
          <w:szCs w:val="21"/>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（资格证明文件）</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jc w:val="center"/>
        <w:rPr>
          <w:b/>
          <w:color w:val="000000" w:themeColor="text1"/>
          <w:sz w:val="32"/>
          <w:szCs w:val="32"/>
          <w14:textFill>
            <w14:solidFill>
              <w14:schemeClr w14:val="tx1"/>
            </w14:solidFill>
          </w14:textFill>
        </w:rPr>
      </w:pPr>
    </w:p>
    <w:p>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ab/>
      </w:r>
      <w:r>
        <w:rPr>
          <w:color w:val="000000" w:themeColor="text1"/>
          <w:sz w:val="24"/>
          <w14:textFill>
            <w14:solidFill>
              <w14:schemeClr w14:val="tx1"/>
            </w14:solidFill>
          </w14:textFill>
        </w:rPr>
        <w:t>满足《中华人民共和国政府采购法》第二十二条规定</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pPr>
        <w:tabs>
          <w:tab w:val="left" w:pos="1080"/>
        </w:tabs>
        <w:snapToGrid w:val="0"/>
        <w:rPr>
          <w:color w:val="000000" w:themeColor="text1"/>
          <w:sz w:val="24"/>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pPr>
        <w:pStyle w:val="4"/>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（一）</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具有良好的商业信誉和健全的财务会计制度；</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（二）</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具有履行合同所必需的设备和专业技术能力；</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（三）</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有依法缴纳税收和社会保障资金的良好记录；</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（四）</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（五）</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（六）</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（七）</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18"/>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bl>
    <w:p>
      <w:pPr>
        <w:rPr>
          <w:color w:val="000000" w:themeColor="text1"/>
          <w14:textFill>
            <w14:solidFill>
              <w14:schemeClr w14:val="tx1"/>
            </w14:solidFill>
          </w14:textFill>
        </w:rPr>
      </w:pPr>
    </w:p>
    <w:p>
      <w:pPr>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pPr>
        <w:spacing w:line="360" w:lineRule="auto"/>
        <w:rPr>
          <w:color w:val="000000" w:themeColor="text1"/>
          <w:sz w:val="24"/>
          <w14:textFill>
            <w14:solidFill>
              <w14:schemeClr w14:val="tx1"/>
            </w14:solidFill>
          </w14:textFill>
        </w:rPr>
      </w:pPr>
    </w:p>
    <w:p>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pPr>
        <w:tabs>
          <w:tab w:val="left" w:pos="5580"/>
        </w:tabs>
        <w:spacing w:line="360" w:lineRule="auto"/>
        <w:rPr>
          <w:color w:val="000000" w:themeColor="text1"/>
          <w:sz w:val="24"/>
          <w14:textFill>
            <w14:solidFill>
              <w14:schemeClr w14:val="tx1"/>
            </w14:solidFill>
          </w14:textFill>
        </w:rPr>
        <w:sectPr>
          <w:pgSz w:w="11907" w:h="16840"/>
          <w:pgMar w:top="1418" w:right="1134" w:bottom="1418" w:left="1701" w:header="851" w:footer="851" w:gutter="0"/>
          <w:cols w:space="720" w:num="1"/>
          <w:docGrid w:linePitch="462" w:charSpace="0"/>
        </w:sectPr>
      </w:pP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2</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落实政府采购政策需满足的资格要求（如有）</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850" w:name="_Hlk145526067"/>
      <w:r>
        <w:rPr>
          <w:color w:val="000000" w:themeColor="text1"/>
          <w:sz w:val="24"/>
          <w14:textFill>
            <w14:solidFill>
              <w14:schemeClr w14:val="tx1"/>
            </w14:solidFill>
          </w14:textFill>
        </w:rPr>
        <w:t>如供应商为联合体的，</w:t>
      </w:r>
      <w:bookmarkEnd w:id="850"/>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（5）中小企业声明函填写注意事项</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1）《中小企业声明函》由参加政府采购活动的投标人出具。联合体投标的，《中小企业声明函》可由牵头人出具。</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pPr>
        <w:pStyle w:val="5"/>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pPr>
        <w:adjustRightInd w:val="0"/>
        <w:snapToGrid w:val="0"/>
        <w:jc w:val="left"/>
        <w:rPr>
          <w:color w:val="000000" w:themeColor="text1"/>
          <w:sz w:val="24"/>
          <w:szCs w:val="21"/>
          <w14:textFill>
            <w14:solidFill>
              <w14:schemeClr w14:val="tx1"/>
            </w14:solidFill>
          </w14:textFill>
        </w:rPr>
      </w:pPr>
    </w:p>
    <w:p>
      <w:pPr>
        <w:adjustRightInd w:val="0"/>
        <w:snapToGrid w:val="0"/>
        <w:jc w:val="left"/>
        <w:rPr>
          <w:color w:val="000000" w:themeColor="text1"/>
          <w:sz w:val="24"/>
          <w:szCs w:val="21"/>
          <w14:textFill>
            <w14:solidFill>
              <w14:schemeClr w14:val="tx1"/>
            </w14:solidFill>
          </w14:textFill>
        </w:rPr>
      </w:pPr>
    </w:p>
    <w:tbl>
      <w:tblPr>
        <w:tblStyle w:val="18"/>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pPr>
        <w:adjustRightInd w:val="0"/>
        <w:snapToGrid w:val="0"/>
        <w:jc w:val="left"/>
        <w:rPr>
          <w:color w:val="000000" w:themeColor="text1"/>
          <w:szCs w:val="21"/>
          <w:vertAlign w:val="superscript"/>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pPr>
        <w:spacing w:line="588" w:lineRule="exact"/>
        <w:ind w:firstLine="504" w:firstLineChars="200"/>
        <w:rPr>
          <w:color w:val="000000" w:themeColor="text1"/>
          <w:spacing w:val="6"/>
          <w:sz w:val="24"/>
          <w14:textFill>
            <w14:solidFill>
              <w14:schemeClr w14:val="tx1"/>
            </w14:solidFill>
          </w14:textFill>
        </w:rPr>
      </w:pPr>
    </w:p>
    <w:p>
      <w:pPr>
        <w:spacing w:line="588" w:lineRule="exact"/>
        <w:ind w:firstLine="504" w:firstLineChars="200"/>
        <w:rPr>
          <w:color w:val="000000" w:themeColor="text1"/>
          <w:spacing w:val="6"/>
          <w:sz w:val="24"/>
          <w14:textFill>
            <w14:solidFill>
              <w14:schemeClr w14:val="tx1"/>
            </w14:solidFill>
          </w14:textFill>
        </w:rPr>
      </w:pPr>
    </w:p>
    <w:p>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pPr>
        <w:widowControl/>
        <w:jc w:val="left"/>
        <w:rPr>
          <w:color w:val="000000" w:themeColor="text1"/>
          <w:sz w:val="24"/>
          <w14:textFill>
            <w14:solidFill>
              <w14:schemeClr w14:val="tx1"/>
            </w14:solidFill>
          </w14:textFill>
        </w:rPr>
      </w:pPr>
    </w:p>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pPr>
        <w:tabs>
          <w:tab w:val="left" w:pos="5580"/>
        </w:tabs>
        <w:spacing w:line="360" w:lineRule="auto"/>
        <w:rPr>
          <w:rFonts w:eastAsia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根据财政部财库〔2016〕125 号《财政部要求加强政采信用记录查询及使用信用记录有关问题的通知》文件相关规定，供应商不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r>
        <w:rPr>
          <w:rFonts w:eastAsiaTheme="minorEastAsia"/>
          <w:color w:val="000000" w:themeColor="text1"/>
          <w:sz w:val="24"/>
          <w14:textFill>
            <w14:solidFill>
              <w14:schemeClr w14:val="tx1"/>
            </w14:solidFill>
          </w14:textFill>
        </w:rPr>
        <w:t>。</w:t>
      </w:r>
    </w:p>
    <w:p>
      <w:pPr>
        <w:rPr>
          <w:color w:val="000000" w:themeColor="text1"/>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4</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投标保证金凭证/交款单据电子件</w:t>
      </w:r>
    </w:p>
    <w:p>
      <w:pPr>
        <w:spacing w:line="360" w:lineRule="auto"/>
        <w:rPr>
          <w:color w:val="000000" w:themeColor="text1"/>
          <w:sz w:val="24"/>
          <w:szCs w:val="20"/>
          <w14:textFill>
            <w14:solidFill>
              <w14:schemeClr w14:val="tx1"/>
            </w14:solidFill>
          </w14:textFill>
        </w:rPr>
      </w:pPr>
    </w:p>
    <w:p>
      <w:pPr>
        <w:spacing w:line="360" w:lineRule="auto"/>
        <w:rPr>
          <w:color w:val="000000" w:themeColor="text1"/>
          <w:sz w:val="24"/>
          <w:szCs w:val="20"/>
          <w14:textFill>
            <w14:solidFill>
              <w14:schemeClr w14:val="tx1"/>
            </w14:solidFill>
          </w14:textFill>
        </w:rPr>
      </w:pPr>
    </w:p>
    <w:p>
      <w:pPr>
        <w:widowControl/>
        <w:jc w:val="left"/>
        <w:rPr>
          <w:color w:val="000000" w:themeColor="text1"/>
          <w:kern w:val="0"/>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r>
        <w:rPr>
          <w:b/>
          <w:color w:val="000000" w:themeColor="text1"/>
          <w:spacing w:val="20"/>
          <w:sz w:val="24"/>
          <w14:textFill>
            <w14:solidFill>
              <w14:schemeClr w14:val="tx1"/>
            </w14:solidFill>
          </w14:textFill>
        </w:rPr>
        <w:t>二、商务技术文件格式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pPr>
        <w:jc w:val="center"/>
        <w:rPr>
          <w:color w:val="000000" w:themeColor="text1"/>
          <w:szCs w:val="21"/>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（商务技术文件）</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jc w:val="center"/>
        <w:rPr>
          <w:b/>
          <w:color w:val="000000" w:themeColor="text1"/>
          <w:sz w:val="32"/>
          <w:szCs w:val="32"/>
          <w14:textFill>
            <w14:solidFill>
              <w14:schemeClr w14:val="tx1"/>
            </w14:solidFill>
          </w14:textFill>
        </w:rPr>
      </w:pPr>
    </w:p>
    <w:p>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bookmarkStart w:id="851" w:name="_Hlt520343000"/>
      <w:bookmarkEnd w:id="851"/>
      <w:bookmarkStart w:id="852" w:name="_Hlt520274393"/>
      <w:bookmarkEnd w:id="852"/>
      <w:bookmarkStart w:id="853" w:name="_Hlt520274407"/>
      <w:bookmarkEnd w:id="853"/>
      <w:bookmarkStart w:id="854" w:name="_Hlt520274065"/>
      <w:bookmarkEnd w:id="854"/>
      <w:bookmarkStart w:id="855" w:name="_Hlt520274121"/>
      <w:bookmarkEnd w:id="855"/>
      <w:bookmarkStart w:id="856" w:name="_Hlt520271212"/>
      <w:bookmarkEnd w:id="856"/>
      <w:bookmarkStart w:id="857" w:name="_Hlt520350918"/>
      <w:bookmarkEnd w:id="857"/>
      <w:bookmarkStart w:id="858" w:name="_Hlt520273711"/>
      <w:bookmarkEnd w:id="858"/>
      <w:bookmarkStart w:id="859" w:name="_Hlt520355504"/>
      <w:bookmarkEnd w:id="859"/>
      <w:bookmarkStart w:id="860" w:name="_Hlt520343392"/>
      <w:bookmarkEnd w:id="860"/>
      <w:bookmarkStart w:id="861" w:name="_Ref467988698"/>
      <w:bookmarkStart w:id="862" w:name="_Toc480942349"/>
      <w:bookmarkStart w:id="863" w:name="_Toc150480794"/>
      <w:bookmarkStart w:id="864" w:name="_Toc195842921"/>
      <w:bookmarkStart w:id="865" w:name="_Toc127151556"/>
      <w:bookmarkStart w:id="866" w:name="_Toc226337252"/>
      <w:bookmarkStart w:id="867" w:name="_Toc520356217"/>
      <w:bookmarkStart w:id="868" w:name="_Toc150774761"/>
      <w:bookmarkStart w:id="869" w:name="_Toc226309800"/>
      <w:bookmarkStart w:id="870" w:name="_Toc226965829"/>
      <w:bookmarkStart w:id="871" w:name="_Toc142311058"/>
      <w:bookmarkStart w:id="872" w:name="_Toc226965746"/>
      <w:r>
        <w:rPr>
          <w:rFonts w:hint="eastAsia"/>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ab/>
      </w:r>
      <w:r>
        <w:rPr>
          <w:color w:val="000000" w:themeColor="text1"/>
          <w:sz w:val="24"/>
          <w14:textFill>
            <w14:solidFill>
              <w14:schemeClr w14:val="tx1"/>
            </w14:solidFill>
          </w14:textFill>
        </w:rPr>
        <w:t>投标</w:t>
      </w:r>
      <w:bookmarkEnd w:id="861"/>
      <w:bookmarkEnd w:id="862"/>
      <w:r>
        <w:rPr>
          <w:color w:val="000000" w:themeColor="text1"/>
          <w:sz w:val="24"/>
          <w14:textFill>
            <w14:solidFill>
              <w14:schemeClr w14:val="tx1"/>
            </w14:solidFill>
          </w14:textFill>
        </w:rPr>
        <w:t>书</w:t>
      </w:r>
      <w:bookmarkEnd w:id="863"/>
      <w:bookmarkEnd w:id="864"/>
      <w:bookmarkEnd w:id="865"/>
      <w:bookmarkEnd w:id="866"/>
      <w:bookmarkEnd w:id="867"/>
      <w:bookmarkEnd w:id="868"/>
      <w:bookmarkEnd w:id="869"/>
      <w:bookmarkEnd w:id="870"/>
      <w:bookmarkEnd w:id="871"/>
      <w:bookmarkEnd w:id="872"/>
      <w:r>
        <w:rPr>
          <w:color w:val="000000" w:themeColor="text1"/>
          <w:sz w:val="24"/>
          <w:szCs w:val="20"/>
          <w14:textFill>
            <w14:solidFill>
              <w14:schemeClr w14:val="tx1"/>
            </w14:solidFill>
          </w14:textFill>
        </w:rPr>
        <w:t>（实质性格式）</w:t>
      </w:r>
    </w:p>
    <w:p>
      <w:pPr>
        <w:tabs>
          <w:tab w:val="left" w:pos="5580"/>
        </w:tabs>
        <w:spacing w:line="360" w:lineRule="auto"/>
        <w:rPr>
          <w:color w:val="000000" w:themeColor="text1"/>
          <w:sz w:val="24"/>
          <w14:textFill>
            <w14:solidFill>
              <w14:schemeClr w14:val="tx1"/>
            </w14:solidFill>
          </w14:textFill>
        </w:rPr>
      </w:pPr>
    </w:p>
    <w:p>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tabs>
          <w:tab w:val="left" w:pos="5580"/>
        </w:tabs>
        <w:spacing w:line="360" w:lineRule="auto"/>
        <w:rPr>
          <w:color w:val="000000" w:themeColor="text1"/>
          <w:sz w:val="24"/>
          <w:szCs w:val="20"/>
          <w14:textFill>
            <w14:solidFill>
              <w14:schemeClr w14:val="tx1"/>
            </w14:solidFill>
          </w14:textFill>
        </w:rPr>
      </w:pP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我方参加你方就___________（项目名称，项目编号/包号）组织的招标活动，并对此项目进行投标。</w:t>
      </w: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5580"/>
        </w:tabs>
        <w:spacing w:line="360" w:lineRule="auto"/>
        <w:ind w:left="420"/>
        <w:rPr>
          <w:color w:val="000000" w:themeColor="text1"/>
          <w:sz w:val="24"/>
          <w:szCs w:val="20"/>
          <w:u w:val="single"/>
          <w14:textFill>
            <w14:solidFill>
              <w14:schemeClr w14:val="tx1"/>
            </w14:solidFill>
          </w14:textFill>
        </w:rPr>
      </w:pPr>
    </w:p>
    <w:p>
      <w:pPr>
        <w:widowControl/>
        <w:jc w:val="left"/>
        <w:rPr>
          <w:color w:val="000000" w:themeColor="text1"/>
          <w:sz w:val="24"/>
          <w14:textFill>
            <w14:solidFill>
              <w14:schemeClr w14:val="tx1"/>
            </w14:solidFill>
          </w14:textFill>
        </w:rPr>
      </w:pPr>
      <w:bookmarkStart w:id="873" w:name="_Hlt520355938"/>
      <w:bookmarkEnd w:id="873"/>
      <w:bookmarkStart w:id="874" w:name="_Hlt520356243"/>
      <w:bookmarkEnd w:id="874"/>
      <w:bookmarkStart w:id="875" w:name="_Toc305158825"/>
      <w:bookmarkStart w:id="876" w:name="_Toc226337253"/>
      <w:bookmarkStart w:id="877" w:name="_Toc150774762"/>
      <w:bookmarkStart w:id="878" w:name="_Toc264969247"/>
      <w:bookmarkStart w:id="879" w:name="_Toc150480795"/>
      <w:bookmarkStart w:id="880" w:name="_Toc226309801"/>
      <w:bookmarkStart w:id="881" w:name="_Toc520356218"/>
      <w:bookmarkStart w:id="882" w:name="_Toc195842922"/>
      <w:bookmarkStart w:id="883" w:name="_Toc226965747"/>
      <w:bookmarkStart w:id="884" w:name="_Toc265228395"/>
      <w:bookmarkStart w:id="885" w:name="_Toc480942350"/>
      <w:bookmarkStart w:id="886" w:name="_Toc305158899"/>
      <w:bookmarkStart w:id="887" w:name="_Toc226965830"/>
      <w:bookmarkStart w:id="888" w:name="_Toc127151557"/>
      <w:bookmarkStart w:id="889" w:name="_Toc142311059"/>
      <w:bookmarkStart w:id="890" w:name="_Ref467988705"/>
      <w:r>
        <w:rPr>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授权委托书（实质性格式）</w:t>
      </w: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pPr>
        <w:spacing w:line="360" w:lineRule="auto"/>
        <w:ind w:firstLine="420"/>
        <w:rPr>
          <w:color w:val="000000" w:themeColor="text1"/>
          <w:sz w:val="24"/>
          <w:szCs w:val="20"/>
          <w14:textFill>
            <w14:solidFill>
              <w14:schemeClr w14:val="tx1"/>
            </w14:solidFill>
          </w14:textFill>
        </w:rPr>
      </w:pP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pPr>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tabs>
          <w:tab w:val="left" w:pos="5580"/>
        </w:tabs>
        <w:spacing w:line="360" w:lineRule="auto"/>
        <w:ind w:firstLine="480" w:firstLineChars="200"/>
        <w:rPr>
          <w:color w:val="000000" w:themeColor="text1"/>
          <w:sz w:val="24"/>
          <w:szCs w:val="20"/>
          <w14:textFill>
            <w14:solidFill>
              <w14:schemeClr w14:val="tx1"/>
            </w14:solidFill>
          </w14:textFill>
        </w:rPr>
      </w:pPr>
    </w:p>
    <w:p>
      <w:pPr>
        <w:tabs>
          <w:tab w:val="left" w:pos="5580"/>
        </w:tabs>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1.若供应商为事业单位或其他组织或分支机构，则法定代表人（单位负责人）处的签署人可为单位负责人。</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3.供应商为自然人的情形，可不提供本《授权委托书》。</w:t>
      </w:r>
    </w:p>
    <w:p>
      <w:pPr>
        <w:tabs>
          <w:tab w:val="left" w:pos="5580"/>
        </w:tabs>
        <w:spacing w:line="360" w:lineRule="auto"/>
        <w:jc w:val="left"/>
        <w:rPr>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14:textFill>
            <w14:solidFill>
              <w14:schemeClr w14:val="tx1"/>
            </w14:solidFill>
          </w14:textFill>
        </w:rPr>
        <w:t>或</w:t>
      </w:r>
      <w:r>
        <w:rPr>
          <w:color w:val="000000" w:themeColor="text1"/>
          <w:sz w:val="24"/>
          <w:szCs w:val="20"/>
          <w14:textFill>
            <w14:solidFill>
              <w14:schemeClr w14:val="tx1"/>
            </w14:solidFill>
          </w14:textFill>
        </w:rPr>
        <w:t>护照等身份证明文件电子件。提供身份证的，应同时提供身份证</w:t>
      </w:r>
      <w:r>
        <w:rPr>
          <w:b/>
          <w:color w:val="000000" w:themeColor="text1"/>
          <w:sz w:val="24"/>
          <w:szCs w:val="20"/>
          <w14:textFill>
            <w14:solidFill>
              <w14:schemeClr w14:val="tx1"/>
            </w14:solidFill>
          </w14:textFill>
        </w:rPr>
        <w:t>双面</w:t>
      </w:r>
      <w:r>
        <w:rPr>
          <w:color w:val="000000" w:themeColor="text1"/>
          <w:sz w:val="24"/>
          <w:szCs w:val="20"/>
          <w14:textFill>
            <w14:solidFill>
              <w14:schemeClr w14:val="tx1"/>
            </w14:solidFill>
          </w14:textFill>
        </w:rPr>
        <w:t>电子件。</w:t>
      </w:r>
      <w:r>
        <w:rPr>
          <w:color w:val="000000" w:themeColor="text1"/>
          <w:sz w:val="30"/>
          <w:szCs w:val="30"/>
          <w14:textFill>
            <w14:solidFill>
              <w14:schemeClr w14:val="tx1"/>
            </w14:solidFill>
          </w14:textFill>
        </w:rPr>
        <w:br w:type="page"/>
      </w: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pPr>
        <w:kinsoku w:val="0"/>
        <w:overflowPunct w:val="0"/>
        <w:spacing w:line="200" w:lineRule="exact"/>
        <w:rPr>
          <w:color w:val="000000" w:themeColor="text1"/>
          <w:sz w:val="20"/>
          <w:szCs w:val="20"/>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tabs>
          <w:tab w:val="left" w:pos="2412"/>
          <w:tab w:val="left" w:pos="3883"/>
          <w:tab w:val="left" w:pos="5352"/>
          <w:tab w:val="left" w:pos="6821"/>
        </w:tabs>
        <w:kinsoku w:val="0"/>
        <w:overflowPunct w:val="0"/>
        <w:spacing w:line="335"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兹证明，</w:t>
      </w:r>
    </w:p>
    <w:p>
      <w:pPr>
        <w:tabs>
          <w:tab w:val="left" w:pos="1690"/>
          <w:tab w:val="left" w:pos="3400"/>
          <w:tab w:val="left" w:pos="5110"/>
          <w:tab w:val="left" w:pos="6821"/>
        </w:tabs>
        <w:kinsoku w:val="0"/>
        <w:overflowPunct w:val="0"/>
        <w:spacing w:line="335" w:lineRule="exact"/>
        <w:rPr>
          <w:color w:val="000000" w:themeColor="text1"/>
          <w14:textFill>
            <w14:solidFill>
              <w14:schemeClr w14:val="tx1"/>
            </w14:solidFill>
          </w14:textFill>
        </w:rPr>
      </w:pPr>
      <w:r>
        <w:rPr>
          <w:color w:val="000000" w:themeColor="text1"/>
          <w14:textFill>
            <w14:solidFill>
              <w14:schemeClr w14:val="tx1"/>
            </w14:solidFill>
          </w14:textFill>
        </w:rPr>
        <w:t>姓名：____性别：____年龄：____职务：____</w:t>
      </w:r>
    </w:p>
    <w:p>
      <w:pPr>
        <w:tabs>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p>
    <w:p>
      <w:pPr>
        <w:tabs>
          <w:tab w:val="left" w:pos="2250"/>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r>
        <w:rPr>
          <w:color w:val="000000" w:themeColor="text1"/>
          <w14:textFill>
            <w14:solidFill>
              <w14:schemeClr w14:val="tx1"/>
            </w14:solidFill>
          </w14:textFill>
        </w:rPr>
        <w:t>系</w:t>
      </w:r>
      <w:r>
        <w:rPr>
          <w:color w:val="000000" w:themeColor="text1"/>
          <w:u w:val="single"/>
          <w14:textFill>
            <w14:solidFill>
              <w14:schemeClr w14:val="tx1"/>
            </w14:solidFill>
          </w14:textFill>
        </w:rPr>
        <w:tab/>
      </w:r>
      <w:r>
        <w:rPr>
          <w:color w:val="000000" w:themeColor="text1"/>
          <w14:textFill>
            <w14:solidFill>
              <w14:schemeClr w14:val="tx1"/>
            </w14:solidFill>
          </w14:textFill>
        </w:rPr>
        <w:t>（投标人名称）的法定代表人（单位负责人）。</w:t>
      </w:r>
    </w:p>
    <w:p>
      <w:pPr>
        <w:tabs>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p>
    <w:p>
      <w:pPr>
        <w:kinsoku w:val="0"/>
        <w:overflowPunct w:val="0"/>
        <w:spacing w:line="583" w:lineRule="auto"/>
        <w:ind w:right="-46"/>
        <w:rPr>
          <w:color w:val="000000" w:themeColor="text1"/>
          <w:szCs w:val="20"/>
          <w14:textFill>
            <w14:solidFill>
              <w14:schemeClr w14:val="tx1"/>
            </w14:solidFill>
          </w14:textFill>
        </w:rPr>
      </w:pPr>
      <w:r>
        <w:rPr>
          <w:color w:val="000000" w:themeColor="text1"/>
          <w:szCs w:val="20"/>
          <w14:textFill>
            <w14:solidFill>
              <w14:schemeClr w14:val="tx1"/>
            </w14:solidFill>
          </w14:textFill>
        </w:rPr>
        <w:t>附：法定代表人（单位负责人）身份证</w:t>
      </w:r>
      <w:r>
        <w:rPr>
          <w:rFonts w:hint="eastAsia"/>
          <w:color w:val="000000" w:themeColor="text1"/>
          <w:szCs w:val="20"/>
          <w14:textFill>
            <w14:solidFill>
              <w14:schemeClr w14:val="tx1"/>
            </w14:solidFill>
          </w14:textFill>
        </w:rPr>
        <w:t>或</w:t>
      </w:r>
      <w:r>
        <w:rPr>
          <w:color w:val="000000" w:themeColor="text1"/>
          <w:szCs w:val="20"/>
          <w14:textFill>
            <w14:solidFill>
              <w14:schemeClr w14:val="tx1"/>
            </w14:solidFill>
          </w14:textFill>
        </w:rPr>
        <w:t>护照等身份证明文件电子件：</w:t>
      </w:r>
    </w:p>
    <w:p>
      <w:pPr>
        <w:kinsoku w:val="0"/>
        <w:overflowPunct w:val="0"/>
        <w:spacing w:line="583" w:lineRule="auto"/>
        <w:ind w:right="4305"/>
        <w:rPr>
          <w:color w:val="000000" w:themeColor="text1"/>
          <w:spacing w:val="-3"/>
          <w14:textFill>
            <w14:solidFill>
              <w14:schemeClr w14:val="tx1"/>
            </w14:solidFill>
          </w14:textFill>
        </w:rPr>
      </w:pP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kinsoku w:val="0"/>
        <w:overflowPunct w:val="0"/>
        <w:spacing w:line="583" w:lineRule="auto"/>
        <w:ind w:right="95"/>
        <w:rPr>
          <w:color w:val="000000" w:themeColor="text1"/>
          <w:spacing w:val="-3"/>
          <w14:textFill>
            <w14:solidFill>
              <w14:schemeClr w14:val="tx1"/>
            </w14:solidFill>
          </w14:textFill>
        </w:rPr>
      </w:pPr>
      <w:r>
        <w:rPr>
          <w:color w:val="000000" w:themeColor="text1"/>
          <w:spacing w:val="-3"/>
          <w14:textFill>
            <w14:solidFill>
              <w14:schemeClr w14:val="tx1"/>
            </w14:solidFill>
          </w14:textFill>
        </w:rPr>
        <w:t>法定代表人（</w:t>
      </w:r>
      <w:r>
        <w:rPr>
          <w:color w:val="000000" w:themeColor="text1"/>
          <w14:textFill>
            <w14:solidFill>
              <w14:schemeClr w14:val="tx1"/>
            </w14:solidFill>
          </w14:textFill>
        </w:rPr>
        <w:t>单位负责人</w:t>
      </w:r>
      <w:r>
        <w:rPr>
          <w:color w:val="000000" w:themeColor="text1"/>
          <w:spacing w:val="-3"/>
          <w14:textFill>
            <w14:solidFill>
              <w14:schemeClr w14:val="tx1"/>
            </w14:solidFill>
          </w14:textFill>
        </w:rPr>
        <w:t>）（签字或签章）：_______</w:t>
      </w:r>
    </w:p>
    <w:p>
      <w:pPr>
        <w:autoSpaceDE w:val="0"/>
        <w:autoSpaceDN w:val="0"/>
        <w:adjustRightInd w:val="0"/>
        <w:snapToGrid w:val="0"/>
        <w:spacing w:line="360" w:lineRule="auto"/>
        <w:rPr>
          <w:color w:val="000000" w:themeColor="text1"/>
          <w:sz w:val="24"/>
          <w14:textFill>
            <w14:solidFill>
              <w14:schemeClr w14:val="tx1"/>
            </w14:solidFill>
          </w14:textFill>
        </w:rPr>
      </w:pP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widowControl/>
        <w:jc w:val="left"/>
        <w:rPr>
          <w:i/>
          <w:color w:val="000000" w:themeColor="text1"/>
          <w:sz w:val="24"/>
          <w:szCs w:val="20"/>
          <w:u w:val="single"/>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3</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开标一览表</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color w:val="000000" w:themeColor="text1"/>
          <w:sz w:val="24"/>
          <w:szCs w:val="20"/>
          <w14:textFill>
            <w14:solidFill>
              <w14:schemeClr w14:val="tx1"/>
            </w14:solidFill>
          </w14:textFill>
        </w:rPr>
        <w:t>（实质性格式）</w:t>
      </w:r>
    </w:p>
    <w:p>
      <w:pPr>
        <w:spacing w:line="360" w:lineRule="exact"/>
        <w:jc w:val="center"/>
        <w:rPr>
          <w:b/>
          <w:color w:val="000000" w:themeColor="text1"/>
          <w:sz w:val="36"/>
          <w:szCs w:val="36"/>
          <w14:textFill>
            <w14:solidFill>
              <w14:schemeClr w14:val="tx1"/>
            </w14:solidFill>
          </w14:textFill>
        </w:rPr>
      </w:pPr>
      <w:bookmarkStart w:id="891" w:name="_Toc164608827"/>
      <w:bookmarkStart w:id="892" w:name="_Toc164608672"/>
      <w:bookmarkStart w:id="893" w:name="_Toc226309802"/>
      <w:bookmarkStart w:id="894" w:name="_Toc305158900"/>
      <w:bookmarkStart w:id="895" w:name="_Toc265228396"/>
      <w:bookmarkStart w:id="896" w:name="_Toc264969248"/>
      <w:bookmarkStart w:id="897" w:name="_Toc226965748"/>
      <w:bookmarkStart w:id="898" w:name="_Toc195842923"/>
      <w:bookmarkStart w:id="899" w:name="_Toc226965831"/>
      <w:bookmarkStart w:id="900" w:name="_Toc226337254"/>
      <w:bookmarkStart w:id="901" w:name="_Toc305158826"/>
      <w:r>
        <w:rPr>
          <w:b/>
          <w:color w:val="000000" w:themeColor="text1"/>
          <w:sz w:val="36"/>
          <w:szCs w:val="36"/>
          <w14:textFill>
            <w14:solidFill>
              <w14:schemeClr w14:val="tx1"/>
            </w14:solidFill>
          </w14:textFill>
        </w:rPr>
        <w:t>开标一览表</w:t>
      </w:r>
      <w:bookmarkEnd w:id="891"/>
      <w:bookmarkEnd w:id="892"/>
      <w:bookmarkEnd w:id="893"/>
      <w:bookmarkEnd w:id="894"/>
      <w:bookmarkEnd w:id="895"/>
      <w:bookmarkEnd w:id="896"/>
      <w:bookmarkEnd w:id="897"/>
      <w:bookmarkEnd w:id="898"/>
      <w:bookmarkEnd w:id="899"/>
      <w:bookmarkEnd w:id="900"/>
      <w:bookmarkEnd w:id="901"/>
    </w:p>
    <w:p>
      <w:pPr>
        <w:tabs>
          <w:tab w:val="left" w:pos="1800"/>
          <w:tab w:val="left" w:pos="5580"/>
        </w:tabs>
        <w:spacing w:line="360" w:lineRule="auto"/>
        <w:jc w:val="left"/>
        <w:rPr>
          <w:i/>
          <w:color w:val="000000" w:themeColor="text1"/>
          <w:sz w:val="24"/>
          <w14:textFill>
            <w14:solidFill>
              <w14:schemeClr w14:val="tx1"/>
            </w14:solidFill>
          </w14:textFill>
        </w:rPr>
      </w:pPr>
    </w:p>
    <w:p>
      <w:pPr>
        <w:tabs>
          <w:tab w:val="left" w:pos="1800"/>
          <w:tab w:val="left" w:pos="5580"/>
        </w:tabs>
        <w:spacing w:line="360" w:lineRule="auto"/>
        <w:jc w:val="left"/>
        <w:rPr>
          <w:i/>
          <w:color w:val="000000" w:themeColor="text1"/>
          <w:sz w:val="24"/>
          <w14:textFill>
            <w14:solidFill>
              <w14:schemeClr w14:val="tx1"/>
            </w14:solidFill>
          </w14:textFill>
        </w:rPr>
      </w:pPr>
    </w:p>
    <w:p>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18"/>
        <w:tblW w:w="8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包号</w:t>
            </w:r>
          </w:p>
        </w:tc>
        <w:tc>
          <w:tcPr>
            <w:tcW w:w="3709"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3973" w:type="dxa"/>
            <w:gridSpan w:val="2"/>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pPr>
              <w:tabs>
                <w:tab w:val="left" w:pos="5580"/>
              </w:tabs>
              <w:jc w:val="center"/>
              <w:rPr>
                <w:color w:val="000000" w:themeColor="text1"/>
                <w:sz w:val="24"/>
                <w14:textFill>
                  <w14:solidFill>
                    <w14:schemeClr w14:val="tx1"/>
                  </w14:solidFill>
                </w14:textFill>
              </w:rPr>
            </w:pPr>
          </w:p>
        </w:tc>
        <w:tc>
          <w:tcPr>
            <w:tcW w:w="3709" w:type="dxa"/>
            <w:vMerge w:val="continue"/>
            <w:vAlign w:val="center"/>
          </w:tcPr>
          <w:p>
            <w:pPr>
              <w:tabs>
                <w:tab w:val="left" w:pos="5580"/>
              </w:tabs>
              <w:jc w:val="center"/>
              <w:rPr>
                <w:color w:val="000000" w:themeColor="text1"/>
                <w:sz w:val="24"/>
                <w14:textFill>
                  <w14:solidFill>
                    <w14:schemeClr w14:val="tx1"/>
                  </w14:solidFill>
                </w14:textFill>
              </w:rPr>
            </w:pPr>
          </w:p>
        </w:tc>
        <w:tc>
          <w:tcPr>
            <w:tcW w:w="1989"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1984"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color w:val="000000" w:themeColor="text1"/>
                <w:sz w:val="24"/>
                <w14:textFill>
                  <w14:solidFill>
                    <w14:schemeClr w14:val="tx1"/>
                  </w14:solidFill>
                </w14:textFill>
              </w:rPr>
            </w:pPr>
          </w:p>
        </w:tc>
        <w:tc>
          <w:tcPr>
            <w:tcW w:w="3709" w:type="dxa"/>
            <w:vAlign w:val="center"/>
          </w:tcPr>
          <w:p>
            <w:pPr>
              <w:tabs>
                <w:tab w:val="left" w:pos="5580"/>
              </w:tabs>
              <w:jc w:val="center"/>
              <w:rPr>
                <w:color w:val="000000" w:themeColor="text1"/>
                <w:sz w:val="24"/>
                <w14:textFill>
                  <w14:solidFill>
                    <w14:schemeClr w14:val="tx1"/>
                  </w14:solidFill>
                </w14:textFill>
              </w:rPr>
            </w:pPr>
          </w:p>
        </w:tc>
        <w:tc>
          <w:tcPr>
            <w:tcW w:w="1989" w:type="dxa"/>
            <w:vAlign w:val="center"/>
          </w:tcPr>
          <w:p>
            <w:pPr>
              <w:tabs>
                <w:tab w:val="left" w:pos="5580"/>
              </w:tabs>
              <w:jc w:val="center"/>
              <w:rPr>
                <w:color w:val="000000" w:themeColor="text1"/>
                <w:sz w:val="24"/>
                <w14:textFill>
                  <w14:solidFill>
                    <w14:schemeClr w14:val="tx1"/>
                  </w14:solidFill>
                </w14:textFill>
              </w:rPr>
            </w:pPr>
          </w:p>
        </w:tc>
        <w:tc>
          <w:tcPr>
            <w:tcW w:w="1984" w:type="dxa"/>
            <w:vAlign w:val="center"/>
          </w:tcPr>
          <w:p>
            <w:pPr>
              <w:tabs>
                <w:tab w:val="left" w:pos="5580"/>
              </w:tabs>
              <w:jc w:val="center"/>
              <w:rPr>
                <w:color w:val="000000" w:themeColor="text1"/>
                <w:sz w:val="24"/>
                <w14:textFill>
                  <w14:solidFill>
                    <w14:schemeClr w14:val="tx1"/>
                  </w14:solidFill>
                </w14:textFill>
              </w:rPr>
            </w:pPr>
          </w:p>
        </w:tc>
      </w:tr>
    </w:tbl>
    <w:p>
      <w:pPr>
        <w:autoSpaceDE w:val="0"/>
        <w:autoSpaceDN w:val="0"/>
        <w:adjustRightInd w:val="0"/>
        <w:jc w:val="left"/>
        <w:rPr>
          <w:color w:val="000000" w:themeColor="text1"/>
          <w:kern w:val="0"/>
          <w:sz w:val="24"/>
          <w14:textFill>
            <w14:solidFill>
              <w14:schemeClr w14:val="tx1"/>
            </w14:solidFill>
          </w14:textFill>
        </w:rPr>
      </w:pPr>
    </w:p>
    <w:p>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widowControl/>
        <w:jc w:val="left"/>
        <w:rPr>
          <w:color w:val="000000" w:themeColor="text1"/>
          <w:sz w:val="24"/>
          <w:szCs w:val="20"/>
          <w14:textFill>
            <w14:solidFill>
              <w14:schemeClr w14:val="tx1"/>
            </w14:solidFill>
          </w14:textFill>
        </w:rPr>
      </w:pPr>
      <w:bookmarkStart w:id="902" w:name="_Toc265228397"/>
      <w:bookmarkStart w:id="903" w:name="_Toc226337255"/>
      <w:bookmarkStart w:id="904" w:name="_Toc226965749"/>
      <w:bookmarkStart w:id="905" w:name="_Toc142311060"/>
      <w:bookmarkStart w:id="906" w:name="_Toc150774763"/>
      <w:bookmarkStart w:id="907" w:name="_Toc195842924"/>
      <w:bookmarkStart w:id="908" w:name="_Toc226309803"/>
      <w:bookmarkStart w:id="909" w:name="_Toc127151558"/>
      <w:bookmarkStart w:id="910" w:name="_Toc305158901"/>
      <w:bookmarkStart w:id="911" w:name="_Toc150480796"/>
      <w:bookmarkStart w:id="912" w:name="_Toc226965832"/>
      <w:bookmarkStart w:id="913" w:name="_Toc264969249"/>
      <w:bookmarkStart w:id="914" w:name="_Toc305158827"/>
    </w:p>
    <w:p>
      <w:pPr>
        <w:widowControl/>
        <w:jc w:val="left"/>
        <w:rPr>
          <w:color w:val="000000" w:themeColor="text1"/>
          <w:sz w:val="24"/>
          <w:szCs w:val="20"/>
          <w14:textFill>
            <w14:solidFill>
              <w14:schemeClr w14:val="tx1"/>
            </w14:solidFill>
          </w14:textFill>
        </w:rPr>
      </w:pPr>
    </w:p>
    <w:p>
      <w:pPr>
        <w:rPr>
          <w:color w:val="000000" w:themeColor="text1"/>
          <w14:textFill>
            <w14:solidFill>
              <w14:schemeClr w14:val="tx1"/>
            </w14:solidFill>
          </w14:textFill>
        </w:rPr>
        <w:sectPr>
          <w:headerReference r:id="rId9" w:type="first"/>
          <w:footerReference r:id="rId11" w:type="first"/>
          <w:headerReference r:id="rId8" w:type="even"/>
          <w:footerReference r:id="rId10" w:type="even"/>
          <w:pgSz w:w="11907" w:h="16840"/>
          <w:pgMar w:top="1418" w:right="1134" w:bottom="1418" w:left="1701" w:header="851" w:footer="851" w:gutter="0"/>
          <w:cols w:space="720" w:num="1"/>
          <w:docGrid w:linePitch="462" w:charSpace="0"/>
        </w:sectPr>
      </w:pPr>
      <w:r>
        <w:rPr>
          <w:rFonts w:hint="eastAsia"/>
          <w:color w:val="000000" w:themeColor="text1"/>
          <w14:textFill>
            <w14:solidFill>
              <w14:schemeClr w14:val="tx1"/>
            </w14:solidFill>
          </w14:textFill>
        </w:rPr>
        <w:tab/>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4</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投标分项报价表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000000" w:themeColor="text1"/>
          <w:sz w:val="24"/>
          <w:szCs w:val="20"/>
          <w14:textFill>
            <w14:solidFill>
              <w14:schemeClr w14:val="tx1"/>
            </w14:solidFill>
          </w14:textFill>
        </w:rPr>
        <w:t>（实质性格式）</w:t>
      </w:r>
    </w:p>
    <w:p>
      <w:pPr>
        <w:spacing w:line="360" w:lineRule="exact"/>
        <w:jc w:val="center"/>
        <w:rPr>
          <w:color w:val="000000" w:themeColor="text1"/>
          <w:sz w:val="36"/>
          <w:szCs w:val="36"/>
          <w14:textFill>
            <w14:solidFill>
              <w14:schemeClr w14:val="tx1"/>
            </w14:solidFill>
          </w14:textFill>
        </w:rPr>
      </w:pP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投标分项报价表</w:t>
      </w:r>
    </w:p>
    <w:p>
      <w:pPr>
        <w:spacing w:line="260" w:lineRule="exact"/>
        <w:jc w:val="center"/>
        <w:rPr>
          <w:color w:val="000000" w:themeColor="text1"/>
          <w:sz w:val="36"/>
          <w:szCs w:val="36"/>
          <w14:textFill>
            <w14:solidFill>
              <w14:schemeClr w14:val="tx1"/>
            </w14:solidFill>
          </w14:textFill>
        </w:rPr>
      </w:pPr>
    </w:p>
    <w:p>
      <w:pPr>
        <w:adjustRightInd w:val="0"/>
        <w:snapToGrid w:val="0"/>
        <w:spacing w:before="240" w:beforeLines="100" w:after="240" w:afterLines="100"/>
        <w:jc w:val="left"/>
        <w:rPr>
          <w:b/>
          <w:i/>
          <w:color w:val="000000" w:themeColor="text1"/>
          <w:sz w:val="24"/>
          <w14:textFill>
            <w14:solidFill>
              <w14:schemeClr w14:val="tx1"/>
            </w14:solidFill>
          </w14:textFill>
        </w:rPr>
      </w:pPr>
    </w:p>
    <w:p>
      <w:pPr>
        <w:tabs>
          <w:tab w:val="left" w:pos="1800"/>
          <w:tab w:val="left" w:pos="5580"/>
        </w:tabs>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 项目名称：__________报价单位：人民币元</w:t>
      </w:r>
    </w:p>
    <w:tbl>
      <w:tblPr>
        <w:tblStyle w:val="18"/>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 w:type="dxa"/>
            <w:vAlign w:val="center"/>
          </w:tcPr>
          <w:p>
            <w:pPr>
              <w:adjustRightInd w:val="0"/>
              <w:snapToGrid w:val="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2937"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1347"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单价（元）</w:t>
            </w:r>
          </w:p>
        </w:tc>
        <w:tc>
          <w:tcPr>
            <w:tcW w:w="1206" w:type="dxa"/>
            <w:vAlign w:val="center"/>
          </w:tcPr>
          <w:p>
            <w:pPr>
              <w:adjustRightInd w:val="0"/>
              <w:snapToGrid w:val="0"/>
              <w:jc w:val="center"/>
              <w:rPr>
                <w:rFonts w:hint="default" w:eastAsia="宋体"/>
                <w:b/>
                <w:color w:val="000000" w:themeColor="text1"/>
                <w:sz w:val="24"/>
                <w:lang w:val="en-US" w:eastAsia="zh-CN"/>
                <w14:textFill>
                  <w14:solidFill>
                    <w14:schemeClr w14:val="tx1"/>
                  </w14:solidFill>
                </w14:textFill>
              </w:rPr>
            </w:pPr>
            <w:r>
              <w:rPr>
                <w:rFonts w:hint="eastAsia"/>
                <w:b/>
                <w:color w:val="000000" w:themeColor="text1"/>
                <w:sz w:val="24"/>
                <w:lang w:val="en-US" w:eastAsia="zh-CN"/>
                <w14:textFill>
                  <w14:solidFill>
                    <w14:schemeClr w14:val="tx1"/>
                  </w14:solidFill>
                </w14:textFill>
              </w:rPr>
              <w:t>数量</w:t>
            </w:r>
          </w:p>
        </w:tc>
        <w:tc>
          <w:tcPr>
            <w:tcW w:w="1345"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合价（元）</w:t>
            </w:r>
          </w:p>
        </w:tc>
        <w:tc>
          <w:tcPr>
            <w:tcW w:w="1708"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937" w:type="dxa"/>
            <w:vAlign w:val="center"/>
          </w:tcPr>
          <w:p>
            <w:pPr>
              <w:adjustRightInd w:val="0"/>
              <w:snapToGrid w:val="0"/>
              <w:jc w:val="left"/>
              <w:rPr>
                <w:rFonts w:hint="eastAsia" w:eastAsia="宋体"/>
                <w:color w:val="000000" w:themeColor="text1"/>
                <w:sz w:val="24"/>
                <w:lang w:val="en-US" w:eastAsia="zh-CN"/>
                <w14:textFill>
                  <w14:solidFill>
                    <w14:schemeClr w14:val="tx1"/>
                  </w14:solidFill>
                </w14:textFill>
              </w:rPr>
            </w:pP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937" w:type="dxa"/>
            <w:vAlign w:val="center"/>
          </w:tcPr>
          <w:p>
            <w:pPr>
              <w:adjustRightInd w:val="0"/>
              <w:snapToGrid w:val="0"/>
              <w:jc w:val="left"/>
              <w:rPr>
                <w:rFonts w:hint="eastAsia" w:eastAsia="宋体"/>
                <w:color w:val="000000" w:themeColor="text1"/>
                <w:sz w:val="24"/>
                <w:lang w:val="en-US" w:eastAsia="zh-CN"/>
                <w14:textFill>
                  <w14:solidFill>
                    <w14:schemeClr w14:val="tx1"/>
                  </w14:solidFill>
                </w14:textFill>
              </w:rPr>
            </w:pP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937" w:type="dxa"/>
            <w:vAlign w:val="center"/>
          </w:tcPr>
          <w:p>
            <w:pPr>
              <w:adjustRightInd w:val="0"/>
              <w:snapToGrid w:val="0"/>
              <w:jc w:val="left"/>
              <w:rPr>
                <w:rFonts w:hint="eastAsia" w:eastAsia="宋体"/>
                <w:color w:val="000000" w:themeColor="text1"/>
                <w:sz w:val="24"/>
                <w:lang w:eastAsia="zh-CN"/>
                <w14:textFill>
                  <w14:solidFill>
                    <w14:schemeClr w14:val="tx1"/>
                  </w14:solidFill>
                </w14:textFill>
              </w:rPr>
            </w:pP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98" w:type="dxa"/>
            <w:gridSpan w:val="4"/>
            <w:vAlign w:val="center"/>
          </w:tcPr>
          <w:p>
            <w:pPr>
              <w:adjustRightInd w:val="0"/>
              <w:snapToGrid w:val="0"/>
              <w:jc w:val="right"/>
              <w:rPr>
                <w:color w:val="000000" w:themeColor="text1"/>
                <w:sz w:val="24"/>
                <w14:textFill>
                  <w14:solidFill>
                    <w14:schemeClr w14:val="tx1"/>
                  </w14:solidFill>
                </w14:textFill>
              </w:rPr>
            </w:pPr>
            <w:r>
              <w:rPr>
                <w:b/>
                <w:color w:val="000000" w:themeColor="text1"/>
                <w:sz w:val="24"/>
                <w14:textFill>
                  <w14:solidFill>
                    <w14:schemeClr w14:val="tx1"/>
                  </w14:solidFill>
                </w14:textFill>
              </w:rPr>
              <w:t>总价（元）</w:t>
            </w: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bl>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ind w:firstLine="480" w:firstLineChars="200"/>
        <w:jc w:val="left"/>
        <w:rPr>
          <w:rFonts w:hint="eastAsia"/>
          <w:color w:val="000000" w:themeColor="text1"/>
          <w:sz w:val="24"/>
          <w14:textFill>
            <w14:solidFill>
              <w14:schemeClr w14:val="tx1"/>
            </w14:solidFill>
          </w14:textFill>
        </w:rPr>
      </w:pPr>
      <w:r>
        <w:rPr>
          <w:color w:val="000000" w:themeColor="text1"/>
          <w:sz w:val="24"/>
          <w14:textFill>
            <w14:solidFill>
              <w14:schemeClr w14:val="tx1"/>
            </w14:solidFill>
          </w14:textFill>
        </w:rPr>
        <w:t>注：</w:t>
      </w:r>
      <w:r>
        <w:rPr>
          <w:rFonts w:hint="eastAsia"/>
          <w:color w:val="000000" w:themeColor="text1"/>
          <w:sz w:val="24"/>
          <w14:textFill>
            <w14:solidFill>
              <w14:schemeClr w14:val="tx1"/>
            </w14:solidFill>
          </w14:textFill>
        </w:rPr>
        <w:t>1.本表应按包分别填写。</w:t>
      </w:r>
    </w:p>
    <w:p>
      <w:pPr>
        <w:tabs>
          <w:tab w:val="left" w:pos="1800"/>
          <w:tab w:val="left" w:pos="5580"/>
        </w:tabs>
        <w:ind w:firstLine="480" w:firstLineChars="200"/>
        <w:jc w:val="left"/>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2.如果不提供分项报价将视为没有实质性响应招标文件。</w:t>
      </w:r>
    </w:p>
    <w:p>
      <w:pPr>
        <w:tabs>
          <w:tab w:val="left" w:pos="1800"/>
          <w:tab w:val="left" w:pos="5580"/>
        </w:tabs>
        <w:ind w:firstLine="480" w:firstLineChars="200"/>
        <w:jc w:val="left"/>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3.上述各项的详细规格（如有），可另页描述。</w:t>
      </w:r>
    </w:p>
    <w:p>
      <w:pPr>
        <w:tabs>
          <w:tab w:val="left" w:pos="1800"/>
          <w:tab w:val="left" w:pos="5580"/>
        </w:tabs>
        <w:ind w:firstLine="480" w:firstLineChars="200"/>
        <w:jc w:val="left"/>
        <w:rPr>
          <w:rFonts w:hint="default" w:eastAsia="宋体"/>
          <w:color w:val="000000" w:themeColor="text1"/>
          <w:sz w:val="24"/>
          <w:lang w:val="en-US" w:eastAsia="zh-CN"/>
          <w14:textFill>
            <w14:solidFill>
              <w14:schemeClr w14:val="tx1"/>
            </w14:solidFill>
          </w14:textFill>
        </w:rPr>
      </w:pPr>
      <w:r>
        <w:rPr>
          <w:rFonts w:hint="eastAsia"/>
          <w:color w:val="000000" w:themeColor="text1"/>
          <w:sz w:val="24"/>
          <w14:textFill>
            <w14:solidFill>
              <w14:schemeClr w14:val="tx1"/>
            </w14:solidFill>
          </w14:textFill>
        </w:rPr>
        <w:t>4.制造商规模列应填写“大型”、“中型”、“小型”、“微型”或“其他”，且不应与《中小企业声明函》或《拟分包情况说明》中内容矛盾。制造商所属性别请填写“男”或“女”，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360"/>
        </w:tabs>
        <w:snapToGrid w:val="0"/>
        <w:spacing w:line="360" w:lineRule="auto"/>
        <w:outlineLvl w:val="1"/>
        <w:rPr>
          <w:color w:val="000000" w:themeColor="text1"/>
          <w:sz w:val="24"/>
          <w:szCs w:val="20"/>
          <w14:textFill>
            <w14:solidFill>
              <w14:schemeClr w14:val="tx1"/>
            </w14:solidFill>
          </w14:textFill>
        </w:rPr>
      </w:pPr>
      <w:bookmarkStart w:id="915" w:name="_Toc226965835"/>
      <w:bookmarkStart w:id="916" w:name="_Toc305158904"/>
      <w:bookmarkStart w:id="917" w:name="_Toc226965752"/>
      <w:bookmarkStart w:id="918" w:name="_Toc226337258"/>
      <w:bookmarkStart w:id="919" w:name="_Toc150480798"/>
      <w:bookmarkStart w:id="920" w:name="_Toc305158830"/>
      <w:bookmarkStart w:id="921" w:name="_Toc127151562"/>
      <w:bookmarkStart w:id="922" w:name="_Toc142311062"/>
      <w:bookmarkStart w:id="923" w:name="_Toc195842927"/>
      <w:bookmarkStart w:id="924" w:name="_Toc150774765"/>
      <w:bookmarkStart w:id="925" w:name="_Toc265228400"/>
      <w:bookmarkStart w:id="926" w:name="_Toc264969252"/>
      <w:bookmarkStart w:id="927" w:name="_Toc226309806"/>
      <w:bookmarkStart w:id="928" w:name="_Toc265228399"/>
      <w:bookmarkStart w:id="929" w:name="_Toc226965834"/>
      <w:bookmarkStart w:id="930" w:name="_Toc264969251"/>
      <w:bookmarkStart w:id="931" w:name="_Toc150774764"/>
      <w:bookmarkStart w:id="932" w:name="_Toc305158903"/>
      <w:bookmarkStart w:id="933" w:name="_Toc150480797"/>
      <w:bookmarkStart w:id="934" w:name="_Toc226337257"/>
      <w:bookmarkStart w:id="935" w:name="_Toc127151561"/>
      <w:bookmarkStart w:id="936" w:name="_Toc142311061"/>
      <w:bookmarkStart w:id="937" w:name="_Toc195842926"/>
      <w:bookmarkStart w:id="938" w:name="_Toc226965751"/>
      <w:bookmarkStart w:id="939" w:name="_Toc305158829"/>
      <w:bookmarkStart w:id="940" w:name="_Toc226309805"/>
      <w:r>
        <w:rPr>
          <w:color w:val="000000" w:themeColor="text1"/>
          <w:sz w:val="24"/>
          <w:szCs w:val="20"/>
          <w14:textFill>
            <w14:solidFill>
              <w14:schemeClr w14:val="tx1"/>
            </w14:solidFill>
          </w14:textFill>
        </w:rPr>
        <w:br w:type="page"/>
      </w:r>
      <w:r>
        <w:rPr>
          <w:rFonts w:hint="eastAsia"/>
          <w:color w:val="000000" w:themeColor="text1"/>
          <w:sz w:val="24"/>
          <w:szCs w:val="20"/>
          <w14:textFill>
            <w14:solidFill>
              <w14:schemeClr w14:val="tx1"/>
            </w14:solidFill>
          </w14:textFill>
        </w:rPr>
        <w:t xml:space="preserve">5 </w:t>
      </w:r>
      <w:r>
        <w:rPr>
          <w:color w:val="000000" w:themeColor="text1"/>
          <w:sz w:val="24"/>
          <w:szCs w:val="20"/>
          <w14:textFill>
            <w14:solidFill>
              <w14:schemeClr w14:val="tx1"/>
            </w14:solidFill>
          </w14:textFill>
        </w:rPr>
        <w:t>合同条款偏离表</w:t>
      </w:r>
      <w:bookmarkEnd w:id="915"/>
      <w:bookmarkEnd w:id="916"/>
      <w:bookmarkEnd w:id="917"/>
      <w:bookmarkEnd w:id="918"/>
      <w:bookmarkEnd w:id="919"/>
      <w:bookmarkEnd w:id="920"/>
      <w:bookmarkEnd w:id="921"/>
      <w:bookmarkEnd w:id="922"/>
      <w:bookmarkEnd w:id="923"/>
      <w:bookmarkEnd w:id="924"/>
      <w:bookmarkEnd w:id="925"/>
      <w:bookmarkEnd w:id="926"/>
      <w:bookmarkEnd w:id="927"/>
      <w:r>
        <w:rPr>
          <w:color w:val="000000" w:themeColor="text1"/>
          <w:sz w:val="24"/>
          <w:szCs w:val="20"/>
          <w14:textFill>
            <w14:solidFill>
              <w14:schemeClr w14:val="tx1"/>
            </w14:solidFill>
          </w14:textFill>
        </w:rPr>
        <w:t>（实质性格式）</w:t>
      </w:r>
    </w:p>
    <w:p>
      <w:pPr>
        <w:spacing w:line="360" w:lineRule="auto"/>
        <w:rPr>
          <w:color w:val="000000" w:themeColor="text1"/>
          <w:sz w:val="24"/>
          <w:szCs w:val="20"/>
          <w14:textFill>
            <w14:solidFill>
              <w14:schemeClr w14:val="tx1"/>
            </w14:solidFill>
          </w14:textFill>
        </w:rPr>
      </w:pPr>
    </w:p>
    <w:p>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pPr>
        <w:spacing w:line="360" w:lineRule="auto"/>
        <w:rPr>
          <w:color w:val="000000" w:themeColor="text1"/>
          <w:sz w:val="24"/>
          <w:szCs w:val="20"/>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项目名称：_____________</w:t>
      </w:r>
    </w:p>
    <w:tbl>
      <w:tblPr>
        <w:tblStyle w:val="18"/>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3"/>
        <w:gridCol w:w="1676"/>
        <w:gridCol w:w="1675"/>
        <w:gridCol w:w="18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bookmarkStart w:id="941" w:name="_Hlk144279231"/>
            <w:r>
              <w:rPr>
                <w:color w:val="000000" w:themeColor="text1"/>
                <w:sz w:val="24"/>
                <w14:textFill>
                  <w14:solidFill>
                    <w14:schemeClr w14:val="tx1"/>
                  </w14:solidFill>
                </w14:textFill>
              </w:rPr>
              <w:t>序号</w:t>
            </w:r>
          </w:p>
        </w:tc>
        <w:tc>
          <w:tcPr>
            <w:tcW w:w="1773"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76"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8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13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pPr>
              <w:adjustRightInd w:val="0"/>
              <w:snapToGrid w:val="0"/>
              <w:jc w:val="left"/>
              <w:rPr>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w:t>
            </w: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pPr>
              <w:adjustRightInd w:val="0"/>
              <w:snapToGrid w:val="0"/>
              <w:jc w:val="left"/>
              <w:rPr>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w:t>
            </w: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bookmarkEnd w:id="941"/>
    </w:tbl>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pPr>
        <w:spacing w:line="360" w:lineRule="auto"/>
        <w:rPr>
          <w:color w:val="000000" w:themeColor="text1"/>
          <w:sz w:val="24"/>
          <w:szCs w:val="20"/>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928"/>
      <w:bookmarkEnd w:id="929"/>
      <w:bookmarkEnd w:id="930"/>
      <w:bookmarkEnd w:id="931"/>
      <w:bookmarkEnd w:id="932"/>
      <w:bookmarkEnd w:id="933"/>
      <w:bookmarkEnd w:id="934"/>
      <w:bookmarkEnd w:id="935"/>
      <w:bookmarkEnd w:id="936"/>
      <w:bookmarkEnd w:id="937"/>
      <w:bookmarkEnd w:id="938"/>
      <w:bookmarkEnd w:id="939"/>
      <w:bookmarkEnd w:id="940"/>
      <w:r>
        <w:rPr>
          <w:rFonts w:hint="eastAsia"/>
          <w:color w:val="000000" w:themeColor="text1"/>
          <w:sz w:val="24"/>
          <w:szCs w:val="20"/>
          <w14:textFill>
            <w14:solidFill>
              <w14:schemeClr w14:val="tx1"/>
            </w14:solidFill>
          </w14:textFill>
        </w:rPr>
        <w:t xml:space="preserve">6 </w:t>
      </w:r>
      <w:r>
        <w:rPr>
          <w:color w:val="000000" w:themeColor="text1"/>
          <w:sz w:val="24"/>
          <w:szCs w:val="20"/>
          <w14:textFill>
            <w14:solidFill>
              <w14:schemeClr w14:val="tx1"/>
            </w14:solidFill>
          </w14:textFill>
        </w:rPr>
        <w:t>采购需求偏离表（实质性格式）</w:t>
      </w:r>
    </w:p>
    <w:p>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w:t>
      </w:r>
    </w:p>
    <w:tbl>
      <w:tblPr>
        <w:tblStyle w:val="1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招标文件条目号(页码)</w:t>
            </w:r>
          </w:p>
        </w:tc>
        <w:tc>
          <w:tcPr>
            <w:tcW w:w="238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bl>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2.“偏离情况”列应据实填写“无偏离”、“正偏离”或“负偏离”。</w:t>
      </w: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rPr>
          <w:color w:val="000000" w:themeColor="text1"/>
          <w:sz w:val="24"/>
          <w:szCs w:val="20"/>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900"/>
        </w:tabs>
        <w:snapToGrid w:val="0"/>
        <w:spacing w:line="360" w:lineRule="auto"/>
        <w:ind w:left="900" w:hanging="900"/>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 xml:space="preserve">7 </w:t>
      </w:r>
      <w:r>
        <w:rPr>
          <w:color w:val="000000" w:themeColor="text1"/>
          <w:sz w:val="24"/>
          <w:szCs w:val="20"/>
          <w14:textFill>
            <w14:solidFill>
              <w14:schemeClr w14:val="tx1"/>
            </w14:solidFill>
          </w14:textFill>
        </w:rPr>
        <w:t>招标文件要求提供或投标人认为应附的其他材料</w:t>
      </w:r>
    </w:p>
    <w:p>
      <w:pPr>
        <w:widowControl/>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7</w:t>
      </w:r>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供应商信息采集表</w:t>
      </w:r>
    </w:p>
    <w:tbl>
      <w:tblPr>
        <w:tblStyle w:val="18"/>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3097"/>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096"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3097"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3095"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bl>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2.供应商所属性别请填写“男”</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指拥有供应商5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color w:val="000000" w:themeColor="text1"/>
          <w:sz w:val="24"/>
          <w14:textFill>
            <w14:solidFill>
              <w14:schemeClr w14:val="tx1"/>
            </w14:solidFill>
          </w14:textFill>
        </w:rPr>
        <w:t>。</w:t>
      </w:r>
    </w:p>
    <w:p>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p>
      <w:pPr>
        <w:widowControl/>
        <w:jc w:val="left"/>
        <w:rPr>
          <w:b/>
          <w:color w:val="000000" w:themeColor="text1"/>
          <w:sz w:val="36"/>
          <w:szCs w:val="36"/>
          <w14:textFill>
            <w14:solidFill>
              <w14:schemeClr w14:val="tx1"/>
            </w14:solidFill>
          </w14:textFill>
        </w:rPr>
        <w:sectPr>
          <w:pgSz w:w="11907" w:h="16840"/>
          <w:pgMar w:top="1418" w:right="1134" w:bottom="1418" w:left="1701" w:header="851" w:footer="851" w:gutter="0"/>
          <w:cols w:space="720" w:num="1"/>
          <w:docGrid w:linePitch="462" w:charSpace="0"/>
        </w:sectPr>
      </w:pPr>
    </w:p>
    <w:p>
      <w:pPr>
        <w:keepNext w:val="0"/>
        <w:keepLines w:val="0"/>
        <w:pageBreakBefore w:val="0"/>
        <w:widowControl/>
        <w:kinsoku/>
        <w:wordWrap/>
        <w:overflowPunct/>
        <w:topLinePunct w:val="0"/>
        <w:bidi w:val="0"/>
        <w:spacing w:line="360" w:lineRule="auto"/>
        <w:jc w:val="left"/>
        <w:textAlignment w:val="auto"/>
        <w:rPr>
          <w:rFonts w:hint="eastAsia"/>
          <w:b w:val="0"/>
          <w:bCs/>
          <w:color w:val="000000" w:themeColor="text1"/>
          <w:sz w:val="24"/>
          <w:szCs w:val="20"/>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7-2</w:t>
      </w:r>
      <w:r>
        <w:rPr>
          <w:rFonts w:hint="eastAsia"/>
          <w:b w:val="0"/>
          <w:bCs/>
          <w:color w:val="000000" w:themeColor="text1"/>
          <w:sz w:val="24"/>
          <w:szCs w:val="20"/>
          <w:lang w:val="en-US" w:eastAsia="zh-CN"/>
          <w14:textFill>
            <w14:solidFill>
              <w14:schemeClr w14:val="tx1"/>
            </w14:solidFill>
          </w14:textFill>
        </w:rPr>
        <w:t>维修更换球管时提供该原厂球管进口报关证明承诺书</w:t>
      </w:r>
    </w:p>
    <w:p>
      <w:pPr>
        <w:keepNext w:val="0"/>
        <w:keepLines w:val="0"/>
        <w:pageBreakBefore w:val="0"/>
        <w:widowControl/>
        <w:kinsoku/>
        <w:wordWrap/>
        <w:overflowPunct/>
        <w:topLinePunct w:val="0"/>
        <w:bidi w:val="0"/>
        <w:spacing w:line="360" w:lineRule="auto"/>
        <w:jc w:val="left"/>
        <w:textAlignment w:val="auto"/>
        <w:rPr>
          <w:rFonts w:hint="default"/>
          <w:b w:val="0"/>
          <w:bCs/>
          <w:color w:val="000000" w:themeColor="text1"/>
          <w:sz w:val="24"/>
          <w:szCs w:val="20"/>
          <w:lang w:val="en-US" w:eastAsia="zh-CN"/>
          <w14:textFill>
            <w14:solidFill>
              <w14:schemeClr w14:val="tx1"/>
            </w14:solidFill>
          </w14:textFill>
        </w:rPr>
      </w:pPr>
      <w:r>
        <w:rPr>
          <w:rFonts w:hint="eastAsia"/>
          <w:b w:val="0"/>
          <w:bCs/>
          <w:color w:val="000000" w:themeColor="text1"/>
          <w:sz w:val="24"/>
          <w:szCs w:val="20"/>
          <w:lang w:val="en-US" w:eastAsia="zh-CN"/>
          <w14:textFill>
            <w14:solidFill>
              <w14:schemeClr w14:val="tx1"/>
            </w14:solidFill>
          </w14:textFill>
        </w:rPr>
        <w:t>（格式自拟）</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5364441"/>
      <w:docPartObj>
        <w:docPartGallery w:val="autotext"/>
      </w:docPartObj>
    </w:sdtPr>
    <w:sdtContent>
      <w:p>
        <w:pPr>
          <w:pStyle w:val="15"/>
          <w:jc w:val="center"/>
        </w:pPr>
        <w:r>
          <w:rPr>
            <w:sz w:val="21"/>
          </w:rPr>
          <w:fldChar w:fldCharType="begin"/>
        </w:r>
        <w:r>
          <w:rPr>
            <w:sz w:val="21"/>
          </w:rPr>
          <w:instrText xml:space="preserve">PAGE   \* MERGEFORMAT</w:instrText>
        </w:r>
        <w:r>
          <w:rPr>
            <w:sz w:val="21"/>
          </w:rPr>
          <w:fldChar w:fldCharType="separate"/>
        </w:r>
        <w:r>
          <w:rPr>
            <w:sz w:val="21"/>
            <w:lang w:val="zh-CN"/>
          </w:rPr>
          <w:t>63</w:t>
        </w:r>
        <w:r>
          <w:rPr>
            <w:sz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end"/>
    </w:r>
  </w:p>
  <w:p>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end"/>
    </w:r>
  </w:p>
  <w:p>
    <w:pPr>
      <w:ind w:right="360"/>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66FFDE"/>
    <w:multiLevelType w:val="singleLevel"/>
    <w:tmpl w:val="8E66FFD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AD"/>
    <w:rsid w:val="00021F66"/>
    <w:rsid w:val="0002210E"/>
    <w:rsid w:val="0002216A"/>
    <w:rsid w:val="0002217C"/>
    <w:rsid w:val="000222D0"/>
    <w:rsid w:val="00022354"/>
    <w:rsid w:val="000223C3"/>
    <w:rsid w:val="00022526"/>
    <w:rsid w:val="00022562"/>
    <w:rsid w:val="000227F5"/>
    <w:rsid w:val="00022BE1"/>
    <w:rsid w:val="00022D53"/>
    <w:rsid w:val="00022F7D"/>
    <w:rsid w:val="00023239"/>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7EB"/>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57F3C"/>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8AD"/>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7A7"/>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6D"/>
    <w:rsid w:val="000C5ED7"/>
    <w:rsid w:val="000C5F12"/>
    <w:rsid w:val="000C6043"/>
    <w:rsid w:val="000C6211"/>
    <w:rsid w:val="000C63B3"/>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1F"/>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02D"/>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C18"/>
    <w:rsid w:val="00154E2A"/>
    <w:rsid w:val="00154E60"/>
    <w:rsid w:val="00155202"/>
    <w:rsid w:val="0015538F"/>
    <w:rsid w:val="00155434"/>
    <w:rsid w:val="00155479"/>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3A5"/>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8F0"/>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065"/>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BF1"/>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90"/>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21"/>
    <w:rsid w:val="00200FFD"/>
    <w:rsid w:val="00201195"/>
    <w:rsid w:val="002013FB"/>
    <w:rsid w:val="0020150D"/>
    <w:rsid w:val="00201870"/>
    <w:rsid w:val="002019EA"/>
    <w:rsid w:val="002021B4"/>
    <w:rsid w:val="00202259"/>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21D"/>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5D"/>
    <w:rsid w:val="002256A6"/>
    <w:rsid w:val="00225CC1"/>
    <w:rsid w:val="00225D5A"/>
    <w:rsid w:val="00225D96"/>
    <w:rsid w:val="00225DBE"/>
    <w:rsid w:val="0022619D"/>
    <w:rsid w:val="00226217"/>
    <w:rsid w:val="0022628D"/>
    <w:rsid w:val="0022656B"/>
    <w:rsid w:val="00226831"/>
    <w:rsid w:val="00226BA4"/>
    <w:rsid w:val="00226E2D"/>
    <w:rsid w:val="00226EAC"/>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BF0"/>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46E"/>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1"/>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A7FBF"/>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8ED"/>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5A7"/>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5F5"/>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0FCF"/>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0E"/>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670"/>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932"/>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BD5"/>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D22"/>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AA"/>
    <w:rsid w:val="003743F4"/>
    <w:rsid w:val="003743F6"/>
    <w:rsid w:val="0037445F"/>
    <w:rsid w:val="003744AF"/>
    <w:rsid w:val="00374704"/>
    <w:rsid w:val="0037470C"/>
    <w:rsid w:val="0037474E"/>
    <w:rsid w:val="0037499B"/>
    <w:rsid w:val="003749F9"/>
    <w:rsid w:val="00374B83"/>
    <w:rsid w:val="00374BAF"/>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39E"/>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7E8"/>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94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4B"/>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449"/>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82"/>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B54"/>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945"/>
    <w:rsid w:val="00461BC6"/>
    <w:rsid w:val="00461C1B"/>
    <w:rsid w:val="00461E28"/>
    <w:rsid w:val="00461F9B"/>
    <w:rsid w:val="00462C10"/>
    <w:rsid w:val="00462F1C"/>
    <w:rsid w:val="00462F92"/>
    <w:rsid w:val="004632F6"/>
    <w:rsid w:val="004633D5"/>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7"/>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0B"/>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60"/>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051"/>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05"/>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D4B"/>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9C7"/>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1EA4"/>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C1"/>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5E9"/>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4E9"/>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168"/>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C0B"/>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3F6A"/>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25"/>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604"/>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4FA"/>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5B"/>
    <w:rsid w:val="006333DF"/>
    <w:rsid w:val="006334E6"/>
    <w:rsid w:val="00633542"/>
    <w:rsid w:val="00633BAA"/>
    <w:rsid w:val="00633C1F"/>
    <w:rsid w:val="00633D22"/>
    <w:rsid w:val="00634212"/>
    <w:rsid w:val="00634723"/>
    <w:rsid w:val="00634764"/>
    <w:rsid w:val="006347EB"/>
    <w:rsid w:val="00634878"/>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1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276"/>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FF"/>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2FCD"/>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A10"/>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9FC"/>
    <w:rsid w:val="006D3A97"/>
    <w:rsid w:val="006D3B23"/>
    <w:rsid w:val="006D3BF5"/>
    <w:rsid w:val="006D3CA6"/>
    <w:rsid w:val="006D42C5"/>
    <w:rsid w:val="006D44F2"/>
    <w:rsid w:val="006D455A"/>
    <w:rsid w:val="006D46E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12"/>
    <w:rsid w:val="006E39A4"/>
    <w:rsid w:val="006E3A24"/>
    <w:rsid w:val="006E3BF4"/>
    <w:rsid w:val="006E3D1B"/>
    <w:rsid w:val="006E3D46"/>
    <w:rsid w:val="006E3F53"/>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9E"/>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8A"/>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D7F"/>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C91"/>
    <w:rsid w:val="00725D05"/>
    <w:rsid w:val="00725FA5"/>
    <w:rsid w:val="0072605A"/>
    <w:rsid w:val="00726173"/>
    <w:rsid w:val="007261B7"/>
    <w:rsid w:val="00726646"/>
    <w:rsid w:val="00726A09"/>
    <w:rsid w:val="00726ACE"/>
    <w:rsid w:val="00726B6E"/>
    <w:rsid w:val="00726D14"/>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3E5A"/>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9E3"/>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55C"/>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97A"/>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38"/>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55F"/>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C3D"/>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887"/>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2AD"/>
    <w:rsid w:val="00917314"/>
    <w:rsid w:val="009173D9"/>
    <w:rsid w:val="009174B1"/>
    <w:rsid w:val="00917578"/>
    <w:rsid w:val="0091779F"/>
    <w:rsid w:val="00917A8C"/>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35C"/>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70"/>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18"/>
    <w:rsid w:val="009B79E6"/>
    <w:rsid w:val="009B7BA9"/>
    <w:rsid w:val="009B7BF0"/>
    <w:rsid w:val="009C004B"/>
    <w:rsid w:val="009C02F4"/>
    <w:rsid w:val="009C0529"/>
    <w:rsid w:val="009C08FE"/>
    <w:rsid w:val="009C0B37"/>
    <w:rsid w:val="009C0E08"/>
    <w:rsid w:val="009C113D"/>
    <w:rsid w:val="009C11C0"/>
    <w:rsid w:val="009C15F0"/>
    <w:rsid w:val="009C16A5"/>
    <w:rsid w:val="009C16DC"/>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1AE"/>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E6"/>
    <w:rsid w:val="009E3533"/>
    <w:rsid w:val="009E398D"/>
    <w:rsid w:val="009E39AA"/>
    <w:rsid w:val="009E4A6A"/>
    <w:rsid w:val="009E505E"/>
    <w:rsid w:val="009E51F0"/>
    <w:rsid w:val="009E53B0"/>
    <w:rsid w:val="009E5427"/>
    <w:rsid w:val="009E55B5"/>
    <w:rsid w:val="009E5615"/>
    <w:rsid w:val="009E568E"/>
    <w:rsid w:val="009E56FE"/>
    <w:rsid w:val="009E597D"/>
    <w:rsid w:val="009E5C9C"/>
    <w:rsid w:val="009E5E80"/>
    <w:rsid w:val="009E5E96"/>
    <w:rsid w:val="009E5EDD"/>
    <w:rsid w:val="009E5F7B"/>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2FB"/>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36"/>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A7DBF"/>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375"/>
    <w:rsid w:val="00AB462E"/>
    <w:rsid w:val="00AB49DA"/>
    <w:rsid w:val="00AB4A81"/>
    <w:rsid w:val="00AB4B02"/>
    <w:rsid w:val="00AB4DB8"/>
    <w:rsid w:val="00AB4F5F"/>
    <w:rsid w:val="00AB5138"/>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6B0"/>
    <w:rsid w:val="00AC3717"/>
    <w:rsid w:val="00AC39D0"/>
    <w:rsid w:val="00AC3A68"/>
    <w:rsid w:val="00AC3FBF"/>
    <w:rsid w:val="00AC4264"/>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8"/>
    <w:rsid w:val="00AD5BFF"/>
    <w:rsid w:val="00AD5C59"/>
    <w:rsid w:val="00AD600F"/>
    <w:rsid w:val="00AD63B1"/>
    <w:rsid w:val="00AD63B5"/>
    <w:rsid w:val="00AD63E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ED"/>
    <w:rsid w:val="00AE241F"/>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0F76"/>
    <w:rsid w:val="00B412AB"/>
    <w:rsid w:val="00B416B0"/>
    <w:rsid w:val="00B417F7"/>
    <w:rsid w:val="00B41960"/>
    <w:rsid w:val="00B4198D"/>
    <w:rsid w:val="00B41992"/>
    <w:rsid w:val="00B41A10"/>
    <w:rsid w:val="00B41B42"/>
    <w:rsid w:val="00B41D4E"/>
    <w:rsid w:val="00B420CA"/>
    <w:rsid w:val="00B42163"/>
    <w:rsid w:val="00B42231"/>
    <w:rsid w:val="00B422C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9FE"/>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0E3"/>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9D5"/>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857"/>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ECF"/>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1EC"/>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6D63"/>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24B"/>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70"/>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65D"/>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83"/>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4CEF"/>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D3"/>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B95"/>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AA"/>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2FBD"/>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D70"/>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475"/>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7BB"/>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FC6"/>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56A"/>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829"/>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7FC"/>
    <w:rsid w:val="00E16862"/>
    <w:rsid w:val="00E16868"/>
    <w:rsid w:val="00E16869"/>
    <w:rsid w:val="00E169B0"/>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9BB"/>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7B5"/>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38"/>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16A"/>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BDB"/>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2FE"/>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02D"/>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CBC"/>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352"/>
    <w:rsid w:val="00F454A8"/>
    <w:rsid w:val="00F454C0"/>
    <w:rsid w:val="00F460E8"/>
    <w:rsid w:val="00F461BD"/>
    <w:rsid w:val="00F46307"/>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1D80"/>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96"/>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2AC"/>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5EC"/>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DB8"/>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7DA"/>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F4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B2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6"/>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7E161F3"/>
    <w:rsid w:val="08C46711"/>
    <w:rsid w:val="0A2C214E"/>
    <w:rsid w:val="0B660C1A"/>
    <w:rsid w:val="0F3B5F2C"/>
    <w:rsid w:val="10314C86"/>
    <w:rsid w:val="10F01ACE"/>
    <w:rsid w:val="12B21B36"/>
    <w:rsid w:val="1685493A"/>
    <w:rsid w:val="16E504BA"/>
    <w:rsid w:val="17F93E0B"/>
    <w:rsid w:val="192670F4"/>
    <w:rsid w:val="1A605F40"/>
    <w:rsid w:val="1B9175B3"/>
    <w:rsid w:val="1C0320AA"/>
    <w:rsid w:val="1C455CA5"/>
    <w:rsid w:val="1D1631C4"/>
    <w:rsid w:val="1D2C69D2"/>
    <w:rsid w:val="1D4B13D5"/>
    <w:rsid w:val="20015F1B"/>
    <w:rsid w:val="239E00B4"/>
    <w:rsid w:val="251E74A4"/>
    <w:rsid w:val="269E4FA7"/>
    <w:rsid w:val="27843CE5"/>
    <w:rsid w:val="2DB94E59"/>
    <w:rsid w:val="2E152AC2"/>
    <w:rsid w:val="327723EC"/>
    <w:rsid w:val="32EB653A"/>
    <w:rsid w:val="33214313"/>
    <w:rsid w:val="3327692C"/>
    <w:rsid w:val="34CC5081"/>
    <w:rsid w:val="35B11CD5"/>
    <w:rsid w:val="36D734BF"/>
    <w:rsid w:val="3A8C5499"/>
    <w:rsid w:val="3BCB6780"/>
    <w:rsid w:val="412D666A"/>
    <w:rsid w:val="42CD0A98"/>
    <w:rsid w:val="431A0C09"/>
    <w:rsid w:val="44421758"/>
    <w:rsid w:val="44995E8C"/>
    <w:rsid w:val="44D60A20"/>
    <w:rsid w:val="47F46AE1"/>
    <w:rsid w:val="480E2158"/>
    <w:rsid w:val="4ADA2449"/>
    <w:rsid w:val="4B65373A"/>
    <w:rsid w:val="4D00163A"/>
    <w:rsid w:val="4D1B47B1"/>
    <w:rsid w:val="4F0F5BE3"/>
    <w:rsid w:val="4FB54676"/>
    <w:rsid w:val="500429E3"/>
    <w:rsid w:val="50291D92"/>
    <w:rsid w:val="52422029"/>
    <w:rsid w:val="54CB123E"/>
    <w:rsid w:val="55040901"/>
    <w:rsid w:val="55E262F3"/>
    <w:rsid w:val="56DF05DE"/>
    <w:rsid w:val="57FC6189"/>
    <w:rsid w:val="594F57E5"/>
    <w:rsid w:val="5AED277D"/>
    <w:rsid w:val="5DFF7E21"/>
    <w:rsid w:val="5F073306"/>
    <w:rsid w:val="5F5F73B9"/>
    <w:rsid w:val="60C56F34"/>
    <w:rsid w:val="610E5871"/>
    <w:rsid w:val="64F84B9F"/>
    <w:rsid w:val="66FD159C"/>
    <w:rsid w:val="67943742"/>
    <w:rsid w:val="6838144E"/>
    <w:rsid w:val="68AA7398"/>
    <w:rsid w:val="6A1F0CFD"/>
    <w:rsid w:val="6E4929A7"/>
    <w:rsid w:val="6EA22FEA"/>
    <w:rsid w:val="6F927418"/>
    <w:rsid w:val="6F936939"/>
    <w:rsid w:val="701543FD"/>
    <w:rsid w:val="70B275E9"/>
    <w:rsid w:val="73AD30A4"/>
    <w:rsid w:val="742C597A"/>
    <w:rsid w:val="75737F4D"/>
    <w:rsid w:val="773326EE"/>
    <w:rsid w:val="79D44A8A"/>
    <w:rsid w:val="7F2A0157"/>
    <w:rsid w:val="7FF71D7B"/>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2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2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8"/>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9"/>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3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31"/>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3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3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99"/>
    <w:pPr>
      <w:jc w:val="left"/>
    </w:pPr>
  </w:style>
  <w:style w:type="paragraph" w:styleId="12">
    <w:name w:val="Body Text"/>
    <w:basedOn w:val="1"/>
    <w:qFormat/>
    <w:uiPriority w:val="99"/>
    <w:pPr>
      <w:tabs>
        <w:tab w:val="left" w:pos="567"/>
      </w:tabs>
      <w:spacing w:before="120" w:line="22" w:lineRule="atLeast"/>
    </w:pPr>
    <w:rPr>
      <w:sz w:val="24"/>
      <w:szCs w:val="20"/>
    </w:rPr>
  </w:style>
  <w:style w:type="paragraph" w:styleId="13">
    <w:name w:val="Plain Text"/>
    <w:basedOn w:val="1"/>
    <w:qFormat/>
    <w:uiPriority w:val="0"/>
    <w:rPr>
      <w:rFonts w:hint="eastAsia" w:ascii="宋体" w:hAnsi="Courier New"/>
      <w:szCs w:val="20"/>
    </w:rPr>
  </w:style>
  <w:style w:type="paragraph" w:styleId="14">
    <w:name w:val="Balloon Text"/>
    <w:basedOn w:val="1"/>
    <w:link w:val="22"/>
    <w:qFormat/>
    <w:uiPriority w:val="0"/>
    <w:rPr>
      <w:sz w:val="18"/>
      <w:szCs w:val="18"/>
    </w:rPr>
  </w:style>
  <w:style w:type="paragraph" w:styleId="15">
    <w:name w:val="footer"/>
    <w:basedOn w:val="1"/>
    <w:link w:val="24"/>
    <w:qFormat/>
    <w:uiPriority w:val="99"/>
    <w:pPr>
      <w:tabs>
        <w:tab w:val="center" w:pos="4153"/>
        <w:tab w:val="right" w:pos="8306"/>
      </w:tabs>
      <w:snapToGrid w:val="0"/>
      <w:jc w:val="left"/>
    </w:pPr>
    <w:rPr>
      <w:sz w:val="18"/>
      <w:szCs w:val="18"/>
    </w:rPr>
  </w:style>
  <w:style w:type="paragraph" w:styleId="16">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spacing w:line="360" w:lineRule="auto"/>
    </w:pPr>
    <w:rPr>
      <w:b/>
      <w:sz w:val="24"/>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qFormat/>
    <w:uiPriority w:val="99"/>
    <w:rPr>
      <w:color w:val="0000FF" w:themeColor="hyperlink"/>
      <w:u w:val="single"/>
      <w14:textFill>
        <w14:solidFill>
          <w14:schemeClr w14:val="hlink"/>
        </w14:solidFill>
      </w14:textFill>
    </w:rPr>
  </w:style>
  <w:style w:type="character" w:customStyle="1" w:styleId="22">
    <w:name w:val="批注框文本 Char"/>
    <w:basedOn w:val="20"/>
    <w:link w:val="14"/>
    <w:qFormat/>
    <w:uiPriority w:val="0"/>
    <w:rPr>
      <w:kern w:val="2"/>
      <w:sz w:val="18"/>
      <w:szCs w:val="18"/>
    </w:rPr>
  </w:style>
  <w:style w:type="character" w:customStyle="1" w:styleId="23">
    <w:name w:val="页眉 Char"/>
    <w:basedOn w:val="20"/>
    <w:link w:val="16"/>
    <w:qFormat/>
    <w:uiPriority w:val="0"/>
    <w:rPr>
      <w:kern w:val="2"/>
      <w:sz w:val="18"/>
      <w:szCs w:val="18"/>
    </w:rPr>
  </w:style>
  <w:style w:type="character" w:customStyle="1" w:styleId="24">
    <w:name w:val="页脚 Char"/>
    <w:basedOn w:val="20"/>
    <w:link w:val="15"/>
    <w:qFormat/>
    <w:uiPriority w:val="99"/>
    <w:rPr>
      <w:kern w:val="2"/>
      <w:sz w:val="18"/>
      <w:szCs w:val="18"/>
    </w:rPr>
  </w:style>
  <w:style w:type="character" w:customStyle="1" w:styleId="25">
    <w:name w:val="标题 2 Char"/>
    <w:link w:val="3"/>
    <w:qFormat/>
    <w:uiPriority w:val="0"/>
    <w:rPr>
      <w:rFonts w:ascii="Arial" w:hAnsi="Arial" w:eastAsia="黑体"/>
      <w:b/>
      <w:sz w:val="30"/>
      <w:lang w:val="en-US" w:eastAsia="zh-CN" w:bidi="ar-SA"/>
    </w:rPr>
  </w:style>
  <w:style w:type="character" w:customStyle="1" w:styleId="26">
    <w:name w:val="标题 3 Char"/>
    <w:link w:val="4"/>
    <w:qFormat/>
    <w:uiPriority w:val="0"/>
    <w:rPr>
      <w:rFonts w:ascii="宋体" w:eastAsia="宋体"/>
      <w:b/>
      <w:sz w:val="24"/>
      <w:u w:val="single"/>
      <w:lang w:val="en-US" w:eastAsia="zh-CN" w:bidi="ar-SA"/>
    </w:rPr>
  </w:style>
  <w:style w:type="character" w:customStyle="1" w:styleId="27">
    <w:name w:val="标题 1 Char"/>
    <w:basedOn w:val="20"/>
    <w:link w:val="2"/>
    <w:qFormat/>
    <w:uiPriority w:val="0"/>
    <w:rPr>
      <w:rFonts w:ascii="宋体"/>
      <w:b/>
      <w:kern w:val="44"/>
      <w:sz w:val="32"/>
    </w:rPr>
  </w:style>
  <w:style w:type="character" w:customStyle="1" w:styleId="28">
    <w:name w:val="标题 4 Char"/>
    <w:basedOn w:val="20"/>
    <w:link w:val="5"/>
    <w:qFormat/>
    <w:uiPriority w:val="0"/>
    <w:rPr>
      <w:sz w:val="24"/>
    </w:rPr>
  </w:style>
  <w:style w:type="character" w:customStyle="1" w:styleId="29">
    <w:name w:val="标题 5 Char"/>
    <w:basedOn w:val="20"/>
    <w:link w:val="6"/>
    <w:qFormat/>
    <w:uiPriority w:val="0"/>
    <w:rPr>
      <w:b/>
      <w:sz w:val="28"/>
    </w:rPr>
  </w:style>
  <w:style w:type="character" w:customStyle="1" w:styleId="30">
    <w:name w:val="标题 6 Char"/>
    <w:basedOn w:val="20"/>
    <w:link w:val="7"/>
    <w:qFormat/>
    <w:uiPriority w:val="0"/>
    <w:rPr>
      <w:rFonts w:ascii="Arial" w:hAnsi="Arial" w:eastAsia="黑体"/>
      <w:b/>
      <w:sz w:val="24"/>
    </w:rPr>
  </w:style>
  <w:style w:type="character" w:customStyle="1" w:styleId="31">
    <w:name w:val="标题 7 Char"/>
    <w:basedOn w:val="20"/>
    <w:link w:val="8"/>
    <w:qFormat/>
    <w:uiPriority w:val="0"/>
    <w:rPr>
      <w:b/>
      <w:sz w:val="24"/>
    </w:rPr>
  </w:style>
  <w:style w:type="character" w:customStyle="1" w:styleId="32">
    <w:name w:val="标题 8 Char"/>
    <w:basedOn w:val="20"/>
    <w:link w:val="9"/>
    <w:qFormat/>
    <w:uiPriority w:val="0"/>
    <w:rPr>
      <w:rFonts w:ascii="Arial" w:hAnsi="Arial" w:eastAsia="黑体"/>
      <w:sz w:val="24"/>
    </w:rPr>
  </w:style>
  <w:style w:type="character" w:customStyle="1" w:styleId="33">
    <w:name w:val="标题 9 Char"/>
    <w:basedOn w:val="20"/>
    <w:link w:val="10"/>
    <w:qFormat/>
    <w:uiPriority w:val="0"/>
    <w:rPr>
      <w:rFonts w:ascii="Arial" w:hAnsi="Arial" w:eastAsia="黑体"/>
      <w:sz w:val="21"/>
    </w:rPr>
  </w:style>
  <w:style w:type="paragraph" w:customStyle="1" w:styleId="34">
    <w:name w:val="Revision"/>
    <w:hidden/>
    <w:unhideWhenUsed/>
    <w:qFormat/>
    <w:uiPriority w:val="99"/>
    <w:rPr>
      <w:rFonts w:ascii="Times New Roman" w:hAnsi="Times New Roman" w:eastAsia="宋体" w:cs="Times New Roman"/>
      <w:kern w:val="2"/>
      <w:sz w:val="21"/>
      <w:szCs w:val="24"/>
      <w:lang w:val="en-US" w:eastAsia="zh-CN" w:bidi="ar-SA"/>
    </w:rPr>
  </w:style>
  <w:style w:type="paragraph" w:styleId="35">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F34AB-0EF1-4325-975C-C0C179031E86}">
  <ds:schemaRefs/>
</ds:datastoreItem>
</file>

<file path=docProps/app.xml><?xml version="1.0" encoding="utf-8"?>
<Properties xmlns="http://schemas.openxmlformats.org/officeDocument/2006/extended-properties" xmlns:vt="http://schemas.openxmlformats.org/officeDocument/2006/docPropsVTypes">
  <Template>BidTools.dotm</Template>
  <Company>China</Company>
  <Pages>69</Pages>
  <Words>216</Words>
  <Characters>268</Characters>
  <Lines>247</Lines>
  <Paragraphs>69</Paragraphs>
  <TotalTime>42</TotalTime>
  <ScaleCrop>false</ScaleCrop>
  <LinksUpToDate>false</LinksUpToDate>
  <CharactersWithSpaces>308</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2026-03-31T03:14:00Z</dcterms:created>
  <dc:creator>Yin Hao</dc:creator>
  <cp:lastModifiedBy>丰晨</cp:lastModifiedBy>
  <cp:lastPrinted>2026-05-14T08:57:00Z</cp:lastPrinted>
  <dcterms:modified xsi:type="dcterms:W3CDTF">2026-08-04T06:59:33Z</dcterms:modified>
  <dc:title>政府采购示范文本（2023）</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E1C63967606C489286EDE0539C5602AF</vt:lpwstr>
  </property>
  <property fmtid="{D5CDD505-2E9C-101B-9397-08002B2CF9AE}" pid="3" name="KSOProductBuildVer">
    <vt:lpwstr>2052-11.8.6.10973</vt:lpwstr>
  </property>
  <property fmtid="{D5CDD505-2E9C-101B-9397-08002B2CF9AE}" pid="4" name="KSOTemplateDocerSaveRecord">
    <vt:lpwstr>eyJoZGlkIjoiYmY2Y2ZiOWQwNGZhY2Q1OGM1Zjg2ODg5ZmEwMDUyZDMiLCJ1c2VySWQiOiI1NzgzODAzMTcifQ==</vt:lpwstr>
  </property>
</Properties>
</file>