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D3B90">
      <w:pPr>
        <w:spacing w:line="360" w:lineRule="auto"/>
        <w:rPr>
          <w:rFonts w:ascii="宋体" w:hAnsi="宋体"/>
          <w:sz w:val="60"/>
          <w:szCs w:val="60"/>
        </w:rPr>
      </w:pPr>
    </w:p>
    <w:p w14:paraId="4A42C267">
      <w:pPr>
        <w:jc w:val="center"/>
        <w:rPr>
          <w:rFonts w:ascii="宋体" w:hAnsi="宋体"/>
          <w:b/>
          <w:bCs/>
          <w:sz w:val="60"/>
          <w:szCs w:val="60"/>
        </w:rPr>
      </w:pPr>
      <w:r>
        <w:rPr>
          <w:rFonts w:ascii="宋体" w:hAnsi="宋体"/>
          <w:b/>
          <w:bCs/>
          <w:sz w:val="60"/>
          <w:szCs w:val="60"/>
        </w:rPr>
        <w:t>北京市政府采购项目</w:t>
      </w:r>
    </w:p>
    <w:p w14:paraId="7E28C101">
      <w:pPr>
        <w:jc w:val="center"/>
        <w:rPr>
          <w:rFonts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7C815086">
      <w:pPr>
        <w:tabs>
          <w:tab w:val="left" w:pos="3240"/>
          <w:tab w:val="left" w:pos="3420"/>
        </w:tabs>
        <w:spacing w:line="360" w:lineRule="auto"/>
        <w:jc w:val="left"/>
        <w:rPr>
          <w:rFonts w:ascii="宋体" w:hAnsi="宋体"/>
          <w:bCs/>
          <w:sz w:val="36"/>
          <w:szCs w:val="36"/>
        </w:rPr>
      </w:pPr>
    </w:p>
    <w:p w14:paraId="07FB2CFA">
      <w:pPr>
        <w:tabs>
          <w:tab w:val="left" w:pos="3240"/>
          <w:tab w:val="left" w:pos="3420"/>
        </w:tabs>
        <w:spacing w:line="360" w:lineRule="auto"/>
        <w:ind w:firstLine="360" w:firstLineChars="100"/>
        <w:jc w:val="left"/>
        <w:rPr>
          <w:rFonts w:ascii="宋体" w:hAnsi="宋体"/>
          <w:bCs/>
          <w:sz w:val="36"/>
          <w:szCs w:val="36"/>
        </w:rPr>
      </w:pPr>
      <w:r>
        <w:rPr>
          <w:rFonts w:ascii="宋体" w:hAnsi="宋体"/>
          <w:bCs/>
          <w:sz w:val="36"/>
          <w:szCs w:val="36"/>
        </w:rPr>
        <w:t>项目名称：</w:t>
      </w:r>
      <w:r>
        <w:rPr>
          <w:rFonts w:hint="eastAsia" w:ascii="宋体" w:hAnsi="宋体"/>
          <w:bCs/>
          <w:sz w:val="36"/>
          <w:szCs w:val="36"/>
        </w:rPr>
        <w:t>妇产医院医用设备购置（追加）</w:t>
      </w:r>
    </w:p>
    <w:p w14:paraId="49F935E1">
      <w:pPr>
        <w:tabs>
          <w:tab w:val="left" w:pos="3240"/>
          <w:tab w:val="left" w:pos="3420"/>
        </w:tabs>
        <w:spacing w:line="360" w:lineRule="auto"/>
        <w:ind w:firstLine="360" w:firstLineChars="100"/>
        <w:jc w:val="left"/>
        <w:rPr>
          <w:rFonts w:ascii="宋体" w:hAnsi="宋体"/>
          <w:bCs/>
          <w:sz w:val="36"/>
          <w:szCs w:val="36"/>
        </w:rPr>
      </w:pPr>
      <w:r>
        <w:rPr>
          <w:rFonts w:ascii="宋体" w:hAnsi="宋体"/>
          <w:bCs/>
          <w:sz w:val="36"/>
          <w:szCs w:val="36"/>
        </w:rPr>
        <w:t>项目编号：</w:t>
      </w:r>
      <w:r>
        <w:rPr>
          <w:rFonts w:hint="eastAsia" w:ascii="宋体" w:hAnsi="宋体"/>
          <w:bCs/>
          <w:sz w:val="36"/>
          <w:szCs w:val="36"/>
        </w:rPr>
        <w:t>ZXHD26028</w:t>
      </w:r>
    </w:p>
    <w:p w14:paraId="7894E861">
      <w:pPr>
        <w:tabs>
          <w:tab w:val="left" w:pos="3240"/>
          <w:tab w:val="left" w:pos="3420"/>
        </w:tabs>
        <w:spacing w:line="360" w:lineRule="auto"/>
        <w:ind w:firstLine="360" w:firstLineChars="100"/>
        <w:jc w:val="left"/>
        <w:rPr>
          <w:rFonts w:ascii="宋体" w:hAnsi="宋体"/>
          <w:bCs/>
          <w:sz w:val="36"/>
          <w:szCs w:val="36"/>
        </w:rPr>
      </w:pPr>
    </w:p>
    <w:p w14:paraId="03A3C3CF">
      <w:pPr>
        <w:tabs>
          <w:tab w:val="left" w:pos="3240"/>
          <w:tab w:val="left" w:pos="3420"/>
        </w:tabs>
        <w:spacing w:line="360" w:lineRule="auto"/>
        <w:ind w:firstLine="360" w:firstLineChars="100"/>
        <w:jc w:val="left"/>
        <w:rPr>
          <w:rFonts w:ascii="宋体" w:hAnsi="宋体"/>
          <w:bCs/>
          <w:sz w:val="36"/>
          <w:szCs w:val="36"/>
        </w:rPr>
      </w:pPr>
      <w:r>
        <w:rPr>
          <w:rFonts w:hint="eastAsia" w:ascii="宋体" w:hAnsi="宋体"/>
          <w:bCs/>
          <w:sz w:val="36"/>
          <w:szCs w:val="36"/>
        </w:rPr>
        <w:t xml:space="preserve">包号：05包、11包、18包、25包 </w:t>
      </w:r>
    </w:p>
    <w:p w14:paraId="3C9B8556">
      <w:pPr>
        <w:tabs>
          <w:tab w:val="left" w:pos="3240"/>
          <w:tab w:val="left" w:pos="3420"/>
        </w:tabs>
        <w:spacing w:line="360" w:lineRule="auto"/>
        <w:ind w:firstLine="360" w:firstLineChars="100"/>
        <w:jc w:val="left"/>
        <w:rPr>
          <w:rFonts w:ascii="宋体" w:hAnsi="宋体"/>
          <w:bCs/>
          <w:sz w:val="36"/>
          <w:szCs w:val="36"/>
        </w:rPr>
      </w:pPr>
    </w:p>
    <w:p w14:paraId="3557035E">
      <w:pPr>
        <w:tabs>
          <w:tab w:val="left" w:pos="3240"/>
          <w:tab w:val="left" w:pos="3420"/>
        </w:tabs>
        <w:spacing w:line="360" w:lineRule="auto"/>
        <w:ind w:firstLine="360" w:firstLineChars="100"/>
        <w:jc w:val="left"/>
        <w:rPr>
          <w:rFonts w:ascii="宋体" w:hAnsi="宋体"/>
          <w:bCs/>
          <w:sz w:val="36"/>
          <w:szCs w:val="36"/>
        </w:rPr>
      </w:pPr>
    </w:p>
    <w:p w14:paraId="6628FFCB">
      <w:pPr>
        <w:tabs>
          <w:tab w:val="left" w:pos="3240"/>
          <w:tab w:val="left" w:pos="3420"/>
        </w:tabs>
        <w:spacing w:line="360" w:lineRule="auto"/>
        <w:ind w:firstLine="360" w:firstLineChars="100"/>
        <w:jc w:val="left"/>
        <w:rPr>
          <w:rFonts w:ascii="宋体" w:hAnsi="宋体"/>
          <w:bCs/>
          <w:sz w:val="36"/>
          <w:szCs w:val="36"/>
        </w:rPr>
      </w:pPr>
    </w:p>
    <w:p w14:paraId="4DE9F5FF">
      <w:pPr>
        <w:tabs>
          <w:tab w:val="left" w:pos="3240"/>
          <w:tab w:val="left" w:pos="3420"/>
        </w:tabs>
        <w:spacing w:line="360" w:lineRule="auto"/>
        <w:ind w:firstLine="360" w:firstLineChars="100"/>
        <w:jc w:val="left"/>
        <w:rPr>
          <w:rFonts w:ascii="宋体" w:hAnsi="宋体"/>
          <w:bCs/>
          <w:sz w:val="36"/>
          <w:szCs w:val="36"/>
        </w:rPr>
      </w:pPr>
    </w:p>
    <w:p w14:paraId="238F1D04">
      <w:pPr>
        <w:tabs>
          <w:tab w:val="left" w:pos="3240"/>
          <w:tab w:val="left" w:pos="3420"/>
        </w:tabs>
        <w:spacing w:line="360" w:lineRule="auto"/>
        <w:ind w:firstLine="360" w:firstLineChars="100"/>
        <w:jc w:val="left"/>
        <w:rPr>
          <w:rFonts w:ascii="宋体" w:hAnsi="宋体"/>
          <w:bCs/>
          <w:sz w:val="36"/>
          <w:szCs w:val="36"/>
        </w:rPr>
      </w:pPr>
    </w:p>
    <w:p w14:paraId="4458F313">
      <w:pPr>
        <w:tabs>
          <w:tab w:val="left" w:pos="3240"/>
          <w:tab w:val="left" w:pos="3420"/>
        </w:tabs>
        <w:spacing w:line="360" w:lineRule="auto"/>
        <w:ind w:firstLine="360" w:firstLineChars="100"/>
        <w:jc w:val="left"/>
        <w:rPr>
          <w:rFonts w:ascii="宋体" w:hAnsi="宋体"/>
          <w:bCs/>
          <w:sz w:val="36"/>
          <w:szCs w:val="36"/>
        </w:rPr>
      </w:pPr>
    </w:p>
    <w:p w14:paraId="23720AD4">
      <w:pPr>
        <w:tabs>
          <w:tab w:val="left" w:pos="3240"/>
          <w:tab w:val="left" w:pos="3420"/>
        </w:tabs>
        <w:spacing w:line="360" w:lineRule="auto"/>
        <w:ind w:left="2832" w:leftChars="444" w:hanging="1900" w:hangingChars="528"/>
        <w:jc w:val="left"/>
        <w:rPr>
          <w:rFonts w:ascii="宋体" w:hAnsi="宋体"/>
          <w:bCs/>
          <w:sz w:val="36"/>
          <w:szCs w:val="36"/>
        </w:rPr>
      </w:pPr>
      <w:r>
        <w:rPr>
          <w:rFonts w:ascii="宋体" w:hAnsi="宋体"/>
          <w:bCs/>
          <w:sz w:val="36"/>
          <w:szCs w:val="36"/>
        </w:rPr>
        <w:t>采购人：</w:t>
      </w:r>
      <w:r>
        <w:rPr>
          <w:rFonts w:hint="eastAsia" w:ascii="宋体" w:hAnsi="宋体"/>
          <w:bCs/>
          <w:sz w:val="36"/>
          <w:szCs w:val="36"/>
        </w:rPr>
        <w:t>首都医科大学附属北京妇产医院</w:t>
      </w:r>
    </w:p>
    <w:p w14:paraId="69162235">
      <w:pPr>
        <w:tabs>
          <w:tab w:val="left" w:pos="3240"/>
          <w:tab w:val="left" w:pos="3420"/>
        </w:tabs>
        <w:spacing w:line="360" w:lineRule="auto"/>
        <w:ind w:left="2832" w:leftChars="444" w:hanging="1900" w:hangingChars="528"/>
        <w:jc w:val="left"/>
        <w:rPr>
          <w:rFonts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北京中兴恒达招标有限公司</w:t>
      </w:r>
    </w:p>
    <w:p w14:paraId="112B3821">
      <w:pPr>
        <w:tabs>
          <w:tab w:val="left" w:pos="3240"/>
          <w:tab w:val="left" w:pos="3420"/>
        </w:tabs>
        <w:spacing w:line="360" w:lineRule="auto"/>
        <w:ind w:left="2831" w:leftChars="1" w:hanging="2829" w:hangingChars="786"/>
        <w:jc w:val="center"/>
        <w:rPr>
          <w:rFonts w:ascii="宋体" w:hAnsi="宋体"/>
          <w:bCs/>
          <w:sz w:val="36"/>
          <w:szCs w:val="36"/>
        </w:rPr>
      </w:pPr>
      <w:r>
        <w:rPr>
          <w:rFonts w:hint="eastAsia" w:ascii="宋体" w:hAnsi="宋体"/>
          <w:bCs/>
          <w:sz w:val="36"/>
          <w:szCs w:val="36"/>
        </w:rPr>
        <w:t>2026年03月</w:t>
      </w:r>
    </w:p>
    <w:p w14:paraId="4214FA8B">
      <w:pPr>
        <w:spacing w:line="360" w:lineRule="auto"/>
        <w:jc w:val="center"/>
        <w:outlineLvl w:val="0"/>
        <w:rPr>
          <w:rFonts w:ascii="宋体" w:hAnsi="宋体"/>
          <w:b/>
          <w:sz w:val="36"/>
          <w:szCs w:val="36"/>
        </w:rPr>
        <w:sectPr>
          <w:headerReference r:id="rId4" w:type="first"/>
          <w:footerReference r:id="rId6" w:type="first"/>
          <w:headerReference r:id="rId3" w:type="default"/>
          <w:footerReference r:id="rId5" w:type="default"/>
          <w:pgSz w:w="11907" w:h="16840"/>
          <w:pgMar w:top="1440" w:right="1800" w:bottom="1440" w:left="1800" w:header="851" w:footer="851" w:gutter="0"/>
          <w:pgNumType w:start="0"/>
          <w:cols w:space="720" w:num="1"/>
          <w:titlePg/>
          <w:docGrid w:linePitch="462" w:charSpace="0"/>
        </w:sectPr>
      </w:pPr>
      <w:bookmarkStart w:id="0" w:name="_Toc124165429"/>
      <w:bookmarkStart w:id="1" w:name="_Toc99301418"/>
      <w:bookmarkStart w:id="2" w:name="_Toc28920"/>
    </w:p>
    <w:p w14:paraId="39DC74F2">
      <w:pPr>
        <w:jc w:val="center"/>
        <w:rPr>
          <w:rFonts w:ascii="宋体" w:hAnsi="宋体"/>
          <w:b/>
          <w:bCs/>
          <w:sz w:val="36"/>
          <w:szCs w:val="44"/>
        </w:rPr>
      </w:pPr>
      <w:bookmarkStart w:id="3" w:name="_Toc22491"/>
      <w:bookmarkStart w:id="4" w:name="_Toc5905"/>
      <w:r>
        <w:rPr>
          <w:rFonts w:ascii="宋体" w:hAnsi="宋体"/>
          <w:b/>
          <w:bCs/>
          <w:sz w:val="36"/>
          <w:szCs w:val="44"/>
        </w:rPr>
        <w:t>目</w:t>
      </w:r>
      <w:r>
        <w:rPr>
          <w:rFonts w:hint="eastAsia" w:ascii="宋体" w:hAnsi="宋体"/>
          <w:b/>
          <w:bCs/>
          <w:sz w:val="36"/>
          <w:szCs w:val="44"/>
        </w:rPr>
        <w:t xml:space="preserve"> </w:t>
      </w:r>
      <w:r>
        <w:rPr>
          <w:rFonts w:ascii="宋体" w:hAnsi="宋体"/>
          <w:b/>
          <w:bCs/>
          <w:sz w:val="36"/>
          <w:szCs w:val="44"/>
        </w:rPr>
        <w:t>录</w:t>
      </w:r>
      <w:bookmarkEnd w:id="0"/>
      <w:bookmarkEnd w:id="1"/>
      <w:bookmarkEnd w:id="2"/>
      <w:bookmarkEnd w:id="3"/>
      <w:bookmarkEnd w:id="4"/>
    </w:p>
    <w:p w14:paraId="597F4892">
      <w:pPr>
        <w:rPr>
          <w:rFonts w:ascii="宋体" w:hAnsi="宋体"/>
        </w:rPr>
      </w:pPr>
    </w:p>
    <w:p w14:paraId="030FEF05">
      <w:pPr>
        <w:rPr>
          <w:rFonts w:ascii="宋体" w:hAnsi="宋体"/>
        </w:rPr>
      </w:pPr>
    </w:p>
    <w:p w14:paraId="15514E76">
      <w:pPr>
        <w:pStyle w:val="15"/>
        <w:tabs>
          <w:tab w:val="right" w:leader="dot" w:pos="8364"/>
          <w:tab w:val="clear" w:pos="8937"/>
        </w:tabs>
        <w:spacing w:line="360" w:lineRule="auto"/>
        <w:rPr>
          <w:rFonts w:asciiTheme="minorHAnsi" w:hAnsiTheme="minorHAnsi" w:eastAsiaTheme="minorEastAsia" w:cstheme="minorBidi"/>
          <w:b w:val="0"/>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r>
        <w:fldChar w:fldCharType="begin"/>
      </w:r>
      <w:r>
        <w:instrText xml:space="preserve"> HYPERLINK \l "_Toc221531081" </w:instrText>
      </w:r>
      <w:r>
        <w:fldChar w:fldCharType="separate"/>
      </w:r>
      <w:r>
        <w:rPr>
          <w:rStyle w:val="37"/>
          <w:rFonts w:hint="eastAsia"/>
          <w:b w:val="0"/>
          <w:sz w:val="28"/>
          <w:szCs w:val="28"/>
        </w:rPr>
        <w:t>第一章</w:t>
      </w:r>
      <w:r>
        <w:rPr>
          <w:rStyle w:val="37"/>
          <w:b w:val="0"/>
          <w:sz w:val="28"/>
          <w:szCs w:val="28"/>
        </w:rPr>
        <w:t xml:space="preserve">  </w:t>
      </w:r>
      <w:r>
        <w:rPr>
          <w:rStyle w:val="37"/>
          <w:rFonts w:hint="eastAsia"/>
          <w:b w:val="0"/>
          <w:sz w:val="28"/>
          <w:szCs w:val="28"/>
        </w:rPr>
        <w:t>投标邀请</w:t>
      </w:r>
      <w:r>
        <w:rPr>
          <w:b w:val="0"/>
          <w:sz w:val="28"/>
          <w:szCs w:val="28"/>
        </w:rPr>
        <w:tab/>
      </w:r>
      <w:r>
        <w:rPr>
          <w:b w:val="0"/>
          <w:sz w:val="28"/>
          <w:szCs w:val="28"/>
        </w:rPr>
        <w:fldChar w:fldCharType="begin"/>
      </w:r>
      <w:r>
        <w:rPr>
          <w:b w:val="0"/>
          <w:sz w:val="28"/>
          <w:szCs w:val="28"/>
        </w:rPr>
        <w:instrText xml:space="preserve"> PAGEREF _Toc221531081 \h </w:instrText>
      </w:r>
      <w:r>
        <w:rPr>
          <w:b w:val="0"/>
          <w:sz w:val="28"/>
          <w:szCs w:val="28"/>
        </w:rPr>
        <w:fldChar w:fldCharType="separate"/>
      </w:r>
      <w:r>
        <w:rPr>
          <w:rFonts w:hint="eastAsia"/>
          <w:b w:val="0"/>
          <w:sz w:val="28"/>
          <w:szCs w:val="28"/>
        </w:rPr>
        <w:t>1</w:t>
      </w:r>
      <w:r>
        <w:rPr>
          <w:b w:val="0"/>
          <w:sz w:val="28"/>
          <w:szCs w:val="28"/>
        </w:rPr>
        <w:fldChar w:fldCharType="end"/>
      </w:r>
      <w:r>
        <w:rPr>
          <w:b w:val="0"/>
          <w:sz w:val="28"/>
          <w:szCs w:val="28"/>
        </w:rPr>
        <w:fldChar w:fldCharType="end"/>
      </w:r>
    </w:p>
    <w:p w14:paraId="6B3BCED2">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"_Toc221531082" </w:instrText>
      </w:r>
      <w:r>
        <w:fldChar w:fldCharType="separate"/>
      </w:r>
      <w:r>
        <w:rPr>
          <w:rStyle w:val="37"/>
          <w:rFonts w:hint="eastAsia"/>
          <w:b w:val="0"/>
          <w:sz w:val="28"/>
          <w:szCs w:val="28"/>
        </w:rPr>
        <w:t>第二章</w:t>
      </w:r>
      <w:r>
        <w:rPr>
          <w:rStyle w:val="37"/>
          <w:b w:val="0"/>
          <w:sz w:val="28"/>
          <w:szCs w:val="28"/>
        </w:rPr>
        <w:t xml:space="preserve">  </w:t>
      </w:r>
      <w:r>
        <w:rPr>
          <w:rStyle w:val="37"/>
          <w:rFonts w:hint="eastAsia"/>
          <w:b w:val="0"/>
          <w:sz w:val="28"/>
          <w:szCs w:val="28"/>
        </w:rPr>
        <w:t>投标人须知</w:t>
      </w:r>
      <w:r>
        <w:rPr>
          <w:b w:val="0"/>
          <w:sz w:val="28"/>
          <w:szCs w:val="28"/>
        </w:rPr>
        <w:tab/>
      </w:r>
      <w:r>
        <w:rPr>
          <w:b w:val="0"/>
          <w:sz w:val="28"/>
          <w:szCs w:val="28"/>
        </w:rPr>
        <w:fldChar w:fldCharType="begin"/>
      </w:r>
      <w:r>
        <w:rPr>
          <w:b w:val="0"/>
          <w:sz w:val="28"/>
          <w:szCs w:val="28"/>
        </w:rPr>
        <w:instrText xml:space="preserve"> PAGEREF _Toc221531082 \h </w:instrText>
      </w:r>
      <w:r>
        <w:rPr>
          <w:b w:val="0"/>
          <w:sz w:val="28"/>
          <w:szCs w:val="28"/>
        </w:rPr>
        <w:fldChar w:fldCharType="separate"/>
      </w:r>
      <w:r>
        <w:rPr>
          <w:rFonts w:hint="eastAsia"/>
          <w:b w:val="0"/>
          <w:sz w:val="28"/>
          <w:szCs w:val="28"/>
        </w:rPr>
        <w:t>7</w:t>
      </w:r>
      <w:r>
        <w:rPr>
          <w:b w:val="0"/>
          <w:sz w:val="28"/>
          <w:szCs w:val="28"/>
        </w:rPr>
        <w:fldChar w:fldCharType="end"/>
      </w:r>
      <w:r>
        <w:rPr>
          <w:b w:val="0"/>
          <w:sz w:val="28"/>
          <w:szCs w:val="28"/>
        </w:rPr>
        <w:fldChar w:fldCharType="end"/>
      </w:r>
    </w:p>
    <w:p w14:paraId="707A49D8">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"_Toc221531083" </w:instrText>
      </w:r>
      <w:r>
        <w:fldChar w:fldCharType="separate"/>
      </w:r>
      <w:r>
        <w:rPr>
          <w:rStyle w:val="37"/>
          <w:rFonts w:hint="eastAsia"/>
          <w:b w:val="0"/>
          <w:sz w:val="28"/>
          <w:szCs w:val="28"/>
        </w:rPr>
        <w:t>第三章</w:t>
      </w:r>
      <w:r>
        <w:rPr>
          <w:rStyle w:val="37"/>
          <w:b w:val="0"/>
          <w:sz w:val="28"/>
          <w:szCs w:val="28"/>
        </w:rPr>
        <w:t xml:space="preserve">  </w:t>
      </w:r>
      <w:r>
        <w:rPr>
          <w:rStyle w:val="37"/>
          <w:rFonts w:hint="eastAsia"/>
          <w:b w:val="0"/>
          <w:sz w:val="28"/>
          <w:szCs w:val="28"/>
        </w:rPr>
        <w:t>资格审查</w:t>
      </w:r>
      <w:r>
        <w:rPr>
          <w:b w:val="0"/>
          <w:sz w:val="28"/>
          <w:szCs w:val="28"/>
        </w:rPr>
        <w:tab/>
      </w:r>
      <w:r>
        <w:rPr>
          <w:b w:val="0"/>
          <w:sz w:val="28"/>
          <w:szCs w:val="28"/>
        </w:rPr>
        <w:fldChar w:fldCharType="begin"/>
      </w:r>
      <w:r>
        <w:rPr>
          <w:b w:val="0"/>
          <w:sz w:val="28"/>
          <w:szCs w:val="28"/>
        </w:rPr>
        <w:instrText xml:space="preserve"> PAGEREF _Toc221531083 \h </w:instrText>
      </w:r>
      <w:r>
        <w:rPr>
          <w:b w:val="0"/>
          <w:sz w:val="28"/>
          <w:szCs w:val="28"/>
        </w:rPr>
        <w:fldChar w:fldCharType="separate"/>
      </w:r>
      <w:r>
        <w:rPr>
          <w:rFonts w:hint="eastAsia"/>
          <w:b w:val="0"/>
          <w:sz w:val="28"/>
          <w:szCs w:val="28"/>
        </w:rPr>
        <w:t>24</w:t>
      </w:r>
      <w:r>
        <w:rPr>
          <w:b w:val="0"/>
          <w:sz w:val="28"/>
          <w:szCs w:val="28"/>
        </w:rPr>
        <w:fldChar w:fldCharType="end"/>
      </w:r>
      <w:r>
        <w:rPr>
          <w:b w:val="0"/>
          <w:sz w:val="28"/>
          <w:szCs w:val="28"/>
        </w:rPr>
        <w:fldChar w:fldCharType="end"/>
      </w:r>
    </w:p>
    <w:p w14:paraId="1E6FD18A">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"_Toc221531084" </w:instrText>
      </w:r>
      <w:r>
        <w:fldChar w:fldCharType="separate"/>
      </w:r>
      <w:r>
        <w:rPr>
          <w:rStyle w:val="37"/>
          <w:rFonts w:hint="eastAsia"/>
          <w:b w:val="0"/>
          <w:sz w:val="28"/>
          <w:szCs w:val="28"/>
        </w:rPr>
        <w:t>第四章</w:t>
      </w:r>
      <w:r>
        <w:rPr>
          <w:rStyle w:val="37"/>
          <w:b w:val="0"/>
          <w:sz w:val="28"/>
          <w:szCs w:val="28"/>
        </w:rPr>
        <w:t xml:space="preserve">  </w:t>
      </w:r>
      <w:r>
        <w:rPr>
          <w:rStyle w:val="37"/>
          <w:rFonts w:hint="eastAsia"/>
          <w:b w:val="0"/>
          <w:sz w:val="28"/>
          <w:szCs w:val="28"/>
        </w:rPr>
        <w:t>评标程序、评标方法和评标标准</w:t>
      </w:r>
      <w:r>
        <w:rPr>
          <w:b w:val="0"/>
          <w:sz w:val="28"/>
          <w:szCs w:val="28"/>
        </w:rPr>
        <w:tab/>
      </w:r>
      <w:r>
        <w:rPr>
          <w:b w:val="0"/>
          <w:sz w:val="28"/>
          <w:szCs w:val="28"/>
        </w:rPr>
        <w:fldChar w:fldCharType="begin"/>
      </w:r>
      <w:r>
        <w:rPr>
          <w:b w:val="0"/>
          <w:sz w:val="28"/>
          <w:szCs w:val="28"/>
        </w:rPr>
        <w:instrText xml:space="preserve"> PAGEREF _Toc221531084 \h </w:instrText>
      </w:r>
      <w:r>
        <w:rPr>
          <w:b w:val="0"/>
          <w:sz w:val="28"/>
          <w:szCs w:val="28"/>
        </w:rPr>
        <w:fldChar w:fldCharType="separate"/>
      </w:r>
      <w:r>
        <w:rPr>
          <w:rFonts w:hint="eastAsia"/>
          <w:b w:val="0"/>
          <w:sz w:val="28"/>
          <w:szCs w:val="28"/>
        </w:rPr>
        <w:t>27</w:t>
      </w:r>
      <w:r>
        <w:rPr>
          <w:b w:val="0"/>
          <w:sz w:val="28"/>
          <w:szCs w:val="28"/>
        </w:rPr>
        <w:fldChar w:fldCharType="end"/>
      </w:r>
      <w:r>
        <w:rPr>
          <w:b w:val="0"/>
          <w:sz w:val="28"/>
          <w:szCs w:val="28"/>
        </w:rPr>
        <w:fldChar w:fldCharType="end"/>
      </w:r>
    </w:p>
    <w:p w14:paraId="42C66E87">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"_Toc221531085" </w:instrText>
      </w:r>
      <w:r>
        <w:fldChar w:fldCharType="separate"/>
      </w:r>
      <w:r>
        <w:rPr>
          <w:rStyle w:val="37"/>
          <w:rFonts w:hint="eastAsia"/>
          <w:b w:val="0"/>
          <w:sz w:val="28"/>
          <w:szCs w:val="28"/>
        </w:rPr>
        <w:t>第五章</w:t>
      </w:r>
      <w:r>
        <w:rPr>
          <w:rStyle w:val="37"/>
          <w:b w:val="0"/>
          <w:sz w:val="28"/>
          <w:szCs w:val="28"/>
        </w:rPr>
        <w:t xml:space="preserve">  </w:t>
      </w:r>
      <w:r>
        <w:rPr>
          <w:rStyle w:val="37"/>
          <w:rFonts w:hint="eastAsia"/>
          <w:b w:val="0"/>
          <w:sz w:val="28"/>
          <w:szCs w:val="28"/>
        </w:rPr>
        <w:t>采购需求</w:t>
      </w:r>
      <w:r>
        <w:rPr>
          <w:b w:val="0"/>
          <w:sz w:val="28"/>
          <w:szCs w:val="28"/>
        </w:rPr>
        <w:tab/>
      </w:r>
      <w:r>
        <w:rPr>
          <w:b w:val="0"/>
          <w:sz w:val="28"/>
          <w:szCs w:val="28"/>
        </w:rPr>
        <w:fldChar w:fldCharType="begin"/>
      </w:r>
      <w:r>
        <w:rPr>
          <w:b w:val="0"/>
          <w:sz w:val="28"/>
          <w:szCs w:val="28"/>
        </w:rPr>
        <w:instrText xml:space="preserve"> PAGEREF _Toc221531085 \h </w:instrText>
      </w:r>
      <w:r>
        <w:rPr>
          <w:b w:val="0"/>
          <w:sz w:val="28"/>
          <w:szCs w:val="28"/>
        </w:rPr>
        <w:fldChar w:fldCharType="separate"/>
      </w:r>
      <w:r>
        <w:rPr>
          <w:rFonts w:hint="eastAsia"/>
          <w:b w:val="0"/>
          <w:sz w:val="28"/>
          <w:szCs w:val="28"/>
        </w:rPr>
        <w:t>38</w:t>
      </w:r>
      <w:r>
        <w:rPr>
          <w:b w:val="0"/>
          <w:sz w:val="28"/>
          <w:szCs w:val="28"/>
        </w:rPr>
        <w:fldChar w:fldCharType="end"/>
      </w:r>
      <w:r>
        <w:rPr>
          <w:b w:val="0"/>
          <w:sz w:val="28"/>
          <w:szCs w:val="28"/>
        </w:rPr>
        <w:fldChar w:fldCharType="end"/>
      </w:r>
    </w:p>
    <w:p w14:paraId="518B1140">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"_Toc221531093" </w:instrText>
      </w:r>
      <w:r>
        <w:fldChar w:fldCharType="separate"/>
      </w:r>
      <w:r>
        <w:rPr>
          <w:rStyle w:val="37"/>
          <w:rFonts w:hint="eastAsia"/>
          <w:b w:val="0"/>
          <w:sz w:val="28"/>
          <w:szCs w:val="28"/>
        </w:rPr>
        <w:t>第六章</w:t>
      </w:r>
      <w:r>
        <w:rPr>
          <w:rStyle w:val="37"/>
          <w:b w:val="0"/>
          <w:sz w:val="28"/>
          <w:szCs w:val="28"/>
        </w:rPr>
        <w:t xml:space="preserve">  </w:t>
      </w:r>
      <w:r>
        <w:rPr>
          <w:rStyle w:val="37"/>
          <w:rFonts w:hint="eastAsia"/>
          <w:b w:val="0"/>
          <w:sz w:val="28"/>
          <w:szCs w:val="28"/>
        </w:rPr>
        <w:t>拟签订的合同文本</w:t>
      </w:r>
      <w:r>
        <w:rPr>
          <w:b w:val="0"/>
          <w:sz w:val="28"/>
          <w:szCs w:val="28"/>
        </w:rPr>
        <w:tab/>
      </w:r>
      <w:r>
        <w:rPr>
          <w:b w:val="0"/>
          <w:sz w:val="28"/>
          <w:szCs w:val="28"/>
        </w:rPr>
        <w:fldChar w:fldCharType="begin"/>
      </w:r>
      <w:r>
        <w:rPr>
          <w:b w:val="0"/>
          <w:sz w:val="28"/>
          <w:szCs w:val="28"/>
        </w:rPr>
        <w:instrText xml:space="preserve"> PAGEREF _Toc221531093 \h </w:instrText>
      </w:r>
      <w:r>
        <w:rPr>
          <w:b w:val="0"/>
          <w:sz w:val="28"/>
          <w:szCs w:val="28"/>
        </w:rPr>
        <w:fldChar w:fldCharType="separate"/>
      </w:r>
      <w:r>
        <w:rPr>
          <w:rFonts w:hint="eastAsia"/>
          <w:b w:val="0"/>
          <w:sz w:val="28"/>
          <w:szCs w:val="28"/>
        </w:rPr>
        <w:t>61</w:t>
      </w:r>
      <w:r>
        <w:rPr>
          <w:b w:val="0"/>
          <w:sz w:val="28"/>
          <w:szCs w:val="28"/>
        </w:rPr>
        <w:fldChar w:fldCharType="end"/>
      </w:r>
      <w:r>
        <w:rPr>
          <w:b w:val="0"/>
          <w:sz w:val="28"/>
          <w:szCs w:val="28"/>
        </w:rPr>
        <w:fldChar w:fldCharType="end"/>
      </w:r>
    </w:p>
    <w:p w14:paraId="5F21A6C7">
      <w:pPr>
        <w:pStyle w:val="15"/>
        <w:tabs>
          <w:tab w:val="right" w:leader="dot" w:pos="8364"/>
          <w:tab w:val="clear" w:pos="8937"/>
        </w:tabs>
        <w:spacing w:line="360" w:lineRule="auto"/>
        <w:rPr>
          <w:rFonts w:asciiTheme="minorHAnsi" w:hAnsiTheme="minorHAnsi" w:eastAsiaTheme="minorEastAsia" w:cstheme="minorBidi"/>
          <w:b w:val="0"/>
          <w:sz w:val="28"/>
          <w:szCs w:val="28"/>
        </w:rPr>
      </w:pPr>
      <w:r>
        <w:fldChar w:fldCharType="begin"/>
      </w:r>
      <w:r>
        <w:instrText xml:space="preserve"> HYPERLINK \l "_Toc221531128" </w:instrText>
      </w:r>
      <w:r>
        <w:fldChar w:fldCharType="separate"/>
      </w:r>
      <w:r>
        <w:rPr>
          <w:rStyle w:val="37"/>
          <w:rFonts w:hint="eastAsia"/>
          <w:b w:val="0"/>
          <w:sz w:val="28"/>
          <w:szCs w:val="28"/>
        </w:rPr>
        <w:t>第七章</w:t>
      </w:r>
      <w:r>
        <w:rPr>
          <w:rStyle w:val="37"/>
          <w:b w:val="0"/>
          <w:sz w:val="28"/>
          <w:szCs w:val="28"/>
        </w:rPr>
        <w:t xml:space="preserve">  </w:t>
      </w:r>
      <w:r>
        <w:rPr>
          <w:rStyle w:val="37"/>
          <w:rFonts w:hint="eastAsia"/>
          <w:b w:val="0"/>
          <w:sz w:val="28"/>
          <w:szCs w:val="28"/>
        </w:rPr>
        <w:t>投标文件格式</w:t>
      </w:r>
      <w:r>
        <w:rPr>
          <w:b w:val="0"/>
          <w:sz w:val="28"/>
          <w:szCs w:val="28"/>
        </w:rPr>
        <w:tab/>
      </w:r>
      <w:r>
        <w:rPr>
          <w:b w:val="0"/>
          <w:sz w:val="28"/>
          <w:szCs w:val="28"/>
        </w:rPr>
        <w:fldChar w:fldCharType="begin"/>
      </w:r>
      <w:r>
        <w:rPr>
          <w:b w:val="0"/>
          <w:sz w:val="28"/>
          <w:szCs w:val="28"/>
        </w:rPr>
        <w:instrText xml:space="preserve"> PAGEREF _Toc221531128 \h </w:instrText>
      </w:r>
      <w:r>
        <w:rPr>
          <w:b w:val="0"/>
          <w:sz w:val="28"/>
          <w:szCs w:val="28"/>
        </w:rPr>
        <w:fldChar w:fldCharType="separate"/>
      </w:r>
      <w:r>
        <w:rPr>
          <w:rFonts w:hint="eastAsia"/>
          <w:b w:val="0"/>
          <w:sz w:val="28"/>
          <w:szCs w:val="28"/>
        </w:rPr>
        <w:t>79</w:t>
      </w:r>
      <w:r>
        <w:rPr>
          <w:b w:val="0"/>
          <w:sz w:val="28"/>
          <w:szCs w:val="28"/>
        </w:rPr>
        <w:fldChar w:fldCharType="end"/>
      </w:r>
      <w:r>
        <w:rPr>
          <w:b w:val="0"/>
          <w:sz w:val="28"/>
          <w:szCs w:val="28"/>
        </w:rPr>
        <w:fldChar w:fldCharType="end"/>
      </w:r>
    </w:p>
    <w:p w14:paraId="29081B07">
      <w:pPr>
        <w:pStyle w:val="15"/>
        <w:spacing w:line="360" w:lineRule="auto"/>
        <w:rPr>
          <w:b w:val="0"/>
        </w:rPr>
      </w:pPr>
      <w:r>
        <w:rPr>
          <w:b w:val="0"/>
          <w:sz w:val="28"/>
          <w:szCs w:val="28"/>
        </w:rPr>
        <w:fldChar w:fldCharType="end"/>
      </w:r>
    </w:p>
    <w:p w14:paraId="3701A340">
      <w:pPr>
        <w:spacing w:line="360" w:lineRule="auto"/>
        <w:jc w:val="center"/>
        <w:outlineLvl w:val="0"/>
        <w:rPr>
          <w:rFonts w:ascii="宋体" w:hAnsi="宋体"/>
          <w:b/>
          <w:sz w:val="36"/>
          <w:szCs w:val="36"/>
        </w:rPr>
        <w:sectPr>
          <w:footerReference r:id="rId8" w:type="first"/>
          <w:footerReference r:id="rId7" w:type="default"/>
          <w:pgSz w:w="11907" w:h="16840"/>
          <w:pgMar w:top="1440" w:right="1800" w:bottom="1440" w:left="1800" w:header="851" w:footer="851" w:gutter="0"/>
          <w:pgNumType w:start="0"/>
          <w:cols w:space="720" w:num="1"/>
          <w:titlePg/>
          <w:docGrid w:linePitch="462" w:charSpace="0"/>
        </w:sectPr>
      </w:pPr>
    </w:p>
    <w:p w14:paraId="54E0A192">
      <w:pPr>
        <w:spacing w:line="360" w:lineRule="auto"/>
        <w:jc w:val="center"/>
        <w:outlineLvl w:val="0"/>
        <w:rPr>
          <w:rFonts w:ascii="宋体" w:hAnsi="宋体"/>
          <w:b/>
          <w:sz w:val="36"/>
          <w:szCs w:val="36"/>
        </w:rPr>
      </w:pPr>
      <w:bookmarkStart w:id="5" w:name="_Toc221531081"/>
      <w:r>
        <w:rPr>
          <w:rFonts w:ascii="宋体" w:hAnsi="宋体"/>
          <w:b/>
          <w:sz w:val="36"/>
          <w:szCs w:val="36"/>
        </w:rPr>
        <w:t>第一章</w:t>
      </w:r>
      <w:r>
        <w:rPr>
          <w:rFonts w:hint="eastAsia" w:ascii="宋体" w:hAnsi="宋体"/>
          <w:b/>
          <w:sz w:val="36"/>
          <w:szCs w:val="36"/>
        </w:rPr>
        <w:t xml:space="preserve">  </w:t>
      </w:r>
      <w:r>
        <w:rPr>
          <w:rFonts w:ascii="宋体" w:hAnsi="宋体"/>
          <w:b/>
          <w:sz w:val="36"/>
          <w:szCs w:val="36"/>
        </w:rPr>
        <w:t>投标邀请</w:t>
      </w:r>
      <w:bookmarkEnd w:id="5"/>
    </w:p>
    <w:p w14:paraId="48A33747">
      <w:pPr>
        <w:pStyle w:val="3"/>
        <w:spacing w:before="0" w:line="360" w:lineRule="auto"/>
        <w:jc w:val="left"/>
        <w:rPr>
          <w:rFonts w:ascii="宋体" w:hAnsi="宋体" w:eastAsia="宋体"/>
          <w:sz w:val="24"/>
          <w:szCs w:val="24"/>
        </w:rPr>
      </w:pPr>
      <w:bookmarkStart w:id="6" w:name="_Toc28359079"/>
      <w:bookmarkStart w:id="7" w:name="_Toc35393790"/>
      <w:bookmarkStart w:id="8" w:name="_Toc28359002"/>
      <w:bookmarkStart w:id="9" w:name="_Toc35393621"/>
      <w:bookmarkStart w:id="10" w:name="_Hlk24379207"/>
      <w:r>
        <w:rPr>
          <w:rFonts w:ascii="宋体" w:hAnsi="宋体" w:eastAsia="宋体"/>
          <w:sz w:val="24"/>
          <w:szCs w:val="24"/>
        </w:rPr>
        <w:t>一、项目基本情况</w:t>
      </w:r>
      <w:bookmarkEnd w:id="6"/>
      <w:bookmarkEnd w:id="7"/>
      <w:bookmarkEnd w:id="8"/>
      <w:bookmarkEnd w:id="9"/>
    </w:p>
    <w:bookmarkEnd w:id="10"/>
    <w:p w14:paraId="388C8572">
      <w:pPr>
        <w:spacing w:line="360" w:lineRule="auto"/>
        <w:ind w:firstLine="480" w:firstLineChars="200"/>
        <w:rPr>
          <w:rFonts w:ascii="宋体" w:hAnsi="宋体"/>
          <w:sz w:val="24"/>
          <w:u w:val="single"/>
        </w:rPr>
      </w:pPr>
      <w:r>
        <w:rPr>
          <w:rFonts w:ascii="宋体" w:hAnsi="宋体"/>
          <w:sz w:val="24"/>
        </w:rPr>
        <w:t>1.项目编号：</w:t>
      </w:r>
      <w:r>
        <w:rPr>
          <w:rFonts w:hint="eastAsia" w:ascii="宋体" w:hAnsi="宋体"/>
          <w:sz w:val="24"/>
          <w:u w:val="single"/>
        </w:rPr>
        <w:t>ZXHD26028</w:t>
      </w:r>
    </w:p>
    <w:p w14:paraId="01E83A6A">
      <w:pPr>
        <w:spacing w:line="360" w:lineRule="auto"/>
        <w:ind w:firstLine="480" w:firstLineChars="200"/>
        <w:rPr>
          <w:rFonts w:ascii="宋体" w:hAnsi="宋体"/>
          <w:sz w:val="24"/>
          <w:u w:val="single"/>
        </w:rPr>
      </w:pPr>
      <w:r>
        <w:rPr>
          <w:rFonts w:ascii="宋体" w:hAnsi="宋体"/>
          <w:sz w:val="24"/>
        </w:rPr>
        <w:t>2.项目名称：</w:t>
      </w:r>
      <w:r>
        <w:rPr>
          <w:rFonts w:hint="eastAsia" w:ascii="宋体" w:hAnsi="宋体"/>
          <w:sz w:val="24"/>
        </w:rPr>
        <w:t>妇产医院医用设备购置（追加）</w:t>
      </w:r>
    </w:p>
    <w:p w14:paraId="4515995F">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rPr>
        <w:t>2709.5万元。</w:t>
      </w:r>
    </w:p>
    <w:p w14:paraId="68A9B970">
      <w:pPr>
        <w:spacing w:line="360" w:lineRule="auto"/>
        <w:ind w:firstLine="480" w:firstLineChars="200"/>
        <w:rPr>
          <w:rFonts w:ascii="宋体" w:hAnsi="宋体"/>
          <w:sz w:val="24"/>
        </w:rPr>
      </w:pPr>
      <w:r>
        <w:rPr>
          <w:rFonts w:ascii="宋体" w:hAnsi="宋体"/>
          <w:sz w:val="24"/>
        </w:rPr>
        <w:t>4.采购需求：</w:t>
      </w:r>
    </w:p>
    <w:tbl>
      <w:tblPr>
        <w:tblStyle w:val="24"/>
        <w:tblW w:w="8517" w:type="dxa"/>
        <w:tblInd w:w="113" w:type="dxa"/>
        <w:tblLayout w:type="fixed"/>
        <w:tblCellMar>
          <w:top w:w="0" w:type="dxa"/>
          <w:left w:w="108" w:type="dxa"/>
          <w:bottom w:w="0" w:type="dxa"/>
          <w:right w:w="108" w:type="dxa"/>
        </w:tblCellMar>
      </w:tblPr>
      <w:tblGrid>
        <w:gridCol w:w="846"/>
        <w:gridCol w:w="1764"/>
        <w:gridCol w:w="2171"/>
        <w:gridCol w:w="965"/>
        <w:gridCol w:w="879"/>
        <w:gridCol w:w="992"/>
        <w:gridCol w:w="900"/>
      </w:tblGrid>
      <w:tr w14:paraId="49A29969">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523BEC0E">
            <w:pPr>
              <w:widowControl/>
              <w:jc w:val="center"/>
              <w:rPr>
                <w:rFonts w:ascii="宋体" w:hAnsi="宋体" w:cs="宋体"/>
                <w:b/>
                <w:bCs/>
                <w:color w:val="000000"/>
                <w:kern w:val="0"/>
                <w:sz w:val="22"/>
                <w:szCs w:val="22"/>
              </w:rPr>
            </w:pPr>
            <w:bookmarkStart w:id="11" w:name="OLE_LINK13"/>
            <w:bookmarkStart w:id="12" w:name="OLE_LINK12"/>
            <w:r>
              <w:rPr>
                <w:rFonts w:hint="eastAsia" w:ascii="宋体" w:hAnsi="宋体" w:cs="宋体"/>
                <w:b/>
                <w:bCs/>
                <w:color w:val="000000"/>
                <w:kern w:val="0"/>
                <w:sz w:val="22"/>
                <w:szCs w:val="22"/>
              </w:rPr>
              <w:t>包号</w:t>
            </w:r>
          </w:p>
        </w:tc>
        <w:tc>
          <w:tcPr>
            <w:tcW w:w="1764" w:type="dxa"/>
            <w:tcBorders>
              <w:top w:val="single" w:color="auto" w:sz="4" w:space="0"/>
              <w:left w:val="nil"/>
              <w:bottom w:val="single" w:color="auto" w:sz="4" w:space="0"/>
              <w:right w:val="single" w:color="auto" w:sz="4" w:space="0"/>
            </w:tcBorders>
            <w:vAlign w:val="center"/>
          </w:tcPr>
          <w:p w14:paraId="5FDBC44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包名称</w:t>
            </w:r>
          </w:p>
        </w:tc>
        <w:tc>
          <w:tcPr>
            <w:tcW w:w="2171" w:type="dxa"/>
            <w:tcBorders>
              <w:top w:val="single" w:color="auto" w:sz="4" w:space="0"/>
              <w:left w:val="nil"/>
              <w:bottom w:val="single" w:color="auto" w:sz="4" w:space="0"/>
              <w:right w:val="single" w:color="auto" w:sz="4" w:space="0"/>
            </w:tcBorders>
            <w:vAlign w:val="center"/>
          </w:tcPr>
          <w:p w14:paraId="0D05C6E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标的名称</w:t>
            </w:r>
          </w:p>
        </w:tc>
        <w:tc>
          <w:tcPr>
            <w:tcW w:w="965" w:type="dxa"/>
            <w:tcBorders>
              <w:top w:val="single" w:color="auto" w:sz="4" w:space="0"/>
              <w:left w:val="nil"/>
              <w:bottom w:val="single" w:color="auto" w:sz="4" w:space="0"/>
              <w:right w:val="single" w:color="auto" w:sz="4" w:space="0"/>
            </w:tcBorders>
            <w:vAlign w:val="center"/>
          </w:tcPr>
          <w:p w14:paraId="31ACC0C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分包预算金额（万元）</w:t>
            </w:r>
          </w:p>
        </w:tc>
        <w:tc>
          <w:tcPr>
            <w:tcW w:w="879" w:type="dxa"/>
            <w:tcBorders>
              <w:top w:val="single" w:color="auto" w:sz="4" w:space="0"/>
              <w:left w:val="nil"/>
              <w:bottom w:val="single" w:color="auto" w:sz="4" w:space="0"/>
              <w:right w:val="single" w:color="auto" w:sz="4" w:space="0"/>
            </w:tcBorders>
            <w:vAlign w:val="center"/>
          </w:tcPr>
          <w:p w14:paraId="4B6D180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数量（台/套）</w:t>
            </w:r>
          </w:p>
        </w:tc>
        <w:tc>
          <w:tcPr>
            <w:tcW w:w="992" w:type="dxa"/>
            <w:tcBorders>
              <w:top w:val="single" w:color="auto" w:sz="4" w:space="0"/>
              <w:left w:val="nil"/>
              <w:bottom w:val="single" w:color="auto" w:sz="4" w:space="0"/>
              <w:right w:val="single" w:color="auto" w:sz="4" w:space="0"/>
            </w:tcBorders>
            <w:vAlign w:val="center"/>
          </w:tcPr>
          <w:p w14:paraId="333F3D5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分项最高限价（万元）</w:t>
            </w:r>
          </w:p>
        </w:tc>
        <w:tc>
          <w:tcPr>
            <w:tcW w:w="900" w:type="dxa"/>
            <w:tcBorders>
              <w:top w:val="single" w:color="auto" w:sz="4" w:space="0"/>
              <w:left w:val="nil"/>
              <w:bottom w:val="single" w:color="auto" w:sz="4" w:space="0"/>
              <w:right w:val="single" w:color="auto" w:sz="4" w:space="0"/>
            </w:tcBorders>
            <w:vAlign w:val="center"/>
          </w:tcPr>
          <w:p w14:paraId="1C216EC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是否为核心产品</w:t>
            </w:r>
          </w:p>
        </w:tc>
      </w:tr>
      <w:tr w14:paraId="10830815">
        <w:tblPrEx>
          <w:tblCellMar>
            <w:top w:w="0" w:type="dxa"/>
            <w:left w:w="108" w:type="dxa"/>
            <w:bottom w:w="0" w:type="dxa"/>
            <w:right w:w="108" w:type="dxa"/>
          </w:tblCellMar>
        </w:tblPrEx>
        <w:trPr>
          <w:trHeight w:val="445" w:hRule="atLeast"/>
        </w:trPr>
        <w:tc>
          <w:tcPr>
            <w:tcW w:w="846" w:type="dxa"/>
            <w:tcBorders>
              <w:top w:val="nil"/>
              <w:left w:val="single" w:color="auto" w:sz="4" w:space="0"/>
              <w:bottom w:val="single" w:color="auto" w:sz="4" w:space="0"/>
              <w:right w:val="single" w:color="auto" w:sz="4" w:space="0"/>
            </w:tcBorders>
            <w:noWrap/>
            <w:vAlign w:val="center"/>
          </w:tcPr>
          <w:p w14:paraId="7DE42CEE">
            <w:pPr>
              <w:widowControl/>
              <w:jc w:val="center"/>
              <w:rPr>
                <w:rFonts w:ascii="宋体" w:hAnsi="宋体" w:cs="宋体"/>
                <w:color w:val="000000"/>
                <w:kern w:val="0"/>
                <w:sz w:val="22"/>
                <w:szCs w:val="22"/>
              </w:rPr>
            </w:pPr>
            <w:r>
              <w:rPr>
                <w:rFonts w:hint="eastAsia" w:ascii="宋体" w:hAnsi="宋体" w:cs="宋体"/>
                <w:color w:val="000000"/>
                <w:kern w:val="0"/>
                <w:sz w:val="22"/>
                <w:szCs w:val="22"/>
              </w:rPr>
              <w:t>05包</w:t>
            </w:r>
          </w:p>
        </w:tc>
        <w:tc>
          <w:tcPr>
            <w:tcW w:w="1764" w:type="dxa"/>
            <w:tcBorders>
              <w:top w:val="nil"/>
              <w:left w:val="nil"/>
              <w:bottom w:val="single" w:color="auto" w:sz="4" w:space="0"/>
              <w:right w:val="single" w:color="auto" w:sz="4" w:space="0"/>
            </w:tcBorders>
            <w:vAlign w:val="center"/>
          </w:tcPr>
          <w:p w14:paraId="359C93DB">
            <w:pPr>
              <w:widowControl/>
              <w:jc w:val="center"/>
              <w:rPr>
                <w:rFonts w:ascii="宋体" w:hAnsi="宋体" w:cs="宋体"/>
                <w:color w:val="000000"/>
                <w:kern w:val="0"/>
                <w:sz w:val="22"/>
                <w:szCs w:val="22"/>
              </w:rPr>
            </w:pPr>
            <w:r>
              <w:rPr>
                <w:rFonts w:hint="eastAsia" w:ascii="宋体" w:hAnsi="宋体" w:cs="宋体"/>
                <w:color w:val="000000"/>
                <w:kern w:val="0"/>
                <w:sz w:val="22"/>
                <w:szCs w:val="22"/>
              </w:rPr>
              <w:t>全自动PCR分析系统</w:t>
            </w:r>
          </w:p>
        </w:tc>
        <w:tc>
          <w:tcPr>
            <w:tcW w:w="2171" w:type="dxa"/>
            <w:tcBorders>
              <w:top w:val="nil"/>
              <w:left w:val="nil"/>
              <w:bottom w:val="single" w:color="auto" w:sz="4" w:space="0"/>
              <w:right w:val="single" w:color="auto" w:sz="4" w:space="0"/>
            </w:tcBorders>
            <w:vAlign w:val="center"/>
          </w:tcPr>
          <w:p w14:paraId="52E119E4">
            <w:pPr>
              <w:widowControl/>
              <w:jc w:val="center"/>
              <w:rPr>
                <w:rFonts w:ascii="宋体" w:hAnsi="宋体" w:cs="宋体"/>
                <w:color w:val="000000"/>
                <w:kern w:val="0"/>
                <w:sz w:val="22"/>
                <w:szCs w:val="22"/>
              </w:rPr>
            </w:pPr>
            <w:r>
              <w:rPr>
                <w:rFonts w:hint="eastAsia" w:ascii="宋体" w:hAnsi="宋体" w:cs="宋体"/>
                <w:color w:val="000000"/>
                <w:kern w:val="0"/>
                <w:sz w:val="22"/>
                <w:szCs w:val="22"/>
              </w:rPr>
              <w:t>全自动PCR分析系统</w:t>
            </w:r>
          </w:p>
        </w:tc>
        <w:tc>
          <w:tcPr>
            <w:tcW w:w="965" w:type="dxa"/>
            <w:tcBorders>
              <w:top w:val="nil"/>
              <w:left w:val="nil"/>
              <w:bottom w:val="single" w:color="auto" w:sz="4" w:space="0"/>
              <w:right w:val="nil"/>
            </w:tcBorders>
            <w:vAlign w:val="center"/>
          </w:tcPr>
          <w:p w14:paraId="20AB17CC">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30.00 </w:t>
            </w:r>
          </w:p>
        </w:tc>
        <w:tc>
          <w:tcPr>
            <w:tcW w:w="879" w:type="dxa"/>
            <w:tcBorders>
              <w:top w:val="nil"/>
              <w:left w:val="single" w:color="auto" w:sz="4" w:space="0"/>
              <w:bottom w:val="single" w:color="auto" w:sz="4" w:space="0"/>
              <w:right w:val="single" w:color="auto" w:sz="4" w:space="0"/>
            </w:tcBorders>
            <w:vAlign w:val="center"/>
          </w:tcPr>
          <w:p w14:paraId="5EBCAA06">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color="auto" w:sz="4" w:space="0"/>
              <w:right w:val="single" w:color="auto" w:sz="4" w:space="0"/>
            </w:tcBorders>
            <w:vAlign w:val="center"/>
          </w:tcPr>
          <w:p w14:paraId="06D39BDF">
            <w:pPr>
              <w:widowControl/>
              <w:jc w:val="center"/>
              <w:rPr>
                <w:rFonts w:ascii="宋体" w:hAnsi="宋体" w:cs="宋体"/>
                <w:color w:val="000000"/>
                <w:kern w:val="0"/>
                <w:sz w:val="22"/>
                <w:szCs w:val="22"/>
              </w:rPr>
            </w:pPr>
            <w:r>
              <w:rPr>
                <w:rFonts w:ascii="宋体" w:hAnsi="宋体" w:cs="宋体"/>
                <w:color w:val="000000"/>
                <w:kern w:val="0"/>
                <w:sz w:val="22"/>
                <w:szCs w:val="22"/>
              </w:rPr>
              <w:t>30</w:t>
            </w:r>
          </w:p>
        </w:tc>
        <w:tc>
          <w:tcPr>
            <w:tcW w:w="900" w:type="dxa"/>
            <w:tcBorders>
              <w:top w:val="nil"/>
              <w:left w:val="nil"/>
              <w:bottom w:val="single" w:color="auto" w:sz="4" w:space="0"/>
              <w:right w:val="single" w:color="auto" w:sz="4" w:space="0"/>
            </w:tcBorders>
            <w:vAlign w:val="center"/>
          </w:tcPr>
          <w:p w14:paraId="7F0F7EDE">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24B98239">
        <w:tblPrEx>
          <w:tblCellMar>
            <w:top w:w="0" w:type="dxa"/>
            <w:left w:w="108" w:type="dxa"/>
            <w:bottom w:w="0" w:type="dxa"/>
            <w:right w:w="108" w:type="dxa"/>
          </w:tblCellMar>
        </w:tblPrEx>
        <w:trPr>
          <w:trHeight w:val="445" w:hRule="atLeast"/>
        </w:trPr>
        <w:tc>
          <w:tcPr>
            <w:tcW w:w="846" w:type="dxa"/>
            <w:tcBorders>
              <w:top w:val="nil"/>
              <w:left w:val="single" w:color="auto" w:sz="4" w:space="0"/>
              <w:bottom w:val="single" w:color="auto" w:sz="4" w:space="0"/>
              <w:right w:val="single" w:color="auto" w:sz="4" w:space="0"/>
            </w:tcBorders>
            <w:noWrap/>
            <w:vAlign w:val="center"/>
          </w:tcPr>
          <w:p w14:paraId="0DD9C3CE">
            <w:pPr>
              <w:widowControl/>
              <w:jc w:val="center"/>
              <w:rPr>
                <w:rFonts w:ascii="宋体" w:hAnsi="宋体" w:cs="宋体"/>
                <w:color w:val="000000"/>
                <w:kern w:val="0"/>
                <w:sz w:val="22"/>
                <w:szCs w:val="22"/>
              </w:rPr>
            </w:pPr>
            <w:r>
              <w:rPr>
                <w:rFonts w:hint="eastAsia" w:ascii="宋体" w:hAnsi="宋体" w:cs="宋体"/>
                <w:color w:val="000000"/>
                <w:kern w:val="0"/>
                <w:sz w:val="22"/>
                <w:szCs w:val="22"/>
              </w:rPr>
              <w:t>11包</w:t>
            </w:r>
          </w:p>
        </w:tc>
        <w:tc>
          <w:tcPr>
            <w:tcW w:w="1764" w:type="dxa"/>
            <w:tcBorders>
              <w:top w:val="nil"/>
              <w:left w:val="nil"/>
              <w:bottom w:val="single" w:color="auto" w:sz="4" w:space="0"/>
              <w:right w:val="single" w:color="auto" w:sz="4" w:space="0"/>
            </w:tcBorders>
            <w:vAlign w:val="center"/>
          </w:tcPr>
          <w:p w14:paraId="763975D2">
            <w:pPr>
              <w:widowControl/>
              <w:jc w:val="center"/>
              <w:rPr>
                <w:rFonts w:ascii="宋体" w:hAnsi="宋体" w:cs="宋体"/>
                <w:color w:val="000000"/>
                <w:kern w:val="0"/>
                <w:sz w:val="22"/>
                <w:szCs w:val="22"/>
              </w:rPr>
            </w:pPr>
            <w:r>
              <w:rPr>
                <w:rFonts w:hint="eastAsia" w:ascii="宋体" w:hAnsi="宋体" w:cs="宋体"/>
                <w:color w:val="000000"/>
                <w:kern w:val="0"/>
                <w:sz w:val="22"/>
                <w:szCs w:val="22"/>
              </w:rPr>
              <w:t>4K 3D内窥镜荧光摄像系统</w:t>
            </w:r>
          </w:p>
        </w:tc>
        <w:tc>
          <w:tcPr>
            <w:tcW w:w="2171" w:type="dxa"/>
            <w:tcBorders>
              <w:top w:val="nil"/>
              <w:left w:val="nil"/>
              <w:bottom w:val="single" w:color="auto" w:sz="4" w:space="0"/>
              <w:right w:val="single" w:color="auto" w:sz="4" w:space="0"/>
            </w:tcBorders>
            <w:vAlign w:val="center"/>
          </w:tcPr>
          <w:p w14:paraId="1569FE24">
            <w:pPr>
              <w:widowControl/>
              <w:jc w:val="center"/>
              <w:rPr>
                <w:rFonts w:ascii="宋体" w:hAnsi="宋体" w:cs="宋体"/>
                <w:color w:val="000000"/>
                <w:kern w:val="0"/>
                <w:sz w:val="22"/>
                <w:szCs w:val="22"/>
              </w:rPr>
            </w:pPr>
            <w:r>
              <w:rPr>
                <w:rFonts w:hint="eastAsia" w:ascii="宋体" w:hAnsi="宋体" w:cs="宋体"/>
                <w:color w:val="000000"/>
                <w:kern w:val="0"/>
                <w:sz w:val="22"/>
                <w:szCs w:val="22"/>
              </w:rPr>
              <w:t>4K 3D内窥镜荧光摄像系统</w:t>
            </w:r>
          </w:p>
        </w:tc>
        <w:tc>
          <w:tcPr>
            <w:tcW w:w="965" w:type="dxa"/>
            <w:tcBorders>
              <w:top w:val="nil"/>
              <w:left w:val="nil"/>
              <w:bottom w:val="single" w:color="auto" w:sz="4" w:space="0"/>
              <w:right w:val="nil"/>
            </w:tcBorders>
            <w:vAlign w:val="center"/>
          </w:tcPr>
          <w:p w14:paraId="1E476081">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168.00 </w:t>
            </w:r>
          </w:p>
        </w:tc>
        <w:tc>
          <w:tcPr>
            <w:tcW w:w="879" w:type="dxa"/>
            <w:tcBorders>
              <w:top w:val="nil"/>
              <w:left w:val="single" w:color="auto" w:sz="4" w:space="0"/>
              <w:bottom w:val="single" w:color="auto" w:sz="4" w:space="0"/>
              <w:right w:val="single" w:color="auto" w:sz="4" w:space="0"/>
            </w:tcBorders>
            <w:vAlign w:val="center"/>
          </w:tcPr>
          <w:p w14:paraId="334DFBE5">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92" w:type="dxa"/>
            <w:tcBorders>
              <w:top w:val="nil"/>
              <w:left w:val="nil"/>
              <w:bottom w:val="single" w:color="auto" w:sz="4" w:space="0"/>
              <w:right w:val="single" w:color="auto" w:sz="4" w:space="0"/>
            </w:tcBorders>
            <w:vAlign w:val="center"/>
          </w:tcPr>
          <w:p w14:paraId="51C56186">
            <w:pPr>
              <w:widowControl/>
              <w:jc w:val="center"/>
              <w:rPr>
                <w:rFonts w:ascii="宋体" w:hAnsi="宋体" w:cs="宋体"/>
                <w:color w:val="000000"/>
                <w:kern w:val="0"/>
                <w:sz w:val="22"/>
                <w:szCs w:val="22"/>
              </w:rPr>
            </w:pPr>
            <w:r>
              <w:rPr>
                <w:rFonts w:hint="eastAsia" w:ascii="宋体" w:hAnsi="宋体" w:cs="宋体"/>
                <w:color w:val="000000"/>
                <w:kern w:val="0"/>
                <w:sz w:val="22"/>
                <w:szCs w:val="22"/>
              </w:rPr>
              <w:t>168</w:t>
            </w:r>
          </w:p>
        </w:tc>
        <w:tc>
          <w:tcPr>
            <w:tcW w:w="900" w:type="dxa"/>
            <w:tcBorders>
              <w:top w:val="nil"/>
              <w:left w:val="nil"/>
              <w:bottom w:val="single" w:color="auto" w:sz="4" w:space="0"/>
              <w:right w:val="single" w:color="auto" w:sz="4" w:space="0"/>
            </w:tcBorders>
            <w:vAlign w:val="center"/>
          </w:tcPr>
          <w:p w14:paraId="1C3B29A6">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685537E9">
        <w:tblPrEx>
          <w:tblCellMar>
            <w:top w:w="0" w:type="dxa"/>
            <w:left w:w="108" w:type="dxa"/>
            <w:bottom w:w="0" w:type="dxa"/>
            <w:right w:w="108" w:type="dxa"/>
          </w:tblCellMar>
        </w:tblPrEx>
        <w:trPr>
          <w:trHeight w:val="445" w:hRule="atLeast"/>
        </w:trPr>
        <w:tc>
          <w:tcPr>
            <w:tcW w:w="846" w:type="dxa"/>
            <w:vMerge w:val="restart"/>
            <w:tcBorders>
              <w:top w:val="nil"/>
              <w:left w:val="single" w:color="auto" w:sz="4" w:space="0"/>
              <w:bottom w:val="single" w:color="auto" w:sz="4" w:space="0"/>
              <w:right w:val="single" w:color="auto" w:sz="4" w:space="0"/>
            </w:tcBorders>
            <w:noWrap/>
            <w:vAlign w:val="center"/>
          </w:tcPr>
          <w:p w14:paraId="7BC59208">
            <w:pPr>
              <w:widowControl/>
              <w:jc w:val="center"/>
              <w:rPr>
                <w:rFonts w:ascii="宋体" w:hAnsi="宋体" w:cs="宋体"/>
                <w:color w:val="000000"/>
                <w:kern w:val="0"/>
                <w:sz w:val="22"/>
                <w:szCs w:val="22"/>
              </w:rPr>
            </w:pPr>
            <w:r>
              <w:rPr>
                <w:rFonts w:hint="eastAsia" w:ascii="宋体" w:hAnsi="宋体" w:cs="宋体"/>
                <w:color w:val="000000"/>
                <w:kern w:val="0"/>
                <w:sz w:val="22"/>
                <w:szCs w:val="22"/>
              </w:rPr>
              <w:t>18包</w:t>
            </w:r>
          </w:p>
        </w:tc>
        <w:tc>
          <w:tcPr>
            <w:tcW w:w="1764" w:type="dxa"/>
            <w:vMerge w:val="restart"/>
            <w:tcBorders>
              <w:top w:val="nil"/>
              <w:left w:val="nil"/>
              <w:bottom w:val="single" w:color="auto" w:sz="4" w:space="0"/>
              <w:right w:val="single" w:color="auto" w:sz="4" w:space="0"/>
            </w:tcBorders>
            <w:vAlign w:val="center"/>
          </w:tcPr>
          <w:p w14:paraId="65802820">
            <w:pPr>
              <w:widowControl/>
              <w:jc w:val="center"/>
              <w:rPr>
                <w:rFonts w:ascii="宋体" w:hAnsi="宋体" w:cs="宋体"/>
                <w:color w:val="000000"/>
                <w:kern w:val="0"/>
                <w:sz w:val="22"/>
                <w:szCs w:val="22"/>
              </w:rPr>
            </w:pPr>
            <w:r>
              <w:rPr>
                <w:rFonts w:hint="eastAsia" w:ascii="宋体" w:hAnsi="宋体" w:cs="宋体"/>
                <w:color w:val="000000"/>
                <w:kern w:val="0"/>
                <w:sz w:val="22"/>
                <w:szCs w:val="22"/>
              </w:rPr>
              <w:t>射频温控热凝机</w:t>
            </w:r>
          </w:p>
        </w:tc>
        <w:tc>
          <w:tcPr>
            <w:tcW w:w="2171" w:type="dxa"/>
            <w:tcBorders>
              <w:top w:val="nil"/>
              <w:left w:val="nil"/>
              <w:bottom w:val="single" w:color="auto" w:sz="4" w:space="0"/>
              <w:right w:val="single" w:color="auto" w:sz="4" w:space="0"/>
            </w:tcBorders>
            <w:vAlign w:val="center"/>
          </w:tcPr>
          <w:p w14:paraId="00905122">
            <w:pPr>
              <w:widowControl/>
              <w:jc w:val="center"/>
              <w:rPr>
                <w:rFonts w:ascii="宋体" w:hAnsi="宋体" w:cs="宋体"/>
                <w:color w:val="000000"/>
                <w:kern w:val="0"/>
                <w:sz w:val="22"/>
                <w:szCs w:val="22"/>
              </w:rPr>
            </w:pPr>
            <w:r>
              <w:rPr>
                <w:rFonts w:hint="eastAsia" w:ascii="宋体" w:hAnsi="宋体" w:cs="宋体"/>
                <w:kern w:val="0"/>
                <w:sz w:val="22"/>
                <w:szCs w:val="22"/>
              </w:rPr>
              <w:t>射频理疗仪</w:t>
            </w:r>
          </w:p>
        </w:tc>
        <w:tc>
          <w:tcPr>
            <w:tcW w:w="965" w:type="dxa"/>
            <w:vMerge w:val="restart"/>
            <w:tcBorders>
              <w:top w:val="nil"/>
              <w:left w:val="nil"/>
              <w:bottom w:val="single" w:color="auto" w:sz="4" w:space="0"/>
              <w:right w:val="nil"/>
            </w:tcBorders>
            <w:vAlign w:val="center"/>
          </w:tcPr>
          <w:p w14:paraId="3B854258">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879" w:type="dxa"/>
            <w:tcBorders>
              <w:top w:val="nil"/>
              <w:left w:val="single" w:color="auto" w:sz="4" w:space="0"/>
              <w:bottom w:val="single" w:color="auto" w:sz="4" w:space="0"/>
              <w:right w:val="single" w:color="auto" w:sz="4" w:space="0"/>
            </w:tcBorders>
            <w:vAlign w:val="center"/>
          </w:tcPr>
          <w:p w14:paraId="024EFE45">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92" w:type="dxa"/>
            <w:tcBorders>
              <w:top w:val="nil"/>
              <w:left w:val="nil"/>
              <w:bottom w:val="single" w:color="auto" w:sz="4" w:space="0"/>
              <w:right w:val="single" w:color="auto" w:sz="4" w:space="0"/>
            </w:tcBorders>
            <w:vAlign w:val="center"/>
          </w:tcPr>
          <w:p w14:paraId="2B7D42E8">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00" w:type="dxa"/>
            <w:tcBorders>
              <w:top w:val="nil"/>
              <w:left w:val="nil"/>
              <w:bottom w:val="single" w:color="auto" w:sz="4" w:space="0"/>
              <w:right w:val="single" w:color="auto" w:sz="4" w:space="0"/>
            </w:tcBorders>
            <w:vAlign w:val="center"/>
          </w:tcPr>
          <w:p w14:paraId="7F7C8DB4">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4BABC2E1">
        <w:tblPrEx>
          <w:tblCellMar>
            <w:top w:w="0" w:type="dxa"/>
            <w:left w:w="108" w:type="dxa"/>
            <w:bottom w:w="0" w:type="dxa"/>
            <w:right w:w="108" w:type="dxa"/>
          </w:tblCellMar>
        </w:tblPrEx>
        <w:trPr>
          <w:trHeight w:val="445" w:hRule="atLeast"/>
        </w:trPr>
        <w:tc>
          <w:tcPr>
            <w:tcW w:w="846" w:type="dxa"/>
            <w:vMerge w:val="continue"/>
            <w:tcBorders>
              <w:top w:val="nil"/>
              <w:left w:val="single" w:color="auto" w:sz="4" w:space="0"/>
              <w:bottom w:val="single" w:color="auto" w:sz="4" w:space="0"/>
              <w:right w:val="single" w:color="auto" w:sz="4" w:space="0"/>
            </w:tcBorders>
            <w:noWrap/>
            <w:vAlign w:val="center"/>
          </w:tcPr>
          <w:p w14:paraId="284ED9DC">
            <w:pPr>
              <w:widowControl/>
              <w:jc w:val="left"/>
              <w:rPr>
                <w:rFonts w:ascii="宋体" w:hAnsi="宋体" w:cs="宋体"/>
                <w:color w:val="000000"/>
                <w:kern w:val="0"/>
                <w:sz w:val="22"/>
                <w:szCs w:val="22"/>
              </w:rPr>
            </w:pPr>
          </w:p>
        </w:tc>
        <w:tc>
          <w:tcPr>
            <w:tcW w:w="1764" w:type="dxa"/>
            <w:vMerge w:val="continue"/>
            <w:tcBorders>
              <w:top w:val="nil"/>
              <w:left w:val="nil"/>
              <w:bottom w:val="single" w:color="auto" w:sz="4" w:space="0"/>
              <w:right w:val="single" w:color="auto" w:sz="4" w:space="0"/>
            </w:tcBorders>
            <w:vAlign w:val="center"/>
          </w:tcPr>
          <w:p w14:paraId="74089C31">
            <w:pPr>
              <w:widowControl/>
              <w:jc w:val="left"/>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095D0AC0">
            <w:pPr>
              <w:widowControl/>
              <w:jc w:val="center"/>
              <w:rPr>
                <w:rFonts w:ascii="宋体" w:hAnsi="宋体" w:cs="宋体"/>
                <w:color w:val="000000"/>
                <w:kern w:val="0"/>
                <w:sz w:val="22"/>
                <w:szCs w:val="22"/>
              </w:rPr>
            </w:pPr>
            <w:r>
              <w:rPr>
                <w:rFonts w:hint="eastAsia" w:ascii="宋体" w:hAnsi="宋体" w:cs="宋体"/>
                <w:color w:val="000000"/>
                <w:kern w:val="0"/>
                <w:sz w:val="22"/>
                <w:szCs w:val="22"/>
              </w:rPr>
              <w:t>射频温控热凝机</w:t>
            </w:r>
          </w:p>
        </w:tc>
        <w:tc>
          <w:tcPr>
            <w:tcW w:w="965" w:type="dxa"/>
            <w:vMerge w:val="continue"/>
            <w:tcBorders>
              <w:top w:val="nil"/>
              <w:left w:val="nil"/>
              <w:bottom w:val="single" w:color="auto" w:sz="4" w:space="0"/>
              <w:right w:val="nil"/>
            </w:tcBorders>
            <w:vAlign w:val="center"/>
          </w:tcPr>
          <w:p w14:paraId="51722078">
            <w:pPr>
              <w:widowControl/>
              <w:jc w:val="left"/>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25488B1">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color="auto" w:sz="4" w:space="0"/>
              <w:right w:val="single" w:color="auto" w:sz="4" w:space="0"/>
            </w:tcBorders>
            <w:vAlign w:val="center"/>
          </w:tcPr>
          <w:p w14:paraId="200CB3C3">
            <w:pPr>
              <w:widowControl/>
              <w:jc w:val="center"/>
              <w:rPr>
                <w:rFonts w:ascii="宋体" w:hAnsi="宋体" w:cs="宋体"/>
                <w:color w:val="000000"/>
                <w:kern w:val="0"/>
                <w:sz w:val="22"/>
                <w:szCs w:val="22"/>
              </w:rPr>
            </w:pPr>
            <w:r>
              <w:rPr>
                <w:rFonts w:ascii="宋体" w:hAnsi="宋体" w:cs="宋体"/>
                <w:color w:val="000000"/>
                <w:kern w:val="0"/>
                <w:sz w:val="22"/>
                <w:szCs w:val="22"/>
              </w:rPr>
              <w:t>60</w:t>
            </w:r>
          </w:p>
        </w:tc>
        <w:tc>
          <w:tcPr>
            <w:tcW w:w="900" w:type="dxa"/>
            <w:tcBorders>
              <w:top w:val="nil"/>
              <w:left w:val="nil"/>
              <w:bottom w:val="single" w:color="auto" w:sz="4" w:space="0"/>
              <w:right w:val="single" w:color="auto" w:sz="4" w:space="0"/>
            </w:tcBorders>
            <w:vAlign w:val="center"/>
          </w:tcPr>
          <w:p w14:paraId="225901EE">
            <w:pPr>
              <w:widowControl/>
              <w:jc w:val="center"/>
              <w:rPr>
                <w:rFonts w:ascii="宋体" w:hAnsi="宋体" w:cs="宋体"/>
                <w:color w:val="000000"/>
                <w:kern w:val="0"/>
                <w:sz w:val="22"/>
                <w:szCs w:val="22"/>
              </w:rPr>
            </w:pPr>
            <w:r>
              <w:rPr>
                <w:rFonts w:hint="eastAsia" w:ascii="宋体" w:hAnsi="宋体" w:cs="宋体"/>
                <w:b/>
                <w:bCs/>
                <w:color w:val="000000"/>
                <w:kern w:val="0"/>
                <w:sz w:val="22"/>
                <w:szCs w:val="22"/>
              </w:rPr>
              <w:t>否</w:t>
            </w:r>
          </w:p>
        </w:tc>
      </w:tr>
      <w:bookmarkEnd w:id="11"/>
      <w:bookmarkEnd w:id="12"/>
      <w:tr w14:paraId="6FB8C3D9">
        <w:tblPrEx>
          <w:tblCellMar>
            <w:top w:w="0" w:type="dxa"/>
            <w:left w:w="108" w:type="dxa"/>
            <w:bottom w:w="0" w:type="dxa"/>
            <w:right w:w="108" w:type="dxa"/>
          </w:tblCellMar>
        </w:tblPrEx>
        <w:trPr>
          <w:trHeight w:val="445" w:hRule="atLeast"/>
        </w:trPr>
        <w:tc>
          <w:tcPr>
            <w:tcW w:w="846" w:type="dxa"/>
            <w:vMerge w:val="restart"/>
            <w:tcBorders>
              <w:top w:val="nil"/>
              <w:left w:val="single" w:color="auto" w:sz="4" w:space="0"/>
              <w:right w:val="single" w:color="auto" w:sz="4" w:space="0"/>
            </w:tcBorders>
            <w:noWrap/>
            <w:vAlign w:val="center"/>
          </w:tcPr>
          <w:p w14:paraId="0D4736B2">
            <w:pPr>
              <w:widowControl/>
              <w:jc w:val="center"/>
              <w:rPr>
                <w:rFonts w:ascii="宋体" w:hAnsi="宋体" w:cs="宋体"/>
                <w:color w:val="000000"/>
                <w:kern w:val="0"/>
                <w:sz w:val="22"/>
                <w:szCs w:val="22"/>
              </w:rPr>
            </w:pPr>
            <w:r>
              <w:rPr>
                <w:rFonts w:hint="eastAsia" w:ascii="宋体" w:hAnsi="宋体" w:cs="宋体"/>
                <w:color w:val="000000"/>
                <w:kern w:val="0"/>
                <w:sz w:val="22"/>
                <w:szCs w:val="22"/>
              </w:rPr>
              <w:t>25包</w:t>
            </w:r>
          </w:p>
        </w:tc>
        <w:tc>
          <w:tcPr>
            <w:tcW w:w="1764" w:type="dxa"/>
            <w:vMerge w:val="restart"/>
            <w:tcBorders>
              <w:top w:val="nil"/>
              <w:left w:val="nil"/>
              <w:right w:val="single" w:color="auto" w:sz="4" w:space="0"/>
            </w:tcBorders>
            <w:vAlign w:val="center"/>
          </w:tcPr>
          <w:p w14:paraId="0009F42E">
            <w:pPr>
              <w:widowControl/>
              <w:jc w:val="center"/>
              <w:rPr>
                <w:rFonts w:ascii="宋体" w:hAnsi="宋体" w:cs="宋体"/>
                <w:color w:val="000000"/>
                <w:kern w:val="0"/>
                <w:sz w:val="22"/>
                <w:szCs w:val="22"/>
              </w:rPr>
            </w:pPr>
            <w:r>
              <w:rPr>
                <w:rFonts w:hint="eastAsia" w:ascii="宋体" w:hAnsi="宋体" w:cs="宋体"/>
                <w:color w:val="000000"/>
                <w:kern w:val="0"/>
                <w:sz w:val="22"/>
                <w:szCs w:val="22"/>
              </w:rPr>
              <w:t>麻醉监护仪等</w:t>
            </w:r>
          </w:p>
        </w:tc>
        <w:tc>
          <w:tcPr>
            <w:tcW w:w="2171" w:type="dxa"/>
            <w:tcBorders>
              <w:top w:val="nil"/>
              <w:left w:val="nil"/>
              <w:bottom w:val="single" w:color="auto" w:sz="4" w:space="0"/>
              <w:right w:val="single" w:color="auto" w:sz="4" w:space="0"/>
            </w:tcBorders>
            <w:vAlign w:val="center"/>
          </w:tcPr>
          <w:p w14:paraId="18E92DF4">
            <w:pPr>
              <w:widowControl/>
              <w:jc w:val="center"/>
              <w:rPr>
                <w:rFonts w:ascii="宋体" w:hAnsi="宋体" w:cs="宋体"/>
                <w:color w:val="000000"/>
                <w:kern w:val="0"/>
                <w:sz w:val="22"/>
                <w:szCs w:val="22"/>
              </w:rPr>
            </w:pPr>
            <w:r>
              <w:rPr>
                <w:rFonts w:hint="eastAsia" w:ascii="宋体" w:hAnsi="宋体" w:cs="宋体"/>
                <w:color w:val="000000"/>
                <w:kern w:val="0"/>
                <w:sz w:val="22"/>
                <w:szCs w:val="22"/>
              </w:rPr>
              <w:t>麻醉监护仪</w:t>
            </w:r>
          </w:p>
        </w:tc>
        <w:tc>
          <w:tcPr>
            <w:tcW w:w="965" w:type="dxa"/>
            <w:vMerge w:val="restart"/>
            <w:tcBorders>
              <w:top w:val="nil"/>
              <w:left w:val="nil"/>
              <w:right w:val="nil"/>
            </w:tcBorders>
            <w:vAlign w:val="center"/>
          </w:tcPr>
          <w:p w14:paraId="4494A7AF">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248.50 </w:t>
            </w:r>
          </w:p>
        </w:tc>
        <w:tc>
          <w:tcPr>
            <w:tcW w:w="879" w:type="dxa"/>
            <w:tcBorders>
              <w:top w:val="nil"/>
              <w:left w:val="single" w:color="auto" w:sz="4" w:space="0"/>
              <w:bottom w:val="single" w:color="auto" w:sz="4" w:space="0"/>
              <w:right w:val="single" w:color="auto" w:sz="4" w:space="0"/>
            </w:tcBorders>
            <w:vAlign w:val="center"/>
          </w:tcPr>
          <w:p w14:paraId="15F1B4FE">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992" w:type="dxa"/>
            <w:tcBorders>
              <w:top w:val="nil"/>
              <w:left w:val="nil"/>
              <w:bottom w:val="single" w:color="auto" w:sz="4" w:space="0"/>
              <w:right w:val="single" w:color="auto" w:sz="4" w:space="0"/>
            </w:tcBorders>
            <w:vAlign w:val="center"/>
          </w:tcPr>
          <w:p w14:paraId="74B9426C">
            <w:pPr>
              <w:widowControl/>
              <w:jc w:val="center"/>
              <w:rPr>
                <w:rFonts w:ascii="宋体" w:hAnsi="宋体" w:cs="宋体"/>
                <w:color w:val="000000"/>
                <w:kern w:val="0"/>
                <w:sz w:val="22"/>
                <w:szCs w:val="22"/>
              </w:rPr>
            </w:pPr>
            <w:r>
              <w:rPr>
                <w:rFonts w:ascii="宋体" w:hAnsi="宋体" w:cs="宋体"/>
                <w:color w:val="000000"/>
                <w:kern w:val="0"/>
                <w:sz w:val="22"/>
                <w:szCs w:val="22"/>
              </w:rPr>
              <w:t>77.5</w:t>
            </w:r>
          </w:p>
        </w:tc>
        <w:tc>
          <w:tcPr>
            <w:tcW w:w="900" w:type="dxa"/>
            <w:tcBorders>
              <w:top w:val="nil"/>
              <w:left w:val="nil"/>
              <w:bottom w:val="single" w:color="auto" w:sz="4" w:space="0"/>
              <w:right w:val="single" w:color="auto" w:sz="4" w:space="0"/>
            </w:tcBorders>
            <w:vAlign w:val="center"/>
          </w:tcPr>
          <w:p w14:paraId="02361463">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206899F2">
        <w:tblPrEx>
          <w:tblCellMar>
            <w:top w:w="0" w:type="dxa"/>
            <w:left w:w="108" w:type="dxa"/>
            <w:bottom w:w="0" w:type="dxa"/>
            <w:right w:w="108" w:type="dxa"/>
          </w:tblCellMar>
        </w:tblPrEx>
        <w:trPr>
          <w:trHeight w:val="445" w:hRule="atLeast"/>
        </w:trPr>
        <w:tc>
          <w:tcPr>
            <w:tcW w:w="846" w:type="dxa"/>
            <w:vMerge w:val="continue"/>
            <w:tcBorders>
              <w:left w:val="single" w:color="auto" w:sz="4" w:space="0"/>
              <w:right w:val="single" w:color="auto" w:sz="4" w:space="0"/>
            </w:tcBorders>
            <w:noWrap/>
            <w:vAlign w:val="center"/>
          </w:tcPr>
          <w:p w14:paraId="1E3E4A48">
            <w:pPr>
              <w:widowControl/>
              <w:jc w:val="center"/>
              <w:rPr>
                <w:rFonts w:ascii="宋体" w:hAnsi="宋体" w:cs="宋体"/>
                <w:color w:val="000000"/>
                <w:kern w:val="0"/>
                <w:sz w:val="22"/>
                <w:szCs w:val="22"/>
              </w:rPr>
            </w:pPr>
          </w:p>
        </w:tc>
        <w:tc>
          <w:tcPr>
            <w:tcW w:w="1764" w:type="dxa"/>
            <w:vMerge w:val="continue"/>
            <w:tcBorders>
              <w:left w:val="nil"/>
              <w:right w:val="single" w:color="auto" w:sz="4" w:space="0"/>
            </w:tcBorders>
            <w:vAlign w:val="center"/>
          </w:tcPr>
          <w:p w14:paraId="56B46CAB">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62B9C505">
            <w:pPr>
              <w:widowControl/>
              <w:jc w:val="center"/>
              <w:rPr>
                <w:rFonts w:ascii="宋体" w:hAnsi="宋体" w:cs="宋体"/>
                <w:color w:val="000000"/>
                <w:kern w:val="0"/>
                <w:sz w:val="22"/>
                <w:szCs w:val="22"/>
              </w:rPr>
            </w:pPr>
            <w:r>
              <w:rPr>
                <w:rFonts w:hint="eastAsia" w:ascii="宋体" w:hAnsi="宋体" w:cs="宋体"/>
                <w:color w:val="000000"/>
                <w:kern w:val="0"/>
                <w:sz w:val="22"/>
                <w:szCs w:val="22"/>
              </w:rPr>
              <w:t>医用升温毯</w:t>
            </w:r>
          </w:p>
        </w:tc>
        <w:tc>
          <w:tcPr>
            <w:tcW w:w="965" w:type="dxa"/>
            <w:vMerge w:val="continue"/>
            <w:tcBorders>
              <w:left w:val="nil"/>
              <w:right w:val="nil"/>
            </w:tcBorders>
            <w:vAlign w:val="center"/>
          </w:tcPr>
          <w:p w14:paraId="0BC8360C">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ACE2D0C">
            <w:pPr>
              <w:widowControl/>
              <w:jc w:val="center"/>
              <w:rPr>
                <w:rFonts w:ascii="宋体" w:hAnsi="宋体" w:cs="宋体"/>
                <w:color w:val="000000"/>
                <w:kern w:val="0"/>
                <w:sz w:val="22"/>
                <w:szCs w:val="22"/>
              </w:rPr>
            </w:pPr>
            <w:r>
              <w:rPr>
                <w:rFonts w:ascii="宋体" w:hAnsi="宋体" w:cs="宋体"/>
                <w:color w:val="000000"/>
                <w:kern w:val="0"/>
                <w:sz w:val="22"/>
                <w:szCs w:val="22"/>
              </w:rPr>
              <w:t>12</w:t>
            </w:r>
          </w:p>
        </w:tc>
        <w:tc>
          <w:tcPr>
            <w:tcW w:w="992" w:type="dxa"/>
            <w:tcBorders>
              <w:top w:val="nil"/>
              <w:left w:val="nil"/>
              <w:bottom w:val="single" w:color="auto" w:sz="4" w:space="0"/>
              <w:right w:val="single" w:color="auto" w:sz="4" w:space="0"/>
            </w:tcBorders>
            <w:vAlign w:val="center"/>
          </w:tcPr>
          <w:p w14:paraId="72A2F228">
            <w:pPr>
              <w:widowControl/>
              <w:jc w:val="center"/>
              <w:rPr>
                <w:rFonts w:ascii="宋体" w:hAnsi="宋体" w:cs="宋体"/>
                <w:color w:val="000000"/>
                <w:kern w:val="0"/>
                <w:sz w:val="22"/>
                <w:szCs w:val="22"/>
              </w:rPr>
            </w:pPr>
            <w:r>
              <w:rPr>
                <w:rFonts w:hint="eastAsia" w:ascii="宋体" w:hAnsi="宋体" w:cs="宋体"/>
                <w:color w:val="000000"/>
                <w:kern w:val="0"/>
                <w:sz w:val="22"/>
                <w:szCs w:val="22"/>
              </w:rPr>
              <w:t>26.4</w:t>
            </w:r>
          </w:p>
        </w:tc>
        <w:tc>
          <w:tcPr>
            <w:tcW w:w="900" w:type="dxa"/>
            <w:tcBorders>
              <w:top w:val="nil"/>
              <w:left w:val="nil"/>
              <w:bottom w:val="single" w:color="auto" w:sz="4" w:space="0"/>
              <w:right w:val="single" w:color="auto" w:sz="4" w:space="0"/>
            </w:tcBorders>
            <w:vAlign w:val="center"/>
          </w:tcPr>
          <w:p w14:paraId="7030EFB3">
            <w:pPr>
              <w:widowControl/>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3B2C8D9C">
        <w:tblPrEx>
          <w:tblCellMar>
            <w:top w:w="0" w:type="dxa"/>
            <w:left w:w="108" w:type="dxa"/>
            <w:bottom w:w="0" w:type="dxa"/>
            <w:right w:w="108" w:type="dxa"/>
          </w:tblCellMar>
        </w:tblPrEx>
        <w:trPr>
          <w:trHeight w:val="445" w:hRule="atLeast"/>
        </w:trPr>
        <w:tc>
          <w:tcPr>
            <w:tcW w:w="846" w:type="dxa"/>
            <w:vMerge w:val="continue"/>
            <w:tcBorders>
              <w:left w:val="single" w:color="auto" w:sz="4" w:space="0"/>
              <w:right w:val="single" w:color="auto" w:sz="4" w:space="0"/>
            </w:tcBorders>
            <w:noWrap/>
            <w:vAlign w:val="center"/>
          </w:tcPr>
          <w:p w14:paraId="67E68C63">
            <w:pPr>
              <w:widowControl/>
              <w:jc w:val="center"/>
              <w:rPr>
                <w:rFonts w:ascii="宋体" w:hAnsi="宋体" w:cs="宋体"/>
                <w:color w:val="000000"/>
                <w:kern w:val="0"/>
                <w:sz w:val="22"/>
                <w:szCs w:val="22"/>
              </w:rPr>
            </w:pPr>
          </w:p>
        </w:tc>
        <w:tc>
          <w:tcPr>
            <w:tcW w:w="1764" w:type="dxa"/>
            <w:vMerge w:val="continue"/>
            <w:tcBorders>
              <w:left w:val="nil"/>
              <w:right w:val="single" w:color="auto" w:sz="4" w:space="0"/>
            </w:tcBorders>
            <w:vAlign w:val="center"/>
          </w:tcPr>
          <w:p w14:paraId="12A4AA01">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521A9B64">
            <w:pPr>
              <w:widowControl/>
              <w:jc w:val="center"/>
              <w:rPr>
                <w:rFonts w:ascii="宋体" w:hAnsi="宋体" w:cs="宋体"/>
                <w:color w:val="000000"/>
                <w:kern w:val="0"/>
                <w:sz w:val="22"/>
                <w:szCs w:val="22"/>
              </w:rPr>
            </w:pPr>
            <w:r>
              <w:rPr>
                <w:rFonts w:hint="eastAsia" w:ascii="宋体" w:hAnsi="宋体" w:cs="宋体"/>
                <w:color w:val="000000"/>
                <w:kern w:val="0"/>
                <w:sz w:val="22"/>
                <w:szCs w:val="22"/>
              </w:rPr>
              <w:t>输血输液加温器</w:t>
            </w:r>
          </w:p>
        </w:tc>
        <w:tc>
          <w:tcPr>
            <w:tcW w:w="965" w:type="dxa"/>
            <w:vMerge w:val="continue"/>
            <w:tcBorders>
              <w:left w:val="nil"/>
              <w:right w:val="nil"/>
            </w:tcBorders>
            <w:vAlign w:val="center"/>
          </w:tcPr>
          <w:p w14:paraId="61C8198D">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4892856">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992" w:type="dxa"/>
            <w:tcBorders>
              <w:top w:val="nil"/>
              <w:left w:val="nil"/>
              <w:bottom w:val="single" w:color="auto" w:sz="4" w:space="0"/>
              <w:right w:val="single" w:color="auto" w:sz="4" w:space="0"/>
            </w:tcBorders>
            <w:vAlign w:val="center"/>
          </w:tcPr>
          <w:p w14:paraId="2CDD5D96">
            <w:pPr>
              <w:widowControl/>
              <w:jc w:val="center"/>
              <w:rPr>
                <w:rFonts w:ascii="宋体" w:hAnsi="宋体" w:cs="宋体"/>
                <w:color w:val="000000"/>
                <w:kern w:val="0"/>
                <w:sz w:val="22"/>
                <w:szCs w:val="22"/>
              </w:rPr>
            </w:pPr>
            <w:r>
              <w:rPr>
                <w:rFonts w:ascii="宋体" w:hAnsi="宋体" w:cs="宋体"/>
                <w:color w:val="000000"/>
                <w:kern w:val="0"/>
                <w:sz w:val="22"/>
                <w:szCs w:val="22"/>
              </w:rPr>
              <w:t>36</w:t>
            </w:r>
          </w:p>
        </w:tc>
        <w:tc>
          <w:tcPr>
            <w:tcW w:w="900" w:type="dxa"/>
            <w:tcBorders>
              <w:top w:val="nil"/>
              <w:left w:val="nil"/>
              <w:bottom w:val="single" w:color="auto" w:sz="4" w:space="0"/>
              <w:right w:val="single" w:color="auto" w:sz="4" w:space="0"/>
            </w:tcBorders>
            <w:vAlign w:val="center"/>
          </w:tcPr>
          <w:p w14:paraId="435BFE03">
            <w:pPr>
              <w:widowControl/>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66064075">
        <w:tblPrEx>
          <w:tblCellMar>
            <w:top w:w="0" w:type="dxa"/>
            <w:left w:w="108" w:type="dxa"/>
            <w:bottom w:w="0" w:type="dxa"/>
            <w:right w:w="108" w:type="dxa"/>
          </w:tblCellMar>
        </w:tblPrEx>
        <w:trPr>
          <w:trHeight w:val="445" w:hRule="atLeast"/>
        </w:trPr>
        <w:tc>
          <w:tcPr>
            <w:tcW w:w="846" w:type="dxa"/>
            <w:vMerge w:val="continue"/>
            <w:tcBorders>
              <w:left w:val="single" w:color="auto" w:sz="4" w:space="0"/>
              <w:right w:val="single" w:color="auto" w:sz="4" w:space="0"/>
            </w:tcBorders>
            <w:noWrap/>
            <w:vAlign w:val="center"/>
          </w:tcPr>
          <w:p w14:paraId="37416F51">
            <w:pPr>
              <w:widowControl/>
              <w:jc w:val="center"/>
              <w:rPr>
                <w:rFonts w:ascii="宋体" w:hAnsi="宋体" w:cs="宋体"/>
                <w:color w:val="000000"/>
                <w:kern w:val="0"/>
                <w:sz w:val="22"/>
                <w:szCs w:val="22"/>
              </w:rPr>
            </w:pPr>
          </w:p>
        </w:tc>
        <w:tc>
          <w:tcPr>
            <w:tcW w:w="1764" w:type="dxa"/>
            <w:vMerge w:val="continue"/>
            <w:tcBorders>
              <w:left w:val="nil"/>
              <w:right w:val="single" w:color="auto" w:sz="4" w:space="0"/>
            </w:tcBorders>
            <w:vAlign w:val="center"/>
          </w:tcPr>
          <w:p w14:paraId="64584181">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28D5CBDB">
            <w:pPr>
              <w:widowControl/>
              <w:jc w:val="center"/>
              <w:rPr>
                <w:rFonts w:ascii="宋体" w:hAnsi="宋体" w:cs="宋体"/>
                <w:color w:val="000000"/>
                <w:kern w:val="0"/>
                <w:sz w:val="22"/>
                <w:szCs w:val="22"/>
              </w:rPr>
            </w:pPr>
            <w:r>
              <w:rPr>
                <w:rFonts w:hint="eastAsia" w:ascii="宋体" w:hAnsi="宋体" w:cs="宋体"/>
                <w:color w:val="000000"/>
                <w:kern w:val="0"/>
                <w:sz w:val="22"/>
                <w:szCs w:val="22"/>
              </w:rPr>
              <w:t>靶控注射泵</w:t>
            </w:r>
          </w:p>
        </w:tc>
        <w:tc>
          <w:tcPr>
            <w:tcW w:w="965" w:type="dxa"/>
            <w:vMerge w:val="continue"/>
            <w:tcBorders>
              <w:left w:val="nil"/>
              <w:right w:val="nil"/>
            </w:tcBorders>
            <w:vAlign w:val="center"/>
          </w:tcPr>
          <w:p w14:paraId="2CFA49CE">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8EE34FC">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992" w:type="dxa"/>
            <w:tcBorders>
              <w:top w:val="nil"/>
              <w:left w:val="nil"/>
              <w:bottom w:val="single" w:color="auto" w:sz="4" w:space="0"/>
              <w:right w:val="single" w:color="auto" w:sz="4" w:space="0"/>
            </w:tcBorders>
            <w:vAlign w:val="center"/>
          </w:tcPr>
          <w:p w14:paraId="05737686">
            <w:pPr>
              <w:widowControl/>
              <w:jc w:val="center"/>
              <w:rPr>
                <w:rFonts w:ascii="宋体" w:hAnsi="宋体" w:cs="宋体"/>
                <w:color w:val="000000"/>
                <w:kern w:val="0"/>
                <w:sz w:val="22"/>
                <w:szCs w:val="22"/>
              </w:rPr>
            </w:pPr>
            <w:r>
              <w:rPr>
                <w:rFonts w:ascii="宋体" w:hAnsi="宋体" w:cs="宋体"/>
                <w:color w:val="000000"/>
                <w:kern w:val="0"/>
                <w:sz w:val="22"/>
                <w:szCs w:val="22"/>
              </w:rPr>
              <w:t>37</w:t>
            </w:r>
          </w:p>
        </w:tc>
        <w:tc>
          <w:tcPr>
            <w:tcW w:w="900" w:type="dxa"/>
            <w:tcBorders>
              <w:top w:val="nil"/>
              <w:left w:val="nil"/>
              <w:bottom w:val="single" w:color="auto" w:sz="4" w:space="0"/>
              <w:right w:val="single" w:color="auto" w:sz="4" w:space="0"/>
            </w:tcBorders>
            <w:vAlign w:val="center"/>
          </w:tcPr>
          <w:p w14:paraId="3996B764">
            <w:pPr>
              <w:widowControl/>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272AA2DE">
        <w:tblPrEx>
          <w:tblCellMar>
            <w:top w:w="0" w:type="dxa"/>
            <w:left w:w="108" w:type="dxa"/>
            <w:bottom w:w="0" w:type="dxa"/>
            <w:right w:w="108" w:type="dxa"/>
          </w:tblCellMar>
        </w:tblPrEx>
        <w:trPr>
          <w:trHeight w:val="445" w:hRule="atLeast"/>
        </w:trPr>
        <w:tc>
          <w:tcPr>
            <w:tcW w:w="846" w:type="dxa"/>
            <w:vMerge w:val="continue"/>
            <w:tcBorders>
              <w:left w:val="single" w:color="auto" w:sz="4" w:space="0"/>
              <w:bottom w:val="single" w:color="auto" w:sz="4" w:space="0"/>
              <w:right w:val="single" w:color="auto" w:sz="4" w:space="0"/>
            </w:tcBorders>
            <w:noWrap/>
            <w:vAlign w:val="center"/>
          </w:tcPr>
          <w:p w14:paraId="18E3AD23">
            <w:pPr>
              <w:widowControl/>
              <w:jc w:val="center"/>
              <w:rPr>
                <w:rFonts w:ascii="宋体" w:hAnsi="宋体" w:cs="宋体"/>
                <w:color w:val="000000"/>
                <w:kern w:val="0"/>
                <w:sz w:val="22"/>
                <w:szCs w:val="22"/>
              </w:rPr>
            </w:pPr>
          </w:p>
        </w:tc>
        <w:tc>
          <w:tcPr>
            <w:tcW w:w="1764" w:type="dxa"/>
            <w:vMerge w:val="continue"/>
            <w:tcBorders>
              <w:left w:val="nil"/>
              <w:bottom w:val="single" w:color="auto" w:sz="4" w:space="0"/>
              <w:right w:val="single" w:color="auto" w:sz="4" w:space="0"/>
            </w:tcBorders>
            <w:vAlign w:val="center"/>
          </w:tcPr>
          <w:p w14:paraId="7175C904">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4EAD8C39">
            <w:pPr>
              <w:widowControl/>
              <w:jc w:val="center"/>
              <w:rPr>
                <w:rFonts w:ascii="宋体" w:hAnsi="宋体" w:cs="宋体"/>
                <w:color w:val="000000"/>
                <w:kern w:val="0"/>
                <w:sz w:val="22"/>
                <w:szCs w:val="22"/>
              </w:rPr>
            </w:pPr>
            <w:r>
              <w:rPr>
                <w:rFonts w:hint="eastAsia" w:ascii="宋体" w:hAnsi="宋体" w:cs="宋体"/>
                <w:color w:val="000000"/>
                <w:kern w:val="0"/>
                <w:sz w:val="22"/>
                <w:szCs w:val="22"/>
              </w:rPr>
              <w:t>麻醉深度监护仪</w:t>
            </w:r>
          </w:p>
        </w:tc>
        <w:tc>
          <w:tcPr>
            <w:tcW w:w="965" w:type="dxa"/>
            <w:vMerge w:val="continue"/>
            <w:tcBorders>
              <w:left w:val="nil"/>
              <w:bottom w:val="single" w:color="auto" w:sz="4" w:space="0"/>
              <w:right w:val="nil"/>
            </w:tcBorders>
            <w:vAlign w:val="center"/>
          </w:tcPr>
          <w:p w14:paraId="72E94497">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79F9458B">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color="auto" w:sz="4" w:space="0"/>
              <w:right w:val="single" w:color="auto" w:sz="4" w:space="0"/>
            </w:tcBorders>
            <w:vAlign w:val="center"/>
          </w:tcPr>
          <w:p w14:paraId="6AEDECE4">
            <w:pPr>
              <w:widowControl/>
              <w:jc w:val="center"/>
              <w:rPr>
                <w:rFonts w:ascii="宋体" w:hAnsi="宋体" w:cs="宋体"/>
                <w:color w:val="000000"/>
                <w:kern w:val="0"/>
                <w:sz w:val="22"/>
                <w:szCs w:val="22"/>
              </w:rPr>
            </w:pPr>
            <w:r>
              <w:rPr>
                <w:rFonts w:ascii="宋体" w:hAnsi="宋体" w:cs="宋体"/>
                <w:color w:val="000000"/>
                <w:kern w:val="0"/>
                <w:sz w:val="22"/>
                <w:szCs w:val="22"/>
              </w:rPr>
              <w:t>40</w:t>
            </w:r>
          </w:p>
        </w:tc>
        <w:tc>
          <w:tcPr>
            <w:tcW w:w="900" w:type="dxa"/>
            <w:tcBorders>
              <w:top w:val="nil"/>
              <w:left w:val="nil"/>
              <w:bottom w:val="single" w:color="auto" w:sz="4" w:space="0"/>
              <w:right w:val="single" w:color="auto" w:sz="4" w:space="0"/>
            </w:tcBorders>
            <w:vAlign w:val="center"/>
          </w:tcPr>
          <w:p w14:paraId="44A5C95C">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bl>
    <w:p w14:paraId="20BF1E6D">
      <w:pPr>
        <w:numPr>
          <w:ilvl w:val="255"/>
          <w:numId w:val="0"/>
        </w:numPr>
        <w:spacing w:line="360" w:lineRule="auto"/>
        <w:ind w:firstLine="482" w:firstLineChars="200"/>
        <w:rPr>
          <w:rFonts w:ascii="宋体" w:hAnsi="宋体"/>
          <w:b/>
          <w:sz w:val="24"/>
        </w:rPr>
      </w:pPr>
      <w:r>
        <w:rPr>
          <w:rFonts w:hint="eastAsia" w:ascii="宋体" w:hAnsi="宋体"/>
          <w:b/>
          <w:sz w:val="24"/>
        </w:rPr>
        <w:t>5.合同履行期限：</w:t>
      </w:r>
    </w:p>
    <w:p w14:paraId="5EFF083F">
      <w:pPr>
        <w:numPr>
          <w:ilvl w:val="255"/>
          <w:numId w:val="0"/>
        </w:numPr>
        <w:spacing w:line="360" w:lineRule="auto"/>
        <w:ind w:firstLine="482" w:firstLineChars="200"/>
        <w:rPr>
          <w:rFonts w:ascii="宋体" w:hAnsi="宋体"/>
          <w:b/>
          <w:bCs/>
          <w:sz w:val="24"/>
        </w:rPr>
      </w:pPr>
      <w:r>
        <w:rPr>
          <w:rFonts w:hint="eastAsia" w:ascii="宋体" w:hAnsi="宋体"/>
          <w:b/>
          <w:bCs/>
          <w:sz w:val="24"/>
        </w:rPr>
        <w:t>05包、11包：</w:t>
      </w:r>
    </w:p>
    <w:p w14:paraId="78EC521E">
      <w:pPr>
        <w:numPr>
          <w:ilvl w:val="255"/>
          <w:numId w:val="0"/>
        </w:numPr>
        <w:spacing w:line="360" w:lineRule="auto"/>
        <w:ind w:firstLine="480" w:firstLineChars="200"/>
        <w:rPr>
          <w:rFonts w:ascii="宋体" w:hAnsi="宋体" w:cs="宋体"/>
          <w:bCs/>
          <w:color w:val="000000"/>
          <w:sz w:val="24"/>
        </w:rPr>
      </w:pPr>
      <w:r>
        <w:rPr>
          <w:rFonts w:hint="eastAsia" w:ascii="宋体" w:hAnsi="宋体" w:cs="宋体"/>
          <w:sz w:val="24"/>
        </w:rPr>
        <w:t>自合同签订之日起30日内交货并完成安装、调试。</w:t>
      </w:r>
    </w:p>
    <w:p w14:paraId="1D17450F">
      <w:pPr>
        <w:numPr>
          <w:ilvl w:val="255"/>
          <w:numId w:val="0"/>
        </w:numPr>
        <w:spacing w:line="360" w:lineRule="auto"/>
        <w:ind w:firstLine="482" w:firstLineChars="200"/>
        <w:rPr>
          <w:rFonts w:ascii="宋体" w:hAnsi="宋体" w:cs="宋体"/>
          <w:b/>
          <w:bCs/>
          <w:sz w:val="24"/>
        </w:rPr>
      </w:pPr>
      <w:r>
        <w:rPr>
          <w:rFonts w:hint="eastAsia" w:ascii="宋体" w:hAnsi="宋体" w:cs="宋体"/>
          <w:b/>
          <w:bCs/>
          <w:sz w:val="24"/>
        </w:rPr>
        <w:t>18包：</w:t>
      </w:r>
    </w:p>
    <w:p w14:paraId="20C1032E">
      <w:pPr>
        <w:numPr>
          <w:ilvl w:val="255"/>
          <w:numId w:val="0"/>
        </w:numPr>
        <w:spacing w:line="360" w:lineRule="auto"/>
        <w:ind w:firstLine="480" w:firstLineChars="200"/>
        <w:rPr>
          <w:rFonts w:ascii="宋体" w:hAnsi="宋体"/>
          <w:sz w:val="24"/>
        </w:rPr>
      </w:pPr>
      <w:r>
        <w:rPr>
          <w:rFonts w:hint="eastAsia" w:ascii="宋体" w:hAnsi="宋体" w:cs="宋体"/>
          <w:sz w:val="24"/>
        </w:rPr>
        <w:t>（1）射频理疗仪：自合同签订之日起30日内交货并完成安装、调试</w:t>
      </w:r>
      <w:r>
        <w:rPr>
          <w:rFonts w:hint="eastAsia" w:ascii="宋体" w:hAnsi="宋体"/>
          <w:sz w:val="24"/>
        </w:rPr>
        <w:t>；</w:t>
      </w:r>
    </w:p>
    <w:p w14:paraId="27A3AE11">
      <w:pPr>
        <w:numPr>
          <w:ilvl w:val="255"/>
          <w:numId w:val="0"/>
        </w:numPr>
        <w:spacing w:line="360" w:lineRule="auto"/>
        <w:ind w:firstLine="480" w:firstLineChars="200"/>
        <w:rPr>
          <w:rFonts w:ascii="宋体" w:hAnsi="宋体"/>
          <w:sz w:val="24"/>
        </w:rPr>
      </w:pPr>
      <w:r>
        <w:rPr>
          <w:rFonts w:hint="eastAsia" w:ascii="宋体" w:hAnsi="宋体"/>
          <w:sz w:val="24"/>
        </w:rPr>
        <w:t>（2）射频温控热凝机：自合同签订之日起10个工作日内交货并完成安装、调试。</w:t>
      </w:r>
    </w:p>
    <w:p w14:paraId="1FC2E058">
      <w:pPr>
        <w:numPr>
          <w:ilvl w:val="255"/>
          <w:numId w:val="0"/>
        </w:numPr>
        <w:spacing w:line="360" w:lineRule="auto"/>
        <w:ind w:firstLine="482" w:firstLineChars="200"/>
        <w:rPr>
          <w:rFonts w:ascii="宋体" w:hAnsi="宋体"/>
          <w:sz w:val="24"/>
        </w:rPr>
      </w:pPr>
      <w:r>
        <w:rPr>
          <w:rFonts w:hint="eastAsia" w:ascii="宋体" w:hAnsi="宋体" w:cs="宋体"/>
          <w:b/>
          <w:bCs/>
          <w:sz w:val="24"/>
        </w:rPr>
        <w:t>25包：</w:t>
      </w:r>
      <w:r>
        <w:rPr>
          <w:rFonts w:hint="eastAsia" w:ascii="宋体" w:hAnsi="宋体" w:cs="宋体"/>
          <w:sz w:val="24"/>
        </w:rPr>
        <w:t>自合同签订之日起30日内交货并完成安装、调试。</w:t>
      </w:r>
    </w:p>
    <w:p w14:paraId="62B9D707">
      <w:pPr>
        <w:numPr>
          <w:ilvl w:val="255"/>
          <w:numId w:val="0"/>
        </w:numPr>
        <w:spacing w:line="360" w:lineRule="auto"/>
        <w:ind w:firstLine="480" w:firstLineChars="200"/>
        <w:rPr>
          <w:rFonts w:ascii="宋体" w:hAnsi="宋体" w:cs="宋体"/>
          <w:sz w:val="24"/>
        </w:rPr>
      </w:pPr>
    </w:p>
    <w:p w14:paraId="4D59780C">
      <w:pPr>
        <w:spacing w:line="360" w:lineRule="auto"/>
        <w:ind w:firstLine="480" w:firstLineChars="200"/>
        <w:rPr>
          <w:rFonts w:ascii="宋体" w:hAnsi="宋体"/>
          <w:sz w:val="24"/>
        </w:rPr>
      </w:pPr>
      <w:r>
        <w:rPr>
          <w:rFonts w:ascii="宋体" w:hAnsi="宋体"/>
          <w:sz w:val="24"/>
        </w:rPr>
        <w:t>6.本项目是否接受联合体投标：</w:t>
      </w:r>
      <w:r>
        <w:rPr>
          <w:rFonts w:hint="eastAsia" w:ascii="宋体" w:hAnsi="宋体"/>
          <w:sz w:val="24"/>
        </w:rPr>
        <w:t>□</w:t>
      </w:r>
      <w:r>
        <w:rPr>
          <w:rFonts w:ascii="宋体" w:hAnsi="宋体"/>
          <w:sz w:val="24"/>
        </w:rPr>
        <w:t>是  ■否。</w:t>
      </w:r>
    </w:p>
    <w:p w14:paraId="7C5F5533">
      <w:pPr>
        <w:spacing w:line="360" w:lineRule="auto"/>
        <w:ind w:firstLine="480" w:firstLineChars="200"/>
        <w:rPr>
          <w:rFonts w:ascii="宋体" w:hAnsi="宋体"/>
          <w:sz w:val="24"/>
        </w:rPr>
      </w:pPr>
      <w:r>
        <w:rPr>
          <w:rFonts w:hint="eastAsia" w:ascii="宋体" w:hAnsi="宋体"/>
          <w:sz w:val="24"/>
        </w:rPr>
        <w:t>7.</w:t>
      </w:r>
      <w:r>
        <w:rPr>
          <w:rFonts w:ascii="宋体" w:hAnsi="宋体"/>
          <w:sz w:val="24"/>
        </w:rPr>
        <w:t>本项目</w:t>
      </w:r>
      <w:r>
        <w:rPr>
          <w:rFonts w:hint="eastAsia" w:ascii="宋体" w:hAnsi="宋体"/>
          <w:sz w:val="24"/>
        </w:rPr>
        <w:t>是否允许进口</w:t>
      </w:r>
      <w:r>
        <w:rPr>
          <w:rFonts w:ascii="宋体" w:hAnsi="宋体"/>
          <w:sz w:val="24"/>
        </w:rPr>
        <w:t>：</w:t>
      </w:r>
      <w:r>
        <w:rPr>
          <w:rFonts w:hint="eastAsia" w:ascii="宋体" w:hAnsi="宋体"/>
          <w:sz w:val="24"/>
        </w:rPr>
        <w:t>□</w:t>
      </w:r>
      <w:r>
        <w:rPr>
          <w:rFonts w:ascii="宋体" w:hAnsi="宋体"/>
          <w:sz w:val="24"/>
        </w:rPr>
        <w:t>是  ■否。</w:t>
      </w:r>
    </w:p>
    <w:p w14:paraId="7054747E">
      <w:pPr>
        <w:pStyle w:val="3"/>
        <w:spacing w:before="0" w:line="360" w:lineRule="auto"/>
        <w:jc w:val="left"/>
        <w:rPr>
          <w:rFonts w:ascii="宋体" w:hAnsi="宋体" w:eastAsia="宋体"/>
          <w:sz w:val="24"/>
          <w:szCs w:val="24"/>
        </w:rPr>
      </w:pPr>
      <w:bookmarkStart w:id="13" w:name="_Toc35393791"/>
      <w:bookmarkStart w:id="14" w:name="_Toc28359080"/>
      <w:bookmarkStart w:id="15" w:name="_Toc35393622"/>
      <w:bookmarkStart w:id="16" w:name="_Toc28359003"/>
      <w:r>
        <w:rPr>
          <w:rFonts w:ascii="宋体" w:hAnsi="宋体" w:eastAsia="宋体"/>
          <w:sz w:val="24"/>
          <w:szCs w:val="24"/>
        </w:rPr>
        <w:t>二、申请人的资格要求（须同时满足）</w:t>
      </w:r>
      <w:bookmarkEnd w:id="13"/>
      <w:bookmarkEnd w:id="14"/>
      <w:bookmarkEnd w:id="15"/>
      <w:bookmarkEnd w:id="16"/>
    </w:p>
    <w:p w14:paraId="7306066C">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493158CA">
      <w:pPr>
        <w:spacing w:line="360" w:lineRule="auto"/>
        <w:ind w:firstLine="480" w:firstLineChars="200"/>
        <w:rPr>
          <w:rFonts w:ascii="宋体" w:hAnsi="宋体"/>
          <w:sz w:val="24"/>
        </w:rPr>
      </w:pPr>
      <w:bookmarkStart w:id="17" w:name="_Toc28359004"/>
      <w:bookmarkStart w:id="18" w:name="_Toc28359081"/>
      <w:r>
        <w:rPr>
          <w:rFonts w:ascii="宋体" w:hAnsi="宋体"/>
          <w:sz w:val="24"/>
        </w:rPr>
        <w:t>2.落实政府采购政策需满足的资格要求：</w:t>
      </w:r>
    </w:p>
    <w:p w14:paraId="05282B75">
      <w:pPr>
        <w:spacing w:line="360" w:lineRule="auto"/>
        <w:ind w:firstLine="480" w:firstLineChars="200"/>
        <w:rPr>
          <w:rFonts w:ascii="宋体" w:hAnsi="宋体"/>
          <w:sz w:val="24"/>
        </w:rPr>
      </w:pPr>
      <w:r>
        <w:rPr>
          <w:rFonts w:ascii="宋体" w:hAnsi="宋体"/>
          <w:sz w:val="24"/>
        </w:rPr>
        <w:t>2.1 中小企业政策</w:t>
      </w:r>
    </w:p>
    <w:p w14:paraId="7117D475">
      <w:pPr>
        <w:spacing w:line="360" w:lineRule="auto"/>
        <w:ind w:firstLine="480" w:firstLineChars="200"/>
        <w:rPr>
          <w:rFonts w:ascii="宋体" w:hAnsi="宋体"/>
          <w:sz w:val="24"/>
        </w:rPr>
      </w:pPr>
      <w:r>
        <w:rPr>
          <w:rFonts w:ascii="宋体" w:hAnsi="宋体"/>
          <w:sz w:val="24"/>
        </w:rPr>
        <w:t>■</w:t>
      </w:r>
      <w:r>
        <w:rPr>
          <w:rFonts w:hint="eastAsia" w:ascii="宋体" w:hAnsi="宋体"/>
          <w:sz w:val="24"/>
        </w:rPr>
        <w:t>本项目不专门面向中小企业预留采购份额。</w:t>
      </w:r>
    </w:p>
    <w:p w14:paraId="3A3E8C1C">
      <w:pPr>
        <w:spacing w:line="360" w:lineRule="auto"/>
        <w:ind w:firstLine="480" w:firstLineChars="200"/>
        <w:rPr>
          <w:rFonts w:ascii="宋体" w:hAnsi="宋体"/>
          <w:sz w:val="24"/>
        </w:rPr>
      </w:pPr>
      <w:r>
        <w:rPr>
          <w:rFonts w:hint="eastAsia" w:ascii="宋体" w:hAnsi="宋体"/>
          <w:sz w:val="24"/>
        </w:rPr>
        <w:t>□本项目专门面向 □中小 □小微企业 采购。即：提供的货物全部由符合政策要求的中小/小微企业制造、服务全部由符合政策要求的中小/小微企业承接。</w:t>
      </w:r>
    </w:p>
    <w:p w14:paraId="0C91CE8A">
      <w:pPr>
        <w:spacing w:line="360" w:lineRule="auto"/>
        <w:ind w:firstLine="480" w:firstLineChars="200"/>
        <w:rPr>
          <w:rFonts w:ascii="宋体" w:hAnsi="宋体"/>
          <w:sz w:val="24"/>
          <w:u w:val="single"/>
        </w:rPr>
      </w:pPr>
      <w:r>
        <w:rPr>
          <w:rFonts w:hint="eastAsia" w:ascii="宋体" w:hAnsi="宋体"/>
          <w:sz w:val="24"/>
        </w:rPr>
        <w:t>□</w:t>
      </w:r>
      <w:r>
        <w:rPr>
          <w:rFonts w:ascii="宋体" w:hAnsi="宋体"/>
          <w:sz w:val="24"/>
        </w:rPr>
        <w:t>本项目预留部分采购项目预算专门面向中小企业采购。</w:t>
      </w:r>
      <w:r>
        <w:rPr>
          <w:rFonts w:hint="eastAsia" w:ascii="宋体" w:hAnsi="宋体"/>
          <w:sz w:val="24"/>
        </w:rPr>
        <w:t>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hint="eastAsia" w:ascii="宋体" w:hAnsi="宋体"/>
          <w:sz w:val="24"/>
        </w:rPr>
        <w:t>。</w:t>
      </w:r>
    </w:p>
    <w:p w14:paraId="50AD38BB">
      <w:pPr>
        <w:spacing w:line="360" w:lineRule="auto"/>
        <w:ind w:firstLine="480" w:firstLineChars="200"/>
        <w:rPr>
          <w:rFonts w:ascii="宋体" w:hAnsi="宋体"/>
          <w:sz w:val="24"/>
        </w:rPr>
      </w:pPr>
      <w:r>
        <w:rPr>
          <w:rFonts w:ascii="宋体" w:hAnsi="宋体"/>
          <w:sz w:val="24"/>
        </w:rPr>
        <w:t xml:space="preserve">2.2 </w:t>
      </w:r>
      <w:r>
        <w:rPr>
          <w:rFonts w:hint="eastAsia" w:ascii="宋体" w:hAnsi="宋体"/>
          <w:sz w:val="24"/>
        </w:rPr>
        <w:t>其他</w:t>
      </w:r>
      <w:r>
        <w:rPr>
          <w:rFonts w:ascii="宋体" w:hAnsi="宋体"/>
          <w:sz w:val="24"/>
        </w:rPr>
        <w:t>落实政府采购政策的资格要求（如有）：</w:t>
      </w:r>
      <w:r>
        <w:rPr>
          <w:rFonts w:hint="eastAsia" w:ascii="宋体" w:hAnsi="宋体"/>
          <w:sz w:val="24"/>
          <w:u w:val="single"/>
        </w:rPr>
        <w:t xml:space="preserve">   /   </w:t>
      </w:r>
      <w:r>
        <w:rPr>
          <w:rFonts w:hint="eastAsia" w:ascii="宋体" w:hAnsi="宋体"/>
          <w:sz w:val="24"/>
        </w:rPr>
        <w:t>。</w:t>
      </w:r>
    </w:p>
    <w:p w14:paraId="20664B68">
      <w:pPr>
        <w:spacing w:line="360" w:lineRule="auto"/>
        <w:ind w:firstLine="480" w:firstLineChars="200"/>
        <w:rPr>
          <w:rFonts w:ascii="宋体" w:hAnsi="宋体"/>
          <w:i/>
          <w:iCs/>
          <w:sz w:val="24"/>
          <w:u w:val="single"/>
        </w:rPr>
      </w:pPr>
      <w:r>
        <w:rPr>
          <w:rFonts w:ascii="宋体" w:hAnsi="宋体"/>
          <w:sz w:val="24"/>
        </w:rPr>
        <w:t>3.本项目的特定资格要求：</w:t>
      </w:r>
    </w:p>
    <w:p w14:paraId="0F6796B9">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140DE4B1">
      <w:pPr>
        <w:tabs>
          <w:tab w:val="left" w:pos="900"/>
          <w:tab w:val="left" w:pos="1134"/>
          <w:tab w:val="left" w:pos="1589"/>
          <w:tab w:val="left" w:pos="5521"/>
        </w:tabs>
        <w:snapToGrid w:val="0"/>
        <w:spacing w:line="360" w:lineRule="auto"/>
        <w:ind w:left="2398" w:leftChars="456" w:hanging="1440" w:hangingChars="600"/>
        <w:rPr>
          <w:rFonts w:ascii="宋体" w:hAnsi="宋体"/>
          <w:sz w:val="24"/>
        </w:rPr>
      </w:pPr>
      <w:r>
        <w:rPr>
          <w:rFonts w:ascii="宋体" w:hAnsi="宋体"/>
          <w:sz w:val="24"/>
        </w:rPr>
        <w:t>■否</w:t>
      </w:r>
    </w:p>
    <w:p w14:paraId="740B1797">
      <w:pPr>
        <w:tabs>
          <w:tab w:val="left" w:pos="900"/>
          <w:tab w:val="left" w:pos="1134"/>
          <w:tab w:val="left" w:pos="1589"/>
          <w:tab w:val="left" w:pos="5521"/>
        </w:tabs>
        <w:snapToGrid w:val="0"/>
        <w:spacing w:line="360" w:lineRule="auto"/>
        <w:ind w:left="1838" w:leftChars="455" w:hanging="883" w:hangingChars="368"/>
        <w:rPr>
          <w:rFonts w:ascii="宋体" w:hAnsi="宋体"/>
          <w:sz w:val="24"/>
        </w:rPr>
      </w:pPr>
      <w:r>
        <w:rPr>
          <w:rFonts w:ascii="宋体" w:hAnsi="宋体"/>
          <w:sz w:val="24"/>
        </w:rPr>
        <w:t>□是，公益一类事业单位、使用事业编制且由财政拨款保障的群团组织，不得作为承接主体；</w:t>
      </w:r>
    </w:p>
    <w:p w14:paraId="6894EC05">
      <w:pPr>
        <w:pStyle w:val="7"/>
        <w:tabs>
          <w:tab w:val="clear" w:pos="567"/>
        </w:tabs>
        <w:spacing w:before="1" w:line="360" w:lineRule="auto"/>
        <w:ind w:firstLine="480" w:firstLineChars="200"/>
      </w:pPr>
      <w:r>
        <w:t>3.</w:t>
      </w:r>
      <w:r>
        <w:rPr>
          <w:rFonts w:hint="eastAsia"/>
        </w:rPr>
        <w:t>2</w:t>
      </w:r>
      <w:r>
        <w:t>其他特定资格要求</w:t>
      </w:r>
      <w:r>
        <w:rPr>
          <w:rFonts w:hint="eastAsia"/>
        </w:rPr>
        <w:t>：</w:t>
      </w:r>
    </w:p>
    <w:p w14:paraId="342F78DF">
      <w:pPr>
        <w:pStyle w:val="7"/>
        <w:tabs>
          <w:tab w:val="clear" w:pos="567"/>
        </w:tabs>
        <w:spacing w:before="1" w:line="360" w:lineRule="auto"/>
        <w:ind w:firstLine="480" w:firstLineChars="200"/>
        <w:rPr>
          <w:u w:val="single"/>
        </w:rPr>
      </w:pPr>
      <w:r>
        <w:rPr>
          <w:rFonts w:hint="eastAsia"/>
          <w:u w:val="single"/>
        </w:rPr>
        <w:t>3.2.1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1C3CE2EC">
      <w:pPr>
        <w:tabs>
          <w:tab w:val="left" w:pos="900"/>
          <w:tab w:val="left" w:pos="1134"/>
          <w:tab w:val="left" w:pos="1589"/>
          <w:tab w:val="left" w:pos="5521"/>
        </w:tabs>
        <w:snapToGrid w:val="0"/>
        <w:spacing w:line="360" w:lineRule="auto"/>
        <w:ind w:firstLine="480" w:firstLineChars="200"/>
        <w:rPr>
          <w:rFonts w:ascii="宋体" w:hAnsi="宋体"/>
          <w:sz w:val="24"/>
          <w:u w:val="single"/>
        </w:rPr>
      </w:pPr>
      <w:r>
        <w:rPr>
          <w:rFonts w:hint="eastAsia" w:ascii="宋体" w:hAnsi="宋体"/>
          <w:sz w:val="24"/>
          <w:u w:val="single"/>
        </w:rPr>
        <w:t>3.2.2投标产品属于医疗器械的，供应商如为代理商，应具有合法有效的医疗器械经营资格；供应商如为国内制造商，使用自身生产的产品投标时，应具有合法有效的医疗器械生产资格（相关法规另有规定的除外）。</w:t>
      </w:r>
    </w:p>
    <w:bookmarkEnd w:id="17"/>
    <w:bookmarkEnd w:id="18"/>
    <w:p w14:paraId="66DA3E64">
      <w:pPr>
        <w:pStyle w:val="3"/>
        <w:widowControl/>
        <w:spacing w:before="0" w:line="360" w:lineRule="auto"/>
        <w:jc w:val="left"/>
        <w:rPr>
          <w:rFonts w:ascii="宋体" w:hAnsi="宋体" w:eastAsia="宋体"/>
          <w:sz w:val="24"/>
          <w:szCs w:val="24"/>
        </w:rPr>
      </w:pPr>
      <w:bookmarkStart w:id="19" w:name="_Toc35393792"/>
      <w:bookmarkStart w:id="20" w:name="_Toc35393623"/>
      <w:r>
        <w:rPr>
          <w:rFonts w:ascii="宋体" w:hAnsi="宋体" w:eastAsia="宋体"/>
          <w:sz w:val="24"/>
          <w:szCs w:val="24"/>
        </w:rPr>
        <w:t>三、获取招标文件</w:t>
      </w:r>
      <w:bookmarkEnd w:id="19"/>
      <w:bookmarkEnd w:id="20"/>
    </w:p>
    <w:p w14:paraId="5D98672E">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rPr>
        <w:t>03</w:t>
      </w:r>
      <w:r>
        <w:rPr>
          <w:rFonts w:hint="eastAsia" w:ascii="宋体" w:hAnsi="宋体"/>
          <w:sz w:val="24"/>
        </w:rPr>
        <w:t>月</w:t>
      </w:r>
      <w:r>
        <w:rPr>
          <w:rFonts w:hint="eastAsia" w:ascii="宋体" w:hAnsi="宋体"/>
          <w:sz w:val="24"/>
          <w:u w:val="single"/>
        </w:rPr>
        <w:t>13</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rPr>
        <w:t>03</w:t>
      </w:r>
      <w:r>
        <w:rPr>
          <w:rFonts w:ascii="宋体" w:hAnsi="宋体"/>
          <w:sz w:val="24"/>
        </w:rPr>
        <w:t>月</w:t>
      </w:r>
      <w:r>
        <w:rPr>
          <w:rFonts w:hint="eastAsia" w:ascii="宋体" w:hAnsi="宋体"/>
          <w:sz w:val="24"/>
          <w:u w:val="single"/>
        </w:rPr>
        <w:t>20</w:t>
      </w:r>
      <w:r>
        <w:rPr>
          <w:rFonts w:ascii="宋体" w:hAnsi="宋体"/>
          <w:sz w:val="24"/>
        </w:rPr>
        <w:t>日，每天上午</w:t>
      </w:r>
      <w:r>
        <w:rPr>
          <w:rFonts w:hint="eastAsia" w:ascii="宋体" w:hAnsi="宋体"/>
          <w:sz w:val="24"/>
          <w:u w:val="single"/>
        </w:rPr>
        <w:t>8:30</w:t>
      </w:r>
      <w:r>
        <w:rPr>
          <w:rFonts w:ascii="宋体" w:hAnsi="宋体"/>
          <w:sz w:val="24"/>
        </w:rPr>
        <w:t>至</w:t>
      </w:r>
      <w:r>
        <w:rPr>
          <w:rFonts w:hint="eastAsia" w:ascii="宋体" w:hAnsi="宋体"/>
          <w:sz w:val="24"/>
          <w:u w:val="single"/>
        </w:rPr>
        <w:t>11:30</w:t>
      </w:r>
      <w:r>
        <w:rPr>
          <w:rFonts w:ascii="宋体" w:hAnsi="宋体"/>
          <w:sz w:val="24"/>
        </w:rPr>
        <w:t>，下午</w:t>
      </w:r>
      <w:r>
        <w:rPr>
          <w:rFonts w:hint="eastAsia" w:ascii="宋体" w:hAnsi="宋体"/>
          <w:sz w:val="24"/>
          <w:u w:val="single"/>
        </w:rPr>
        <w:t>13:30</w:t>
      </w:r>
      <w:r>
        <w:rPr>
          <w:rFonts w:ascii="宋体" w:hAnsi="宋体"/>
          <w:sz w:val="24"/>
        </w:rPr>
        <w:t>至</w:t>
      </w:r>
      <w:r>
        <w:rPr>
          <w:rFonts w:hint="eastAsia" w:ascii="宋体" w:hAnsi="宋体"/>
          <w:sz w:val="24"/>
          <w:u w:val="single"/>
        </w:rPr>
        <w:t>17:00</w:t>
      </w:r>
      <w:r>
        <w:rPr>
          <w:rFonts w:ascii="宋体" w:hAnsi="宋体"/>
          <w:sz w:val="24"/>
        </w:rPr>
        <w:t>（北京时间，法定节假日除外）。</w:t>
      </w:r>
    </w:p>
    <w:p w14:paraId="3ABB3C48">
      <w:pPr>
        <w:adjustRightInd w:val="0"/>
        <w:snapToGrid w:val="0"/>
        <w:spacing w:line="360" w:lineRule="auto"/>
        <w:ind w:firstLine="480" w:firstLineChars="200"/>
        <w:rPr>
          <w:rFonts w:ascii="宋体" w:hAnsi="宋体"/>
          <w:sz w:val="24"/>
        </w:rPr>
      </w:pPr>
      <w:r>
        <w:rPr>
          <w:rFonts w:ascii="宋体" w:hAnsi="宋体"/>
          <w:sz w:val="24"/>
        </w:rPr>
        <w:t>2.地点：北京市政府采购电子交易平台</w:t>
      </w:r>
    </w:p>
    <w:p w14:paraId="3C047790">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w:t>
      </w:r>
      <w:r>
        <w:rPr>
          <w:rFonts w:ascii="宋体" w:hAnsi="宋体"/>
          <w:sz w:val="24"/>
        </w:rPr>
        <w:t>CA</w:t>
      </w:r>
      <w:r>
        <w:rPr>
          <w:rFonts w:hint="eastAsia" w:ascii="宋体" w:hAnsi="宋体"/>
          <w:sz w:val="24"/>
        </w:rPr>
        <w:t>数字证书或电子营业执照登录北京市政府采购电子交易平台（</w:t>
      </w:r>
      <w:r>
        <w:fldChar w:fldCharType="begin"/>
      </w:r>
      <w:r>
        <w:instrText xml:space="preserve"> HYPERLINK "http://zbcg-bjzc.zhongcy.com/bjczj-portal-site/index.html" \l "/" </w:instrText>
      </w:r>
      <w:r>
        <w:fldChar w:fldCharType="separate"/>
      </w:r>
      <w:r>
        <w:rPr>
          <w:rStyle w:val="37"/>
          <w:rFonts w:ascii="宋体" w:hAnsi="宋体"/>
          <w:color w:val="auto"/>
          <w:sz w:val="24"/>
          <w:u w:val="none"/>
        </w:rPr>
        <w:t>http://zbcg-bjzc.zhongcy.com/bjczj-portal-site/index.html#/</w:t>
      </w:r>
      <w:r>
        <w:rPr>
          <w:rStyle w:val="37"/>
          <w:rFonts w:ascii="宋体" w:hAnsi="宋体"/>
          <w:color w:val="auto"/>
          <w:sz w:val="24"/>
          <w:u w:val="none"/>
        </w:rPr>
        <w:fldChar w:fldCharType="end"/>
      </w:r>
    </w:p>
    <w:p w14:paraId="126BAE40">
      <w:pPr>
        <w:adjustRightInd w:val="0"/>
        <w:snapToGrid w:val="0"/>
        <w:spacing w:line="360" w:lineRule="auto"/>
        <w:rPr>
          <w:rFonts w:ascii="宋体" w:hAnsi="宋体"/>
          <w:sz w:val="24"/>
        </w:rPr>
      </w:pPr>
      <w:r>
        <w:rPr>
          <w:rFonts w:ascii="宋体" w:hAnsi="宋体"/>
          <w:sz w:val="24"/>
        </w:rPr>
        <w:t>home</w:t>
      </w:r>
      <w:r>
        <w:rPr>
          <w:rFonts w:hint="eastAsia" w:ascii="宋体" w:hAnsi="宋体"/>
          <w:sz w:val="24"/>
        </w:rPr>
        <w:t>）获取电子版招标文件</w:t>
      </w:r>
      <w:r>
        <w:rPr>
          <w:rFonts w:ascii="宋体" w:hAnsi="宋体"/>
          <w:sz w:val="24"/>
        </w:rPr>
        <w:t>。</w:t>
      </w:r>
    </w:p>
    <w:p w14:paraId="4808860C">
      <w:pPr>
        <w:wordWrap w:val="0"/>
        <w:adjustRightInd w:val="0"/>
        <w:snapToGrid w:val="0"/>
        <w:spacing w:line="360" w:lineRule="auto"/>
        <w:ind w:firstLine="480" w:firstLineChars="200"/>
        <w:jc w:val="left"/>
        <w:rPr>
          <w:rFonts w:ascii="宋体" w:hAnsi="宋体"/>
          <w:sz w:val="24"/>
        </w:rPr>
      </w:pPr>
      <w:r>
        <w:rPr>
          <w:rFonts w:hint="eastAsia" w:ascii="宋体" w:hAnsi="宋体"/>
          <w:bCs/>
          <w:sz w:val="24"/>
        </w:rPr>
        <w:t>特别说明：各供应商需同时在采购代理公司电子平台（https://rx3dbm8usr.jiandaoyun.com/f/687dea8c1346fd6a318c10f5?ddtab=true或扫描公告附件中的二维码）完成相应的信息登记。本项目的项目编号为ZXHD26028</w:t>
      </w:r>
      <w:r>
        <w:rPr>
          <w:rFonts w:hint="eastAsia" w:ascii="宋体" w:hAnsi="宋体"/>
          <w:sz w:val="24"/>
        </w:rPr>
        <w:t>。</w:t>
      </w:r>
    </w:p>
    <w:p w14:paraId="0A0B4810">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6DD84F26">
      <w:pPr>
        <w:pStyle w:val="3"/>
        <w:widowControl/>
        <w:spacing w:before="0" w:line="360" w:lineRule="auto"/>
        <w:jc w:val="left"/>
        <w:rPr>
          <w:rFonts w:ascii="宋体" w:hAnsi="宋体" w:eastAsia="宋体"/>
          <w:sz w:val="24"/>
          <w:szCs w:val="24"/>
        </w:rPr>
      </w:pPr>
      <w:bookmarkStart w:id="21" w:name="_Toc28359082"/>
      <w:bookmarkStart w:id="22" w:name="_Toc28359005"/>
      <w:bookmarkStart w:id="23" w:name="_Toc35393624"/>
      <w:bookmarkStart w:id="24" w:name="_Toc35393793"/>
      <w:r>
        <w:rPr>
          <w:rFonts w:ascii="宋体" w:hAnsi="宋体" w:eastAsia="宋体"/>
          <w:sz w:val="24"/>
          <w:szCs w:val="24"/>
        </w:rPr>
        <w:t>四、提交投标文件</w:t>
      </w:r>
      <w:bookmarkEnd w:id="21"/>
      <w:bookmarkEnd w:id="22"/>
      <w:r>
        <w:rPr>
          <w:rFonts w:ascii="宋体" w:hAnsi="宋体" w:eastAsia="宋体"/>
          <w:sz w:val="24"/>
          <w:szCs w:val="24"/>
        </w:rPr>
        <w:t>截止时间、开标时间和地点</w:t>
      </w:r>
      <w:bookmarkEnd w:id="23"/>
      <w:bookmarkEnd w:id="24"/>
    </w:p>
    <w:p w14:paraId="1E614DA2">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 xml:space="preserve"> 投标截止时间、开标时间</w:t>
      </w:r>
      <w:r>
        <w:rPr>
          <w:rFonts w:hint="eastAsia" w:ascii="宋体" w:hAnsi="宋体"/>
          <w:b/>
          <w:sz w:val="24"/>
        </w:rPr>
        <w:t>如下：</w:t>
      </w:r>
    </w:p>
    <w:p w14:paraId="15EBF7D3">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04</w:t>
      </w:r>
      <w:r>
        <w:rPr>
          <w:rFonts w:ascii="宋体" w:hAnsi="宋体"/>
          <w:sz w:val="24"/>
        </w:rPr>
        <w:t>月</w:t>
      </w:r>
      <w:r>
        <w:rPr>
          <w:rFonts w:hint="eastAsia" w:ascii="宋体" w:hAnsi="宋体"/>
          <w:sz w:val="24"/>
          <w:u w:val="single"/>
        </w:rPr>
        <w:t>03</w:t>
      </w:r>
      <w:r>
        <w:rPr>
          <w:rFonts w:ascii="宋体" w:hAnsi="宋体"/>
          <w:sz w:val="24"/>
        </w:rPr>
        <w:t>日</w:t>
      </w:r>
      <w:r>
        <w:rPr>
          <w:rFonts w:hint="eastAsia" w:ascii="宋体" w:hAnsi="宋体"/>
          <w:sz w:val="24"/>
          <w:u w:val="single"/>
        </w:rPr>
        <w:t>09</w:t>
      </w:r>
      <w:r>
        <w:rPr>
          <w:rFonts w:hint="eastAsia" w:ascii="宋体" w:hAnsi="宋体"/>
          <w:sz w:val="24"/>
        </w:rPr>
        <w:t>时</w:t>
      </w:r>
      <w:r>
        <w:rPr>
          <w:rFonts w:hint="eastAsia" w:ascii="宋体" w:hAnsi="宋体"/>
          <w:sz w:val="24"/>
          <w:u w:val="single"/>
        </w:rPr>
        <w:t>00</w:t>
      </w:r>
      <w:r>
        <w:rPr>
          <w:rFonts w:ascii="宋体" w:hAnsi="宋体"/>
          <w:sz w:val="24"/>
        </w:rPr>
        <w:t>分</w:t>
      </w:r>
      <w:r>
        <w:rPr>
          <w:rFonts w:ascii="宋体" w:hAnsi="宋体"/>
          <w:bCs/>
          <w:sz w:val="24"/>
        </w:rPr>
        <w:t>（北京时间）</w:t>
      </w:r>
      <w:r>
        <w:rPr>
          <w:rFonts w:ascii="宋体" w:hAnsi="宋体"/>
          <w:iCs/>
          <w:sz w:val="24"/>
        </w:rPr>
        <w:t>。</w:t>
      </w:r>
    </w:p>
    <w:p w14:paraId="188F276E">
      <w:pPr>
        <w:wordWrap w:val="0"/>
        <w:topLinePunct/>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能够使用制作上传本项目电子投标文件的计算机设备及自身CA数字证书或电子营业执照登录北京市政府采购电子交易平台自行进行解密操作</w:t>
      </w:r>
      <w:r>
        <w:rPr>
          <w:rFonts w:ascii="宋体" w:hAnsi="宋体"/>
          <w:sz w:val="24"/>
          <w:lang w:val="zh-TW"/>
        </w:rPr>
        <w:t>。</w:t>
      </w:r>
    </w:p>
    <w:p w14:paraId="46E86F44">
      <w:pPr>
        <w:pStyle w:val="3"/>
        <w:spacing w:before="0" w:line="360" w:lineRule="auto"/>
        <w:jc w:val="left"/>
        <w:rPr>
          <w:rFonts w:ascii="宋体" w:hAnsi="宋体" w:eastAsia="宋体"/>
          <w:sz w:val="24"/>
          <w:szCs w:val="24"/>
        </w:rPr>
      </w:pPr>
      <w:bookmarkStart w:id="25" w:name="_Toc28359007"/>
      <w:bookmarkStart w:id="26" w:name="_Toc35393794"/>
      <w:bookmarkStart w:id="27" w:name="_Toc35393625"/>
      <w:bookmarkStart w:id="28" w:name="_Toc28359084"/>
      <w:r>
        <w:rPr>
          <w:rFonts w:ascii="宋体" w:hAnsi="宋体" w:eastAsia="宋体"/>
          <w:sz w:val="24"/>
          <w:szCs w:val="24"/>
        </w:rPr>
        <w:t>五、公告期限</w:t>
      </w:r>
      <w:bookmarkEnd w:id="25"/>
      <w:bookmarkEnd w:id="26"/>
      <w:bookmarkEnd w:id="27"/>
      <w:bookmarkEnd w:id="28"/>
    </w:p>
    <w:p w14:paraId="5E016868">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770F3C6A">
      <w:pPr>
        <w:pStyle w:val="3"/>
        <w:spacing w:before="0" w:line="360" w:lineRule="auto"/>
        <w:jc w:val="left"/>
        <w:rPr>
          <w:rFonts w:ascii="宋体" w:hAnsi="宋体" w:eastAsia="宋体"/>
          <w:sz w:val="24"/>
          <w:szCs w:val="24"/>
        </w:rPr>
      </w:pPr>
      <w:bookmarkStart w:id="29" w:name="_Toc35393795"/>
      <w:bookmarkStart w:id="30" w:name="_Toc35393626"/>
      <w:r>
        <w:rPr>
          <w:rFonts w:ascii="宋体" w:hAnsi="宋体" w:eastAsia="宋体"/>
          <w:sz w:val="24"/>
          <w:szCs w:val="24"/>
        </w:rPr>
        <w:t>六、其他补充事宜</w:t>
      </w:r>
      <w:bookmarkEnd w:id="29"/>
      <w:bookmarkEnd w:id="30"/>
    </w:p>
    <w:p w14:paraId="1E8D9829">
      <w:pPr>
        <w:spacing w:line="360" w:lineRule="auto"/>
        <w:ind w:firstLine="480" w:firstLineChars="200"/>
        <w:rPr>
          <w:rFonts w:ascii="宋体" w:hAnsi="宋体"/>
          <w:sz w:val="24"/>
        </w:rPr>
      </w:pPr>
      <w:r>
        <w:rPr>
          <w:rFonts w:ascii="宋体" w:hAnsi="宋体"/>
          <w:sz w:val="24"/>
        </w:rPr>
        <w:t>1.本项目需要落实的政府采购政策：</w:t>
      </w:r>
    </w:p>
    <w:p w14:paraId="391314DE">
      <w:pPr>
        <w:spacing w:line="360" w:lineRule="auto"/>
        <w:ind w:firstLine="480" w:firstLineChars="200"/>
        <w:rPr>
          <w:rFonts w:ascii="宋体" w:hAnsi="宋体"/>
          <w:sz w:val="24"/>
        </w:rPr>
      </w:pPr>
      <w:r>
        <w:rPr>
          <w:rFonts w:hint="eastAsia" w:ascii="宋体" w:hAnsi="宋体"/>
          <w:sz w:val="24"/>
        </w:rPr>
        <w:t>1.1鼓励节能、环保政策：依据《财政部 发展改革委 生态环境部 市场监管总局 关于调整优化节能产品、环境标志产品政府采购执行机制的通知（财库〔2019〕9号）》执行。</w:t>
      </w:r>
    </w:p>
    <w:p w14:paraId="2C14566D">
      <w:pPr>
        <w:spacing w:line="360" w:lineRule="auto"/>
        <w:ind w:firstLine="480" w:firstLineChars="200"/>
        <w:rPr>
          <w:rFonts w:ascii="宋体" w:hAnsi="宋体"/>
          <w:sz w:val="24"/>
        </w:rPr>
      </w:pPr>
      <w:r>
        <w:rPr>
          <w:rFonts w:hint="eastAsia" w:ascii="宋体" w:hAnsi="宋体"/>
          <w:sz w:val="24"/>
        </w:rPr>
        <w:t>1.2扶持中小企业政策：本项目评审时小型和微型企业产品享受10%的价格扣除优惠。监狱企业视同小型、微型企业。残疾人福利性单位视同小型、微型企业。不重复享受政策。注：专门面向中小企业采购的情形不享受中小企业扶持政策。</w:t>
      </w:r>
    </w:p>
    <w:p w14:paraId="23445BE8">
      <w:pPr>
        <w:pStyle w:val="5"/>
        <w:spacing w:line="360" w:lineRule="auto"/>
        <w:ind w:firstLine="480" w:firstLineChars="200"/>
        <w:rPr>
          <w:rFonts w:hAnsi="宋体"/>
        </w:rPr>
      </w:pPr>
      <w:r>
        <w:rPr>
          <w:rFonts w:hint="eastAsia" w:hAnsi="宋体"/>
        </w:rPr>
        <w:t>1.3《国务院办公厅关于在政府采购中实施本国产品标准及相关政策的通知》（国办发〔2025〕34号）及相关规定。</w:t>
      </w:r>
    </w:p>
    <w:p w14:paraId="108691A0">
      <w:pPr>
        <w:widowControl/>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 </w:t>
      </w:r>
    </w:p>
    <w:p w14:paraId="158D5F66">
      <w:pPr>
        <w:widowControl/>
        <w:adjustRightInd w:val="0"/>
        <w:snapToGrid w:val="0"/>
        <w:spacing w:line="360" w:lineRule="auto"/>
        <w:ind w:firstLine="480" w:firstLineChars="200"/>
        <w:jc w:val="left"/>
        <w:rPr>
          <w:rFonts w:ascii="宋体" w:hAnsi="宋体"/>
          <w:sz w:val="24"/>
        </w:rPr>
      </w:pPr>
      <w:r>
        <w:rPr>
          <w:rFonts w:ascii="宋体" w:hAnsi="宋体"/>
          <w:sz w:val="24"/>
        </w:rPr>
        <w:t>CA</w:t>
      </w:r>
      <w:r>
        <w:rPr>
          <w:rFonts w:hint="eastAsia" w:ascii="宋体" w:hAnsi="宋体"/>
          <w:sz w:val="24"/>
        </w:rPr>
        <w:t>数字证书服务热线</w:t>
      </w:r>
      <w:r>
        <w:rPr>
          <w:rFonts w:ascii="宋体" w:hAnsi="宋体"/>
          <w:sz w:val="24"/>
        </w:rPr>
        <w:t>010</w:t>
      </w:r>
      <w:r>
        <w:rPr>
          <w:rFonts w:hint="eastAsia" w:ascii="宋体" w:hAnsi="宋体"/>
          <w:sz w:val="24"/>
        </w:rPr>
        <w:t>-</w:t>
      </w:r>
      <w:r>
        <w:rPr>
          <w:rFonts w:ascii="宋体" w:hAnsi="宋体"/>
          <w:sz w:val="24"/>
        </w:rPr>
        <w:t>5851</w:t>
      </w:r>
      <w:r>
        <w:rPr>
          <w:rFonts w:hint="eastAsia" w:ascii="宋体" w:hAnsi="宋体"/>
          <w:sz w:val="24"/>
        </w:rPr>
        <w:t>-</w:t>
      </w:r>
      <w:r>
        <w:rPr>
          <w:rFonts w:ascii="宋体" w:hAnsi="宋体"/>
          <w:sz w:val="24"/>
        </w:rPr>
        <w:t>5511</w:t>
      </w:r>
    </w:p>
    <w:p w14:paraId="6B918F57">
      <w:pPr>
        <w:widowControl/>
        <w:adjustRightInd w:val="0"/>
        <w:snapToGrid w:val="0"/>
        <w:spacing w:line="360" w:lineRule="auto"/>
        <w:ind w:firstLine="480" w:firstLineChars="200"/>
        <w:jc w:val="left"/>
        <w:rPr>
          <w:rFonts w:ascii="宋体" w:hAnsi="宋体"/>
          <w:sz w:val="24"/>
        </w:rPr>
      </w:pPr>
      <w:r>
        <w:rPr>
          <w:rFonts w:hint="eastAsia" w:ascii="宋体" w:hAnsi="宋体"/>
          <w:sz w:val="24"/>
        </w:rPr>
        <w:t>电子营业执照服务热线</w:t>
      </w:r>
      <w:r>
        <w:rPr>
          <w:rFonts w:ascii="宋体" w:hAnsi="宋体"/>
          <w:sz w:val="24"/>
        </w:rPr>
        <w:t>400-699-7000</w:t>
      </w:r>
    </w:p>
    <w:p w14:paraId="4A34DACA">
      <w:pPr>
        <w:widowControl/>
        <w:adjustRightInd w:val="0"/>
        <w:snapToGrid w:val="0"/>
        <w:spacing w:line="360" w:lineRule="auto"/>
        <w:ind w:firstLine="480" w:firstLineChars="200"/>
        <w:jc w:val="left"/>
        <w:rPr>
          <w:rFonts w:ascii="宋体" w:hAnsi="宋体"/>
          <w:sz w:val="24"/>
        </w:rPr>
      </w:pPr>
      <w:r>
        <w:rPr>
          <w:rFonts w:hint="eastAsia" w:ascii="宋体" w:hAnsi="宋体"/>
          <w:sz w:val="24"/>
        </w:rPr>
        <w:t>技术支持服务热线</w:t>
      </w:r>
      <w:r>
        <w:rPr>
          <w:rFonts w:ascii="宋体" w:hAnsi="宋体"/>
          <w:sz w:val="24"/>
        </w:rPr>
        <w:t>020</w:t>
      </w:r>
      <w:r>
        <w:rPr>
          <w:rFonts w:hint="eastAsia" w:ascii="宋体" w:hAnsi="宋体"/>
          <w:sz w:val="24"/>
        </w:rPr>
        <w:t>-</w:t>
      </w:r>
      <w:r>
        <w:rPr>
          <w:rFonts w:ascii="宋体" w:hAnsi="宋体"/>
          <w:sz w:val="24"/>
        </w:rPr>
        <w:t>2204</w:t>
      </w:r>
      <w:r>
        <w:rPr>
          <w:rFonts w:hint="eastAsia" w:ascii="宋体" w:hAnsi="宋体"/>
          <w:sz w:val="24"/>
        </w:rPr>
        <w:t>-</w:t>
      </w:r>
      <w:r>
        <w:rPr>
          <w:rFonts w:ascii="宋体" w:hAnsi="宋体"/>
          <w:sz w:val="24"/>
        </w:rPr>
        <w:t>3119</w:t>
      </w:r>
    </w:p>
    <w:p w14:paraId="68BA5DA8">
      <w:pPr>
        <w:widowControl/>
        <w:adjustRightInd w:val="0"/>
        <w:snapToGrid w:val="0"/>
        <w:spacing w:line="360" w:lineRule="auto"/>
        <w:ind w:firstLine="480" w:firstLineChars="200"/>
        <w:jc w:val="left"/>
        <w:rPr>
          <w:rFonts w:ascii="宋体" w:hAnsi="宋体"/>
          <w:sz w:val="24"/>
        </w:rPr>
      </w:pPr>
      <w:r>
        <w:rPr>
          <w:rFonts w:hint="eastAsia" w:ascii="宋体" w:hAnsi="宋体"/>
          <w:sz w:val="24"/>
        </w:rPr>
        <w:t xml:space="preserve">2.1办理CA数字证书或电子营业执照 </w:t>
      </w:r>
    </w:p>
    <w:p w14:paraId="50A7F3E9">
      <w:pPr>
        <w:widowControl/>
        <w:adjustRightInd w:val="0"/>
        <w:snapToGrid w:val="0"/>
        <w:spacing w:line="360" w:lineRule="auto"/>
        <w:ind w:firstLine="480" w:firstLineChars="200"/>
        <w:jc w:val="left"/>
        <w:rPr>
          <w:rFonts w:ascii="宋体" w:hAnsi="宋体"/>
          <w:sz w:val="24"/>
        </w:rPr>
      </w:pPr>
      <w:r>
        <w:rPr>
          <w:rFonts w:hint="eastAsia" w:ascii="宋体" w:hAnsi="宋体"/>
          <w:sz w:val="24"/>
        </w:rPr>
        <w:t>供应商登录北京市政府采购电子交易平台查阅“用户指南”</w:t>
      </w:r>
      <w:r>
        <w:rPr>
          <w:rFonts w:ascii="宋体" w:hAnsi="宋体"/>
          <w:sz w:val="24"/>
        </w:rPr>
        <w:t>—</w:t>
      </w:r>
      <w:r>
        <w:rPr>
          <w:rFonts w:hint="eastAsia" w:ascii="宋体" w:hAnsi="宋体"/>
          <w:sz w:val="24"/>
        </w:rPr>
        <w:t>“操作指南”</w:t>
      </w:r>
      <w:r>
        <w:rPr>
          <w:rFonts w:ascii="宋体" w:hAnsi="宋体"/>
          <w:sz w:val="24"/>
        </w:rPr>
        <w:t>—</w:t>
      </w:r>
      <w:r>
        <w:rPr>
          <w:rFonts w:hint="eastAsia" w:ascii="宋体" w:hAnsi="宋体"/>
          <w:sz w:val="24"/>
        </w:rPr>
        <w:t>“市场主体</w:t>
      </w:r>
      <w:r>
        <w:rPr>
          <w:rFonts w:ascii="宋体" w:hAnsi="宋体"/>
          <w:sz w:val="24"/>
        </w:rPr>
        <w:t>CA</w:t>
      </w:r>
      <w:r>
        <w:rPr>
          <w:rFonts w:hint="eastAsia" w:ascii="宋体" w:hAnsi="宋体"/>
          <w:sz w:val="24"/>
        </w:rPr>
        <w:t>办理操作流程指引”</w:t>
      </w:r>
      <w:r>
        <w:rPr>
          <w:rFonts w:ascii="宋体" w:hAnsi="宋体"/>
          <w:sz w:val="24"/>
        </w:rPr>
        <w:t>/</w:t>
      </w:r>
      <w:r>
        <w:rPr>
          <w:rFonts w:hint="eastAsia" w:ascii="宋体" w:hAnsi="宋体"/>
          <w:sz w:val="24"/>
        </w:rPr>
        <w:t>“电子营业执照使用指南”，按照程序要求办理。</w:t>
      </w:r>
    </w:p>
    <w:p w14:paraId="5645117A">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.2注册</w:t>
      </w:r>
    </w:p>
    <w:p w14:paraId="32BC5B60">
      <w:pPr>
        <w:adjustRightInd w:val="0"/>
        <w:snapToGrid w:val="0"/>
        <w:spacing w:line="360" w:lineRule="auto"/>
        <w:ind w:firstLine="480" w:firstLineChars="200"/>
        <w:rPr>
          <w:rFonts w:ascii="宋体" w:hAnsi="宋体"/>
          <w:sz w:val="24"/>
        </w:rPr>
      </w:pPr>
      <w:r>
        <w:rPr>
          <w:rFonts w:ascii="宋体" w:hAnsi="宋体"/>
          <w:sz w:val="24"/>
        </w:rPr>
        <w:t>供应商登录北京市政府采购电子交易平台“用户指南”—“操作指南”—“市场主体注册入库操作流程指引”进行自助注册绑定。</w:t>
      </w:r>
    </w:p>
    <w:p w14:paraId="7F0A347C">
      <w:pPr>
        <w:widowControl/>
        <w:adjustRightInd w:val="0"/>
        <w:snapToGrid w:val="0"/>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.3驱动、客户端下载</w:t>
      </w:r>
    </w:p>
    <w:p w14:paraId="458C653E">
      <w:pPr>
        <w:adjustRightInd w:val="0"/>
        <w:snapToGrid w:val="0"/>
        <w:spacing w:line="360" w:lineRule="auto"/>
        <w:ind w:firstLine="480" w:firstLineChars="200"/>
        <w:rPr>
          <w:rFonts w:ascii="宋体" w:hAnsi="宋体"/>
          <w:sz w:val="24"/>
        </w:rPr>
      </w:pPr>
      <w:r>
        <w:rPr>
          <w:rFonts w:ascii="宋体" w:hAnsi="宋体"/>
          <w:sz w:val="24"/>
        </w:rPr>
        <w:t>供应商登录北京市政府采购电子交易平台“用户指南”—“工具下载”—“招标采购系统文件驱动安装包”下载相关驱动。</w:t>
      </w:r>
    </w:p>
    <w:p w14:paraId="3614E074">
      <w:pPr>
        <w:adjustRightInd w:val="0"/>
        <w:snapToGrid w:val="0"/>
        <w:spacing w:line="360" w:lineRule="auto"/>
        <w:ind w:firstLine="480" w:firstLineChars="200"/>
        <w:rPr>
          <w:rFonts w:ascii="宋体" w:hAnsi="宋体"/>
          <w:sz w:val="24"/>
        </w:rPr>
      </w:pPr>
      <w:r>
        <w:rPr>
          <w:rFonts w:ascii="宋体" w:hAnsi="宋体"/>
          <w:sz w:val="24"/>
        </w:rPr>
        <w:t>供应商登录北京市政府采购电子交易平台“用户指南”—“工具下载”—“投标文件编制工具”下载相关客户端。</w:t>
      </w:r>
    </w:p>
    <w:p w14:paraId="59F38F51">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.4 获取电子招标文件</w:t>
      </w:r>
    </w:p>
    <w:p w14:paraId="6FCDF3B5">
      <w:pPr>
        <w:adjustRightInd w:val="0"/>
        <w:snapToGrid w:val="0"/>
        <w:spacing w:line="360" w:lineRule="auto"/>
        <w:ind w:firstLine="480" w:firstLineChars="200"/>
        <w:rPr>
          <w:rFonts w:ascii="宋体" w:hAnsi="宋体"/>
          <w:sz w:val="24"/>
          <w:highlight w:val="yellow"/>
        </w:rPr>
      </w:pPr>
      <w:r>
        <w:rPr>
          <w:rFonts w:hint="eastAsia" w:ascii="宋体" w:hAnsi="宋体"/>
          <w:sz w:val="24"/>
        </w:rPr>
        <w:t>供应商使用</w:t>
      </w:r>
      <w:r>
        <w:rPr>
          <w:rFonts w:ascii="宋体" w:hAnsi="宋体"/>
          <w:sz w:val="24"/>
        </w:rPr>
        <w:t>CA</w:t>
      </w:r>
      <w:r>
        <w:rPr>
          <w:rFonts w:hint="eastAsia" w:ascii="宋体" w:hAnsi="宋体"/>
          <w:sz w:val="24"/>
        </w:rPr>
        <w:t>数字证书或电子营业执照登录北京市政府采购电子交易平台获取电子招标文件。如供应商</w:t>
      </w:r>
      <w:r>
        <w:rPr>
          <w:rFonts w:ascii="宋体" w:hAnsi="宋体"/>
          <w:sz w:val="24"/>
        </w:rPr>
        <w:t>未在规定</w:t>
      </w:r>
      <w:r>
        <w:rPr>
          <w:rFonts w:hint="eastAsia" w:ascii="宋体" w:hAnsi="宋体"/>
          <w:sz w:val="24"/>
        </w:rPr>
        <w:t>的</w:t>
      </w:r>
      <w:r>
        <w:rPr>
          <w:rFonts w:ascii="宋体" w:hAnsi="宋体"/>
          <w:sz w:val="24"/>
        </w:rPr>
        <w:t>期限内通过北京市政府采购电子交易平台获取招标文件</w:t>
      </w:r>
      <w:r>
        <w:rPr>
          <w:rFonts w:hint="eastAsia" w:ascii="宋体" w:hAnsi="宋体"/>
          <w:sz w:val="24"/>
        </w:rPr>
        <w:t>，其</w:t>
      </w:r>
      <w:r>
        <w:rPr>
          <w:rFonts w:ascii="宋体" w:hAnsi="宋体"/>
          <w:b/>
          <w:sz w:val="24"/>
        </w:rPr>
        <w:t>投标无效</w:t>
      </w:r>
      <w:r>
        <w:rPr>
          <w:rFonts w:hint="eastAsia" w:ascii="宋体" w:hAnsi="宋体"/>
          <w:b/>
          <w:sz w:val="24"/>
        </w:rPr>
        <w:t>。</w:t>
      </w:r>
    </w:p>
    <w:p w14:paraId="4B0B6C6D">
      <w:pPr>
        <w:adjustRightInd w:val="0"/>
        <w:snapToGrid w:val="0"/>
        <w:spacing w:line="360" w:lineRule="auto"/>
        <w:ind w:firstLine="480" w:firstLineChars="200"/>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供应商如计划参与多个采购包的投标，应在登录北京市政府采购电子交易平台后，在【我的项目】栏目依次选择对应采购包，进入项目工作台招标</w:t>
      </w:r>
      <w:r>
        <w:rPr>
          <w:rFonts w:ascii="宋体" w:hAnsi="宋体"/>
          <w:sz w:val="24"/>
        </w:rPr>
        <w:t>/</w:t>
      </w:r>
      <w:r>
        <w:rPr>
          <w:rFonts w:hint="eastAsia" w:ascii="宋体" w:hAnsi="宋体"/>
          <w:sz w:val="24"/>
        </w:rPr>
        <w:t>采购文件环节分别按采购包下载招标文件电子版。未在规定期限内按上述操作获取招标文件的采购包，供应商无法提交相应包的投标文件</w:t>
      </w:r>
      <w:r>
        <w:rPr>
          <w:rFonts w:ascii="宋体" w:hAnsi="宋体"/>
          <w:sz w:val="24"/>
        </w:rPr>
        <w:t>。</w:t>
      </w:r>
    </w:p>
    <w:p w14:paraId="104B6D3D">
      <w:pPr>
        <w:adjustRightInd w:val="0"/>
        <w:snapToGrid w:val="0"/>
        <w:spacing w:line="360" w:lineRule="auto"/>
        <w:ind w:firstLine="480" w:firstLineChars="200"/>
        <w:rPr>
          <w:rFonts w:ascii="宋体" w:hAnsi="宋体"/>
          <w:sz w:val="24"/>
        </w:rPr>
      </w:pPr>
      <w:r>
        <w:rPr>
          <w:rFonts w:hint="eastAsia" w:ascii="宋体" w:hAnsi="宋体"/>
          <w:sz w:val="24"/>
        </w:rPr>
        <w:t>2.5编制电子投标文件</w:t>
      </w:r>
    </w:p>
    <w:p w14:paraId="38AA7642">
      <w:pPr>
        <w:adjustRightInd w:val="0"/>
        <w:snapToGrid w:val="0"/>
        <w:spacing w:line="360" w:lineRule="auto"/>
        <w:ind w:firstLine="480" w:firstLineChars="200"/>
        <w:rPr>
          <w:rFonts w:ascii="宋体" w:hAnsi="宋体"/>
          <w:sz w:val="24"/>
        </w:rPr>
      </w:pPr>
      <w:r>
        <w:rPr>
          <w:rFonts w:hint="eastAsia"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E87852F">
      <w:pPr>
        <w:adjustRightInd w:val="0"/>
        <w:snapToGrid w:val="0"/>
        <w:spacing w:line="360" w:lineRule="auto"/>
        <w:ind w:firstLine="480" w:firstLineChars="200"/>
        <w:rPr>
          <w:rFonts w:ascii="宋体" w:hAnsi="宋体"/>
          <w:sz w:val="24"/>
        </w:rPr>
      </w:pPr>
      <w:r>
        <w:rPr>
          <w:rFonts w:hint="eastAsia" w:ascii="宋体" w:hAnsi="宋体"/>
          <w:sz w:val="24"/>
        </w:rPr>
        <w:t>2.6提交电子投标文件</w:t>
      </w:r>
    </w:p>
    <w:p w14:paraId="300D59A8">
      <w:pPr>
        <w:adjustRightInd w:val="0"/>
        <w:snapToGrid w:val="0"/>
        <w:spacing w:line="360" w:lineRule="auto"/>
        <w:ind w:firstLine="480" w:firstLineChars="200"/>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0B3545FF">
      <w:pPr>
        <w:adjustRightInd w:val="0"/>
        <w:snapToGrid w:val="0"/>
        <w:spacing w:line="360" w:lineRule="auto"/>
        <w:ind w:firstLine="480" w:firstLineChars="200"/>
        <w:rPr>
          <w:rFonts w:ascii="宋体" w:hAnsi="宋体"/>
          <w:sz w:val="24"/>
        </w:rPr>
      </w:pPr>
      <w:r>
        <w:rPr>
          <w:rFonts w:hint="eastAsia" w:ascii="宋体" w:hAnsi="宋体"/>
          <w:sz w:val="24"/>
        </w:rPr>
        <w:t>2.7电子开标</w:t>
      </w:r>
    </w:p>
    <w:p w14:paraId="15CAF173">
      <w:pPr>
        <w:adjustRightInd w:val="0"/>
        <w:snapToGrid w:val="0"/>
        <w:spacing w:line="360" w:lineRule="auto"/>
        <w:ind w:firstLine="480" w:firstLineChars="200"/>
        <w:rPr>
          <w:rFonts w:ascii="宋体" w:hAnsi="宋体"/>
          <w:sz w:val="24"/>
        </w:rPr>
      </w:pPr>
      <w:r>
        <w:rPr>
          <w:rFonts w:hint="eastAsia" w:ascii="宋体" w:hAnsi="宋体"/>
          <w:sz w:val="24"/>
        </w:rPr>
        <w:t>供应商在开标地点使用CA数字证书或电子营业执照登录北京市政府采购电子交易平台进行电子开标。</w:t>
      </w:r>
    </w:p>
    <w:p w14:paraId="259D89E4">
      <w:pPr>
        <w:adjustRightInd w:val="0"/>
        <w:snapToGrid w:val="0"/>
        <w:spacing w:line="360" w:lineRule="auto"/>
        <w:ind w:firstLine="480" w:firstLineChars="200"/>
        <w:rPr>
          <w:rFonts w:ascii="宋体" w:hAnsi="宋体"/>
          <w:sz w:val="24"/>
        </w:rPr>
      </w:pPr>
      <w:r>
        <w:rPr>
          <w:rFonts w:hint="eastAsia" w:ascii="宋体" w:hAnsi="宋体"/>
          <w:sz w:val="24"/>
        </w:rPr>
        <w:t>2.8其他注意事项：</w:t>
      </w:r>
    </w:p>
    <w:p w14:paraId="27BFC3C0">
      <w:pPr>
        <w:adjustRightInd w:val="0"/>
        <w:snapToGrid w:val="0"/>
        <w:spacing w:line="360" w:lineRule="auto"/>
        <w:ind w:firstLine="480" w:firstLineChars="200"/>
        <w:rPr>
          <w:rFonts w:ascii="宋体" w:hAnsi="宋体"/>
          <w:sz w:val="24"/>
        </w:rPr>
      </w:pPr>
      <w:r>
        <w:rPr>
          <w:rFonts w:hint="eastAsia" w:ascii="宋体" w:hAnsi="宋体"/>
          <w:sz w:val="24"/>
        </w:rPr>
        <w:t>①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2C56104">
      <w:pPr>
        <w:adjustRightInd w:val="0"/>
        <w:snapToGrid w:val="0"/>
        <w:spacing w:line="360" w:lineRule="auto"/>
        <w:ind w:firstLine="480" w:firstLineChars="200"/>
        <w:rPr>
          <w:rFonts w:ascii="宋体" w:hAnsi="宋体"/>
          <w:sz w:val="24"/>
        </w:rPr>
      </w:pPr>
      <w:r>
        <w:rPr>
          <w:rFonts w:hint="eastAsia" w:ascii="宋体" w:hAnsi="宋体"/>
          <w:sz w:val="24"/>
        </w:rPr>
        <w:t xml:space="preserve">②若供应商已申请多把数字证书，请注意使用差别，确保制作的投标文件和开标解密时使用的数字证书一致，造成解密失败的，由供应商负责。 </w:t>
      </w:r>
    </w:p>
    <w:p w14:paraId="692775C5">
      <w:pPr>
        <w:pStyle w:val="39"/>
        <w:spacing w:line="360" w:lineRule="auto"/>
        <w:ind w:firstLine="480"/>
        <w:rPr>
          <w:rFonts w:ascii="宋体" w:hAnsi="宋体" w:cs="宋体"/>
          <w:sz w:val="24"/>
        </w:rPr>
      </w:pPr>
      <w:r>
        <w:rPr>
          <w:rFonts w:hint="eastAsia" w:ascii="宋体" w:hAnsi="宋体" w:cs="宋体"/>
          <w:sz w:val="24"/>
        </w:rPr>
        <w:t>③供应商应充分考虑到网络及系统平台可能存在的非正常情况，确保在投标文件递交截止时间之前完成投标文件上传。</w:t>
      </w:r>
    </w:p>
    <w:p w14:paraId="29DE03ED">
      <w:pPr>
        <w:pStyle w:val="39"/>
        <w:spacing w:line="360" w:lineRule="auto"/>
        <w:ind w:firstLine="480"/>
        <w:rPr>
          <w:rFonts w:ascii="宋体" w:hAnsi="宋体" w:cs="宋体"/>
          <w:sz w:val="24"/>
        </w:rPr>
      </w:pPr>
      <w:r>
        <w:rPr>
          <w:rFonts w:hint="eastAsia" w:ascii="宋体" w:hAnsi="宋体" w:cs="宋体"/>
          <w:sz w:val="24"/>
        </w:rPr>
        <w:t>3.未在规定期限内通过北京市政府采购电子交易平台获取所参与项目招标文件的供应商递交的投标文件按“资格审查不合格”处理。</w:t>
      </w:r>
    </w:p>
    <w:p w14:paraId="45496128">
      <w:pPr>
        <w:pStyle w:val="39"/>
        <w:spacing w:line="360" w:lineRule="auto"/>
        <w:ind w:firstLine="480"/>
        <w:rPr>
          <w:rFonts w:ascii="宋体" w:hAnsi="宋体" w:cs="宋体"/>
          <w:sz w:val="24"/>
        </w:rPr>
      </w:pPr>
      <w:r>
        <w:rPr>
          <w:rFonts w:hint="eastAsia" w:ascii="宋体" w:hAnsi="宋体" w:cs="宋体"/>
          <w:sz w:val="24"/>
        </w:rPr>
        <w:t>4.如供应商计划参与本项目多个采购包的投标，则需按招标文件要求分别上传对应采购包的完整投标文件。</w:t>
      </w:r>
    </w:p>
    <w:p w14:paraId="2B210F01">
      <w:pPr>
        <w:pStyle w:val="39"/>
        <w:spacing w:line="360" w:lineRule="auto"/>
        <w:ind w:firstLine="480"/>
        <w:rPr>
          <w:rFonts w:ascii="宋体" w:hAnsi="宋体"/>
        </w:rPr>
      </w:pPr>
      <w:r>
        <w:rPr>
          <w:rFonts w:hint="eastAsia" w:ascii="宋体" w:hAnsi="宋体"/>
          <w:sz w:val="24"/>
        </w:rPr>
        <w:t>5</w:t>
      </w:r>
      <w:r>
        <w:rPr>
          <w:rFonts w:ascii="宋体" w:hAnsi="宋体"/>
          <w:sz w:val="24"/>
        </w:rPr>
        <w:t>.</w:t>
      </w:r>
      <w:r>
        <w:rPr>
          <w:rFonts w:hint="eastAsia" w:ascii="宋体" w:hAnsi="宋体"/>
          <w:sz w:val="24"/>
        </w:rPr>
        <w:t>招标文件中的章节/条款如未明确说明适用于某个具体的采购包，则该章节/条款同时适用于本项目所有的采购包。</w:t>
      </w:r>
    </w:p>
    <w:p w14:paraId="2E495A2D">
      <w:pPr>
        <w:adjustRightInd w:val="0"/>
        <w:snapToGrid w:val="0"/>
        <w:spacing w:line="360" w:lineRule="auto"/>
        <w:ind w:firstLine="480" w:firstLineChars="200"/>
        <w:rPr>
          <w:rFonts w:ascii="宋体" w:hAnsi="宋体"/>
          <w:sz w:val="24"/>
        </w:rPr>
      </w:pPr>
      <w:r>
        <w:rPr>
          <w:rFonts w:hint="eastAsia" w:ascii="宋体" w:hAnsi="宋体"/>
          <w:sz w:val="24"/>
        </w:rPr>
        <w:t>6.关于本项目招标文件中选项标记的说明：</w:t>
      </w:r>
      <w:r>
        <w:rPr>
          <w:rFonts w:ascii="宋体" w:hAnsi="宋体"/>
          <w:sz w:val="24"/>
        </w:rPr>
        <w:t>标记“■”的选项意为适用于本项目，标记“□”的选项意为不适用于本项目。</w:t>
      </w:r>
    </w:p>
    <w:p w14:paraId="4F154EC2">
      <w:pPr>
        <w:pStyle w:val="3"/>
        <w:spacing w:before="0" w:line="360" w:lineRule="auto"/>
        <w:jc w:val="left"/>
        <w:rPr>
          <w:rFonts w:ascii="宋体" w:hAnsi="宋体" w:eastAsia="宋体"/>
          <w:sz w:val="24"/>
          <w:szCs w:val="24"/>
        </w:rPr>
      </w:pPr>
      <w:bookmarkStart w:id="31" w:name="_Toc35393627"/>
      <w:bookmarkStart w:id="32" w:name="_Toc35393796"/>
      <w:bookmarkStart w:id="33" w:name="_Toc28359008"/>
      <w:bookmarkStart w:id="34" w:name="_Toc28359085"/>
      <w:r>
        <w:rPr>
          <w:rFonts w:ascii="宋体" w:hAnsi="宋体" w:eastAsia="宋体"/>
          <w:sz w:val="24"/>
          <w:szCs w:val="24"/>
        </w:rPr>
        <w:t>七、对本次招标提出询问，请按以下方式联系。</w:t>
      </w:r>
      <w:bookmarkEnd w:id="31"/>
      <w:bookmarkEnd w:id="32"/>
      <w:bookmarkEnd w:id="33"/>
      <w:bookmarkEnd w:id="34"/>
    </w:p>
    <w:p w14:paraId="7F7B3D38">
      <w:pPr>
        <w:widowControl/>
        <w:spacing w:line="360" w:lineRule="auto"/>
        <w:ind w:firstLine="424" w:firstLineChars="176"/>
        <w:jc w:val="left"/>
        <w:rPr>
          <w:rFonts w:ascii="宋体" w:hAnsi="宋体"/>
          <w:b/>
          <w:sz w:val="24"/>
        </w:rPr>
      </w:pPr>
      <w:r>
        <w:rPr>
          <w:rFonts w:ascii="宋体" w:hAnsi="宋体"/>
          <w:b/>
          <w:sz w:val="24"/>
        </w:rPr>
        <w:t>1.采购人信息</w:t>
      </w:r>
    </w:p>
    <w:p w14:paraId="35E877E5">
      <w:pPr>
        <w:spacing w:line="360" w:lineRule="auto"/>
        <w:ind w:firstLine="422" w:firstLineChars="176"/>
        <w:jc w:val="left"/>
        <w:rPr>
          <w:rFonts w:ascii="宋体" w:hAnsi="宋体"/>
          <w:sz w:val="24"/>
        </w:rPr>
      </w:pPr>
      <w:bookmarkStart w:id="35" w:name="_Toc28359009"/>
      <w:bookmarkStart w:id="36" w:name="_Toc28359086"/>
      <w:r>
        <w:rPr>
          <w:rFonts w:hint="eastAsia" w:ascii="宋体" w:hAnsi="宋体"/>
          <w:sz w:val="24"/>
        </w:rPr>
        <w:t>名    称：首都医科大学附属北京妇产医院</w:t>
      </w:r>
    </w:p>
    <w:p w14:paraId="324C4B0F">
      <w:pPr>
        <w:spacing w:line="360" w:lineRule="auto"/>
        <w:ind w:firstLine="422" w:firstLineChars="176"/>
        <w:jc w:val="left"/>
        <w:rPr>
          <w:rFonts w:ascii="宋体" w:hAnsi="宋体"/>
          <w:sz w:val="24"/>
        </w:rPr>
      </w:pPr>
      <w:r>
        <w:rPr>
          <w:rFonts w:hint="eastAsia" w:ascii="宋体" w:hAnsi="宋体"/>
          <w:sz w:val="24"/>
        </w:rPr>
        <w:t>地    址：北京市朝阳区姚家园路251号院</w:t>
      </w:r>
    </w:p>
    <w:p w14:paraId="33E84123">
      <w:pPr>
        <w:spacing w:line="360" w:lineRule="auto"/>
        <w:ind w:firstLine="422" w:firstLineChars="176"/>
        <w:jc w:val="left"/>
        <w:rPr>
          <w:rFonts w:ascii="宋体" w:hAnsi="宋体"/>
          <w:sz w:val="24"/>
        </w:rPr>
      </w:pPr>
      <w:r>
        <w:rPr>
          <w:rFonts w:hint="eastAsia" w:ascii="宋体" w:hAnsi="宋体"/>
          <w:sz w:val="24"/>
        </w:rPr>
        <w:t>联系方式：010-6591 0599</w:t>
      </w:r>
    </w:p>
    <w:p w14:paraId="7017A884">
      <w:pPr>
        <w:spacing w:line="360" w:lineRule="auto"/>
        <w:ind w:firstLine="424" w:firstLineChars="176"/>
        <w:jc w:val="left"/>
        <w:rPr>
          <w:rFonts w:ascii="宋体" w:hAnsi="宋体"/>
          <w:b/>
          <w:sz w:val="24"/>
        </w:rPr>
      </w:pPr>
      <w:r>
        <w:rPr>
          <w:rFonts w:ascii="宋体" w:hAnsi="宋体"/>
          <w:b/>
          <w:sz w:val="24"/>
        </w:rPr>
        <w:t>2.采购代理机构信息</w:t>
      </w:r>
      <w:bookmarkEnd w:id="35"/>
      <w:bookmarkEnd w:id="36"/>
    </w:p>
    <w:p w14:paraId="56A8B0C2">
      <w:pPr>
        <w:spacing w:line="360" w:lineRule="auto"/>
        <w:ind w:firstLine="422" w:firstLineChars="176"/>
        <w:jc w:val="left"/>
        <w:rPr>
          <w:rFonts w:ascii="宋体" w:hAnsi="宋体"/>
          <w:sz w:val="24"/>
        </w:rPr>
      </w:pPr>
      <w:bookmarkStart w:id="37" w:name="_Toc28359087"/>
      <w:bookmarkStart w:id="38" w:name="_Toc28359010"/>
      <w:r>
        <w:rPr>
          <w:rFonts w:ascii="宋体" w:hAnsi="宋体"/>
          <w:sz w:val="24"/>
        </w:rPr>
        <w:t>名    称：</w:t>
      </w:r>
      <w:r>
        <w:rPr>
          <w:rFonts w:hint="eastAsia" w:ascii="宋体" w:hAnsi="宋体" w:cs="宋体"/>
          <w:sz w:val="24"/>
        </w:rPr>
        <w:t>北京中兴恒达招标有限公司</w:t>
      </w:r>
    </w:p>
    <w:p w14:paraId="2091F665">
      <w:pPr>
        <w:spacing w:line="360" w:lineRule="auto"/>
        <w:ind w:firstLine="422" w:firstLineChars="176"/>
        <w:jc w:val="left"/>
        <w:rPr>
          <w:rFonts w:ascii="宋体" w:hAnsi="宋体"/>
          <w:sz w:val="24"/>
        </w:rPr>
      </w:pPr>
      <w:r>
        <w:rPr>
          <w:rFonts w:ascii="宋体" w:hAnsi="宋体"/>
          <w:sz w:val="24"/>
        </w:rPr>
        <w:t>地    址：</w:t>
      </w:r>
      <w:r>
        <w:rPr>
          <w:rFonts w:hint="eastAsia" w:ascii="宋体" w:hAnsi="宋体" w:cs="宋体"/>
          <w:sz w:val="24"/>
        </w:rPr>
        <w:t>北京市朝阳区裕民路12号元辰鑫大厦E1座424室</w:t>
      </w:r>
    </w:p>
    <w:p w14:paraId="1AA63418">
      <w:pPr>
        <w:spacing w:line="360" w:lineRule="auto"/>
        <w:ind w:firstLine="422" w:firstLineChars="176"/>
        <w:jc w:val="left"/>
        <w:rPr>
          <w:rFonts w:ascii="宋体" w:hAnsi="宋体"/>
          <w:sz w:val="24"/>
          <w:u w:val="single"/>
        </w:rPr>
      </w:pPr>
      <w:r>
        <w:rPr>
          <w:rFonts w:ascii="宋体" w:hAnsi="宋体"/>
          <w:sz w:val="24"/>
        </w:rPr>
        <w:t>联系方式：</w:t>
      </w:r>
      <w:r>
        <w:rPr>
          <w:rFonts w:hint="eastAsia" w:ascii="宋体" w:hAnsi="宋体" w:cs="宋体"/>
          <w:sz w:val="24"/>
        </w:rPr>
        <w:t>010-8225 0125</w:t>
      </w:r>
    </w:p>
    <w:p w14:paraId="7529476B">
      <w:pPr>
        <w:spacing w:line="360" w:lineRule="auto"/>
        <w:ind w:firstLine="424" w:firstLineChars="176"/>
        <w:rPr>
          <w:rFonts w:ascii="宋体" w:hAnsi="宋体"/>
          <w:b/>
          <w:sz w:val="24"/>
          <w:u w:val="single"/>
        </w:rPr>
      </w:pPr>
      <w:r>
        <w:rPr>
          <w:rFonts w:ascii="宋体" w:hAnsi="宋体"/>
          <w:b/>
          <w:sz w:val="24"/>
        </w:rPr>
        <w:t>3.项目联系方式</w:t>
      </w:r>
      <w:bookmarkEnd w:id="37"/>
      <w:bookmarkEnd w:id="38"/>
    </w:p>
    <w:p w14:paraId="4BA5D7BF">
      <w:pPr>
        <w:spacing w:line="360" w:lineRule="auto"/>
        <w:ind w:firstLine="422" w:firstLineChars="176"/>
        <w:jc w:val="left"/>
        <w:rPr>
          <w:rFonts w:ascii="宋体" w:hAnsi="宋体"/>
          <w:sz w:val="24"/>
        </w:rPr>
      </w:pPr>
      <w:r>
        <w:rPr>
          <w:rFonts w:ascii="宋体" w:hAnsi="宋体"/>
          <w:sz w:val="24"/>
        </w:rPr>
        <w:t>项目联系人：朱国华、王超、鲁先礼</w:t>
      </w:r>
    </w:p>
    <w:p w14:paraId="3452883D">
      <w:pPr>
        <w:spacing w:line="360" w:lineRule="auto"/>
        <w:ind w:firstLine="422" w:firstLineChars="176"/>
        <w:jc w:val="left"/>
        <w:rPr>
          <w:rFonts w:ascii="宋体" w:hAnsi="宋体"/>
          <w:sz w:val="24"/>
        </w:rPr>
      </w:pPr>
      <w:r>
        <w:rPr>
          <w:rFonts w:ascii="宋体" w:hAnsi="宋体"/>
          <w:sz w:val="24"/>
        </w:rPr>
        <w:t>电    话：010-8225 0125</w:t>
      </w:r>
    </w:p>
    <w:p w14:paraId="5D415B6F">
      <w:pPr>
        <w:spacing w:line="360" w:lineRule="auto"/>
        <w:ind w:firstLine="422" w:firstLineChars="176"/>
        <w:jc w:val="left"/>
        <w:rPr>
          <w:rFonts w:ascii="宋体" w:hAnsi="宋体"/>
          <w:sz w:val="24"/>
        </w:rPr>
      </w:pPr>
      <w:r>
        <w:rPr>
          <w:rFonts w:ascii="宋体" w:hAnsi="宋体"/>
          <w:sz w:val="24"/>
        </w:rPr>
        <w:t>邮    箱：</w:t>
      </w:r>
      <w:r>
        <w:fldChar w:fldCharType="begin"/>
      </w:r>
      <w:r>
        <w:instrText xml:space="preserve"> HYPERLINK "mailto:zhongxinghengda422@163.com" </w:instrText>
      </w:r>
      <w:r>
        <w:fldChar w:fldCharType="separate"/>
      </w:r>
      <w:r>
        <w:rPr>
          <w:rFonts w:ascii="宋体" w:hAnsi="宋体"/>
          <w:sz w:val="24"/>
        </w:rPr>
        <w:t>zhongxinghengda422@163.com</w:t>
      </w:r>
      <w:r>
        <w:rPr>
          <w:rFonts w:ascii="宋体" w:hAnsi="宋体"/>
          <w:sz w:val="24"/>
        </w:rPr>
        <w:fldChar w:fldCharType="end"/>
      </w:r>
      <w:bookmarkStart w:id="39" w:name="_Toc127161488"/>
      <w:bookmarkStart w:id="40" w:name="_Toc512937850"/>
      <w:bookmarkStart w:id="41" w:name="_Toc195842950"/>
      <w:bookmarkStart w:id="42" w:name="_Toc265228423"/>
      <w:bookmarkStart w:id="43" w:name="_Toc353873938"/>
      <w:bookmarkStart w:id="44" w:name="_Toc127151777"/>
      <w:bookmarkStart w:id="45" w:name="_Toc305158854"/>
      <w:bookmarkStart w:id="46" w:name="_Toc226965856"/>
      <w:bookmarkStart w:id="47" w:name="_Toc353825548"/>
      <w:bookmarkStart w:id="48" w:name="_Toc150774783"/>
      <w:bookmarkStart w:id="49" w:name="_Toc305158928"/>
      <w:bookmarkStart w:id="50" w:name="_Toc264969275"/>
    </w:p>
    <w:p w14:paraId="2F5D91E8">
      <w:pPr>
        <w:pStyle w:val="11"/>
      </w:pPr>
      <w:r>
        <w:br w:type="page"/>
      </w:r>
    </w:p>
    <w:p w14:paraId="33B3504B">
      <w:pPr>
        <w:spacing w:line="360" w:lineRule="auto"/>
        <w:jc w:val="center"/>
        <w:outlineLvl w:val="0"/>
        <w:rPr>
          <w:rFonts w:ascii="宋体" w:hAnsi="宋体"/>
          <w:b/>
          <w:sz w:val="32"/>
          <w:szCs w:val="32"/>
        </w:rPr>
      </w:pPr>
      <w:bookmarkStart w:id="51" w:name="_Toc221531082"/>
      <w:r>
        <w:rPr>
          <w:rFonts w:ascii="宋体" w:hAnsi="宋体"/>
          <w:b/>
          <w:sz w:val="36"/>
          <w:szCs w:val="36"/>
        </w:rPr>
        <w:t>第二章</w:t>
      </w:r>
      <w:r>
        <w:rPr>
          <w:rFonts w:hint="eastAsia" w:ascii="宋体" w:hAnsi="宋体"/>
          <w:b/>
          <w:sz w:val="36"/>
          <w:szCs w:val="36"/>
        </w:rPr>
        <w:t xml:space="preserve">  </w:t>
      </w:r>
      <w:r>
        <w:rPr>
          <w:rFonts w:ascii="宋体" w:hAnsi="宋体"/>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011C0D04">
      <w:pPr>
        <w:pStyle w:val="53"/>
      </w:pPr>
      <w:bookmarkStart w:id="52" w:name="_Toc149720812"/>
      <w:bookmarkStart w:id="53" w:name="_Toc164229214"/>
      <w:bookmarkStart w:id="54" w:name="_Toc164351613"/>
      <w:bookmarkStart w:id="55" w:name="_Toc151193833"/>
      <w:bookmarkStart w:id="56" w:name="_Toc164608633"/>
      <w:bookmarkStart w:id="57" w:name="_Toc142311021"/>
      <w:bookmarkStart w:id="58" w:name="_Toc195842884"/>
      <w:bookmarkStart w:id="59" w:name="_Toc226965792"/>
      <w:bookmarkStart w:id="60" w:name="_Toc226965709"/>
      <w:bookmarkStart w:id="61" w:name="_Toc164608788"/>
      <w:bookmarkStart w:id="62" w:name="_Toc150509270"/>
      <w:bookmarkStart w:id="63" w:name="_Toc151193689"/>
      <w:bookmarkStart w:id="64" w:name="_Toc164229360"/>
      <w:bookmarkStart w:id="65" w:name="_Toc226337215"/>
      <w:bookmarkStart w:id="66" w:name="_Toc127151720"/>
      <w:bookmarkStart w:id="67" w:name="_Toc150774724"/>
      <w:bookmarkStart w:id="68" w:name="_Toc127161433"/>
      <w:bookmarkStart w:id="69" w:name="_Toc127151519"/>
      <w:bookmarkStart w:id="70" w:name="_Toc226309763"/>
      <w:bookmarkStart w:id="71" w:name="_Toc520356144"/>
      <w:bookmarkStart w:id="72" w:name="_Toc150774619"/>
      <w:bookmarkStart w:id="73" w:name="_Toc150480757"/>
      <w:bookmarkStart w:id="74" w:name="_Toc151193907"/>
      <w:bookmarkStart w:id="75" w:name="_Toc151193761"/>
      <w:bookmarkStart w:id="76" w:name="_Toc151190146"/>
      <w:bookmarkStart w:id="77" w:name="_Toc151193617"/>
      <w:r>
        <w:t>投标人须知资料表</w:t>
      </w:r>
    </w:p>
    <w:p w14:paraId="2C2BF5AC">
      <w:pPr>
        <w:spacing w:line="360" w:lineRule="auto"/>
        <w:ind w:firstLine="480"/>
        <w:rPr>
          <w:rFonts w:ascii="宋体" w:hAnsi="宋体"/>
          <w:sz w:val="24"/>
        </w:rPr>
      </w:pPr>
      <w:r>
        <w:rPr>
          <w:rFonts w:ascii="宋体" w:hAnsi="宋体"/>
          <w:sz w:val="24"/>
        </w:rPr>
        <w:t>本表是对投标人须知的具体补充和修改，如有矛盾，均以本资料表</w:t>
      </w:r>
      <w:r>
        <w:rPr>
          <w:rFonts w:hint="eastAsia" w:ascii="宋体" w:hAnsi="宋体"/>
          <w:sz w:val="24"/>
        </w:rPr>
        <w:t>列明的内容</w:t>
      </w:r>
      <w:r>
        <w:rPr>
          <w:rFonts w:ascii="宋体" w:hAnsi="宋体"/>
          <w:sz w:val="24"/>
        </w:rPr>
        <w:t>为准。标记“</w:t>
      </w:r>
      <w:r>
        <w:rPr>
          <w:rFonts w:ascii="宋体" w:hAnsi="宋体"/>
          <w:b/>
          <w:sz w:val="24"/>
        </w:rPr>
        <w:t>■</w:t>
      </w:r>
      <w:r>
        <w:rPr>
          <w:rFonts w:ascii="宋体" w:hAnsi="宋体"/>
          <w:sz w:val="24"/>
        </w:rPr>
        <w:t>”的选项意为适用于本项目，标记“□”的选项意为不适用于本项目。</w:t>
      </w:r>
    </w:p>
    <w:tbl>
      <w:tblPr>
        <w:tblStyle w:val="24"/>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69"/>
        <w:gridCol w:w="6425"/>
      </w:tblGrid>
      <w:tr w14:paraId="6C49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88" w:type="dxa"/>
            <w:vAlign w:val="center"/>
          </w:tcPr>
          <w:p w14:paraId="2D7C8933">
            <w:pPr>
              <w:jc w:val="center"/>
              <w:rPr>
                <w:rFonts w:ascii="宋体" w:hAnsi="宋体"/>
                <w:b/>
                <w:bCs/>
                <w:sz w:val="24"/>
              </w:rPr>
            </w:pPr>
            <w:r>
              <w:rPr>
                <w:rFonts w:ascii="宋体" w:hAnsi="宋体"/>
                <w:b/>
                <w:bCs/>
                <w:sz w:val="24"/>
              </w:rPr>
              <w:t>序号</w:t>
            </w:r>
          </w:p>
        </w:tc>
        <w:tc>
          <w:tcPr>
            <w:tcW w:w="1769" w:type="dxa"/>
            <w:vAlign w:val="center"/>
          </w:tcPr>
          <w:p w14:paraId="1DA833F9">
            <w:pPr>
              <w:jc w:val="center"/>
              <w:rPr>
                <w:rFonts w:ascii="宋体" w:hAnsi="宋体"/>
                <w:b/>
                <w:bCs/>
                <w:sz w:val="24"/>
              </w:rPr>
            </w:pPr>
            <w:r>
              <w:rPr>
                <w:rFonts w:hint="eastAsia" w:ascii="宋体" w:hAnsi="宋体"/>
                <w:b/>
                <w:bCs/>
                <w:sz w:val="24"/>
              </w:rPr>
              <w:t>条目</w:t>
            </w:r>
          </w:p>
        </w:tc>
        <w:tc>
          <w:tcPr>
            <w:tcW w:w="6425" w:type="dxa"/>
            <w:vAlign w:val="center"/>
          </w:tcPr>
          <w:p w14:paraId="58DE8965">
            <w:pPr>
              <w:jc w:val="center"/>
              <w:rPr>
                <w:rFonts w:ascii="宋体" w:hAnsi="宋体"/>
                <w:b/>
                <w:bCs/>
                <w:sz w:val="24"/>
              </w:rPr>
            </w:pPr>
            <w:r>
              <w:rPr>
                <w:rFonts w:hint="eastAsia" w:ascii="宋体" w:hAnsi="宋体"/>
                <w:b/>
                <w:bCs/>
                <w:sz w:val="24"/>
              </w:rPr>
              <w:t>内容</w:t>
            </w:r>
          </w:p>
        </w:tc>
      </w:tr>
      <w:tr w14:paraId="210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7CF9ABA">
            <w:pPr>
              <w:pStyle w:val="11"/>
              <w:jc w:val="center"/>
              <w:rPr>
                <w:b w:val="0"/>
              </w:rPr>
            </w:pPr>
            <w:r>
              <w:rPr>
                <w:b w:val="0"/>
              </w:rPr>
              <w:t>2.2</w:t>
            </w:r>
          </w:p>
        </w:tc>
        <w:tc>
          <w:tcPr>
            <w:tcW w:w="1769" w:type="dxa"/>
            <w:vAlign w:val="center"/>
          </w:tcPr>
          <w:p w14:paraId="226FCE2E">
            <w:pPr>
              <w:jc w:val="center"/>
              <w:rPr>
                <w:rFonts w:ascii="宋体" w:hAnsi="宋体"/>
                <w:sz w:val="24"/>
              </w:rPr>
            </w:pPr>
            <w:r>
              <w:rPr>
                <w:rFonts w:hint="eastAsia" w:ascii="宋体" w:hAnsi="宋体"/>
                <w:sz w:val="24"/>
              </w:rPr>
              <w:t>项目属性</w:t>
            </w:r>
          </w:p>
        </w:tc>
        <w:tc>
          <w:tcPr>
            <w:tcW w:w="6425" w:type="dxa"/>
            <w:vAlign w:val="center"/>
          </w:tcPr>
          <w:p w14:paraId="364570CF">
            <w:pPr>
              <w:jc w:val="left"/>
              <w:rPr>
                <w:rFonts w:ascii="宋体" w:hAnsi="宋体"/>
                <w:sz w:val="24"/>
              </w:rPr>
            </w:pPr>
            <w:r>
              <w:rPr>
                <w:rFonts w:hint="eastAsia" w:ascii="宋体" w:hAnsi="宋体"/>
                <w:sz w:val="24"/>
              </w:rPr>
              <w:t>项目属性：■ 货物   □ 服务   □ 工程</w:t>
            </w:r>
          </w:p>
        </w:tc>
      </w:tr>
      <w:tr w14:paraId="132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E21FABB">
            <w:pPr>
              <w:pStyle w:val="11"/>
              <w:jc w:val="center"/>
              <w:rPr>
                <w:b w:val="0"/>
              </w:rPr>
            </w:pPr>
            <w:r>
              <w:rPr>
                <w:b w:val="0"/>
              </w:rPr>
              <w:t>2.3</w:t>
            </w:r>
          </w:p>
        </w:tc>
        <w:tc>
          <w:tcPr>
            <w:tcW w:w="1769" w:type="dxa"/>
            <w:vAlign w:val="center"/>
          </w:tcPr>
          <w:p w14:paraId="289CD9A3">
            <w:pPr>
              <w:jc w:val="center"/>
              <w:rPr>
                <w:rFonts w:ascii="宋体" w:hAnsi="宋体"/>
                <w:sz w:val="24"/>
              </w:rPr>
            </w:pPr>
            <w:r>
              <w:rPr>
                <w:rFonts w:hint="eastAsia" w:ascii="宋体" w:hAnsi="宋体"/>
                <w:sz w:val="24"/>
              </w:rPr>
              <w:t>科研仪器设备</w:t>
            </w:r>
          </w:p>
        </w:tc>
        <w:tc>
          <w:tcPr>
            <w:tcW w:w="6425" w:type="dxa"/>
            <w:vAlign w:val="center"/>
          </w:tcPr>
          <w:p w14:paraId="245605E1">
            <w:pPr>
              <w:jc w:val="left"/>
              <w:rPr>
                <w:rFonts w:ascii="宋体" w:hAnsi="宋体"/>
                <w:sz w:val="24"/>
              </w:rPr>
            </w:pPr>
            <w:r>
              <w:rPr>
                <w:rFonts w:hint="eastAsia" w:ascii="宋体" w:hAnsi="宋体"/>
                <w:sz w:val="24"/>
              </w:rPr>
              <w:t>是否属于科研仪器设备采购项目：□是  ■否</w:t>
            </w:r>
          </w:p>
        </w:tc>
      </w:tr>
      <w:tr w14:paraId="26F4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32E7A3B">
            <w:pPr>
              <w:pStyle w:val="11"/>
              <w:jc w:val="center"/>
              <w:rPr>
                <w:b w:val="0"/>
              </w:rPr>
            </w:pPr>
            <w:r>
              <w:rPr>
                <w:b w:val="0"/>
              </w:rPr>
              <w:t>2.4</w:t>
            </w:r>
          </w:p>
        </w:tc>
        <w:tc>
          <w:tcPr>
            <w:tcW w:w="1769" w:type="dxa"/>
            <w:vAlign w:val="center"/>
          </w:tcPr>
          <w:p w14:paraId="4913FBDB">
            <w:pPr>
              <w:jc w:val="center"/>
              <w:rPr>
                <w:rFonts w:ascii="宋体" w:hAnsi="宋体"/>
                <w:sz w:val="24"/>
              </w:rPr>
            </w:pPr>
            <w:r>
              <w:rPr>
                <w:rFonts w:hint="eastAsia" w:ascii="宋体" w:hAnsi="宋体"/>
                <w:sz w:val="24"/>
              </w:rPr>
              <w:t>核心产品</w:t>
            </w:r>
          </w:p>
        </w:tc>
        <w:tc>
          <w:tcPr>
            <w:tcW w:w="6425" w:type="dxa"/>
            <w:vAlign w:val="center"/>
          </w:tcPr>
          <w:p w14:paraId="1EB1D2E8">
            <w:pPr>
              <w:pStyle w:val="11"/>
              <w:rPr>
                <w:b w:val="0"/>
                <w:bCs w:val="0"/>
                <w:u w:val="single"/>
              </w:rPr>
            </w:pPr>
            <w:r>
              <w:rPr>
                <w:b w:val="0"/>
                <w:bCs w:val="0"/>
              </w:rPr>
              <w:t>关于核心产品：</w:t>
            </w:r>
            <w:r>
              <w:rPr>
                <w:rFonts w:hint="eastAsia"/>
                <w:b w:val="0"/>
                <w:bCs w:val="0"/>
              </w:rPr>
              <w:t>详见 第一章 投标邀请。</w:t>
            </w:r>
          </w:p>
        </w:tc>
      </w:tr>
      <w:tr w14:paraId="77CD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1A4EF7E5">
            <w:pPr>
              <w:pStyle w:val="11"/>
              <w:jc w:val="center"/>
              <w:rPr>
                <w:b w:val="0"/>
              </w:rPr>
            </w:pPr>
            <w:r>
              <w:rPr>
                <w:b w:val="0"/>
              </w:rPr>
              <w:t>3.1</w:t>
            </w:r>
          </w:p>
        </w:tc>
        <w:tc>
          <w:tcPr>
            <w:tcW w:w="1769" w:type="dxa"/>
            <w:vAlign w:val="center"/>
          </w:tcPr>
          <w:p w14:paraId="6288DB50">
            <w:pPr>
              <w:jc w:val="center"/>
              <w:rPr>
                <w:rFonts w:ascii="宋体" w:hAnsi="宋体"/>
                <w:sz w:val="24"/>
              </w:rPr>
            </w:pPr>
            <w:r>
              <w:rPr>
                <w:rFonts w:hint="eastAsia" w:ascii="宋体" w:hAnsi="宋体"/>
                <w:sz w:val="24"/>
              </w:rPr>
              <w:t>现场考察</w:t>
            </w:r>
          </w:p>
        </w:tc>
        <w:tc>
          <w:tcPr>
            <w:tcW w:w="6425" w:type="dxa"/>
            <w:vAlign w:val="center"/>
          </w:tcPr>
          <w:p w14:paraId="37528513">
            <w:pPr>
              <w:jc w:val="left"/>
              <w:rPr>
                <w:rFonts w:ascii="宋体" w:hAnsi="宋体"/>
                <w:sz w:val="24"/>
              </w:rPr>
            </w:pPr>
            <w:r>
              <w:rPr>
                <w:rFonts w:hint="eastAsia" w:ascii="宋体" w:hAnsi="宋体"/>
                <w:sz w:val="24"/>
              </w:rPr>
              <w:t>■不组织</w:t>
            </w:r>
          </w:p>
          <w:p w14:paraId="73C7EACA">
            <w:pPr>
              <w:jc w:val="left"/>
              <w:rPr>
                <w:rFonts w:ascii="宋体" w:hAnsi="宋体"/>
                <w:bCs/>
                <w:sz w:val="24"/>
              </w:rPr>
            </w:pPr>
            <w:r>
              <w:rPr>
                <w:rFonts w:hint="eastAsia" w:ascii="宋体" w:hAnsi="宋体"/>
                <w:sz w:val="24"/>
              </w:rPr>
              <w:t>□组织，考察时间：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57872CC2">
            <w:pPr>
              <w:pStyle w:val="11"/>
            </w:pPr>
            <w:r>
              <w:rPr>
                <w:b w:val="0"/>
              </w:rPr>
              <w:t>考察地点：</w:t>
            </w:r>
            <w:r>
              <w:rPr>
                <w:b w:val="0"/>
                <w:u w:val="single"/>
              </w:rPr>
              <w:t xml:space="preserve">   /   </w:t>
            </w:r>
            <w:r>
              <w:rPr>
                <w:b w:val="0"/>
              </w:rPr>
              <w:t>。</w:t>
            </w:r>
          </w:p>
        </w:tc>
      </w:tr>
      <w:tr w14:paraId="1B49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0F5A4AAA">
            <w:pPr>
              <w:pStyle w:val="11"/>
              <w:jc w:val="center"/>
              <w:rPr>
                <w:b w:val="0"/>
              </w:rPr>
            </w:pPr>
          </w:p>
        </w:tc>
        <w:tc>
          <w:tcPr>
            <w:tcW w:w="1769" w:type="dxa"/>
            <w:vAlign w:val="center"/>
          </w:tcPr>
          <w:p w14:paraId="15EF12D5">
            <w:pPr>
              <w:jc w:val="center"/>
              <w:rPr>
                <w:rFonts w:ascii="宋体" w:hAnsi="宋体"/>
                <w:sz w:val="24"/>
              </w:rPr>
            </w:pPr>
            <w:r>
              <w:rPr>
                <w:rFonts w:hint="eastAsia" w:ascii="宋体" w:hAnsi="宋体"/>
                <w:sz w:val="24"/>
              </w:rPr>
              <w:t>开标前答疑会</w:t>
            </w:r>
          </w:p>
        </w:tc>
        <w:tc>
          <w:tcPr>
            <w:tcW w:w="6425" w:type="dxa"/>
            <w:vAlign w:val="center"/>
          </w:tcPr>
          <w:p w14:paraId="0FB23C44">
            <w:pPr>
              <w:jc w:val="left"/>
              <w:rPr>
                <w:rFonts w:ascii="宋体" w:hAnsi="宋体"/>
                <w:sz w:val="24"/>
              </w:rPr>
            </w:pPr>
            <w:r>
              <w:rPr>
                <w:rFonts w:hint="eastAsia" w:ascii="宋体" w:hAnsi="宋体"/>
                <w:sz w:val="24"/>
              </w:rPr>
              <w:t>■不召开</w:t>
            </w:r>
          </w:p>
          <w:p w14:paraId="43BEA9BC">
            <w:pPr>
              <w:jc w:val="left"/>
              <w:rPr>
                <w:rFonts w:ascii="宋体" w:hAnsi="宋体"/>
                <w:sz w:val="24"/>
              </w:rPr>
            </w:pPr>
            <w:r>
              <w:rPr>
                <w:rFonts w:hint="eastAsia" w:ascii="宋体" w:hAnsi="宋体"/>
                <w:sz w:val="24"/>
              </w:rPr>
              <w:t>□召开，召开时间：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sz w:val="24"/>
              </w:rPr>
              <w:t>时</w:t>
            </w:r>
            <w:r>
              <w:rPr>
                <w:rFonts w:hint="eastAsia" w:ascii="宋体" w:hAnsi="宋体"/>
                <w:sz w:val="24"/>
                <w:u w:val="single"/>
              </w:rPr>
              <w:t xml:space="preserve">  /  </w:t>
            </w:r>
            <w:r>
              <w:rPr>
                <w:rFonts w:hint="eastAsia" w:ascii="宋体" w:hAnsi="宋体"/>
                <w:bCs/>
                <w:sz w:val="24"/>
              </w:rPr>
              <w:t>分</w:t>
            </w:r>
          </w:p>
          <w:p w14:paraId="04827182">
            <w:pPr>
              <w:jc w:val="left"/>
              <w:rPr>
                <w:rFonts w:ascii="宋体" w:hAnsi="宋体"/>
                <w:sz w:val="24"/>
              </w:rPr>
            </w:pPr>
            <w:r>
              <w:rPr>
                <w:rFonts w:hint="eastAsia" w:ascii="宋体" w:hAnsi="宋体"/>
                <w:sz w:val="24"/>
              </w:rPr>
              <w:t>召开地点：</w:t>
            </w:r>
            <w:r>
              <w:rPr>
                <w:rFonts w:hint="eastAsia" w:ascii="宋体" w:hAnsi="宋体"/>
                <w:sz w:val="24"/>
                <w:u w:val="single"/>
              </w:rPr>
              <w:t xml:space="preserve">   /   </w:t>
            </w:r>
            <w:r>
              <w:rPr>
                <w:rFonts w:hint="eastAsia" w:ascii="宋体" w:hAnsi="宋体"/>
                <w:sz w:val="24"/>
              </w:rPr>
              <w:t>。</w:t>
            </w:r>
          </w:p>
        </w:tc>
      </w:tr>
      <w:tr w14:paraId="0766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4D1AB0F">
            <w:pPr>
              <w:pStyle w:val="11"/>
              <w:jc w:val="center"/>
              <w:rPr>
                <w:b w:val="0"/>
              </w:rPr>
            </w:pPr>
            <w:r>
              <w:rPr>
                <w:b w:val="0"/>
              </w:rPr>
              <w:t>4.1</w:t>
            </w:r>
          </w:p>
        </w:tc>
        <w:tc>
          <w:tcPr>
            <w:tcW w:w="1769" w:type="dxa"/>
            <w:vAlign w:val="center"/>
          </w:tcPr>
          <w:p w14:paraId="5A9C4C85">
            <w:pPr>
              <w:jc w:val="center"/>
              <w:rPr>
                <w:rFonts w:ascii="宋体" w:hAnsi="宋体"/>
                <w:sz w:val="24"/>
              </w:rPr>
            </w:pPr>
            <w:r>
              <w:rPr>
                <w:rFonts w:hint="eastAsia" w:ascii="宋体" w:hAnsi="宋体"/>
                <w:sz w:val="24"/>
              </w:rPr>
              <w:t>样品</w:t>
            </w:r>
          </w:p>
        </w:tc>
        <w:tc>
          <w:tcPr>
            <w:tcW w:w="6425" w:type="dxa"/>
            <w:vAlign w:val="center"/>
          </w:tcPr>
          <w:p w14:paraId="39305DA3">
            <w:pPr>
              <w:jc w:val="left"/>
              <w:rPr>
                <w:rFonts w:ascii="宋体" w:hAnsi="宋体"/>
                <w:sz w:val="24"/>
              </w:rPr>
            </w:pPr>
            <w:r>
              <w:rPr>
                <w:rFonts w:hint="eastAsia" w:ascii="宋体" w:hAnsi="宋体"/>
                <w:sz w:val="24"/>
              </w:rPr>
              <w:t>投标样品递交：</w:t>
            </w:r>
          </w:p>
          <w:p w14:paraId="0F850F75">
            <w:pPr>
              <w:jc w:val="left"/>
              <w:rPr>
                <w:rFonts w:ascii="宋体" w:hAnsi="宋体"/>
                <w:sz w:val="24"/>
              </w:rPr>
            </w:pPr>
            <w:r>
              <w:rPr>
                <w:rFonts w:hint="eastAsia" w:ascii="宋体" w:hAnsi="宋体"/>
                <w:sz w:val="24"/>
              </w:rPr>
              <w:t>■不需要</w:t>
            </w:r>
          </w:p>
          <w:p w14:paraId="7EAEBBCA">
            <w:pPr>
              <w:jc w:val="left"/>
              <w:rPr>
                <w:rFonts w:ascii="宋体" w:hAnsi="宋体"/>
                <w:sz w:val="24"/>
              </w:rPr>
            </w:pPr>
            <w:r>
              <w:rPr>
                <w:rFonts w:hint="eastAsia" w:ascii="宋体" w:hAnsi="宋体"/>
                <w:sz w:val="24"/>
              </w:rPr>
              <w:t>□需要，具体要求如下：</w:t>
            </w:r>
          </w:p>
          <w:p w14:paraId="10672EBE">
            <w:pPr>
              <w:jc w:val="left"/>
              <w:rPr>
                <w:rFonts w:ascii="宋体" w:hAnsi="宋体"/>
                <w:sz w:val="24"/>
                <w:u w:val="single"/>
              </w:rPr>
            </w:pPr>
            <w:r>
              <w:rPr>
                <w:rFonts w:hint="eastAsia" w:ascii="宋体" w:hAnsi="宋体"/>
                <w:sz w:val="24"/>
              </w:rPr>
              <w:t>（1）样品制作的标准和要求：_</w:t>
            </w:r>
            <w:r>
              <w:rPr>
                <w:rFonts w:hint="eastAsia" w:ascii="宋体" w:hAnsi="宋体"/>
                <w:sz w:val="24"/>
                <w:u w:val="single"/>
              </w:rPr>
              <w:t xml:space="preserve">   /   </w:t>
            </w:r>
            <w:r>
              <w:rPr>
                <w:rFonts w:hint="eastAsia" w:ascii="宋体" w:hAnsi="宋体"/>
                <w:sz w:val="24"/>
              </w:rPr>
              <w:t>；</w:t>
            </w:r>
          </w:p>
          <w:p w14:paraId="6178FA53">
            <w:pPr>
              <w:jc w:val="left"/>
              <w:rPr>
                <w:rFonts w:ascii="宋体" w:hAnsi="宋体"/>
                <w:sz w:val="24"/>
              </w:rPr>
            </w:pPr>
            <w:r>
              <w:rPr>
                <w:rFonts w:hint="eastAsia" w:ascii="宋体" w:hAnsi="宋体"/>
                <w:sz w:val="24"/>
              </w:rPr>
              <w:t>（2）是否需要随样品提交相关检测报告：</w:t>
            </w:r>
          </w:p>
          <w:p w14:paraId="7928310B">
            <w:pPr>
              <w:ind w:firstLine="600" w:firstLineChars="250"/>
              <w:jc w:val="left"/>
              <w:rPr>
                <w:rFonts w:ascii="宋体" w:hAnsi="宋体"/>
                <w:sz w:val="24"/>
              </w:rPr>
            </w:pPr>
            <w:r>
              <w:rPr>
                <w:rFonts w:hint="eastAsia" w:ascii="宋体" w:hAnsi="宋体"/>
                <w:sz w:val="24"/>
              </w:rPr>
              <w:t>□不需要</w:t>
            </w:r>
          </w:p>
          <w:p w14:paraId="15EE6C9C">
            <w:pPr>
              <w:ind w:firstLine="600" w:firstLineChars="250"/>
              <w:jc w:val="left"/>
              <w:rPr>
                <w:rFonts w:ascii="宋体" w:hAnsi="宋体"/>
                <w:sz w:val="24"/>
              </w:rPr>
            </w:pPr>
            <w:r>
              <w:rPr>
                <w:rFonts w:hint="eastAsia" w:ascii="宋体" w:hAnsi="宋体"/>
                <w:sz w:val="24"/>
              </w:rPr>
              <w:t>□需要</w:t>
            </w:r>
          </w:p>
          <w:p w14:paraId="76C948A7">
            <w:pPr>
              <w:jc w:val="left"/>
              <w:rPr>
                <w:rFonts w:ascii="宋体" w:hAnsi="宋体"/>
                <w:sz w:val="24"/>
              </w:rPr>
            </w:pPr>
            <w:r>
              <w:rPr>
                <w:rFonts w:hint="eastAsia" w:ascii="宋体" w:hAnsi="宋体"/>
                <w:sz w:val="24"/>
              </w:rPr>
              <w:t>（3）样品递交要求：</w:t>
            </w:r>
            <w:r>
              <w:rPr>
                <w:rFonts w:hint="eastAsia" w:ascii="宋体" w:hAnsi="宋体"/>
                <w:sz w:val="24"/>
                <w:u w:val="single"/>
              </w:rPr>
              <w:t xml:space="preserve">   /   </w:t>
            </w:r>
            <w:r>
              <w:rPr>
                <w:rFonts w:hint="eastAsia" w:ascii="宋体" w:hAnsi="宋体"/>
                <w:sz w:val="24"/>
              </w:rPr>
              <w:t>；</w:t>
            </w:r>
          </w:p>
          <w:p w14:paraId="22F52069">
            <w:pPr>
              <w:jc w:val="left"/>
              <w:rPr>
                <w:rFonts w:ascii="宋体" w:hAnsi="宋体"/>
                <w:sz w:val="24"/>
              </w:rPr>
            </w:pPr>
            <w:r>
              <w:rPr>
                <w:rFonts w:hint="eastAsia" w:ascii="宋体" w:hAnsi="宋体"/>
                <w:sz w:val="24"/>
              </w:rPr>
              <w:t>（4）未中标人样品退还：</w:t>
            </w:r>
            <w:r>
              <w:rPr>
                <w:rFonts w:hint="eastAsia" w:ascii="宋体" w:hAnsi="宋体"/>
                <w:sz w:val="24"/>
                <w:u w:val="single"/>
              </w:rPr>
              <w:t xml:space="preserve">   /   </w:t>
            </w:r>
            <w:r>
              <w:rPr>
                <w:rFonts w:hint="eastAsia" w:ascii="宋体" w:hAnsi="宋体"/>
                <w:sz w:val="24"/>
              </w:rPr>
              <w:t>；</w:t>
            </w:r>
          </w:p>
          <w:p w14:paraId="30E92BCB">
            <w:pPr>
              <w:jc w:val="left"/>
              <w:rPr>
                <w:rFonts w:ascii="宋体" w:hAnsi="宋体"/>
                <w:sz w:val="24"/>
                <w:u w:val="single"/>
              </w:rPr>
            </w:pPr>
            <w:r>
              <w:rPr>
                <w:rFonts w:hint="eastAsia" w:ascii="宋体" w:hAnsi="宋体"/>
                <w:sz w:val="24"/>
              </w:rPr>
              <w:t>（5）中标人样品保管、封存及退还：</w:t>
            </w:r>
            <w:r>
              <w:rPr>
                <w:rFonts w:hint="eastAsia" w:ascii="宋体" w:hAnsi="宋体"/>
                <w:sz w:val="24"/>
                <w:u w:val="single"/>
              </w:rPr>
              <w:t xml:space="preserve">   /   </w:t>
            </w:r>
            <w:r>
              <w:rPr>
                <w:rFonts w:hint="eastAsia" w:ascii="宋体" w:hAnsi="宋体"/>
                <w:sz w:val="24"/>
              </w:rPr>
              <w:t>；</w:t>
            </w:r>
          </w:p>
          <w:p w14:paraId="7C41E7CE">
            <w:pPr>
              <w:jc w:val="left"/>
              <w:rPr>
                <w:rFonts w:ascii="宋体" w:hAnsi="宋体"/>
                <w:sz w:val="24"/>
              </w:rPr>
            </w:pPr>
            <w:r>
              <w:rPr>
                <w:rFonts w:hint="eastAsia" w:ascii="宋体" w:hAnsi="宋体"/>
                <w:sz w:val="24"/>
              </w:rPr>
              <w:t>（6）其他要求（如有）：</w:t>
            </w:r>
            <w:r>
              <w:rPr>
                <w:rFonts w:hint="eastAsia" w:ascii="宋体" w:hAnsi="宋体"/>
                <w:sz w:val="24"/>
                <w:u w:val="single"/>
              </w:rPr>
              <w:t xml:space="preserve">   /   </w:t>
            </w:r>
            <w:r>
              <w:rPr>
                <w:rFonts w:hint="eastAsia" w:ascii="宋体" w:hAnsi="宋体"/>
                <w:sz w:val="24"/>
              </w:rPr>
              <w:t>。</w:t>
            </w:r>
          </w:p>
        </w:tc>
      </w:tr>
      <w:tr w14:paraId="6AA8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B118E06">
            <w:pPr>
              <w:pStyle w:val="11"/>
              <w:jc w:val="center"/>
              <w:rPr>
                <w:b w:val="0"/>
              </w:rPr>
            </w:pPr>
            <w:r>
              <w:rPr>
                <w:b w:val="0"/>
              </w:rPr>
              <w:t>5.2.5</w:t>
            </w:r>
          </w:p>
        </w:tc>
        <w:tc>
          <w:tcPr>
            <w:tcW w:w="1769" w:type="dxa"/>
            <w:vAlign w:val="center"/>
          </w:tcPr>
          <w:p w14:paraId="3B823B1F">
            <w:pPr>
              <w:jc w:val="center"/>
              <w:rPr>
                <w:rFonts w:ascii="宋体" w:hAnsi="宋体"/>
                <w:sz w:val="24"/>
              </w:rPr>
            </w:pPr>
            <w:r>
              <w:rPr>
                <w:rFonts w:hint="eastAsia" w:ascii="宋体" w:hAnsi="宋体"/>
                <w:sz w:val="24"/>
              </w:rPr>
              <w:t>标的所属行业</w:t>
            </w:r>
          </w:p>
        </w:tc>
        <w:tc>
          <w:tcPr>
            <w:tcW w:w="6425" w:type="dxa"/>
            <w:vAlign w:val="center"/>
          </w:tcPr>
          <w:p w14:paraId="0E22DDEB">
            <w:pPr>
              <w:jc w:val="left"/>
              <w:rPr>
                <w:rFonts w:ascii="宋体" w:hAnsi="宋体"/>
                <w:sz w:val="24"/>
              </w:rPr>
            </w:pPr>
            <w:r>
              <w:rPr>
                <w:rFonts w:hint="eastAsia" w:ascii="宋体" w:hAnsi="宋体"/>
                <w:sz w:val="24"/>
              </w:rPr>
              <w:t>本项目采购标的对应的中小企业划分标准所属行业：工业。</w:t>
            </w:r>
          </w:p>
        </w:tc>
      </w:tr>
      <w:tr w14:paraId="2C0D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50758E7">
            <w:pPr>
              <w:pStyle w:val="11"/>
              <w:jc w:val="center"/>
              <w:rPr>
                <w:b w:val="0"/>
              </w:rPr>
            </w:pPr>
            <w:r>
              <w:rPr>
                <w:rFonts w:hint="eastAsia"/>
                <w:b w:val="0"/>
              </w:rPr>
              <w:t>5.8</w:t>
            </w:r>
          </w:p>
        </w:tc>
        <w:tc>
          <w:tcPr>
            <w:tcW w:w="1769" w:type="dxa"/>
            <w:vAlign w:val="center"/>
          </w:tcPr>
          <w:p w14:paraId="15EA8650">
            <w:pPr>
              <w:jc w:val="center"/>
              <w:rPr>
                <w:rFonts w:ascii="宋体" w:hAnsi="宋体"/>
                <w:sz w:val="24"/>
              </w:rPr>
            </w:pPr>
            <w:r>
              <w:rPr>
                <w:rFonts w:hint="eastAsia" w:ascii="宋体" w:hAnsi="宋体" w:cs="宋体"/>
                <w:color w:val="000000"/>
                <w:kern w:val="0"/>
                <w:sz w:val="24"/>
                <w:lang w:bidi="ar"/>
              </w:rPr>
              <w:t>本国产品标准及适用范围</w:t>
            </w:r>
          </w:p>
        </w:tc>
        <w:tc>
          <w:tcPr>
            <w:tcW w:w="6425" w:type="dxa"/>
            <w:vAlign w:val="center"/>
          </w:tcPr>
          <w:p w14:paraId="612F7038">
            <w:pPr>
              <w:widowControl/>
              <w:jc w:val="left"/>
            </w:pPr>
            <w:r>
              <w:rPr>
                <w:rFonts w:hint="eastAsia" w:ascii="宋体" w:hAnsi="宋体" w:cs="宋体"/>
                <w:color w:val="000000"/>
                <w:kern w:val="0"/>
                <w:sz w:val="24"/>
                <w:lang w:bidi="ar"/>
              </w:rPr>
              <w:t>本项目是否适用本国产品标准及适用范围：</w:t>
            </w:r>
          </w:p>
          <w:p w14:paraId="73F10748">
            <w:pPr>
              <w:widowControl/>
              <w:jc w:val="left"/>
            </w:pPr>
            <w:r>
              <w:rPr>
                <w:rFonts w:hint="eastAsia" w:ascii="宋体" w:hAnsi="宋体" w:cs="宋体"/>
                <w:color w:val="000000"/>
                <w:kern w:val="0"/>
                <w:sz w:val="24"/>
                <w:lang w:bidi="ar"/>
              </w:rPr>
              <w:t xml:space="preserve">□是 </w:t>
            </w:r>
          </w:p>
          <w:p w14:paraId="00B1476D">
            <w:pPr>
              <w:widowControl/>
              <w:jc w:val="left"/>
              <w:rPr>
                <w:rFonts w:ascii="宋体" w:hAnsi="宋体"/>
                <w:sz w:val="24"/>
              </w:rPr>
            </w:pPr>
            <w:r>
              <w:rPr>
                <w:rFonts w:hint="eastAsia" w:ascii="宋体" w:hAnsi="宋体" w:cs="宋体"/>
                <w:color w:val="000000"/>
                <w:kern w:val="0"/>
                <w:sz w:val="24"/>
                <w:lang w:bidi="ar"/>
              </w:rPr>
              <w:t>■否</w:t>
            </w:r>
          </w:p>
        </w:tc>
      </w:tr>
      <w:tr w14:paraId="284C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9936E52">
            <w:pPr>
              <w:pStyle w:val="11"/>
              <w:jc w:val="center"/>
              <w:rPr>
                <w:b w:val="0"/>
              </w:rPr>
            </w:pPr>
            <w:r>
              <w:rPr>
                <w:b w:val="0"/>
              </w:rPr>
              <w:t>9.1</w:t>
            </w:r>
          </w:p>
        </w:tc>
        <w:tc>
          <w:tcPr>
            <w:tcW w:w="1769" w:type="dxa"/>
            <w:vAlign w:val="center"/>
          </w:tcPr>
          <w:p w14:paraId="17FBF614">
            <w:pPr>
              <w:jc w:val="center"/>
              <w:rPr>
                <w:rFonts w:ascii="宋体" w:hAnsi="宋体"/>
                <w:sz w:val="24"/>
              </w:rPr>
            </w:pPr>
            <w:r>
              <w:rPr>
                <w:rFonts w:hint="eastAsia" w:ascii="宋体" w:hAnsi="宋体"/>
                <w:sz w:val="24"/>
              </w:rPr>
              <w:t>多个采购包</w:t>
            </w:r>
          </w:p>
        </w:tc>
        <w:tc>
          <w:tcPr>
            <w:tcW w:w="6425" w:type="dxa"/>
            <w:vAlign w:val="center"/>
          </w:tcPr>
          <w:p w14:paraId="381C1487">
            <w:pPr>
              <w:jc w:val="left"/>
              <w:rPr>
                <w:rFonts w:ascii="宋体" w:hAnsi="宋体"/>
                <w:sz w:val="24"/>
              </w:rPr>
            </w:pPr>
            <w:r>
              <w:rPr>
                <w:rFonts w:hint="eastAsia" w:ascii="宋体" w:hAnsi="宋体"/>
                <w:sz w:val="24"/>
              </w:rPr>
              <w:t>是否允许同一投标人中标多个采购包：允许</w:t>
            </w:r>
          </w:p>
        </w:tc>
      </w:tr>
      <w:tr w14:paraId="79BF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0DFDB93">
            <w:pPr>
              <w:jc w:val="center"/>
              <w:rPr>
                <w:rFonts w:ascii="宋体" w:hAnsi="宋体"/>
                <w:sz w:val="24"/>
              </w:rPr>
            </w:pPr>
            <w:r>
              <w:rPr>
                <w:rFonts w:hint="eastAsia" w:ascii="宋体" w:hAnsi="宋体"/>
              </w:rPr>
              <w:br w:type="page"/>
            </w:r>
            <w:r>
              <w:rPr>
                <w:rFonts w:hint="eastAsia" w:ascii="宋体" w:hAnsi="宋体"/>
                <w:sz w:val="24"/>
              </w:rPr>
              <w:t>1</w:t>
            </w:r>
            <w:r>
              <w:rPr>
                <w:rFonts w:ascii="宋体" w:hAnsi="宋体"/>
                <w:sz w:val="24"/>
              </w:rPr>
              <w:t>1.2</w:t>
            </w:r>
          </w:p>
        </w:tc>
        <w:tc>
          <w:tcPr>
            <w:tcW w:w="1769" w:type="dxa"/>
            <w:vAlign w:val="center"/>
          </w:tcPr>
          <w:p w14:paraId="76F7417C">
            <w:pPr>
              <w:jc w:val="center"/>
              <w:rPr>
                <w:rFonts w:ascii="宋体" w:hAnsi="宋体"/>
                <w:sz w:val="24"/>
              </w:rPr>
            </w:pPr>
            <w:r>
              <w:rPr>
                <w:rFonts w:hint="eastAsia" w:ascii="宋体" w:hAnsi="宋体"/>
                <w:sz w:val="24"/>
              </w:rPr>
              <w:t>投标报价</w:t>
            </w:r>
          </w:p>
        </w:tc>
        <w:tc>
          <w:tcPr>
            <w:tcW w:w="6425" w:type="dxa"/>
            <w:vAlign w:val="center"/>
          </w:tcPr>
          <w:p w14:paraId="06981CE6">
            <w:pPr>
              <w:jc w:val="left"/>
              <w:rPr>
                <w:rFonts w:ascii="宋体" w:hAnsi="宋体"/>
                <w:sz w:val="24"/>
              </w:rPr>
            </w:pPr>
            <w:r>
              <w:rPr>
                <w:rFonts w:hint="eastAsia" w:ascii="宋体" w:hAnsi="宋体"/>
                <w:sz w:val="24"/>
              </w:rPr>
              <w:t>投标报价的特殊规定：</w:t>
            </w:r>
          </w:p>
          <w:p w14:paraId="149957EF">
            <w:pPr>
              <w:jc w:val="left"/>
              <w:rPr>
                <w:rFonts w:ascii="宋体" w:hAnsi="宋体"/>
                <w:sz w:val="24"/>
              </w:rPr>
            </w:pPr>
            <w:r>
              <w:rPr>
                <w:rFonts w:hint="eastAsia" w:ascii="宋体" w:hAnsi="宋体"/>
                <w:sz w:val="24"/>
              </w:rPr>
              <w:t>■无</w:t>
            </w:r>
          </w:p>
          <w:p w14:paraId="59CF1E06">
            <w:pPr>
              <w:jc w:val="left"/>
              <w:rPr>
                <w:rFonts w:ascii="宋体" w:hAnsi="宋体"/>
                <w:sz w:val="24"/>
              </w:rPr>
            </w:pPr>
            <w:r>
              <w:rPr>
                <w:rFonts w:hint="eastAsia" w:ascii="宋体" w:hAnsi="宋体"/>
                <w:sz w:val="24"/>
              </w:rPr>
              <w:t>□有，具体情形：</w:t>
            </w:r>
            <w:r>
              <w:rPr>
                <w:rFonts w:hint="eastAsia" w:ascii="宋体" w:hAnsi="宋体"/>
                <w:sz w:val="24"/>
                <w:u w:val="single"/>
              </w:rPr>
              <w:t xml:space="preserve">   /   </w:t>
            </w:r>
            <w:r>
              <w:rPr>
                <w:rFonts w:hint="eastAsia" w:ascii="宋体" w:hAnsi="宋体"/>
                <w:sz w:val="24"/>
              </w:rPr>
              <w:t>。</w:t>
            </w:r>
          </w:p>
        </w:tc>
      </w:tr>
      <w:tr w14:paraId="31E1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C55F130">
            <w:pPr>
              <w:pStyle w:val="11"/>
              <w:jc w:val="center"/>
              <w:rPr>
                <w:b w:val="0"/>
              </w:rPr>
            </w:pPr>
            <w:r>
              <w:rPr>
                <w:b w:val="0"/>
              </w:rPr>
              <w:t>12.1</w:t>
            </w:r>
          </w:p>
        </w:tc>
        <w:tc>
          <w:tcPr>
            <w:tcW w:w="1769" w:type="dxa"/>
            <w:vMerge w:val="restart"/>
            <w:vAlign w:val="center"/>
          </w:tcPr>
          <w:p w14:paraId="1812ACA9">
            <w:pPr>
              <w:jc w:val="center"/>
              <w:rPr>
                <w:rFonts w:ascii="宋体" w:hAnsi="宋体"/>
                <w:sz w:val="24"/>
              </w:rPr>
            </w:pPr>
            <w:r>
              <w:rPr>
                <w:rFonts w:hint="eastAsia" w:ascii="宋体" w:hAnsi="宋体"/>
                <w:sz w:val="24"/>
              </w:rPr>
              <w:t>投标保证金</w:t>
            </w:r>
          </w:p>
        </w:tc>
        <w:tc>
          <w:tcPr>
            <w:tcW w:w="6425" w:type="dxa"/>
            <w:vAlign w:val="center"/>
          </w:tcPr>
          <w:p w14:paraId="1F768A4A">
            <w:pPr>
              <w:pStyle w:val="11"/>
            </w:pPr>
            <w:r>
              <w:t>投标保证金金额：</w:t>
            </w:r>
          </w:p>
          <w:p w14:paraId="21A409E2">
            <w:pPr>
              <w:pStyle w:val="11"/>
              <w:rPr>
                <w:b w:val="0"/>
                <w:bCs w:val="0"/>
              </w:rPr>
            </w:pPr>
            <w:r>
              <w:rPr>
                <w:rFonts w:hint="eastAsia"/>
                <w:b w:val="0"/>
                <w:bCs w:val="0"/>
              </w:rPr>
              <w:t>05</w:t>
            </w:r>
            <w:r>
              <w:rPr>
                <w:b w:val="0"/>
                <w:bCs w:val="0"/>
              </w:rPr>
              <w:t>包投标保证金金额：</w:t>
            </w:r>
            <w:r>
              <w:rPr>
                <w:b w:val="0"/>
                <w:bCs w:val="0"/>
                <w:u w:val="single"/>
              </w:rPr>
              <w:t xml:space="preserve"> </w:t>
            </w:r>
            <w:r>
              <w:rPr>
                <w:rFonts w:hint="eastAsia"/>
                <w:b w:val="0"/>
                <w:bCs w:val="0"/>
                <w:u w:val="single"/>
              </w:rPr>
              <w:t>0.6</w:t>
            </w:r>
            <w:r>
              <w:rPr>
                <w:b w:val="0"/>
                <w:bCs w:val="0"/>
                <w:u w:val="single"/>
              </w:rPr>
              <w:t xml:space="preserve"> </w:t>
            </w:r>
            <w:r>
              <w:rPr>
                <w:b w:val="0"/>
                <w:bCs w:val="0"/>
              </w:rPr>
              <w:t>万元；</w:t>
            </w:r>
          </w:p>
          <w:p w14:paraId="2D1BE424">
            <w:pPr>
              <w:pStyle w:val="11"/>
              <w:rPr>
                <w:b w:val="0"/>
                <w:bCs w:val="0"/>
              </w:rPr>
            </w:pPr>
            <w:r>
              <w:rPr>
                <w:rFonts w:hint="eastAsia"/>
                <w:b w:val="0"/>
                <w:bCs w:val="0"/>
              </w:rPr>
              <w:t>11</w:t>
            </w:r>
            <w:r>
              <w:rPr>
                <w:b w:val="0"/>
                <w:bCs w:val="0"/>
              </w:rPr>
              <w:t>包投标保证金金额：</w:t>
            </w:r>
            <w:r>
              <w:rPr>
                <w:b w:val="0"/>
                <w:bCs w:val="0"/>
                <w:u w:val="single"/>
              </w:rPr>
              <w:t xml:space="preserve"> </w:t>
            </w:r>
            <w:r>
              <w:rPr>
                <w:rFonts w:hint="eastAsia"/>
                <w:b w:val="0"/>
                <w:bCs w:val="0"/>
                <w:u w:val="single"/>
              </w:rPr>
              <w:t>3.3</w:t>
            </w:r>
            <w:r>
              <w:rPr>
                <w:b w:val="0"/>
                <w:bCs w:val="0"/>
                <w:u w:val="single"/>
              </w:rPr>
              <w:t xml:space="preserve"> </w:t>
            </w:r>
            <w:r>
              <w:rPr>
                <w:b w:val="0"/>
                <w:bCs w:val="0"/>
              </w:rPr>
              <w:t>万元；</w:t>
            </w:r>
          </w:p>
          <w:p w14:paraId="220C0608">
            <w:pPr>
              <w:pStyle w:val="11"/>
              <w:rPr>
                <w:b w:val="0"/>
                <w:bCs w:val="0"/>
              </w:rPr>
            </w:pPr>
            <w:r>
              <w:rPr>
                <w:rFonts w:hint="eastAsia"/>
                <w:b w:val="0"/>
                <w:bCs w:val="0"/>
              </w:rPr>
              <w:t>18</w:t>
            </w:r>
            <w:r>
              <w:rPr>
                <w:b w:val="0"/>
                <w:bCs w:val="0"/>
              </w:rPr>
              <w:t>包投标保证金金额：</w:t>
            </w:r>
            <w:r>
              <w:rPr>
                <w:b w:val="0"/>
                <w:bCs w:val="0"/>
                <w:u w:val="single"/>
              </w:rPr>
              <w:t xml:space="preserve"> </w:t>
            </w:r>
            <w:r>
              <w:rPr>
                <w:rFonts w:hint="eastAsia"/>
                <w:b w:val="0"/>
                <w:bCs w:val="0"/>
                <w:u w:val="single"/>
              </w:rPr>
              <w:t>2.0</w:t>
            </w:r>
            <w:r>
              <w:rPr>
                <w:b w:val="0"/>
                <w:bCs w:val="0"/>
                <w:u w:val="single"/>
              </w:rPr>
              <w:t xml:space="preserve"> </w:t>
            </w:r>
            <w:r>
              <w:rPr>
                <w:b w:val="0"/>
                <w:bCs w:val="0"/>
              </w:rPr>
              <w:t>万元；</w:t>
            </w:r>
          </w:p>
          <w:p w14:paraId="7EAD0B89">
            <w:pPr>
              <w:pStyle w:val="11"/>
              <w:rPr>
                <w:b w:val="0"/>
                <w:bCs w:val="0"/>
              </w:rPr>
            </w:pPr>
            <w:r>
              <w:rPr>
                <w:rFonts w:hint="eastAsia"/>
                <w:b w:val="0"/>
                <w:bCs w:val="0"/>
              </w:rPr>
              <w:t>25</w:t>
            </w:r>
            <w:r>
              <w:rPr>
                <w:b w:val="0"/>
                <w:bCs w:val="0"/>
              </w:rPr>
              <w:t>包投标保证金金额：</w:t>
            </w:r>
            <w:r>
              <w:rPr>
                <w:b w:val="0"/>
                <w:bCs w:val="0"/>
                <w:u w:val="single"/>
              </w:rPr>
              <w:t xml:space="preserve"> </w:t>
            </w:r>
            <w:r>
              <w:rPr>
                <w:rFonts w:hint="eastAsia"/>
                <w:b w:val="0"/>
                <w:bCs w:val="0"/>
                <w:u w:val="single"/>
              </w:rPr>
              <w:t>4.9</w:t>
            </w:r>
            <w:r>
              <w:rPr>
                <w:b w:val="0"/>
                <w:bCs w:val="0"/>
                <w:u w:val="single"/>
              </w:rPr>
              <w:t xml:space="preserve"> </w:t>
            </w:r>
            <w:r>
              <w:rPr>
                <w:b w:val="0"/>
                <w:bCs w:val="0"/>
              </w:rPr>
              <w:t>万元；</w:t>
            </w:r>
          </w:p>
          <w:p w14:paraId="4F105F2F">
            <w:pPr>
              <w:pStyle w:val="11"/>
              <w:rPr>
                <w:b w:val="0"/>
                <w:bCs w:val="0"/>
              </w:rPr>
            </w:pPr>
          </w:p>
          <w:p w14:paraId="184CC132">
            <w:pPr>
              <w:jc w:val="left"/>
              <w:rPr>
                <w:rFonts w:ascii="宋体" w:hAnsi="宋体"/>
                <w:sz w:val="24"/>
              </w:rPr>
            </w:pPr>
            <w:r>
              <w:rPr>
                <w:rFonts w:hint="eastAsia" w:ascii="宋体" w:hAnsi="宋体"/>
                <w:sz w:val="24"/>
              </w:rPr>
              <w:t>投标保证金收受人信息：</w:t>
            </w:r>
          </w:p>
          <w:p w14:paraId="539C4F50">
            <w:pPr>
              <w:rPr>
                <w:rFonts w:ascii="宋体" w:hAnsi="宋体" w:cs="宋体"/>
                <w:sz w:val="24"/>
                <w:u w:val="single"/>
              </w:rPr>
            </w:pPr>
            <w:r>
              <w:rPr>
                <w:rFonts w:hint="eastAsia" w:ascii="宋体" w:hAnsi="宋体" w:cs="宋体"/>
                <w:sz w:val="24"/>
                <w:u w:val="single"/>
              </w:rPr>
              <w:t>保证金收款人：北京中兴恒达招标有限公司</w:t>
            </w:r>
          </w:p>
          <w:p w14:paraId="2E9B9A16">
            <w:pPr>
              <w:rPr>
                <w:rFonts w:ascii="宋体" w:hAnsi="宋体" w:cs="宋体"/>
                <w:sz w:val="24"/>
                <w:u w:val="single"/>
              </w:rPr>
            </w:pPr>
            <w:r>
              <w:rPr>
                <w:rFonts w:hint="eastAsia" w:ascii="宋体" w:hAnsi="宋体" w:cs="宋体"/>
                <w:sz w:val="24"/>
                <w:u w:val="single"/>
              </w:rPr>
              <w:t>开 户 行：中国工商银行股份有限公司北京马甸支行</w:t>
            </w:r>
          </w:p>
          <w:p w14:paraId="227318A8">
            <w:pPr>
              <w:rPr>
                <w:rFonts w:ascii="宋体" w:hAnsi="宋体" w:cs="宋体"/>
                <w:sz w:val="24"/>
                <w:u w:val="single"/>
              </w:rPr>
            </w:pPr>
            <w:r>
              <w:rPr>
                <w:rFonts w:hint="eastAsia" w:ascii="宋体" w:hAnsi="宋体" w:cs="宋体"/>
                <w:sz w:val="24"/>
                <w:u w:val="single"/>
              </w:rPr>
              <w:t>账    号：0200025619200063450</w:t>
            </w:r>
          </w:p>
          <w:p w14:paraId="3485B6A1">
            <w:pPr>
              <w:rPr>
                <w:rFonts w:ascii="宋体" w:hAnsi="宋体" w:cs="宋体"/>
                <w:b/>
                <w:bCs/>
                <w:sz w:val="24"/>
                <w:u w:val="single"/>
              </w:rPr>
            </w:pPr>
            <w:r>
              <w:rPr>
                <w:rFonts w:hint="eastAsia" w:ascii="宋体" w:hAnsi="宋体" w:cs="宋体"/>
                <w:b/>
                <w:bCs/>
                <w:sz w:val="24"/>
                <w:u w:val="single"/>
              </w:rPr>
              <w:t>注：投标人以银行转账方式支付投标保证金的，应在汇款时备注“ZXHD26028第几包投标保证金”。</w:t>
            </w:r>
          </w:p>
          <w:p w14:paraId="08BC10EA">
            <w:pPr>
              <w:jc w:val="left"/>
              <w:rPr>
                <w:rFonts w:ascii="宋体" w:hAnsi="宋体"/>
                <w:sz w:val="24"/>
              </w:rPr>
            </w:pPr>
            <w:r>
              <w:rPr>
                <w:rFonts w:hint="eastAsia" w:ascii="宋体" w:hAnsi="宋体" w:cs="宋体"/>
                <w:b/>
                <w:bCs/>
                <w:sz w:val="24"/>
                <w:u w:val="single"/>
              </w:rPr>
              <w:t>特别提醒：采用银行转账方式提交投标保证金的，一般可以实时入账，投标人须确保投标保证金额按时到账。采用支票形式的，投标人则应充分考虑支票入账所需的时间，以确保投标保证金能按时进入指定账户。根据银行信息交换和付款时间，支票从递交至实际入账一般需要4-5个工作日。如因投标人未及时提交支票或提交的支票不符合银行委托收款要求（如污损、折叠、胶装等）等原因而导致投标保证金不能按时进入指定账户的，将按照招标文件第二章 投标人须知第</w:t>
            </w:r>
            <w:r>
              <w:rPr>
                <w:rFonts w:ascii="宋体" w:hAnsi="宋体" w:cs="宋体"/>
                <w:b/>
                <w:bCs/>
                <w:sz w:val="24"/>
                <w:u w:val="single"/>
              </w:rPr>
              <w:t>12.3</w:t>
            </w:r>
            <w:r>
              <w:rPr>
                <w:rFonts w:hint="eastAsia" w:ascii="宋体" w:hAnsi="宋体" w:cs="宋体"/>
                <w:b/>
                <w:bCs/>
                <w:sz w:val="24"/>
                <w:u w:val="single"/>
              </w:rPr>
              <w:t>条的规定处理。</w:t>
            </w:r>
          </w:p>
        </w:tc>
      </w:tr>
      <w:tr w14:paraId="7CF8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4EAB7A7">
            <w:pPr>
              <w:pStyle w:val="11"/>
              <w:jc w:val="center"/>
              <w:rPr>
                <w:b w:val="0"/>
              </w:rPr>
            </w:pPr>
            <w:r>
              <w:rPr>
                <w:b w:val="0"/>
              </w:rPr>
              <w:t>12.8.2</w:t>
            </w:r>
          </w:p>
        </w:tc>
        <w:tc>
          <w:tcPr>
            <w:tcW w:w="1769" w:type="dxa"/>
            <w:vMerge w:val="continue"/>
            <w:vAlign w:val="center"/>
          </w:tcPr>
          <w:p w14:paraId="2B94512B">
            <w:pPr>
              <w:jc w:val="center"/>
              <w:rPr>
                <w:rFonts w:ascii="宋体" w:hAnsi="宋体"/>
                <w:sz w:val="24"/>
              </w:rPr>
            </w:pPr>
          </w:p>
        </w:tc>
        <w:tc>
          <w:tcPr>
            <w:tcW w:w="6425" w:type="dxa"/>
            <w:vAlign w:val="center"/>
          </w:tcPr>
          <w:p w14:paraId="73FAADBE">
            <w:pPr>
              <w:jc w:val="left"/>
              <w:rPr>
                <w:rFonts w:ascii="宋体" w:hAnsi="宋体"/>
                <w:sz w:val="24"/>
              </w:rPr>
            </w:pPr>
            <w:r>
              <w:rPr>
                <w:rFonts w:hint="eastAsia" w:ascii="宋体" w:hAnsi="宋体"/>
                <w:sz w:val="24"/>
              </w:rPr>
              <w:t>投标保证金可以不予退还的其他情形：</w:t>
            </w:r>
          </w:p>
          <w:p w14:paraId="72E84B08">
            <w:pPr>
              <w:jc w:val="left"/>
              <w:rPr>
                <w:rFonts w:ascii="宋体" w:hAnsi="宋体"/>
                <w:sz w:val="24"/>
              </w:rPr>
            </w:pPr>
            <w:r>
              <w:rPr>
                <w:rFonts w:hint="eastAsia" w:ascii="宋体" w:hAnsi="宋体"/>
                <w:sz w:val="24"/>
              </w:rPr>
              <w:t>□无</w:t>
            </w:r>
          </w:p>
          <w:p w14:paraId="5493593B">
            <w:pPr>
              <w:pStyle w:val="11"/>
              <w:rPr>
                <w:b w:val="0"/>
                <w:bCs w:val="0"/>
                <w:u w:val="single"/>
              </w:rPr>
            </w:pPr>
            <w:r>
              <w:rPr>
                <w:b w:val="0"/>
                <w:bCs w:val="0"/>
              </w:rPr>
              <w:t>■有，具体情形：</w:t>
            </w:r>
          </w:p>
          <w:p w14:paraId="33D318DB">
            <w:pPr>
              <w:pStyle w:val="11"/>
              <w:rPr>
                <w:rFonts w:cs="宋体"/>
                <w:b w:val="0"/>
                <w:bCs w:val="0"/>
              </w:rPr>
            </w:pPr>
            <w:r>
              <w:rPr>
                <w:rFonts w:cs="宋体"/>
                <w:b w:val="0"/>
                <w:bCs w:val="0"/>
              </w:rPr>
              <w:t>（1）</w:t>
            </w:r>
            <w:r>
              <w:rPr>
                <w:b w:val="0"/>
                <w:bCs w:val="0"/>
              </w:rPr>
              <w:t>在投标有效期内，</w:t>
            </w:r>
            <w:r>
              <w:rPr>
                <w:rFonts w:cs="宋体"/>
                <w:b w:val="0"/>
                <w:bCs w:val="0"/>
              </w:rPr>
              <w:t>投标人</w:t>
            </w:r>
            <w:r>
              <w:rPr>
                <w:b w:val="0"/>
                <w:bCs w:val="0"/>
              </w:rPr>
              <w:t>擅自撤销投标的；</w:t>
            </w:r>
          </w:p>
          <w:p w14:paraId="446D5D07">
            <w:pPr>
              <w:pStyle w:val="11"/>
              <w:rPr>
                <w:b w:val="0"/>
                <w:bCs w:val="0"/>
              </w:rPr>
            </w:pPr>
            <w:r>
              <w:rPr>
                <w:b w:val="0"/>
                <w:bCs w:val="0"/>
              </w:rPr>
              <w:t>（2）中标人不按规定与采购人签订合同的；</w:t>
            </w:r>
          </w:p>
          <w:p w14:paraId="3296BCB8">
            <w:pPr>
              <w:pStyle w:val="11"/>
              <w:rPr>
                <w:b w:val="0"/>
                <w:bCs w:val="0"/>
              </w:rPr>
            </w:pPr>
            <w:r>
              <w:rPr>
                <w:b w:val="0"/>
                <w:bCs w:val="0"/>
              </w:rPr>
              <w:t>（3）中标人不按招标文件要求提交履约保证金的（如有要求）；</w:t>
            </w:r>
          </w:p>
          <w:p w14:paraId="5BD2BD41">
            <w:pPr>
              <w:pStyle w:val="11"/>
              <w:rPr>
                <w:b w:val="0"/>
                <w:bCs w:val="0"/>
              </w:rPr>
            </w:pPr>
            <w:r>
              <w:rPr>
                <w:b w:val="0"/>
                <w:bCs w:val="0"/>
              </w:rPr>
              <w:t>（4）投标人存在串通投标情形的；</w:t>
            </w:r>
          </w:p>
          <w:p w14:paraId="3EB33B5C">
            <w:pPr>
              <w:jc w:val="left"/>
              <w:rPr>
                <w:rFonts w:ascii="宋体" w:hAnsi="宋体"/>
                <w:sz w:val="24"/>
                <w:u w:val="single"/>
              </w:rPr>
            </w:pPr>
            <w:r>
              <w:rPr>
                <w:rFonts w:hint="eastAsia" w:ascii="宋体" w:hAnsi="宋体" w:cs="宋体"/>
                <w:sz w:val="24"/>
              </w:rPr>
              <w:t>（5）中标人不按招标文件要求缴纳招标代理费的。</w:t>
            </w:r>
          </w:p>
        </w:tc>
      </w:tr>
      <w:tr w14:paraId="029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6FFAB62">
            <w:pPr>
              <w:pStyle w:val="11"/>
              <w:jc w:val="center"/>
              <w:rPr>
                <w:b w:val="0"/>
              </w:rPr>
            </w:pPr>
            <w:r>
              <w:rPr>
                <w:b w:val="0"/>
              </w:rPr>
              <w:t>13.1</w:t>
            </w:r>
          </w:p>
        </w:tc>
        <w:tc>
          <w:tcPr>
            <w:tcW w:w="1769" w:type="dxa"/>
            <w:vAlign w:val="center"/>
          </w:tcPr>
          <w:p w14:paraId="495ED027">
            <w:pPr>
              <w:jc w:val="center"/>
              <w:rPr>
                <w:rFonts w:ascii="宋体" w:hAnsi="宋体"/>
                <w:sz w:val="24"/>
              </w:rPr>
            </w:pPr>
            <w:r>
              <w:rPr>
                <w:rFonts w:hint="eastAsia" w:ascii="宋体" w:hAnsi="宋体"/>
                <w:sz w:val="24"/>
              </w:rPr>
              <w:t>投标有效期</w:t>
            </w:r>
          </w:p>
        </w:tc>
        <w:tc>
          <w:tcPr>
            <w:tcW w:w="6425" w:type="dxa"/>
            <w:vAlign w:val="center"/>
          </w:tcPr>
          <w:p w14:paraId="55644441">
            <w:pPr>
              <w:jc w:val="left"/>
              <w:rPr>
                <w:rFonts w:ascii="宋体" w:hAnsi="宋体"/>
                <w:sz w:val="24"/>
              </w:rPr>
            </w:pPr>
            <w:r>
              <w:rPr>
                <w:rFonts w:hint="eastAsia" w:ascii="宋体" w:hAnsi="宋体"/>
                <w:sz w:val="24"/>
              </w:rPr>
              <w:t>自提交投标文件的截止之日起算</w:t>
            </w:r>
            <w:r>
              <w:rPr>
                <w:rFonts w:hint="eastAsia" w:ascii="宋体" w:hAnsi="宋体"/>
                <w:sz w:val="24"/>
                <w:u w:val="single"/>
              </w:rPr>
              <w:t xml:space="preserve">  90  </w:t>
            </w:r>
            <w:r>
              <w:rPr>
                <w:rFonts w:hint="eastAsia" w:ascii="宋体" w:hAnsi="宋体"/>
                <w:sz w:val="24"/>
              </w:rPr>
              <w:t>日历天。</w:t>
            </w:r>
          </w:p>
        </w:tc>
      </w:tr>
      <w:tr w14:paraId="3841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C06432B">
            <w:pPr>
              <w:ind w:hanging="540"/>
              <w:jc w:val="center"/>
              <w:rPr>
                <w:rFonts w:ascii="宋体" w:hAnsi="宋体"/>
                <w:sz w:val="24"/>
              </w:rPr>
            </w:pPr>
            <w:r>
              <w:rPr>
                <w:rFonts w:hint="eastAsia" w:ascii="宋体" w:hAnsi="宋体"/>
                <w:sz w:val="24"/>
              </w:rPr>
              <w:t>15.1</w:t>
            </w:r>
          </w:p>
        </w:tc>
        <w:tc>
          <w:tcPr>
            <w:tcW w:w="1769" w:type="dxa"/>
            <w:vAlign w:val="center"/>
          </w:tcPr>
          <w:p w14:paraId="374B7BBA">
            <w:pPr>
              <w:jc w:val="center"/>
              <w:rPr>
                <w:rFonts w:ascii="宋体" w:hAnsi="宋体"/>
                <w:sz w:val="24"/>
              </w:rPr>
            </w:pPr>
            <w:r>
              <w:rPr>
                <w:rFonts w:hint="eastAsia" w:ascii="宋体" w:hAnsi="宋体"/>
                <w:sz w:val="24"/>
              </w:rPr>
              <w:t>投标文件的提交</w:t>
            </w:r>
          </w:p>
        </w:tc>
        <w:tc>
          <w:tcPr>
            <w:tcW w:w="6425" w:type="dxa"/>
            <w:vAlign w:val="center"/>
          </w:tcPr>
          <w:p w14:paraId="65D65467">
            <w:pPr>
              <w:jc w:val="left"/>
              <w:rPr>
                <w:rFonts w:ascii="宋体" w:hAnsi="宋体" w:cs="宋体"/>
                <w:sz w:val="24"/>
              </w:rPr>
            </w:pPr>
            <w:r>
              <w:rPr>
                <w:rFonts w:hint="eastAsia" w:ascii="宋体" w:hAnsi="宋体" w:cs="宋体"/>
                <w:sz w:val="24"/>
              </w:rPr>
              <w:t>1.招标文件要求签字的内容（如授权委托书等），可以使用电子签章或使用原件的电子件（电子件指扫描件、照片等形式电子文件）；</w:t>
            </w:r>
          </w:p>
          <w:p w14:paraId="6A70D858">
            <w:pPr>
              <w:jc w:val="left"/>
              <w:rPr>
                <w:rFonts w:ascii="宋体" w:hAnsi="宋体" w:cs="宋体"/>
                <w:sz w:val="24"/>
              </w:rPr>
            </w:pPr>
            <w:r>
              <w:rPr>
                <w:rFonts w:hint="eastAsia" w:ascii="宋体" w:hAnsi="宋体" w:cs="宋体"/>
                <w:sz w:val="24"/>
              </w:rPr>
              <w:t>要求第三方出具的盖章件原件（如联合协议、分包意向协议、制造商授权书等），投标文件中应使用原件的电子件。</w:t>
            </w:r>
          </w:p>
          <w:p w14:paraId="06289B83">
            <w:pPr>
              <w:jc w:val="left"/>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 xml:space="preserve">电子版投标文件上传至北京市政府采购电子交易平台。 </w:t>
            </w:r>
          </w:p>
          <w:p w14:paraId="5EE2A783">
            <w:pPr>
              <w:widowControl/>
              <w:jc w:val="left"/>
              <w:rPr>
                <w:rFonts w:ascii="宋体" w:hAnsi="宋体" w:cs="宋体"/>
                <w:sz w:val="24"/>
              </w:rPr>
            </w:pPr>
            <w:r>
              <w:rPr>
                <w:rFonts w:hint="eastAsia" w:ascii="宋体" w:hAnsi="宋体" w:cs="宋体"/>
                <w:sz w:val="24"/>
              </w:rPr>
              <w:t>3.</w:t>
            </w:r>
            <w:r>
              <w:rPr>
                <w:rFonts w:ascii="宋体" w:hAnsi="宋体" w:cs="宋体"/>
                <w:sz w:val="24"/>
              </w:rPr>
              <w:t>不按照</w:t>
            </w:r>
            <w:r>
              <w:rPr>
                <w:rFonts w:hint="eastAsia" w:ascii="宋体" w:hAnsi="宋体" w:cs="宋体"/>
                <w:sz w:val="24"/>
              </w:rPr>
              <w:t>招标</w:t>
            </w:r>
            <w:r>
              <w:rPr>
                <w:rFonts w:ascii="宋体" w:hAnsi="宋体" w:cs="宋体"/>
                <w:sz w:val="24"/>
              </w:rPr>
              <w:t>文件要求上传电子版及递投标文件</w:t>
            </w:r>
            <w:r>
              <w:rPr>
                <w:rFonts w:hint="eastAsia" w:ascii="宋体" w:hAnsi="宋体" w:cs="宋体"/>
                <w:sz w:val="24"/>
              </w:rPr>
              <w:t>电子版</w:t>
            </w:r>
            <w:r>
              <w:rPr>
                <w:rFonts w:ascii="宋体" w:hAnsi="宋体" w:cs="宋体"/>
                <w:sz w:val="24"/>
              </w:rPr>
              <w:t xml:space="preserve">的，采购人均不予受理。 </w:t>
            </w:r>
          </w:p>
        </w:tc>
      </w:tr>
      <w:tr w14:paraId="7C98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73DF231">
            <w:pPr>
              <w:jc w:val="center"/>
              <w:rPr>
                <w:rFonts w:ascii="宋体" w:hAnsi="宋体"/>
                <w:sz w:val="24"/>
              </w:rPr>
            </w:pPr>
            <w:r>
              <w:rPr>
                <w:rFonts w:hint="eastAsia" w:ascii="宋体" w:hAnsi="宋体"/>
                <w:sz w:val="24"/>
              </w:rPr>
              <w:t>18.2</w:t>
            </w:r>
          </w:p>
        </w:tc>
        <w:tc>
          <w:tcPr>
            <w:tcW w:w="1769" w:type="dxa"/>
            <w:vAlign w:val="center"/>
          </w:tcPr>
          <w:p w14:paraId="5E812142">
            <w:pPr>
              <w:jc w:val="center"/>
              <w:rPr>
                <w:rFonts w:ascii="宋体" w:hAnsi="宋体"/>
                <w:sz w:val="24"/>
              </w:rPr>
            </w:pPr>
            <w:r>
              <w:rPr>
                <w:rFonts w:hint="eastAsia" w:ascii="宋体" w:hAnsi="宋体"/>
                <w:sz w:val="24"/>
              </w:rPr>
              <w:t>解密时间</w:t>
            </w:r>
          </w:p>
        </w:tc>
        <w:tc>
          <w:tcPr>
            <w:tcW w:w="6425" w:type="dxa"/>
            <w:vAlign w:val="center"/>
          </w:tcPr>
          <w:p w14:paraId="1AE5CA8E">
            <w:pPr>
              <w:pStyle w:val="11"/>
              <w:rPr>
                <w:b w:val="0"/>
              </w:rPr>
            </w:pPr>
            <w:r>
              <w:rPr>
                <w:b w:val="0"/>
              </w:rPr>
              <w:t>解密时间：30分钟</w:t>
            </w:r>
          </w:p>
        </w:tc>
      </w:tr>
      <w:tr w14:paraId="368F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BD26502">
            <w:pPr>
              <w:pStyle w:val="11"/>
              <w:jc w:val="center"/>
              <w:rPr>
                <w:b w:val="0"/>
              </w:rPr>
            </w:pPr>
            <w:r>
              <w:rPr>
                <w:b w:val="0"/>
              </w:rPr>
              <w:t>22.1</w:t>
            </w:r>
          </w:p>
        </w:tc>
        <w:tc>
          <w:tcPr>
            <w:tcW w:w="1769" w:type="dxa"/>
            <w:vAlign w:val="center"/>
          </w:tcPr>
          <w:p w14:paraId="5179F456">
            <w:pPr>
              <w:jc w:val="center"/>
              <w:rPr>
                <w:rFonts w:ascii="宋体" w:hAnsi="宋体"/>
                <w:sz w:val="24"/>
              </w:rPr>
            </w:pPr>
            <w:r>
              <w:rPr>
                <w:rFonts w:hint="eastAsia" w:ascii="宋体" w:hAnsi="宋体"/>
                <w:sz w:val="24"/>
              </w:rPr>
              <w:t>确定中标人</w:t>
            </w:r>
          </w:p>
        </w:tc>
        <w:tc>
          <w:tcPr>
            <w:tcW w:w="6425" w:type="dxa"/>
            <w:vAlign w:val="center"/>
          </w:tcPr>
          <w:p w14:paraId="4E9F75C3">
            <w:pPr>
              <w:pStyle w:val="11"/>
              <w:rPr>
                <w:b w:val="0"/>
              </w:rPr>
            </w:pPr>
            <w:r>
              <w:rPr>
                <w:b w:val="0"/>
              </w:rPr>
              <w:t>采购人是否委托评标委员会直接确定中标人：</w:t>
            </w:r>
          </w:p>
          <w:p w14:paraId="5675909B">
            <w:pPr>
              <w:pStyle w:val="11"/>
              <w:rPr>
                <w:b w:val="0"/>
              </w:rPr>
            </w:pPr>
            <w:r>
              <w:rPr>
                <w:b w:val="0"/>
              </w:rPr>
              <w:t>■否</w:t>
            </w:r>
          </w:p>
          <w:p w14:paraId="7739712F">
            <w:pPr>
              <w:pStyle w:val="11"/>
              <w:rPr>
                <w:b w:val="0"/>
              </w:rPr>
            </w:pPr>
            <w:r>
              <w:rPr>
                <w:b w:val="0"/>
              </w:rPr>
              <w:t>□是</w:t>
            </w:r>
          </w:p>
          <w:p w14:paraId="71B800F9">
            <w:pPr>
              <w:pStyle w:val="11"/>
              <w:rPr>
                <w:b w:val="0"/>
              </w:rPr>
            </w:pPr>
            <w:r>
              <w:rPr>
                <w:b w:val="0"/>
              </w:rPr>
              <w:t>中标候选人并列的，按照以下方式确定中标人：</w:t>
            </w:r>
          </w:p>
          <w:p w14:paraId="3B0A35B0">
            <w:pPr>
              <w:pStyle w:val="11"/>
              <w:rPr>
                <w:b w:val="0"/>
              </w:rPr>
            </w:pPr>
            <w:r>
              <w:rPr>
                <w:b w:val="0"/>
              </w:rPr>
              <w:t>■得分相同的，以投标报价低者为中标人；得分且投标报价均相同的，以</w:t>
            </w:r>
            <w:r>
              <w:rPr>
                <w:b w:val="0"/>
                <w:u w:val="single"/>
              </w:rPr>
              <w:t>第四章 “二、评标标准”技术部分</w:t>
            </w:r>
            <w:r>
              <w:rPr>
                <w:b w:val="0"/>
              </w:rPr>
              <w:t>得分高者为中标人；得分、投标报价相同且技术部分得分也相同的，由评标委员会在评现场随机抽取。</w:t>
            </w:r>
          </w:p>
          <w:p w14:paraId="11BA63B4">
            <w:pPr>
              <w:jc w:val="left"/>
              <w:rPr>
                <w:rFonts w:ascii="宋体" w:hAnsi="宋体"/>
                <w:sz w:val="24"/>
                <w:u w:val="single"/>
              </w:rPr>
            </w:pPr>
            <w:r>
              <w:rPr>
                <w:rFonts w:hint="eastAsia" w:ascii="宋体" w:hAnsi="宋体"/>
                <w:sz w:val="24"/>
              </w:rPr>
              <w:t>□随机抽取</w:t>
            </w:r>
          </w:p>
        </w:tc>
      </w:tr>
      <w:tr w14:paraId="6A71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3EA577CC">
            <w:pPr>
              <w:pStyle w:val="11"/>
              <w:jc w:val="center"/>
              <w:rPr>
                <w:b w:val="0"/>
              </w:rPr>
            </w:pPr>
            <w:r>
              <w:rPr>
                <w:b w:val="0"/>
              </w:rPr>
              <w:t>25.5</w:t>
            </w:r>
          </w:p>
        </w:tc>
        <w:tc>
          <w:tcPr>
            <w:tcW w:w="1769" w:type="dxa"/>
            <w:vAlign w:val="center"/>
          </w:tcPr>
          <w:p w14:paraId="6CF19B08">
            <w:pPr>
              <w:jc w:val="center"/>
              <w:rPr>
                <w:rFonts w:ascii="宋体" w:hAnsi="宋体"/>
                <w:sz w:val="24"/>
              </w:rPr>
            </w:pPr>
            <w:r>
              <w:rPr>
                <w:rFonts w:hint="eastAsia" w:ascii="宋体" w:hAnsi="宋体"/>
                <w:sz w:val="24"/>
              </w:rPr>
              <w:t>分包</w:t>
            </w:r>
          </w:p>
        </w:tc>
        <w:tc>
          <w:tcPr>
            <w:tcW w:w="6425" w:type="dxa"/>
            <w:vAlign w:val="center"/>
          </w:tcPr>
          <w:p w14:paraId="0BD57E84">
            <w:pPr>
              <w:jc w:val="left"/>
              <w:rPr>
                <w:rFonts w:ascii="宋体" w:hAnsi="宋体"/>
                <w:sz w:val="24"/>
              </w:rPr>
            </w:pPr>
            <w:r>
              <w:rPr>
                <w:rFonts w:hint="eastAsia" w:ascii="宋体" w:hAnsi="宋体"/>
                <w:sz w:val="24"/>
              </w:rPr>
              <w:t>本项目的非主体、非关键性工作是否允许分包：</w:t>
            </w:r>
          </w:p>
          <w:p w14:paraId="18634421">
            <w:pPr>
              <w:jc w:val="left"/>
              <w:rPr>
                <w:rFonts w:ascii="宋体" w:hAnsi="宋体"/>
                <w:sz w:val="24"/>
              </w:rPr>
            </w:pPr>
            <w:r>
              <w:rPr>
                <w:rFonts w:hint="eastAsia" w:ascii="宋体" w:hAnsi="宋体"/>
                <w:sz w:val="24"/>
              </w:rPr>
              <w:t>■不允许</w:t>
            </w:r>
          </w:p>
          <w:p w14:paraId="333965FA">
            <w:pPr>
              <w:jc w:val="left"/>
              <w:rPr>
                <w:rFonts w:ascii="宋体" w:hAnsi="宋体"/>
                <w:sz w:val="24"/>
              </w:rPr>
            </w:pPr>
            <w:r>
              <w:rPr>
                <w:rFonts w:hint="eastAsia" w:ascii="宋体" w:hAnsi="宋体"/>
                <w:sz w:val="24"/>
              </w:rPr>
              <w:t>□允许，具体要求：</w:t>
            </w:r>
          </w:p>
          <w:p w14:paraId="3C0A064E">
            <w:pPr>
              <w:jc w:val="left"/>
              <w:rPr>
                <w:rFonts w:ascii="宋体" w:hAnsi="宋体"/>
                <w:sz w:val="24"/>
              </w:rPr>
            </w:pPr>
            <w:r>
              <w:rPr>
                <w:rFonts w:hint="eastAsia" w:ascii="宋体" w:hAnsi="宋体"/>
                <w:sz w:val="24"/>
              </w:rPr>
              <w:t>（1）可以分包履行的具体内容：</w:t>
            </w:r>
            <w:r>
              <w:rPr>
                <w:rFonts w:hint="eastAsia" w:ascii="宋体" w:hAnsi="宋体"/>
                <w:sz w:val="24"/>
                <w:u w:val="single"/>
              </w:rPr>
              <w:t xml:space="preserve">   /   </w:t>
            </w:r>
            <w:r>
              <w:rPr>
                <w:rFonts w:hint="eastAsia" w:ascii="宋体" w:hAnsi="宋体"/>
                <w:sz w:val="24"/>
              </w:rPr>
              <w:t>；</w:t>
            </w:r>
          </w:p>
          <w:p w14:paraId="67A0BA0C">
            <w:pPr>
              <w:jc w:val="left"/>
              <w:rPr>
                <w:rFonts w:ascii="宋体" w:hAnsi="宋体"/>
                <w:sz w:val="24"/>
              </w:rPr>
            </w:pPr>
            <w:r>
              <w:rPr>
                <w:rFonts w:hint="eastAsia" w:ascii="宋体" w:hAnsi="宋体"/>
                <w:sz w:val="24"/>
              </w:rPr>
              <w:t>（2）允许分包的金额或者比例：</w:t>
            </w:r>
            <w:r>
              <w:rPr>
                <w:rFonts w:hint="eastAsia" w:ascii="宋体" w:hAnsi="宋体"/>
                <w:sz w:val="24"/>
                <w:u w:val="single"/>
              </w:rPr>
              <w:t xml:space="preserve">   /   </w:t>
            </w:r>
            <w:r>
              <w:rPr>
                <w:rFonts w:hint="eastAsia" w:ascii="宋体" w:hAnsi="宋体"/>
                <w:sz w:val="24"/>
              </w:rPr>
              <w:t>；</w:t>
            </w:r>
          </w:p>
          <w:p w14:paraId="1C0E44CA">
            <w:pPr>
              <w:jc w:val="left"/>
              <w:rPr>
                <w:rFonts w:ascii="宋体" w:hAnsi="宋体"/>
                <w:sz w:val="24"/>
                <w:u w:val="single"/>
              </w:rPr>
            </w:pPr>
            <w:r>
              <w:rPr>
                <w:rFonts w:hint="eastAsia" w:ascii="宋体" w:hAnsi="宋体"/>
                <w:sz w:val="24"/>
              </w:rPr>
              <w:t>（3）其他要求：</w:t>
            </w:r>
            <w:r>
              <w:rPr>
                <w:rFonts w:hint="eastAsia" w:ascii="宋体" w:hAnsi="宋体"/>
                <w:sz w:val="24"/>
                <w:u w:val="single"/>
              </w:rPr>
              <w:t xml:space="preserve">   /   </w:t>
            </w:r>
            <w:r>
              <w:rPr>
                <w:rFonts w:hint="eastAsia" w:ascii="宋体" w:hAnsi="宋体"/>
                <w:sz w:val="24"/>
              </w:rPr>
              <w:t>。</w:t>
            </w:r>
          </w:p>
        </w:tc>
      </w:tr>
      <w:tr w14:paraId="7091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7BED18D">
            <w:pPr>
              <w:pStyle w:val="11"/>
              <w:jc w:val="center"/>
              <w:rPr>
                <w:b w:val="0"/>
              </w:rPr>
            </w:pPr>
            <w:r>
              <w:rPr>
                <w:b w:val="0"/>
              </w:rPr>
              <w:t>25.6</w:t>
            </w:r>
          </w:p>
        </w:tc>
        <w:tc>
          <w:tcPr>
            <w:tcW w:w="1769" w:type="dxa"/>
            <w:vAlign w:val="center"/>
          </w:tcPr>
          <w:p w14:paraId="5E79CEA9">
            <w:pPr>
              <w:jc w:val="center"/>
              <w:rPr>
                <w:rFonts w:ascii="宋体" w:hAnsi="宋体"/>
                <w:sz w:val="24"/>
              </w:rPr>
            </w:pPr>
            <w:r>
              <w:rPr>
                <w:rFonts w:hint="eastAsia" w:ascii="宋体" w:hAnsi="宋体"/>
                <w:sz w:val="24"/>
              </w:rPr>
              <w:t>政采贷</w:t>
            </w:r>
          </w:p>
        </w:tc>
        <w:tc>
          <w:tcPr>
            <w:tcW w:w="6425" w:type="dxa"/>
            <w:vAlign w:val="center"/>
          </w:tcPr>
          <w:p w14:paraId="01FA0B54">
            <w:pPr>
              <w:jc w:val="left"/>
              <w:rPr>
                <w:rFonts w:ascii="宋体" w:hAnsi="宋体"/>
                <w:sz w:val="24"/>
              </w:rPr>
            </w:pPr>
            <w:r>
              <w:rPr>
                <w:rFonts w:hint="eastAsia" w:ascii="宋体" w:hAnsi="宋体"/>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8E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2FD0F2E">
            <w:pPr>
              <w:pStyle w:val="11"/>
              <w:jc w:val="center"/>
              <w:rPr>
                <w:b w:val="0"/>
              </w:rPr>
            </w:pPr>
            <w:r>
              <w:rPr>
                <w:b w:val="0"/>
              </w:rPr>
              <w:t>26.1.1</w:t>
            </w:r>
          </w:p>
        </w:tc>
        <w:tc>
          <w:tcPr>
            <w:tcW w:w="1769" w:type="dxa"/>
            <w:vAlign w:val="center"/>
          </w:tcPr>
          <w:p w14:paraId="113C18AD">
            <w:pPr>
              <w:jc w:val="center"/>
              <w:rPr>
                <w:rFonts w:ascii="宋体" w:hAnsi="宋体"/>
                <w:sz w:val="24"/>
              </w:rPr>
            </w:pPr>
            <w:r>
              <w:rPr>
                <w:rFonts w:hint="eastAsia" w:ascii="宋体" w:hAnsi="宋体"/>
                <w:sz w:val="24"/>
              </w:rPr>
              <w:t>询问</w:t>
            </w:r>
          </w:p>
        </w:tc>
        <w:tc>
          <w:tcPr>
            <w:tcW w:w="6425" w:type="dxa"/>
            <w:vAlign w:val="center"/>
          </w:tcPr>
          <w:p w14:paraId="498B6AD5">
            <w:pPr>
              <w:jc w:val="left"/>
              <w:rPr>
                <w:rFonts w:ascii="宋体" w:hAnsi="宋体"/>
                <w:sz w:val="24"/>
              </w:rPr>
            </w:pPr>
            <w:r>
              <w:rPr>
                <w:rFonts w:hint="eastAsia" w:ascii="宋体" w:hAnsi="宋体"/>
                <w:sz w:val="24"/>
              </w:rPr>
              <w:t>询问提出形式：电话或邮件</w:t>
            </w:r>
          </w:p>
        </w:tc>
      </w:tr>
      <w:tr w14:paraId="432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F4F5809">
            <w:pPr>
              <w:pStyle w:val="11"/>
              <w:jc w:val="center"/>
              <w:rPr>
                <w:b w:val="0"/>
              </w:rPr>
            </w:pPr>
            <w:r>
              <w:rPr>
                <w:b w:val="0"/>
              </w:rPr>
              <w:t>26.3</w:t>
            </w:r>
          </w:p>
        </w:tc>
        <w:tc>
          <w:tcPr>
            <w:tcW w:w="1769" w:type="dxa"/>
            <w:vAlign w:val="center"/>
          </w:tcPr>
          <w:p w14:paraId="01F12F4F">
            <w:pPr>
              <w:jc w:val="center"/>
              <w:rPr>
                <w:rFonts w:ascii="宋体" w:hAnsi="宋体"/>
                <w:sz w:val="24"/>
              </w:rPr>
            </w:pPr>
            <w:r>
              <w:rPr>
                <w:rFonts w:hint="eastAsia" w:ascii="宋体" w:hAnsi="宋体"/>
                <w:sz w:val="24"/>
              </w:rPr>
              <w:t>联系方式</w:t>
            </w:r>
          </w:p>
        </w:tc>
        <w:tc>
          <w:tcPr>
            <w:tcW w:w="6425" w:type="dxa"/>
            <w:vAlign w:val="center"/>
          </w:tcPr>
          <w:p w14:paraId="1CB09B9B">
            <w:pPr>
              <w:jc w:val="left"/>
              <w:rPr>
                <w:rFonts w:ascii="宋体" w:hAnsi="宋体"/>
                <w:sz w:val="24"/>
              </w:rPr>
            </w:pPr>
            <w:r>
              <w:rPr>
                <w:rFonts w:hint="eastAsia" w:ascii="宋体" w:hAnsi="宋体"/>
                <w:sz w:val="24"/>
              </w:rPr>
              <w:t>接收询问和质疑的联系方式</w:t>
            </w:r>
          </w:p>
          <w:p w14:paraId="3E4E3BBD">
            <w:pPr>
              <w:jc w:val="left"/>
              <w:rPr>
                <w:rFonts w:ascii="宋体" w:hAnsi="宋体"/>
                <w:sz w:val="24"/>
              </w:rPr>
            </w:pPr>
            <w:r>
              <w:rPr>
                <w:rFonts w:hint="eastAsia" w:ascii="宋体" w:hAnsi="宋体"/>
                <w:sz w:val="24"/>
              </w:rPr>
              <w:t>联系部门：</w:t>
            </w:r>
            <w:r>
              <w:rPr>
                <w:rFonts w:hint="eastAsia" w:ascii="宋体" w:hAnsi="宋体"/>
                <w:sz w:val="24"/>
                <w:u w:val="single"/>
              </w:rPr>
              <w:t>北京中兴恒达招标有限公司综合部</w:t>
            </w:r>
            <w:r>
              <w:rPr>
                <w:rFonts w:hint="eastAsia" w:ascii="宋体" w:hAnsi="宋体"/>
                <w:sz w:val="24"/>
              </w:rPr>
              <w:t>；</w:t>
            </w:r>
          </w:p>
          <w:p w14:paraId="5A569581">
            <w:pPr>
              <w:jc w:val="left"/>
              <w:rPr>
                <w:rFonts w:ascii="宋体" w:hAnsi="宋体"/>
                <w:sz w:val="24"/>
              </w:rPr>
            </w:pPr>
            <w:r>
              <w:rPr>
                <w:rFonts w:hint="eastAsia" w:ascii="宋体" w:hAnsi="宋体"/>
                <w:sz w:val="24"/>
              </w:rPr>
              <w:t>联系电话：</w:t>
            </w:r>
            <w:r>
              <w:rPr>
                <w:rFonts w:hint="eastAsia" w:ascii="宋体" w:hAnsi="宋体"/>
                <w:sz w:val="24"/>
                <w:u w:val="single"/>
              </w:rPr>
              <w:t>010-8225 0125</w:t>
            </w:r>
            <w:r>
              <w:rPr>
                <w:rFonts w:hint="eastAsia" w:ascii="宋体" w:hAnsi="宋体"/>
                <w:sz w:val="24"/>
              </w:rPr>
              <w:t>；</w:t>
            </w:r>
          </w:p>
          <w:p w14:paraId="46B25985">
            <w:pPr>
              <w:jc w:val="left"/>
              <w:rPr>
                <w:rFonts w:ascii="宋体" w:hAnsi="宋体"/>
                <w:sz w:val="24"/>
              </w:rPr>
            </w:pPr>
            <w:r>
              <w:rPr>
                <w:rFonts w:hint="eastAsia" w:ascii="宋体" w:hAnsi="宋体"/>
                <w:sz w:val="24"/>
              </w:rPr>
              <w:t>通讯地址：</w:t>
            </w:r>
            <w:r>
              <w:rPr>
                <w:rFonts w:hint="eastAsia" w:ascii="宋体" w:hAnsi="宋体"/>
                <w:sz w:val="24"/>
                <w:u w:val="single"/>
              </w:rPr>
              <w:t>北京市朝阳区裕民路12号元辰鑫大厦E1座424室</w:t>
            </w:r>
            <w:r>
              <w:rPr>
                <w:rFonts w:hint="eastAsia" w:ascii="宋体" w:hAnsi="宋体"/>
                <w:sz w:val="24"/>
              </w:rPr>
              <w:t>。</w:t>
            </w:r>
          </w:p>
        </w:tc>
      </w:tr>
      <w:tr w14:paraId="45FD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60134E0">
            <w:pPr>
              <w:pStyle w:val="11"/>
              <w:jc w:val="center"/>
              <w:rPr>
                <w:b w:val="0"/>
              </w:rPr>
            </w:pPr>
            <w:r>
              <w:rPr>
                <w:b w:val="0"/>
              </w:rPr>
              <w:t>27.1</w:t>
            </w:r>
          </w:p>
        </w:tc>
        <w:tc>
          <w:tcPr>
            <w:tcW w:w="1769" w:type="dxa"/>
            <w:tcBorders>
              <w:top w:val="single" w:color="auto" w:sz="4" w:space="0"/>
              <w:left w:val="single" w:color="auto" w:sz="4" w:space="0"/>
              <w:bottom w:val="single" w:color="auto" w:sz="4" w:space="0"/>
              <w:right w:val="single" w:color="auto" w:sz="4" w:space="0"/>
            </w:tcBorders>
            <w:vAlign w:val="center"/>
          </w:tcPr>
          <w:p w14:paraId="575674AD">
            <w:pPr>
              <w:jc w:val="center"/>
              <w:rPr>
                <w:rFonts w:ascii="宋体" w:hAnsi="宋体"/>
                <w:sz w:val="24"/>
              </w:rPr>
            </w:pPr>
            <w:r>
              <w:rPr>
                <w:rFonts w:hint="eastAsia" w:ascii="宋体" w:hAnsi="宋体"/>
                <w:sz w:val="24"/>
              </w:rPr>
              <w:t>代理费</w:t>
            </w:r>
          </w:p>
        </w:tc>
        <w:tc>
          <w:tcPr>
            <w:tcW w:w="6425" w:type="dxa"/>
            <w:tcBorders>
              <w:top w:val="single" w:color="auto" w:sz="4" w:space="0"/>
              <w:left w:val="single" w:color="auto" w:sz="4" w:space="0"/>
              <w:bottom w:val="single" w:color="auto" w:sz="4" w:space="0"/>
              <w:right w:val="single" w:color="auto" w:sz="4" w:space="0"/>
            </w:tcBorders>
            <w:vAlign w:val="center"/>
          </w:tcPr>
          <w:p w14:paraId="2AC701FE">
            <w:pPr>
              <w:jc w:val="left"/>
              <w:rPr>
                <w:rFonts w:ascii="宋体" w:hAnsi="宋体"/>
                <w:sz w:val="24"/>
              </w:rPr>
            </w:pPr>
            <w:r>
              <w:rPr>
                <w:rFonts w:hint="eastAsia" w:ascii="宋体" w:hAnsi="宋体"/>
                <w:sz w:val="24"/>
              </w:rPr>
              <w:t>收费对象：□采购人  ■中标人</w:t>
            </w:r>
          </w:p>
          <w:p w14:paraId="2FA42B64">
            <w:pPr>
              <w:jc w:val="left"/>
              <w:rPr>
                <w:rFonts w:ascii="宋体" w:hAnsi="宋体"/>
                <w:sz w:val="24"/>
                <w:u w:val="single"/>
              </w:rPr>
            </w:pPr>
            <w:r>
              <w:rPr>
                <w:rFonts w:hint="eastAsia" w:ascii="宋体" w:hAnsi="宋体"/>
                <w:sz w:val="24"/>
              </w:rPr>
              <w:t>收费标准：</w:t>
            </w:r>
            <w:r>
              <w:rPr>
                <w:rFonts w:hint="eastAsia" w:ascii="宋体" w:hAnsi="宋体" w:cs="宋体"/>
                <w:sz w:val="24"/>
              </w:rPr>
              <w:t>招标代理费</w:t>
            </w:r>
            <w:r>
              <w:rPr>
                <w:rFonts w:hint="eastAsia" w:ascii="宋体" w:hAnsi="宋体"/>
                <w:sz w:val="24"/>
              </w:rPr>
              <w:t>参照原国家计委计价格【2002】1980号文和国家发改委发改办价格【2003】857号文的标准收取，具体如下：</w:t>
            </w:r>
          </w:p>
          <w:tbl>
            <w:tblPr>
              <w:tblStyle w:val="24"/>
              <w:tblW w:w="6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1100"/>
              <w:gridCol w:w="988"/>
              <w:gridCol w:w="1134"/>
            </w:tblGrid>
            <w:tr w14:paraId="2B34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993" w:type="dxa"/>
                </w:tcPr>
                <w:p w14:paraId="4821650F">
                  <w:pPr>
                    <w:rPr>
                      <w:rFonts w:ascii="宋体" w:hAnsi="宋体" w:cs="宋体"/>
                      <w:sz w:val="24"/>
                    </w:rPr>
                  </w:pPr>
                  <w:r>
                    <w:rPr>
                      <w:rFonts w:ascii="宋体" w:hAnsi="宋体" w:cs="宋体"/>
                      <w:sz w:val="24"/>
                    </w:rPr>
                    <mc:AlternateContent>
                      <mc:Choice Requires="wps">
                        <w:drawing>
                          <wp:anchor distT="0" distB="0" distL="0" distR="0" simplePos="0" relativeHeight="251659264" behindDoc="0" locked="0" layoutInCell="1" allowOverlap="1">
                            <wp:simplePos x="0" y="0"/>
                            <wp:positionH relativeFrom="column">
                              <wp:posOffset>552450</wp:posOffset>
                            </wp:positionH>
                            <wp:positionV relativeFrom="paragraph">
                              <wp:posOffset>1270</wp:posOffset>
                            </wp:positionV>
                            <wp:extent cx="1299210" cy="631825"/>
                            <wp:effectExtent l="3175" t="6985" r="12065" b="8890"/>
                            <wp:wrapNone/>
                            <wp:docPr id="1026" name="直接连接符 1"/>
                            <wp:cNvGraphicFramePr/>
                            <a:graphic xmlns:a="http://schemas.openxmlformats.org/drawingml/2006/main">
                              <a:graphicData uri="http://schemas.microsoft.com/office/word/2010/wordprocessingShape">
                                <wps:wsp>
                                  <wps:cNvCnPr/>
                                  <wps:spPr>
                                    <a:xfrm flipH="1" flipV="1">
                                      <a:off x="0" y="0"/>
                                      <a:ext cx="1299210" cy="631825"/>
                                    </a:xfrm>
                                    <a:prstGeom prst="line">
                                      <a:avLst/>
                                    </a:prstGeom>
                                    <a:ln w="15875" cap="flat" cmpd="sng">
                                      <a:solidFill>
                                        <a:srgbClr val="739CC3"/>
                                      </a:solidFill>
                                      <a:prstDash val="solid"/>
                                      <a:round/>
                                      <a:headEnd type="none" w="med" len="med"/>
                                      <a:tailEnd type="none" w="med" len="med"/>
                                    </a:ln>
                                  </wps:spPr>
                                  <wps:bodyPr/>
                                </wps:wsp>
                              </a:graphicData>
                            </a:graphic>
                          </wp:anchor>
                        </w:drawing>
                      </mc:Choice>
                      <mc:Fallback>
                        <w:pict>
                          <v:line id="直接连接符 1" o:spid="_x0000_s1026" o:spt="20" style="position:absolute;left:0pt;flip:x y;margin-left:43.5pt;margin-top:0.1pt;height:49.75pt;width:102.3pt;z-index:251659264;mso-width-relative:page;mso-height-relative:page;" filled="f" stroked="t" coordsize="21600,21600" o:gfxdata="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6F9//YAAAABgEAAA8AAAAAAAAAAQAgAAAAIgAAAGRy&#10;cy9kb3ducmV2LnhtbFBLAQIUABQAAAAIAIdO4kDtGB5fBQIAAP8DAAAOAAAAAAAAAAEAIAAAACcB&#10;AABkcnMvZTJvRG9jLnhtbFBLBQYAAAAABgAGAFkBAACeBQAAAAA=&#10;">
                            <v:fill on="f" focussize="0,0"/>
                            <v:stroke weight="1.25pt" color="#739CC3" joinstyle="round"/>
                            <v:imagedata o:title=""/>
                            <o:lock v:ext="edit" aspectratio="f"/>
                          </v:line>
                        </w:pict>
                      </mc:Fallback>
                    </mc:AlternateContent>
                  </w:r>
                  <w:r>
                    <w:rPr>
                      <w:rFonts w:ascii="宋体" w:hAnsi="宋体" w:cs="宋体"/>
                      <w:sz w:val="24"/>
                    </w:rPr>
                    <mc:AlternateContent>
                      <mc:Choice Requires="wps">
                        <w:drawing>
                          <wp:anchor distT="0" distB="0" distL="0" distR="0" simplePos="0" relativeHeight="251660288" behindDoc="0" locked="0" layoutInCell="1" allowOverlap="1">
                            <wp:simplePos x="0" y="0"/>
                            <wp:positionH relativeFrom="column">
                              <wp:posOffset>-44450</wp:posOffset>
                            </wp:positionH>
                            <wp:positionV relativeFrom="paragraph">
                              <wp:posOffset>161925</wp:posOffset>
                            </wp:positionV>
                            <wp:extent cx="1904365" cy="488950"/>
                            <wp:effectExtent l="1905" t="7620" r="17780" b="17780"/>
                            <wp:wrapNone/>
                            <wp:docPr id="1027" name="直接连接符 4"/>
                            <wp:cNvGraphicFramePr/>
                            <a:graphic xmlns:a="http://schemas.openxmlformats.org/drawingml/2006/main">
                              <a:graphicData uri="http://schemas.microsoft.com/office/word/2010/wordprocessingShape">
                                <wps:wsp>
                                  <wps:cNvCnPr/>
                                  <wps:spPr>
                                    <a:xfrm>
                                      <a:off x="0" y="0"/>
                                      <a:ext cx="1904365" cy="488950"/>
                                    </a:xfrm>
                                    <a:prstGeom prst="line">
                                      <a:avLst/>
                                    </a:prstGeom>
                                    <a:ln w="15875" cap="flat" cmpd="sng">
                                      <a:solidFill>
                                        <a:srgbClr val="739CC3"/>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3.5pt;margin-top:12.75pt;height:38.5pt;width:149.95pt;z-index:251660288;mso-width-relative:page;mso-height-relative:page;" filled="f" stroked="t" coordsize="21600,21600" o:gfxdata="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zkyYjUAAAACQEAAA8AAAAAAAAAAQAgAAAAIgAAAGRycy9kb3ducmV2Lnht&#10;bFBLAQIUABQAAAAIAIdO4kAz92nh/QEAAOsDAAAOAAAAAAAAAAEAIAAAACMBAABkcnMvZTJvRG9j&#10;LnhtbFBLBQYAAAAABgAGAFkBAACSBQAAAAA=&#10;">
                            <v:fill on="f" focussize="0,0"/>
                            <v:stroke weight="1.25pt" color="#739CC3" joinstyle="round"/>
                            <v:imagedata o:title=""/>
                            <o:lock v:ext="edit" aspectratio="f"/>
                          </v:line>
                        </w:pict>
                      </mc:Fallback>
                    </mc:AlternateContent>
                  </w:r>
                  <w:r>
                    <w:rPr>
                      <w:rFonts w:hint="eastAsia" w:ascii="宋体" w:hAnsi="宋体" w:cs="宋体"/>
                      <w:sz w:val="24"/>
                    </w:rPr>
                    <w:t>费率         服务类型</w:t>
                  </w:r>
                </w:p>
                <w:p w14:paraId="442EC019">
                  <w:pPr>
                    <w:rPr>
                      <w:rFonts w:ascii="宋体" w:hAnsi="宋体" w:cs="宋体"/>
                      <w:sz w:val="24"/>
                    </w:rPr>
                  </w:pPr>
                </w:p>
                <w:p w14:paraId="508C5C24">
                  <w:pPr>
                    <w:rPr>
                      <w:rFonts w:ascii="宋体" w:hAnsi="宋体" w:cs="宋体"/>
                      <w:sz w:val="24"/>
                    </w:rPr>
                  </w:pPr>
                  <w:r>
                    <w:rPr>
                      <w:rFonts w:hint="eastAsia" w:ascii="宋体" w:hAnsi="宋体" w:cs="宋体"/>
                      <w:sz w:val="24"/>
                    </w:rPr>
                    <w:t xml:space="preserve">中标金额（万元）  </w:t>
                  </w:r>
                </w:p>
              </w:tc>
              <w:tc>
                <w:tcPr>
                  <w:tcW w:w="1100" w:type="dxa"/>
                  <w:vAlign w:val="center"/>
                </w:tcPr>
                <w:p w14:paraId="33B7C1D9">
                  <w:pPr>
                    <w:jc w:val="center"/>
                    <w:rPr>
                      <w:rFonts w:ascii="宋体" w:hAnsi="宋体" w:cs="宋体"/>
                      <w:sz w:val="24"/>
                    </w:rPr>
                  </w:pPr>
                  <w:r>
                    <w:rPr>
                      <w:rFonts w:hint="eastAsia" w:ascii="宋体" w:hAnsi="宋体" w:cs="宋体"/>
                      <w:sz w:val="24"/>
                    </w:rPr>
                    <w:t>货物</w:t>
                  </w:r>
                </w:p>
              </w:tc>
              <w:tc>
                <w:tcPr>
                  <w:tcW w:w="988" w:type="dxa"/>
                  <w:vAlign w:val="center"/>
                </w:tcPr>
                <w:p w14:paraId="2B946379">
                  <w:pPr>
                    <w:jc w:val="center"/>
                    <w:rPr>
                      <w:rFonts w:ascii="宋体" w:hAnsi="宋体" w:cs="宋体"/>
                      <w:sz w:val="24"/>
                    </w:rPr>
                  </w:pPr>
                  <w:r>
                    <w:rPr>
                      <w:rFonts w:hint="eastAsia" w:ascii="宋体" w:hAnsi="宋体" w:cs="宋体"/>
                      <w:sz w:val="24"/>
                    </w:rPr>
                    <w:t>服务</w:t>
                  </w:r>
                </w:p>
              </w:tc>
              <w:tc>
                <w:tcPr>
                  <w:tcW w:w="1134" w:type="dxa"/>
                  <w:vAlign w:val="center"/>
                </w:tcPr>
                <w:p w14:paraId="76B8D0ED">
                  <w:pPr>
                    <w:jc w:val="center"/>
                    <w:rPr>
                      <w:rFonts w:ascii="宋体" w:hAnsi="宋体" w:cs="宋体"/>
                      <w:sz w:val="24"/>
                    </w:rPr>
                  </w:pPr>
                  <w:r>
                    <w:rPr>
                      <w:rFonts w:hint="eastAsia" w:ascii="宋体" w:hAnsi="宋体" w:cs="宋体"/>
                      <w:sz w:val="24"/>
                    </w:rPr>
                    <w:t>工程</w:t>
                  </w:r>
                </w:p>
              </w:tc>
            </w:tr>
            <w:tr w14:paraId="79C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993" w:type="dxa"/>
                </w:tcPr>
                <w:p w14:paraId="062CD49F">
                  <w:pPr>
                    <w:jc w:val="center"/>
                    <w:rPr>
                      <w:rFonts w:ascii="宋体" w:hAnsi="宋体" w:cs="宋体"/>
                      <w:sz w:val="24"/>
                    </w:rPr>
                  </w:pPr>
                  <w:r>
                    <w:rPr>
                      <w:rFonts w:hint="eastAsia" w:ascii="宋体" w:hAnsi="宋体" w:cs="宋体"/>
                      <w:sz w:val="24"/>
                    </w:rPr>
                    <w:t>100以下</w:t>
                  </w:r>
                </w:p>
              </w:tc>
              <w:tc>
                <w:tcPr>
                  <w:tcW w:w="1100" w:type="dxa"/>
                  <w:vAlign w:val="center"/>
                </w:tcPr>
                <w:p w14:paraId="00E57DAE">
                  <w:pPr>
                    <w:widowControl/>
                    <w:jc w:val="center"/>
                    <w:textAlignment w:val="center"/>
                    <w:rPr>
                      <w:rFonts w:ascii="宋体" w:hAnsi="宋体" w:cs="宋体"/>
                      <w:sz w:val="24"/>
                    </w:rPr>
                  </w:pPr>
                  <w:r>
                    <w:rPr>
                      <w:rFonts w:hint="eastAsia" w:ascii="宋体" w:hAnsi="宋体" w:cs="宋体"/>
                      <w:kern w:val="0"/>
                      <w:sz w:val="24"/>
                    </w:rPr>
                    <w:t>1.50%</w:t>
                  </w:r>
                </w:p>
              </w:tc>
              <w:tc>
                <w:tcPr>
                  <w:tcW w:w="988" w:type="dxa"/>
                  <w:vAlign w:val="center"/>
                </w:tcPr>
                <w:p w14:paraId="7F132C3D">
                  <w:pPr>
                    <w:widowControl/>
                    <w:jc w:val="center"/>
                    <w:textAlignment w:val="center"/>
                    <w:rPr>
                      <w:rFonts w:ascii="宋体" w:hAnsi="宋体" w:cs="宋体"/>
                      <w:sz w:val="24"/>
                    </w:rPr>
                  </w:pPr>
                  <w:r>
                    <w:rPr>
                      <w:rFonts w:hint="eastAsia" w:ascii="宋体" w:hAnsi="宋体" w:cs="宋体"/>
                      <w:kern w:val="0"/>
                      <w:sz w:val="24"/>
                    </w:rPr>
                    <w:t>1.50%</w:t>
                  </w:r>
                </w:p>
              </w:tc>
              <w:tc>
                <w:tcPr>
                  <w:tcW w:w="1134" w:type="dxa"/>
                  <w:vAlign w:val="center"/>
                </w:tcPr>
                <w:p w14:paraId="1D950A90">
                  <w:pPr>
                    <w:widowControl/>
                    <w:jc w:val="center"/>
                    <w:textAlignment w:val="center"/>
                    <w:rPr>
                      <w:rFonts w:ascii="宋体" w:hAnsi="宋体" w:cs="宋体"/>
                      <w:sz w:val="24"/>
                    </w:rPr>
                  </w:pPr>
                  <w:r>
                    <w:rPr>
                      <w:rFonts w:hint="eastAsia" w:ascii="宋体" w:hAnsi="宋体" w:cs="宋体"/>
                      <w:kern w:val="0"/>
                      <w:sz w:val="24"/>
                    </w:rPr>
                    <w:t>1.00%</w:t>
                  </w:r>
                </w:p>
              </w:tc>
            </w:tr>
            <w:tr w14:paraId="4AED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46E2ECCB">
                  <w:pPr>
                    <w:jc w:val="center"/>
                    <w:rPr>
                      <w:rFonts w:ascii="宋体" w:hAnsi="宋体" w:cs="宋体"/>
                      <w:sz w:val="24"/>
                    </w:rPr>
                  </w:pPr>
                  <w:r>
                    <w:rPr>
                      <w:rFonts w:hint="eastAsia" w:ascii="宋体" w:hAnsi="宋体" w:cs="宋体"/>
                      <w:sz w:val="24"/>
                    </w:rPr>
                    <w:t>100-500</w:t>
                  </w:r>
                </w:p>
              </w:tc>
              <w:tc>
                <w:tcPr>
                  <w:tcW w:w="1100" w:type="dxa"/>
                  <w:vAlign w:val="center"/>
                </w:tcPr>
                <w:p w14:paraId="0AA30D94">
                  <w:pPr>
                    <w:widowControl/>
                    <w:jc w:val="center"/>
                    <w:textAlignment w:val="center"/>
                    <w:rPr>
                      <w:rFonts w:ascii="宋体" w:hAnsi="宋体" w:cs="宋体"/>
                      <w:sz w:val="24"/>
                    </w:rPr>
                  </w:pPr>
                  <w:r>
                    <w:rPr>
                      <w:rFonts w:hint="eastAsia" w:ascii="宋体" w:hAnsi="宋体" w:cs="宋体"/>
                      <w:kern w:val="0"/>
                      <w:sz w:val="24"/>
                    </w:rPr>
                    <w:t>1.10%</w:t>
                  </w:r>
                </w:p>
              </w:tc>
              <w:tc>
                <w:tcPr>
                  <w:tcW w:w="988" w:type="dxa"/>
                  <w:vAlign w:val="center"/>
                </w:tcPr>
                <w:p w14:paraId="2C4C9479">
                  <w:pPr>
                    <w:widowControl/>
                    <w:jc w:val="center"/>
                    <w:textAlignment w:val="center"/>
                    <w:rPr>
                      <w:rFonts w:ascii="宋体" w:hAnsi="宋体" w:cs="宋体"/>
                      <w:sz w:val="24"/>
                    </w:rPr>
                  </w:pPr>
                  <w:r>
                    <w:rPr>
                      <w:rFonts w:hint="eastAsia" w:ascii="宋体" w:hAnsi="宋体" w:cs="宋体"/>
                      <w:kern w:val="0"/>
                      <w:sz w:val="24"/>
                    </w:rPr>
                    <w:t>0.80%</w:t>
                  </w:r>
                </w:p>
              </w:tc>
              <w:tc>
                <w:tcPr>
                  <w:tcW w:w="1134" w:type="dxa"/>
                  <w:vAlign w:val="center"/>
                </w:tcPr>
                <w:p w14:paraId="10E8B828">
                  <w:pPr>
                    <w:widowControl/>
                    <w:jc w:val="center"/>
                    <w:textAlignment w:val="center"/>
                    <w:rPr>
                      <w:rFonts w:ascii="宋体" w:hAnsi="宋体" w:cs="宋体"/>
                      <w:sz w:val="24"/>
                    </w:rPr>
                  </w:pPr>
                  <w:r>
                    <w:rPr>
                      <w:rFonts w:hint="eastAsia" w:ascii="宋体" w:hAnsi="宋体" w:cs="宋体"/>
                      <w:kern w:val="0"/>
                      <w:sz w:val="24"/>
                    </w:rPr>
                    <w:t>0.70%</w:t>
                  </w:r>
                </w:p>
              </w:tc>
            </w:tr>
            <w:tr w14:paraId="191A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7528F33">
                  <w:pPr>
                    <w:jc w:val="center"/>
                    <w:rPr>
                      <w:rFonts w:ascii="宋体" w:hAnsi="宋体" w:cs="宋体"/>
                      <w:sz w:val="24"/>
                    </w:rPr>
                  </w:pPr>
                  <w:r>
                    <w:rPr>
                      <w:rFonts w:hint="eastAsia" w:ascii="宋体" w:hAnsi="宋体" w:cs="宋体"/>
                      <w:sz w:val="24"/>
                    </w:rPr>
                    <w:t>500-1000</w:t>
                  </w:r>
                </w:p>
              </w:tc>
              <w:tc>
                <w:tcPr>
                  <w:tcW w:w="1100" w:type="dxa"/>
                  <w:vAlign w:val="center"/>
                </w:tcPr>
                <w:p w14:paraId="554C65E7">
                  <w:pPr>
                    <w:widowControl/>
                    <w:jc w:val="center"/>
                    <w:textAlignment w:val="center"/>
                    <w:rPr>
                      <w:rFonts w:ascii="宋体" w:hAnsi="宋体" w:cs="宋体"/>
                      <w:sz w:val="24"/>
                    </w:rPr>
                  </w:pPr>
                  <w:r>
                    <w:rPr>
                      <w:rFonts w:hint="eastAsia" w:ascii="宋体" w:hAnsi="宋体" w:cs="宋体"/>
                      <w:kern w:val="0"/>
                      <w:sz w:val="24"/>
                    </w:rPr>
                    <w:t>0.80%</w:t>
                  </w:r>
                </w:p>
              </w:tc>
              <w:tc>
                <w:tcPr>
                  <w:tcW w:w="988" w:type="dxa"/>
                  <w:vAlign w:val="center"/>
                </w:tcPr>
                <w:p w14:paraId="6EEE289B">
                  <w:pPr>
                    <w:widowControl/>
                    <w:jc w:val="center"/>
                    <w:textAlignment w:val="center"/>
                    <w:rPr>
                      <w:rFonts w:ascii="宋体" w:hAnsi="宋体" w:cs="宋体"/>
                      <w:sz w:val="24"/>
                    </w:rPr>
                  </w:pPr>
                  <w:r>
                    <w:rPr>
                      <w:rFonts w:hint="eastAsia" w:ascii="宋体" w:hAnsi="宋体" w:cs="宋体"/>
                      <w:kern w:val="0"/>
                      <w:sz w:val="24"/>
                    </w:rPr>
                    <w:t>0.45%</w:t>
                  </w:r>
                </w:p>
              </w:tc>
              <w:tc>
                <w:tcPr>
                  <w:tcW w:w="1134" w:type="dxa"/>
                  <w:vAlign w:val="center"/>
                </w:tcPr>
                <w:p w14:paraId="4198AC68">
                  <w:pPr>
                    <w:widowControl/>
                    <w:jc w:val="center"/>
                    <w:textAlignment w:val="center"/>
                    <w:rPr>
                      <w:rFonts w:ascii="宋体" w:hAnsi="宋体" w:cs="宋体"/>
                      <w:sz w:val="24"/>
                    </w:rPr>
                  </w:pPr>
                  <w:r>
                    <w:rPr>
                      <w:rFonts w:hint="eastAsia" w:ascii="宋体" w:hAnsi="宋体" w:cs="宋体"/>
                      <w:kern w:val="0"/>
                      <w:sz w:val="24"/>
                    </w:rPr>
                    <w:t>0.55%</w:t>
                  </w:r>
                </w:p>
              </w:tc>
            </w:tr>
            <w:tr w14:paraId="4EEE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39F8F6FC">
                  <w:pPr>
                    <w:jc w:val="center"/>
                    <w:rPr>
                      <w:rFonts w:ascii="宋体" w:hAnsi="宋体" w:cs="宋体"/>
                      <w:sz w:val="24"/>
                    </w:rPr>
                  </w:pPr>
                  <w:r>
                    <w:rPr>
                      <w:rFonts w:hint="eastAsia" w:ascii="宋体" w:hAnsi="宋体" w:cs="宋体"/>
                      <w:sz w:val="24"/>
                    </w:rPr>
                    <w:t>1000-5000</w:t>
                  </w:r>
                </w:p>
              </w:tc>
              <w:tc>
                <w:tcPr>
                  <w:tcW w:w="1100" w:type="dxa"/>
                  <w:vAlign w:val="center"/>
                </w:tcPr>
                <w:p w14:paraId="1F27F458">
                  <w:pPr>
                    <w:widowControl/>
                    <w:jc w:val="center"/>
                    <w:textAlignment w:val="center"/>
                    <w:rPr>
                      <w:rFonts w:ascii="宋体" w:hAnsi="宋体" w:cs="宋体"/>
                      <w:sz w:val="24"/>
                    </w:rPr>
                  </w:pPr>
                  <w:r>
                    <w:rPr>
                      <w:rFonts w:hint="eastAsia" w:ascii="宋体" w:hAnsi="宋体" w:cs="宋体"/>
                      <w:kern w:val="0"/>
                      <w:sz w:val="24"/>
                    </w:rPr>
                    <w:t>0.50%</w:t>
                  </w:r>
                </w:p>
              </w:tc>
              <w:tc>
                <w:tcPr>
                  <w:tcW w:w="988" w:type="dxa"/>
                  <w:vAlign w:val="center"/>
                </w:tcPr>
                <w:p w14:paraId="5AD5A2CB">
                  <w:pPr>
                    <w:widowControl/>
                    <w:jc w:val="center"/>
                    <w:textAlignment w:val="center"/>
                    <w:rPr>
                      <w:rFonts w:ascii="宋体" w:hAnsi="宋体" w:cs="宋体"/>
                      <w:sz w:val="24"/>
                    </w:rPr>
                  </w:pPr>
                  <w:r>
                    <w:rPr>
                      <w:rFonts w:hint="eastAsia" w:ascii="宋体" w:hAnsi="宋体" w:cs="宋体"/>
                      <w:kern w:val="0"/>
                      <w:sz w:val="24"/>
                    </w:rPr>
                    <w:t>0.25%</w:t>
                  </w:r>
                </w:p>
              </w:tc>
              <w:tc>
                <w:tcPr>
                  <w:tcW w:w="1134" w:type="dxa"/>
                  <w:vAlign w:val="center"/>
                </w:tcPr>
                <w:p w14:paraId="50D322E2">
                  <w:pPr>
                    <w:widowControl/>
                    <w:jc w:val="center"/>
                    <w:textAlignment w:val="center"/>
                    <w:rPr>
                      <w:rFonts w:ascii="宋体" w:hAnsi="宋体" w:cs="宋体"/>
                      <w:sz w:val="24"/>
                    </w:rPr>
                  </w:pPr>
                  <w:r>
                    <w:rPr>
                      <w:rFonts w:hint="eastAsia" w:ascii="宋体" w:hAnsi="宋体" w:cs="宋体"/>
                      <w:kern w:val="0"/>
                      <w:sz w:val="24"/>
                    </w:rPr>
                    <w:t>0.35%</w:t>
                  </w:r>
                </w:p>
              </w:tc>
            </w:tr>
            <w:tr w14:paraId="329C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CEE4AD7">
                  <w:pPr>
                    <w:jc w:val="center"/>
                    <w:rPr>
                      <w:rFonts w:ascii="宋体" w:hAnsi="宋体" w:cs="宋体"/>
                      <w:sz w:val="24"/>
                    </w:rPr>
                  </w:pPr>
                  <w:r>
                    <w:rPr>
                      <w:rFonts w:hint="eastAsia" w:ascii="宋体" w:hAnsi="宋体" w:cs="宋体"/>
                      <w:sz w:val="24"/>
                    </w:rPr>
                    <w:t>5000-10000</w:t>
                  </w:r>
                </w:p>
              </w:tc>
              <w:tc>
                <w:tcPr>
                  <w:tcW w:w="1100" w:type="dxa"/>
                  <w:vAlign w:val="center"/>
                </w:tcPr>
                <w:p w14:paraId="7CB9D273">
                  <w:pPr>
                    <w:widowControl/>
                    <w:jc w:val="center"/>
                    <w:textAlignment w:val="center"/>
                    <w:rPr>
                      <w:rFonts w:ascii="宋体" w:hAnsi="宋体" w:cs="宋体"/>
                      <w:sz w:val="24"/>
                    </w:rPr>
                  </w:pPr>
                  <w:r>
                    <w:rPr>
                      <w:rFonts w:hint="eastAsia" w:ascii="宋体" w:hAnsi="宋体" w:cs="宋体"/>
                      <w:kern w:val="0"/>
                      <w:sz w:val="24"/>
                    </w:rPr>
                    <w:t>0.25%</w:t>
                  </w:r>
                </w:p>
              </w:tc>
              <w:tc>
                <w:tcPr>
                  <w:tcW w:w="988" w:type="dxa"/>
                  <w:vAlign w:val="center"/>
                </w:tcPr>
                <w:p w14:paraId="7FCB7664">
                  <w:pPr>
                    <w:widowControl/>
                    <w:jc w:val="center"/>
                    <w:textAlignment w:val="center"/>
                    <w:rPr>
                      <w:rFonts w:ascii="宋体" w:hAnsi="宋体" w:cs="宋体"/>
                      <w:sz w:val="24"/>
                    </w:rPr>
                  </w:pPr>
                  <w:r>
                    <w:rPr>
                      <w:rFonts w:hint="eastAsia" w:ascii="宋体" w:hAnsi="宋体" w:cs="宋体"/>
                      <w:kern w:val="0"/>
                      <w:sz w:val="24"/>
                    </w:rPr>
                    <w:t>0.10%</w:t>
                  </w:r>
                </w:p>
              </w:tc>
              <w:tc>
                <w:tcPr>
                  <w:tcW w:w="1134" w:type="dxa"/>
                  <w:vAlign w:val="center"/>
                </w:tcPr>
                <w:p w14:paraId="3B89DAD5">
                  <w:pPr>
                    <w:widowControl/>
                    <w:jc w:val="center"/>
                    <w:textAlignment w:val="center"/>
                    <w:rPr>
                      <w:rFonts w:ascii="宋体" w:hAnsi="宋体" w:cs="宋体"/>
                      <w:sz w:val="24"/>
                    </w:rPr>
                  </w:pPr>
                  <w:r>
                    <w:rPr>
                      <w:rFonts w:hint="eastAsia" w:ascii="宋体" w:hAnsi="宋体" w:cs="宋体"/>
                      <w:kern w:val="0"/>
                      <w:sz w:val="24"/>
                    </w:rPr>
                    <w:t>0.20%</w:t>
                  </w:r>
                </w:p>
              </w:tc>
            </w:tr>
            <w:tr w14:paraId="1B39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47FC1117">
                  <w:pPr>
                    <w:jc w:val="center"/>
                    <w:rPr>
                      <w:rFonts w:ascii="宋体" w:hAnsi="宋体" w:cs="宋体"/>
                      <w:sz w:val="24"/>
                    </w:rPr>
                  </w:pPr>
                  <w:r>
                    <w:rPr>
                      <w:rFonts w:hint="eastAsia" w:ascii="宋体" w:hAnsi="宋体" w:cs="宋体"/>
                      <w:sz w:val="24"/>
                    </w:rPr>
                    <w:t>10000-100000</w:t>
                  </w:r>
                </w:p>
              </w:tc>
              <w:tc>
                <w:tcPr>
                  <w:tcW w:w="1100" w:type="dxa"/>
                  <w:vAlign w:val="center"/>
                </w:tcPr>
                <w:p w14:paraId="2C286AF6">
                  <w:pPr>
                    <w:widowControl/>
                    <w:jc w:val="center"/>
                    <w:textAlignment w:val="center"/>
                    <w:rPr>
                      <w:rFonts w:ascii="宋体" w:hAnsi="宋体" w:cs="宋体"/>
                      <w:sz w:val="24"/>
                    </w:rPr>
                  </w:pPr>
                  <w:r>
                    <w:rPr>
                      <w:rFonts w:hint="eastAsia" w:ascii="宋体" w:hAnsi="宋体" w:cs="宋体"/>
                      <w:kern w:val="0"/>
                      <w:sz w:val="24"/>
                    </w:rPr>
                    <w:t>0.05%</w:t>
                  </w:r>
                </w:p>
              </w:tc>
              <w:tc>
                <w:tcPr>
                  <w:tcW w:w="988" w:type="dxa"/>
                  <w:vAlign w:val="center"/>
                </w:tcPr>
                <w:p w14:paraId="259C1D69">
                  <w:pPr>
                    <w:widowControl/>
                    <w:jc w:val="center"/>
                    <w:textAlignment w:val="center"/>
                    <w:rPr>
                      <w:rFonts w:ascii="宋体" w:hAnsi="宋体" w:cs="宋体"/>
                      <w:sz w:val="24"/>
                    </w:rPr>
                  </w:pPr>
                  <w:r>
                    <w:rPr>
                      <w:rFonts w:hint="eastAsia" w:ascii="宋体" w:hAnsi="宋体" w:cs="宋体"/>
                      <w:kern w:val="0"/>
                      <w:sz w:val="24"/>
                    </w:rPr>
                    <w:t>0.05%</w:t>
                  </w:r>
                </w:p>
              </w:tc>
              <w:tc>
                <w:tcPr>
                  <w:tcW w:w="1134" w:type="dxa"/>
                  <w:vAlign w:val="center"/>
                </w:tcPr>
                <w:p w14:paraId="712107E7">
                  <w:pPr>
                    <w:widowControl/>
                    <w:jc w:val="center"/>
                    <w:textAlignment w:val="center"/>
                    <w:rPr>
                      <w:rFonts w:ascii="宋体" w:hAnsi="宋体" w:cs="宋体"/>
                      <w:sz w:val="24"/>
                    </w:rPr>
                  </w:pPr>
                  <w:r>
                    <w:rPr>
                      <w:rFonts w:hint="eastAsia" w:ascii="宋体" w:hAnsi="宋体" w:cs="宋体"/>
                      <w:kern w:val="0"/>
                      <w:sz w:val="24"/>
                    </w:rPr>
                    <w:t>0.05%</w:t>
                  </w:r>
                </w:p>
              </w:tc>
            </w:tr>
            <w:tr w14:paraId="5EFF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7A02868E">
                  <w:pPr>
                    <w:jc w:val="center"/>
                    <w:rPr>
                      <w:rFonts w:ascii="宋体" w:hAnsi="宋体" w:cs="宋体"/>
                      <w:sz w:val="24"/>
                    </w:rPr>
                  </w:pPr>
                  <w:r>
                    <w:rPr>
                      <w:rFonts w:hint="eastAsia" w:ascii="宋体" w:hAnsi="宋体" w:cs="宋体"/>
                      <w:sz w:val="24"/>
                    </w:rPr>
                    <w:t>100000以上</w:t>
                  </w:r>
                </w:p>
              </w:tc>
              <w:tc>
                <w:tcPr>
                  <w:tcW w:w="1100" w:type="dxa"/>
                  <w:vAlign w:val="center"/>
                </w:tcPr>
                <w:p w14:paraId="4DF0F7D0">
                  <w:pPr>
                    <w:widowControl/>
                    <w:jc w:val="center"/>
                    <w:textAlignment w:val="center"/>
                    <w:rPr>
                      <w:rFonts w:ascii="宋体" w:hAnsi="宋体" w:cs="宋体"/>
                      <w:sz w:val="24"/>
                    </w:rPr>
                  </w:pPr>
                  <w:r>
                    <w:rPr>
                      <w:rFonts w:hint="eastAsia" w:ascii="宋体" w:hAnsi="宋体" w:cs="宋体"/>
                      <w:kern w:val="0"/>
                      <w:sz w:val="24"/>
                    </w:rPr>
                    <w:t>0.01%</w:t>
                  </w:r>
                </w:p>
              </w:tc>
              <w:tc>
                <w:tcPr>
                  <w:tcW w:w="988" w:type="dxa"/>
                  <w:vAlign w:val="center"/>
                </w:tcPr>
                <w:p w14:paraId="305FB4B7">
                  <w:pPr>
                    <w:widowControl/>
                    <w:jc w:val="center"/>
                    <w:textAlignment w:val="center"/>
                    <w:rPr>
                      <w:rFonts w:ascii="宋体" w:hAnsi="宋体" w:cs="宋体"/>
                      <w:sz w:val="24"/>
                    </w:rPr>
                  </w:pPr>
                  <w:r>
                    <w:rPr>
                      <w:rFonts w:hint="eastAsia" w:ascii="宋体" w:hAnsi="宋体" w:cs="宋体"/>
                      <w:kern w:val="0"/>
                      <w:sz w:val="24"/>
                    </w:rPr>
                    <w:t>0.01%</w:t>
                  </w:r>
                </w:p>
              </w:tc>
              <w:tc>
                <w:tcPr>
                  <w:tcW w:w="1134" w:type="dxa"/>
                  <w:vAlign w:val="center"/>
                </w:tcPr>
                <w:p w14:paraId="62A49543">
                  <w:pPr>
                    <w:widowControl/>
                    <w:jc w:val="center"/>
                    <w:textAlignment w:val="center"/>
                    <w:rPr>
                      <w:rFonts w:ascii="宋体" w:hAnsi="宋体" w:cs="宋体"/>
                      <w:sz w:val="24"/>
                    </w:rPr>
                  </w:pPr>
                  <w:r>
                    <w:rPr>
                      <w:rFonts w:hint="eastAsia" w:ascii="宋体" w:hAnsi="宋体" w:cs="宋体"/>
                      <w:kern w:val="0"/>
                      <w:sz w:val="24"/>
                    </w:rPr>
                    <w:t>0.01%</w:t>
                  </w:r>
                </w:p>
              </w:tc>
            </w:tr>
          </w:tbl>
          <w:p w14:paraId="7CC095FA">
            <w:pPr>
              <w:jc w:val="left"/>
              <w:rPr>
                <w:rFonts w:ascii="宋体" w:hAnsi="宋体"/>
                <w:sz w:val="24"/>
              </w:rPr>
            </w:pPr>
            <w:r>
              <w:rPr>
                <w:rFonts w:hint="eastAsia" w:ascii="宋体" w:hAnsi="宋体"/>
                <w:sz w:val="24"/>
              </w:rPr>
              <w:t>注：上述代理服务费以每包中标金额为基准，按照差额定率累进法计算。</w:t>
            </w:r>
          </w:p>
          <w:p w14:paraId="0346963A">
            <w:pPr>
              <w:jc w:val="left"/>
              <w:rPr>
                <w:rFonts w:ascii="宋体" w:hAnsi="宋体"/>
                <w:sz w:val="24"/>
              </w:rPr>
            </w:pPr>
            <w:r>
              <w:rPr>
                <w:rFonts w:hint="eastAsia" w:ascii="宋体" w:hAnsi="宋体"/>
                <w:sz w:val="24"/>
              </w:rPr>
              <w:t>缴纳时间：领取中标通知书的同时。</w:t>
            </w:r>
          </w:p>
        </w:tc>
      </w:tr>
    </w:tbl>
    <w:p w14:paraId="3A614A15">
      <w:pPr>
        <w:tabs>
          <w:tab w:val="left" w:pos="5580"/>
        </w:tabs>
        <w:adjustRightInd w:val="0"/>
        <w:jc w:val="distribute"/>
        <w:rPr>
          <w:rFonts w:ascii="宋体" w:hAnsi="宋体"/>
          <w:sz w:val="24"/>
        </w:rPr>
        <w:sectPr>
          <w:footerReference r:id="rId10" w:type="first"/>
          <w:footerReference r:id="rId9" w:type="default"/>
          <w:pgSz w:w="11907" w:h="16840"/>
          <w:pgMar w:top="1440" w:right="1800" w:bottom="1440" w:left="1800" w:header="851" w:footer="851" w:gutter="0"/>
          <w:pgNumType w:start="1"/>
          <w:cols w:space="720" w:num="1"/>
          <w:docGrid w:linePitch="462" w:charSpace="0"/>
        </w:sectPr>
      </w:pPr>
    </w:p>
    <w:p w14:paraId="4163DFBF">
      <w:pPr>
        <w:spacing w:before="240" w:beforeLines="100" w:after="240" w:afterLines="100"/>
        <w:jc w:val="center"/>
        <w:rPr>
          <w:rFonts w:ascii="宋体" w:hAnsi="宋体"/>
          <w:b/>
          <w:sz w:val="28"/>
          <w:szCs w:val="28"/>
        </w:rPr>
      </w:pPr>
      <w:bookmarkStart w:id="78" w:name="_Toc265228355"/>
      <w:bookmarkStart w:id="79" w:name="_Toc150480755"/>
      <w:bookmarkStart w:id="80" w:name="_Toc226337213"/>
      <w:bookmarkStart w:id="81" w:name="_Toc353873932"/>
      <w:bookmarkStart w:id="82" w:name="_Toc305158785"/>
      <w:bookmarkStart w:id="83" w:name="_Toc226965790"/>
      <w:bookmarkStart w:id="84" w:name="_Toc264969207"/>
      <w:bookmarkStart w:id="85" w:name="_Toc353825542"/>
      <w:bookmarkStart w:id="86" w:name="_Toc353873662"/>
      <w:bookmarkStart w:id="87" w:name="_Toc127151517"/>
      <w:bookmarkStart w:id="88" w:name="_Toc195842882"/>
      <w:bookmarkStart w:id="89" w:name="_Toc150774722"/>
      <w:bookmarkStart w:id="90" w:name="_Toc305158859"/>
      <w:bookmarkStart w:id="91" w:name="_Toc142311019"/>
      <w:r>
        <w:rPr>
          <w:rFonts w:ascii="宋体" w:hAnsi="宋体"/>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F8B6D3E">
      <w:pPr>
        <w:pStyle w:val="3"/>
        <w:tabs>
          <w:tab w:val="center" w:pos="4592"/>
          <w:tab w:val="left" w:pos="7860"/>
        </w:tabs>
        <w:spacing w:before="0" w:after="240" w:line="240" w:lineRule="auto"/>
        <w:rPr>
          <w:rFonts w:ascii="宋体" w:hAnsi="宋体" w:eastAsia="宋体"/>
          <w:sz w:val="28"/>
        </w:rPr>
      </w:pPr>
      <w:bookmarkStart w:id="92" w:name="_Toc151193688"/>
      <w:bookmarkStart w:id="93" w:name="_Toc226337214"/>
      <w:bookmarkStart w:id="94" w:name="_Toc150509269"/>
      <w:bookmarkStart w:id="95" w:name="_Toc305158786"/>
      <w:bookmarkStart w:id="96" w:name="_Toc150480756"/>
      <w:bookmarkStart w:id="97" w:name="_Toc226965708"/>
      <w:bookmarkStart w:id="98" w:name="_Toc151190145"/>
      <w:bookmarkStart w:id="99" w:name="_Toc151193832"/>
      <w:bookmarkStart w:id="100" w:name="_Toc151193760"/>
      <w:bookmarkStart w:id="101" w:name="_Toc264969208"/>
      <w:bookmarkStart w:id="102" w:name="_Toc520356143"/>
      <w:bookmarkStart w:id="103" w:name="_Toc195842883"/>
      <w:bookmarkStart w:id="104" w:name="_Toc151193616"/>
      <w:bookmarkStart w:id="105" w:name="_Toc150774618"/>
      <w:bookmarkStart w:id="106" w:name="_Toc265228356"/>
      <w:bookmarkStart w:id="107" w:name="_Toc305158860"/>
      <w:bookmarkStart w:id="108" w:name="_Toc226965791"/>
      <w:bookmarkStart w:id="109" w:name="_Toc127151518"/>
      <w:bookmarkStart w:id="110" w:name="_Toc150774723"/>
      <w:bookmarkStart w:id="111" w:name="_Toc226309762"/>
      <w:bookmarkStart w:id="112" w:name="_Toc142311020"/>
      <w:bookmarkStart w:id="113" w:name="_Toc151193906"/>
      <w:r>
        <w:rPr>
          <w:rFonts w:ascii="宋体" w:hAnsi="宋体" w:eastAsia="宋体"/>
          <w:sz w:val="28"/>
        </w:rPr>
        <w:t>一</w:t>
      </w:r>
      <w:r>
        <w:rPr>
          <w:rFonts w:hint="eastAsia" w:ascii="宋体" w:hAnsi="宋体" w:eastAsia="宋体"/>
          <w:sz w:val="28"/>
        </w:rPr>
        <w:t>、</w:t>
      </w:r>
      <w:r>
        <w:rPr>
          <w:rFonts w:ascii="宋体" w:hAnsi="宋体" w:eastAsia="宋体"/>
          <w:sz w:val="28"/>
        </w:rPr>
        <w:t>说明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2EAA89C">
      <w:pPr>
        <w:numPr>
          <w:ilvl w:val="0"/>
          <w:numId w:val="2"/>
        </w:numPr>
        <w:tabs>
          <w:tab w:val="clear" w:pos="900"/>
        </w:tabs>
        <w:snapToGrid w:val="0"/>
        <w:spacing w:line="360" w:lineRule="auto"/>
        <w:ind w:left="357" w:hanging="357"/>
        <w:outlineLvl w:val="1"/>
        <w:rPr>
          <w:rFonts w:ascii="宋体" w:hAnsi="宋体"/>
          <w:sz w:val="24"/>
        </w:rPr>
      </w:pPr>
      <w:bookmarkStart w:id="114" w:name="_Toc305158787"/>
      <w:bookmarkStart w:id="115" w:name="_Toc305158861"/>
      <w:bookmarkStart w:id="116" w:name="_Toc265228357"/>
      <w:bookmarkStart w:id="117" w:name="_Toc264969209"/>
      <w:r>
        <w:rPr>
          <w:rFonts w:ascii="宋体" w:hAnsi="宋体"/>
          <w:sz w:val="24"/>
        </w:rPr>
        <w:t>采购人、采购代理机构、投标人</w:t>
      </w:r>
      <w:bookmarkEnd w:id="114"/>
      <w:bookmarkEnd w:id="115"/>
      <w:bookmarkEnd w:id="116"/>
      <w:bookmarkEnd w:id="117"/>
      <w:r>
        <w:rPr>
          <w:rFonts w:hint="eastAsia" w:ascii="宋体" w:hAnsi="宋体"/>
          <w:sz w:val="24"/>
        </w:rPr>
        <w:t>、联合体</w:t>
      </w:r>
    </w:p>
    <w:p w14:paraId="4F532E48">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4523502E">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76C7CE3F">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6A404969">
      <w:pPr>
        <w:numPr>
          <w:ilvl w:val="0"/>
          <w:numId w:val="2"/>
        </w:numPr>
        <w:tabs>
          <w:tab w:val="clear" w:pos="900"/>
        </w:tabs>
        <w:snapToGrid w:val="0"/>
        <w:spacing w:line="360" w:lineRule="auto"/>
        <w:ind w:left="357" w:hanging="357"/>
        <w:outlineLvl w:val="1"/>
        <w:rPr>
          <w:rFonts w:ascii="宋体" w:hAnsi="宋体"/>
          <w:sz w:val="24"/>
        </w:rPr>
      </w:pPr>
      <w:bookmarkStart w:id="118" w:name="_Toc150480758"/>
      <w:bookmarkStart w:id="119" w:name="_Toc195842885"/>
      <w:bookmarkStart w:id="120" w:name="_Toc150774725"/>
      <w:bookmarkStart w:id="121" w:name="_Toc164608789"/>
      <w:bookmarkStart w:id="122" w:name="_Toc305158788"/>
      <w:bookmarkStart w:id="123" w:name="_Toc127151721"/>
      <w:bookmarkStart w:id="124" w:name="_Toc151193908"/>
      <w:bookmarkStart w:id="125" w:name="_Toc150774620"/>
      <w:bookmarkStart w:id="126" w:name="_Toc151193690"/>
      <w:bookmarkStart w:id="127" w:name="_Toc226337216"/>
      <w:bookmarkStart w:id="128" w:name="_Toc142311022"/>
      <w:bookmarkStart w:id="129" w:name="_Toc265228358"/>
      <w:bookmarkStart w:id="130" w:name="_Toc164229215"/>
      <w:bookmarkStart w:id="131" w:name="_Toc127151520"/>
      <w:bookmarkStart w:id="132" w:name="_Toc149720813"/>
      <w:bookmarkStart w:id="133" w:name="_Toc151193618"/>
      <w:bookmarkStart w:id="134" w:name="_Toc164351614"/>
      <w:bookmarkStart w:id="135" w:name="_Toc151193834"/>
      <w:bookmarkStart w:id="136" w:name="_Toc226965710"/>
      <w:bookmarkStart w:id="137" w:name="_Toc264969210"/>
      <w:bookmarkStart w:id="138" w:name="_Toc151193762"/>
      <w:bookmarkStart w:id="139" w:name="_Toc164608634"/>
      <w:bookmarkStart w:id="140" w:name="_Toc151190147"/>
      <w:bookmarkStart w:id="141" w:name="_Toc226309764"/>
      <w:bookmarkStart w:id="142" w:name="_Toc226965793"/>
      <w:bookmarkStart w:id="143" w:name="_Toc164229361"/>
      <w:bookmarkStart w:id="144" w:name="_Toc305158862"/>
      <w:bookmarkStart w:id="145" w:name="_Toc150509271"/>
      <w:bookmarkStart w:id="146" w:name="_Toc127161434"/>
      <w:r>
        <w:rPr>
          <w:rFonts w:ascii="宋体" w:hAnsi="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sz w:val="24"/>
        </w:rPr>
        <w:t>、项目属性、科研仪器设备采购、核心产品</w:t>
      </w:r>
    </w:p>
    <w:p w14:paraId="3F4D2B2B">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0E7DEB4A">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0FB8211F">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25DB4E52">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69587222">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011F7419">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7" w:name="_Toc265228360"/>
      <w:bookmarkStart w:id="148" w:name="_Toc150774727"/>
      <w:bookmarkStart w:id="149" w:name="_Toc226309766"/>
      <w:bookmarkStart w:id="150" w:name="_Toc226965712"/>
      <w:bookmarkStart w:id="151" w:name="_Toc264969212"/>
      <w:bookmarkStart w:id="152" w:name="_Toc151193692"/>
      <w:bookmarkStart w:id="153" w:name="_Toc226337218"/>
      <w:bookmarkStart w:id="154" w:name="_Toc150480760"/>
      <w:bookmarkStart w:id="155" w:name="_Toc151193764"/>
      <w:bookmarkStart w:id="156" w:name="_Toc150774622"/>
      <w:bookmarkStart w:id="157" w:name="_Toc305158790"/>
      <w:bookmarkStart w:id="158" w:name="_Toc151193620"/>
      <w:bookmarkStart w:id="159" w:name="_Toc150509273"/>
      <w:bookmarkStart w:id="160" w:name="_Toc226965795"/>
      <w:bookmarkStart w:id="161" w:name="_Toc142311024"/>
      <w:bookmarkStart w:id="162" w:name="_Toc305158864"/>
      <w:bookmarkStart w:id="163" w:name="_Toc127151522"/>
      <w:bookmarkStart w:id="164" w:name="_Toc151190149"/>
      <w:bookmarkStart w:id="165" w:name="_Toc151193836"/>
      <w:bookmarkStart w:id="166" w:name="_Toc195842887"/>
      <w:bookmarkStart w:id="167" w:name="_Toc520356146"/>
      <w:bookmarkStart w:id="168" w:name="_Toc151193910"/>
    </w:p>
    <w:p w14:paraId="2EB58C38">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5D10F79">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404B4CBE">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14:paraId="23CBE490">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样品的评审方法以及评审标准等内容见第四章《评标程序、评标方法和评标标准》。</w:t>
      </w:r>
    </w:p>
    <w:p w14:paraId="600C27B3">
      <w:pPr>
        <w:numPr>
          <w:ilvl w:val="0"/>
          <w:numId w:val="2"/>
        </w:numPr>
        <w:tabs>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D5BF17E">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采购本国货物、工程和服务</w:t>
      </w:r>
    </w:p>
    <w:p w14:paraId="5B4C4517">
      <w:pPr>
        <w:numPr>
          <w:ilvl w:val="2"/>
          <w:numId w:val="2"/>
        </w:numPr>
        <w:tabs>
          <w:tab w:val="left" w:pos="2014"/>
        </w:tabs>
        <w:snapToGrid w:val="0"/>
        <w:spacing w:line="360" w:lineRule="auto"/>
        <w:rPr>
          <w:rFonts w:ascii="宋体" w:hAnsi="宋体"/>
          <w:sz w:val="24"/>
        </w:rPr>
      </w:pPr>
      <w:r>
        <w:rPr>
          <w:rFonts w:hint="eastAsia" w:ascii="宋体" w:hAnsi="宋体"/>
          <w:sz w:val="24"/>
        </w:rPr>
        <w:t>政府采购应当采购本国货物、工程和服务。但有《中华人民共和国政府采购法》第十条规定情形的除外</w:t>
      </w:r>
      <w:r>
        <w:rPr>
          <w:rFonts w:ascii="宋体" w:hAnsi="宋体"/>
          <w:sz w:val="24"/>
        </w:rPr>
        <w:t>。</w:t>
      </w:r>
    </w:p>
    <w:p w14:paraId="180366CA">
      <w:pPr>
        <w:numPr>
          <w:ilvl w:val="2"/>
          <w:numId w:val="2"/>
        </w:numPr>
        <w:tabs>
          <w:tab w:val="left" w:pos="2014"/>
        </w:tabs>
        <w:snapToGrid w:val="0"/>
        <w:spacing w:line="360" w:lineRule="auto"/>
        <w:rPr>
          <w:rFonts w:ascii="宋体" w:hAnsi="宋体"/>
          <w:sz w:val="24"/>
        </w:rPr>
      </w:pPr>
      <w:r>
        <w:rPr>
          <w:rFonts w:hint="eastAsia" w:ascii="宋体" w:hAnsi="宋体"/>
          <w:sz w:val="24"/>
        </w:rPr>
        <w:t>本项目如接受非本国货物、工程、服务参与投标，则具体要求见第五章《采购需求》</w:t>
      </w:r>
      <w:r>
        <w:rPr>
          <w:rFonts w:ascii="宋体" w:hAnsi="宋体"/>
          <w:sz w:val="24"/>
        </w:rPr>
        <w:t>。</w:t>
      </w:r>
    </w:p>
    <w:p w14:paraId="558B0848">
      <w:pPr>
        <w:numPr>
          <w:ilvl w:val="2"/>
          <w:numId w:val="2"/>
        </w:numPr>
        <w:tabs>
          <w:tab w:val="left" w:pos="2014"/>
        </w:tabs>
        <w:snapToGrid w:val="0"/>
        <w:spacing w:line="360" w:lineRule="auto"/>
        <w:rPr>
          <w:rFonts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r>
        <w:rPr>
          <w:rFonts w:ascii="宋体" w:hAnsi="宋体"/>
          <w:sz w:val="24"/>
        </w:rPr>
        <w:t>。</w:t>
      </w:r>
    </w:p>
    <w:p w14:paraId="51C99523">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3D6B3788">
      <w:pPr>
        <w:numPr>
          <w:ilvl w:val="2"/>
          <w:numId w:val="2"/>
        </w:numPr>
        <w:snapToGrid w:val="0"/>
        <w:spacing w:line="360" w:lineRule="auto"/>
        <w:rPr>
          <w:rFonts w:ascii="宋体" w:hAnsi="宋体"/>
          <w:sz w:val="24"/>
        </w:rPr>
      </w:pPr>
      <w:r>
        <w:rPr>
          <w:rFonts w:ascii="宋体" w:hAnsi="宋体"/>
          <w:sz w:val="24"/>
        </w:rPr>
        <w:t>中小企业定义：</w:t>
      </w:r>
    </w:p>
    <w:p w14:paraId="553E31C0">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E076851">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.2.1.2供应商提供的货物、工程或者服务符合下列情形的，享受中小企业扶持政策：</w:t>
      </w:r>
    </w:p>
    <w:p w14:paraId="0D39D5E7">
      <w:pPr>
        <w:snapToGrid w:val="0"/>
        <w:spacing w:line="360" w:lineRule="auto"/>
        <w:ind w:left="3497" w:leftChars="1349" w:hanging="664" w:hangingChars="277"/>
        <w:rPr>
          <w:rFonts w:ascii="宋体" w:hAnsi="宋体"/>
          <w:sz w:val="24"/>
        </w:rPr>
      </w:pPr>
      <w:r>
        <w:rPr>
          <w:rFonts w:ascii="宋体" w:hAnsi="宋体"/>
          <w:sz w:val="24"/>
        </w:rPr>
        <w:t>（1）在货物采购项目中，货物由中小企业制造，即货物由中小企业生产且使用该中小企业商号或者注册商标；</w:t>
      </w:r>
    </w:p>
    <w:p w14:paraId="7ECFB6A9">
      <w:pPr>
        <w:snapToGrid w:val="0"/>
        <w:spacing w:line="360" w:lineRule="auto"/>
        <w:ind w:left="3497" w:leftChars="1349" w:hanging="664" w:hangingChars="277"/>
        <w:rPr>
          <w:rFonts w:ascii="宋体" w:hAnsi="宋体"/>
          <w:sz w:val="24"/>
        </w:rPr>
      </w:pPr>
      <w:r>
        <w:rPr>
          <w:rFonts w:ascii="宋体" w:hAnsi="宋体"/>
          <w:sz w:val="24"/>
        </w:rPr>
        <w:t>（2）在工程采购项目中，工程由中小企业承建，即工程施工单位为中小企业；</w:t>
      </w:r>
    </w:p>
    <w:p w14:paraId="019F76FF">
      <w:pPr>
        <w:snapToGrid w:val="0"/>
        <w:spacing w:line="360" w:lineRule="auto"/>
        <w:ind w:left="3497" w:leftChars="1349" w:hanging="664" w:hangingChars="277"/>
        <w:rPr>
          <w:rFonts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5DA4C304">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.2.1.3在货物采购项目中，供应商提供的货物既有中小企业制造货物，也有大型企业制造货物的，不享受中小企业扶持政策。</w:t>
      </w:r>
    </w:p>
    <w:p w14:paraId="14DA5B01">
      <w:pPr>
        <w:tabs>
          <w:tab w:val="left" w:pos="900"/>
          <w:tab w:val="left" w:pos="1980"/>
          <w:tab w:val="left" w:pos="2977"/>
        </w:tabs>
        <w:snapToGrid w:val="0"/>
        <w:spacing w:line="360" w:lineRule="auto"/>
        <w:ind w:left="2935" w:leftChars="946" w:hanging="948" w:hangingChars="395"/>
        <w:rPr>
          <w:rFonts w:ascii="宋体" w:hAnsi="宋体"/>
          <w:sz w:val="24"/>
        </w:rPr>
      </w:pPr>
      <w:r>
        <w:rPr>
          <w:rFonts w:ascii="宋体" w:hAnsi="宋体"/>
          <w:sz w:val="24"/>
        </w:rPr>
        <w:t>5.2.1.4以联合体形式参加政府采购活动，联合体各方均为中小企业的，联合体视同中小企业。其中，联合体各方均为小微企业的，联合体视同小微企业。</w:t>
      </w:r>
    </w:p>
    <w:p w14:paraId="17E1FF8C">
      <w:pPr>
        <w:numPr>
          <w:ilvl w:val="2"/>
          <w:numId w:val="2"/>
        </w:numPr>
        <w:snapToGrid w:val="0"/>
        <w:spacing w:line="360" w:lineRule="auto"/>
        <w:rPr>
          <w:rFonts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sz w:val="24"/>
        </w:rPr>
        <w:t>。</w:t>
      </w:r>
    </w:p>
    <w:p w14:paraId="54154A97">
      <w:pPr>
        <w:numPr>
          <w:ilvl w:val="2"/>
          <w:numId w:val="2"/>
        </w:numPr>
        <w:snapToGrid w:val="0"/>
        <w:spacing w:line="360" w:lineRule="auto"/>
        <w:rPr>
          <w:rFonts w:ascii="宋体" w:hAnsi="宋体"/>
          <w:sz w:val="24"/>
        </w:rPr>
      </w:pPr>
      <w:r>
        <w:rPr>
          <w:rFonts w:hint="eastAsia"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sz w:val="24"/>
        </w:rPr>
        <w:t>：</w:t>
      </w:r>
    </w:p>
    <w:p w14:paraId="4FDB6D8D">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安置的残疾人占本单位在职职工人数的比例不低于25%（含25%），并且安置的残疾人人数不少于10人（含10人）</w:t>
      </w:r>
      <w:r>
        <w:rPr>
          <w:rFonts w:ascii="宋体" w:hAnsi="宋体"/>
          <w:sz w:val="24"/>
        </w:rPr>
        <w:t>；</w:t>
      </w:r>
    </w:p>
    <w:p w14:paraId="3006AD3D">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.2.3.2依法与安置的每位残疾人签订了一年以上（含一年）的劳动合同或服务协议；</w:t>
      </w:r>
    </w:p>
    <w:p w14:paraId="0B30D009">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.2.3.3为安置的每位残疾人按月足额缴纳了基本养老保险、基本医疗保险、失业保险、工伤保险和生育保险等社会保险费；</w:t>
      </w:r>
    </w:p>
    <w:p w14:paraId="6AA998B2">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.2.3.4通过银行等金融机构向安置的每位残疾人，按月支付了不低于单位所在区县适用的经省级人民政府批准的月最低工资标准的工资；</w:t>
      </w:r>
    </w:p>
    <w:p w14:paraId="0753E40C">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.2.3.5提供本单位制造的货物、承担的工程或者服务（以下简称产品），或者提供其他残疾人福利性单位制造的货物（不包括使用非残疾人福利性单位注册商标的货物）；</w:t>
      </w:r>
    </w:p>
    <w:p w14:paraId="38604BBE">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469861">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6C50B1B4">
      <w:pPr>
        <w:numPr>
          <w:ilvl w:val="2"/>
          <w:numId w:val="2"/>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6EBE38E1">
      <w:pPr>
        <w:numPr>
          <w:ilvl w:val="2"/>
          <w:numId w:val="2"/>
        </w:numPr>
        <w:snapToGrid w:val="0"/>
        <w:spacing w:line="360" w:lineRule="auto"/>
        <w:rPr>
          <w:rFonts w:ascii="宋体" w:hAnsi="宋体"/>
          <w:sz w:val="24"/>
        </w:rPr>
      </w:pPr>
      <w:r>
        <w:rPr>
          <w:rFonts w:ascii="宋体" w:hAnsi="宋体"/>
          <w:sz w:val="24"/>
        </w:rPr>
        <w:t>小微企业价格评审优惠的政策调整：见第四章《</w:t>
      </w:r>
      <w:r>
        <w:rPr>
          <w:rFonts w:hint="eastAsia" w:ascii="宋体" w:hAnsi="宋体"/>
          <w:sz w:val="24"/>
        </w:rPr>
        <w:t>评标程序、</w:t>
      </w:r>
      <w:r>
        <w:rPr>
          <w:rFonts w:ascii="宋体" w:hAnsi="宋体"/>
          <w:sz w:val="24"/>
        </w:rPr>
        <w:t>评标方法和评标标准》。</w:t>
      </w:r>
    </w:p>
    <w:p w14:paraId="1298FE8F">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126A804E">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C8E756">
      <w:pPr>
        <w:numPr>
          <w:ilvl w:val="2"/>
          <w:numId w:val="2"/>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85F8E28">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74DD6C0B">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非政府强制采购的节能产品或环境标志产品，依据品目清单和认证证书实施政府优先采购。优先采购的具体规定见第四章《评标程序、评标方法和评标标准》。</w:t>
      </w:r>
    </w:p>
    <w:p w14:paraId="6D86E831">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6B8685ED">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2CCC51E">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网络安全专用产</w:t>
      </w:r>
      <w:r>
        <w:rPr>
          <w:rFonts w:ascii="宋体" w:hAnsi="宋体"/>
          <w:sz w:val="24"/>
        </w:rPr>
        <w:t>品</w:t>
      </w:r>
    </w:p>
    <w:p w14:paraId="24B2D8A8">
      <w:pPr>
        <w:numPr>
          <w:ilvl w:val="2"/>
          <w:numId w:val="2"/>
        </w:numPr>
        <w:tabs>
          <w:tab w:val="left" w:pos="2014"/>
        </w:tabs>
        <w:snapToGrid w:val="0"/>
        <w:spacing w:line="360" w:lineRule="auto"/>
        <w:rPr>
          <w:rFonts w:ascii="宋体" w:hAnsi="宋体"/>
          <w:sz w:val="24"/>
        </w:rPr>
      </w:pPr>
      <w:r>
        <w:rPr>
          <w:rFonts w:hint="eastAsia" w:ascii="宋体" w:hAnsi="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C2E66D1">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1B2B4C33">
      <w:pPr>
        <w:numPr>
          <w:ilvl w:val="2"/>
          <w:numId w:val="2"/>
        </w:numPr>
        <w:tabs>
          <w:tab w:val="left" w:pos="2014"/>
        </w:tabs>
        <w:snapToGrid w:val="0"/>
        <w:spacing w:line="360" w:lineRule="auto"/>
        <w:rPr>
          <w:rFonts w:ascii="宋体" w:hAnsi="宋体"/>
          <w:sz w:val="24"/>
        </w:rPr>
      </w:pPr>
      <w:r>
        <w:rPr>
          <w:rFonts w:ascii="宋体" w:hAnsi="宋体"/>
          <w:sz w:val="24"/>
        </w:rPr>
        <w:t>为全面推进</w:t>
      </w:r>
      <w:r>
        <w:rPr>
          <w:rFonts w:hint="eastAsia" w:ascii="宋体" w:hAnsi="宋体"/>
          <w:sz w:val="24"/>
        </w:rPr>
        <w:t>北京</w:t>
      </w:r>
      <w:r>
        <w:rPr>
          <w:rFonts w:ascii="宋体" w:hAnsi="宋体"/>
          <w:sz w:val="24"/>
        </w:rPr>
        <w:t>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w:t>
      </w:r>
      <w:r>
        <w:rPr>
          <w:rFonts w:hint="eastAsia" w:ascii="宋体" w:hAnsi="宋体"/>
          <w:sz w:val="24"/>
        </w:rPr>
        <w:t>北京</w:t>
      </w:r>
      <w:r>
        <w:rPr>
          <w:rFonts w:ascii="宋体" w:hAnsi="宋体"/>
          <w:sz w:val="24"/>
        </w:rPr>
        <w:t>市和国家的VOCs含量限</w:t>
      </w:r>
      <w:r>
        <w:rPr>
          <w:rFonts w:hint="eastAsia" w:ascii="宋体" w:hAnsi="宋体"/>
          <w:sz w:val="24"/>
        </w:rPr>
        <w:t>值</w:t>
      </w:r>
      <w:r>
        <w:rPr>
          <w:rFonts w:ascii="宋体" w:hAnsi="宋体"/>
          <w:sz w:val="24"/>
        </w:rPr>
        <w:t>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w:t>
      </w:r>
    </w:p>
    <w:p w14:paraId="67170622">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 xml:space="preserve"> 采购需求标准</w:t>
      </w:r>
    </w:p>
    <w:p w14:paraId="79533CBC">
      <w:pPr>
        <w:numPr>
          <w:ilvl w:val="2"/>
          <w:numId w:val="2"/>
        </w:numPr>
        <w:tabs>
          <w:tab w:val="left" w:pos="2014"/>
        </w:tabs>
        <w:snapToGrid w:val="0"/>
        <w:spacing w:line="360" w:lineRule="auto"/>
        <w:rPr>
          <w:rFonts w:ascii="宋体" w:hAnsi="宋体"/>
          <w:sz w:val="24"/>
        </w:rPr>
      </w:pPr>
      <w:r>
        <w:rPr>
          <w:rFonts w:hint="eastAsia" w:ascii="宋体" w:hAnsi="宋体"/>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r>
        <w:rPr>
          <w:rFonts w:ascii="宋体" w:hAnsi="宋体"/>
          <w:sz w:val="24"/>
        </w:rPr>
        <w:t>。</w:t>
      </w:r>
    </w:p>
    <w:p w14:paraId="094DF834">
      <w:pPr>
        <w:numPr>
          <w:ilvl w:val="2"/>
          <w:numId w:val="2"/>
        </w:numPr>
        <w:tabs>
          <w:tab w:val="left" w:pos="2014"/>
        </w:tabs>
        <w:snapToGrid w:val="0"/>
        <w:spacing w:line="360" w:lineRule="auto"/>
        <w:rPr>
          <w:rFonts w:ascii="宋体" w:hAnsi="宋体"/>
          <w:sz w:val="24"/>
        </w:rPr>
      </w:pPr>
      <w:r>
        <w:rPr>
          <w:rFonts w:hint="eastAsia" w:ascii="宋体" w:hAnsi="宋体"/>
          <w:sz w:val="24"/>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0F3798C4">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本国产品标准及相关政策</w:t>
      </w:r>
    </w:p>
    <w:p w14:paraId="62EC61AE">
      <w:pPr>
        <w:numPr>
          <w:ilvl w:val="2"/>
          <w:numId w:val="2"/>
        </w:numPr>
        <w:tabs>
          <w:tab w:val="left" w:pos="2014"/>
        </w:tabs>
        <w:snapToGrid w:val="0"/>
        <w:spacing w:line="360" w:lineRule="auto"/>
        <w:rPr>
          <w:rFonts w:ascii="宋体" w:hAnsi="宋体"/>
          <w:sz w:val="24"/>
        </w:rPr>
      </w:pPr>
      <w:r>
        <w:rPr>
          <w:rFonts w:hint="eastAsia" w:ascii="宋体" w:hAnsi="宋体"/>
          <w:sz w:val="24"/>
        </w:rPr>
        <w:t>《国务院办公厅关于在政府采购中实施本国产品标准及相关政策的通知》（国办发〔2025〕34号）及相关规定。</w:t>
      </w:r>
    </w:p>
    <w:p w14:paraId="216C3F2F">
      <w:pPr>
        <w:numPr>
          <w:ilvl w:val="2"/>
          <w:numId w:val="2"/>
        </w:numPr>
        <w:tabs>
          <w:tab w:val="left" w:pos="2014"/>
        </w:tabs>
        <w:snapToGrid w:val="0"/>
        <w:spacing w:line="360" w:lineRule="auto"/>
        <w:rPr>
          <w:rFonts w:ascii="宋体" w:hAnsi="宋体"/>
          <w:sz w:val="24"/>
        </w:rPr>
      </w:pPr>
      <w:r>
        <w:rPr>
          <w:rFonts w:hint="eastAsia" w:ascii="宋体" w:hAnsi="宋体"/>
          <w:sz w:val="24"/>
        </w:rPr>
        <w:t>符合《国务院办公厅关于在政府采购中实施本国产品标准及相关政策的通知》（国办发〔2025〕34号）规定的本国产品情形的，可享受的本国产品的支持政策，用扣除后的价格参加评审。</w:t>
      </w:r>
    </w:p>
    <w:p w14:paraId="50C0A1ED">
      <w:pPr>
        <w:tabs>
          <w:tab w:val="left" w:pos="900"/>
          <w:tab w:val="left" w:pos="1980"/>
          <w:tab w:val="left" w:pos="2014"/>
        </w:tabs>
        <w:snapToGrid w:val="0"/>
        <w:spacing w:line="360" w:lineRule="auto"/>
        <w:ind w:left="1980"/>
        <w:rPr>
          <w:rFonts w:ascii="宋体" w:hAnsi="宋体"/>
          <w:sz w:val="24"/>
        </w:rPr>
      </w:pPr>
      <w:r>
        <w:rPr>
          <w:rFonts w:hint="eastAsia" w:ascii="宋体" w:hAnsi="宋体"/>
          <w:sz w:val="24"/>
        </w:rPr>
        <w:t>（1）当政府采购活动中既有本国产品又有非本国产品参与竞争的，依法对本国产品给予价格评审优惠，对本国产品的报价给予20%的价格扣除，用扣除后的价格参与评审。</w:t>
      </w:r>
    </w:p>
    <w:p w14:paraId="0910CF40">
      <w:pPr>
        <w:tabs>
          <w:tab w:val="left" w:pos="900"/>
          <w:tab w:val="left" w:pos="1980"/>
          <w:tab w:val="left" w:pos="2014"/>
        </w:tabs>
        <w:snapToGrid w:val="0"/>
        <w:spacing w:line="360" w:lineRule="auto"/>
        <w:ind w:left="1980"/>
        <w:rPr>
          <w:rFonts w:ascii="宋体" w:hAnsi="宋体"/>
          <w:sz w:val="24"/>
        </w:rPr>
      </w:pPr>
      <w:r>
        <w:rPr>
          <w:rFonts w:hint="eastAsia" w:ascii="宋体" w:hAnsi="宋体"/>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4EB8F08">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3BDB1C5E">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5FDC22A8">
      <w:pPr>
        <w:tabs>
          <w:tab w:val="left" w:pos="1080"/>
        </w:tabs>
        <w:snapToGrid w:val="0"/>
        <w:spacing w:line="360" w:lineRule="auto"/>
        <w:ind w:left="1080"/>
        <w:rPr>
          <w:rFonts w:ascii="宋体" w:hAnsi="宋体"/>
          <w:sz w:val="28"/>
        </w:rPr>
      </w:pPr>
      <w:bookmarkStart w:id="169" w:name="_1.8_计量单位"/>
      <w:bookmarkEnd w:id="169"/>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1B2A5F13">
      <w:pPr>
        <w:pStyle w:val="3"/>
        <w:spacing w:before="0" w:line="360" w:lineRule="auto"/>
        <w:rPr>
          <w:rFonts w:ascii="宋体" w:hAnsi="宋体" w:eastAsia="宋体"/>
          <w:sz w:val="28"/>
        </w:rPr>
      </w:pPr>
      <w:bookmarkStart w:id="170" w:name="_Toc151193837"/>
      <w:bookmarkStart w:id="171" w:name="_Toc164229364"/>
      <w:bookmarkStart w:id="172" w:name="_Toc150774728"/>
      <w:bookmarkStart w:id="173" w:name="_Toc142311025"/>
      <w:bookmarkStart w:id="174" w:name="_Toc151193911"/>
      <w:bookmarkStart w:id="175" w:name="_Toc226965796"/>
      <w:bookmarkStart w:id="176" w:name="_Toc151193765"/>
      <w:bookmarkStart w:id="177" w:name="_Toc164608792"/>
      <w:bookmarkStart w:id="178" w:name="_Toc195842888"/>
      <w:bookmarkStart w:id="179" w:name="_Toc226965713"/>
      <w:bookmarkStart w:id="180" w:name="_Toc520356147"/>
      <w:bookmarkStart w:id="181" w:name="_Toc149720816"/>
      <w:bookmarkStart w:id="182" w:name="_Toc150774623"/>
      <w:bookmarkStart w:id="183" w:name="_Toc226309767"/>
      <w:bookmarkStart w:id="184" w:name="_Toc151193693"/>
      <w:bookmarkStart w:id="185" w:name="_Toc226337219"/>
      <w:bookmarkStart w:id="186" w:name="_Toc164608637"/>
      <w:bookmarkStart w:id="187" w:name="_Toc305158791"/>
      <w:bookmarkStart w:id="188" w:name="_Toc164229218"/>
      <w:bookmarkStart w:id="189" w:name="_Toc265228361"/>
      <w:bookmarkStart w:id="190" w:name="_Toc127161437"/>
      <w:bookmarkStart w:id="191" w:name="_Toc164351617"/>
      <w:bookmarkStart w:id="192" w:name="_Toc151190150"/>
      <w:bookmarkStart w:id="193" w:name="_Toc150480761"/>
      <w:bookmarkStart w:id="194" w:name="_Toc264969213"/>
      <w:bookmarkStart w:id="195" w:name="_Toc150509274"/>
      <w:bookmarkStart w:id="196" w:name="_Toc151193621"/>
      <w:bookmarkStart w:id="197" w:name="_Toc305158865"/>
      <w:bookmarkStart w:id="198" w:name="_Toc127151724"/>
      <w:bookmarkStart w:id="199" w:name="_Toc127151523"/>
      <w:r>
        <w:rPr>
          <w:rFonts w:ascii="宋体" w:hAnsi="宋体" w:eastAsia="宋体"/>
          <w:sz w:val="28"/>
        </w:rPr>
        <w:t>二</w:t>
      </w:r>
      <w:r>
        <w:rPr>
          <w:rFonts w:hint="eastAsia" w:ascii="宋体" w:hAnsi="宋体" w:eastAsia="宋体"/>
          <w:sz w:val="28"/>
        </w:rPr>
        <w:t>、</w:t>
      </w:r>
      <w:r>
        <w:rPr>
          <w:rFonts w:ascii="宋体" w:hAnsi="宋体" w:eastAsia="宋体"/>
          <w:sz w:val="28"/>
        </w:rPr>
        <w:t>招标文件</w:t>
      </w:r>
    </w:p>
    <w:p w14:paraId="438E1FCA">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sz w:val="24"/>
        </w:rPr>
        <w:t>成</w:t>
      </w:r>
    </w:p>
    <w:p w14:paraId="3E665197">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招标文件包括以下部分：</w:t>
      </w:r>
    </w:p>
    <w:p w14:paraId="7654D316">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投标邀请</w:t>
      </w:r>
    </w:p>
    <w:p w14:paraId="2F32ECE7">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投标人须知</w:t>
      </w:r>
    </w:p>
    <w:p w14:paraId="4FB721C6">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资格审查</w:t>
      </w:r>
    </w:p>
    <w:p w14:paraId="3F978A30">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评标程序、评标方法和评标标准</w:t>
      </w:r>
    </w:p>
    <w:p w14:paraId="339D2470">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采购需求</w:t>
      </w:r>
    </w:p>
    <w:p w14:paraId="2E8B9DBA">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拟签订的合同文本</w:t>
      </w:r>
    </w:p>
    <w:p w14:paraId="3D2EB586">
      <w:pPr>
        <w:numPr>
          <w:ilvl w:val="0"/>
          <w:numId w:val="3"/>
        </w:numPr>
        <w:tabs>
          <w:tab w:val="left" w:pos="1980"/>
          <w:tab w:val="left" w:pos="2520"/>
        </w:tabs>
        <w:snapToGrid w:val="0"/>
        <w:spacing w:line="360" w:lineRule="auto"/>
        <w:ind w:left="1134" w:firstLine="5"/>
        <w:rPr>
          <w:rFonts w:ascii="宋体" w:hAnsi="宋体"/>
          <w:sz w:val="24"/>
        </w:rPr>
      </w:pPr>
      <w:r>
        <w:rPr>
          <w:rFonts w:ascii="宋体" w:hAnsi="宋体"/>
          <w:sz w:val="24"/>
        </w:rPr>
        <w:t>投标文件格式</w:t>
      </w:r>
    </w:p>
    <w:p w14:paraId="43F69E0F">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671A911E">
      <w:pPr>
        <w:numPr>
          <w:ilvl w:val="0"/>
          <w:numId w:val="2"/>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013E2CC7">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494891F4">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0014184F">
      <w:pPr>
        <w:numPr>
          <w:ilvl w:val="1"/>
          <w:numId w:val="2"/>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DF54566">
      <w:pPr>
        <w:tabs>
          <w:tab w:val="left" w:pos="1080"/>
          <w:tab w:val="left" w:pos="1561"/>
        </w:tabs>
        <w:snapToGrid w:val="0"/>
        <w:spacing w:line="360" w:lineRule="auto"/>
        <w:ind w:left="1080"/>
        <w:rPr>
          <w:rFonts w:ascii="宋体" w:hAnsi="宋体"/>
          <w:sz w:val="28"/>
        </w:rPr>
      </w:pPr>
      <w:bookmarkStart w:id="200" w:name="_Toc516367020"/>
      <w:bookmarkStart w:id="201" w:name="_Toc151193624"/>
      <w:bookmarkStart w:id="202" w:name="_Toc150480764"/>
      <w:bookmarkStart w:id="203" w:name="_Toc151193768"/>
      <w:bookmarkStart w:id="204" w:name="_Toc151193696"/>
      <w:bookmarkStart w:id="205" w:name="_Toc151193914"/>
      <w:bookmarkStart w:id="206" w:name="_Toc226965716"/>
      <w:bookmarkStart w:id="207" w:name="_Toc150774626"/>
      <w:bookmarkStart w:id="208" w:name="_Toc150774731"/>
      <w:bookmarkStart w:id="209" w:name="_Toc150509277"/>
      <w:bookmarkStart w:id="210" w:name="_Toc305158868"/>
      <w:bookmarkStart w:id="211" w:name="_Toc520356150"/>
      <w:bookmarkStart w:id="212" w:name="_Toc226309770"/>
      <w:bookmarkStart w:id="213" w:name="_Toc264969216"/>
      <w:bookmarkStart w:id="214" w:name="_Toc226337222"/>
      <w:bookmarkStart w:id="215" w:name="_Toc265228364"/>
      <w:bookmarkStart w:id="216" w:name="_Toc195842891"/>
      <w:bookmarkStart w:id="217" w:name="_Toc142311028"/>
      <w:bookmarkStart w:id="218" w:name="_Toc226965799"/>
      <w:bookmarkStart w:id="219" w:name="_Toc151190153"/>
      <w:bookmarkStart w:id="220" w:name="_Toc305158794"/>
      <w:bookmarkStart w:id="221" w:name="_Toc127151526"/>
      <w:bookmarkStart w:id="222" w:name="_Toc151193840"/>
    </w:p>
    <w:p w14:paraId="65742475">
      <w:pPr>
        <w:pStyle w:val="3"/>
        <w:spacing w:before="0" w:line="360" w:lineRule="auto"/>
        <w:rPr>
          <w:rFonts w:ascii="宋体" w:hAnsi="宋体" w:eastAsia="宋体"/>
          <w:sz w:val="28"/>
        </w:rPr>
      </w:pPr>
      <w:r>
        <w:rPr>
          <w:rFonts w:ascii="宋体" w:hAnsi="宋体" w:eastAsia="宋体"/>
          <w:sz w:val="28"/>
        </w:rPr>
        <w:t>三</w:t>
      </w:r>
      <w:r>
        <w:rPr>
          <w:rFonts w:hint="eastAsia" w:ascii="宋体" w:hAnsi="宋体" w:eastAsia="宋体"/>
          <w:sz w:val="28"/>
        </w:rPr>
        <w:t>、</w:t>
      </w:r>
      <w:r>
        <w:rPr>
          <w:rFonts w:ascii="宋体" w:hAnsi="宋体" w:eastAsia="宋体"/>
          <w:sz w:val="28"/>
        </w:rPr>
        <w:t>投标文件</w:t>
      </w:r>
      <w:bookmarkEnd w:id="200"/>
      <w:r>
        <w:rPr>
          <w:rFonts w:ascii="宋体" w:hAnsi="宋体"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3A79224">
      <w:pPr>
        <w:numPr>
          <w:ilvl w:val="0"/>
          <w:numId w:val="2"/>
        </w:numPr>
        <w:tabs>
          <w:tab w:val="left" w:pos="360"/>
        </w:tabs>
        <w:snapToGrid w:val="0"/>
        <w:spacing w:line="360" w:lineRule="auto"/>
        <w:ind w:left="357" w:hanging="357"/>
        <w:outlineLvl w:val="1"/>
        <w:rPr>
          <w:rFonts w:ascii="宋体" w:hAnsi="宋体"/>
          <w:sz w:val="24"/>
        </w:rPr>
      </w:pPr>
      <w:bookmarkStart w:id="223" w:name="_Toc305158869"/>
      <w:bookmarkStart w:id="224" w:name="_Toc164608796"/>
      <w:bookmarkStart w:id="225" w:name="_Toc151193625"/>
      <w:bookmarkStart w:id="226" w:name="_Toc151193769"/>
      <w:bookmarkStart w:id="227" w:name="_Toc226309771"/>
      <w:bookmarkStart w:id="228" w:name="_Toc164608641"/>
      <w:bookmarkStart w:id="229" w:name="_Toc127161441"/>
      <w:bookmarkStart w:id="230" w:name="_Toc150509278"/>
      <w:bookmarkStart w:id="231" w:name="_Toc151190154"/>
      <w:bookmarkStart w:id="232" w:name="_Toc142311029"/>
      <w:bookmarkStart w:id="233" w:name="_Toc150480765"/>
      <w:bookmarkStart w:id="234" w:name="_Toc127151728"/>
      <w:bookmarkStart w:id="235" w:name="_Toc226965800"/>
      <w:bookmarkStart w:id="236" w:name="_Toc305158795"/>
      <w:bookmarkStart w:id="237" w:name="_Toc150774732"/>
      <w:bookmarkStart w:id="238" w:name="_Toc516367021"/>
      <w:bookmarkStart w:id="239" w:name="_Toc151193915"/>
      <w:bookmarkStart w:id="240" w:name="_Toc265228365"/>
      <w:bookmarkStart w:id="241" w:name="_Toc127151527"/>
      <w:bookmarkStart w:id="242" w:name="_Toc149720820"/>
      <w:bookmarkStart w:id="243" w:name="_Toc195842892"/>
      <w:bookmarkStart w:id="244" w:name="_Toc164229368"/>
      <w:bookmarkStart w:id="245" w:name="_Toc520356151"/>
      <w:bookmarkStart w:id="246" w:name="_Toc164351621"/>
      <w:bookmarkStart w:id="247" w:name="_Toc151193697"/>
      <w:bookmarkStart w:id="248" w:name="_Toc264969217"/>
      <w:bookmarkStart w:id="249" w:name="_Toc226337223"/>
      <w:bookmarkStart w:id="250" w:name="_Toc151193841"/>
      <w:bookmarkStart w:id="251" w:name="_Toc150774627"/>
      <w:bookmarkStart w:id="252" w:name="_Toc164229222"/>
      <w:bookmarkStart w:id="253" w:name="_Toc226965717"/>
      <w:r>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sz w:val="24"/>
        </w:rPr>
        <w:t>及投标语言</w:t>
      </w:r>
    </w:p>
    <w:p w14:paraId="3E9E4FA9">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w:t>
      </w:r>
      <w:r>
        <w:rPr>
          <w:rFonts w:hint="eastAsia" w:ascii="宋体" w:hAnsi="宋体"/>
          <w:sz w:val="24"/>
        </w:rPr>
        <w:t>是否允许同一投标人</w:t>
      </w:r>
      <w:r>
        <w:rPr>
          <w:rFonts w:ascii="宋体" w:hAnsi="宋体"/>
          <w:sz w:val="24"/>
        </w:rPr>
        <w:t>对多个采购包进行投标</w:t>
      </w:r>
      <w:r>
        <w:rPr>
          <w:rFonts w:hint="eastAsia" w:ascii="宋体" w:hAnsi="宋体"/>
          <w:sz w:val="24"/>
        </w:rPr>
        <w:t>时中标多个采购包见</w:t>
      </w:r>
      <w:r>
        <w:rPr>
          <w:rFonts w:ascii="宋体" w:hAnsi="宋体"/>
          <w:sz w:val="24"/>
        </w:rPr>
        <w:t>《投标人须知资料表》</w:t>
      </w:r>
      <w:r>
        <w:rPr>
          <w:rFonts w:hint="eastAsia" w:ascii="宋体" w:hAnsi="宋体"/>
          <w:sz w:val="24"/>
        </w:rPr>
        <w:t>。</w:t>
      </w:r>
      <w:r>
        <w:rPr>
          <w:rFonts w:ascii="宋体" w:hAnsi="宋体"/>
          <w:sz w:val="24"/>
        </w:rPr>
        <w:t>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A62E567">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1F07868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EC1726F">
      <w:pPr>
        <w:numPr>
          <w:ilvl w:val="0"/>
          <w:numId w:val="2"/>
        </w:numPr>
        <w:tabs>
          <w:tab w:val="left" w:pos="360"/>
        </w:tabs>
        <w:snapToGrid w:val="0"/>
        <w:spacing w:line="360" w:lineRule="auto"/>
        <w:ind w:left="357" w:hanging="357"/>
        <w:outlineLvl w:val="1"/>
        <w:rPr>
          <w:rFonts w:ascii="宋体" w:hAnsi="宋体"/>
          <w:sz w:val="24"/>
        </w:rPr>
      </w:pPr>
      <w:bookmarkStart w:id="254" w:name="_Toc516367022"/>
      <w:bookmarkStart w:id="255" w:name="_Ref467306676"/>
      <w:bookmarkStart w:id="256" w:name="_Ref467306195"/>
      <w:bookmarkStart w:id="257" w:name="_Toc164229369"/>
      <w:bookmarkStart w:id="258" w:name="_Toc520356152"/>
      <w:bookmarkStart w:id="259" w:name="_Toc264969218"/>
      <w:bookmarkStart w:id="260" w:name="_Toc127151729"/>
      <w:bookmarkStart w:id="261" w:name="_Toc305158796"/>
      <w:bookmarkStart w:id="262" w:name="_Toc151190155"/>
      <w:bookmarkStart w:id="263" w:name="_Toc150774733"/>
      <w:bookmarkStart w:id="264" w:name="_Toc226309772"/>
      <w:bookmarkStart w:id="265" w:name="_Toc305158870"/>
      <w:bookmarkStart w:id="266" w:name="_Toc151193916"/>
      <w:bookmarkStart w:id="267" w:name="_Toc195842893"/>
      <w:bookmarkStart w:id="268" w:name="_Toc164608797"/>
      <w:bookmarkStart w:id="269" w:name="_Toc151193770"/>
      <w:bookmarkStart w:id="270" w:name="_Toc149720821"/>
      <w:bookmarkStart w:id="271" w:name="_Toc151193698"/>
      <w:bookmarkStart w:id="272" w:name="_Toc150774628"/>
      <w:bookmarkStart w:id="273" w:name="_Toc150480766"/>
      <w:bookmarkStart w:id="274" w:name="_Toc151193626"/>
      <w:bookmarkStart w:id="275" w:name="_Toc226337224"/>
      <w:bookmarkStart w:id="276" w:name="_Toc265228366"/>
      <w:bookmarkStart w:id="277" w:name="_Toc226965718"/>
      <w:bookmarkStart w:id="278" w:name="_Toc151193842"/>
      <w:bookmarkStart w:id="279" w:name="_Toc164229223"/>
      <w:bookmarkStart w:id="280" w:name="_Toc164351622"/>
      <w:bookmarkStart w:id="281" w:name="_Toc142311030"/>
      <w:bookmarkStart w:id="282" w:name="_Toc164608642"/>
      <w:bookmarkStart w:id="283" w:name="_Toc150509279"/>
      <w:bookmarkStart w:id="284" w:name="_Toc226965801"/>
      <w:bookmarkStart w:id="285" w:name="_Toc127161442"/>
      <w:bookmarkStart w:id="286" w:name="_Toc127151528"/>
      <w:r>
        <w:rPr>
          <w:rFonts w:ascii="宋体" w:hAnsi="宋体"/>
          <w:sz w:val="24"/>
        </w:rPr>
        <w:t>投标文件</w:t>
      </w:r>
      <w:bookmarkEnd w:id="254"/>
      <w:bookmarkEnd w:id="255"/>
      <w:bookmarkEnd w:id="256"/>
      <w:r>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E501AC3">
      <w:pPr>
        <w:numPr>
          <w:ilvl w:val="1"/>
          <w:numId w:val="2"/>
        </w:numPr>
        <w:tabs>
          <w:tab w:val="left" w:pos="1080"/>
          <w:tab w:val="left" w:pos="2014"/>
        </w:tabs>
        <w:snapToGrid w:val="0"/>
        <w:spacing w:line="360" w:lineRule="auto"/>
        <w:ind w:left="1077" w:hanging="720"/>
        <w:rPr>
          <w:rFonts w:ascii="宋体" w:hAnsi="宋体"/>
          <w:sz w:val="24"/>
        </w:rPr>
      </w:pPr>
      <w:bookmarkStart w:id="287"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421F9038">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FEC84F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3FB5E2A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FC5023A">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7"/>
    </w:p>
    <w:p w14:paraId="03F33195">
      <w:pPr>
        <w:numPr>
          <w:ilvl w:val="0"/>
          <w:numId w:val="2"/>
        </w:numPr>
        <w:tabs>
          <w:tab w:val="left" w:pos="360"/>
        </w:tabs>
        <w:snapToGrid w:val="0"/>
        <w:spacing w:line="360" w:lineRule="auto"/>
        <w:ind w:left="357" w:hanging="357"/>
        <w:outlineLvl w:val="1"/>
        <w:rPr>
          <w:rFonts w:ascii="宋体" w:hAnsi="宋体"/>
          <w:sz w:val="24"/>
        </w:rPr>
      </w:pPr>
      <w:bookmarkStart w:id="288" w:name="_Toc151193918"/>
      <w:bookmarkStart w:id="289" w:name="_Toc195842895"/>
      <w:bookmarkStart w:id="290" w:name="_Toc151193772"/>
      <w:bookmarkStart w:id="291" w:name="_Toc142311032"/>
      <w:bookmarkStart w:id="292" w:name="_Toc150774630"/>
      <w:bookmarkStart w:id="293" w:name="_Toc150480768"/>
      <w:bookmarkStart w:id="294" w:name="_Toc164229371"/>
      <w:bookmarkStart w:id="295" w:name="_Toc151193844"/>
      <w:bookmarkStart w:id="296" w:name="_Toc127151731"/>
      <w:bookmarkStart w:id="297" w:name="_Toc127161444"/>
      <w:bookmarkStart w:id="298" w:name="_Toc151190157"/>
      <w:bookmarkStart w:id="299" w:name="_Toc151193700"/>
      <w:bookmarkStart w:id="300" w:name="_Toc150774735"/>
      <w:bookmarkStart w:id="301" w:name="_Toc150509281"/>
      <w:bookmarkStart w:id="302" w:name="_Toc151193628"/>
      <w:bookmarkStart w:id="303" w:name="_Toc164608799"/>
      <w:bookmarkStart w:id="304" w:name="_Toc149720823"/>
      <w:bookmarkStart w:id="305" w:name="_Toc127151530"/>
      <w:bookmarkStart w:id="306" w:name="_Toc520356155"/>
      <w:bookmarkStart w:id="307" w:name="_Toc164229225"/>
      <w:bookmarkStart w:id="308" w:name="_Toc164351624"/>
      <w:bookmarkStart w:id="309" w:name="_Toc164608644"/>
      <w:r>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3C1D1AF">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所有投标均以人民币报价。</w:t>
      </w:r>
    </w:p>
    <w:p w14:paraId="5D95F506">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w:t>
      </w:r>
      <w:r>
        <w:rPr>
          <w:rFonts w:hint="eastAsia" w:ascii="宋体" w:hAnsi="宋体"/>
          <w:sz w:val="24"/>
        </w:rPr>
        <w:t>采购人</w:t>
      </w:r>
      <w:r>
        <w:rPr>
          <w:rFonts w:ascii="宋体" w:hAnsi="宋体"/>
          <w:sz w:val="24"/>
        </w:rPr>
        <w:t>将不再支付报价以外的任何费用。</w:t>
      </w:r>
      <w:r>
        <w:rPr>
          <w:rFonts w:hint="eastAsia" w:ascii="宋体" w:hAnsi="宋体"/>
          <w:sz w:val="24"/>
        </w:rPr>
        <w:t>投标人的报价应包括但不限于下列内容，《投标人须知资料表》中有特殊规定的，从其规定。</w:t>
      </w:r>
    </w:p>
    <w:p w14:paraId="5CE5C7D6">
      <w:pPr>
        <w:numPr>
          <w:ilvl w:val="2"/>
          <w:numId w:val="2"/>
        </w:numPr>
        <w:snapToGrid w:val="0"/>
        <w:spacing w:line="360" w:lineRule="auto"/>
        <w:rPr>
          <w:rFonts w:ascii="宋体" w:hAnsi="宋体"/>
          <w:sz w:val="24"/>
        </w:rPr>
      </w:pPr>
      <w:r>
        <w:rPr>
          <w:rFonts w:hint="eastAsia"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63042B7">
      <w:pPr>
        <w:numPr>
          <w:ilvl w:val="2"/>
          <w:numId w:val="2"/>
        </w:numPr>
        <w:snapToGrid w:val="0"/>
        <w:spacing w:line="360" w:lineRule="auto"/>
        <w:rPr>
          <w:rFonts w:ascii="宋体" w:hAnsi="宋体"/>
          <w:sz w:val="24"/>
        </w:rPr>
      </w:pPr>
      <w:r>
        <w:rPr>
          <w:rFonts w:ascii="宋体" w:hAnsi="宋体"/>
          <w:sz w:val="24"/>
        </w:rPr>
        <w:t>按照招标文件要求完成本项目的全部相关服务费用。</w:t>
      </w:r>
    </w:p>
    <w:p w14:paraId="347C6EDA">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24B56B27">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w:t>
      </w:r>
      <w:r>
        <w:rPr>
          <w:rFonts w:hint="eastAsia" w:ascii="宋体" w:hAnsi="宋体"/>
          <w:sz w:val="24"/>
        </w:rPr>
        <w:t>（招标文件另有规定的除外），</w:t>
      </w:r>
      <w:r>
        <w:rPr>
          <w:rFonts w:ascii="宋体" w:hAnsi="宋体"/>
          <w:sz w:val="24"/>
        </w:rPr>
        <w:t>否则其</w:t>
      </w:r>
      <w:r>
        <w:rPr>
          <w:rFonts w:ascii="宋体" w:hAnsi="宋体"/>
          <w:b/>
          <w:sz w:val="24"/>
        </w:rPr>
        <w:t>投标无效</w:t>
      </w:r>
      <w:r>
        <w:rPr>
          <w:rFonts w:ascii="宋体" w:hAnsi="宋体"/>
          <w:sz w:val="24"/>
        </w:rPr>
        <w:t>。</w:t>
      </w:r>
    </w:p>
    <w:p w14:paraId="5EDC755B">
      <w:pPr>
        <w:numPr>
          <w:ilvl w:val="1"/>
          <w:numId w:val="2"/>
        </w:numPr>
        <w:tabs>
          <w:tab w:val="left" w:pos="1080"/>
          <w:tab w:val="left" w:pos="2014"/>
        </w:tabs>
        <w:snapToGrid w:val="0"/>
        <w:spacing w:line="360" w:lineRule="auto"/>
        <w:ind w:left="1080" w:hanging="720"/>
        <w:rPr>
          <w:rFonts w:ascii="宋体" w:hAnsi="宋体"/>
          <w:sz w:val="24"/>
        </w:rPr>
      </w:pPr>
      <w:r>
        <w:rPr>
          <w:rFonts w:hint="eastAsia" w:ascii="宋体" w:hAnsi="宋体"/>
          <w:sz w:val="24"/>
        </w:rPr>
        <w:t>投标报价超过招标文件中规定的项目/采购包预算金额或者项目/采购包最高限价或者单价最高限价的，其</w:t>
      </w:r>
      <w:r>
        <w:rPr>
          <w:rFonts w:ascii="宋体" w:hAnsi="宋体"/>
          <w:b/>
          <w:sz w:val="24"/>
        </w:rPr>
        <w:t>投标无效</w:t>
      </w:r>
      <w:r>
        <w:rPr>
          <w:rFonts w:hint="eastAsia" w:ascii="宋体" w:hAnsi="宋体" w:cs="宋体"/>
          <w:b/>
          <w:bCs/>
          <w:sz w:val="24"/>
        </w:rPr>
        <w:t>。</w:t>
      </w:r>
    </w:p>
    <w:p w14:paraId="4A8F1B1F">
      <w:pPr>
        <w:numPr>
          <w:ilvl w:val="0"/>
          <w:numId w:val="2"/>
        </w:numPr>
        <w:tabs>
          <w:tab w:val="left" w:pos="360"/>
        </w:tabs>
        <w:snapToGrid w:val="0"/>
        <w:spacing w:line="360" w:lineRule="auto"/>
        <w:ind w:left="357" w:hanging="357"/>
        <w:outlineLvl w:val="1"/>
        <w:rPr>
          <w:rFonts w:ascii="宋体" w:hAnsi="宋体"/>
          <w:sz w:val="24"/>
        </w:rPr>
      </w:pPr>
      <w:bookmarkStart w:id="310" w:name="_Toc127161445"/>
      <w:bookmarkStart w:id="311" w:name="_Toc142311033"/>
      <w:bookmarkStart w:id="312" w:name="_Toc226337227"/>
      <w:bookmarkStart w:id="313" w:name="_Toc151190158"/>
      <w:bookmarkStart w:id="314" w:name="_Toc150480769"/>
      <w:bookmarkStart w:id="315" w:name="_Toc151193629"/>
      <w:bookmarkStart w:id="316" w:name="_Toc127151732"/>
      <w:bookmarkStart w:id="317" w:name="_Toc150774736"/>
      <w:bookmarkStart w:id="318" w:name="_Toc151193701"/>
      <w:bookmarkStart w:id="319" w:name="_Toc226965804"/>
      <w:bookmarkStart w:id="320" w:name="_Toc264969221"/>
      <w:bookmarkStart w:id="321" w:name="_Toc226965721"/>
      <w:bookmarkStart w:id="322" w:name="_Toc164608800"/>
      <w:bookmarkStart w:id="323" w:name="_Toc195842896"/>
      <w:bookmarkStart w:id="324" w:name="_Toc226309775"/>
      <w:bookmarkStart w:id="325" w:name="_Toc127151531"/>
      <w:bookmarkStart w:id="326" w:name="_Toc305158873"/>
      <w:bookmarkStart w:id="327" w:name="_Toc164351625"/>
      <w:bookmarkStart w:id="328" w:name="_Toc151193919"/>
      <w:bookmarkStart w:id="329" w:name="_Toc149720824"/>
      <w:bookmarkStart w:id="330" w:name="_Toc151193845"/>
      <w:bookmarkStart w:id="331" w:name="_Toc164229226"/>
      <w:bookmarkStart w:id="332" w:name="_Toc150509282"/>
      <w:bookmarkStart w:id="333" w:name="_Ref467306513"/>
      <w:bookmarkStart w:id="334" w:name="_Toc151193773"/>
      <w:bookmarkStart w:id="335" w:name="_Toc265228369"/>
      <w:bookmarkStart w:id="336" w:name="_Toc305158799"/>
      <w:bookmarkStart w:id="337" w:name="_Toc520356156"/>
      <w:bookmarkStart w:id="338" w:name="_Toc150774631"/>
      <w:bookmarkStart w:id="339" w:name="_Toc164229372"/>
      <w:bookmarkStart w:id="340" w:name="_Toc164608645"/>
      <w:r>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F103FC9">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投标人应按《投标人须知资料表》中规定的金额及要求交纳投标保证金，投标人自愿超额缴纳投标保证金的，投标文件不做无效处理。</w:t>
      </w:r>
    </w:p>
    <w:p w14:paraId="5D6C05D1">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14281040">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w:t>
      </w:r>
    </w:p>
    <w:p w14:paraId="60041B40">
      <w:pPr>
        <w:numPr>
          <w:ilvl w:val="1"/>
          <w:numId w:val="2"/>
        </w:numPr>
        <w:tabs>
          <w:tab w:val="left" w:pos="1080"/>
          <w:tab w:val="left" w:pos="2014"/>
        </w:tabs>
        <w:snapToGrid w:val="0"/>
        <w:spacing w:line="360" w:lineRule="auto"/>
        <w:ind w:left="1077" w:hanging="720"/>
        <w:rPr>
          <w:rFonts w:ascii="宋体" w:hAnsi="宋体"/>
        </w:rPr>
      </w:pPr>
      <w:r>
        <w:rPr>
          <w:rFonts w:ascii="宋体" w:hAnsi="宋体"/>
          <w:sz w:val="24"/>
        </w:rPr>
        <w:t>投标人除需在投标文件中提供“投标保证金凭证</w:t>
      </w:r>
      <w:r>
        <w:rPr>
          <w:rFonts w:ascii="宋体" w:hAnsi="宋体" w:cs="Arial"/>
          <w:sz w:val="24"/>
        </w:rPr>
        <w:t>/</w:t>
      </w:r>
      <w:r>
        <w:rPr>
          <w:rFonts w:ascii="宋体" w:hAnsi="宋体"/>
          <w:sz w:val="24"/>
        </w:rPr>
        <w:t>交款单据电子件”，还需在投标截止时间前，通过电子交易平台上传“投标保证金凭证</w:t>
      </w:r>
      <w:r>
        <w:rPr>
          <w:rFonts w:ascii="宋体" w:hAnsi="宋体" w:cs="Arial"/>
          <w:sz w:val="24"/>
        </w:rPr>
        <w:t>/</w:t>
      </w:r>
      <w:r>
        <w:rPr>
          <w:rFonts w:ascii="宋体" w:hAnsi="宋体"/>
          <w:sz w:val="24"/>
        </w:rPr>
        <w:t>交款单据电子件”。</w:t>
      </w:r>
    </w:p>
    <w:p w14:paraId="1896425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577BC025">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投标人为联合体的，可以由联合体中的一方或者多方共同交纳投标保证金，其交纳的投标保证金对联合体各方均具有约束力。</w:t>
      </w:r>
    </w:p>
    <w:p w14:paraId="418742A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hint="eastAsia" w:ascii="宋体" w:hAnsi="宋体"/>
          <w:sz w:val="24"/>
        </w:rPr>
        <w:t>投标</w:t>
      </w:r>
      <w:r>
        <w:rPr>
          <w:rFonts w:ascii="宋体" w:hAnsi="宋体"/>
          <w:sz w:val="24"/>
        </w:rPr>
        <w:t>保证金，经</w:t>
      </w:r>
      <w:r>
        <w:rPr>
          <w:rFonts w:hint="eastAsia" w:ascii="宋体" w:hAnsi="宋体"/>
          <w:sz w:val="24"/>
        </w:rPr>
        <w:t>投标人</w:t>
      </w:r>
      <w:r>
        <w:rPr>
          <w:rFonts w:ascii="宋体" w:hAnsi="宋体"/>
          <w:sz w:val="24"/>
        </w:rPr>
        <w:t>同意后采购人、采购代理机构可以不再退还，但因投标人自身原因导致无法及时退还的除外：</w:t>
      </w:r>
    </w:p>
    <w:p w14:paraId="7D14DA21">
      <w:pPr>
        <w:numPr>
          <w:ilvl w:val="2"/>
          <w:numId w:val="2"/>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24011F8C">
      <w:pPr>
        <w:numPr>
          <w:ilvl w:val="2"/>
          <w:numId w:val="2"/>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5A240591">
      <w:pPr>
        <w:numPr>
          <w:ilvl w:val="2"/>
          <w:numId w:val="2"/>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2F65EFF">
      <w:pPr>
        <w:numPr>
          <w:ilvl w:val="2"/>
          <w:numId w:val="2"/>
        </w:numPr>
        <w:snapToGrid w:val="0"/>
        <w:spacing w:line="360" w:lineRule="auto"/>
        <w:rPr>
          <w:rFonts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30A735E1">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19CAB908">
      <w:pPr>
        <w:numPr>
          <w:ilvl w:val="2"/>
          <w:numId w:val="2"/>
        </w:numPr>
        <w:snapToGrid w:val="0"/>
        <w:spacing w:line="360" w:lineRule="auto"/>
        <w:rPr>
          <w:rFonts w:ascii="宋体" w:hAnsi="宋体"/>
          <w:sz w:val="24"/>
        </w:rPr>
      </w:pPr>
      <w:r>
        <w:rPr>
          <w:rFonts w:ascii="宋体" w:hAnsi="宋体"/>
          <w:sz w:val="24"/>
        </w:rPr>
        <w:t>投标有效期内投标人撤销投标文件的；</w:t>
      </w:r>
    </w:p>
    <w:p w14:paraId="1129158A">
      <w:pPr>
        <w:numPr>
          <w:ilvl w:val="2"/>
          <w:numId w:val="2"/>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702C1A5C">
      <w:pPr>
        <w:numPr>
          <w:ilvl w:val="0"/>
          <w:numId w:val="2"/>
        </w:numPr>
        <w:tabs>
          <w:tab w:val="left" w:pos="360"/>
        </w:tabs>
        <w:snapToGrid w:val="0"/>
        <w:spacing w:line="360" w:lineRule="auto"/>
        <w:ind w:left="357" w:hanging="357"/>
        <w:outlineLvl w:val="1"/>
        <w:rPr>
          <w:rFonts w:ascii="宋体" w:hAnsi="宋体"/>
          <w:sz w:val="24"/>
        </w:rPr>
      </w:pPr>
      <w:bookmarkStart w:id="341" w:name="_Toc226309776"/>
      <w:bookmarkStart w:id="342" w:name="_Toc150774737"/>
      <w:bookmarkStart w:id="343" w:name="_Toc164608801"/>
      <w:bookmarkStart w:id="344" w:name="_Toc142311034"/>
      <w:bookmarkStart w:id="345" w:name="_Toc520356157"/>
      <w:bookmarkStart w:id="346" w:name="_Toc226965805"/>
      <w:bookmarkStart w:id="347" w:name="_Toc151193846"/>
      <w:bookmarkStart w:id="348" w:name="_Toc150774632"/>
      <w:bookmarkStart w:id="349" w:name="_Toc164351626"/>
      <w:bookmarkStart w:id="350" w:name="_Toc151193774"/>
      <w:bookmarkStart w:id="351" w:name="_Toc151190159"/>
      <w:bookmarkStart w:id="352" w:name="_Toc164229373"/>
      <w:bookmarkStart w:id="353" w:name="_Toc151193920"/>
      <w:bookmarkStart w:id="354" w:name="_Toc226337228"/>
      <w:bookmarkStart w:id="355" w:name="_Toc127161446"/>
      <w:bookmarkStart w:id="356" w:name="_Toc149720825"/>
      <w:bookmarkStart w:id="357" w:name="_Toc264969222"/>
      <w:bookmarkStart w:id="358" w:name="_Toc195842897"/>
      <w:bookmarkStart w:id="359" w:name="_Toc151193630"/>
      <w:bookmarkStart w:id="360" w:name="_Toc305158800"/>
      <w:bookmarkStart w:id="361" w:name="_Toc265228370"/>
      <w:bookmarkStart w:id="362" w:name="_Toc150509283"/>
      <w:bookmarkStart w:id="363" w:name="_Toc164229227"/>
      <w:bookmarkStart w:id="364" w:name="_Toc151193702"/>
      <w:bookmarkStart w:id="365" w:name="_Toc164608646"/>
      <w:bookmarkStart w:id="366" w:name="_Toc127151733"/>
      <w:bookmarkStart w:id="367" w:name="_Toc127151532"/>
      <w:bookmarkStart w:id="368" w:name="_Toc226965722"/>
      <w:bookmarkStart w:id="369" w:name="_Toc305158874"/>
      <w:bookmarkStart w:id="370" w:name="_Toc150480770"/>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6FC2358">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1E4E4C5">
      <w:pPr>
        <w:numPr>
          <w:ilvl w:val="0"/>
          <w:numId w:val="2"/>
        </w:numPr>
        <w:tabs>
          <w:tab w:val="left" w:pos="360"/>
        </w:tabs>
        <w:snapToGrid w:val="0"/>
        <w:spacing w:line="360" w:lineRule="auto"/>
        <w:ind w:left="357" w:hanging="357"/>
        <w:outlineLvl w:val="1"/>
        <w:rPr>
          <w:rFonts w:ascii="宋体" w:hAnsi="宋体"/>
          <w:sz w:val="24"/>
        </w:rPr>
      </w:pPr>
      <w:bookmarkStart w:id="371" w:name="_Toc520356158"/>
      <w:bookmarkStart w:id="372" w:name="_Toc151193703"/>
      <w:bookmarkStart w:id="373" w:name="_Toc226337229"/>
      <w:bookmarkStart w:id="374" w:name="_Toc127161447"/>
      <w:bookmarkStart w:id="375" w:name="_Toc226309777"/>
      <w:bookmarkStart w:id="376" w:name="_Toc164229228"/>
      <w:bookmarkStart w:id="377" w:name="_Toc150774633"/>
      <w:bookmarkStart w:id="378" w:name="_Toc150480771"/>
      <w:bookmarkStart w:id="379" w:name="_Toc127151533"/>
      <w:bookmarkStart w:id="380" w:name="_Toc164229374"/>
      <w:bookmarkStart w:id="381" w:name="_Toc151193631"/>
      <w:bookmarkStart w:id="382" w:name="_Toc150774738"/>
      <w:bookmarkStart w:id="383" w:name="_Toc142311035"/>
      <w:bookmarkStart w:id="384" w:name="_Toc151193847"/>
      <w:bookmarkStart w:id="385" w:name="_Toc195842898"/>
      <w:bookmarkStart w:id="386" w:name="_Toc164608802"/>
      <w:bookmarkStart w:id="387" w:name="_Toc226965723"/>
      <w:bookmarkStart w:id="388" w:name="_Toc164608647"/>
      <w:bookmarkStart w:id="389" w:name="_Toc265228371"/>
      <w:bookmarkStart w:id="390" w:name="_Toc151190160"/>
      <w:bookmarkStart w:id="391" w:name="_Toc150509284"/>
      <w:bookmarkStart w:id="392" w:name="_Toc305158801"/>
      <w:bookmarkStart w:id="393" w:name="_Toc149720826"/>
      <w:bookmarkStart w:id="394" w:name="_Toc226965806"/>
      <w:bookmarkStart w:id="395" w:name="_Toc164351627"/>
      <w:bookmarkStart w:id="396" w:name="_Toc151193775"/>
      <w:bookmarkStart w:id="397" w:name="_Toc264969223"/>
      <w:bookmarkStart w:id="398" w:name="_Toc151193921"/>
      <w:bookmarkStart w:id="399" w:name="_Toc305158875"/>
      <w:bookmarkStart w:id="400" w:name="_Toc127151734"/>
      <w:bookmarkStart w:id="401" w:name="_Toc226965724"/>
      <w:bookmarkStart w:id="402" w:name="_Toc150480772"/>
      <w:bookmarkStart w:id="403" w:name="_Toc520356159"/>
      <w:bookmarkStart w:id="404" w:name="_Toc151190161"/>
      <w:bookmarkStart w:id="405" w:name="_Toc127151534"/>
      <w:bookmarkStart w:id="406" w:name="_Toc226337230"/>
      <w:bookmarkStart w:id="407" w:name="_Toc264969224"/>
      <w:bookmarkStart w:id="408" w:name="_Toc150774739"/>
      <w:bookmarkStart w:id="409" w:name="_Toc305158876"/>
      <w:bookmarkStart w:id="410" w:name="_Toc226965807"/>
      <w:bookmarkStart w:id="411" w:name="_Toc142311036"/>
      <w:bookmarkStart w:id="412" w:name="_Toc150774634"/>
      <w:bookmarkStart w:id="413" w:name="_Toc226309778"/>
      <w:bookmarkStart w:id="414" w:name="_Toc151193848"/>
      <w:bookmarkStart w:id="415" w:name="_Toc151193922"/>
      <w:bookmarkStart w:id="416" w:name="_Toc150509285"/>
      <w:bookmarkStart w:id="417" w:name="_Toc305158802"/>
      <w:bookmarkStart w:id="418" w:name="_Toc265228372"/>
      <w:bookmarkStart w:id="419" w:name="_Toc151193704"/>
      <w:bookmarkStart w:id="420" w:name="_Toc151193776"/>
      <w:bookmarkStart w:id="421" w:name="_Toc151193632"/>
      <w:bookmarkStart w:id="422" w:name="_Toc195842899"/>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752958CB">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E404E12">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招标文件要求盖章的内容，一般通过投标文件编制工具加盖电子签章。</w:t>
      </w:r>
    </w:p>
    <w:p w14:paraId="13FFD8CA">
      <w:pPr>
        <w:rPr>
          <w:rFonts w:ascii="宋体" w:hAnsi="宋体"/>
        </w:rPr>
      </w:pPr>
    </w:p>
    <w:p w14:paraId="592C8576">
      <w:pPr>
        <w:pStyle w:val="3"/>
        <w:spacing w:before="0" w:line="360" w:lineRule="auto"/>
        <w:rPr>
          <w:rFonts w:ascii="宋体" w:hAnsi="宋体" w:eastAsia="宋体"/>
          <w:sz w:val="28"/>
        </w:rPr>
      </w:pPr>
      <w:r>
        <w:rPr>
          <w:rFonts w:ascii="宋体" w:hAnsi="宋体" w:eastAsia="宋体"/>
          <w:sz w:val="28"/>
        </w:rPr>
        <w:t>四</w:t>
      </w:r>
      <w:r>
        <w:rPr>
          <w:rFonts w:hint="eastAsia" w:ascii="宋体" w:hAnsi="宋体" w:eastAsia="宋体"/>
          <w:sz w:val="28"/>
        </w:rPr>
        <w:t>、</w:t>
      </w:r>
      <w:r>
        <w:rPr>
          <w:rFonts w:ascii="宋体" w:hAnsi="宋体" w:eastAsia="宋体"/>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C08F608">
      <w:pPr>
        <w:numPr>
          <w:ilvl w:val="0"/>
          <w:numId w:val="2"/>
        </w:numPr>
        <w:tabs>
          <w:tab w:val="left" w:pos="360"/>
        </w:tabs>
        <w:snapToGrid w:val="0"/>
        <w:spacing w:line="360" w:lineRule="auto"/>
        <w:ind w:left="357" w:hanging="357"/>
        <w:outlineLvl w:val="1"/>
        <w:rPr>
          <w:rFonts w:ascii="宋体" w:hAnsi="宋体"/>
          <w:sz w:val="24"/>
        </w:rPr>
      </w:pPr>
      <w:bookmarkStart w:id="423" w:name="_Toc305158877"/>
      <w:bookmarkStart w:id="424" w:name="_Toc164229230"/>
      <w:bookmarkStart w:id="425" w:name="_Toc150774740"/>
      <w:bookmarkStart w:id="426" w:name="_Toc151193923"/>
      <w:bookmarkStart w:id="427" w:name="_Toc150480773"/>
      <w:bookmarkStart w:id="428" w:name="_Toc150509286"/>
      <w:bookmarkStart w:id="429" w:name="_Toc127151736"/>
      <w:bookmarkStart w:id="430" w:name="_Toc127161449"/>
      <w:bookmarkStart w:id="431" w:name="_Toc164351629"/>
      <w:bookmarkStart w:id="432" w:name="_Toc151193633"/>
      <w:bookmarkStart w:id="433" w:name="_Toc226965808"/>
      <w:bookmarkStart w:id="434" w:name="_Toc127151535"/>
      <w:bookmarkStart w:id="435" w:name="_Toc149720828"/>
      <w:bookmarkStart w:id="436" w:name="_Toc195842900"/>
      <w:bookmarkStart w:id="437" w:name="_Toc164608804"/>
      <w:bookmarkStart w:id="438" w:name="_Toc142311037"/>
      <w:bookmarkStart w:id="439" w:name="_Toc151193849"/>
      <w:bookmarkStart w:id="440" w:name="_Toc265228373"/>
      <w:bookmarkStart w:id="441" w:name="_Toc226309779"/>
      <w:bookmarkStart w:id="442" w:name="_Toc151190162"/>
      <w:bookmarkStart w:id="443" w:name="_Toc150774635"/>
      <w:bookmarkStart w:id="444" w:name="_Toc151193705"/>
      <w:bookmarkStart w:id="445" w:name="_Toc151193777"/>
      <w:bookmarkStart w:id="446" w:name="_Toc164608649"/>
      <w:bookmarkStart w:id="447" w:name="_Toc226965725"/>
      <w:bookmarkStart w:id="448" w:name="_Toc520356160"/>
      <w:bookmarkStart w:id="449" w:name="_Toc164229376"/>
      <w:bookmarkStart w:id="450" w:name="_Toc305158803"/>
      <w:bookmarkStart w:id="451" w:name="_Toc226337231"/>
      <w:bookmarkStart w:id="452" w:name="_Toc264969225"/>
      <w:bookmarkStart w:id="453" w:name="_Toc149720829"/>
      <w:bookmarkStart w:id="454" w:name="_Toc150774636"/>
      <w:bookmarkStart w:id="455" w:name="_Toc226309780"/>
      <w:bookmarkStart w:id="456" w:name="_Toc164608650"/>
      <w:bookmarkStart w:id="457" w:name="_Toc151193924"/>
      <w:bookmarkStart w:id="458" w:name="_Toc226965809"/>
      <w:bookmarkStart w:id="459" w:name="_Toc127151737"/>
      <w:bookmarkStart w:id="460" w:name="_Toc164229377"/>
      <w:bookmarkStart w:id="461" w:name="_Toc151193850"/>
      <w:bookmarkStart w:id="462" w:name="_Toc265228374"/>
      <w:bookmarkStart w:id="463" w:name="_Toc164351630"/>
      <w:bookmarkStart w:id="464" w:name="_Toc264969226"/>
      <w:bookmarkStart w:id="465" w:name="_Toc226965726"/>
      <w:bookmarkStart w:id="466" w:name="_Toc305158804"/>
      <w:bookmarkStart w:id="467" w:name="_Toc150774741"/>
      <w:bookmarkStart w:id="468" w:name="_Toc195842901"/>
      <w:bookmarkStart w:id="469" w:name="_Toc150509287"/>
      <w:bookmarkStart w:id="470" w:name="_Toc305158878"/>
      <w:bookmarkStart w:id="471" w:name="_Toc164229231"/>
      <w:bookmarkStart w:id="472" w:name="_Toc151190163"/>
      <w:bookmarkStart w:id="473" w:name="_Toc151193778"/>
      <w:bookmarkStart w:id="474" w:name="_Toc150480774"/>
      <w:bookmarkStart w:id="475" w:name="_Toc151193634"/>
      <w:bookmarkStart w:id="476" w:name="_Toc127161450"/>
      <w:bookmarkStart w:id="477" w:name="_Toc151193706"/>
      <w:bookmarkStart w:id="478" w:name="_Toc164608805"/>
      <w:bookmarkStart w:id="479" w:name="_Toc127151536"/>
      <w:bookmarkStart w:id="480" w:name="_Toc520356161"/>
      <w:bookmarkStart w:id="481" w:name="_Toc226337232"/>
      <w:bookmarkStart w:id="482" w:name="_Toc142311038"/>
      <w:r>
        <w:rPr>
          <w:rFonts w:ascii="宋体" w:hAnsi="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提交</w:t>
      </w:r>
    </w:p>
    <w:p w14:paraId="1ED3558B">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本项目使用北京市政府采购电子交易平台 。投标人根据招标文件及电子交易 平台供应商操作手册要求编制、生成并提交电子投标文件。</w:t>
      </w:r>
    </w:p>
    <w:p w14:paraId="2C8577A9">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采购人及采购代理机构拒绝接受通过电子交易平台以外任何形式提交的投标 文件，投标保证金除外。</w:t>
      </w:r>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14:paraId="174C50C9">
      <w:pPr>
        <w:numPr>
          <w:ilvl w:val="0"/>
          <w:numId w:val="2"/>
        </w:numPr>
        <w:tabs>
          <w:tab w:val="left" w:pos="360"/>
        </w:tabs>
        <w:snapToGrid w:val="0"/>
        <w:spacing w:line="360" w:lineRule="auto"/>
        <w:ind w:left="357" w:hanging="357"/>
        <w:outlineLvl w:val="1"/>
        <w:rPr>
          <w:rFonts w:ascii="宋体" w:hAnsi="宋体"/>
          <w:sz w:val="24"/>
        </w:rPr>
      </w:pPr>
      <w:bookmarkStart w:id="483" w:name="_Toc11122"/>
      <w:r>
        <w:rPr>
          <w:rFonts w:ascii="宋体" w:hAnsi="宋体"/>
          <w:sz w:val="24"/>
        </w:rPr>
        <w:t>投标截止时间</w:t>
      </w:r>
    </w:p>
    <w:p w14:paraId="65C3DFF2">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投标人应在招标文件规定的提交投标文件截止时间前，将电子投标文件提交至电子交易平台。</w:t>
      </w:r>
    </w:p>
    <w:bookmarkEnd w:id="483"/>
    <w:p w14:paraId="26733835">
      <w:pPr>
        <w:numPr>
          <w:ilvl w:val="0"/>
          <w:numId w:val="2"/>
        </w:numPr>
        <w:tabs>
          <w:tab w:val="left" w:pos="360"/>
        </w:tabs>
        <w:snapToGrid w:val="0"/>
        <w:spacing w:line="360" w:lineRule="auto"/>
        <w:ind w:left="357" w:hanging="357"/>
        <w:outlineLvl w:val="1"/>
        <w:rPr>
          <w:rFonts w:ascii="宋体" w:hAnsi="宋体"/>
          <w:sz w:val="24"/>
        </w:rPr>
      </w:pPr>
      <w:bookmarkStart w:id="484" w:name="_Toc226965811"/>
      <w:bookmarkStart w:id="485" w:name="_Toc151193708"/>
      <w:bookmarkStart w:id="486" w:name="_Toc127151538"/>
      <w:bookmarkStart w:id="487" w:name="_Toc150774743"/>
      <w:bookmarkStart w:id="488" w:name="_Toc305158806"/>
      <w:bookmarkStart w:id="489" w:name="_Toc151190165"/>
      <w:bookmarkStart w:id="490" w:name="_Toc226337234"/>
      <w:bookmarkStart w:id="491" w:name="_Toc142311040"/>
      <w:bookmarkStart w:id="492" w:name="_Toc150480776"/>
      <w:bookmarkStart w:id="493" w:name="_Toc150774638"/>
      <w:bookmarkStart w:id="494" w:name="_Toc305158880"/>
      <w:bookmarkStart w:id="495" w:name="_Toc265228376"/>
      <w:bookmarkStart w:id="496" w:name="_Toc151193780"/>
      <w:bookmarkStart w:id="497" w:name="_Toc150509289"/>
      <w:bookmarkStart w:id="498" w:name="_Toc264969228"/>
      <w:bookmarkStart w:id="499" w:name="_Toc226309782"/>
      <w:bookmarkStart w:id="500" w:name="_Toc520356163"/>
      <w:bookmarkStart w:id="501" w:name="_Toc151193636"/>
      <w:bookmarkStart w:id="502" w:name="_Toc151193852"/>
      <w:bookmarkStart w:id="503" w:name="_Toc151193926"/>
      <w:bookmarkStart w:id="504" w:name="_Toc195842903"/>
      <w:bookmarkStart w:id="505" w:name="_Toc226965728"/>
      <w:r>
        <w:rPr>
          <w:rFonts w:hint="eastAsia" w:ascii="宋体" w:hAnsi="宋体"/>
          <w:sz w:val="24"/>
        </w:rPr>
        <w:t>投标文件的接收、修改与撤回</w:t>
      </w:r>
    </w:p>
    <w:p w14:paraId="2D40154F">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E7E3931">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投标人对投标文件的补充、修改的内容应当按照招标文件要求签署、盖章，作为投标文件的组成部分。</w:t>
      </w:r>
    </w:p>
    <w:p w14:paraId="1B64B6D7">
      <w:pPr>
        <w:rPr>
          <w:rFonts w:ascii="宋体" w:hAnsi="宋体"/>
        </w:rPr>
      </w:pPr>
    </w:p>
    <w:p w14:paraId="01C705C4">
      <w:pPr>
        <w:pStyle w:val="3"/>
        <w:spacing w:before="0" w:line="360" w:lineRule="auto"/>
        <w:rPr>
          <w:rFonts w:ascii="宋体" w:hAnsi="宋体" w:eastAsia="宋体"/>
          <w:sz w:val="28"/>
        </w:rPr>
      </w:pPr>
      <w:r>
        <w:rPr>
          <w:rFonts w:ascii="宋体" w:hAnsi="宋体" w:eastAsia="宋体"/>
          <w:sz w:val="28"/>
        </w:rPr>
        <w:t>五</w:t>
      </w:r>
      <w:r>
        <w:rPr>
          <w:rFonts w:hint="eastAsia" w:ascii="宋体" w:hAnsi="宋体" w:eastAsia="宋体"/>
          <w:sz w:val="28"/>
        </w:rPr>
        <w:t>、</w:t>
      </w:r>
      <w:r>
        <w:rPr>
          <w:rFonts w:ascii="宋体" w:hAnsi="宋体" w:eastAsia="宋体"/>
          <w:sz w:val="28"/>
        </w:rPr>
        <w:t>开标、资格审查及评标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4B34D165">
      <w:pPr>
        <w:numPr>
          <w:ilvl w:val="0"/>
          <w:numId w:val="2"/>
        </w:numPr>
        <w:tabs>
          <w:tab w:val="left" w:pos="360"/>
        </w:tabs>
        <w:snapToGrid w:val="0"/>
        <w:spacing w:line="360" w:lineRule="auto"/>
        <w:ind w:left="357" w:hanging="357"/>
        <w:outlineLvl w:val="1"/>
        <w:rPr>
          <w:rFonts w:ascii="宋体" w:hAnsi="宋体"/>
          <w:sz w:val="24"/>
        </w:rPr>
      </w:pPr>
      <w:bookmarkStart w:id="506" w:name="_Toc151193927"/>
      <w:bookmarkStart w:id="507" w:name="_Toc226965729"/>
      <w:bookmarkStart w:id="508" w:name="_Toc151193637"/>
      <w:bookmarkStart w:id="509" w:name="_Toc150480777"/>
      <w:bookmarkStart w:id="510" w:name="_Toc151193709"/>
      <w:bookmarkStart w:id="511" w:name="_Toc127151539"/>
      <w:bookmarkStart w:id="512" w:name="_Toc164229380"/>
      <w:bookmarkStart w:id="513" w:name="_Toc127151740"/>
      <w:bookmarkStart w:id="514" w:name="_Toc151190166"/>
      <w:bookmarkStart w:id="515" w:name="_Toc151193853"/>
      <w:bookmarkStart w:id="516" w:name="_Toc305158807"/>
      <w:bookmarkStart w:id="517" w:name="_Toc164229234"/>
      <w:bookmarkStart w:id="518" w:name="_Toc142311041"/>
      <w:bookmarkStart w:id="519" w:name="_Toc127161453"/>
      <w:bookmarkStart w:id="520" w:name="_Toc164351633"/>
      <w:bookmarkStart w:id="521" w:name="_Toc150774639"/>
      <w:bookmarkStart w:id="522" w:name="_Toc264969229"/>
      <w:bookmarkStart w:id="523" w:name="_Toc265228377"/>
      <w:bookmarkStart w:id="524" w:name="_Toc150509290"/>
      <w:bookmarkStart w:id="525" w:name="_Toc150774744"/>
      <w:bookmarkStart w:id="526" w:name="_Toc164608653"/>
      <w:bookmarkStart w:id="527" w:name="_Toc164608808"/>
      <w:bookmarkStart w:id="528" w:name="_Toc520356164"/>
      <w:bookmarkStart w:id="529" w:name="_Toc305158881"/>
      <w:bookmarkStart w:id="530" w:name="_Toc226337235"/>
      <w:bookmarkStart w:id="531" w:name="_Toc226965812"/>
      <w:bookmarkStart w:id="532" w:name="_Toc149720832"/>
      <w:bookmarkStart w:id="533" w:name="_Toc226309783"/>
      <w:bookmarkStart w:id="534" w:name="_Toc195842904"/>
      <w:bookmarkStart w:id="535" w:name="_Toc151193781"/>
      <w:bookmarkStart w:id="536" w:name="_Toc520356165"/>
      <w:r>
        <w:rPr>
          <w:rFonts w:ascii="宋体" w:hAnsi="宋体"/>
          <w:sz w:val="24"/>
        </w:rPr>
        <w:t>开标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4451FB71">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采购人或采购代理机构将按招标文件的规定，在投标截止时间的同一时间和招标文件预先确定的地点组织开标。</w:t>
      </w:r>
    </w:p>
    <w:p w14:paraId="1827F02D">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本项目开标使用北京市政府采购电子交易平台。投标人应在</w:t>
      </w:r>
      <w:r>
        <w:rPr>
          <w:rFonts w:ascii="宋体" w:hAnsi="宋体"/>
          <w:sz w:val="24"/>
        </w:rPr>
        <w:t>《投标人须知资料表》</w:t>
      </w:r>
      <w:r>
        <w:rPr>
          <w:rFonts w:hint="eastAsia" w:ascii="宋体" w:hAnsi="宋体"/>
          <w:sz w:val="24"/>
        </w:rPr>
        <w:t>中规定的时间内对投标文件进行解密，因非系统原因导致的解密失败，视为</w:t>
      </w:r>
      <w:r>
        <w:rPr>
          <w:rFonts w:hint="eastAsia" w:ascii="宋体" w:hAnsi="宋体"/>
          <w:b/>
          <w:bCs/>
          <w:sz w:val="24"/>
        </w:rPr>
        <w:t>投标无效</w:t>
      </w:r>
      <w:r>
        <w:rPr>
          <w:rFonts w:hint="eastAsia" w:ascii="宋体" w:hAnsi="宋体"/>
          <w:sz w:val="24"/>
        </w:rPr>
        <w:t>。</w:t>
      </w:r>
    </w:p>
    <w:p w14:paraId="4F35A4D2">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800E826">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5D6EE2B">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投标人不足3家的，不予开标。</w:t>
      </w:r>
    </w:p>
    <w:p w14:paraId="117BC4D6">
      <w:pPr>
        <w:numPr>
          <w:ilvl w:val="0"/>
          <w:numId w:val="2"/>
        </w:numPr>
        <w:tabs>
          <w:tab w:val="left" w:pos="360"/>
        </w:tabs>
        <w:snapToGrid w:val="0"/>
        <w:spacing w:line="360" w:lineRule="auto"/>
        <w:ind w:left="357" w:hanging="357"/>
        <w:outlineLvl w:val="1"/>
        <w:rPr>
          <w:rFonts w:ascii="宋体" w:hAnsi="宋体"/>
          <w:sz w:val="24"/>
        </w:rPr>
      </w:pPr>
      <w:r>
        <w:rPr>
          <w:rFonts w:hint="eastAsia" w:ascii="宋体" w:hAnsi="宋体"/>
          <w:sz w:val="24"/>
        </w:rPr>
        <w:t>资格审查</w:t>
      </w:r>
    </w:p>
    <w:p w14:paraId="543AF7B8">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见第三章《资格审查》。</w:t>
      </w:r>
    </w:p>
    <w:bookmarkEnd w:id="536"/>
    <w:p w14:paraId="753E2D99">
      <w:pPr>
        <w:numPr>
          <w:ilvl w:val="0"/>
          <w:numId w:val="2"/>
        </w:numPr>
        <w:tabs>
          <w:tab w:val="left" w:pos="360"/>
        </w:tabs>
        <w:snapToGrid w:val="0"/>
        <w:spacing w:line="360" w:lineRule="auto"/>
        <w:ind w:left="357" w:hanging="357"/>
        <w:outlineLvl w:val="1"/>
        <w:rPr>
          <w:rFonts w:ascii="宋体" w:hAnsi="宋体"/>
          <w:sz w:val="24"/>
        </w:rPr>
      </w:pPr>
      <w:bookmarkStart w:id="537" w:name="_Toc150774745"/>
      <w:bookmarkStart w:id="538" w:name="_Toc151193782"/>
      <w:bookmarkStart w:id="539" w:name="_Toc127151540"/>
      <w:bookmarkStart w:id="540" w:name="_Toc164351634"/>
      <w:bookmarkStart w:id="541" w:name="_Toc151193638"/>
      <w:bookmarkStart w:id="542" w:name="_Toc164229381"/>
      <w:bookmarkStart w:id="543" w:name="_Toc149720833"/>
      <w:bookmarkStart w:id="544" w:name="_Toc164229235"/>
      <w:bookmarkStart w:id="545" w:name="_Toc150509291"/>
      <w:bookmarkStart w:id="546" w:name="_Toc226309784"/>
      <w:bookmarkStart w:id="547" w:name="_Toc151193928"/>
      <w:bookmarkStart w:id="548" w:name="_Toc150774640"/>
      <w:bookmarkStart w:id="549" w:name="_Toc164608809"/>
      <w:bookmarkStart w:id="550" w:name="_Toc150480778"/>
      <w:bookmarkStart w:id="551" w:name="_Toc151193854"/>
      <w:bookmarkStart w:id="552" w:name="_Toc305158882"/>
      <w:bookmarkStart w:id="553" w:name="_Toc151193710"/>
      <w:bookmarkStart w:id="554" w:name="_Toc264969230"/>
      <w:bookmarkStart w:id="555" w:name="_Toc127161454"/>
      <w:bookmarkStart w:id="556" w:name="_Toc305158808"/>
      <w:bookmarkStart w:id="557" w:name="_Toc195842905"/>
      <w:bookmarkStart w:id="558" w:name="_Toc127151741"/>
      <w:bookmarkStart w:id="559" w:name="_Toc226965730"/>
      <w:bookmarkStart w:id="560" w:name="_Toc265228378"/>
      <w:bookmarkStart w:id="561" w:name="_Toc226337236"/>
      <w:bookmarkStart w:id="562" w:name="_Toc226965813"/>
      <w:bookmarkStart w:id="563" w:name="_Toc164608654"/>
      <w:bookmarkStart w:id="564" w:name="_Toc151190167"/>
      <w:bookmarkStart w:id="565" w:name="_Toc142311042"/>
      <w:r>
        <w:rPr>
          <w:rFonts w:ascii="宋体" w:hAnsi="宋体"/>
          <w:sz w:val="24"/>
        </w:rPr>
        <w:t>评标委员会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D684C07">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6" w:name="_Toc520356166"/>
    </w:p>
    <w:p w14:paraId="553995B6">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6"/>
      <w:bookmarkStart w:id="567" w:name="_Toc520356169"/>
    </w:p>
    <w:p w14:paraId="1D3159F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0955DD7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3E1E95B8">
      <w:pPr>
        <w:pStyle w:val="3"/>
        <w:spacing w:before="0" w:line="360" w:lineRule="auto"/>
        <w:rPr>
          <w:rFonts w:ascii="宋体" w:hAnsi="宋体" w:eastAsia="宋体"/>
          <w:sz w:val="28"/>
        </w:rPr>
      </w:pPr>
      <w:bookmarkStart w:id="568" w:name="_Toc226965818"/>
      <w:bookmarkStart w:id="569" w:name="_Toc226965735"/>
      <w:bookmarkStart w:id="570" w:name="_Toc127151545"/>
      <w:bookmarkStart w:id="571" w:name="_Toc150774750"/>
      <w:bookmarkStart w:id="572" w:name="_Toc195842910"/>
      <w:bookmarkStart w:id="573" w:name="_Toc150509296"/>
      <w:bookmarkStart w:id="574" w:name="_Toc226337241"/>
      <w:bookmarkStart w:id="575" w:name="_Toc151193787"/>
      <w:bookmarkStart w:id="576" w:name="_Toc264969235"/>
      <w:bookmarkStart w:id="577" w:name="_Toc305158813"/>
      <w:bookmarkStart w:id="578" w:name="_Toc151193859"/>
      <w:bookmarkStart w:id="579" w:name="_Toc150480783"/>
      <w:bookmarkStart w:id="580" w:name="_Toc142311047"/>
      <w:bookmarkStart w:id="581" w:name="_Toc151193643"/>
      <w:bookmarkStart w:id="582" w:name="_Toc151193933"/>
      <w:bookmarkStart w:id="583" w:name="_Toc151193715"/>
      <w:bookmarkStart w:id="584" w:name="_Toc265228383"/>
      <w:bookmarkStart w:id="585" w:name="_Toc305158887"/>
      <w:bookmarkStart w:id="586" w:name="_Toc150774645"/>
      <w:bookmarkStart w:id="587" w:name="_Toc226309789"/>
      <w:bookmarkStart w:id="588" w:name="_Toc151190172"/>
      <w:r>
        <w:rPr>
          <w:rFonts w:ascii="宋体" w:hAnsi="宋体" w:eastAsia="宋体"/>
          <w:sz w:val="28"/>
        </w:rPr>
        <w:t>六</w:t>
      </w:r>
      <w:bookmarkEnd w:id="567"/>
      <w:r>
        <w:rPr>
          <w:rFonts w:hint="eastAsia" w:ascii="宋体" w:hAnsi="宋体" w:eastAsia="宋体"/>
          <w:sz w:val="28"/>
        </w:rPr>
        <w:t>、</w:t>
      </w:r>
      <w:r>
        <w:rPr>
          <w:rFonts w:ascii="宋体" w:hAnsi="宋体" w:eastAsia="宋体"/>
          <w:sz w:val="28"/>
        </w:rPr>
        <w:t>确定中标</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Start w:id="589" w:name="_Toc151193789"/>
      <w:bookmarkStart w:id="590" w:name="_Toc164608816"/>
      <w:bookmarkStart w:id="591" w:name="_Toc305158815"/>
      <w:bookmarkStart w:id="592" w:name="_Toc127151748"/>
      <w:bookmarkStart w:id="593" w:name="_Toc151193717"/>
      <w:bookmarkStart w:id="594" w:name="_Toc149720840"/>
      <w:bookmarkStart w:id="595" w:name="_Toc226309791"/>
      <w:bookmarkStart w:id="596" w:name="_Toc151193645"/>
      <w:bookmarkStart w:id="597" w:name="_Toc195842912"/>
      <w:bookmarkStart w:id="598" w:name="_Toc264969237"/>
      <w:bookmarkStart w:id="599" w:name="_Toc226965737"/>
      <w:bookmarkStart w:id="600" w:name="_Toc151193861"/>
      <w:bookmarkStart w:id="601" w:name="_Toc150480785"/>
      <w:bookmarkStart w:id="602" w:name="_Toc142311049"/>
      <w:bookmarkStart w:id="603" w:name="_Toc164229388"/>
      <w:bookmarkStart w:id="604" w:name="_Toc265228385"/>
      <w:bookmarkStart w:id="605" w:name="_Toc226965820"/>
      <w:bookmarkStart w:id="606" w:name="_Toc164229242"/>
      <w:bookmarkStart w:id="607" w:name="_Toc127151547"/>
      <w:bookmarkStart w:id="608" w:name="_Toc150774647"/>
      <w:bookmarkStart w:id="609" w:name="_Toc150509298"/>
      <w:bookmarkStart w:id="610" w:name="_Toc151190174"/>
      <w:bookmarkStart w:id="611" w:name="_Toc127161461"/>
      <w:bookmarkStart w:id="612" w:name="_Toc305158889"/>
      <w:bookmarkStart w:id="613" w:name="_Toc164608661"/>
      <w:bookmarkStart w:id="614" w:name="_Toc151193935"/>
      <w:bookmarkStart w:id="615" w:name="_Toc150774752"/>
      <w:bookmarkStart w:id="616" w:name="_Toc164351641"/>
      <w:bookmarkStart w:id="617" w:name="_Toc226337243"/>
    </w:p>
    <w:p w14:paraId="36628C1C">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7DA5E6F5">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中标人</w:t>
      </w:r>
      <w:r>
        <w:rPr>
          <w:rFonts w:ascii="宋体" w:hAnsi="宋体"/>
          <w:sz w:val="24"/>
        </w:rPr>
        <w:t>，见《</w:t>
      </w:r>
      <w:r>
        <w:rPr>
          <w:rFonts w:hint="eastAsia" w:ascii="宋体" w:hAnsi="宋体"/>
          <w:sz w:val="24"/>
        </w:rPr>
        <w:t>投标人</w:t>
      </w:r>
      <w:r>
        <w:rPr>
          <w:rFonts w:ascii="宋体" w:hAnsi="宋体"/>
          <w:sz w:val="24"/>
        </w:rPr>
        <w:t>须知资料表》。</w:t>
      </w:r>
      <w:r>
        <w:rPr>
          <w:rFonts w:hint="eastAsia" w:ascii="宋体" w:hAnsi="宋体"/>
          <w:sz w:val="24"/>
        </w:rPr>
        <w:t>中标</w:t>
      </w:r>
      <w:r>
        <w:rPr>
          <w:rFonts w:ascii="宋体" w:hAnsi="宋体"/>
          <w:sz w:val="24"/>
        </w:rPr>
        <w:t>候选人并列的，按照《</w:t>
      </w:r>
      <w:r>
        <w:rPr>
          <w:rFonts w:hint="eastAsia" w:ascii="宋体" w:hAnsi="宋体"/>
          <w:sz w:val="24"/>
        </w:rPr>
        <w:t>投标人</w:t>
      </w:r>
      <w:r>
        <w:rPr>
          <w:rFonts w:ascii="宋体" w:hAnsi="宋体"/>
          <w:sz w:val="24"/>
        </w:rPr>
        <w:t>须知资料表》</w:t>
      </w:r>
      <w:r>
        <w:rPr>
          <w:rFonts w:hint="eastAsia" w:ascii="宋体" w:hAnsi="宋体"/>
          <w:sz w:val="24"/>
        </w:rPr>
        <w:t>规定</w:t>
      </w:r>
      <w:r>
        <w:rPr>
          <w:rFonts w:ascii="宋体" w:hAnsi="宋体"/>
          <w:sz w:val="24"/>
        </w:rPr>
        <w:t>确定</w:t>
      </w:r>
      <w:r>
        <w:rPr>
          <w:rFonts w:hint="eastAsia" w:ascii="宋体" w:hAnsi="宋体"/>
          <w:sz w:val="24"/>
        </w:rPr>
        <w:t>中标人</w:t>
      </w:r>
      <w:r>
        <w:rPr>
          <w:rFonts w:ascii="宋体" w:hAnsi="宋体"/>
          <w:sz w:val="24"/>
        </w:rPr>
        <w:t>。</w:t>
      </w:r>
    </w:p>
    <w:p w14:paraId="609A4E92">
      <w:pPr>
        <w:numPr>
          <w:ilvl w:val="0"/>
          <w:numId w:val="2"/>
        </w:numPr>
        <w:tabs>
          <w:tab w:val="left" w:pos="360"/>
        </w:tabs>
        <w:snapToGrid w:val="0"/>
        <w:spacing w:line="360" w:lineRule="auto"/>
        <w:ind w:left="357" w:hanging="357"/>
        <w:outlineLvl w:val="1"/>
        <w:rPr>
          <w:rFonts w:ascii="宋体" w:hAnsi="宋体"/>
          <w:sz w:val="24"/>
        </w:rPr>
      </w:pPr>
      <w:bookmarkStart w:id="618" w:name="_Toc305158891"/>
      <w:bookmarkStart w:id="619" w:name="_Toc305158817"/>
      <w:bookmarkStart w:id="620" w:name="_Toc150774754"/>
      <w:bookmarkStart w:id="621" w:name="_Toc164229244"/>
      <w:bookmarkStart w:id="622" w:name="_Toc150509300"/>
      <w:bookmarkStart w:id="623" w:name="_Toc195842914"/>
      <w:bookmarkStart w:id="624" w:name="_Toc265228387"/>
      <w:bookmarkStart w:id="625" w:name="_Toc164229390"/>
      <w:bookmarkStart w:id="626" w:name="_Toc164608818"/>
      <w:bookmarkStart w:id="627" w:name="_Toc127151549"/>
      <w:bookmarkStart w:id="628" w:name="_Toc151193719"/>
      <w:bookmarkStart w:id="629" w:name="_Toc226965822"/>
      <w:bookmarkStart w:id="630" w:name="_Toc226337245"/>
      <w:bookmarkStart w:id="631" w:name="_Toc151193647"/>
      <w:bookmarkStart w:id="632" w:name="_Toc127151750"/>
      <w:bookmarkStart w:id="633" w:name="_Toc164351643"/>
      <w:bookmarkStart w:id="634" w:name="_Toc150774649"/>
      <w:bookmarkStart w:id="635" w:name="_Toc226309793"/>
      <w:bookmarkStart w:id="636" w:name="_Toc164608663"/>
      <w:bookmarkStart w:id="637" w:name="_Toc127161463"/>
      <w:bookmarkStart w:id="638" w:name="_Toc151190176"/>
      <w:bookmarkStart w:id="639" w:name="_Toc151193791"/>
      <w:bookmarkStart w:id="640" w:name="_Toc151193937"/>
      <w:bookmarkStart w:id="641" w:name="_Toc142311051"/>
      <w:bookmarkStart w:id="642" w:name="_Toc264969239"/>
      <w:bookmarkStart w:id="643" w:name="_Toc226965739"/>
      <w:bookmarkStart w:id="644" w:name="_Toc149720842"/>
      <w:bookmarkStart w:id="645" w:name="_Toc150480787"/>
      <w:bookmarkStart w:id="646" w:name="_Toc151193863"/>
      <w:bookmarkStart w:id="647" w:name="_Ref467307090"/>
      <w:bookmarkStart w:id="648" w:name="_Ref467306425"/>
      <w:bookmarkStart w:id="649" w:name="_Toc520356176"/>
      <w:r>
        <w:rPr>
          <w:rFonts w:ascii="宋体" w:hAnsi="宋体"/>
          <w:sz w:val="24"/>
        </w:rPr>
        <w:t>中标公告与中标通知书</w:t>
      </w:r>
      <w:bookmarkEnd w:id="618"/>
      <w:bookmarkEnd w:id="619"/>
    </w:p>
    <w:p w14:paraId="1AC523C3">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hint="eastAsia" w:ascii="宋体" w:hAnsi="宋体"/>
          <w:kern w:val="0"/>
          <w:sz w:val="24"/>
        </w:rPr>
        <w:t>北京市政府采购网</w:t>
      </w:r>
      <w:r>
        <w:rPr>
          <w:rFonts w:ascii="宋体" w:hAnsi="宋体"/>
          <w:kern w:val="0"/>
          <w:sz w:val="24"/>
        </w:rPr>
        <w:t>公告中标结果</w:t>
      </w:r>
      <w:r>
        <w:rPr>
          <w:rFonts w:ascii="宋体" w:hAnsi="宋体"/>
          <w:sz w:val="24"/>
        </w:rPr>
        <w:t>，</w:t>
      </w:r>
      <w:r>
        <w:rPr>
          <w:rFonts w:hint="eastAsia" w:ascii="宋体" w:hAnsi="宋体"/>
          <w:sz w:val="24"/>
        </w:rPr>
        <w:t>同时向中标人发出中标通知书，</w:t>
      </w:r>
      <w:r>
        <w:rPr>
          <w:rFonts w:ascii="宋体" w:hAnsi="宋体"/>
          <w:sz w:val="24"/>
        </w:rPr>
        <w:t>中标公告期限为1个工作日。</w:t>
      </w:r>
    </w:p>
    <w:p w14:paraId="17F9B8D3">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23426FB">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05C84B18">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6FF59E60">
      <w:pPr>
        <w:numPr>
          <w:ilvl w:val="2"/>
          <w:numId w:val="2"/>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3CC9ADBB">
      <w:pPr>
        <w:numPr>
          <w:ilvl w:val="2"/>
          <w:numId w:val="2"/>
        </w:numPr>
        <w:snapToGrid w:val="0"/>
        <w:spacing w:line="360" w:lineRule="auto"/>
        <w:rPr>
          <w:rFonts w:ascii="宋体" w:hAnsi="宋体"/>
          <w:sz w:val="24"/>
        </w:rPr>
      </w:pPr>
      <w:r>
        <w:rPr>
          <w:rFonts w:ascii="宋体" w:hAnsi="宋体"/>
          <w:sz w:val="24"/>
        </w:rPr>
        <w:t>出现影响采购公正的违法、违规行为的；</w:t>
      </w:r>
    </w:p>
    <w:p w14:paraId="201AA54B">
      <w:pPr>
        <w:numPr>
          <w:ilvl w:val="2"/>
          <w:numId w:val="2"/>
        </w:numPr>
        <w:snapToGrid w:val="0"/>
        <w:spacing w:line="360" w:lineRule="auto"/>
        <w:rPr>
          <w:rFonts w:ascii="宋体" w:hAnsi="宋体"/>
          <w:sz w:val="24"/>
        </w:rPr>
      </w:pPr>
      <w:r>
        <w:rPr>
          <w:rFonts w:ascii="宋体" w:hAnsi="宋体"/>
          <w:sz w:val="24"/>
        </w:rPr>
        <w:t>投标人的报价均超过了采购预算，采购人不能支付的；</w:t>
      </w:r>
    </w:p>
    <w:p w14:paraId="3943F73A">
      <w:pPr>
        <w:numPr>
          <w:ilvl w:val="2"/>
          <w:numId w:val="2"/>
        </w:numPr>
        <w:snapToGrid w:val="0"/>
        <w:spacing w:line="360" w:lineRule="auto"/>
        <w:rPr>
          <w:rFonts w:ascii="宋体" w:hAnsi="宋体"/>
          <w:sz w:val="24"/>
        </w:rPr>
      </w:pPr>
      <w:r>
        <w:rPr>
          <w:rFonts w:ascii="宋体" w:hAnsi="宋体"/>
          <w:sz w:val="24"/>
        </w:rPr>
        <w:t>因重大变故，采购任务取消的。</w:t>
      </w:r>
    </w:p>
    <w:p w14:paraId="7F7042C2">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10BE12C0">
      <w:pPr>
        <w:numPr>
          <w:ilvl w:val="0"/>
          <w:numId w:val="2"/>
        </w:numPr>
        <w:tabs>
          <w:tab w:val="left" w:pos="360"/>
        </w:tabs>
        <w:snapToGrid w:val="0"/>
        <w:spacing w:line="360" w:lineRule="auto"/>
        <w:ind w:left="357" w:hanging="357"/>
        <w:outlineLvl w:val="1"/>
        <w:rPr>
          <w:rFonts w:ascii="宋体" w:hAnsi="宋体"/>
          <w:sz w:val="24"/>
        </w:rPr>
      </w:pPr>
      <w:bookmarkStart w:id="650" w:name="_Toc127151550"/>
      <w:bookmarkStart w:id="651" w:name="_Toc151193864"/>
      <w:bookmarkStart w:id="652" w:name="_Toc150774650"/>
      <w:bookmarkStart w:id="653" w:name="_Toc164229245"/>
      <w:bookmarkStart w:id="654" w:name="_Toc520356175"/>
      <w:bookmarkStart w:id="655" w:name="_Toc151193648"/>
      <w:bookmarkStart w:id="656" w:name="_Toc151193938"/>
      <w:bookmarkStart w:id="657" w:name="_Ref467306978"/>
      <w:bookmarkStart w:id="658" w:name="_Toc150509301"/>
      <w:bookmarkStart w:id="659" w:name="_Toc150480788"/>
      <w:bookmarkStart w:id="660" w:name="_Toc150774755"/>
      <w:bookmarkStart w:id="661" w:name="_Ref467307062"/>
      <w:bookmarkStart w:id="662" w:name="_Toc142311052"/>
      <w:bookmarkStart w:id="663" w:name="_Toc264969240"/>
      <w:bookmarkStart w:id="664" w:name="_Ref467306377"/>
      <w:bookmarkStart w:id="665" w:name="_Toc164229391"/>
      <w:bookmarkStart w:id="666" w:name="_Toc127161464"/>
      <w:bookmarkStart w:id="667" w:name="_Toc149720843"/>
      <w:bookmarkStart w:id="668" w:name="_Toc265228388"/>
      <w:bookmarkStart w:id="669" w:name="_Toc151193792"/>
      <w:bookmarkStart w:id="670" w:name="_Toc127151751"/>
      <w:bookmarkStart w:id="671" w:name="_Toc226965823"/>
      <w:bookmarkStart w:id="672" w:name="_Toc164608819"/>
      <w:bookmarkStart w:id="673" w:name="_Toc151193720"/>
      <w:bookmarkStart w:id="674" w:name="_Toc226965740"/>
      <w:bookmarkStart w:id="675" w:name="_Toc226337246"/>
      <w:bookmarkStart w:id="676" w:name="_Ref467307204"/>
      <w:bookmarkStart w:id="677" w:name="_Toc151190177"/>
      <w:bookmarkStart w:id="678" w:name="_Toc305158818"/>
      <w:bookmarkStart w:id="679" w:name="_Toc226309794"/>
      <w:bookmarkStart w:id="680" w:name="_Toc164351644"/>
      <w:bookmarkStart w:id="681" w:name="_Toc164608664"/>
      <w:bookmarkStart w:id="682" w:name="_Toc305158892"/>
      <w:bookmarkStart w:id="683" w:name="_Toc195842915"/>
      <w:r>
        <w:rPr>
          <w:rFonts w:ascii="宋体" w:hAnsi="宋体"/>
          <w:sz w:val="24"/>
        </w:rPr>
        <w:t>签订合同</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66E21668">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0A8278A3">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hint="eastAsia" w:ascii="宋体" w:hAnsi="宋体"/>
          <w:sz w:val="24"/>
        </w:rPr>
        <w:t>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报告推荐的中标候选人名单排序，确定下一候选人为中标人，</w:t>
      </w:r>
      <w:r>
        <w:rPr>
          <w:rFonts w:hint="eastAsia" w:ascii="宋体" w:hAnsi="宋体"/>
          <w:sz w:val="24"/>
        </w:rPr>
        <w:t>也可以</w:t>
      </w:r>
      <w:r>
        <w:rPr>
          <w:rFonts w:ascii="宋体" w:hAnsi="宋体"/>
          <w:sz w:val="24"/>
        </w:rPr>
        <w:t>重新开展政府采购活动。</w:t>
      </w:r>
    </w:p>
    <w:p w14:paraId="4A5ACB6C">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w:t>
      </w:r>
      <w:r>
        <w:rPr>
          <w:rFonts w:hint="eastAsia" w:ascii="宋体" w:hAnsi="宋体"/>
          <w:sz w:val="24"/>
        </w:rPr>
        <w:t>联合体各方应当共同与采购人签订合同，就采购合同约定的事项向采购人承担连带责任。</w:t>
      </w:r>
    </w:p>
    <w:p w14:paraId="183ACFA5">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33CA584">
      <w:pPr>
        <w:numPr>
          <w:ilvl w:val="1"/>
          <w:numId w:val="2"/>
        </w:numPr>
        <w:tabs>
          <w:tab w:val="left" w:pos="1080"/>
          <w:tab w:val="left" w:pos="2014"/>
        </w:tabs>
        <w:snapToGrid w:val="0"/>
        <w:spacing w:line="360" w:lineRule="auto"/>
        <w:ind w:left="1077" w:hanging="720"/>
        <w:rPr>
          <w:rFonts w:ascii="宋体" w:hAnsi="宋体"/>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68A671BF">
      <w:pPr>
        <w:numPr>
          <w:ilvl w:val="1"/>
          <w:numId w:val="2"/>
        </w:numPr>
        <w:tabs>
          <w:tab w:val="left" w:pos="1080"/>
          <w:tab w:val="left" w:pos="2014"/>
        </w:tabs>
        <w:snapToGrid w:val="0"/>
        <w:spacing w:line="360" w:lineRule="auto"/>
        <w:ind w:left="1077" w:hanging="720"/>
        <w:rPr>
          <w:rFonts w:ascii="宋体" w:hAnsi="宋体"/>
          <w:sz w:val="24"/>
        </w:rPr>
      </w:pPr>
      <w:r>
        <w:rPr>
          <w:rFonts w:hint="eastAsia" w:ascii="宋体" w:hAnsi="宋体"/>
          <w:sz w:val="24"/>
        </w:rPr>
        <w:t>“</w:t>
      </w:r>
      <w:r>
        <w:rPr>
          <w:rFonts w:ascii="宋体" w:hAnsi="宋体"/>
          <w:sz w:val="24"/>
        </w:rPr>
        <w:t>政采贷</w:t>
      </w:r>
      <w:r>
        <w:rPr>
          <w:rFonts w:hint="eastAsia" w:ascii="宋体" w:hAnsi="宋体"/>
          <w:sz w:val="24"/>
        </w:rPr>
        <w:t>”</w:t>
      </w:r>
      <w:r>
        <w:rPr>
          <w:rFonts w:ascii="宋体" w:hAnsi="宋体"/>
          <w:sz w:val="24"/>
        </w:rPr>
        <w:t>融资指引：详见《投标人须知资料表》。</w:t>
      </w:r>
    </w:p>
    <w:bookmarkEnd w:id="647"/>
    <w:bookmarkEnd w:id="648"/>
    <w:bookmarkEnd w:id="649"/>
    <w:p w14:paraId="5466A073">
      <w:pPr>
        <w:numPr>
          <w:ilvl w:val="0"/>
          <w:numId w:val="2"/>
        </w:numPr>
        <w:tabs>
          <w:tab w:val="left" w:pos="360"/>
        </w:tabs>
        <w:snapToGrid w:val="0"/>
        <w:spacing w:line="360" w:lineRule="auto"/>
        <w:ind w:left="0" w:hanging="357"/>
        <w:outlineLvl w:val="1"/>
        <w:rPr>
          <w:rFonts w:ascii="宋体" w:hAnsi="宋体"/>
          <w:sz w:val="24"/>
        </w:rPr>
      </w:pPr>
      <w:r>
        <w:rPr>
          <w:rFonts w:ascii="宋体" w:hAnsi="宋体"/>
          <w:sz w:val="24"/>
        </w:rPr>
        <w:t>询问与质疑</w:t>
      </w:r>
    </w:p>
    <w:p w14:paraId="0026437B">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6F78825">
      <w:pPr>
        <w:numPr>
          <w:ilvl w:val="2"/>
          <w:numId w:val="2"/>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712ED1B3">
      <w:pPr>
        <w:numPr>
          <w:ilvl w:val="2"/>
          <w:numId w:val="2"/>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2C2FBB96">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3E3C3133">
      <w:pPr>
        <w:numPr>
          <w:ilvl w:val="2"/>
          <w:numId w:val="2"/>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63844D9">
      <w:pPr>
        <w:numPr>
          <w:ilvl w:val="2"/>
          <w:numId w:val="2"/>
        </w:numPr>
        <w:snapToGrid w:val="0"/>
        <w:spacing w:line="360" w:lineRule="auto"/>
        <w:rPr>
          <w:rFonts w:ascii="宋体" w:hAnsi="宋体"/>
          <w:sz w:val="24"/>
        </w:rPr>
      </w:pPr>
      <w:r>
        <w:rPr>
          <w:rFonts w:ascii="宋体" w:hAnsi="宋体"/>
          <w:sz w:val="24"/>
        </w:rPr>
        <w:t>质疑函须使用财政部制定的范本文件</w:t>
      </w:r>
      <w:r>
        <w:rPr>
          <w:rFonts w:hint="eastAsia" w:ascii="宋体" w:hAnsi="宋体"/>
          <w:sz w:val="24"/>
        </w:rPr>
        <w:t>。投标人为自然人的，质疑函应当由本人签字；投标人为法人或者其他组织的，质疑函应当由法定代表人、主要负责人，或者其授权代表签字或者盖章，并加盖公章</w:t>
      </w:r>
      <w:r>
        <w:rPr>
          <w:rFonts w:ascii="宋体" w:hAnsi="宋体"/>
          <w:sz w:val="24"/>
        </w:rPr>
        <w:t>。</w:t>
      </w:r>
    </w:p>
    <w:p w14:paraId="57B61212">
      <w:pPr>
        <w:numPr>
          <w:ilvl w:val="2"/>
          <w:numId w:val="2"/>
        </w:numPr>
        <w:snapToGrid w:val="0"/>
        <w:spacing w:line="360" w:lineRule="auto"/>
        <w:rPr>
          <w:rFonts w:ascii="宋体" w:hAnsi="宋体"/>
          <w:sz w:val="24"/>
        </w:rPr>
      </w:pPr>
      <w:r>
        <w:rPr>
          <w:rFonts w:hint="eastAsia"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宋体" w:hAnsi="宋体"/>
          <w:sz w:val="24"/>
        </w:rPr>
        <w:t>。</w:t>
      </w:r>
    </w:p>
    <w:p w14:paraId="7EE02330">
      <w:pPr>
        <w:numPr>
          <w:ilvl w:val="2"/>
          <w:numId w:val="2"/>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7B2E2CB">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hint="eastAsia" w:ascii="宋体" w:hAnsi="宋体"/>
          <w:sz w:val="24"/>
        </w:rPr>
        <w:t>。</w:t>
      </w:r>
    </w:p>
    <w:p w14:paraId="24B3776A">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13F8E61E">
      <w:pPr>
        <w:numPr>
          <w:ilvl w:val="1"/>
          <w:numId w:val="2"/>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4EA0C0C0">
      <w:pPr>
        <w:spacing w:line="360" w:lineRule="auto"/>
        <w:jc w:val="center"/>
        <w:outlineLvl w:val="0"/>
        <w:rPr>
          <w:rFonts w:ascii="宋体" w:hAnsi="宋体"/>
          <w:b/>
          <w:sz w:val="36"/>
          <w:szCs w:val="36"/>
        </w:rPr>
      </w:pPr>
      <w:bookmarkStart w:id="684" w:name="_Toc305158822"/>
      <w:bookmarkStart w:id="685" w:name="_Toc305158896"/>
      <w:bookmarkStart w:id="686" w:name="_Toc150480792"/>
      <w:bookmarkStart w:id="687" w:name="_Toc353825544"/>
      <w:bookmarkStart w:id="688" w:name="_Toc353873934"/>
      <w:bookmarkStart w:id="689" w:name="_Toc265228392"/>
      <w:bookmarkStart w:id="690" w:name="_Toc226965827"/>
      <w:bookmarkStart w:id="691" w:name="_Toc127151554"/>
      <w:bookmarkStart w:id="692" w:name="_Toc226337250"/>
      <w:bookmarkStart w:id="693" w:name="_Toc264969244"/>
      <w:bookmarkStart w:id="694" w:name="_Toc142311056"/>
      <w:bookmarkStart w:id="695" w:name="_Toc150774759"/>
      <w:bookmarkStart w:id="696" w:name="_Toc353873664"/>
      <w:bookmarkStart w:id="697" w:name="_Toc221531083"/>
      <w:r>
        <w:rPr>
          <w:rFonts w:ascii="宋体" w:hAnsi="宋体"/>
          <w:b/>
          <w:sz w:val="36"/>
          <w:szCs w:val="36"/>
        </w:rPr>
        <w:t>第三章</w:t>
      </w:r>
      <w:bookmarkEnd w:id="684"/>
      <w:bookmarkEnd w:id="685"/>
      <w:bookmarkEnd w:id="686"/>
      <w:bookmarkEnd w:id="687"/>
      <w:bookmarkEnd w:id="688"/>
      <w:bookmarkEnd w:id="689"/>
      <w:bookmarkEnd w:id="690"/>
      <w:bookmarkEnd w:id="691"/>
      <w:bookmarkEnd w:id="692"/>
      <w:bookmarkEnd w:id="693"/>
      <w:bookmarkEnd w:id="694"/>
      <w:bookmarkEnd w:id="695"/>
      <w:bookmarkEnd w:id="696"/>
      <w:r>
        <w:rPr>
          <w:rFonts w:hint="eastAsia" w:ascii="宋体" w:hAnsi="宋体"/>
          <w:b/>
          <w:sz w:val="36"/>
          <w:szCs w:val="36"/>
        </w:rPr>
        <w:t xml:space="preserve">  </w:t>
      </w:r>
      <w:r>
        <w:rPr>
          <w:rFonts w:ascii="宋体" w:hAnsi="宋体"/>
          <w:b/>
          <w:sz w:val="36"/>
          <w:szCs w:val="36"/>
        </w:rPr>
        <w:t>资格审查</w:t>
      </w:r>
      <w:bookmarkEnd w:id="697"/>
      <w:bookmarkStart w:id="698" w:name="_Toc487900382"/>
    </w:p>
    <w:p w14:paraId="080F53E7">
      <w:pPr>
        <w:tabs>
          <w:tab w:val="left" w:pos="360"/>
          <w:tab w:val="left" w:pos="900"/>
        </w:tabs>
        <w:snapToGrid w:val="0"/>
        <w:spacing w:line="360" w:lineRule="auto"/>
        <w:jc w:val="center"/>
        <w:outlineLvl w:val="1"/>
        <w:rPr>
          <w:rFonts w:ascii="宋体" w:hAnsi="宋体"/>
          <w:b/>
          <w:sz w:val="24"/>
        </w:rPr>
      </w:pPr>
      <w:bookmarkStart w:id="699" w:name="_Toc99301422"/>
      <w:r>
        <w:rPr>
          <w:rFonts w:ascii="宋体" w:hAnsi="宋体"/>
          <w:b/>
          <w:sz w:val="24"/>
        </w:rPr>
        <w:t>一、资格审查程序</w:t>
      </w:r>
      <w:bookmarkEnd w:id="699"/>
    </w:p>
    <w:p w14:paraId="4F1289B4">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15398E7E">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5C1C31EB">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40B3DC6A">
      <w:pPr>
        <w:numPr>
          <w:ilvl w:val="0"/>
          <w:numId w:val="4"/>
        </w:numPr>
        <w:tabs>
          <w:tab w:val="clear" w:pos="900"/>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4F1B9264">
      <w:pPr>
        <w:widowControl/>
        <w:jc w:val="left"/>
        <w:rPr>
          <w:rFonts w:ascii="宋体" w:hAnsi="宋体"/>
          <w:sz w:val="24"/>
        </w:rPr>
      </w:pPr>
    </w:p>
    <w:p w14:paraId="6FCBF5E5">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98"/>
    <w:tbl>
      <w:tblPr>
        <w:tblStyle w:val="24"/>
        <w:tblW w:w="53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951"/>
        <w:gridCol w:w="4852"/>
        <w:gridCol w:w="1559"/>
      </w:tblGrid>
      <w:tr w14:paraId="5012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45" w:type="pct"/>
            <w:vAlign w:val="center"/>
          </w:tcPr>
          <w:p w14:paraId="7EA53DC9">
            <w:pPr>
              <w:tabs>
                <w:tab w:val="left" w:pos="1080"/>
              </w:tabs>
              <w:snapToGrid w:val="0"/>
              <w:jc w:val="center"/>
              <w:rPr>
                <w:rFonts w:ascii="宋体" w:hAnsi="宋体"/>
                <w:b/>
                <w:sz w:val="24"/>
              </w:rPr>
            </w:pPr>
            <w:bookmarkStart w:id="700" w:name="_Hlt487972895"/>
            <w:bookmarkEnd w:id="700"/>
            <w:bookmarkStart w:id="701" w:name="_Toc353825550"/>
            <w:bookmarkStart w:id="702" w:name="_Toc353873940"/>
            <w:bookmarkStart w:id="703" w:name="_Toc127151779"/>
            <w:bookmarkStart w:id="704" w:name="_Toc127161490"/>
            <w:bookmarkStart w:id="705" w:name="_Toc226965858"/>
            <w:r>
              <w:rPr>
                <w:rFonts w:ascii="宋体" w:hAnsi="宋体"/>
                <w:b/>
                <w:sz w:val="24"/>
              </w:rPr>
              <w:t>序号</w:t>
            </w:r>
          </w:p>
        </w:tc>
        <w:tc>
          <w:tcPr>
            <w:tcW w:w="1063" w:type="pct"/>
            <w:vAlign w:val="center"/>
          </w:tcPr>
          <w:p w14:paraId="244041EE">
            <w:pPr>
              <w:tabs>
                <w:tab w:val="left" w:pos="1080"/>
              </w:tabs>
              <w:snapToGrid w:val="0"/>
              <w:jc w:val="center"/>
              <w:rPr>
                <w:rFonts w:ascii="宋体" w:hAnsi="宋体"/>
                <w:b/>
                <w:sz w:val="24"/>
              </w:rPr>
            </w:pPr>
            <w:r>
              <w:rPr>
                <w:rFonts w:ascii="宋体" w:hAnsi="宋体"/>
                <w:b/>
                <w:sz w:val="24"/>
              </w:rPr>
              <w:t>审查因素</w:t>
            </w:r>
          </w:p>
        </w:tc>
        <w:tc>
          <w:tcPr>
            <w:tcW w:w="2643" w:type="pct"/>
            <w:vAlign w:val="center"/>
          </w:tcPr>
          <w:p w14:paraId="502E0F51">
            <w:pPr>
              <w:tabs>
                <w:tab w:val="left" w:pos="1080"/>
              </w:tabs>
              <w:snapToGrid w:val="0"/>
              <w:jc w:val="center"/>
              <w:rPr>
                <w:rFonts w:ascii="宋体" w:hAnsi="宋体"/>
                <w:b/>
                <w:sz w:val="24"/>
              </w:rPr>
            </w:pPr>
            <w:r>
              <w:rPr>
                <w:rFonts w:ascii="宋体" w:hAnsi="宋体"/>
                <w:b/>
                <w:sz w:val="24"/>
              </w:rPr>
              <w:t>审查内容</w:t>
            </w:r>
          </w:p>
        </w:tc>
        <w:tc>
          <w:tcPr>
            <w:tcW w:w="849" w:type="pct"/>
            <w:vAlign w:val="center"/>
          </w:tcPr>
          <w:p w14:paraId="120E77B0">
            <w:pPr>
              <w:tabs>
                <w:tab w:val="left" w:pos="1080"/>
              </w:tabs>
              <w:snapToGrid w:val="0"/>
              <w:jc w:val="center"/>
              <w:rPr>
                <w:rFonts w:ascii="宋体" w:hAnsi="宋体"/>
                <w:b/>
                <w:sz w:val="24"/>
              </w:rPr>
            </w:pPr>
            <w:r>
              <w:rPr>
                <w:rFonts w:ascii="宋体" w:hAnsi="宋体"/>
                <w:b/>
                <w:sz w:val="24"/>
              </w:rPr>
              <w:t>格式要求</w:t>
            </w:r>
          </w:p>
        </w:tc>
      </w:tr>
      <w:tr w14:paraId="46D34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6803D970">
            <w:pPr>
              <w:tabs>
                <w:tab w:val="left" w:pos="1080"/>
              </w:tabs>
              <w:snapToGrid w:val="0"/>
              <w:jc w:val="center"/>
              <w:rPr>
                <w:rFonts w:ascii="宋体" w:hAnsi="宋体"/>
                <w:sz w:val="24"/>
              </w:rPr>
            </w:pPr>
            <w:r>
              <w:rPr>
                <w:rFonts w:ascii="宋体" w:hAnsi="宋体"/>
                <w:sz w:val="24"/>
              </w:rPr>
              <w:t>1</w:t>
            </w:r>
          </w:p>
        </w:tc>
        <w:tc>
          <w:tcPr>
            <w:tcW w:w="1063" w:type="pct"/>
            <w:vAlign w:val="center"/>
          </w:tcPr>
          <w:p w14:paraId="76B99100">
            <w:pPr>
              <w:tabs>
                <w:tab w:val="left" w:pos="1080"/>
              </w:tabs>
              <w:snapToGrid w:val="0"/>
              <w:rPr>
                <w:rFonts w:ascii="宋体" w:hAnsi="宋体"/>
                <w:sz w:val="24"/>
              </w:rPr>
            </w:pPr>
            <w:r>
              <w:rPr>
                <w:rFonts w:ascii="宋体" w:hAnsi="宋体"/>
                <w:sz w:val="24"/>
              </w:rPr>
              <w:t>满足《中华人民共和国政府采购法》第二十二条规定</w:t>
            </w:r>
          </w:p>
        </w:tc>
        <w:tc>
          <w:tcPr>
            <w:tcW w:w="2643" w:type="pct"/>
            <w:vAlign w:val="center"/>
          </w:tcPr>
          <w:p w14:paraId="47FC9BBE">
            <w:pPr>
              <w:tabs>
                <w:tab w:val="left" w:pos="1080"/>
              </w:tabs>
              <w:snapToGrid w:val="0"/>
              <w:rPr>
                <w:rFonts w:ascii="宋体" w:hAnsi="宋体"/>
                <w:sz w:val="24"/>
              </w:rPr>
            </w:pPr>
            <w:r>
              <w:rPr>
                <w:rFonts w:ascii="宋体" w:hAnsi="宋体"/>
                <w:sz w:val="24"/>
              </w:rPr>
              <w:t>具体规定见第一章《投标邀请》</w:t>
            </w:r>
          </w:p>
        </w:tc>
        <w:tc>
          <w:tcPr>
            <w:tcW w:w="849" w:type="pct"/>
            <w:vAlign w:val="center"/>
          </w:tcPr>
          <w:p w14:paraId="40EFB3D8">
            <w:pPr>
              <w:tabs>
                <w:tab w:val="left" w:pos="1080"/>
              </w:tabs>
              <w:snapToGrid w:val="0"/>
              <w:jc w:val="center"/>
              <w:rPr>
                <w:rFonts w:ascii="宋体" w:hAnsi="宋体"/>
                <w:sz w:val="24"/>
              </w:rPr>
            </w:pPr>
          </w:p>
        </w:tc>
      </w:tr>
      <w:tr w14:paraId="6105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33611227">
            <w:pPr>
              <w:tabs>
                <w:tab w:val="left" w:pos="1080"/>
              </w:tabs>
              <w:snapToGrid w:val="0"/>
              <w:jc w:val="center"/>
              <w:rPr>
                <w:rFonts w:ascii="宋体" w:hAnsi="宋体"/>
                <w:sz w:val="24"/>
              </w:rPr>
            </w:pPr>
            <w:r>
              <w:rPr>
                <w:rFonts w:ascii="宋体" w:hAnsi="宋体"/>
                <w:sz w:val="24"/>
              </w:rPr>
              <w:t>1-1</w:t>
            </w:r>
          </w:p>
        </w:tc>
        <w:tc>
          <w:tcPr>
            <w:tcW w:w="1063" w:type="pct"/>
            <w:vAlign w:val="center"/>
          </w:tcPr>
          <w:p w14:paraId="2E023D95">
            <w:pPr>
              <w:tabs>
                <w:tab w:val="left" w:pos="1080"/>
              </w:tabs>
              <w:snapToGrid w:val="0"/>
              <w:rPr>
                <w:rFonts w:ascii="宋体" w:hAnsi="宋体"/>
                <w:sz w:val="24"/>
              </w:rPr>
            </w:pPr>
            <w:r>
              <w:rPr>
                <w:rFonts w:ascii="宋体" w:hAnsi="宋体"/>
                <w:sz w:val="24"/>
              </w:rPr>
              <w:t>营业执照等证明文件</w:t>
            </w:r>
          </w:p>
        </w:tc>
        <w:tc>
          <w:tcPr>
            <w:tcW w:w="2643" w:type="pct"/>
            <w:vAlign w:val="center"/>
          </w:tcPr>
          <w:p w14:paraId="270147AF">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投标人为企业（包括合伙企业）的，应提供有效的“营业执照”；</w:t>
            </w:r>
          </w:p>
          <w:p w14:paraId="7727D425">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投标人为事业单位的，应提供有效的“事业单位法人证书”；</w:t>
            </w:r>
          </w:p>
          <w:p w14:paraId="4E028BE6">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投标人是非企业机构的，应提供有效的“执业许可证”“登记证书”等证明文件；</w:t>
            </w:r>
          </w:p>
          <w:p w14:paraId="52BDC527">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投标人是个体工商户的，应提供有效的“个体工商户营业执照”；</w:t>
            </w:r>
          </w:p>
          <w:p w14:paraId="554157C3">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投标人是自然人的，应提供有效的自然人身份证明。</w:t>
            </w:r>
          </w:p>
          <w:p w14:paraId="46D0B193">
            <w:pPr>
              <w:tabs>
                <w:tab w:val="left" w:pos="1080"/>
              </w:tabs>
              <w:snapToGrid w:val="0"/>
              <w:rPr>
                <w:rFonts w:ascii="宋体" w:hAnsi="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49" w:type="pct"/>
            <w:vAlign w:val="center"/>
          </w:tcPr>
          <w:p w14:paraId="4F393728">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电子件，加盖投标人单位公章（自然人投标的，其证明文件无需加盖公章）</w:t>
            </w:r>
          </w:p>
        </w:tc>
      </w:tr>
      <w:tr w14:paraId="02D6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39DADA8B">
            <w:pPr>
              <w:tabs>
                <w:tab w:val="left" w:pos="1080"/>
              </w:tabs>
              <w:snapToGrid w:val="0"/>
              <w:jc w:val="center"/>
              <w:rPr>
                <w:rFonts w:ascii="宋体" w:hAnsi="宋体"/>
                <w:sz w:val="24"/>
              </w:rPr>
            </w:pPr>
            <w:r>
              <w:rPr>
                <w:rFonts w:ascii="宋体" w:hAnsi="宋体"/>
                <w:sz w:val="24"/>
              </w:rPr>
              <w:t>1-2</w:t>
            </w:r>
          </w:p>
        </w:tc>
        <w:tc>
          <w:tcPr>
            <w:tcW w:w="1063" w:type="pct"/>
            <w:vAlign w:val="center"/>
          </w:tcPr>
          <w:p w14:paraId="1BFEDAF1">
            <w:pPr>
              <w:tabs>
                <w:tab w:val="left" w:pos="1080"/>
              </w:tabs>
              <w:snapToGrid w:val="0"/>
              <w:rPr>
                <w:rFonts w:ascii="宋体" w:hAnsi="宋体"/>
                <w:sz w:val="24"/>
              </w:rPr>
            </w:pPr>
            <w:r>
              <w:rPr>
                <w:rFonts w:ascii="宋体" w:hAnsi="宋体"/>
                <w:sz w:val="24"/>
              </w:rPr>
              <w:t>投标人资格声明书</w:t>
            </w:r>
          </w:p>
        </w:tc>
        <w:tc>
          <w:tcPr>
            <w:tcW w:w="2643" w:type="pct"/>
            <w:vAlign w:val="center"/>
          </w:tcPr>
          <w:p w14:paraId="1B221E3A">
            <w:pPr>
              <w:tabs>
                <w:tab w:val="left" w:pos="1080"/>
              </w:tabs>
              <w:snapToGrid w:val="0"/>
              <w:rPr>
                <w:rFonts w:ascii="宋体" w:hAnsi="宋体"/>
                <w:sz w:val="24"/>
              </w:rPr>
            </w:pPr>
            <w:r>
              <w:rPr>
                <w:rFonts w:ascii="宋体" w:hAnsi="宋体"/>
                <w:sz w:val="24"/>
              </w:rPr>
              <w:t>提供了符合招标文件要求的《投标人资格声明书》。</w:t>
            </w:r>
          </w:p>
        </w:tc>
        <w:tc>
          <w:tcPr>
            <w:tcW w:w="849" w:type="pct"/>
            <w:vAlign w:val="center"/>
          </w:tcPr>
          <w:p w14:paraId="06EE6646">
            <w:pPr>
              <w:tabs>
                <w:tab w:val="left" w:pos="1080"/>
              </w:tabs>
              <w:snapToGrid w:val="0"/>
              <w:jc w:val="center"/>
              <w:rPr>
                <w:rFonts w:ascii="宋体" w:hAnsi="宋体"/>
                <w:sz w:val="24"/>
              </w:rPr>
            </w:pPr>
            <w:r>
              <w:rPr>
                <w:rFonts w:ascii="宋体" w:hAnsi="宋体"/>
                <w:sz w:val="24"/>
              </w:rPr>
              <w:t>格式见《投标文件格式》</w:t>
            </w:r>
          </w:p>
        </w:tc>
      </w:tr>
      <w:tr w14:paraId="6741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702F7C57">
            <w:pPr>
              <w:tabs>
                <w:tab w:val="left" w:pos="1080"/>
              </w:tabs>
              <w:snapToGrid w:val="0"/>
              <w:jc w:val="center"/>
              <w:rPr>
                <w:rFonts w:ascii="宋体" w:hAnsi="宋体"/>
                <w:sz w:val="24"/>
              </w:rPr>
            </w:pPr>
            <w:r>
              <w:rPr>
                <w:rFonts w:hint="eastAsia" w:ascii="宋体" w:hAnsi="宋体"/>
                <w:sz w:val="24"/>
              </w:rPr>
              <w:t>1-</w:t>
            </w:r>
            <w:r>
              <w:rPr>
                <w:rFonts w:ascii="宋体" w:hAnsi="宋体"/>
                <w:sz w:val="24"/>
              </w:rPr>
              <w:t>3</w:t>
            </w:r>
          </w:p>
        </w:tc>
        <w:tc>
          <w:tcPr>
            <w:tcW w:w="1063" w:type="pct"/>
            <w:vAlign w:val="center"/>
          </w:tcPr>
          <w:p w14:paraId="68C1FB5C">
            <w:pPr>
              <w:tabs>
                <w:tab w:val="left" w:pos="1080"/>
              </w:tabs>
              <w:snapToGrid w:val="0"/>
              <w:jc w:val="center"/>
              <w:rPr>
                <w:rFonts w:ascii="宋体" w:hAnsi="宋体"/>
                <w:sz w:val="24"/>
              </w:rPr>
            </w:pPr>
            <w:r>
              <w:rPr>
                <w:rFonts w:ascii="宋体" w:hAnsi="宋体"/>
                <w:sz w:val="24"/>
              </w:rPr>
              <w:t>投标人信用记录</w:t>
            </w:r>
          </w:p>
        </w:tc>
        <w:tc>
          <w:tcPr>
            <w:tcW w:w="2643" w:type="pct"/>
            <w:vAlign w:val="center"/>
          </w:tcPr>
          <w:p w14:paraId="74D4DC99">
            <w:pPr>
              <w:pStyle w:val="49"/>
              <w:wordWrap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）；截止时点：</w:t>
            </w:r>
            <w:r>
              <w:rPr>
                <w:rFonts w:hint="eastAsia" w:ascii="宋体" w:hAnsi="宋体"/>
                <w:sz w:val="24"/>
              </w:rPr>
              <w:t>投标截止时间以后 、资格审查阶段采购人或采购代理机构的实际查询时间</w:t>
            </w:r>
            <w:r>
              <w:rPr>
                <w:rFonts w:ascii="宋体" w:hAnsi="宋体"/>
                <w:sz w:val="24"/>
              </w:rPr>
              <w:t>；</w:t>
            </w:r>
          </w:p>
          <w:p w14:paraId="251FD42B">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511B2F64">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w:t>
            </w:r>
            <w:r>
              <w:rPr>
                <w:rFonts w:hint="eastAsia" w:ascii="宋体" w:hAnsi="宋体"/>
                <w:sz w:val="24"/>
              </w:rPr>
              <w:t>任何</w:t>
            </w:r>
            <w:r>
              <w:rPr>
                <w:rFonts w:ascii="宋体" w:hAnsi="宋体"/>
                <w:sz w:val="24"/>
              </w:rPr>
              <w:t>成员存在不良信用记录，视同联合体存在不良信用记录。</w:t>
            </w:r>
          </w:p>
        </w:tc>
        <w:tc>
          <w:tcPr>
            <w:tcW w:w="849" w:type="pct"/>
            <w:vAlign w:val="center"/>
          </w:tcPr>
          <w:p w14:paraId="1AF5EAE5">
            <w:pPr>
              <w:tabs>
                <w:tab w:val="left" w:pos="1080"/>
              </w:tabs>
              <w:snapToGrid w:val="0"/>
              <w:jc w:val="center"/>
              <w:rPr>
                <w:rFonts w:ascii="宋体" w:hAnsi="宋体"/>
                <w:sz w:val="24"/>
              </w:rPr>
            </w:pPr>
            <w:r>
              <w:rPr>
                <w:rFonts w:ascii="宋体" w:hAnsi="宋体"/>
                <w:sz w:val="24"/>
              </w:rPr>
              <w:t>无</w:t>
            </w:r>
            <w:r>
              <w:rPr>
                <w:rFonts w:hint="eastAsia" w:ascii="宋体" w:hAnsi="宋体"/>
                <w:sz w:val="24"/>
              </w:rPr>
              <w:t>需</w:t>
            </w:r>
            <w:r>
              <w:rPr>
                <w:rFonts w:ascii="宋体" w:hAnsi="宋体"/>
                <w:sz w:val="24"/>
              </w:rPr>
              <w:t>投标人提供，由采购人或采购代理机构查询。</w:t>
            </w:r>
          </w:p>
        </w:tc>
      </w:tr>
      <w:tr w14:paraId="1183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4475E21F">
            <w:pPr>
              <w:tabs>
                <w:tab w:val="left" w:pos="1080"/>
              </w:tabs>
              <w:snapToGrid w:val="0"/>
              <w:jc w:val="center"/>
              <w:rPr>
                <w:rFonts w:ascii="宋体" w:hAnsi="宋体"/>
                <w:sz w:val="24"/>
              </w:rPr>
            </w:pPr>
            <w:r>
              <w:rPr>
                <w:rFonts w:hint="eastAsia" w:ascii="宋体" w:hAnsi="宋体"/>
                <w:sz w:val="24"/>
              </w:rPr>
              <w:t>1-4</w:t>
            </w:r>
          </w:p>
        </w:tc>
        <w:tc>
          <w:tcPr>
            <w:tcW w:w="1063" w:type="pct"/>
            <w:vAlign w:val="center"/>
          </w:tcPr>
          <w:p w14:paraId="7970961A">
            <w:pPr>
              <w:tabs>
                <w:tab w:val="left" w:pos="1080"/>
              </w:tabs>
              <w:snapToGrid w:val="0"/>
              <w:jc w:val="center"/>
              <w:rPr>
                <w:rFonts w:ascii="宋体" w:hAnsi="宋体"/>
                <w:sz w:val="24"/>
              </w:rPr>
            </w:pPr>
            <w:r>
              <w:rPr>
                <w:rFonts w:hint="eastAsia" w:ascii="宋体" w:hAnsi="宋体"/>
                <w:sz w:val="24"/>
              </w:rPr>
              <w:t>法律、行政法规规定的其他条件</w:t>
            </w:r>
          </w:p>
        </w:tc>
        <w:tc>
          <w:tcPr>
            <w:tcW w:w="2643" w:type="pct"/>
            <w:vAlign w:val="center"/>
          </w:tcPr>
          <w:p w14:paraId="6F3B514A">
            <w:pPr>
              <w:rPr>
                <w:rFonts w:ascii="宋体" w:hAnsi="宋体"/>
                <w:sz w:val="24"/>
              </w:rPr>
            </w:pPr>
            <w:r>
              <w:rPr>
                <w:rFonts w:hint="eastAsia" w:ascii="宋体" w:hAnsi="宋体" w:cs="宋体"/>
                <w:sz w:val="24"/>
              </w:rPr>
              <w:t>法律、行政法规规定的其他条件</w:t>
            </w:r>
          </w:p>
        </w:tc>
        <w:tc>
          <w:tcPr>
            <w:tcW w:w="849" w:type="pct"/>
            <w:vAlign w:val="center"/>
          </w:tcPr>
          <w:p w14:paraId="51AA68CF">
            <w:pPr>
              <w:pStyle w:val="47"/>
              <w:rPr>
                <w:rFonts w:ascii="宋体" w:hAnsi="宋体" w:eastAsia="宋体"/>
                <w:lang w:eastAsia="zh-CN"/>
              </w:rPr>
            </w:pPr>
          </w:p>
        </w:tc>
      </w:tr>
      <w:tr w14:paraId="1F1ED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0688CFD2">
            <w:pPr>
              <w:tabs>
                <w:tab w:val="left" w:pos="1080"/>
              </w:tabs>
              <w:snapToGrid w:val="0"/>
              <w:jc w:val="center"/>
              <w:rPr>
                <w:rFonts w:ascii="宋体" w:hAnsi="宋体"/>
                <w:sz w:val="24"/>
              </w:rPr>
            </w:pPr>
            <w:r>
              <w:rPr>
                <w:rFonts w:ascii="宋体" w:hAnsi="宋体"/>
                <w:sz w:val="24"/>
              </w:rPr>
              <w:t>2</w:t>
            </w:r>
          </w:p>
        </w:tc>
        <w:tc>
          <w:tcPr>
            <w:tcW w:w="1063" w:type="pct"/>
            <w:vAlign w:val="center"/>
          </w:tcPr>
          <w:p w14:paraId="4999601D">
            <w:pPr>
              <w:tabs>
                <w:tab w:val="left" w:pos="1080"/>
              </w:tabs>
              <w:snapToGrid w:val="0"/>
              <w:jc w:val="center"/>
              <w:rPr>
                <w:rFonts w:ascii="宋体" w:hAnsi="宋体"/>
                <w:sz w:val="24"/>
              </w:rPr>
            </w:pPr>
            <w:r>
              <w:rPr>
                <w:rFonts w:ascii="宋体" w:hAnsi="宋体"/>
                <w:sz w:val="24"/>
              </w:rPr>
              <w:t>落实政府采购政策需满足的资格要求</w:t>
            </w:r>
          </w:p>
        </w:tc>
        <w:tc>
          <w:tcPr>
            <w:tcW w:w="2643" w:type="pct"/>
            <w:vAlign w:val="center"/>
          </w:tcPr>
          <w:p w14:paraId="1C09148D">
            <w:pPr>
              <w:tabs>
                <w:tab w:val="left" w:pos="1080"/>
              </w:tabs>
              <w:snapToGrid w:val="0"/>
              <w:rPr>
                <w:rFonts w:ascii="宋体" w:hAnsi="宋体"/>
                <w:sz w:val="24"/>
              </w:rPr>
            </w:pPr>
            <w:r>
              <w:rPr>
                <w:rFonts w:ascii="宋体" w:hAnsi="宋体"/>
                <w:sz w:val="24"/>
              </w:rPr>
              <w:t>具体要求见第一章《投标邀请》</w:t>
            </w:r>
          </w:p>
        </w:tc>
        <w:tc>
          <w:tcPr>
            <w:tcW w:w="849" w:type="pct"/>
            <w:vAlign w:val="center"/>
          </w:tcPr>
          <w:p w14:paraId="23661ACC">
            <w:pPr>
              <w:tabs>
                <w:tab w:val="left" w:pos="1080"/>
              </w:tabs>
              <w:snapToGrid w:val="0"/>
              <w:jc w:val="center"/>
              <w:rPr>
                <w:rFonts w:ascii="宋体" w:hAnsi="宋体"/>
                <w:sz w:val="24"/>
              </w:rPr>
            </w:pPr>
          </w:p>
        </w:tc>
      </w:tr>
      <w:tr w14:paraId="0420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7D7AAD5A">
            <w:pPr>
              <w:tabs>
                <w:tab w:val="left" w:pos="1080"/>
              </w:tabs>
              <w:snapToGrid w:val="0"/>
              <w:jc w:val="center"/>
              <w:rPr>
                <w:rFonts w:ascii="宋体" w:hAnsi="宋体"/>
                <w:sz w:val="24"/>
              </w:rPr>
            </w:pPr>
            <w:r>
              <w:rPr>
                <w:rFonts w:hint="eastAsia" w:ascii="宋体" w:hAnsi="宋体"/>
                <w:sz w:val="24"/>
              </w:rPr>
              <w:t>2-1</w:t>
            </w:r>
          </w:p>
        </w:tc>
        <w:tc>
          <w:tcPr>
            <w:tcW w:w="1063" w:type="pct"/>
            <w:vAlign w:val="center"/>
          </w:tcPr>
          <w:p w14:paraId="665954C6">
            <w:pPr>
              <w:tabs>
                <w:tab w:val="left" w:pos="1080"/>
              </w:tabs>
              <w:snapToGrid w:val="0"/>
              <w:jc w:val="center"/>
              <w:rPr>
                <w:rFonts w:ascii="宋体" w:hAnsi="宋体"/>
                <w:sz w:val="24"/>
              </w:rPr>
            </w:pPr>
            <w:r>
              <w:rPr>
                <w:rFonts w:hint="eastAsia" w:ascii="宋体" w:hAnsi="宋体"/>
                <w:sz w:val="24"/>
              </w:rPr>
              <w:t>中小企业政策</w:t>
            </w:r>
          </w:p>
        </w:tc>
        <w:tc>
          <w:tcPr>
            <w:tcW w:w="2643" w:type="pct"/>
            <w:vAlign w:val="center"/>
          </w:tcPr>
          <w:p w14:paraId="0C160C2B">
            <w:pPr>
              <w:rPr>
                <w:rFonts w:ascii="宋体" w:hAnsi="宋体"/>
                <w:sz w:val="24"/>
              </w:rPr>
            </w:pPr>
            <w:r>
              <w:rPr>
                <w:rFonts w:hint="eastAsia" w:ascii="宋体" w:hAnsi="宋体" w:cs="宋体"/>
                <w:sz w:val="24"/>
              </w:rPr>
              <w:t>具体要求见第一章《投标邀请》</w:t>
            </w:r>
          </w:p>
        </w:tc>
        <w:tc>
          <w:tcPr>
            <w:tcW w:w="849" w:type="pct"/>
            <w:vAlign w:val="center"/>
          </w:tcPr>
          <w:p w14:paraId="44DD981A">
            <w:pPr>
              <w:tabs>
                <w:tab w:val="left" w:pos="1080"/>
              </w:tabs>
              <w:snapToGrid w:val="0"/>
              <w:jc w:val="center"/>
              <w:rPr>
                <w:rFonts w:ascii="宋体" w:hAnsi="宋体"/>
                <w:sz w:val="24"/>
              </w:rPr>
            </w:pPr>
          </w:p>
        </w:tc>
      </w:tr>
      <w:tr w14:paraId="258C4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7D265AEF">
            <w:pPr>
              <w:tabs>
                <w:tab w:val="left" w:pos="1080"/>
              </w:tabs>
              <w:snapToGrid w:val="0"/>
              <w:jc w:val="center"/>
              <w:rPr>
                <w:rFonts w:ascii="宋体" w:hAnsi="宋体"/>
                <w:sz w:val="24"/>
              </w:rPr>
            </w:pPr>
            <w:r>
              <w:rPr>
                <w:rFonts w:ascii="宋体" w:hAnsi="宋体"/>
                <w:sz w:val="24"/>
              </w:rPr>
              <w:t>2-1</w:t>
            </w:r>
            <w:r>
              <w:rPr>
                <w:rFonts w:hint="eastAsia" w:ascii="宋体" w:hAnsi="宋体"/>
                <w:sz w:val="24"/>
              </w:rPr>
              <w:t>-1</w:t>
            </w:r>
          </w:p>
        </w:tc>
        <w:tc>
          <w:tcPr>
            <w:tcW w:w="1063" w:type="pct"/>
            <w:vAlign w:val="center"/>
          </w:tcPr>
          <w:p w14:paraId="437B7756">
            <w:pPr>
              <w:tabs>
                <w:tab w:val="left" w:pos="1080"/>
              </w:tabs>
              <w:snapToGrid w:val="0"/>
              <w:jc w:val="center"/>
              <w:rPr>
                <w:rFonts w:ascii="宋体" w:hAnsi="宋体"/>
                <w:sz w:val="24"/>
              </w:rPr>
            </w:pPr>
            <w:r>
              <w:rPr>
                <w:rFonts w:hint="eastAsia" w:ascii="宋体" w:hAnsi="宋体"/>
                <w:sz w:val="24"/>
              </w:rPr>
              <w:t>中小企业证明文件</w:t>
            </w:r>
          </w:p>
        </w:tc>
        <w:tc>
          <w:tcPr>
            <w:tcW w:w="2643" w:type="pct"/>
            <w:vAlign w:val="center"/>
          </w:tcPr>
          <w:p w14:paraId="729E0976">
            <w:pPr>
              <w:rPr>
                <w:rFonts w:ascii="宋体" w:hAnsi="宋体" w:cs="宋体"/>
                <w:sz w:val="24"/>
              </w:rPr>
            </w:pPr>
            <w:bookmarkStart w:id="706" w:name="_Toc32741"/>
            <w:r>
              <w:rPr>
                <w:rFonts w:hint="eastAsia" w:ascii="宋体" w:hAnsi="宋体" w:cs="宋体"/>
                <w:sz w:val="24"/>
              </w:rPr>
              <w:t>当本项目（包）涉及预留份额专门面向中小企业采购，此时建议在《资格证明文件》中提供。</w:t>
            </w:r>
          </w:p>
          <w:p w14:paraId="33DDF14C">
            <w:pPr>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647ECD25">
            <w:pPr>
              <w:rPr>
                <w:rFonts w:ascii="宋体" w:hAnsi="宋体"/>
                <w:bCs/>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06"/>
          </w:p>
        </w:tc>
        <w:tc>
          <w:tcPr>
            <w:tcW w:w="849" w:type="pct"/>
            <w:vAlign w:val="center"/>
          </w:tcPr>
          <w:p w14:paraId="6F90EACA">
            <w:pPr>
              <w:tabs>
                <w:tab w:val="left" w:pos="1080"/>
              </w:tabs>
              <w:snapToGrid w:val="0"/>
              <w:jc w:val="center"/>
              <w:rPr>
                <w:rFonts w:ascii="宋体" w:hAnsi="宋体"/>
                <w:sz w:val="24"/>
              </w:rPr>
            </w:pPr>
            <w:r>
              <w:rPr>
                <w:rFonts w:ascii="宋体" w:hAnsi="宋体"/>
                <w:sz w:val="24"/>
              </w:rPr>
              <w:t>格式见《投标文件格式》</w:t>
            </w:r>
          </w:p>
        </w:tc>
      </w:tr>
      <w:tr w14:paraId="0F53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12554F39">
            <w:pPr>
              <w:tabs>
                <w:tab w:val="left" w:pos="1080"/>
              </w:tabs>
              <w:snapToGrid w:val="0"/>
              <w:jc w:val="center"/>
              <w:rPr>
                <w:rFonts w:ascii="宋体" w:hAnsi="宋体"/>
                <w:sz w:val="24"/>
              </w:rPr>
            </w:pPr>
            <w:r>
              <w:rPr>
                <w:rFonts w:ascii="宋体" w:hAnsi="宋体"/>
                <w:sz w:val="24"/>
              </w:rPr>
              <w:t>2-</w:t>
            </w:r>
            <w:r>
              <w:rPr>
                <w:rFonts w:hint="eastAsia" w:ascii="宋体" w:hAnsi="宋体"/>
                <w:sz w:val="24"/>
              </w:rPr>
              <w:t>1-</w:t>
            </w:r>
            <w:r>
              <w:rPr>
                <w:rFonts w:ascii="宋体" w:hAnsi="宋体"/>
                <w:sz w:val="24"/>
              </w:rPr>
              <w:t>2</w:t>
            </w:r>
          </w:p>
        </w:tc>
        <w:tc>
          <w:tcPr>
            <w:tcW w:w="1063" w:type="pct"/>
            <w:vAlign w:val="center"/>
          </w:tcPr>
          <w:p w14:paraId="6DCD04BD">
            <w:pPr>
              <w:tabs>
                <w:tab w:val="left" w:pos="1080"/>
              </w:tabs>
              <w:snapToGrid w:val="0"/>
              <w:jc w:val="center"/>
              <w:rPr>
                <w:rFonts w:ascii="宋体" w:hAnsi="宋体"/>
                <w:sz w:val="24"/>
              </w:rPr>
            </w:pPr>
            <w:r>
              <w:rPr>
                <w:rFonts w:ascii="宋体" w:hAnsi="宋体"/>
                <w:sz w:val="24"/>
              </w:rPr>
              <w:t>拟分包情况说明及分包意向协议</w:t>
            </w:r>
          </w:p>
        </w:tc>
        <w:tc>
          <w:tcPr>
            <w:tcW w:w="2643" w:type="pct"/>
            <w:vAlign w:val="center"/>
          </w:tcPr>
          <w:p w14:paraId="6D3BA7FD">
            <w:pPr>
              <w:tabs>
                <w:tab w:val="left" w:pos="1080"/>
              </w:tabs>
              <w:snapToGrid w:val="0"/>
              <w:rPr>
                <w:rFonts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14:paraId="24A89351">
            <w:pPr>
              <w:tabs>
                <w:tab w:val="left" w:pos="1080"/>
              </w:tabs>
              <w:snapToGrid w:val="0"/>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49" w:type="pct"/>
            <w:vAlign w:val="center"/>
          </w:tcPr>
          <w:p w14:paraId="72284E62">
            <w:pPr>
              <w:tabs>
                <w:tab w:val="left" w:pos="1080"/>
              </w:tabs>
              <w:snapToGrid w:val="0"/>
              <w:jc w:val="center"/>
              <w:rPr>
                <w:rFonts w:ascii="宋体" w:hAnsi="宋体"/>
                <w:sz w:val="24"/>
              </w:rPr>
            </w:pPr>
            <w:r>
              <w:rPr>
                <w:rFonts w:ascii="宋体" w:hAnsi="宋体"/>
                <w:sz w:val="24"/>
              </w:rPr>
              <w:t>格式见《投标文件格式》</w:t>
            </w:r>
          </w:p>
        </w:tc>
      </w:tr>
      <w:tr w14:paraId="14269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23FCB258">
            <w:pPr>
              <w:tabs>
                <w:tab w:val="left" w:pos="1080"/>
              </w:tabs>
              <w:snapToGrid w:val="0"/>
              <w:jc w:val="center"/>
              <w:rPr>
                <w:rFonts w:ascii="宋体" w:hAnsi="宋体"/>
                <w:sz w:val="24"/>
              </w:rPr>
            </w:pPr>
            <w:r>
              <w:rPr>
                <w:rFonts w:ascii="宋体" w:hAnsi="宋体"/>
                <w:sz w:val="24"/>
              </w:rPr>
              <w:t>2-</w:t>
            </w:r>
            <w:r>
              <w:rPr>
                <w:rFonts w:hint="eastAsia" w:ascii="宋体" w:hAnsi="宋体"/>
                <w:sz w:val="24"/>
              </w:rPr>
              <w:t>2</w:t>
            </w:r>
          </w:p>
        </w:tc>
        <w:tc>
          <w:tcPr>
            <w:tcW w:w="1063" w:type="pct"/>
            <w:vAlign w:val="center"/>
          </w:tcPr>
          <w:p w14:paraId="30529577">
            <w:pPr>
              <w:tabs>
                <w:tab w:val="left" w:pos="1080"/>
              </w:tabs>
              <w:snapToGrid w:val="0"/>
              <w:jc w:val="center"/>
              <w:rPr>
                <w:rFonts w:ascii="宋体" w:hAnsi="宋体"/>
                <w:sz w:val="24"/>
              </w:rPr>
            </w:pPr>
            <w:r>
              <w:rPr>
                <w:rFonts w:ascii="宋体" w:hAnsi="宋体"/>
                <w:sz w:val="24"/>
              </w:rPr>
              <w:t>其它落实政府采购政策的资格要求</w:t>
            </w:r>
          </w:p>
        </w:tc>
        <w:tc>
          <w:tcPr>
            <w:tcW w:w="2643" w:type="pct"/>
            <w:vAlign w:val="center"/>
          </w:tcPr>
          <w:p w14:paraId="6B3CB23F">
            <w:pPr>
              <w:tabs>
                <w:tab w:val="left" w:pos="1080"/>
              </w:tabs>
              <w:snapToGrid w:val="0"/>
              <w:rPr>
                <w:rFonts w:ascii="宋体" w:hAnsi="宋体"/>
                <w:sz w:val="24"/>
              </w:rPr>
            </w:pPr>
            <w:r>
              <w:rPr>
                <w:rFonts w:ascii="宋体" w:hAnsi="宋体"/>
                <w:sz w:val="24"/>
              </w:rPr>
              <w:t>如有，见第一章《投标邀请》</w:t>
            </w:r>
          </w:p>
        </w:tc>
        <w:tc>
          <w:tcPr>
            <w:tcW w:w="849" w:type="pct"/>
            <w:vAlign w:val="center"/>
          </w:tcPr>
          <w:p w14:paraId="128F07B0">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电子件，加盖投标人单位公章</w:t>
            </w:r>
          </w:p>
        </w:tc>
      </w:tr>
      <w:tr w14:paraId="22C3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271CAB41">
            <w:pPr>
              <w:tabs>
                <w:tab w:val="left" w:pos="1080"/>
              </w:tabs>
              <w:snapToGrid w:val="0"/>
              <w:jc w:val="center"/>
              <w:rPr>
                <w:rFonts w:ascii="宋体" w:hAnsi="宋体"/>
                <w:sz w:val="24"/>
              </w:rPr>
            </w:pPr>
            <w:r>
              <w:rPr>
                <w:rFonts w:ascii="宋体" w:hAnsi="宋体"/>
                <w:sz w:val="24"/>
              </w:rPr>
              <w:t>3</w:t>
            </w:r>
          </w:p>
        </w:tc>
        <w:tc>
          <w:tcPr>
            <w:tcW w:w="1063" w:type="pct"/>
            <w:vAlign w:val="center"/>
          </w:tcPr>
          <w:p w14:paraId="11E29689">
            <w:pPr>
              <w:tabs>
                <w:tab w:val="left" w:pos="1080"/>
              </w:tabs>
              <w:snapToGrid w:val="0"/>
              <w:jc w:val="center"/>
              <w:rPr>
                <w:rFonts w:ascii="宋体" w:hAnsi="宋体"/>
                <w:sz w:val="24"/>
              </w:rPr>
            </w:pPr>
            <w:r>
              <w:rPr>
                <w:rFonts w:ascii="宋体" w:hAnsi="宋体"/>
                <w:sz w:val="24"/>
              </w:rPr>
              <w:t>本项目的特定资格要求</w:t>
            </w:r>
          </w:p>
        </w:tc>
        <w:tc>
          <w:tcPr>
            <w:tcW w:w="2643" w:type="pct"/>
            <w:vAlign w:val="center"/>
          </w:tcPr>
          <w:p w14:paraId="3CB5C8E8">
            <w:pPr>
              <w:tabs>
                <w:tab w:val="left" w:pos="1080"/>
              </w:tabs>
              <w:snapToGrid w:val="0"/>
              <w:rPr>
                <w:rFonts w:ascii="宋体" w:hAnsi="宋体"/>
                <w:sz w:val="24"/>
              </w:rPr>
            </w:pPr>
            <w:r>
              <w:rPr>
                <w:rFonts w:ascii="宋体" w:hAnsi="宋体"/>
                <w:sz w:val="24"/>
              </w:rPr>
              <w:t>如有，见第一章《投标邀请》</w:t>
            </w:r>
          </w:p>
        </w:tc>
        <w:tc>
          <w:tcPr>
            <w:tcW w:w="849" w:type="pct"/>
            <w:vAlign w:val="center"/>
          </w:tcPr>
          <w:p w14:paraId="24E93C88">
            <w:pPr>
              <w:tabs>
                <w:tab w:val="left" w:pos="1080"/>
              </w:tabs>
              <w:snapToGrid w:val="0"/>
              <w:jc w:val="center"/>
              <w:rPr>
                <w:rFonts w:ascii="宋体" w:hAnsi="宋体"/>
                <w:sz w:val="24"/>
              </w:rPr>
            </w:pPr>
          </w:p>
        </w:tc>
      </w:tr>
      <w:tr w14:paraId="674EF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 w:hRule="atLeast"/>
          <w:jc w:val="center"/>
        </w:trPr>
        <w:tc>
          <w:tcPr>
            <w:tcW w:w="445" w:type="pct"/>
            <w:vAlign w:val="center"/>
          </w:tcPr>
          <w:p w14:paraId="52AD8C35">
            <w:pPr>
              <w:tabs>
                <w:tab w:val="left" w:pos="1080"/>
              </w:tabs>
              <w:snapToGrid w:val="0"/>
              <w:jc w:val="center"/>
              <w:rPr>
                <w:rFonts w:ascii="宋体" w:hAnsi="宋体"/>
                <w:sz w:val="24"/>
              </w:rPr>
            </w:pPr>
            <w:r>
              <w:rPr>
                <w:rFonts w:ascii="宋体" w:hAnsi="宋体"/>
                <w:sz w:val="24"/>
              </w:rPr>
              <w:t>3-1</w:t>
            </w:r>
          </w:p>
        </w:tc>
        <w:tc>
          <w:tcPr>
            <w:tcW w:w="1063" w:type="pct"/>
            <w:vAlign w:val="center"/>
          </w:tcPr>
          <w:p w14:paraId="66E8B840">
            <w:pPr>
              <w:tabs>
                <w:tab w:val="left" w:pos="1080"/>
              </w:tabs>
              <w:snapToGrid w:val="0"/>
              <w:jc w:val="center"/>
              <w:rPr>
                <w:rFonts w:ascii="宋体" w:hAnsi="宋体"/>
                <w:sz w:val="24"/>
              </w:rPr>
            </w:pPr>
            <w:r>
              <w:rPr>
                <w:rFonts w:hint="eastAsia" w:ascii="宋体" w:hAnsi="宋体"/>
                <w:sz w:val="24"/>
              </w:rPr>
              <w:t>本项目对于联合体的要求</w:t>
            </w:r>
          </w:p>
        </w:tc>
        <w:tc>
          <w:tcPr>
            <w:tcW w:w="2643" w:type="pct"/>
            <w:vAlign w:val="center"/>
          </w:tcPr>
          <w:p w14:paraId="08F157C7">
            <w:pPr>
              <w:tabs>
                <w:tab w:val="left" w:pos="1080"/>
              </w:tabs>
              <w:snapToGrid w:val="0"/>
              <w:rPr>
                <w:rFonts w:ascii="宋体" w:hAnsi="宋体"/>
                <w:sz w:val="24"/>
              </w:rPr>
            </w:pPr>
            <w:r>
              <w:rPr>
                <w:rFonts w:ascii="宋体" w:hAnsi="宋体"/>
                <w:sz w:val="24"/>
              </w:rPr>
              <w:t>本项目不接受联合体投标</w:t>
            </w:r>
            <w:r>
              <w:rPr>
                <w:rFonts w:hint="eastAsia" w:ascii="宋体" w:hAnsi="宋体"/>
                <w:sz w:val="24"/>
              </w:rPr>
              <w:t>时</w:t>
            </w:r>
            <w:r>
              <w:rPr>
                <w:rFonts w:ascii="宋体" w:hAnsi="宋体"/>
                <w:sz w:val="24"/>
              </w:rPr>
              <w:t>，</w:t>
            </w:r>
            <w:r>
              <w:rPr>
                <w:rFonts w:hint="eastAsia" w:ascii="宋体" w:hAnsi="宋体"/>
                <w:sz w:val="24"/>
              </w:rPr>
              <w:t>投标人不得为联合体</w:t>
            </w:r>
            <w:r>
              <w:rPr>
                <w:rFonts w:ascii="宋体" w:hAnsi="宋体"/>
                <w:sz w:val="24"/>
              </w:rPr>
              <w:t>。</w:t>
            </w:r>
          </w:p>
        </w:tc>
        <w:tc>
          <w:tcPr>
            <w:tcW w:w="849" w:type="pct"/>
            <w:vAlign w:val="center"/>
          </w:tcPr>
          <w:p w14:paraId="2DC12FAE">
            <w:pPr>
              <w:tabs>
                <w:tab w:val="left" w:pos="1080"/>
              </w:tabs>
              <w:snapToGrid w:val="0"/>
              <w:jc w:val="center"/>
              <w:rPr>
                <w:rFonts w:ascii="宋体" w:hAnsi="宋体"/>
                <w:sz w:val="24"/>
              </w:rPr>
            </w:pPr>
          </w:p>
        </w:tc>
      </w:tr>
      <w:tr w14:paraId="3DCF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445" w:type="pct"/>
            <w:vAlign w:val="center"/>
          </w:tcPr>
          <w:p w14:paraId="5C6008CA">
            <w:pPr>
              <w:tabs>
                <w:tab w:val="left" w:pos="1080"/>
              </w:tabs>
              <w:snapToGrid w:val="0"/>
              <w:jc w:val="center"/>
              <w:rPr>
                <w:rFonts w:ascii="宋体" w:hAnsi="宋体"/>
                <w:sz w:val="24"/>
              </w:rPr>
            </w:pPr>
            <w:r>
              <w:rPr>
                <w:rFonts w:ascii="宋体" w:hAnsi="宋体"/>
                <w:sz w:val="24"/>
              </w:rPr>
              <w:t>3-2</w:t>
            </w:r>
          </w:p>
        </w:tc>
        <w:tc>
          <w:tcPr>
            <w:tcW w:w="1063" w:type="pct"/>
            <w:vAlign w:val="center"/>
          </w:tcPr>
          <w:p w14:paraId="6B3E1FCC">
            <w:pPr>
              <w:tabs>
                <w:tab w:val="left" w:pos="1080"/>
              </w:tabs>
              <w:snapToGrid w:val="0"/>
              <w:rPr>
                <w:rFonts w:ascii="宋体" w:hAnsi="宋体"/>
                <w:sz w:val="24"/>
              </w:rPr>
            </w:pPr>
            <w:r>
              <w:rPr>
                <w:rFonts w:hint="eastAsia" w:ascii="宋体" w:hAnsi="宋体"/>
                <w:sz w:val="24"/>
              </w:rPr>
              <w:t>政府购买服务承接主体的要求</w:t>
            </w:r>
          </w:p>
        </w:tc>
        <w:tc>
          <w:tcPr>
            <w:tcW w:w="2643" w:type="pct"/>
            <w:vAlign w:val="center"/>
          </w:tcPr>
          <w:p w14:paraId="4956BCF6">
            <w:pPr>
              <w:pStyle w:val="47"/>
              <w:jc w:val="both"/>
              <w:rPr>
                <w:rFonts w:ascii="宋体" w:hAnsi="宋体" w:eastAsia="宋体" w:cs="Times New Roman"/>
                <w:sz w:val="24"/>
                <w:szCs w:val="24"/>
                <w:lang w:eastAsia="zh-CN"/>
              </w:rPr>
            </w:pPr>
            <w:r>
              <w:rPr>
                <w:rFonts w:hint="eastAsia" w:ascii="宋体" w:hAnsi="宋体" w:eastAsia="宋体" w:cs="Times New Roman"/>
                <w:sz w:val="24"/>
                <w:szCs w:val="24"/>
                <w:lang w:eastAsia="zh-CN"/>
              </w:rPr>
              <w:t>如本项目属于政府购买服务，投标人不属于公益一类事业单位、使用事业编制且由财政拨款保障的群团组织</w:t>
            </w:r>
          </w:p>
        </w:tc>
        <w:tc>
          <w:tcPr>
            <w:tcW w:w="849" w:type="pct"/>
            <w:vAlign w:val="center"/>
          </w:tcPr>
          <w:p w14:paraId="1F9BF9EB">
            <w:pPr>
              <w:ind w:left="118" w:right="116" w:hanging="1"/>
              <w:rPr>
                <w:rFonts w:ascii="宋体" w:hAnsi="宋体"/>
                <w:sz w:val="24"/>
              </w:rPr>
            </w:pPr>
            <w:r>
              <w:rPr>
                <w:rFonts w:hint="eastAsia" w:ascii="宋体" w:hAnsi="宋体" w:cs="宋体"/>
                <w:sz w:val="24"/>
              </w:rPr>
              <w:t>格式见《投标文件格式》</w:t>
            </w:r>
          </w:p>
        </w:tc>
      </w:tr>
      <w:tr w14:paraId="4D26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445" w:type="pct"/>
            <w:vAlign w:val="center"/>
          </w:tcPr>
          <w:p w14:paraId="5920E80B">
            <w:pPr>
              <w:tabs>
                <w:tab w:val="left" w:pos="1080"/>
              </w:tabs>
              <w:snapToGrid w:val="0"/>
              <w:jc w:val="center"/>
              <w:rPr>
                <w:rFonts w:ascii="宋体" w:hAnsi="宋体"/>
                <w:sz w:val="24"/>
              </w:rPr>
            </w:pPr>
            <w:r>
              <w:rPr>
                <w:rFonts w:ascii="宋体" w:hAnsi="宋体"/>
                <w:sz w:val="24"/>
              </w:rPr>
              <w:t>3-</w:t>
            </w:r>
            <w:r>
              <w:rPr>
                <w:rFonts w:hint="eastAsia" w:ascii="宋体" w:hAnsi="宋体"/>
                <w:sz w:val="24"/>
              </w:rPr>
              <w:t>3</w:t>
            </w:r>
          </w:p>
        </w:tc>
        <w:tc>
          <w:tcPr>
            <w:tcW w:w="1063" w:type="pct"/>
            <w:vAlign w:val="center"/>
          </w:tcPr>
          <w:p w14:paraId="5E72DA7E">
            <w:pPr>
              <w:tabs>
                <w:tab w:val="left" w:pos="1080"/>
              </w:tabs>
              <w:snapToGrid w:val="0"/>
              <w:jc w:val="center"/>
              <w:rPr>
                <w:rFonts w:ascii="宋体" w:hAnsi="宋体"/>
                <w:sz w:val="24"/>
              </w:rPr>
            </w:pPr>
            <w:r>
              <w:rPr>
                <w:rFonts w:ascii="宋体" w:hAnsi="宋体"/>
                <w:sz w:val="24"/>
              </w:rPr>
              <w:t>其他特定资格要求</w:t>
            </w:r>
          </w:p>
        </w:tc>
        <w:tc>
          <w:tcPr>
            <w:tcW w:w="2643" w:type="pct"/>
            <w:vAlign w:val="center"/>
          </w:tcPr>
          <w:p w14:paraId="7734EE35">
            <w:pPr>
              <w:tabs>
                <w:tab w:val="left" w:pos="1080"/>
              </w:tabs>
              <w:snapToGrid w:val="0"/>
              <w:rPr>
                <w:rFonts w:ascii="宋体" w:hAnsi="宋体"/>
                <w:sz w:val="24"/>
              </w:rPr>
            </w:pPr>
            <w:r>
              <w:rPr>
                <w:rFonts w:ascii="宋体" w:hAnsi="宋体"/>
                <w:sz w:val="24"/>
              </w:rPr>
              <w:t>如有，见第一章《投标邀请》</w:t>
            </w:r>
          </w:p>
        </w:tc>
        <w:tc>
          <w:tcPr>
            <w:tcW w:w="849" w:type="pct"/>
            <w:vAlign w:val="center"/>
          </w:tcPr>
          <w:p w14:paraId="44A370AC">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电子件，加盖投标人单位公章</w:t>
            </w:r>
          </w:p>
        </w:tc>
      </w:tr>
      <w:tr w14:paraId="53650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52A7C907">
            <w:pPr>
              <w:tabs>
                <w:tab w:val="left" w:pos="1080"/>
              </w:tabs>
              <w:snapToGrid w:val="0"/>
              <w:jc w:val="center"/>
              <w:rPr>
                <w:rFonts w:ascii="宋体" w:hAnsi="宋体"/>
                <w:sz w:val="24"/>
              </w:rPr>
            </w:pPr>
            <w:r>
              <w:rPr>
                <w:rFonts w:ascii="宋体" w:hAnsi="宋体"/>
                <w:sz w:val="24"/>
              </w:rPr>
              <w:t>4</w:t>
            </w:r>
          </w:p>
        </w:tc>
        <w:tc>
          <w:tcPr>
            <w:tcW w:w="1063" w:type="pct"/>
            <w:vAlign w:val="center"/>
          </w:tcPr>
          <w:p w14:paraId="09D8059C">
            <w:pPr>
              <w:tabs>
                <w:tab w:val="left" w:pos="1080"/>
              </w:tabs>
              <w:snapToGrid w:val="0"/>
              <w:jc w:val="center"/>
              <w:rPr>
                <w:rFonts w:ascii="宋体" w:hAnsi="宋体"/>
                <w:sz w:val="24"/>
              </w:rPr>
            </w:pPr>
            <w:r>
              <w:rPr>
                <w:rFonts w:hint="eastAsia" w:ascii="宋体" w:hAnsi="宋体"/>
                <w:sz w:val="24"/>
              </w:rPr>
              <w:t>投标保证金</w:t>
            </w:r>
          </w:p>
        </w:tc>
        <w:tc>
          <w:tcPr>
            <w:tcW w:w="2643" w:type="pct"/>
            <w:vAlign w:val="center"/>
          </w:tcPr>
          <w:p w14:paraId="3F5BF302">
            <w:pPr>
              <w:tabs>
                <w:tab w:val="left" w:pos="1080"/>
              </w:tabs>
              <w:snapToGrid w:val="0"/>
              <w:rPr>
                <w:rFonts w:ascii="宋体" w:hAnsi="宋体"/>
                <w:sz w:val="24"/>
              </w:rPr>
            </w:pPr>
            <w:r>
              <w:rPr>
                <w:rFonts w:ascii="宋体" w:hAnsi="宋体"/>
                <w:kern w:val="0"/>
                <w:sz w:val="24"/>
              </w:rPr>
              <w:t>按照招标文件的规定提交投标保证金</w:t>
            </w:r>
            <w:r>
              <w:rPr>
                <w:rFonts w:hint="eastAsia" w:ascii="宋体" w:hAnsi="宋体"/>
                <w:kern w:val="0"/>
                <w:sz w:val="24"/>
              </w:rPr>
              <w:t>。</w:t>
            </w:r>
          </w:p>
        </w:tc>
        <w:tc>
          <w:tcPr>
            <w:tcW w:w="849" w:type="pct"/>
            <w:vAlign w:val="center"/>
          </w:tcPr>
          <w:p w14:paraId="45867C8D">
            <w:pPr>
              <w:tabs>
                <w:tab w:val="left" w:pos="1080"/>
              </w:tabs>
              <w:snapToGrid w:val="0"/>
              <w:jc w:val="center"/>
              <w:rPr>
                <w:rFonts w:ascii="宋体" w:hAnsi="宋体"/>
                <w:sz w:val="24"/>
              </w:rPr>
            </w:pPr>
            <w:r>
              <w:rPr>
                <w:rFonts w:hint="eastAsia" w:ascii="宋体" w:hAnsi="宋体"/>
                <w:sz w:val="24"/>
              </w:rPr>
              <w:t>提供提交投标</w:t>
            </w:r>
            <w:r>
              <w:rPr>
                <w:rFonts w:ascii="宋体" w:hAnsi="宋体"/>
                <w:sz w:val="24"/>
              </w:rPr>
              <w:t>保证金凭证/交款单据</w:t>
            </w:r>
            <w:r>
              <w:rPr>
                <w:rFonts w:hint="eastAsia" w:ascii="宋体" w:hAnsi="宋体"/>
                <w:sz w:val="24"/>
              </w:rPr>
              <w:t>电子件并加盖投标人单位公章</w:t>
            </w:r>
          </w:p>
        </w:tc>
        <w:bookmarkStart w:id="707" w:name="_Hlt487900425"/>
        <w:bookmarkStart w:id="708" w:name="_Hlt522424701"/>
      </w:tr>
      <w:tr w14:paraId="2F860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45" w:type="pct"/>
            <w:vAlign w:val="center"/>
          </w:tcPr>
          <w:p w14:paraId="66765ADA">
            <w:pPr>
              <w:tabs>
                <w:tab w:val="left" w:pos="1080"/>
              </w:tabs>
              <w:snapToGrid w:val="0"/>
              <w:jc w:val="center"/>
              <w:rPr>
                <w:rFonts w:ascii="宋体" w:hAnsi="宋体"/>
                <w:sz w:val="24"/>
              </w:rPr>
            </w:pPr>
            <w:r>
              <w:rPr>
                <w:rFonts w:hint="eastAsia" w:ascii="宋体" w:hAnsi="宋体"/>
                <w:sz w:val="24"/>
              </w:rPr>
              <w:t>5</w:t>
            </w:r>
          </w:p>
        </w:tc>
        <w:tc>
          <w:tcPr>
            <w:tcW w:w="1063" w:type="pct"/>
            <w:vAlign w:val="center"/>
          </w:tcPr>
          <w:p w14:paraId="65884FFC">
            <w:pPr>
              <w:tabs>
                <w:tab w:val="left" w:pos="1080"/>
              </w:tabs>
              <w:snapToGrid w:val="0"/>
              <w:jc w:val="center"/>
              <w:rPr>
                <w:rFonts w:ascii="宋体" w:hAnsi="宋体"/>
                <w:sz w:val="24"/>
              </w:rPr>
            </w:pPr>
            <w:r>
              <w:rPr>
                <w:rFonts w:hint="eastAsia" w:ascii="宋体" w:hAnsi="宋体"/>
                <w:sz w:val="24"/>
              </w:rPr>
              <w:t>获取招标文件</w:t>
            </w:r>
          </w:p>
        </w:tc>
        <w:tc>
          <w:tcPr>
            <w:tcW w:w="2643" w:type="pct"/>
            <w:vAlign w:val="center"/>
          </w:tcPr>
          <w:p w14:paraId="39715AE0">
            <w:pPr>
              <w:tabs>
                <w:tab w:val="left" w:pos="1080"/>
              </w:tabs>
              <w:snapToGrid w:val="0"/>
              <w:rPr>
                <w:rFonts w:ascii="宋体" w:hAnsi="宋体"/>
                <w:kern w:val="0"/>
                <w:sz w:val="24"/>
              </w:rPr>
            </w:pPr>
            <w:r>
              <w:rPr>
                <w:rFonts w:hint="eastAsia" w:ascii="宋体" w:hAnsi="宋体"/>
                <w:kern w:val="0"/>
                <w:sz w:val="24"/>
              </w:rPr>
              <w:t>在规定期限内通过北京市政府采购电子交易平台获取所参与项目/采购包的招标文件。</w:t>
            </w:r>
          </w:p>
          <w:p w14:paraId="4CB82588">
            <w:pPr>
              <w:tabs>
                <w:tab w:val="left" w:pos="1080"/>
              </w:tabs>
              <w:snapToGrid w:val="0"/>
              <w:rPr>
                <w:rFonts w:ascii="宋体" w:hAnsi="宋体"/>
                <w:kern w:val="0"/>
                <w:sz w:val="24"/>
              </w:rPr>
            </w:pPr>
            <w:r>
              <w:rPr>
                <w:rFonts w:hint="eastAsia" w:ascii="宋体" w:hAnsi="宋体"/>
                <w:kern w:val="0"/>
                <w:sz w:val="24"/>
              </w:rPr>
              <w:t>注：如本项目接受联合体，且投标人为联合体时，联合体中任一成员在规定期限内通过北京市政府采购电子交易平台获取所参与项目/采购包的招标文件即视为满足要求。</w:t>
            </w:r>
          </w:p>
        </w:tc>
        <w:tc>
          <w:tcPr>
            <w:tcW w:w="849" w:type="pct"/>
            <w:vAlign w:val="center"/>
          </w:tcPr>
          <w:p w14:paraId="4F84AA4C">
            <w:pPr>
              <w:tabs>
                <w:tab w:val="left" w:pos="1080"/>
              </w:tabs>
              <w:snapToGrid w:val="0"/>
              <w:jc w:val="center"/>
              <w:rPr>
                <w:rFonts w:ascii="宋体" w:hAnsi="宋体"/>
                <w:sz w:val="24"/>
              </w:rPr>
            </w:pPr>
          </w:p>
        </w:tc>
      </w:tr>
      <w:bookmarkEnd w:id="707"/>
      <w:bookmarkEnd w:id="708"/>
    </w:tbl>
    <w:p w14:paraId="43048C2E">
      <w:pPr>
        <w:widowControl/>
        <w:jc w:val="left"/>
        <w:rPr>
          <w:rFonts w:ascii="宋体" w:hAnsi="宋体"/>
          <w:sz w:val="24"/>
        </w:rPr>
      </w:pPr>
      <w:r>
        <w:rPr>
          <w:rFonts w:ascii="宋体" w:hAnsi="宋体"/>
          <w:sz w:val="24"/>
        </w:rPr>
        <w:br w:type="page"/>
      </w:r>
    </w:p>
    <w:p w14:paraId="2082AB90">
      <w:pPr>
        <w:spacing w:line="360" w:lineRule="auto"/>
        <w:jc w:val="center"/>
        <w:outlineLvl w:val="0"/>
        <w:rPr>
          <w:rFonts w:ascii="宋体" w:hAnsi="宋体"/>
          <w:b/>
          <w:sz w:val="36"/>
          <w:szCs w:val="36"/>
        </w:rPr>
      </w:pPr>
      <w:bookmarkStart w:id="709" w:name="_Toc221531084"/>
      <w:r>
        <w:rPr>
          <w:rFonts w:ascii="宋体" w:hAnsi="宋体"/>
          <w:b/>
          <w:sz w:val="36"/>
          <w:szCs w:val="36"/>
        </w:rPr>
        <w:t>第四章</w:t>
      </w:r>
      <w:bookmarkEnd w:id="701"/>
      <w:bookmarkEnd w:id="702"/>
      <w:bookmarkEnd w:id="703"/>
      <w:bookmarkEnd w:id="704"/>
      <w:bookmarkEnd w:id="705"/>
      <w:bookmarkStart w:id="710" w:name="_Hlt164229061"/>
      <w:bookmarkEnd w:id="710"/>
      <w:r>
        <w:rPr>
          <w:rFonts w:hint="eastAsia" w:ascii="宋体" w:hAnsi="宋体"/>
          <w:b/>
          <w:sz w:val="36"/>
          <w:szCs w:val="36"/>
        </w:rPr>
        <w:t xml:space="preserve">  </w:t>
      </w:r>
      <w:r>
        <w:rPr>
          <w:rFonts w:ascii="宋体" w:hAnsi="宋体"/>
          <w:b/>
          <w:sz w:val="36"/>
          <w:szCs w:val="36"/>
        </w:rPr>
        <w:t>评标程序、评标方法和评标标准</w:t>
      </w:r>
      <w:bookmarkEnd w:id="709"/>
    </w:p>
    <w:p w14:paraId="4FFC6789">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211CE3C3">
      <w:pPr>
        <w:numPr>
          <w:ilvl w:val="0"/>
          <w:numId w:val="5"/>
        </w:numPr>
        <w:tabs>
          <w:tab w:val="left" w:pos="360"/>
        </w:tabs>
        <w:snapToGrid w:val="0"/>
        <w:spacing w:line="360" w:lineRule="auto"/>
        <w:outlineLvl w:val="1"/>
        <w:rPr>
          <w:rFonts w:ascii="宋体" w:hAnsi="宋体"/>
          <w:sz w:val="24"/>
        </w:rPr>
      </w:pPr>
      <w:bookmarkStart w:id="711" w:name="_Toc150509292"/>
      <w:bookmarkStart w:id="712" w:name="_Toc164229382"/>
      <w:bookmarkStart w:id="713" w:name="_Toc164608810"/>
      <w:bookmarkStart w:id="714" w:name="_Toc151193639"/>
      <w:bookmarkStart w:id="715" w:name="_Toc164229236"/>
      <w:bookmarkStart w:id="716" w:name="_Toc151190168"/>
      <w:bookmarkStart w:id="717" w:name="_Toc127151541"/>
      <w:bookmarkStart w:id="718" w:name="_Toc226337237"/>
      <w:bookmarkStart w:id="719" w:name="_Toc164608655"/>
      <w:bookmarkStart w:id="720" w:name="_Toc226309785"/>
      <w:bookmarkStart w:id="721" w:name="_Toc264969231"/>
      <w:bookmarkStart w:id="722" w:name="_Toc150480779"/>
      <w:bookmarkStart w:id="723" w:name="_Toc305158883"/>
      <w:bookmarkStart w:id="724" w:name="_Toc149720834"/>
      <w:bookmarkStart w:id="725" w:name="_Toc151193783"/>
      <w:bookmarkStart w:id="726" w:name="_Toc226965731"/>
      <w:bookmarkStart w:id="727" w:name="_Toc150774746"/>
      <w:bookmarkStart w:id="728" w:name="_Toc127161455"/>
      <w:bookmarkStart w:id="729" w:name="_Toc305158809"/>
      <w:bookmarkStart w:id="730" w:name="_Toc150774641"/>
      <w:bookmarkStart w:id="731" w:name="_Toc265228379"/>
      <w:bookmarkStart w:id="732" w:name="_Toc164351635"/>
      <w:bookmarkStart w:id="733" w:name="_Toc151193711"/>
      <w:bookmarkStart w:id="734" w:name="_Toc142311043"/>
      <w:bookmarkStart w:id="735" w:name="_Toc151193855"/>
      <w:bookmarkStart w:id="736" w:name="_Toc127151742"/>
      <w:bookmarkStart w:id="737" w:name="_Toc195842906"/>
      <w:bookmarkStart w:id="738" w:name="_Toc151193929"/>
      <w:bookmarkStart w:id="739" w:name="_Toc226965814"/>
      <w:bookmarkStart w:id="740" w:name="_Toc353825551"/>
      <w:bookmarkStart w:id="741" w:name="_Toc353873941"/>
      <w:bookmarkStart w:id="742" w:name="_Toc353873665"/>
      <w:bookmarkStart w:id="743" w:name="_Toc195842920"/>
      <w:bookmarkStart w:id="744" w:name="_Toc305158897"/>
      <w:bookmarkStart w:id="745" w:name="_Toc226965828"/>
      <w:bookmarkStart w:id="746" w:name="_Toc353873935"/>
      <w:bookmarkStart w:id="747" w:name="_Toc150480793"/>
      <w:bookmarkStart w:id="748" w:name="_Toc150774760"/>
      <w:bookmarkStart w:id="749" w:name="_Toc226337251"/>
      <w:bookmarkStart w:id="750" w:name="_Toc305158823"/>
      <w:bookmarkStart w:id="751" w:name="_Toc353825545"/>
      <w:bookmarkStart w:id="752" w:name="_Toc265228393"/>
      <w:bookmarkStart w:id="753" w:name="_Toc264969245"/>
      <w:bookmarkStart w:id="754" w:name="_Toc127151555"/>
      <w:bookmarkStart w:id="755" w:name="_Toc142311057"/>
      <w:r>
        <w:rPr>
          <w:rFonts w:ascii="宋体" w:hAnsi="宋体"/>
          <w:sz w:val="24"/>
        </w:rPr>
        <w:t>投标文件的符合性审查</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6C5A8661">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6" w:name="_Toc520356167"/>
    </w:p>
    <w:p w14:paraId="67E22F92">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756"/>
      <w:r>
        <w:rPr>
          <w:rFonts w:hint="eastAsia" w:ascii="宋体" w:hAnsi="宋体"/>
          <w:sz w:val="24"/>
        </w:rPr>
        <w:t>要求的，其</w:t>
      </w:r>
      <w:r>
        <w:rPr>
          <w:rFonts w:hint="eastAsia" w:ascii="宋体" w:hAnsi="宋体"/>
          <w:b/>
          <w:sz w:val="24"/>
        </w:rPr>
        <w:t>投标无效</w:t>
      </w:r>
      <w:r>
        <w:rPr>
          <w:rFonts w:hint="eastAsia" w:ascii="宋体" w:hAnsi="宋体"/>
          <w:sz w:val="24"/>
        </w:rPr>
        <w:t>。</w:t>
      </w:r>
    </w:p>
    <w:p w14:paraId="6B47E973">
      <w:pPr>
        <w:tabs>
          <w:tab w:val="left" w:pos="900"/>
          <w:tab w:val="left" w:pos="1080"/>
          <w:tab w:val="left" w:pos="1589"/>
        </w:tabs>
        <w:snapToGrid w:val="0"/>
        <w:spacing w:line="360" w:lineRule="auto"/>
        <w:ind w:leftChars="-170" w:hanging="357" w:hangingChars="148"/>
        <w:jc w:val="center"/>
        <w:rPr>
          <w:rFonts w:ascii="宋体" w:hAnsi="宋体"/>
          <w:b/>
          <w:sz w:val="24"/>
        </w:rPr>
      </w:pPr>
      <w:r>
        <w:rPr>
          <w:rFonts w:ascii="宋体" w:hAnsi="宋体"/>
          <w:b/>
          <w:sz w:val="24"/>
        </w:rPr>
        <w:t>符合性审查</w:t>
      </w:r>
      <w:r>
        <w:rPr>
          <w:rFonts w:hint="eastAsia" w:ascii="宋体" w:hAnsi="宋体"/>
          <w:b/>
          <w:sz w:val="24"/>
        </w:rPr>
        <w:t>要求</w:t>
      </w:r>
    </w:p>
    <w:tbl>
      <w:tblPr>
        <w:tblStyle w:val="24"/>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85"/>
        <w:gridCol w:w="5912"/>
      </w:tblGrid>
      <w:tr w14:paraId="422B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40D3D2D2">
            <w:pPr>
              <w:widowControl/>
              <w:jc w:val="center"/>
              <w:rPr>
                <w:rFonts w:ascii="宋体" w:hAnsi="宋体"/>
                <w:b/>
                <w:kern w:val="0"/>
                <w:sz w:val="24"/>
              </w:rPr>
            </w:pPr>
            <w:r>
              <w:rPr>
                <w:rFonts w:ascii="宋体" w:hAnsi="宋体"/>
                <w:b/>
                <w:kern w:val="0"/>
                <w:sz w:val="24"/>
              </w:rPr>
              <w:t>序号</w:t>
            </w:r>
          </w:p>
        </w:tc>
        <w:tc>
          <w:tcPr>
            <w:tcW w:w="1094" w:type="pct"/>
            <w:vAlign w:val="center"/>
          </w:tcPr>
          <w:p w14:paraId="194B8773">
            <w:pPr>
              <w:widowControl/>
              <w:jc w:val="center"/>
              <w:rPr>
                <w:rFonts w:ascii="宋体" w:hAnsi="宋体"/>
                <w:b/>
                <w:kern w:val="0"/>
                <w:sz w:val="24"/>
              </w:rPr>
            </w:pPr>
            <w:r>
              <w:rPr>
                <w:rFonts w:ascii="宋体" w:hAnsi="宋体"/>
                <w:b/>
                <w:kern w:val="0"/>
                <w:sz w:val="24"/>
              </w:rPr>
              <w:t>审查因素</w:t>
            </w:r>
          </w:p>
        </w:tc>
        <w:tc>
          <w:tcPr>
            <w:tcW w:w="3431" w:type="pct"/>
            <w:vAlign w:val="center"/>
          </w:tcPr>
          <w:p w14:paraId="0198135C">
            <w:pPr>
              <w:widowControl/>
              <w:jc w:val="center"/>
              <w:rPr>
                <w:rFonts w:ascii="宋体" w:hAnsi="宋体"/>
                <w:b/>
                <w:kern w:val="0"/>
                <w:sz w:val="24"/>
              </w:rPr>
            </w:pPr>
            <w:r>
              <w:rPr>
                <w:rFonts w:ascii="宋体" w:hAnsi="宋体"/>
                <w:b/>
                <w:kern w:val="0"/>
                <w:sz w:val="24"/>
              </w:rPr>
              <w:t>审查内容</w:t>
            </w:r>
          </w:p>
        </w:tc>
      </w:tr>
      <w:tr w14:paraId="31EB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138D9849">
            <w:pPr>
              <w:widowControl/>
              <w:jc w:val="center"/>
              <w:rPr>
                <w:rFonts w:ascii="宋体" w:hAnsi="宋体"/>
                <w:kern w:val="0"/>
                <w:sz w:val="24"/>
              </w:rPr>
            </w:pPr>
            <w:r>
              <w:rPr>
                <w:rFonts w:ascii="宋体" w:hAnsi="宋体"/>
                <w:kern w:val="0"/>
                <w:sz w:val="24"/>
              </w:rPr>
              <w:t>1</w:t>
            </w:r>
          </w:p>
        </w:tc>
        <w:tc>
          <w:tcPr>
            <w:tcW w:w="1094" w:type="pct"/>
            <w:vAlign w:val="center"/>
          </w:tcPr>
          <w:p w14:paraId="3A17E643">
            <w:pPr>
              <w:widowControl/>
              <w:jc w:val="center"/>
              <w:rPr>
                <w:rFonts w:ascii="宋体" w:hAnsi="宋体"/>
                <w:kern w:val="0"/>
                <w:sz w:val="24"/>
              </w:rPr>
            </w:pPr>
            <w:r>
              <w:rPr>
                <w:rFonts w:ascii="宋体" w:hAnsi="宋体"/>
                <w:kern w:val="0"/>
                <w:sz w:val="24"/>
              </w:rPr>
              <w:t>授权委托书</w:t>
            </w:r>
          </w:p>
        </w:tc>
        <w:tc>
          <w:tcPr>
            <w:tcW w:w="3431" w:type="pct"/>
            <w:vAlign w:val="center"/>
          </w:tcPr>
          <w:p w14:paraId="41E96597">
            <w:pPr>
              <w:widowControl/>
              <w:jc w:val="left"/>
              <w:rPr>
                <w:rFonts w:ascii="宋体" w:hAnsi="宋体"/>
                <w:kern w:val="0"/>
                <w:sz w:val="24"/>
              </w:rPr>
            </w:pPr>
            <w:r>
              <w:rPr>
                <w:rFonts w:hint="eastAsia" w:ascii="宋体" w:hAnsi="宋体"/>
                <w:kern w:val="0"/>
                <w:sz w:val="24"/>
              </w:rPr>
              <w:t>如非法定代表人签署投标文件，则应</w:t>
            </w:r>
            <w:r>
              <w:rPr>
                <w:rFonts w:ascii="宋体" w:hAnsi="宋体"/>
                <w:kern w:val="0"/>
                <w:sz w:val="24"/>
              </w:rPr>
              <w:t>按招标文件要求提供授权委托书；</w:t>
            </w:r>
          </w:p>
        </w:tc>
      </w:tr>
      <w:tr w14:paraId="187C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2787AB5D">
            <w:pPr>
              <w:widowControl/>
              <w:jc w:val="center"/>
              <w:rPr>
                <w:rFonts w:ascii="宋体" w:hAnsi="宋体"/>
                <w:kern w:val="0"/>
                <w:sz w:val="24"/>
              </w:rPr>
            </w:pPr>
            <w:r>
              <w:rPr>
                <w:rFonts w:ascii="宋体" w:hAnsi="宋体"/>
                <w:kern w:val="0"/>
                <w:sz w:val="24"/>
              </w:rPr>
              <w:t>2</w:t>
            </w:r>
          </w:p>
        </w:tc>
        <w:tc>
          <w:tcPr>
            <w:tcW w:w="1094" w:type="pct"/>
            <w:vAlign w:val="center"/>
          </w:tcPr>
          <w:p w14:paraId="1AC5C470">
            <w:pPr>
              <w:widowControl/>
              <w:jc w:val="center"/>
              <w:rPr>
                <w:rFonts w:ascii="宋体" w:hAnsi="宋体"/>
                <w:kern w:val="0"/>
                <w:sz w:val="24"/>
              </w:rPr>
            </w:pPr>
            <w:r>
              <w:rPr>
                <w:rFonts w:ascii="宋体" w:hAnsi="宋体"/>
                <w:kern w:val="0"/>
                <w:sz w:val="24"/>
              </w:rPr>
              <w:t>投标完整性</w:t>
            </w:r>
          </w:p>
        </w:tc>
        <w:tc>
          <w:tcPr>
            <w:tcW w:w="3431" w:type="pct"/>
            <w:vAlign w:val="center"/>
          </w:tcPr>
          <w:p w14:paraId="300DB243">
            <w:pPr>
              <w:widowControl/>
              <w:jc w:val="left"/>
              <w:rPr>
                <w:rFonts w:ascii="宋体" w:hAnsi="宋体"/>
                <w:kern w:val="0"/>
                <w:sz w:val="24"/>
              </w:rPr>
            </w:pPr>
            <w:r>
              <w:rPr>
                <w:rFonts w:hint="eastAsia" w:ascii="宋体" w:hAnsi="宋体"/>
                <w:kern w:val="0"/>
                <w:sz w:val="24"/>
              </w:rPr>
              <w:t>未</w:t>
            </w:r>
            <w:r>
              <w:rPr>
                <w:rFonts w:ascii="宋体" w:hAnsi="宋体"/>
                <w:kern w:val="0"/>
                <w:sz w:val="24"/>
              </w:rPr>
              <w:t>将</w:t>
            </w:r>
            <w:r>
              <w:rPr>
                <w:rFonts w:hint="eastAsia" w:ascii="宋体" w:hAnsi="宋体"/>
                <w:kern w:val="0"/>
                <w:sz w:val="24"/>
              </w:rPr>
              <w:t>项目/</w:t>
            </w:r>
            <w:r>
              <w:rPr>
                <w:rFonts w:ascii="宋体" w:hAnsi="宋体"/>
                <w:kern w:val="0"/>
                <w:sz w:val="24"/>
              </w:rPr>
              <w:t>采购包中的内容拆开投标；</w:t>
            </w:r>
          </w:p>
        </w:tc>
      </w:tr>
      <w:tr w14:paraId="3922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7CAC74C9">
            <w:pPr>
              <w:widowControl/>
              <w:jc w:val="center"/>
              <w:rPr>
                <w:rFonts w:ascii="宋体" w:hAnsi="宋体"/>
                <w:kern w:val="0"/>
                <w:sz w:val="24"/>
              </w:rPr>
            </w:pPr>
            <w:r>
              <w:rPr>
                <w:rFonts w:ascii="宋体" w:hAnsi="宋体"/>
                <w:kern w:val="0"/>
                <w:sz w:val="24"/>
              </w:rPr>
              <w:t>3</w:t>
            </w:r>
          </w:p>
        </w:tc>
        <w:tc>
          <w:tcPr>
            <w:tcW w:w="1094" w:type="pct"/>
            <w:vAlign w:val="center"/>
          </w:tcPr>
          <w:p w14:paraId="7F094218">
            <w:pPr>
              <w:widowControl/>
              <w:jc w:val="center"/>
              <w:rPr>
                <w:rFonts w:ascii="宋体" w:hAnsi="宋体"/>
                <w:kern w:val="0"/>
                <w:sz w:val="24"/>
              </w:rPr>
            </w:pPr>
            <w:r>
              <w:rPr>
                <w:rFonts w:ascii="宋体" w:hAnsi="宋体"/>
                <w:kern w:val="0"/>
                <w:sz w:val="24"/>
              </w:rPr>
              <w:t>投标报价</w:t>
            </w:r>
          </w:p>
        </w:tc>
        <w:tc>
          <w:tcPr>
            <w:tcW w:w="3431" w:type="pct"/>
            <w:vAlign w:val="center"/>
          </w:tcPr>
          <w:p w14:paraId="21399552">
            <w:pPr>
              <w:widowControl/>
              <w:jc w:val="left"/>
              <w:rPr>
                <w:rFonts w:ascii="宋体" w:hAnsi="宋体"/>
                <w:kern w:val="0"/>
                <w:sz w:val="24"/>
              </w:rPr>
            </w:pPr>
            <w:r>
              <w:rPr>
                <w:rFonts w:hint="eastAsia" w:ascii="宋体" w:hAnsi="宋体"/>
                <w:kern w:val="0"/>
                <w:sz w:val="24"/>
              </w:rPr>
              <w:t>投标报价未超过招标文件中规定的项目/采购包预算金额或者项目/采购包最高限价或者单价最高限价（如有）；</w:t>
            </w:r>
          </w:p>
        </w:tc>
      </w:tr>
      <w:tr w14:paraId="4362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7065408A">
            <w:pPr>
              <w:widowControl/>
              <w:jc w:val="center"/>
              <w:rPr>
                <w:rFonts w:ascii="宋体" w:hAnsi="宋体"/>
                <w:kern w:val="0"/>
                <w:sz w:val="24"/>
              </w:rPr>
            </w:pPr>
            <w:r>
              <w:rPr>
                <w:rFonts w:ascii="宋体" w:hAnsi="宋体"/>
                <w:kern w:val="0"/>
                <w:sz w:val="24"/>
              </w:rPr>
              <w:t>4</w:t>
            </w:r>
          </w:p>
        </w:tc>
        <w:tc>
          <w:tcPr>
            <w:tcW w:w="1094" w:type="pct"/>
            <w:vAlign w:val="center"/>
          </w:tcPr>
          <w:p w14:paraId="7769EA96">
            <w:pPr>
              <w:widowControl/>
              <w:jc w:val="center"/>
              <w:rPr>
                <w:rFonts w:ascii="宋体" w:hAnsi="宋体"/>
                <w:kern w:val="0"/>
                <w:sz w:val="24"/>
              </w:rPr>
            </w:pPr>
            <w:r>
              <w:rPr>
                <w:rFonts w:ascii="宋体" w:hAnsi="宋体"/>
                <w:kern w:val="0"/>
                <w:sz w:val="24"/>
              </w:rPr>
              <w:t>报价唯一性</w:t>
            </w:r>
          </w:p>
        </w:tc>
        <w:tc>
          <w:tcPr>
            <w:tcW w:w="3431" w:type="pct"/>
            <w:vAlign w:val="center"/>
          </w:tcPr>
          <w:p w14:paraId="35597175">
            <w:pPr>
              <w:widowControl/>
              <w:jc w:val="left"/>
              <w:rPr>
                <w:rFonts w:ascii="宋体" w:hAnsi="宋体"/>
                <w:kern w:val="0"/>
                <w:sz w:val="24"/>
              </w:rPr>
            </w:pPr>
            <w:r>
              <w:rPr>
                <w:rFonts w:ascii="宋体" w:hAnsi="宋体"/>
                <w:kern w:val="0"/>
                <w:sz w:val="24"/>
              </w:rPr>
              <w:t>投标文件</w:t>
            </w:r>
            <w:r>
              <w:rPr>
                <w:rFonts w:hint="eastAsia" w:ascii="宋体" w:hAnsi="宋体"/>
                <w:kern w:val="0"/>
                <w:sz w:val="24"/>
              </w:rPr>
              <w:t>未出现可选择性或可调整的报价（招标文件另有规定的除外）</w:t>
            </w:r>
            <w:r>
              <w:rPr>
                <w:rFonts w:ascii="宋体" w:hAnsi="宋体"/>
                <w:kern w:val="0"/>
                <w:sz w:val="24"/>
              </w:rPr>
              <w:t>；</w:t>
            </w:r>
          </w:p>
        </w:tc>
      </w:tr>
      <w:tr w14:paraId="0678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2FB5B2E7">
            <w:pPr>
              <w:widowControl/>
              <w:jc w:val="center"/>
              <w:rPr>
                <w:rFonts w:ascii="宋体" w:hAnsi="宋体"/>
                <w:kern w:val="0"/>
                <w:sz w:val="24"/>
              </w:rPr>
            </w:pPr>
            <w:r>
              <w:rPr>
                <w:rFonts w:ascii="宋体" w:hAnsi="宋体"/>
                <w:kern w:val="0"/>
                <w:sz w:val="24"/>
              </w:rPr>
              <w:t>5</w:t>
            </w:r>
          </w:p>
        </w:tc>
        <w:tc>
          <w:tcPr>
            <w:tcW w:w="1094" w:type="pct"/>
            <w:vAlign w:val="center"/>
          </w:tcPr>
          <w:p w14:paraId="689D268D">
            <w:pPr>
              <w:widowControl/>
              <w:jc w:val="center"/>
              <w:rPr>
                <w:rFonts w:ascii="宋体" w:hAnsi="宋体"/>
                <w:kern w:val="0"/>
                <w:sz w:val="24"/>
              </w:rPr>
            </w:pPr>
            <w:r>
              <w:rPr>
                <w:rFonts w:ascii="宋体" w:hAnsi="宋体"/>
                <w:kern w:val="0"/>
                <w:sz w:val="24"/>
              </w:rPr>
              <w:t>投标有效期</w:t>
            </w:r>
          </w:p>
        </w:tc>
        <w:tc>
          <w:tcPr>
            <w:tcW w:w="3431" w:type="pct"/>
            <w:vAlign w:val="center"/>
          </w:tcPr>
          <w:p w14:paraId="6FDCD8DE">
            <w:pPr>
              <w:widowControl/>
              <w:jc w:val="left"/>
              <w:rPr>
                <w:rFonts w:ascii="宋体" w:hAnsi="宋体"/>
                <w:kern w:val="0"/>
                <w:sz w:val="24"/>
              </w:rPr>
            </w:pPr>
            <w:r>
              <w:rPr>
                <w:rFonts w:ascii="宋体" w:hAnsi="宋体"/>
                <w:kern w:val="0"/>
                <w:sz w:val="24"/>
              </w:rPr>
              <w:t>投标文件中承诺的投标有效期</w:t>
            </w:r>
            <w:r>
              <w:rPr>
                <w:rFonts w:hint="eastAsia" w:ascii="宋体" w:hAnsi="宋体"/>
                <w:kern w:val="0"/>
                <w:sz w:val="24"/>
              </w:rPr>
              <w:t>满足</w:t>
            </w:r>
            <w:r>
              <w:rPr>
                <w:rFonts w:ascii="宋体" w:hAnsi="宋体"/>
                <w:kern w:val="0"/>
                <w:sz w:val="24"/>
              </w:rPr>
              <w:t>招标文件中载明的投标有效期；</w:t>
            </w:r>
          </w:p>
        </w:tc>
      </w:tr>
      <w:tr w14:paraId="78DF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61988171">
            <w:pPr>
              <w:widowControl/>
              <w:jc w:val="center"/>
              <w:rPr>
                <w:rFonts w:ascii="宋体" w:hAnsi="宋体"/>
                <w:kern w:val="0"/>
                <w:sz w:val="24"/>
              </w:rPr>
            </w:pPr>
            <w:r>
              <w:rPr>
                <w:rFonts w:hint="eastAsia" w:ascii="宋体" w:hAnsi="宋体"/>
                <w:kern w:val="0"/>
                <w:sz w:val="24"/>
              </w:rPr>
              <w:t>6</w:t>
            </w:r>
          </w:p>
        </w:tc>
        <w:tc>
          <w:tcPr>
            <w:tcW w:w="1094" w:type="pct"/>
            <w:vAlign w:val="center"/>
          </w:tcPr>
          <w:p w14:paraId="32AAA391">
            <w:pPr>
              <w:widowControl/>
              <w:jc w:val="center"/>
              <w:rPr>
                <w:rFonts w:ascii="宋体" w:hAnsi="宋体"/>
                <w:kern w:val="0"/>
                <w:sz w:val="24"/>
              </w:rPr>
            </w:pPr>
            <w:r>
              <w:rPr>
                <w:rFonts w:hint="eastAsia" w:ascii="宋体" w:hAnsi="宋体"/>
                <w:kern w:val="0"/>
                <w:sz w:val="24"/>
              </w:rPr>
              <w:t>实质性格式</w:t>
            </w:r>
          </w:p>
        </w:tc>
        <w:tc>
          <w:tcPr>
            <w:tcW w:w="3431" w:type="pct"/>
            <w:vAlign w:val="center"/>
          </w:tcPr>
          <w:p w14:paraId="5751D182">
            <w:pPr>
              <w:widowControl/>
              <w:jc w:val="left"/>
              <w:rPr>
                <w:rFonts w:ascii="宋体" w:hAnsi="宋体"/>
                <w:kern w:val="0"/>
                <w:sz w:val="24"/>
              </w:rPr>
            </w:pPr>
            <w:r>
              <w:rPr>
                <w:rFonts w:hint="eastAsia" w:ascii="宋体" w:hAnsi="宋体"/>
                <w:kern w:val="0"/>
                <w:sz w:val="24"/>
              </w:rPr>
              <w:t>标记为“实质性格式”的文件均按招标文件要求提供且签署、盖章；</w:t>
            </w:r>
          </w:p>
        </w:tc>
      </w:tr>
      <w:tr w14:paraId="2B7D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29CAE2C5">
            <w:pPr>
              <w:widowControl/>
              <w:jc w:val="center"/>
              <w:rPr>
                <w:rFonts w:ascii="宋体" w:hAnsi="宋体"/>
                <w:kern w:val="0"/>
                <w:sz w:val="24"/>
              </w:rPr>
            </w:pPr>
            <w:r>
              <w:rPr>
                <w:rFonts w:hint="eastAsia" w:ascii="宋体" w:hAnsi="宋体"/>
                <w:kern w:val="0"/>
                <w:sz w:val="24"/>
              </w:rPr>
              <w:t>7</w:t>
            </w:r>
          </w:p>
        </w:tc>
        <w:tc>
          <w:tcPr>
            <w:tcW w:w="1094" w:type="pct"/>
            <w:vAlign w:val="center"/>
          </w:tcPr>
          <w:p w14:paraId="676A6579">
            <w:pPr>
              <w:widowControl/>
              <w:jc w:val="center"/>
              <w:rPr>
                <w:rFonts w:ascii="宋体" w:hAnsi="宋体"/>
                <w:kern w:val="0"/>
                <w:sz w:val="24"/>
              </w:rPr>
            </w:pPr>
            <w:bookmarkStart w:id="757" w:name="OLE_LINK1"/>
            <w:bookmarkStart w:id="758" w:name="OLE_LINK2"/>
            <w:r>
              <w:rPr>
                <w:rFonts w:ascii="宋体" w:hAnsi="宋体"/>
                <w:kern w:val="0"/>
                <w:sz w:val="24"/>
              </w:rPr>
              <w:t>★</w:t>
            </w:r>
            <w:bookmarkEnd w:id="757"/>
            <w:bookmarkEnd w:id="758"/>
            <w:r>
              <w:rPr>
                <w:rFonts w:ascii="宋体" w:hAnsi="宋体"/>
                <w:kern w:val="0"/>
                <w:sz w:val="24"/>
              </w:rPr>
              <w:t>号条款响应（如有）</w:t>
            </w:r>
          </w:p>
        </w:tc>
        <w:tc>
          <w:tcPr>
            <w:tcW w:w="3431" w:type="pct"/>
            <w:vAlign w:val="center"/>
          </w:tcPr>
          <w:p w14:paraId="77C3BEDA">
            <w:pPr>
              <w:widowControl/>
              <w:jc w:val="left"/>
              <w:rPr>
                <w:rFonts w:ascii="宋体" w:hAnsi="宋体"/>
                <w:kern w:val="0"/>
                <w:sz w:val="24"/>
              </w:rPr>
            </w:pPr>
            <w:r>
              <w:rPr>
                <w:rFonts w:ascii="宋体" w:hAnsi="宋体"/>
                <w:kern w:val="0"/>
                <w:sz w:val="24"/>
              </w:rPr>
              <w:t>投标文件满足招标文件第五章《采购需求》中★号条款要求；</w:t>
            </w:r>
          </w:p>
        </w:tc>
      </w:tr>
      <w:tr w14:paraId="5AA2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0D8784C6">
            <w:pPr>
              <w:widowControl/>
              <w:jc w:val="center"/>
              <w:rPr>
                <w:rFonts w:ascii="宋体" w:hAnsi="宋体"/>
                <w:kern w:val="0"/>
                <w:sz w:val="24"/>
              </w:rPr>
            </w:pPr>
            <w:r>
              <w:rPr>
                <w:rFonts w:hint="eastAsia" w:ascii="宋体" w:hAnsi="宋体"/>
                <w:kern w:val="0"/>
                <w:sz w:val="24"/>
              </w:rPr>
              <w:t>8</w:t>
            </w:r>
          </w:p>
        </w:tc>
        <w:tc>
          <w:tcPr>
            <w:tcW w:w="1094" w:type="pct"/>
            <w:vAlign w:val="center"/>
          </w:tcPr>
          <w:p w14:paraId="22FD5C53">
            <w:pPr>
              <w:widowControl/>
              <w:jc w:val="center"/>
              <w:rPr>
                <w:rFonts w:ascii="宋体" w:hAnsi="宋体"/>
                <w:kern w:val="0"/>
                <w:sz w:val="24"/>
              </w:rPr>
            </w:pPr>
            <w:r>
              <w:rPr>
                <w:rFonts w:ascii="宋体" w:hAnsi="宋体"/>
                <w:kern w:val="0"/>
                <w:sz w:val="24"/>
              </w:rPr>
              <w:t>拟分包情况说明（如有）</w:t>
            </w:r>
          </w:p>
        </w:tc>
        <w:tc>
          <w:tcPr>
            <w:tcW w:w="3431" w:type="pct"/>
            <w:vAlign w:val="center"/>
          </w:tcPr>
          <w:p w14:paraId="6CCB9F10">
            <w:pPr>
              <w:widowControl/>
              <w:jc w:val="left"/>
              <w:rPr>
                <w:rFonts w:ascii="宋体" w:hAnsi="宋体"/>
                <w:kern w:val="0"/>
                <w:sz w:val="24"/>
              </w:rPr>
            </w:pPr>
            <w:r>
              <w:rPr>
                <w:rFonts w:ascii="宋体" w:hAnsi="宋体"/>
                <w:kern w:val="0"/>
                <w:sz w:val="24"/>
              </w:rPr>
              <w:t>如本项目（包）非因</w:t>
            </w:r>
            <w:r>
              <w:rPr>
                <w:rFonts w:hint="eastAsia" w:ascii="宋体" w:hAnsi="宋体"/>
                <w:kern w:val="0"/>
                <w:sz w:val="24"/>
              </w:rPr>
              <w:t>“</w:t>
            </w:r>
            <w:r>
              <w:rPr>
                <w:rFonts w:ascii="宋体" w:hAnsi="宋体"/>
                <w:kern w:val="0"/>
                <w:sz w:val="24"/>
              </w:rPr>
              <w:t>落实政府采购政策</w:t>
            </w:r>
            <w:r>
              <w:rPr>
                <w:rFonts w:hint="eastAsia" w:ascii="宋体" w:hAnsi="宋体"/>
                <w:kern w:val="0"/>
                <w:sz w:val="24"/>
              </w:rPr>
              <w:t>”</w:t>
            </w:r>
            <w:r>
              <w:rPr>
                <w:rFonts w:ascii="宋体" w:hAnsi="宋体"/>
                <w:kern w:val="0"/>
                <w:sz w:val="24"/>
              </w:rPr>
              <w:t>亦允许分包，且供应商拟进行分包时，必须</w:t>
            </w:r>
            <w:r>
              <w:rPr>
                <w:rFonts w:hint="eastAsia" w:ascii="宋体" w:hAnsi="宋体"/>
                <w:kern w:val="0"/>
                <w:sz w:val="24"/>
              </w:rPr>
              <w:t>提</w:t>
            </w:r>
            <w:r>
              <w:rPr>
                <w:rFonts w:ascii="宋体" w:hAnsi="宋体"/>
                <w:kern w:val="0"/>
                <w:sz w:val="24"/>
              </w:rPr>
              <w:t>供；否则无须</w:t>
            </w:r>
            <w:r>
              <w:rPr>
                <w:rFonts w:hint="eastAsia" w:ascii="宋体" w:hAnsi="宋体"/>
                <w:kern w:val="0"/>
                <w:sz w:val="24"/>
              </w:rPr>
              <w:t>提</w:t>
            </w:r>
            <w:r>
              <w:rPr>
                <w:rFonts w:ascii="宋体" w:hAnsi="宋体"/>
                <w:kern w:val="0"/>
                <w:sz w:val="24"/>
              </w:rPr>
              <w:t>供；</w:t>
            </w:r>
          </w:p>
        </w:tc>
      </w:tr>
      <w:tr w14:paraId="5601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157A64C3">
            <w:pPr>
              <w:widowControl/>
              <w:jc w:val="center"/>
              <w:rPr>
                <w:rFonts w:ascii="宋体" w:hAnsi="宋体"/>
                <w:kern w:val="0"/>
                <w:sz w:val="24"/>
              </w:rPr>
            </w:pPr>
            <w:r>
              <w:rPr>
                <w:rFonts w:hint="eastAsia" w:ascii="宋体" w:hAnsi="宋体"/>
                <w:kern w:val="0"/>
                <w:sz w:val="24"/>
              </w:rPr>
              <w:t>9</w:t>
            </w:r>
          </w:p>
        </w:tc>
        <w:tc>
          <w:tcPr>
            <w:tcW w:w="1094" w:type="pct"/>
            <w:vAlign w:val="center"/>
          </w:tcPr>
          <w:p w14:paraId="13785B85">
            <w:pPr>
              <w:widowControl/>
              <w:jc w:val="center"/>
              <w:rPr>
                <w:rFonts w:ascii="宋体" w:hAnsi="宋体"/>
                <w:kern w:val="0"/>
                <w:sz w:val="24"/>
              </w:rPr>
            </w:pPr>
            <w:r>
              <w:rPr>
                <w:rFonts w:ascii="宋体" w:hAnsi="宋体"/>
                <w:kern w:val="0"/>
                <w:sz w:val="24"/>
              </w:rPr>
              <w:t>分包其他要求（如有）</w:t>
            </w:r>
          </w:p>
        </w:tc>
        <w:tc>
          <w:tcPr>
            <w:tcW w:w="3431" w:type="pct"/>
            <w:vAlign w:val="center"/>
          </w:tcPr>
          <w:p w14:paraId="0B5BA628">
            <w:pPr>
              <w:widowControl/>
              <w:jc w:val="left"/>
              <w:rPr>
                <w:rFonts w:ascii="宋体" w:hAnsi="宋体"/>
                <w:kern w:val="0"/>
                <w:sz w:val="24"/>
              </w:rPr>
            </w:pPr>
            <w:r>
              <w:rPr>
                <w:rFonts w:ascii="宋体" w:hAnsi="宋体"/>
                <w:kern w:val="0"/>
                <w:sz w:val="24"/>
              </w:rPr>
              <w:t>分包履行的内容、金额或者比例未超出《投标人须知资料表》中的规定；分包承担主体具备《投标人须知资料表》载明的资质条件且</w:t>
            </w:r>
            <w:r>
              <w:rPr>
                <w:rFonts w:hint="eastAsia" w:ascii="宋体" w:hAnsi="宋体"/>
                <w:kern w:val="0"/>
                <w:sz w:val="24"/>
              </w:rPr>
              <w:t>提</w:t>
            </w:r>
            <w:r>
              <w:rPr>
                <w:rFonts w:ascii="宋体" w:hAnsi="宋体"/>
                <w:kern w:val="0"/>
                <w:sz w:val="24"/>
              </w:rPr>
              <w:t>供了资质证书</w:t>
            </w:r>
            <w:r>
              <w:rPr>
                <w:rFonts w:hint="eastAsia" w:ascii="宋体" w:hAnsi="宋体"/>
                <w:sz w:val="24"/>
              </w:rPr>
              <w:t>电子件</w:t>
            </w:r>
            <w:r>
              <w:rPr>
                <w:rFonts w:ascii="宋体" w:hAnsi="宋体"/>
                <w:kern w:val="0"/>
                <w:sz w:val="24"/>
              </w:rPr>
              <w:t>；</w:t>
            </w:r>
          </w:p>
        </w:tc>
      </w:tr>
      <w:tr w14:paraId="1F60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25BE7ECA">
            <w:pPr>
              <w:widowControl/>
              <w:jc w:val="center"/>
              <w:rPr>
                <w:rFonts w:ascii="宋体" w:hAnsi="宋体"/>
                <w:kern w:val="0"/>
                <w:sz w:val="24"/>
              </w:rPr>
            </w:pPr>
            <w:r>
              <w:rPr>
                <w:rFonts w:ascii="宋体" w:hAnsi="宋体"/>
                <w:kern w:val="0"/>
                <w:sz w:val="24"/>
              </w:rPr>
              <w:t>1</w:t>
            </w:r>
            <w:r>
              <w:rPr>
                <w:rFonts w:hint="eastAsia" w:ascii="宋体" w:hAnsi="宋体"/>
                <w:kern w:val="0"/>
                <w:sz w:val="24"/>
              </w:rPr>
              <w:t>0</w:t>
            </w:r>
          </w:p>
        </w:tc>
        <w:tc>
          <w:tcPr>
            <w:tcW w:w="1094" w:type="pct"/>
            <w:vAlign w:val="center"/>
          </w:tcPr>
          <w:p w14:paraId="1812CAC6">
            <w:pPr>
              <w:widowControl/>
              <w:jc w:val="center"/>
              <w:rPr>
                <w:rFonts w:ascii="宋体" w:hAnsi="宋体"/>
                <w:kern w:val="0"/>
                <w:sz w:val="24"/>
              </w:rPr>
            </w:pPr>
            <w:r>
              <w:rPr>
                <w:rFonts w:ascii="宋体" w:hAnsi="宋体"/>
                <w:kern w:val="0"/>
                <w:sz w:val="24"/>
              </w:rPr>
              <w:t>报价的修正</w:t>
            </w:r>
          </w:p>
          <w:p w14:paraId="23F9DB08">
            <w:pPr>
              <w:widowControl/>
              <w:jc w:val="center"/>
              <w:rPr>
                <w:rFonts w:ascii="宋体" w:hAnsi="宋体"/>
                <w:kern w:val="0"/>
                <w:sz w:val="24"/>
              </w:rPr>
            </w:pPr>
            <w:r>
              <w:rPr>
                <w:rFonts w:ascii="宋体" w:hAnsi="宋体"/>
                <w:kern w:val="0"/>
                <w:sz w:val="24"/>
              </w:rPr>
              <w:t>（如有）</w:t>
            </w:r>
          </w:p>
        </w:tc>
        <w:tc>
          <w:tcPr>
            <w:tcW w:w="3431" w:type="pct"/>
            <w:vAlign w:val="center"/>
          </w:tcPr>
          <w:p w14:paraId="43549839">
            <w:pPr>
              <w:widowControl/>
              <w:jc w:val="left"/>
              <w:rPr>
                <w:rFonts w:ascii="宋体" w:hAnsi="宋体"/>
                <w:kern w:val="0"/>
                <w:sz w:val="24"/>
              </w:rPr>
            </w:pPr>
            <w:r>
              <w:rPr>
                <w:rFonts w:hint="eastAsia" w:ascii="宋体" w:hAnsi="宋体"/>
                <w:kern w:val="0"/>
                <w:sz w:val="24"/>
              </w:rPr>
              <w:t>不涉及报价修正；</w:t>
            </w:r>
            <w:r>
              <w:rPr>
                <w:rFonts w:ascii="宋体" w:hAnsi="宋体"/>
                <w:kern w:val="0"/>
                <w:sz w:val="24"/>
              </w:rPr>
              <w:t>或投标文件报价出现前后不一致</w:t>
            </w:r>
            <w:r>
              <w:rPr>
                <w:rFonts w:hint="eastAsia" w:ascii="宋体" w:hAnsi="宋体"/>
                <w:kern w:val="0"/>
                <w:sz w:val="24"/>
              </w:rPr>
              <w:t>时</w:t>
            </w:r>
            <w:r>
              <w:rPr>
                <w:rFonts w:ascii="宋体" w:hAnsi="宋体"/>
                <w:kern w:val="0"/>
                <w:sz w:val="24"/>
              </w:rPr>
              <w:t>，投标人对修正后的报价予</w:t>
            </w:r>
            <w:r>
              <w:rPr>
                <w:rFonts w:hint="eastAsia" w:ascii="宋体" w:hAnsi="宋体"/>
                <w:kern w:val="0"/>
                <w:sz w:val="24"/>
              </w:rPr>
              <w:t>以</w:t>
            </w:r>
            <w:r>
              <w:rPr>
                <w:rFonts w:ascii="宋体" w:hAnsi="宋体"/>
                <w:kern w:val="0"/>
                <w:sz w:val="24"/>
              </w:rPr>
              <w:t>确认</w:t>
            </w:r>
            <w:r>
              <w:rPr>
                <w:rFonts w:hint="eastAsia" w:ascii="宋体" w:hAnsi="宋体"/>
                <w:kern w:val="0"/>
                <w:sz w:val="24"/>
              </w:rPr>
              <w:t>；</w:t>
            </w:r>
            <w:r>
              <w:rPr>
                <w:rFonts w:ascii="宋体" w:hAnsi="宋体"/>
                <w:kern w:val="0"/>
                <w:sz w:val="24"/>
              </w:rPr>
              <w:t xml:space="preserve"> </w:t>
            </w:r>
          </w:p>
        </w:tc>
      </w:tr>
      <w:tr w14:paraId="651C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59D267FA">
            <w:pPr>
              <w:widowControl/>
              <w:jc w:val="center"/>
              <w:rPr>
                <w:rFonts w:ascii="宋体" w:hAnsi="宋体"/>
                <w:kern w:val="0"/>
                <w:sz w:val="24"/>
              </w:rPr>
            </w:pPr>
            <w:r>
              <w:rPr>
                <w:rFonts w:ascii="宋体" w:hAnsi="宋体"/>
                <w:kern w:val="0"/>
                <w:sz w:val="24"/>
              </w:rPr>
              <w:t>1</w:t>
            </w:r>
            <w:r>
              <w:rPr>
                <w:rFonts w:hint="eastAsia" w:ascii="宋体" w:hAnsi="宋体"/>
                <w:kern w:val="0"/>
                <w:sz w:val="24"/>
              </w:rPr>
              <w:t>1</w:t>
            </w:r>
          </w:p>
        </w:tc>
        <w:tc>
          <w:tcPr>
            <w:tcW w:w="1094" w:type="pct"/>
            <w:vAlign w:val="center"/>
          </w:tcPr>
          <w:p w14:paraId="77EBC4CC">
            <w:pPr>
              <w:widowControl/>
              <w:jc w:val="center"/>
              <w:rPr>
                <w:rFonts w:ascii="宋体" w:hAnsi="宋体"/>
                <w:kern w:val="0"/>
                <w:sz w:val="24"/>
              </w:rPr>
            </w:pPr>
            <w:r>
              <w:rPr>
                <w:rFonts w:ascii="宋体" w:hAnsi="宋体"/>
                <w:kern w:val="0"/>
                <w:sz w:val="24"/>
              </w:rPr>
              <w:t>报价合理性</w:t>
            </w:r>
          </w:p>
        </w:tc>
        <w:tc>
          <w:tcPr>
            <w:tcW w:w="3431" w:type="pct"/>
            <w:vAlign w:val="center"/>
          </w:tcPr>
          <w:p w14:paraId="2AE9C44A">
            <w:pPr>
              <w:widowControl/>
              <w:jc w:val="left"/>
              <w:rPr>
                <w:rFonts w:ascii="宋体" w:hAnsi="宋体"/>
                <w:kern w:val="0"/>
                <w:sz w:val="24"/>
              </w:rPr>
            </w:pPr>
            <w:r>
              <w:rPr>
                <w:rFonts w:ascii="宋体" w:hAnsi="宋体"/>
                <w:kern w:val="0"/>
                <w:sz w:val="24"/>
              </w:rPr>
              <w:t>报价合理</w:t>
            </w:r>
            <w:r>
              <w:rPr>
                <w:rFonts w:hint="eastAsia" w:ascii="宋体" w:hAnsi="宋体"/>
                <w:kern w:val="0"/>
                <w:sz w:val="24"/>
              </w:rPr>
              <w:t>；</w:t>
            </w:r>
            <w:r>
              <w:rPr>
                <w:rFonts w:ascii="宋体" w:hAnsi="宋体"/>
                <w:kern w:val="0"/>
                <w:sz w:val="24"/>
              </w:rPr>
              <w:t>或</w:t>
            </w:r>
            <w:r>
              <w:rPr>
                <w:rFonts w:hint="eastAsia" w:ascii="宋体" w:hAnsi="宋体"/>
                <w:kern w:val="0"/>
                <w:sz w:val="24"/>
              </w:rPr>
              <w:t>投标人的报价明显低于其他通过符合性审查投标人的报价，</w:t>
            </w:r>
            <w:r>
              <w:rPr>
                <w:rFonts w:ascii="宋体" w:hAnsi="宋体"/>
                <w:kern w:val="0"/>
                <w:sz w:val="24"/>
              </w:rPr>
              <w:t>有可能影响产品质量或者不能诚信履约的</w:t>
            </w:r>
            <w:r>
              <w:rPr>
                <w:rFonts w:hint="eastAsia" w:ascii="宋体" w:hAnsi="宋体"/>
                <w:kern w:val="0"/>
                <w:sz w:val="24"/>
              </w:rPr>
              <w:t>，能够应评标委员会要求在规定时间内证明其报价合理性</w:t>
            </w:r>
            <w:r>
              <w:rPr>
                <w:rFonts w:ascii="宋体" w:hAnsi="宋体"/>
                <w:kern w:val="0"/>
                <w:sz w:val="24"/>
              </w:rPr>
              <w:t>；</w:t>
            </w:r>
          </w:p>
        </w:tc>
      </w:tr>
      <w:tr w14:paraId="4F1F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pct"/>
            <w:vAlign w:val="center"/>
          </w:tcPr>
          <w:p w14:paraId="030D26A4">
            <w:pPr>
              <w:widowControl/>
              <w:jc w:val="center"/>
              <w:rPr>
                <w:rFonts w:ascii="宋体" w:hAnsi="宋体"/>
                <w:kern w:val="0"/>
                <w:sz w:val="24"/>
              </w:rPr>
            </w:pPr>
            <w:r>
              <w:rPr>
                <w:rFonts w:hint="eastAsia" w:ascii="宋体" w:hAnsi="宋体"/>
                <w:kern w:val="0"/>
                <w:sz w:val="24"/>
              </w:rPr>
              <w:t>12</w:t>
            </w:r>
          </w:p>
        </w:tc>
        <w:tc>
          <w:tcPr>
            <w:tcW w:w="1094" w:type="pct"/>
            <w:vAlign w:val="center"/>
          </w:tcPr>
          <w:p w14:paraId="2A9025B1">
            <w:pPr>
              <w:widowControl/>
              <w:jc w:val="center"/>
              <w:rPr>
                <w:rFonts w:ascii="宋体" w:hAnsi="宋体"/>
                <w:kern w:val="0"/>
                <w:sz w:val="24"/>
              </w:rPr>
            </w:pPr>
            <w:r>
              <w:rPr>
                <w:rFonts w:hint="eastAsia" w:ascii="宋体" w:hAnsi="宋体"/>
                <w:kern w:val="0"/>
                <w:sz w:val="24"/>
              </w:rPr>
              <w:t>进口产品</w:t>
            </w:r>
          </w:p>
          <w:p w14:paraId="7702AF0C">
            <w:pPr>
              <w:widowControl/>
              <w:jc w:val="center"/>
              <w:rPr>
                <w:rFonts w:ascii="宋体" w:hAnsi="宋体"/>
                <w:kern w:val="0"/>
                <w:sz w:val="24"/>
              </w:rPr>
            </w:pPr>
            <w:r>
              <w:rPr>
                <w:rFonts w:hint="eastAsia" w:ascii="宋体" w:hAnsi="宋体"/>
                <w:kern w:val="0"/>
                <w:sz w:val="24"/>
              </w:rPr>
              <w:t>（如有）</w:t>
            </w:r>
          </w:p>
        </w:tc>
        <w:tc>
          <w:tcPr>
            <w:tcW w:w="3431" w:type="pct"/>
            <w:vAlign w:val="center"/>
          </w:tcPr>
          <w:p w14:paraId="3D025599">
            <w:pPr>
              <w:widowControl/>
              <w:jc w:val="left"/>
              <w:rPr>
                <w:rFonts w:ascii="宋体" w:hAnsi="宋体"/>
                <w:sz w:val="24"/>
              </w:rPr>
            </w:pPr>
            <w:r>
              <w:rPr>
                <w:rFonts w:hint="eastAsia" w:ascii="宋体" w:hAnsi="宋体"/>
                <w:sz w:val="24"/>
              </w:rPr>
              <w:t>招标文件不接受进口产品投标时，投标人所投产品不含进口产品；</w:t>
            </w:r>
          </w:p>
          <w:p w14:paraId="1D9A9A56">
            <w:pPr>
              <w:widowControl/>
              <w:jc w:val="left"/>
              <w:rPr>
                <w:rFonts w:ascii="宋体" w:hAnsi="宋体"/>
                <w:sz w:val="24"/>
              </w:rPr>
            </w:pPr>
          </w:p>
        </w:tc>
      </w:tr>
      <w:tr w14:paraId="0C28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0B78C23B">
            <w:pPr>
              <w:widowControl/>
              <w:jc w:val="center"/>
              <w:rPr>
                <w:rFonts w:ascii="宋体" w:hAnsi="宋体"/>
                <w:kern w:val="0"/>
                <w:sz w:val="24"/>
              </w:rPr>
            </w:pPr>
            <w:r>
              <w:rPr>
                <w:rFonts w:hint="eastAsia" w:ascii="宋体" w:hAnsi="宋体"/>
                <w:kern w:val="0"/>
                <w:sz w:val="24"/>
              </w:rPr>
              <w:t>13</w:t>
            </w:r>
          </w:p>
        </w:tc>
        <w:tc>
          <w:tcPr>
            <w:tcW w:w="1094" w:type="pct"/>
            <w:vAlign w:val="center"/>
          </w:tcPr>
          <w:p w14:paraId="32BFFF97">
            <w:pPr>
              <w:widowControl/>
              <w:jc w:val="center"/>
              <w:rPr>
                <w:rFonts w:ascii="宋体" w:hAnsi="宋体"/>
                <w:kern w:val="0"/>
                <w:sz w:val="24"/>
              </w:rPr>
            </w:pPr>
            <w:r>
              <w:rPr>
                <w:rFonts w:hint="eastAsia" w:ascii="宋体" w:hAnsi="宋体"/>
                <w:kern w:val="0"/>
                <w:sz w:val="24"/>
              </w:rPr>
              <w:t>国家有关部门</w:t>
            </w:r>
          </w:p>
          <w:p w14:paraId="0ABD1981">
            <w:pPr>
              <w:widowControl/>
              <w:jc w:val="center"/>
              <w:rPr>
                <w:rFonts w:ascii="宋体" w:hAnsi="宋体"/>
                <w:kern w:val="0"/>
                <w:sz w:val="24"/>
              </w:rPr>
            </w:pPr>
            <w:r>
              <w:rPr>
                <w:rFonts w:hint="eastAsia" w:ascii="宋体" w:hAnsi="宋体"/>
                <w:kern w:val="0"/>
                <w:sz w:val="24"/>
              </w:rPr>
              <w:t>对投标人的投</w:t>
            </w:r>
          </w:p>
          <w:p w14:paraId="13880E95">
            <w:pPr>
              <w:widowControl/>
              <w:jc w:val="center"/>
              <w:rPr>
                <w:rFonts w:ascii="宋体" w:hAnsi="宋体"/>
                <w:kern w:val="0"/>
                <w:sz w:val="24"/>
              </w:rPr>
            </w:pPr>
            <w:r>
              <w:rPr>
                <w:rFonts w:hint="eastAsia" w:ascii="宋体" w:hAnsi="宋体"/>
                <w:kern w:val="0"/>
                <w:sz w:val="24"/>
              </w:rPr>
              <w:t>标产品有强制</w:t>
            </w:r>
          </w:p>
          <w:p w14:paraId="65A41DC1">
            <w:pPr>
              <w:widowControl/>
              <w:jc w:val="center"/>
              <w:rPr>
                <w:rFonts w:ascii="宋体" w:hAnsi="宋体"/>
                <w:kern w:val="0"/>
                <w:sz w:val="24"/>
              </w:rPr>
            </w:pPr>
            <w:r>
              <w:rPr>
                <w:rFonts w:hint="eastAsia" w:ascii="宋体" w:hAnsi="宋体"/>
                <w:kern w:val="0"/>
                <w:sz w:val="24"/>
              </w:rPr>
              <w:t>性规定或要求</w:t>
            </w:r>
          </w:p>
          <w:p w14:paraId="641654B8">
            <w:pPr>
              <w:widowControl/>
              <w:jc w:val="center"/>
              <w:rPr>
                <w:rFonts w:ascii="宋体" w:hAnsi="宋体"/>
                <w:kern w:val="0"/>
                <w:sz w:val="24"/>
              </w:rPr>
            </w:pPr>
            <w:r>
              <w:rPr>
                <w:rFonts w:hint="eastAsia" w:ascii="宋体" w:hAnsi="宋体"/>
                <w:kern w:val="0"/>
                <w:sz w:val="24"/>
              </w:rPr>
              <w:t>的</w:t>
            </w:r>
          </w:p>
        </w:tc>
        <w:tc>
          <w:tcPr>
            <w:tcW w:w="3431" w:type="pct"/>
            <w:vAlign w:val="center"/>
          </w:tcPr>
          <w:p w14:paraId="47BD0E5B">
            <w:pPr>
              <w:widowControl/>
              <w:jc w:val="left"/>
              <w:rPr>
                <w:rFonts w:ascii="宋体" w:hAnsi="宋体"/>
                <w:sz w:val="24"/>
              </w:rPr>
            </w:pPr>
            <w:r>
              <w:rPr>
                <w:rFonts w:hint="eastAsia" w:ascii="宋体" w:hAnsi="宋体"/>
                <w:sz w:val="24"/>
              </w:rPr>
              <w:t>国家有关部门对投标人的投标产品有强制性规定或要求的（如相应技术、安全、节能和环保等），投标人的投标产品应符合相应规定或要求，并提供证明文件电子件，均需加盖投标人单位公章：</w:t>
            </w:r>
          </w:p>
          <w:p w14:paraId="3ADC8809">
            <w:pPr>
              <w:widowControl/>
              <w:jc w:val="left"/>
              <w:rPr>
                <w:rFonts w:ascii="宋体" w:hAnsi="宋体"/>
                <w:sz w:val="24"/>
              </w:rPr>
            </w:pPr>
            <w:r>
              <w:rPr>
                <w:rFonts w:hint="eastAsia" w:ascii="宋体" w:hAnsi="宋体"/>
                <w:sz w:val="24"/>
              </w:rPr>
              <w:t>1）采购的产品若属于《节能产品政府采购品目清单》范围中政府强制采购产品，则投标人所报产品必须获得国家确定的认证机构出具的、处于有效期之内的节能产品认证证书；</w:t>
            </w:r>
          </w:p>
          <w:p w14:paraId="395B85FB">
            <w:pPr>
              <w:widowControl/>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72FB751">
            <w:pPr>
              <w:widowControl/>
              <w:wordWrap w:val="0"/>
              <w:jc w:val="left"/>
              <w:rPr>
                <w:rFonts w:ascii="宋体" w:hAnsi="宋体"/>
                <w:sz w:val="24"/>
              </w:rPr>
            </w:pPr>
            <w:r>
              <w:rPr>
                <w:rFonts w:hint="eastAsia" w:ascii="宋体" w:hAnsi="宋体"/>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C985CB1">
            <w:pPr>
              <w:widowControl/>
              <w:jc w:val="left"/>
              <w:rPr>
                <w:rFonts w:ascii="宋体" w:hAnsi="宋体"/>
                <w:sz w:val="24"/>
              </w:rPr>
            </w:pPr>
            <w:r>
              <w:rPr>
                <w:rFonts w:hint="eastAsia" w:ascii="宋体" w:hAnsi="宋体"/>
                <w:sz w:val="24"/>
              </w:rPr>
              <w:t>4）项目中涉及涂料、胶黏剂、油墨、清洗剂等挥发性有机物产品，且属于强制性标准的，供应商应执行符合北京市和国家的VOCs含量限制标准。</w:t>
            </w:r>
          </w:p>
        </w:tc>
      </w:tr>
      <w:tr w14:paraId="2E0D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13D8F681">
            <w:pPr>
              <w:widowControl/>
              <w:jc w:val="center"/>
              <w:rPr>
                <w:rFonts w:ascii="宋体" w:hAnsi="宋体"/>
                <w:kern w:val="0"/>
                <w:sz w:val="24"/>
              </w:rPr>
            </w:pPr>
            <w:r>
              <w:rPr>
                <w:rFonts w:ascii="宋体" w:hAnsi="宋体"/>
                <w:kern w:val="0"/>
                <w:sz w:val="24"/>
              </w:rPr>
              <w:t>1</w:t>
            </w:r>
            <w:r>
              <w:rPr>
                <w:rFonts w:hint="eastAsia" w:ascii="宋体" w:hAnsi="宋体"/>
                <w:kern w:val="0"/>
                <w:sz w:val="24"/>
              </w:rPr>
              <w:t>4</w:t>
            </w:r>
          </w:p>
        </w:tc>
        <w:tc>
          <w:tcPr>
            <w:tcW w:w="1094" w:type="pct"/>
            <w:vAlign w:val="center"/>
          </w:tcPr>
          <w:p w14:paraId="05756A50">
            <w:pPr>
              <w:widowControl/>
              <w:jc w:val="center"/>
              <w:rPr>
                <w:rFonts w:ascii="宋体" w:hAnsi="宋体"/>
                <w:kern w:val="0"/>
                <w:sz w:val="24"/>
              </w:rPr>
            </w:pPr>
            <w:r>
              <w:rPr>
                <w:rFonts w:ascii="宋体" w:hAnsi="宋体"/>
                <w:kern w:val="0"/>
                <w:sz w:val="24"/>
              </w:rPr>
              <w:t>公平竞争</w:t>
            </w:r>
          </w:p>
        </w:tc>
        <w:tc>
          <w:tcPr>
            <w:tcW w:w="3431" w:type="pct"/>
            <w:vAlign w:val="center"/>
          </w:tcPr>
          <w:p w14:paraId="047C426D">
            <w:pPr>
              <w:widowControl/>
              <w:jc w:val="left"/>
              <w:rPr>
                <w:rFonts w:ascii="宋体" w:hAnsi="宋体"/>
                <w:kern w:val="0"/>
                <w:sz w:val="24"/>
              </w:rPr>
            </w:pPr>
            <w:r>
              <w:rPr>
                <w:rFonts w:ascii="宋体" w:hAnsi="宋体"/>
                <w:sz w:val="24"/>
              </w:rPr>
              <w:t>投标人遵循公平竞争的原则，不存在恶意串通，妨碍其他投标人的竞争行为，不存在损害采购人或者其他投标人的合法权益情形；</w:t>
            </w:r>
          </w:p>
        </w:tc>
      </w:tr>
      <w:tr w14:paraId="11E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45EDCE0C">
            <w:pPr>
              <w:widowControl/>
              <w:jc w:val="center"/>
              <w:rPr>
                <w:rFonts w:ascii="宋体" w:hAnsi="宋体"/>
                <w:kern w:val="0"/>
                <w:sz w:val="24"/>
              </w:rPr>
            </w:pPr>
            <w:r>
              <w:rPr>
                <w:rFonts w:ascii="宋体" w:hAnsi="宋体"/>
                <w:kern w:val="0"/>
                <w:sz w:val="24"/>
              </w:rPr>
              <w:t>1</w:t>
            </w:r>
            <w:r>
              <w:rPr>
                <w:rFonts w:hint="eastAsia" w:ascii="宋体" w:hAnsi="宋体"/>
                <w:kern w:val="0"/>
                <w:sz w:val="24"/>
              </w:rPr>
              <w:t>5</w:t>
            </w:r>
          </w:p>
        </w:tc>
        <w:tc>
          <w:tcPr>
            <w:tcW w:w="1094" w:type="pct"/>
            <w:vAlign w:val="center"/>
          </w:tcPr>
          <w:p w14:paraId="4F067348">
            <w:pPr>
              <w:widowControl/>
              <w:jc w:val="center"/>
              <w:rPr>
                <w:rFonts w:ascii="宋体" w:hAnsi="宋体"/>
                <w:kern w:val="0"/>
                <w:sz w:val="24"/>
              </w:rPr>
            </w:pPr>
            <w:r>
              <w:rPr>
                <w:rFonts w:ascii="宋体" w:hAnsi="宋体"/>
                <w:kern w:val="0"/>
                <w:sz w:val="24"/>
              </w:rPr>
              <w:t>串通投标</w:t>
            </w:r>
          </w:p>
        </w:tc>
        <w:tc>
          <w:tcPr>
            <w:tcW w:w="3431" w:type="pct"/>
            <w:vAlign w:val="center"/>
          </w:tcPr>
          <w:p w14:paraId="45817197">
            <w:pPr>
              <w:widowControl/>
              <w:jc w:val="left"/>
              <w:rPr>
                <w:rFonts w:ascii="宋体" w:hAnsi="宋体"/>
                <w:kern w:val="0"/>
                <w:sz w:val="24"/>
              </w:rPr>
            </w:pPr>
            <w:r>
              <w:rPr>
                <w:rFonts w:hint="eastAsia"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14:paraId="1C38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2BE53878">
            <w:pPr>
              <w:widowControl/>
              <w:jc w:val="center"/>
              <w:rPr>
                <w:rFonts w:ascii="宋体" w:hAnsi="宋体"/>
                <w:kern w:val="0"/>
                <w:sz w:val="24"/>
              </w:rPr>
            </w:pPr>
            <w:r>
              <w:rPr>
                <w:rFonts w:ascii="宋体" w:hAnsi="宋体"/>
                <w:kern w:val="0"/>
                <w:sz w:val="24"/>
              </w:rPr>
              <w:t>1</w:t>
            </w:r>
            <w:r>
              <w:rPr>
                <w:rFonts w:hint="eastAsia" w:ascii="宋体" w:hAnsi="宋体"/>
                <w:kern w:val="0"/>
                <w:sz w:val="24"/>
              </w:rPr>
              <w:t>6</w:t>
            </w:r>
          </w:p>
        </w:tc>
        <w:tc>
          <w:tcPr>
            <w:tcW w:w="1094" w:type="pct"/>
            <w:vAlign w:val="center"/>
          </w:tcPr>
          <w:p w14:paraId="13B41C6D">
            <w:pPr>
              <w:widowControl/>
              <w:jc w:val="center"/>
              <w:rPr>
                <w:rFonts w:ascii="宋体" w:hAnsi="宋体"/>
                <w:kern w:val="0"/>
                <w:sz w:val="24"/>
              </w:rPr>
            </w:pPr>
            <w:r>
              <w:rPr>
                <w:rFonts w:ascii="宋体" w:hAnsi="宋体"/>
                <w:kern w:val="0"/>
                <w:sz w:val="24"/>
              </w:rPr>
              <w:t>附加条件</w:t>
            </w:r>
          </w:p>
        </w:tc>
        <w:tc>
          <w:tcPr>
            <w:tcW w:w="3431" w:type="pct"/>
            <w:vAlign w:val="center"/>
          </w:tcPr>
          <w:p w14:paraId="7FB34A59">
            <w:pPr>
              <w:widowControl/>
              <w:jc w:val="left"/>
              <w:rPr>
                <w:rFonts w:ascii="宋体" w:hAnsi="宋体"/>
                <w:kern w:val="0"/>
                <w:sz w:val="24"/>
              </w:rPr>
            </w:pPr>
            <w:r>
              <w:rPr>
                <w:rFonts w:ascii="宋体" w:hAnsi="宋体"/>
                <w:kern w:val="0"/>
                <w:sz w:val="24"/>
              </w:rPr>
              <w:t>投标文件</w:t>
            </w:r>
            <w:r>
              <w:rPr>
                <w:rFonts w:hint="eastAsia" w:ascii="宋体" w:hAnsi="宋体"/>
                <w:kern w:val="0"/>
                <w:sz w:val="24"/>
              </w:rPr>
              <w:t>未</w:t>
            </w:r>
            <w:r>
              <w:rPr>
                <w:rFonts w:ascii="宋体" w:hAnsi="宋体"/>
                <w:kern w:val="0"/>
                <w:sz w:val="24"/>
              </w:rPr>
              <w:t>含有采购人不能接受的附加条件；</w:t>
            </w:r>
          </w:p>
        </w:tc>
      </w:tr>
      <w:tr w14:paraId="6F3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Align w:val="center"/>
          </w:tcPr>
          <w:p w14:paraId="3602B8E4">
            <w:pPr>
              <w:widowControl/>
              <w:jc w:val="center"/>
              <w:rPr>
                <w:rFonts w:ascii="宋体" w:hAnsi="宋体"/>
                <w:kern w:val="0"/>
                <w:sz w:val="24"/>
              </w:rPr>
            </w:pPr>
            <w:r>
              <w:rPr>
                <w:rFonts w:hint="eastAsia" w:ascii="宋体" w:hAnsi="宋体"/>
                <w:kern w:val="0"/>
                <w:sz w:val="24"/>
              </w:rPr>
              <w:t>17</w:t>
            </w:r>
          </w:p>
        </w:tc>
        <w:tc>
          <w:tcPr>
            <w:tcW w:w="1094" w:type="pct"/>
            <w:vAlign w:val="center"/>
          </w:tcPr>
          <w:p w14:paraId="217BD64D">
            <w:pPr>
              <w:widowControl/>
              <w:jc w:val="center"/>
              <w:rPr>
                <w:rFonts w:ascii="宋体" w:hAnsi="宋体"/>
                <w:kern w:val="0"/>
                <w:sz w:val="24"/>
              </w:rPr>
            </w:pPr>
            <w:r>
              <w:rPr>
                <w:rFonts w:ascii="宋体" w:hAnsi="宋体"/>
                <w:kern w:val="0"/>
                <w:sz w:val="24"/>
              </w:rPr>
              <w:t>其他无效情形</w:t>
            </w:r>
          </w:p>
        </w:tc>
        <w:tc>
          <w:tcPr>
            <w:tcW w:w="3431" w:type="pct"/>
            <w:vAlign w:val="center"/>
          </w:tcPr>
          <w:p w14:paraId="26D908CA">
            <w:pPr>
              <w:widowControl/>
              <w:jc w:val="left"/>
              <w:rPr>
                <w:rFonts w:ascii="宋体" w:hAnsi="宋体"/>
                <w:kern w:val="0"/>
                <w:sz w:val="24"/>
              </w:rPr>
            </w:pPr>
            <w:r>
              <w:rPr>
                <w:rFonts w:ascii="宋体" w:hAnsi="宋体"/>
                <w:sz w:val="24"/>
              </w:rPr>
              <w:t>投标人、投标文件</w:t>
            </w:r>
            <w:r>
              <w:rPr>
                <w:rFonts w:hint="eastAsia" w:ascii="宋体" w:hAnsi="宋体"/>
                <w:sz w:val="24"/>
              </w:rPr>
              <w:t>不存在</w:t>
            </w:r>
            <w:r>
              <w:rPr>
                <w:rFonts w:ascii="宋体" w:hAnsi="宋体"/>
                <w:sz w:val="24"/>
              </w:rPr>
              <w:t>不符合法律、法规和招标文件规定的其他无效情形。</w:t>
            </w:r>
          </w:p>
        </w:tc>
      </w:tr>
    </w:tbl>
    <w:p w14:paraId="0E9881B5">
      <w:pPr>
        <w:numPr>
          <w:ilvl w:val="0"/>
          <w:numId w:val="6"/>
        </w:numPr>
        <w:tabs>
          <w:tab w:val="left" w:pos="1080"/>
          <w:tab w:val="left" w:pos="1589"/>
        </w:tabs>
        <w:snapToGrid w:val="0"/>
        <w:spacing w:line="360" w:lineRule="auto"/>
        <w:rPr>
          <w:rFonts w:ascii="宋体" w:hAnsi="宋体"/>
          <w:sz w:val="24"/>
        </w:rPr>
        <w:sectPr>
          <w:headerReference r:id="rId12" w:type="first"/>
          <w:footerReference r:id="rId15" w:type="first"/>
          <w:footerReference r:id="rId13" w:type="default"/>
          <w:headerReference r:id="rId11" w:type="even"/>
          <w:footerReference r:id="rId14" w:type="even"/>
          <w:pgSz w:w="11907" w:h="16840"/>
          <w:pgMar w:top="1440" w:right="1800" w:bottom="1440" w:left="1800" w:header="851" w:footer="851" w:gutter="0"/>
          <w:cols w:space="720" w:num="1"/>
          <w:docGrid w:linePitch="462" w:charSpace="0"/>
        </w:sectPr>
      </w:pPr>
    </w:p>
    <w:p w14:paraId="0BB4C104">
      <w:pPr>
        <w:numPr>
          <w:ilvl w:val="0"/>
          <w:numId w:val="5"/>
        </w:numPr>
        <w:tabs>
          <w:tab w:val="left" w:pos="360"/>
        </w:tabs>
        <w:snapToGrid w:val="0"/>
        <w:spacing w:line="360" w:lineRule="auto"/>
        <w:outlineLvl w:val="1"/>
        <w:rPr>
          <w:rFonts w:ascii="宋体" w:hAnsi="宋体"/>
          <w:sz w:val="24"/>
        </w:rPr>
      </w:pPr>
      <w:r>
        <w:rPr>
          <w:rFonts w:ascii="宋体" w:hAnsi="宋体"/>
          <w:sz w:val="24"/>
        </w:rPr>
        <w:t>投标文件有关事项的澄清或者说明</w:t>
      </w:r>
    </w:p>
    <w:p w14:paraId="305D7C23">
      <w:pPr>
        <w:numPr>
          <w:ilvl w:val="1"/>
          <w:numId w:val="5"/>
        </w:numPr>
        <w:tabs>
          <w:tab w:val="left" w:pos="1080"/>
        </w:tabs>
        <w:snapToGrid w:val="0"/>
        <w:spacing w:line="360" w:lineRule="auto"/>
        <w:ind w:left="1077" w:hanging="720"/>
        <w:rPr>
          <w:rFonts w:ascii="宋体" w:hAnsi="宋体"/>
          <w:sz w:val="24"/>
        </w:rPr>
      </w:pPr>
      <w:r>
        <w:rPr>
          <w:rFonts w:hint="eastAsia"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w:t>
      </w:r>
      <w:r>
        <w:rPr>
          <w:rFonts w:ascii="宋体" w:hAnsi="宋体"/>
          <w:sz w:val="24"/>
        </w:rPr>
        <w:t>文件内容的一部分。</w:t>
      </w:r>
    </w:p>
    <w:p w14:paraId="0D7021B6">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21C9F22D">
      <w:pPr>
        <w:numPr>
          <w:ilvl w:val="2"/>
          <w:numId w:val="5"/>
        </w:numPr>
        <w:tabs>
          <w:tab w:val="left" w:pos="1080"/>
          <w:tab w:val="left" w:pos="1589"/>
          <w:tab w:val="left" w:pos="2035"/>
        </w:tabs>
        <w:snapToGrid w:val="0"/>
        <w:spacing w:line="360" w:lineRule="auto"/>
        <w:rPr>
          <w:rFonts w:ascii="宋体" w:hAnsi="宋体"/>
          <w:b/>
          <w:bCs/>
          <w:sz w:val="24"/>
        </w:rPr>
      </w:pPr>
      <w:r>
        <w:rPr>
          <w:rFonts w:hint="eastAsia" w:ascii="宋体" w:hAnsi="宋体"/>
          <w:b/>
          <w:bCs/>
          <w:sz w:val="24"/>
        </w:rPr>
        <w:t>根据《关于推动解决政府采购异常低价问题的通知》-财库〔2026〕2号</w:t>
      </w:r>
    </w:p>
    <w:p w14:paraId="5B5C5E85">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政府采购评审中出现下列情形之一的，评审委员会应当启动异常低价投标（响应）审查程序：</w:t>
      </w:r>
    </w:p>
    <w:p w14:paraId="01A2FAAC">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（1）投标（响应）报价低于全部通过符合性审查供应商投标（响应）报价平均值50%的，即投标（响应）报价&lt;全部通过符合性审查供应商投标（响应）报价平均值×50%；</w:t>
      </w:r>
    </w:p>
    <w:p w14:paraId="6477509B">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（2）投标（响应）报价低于通过符合性审查的次低报价供应商投标（响应）报价50%的，即投标（响应）报价&lt;通过符合性审查的次低报价供应商投标（响应）报价×50%；</w:t>
      </w:r>
    </w:p>
    <w:p w14:paraId="505C2605">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（3）投标（响应）报价低于采购项目最高限价45%的，即投标（响应）报价&lt;采购项目最高限价×45%；</w:t>
      </w:r>
    </w:p>
    <w:p w14:paraId="7A2B7FB4">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（4）评审委员会基于专业判断，认为供应商报价过低，有可能影响产品质量或者不能诚信履约的其他情形。</w:t>
      </w:r>
    </w:p>
    <w:p w14:paraId="71CF2030">
      <w:pPr>
        <w:numPr>
          <w:ilvl w:val="2"/>
          <w:numId w:val="5"/>
        </w:numPr>
        <w:tabs>
          <w:tab w:val="left" w:pos="1080"/>
          <w:tab w:val="left" w:pos="1589"/>
          <w:tab w:val="left" w:pos="2035"/>
        </w:tabs>
        <w:snapToGrid w:val="0"/>
        <w:spacing w:line="360" w:lineRule="auto"/>
        <w:rPr>
          <w:rFonts w:ascii="宋体" w:hAnsi="宋体"/>
          <w:sz w:val="24"/>
        </w:rPr>
      </w:pPr>
      <w:r>
        <w:rPr>
          <w:rFonts w:hint="eastAsia" w:ascii="宋体" w:hAnsi="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12BEC2">
      <w:pPr>
        <w:numPr>
          <w:ilvl w:val="2"/>
          <w:numId w:val="5"/>
        </w:numPr>
        <w:tabs>
          <w:tab w:val="left" w:pos="1080"/>
          <w:tab w:val="left" w:pos="1589"/>
          <w:tab w:val="left" w:pos="2035"/>
        </w:tabs>
        <w:snapToGrid w:val="0"/>
        <w:spacing w:line="360" w:lineRule="auto"/>
        <w:rPr>
          <w:rFonts w:ascii="宋体" w:hAnsi="宋体"/>
          <w:sz w:val="24"/>
        </w:rPr>
      </w:pPr>
      <w:r>
        <w:rPr>
          <w:rFonts w:hint="eastAsia" w:ascii="宋体" w:hAnsi="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42CF2EB">
      <w:pPr>
        <w:numPr>
          <w:ilvl w:val="2"/>
          <w:numId w:val="5"/>
        </w:numPr>
        <w:tabs>
          <w:tab w:val="left" w:pos="1080"/>
          <w:tab w:val="left" w:pos="1589"/>
          <w:tab w:val="left" w:pos="2035"/>
        </w:tabs>
        <w:snapToGrid w:val="0"/>
        <w:spacing w:line="360" w:lineRule="auto"/>
        <w:rPr>
          <w:rFonts w:ascii="宋体" w:hAnsi="宋体"/>
          <w:sz w:val="24"/>
        </w:rPr>
      </w:pPr>
      <w:r>
        <w:rPr>
          <w:rFonts w:hint="eastAsia" w:ascii="宋体" w:hAnsi="宋体"/>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6FDE11">
      <w:pPr>
        <w:numPr>
          <w:ilvl w:val="2"/>
          <w:numId w:val="5"/>
        </w:numPr>
        <w:tabs>
          <w:tab w:val="left" w:pos="1080"/>
          <w:tab w:val="left" w:pos="1589"/>
          <w:tab w:val="left" w:pos="2035"/>
        </w:tabs>
        <w:snapToGrid w:val="0"/>
        <w:spacing w:line="360" w:lineRule="auto"/>
        <w:rPr>
          <w:rFonts w:ascii="宋体" w:hAnsi="宋体"/>
          <w:sz w:val="24"/>
        </w:rPr>
      </w:pPr>
      <w:r>
        <w:rPr>
          <w:rFonts w:hint="eastAsia" w:ascii="宋体" w:hAnsi="宋体"/>
          <w:sz w:val="24"/>
        </w:rPr>
        <w:t>异常低价投标（响应）审查的启动原因、审查意见和审查结果应当在评审报告中记录，并随供应商提供的相关书面说明及证明材料，以及评审委员会有关互联网浏览、查询历史一并归档。</w:t>
      </w:r>
    </w:p>
    <w:p w14:paraId="2DA6EA99">
      <w:pPr>
        <w:numPr>
          <w:ilvl w:val="1"/>
          <w:numId w:val="5"/>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w:t>
      </w:r>
      <w:r>
        <w:rPr>
          <w:rFonts w:hint="eastAsia" w:ascii="宋体" w:hAnsi="宋体"/>
          <w:sz w:val="24"/>
        </w:rPr>
        <w:t>项目/</w:t>
      </w:r>
      <w:r>
        <w:rPr>
          <w:rFonts w:ascii="宋体" w:hAnsi="宋体"/>
          <w:sz w:val="24"/>
        </w:rPr>
        <w:t>采购包中的内容拆开投标，其</w:t>
      </w:r>
      <w:r>
        <w:rPr>
          <w:rFonts w:ascii="宋体" w:hAnsi="宋体"/>
          <w:b/>
          <w:sz w:val="24"/>
        </w:rPr>
        <w:t>投标无效</w:t>
      </w:r>
      <w:r>
        <w:rPr>
          <w:rFonts w:ascii="宋体" w:hAnsi="宋体"/>
          <w:sz w:val="24"/>
        </w:rPr>
        <w:t>。</w:t>
      </w:r>
    </w:p>
    <w:p w14:paraId="7782C0CD">
      <w:pPr>
        <w:numPr>
          <w:ilvl w:val="1"/>
          <w:numId w:val="5"/>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6E2B74C7">
      <w:pPr>
        <w:numPr>
          <w:ilvl w:val="2"/>
          <w:numId w:val="5"/>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142BDD53">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w:t>
      </w:r>
      <w:r>
        <w:rPr>
          <w:rFonts w:ascii="宋体" w:hAnsi="宋体"/>
          <w:sz w:val="24"/>
          <w:u w:val="single"/>
        </w:rPr>
        <w:t xml:space="preserve">   /   </w:t>
      </w:r>
    </w:p>
    <w:p w14:paraId="71D66356">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■无，按下述2.4.2-2.4.</w:t>
      </w:r>
      <w:r>
        <w:rPr>
          <w:rFonts w:hint="eastAsia" w:ascii="宋体" w:hAnsi="宋体"/>
          <w:sz w:val="24"/>
        </w:rPr>
        <w:t>7</w:t>
      </w:r>
      <w:r>
        <w:rPr>
          <w:rFonts w:ascii="宋体" w:hAnsi="宋体"/>
          <w:sz w:val="24"/>
        </w:rPr>
        <w:t>项规定修正。</w:t>
      </w:r>
    </w:p>
    <w:p w14:paraId="48ADBE32">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4C6669FE">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0FFD0959">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795C4729">
      <w:pPr>
        <w:numPr>
          <w:ilvl w:val="2"/>
          <w:numId w:val="5"/>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6422FA0F">
      <w:pPr>
        <w:numPr>
          <w:ilvl w:val="2"/>
          <w:numId w:val="5"/>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w:t>
      </w:r>
    </w:p>
    <w:p w14:paraId="2CE00F8E">
      <w:pPr>
        <w:numPr>
          <w:ilvl w:val="2"/>
          <w:numId w:val="5"/>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修正后的报价经投标人书面确认后产生约束力，投标人不确认的，其</w:t>
      </w:r>
      <w:r>
        <w:rPr>
          <w:rFonts w:ascii="宋体" w:hAnsi="宋体"/>
          <w:b/>
          <w:sz w:val="24"/>
        </w:rPr>
        <w:t>投标无效</w:t>
      </w:r>
      <w:r>
        <w:rPr>
          <w:rFonts w:ascii="宋体" w:hAnsi="宋体"/>
          <w:sz w:val="24"/>
        </w:rPr>
        <w:t>。</w:t>
      </w:r>
    </w:p>
    <w:p w14:paraId="2AC188F6">
      <w:pPr>
        <w:numPr>
          <w:ilvl w:val="1"/>
          <w:numId w:val="5"/>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5DB01F0E">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rPr>
        <w:t>%的扣除，用扣除后的价格参加评审。注：专门面向中小企业</w:t>
      </w:r>
      <w:r>
        <w:rPr>
          <w:rFonts w:hint="eastAsia" w:ascii="宋体" w:hAnsi="宋体"/>
          <w:sz w:val="24"/>
        </w:rPr>
        <w:t>采购的情形不</w:t>
      </w:r>
      <w:r>
        <w:rPr>
          <w:rFonts w:ascii="宋体" w:hAnsi="宋体"/>
          <w:sz w:val="24"/>
        </w:rPr>
        <w:t>享受中小企业扶持政策</w:t>
      </w:r>
      <w:r>
        <w:rPr>
          <w:rFonts w:hint="eastAsia" w:ascii="宋体" w:hAnsi="宋体"/>
          <w:sz w:val="24"/>
        </w:rPr>
        <w:t>。</w:t>
      </w:r>
    </w:p>
    <w:p w14:paraId="48A4462F">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sz w:val="24"/>
          <w:u w:val="single"/>
        </w:rPr>
        <w:t>4</w:t>
      </w:r>
      <w:r>
        <w:rPr>
          <w:rFonts w:ascii="宋体" w:hAnsi="宋体"/>
          <w:sz w:val="24"/>
        </w:rPr>
        <w:t>%的扣除，用扣除后的价格参加评审。</w:t>
      </w:r>
    </w:p>
    <w:p w14:paraId="61255AB4">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71159F3A">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658A6D3A">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0A8D3F56">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67C383FB">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52AB27CC">
      <w:pPr>
        <w:numPr>
          <w:ilvl w:val="2"/>
          <w:numId w:val="5"/>
        </w:numPr>
        <w:tabs>
          <w:tab w:val="clear" w:pos="1980"/>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0B22A15E">
      <w:pPr>
        <w:numPr>
          <w:ilvl w:val="1"/>
          <w:numId w:val="5"/>
        </w:numPr>
        <w:tabs>
          <w:tab w:val="left" w:pos="1080"/>
        </w:tabs>
        <w:snapToGrid w:val="0"/>
        <w:spacing w:line="360" w:lineRule="auto"/>
        <w:ind w:left="1077" w:hanging="720"/>
        <w:rPr>
          <w:rFonts w:ascii="宋体" w:hAnsi="宋体"/>
          <w:sz w:val="24"/>
        </w:rPr>
      </w:pPr>
      <w:r>
        <w:rPr>
          <w:rFonts w:hint="eastAsia" w:ascii="宋体" w:hAnsi="宋体"/>
          <w:sz w:val="24"/>
        </w:rPr>
        <w:t>符合《国务院办公厅关于在政府采购中实施本国产品标准及相关政策    的通知》（国办发〔2025〕34号）规定的本国产品情形的，可享受的本国产品的支持政策，用扣除后的价格参加评审。</w:t>
      </w:r>
    </w:p>
    <w:p w14:paraId="4A9547F9">
      <w:pPr>
        <w:tabs>
          <w:tab w:val="left" w:pos="1080"/>
          <w:tab w:val="left" w:pos="1589"/>
          <w:tab w:val="left" w:pos="2014"/>
        </w:tabs>
        <w:snapToGrid w:val="0"/>
        <w:spacing w:line="360" w:lineRule="auto"/>
        <w:ind w:left="1080"/>
        <w:rPr>
          <w:rFonts w:ascii="宋体" w:hAnsi="宋体"/>
          <w:sz w:val="24"/>
        </w:rPr>
      </w:pPr>
      <w:r>
        <w:rPr>
          <w:rFonts w:hint="eastAsia" w:ascii="宋体" w:hAnsi="宋体"/>
          <w:sz w:val="24"/>
        </w:rPr>
        <w:t>（1）当政府采购活动中既有本国产品又有非本国产品参与竞争的，依法对本国产品给予价格评审优惠，对本国产品的报价给予20%的价格扣除，用扣除后的价格参与评审。</w:t>
      </w:r>
    </w:p>
    <w:p w14:paraId="5BF6F778">
      <w:pPr>
        <w:tabs>
          <w:tab w:val="left" w:pos="900"/>
          <w:tab w:val="left" w:pos="1080"/>
          <w:tab w:val="left" w:pos="1589"/>
          <w:tab w:val="left" w:pos="2014"/>
        </w:tabs>
        <w:snapToGrid w:val="0"/>
        <w:spacing w:line="360" w:lineRule="auto"/>
        <w:ind w:left="1050" w:leftChars="500"/>
        <w:rPr>
          <w:rFonts w:ascii="宋体" w:hAnsi="宋体"/>
          <w:sz w:val="24"/>
        </w:rPr>
      </w:pPr>
      <w:r>
        <w:rPr>
          <w:rFonts w:hint="eastAsia" w:ascii="宋体" w:hAnsi="宋体"/>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809288">
      <w:pPr>
        <w:numPr>
          <w:ilvl w:val="0"/>
          <w:numId w:val="5"/>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40"/>
      <w:bookmarkEnd w:id="741"/>
    </w:p>
    <w:p w14:paraId="5B824060">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w:t>
      </w:r>
      <w:r>
        <w:rPr>
          <w:rFonts w:hint="eastAsia" w:ascii="宋体" w:hAnsi="宋体"/>
          <w:sz w:val="24"/>
        </w:rPr>
        <w:t>，</w:t>
      </w:r>
      <w:r>
        <w:rPr>
          <w:rFonts w:ascii="宋体" w:hAnsi="宋体"/>
          <w:sz w:val="24"/>
        </w:rPr>
        <w:t>综合比较与评价；未通过符合性审查的投标文件不得进入比较与评价。</w:t>
      </w:r>
    </w:p>
    <w:p w14:paraId="2EEC7BF7">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415C8B72">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165E70A7">
      <w:pPr>
        <w:tabs>
          <w:tab w:val="left" w:pos="900"/>
          <w:tab w:val="left" w:pos="1589"/>
          <w:tab w:val="left" w:pos="1701"/>
        </w:tabs>
        <w:snapToGrid w:val="0"/>
        <w:spacing w:line="360" w:lineRule="auto"/>
        <w:ind w:left="1985"/>
        <w:rPr>
          <w:rFonts w:ascii="宋体" w:hAnsi="宋体"/>
          <w:sz w:val="24"/>
        </w:rPr>
      </w:pPr>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14:paraId="4014812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6DAB5768">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6145315B">
      <w:pPr>
        <w:tabs>
          <w:tab w:val="left" w:pos="1080"/>
          <w:tab w:val="left" w:pos="1589"/>
          <w:tab w:val="left" w:pos="2035"/>
        </w:tabs>
        <w:snapToGrid w:val="0"/>
        <w:spacing w:line="360" w:lineRule="auto"/>
        <w:ind w:left="2035"/>
        <w:rPr>
          <w:rFonts w:ascii="宋体" w:hAnsi="宋体"/>
          <w:sz w:val="24"/>
        </w:rPr>
      </w:pPr>
      <w:r>
        <w:rPr>
          <w:rFonts w:ascii="宋体" w:hAnsi="宋体"/>
          <w:sz w:val="24"/>
        </w:rPr>
        <w:t>□随机抽取</w:t>
      </w:r>
    </w:p>
    <w:p w14:paraId="36836493">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 xml:space="preserve">   /   </w:t>
      </w:r>
    </w:p>
    <w:p w14:paraId="69B6202F">
      <w:pPr>
        <w:numPr>
          <w:ilvl w:val="2"/>
          <w:numId w:val="5"/>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0AFDA18A">
      <w:pPr>
        <w:numPr>
          <w:ilvl w:val="0"/>
          <w:numId w:val="5"/>
        </w:numPr>
        <w:tabs>
          <w:tab w:val="left" w:pos="360"/>
        </w:tabs>
        <w:snapToGrid w:val="0"/>
        <w:spacing w:line="360" w:lineRule="auto"/>
        <w:outlineLvl w:val="1"/>
        <w:rPr>
          <w:rFonts w:ascii="宋体" w:hAnsi="宋体"/>
          <w:sz w:val="24"/>
        </w:rPr>
      </w:pPr>
      <w:r>
        <w:rPr>
          <w:rFonts w:ascii="宋体" w:hAnsi="宋体"/>
          <w:sz w:val="24"/>
        </w:rPr>
        <w:t>确定</w:t>
      </w:r>
      <w:bookmarkStart w:id="759" w:name="_Toc127151546"/>
      <w:bookmarkStart w:id="760" w:name="_Toc150774646"/>
      <w:bookmarkStart w:id="761" w:name="_Toc264969236"/>
      <w:bookmarkStart w:id="762" w:name="_Ref467307010"/>
      <w:bookmarkStart w:id="763" w:name="_Toc195842911"/>
      <w:bookmarkStart w:id="764" w:name="_Toc305158814"/>
      <w:bookmarkStart w:id="765" w:name="_Toc164229387"/>
      <w:bookmarkStart w:id="766" w:name="_Toc164608660"/>
      <w:bookmarkStart w:id="767" w:name="_Toc151193716"/>
      <w:bookmarkStart w:id="768" w:name="_Toc127151747"/>
      <w:bookmarkStart w:id="769" w:name="_Toc226965736"/>
      <w:bookmarkStart w:id="770" w:name="_Toc150480784"/>
      <w:bookmarkStart w:id="771" w:name="_Toc142311048"/>
      <w:bookmarkStart w:id="772" w:name="_Toc305158888"/>
      <w:bookmarkStart w:id="773" w:name="_Toc150774751"/>
      <w:bookmarkStart w:id="774" w:name="_Toc151193788"/>
      <w:bookmarkStart w:id="775" w:name="_Toc151193644"/>
      <w:bookmarkStart w:id="776" w:name="_Toc226965819"/>
      <w:bookmarkStart w:id="777" w:name="_Toc226309790"/>
      <w:bookmarkStart w:id="778" w:name="_Toc520356170"/>
      <w:bookmarkStart w:id="779" w:name="_Toc151193934"/>
      <w:bookmarkStart w:id="780" w:name="_Toc127161460"/>
      <w:bookmarkStart w:id="781" w:name="_Toc226337242"/>
      <w:bookmarkStart w:id="782" w:name="_Toc151190173"/>
      <w:bookmarkStart w:id="783" w:name="_Toc265228384"/>
      <w:bookmarkStart w:id="784" w:name="_Toc150509297"/>
      <w:bookmarkStart w:id="785" w:name="_Toc164351640"/>
      <w:bookmarkStart w:id="786" w:name="_Toc149720839"/>
      <w:bookmarkStart w:id="787" w:name="_Toc151193860"/>
      <w:bookmarkStart w:id="788" w:name="_Toc164229241"/>
      <w:bookmarkStart w:id="789" w:name="_Toc164608815"/>
      <w:r>
        <w:rPr>
          <w:rFonts w:ascii="宋体" w:hAnsi="宋体"/>
          <w:sz w:val="24"/>
        </w:rPr>
        <w:t>中标候选人名单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3F2AE547">
      <w:pPr>
        <w:numPr>
          <w:ilvl w:val="1"/>
          <w:numId w:val="5"/>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AAACD5">
      <w:pPr>
        <w:tabs>
          <w:tab w:val="left" w:pos="1080"/>
        </w:tabs>
        <w:snapToGrid w:val="0"/>
        <w:spacing w:line="360" w:lineRule="auto"/>
        <w:ind w:left="1077"/>
        <w:rPr>
          <w:rFonts w:ascii="宋体" w:hAnsi="宋体"/>
          <w:sz w:val="24"/>
        </w:rPr>
      </w:pPr>
      <w:r>
        <w:rPr>
          <w:rFonts w:ascii="宋体" w:hAnsi="宋体"/>
          <w:sz w:val="24"/>
        </w:rPr>
        <w:t>□ 随机抽取</w:t>
      </w:r>
    </w:p>
    <w:p w14:paraId="0DB551A1">
      <w:pPr>
        <w:tabs>
          <w:tab w:val="left" w:pos="1080"/>
        </w:tabs>
        <w:snapToGrid w:val="0"/>
        <w:spacing w:line="360" w:lineRule="auto"/>
        <w:ind w:left="1077"/>
        <w:rPr>
          <w:rFonts w:ascii="宋体" w:hAnsi="宋体"/>
          <w:sz w:val="24"/>
        </w:rPr>
      </w:pPr>
      <w:r>
        <w:rPr>
          <w:rFonts w:ascii="宋体" w:hAnsi="宋体"/>
          <w:sz w:val="24"/>
        </w:rPr>
        <w:t>■ 其他方式，具体要求：投标报价低的同品牌投标人获得中标候选人推荐资格。投标报价相同的，技术部分得分高的同品牌投标人获得中标候选人推荐资格。如投标报价相同、技术部分得分也相同，则由评标委员会在评审现场以随机抽取的方式确定一个投标人获得中标候选人推荐资格。（如适用）。</w:t>
      </w:r>
    </w:p>
    <w:p w14:paraId="000956D9">
      <w:pPr>
        <w:numPr>
          <w:ilvl w:val="1"/>
          <w:numId w:val="5"/>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采用综合评分法时，评标结果按评审后得分由高到低顺序排列。得分相同的，按投标报价由低到高顺序排列。投标报价相同的</w:t>
      </w:r>
      <w:r>
        <w:rPr>
          <w:rFonts w:hint="eastAsia" w:ascii="宋体" w:hAnsi="宋体"/>
          <w:sz w:val="24"/>
        </w:rPr>
        <w:t>按照“评标标准”技术部分得分由高到</w:t>
      </w:r>
      <w:r>
        <w:rPr>
          <w:rFonts w:ascii="宋体" w:hAnsi="宋体"/>
          <w:sz w:val="24"/>
        </w:rPr>
        <w:t>低</w:t>
      </w:r>
      <w:r>
        <w:rPr>
          <w:rFonts w:hint="eastAsia" w:ascii="宋体" w:hAnsi="宋体"/>
          <w:sz w:val="24"/>
        </w:rPr>
        <w:t>顺序排列。投标报价相同且技术部分得分也相同的，由评标委员会采用评审现场随机抽取的方式确定排序</w:t>
      </w:r>
      <w:r>
        <w:rPr>
          <w:rFonts w:ascii="宋体" w:hAnsi="宋体"/>
          <w:sz w:val="24"/>
        </w:rPr>
        <w:t>。评分分值计算保留小数点后两位，第三位四舍五入。</w:t>
      </w:r>
    </w:p>
    <w:p w14:paraId="01556FA5">
      <w:pPr>
        <w:numPr>
          <w:ilvl w:val="1"/>
          <w:numId w:val="5"/>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w:t>
      </w:r>
      <w:r>
        <w:rPr>
          <w:rFonts w:hint="eastAsia" w:ascii="宋体" w:hAnsi="宋体"/>
          <w:sz w:val="24"/>
        </w:rPr>
        <w:t>和2.6</w:t>
      </w:r>
      <w:r>
        <w:rPr>
          <w:rFonts w:ascii="宋体" w:hAnsi="宋体"/>
          <w:sz w:val="24"/>
        </w:rPr>
        <w:t>调整后的投标报价由低到高顺序排列。投标报价相同的并列。投标文件满足招标文件全部实质性要求且投标报价最低的投标人为排名第一的中标候选人。</w:t>
      </w:r>
    </w:p>
    <w:p w14:paraId="45A8B1E2">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hint="eastAsia" w:ascii="宋体" w:hAnsi="宋体"/>
          <w:sz w:val="24"/>
        </w:rPr>
        <w:t>投标文件</w:t>
      </w:r>
      <w:r>
        <w:rPr>
          <w:rFonts w:ascii="宋体" w:hAnsi="宋体"/>
          <w:sz w:val="24"/>
        </w:rPr>
        <w:t>被认定为无效的情形进行重点复核。</w:t>
      </w:r>
    </w:p>
    <w:p w14:paraId="73BD0149">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评标委员会将根据各投标人的评标排序，依次推荐本项目的中标候选人，起草并签署评标报告。本项目评标委员会推荐</w:t>
      </w:r>
      <w:r>
        <w:rPr>
          <w:rFonts w:hint="eastAsia" w:ascii="宋体" w:hAnsi="宋体"/>
          <w:sz w:val="24"/>
          <w:u w:val="single"/>
        </w:rPr>
        <w:t xml:space="preserve"> 3 </w:t>
      </w:r>
      <w:r>
        <w:rPr>
          <w:rFonts w:ascii="宋体" w:hAnsi="宋体"/>
          <w:sz w:val="24"/>
        </w:rPr>
        <w:t>名中标候选人。</w:t>
      </w:r>
    </w:p>
    <w:p w14:paraId="34E7360C">
      <w:pPr>
        <w:numPr>
          <w:ilvl w:val="0"/>
          <w:numId w:val="5"/>
        </w:numPr>
        <w:tabs>
          <w:tab w:val="left" w:pos="360"/>
        </w:tabs>
        <w:snapToGrid w:val="0"/>
        <w:spacing w:line="360" w:lineRule="auto"/>
        <w:outlineLvl w:val="1"/>
        <w:rPr>
          <w:rFonts w:ascii="宋体" w:hAnsi="宋体"/>
          <w:sz w:val="24"/>
        </w:rPr>
      </w:pPr>
      <w:r>
        <w:rPr>
          <w:rFonts w:ascii="宋体" w:hAnsi="宋体"/>
          <w:sz w:val="24"/>
        </w:rPr>
        <w:t>报告违法行为</w:t>
      </w:r>
    </w:p>
    <w:p w14:paraId="25112CD3">
      <w:pPr>
        <w:numPr>
          <w:ilvl w:val="1"/>
          <w:numId w:val="5"/>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w:t>
      </w:r>
      <w:r>
        <w:rPr>
          <w:rFonts w:hint="eastAsia" w:ascii="宋体" w:hAnsi="宋体"/>
          <w:sz w:val="24"/>
        </w:rPr>
        <w:t>投标</w:t>
      </w:r>
      <w:r>
        <w:rPr>
          <w:rFonts w:ascii="宋体" w:hAnsi="宋体"/>
          <w:sz w:val="24"/>
        </w:rPr>
        <w:t>等违法行为时，有向采购人、采购代理机构或者有关部门报告的职责。</w:t>
      </w:r>
    </w:p>
    <w:p w14:paraId="1EF1528D">
      <w:pPr>
        <w:pStyle w:val="18"/>
        <w:shd w:val="clear" w:color="auto" w:fill="FFFFFF"/>
        <w:spacing w:line="360" w:lineRule="auto"/>
        <w:jc w:val="center"/>
        <w:rPr>
          <w:rStyle w:val="34"/>
          <w:shd w:val="clear" w:color="auto" w:fill="FFFFFF"/>
        </w:rPr>
      </w:pPr>
      <w:r>
        <w:rPr>
          <w:b/>
        </w:rPr>
        <w:br w:type="page"/>
      </w:r>
    </w:p>
    <w:p w14:paraId="2AF8B208">
      <w:pPr>
        <w:pStyle w:val="7"/>
      </w:pPr>
    </w:p>
    <w:p w14:paraId="21D2A956">
      <w:pPr>
        <w:numPr>
          <w:ilvl w:val="0"/>
          <w:numId w:val="7"/>
        </w:num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评标标准</w:t>
      </w:r>
    </w:p>
    <w:p w14:paraId="29B70636">
      <w:pPr>
        <w:spacing w:before="120" w:beforeLines="50"/>
        <w:ind w:right="15" w:rightChars="7"/>
        <w:rPr>
          <w:rFonts w:ascii="宋体" w:hAnsi="宋体" w:cs="宋体"/>
          <w:sz w:val="24"/>
        </w:rPr>
      </w:pPr>
      <w:r>
        <w:rPr>
          <w:rFonts w:hint="eastAsia" w:ascii="宋体" w:hAnsi="宋体" w:cs="宋体"/>
          <w:sz w:val="24"/>
        </w:rPr>
        <w:t>1.评分标准</w:t>
      </w:r>
    </w:p>
    <w:tbl>
      <w:tblPr>
        <w:tblStyle w:val="24"/>
        <w:tblW w:w="8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58"/>
        <w:gridCol w:w="2121"/>
        <w:gridCol w:w="1285"/>
        <w:gridCol w:w="3828"/>
      </w:tblGrid>
      <w:tr w14:paraId="31E1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6" w:hRule="atLeast"/>
        </w:trPr>
        <w:tc>
          <w:tcPr>
            <w:tcW w:w="1158" w:type="dxa"/>
            <w:noWrap/>
            <w:vAlign w:val="center"/>
          </w:tcPr>
          <w:p w14:paraId="6D760168">
            <w:pPr>
              <w:snapToGrid w:val="0"/>
              <w:ind w:right="-28"/>
              <w:jc w:val="center"/>
              <w:rPr>
                <w:rFonts w:ascii="宋体" w:hAnsi="宋体" w:cs="宋体"/>
                <w:b/>
                <w:sz w:val="24"/>
              </w:rPr>
            </w:pPr>
            <w:r>
              <w:rPr>
                <w:rFonts w:hint="eastAsia" w:ascii="宋体" w:hAnsi="宋体" w:cs="宋体"/>
                <w:b/>
                <w:sz w:val="24"/>
              </w:rPr>
              <w:t>序号</w:t>
            </w:r>
          </w:p>
        </w:tc>
        <w:tc>
          <w:tcPr>
            <w:tcW w:w="2121" w:type="dxa"/>
            <w:noWrap/>
            <w:vAlign w:val="center"/>
          </w:tcPr>
          <w:p w14:paraId="6320F109">
            <w:pPr>
              <w:snapToGrid w:val="0"/>
              <w:jc w:val="center"/>
              <w:rPr>
                <w:rFonts w:ascii="宋体" w:hAnsi="宋体" w:cs="宋体"/>
                <w:b/>
                <w:sz w:val="24"/>
              </w:rPr>
            </w:pPr>
            <w:r>
              <w:rPr>
                <w:rFonts w:hint="eastAsia" w:ascii="宋体" w:hAnsi="宋体" w:cs="宋体"/>
                <w:b/>
                <w:sz w:val="24"/>
              </w:rPr>
              <w:t>评分标准</w:t>
            </w:r>
          </w:p>
        </w:tc>
        <w:tc>
          <w:tcPr>
            <w:tcW w:w="1285" w:type="dxa"/>
            <w:noWrap/>
            <w:vAlign w:val="center"/>
          </w:tcPr>
          <w:p w14:paraId="01CBC2A9">
            <w:pPr>
              <w:snapToGrid w:val="0"/>
              <w:jc w:val="center"/>
              <w:rPr>
                <w:rFonts w:ascii="宋体" w:hAnsi="宋体" w:cs="宋体"/>
                <w:b/>
                <w:sz w:val="24"/>
              </w:rPr>
            </w:pPr>
            <w:r>
              <w:rPr>
                <w:rFonts w:hint="eastAsia" w:ascii="宋体" w:hAnsi="宋体" w:cs="宋体"/>
                <w:b/>
                <w:sz w:val="24"/>
              </w:rPr>
              <w:t>分值</w:t>
            </w:r>
          </w:p>
        </w:tc>
        <w:tc>
          <w:tcPr>
            <w:tcW w:w="3828" w:type="dxa"/>
            <w:noWrap/>
            <w:vAlign w:val="center"/>
          </w:tcPr>
          <w:p w14:paraId="00F77F73">
            <w:pPr>
              <w:snapToGrid w:val="0"/>
              <w:ind w:left="113" w:firstLine="480"/>
              <w:jc w:val="center"/>
              <w:rPr>
                <w:rFonts w:ascii="宋体" w:hAnsi="宋体" w:cs="宋体"/>
                <w:b/>
                <w:sz w:val="24"/>
              </w:rPr>
            </w:pPr>
            <w:r>
              <w:rPr>
                <w:rFonts w:hint="eastAsia" w:ascii="宋体" w:hAnsi="宋体" w:cs="宋体"/>
                <w:b/>
                <w:sz w:val="24"/>
              </w:rPr>
              <w:t>备注</w:t>
            </w:r>
          </w:p>
        </w:tc>
      </w:tr>
      <w:tr w14:paraId="319C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exact"/>
        </w:trPr>
        <w:tc>
          <w:tcPr>
            <w:tcW w:w="1158" w:type="dxa"/>
            <w:noWrap/>
            <w:vAlign w:val="center"/>
          </w:tcPr>
          <w:p w14:paraId="24749A0A">
            <w:pPr>
              <w:ind w:right="-28"/>
              <w:jc w:val="center"/>
              <w:rPr>
                <w:rFonts w:ascii="宋体" w:hAnsi="宋体" w:cs="宋体"/>
                <w:sz w:val="24"/>
              </w:rPr>
            </w:pPr>
            <w:r>
              <w:rPr>
                <w:rFonts w:hint="eastAsia" w:ascii="宋体" w:hAnsi="宋体" w:cs="宋体"/>
                <w:sz w:val="24"/>
              </w:rPr>
              <w:t>1</w:t>
            </w:r>
          </w:p>
        </w:tc>
        <w:tc>
          <w:tcPr>
            <w:tcW w:w="2121" w:type="dxa"/>
            <w:noWrap/>
            <w:vAlign w:val="center"/>
          </w:tcPr>
          <w:p w14:paraId="284642E5">
            <w:pPr>
              <w:jc w:val="center"/>
              <w:rPr>
                <w:rFonts w:ascii="宋体" w:hAnsi="宋体" w:cs="宋体"/>
                <w:sz w:val="24"/>
              </w:rPr>
            </w:pPr>
            <w:r>
              <w:rPr>
                <w:rFonts w:hint="eastAsia" w:ascii="宋体" w:hAnsi="宋体" w:cs="宋体"/>
                <w:sz w:val="24"/>
              </w:rPr>
              <w:t>价格部分</w:t>
            </w:r>
          </w:p>
        </w:tc>
        <w:tc>
          <w:tcPr>
            <w:tcW w:w="1285" w:type="dxa"/>
            <w:noWrap/>
            <w:vAlign w:val="center"/>
          </w:tcPr>
          <w:p w14:paraId="2A811170">
            <w:pPr>
              <w:jc w:val="center"/>
              <w:rPr>
                <w:rFonts w:ascii="宋体" w:hAnsi="宋体" w:cs="宋体"/>
                <w:sz w:val="24"/>
              </w:rPr>
            </w:pPr>
            <w:r>
              <w:rPr>
                <w:rFonts w:hint="eastAsia" w:ascii="宋体" w:hAnsi="宋体" w:cs="宋体"/>
                <w:sz w:val="24"/>
              </w:rPr>
              <w:t>30</w:t>
            </w:r>
          </w:p>
        </w:tc>
        <w:tc>
          <w:tcPr>
            <w:tcW w:w="3828" w:type="dxa"/>
            <w:vMerge w:val="restart"/>
            <w:noWrap/>
            <w:vAlign w:val="center"/>
          </w:tcPr>
          <w:p w14:paraId="3486C766">
            <w:pPr>
              <w:ind w:left="113"/>
              <w:jc w:val="center"/>
              <w:rPr>
                <w:rFonts w:ascii="宋体" w:hAnsi="宋体" w:cs="宋体"/>
                <w:sz w:val="24"/>
              </w:rPr>
            </w:pPr>
            <w:r>
              <w:rPr>
                <w:rFonts w:hint="eastAsia" w:ascii="宋体" w:hAnsi="宋体" w:cs="宋体"/>
                <w:sz w:val="24"/>
              </w:rPr>
              <w:t>详细的评审内容见下述评分标准</w:t>
            </w:r>
          </w:p>
        </w:tc>
      </w:tr>
      <w:tr w14:paraId="594F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8" w:hRule="exact"/>
        </w:trPr>
        <w:tc>
          <w:tcPr>
            <w:tcW w:w="1158" w:type="dxa"/>
            <w:noWrap/>
            <w:vAlign w:val="center"/>
          </w:tcPr>
          <w:p w14:paraId="56C547BB">
            <w:pPr>
              <w:ind w:right="-28"/>
              <w:jc w:val="center"/>
              <w:rPr>
                <w:rFonts w:ascii="宋体" w:hAnsi="宋体" w:cs="宋体"/>
                <w:sz w:val="24"/>
              </w:rPr>
            </w:pPr>
            <w:r>
              <w:rPr>
                <w:rFonts w:hint="eastAsia" w:ascii="宋体" w:hAnsi="宋体" w:cs="宋体"/>
                <w:sz w:val="24"/>
              </w:rPr>
              <w:t>2</w:t>
            </w:r>
          </w:p>
        </w:tc>
        <w:tc>
          <w:tcPr>
            <w:tcW w:w="2121" w:type="dxa"/>
            <w:noWrap/>
            <w:vAlign w:val="center"/>
          </w:tcPr>
          <w:p w14:paraId="695DC33C">
            <w:pPr>
              <w:jc w:val="center"/>
              <w:rPr>
                <w:rFonts w:ascii="宋体" w:hAnsi="宋体" w:cs="宋体"/>
                <w:sz w:val="24"/>
              </w:rPr>
            </w:pPr>
            <w:r>
              <w:rPr>
                <w:rFonts w:hint="eastAsia" w:ascii="宋体" w:hAnsi="宋体" w:cs="宋体"/>
                <w:sz w:val="24"/>
              </w:rPr>
              <w:t>商务部分</w:t>
            </w:r>
          </w:p>
        </w:tc>
        <w:tc>
          <w:tcPr>
            <w:tcW w:w="1285" w:type="dxa"/>
            <w:noWrap/>
            <w:vAlign w:val="center"/>
          </w:tcPr>
          <w:p w14:paraId="4D17C557">
            <w:pPr>
              <w:jc w:val="center"/>
              <w:rPr>
                <w:rFonts w:ascii="宋体" w:hAnsi="宋体" w:cs="宋体"/>
                <w:sz w:val="24"/>
              </w:rPr>
            </w:pPr>
            <w:r>
              <w:rPr>
                <w:rFonts w:hint="eastAsia" w:ascii="宋体" w:hAnsi="宋体" w:cs="宋体"/>
                <w:sz w:val="24"/>
              </w:rPr>
              <w:t>8</w:t>
            </w:r>
          </w:p>
        </w:tc>
        <w:tc>
          <w:tcPr>
            <w:tcW w:w="3828" w:type="dxa"/>
            <w:vMerge w:val="continue"/>
            <w:noWrap/>
            <w:vAlign w:val="center"/>
          </w:tcPr>
          <w:p w14:paraId="23FA6DB4">
            <w:pPr>
              <w:ind w:left="113"/>
              <w:jc w:val="center"/>
              <w:rPr>
                <w:rFonts w:ascii="宋体" w:hAnsi="宋体" w:cs="宋体"/>
                <w:sz w:val="24"/>
              </w:rPr>
            </w:pPr>
          </w:p>
        </w:tc>
      </w:tr>
      <w:tr w14:paraId="3FD3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exact"/>
        </w:trPr>
        <w:tc>
          <w:tcPr>
            <w:tcW w:w="1158" w:type="dxa"/>
            <w:noWrap/>
            <w:vAlign w:val="center"/>
          </w:tcPr>
          <w:p w14:paraId="53BEEA39">
            <w:pPr>
              <w:ind w:right="-28"/>
              <w:jc w:val="center"/>
              <w:rPr>
                <w:rFonts w:ascii="宋体" w:hAnsi="宋体" w:cs="宋体"/>
                <w:sz w:val="24"/>
              </w:rPr>
            </w:pPr>
            <w:r>
              <w:rPr>
                <w:rFonts w:hint="eastAsia" w:ascii="宋体" w:hAnsi="宋体" w:cs="宋体"/>
                <w:sz w:val="24"/>
              </w:rPr>
              <w:t>3</w:t>
            </w:r>
          </w:p>
        </w:tc>
        <w:tc>
          <w:tcPr>
            <w:tcW w:w="2121" w:type="dxa"/>
            <w:noWrap/>
            <w:vAlign w:val="center"/>
          </w:tcPr>
          <w:p w14:paraId="5E2C5F94">
            <w:pPr>
              <w:jc w:val="center"/>
              <w:rPr>
                <w:rFonts w:ascii="宋体" w:hAnsi="宋体" w:cs="宋体"/>
                <w:sz w:val="24"/>
              </w:rPr>
            </w:pPr>
            <w:r>
              <w:rPr>
                <w:rFonts w:hint="eastAsia" w:ascii="宋体" w:hAnsi="宋体" w:cs="宋体"/>
                <w:sz w:val="24"/>
              </w:rPr>
              <w:t>技术部分</w:t>
            </w:r>
          </w:p>
        </w:tc>
        <w:tc>
          <w:tcPr>
            <w:tcW w:w="1285" w:type="dxa"/>
            <w:noWrap/>
            <w:vAlign w:val="center"/>
          </w:tcPr>
          <w:p w14:paraId="675B868E">
            <w:pPr>
              <w:jc w:val="center"/>
              <w:rPr>
                <w:rFonts w:ascii="宋体" w:hAnsi="宋体" w:cs="宋体"/>
                <w:sz w:val="24"/>
              </w:rPr>
            </w:pPr>
            <w:r>
              <w:rPr>
                <w:rFonts w:hint="eastAsia" w:ascii="宋体" w:hAnsi="宋体" w:cs="宋体"/>
                <w:sz w:val="24"/>
              </w:rPr>
              <w:t>62</w:t>
            </w:r>
          </w:p>
        </w:tc>
        <w:tc>
          <w:tcPr>
            <w:tcW w:w="3828" w:type="dxa"/>
            <w:vMerge w:val="continue"/>
            <w:noWrap/>
            <w:vAlign w:val="center"/>
          </w:tcPr>
          <w:p w14:paraId="3D45F4F7">
            <w:pPr>
              <w:ind w:left="113"/>
              <w:jc w:val="center"/>
              <w:rPr>
                <w:rFonts w:ascii="宋体" w:hAnsi="宋体" w:cs="宋体"/>
                <w:sz w:val="24"/>
              </w:rPr>
            </w:pPr>
          </w:p>
        </w:tc>
      </w:tr>
      <w:tr w14:paraId="3487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trPr>
        <w:tc>
          <w:tcPr>
            <w:tcW w:w="3279" w:type="dxa"/>
            <w:gridSpan w:val="2"/>
            <w:noWrap/>
            <w:vAlign w:val="center"/>
          </w:tcPr>
          <w:p w14:paraId="2EE81DAE">
            <w:pPr>
              <w:ind w:left="113"/>
              <w:jc w:val="center"/>
              <w:rPr>
                <w:rFonts w:ascii="宋体" w:hAnsi="宋体" w:cs="宋体"/>
                <w:sz w:val="24"/>
              </w:rPr>
            </w:pPr>
            <w:r>
              <w:rPr>
                <w:rFonts w:hint="eastAsia" w:ascii="宋体" w:hAnsi="宋体" w:cs="宋体"/>
                <w:sz w:val="24"/>
              </w:rPr>
              <w:t>合计</w:t>
            </w:r>
          </w:p>
        </w:tc>
        <w:tc>
          <w:tcPr>
            <w:tcW w:w="1285" w:type="dxa"/>
            <w:noWrap/>
            <w:vAlign w:val="center"/>
          </w:tcPr>
          <w:p w14:paraId="19C76651">
            <w:pPr>
              <w:jc w:val="center"/>
              <w:rPr>
                <w:rFonts w:ascii="宋体" w:hAnsi="宋体" w:cs="宋体"/>
                <w:sz w:val="24"/>
              </w:rPr>
            </w:pPr>
            <w:r>
              <w:rPr>
                <w:rFonts w:hint="eastAsia" w:ascii="宋体" w:hAnsi="宋体" w:cs="宋体"/>
                <w:sz w:val="24"/>
              </w:rPr>
              <w:t>100</w:t>
            </w:r>
          </w:p>
        </w:tc>
        <w:tc>
          <w:tcPr>
            <w:tcW w:w="3828" w:type="dxa"/>
            <w:noWrap/>
            <w:vAlign w:val="center"/>
          </w:tcPr>
          <w:p w14:paraId="11ACFD8E">
            <w:pPr>
              <w:ind w:left="113"/>
              <w:jc w:val="center"/>
              <w:rPr>
                <w:rFonts w:ascii="宋体" w:hAnsi="宋体" w:cs="宋体"/>
                <w:sz w:val="24"/>
              </w:rPr>
            </w:pPr>
          </w:p>
        </w:tc>
      </w:tr>
    </w:tbl>
    <w:p w14:paraId="5F69E746">
      <w:pPr>
        <w:pStyle w:val="22"/>
        <w:spacing w:line="360" w:lineRule="auto"/>
        <w:ind w:firstLine="0" w:firstLineChars="0"/>
        <w:rPr>
          <w:rFonts w:ascii="宋体" w:hAnsi="宋体"/>
        </w:rPr>
      </w:pPr>
      <w:r>
        <w:rPr>
          <w:rFonts w:hint="eastAsia" w:ascii="宋体" w:hAnsi="宋体"/>
        </w:rPr>
        <w:t>1.1价格部分</w:t>
      </w:r>
    </w:p>
    <w:tbl>
      <w:tblPr>
        <w:tblStyle w:val="24"/>
        <w:tblW w:w="4987" w:type="pct"/>
        <w:tblInd w:w="0" w:type="dxa"/>
        <w:tblLayout w:type="fixed"/>
        <w:tblCellMar>
          <w:top w:w="0" w:type="dxa"/>
          <w:left w:w="108" w:type="dxa"/>
          <w:bottom w:w="0" w:type="dxa"/>
          <w:right w:w="108" w:type="dxa"/>
        </w:tblCellMar>
      </w:tblPr>
      <w:tblGrid>
        <w:gridCol w:w="783"/>
        <w:gridCol w:w="1732"/>
        <w:gridCol w:w="748"/>
        <w:gridCol w:w="5238"/>
      </w:tblGrid>
      <w:tr w14:paraId="11677936">
        <w:tblPrEx>
          <w:tblCellMar>
            <w:top w:w="0" w:type="dxa"/>
            <w:left w:w="108" w:type="dxa"/>
            <w:bottom w:w="0" w:type="dxa"/>
            <w:right w:w="108" w:type="dxa"/>
          </w:tblCellMar>
        </w:tblPrEx>
        <w:trPr>
          <w:trHeight w:val="454" w:hRule="atLeast"/>
        </w:trPr>
        <w:tc>
          <w:tcPr>
            <w:tcW w:w="460" w:type="pct"/>
            <w:tcBorders>
              <w:top w:val="single" w:color="auto" w:sz="4" w:space="0"/>
              <w:left w:val="single" w:color="auto" w:sz="4" w:space="0"/>
              <w:bottom w:val="single" w:color="auto" w:sz="4" w:space="0"/>
              <w:right w:val="single" w:color="auto" w:sz="4" w:space="0"/>
            </w:tcBorders>
            <w:noWrap/>
            <w:vAlign w:val="center"/>
          </w:tcPr>
          <w:p w14:paraId="7CDA3ED2">
            <w:pPr>
              <w:jc w:val="center"/>
              <w:rPr>
                <w:rFonts w:ascii="宋体" w:hAnsi="宋体" w:cs="宋体"/>
                <w:b/>
                <w:sz w:val="24"/>
              </w:rPr>
            </w:pPr>
            <w:r>
              <w:rPr>
                <w:rFonts w:hint="eastAsia" w:ascii="宋体" w:hAnsi="宋体" w:cs="宋体"/>
                <w:b/>
                <w:sz w:val="24"/>
              </w:rPr>
              <w:t>序号</w:t>
            </w:r>
          </w:p>
        </w:tc>
        <w:tc>
          <w:tcPr>
            <w:tcW w:w="1018" w:type="pct"/>
            <w:tcBorders>
              <w:top w:val="single" w:color="auto" w:sz="4" w:space="0"/>
              <w:left w:val="nil"/>
              <w:bottom w:val="single" w:color="auto" w:sz="4" w:space="0"/>
              <w:right w:val="single" w:color="auto" w:sz="4" w:space="0"/>
            </w:tcBorders>
            <w:noWrap/>
            <w:vAlign w:val="center"/>
          </w:tcPr>
          <w:p w14:paraId="5BA8E8B0">
            <w:pPr>
              <w:jc w:val="center"/>
              <w:rPr>
                <w:rFonts w:ascii="宋体" w:hAnsi="宋体" w:cs="宋体"/>
                <w:b/>
                <w:sz w:val="24"/>
              </w:rPr>
            </w:pPr>
            <w:r>
              <w:rPr>
                <w:rFonts w:hint="eastAsia" w:ascii="宋体" w:hAnsi="宋体" w:cs="宋体"/>
                <w:b/>
                <w:sz w:val="24"/>
              </w:rPr>
              <w:t>评分因素</w:t>
            </w:r>
          </w:p>
        </w:tc>
        <w:tc>
          <w:tcPr>
            <w:tcW w:w="440" w:type="pct"/>
            <w:tcBorders>
              <w:top w:val="single" w:color="auto" w:sz="4" w:space="0"/>
              <w:left w:val="nil"/>
              <w:bottom w:val="single" w:color="auto" w:sz="4" w:space="0"/>
              <w:right w:val="single" w:color="auto" w:sz="4" w:space="0"/>
            </w:tcBorders>
            <w:noWrap/>
            <w:vAlign w:val="center"/>
          </w:tcPr>
          <w:p w14:paraId="79F37F13">
            <w:pPr>
              <w:jc w:val="center"/>
              <w:rPr>
                <w:rFonts w:ascii="宋体" w:hAnsi="宋体" w:cs="宋体"/>
                <w:b/>
                <w:sz w:val="24"/>
              </w:rPr>
            </w:pPr>
            <w:r>
              <w:rPr>
                <w:rFonts w:hint="eastAsia" w:ascii="宋体" w:hAnsi="宋体" w:cs="宋体"/>
                <w:b/>
                <w:sz w:val="24"/>
              </w:rPr>
              <w:t>分值</w:t>
            </w:r>
          </w:p>
        </w:tc>
        <w:tc>
          <w:tcPr>
            <w:tcW w:w="3080" w:type="pct"/>
            <w:tcBorders>
              <w:top w:val="single" w:color="auto" w:sz="4" w:space="0"/>
              <w:left w:val="nil"/>
              <w:bottom w:val="single" w:color="auto" w:sz="4" w:space="0"/>
              <w:right w:val="single" w:color="auto" w:sz="4" w:space="0"/>
            </w:tcBorders>
            <w:noWrap/>
            <w:vAlign w:val="center"/>
          </w:tcPr>
          <w:p w14:paraId="0D5F05A0">
            <w:pPr>
              <w:jc w:val="center"/>
              <w:rPr>
                <w:rFonts w:ascii="宋体" w:hAnsi="宋体" w:cs="宋体"/>
                <w:b/>
                <w:sz w:val="24"/>
              </w:rPr>
            </w:pPr>
            <w:r>
              <w:rPr>
                <w:rFonts w:hint="eastAsia" w:ascii="宋体" w:hAnsi="宋体" w:cs="宋体"/>
                <w:b/>
                <w:sz w:val="24"/>
              </w:rPr>
              <w:t>评分细则</w:t>
            </w:r>
          </w:p>
        </w:tc>
      </w:tr>
      <w:tr w14:paraId="12167394">
        <w:tblPrEx>
          <w:tblCellMar>
            <w:top w:w="0" w:type="dxa"/>
            <w:left w:w="108" w:type="dxa"/>
            <w:bottom w:w="0" w:type="dxa"/>
            <w:right w:w="108" w:type="dxa"/>
          </w:tblCellMar>
        </w:tblPrEx>
        <w:trPr>
          <w:trHeight w:val="454" w:hRule="atLeast"/>
        </w:trPr>
        <w:tc>
          <w:tcPr>
            <w:tcW w:w="460" w:type="pct"/>
            <w:tcBorders>
              <w:top w:val="nil"/>
              <w:left w:val="single" w:color="auto" w:sz="4" w:space="0"/>
              <w:bottom w:val="single" w:color="auto" w:sz="4" w:space="0"/>
              <w:right w:val="single" w:color="auto" w:sz="4" w:space="0"/>
            </w:tcBorders>
            <w:noWrap/>
            <w:vAlign w:val="center"/>
          </w:tcPr>
          <w:p w14:paraId="49A1B4EE">
            <w:pPr>
              <w:jc w:val="center"/>
              <w:rPr>
                <w:rFonts w:ascii="宋体" w:hAnsi="宋体" w:cs="宋体"/>
                <w:sz w:val="24"/>
              </w:rPr>
            </w:pPr>
            <w:r>
              <w:rPr>
                <w:rFonts w:hint="eastAsia" w:ascii="宋体" w:hAnsi="宋体" w:cs="宋体"/>
                <w:sz w:val="24"/>
              </w:rPr>
              <w:t>1</w:t>
            </w:r>
          </w:p>
        </w:tc>
        <w:tc>
          <w:tcPr>
            <w:tcW w:w="1018" w:type="pct"/>
            <w:tcBorders>
              <w:top w:val="single" w:color="auto" w:sz="4" w:space="0"/>
              <w:left w:val="nil"/>
              <w:bottom w:val="single" w:color="auto" w:sz="4" w:space="0"/>
              <w:right w:val="single" w:color="auto" w:sz="4" w:space="0"/>
            </w:tcBorders>
            <w:noWrap/>
            <w:vAlign w:val="center"/>
          </w:tcPr>
          <w:p w14:paraId="5BA6DDA9">
            <w:pPr>
              <w:jc w:val="center"/>
              <w:rPr>
                <w:rFonts w:ascii="宋体" w:hAnsi="宋体" w:cs="宋体"/>
                <w:sz w:val="24"/>
              </w:rPr>
            </w:pPr>
            <w:r>
              <w:rPr>
                <w:rFonts w:hint="eastAsia" w:ascii="宋体" w:hAnsi="宋体" w:cs="宋体"/>
                <w:sz w:val="24"/>
              </w:rPr>
              <w:t>价格部分</w:t>
            </w:r>
          </w:p>
        </w:tc>
        <w:tc>
          <w:tcPr>
            <w:tcW w:w="440" w:type="pct"/>
            <w:tcBorders>
              <w:top w:val="nil"/>
              <w:left w:val="nil"/>
              <w:bottom w:val="single" w:color="auto" w:sz="4" w:space="0"/>
              <w:right w:val="single" w:color="auto" w:sz="4" w:space="0"/>
            </w:tcBorders>
            <w:noWrap/>
            <w:vAlign w:val="center"/>
          </w:tcPr>
          <w:p w14:paraId="2B927603">
            <w:pPr>
              <w:jc w:val="center"/>
              <w:rPr>
                <w:rFonts w:ascii="宋体" w:hAnsi="宋体" w:cs="宋体"/>
                <w:sz w:val="24"/>
              </w:rPr>
            </w:pPr>
            <w:r>
              <w:rPr>
                <w:rFonts w:ascii="宋体" w:hAnsi="宋体" w:cs="宋体"/>
                <w:sz w:val="24"/>
              </w:rPr>
              <w:t>30</w:t>
            </w:r>
          </w:p>
        </w:tc>
        <w:tc>
          <w:tcPr>
            <w:tcW w:w="3080" w:type="pct"/>
            <w:tcBorders>
              <w:top w:val="nil"/>
              <w:left w:val="nil"/>
              <w:bottom w:val="single" w:color="auto" w:sz="4" w:space="0"/>
              <w:right w:val="single" w:color="auto" w:sz="4" w:space="0"/>
            </w:tcBorders>
            <w:noWrap/>
            <w:vAlign w:val="center"/>
          </w:tcPr>
          <w:p w14:paraId="2CC60DDC">
            <w:pPr>
              <w:jc w:val="left"/>
              <w:rPr>
                <w:rFonts w:ascii="宋体" w:hAnsi="宋体" w:cs="宋体"/>
                <w:sz w:val="24"/>
              </w:rPr>
            </w:pPr>
            <w:r>
              <w:rPr>
                <w:rFonts w:hint="eastAsia" w:ascii="宋体" w:hAnsi="宋体" w:cs="宋体"/>
                <w:sz w:val="24"/>
              </w:rPr>
              <w:t>满足招标文件要求且投标价格最低的投标报价为评标基准价，其价格分为满分。其他投标人的价格分统一按照下列公式计算：</w:t>
            </w:r>
          </w:p>
          <w:p w14:paraId="450E7050">
            <w:pPr>
              <w:jc w:val="left"/>
              <w:rPr>
                <w:rFonts w:ascii="宋体" w:hAnsi="宋体" w:cs="宋体"/>
                <w:sz w:val="24"/>
              </w:rPr>
            </w:pPr>
            <w:r>
              <w:rPr>
                <w:rFonts w:hint="eastAsia" w:ascii="宋体" w:hAnsi="宋体" w:cs="宋体"/>
                <w:sz w:val="24"/>
              </w:rPr>
              <w:t>投标报价得分＝（评标基准价/投标报价）×分值。</w:t>
            </w:r>
          </w:p>
          <w:p w14:paraId="55F77A2A">
            <w:pPr>
              <w:jc w:val="left"/>
              <w:rPr>
                <w:rFonts w:ascii="宋体" w:hAnsi="宋体" w:cs="宋体"/>
                <w:sz w:val="24"/>
              </w:rPr>
            </w:pPr>
            <w:r>
              <w:rPr>
                <w:rFonts w:hint="eastAsia" w:ascii="宋体" w:hAnsi="宋体" w:cs="宋体"/>
                <w:sz w:val="24"/>
              </w:rPr>
              <w:t>注：此处投标报价指经过报价修正，及因落实政府采购政策进行价格调整后的报价，详见第四章《评标程序、评标方法和评标标准》2.4、2.5及2.6。</w:t>
            </w:r>
          </w:p>
        </w:tc>
      </w:tr>
    </w:tbl>
    <w:p w14:paraId="025CB1D6">
      <w:pPr>
        <w:pStyle w:val="22"/>
        <w:spacing w:line="360" w:lineRule="auto"/>
        <w:ind w:firstLine="0" w:firstLineChars="0"/>
        <w:rPr>
          <w:rFonts w:ascii="宋体" w:hAnsi="宋体"/>
        </w:rPr>
      </w:pPr>
      <w:r>
        <w:rPr>
          <w:rFonts w:hint="eastAsia" w:ascii="宋体" w:hAnsi="宋体"/>
        </w:rPr>
        <w:t>1.2商务部分</w:t>
      </w:r>
    </w:p>
    <w:tbl>
      <w:tblPr>
        <w:tblStyle w:val="24"/>
        <w:tblW w:w="4969" w:type="pct"/>
        <w:tblInd w:w="0" w:type="dxa"/>
        <w:tblLayout w:type="fixed"/>
        <w:tblCellMar>
          <w:top w:w="0" w:type="dxa"/>
          <w:left w:w="108" w:type="dxa"/>
          <w:bottom w:w="0" w:type="dxa"/>
          <w:right w:w="108" w:type="dxa"/>
        </w:tblCellMar>
      </w:tblPr>
      <w:tblGrid>
        <w:gridCol w:w="850"/>
        <w:gridCol w:w="1525"/>
        <w:gridCol w:w="710"/>
        <w:gridCol w:w="5385"/>
      </w:tblGrid>
      <w:tr w14:paraId="226A8ECF">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391F13A4">
            <w:pPr>
              <w:jc w:val="center"/>
              <w:rPr>
                <w:rFonts w:ascii="宋体" w:hAnsi="宋体" w:cs="宋体"/>
                <w:b/>
                <w:sz w:val="24"/>
              </w:rPr>
            </w:pPr>
            <w:r>
              <w:rPr>
                <w:rFonts w:hint="eastAsia" w:ascii="宋体" w:hAnsi="宋体" w:cs="宋体"/>
                <w:b/>
                <w:sz w:val="24"/>
              </w:rPr>
              <w:t>序号</w:t>
            </w:r>
          </w:p>
        </w:tc>
        <w:tc>
          <w:tcPr>
            <w:tcW w:w="900" w:type="pct"/>
            <w:tcBorders>
              <w:top w:val="single" w:color="auto" w:sz="4" w:space="0"/>
              <w:left w:val="single" w:color="auto" w:sz="4" w:space="0"/>
              <w:bottom w:val="single" w:color="auto" w:sz="4" w:space="0"/>
              <w:right w:val="single" w:color="auto" w:sz="4" w:space="0"/>
            </w:tcBorders>
            <w:noWrap/>
            <w:vAlign w:val="center"/>
          </w:tcPr>
          <w:p w14:paraId="78415D8F">
            <w:pPr>
              <w:jc w:val="center"/>
              <w:rPr>
                <w:rFonts w:ascii="宋体" w:hAnsi="宋体" w:cs="宋体"/>
                <w:b/>
                <w:sz w:val="24"/>
              </w:rPr>
            </w:pPr>
            <w:r>
              <w:rPr>
                <w:rFonts w:hint="eastAsia" w:ascii="宋体" w:hAnsi="宋体" w:cs="宋体"/>
                <w:b/>
                <w:sz w:val="24"/>
              </w:rPr>
              <w:t>评分因素</w:t>
            </w:r>
          </w:p>
        </w:tc>
        <w:tc>
          <w:tcPr>
            <w:tcW w:w="419" w:type="pct"/>
            <w:tcBorders>
              <w:top w:val="single" w:color="auto" w:sz="4" w:space="0"/>
              <w:left w:val="single" w:color="auto" w:sz="4" w:space="0"/>
              <w:bottom w:val="single" w:color="auto" w:sz="4" w:space="0"/>
              <w:right w:val="single" w:color="auto" w:sz="4" w:space="0"/>
            </w:tcBorders>
            <w:noWrap/>
            <w:vAlign w:val="center"/>
          </w:tcPr>
          <w:p w14:paraId="7EAF25C4">
            <w:pPr>
              <w:jc w:val="center"/>
              <w:rPr>
                <w:rFonts w:ascii="宋体" w:hAnsi="宋体" w:cs="宋体"/>
                <w:b/>
                <w:sz w:val="24"/>
              </w:rPr>
            </w:pPr>
            <w:r>
              <w:rPr>
                <w:rFonts w:hint="eastAsia" w:ascii="宋体" w:hAnsi="宋体" w:cs="宋体"/>
                <w:b/>
                <w:sz w:val="24"/>
              </w:rPr>
              <w:t>分值</w:t>
            </w:r>
          </w:p>
        </w:tc>
        <w:tc>
          <w:tcPr>
            <w:tcW w:w="3179" w:type="pct"/>
            <w:tcBorders>
              <w:top w:val="single" w:color="auto" w:sz="4" w:space="0"/>
              <w:left w:val="single" w:color="auto" w:sz="4" w:space="0"/>
              <w:bottom w:val="single" w:color="auto" w:sz="4" w:space="0"/>
              <w:right w:val="single" w:color="auto" w:sz="4" w:space="0"/>
            </w:tcBorders>
            <w:noWrap/>
            <w:vAlign w:val="center"/>
          </w:tcPr>
          <w:p w14:paraId="2048C2EC">
            <w:pPr>
              <w:jc w:val="center"/>
              <w:rPr>
                <w:rFonts w:ascii="宋体" w:hAnsi="宋体" w:cs="宋体"/>
                <w:b/>
                <w:sz w:val="24"/>
              </w:rPr>
            </w:pPr>
            <w:r>
              <w:rPr>
                <w:rFonts w:hint="eastAsia" w:ascii="宋体" w:hAnsi="宋体" w:cs="宋体"/>
                <w:b/>
                <w:sz w:val="24"/>
              </w:rPr>
              <w:t>评分细则</w:t>
            </w:r>
          </w:p>
        </w:tc>
      </w:tr>
      <w:tr w14:paraId="033B0335">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6CF56214">
            <w:pPr>
              <w:jc w:val="center"/>
              <w:rPr>
                <w:rFonts w:ascii="宋体" w:hAnsi="宋体" w:cs="宋体"/>
                <w:sz w:val="24"/>
              </w:rPr>
            </w:pPr>
            <w:r>
              <w:rPr>
                <w:rFonts w:hint="eastAsia" w:ascii="宋体" w:hAnsi="宋体" w:cs="宋体"/>
                <w:sz w:val="24"/>
              </w:rPr>
              <w:t>1</w:t>
            </w:r>
          </w:p>
        </w:tc>
        <w:tc>
          <w:tcPr>
            <w:tcW w:w="900" w:type="pct"/>
            <w:tcBorders>
              <w:top w:val="single" w:color="auto" w:sz="4" w:space="0"/>
              <w:left w:val="single" w:color="auto" w:sz="4" w:space="0"/>
              <w:bottom w:val="single" w:color="auto" w:sz="4" w:space="0"/>
              <w:right w:val="single" w:color="auto" w:sz="4" w:space="0"/>
            </w:tcBorders>
            <w:noWrap/>
            <w:vAlign w:val="center"/>
          </w:tcPr>
          <w:p w14:paraId="1CC09307">
            <w:pPr>
              <w:widowControl/>
              <w:jc w:val="center"/>
              <w:rPr>
                <w:rFonts w:ascii="宋体" w:hAnsi="宋体" w:cs="宋体"/>
                <w:sz w:val="24"/>
              </w:rPr>
            </w:pPr>
            <w:r>
              <w:rPr>
                <w:rFonts w:hint="eastAsia" w:ascii="宋体" w:hAnsi="宋体" w:cs="宋体"/>
                <w:sz w:val="24"/>
              </w:rPr>
              <w:t>业绩评价</w:t>
            </w:r>
          </w:p>
        </w:tc>
        <w:tc>
          <w:tcPr>
            <w:tcW w:w="419" w:type="pct"/>
            <w:tcBorders>
              <w:top w:val="single" w:color="auto" w:sz="4" w:space="0"/>
              <w:left w:val="single" w:color="auto" w:sz="4" w:space="0"/>
              <w:bottom w:val="single" w:color="auto" w:sz="4" w:space="0"/>
              <w:right w:val="single" w:color="auto" w:sz="4" w:space="0"/>
            </w:tcBorders>
            <w:noWrap/>
            <w:vAlign w:val="center"/>
          </w:tcPr>
          <w:p w14:paraId="22D52D77">
            <w:pPr>
              <w:widowControl/>
              <w:jc w:val="center"/>
              <w:rPr>
                <w:rFonts w:ascii="宋体" w:hAnsi="宋体" w:cs="宋体"/>
                <w:sz w:val="24"/>
              </w:rPr>
            </w:pPr>
            <w:r>
              <w:rPr>
                <w:rFonts w:hint="eastAsia" w:ascii="宋体" w:hAnsi="宋体" w:cs="宋体"/>
                <w:sz w:val="24"/>
              </w:rPr>
              <w:t>6</w:t>
            </w:r>
          </w:p>
        </w:tc>
        <w:tc>
          <w:tcPr>
            <w:tcW w:w="3179" w:type="pct"/>
            <w:tcBorders>
              <w:top w:val="single" w:color="auto" w:sz="4" w:space="0"/>
              <w:left w:val="single" w:color="auto" w:sz="4" w:space="0"/>
              <w:bottom w:val="single" w:color="auto" w:sz="4" w:space="0"/>
              <w:right w:val="single" w:color="auto" w:sz="4" w:space="0"/>
            </w:tcBorders>
            <w:noWrap/>
            <w:vAlign w:val="center"/>
          </w:tcPr>
          <w:p w14:paraId="673DF15D">
            <w:pPr>
              <w:widowControl/>
              <w:jc w:val="left"/>
              <w:rPr>
                <w:rFonts w:ascii="宋体" w:hAnsi="宋体" w:cs="宋体"/>
                <w:sz w:val="24"/>
              </w:rPr>
            </w:pPr>
            <w:r>
              <w:rPr>
                <w:rFonts w:hint="eastAsia" w:ascii="宋体" w:hAnsi="宋体" w:cs="宋体"/>
                <w:sz w:val="24"/>
              </w:rPr>
              <w:t>根据投标产品（</w:t>
            </w:r>
            <w:r>
              <w:rPr>
                <w:rFonts w:hint="eastAsia" w:ascii="宋体" w:hAnsi="宋体"/>
                <w:sz w:val="24"/>
              </w:rPr>
              <w:t>如采购包为非单一产品采购，则须提供该采购包的核心产品</w:t>
            </w:r>
            <w:r>
              <w:rPr>
                <w:rFonts w:hint="eastAsia" w:ascii="宋体" w:hAnsi="宋体" w:cs="宋体"/>
                <w:sz w:val="24"/>
              </w:rPr>
              <w:t>）</w:t>
            </w:r>
            <w:r>
              <w:rPr>
                <w:rFonts w:hint="eastAsia" w:ascii="宋体" w:hAnsi="宋体"/>
                <w:sz w:val="24"/>
              </w:rPr>
              <w:t>或其同品牌的同类型产品自</w:t>
            </w:r>
            <w:r>
              <w:rPr>
                <w:rFonts w:hint="eastAsia" w:ascii="宋体" w:hAnsi="宋体" w:cs="宋体"/>
                <w:sz w:val="24"/>
              </w:rPr>
              <w:t>2023年1月1日至该包投标截止日在中国境内的销售业绩进行评审，每提供1个合格的销售业绩得1.5分，最高得6分。</w:t>
            </w:r>
          </w:p>
          <w:p w14:paraId="4E617365">
            <w:pPr>
              <w:widowControl/>
              <w:jc w:val="left"/>
              <w:rPr>
                <w:rFonts w:ascii="宋体" w:hAnsi="宋体" w:cs="宋体"/>
                <w:sz w:val="24"/>
              </w:rPr>
            </w:pPr>
            <w:r>
              <w:rPr>
                <w:rFonts w:hint="eastAsia" w:ascii="宋体" w:hAnsi="宋体" w:cs="宋体"/>
                <w:sz w:val="24"/>
              </w:rPr>
              <w:t>注：1.投标文件中应提供至少包含合同首页（显示合同签署主体）、合同主要内容页、合同签署页的合同复印件并加盖投标单位公章，否则评标委员会不予认可。</w:t>
            </w:r>
          </w:p>
          <w:p w14:paraId="0B94D824">
            <w:pPr>
              <w:widowControl/>
              <w:jc w:val="left"/>
              <w:rPr>
                <w:rFonts w:ascii="宋体" w:hAnsi="宋体" w:cs="宋体"/>
                <w:sz w:val="24"/>
              </w:rPr>
            </w:pPr>
            <w:r>
              <w:rPr>
                <w:rFonts w:hint="eastAsia" w:ascii="宋体" w:hAnsi="宋体" w:cs="宋体"/>
                <w:sz w:val="24"/>
              </w:rPr>
              <w:t>2.销售给经销商或代理商的合同不予认可。</w:t>
            </w:r>
          </w:p>
          <w:p w14:paraId="68348683">
            <w:pPr>
              <w:widowControl/>
              <w:jc w:val="left"/>
              <w:rPr>
                <w:rFonts w:ascii="宋体" w:hAnsi="宋体" w:cs="宋体"/>
                <w:sz w:val="24"/>
              </w:rPr>
            </w:pPr>
            <w:r>
              <w:rPr>
                <w:rFonts w:hint="eastAsia" w:ascii="宋体" w:hAnsi="宋体" w:cs="宋体"/>
                <w:sz w:val="24"/>
              </w:rPr>
              <w:t>3.提供的合同，日期以合同签署日期为准，未注明合同签署日期的合同评标委员会不予认可。</w:t>
            </w:r>
          </w:p>
          <w:p w14:paraId="42193A96">
            <w:pPr>
              <w:jc w:val="left"/>
              <w:rPr>
                <w:rFonts w:ascii="宋体" w:hAnsi="宋体" w:cs="宋体"/>
                <w:sz w:val="24"/>
              </w:rPr>
            </w:pPr>
            <w:r>
              <w:rPr>
                <w:rFonts w:hint="eastAsia" w:ascii="宋体" w:hAnsi="宋体" w:cs="宋体"/>
                <w:sz w:val="24"/>
              </w:rPr>
              <w:t>4.投标产品指与所投产品同品牌同类型的产品。</w:t>
            </w:r>
          </w:p>
          <w:p w14:paraId="5CE97504">
            <w:pPr>
              <w:jc w:val="left"/>
              <w:rPr>
                <w:rFonts w:ascii="宋体" w:hAnsi="宋体" w:cs="宋体"/>
                <w:sz w:val="24"/>
              </w:rPr>
            </w:pPr>
            <w:r>
              <w:rPr>
                <w:rFonts w:hint="eastAsia" w:ascii="宋体" w:hAnsi="宋体" w:cs="宋体"/>
                <w:sz w:val="24"/>
              </w:rPr>
              <w:t>5.</w:t>
            </w:r>
            <w:r>
              <w:rPr>
                <w:rFonts w:hint="eastAsia" w:ascii="宋体" w:hAnsi="宋体"/>
                <w:sz w:val="24"/>
              </w:rPr>
              <w:t>同类型产品指与所投产品同档次、主要性能相当的产品。</w:t>
            </w:r>
          </w:p>
        </w:tc>
      </w:tr>
      <w:tr w14:paraId="34765011">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09F6B930">
            <w:pPr>
              <w:jc w:val="center"/>
              <w:rPr>
                <w:rFonts w:ascii="宋体" w:hAnsi="宋体" w:cs="宋体"/>
                <w:sz w:val="24"/>
              </w:rPr>
            </w:pPr>
            <w:r>
              <w:rPr>
                <w:rFonts w:hint="eastAsia" w:ascii="宋体" w:hAnsi="宋体" w:cs="宋体"/>
                <w:sz w:val="24"/>
              </w:rPr>
              <w:t>2</w:t>
            </w:r>
          </w:p>
        </w:tc>
        <w:tc>
          <w:tcPr>
            <w:tcW w:w="900" w:type="pct"/>
            <w:tcBorders>
              <w:top w:val="single" w:color="auto" w:sz="4" w:space="0"/>
              <w:left w:val="single" w:color="auto" w:sz="4" w:space="0"/>
              <w:bottom w:val="single" w:color="auto" w:sz="4" w:space="0"/>
              <w:right w:val="single" w:color="auto" w:sz="4" w:space="0"/>
            </w:tcBorders>
            <w:noWrap/>
            <w:vAlign w:val="center"/>
          </w:tcPr>
          <w:p w14:paraId="592B0B01">
            <w:pPr>
              <w:widowControl/>
              <w:jc w:val="center"/>
              <w:rPr>
                <w:rFonts w:ascii="宋体" w:hAnsi="宋体" w:cs="宋体"/>
                <w:sz w:val="24"/>
              </w:rPr>
            </w:pPr>
            <w:r>
              <w:rPr>
                <w:rFonts w:hint="eastAsia" w:ascii="宋体" w:hAnsi="宋体" w:cs="宋体"/>
                <w:sz w:val="24"/>
              </w:rPr>
              <w:t>环境标志产品</w:t>
            </w:r>
          </w:p>
        </w:tc>
        <w:tc>
          <w:tcPr>
            <w:tcW w:w="419" w:type="pct"/>
            <w:tcBorders>
              <w:top w:val="single" w:color="auto" w:sz="4" w:space="0"/>
              <w:left w:val="single" w:color="auto" w:sz="4" w:space="0"/>
              <w:bottom w:val="single" w:color="auto" w:sz="4" w:space="0"/>
              <w:right w:val="single" w:color="auto" w:sz="4" w:space="0"/>
            </w:tcBorders>
            <w:noWrap/>
            <w:vAlign w:val="center"/>
          </w:tcPr>
          <w:p w14:paraId="63520868">
            <w:pPr>
              <w:widowControl/>
              <w:jc w:val="center"/>
              <w:rPr>
                <w:rFonts w:ascii="宋体" w:hAnsi="宋体" w:cs="宋体"/>
                <w:sz w:val="24"/>
              </w:rPr>
            </w:pPr>
            <w:r>
              <w:rPr>
                <w:rFonts w:hint="eastAsia" w:ascii="宋体" w:hAnsi="宋体" w:cs="宋体"/>
                <w:sz w:val="24"/>
              </w:rPr>
              <w:t>0.5</w:t>
            </w:r>
          </w:p>
        </w:tc>
        <w:tc>
          <w:tcPr>
            <w:tcW w:w="3179" w:type="pct"/>
            <w:tcBorders>
              <w:top w:val="single" w:color="auto" w:sz="4" w:space="0"/>
              <w:left w:val="single" w:color="auto" w:sz="4" w:space="0"/>
              <w:bottom w:val="single" w:color="auto" w:sz="4" w:space="0"/>
              <w:right w:val="single" w:color="auto" w:sz="4" w:space="0"/>
            </w:tcBorders>
            <w:noWrap/>
            <w:vAlign w:val="center"/>
          </w:tcPr>
          <w:p w14:paraId="5D1973A4">
            <w:pPr>
              <w:jc w:val="left"/>
              <w:rPr>
                <w:rFonts w:ascii="宋体" w:hAnsi="宋体" w:cs="宋体"/>
                <w:sz w:val="24"/>
              </w:rPr>
            </w:pPr>
            <w:r>
              <w:rPr>
                <w:rFonts w:hint="eastAsia" w:ascii="宋体" w:hAnsi="宋体" w:cs="宋体"/>
                <w:kern w:val="0"/>
                <w:sz w:val="24"/>
              </w:rPr>
              <w:t>采购人采购产品属于环境标志产品品目清单范围内，且投标人所投产品具有有效的环境标志产品认证证书，得0.5</w:t>
            </w:r>
            <w:r>
              <w:rPr>
                <w:rFonts w:ascii="宋体" w:hAnsi="宋体" w:cs="宋体"/>
                <w:kern w:val="0"/>
                <w:sz w:val="24"/>
              </w:rPr>
              <w:t>分。（注</w:t>
            </w:r>
            <w:r>
              <w:rPr>
                <w:rFonts w:hint="eastAsia" w:ascii="宋体" w:hAnsi="宋体" w:cs="宋体"/>
                <w:kern w:val="0"/>
                <w:sz w:val="24"/>
              </w:rPr>
              <w:t>：投标人应提供市场监管总局发布的参与实施政府采购环境标志产品认证机构名录中的认证机构颁发的处于有效期之内的环境标志产品认证证书复印件加盖单位公章，否则不予认可）</w:t>
            </w:r>
          </w:p>
        </w:tc>
      </w:tr>
      <w:tr w14:paraId="646C6069">
        <w:tblPrEx>
          <w:tblCellMar>
            <w:top w:w="0" w:type="dxa"/>
            <w:left w:w="108" w:type="dxa"/>
            <w:bottom w:w="0" w:type="dxa"/>
            <w:right w:w="108" w:type="dxa"/>
          </w:tblCellMar>
        </w:tblPrEx>
        <w:trPr>
          <w:trHeight w:val="454"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39EA6ED3">
            <w:pPr>
              <w:jc w:val="center"/>
              <w:rPr>
                <w:rFonts w:ascii="宋体" w:hAnsi="宋体" w:cs="宋体"/>
                <w:sz w:val="24"/>
              </w:rPr>
            </w:pPr>
            <w:r>
              <w:rPr>
                <w:rFonts w:hint="eastAsia" w:ascii="宋体" w:hAnsi="宋体" w:cs="宋体"/>
                <w:sz w:val="24"/>
              </w:rPr>
              <w:t>3</w:t>
            </w:r>
          </w:p>
        </w:tc>
        <w:tc>
          <w:tcPr>
            <w:tcW w:w="900" w:type="pct"/>
            <w:tcBorders>
              <w:top w:val="single" w:color="auto" w:sz="4" w:space="0"/>
              <w:left w:val="single" w:color="auto" w:sz="4" w:space="0"/>
              <w:bottom w:val="single" w:color="auto" w:sz="4" w:space="0"/>
              <w:right w:val="single" w:color="auto" w:sz="4" w:space="0"/>
            </w:tcBorders>
            <w:noWrap/>
            <w:vAlign w:val="center"/>
          </w:tcPr>
          <w:p w14:paraId="71AA558A">
            <w:pPr>
              <w:widowControl/>
              <w:jc w:val="center"/>
              <w:rPr>
                <w:rFonts w:ascii="宋体" w:hAnsi="宋体" w:cs="宋体"/>
                <w:sz w:val="24"/>
              </w:rPr>
            </w:pPr>
            <w:r>
              <w:rPr>
                <w:rFonts w:hint="eastAsia" w:ascii="宋体" w:hAnsi="宋体" w:cs="宋体"/>
                <w:sz w:val="24"/>
              </w:rPr>
              <w:t>节能产品</w:t>
            </w:r>
          </w:p>
        </w:tc>
        <w:tc>
          <w:tcPr>
            <w:tcW w:w="419" w:type="pct"/>
            <w:tcBorders>
              <w:top w:val="single" w:color="auto" w:sz="4" w:space="0"/>
              <w:left w:val="single" w:color="auto" w:sz="4" w:space="0"/>
              <w:bottom w:val="single" w:color="auto" w:sz="4" w:space="0"/>
              <w:right w:val="single" w:color="auto" w:sz="4" w:space="0"/>
            </w:tcBorders>
            <w:noWrap/>
            <w:vAlign w:val="center"/>
          </w:tcPr>
          <w:p w14:paraId="2EA07483">
            <w:pPr>
              <w:widowControl/>
              <w:jc w:val="center"/>
              <w:rPr>
                <w:rFonts w:ascii="宋体" w:hAnsi="宋体" w:cs="宋体"/>
                <w:sz w:val="24"/>
              </w:rPr>
            </w:pPr>
            <w:r>
              <w:rPr>
                <w:rFonts w:hint="eastAsia" w:ascii="宋体" w:hAnsi="宋体" w:cs="宋体"/>
                <w:sz w:val="24"/>
              </w:rPr>
              <w:t>0.5</w:t>
            </w:r>
          </w:p>
        </w:tc>
        <w:tc>
          <w:tcPr>
            <w:tcW w:w="3179" w:type="pct"/>
            <w:tcBorders>
              <w:top w:val="single" w:color="auto" w:sz="4" w:space="0"/>
              <w:left w:val="single" w:color="auto" w:sz="4" w:space="0"/>
              <w:bottom w:val="single" w:color="auto" w:sz="4" w:space="0"/>
              <w:right w:val="single" w:color="auto" w:sz="4" w:space="0"/>
            </w:tcBorders>
            <w:noWrap/>
            <w:vAlign w:val="center"/>
          </w:tcPr>
          <w:p w14:paraId="5CA29649">
            <w:pPr>
              <w:jc w:val="left"/>
              <w:rPr>
                <w:rFonts w:ascii="宋体" w:hAnsi="宋体" w:cs="宋体"/>
                <w:sz w:val="24"/>
              </w:rPr>
            </w:pPr>
            <w:r>
              <w:rPr>
                <w:rFonts w:hint="eastAsia" w:ascii="宋体" w:hAnsi="宋体" w:cs="宋体"/>
                <w:kern w:val="0"/>
                <w:sz w:val="24"/>
              </w:rPr>
              <w:t>采购人采购产品属于节能产品品目清单范围内，且投标人所投产品具有有效的节能产品认证证书，得0.5</w:t>
            </w:r>
            <w:r>
              <w:rPr>
                <w:rFonts w:ascii="宋体" w:hAnsi="宋体" w:cs="宋体"/>
                <w:kern w:val="0"/>
                <w:sz w:val="24"/>
              </w:rPr>
              <w:t>分。</w:t>
            </w:r>
            <w:r>
              <w:rPr>
                <w:rFonts w:hint="eastAsia" w:ascii="宋体" w:hAnsi="宋体" w:cs="宋体"/>
                <w:kern w:val="0"/>
                <w:sz w:val="24"/>
              </w:rPr>
              <w:t>（注：投标人应提供市场监管总局发布的参与实施政府采购节能产品认证机构名录中的认证机构颁发的处于有效期之内的节能产品认证证书复印件加盖单位公章，否则不予认可）</w:t>
            </w:r>
          </w:p>
        </w:tc>
      </w:tr>
      <w:tr w14:paraId="2D806725">
        <w:tblPrEx>
          <w:tblCellMar>
            <w:top w:w="0" w:type="dxa"/>
            <w:left w:w="108" w:type="dxa"/>
            <w:bottom w:w="0" w:type="dxa"/>
            <w:right w:w="108" w:type="dxa"/>
          </w:tblCellMar>
        </w:tblPrEx>
        <w:trPr>
          <w:trHeight w:val="71" w:hRule="atLeast"/>
        </w:trPr>
        <w:tc>
          <w:tcPr>
            <w:tcW w:w="502" w:type="pct"/>
            <w:tcBorders>
              <w:top w:val="single" w:color="auto" w:sz="4" w:space="0"/>
              <w:left w:val="single" w:color="auto" w:sz="4" w:space="0"/>
              <w:bottom w:val="single" w:color="auto" w:sz="4" w:space="0"/>
              <w:right w:val="single" w:color="auto" w:sz="4" w:space="0"/>
            </w:tcBorders>
            <w:noWrap/>
            <w:vAlign w:val="center"/>
          </w:tcPr>
          <w:p w14:paraId="2CBB7995">
            <w:pPr>
              <w:jc w:val="center"/>
              <w:rPr>
                <w:rFonts w:ascii="宋体" w:hAnsi="宋体" w:cs="宋体"/>
                <w:sz w:val="24"/>
              </w:rPr>
            </w:pPr>
            <w:r>
              <w:rPr>
                <w:rFonts w:hint="eastAsia" w:ascii="宋体" w:hAnsi="宋体" w:cs="宋体"/>
                <w:sz w:val="24"/>
              </w:rPr>
              <w:t>4</w:t>
            </w:r>
          </w:p>
        </w:tc>
        <w:tc>
          <w:tcPr>
            <w:tcW w:w="900" w:type="pct"/>
            <w:tcBorders>
              <w:top w:val="single" w:color="auto" w:sz="4" w:space="0"/>
              <w:left w:val="single" w:color="auto" w:sz="4" w:space="0"/>
              <w:bottom w:val="single" w:color="auto" w:sz="4" w:space="0"/>
              <w:right w:val="single" w:color="auto" w:sz="4" w:space="0"/>
            </w:tcBorders>
            <w:noWrap/>
            <w:vAlign w:val="center"/>
          </w:tcPr>
          <w:p w14:paraId="2F341003">
            <w:pPr>
              <w:jc w:val="center"/>
              <w:rPr>
                <w:rFonts w:ascii="宋体" w:hAnsi="宋体" w:cs="宋体"/>
                <w:sz w:val="24"/>
              </w:rPr>
            </w:pPr>
            <w:r>
              <w:rPr>
                <w:rFonts w:hint="eastAsia" w:ascii="宋体" w:hAnsi="宋体" w:cs="宋体"/>
                <w:sz w:val="24"/>
              </w:rPr>
              <w:t>对招标文件商务条款的响应程度</w:t>
            </w:r>
          </w:p>
        </w:tc>
        <w:tc>
          <w:tcPr>
            <w:tcW w:w="419" w:type="pct"/>
            <w:tcBorders>
              <w:top w:val="single" w:color="auto" w:sz="4" w:space="0"/>
              <w:left w:val="single" w:color="auto" w:sz="4" w:space="0"/>
              <w:bottom w:val="single" w:color="auto" w:sz="4" w:space="0"/>
              <w:right w:val="single" w:color="auto" w:sz="4" w:space="0"/>
            </w:tcBorders>
            <w:noWrap/>
            <w:vAlign w:val="center"/>
          </w:tcPr>
          <w:p w14:paraId="7B57167B">
            <w:pPr>
              <w:jc w:val="center"/>
              <w:rPr>
                <w:rFonts w:ascii="宋体" w:hAnsi="宋体" w:cs="宋体"/>
                <w:sz w:val="24"/>
              </w:rPr>
            </w:pPr>
            <w:r>
              <w:rPr>
                <w:rFonts w:hint="eastAsia" w:ascii="宋体" w:hAnsi="宋体" w:cs="宋体"/>
                <w:sz w:val="24"/>
              </w:rPr>
              <w:t>1</w:t>
            </w:r>
          </w:p>
        </w:tc>
        <w:tc>
          <w:tcPr>
            <w:tcW w:w="3179" w:type="pct"/>
            <w:tcBorders>
              <w:top w:val="single" w:color="auto" w:sz="4" w:space="0"/>
              <w:left w:val="single" w:color="auto" w:sz="4" w:space="0"/>
              <w:bottom w:val="single" w:color="auto" w:sz="4" w:space="0"/>
              <w:right w:val="single" w:color="auto" w:sz="4" w:space="0"/>
            </w:tcBorders>
            <w:noWrap/>
            <w:vAlign w:val="center"/>
          </w:tcPr>
          <w:p w14:paraId="57067341">
            <w:pPr>
              <w:jc w:val="left"/>
              <w:rPr>
                <w:rFonts w:ascii="宋体" w:hAnsi="宋体" w:cs="宋体"/>
                <w:sz w:val="24"/>
              </w:rPr>
            </w:pPr>
            <w:r>
              <w:rPr>
                <w:rFonts w:hint="eastAsia" w:ascii="宋体" w:hAnsi="宋体" w:cs="宋体"/>
                <w:sz w:val="24"/>
              </w:rPr>
              <w:t>根据投标人对招标文件商务条款的响应程度进行评审，全部满足招标文件商务条款（无负偏离）得1分，否则不得分。</w:t>
            </w:r>
          </w:p>
        </w:tc>
      </w:tr>
    </w:tbl>
    <w:p w14:paraId="3201CAD0">
      <w:pPr>
        <w:spacing w:line="360" w:lineRule="auto"/>
        <w:jc w:val="left"/>
        <w:rPr>
          <w:rFonts w:ascii="宋体" w:hAnsi="宋体" w:cs="宋体"/>
          <w:sz w:val="24"/>
        </w:rPr>
      </w:pPr>
      <w:r>
        <w:rPr>
          <w:rFonts w:hint="eastAsia" w:ascii="宋体" w:hAnsi="宋体" w:cs="宋体"/>
          <w:sz w:val="24"/>
        </w:rPr>
        <w:t>1.3技术部分</w:t>
      </w:r>
    </w:p>
    <w:tbl>
      <w:tblPr>
        <w:tblStyle w:val="24"/>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42"/>
        <w:gridCol w:w="755"/>
        <w:gridCol w:w="5663"/>
      </w:tblGrid>
      <w:tr w14:paraId="31C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74" w:type="pct"/>
            <w:noWrap/>
            <w:vAlign w:val="center"/>
          </w:tcPr>
          <w:p w14:paraId="09CE5546">
            <w:pPr>
              <w:jc w:val="center"/>
              <w:rPr>
                <w:rFonts w:ascii="宋体" w:hAnsi="宋体" w:cs="宋体"/>
                <w:b/>
                <w:sz w:val="24"/>
              </w:rPr>
            </w:pPr>
            <w:r>
              <w:rPr>
                <w:rFonts w:hint="eastAsia" w:ascii="宋体" w:hAnsi="宋体" w:cs="宋体"/>
                <w:b/>
                <w:sz w:val="24"/>
              </w:rPr>
              <w:t>序号</w:t>
            </w:r>
          </w:p>
        </w:tc>
        <w:tc>
          <w:tcPr>
            <w:tcW w:w="734" w:type="pct"/>
            <w:noWrap/>
            <w:vAlign w:val="center"/>
          </w:tcPr>
          <w:p w14:paraId="4BAA0B63">
            <w:pPr>
              <w:jc w:val="center"/>
              <w:rPr>
                <w:rFonts w:ascii="宋体" w:hAnsi="宋体" w:cs="宋体"/>
                <w:b/>
                <w:sz w:val="24"/>
              </w:rPr>
            </w:pPr>
            <w:r>
              <w:rPr>
                <w:rFonts w:hint="eastAsia" w:ascii="宋体" w:hAnsi="宋体" w:cs="宋体"/>
                <w:b/>
                <w:sz w:val="24"/>
              </w:rPr>
              <w:t>评分因素</w:t>
            </w:r>
          </w:p>
        </w:tc>
        <w:tc>
          <w:tcPr>
            <w:tcW w:w="446" w:type="pct"/>
            <w:noWrap/>
            <w:vAlign w:val="center"/>
          </w:tcPr>
          <w:p w14:paraId="5583AE34">
            <w:pPr>
              <w:jc w:val="center"/>
              <w:rPr>
                <w:rFonts w:ascii="宋体" w:hAnsi="宋体" w:cs="宋体"/>
                <w:b/>
                <w:sz w:val="24"/>
              </w:rPr>
            </w:pPr>
            <w:r>
              <w:rPr>
                <w:rFonts w:hint="eastAsia" w:ascii="宋体" w:hAnsi="宋体" w:cs="宋体"/>
                <w:b/>
                <w:sz w:val="24"/>
              </w:rPr>
              <w:t>分值</w:t>
            </w:r>
          </w:p>
        </w:tc>
        <w:tc>
          <w:tcPr>
            <w:tcW w:w="3345" w:type="pct"/>
            <w:noWrap/>
            <w:vAlign w:val="center"/>
          </w:tcPr>
          <w:p w14:paraId="37BEE78B">
            <w:pPr>
              <w:jc w:val="center"/>
              <w:rPr>
                <w:rFonts w:ascii="宋体" w:hAnsi="宋体" w:cs="宋体"/>
                <w:b/>
                <w:sz w:val="24"/>
              </w:rPr>
            </w:pPr>
            <w:r>
              <w:rPr>
                <w:rFonts w:hint="eastAsia" w:ascii="宋体" w:hAnsi="宋体" w:cs="宋体"/>
                <w:b/>
                <w:sz w:val="24"/>
              </w:rPr>
              <w:t>评分细则</w:t>
            </w:r>
          </w:p>
        </w:tc>
      </w:tr>
      <w:tr w14:paraId="32A2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4" w:type="pct"/>
            <w:noWrap/>
            <w:vAlign w:val="center"/>
          </w:tcPr>
          <w:p w14:paraId="03B81401">
            <w:pPr>
              <w:jc w:val="center"/>
              <w:rPr>
                <w:rFonts w:ascii="宋体" w:hAnsi="宋体" w:cs="宋体"/>
                <w:sz w:val="24"/>
              </w:rPr>
            </w:pPr>
            <w:r>
              <w:rPr>
                <w:rFonts w:hint="eastAsia" w:ascii="宋体" w:hAnsi="宋体" w:cs="宋体"/>
                <w:sz w:val="24"/>
              </w:rPr>
              <w:t>1</w:t>
            </w:r>
          </w:p>
        </w:tc>
        <w:tc>
          <w:tcPr>
            <w:tcW w:w="734" w:type="pct"/>
            <w:noWrap/>
            <w:vAlign w:val="center"/>
          </w:tcPr>
          <w:p w14:paraId="47E42BED">
            <w:pPr>
              <w:jc w:val="center"/>
              <w:rPr>
                <w:rFonts w:ascii="宋体" w:hAnsi="宋体" w:cs="宋体"/>
                <w:sz w:val="24"/>
              </w:rPr>
            </w:pPr>
            <w:r>
              <w:rPr>
                <w:rFonts w:hint="eastAsia" w:ascii="宋体" w:hAnsi="宋体" w:cs="宋体"/>
                <w:sz w:val="24"/>
              </w:rPr>
              <w:t>对采购需求的响应情况</w:t>
            </w:r>
          </w:p>
        </w:tc>
        <w:tc>
          <w:tcPr>
            <w:tcW w:w="446" w:type="pct"/>
            <w:noWrap/>
            <w:vAlign w:val="center"/>
          </w:tcPr>
          <w:p w14:paraId="1775FA78">
            <w:pPr>
              <w:jc w:val="center"/>
              <w:rPr>
                <w:rFonts w:ascii="宋体" w:hAnsi="宋体" w:cs="宋体"/>
                <w:kern w:val="0"/>
                <w:sz w:val="24"/>
              </w:rPr>
            </w:pPr>
            <w:r>
              <w:rPr>
                <w:rFonts w:hint="eastAsia" w:ascii="宋体" w:hAnsi="宋体" w:cs="宋体"/>
                <w:kern w:val="0"/>
                <w:sz w:val="24"/>
              </w:rPr>
              <w:t>46</w:t>
            </w:r>
          </w:p>
        </w:tc>
        <w:tc>
          <w:tcPr>
            <w:tcW w:w="3345" w:type="pct"/>
            <w:noWrap/>
            <w:vAlign w:val="center"/>
          </w:tcPr>
          <w:p w14:paraId="24167921">
            <w:pPr>
              <w:tabs>
                <w:tab w:val="left" w:pos="3990"/>
              </w:tabs>
              <w:jc w:val="left"/>
              <w:rPr>
                <w:rFonts w:ascii="宋体" w:hAnsi="宋体" w:cs="宋体"/>
                <w:sz w:val="24"/>
              </w:rPr>
            </w:pPr>
            <w:r>
              <w:rPr>
                <w:rFonts w:hint="eastAsia" w:ascii="宋体" w:hAnsi="宋体" w:cs="宋体"/>
                <w:sz w:val="24"/>
              </w:rPr>
              <w:t>投标人应对招标文件第五章《采购需求》 “三、技术要求”中“（二）具体要求（设备主要用途不计算条款数）05包、11包、18包、25包”的内容进行点对点应答，全部满足招标文件要求的得46分。</w:t>
            </w:r>
          </w:p>
          <w:p w14:paraId="0D31AEEC">
            <w:pPr>
              <w:tabs>
                <w:tab w:val="left" w:pos="3990"/>
              </w:tabs>
              <w:jc w:val="left"/>
              <w:rPr>
                <w:rFonts w:ascii="宋体" w:hAnsi="宋体" w:cs="宋体"/>
                <w:b/>
                <w:bCs/>
                <w:sz w:val="24"/>
              </w:rPr>
            </w:pPr>
            <w:r>
              <w:rPr>
                <w:rFonts w:hint="eastAsia" w:ascii="宋体" w:hAnsi="宋体" w:cs="宋体"/>
                <w:b/>
                <w:bCs/>
                <w:sz w:val="24"/>
              </w:rPr>
              <w:t>05包：</w:t>
            </w:r>
          </w:p>
          <w:p w14:paraId="46105599">
            <w:pPr>
              <w:tabs>
                <w:tab w:val="left" w:pos="3990"/>
              </w:tabs>
              <w:jc w:val="left"/>
              <w:rPr>
                <w:rFonts w:ascii="宋体" w:hAnsi="宋体" w:cs="宋体"/>
                <w:b/>
                <w:bCs/>
                <w:sz w:val="24"/>
              </w:rPr>
            </w:pPr>
            <w:r>
              <w:rPr>
                <w:rFonts w:hint="eastAsia" w:ascii="宋体" w:hAnsi="宋体" w:cs="宋体"/>
                <w:sz w:val="24"/>
              </w:rPr>
              <w:t>一项▲指标不满足招标文件要求扣</w:t>
            </w:r>
            <w:r>
              <w:rPr>
                <w:rFonts w:hint="eastAsia" w:ascii="宋体" w:hAnsi="宋体" w:cs="宋体"/>
                <w:sz w:val="24"/>
                <w:u w:val="single"/>
              </w:rPr>
              <w:t xml:space="preserve"> 4分</w:t>
            </w:r>
            <w:r>
              <w:rPr>
                <w:rFonts w:hint="eastAsia" w:ascii="宋体" w:hAnsi="宋体" w:cs="宋体"/>
                <w:sz w:val="24"/>
              </w:rPr>
              <w:t>，一项一般指标不满足招标文件要求扣</w:t>
            </w:r>
            <w:r>
              <w:rPr>
                <w:rFonts w:hint="eastAsia" w:ascii="宋体" w:hAnsi="宋体" w:cs="宋体"/>
                <w:sz w:val="24"/>
                <w:u w:val="single"/>
              </w:rPr>
              <w:t xml:space="preserve"> 1.2分</w:t>
            </w:r>
            <w:r>
              <w:rPr>
                <w:rFonts w:hint="eastAsia" w:ascii="宋体" w:hAnsi="宋体" w:cs="宋体"/>
                <w:sz w:val="24"/>
              </w:rPr>
              <w:t>。</w:t>
            </w:r>
          </w:p>
          <w:p w14:paraId="7BB09B75">
            <w:pPr>
              <w:tabs>
                <w:tab w:val="left" w:pos="3990"/>
              </w:tabs>
              <w:jc w:val="left"/>
              <w:rPr>
                <w:rFonts w:ascii="宋体" w:hAnsi="宋体" w:cs="宋体"/>
                <w:b/>
                <w:bCs/>
                <w:sz w:val="24"/>
              </w:rPr>
            </w:pPr>
            <w:r>
              <w:rPr>
                <w:rFonts w:hint="eastAsia" w:ascii="宋体" w:hAnsi="宋体" w:cs="宋体"/>
                <w:b/>
                <w:bCs/>
                <w:sz w:val="24"/>
              </w:rPr>
              <w:t>11包：</w:t>
            </w:r>
          </w:p>
          <w:p w14:paraId="4148BF48">
            <w:pPr>
              <w:tabs>
                <w:tab w:val="left" w:pos="3990"/>
              </w:tabs>
              <w:jc w:val="left"/>
              <w:rPr>
                <w:rFonts w:ascii="宋体" w:hAnsi="宋体" w:cs="宋体"/>
                <w:sz w:val="24"/>
              </w:rPr>
            </w:pPr>
            <w:r>
              <w:rPr>
                <w:rFonts w:hint="eastAsia" w:ascii="宋体" w:hAnsi="宋体" w:cs="宋体"/>
                <w:sz w:val="24"/>
              </w:rPr>
              <w:t>一项▲指标不满足招标文件要求扣</w:t>
            </w:r>
            <w:r>
              <w:rPr>
                <w:rFonts w:hint="eastAsia" w:ascii="宋体" w:hAnsi="宋体" w:cs="宋体"/>
                <w:sz w:val="24"/>
                <w:u w:val="single"/>
              </w:rPr>
              <w:t xml:space="preserve"> 2 </w:t>
            </w:r>
            <w:r>
              <w:rPr>
                <w:rFonts w:hint="eastAsia" w:ascii="宋体" w:hAnsi="宋体" w:cs="宋体"/>
                <w:sz w:val="24"/>
              </w:rPr>
              <w:t>分，一项一般指标不满足招标文件要求扣</w:t>
            </w:r>
            <w:r>
              <w:rPr>
                <w:rFonts w:hint="eastAsia" w:ascii="宋体" w:hAnsi="宋体" w:cs="宋体"/>
                <w:sz w:val="24"/>
                <w:u w:val="single"/>
              </w:rPr>
              <w:t xml:space="preserve"> 0.34 </w:t>
            </w:r>
            <w:r>
              <w:rPr>
                <w:rFonts w:hint="eastAsia" w:ascii="宋体" w:hAnsi="宋体" w:cs="宋体"/>
                <w:sz w:val="24"/>
              </w:rPr>
              <w:t>分</w:t>
            </w:r>
          </w:p>
          <w:p w14:paraId="1EDEF6AA">
            <w:pPr>
              <w:tabs>
                <w:tab w:val="left" w:pos="3990"/>
              </w:tabs>
              <w:jc w:val="left"/>
              <w:rPr>
                <w:rFonts w:ascii="宋体" w:hAnsi="宋体" w:cs="宋体"/>
                <w:b/>
                <w:bCs/>
                <w:sz w:val="24"/>
              </w:rPr>
            </w:pPr>
            <w:r>
              <w:rPr>
                <w:rFonts w:hint="eastAsia" w:ascii="宋体" w:hAnsi="宋体" w:cs="宋体"/>
                <w:b/>
                <w:bCs/>
                <w:sz w:val="24"/>
              </w:rPr>
              <w:t>18包:</w:t>
            </w:r>
          </w:p>
          <w:p w14:paraId="216F4C0D">
            <w:pPr>
              <w:tabs>
                <w:tab w:val="left" w:pos="3990"/>
              </w:tabs>
              <w:jc w:val="left"/>
              <w:rPr>
                <w:rFonts w:ascii="宋体" w:hAnsi="宋体" w:cs="宋体"/>
                <w:sz w:val="24"/>
              </w:rPr>
            </w:pPr>
            <w:r>
              <w:rPr>
                <w:rFonts w:hint="eastAsia" w:ascii="宋体" w:hAnsi="宋体" w:cs="宋体"/>
                <w:sz w:val="24"/>
              </w:rPr>
              <w:t>一项▲指标不满足招标文件要求扣</w:t>
            </w:r>
            <w:r>
              <w:rPr>
                <w:rFonts w:hint="eastAsia" w:ascii="宋体" w:hAnsi="宋体" w:cs="宋体"/>
                <w:sz w:val="24"/>
                <w:u w:val="single"/>
              </w:rPr>
              <w:t xml:space="preserve"> 3 </w:t>
            </w:r>
            <w:r>
              <w:rPr>
                <w:rFonts w:hint="eastAsia" w:ascii="宋体" w:hAnsi="宋体" w:cs="宋体"/>
                <w:sz w:val="24"/>
              </w:rPr>
              <w:t>分，一项一般指标不满足招标文件要求扣</w:t>
            </w:r>
            <w:r>
              <w:rPr>
                <w:rFonts w:hint="eastAsia" w:ascii="宋体" w:hAnsi="宋体" w:cs="宋体"/>
                <w:sz w:val="24"/>
                <w:u w:val="single"/>
              </w:rPr>
              <w:t xml:space="preserve"> 1 </w:t>
            </w:r>
            <w:r>
              <w:rPr>
                <w:rFonts w:hint="eastAsia" w:ascii="宋体" w:hAnsi="宋体" w:cs="宋体"/>
                <w:sz w:val="24"/>
              </w:rPr>
              <w:t xml:space="preserve">分 </w:t>
            </w:r>
          </w:p>
          <w:p w14:paraId="45C54053">
            <w:pPr>
              <w:tabs>
                <w:tab w:val="left" w:pos="3990"/>
              </w:tabs>
              <w:jc w:val="left"/>
              <w:rPr>
                <w:rFonts w:ascii="宋体" w:hAnsi="宋体" w:cs="宋体"/>
                <w:b/>
                <w:bCs/>
                <w:sz w:val="24"/>
              </w:rPr>
            </w:pPr>
            <w:r>
              <w:rPr>
                <w:rFonts w:hint="eastAsia" w:ascii="宋体" w:hAnsi="宋体" w:cs="宋体"/>
                <w:b/>
                <w:bCs/>
                <w:sz w:val="24"/>
              </w:rPr>
              <w:t>25包:</w:t>
            </w:r>
          </w:p>
          <w:p w14:paraId="17304A61">
            <w:pPr>
              <w:tabs>
                <w:tab w:val="left" w:pos="3990"/>
              </w:tabs>
              <w:jc w:val="left"/>
              <w:rPr>
                <w:rFonts w:ascii="宋体" w:hAnsi="宋体" w:cs="宋体"/>
                <w:sz w:val="24"/>
              </w:rPr>
            </w:pPr>
            <w:r>
              <w:rPr>
                <w:rFonts w:hint="eastAsia" w:ascii="宋体" w:hAnsi="宋体" w:cs="宋体"/>
                <w:sz w:val="24"/>
              </w:rPr>
              <w:t>一项▲指标不满足招标文件要求扣</w:t>
            </w:r>
            <w:r>
              <w:rPr>
                <w:rFonts w:hint="eastAsia" w:ascii="宋体" w:hAnsi="宋体" w:cs="宋体"/>
                <w:sz w:val="24"/>
                <w:u w:val="single"/>
              </w:rPr>
              <w:t xml:space="preserve"> 2 </w:t>
            </w:r>
            <w:r>
              <w:rPr>
                <w:rFonts w:hint="eastAsia" w:ascii="宋体" w:hAnsi="宋体" w:cs="宋体"/>
                <w:sz w:val="24"/>
              </w:rPr>
              <w:t>分，一项一般指标不满足招标文件要求扣</w:t>
            </w:r>
            <w:r>
              <w:rPr>
                <w:rFonts w:hint="eastAsia" w:ascii="宋体" w:hAnsi="宋体" w:cs="宋体"/>
                <w:sz w:val="24"/>
                <w:u w:val="single"/>
              </w:rPr>
              <w:t xml:space="preserve"> 0.17 </w:t>
            </w:r>
            <w:r>
              <w:rPr>
                <w:rFonts w:hint="eastAsia" w:ascii="宋体" w:hAnsi="宋体" w:cs="宋体"/>
                <w:sz w:val="24"/>
              </w:rPr>
              <w:t>分</w:t>
            </w:r>
          </w:p>
        </w:tc>
      </w:tr>
      <w:tr w14:paraId="5EC3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74" w:type="pct"/>
            <w:noWrap/>
            <w:vAlign w:val="center"/>
          </w:tcPr>
          <w:p w14:paraId="1435B97A">
            <w:pPr>
              <w:jc w:val="center"/>
              <w:rPr>
                <w:rFonts w:ascii="宋体" w:hAnsi="宋体" w:cs="宋体"/>
                <w:sz w:val="24"/>
              </w:rPr>
            </w:pPr>
            <w:r>
              <w:rPr>
                <w:rFonts w:hint="eastAsia" w:ascii="宋体" w:hAnsi="宋体" w:cs="宋体"/>
                <w:sz w:val="24"/>
              </w:rPr>
              <w:t>2</w:t>
            </w:r>
          </w:p>
        </w:tc>
        <w:tc>
          <w:tcPr>
            <w:tcW w:w="1242" w:type="dxa"/>
            <w:noWrap/>
            <w:vAlign w:val="center"/>
          </w:tcPr>
          <w:p w14:paraId="6C194579">
            <w:pPr>
              <w:widowControl/>
              <w:jc w:val="center"/>
              <w:rPr>
                <w:rFonts w:ascii="宋体" w:hAnsi="宋体"/>
                <w:sz w:val="24"/>
              </w:rPr>
            </w:pPr>
            <w:r>
              <w:rPr>
                <w:rFonts w:hint="eastAsia" w:ascii="宋体" w:hAnsi="宋体"/>
                <w:sz w:val="24"/>
              </w:rPr>
              <w:t>项目实施方案</w:t>
            </w:r>
          </w:p>
        </w:tc>
        <w:tc>
          <w:tcPr>
            <w:tcW w:w="755" w:type="dxa"/>
            <w:noWrap/>
            <w:vAlign w:val="center"/>
          </w:tcPr>
          <w:p w14:paraId="208B3017">
            <w:pPr>
              <w:widowControl/>
              <w:jc w:val="center"/>
              <w:rPr>
                <w:rFonts w:ascii="宋体" w:hAnsi="宋体"/>
                <w:sz w:val="24"/>
              </w:rPr>
            </w:pPr>
            <w:r>
              <w:rPr>
                <w:rFonts w:hint="eastAsia" w:ascii="宋体" w:hAnsi="宋体"/>
                <w:sz w:val="24"/>
              </w:rPr>
              <w:t>8</w:t>
            </w:r>
          </w:p>
        </w:tc>
        <w:tc>
          <w:tcPr>
            <w:tcW w:w="5663" w:type="dxa"/>
            <w:noWrap/>
            <w:vAlign w:val="center"/>
          </w:tcPr>
          <w:p w14:paraId="16C0A305">
            <w:pPr>
              <w:widowControl/>
              <w:jc w:val="left"/>
              <w:rPr>
                <w:rFonts w:ascii="宋体" w:hAnsi="宋体" w:cs="宋体"/>
                <w:kern w:val="0"/>
                <w:sz w:val="24"/>
              </w:rPr>
            </w:pPr>
            <w:r>
              <w:rPr>
                <w:rFonts w:hint="eastAsia" w:ascii="宋体" w:hAnsi="宋体" w:cs="宋体"/>
                <w:kern w:val="0"/>
                <w:sz w:val="24"/>
              </w:rPr>
              <w:t>对投标人提供的“项目实施方案”进行综合评审，</w:t>
            </w:r>
            <w:r>
              <w:rPr>
                <w:rFonts w:ascii="宋体" w:hAnsi="宋体" w:cs="宋体"/>
                <w:kern w:val="0"/>
                <w:sz w:val="24"/>
              </w:rPr>
              <w:t>方案</w:t>
            </w:r>
            <w:r>
              <w:rPr>
                <w:rFonts w:hint="eastAsia" w:ascii="宋体" w:hAnsi="宋体" w:cs="宋体"/>
                <w:kern w:val="0"/>
                <w:sz w:val="24"/>
              </w:rPr>
              <w:t>内容包括但不限于：</w:t>
            </w:r>
          </w:p>
          <w:p w14:paraId="773AC749">
            <w:pPr>
              <w:widowControl/>
              <w:jc w:val="left"/>
              <w:rPr>
                <w:rFonts w:ascii="宋体" w:hAnsi="宋体" w:cs="宋体"/>
                <w:kern w:val="0"/>
                <w:sz w:val="24"/>
              </w:rPr>
            </w:pPr>
            <w:r>
              <w:rPr>
                <w:rFonts w:hint="eastAsia" w:ascii="宋体" w:hAnsi="宋体" w:cs="宋体"/>
                <w:kern w:val="0"/>
                <w:sz w:val="24"/>
              </w:rPr>
              <w:t>1.供货周期及进度安排</w:t>
            </w:r>
          </w:p>
          <w:p w14:paraId="24FC3EDF">
            <w:pPr>
              <w:widowControl/>
              <w:jc w:val="left"/>
              <w:rPr>
                <w:rFonts w:ascii="宋体" w:hAnsi="宋体" w:cs="宋体"/>
                <w:kern w:val="0"/>
                <w:sz w:val="24"/>
              </w:rPr>
            </w:pPr>
            <w:r>
              <w:rPr>
                <w:rFonts w:hint="eastAsia" w:ascii="宋体" w:hAnsi="宋体" w:cs="宋体"/>
                <w:kern w:val="0"/>
                <w:sz w:val="24"/>
              </w:rPr>
              <w:t>2.安装调试计划</w:t>
            </w:r>
          </w:p>
          <w:p w14:paraId="7C04B485">
            <w:pPr>
              <w:widowControl/>
              <w:jc w:val="left"/>
              <w:rPr>
                <w:rFonts w:ascii="宋体" w:hAnsi="宋体" w:cs="宋体"/>
                <w:kern w:val="0"/>
                <w:sz w:val="24"/>
              </w:rPr>
            </w:pPr>
            <w:r>
              <w:rPr>
                <w:rFonts w:hint="eastAsia" w:ascii="宋体" w:hAnsi="宋体" w:cs="宋体"/>
                <w:kern w:val="0"/>
                <w:sz w:val="24"/>
              </w:rPr>
              <w:t>3.质量保障措施</w:t>
            </w:r>
          </w:p>
          <w:p w14:paraId="5B8E4568">
            <w:pPr>
              <w:widowControl/>
              <w:jc w:val="left"/>
              <w:rPr>
                <w:rFonts w:ascii="宋体" w:hAnsi="宋体" w:cs="宋体"/>
                <w:kern w:val="0"/>
                <w:sz w:val="24"/>
              </w:rPr>
            </w:pPr>
            <w:r>
              <w:rPr>
                <w:rFonts w:hint="eastAsia" w:ascii="宋体" w:hAnsi="宋体" w:cs="宋体"/>
                <w:kern w:val="0"/>
                <w:sz w:val="24"/>
              </w:rPr>
              <w:t>4.验收服务方案</w:t>
            </w:r>
          </w:p>
          <w:p w14:paraId="7C09809E">
            <w:pPr>
              <w:widowControl/>
              <w:jc w:val="left"/>
              <w:rPr>
                <w:rFonts w:ascii="宋体" w:hAnsi="宋体" w:cs="宋体"/>
                <w:kern w:val="0"/>
                <w:sz w:val="24"/>
              </w:rPr>
            </w:pPr>
            <w:r>
              <w:rPr>
                <w:rFonts w:hint="eastAsia" w:ascii="宋体" w:hAnsi="宋体" w:cs="宋体"/>
                <w:kern w:val="0"/>
                <w:sz w:val="24"/>
              </w:rPr>
              <w:t>方案内容详细，专门针对本项目，符合采购需求和实际情况视为“符合”；</w:t>
            </w:r>
          </w:p>
          <w:p w14:paraId="13982570">
            <w:pPr>
              <w:widowControl/>
              <w:jc w:val="left"/>
              <w:rPr>
                <w:rFonts w:ascii="宋体" w:hAnsi="宋体" w:cs="宋体"/>
                <w:kern w:val="0"/>
                <w:sz w:val="24"/>
              </w:rPr>
            </w:pPr>
            <w:r>
              <w:rPr>
                <w:rFonts w:hint="eastAsia" w:ascii="宋体" w:hAnsi="宋体" w:cs="宋体"/>
                <w:kern w:val="0"/>
                <w:sz w:val="24"/>
              </w:rPr>
              <w:t>方案内容属于通用类，非专门针对本项目，部分符合实际情况视为“部分符合”；</w:t>
            </w:r>
          </w:p>
          <w:p w14:paraId="4EE0ECDD">
            <w:pPr>
              <w:widowControl/>
              <w:jc w:val="left"/>
              <w:rPr>
                <w:rFonts w:ascii="宋体" w:hAnsi="宋体" w:cs="宋体"/>
                <w:kern w:val="0"/>
                <w:sz w:val="24"/>
              </w:rPr>
            </w:pPr>
            <w:r>
              <w:rPr>
                <w:rFonts w:hint="eastAsia" w:ascii="宋体" w:hAnsi="宋体" w:cs="宋体"/>
                <w:kern w:val="0"/>
                <w:sz w:val="24"/>
              </w:rPr>
              <w:t>方案内容简单，阐述内容无法满足项目需求，不符合实际情况或未提供视为“不符合”。</w:t>
            </w:r>
          </w:p>
          <w:p w14:paraId="25EBB673">
            <w:pPr>
              <w:widowControl/>
              <w:jc w:val="left"/>
              <w:rPr>
                <w:rFonts w:ascii="宋体" w:hAnsi="宋体" w:cs="宋体"/>
                <w:kern w:val="0"/>
                <w:sz w:val="24"/>
              </w:rPr>
            </w:pPr>
            <w:r>
              <w:rPr>
                <w:rFonts w:hint="eastAsia" w:ascii="宋体" w:hAnsi="宋体" w:cs="宋体"/>
                <w:kern w:val="0"/>
                <w:sz w:val="24"/>
              </w:rPr>
              <w:t>以上每有一项“符合”得2分，每有一项“部分符合”得1分，“不符合”得</w:t>
            </w:r>
            <w:r>
              <w:rPr>
                <w:rFonts w:ascii="宋体" w:hAnsi="宋体" w:cs="宋体"/>
                <w:kern w:val="0"/>
                <w:sz w:val="24"/>
              </w:rPr>
              <w:t>0</w:t>
            </w:r>
            <w:r>
              <w:rPr>
                <w:rFonts w:hint="eastAsia" w:ascii="宋体" w:hAnsi="宋体" w:cs="宋体"/>
                <w:kern w:val="0"/>
                <w:sz w:val="24"/>
              </w:rPr>
              <w:t>分，本项最高得8分。</w:t>
            </w:r>
          </w:p>
        </w:tc>
      </w:tr>
      <w:tr w14:paraId="70F5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74" w:type="pct"/>
            <w:noWrap/>
            <w:vAlign w:val="center"/>
          </w:tcPr>
          <w:p w14:paraId="7E476C9B">
            <w:pPr>
              <w:jc w:val="center"/>
              <w:rPr>
                <w:rFonts w:ascii="宋体" w:hAnsi="宋体" w:cs="宋体"/>
                <w:sz w:val="24"/>
              </w:rPr>
            </w:pPr>
            <w:bookmarkStart w:id="893" w:name="_GoBack" w:colFirst="3" w:colLast="3"/>
            <w:r>
              <w:rPr>
                <w:rFonts w:hint="eastAsia" w:ascii="宋体" w:hAnsi="宋体" w:cs="宋体"/>
                <w:sz w:val="24"/>
              </w:rPr>
              <w:t>3</w:t>
            </w:r>
          </w:p>
        </w:tc>
        <w:tc>
          <w:tcPr>
            <w:tcW w:w="1242" w:type="dxa"/>
            <w:noWrap/>
            <w:vAlign w:val="center"/>
          </w:tcPr>
          <w:p w14:paraId="151E7684">
            <w:pPr>
              <w:widowControl/>
              <w:jc w:val="center"/>
              <w:rPr>
                <w:rFonts w:ascii="宋体" w:hAnsi="宋体"/>
                <w:sz w:val="24"/>
              </w:rPr>
            </w:pPr>
            <w:r>
              <w:rPr>
                <w:rFonts w:hint="eastAsia" w:ascii="宋体" w:hAnsi="宋体"/>
                <w:sz w:val="24"/>
              </w:rPr>
              <w:t>售后及培训服务方案</w:t>
            </w:r>
          </w:p>
        </w:tc>
        <w:tc>
          <w:tcPr>
            <w:tcW w:w="755" w:type="dxa"/>
            <w:noWrap/>
            <w:vAlign w:val="center"/>
          </w:tcPr>
          <w:p w14:paraId="4CB55156">
            <w:pPr>
              <w:widowControl/>
              <w:jc w:val="center"/>
              <w:rPr>
                <w:rFonts w:ascii="宋体" w:hAnsi="宋体"/>
                <w:sz w:val="24"/>
              </w:rPr>
            </w:pPr>
            <w:r>
              <w:rPr>
                <w:rFonts w:hint="eastAsia" w:ascii="宋体" w:hAnsi="宋体"/>
                <w:sz w:val="24"/>
              </w:rPr>
              <w:t>8</w:t>
            </w:r>
          </w:p>
        </w:tc>
        <w:tc>
          <w:tcPr>
            <w:tcW w:w="5663" w:type="dxa"/>
            <w:noWrap/>
            <w:vAlign w:val="center"/>
          </w:tcPr>
          <w:p w14:paraId="62FE3099">
            <w:pPr>
              <w:widowControl/>
              <w:jc w:val="left"/>
              <w:rPr>
                <w:rFonts w:ascii="宋体" w:hAnsi="宋体" w:cs="宋体"/>
                <w:kern w:val="0"/>
                <w:sz w:val="24"/>
              </w:rPr>
            </w:pPr>
            <w:r>
              <w:rPr>
                <w:rFonts w:hint="eastAsia" w:ascii="宋体" w:hAnsi="宋体" w:cs="宋体"/>
                <w:kern w:val="0"/>
                <w:sz w:val="24"/>
              </w:rPr>
              <w:t>对投标人提供的“</w:t>
            </w:r>
            <w:r>
              <w:rPr>
                <w:rFonts w:hint="eastAsia" w:ascii="宋体" w:hAnsi="宋体"/>
                <w:sz w:val="24"/>
              </w:rPr>
              <w:t>售后及培训服务方案</w:t>
            </w:r>
            <w:r>
              <w:rPr>
                <w:rFonts w:hint="eastAsia" w:ascii="宋体" w:hAnsi="宋体" w:cs="宋体"/>
                <w:kern w:val="0"/>
                <w:sz w:val="24"/>
              </w:rPr>
              <w:t>”进行综合评审，</w:t>
            </w:r>
            <w:r>
              <w:rPr>
                <w:rFonts w:ascii="宋体" w:hAnsi="宋体" w:cs="宋体"/>
                <w:kern w:val="0"/>
                <w:sz w:val="24"/>
              </w:rPr>
              <w:t>方案</w:t>
            </w:r>
            <w:r>
              <w:rPr>
                <w:rFonts w:hint="eastAsia" w:ascii="宋体" w:hAnsi="宋体" w:cs="宋体"/>
                <w:kern w:val="0"/>
                <w:sz w:val="24"/>
              </w:rPr>
              <w:t>内容包括但不限于：</w:t>
            </w:r>
          </w:p>
          <w:p w14:paraId="4C9B4E0D">
            <w:pPr>
              <w:widowControl/>
              <w:jc w:val="left"/>
              <w:rPr>
                <w:rFonts w:ascii="宋体" w:hAnsi="宋体" w:cs="宋体"/>
                <w:kern w:val="0"/>
                <w:sz w:val="24"/>
              </w:rPr>
            </w:pPr>
            <w:r>
              <w:rPr>
                <w:rFonts w:hint="eastAsia" w:ascii="宋体" w:hAnsi="宋体" w:cs="宋体"/>
                <w:kern w:val="0"/>
                <w:sz w:val="24"/>
              </w:rPr>
              <w:t>1.售后服务承诺及保障措施</w:t>
            </w:r>
          </w:p>
          <w:p w14:paraId="7D0E14D9">
            <w:pPr>
              <w:widowControl/>
              <w:jc w:val="left"/>
              <w:rPr>
                <w:rFonts w:ascii="宋体" w:hAnsi="宋体" w:cs="宋体"/>
                <w:kern w:val="0"/>
                <w:sz w:val="24"/>
              </w:rPr>
            </w:pPr>
            <w:r>
              <w:rPr>
                <w:rFonts w:hint="eastAsia" w:ascii="宋体" w:hAnsi="宋体" w:cs="宋体"/>
                <w:kern w:val="0"/>
                <w:sz w:val="24"/>
              </w:rPr>
              <w:t>2.售后响应及处理周期</w:t>
            </w:r>
          </w:p>
          <w:p w14:paraId="2042B7A7">
            <w:pPr>
              <w:widowControl/>
              <w:jc w:val="left"/>
              <w:rPr>
                <w:rFonts w:ascii="宋体" w:hAnsi="宋体" w:cs="宋体"/>
                <w:kern w:val="0"/>
                <w:sz w:val="24"/>
              </w:rPr>
            </w:pPr>
            <w:r>
              <w:rPr>
                <w:rFonts w:hint="eastAsia" w:ascii="宋体" w:hAnsi="宋体" w:cs="宋体"/>
                <w:kern w:val="0"/>
                <w:sz w:val="24"/>
              </w:rPr>
              <w:t>3.售后服务人员配备情况</w:t>
            </w:r>
          </w:p>
          <w:p w14:paraId="3A8C4E05">
            <w:pPr>
              <w:widowControl/>
              <w:jc w:val="left"/>
              <w:rPr>
                <w:rFonts w:ascii="宋体" w:hAnsi="宋体" w:cs="宋体"/>
                <w:kern w:val="0"/>
                <w:sz w:val="24"/>
              </w:rPr>
            </w:pPr>
            <w:r>
              <w:rPr>
                <w:rFonts w:hint="eastAsia" w:ascii="宋体" w:hAnsi="宋体" w:cs="宋体"/>
                <w:kern w:val="0"/>
                <w:sz w:val="24"/>
              </w:rPr>
              <w:t>4.培训服务方案（培训的内容、培训对象、培训时间）</w:t>
            </w:r>
          </w:p>
          <w:p w14:paraId="3399F32E">
            <w:pPr>
              <w:widowControl/>
              <w:jc w:val="left"/>
              <w:rPr>
                <w:rFonts w:ascii="宋体" w:hAnsi="宋体" w:cs="宋体"/>
                <w:kern w:val="0"/>
                <w:sz w:val="24"/>
              </w:rPr>
            </w:pPr>
            <w:r>
              <w:rPr>
                <w:rFonts w:hint="eastAsia" w:ascii="宋体" w:hAnsi="宋体" w:cs="宋体"/>
                <w:kern w:val="0"/>
                <w:sz w:val="24"/>
              </w:rPr>
              <w:t>方案内容详细，专门针对本项目，符合采购需求和实际情况视为“符合”；</w:t>
            </w:r>
          </w:p>
          <w:p w14:paraId="3412EBA0">
            <w:pPr>
              <w:widowControl/>
              <w:jc w:val="left"/>
              <w:rPr>
                <w:rFonts w:ascii="宋体" w:hAnsi="宋体" w:cs="宋体"/>
                <w:kern w:val="0"/>
                <w:sz w:val="24"/>
              </w:rPr>
            </w:pPr>
            <w:r>
              <w:rPr>
                <w:rFonts w:hint="eastAsia" w:ascii="宋体" w:hAnsi="宋体" w:cs="宋体"/>
                <w:kern w:val="0"/>
                <w:sz w:val="24"/>
              </w:rPr>
              <w:t>方案内容属于通用类，非专门针对本项目，部分符合实际情况视为“部分符合”；</w:t>
            </w:r>
          </w:p>
          <w:p w14:paraId="54E630A4">
            <w:pPr>
              <w:widowControl/>
              <w:jc w:val="left"/>
              <w:rPr>
                <w:rFonts w:ascii="宋体" w:hAnsi="宋体" w:cs="宋体"/>
                <w:kern w:val="0"/>
                <w:sz w:val="24"/>
              </w:rPr>
            </w:pPr>
            <w:r>
              <w:rPr>
                <w:rFonts w:hint="eastAsia" w:ascii="宋体" w:hAnsi="宋体" w:cs="宋体"/>
                <w:kern w:val="0"/>
                <w:sz w:val="24"/>
              </w:rPr>
              <w:t>方案内容简单，阐述内容无法满足项目需求，不符合实际情况或未提供视为“不符合”。</w:t>
            </w:r>
          </w:p>
          <w:p w14:paraId="1DE4E36A">
            <w:pPr>
              <w:widowControl/>
              <w:rPr>
                <w:rFonts w:ascii="宋体" w:hAnsi="宋体"/>
              </w:rPr>
            </w:pPr>
            <w:r>
              <w:rPr>
                <w:rFonts w:hint="eastAsia" w:ascii="宋体" w:hAnsi="宋体" w:cs="宋体"/>
                <w:kern w:val="0"/>
                <w:sz w:val="24"/>
              </w:rPr>
              <w:t>以上每有一项“符合”得2分，每有一项“部分符合”得1分，“不符合”得</w:t>
            </w:r>
            <w:r>
              <w:rPr>
                <w:rFonts w:ascii="宋体" w:hAnsi="宋体" w:cs="宋体"/>
                <w:kern w:val="0"/>
                <w:sz w:val="24"/>
              </w:rPr>
              <w:t>0</w:t>
            </w:r>
            <w:r>
              <w:rPr>
                <w:rFonts w:hint="eastAsia" w:ascii="宋体" w:hAnsi="宋体" w:cs="宋体"/>
                <w:kern w:val="0"/>
                <w:sz w:val="24"/>
              </w:rPr>
              <w:t>分，本项最高得8分。</w:t>
            </w:r>
          </w:p>
        </w:tc>
      </w:tr>
      <w:bookmarkEnd w:id="893"/>
    </w:tbl>
    <w:p w14:paraId="05D47C24">
      <w:pPr>
        <w:pStyle w:val="11"/>
      </w:pPr>
    </w:p>
    <w:p w14:paraId="43AB36FC">
      <w:pPr>
        <w:widowControl/>
        <w:jc w:val="left"/>
        <w:rPr>
          <w:rFonts w:ascii="宋体" w:hAnsi="宋体" w:cs="宋体"/>
          <w:b/>
          <w:sz w:val="24"/>
        </w:rPr>
      </w:pPr>
      <w:r>
        <w:rPr>
          <w:rFonts w:hint="eastAsia" w:ascii="宋体" w:hAnsi="宋体" w:cs="宋体"/>
          <w:b/>
          <w:sz w:val="24"/>
        </w:rPr>
        <w:br w:type="page"/>
      </w:r>
    </w:p>
    <w:p w14:paraId="1A694D72">
      <w:pPr>
        <w:spacing w:line="360" w:lineRule="auto"/>
        <w:jc w:val="center"/>
        <w:outlineLvl w:val="0"/>
        <w:rPr>
          <w:rFonts w:ascii="宋体" w:hAnsi="宋体"/>
          <w:b/>
          <w:sz w:val="36"/>
          <w:szCs w:val="36"/>
        </w:rPr>
      </w:pPr>
      <w:bookmarkStart w:id="790" w:name="_Toc221531085"/>
      <w:r>
        <w:rPr>
          <w:rFonts w:ascii="宋体" w:hAnsi="宋体"/>
          <w:b/>
          <w:sz w:val="36"/>
          <w:szCs w:val="36"/>
        </w:rPr>
        <w:t>第五章</w:t>
      </w:r>
      <w:r>
        <w:rPr>
          <w:rFonts w:hint="eastAsia" w:ascii="宋体" w:hAnsi="宋体"/>
          <w:b/>
          <w:sz w:val="36"/>
          <w:szCs w:val="36"/>
        </w:rPr>
        <w:t xml:space="preserve">  </w:t>
      </w:r>
      <w:r>
        <w:rPr>
          <w:rFonts w:ascii="宋体" w:hAnsi="宋体"/>
          <w:b/>
          <w:sz w:val="36"/>
          <w:szCs w:val="36"/>
        </w:rPr>
        <w:t>采购需求</w:t>
      </w:r>
      <w:bookmarkEnd w:id="790"/>
    </w:p>
    <w:p w14:paraId="54CCD778">
      <w:pPr>
        <w:pStyle w:val="39"/>
        <w:numPr>
          <w:ilvl w:val="0"/>
          <w:numId w:val="8"/>
        </w:numPr>
        <w:spacing w:line="360" w:lineRule="auto"/>
        <w:ind w:firstLineChars="0"/>
        <w:contextualSpacing/>
        <w:rPr>
          <w:rFonts w:ascii="宋体" w:hAnsi="宋体" w:cs="宋体"/>
          <w:b/>
          <w:sz w:val="24"/>
          <w:szCs w:val="24"/>
        </w:rPr>
      </w:pPr>
      <w:bookmarkStart w:id="791" w:name="_Toc199365171"/>
      <w:r>
        <w:rPr>
          <w:rFonts w:hint="eastAsia" w:ascii="宋体" w:hAnsi="宋体" w:cs="宋体"/>
          <w:b/>
          <w:sz w:val="24"/>
          <w:szCs w:val="24"/>
        </w:rPr>
        <w:t>采购标的</w:t>
      </w:r>
    </w:p>
    <w:tbl>
      <w:tblPr>
        <w:tblStyle w:val="24"/>
        <w:tblW w:w="8517" w:type="dxa"/>
        <w:tblInd w:w="113" w:type="dxa"/>
        <w:tblLayout w:type="fixed"/>
        <w:tblCellMar>
          <w:top w:w="0" w:type="dxa"/>
          <w:left w:w="108" w:type="dxa"/>
          <w:bottom w:w="0" w:type="dxa"/>
          <w:right w:w="108" w:type="dxa"/>
        </w:tblCellMar>
      </w:tblPr>
      <w:tblGrid>
        <w:gridCol w:w="846"/>
        <w:gridCol w:w="1764"/>
        <w:gridCol w:w="2171"/>
        <w:gridCol w:w="965"/>
        <w:gridCol w:w="879"/>
        <w:gridCol w:w="992"/>
        <w:gridCol w:w="900"/>
      </w:tblGrid>
      <w:tr w14:paraId="732F9A96">
        <w:tblPrEx>
          <w:tblCellMar>
            <w:top w:w="0" w:type="dxa"/>
            <w:left w:w="108" w:type="dxa"/>
            <w:bottom w:w="0" w:type="dxa"/>
            <w:right w:w="108" w:type="dxa"/>
          </w:tblCellMar>
        </w:tblPrEx>
        <w:trPr>
          <w:trHeight w:val="445" w:hRule="atLeast"/>
        </w:trPr>
        <w:tc>
          <w:tcPr>
            <w:tcW w:w="846" w:type="dxa"/>
            <w:tcBorders>
              <w:top w:val="single" w:color="auto" w:sz="4" w:space="0"/>
              <w:left w:val="single" w:color="auto" w:sz="4" w:space="0"/>
              <w:bottom w:val="single" w:color="auto" w:sz="4" w:space="0"/>
              <w:right w:val="single" w:color="auto" w:sz="4" w:space="0"/>
            </w:tcBorders>
            <w:vAlign w:val="center"/>
          </w:tcPr>
          <w:p w14:paraId="5172F44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包号</w:t>
            </w:r>
          </w:p>
        </w:tc>
        <w:tc>
          <w:tcPr>
            <w:tcW w:w="1764" w:type="dxa"/>
            <w:tcBorders>
              <w:top w:val="single" w:color="auto" w:sz="4" w:space="0"/>
              <w:left w:val="nil"/>
              <w:bottom w:val="single" w:color="auto" w:sz="4" w:space="0"/>
              <w:right w:val="single" w:color="auto" w:sz="4" w:space="0"/>
            </w:tcBorders>
            <w:vAlign w:val="center"/>
          </w:tcPr>
          <w:p w14:paraId="42113D6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包名称</w:t>
            </w:r>
          </w:p>
        </w:tc>
        <w:tc>
          <w:tcPr>
            <w:tcW w:w="2171" w:type="dxa"/>
            <w:tcBorders>
              <w:top w:val="single" w:color="auto" w:sz="4" w:space="0"/>
              <w:left w:val="nil"/>
              <w:bottom w:val="single" w:color="auto" w:sz="4" w:space="0"/>
              <w:right w:val="single" w:color="auto" w:sz="4" w:space="0"/>
            </w:tcBorders>
            <w:vAlign w:val="center"/>
          </w:tcPr>
          <w:p w14:paraId="2A6D5F7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标的名称</w:t>
            </w:r>
          </w:p>
        </w:tc>
        <w:tc>
          <w:tcPr>
            <w:tcW w:w="965" w:type="dxa"/>
            <w:tcBorders>
              <w:top w:val="single" w:color="auto" w:sz="4" w:space="0"/>
              <w:left w:val="nil"/>
              <w:bottom w:val="single" w:color="auto" w:sz="4" w:space="0"/>
              <w:right w:val="single" w:color="auto" w:sz="4" w:space="0"/>
            </w:tcBorders>
            <w:vAlign w:val="center"/>
          </w:tcPr>
          <w:p w14:paraId="40F3A01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分包预算金额（万元）</w:t>
            </w:r>
          </w:p>
        </w:tc>
        <w:tc>
          <w:tcPr>
            <w:tcW w:w="879" w:type="dxa"/>
            <w:tcBorders>
              <w:top w:val="single" w:color="auto" w:sz="4" w:space="0"/>
              <w:left w:val="nil"/>
              <w:bottom w:val="single" w:color="auto" w:sz="4" w:space="0"/>
              <w:right w:val="single" w:color="auto" w:sz="4" w:space="0"/>
            </w:tcBorders>
            <w:vAlign w:val="center"/>
          </w:tcPr>
          <w:p w14:paraId="5D522A2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数量（台/套）</w:t>
            </w:r>
          </w:p>
        </w:tc>
        <w:tc>
          <w:tcPr>
            <w:tcW w:w="992" w:type="dxa"/>
            <w:tcBorders>
              <w:top w:val="single" w:color="auto" w:sz="4" w:space="0"/>
              <w:left w:val="nil"/>
              <w:bottom w:val="single" w:color="auto" w:sz="4" w:space="0"/>
              <w:right w:val="single" w:color="auto" w:sz="4" w:space="0"/>
            </w:tcBorders>
            <w:vAlign w:val="center"/>
          </w:tcPr>
          <w:p w14:paraId="342763F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分项最高限价（万元）</w:t>
            </w:r>
          </w:p>
        </w:tc>
        <w:tc>
          <w:tcPr>
            <w:tcW w:w="900" w:type="dxa"/>
            <w:tcBorders>
              <w:top w:val="single" w:color="auto" w:sz="4" w:space="0"/>
              <w:left w:val="nil"/>
              <w:bottom w:val="single" w:color="auto" w:sz="4" w:space="0"/>
              <w:right w:val="single" w:color="auto" w:sz="4" w:space="0"/>
            </w:tcBorders>
            <w:vAlign w:val="center"/>
          </w:tcPr>
          <w:p w14:paraId="6633FAF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是否为核心产品</w:t>
            </w:r>
          </w:p>
        </w:tc>
      </w:tr>
      <w:tr w14:paraId="237B882A">
        <w:tblPrEx>
          <w:tblCellMar>
            <w:top w:w="0" w:type="dxa"/>
            <w:left w:w="108" w:type="dxa"/>
            <w:bottom w:w="0" w:type="dxa"/>
            <w:right w:w="108" w:type="dxa"/>
          </w:tblCellMar>
        </w:tblPrEx>
        <w:trPr>
          <w:trHeight w:val="445" w:hRule="atLeast"/>
        </w:trPr>
        <w:tc>
          <w:tcPr>
            <w:tcW w:w="846" w:type="dxa"/>
            <w:tcBorders>
              <w:top w:val="nil"/>
              <w:left w:val="single" w:color="auto" w:sz="4" w:space="0"/>
              <w:bottom w:val="single" w:color="auto" w:sz="4" w:space="0"/>
              <w:right w:val="single" w:color="auto" w:sz="4" w:space="0"/>
            </w:tcBorders>
            <w:noWrap/>
            <w:vAlign w:val="center"/>
          </w:tcPr>
          <w:p w14:paraId="044A69ED">
            <w:pPr>
              <w:widowControl/>
              <w:jc w:val="center"/>
              <w:rPr>
                <w:rFonts w:ascii="宋体" w:hAnsi="宋体" w:cs="宋体"/>
                <w:color w:val="000000"/>
                <w:kern w:val="0"/>
                <w:sz w:val="22"/>
                <w:szCs w:val="22"/>
              </w:rPr>
            </w:pPr>
            <w:r>
              <w:rPr>
                <w:rFonts w:hint="eastAsia" w:ascii="宋体" w:hAnsi="宋体" w:cs="宋体"/>
                <w:color w:val="000000"/>
                <w:kern w:val="0"/>
                <w:sz w:val="22"/>
                <w:szCs w:val="22"/>
              </w:rPr>
              <w:t>05包</w:t>
            </w:r>
          </w:p>
        </w:tc>
        <w:tc>
          <w:tcPr>
            <w:tcW w:w="1764" w:type="dxa"/>
            <w:tcBorders>
              <w:top w:val="nil"/>
              <w:left w:val="nil"/>
              <w:bottom w:val="single" w:color="auto" w:sz="4" w:space="0"/>
              <w:right w:val="single" w:color="auto" w:sz="4" w:space="0"/>
            </w:tcBorders>
            <w:vAlign w:val="center"/>
          </w:tcPr>
          <w:p w14:paraId="35CE5F46">
            <w:pPr>
              <w:widowControl/>
              <w:jc w:val="center"/>
              <w:rPr>
                <w:rFonts w:ascii="宋体" w:hAnsi="宋体" w:cs="宋体"/>
                <w:color w:val="000000"/>
                <w:kern w:val="0"/>
                <w:sz w:val="22"/>
                <w:szCs w:val="22"/>
              </w:rPr>
            </w:pPr>
            <w:r>
              <w:rPr>
                <w:rFonts w:hint="eastAsia" w:ascii="宋体" w:hAnsi="宋体" w:cs="宋体"/>
                <w:color w:val="000000"/>
                <w:kern w:val="0"/>
                <w:sz w:val="22"/>
                <w:szCs w:val="22"/>
              </w:rPr>
              <w:t>全自动PCR分析系统</w:t>
            </w:r>
          </w:p>
        </w:tc>
        <w:tc>
          <w:tcPr>
            <w:tcW w:w="2171" w:type="dxa"/>
            <w:tcBorders>
              <w:top w:val="nil"/>
              <w:left w:val="nil"/>
              <w:bottom w:val="single" w:color="auto" w:sz="4" w:space="0"/>
              <w:right w:val="single" w:color="auto" w:sz="4" w:space="0"/>
            </w:tcBorders>
            <w:vAlign w:val="center"/>
          </w:tcPr>
          <w:p w14:paraId="4929C06B">
            <w:pPr>
              <w:widowControl/>
              <w:jc w:val="center"/>
              <w:rPr>
                <w:rFonts w:ascii="宋体" w:hAnsi="宋体" w:cs="宋体"/>
                <w:color w:val="000000"/>
                <w:kern w:val="0"/>
                <w:sz w:val="22"/>
                <w:szCs w:val="22"/>
              </w:rPr>
            </w:pPr>
            <w:r>
              <w:rPr>
                <w:rFonts w:hint="eastAsia" w:ascii="宋体" w:hAnsi="宋体" w:cs="宋体"/>
                <w:color w:val="000000"/>
                <w:kern w:val="0"/>
                <w:sz w:val="22"/>
                <w:szCs w:val="22"/>
              </w:rPr>
              <w:t>全自动PCR分析系统</w:t>
            </w:r>
          </w:p>
        </w:tc>
        <w:tc>
          <w:tcPr>
            <w:tcW w:w="965" w:type="dxa"/>
            <w:tcBorders>
              <w:top w:val="nil"/>
              <w:left w:val="nil"/>
              <w:bottom w:val="single" w:color="auto" w:sz="4" w:space="0"/>
              <w:right w:val="nil"/>
            </w:tcBorders>
            <w:vAlign w:val="center"/>
          </w:tcPr>
          <w:p w14:paraId="61C7A75B">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30.00 </w:t>
            </w:r>
          </w:p>
        </w:tc>
        <w:tc>
          <w:tcPr>
            <w:tcW w:w="879" w:type="dxa"/>
            <w:tcBorders>
              <w:top w:val="nil"/>
              <w:left w:val="single" w:color="auto" w:sz="4" w:space="0"/>
              <w:bottom w:val="single" w:color="auto" w:sz="4" w:space="0"/>
              <w:right w:val="single" w:color="auto" w:sz="4" w:space="0"/>
            </w:tcBorders>
            <w:vAlign w:val="center"/>
          </w:tcPr>
          <w:p w14:paraId="436C29C5">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color="auto" w:sz="4" w:space="0"/>
              <w:right w:val="single" w:color="auto" w:sz="4" w:space="0"/>
            </w:tcBorders>
            <w:vAlign w:val="center"/>
          </w:tcPr>
          <w:p w14:paraId="278B50FF">
            <w:pPr>
              <w:widowControl/>
              <w:jc w:val="center"/>
              <w:rPr>
                <w:rFonts w:ascii="宋体" w:hAnsi="宋体" w:cs="宋体"/>
                <w:color w:val="000000"/>
                <w:kern w:val="0"/>
                <w:sz w:val="22"/>
                <w:szCs w:val="22"/>
              </w:rPr>
            </w:pPr>
            <w:r>
              <w:rPr>
                <w:rFonts w:ascii="宋体" w:hAnsi="宋体" w:cs="宋体"/>
                <w:color w:val="000000"/>
                <w:kern w:val="0"/>
                <w:sz w:val="22"/>
                <w:szCs w:val="22"/>
              </w:rPr>
              <w:t>30</w:t>
            </w:r>
          </w:p>
        </w:tc>
        <w:tc>
          <w:tcPr>
            <w:tcW w:w="900" w:type="dxa"/>
            <w:tcBorders>
              <w:top w:val="nil"/>
              <w:left w:val="nil"/>
              <w:bottom w:val="single" w:color="auto" w:sz="4" w:space="0"/>
              <w:right w:val="single" w:color="auto" w:sz="4" w:space="0"/>
            </w:tcBorders>
            <w:vAlign w:val="center"/>
          </w:tcPr>
          <w:p w14:paraId="26AF05BA">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76237A86">
        <w:tblPrEx>
          <w:tblCellMar>
            <w:top w:w="0" w:type="dxa"/>
            <w:left w:w="108" w:type="dxa"/>
            <w:bottom w:w="0" w:type="dxa"/>
            <w:right w:w="108" w:type="dxa"/>
          </w:tblCellMar>
        </w:tblPrEx>
        <w:trPr>
          <w:trHeight w:val="445" w:hRule="atLeast"/>
        </w:trPr>
        <w:tc>
          <w:tcPr>
            <w:tcW w:w="846" w:type="dxa"/>
            <w:tcBorders>
              <w:top w:val="nil"/>
              <w:left w:val="single" w:color="auto" w:sz="4" w:space="0"/>
              <w:bottom w:val="single" w:color="000000" w:sz="4" w:space="0"/>
              <w:right w:val="single" w:color="auto" w:sz="4" w:space="0"/>
            </w:tcBorders>
            <w:noWrap/>
            <w:vAlign w:val="center"/>
          </w:tcPr>
          <w:p w14:paraId="552373B2">
            <w:pPr>
              <w:widowControl/>
              <w:jc w:val="center"/>
              <w:rPr>
                <w:rFonts w:ascii="宋体" w:hAnsi="宋体" w:cs="宋体"/>
                <w:color w:val="000000"/>
                <w:kern w:val="0"/>
                <w:sz w:val="22"/>
                <w:szCs w:val="22"/>
              </w:rPr>
            </w:pPr>
            <w:r>
              <w:rPr>
                <w:rFonts w:hint="eastAsia" w:ascii="宋体" w:hAnsi="宋体" w:cs="宋体"/>
                <w:color w:val="000000"/>
                <w:kern w:val="0"/>
                <w:sz w:val="22"/>
                <w:szCs w:val="22"/>
              </w:rPr>
              <w:t>11包</w:t>
            </w:r>
          </w:p>
        </w:tc>
        <w:tc>
          <w:tcPr>
            <w:tcW w:w="1764" w:type="dxa"/>
            <w:tcBorders>
              <w:top w:val="nil"/>
              <w:left w:val="nil"/>
              <w:bottom w:val="single" w:color="auto" w:sz="4" w:space="0"/>
              <w:right w:val="single" w:color="auto" w:sz="4" w:space="0"/>
            </w:tcBorders>
            <w:vAlign w:val="center"/>
          </w:tcPr>
          <w:p w14:paraId="4C1A5598">
            <w:pPr>
              <w:widowControl/>
              <w:jc w:val="center"/>
              <w:rPr>
                <w:rFonts w:ascii="宋体" w:hAnsi="宋体" w:cs="宋体"/>
                <w:color w:val="000000"/>
                <w:kern w:val="0"/>
                <w:sz w:val="22"/>
                <w:szCs w:val="22"/>
              </w:rPr>
            </w:pPr>
            <w:r>
              <w:rPr>
                <w:rFonts w:hint="eastAsia" w:ascii="宋体" w:hAnsi="宋体" w:cs="宋体"/>
                <w:color w:val="000000"/>
                <w:kern w:val="0"/>
                <w:sz w:val="22"/>
                <w:szCs w:val="22"/>
              </w:rPr>
              <w:t>4K 3D内窥镜荧光摄像系统</w:t>
            </w:r>
          </w:p>
        </w:tc>
        <w:tc>
          <w:tcPr>
            <w:tcW w:w="2171" w:type="dxa"/>
            <w:tcBorders>
              <w:top w:val="nil"/>
              <w:left w:val="nil"/>
              <w:bottom w:val="single" w:color="auto" w:sz="4" w:space="0"/>
              <w:right w:val="single" w:color="auto" w:sz="4" w:space="0"/>
            </w:tcBorders>
            <w:vAlign w:val="center"/>
          </w:tcPr>
          <w:p w14:paraId="29529192">
            <w:pPr>
              <w:widowControl/>
              <w:jc w:val="center"/>
              <w:rPr>
                <w:rFonts w:ascii="宋体" w:hAnsi="宋体" w:cs="宋体"/>
                <w:color w:val="000000"/>
                <w:kern w:val="0"/>
                <w:sz w:val="22"/>
                <w:szCs w:val="22"/>
              </w:rPr>
            </w:pPr>
            <w:r>
              <w:rPr>
                <w:rFonts w:hint="eastAsia" w:ascii="宋体" w:hAnsi="宋体" w:cs="宋体"/>
                <w:color w:val="000000"/>
                <w:kern w:val="0"/>
                <w:sz w:val="22"/>
                <w:szCs w:val="22"/>
              </w:rPr>
              <w:t>4K 3D内窥镜荧光摄像系统</w:t>
            </w:r>
          </w:p>
        </w:tc>
        <w:tc>
          <w:tcPr>
            <w:tcW w:w="965" w:type="dxa"/>
            <w:tcBorders>
              <w:top w:val="nil"/>
              <w:left w:val="nil"/>
              <w:bottom w:val="single" w:color="auto" w:sz="4" w:space="0"/>
              <w:right w:val="nil"/>
            </w:tcBorders>
            <w:vAlign w:val="center"/>
          </w:tcPr>
          <w:p w14:paraId="5FA75059">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168.00 </w:t>
            </w:r>
          </w:p>
        </w:tc>
        <w:tc>
          <w:tcPr>
            <w:tcW w:w="879" w:type="dxa"/>
            <w:tcBorders>
              <w:top w:val="nil"/>
              <w:left w:val="single" w:color="auto" w:sz="4" w:space="0"/>
              <w:bottom w:val="single" w:color="auto" w:sz="4" w:space="0"/>
              <w:right w:val="single" w:color="auto" w:sz="4" w:space="0"/>
            </w:tcBorders>
            <w:vAlign w:val="center"/>
          </w:tcPr>
          <w:p w14:paraId="30C25D05">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92" w:type="dxa"/>
            <w:tcBorders>
              <w:top w:val="nil"/>
              <w:left w:val="nil"/>
              <w:bottom w:val="single" w:color="auto" w:sz="4" w:space="0"/>
              <w:right w:val="single" w:color="auto" w:sz="4" w:space="0"/>
            </w:tcBorders>
            <w:vAlign w:val="center"/>
          </w:tcPr>
          <w:p w14:paraId="2B7757DE">
            <w:pPr>
              <w:widowControl/>
              <w:jc w:val="center"/>
              <w:rPr>
                <w:rFonts w:ascii="宋体" w:hAnsi="宋体" w:cs="宋体"/>
                <w:color w:val="000000"/>
                <w:kern w:val="0"/>
                <w:sz w:val="22"/>
                <w:szCs w:val="22"/>
              </w:rPr>
            </w:pPr>
            <w:r>
              <w:rPr>
                <w:rFonts w:hint="eastAsia" w:ascii="宋体" w:hAnsi="宋体" w:cs="宋体"/>
                <w:color w:val="000000"/>
                <w:kern w:val="0"/>
                <w:sz w:val="22"/>
                <w:szCs w:val="22"/>
              </w:rPr>
              <w:t>168</w:t>
            </w:r>
          </w:p>
        </w:tc>
        <w:tc>
          <w:tcPr>
            <w:tcW w:w="900" w:type="dxa"/>
            <w:tcBorders>
              <w:top w:val="nil"/>
              <w:left w:val="nil"/>
              <w:bottom w:val="single" w:color="auto" w:sz="4" w:space="0"/>
              <w:right w:val="single" w:color="auto" w:sz="4" w:space="0"/>
            </w:tcBorders>
            <w:vAlign w:val="center"/>
          </w:tcPr>
          <w:p w14:paraId="1C72AB54">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221E2903">
        <w:tblPrEx>
          <w:tblCellMar>
            <w:top w:w="0" w:type="dxa"/>
            <w:left w:w="108" w:type="dxa"/>
            <w:bottom w:w="0" w:type="dxa"/>
            <w:right w:w="108" w:type="dxa"/>
          </w:tblCellMar>
        </w:tblPrEx>
        <w:trPr>
          <w:trHeight w:val="445" w:hRule="atLeast"/>
        </w:trPr>
        <w:tc>
          <w:tcPr>
            <w:tcW w:w="846" w:type="dxa"/>
            <w:vMerge w:val="restart"/>
            <w:tcBorders>
              <w:top w:val="nil"/>
              <w:left w:val="single" w:color="auto" w:sz="4" w:space="0"/>
              <w:bottom w:val="single" w:color="000000" w:sz="4" w:space="0"/>
              <w:right w:val="single" w:color="auto" w:sz="4" w:space="0"/>
            </w:tcBorders>
            <w:noWrap/>
            <w:vAlign w:val="center"/>
          </w:tcPr>
          <w:p w14:paraId="4A204BAF">
            <w:pPr>
              <w:widowControl/>
              <w:jc w:val="center"/>
              <w:rPr>
                <w:rFonts w:ascii="宋体" w:hAnsi="宋体" w:cs="宋体"/>
                <w:color w:val="000000"/>
                <w:kern w:val="0"/>
                <w:sz w:val="22"/>
                <w:szCs w:val="22"/>
              </w:rPr>
            </w:pPr>
            <w:r>
              <w:rPr>
                <w:rFonts w:hint="eastAsia" w:ascii="宋体" w:hAnsi="宋体" w:cs="宋体"/>
                <w:color w:val="000000"/>
                <w:kern w:val="0"/>
                <w:sz w:val="22"/>
                <w:szCs w:val="22"/>
              </w:rPr>
              <w:t>18包</w:t>
            </w:r>
          </w:p>
        </w:tc>
        <w:tc>
          <w:tcPr>
            <w:tcW w:w="1764" w:type="dxa"/>
            <w:vMerge w:val="restart"/>
            <w:tcBorders>
              <w:top w:val="nil"/>
              <w:left w:val="single" w:color="auto" w:sz="4" w:space="0"/>
              <w:bottom w:val="single" w:color="000000" w:sz="4" w:space="0"/>
              <w:right w:val="single" w:color="auto" w:sz="4" w:space="0"/>
            </w:tcBorders>
            <w:vAlign w:val="center"/>
          </w:tcPr>
          <w:p w14:paraId="54044CB8">
            <w:pPr>
              <w:widowControl/>
              <w:jc w:val="center"/>
              <w:rPr>
                <w:rFonts w:ascii="宋体" w:hAnsi="宋体" w:cs="宋体"/>
                <w:color w:val="000000"/>
                <w:kern w:val="0"/>
                <w:sz w:val="22"/>
                <w:szCs w:val="22"/>
              </w:rPr>
            </w:pPr>
            <w:r>
              <w:rPr>
                <w:rFonts w:hint="eastAsia" w:ascii="宋体" w:hAnsi="宋体" w:cs="宋体"/>
                <w:color w:val="000000"/>
                <w:kern w:val="0"/>
                <w:sz w:val="22"/>
                <w:szCs w:val="22"/>
              </w:rPr>
              <w:t>射频温控热凝机</w:t>
            </w:r>
          </w:p>
        </w:tc>
        <w:tc>
          <w:tcPr>
            <w:tcW w:w="2171" w:type="dxa"/>
            <w:tcBorders>
              <w:top w:val="nil"/>
              <w:left w:val="nil"/>
              <w:bottom w:val="single" w:color="auto" w:sz="4" w:space="0"/>
              <w:right w:val="single" w:color="auto" w:sz="4" w:space="0"/>
            </w:tcBorders>
            <w:vAlign w:val="center"/>
          </w:tcPr>
          <w:p w14:paraId="44000802">
            <w:pPr>
              <w:widowControl/>
              <w:jc w:val="center"/>
              <w:rPr>
                <w:rFonts w:ascii="宋体" w:hAnsi="宋体" w:cs="宋体"/>
                <w:kern w:val="0"/>
                <w:sz w:val="22"/>
                <w:szCs w:val="22"/>
              </w:rPr>
            </w:pPr>
            <w:r>
              <w:rPr>
                <w:rFonts w:hint="eastAsia" w:ascii="宋体" w:hAnsi="宋体" w:cs="宋体"/>
                <w:kern w:val="0"/>
                <w:sz w:val="22"/>
                <w:szCs w:val="22"/>
              </w:rPr>
              <w:t>射频理疗仪</w:t>
            </w:r>
          </w:p>
        </w:tc>
        <w:tc>
          <w:tcPr>
            <w:tcW w:w="965" w:type="dxa"/>
            <w:vMerge w:val="restart"/>
            <w:tcBorders>
              <w:top w:val="nil"/>
              <w:left w:val="single" w:color="auto" w:sz="4" w:space="0"/>
              <w:bottom w:val="single" w:color="000000" w:sz="4" w:space="0"/>
              <w:right w:val="single" w:color="auto" w:sz="4" w:space="0"/>
            </w:tcBorders>
            <w:vAlign w:val="center"/>
          </w:tcPr>
          <w:p w14:paraId="50401469">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100.00 </w:t>
            </w:r>
          </w:p>
        </w:tc>
        <w:tc>
          <w:tcPr>
            <w:tcW w:w="879" w:type="dxa"/>
            <w:tcBorders>
              <w:top w:val="nil"/>
              <w:left w:val="nil"/>
              <w:bottom w:val="single" w:color="auto" w:sz="4" w:space="0"/>
              <w:right w:val="single" w:color="auto" w:sz="4" w:space="0"/>
            </w:tcBorders>
            <w:vAlign w:val="center"/>
          </w:tcPr>
          <w:p w14:paraId="455BD843">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92" w:type="dxa"/>
            <w:tcBorders>
              <w:top w:val="nil"/>
              <w:left w:val="nil"/>
              <w:bottom w:val="single" w:color="auto" w:sz="4" w:space="0"/>
              <w:right w:val="single" w:color="auto" w:sz="4" w:space="0"/>
            </w:tcBorders>
            <w:vAlign w:val="center"/>
          </w:tcPr>
          <w:p w14:paraId="6F844D31">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900" w:type="dxa"/>
            <w:tcBorders>
              <w:top w:val="nil"/>
              <w:left w:val="nil"/>
              <w:bottom w:val="single" w:color="auto" w:sz="4" w:space="0"/>
              <w:right w:val="single" w:color="auto" w:sz="4" w:space="0"/>
            </w:tcBorders>
            <w:vAlign w:val="center"/>
          </w:tcPr>
          <w:p w14:paraId="41923C40">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33BF48FB">
        <w:tblPrEx>
          <w:tblCellMar>
            <w:top w:w="0" w:type="dxa"/>
            <w:left w:w="108" w:type="dxa"/>
            <w:bottom w:w="0" w:type="dxa"/>
            <w:right w:w="108" w:type="dxa"/>
          </w:tblCellMar>
        </w:tblPrEx>
        <w:trPr>
          <w:trHeight w:val="445" w:hRule="atLeast"/>
        </w:trPr>
        <w:tc>
          <w:tcPr>
            <w:tcW w:w="846" w:type="dxa"/>
            <w:vMerge w:val="continue"/>
            <w:tcBorders>
              <w:top w:val="nil"/>
              <w:left w:val="single" w:color="auto" w:sz="4" w:space="0"/>
              <w:bottom w:val="single" w:color="000000" w:sz="4" w:space="0"/>
              <w:right w:val="single" w:color="auto" w:sz="4" w:space="0"/>
            </w:tcBorders>
            <w:vAlign w:val="center"/>
          </w:tcPr>
          <w:p w14:paraId="7A180FAF">
            <w:pPr>
              <w:widowControl/>
              <w:jc w:val="left"/>
              <w:rPr>
                <w:rFonts w:ascii="宋体" w:hAnsi="宋体" w:cs="宋体"/>
                <w:color w:val="000000"/>
                <w:kern w:val="0"/>
                <w:sz w:val="22"/>
                <w:szCs w:val="22"/>
              </w:rPr>
            </w:pPr>
          </w:p>
        </w:tc>
        <w:tc>
          <w:tcPr>
            <w:tcW w:w="1764" w:type="dxa"/>
            <w:vMerge w:val="continue"/>
            <w:tcBorders>
              <w:top w:val="nil"/>
              <w:left w:val="single" w:color="auto" w:sz="4" w:space="0"/>
              <w:bottom w:val="single" w:color="000000" w:sz="4" w:space="0"/>
              <w:right w:val="single" w:color="auto" w:sz="4" w:space="0"/>
            </w:tcBorders>
            <w:vAlign w:val="center"/>
          </w:tcPr>
          <w:p w14:paraId="081EA43D">
            <w:pPr>
              <w:widowControl/>
              <w:jc w:val="left"/>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1A8F6EC9">
            <w:pPr>
              <w:widowControl/>
              <w:jc w:val="center"/>
              <w:rPr>
                <w:rFonts w:ascii="宋体" w:hAnsi="宋体" w:cs="宋体"/>
                <w:color w:val="000000"/>
                <w:kern w:val="0"/>
                <w:sz w:val="22"/>
                <w:szCs w:val="22"/>
              </w:rPr>
            </w:pPr>
            <w:r>
              <w:rPr>
                <w:rFonts w:hint="eastAsia" w:ascii="宋体" w:hAnsi="宋体" w:cs="宋体"/>
                <w:color w:val="000000"/>
                <w:kern w:val="0"/>
                <w:sz w:val="22"/>
                <w:szCs w:val="22"/>
              </w:rPr>
              <w:t>射频温控热凝机</w:t>
            </w:r>
          </w:p>
        </w:tc>
        <w:tc>
          <w:tcPr>
            <w:tcW w:w="965" w:type="dxa"/>
            <w:vMerge w:val="continue"/>
            <w:tcBorders>
              <w:top w:val="nil"/>
              <w:left w:val="single" w:color="auto" w:sz="4" w:space="0"/>
              <w:bottom w:val="single" w:color="000000" w:sz="4" w:space="0"/>
              <w:right w:val="single" w:color="auto" w:sz="4" w:space="0"/>
            </w:tcBorders>
            <w:vAlign w:val="center"/>
          </w:tcPr>
          <w:p w14:paraId="0B99D875">
            <w:pPr>
              <w:widowControl/>
              <w:jc w:val="left"/>
              <w:rPr>
                <w:rFonts w:ascii="宋体" w:hAnsi="宋体" w:cs="宋体"/>
                <w:color w:val="000000"/>
                <w:kern w:val="0"/>
                <w:sz w:val="22"/>
                <w:szCs w:val="22"/>
              </w:rPr>
            </w:pPr>
          </w:p>
        </w:tc>
        <w:tc>
          <w:tcPr>
            <w:tcW w:w="879" w:type="dxa"/>
            <w:tcBorders>
              <w:top w:val="nil"/>
              <w:left w:val="nil"/>
              <w:bottom w:val="single" w:color="auto" w:sz="4" w:space="0"/>
              <w:right w:val="single" w:color="auto" w:sz="4" w:space="0"/>
            </w:tcBorders>
            <w:vAlign w:val="center"/>
          </w:tcPr>
          <w:p w14:paraId="2811C644">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color="auto" w:sz="4" w:space="0"/>
              <w:right w:val="single" w:color="auto" w:sz="4" w:space="0"/>
            </w:tcBorders>
            <w:vAlign w:val="center"/>
          </w:tcPr>
          <w:p w14:paraId="4CEFD64D">
            <w:pPr>
              <w:widowControl/>
              <w:jc w:val="center"/>
              <w:rPr>
                <w:rFonts w:ascii="宋体" w:hAnsi="宋体" w:cs="宋体"/>
                <w:color w:val="000000"/>
                <w:kern w:val="0"/>
                <w:sz w:val="22"/>
                <w:szCs w:val="22"/>
              </w:rPr>
            </w:pPr>
            <w:r>
              <w:rPr>
                <w:rFonts w:ascii="宋体" w:hAnsi="宋体" w:cs="宋体"/>
                <w:color w:val="000000"/>
                <w:kern w:val="0"/>
                <w:sz w:val="22"/>
                <w:szCs w:val="22"/>
              </w:rPr>
              <w:t>60</w:t>
            </w:r>
          </w:p>
        </w:tc>
        <w:tc>
          <w:tcPr>
            <w:tcW w:w="900" w:type="dxa"/>
            <w:tcBorders>
              <w:top w:val="nil"/>
              <w:left w:val="nil"/>
              <w:bottom w:val="single" w:color="auto" w:sz="4" w:space="0"/>
              <w:right w:val="single" w:color="auto" w:sz="4" w:space="0"/>
            </w:tcBorders>
            <w:vAlign w:val="center"/>
          </w:tcPr>
          <w:p w14:paraId="27FD194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否</w:t>
            </w:r>
          </w:p>
        </w:tc>
      </w:tr>
      <w:tr w14:paraId="0579C920">
        <w:tblPrEx>
          <w:tblCellMar>
            <w:top w:w="0" w:type="dxa"/>
            <w:left w:w="108" w:type="dxa"/>
            <w:bottom w:w="0" w:type="dxa"/>
            <w:right w:w="108" w:type="dxa"/>
          </w:tblCellMar>
        </w:tblPrEx>
        <w:trPr>
          <w:trHeight w:val="445" w:hRule="atLeast"/>
        </w:trPr>
        <w:tc>
          <w:tcPr>
            <w:tcW w:w="846" w:type="dxa"/>
            <w:vMerge w:val="restart"/>
            <w:tcBorders>
              <w:top w:val="nil"/>
              <w:left w:val="single" w:color="auto" w:sz="4" w:space="0"/>
              <w:right w:val="single" w:color="auto" w:sz="4" w:space="0"/>
            </w:tcBorders>
            <w:noWrap/>
            <w:vAlign w:val="center"/>
          </w:tcPr>
          <w:p w14:paraId="1B278DD2">
            <w:pPr>
              <w:widowControl/>
              <w:jc w:val="center"/>
              <w:rPr>
                <w:rFonts w:ascii="宋体" w:hAnsi="宋体" w:cs="宋体"/>
                <w:color w:val="000000"/>
                <w:kern w:val="0"/>
                <w:sz w:val="22"/>
                <w:szCs w:val="22"/>
              </w:rPr>
            </w:pPr>
            <w:r>
              <w:rPr>
                <w:rFonts w:hint="eastAsia" w:ascii="宋体" w:hAnsi="宋体" w:cs="宋体"/>
                <w:color w:val="000000"/>
                <w:kern w:val="0"/>
                <w:sz w:val="22"/>
                <w:szCs w:val="22"/>
              </w:rPr>
              <w:t>25包</w:t>
            </w:r>
          </w:p>
        </w:tc>
        <w:tc>
          <w:tcPr>
            <w:tcW w:w="1764" w:type="dxa"/>
            <w:vMerge w:val="restart"/>
            <w:tcBorders>
              <w:top w:val="nil"/>
              <w:left w:val="nil"/>
              <w:right w:val="single" w:color="auto" w:sz="4" w:space="0"/>
            </w:tcBorders>
            <w:vAlign w:val="center"/>
          </w:tcPr>
          <w:p w14:paraId="577864B0">
            <w:pPr>
              <w:widowControl/>
              <w:jc w:val="center"/>
              <w:rPr>
                <w:rFonts w:ascii="宋体" w:hAnsi="宋体" w:cs="宋体"/>
                <w:color w:val="000000"/>
                <w:kern w:val="0"/>
                <w:sz w:val="22"/>
                <w:szCs w:val="22"/>
              </w:rPr>
            </w:pPr>
            <w:r>
              <w:rPr>
                <w:rFonts w:hint="eastAsia" w:ascii="宋体" w:hAnsi="宋体" w:cs="宋体"/>
                <w:color w:val="000000"/>
                <w:kern w:val="0"/>
                <w:sz w:val="22"/>
                <w:szCs w:val="22"/>
              </w:rPr>
              <w:t>麻醉监护仪等</w:t>
            </w:r>
          </w:p>
        </w:tc>
        <w:tc>
          <w:tcPr>
            <w:tcW w:w="2171" w:type="dxa"/>
            <w:tcBorders>
              <w:top w:val="nil"/>
              <w:left w:val="nil"/>
              <w:bottom w:val="single" w:color="auto" w:sz="4" w:space="0"/>
              <w:right w:val="single" w:color="auto" w:sz="4" w:space="0"/>
            </w:tcBorders>
            <w:vAlign w:val="center"/>
          </w:tcPr>
          <w:p w14:paraId="40BBA501">
            <w:pPr>
              <w:widowControl/>
              <w:jc w:val="center"/>
              <w:rPr>
                <w:rFonts w:ascii="宋体" w:hAnsi="宋体" w:cs="宋体"/>
                <w:color w:val="000000"/>
                <w:kern w:val="0"/>
                <w:sz w:val="22"/>
                <w:szCs w:val="22"/>
              </w:rPr>
            </w:pPr>
            <w:r>
              <w:rPr>
                <w:rFonts w:hint="eastAsia" w:ascii="宋体" w:hAnsi="宋体" w:cs="宋体"/>
                <w:color w:val="000000"/>
                <w:kern w:val="0"/>
                <w:sz w:val="22"/>
                <w:szCs w:val="22"/>
              </w:rPr>
              <w:t>麻醉监护仪</w:t>
            </w:r>
          </w:p>
        </w:tc>
        <w:tc>
          <w:tcPr>
            <w:tcW w:w="965" w:type="dxa"/>
            <w:vMerge w:val="restart"/>
            <w:tcBorders>
              <w:top w:val="nil"/>
              <w:left w:val="nil"/>
              <w:right w:val="nil"/>
            </w:tcBorders>
            <w:vAlign w:val="center"/>
          </w:tcPr>
          <w:p w14:paraId="79B5F4DF">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248.50 </w:t>
            </w:r>
          </w:p>
        </w:tc>
        <w:tc>
          <w:tcPr>
            <w:tcW w:w="879" w:type="dxa"/>
            <w:tcBorders>
              <w:top w:val="nil"/>
              <w:left w:val="single" w:color="auto" w:sz="4" w:space="0"/>
              <w:bottom w:val="single" w:color="auto" w:sz="4" w:space="0"/>
              <w:right w:val="single" w:color="auto" w:sz="4" w:space="0"/>
            </w:tcBorders>
            <w:vAlign w:val="center"/>
          </w:tcPr>
          <w:p w14:paraId="54800339">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992" w:type="dxa"/>
            <w:tcBorders>
              <w:top w:val="nil"/>
              <w:left w:val="nil"/>
              <w:bottom w:val="single" w:color="auto" w:sz="4" w:space="0"/>
              <w:right w:val="single" w:color="auto" w:sz="4" w:space="0"/>
            </w:tcBorders>
            <w:vAlign w:val="center"/>
          </w:tcPr>
          <w:p w14:paraId="4E08976B">
            <w:pPr>
              <w:widowControl/>
              <w:jc w:val="center"/>
              <w:rPr>
                <w:rFonts w:ascii="宋体" w:hAnsi="宋体" w:cs="宋体"/>
                <w:color w:val="000000"/>
                <w:kern w:val="0"/>
                <w:sz w:val="22"/>
                <w:szCs w:val="22"/>
              </w:rPr>
            </w:pPr>
            <w:r>
              <w:rPr>
                <w:rFonts w:ascii="宋体" w:hAnsi="宋体" w:cs="宋体"/>
                <w:color w:val="000000"/>
                <w:kern w:val="0"/>
                <w:sz w:val="22"/>
                <w:szCs w:val="22"/>
              </w:rPr>
              <w:t>77.5</w:t>
            </w:r>
          </w:p>
        </w:tc>
        <w:tc>
          <w:tcPr>
            <w:tcW w:w="900" w:type="dxa"/>
            <w:tcBorders>
              <w:top w:val="nil"/>
              <w:left w:val="nil"/>
              <w:bottom w:val="single" w:color="auto" w:sz="4" w:space="0"/>
              <w:right w:val="single" w:color="auto" w:sz="4" w:space="0"/>
            </w:tcBorders>
            <w:vAlign w:val="center"/>
          </w:tcPr>
          <w:p w14:paraId="3AA5CB6C">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r w14:paraId="512131B1">
        <w:tblPrEx>
          <w:tblCellMar>
            <w:top w:w="0" w:type="dxa"/>
            <w:left w:w="108" w:type="dxa"/>
            <w:bottom w:w="0" w:type="dxa"/>
            <w:right w:w="108" w:type="dxa"/>
          </w:tblCellMar>
        </w:tblPrEx>
        <w:trPr>
          <w:trHeight w:val="445" w:hRule="atLeast"/>
        </w:trPr>
        <w:tc>
          <w:tcPr>
            <w:tcW w:w="846" w:type="dxa"/>
            <w:vMerge w:val="continue"/>
            <w:tcBorders>
              <w:left w:val="single" w:color="auto" w:sz="4" w:space="0"/>
              <w:right w:val="single" w:color="auto" w:sz="4" w:space="0"/>
            </w:tcBorders>
            <w:noWrap/>
            <w:vAlign w:val="center"/>
          </w:tcPr>
          <w:p w14:paraId="2C2590C4">
            <w:pPr>
              <w:widowControl/>
              <w:jc w:val="center"/>
              <w:rPr>
                <w:rFonts w:ascii="宋体" w:hAnsi="宋体" w:cs="宋体"/>
                <w:color w:val="000000"/>
                <w:kern w:val="0"/>
                <w:sz w:val="22"/>
                <w:szCs w:val="22"/>
              </w:rPr>
            </w:pPr>
          </w:p>
        </w:tc>
        <w:tc>
          <w:tcPr>
            <w:tcW w:w="1764" w:type="dxa"/>
            <w:vMerge w:val="continue"/>
            <w:tcBorders>
              <w:left w:val="nil"/>
              <w:right w:val="single" w:color="auto" w:sz="4" w:space="0"/>
            </w:tcBorders>
            <w:vAlign w:val="center"/>
          </w:tcPr>
          <w:p w14:paraId="382F7543">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0FB25ED0">
            <w:pPr>
              <w:widowControl/>
              <w:jc w:val="center"/>
              <w:rPr>
                <w:rFonts w:ascii="宋体" w:hAnsi="宋体" w:cs="宋体"/>
                <w:color w:val="000000"/>
                <w:kern w:val="0"/>
                <w:sz w:val="22"/>
                <w:szCs w:val="22"/>
              </w:rPr>
            </w:pPr>
            <w:r>
              <w:rPr>
                <w:rFonts w:hint="eastAsia" w:ascii="宋体" w:hAnsi="宋体" w:cs="宋体"/>
                <w:color w:val="000000"/>
                <w:kern w:val="0"/>
                <w:sz w:val="22"/>
                <w:szCs w:val="22"/>
              </w:rPr>
              <w:t>医用升温毯</w:t>
            </w:r>
          </w:p>
        </w:tc>
        <w:tc>
          <w:tcPr>
            <w:tcW w:w="965" w:type="dxa"/>
            <w:vMerge w:val="continue"/>
            <w:tcBorders>
              <w:left w:val="nil"/>
              <w:right w:val="nil"/>
            </w:tcBorders>
            <w:vAlign w:val="center"/>
          </w:tcPr>
          <w:p w14:paraId="48EC1260">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389CB49">
            <w:pPr>
              <w:widowControl/>
              <w:jc w:val="center"/>
              <w:rPr>
                <w:rFonts w:ascii="宋体" w:hAnsi="宋体" w:cs="宋体"/>
                <w:color w:val="000000"/>
                <w:kern w:val="0"/>
                <w:sz w:val="22"/>
                <w:szCs w:val="22"/>
              </w:rPr>
            </w:pPr>
            <w:r>
              <w:rPr>
                <w:rFonts w:ascii="宋体" w:hAnsi="宋体" w:cs="宋体"/>
                <w:color w:val="000000"/>
                <w:kern w:val="0"/>
                <w:sz w:val="22"/>
                <w:szCs w:val="22"/>
              </w:rPr>
              <w:t>12</w:t>
            </w:r>
          </w:p>
        </w:tc>
        <w:tc>
          <w:tcPr>
            <w:tcW w:w="992" w:type="dxa"/>
            <w:tcBorders>
              <w:top w:val="nil"/>
              <w:left w:val="nil"/>
              <w:bottom w:val="single" w:color="auto" w:sz="4" w:space="0"/>
              <w:right w:val="single" w:color="auto" w:sz="4" w:space="0"/>
            </w:tcBorders>
            <w:vAlign w:val="center"/>
          </w:tcPr>
          <w:p w14:paraId="78488443">
            <w:pPr>
              <w:widowControl/>
              <w:jc w:val="center"/>
              <w:rPr>
                <w:rFonts w:ascii="宋体" w:hAnsi="宋体" w:cs="宋体"/>
                <w:color w:val="000000"/>
                <w:kern w:val="0"/>
                <w:sz w:val="22"/>
                <w:szCs w:val="22"/>
              </w:rPr>
            </w:pPr>
            <w:r>
              <w:rPr>
                <w:rFonts w:hint="eastAsia" w:ascii="宋体" w:hAnsi="宋体" w:cs="宋体"/>
                <w:color w:val="000000"/>
                <w:kern w:val="0"/>
                <w:sz w:val="22"/>
                <w:szCs w:val="22"/>
              </w:rPr>
              <w:t>26.4</w:t>
            </w:r>
          </w:p>
        </w:tc>
        <w:tc>
          <w:tcPr>
            <w:tcW w:w="900" w:type="dxa"/>
            <w:tcBorders>
              <w:top w:val="nil"/>
              <w:left w:val="nil"/>
              <w:bottom w:val="single" w:color="auto" w:sz="4" w:space="0"/>
              <w:right w:val="single" w:color="auto" w:sz="4" w:space="0"/>
            </w:tcBorders>
            <w:vAlign w:val="center"/>
          </w:tcPr>
          <w:p w14:paraId="1106E8E4">
            <w:pPr>
              <w:widowControl/>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3F25BE1B">
        <w:tblPrEx>
          <w:tblCellMar>
            <w:top w:w="0" w:type="dxa"/>
            <w:left w:w="108" w:type="dxa"/>
            <w:bottom w:w="0" w:type="dxa"/>
            <w:right w:w="108" w:type="dxa"/>
          </w:tblCellMar>
        </w:tblPrEx>
        <w:trPr>
          <w:trHeight w:val="445" w:hRule="atLeast"/>
        </w:trPr>
        <w:tc>
          <w:tcPr>
            <w:tcW w:w="846" w:type="dxa"/>
            <w:vMerge w:val="continue"/>
            <w:tcBorders>
              <w:left w:val="single" w:color="auto" w:sz="4" w:space="0"/>
              <w:right w:val="single" w:color="auto" w:sz="4" w:space="0"/>
            </w:tcBorders>
            <w:noWrap/>
            <w:vAlign w:val="center"/>
          </w:tcPr>
          <w:p w14:paraId="017C3C5B">
            <w:pPr>
              <w:widowControl/>
              <w:jc w:val="center"/>
              <w:rPr>
                <w:rFonts w:ascii="宋体" w:hAnsi="宋体" w:cs="宋体"/>
                <w:color w:val="000000"/>
                <w:kern w:val="0"/>
                <w:sz w:val="22"/>
                <w:szCs w:val="22"/>
              </w:rPr>
            </w:pPr>
          </w:p>
        </w:tc>
        <w:tc>
          <w:tcPr>
            <w:tcW w:w="1764" w:type="dxa"/>
            <w:vMerge w:val="continue"/>
            <w:tcBorders>
              <w:left w:val="nil"/>
              <w:right w:val="single" w:color="auto" w:sz="4" w:space="0"/>
            </w:tcBorders>
            <w:vAlign w:val="center"/>
          </w:tcPr>
          <w:p w14:paraId="16241580">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015989F3">
            <w:pPr>
              <w:widowControl/>
              <w:jc w:val="center"/>
              <w:rPr>
                <w:rFonts w:ascii="宋体" w:hAnsi="宋体" w:cs="宋体"/>
                <w:color w:val="000000"/>
                <w:kern w:val="0"/>
                <w:sz w:val="22"/>
                <w:szCs w:val="22"/>
              </w:rPr>
            </w:pPr>
            <w:r>
              <w:rPr>
                <w:rFonts w:hint="eastAsia" w:ascii="宋体" w:hAnsi="宋体" w:cs="宋体"/>
                <w:color w:val="000000"/>
                <w:kern w:val="0"/>
                <w:sz w:val="22"/>
                <w:szCs w:val="22"/>
              </w:rPr>
              <w:t>输血输液加温器</w:t>
            </w:r>
          </w:p>
        </w:tc>
        <w:tc>
          <w:tcPr>
            <w:tcW w:w="965" w:type="dxa"/>
            <w:vMerge w:val="continue"/>
            <w:tcBorders>
              <w:left w:val="nil"/>
              <w:right w:val="nil"/>
            </w:tcBorders>
            <w:vAlign w:val="center"/>
          </w:tcPr>
          <w:p w14:paraId="630DE1F7">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26A2A925">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992" w:type="dxa"/>
            <w:tcBorders>
              <w:top w:val="nil"/>
              <w:left w:val="nil"/>
              <w:bottom w:val="single" w:color="auto" w:sz="4" w:space="0"/>
              <w:right w:val="single" w:color="auto" w:sz="4" w:space="0"/>
            </w:tcBorders>
            <w:vAlign w:val="center"/>
          </w:tcPr>
          <w:p w14:paraId="493FC70F">
            <w:pPr>
              <w:widowControl/>
              <w:jc w:val="center"/>
              <w:rPr>
                <w:rFonts w:ascii="宋体" w:hAnsi="宋体" w:cs="宋体"/>
                <w:color w:val="000000"/>
                <w:kern w:val="0"/>
                <w:sz w:val="22"/>
                <w:szCs w:val="22"/>
              </w:rPr>
            </w:pPr>
            <w:r>
              <w:rPr>
                <w:rFonts w:ascii="宋体" w:hAnsi="宋体" w:cs="宋体"/>
                <w:color w:val="000000"/>
                <w:kern w:val="0"/>
                <w:sz w:val="22"/>
                <w:szCs w:val="22"/>
              </w:rPr>
              <w:t>36</w:t>
            </w:r>
          </w:p>
        </w:tc>
        <w:tc>
          <w:tcPr>
            <w:tcW w:w="900" w:type="dxa"/>
            <w:tcBorders>
              <w:top w:val="nil"/>
              <w:left w:val="nil"/>
              <w:bottom w:val="single" w:color="auto" w:sz="4" w:space="0"/>
              <w:right w:val="single" w:color="auto" w:sz="4" w:space="0"/>
            </w:tcBorders>
            <w:vAlign w:val="center"/>
          </w:tcPr>
          <w:p w14:paraId="2EC46364">
            <w:pPr>
              <w:widowControl/>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603610FE">
        <w:tblPrEx>
          <w:tblCellMar>
            <w:top w:w="0" w:type="dxa"/>
            <w:left w:w="108" w:type="dxa"/>
            <w:bottom w:w="0" w:type="dxa"/>
            <w:right w:w="108" w:type="dxa"/>
          </w:tblCellMar>
        </w:tblPrEx>
        <w:trPr>
          <w:trHeight w:val="445" w:hRule="atLeast"/>
        </w:trPr>
        <w:tc>
          <w:tcPr>
            <w:tcW w:w="846" w:type="dxa"/>
            <w:vMerge w:val="continue"/>
            <w:tcBorders>
              <w:left w:val="single" w:color="auto" w:sz="4" w:space="0"/>
              <w:right w:val="single" w:color="auto" w:sz="4" w:space="0"/>
            </w:tcBorders>
            <w:noWrap/>
            <w:vAlign w:val="center"/>
          </w:tcPr>
          <w:p w14:paraId="25FAF64A">
            <w:pPr>
              <w:widowControl/>
              <w:jc w:val="center"/>
              <w:rPr>
                <w:rFonts w:ascii="宋体" w:hAnsi="宋体" w:cs="宋体"/>
                <w:color w:val="000000"/>
                <w:kern w:val="0"/>
                <w:sz w:val="22"/>
                <w:szCs w:val="22"/>
              </w:rPr>
            </w:pPr>
          </w:p>
        </w:tc>
        <w:tc>
          <w:tcPr>
            <w:tcW w:w="1764" w:type="dxa"/>
            <w:vMerge w:val="continue"/>
            <w:tcBorders>
              <w:left w:val="nil"/>
              <w:right w:val="single" w:color="auto" w:sz="4" w:space="0"/>
            </w:tcBorders>
            <w:vAlign w:val="center"/>
          </w:tcPr>
          <w:p w14:paraId="27C73E9D">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21B9DCB0">
            <w:pPr>
              <w:widowControl/>
              <w:jc w:val="center"/>
              <w:rPr>
                <w:rFonts w:ascii="宋体" w:hAnsi="宋体" w:cs="宋体"/>
                <w:color w:val="000000"/>
                <w:kern w:val="0"/>
                <w:sz w:val="22"/>
                <w:szCs w:val="22"/>
              </w:rPr>
            </w:pPr>
            <w:r>
              <w:rPr>
                <w:rFonts w:hint="eastAsia" w:ascii="宋体" w:hAnsi="宋体" w:cs="宋体"/>
                <w:color w:val="000000"/>
                <w:kern w:val="0"/>
                <w:sz w:val="22"/>
                <w:szCs w:val="22"/>
              </w:rPr>
              <w:t>靶控注射泵</w:t>
            </w:r>
          </w:p>
        </w:tc>
        <w:tc>
          <w:tcPr>
            <w:tcW w:w="965" w:type="dxa"/>
            <w:vMerge w:val="continue"/>
            <w:tcBorders>
              <w:left w:val="nil"/>
              <w:right w:val="nil"/>
            </w:tcBorders>
            <w:vAlign w:val="center"/>
          </w:tcPr>
          <w:p w14:paraId="725402A2">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1BF5F19F">
            <w:pPr>
              <w:widowControl/>
              <w:jc w:val="center"/>
              <w:rPr>
                <w:rFonts w:ascii="宋体" w:hAnsi="宋体" w:cs="宋体"/>
                <w:color w:val="000000"/>
                <w:kern w:val="0"/>
                <w:sz w:val="22"/>
                <w:szCs w:val="22"/>
              </w:rPr>
            </w:pPr>
            <w:r>
              <w:rPr>
                <w:rFonts w:ascii="宋体" w:hAnsi="宋体" w:cs="宋体"/>
                <w:color w:val="000000"/>
                <w:kern w:val="0"/>
                <w:sz w:val="22"/>
                <w:szCs w:val="22"/>
              </w:rPr>
              <w:t>20</w:t>
            </w:r>
          </w:p>
        </w:tc>
        <w:tc>
          <w:tcPr>
            <w:tcW w:w="992" w:type="dxa"/>
            <w:tcBorders>
              <w:top w:val="nil"/>
              <w:left w:val="nil"/>
              <w:bottom w:val="single" w:color="auto" w:sz="4" w:space="0"/>
              <w:right w:val="single" w:color="auto" w:sz="4" w:space="0"/>
            </w:tcBorders>
            <w:vAlign w:val="center"/>
          </w:tcPr>
          <w:p w14:paraId="45432279">
            <w:pPr>
              <w:widowControl/>
              <w:jc w:val="center"/>
              <w:rPr>
                <w:rFonts w:ascii="宋体" w:hAnsi="宋体" w:cs="宋体"/>
                <w:color w:val="000000"/>
                <w:kern w:val="0"/>
                <w:sz w:val="22"/>
                <w:szCs w:val="22"/>
              </w:rPr>
            </w:pPr>
            <w:r>
              <w:rPr>
                <w:rFonts w:ascii="宋体" w:hAnsi="宋体" w:cs="宋体"/>
                <w:color w:val="000000"/>
                <w:kern w:val="0"/>
                <w:sz w:val="22"/>
                <w:szCs w:val="22"/>
              </w:rPr>
              <w:t>37</w:t>
            </w:r>
          </w:p>
        </w:tc>
        <w:tc>
          <w:tcPr>
            <w:tcW w:w="900" w:type="dxa"/>
            <w:tcBorders>
              <w:top w:val="nil"/>
              <w:left w:val="nil"/>
              <w:bottom w:val="single" w:color="auto" w:sz="4" w:space="0"/>
              <w:right w:val="single" w:color="auto" w:sz="4" w:space="0"/>
            </w:tcBorders>
            <w:vAlign w:val="center"/>
          </w:tcPr>
          <w:p w14:paraId="3B8E6143">
            <w:pPr>
              <w:widowControl/>
              <w:jc w:val="center"/>
              <w:rPr>
                <w:rFonts w:ascii="宋体" w:hAnsi="宋体" w:cs="宋体"/>
                <w:color w:val="000000"/>
                <w:kern w:val="0"/>
                <w:sz w:val="22"/>
                <w:szCs w:val="22"/>
              </w:rPr>
            </w:pPr>
            <w:r>
              <w:rPr>
                <w:rFonts w:hint="eastAsia" w:ascii="宋体" w:hAnsi="宋体" w:cs="宋体"/>
                <w:color w:val="000000"/>
                <w:kern w:val="0"/>
                <w:sz w:val="22"/>
                <w:szCs w:val="22"/>
              </w:rPr>
              <w:t>否</w:t>
            </w:r>
          </w:p>
        </w:tc>
      </w:tr>
      <w:tr w14:paraId="28B08E06">
        <w:tblPrEx>
          <w:tblCellMar>
            <w:top w:w="0" w:type="dxa"/>
            <w:left w:w="108" w:type="dxa"/>
            <w:bottom w:w="0" w:type="dxa"/>
            <w:right w:w="108" w:type="dxa"/>
          </w:tblCellMar>
        </w:tblPrEx>
        <w:trPr>
          <w:trHeight w:val="445" w:hRule="atLeast"/>
        </w:trPr>
        <w:tc>
          <w:tcPr>
            <w:tcW w:w="846" w:type="dxa"/>
            <w:vMerge w:val="continue"/>
            <w:tcBorders>
              <w:left w:val="single" w:color="auto" w:sz="4" w:space="0"/>
              <w:bottom w:val="single" w:color="auto" w:sz="4" w:space="0"/>
              <w:right w:val="single" w:color="auto" w:sz="4" w:space="0"/>
            </w:tcBorders>
            <w:noWrap/>
            <w:vAlign w:val="center"/>
          </w:tcPr>
          <w:p w14:paraId="1536CF52">
            <w:pPr>
              <w:widowControl/>
              <w:jc w:val="center"/>
              <w:rPr>
                <w:rFonts w:ascii="宋体" w:hAnsi="宋体" w:cs="宋体"/>
                <w:color w:val="000000"/>
                <w:kern w:val="0"/>
                <w:sz w:val="22"/>
                <w:szCs w:val="22"/>
              </w:rPr>
            </w:pPr>
          </w:p>
        </w:tc>
        <w:tc>
          <w:tcPr>
            <w:tcW w:w="1764" w:type="dxa"/>
            <w:vMerge w:val="continue"/>
            <w:tcBorders>
              <w:left w:val="nil"/>
              <w:bottom w:val="single" w:color="auto" w:sz="4" w:space="0"/>
              <w:right w:val="single" w:color="auto" w:sz="4" w:space="0"/>
            </w:tcBorders>
            <w:vAlign w:val="center"/>
          </w:tcPr>
          <w:p w14:paraId="72BC379B">
            <w:pPr>
              <w:widowControl/>
              <w:jc w:val="center"/>
              <w:rPr>
                <w:rFonts w:ascii="宋体" w:hAnsi="宋体" w:cs="宋体"/>
                <w:color w:val="000000"/>
                <w:kern w:val="0"/>
                <w:sz w:val="22"/>
                <w:szCs w:val="22"/>
              </w:rPr>
            </w:pPr>
          </w:p>
        </w:tc>
        <w:tc>
          <w:tcPr>
            <w:tcW w:w="2171" w:type="dxa"/>
            <w:tcBorders>
              <w:top w:val="nil"/>
              <w:left w:val="nil"/>
              <w:bottom w:val="single" w:color="auto" w:sz="4" w:space="0"/>
              <w:right w:val="single" w:color="auto" w:sz="4" w:space="0"/>
            </w:tcBorders>
            <w:vAlign w:val="center"/>
          </w:tcPr>
          <w:p w14:paraId="39AE25B4">
            <w:pPr>
              <w:widowControl/>
              <w:jc w:val="center"/>
              <w:rPr>
                <w:rFonts w:ascii="宋体" w:hAnsi="宋体" w:cs="宋体"/>
                <w:color w:val="000000"/>
                <w:kern w:val="0"/>
                <w:sz w:val="22"/>
                <w:szCs w:val="22"/>
              </w:rPr>
            </w:pPr>
            <w:r>
              <w:rPr>
                <w:rFonts w:hint="eastAsia" w:ascii="宋体" w:hAnsi="宋体" w:cs="宋体"/>
                <w:color w:val="000000"/>
                <w:kern w:val="0"/>
                <w:sz w:val="22"/>
                <w:szCs w:val="22"/>
              </w:rPr>
              <w:t>麻醉深度监护仪</w:t>
            </w:r>
          </w:p>
        </w:tc>
        <w:tc>
          <w:tcPr>
            <w:tcW w:w="965" w:type="dxa"/>
            <w:vMerge w:val="continue"/>
            <w:tcBorders>
              <w:left w:val="nil"/>
              <w:bottom w:val="single" w:color="auto" w:sz="4" w:space="0"/>
              <w:right w:val="nil"/>
            </w:tcBorders>
            <w:vAlign w:val="center"/>
          </w:tcPr>
          <w:p w14:paraId="68E92F8C">
            <w:pPr>
              <w:widowControl/>
              <w:jc w:val="center"/>
              <w:rPr>
                <w:rFonts w:ascii="宋体" w:hAnsi="宋体" w:cs="宋体"/>
                <w:color w:val="000000"/>
                <w:kern w:val="0"/>
                <w:sz w:val="22"/>
                <w:szCs w:val="22"/>
              </w:rPr>
            </w:pPr>
          </w:p>
        </w:tc>
        <w:tc>
          <w:tcPr>
            <w:tcW w:w="879" w:type="dxa"/>
            <w:tcBorders>
              <w:top w:val="nil"/>
              <w:left w:val="single" w:color="auto" w:sz="4" w:space="0"/>
              <w:bottom w:val="single" w:color="auto" w:sz="4" w:space="0"/>
              <w:right w:val="single" w:color="auto" w:sz="4" w:space="0"/>
            </w:tcBorders>
            <w:vAlign w:val="center"/>
          </w:tcPr>
          <w:p w14:paraId="54D200CC">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992" w:type="dxa"/>
            <w:tcBorders>
              <w:top w:val="nil"/>
              <w:left w:val="nil"/>
              <w:bottom w:val="single" w:color="auto" w:sz="4" w:space="0"/>
              <w:right w:val="single" w:color="auto" w:sz="4" w:space="0"/>
            </w:tcBorders>
            <w:vAlign w:val="center"/>
          </w:tcPr>
          <w:p w14:paraId="17758461">
            <w:pPr>
              <w:widowControl/>
              <w:jc w:val="center"/>
              <w:rPr>
                <w:rFonts w:ascii="宋体" w:hAnsi="宋体" w:cs="宋体"/>
                <w:color w:val="000000"/>
                <w:kern w:val="0"/>
                <w:sz w:val="22"/>
                <w:szCs w:val="22"/>
              </w:rPr>
            </w:pPr>
            <w:r>
              <w:rPr>
                <w:rFonts w:ascii="宋体" w:hAnsi="宋体" w:cs="宋体"/>
                <w:color w:val="000000"/>
                <w:kern w:val="0"/>
                <w:sz w:val="22"/>
                <w:szCs w:val="22"/>
              </w:rPr>
              <w:t>40</w:t>
            </w:r>
          </w:p>
        </w:tc>
        <w:tc>
          <w:tcPr>
            <w:tcW w:w="900" w:type="dxa"/>
            <w:tcBorders>
              <w:top w:val="nil"/>
              <w:left w:val="nil"/>
              <w:bottom w:val="single" w:color="auto" w:sz="4" w:space="0"/>
              <w:right w:val="single" w:color="auto" w:sz="4" w:space="0"/>
            </w:tcBorders>
            <w:vAlign w:val="center"/>
          </w:tcPr>
          <w:p w14:paraId="126430CB">
            <w:pPr>
              <w:widowControl/>
              <w:jc w:val="center"/>
              <w:rPr>
                <w:rFonts w:ascii="宋体" w:hAnsi="宋体" w:cs="宋体"/>
                <w:color w:val="000000"/>
                <w:kern w:val="0"/>
                <w:sz w:val="22"/>
                <w:szCs w:val="22"/>
              </w:rPr>
            </w:pPr>
            <w:r>
              <w:rPr>
                <w:rFonts w:hint="eastAsia" w:ascii="宋体" w:hAnsi="宋体" w:cs="宋体"/>
                <w:color w:val="000000"/>
                <w:kern w:val="0"/>
                <w:sz w:val="22"/>
                <w:szCs w:val="22"/>
              </w:rPr>
              <w:t>是</w:t>
            </w:r>
          </w:p>
        </w:tc>
      </w:tr>
    </w:tbl>
    <w:p w14:paraId="5930F673">
      <w:pPr>
        <w:pStyle w:val="17"/>
        <w:spacing w:line="360" w:lineRule="auto"/>
        <w:rPr>
          <w:rFonts w:ascii="宋体" w:hAnsi="宋体" w:cs="宋体"/>
          <w:bCs/>
          <w:sz w:val="24"/>
        </w:rPr>
      </w:pPr>
    </w:p>
    <w:p w14:paraId="466B703F">
      <w:pPr>
        <w:pStyle w:val="17"/>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22BDEBE4">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6B0F5CD9">
      <w:pPr>
        <w:pStyle w:val="5"/>
        <w:spacing w:line="360" w:lineRule="auto"/>
        <w:ind w:firstLine="480" w:firstLineChars="200"/>
        <w:rPr>
          <w:rFonts w:hAnsi="宋体" w:cs="宋体"/>
          <w:bCs/>
        </w:rPr>
      </w:pPr>
      <w:r>
        <w:rPr>
          <w:rFonts w:hint="eastAsia" w:hAnsi="宋体" w:cs="宋体"/>
          <w:bCs/>
        </w:rPr>
        <w:t>1.交货时间：</w:t>
      </w:r>
    </w:p>
    <w:p w14:paraId="4769D490">
      <w:pPr>
        <w:numPr>
          <w:ilvl w:val="255"/>
          <w:numId w:val="0"/>
        </w:numPr>
        <w:spacing w:line="360" w:lineRule="auto"/>
        <w:ind w:firstLine="482" w:firstLineChars="200"/>
        <w:rPr>
          <w:rFonts w:ascii="宋体" w:hAnsi="宋体"/>
          <w:b/>
          <w:bCs/>
          <w:sz w:val="24"/>
        </w:rPr>
      </w:pPr>
      <w:r>
        <w:rPr>
          <w:rFonts w:hint="eastAsia" w:ascii="宋体" w:hAnsi="宋体"/>
          <w:b/>
          <w:bCs/>
          <w:sz w:val="24"/>
        </w:rPr>
        <w:t>05包、11包：</w:t>
      </w:r>
    </w:p>
    <w:p w14:paraId="420C6929">
      <w:pPr>
        <w:numPr>
          <w:ilvl w:val="255"/>
          <w:numId w:val="0"/>
        </w:numPr>
        <w:spacing w:line="360" w:lineRule="auto"/>
        <w:ind w:firstLine="480" w:firstLineChars="200"/>
        <w:rPr>
          <w:rFonts w:ascii="宋体" w:hAnsi="宋体" w:cs="宋体"/>
          <w:bCs/>
          <w:color w:val="000000"/>
          <w:sz w:val="24"/>
        </w:rPr>
      </w:pPr>
      <w:r>
        <w:rPr>
          <w:rFonts w:hint="eastAsia" w:ascii="宋体" w:hAnsi="宋体" w:cs="宋体"/>
          <w:sz w:val="24"/>
        </w:rPr>
        <w:t>自合同签订之日起30日内交货并完成安装、调试。</w:t>
      </w:r>
    </w:p>
    <w:p w14:paraId="712B235B">
      <w:pPr>
        <w:numPr>
          <w:ilvl w:val="255"/>
          <w:numId w:val="0"/>
        </w:numPr>
        <w:spacing w:line="360" w:lineRule="auto"/>
        <w:ind w:firstLine="482" w:firstLineChars="200"/>
        <w:rPr>
          <w:rFonts w:ascii="宋体" w:hAnsi="宋体" w:cs="宋体"/>
          <w:b/>
          <w:bCs/>
          <w:sz w:val="24"/>
        </w:rPr>
      </w:pPr>
      <w:r>
        <w:rPr>
          <w:rFonts w:hint="eastAsia" w:ascii="宋体" w:hAnsi="宋体" w:cs="宋体"/>
          <w:b/>
          <w:bCs/>
          <w:sz w:val="24"/>
        </w:rPr>
        <w:t>18包：</w:t>
      </w:r>
    </w:p>
    <w:p w14:paraId="1EF8559E">
      <w:pPr>
        <w:numPr>
          <w:ilvl w:val="255"/>
          <w:numId w:val="0"/>
        </w:numPr>
        <w:spacing w:line="360" w:lineRule="auto"/>
        <w:ind w:firstLine="480" w:firstLineChars="200"/>
        <w:rPr>
          <w:rFonts w:ascii="宋体" w:hAnsi="宋体"/>
          <w:sz w:val="24"/>
        </w:rPr>
      </w:pPr>
      <w:r>
        <w:rPr>
          <w:rFonts w:hint="eastAsia" w:ascii="宋体" w:hAnsi="宋体" w:cs="宋体"/>
          <w:sz w:val="24"/>
        </w:rPr>
        <w:t>（1）射频理疗仪：自合同签订之日起30日内交货并完成安装、调试</w:t>
      </w:r>
      <w:r>
        <w:rPr>
          <w:rFonts w:hint="eastAsia" w:ascii="宋体" w:hAnsi="宋体"/>
          <w:sz w:val="24"/>
        </w:rPr>
        <w:t>；</w:t>
      </w:r>
    </w:p>
    <w:p w14:paraId="37F9561B">
      <w:pPr>
        <w:numPr>
          <w:ilvl w:val="255"/>
          <w:numId w:val="0"/>
        </w:numPr>
        <w:spacing w:line="360" w:lineRule="auto"/>
        <w:ind w:firstLine="480" w:firstLineChars="200"/>
        <w:rPr>
          <w:rFonts w:ascii="宋体" w:hAnsi="宋体"/>
          <w:sz w:val="24"/>
        </w:rPr>
      </w:pPr>
      <w:r>
        <w:rPr>
          <w:rFonts w:hint="eastAsia" w:ascii="宋体" w:hAnsi="宋体"/>
          <w:sz w:val="24"/>
        </w:rPr>
        <w:t>（2）射频温控热凝机：自合同签订之日起10个工作日内交货并完成安装、调试。</w:t>
      </w:r>
    </w:p>
    <w:p w14:paraId="2A710AA6">
      <w:pPr>
        <w:numPr>
          <w:ilvl w:val="255"/>
          <w:numId w:val="0"/>
        </w:numPr>
        <w:spacing w:line="360" w:lineRule="auto"/>
        <w:ind w:firstLine="482" w:firstLineChars="200"/>
        <w:rPr>
          <w:rFonts w:ascii="宋体" w:hAnsi="宋体"/>
          <w:sz w:val="24"/>
        </w:rPr>
      </w:pPr>
      <w:r>
        <w:rPr>
          <w:rFonts w:hint="eastAsia" w:ascii="宋体" w:hAnsi="宋体" w:cs="宋体"/>
          <w:b/>
          <w:bCs/>
          <w:sz w:val="24"/>
        </w:rPr>
        <w:t>25包：</w:t>
      </w:r>
      <w:r>
        <w:rPr>
          <w:rFonts w:hint="eastAsia" w:ascii="宋体" w:hAnsi="宋体" w:cs="宋体"/>
          <w:sz w:val="24"/>
        </w:rPr>
        <w:t>自合同签订之日起30日内交货并完成安装、调试。</w:t>
      </w:r>
    </w:p>
    <w:p w14:paraId="546935ED">
      <w:pPr>
        <w:numPr>
          <w:ilvl w:val="255"/>
          <w:numId w:val="0"/>
        </w:numPr>
        <w:spacing w:line="360" w:lineRule="auto"/>
        <w:ind w:firstLine="420" w:firstLineChars="200"/>
        <w:rPr>
          <w:rFonts w:hAnsi="宋体" w:cs="宋体"/>
          <w:bCs/>
        </w:rPr>
      </w:pPr>
    </w:p>
    <w:p w14:paraId="73691D20">
      <w:pPr>
        <w:pStyle w:val="5"/>
        <w:spacing w:line="360" w:lineRule="auto"/>
        <w:ind w:firstLine="480" w:firstLineChars="200"/>
        <w:rPr>
          <w:rFonts w:hAnsi="宋体" w:cs="宋体"/>
          <w:bCs/>
        </w:rPr>
      </w:pPr>
      <w:r>
        <w:rPr>
          <w:rFonts w:hint="eastAsia" w:hAnsi="宋体" w:cs="宋体"/>
          <w:bCs/>
        </w:rPr>
        <w:t>2.交货地点：采购人指定地点。</w:t>
      </w:r>
    </w:p>
    <w:p w14:paraId="228F543B">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 拟签订的合同文本。</w:t>
      </w:r>
    </w:p>
    <w:p w14:paraId="6F9F1BCB">
      <w:pPr>
        <w:pStyle w:val="16"/>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45FA3C13">
      <w:pPr>
        <w:pStyle w:val="16"/>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2BDF6C29">
      <w:pPr>
        <w:pStyle w:val="5"/>
        <w:spacing w:line="360" w:lineRule="auto"/>
        <w:ind w:firstLine="480" w:firstLineChars="200"/>
        <w:rPr>
          <w:rFonts w:hAnsi="宋体" w:cs="宋体"/>
          <w:bCs/>
        </w:rPr>
      </w:pPr>
      <w:r>
        <w:rPr>
          <w:rFonts w:hint="eastAsia" w:hAnsi="宋体" w:cs="宋体"/>
          <w:bCs/>
        </w:rPr>
        <w:t>1.设备到达指定地点且接到采购人通知后，供应商须安排厂家专职工程师到现场进行安装、调试。供应商须对安装和调试的正确性负责，直至设备正常运行。安装和调试的费用包括在投标价格内。</w:t>
      </w:r>
    </w:p>
    <w:p w14:paraId="354530C5">
      <w:pPr>
        <w:pStyle w:val="5"/>
        <w:spacing w:line="360" w:lineRule="auto"/>
        <w:ind w:firstLine="480" w:firstLineChars="200"/>
        <w:rPr>
          <w:rFonts w:hAnsi="宋体" w:cs="宋体"/>
          <w:bCs/>
        </w:rPr>
      </w:pPr>
      <w:r>
        <w:rPr>
          <w:rFonts w:hint="eastAsia" w:hAnsi="宋体" w:cs="宋体"/>
          <w:bCs/>
        </w:rPr>
        <w:t>2.设备安装后，应按国家标准和厂家标准进行质量验收。供应商应向采购人提供验收标准、验收手册和验收工具，并承担相关费用。如需要进行计量检定，费用由供应商承担。</w:t>
      </w:r>
    </w:p>
    <w:p w14:paraId="3A6CC12B">
      <w:pPr>
        <w:pStyle w:val="5"/>
        <w:spacing w:line="360" w:lineRule="auto"/>
        <w:ind w:firstLine="480" w:firstLineChars="200"/>
        <w:rPr>
          <w:rFonts w:hAnsi="宋体" w:cs="宋体"/>
          <w:bCs/>
        </w:rPr>
      </w:pPr>
      <w:r>
        <w:rPr>
          <w:rFonts w:hint="eastAsia" w:hAnsi="宋体" w:cs="宋体"/>
          <w:bCs/>
        </w:rPr>
        <w:t>3.免费提供中文维护手册1套。</w:t>
      </w:r>
    </w:p>
    <w:p w14:paraId="793B7306">
      <w:pPr>
        <w:pStyle w:val="5"/>
        <w:spacing w:line="360" w:lineRule="auto"/>
        <w:ind w:firstLine="480" w:firstLineChars="200"/>
        <w:rPr>
          <w:rFonts w:hAnsi="宋体" w:cs="宋体"/>
          <w:bCs/>
        </w:rPr>
      </w:pPr>
      <w:r>
        <w:rPr>
          <w:rFonts w:hint="eastAsia" w:hAnsi="宋体" w:cs="宋体"/>
          <w:bCs/>
        </w:rPr>
        <w:t>4.供应商须负责对采购人相关人员进行免费技术培训，直至能够熟练掌握为止。培训内容包括：临床操作使用培训；日常使用保养与管理；设备的基本结构、性能、主要部件的构造及修理，常见故障的排除，紧急情况的处理等。培训人数由采购人确定，培训资料由供应商免费提供。投标文件中应对培训的内容、培训对象、培训时间做出计划。</w:t>
      </w:r>
    </w:p>
    <w:p w14:paraId="78B8964D">
      <w:pPr>
        <w:pStyle w:val="5"/>
        <w:spacing w:line="360" w:lineRule="auto"/>
        <w:ind w:firstLine="480" w:firstLineChars="200"/>
        <w:rPr>
          <w:rFonts w:hAnsi="宋体" w:cs="宋体"/>
          <w:bCs/>
        </w:rPr>
      </w:pPr>
      <w:r>
        <w:rPr>
          <w:rFonts w:hAnsi="宋体"/>
          <w:kern w:val="0"/>
        </w:rPr>
        <w:t>★</w:t>
      </w:r>
      <w:r>
        <w:rPr>
          <w:rFonts w:hint="eastAsia" w:hAnsi="宋体" w:cs="宋体"/>
          <w:bCs/>
        </w:rPr>
        <w:t>5.质量保证期（保修期）：</w:t>
      </w:r>
      <w:r>
        <w:rPr>
          <w:rFonts w:hAnsi="宋体" w:cs="宋体"/>
          <w:bCs/>
        </w:rPr>
        <w:t xml:space="preserve"> </w:t>
      </w:r>
    </w:p>
    <w:p w14:paraId="5C6B022E">
      <w:pPr>
        <w:pStyle w:val="5"/>
        <w:spacing w:line="360" w:lineRule="auto"/>
        <w:rPr>
          <w:rFonts w:hAnsi="宋体" w:cs="宋体"/>
          <w:bCs/>
        </w:rPr>
      </w:pPr>
      <w:r>
        <w:rPr>
          <w:rFonts w:hint="eastAsia" w:hAnsi="宋体" w:cs="宋体"/>
          <w:bCs/>
        </w:rPr>
        <w:t>05包：整机维保≥3年。</w:t>
      </w:r>
    </w:p>
    <w:p w14:paraId="103F8272">
      <w:pPr>
        <w:pStyle w:val="5"/>
        <w:spacing w:line="360" w:lineRule="auto"/>
        <w:rPr>
          <w:rFonts w:hAnsi="宋体" w:cs="宋体"/>
          <w:bCs/>
        </w:rPr>
      </w:pPr>
      <w:r>
        <w:rPr>
          <w:rFonts w:hint="eastAsia" w:hAnsi="宋体" w:cs="宋体"/>
          <w:bCs/>
        </w:rPr>
        <w:t>11包：整机维保≥5年。</w:t>
      </w:r>
    </w:p>
    <w:p w14:paraId="6F7BF9D2">
      <w:pPr>
        <w:pStyle w:val="5"/>
        <w:spacing w:line="360" w:lineRule="auto"/>
        <w:rPr>
          <w:rFonts w:hAnsi="宋体" w:cs="宋体"/>
          <w:bCs/>
        </w:rPr>
      </w:pPr>
      <w:r>
        <w:rPr>
          <w:rFonts w:hint="eastAsia" w:hAnsi="宋体" w:cs="宋体"/>
          <w:bCs/>
        </w:rPr>
        <w:t>18包：整机维保≥5年。</w:t>
      </w:r>
    </w:p>
    <w:p w14:paraId="022BE627">
      <w:pPr>
        <w:pStyle w:val="5"/>
        <w:spacing w:line="360" w:lineRule="auto"/>
      </w:pPr>
      <w:r>
        <w:rPr>
          <w:rFonts w:hint="eastAsia" w:hAnsi="宋体" w:cs="宋体"/>
          <w:bCs/>
        </w:rPr>
        <w:t>25包：整机维保≥5年。</w:t>
      </w:r>
    </w:p>
    <w:p w14:paraId="69291931">
      <w:pPr>
        <w:pStyle w:val="5"/>
        <w:spacing w:line="360" w:lineRule="auto"/>
        <w:ind w:firstLine="480" w:firstLineChars="200"/>
        <w:rPr>
          <w:rFonts w:hAnsi="宋体" w:cs="宋体"/>
          <w:bCs/>
        </w:rPr>
      </w:pPr>
      <w:r>
        <w:rPr>
          <w:rFonts w:hint="eastAsia" w:hAnsi="宋体" w:cs="宋体"/>
          <w:bCs/>
        </w:rPr>
        <w:t>6.售后服务承诺：</w:t>
      </w:r>
    </w:p>
    <w:p w14:paraId="68B86164">
      <w:pPr>
        <w:pStyle w:val="5"/>
        <w:spacing w:line="360" w:lineRule="auto"/>
        <w:ind w:firstLine="480" w:firstLineChars="200"/>
        <w:rPr>
          <w:rFonts w:hAnsi="宋体" w:cs="宋体"/>
          <w:bCs/>
        </w:rPr>
      </w:pPr>
      <w:r>
        <w:rPr>
          <w:rFonts w:hint="eastAsia" w:hAnsi="宋体" w:cs="宋体"/>
          <w:bCs/>
        </w:rPr>
        <w:t>6.1投标人应承诺所投设备中标后在北京地区有维修站（请列明已有维修站或中标后计划建设的维修站详细地址和电话），提供24小时服务支持电话。</w:t>
      </w:r>
    </w:p>
    <w:p w14:paraId="047D1C16">
      <w:pPr>
        <w:pStyle w:val="5"/>
        <w:spacing w:line="360" w:lineRule="auto"/>
        <w:ind w:firstLine="480" w:firstLineChars="200"/>
        <w:rPr>
          <w:rFonts w:hAnsi="宋体" w:cs="宋体"/>
          <w:bCs/>
        </w:rPr>
      </w:pPr>
      <w:r>
        <w:rPr>
          <w:rFonts w:hint="eastAsia" w:hAnsi="宋体" w:cs="宋体"/>
          <w:bCs/>
        </w:rPr>
        <w:t>6.2投标人应承诺开放设备数据接口、提供设备数据格式、接口标准、通讯方式等接口信息。提供软件终身免费升级。</w:t>
      </w:r>
    </w:p>
    <w:p w14:paraId="4EAB3AE7">
      <w:pPr>
        <w:pStyle w:val="5"/>
        <w:spacing w:line="360" w:lineRule="auto"/>
        <w:ind w:firstLine="480" w:firstLineChars="200"/>
        <w:rPr>
          <w:rFonts w:hAnsi="宋体" w:cs="宋体"/>
          <w:bCs/>
        </w:rPr>
      </w:pPr>
      <w:r>
        <w:rPr>
          <w:rFonts w:hint="eastAsia" w:hAnsi="宋体" w:cs="宋体"/>
          <w:bCs/>
        </w:rPr>
        <w:t>6.3投标人应承诺国内有备件库，保证10年（含）以上的零配件供应。</w:t>
      </w:r>
    </w:p>
    <w:p w14:paraId="19FF91A1">
      <w:pPr>
        <w:pStyle w:val="5"/>
        <w:spacing w:line="360" w:lineRule="auto"/>
        <w:ind w:firstLine="480" w:firstLineChars="200"/>
        <w:rPr>
          <w:rFonts w:hAnsi="宋体" w:cs="宋体"/>
          <w:bCs/>
        </w:rPr>
      </w:pPr>
      <w:r>
        <w:rPr>
          <w:rFonts w:hint="eastAsia" w:hAnsi="宋体" w:cs="宋体"/>
          <w:bCs/>
        </w:rPr>
        <w:t>6.4投标人应定期回访采购人，负责设备终身维修，设备维修期间，应提供同型号设备作为备用以满足临床使用。</w:t>
      </w:r>
    </w:p>
    <w:p w14:paraId="7C827B91">
      <w:pPr>
        <w:pStyle w:val="5"/>
        <w:spacing w:line="360" w:lineRule="auto"/>
        <w:ind w:firstLine="480" w:firstLineChars="200"/>
        <w:rPr>
          <w:rFonts w:hAnsi="宋体" w:cs="宋体"/>
          <w:bCs/>
        </w:rPr>
      </w:pPr>
      <w:r>
        <w:rPr>
          <w:rFonts w:hint="eastAsia" w:hAnsi="宋体" w:cs="宋体"/>
          <w:bCs/>
        </w:rPr>
        <w:t>6.5投标人应提供针对本项目的售后服务保障措施。</w:t>
      </w:r>
    </w:p>
    <w:p w14:paraId="34CB5EB7">
      <w:pPr>
        <w:pStyle w:val="5"/>
        <w:spacing w:line="360" w:lineRule="auto"/>
        <w:ind w:firstLine="480" w:firstLineChars="200"/>
        <w:rPr>
          <w:rFonts w:hAnsi="宋体" w:cs="宋体"/>
          <w:bCs/>
        </w:rPr>
      </w:pPr>
      <w:r>
        <w:rPr>
          <w:rFonts w:hint="eastAsia" w:hAnsi="宋体" w:cs="宋体"/>
          <w:bCs/>
        </w:rPr>
        <w:t>7.售后响应及处理周期：接到报修通知后2小时内响应，24小时内到达现场，如24小时内无法修复，供应商应提供应急备用机，投标人应提供针对本项目的售后服务响应时间及处理周期。</w:t>
      </w:r>
    </w:p>
    <w:p w14:paraId="78FD61D4">
      <w:pPr>
        <w:pStyle w:val="5"/>
        <w:spacing w:line="360" w:lineRule="auto"/>
        <w:ind w:firstLine="480" w:firstLineChars="200"/>
        <w:rPr>
          <w:rFonts w:hAnsi="宋体" w:cs="宋体"/>
          <w:bCs/>
        </w:rPr>
      </w:pPr>
      <w:r>
        <w:rPr>
          <w:rFonts w:hint="eastAsia" w:hAnsi="宋体" w:cs="宋体"/>
          <w:bCs/>
        </w:rPr>
        <w:t>8.售后服务人员：具备相关技术能力及资质，负责处理设备出现的各种问题和售后服务，投标人应提提供售后工程师姓名、电话、厂家售后座机、厂家工程师姓名、手机、电子邮箱等人员配置情况。</w:t>
      </w:r>
    </w:p>
    <w:p w14:paraId="2B9EE991">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0A733AB8">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01A04C8F">
      <w:pPr>
        <w:spacing w:line="360" w:lineRule="auto"/>
        <w:ind w:firstLine="480" w:firstLineChars="200"/>
        <w:contextualSpacing/>
        <w:rPr>
          <w:rFonts w:ascii="宋体" w:hAnsi="宋体"/>
          <w:sz w:val="24"/>
        </w:rPr>
      </w:pPr>
      <w:r>
        <w:rPr>
          <w:rFonts w:hint="eastAsia" w:ascii="宋体" w:hAnsi="宋体"/>
          <w:sz w:val="24"/>
        </w:rPr>
        <w:t>1.采购标的需实现的功能或者目标</w:t>
      </w:r>
    </w:p>
    <w:p w14:paraId="7DA5C7C3">
      <w:pPr>
        <w:spacing w:line="360" w:lineRule="auto"/>
        <w:ind w:firstLine="480" w:firstLineChars="200"/>
        <w:contextualSpacing/>
        <w:rPr>
          <w:rFonts w:ascii="宋体" w:hAnsi="宋体"/>
          <w:sz w:val="24"/>
        </w:rPr>
      </w:pPr>
      <w:r>
        <w:rPr>
          <w:rFonts w:hint="eastAsia" w:ascii="宋体" w:hAnsi="宋体"/>
          <w:sz w:val="24"/>
        </w:rPr>
        <w:t>本次采购是“妇产医院医用设备购置（追加）”，供应商应根据招标文件所提出的设备技术规格和服务要求，以满足招标文件要求的产品、优良的货物和优惠的价格，充分显示自己的竞争实力。</w:t>
      </w:r>
    </w:p>
    <w:p w14:paraId="5BED7E6C">
      <w:pPr>
        <w:spacing w:line="360" w:lineRule="auto"/>
        <w:ind w:firstLine="482" w:firstLineChars="200"/>
        <w:contextualSpacing/>
        <w:rPr>
          <w:rFonts w:ascii="宋体" w:hAnsi="宋体" w:cs="宋体"/>
          <w:b/>
          <w:bCs/>
          <w:sz w:val="24"/>
        </w:rPr>
      </w:pPr>
      <w:r>
        <w:rPr>
          <w:rFonts w:hint="eastAsia" w:ascii="宋体" w:hAnsi="宋体" w:cs="宋体"/>
          <w:b/>
          <w:bCs/>
          <w:sz w:val="24"/>
        </w:rPr>
        <w:t>2.需满足国家相关标准、行业标准、地方标准或者其他标准、规范：</w:t>
      </w:r>
    </w:p>
    <w:p w14:paraId="4117E0E8">
      <w:pPr>
        <w:spacing w:line="360" w:lineRule="auto"/>
        <w:ind w:firstLine="480" w:firstLineChars="200"/>
        <w:jc w:val="left"/>
        <w:rPr>
          <w:rFonts w:ascii="宋体" w:hAnsi="宋体" w:cs="宋体"/>
          <w:kern w:val="0"/>
          <w:sz w:val="24"/>
        </w:rPr>
      </w:pPr>
      <w:r>
        <w:rPr>
          <w:rFonts w:hint="eastAsia" w:ascii="宋体" w:hAnsi="宋体" w:cs="宋体"/>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4C1BFECB">
      <w:pPr>
        <w:spacing w:line="360" w:lineRule="auto"/>
        <w:ind w:firstLine="480" w:firstLineChars="200"/>
        <w:jc w:val="left"/>
        <w:rPr>
          <w:rFonts w:ascii="宋体" w:hAnsi="宋体" w:cs="宋体"/>
          <w:kern w:val="0"/>
          <w:sz w:val="24"/>
        </w:rPr>
      </w:pPr>
      <w:r>
        <w:rPr>
          <w:rFonts w:hint="eastAsia" w:ascii="宋体" w:hAnsi="宋体" w:cs="宋体"/>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690A9BC4">
      <w:pPr>
        <w:spacing w:line="360" w:lineRule="auto"/>
        <w:ind w:firstLine="480" w:firstLineChars="200"/>
        <w:jc w:val="left"/>
        <w:rPr>
          <w:rFonts w:ascii="宋体" w:hAnsi="宋体" w:cs="宋体"/>
          <w:kern w:val="0"/>
          <w:sz w:val="24"/>
        </w:rPr>
      </w:pPr>
      <w:r>
        <w:rPr>
          <w:rFonts w:hint="eastAsia" w:ascii="宋体" w:hAnsi="宋体" w:cs="宋体"/>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5706AF3B">
      <w:pPr>
        <w:spacing w:line="360" w:lineRule="auto"/>
        <w:ind w:firstLine="482" w:firstLineChars="200"/>
        <w:jc w:val="left"/>
        <w:rPr>
          <w:rFonts w:ascii="宋体" w:hAnsi="宋体" w:cs="宋体"/>
          <w:b/>
          <w:bCs/>
          <w:sz w:val="24"/>
        </w:rPr>
      </w:pPr>
      <w:r>
        <w:rPr>
          <w:rFonts w:hint="eastAsia" w:ascii="宋体" w:hAnsi="宋体" w:cs="宋体"/>
          <w:b/>
          <w:bCs/>
          <w:sz w:val="24"/>
        </w:rPr>
        <w:t>（二）具体要求</w:t>
      </w:r>
    </w:p>
    <w:p w14:paraId="367D3C08">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05包：</w:t>
      </w:r>
    </w:p>
    <w:p w14:paraId="7D74D153">
      <w:pPr>
        <w:spacing w:line="360" w:lineRule="auto"/>
        <w:ind w:firstLine="426" w:firstLineChars="177"/>
        <w:rPr>
          <w:rFonts w:ascii="宋体" w:hAnsi="宋体"/>
          <w:b/>
          <w:bCs/>
          <w:sz w:val="24"/>
        </w:rPr>
      </w:pPr>
      <w:r>
        <w:rPr>
          <w:rFonts w:hint="eastAsia" w:ascii="宋体" w:hAnsi="宋体"/>
          <w:b/>
          <w:bCs/>
          <w:sz w:val="24"/>
        </w:rPr>
        <w:t>设备名称：全自动PCR分析系统</w:t>
      </w:r>
    </w:p>
    <w:p w14:paraId="058F55DE">
      <w:pPr>
        <w:pStyle w:val="41"/>
        <w:numPr>
          <w:ilvl w:val="0"/>
          <w:numId w:val="9"/>
        </w:numPr>
        <w:rPr>
          <w:rFonts w:hAnsi="宋体"/>
          <w:b/>
          <w:bCs/>
        </w:rPr>
      </w:pPr>
      <w:r>
        <w:rPr>
          <w:rFonts w:hint="eastAsia" w:hAnsi="宋体"/>
          <w:b/>
          <w:bCs/>
        </w:rPr>
        <w:t>全自动核酸提纯及实时荧光PCR分析系统主机：</w:t>
      </w:r>
    </w:p>
    <w:p w14:paraId="66DDCABC">
      <w:pPr>
        <w:spacing w:line="360" w:lineRule="auto"/>
        <w:ind w:left="816" w:leftChars="302" w:hanging="182" w:hangingChars="76"/>
        <w:rPr>
          <w:rFonts w:ascii="宋体" w:hAnsi="宋体"/>
          <w:sz w:val="24"/>
        </w:rPr>
      </w:pPr>
      <w:r>
        <w:rPr>
          <w:rFonts w:hint="eastAsia" w:ascii="宋体" w:hAnsi="宋体"/>
          <w:sz w:val="24"/>
        </w:rPr>
        <w:t>▲1.1.可开展检测项目：至少包含呼吸道样本甲型流感病毒、乙型流感病毒、人副流感病毒（1、2、3、4型）、呼吸道合胞病毒（A、B型）、腺病毒、鼻病毒、冠状病毒（229E、0C43、NL63、HKU1）、人偏肺病毒、百日咳杆菌、肺炎支原体、肺炎衣原体、阴道样本念珠菌、阴道加德纳菌和阴道毛滴虫等病原体检测。</w:t>
      </w:r>
    </w:p>
    <w:p w14:paraId="65B78B20">
      <w:pPr>
        <w:spacing w:line="360" w:lineRule="auto"/>
        <w:ind w:left="816" w:leftChars="302" w:hanging="182" w:hangingChars="76"/>
        <w:rPr>
          <w:rFonts w:ascii="宋体" w:hAnsi="宋体"/>
          <w:sz w:val="24"/>
        </w:rPr>
      </w:pPr>
      <w:r>
        <w:rPr>
          <w:rFonts w:hint="eastAsia" w:ascii="宋体" w:hAnsi="宋体"/>
          <w:sz w:val="24"/>
        </w:rPr>
        <w:t>▲1.2.结构设计：提取区域和扩增区域分层设计，实现物理隔离。</w:t>
      </w:r>
    </w:p>
    <w:p w14:paraId="4D613BFE">
      <w:pPr>
        <w:pStyle w:val="41"/>
        <w:numPr>
          <w:ilvl w:val="1"/>
          <w:numId w:val="10"/>
        </w:numPr>
        <w:rPr>
          <w:rFonts w:hAnsi="宋体"/>
        </w:rPr>
      </w:pPr>
      <w:r>
        <w:rPr>
          <w:rFonts w:hint="eastAsia" w:hAnsi="宋体"/>
        </w:rPr>
        <w:t>兼容采样管直径：12～16mm。</w:t>
      </w:r>
    </w:p>
    <w:p w14:paraId="2647524C">
      <w:pPr>
        <w:pStyle w:val="41"/>
        <w:numPr>
          <w:ilvl w:val="1"/>
          <w:numId w:val="1"/>
        </w:numPr>
        <w:rPr>
          <w:rFonts w:hAnsi="宋体"/>
        </w:rPr>
      </w:pPr>
      <w:r>
        <w:rPr>
          <w:rFonts w:hint="eastAsia" w:hAnsi="宋体"/>
        </w:rPr>
        <w:t>上机样本通量：≥8个/批。</w:t>
      </w:r>
    </w:p>
    <w:p w14:paraId="192CEAFA">
      <w:pPr>
        <w:pStyle w:val="41"/>
        <w:numPr>
          <w:ilvl w:val="1"/>
          <w:numId w:val="1"/>
        </w:numPr>
        <w:rPr>
          <w:rFonts w:hAnsi="宋体"/>
        </w:rPr>
      </w:pPr>
      <w:r>
        <w:rPr>
          <w:rFonts w:hint="eastAsia" w:hAnsi="宋体"/>
        </w:rPr>
        <w:t>加样范围：4μL～900μL。</w:t>
      </w:r>
    </w:p>
    <w:p w14:paraId="6B3F4997">
      <w:pPr>
        <w:pStyle w:val="41"/>
        <w:numPr>
          <w:ilvl w:val="1"/>
          <w:numId w:val="1"/>
        </w:numPr>
        <w:rPr>
          <w:rFonts w:hAnsi="宋体"/>
        </w:rPr>
      </w:pPr>
      <w:r>
        <w:rPr>
          <w:rFonts w:hint="eastAsia" w:hAnsi="宋体"/>
        </w:rPr>
        <w:t>提取体积：0.5mL～10mL。</w:t>
      </w:r>
    </w:p>
    <w:p w14:paraId="75F71EB6">
      <w:pPr>
        <w:pStyle w:val="41"/>
        <w:numPr>
          <w:ilvl w:val="1"/>
          <w:numId w:val="1"/>
        </w:numPr>
        <w:rPr>
          <w:rFonts w:hAnsi="宋体"/>
        </w:rPr>
      </w:pPr>
      <w:r>
        <w:rPr>
          <w:rFonts w:hint="eastAsia" w:hAnsi="宋体"/>
        </w:rPr>
        <w:t>反应体积：15～25μL。</w:t>
      </w:r>
    </w:p>
    <w:p w14:paraId="24622BDF">
      <w:pPr>
        <w:pStyle w:val="41"/>
        <w:numPr>
          <w:ilvl w:val="1"/>
          <w:numId w:val="1"/>
        </w:numPr>
        <w:rPr>
          <w:rFonts w:hAnsi="宋体"/>
        </w:rPr>
      </w:pPr>
      <w:r>
        <w:rPr>
          <w:rFonts w:hint="eastAsia" w:hAnsi="宋体"/>
        </w:rPr>
        <w:t>激发光源：高亮度LED光源；</w:t>
      </w:r>
    </w:p>
    <w:p w14:paraId="6539D84F">
      <w:pPr>
        <w:spacing w:line="360" w:lineRule="auto"/>
        <w:ind w:left="816" w:leftChars="302" w:hanging="182" w:hangingChars="76"/>
        <w:rPr>
          <w:rFonts w:ascii="宋体" w:hAnsi="宋体"/>
          <w:sz w:val="24"/>
        </w:rPr>
      </w:pPr>
      <w:r>
        <w:rPr>
          <w:rFonts w:hint="eastAsia" w:ascii="宋体" w:hAnsi="宋体"/>
          <w:sz w:val="24"/>
        </w:rPr>
        <w:t>▲1.9、荧光通道数：≥5。</w:t>
      </w:r>
    </w:p>
    <w:p w14:paraId="772C47C8">
      <w:pPr>
        <w:pStyle w:val="41"/>
        <w:numPr>
          <w:ilvl w:val="1"/>
          <w:numId w:val="11"/>
        </w:numPr>
        <w:rPr>
          <w:rFonts w:hAnsi="宋体"/>
        </w:rPr>
      </w:pPr>
      <w:r>
        <w:rPr>
          <w:rFonts w:hint="eastAsia" w:hAnsi="宋体"/>
        </w:rPr>
        <w:t>激发光波长：通道1，455～485nm；通道2，510～540nm；通道3，656～595nm；通道4：610～640nm；通道5：675～690nm。</w:t>
      </w:r>
    </w:p>
    <w:p w14:paraId="78CAB1DF">
      <w:pPr>
        <w:pStyle w:val="41"/>
        <w:numPr>
          <w:ilvl w:val="1"/>
          <w:numId w:val="1"/>
        </w:numPr>
        <w:rPr>
          <w:rFonts w:hAnsi="宋体"/>
        </w:rPr>
      </w:pPr>
      <w:r>
        <w:rPr>
          <w:rFonts w:hint="eastAsia" w:hAnsi="宋体"/>
        </w:rPr>
        <w:t>发射光波长：通道1，510～530nm；通道2，554～576nm；通道3，610～640nm；通道4，655～675nm；通道5，705～746nm。</w:t>
      </w:r>
    </w:p>
    <w:p w14:paraId="1316BFB6">
      <w:pPr>
        <w:pStyle w:val="41"/>
        <w:numPr>
          <w:ilvl w:val="1"/>
          <w:numId w:val="1"/>
        </w:numPr>
        <w:rPr>
          <w:rFonts w:hAnsi="宋体"/>
        </w:rPr>
      </w:pPr>
      <w:r>
        <w:rPr>
          <w:rFonts w:hint="eastAsia" w:hAnsi="宋体"/>
        </w:rPr>
        <w:t>检测系统：CMOS或CCD相机。</w:t>
      </w:r>
    </w:p>
    <w:p w14:paraId="6AC55ACB">
      <w:pPr>
        <w:pStyle w:val="41"/>
        <w:numPr>
          <w:ilvl w:val="1"/>
          <w:numId w:val="1"/>
        </w:numPr>
        <w:rPr>
          <w:rFonts w:hAnsi="宋体"/>
        </w:rPr>
      </w:pPr>
      <w:r>
        <w:rPr>
          <w:rFonts w:hint="eastAsia" w:hAnsi="宋体"/>
        </w:rPr>
        <w:t>检测位置：顶部激发、顶部扫描。</w:t>
      </w:r>
    </w:p>
    <w:p w14:paraId="303907FF">
      <w:pPr>
        <w:pStyle w:val="41"/>
        <w:numPr>
          <w:ilvl w:val="1"/>
          <w:numId w:val="1"/>
        </w:numPr>
        <w:rPr>
          <w:rFonts w:hAnsi="宋体"/>
        </w:rPr>
      </w:pPr>
      <w:r>
        <w:rPr>
          <w:rFonts w:hint="eastAsia" w:hAnsi="宋体"/>
        </w:rPr>
        <w:t>荧光强度检测重复性：CV≤3.0%。</w:t>
      </w:r>
    </w:p>
    <w:p w14:paraId="16F48AFF">
      <w:pPr>
        <w:pStyle w:val="41"/>
        <w:numPr>
          <w:ilvl w:val="1"/>
          <w:numId w:val="1"/>
        </w:numPr>
        <w:rPr>
          <w:rFonts w:hAnsi="宋体"/>
        </w:rPr>
      </w:pPr>
      <w:r>
        <w:rPr>
          <w:rFonts w:hint="eastAsia" w:hAnsi="宋体"/>
        </w:rPr>
        <w:t>线性范围：1～1010copies。</w:t>
      </w:r>
    </w:p>
    <w:p w14:paraId="3E850572">
      <w:pPr>
        <w:pStyle w:val="41"/>
        <w:numPr>
          <w:ilvl w:val="1"/>
          <w:numId w:val="1"/>
        </w:numPr>
        <w:rPr>
          <w:rFonts w:hAnsi="宋体"/>
        </w:rPr>
      </w:pPr>
      <w:r>
        <w:rPr>
          <w:rFonts w:hint="eastAsia" w:hAnsi="宋体"/>
        </w:rPr>
        <w:t>样本线性（R）： ≥0.980。</w:t>
      </w:r>
    </w:p>
    <w:p w14:paraId="102EB1B8">
      <w:pPr>
        <w:pStyle w:val="41"/>
        <w:numPr>
          <w:ilvl w:val="1"/>
          <w:numId w:val="1"/>
        </w:numPr>
        <w:rPr>
          <w:rFonts w:hAnsi="宋体"/>
        </w:rPr>
      </w:pPr>
      <w:r>
        <w:rPr>
          <w:rFonts w:hint="eastAsia" w:hAnsi="宋体"/>
        </w:rPr>
        <w:t>荧光线性：r≥0.990。</w:t>
      </w:r>
    </w:p>
    <w:p w14:paraId="6A64A85F">
      <w:pPr>
        <w:pStyle w:val="41"/>
        <w:numPr>
          <w:ilvl w:val="1"/>
          <w:numId w:val="1"/>
        </w:numPr>
        <w:rPr>
          <w:rFonts w:hAnsi="宋体"/>
        </w:rPr>
      </w:pPr>
      <w:r>
        <w:rPr>
          <w:rFonts w:hint="eastAsia" w:hAnsi="宋体"/>
        </w:rPr>
        <w:t>反应模块</w:t>
      </w:r>
    </w:p>
    <w:p w14:paraId="329C3E1F">
      <w:pPr>
        <w:spacing w:line="360" w:lineRule="auto"/>
        <w:ind w:left="634" w:leftChars="302" w:firstLine="240" w:firstLineChars="100"/>
        <w:rPr>
          <w:rFonts w:ascii="宋体" w:hAnsi="宋体"/>
          <w:sz w:val="24"/>
        </w:rPr>
      </w:pPr>
      <w:r>
        <w:rPr>
          <w:rFonts w:hint="eastAsia" w:ascii="宋体" w:hAnsi="宋体"/>
          <w:sz w:val="24"/>
        </w:rPr>
        <w:t>▲1.18.1.模块数量：≥2,可支持同时运行两个不同项目的测试。</w:t>
      </w:r>
    </w:p>
    <w:p w14:paraId="2F07FD89">
      <w:pPr>
        <w:pStyle w:val="41"/>
        <w:numPr>
          <w:ilvl w:val="2"/>
          <w:numId w:val="12"/>
        </w:numPr>
        <w:rPr>
          <w:rFonts w:hAnsi="宋体"/>
        </w:rPr>
      </w:pPr>
      <w:r>
        <w:rPr>
          <w:rFonts w:hint="eastAsia" w:hAnsi="宋体"/>
        </w:rPr>
        <w:t>模块温度设置范围：0℃～100℃；误差：≤0.5℃。</w:t>
      </w:r>
    </w:p>
    <w:p w14:paraId="6096352D">
      <w:pPr>
        <w:pStyle w:val="41"/>
        <w:numPr>
          <w:ilvl w:val="2"/>
          <w:numId w:val="1"/>
        </w:numPr>
        <w:rPr>
          <w:rFonts w:hAnsi="宋体"/>
        </w:rPr>
      </w:pPr>
      <w:r>
        <w:rPr>
          <w:rFonts w:hint="eastAsia" w:hAnsi="宋体"/>
        </w:rPr>
        <w:t>最大升/降温速率：≥4℃/s。</w:t>
      </w:r>
    </w:p>
    <w:p w14:paraId="7D82F954">
      <w:pPr>
        <w:pStyle w:val="41"/>
        <w:numPr>
          <w:ilvl w:val="1"/>
          <w:numId w:val="1"/>
        </w:numPr>
        <w:rPr>
          <w:rFonts w:hAnsi="宋体"/>
        </w:rPr>
      </w:pPr>
      <w:r>
        <w:rPr>
          <w:rFonts w:hint="eastAsia" w:hAnsi="宋体"/>
        </w:rPr>
        <w:t>防污染装置：内置紫外灯、HEPA过滤。</w:t>
      </w:r>
    </w:p>
    <w:p w14:paraId="24A400A1">
      <w:pPr>
        <w:pStyle w:val="41"/>
        <w:numPr>
          <w:ilvl w:val="1"/>
          <w:numId w:val="1"/>
        </w:numPr>
        <w:rPr>
          <w:rFonts w:hAnsi="宋体"/>
        </w:rPr>
      </w:pPr>
      <w:r>
        <w:rPr>
          <w:rFonts w:hint="eastAsia" w:hAnsi="宋体"/>
        </w:rPr>
        <w:t>外形尺寸(L×W×H)：≤1200×800×1700(mm) 。</w:t>
      </w:r>
    </w:p>
    <w:p w14:paraId="42B8F6BB">
      <w:pPr>
        <w:pStyle w:val="41"/>
        <w:numPr>
          <w:ilvl w:val="1"/>
          <w:numId w:val="1"/>
        </w:numPr>
        <w:rPr>
          <w:rFonts w:hAnsi="宋体"/>
        </w:rPr>
      </w:pPr>
      <w:r>
        <w:rPr>
          <w:rFonts w:hint="eastAsia" w:hAnsi="宋体"/>
        </w:rPr>
        <w:t>使用期限：≥8年。</w:t>
      </w:r>
    </w:p>
    <w:p w14:paraId="4CDE4065">
      <w:pPr>
        <w:pStyle w:val="41"/>
        <w:rPr>
          <w:rFonts w:hAnsi="宋体"/>
          <w:b/>
          <w:bCs/>
        </w:rPr>
      </w:pPr>
      <w:r>
        <w:rPr>
          <w:rFonts w:hint="eastAsia" w:hAnsi="宋体"/>
          <w:b/>
          <w:bCs/>
        </w:rPr>
        <w:t>数据处理工作站：</w:t>
      </w:r>
    </w:p>
    <w:p w14:paraId="05594214">
      <w:pPr>
        <w:pStyle w:val="41"/>
        <w:numPr>
          <w:ilvl w:val="1"/>
          <w:numId w:val="1"/>
        </w:numPr>
        <w:rPr>
          <w:rFonts w:hAnsi="宋体"/>
        </w:rPr>
      </w:pPr>
      <w:r>
        <w:rPr>
          <w:rFonts w:hint="eastAsia" w:hAnsi="宋体"/>
        </w:rPr>
        <w:t>CPU：物理核心数≥4核，线程数≥8线程 ；内存≥8G；硬盘≥512G；彩色液晶显示器≥21.5英寸；</w:t>
      </w:r>
    </w:p>
    <w:p w14:paraId="4C48B582">
      <w:pPr>
        <w:pStyle w:val="41"/>
        <w:numPr>
          <w:ilvl w:val="1"/>
          <w:numId w:val="1"/>
        </w:numPr>
        <w:rPr>
          <w:rFonts w:hAnsi="宋体"/>
        </w:rPr>
      </w:pPr>
      <w:r>
        <w:rPr>
          <w:rFonts w:hint="eastAsia" w:hAnsi="宋体"/>
        </w:rPr>
        <w:t>分析功能：具备定性分析、绝对定量分析、相对定量分析、终点荧光分析、熔解曲线分析功能。</w:t>
      </w:r>
    </w:p>
    <w:p w14:paraId="1C681791">
      <w:pPr>
        <w:pStyle w:val="41"/>
        <w:numPr>
          <w:ilvl w:val="1"/>
          <w:numId w:val="1"/>
        </w:numPr>
        <w:rPr>
          <w:rFonts w:hAnsi="宋体"/>
        </w:rPr>
      </w:pPr>
      <w:r>
        <w:rPr>
          <w:rFonts w:hint="eastAsia" w:hAnsi="宋体"/>
        </w:rPr>
        <w:t>具备临床报告单管理系统，报告可自定义。</w:t>
      </w:r>
    </w:p>
    <w:p w14:paraId="605CD942">
      <w:pPr>
        <w:pStyle w:val="41"/>
        <w:numPr>
          <w:ilvl w:val="1"/>
          <w:numId w:val="1"/>
        </w:numPr>
        <w:rPr>
          <w:rFonts w:hAnsi="宋体"/>
        </w:rPr>
      </w:pPr>
      <w:r>
        <w:rPr>
          <w:rFonts w:hint="eastAsia" w:hAnsi="宋体"/>
        </w:rPr>
        <w:t>可导出CSV、Excel、TXT等格式文件</w:t>
      </w:r>
    </w:p>
    <w:p w14:paraId="6507B308">
      <w:pPr>
        <w:pStyle w:val="41"/>
        <w:numPr>
          <w:ilvl w:val="1"/>
          <w:numId w:val="1"/>
        </w:numPr>
        <w:rPr>
          <w:rFonts w:hAnsi="宋体"/>
        </w:rPr>
      </w:pPr>
      <w:r>
        <w:rPr>
          <w:rFonts w:hint="eastAsia" w:hAnsi="宋体"/>
        </w:rPr>
        <w:t>开放数据端口，与LIS系统互联。</w:t>
      </w:r>
    </w:p>
    <w:p w14:paraId="736C35FC">
      <w:pPr>
        <w:pStyle w:val="41"/>
        <w:numPr>
          <w:ilvl w:val="1"/>
          <w:numId w:val="1"/>
        </w:numPr>
        <w:rPr>
          <w:rFonts w:hAnsi="宋体"/>
        </w:rPr>
      </w:pPr>
      <w:r>
        <w:rPr>
          <w:rFonts w:hint="eastAsia" w:hAnsi="宋体"/>
        </w:rPr>
        <w:t>具有打印功能</w:t>
      </w:r>
    </w:p>
    <w:p w14:paraId="195FFCF6">
      <w:pPr>
        <w:ind w:left="510"/>
        <w:rPr>
          <w:rFonts w:hAnsi="宋体"/>
        </w:rPr>
      </w:pPr>
    </w:p>
    <w:p w14:paraId="127818F3">
      <w:pPr>
        <w:spacing w:line="360" w:lineRule="auto"/>
        <w:ind w:left="848" w:leftChars="202" w:hanging="424" w:hangingChars="177"/>
        <w:rPr>
          <w:rFonts w:ascii="宋体" w:hAnsi="宋体"/>
          <w:b/>
          <w:bCs/>
          <w:sz w:val="24"/>
        </w:rPr>
      </w:pPr>
      <w:r>
        <w:rPr>
          <w:rFonts w:hint="eastAsia" w:ascii="宋体" w:hAnsi="宋体"/>
          <w:sz w:val="24"/>
        </w:rPr>
        <w:t>★</w:t>
      </w:r>
      <w:r>
        <w:rPr>
          <w:rFonts w:hint="eastAsia" w:ascii="宋体" w:hAnsi="宋体"/>
          <w:b/>
          <w:bCs/>
          <w:sz w:val="24"/>
        </w:rPr>
        <w:t>主要配置（每台）：</w:t>
      </w:r>
    </w:p>
    <w:p w14:paraId="2461E2DE">
      <w:pPr>
        <w:pStyle w:val="41"/>
        <w:numPr>
          <w:ilvl w:val="0"/>
          <w:numId w:val="13"/>
        </w:numPr>
        <w:rPr>
          <w:rFonts w:hAnsi="宋体"/>
        </w:rPr>
      </w:pPr>
      <w:r>
        <w:rPr>
          <w:rFonts w:hint="eastAsia" w:hAnsi="宋体"/>
        </w:rPr>
        <w:t>全自动核酸提纯及实时荧光PCR分析系统主机：1台。</w:t>
      </w:r>
      <w:bookmarkStart w:id="792" w:name="OLE_LINK3"/>
      <w:bookmarkStart w:id="793" w:name="OLE_LINK4"/>
      <w:r>
        <w:rPr>
          <w:rFonts w:hint="eastAsia" w:hAnsi="宋体"/>
        </w:rPr>
        <w:t>(需要提供医疗器械注册证或备案凭证)</w:t>
      </w:r>
      <w:bookmarkEnd w:id="792"/>
      <w:bookmarkEnd w:id="793"/>
    </w:p>
    <w:p w14:paraId="5A492827">
      <w:pPr>
        <w:pStyle w:val="41"/>
        <w:numPr>
          <w:ilvl w:val="0"/>
          <w:numId w:val="14"/>
        </w:numPr>
        <w:rPr>
          <w:rFonts w:hAnsi="宋体"/>
        </w:rPr>
      </w:pPr>
      <w:r>
        <w:rPr>
          <w:rFonts w:hint="eastAsia" w:hAnsi="宋体"/>
        </w:rPr>
        <w:t>数据处理工作站：1套</w:t>
      </w:r>
    </w:p>
    <w:p w14:paraId="43964146">
      <w:pPr>
        <w:pStyle w:val="41"/>
        <w:numPr>
          <w:ilvl w:val="0"/>
          <w:numId w:val="14"/>
        </w:numPr>
        <w:rPr>
          <w:rFonts w:hAnsi="宋体"/>
        </w:rPr>
      </w:pPr>
      <w:r>
        <w:rPr>
          <w:rFonts w:hint="eastAsia" w:hAnsi="宋体"/>
        </w:rPr>
        <w:t>导电吸头：1盒。</w:t>
      </w:r>
    </w:p>
    <w:p w14:paraId="765303DA">
      <w:pPr>
        <w:pStyle w:val="41"/>
        <w:numPr>
          <w:ilvl w:val="0"/>
          <w:numId w:val="14"/>
        </w:numPr>
        <w:rPr>
          <w:rFonts w:hAnsi="宋体"/>
        </w:rPr>
      </w:pPr>
      <w:r>
        <w:rPr>
          <w:rFonts w:hint="eastAsia" w:hAnsi="宋体"/>
        </w:rPr>
        <w:t>废料桶组件：1个。</w:t>
      </w:r>
    </w:p>
    <w:p w14:paraId="69C7B1D6">
      <w:pPr>
        <w:pStyle w:val="41"/>
        <w:numPr>
          <w:ilvl w:val="0"/>
          <w:numId w:val="14"/>
        </w:numPr>
        <w:rPr>
          <w:rFonts w:hAnsi="宋体"/>
        </w:rPr>
      </w:pPr>
      <w:r>
        <w:rPr>
          <w:rFonts w:hint="eastAsia" w:hAnsi="宋体"/>
        </w:rPr>
        <w:t>PCR反应板：2片。</w:t>
      </w:r>
    </w:p>
    <w:p w14:paraId="2CFE5175">
      <w:pPr>
        <w:pStyle w:val="41"/>
        <w:numPr>
          <w:ilvl w:val="0"/>
          <w:numId w:val="14"/>
        </w:numPr>
        <w:rPr>
          <w:rFonts w:hAnsi="宋体"/>
        </w:rPr>
      </w:pPr>
      <w:r>
        <w:rPr>
          <w:rFonts w:hint="eastAsia" w:hAnsi="宋体"/>
        </w:rPr>
        <w:t>核酸提取试剂条：4个。</w:t>
      </w:r>
    </w:p>
    <w:p w14:paraId="3387D2DE">
      <w:pPr>
        <w:pStyle w:val="41"/>
        <w:numPr>
          <w:ilvl w:val="0"/>
          <w:numId w:val="14"/>
        </w:numPr>
        <w:rPr>
          <w:rFonts w:hAnsi="宋体"/>
        </w:rPr>
      </w:pPr>
      <w:r>
        <w:rPr>
          <w:rFonts w:hint="eastAsia" w:hAnsi="宋体"/>
        </w:rPr>
        <w:t>PCR冻干管载架：4个。</w:t>
      </w:r>
    </w:p>
    <w:p w14:paraId="7CB14E8F">
      <w:pPr>
        <w:pStyle w:val="41"/>
        <w:numPr>
          <w:ilvl w:val="0"/>
          <w:numId w:val="14"/>
        </w:numPr>
        <w:rPr>
          <w:rFonts w:hAnsi="宋体"/>
        </w:rPr>
      </w:pPr>
      <w:r>
        <w:rPr>
          <w:rFonts w:hint="eastAsia" w:hAnsi="宋体"/>
        </w:rPr>
        <w:t>单管磁棒套：4个。</w:t>
      </w:r>
    </w:p>
    <w:p w14:paraId="391FC1D4">
      <w:pPr>
        <w:pStyle w:val="41"/>
        <w:numPr>
          <w:ilvl w:val="0"/>
          <w:numId w:val="14"/>
        </w:numPr>
        <w:rPr>
          <w:rFonts w:hAnsi="宋体"/>
        </w:rPr>
      </w:pPr>
      <w:r>
        <w:rPr>
          <w:rFonts w:hint="eastAsia" w:hAnsi="宋体"/>
        </w:rPr>
        <w:t>PCR冻干管：4个。</w:t>
      </w:r>
    </w:p>
    <w:p w14:paraId="125BC1DA">
      <w:pPr>
        <w:pStyle w:val="41"/>
        <w:numPr>
          <w:ilvl w:val="0"/>
          <w:numId w:val="14"/>
        </w:numPr>
        <w:rPr>
          <w:rFonts w:hAnsi="宋体"/>
        </w:rPr>
      </w:pPr>
      <w:r>
        <w:rPr>
          <w:rFonts w:hint="eastAsia" w:hAnsi="宋体"/>
        </w:rPr>
        <w:t>U盘（≥8G）：1个。</w:t>
      </w:r>
    </w:p>
    <w:p w14:paraId="652887E2">
      <w:pPr>
        <w:pStyle w:val="41"/>
        <w:numPr>
          <w:ilvl w:val="0"/>
          <w:numId w:val="14"/>
        </w:numPr>
        <w:rPr>
          <w:rFonts w:hAnsi="宋体"/>
        </w:rPr>
      </w:pPr>
      <w:r>
        <w:rPr>
          <w:rFonts w:hint="eastAsia" w:hAnsi="宋体"/>
        </w:rPr>
        <w:t>扩增耗材压板：1套。</w:t>
      </w:r>
    </w:p>
    <w:p w14:paraId="5EF1D213">
      <w:pPr>
        <w:widowControl/>
        <w:jc w:val="left"/>
        <w:rPr>
          <w:rFonts w:ascii="宋体" w:hAnsi="宋体" w:cs="宋体"/>
          <w:b/>
          <w:kern w:val="0"/>
          <w:sz w:val="24"/>
        </w:rPr>
      </w:pPr>
      <w:r>
        <w:rPr>
          <w:rFonts w:hint="eastAsia" w:ascii="宋体" w:hAnsi="宋体" w:cs="宋体"/>
          <w:sz w:val="24"/>
        </w:rPr>
        <w:br w:type="page"/>
      </w:r>
    </w:p>
    <w:p w14:paraId="7E150F18">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11包：</w:t>
      </w:r>
    </w:p>
    <w:p w14:paraId="08F11704">
      <w:pPr>
        <w:spacing w:line="360" w:lineRule="auto"/>
        <w:ind w:firstLine="426" w:firstLineChars="177"/>
        <w:rPr>
          <w:rFonts w:ascii="宋体" w:hAnsi="宋体"/>
          <w:b/>
          <w:bCs/>
          <w:sz w:val="24"/>
        </w:rPr>
      </w:pPr>
      <w:r>
        <w:rPr>
          <w:rFonts w:hint="eastAsia" w:ascii="宋体" w:hAnsi="宋体"/>
          <w:b/>
          <w:bCs/>
          <w:sz w:val="24"/>
        </w:rPr>
        <w:t>设备名称：4K 3D内窥镜荧光摄像系统</w:t>
      </w:r>
    </w:p>
    <w:p w14:paraId="240C9B58">
      <w:pPr>
        <w:pStyle w:val="41"/>
        <w:numPr>
          <w:ilvl w:val="0"/>
          <w:numId w:val="15"/>
        </w:numPr>
        <w:rPr>
          <w:rFonts w:hAnsi="宋体"/>
        </w:rPr>
      </w:pPr>
      <w:r>
        <w:rPr>
          <w:rFonts w:hint="eastAsia" w:hAnsi="宋体"/>
        </w:rPr>
        <w:t>内窥镜摄像主机：</w:t>
      </w:r>
    </w:p>
    <w:p w14:paraId="12B03CDD">
      <w:pPr>
        <w:spacing w:line="360" w:lineRule="auto"/>
        <w:ind w:left="818" w:leftChars="302" w:hanging="184" w:hangingChars="77"/>
        <w:rPr>
          <w:rFonts w:ascii="宋体" w:hAnsi="宋体"/>
          <w:sz w:val="24"/>
        </w:rPr>
      </w:pPr>
      <w:r>
        <w:rPr>
          <w:rFonts w:hint="eastAsia" w:ascii="宋体" w:hAnsi="宋体"/>
          <w:sz w:val="24"/>
        </w:rPr>
        <w:t>▲1.1.可同时处理4K信号、3D信号及荧光信，主机可连接一体化4K 3D荧光电子腹腔镜，在4K3D模式下实现荧光显影功能，实现4K、3D、荧光三合一功能；</w:t>
      </w:r>
    </w:p>
    <w:p w14:paraId="0E1B9F1D">
      <w:pPr>
        <w:pStyle w:val="41"/>
        <w:numPr>
          <w:ilvl w:val="1"/>
          <w:numId w:val="16"/>
        </w:numPr>
        <w:rPr>
          <w:rFonts w:hAnsi="宋体"/>
        </w:rPr>
      </w:pPr>
      <w:r>
        <w:rPr>
          <w:rFonts w:hint="eastAsia" w:hAnsi="宋体"/>
        </w:rPr>
        <w:t>可连接4K白光、4K荧光摄像头，兼容各种光学硬镜。</w:t>
      </w:r>
    </w:p>
    <w:p w14:paraId="54B3D12F">
      <w:pPr>
        <w:pStyle w:val="41"/>
        <w:numPr>
          <w:ilvl w:val="1"/>
          <w:numId w:val="1"/>
        </w:numPr>
        <w:rPr>
          <w:rFonts w:hAnsi="宋体"/>
        </w:rPr>
      </w:pPr>
      <w:r>
        <w:rPr>
          <w:rFonts w:hint="eastAsia" w:hAnsi="宋体"/>
        </w:rPr>
        <w:t>支持摄像头/电子镜自定义按键。</w:t>
      </w:r>
    </w:p>
    <w:p w14:paraId="116CD404">
      <w:pPr>
        <w:pStyle w:val="41"/>
        <w:numPr>
          <w:ilvl w:val="1"/>
          <w:numId w:val="1"/>
        </w:numPr>
        <w:rPr>
          <w:rFonts w:hAnsi="宋体"/>
        </w:rPr>
      </w:pPr>
      <w:r>
        <w:rPr>
          <w:rFonts w:hint="eastAsia" w:hAnsi="宋体"/>
        </w:rPr>
        <w:t>摄像主机最高输出视频分辨率≥3840×2160；可输出高清视频信号。</w:t>
      </w:r>
    </w:p>
    <w:p w14:paraId="170E4C10">
      <w:pPr>
        <w:pStyle w:val="41"/>
        <w:numPr>
          <w:ilvl w:val="1"/>
          <w:numId w:val="1"/>
        </w:numPr>
        <w:rPr>
          <w:rFonts w:hAnsi="宋体"/>
        </w:rPr>
      </w:pPr>
      <w:r>
        <w:rPr>
          <w:rFonts w:hint="eastAsia" w:hAnsi="宋体"/>
        </w:rPr>
        <w:t>摄像系统白光水平分辨率≥2400线，荧光水平分辨率≥1200线。</w:t>
      </w:r>
    </w:p>
    <w:p w14:paraId="1A88B48B">
      <w:pPr>
        <w:pStyle w:val="41"/>
        <w:numPr>
          <w:ilvl w:val="1"/>
          <w:numId w:val="1"/>
        </w:numPr>
        <w:rPr>
          <w:rFonts w:hAnsi="宋体"/>
        </w:rPr>
      </w:pPr>
      <w:r>
        <w:rPr>
          <w:rFonts w:hint="eastAsia" w:hAnsi="宋体"/>
        </w:rPr>
        <w:t>输出色彩深度≥12 bit。</w:t>
      </w:r>
    </w:p>
    <w:p w14:paraId="0982EADA">
      <w:pPr>
        <w:pStyle w:val="41"/>
        <w:numPr>
          <w:ilvl w:val="1"/>
          <w:numId w:val="1"/>
        </w:numPr>
        <w:rPr>
          <w:rFonts w:hAnsi="宋体"/>
        </w:rPr>
      </w:pPr>
      <w:r>
        <w:rPr>
          <w:rFonts w:hint="eastAsia" w:hAnsi="宋体"/>
        </w:rPr>
        <w:t xml:space="preserve">荧光增益、荧光显影饱和度、荧光对比度各≥8级调节. </w:t>
      </w:r>
    </w:p>
    <w:p w14:paraId="7E786311">
      <w:pPr>
        <w:pStyle w:val="41"/>
        <w:numPr>
          <w:ilvl w:val="1"/>
          <w:numId w:val="1"/>
        </w:numPr>
        <w:rPr>
          <w:rFonts w:hAnsi="宋体"/>
        </w:rPr>
      </w:pPr>
      <w:r>
        <w:rPr>
          <w:rFonts w:hint="eastAsia" w:hAnsi="宋体"/>
        </w:rPr>
        <w:t>具备进行2D/3D图像一键切换和自动切换功能。</w:t>
      </w:r>
    </w:p>
    <w:p w14:paraId="6B7D7404">
      <w:pPr>
        <w:spacing w:line="360" w:lineRule="auto"/>
        <w:ind w:left="818" w:leftChars="302" w:hanging="184" w:hangingChars="77"/>
        <w:rPr>
          <w:rFonts w:ascii="宋体" w:hAnsi="宋体"/>
          <w:sz w:val="24"/>
        </w:rPr>
      </w:pPr>
      <w:r>
        <w:rPr>
          <w:rFonts w:hint="eastAsia" w:ascii="宋体" w:hAnsi="宋体"/>
          <w:sz w:val="24"/>
        </w:rPr>
        <w:t>▲1.9.连接3D电子镜时可进行自动水平校正，3D和2D模式下旋转镜身在-30°～+30°范围内保持视野自动水平。</w:t>
      </w:r>
    </w:p>
    <w:p w14:paraId="46D8AC92">
      <w:pPr>
        <w:pStyle w:val="41"/>
        <w:numPr>
          <w:ilvl w:val="1"/>
          <w:numId w:val="17"/>
        </w:numPr>
        <w:rPr>
          <w:rFonts w:hAnsi="宋体"/>
        </w:rPr>
      </w:pPr>
      <w:r>
        <w:rPr>
          <w:rFonts w:hint="eastAsia" w:hAnsi="宋体"/>
        </w:rPr>
        <w:t>具备3D视差调节功能。</w:t>
      </w:r>
    </w:p>
    <w:p w14:paraId="01614545">
      <w:pPr>
        <w:pStyle w:val="41"/>
        <w:numPr>
          <w:ilvl w:val="1"/>
          <w:numId w:val="1"/>
        </w:numPr>
        <w:rPr>
          <w:rFonts w:hAnsi="宋体"/>
        </w:rPr>
      </w:pPr>
      <w:r>
        <w:rPr>
          <w:rFonts w:hint="eastAsia" w:hAnsi="宋体"/>
        </w:rPr>
        <w:t>具备自动增益功能，图像增益调节：≥8级可调</w:t>
      </w:r>
    </w:p>
    <w:p w14:paraId="0BAB0E95">
      <w:pPr>
        <w:pStyle w:val="41"/>
        <w:numPr>
          <w:ilvl w:val="1"/>
          <w:numId w:val="1"/>
        </w:numPr>
        <w:rPr>
          <w:rFonts w:hAnsi="宋体"/>
        </w:rPr>
      </w:pPr>
      <w:r>
        <w:rPr>
          <w:rFonts w:hint="eastAsia" w:hAnsi="宋体"/>
        </w:rPr>
        <w:t>具备光源联动功能，可随镜头距离组织的远近变化调节光源输出；光源未打开、调光线缆未正确连接或导光束未插入时，监视器画面上有图文提示。</w:t>
      </w:r>
    </w:p>
    <w:p w14:paraId="3C5B2B8B">
      <w:pPr>
        <w:pStyle w:val="41"/>
        <w:numPr>
          <w:ilvl w:val="1"/>
          <w:numId w:val="1"/>
        </w:numPr>
        <w:rPr>
          <w:rFonts w:hAnsi="宋体"/>
        </w:rPr>
      </w:pPr>
      <w:r>
        <w:rPr>
          <w:rFonts w:hint="eastAsia" w:hAnsi="宋体"/>
        </w:rPr>
        <w:t>图像亮度调节≥8级可调节。</w:t>
      </w:r>
    </w:p>
    <w:p w14:paraId="10A2486E">
      <w:pPr>
        <w:pStyle w:val="41"/>
        <w:numPr>
          <w:ilvl w:val="1"/>
          <w:numId w:val="1"/>
        </w:numPr>
        <w:rPr>
          <w:rFonts w:hAnsi="宋体"/>
        </w:rPr>
      </w:pPr>
      <w:r>
        <w:rPr>
          <w:rFonts w:hint="eastAsia" w:hAnsi="宋体"/>
        </w:rPr>
        <w:t>支持≥2倍光学放大，可一键切换画面大小，实现无损自适应画幅调节。</w:t>
      </w:r>
    </w:p>
    <w:p w14:paraId="3CC16659">
      <w:pPr>
        <w:spacing w:line="360" w:lineRule="auto"/>
        <w:ind w:left="818" w:leftChars="302" w:hanging="184" w:hangingChars="77"/>
        <w:rPr>
          <w:rFonts w:ascii="宋体" w:hAnsi="宋体"/>
          <w:sz w:val="24"/>
        </w:rPr>
      </w:pPr>
      <w:r>
        <w:rPr>
          <w:rFonts w:hint="eastAsia" w:ascii="宋体" w:hAnsi="宋体"/>
          <w:sz w:val="24"/>
        </w:rPr>
        <w:t>▲1.15.电子放大≥ 4倍。</w:t>
      </w:r>
    </w:p>
    <w:p w14:paraId="62803B9F">
      <w:pPr>
        <w:pStyle w:val="41"/>
        <w:numPr>
          <w:ilvl w:val="1"/>
          <w:numId w:val="18"/>
        </w:numPr>
        <w:rPr>
          <w:rFonts w:hAnsi="宋体"/>
        </w:rPr>
      </w:pPr>
      <w:r>
        <w:rPr>
          <w:rFonts w:hint="eastAsia" w:hAnsi="宋体"/>
        </w:rPr>
        <w:t>具备去摩尔纹功能和电子除烟功能。</w:t>
      </w:r>
    </w:p>
    <w:p w14:paraId="6C7C340D">
      <w:pPr>
        <w:pStyle w:val="41"/>
        <w:numPr>
          <w:ilvl w:val="1"/>
          <w:numId w:val="1"/>
        </w:numPr>
        <w:rPr>
          <w:rFonts w:hAnsi="宋体"/>
        </w:rPr>
      </w:pPr>
      <w:r>
        <w:rPr>
          <w:rFonts w:hint="eastAsia" w:hAnsi="宋体"/>
        </w:rPr>
        <w:t>具有高动态范围（HDR）显示、图像降噪、轮廓增强、对比度增强等多种功能。</w:t>
      </w:r>
    </w:p>
    <w:p w14:paraId="73E5C923">
      <w:pPr>
        <w:pStyle w:val="41"/>
        <w:numPr>
          <w:ilvl w:val="1"/>
          <w:numId w:val="1"/>
        </w:numPr>
        <w:rPr>
          <w:rFonts w:hAnsi="宋体"/>
        </w:rPr>
      </w:pPr>
      <w:r>
        <w:rPr>
          <w:rFonts w:hint="eastAsia" w:hAnsi="宋体"/>
        </w:rPr>
        <w:t>具备光电复合染色成像和特殊光染色成像技术。</w:t>
      </w:r>
    </w:p>
    <w:p w14:paraId="51622BA4">
      <w:pPr>
        <w:pStyle w:val="41"/>
        <w:numPr>
          <w:ilvl w:val="1"/>
          <w:numId w:val="1"/>
        </w:numPr>
        <w:rPr>
          <w:rFonts w:hAnsi="宋体"/>
        </w:rPr>
      </w:pPr>
      <w:r>
        <w:rPr>
          <w:rFonts w:hint="eastAsia" w:hAnsi="宋体"/>
        </w:rPr>
        <w:t xml:space="preserve">图像显示模式：白光、绿色荧光、彩色荧光、黑白荧光显示模式，支持快速切换 </w:t>
      </w:r>
    </w:p>
    <w:p w14:paraId="3E310A05">
      <w:pPr>
        <w:pStyle w:val="41"/>
        <w:numPr>
          <w:ilvl w:val="1"/>
          <w:numId w:val="1"/>
        </w:numPr>
        <w:rPr>
          <w:rFonts w:hAnsi="宋体"/>
        </w:rPr>
      </w:pPr>
      <w:r>
        <w:rPr>
          <w:rFonts w:hint="eastAsia" w:hAnsi="宋体"/>
        </w:rPr>
        <w:t>具备多源显示功能，可同屏显示≥2种动态图像，可以通过电子镜或摄像头快速切换显示模式；支持同屏刻录。</w:t>
      </w:r>
    </w:p>
    <w:p w14:paraId="7A5A3AAE">
      <w:pPr>
        <w:pStyle w:val="41"/>
        <w:numPr>
          <w:ilvl w:val="1"/>
          <w:numId w:val="1"/>
        </w:numPr>
        <w:rPr>
          <w:rFonts w:hAnsi="宋体"/>
        </w:rPr>
      </w:pPr>
      <w:r>
        <w:rPr>
          <w:rFonts w:hint="eastAsia" w:hAnsi="宋体"/>
        </w:rPr>
        <w:t>具备图像左右翻转、上下翻转和中心对称功能；</w:t>
      </w:r>
    </w:p>
    <w:p w14:paraId="728A0F62">
      <w:pPr>
        <w:pStyle w:val="41"/>
        <w:numPr>
          <w:ilvl w:val="1"/>
          <w:numId w:val="1"/>
        </w:numPr>
        <w:rPr>
          <w:rFonts w:hAnsi="宋体"/>
        </w:rPr>
      </w:pPr>
      <w:r>
        <w:rPr>
          <w:rFonts w:hint="eastAsia" w:hAnsi="宋体"/>
        </w:rPr>
        <w:t>支持内部/外部存储，摄像主机内置存储空间≥2TB，无需外接存储设备即可一键保存手术视频或图片。</w:t>
      </w:r>
    </w:p>
    <w:p w14:paraId="357D0B47">
      <w:pPr>
        <w:pStyle w:val="41"/>
        <w:numPr>
          <w:ilvl w:val="1"/>
          <w:numId w:val="1"/>
        </w:numPr>
        <w:rPr>
          <w:rFonts w:hAnsi="宋体"/>
        </w:rPr>
      </w:pPr>
      <w:r>
        <w:rPr>
          <w:rFonts w:hint="eastAsia" w:hAnsi="宋体"/>
        </w:rPr>
        <w:t>可录制分辨率3840×2160和1920×1080的视频图像，支持录制3D格式手术视频；可设置录像分辨率、帧率。</w:t>
      </w:r>
    </w:p>
    <w:p w14:paraId="19267332">
      <w:pPr>
        <w:pStyle w:val="41"/>
        <w:numPr>
          <w:ilvl w:val="1"/>
          <w:numId w:val="1"/>
        </w:numPr>
        <w:rPr>
          <w:rFonts w:hAnsi="宋体"/>
        </w:rPr>
      </w:pPr>
      <w:r>
        <w:rPr>
          <w:rFonts w:hint="eastAsia" w:hAnsi="宋体"/>
        </w:rPr>
        <w:t>液晶触摸屏显示屏≥8英寸，可触摸屏上进行功能和参数的设置；可主机触摸屏、脚踏控制多画面组合显示方式。</w:t>
      </w:r>
    </w:p>
    <w:p w14:paraId="731DF4D1">
      <w:pPr>
        <w:pStyle w:val="41"/>
        <w:numPr>
          <w:ilvl w:val="1"/>
          <w:numId w:val="1"/>
        </w:numPr>
        <w:rPr>
          <w:rFonts w:hAnsi="宋体"/>
        </w:rPr>
      </w:pPr>
      <w:r>
        <w:rPr>
          <w:rFonts w:hint="eastAsia" w:hAnsi="宋体"/>
        </w:rPr>
        <w:t>视频信号输出接口至少包括：HDMI、12G-SDI、DP、DVI；视频信号输入接口至少包括：HDMI、12G-SDI、DVI。</w:t>
      </w:r>
    </w:p>
    <w:p w14:paraId="5F45E3D8">
      <w:pPr>
        <w:pStyle w:val="41"/>
        <w:rPr>
          <w:rFonts w:hAnsi="宋体"/>
        </w:rPr>
      </w:pPr>
      <w:r>
        <w:rPr>
          <w:rFonts w:hint="eastAsia" w:hAnsi="宋体"/>
        </w:rPr>
        <w:t>冷光源：</w:t>
      </w:r>
    </w:p>
    <w:p w14:paraId="1742C14B">
      <w:pPr>
        <w:spacing w:line="360" w:lineRule="auto"/>
        <w:ind w:left="818" w:leftChars="302" w:hanging="184" w:hangingChars="77"/>
        <w:rPr>
          <w:rFonts w:ascii="宋体" w:hAnsi="宋体"/>
          <w:sz w:val="24"/>
        </w:rPr>
      </w:pPr>
      <w:r>
        <w:rPr>
          <w:rFonts w:hint="eastAsia" w:ascii="宋体" w:hAnsi="宋体"/>
          <w:sz w:val="24"/>
        </w:rPr>
        <w:t>▲2.1.白光光源：LED；荧光光源：3R级医用激光光源或优于；可同时输出近红外激光和白光。</w:t>
      </w:r>
    </w:p>
    <w:p w14:paraId="76FE1C54">
      <w:pPr>
        <w:pStyle w:val="41"/>
        <w:numPr>
          <w:ilvl w:val="1"/>
          <w:numId w:val="19"/>
        </w:numPr>
        <w:rPr>
          <w:rFonts w:hAnsi="宋体"/>
        </w:rPr>
      </w:pPr>
      <w:r>
        <w:rPr>
          <w:rFonts w:hint="eastAsia" w:hAnsi="宋体"/>
        </w:rPr>
        <w:t>光源的输出总光通量：≥1000lm。</w:t>
      </w:r>
    </w:p>
    <w:p w14:paraId="0D91CAAA">
      <w:pPr>
        <w:pStyle w:val="41"/>
        <w:numPr>
          <w:ilvl w:val="1"/>
          <w:numId w:val="1"/>
        </w:numPr>
        <w:rPr>
          <w:rFonts w:hAnsi="宋体"/>
        </w:rPr>
      </w:pPr>
      <w:r>
        <w:rPr>
          <w:rFonts w:hint="eastAsia" w:hAnsi="宋体"/>
        </w:rPr>
        <w:t>LED灯泡工作寿命：≥40000h。</w:t>
      </w:r>
    </w:p>
    <w:p w14:paraId="2D1890E2">
      <w:pPr>
        <w:pStyle w:val="41"/>
        <w:numPr>
          <w:ilvl w:val="1"/>
          <w:numId w:val="1"/>
        </w:numPr>
        <w:rPr>
          <w:rFonts w:hAnsi="宋体"/>
        </w:rPr>
      </w:pPr>
      <w:r>
        <w:rPr>
          <w:rFonts w:hint="eastAsia" w:hAnsi="宋体"/>
        </w:rPr>
        <w:t>色温：3000～7000K。</w:t>
      </w:r>
    </w:p>
    <w:p w14:paraId="227AFFA0">
      <w:pPr>
        <w:pStyle w:val="41"/>
        <w:numPr>
          <w:ilvl w:val="1"/>
          <w:numId w:val="1"/>
        </w:numPr>
        <w:rPr>
          <w:rFonts w:hAnsi="宋体"/>
        </w:rPr>
      </w:pPr>
      <w:r>
        <w:rPr>
          <w:rFonts w:hint="eastAsia" w:hAnsi="宋体"/>
        </w:rPr>
        <w:t>显色指数：≥90。</w:t>
      </w:r>
    </w:p>
    <w:p w14:paraId="63AD6893">
      <w:pPr>
        <w:pStyle w:val="41"/>
        <w:numPr>
          <w:ilvl w:val="1"/>
          <w:numId w:val="1"/>
        </w:numPr>
        <w:rPr>
          <w:rFonts w:hAnsi="宋体"/>
        </w:rPr>
      </w:pPr>
      <w:r>
        <w:rPr>
          <w:rFonts w:hint="eastAsia" w:hAnsi="宋体"/>
        </w:rPr>
        <w:t>荧光模式下激光部分峰值波长：787nm±20nm。</w:t>
      </w:r>
    </w:p>
    <w:p w14:paraId="0E91CC3C">
      <w:pPr>
        <w:pStyle w:val="41"/>
        <w:numPr>
          <w:ilvl w:val="1"/>
          <w:numId w:val="1"/>
        </w:numPr>
        <w:rPr>
          <w:rFonts w:hAnsi="宋体"/>
        </w:rPr>
      </w:pPr>
      <w:r>
        <w:rPr>
          <w:rFonts w:hint="eastAsia" w:hAnsi="宋体"/>
        </w:rPr>
        <w:t>300nm-1700nm波长范围内的辐射通量和光通量比值≤6mW/lm。</w:t>
      </w:r>
    </w:p>
    <w:p w14:paraId="0A54E4CE">
      <w:pPr>
        <w:pStyle w:val="41"/>
        <w:numPr>
          <w:ilvl w:val="1"/>
          <w:numId w:val="1"/>
        </w:numPr>
        <w:rPr>
          <w:rFonts w:hAnsi="宋体"/>
        </w:rPr>
      </w:pPr>
      <w:r>
        <w:rPr>
          <w:rFonts w:hint="eastAsia" w:hAnsi="宋体"/>
        </w:rPr>
        <w:t>可自动调光、手动调光，亮度≥20级可调。</w:t>
      </w:r>
    </w:p>
    <w:p w14:paraId="75DA5F7E">
      <w:pPr>
        <w:pStyle w:val="41"/>
        <w:numPr>
          <w:ilvl w:val="1"/>
          <w:numId w:val="1"/>
        </w:numPr>
        <w:rPr>
          <w:rFonts w:hAnsi="宋体"/>
        </w:rPr>
      </w:pPr>
      <w:r>
        <w:rPr>
          <w:rFonts w:hint="eastAsia" w:hAnsi="宋体"/>
        </w:rPr>
        <w:t>液晶触摸显示屏≥8英寸，可在触摸屏上进行LED光源的常用参数调整。</w:t>
      </w:r>
    </w:p>
    <w:p w14:paraId="558E4881">
      <w:pPr>
        <w:pStyle w:val="41"/>
        <w:numPr>
          <w:ilvl w:val="1"/>
          <w:numId w:val="1"/>
        </w:numPr>
        <w:rPr>
          <w:rFonts w:hAnsi="宋体"/>
        </w:rPr>
      </w:pPr>
      <w:r>
        <w:rPr>
          <w:rFonts w:hint="eastAsia" w:hAnsi="宋体"/>
        </w:rPr>
        <w:t>有双重出光防护功能，未插入光纤时光源不出光，并有文字提示。</w:t>
      </w:r>
    </w:p>
    <w:p w14:paraId="4E804DB6">
      <w:pPr>
        <w:pStyle w:val="41"/>
        <w:numPr>
          <w:ilvl w:val="1"/>
          <w:numId w:val="1"/>
        </w:numPr>
        <w:rPr>
          <w:rFonts w:hAnsi="宋体"/>
        </w:rPr>
      </w:pPr>
      <w:r>
        <w:rPr>
          <w:rFonts w:hint="eastAsia" w:hAnsi="宋体"/>
        </w:rPr>
        <w:t>具有自检功能，可实时查看光源设备状态，包含使用时长、光源温度、光源功率等；具有光源寿命提示功能。</w:t>
      </w:r>
    </w:p>
    <w:p w14:paraId="2B321895">
      <w:pPr>
        <w:pStyle w:val="41"/>
        <w:numPr>
          <w:ilvl w:val="1"/>
          <w:numId w:val="1"/>
        </w:numPr>
        <w:rPr>
          <w:rFonts w:hAnsi="宋体"/>
        </w:rPr>
      </w:pPr>
      <w:r>
        <w:rPr>
          <w:rFonts w:hint="eastAsia" w:hAnsi="宋体"/>
        </w:rPr>
        <w:t>运行最大噪声≤55dB（A）</w:t>
      </w:r>
    </w:p>
    <w:p w14:paraId="3BE5E153">
      <w:pPr>
        <w:pStyle w:val="41"/>
        <w:rPr>
          <w:rFonts w:hAnsi="宋体"/>
        </w:rPr>
      </w:pPr>
      <w:r>
        <w:rPr>
          <w:rFonts w:hint="eastAsia" w:hAnsi="宋体"/>
        </w:rPr>
        <w:t>4K 3D医用监视器：</w:t>
      </w:r>
    </w:p>
    <w:p w14:paraId="7D01F4C8">
      <w:pPr>
        <w:pStyle w:val="41"/>
        <w:numPr>
          <w:ilvl w:val="1"/>
          <w:numId w:val="20"/>
        </w:numPr>
        <w:rPr>
          <w:rFonts w:hAnsi="宋体"/>
        </w:rPr>
      </w:pPr>
      <w:r>
        <w:rPr>
          <w:rFonts w:hint="eastAsia" w:hAnsi="宋体"/>
        </w:rPr>
        <w:t>屏幕尺寸：≥31英寸，分辨率≥3840×2160；左右与上下可视角度均≥175°</w:t>
      </w:r>
    </w:p>
    <w:p w14:paraId="4F188F5F">
      <w:pPr>
        <w:pStyle w:val="41"/>
        <w:numPr>
          <w:ilvl w:val="1"/>
          <w:numId w:val="1"/>
        </w:numPr>
        <w:rPr>
          <w:rFonts w:hAnsi="宋体"/>
        </w:rPr>
      </w:pPr>
      <w:r>
        <w:rPr>
          <w:rFonts w:hint="eastAsia" w:hAnsi="宋体"/>
        </w:rPr>
        <w:t>最大亮度≥1700 cd/㎡；、最大对比度≥1000000:1；</w:t>
      </w:r>
    </w:p>
    <w:p w14:paraId="7C410CF2">
      <w:pPr>
        <w:pStyle w:val="41"/>
        <w:numPr>
          <w:ilvl w:val="1"/>
          <w:numId w:val="1"/>
        </w:numPr>
        <w:rPr>
          <w:rFonts w:hAnsi="宋体"/>
        </w:rPr>
      </w:pPr>
      <w:r>
        <w:rPr>
          <w:rFonts w:hint="eastAsia" w:hAnsi="宋体"/>
        </w:rPr>
        <w:t>具备画中画、画边画、画外画、画面镜像，画面旋转等多种显示模式；具备屏幕克隆输出技术。</w:t>
      </w:r>
    </w:p>
    <w:p w14:paraId="669A8D28">
      <w:pPr>
        <w:pStyle w:val="41"/>
        <w:rPr>
          <w:rFonts w:hAnsi="宋体"/>
        </w:rPr>
      </w:pPr>
      <w:r>
        <w:rPr>
          <w:rFonts w:hint="eastAsia" w:hAnsi="宋体"/>
        </w:rPr>
        <w:t xml:space="preserve"> 4K3D荧光电子镜：</w:t>
      </w:r>
    </w:p>
    <w:p w14:paraId="52263170">
      <w:pPr>
        <w:pStyle w:val="41"/>
        <w:numPr>
          <w:ilvl w:val="1"/>
          <w:numId w:val="21"/>
        </w:numPr>
        <w:rPr>
          <w:rFonts w:hAnsi="宋体"/>
        </w:rPr>
      </w:pPr>
      <w:r>
        <w:rPr>
          <w:rFonts w:hint="eastAsia" w:hAnsi="宋体"/>
        </w:rPr>
        <w:t xml:space="preserve">4K 3D 荧光三合一电子胸腹腔内窥镜，一根镜子即可实现≥3840×2160分辨率的3D画面，可同时显示荧光信号。 </w:t>
      </w:r>
    </w:p>
    <w:p w14:paraId="1E4383D6">
      <w:pPr>
        <w:spacing w:line="360" w:lineRule="auto"/>
        <w:ind w:left="818" w:leftChars="302" w:hanging="184" w:hangingChars="77"/>
        <w:rPr>
          <w:rFonts w:ascii="宋体" w:hAnsi="宋体"/>
          <w:sz w:val="24"/>
        </w:rPr>
      </w:pPr>
      <w:r>
        <w:rPr>
          <w:rFonts w:hint="eastAsia" w:ascii="宋体" w:hAnsi="宋体"/>
          <w:sz w:val="24"/>
        </w:rPr>
        <w:t>▲4.2.视野方向：30°，视场角≥81°。</w:t>
      </w:r>
    </w:p>
    <w:p w14:paraId="1F255CAB">
      <w:pPr>
        <w:pStyle w:val="41"/>
        <w:numPr>
          <w:ilvl w:val="1"/>
          <w:numId w:val="22"/>
        </w:numPr>
        <w:rPr>
          <w:rFonts w:hAnsi="宋体"/>
        </w:rPr>
      </w:pPr>
      <w:r>
        <w:rPr>
          <w:rFonts w:hint="eastAsia" w:hAnsi="宋体"/>
        </w:rPr>
        <w:t>视场中心角分辨力≥9C/°；</w:t>
      </w:r>
    </w:p>
    <w:p w14:paraId="7760E13D">
      <w:pPr>
        <w:spacing w:line="360" w:lineRule="auto"/>
        <w:ind w:left="818" w:leftChars="302" w:hanging="184" w:hangingChars="77"/>
        <w:rPr>
          <w:rFonts w:ascii="宋体" w:hAnsi="宋体"/>
          <w:sz w:val="24"/>
        </w:rPr>
      </w:pPr>
      <w:r>
        <w:rPr>
          <w:rFonts w:hint="eastAsia" w:ascii="宋体" w:hAnsi="宋体"/>
          <w:sz w:val="24"/>
        </w:rPr>
        <w:t>▲4.4.外径≤10mm，工作长度≥330mm。</w:t>
      </w:r>
    </w:p>
    <w:p w14:paraId="5AADC82F">
      <w:pPr>
        <w:pStyle w:val="41"/>
        <w:numPr>
          <w:ilvl w:val="1"/>
          <w:numId w:val="23"/>
        </w:numPr>
        <w:rPr>
          <w:rFonts w:hAnsi="宋体"/>
        </w:rPr>
      </w:pPr>
      <w:r>
        <w:rPr>
          <w:rFonts w:hint="eastAsia" w:hAnsi="宋体"/>
        </w:rPr>
        <w:t>镜头景深范围：30mm～200mm，免调焦设计。</w:t>
      </w:r>
    </w:p>
    <w:p w14:paraId="57E5A9FC">
      <w:pPr>
        <w:pStyle w:val="41"/>
        <w:numPr>
          <w:ilvl w:val="1"/>
          <w:numId w:val="1"/>
        </w:numPr>
        <w:rPr>
          <w:rFonts w:hAnsi="宋体"/>
        </w:rPr>
      </w:pPr>
      <w:r>
        <w:rPr>
          <w:rFonts w:hint="eastAsia" w:hAnsi="宋体"/>
        </w:rPr>
        <w:t>可360°旋转，具备镜身姿态感知功能，支持自动水平校正；</w:t>
      </w:r>
    </w:p>
    <w:p w14:paraId="20B70C81">
      <w:pPr>
        <w:pStyle w:val="41"/>
        <w:numPr>
          <w:ilvl w:val="1"/>
          <w:numId w:val="1"/>
        </w:numPr>
        <w:rPr>
          <w:rFonts w:hAnsi="宋体"/>
        </w:rPr>
      </w:pPr>
      <w:r>
        <w:rPr>
          <w:rFonts w:hint="eastAsia" w:hAnsi="宋体"/>
        </w:rPr>
        <w:t>支持戊二醛消毒和低温等离子灭菌。</w:t>
      </w:r>
    </w:p>
    <w:p w14:paraId="2967702E">
      <w:pPr>
        <w:pStyle w:val="41"/>
        <w:rPr>
          <w:rFonts w:hAnsi="宋体"/>
        </w:rPr>
      </w:pPr>
      <w:r>
        <w:rPr>
          <w:rFonts w:hint="eastAsia" w:hAnsi="宋体"/>
        </w:rPr>
        <w:t>4K摄像头：</w:t>
      </w:r>
    </w:p>
    <w:p w14:paraId="00475AD9">
      <w:pPr>
        <w:spacing w:line="360" w:lineRule="auto"/>
        <w:ind w:left="818" w:leftChars="302" w:hanging="184" w:hangingChars="77"/>
        <w:rPr>
          <w:rFonts w:ascii="宋体" w:hAnsi="宋体"/>
          <w:sz w:val="24"/>
        </w:rPr>
      </w:pPr>
      <w:r>
        <w:rPr>
          <w:rFonts w:hint="eastAsia" w:ascii="宋体" w:hAnsi="宋体"/>
          <w:sz w:val="24"/>
        </w:rPr>
        <w:t>▲5.1.焦距调节范围：14～32mm，可一键自动光学变焦。</w:t>
      </w:r>
    </w:p>
    <w:p w14:paraId="4C74EAE8">
      <w:pPr>
        <w:pStyle w:val="41"/>
        <w:numPr>
          <w:ilvl w:val="1"/>
          <w:numId w:val="24"/>
        </w:numPr>
        <w:rPr>
          <w:rFonts w:hAnsi="宋体"/>
        </w:rPr>
      </w:pPr>
      <w:r>
        <w:rPr>
          <w:rFonts w:hint="eastAsia" w:hAnsi="宋体"/>
        </w:rPr>
        <w:t>具有自动对焦功能，可通过摄像头实现一键对焦。</w:t>
      </w:r>
    </w:p>
    <w:p w14:paraId="3C64A957">
      <w:pPr>
        <w:pStyle w:val="41"/>
        <w:numPr>
          <w:ilvl w:val="1"/>
          <w:numId w:val="1"/>
        </w:numPr>
        <w:rPr>
          <w:rFonts w:hAnsi="宋体"/>
        </w:rPr>
      </w:pPr>
      <w:r>
        <w:rPr>
          <w:rFonts w:hint="eastAsia" w:hAnsi="宋体"/>
        </w:rPr>
        <w:t>白光最小照度≤0.01Lux。</w:t>
      </w:r>
    </w:p>
    <w:p w14:paraId="7CC13569">
      <w:pPr>
        <w:pStyle w:val="41"/>
        <w:numPr>
          <w:ilvl w:val="1"/>
          <w:numId w:val="1"/>
        </w:numPr>
        <w:rPr>
          <w:rFonts w:hAnsi="宋体"/>
        </w:rPr>
      </w:pPr>
      <w:r>
        <w:rPr>
          <w:rFonts w:hint="eastAsia" w:hAnsi="宋体"/>
        </w:rPr>
        <w:t>自定义按键≥3个，可自定义功能包括白平衡、录像、多源显示模式、画面亮度调节。</w:t>
      </w:r>
    </w:p>
    <w:p w14:paraId="1B2AEFF0">
      <w:pPr>
        <w:pStyle w:val="41"/>
        <w:numPr>
          <w:ilvl w:val="1"/>
          <w:numId w:val="1"/>
        </w:numPr>
        <w:rPr>
          <w:rFonts w:hAnsi="宋体"/>
        </w:rPr>
      </w:pPr>
      <w:r>
        <w:rPr>
          <w:rFonts w:hint="eastAsia" w:hAnsi="宋体"/>
        </w:rPr>
        <w:t>摄像头防护等级： IPX7或以上。</w:t>
      </w:r>
    </w:p>
    <w:p w14:paraId="59438827">
      <w:pPr>
        <w:pStyle w:val="41"/>
        <w:numPr>
          <w:ilvl w:val="1"/>
          <w:numId w:val="1"/>
        </w:numPr>
        <w:rPr>
          <w:rFonts w:hAnsi="宋体"/>
        </w:rPr>
      </w:pPr>
      <w:r>
        <w:rPr>
          <w:rFonts w:hint="eastAsia" w:hAnsi="宋体"/>
        </w:rPr>
        <w:t>可戊二醛消毒和低温等离子灭菌。</w:t>
      </w:r>
    </w:p>
    <w:p w14:paraId="0ECB2254">
      <w:pPr>
        <w:pStyle w:val="41"/>
        <w:numPr>
          <w:ilvl w:val="1"/>
          <w:numId w:val="1"/>
        </w:numPr>
        <w:rPr>
          <w:rFonts w:hAnsi="宋体"/>
        </w:rPr>
      </w:pPr>
      <w:r>
        <w:rPr>
          <w:rFonts w:hint="eastAsia" w:hAnsi="宋体"/>
        </w:rPr>
        <w:t>摄像头重量：≤250g.</w:t>
      </w:r>
    </w:p>
    <w:p w14:paraId="21F0A20C">
      <w:pPr>
        <w:pStyle w:val="41"/>
        <w:rPr>
          <w:rFonts w:hAnsi="宋体"/>
        </w:rPr>
      </w:pPr>
      <w:r>
        <w:rPr>
          <w:rFonts w:hint="eastAsia" w:hAnsi="宋体"/>
        </w:rPr>
        <w:t>腹腔镜：</w:t>
      </w:r>
    </w:p>
    <w:p w14:paraId="27855C4F">
      <w:pPr>
        <w:pStyle w:val="41"/>
        <w:numPr>
          <w:ilvl w:val="1"/>
          <w:numId w:val="25"/>
        </w:numPr>
        <w:rPr>
          <w:rFonts w:hAnsi="宋体"/>
        </w:rPr>
      </w:pPr>
      <w:r>
        <w:rPr>
          <w:rFonts w:hint="eastAsia" w:hAnsi="宋体"/>
        </w:rPr>
        <w:t xml:space="preserve">视野方向：0°、30°可选； </w:t>
      </w:r>
    </w:p>
    <w:p w14:paraId="42331425">
      <w:pPr>
        <w:pStyle w:val="41"/>
        <w:numPr>
          <w:ilvl w:val="1"/>
          <w:numId w:val="1"/>
        </w:numPr>
        <w:rPr>
          <w:rFonts w:hAnsi="宋体"/>
        </w:rPr>
      </w:pPr>
      <w:r>
        <w:rPr>
          <w:rFonts w:hint="eastAsia" w:hAnsi="宋体"/>
        </w:rPr>
        <w:t>视野角度：≥75°。</w:t>
      </w:r>
    </w:p>
    <w:p w14:paraId="3C98BA4A">
      <w:pPr>
        <w:pStyle w:val="41"/>
        <w:numPr>
          <w:ilvl w:val="1"/>
          <w:numId w:val="1"/>
        </w:numPr>
        <w:rPr>
          <w:rFonts w:hAnsi="宋体"/>
        </w:rPr>
      </w:pPr>
      <w:r>
        <w:rPr>
          <w:rFonts w:hint="eastAsia" w:hAnsi="宋体"/>
        </w:rPr>
        <w:t>景深：3-200mm。</w:t>
      </w:r>
    </w:p>
    <w:p w14:paraId="4A2F8379">
      <w:pPr>
        <w:pStyle w:val="41"/>
        <w:numPr>
          <w:ilvl w:val="1"/>
          <w:numId w:val="1"/>
        </w:numPr>
        <w:rPr>
          <w:rFonts w:hAnsi="宋体"/>
        </w:rPr>
      </w:pPr>
      <w:r>
        <w:rPr>
          <w:rFonts w:hint="eastAsia" w:hAnsi="宋体"/>
        </w:rPr>
        <w:t>直径：≤</w:t>
      </w:r>
      <w:r>
        <w:rPr>
          <w:rFonts w:hAnsi="宋体"/>
        </w:rPr>
        <w:t>10mm</w:t>
      </w:r>
      <w:r>
        <w:rPr>
          <w:rFonts w:hint="eastAsia" w:hAnsi="宋体"/>
        </w:rPr>
        <w:t>；</w:t>
      </w:r>
      <w:r>
        <w:rPr>
          <w:rFonts w:hAnsi="宋体"/>
        </w:rPr>
        <w:t>0°</w:t>
      </w:r>
      <w:r>
        <w:rPr>
          <w:rFonts w:hint="eastAsia" w:hAnsi="宋体"/>
        </w:rPr>
        <w:t>腹腔镜</w:t>
      </w:r>
      <w:r>
        <w:rPr>
          <w:rFonts w:ascii="Times New Roman"/>
        </w:rPr>
        <w:t> </w:t>
      </w:r>
      <w:r>
        <w:rPr>
          <w:rFonts w:hint="eastAsia" w:hAnsi="宋体"/>
        </w:rPr>
        <w:t>工作长度：≥</w:t>
      </w:r>
      <w:r>
        <w:rPr>
          <w:rFonts w:hAnsi="宋体"/>
        </w:rPr>
        <w:t>300mm</w:t>
      </w:r>
      <w:r>
        <w:rPr>
          <w:rFonts w:hint="eastAsia" w:hAnsi="宋体"/>
        </w:rPr>
        <w:t>；</w:t>
      </w:r>
      <w:r>
        <w:rPr>
          <w:rFonts w:hAnsi="宋体"/>
        </w:rPr>
        <w:t>30°</w:t>
      </w:r>
      <w:r>
        <w:rPr>
          <w:rFonts w:hint="eastAsia" w:hAnsi="宋体"/>
        </w:rPr>
        <w:t>腹腔镜</w:t>
      </w:r>
      <w:r>
        <w:rPr>
          <w:rFonts w:ascii="Times New Roman"/>
        </w:rPr>
        <w:t> </w:t>
      </w:r>
      <w:r>
        <w:rPr>
          <w:rFonts w:hint="eastAsia" w:hAnsi="宋体"/>
        </w:rPr>
        <w:t>工作长度：≥</w:t>
      </w:r>
      <w:r>
        <w:rPr>
          <w:rFonts w:hAnsi="宋体"/>
        </w:rPr>
        <w:t>330mm</w:t>
      </w:r>
      <w:r>
        <w:rPr>
          <w:rFonts w:hint="eastAsia" w:hAnsi="宋体"/>
        </w:rPr>
        <w:t>。</w:t>
      </w:r>
    </w:p>
    <w:p w14:paraId="1BD38397">
      <w:pPr>
        <w:pStyle w:val="41"/>
        <w:numPr>
          <w:ilvl w:val="1"/>
          <w:numId w:val="1"/>
        </w:numPr>
        <w:rPr>
          <w:rFonts w:hAnsi="宋体"/>
        </w:rPr>
      </w:pPr>
      <w:r>
        <w:rPr>
          <w:rFonts w:hint="eastAsia" w:hAnsi="宋体"/>
        </w:rPr>
        <w:t>中心角分辨力：≥9C/(°)@ 光学工作距离d0处。</w:t>
      </w:r>
    </w:p>
    <w:p w14:paraId="1C6BE809">
      <w:pPr>
        <w:pStyle w:val="41"/>
        <w:numPr>
          <w:ilvl w:val="1"/>
          <w:numId w:val="1"/>
        </w:numPr>
        <w:rPr>
          <w:rFonts w:hAnsi="宋体"/>
        </w:rPr>
      </w:pPr>
      <w:r>
        <w:rPr>
          <w:rFonts w:hint="eastAsia" w:hAnsi="宋体"/>
        </w:rPr>
        <w:t>显色指数Ra≥94@A标准照明体下。</w:t>
      </w:r>
    </w:p>
    <w:p w14:paraId="72B1733D">
      <w:pPr>
        <w:pStyle w:val="41"/>
        <w:numPr>
          <w:ilvl w:val="1"/>
          <w:numId w:val="1"/>
        </w:numPr>
        <w:rPr>
          <w:rFonts w:hAnsi="宋体"/>
        </w:rPr>
      </w:pPr>
      <w:r>
        <w:rPr>
          <w:rFonts w:hint="eastAsia" w:hAnsi="宋体"/>
        </w:rPr>
        <w:t xml:space="preserve">有效景深范围内检查，边缘均匀度≤3%。 </w:t>
      </w:r>
    </w:p>
    <w:p w14:paraId="1C9EE06D">
      <w:pPr>
        <w:pStyle w:val="41"/>
        <w:numPr>
          <w:ilvl w:val="1"/>
          <w:numId w:val="1"/>
        </w:numPr>
        <w:rPr>
          <w:rFonts w:hAnsi="宋体"/>
        </w:rPr>
      </w:pPr>
      <w:r>
        <w:rPr>
          <w:rFonts w:hint="eastAsia" w:hAnsi="宋体"/>
        </w:rPr>
        <w:t>单位相对畸变控制量：≤3%。</w:t>
      </w:r>
    </w:p>
    <w:p w14:paraId="1614736B">
      <w:pPr>
        <w:pStyle w:val="41"/>
        <w:numPr>
          <w:ilvl w:val="1"/>
          <w:numId w:val="1"/>
        </w:numPr>
        <w:rPr>
          <w:rFonts w:hAnsi="宋体"/>
        </w:rPr>
      </w:pPr>
      <w:r>
        <w:rPr>
          <w:rFonts w:hint="eastAsia" w:hAnsi="宋体"/>
        </w:rPr>
        <w:t>可高温高压及低温等离子灭菌（≥500次），消毒灭菌后照明光路输出光通量变化率≤1%。</w:t>
      </w:r>
    </w:p>
    <w:p w14:paraId="299C7DBB">
      <w:pPr>
        <w:pStyle w:val="41"/>
        <w:rPr>
          <w:rFonts w:hAnsi="宋体"/>
        </w:rPr>
      </w:pPr>
      <w:r>
        <w:rPr>
          <w:rFonts w:hint="eastAsia" w:hAnsi="宋体"/>
        </w:rPr>
        <w:t>气腹机 ：</w:t>
      </w:r>
    </w:p>
    <w:p w14:paraId="739028B3">
      <w:pPr>
        <w:pStyle w:val="41"/>
        <w:numPr>
          <w:ilvl w:val="1"/>
          <w:numId w:val="26"/>
        </w:numPr>
        <w:rPr>
          <w:rFonts w:hAnsi="宋体"/>
        </w:rPr>
      </w:pPr>
      <w:r>
        <w:rPr>
          <w:rFonts w:hint="eastAsia" w:hAnsi="宋体"/>
        </w:rPr>
        <w:t>压力控制范围：1～30mmHg；调节步长≤1mmHg。</w:t>
      </w:r>
    </w:p>
    <w:p w14:paraId="7C765CF3">
      <w:pPr>
        <w:pStyle w:val="41"/>
        <w:numPr>
          <w:ilvl w:val="1"/>
          <w:numId w:val="1"/>
        </w:numPr>
        <w:rPr>
          <w:rFonts w:hAnsi="宋体"/>
        </w:rPr>
      </w:pPr>
      <w:r>
        <w:rPr>
          <w:rFonts w:hint="eastAsia" w:hAnsi="宋体"/>
        </w:rPr>
        <w:t>流量设定范围：0.1～45L/min，调节步长≤0.1L/min。</w:t>
      </w:r>
    </w:p>
    <w:p w14:paraId="63D8D547">
      <w:pPr>
        <w:pStyle w:val="41"/>
        <w:numPr>
          <w:ilvl w:val="1"/>
          <w:numId w:val="1"/>
        </w:numPr>
        <w:rPr>
          <w:rFonts w:hAnsi="宋体"/>
        </w:rPr>
      </w:pPr>
      <w:r>
        <w:rPr>
          <w:rFonts w:hint="eastAsia" w:hAnsi="宋体"/>
        </w:rPr>
        <w:t>具有气体加热功能，气体加热温度：37℃土4℃；气腹管温度&gt;41℃时，可显示屏与声音提示，并停止加热。</w:t>
      </w:r>
    </w:p>
    <w:p w14:paraId="107B0081">
      <w:pPr>
        <w:pStyle w:val="41"/>
        <w:numPr>
          <w:ilvl w:val="1"/>
          <w:numId w:val="1"/>
        </w:numPr>
        <w:rPr>
          <w:rFonts w:hAnsi="宋体"/>
        </w:rPr>
      </w:pPr>
      <w:r>
        <w:rPr>
          <w:rFonts w:hint="eastAsia" w:hAnsi="宋体"/>
        </w:rPr>
        <w:t>具有控制排烟功能，最大排烟流量≥10L/min@负压吸力0.04～0.06MPa。</w:t>
      </w:r>
    </w:p>
    <w:p w14:paraId="59CF0411">
      <w:pPr>
        <w:pStyle w:val="41"/>
        <w:numPr>
          <w:ilvl w:val="1"/>
          <w:numId w:val="1"/>
        </w:numPr>
        <w:rPr>
          <w:rFonts w:hAnsi="宋体"/>
        </w:rPr>
      </w:pPr>
      <w:r>
        <w:rPr>
          <w:rFonts w:hint="eastAsia" w:hAnsi="宋体"/>
        </w:rPr>
        <w:t>自动计算进气总量并数字显示；</w:t>
      </w:r>
    </w:p>
    <w:p w14:paraId="75DBEAA5">
      <w:pPr>
        <w:pStyle w:val="41"/>
        <w:numPr>
          <w:ilvl w:val="1"/>
          <w:numId w:val="1"/>
        </w:numPr>
        <w:rPr>
          <w:rFonts w:hAnsi="宋体"/>
        </w:rPr>
      </w:pPr>
      <w:r>
        <w:rPr>
          <w:rFonts w:hint="eastAsia" w:hAnsi="宋体"/>
        </w:rPr>
        <w:t>具有过压提示声光报警功能，当实际压力超过预设压力5mmHg时自启动。具备过压释放功能，过压持续≥2s，自动释放。</w:t>
      </w:r>
    </w:p>
    <w:p w14:paraId="10C5C06B">
      <w:pPr>
        <w:pStyle w:val="41"/>
        <w:numPr>
          <w:ilvl w:val="1"/>
          <w:numId w:val="1"/>
        </w:numPr>
        <w:rPr>
          <w:rFonts w:hAnsi="宋体"/>
        </w:rPr>
      </w:pPr>
      <w:r>
        <w:rPr>
          <w:rFonts w:hint="eastAsia" w:hAnsi="宋体"/>
        </w:rPr>
        <w:t>具备气体过滤器，过滤效率≥99.9%@0.5um及以上微粒。</w:t>
      </w:r>
    </w:p>
    <w:p w14:paraId="0D7381BF">
      <w:pPr>
        <w:pStyle w:val="41"/>
        <w:rPr>
          <w:rFonts w:hAnsi="宋体"/>
        </w:rPr>
      </w:pPr>
      <w:r>
        <w:rPr>
          <w:rFonts w:hint="eastAsia" w:hAnsi="宋体"/>
        </w:rPr>
        <w:t>能量平台</w:t>
      </w:r>
    </w:p>
    <w:p w14:paraId="23452AB2">
      <w:pPr>
        <w:pStyle w:val="41"/>
        <w:numPr>
          <w:ilvl w:val="1"/>
          <w:numId w:val="27"/>
        </w:numPr>
        <w:rPr>
          <w:rFonts w:hAnsi="宋体"/>
        </w:rPr>
      </w:pPr>
      <w:r>
        <w:rPr>
          <w:rFonts w:hint="eastAsia" w:hAnsi="宋体"/>
        </w:rPr>
        <w:t>主机通用参数</w:t>
      </w:r>
    </w:p>
    <w:p w14:paraId="2F83ABE2">
      <w:pPr>
        <w:spacing w:line="360" w:lineRule="auto"/>
        <w:ind w:left="634" w:leftChars="302" w:firstLine="240" w:firstLineChars="100"/>
        <w:rPr>
          <w:rFonts w:ascii="宋体" w:hAnsi="宋体"/>
          <w:sz w:val="24"/>
        </w:rPr>
      </w:pPr>
      <w:r>
        <w:rPr>
          <w:rFonts w:hint="eastAsia" w:ascii="宋体" w:hAnsi="宋体"/>
          <w:sz w:val="24"/>
        </w:rPr>
        <w:t>▲8.1.1.可自动识别器械，可同时连接1把超声刀头、2把单极器械、1把双极器械。</w:t>
      </w:r>
    </w:p>
    <w:p w14:paraId="6965BFEF">
      <w:pPr>
        <w:pStyle w:val="41"/>
        <w:numPr>
          <w:ilvl w:val="2"/>
          <w:numId w:val="28"/>
        </w:numPr>
        <w:rPr>
          <w:rFonts w:hAnsi="宋体"/>
        </w:rPr>
      </w:pPr>
      <w:r>
        <w:rPr>
          <w:rFonts w:hint="eastAsia" w:hAnsi="宋体"/>
        </w:rPr>
        <w:t>所有器械均可使用自带手控按键或连接脚踏控制激发。</w:t>
      </w:r>
    </w:p>
    <w:p w14:paraId="7F8134EC">
      <w:pPr>
        <w:pStyle w:val="41"/>
        <w:numPr>
          <w:ilvl w:val="2"/>
          <w:numId w:val="1"/>
        </w:numPr>
        <w:rPr>
          <w:rFonts w:hAnsi="宋体"/>
        </w:rPr>
      </w:pPr>
      <w:r>
        <w:rPr>
          <w:rFonts w:hint="eastAsia" w:hAnsi="宋体"/>
        </w:rPr>
        <w:t>具备器械激发次数统计功能。</w:t>
      </w:r>
    </w:p>
    <w:p w14:paraId="1AD840AA">
      <w:pPr>
        <w:pStyle w:val="41"/>
        <w:numPr>
          <w:ilvl w:val="1"/>
          <w:numId w:val="1"/>
        </w:numPr>
        <w:rPr>
          <w:rFonts w:hAnsi="宋体"/>
        </w:rPr>
      </w:pPr>
      <w:r>
        <w:rPr>
          <w:rFonts w:hint="eastAsia" w:hAnsi="宋体"/>
        </w:rPr>
        <w:t>超声刀功能：</w:t>
      </w:r>
    </w:p>
    <w:p w14:paraId="75358834">
      <w:pPr>
        <w:pStyle w:val="41"/>
        <w:numPr>
          <w:ilvl w:val="2"/>
          <w:numId w:val="1"/>
        </w:numPr>
        <w:rPr>
          <w:rFonts w:hAnsi="宋体"/>
        </w:rPr>
      </w:pPr>
      <w:r>
        <w:rPr>
          <w:rFonts w:hint="eastAsia" w:hAnsi="宋体"/>
        </w:rPr>
        <w:t>刀头振动频≥50000Hz，最大可安全处理5mm及以下血管。</w:t>
      </w:r>
    </w:p>
    <w:p w14:paraId="21B739EA">
      <w:pPr>
        <w:spacing w:line="360" w:lineRule="auto"/>
        <w:ind w:left="634" w:leftChars="302" w:firstLine="240" w:firstLineChars="100"/>
        <w:rPr>
          <w:rFonts w:ascii="宋体" w:hAnsi="宋体"/>
          <w:sz w:val="24"/>
        </w:rPr>
      </w:pPr>
      <w:r>
        <w:rPr>
          <w:rFonts w:hint="eastAsia" w:ascii="宋体" w:hAnsi="宋体"/>
          <w:sz w:val="24"/>
        </w:rPr>
        <w:t>▲8.2.2.具备组织感应技术，能根据钳口中的组织量调整系统能量输出，输出功率≥5档可调。</w:t>
      </w:r>
    </w:p>
    <w:p w14:paraId="0D3585C6">
      <w:pPr>
        <w:pStyle w:val="41"/>
        <w:numPr>
          <w:ilvl w:val="2"/>
          <w:numId w:val="29"/>
        </w:numPr>
        <w:rPr>
          <w:rFonts w:hAnsi="宋体"/>
        </w:rPr>
      </w:pPr>
      <w:r>
        <w:rPr>
          <w:rFonts w:hint="eastAsia" w:hAnsi="宋体"/>
        </w:rPr>
        <w:t>具备自检功能，可诊断连接及工作状况，可分级报警。</w:t>
      </w:r>
    </w:p>
    <w:p w14:paraId="5959C682">
      <w:pPr>
        <w:pStyle w:val="41"/>
        <w:numPr>
          <w:ilvl w:val="2"/>
          <w:numId w:val="1"/>
        </w:numPr>
        <w:rPr>
          <w:rFonts w:hAnsi="宋体"/>
        </w:rPr>
      </w:pPr>
      <w:r>
        <w:rPr>
          <w:rFonts w:hint="eastAsia" w:hAnsi="宋体"/>
        </w:rPr>
        <w:t>可显示功率档位，刀头工作时可声音提示。</w:t>
      </w:r>
    </w:p>
    <w:p w14:paraId="6421514D">
      <w:pPr>
        <w:pStyle w:val="41"/>
        <w:numPr>
          <w:ilvl w:val="2"/>
          <w:numId w:val="1"/>
        </w:numPr>
        <w:rPr>
          <w:rFonts w:hAnsi="宋体"/>
        </w:rPr>
      </w:pPr>
      <w:r>
        <w:rPr>
          <w:rFonts w:hint="eastAsia" w:hAnsi="宋体"/>
        </w:rPr>
        <w:t>可提供开放及腔镜刀头，刀头型号≥10种可选。</w:t>
      </w:r>
    </w:p>
    <w:p w14:paraId="6D38DC46">
      <w:pPr>
        <w:pStyle w:val="41"/>
        <w:numPr>
          <w:ilvl w:val="2"/>
          <w:numId w:val="1"/>
        </w:numPr>
        <w:rPr>
          <w:rFonts w:hAnsi="宋体"/>
        </w:rPr>
      </w:pPr>
      <w:r>
        <w:rPr>
          <w:rFonts w:hint="eastAsia" w:hAnsi="宋体"/>
        </w:rPr>
        <w:t>刀头有不同的工作面，可以360度旋转。</w:t>
      </w:r>
    </w:p>
    <w:p w14:paraId="39675973">
      <w:pPr>
        <w:pStyle w:val="41"/>
        <w:numPr>
          <w:ilvl w:val="2"/>
          <w:numId w:val="1"/>
        </w:numPr>
        <w:rPr>
          <w:rFonts w:hAnsi="宋体"/>
        </w:rPr>
      </w:pPr>
      <w:r>
        <w:rPr>
          <w:rFonts w:hint="eastAsia" w:hAnsi="宋体"/>
        </w:rPr>
        <w:t>刀头尖端、夹持臂具备防粘连涂层。</w:t>
      </w:r>
    </w:p>
    <w:p w14:paraId="4CDF5988">
      <w:pPr>
        <w:pStyle w:val="41"/>
        <w:numPr>
          <w:ilvl w:val="2"/>
          <w:numId w:val="1"/>
        </w:numPr>
        <w:rPr>
          <w:rFonts w:hAnsi="宋体"/>
        </w:rPr>
      </w:pPr>
      <w:r>
        <w:rPr>
          <w:rFonts w:hint="eastAsia" w:hAnsi="宋体"/>
        </w:rPr>
        <w:t>刀杆具备刻度标识。</w:t>
      </w:r>
    </w:p>
    <w:p w14:paraId="2F7A9E8F">
      <w:pPr>
        <w:pStyle w:val="41"/>
        <w:numPr>
          <w:ilvl w:val="1"/>
          <w:numId w:val="1"/>
        </w:numPr>
        <w:rPr>
          <w:rFonts w:hAnsi="宋体"/>
        </w:rPr>
      </w:pPr>
      <w:r>
        <w:rPr>
          <w:rFonts w:hint="eastAsia" w:hAnsi="宋体"/>
        </w:rPr>
        <w:t>高频单极功能：</w:t>
      </w:r>
    </w:p>
    <w:p w14:paraId="0E2199DC">
      <w:pPr>
        <w:pStyle w:val="41"/>
        <w:numPr>
          <w:ilvl w:val="2"/>
          <w:numId w:val="1"/>
        </w:numPr>
        <w:rPr>
          <w:rFonts w:hAnsi="宋体"/>
        </w:rPr>
      </w:pPr>
      <w:r>
        <w:rPr>
          <w:rFonts w:hint="eastAsia" w:hAnsi="宋体"/>
        </w:rPr>
        <w:t>单极切割模式包括：纯切、混切。</w:t>
      </w:r>
    </w:p>
    <w:p w14:paraId="3A185275">
      <w:pPr>
        <w:pStyle w:val="41"/>
        <w:numPr>
          <w:ilvl w:val="2"/>
          <w:numId w:val="1"/>
        </w:numPr>
        <w:rPr>
          <w:rFonts w:hAnsi="宋体"/>
        </w:rPr>
      </w:pPr>
      <w:r>
        <w:rPr>
          <w:rFonts w:hint="eastAsia" w:hAnsi="宋体"/>
        </w:rPr>
        <w:t>单极凝结模式包括：软凝、电灼、喷凝。</w:t>
      </w:r>
    </w:p>
    <w:p w14:paraId="52201B8F">
      <w:pPr>
        <w:pStyle w:val="41"/>
        <w:numPr>
          <w:ilvl w:val="2"/>
          <w:numId w:val="1"/>
        </w:numPr>
        <w:rPr>
          <w:rFonts w:hAnsi="宋体"/>
        </w:rPr>
      </w:pPr>
      <w:r>
        <w:rPr>
          <w:rFonts w:hint="eastAsia" w:hAnsi="宋体"/>
        </w:rPr>
        <w:t>单极切割、凝结模式工作频率：430kHz±5kHz。</w:t>
      </w:r>
    </w:p>
    <w:p w14:paraId="34CE1A9C">
      <w:pPr>
        <w:pStyle w:val="41"/>
        <w:numPr>
          <w:ilvl w:val="2"/>
          <w:numId w:val="1"/>
        </w:numPr>
        <w:rPr>
          <w:rFonts w:hAnsi="宋体"/>
        </w:rPr>
      </w:pPr>
      <w:r>
        <w:rPr>
          <w:rFonts w:hint="eastAsia" w:hAnsi="宋体"/>
        </w:rPr>
        <w:t>具备中性电极监测电路，连续性监测中性电极与主机或病人之间的连接状态，并提供相应报警。</w:t>
      </w:r>
    </w:p>
    <w:p w14:paraId="61DFAE75">
      <w:pPr>
        <w:pStyle w:val="41"/>
        <w:numPr>
          <w:ilvl w:val="2"/>
          <w:numId w:val="1"/>
        </w:numPr>
        <w:rPr>
          <w:rFonts w:hAnsi="宋体"/>
        </w:rPr>
      </w:pPr>
      <w:r>
        <w:rPr>
          <w:rFonts w:hint="eastAsia" w:hAnsi="宋体"/>
        </w:rPr>
        <w:t>可连接成人或新生儿类型中性电极，支持连接单片及双片类型中性电极。</w:t>
      </w:r>
    </w:p>
    <w:p w14:paraId="5D34ABE6">
      <w:pPr>
        <w:pStyle w:val="41"/>
        <w:numPr>
          <w:ilvl w:val="1"/>
          <w:numId w:val="1"/>
        </w:numPr>
        <w:rPr>
          <w:rFonts w:hAnsi="宋体"/>
        </w:rPr>
      </w:pPr>
      <w:r>
        <w:rPr>
          <w:rFonts w:hint="eastAsia" w:hAnsi="宋体"/>
        </w:rPr>
        <w:t>高频双极功能</w:t>
      </w:r>
    </w:p>
    <w:p w14:paraId="48B377E3">
      <w:pPr>
        <w:pStyle w:val="41"/>
        <w:numPr>
          <w:ilvl w:val="2"/>
          <w:numId w:val="1"/>
        </w:numPr>
        <w:rPr>
          <w:rFonts w:hAnsi="宋体"/>
        </w:rPr>
      </w:pPr>
      <w:r>
        <w:rPr>
          <w:rFonts w:hint="eastAsia" w:hAnsi="宋体"/>
        </w:rPr>
        <w:t>双极凝结模式包括：精确、标准、宏、以及双极柔和电凝。</w:t>
      </w:r>
    </w:p>
    <w:p w14:paraId="280B176F">
      <w:pPr>
        <w:pStyle w:val="41"/>
        <w:numPr>
          <w:ilvl w:val="2"/>
          <w:numId w:val="1"/>
        </w:numPr>
        <w:rPr>
          <w:rFonts w:hAnsi="宋体"/>
        </w:rPr>
      </w:pPr>
      <w:r>
        <w:rPr>
          <w:rFonts w:hint="eastAsia" w:hAnsi="宋体"/>
        </w:rPr>
        <w:t>精确、标准、宏模式工作频率：430kHz±5kHz；双极柔和电凝工作频率350kHz±5kHz。</w:t>
      </w:r>
    </w:p>
    <w:p w14:paraId="4C8EBA3E">
      <w:pPr>
        <w:pStyle w:val="41"/>
        <w:numPr>
          <w:ilvl w:val="2"/>
          <w:numId w:val="1"/>
        </w:numPr>
        <w:rPr>
          <w:rFonts w:hAnsi="宋体"/>
        </w:rPr>
      </w:pPr>
      <w:r>
        <w:rPr>
          <w:rFonts w:hint="eastAsia" w:hAnsi="宋体"/>
        </w:rPr>
        <w:t>具备7mm大血管双极凝闭功能。</w:t>
      </w:r>
    </w:p>
    <w:p w14:paraId="1A8BA9DA">
      <w:pPr>
        <w:pStyle w:val="41"/>
        <w:rPr>
          <w:rFonts w:hAnsi="宋体"/>
        </w:rPr>
      </w:pPr>
      <w:r>
        <w:rPr>
          <w:rFonts w:hint="eastAsia" w:hAnsi="宋体"/>
        </w:rPr>
        <w:t>台车：</w:t>
      </w:r>
    </w:p>
    <w:p w14:paraId="7AFFD50D">
      <w:pPr>
        <w:pStyle w:val="41"/>
        <w:numPr>
          <w:ilvl w:val="1"/>
          <w:numId w:val="30"/>
        </w:numPr>
        <w:rPr>
          <w:rFonts w:hAnsi="宋体"/>
        </w:rPr>
      </w:pPr>
      <w:r>
        <w:rPr>
          <w:rFonts w:hint="eastAsia" w:hAnsi="宋体"/>
        </w:rPr>
        <w:t>监视器支架可以俯仰和水平旋转、可调节高度。</w:t>
      </w:r>
    </w:p>
    <w:p w14:paraId="439D5127">
      <w:pPr>
        <w:pStyle w:val="41"/>
        <w:numPr>
          <w:ilvl w:val="1"/>
          <w:numId w:val="1"/>
        </w:numPr>
        <w:rPr>
          <w:rFonts w:hAnsi="宋体"/>
        </w:rPr>
      </w:pPr>
      <w:r>
        <w:rPr>
          <w:rFonts w:hint="eastAsia" w:hAnsi="宋体"/>
        </w:rPr>
        <w:t>具备≥4层，且层高可调。</w:t>
      </w:r>
    </w:p>
    <w:p w14:paraId="053F21B5">
      <w:pPr>
        <w:spacing w:line="360" w:lineRule="auto"/>
        <w:ind w:firstLine="424" w:firstLineChars="177"/>
        <w:rPr>
          <w:rFonts w:ascii="宋体" w:hAnsi="宋体"/>
          <w:sz w:val="24"/>
        </w:rPr>
      </w:pPr>
      <w:r>
        <w:rPr>
          <w:rFonts w:hint="eastAsia" w:ascii="宋体" w:hAnsi="宋体"/>
          <w:sz w:val="24"/>
        </w:rPr>
        <w:t>★主要配置（每台）：</w:t>
      </w:r>
    </w:p>
    <w:p w14:paraId="61FCDCBE">
      <w:pPr>
        <w:pStyle w:val="41"/>
        <w:numPr>
          <w:ilvl w:val="0"/>
          <w:numId w:val="31"/>
        </w:numPr>
        <w:rPr>
          <w:rFonts w:hAnsi="宋体"/>
        </w:rPr>
      </w:pPr>
      <w:r>
        <w:rPr>
          <w:rFonts w:hint="eastAsia" w:hAnsi="宋体"/>
        </w:rPr>
        <w:t>4K三维荧光内窥镜摄像主机：1台。（需要提供</w:t>
      </w:r>
      <w:r>
        <w:rPr>
          <w:rFonts w:hint="eastAsia" w:hAnsi="宋体" w:cs="宋体"/>
        </w:rPr>
        <w:t>医疗器械注册证或备案凭证</w:t>
      </w:r>
      <w:r>
        <w:rPr>
          <w:rFonts w:hint="eastAsia" w:hAnsi="宋体"/>
        </w:rPr>
        <w:t>）</w:t>
      </w:r>
    </w:p>
    <w:p w14:paraId="3CAD4382">
      <w:pPr>
        <w:pStyle w:val="41"/>
        <w:numPr>
          <w:ilvl w:val="0"/>
          <w:numId w:val="31"/>
        </w:numPr>
        <w:rPr>
          <w:rFonts w:hAnsi="宋体"/>
        </w:rPr>
      </w:pPr>
      <w:r>
        <w:rPr>
          <w:rFonts w:hint="eastAsia" w:hAnsi="宋体"/>
        </w:rPr>
        <w:t>冷光源：1台。（需要提供</w:t>
      </w:r>
      <w:r>
        <w:rPr>
          <w:rFonts w:hint="eastAsia" w:hAnsi="宋体" w:cs="宋体"/>
        </w:rPr>
        <w:t>医疗器械注册证或备案凭证</w:t>
      </w:r>
      <w:r>
        <w:rPr>
          <w:rFonts w:hint="eastAsia" w:hAnsi="宋体"/>
        </w:rPr>
        <w:t>）</w:t>
      </w:r>
    </w:p>
    <w:p w14:paraId="5E03ADF0">
      <w:pPr>
        <w:pStyle w:val="41"/>
        <w:rPr>
          <w:rFonts w:hAnsi="宋体"/>
        </w:rPr>
      </w:pPr>
      <w:r>
        <w:rPr>
          <w:rFonts w:hint="eastAsia" w:hAnsi="宋体"/>
        </w:rPr>
        <w:t>4K 3D监视器：1台。</w:t>
      </w:r>
    </w:p>
    <w:p w14:paraId="4E34B69D">
      <w:pPr>
        <w:pStyle w:val="41"/>
        <w:numPr>
          <w:ilvl w:val="0"/>
          <w:numId w:val="31"/>
        </w:numPr>
        <w:rPr>
          <w:rFonts w:hAnsi="宋体"/>
        </w:rPr>
      </w:pPr>
      <w:r>
        <w:rPr>
          <w:rFonts w:hint="eastAsia" w:hAnsi="宋体"/>
        </w:rPr>
        <w:t>4K 3D荧光电子镜：1条。（需要提供</w:t>
      </w:r>
      <w:r>
        <w:rPr>
          <w:rFonts w:hint="eastAsia" w:hAnsi="宋体" w:cs="宋体"/>
        </w:rPr>
        <w:t>医疗器械注册证或备案凭证</w:t>
      </w:r>
      <w:r>
        <w:rPr>
          <w:rFonts w:hint="eastAsia" w:hAnsi="宋体"/>
        </w:rPr>
        <w:t>）</w:t>
      </w:r>
    </w:p>
    <w:p w14:paraId="574E8A7D">
      <w:pPr>
        <w:pStyle w:val="41"/>
        <w:numPr>
          <w:ilvl w:val="0"/>
          <w:numId w:val="31"/>
        </w:numPr>
        <w:rPr>
          <w:rFonts w:hAnsi="宋体"/>
        </w:rPr>
      </w:pPr>
      <w:r>
        <w:rPr>
          <w:rFonts w:hint="eastAsia" w:hAnsi="宋体"/>
        </w:rPr>
        <w:t>4K摄像头：2个。（需要提供</w:t>
      </w:r>
      <w:r>
        <w:rPr>
          <w:rFonts w:hint="eastAsia" w:hAnsi="宋体" w:cs="宋体"/>
        </w:rPr>
        <w:t>医疗器械注册证或备案凭证</w:t>
      </w:r>
      <w:r>
        <w:rPr>
          <w:rFonts w:hint="eastAsia" w:hAnsi="宋体"/>
        </w:rPr>
        <w:t>）</w:t>
      </w:r>
    </w:p>
    <w:p w14:paraId="7B23B4FF">
      <w:pPr>
        <w:pStyle w:val="41"/>
        <w:numPr>
          <w:ilvl w:val="0"/>
          <w:numId w:val="31"/>
        </w:numPr>
        <w:rPr>
          <w:rFonts w:hAnsi="宋体"/>
        </w:rPr>
      </w:pPr>
      <w:r>
        <w:rPr>
          <w:rFonts w:hint="eastAsia" w:hAnsi="宋体"/>
        </w:rPr>
        <w:t>0°光学腹腔镜：1条。（需要提供</w:t>
      </w:r>
      <w:r>
        <w:rPr>
          <w:rFonts w:hint="eastAsia" w:hAnsi="宋体" w:cs="宋体"/>
        </w:rPr>
        <w:t>医疗器械注册证或备案凭证</w:t>
      </w:r>
      <w:r>
        <w:rPr>
          <w:rFonts w:hint="eastAsia" w:hAnsi="宋体"/>
        </w:rPr>
        <w:t>）</w:t>
      </w:r>
    </w:p>
    <w:p w14:paraId="23E3A7CE">
      <w:pPr>
        <w:pStyle w:val="41"/>
        <w:numPr>
          <w:ilvl w:val="0"/>
          <w:numId w:val="31"/>
        </w:numPr>
        <w:rPr>
          <w:rFonts w:hAnsi="宋体"/>
        </w:rPr>
      </w:pPr>
      <w:r>
        <w:rPr>
          <w:rFonts w:hint="eastAsia" w:hAnsi="宋体"/>
        </w:rPr>
        <w:t>30°光学腹腔镜：1条。（需要提供</w:t>
      </w:r>
      <w:r>
        <w:rPr>
          <w:rFonts w:hint="eastAsia" w:hAnsi="宋体" w:cs="宋体"/>
        </w:rPr>
        <w:t>医疗器械注册证或备案凭证</w:t>
      </w:r>
      <w:r>
        <w:rPr>
          <w:rFonts w:hint="eastAsia" w:hAnsi="宋体"/>
        </w:rPr>
        <w:t>）</w:t>
      </w:r>
    </w:p>
    <w:p w14:paraId="6FA94567">
      <w:pPr>
        <w:pStyle w:val="41"/>
        <w:rPr>
          <w:rFonts w:hAnsi="宋体"/>
        </w:rPr>
      </w:pPr>
      <w:r>
        <w:rPr>
          <w:rFonts w:hint="eastAsia" w:hAnsi="宋体"/>
        </w:rPr>
        <w:t>导光束：6根。</w:t>
      </w:r>
    </w:p>
    <w:p w14:paraId="4BD869C4">
      <w:pPr>
        <w:pStyle w:val="41"/>
        <w:numPr>
          <w:ilvl w:val="0"/>
          <w:numId w:val="31"/>
        </w:numPr>
        <w:rPr>
          <w:rFonts w:hAnsi="宋体"/>
        </w:rPr>
      </w:pPr>
      <w:r>
        <w:rPr>
          <w:rFonts w:hint="eastAsia" w:hAnsi="宋体"/>
        </w:rPr>
        <w:t>气腹机：1台。（需要提供</w:t>
      </w:r>
      <w:r>
        <w:rPr>
          <w:rFonts w:hint="eastAsia" w:hAnsi="宋体" w:cs="宋体"/>
        </w:rPr>
        <w:t>医疗器械注册证或备案凭证</w:t>
      </w:r>
      <w:r>
        <w:rPr>
          <w:rFonts w:hint="eastAsia" w:hAnsi="宋体"/>
        </w:rPr>
        <w:t>）</w:t>
      </w:r>
    </w:p>
    <w:p w14:paraId="485E6D07">
      <w:pPr>
        <w:pStyle w:val="41"/>
        <w:numPr>
          <w:ilvl w:val="0"/>
          <w:numId w:val="31"/>
        </w:numPr>
        <w:rPr>
          <w:rFonts w:hAnsi="宋体"/>
        </w:rPr>
      </w:pPr>
      <w:r>
        <w:rPr>
          <w:rFonts w:hint="eastAsia" w:hAnsi="宋体"/>
        </w:rPr>
        <w:t>能量平台：2套。（需要提供</w:t>
      </w:r>
      <w:r>
        <w:rPr>
          <w:rFonts w:hint="eastAsia" w:hAnsi="宋体" w:cs="宋体"/>
        </w:rPr>
        <w:t>医疗器械注册证或备案凭证</w:t>
      </w:r>
      <w:r>
        <w:rPr>
          <w:rFonts w:hint="eastAsia" w:hAnsi="宋体"/>
        </w:rPr>
        <w:t>）</w:t>
      </w:r>
    </w:p>
    <w:p w14:paraId="698983CD">
      <w:pPr>
        <w:pStyle w:val="41"/>
        <w:rPr>
          <w:rFonts w:hAnsi="宋体"/>
        </w:rPr>
      </w:pPr>
      <w:r>
        <w:rPr>
          <w:rFonts w:hint="eastAsia" w:hAnsi="宋体"/>
        </w:rPr>
        <w:t>灭菌网篮：4个</w:t>
      </w:r>
    </w:p>
    <w:p w14:paraId="5B923CA4">
      <w:pPr>
        <w:pStyle w:val="41"/>
        <w:rPr>
          <w:rFonts w:hAnsi="宋体"/>
        </w:rPr>
      </w:pPr>
      <w:r>
        <w:rPr>
          <w:rFonts w:hint="eastAsia" w:hAnsi="宋体"/>
        </w:rPr>
        <w:t>台车：1辆。</w:t>
      </w:r>
    </w:p>
    <w:p w14:paraId="142D525F">
      <w:pPr>
        <w:pStyle w:val="41"/>
        <w:rPr>
          <w:rFonts w:hAnsi="宋体"/>
        </w:rPr>
      </w:pPr>
      <w:r>
        <w:rPr>
          <w:rFonts w:hint="eastAsia" w:hAnsi="宋体"/>
        </w:rPr>
        <w:t>3D眼镜：10副。</w:t>
      </w:r>
    </w:p>
    <w:p w14:paraId="29BDC47B">
      <w:pPr>
        <w:pStyle w:val="41"/>
        <w:numPr>
          <w:ilvl w:val="0"/>
          <w:numId w:val="31"/>
        </w:numPr>
        <w:rPr>
          <w:rFonts w:hAnsi="宋体"/>
        </w:rPr>
      </w:pPr>
      <w:r>
        <w:rPr>
          <w:rFonts w:hint="eastAsia" w:hAnsi="宋体"/>
        </w:rPr>
        <w:t>专用剪刀：20把。（需要提供</w:t>
      </w:r>
      <w:r>
        <w:rPr>
          <w:rFonts w:hint="eastAsia" w:hAnsi="宋体" w:cs="宋体"/>
        </w:rPr>
        <w:t>医疗器械注册证或备案凭证</w:t>
      </w:r>
      <w:r>
        <w:rPr>
          <w:rFonts w:hint="eastAsia" w:hAnsi="宋体"/>
        </w:rPr>
        <w:t>）</w:t>
      </w:r>
    </w:p>
    <w:p w14:paraId="70275E79">
      <w:pPr>
        <w:widowControl/>
        <w:jc w:val="left"/>
        <w:rPr>
          <w:rFonts w:ascii="宋体" w:hAnsi="宋体" w:cs="宋体"/>
          <w:b/>
          <w:kern w:val="0"/>
          <w:sz w:val="24"/>
        </w:rPr>
      </w:pPr>
      <w:r>
        <w:rPr>
          <w:rFonts w:hint="eastAsia" w:ascii="宋体" w:hAnsi="宋体" w:cs="宋体"/>
          <w:sz w:val="24"/>
        </w:rPr>
        <w:br w:type="page"/>
      </w:r>
    </w:p>
    <w:p w14:paraId="31604636">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18包 标的一：射频理疗仪</w:t>
      </w:r>
    </w:p>
    <w:p w14:paraId="55726201">
      <w:pPr>
        <w:pStyle w:val="41"/>
        <w:numPr>
          <w:ilvl w:val="0"/>
          <w:numId w:val="32"/>
        </w:numPr>
        <w:rPr>
          <w:rFonts w:hAnsi="宋体"/>
        </w:rPr>
      </w:pPr>
      <w:r>
        <w:rPr>
          <w:rFonts w:hint="eastAsia" w:hAnsi="宋体"/>
        </w:rPr>
        <w:t>工作频率：1MHz±10%。</w:t>
      </w:r>
    </w:p>
    <w:p w14:paraId="202698C8">
      <w:pPr>
        <w:pStyle w:val="41"/>
        <w:rPr>
          <w:rFonts w:hAnsi="宋体"/>
        </w:rPr>
      </w:pPr>
      <w:r>
        <w:rPr>
          <w:rFonts w:hint="eastAsia" w:hAnsi="宋体"/>
        </w:rPr>
        <w:t>输出功率调节范围：1～45W可调。</w:t>
      </w:r>
    </w:p>
    <w:p w14:paraId="03BFF106">
      <w:pPr>
        <w:pStyle w:val="41"/>
        <w:rPr>
          <w:rFonts w:hAnsi="宋体"/>
        </w:rPr>
      </w:pPr>
      <w:r>
        <w:rPr>
          <w:rFonts w:hint="eastAsia" w:hAnsi="宋体"/>
        </w:rPr>
        <w:t>具备耦合剂加热装置，温度设定范围：38.0℃～48.0℃；调节步长≤0.5℃。</w:t>
      </w:r>
    </w:p>
    <w:p w14:paraId="758E27C7">
      <w:pPr>
        <w:pStyle w:val="41"/>
        <w:rPr>
          <w:rFonts w:hAnsi="宋体"/>
        </w:rPr>
      </w:pPr>
      <w:r>
        <w:rPr>
          <w:rFonts w:hint="eastAsia" w:hAnsi="宋体"/>
        </w:rPr>
        <w:t>治疗时间设定范围：1～60min；调节步长≤5min。</w:t>
      </w:r>
    </w:p>
    <w:p w14:paraId="6998EAC3">
      <w:pPr>
        <w:pStyle w:val="41"/>
        <w:rPr>
          <w:rFonts w:hAnsi="宋体"/>
        </w:rPr>
      </w:pPr>
      <w:r>
        <w:rPr>
          <w:rFonts w:hint="eastAsia" w:hAnsi="宋体"/>
        </w:rPr>
        <w:t>控制系统</w:t>
      </w:r>
    </w:p>
    <w:p w14:paraId="2A732337">
      <w:pPr>
        <w:pStyle w:val="41"/>
        <w:numPr>
          <w:ilvl w:val="1"/>
          <w:numId w:val="1"/>
        </w:numPr>
        <w:rPr>
          <w:rFonts w:hAnsi="宋体"/>
        </w:rPr>
      </w:pPr>
      <w:r>
        <w:rPr>
          <w:rFonts w:hint="eastAsia" w:hAnsi="宋体"/>
        </w:rPr>
        <w:t>彩色液晶触摸显示屏≥17英寸；连接不同的治疗手柄之后，可实时显示输出功率（W）、设定温度（℃）、治疗时间（Min）、电极温度（℃）、剩余时间（Min）。</w:t>
      </w:r>
    </w:p>
    <w:p w14:paraId="1E1ACFCC">
      <w:pPr>
        <w:spacing w:line="360" w:lineRule="auto"/>
        <w:ind w:left="634" w:leftChars="302"/>
        <w:rPr>
          <w:rFonts w:ascii="宋体" w:hAnsi="宋体"/>
          <w:sz w:val="24"/>
        </w:rPr>
      </w:pPr>
      <w:r>
        <w:rPr>
          <w:rFonts w:hint="eastAsia" w:ascii="宋体" w:hAnsi="宋体"/>
          <w:sz w:val="24"/>
        </w:rPr>
        <w:t>▲5.2.可实时监测阻抗及温度变化，自动匹配能量输出。</w:t>
      </w:r>
    </w:p>
    <w:p w14:paraId="05A27E49">
      <w:pPr>
        <w:pStyle w:val="41"/>
        <w:numPr>
          <w:ilvl w:val="1"/>
          <w:numId w:val="33"/>
        </w:numPr>
        <w:rPr>
          <w:rFonts w:hAnsi="宋体"/>
        </w:rPr>
      </w:pPr>
      <w:r>
        <w:rPr>
          <w:rFonts w:hint="eastAsia" w:hAnsi="宋体"/>
        </w:rPr>
        <w:t>温度超过45℃，系统自动提醒；温度超过48℃，系统强制停止。</w:t>
      </w:r>
    </w:p>
    <w:p w14:paraId="45D35A56">
      <w:pPr>
        <w:pStyle w:val="41"/>
        <w:numPr>
          <w:ilvl w:val="1"/>
          <w:numId w:val="1"/>
        </w:numPr>
        <w:rPr>
          <w:rFonts w:hAnsi="宋体"/>
        </w:rPr>
      </w:pPr>
      <w:r>
        <w:rPr>
          <w:rFonts w:hint="eastAsia" w:hAnsi="宋体"/>
        </w:rPr>
        <w:t>治疗过程中功率、温度等参数均可调节；</w:t>
      </w:r>
    </w:p>
    <w:p w14:paraId="583D6856">
      <w:pPr>
        <w:pStyle w:val="41"/>
        <w:numPr>
          <w:ilvl w:val="1"/>
          <w:numId w:val="1"/>
        </w:numPr>
        <w:rPr>
          <w:rFonts w:hAnsi="宋体"/>
        </w:rPr>
      </w:pPr>
      <w:r>
        <w:rPr>
          <w:rFonts w:hint="eastAsia" w:hAnsi="宋体"/>
        </w:rPr>
        <w:t>具备全流程（操作前、操作中、操作后）自动预警功能。</w:t>
      </w:r>
    </w:p>
    <w:p w14:paraId="46D895F1">
      <w:pPr>
        <w:pStyle w:val="41"/>
        <w:numPr>
          <w:ilvl w:val="1"/>
          <w:numId w:val="1"/>
        </w:numPr>
        <w:rPr>
          <w:rFonts w:hAnsi="宋体"/>
        </w:rPr>
      </w:pPr>
      <w:r>
        <w:rPr>
          <w:rFonts w:hint="eastAsia" w:hAnsi="宋体"/>
        </w:rPr>
        <w:t>具备患者信息档案管理模块，可回看患者治疗记录、分析结果。</w:t>
      </w:r>
    </w:p>
    <w:p w14:paraId="7DFD0B33">
      <w:pPr>
        <w:spacing w:line="360" w:lineRule="auto"/>
        <w:ind w:left="634" w:leftChars="302"/>
        <w:rPr>
          <w:rFonts w:ascii="宋体" w:hAnsi="宋体"/>
          <w:sz w:val="24"/>
        </w:rPr>
      </w:pPr>
      <w:r>
        <w:rPr>
          <w:rFonts w:hint="eastAsia" w:ascii="宋体" w:hAnsi="宋体"/>
          <w:sz w:val="24"/>
        </w:rPr>
        <w:t>▲5.7.设备具有盆底功能筛查评估和盆底训练功能。</w:t>
      </w:r>
    </w:p>
    <w:p w14:paraId="6FA39CC2">
      <w:pPr>
        <w:pStyle w:val="41"/>
        <w:numPr>
          <w:ilvl w:val="1"/>
          <w:numId w:val="34"/>
        </w:numPr>
        <w:rPr>
          <w:rFonts w:hAnsi="宋体"/>
        </w:rPr>
      </w:pPr>
      <w:r>
        <w:rPr>
          <w:rFonts w:hint="eastAsia" w:hAnsi="宋体"/>
        </w:rPr>
        <w:t xml:space="preserve">启动控制：可脚踏开关、软件开关。 </w:t>
      </w:r>
    </w:p>
    <w:p w14:paraId="72C1BAC8">
      <w:pPr>
        <w:spacing w:line="360" w:lineRule="auto"/>
        <w:ind w:left="632" w:leftChars="203" w:hanging="206" w:hangingChars="86"/>
        <w:rPr>
          <w:rFonts w:ascii="宋体" w:hAnsi="宋体"/>
          <w:sz w:val="24"/>
        </w:rPr>
      </w:pPr>
      <w:r>
        <w:rPr>
          <w:rFonts w:hint="eastAsia" w:ascii="宋体" w:hAnsi="宋体"/>
          <w:sz w:val="24"/>
        </w:rPr>
        <w:t>▲6.治疗手柄具有实时温度显示功能，支持单极、双极、多极等多种射频模式。</w:t>
      </w:r>
    </w:p>
    <w:p w14:paraId="0D2771B0">
      <w:pPr>
        <w:pStyle w:val="41"/>
        <w:numPr>
          <w:ilvl w:val="0"/>
          <w:numId w:val="35"/>
        </w:numPr>
        <w:rPr>
          <w:rFonts w:hAnsi="宋体"/>
        </w:rPr>
      </w:pPr>
      <w:r>
        <w:rPr>
          <w:rFonts w:hint="eastAsia" w:hAnsi="宋体"/>
        </w:rPr>
        <w:t>治疗电极：治疗电极专人专用，具有患者绑定功能。</w:t>
      </w:r>
    </w:p>
    <w:p w14:paraId="3D41171F">
      <w:pPr>
        <w:pStyle w:val="41"/>
        <w:rPr>
          <w:rFonts w:hAnsi="宋体"/>
        </w:rPr>
      </w:pPr>
      <w:r>
        <w:rPr>
          <w:rFonts w:hint="eastAsia" w:hAnsi="宋体"/>
        </w:rPr>
        <w:t>具有不同模式的音乐放松及指导功能。</w:t>
      </w:r>
    </w:p>
    <w:p w14:paraId="0520E438">
      <w:pPr>
        <w:pStyle w:val="41"/>
        <w:rPr>
          <w:rFonts w:hAnsi="宋体"/>
        </w:rPr>
      </w:pPr>
      <w:r>
        <w:rPr>
          <w:rFonts w:hint="eastAsia" w:hAnsi="宋体"/>
        </w:rPr>
        <w:t>工作过程中，整机噪声≤60dB(A)。</w:t>
      </w:r>
    </w:p>
    <w:p w14:paraId="59DFF7A8">
      <w:pPr>
        <w:spacing w:line="360" w:lineRule="auto"/>
        <w:ind w:firstLine="426" w:firstLineChars="177"/>
        <w:rPr>
          <w:rFonts w:ascii="宋体" w:hAnsi="宋体"/>
          <w:b/>
          <w:bCs/>
          <w:sz w:val="24"/>
        </w:rPr>
      </w:pPr>
      <w:r>
        <w:rPr>
          <w:rFonts w:hint="eastAsia" w:ascii="宋体" w:hAnsi="宋体"/>
          <w:b/>
          <w:bCs/>
          <w:sz w:val="24"/>
        </w:rPr>
        <w:t>★主要配置（每台）：</w:t>
      </w:r>
    </w:p>
    <w:p w14:paraId="002CD488">
      <w:pPr>
        <w:pStyle w:val="41"/>
        <w:numPr>
          <w:ilvl w:val="0"/>
          <w:numId w:val="36"/>
        </w:numPr>
        <w:rPr>
          <w:rFonts w:hAnsi="宋体"/>
        </w:rPr>
      </w:pPr>
      <w:r>
        <w:rPr>
          <w:rFonts w:hint="eastAsia" w:hAnsi="宋体"/>
        </w:rPr>
        <w:t>主机：1台；</w:t>
      </w:r>
      <w:r>
        <w:rPr>
          <w:rFonts w:hAnsi="宋体"/>
        </w:rPr>
        <w:t>(</w:t>
      </w:r>
      <w:r>
        <w:rPr>
          <w:rFonts w:hint="eastAsia" w:hAnsi="宋体"/>
        </w:rPr>
        <w:t>需要提供医疗器械注册证或备案凭证</w:t>
      </w:r>
      <w:r>
        <w:rPr>
          <w:rFonts w:hAnsi="宋体"/>
        </w:rPr>
        <w:t>)</w:t>
      </w:r>
    </w:p>
    <w:p w14:paraId="52E2197B">
      <w:pPr>
        <w:pStyle w:val="41"/>
        <w:rPr>
          <w:rFonts w:hAnsi="宋体"/>
        </w:rPr>
      </w:pPr>
      <w:r>
        <w:rPr>
          <w:rFonts w:hint="eastAsia" w:hAnsi="宋体"/>
        </w:rPr>
        <w:t>手持探头：3把（标配型号≥3种）。</w:t>
      </w:r>
    </w:p>
    <w:p w14:paraId="46F866BD">
      <w:pPr>
        <w:pStyle w:val="41"/>
        <w:rPr>
          <w:rFonts w:hAnsi="宋体"/>
        </w:rPr>
      </w:pPr>
      <w:r>
        <w:rPr>
          <w:rFonts w:hint="eastAsia" w:hAnsi="宋体"/>
        </w:rPr>
        <w:t>电极：10个（标配型号≥4种）。(需要提供医疗器械注册证或备案凭证)</w:t>
      </w:r>
    </w:p>
    <w:p w14:paraId="428A4DD5">
      <w:pPr>
        <w:pStyle w:val="41"/>
        <w:rPr>
          <w:rFonts w:hAnsi="宋体"/>
        </w:rPr>
      </w:pPr>
      <w:r>
        <w:rPr>
          <w:rFonts w:hint="eastAsia" w:hAnsi="宋体"/>
        </w:rPr>
        <w:t>中性电极：5个。(需要提供医疗器械注册证或备案凭证)</w:t>
      </w:r>
    </w:p>
    <w:p w14:paraId="4ED8B0CE">
      <w:pPr>
        <w:pStyle w:val="41"/>
        <w:rPr>
          <w:rFonts w:hAnsi="宋体"/>
        </w:rPr>
      </w:pPr>
      <w:r>
        <w:rPr>
          <w:rFonts w:hint="eastAsia" w:hAnsi="宋体"/>
        </w:rPr>
        <w:t>脚踏开关组件：1套。</w:t>
      </w:r>
    </w:p>
    <w:p w14:paraId="6A03B32A">
      <w:pPr>
        <w:pStyle w:val="41"/>
        <w:rPr>
          <w:rFonts w:hAnsi="宋体"/>
        </w:rPr>
      </w:pPr>
      <w:r>
        <w:rPr>
          <w:rFonts w:hint="eastAsia" w:hAnsi="宋体"/>
        </w:rPr>
        <w:t>射频治疗仪用凝胶：2支。</w:t>
      </w:r>
    </w:p>
    <w:p w14:paraId="2AFD346A">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18包 标的二：射频温控热凝机</w:t>
      </w:r>
    </w:p>
    <w:p w14:paraId="4ED09E66">
      <w:pPr>
        <w:pStyle w:val="41"/>
        <w:numPr>
          <w:ilvl w:val="0"/>
          <w:numId w:val="37"/>
        </w:numPr>
        <w:rPr>
          <w:rFonts w:hAnsi="宋体"/>
          <w:b/>
          <w:bCs/>
        </w:rPr>
      </w:pPr>
      <w:r>
        <w:rPr>
          <w:rFonts w:hint="eastAsia" w:hAnsi="宋体"/>
          <w:b/>
          <w:bCs/>
        </w:rPr>
        <w:t>主机</w:t>
      </w:r>
    </w:p>
    <w:p w14:paraId="34598B5E">
      <w:pPr>
        <w:pStyle w:val="41"/>
        <w:numPr>
          <w:ilvl w:val="1"/>
          <w:numId w:val="38"/>
        </w:numPr>
        <w:rPr>
          <w:rFonts w:hAnsi="宋体"/>
        </w:rPr>
      </w:pPr>
      <w:r>
        <w:rPr>
          <w:rFonts w:hint="eastAsia" w:hAnsi="宋体"/>
        </w:rPr>
        <w:t>射频频率：440kHz±40kHz。</w:t>
      </w:r>
    </w:p>
    <w:p w14:paraId="6A446698">
      <w:pPr>
        <w:pStyle w:val="41"/>
        <w:numPr>
          <w:ilvl w:val="1"/>
          <w:numId w:val="1"/>
        </w:numPr>
        <w:rPr>
          <w:rFonts w:hAnsi="宋体"/>
        </w:rPr>
      </w:pPr>
      <w:r>
        <w:rPr>
          <w:rFonts w:hint="eastAsia" w:hAnsi="宋体"/>
        </w:rPr>
        <w:t>治疗输出功率可调，最大输出功率20W±10%；</w:t>
      </w:r>
    </w:p>
    <w:p w14:paraId="5D20C011">
      <w:pPr>
        <w:pStyle w:val="41"/>
        <w:numPr>
          <w:ilvl w:val="1"/>
          <w:numId w:val="1"/>
        </w:numPr>
        <w:rPr>
          <w:rFonts w:hAnsi="宋体"/>
        </w:rPr>
      </w:pPr>
      <w:r>
        <w:rPr>
          <w:rFonts w:hint="eastAsia" w:hAnsi="宋体"/>
        </w:rPr>
        <w:t>具备自动及手动控制模式，毁损温度及时间可调。</w:t>
      </w:r>
    </w:p>
    <w:p w14:paraId="4C7526C3">
      <w:pPr>
        <w:pStyle w:val="41"/>
        <w:numPr>
          <w:ilvl w:val="1"/>
          <w:numId w:val="1"/>
        </w:numPr>
        <w:rPr>
          <w:rFonts w:hAnsi="宋体"/>
        </w:rPr>
      </w:pPr>
      <w:r>
        <w:rPr>
          <w:rFonts w:hint="eastAsia" w:hAnsi="宋体"/>
        </w:rPr>
        <w:t>温度设定范围：35℃～95℃；温度测量范围：25℃～95℃。</w:t>
      </w:r>
    </w:p>
    <w:p w14:paraId="455CF7D5">
      <w:pPr>
        <w:pStyle w:val="41"/>
        <w:numPr>
          <w:ilvl w:val="1"/>
          <w:numId w:val="1"/>
        </w:numPr>
        <w:rPr>
          <w:rFonts w:hAnsi="宋体"/>
        </w:rPr>
      </w:pPr>
      <w:r>
        <w:rPr>
          <w:rFonts w:hint="eastAsia" w:hAnsi="宋体"/>
        </w:rPr>
        <w:t>时间设定范围：标准射频，10s～5min；脉冲射频0～30min。</w:t>
      </w:r>
    </w:p>
    <w:p w14:paraId="1A9C7CEC">
      <w:pPr>
        <w:pStyle w:val="41"/>
        <w:numPr>
          <w:ilvl w:val="1"/>
          <w:numId w:val="1"/>
        </w:numPr>
        <w:rPr>
          <w:rFonts w:hAnsi="宋体"/>
        </w:rPr>
      </w:pPr>
      <w:r>
        <w:rPr>
          <w:rFonts w:hint="eastAsia" w:hAnsi="宋体"/>
        </w:rPr>
        <w:t>脉冲射频：</w:t>
      </w:r>
    </w:p>
    <w:p w14:paraId="00713BB6">
      <w:pPr>
        <w:pStyle w:val="41"/>
        <w:numPr>
          <w:ilvl w:val="2"/>
          <w:numId w:val="1"/>
        </w:numPr>
        <w:rPr>
          <w:rFonts w:hAnsi="宋体"/>
        </w:rPr>
      </w:pPr>
      <w:r>
        <w:rPr>
          <w:rFonts w:hint="eastAsia" w:hAnsi="宋体"/>
        </w:rPr>
        <w:t xml:space="preserve">温度设置范围：35℃～95℃ ；射频电压 ≤120V。 </w:t>
      </w:r>
    </w:p>
    <w:p w14:paraId="130C5DA8">
      <w:pPr>
        <w:pStyle w:val="41"/>
        <w:numPr>
          <w:ilvl w:val="2"/>
          <w:numId w:val="1"/>
        </w:numPr>
        <w:rPr>
          <w:rFonts w:hAnsi="宋体"/>
        </w:rPr>
      </w:pPr>
      <w:r>
        <w:rPr>
          <w:rFonts w:hint="eastAsia" w:hAnsi="宋体"/>
        </w:rPr>
        <w:t>脉宽调节范围：10～50ms；</w:t>
      </w:r>
    </w:p>
    <w:p w14:paraId="5C71B3C6">
      <w:pPr>
        <w:pStyle w:val="41"/>
        <w:numPr>
          <w:ilvl w:val="2"/>
          <w:numId w:val="1"/>
        </w:numPr>
        <w:rPr>
          <w:rFonts w:hAnsi="宋体"/>
        </w:rPr>
      </w:pPr>
      <w:r>
        <w:rPr>
          <w:rFonts w:hint="eastAsia" w:hAnsi="宋体"/>
        </w:rPr>
        <w:t>脉冲射频频率调节范围：1～8Hz。</w:t>
      </w:r>
    </w:p>
    <w:p w14:paraId="110A8BAF">
      <w:pPr>
        <w:pStyle w:val="41"/>
        <w:numPr>
          <w:ilvl w:val="2"/>
          <w:numId w:val="1"/>
        </w:numPr>
        <w:rPr>
          <w:rFonts w:hAnsi="宋体"/>
        </w:rPr>
      </w:pPr>
      <w:r>
        <w:rPr>
          <w:rFonts w:hint="eastAsia" w:hAnsi="宋体"/>
        </w:rPr>
        <w:t>与连续射频可自由切换。</w:t>
      </w:r>
    </w:p>
    <w:p w14:paraId="5C9D8526">
      <w:pPr>
        <w:pStyle w:val="41"/>
        <w:numPr>
          <w:ilvl w:val="1"/>
          <w:numId w:val="1"/>
        </w:numPr>
        <w:rPr>
          <w:rFonts w:hAnsi="宋体"/>
        </w:rPr>
      </w:pPr>
      <w:r>
        <w:rPr>
          <w:rFonts w:hint="eastAsia" w:hAnsi="宋体"/>
        </w:rPr>
        <w:t>具备单、双极射频模式。</w:t>
      </w:r>
    </w:p>
    <w:p w14:paraId="2209F513">
      <w:pPr>
        <w:pStyle w:val="41"/>
        <w:numPr>
          <w:ilvl w:val="1"/>
          <w:numId w:val="1"/>
        </w:numPr>
        <w:rPr>
          <w:rFonts w:hAnsi="宋体"/>
        </w:rPr>
      </w:pPr>
      <w:r>
        <w:rPr>
          <w:rFonts w:hint="eastAsia" w:hAnsi="宋体"/>
        </w:rPr>
        <w:t>阻抗监测：</w:t>
      </w:r>
    </w:p>
    <w:p w14:paraId="730B8D73">
      <w:pPr>
        <w:spacing w:line="360" w:lineRule="auto"/>
        <w:ind w:left="426" w:leftChars="203" w:firstLine="480" w:firstLineChars="200"/>
        <w:rPr>
          <w:rFonts w:ascii="宋体" w:hAnsi="宋体"/>
          <w:sz w:val="24"/>
        </w:rPr>
      </w:pPr>
      <w:r>
        <w:rPr>
          <w:rFonts w:hint="eastAsia" w:ascii="宋体" w:hAnsi="宋体"/>
          <w:sz w:val="24"/>
        </w:rPr>
        <w:t>▲1.8.1.实时监测射频针头和负极板之间的阻抗。</w:t>
      </w:r>
    </w:p>
    <w:p w14:paraId="1D3E73C9">
      <w:pPr>
        <w:pStyle w:val="41"/>
        <w:numPr>
          <w:ilvl w:val="2"/>
          <w:numId w:val="39"/>
        </w:numPr>
        <w:rPr>
          <w:rFonts w:hAnsi="宋体"/>
        </w:rPr>
      </w:pPr>
      <w:r>
        <w:rPr>
          <w:rFonts w:hint="eastAsia" w:hAnsi="宋体"/>
        </w:rPr>
        <w:t>阻抗测量范围：50Ω～1000Ω。</w:t>
      </w:r>
    </w:p>
    <w:p w14:paraId="7FEC94FF">
      <w:pPr>
        <w:pStyle w:val="41"/>
        <w:numPr>
          <w:ilvl w:val="1"/>
          <w:numId w:val="1"/>
        </w:numPr>
        <w:rPr>
          <w:rFonts w:hAnsi="宋体"/>
        </w:rPr>
      </w:pPr>
      <w:r>
        <w:rPr>
          <w:rFonts w:hint="eastAsia" w:hAnsi="宋体"/>
        </w:rPr>
        <w:t>刺激模式：</w:t>
      </w:r>
    </w:p>
    <w:p w14:paraId="321CF692">
      <w:pPr>
        <w:pStyle w:val="41"/>
        <w:numPr>
          <w:ilvl w:val="2"/>
          <w:numId w:val="1"/>
        </w:numPr>
        <w:rPr>
          <w:rFonts w:hAnsi="宋体"/>
        </w:rPr>
      </w:pPr>
      <w:r>
        <w:rPr>
          <w:rFonts w:hint="eastAsia" w:hAnsi="宋体"/>
        </w:rPr>
        <w:t>可任通过刺激进行感觉和运动神经鉴别辅助穿刺定位。</w:t>
      </w:r>
    </w:p>
    <w:p w14:paraId="1C2C034D">
      <w:pPr>
        <w:pStyle w:val="41"/>
        <w:numPr>
          <w:ilvl w:val="2"/>
          <w:numId w:val="1"/>
        </w:numPr>
        <w:rPr>
          <w:rFonts w:hAnsi="宋体"/>
        </w:rPr>
      </w:pPr>
      <w:r>
        <w:rPr>
          <w:rFonts w:hint="eastAsia" w:hAnsi="宋体"/>
        </w:rPr>
        <w:t>刺激脉冲宽度：1～3ms之间</w:t>
      </w:r>
    </w:p>
    <w:p w14:paraId="5F8766A8">
      <w:pPr>
        <w:pStyle w:val="41"/>
        <w:numPr>
          <w:ilvl w:val="2"/>
          <w:numId w:val="1"/>
        </w:numPr>
        <w:rPr>
          <w:rFonts w:hAnsi="宋体"/>
        </w:rPr>
      </w:pPr>
      <w:r>
        <w:rPr>
          <w:rFonts w:hint="eastAsia" w:hAnsi="宋体"/>
        </w:rPr>
        <w:t>刺激脉冲幅度调节范围：0.1～5.0V；调节步长≤0.1V。</w:t>
      </w:r>
    </w:p>
    <w:p w14:paraId="687A1205">
      <w:pPr>
        <w:pStyle w:val="41"/>
        <w:numPr>
          <w:ilvl w:val="2"/>
          <w:numId w:val="1"/>
        </w:numPr>
        <w:rPr>
          <w:rFonts w:hAnsi="宋体"/>
        </w:rPr>
      </w:pPr>
      <w:r>
        <w:rPr>
          <w:rFonts w:hint="eastAsia" w:hAnsi="宋体"/>
        </w:rPr>
        <w:t>刺激脉冲频率调节范围：1Hz～90Hz；调节步长≤1Hz</w:t>
      </w:r>
    </w:p>
    <w:p w14:paraId="2E124599">
      <w:pPr>
        <w:pStyle w:val="41"/>
        <w:numPr>
          <w:ilvl w:val="1"/>
          <w:numId w:val="1"/>
        </w:numPr>
        <w:rPr>
          <w:rFonts w:hAnsi="宋体"/>
        </w:rPr>
      </w:pPr>
      <w:r>
        <w:rPr>
          <w:rFonts w:hint="eastAsia" w:hAnsi="宋体"/>
        </w:rPr>
        <w:t>射频椎间盘热凝模式：具备椎间盘内测温功能。</w:t>
      </w:r>
    </w:p>
    <w:p w14:paraId="0E04DB1F">
      <w:pPr>
        <w:pStyle w:val="41"/>
        <w:numPr>
          <w:ilvl w:val="1"/>
          <w:numId w:val="1"/>
        </w:numPr>
        <w:rPr>
          <w:rFonts w:hAnsi="宋体"/>
        </w:rPr>
      </w:pPr>
      <w:r>
        <w:rPr>
          <w:rFonts w:hint="eastAsia" w:hAnsi="宋体"/>
        </w:rPr>
        <w:t>具备系统自检功能，能自动检测系统各单元工作是否正常，并显示或报警。1.12、可实时显示状态信息,具备极板脱落提示报警功能。</w:t>
      </w:r>
    </w:p>
    <w:p w14:paraId="6B56F440">
      <w:pPr>
        <w:pStyle w:val="41"/>
        <w:numPr>
          <w:ilvl w:val="1"/>
          <w:numId w:val="1"/>
        </w:numPr>
        <w:rPr>
          <w:rFonts w:hAnsi="宋体"/>
        </w:rPr>
      </w:pPr>
      <w:r>
        <w:rPr>
          <w:rFonts w:hint="eastAsia" w:hAnsi="宋体"/>
        </w:rPr>
        <w:t>具备术后电极针自动降温系统</w:t>
      </w:r>
    </w:p>
    <w:p w14:paraId="01E519BD">
      <w:pPr>
        <w:spacing w:line="360" w:lineRule="auto"/>
        <w:ind w:left="633" w:leftChars="203" w:hanging="207" w:hangingChars="86"/>
        <w:rPr>
          <w:rFonts w:ascii="宋体" w:hAnsi="宋体"/>
          <w:sz w:val="24"/>
        </w:rPr>
      </w:pPr>
      <w:r>
        <w:rPr>
          <w:rFonts w:hint="eastAsia" w:ascii="宋体" w:hAnsi="宋体"/>
          <w:b/>
          <w:bCs/>
          <w:sz w:val="24"/>
        </w:rPr>
        <w:t>▲2.工作电极针及穿刺针：</w:t>
      </w:r>
      <w:r>
        <w:rPr>
          <w:rFonts w:hint="eastAsia" w:ascii="宋体" w:hAnsi="宋体"/>
          <w:sz w:val="24"/>
        </w:rPr>
        <w:t>≥4种长度规格可选择。</w:t>
      </w:r>
    </w:p>
    <w:p w14:paraId="4D191D15">
      <w:pPr>
        <w:spacing w:line="360" w:lineRule="auto"/>
        <w:ind w:firstLine="426" w:firstLineChars="177"/>
        <w:rPr>
          <w:rFonts w:ascii="宋体" w:hAnsi="宋体"/>
          <w:b/>
          <w:bCs/>
          <w:sz w:val="24"/>
        </w:rPr>
      </w:pPr>
      <w:r>
        <w:rPr>
          <w:rFonts w:hint="eastAsia" w:ascii="宋体" w:hAnsi="宋体"/>
          <w:b/>
          <w:bCs/>
          <w:sz w:val="24"/>
        </w:rPr>
        <w:t>★主要配置（每台）：</w:t>
      </w:r>
    </w:p>
    <w:p w14:paraId="577D9C07">
      <w:pPr>
        <w:pStyle w:val="41"/>
        <w:numPr>
          <w:ilvl w:val="0"/>
          <w:numId w:val="40"/>
        </w:numPr>
        <w:rPr>
          <w:rFonts w:hAnsi="宋体"/>
        </w:rPr>
      </w:pPr>
      <w:r>
        <w:rPr>
          <w:rFonts w:hint="eastAsia" w:hAnsi="宋体"/>
        </w:rPr>
        <w:t>主机：1台.</w:t>
      </w:r>
      <w:r>
        <w:rPr>
          <w:rFonts w:hAnsi="宋体"/>
        </w:rPr>
        <w:t xml:space="preserve"> (</w:t>
      </w:r>
      <w:r>
        <w:rPr>
          <w:rFonts w:hint="eastAsia" w:hAnsi="宋体"/>
        </w:rPr>
        <w:t>需要提供医疗器械注册证或备案凭证</w:t>
      </w:r>
      <w:r>
        <w:rPr>
          <w:rFonts w:hAnsi="宋体"/>
        </w:rPr>
        <w:t>)</w:t>
      </w:r>
    </w:p>
    <w:p w14:paraId="08D78A85">
      <w:pPr>
        <w:pStyle w:val="41"/>
        <w:rPr>
          <w:rFonts w:hAnsi="宋体"/>
        </w:rPr>
      </w:pPr>
      <w:r>
        <w:rPr>
          <w:rFonts w:hint="eastAsia" w:hAnsi="宋体"/>
        </w:rPr>
        <w:t>射频电极针：4支。</w:t>
      </w:r>
      <w:r>
        <w:rPr>
          <w:rFonts w:hAnsi="宋体"/>
        </w:rPr>
        <w:t>(</w:t>
      </w:r>
      <w:r>
        <w:rPr>
          <w:rFonts w:hint="eastAsia" w:hAnsi="宋体"/>
        </w:rPr>
        <w:t>需要提供医疗器械注册证或备案凭证</w:t>
      </w:r>
      <w:r>
        <w:rPr>
          <w:rFonts w:hAnsi="宋体"/>
        </w:rPr>
        <w:t>)</w:t>
      </w:r>
    </w:p>
    <w:p w14:paraId="4FE9B8DA">
      <w:pPr>
        <w:pStyle w:val="41"/>
        <w:rPr>
          <w:rFonts w:hAnsi="宋体"/>
        </w:rPr>
      </w:pPr>
      <w:r>
        <w:rPr>
          <w:rFonts w:hint="eastAsia" w:hAnsi="宋体"/>
        </w:rPr>
        <w:t>射频穿刺针：20支。</w:t>
      </w:r>
      <w:r>
        <w:rPr>
          <w:rFonts w:hAnsi="宋体"/>
        </w:rPr>
        <w:t>(</w:t>
      </w:r>
      <w:r>
        <w:rPr>
          <w:rFonts w:hint="eastAsia" w:hAnsi="宋体"/>
        </w:rPr>
        <w:t>需要提供医疗器械注册证或备案凭证</w:t>
      </w:r>
      <w:r>
        <w:rPr>
          <w:rFonts w:hAnsi="宋体"/>
        </w:rPr>
        <w:t>)</w:t>
      </w:r>
    </w:p>
    <w:p w14:paraId="5465674C">
      <w:pPr>
        <w:pStyle w:val="41"/>
        <w:rPr>
          <w:rFonts w:hAnsi="宋体"/>
        </w:rPr>
      </w:pPr>
      <w:r>
        <w:rPr>
          <w:rFonts w:hint="eastAsia" w:hAnsi="宋体"/>
        </w:rPr>
        <w:t>中性电极：10个。</w:t>
      </w:r>
      <w:r>
        <w:rPr>
          <w:rFonts w:hAnsi="宋体"/>
        </w:rPr>
        <w:t>(</w:t>
      </w:r>
      <w:r>
        <w:rPr>
          <w:rFonts w:hint="eastAsia" w:hAnsi="宋体"/>
        </w:rPr>
        <w:t>需要提供医疗器械注册证或备案凭证</w:t>
      </w:r>
      <w:r>
        <w:rPr>
          <w:rFonts w:hAnsi="宋体"/>
        </w:rPr>
        <w:t>)</w:t>
      </w:r>
    </w:p>
    <w:p w14:paraId="5138C239">
      <w:pPr>
        <w:pStyle w:val="41"/>
        <w:rPr>
          <w:rFonts w:hAnsi="宋体"/>
        </w:rPr>
      </w:pPr>
      <w:r>
        <w:rPr>
          <w:rFonts w:hint="eastAsia" w:hAnsi="宋体"/>
        </w:rPr>
        <w:t>中性电极连接夹：2个</w:t>
      </w:r>
    </w:p>
    <w:p w14:paraId="097FE8F7">
      <w:pPr>
        <w:widowControl/>
        <w:jc w:val="left"/>
        <w:rPr>
          <w:rFonts w:ascii="宋体" w:hAnsi="宋体" w:cs="宋体"/>
          <w:b/>
          <w:kern w:val="0"/>
          <w:sz w:val="24"/>
        </w:rPr>
      </w:pPr>
      <w:r>
        <w:rPr>
          <w:rFonts w:hint="eastAsia" w:ascii="宋体" w:hAnsi="宋体" w:cs="宋体"/>
          <w:sz w:val="24"/>
        </w:rPr>
        <w:br w:type="page"/>
      </w:r>
    </w:p>
    <w:p w14:paraId="2F94985F">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25包 标的一：麻醉监护仪</w:t>
      </w:r>
    </w:p>
    <w:p w14:paraId="72A64761">
      <w:pPr>
        <w:spacing w:line="360" w:lineRule="auto"/>
        <w:ind w:firstLine="426" w:firstLineChars="177"/>
        <w:rPr>
          <w:rFonts w:ascii="宋体" w:hAnsi="宋体"/>
          <w:b/>
          <w:bCs/>
          <w:sz w:val="24"/>
        </w:rPr>
      </w:pPr>
      <w:r>
        <w:rPr>
          <w:rFonts w:hint="eastAsia" w:ascii="宋体" w:hAnsi="宋体"/>
          <w:b/>
          <w:bCs/>
          <w:sz w:val="24"/>
        </w:rPr>
        <w:t>（一）中央站：</w:t>
      </w:r>
    </w:p>
    <w:p w14:paraId="700D5064">
      <w:pPr>
        <w:pStyle w:val="41"/>
        <w:numPr>
          <w:ilvl w:val="0"/>
          <w:numId w:val="9"/>
        </w:numPr>
        <w:rPr>
          <w:rFonts w:hAnsi="宋体"/>
        </w:rPr>
      </w:pPr>
      <w:r>
        <w:rPr>
          <w:rFonts w:hint="eastAsia" w:hAnsi="宋体"/>
        </w:rPr>
        <w:t>CPU：内存≥4G；硬盘≥1TB；彩色液晶显示器≥19英寸，分辨率≥1920×1080，数量：1台；具有打印功能。</w:t>
      </w:r>
    </w:p>
    <w:p w14:paraId="49D20BC8">
      <w:pPr>
        <w:pStyle w:val="41"/>
        <w:rPr>
          <w:rFonts w:hAnsi="宋体"/>
        </w:rPr>
      </w:pPr>
      <w:r>
        <w:rPr>
          <w:rFonts w:hint="eastAsia" w:hAnsi="宋体"/>
        </w:rPr>
        <w:t>支持TCP通讯协议，具备有线以太网组网、无线Wi-Fi组网功能。</w:t>
      </w:r>
    </w:p>
    <w:p w14:paraId="1A1AD073">
      <w:pPr>
        <w:pStyle w:val="41"/>
        <w:rPr>
          <w:rFonts w:hAnsi="宋体"/>
        </w:rPr>
      </w:pPr>
      <w:r>
        <w:rPr>
          <w:rFonts w:hint="eastAsia" w:hAnsi="宋体"/>
        </w:rPr>
        <w:t>可同时监测≥64床病人。</w:t>
      </w:r>
    </w:p>
    <w:p w14:paraId="11BB889F">
      <w:pPr>
        <w:pStyle w:val="41"/>
        <w:rPr>
          <w:rFonts w:hAnsi="宋体"/>
        </w:rPr>
      </w:pPr>
      <w:r>
        <w:rPr>
          <w:rFonts w:hint="eastAsia" w:hAnsi="宋体"/>
        </w:rPr>
        <w:t>具备单床观察和多床观察功能。</w:t>
      </w:r>
    </w:p>
    <w:p w14:paraId="6275021E">
      <w:pPr>
        <w:pStyle w:val="41"/>
        <w:rPr>
          <w:rFonts w:hAnsi="宋体"/>
        </w:rPr>
      </w:pPr>
      <w:r>
        <w:rPr>
          <w:rFonts w:hint="eastAsia" w:hAnsi="宋体"/>
        </w:rPr>
        <w:t>常规界面和大字符界面可切换。</w:t>
      </w:r>
    </w:p>
    <w:p w14:paraId="3DDF283E">
      <w:pPr>
        <w:pStyle w:val="41"/>
        <w:rPr>
          <w:rFonts w:hAnsi="宋体"/>
        </w:rPr>
      </w:pPr>
      <w:r>
        <w:rPr>
          <w:rFonts w:hint="eastAsia" w:hAnsi="宋体"/>
        </w:rPr>
        <w:t>可对床边机进行NIBP测量，可修改病人信息、可设置情景模式（包括夜间模式、隐私模式、待机模式）、报警限。</w:t>
      </w:r>
    </w:p>
    <w:p w14:paraId="3517A937">
      <w:pPr>
        <w:pStyle w:val="41"/>
        <w:rPr>
          <w:rFonts w:hAnsi="宋体"/>
        </w:rPr>
      </w:pPr>
      <w:r>
        <w:rPr>
          <w:rFonts w:hint="eastAsia" w:hAnsi="宋体"/>
        </w:rPr>
        <w:t>具备用户权限管理功能（≥3级），通过授权密码的方式控制用户对软件功能的使用权限。</w:t>
      </w:r>
    </w:p>
    <w:p w14:paraId="67C382E3">
      <w:pPr>
        <w:pStyle w:val="41"/>
        <w:rPr>
          <w:rFonts w:hAnsi="宋体"/>
        </w:rPr>
      </w:pPr>
      <w:r>
        <w:rPr>
          <w:rFonts w:hint="eastAsia" w:hAnsi="宋体"/>
        </w:rPr>
        <w:t>数据回顾和存储：</w:t>
      </w:r>
    </w:p>
    <w:p w14:paraId="52812B7C">
      <w:pPr>
        <w:pStyle w:val="41"/>
        <w:numPr>
          <w:ilvl w:val="1"/>
          <w:numId w:val="1"/>
        </w:numPr>
        <w:rPr>
          <w:rFonts w:hAnsi="宋体"/>
        </w:rPr>
      </w:pPr>
      <w:r>
        <w:rPr>
          <w:rFonts w:hint="eastAsia" w:hAnsi="宋体"/>
        </w:rPr>
        <w:t>全息心电波形存储及回顾≥200h。</w:t>
      </w:r>
    </w:p>
    <w:p w14:paraId="406E18E7">
      <w:pPr>
        <w:pStyle w:val="41"/>
        <w:numPr>
          <w:ilvl w:val="1"/>
          <w:numId w:val="1"/>
        </w:numPr>
        <w:rPr>
          <w:rFonts w:hAnsi="宋体"/>
        </w:rPr>
      </w:pPr>
      <w:r>
        <w:rPr>
          <w:rFonts w:hint="eastAsia" w:hAnsi="宋体"/>
        </w:rPr>
        <w:t>波形、趋势和数据存储和回顾≥200h。</w:t>
      </w:r>
    </w:p>
    <w:p w14:paraId="5ABE1C20">
      <w:pPr>
        <w:pStyle w:val="41"/>
        <w:numPr>
          <w:ilvl w:val="1"/>
          <w:numId w:val="1"/>
        </w:numPr>
        <w:rPr>
          <w:rFonts w:hAnsi="宋体"/>
        </w:rPr>
      </w:pPr>
      <w:r>
        <w:rPr>
          <w:rFonts w:hint="eastAsia" w:hAnsi="宋体"/>
        </w:rPr>
        <w:t>NIBP数据存储和回顾≥1000组。</w:t>
      </w:r>
    </w:p>
    <w:p w14:paraId="4A49D908">
      <w:pPr>
        <w:pStyle w:val="41"/>
        <w:numPr>
          <w:ilvl w:val="1"/>
          <w:numId w:val="1"/>
        </w:numPr>
        <w:rPr>
          <w:rFonts w:hAnsi="宋体"/>
        </w:rPr>
      </w:pPr>
      <w:r>
        <w:rPr>
          <w:rFonts w:hint="eastAsia" w:hAnsi="宋体"/>
        </w:rPr>
        <w:t>≥290个病人的数据存储与管理。</w:t>
      </w:r>
    </w:p>
    <w:p w14:paraId="0E17E6D8">
      <w:pPr>
        <w:pStyle w:val="41"/>
        <w:numPr>
          <w:ilvl w:val="1"/>
          <w:numId w:val="1"/>
        </w:numPr>
        <w:rPr>
          <w:rFonts w:hAnsi="宋体"/>
        </w:rPr>
      </w:pPr>
      <w:r>
        <w:rPr>
          <w:rFonts w:hint="eastAsia" w:hAnsi="宋体"/>
        </w:rPr>
        <w:t>具备EWS、GCS评分数据存储功能和≥700条C.O.数据回顾</w:t>
      </w:r>
    </w:p>
    <w:p w14:paraId="45FFA544">
      <w:pPr>
        <w:pStyle w:val="41"/>
        <w:numPr>
          <w:ilvl w:val="1"/>
          <w:numId w:val="1"/>
        </w:numPr>
        <w:rPr>
          <w:rFonts w:hAnsi="宋体"/>
        </w:rPr>
      </w:pPr>
      <w:r>
        <w:rPr>
          <w:rFonts w:hint="eastAsia" w:hAnsi="宋体"/>
        </w:rPr>
        <w:t>呼吸氧合趋势回顾≥48h， ST片段回顾≥24h。</w:t>
      </w:r>
    </w:p>
    <w:p w14:paraId="7B73EF67">
      <w:pPr>
        <w:pStyle w:val="41"/>
        <w:rPr>
          <w:rFonts w:hAnsi="宋体"/>
        </w:rPr>
      </w:pPr>
      <w:r>
        <w:rPr>
          <w:rFonts w:hint="eastAsia" w:hAnsi="宋体"/>
        </w:rPr>
        <w:t>具有QT View和ST View、ST Graphic实时监测界面</w:t>
      </w:r>
    </w:p>
    <w:p w14:paraId="29B42A1F">
      <w:pPr>
        <w:pStyle w:val="41"/>
        <w:rPr>
          <w:rFonts w:hAnsi="宋体"/>
        </w:rPr>
      </w:pPr>
      <w:r>
        <w:rPr>
          <w:rFonts w:hint="eastAsia" w:hAnsi="宋体"/>
        </w:rPr>
        <w:t>支持24-48小时心律失常统计和心电概览。</w:t>
      </w:r>
    </w:p>
    <w:p w14:paraId="7FC0A9B8">
      <w:pPr>
        <w:pStyle w:val="41"/>
        <w:rPr>
          <w:rFonts w:hAnsi="宋体"/>
        </w:rPr>
      </w:pPr>
      <w:r>
        <w:rPr>
          <w:rFonts w:hint="eastAsia" w:hAnsi="宋体"/>
        </w:rPr>
        <w:t>可显示参数包括 ： 心电（ECG）、心率(HR)、呼吸(RESP)、血压(NIBP)、血氧(SP02)、脉率(PR)、体温(TEMP)、有创血压(IBP)、呼末二氧化碳（EtCO2）、麻醉气体、无创心排（ICG）、脑电（EEG）、肌松（NMT）、呼吸力学（RM）、脑电双频指数（BIS）、C.O.（有创心排量）、区域氧饱和度（rSO2）</w:t>
      </w:r>
    </w:p>
    <w:p w14:paraId="1D3BFC78">
      <w:pPr>
        <w:pStyle w:val="41"/>
        <w:rPr>
          <w:rFonts w:hAnsi="宋体"/>
        </w:rPr>
      </w:pPr>
      <w:r>
        <w:rPr>
          <w:rFonts w:hint="eastAsia" w:hAnsi="宋体"/>
        </w:rPr>
        <w:t>支持联网床旁监护仪，患者遥测设备，输注泵和电子尿量监测仪</w:t>
      </w:r>
    </w:p>
    <w:p w14:paraId="21514E8E">
      <w:pPr>
        <w:spacing w:line="360" w:lineRule="auto"/>
        <w:ind w:firstLine="426" w:firstLineChars="177"/>
        <w:rPr>
          <w:rFonts w:ascii="宋体" w:hAnsi="宋体"/>
          <w:b/>
          <w:bCs/>
          <w:sz w:val="24"/>
        </w:rPr>
      </w:pPr>
      <w:r>
        <w:rPr>
          <w:rFonts w:hint="eastAsia" w:ascii="宋体" w:hAnsi="宋体"/>
          <w:b/>
          <w:bCs/>
          <w:sz w:val="24"/>
        </w:rPr>
        <w:t>（二）监护仪</w:t>
      </w:r>
    </w:p>
    <w:p w14:paraId="473F5196">
      <w:pPr>
        <w:pStyle w:val="41"/>
        <w:numPr>
          <w:ilvl w:val="0"/>
          <w:numId w:val="9"/>
        </w:numPr>
        <w:rPr>
          <w:rFonts w:hAnsi="宋体"/>
          <w:b/>
          <w:bCs/>
        </w:rPr>
      </w:pPr>
      <w:r>
        <w:rPr>
          <w:rFonts w:hint="eastAsia" w:hAnsi="宋体"/>
          <w:b/>
          <w:bCs/>
        </w:rPr>
        <w:t>主机</w:t>
      </w:r>
    </w:p>
    <w:p w14:paraId="6329C394">
      <w:pPr>
        <w:spacing w:line="360" w:lineRule="auto"/>
        <w:ind w:left="846" w:leftChars="202" w:hanging="422" w:hangingChars="176"/>
        <w:rPr>
          <w:rFonts w:ascii="宋体" w:hAnsi="宋体"/>
          <w:sz w:val="24"/>
        </w:rPr>
      </w:pPr>
      <w:r>
        <w:rPr>
          <w:rFonts w:hint="eastAsia" w:ascii="宋体" w:hAnsi="宋体"/>
          <w:sz w:val="24"/>
        </w:rPr>
        <w:t>▲1.1.模块化插件式监护仪，插件槽≥5个。</w:t>
      </w:r>
    </w:p>
    <w:p w14:paraId="5440E7AC">
      <w:pPr>
        <w:pStyle w:val="41"/>
        <w:numPr>
          <w:ilvl w:val="1"/>
          <w:numId w:val="16"/>
        </w:numPr>
        <w:rPr>
          <w:rFonts w:hAnsi="宋体"/>
        </w:rPr>
      </w:pPr>
      <w:r>
        <w:rPr>
          <w:rFonts w:hint="eastAsia" w:hAnsi="宋体"/>
        </w:rPr>
        <w:t>彩色液晶触摸显示屏≥18英寸，高分辨率≥1920×1080；波形显示通道≥12通道 。</w:t>
      </w:r>
    </w:p>
    <w:p w14:paraId="59048255">
      <w:pPr>
        <w:pStyle w:val="41"/>
        <w:rPr>
          <w:rFonts w:hAnsi="宋体"/>
          <w:b/>
          <w:bCs/>
        </w:rPr>
      </w:pPr>
      <w:r>
        <w:rPr>
          <w:rFonts w:hint="eastAsia" w:hAnsi="宋体"/>
          <w:b/>
          <w:bCs/>
        </w:rPr>
        <w:t xml:space="preserve">多参数监测模块： </w:t>
      </w:r>
    </w:p>
    <w:p w14:paraId="1D08D059">
      <w:pPr>
        <w:spacing w:line="360" w:lineRule="auto"/>
        <w:ind w:left="816" w:leftChars="302" w:hanging="182" w:hangingChars="76"/>
        <w:rPr>
          <w:rFonts w:ascii="宋体" w:hAnsi="宋体"/>
          <w:sz w:val="24"/>
        </w:rPr>
      </w:pPr>
      <w:r>
        <w:rPr>
          <w:rFonts w:hint="eastAsia" w:ascii="宋体" w:hAnsi="宋体"/>
          <w:sz w:val="24"/>
        </w:rPr>
        <w:t>▲2.1.液晶显示屏≥5英寸，可独立做为监护仪使用。</w:t>
      </w:r>
    </w:p>
    <w:p w14:paraId="762D9529">
      <w:pPr>
        <w:pStyle w:val="41"/>
        <w:numPr>
          <w:ilvl w:val="1"/>
          <w:numId w:val="19"/>
        </w:numPr>
        <w:rPr>
          <w:rFonts w:hAnsi="宋体"/>
        </w:rPr>
      </w:pPr>
      <w:r>
        <w:rPr>
          <w:rFonts w:hint="eastAsia" w:hAnsi="宋体"/>
        </w:rPr>
        <w:t>具备锂电池，可支持多参数监测模块正常工作≥4h。</w:t>
      </w:r>
    </w:p>
    <w:p w14:paraId="4DC033E4">
      <w:pPr>
        <w:pStyle w:val="41"/>
        <w:numPr>
          <w:ilvl w:val="1"/>
          <w:numId w:val="1"/>
        </w:numPr>
        <w:rPr>
          <w:rFonts w:hAnsi="宋体"/>
        </w:rPr>
      </w:pPr>
      <w:r>
        <w:rPr>
          <w:rFonts w:hint="eastAsia" w:hAnsi="宋体"/>
        </w:rPr>
        <w:t>具备心电、呼吸、无创血压、血氧、体温、脉率、有创血压监测功能。麻醉气体。</w:t>
      </w:r>
    </w:p>
    <w:p w14:paraId="61937E2E">
      <w:pPr>
        <w:pStyle w:val="41"/>
        <w:numPr>
          <w:ilvl w:val="1"/>
          <w:numId w:val="1"/>
        </w:numPr>
        <w:rPr>
          <w:rFonts w:hAnsi="宋体"/>
        </w:rPr>
      </w:pPr>
      <w:r>
        <w:rPr>
          <w:rFonts w:hint="eastAsia" w:hAnsi="宋体"/>
        </w:rPr>
        <w:t>心电监测： 心率测量范围：成人：10bpm～300bpm；儿童和新生儿：10bpm～350bpm。</w:t>
      </w:r>
    </w:p>
    <w:p w14:paraId="725C8812">
      <w:pPr>
        <w:pStyle w:val="41"/>
        <w:numPr>
          <w:ilvl w:val="1"/>
          <w:numId w:val="1"/>
        </w:numPr>
        <w:rPr>
          <w:rFonts w:hAnsi="宋体"/>
        </w:rPr>
      </w:pPr>
      <w:r>
        <w:rPr>
          <w:rFonts w:hint="eastAsia" w:hAnsi="宋体"/>
        </w:rPr>
        <w:t>无创血压监测：成人收缩压测量范围：25～290mmH。</w:t>
      </w:r>
    </w:p>
    <w:p w14:paraId="62DD00D0">
      <w:pPr>
        <w:pStyle w:val="41"/>
        <w:numPr>
          <w:ilvl w:val="1"/>
          <w:numId w:val="1"/>
        </w:numPr>
        <w:rPr>
          <w:rFonts w:hAnsi="宋体"/>
        </w:rPr>
      </w:pPr>
      <w:r>
        <w:rPr>
          <w:rFonts w:hint="eastAsia" w:hAnsi="宋体"/>
        </w:rPr>
        <w:t>血氧监测：</w:t>
      </w:r>
    </w:p>
    <w:p w14:paraId="53752984">
      <w:pPr>
        <w:pStyle w:val="41"/>
        <w:numPr>
          <w:ilvl w:val="2"/>
          <w:numId w:val="1"/>
        </w:numPr>
        <w:rPr>
          <w:rFonts w:hAnsi="宋体"/>
        </w:rPr>
      </w:pPr>
      <w:r>
        <w:rPr>
          <w:rFonts w:hint="eastAsia" w:hAnsi="宋体"/>
        </w:rPr>
        <w:t>来自SpO2的PR测量范围：20～300bpm。</w:t>
      </w:r>
    </w:p>
    <w:p w14:paraId="50C693C1">
      <w:pPr>
        <w:pStyle w:val="41"/>
        <w:numPr>
          <w:ilvl w:val="2"/>
          <w:numId w:val="1"/>
        </w:numPr>
        <w:rPr>
          <w:rFonts w:hAnsi="宋体"/>
        </w:rPr>
      </w:pPr>
      <w:r>
        <w:rPr>
          <w:rFonts w:hint="eastAsia" w:hAnsi="宋体"/>
        </w:rPr>
        <w:t>呼吸率及呼吸波形可通过血氧探头（脉搏波技术）监测，无需耗材。</w:t>
      </w:r>
    </w:p>
    <w:p w14:paraId="6D1F350B">
      <w:pPr>
        <w:pStyle w:val="41"/>
        <w:rPr>
          <w:rFonts w:hAnsi="宋体"/>
          <w:b/>
          <w:bCs/>
        </w:rPr>
      </w:pPr>
      <w:r>
        <w:rPr>
          <w:rFonts w:hint="eastAsia" w:hAnsi="宋体"/>
          <w:b/>
          <w:bCs/>
        </w:rPr>
        <w:t>无创心排量监测模块：</w:t>
      </w:r>
    </w:p>
    <w:p w14:paraId="6142D058">
      <w:pPr>
        <w:pStyle w:val="41"/>
        <w:numPr>
          <w:ilvl w:val="1"/>
          <w:numId w:val="1"/>
        </w:numPr>
        <w:rPr>
          <w:rFonts w:hAnsi="宋体"/>
        </w:rPr>
      </w:pPr>
      <w:r>
        <w:rPr>
          <w:rFonts w:hint="eastAsia" w:hAnsi="宋体"/>
        </w:rPr>
        <w:t>测量参数：心输出量（C.O.），心脏指数（C.I.），每搏射血量（SV），每搏射血指数（SI），外周血管阻力（SVR），外周血管阻力指数（SVRI），胸液体指数（TFI），胸液体容积（TFC），心率（HR）。</w:t>
      </w:r>
    </w:p>
    <w:p w14:paraId="5B3FA8CB">
      <w:pPr>
        <w:pStyle w:val="41"/>
        <w:numPr>
          <w:ilvl w:val="1"/>
          <w:numId w:val="1"/>
        </w:numPr>
        <w:rPr>
          <w:rFonts w:hAnsi="宋体"/>
        </w:rPr>
      </w:pPr>
      <w:r>
        <w:rPr>
          <w:rFonts w:hint="eastAsia" w:hAnsi="宋体"/>
        </w:rPr>
        <w:t>测量范围：HR：44 bpm～185 bpm；SV：5.0 mL～250.0 mL ；C.O.：1.4 L/min～15.0 L/min</w:t>
      </w:r>
    </w:p>
    <w:p w14:paraId="343B5202">
      <w:pPr>
        <w:pStyle w:val="41"/>
        <w:rPr>
          <w:rFonts w:hAnsi="宋体"/>
          <w:b/>
          <w:bCs/>
        </w:rPr>
      </w:pPr>
      <w:r>
        <w:rPr>
          <w:rFonts w:hint="eastAsia" w:hAnsi="宋体"/>
          <w:b/>
          <w:bCs/>
        </w:rPr>
        <w:t>肌松监测模块：</w:t>
      </w:r>
    </w:p>
    <w:p w14:paraId="62C5DD88">
      <w:pPr>
        <w:pStyle w:val="41"/>
        <w:numPr>
          <w:ilvl w:val="1"/>
          <w:numId w:val="1"/>
        </w:numPr>
        <w:rPr>
          <w:rFonts w:hAnsi="宋体"/>
        </w:rPr>
      </w:pPr>
      <w:r>
        <w:rPr>
          <w:rFonts w:hint="eastAsia" w:hAnsi="宋体"/>
        </w:rPr>
        <w:t>测量模式: 四列脉冲（TOF）、双脉冲（DB）、强直刺激后计数（PTC）、超最大电流（SMC）、自动（Auto）、抽搐（TWI）和强直刺激（TET）</w:t>
      </w:r>
    </w:p>
    <w:p w14:paraId="5BD09D32">
      <w:pPr>
        <w:pStyle w:val="41"/>
        <w:numPr>
          <w:ilvl w:val="1"/>
          <w:numId w:val="1"/>
        </w:numPr>
        <w:rPr>
          <w:rFonts w:hAnsi="宋体"/>
        </w:rPr>
      </w:pPr>
      <w:r>
        <w:rPr>
          <w:rFonts w:hint="eastAsia" w:hAnsi="宋体"/>
        </w:rPr>
        <w:t>电流范围: 0mA~80mA，测量误差±5%或±2 mA，取大者</w:t>
      </w:r>
    </w:p>
    <w:p w14:paraId="6D2B6B7E">
      <w:pPr>
        <w:pStyle w:val="41"/>
        <w:rPr>
          <w:rFonts w:hAnsi="宋体"/>
          <w:b/>
          <w:bCs/>
        </w:rPr>
      </w:pPr>
      <w:r>
        <w:rPr>
          <w:rFonts w:hint="eastAsia" w:hAnsi="宋体"/>
          <w:b/>
          <w:bCs/>
        </w:rPr>
        <w:t>系统功能：</w:t>
      </w:r>
    </w:p>
    <w:p w14:paraId="35C7A2EE">
      <w:pPr>
        <w:pStyle w:val="41"/>
        <w:numPr>
          <w:ilvl w:val="1"/>
          <w:numId w:val="1"/>
        </w:numPr>
        <w:rPr>
          <w:rFonts w:hAnsi="宋体"/>
        </w:rPr>
      </w:pPr>
      <w:r>
        <w:rPr>
          <w:rFonts w:hint="eastAsia" w:hAnsi="宋体"/>
        </w:rPr>
        <w:t>可统计过去24h、48h、72h的心律失常、QT、ST分析。</w:t>
      </w:r>
    </w:p>
    <w:p w14:paraId="46C25C80">
      <w:pPr>
        <w:pStyle w:val="41"/>
        <w:numPr>
          <w:ilvl w:val="1"/>
          <w:numId w:val="1"/>
        </w:numPr>
        <w:rPr>
          <w:rFonts w:hAnsi="宋体"/>
        </w:rPr>
      </w:pPr>
      <w:r>
        <w:rPr>
          <w:rFonts w:hint="eastAsia" w:hAnsi="宋体"/>
        </w:rPr>
        <w:t>具有ECG Cabrera界面，可根据心脏前壁、侧壁和下壁分类排序，可显示-aVR导联，</w:t>
      </w:r>
    </w:p>
    <w:p w14:paraId="296384C0">
      <w:pPr>
        <w:pStyle w:val="41"/>
        <w:numPr>
          <w:ilvl w:val="1"/>
          <w:numId w:val="1"/>
        </w:numPr>
        <w:rPr>
          <w:rFonts w:hAnsi="宋体"/>
        </w:rPr>
      </w:pPr>
      <w:r>
        <w:rPr>
          <w:rFonts w:hint="eastAsia" w:hAnsi="宋体"/>
        </w:rPr>
        <w:t>趋势图可存储≥1800h</w:t>
      </w:r>
    </w:p>
    <w:p w14:paraId="69E882F4">
      <w:pPr>
        <w:pStyle w:val="41"/>
        <w:numPr>
          <w:ilvl w:val="1"/>
          <w:numId w:val="1"/>
        </w:numPr>
        <w:rPr>
          <w:rFonts w:hAnsi="宋体"/>
        </w:rPr>
      </w:pPr>
      <w:r>
        <w:rPr>
          <w:rFonts w:hint="eastAsia" w:hAnsi="宋体"/>
        </w:rPr>
        <w:t>参数报警事件存储≥3000个，以及事件发生时刻相关的参数波形。</w:t>
      </w:r>
    </w:p>
    <w:p w14:paraId="17F4B63E">
      <w:pPr>
        <w:pStyle w:val="41"/>
        <w:numPr>
          <w:ilvl w:val="1"/>
          <w:numId w:val="1"/>
        </w:numPr>
        <w:rPr>
          <w:rFonts w:hAnsi="宋体"/>
        </w:rPr>
      </w:pPr>
      <w:r>
        <w:rPr>
          <w:rFonts w:hint="eastAsia" w:hAnsi="宋体"/>
        </w:rPr>
        <w:t>ARR 事件存储≥3000个，以及事件发生时刻相关的参数波形。</w:t>
      </w:r>
    </w:p>
    <w:p w14:paraId="220015B5">
      <w:pPr>
        <w:pStyle w:val="41"/>
        <w:numPr>
          <w:ilvl w:val="1"/>
          <w:numId w:val="1"/>
        </w:numPr>
        <w:rPr>
          <w:rFonts w:hAnsi="宋体"/>
        </w:rPr>
      </w:pPr>
      <w:r>
        <w:rPr>
          <w:rFonts w:hint="eastAsia" w:hAnsi="宋体"/>
        </w:rPr>
        <w:t>NIBP数据存储≥2400组</w:t>
      </w:r>
    </w:p>
    <w:p w14:paraId="784D8888">
      <w:pPr>
        <w:pStyle w:val="41"/>
        <w:numPr>
          <w:ilvl w:val="1"/>
          <w:numId w:val="1"/>
        </w:numPr>
        <w:rPr>
          <w:rFonts w:hAnsi="宋体"/>
        </w:rPr>
      </w:pPr>
      <w:r>
        <w:rPr>
          <w:rFonts w:hint="eastAsia" w:hAnsi="宋体"/>
        </w:rPr>
        <w:t>全息波形可存储≥72h</w:t>
      </w:r>
    </w:p>
    <w:p w14:paraId="517BCA0F">
      <w:pPr>
        <w:pStyle w:val="41"/>
        <w:numPr>
          <w:ilvl w:val="1"/>
          <w:numId w:val="1"/>
        </w:numPr>
        <w:rPr>
          <w:rFonts w:hAnsi="宋体"/>
        </w:rPr>
      </w:pPr>
      <w:r>
        <w:rPr>
          <w:rFonts w:hint="eastAsia" w:hAnsi="宋体"/>
        </w:rPr>
        <w:t>具备Aldrete评分、Steward评分、Padss评分功能，可辅助医生完成插管、诱导、术中麻醉状态维持和术后病人复苏的状态监测。</w:t>
      </w:r>
    </w:p>
    <w:p w14:paraId="150376A5">
      <w:pPr>
        <w:spacing w:line="360" w:lineRule="auto"/>
        <w:ind w:firstLine="426" w:firstLineChars="177"/>
        <w:rPr>
          <w:rFonts w:ascii="宋体" w:hAnsi="宋体"/>
          <w:b/>
          <w:bCs/>
          <w:sz w:val="24"/>
        </w:rPr>
      </w:pPr>
      <w:r>
        <w:rPr>
          <w:rFonts w:hint="eastAsia" w:ascii="宋体" w:hAnsi="宋体"/>
          <w:b/>
          <w:bCs/>
          <w:sz w:val="24"/>
        </w:rPr>
        <w:t>（三）电子尿量监测仪：</w:t>
      </w:r>
    </w:p>
    <w:p w14:paraId="40EB5F93">
      <w:pPr>
        <w:pStyle w:val="41"/>
        <w:numPr>
          <w:ilvl w:val="0"/>
          <w:numId w:val="9"/>
        </w:numPr>
        <w:rPr>
          <w:rFonts w:hAnsi="宋体"/>
        </w:rPr>
      </w:pPr>
      <w:r>
        <w:rPr>
          <w:rFonts w:hint="eastAsia" w:hAnsi="宋体"/>
        </w:rPr>
        <w:t>可用于成人、小儿的尿量监测。</w:t>
      </w:r>
    </w:p>
    <w:p w14:paraId="20BE56C2">
      <w:pPr>
        <w:pStyle w:val="41"/>
        <w:rPr>
          <w:rFonts w:hAnsi="宋体"/>
        </w:rPr>
      </w:pPr>
      <w:r>
        <w:rPr>
          <w:rFonts w:hint="eastAsia" w:hAnsi="宋体"/>
        </w:rPr>
        <w:t>彩色液晶触摸屏≥3.5英寸，具备锁屏功能 。</w:t>
      </w:r>
    </w:p>
    <w:p w14:paraId="41130779">
      <w:pPr>
        <w:spacing w:line="360" w:lineRule="auto"/>
        <w:ind w:left="846" w:leftChars="202" w:hanging="422" w:hangingChars="176"/>
        <w:rPr>
          <w:rFonts w:ascii="宋体" w:hAnsi="宋体"/>
          <w:sz w:val="24"/>
        </w:rPr>
      </w:pPr>
      <w:r>
        <w:rPr>
          <w:rFonts w:hint="eastAsia" w:ascii="宋体" w:hAnsi="宋体"/>
          <w:sz w:val="24"/>
        </w:rPr>
        <w:t>▲3.可测量参数：间隔尿流量、平均尿流率、累计尿流量。</w:t>
      </w:r>
    </w:p>
    <w:p w14:paraId="1212933D">
      <w:pPr>
        <w:pStyle w:val="41"/>
        <w:numPr>
          <w:ilvl w:val="0"/>
          <w:numId w:val="21"/>
        </w:numPr>
        <w:rPr>
          <w:rFonts w:hAnsi="宋体"/>
        </w:rPr>
      </w:pPr>
      <w:r>
        <w:rPr>
          <w:rFonts w:hint="eastAsia" w:hAnsi="宋体"/>
        </w:rPr>
        <w:t>间隔尿流量测量范围：0mL～9000mL；测量误差：不超过±1ml或不超过±0.5%。</w:t>
      </w:r>
    </w:p>
    <w:p w14:paraId="6DA73C50">
      <w:pPr>
        <w:pStyle w:val="41"/>
        <w:rPr>
          <w:rFonts w:hAnsi="宋体"/>
        </w:rPr>
      </w:pPr>
      <w:r>
        <w:rPr>
          <w:rFonts w:hint="eastAsia" w:hAnsi="宋体"/>
        </w:rPr>
        <w:t>平均尿流率测量范围：0mL/h～9000mL/h，测量分辨率：≤0.1 ml/h；测量误差：不超过±1ml或不超过±0.5%</w:t>
      </w:r>
    </w:p>
    <w:p w14:paraId="43C1A8E5">
      <w:pPr>
        <w:pStyle w:val="41"/>
        <w:rPr>
          <w:rFonts w:hAnsi="宋体"/>
        </w:rPr>
      </w:pPr>
      <w:r>
        <w:rPr>
          <w:rFonts w:hint="eastAsia" w:hAnsi="宋体"/>
        </w:rPr>
        <w:t>累计尿流量测量范围：可显示范围：0mL～9000mL；测量误差：不超过±1ml或不超过±0.5%</w:t>
      </w:r>
    </w:p>
    <w:p w14:paraId="77793F51">
      <w:pPr>
        <w:pStyle w:val="41"/>
        <w:rPr>
          <w:rFonts w:hAnsi="宋体"/>
        </w:rPr>
      </w:pPr>
      <w:r>
        <w:rPr>
          <w:rFonts w:hint="eastAsia" w:hAnsi="宋体"/>
        </w:rPr>
        <w:t>尿量测量范围：0mL～5000mL</w:t>
      </w:r>
    </w:p>
    <w:p w14:paraId="017EF65F">
      <w:pPr>
        <w:pStyle w:val="41"/>
        <w:rPr>
          <w:rFonts w:hAnsi="宋体"/>
        </w:rPr>
      </w:pPr>
      <w:r>
        <w:rPr>
          <w:rFonts w:hint="eastAsia" w:hAnsi="宋体"/>
        </w:rPr>
        <w:t>尿液比重可设置范围：1.000g/mL～1.050g/mL；调节步长≤0.005g/mL。</w:t>
      </w:r>
    </w:p>
    <w:p w14:paraId="7EBE5C5F">
      <w:pPr>
        <w:pStyle w:val="41"/>
        <w:rPr>
          <w:rFonts w:hAnsi="宋体"/>
        </w:rPr>
      </w:pPr>
      <w:r>
        <w:rPr>
          <w:rFonts w:hint="eastAsia" w:hAnsi="宋体"/>
        </w:rPr>
        <w:t>尿袋容量可设置范围： 500mL～5000mL，调节步长≤500mL。</w:t>
      </w:r>
    </w:p>
    <w:p w14:paraId="67EA9BC0">
      <w:pPr>
        <w:pStyle w:val="41"/>
        <w:rPr>
          <w:rFonts w:hAnsi="宋体"/>
        </w:rPr>
      </w:pPr>
      <w:r>
        <w:rPr>
          <w:rFonts w:hint="eastAsia" w:hAnsi="宋体"/>
        </w:rPr>
        <w:t xml:space="preserve">具有掉电存储功能； </w:t>
      </w:r>
    </w:p>
    <w:p w14:paraId="2E660811">
      <w:pPr>
        <w:pStyle w:val="41"/>
        <w:rPr>
          <w:rFonts w:hAnsi="宋体"/>
        </w:rPr>
      </w:pPr>
      <w:r>
        <w:rPr>
          <w:rFonts w:hint="eastAsia" w:hAnsi="宋体"/>
        </w:rPr>
        <w:t>趋势数据的存储及回顾≥350h；事件的存储及回顾≥3000组。</w:t>
      </w:r>
    </w:p>
    <w:p w14:paraId="1B503C8F">
      <w:pPr>
        <w:pStyle w:val="41"/>
        <w:rPr>
          <w:rFonts w:hAnsi="宋体"/>
        </w:rPr>
      </w:pPr>
      <w:r>
        <w:rPr>
          <w:rFonts w:hint="eastAsia" w:hAnsi="宋体"/>
        </w:rPr>
        <w:t>具有手动和自动事件存储功能。</w:t>
      </w:r>
    </w:p>
    <w:p w14:paraId="702FFF41">
      <w:pPr>
        <w:pStyle w:val="41"/>
        <w:rPr>
          <w:rFonts w:hAnsi="宋体"/>
        </w:rPr>
      </w:pPr>
      <w:r>
        <w:rPr>
          <w:rFonts w:hint="eastAsia" w:hAnsi="宋体"/>
        </w:rPr>
        <w:t>具有尿流量历史数据存储与回顾功能，可选择趋势表、直方图、曲线图；趋势表/直方图可选择时间分辨率：1min～24h。</w:t>
      </w:r>
    </w:p>
    <w:p w14:paraId="7C60617D">
      <w:pPr>
        <w:pStyle w:val="41"/>
        <w:rPr>
          <w:rFonts w:hAnsi="宋体"/>
        </w:rPr>
      </w:pPr>
      <w:r>
        <w:rPr>
          <w:rFonts w:hint="eastAsia" w:hAnsi="宋体"/>
        </w:rPr>
        <w:t>具有体液平衡计算与回顾功能</w:t>
      </w:r>
    </w:p>
    <w:p w14:paraId="1888E270">
      <w:pPr>
        <w:pStyle w:val="41"/>
        <w:rPr>
          <w:rFonts w:hAnsi="宋体"/>
        </w:rPr>
      </w:pPr>
      <w:r>
        <w:rPr>
          <w:rFonts w:hint="eastAsia" w:hAnsi="宋体"/>
        </w:rPr>
        <w:t>具有尿液特征记录和回顾功能</w:t>
      </w:r>
    </w:p>
    <w:p w14:paraId="56639710">
      <w:pPr>
        <w:spacing w:line="360" w:lineRule="auto"/>
        <w:ind w:left="846" w:leftChars="202" w:hanging="422" w:hangingChars="176"/>
        <w:rPr>
          <w:rFonts w:ascii="宋体" w:hAnsi="宋体"/>
          <w:sz w:val="24"/>
        </w:rPr>
      </w:pPr>
      <w:r>
        <w:rPr>
          <w:rFonts w:hint="eastAsia" w:ascii="宋体" w:hAnsi="宋体"/>
          <w:sz w:val="24"/>
        </w:rPr>
        <w:t>▲16.可通过有线/无线的方式与中央监护系统连接。</w:t>
      </w:r>
    </w:p>
    <w:p w14:paraId="45A71961">
      <w:pPr>
        <w:pStyle w:val="41"/>
        <w:numPr>
          <w:ilvl w:val="0"/>
          <w:numId w:val="41"/>
        </w:numPr>
        <w:rPr>
          <w:rFonts w:hAnsi="宋体"/>
        </w:rPr>
      </w:pPr>
      <w:r>
        <w:rPr>
          <w:rFonts w:hint="eastAsia" w:hAnsi="宋体"/>
        </w:rPr>
        <w:t>支持连接监护仪，实现尿量、尿流率在监护仪上显示。</w:t>
      </w:r>
    </w:p>
    <w:p w14:paraId="36856C8A">
      <w:pPr>
        <w:pStyle w:val="41"/>
        <w:rPr>
          <w:rFonts w:hAnsi="宋体"/>
        </w:rPr>
      </w:pPr>
      <w:r>
        <w:rPr>
          <w:rFonts w:hint="eastAsia" w:hAnsi="宋体"/>
        </w:rPr>
        <w:t>可输入中文。</w:t>
      </w:r>
    </w:p>
    <w:p w14:paraId="37A1BCDB">
      <w:pPr>
        <w:pStyle w:val="41"/>
        <w:rPr>
          <w:rFonts w:hAnsi="宋体"/>
        </w:rPr>
      </w:pPr>
      <w:r>
        <w:rPr>
          <w:rFonts w:hint="eastAsia" w:hAnsi="宋体"/>
        </w:rPr>
        <w:t>具备可充电电池，支持主机正常使用时间≥12h。</w:t>
      </w:r>
    </w:p>
    <w:p w14:paraId="52D6E56A">
      <w:pPr>
        <w:pStyle w:val="41"/>
        <w:rPr>
          <w:rFonts w:hAnsi="宋体"/>
        </w:rPr>
      </w:pPr>
      <w:r>
        <w:rPr>
          <w:rFonts w:hint="eastAsia" w:hAnsi="宋体"/>
        </w:rPr>
        <w:t>主机防尘防水等级：≥IP23。</w:t>
      </w:r>
    </w:p>
    <w:p w14:paraId="192BF4C4">
      <w:pPr>
        <w:spacing w:line="360" w:lineRule="auto"/>
        <w:ind w:firstLine="426" w:firstLineChars="177"/>
        <w:rPr>
          <w:rFonts w:ascii="宋体" w:hAnsi="宋体"/>
          <w:b/>
          <w:bCs/>
          <w:sz w:val="24"/>
        </w:rPr>
      </w:pPr>
      <w:r>
        <w:rPr>
          <w:rFonts w:hint="eastAsia" w:ascii="宋体" w:hAnsi="宋体"/>
          <w:b/>
          <w:bCs/>
          <w:sz w:val="24"/>
        </w:rPr>
        <w:t>★主要配置：</w:t>
      </w:r>
    </w:p>
    <w:p w14:paraId="4659D433">
      <w:pPr>
        <w:pStyle w:val="41"/>
        <w:numPr>
          <w:ilvl w:val="0"/>
          <w:numId w:val="9"/>
        </w:numPr>
        <w:rPr>
          <w:rFonts w:hAnsi="宋体"/>
        </w:rPr>
      </w:pPr>
      <w:r>
        <w:rPr>
          <w:rFonts w:hint="eastAsia" w:hAnsi="宋体"/>
        </w:rPr>
        <w:t>中央站：1套。</w:t>
      </w:r>
    </w:p>
    <w:p w14:paraId="7F2E8FED">
      <w:pPr>
        <w:pStyle w:val="41"/>
        <w:rPr>
          <w:rFonts w:hAnsi="宋体"/>
        </w:rPr>
      </w:pPr>
      <w:r>
        <w:rPr>
          <w:rFonts w:hint="eastAsia" w:hAnsi="宋体"/>
        </w:rPr>
        <w:t>监护仪：5台。</w:t>
      </w:r>
      <w:r>
        <w:rPr>
          <w:rFonts w:hAnsi="宋体"/>
        </w:rPr>
        <w:t>(</w:t>
      </w:r>
      <w:r>
        <w:rPr>
          <w:rFonts w:hint="eastAsia" w:hAnsi="宋体"/>
        </w:rPr>
        <w:t>需要提供医疗器械注册证或备案凭证</w:t>
      </w:r>
      <w:r>
        <w:rPr>
          <w:rFonts w:hAnsi="宋体"/>
        </w:rPr>
        <w:t>)</w:t>
      </w:r>
    </w:p>
    <w:p w14:paraId="38546A6A">
      <w:pPr>
        <w:pStyle w:val="41"/>
        <w:rPr>
          <w:rFonts w:hAnsi="宋体"/>
        </w:rPr>
      </w:pPr>
      <w:r>
        <w:rPr>
          <w:rFonts w:hint="eastAsia" w:hAnsi="宋体"/>
        </w:rPr>
        <w:t>多参数监测模块：5个。</w:t>
      </w:r>
    </w:p>
    <w:p w14:paraId="19832CF7">
      <w:pPr>
        <w:pStyle w:val="41"/>
        <w:rPr>
          <w:rFonts w:hAnsi="宋体"/>
        </w:rPr>
      </w:pPr>
      <w:r>
        <w:rPr>
          <w:rFonts w:hint="eastAsia" w:hAnsi="宋体"/>
        </w:rPr>
        <w:t>无创心排量监测模块：1个。</w:t>
      </w:r>
    </w:p>
    <w:p w14:paraId="5860CC02">
      <w:pPr>
        <w:pStyle w:val="41"/>
        <w:rPr>
          <w:rFonts w:hAnsi="宋体"/>
        </w:rPr>
      </w:pPr>
      <w:r>
        <w:rPr>
          <w:rFonts w:hint="eastAsia" w:hAnsi="宋体"/>
        </w:rPr>
        <w:t>肌松监测：1个。</w:t>
      </w:r>
    </w:p>
    <w:p w14:paraId="147F3F1F">
      <w:pPr>
        <w:pStyle w:val="41"/>
        <w:rPr>
          <w:rFonts w:hAnsi="宋体"/>
        </w:rPr>
      </w:pPr>
      <w:r>
        <w:rPr>
          <w:rFonts w:hint="eastAsia" w:hAnsi="宋体"/>
        </w:rPr>
        <w:t>监护仪附件（含心电导联线、血氧探头，体温探头、袖带、PVC气管）：5套。</w:t>
      </w:r>
    </w:p>
    <w:p w14:paraId="70A54C4B">
      <w:pPr>
        <w:pStyle w:val="41"/>
        <w:rPr>
          <w:rFonts w:hAnsi="宋体"/>
        </w:rPr>
      </w:pPr>
      <w:r>
        <w:rPr>
          <w:rFonts w:hint="eastAsia" w:hAnsi="宋体"/>
        </w:rPr>
        <w:t>电子尿量监测仪：1台。</w:t>
      </w:r>
      <w:r>
        <w:rPr>
          <w:rFonts w:hAnsi="宋体"/>
        </w:rPr>
        <w:t>(</w:t>
      </w:r>
      <w:r>
        <w:rPr>
          <w:rFonts w:hint="eastAsia" w:hAnsi="宋体"/>
        </w:rPr>
        <w:t>需要提供医疗器械注册证或备案凭证</w:t>
      </w:r>
      <w:r>
        <w:rPr>
          <w:rFonts w:hAnsi="宋体"/>
        </w:rPr>
        <w:t>)</w:t>
      </w:r>
    </w:p>
    <w:p w14:paraId="106CD6C1">
      <w:pPr>
        <w:pStyle w:val="41"/>
        <w:numPr>
          <w:ilvl w:val="0"/>
          <w:numId w:val="0"/>
        </w:numPr>
        <w:ind w:left="851"/>
        <w:rPr>
          <w:rFonts w:hAnsi="宋体"/>
        </w:rPr>
      </w:pPr>
    </w:p>
    <w:p w14:paraId="3A77672E">
      <w:pPr>
        <w:pStyle w:val="41"/>
        <w:numPr>
          <w:ilvl w:val="0"/>
          <w:numId w:val="0"/>
        </w:numPr>
        <w:ind w:left="851"/>
        <w:rPr>
          <w:rFonts w:hAnsi="宋体"/>
        </w:rPr>
      </w:pPr>
    </w:p>
    <w:p w14:paraId="11BE2AFA">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25包 标的二：医用升温毯</w:t>
      </w:r>
    </w:p>
    <w:p w14:paraId="47837570">
      <w:pPr>
        <w:pStyle w:val="41"/>
        <w:numPr>
          <w:ilvl w:val="0"/>
          <w:numId w:val="9"/>
        </w:numPr>
        <w:rPr>
          <w:rFonts w:hAnsi="宋体"/>
          <w:b/>
          <w:bCs/>
        </w:rPr>
      </w:pPr>
      <w:r>
        <w:rPr>
          <w:rFonts w:hint="eastAsia" w:hAnsi="宋体"/>
          <w:b/>
          <w:bCs/>
        </w:rPr>
        <w:t>医用升温毯主机：</w:t>
      </w:r>
    </w:p>
    <w:p w14:paraId="193D2182">
      <w:pPr>
        <w:pStyle w:val="41"/>
        <w:numPr>
          <w:ilvl w:val="1"/>
          <w:numId w:val="1"/>
        </w:numPr>
        <w:rPr>
          <w:rFonts w:hAnsi="宋体"/>
        </w:rPr>
      </w:pPr>
      <w:r>
        <w:rPr>
          <w:rFonts w:hint="eastAsia" w:hAnsi="宋体"/>
        </w:rPr>
        <w:t>温度控制：</w:t>
      </w:r>
    </w:p>
    <w:p w14:paraId="593B2735">
      <w:pPr>
        <w:pStyle w:val="41"/>
        <w:numPr>
          <w:ilvl w:val="2"/>
          <w:numId w:val="1"/>
        </w:numPr>
        <w:rPr>
          <w:rFonts w:hAnsi="宋体"/>
        </w:rPr>
      </w:pPr>
      <w:r>
        <w:rPr>
          <w:rFonts w:hint="eastAsia" w:hAnsi="宋体"/>
        </w:rPr>
        <w:t>控制类型：电子控制。</w:t>
      </w:r>
    </w:p>
    <w:p w14:paraId="4D5BF1D2">
      <w:pPr>
        <w:pStyle w:val="41"/>
        <w:numPr>
          <w:ilvl w:val="2"/>
          <w:numId w:val="1"/>
        </w:numPr>
        <w:rPr>
          <w:rFonts w:hAnsi="宋体"/>
        </w:rPr>
      </w:pPr>
      <w:r>
        <w:rPr>
          <w:rFonts w:hint="eastAsia" w:hAnsi="宋体"/>
        </w:rPr>
        <w:t>温度上升时间：≤5min。</w:t>
      </w:r>
    </w:p>
    <w:p w14:paraId="5B58EFC3">
      <w:pPr>
        <w:pStyle w:val="41"/>
        <w:numPr>
          <w:ilvl w:val="2"/>
          <w:numId w:val="1"/>
        </w:numPr>
        <w:rPr>
          <w:rFonts w:hAnsi="宋体"/>
        </w:rPr>
      </w:pPr>
      <w:r>
        <w:rPr>
          <w:rFonts w:hint="eastAsia" w:hAnsi="宋体"/>
        </w:rPr>
        <w:t>温度设置： 32℃±1℃、38℃±1℃、43℃±1℃；温度显示精度：不超过±1℃</w:t>
      </w:r>
    </w:p>
    <w:p w14:paraId="7DF2E9F2">
      <w:pPr>
        <w:pStyle w:val="41"/>
        <w:numPr>
          <w:ilvl w:val="2"/>
          <w:numId w:val="1"/>
        </w:numPr>
        <w:rPr>
          <w:rFonts w:hAnsi="宋体"/>
        </w:rPr>
      </w:pPr>
      <w:r>
        <w:rPr>
          <w:rFonts w:hint="eastAsia" w:hAnsi="宋体"/>
        </w:rPr>
        <w:t>温度传感器数量：≥3个，多点温度监控，闭环温度控制。</w:t>
      </w:r>
    </w:p>
    <w:p w14:paraId="6B05EE82">
      <w:pPr>
        <w:pStyle w:val="41"/>
        <w:numPr>
          <w:ilvl w:val="2"/>
          <w:numId w:val="1"/>
        </w:numPr>
        <w:rPr>
          <w:rFonts w:hAnsi="宋体"/>
        </w:rPr>
      </w:pPr>
      <w:r>
        <w:rPr>
          <w:rFonts w:hint="eastAsia" w:hAnsi="宋体"/>
        </w:rPr>
        <w:t>温度报警传感器：≥3个。</w:t>
      </w:r>
    </w:p>
    <w:p w14:paraId="5D9BEC55">
      <w:pPr>
        <w:pStyle w:val="41"/>
        <w:numPr>
          <w:ilvl w:val="2"/>
          <w:numId w:val="1"/>
        </w:numPr>
        <w:rPr>
          <w:rFonts w:hAnsi="宋体"/>
        </w:rPr>
      </w:pPr>
      <w:r>
        <w:rPr>
          <w:rFonts w:hint="eastAsia" w:hAnsi="宋体"/>
        </w:rPr>
        <w:t>软管出口温度高于50℃，自动过热保护停止加温</w:t>
      </w:r>
    </w:p>
    <w:p w14:paraId="41C66381">
      <w:pPr>
        <w:pStyle w:val="41"/>
        <w:numPr>
          <w:ilvl w:val="1"/>
          <w:numId w:val="1"/>
        </w:numPr>
        <w:rPr>
          <w:rFonts w:hAnsi="宋体"/>
        </w:rPr>
      </w:pPr>
      <w:r>
        <w:rPr>
          <w:rFonts w:hint="eastAsia" w:hAnsi="宋体"/>
        </w:rPr>
        <w:t>通风系统：</w:t>
      </w:r>
    </w:p>
    <w:p w14:paraId="72E4118B">
      <w:pPr>
        <w:pStyle w:val="41"/>
        <w:numPr>
          <w:ilvl w:val="2"/>
          <w:numId w:val="1"/>
        </w:numPr>
        <w:rPr>
          <w:rFonts w:hAnsi="宋体"/>
        </w:rPr>
      </w:pPr>
      <w:r>
        <w:rPr>
          <w:rFonts w:hint="eastAsia" w:hAnsi="宋体"/>
        </w:rPr>
        <w:t>风机转速：4000 ～5300 rpm。</w:t>
      </w:r>
    </w:p>
    <w:p w14:paraId="3281FEDA">
      <w:pPr>
        <w:pStyle w:val="41"/>
        <w:numPr>
          <w:ilvl w:val="2"/>
          <w:numId w:val="1"/>
        </w:numPr>
        <w:rPr>
          <w:rFonts w:hAnsi="宋体"/>
        </w:rPr>
      </w:pPr>
      <w:r>
        <w:rPr>
          <w:rFonts w:hint="eastAsia" w:hAnsi="宋体"/>
        </w:rPr>
        <w:t>风量：≥25 L/s。</w:t>
      </w:r>
    </w:p>
    <w:p w14:paraId="401AC6B0">
      <w:pPr>
        <w:pStyle w:val="41"/>
        <w:numPr>
          <w:ilvl w:val="2"/>
          <w:numId w:val="1"/>
        </w:numPr>
        <w:rPr>
          <w:rFonts w:hAnsi="宋体"/>
        </w:rPr>
      </w:pPr>
      <w:r>
        <w:rPr>
          <w:rFonts w:hint="eastAsia" w:hAnsi="宋体"/>
        </w:rPr>
        <w:t>过滤器：过滤效率≥99.97%@颗粒直径0.1μm。</w:t>
      </w:r>
    </w:p>
    <w:p w14:paraId="5E453171">
      <w:pPr>
        <w:pStyle w:val="41"/>
        <w:numPr>
          <w:ilvl w:val="2"/>
          <w:numId w:val="1"/>
        </w:numPr>
        <w:rPr>
          <w:rFonts w:hAnsi="宋体"/>
        </w:rPr>
      </w:pPr>
      <w:r>
        <w:rPr>
          <w:rFonts w:hint="eastAsia" w:hAnsi="宋体"/>
        </w:rPr>
        <w:t>过滤器更换周期：≥500h。</w:t>
      </w:r>
    </w:p>
    <w:p w14:paraId="1F869E49">
      <w:pPr>
        <w:pStyle w:val="41"/>
        <w:numPr>
          <w:ilvl w:val="1"/>
          <w:numId w:val="1"/>
        </w:numPr>
        <w:rPr>
          <w:rFonts w:hAnsi="宋体"/>
        </w:rPr>
      </w:pPr>
      <w:r>
        <w:rPr>
          <w:rFonts w:hint="eastAsia" w:hAnsi="宋体"/>
        </w:rPr>
        <w:t>外形尺寸：≤35×30×35cm。</w:t>
      </w:r>
    </w:p>
    <w:p w14:paraId="0A730F05">
      <w:pPr>
        <w:pStyle w:val="41"/>
        <w:numPr>
          <w:ilvl w:val="1"/>
          <w:numId w:val="1"/>
        </w:numPr>
        <w:rPr>
          <w:rFonts w:hAnsi="宋体"/>
        </w:rPr>
      </w:pPr>
      <w:r>
        <w:rPr>
          <w:rFonts w:hint="eastAsia" w:hAnsi="宋体"/>
        </w:rPr>
        <w:t>重量：≤6.5 kg。</w:t>
      </w:r>
    </w:p>
    <w:p w14:paraId="7B13E4A4">
      <w:pPr>
        <w:pStyle w:val="41"/>
        <w:numPr>
          <w:ilvl w:val="1"/>
          <w:numId w:val="1"/>
        </w:numPr>
        <w:rPr>
          <w:rFonts w:hAnsi="宋体"/>
        </w:rPr>
      </w:pPr>
      <w:r>
        <w:rPr>
          <w:rFonts w:hint="eastAsia" w:hAnsi="宋体"/>
        </w:rPr>
        <w:t>噪音水平：≤55dB（A）</w:t>
      </w:r>
    </w:p>
    <w:p w14:paraId="45375FC3">
      <w:pPr>
        <w:pStyle w:val="41"/>
        <w:numPr>
          <w:ilvl w:val="0"/>
          <w:numId w:val="9"/>
        </w:numPr>
        <w:rPr>
          <w:rFonts w:hAnsi="宋体"/>
          <w:b/>
          <w:bCs/>
        </w:rPr>
      </w:pPr>
      <w:r>
        <w:rPr>
          <w:rFonts w:hint="eastAsia" w:hAnsi="宋体"/>
          <w:b/>
          <w:bCs/>
        </w:rPr>
        <w:t>配套加温毯</w:t>
      </w:r>
    </w:p>
    <w:p w14:paraId="7861A32A">
      <w:pPr>
        <w:pStyle w:val="41"/>
        <w:numPr>
          <w:ilvl w:val="1"/>
          <w:numId w:val="1"/>
        </w:numPr>
        <w:rPr>
          <w:rFonts w:hAnsi="宋体"/>
        </w:rPr>
      </w:pPr>
      <w:r>
        <w:rPr>
          <w:rFonts w:hint="eastAsia" w:hAnsi="宋体"/>
        </w:rPr>
        <w:t>加温毯种类：≥20种（包括垫毯、盖毯、截石位毯、无菌垫毯）适合用于各个不同体位手术（包括心脏外科手术）。</w:t>
      </w:r>
    </w:p>
    <w:p w14:paraId="54BD6E9A">
      <w:pPr>
        <w:pStyle w:val="41"/>
        <w:numPr>
          <w:ilvl w:val="1"/>
          <w:numId w:val="1"/>
        </w:numPr>
        <w:rPr>
          <w:rFonts w:hAnsi="宋体"/>
        </w:rPr>
      </w:pPr>
      <w:r>
        <w:rPr>
          <w:rFonts w:hint="eastAsia" w:hAnsi="宋体"/>
        </w:rPr>
        <w:t>加热毯的材料柔软，不含乳胶，可透X射线，符合生物相容性、阻燃要求。</w:t>
      </w:r>
    </w:p>
    <w:p w14:paraId="0248FCF7">
      <w:pPr>
        <w:pStyle w:val="41"/>
        <w:numPr>
          <w:ilvl w:val="1"/>
          <w:numId w:val="1"/>
        </w:numPr>
        <w:rPr>
          <w:rFonts w:hAnsi="宋体"/>
        </w:rPr>
      </w:pPr>
      <w:r>
        <w:rPr>
          <w:rFonts w:hint="eastAsia" w:hAnsi="宋体"/>
        </w:rPr>
        <w:t>热气出气孔：均匀对称气孔，遍布整个毯子表面。</w:t>
      </w:r>
    </w:p>
    <w:p w14:paraId="451D3C3D">
      <w:pPr>
        <w:pStyle w:val="41"/>
        <w:numPr>
          <w:ilvl w:val="1"/>
          <w:numId w:val="1"/>
        </w:numPr>
        <w:rPr>
          <w:rFonts w:hAnsi="宋体"/>
        </w:rPr>
      </w:pPr>
      <w:r>
        <w:rPr>
          <w:rFonts w:hint="eastAsia" w:hAnsi="宋体"/>
        </w:rPr>
        <w:t xml:space="preserve">所有身下毯均有排液孔设计。 </w:t>
      </w:r>
    </w:p>
    <w:p w14:paraId="0D9CC5F5">
      <w:pPr>
        <w:pStyle w:val="41"/>
        <w:numPr>
          <w:ilvl w:val="1"/>
          <w:numId w:val="1"/>
        </w:numPr>
        <w:rPr>
          <w:rFonts w:hAnsi="宋体"/>
        </w:rPr>
      </w:pPr>
      <w:r>
        <w:rPr>
          <w:rFonts w:hint="eastAsia" w:hAnsi="宋体"/>
        </w:rPr>
        <w:t>气流模式：中心汇管控制气流，中央通道流线型设计。</w:t>
      </w:r>
    </w:p>
    <w:p w14:paraId="526311A8">
      <w:pPr>
        <w:pStyle w:val="41"/>
        <w:numPr>
          <w:ilvl w:val="1"/>
          <w:numId w:val="1"/>
        </w:numPr>
        <w:rPr>
          <w:rFonts w:hAnsi="宋体"/>
        </w:rPr>
      </w:pPr>
      <w:r>
        <w:rPr>
          <w:rFonts w:hint="eastAsia" w:hAnsi="宋体"/>
        </w:rPr>
        <w:t>毯子接口：有固定卡口和万能接口设计。</w:t>
      </w:r>
    </w:p>
    <w:p w14:paraId="3DA94913">
      <w:pPr>
        <w:spacing w:line="360" w:lineRule="auto"/>
        <w:ind w:firstLine="426" w:firstLineChars="177"/>
        <w:rPr>
          <w:rFonts w:ascii="宋体" w:hAnsi="宋体"/>
          <w:b/>
          <w:bCs/>
          <w:sz w:val="24"/>
        </w:rPr>
      </w:pPr>
      <w:r>
        <w:rPr>
          <w:rFonts w:hint="eastAsia" w:ascii="宋体" w:hAnsi="宋体"/>
          <w:b/>
          <w:bCs/>
          <w:sz w:val="24"/>
        </w:rPr>
        <w:t>★主要配置（以下配置是12套的全部配置）：</w:t>
      </w:r>
    </w:p>
    <w:p w14:paraId="22653F16">
      <w:pPr>
        <w:pStyle w:val="41"/>
        <w:numPr>
          <w:ilvl w:val="0"/>
          <w:numId w:val="9"/>
        </w:numPr>
        <w:rPr>
          <w:rFonts w:hAnsi="宋体"/>
        </w:rPr>
      </w:pPr>
      <w:r>
        <w:rPr>
          <w:rFonts w:hint="eastAsia" w:hAnsi="宋体"/>
        </w:rPr>
        <w:t>医用升温毯主机：12台。</w:t>
      </w:r>
      <w:r>
        <w:rPr>
          <w:rFonts w:hAnsi="宋体"/>
        </w:rPr>
        <w:t>(</w:t>
      </w:r>
      <w:r>
        <w:rPr>
          <w:rFonts w:hint="eastAsia" w:hAnsi="宋体"/>
        </w:rPr>
        <w:t>需要提供医疗器械注册证或备案凭证</w:t>
      </w:r>
      <w:r>
        <w:rPr>
          <w:rFonts w:hAnsi="宋体"/>
        </w:rPr>
        <w:t>)</w:t>
      </w:r>
    </w:p>
    <w:p w14:paraId="2131F906">
      <w:pPr>
        <w:pStyle w:val="41"/>
        <w:numPr>
          <w:ilvl w:val="0"/>
          <w:numId w:val="9"/>
        </w:numPr>
        <w:rPr>
          <w:rFonts w:hAnsi="宋体"/>
        </w:rPr>
      </w:pPr>
      <w:r>
        <w:rPr>
          <w:rFonts w:hint="eastAsia" w:hAnsi="宋体"/>
        </w:rPr>
        <w:t>加温毯：120条。</w:t>
      </w:r>
      <w:r>
        <w:rPr>
          <w:rFonts w:hAnsi="宋体"/>
        </w:rPr>
        <w:t>(</w:t>
      </w:r>
      <w:r>
        <w:rPr>
          <w:rFonts w:hint="eastAsia" w:hAnsi="宋体"/>
        </w:rPr>
        <w:t>需要提供医疗器械注册证或备案凭证</w:t>
      </w:r>
      <w:r>
        <w:rPr>
          <w:rFonts w:hAnsi="宋体"/>
        </w:rPr>
        <w:t>)</w:t>
      </w:r>
    </w:p>
    <w:p w14:paraId="152B2057">
      <w:pPr>
        <w:pStyle w:val="41"/>
        <w:numPr>
          <w:ilvl w:val="0"/>
          <w:numId w:val="9"/>
        </w:numPr>
        <w:rPr>
          <w:rFonts w:hAnsi="宋体"/>
        </w:rPr>
      </w:pPr>
      <w:r>
        <w:rPr>
          <w:rFonts w:hint="eastAsia" w:hAnsi="宋体"/>
        </w:rPr>
        <w:t>移动台车：12辆。</w:t>
      </w:r>
      <w:r>
        <w:rPr>
          <w:rFonts w:hint="eastAsia" w:hAnsi="宋体"/>
        </w:rPr>
        <w:tab/>
      </w:r>
    </w:p>
    <w:p w14:paraId="3284762F">
      <w:pPr>
        <w:pStyle w:val="41"/>
        <w:numPr>
          <w:ilvl w:val="0"/>
          <w:numId w:val="0"/>
        </w:numPr>
        <w:ind w:left="851"/>
        <w:rPr>
          <w:rFonts w:hAnsi="宋体"/>
        </w:rPr>
      </w:pPr>
    </w:p>
    <w:p w14:paraId="1EB6B4FB">
      <w:pPr>
        <w:pStyle w:val="41"/>
        <w:numPr>
          <w:ilvl w:val="0"/>
          <w:numId w:val="0"/>
        </w:numPr>
        <w:ind w:left="851"/>
        <w:rPr>
          <w:rFonts w:hAnsi="宋体"/>
        </w:rPr>
      </w:pPr>
    </w:p>
    <w:p w14:paraId="6249B4BC">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25包 标的三：输血输液加温器</w:t>
      </w:r>
    </w:p>
    <w:p w14:paraId="40A768F0">
      <w:pPr>
        <w:spacing w:line="360" w:lineRule="auto"/>
        <w:ind w:left="846" w:leftChars="202" w:hanging="422" w:hangingChars="176"/>
        <w:rPr>
          <w:rFonts w:ascii="宋体" w:hAnsi="宋体"/>
          <w:sz w:val="24"/>
        </w:rPr>
      </w:pPr>
      <w:r>
        <w:rPr>
          <w:rFonts w:hint="eastAsia" w:ascii="宋体" w:hAnsi="宋体"/>
          <w:sz w:val="24"/>
        </w:rPr>
        <w:t>▲1.具备双加压通道和双加热管；各通道单独控制、独立工作。</w:t>
      </w:r>
    </w:p>
    <w:p w14:paraId="71719474">
      <w:pPr>
        <w:pStyle w:val="41"/>
        <w:numPr>
          <w:ilvl w:val="0"/>
          <w:numId w:val="14"/>
        </w:numPr>
        <w:rPr>
          <w:rFonts w:hAnsi="宋体"/>
        </w:rPr>
      </w:pPr>
      <w:r>
        <w:rPr>
          <w:rFonts w:hint="eastAsia" w:hAnsi="宋体"/>
        </w:rPr>
        <w:t xml:space="preserve">可以同时显示设定温度、实时温度、加温时间。  </w:t>
      </w:r>
    </w:p>
    <w:p w14:paraId="2D591B1B">
      <w:pPr>
        <w:pStyle w:val="41"/>
      </w:pPr>
      <w:r>
        <w:rPr>
          <w:rFonts w:hint="eastAsia"/>
        </w:rPr>
        <w:t>输出温度调节范围：28.0～42.0℃；调节步长≤0.1℃；误差：不超过0.1℃；</w:t>
      </w:r>
    </w:p>
    <w:p w14:paraId="4E71A31D">
      <w:pPr>
        <w:spacing w:line="360" w:lineRule="auto"/>
        <w:ind w:left="846" w:leftChars="202" w:hanging="422" w:hangingChars="176"/>
        <w:rPr>
          <w:rFonts w:ascii="宋体" w:hAnsi="宋体"/>
          <w:sz w:val="24"/>
        </w:rPr>
      </w:pPr>
      <w:r>
        <w:rPr>
          <w:rFonts w:hint="eastAsia" w:ascii="宋体" w:hAnsi="宋体"/>
          <w:sz w:val="24"/>
        </w:rPr>
        <w:t>▲4.输出压力调节范围：0～300mmHg；调节步长≤1mmHg；误差：不超过±2mmHg；压力波动：不超过±3mmHg；</w:t>
      </w:r>
    </w:p>
    <w:p w14:paraId="788B743C">
      <w:pPr>
        <w:pStyle w:val="41"/>
        <w:numPr>
          <w:ilvl w:val="0"/>
          <w:numId w:val="42"/>
        </w:numPr>
        <w:rPr>
          <w:rFonts w:hAnsi="宋体"/>
        </w:rPr>
      </w:pPr>
      <w:r>
        <w:rPr>
          <w:rFonts w:hint="eastAsia" w:hAnsi="宋体"/>
        </w:rPr>
        <w:t>具备过压保护功能，压力大于限值（310±10mmHg）启动过压保护。</w:t>
      </w:r>
    </w:p>
    <w:p w14:paraId="18F726CC">
      <w:pPr>
        <w:pStyle w:val="41"/>
        <w:rPr>
          <w:rFonts w:hAnsi="宋体"/>
        </w:rPr>
      </w:pPr>
      <w:r>
        <w:rPr>
          <w:rFonts w:hint="eastAsia" w:hAnsi="宋体"/>
        </w:rPr>
        <w:t>超压保护：实时压力值≥设定值+20mmHg，启动超压保护。</w:t>
      </w:r>
    </w:p>
    <w:p w14:paraId="5C982378">
      <w:pPr>
        <w:pStyle w:val="41"/>
        <w:rPr>
          <w:rFonts w:hAnsi="宋体"/>
        </w:rPr>
      </w:pPr>
      <w:r>
        <w:rPr>
          <w:rFonts w:hint="eastAsia" w:hAnsi="宋体"/>
        </w:rPr>
        <w:t>欠压保护：加压运行8分钟≤设定压力，启动欠压保护。</w:t>
      </w:r>
    </w:p>
    <w:p w14:paraId="539597BF">
      <w:pPr>
        <w:pStyle w:val="41"/>
        <w:rPr>
          <w:rFonts w:hAnsi="宋体"/>
        </w:rPr>
      </w:pPr>
      <w:r>
        <w:rPr>
          <w:rFonts w:hint="eastAsia" w:hAnsi="宋体"/>
        </w:rPr>
        <w:t>压力柱保护：压力≥330mmHg，压力柱保护器自动弹起泄压时；</w:t>
      </w:r>
    </w:p>
    <w:p w14:paraId="2CEB5C78">
      <w:pPr>
        <w:pStyle w:val="41"/>
        <w:rPr>
          <w:rFonts w:hAnsi="宋体"/>
        </w:rPr>
      </w:pPr>
      <w:r>
        <w:rPr>
          <w:rFonts w:hint="eastAsia" w:hAnsi="宋体"/>
        </w:rPr>
        <w:t>具备预热功能，预热时间≤3min@ 20℃升至40℃。</w:t>
      </w:r>
    </w:p>
    <w:p w14:paraId="5C473884">
      <w:pPr>
        <w:pStyle w:val="41"/>
        <w:rPr>
          <w:rFonts w:hAnsi="宋体"/>
        </w:rPr>
      </w:pPr>
      <w:r>
        <w:rPr>
          <w:rFonts w:hint="eastAsia" w:hAnsi="宋体"/>
        </w:rPr>
        <w:t>工作模式：具备保温、输血、输液和冲洗加压模式；</w:t>
      </w:r>
    </w:p>
    <w:p w14:paraId="33500063">
      <w:pPr>
        <w:pStyle w:val="41"/>
        <w:rPr>
          <w:rFonts w:hAnsi="宋体"/>
        </w:rPr>
      </w:pPr>
      <w:r>
        <w:rPr>
          <w:rFonts w:hint="eastAsia" w:hAnsi="宋体"/>
        </w:rPr>
        <w:t>控制系统：</w:t>
      </w:r>
    </w:p>
    <w:p w14:paraId="1F2BA70A">
      <w:pPr>
        <w:pStyle w:val="41"/>
        <w:numPr>
          <w:ilvl w:val="1"/>
          <w:numId w:val="1"/>
        </w:numPr>
        <w:rPr>
          <w:rFonts w:hAnsi="宋体"/>
        </w:rPr>
      </w:pPr>
      <w:r>
        <w:rPr>
          <w:rFonts w:hint="eastAsia" w:hAnsi="宋体"/>
        </w:rPr>
        <w:t>可自动识别加热管类型.</w:t>
      </w:r>
    </w:p>
    <w:p w14:paraId="68B3F2A3">
      <w:pPr>
        <w:pStyle w:val="41"/>
        <w:numPr>
          <w:ilvl w:val="1"/>
          <w:numId w:val="1"/>
        </w:numPr>
        <w:rPr>
          <w:rFonts w:hAnsi="宋体"/>
        </w:rPr>
      </w:pPr>
      <w:r>
        <w:rPr>
          <w:rFonts w:hint="eastAsia" w:hAnsi="宋体"/>
        </w:rPr>
        <w:t>PID闭环温度控制。</w:t>
      </w:r>
    </w:p>
    <w:p w14:paraId="5A704668">
      <w:pPr>
        <w:pStyle w:val="41"/>
        <w:numPr>
          <w:ilvl w:val="1"/>
          <w:numId w:val="1"/>
        </w:numPr>
        <w:rPr>
          <w:rFonts w:hAnsi="宋体"/>
        </w:rPr>
      </w:pPr>
      <w:r>
        <w:rPr>
          <w:rFonts w:hint="eastAsia" w:hAnsi="宋体"/>
        </w:rPr>
        <w:t>具备高温报警、超温报警、传感器故障报警、低温报警功能、过流报警功能，并可紧急停止工作；可提示报警信息。</w:t>
      </w:r>
    </w:p>
    <w:p w14:paraId="2049F2E7">
      <w:pPr>
        <w:spacing w:line="360" w:lineRule="auto"/>
        <w:ind w:left="816" w:leftChars="302" w:hanging="182" w:hangingChars="76"/>
        <w:rPr>
          <w:rFonts w:ascii="宋体" w:hAnsi="宋体"/>
          <w:sz w:val="24"/>
        </w:rPr>
      </w:pPr>
      <w:r>
        <w:rPr>
          <w:rFonts w:hint="eastAsia" w:ascii="宋体" w:hAnsi="宋体"/>
          <w:sz w:val="24"/>
        </w:rPr>
        <w:t>▲11.4.彩色液晶触摸显示屏≥7英寸，可显示设置压力值、实时压力值、压力报警信息、设置温度、实时监测温度、温度报警信息。</w:t>
      </w:r>
    </w:p>
    <w:p w14:paraId="4FF849B4">
      <w:pPr>
        <w:pStyle w:val="41"/>
        <w:numPr>
          <w:ilvl w:val="1"/>
          <w:numId w:val="43"/>
        </w:numPr>
        <w:rPr>
          <w:rFonts w:hAnsi="宋体"/>
        </w:rPr>
      </w:pPr>
      <w:r>
        <w:rPr>
          <w:rFonts w:hint="eastAsia" w:hAnsi="宋体"/>
        </w:rPr>
        <w:t>具备定时功能。</w:t>
      </w:r>
    </w:p>
    <w:p w14:paraId="03306AAB">
      <w:pPr>
        <w:pStyle w:val="41"/>
        <w:rPr>
          <w:rFonts w:hAnsi="宋体"/>
        </w:rPr>
      </w:pPr>
      <w:r>
        <w:rPr>
          <w:rFonts w:hint="eastAsia" w:hAnsi="宋体"/>
        </w:rPr>
        <w:t>有效期≥10年</w:t>
      </w:r>
    </w:p>
    <w:p w14:paraId="7378C14A">
      <w:pPr>
        <w:pStyle w:val="41"/>
        <w:rPr>
          <w:rFonts w:hAnsi="宋体"/>
        </w:rPr>
      </w:pPr>
      <w:r>
        <w:rPr>
          <w:rFonts w:hint="eastAsia" w:hAnsi="宋体"/>
        </w:rPr>
        <w:t>加压袋规格： 500mL，可选配 1000ml，3000ml；</w:t>
      </w:r>
    </w:p>
    <w:p w14:paraId="7A9C234D">
      <w:pPr>
        <w:pStyle w:val="41"/>
        <w:rPr>
          <w:rFonts w:hAnsi="宋体"/>
        </w:rPr>
      </w:pPr>
      <w:r>
        <w:rPr>
          <w:rFonts w:hint="eastAsia" w:hAnsi="宋体"/>
        </w:rPr>
        <w:t>加热管长度≥4种可选，管径≥2种可选；</w:t>
      </w:r>
    </w:p>
    <w:p w14:paraId="530335A3">
      <w:pPr>
        <w:spacing w:line="360" w:lineRule="auto"/>
        <w:ind w:firstLine="426" w:firstLineChars="177"/>
        <w:rPr>
          <w:rFonts w:ascii="宋体" w:hAnsi="宋体"/>
          <w:b/>
          <w:bCs/>
          <w:sz w:val="24"/>
        </w:rPr>
      </w:pPr>
      <w:r>
        <w:rPr>
          <w:rFonts w:hint="eastAsia" w:ascii="宋体" w:hAnsi="宋体"/>
          <w:b/>
          <w:bCs/>
          <w:sz w:val="24"/>
        </w:rPr>
        <w:t>★主要配置（每台）：</w:t>
      </w:r>
    </w:p>
    <w:p w14:paraId="3D2D8103">
      <w:pPr>
        <w:pStyle w:val="41"/>
        <w:numPr>
          <w:ilvl w:val="0"/>
          <w:numId w:val="9"/>
        </w:numPr>
        <w:rPr>
          <w:rFonts w:hAnsi="宋体"/>
        </w:rPr>
      </w:pPr>
      <w:r>
        <w:rPr>
          <w:rFonts w:hint="eastAsia" w:hAnsi="宋体"/>
        </w:rPr>
        <w:t>主机：1台。</w:t>
      </w:r>
      <w:r>
        <w:rPr>
          <w:rFonts w:hAnsi="宋体"/>
        </w:rPr>
        <w:t>(</w:t>
      </w:r>
      <w:r>
        <w:rPr>
          <w:rFonts w:hint="eastAsia" w:hAnsi="宋体"/>
        </w:rPr>
        <w:t>需要提供医疗器械注册证或备案凭证</w:t>
      </w:r>
      <w:r>
        <w:rPr>
          <w:rFonts w:hAnsi="宋体"/>
        </w:rPr>
        <w:t>)</w:t>
      </w:r>
    </w:p>
    <w:p w14:paraId="15BB1EEB">
      <w:pPr>
        <w:pStyle w:val="41"/>
        <w:rPr>
          <w:rFonts w:hAnsi="宋体"/>
        </w:rPr>
      </w:pPr>
      <w:r>
        <w:rPr>
          <w:rFonts w:hint="eastAsia" w:hAnsi="宋体"/>
        </w:rPr>
        <w:t>加热管：2根。</w:t>
      </w:r>
    </w:p>
    <w:p w14:paraId="469DD425">
      <w:pPr>
        <w:pStyle w:val="41"/>
        <w:rPr>
          <w:rFonts w:hAnsi="宋体"/>
        </w:rPr>
      </w:pPr>
      <w:r>
        <w:rPr>
          <w:rFonts w:hint="eastAsia" w:hAnsi="宋体"/>
        </w:rPr>
        <w:t>加压袋：2个。</w:t>
      </w:r>
    </w:p>
    <w:p w14:paraId="2FE060D1">
      <w:pPr>
        <w:pStyle w:val="41"/>
        <w:rPr>
          <w:rFonts w:hAnsi="宋体"/>
        </w:rPr>
      </w:pPr>
      <w:r>
        <w:rPr>
          <w:rFonts w:hint="eastAsia" w:hAnsi="宋体"/>
        </w:rPr>
        <w:t>输液架：1个。</w:t>
      </w:r>
    </w:p>
    <w:p w14:paraId="4DEEEF71">
      <w:pPr>
        <w:pStyle w:val="41"/>
        <w:numPr>
          <w:ilvl w:val="0"/>
          <w:numId w:val="0"/>
        </w:numPr>
        <w:ind w:left="851"/>
        <w:rPr>
          <w:rFonts w:hAnsi="宋体"/>
        </w:rPr>
      </w:pPr>
    </w:p>
    <w:p w14:paraId="6264A0C2">
      <w:pPr>
        <w:pStyle w:val="41"/>
        <w:numPr>
          <w:ilvl w:val="0"/>
          <w:numId w:val="0"/>
        </w:numPr>
        <w:ind w:left="851"/>
        <w:rPr>
          <w:rFonts w:hAnsi="宋体"/>
        </w:rPr>
      </w:pPr>
    </w:p>
    <w:p w14:paraId="49782318">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25包 标的四：靶控注射泵</w:t>
      </w:r>
    </w:p>
    <w:p w14:paraId="20E729C9">
      <w:pPr>
        <w:spacing w:line="360" w:lineRule="auto"/>
        <w:ind w:firstLine="426" w:firstLineChars="177"/>
        <w:rPr>
          <w:rFonts w:ascii="宋体" w:hAnsi="宋体"/>
          <w:b/>
          <w:bCs/>
          <w:sz w:val="24"/>
        </w:rPr>
      </w:pPr>
      <w:r>
        <w:rPr>
          <w:rFonts w:hint="eastAsia" w:ascii="宋体" w:hAnsi="宋体"/>
          <w:b/>
          <w:bCs/>
          <w:sz w:val="24"/>
        </w:rPr>
        <w:t>(一）中央站：</w:t>
      </w:r>
    </w:p>
    <w:p w14:paraId="5F3AC43B">
      <w:pPr>
        <w:pStyle w:val="41"/>
        <w:numPr>
          <w:ilvl w:val="0"/>
          <w:numId w:val="9"/>
        </w:numPr>
        <w:rPr>
          <w:rFonts w:hAnsi="宋体"/>
        </w:rPr>
      </w:pPr>
      <w:r>
        <w:rPr>
          <w:rFonts w:hint="eastAsia" w:hAnsi="宋体"/>
        </w:rPr>
        <w:t>CPU：内存≥16G；硬盘≥1T；彩色液晶显示器≥21英寸；数量：1台。</w:t>
      </w:r>
    </w:p>
    <w:p w14:paraId="6C86FED2">
      <w:pPr>
        <w:spacing w:line="360" w:lineRule="auto"/>
        <w:ind w:left="846" w:leftChars="202" w:hanging="422" w:hangingChars="176"/>
        <w:rPr>
          <w:rFonts w:ascii="宋体" w:hAnsi="宋体"/>
          <w:sz w:val="24"/>
        </w:rPr>
      </w:pPr>
      <w:r>
        <w:rPr>
          <w:rFonts w:hint="eastAsia" w:ascii="宋体" w:hAnsi="宋体"/>
          <w:sz w:val="24"/>
        </w:rPr>
        <w:t>▲2.中央站支持≥64床病人的集中管理，具备病人接收、解除、转移等功能，并支持一键夜间模式及隐私模式，对所有病床进行统一管理。</w:t>
      </w:r>
    </w:p>
    <w:p w14:paraId="11EAB401">
      <w:pPr>
        <w:pStyle w:val="41"/>
        <w:numPr>
          <w:ilvl w:val="0"/>
          <w:numId w:val="20"/>
        </w:numPr>
        <w:rPr>
          <w:rFonts w:hAnsi="宋体"/>
        </w:rPr>
      </w:pPr>
      <w:r>
        <w:rPr>
          <w:rFonts w:hint="eastAsia" w:hAnsi="宋体"/>
        </w:rPr>
        <w:t>同屏显示≥32床病人的监护及输液相关数据。</w:t>
      </w:r>
    </w:p>
    <w:p w14:paraId="74084B9F">
      <w:pPr>
        <w:pStyle w:val="41"/>
        <w:rPr>
          <w:rFonts w:hAnsi="宋体"/>
        </w:rPr>
      </w:pPr>
      <w:r>
        <w:rPr>
          <w:rFonts w:hint="eastAsia" w:hAnsi="宋体"/>
        </w:rPr>
        <w:t>中央站可远程设置和调整输液速率、预置总量、药物种类及报警阈值，支持一键统一调整同一病床或多个病床注射泵参数。</w:t>
      </w:r>
    </w:p>
    <w:p w14:paraId="7D4A1AFA">
      <w:pPr>
        <w:pStyle w:val="41"/>
        <w:rPr>
          <w:rFonts w:hAnsi="宋体"/>
        </w:rPr>
      </w:pPr>
      <w:r>
        <w:rPr>
          <w:rFonts w:hint="eastAsia" w:hAnsi="宋体"/>
        </w:rPr>
        <w:t>中央站可实时显示注射泵工作状态，包括药物名称、输注速率、剩余量、运行及报警状态等信息。</w:t>
      </w:r>
    </w:p>
    <w:p w14:paraId="1EF9F1B7">
      <w:pPr>
        <w:pStyle w:val="41"/>
        <w:rPr>
          <w:rFonts w:hAnsi="宋体"/>
        </w:rPr>
      </w:pPr>
      <w:r>
        <w:rPr>
          <w:rFonts w:hint="eastAsia" w:hAnsi="宋体"/>
        </w:rPr>
        <w:t>注射泵报警信息可实时上传至中央站，支持集中显示、统一管理。</w:t>
      </w:r>
    </w:p>
    <w:p w14:paraId="75BACDEC">
      <w:pPr>
        <w:pStyle w:val="41"/>
        <w:rPr>
          <w:rFonts w:hAnsi="宋体"/>
        </w:rPr>
      </w:pPr>
      <w:r>
        <w:rPr>
          <w:rFonts w:hint="eastAsia" w:hAnsi="宋体"/>
        </w:rPr>
        <w:t>具备报警音量自动调节、报警复位及分级响应功能。</w:t>
      </w:r>
    </w:p>
    <w:p w14:paraId="1A7ACBC6">
      <w:pPr>
        <w:pStyle w:val="41"/>
        <w:rPr>
          <w:rFonts w:hAnsi="宋体"/>
        </w:rPr>
      </w:pPr>
      <w:r>
        <w:rPr>
          <w:rFonts w:hint="eastAsia" w:hAnsi="宋体"/>
        </w:rPr>
        <w:t>具备注射泵历史数据与事件回溯功能，可生成输液趋势分析及报警事件报告。</w:t>
      </w:r>
    </w:p>
    <w:p w14:paraId="73E83A47">
      <w:pPr>
        <w:spacing w:line="360" w:lineRule="auto"/>
        <w:ind w:firstLine="426" w:firstLineChars="177"/>
        <w:rPr>
          <w:rFonts w:ascii="宋体" w:hAnsi="宋体"/>
          <w:b/>
          <w:bCs/>
          <w:sz w:val="24"/>
        </w:rPr>
      </w:pPr>
      <w:r>
        <w:rPr>
          <w:rFonts w:hint="eastAsia" w:ascii="宋体" w:hAnsi="宋体"/>
          <w:b/>
          <w:bCs/>
          <w:sz w:val="24"/>
        </w:rPr>
        <w:t>（二）输液信息采集系统：</w:t>
      </w:r>
    </w:p>
    <w:p w14:paraId="2F109D58">
      <w:pPr>
        <w:pStyle w:val="41"/>
        <w:numPr>
          <w:ilvl w:val="0"/>
          <w:numId w:val="9"/>
        </w:numPr>
        <w:rPr>
          <w:rFonts w:hAnsi="宋体"/>
        </w:rPr>
      </w:pPr>
      <w:r>
        <w:rPr>
          <w:rFonts w:hint="eastAsia" w:hAnsi="宋体"/>
        </w:rPr>
        <w:t>具备网络接口，支持有线及无线方式接入中央站。</w:t>
      </w:r>
    </w:p>
    <w:p w14:paraId="2B711402">
      <w:pPr>
        <w:pStyle w:val="41"/>
        <w:rPr>
          <w:rFonts w:hAnsi="宋体"/>
        </w:rPr>
      </w:pPr>
      <w:r>
        <w:rPr>
          <w:rFonts w:hint="eastAsia" w:hAnsi="宋体"/>
        </w:rPr>
        <w:t>输液信息采集系统支持多输注模块联机工作，模块间可实现连续输液及信息共享。</w:t>
      </w:r>
    </w:p>
    <w:p w14:paraId="2C195ECE">
      <w:pPr>
        <w:spacing w:line="360" w:lineRule="auto"/>
        <w:ind w:left="846" w:leftChars="202" w:hanging="422" w:hangingChars="176"/>
        <w:rPr>
          <w:rFonts w:ascii="宋体" w:hAnsi="宋体"/>
          <w:sz w:val="24"/>
        </w:rPr>
      </w:pPr>
      <w:r>
        <w:rPr>
          <w:rFonts w:hint="eastAsia" w:ascii="宋体" w:hAnsi="宋体"/>
          <w:sz w:val="24"/>
        </w:rPr>
        <w:t>▲3.可连接≥4个注射泵。</w:t>
      </w:r>
    </w:p>
    <w:p w14:paraId="6456C2A6">
      <w:pPr>
        <w:spacing w:line="360" w:lineRule="auto"/>
        <w:ind w:firstLine="426" w:firstLineChars="177"/>
        <w:rPr>
          <w:rFonts w:ascii="宋体" w:hAnsi="宋体"/>
          <w:b/>
          <w:bCs/>
          <w:sz w:val="24"/>
        </w:rPr>
      </w:pPr>
      <w:r>
        <w:rPr>
          <w:rFonts w:hint="eastAsia" w:ascii="宋体" w:hAnsi="宋体"/>
          <w:b/>
          <w:bCs/>
          <w:sz w:val="24"/>
        </w:rPr>
        <w:t>（三）靶控注射泵：</w:t>
      </w:r>
    </w:p>
    <w:p w14:paraId="6F7654E3">
      <w:pPr>
        <w:pStyle w:val="41"/>
        <w:numPr>
          <w:ilvl w:val="0"/>
          <w:numId w:val="9"/>
        </w:numPr>
        <w:rPr>
          <w:rFonts w:hAnsi="宋体"/>
        </w:rPr>
      </w:pPr>
      <w:r>
        <w:rPr>
          <w:rFonts w:hint="eastAsia" w:hAnsi="宋体"/>
        </w:rPr>
        <w:t>具备TCI模式，TCI模式支持丙泊酚、瑞芬太尼、苏芬太尼，支持丙泊酚小儿药代模型。</w:t>
      </w:r>
    </w:p>
    <w:p w14:paraId="29A36899">
      <w:pPr>
        <w:pStyle w:val="41"/>
        <w:rPr>
          <w:rFonts w:hAnsi="宋体"/>
        </w:rPr>
      </w:pPr>
      <w:r>
        <w:rPr>
          <w:rFonts w:hint="eastAsia" w:hAnsi="宋体"/>
        </w:rPr>
        <w:t>支持注射器规格： 5mL、10mL、20mL、30mL、50/60mL；</w:t>
      </w:r>
    </w:p>
    <w:p w14:paraId="7CF09137">
      <w:pPr>
        <w:spacing w:line="360" w:lineRule="auto"/>
        <w:ind w:left="846" w:leftChars="202" w:hanging="422" w:hangingChars="176"/>
        <w:rPr>
          <w:rFonts w:ascii="宋体" w:hAnsi="宋体"/>
          <w:sz w:val="24"/>
        </w:rPr>
      </w:pPr>
      <w:r>
        <w:rPr>
          <w:rFonts w:hint="eastAsia" w:ascii="宋体" w:hAnsi="宋体"/>
          <w:sz w:val="24"/>
        </w:rPr>
        <w:t>▲3.注射精度：不超过±1.8%。</w:t>
      </w:r>
    </w:p>
    <w:p w14:paraId="33FFF0CE">
      <w:pPr>
        <w:pStyle w:val="41"/>
        <w:numPr>
          <w:ilvl w:val="0"/>
          <w:numId w:val="44"/>
        </w:numPr>
        <w:rPr>
          <w:rFonts w:hAnsi="宋体"/>
        </w:rPr>
      </w:pPr>
      <w:r>
        <w:rPr>
          <w:rFonts w:hint="eastAsia" w:hAnsi="宋体"/>
        </w:rPr>
        <w:t>速率设置范围：0.01～2200mL/h；最小调节步长≤0.01mL/h。</w:t>
      </w:r>
    </w:p>
    <w:p w14:paraId="7CC5D231">
      <w:pPr>
        <w:pStyle w:val="41"/>
        <w:rPr>
          <w:rFonts w:hAnsi="宋体"/>
        </w:rPr>
      </w:pPr>
      <w:r>
        <w:rPr>
          <w:rFonts w:hint="eastAsia" w:hAnsi="宋体"/>
        </w:rPr>
        <w:t>预置输液总量范围：0.01～9000mL。</w:t>
      </w:r>
    </w:p>
    <w:p w14:paraId="4C1DAD51">
      <w:pPr>
        <w:pStyle w:val="41"/>
        <w:rPr>
          <w:rFonts w:hAnsi="宋体"/>
        </w:rPr>
      </w:pPr>
      <w:r>
        <w:rPr>
          <w:rFonts w:hint="eastAsia" w:hAnsi="宋体"/>
        </w:rPr>
        <w:t>快进流速范围：0.01～2200mL/h；自动和手动快进可选。</w:t>
      </w:r>
    </w:p>
    <w:p w14:paraId="298EDEA9">
      <w:pPr>
        <w:pStyle w:val="41"/>
        <w:rPr>
          <w:rFonts w:hAnsi="宋体"/>
        </w:rPr>
      </w:pPr>
      <w:r>
        <w:rPr>
          <w:rFonts w:hint="eastAsia" w:hAnsi="宋体"/>
        </w:rPr>
        <w:t>可自动统计24h累计量、最近累计量、自定义时间段累计量、定时间隔累计量。</w:t>
      </w:r>
    </w:p>
    <w:p w14:paraId="6900B1E3">
      <w:pPr>
        <w:spacing w:line="360" w:lineRule="auto"/>
        <w:ind w:left="846" w:leftChars="202" w:hanging="422" w:hangingChars="176"/>
        <w:rPr>
          <w:rFonts w:ascii="宋体" w:hAnsi="宋体"/>
          <w:sz w:val="24"/>
        </w:rPr>
      </w:pPr>
      <w:r>
        <w:rPr>
          <w:rFonts w:hint="eastAsia" w:ascii="宋体" w:hAnsi="宋体"/>
          <w:sz w:val="24"/>
        </w:rPr>
        <w:t>▲8.注射器安装后，推拉盒可自动定位并固定注射器尾夹。</w:t>
      </w:r>
    </w:p>
    <w:p w14:paraId="5AB55004">
      <w:pPr>
        <w:pStyle w:val="41"/>
        <w:numPr>
          <w:ilvl w:val="0"/>
          <w:numId w:val="30"/>
        </w:numPr>
        <w:rPr>
          <w:rFonts w:hAnsi="宋体"/>
        </w:rPr>
      </w:pPr>
      <w:r>
        <w:rPr>
          <w:rFonts w:hint="eastAsia" w:hAnsi="宋体"/>
        </w:rPr>
        <w:t>无需额外工具或设备，可直接在注射泵上添加注射器品牌名称。</w:t>
      </w:r>
    </w:p>
    <w:p w14:paraId="78CBA1A3">
      <w:pPr>
        <w:pStyle w:val="41"/>
        <w:rPr>
          <w:rFonts w:hAnsi="宋体"/>
        </w:rPr>
      </w:pPr>
      <w:r>
        <w:rPr>
          <w:rFonts w:hint="eastAsia" w:hAnsi="宋体"/>
        </w:rPr>
        <w:t>控制系统：</w:t>
      </w:r>
    </w:p>
    <w:p w14:paraId="3704D18B">
      <w:pPr>
        <w:pStyle w:val="41"/>
        <w:numPr>
          <w:ilvl w:val="1"/>
          <w:numId w:val="1"/>
        </w:numPr>
        <w:rPr>
          <w:rFonts w:hAnsi="宋体"/>
        </w:rPr>
      </w:pPr>
      <w:r>
        <w:rPr>
          <w:rFonts w:hint="eastAsia" w:hAnsi="宋体"/>
        </w:rPr>
        <w:t>彩色液晶触摸显示屏≥3.5英寸，支持上下左右滑动操作。</w:t>
      </w:r>
    </w:p>
    <w:p w14:paraId="4EE7878E">
      <w:pPr>
        <w:pStyle w:val="41"/>
        <w:numPr>
          <w:ilvl w:val="1"/>
          <w:numId w:val="1"/>
        </w:numPr>
        <w:rPr>
          <w:rFonts w:hAnsi="宋体"/>
        </w:rPr>
      </w:pPr>
      <w:r>
        <w:rPr>
          <w:rFonts w:hint="eastAsia" w:hAnsi="宋体"/>
        </w:rPr>
        <w:t>全中文软件操作界面。</w:t>
      </w:r>
    </w:p>
    <w:p w14:paraId="2348260F">
      <w:pPr>
        <w:pStyle w:val="41"/>
        <w:numPr>
          <w:ilvl w:val="1"/>
          <w:numId w:val="1"/>
        </w:numPr>
        <w:rPr>
          <w:rFonts w:hAnsi="宋体"/>
        </w:rPr>
      </w:pPr>
      <w:r>
        <w:rPr>
          <w:rFonts w:hint="eastAsia" w:hAnsi="宋体"/>
        </w:rPr>
        <w:t>支持自动锁屏，自动锁屏时间可调。</w:t>
      </w:r>
    </w:p>
    <w:p w14:paraId="21E8CE44">
      <w:pPr>
        <w:pStyle w:val="41"/>
        <w:numPr>
          <w:ilvl w:val="1"/>
          <w:numId w:val="1"/>
        </w:numPr>
        <w:rPr>
          <w:rFonts w:hAnsi="宋体"/>
        </w:rPr>
      </w:pPr>
      <w:r>
        <w:rPr>
          <w:rFonts w:hint="eastAsia" w:hAnsi="宋体"/>
        </w:rPr>
        <w:t>具备药物库，可储存≥5000种药物信息；选择不同类型药物时对应的药物色彩标识自动显示在屏幕上，支持≥3种颜色。</w:t>
      </w:r>
    </w:p>
    <w:p w14:paraId="7B3DBEBF">
      <w:pPr>
        <w:pStyle w:val="41"/>
        <w:numPr>
          <w:ilvl w:val="1"/>
          <w:numId w:val="1"/>
        </w:numPr>
        <w:rPr>
          <w:rFonts w:hAnsi="宋体"/>
        </w:rPr>
      </w:pPr>
      <w:r>
        <w:rPr>
          <w:rFonts w:hint="eastAsia" w:hAnsi="宋体"/>
        </w:rPr>
        <w:t>具备在线动态压力监测功能，可实时显示当前压力数值；</w:t>
      </w:r>
    </w:p>
    <w:p w14:paraId="0ACBA07F">
      <w:pPr>
        <w:pStyle w:val="41"/>
        <w:numPr>
          <w:ilvl w:val="1"/>
          <w:numId w:val="1"/>
        </w:numPr>
        <w:rPr>
          <w:rFonts w:hAnsi="宋体"/>
        </w:rPr>
      </w:pPr>
      <w:r>
        <w:rPr>
          <w:rFonts w:hint="eastAsia" w:hAnsi="宋体"/>
        </w:rPr>
        <w:t>压力报警阈值≥10档可调</w:t>
      </w:r>
    </w:p>
    <w:p w14:paraId="40D8EC66">
      <w:pPr>
        <w:pStyle w:val="41"/>
        <w:numPr>
          <w:ilvl w:val="1"/>
          <w:numId w:val="1"/>
        </w:numPr>
        <w:rPr>
          <w:rFonts w:hAnsi="宋体"/>
        </w:rPr>
      </w:pPr>
      <w:r>
        <w:rPr>
          <w:rFonts w:hint="eastAsia" w:hAnsi="宋体"/>
        </w:rPr>
        <w:t>具备阻塞前预警提示功能，当管路压力未触发阻塞报警时，泵可自动识别压力上升并在屏幕上进行提示</w:t>
      </w:r>
    </w:p>
    <w:p w14:paraId="5CF1CABD">
      <w:pPr>
        <w:pStyle w:val="41"/>
        <w:numPr>
          <w:ilvl w:val="1"/>
          <w:numId w:val="1"/>
        </w:numPr>
        <w:rPr>
          <w:rFonts w:hAnsi="宋体"/>
        </w:rPr>
      </w:pPr>
      <w:r>
        <w:rPr>
          <w:rFonts w:hint="eastAsia" w:hAnsi="宋体"/>
        </w:rPr>
        <w:t>具备阻塞后自动重启输液功能，短暂性阻塞触发报警后，泵检测到阻塞压力缓解时，无需人为干预，泵自动重新启动输液。</w:t>
      </w:r>
    </w:p>
    <w:p w14:paraId="42FB8BA7">
      <w:pPr>
        <w:pStyle w:val="41"/>
        <w:numPr>
          <w:ilvl w:val="1"/>
          <w:numId w:val="1"/>
        </w:numPr>
        <w:rPr>
          <w:rFonts w:hAnsi="宋体"/>
        </w:rPr>
      </w:pPr>
      <w:r>
        <w:rPr>
          <w:rFonts w:hint="eastAsia" w:hAnsi="宋体"/>
        </w:rPr>
        <w:t>信息储存：可存储≥3500条的历史记录。</w:t>
      </w:r>
    </w:p>
    <w:p w14:paraId="47295B16">
      <w:pPr>
        <w:pStyle w:val="41"/>
        <w:rPr>
          <w:rFonts w:hAnsi="宋体"/>
        </w:rPr>
      </w:pPr>
      <w:r>
        <w:rPr>
          <w:rFonts w:hint="eastAsia" w:hAnsi="宋体"/>
        </w:rPr>
        <w:t>整机重量：≤2kg。</w:t>
      </w:r>
    </w:p>
    <w:p w14:paraId="18983788">
      <w:pPr>
        <w:spacing w:line="360" w:lineRule="auto"/>
        <w:ind w:firstLine="426" w:firstLineChars="177"/>
        <w:rPr>
          <w:rFonts w:ascii="宋体" w:hAnsi="宋体"/>
          <w:b/>
          <w:bCs/>
          <w:sz w:val="24"/>
        </w:rPr>
      </w:pPr>
      <w:r>
        <w:rPr>
          <w:rFonts w:hint="eastAsia" w:ascii="宋体" w:hAnsi="宋体"/>
          <w:b/>
          <w:bCs/>
          <w:sz w:val="24"/>
        </w:rPr>
        <w:t>★主要配置（以下配置是20套的全部配置）：</w:t>
      </w:r>
      <w:r>
        <w:rPr>
          <w:rFonts w:hint="eastAsia" w:ascii="宋体" w:hAnsi="宋体"/>
          <w:b/>
          <w:bCs/>
          <w:sz w:val="24"/>
        </w:rPr>
        <w:tab/>
      </w:r>
    </w:p>
    <w:p w14:paraId="22971C66">
      <w:pPr>
        <w:pStyle w:val="41"/>
        <w:numPr>
          <w:ilvl w:val="0"/>
          <w:numId w:val="45"/>
        </w:numPr>
        <w:rPr>
          <w:rFonts w:hAnsi="宋体"/>
        </w:rPr>
      </w:pPr>
      <w:r>
        <w:rPr>
          <w:rFonts w:hint="eastAsia" w:hAnsi="宋体"/>
        </w:rPr>
        <w:t>靶控注射泵：20台。</w:t>
      </w:r>
      <w:r>
        <w:rPr>
          <w:rFonts w:hAnsi="宋体"/>
        </w:rPr>
        <w:t>(</w:t>
      </w:r>
      <w:r>
        <w:rPr>
          <w:rFonts w:hint="eastAsia" w:hAnsi="宋体"/>
        </w:rPr>
        <w:t>需要提供医疗器械注册证或备案凭证</w:t>
      </w:r>
      <w:r>
        <w:rPr>
          <w:rFonts w:hAnsi="宋体"/>
        </w:rPr>
        <w:t>)</w:t>
      </w:r>
    </w:p>
    <w:p w14:paraId="1A292D2E">
      <w:pPr>
        <w:pStyle w:val="41"/>
        <w:rPr>
          <w:rFonts w:hAnsi="宋体"/>
        </w:rPr>
      </w:pPr>
      <w:r>
        <w:rPr>
          <w:rFonts w:hint="eastAsia" w:hAnsi="宋体"/>
        </w:rPr>
        <w:t>电池：20个。</w:t>
      </w:r>
    </w:p>
    <w:p w14:paraId="38B6F310">
      <w:pPr>
        <w:pStyle w:val="41"/>
        <w:rPr>
          <w:rFonts w:hAnsi="宋体"/>
        </w:rPr>
      </w:pPr>
      <w:r>
        <w:rPr>
          <w:rFonts w:hint="eastAsia" w:hAnsi="宋体"/>
        </w:rPr>
        <w:t>紧固夹：20个。</w:t>
      </w:r>
    </w:p>
    <w:p w14:paraId="5D976CE0">
      <w:pPr>
        <w:pStyle w:val="41"/>
        <w:rPr>
          <w:rFonts w:hAnsi="宋体"/>
        </w:rPr>
      </w:pPr>
      <w:r>
        <w:rPr>
          <w:rFonts w:hint="eastAsia" w:hAnsi="宋体"/>
        </w:rPr>
        <w:t>输液信息采集系统：5个。</w:t>
      </w:r>
    </w:p>
    <w:p w14:paraId="1538B2D5">
      <w:pPr>
        <w:pStyle w:val="41"/>
        <w:rPr>
          <w:rFonts w:hAnsi="宋体"/>
        </w:rPr>
      </w:pPr>
      <w:r>
        <w:rPr>
          <w:rFonts w:hint="eastAsia" w:hAnsi="宋体"/>
        </w:rPr>
        <w:t>插件箱：5个。</w:t>
      </w:r>
    </w:p>
    <w:p w14:paraId="3B31469B">
      <w:pPr>
        <w:pStyle w:val="41"/>
        <w:rPr>
          <w:rFonts w:hAnsi="宋体"/>
        </w:rPr>
      </w:pPr>
      <w:r>
        <w:rPr>
          <w:rFonts w:hint="eastAsia" w:hAnsi="宋体"/>
        </w:rPr>
        <w:t>紧固夹：5个。</w:t>
      </w:r>
    </w:p>
    <w:p w14:paraId="6C6E8F1C">
      <w:pPr>
        <w:pStyle w:val="41"/>
        <w:rPr>
          <w:rFonts w:hAnsi="宋体"/>
        </w:rPr>
      </w:pPr>
      <w:r>
        <w:rPr>
          <w:rFonts w:hint="eastAsia" w:hAnsi="宋体"/>
        </w:rPr>
        <w:t>中央站：2套</w:t>
      </w:r>
    </w:p>
    <w:p w14:paraId="6875071A">
      <w:pPr>
        <w:pStyle w:val="41"/>
        <w:numPr>
          <w:ilvl w:val="0"/>
          <w:numId w:val="0"/>
        </w:numPr>
        <w:ind w:left="851"/>
        <w:rPr>
          <w:rFonts w:hAnsi="宋体"/>
        </w:rPr>
      </w:pPr>
    </w:p>
    <w:p w14:paraId="6C9E59DE">
      <w:pPr>
        <w:pStyle w:val="41"/>
        <w:numPr>
          <w:ilvl w:val="0"/>
          <w:numId w:val="0"/>
        </w:numPr>
        <w:ind w:left="851"/>
        <w:rPr>
          <w:rFonts w:hAnsi="宋体"/>
        </w:rPr>
      </w:pPr>
    </w:p>
    <w:p w14:paraId="11EA894B">
      <w:pPr>
        <w:pStyle w:val="3"/>
        <w:spacing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25包 标的五：麻醉深度监护仪</w:t>
      </w:r>
    </w:p>
    <w:p w14:paraId="6DA1CE98">
      <w:pPr>
        <w:spacing w:line="360" w:lineRule="auto"/>
        <w:ind w:firstLine="426" w:firstLineChars="177"/>
        <w:rPr>
          <w:rFonts w:ascii="宋体" w:hAnsi="宋体"/>
          <w:b/>
          <w:bCs/>
          <w:sz w:val="24"/>
        </w:rPr>
      </w:pPr>
      <w:r>
        <w:rPr>
          <w:rFonts w:hint="eastAsia" w:ascii="宋体" w:hAnsi="宋体"/>
          <w:b/>
          <w:bCs/>
          <w:sz w:val="24"/>
        </w:rPr>
        <w:t>（一）麻醉深度监护仪主机：</w:t>
      </w:r>
    </w:p>
    <w:p w14:paraId="737FA0F1">
      <w:pPr>
        <w:pStyle w:val="41"/>
        <w:numPr>
          <w:ilvl w:val="0"/>
          <w:numId w:val="46"/>
        </w:numPr>
        <w:rPr>
          <w:rFonts w:hAnsi="宋体"/>
        </w:rPr>
      </w:pPr>
      <w:r>
        <w:rPr>
          <w:rFonts w:hint="eastAsia" w:hAnsi="宋体"/>
        </w:rPr>
        <w:t>液晶触摸显示屏≥10英寸，分辨率≥1280×800</w:t>
      </w:r>
    </w:p>
    <w:p w14:paraId="024E23FB">
      <w:pPr>
        <w:pStyle w:val="41"/>
        <w:rPr>
          <w:rFonts w:hAnsi="宋体"/>
        </w:rPr>
      </w:pPr>
      <w:r>
        <w:rPr>
          <w:rFonts w:hint="eastAsia" w:hAnsi="宋体"/>
        </w:rPr>
        <w:t>工作模式：手术全身麻醉模式、ICU模式、中浅镇静模式。</w:t>
      </w:r>
    </w:p>
    <w:p w14:paraId="0AC7135A">
      <w:pPr>
        <w:pStyle w:val="41"/>
        <w:rPr>
          <w:rFonts w:hAnsi="宋体"/>
        </w:rPr>
      </w:pPr>
      <w:r>
        <w:rPr>
          <w:rFonts w:hint="eastAsia" w:hAnsi="宋体"/>
        </w:rPr>
        <w:t>监测参数</w:t>
      </w:r>
    </w:p>
    <w:p w14:paraId="123E1BE6">
      <w:pPr>
        <w:pStyle w:val="41"/>
        <w:numPr>
          <w:ilvl w:val="1"/>
          <w:numId w:val="1"/>
        </w:numPr>
        <w:rPr>
          <w:rFonts w:hAnsi="宋体"/>
        </w:rPr>
      </w:pPr>
      <w:r>
        <w:rPr>
          <w:rFonts w:hint="eastAsia" w:hAnsi="宋体"/>
        </w:rPr>
        <w:t>脑状态指数CSI：</w:t>
      </w:r>
    </w:p>
    <w:p w14:paraId="73C0F380">
      <w:pPr>
        <w:pStyle w:val="41"/>
        <w:numPr>
          <w:ilvl w:val="2"/>
          <w:numId w:val="1"/>
        </w:numPr>
        <w:rPr>
          <w:rFonts w:hAnsi="宋体"/>
        </w:rPr>
      </w:pPr>
      <w:r>
        <w:rPr>
          <w:rFonts w:hint="eastAsia" w:hAnsi="宋体"/>
        </w:rPr>
        <w:t>实时计算并显示CSI值，显示范围：0～100。</w:t>
      </w:r>
    </w:p>
    <w:p w14:paraId="4C4A65DB">
      <w:pPr>
        <w:pStyle w:val="41"/>
        <w:numPr>
          <w:ilvl w:val="2"/>
          <w:numId w:val="1"/>
        </w:numPr>
        <w:rPr>
          <w:rFonts w:hAnsi="宋体"/>
        </w:rPr>
      </w:pPr>
      <w:r>
        <w:rPr>
          <w:rFonts w:hint="eastAsia" w:hAnsi="宋体"/>
        </w:rPr>
        <w:t>CSI计算时间：≤3s@传感器连接后。</w:t>
      </w:r>
    </w:p>
    <w:p w14:paraId="5D325773">
      <w:pPr>
        <w:pStyle w:val="41"/>
        <w:numPr>
          <w:ilvl w:val="1"/>
          <w:numId w:val="1"/>
        </w:numPr>
        <w:rPr>
          <w:rFonts w:hAnsi="宋体"/>
        </w:rPr>
      </w:pPr>
      <w:r>
        <w:rPr>
          <w:rFonts w:hint="eastAsia" w:hAnsi="宋体"/>
        </w:rPr>
        <w:t>肌电信号指数EMG：显示范围，0～100；更新时间≤1s。</w:t>
      </w:r>
    </w:p>
    <w:p w14:paraId="6F51CF42">
      <w:pPr>
        <w:pStyle w:val="41"/>
        <w:numPr>
          <w:ilvl w:val="1"/>
          <w:numId w:val="1"/>
        </w:numPr>
        <w:rPr>
          <w:rFonts w:hAnsi="宋体"/>
        </w:rPr>
      </w:pPr>
      <w:r>
        <w:rPr>
          <w:rFonts w:hint="eastAsia" w:hAnsi="宋体"/>
        </w:rPr>
        <w:t>爆发抑制比BS%：显示范围，0～100；更新时间≤1s。</w:t>
      </w:r>
    </w:p>
    <w:p w14:paraId="30891A2D">
      <w:pPr>
        <w:pStyle w:val="41"/>
        <w:rPr>
          <w:rFonts w:hAnsi="宋体"/>
        </w:rPr>
      </w:pPr>
      <w:r>
        <w:rPr>
          <w:rFonts w:hint="eastAsia" w:hAnsi="宋体"/>
        </w:rPr>
        <w:t>CSI趋势图：显示CSI值的变化曲线图。</w:t>
      </w:r>
    </w:p>
    <w:p w14:paraId="16BE0C4A">
      <w:pPr>
        <w:pStyle w:val="41"/>
        <w:rPr>
          <w:rFonts w:hAnsi="宋体"/>
        </w:rPr>
      </w:pPr>
      <w:r>
        <w:rPr>
          <w:rFonts w:hint="eastAsia" w:hAnsi="宋体"/>
        </w:rPr>
        <w:t>具备彩色脑电频谱，显示原始EEG经傅里叶转换后的频谱，可根据不同频谱判断患者麻醉状态。</w:t>
      </w:r>
    </w:p>
    <w:p w14:paraId="13EA217E">
      <w:pPr>
        <w:pStyle w:val="41"/>
        <w:rPr>
          <w:rFonts w:hAnsi="宋体"/>
        </w:rPr>
      </w:pPr>
      <w:r>
        <w:rPr>
          <w:rFonts w:hint="eastAsia" w:hAnsi="宋体"/>
        </w:rPr>
        <w:t>同屏显示实时脑电波形及波形趋势。</w:t>
      </w:r>
    </w:p>
    <w:p w14:paraId="18139181">
      <w:pPr>
        <w:pStyle w:val="41"/>
        <w:rPr>
          <w:rFonts w:hAnsi="宋体"/>
        </w:rPr>
      </w:pPr>
      <w:r>
        <w:rPr>
          <w:rFonts w:hint="eastAsia" w:hAnsi="宋体"/>
        </w:rPr>
        <w:t>抗工频干扰、抗肌电干扰、抗高频电刀功能；高频电刀干扰恢复时间≤6s。</w:t>
      </w:r>
    </w:p>
    <w:p w14:paraId="41C1B437">
      <w:pPr>
        <w:pStyle w:val="41"/>
        <w:rPr>
          <w:rFonts w:hAnsi="宋体"/>
        </w:rPr>
      </w:pPr>
      <w:r>
        <w:rPr>
          <w:rFonts w:hint="eastAsia" w:hAnsi="宋体"/>
        </w:rPr>
        <w:t>报警功能：</w:t>
      </w:r>
    </w:p>
    <w:p w14:paraId="3F2B7E38">
      <w:pPr>
        <w:pStyle w:val="41"/>
        <w:numPr>
          <w:ilvl w:val="1"/>
          <w:numId w:val="1"/>
        </w:numPr>
        <w:rPr>
          <w:rFonts w:hAnsi="宋体"/>
        </w:rPr>
      </w:pPr>
      <w:r>
        <w:rPr>
          <w:rFonts w:hint="eastAsia" w:hAnsi="宋体"/>
        </w:rPr>
        <w:t>具备脑状态指数报警、低电量提示、电极检测报警功能；报警方式：声光报警。</w:t>
      </w:r>
    </w:p>
    <w:p w14:paraId="0295F4D4">
      <w:pPr>
        <w:pStyle w:val="41"/>
        <w:numPr>
          <w:ilvl w:val="1"/>
          <w:numId w:val="1"/>
        </w:numPr>
        <w:rPr>
          <w:rFonts w:hAnsi="宋体"/>
        </w:rPr>
      </w:pPr>
      <w:r>
        <w:rPr>
          <w:rFonts w:hint="eastAsia" w:hAnsi="宋体"/>
        </w:rPr>
        <w:t>不同模式下可以设置不同的脑状态指数报警范围。</w:t>
      </w:r>
    </w:p>
    <w:p w14:paraId="4DDE0B42">
      <w:pPr>
        <w:pStyle w:val="41"/>
        <w:rPr>
          <w:rFonts w:hAnsi="宋体"/>
        </w:rPr>
      </w:pPr>
      <w:r>
        <w:rPr>
          <w:rFonts w:hint="eastAsia" w:hAnsi="宋体"/>
        </w:rPr>
        <w:t>数据存储：≥1500h。</w:t>
      </w:r>
    </w:p>
    <w:p w14:paraId="5A62BD31">
      <w:pPr>
        <w:pStyle w:val="41"/>
        <w:rPr>
          <w:rFonts w:hAnsi="宋体"/>
        </w:rPr>
      </w:pPr>
      <w:r>
        <w:rPr>
          <w:rFonts w:hint="eastAsia" w:hAnsi="宋体"/>
        </w:rPr>
        <w:t>具备USB端口，可批量导出数据；具备Wi-Fi功能，将数据传输至PC端管理软件。</w:t>
      </w:r>
    </w:p>
    <w:p w14:paraId="1900E5F5">
      <w:pPr>
        <w:pStyle w:val="41"/>
        <w:rPr>
          <w:rFonts w:hAnsi="宋体"/>
        </w:rPr>
      </w:pPr>
      <w:r>
        <w:rPr>
          <w:rFonts w:hint="eastAsia" w:hAnsi="宋体"/>
        </w:rPr>
        <w:t>在设备登录与历史数据导出时具备密码保护功能。</w:t>
      </w:r>
    </w:p>
    <w:p w14:paraId="5282A3B9">
      <w:pPr>
        <w:pStyle w:val="41"/>
        <w:rPr>
          <w:rFonts w:hAnsi="宋体"/>
        </w:rPr>
      </w:pPr>
      <w:r>
        <w:rPr>
          <w:rFonts w:hint="eastAsia" w:hAnsi="宋体"/>
        </w:rPr>
        <w:t>回看功能：可在设备端回看监测信息也可通过管理软件，在PC端回看已完成患者的监测信息。</w:t>
      </w:r>
    </w:p>
    <w:p w14:paraId="78CFC120">
      <w:pPr>
        <w:pStyle w:val="41"/>
        <w:rPr>
          <w:rFonts w:hAnsi="宋体"/>
        </w:rPr>
      </w:pPr>
      <w:r>
        <w:rPr>
          <w:rFonts w:hint="eastAsia" w:hAnsi="宋体"/>
        </w:rPr>
        <w:t>麻醉事件记录：可依据不同的应用场景，选择不同工作模式下所需的术中事件进行标注，预设事件可手动录入。</w:t>
      </w:r>
    </w:p>
    <w:p w14:paraId="5530EF6C">
      <w:pPr>
        <w:pStyle w:val="41"/>
        <w:rPr>
          <w:rFonts w:hAnsi="宋体"/>
        </w:rPr>
      </w:pPr>
      <w:r>
        <w:rPr>
          <w:rFonts w:hint="eastAsia" w:hAnsi="宋体"/>
        </w:rPr>
        <w:t>医生可选择麻醉药种类和剂量。</w:t>
      </w:r>
    </w:p>
    <w:p w14:paraId="515DD362">
      <w:pPr>
        <w:pStyle w:val="41"/>
        <w:rPr>
          <w:rFonts w:hAnsi="宋体"/>
        </w:rPr>
      </w:pPr>
      <w:r>
        <w:rPr>
          <w:rFonts w:hint="eastAsia" w:hAnsi="宋体"/>
        </w:rPr>
        <w:t>可接入手术麻醉记录系统，实现网络传输和数据交换，并承诺配合完成系统的对接工作。</w:t>
      </w:r>
    </w:p>
    <w:p w14:paraId="17832594">
      <w:pPr>
        <w:spacing w:line="360" w:lineRule="auto"/>
        <w:ind w:firstLine="426" w:firstLineChars="177"/>
        <w:rPr>
          <w:rFonts w:ascii="宋体" w:hAnsi="宋体"/>
          <w:sz w:val="24"/>
        </w:rPr>
      </w:pPr>
      <w:r>
        <w:rPr>
          <w:rFonts w:hint="eastAsia" w:ascii="宋体" w:hAnsi="宋体"/>
          <w:b/>
          <w:bCs/>
          <w:sz w:val="24"/>
        </w:rPr>
        <w:t>（二）传感器：</w:t>
      </w:r>
      <w:r>
        <w:rPr>
          <w:rFonts w:hint="eastAsia" w:ascii="宋体" w:hAnsi="宋体"/>
          <w:sz w:val="24"/>
        </w:rPr>
        <w:t>无需皮肤预处理（清洁、打磨），直接贴放获取患者脑电信号。</w:t>
      </w:r>
    </w:p>
    <w:p w14:paraId="1D45637A">
      <w:pPr>
        <w:spacing w:line="360" w:lineRule="auto"/>
        <w:ind w:firstLine="426" w:firstLineChars="177"/>
        <w:rPr>
          <w:rFonts w:ascii="宋体" w:hAnsi="宋体"/>
          <w:b/>
          <w:bCs/>
          <w:sz w:val="24"/>
        </w:rPr>
      </w:pPr>
      <w:r>
        <w:rPr>
          <w:rFonts w:hint="eastAsia" w:ascii="宋体" w:hAnsi="宋体"/>
          <w:b/>
          <w:bCs/>
          <w:sz w:val="24"/>
        </w:rPr>
        <w:t>（三）PC端麻醉深度监测管理软件</w:t>
      </w:r>
    </w:p>
    <w:p w14:paraId="0A060874">
      <w:pPr>
        <w:pStyle w:val="41"/>
        <w:numPr>
          <w:ilvl w:val="0"/>
          <w:numId w:val="47"/>
        </w:numPr>
        <w:rPr>
          <w:rFonts w:hAnsi="宋体"/>
        </w:rPr>
      </w:pPr>
      <w:r>
        <w:rPr>
          <w:rFonts w:hint="eastAsia" w:hAnsi="宋体"/>
        </w:rPr>
        <w:t>通过管理软件，在PC端可实时监测多名手术中患者的基本信息与麻醉与镇静深度信息。</w:t>
      </w:r>
    </w:p>
    <w:p w14:paraId="247F0868">
      <w:pPr>
        <w:pStyle w:val="41"/>
        <w:rPr>
          <w:rFonts w:hAnsi="宋体"/>
        </w:rPr>
      </w:pPr>
      <w:r>
        <w:rPr>
          <w:rFonts w:hint="eastAsia" w:hAnsi="宋体"/>
        </w:rPr>
        <w:t>通过管理软件，在PC端导出打印患者的麻醉深度监测报告。</w:t>
      </w:r>
    </w:p>
    <w:p w14:paraId="38725573">
      <w:pPr>
        <w:pStyle w:val="41"/>
        <w:rPr>
          <w:rFonts w:hAnsi="宋体"/>
        </w:rPr>
      </w:pPr>
      <w:r>
        <w:rPr>
          <w:rFonts w:hint="eastAsia" w:hAnsi="宋体"/>
        </w:rPr>
        <w:t>通过管理软件，在PC端统计工作量、CSI报警次数、设备耗材量统计等信息。</w:t>
      </w:r>
    </w:p>
    <w:p w14:paraId="1544E430">
      <w:pPr>
        <w:pStyle w:val="41"/>
        <w:rPr>
          <w:rFonts w:hAnsi="宋体"/>
        </w:rPr>
      </w:pPr>
      <w:r>
        <w:rPr>
          <w:rFonts w:hint="eastAsia" w:hAnsi="宋体"/>
        </w:rPr>
        <w:t>通过管理软件，在PC端新增麻醉深度监护仪设备，对于未登记的麻醉深度监护仪设备传输过来的数据，进行拒绝接收处理。</w:t>
      </w:r>
    </w:p>
    <w:p w14:paraId="0EF2BCE3">
      <w:pPr>
        <w:spacing w:line="360" w:lineRule="auto"/>
        <w:ind w:firstLine="426" w:firstLineChars="177"/>
        <w:rPr>
          <w:rFonts w:ascii="宋体" w:hAnsi="宋体"/>
          <w:b/>
          <w:bCs/>
          <w:sz w:val="24"/>
        </w:rPr>
      </w:pPr>
      <w:r>
        <w:rPr>
          <w:rFonts w:hint="eastAsia" w:ascii="宋体" w:hAnsi="宋体"/>
          <w:b/>
          <w:bCs/>
          <w:sz w:val="24"/>
        </w:rPr>
        <w:t>★主要配置（每台）：</w:t>
      </w:r>
    </w:p>
    <w:p w14:paraId="114513D4">
      <w:pPr>
        <w:pStyle w:val="41"/>
        <w:numPr>
          <w:ilvl w:val="0"/>
          <w:numId w:val="48"/>
        </w:numPr>
        <w:rPr>
          <w:rFonts w:hAnsi="宋体"/>
        </w:rPr>
      </w:pPr>
      <w:r>
        <w:rPr>
          <w:rFonts w:hint="eastAsia" w:hAnsi="宋体"/>
        </w:rPr>
        <w:t>主机（含SIM卡）：1台。</w:t>
      </w:r>
      <w:r>
        <w:rPr>
          <w:rFonts w:hAnsi="宋体"/>
        </w:rPr>
        <w:t>(</w:t>
      </w:r>
      <w:r>
        <w:rPr>
          <w:rFonts w:hint="eastAsia" w:hAnsi="宋体"/>
        </w:rPr>
        <w:t>需要提供医疗器械注册证或备案凭证</w:t>
      </w:r>
      <w:r>
        <w:rPr>
          <w:rFonts w:hAnsi="宋体"/>
        </w:rPr>
        <w:t>)</w:t>
      </w:r>
    </w:p>
    <w:p w14:paraId="22166ACF">
      <w:pPr>
        <w:pStyle w:val="41"/>
        <w:rPr>
          <w:rFonts w:hAnsi="宋体"/>
        </w:rPr>
      </w:pPr>
      <w:r>
        <w:rPr>
          <w:rFonts w:hint="eastAsia" w:hAnsi="宋体"/>
        </w:rPr>
        <w:t>采集盒：1个。</w:t>
      </w:r>
    </w:p>
    <w:p w14:paraId="2B62D0C9">
      <w:pPr>
        <w:pStyle w:val="41"/>
        <w:numPr>
          <w:ilvl w:val="0"/>
          <w:numId w:val="0"/>
        </w:numPr>
        <w:ind w:left="851"/>
        <w:rPr>
          <w:rFonts w:hAnsi="宋体"/>
        </w:rPr>
      </w:pPr>
    </w:p>
    <w:p w14:paraId="688C2CE6">
      <w:pPr>
        <w:widowControl/>
        <w:jc w:val="left"/>
        <w:rPr>
          <w:rFonts w:ascii="宋体" w:hAnsi="宋体" w:cs="宋体"/>
          <w:b/>
          <w:kern w:val="0"/>
          <w:sz w:val="24"/>
        </w:rPr>
      </w:pPr>
      <w:r>
        <w:rPr>
          <w:rFonts w:hint="eastAsia" w:ascii="宋体" w:hAnsi="宋体" w:cs="宋体"/>
          <w:sz w:val="24"/>
        </w:rPr>
        <w:br w:type="page"/>
      </w:r>
    </w:p>
    <w:p w14:paraId="64A35449">
      <w:pPr>
        <w:pStyle w:val="2"/>
        <w:rPr>
          <w:rFonts w:hAnsi="宋体" w:cs="宋体"/>
          <w:lang w:val="zh-TW"/>
        </w:rPr>
      </w:pPr>
      <w:bookmarkStart w:id="794" w:name="_Toc221531093"/>
      <w:r>
        <w:rPr>
          <w:rFonts w:hAnsi="宋体"/>
          <w:kern w:val="2"/>
          <w:sz w:val="36"/>
          <w:szCs w:val="36"/>
        </w:rPr>
        <w:t>第六章</w:t>
      </w:r>
      <w:r>
        <w:rPr>
          <w:rFonts w:hint="eastAsia" w:hAnsi="宋体"/>
          <w:kern w:val="2"/>
          <w:sz w:val="36"/>
          <w:szCs w:val="36"/>
        </w:rPr>
        <w:t xml:space="preserve">  </w:t>
      </w:r>
      <w:r>
        <w:rPr>
          <w:rFonts w:hAnsi="宋体"/>
          <w:kern w:val="2"/>
          <w:sz w:val="36"/>
          <w:szCs w:val="36"/>
        </w:rPr>
        <w:t>拟签订的合同文本</w:t>
      </w:r>
      <w:bookmarkEnd w:id="791"/>
      <w:bookmarkEnd w:id="794"/>
    </w:p>
    <w:p w14:paraId="68E56177">
      <w:pPr>
        <w:spacing w:line="360" w:lineRule="auto"/>
        <w:ind w:firstLine="422" w:firstLineChars="200"/>
        <w:jc w:val="center"/>
        <w:rPr>
          <w:rFonts w:ascii="宋体" w:hAnsi="宋体"/>
          <w:b/>
          <w:szCs w:val="21"/>
        </w:rPr>
      </w:pPr>
    </w:p>
    <w:p w14:paraId="42D8F01E">
      <w:pPr>
        <w:spacing w:line="360" w:lineRule="auto"/>
        <w:ind w:firstLine="422" w:firstLineChars="200"/>
        <w:jc w:val="center"/>
        <w:rPr>
          <w:rFonts w:ascii="宋体" w:hAnsi="宋体"/>
          <w:b/>
          <w:szCs w:val="21"/>
        </w:rPr>
      </w:pPr>
      <w:r>
        <w:rPr>
          <w:rFonts w:hint="eastAsia" w:ascii="宋体" w:hAnsi="宋体"/>
          <w:b/>
          <w:szCs w:val="21"/>
        </w:rPr>
        <w:t>本合同模板为参考版本，最终以双方签订的版本为准</w:t>
      </w:r>
    </w:p>
    <w:p w14:paraId="1780793B">
      <w:pPr>
        <w:ind w:right="241"/>
        <w:jc w:val="right"/>
        <w:rPr>
          <w:rFonts w:ascii="宋体" w:hAnsi="宋体"/>
          <w:b/>
        </w:rPr>
      </w:pPr>
    </w:p>
    <w:p w14:paraId="36B7871A">
      <w:pPr>
        <w:tabs>
          <w:tab w:val="left" w:pos="1622"/>
        </w:tabs>
        <w:autoSpaceDE w:val="0"/>
        <w:autoSpaceDN w:val="0"/>
        <w:spacing w:line="400" w:lineRule="exact"/>
        <w:ind w:right="109"/>
        <w:jc w:val="center"/>
        <w:rPr>
          <w:rFonts w:ascii="宋体" w:hAnsi="宋体" w:cs="仿宋"/>
          <w:b/>
          <w:bCs/>
          <w:sz w:val="36"/>
          <w:szCs w:val="36"/>
        </w:rPr>
      </w:pPr>
    </w:p>
    <w:p w14:paraId="39C6D2E7">
      <w:pPr>
        <w:tabs>
          <w:tab w:val="left" w:pos="1622"/>
        </w:tabs>
        <w:autoSpaceDE w:val="0"/>
        <w:autoSpaceDN w:val="0"/>
        <w:spacing w:line="400" w:lineRule="exact"/>
        <w:ind w:right="109"/>
        <w:rPr>
          <w:rFonts w:ascii="宋体" w:hAnsi="宋体" w:cs="仿宋"/>
          <w:b/>
          <w:bCs/>
          <w:sz w:val="36"/>
          <w:szCs w:val="36"/>
        </w:rPr>
      </w:pPr>
    </w:p>
    <w:p w14:paraId="1B95B552">
      <w:pPr>
        <w:autoSpaceDE w:val="0"/>
        <w:autoSpaceDN w:val="0"/>
        <w:spacing w:line="400" w:lineRule="exact"/>
        <w:rPr>
          <w:rFonts w:ascii="宋体" w:hAnsi="宋体" w:cs="仿宋"/>
          <w:sz w:val="24"/>
        </w:rPr>
      </w:pPr>
    </w:p>
    <w:p w14:paraId="5959D69E">
      <w:pPr>
        <w:autoSpaceDE w:val="0"/>
        <w:autoSpaceDN w:val="0"/>
        <w:spacing w:line="400" w:lineRule="exact"/>
        <w:jc w:val="center"/>
        <w:rPr>
          <w:rFonts w:ascii="宋体" w:hAnsi="宋体" w:cs="仿宋"/>
          <w:b/>
          <w:sz w:val="32"/>
          <w:szCs w:val="32"/>
        </w:rPr>
      </w:pPr>
      <w:r>
        <w:rPr>
          <w:rFonts w:hint="eastAsia" w:ascii="宋体" w:hAnsi="宋体" w:cs="仿宋"/>
          <w:b/>
          <w:sz w:val="32"/>
          <w:szCs w:val="32"/>
        </w:rPr>
        <w:t>政府采购合同（货物类）</w:t>
      </w:r>
    </w:p>
    <w:p w14:paraId="668B3E58">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06E392BC">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6380E4D3">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项目名称：</w:t>
      </w:r>
      <w:r>
        <w:rPr>
          <w:rFonts w:hint="eastAsia" w:ascii="宋体" w:hAnsi="宋体" w:cs="仿宋"/>
          <w:sz w:val="28"/>
          <w:szCs w:val="32"/>
          <w:u w:val="single"/>
        </w:rPr>
        <w:t xml:space="preserve">                            </w:t>
      </w:r>
    </w:p>
    <w:p w14:paraId="62D76B23">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7D35FA8C">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1AD9CF16">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30EA4D25">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货物名称：</w:t>
      </w:r>
      <w:r>
        <w:rPr>
          <w:rFonts w:hint="eastAsia" w:ascii="宋体" w:hAnsi="宋体" w:cs="仿宋"/>
          <w:sz w:val="28"/>
          <w:szCs w:val="32"/>
          <w:u w:val="single"/>
        </w:rPr>
        <w:t xml:space="preserve">                            </w:t>
      </w:r>
    </w:p>
    <w:p w14:paraId="279E493A">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7E6C062A">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11358022">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买    方：</w:t>
      </w:r>
      <w:r>
        <w:rPr>
          <w:rFonts w:hint="eastAsia" w:ascii="宋体" w:hAnsi="宋体" w:cs="仿宋"/>
          <w:sz w:val="28"/>
          <w:szCs w:val="32"/>
          <w:u w:val="single"/>
        </w:rPr>
        <w:t>首都医科大学附属北京妇产医院</w:t>
      </w:r>
    </w:p>
    <w:p w14:paraId="4C814A07">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卖    方：</w:t>
      </w:r>
      <w:r>
        <w:rPr>
          <w:rFonts w:hint="eastAsia" w:ascii="宋体" w:hAnsi="宋体" w:cs="仿宋"/>
          <w:sz w:val="28"/>
          <w:szCs w:val="32"/>
          <w:u w:val="single"/>
        </w:rPr>
        <w:t xml:space="preserve">                            </w:t>
      </w:r>
    </w:p>
    <w:p w14:paraId="1701D8CB">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3CE6ACF4">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p>
    <w:p w14:paraId="7885D1DF">
      <w:pPr>
        <w:pBdr>
          <w:top w:val="none" w:color="auto" w:sz="0" w:space="1"/>
          <w:left w:val="none" w:color="auto" w:sz="0" w:space="4"/>
          <w:right w:val="none" w:color="auto" w:sz="0" w:space="4"/>
        </w:pBdr>
        <w:tabs>
          <w:tab w:val="center" w:pos="4153"/>
          <w:tab w:val="right" w:pos="8306"/>
        </w:tabs>
        <w:autoSpaceDE w:val="0"/>
        <w:autoSpaceDN w:val="0"/>
        <w:spacing w:line="360" w:lineRule="auto"/>
        <w:ind w:firstLine="1260" w:firstLineChars="450"/>
        <w:jc w:val="left"/>
        <w:rPr>
          <w:rFonts w:ascii="宋体" w:hAnsi="宋体" w:cs="仿宋"/>
          <w:sz w:val="28"/>
          <w:szCs w:val="32"/>
        </w:rPr>
      </w:pPr>
      <w:r>
        <w:rPr>
          <w:rFonts w:hint="eastAsia" w:ascii="宋体" w:hAnsi="宋体" w:cs="仿宋"/>
          <w:sz w:val="28"/>
          <w:szCs w:val="32"/>
        </w:rPr>
        <w:t>签署日期：      年     月     日</w:t>
      </w:r>
    </w:p>
    <w:p w14:paraId="40D151EC">
      <w:pPr>
        <w:pStyle w:val="58"/>
        <w:spacing w:before="0" w:line="400" w:lineRule="exact"/>
        <w:ind w:firstLine="280"/>
        <w:rPr>
          <w:rFonts w:ascii="仿宋" w:hAnsi="仿宋" w:eastAsia="仿宋" w:cs="仿宋"/>
          <w:b/>
        </w:rPr>
      </w:pPr>
      <w:r>
        <w:rPr>
          <w:rFonts w:hint="eastAsia" w:ascii="宋体" w:hAnsi="宋体" w:cs="仿宋"/>
          <w:sz w:val="28"/>
          <w:szCs w:val="32"/>
        </w:rPr>
        <w:br w:type="page"/>
      </w:r>
      <w:r>
        <w:rPr>
          <w:rFonts w:hint="eastAsia" w:ascii="仿宋" w:hAnsi="仿宋" w:eastAsia="仿宋" w:cs="仿宋"/>
          <w:b/>
        </w:rPr>
        <w:t>合同书</w:t>
      </w:r>
    </w:p>
    <w:p w14:paraId="39409297">
      <w:pPr>
        <w:pStyle w:val="7"/>
        <w:spacing w:before="0" w:line="360" w:lineRule="auto"/>
        <w:ind w:firstLine="480"/>
        <w:rPr>
          <w:rFonts w:ascii="仿宋" w:hAnsi="仿宋" w:eastAsia="仿宋" w:cs="仿宋"/>
        </w:rPr>
      </w:pPr>
      <w:r>
        <w:rPr>
          <w:rFonts w:hint="eastAsia" w:ascii="仿宋" w:hAnsi="仿宋" w:eastAsia="仿宋" w:cs="仿宋"/>
          <w:u w:val="single"/>
        </w:rPr>
        <w:t>首都医科大学附属北京妇产医院</w:t>
      </w:r>
      <w:r>
        <w:rPr>
          <w:rFonts w:hint="eastAsia" w:ascii="仿宋" w:hAnsi="仿宋" w:eastAsia="仿宋" w:cs="仿宋"/>
        </w:rPr>
        <w:t>（买方）</w:t>
      </w:r>
      <w:r>
        <w:rPr>
          <w:rFonts w:hint="eastAsia" w:ascii="仿宋" w:hAnsi="仿宋" w:eastAsia="仿宋" w:cs="仿宋"/>
          <w:u w:val="single"/>
        </w:rPr>
        <w:t>妇产医院医用设备购置（追加）</w:t>
      </w:r>
      <w:r>
        <w:rPr>
          <w:rFonts w:hint="eastAsia" w:ascii="仿宋" w:hAnsi="仿宋" w:eastAsia="仿宋" w:cs="仿宋"/>
        </w:rPr>
        <w:t>（项目名称）中所需</w:t>
      </w:r>
      <w:r>
        <w:rPr>
          <w:rFonts w:hint="eastAsia" w:ascii="仿宋" w:hAnsi="仿宋" w:eastAsia="仿宋" w:cs="仿宋"/>
          <w:u w:val="single"/>
        </w:rPr>
        <w:t>*************</w:t>
      </w:r>
      <w:r>
        <w:rPr>
          <w:rFonts w:hint="eastAsia" w:ascii="仿宋" w:hAnsi="仿宋" w:eastAsia="仿宋" w:cs="仿宋"/>
        </w:rPr>
        <w:t>（货物名称）经</w:t>
      </w:r>
      <w:r>
        <w:rPr>
          <w:rFonts w:hint="eastAsia" w:ascii="仿宋" w:hAnsi="仿宋" w:eastAsia="仿宋" w:cs="仿宋"/>
          <w:u w:val="single"/>
        </w:rPr>
        <w:t xml:space="preserve"> 北京中兴恒达招标有限公司</w:t>
      </w:r>
      <w:r>
        <w:rPr>
          <w:rFonts w:hint="eastAsia" w:ascii="仿宋" w:hAnsi="仿宋" w:eastAsia="仿宋" w:cs="仿宋"/>
        </w:rPr>
        <w:t>（招标代理机构）以</w:t>
      </w:r>
      <w:r>
        <w:rPr>
          <w:rFonts w:hint="eastAsia" w:ascii="仿宋" w:hAnsi="仿宋" w:eastAsia="仿宋" w:cs="仿宋"/>
          <w:u w:val="single"/>
        </w:rPr>
        <w:t>***********</w:t>
      </w:r>
      <w:r>
        <w:rPr>
          <w:rFonts w:hint="eastAsia" w:ascii="仿宋" w:hAnsi="仿宋" w:eastAsia="仿宋" w:cs="仿宋"/>
        </w:rPr>
        <w:t>号招标文件在国内</w:t>
      </w:r>
      <w:r>
        <w:rPr>
          <w:rFonts w:hint="eastAsia" w:ascii="仿宋" w:hAnsi="仿宋" w:eastAsia="仿宋" w:cs="仿宋"/>
          <w:u w:val="single"/>
        </w:rPr>
        <w:t xml:space="preserve"> 公开 </w:t>
      </w:r>
      <w:r>
        <w:rPr>
          <w:rFonts w:hint="eastAsia" w:ascii="仿宋" w:hAnsi="仿宋" w:eastAsia="仿宋" w:cs="仿宋"/>
        </w:rPr>
        <w:t>（公开/邀请）招标。经评标委员会评定</w:t>
      </w:r>
      <w:r>
        <w:rPr>
          <w:rFonts w:hint="eastAsia" w:ascii="仿宋" w:hAnsi="仿宋" w:eastAsia="仿宋" w:cs="仿宋"/>
          <w:u w:val="single"/>
        </w:rPr>
        <w:t>***************</w:t>
      </w:r>
      <w:r>
        <w:rPr>
          <w:rFonts w:hint="eastAsia" w:ascii="仿宋" w:hAnsi="仿宋" w:eastAsia="仿宋" w:cs="仿宋"/>
        </w:rPr>
        <w:t>（卖方）为中标人。买、卖双方同意按照下面的条款和条件，签署本合同。</w:t>
      </w:r>
    </w:p>
    <w:p w14:paraId="7D448C1C">
      <w:pPr>
        <w:pStyle w:val="7"/>
        <w:spacing w:before="0" w:line="360" w:lineRule="auto"/>
        <w:ind w:firstLine="482"/>
        <w:rPr>
          <w:rFonts w:ascii="仿宋" w:hAnsi="仿宋" w:eastAsia="仿宋" w:cs="仿宋"/>
          <w:b/>
        </w:rPr>
      </w:pPr>
      <w:r>
        <w:rPr>
          <w:rFonts w:hint="eastAsia" w:ascii="仿宋" w:hAnsi="仿宋" w:eastAsia="仿宋" w:cs="仿宋"/>
          <w:b/>
        </w:rPr>
        <w:t>买方：首都医科大学附属北京妇产医院</w:t>
      </w:r>
    </w:p>
    <w:p w14:paraId="49C00588">
      <w:pPr>
        <w:pStyle w:val="7"/>
        <w:spacing w:before="0" w:line="360" w:lineRule="auto"/>
        <w:ind w:firstLine="480"/>
        <w:rPr>
          <w:rFonts w:ascii="仿宋" w:hAnsi="仿宋" w:eastAsia="仿宋" w:cs="仿宋"/>
        </w:rPr>
      </w:pPr>
      <w:r>
        <w:rPr>
          <w:rFonts w:hint="eastAsia" w:ascii="仿宋" w:hAnsi="仿宋" w:eastAsia="仿宋" w:cs="仿宋"/>
        </w:rPr>
        <w:t>统一社会信用代码：12110000400686443X</w:t>
      </w:r>
    </w:p>
    <w:p w14:paraId="66A119E1">
      <w:pPr>
        <w:spacing w:line="360" w:lineRule="auto"/>
        <w:ind w:left="480"/>
        <w:rPr>
          <w:rFonts w:ascii="仿宋" w:hAnsi="仿宋" w:eastAsia="仿宋" w:cs="仿宋"/>
          <w:sz w:val="24"/>
        </w:rPr>
      </w:pPr>
      <w:r>
        <w:rPr>
          <w:rFonts w:hint="eastAsia" w:ascii="仿宋" w:hAnsi="仿宋" w:eastAsia="仿宋" w:cs="仿宋"/>
          <w:sz w:val="24"/>
        </w:rPr>
        <w:t>住所地：北京市东城区骑河楼大街17号</w:t>
      </w:r>
    </w:p>
    <w:p w14:paraId="4D6AC705">
      <w:pPr>
        <w:spacing w:line="360" w:lineRule="auto"/>
        <w:ind w:left="480"/>
        <w:rPr>
          <w:rFonts w:ascii="仿宋" w:hAnsi="仿宋" w:eastAsia="仿宋" w:cs="仿宋"/>
          <w:sz w:val="24"/>
        </w:rPr>
      </w:pPr>
      <w:r>
        <w:rPr>
          <w:rFonts w:hint="eastAsia" w:ascii="仿宋" w:hAnsi="仿宋" w:eastAsia="仿宋" w:cs="仿宋"/>
          <w:sz w:val="24"/>
        </w:rPr>
        <w:t>法定代表人：</w:t>
      </w:r>
    </w:p>
    <w:p w14:paraId="1461F571">
      <w:pPr>
        <w:spacing w:line="360" w:lineRule="auto"/>
        <w:ind w:left="480"/>
        <w:rPr>
          <w:rFonts w:ascii="仿宋" w:hAnsi="仿宋" w:eastAsia="仿宋" w:cs="仿宋"/>
          <w:sz w:val="24"/>
        </w:rPr>
      </w:pPr>
      <w:r>
        <w:rPr>
          <w:rFonts w:hint="eastAsia" w:ascii="仿宋" w:hAnsi="仿宋" w:eastAsia="仿宋" w:cs="仿宋"/>
          <w:sz w:val="24"/>
        </w:rPr>
        <w:t>联系地址：北京市朝阳区姚家园路251号</w:t>
      </w:r>
    </w:p>
    <w:p w14:paraId="0D11B5BD">
      <w:pPr>
        <w:spacing w:line="360" w:lineRule="auto"/>
        <w:ind w:left="480"/>
        <w:rPr>
          <w:rFonts w:ascii="仿宋" w:hAnsi="仿宋" w:eastAsia="仿宋" w:cs="仿宋"/>
          <w:sz w:val="24"/>
        </w:rPr>
      </w:pPr>
      <w:r>
        <w:rPr>
          <w:rFonts w:hint="eastAsia" w:ascii="仿宋" w:hAnsi="仿宋" w:eastAsia="仿宋" w:cs="仿宋"/>
          <w:sz w:val="24"/>
        </w:rPr>
        <w:t>联系人：</w:t>
      </w:r>
    </w:p>
    <w:p w14:paraId="7B75C449">
      <w:pPr>
        <w:spacing w:line="360" w:lineRule="auto"/>
        <w:ind w:left="480"/>
        <w:rPr>
          <w:rFonts w:ascii="仿宋" w:hAnsi="仿宋" w:eastAsia="仿宋" w:cs="仿宋"/>
          <w:sz w:val="24"/>
        </w:rPr>
      </w:pPr>
      <w:r>
        <w:rPr>
          <w:rFonts w:hint="eastAsia" w:ascii="仿宋" w:hAnsi="仿宋" w:eastAsia="仿宋" w:cs="仿宋"/>
          <w:sz w:val="24"/>
        </w:rPr>
        <w:t>联系电话：010-65910599</w:t>
      </w:r>
    </w:p>
    <w:p w14:paraId="6FF8204C">
      <w:pPr>
        <w:spacing w:line="360" w:lineRule="auto"/>
        <w:ind w:left="482"/>
        <w:rPr>
          <w:rFonts w:ascii="仿宋" w:hAnsi="仿宋" w:eastAsia="仿宋" w:cs="仿宋"/>
          <w:b/>
          <w:bCs/>
          <w:sz w:val="24"/>
        </w:rPr>
      </w:pPr>
      <w:r>
        <w:rPr>
          <w:rFonts w:hint="eastAsia" w:ascii="仿宋" w:hAnsi="仿宋" w:eastAsia="仿宋" w:cs="仿宋"/>
          <w:b/>
          <w:bCs/>
          <w:sz w:val="24"/>
        </w:rPr>
        <w:t>卖方：（公司全名，需和公章一致）</w:t>
      </w:r>
    </w:p>
    <w:p w14:paraId="1CFC0683">
      <w:pPr>
        <w:spacing w:line="360" w:lineRule="auto"/>
        <w:ind w:left="480"/>
        <w:rPr>
          <w:rFonts w:ascii="仿宋" w:hAnsi="仿宋" w:eastAsia="仿宋" w:cs="仿宋"/>
          <w:sz w:val="24"/>
        </w:rPr>
      </w:pPr>
      <w:r>
        <w:rPr>
          <w:rFonts w:hint="eastAsia" w:ascii="仿宋" w:hAnsi="仿宋" w:eastAsia="仿宋" w:cs="仿宋"/>
          <w:sz w:val="24"/>
        </w:rPr>
        <w:t>统一社会信用代码：</w:t>
      </w:r>
    </w:p>
    <w:p w14:paraId="0B928FA8">
      <w:pPr>
        <w:spacing w:line="360" w:lineRule="auto"/>
        <w:ind w:left="480"/>
        <w:rPr>
          <w:rFonts w:ascii="仿宋" w:hAnsi="仿宋" w:eastAsia="仿宋" w:cs="仿宋"/>
          <w:sz w:val="24"/>
        </w:rPr>
      </w:pPr>
      <w:r>
        <w:rPr>
          <w:rFonts w:hint="eastAsia" w:ascii="仿宋" w:hAnsi="仿宋" w:eastAsia="仿宋" w:cs="仿宋"/>
          <w:sz w:val="24"/>
        </w:rPr>
        <w:t>住所地：</w:t>
      </w:r>
    </w:p>
    <w:p w14:paraId="109DDF20">
      <w:pPr>
        <w:spacing w:line="360" w:lineRule="auto"/>
        <w:ind w:left="480"/>
        <w:rPr>
          <w:rFonts w:ascii="仿宋" w:hAnsi="仿宋" w:eastAsia="仿宋" w:cs="仿宋"/>
          <w:sz w:val="24"/>
        </w:rPr>
      </w:pPr>
      <w:r>
        <w:rPr>
          <w:rFonts w:hint="eastAsia" w:ascii="仿宋" w:hAnsi="仿宋" w:eastAsia="仿宋" w:cs="仿宋"/>
          <w:sz w:val="24"/>
        </w:rPr>
        <w:t>法定代表人：</w:t>
      </w:r>
    </w:p>
    <w:p w14:paraId="13857FDB">
      <w:pPr>
        <w:spacing w:line="360" w:lineRule="auto"/>
        <w:ind w:left="480"/>
        <w:rPr>
          <w:rFonts w:ascii="仿宋" w:hAnsi="仿宋" w:eastAsia="仿宋" w:cs="仿宋"/>
          <w:sz w:val="24"/>
        </w:rPr>
      </w:pPr>
      <w:r>
        <w:rPr>
          <w:rFonts w:hint="eastAsia" w:ascii="仿宋" w:hAnsi="仿宋" w:eastAsia="仿宋" w:cs="仿宋"/>
          <w:sz w:val="24"/>
        </w:rPr>
        <w:t>联系地址：</w:t>
      </w:r>
    </w:p>
    <w:p w14:paraId="0386B500">
      <w:pPr>
        <w:spacing w:line="360" w:lineRule="auto"/>
        <w:ind w:left="480"/>
        <w:rPr>
          <w:rFonts w:ascii="仿宋" w:hAnsi="仿宋" w:eastAsia="仿宋" w:cs="仿宋"/>
          <w:sz w:val="24"/>
        </w:rPr>
      </w:pPr>
      <w:r>
        <w:rPr>
          <w:rFonts w:hint="eastAsia" w:ascii="仿宋" w:hAnsi="仿宋" w:eastAsia="仿宋" w:cs="仿宋"/>
          <w:sz w:val="24"/>
        </w:rPr>
        <w:t>联系人：</w:t>
      </w:r>
    </w:p>
    <w:p w14:paraId="61DA7C91">
      <w:pPr>
        <w:spacing w:line="360" w:lineRule="auto"/>
        <w:ind w:left="480"/>
        <w:rPr>
          <w:rFonts w:ascii="仿宋" w:hAnsi="仿宋" w:eastAsia="仿宋" w:cs="仿宋"/>
          <w:sz w:val="24"/>
        </w:rPr>
      </w:pPr>
      <w:r>
        <w:rPr>
          <w:rFonts w:hint="eastAsia" w:ascii="仿宋" w:hAnsi="仿宋" w:eastAsia="仿宋" w:cs="仿宋"/>
          <w:sz w:val="24"/>
        </w:rPr>
        <w:t>联系电话：</w:t>
      </w:r>
    </w:p>
    <w:p w14:paraId="15E9B007">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合同文件</w:t>
      </w:r>
    </w:p>
    <w:p w14:paraId="4112BEDB">
      <w:pPr>
        <w:pStyle w:val="7"/>
        <w:spacing w:before="0" w:line="360" w:lineRule="auto"/>
        <w:ind w:firstLine="480"/>
        <w:rPr>
          <w:rFonts w:ascii="仿宋" w:hAnsi="仿宋" w:eastAsia="仿宋" w:cs="仿宋"/>
        </w:rPr>
      </w:pPr>
      <w:r>
        <w:rPr>
          <w:rFonts w:hint="eastAsia" w:ascii="仿宋" w:hAnsi="仿宋" w:eastAsia="仿宋" w:cs="仿宋"/>
        </w:rPr>
        <w:t>下列文件构成本合同的组成部分，应该认为是一个整体，彼此相互解释，相互补充。为便于解释，组成合同的多个文件的优先支配地位的次序如下：</w:t>
      </w:r>
    </w:p>
    <w:p w14:paraId="0730A7E3">
      <w:pPr>
        <w:pStyle w:val="7"/>
        <w:widowControl/>
        <w:numPr>
          <w:ilvl w:val="0"/>
          <w:numId w:val="50"/>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本合同书</w:t>
      </w:r>
    </w:p>
    <w:p w14:paraId="70A55826">
      <w:pPr>
        <w:pStyle w:val="7"/>
        <w:widowControl/>
        <w:numPr>
          <w:ilvl w:val="0"/>
          <w:numId w:val="50"/>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中标通知书</w:t>
      </w:r>
    </w:p>
    <w:p w14:paraId="12339BD9">
      <w:pPr>
        <w:pStyle w:val="7"/>
        <w:widowControl/>
        <w:numPr>
          <w:ilvl w:val="0"/>
          <w:numId w:val="50"/>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协议</w:t>
      </w:r>
    </w:p>
    <w:p w14:paraId="60EE98FD">
      <w:pPr>
        <w:pStyle w:val="7"/>
        <w:widowControl/>
        <w:numPr>
          <w:ilvl w:val="0"/>
          <w:numId w:val="50"/>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投标文件（含澄清文件）</w:t>
      </w:r>
    </w:p>
    <w:p w14:paraId="3C7014DA">
      <w:pPr>
        <w:pStyle w:val="7"/>
        <w:widowControl/>
        <w:numPr>
          <w:ilvl w:val="0"/>
          <w:numId w:val="50"/>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招标文件（含招标文件补充通知）</w:t>
      </w:r>
    </w:p>
    <w:p w14:paraId="32DCBB19">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货物和数量</w:t>
      </w:r>
    </w:p>
    <w:p w14:paraId="590287FF">
      <w:pPr>
        <w:pStyle w:val="7"/>
        <w:spacing w:before="0" w:line="360" w:lineRule="auto"/>
        <w:ind w:firstLine="480"/>
        <w:rPr>
          <w:rFonts w:ascii="仿宋" w:hAnsi="仿宋" w:eastAsia="仿宋" w:cs="仿宋"/>
          <w:u w:val="single"/>
        </w:rPr>
      </w:pPr>
      <w:r>
        <w:rPr>
          <w:rFonts w:hint="eastAsia" w:ascii="仿宋" w:hAnsi="仿宋" w:eastAsia="仿宋" w:cs="仿宋"/>
        </w:rPr>
        <w:t>本合同货物：</w:t>
      </w:r>
      <w:r>
        <w:rPr>
          <w:rFonts w:hint="eastAsia" w:ascii="仿宋" w:hAnsi="仿宋" w:eastAsia="仿宋" w:cs="仿宋"/>
          <w:u w:val="single"/>
        </w:rPr>
        <w:t>***********</w:t>
      </w:r>
      <w:r>
        <w:rPr>
          <w:rFonts w:hint="eastAsia" w:ascii="仿宋" w:hAnsi="仿宋" w:eastAsia="仿宋" w:cs="仿宋"/>
        </w:rPr>
        <w:t>，数量：</w:t>
      </w:r>
      <w:r>
        <w:rPr>
          <w:rFonts w:hint="eastAsia" w:ascii="仿宋" w:hAnsi="仿宋" w:eastAsia="仿宋" w:cs="仿宋"/>
          <w:u w:val="single"/>
        </w:rPr>
        <w:t>****</w:t>
      </w:r>
    </w:p>
    <w:p w14:paraId="51281A47">
      <w:pPr>
        <w:pStyle w:val="7"/>
        <w:spacing w:before="0" w:line="360" w:lineRule="auto"/>
        <w:ind w:left="958" w:firstLine="960" w:firstLineChars="400"/>
        <w:rPr>
          <w:rFonts w:ascii="仿宋" w:hAnsi="仿宋" w:eastAsia="仿宋" w:cs="仿宋"/>
          <w:u w:val="single"/>
        </w:rPr>
      </w:pPr>
      <w:r>
        <w:rPr>
          <w:rFonts w:hint="eastAsia" w:ascii="仿宋" w:hAnsi="仿宋" w:eastAsia="仿宋" w:cs="仿宋"/>
          <w:u w:val="single"/>
        </w:rPr>
        <w:t>***********</w:t>
      </w:r>
      <w:r>
        <w:rPr>
          <w:rFonts w:hint="eastAsia" w:ascii="仿宋" w:hAnsi="仿宋" w:eastAsia="仿宋" w:cs="仿宋"/>
        </w:rPr>
        <w:t>，数量：</w:t>
      </w:r>
      <w:r>
        <w:rPr>
          <w:rFonts w:hint="eastAsia" w:ascii="仿宋" w:hAnsi="仿宋" w:eastAsia="仿宋" w:cs="仿宋"/>
          <w:u w:val="single"/>
        </w:rPr>
        <w:t>**</w:t>
      </w:r>
      <w:bookmarkStart w:id="795" w:name="OLE_LINK16"/>
      <w:r>
        <w:rPr>
          <w:rFonts w:hint="eastAsia" w:ascii="仿宋" w:hAnsi="仿宋" w:eastAsia="仿宋" w:cs="仿宋"/>
          <w:u w:val="single"/>
        </w:rPr>
        <w:t>*</w:t>
      </w:r>
      <w:bookmarkEnd w:id="795"/>
      <w:r>
        <w:rPr>
          <w:rFonts w:hint="eastAsia" w:ascii="仿宋" w:hAnsi="仿宋" w:eastAsia="仿宋" w:cs="仿宋"/>
          <w:u w:val="single"/>
        </w:rPr>
        <w:t>*</w:t>
      </w:r>
    </w:p>
    <w:p w14:paraId="0A84EB11">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合同总价</w:t>
      </w:r>
    </w:p>
    <w:p w14:paraId="283A936A">
      <w:pPr>
        <w:pStyle w:val="7"/>
        <w:spacing w:before="0" w:line="360" w:lineRule="auto"/>
        <w:ind w:firstLine="480"/>
        <w:rPr>
          <w:rFonts w:ascii="仿宋" w:hAnsi="仿宋" w:eastAsia="仿宋" w:cs="仿宋"/>
        </w:rPr>
      </w:pPr>
      <w:r>
        <w:rPr>
          <w:rFonts w:hint="eastAsia" w:ascii="仿宋" w:hAnsi="仿宋" w:eastAsia="仿宋" w:cs="仿宋"/>
        </w:rPr>
        <w:t>本合同总价为人民币</w:t>
      </w:r>
      <w:r>
        <w:rPr>
          <w:rFonts w:hint="eastAsia" w:ascii="仿宋" w:hAnsi="仿宋" w:eastAsia="仿宋" w:cs="仿宋"/>
          <w:u w:val="single"/>
        </w:rPr>
        <w:t>******</w:t>
      </w:r>
      <w:r>
        <w:rPr>
          <w:rFonts w:hint="eastAsia" w:ascii="仿宋" w:hAnsi="仿宋" w:eastAsia="仿宋" w:cs="仿宋"/>
        </w:rPr>
        <w:t>元整（大写）（</w:t>
      </w:r>
      <w:r>
        <w:rPr>
          <w:rFonts w:hint="eastAsia" w:ascii="仿宋" w:hAnsi="仿宋" w:eastAsia="仿宋" w:cs="仿宋"/>
          <w:u w:val="single"/>
        </w:rPr>
        <w:t>*********</w:t>
      </w:r>
      <w:r>
        <w:rPr>
          <w:rFonts w:hint="eastAsia" w:ascii="仿宋" w:hAnsi="仿宋" w:eastAsia="仿宋" w:cs="仿宋"/>
        </w:rPr>
        <w:t>元）（小写）</w:t>
      </w:r>
    </w:p>
    <w:p w14:paraId="6A3611BD">
      <w:pPr>
        <w:pStyle w:val="7"/>
        <w:spacing w:before="0" w:line="360" w:lineRule="auto"/>
        <w:ind w:firstLine="480"/>
        <w:rPr>
          <w:rFonts w:ascii="仿宋" w:hAnsi="仿宋" w:eastAsia="仿宋" w:cs="仿宋"/>
          <w:u w:val="single"/>
        </w:rPr>
      </w:pPr>
      <w:r>
        <w:rPr>
          <w:rFonts w:hint="eastAsia" w:ascii="仿宋" w:hAnsi="仿宋" w:eastAsia="仿宋" w:cs="仿宋"/>
        </w:rPr>
        <w:t>分项价格：</w:t>
      </w:r>
      <w:r>
        <w:rPr>
          <w:rFonts w:hint="eastAsia" w:ascii="仿宋" w:hAnsi="仿宋" w:eastAsia="仿宋" w:cs="仿宋"/>
          <w:u w:val="single"/>
        </w:rPr>
        <w:t>详见附件一分项报价表</w:t>
      </w:r>
    </w:p>
    <w:p w14:paraId="37535D65">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付款方式</w:t>
      </w:r>
    </w:p>
    <w:p w14:paraId="1432CE73">
      <w:pPr>
        <w:pStyle w:val="7"/>
        <w:widowControl/>
        <w:numPr>
          <w:ilvl w:val="0"/>
          <w:numId w:val="51"/>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合同签订后，买方收到卖方提供的合同约定的合法足额发票后，向卖方支付</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元整，相当于总合同款的</w:t>
      </w:r>
      <w:r>
        <w:rPr>
          <w:rFonts w:hint="eastAsia" w:ascii="仿宋" w:hAnsi="仿宋" w:eastAsia="仿宋" w:cs="仿宋"/>
          <w:u w:val="single"/>
        </w:rPr>
        <w:t xml:space="preserve"> 50%-75% </w:t>
      </w:r>
      <w:r>
        <w:rPr>
          <w:rFonts w:hint="eastAsia" w:ascii="仿宋" w:hAnsi="仿宋" w:eastAsia="仿宋" w:cs="仿宋"/>
        </w:rPr>
        <w:t>(具体以财政实际拨付金额为准)。</w:t>
      </w:r>
    </w:p>
    <w:p w14:paraId="7C26D4AF">
      <w:pPr>
        <w:pStyle w:val="7"/>
        <w:widowControl/>
        <w:tabs>
          <w:tab w:val="left" w:pos="1080"/>
          <w:tab w:val="clear" w:pos="567"/>
        </w:tabs>
        <w:spacing w:before="0" w:line="360" w:lineRule="auto"/>
        <w:ind w:left="420" w:leftChars="200"/>
        <w:jc w:val="left"/>
        <w:rPr>
          <w:rFonts w:ascii="仿宋" w:hAnsi="仿宋" w:eastAsia="仿宋" w:cs="仿宋"/>
        </w:rPr>
      </w:pPr>
      <w:r>
        <w:rPr>
          <w:rFonts w:hint="eastAsia" w:ascii="仿宋" w:hAnsi="仿宋" w:eastAsia="仿宋" w:cs="仿宋"/>
        </w:rPr>
        <w:t>注：如财政对付款进度及比例有要求，则甲方按照财政付款要求进行支付。</w:t>
      </w:r>
    </w:p>
    <w:p w14:paraId="78BA45A4">
      <w:pPr>
        <w:pStyle w:val="7"/>
        <w:widowControl/>
        <w:numPr>
          <w:ilvl w:val="0"/>
          <w:numId w:val="51"/>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当合同指定的货物送达约定的交货地址（如需安装的，卖方还应负责完成安装），经买方验收合格且双方签署验收单据，卖方向买方出具由银行开具的符合买方要求的相当于合同总金额5%的独立保函后（保函须不可撤销且保函期限不低于本合同履行及产品的质保期），买方根据财政资金实际拨付到位时间向卖方支付剩余尾款共计：</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w:t>
      </w:r>
    </w:p>
    <w:p w14:paraId="1D0E9F63">
      <w:pPr>
        <w:pStyle w:val="7"/>
        <w:widowControl/>
        <w:numPr>
          <w:ilvl w:val="0"/>
          <w:numId w:val="51"/>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质保期结束，如设备未出现质量问题和运输安装使用过程中未造成相关损失，该保函自动失效。若出现质量问题或运输安装途中出现损失，买方有权从保函开具方处索偿，要求其支付卖方应当承担的违约责任或者损害赔偿责任，保函内担保限额不足以弥补违约金和赔偿损失的部分由卖方按约承担。</w:t>
      </w:r>
    </w:p>
    <w:p w14:paraId="550567B7">
      <w:pPr>
        <w:pStyle w:val="7"/>
        <w:widowControl/>
        <w:tabs>
          <w:tab w:val="left" w:pos="1080"/>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注：凡属于《保障中小企业款项支付条例》2025年国务院第802号文范围内的，从其规定执行。</w:t>
      </w:r>
    </w:p>
    <w:p w14:paraId="4B68ADA6">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本合同货物的交货时间及交货地点</w:t>
      </w:r>
    </w:p>
    <w:p w14:paraId="09DA8ECD">
      <w:pPr>
        <w:pStyle w:val="7"/>
        <w:spacing w:before="0" w:line="360" w:lineRule="auto"/>
        <w:ind w:firstLine="480"/>
        <w:rPr>
          <w:rFonts w:ascii="仿宋" w:hAnsi="仿宋" w:eastAsia="仿宋" w:cs="仿宋"/>
        </w:rPr>
      </w:pPr>
      <w:r>
        <w:rPr>
          <w:rFonts w:hint="eastAsia" w:ascii="仿宋" w:hAnsi="仿宋" w:eastAsia="仿宋" w:cs="仿宋"/>
        </w:rPr>
        <w:t>交货时间：</w:t>
      </w:r>
      <w:r>
        <w:rPr>
          <w:rFonts w:hint="eastAsia" w:ascii="仿宋" w:hAnsi="仿宋" w:eastAsia="仿宋" w:cs="仿宋"/>
          <w:u w:val="single"/>
        </w:rPr>
        <w:t>************</w:t>
      </w:r>
    </w:p>
    <w:p w14:paraId="20A50B9E">
      <w:pPr>
        <w:pStyle w:val="7"/>
        <w:spacing w:before="0" w:line="360" w:lineRule="auto"/>
        <w:ind w:firstLine="480"/>
        <w:rPr>
          <w:rFonts w:ascii="仿宋" w:hAnsi="仿宋" w:eastAsia="仿宋" w:cs="仿宋"/>
          <w:u w:val="single"/>
        </w:rPr>
      </w:pPr>
      <w:r>
        <w:rPr>
          <w:rFonts w:hint="eastAsia" w:ascii="仿宋" w:hAnsi="仿宋" w:eastAsia="仿宋" w:cs="仿宋"/>
        </w:rPr>
        <w:t>交货地点：</w:t>
      </w:r>
      <w:r>
        <w:rPr>
          <w:rFonts w:hint="eastAsia" w:ascii="仿宋" w:hAnsi="仿宋" w:eastAsia="仿宋" w:cs="仿宋"/>
          <w:u w:val="single"/>
        </w:rPr>
        <w:t>首都医科大学附属北京妇产医院指定地点</w:t>
      </w:r>
    </w:p>
    <w:p w14:paraId="76BB6843">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设备质保期：</w:t>
      </w:r>
      <w:r>
        <w:rPr>
          <w:rFonts w:hint="eastAsia" w:ascii="仿宋" w:hAnsi="仿宋" w:eastAsia="仿宋" w:cs="仿宋"/>
          <w:u w:val="single"/>
        </w:rPr>
        <w:t>****年（附件****年）</w:t>
      </w:r>
      <w:r>
        <w:rPr>
          <w:rFonts w:hint="eastAsia" w:ascii="仿宋" w:hAnsi="仿宋" w:eastAsia="仿宋" w:cs="仿宋"/>
        </w:rPr>
        <w:t>。</w:t>
      </w:r>
    </w:p>
    <w:p w14:paraId="0E9BD791">
      <w:pPr>
        <w:pStyle w:val="59"/>
        <w:numPr>
          <w:ilvl w:val="0"/>
          <w:numId w:val="49"/>
        </w:numPr>
        <w:tabs>
          <w:tab w:val="left" w:pos="842"/>
        </w:tabs>
        <w:spacing w:before="0" w:after="0"/>
        <w:rPr>
          <w:rFonts w:ascii="仿宋" w:hAnsi="仿宋" w:eastAsia="仿宋" w:cs="仿宋"/>
        </w:rPr>
      </w:pPr>
      <w:r>
        <w:rPr>
          <w:rFonts w:hint="eastAsia" w:ascii="仿宋" w:hAnsi="仿宋" w:eastAsia="仿宋" w:cs="仿宋"/>
        </w:rPr>
        <w:t>其他</w:t>
      </w:r>
    </w:p>
    <w:p w14:paraId="0BA987A8">
      <w:pPr>
        <w:pStyle w:val="7"/>
        <w:widowControl/>
        <w:numPr>
          <w:ilvl w:val="0"/>
          <w:numId w:val="5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本合同书一式</w:t>
      </w:r>
      <w:r>
        <w:rPr>
          <w:rFonts w:hint="eastAsia" w:ascii="仿宋" w:hAnsi="仿宋" w:eastAsia="仿宋" w:cs="仿宋"/>
          <w:u w:val="single"/>
        </w:rPr>
        <w:t>伍</w:t>
      </w:r>
      <w:r>
        <w:rPr>
          <w:rFonts w:hint="eastAsia" w:ascii="仿宋" w:hAnsi="仿宋" w:eastAsia="仿宋" w:cs="仿宋"/>
        </w:rPr>
        <w:t>份，自双方法定代表人或授权代表签字并盖章之日起生效，买方执</w:t>
      </w:r>
      <w:r>
        <w:rPr>
          <w:rFonts w:hint="eastAsia" w:ascii="仿宋" w:hAnsi="仿宋" w:eastAsia="仿宋" w:cs="仿宋"/>
          <w:u w:val="single"/>
        </w:rPr>
        <w:t>肆</w:t>
      </w:r>
      <w:r>
        <w:rPr>
          <w:rFonts w:hint="eastAsia" w:ascii="仿宋" w:hAnsi="仿宋" w:eastAsia="仿宋" w:cs="仿宋"/>
        </w:rPr>
        <w:t>份，卖方执</w:t>
      </w:r>
      <w:r>
        <w:rPr>
          <w:rFonts w:hint="eastAsia" w:ascii="仿宋" w:hAnsi="仿宋" w:eastAsia="仿宋" w:cs="仿宋"/>
          <w:u w:val="single"/>
        </w:rPr>
        <w:t>壹</w:t>
      </w:r>
      <w:r>
        <w:rPr>
          <w:rFonts w:hint="eastAsia" w:ascii="仿宋" w:hAnsi="仿宋" w:eastAsia="仿宋" w:cs="仿宋"/>
        </w:rPr>
        <w:t>份。具有相同的法律效力。</w:t>
      </w:r>
    </w:p>
    <w:p w14:paraId="01C5F16E">
      <w:pPr>
        <w:pStyle w:val="7"/>
        <w:widowControl/>
        <w:numPr>
          <w:ilvl w:val="0"/>
          <w:numId w:val="5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未尽事宜或有变更，应由双方协商一致签订书面补充合同。该补充合同是本合同不可分割的一部分，与本合同具有同等效力。补充合同一式伍份，自双方法人代表或授权人签字并盖章之日起生效，买方执肆份，卖方执壹份。</w:t>
      </w:r>
    </w:p>
    <w:p w14:paraId="21CBC1AF">
      <w:pPr>
        <w:pStyle w:val="7"/>
        <w:widowControl/>
        <w:numPr>
          <w:ilvl w:val="0"/>
          <w:numId w:val="5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本合同的每一条款均可分割且独立于其他每一条款，如果在任何时候本合同的任何一条或多条条款成为无效、不合法或不能执行，本合同其他条款的有效性、合法性和可执行性并不因此而受到影响。</w:t>
      </w:r>
    </w:p>
    <w:p w14:paraId="20D21D50">
      <w:pPr>
        <w:pStyle w:val="7"/>
        <w:widowControl/>
        <w:numPr>
          <w:ilvl w:val="0"/>
          <w:numId w:val="5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合同履行过程中发生争议，双方应友好协商解决。协商不成的，应向北京市朝阳区人民法院提起诉讼。</w:t>
      </w:r>
    </w:p>
    <w:p w14:paraId="37BB3C29">
      <w:pPr>
        <w:pStyle w:val="7"/>
        <w:widowControl/>
        <w:numPr>
          <w:ilvl w:val="0"/>
          <w:numId w:val="52"/>
        </w:numPr>
        <w:tabs>
          <w:tab w:val="left" w:pos="1080"/>
          <w:tab w:val="clear" w:pos="567"/>
        </w:tabs>
        <w:spacing w:before="0" w:line="360" w:lineRule="auto"/>
        <w:ind w:firstLineChars="200"/>
        <w:jc w:val="left"/>
        <w:rPr>
          <w:rFonts w:ascii="仿宋" w:hAnsi="仿宋" w:eastAsia="仿宋" w:cs="仿宋"/>
        </w:rPr>
      </w:pPr>
      <w:r>
        <w:rPr>
          <w:rFonts w:hint="eastAsia" w:ascii="仿宋" w:hAnsi="仿宋" w:eastAsia="仿宋" w:cs="仿宋"/>
        </w:rPr>
        <w:t>双方一致确认本合同中的通讯地址和联系方式为各方履行合同、解决合同争议时接收其他方商业文件信函或司法机关法律文书的地址和联系方式。上述通讯地址和联系方式适用至本合同履行完毕或争议经过一审、二审至案件执行终结时止，除非各方依下款告知变更。</w:t>
      </w:r>
    </w:p>
    <w:p w14:paraId="24FFD048">
      <w:pPr>
        <w:pStyle w:val="7"/>
        <w:spacing w:before="0" w:line="360" w:lineRule="auto"/>
        <w:ind w:firstLine="480"/>
        <w:rPr>
          <w:rFonts w:ascii="仿宋" w:hAnsi="仿宋" w:eastAsia="仿宋" w:cs="仿宋"/>
        </w:rPr>
      </w:pPr>
      <w:r>
        <w:rPr>
          <w:rFonts w:hint="eastAsia" w:ascii="仿宋" w:hAnsi="仿宋" w:eastAsia="仿宋" w:cs="仿宋"/>
        </w:rPr>
        <w:t>任何一方通讯地址和联系方式需要变更的，应提前五个工作日向合同其他方和司法机关送交书面变更告知书。</w:t>
      </w:r>
    </w:p>
    <w:p w14:paraId="04E61667">
      <w:pPr>
        <w:pStyle w:val="7"/>
        <w:spacing w:before="0" w:line="360" w:lineRule="auto"/>
        <w:ind w:firstLine="480"/>
        <w:rPr>
          <w:rFonts w:ascii="仿宋" w:hAnsi="仿宋" w:eastAsia="仿宋" w:cs="仿宋"/>
        </w:rPr>
      </w:pPr>
      <w:r>
        <w:rPr>
          <w:rFonts w:hint="eastAsia" w:ascii="仿宋" w:hAnsi="仿宋" w:eastAsia="仿宋" w:cs="仿宋"/>
        </w:rPr>
        <w:t>双方均承诺上述确认的通讯地址和联系方式真实有效，如有错误，导致的商业信函和诉讼文书送达不能的法律后果由己方承担。双方均明知：因各方提供或者确认的送达地址和联系方式不准确、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09F62265">
      <w:pPr>
        <w:pStyle w:val="7"/>
        <w:spacing w:before="0" w:line="360" w:lineRule="auto"/>
        <w:ind w:firstLine="480"/>
        <w:rPr>
          <w:rFonts w:ascii="仿宋" w:hAnsi="仿宋" w:eastAsia="仿宋" w:cs="仿宋"/>
        </w:rPr>
      </w:pPr>
      <w:r>
        <w:rPr>
          <w:rFonts w:hint="eastAsia" w:ascii="仿宋" w:hAnsi="仿宋" w:eastAsia="仿宋" w:cs="仿宋"/>
        </w:rPr>
        <w:t>（6）以下附件为本合同不可分割的组成部分，与本合同具有同等法律效力。</w:t>
      </w:r>
    </w:p>
    <w:p w14:paraId="42924047">
      <w:pPr>
        <w:pStyle w:val="7"/>
        <w:spacing w:before="0" w:line="360" w:lineRule="auto"/>
        <w:ind w:firstLine="480"/>
        <w:rPr>
          <w:rFonts w:ascii="仿宋" w:hAnsi="仿宋" w:eastAsia="仿宋" w:cs="仿宋"/>
        </w:rPr>
      </w:pPr>
    </w:p>
    <w:tbl>
      <w:tblPr>
        <w:tblStyle w:val="25"/>
        <w:tblpPr w:leftFromText="180" w:rightFromText="180" w:vertAnchor="text" w:horzAnchor="page" w:tblpX="1882" w:tblpY="159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2"/>
      </w:tblGrid>
      <w:tr w14:paraId="5031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500" w:type="pct"/>
            <w:tcBorders>
              <w:top w:val="nil"/>
              <w:left w:val="nil"/>
              <w:bottom w:val="nil"/>
              <w:right w:val="nil"/>
              <w:tl2br w:val="nil"/>
            </w:tcBorders>
            <w:shd w:val="clear" w:color="auto" w:fill="FFFFFF"/>
          </w:tcPr>
          <w:p w14:paraId="7FB8B77C">
            <w:pPr>
              <w:spacing w:line="400" w:lineRule="exact"/>
              <w:rPr>
                <w:rFonts w:ascii="仿宋" w:hAnsi="仿宋" w:eastAsia="仿宋" w:cs="仿宋"/>
                <w:sz w:val="24"/>
              </w:rPr>
            </w:pPr>
            <w:r>
              <w:rPr>
                <w:rFonts w:hint="eastAsia" w:ascii="仿宋" w:hAnsi="仿宋" w:eastAsia="仿宋" w:cs="仿宋"/>
                <w:sz w:val="24"/>
              </w:rPr>
              <w:t>买方（盖章）：</w:t>
            </w:r>
          </w:p>
          <w:p w14:paraId="6C640C20">
            <w:pPr>
              <w:spacing w:line="400" w:lineRule="exact"/>
              <w:rPr>
                <w:rFonts w:ascii="仿宋" w:hAnsi="仿宋" w:eastAsia="仿宋" w:cs="仿宋"/>
                <w:sz w:val="24"/>
              </w:rPr>
            </w:pPr>
            <w:r>
              <w:rPr>
                <w:rFonts w:hint="eastAsia" w:ascii="仿宋" w:hAnsi="仿宋" w:eastAsia="仿宋" w:cs="仿宋"/>
                <w:sz w:val="24"/>
              </w:rPr>
              <w:t>首都医科大学附属北京妇产医院</w:t>
            </w:r>
          </w:p>
        </w:tc>
        <w:tc>
          <w:tcPr>
            <w:tcW w:w="2500" w:type="pct"/>
            <w:tcBorders>
              <w:top w:val="nil"/>
              <w:left w:val="nil"/>
              <w:bottom w:val="nil"/>
              <w:right w:val="nil"/>
            </w:tcBorders>
            <w:shd w:val="clear" w:color="auto" w:fill="FFFFFF"/>
          </w:tcPr>
          <w:p w14:paraId="55322009">
            <w:pPr>
              <w:spacing w:line="400" w:lineRule="exact"/>
              <w:ind w:left="240" w:hanging="240" w:hangingChars="100"/>
              <w:rPr>
                <w:rFonts w:ascii="仿宋" w:hAnsi="仿宋" w:eastAsia="仿宋" w:cs="仿宋"/>
                <w:sz w:val="24"/>
                <w:u w:val="single"/>
              </w:rPr>
            </w:pPr>
            <w:r>
              <w:rPr>
                <w:rFonts w:hint="eastAsia" w:ascii="仿宋" w:hAnsi="仿宋" w:eastAsia="仿宋" w:cs="仿宋"/>
                <w:sz w:val="24"/>
              </w:rPr>
              <w:t>卖方（盖章）：</w:t>
            </w:r>
          </w:p>
          <w:p w14:paraId="7F03CF35">
            <w:pPr>
              <w:spacing w:line="400" w:lineRule="exact"/>
              <w:rPr>
                <w:rFonts w:ascii="仿宋" w:hAnsi="仿宋" w:eastAsia="仿宋" w:cs="仿宋"/>
                <w:sz w:val="24"/>
                <w:u w:val="single"/>
              </w:rPr>
            </w:pPr>
            <w:r>
              <w:rPr>
                <w:rFonts w:hint="eastAsia" w:ascii="仿宋" w:hAnsi="仿宋" w:eastAsia="仿宋" w:cs="仿宋"/>
                <w:sz w:val="24"/>
                <w:u w:val="single"/>
              </w:rPr>
              <w:t xml:space="preserve">                           </w:t>
            </w:r>
          </w:p>
        </w:tc>
      </w:tr>
      <w:tr w14:paraId="3952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0A4777B2">
            <w:pPr>
              <w:spacing w:line="400" w:lineRule="exact"/>
              <w:rPr>
                <w:rFonts w:ascii="仿宋" w:hAnsi="仿宋" w:eastAsia="仿宋" w:cs="仿宋"/>
                <w:sz w:val="24"/>
              </w:rPr>
            </w:pPr>
            <w:r>
              <w:rPr>
                <w:rFonts w:hint="eastAsia" w:ascii="仿宋" w:hAnsi="仿宋" w:eastAsia="仿宋" w:cs="仿宋"/>
                <w:sz w:val="24"/>
              </w:rPr>
              <w:t>法定代表人：</w:t>
            </w:r>
          </w:p>
        </w:tc>
        <w:tc>
          <w:tcPr>
            <w:tcW w:w="2500" w:type="pct"/>
            <w:tcBorders>
              <w:top w:val="nil"/>
              <w:left w:val="nil"/>
              <w:bottom w:val="nil"/>
              <w:right w:val="nil"/>
            </w:tcBorders>
            <w:shd w:val="clear" w:color="auto" w:fill="FFFFFF"/>
          </w:tcPr>
          <w:p w14:paraId="72C7B057">
            <w:pPr>
              <w:spacing w:line="400" w:lineRule="exact"/>
              <w:rPr>
                <w:rFonts w:ascii="仿宋" w:hAnsi="仿宋" w:eastAsia="仿宋" w:cs="仿宋"/>
                <w:sz w:val="24"/>
              </w:rPr>
            </w:pPr>
            <w:r>
              <w:rPr>
                <w:rFonts w:hint="eastAsia" w:ascii="仿宋" w:hAnsi="仿宋" w:eastAsia="仿宋" w:cs="仿宋"/>
                <w:sz w:val="24"/>
              </w:rPr>
              <w:t>法定代表人：</w:t>
            </w:r>
          </w:p>
          <w:p w14:paraId="71C50126">
            <w:pPr>
              <w:spacing w:line="400" w:lineRule="exact"/>
              <w:rPr>
                <w:rFonts w:ascii="仿宋" w:hAnsi="仿宋" w:eastAsia="仿宋" w:cs="仿宋"/>
                <w:sz w:val="36"/>
                <w:szCs w:val="36"/>
              </w:rPr>
            </w:pPr>
          </w:p>
          <w:p w14:paraId="2DC9FF46">
            <w:pPr>
              <w:spacing w:line="400" w:lineRule="exact"/>
              <w:rPr>
                <w:rFonts w:ascii="仿宋" w:hAnsi="仿宋" w:eastAsia="仿宋" w:cs="仿宋"/>
                <w:sz w:val="36"/>
                <w:szCs w:val="36"/>
              </w:rPr>
            </w:pPr>
          </w:p>
        </w:tc>
      </w:tr>
      <w:tr w14:paraId="72F0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500" w:type="pct"/>
            <w:tcBorders>
              <w:top w:val="nil"/>
              <w:left w:val="nil"/>
              <w:bottom w:val="nil"/>
              <w:right w:val="nil"/>
            </w:tcBorders>
            <w:shd w:val="clear" w:color="auto" w:fill="FFFFFF"/>
          </w:tcPr>
          <w:p w14:paraId="3D4CD247">
            <w:pPr>
              <w:spacing w:line="400" w:lineRule="exact"/>
              <w:rPr>
                <w:rFonts w:ascii="仿宋" w:hAnsi="仿宋" w:eastAsia="仿宋" w:cs="仿宋"/>
                <w:sz w:val="24"/>
              </w:rPr>
            </w:pPr>
            <w:r>
              <w:rPr>
                <w:rFonts w:hint="eastAsia" w:ascii="仿宋" w:hAnsi="仿宋" w:eastAsia="仿宋" w:cs="仿宋"/>
                <w:sz w:val="24"/>
              </w:rPr>
              <w:t>地   址：北京市朝阳区姚家园路251号</w:t>
            </w:r>
          </w:p>
        </w:tc>
        <w:tc>
          <w:tcPr>
            <w:tcW w:w="2500" w:type="pct"/>
            <w:tcBorders>
              <w:top w:val="nil"/>
              <w:left w:val="nil"/>
              <w:bottom w:val="nil"/>
              <w:right w:val="nil"/>
            </w:tcBorders>
            <w:shd w:val="clear" w:color="auto" w:fill="FFFFFF"/>
          </w:tcPr>
          <w:p w14:paraId="472BB5F3">
            <w:pPr>
              <w:spacing w:line="400" w:lineRule="exact"/>
              <w:rPr>
                <w:rFonts w:ascii="仿宋" w:hAnsi="仿宋" w:eastAsia="仿宋" w:cs="仿宋"/>
                <w:sz w:val="24"/>
              </w:rPr>
            </w:pPr>
            <w:r>
              <w:rPr>
                <w:rFonts w:hint="eastAsia" w:ascii="仿宋" w:hAnsi="仿宋" w:eastAsia="仿宋" w:cs="仿宋"/>
                <w:sz w:val="24"/>
              </w:rPr>
              <w:t>地　　址：</w:t>
            </w:r>
          </w:p>
        </w:tc>
      </w:tr>
      <w:tr w14:paraId="3160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7C8B46DF">
            <w:pPr>
              <w:spacing w:line="400" w:lineRule="exact"/>
              <w:rPr>
                <w:rFonts w:ascii="仿宋" w:hAnsi="仿宋" w:eastAsia="仿宋" w:cs="仿宋"/>
                <w:sz w:val="24"/>
              </w:rPr>
            </w:pPr>
            <w:r>
              <w:rPr>
                <w:rFonts w:hint="eastAsia" w:ascii="仿宋" w:hAnsi="仿宋" w:eastAsia="仿宋" w:cs="仿宋"/>
                <w:sz w:val="24"/>
              </w:rPr>
              <w:t>邮政编码：100026</w:t>
            </w:r>
          </w:p>
        </w:tc>
        <w:tc>
          <w:tcPr>
            <w:tcW w:w="2500" w:type="pct"/>
            <w:tcBorders>
              <w:top w:val="nil"/>
              <w:left w:val="nil"/>
              <w:bottom w:val="nil"/>
              <w:right w:val="nil"/>
            </w:tcBorders>
            <w:shd w:val="clear" w:color="auto" w:fill="FFFFFF"/>
          </w:tcPr>
          <w:p w14:paraId="062AC1FD">
            <w:pPr>
              <w:spacing w:line="400" w:lineRule="exact"/>
              <w:rPr>
                <w:rFonts w:ascii="仿宋" w:hAnsi="仿宋" w:eastAsia="仿宋" w:cs="仿宋"/>
                <w:sz w:val="24"/>
              </w:rPr>
            </w:pPr>
            <w:r>
              <w:rPr>
                <w:rFonts w:hint="eastAsia" w:ascii="仿宋" w:hAnsi="仿宋" w:eastAsia="仿宋" w:cs="仿宋"/>
                <w:sz w:val="24"/>
              </w:rPr>
              <w:t>邮政编码：</w:t>
            </w:r>
          </w:p>
        </w:tc>
      </w:tr>
      <w:tr w14:paraId="4D9C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699E59D2">
            <w:pPr>
              <w:spacing w:line="400" w:lineRule="exact"/>
              <w:rPr>
                <w:rFonts w:ascii="仿宋" w:hAnsi="仿宋" w:eastAsia="仿宋" w:cs="仿宋"/>
                <w:sz w:val="24"/>
              </w:rPr>
            </w:pPr>
            <w:r>
              <w:rPr>
                <w:rFonts w:hint="eastAsia" w:ascii="仿宋" w:hAnsi="仿宋" w:eastAsia="仿宋" w:cs="仿宋"/>
                <w:sz w:val="24"/>
              </w:rPr>
              <w:t>电　　话：010-65910599</w:t>
            </w:r>
          </w:p>
        </w:tc>
        <w:tc>
          <w:tcPr>
            <w:tcW w:w="2500" w:type="pct"/>
            <w:tcBorders>
              <w:top w:val="nil"/>
              <w:left w:val="nil"/>
              <w:bottom w:val="nil"/>
              <w:right w:val="nil"/>
            </w:tcBorders>
            <w:shd w:val="clear" w:color="auto" w:fill="FFFFFF"/>
          </w:tcPr>
          <w:p w14:paraId="7AE8BCB4">
            <w:pPr>
              <w:spacing w:line="400" w:lineRule="exact"/>
              <w:rPr>
                <w:rFonts w:ascii="仿宋" w:hAnsi="仿宋" w:eastAsia="仿宋" w:cs="仿宋"/>
                <w:sz w:val="24"/>
              </w:rPr>
            </w:pPr>
            <w:r>
              <w:rPr>
                <w:rFonts w:hint="eastAsia" w:ascii="仿宋" w:hAnsi="仿宋" w:eastAsia="仿宋" w:cs="仿宋"/>
                <w:sz w:val="24"/>
              </w:rPr>
              <w:t>电　　话：</w:t>
            </w:r>
          </w:p>
        </w:tc>
      </w:tr>
      <w:tr w14:paraId="71A2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7FB94371">
            <w:pPr>
              <w:spacing w:line="400" w:lineRule="exact"/>
              <w:rPr>
                <w:rFonts w:ascii="仿宋" w:hAnsi="仿宋" w:eastAsia="仿宋" w:cs="仿宋"/>
                <w:sz w:val="24"/>
              </w:rPr>
            </w:pPr>
            <w:r>
              <w:rPr>
                <w:rFonts w:hint="eastAsia" w:ascii="仿宋" w:hAnsi="仿宋" w:eastAsia="仿宋" w:cs="仿宋"/>
                <w:sz w:val="24"/>
              </w:rPr>
              <w:t>开户银行：北京银行沙滩支行</w:t>
            </w:r>
          </w:p>
        </w:tc>
        <w:tc>
          <w:tcPr>
            <w:tcW w:w="2500" w:type="pct"/>
            <w:tcBorders>
              <w:top w:val="nil"/>
              <w:left w:val="nil"/>
              <w:bottom w:val="nil"/>
              <w:right w:val="nil"/>
            </w:tcBorders>
            <w:shd w:val="clear" w:color="auto" w:fill="FFFFFF"/>
          </w:tcPr>
          <w:p w14:paraId="015D4163">
            <w:pPr>
              <w:spacing w:line="400" w:lineRule="exact"/>
              <w:rPr>
                <w:rFonts w:ascii="仿宋" w:hAnsi="仿宋" w:eastAsia="仿宋" w:cs="仿宋"/>
                <w:sz w:val="24"/>
              </w:rPr>
            </w:pPr>
            <w:r>
              <w:rPr>
                <w:rFonts w:hint="eastAsia" w:ascii="仿宋" w:hAnsi="仿宋" w:eastAsia="仿宋" w:cs="仿宋"/>
                <w:sz w:val="24"/>
              </w:rPr>
              <w:t>开户银行：</w:t>
            </w:r>
          </w:p>
        </w:tc>
      </w:tr>
      <w:tr w14:paraId="1EDB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74928FC1">
            <w:pPr>
              <w:spacing w:line="400" w:lineRule="exact"/>
              <w:rPr>
                <w:rFonts w:ascii="仿宋" w:hAnsi="仿宋" w:eastAsia="仿宋" w:cs="仿宋"/>
                <w:sz w:val="24"/>
              </w:rPr>
            </w:pPr>
            <w:r>
              <w:rPr>
                <w:rFonts w:hint="eastAsia" w:ascii="仿宋" w:hAnsi="仿宋" w:eastAsia="仿宋" w:cs="仿宋"/>
                <w:sz w:val="24"/>
              </w:rPr>
              <w:t>账　　号：</w:t>
            </w:r>
          </w:p>
        </w:tc>
        <w:tc>
          <w:tcPr>
            <w:tcW w:w="2500" w:type="pct"/>
            <w:tcBorders>
              <w:top w:val="nil"/>
              <w:left w:val="nil"/>
              <w:bottom w:val="nil"/>
              <w:right w:val="nil"/>
            </w:tcBorders>
            <w:shd w:val="clear" w:color="auto" w:fill="FFFFFF"/>
          </w:tcPr>
          <w:p w14:paraId="35A1E503">
            <w:pPr>
              <w:spacing w:line="400" w:lineRule="exact"/>
              <w:rPr>
                <w:rFonts w:ascii="仿宋" w:hAnsi="仿宋" w:eastAsia="仿宋" w:cs="仿宋"/>
                <w:sz w:val="24"/>
              </w:rPr>
            </w:pPr>
            <w:r>
              <w:rPr>
                <w:rFonts w:hint="eastAsia" w:ascii="仿宋" w:hAnsi="仿宋" w:eastAsia="仿宋" w:cs="仿宋"/>
                <w:sz w:val="24"/>
              </w:rPr>
              <w:t>账　　号：</w:t>
            </w:r>
          </w:p>
        </w:tc>
      </w:tr>
      <w:tr w14:paraId="3001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63250008">
            <w:pPr>
              <w:spacing w:line="400" w:lineRule="exact"/>
              <w:rPr>
                <w:rFonts w:ascii="仿宋" w:hAnsi="仿宋" w:eastAsia="仿宋" w:cs="仿宋"/>
                <w:sz w:val="24"/>
              </w:rPr>
            </w:pPr>
            <w:r>
              <w:rPr>
                <w:rFonts w:hint="eastAsia" w:ascii="仿宋" w:hAnsi="仿宋" w:eastAsia="仿宋" w:cs="仿宋"/>
                <w:sz w:val="24"/>
              </w:rPr>
              <w:t>行    号：</w:t>
            </w:r>
          </w:p>
        </w:tc>
        <w:tc>
          <w:tcPr>
            <w:tcW w:w="2500" w:type="pct"/>
            <w:tcBorders>
              <w:top w:val="nil"/>
              <w:left w:val="nil"/>
              <w:bottom w:val="nil"/>
              <w:right w:val="nil"/>
            </w:tcBorders>
            <w:shd w:val="clear" w:color="auto" w:fill="FFFFFF"/>
          </w:tcPr>
          <w:p w14:paraId="1D7F197C">
            <w:pPr>
              <w:spacing w:line="400" w:lineRule="exact"/>
              <w:rPr>
                <w:rFonts w:ascii="仿宋" w:hAnsi="仿宋" w:eastAsia="仿宋" w:cs="仿宋"/>
                <w:sz w:val="24"/>
              </w:rPr>
            </w:pPr>
            <w:r>
              <w:rPr>
                <w:rFonts w:hint="eastAsia" w:ascii="仿宋" w:hAnsi="仿宋" w:eastAsia="仿宋" w:cs="仿宋"/>
                <w:sz w:val="24"/>
              </w:rPr>
              <w:t>行    号：</w:t>
            </w:r>
          </w:p>
        </w:tc>
      </w:tr>
      <w:tr w14:paraId="195D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500" w:type="pct"/>
            <w:tcBorders>
              <w:top w:val="nil"/>
              <w:left w:val="nil"/>
              <w:bottom w:val="nil"/>
              <w:right w:val="nil"/>
            </w:tcBorders>
            <w:shd w:val="clear" w:color="auto" w:fill="FFFFFF"/>
          </w:tcPr>
          <w:p w14:paraId="4341E340">
            <w:pPr>
              <w:spacing w:line="400" w:lineRule="exact"/>
              <w:rPr>
                <w:rFonts w:ascii="仿宋" w:hAnsi="仿宋" w:eastAsia="仿宋" w:cs="仿宋"/>
                <w:sz w:val="24"/>
              </w:rPr>
            </w:pPr>
            <w:r>
              <w:rPr>
                <w:rFonts w:hint="eastAsia" w:ascii="仿宋" w:hAnsi="仿宋" w:eastAsia="仿宋" w:cs="仿宋"/>
                <w:sz w:val="24"/>
              </w:rPr>
              <w:t>纳税人识别号：</w:t>
            </w:r>
          </w:p>
        </w:tc>
        <w:tc>
          <w:tcPr>
            <w:tcW w:w="2500" w:type="pct"/>
            <w:tcBorders>
              <w:top w:val="nil"/>
              <w:left w:val="nil"/>
              <w:bottom w:val="nil"/>
              <w:right w:val="nil"/>
            </w:tcBorders>
            <w:shd w:val="clear" w:color="auto" w:fill="FFFFFF"/>
          </w:tcPr>
          <w:p w14:paraId="51B7F5CD">
            <w:pPr>
              <w:spacing w:line="400" w:lineRule="exact"/>
              <w:rPr>
                <w:rFonts w:ascii="仿宋" w:hAnsi="仿宋" w:eastAsia="仿宋" w:cs="仿宋"/>
                <w:sz w:val="24"/>
              </w:rPr>
            </w:pPr>
            <w:r>
              <w:rPr>
                <w:rFonts w:hint="eastAsia" w:ascii="仿宋" w:hAnsi="仿宋" w:eastAsia="仿宋" w:cs="仿宋"/>
                <w:sz w:val="24"/>
              </w:rPr>
              <w:t>纳税人识别号：</w:t>
            </w:r>
          </w:p>
        </w:tc>
      </w:tr>
      <w:tr w14:paraId="4933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00" w:type="pct"/>
            <w:tcBorders>
              <w:top w:val="nil"/>
              <w:left w:val="nil"/>
              <w:bottom w:val="nil"/>
              <w:right w:val="nil"/>
            </w:tcBorders>
            <w:shd w:val="clear" w:color="auto" w:fill="FFFFFF"/>
          </w:tcPr>
          <w:p w14:paraId="361173ED">
            <w:pPr>
              <w:spacing w:line="40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c>
          <w:tcPr>
            <w:tcW w:w="2500" w:type="pct"/>
            <w:tcBorders>
              <w:top w:val="nil"/>
              <w:left w:val="nil"/>
              <w:bottom w:val="nil"/>
              <w:right w:val="nil"/>
            </w:tcBorders>
            <w:shd w:val="clear" w:color="auto" w:fill="FFFFFF"/>
          </w:tcPr>
          <w:p w14:paraId="56991128">
            <w:pPr>
              <w:spacing w:line="40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tc>
      </w:tr>
    </w:tbl>
    <w:p w14:paraId="6ACA8A2D">
      <w:pPr>
        <w:pStyle w:val="7"/>
        <w:widowControl/>
        <w:tabs>
          <w:tab w:val="left" w:pos="1080"/>
          <w:tab w:val="clear" w:pos="567"/>
        </w:tabs>
        <w:spacing w:before="0" w:line="400" w:lineRule="exact"/>
        <w:jc w:val="left"/>
        <w:rPr>
          <w:rFonts w:ascii="仿宋" w:hAnsi="仿宋" w:eastAsia="仿宋" w:cs="仿宋"/>
        </w:rPr>
      </w:pPr>
    </w:p>
    <w:p w14:paraId="7723BEC1">
      <w:pPr>
        <w:spacing w:line="400" w:lineRule="exact"/>
        <w:rPr>
          <w:rFonts w:ascii="仿宋" w:hAnsi="仿宋" w:eastAsia="仿宋" w:cs="仿宋"/>
          <w:sz w:val="24"/>
        </w:rPr>
      </w:pPr>
      <w:r>
        <w:rPr>
          <w:rFonts w:hint="eastAsia" w:ascii="仿宋" w:hAnsi="仿宋" w:eastAsia="仿宋" w:cs="仿宋"/>
          <w:sz w:val="24"/>
        </w:rPr>
        <w:br w:type="page"/>
      </w:r>
    </w:p>
    <w:p w14:paraId="3159ED39">
      <w:pPr>
        <w:pStyle w:val="60"/>
        <w:spacing w:after="0" w:line="400" w:lineRule="exact"/>
        <w:ind w:firstLine="480"/>
        <w:rPr>
          <w:rFonts w:ascii="仿宋" w:hAnsi="仿宋" w:eastAsia="仿宋" w:cs="仿宋"/>
        </w:rPr>
      </w:pPr>
      <w:r>
        <w:rPr>
          <w:rFonts w:hint="eastAsia" w:ascii="仿宋" w:hAnsi="仿宋" w:eastAsia="仿宋" w:cs="仿宋"/>
        </w:rPr>
        <w:t>合同条款</w:t>
      </w:r>
    </w:p>
    <w:p w14:paraId="61EE67F7">
      <w:pPr>
        <w:pStyle w:val="59"/>
        <w:spacing w:before="0" w:after="0"/>
        <w:ind w:firstLine="482"/>
        <w:rPr>
          <w:rFonts w:ascii="仿宋" w:hAnsi="仿宋" w:eastAsia="仿宋" w:cs="仿宋"/>
        </w:rPr>
      </w:pPr>
      <w:r>
        <w:rPr>
          <w:rFonts w:hint="eastAsia" w:ascii="仿宋" w:hAnsi="仿宋" w:eastAsia="仿宋" w:cs="仿宋"/>
        </w:rPr>
        <w:t>1. 定义</w:t>
      </w:r>
    </w:p>
    <w:p w14:paraId="12175AC8">
      <w:pPr>
        <w:pStyle w:val="7"/>
        <w:spacing w:before="0" w:line="360" w:lineRule="auto"/>
        <w:ind w:firstLine="480"/>
        <w:rPr>
          <w:rFonts w:ascii="仿宋" w:hAnsi="仿宋" w:eastAsia="仿宋" w:cs="仿宋"/>
        </w:rPr>
      </w:pPr>
      <w:r>
        <w:rPr>
          <w:rFonts w:hint="eastAsia" w:ascii="仿宋" w:hAnsi="仿宋" w:eastAsia="仿宋" w:cs="仿宋"/>
        </w:rPr>
        <w:t>本合同中的下列术语应解释为：</w:t>
      </w:r>
    </w:p>
    <w:p w14:paraId="25025B49">
      <w:pPr>
        <w:pStyle w:val="7"/>
        <w:widowControl/>
        <w:numPr>
          <w:ilvl w:val="0"/>
          <w:numId w:val="53"/>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“合同”系指买卖双方签署的、合同格式中载明的买卖双方所达成的协议，包</w:t>
      </w:r>
    </w:p>
    <w:p w14:paraId="6674D4F0">
      <w:pPr>
        <w:pStyle w:val="7"/>
        <w:spacing w:before="0" w:line="360" w:lineRule="auto"/>
        <w:ind w:firstLine="480"/>
        <w:rPr>
          <w:rFonts w:ascii="仿宋" w:hAnsi="仿宋" w:eastAsia="仿宋" w:cs="仿宋"/>
        </w:rPr>
      </w:pPr>
      <w:r>
        <w:rPr>
          <w:rFonts w:hint="eastAsia" w:ascii="仿宋" w:hAnsi="仿宋" w:eastAsia="仿宋" w:cs="仿宋"/>
        </w:rPr>
        <w:t>括所有的附件、附录和构成合同的所有文件。</w:t>
      </w:r>
    </w:p>
    <w:p w14:paraId="2B19D7BA">
      <w:pPr>
        <w:pStyle w:val="7"/>
        <w:widowControl/>
        <w:numPr>
          <w:ilvl w:val="0"/>
          <w:numId w:val="53"/>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“合同价”系指根据合同规定，卖方在完全履行合同义务后买方应支付给卖方的价格。</w:t>
      </w:r>
    </w:p>
    <w:p w14:paraId="1975BA90">
      <w:pPr>
        <w:pStyle w:val="7"/>
        <w:widowControl/>
        <w:numPr>
          <w:ilvl w:val="0"/>
          <w:numId w:val="53"/>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“设备”系指卖方根据合同规定须向买方提供的一切产品、机械、仪表、软件、备件、工具、手册和其他技术资料及其他材料。</w:t>
      </w:r>
    </w:p>
    <w:p w14:paraId="5482DE6F">
      <w:pPr>
        <w:pStyle w:val="7"/>
        <w:widowControl/>
        <w:numPr>
          <w:ilvl w:val="0"/>
          <w:numId w:val="53"/>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“服务”系指根据合同规定卖方承担与供货有关的辅助服务，如安装、调试、维修、保养、提供技术服务、培训和其他类似的义务。</w:t>
      </w:r>
    </w:p>
    <w:p w14:paraId="3B9C2409">
      <w:pPr>
        <w:pStyle w:val="59"/>
        <w:spacing w:before="0" w:after="0"/>
        <w:ind w:firstLine="482"/>
        <w:rPr>
          <w:rFonts w:ascii="仿宋" w:hAnsi="仿宋" w:eastAsia="仿宋" w:cs="仿宋"/>
        </w:rPr>
      </w:pPr>
      <w:r>
        <w:rPr>
          <w:rFonts w:hint="eastAsia" w:ascii="仿宋" w:hAnsi="仿宋" w:eastAsia="仿宋" w:cs="仿宋"/>
        </w:rPr>
        <w:t>2. 技术规格</w:t>
      </w:r>
    </w:p>
    <w:p w14:paraId="701F53B2">
      <w:pPr>
        <w:pStyle w:val="7"/>
        <w:spacing w:before="0" w:line="360" w:lineRule="auto"/>
        <w:ind w:firstLine="480"/>
        <w:rPr>
          <w:rFonts w:ascii="仿宋" w:hAnsi="仿宋" w:eastAsia="仿宋" w:cs="仿宋"/>
        </w:rPr>
      </w:pPr>
      <w:r>
        <w:rPr>
          <w:rFonts w:hint="eastAsia" w:ascii="仿宋" w:hAnsi="仿宋" w:eastAsia="仿宋" w:cs="仿宋"/>
        </w:rPr>
        <w:t>卖方提供和交付的设备技术规格应与投标文件规定的技术规格以及所附的技术规格响应表（如有）相一致。</w:t>
      </w:r>
    </w:p>
    <w:p w14:paraId="7CDAB91D">
      <w:pPr>
        <w:pStyle w:val="59"/>
        <w:spacing w:before="0" w:after="0"/>
        <w:ind w:firstLine="482"/>
        <w:rPr>
          <w:rFonts w:ascii="仿宋" w:hAnsi="仿宋" w:eastAsia="仿宋" w:cs="仿宋"/>
        </w:rPr>
      </w:pPr>
      <w:r>
        <w:rPr>
          <w:rFonts w:hint="eastAsia" w:ascii="仿宋" w:hAnsi="仿宋" w:eastAsia="仿宋" w:cs="仿宋"/>
        </w:rPr>
        <w:t>3. 专利权</w:t>
      </w:r>
    </w:p>
    <w:p w14:paraId="6DFC8BA3">
      <w:pPr>
        <w:pStyle w:val="7"/>
        <w:spacing w:before="0" w:line="360" w:lineRule="auto"/>
        <w:ind w:firstLine="480"/>
        <w:rPr>
          <w:rFonts w:ascii="仿宋" w:hAnsi="仿宋" w:eastAsia="仿宋" w:cs="仿宋"/>
        </w:rPr>
      </w:pPr>
      <w:r>
        <w:rPr>
          <w:rFonts w:hint="eastAsia" w:ascii="仿宋" w:hAnsi="仿宋" w:eastAsia="仿宋" w:cs="仿宋"/>
        </w:rPr>
        <w:t>卖方应保证买方在使用该设备或其任何一部分时不受第三方提出侵犯其专利权、商标权和工业设计权的起诉。</w:t>
      </w:r>
    </w:p>
    <w:p w14:paraId="0C85E108">
      <w:pPr>
        <w:pStyle w:val="59"/>
        <w:spacing w:before="0" w:after="0"/>
        <w:ind w:firstLine="482"/>
        <w:rPr>
          <w:rFonts w:ascii="仿宋" w:hAnsi="仿宋" w:eastAsia="仿宋" w:cs="仿宋"/>
        </w:rPr>
      </w:pPr>
      <w:r>
        <w:rPr>
          <w:rFonts w:hint="eastAsia" w:ascii="仿宋" w:hAnsi="仿宋" w:eastAsia="仿宋" w:cs="仿宋"/>
        </w:rPr>
        <w:t>4. 包装要求</w:t>
      </w:r>
    </w:p>
    <w:p w14:paraId="0716AA47">
      <w:pPr>
        <w:pStyle w:val="7"/>
        <w:widowControl/>
        <w:numPr>
          <w:ilvl w:val="1"/>
          <w:numId w:val="54"/>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除合同另有规定外，卖方供应的全部设备均应按标准保护措施进行包装。该包装应适应于远距离运输、防潮、防震、防锈和防野蛮装卸，确保设备安全无损运抵现场。由于包装不善所引起的设备锈蚀、损坏和损失均由卖方承担。</w:t>
      </w:r>
    </w:p>
    <w:p w14:paraId="0B8F2C61">
      <w:pPr>
        <w:pStyle w:val="7"/>
        <w:widowControl/>
        <w:numPr>
          <w:ilvl w:val="1"/>
          <w:numId w:val="54"/>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每件包装箱内应附一份由原制造厂出具的详细装箱单和质量合格证。</w:t>
      </w:r>
    </w:p>
    <w:p w14:paraId="0EA63CC3">
      <w:pPr>
        <w:pStyle w:val="59"/>
        <w:spacing w:before="0" w:after="0"/>
        <w:ind w:firstLine="482"/>
        <w:rPr>
          <w:rFonts w:ascii="仿宋" w:hAnsi="仿宋" w:eastAsia="仿宋" w:cs="仿宋"/>
        </w:rPr>
      </w:pPr>
      <w:r>
        <w:rPr>
          <w:rFonts w:hint="eastAsia" w:ascii="仿宋" w:hAnsi="仿宋" w:eastAsia="仿宋" w:cs="仿宋"/>
        </w:rPr>
        <w:t>5. 交货地点和装运方式</w:t>
      </w:r>
    </w:p>
    <w:p w14:paraId="1A75CF2C">
      <w:pPr>
        <w:pStyle w:val="7"/>
        <w:widowControl/>
        <w:numPr>
          <w:ilvl w:val="1"/>
          <w:numId w:val="55"/>
        </w:numPr>
        <w:tabs>
          <w:tab w:val="left" w:pos="900"/>
          <w:tab w:val="clear" w:pos="36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交货地点为买方指定地点。</w:t>
      </w:r>
    </w:p>
    <w:p w14:paraId="349985A7">
      <w:pPr>
        <w:pStyle w:val="7"/>
        <w:widowControl/>
        <w:numPr>
          <w:ilvl w:val="1"/>
          <w:numId w:val="55"/>
        </w:numPr>
        <w:tabs>
          <w:tab w:val="left" w:pos="900"/>
          <w:tab w:val="clear" w:pos="360"/>
          <w:tab w:val="clear" w:pos="567"/>
        </w:tabs>
        <w:spacing w:before="0" w:line="360" w:lineRule="auto"/>
        <w:ind w:left="0" w:firstLine="480" w:firstLineChars="200"/>
        <w:jc w:val="left"/>
        <w:rPr>
          <w:rFonts w:ascii="仿宋" w:hAnsi="仿宋" w:eastAsia="仿宋" w:cs="仿宋"/>
          <w:b/>
        </w:rPr>
      </w:pPr>
      <w:r>
        <w:rPr>
          <w:rFonts w:hint="eastAsia" w:ascii="仿宋" w:hAnsi="仿宋" w:eastAsia="仿宋" w:cs="仿宋"/>
        </w:rPr>
        <w:t>卖方装运的设备不应超过合同规定的数量或重量。否则，卖方应对超交数量或重量而产生的一切后果负责。</w:t>
      </w:r>
    </w:p>
    <w:p w14:paraId="00A93A21">
      <w:pPr>
        <w:pStyle w:val="59"/>
        <w:spacing w:before="0" w:after="0"/>
        <w:ind w:firstLine="482"/>
        <w:rPr>
          <w:rFonts w:ascii="仿宋" w:hAnsi="仿宋" w:eastAsia="仿宋" w:cs="仿宋"/>
        </w:rPr>
      </w:pPr>
      <w:r>
        <w:rPr>
          <w:rFonts w:hint="eastAsia" w:ascii="仿宋" w:hAnsi="仿宋" w:eastAsia="仿宋" w:cs="仿宋"/>
        </w:rPr>
        <w:t>6. 支付</w:t>
      </w:r>
    </w:p>
    <w:p w14:paraId="7727AB06">
      <w:pPr>
        <w:pStyle w:val="7"/>
        <w:widowControl/>
        <w:numPr>
          <w:ilvl w:val="0"/>
          <w:numId w:val="56"/>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本合同以人民币付款。</w:t>
      </w:r>
    </w:p>
    <w:p w14:paraId="47D8F75F">
      <w:pPr>
        <w:pStyle w:val="7"/>
        <w:widowControl/>
        <w:numPr>
          <w:ilvl w:val="0"/>
          <w:numId w:val="56"/>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付款方式：</w:t>
      </w:r>
    </w:p>
    <w:p w14:paraId="6996D5FE">
      <w:pPr>
        <w:pStyle w:val="7"/>
        <w:widowControl/>
        <w:numPr>
          <w:ilvl w:val="0"/>
          <w:numId w:val="57"/>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合同签订后，买方收到卖方提供的合同约定的合法足额发票后，向卖方支付</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元整，相当于总合同款的</w:t>
      </w:r>
      <w:r>
        <w:rPr>
          <w:rFonts w:hint="eastAsia" w:ascii="仿宋" w:hAnsi="仿宋" w:eastAsia="仿宋" w:cs="仿宋"/>
          <w:u w:val="single"/>
        </w:rPr>
        <w:t xml:space="preserve">    </w:t>
      </w:r>
      <w:r>
        <w:rPr>
          <w:rFonts w:hint="eastAsia" w:ascii="仿宋" w:hAnsi="仿宋" w:eastAsia="仿宋" w:cs="仿宋"/>
        </w:rPr>
        <w:t>%(具体以财政实际拨付金额为准)。</w:t>
      </w:r>
    </w:p>
    <w:p w14:paraId="5A9C7359">
      <w:pPr>
        <w:pStyle w:val="7"/>
        <w:widowControl/>
        <w:numPr>
          <w:ilvl w:val="0"/>
          <w:numId w:val="57"/>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当合同指定的货物送达约定的交货地址（如需安装的，卖方还应负责完成安装），经买方验收合格且双方签署验收单据，卖方向买方出具由银行开具的符合买方要求的相当于合同总金额5%的独立保函后（保函须不可撤销且保函期限不低于本合同履行及产品的质保期），买方根据财政资金实际拨付到位时间向卖方支付剩余尾款共计：</w:t>
      </w:r>
      <w:r>
        <w:rPr>
          <w:rFonts w:hint="eastAsia" w:ascii="仿宋" w:hAnsi="仿宋" w:eastAsia="仿宋" w:cs="仿宋"/>
          <w:u w:val="single"/>
        </w:rPr>
        <w:t xml:space="preserve">        </w:t>
      </w:r>
      <w:r>
        <w:rPr>
          <w:rFonts w:hint="eastAsia" w:ascii="仿宋" w:hAnsi="仿宋" w:eastAsia="仿宋" w:cs="仿宋"/>
        </w:rPr>
        <w:t>元，（大写：人民币</w:t>
      </w:r>
      <w:r>
        <w:rPr>
          <w:rFonts w:hint="eastAsia" w:ascii="仿宋" w:hAnsi="仿宋" w:eastAsia="仿宋" w:cs="仿宋"/>
          <w:u w:val="single"/>
        </w:rPr>
        <w:t xml:space="preserve">       </w:t>
      </w:r>
      <w:r>
        <w:rPr>
          <w:rFonts w:hint="eastAsia" w:ascii="仿宋" w:hAnsi="仿宋" w:eastAsia="仿宋" w:cs="仿宋"/>
        </w:rPr>
        <w:t>元整）。</w:t>
      </w:r>
    </w:p>
    <w:p w14:paraId="3F0203C2">
      <w:pPr>
        <w:pStyle w:val="7"/>
        <w:widowControl/>
        <w:numPr>
          <w:ilvl w:val="0"/>
          <w:numId w:val="57"/>
        </w:numPr>
        <w:tabs>
          <w:tab w:val="clear" w:pos="567"/>
        </w:tabs>
        <w:spacing w:before="0" w:line="360" w:lineRule="auto"/>
        <w:ind w:firstLineChars="200"/>
        <w:jc w:val="left"/>
        <w:rPr>
          <w:rFonts w:ascii="仿宋" w:hAnsi="仿宋" w:eastAsia="仿宋" w:cs="仿宋"/>
        </w:rPr>
      </w:pPr>
      <w:r>
        <w:rPr>
          <w:rFonts w:hint="eastAsia" w:ascii="仿宋" w:hAnsi="仿宋" w:eastAsia="仿宋" w:cs="仿宋"/>
        </w:rPr>
        <w:t>质保期结束，如设备未出现质量问题和运输安装使用过程中未造成相关损失，该保函自动失效。若出现质量问题或运输安装途中出现损失，买方有权从保函开具方处索偿，要求其支付卖方应当承担的违约责任或者损害赔偿责任，保函内担保限额不足以弥补违约金和赔偿损失的部分由卖方按约承担。</w:t>
      </w:r>
    </w:p>
    <w:p w14:paraId="4B570EEE">
      <w:pPr>
        <w:pStyle w:val="7"/>
        <w:widowControl/>
        <w:numPr>
          <w:ilvl w:val="0"/>
          <w:numId w:val="56"/>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 xml:space="preserve">卖方指定账户出现错误或发生变化未及时书面通知买方，导致买方支付不能或支付错误等，一切后果、损失和法律责任由卖方承担，买方不承担任何责任。 </w:t>
      </w:r>
    </w:p>
    <w:p w14:paraId="65E4980D">
      <w:pPr>
        <w:pStyle w:val="7"/>
        <w:widowControl/>
        <w:numPr>
          <w:ilvl w:val="0"/>
          <w:numId w:val="56"/>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卖方开具发票和买方接收发票、入账抵扣税务以及支付等事项并不能证明买方认可该付款项目及其数额和设备服务质量，相关事项仍应根据履行事实据实认定。</w:t>
      </w:r>
    </w:p>
    <w:p w14:paraId="0DAA1187">
      <w:pPr>
        <w:pStyle w:val="7"/>
        <w:widowControl/>
        <w:numPr>
          <w:ilvl w:val="0"/>
          <w:numId w:val="56"/>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如买方因预算批复、财政支付系统调整等原因，买方有权调整支付时间，买方无需承担违约责任。</w:t>
      </w:r>
    </w:p>
    <w:p w14:paraId="506F239C">
      <w:pPr>
        <w:pStyle w:val="59"/>
        <w:spacing w:before="0" w:after="0"/>
        <w:ind w:firstLine="482"/>
        <w:rPr>
          <w:rFonts w:ascii="仿宋" w:hAnsi="仿宋" w:eastAsia="仿宋" w:cs="仿宋"/>
        </w:rPr>
      </w:pPr>
      <w:r>
        <w:rPr>
          <w:rFonts w:hint="eastAsia" w:ascii="仿宋" w:hAnsi="仿宋" w:eastAsia="仿宋" w:cs="仿宋"/>
        </w:rPr>
        <w:t>7. 技术资料</w:t>
      </w:r>
    </w:p>
    <w:p w14:paraId="52B60105">
      <w:pPr>
        <w:pStyle w:val="7"/>
        <w:spacing w:before="0" w:line="360" w:lineRule="auto"/>
        <w:ind w:firstLine="480"/>
        <w:rPr>
          <w:rFonts w:ascii="仿宋" w:hAnsi="仿宋" w:eastAsia="仿宋" w:cs="仿宋"/>
        </w:rPr>
      </w:pPr>
      <w:r>
        <w:rPr>
          <w:rFonts w:hint="eastAsia" w:ascii="仿宋" w:hAnsi="仿宋" w:eastAsia="仿宋" w:cs="仿宋"/>
        </w:rPr>
        <w:t>所有的技术资料，如操作手册、使用指南等应于设备验收时一并交给买方。</w:t>
      </w:r>
    </w:p>
    <w:p w14:paraId="2B52057E">
      <w:pPr>
        <w:pStyle w:val="59"/>
        <w:numPr>
          <w:ilvl w:val="0"/>
          <w:numId w:val="58"/>
        </w:numPr>
        <w:spacing w:before="0" w:after="0"/>
        <w:ind w:left="0" w:firstLine="482"/>
        <w:rPr>
          <w:rFonts w:ascii="仿宋" w:hAnsi="仿宋" w:eastAsia="仿宋" w:cs="仿宋"/>
        </w:rPr>
      </w:pPr>
      <w:r>
        <w:rPr>
          <w:rFonts w:hint="eastAsia" w:ascii="仿宋" w:hAnsi="仿宋" w:eastAsia="仿宋" w:cs="仿宋"/>
        </w:rPr>
        <w:t>质量保证</w:t>
      </w:r>
    </w:p>
    <w:p w14:paraId="04A9831A">
      <w:pPr>
        <w:pStyle w:val="7"/>
        <w:widowControl/>
        <w:numPr>
          <w:ilvl w:val="1"/>
          <w:numId w:val="59"/>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卖方应保证设备是全新、未使用过的正品，并完全符合合同规定的质量、规格和性能的要求。卖方应保证其设备在正确安装、正常使用和保养条件下，在其使用寿命内应具有满意的性能。在最终验收后的质量保证期内，卖方应对由于设计、工艺或材料的缺陷而发生的任何不足或故障负责，费用由卖方负担。</w:t>
      </w:r>
    </w:p>
    <w:p w14:paraId="76172521">
      <w:pPr>
        <w:pStyle w:val="7"/>
        <w:widowControl/>
        <w:numPr>
          <w:ilvl w:val="1"/>
          <w:numId w:val="59"/>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根据当地质检局或有关部门检验结果，或者在质量保证期内，如果设备的数量、质量或规格与合同不符，或证明设备是有缺陷的，包括潜在的缺陷或使用不符合要求的材料等，买方应尽快以书面形式向卖方提出本保证下的索赔。</w:t>
      </w:r>
    </w:p>
    <w:p w14:paraId="70F85507">
      <w:pPr>
        <w:pStyle w:val="7"/>
        <w:widowControl/>
        <w:numPr>
          <w:ilvl w:val="1"/>
          <w:numId w:val="59"/>
        </w:numPr>
        <w:tabs>
          <w:tab w:val="left" w:pos="90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关于维修服务和技术支持的质量保障见招标文件“技术需求书”要求。</w:t>
      </w:r>
    </w:p>
    <w:p w14:paraId="01E2D912">
      <w:pPr>
        <w:pStyle w:val="59"/>
        <w:numPr>
          <w:ilvl w:val="0"/>
          <w:numId w:val="58"/>
        </w:numPr>
        <w:spacing w:before="0" w:after="0"/>
        <w:ind w:left="0" w:firstLine="482"/>
        <w:rPr>
          <w:rFonts w:ascii="仿宋" w:hAnsi="仿宋" w:eastAsia="仿宋" w:cs="仿宋"/>
        </w:rPr>
      </w:pPr>
      <w:r>
        <w:rPr>
          <w:rFonts w:hint="eastAsia" w:ascii="仿宋" w:hAnsi="仿宋" w:eastAsia="仿宋" w:cs="仿宋"/>
        </w:rPr>
        <w:t>检验</w:t>
      </w:r>
    </w:p>
    <w:p w14:paraId="76AE2DD3">
      <w:pPr>
        <w:pStyle w:val="7"/>
        <w:widowControl/>
        <w:numPr>
          <w:ilvl w:val="0"/>
          <w:numId w:val="60"/>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在发货前，卖方应对设备的质量、规格、性能、数量和重量等进行准确而全面的检验，并出具一份证明设备符合合同规定的证书。该证书将作为提交付款单据的一部分，但有关质量、规格、性能、数量或重要的检验不应视为最终检验。卖方检验的结果和详细要求应在质量证书中加以说明。</w:t>
      </w:r>
    </w:p>
    <w:p w14:paraId="1320F0E4">
      <w:pPr>
        <w:pStyle w:val="7"/>
        <w:widowControl/>
        <w:numPr>
          <w:ilvl w:val="0"/>
          <w:numId w:val="60"/>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设备的质量和规格与合同不符，或在第8条规定的质量保证期内证实设备是有缺陷的，包括潜在缺陷或使用不符合要求的材料，买方应报请当地质检局或有关部门、鉴定机构进行检查或者鉴定，并有权凭质检、鉴定证书向卖方提出索赔。</w:t>
      </w:r>
    </w:p>
    <w:p w14:paraId="71C62155">
      <w:pPr>
        <w:pStyle w:val="7"/>
        <w:widowControl/>
        <w:numPr>
          <w:ilvl w:val="0"/>
          <w:numId w:val="60"/>
        </w:numPr>
        <w:tabs>
          <w:tab w:val="left" w:pos="90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买方验收合格，交付完成。</w:t>
      </w:r>
    </w:p>
    <w:p w14:paraId="58F9B728">
      <w:pPr>
        <w:pStyle w:val="59"/>
        <w:numPr>
          <w:ilvl w:val="0"/>
          <w:numId w:val="58"/>
        </w:numPr>
        <w:spacing w:before="0" w:after="0"/>
        <w:ind w:left="0" w:firstLine="482"/>
        <w:rPr>
          <w:rFonts w:ascii="仿宋" w:hAnsi="仿宋" w:eastAsia="仿宋" w:cs="仿宋"/>
        </w:rPr>
      </w:pPr>
      <w:r>
        <w:rPr>
          <w:rFonts w:hint="eastAsia" w:ascii="仿宋" w:hAnsi="仿宋" w:eastAsia="仿宋" w:cs="仿宋"/>
        </w:rPr>
        <w:t>索赔</w:t>
      </w:r>
    </w:p>
    <w:p w14:paraId="7EF46E57">
      <w:pPr>
        <w:pStyle w:val="7"/>
        <w:widowControl/>
        <w:numPr>
          <w:ilvl w:val="0"/>
          <w:numId w:val="61"/>
        </w:numPr>
        <w:tabs>
          <w:tab w:val="left" w:pos="102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根据当地质检局或有关部门、鉴定机构出具的质检证书、鉴定证书向卖方提出索赔，责任应由保险公司或运输部门等第三人承担的，卖方代为承担后自行向第三人追偿。</w:t>
      </w:r>
    </w:p>
    <w:p w14:paraId="023A06A1">
      <w:pPr>
        <w:pStyle w:val="7"/>
        <w:widowControl/>
        <w:numPr>
          <w:ilvl w:val="0"/>
          <w:numId w:val="61"/>
        </w:numPr>
        <w:tabs>
          <w:tab w:val="left" w:pos="102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 xml:space="preserve">根据合同第8条和第9条规定的检验期和质量保证期内，如果卖方对买方提出的索赔和差异负有责任，卖方应按照买方同意的下列一种或多种方式解决索赔事宜。  </w:t>
      </w:r>
    </w:p>
    <w:p w14:paraId="071D0E42">
      <w:pPr>
        <w:pStyle w:val="7"/>
        <w:widowControl/>
        <w:numPr>
          <w:ilvl w:val="0"/>
          <w:numId w:val="62"/>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卖方同意退货，并用合同中规定的同种货币将货款退还给买方，并承担由此发生的一切损失和费用，包括利息、银行手续费、运费、保险费、检验费、仓储费、装卸费以及为保护拒收的设备所需的其它必要费用。</w:t>
      </w:r>
    </w:p>
    <w:p w14:paraId="00B89D33">
      <w:pPr>
        <w:pStyle w:val="7"/>
        <w:widowControl/>
        <w:numPr>
          <w:ilvl w:val="0"/>
          <w:numId w:val="62"/>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根据设备的低劣程度、损坏程度以及买方所遭受损失的数额，经买卖双方商定同意降低设备的价格。</w:t>
      </w:r>
    </w:p>
    <w:p w14:paraId="45735FDF">
      <w:pPr>
        <w:pStyle w:val="7"/>
        <w:widowControl/>
        <w:numPr>
          <w:ilvl w:val="0"/>
          <w:numId w:val="62"/>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用符合规定要求的新零件、部件或产品来更换有缺陷的部分，卖方应承担一切费用和风险并负担买方所遭受的一切损失。同时，卖方应按合同第8条规定，对更换件相应延长质量保证期。</w:t>
      </w:r>
    </w:p>
    <w:p w14:paraId="7631BAFD">
      <w:pPr>
        <w:pStyle w:val="7"/>
        <w:widowControl/>
        <w:numPr>
          <w:ilvl w:val="0"/>
          <w:numId w:val="61"/>
        </w:numPr>
        <w:tabs>
          <w:tab w:val="left" w:pos="1020"/>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如果在买方发出索赔通知后20天内，卖方未作答复，上述索赔应视为已被卖方接受，买方将按照本合同第10.2 条规定的任何一种方法要求卖方解决索赔事宜。</w:t>
      </w:r>
    </w:p>
    <w:p w14:paraId="6CDF7D89">
      <w:pPr>
        <w:pStyle w:val="59"/>
        <w:numPr>
          <w:ilvl w:val="0"/>
          <w:numId w:val="58"/>
        </w:numPr>
        <w:spacing w:before="0" w:after="0"/>
        <w:ind w:left="0" w:firstLine="482"/>
        <w:rPr>
          <w:rFonts w:ascii="仿宋" w:hAnsi="仿宋" w:eastAsia="仿宋" w:cs="仿宋"/>
        </w:rPr>
      </w:pPr>
      <w:r>
        <w:rPr>
          <w:rFonts w:hint="eastAsia" w:ascii="仿宋" w:hAnsi="仿宋" w:eastAsia="仿宋" w:cs="仿宋"/>
        </w:rPr>
        <w:t>迟交货</w:t>
      </w:r>
    </w:p>
    <w:p w14:paraId="54DFD3E6">
      <w:pPr>
        <w:pStyle w:val="7"/>
        <w:widowControl/>
        <w:numPr>
          <w:ilvl w:val="1"/>
          <w:numId w:val="63"/>
        </w:numPr>
        <w:tabs>
          <w:tab w:val="left" w:pos="102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卖方应按照其在投标函中自定的日期交付买方使用。</w:t>
      </w:r>
    </w:p>
    <w:p w14:paraId="29D10462">
      <w:pPr>
        <w:pStyle w:val="7"/>
        <w:widowControl/>
        <w:numPr>
          <w:ilvl w:val="1"/>
          <w:numId w:val="63"/>
        </w:numPr>
        <w:tabs>
          <w:tab w:val="left" w:pos="102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如果卖方毫无理由地拖延交货，买方有权要求卖方支付违约金和/或终止合同。</w:t>
      </w:r>
    </w:p>
    <w:p w14:paraId="52A1F7AC">
      <w:pPr>
        <w:pStyle w:val="7"/>
        <w:widowControl/>
        <w:numPr>
          <w:ilvl w:val="1"/>
          <w:numId w:val="63"/>
        </w:numPr>
        <w:tabs>
          <w:tab w:val="left" w:pos="1020"/>
          <w:tab w:val="clear" w:pos="567"/>
        </w:tabs>
        <w:spacing w:before="0" w:line="360" w:lineRule="auto"/>
        <w:ind w:left="0" w:firstLine="480" w:firstLineChars="200"/>
        <w:jc w:val="left"/>
        <w:rPr>
          <w:rFonts w:ascii="仿宋" w:hAnsi="仿宋" w:eastAsia="仿宋" w:cs="仿宋"/>
        </w:rPr>
      </w:pPr>
      <w:r>
        <w:rPr>
          <w:rFonts w:hint="eastAsia" w:ascii="仿宋" w:hAnsi="仿宋" w:eastAsia="仿宋" w:cs="仿宋"/>
        </w:rPr>
        <w:t>在履行合同过程中，如果卖方遇到不能按时交货和提供服务的情况，应及时以书面形式将不能按时交货的理由、延误时间通知买方。买方在收到卖方通知后，应对情况进行分析，决定是否修改合同、酌情延长交货时间或解除合同。</w:t>
      </w:r>
    </w:p>
    <w:p w14:paraId="2AA753AF">
      <w:pPr>
        <w:pStyle w:val="59"/>
        <w:numPr>
          <w:ilvl w:val="0"/>
          <w:numId w:val="58"/>
        </w:numPr>
        <w:spacing w:before="0" w:after="0"/>
        <w:ind w:left="0" w:firstLine="482"/>
        <w:rPr>
          <w:rFonts w:ascii="仿宋" w:hAnsi="仿宋" w:eastAsia="仿宋" w:cs="仿宋"/>
        </w:rPr>
      </w:pPr>
      <w:r>
        <w:rPr>
          <w:rFonts w:hint="eastAsia" w:ascii="仿宋" w:hAnsi="仿宋" w:eastAsia="仿宋" w:cs="仿宋"/>
        </w:rPr>
        <w:t>合规、反贿赂、反腐败和利益冲突等</w:t>
      </w:r>
    </w:p>
    <w:p w14:paraId="70421E03">
      <w:pPr>
        <w:pStyle w:val="7"/>
        <w:widowControl/>
        <w:numPr>
          <w:ilvl w:val="0"/>
          <w:numId w:val="64"/>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应当以符合反贿赂和反腐败相关法律法规条款规定的方式履行其在本协议项下之义务。各项费用的支付并非为了获得不正当利益或不公平的商业优势，或影响他人或官方的决策、影响处方行为或诱使任何人违反职业职责或标准。</w:t>
      </w:r>
    </w:p>
    <w:p w14:paraId="33865732">
      <w:pPr>
        <w:pStyle w:val="7"/>
        <w:widowControl/>
        <w:numPr>
          <w:ilvl w:val="0"/>
          <w:numId w:val="64"/>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双方未曾亦不会直接或间接向政府官员、客户、业务伙伴、医疗专业人士或其他任何人提供任何利益。</w:t>
      </w:r>
    </w:p>
    <w:p w14:paraId="43CBE79D">
      <w:pPr>
        <w:pStyle w:val="7"/>
        <w:widowControl/>
        <w:numPr>
          <w:ilvl w:val="0"/>
          <w:numId w:val="64"/>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双方均应按相关法规要求储存、使用和公开相关的信息（包括个人数据）。</w:t>
      </w:r>
    </w:p>
    <w:p w14:paraId="008152B2">
      <w:pPr>
        <w:pStyle w:val="7"/>
        <w:widowControl/>
        <w:numPr>
          <w:ilvl w:val="0"/>
          <w:numId w:val="64"/>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双方确认己方成员不受任何冲突义务或法律障碍的约束，亦不存在可能干扰或影响合同履行涉及的数据的完整可靠性的情形。一方如获悉其人员与另一方之间存在任何财务或利益关系，应立即通知另一方。</w:t>
      </w:r>
    </w:p>
    <w:p w14:paraId="7C4E3646">
      <w:pPr>
        <w:pStyle w:val="59"/>
        <w:numPr>
          <w:ilvl w:val="0"/>
          <w:numId w:val="58"/>
        </w:numPr>
        <w:spacing w:before="0" w:after="0"/>
        <w:ind w:left="0" w:firstLine="482"/>
        <w:rPr>
          <w:rFonts w:ascii="仿宋" w:hAnsi="仿宋" w:eastAsia="仿宋" w:cs="仿宋"/>
        </w:rPr>
      </w:pPr>
      <w:r>
        <w:rPr>
          <w:rFonts w:hint="eastAsia" w:ascii="仿宋" w:hAnsi="仿宋" w:eastAsia="仿宋" w:cs="仿宋"/>
        </w:rPr>
        <w:t>违约金</w:t>
      </w:r>
    </w:p>
    <w:p w14:paraId="5F8523CC">
      <w:pPr>
        <w:pStyle w:val="7"/>
        <w:widowControl/>
        <w:numPr>
          <w:ilvl w:val="0"/>
          <w:numId w:val="6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卖方逾期交货和提供服务的，每逾期一日应按本合同总金额千分之一的标准向买方支付违约金，逾期达30日的，应按本合同总金额百分之十的标准向买方支付违约金，同时买方有权单方解除本合同。前述违约金不足以弥补买方损失的，卖方还应弥补损失。卖方违约金应从合同款和质保金中扣除。</w:t>
      </w:r>
    </w:p>
    <w:p w14:paraId="11BB44F8">
      <w:pPr>
        <w:pStyle w:val="7"/>
        <w:widowControl/>
        <w:numPr>
          <w:ilvl w:val="0"/>
          <w:numId w:val="6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卖方逾期履行合同义务或发生违法、违规、违约行为，或者出现差错，按天/次向买方承担合同总金额1%的违约金。违约金累计达到合同总金额的10%，买方有权解除合同。</w:t>
      </w:r>
    </w:p>
    <w:p w14:paraId="58519B3C">
      <w:pPr>
        <w:pStyle w:val="7"/>
        <w:widowControl/>
        <w:numPr>
          <w:ilvl w:val="0"/>
          <w:numId w:val="65"/>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买方无正当理由未按本合同约定按时支付合同总费用的，经卖方进行两次书面提醒，时间间隔不少于一周，若买方仍未支付的，自第二次提醒付款届满的次日起，买方应按欠付款的千分之一/天的标准，以实际逾期付款天数计算，向卖方支付违约金，但最高不超过应付款的百分之一。</w:t>
      </w:r>
    </w:p>
    <w:p w14:paraId="4DBD2F07">
      <w:pPr>
        <w:pStyle w:val="59"/>
        <w:numPr>
          <w:ilvl w:val="0"/>
          <w:numId w:val="58"/>
        </w:numPr>
        <w:spacing w:before="0" w:after="0"/>
        <w:ind w:left="0" w:firstLine="482"/>
        <w:rPr>
          <w:rFonts w:ascii="仿宋" w:hAnsi="仿宋" w:eastAsia="仿宋" w:cs="仿宋"/>
        </w:rPr>
      </w:pPr>
      <w:r>
        <w:rPr>
          <w:rFonts w:hint="eastAsia" w:ascii="仿宋" w:hAnsi="仿宋" w:eastAsia="仿宋" w:cs="仿宋"/>
        </w:rPr>
        <w:t>不可抗力</w:t>
      </w:r>
    </w:p>
    <w:p w14:paraId="6DC1FE66">
      <w:pPr>
        <w:pStyle w:val="7"/>
        <w:widowControl/>
        <w:numPr>
          <w:ilvl w:val="0"/>
          <w:numId w:val="66"/>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如果双方任何一方由于经双方同意属于不可抗力的事故，致使影响合同履行时，履行合同的期限应予以延长，延长的期限应相当于事故所影响的时间。</w:t>
      </w:r>
    </w:p>
    <w:p w14:paraId="46498D9C">
      <w:pPr>
        <w:pStyle w:val="7"/>
        <w:widowControl/>
        <w:numPr>
          <w:ilvl w:val="0"/>
          <w:numId w:val="66"/>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14:paraId="0ECA6B92">
      <w:pPr>
        <w:pStyle w:val="59"/>
        <w:numPr>
          <w:ilvl w:val="0"/>
          <w:numId w:val="58"/>
        </w:numPr>
        <w:spacing w:before="0" w:after="0"/>
        <w:ind w:left="0" w:firstLine="482"/>
        <w:rPr>
          <w:rFonts w:ascii="仿宋" w:hAnsi="仿宋" w:eastAsia="仿宋" w:cs="仿宋"/>
        </w:rPr>
      </w:pPr>
      <w:r>
        <w:rPr>
          <w:rFonts w:hint="eastAsia" w:ascii="仿宋" w:hAnsi="仿宋" w:eastAsia="仿宋" w:cs="仿宋"/>
        </w:rPr>
        <w:t>税费</w:t>
      </w:r>
    </w:p>
    <w:p w14:paraId="068D87F9">
      <w:pPr>
        <w:pStyle w:val="7"/>
        <w:spacing w:before="0" w:line="360" w:lineRule="auto"/>
        <w:ind w:firstLine="480"/>
        <w:rPr>
          <w:rFonts w:ascii="仿宋" w:hAnsi="仿宋" w:eastAsia="仿宋" w:cs="仿宋"/>
        </w:rPr>
      </w:pPr>
      <w:r>
        <w:rPr>
          <w:rFonts w:hint="eastAsia" w:ascii="仿宋" w:hAnsi="仿宋" w:eastAsia="仿宋" w:cs="仿宋"/>
        </w:rPr>
        <w:t>中国政府根据现行税法对卖方征收的与本合同有关的一切税费均由卖方负担, 对买方征收的与本合同有关的一切税费均由买方负担。</w:t>
      </w:r>
    </w:p>
    <w:p w14:paraId="7EA61D51">
      <w:pPr>
        <w:pStyle w:val="59"/>
        <w:numPr>
          <w:ilvl w:val="0"/>
          <w:numId w:val="58"/>
        </w:numPr>
        <w:spacing w:before="0" w:after="0"/>
        <w:ind w:left="0" w:firstLine="482"/>
        <w:rPr>
          <w:rFonts w:ascii="仿宋" w:hAnsi="仿宋" w:eastAsia="仿宋" w:cs="仿宋"/>
        </w:rPr>
      </w:pPr>
      <w:r>
        <w:rPr>
          <w:rFonts w:hint="eastAsia" w:ascii="仿宋" w:hAnsi="仿宋" w:eastAsia="仿宋" w:cs="仿宋"/>
        </w:rPr>
        <w:t>纠纷解决</w:t>
      </w:r>
    </w:p>
    <w:p w14:paraId="45BF9FAA">
      <w:pPr>
        <w:pStyle w:val="7"/>
        <w:spacing w:before="0" w:line="360" w:lineRule="auto"/>
        <w:ind w:firstLine="480"/>
        <w:rPr>
          <w:rFonts w:ascii="仿宋" w:hAnsi="仿宋" w:eastAsia="仿宋" w:cs="仿宋"/>
        </w:rPr>
      </w:pPr>
      <w:r>
        <w:rPr>
          <w:rFonts w:hint="eastAsia" w:ascii="仿宋" w:hAnsi="仿宋" w:eastAsia="仿宋" w:cs="仿宋"/>
        </w:rPr>
        <w:t>在执行本合同中所发生的或与本合同有关的一切争端，买卖双方应通过友好协商解决。如从协商开始60天内仍不能解决，依法向北京市朝阳区人民法院起诉解决。胜诉方的律师费、诉讼费、鉴定费、公证费等费用由败诉方承担。</w:t>
      </w:r>
    </w:p>
    <w:p w14:paraId="635D24AE">
      <w:pPr>
        <w:pStyle w:val="59"/>
        <w:numPr>
          <w:ilvl w:val="0"/>
          <w:numId w:val="58"/>
        </w:numPr>
        <w:spacing w:before="0" w:after="0"/>
        <w:ind w:left="0" w:firstLine="482"/>
        <w:rPr>
          <w:rFonts w:ascii="仿宋" w:hAnsi="仿宋" w:eastAsia="仿宋" w:cs="仿宋"/>
        </w:rPr>
      </w:pPr>
      <w:r>
        <w:rPr>
          <w:rFonts w:hint="eastAsia" w:ascii="仿宋" w:hAnsi="仿宋" w:eastAsia="仿宋" w:cs="仿宋"/>
        </w:rPr>
        <w:t>违约终止合同</w:t>
      </w:r>
    </w:p>
    <w:p w14:paraId="075524F2">
      <w:pPr>
        <w:pStyle w:val="7"/>
        <w:widowControl/>
        <w:numPr>
          <w:ilvl w:val="0"/>
          <w:numId w:val="67"/>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如果卖方有如下违约行为，买方可向卖方发出书面违约通知，从而终止部分或全部合同。</w:t>
      </w:r>
    </w:p>
    <w:p w14:paraId="68770372">
      <w:pPr>
        <w:pStyle w:val="7"/>
        <w:widowControl/>
        <w:numPr>
          <w:ilvl w:val="0"/>
          <w:numId w:val="68"/>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如果卖方未能按合同规定的期限或买方同意延长的限期内提供部分或全部设备；</w:t>
      </w:r>
    </w:p>
    <w:p w14:paraId="38CC1AB6">
      <w:pPr>
        <w:pStyle w:val="7"/>
        <w:widowControl/>
        <w:numPr>
          <w:ilvl w:val="0"/>
          <w:numId w:val="68"/>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卖方在收到买方发出的违约通知后20天内，或经买方书面认可延长的时间内未能纠正其过失；</w:t>
      </w:r>
    </w:p>
    <w:p w14:paraId="092979FC">
      <w:pPr>
        <w:pStyle w:val="7"/>
        <w:widowControl/>
        <w:numPr>
          <w:ilvl w:val="0"/>
          <w:numId w:val="68"/>
        </w:numPr>
        <w:tabs>
          <w:tab w:val="left" w:pos="879"/>
          <w:tab w:val="clear" w:pos="210"/>
          <w:tab w:val="clear" w:pos="567"/>
        </w:tabs>
        <w:spacing w:before="0" w:line="360" w:lineRule="auto"/>
        <w:ind w:firstLineChars="200"/>
        <w:jc w:val="left"/>
        <w:rPr>
          <w:rFonts w:ascii="仿宋" w:hAnsi="仿宋" w:eastAsia="仿宋" w:cs="仿宋"/>
        </w:rPr>
      </w:pPr>
      <w:r>
        <w:rPr>
          <w:rFonts w:hint="eastAsia" w:ascii="仿宋" w:hAnsi="仿宋" w:eastAsia="仿宋" w:cs="仿宋"/>
        </w:rPr>
        <w:t>如果卖方未能履行合同规定的其它任何义务。</w:t>
      </w:r>
    </w:p>
    <w:p w14:paraId="17395F10">
      <w:pPr>
        <w:pStyle w:val="7"/>
        <w:widowControl/>
        <w:numPr>
          <w:ilvl w:val="0"/>
          <w:numId w:val="67"/>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在买方根据上述第17.1条规定，终止了全部或部分合同后，买方可以依其认为适当的条件和方法购买类似未交的设备，卖方应对买方购买类似设备所超出的费用部分负责，并继续执行合同中未终止部分。</w:t>
      </w:r>
    </w:p>
    <w:p w14:paraId="0F00AA3A">
      <w:pPr>
        <w:pStyle w:val="59"/>
        <w:numPr>
          <w:ilvl w:val="0"/>
          <w:numId w:val="58"/>
        </w:numPr>
        <w:spacing w:before="0" w:after="0"/>
        <w:ind w:left="0" w:firstLine="482"/>
        <w:rPr>
          <w:rFonts w:ascii="仿宋" w:hAnsi="仿宋" w:eastAsia="仿宋" w:cs="仿宋"/>
        </w:rPr>
      </w:pPr>
      <w:r>
        <w:rPr>
          <w:rFonts w:hint="eastAsia" w:ascii="仿宋" w:hAnsi="仿宋" w:eastAsia="仿宋" w:cs="仿宋"/>
        </w:rPr>
        <w:t>破产终止合同</w:t>
      </w:r>
    </w:p>
    <w:p w14:paraId="278F3C80">
      <w:pPr>
        <w:pStyle w:val="7"/>
        <w:spacing w:before="0" w:line="360" w:lineRule="auto"/>
        <w:ind w:firstLine="480"/>
        <w:rPr>
          <w:rFonts w:ascii="仿宋" w:hAnsi="仿宋" w:eastAsia="仿宋" w:cs="仿宋"/>
        </w:rPr>
      </w:pPr>
      <w:r>
        <w:rPr>
          <w:rFonts w:hint="eastAsia" w:ascii="仿宋" w:hAnsi="仿宋" w:eastAsia="仿宋" w:cs="仿宋"/>
        </w:rPr>
        <w:t>如果卖方破产或无清偿能力时，买方可在任何时候以书面形式通知卖方终止合同，终止该合同将不损害或影响买方已经采取或将要采取的补救措施的权利。</w:t>
      </w:r>
    </w:p>
    <w:p w14:paraId="3D10D4A4">
      <w:pPr>
        <w:pStyle w:val="59"/>
        <w:numPr>
          <w:ilvl w:val="0"/>
          <w:numId w:val="58"/>
        </w:numPr>
        <w:spacing w:before="0" w:after="0"/>
        <w:ind w:left="0" w:firstLine="482"/>
        <w:rPr>
          <w:rFonts w:ascii="仿宋" w:hAnsi="仿宋" w:eastAsia="仿宋" w:cs="仿宋"/>
        </w:rPr>
      </w:pPr>
      <w:r>
        <w:rPr>
          <w:rFonts w:hint="eastAsia" w:ascii="仿宋" w:hAnsi="仿宋" w:eastAsia="仿宋" w:cs="仿宋"/>
        </w:rPr>
        <w:t>转让</w:t>
      </w:r>
    </w:p>
    <w:p w14:paraId="49BA5EC2">
      <w:pPr>
        <w:pStyle w:val="7"/>
        <w:spacing w:before="0" w:line="360" w:lineRule="auto"/>
        <w:ind w:firstLine="480"/>
        <w:rPr>
          <w:rFonts w:ascii="仿宋" w:hAnsi="仿宋" w:eastAsia="仿宋" w:cs="仿宋"/>
        </w:rPr>
      </w:pPr>
      <w:r>
        <w:rPr>
          <w:rFonts w:hint="eastAsia" w:ascii="仿宋" w:hAnsi="仿宋" w:eastAsia="仿宋" w:cs="仿宋"/>
        </w:rPr>
        <w:t>除买方事先书面同意外，卖方不得部分转让或全部转让其应履行的合同义务。</w:t>
      </w:r>
    </w:p>
    <w:p w14:paraId="0DD227C0">
      <w:pPr>
        <w:pStyle w:val="59"/>
        <w:numPr>
          <w:ilvl w:val="0"/>
          <w:numId w:val="58"/>
        </w:numPr>
        <w:spacing w:before="0" w:after="0"/>
        <w:ind w:left="0" w:firstLine="482"/>
        <w:rPr>
          <w:rFonts w:ascii="仿宋" w:hAnsi="仿宋" w:eastAsia="仿宋" w:cs="仿宋"/>
        </w:rPr>
      </w:pPr>
      <w:r>
        <w:rPr>
          <w:rFonts w:hint="eastAsia" w:ascii="仿宋" w:hAnsi="仿宋" w:eastAsia="仿宋" w:cs="仿宋"/>
        </w:rPr>
        <w:t>适用法律</w:t>
      </w:r>
    </w:p>
    <w:p w14:paraId="524B9A1C">
      <w:pPr>
        <w:pStyle w:val="7"/>
        <w:spacing w:before="0" w:line="360" w:lineRule="auto"/>
        <w:ind w:firstLine="480"/>
        <w:rPr>
          <w:rFonts w:ascii="仿宋" w:hAnsi="仿宋" w:eastAsia="仿宋" w:cs="仿宋"/>
        </w:rPr>
      </w:pPr>
      <w:r>
        <w:rPr>
          <w:rFonts w:hint="eastAsia" w:ascii="仿宋" w:hAnsi="仿宋" w:eastAsia="仿宋" w:cs="仿宋"/>
        </w:rPr>
        <w:t>本合同应按中华人民共和国的法律进行解释。</w:t>
      </w:r>
    </w:p>
    <w:p w14:paraId="39640834">
      <w:pPr>
        <w:pStyle w:val="59"/>
        <w:numPr>
          <w:ilvl w:val="0"/>
          <w:numId w:val="58"/>
        </w:numPr>
        <w:spacing w:before="0" w:after="0"/>
        <w:ind w:left="0" w:firstLine="482"/>
        <w:rPr>
          <w:rFonts w:ascii="仿宋" w:hAnsi="仿宋" w:eastAsia="仿宋" w:cs="仿宋"/>
        </w:rPr>
      </w:pPr>
      <w:r>
        <w:rPr>
          <w:rFonts w:hint="eastAsia" w:ascii="仿宋" w:hAnsi="仿宋" w:eastAsia="仿宋" w:cs="仿宋"/>
        </w:rPr>
        <w:t>合同生效及其它</w:t>
      </w:r>
    </w:p>
    <w:p w14:paraId="4D9B792C">
      <w:pPr>
        <w:pStyle w:val="7"/>
        <w:widowControl/>
        <w:numPr>
          <w:ilvl w:val="0"/>
          <w:numId w:val="69"/>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合同经双方法定代表人或授权代表签字并盖章后生效。</w:t>
      </w:r>
    </w:p>
    <w:p w14:paraId="6084755C">
      <w:pPr>
        <w:pStyle w:val="7"/>
        <w:widowControl/>
        <w:numPr>
          <w:ilvl w:val="0"/>
          <w:numId w:val="69"/>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本合同壹式伍份，以中文书写，买方执肆份、卖方执壹份。</w:t>
      </w:r>
    </w:p>
    <w:p w14:paraId="5497253C">
      <w:pPr>
        <w:pStyle w:val="7"/>
        <w:widowControl/>
        <w:numPr>
          <w:ilvl w:val="0"/>
          <w:numId w:val="69"/>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如需修改或补充合同内容，经协商，双方应签署书面修改或补充协议，该协议将作为本合同不可分割的一部分。</w:t>
      </w:r>
    </w:p>
    <w:p w14:paraId="457C4E55">
      <w:pPr>
        <w:pStyle w:val="7"/>
        <w:widowControl/>
        <w:numPr>
          <w:ilvl w:val="0"/>
          <w:numId w:val="69"/>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设备在运输安装使用过程中因卖方的原因造成的相关损失，由卖方完全承担。</w:t>
      </w:r>
    </w:p>
    <w:p w14:paraId="4CD5DD0F">
      <w:pPr>
        <w:pStyle w:val="7"/>
        <w:widowControl/>
        <w:numPr>
          <w:ilvl w:val="0"/>
          <w:numId w:val="69"/>
        </w:numPr>
        <w:tabs>
          <w:tab w:val="left" w:pos="1020"/>
          <w:tab w:val="clear" w:pos="567"/>
        </w:tabs>
        <w:spacing w:before="0" w:line="360" w:lineRule="auto"/>
        <w:jc w:val="left"/>
        <w:rPr>
          <w:rFonts w:ascii="仿宋" w:hAnsi="仿宋" w:eastAsia="仿宋" w:cs="仿宋"/>
        </w:rPr>
      </w:pPr>
      <w:r>
        <w:rPr>
          <w:rFonts w:hint="eastAsia" w:ascii="仿宋" w:hAnsi="仿宋" w:eastAsia="仿宋" w:cs="仿宋"/>
        </w:rPr>
        <w:t>交付前的费用和风险全部由卖方承担。</w:t>
      </w:r>
    </w:p>
    <w:p w14:paraId="438E5B8B">
      <w:pPr>
        <w:pStyle w:val="59"/>
        <w:numPr>
          <w:ilvl w:val="0"/>
          <w:numId w:val="58"/>
        </w:numPr>
        <w:spacing w:before="0" w:after="0"/>
        <w:ind w:left="0" w:firstLine="482"/>
        <w:rPr>
          <w:rFonts w:ascii="仿宋" w:hAnsi="仿宋" w:eastAsia="仿宋" w:cs="仿宋"/>
        </w:rPr>
      </w:pPr>
      <w:r>
        <w:rPr>
          <w:rFonts w:hint="eastAsia" w:ascii="仿宋" w:hAnsi="仿宋" w:eastAsia="仿宋" w:cs="仿宋"/>
        </w:rPr>
        <w:t>数据接口</w:t>
      </w:r>
    </w:p>
    <w:p w14:paraId="475ACE32">
      <w:pPr>
        <w:pStyle w:val="7"/>
        <w:spacing w:before="0" w:line="360" w:lineRule="auto"/>
        <w:ind w:firstLine="480"/>
        <w:rPr>
          <w:rFonts w:ascii="仿宋" w:hAnsi="仿宋" w:eastAsia="仿宋" w:cs="仿宋"/>
        </w:rPr>
      </w:pPr>
      <w:r>
        <w:rPr>
          <w:rFonts w:hint="eastAsia" w:ascii="仿宋" w:hAnsi="仿宋" w:eastAsia="仿宋" w:cs="仿宋"/>
        </w:rPr>
        <w:t>如果设备涉及到数据接口问题，卖方需根据买方技术要求及客户化改造需求自行与第三方系统开发公司进行沟通，完成（包括但不限于）与买方HIS系统、LIS系统、PACS等系统的双向数据接口连接，实现双向数据共享，达到买方数据传输与信息共享标准，此项工作由卖方独立协调满足买方技术要求与客户化改造需求所涉及的所有第三方公司（包括但不限于蓝网科技股份有限公司、东华软件股份公司、GE等公司）共同完成，由此产生的需要支付给第三方公司的接口改造费用由卖方负担，买方不再支付任何费用。如卖方因任何理由无法协调第三方公司进行数据接口改造，而导致无法满足买方技术要求与客户化改造需求，则视为卖方违约，买方有权因卖方违约终止合同，同时卖方需支付买方合同总价20%的违约金。</w:t>
      </w:r>
    </w:p>
    <w:p w14:paraId="01A520D2">
      <w:pPr>
        <w:spacing w:line="360" w:lineRule="auto"/>
        <w:rPr>
          <w:rFonts w:ascii="仿宋" w:hAnsi="仿宋" w:eastAsia="仿宋" w:cs="仿宋"/>
        </w:rPr>
      </w:pPr>
      <w:r>
        <w:rPr>
          <w:rFonts w:hint="eastAsia" w:ascii="仿宋" w:hAnsi="仿宋" w:eastAsia="仿宋" w:cs="仿宋"/>
        </w:rPr>
        <w:br w:type="page"/>
      </w:r>
    </w:p>
    <w:p w14:paraId="36E8C4CC">
      <w:pPr>
        <w:pStyle w:val="61"/>
        <w:spacing w:before="0" w:after="0" w:line="400" w:lineRule="exact"/>
        <w:rPr>
          <w:rFonts w:ascii="仿宋" w:hAnsi="仿宋" w:eastAsia="仿宋" w:cs="仿宋"/>
        </w:rPr>
      </w:pPr>
      <w:r>
        <w:rPr>
          <w:rFonts w:hint="eastAsia" w:ascii="仿宋" w:hAnsi="仿宋" w:eastAsia="仿宋" w:cs="仿宋"/>
        </w:rPr>
        <w:t>附件一：</w:t>
      </w:r>
    </w:p>
    <w:p w14:paraId="1AD29BE8">
      <w:pPr>
        <w:pStyle w:val="60"/>
        <w:spacing w:after="0" w:line="400" w:lineRule="exact"/>
        <w:ind w:firstLine="480"/>
        <w:rPr>
          <w:rFonts w:ascii="仿宋" w:hAnsi="仿宋" w:eastAsia="仿宋" w:cs="仿宋"/>
        </w:rPr>
      </w:pPr>
      <w:bookmarkStart w:id="796" w:name="_Toc184367780"/>
      <w:bookmarkStart w:id="797" w:name="_Toc530036545"/>
      <w:bookmarkStart w:id="798" w:name="_Toc164331024"/>
      <w:bookmarkStart w:id="799" w:name="_Toc106610354"/>
      <w:r>
        <w:rPr>
          <w:rFonts w:hint="eastAsia" w:ascii="仿宋" w:hAnsi="仿宋" w:eastAsia="仿宋" w:cs="仿宋"/>
        </w:rPr>
        <w:t>分项报价表</w:t>
      </w:r>
      <w:bookmarkEnd w:id="796"/>
      <w:bookmarkEnd w:id="797"/>
      <w:bookmarkEnd w:id="798"/>
      <w:bookmarkEnd w:id="799"/>
      <w:r>
        <w:rPr>
          <w:rFonts w:hint="eastAsia" w:ascii="仿宋" w:hAnsi="仿宋" w:eastAsia="仿宋" w:cs="仿宋"/>
        </w:rPr>
        <w:t>（请按照投标文件分项报价表填写，设备附带配件请填附件二）</w:t>
      </w:r>
    </w:p>
    <w:p w14:paraId="1CB3D166">
      <w:pPr>
        <w:spacing w:line="400" w:lineRule="exact"/>
        <w:rPr>
          <w:rFonts w:ascii="仿宋" w:hAnsi="仿宋" w:eastAsia="仿宋" w:cs="仿宋"/>
          <w:b/>
          <w:snapToGrid w:val="0"/>
          <w:sz w:val="24"/>
        </w:rPr>
      </w:pPr>
      <w:bookmarkStart w:id="800" w:name="_Toc530036546"/>
    </w:p>
    <w:p w14:paraId="3974FFC9">
      <w:pPr>
        <w:spacing w:line="400" w:lineRule="exact"/>
        <w:rPr>
          <w:rFonts w:ascii="仿宋" w:hAnsi="仿宋" w:eastAsia="仿宋" w:cs="仿宋"/>
          <w:b/>
          <w:snapToGrid w:val="0"/>
          <w:sz w:val="24"/>
        </w:rPr>
      </w:pPr>
    </w:p>
    <w:p w14:paraId="588591AB">
      <w:pPr>
        <w:spacing w:line="400" w:lineRule="exact"/>
        <w:rPr>
          <w:rFonts w:ascii="仿宋" w:hAnsi="仿宋" w:eastAsia="仿宋" w:cs="仿宋"/>
          <w:b/>
          <w:snapToGrid w:val="0"/>
          <w:sz w:val="24"/>
        </w:rPr>
      </w:pPr>
    </w:p>
    <w:p w14:paraId="17322A2F">
      <w:pPr>
        <w:spacing w:line="400" w:lineRule="exact"/>
        <w:rPr>
          <w:rFonts w:ascii="仿宋" w:hAnsi="仿宋" w:eastAsia="仿宋" w:cs="仿宋"/>
          <w:sz w:val="36"/>
          <w:szCs w:val="36"/>
        </w:rPr>
      </w:pPr>
    </w:p>
    <w:p w14:paraId="7A89177A">
      <w:pPr>
        <w:spacing w:line="400" w:lineRule="exact"/>
        <w:rPr>
          <w:rFonts w:ascii="仿宋" w:hAnsi="仿宋" w:eastAsia="仿宋" w:cs="仿宋"/>
          <w:b/>
          <w:snapToGrid w:val="0"/>
          <w:sz w:val="24"/>
        </w:rPr>
      </w:pPr>
    </w:p>
    <w:p w14:paraId="78568B51">
      <w:pPr>
        <w:spacing w:line="400" w:lineRule="exact"/>
        <w:rPr>
          <w:rFonts w:ascii="仿宋" w:hAnsi="仿宋" w:eastAsia="仿宋" w:cs="仿宋"/>
          <w:b/>
          <w:snapToGrid w:val="0"/>
          <w:sz w:val="24"/>
        </w:rPr>
      </w:pPr>
    </w:p>
    <w:p w14:paraId="2B2BA720">
      <w:pPr>
        <w:spacing w:line="400" w:lineRule="exact"/>
        <w:rPr>
          <w:rFonts w:ascii="仿宋" w:hAnsi="仿宋" w:eastAsia="仿宋" w:cs="仿宋"/>
          <w:b/>
          <w:snapToGrid w:val="0"/>
          <w:sz w:val="24"/>
        </w:rPr>
      </w:pPr>
    </w:p>
    <w:p w14:paraId="44B7447A">
      <w:pPr>
        <w:spacing w:line="400" w:lineRule="exact"/>
        <w:rPr>
          <w:rFonts w:ascii="仿宋" w:hAnsi="仿宋" w:eastAsia="仿宋" w:cs="仿宋"/>
          <w:b/>
          <w:snapToGrid w:val="0"/>
          <w:sz w:val="24"/>
        </w:rPr>
      </w:pPr>
    </w:p>
    <w:p w14:paraId="45CACB98">
      <w:pPr>
        <w:spacing w:line="400" w:lineRule="exact"/>
        <w:rPr>
          <w:rFonts w:ascii="仿宋" w:hAnsi="仿宋" w:eastAsia="仿宋" w:cs="仿宋"/>
        </w:rPr>
      </w:pPr>
      <w:r>
        <w:rPr>
          <w:rFonts w:hint="eastAsia" w:ascii="仿宋" w:hAnsi="仿宋" w:eastAsia="仿宋" w:cs="仿宋"/>
        </w:rPr>
        <w:br w:type="page"/>
      </w:r>
    </w:p>
    <w:p w14:paraId="0FF166CE">
      <w:pPr>
        <w:pStyle w:val="61"/>
        <w:spacing w:before="0" w:after="0" w:line="400" w:lineRule="exact"/>
        <w:rPr>
          <w:rFonts w:ascii="仿宋" w:hAnsi="仿宋" w:eastAsia="仿宋" w:cs="仿宋"/>
        </w:rPr>
      </w:pPr>
      <w:r>
        <w:rPr>
          <w:rFonts w:hint="eastAsia" w:ascii="仿宋" w:hAnsi="仿宋" w:eastAsia="仿宋" w:cs="仿宋"/>
        </w:rPr>
        <w:t>附件二（如有多台设备，请附多个配置清单）</w:t>
      </w:r>
    </w:p>
    <w:p w14:paraId="3B01A57B">
      <w:pPr>
        <w:pStyle w:val="7"/>
        <w:spacing w:line="400" w:lineRule="exact"/>
        <w:ind w:firstLine="480"/>
        <w:jc w:val="center"/>
        <w:rPr>
          <w:rFonts w:ascii="仿宋" w:hAnsi="仿宋" w:eastAsia="仿宋" w:cs="仿宋"/>
        </w:rPr>
      </w:pPr>
    </w:p>
    <w:p w14:paraId="493645D0">
      <w:pPr>
        <w:pStyle w:val="7"/>
        <w:spacing w:line="400" w:lineRule="exact"/>
        <w:ind w:firstLine="480"/>
        <w:jc w:val="center"/>
        <w:rPr>
          <w:rFonts w:ascii="仿宋" w:hAnsi="仿宋" w:eastAsia="仿宋" w:cs="仿宋"/>
        </w:rPr>
      </w:pPr>
      <w:r>
        <w:rPr>
          <w:rFonts w:hint="eastAsia" w:ascii="仿宋" w:hAnsi="仿宋" w:eastAsia="仿宋" w:cs="仿宋"/>
        </w:rPr>
        <w:t>配置清单</w:t>
      </w:r>
    </w:p>
    <w:bookmarkEnd w:id="800"/>
    <w:p w14:paraId="42210624">
      <w:pPr>
        <w:pStyle w:val="7"/>
        <w:spacing w:line="400" w:lineRule="exact"/>
        <w:rPr>
          <w:rFonts w:ascii="仿宋" w:hAnsi="仿宋" w:eastAsia="仿宋" w:cs="仿宋"/>
        </w:rPr>
      </w:pPr>
      <w:r>
        <w:rPr>
          <w:rFonts w:hint="eastAsia" w:ascii="仿宋" w:hAnsi="仿宋" w:eastAsia="仿宋" w:cs="仿宋"/>
        </w:rPr>
        <w:t>设备名称：************</w:t>
      </w:r>
    </w:p>
    <w:p w14:paraId="07F57B28">
      <w:pPr>
        <w:pStyle w:val="7"/>
        <w:spacing w:line="400" w:lineRule="exact"/>
        <w:rPr>
          <w:rFonts w:ascii="仿宋" w:hAnsi="仿宋" w:eastAsia="仿宋" w:cs="仿宋"/>
        </w:rPr>
      </w:pPr>
      <w:r>
        <w:rPr>
          <w:rFonts w:hint="eastAsia" w:ascii="仿宋" w:hAnsi="仿宋" w:eastAsia="仿宋" w:cs="仿宋"/>
        </w:rPr>
        <w:t>型号：*********</w:t>
      </w:r>
    </w:p>
    <w:tbl>
      <w:tblPr>
        <w:tblStyle w:val="24"/>
        <w:tblW w:w="8442" w:type="dxa"/>
        <w:jc w:val="center"/>
        <w:tblLayout w:type="fixed"/>
        <w:tblCellMar>
          <w:top w:w="0" w:type="dxa"/>
          <w:left w:w="108" w:type="dxa"/>
          <w:bottom w:w="0" w:type="dxa"/>
          <w:right w:w="108" w:type="dxa"/>
        </w:tblCellMar>
      </w:tblPr>
      <w:tblGrid>
        <w:gridCol w:w="1061"/>
        <w:gridCol w:w="2126"/>
        <w:gridCol w:w="5255"/>
      </w:tblGrid>
      <w:tr w14:paraId="64C77F9B">
        <w:tblPrEx>
          <w:tblCellMar>
            <w:top w:w="0" w:type="dxa"/>
            <w:left w:w="108" w:type="dxa"/>
            <w:bottom w:w="0" w:type="dxa"/>
            <w:right w:w="108" w:type="dxa"/>
          </w:tblCellMar>
        </w:tblPrEx>
        <w:trPr>
          <w:trHeight w:val="435" w:hRule="atLeast"/>
          <w:jc w:val="center"/>
        </w:trPr>
        <w:tc>
          <w:tcPr>
            <w:tcW w:w="1061" w:type="dxa"/>
            <w:tcBorders>
              <w:top w:val="single" w:color="auto" w:sz="4" w:space="0"/>
              <w:left w:val="single" w:color="auto" w:sz="4" w:space="0"/>
              <w:bottom w:val="single" w:color="auto" w:sz="4" w:space="0"/>
              <w:right w:val="single" w:color="auto" w:sz="4" w:space="0"/>
            </w:tcBorders>
            <w:vAlign w:val="center"/>
          </w:tcPr>
          <w:p w14:paraId="6F826C78">
            <w:pPr>
              <w:widowControl/>
              <w:jc w:val="center"/>
              <w:rPr>
                <w:rFonts w:ascii="仿宋" w:hAnsi="仿宋" w:eastAsia="仿宋" w:cs="仿宋"/>
                <w:sz w:val="24"/>
              </w:rPr>
            </w:pPr>
            <w:r>
              <w:rPr>
                <w:rFonts w:hint="eastAsia" w:ascii="仿宋" w:hAnsi="仿宋" w:eastAsia="仿宋" w:cs="仿宋"/>
                <w:kern w:val="0"/>
                <w:sz w:val="24"/>
              </w:rPr>
              <w:t>序号</w:t>
            </w:r>
          </w:p>
        </w:tc>
        <w:tc>
          <w:tcPr>
            <w:tcW w:w="2126" w:type="dxa"/>
            <w:tcBorders>
              <w:top w:val="single" w:color="auto" w:sz="4" w:space="0"/>
              <w:left w:val="nil"/>
              <w:bottom w:val="single" w:color="auto" w:sz="4" w:space="0"/>
              <w:right w:val="single" w:color="auto" w:sz="4" w:space="0"/>
            </w:tcBorders>
            <w:vAlign w:val="center"/>
          </w:tcPr>
          <w:p w14:paraId="7988279C">
            <w:pPr>
              <w:widowControl/>
              <w:jc w:val="center"/>
              <w:rPr>
                <w:rFonts w:ascii="仿宋" w:hAnsi="仿宋" w:eastAsia="仿宋" w:cs="仿宋"/>
                <w:sz w:val="24"/>
              </w:rPr>
            </w:pPr>
            <w:r>
              <w:rPr>
                <w:rFonts w:hint="eastAsia" w:ascii="仿宋" w:hAnsi="仿宋" w:eastAsia="仿宋" w:cs="仿宋"/>
                <w:kern w:val="0"/>
                <w:sz w:val="24"/>
              </w:rPr>
              <w:t>名称</w:t>
            </w:r>
          </w:p>
        </w:tc>
        <w:tc>
          <w:tcPr>
            <w:tcW w:w="5255" w:type="dxa"/>
            <w:tcBorders>
              <w:top w:val="single" w:color="auto" w:sz="4" w:space="0"/>
              <w:left w:val="nil"/>
              <w:bottom w:val="single" w:color="auto" w:sz="4" w:space="0"/>
              <w:right w:val="single" w:color="auto" w:sz="4" w:space="0"/>
            </w:tcBorders>
            <w:vAlign w:val="center"/>
          </w:tcPr>
          <w:p w14:paraId="77647ACA">
            <w:pPr>
              <w:widowControl/>
              <w:jc w:val="center"/>
              <w:rPr>
                <w:rFonts w:ascii="仿宋" w:hAnsi="仿宋" w:eastAsia="仿宋" w:cs="仿宋"/>
                <w:sz w:val="24"/>
              </w:rPr>
            </w:pPr>
            <w:r>
              <w:rPr>
                <w:rFonts w:hint="eastAsia" w:ascii="仿宋" w:hAnsi="仿宋" w:eastAsia="仿宋" w:cs="仿宋"/>
                <w:kern w:val="0"/>
                <w:sz w:val="24"/>
              </w:rPr>
              <w:t>数量</w:t>
            </w:r>
          </w:p>
        </w:tc>
      </w:tr>
      <w:tr w14:paraId="3D438449">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5477509F">
            <w:pPr>
              <w:widowControl/>
              <w:jc w:val="center"/>
              <w:rPr>
                <w:rFonts w:ascii="仿宋" w:hAnsi="仿宋" w:eastAsia="仿宋" w:cs="仿宋"/>
                <w:sz w:val="24"/>
              </w:rPr>
            </w:pPr>
            <w:r>
              <w:rPr>
                <w:rFonts w:hint="eastAsia" w:ascii="仿宋" w:hAnsi="仿宋" w:eastAsia="仿宋" w:cs="仿宋"/>
                <w:kern w:val="0"/>
                <w:sz w:val="24"/>
              </w:rPr>
              <w:t>1</w:t>
            </w:r>
          </w:p>
        </w:tc>
        <w:tc>
          <w:tcPr>
            <w:tcW w:w="2126" w:type="dxa"/>
            <w:tcBorders>
              <w:top w:val="nil"/>
              <w:left w:val="nil"/>
              <w:bottom w:val="single" w:color="auto" w:sz="4" w:space="0"/>
              <w:right w:val="single" w:color="auto" w:sz="4" w:space="0"/>
            </w:tcBorders>
            <w:shd w:val="clear" w:color="000000" w:fill="FFFFFF"/>
            <w:vAlign w:val="center"/>
          </w:tcPr>
          <w:p w14:paraId="005CD283">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04048A8A">
            <w:pPr>
              <w:widowControl/>
              <w:jc w:val="center"/>
              <w:rPr>
                <w:rFonts w:ascii="仿宋" w:hAnsi="仿宋" w:eastAsia="仿宋" w:cs="仿宋"/>
                <w:sz w:val="24"/>
              </w:rPr>
            </w:pPr>
          </w:p>
        </w:tc>
      </w:tr>
      <w:tr w14:paraId="5C6ABD99">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6236B68D">
            <w:pPr>
              <w:widowControl/>
              <w:jc w:val="center"/>
              <w:rPr>
                <w:rFonts w:ascii="仿宋" w:hAnsi="仿宋" w:eastAsia="仿宋" w:cs="仿宋"/>
                <w:sz w:val="24"/>
              </w:rPr>
            </w:pPr>
            <w:r>
              <w:rPr>
                <w:rFonts w:hint="eastAsia" w:ascii="仿宋" w:hAnsi="仿宋" w:eastAsia="仿宋" w:cs="仿宋"/>
                <w:kern w:val="0"/>
                <w:sz w:val="24"/>
              </w:rPr>
              <w:t>2</w:t>
            </w:r>
          </w:p>
        </w:tc>
        <w:tc>
          <w:tcPr>
            <w:tcW w:w="2126" w:type="dxa"/>
            <w:tcBorders>
              <w:top w:val="nil"/>
              <w:left w:val="nil"/>
              <w:bottom w:val="single" w:color="auto" w:sz="4" w:space="0"/>
              <w:right w:val="single" w:color="auto" w:sz="4" w:space="0"/>
            </w:tcBorders>
            <w:shd w:val="clear" w:color="000000" w:fill="FFFFFF"/>
            <w:vAlign w:val="center"/>
          </w:tcPr>
          <w:p w14:paraId="68062499">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4EB6F891">
            <w:pPr>
              <w:widowControl/>
              <w:jc w:val="center"/>
              <w:rPr>
                <w:rFonts w:ascii="仿宋" w:hAnsi="仿宋" w:eastAsia="仿宋" w:cs="仿宋"/>
                <w:sz w:val="24"/>
              </w:rPr>
            </w:pPr>
          </w:p>
        </w:tc>
      </w:tr>
      <w:tr w14:paraId="18941299">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05F87824">
            <w:pPr>
              <w:widowControl/>
              <w:jc w:val="center"/>
              <w:rPr>
                <w:rFonts w:ascii="仿宋" w:hAnsi="仿宋" w:eastAsia="仿宋" w:cs="仿宋"/>
                <w:sz w:val="24"/>
              </w:rPr>
            </w:pPr>
            <w:r>
              <w:rPr>
                <w:rFonts w:hint="eastAsia" w:ascii="仿宋" w:hAnsi="仿宋" w:eastAsia="仿宋" w:cs="仿宋"/>
                <w:kern w:val="0"/>
                <w:sz w:val="24"/>
              </w:rPr>
              <w:t>3</w:t>
            </w:r>
          </w:p>
        </w:tc>
        <w:tc>
          <w:tcPr>
            <w:tcW w:w="2126" w:type="dxa"/>
            <w:tcBorders>
              <w:top w:val="nil"/>
              <w:left w:val="nil"/>
              <w:bottom w:val="single" w:color="auto" w:sz="4" w:space="0"/>
              <w:right w:val="single" w:color="auto" w:sz="4" w:space="0"/>
            </w:tcBorders>
            <w:shd w:val="clear" w:color="000000" w:fill="FFFFFF"/>
            <w:vAlign w:val="center"/>
          </w:tcPr>
          <w:p w14:paraId="2825C396">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4BCD2869">
            <w:pPr>
              <w:widowControl/>
              <w:jc w:val="center"/>
              <w:rPr>
                <w:rFonts w:ascii="仿宋" w:hAnsi="仿宋" w:eastAsia="仿宋" w:cs="仿宋"/>
                <w:sz w:val="24"/>
              </w:rPr>
            </w:pPr>
          </w:p>
        </w:tc>
      </w:tr>
      <w:tr w14:paraId="37514D59">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039A31E1">
            <w:pPr>
              <w:widowControl/>
              <w:jc w:val="center"/>
              <w:rPr>
                <w:rFonts w:ascii="仿宋" w:hAnsi="仿宋" w:eastAsia="仿宋" w:cs="仿宋"/>
                <w:sz w:val="24"/>
              </w:rPr>
            </w:pPr>
            <w:r>
              <w:rPr>
                <w:rFonts w:hint="eastAsia" w:ascii="仿宋" w:hAnsi="仿宋" w:eastAsia="仿宋" w:cs="仿宋"/>
                <w:kern w:val="0"/>
                <w:sz w:val="24"/>
              </w:rPr>
              <w:t>4</w:t>
            </w:r>
          </w:p>
        </w:tc>
        <w:tc>
          <w:tcPr>
            <w:tcW w:w="2126" w:type="dxa"/>
            <w:tcBorders>
              <w:top w:val="nil"/>
              <w:left w:val="nil"/>
              <w:bottom w:val="single" w:color="auto" w:sz="4" w:space="0"/>
              <w:right w:val="single" w:color="auto" w:sz="4" w:space="0"/>
            </w:tcBorders>
            <w:shd w:val="clear" w:color="000000" w:fill="FFFFFF"/>
            <w:vAlign w:val="center"/>
          </w:tcPr>
          <w:p w14:paraId="4D78445A">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19E312B4">
            <w:pPr>
              <w:widowControl/>
              <w:jc w:val="center"/>
              <w:rPr>
                <w:rFonts w:ascii="仿宋" w:hAnsi="仿宋" w:eastAsia="仿宋" w:cs="仿宋"/>
                <w:sz w:val="24"/>
              </w:rPr>
            </w:pPr>
          </w:p>
        </w:tc>
      </w:tr>
      <w:tr w14:paraId="55F1CEA3">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45110D86">
            <w:pPr>
              <w:widowControl/>
              <w:jc w:val="center"/>
              <w:rPr>
                <w:rFonts w:ascii="仿宋" w:hAnsi="仿宋" w:eastAsia="仿宋" w:cs="仿宋"/>
                <w:sz w:val="24"/>
              </w:rPr>
            </w:pPr>
            <w:r>
              <w:rPr>
                <w:rFonts w:hint="eastAsia" w:ascii="仿宋" w:hAnsi="仿宋" w:eastAsia="仿宋" w:cs="仿宋"/>
                <w:kern w:val="0"/>
                <w:sz w:val="24"/>
              </w:rPr>
              <w:t>5</w:t>
            </w:r>
          </w:p>
        </w:tc>
        <w:tc>
          <w:tcPr>
            <w:tcW w:w="2126" w:type="dxa"/>
            <w:tcBorders>
              <w:top w:val="nil"/>
              <w:left w:val="nil"/>
              <w:bottom w:val="single" w:color="auto" w:sz="4" w:space="0"/>
              <w:right w:val="single" w:color="auto" w:sz="4" w:space="0"/>
            </w:tcBorders>
            <w:shd w:val="clear" w:color="000000" w:fill="FFFFFF"/>
            <w:vAlign w:val="center"/>
          </w:tcPr>
          <w:p w14:paraId="3A409E61">
            <w:pPr>
              <w:widowControl/>
              <w:rPr>
                <w:rFonts w:ascii="仿宋" w:hAnsi="仿宋" w:eastAsia="仿宋" w:cs="仿宋"/>
                <w:sz w:val="24"/>
              </w:rPr>
            </w:pPr>
          </w:p>
        </w:tc>
        <w:tc>
          <w:tcPr>
            <w:tcW w:w="5255" w:type="dxa"/>
            <w:tcBorders>
              <w:top w:val="nil"/>
              <w:left w:val="nil"/>
              <w:bottom w:val="single" w:color="auto" w:sz="4" w:space="0"/>
              <w:right w:val="single" w:color="auto" w:sz="4" w:space="0"/>
            </w:tcBorders>
            <w:shd w:val="clear" w:color="000000" w:fill="FFFFFF"/>
            <w:vAlign w:val="center"/>
          </w:tcPr>
          <w:p w14:paraId="5C08BAC4">
            <w:pPr>
              <w:widowControl/>
              <w:jc w:val="center"/>
              <w:rPr>
                <w:rFonts w:ascii="仿宋" w:hAnsi="仿宋" w:eastAsia="仿宋" w:cs="仿宋"/>
                <w:sz w:val="24"/>
              </w:rPr>
            </w:pPr>
          </w:p>
        </w:tc>
      </w:tr>
      <w:tr w14:paraId="4074E164">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38913076">
            <w:pPr>
              <w:widowControl/>
              <w:jc w:val="center"/>
              <w:rPr>
                <w:rFonts w:ascii="仿宋" w:hAnsi="仿宋" w:eastAsia="仿宋" w:cs="仿宋"/>
                <w:sz w:val="24"/>
              </w:rPr>
            </w:pPr>
            <w:r>
              <w:rPr>
                <w:rFonts w:hint="eastAsia" w:ascii="仿宋" w:hAnsi="仿宋" w:eastAsia="仿宋" w:cs="仿宋"/>
                <w:kern w:val="0"/>
                <w:sz w:val="24"/>
              </w:rPr>
              <w:t>6</w:t>
            </w:r>
          </w:p>
        </w:tc>
        <w:tc>
          <w:tcPr>
            <w:tcW w:w="2126" w:type="dxa"/>
            <w:tcBorders>
              <w:top w:val="nil"/>
              <w:left w:val="nil"/>
              <w:bottom w:val="single" w:color="auto" w:sz="4" w:space="0"/>
              <w:right w:val="single" w:color="auto" w:sz="4" w:space="0"/>
            </w:tcBorders>
            <w:shd w:val="clear" w:color="000000" w:fill="FFFFFF"/>
            <w:vAlign w:val="center"/>
          </w:tcPr>
          <w:p w14:paraId="34FCF243">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66E6D48C">
            <w:pPr>
              <w:widowControl/>
              <w:jc w:val="center"/>
              <w:rPr>
                <w:rFonts w:ascii="仿宋" w:hAnsi="仿宋" w:eastAsia="仿宋" w:cs="仿宋"/>
                <w:sz w:val="24"/>
              </w:rPr>
            </w:pPr>
          </w:p>
        </w:tc>
      </w:tr>
      <w:tr w14:paraId="7BAAD4A2">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5EF78DB2">
            <w:pPr>
              <w:widowControl/>
              <w:jc w:val="center"/>
              <w:rPr>
                <w:rFonts w:ascii="仿宋" w:hAnsi="仿宋" w:eastAsia="仿宋" w:cs="仿宋"/>
                <w:sz w:val="24"/>
              </w:rPr>
            </w:pPr>
            <w:r>
              <w:rPr>
                <w:rFonts w:hint="eastAsia" w:ascii="仿宋" w:hAnsi="仿宋" w:eastAsia="仿宋" w:cs="仿宋"/>
                <w:kern w:val="0"/>
                <w:sz w:val="24"/>
              </w:rPr>
              <w:t>7</w:t>
            </w:r>
          </w:p>
        </w:tc>
        <w:tc>
          <w:tcPr>
            <w:tcW w:w="2126" w:type="dxa"/>
            <w:tcBorders>
              <w:top w:val="nil"/>
              <w:left w:val="nil"/>
              <w:bottom w:val="single" w:color="auto" w:sz="4" w:space="0"/>
              <w:right w:val="single" w:color="auto" w:sz="4" w:space="0"/>
            </w:tcBorders>
            <w:shd w:val="clear" w:color="000000" w:fill="FFFFFF"/>
            <w:vAlign w:val="center"/>
          </w:tcPr>
          <w:p w14:paraId="5A03D3BC">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5FDEA69E">
            <w:pPr>
              <w:widowControl/>
              <w:jc w:val="center"/>
              <w:rPr>
                <w:rFonts w:ascii="仿宋" w:hAnsi="仿宋" w:eastAsia="仿宋" w:cs="仿宋"/>
                <w:sz w:val="24"/>
              </w:rPr>
            </w:pPr>
          </w:p>
        </w:tc>
      </w:tr>
      <w:tr w14:paraId="783E0953">
        <w:tblPrEx>
          <w:tblCellMar>
            <w:top w:w="0" w:type="dxa"/>
            <w:left w:w="108" w:type="dxa"/>
            <w:bottom w:w="0" w:type="dxa"/>
            <w:right w:w="108" w:type="dxa"/>
          </w:tblCellMar>
        </w:tblPrEx>
        <w:trPr>
          <w:trHeight w:val="435" w:hRule="atLeast"/>
          <w:jc w:val="center"/>
        </w:trPr>
        <w:tc>
          <w:tcPr>
            <w:tcW w:w="1061" w:type="dxa"/>
            <w:tcBorders>
              <w:top w:val="nil"/>
              <w:left w:val="single" w:color="auto" w:sz="4" w:space="0"/>
              <w:bottom w:val="single" w:color="auto" w:sz="4" w:space="0"/>
              <w:right w:val="single" w:color="auto" w:sz="4" w:space="0"/>
            </w:tcBorders>
            <w:vAlign w:val="center"/>
          </w:tcPr>
          <w:p w14:paraId="63AC57DD">
            <w:pPr>
              <w:widowControl/>
              <w:jc w:val="center"/>
              <w:rPr>
                <w:rFonts w:ascii="仿宋" w:hAnsi="仿宋" w:eastAsia="仿宋" w:cs="仿宋"/>
                <w:sz w:val="24"/>
              </w:rPr>
            </w:pPr>
            <w:r>
              <w:rPr>
                <w:rFonts w:hint="eastAsia" w:ascii="仿宋" w:hAnsi="仿宋" w:eastAsia="仿宋" w:cs="仿宋"/>
                <w:kern w:val="0"/>
                <w:sz w:val="24"/>
              </w:rPr>
              <w:t>8</w:t>
            </w:r>
          </w:p>
        </w:tc>
        <w:tc>
          <w:tcPr>
            <w:tcW w:w="2126" w:type="dxa"/>
            <w:tcBorders>
              <w:top w:val="nil"/>
              <w:left w:val="nil"/>
              <w:bottom w:val="single" w:color="auto" w:sz="4" w:space="0"/>
              <w:right w:val="single" w:color="auto" w:sz="4" w:space="0"/>
            </w:tcBorders>
            <w:shd w:val="clear" w:color="000000" w:fill="FFFFFF"/>
            <w:vAlign w:val="center"/>
          </w:tcPr>
          <w:p w14:paraId="65B3B3CA">
            <w:pPr>
              <w:widowControl/>
              <w:rPr>
                <w:rFonts w:ascii="仿宋" w:hAnsi="仿宋" w:eastAsia="仿宋" w:cs="仿宋"/>
                <w:sz w:val="24"/>
              </w:rPr>
            </w:pPr>
          </w:p>
        </w:tc>
        <w:tc>
          <w:tcPr>
            <w:tcW w:w="5255" w:type="dxa"/>
            <w:tcBorders>
              <w:top w:val="nil"/>
              <w:left w:val="nil"/>
              <w:bottom w:val="single" w:color="auto" w:sz="4" w:space="0"/>
              <w:right w:val="single" w:color="auto" w:sz="4" w:space="0"/>
            </w:tcBorders>
            <w:vAlign w:val="center"/>
          </w:tcPr>
          <w:p w14:paraId="3A054BE9">
            <w:pPr>
              <w:widowControl/>
              <w:jc w:val="center"/>
              <w:rPr>
                <w:rFonts w:ascii="仿宋" w:hAnsi="仿宋" w:eastAsia="仿宋" w:cs="仿宋"/>
                <w:sz w:val="24"/>
              </w:rPr>
            </w:pPr>
          </w:p>
        </w:tc>
      </w:tr>
    </w:tbl>
    <w:p w14:paraId="7EF8B3A1">
      <w:pPr>
        <w:spacing w:line="400" w:lineRule="exact"/>
        <w:rPr>
          <w:rFonts w:ascii="仿宋" w:hAnsi="仿宋" w:eastAsia="仿宋" w:cs="仿宋"/>
          <w:snapToGrid w:val="0"/>
          <w:sz w:val="24"/>
        </w:rPr>
      </w:pPr>
      <w:r>
        <w:rPr>
          <w:rFonts w:hint="eastAsia" w:ascii="仿宋" w:hAnsi="仿宋" w:eastAsia="仿宋" w:cs="仿宋"/>
          <w:snapToGrid w:val="0"/>
          <w:kern w:val="0"/>
          <w:sz w:val="24"/>
        </w:rPr>
        <w:br w:type="page"/>
      </w:r>
    </w:p>
    <w:p w14:paraId="261018B5">
      <w:pPr>
        <w:pStyle w:val="61"/>
        <w:spacing w:before="0" w:after="0" w:line="400" w:lineRule="exact"/>
        <w:rPr>
          <w:rFonts w:ascii="仿宋" w:hAnsi="仿宋" w:eastAsia="仿宋" w:cs="仿宋"/>
        </w:rPr>
      </w:pPr>
      <w:r>
        <w:rPr>
          <w:rFonts w:hint="eastAsia" w:ascii="仿宋" w:hAnsi="仿宋" w:eastAsia="仿宋" w:cs="仿宋"/>
        </w:rPr>
        <w:t>附件三</w:t>
      </w:r>
    </w:p>
    <w:p w14:paraId="52909CE9">
      <w:pPr>
        <w:pStyle w:val="60"/>
        <w:spacing w:after="0" w:line="400" w:lineRule="exact"/>
        <w:rPr>
          <w:rFonts w:ascii="仿宋" w:hAnsi="仿宋" w:eastAsia="仿宋" w:cs="仿宋"/>
        </w:rPr>
      </w:pPr>
      <w:bookmarkStart w:id="801" w:name="_Toc530036573"/>
      <w:r>
        <w:rPr>
          <w:rFonts w:hint="eastAsia" w:ascii="仿宋" w:hAnsi="仿宋" w:eastAsia="仿宋" w:cs="仿宋"/>
        </w:rPr>
        <w:t>售后服务</w:t>
      </w:r>
      <w:bookmarkEnd w:id="801"/>
    </w:p>
    <w:p w14:paraId="10E08996">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设备到达指定地点且接到买方通知后，卖方须安排厂家专职工程师到现场进行安装、调试。卖方须对安装和调试的正确性负责，直至设备正常运行。</w:t>
      </w:r>
    </w:p>
    <w:p w14:paraId="110B0B66">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设备安装后，应按国际标准和厂家标准进行质量验收。卖方应向买方提供验收标准、验收手册和验收工具，并承担相关费用。如需要进行计量检定，费用由卖方承担。</w:t>
      </w:r>
    </w:p>
    <w:p w14:paraId="6FC0FB9A">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免费提供中文、英文操作手册（如为进口设备）、维护手册各1套。</w:t>
      </w:r>
    </w:p>
    <w:p w14:paraId="598141F3">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卖方须负责对买方相关人员进行免费技术培训，直至能够熟练掌握为止。培训内容包括：临床操作使用培训；日常使用保养与管理；设备的基本结构、性能、主要部件的构造及修理，常见故障的排除，紧急情况的处理等。培训人数由买方确定，培训资料由卖方免费提供。</w:t>
      </w:r>
    </w:p>
    <w:p w14:paraId="4ECBDC9F">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本合同设备的维保期：设备验收合格之日起满</w:t>
      </w:r>
      <w:r>
        <w:rPr>
          <w:rFonts w:hint="eastAsia" w:ascii="仿宋" w:hAnsi="仿宋" w:eastAsia="仿宋" w:cs="仿宋"/>
          <w:u w:val="single"/>
        </w:rPr>
        <w:t xml:space="preserve">       </w:t>
      </w:r>
      <w:r>
        <w:rPr>
          <w:rFonts w:hint="eastAsia" w:ascii="仿宋" w:hAnsi="仿宋" w:eastAsia="仿宋" w:cs="仿宋"/>
        </w:rPr>
        <w:t>年之日止。</w:t>
      </w:r>
    </w:p>
    <w:p w14:paraId="7DDB9554">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卖方提供的售后服务人员须具备相关技术能力及资质。卖方提供售后工程师姓名：</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，厂家售后座机：</w:t>
      </w:r>
      <w:r>
        <w:rPr>
          <w:rFonts w:hint="eastAsia" w:ascii="仿宋" w:hAnsi="仿宋" w:eastAsia="仿宋" w:cs="仿宋"/>
          <w:u w:val="single"/>
        </w:rPr>
        <w:t xml:space="preserve">          </w:t>
      </w:r>
      <w:r>
        <w:rPr>
          <w:rFonts w:hint="eastAsia" w:ascii="仿宋" w:hAnsi="仿宋" w:eastAsia="仿宋" w:cs="仿宋"/>
        </w:rPr>
        <w:t>，厂家工程师姓名：</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xml:space="preserve">        </w:t>
      </w:r>
      <w:r>
        <w:rPr>
          <w:rFonts w:hint="eastAsia" w:ascii="仿宋" w:hAnsi="仿宋" w:eastAsia="仿宋" w:cs="仿宋"/>
        </w:rPr>
        <w:t>，电子邮箱：</w:t>
      </w:r>
      <w:r>
        <w:rPr>
          <w:rFonts w:hint="eastAsia" w:ascii="仿宋" w:hAnsi="仿宋" w:eastAsia="仿宋" w:cs="仿宋"/>
          <w:u w:val="single"/>
        </w:rPr>
        <w:t xml:space="preserve">           </w:t>
      </w:r>
      <w:r>
        <w:rPr>
          <w:rFonts w:hint="eastAsia" w:ascii="仿宋" w:hAnsi="仿宋" w:eastAsia="仿宋" w:cs="仿宋"/>
        </w:rPr>
        <w:t>，负责处理买方因使用本合同项下设备而出现的各种问题和售后服务。</w:t>
      </w:r>
    </w:p>
    <w:p w14:paraId="6BFCA1FD">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在维保期内卖方提供售后服务，维保期内出现故障，卖方提供上门维修、原厂零配件更换和维护服务等。</w:t>
      </w:r>
    </w:p>
    <w:p w14:paraId="55DF4518">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维保期内，卖方提供7天/周×24小时/天全天候维保服务。针对出现的突发问题，卖方应在1小时内给予响应，2小时内到达现场；非工作时间4小时内到达现场，并维修成功以恢复设备正常使用。若卖方 8小时仍未修复设备至正常使用，卖方应提供同等或更高规格的备用机供买方使用至设备恢复正常使用为止。如设备在1个月内无法修复，卖方负责更换全新同型号或性能更优型号的设备。</w:t>
      </w:r>
    </w:p>
    <w:p w14:paraId="716A8FFE">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维保期内，卖方应提供每月一次的定期预防性巡检、检测及维护、保养服务，并在服务完成后3个工作日内，卖方向买方提供巡检、检测及维护、保养明细清单和报告，并加盖卖方主体公章。</w:t>
      </w:r>
    </w:p>
    <w:p w14:paraId="20230128">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维保期内，卖方承担人工费、交通费、运费、税费、零配件费、备用机等全部费用。卖方提供的零配件应当是设备原厂全新正品，不存在质量瑕疵和权利瑕疵。</w:t>
      </w:r>
    </w:p>
    <w:p w14:paraId="79F014FF">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维保期结束前，双方和生产商代表共同对设备进行全面检查并形成检查报告，卖方对设备进行修复保养。维保期满后，若买方委托卖方继续维保，卖方只收取配件合理的成本费，免收工时费、交通费、运费等费用，双方签订书面维保协议。后续维保协议除卖方收取合理的配件费用外，其他条款沿用本协议。维保期满后，卖方仍然应当为买方提供不低于10年的维保服务和零配件的供应。卖方应当提供持续的技术支持服务，解决买方在使用设备过程中遇到的问题。</w:t>
      </w:r>
    </w:p>
    <w:p w14:paraId="0A62870E">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设备年开机率（连续运行8小时以上）达到98％（以自然年度内工作日总数为基准计算），故障天数自然年度不超过18天/年。如故障天数超过18天/年，卖方还应当按照5万元/天承担损害赔偿责任，且买方有权解除合同并要求卖方承担合同总金额30%的违约责任且归还买方已支付的全部款项。</w:t>
      </w:r>
    </w:p>
    <w:p w14:paraId="00E3E6DA">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买方不能正常使用设备达24小时，维保期按照不能正常使用时间的5倍顺延。</w:t>
      </w:r>
    </w:p>
    <w:p w14:paraId="421BE69A">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自设备验收合格之日起，因设备自身质量问题导致的累计故障停机时间达10日，买方有权委托第三方维保或者要求卖方退货或者换货。买方选择第三方维保的，卖方应向买方及该第三方无条件、无偿、及时提供维修所必需的技术参数、密码、接口协议、诊断软件等数据资料，因此支出的维保费等费用由卖方承担。买方选择退货或换货的，卖方应在接到买方通知后10日内完成退货或换货。</w:t>
      </w:r>
    </w:p>
    <w:p w14:paraId="436A7EA2">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开放设备数据接口、提供设备数据格式、接口标准、通讯方式等接口信息。提供软件终身免费升级。</w:t>
      </w:r>
    </w:p>
    <w:p w14:paraId="6788E63D">
      <w:pPr>
        <w:pStyle w:val="7"/>
        <w:widowControl/>
        <w:numPr>
          <w:ilvl w:val="0"/>
          <w:numId w:val="70"/>
        </w:numPr>
        <w:tabs>
          <w:tab w:val="clear" w:pos="567"/>
        </w:tabs>
        <w:spacing w:before="0" w:line="400" w:lineRule="exact"/>
        <w:ind w:left="0" w:firstLine="480" w:firstLineChars="200"/>
        <w:jc w:val="left"/>
        <w:rPr>
          <w:rFonts w:ascii="仿宋" w:hAnsi="仿宋" w:eastAsia="仿宋" w:cs="仿宋"/>
        </w:rPr>
      </w:pPr>
      <w:r>
        <w:rPr>
          <w:rFonts w:hint="eastAsia" w:ascii="仿宋" w:hAnsi="仿宋" w:eastAsia="仿宋" w:cs="仿宋"/>
        </w:rPr>
        <w:t>卖方定期回访买方，负责设备终身维修，设备维修期间，应提供同型号设备作为备用以满足临床使用。</w:t>
      </w:r>
    </w:p>
    <w:p w14:paraId="09F5A6C1">
      <w:pPr>
        <w:spacing w:line="400" w:lineRule="exact"/>
        <w:rPr>
          <w:rFonts w:ascii="仿宋" w:hAnsi="仿宋" w:eastAsia="仿宋" w:cs="仿宋"/>
          <w:sz w:val="24"/>
        </w:rPr>
      </w:pPr>
      <w:r>
        <w:rPr>
          <w:rFonts w:hint="eastAsia" w:ascii="仿宋" w:hAnsi="仿宋" w:eastAsia="仿宋" w:cs="仿宋"/>
          <w:sz w:val="24"/>
        </w:rPr>
        <w:br w:type="page"/>
      </w:r>
    </w:p>
    <w:p w14:paraId="300ADF81">
      <w:pPr>
        <w:pStyle w:val="61"/>
        <w:spacing w:before="0" w:after="0"/>
        <w:rPr>
          <w:rFonts w:ascii="仿宋" w:hAnsi="仿宋" w:eastAsia="仿宋" w:cs="仿宋"/>
        </w:rPr>
      </w:pPr>
      <w:r>
        <w:rPr>
          <w:rFonts w:hint="eastAsia" w:ascii="仿宋" w:hAnsi="仿宋" w:eastAsia="仿宋" w:cs="仿宋"/>
        </w:rPr>
        <w:t>附件四</w:t>
      </w:r>
    </w:p>
    <w:p w14:paraId="2C2D23D8">
      <w:pPr>
        <w:pStyle w:val="60"/>
        <w:spacing w:after="0" w:line="360" w:lineRule="auto"/>
        <w:ind w:firstLine="480"/>
        <w:rPr>
          <w:rFonts w:ascii="仿宋" w:hAnsi="仿宋" w:eastAsia="仿宋" w:cs="仿宋"/>
          <w:sz w:val="28"/>
        </w:rPr>
      </w:pPr>
      <w:r>
        <w:rPr>
          <w:rFonts w:hint="eastAsia" w:ascii="仿宋" w:hAnsi="仿宋" w:eastAsia="仿宋" w:cs="仿宋"/>
          <w:sz w:val="28"/>
        </w:rPr>
        <w:t>培训方案</w:t>
      </w:r>
    </w:p>
    <w:p w14:paraId="5AC4CFFD">
      <w:pPr>
        <w:pStyle w:val="59"/>
        <w:spacing w:before="0" w:after="0"/>
        <w:ind w:firstLine="482"/>
        <w:rPr>
          <w:rFonts w:ascii="仿宋" w:hAnsi="仿宋" w:eastAsia="仿宋" w:cs="仿宋"/>
        </w:rPr>
      </w:pPr>
      <w:r>
        <w:rPr>
          <w:rFonts w:hint="eastAsia" w:ascii="仿宋" w:hAnsi="仿宋" w:eastAsia="仿宋" w:cs="仿宋"/>
        </w:rPr>
        <w:t>1、培训计划:</w:t>
      </w:r>
    </w:p>
    <w:p w14:paraId="4B6BF16E">
      <w:pPr>
        <w:pStyle w:val="7"/>
        <w:spacing w:before="0" w:line="336" w:lineRule="auto"/>
        <w:ind w:firstLine="480"/>
        <w:rPr>
          <w:rFonts w:ascii="仿宋" w:hAnsi="仿宋" w:eastAsia="仿宋" w:cs="仿宋"/>
        </w:rPr>
      </w:pPr>
      <w:r>
        <w:rPr>
          <w:rFonts w:hint="eastAsia" w:ascii="仿宋" w:hAnsi="仿宋" w:eastAsia="仿宋" w:cs="仿宋"/>
        </w:rPr>
        <w:t>采购合同签订后，卖方及时与买方联系确定装机时间、场地及培训方式。设备送达买方后，按照买方要求，安排工程师装机。设备完成安装后即开始对买方相关人员进行全方位的培训。</w:t>
      </w:r>
    </w:p>
    <w:p w14:paraId="0719DE9C">
      <w:pPr>
        <w:pStyle w:val="59"/>
        <w:spacing w:before="0" w:after="0" w:line="336" w:lineRule="auto"/>
        <w:ind w:firstLine="482"/>
        <w:rPr>
          <w:rFonts w:ascii="仿宋" w:hAnsi="仿宋" w:eastAsia="仿宋" w:cs="仿宋"/>
          <w:b w:val="0"/>
          <w:bCs/>
        </w:rPr>
      </w:pPr>
      <w:r>
        <w:rPr>
          <w:rFonts w:hint="eastAsia" w:ascii="仿宋" w:hAnsi="仿宋" w:eastAsia="仿宋" w:cs="仿宋"/>
        </w:rPr>
        <w:t>2、培训地点：</w:t>
      </w:r>
      <w:r>
        <w:rPr>
          <w:rFonts w:hint="eastAsia" w:ascii="仿宋" w:hAnsi="仿宋" w:eastAsia="仿宋" w:cs="仿宋"/>
          <w:b w:val="0"/>
          <w:bCs/>
        </w:rPr>
        <w:t>买方设备使用现场。</w:t>
      </w:r>
    </w:p>
    <w:p w14:paraId="067DAB64">
      <w:pPr>
        <w:pStyle w:val="59"/>
        <w:spacing w:before="0" w:after="0" w:line="336" w:lineRule="auto"/>
        <w:ind w:firstLine="482"/>
        <w:rPr>
          <w:rFonts w:ascii="仿宋" w:hAnsi="仿宋" w:eastAsia="仿宋" w:cs="仿宋"/>
        </w:rPr>
      </w:pPr>
      <w:r>
        <w:rPr>
          <w:rFonts w:hint="eastAsia" w:ascii="仿宋" w:hAnsi="仿宋" w:eastAsia="仿宋" w:cs="仿宋"/>
        </w:rPr>
        <w:t>3、培训方式：</w:t>
      </w:r>
      <w:r>
        <w:rPr>
          <w:rFonts w:hint="eastAsia" w:ascii="仿宋" w:hAnsi="仿宋" w:eastAsia="仿宋" w:cs="仿宋"/>
          <w:b w:val="0"/>
          <w:bCs/>
        </w:rPr>
        <w:t>按照买方需要，进行面对面一对一、一对多等形式的培训。</w:t>
      </w:r>
    </w:p>
    <w:p w14:paraId="1E24CEF5">
      <w:pPr>
        <w:pStyle w:val="59"/>
        <w:spacing w:before="0" w:after="0" w:line="336" w:lineRule="auto"/>
        <w:ind w:firstLine="482"/>
        <w:rPr>
          <w:rFonts w:ascii="仿宋" w:hAnsi="仿宋" w:eastAsia="仿宋" w:cs="仿宋"/>
        </w:rPr>
      </w:pPr>
      <w:r>
        <w:rPr>
          <w:rFonts w:hint="eastAsia" w:ascii="仿宋" w:hAnsi="仿宋" w:eastAsia="仿宋" w:cs="仿宋"/>
        </w:rPr>
        <w:t>4、培训内容:</w:t>
      </w:r>
    </w:p>
    <w:p w14:paraId="05244641">
      <w:pPr>
        <w:pStyle w:val="7"/>
        <w:spacing w:before="0" w:line="336" w:lineRule="auto"/>
        <w:ind w:firstLine="480"/>
        <w:rPr>
          <w:rFonts w:ascii="仿宋" w:hAnsi="仿宋" w:eastAsia="仿宋" w:cs="仿宋"/>
        </w:rPr>
      </w:pPr>
      <w:r>
        <w:rPr>
          <w:rFonts w:hint="eastAsia" w:ascii="仿宋" w:hAnsi="仿宋" w:eastAsia="仿宋" w:cs="仿宋"/>
        </w:rPr>
        <w:t>（1）操作规程：卖方从理论上讲解设备的操作过程后实机演示。让买方人员初步了解如何操作设备。</w:t>
      </w:r>
    </w:p>
    <w:p w14:paraId="5BA7D665">
      <w:pPr>
        <w:pStyle w:val="7"/>
        <w:spacing w:before="0" w:line="336" w:lineRule="auto"/>
        <w:ind w:firstLine="480"/>
        <w:rPr>
          <w:rFonts w:ascii="仿宋" w:hAnsi="仿宋" w:eastAsia="仿宋" w:cs="仿宋"/>
        </w:rPr>
      </w:pPr>
      <w:r>
        <w:rPr>
          <w:rFonts w:hint="eastAsia" w:ascii="仿宋" w:hAnsi="仿宋" w:eastAsia="仿宋" w:cs="仿宋"/>
        </w:rPr>
        <w:t>（2）使用原理：通过对设备使用原理的讲解，使买方人员了解所使用设备的原理，有助于买方人员正确使用机器。</w:t>
      </w:r>
    </w:p>
    <w:p w14:paraId="50D8D607">
      <w:pPr>
        <w:pStyle w:val="7"/>
        <w:spacing w:before="0" w:line="336" w:lineRule="auto"/>
        <w:ind w:firstLine="480"/>
        <w:rPr>
          <w:rFonts w:ascii="仿宋" w:hAnsi="仿宋" w:eastAsia="仿宋" w:cs="仿宋"/>
        </w:rPr>
      </w:pPr>
      <w:r>
        <w:rPr>
          <w:rFonts w:hint="eastAsia" w:ascii="仿宋" w:hAnsi="仿宋" w:eastAsia="仿宋" w:cs="仿宋"/>
        </w:rPr>
        <w:t>（3）安装调试：理论加实践演示设备的安装、调试，使买方人员能独立完成设备的安装、调试。</w:t>
      </w:r>
    </w:p>
    <w:p w14:paraId="2997B59E">
      <w:pPr>
        <w:pStyle w:val="7"/>
        <w:spacing w:before="0" w:line="336" w:lineRule="auto"/>
        <w:ind w:firstLine="480"/>
        <w:rPr>
          <w:rFonts w:ascii="仿宋" w:hAnsi="仿宋" w:eastAsia="仿宋" w:cs="仿宋"/>
        </w:rPr>
      </w:pPr>
      <w:r>
        <w:rPr>
          <w:rFonts w:hint="eastAsia" w:ascii="仿宋" w:hAnsi="仿宋" w:eastAsia="仿宋" w:cs="仿宋"/>
        </w:rPr>
        <w:t>（4）所有零配件的部位及名称：通过实物展示及理论讲解，买方人员均能掌握设备结构及零配件的名称及所处的位置。</w:t>
      </w:r>
    </w:p>
    <w:p w14:paraId="3C1F3787">
      <w:pPr>
        <w:pStyle w:val="7"/>
        <w:spacing w:before="0" w:line="336" w:lineRule="auto"/>
        <w:ind w:firstLine="480"/>
        <w:rPr>
          <w:rFonts w:ascii="仿宋" w:hAnsi="仿宋" w:eastAsia="仿宋" w:cs="仿宋"/>
        </w:rPr>
      </w:pPr>
      <w:r>
        <w:rPr>
          <w:rFonts w:hint="eastAsia" w:ascii="仿宋" w:hAnsi="仿宋" w:eastAsia="仿宋" w:cs="仿宋"/>
        </w:rPr>
        <w:t>（5）常见故障分析及处理办法：对设备可能出现的各种常见故障及故障情况进行讲解。</w:t>
      </w:r>
    </w:p>
    <w:p w14:paraId="14A21AAD">
      <w:pPr>
        <w:pStyle w:val="7"/>
        <w:spacing w:before="0" w:line="336" w:lineRule="auto"/>
        <w:ind w:firstLine="480"/>
        <w:rPr>
          <w:rFonts w:ascii="仿宋" w:hAnsi="仿宋" w:eastAsia="仿宋" w:cs="仿宋"/>
        </w:rPr>
      </w:pPr>
      <w:r>
        <w:rPr>
          <w:rFonts w:hint="eastAsia" w:ascii="仿宋" w:hAnsi="仿宋" w:eastAsia="仿宋" w:cs="仿宋"/>
        </w:rPr>
        <w:t>（6）设备各项技术应用培训、各种测试软件的高级应用培训。买方正常使用设备一个月后，买方若有此方面的培训需求，卖方要派设备应用专业人员前往买方对买方的具体使用人员进行设备详细的高级应用培训。</w:t>
      </w:r>
    </w:p>
    <w:p w14:paraId="29E61027">
      <w:pPr>
        <w:pStyle w:val="7"/>
        <w:spacing w:before="0" w:line="336" w:lineRule="auto"/>
        <w:ind w:firstLine="480"/>
        <w:rPr>
          <w:rFonts w:ascii="仿宋" w:hAnsi="仿宋" w:eastAsia="仿宋" w:cs="仿宋"/>
        </w:rPr>
      </w:pPr>
      <w:r>
        <w:rPr>
          <w:rFonts w:hint="eastAsia" w:ascii="仿宋" w:hAnsi="仿宋" w:eastAsia="仿宋" w:cs="仿宋"/>
        </w:rPr>
        <w:t>（7）保养准则：指导买方人员在日常工作中如何进行设备保养，从而延长设备使用寿命并保障设备的使用精度。</w:t>
      </w:r>
    </w:p>
    <w:p w14:paraId="7A066F92">
      <w:pPr>
        <w:pStyle w:val="7"/>
        <w:spacing w:before="0" w:line="336" w:lineRule="auto"/>
        <w:ind w:firstLine="480"/>
        <w:rPr>
          <w:rFonts w:ascii="仿宋" w:hAnsi="仿宋" w:eastAsia="仿宋" w:cs="仿宋"/>
        </w:rPr>
      </w:pPr>
      <w:r>
        <w:rPr>
          <w:rFonts w:hint="eastAsia" w:ascii="仿宋" w:hAnsi="仿宋" w:eastAsia="仿宋" w:cs="仿宋"/>
        </w:rPr>
        <w:t>（8）培训讨论、解答考核：培训结束后，卖方采用互动的方式与买方人员讨论所学过的内容，并对买方人员存在的问题进行解答，如果买方要求有考试，卖方将负责拟出考题及考试的其它事项，使买方人员对整个培训的内容融会贯通、真正熟练掌握设备使用。</w:t>
      </w:r>
    </w:p>
    <w:p w14:paraId="63F33836">
      <w:pPr>
        <w:pStyle w:val="59"/>
        <w:spacing w:before="0" w:after="0" w:line="336" w:lineRule="auto"/>
        <w:ind w:firstLine="482"/>
        <w:rPr>
          <w:rFonts w:ascii="仿宋" w:hAnsi="仿宋" w:eastAsia="仿宋" w:cs="仿宋"/>
        </w:rPr>
      </w:pPr>
      <w:r>
        <w:rPr>
          <w:rFonts w:hint="eastAsia" w:ascii="仿宋" w:hAnsi="仿宋" w:eastAsia="仿宋" w:cs="仿宋"/>
        </w:rPr>
        <w:t>5、培训目标</w:t>
      </w:r>
    </w:p>
    <w:p w14:paraId="04C05958">
      <w:pPr>
        <w:pStyle w:val="7"/>
        <w:spacing w:before="0" w:line="336" w:lineRule="auto"/>
        <w:ind w:firstLine="480"/>
        <w:rPr>
          <w:rFonts w:ascii="仿宋" w:hAnsi="仿宋" w:eastAsia="仿宋" w:cs="仿宋"/>
        </w:rPr>
      </w:pPr>
      <w:r>
        <w:rPr>
          <w:rFonts w:hint="eastAsia" w:ascii="仿宋" w:hAnsi="仿宋" w:eastAsia="仿宋" w:cs="仿宋"/>
        </w:rPr>
        <w:t>通过以上系统培训，真正让买方全面掌握设备的各种特点，达到熟练运用及日常保养维护的目的。</w:t>
      </w:r>
      <w:r>
        <w:rPr>
          <w:rFonts w:hint="eastAsia" w:ascii="仿宋" w:hAnsi="仿宋" w:eastAsia="仿宋" w:cs="仿宋"/>
        </w:rPr>
        <w:br w:type="page"/>
      </w:r>
    </w:p>
    <w:p w14:paraId="623043C2">
      <w:pPr>
        <w:pStyle w:val="61"/>
        <w:spacing w:before="0" w:after="0"/>
        <w:rPr>
          <w:rFonts w:ascii="仿宋" w:hAnsi="仿宋" w:eastAsia="仿宋" w:cs="仿宋"/>
        </w:rPr>
      </w:pPr>
      <w:r>
        <w:rPr>
          <w:rFonts w:hint="eastAsia" w:ascii="仿宋" w:hAnsi="仿宋" w:eastAsia="仿宋" w:cs="仿宋"/>
        </w:rPr>
        <w:t>附件五：</w:t>
      </w:r>
    </w:p>
    <w:p w14:paraId="70A44B8E">
      <w:pPr>
        <w:pStyle w:val="60"/>
        <w:widowControl/>
        <w:spacing w:after="0" w:line="360" w:lineRule="auto"/>
        <w:ind w:firstLine="480"/>
        <w:rPr>
          <w:rFonts w:ascii="仿宋" w:hAnsi="仿宋" w:eastAsia="仿宋" w:cs="仿宋"/>
        </w:rPr>
      </w:pPr>
      <w:r>
        <w:rPr>
          <w:rFonts w:hint="eastAsia" w:ascii="仿宋" w:hAnsi="仿宋" w:eastAsia="仿宋" w:cs="仿宋"/>
        </w:rPr>
        <w:t>安全协议</w:t>
      </w:r>
    </w:p>
    <w:p w14:paraId="69F37DDF">
      <w:pPr>
        <w:pStyle w:val="7"/>
        <w:spacing w:before="0" w:line="360" w:lineRule="auto"/>
        <w:ind w:firstLine="482"/>
        <w:rPr>
          <w:rFonts w:ascii="仿宋" w:hAnsi="仿宋" w:eastAsia="仿宋" w:cs="仿宋"/>
        </w:rPr>
      </w:pPr>
      <w:r>
        <w:rPr>
          <w:rStyle w:val="62"/>
          <w:rFonts w:hint="eastAsia" w:ascii="仿宋" w:hAnsi="仿宋" w:eastAsia="仿宋" w:cs="仿宋"/>
        </w:rPr>
        <w:t>第一条</w:t>
      </w:r>
      <w:r>
        <w:rPr>
          <w:rFonts w:hint="eastAsia" w:ascii="仿宋" w:hAnsi="仿宋" w:eastAsia="仿宋" w:cs="仿宋"/>
        </w:rPr>
        <w:t xml:space="preserve"> 双方应严格遵守《中华人民共和国安全生产法》《中华人民共和国消防法》《中华人民共和国道路交通安全法》《中华人民共和国产品质量法》等法律、行政法规、规范性文件等；严格执行有关安全管理制度、安全工作标准、安全工作程序、安全生产奖惩标准等规定。</w:t>
      </w:r>
    </w:p>
    <w:p w14:paraId="3D30B472">
      <w:pPr>
        <w:pStyle w:val="7"/>
        <w:spacing w:before="0" w:line="360" w:lineRule="auto"/>
        <w:ind w:firstLine="482"/>
        <w:rPr>
          <w:rFonts w:ascii="仿宋" w:hAnsi="仿宋" w:eastAsia="仿宋" w:cs="仿宋"/>
        </w:rPr>
      </w:pPr>
      <w:r>
        <w:rPr>
          <w:rStyle w:val="62"/>
          <w:rFonts w:hint="eastAsia" w:ascii="仿宋" w:hAnsi="仿宋" w:eastAsia="仿宋" w:cs="仿宋"/>
        </w:rPr>
        <w:t>第二条</w:t>
      </w:r>
      <w:r>
        <w:rPr>
          <w:rFonts w:hint="eastAsia" w:ascii="仿宋" w:hAnsi="仿宋" w:eastAsia="仿宋" w:cs="仿宋"/>
        </w:rPr>
        <w:t xml:space="preserve"> 双方应定期沟通，就可能存在的安全风险进行讨论，并制定防范措施。</w:t>
      </w:r>
    </w:p>
    <w:p w14:paraId="10874A7D">
      <w:pPr>
        <w:pStyle w:val="7"/>
        <w:spacing w:before="0" w:line="360" w:lineRule="auto"/>
        <w:ind w:firstLine="482"/>
        <w:rPr>
          <w:rFonts w:ascii="仿宋" w:hAnsi="仿宋" w:eastAsia="仿宋" w:cs="仿宋"/>
        </w:rPr>
      </w:pPr>
      <w:r>
        <w:rPr>
          <w:rStyle w:val="62"/>
          <w:rFonts w:hint="eastAsia" w:ascii="仿宋" w:hAnsi="仿宋" w:eastAsia="仿宋" w:cs="仿宋"/>
        </w:rPr>
        <w:t>第三条</w:t>
      </w:r>
      <w:r>
        <w:rPr>
          <w:rFonts w:hint="eastAsia" w:ascii="仿宋" w:hAnsi="仿宋" w:eastAsia="仿宋" w:cs="仿宋"/>
        </w:rPr>
        <w:t xml:space="preserve"> 双方均坚持“安全第一，预防为主”的方针，确保采购物品质量安全，防止因质量问题或设备安装不当等原因导致的事故发生。</w:t>
      </w:r>
    </w:p>
    <w:p w14:paraId="3141656B">
      <w:pPr>
        <w:pStyle w:val="7"/>
        <w:spacing w:before="0" w:line="360" w:lineRule="auto"/>
        <w:ind w:firstLine="482"/>
        <w:rPr>
          <w:rFonts w:ascii="仿宋" w:hAnsi="仿宋" w:eastAsia="仿宋" w:cs="仿宋"/>
        </w:rPr>
      </w:pPr>
      <w:r>
        <w:rPr>
          <w:rStyle w:val="62"/>
          <w:rFonts w:hint="eastAsia" w:ascii="仿宋" w:hAnsi="仿宋" w:eastAsia="仿宋" w:cs="仿宋"/>
        </w:rPr>
        <w:t>第四条</w:t>
      </w:r>
      <w:r>
        <w:rPr>
          <w:rFonts w:hint="eastAsia" w:ascii="仿宋" w:hAnsi="仿宋" w:eastAsia="仿宋" w:cs="仿宋"/>
        </w:rPr>
        <w:t xml:space="preserve"> 发生事故时，双方应立即采取措施保护现场，抢救伤员，防止事故扩大；及时报告上级主管部门，查明事故原因，确定事故责任，拟订改进措施，提出对责任者的处理意见等。</w:t>
      </w:r>
    </w:p>
    <w:p w14:paraId="34DC82B4">
      <w:pPr>
        <w:pStyle w:val="7"/>
        <w:spacing w:before="0" w:line="360" w:lineRule="auto"/>
        <w:ind w:firstLine="482"/>
        <w:rPr>
          <w:rFonts w:ascii="仿宋" w:hAnsi="仿宋" w:eastAsia="仿宋" w:cs="仿宋"/>
        </w:rPr>
      </w:pPr>
      <w:r>
        <w:rPr>
          <w:rStyle w:val="62"/>
          <w:rFonts w:hint="eastAsia" w:ascii="仿宋" w:hAnsi="仿宋" w:eastAsia="仿宋" w:cs="仿宋"/>
        </w:rPr>
        <w:t>第五条</w:t>
      </w:r>
      <w:r>
        <w:rPr>
          <w:rFonts w:hint="eastAsia" w:ascii="仿宋" w:hAnsi="仿宋" w:eastAsia="仿宋" w:cs="仿宋"/>
        </w:rPr>
        <w:t xml:space="preserve"> 双方严格遵守本协议条款，履行各自管理范围内的安全职责，做好安全管理工作，承担各自行为导致的安全责任。</w:t>
      </w:r>
    </w:p>
    <w:p w14:paraId="0A8EFC26">
      <w:pPr>
        <w:pStyle w:val="7"/>
        <w:spacing w:before="0" w:line="360" w:lineRule="auto"/>
        <w:ind w:firstLine="482"/>
        <w:rPr>
          <w:rFonts w:ascii="仿宋" w:hAnsi="仿宋" w:eastAsia="仿宋" w:cs="仿宋"/>
        </w:rPr>
      </w:pPr>
      <w:r>
        <w:rPr>
          <w:rStyle w:val="62"/>
          <w:rFonts w:hint="eastAsia" w:ascii="仿宋" w:hAnsi="仿宋" w:eastAsia="仿宋" w:cs="仿宋"/>
        </w:rPr>
        <w:t>第六条</w:t>
      </w:r>
      <w:r>
        <w:rPr>
          <w:rFonts w:hint="eastAsia" w:ascii="仿宋" w:hAnsi="仿宋" w:eastAsia="仿宋" w:cs="仿宋"/>
        </w:rPr>
        <w:t xml:space="preserve"> 安全责任</w:t>
      </w:r>
    </w:p>
    <w:p w14:paraId="2A6BFF98">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 xml:space="preserve">买方有权要求卖方提供详细的驻场作业、配送计划和设备安装等管理方案。 </w:t>
      </w:r>
    </w:p>
    <w:p w14:paraId="0C393021">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 xml:space="preserve">买方有权对卖方的驻场作业、配送过程及设备安装等安全生产过程进行监督和检查，提出建议和整改要求。 </w:t>
      </w:r>
    </w:p>
    <w:p w14:paraId="08F82787">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卖方应建立健全安全生产、防火消防等制度，编制详细的安全生产方案。</w:t>
      </w:r>
    </w:p>
    <w:p w14:paraId="331108BC">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卖方需确保资质合法，专业人员持证操作，机械设备专人使用，安装过程遵循操作规范。</w:t>
      </w:r>
    </w:p>
    <w:p w14:paraId="2F88F1F5">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卖方应对物流、车辆、物品进行管理严格，人员登记造册，进行安全教育。</w:t>
      </w:r>
    </w:p>
    <w:p w14:paraId="33B71FCB">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卖方提供的材料设备需附证明文件，如合格证、检验报告等，确保质量符合标准。所使用电器、电料须符合安全标准。</w:t>
      </w:r>
    </w:p>
    <w:p w14:paraId="134B75C8">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在买方区域内，卖方严禁吸烟、违规用电。</w:t>
      </w:r>
    </w:p>
    <w:p w14:paraId="50F234A0">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卖方实施高危作业须设防护措施，不擅自拆除。</w:t>
      </w:r>
    </w:p>
    <w:p w14:paraId="76D9B616">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使用买方设备须获买方同意，并负安全责任。</w:t>
      </w:r>
    </w:p>
    <w:p w14:paraId="192B73A3">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卖方人员不得擅自进入非作业区域，避免安全事故。</w:t>
      </w:r>
    </w:p>
    <w:p w14:paraId="3300019E">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严禁斗殴、酗酒、赌博及酒后作业。</w:t>
      </w:r>
    </w:p>
    <w:p w14:paraId="224AD63A">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卖方发现存在安全隐患，应当及时告知买方并同时采取排除危险等措施。</w:t>
      </w:r>
    </w:p>
    <w:p w14:paraId="2C094204">
      <w:pPr>
        <w:pStyle w:val="7"/>
        <w:widowControl/>
        <w:numPr>
          <w:ilvl w:val="0"/>
          <w:numId w:val="71"/>
        </w:numPr>
        <w:tabs>
          <w:tab w:val="clear" w:pos="567"/>
        </w:tabs>
        <w:spacing w:before="0" w:line="360" w:lineRule="auto"/>
        <w:ind w:firstLine="480" w:firstLineChars="200"/>
        <w:jc w:val="left"/>
        <w:rPr>
          <w:rFonts w:ascii="仿宋" w:hAnsi="仿宋" w:eastAsia="仿宋" w:cs="仿宋"/>
        </w:rPr>
      </w:pPr>
      <w:r>
        <w:rPr>
          <w:rFonts w:hint="eastAsia" w:ascii="仿宋" w:hAnsi="仿宋" w:eastAsia="仿宋" w:cs="仿宋"/>
        </w:rPr>
        <w:t>发生安全生产事故卖方须第一时间上报买方，并开展应急救援。若因卖方上报不及时或开展应急救援不力的，产生的一切后果由卖方承担。</w:t>
      </w:r>
    </w:p>
    <w:p w14:paraId="7A367036">
      <w:pPr>
        <w:pStyle w:val="7"/>
        <w:widowControl/>
        <w:numPr>
          <w:ilvl w:val="0"/>
          <w:numId w:val="72"/>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卖方违法、违约，买方有权按次/天要求卖方承担合同总金额1%的违约责任。违约金累计达到合同总金额的5%，买方有权解除双方存在的所有合同，并要求卖方承担双方合同总金额的50%的违约金或者全部损害赔偿责任。</w:t>
      </w:r>
    </w:p>
    <w:p w14:paraId="157BC2E1">
      <w:pPr>
        <w:pStyle w:val="7"/>
        <w:widowControl/>
        <w:numPr>
          <w:ilvl w:val="0"/>
          <w:numId w:val="72"/>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本协议作为甲乙双方所签订合同的附件，与甲乙双方所签订合同具有同等法律效力。经双方签字并盖章后立即生效。</w:t>
      </w:r>
    </w:p>
    <w:p w14:paraId="47EFDD92">
      <w:pPr>
        <w:pStyle w:val="7"/>
        <w:widowControl/>
        <w:numPr>
          <w:ilvl w:val="0"/>
          <w:numId w:val="72"/>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本协议期限为双方签署之日起至双方所签订合同及权利义务全部履行终止时止。</w:t>
      </w:r>
    </w:p>
    <w:p w14:paraId="58140DD8">
      <w:pPr>
        <w:pStyle w:val="7"/>
        <w:widowControl/>
        <w:numPr>
          <w:ilvl w:val="0"/>
          <w:numId w:val="72"/>
        </w:numPr>
        <w:tabs>
          <w:tab w:val="clear" w:pos="567"/>
        </w:tabs>
        <w:spacing w:before="0" w:line="360" w:lineRule="auto"/>
        <w:ind w:left="0" w:firstLine="480" w:firstLineChars="200"/>
        <w:jc w:val="left"/>
        <w:rPr>
          <w:rStyle w:val="62"/>
          <w:rFonts w:ascii="仿宋" w:hAnsi="仿宋" w:eastAsia="仿宋" w:cs="仿宋"/>
        </w:rPr>
      </w:pPr>
      <w:r>
        <w:rPr>
          <w:rFonts w:hint="eastAsia" w:ascii="仿宋" w:hAnsi="仿宋" w:eastAsia="仿宋" w:cs="仿宋"/>
        </w:rPr>
        <w:t xml:space="preserve">本协议一式伍份，买方执肆份、卖方执壹份，伍份具有同等效力。 </w:t>
      </w:r>
    </w:p>
    <w:p w14:paraId="1463EF36">
      <w:pPr>
        <w:pStyle w:val="7"/>
        <w:spacing w:before="0" w:line="360" w:lineRule="auto"/>
        <w:ind w:left="420" w:leftChars="200"/>
        <w:rPr>
          <w:rStyle w:val="62"/>
          <w:rFonts w:ascii="仿宋" w:hAnsi="仿宋" w:eastAsia="仿宋" w:cs="仿宋"/>
        </w:rPr>
      </w:pPr>
    </w:p>
    <w:p w14:paraId="58DCB8FE">
      <w:pPr>
        <w:pStyle w:val="7"/>
        <w:spacing w:before="0" w:line="360" w:lineRule="auto"/>
        <w:ind w:left="420" w:leftChars="200"/>
        <w:rPr>
          <w:rStyle w:val="62"/>
          <w:rFonts w:ascii="仿宋" w:hAnsi="仿宋" w:eastAsia="仿宋" w:cs="仿宋"/>
        </w:rPr>
      </w:pPr>
    </w:p>
    <w:p w14:paraId="26B1C1F7">
      <w:pPr>
        <w:pStyle w:val="7"/>
        <w:spacing w:before="0" w:line="360" w:lineRule="auto"/>
        <w:ind w:left="420" w:leftChars="200"/>
        <w:rPr>
          <w:rStyle w:val="62"/>
          <w:rFonts w:ascii="仿宋" w:hAnsi="仿宋" w:eastAsia="仿宋" w:cs="仿宋"/>
        </w:rPr>
      </w:pPr>
    </w:p>
    <w:p w14:paraId="0C6AE478">
      <w:pPr>
        <w:spacing w:line="360" w:lineRule="auto"/>
        <w:rPr>
          <w:rFonts w:ascii="仿宋" w:hAnsi="仿宋" w:eastAsia="仿宋" w:cs="仿宋"/>
          <w:b/>
          <w:bCs/>
          <w:color w:val="000000" w:themeColor="text1"/>
          <w:sz w:val="24"/>
          <w:szCs w:val="21"/>
          <w14:textFill>
            <w14:solidFill>
              <w14:schemeClr w14:val="tx1"/>
            </w14:solidFill>
          </w14:textFill>
        </w:rPr>
      </w:pPr>
      <w:r>
        <w:rPr>
          <w:rFonts w:hint="eastAsia" w:ascii="仿宋" w:hAnsi="仿宋" w:eastAsia="仿宋" w:cs="仿宋"/>
          <w:b/>
          <w:bCs/>
          <w:color w:val="000000" w:themeColor="text1"/>
          <w:sz w:val="24"/>
          <w:szCs w:val="21"/>
          <w14:textFill>
            <w14:solidFill>
              <w14:schemeClr w14:val="tx1"/>
            </w14:solidFill>
          </w14:textFill>
        </w:rPr>
        <w:t>买方（盖章）：                            卖方（盖章）：</w:t>
      </w:r>
    </w:p>
    <w:p w14:paraId="7BCB8ADC">
      <w:pPr>
        <w:pStyle w:val="7"/>
        <w:spacing w:before="0" w:line="360" w:lineRule="auto"/>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首都医科大学附属北京妇产医院</w:t>
      </w:r>
      <w:r>
        <w:rPr>
          <w:rFonts w:hint="eastAsia" w:ascii="仿宋" w:hAnsi="仿宋" w:eastAsia="仿宋" w:cs="仿宋"/>
          <w:b/>
          <w:color w:val="000000" w:themeColor="text1"/>
          <w14:textFill>
            <w14:solidFill>
              <w14:schemeClr w14:val="tx1"/>
            </w14:solidFill>
          </w14:textFill>
        </w:rPr>
        <w:t xml:space="preserve">              </w:t>
      </w:r>
      <w:r>
        <w:rPr>
          <w:rFonts w:hint="eastAsia" w:ascii="仿宋" w:hAnsi="仿宋" w:eastAsia="仿宋" w:cs="仿宋"/>
          <w:b/>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p>
    <w:p w14:paraId="4A9B0DC3">
      <w:pPr>
        <w:pStyle w:val="5"/>
        <w:autoSpaceDE/>
        <w:autoSpaceDN/>
        <w:spacing w:line="360" w:lineRule="auto"/>
        <w:ind w:firstLine="0"/>
        <w:rPr>
          <w:rFonts w:ascii="仿宋" w:hAnsi="仿宋" w:eastAsia="仿宋" w:cs="仿宋"/>
          <w:b/>
          <w:bCs/>
        </w:rPr>
      </w:pPr>
      <w:r>
        <w:rPr>
          <w:rFonts w:hint="eastAsia" w:ascii="仿宋" w:hAnsi="仿宋" w:eastAsia="仿宋" w:cs="仿宋"/>
          <w:b/>
          <w:bCs/>
          <w:color w:val="000000" w:themeColor="text1"/>
          <w:szCs w:val="21"/>
          <w14:textFill>
            <w14:solidFill>
              <w14:schemeClr w14:val="tx1"/>
            </w14:solidFill>
          </w14:textFill>
        </w:rPr>
        <w:t>法定/授权代表人：                         法定/授权代表人：</w:t>
      </w:r>
    </w:p>
    <w:p w14:paraId="396BC4C9">
      <w:pPr>
        <w:pStyle w:val="52"/>
      </w:pPr>
    </w:p>
    <w:p w14:paraId="76692FC7">
      <w:pPr>
        <w:pStyle w:val="7"/>
        <w:widowControl/>
        <w:spacing w:before="0" w:line="360" w:lineRule="auto"/>
        <w:ind w:firstLine="480" w:firstLineChars="200"/>
        <w:rPr>
          <w:rFonts w:cs="仿宋"/>
        </w:rPr>
      </w:pPr>
      <w:r>
        <w:rPr>
          <w:rFonts w:cs="仿宋"/>
        </w:rPr>
        <w:br w:type="page"/>
      </w:r>
    </w:p>
    <w:p w14:paraId="3C5AE08D">
      <w:pPr>
        <w:spacing w:line="360" w:lineRule="auto"/>
        <w:jc w:val="center"/>
        <w:outlineLvl w:val="0"/>
        <w:rPr>
          <w:rFonts w:ascii="宋体" w:hAnsi="宋体"/>
          <w:b/>
          <w:sz w:val="36"/>
          <w:szCs w:val="36"/>
        </w:rPr>
      </w:pPr>
      <w:bookmarkStart w:id="802" w:name="_Toc221531128"/>
      <w:r>
        <w:rPr>
          <w:rFonts w:ascii="宋体" w:hAnsi="宋体"/>
          <w:b/>
          <w:sz w:val="36"/>
          <w:szCs w:val="36"/>
        </w:rPr>
        <w:t>第七章</w:t>
      </w:r>
      <w:r>
        <w:rPr>
          <w:rFonts w:hint="eastAsia" w:ascii="宋体" w:hAnsi="宋体"/>
          <w:b/>
          <w:sz w:val="36"/>
          <w:szCs w:val="36"/>
        </w:rPr>
        <w:t xml:space="preserve">  </w:t>
      </w:r>
      <w:r>
        <w:rPr>
          <w:rFonts w:ascii="宋体" w:hAnsi="宋体"/>
          <w:b/>
          <w:sz w:val="36"/>
          <w:szCs w:val="36"/>
        </w:rPr>
        <w:t>投标文件格式</w:t>
      </w:r>
      <w:bookmarkEnd w:id="802"/>
    </w:p>
    <w:p w14:paraId="0565536C">
      <w:pPr>
        <w:tabs>
          <w:tab w:val="left" w:pos="900"/>
          <w:tab w:val="left" w:pos="1980"/>
        </w:tabs>
        <w:snapToGrid w:val="0"/>
        <w:spacing w:line="360" w:lineRule="auto"/>
        <w:ind w:left="142"/>
        <w:rPr>
          <w:rFonts w:ascii="宋体" w:hAnsi="宋体"/>
          <w:b/>
          <w:sz w:val="24"/>
        </w:rPr>
      </w:pPr>
    </w:p>
    <w:p w14:paraId="1B3E13AE">
      <w:pPr>
        <w:tabs>
          <w:tab w:val="left" w:pos="900"/>
          <w:tab w:val="left" w:pos="1980"/>
        </w:tabs>
        <w:snapToGrid w:val="0"/>
        <w:spacing w:line="360" w:lineRule="auto"/>
        <w:ind w:left="142"/>
        <w:rPr>
          <w:rFonts w:ascii="宋体" w:hAnsi="宋体"/>
          <w:b/>
          <w:sz w:val="24"/>
        </w:rPr>
      </w:pPr>
    </w:p>
    <w:p w14:paraId="3785AB97">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1E148E3C">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15A1472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7325A5C">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1C15D0E">
      <w:pPr>
        <w:tabs>
          <w:tab w:val="left" w:pos="900"/>
          <w:tab w:val="left" w:pos="1980"/>
        </w:tabs>
        <w:snapToGrid w:val="0"/>
        <w:spacing w:line="360" w:lineRule="auto"/>
        <w:ind w:left="142"/>
        <w:rPr>
          <w:rFonts w:ascii="宋体" w:hAnsi="宋体"/>
          <w:sz w:val="24"/>
        </w:rPr>
      </w:pPr>
      <w:r>
        <w:rPr>
          <w:rFonts w:hint="eastAsia" w:ascii="宋体" w:hAnsi="宋体"/>
          <w:sz w:val="24"/>
        </w:rPr>
        <w:t>4、本章节所给定的格式指如适用时需按照给定格式出具，投标人未提供该格式则视为此情况不适用。如投标人未提供“中小企业声明函”，则视为投标人所投设备非中小企业生产。</w:t>
      </w:r>
    </w:p>
    <w:p w14:paraId="421BAF90">
      <w:pPr>
        <w:widowControl/>
        <w:jc w:val="left"/>
        <w:rPr>
          <w:rFonts w:ascii="宋体" w:hAnsi="宋体"/>
          <w:sz w:val="24"/>
        </w:rPr>
      </w:pPr>
      <w:r>
        <w:rPr>
          <w:rFonts w:ascii="宋体" w:hAnsi="宋体"/>
          <w:sz w:val="24"/>
        </w:rPr>
        <w:br w:type="page"/>
      </w:r>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3B2AFA1C">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z w:val="24"/>
        </w:rPr>
        <w:t>一、资格证明文件格式</w:t>
      </w:r>
    </w:p>
    <w:p w14:paraId="7AC9D2FE">
      <w:pPr>
        <w:rPr>
          <w:rFonts w:ascii="宋体" w:hAnsi="宋体"/>
          <w:b/>
          <w:szCs w:val="21"/>
        </w:rPr>
      </w:pPr>
    </w:p>
    <w:p w14:paraId="2BB05DC6">
      <w:pPr>
        <w:rPr>
          <w:rFonts w:ascii="宋体" w:hAnsi="宋体"/>
          <w:b/>
          <w:sz w:val="24"/>
        </w:rPr>
      </w:pPr>
      <w:r>
        <w:rPr>
          <w:rFonts w:ascii="宋体" w:hAnsi="宋体"/>
          <w:b/>
          <w:sz w:val="24"/>
        </w:rPr>
        <w:t>投标文件（资格证明文件）封面（非实质性格式）</w:t>
      </w:r>
    </w:p>
    <w:p w14:paraId="280A4661">
      <w:pPr>
        <w:rPr>
          <w:rFonts w:ascii="宋体" w:hAnsi="宋体"/>
          <w:szCs w:val="21"/>
        </w:rPr>
      </w:pPr>
    </w:p>
    <w:p w14:paraId="2D3ABBB9">
      <w:pPr>
        <w:rPr>
          <w:rFonts w:ascii="宋体" w:hAnsi="宋体"/>
          <w:szCs w:val="21"/>
        </w:rPr>
      </w:pPr>
    </w:p>
    <w:p w14:paraId="414082CC">
      <w:pPr>
        <w:jc w:val="center"/>
        <w:rPr>
          <w:rFonts w:ascii="宋体" w:hAnsi="宋体"/>
          <w:b/>
          <w:sz w:val="84"/>
          <w:szCs w:val="84"/>
        </w:rPr>
      </w:pPr>
      <w:r>
        <w:rPr>
          <w:rFonts w:ascii="宋体" w:hAnsi="宋体"/>
          <w:b/>
          <w:sz w:val="84"/>
          <w:szCs w:val="84"/>
        </w:rPr>
        <w:t>投标文件</w:t>
      </w:r>
    </w:p>
    <w:p w14:paraId="62E696BC">
      <w:pPr>
        <w:jc w:val="center"/>
        <w:rPr>
          <w:rFonts w:ascii="宋体" w:hAnsi="宋体"/>
          <w:b/>
          <w:sz w:val="52"/>
          <w:szCs w:val="52"/>
        </w:rPr>
      </w:pPr>
      <w:r>
        <w:rPr>
          <w:rFonts w:ascii="宋体" w:hAnsi="宋体"/>
          <w:b/>
          <w:sz w:val="52"/>
          <w:szCs w:val="52"/>
        </w:rPr>
        <w:t>（资格证明文件）</w:t>
      </w:r>
    </w:p>
    <w:p w14:paraId="4331A734">
      <w:pPr>
        <w:spacing w:line="360" w:lineRule="auto"/>
        <w:ind w:firstLine="482" w:firstLineChars="150"/>
        <w:rPr>
          <w:rFonts w:ascii="宋体" w:hAnsi="宋体"/>
          <w:b/>
          <w:sz w:val="32"/>
          <w:szCs w:val="32"/>
        </w:rPr>
      </w:pPr>
    </w:p>
    <w:p w14:paraId="62E847DC">
      <w:pPr>
        <w:spacing w:line="360" w:lineRule="auto"/>
        <w:ind w:firstLine="482" w:firstLineChars="150"/>
        <w:rPr>
          <w:rFonts w:ascii="宋体" w:hAnsi="宋体"/>
          <w:b/>
          <w:sz w:val="32"/>
          <w:szCs w:val="32"/>
        </w:rPr>
      </w:pPr>
    </w:p>
    <w:p w14:paraId="0419B830">
      <w:pPr>
        <w:spacing w:line="360" w:lineRule="auto"/>
        <w:ind w:firstLine="482" w:firstLineChars="150"/>
        <w:rPr>
          <w:rFonts w:ascii="宋体" w:hAnsi="宋体"/>
          <w:b/>
          <w:sz w:val="32"/>
          <w:szCs w:val="32"/>
        </w:rPr>
      </w:pPr>
      <w:r>
        <w:rPr>
          <w:rFonts w:ascii="宋体" w:hAnsi="宋体"/>
          <w:b/>
          <w:sz w:val="32"/>
          <w:szCs w:val="32"/>
        </w:rPr>
        <w:t>项目名称：</w:t>
      </w:r>
    </w:p>
    <w:p w14:paraId="69BBC72D">
      <w:pPr>
        <w:spacing w:line="360" w:lineRule="auto"/>
        <w:ind w:firstLine="482" w:firstLineChars="150"/>
        <w:rPr>
          <w:rFonts w:ascii="宋体" w:hAnsi="宋体"/>
          <w:b/>
          <w:sz w:val="32"/>
          <w:szCs w:val="32"/>
        </w:rPr>
      </w:pPr>
      <w:r>
        <w:rPr>
          <w:rFonts w:ascii="宋体" w:hAnsi="宋体"/>
          <w:b/>
          <w:sz w:val="32"/>
          <w:szCs w:val="32"/>
        </w:rPr>
        <w:t>项目编号：</w:t>
      </w:r>
    </w:p>
    <w:p w14:paraId="63D4FCF6">
      <w:pPr>
        <w:spacing w:line="360" w:lineRule="auto"/>
        <w:ind w:firstLine="482" w:firstLineChars="150"/>
        <w:rPr>
          <w:rFonts w:ascii="宋体" w:hAnsi="宋体"/>
          <w:b/>
          <w:sz w:val="32"/>
          <w:szCs w:val="32"/>
        </w:rPr>
      </w:pPr>
      <w:r>
        <w:rPr>
          <w:rFonts w:hint="eastAsia" w:ascii="宋体" w:hAnsi="宋体"/>
          <w:b/>
          <w:sz w:val="32"/>
          <w:szCs w:val="32"/>
        </w:rPr>
        <w:t>包    号：</w:t>
      </w:r>
    </w:p>
    <w:p w14:paraId="7CF94D9E">
      <w:pPr>
        <w:spacing w:line="360" w:lineRule="auto"/>
        <w:ind w:firstLine="482" w:firstLineChars="150"/>
        <w:rPr>
          <w:rFonts w:ascii="宋体" w:hAnsi="宋体"/>
          <w:b/>
          <w:sz w:val="32"/>
          <w:szCs w:val="32"/>
        </w:rPr>
      </w:pPr>
      <w:r>
        <w:rPr>
          <w:rFonts w:hint="eastAsia" w:ascii="宋体" w:hAnsi="宋体"/>
          <w:b/>
          <w:sz w:val="32"/>
          <w:szCs w:val="32"/>
        </w:rPr>
        <w:t>包 名 称：</w:t>
      </w:r>
    </w:p>
    <w:p w14:paraId="0323A7F4">
      <w:pPr>
        <w:spacing w:line="360" w:lineRule="auto"/>
        <w:ind w:firstLine="482" w:firstLineChars="150"/>
        <w:rPr>
          <w:rFonts w:ascii="宋体" w:hAnsi="宋体"/>
          <w:b/>
          <w:sz w:val="32"/>
          <w:szCs w:val="32"/>
        </w:rPr>
      </w:pPr>
    </w:p>
    <w:p w14:paraId="09EEF15E">
      <w:pPr>
        <w:spacing w:line="360" w:lineRule="auto"/>
        <w:ind w:firstLine="482" w:firstLineChars="150"/>
        <w:rPr>
          <w:rFonts w:ascii="宋体" w:hAnsi="宋体"/>
          <w:b/>
          <w:sz w:val="32"/>
          <w:szCs w:val="32"/>
        </w:rPr>
      </w:pPr>
    </w:p>
    <w:p w14:paraId="2EAE5FB2">
      <w:pPr>
        <w:spacing w:line="360" w:lineRule="auto"/>
        <w:rPr>
          <w:rFonts w:ascii="宋体" w:hAnsi="宋体"/>
          <w:b/>
          <w:sz w:val="32"/>
          <w:szCs w:val="32"/>
        </w:rPr>
      </w:pPr>
    </w:p>
    <w:p w14:paraId="7299F124">
      <w:pPr>
        <w:spacing w:line="360" w:lineRule="auto"/>
        <w:ind w:firstLine="482" w:firstLineChars="150"/>
        <w:rPr>
          <w:rFonts w:ascii="宋体" w:hAnsi="宋体"/>
          <w:b/>
          <w:sz w:val="32"/>
          <w:szCs w:val="32"/>
        </w:rPr>
      </w:pPr>
    </w:p>
    <w:p w14:paraId="16C4D998">
      <w:pPr>
        <w:spacing w:line="360" w:lineRule="auto"/>
        <w:ind w:firstLine="482" w:firstLineChars="150"/>
        <w:rPr>
          <w:rFonts w:ascii="宋体" w:hAnsi="宋体"/>
          <w:b/>
          <w:sz w:val="32"/>
          <w:szCs w:val="32"/>
        </w:rPr>
      </w:pPr>
    </w:p>
    <w:p w14:paraId="18DC607B">
      <w:pPr>
        <w:spacing w:line="360" w:lineRule="auto"/>
        <w:ind w:firstLine="482" w:firstLineChars="150"/>
        <w:rPr>
          <w:rFonts w:ascii="宋体" w:hAnsi="宋体"/>
          <w:b/>
          <w:sz w:val="32"/>
          <w:szCs w:val="32"/>
        </w:rPr>
      </w:pPr>
    </w:p>
    <w:p w14:paraId="596E145E">
      <w:pPr>
        <w:spacing w:line="360" w:lineRule="auto"/>
        <w:ind w:firstLine="643" w:firstLineChars="200"/>
        <w:jc w:val="left"/>
        <w:rPr>
          <w:rFonts w:ascii="宋体" w:hAnsi="宋体"/>
          <w:b/>
          <w:sz w:val="32"/>
          <w:szCs w:val="32"/>
        </w:rPr>
      </w:pPr>
      <w:r>
        <w:rPr>
          <w:rFonts w:ascii="宋体" w:hAnsi="宋体"/>
          <w:b/>
          <w:sz w:val="32"/>
          <w:szCs w:val="32"/>
        </w:rPr>
        <w:t>投标人名称：</w:t>
      </w:r>
    </w:p>
    <w:p w14:paraId="6F103123">
      <w:pPr>
        <w:spacing w:line="360" w:lineRule="auto"/>
        <w:jc w:val="center"/>
        <w:rPr>
          <w:rFonts w:ascii="宋体" w:hAnsi="宋体"/>
          <w:b/>
          <w:sz w:val="32"/>
          <w:szCs w:val="32"/>
        </w:rPr>
      </w:pPr>
    </w:p>
    <w:p w14:paraId="5B3A077F">
      <w:pPr>
        <w:spacing w:line="360" w:lineRule="auto"/>
        <w:rPr>
          <w:rFonts w:ascii="宋体" w:hAnsi="宋体"/>
          <w:b/>
        </w:rPr>
      </w:pPr>
      <w:r>
        <w:rPr>
          <w:rFonts w:ascii="宋体" w:hAnsi="宋体"/>
          <w:b/>
          <w:sz w:val="32"/>
          <w:szCs w:val="32"/>
        </w:rPr>
        <w:br w:type="page"/>
      </w:r>
    </w:p>
    <w:p w14:paraId="5C3E6FAC">
      <w:pPr>
        <w:spacing w:line="360" w:lineRule="auto"/>
        <w:outlineLvl w:val="2"/>
        <w:rPr>
          <w:rFonts w:ascii="宋体" w:hAnsi="宋体"/>
          <w:sz w:val="24"/>
        </w:rPr>
      </w:pPr>
      <w:r>
        <w:rPr>
          <w:rFonts w:ascii="宋体" w:hAnsi="宋体"/>
          <w:sz w:val="24"/>
          <w:szCs w:val="20"/>
        </w:rPr>
        <w:t xml:space="preserve">1 </w:t>
      </w:r>
      <w:r>
        <w:rPr>
          <w:rFonts w:ascii="宋体" w:hAnsi="宋体"/>
          <w:sz w:val="24"/>
        </w:rPr>
        <w:t>满足《中华人民共和国政府采购法》第二十二条规定</w:t>
      </w:r>
    </w:p>
    <w:p w14:paraId="624EFFD6">
      <w:pPr>
        <w:spacing w:line="360" w:lineRule="auto"/>
        <w:outlineLvl w:val="2"/>
        <w:rPr>
          <w:rFonts w:ascii="宋体" w:hAnsi="宋体"/>
          <w:sz w:val="24"/>
          <w:szCs w:val="20"/>
        </w:rPr>
      </w:pPr>
      <w:r>
        <w:rPr>
          <w:rFonts w:ascii="宋体" w:hAnsi="宋体"/>
          <w:sz w:val="24"/>
          <w:szCs w:val="20"/>
        </w:rPr>
        <w:t>1-1营业执照等证明文件</w:t>
      </w:r>
      <w:r>
        <w:rPr>
          <w:rFonts w:hint="eastAsia" w:ascii="宋体" w:hAnsi="宋体"/>
          <w:sz w:val="24"/>
        </w:rPr>
        <w:t>电子件</w:t>
      </w:r>
      <w:r>
        <w:rPr>
          <w:rFonts w:hint="eastAsia" w:ascii="宋体" w:hAnsi="宋体"/>
          <w:sz w:val="24"/>
          <w:szCs w:val="20"/>
        </w:rPr>
        <w:t>加盖投标单位公章</w:t>
      </w:r>
    </w:p>
    <w:p w14:paraId="0BB9933B">
      <w:pPr>
        <w:tabs>
          <w:tab w:val="left" w:pos="1080"/>
        </w:tabs>
        <w:snapToGrid w:val="0"/>
        <w:rPr>
          <w:rFonts w:ascii="宋体" w:hAnsi="宋体"/>
          <w:sz w:val="24"/>
        </w:rPr>
      </w:pPr>
    </w:p>
    <w:p w14:paraId="6951F3C8">
      <w:pPr>
        <w:spacing w:line="360" w:lineRule="auto"/>
        <w:outlineLvl w:val="2"/>
        <w:rPr>
          <w:rFonts w:ascii="宋体" w:hAnsi="宋体"/>
          <w:sz w:val="24"/>
          <w:szCs w:val="20"/>
        </w:rPr>
      </w:pPr>
      <w:r>
        <w:rPr>
          <w:rFonts w:ascii="宋体" w:hAnsi="宋体"/>
          <w:sz w:val="24"/>
        </w:rPr>
        <w:br w:type="page"/>
      </w:r>
      <w:r>
        <w:rPr>
          <w:rFonts w:ascii="宋体" w:hAnsi="宋体"/>
          <w:sz w:val="24"/>
          <w:szCs w:val="20"/>
        </w:rPr>
        <w:t>1-2 投标人资格声明书</w:t>
      </w:r>
    </w:p>
    <w:p w14:paraId="08022616">
      <w:pPr>
        <w:jc w:val="center"/>
        <w:rPr>
          <w:rFonts w:ascii="宋体" w:hAnsi="宋体"/>
          <w:b/>
          <w:sz w:val="36"/>
          <w:szCs w:val="36"/>
        </w:rPr>
      </w:pPr>
      <w:r>
        <w:rPr>
          <w:rFonts w:hint="eastAsia" w:ascii="宋体" w:hAnsi="宋体"/>
          <w:b/>
          <w:sz w:val="36"/>
          <w:szCs w:val="36"/>
        </w:rPr>
        <w:t>投标人资格声明书</w:t>
      </w:r>
    </w:p>
    <w:p w14:paraId="557BD91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B43D239">
      <w:pPr>
        <w:spacing w:line="360" w:lineRule="auto"/>
        <w:ind w:firstLine="480" w:firstLineChars="200"/>
        <w:rPr>
          <w:rFonts w:ascii="宋体" w:hAnsi="宋体"/>
          <w:sz w:val="24"/>
        </w:rPr>
      </w:pPr>
      <w:r>
        <w:rPr>
          <w:rFonts w:ascii="宋体" w:hAnsi="宋体"/>
          <w:sz w:val="24"/>
        </w:rPr>
        <w:t>在参与本次项目投标中，我单位承诺：</w:t>
      </w:r>
    </w:p>
    <w:p w14:paraId="43E49525">
      <w:pPr>
        <w:numPr>
          <w:ilvl w:val="0"/>
          <w:numId w:val="73"/>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33A8E60">
      <w:pPr>
        <w:numPr>
          <w:ilvl w:val="0"/>
          <w:numId w:val="73"/>
        </w:numPr>
        <w:spacing w:line="360" w:lineRule="auto"/>
        <w:ind w:left="1134"/>
        <w:rPr>
          <w:rFonts w:ascii="宋体" w:hAnsi="宋体"/>
          <w:sz w:val="24"/>
          <w:szCs w:val="22"/>
        </w:rPr>
      </w:pPr>
      <w:r>
        <w:rPr>
          <w:rFonts w:ascii="宋体" w:hAnsi="宋体"/>
          <w:sz w:val="24"/>
          <w:szCs w:val="22"/>
        </w:rPr>
        <w:t>具有履行合同所必需的设备和专业技术能力；</w:t>
      </w:r>
    </w:p>
    <w:p w14:paraId="6874BBDC">
      <w:pPr>
        <w:numPr>
          <w:ilvl w:val="0"/>
          <w:numId w:val="73"/>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157CF98">
      <w:pPr>
        <w:numPr>
          <w:ilvl w:val="0"/>
          <w:numId w:val="73"/>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C3F0E9">
      <w:pPr>
        <w:numPr>
          <w:ilvl w:val="0"/>
          <w:numId w:val="73"/>
        </w:numPr>
        <w:spacing w:line="360" w:lineRule="auto"/>
        <w:ind w:left="1134"/>
        <w:rPr>
          <w:rFonts w:ascii="宋体" w:hAnsi="宋体"/>
          <w:sz w:val="24"/>
          <w:szCs w:val="22"/>
        </w:rPr>
      </w:pPr>
      <w:r>
        <w:rPr>
          <w:rFonts w:hint="eastAsia" w:ascii="宋体" w:hAnsi="宋体"/>
          <w:sz w:val="24"/>
          <w:szCs w:val="22"/>
        </w:rPr>
        <w:t>我单位不属于政府采购法律、行政法规规定的公益一类事业单位、或使用事业编制且由财政拨款保障的群团组织（仅适用于政府购买服务项目）；</w:t>
      </w:r>
    </w:p>
    <w:p w14:paraId="77FDC354">
      <w:pPr>
        <w:numPr>
          <w:ilvl w:val="0"/>
          <w:numId w:val="73"/>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D3B5F8E">
      <w:pPr>
        <w:numPr>
          <w:ilvl w:val="0"/>
          <w:numId w:val="73"/>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24"/>
        <w:tblW w:w="8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4574"/>
        <w:gridCol w:w="2976"/>
      </w:tblGrid>
      <w:tr w14:paraId="11272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49CDC17F">
            <w:pPr>
              <w:jc w:val="center"/>
              <w:rPr>
                <w:rFonts w:ascii="宋体" w:hAnsi="宋体"/>
                <w:sz w:val="24"/>
              </w:rPr>
            </w:pPr>
            <w:r>
              <w:rPr>
                <w:rFonts w:hint="eastAsia" w:ascii="宋体" w:hAnsi="宋体"/>
                <w:sz w:val="24"/>
              </w:rPr>
              <w:t>序号</w:t>
            </w:r>
          </w:p>
        </w:tc>
        <w:tc>
          <w:tcPr>
            <w:tcW w:w="4574" w:type="dxa"/>
            <w:vAlign w:val="center"/>
          </w:tcPr>
          <w:p w14:paraId="75850917">
            <w:pPr>
              <w:jc w:val="center"/>
              <w:rPr>
                <w:rFonts w:ascii="宋体" w:hAnsi="宋体"/>
                <w:sz w:val="24"/>
              </w:rPr>
            </w:pPr>
            <w:r>
              <w:rPr>
                <w:rFonts w:hint="eastAsia" w:ascii="宋体" w:hAnsi="宋体"/>
                <w:sz w:val="24"/>
              </w:rPr>
              <w:t>单位名称</w:t>
            </w:r>
          </w:p>
        </w:tc>
        <w:tc>
          <w:tcPr>
            <w:tcW w:w="2976" w:type="dxa"/>
            <w:vAlign w:val="center"/>
          </w:tcPr>
          <w:p w14:paraId="0BBA9D09">
            <w:pPr>
              <w:jc w:val="center"/>
              <w:rPr>
                <w:rFonts w:ascii="宋体" w:hAnsi="宋体"/>
                <w:sz w:val="24"/>
              </w:rPr>
            </w:pPr>
            <w:r>
              <w:rPr>
                <w:rFonts w:hint="eastAsia" w:ascii="宋体" w:hAnsi="宋体"/>
                <w:sz w:val="24"/>
              </w:rPr>
              <w:t>相互关系</w:t>
            </w:r>
          </w:p>
        </w:tc>
      </w:tr>
      <w:tr w14:paraId="536F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2648B1BB">
            <w:pPr>
              <w:jc w:val="center"/>
              <w:rPr>
                <w:rFonts w:ascii="宋体" w:hAnsi="宋体"/>
                <w:sz w:val="24"/>
              </w:rPr>
            </w:pPr>
            <w:r>
              <w:rPr>
                <w:rFonts w:hint="eastAsia" w:ascii="宋体" w:hAnsi="宋体"/>
                <w:sz w:val="24"/>
              </w:rPr>
              <w:t>1</w:t>
            </w:r>
          </w:p>
        </w:tc>
        <w:tc>
          <w:tcPr>
            <w:tcW w:w="4574" w:type="dxa"/>
            <w:vAlign w:val="center"/>
          </w:tcPr>
          <w:p w14:paraId="4DD70B81">
            <w:pPr>
              <w:jc w:val="center"/>
              <w:rPr>
                <w:rFonts w:ascii="宋体" w:hAnsi="宋体"/>
                <w:sz w:val="24"/>
              </w:rPr>
            </w:pPr>
          </w:p>
        </w:tc>
        <w:tc>
          <w:tcPr>
            <w:tcW w:w="2976" w:type="dxa"/>
            <w:vAlign w:val="center"/>
          </w:tcPr>
          <w:p w14:paraId="4DE13306">
            <w:pPr>
              <w:jc w:val="center"/>
              <w:rPr>
                <w:rFonts w:ascii="宋体" w:hAnsi="宋体"/>
                <w:sz w:val="24"/>
              </w:rPr>
            </w:pPr>
          </w:p>
        </w:tc>
      </w:tr>
      <w:tr w14:paraId="2D1AE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6D32B170">
            <w:pPr>
              <w:jc w:val="center"/>
              <w:rPr>
                <w:rFonts w:ascii="宋体" w:hAnsi="宋体"/>
                <w:sz w:val="24"/>
              </w:rPr>
            </w:pPr>
            <w:r>
              <w:rPr>
                <w:rFonts w:hint="eastAsia" w:ascii="宋体" w:hAnsi="宋体"/>
                <w:sz w:val="24"/>
              </w:rPr>
              <w:t>2</w:t>
            </w:r>
          </w:p>
        </w:tc>
        <w:tc>
          <w:tcPr>
            <w:tcW w:w="4574" w:type="dxa"/>
            <w:vAlign w:val="center"/>
          </w:tcPr>
          <w:p w14:paraId="4CCDFE83">
            <w:pPr>
              <w:jc w:val="center"/>
              <w:rPr>
                <w:rFonts w:ascii="宋体" w:hAnsi="宋体"/>
                <w:sz w:val="24"/>
              </w:rPr>
            </w:pPr>
          </w:p>
        </w:tc>
        <w:tc>
          <w:tcPr>
            <w:tcW w:w="2976" w:type="dxa"/>
            <w:vAlign w:val="center"/>
          </w:tcPr>
          <w:p w14:paraId="15A9C5ED">
            <w:pPr>
              <w:jc w:val="center"/>
              <w:rPr>
                <w:rFonts w:ascii="宋体" w:hAnsi="宋体"/>
                <w:sz w:val="24"/>
              </w:rPr>
            </w:pPr>
          </w:p>
        </w:tc>
      </w:tr>
      <w:tr w14:paraId="744C7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853" w:type="dxa"/>
            <w:vAlign w:val="center"/>
          </w:tcPr>
          <w:p w14:paraId="7B7E73AD">
            <w:pPr>
              <w:jc w:val="center"/>
              <w:rPr>
                <w:rFonts w:ascii="宋体" w:hAnsi="宋体"/>
                <w:sz w:val="24"/>
              </w:rPr>
            </w:pPr>
            <w:r>
              <w:rPr>
                <w:rFonts w:hint="eastAsia" w:ascii="宋体" w:hAnsi="宋体"/>
                <w:sz w:val="24"/>
              </w:rPr>
              <w:t>…</w:t>
            </w:r>
          </w:p>
        </w:tc>
        <w:tc>
          <w:tcPr>
            <w:tcW w:w="4574" w:type="dxa"/>
            <w:vAlign w:val="center"/>
          </w:tcPr>
          <w:p w14:paraId="3D28BEEA">
            <w:pPr>
              <w:jc w:val="center"/>
              <w:rPr>
                <w:rFonts w:ascii="宋体" w:hAnsi="宋体"/>
                <w:sz w:val="24"/>
              </w:rPr>
            </w:pPr>
          </w:p>
        </w:tc>
        <w:tc>
          <w:tcPr>
            <w:tcW w:w="2976" w:type="dxa"/>
            <w:vAlign w:val="center"/>
          </w:tcPr>
          <w:p w14:paraId="5F30F5A4">
            <w:pPr>
              <w:jc w:val="center"/>
              <w:rPr>
                <w:rFonts w:ascii="宋体" w:hAnsi="宋体"/>
                <w:sz w:val="24"/>
              </w:rPr>
            </w:pPr>
          </w:p>
        </w:tc>
      </w:tr>
    </w:tbl>
    <w:p w14:paraId="35935542">
      <w:pPr>
        <w:ind w:firstLine="480" w:firstLineChars="200"/>
        <w:rPr>
          <w:rFonts w:ascii="宋体" w:hAnsi="宋体"/>
          <w:sz w:val="24"/>
          <w:szCs w:val="22"/>
        </w:rPr>
      </w:pPr>
      <w:r>
        <w:rPr>
          <w:rFonts w:ascii="宋体" w:hAnsi="宋体"/>
          <w:sz w:val="24"/>
        </w:rPr>
        <w:t>上述声明真实有效，否则我方负全部责任。</w:t>
      </w:r>
    </w:p>
    <w:p w14:paraId="703A84E3">
      <w:pPr>
        <w:spacing w:line="360" w:lineRule="auto"/>
        <w:rPr>
          <w:rFonts w:ascii="宋体" w:hAnsi="宋体"/>
          <w:sz w:val="24"/>
        </w:rPr>
      </w:pPr>
    </w:p>
    <w:p w14:paraId="1008F659">
      <w:pPr>
        <w:wordWrap w:val="0"/>
        <w:autoSpaceDE w:val="0"/>
        <w:autoSpaceDN w:val="0"/>
        <w:adjustRightInd w:val="0"/>
        <w:snapToGrid w:val="0"/>
        <w:spacing w:before="25" w:after="25" w:line="360" w:lineRule="auto"/>
        <w:jc w:val="center"/>
        <w:rPr>
          <w:rFonts w:ascii="宋体" w:hAnsi="宋体"/>
          <w:sz w:val="24"/>
          <w:u w:val="single"/>
        </w:rPr>
      </w:pPr>
      <w:r>
        <w:rPr>
          <w:rFonts w:hint="eastAsia" w:ascii="宋体" w:hAnsi="宋体"/>
          <w:sz w:val="24"/>
        </w:rPr>
        <w:t xml:space="preserve">                              </w:t>
      </w:r>
      <w:r>
        <w:rPr>
          <w:rFonts w:ascii="宋体" w:hAnsi="宋体"/>
          <w:sz w:val="24"/>
        </w:rPr>
        <w:t>投标人名称（加盖公章）</w:t>
      </w:r>
      <w:r>
        <w:rPr>
          <w:rFonts w:ascii="宋体" w:hAnsi="宋体"/>
          <w:sz w:val="24"/>
          <w:lang w:val="zh-CN"/>
        </w:rPr>
        <w:t>：</w:t>
      </w:r>
      <w:r>
        <w:rPr>
          <w:rFonts w:hint="eastAsia" w:ascii="宋体" w:hAnsi="宋体"/>
          <w:sz w:val="24"/>
          <w:u w:val="single"/>
        </w:rPr>
        <w:t xml:space="preserve">             </w:t>
      </w:r>
    </w:p>
    <w:p w14:paraId="42DF6DCD">
      <w:pPr>
        <w:spacing w:line="360" w:lineRule="auto"/>
        <w:ind w:right="360" w:firstLine="480"/>
        <w:jc w:val="right"/>
        <w:rPr>
          <w:rFonts w:ascii="宋体" w:hAnsi="宋体"/>
          <w:sz w:val="24"/>
        </w:rPr>
      </w:pPr>
      <w:r>
        <w:rPr>
          <w:rFonts w:ascii="宋体" w:hAnsi="宋体"/>
          <w:sz w:val="24"/>
          <w:szCs w:val="20"/>
        </w:rPr>
        <w:t>日期：_____年_____月_____日</w:t>
      </w:r>
    </w:p>
    <w:p w14:paraId="10843787">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3B52F8A8">
      <w:pPr>
        <w:tabs>
          <w:tab w:val="left" w:pos="5580"/>
        </w:tabs>
        <w:spacing w:line="360" w:lineRule="auto"/>
        <w:rPr>
          <w:rFonts w:ascii="宋体" w:hAnsi="宋体"/>
          <w:sz w:val="24"/>
        </w:rPr>
        <w:sectPr>
          <w:headerReference r:id="rId16" w:type="default"/>
          <w:footerReference r:id="rId17" w:type="default"/>
          <w:pgSz w:w="11907" w:h="16840"/>
          <w:pgMar w:top="1440" w:right="1800" w:bottom="1440" w:left="1800" w:header="851" w:footer="851" w:gutter="0"/>
          <w:cols w:space="720" w:num="1"/>
          <w:docGrid w:linePitch="462" w:charSpace="0"/>
        </w:sectPr>
      </w:pPr>
    </w:p>
    <w:p w14:paraId="791A0ADC">
      <w:pPr>
        <w:spacing w:line="360" w:lineRule="auto"/>
        <w:outlineLvl w:val="2"/>
        <w:rPr>
          <w:rFonts w:ascii="宋体" w:hAnsi="宋体"/>
          <w:sz w:val="24"/>
        </w:rPr>
      </w:pPr>
      <w:r>
        <w:rPr>
          <w:rFonts w:hint="eastAsia" w:ascii="宋体" w:hAnsi="宋体"/>
          <w:sz w:val="24"/>
          <w:szCs w:val="20"/>
        </w:rPr>
        <w:t>2</w:t>
      </w:r>
      <w:r>
        <w:rPr>
          <w:rFonts w:ascii="宋体" w:hAnsi="宋体"/>
          <w:sz w:val="24"/>
          <w:szCs w:val="20"/>
        </w:rPr>
        <w:t xml:space="preserve"> </w:t>
      </w:r>
      <w:r>
        <w:rPr>
          <w:rFonts w:ascii="宋体" w:hAnsi="宋体"/>
          <w:sz w:val="24"/>
        </w:rPr>
        <w:t>本项目的特定资格要求</w:t>
      </w:r>
      <w:r>
        <w:rPr>
          <w:rFonts w:ascii="宋体" w:hAnsi="宋体"/>
          <w:sz w:val="24"/>
          <w:szCs w:val="20"/>
        </w:rPr>
        <w:t>（如有）</w:t>
      </w:r>
    </w:p>
    <w:p w14:paraId="771FA536">
      <w:pPr>
        <w:pStyle w:val="11"/>
        <w:spacing w:line="360" w:lineRule="auto"/>
        <w:ind w:firstLine="480" w:firstLineChars="200"/>
        <w:rPr>
          <w:b w:val="0"/>
        </w:rPr>
      </w:pPr>
    </w:p>
    <w:p w14:paraId="1411FC3C">
      <w:pPr>
        <w:pStyle w:val="11"/>
        <w:spacing w:line="360" w:lineRule="auto"/>
        <w:ind w:firstLine="480" w:firstLineChars="200"/>
        <w:rPr>
          <w:b w:val="0"/>
        </w:rPr>
      </w:pPr>
    </w:p>
    <w:p w14:paraId="110647C4">
      <w:pPr>
        <w:pStyle w:val="11"/>
        <w:spacing w:line="360" w:lineRule="auto"/>
        <w:ind w:firstLine="480" w:firstLineChars="200"/>
        <w:rPr>
          <w:b w:val="0"/>
        </w:rPr>
      </w:pPr>
      <w:r>
        <w:rPr>
          <w:b w:val="0"/>
        </w:rPr>
        <w:t>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38FBE5FF">
      <w:pPr>
        <w:pStyle w:val="11"/>
        <w:spacing w:line="360" w:lineRule="auto"/>
        <w:ind w:firstLine="480" w:firstLineChars="200"/>
        <w:rPr>
          <w:b w:val="0"/>
        </w:rPr>
      </w:pPr>
      <w:r>
        <w:rPr>
          <w:b w:val="0"/>
        </w:rPr>
        <w:t>注：本项不需投标人提供证明文件，以资格审查前采购人或采购代理机构网上查询结果为准，并由采购代理机构留存查询结果截图。</w:t>
      </w:r>
    </w:p>
    <w:p w14:paraId="32B33F87">
      <w:pPr>
        <w:pStyle w:val="11"/>
        <w:spacing w:line="360" w:lineRule="auto"/>
        <w:rPr>
          <w:b w:val="0"/>
        </w:rPr>
      </w:pPr>
    </w:p>
    <w:p w14:paraId="2198FA5B">
      <w:pPr>
        <w:pStyle w:val="11"/>
        <w:spacing w:line="360" w:lineRule="auto"/>
        <w:ind w:firstLine="480" w:firstLineChars="200"/>
        <w:rPr>
          <w:b w:val="0"/>
        </w:rPr>
      </w:pPr>
      <w:r>
        <w:rPr>
          <w:b w:val="0"/>
        </w:rPr>
        <w:t>2.投标产品属于医疗器械的，供应商如为代理商，应具有合法的医疗器械经营资格；供应商如为制造商，使用自身生产的产品投标时，应具有合法的医疗器械生产资格。</w:t>
      </w:r>
    </w:p>
    <w:p w14:paraId="04C94682">
      <w:pPr>
        <w:pStyle w:val="11"/>
        <w:spacing w:line="360" w:lineRule="auto"/>
        <w:ind w:firstLine="480" w:firstLineChars="200"/>
        <w:rPr>
          <w:b w:val="0"/>
        </w:rPr>
      </w:pPr>
      <w:r>
        <w:rPr>
          <w:b w:val="0"/>
        </w:rPr>
        <w:t>注：提供</w:t>
      </w:r>
      <w:r>
        <w:rPr>
          <w:rFonts w:hint="eastAsia"/>
          <w:b w:val="0"/>
        </w:rPr>
        <w:t>相关</w:t>
      </w:r>
      <w:r>
        <w:rPr>
          <w:b w:val="0"/>
        </w:rPr>
        <w:t>证书电子件并加盖单位公章。</w:t>
      </w:r>
    </w:p>
    <w:p w14:paraId="38A2ADB6">
      <w:pPr>
        <w:rPr>
          <w:rFonts w:ascii="宋体" w:hAnsi="宋体"/>
          <w:sz w:val="24"/>
          <w:szCs w:val="20"/>
        </w:rPr>
      </w:pPr>
      <w:r>
        <w:rPr>
          <w:rFonts w:ascii="宋体" w:hAnsi="宋体"/>
          <w:sz w:val="24"/>
          <w:szCs w:val="20"/>
        </w:rPr>
        <w:br w:type="page"/>
      </w:r>
    </w:p>
    <w:p w14:paraId="53EEF9B4">
      <w:pPr>
        <w:spacing w:line="360" w:lineRule="auto"/>
        <w:outlineLvl w:val="2"/>
        <w:rPr>
          <w:rFonts w:ascii="宋体" w:hAnsi="宋体"/>
          <w:sz w:val="24"/>
          <w:szCs w:val="20"/>
        </w:rPr>
      </w:pPr>
      <w:r>
        <w:rPr>
          <w:rFonts w:hint="eastAsia" w:ascii="宋体" w:hAnsi="宋体"/>
          <w:sz w:val="24"/>
          <w:szCs w:val="20"/>
        </w:rPr>
        <w:t>3</w:t>
      </w:r>
      <w:r>
        <w:rPr>
          <w:rFonts w:ascii="宋体" w:hAnsi="宋体"/>
          <w:sz w:val="24"/>
          <w:szCs w:val="20"/>
        </w:rPr>
        <w:t xml:space="preserve"> 投标保证金</w:t>
      </w:r>
      <w:r>
        <w:rPr>
          <w:rFonts w:hint="eastAsia" w:ascii="宋体" w:hAnsi="宋体"/>
          <w:sz w:val="24"/>
          <w:szCs w:val="20"/>
        </w:rPr>
        <w:t>提交凭证/</w:t>
      </w:r>
      <w:r>
        <w:rPr>
          <w:rFonts w:ascii="宋体" w:hAnsi="宋体"/>
          <w:sz w:val="24"/>
          <w:szCs w:val="20"/>
        </w:rPr>
        <w:t>交款单据</w:t>
      </w:r>
      <w:r>
        <w:rPr>
          <w:rFonts w:hint="eastAsia" w:ascii="宋体" w:hAnsi="宋体"/>
          <w:sz w:val="24"/>
        </w:rPr>
        <w:t>电子件</w:t>
      </w:r>
      <w:r>
        <w:rPr>
          <w:rFonts w:hint="eastAsia" w:ascii="宋体" w:hAnsi="宋体"/>
          <w:sz w:val="24"/>
          <w:szCs w:val="20"/>
        </w:rPr>
        <w:t>加盖投标单位公章</w:t>
      </w:r>
    </w:p>
    <w:p w14:paraId="11EE5F63">
      <w:pPr>
        <w:spacing w:line="360" w:lineRule="auto"/>
        <w:rPr>
          <w:rFonts w:ascii="宋体" w:hAnsi="宋体"/>
          <w:sz w:val="24"/>
          <w:szCs w:val="20"/>
        </w:rPr>
      </w:pPr>
    </w:p>
    <w:p w14:paraId="00CE0926">
      <w:pPr>
        <w:spacing w:line="360" w:lineRule="auto"/>
        <w:rPr>
          <w:rFonts w:ascii="宋体" w:hAnsi="宋体"/>
          <w:sz w:val="24"/>
          <w:szCs w:val="20"/>
        </w:rPr>
      </w:pPr>
    </w:p>
    <w:p w14:paraId="7B41A269">
      <w:pPr>
        <w:widowControl/>
        <w:jc w:val="left"/>
        <w:rPr>
          <w:rFonts w:ascii="宋体" w:hAnsi="宋体"/>
          <w:kern w:val="0"/>
          <w:sz w:val="24"/>
          <w:szCs w:val="20"/>
        </w:rPr>
      </w:pPr>
      <w:r>
        <w:rPr>
          <w:rFonts w:ascii="宋体" w:hAnsi="宋体"/>
          <w:sz w:val="24"/>
          <w:szCs w:val="20"/>
        </w:rPr>
        <w:br w:type="page"/>
      </w:r>
    </w:p>
    <w:p w14:paraId="20008B69">
      <w:pPr>
        <w:keepNext/>
        <w:keepLines/>
        <w:autoSpaceDE w:val="0"/>
        <w:autoSpaceDN w:val="0"/>
        <w:adjustRightInd w:val="0"/>
        <w:spacing w:before="120" w:line="300" w:lineRule="auto"/>
        <w:jc w:val="left"/>
        <w:outlineLvl w:val="1"/>
        <w:rPr>
          <w:rFonts w:ascii="宋体" w:hAnsi="宋体"/>
          <w:b/>
          <w:sz w:val="24"/>
        </w:rPr>
      </w:pPr>
      <w:r>
        <w:rPr>
          <w:rFonts w:ascii="宋体" w:hAnsi="宋体"/>
          <w:b/>
          <w:sz w:val="24"/>
        </w:rPr>
        <w:t>二、商务技术文件格式</w:t>
      </w:r>
    </w:p>
    <w:p w14:paraId="4FF10480">
      <w:pPr>
        <w:rPr>
          <w:rFonts w:ascii="宋体" w:hAnsi="宋体"/>
          <w:b/>
          <w:szCs w:val="21"/>
        </w:rPr>
      </w:pPr>
    </w:p>
    <w:p w14:paraId="6C4675AB">
      <w:pPr>
        <w:rPr>
          <w:rFonts w:ascii="宋体" w:hAnsi="宋体"/>
          <w:b/>
          <w:sz w:val="24"/>
        </w:rPr>
      </w:pPr>
      <w:r>
        <w:rPr>
          <w:rFonts w:ascii="宋体" w:hAnsi="宋体"/>
          <w:b/>
          <w:sz w:val="24"/>
        </w:rPr>
        <w:t>投标文件（商务技术文件）封面（非实质性格式）</w:t>
      </w:r>
    </w:p>
    <w:p w14:paraId="661D12C9">
      <w:pPr>
        <w:jc w:val="center"/>
        <w:rPr>
          <w:rFonts w:ascii="宋体" w:hAnsi="宋体"/>
          <w:szCs w:val="21"/>
        </w:rPr>
      </w:pPr>
    </w:p>
    <w:p w14:paraId="046697FE">
      <w:pPr>
        <w:jc w:val="center"/>
        <w:rPr>
          <w:rFonts w:ascii="宋体" w:hAnsi="宋体"/>
          <w:b/>
          <w:sz w:val="84"/>
          <w:szCs w:val="84"/>
        </w:rPr>
      </w:pPr>
      <w:r>
        <w:rPr>
          <w:rFonts w:ascii="宋体" w:hAnsi="宋体"/>
          <w:b/>
          <w:sz w:val="84"/>
          <w:szCs w:val="84"/>
        </w:rPr>
        <w:t>投标文件</w:t>
      </w:r>
    </w:p>
    <w:p w14:paraId="6EE19F1F">
      <w:pPr>
        <w:jc w:val="center"/>
        <w:rPr>
          <w:rFonts w:ascii="宋体" w:hAnsi="宋体"/>
          <w:b/>
          <w:sz w:val="52"/>
          <w:szCs w:val="52"/>
        </w:rPr>
      </w:pPr>
      <w:r>
        <w:rPr>
          <w:rFonts w:ascii="宋体" w:hAnsi="宋体"/>
          <w:b/>
          <w:sz w:val="52"/>
          <w:szCs w:val="52"/>
        </w:rPr>
        <w:t>（商务技术文件）</w:t>
      </w:r>
    </w:p>
    <w:p w14:paraId="60A25CC6">
      <w:pPr>
        <w:spacing w:line="360" w:lineRule="auto"/>
        <w:ind w:firstLine="482" w:firstLineChars="150"/>
        <w:rPr>
          <w:rFonts w:ascii="宋体" w:hAnsi="宋体"/>
          <w:b/>
          <w:sz w:val="32"/>
          <w:szCs w:val="32"/>
        </w:rPr>
      </w:pPr>
    </w:p>
    <w:p w14:paraId="4FCE0327">
      <w:pPr>
        <w:spacing w:line="360" w:lineRule="auto"/>
        <w:ind w:firstLine="482" w:firstLineChars="150"/>
        <w:rPr>
          <w:rFonts w:ascii="宋体" w:hAnsi="宋体"/>
          <w:b/>
          <w:sz w:val="32"/>
          <w:szCs w:val="32"/>
        </w:rPr>
      </w:pPr>
    </w:p>
    <w:p w14:paraId="2D5BC63C">
      <w:pPr>
        <w:spacing w:line="360" w:lineRule="auto"/>
        <w:ind w:firstLine="482" w:firstLineChars="150"/>
        <w:rPr>
          <w:rFonts w:ascii="宋体" w:hAnsi="宋体"/>
          <w:b/>
          <w:sz w:val="32"/>
          <w:szCs w:val="32"/>
        </w:rPr>
      </w:pPr>
      <w:r>
        <w:rPr>
          <w:rFonts w:ascii="宋体" w:hAnsi="宋体"/>
          <w:b/>
          <w:sz w:val="32"/>
          <w:szCs w:val="32"/>
        </w:rPr>
        <w:t>项目名称：</w:t>
      </w:r>
    </w:p>
    <w:p w14:paraId="34D0C82F">
      <w:pPr>
        <w:spacing w:line="360" w:lineRule="auto"/>
        <w:ind w:firstLine="482" w:firstLineChars="150"/>
        <w:rPr>
          <w:rFonts w:ascii="宋体" w:hAnsi="宋体"/>
          <w:b/>
          <w:sz w:val="32"/>
          <w:szCs w:val="32"/>
        </w:rPr>
      </w:pPr>
      <w:r>
        <w:rPr>
          <w:rFonts w:ascii="宋体" w:hAnsi="宋体"/>
          <w:b/>
          <w:sz w:val="32"/>
          <w:szCs w:val="32"/>
        </w:rPr>
        <w:t>项目编号：</w:t>
      </w:r>
    </w:p>
    <w:p w14:paraId="489C8B7D">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号：</w:t>
      </w:r>
    </w:p>
    <w:p w14:paraId="38A02123">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名</w:t>
      </w:r>
      <w:r>
        <w:rPr>
          <w:rFonts w:hint="eastAsia" w:ascii="宋体" w:hAnsi="宋体"/>
          <w:b/>
          <w:sz w:val="32"/>
          <w:szCs w:val="32"/>
        </w:rPr>
        <w:t xml:space="preserve"> </w:t>
      </w:r>
      <w:r>
        <w:rPr>
          <w:rFonts w:ascii="宋体" w:hAnsi="宋体"/>
          <w:b/>
          <w:sz w:val="32"/>
          <w:szCs w:val="32"/>
        </w:rPr>
        <w:t>称：</w:t>
      </w:r>
    </w:p>
    <w:p w14:paraId="722416AD">
      <w:pPr>
        <w:spacing w:line="360" w:lineRule="auto"/>
        <w:ind w:firstLine="482" w:firstLineChars="150"/>
        <w:rPr>
          <w:rFonts w:ascii="宋体" w:hAnsi="宋体"/>
          <w:b/>
          <w:sz w:val="32"/>
          <w:szCs w:val="32"/>
        </w:rPr>
      </w:pPr>
    </w:p>
    <w:p w14:paraId="6D86D851">
      <w:pPr>
        <w:spacing w:line="360" w:lineRule="auto"/>
        <w:ind w:firstLine="482" w:firstLineChars="150"/>
        <w:rPr>
          <w:rFonts w:ascii="宋体" w:hAnsi="宋体"/>
          <w:b/>
          <w:sz w:val="32"/>
          <w:szCs w:val="32"/>
        </w:rPr>
      </w:pPr>
    </w:p>
    <w:p w14:paraId="692583CC">
      <w:pPr>
        <w:spacing w:line="360" w:lineRule="auto"/>
        <w:ind w:firstLine="482" w:firstLineChars="150"/>
        <w:rPr>
          <w:rFonts w:ascii="宋体" w:hAnsi="宋体"/>
          <w:b/>
          <w:sz w:val="32"/>
          <w:szCs w:val="32"/>
        </w:rPr>
      </w:pPr>
    </w:p>
    <w:p w14:paraId="5F3E2A5C">
      <w:pPr>
        <w:spacing w:line="360" w:lineRule="auto"/>
        <w:ind w:firstLine="482" w:firstLineChars="150"/>
        <w:rPr>
          <w:rFonts w:ascii="宋体" w:hAnsi="宋体"/>
          <w:b/>
          <w:sz w:val="32"/>
          <w:szCs w:val="32"/>
        </w:rPr>
      </w:pPr>
    </w:p>
    <w:p w14:paraId="6EEBF1EC">
      <w:pPr>
        <w:spacing w:line="360" w:lineRule="auto"/>
        <w:ind w:firstLine="482" w:firstLineChars="150"/>
        <w:rPr>
          <w:rFonts w:ascii="宋体" w:hAnsi="宋体"/>
          <w:b/>
          <w:sz w:val="32"/>
          <w:szCs w:val="32"/>
        </w:rPr>
      </w:pPr>
    </w:p>
    <w:p w14:paraId="6CACD727">
      <w:pPr>
        <w:spacing w:line="360" w:lineRule="auto"/>
        <w:ind w:firstLine="482" w:firstLineChars="150"/>
        <w:rPr>
          <w:rFonts w:ascii="宋体" w:hAnsi="宋体"/>
          <w:b/>
          <w:sz w:val="32"/>
          <w:szCs w:val="32"/>
        </w:rPr>
      </w:pPr>
    </w:p>
    <w:p w14:paraId="3DC6ED14">
      <w:pPr>
        <w:spacing w:line="360" w:lineRule="auto"/>
        <w:ind w:firstLine="1285" w:firstLineChars="400"/>
        <w:jc w:val="left"/>
        <w:rPr>
          <w:rFonts w:ascii="宋体" w:hAnsi="宋体"/>
          <w:b/>
          <w:sz w:val="32"/>
          <w:szCs w:val="32"/>
        </w:rPr>
      </w:pPr>
      <w:r>
        <w:rPr>
          <w:rFonts w:ascii="宋体" w:hAnsi="宋体"/>
          <w:b/>
          <w:sz w:val="32"/>
          <w:szCs w:val="32"/>
        </w:rPr>
        <w:t>投标人名称：</w:t>
      </w:r>
    </w:p>
    <w:p w14:paraId="1381E020">
      <w:pPr>
        <w:spacing w:line="360" w:lineRule="auto"/>
        <w:jc w:val="center"/>
        <w:rPr>
          <w:rFonts w:ascii="宋体" w:hAnsi="宋体"/>
          <w:b/>
          <w:sz w:val="32"/>
          <w:szCs w:val="32"/>
        </w:rPr>
      </w:pPr>
    </w:p>
    <w:p w14:paraId="787FE684">
      <w:pPr>
        <w:widowControl/>
        <w:spacing w:line="360" w:lineRule="auto"/>
        <w:jc w:val="left"/>
        <w:rPr>
          <w:rFonts w:ascii="宋体" w:hAnsi="宋体"/>
          <w:b/>
          <w:sz w:val="24"/>
        </w:rPr>
      </w:pPr>
      <w:r>
        <w:rPr>
          <w:rFonts w:ascii="宋体" w:hAnsi="宋体"/>
          <w:b/>
          <w:sz w:val="24"/>
        </w:rPr>
        <w:br w:type="page"/>
      </w:r>
    </w:p>
    <w:p w14:paraId="5DBB4D50">
      <w:pPr>
        <w:spacing w:line="360" w:lineRule="auto"/>
        <w:outlineLvl w:val="2"/>
        <w:rPr>
          <w:rFonts w:ascii="宋体" w:hAnsi="宋体"/>
          <w:sz w:val="24"/>
          <w:szCs w:val="20"/>
        </w:rPr>
      </w:pPr>
      <w:bookmarkStart w:id="803" w:name="_Hlt520273711"/>
      <w:bookmarkEnd w:id="803"/>
      <w:bookmarkStart w:id="804" w:name="_Hlt520274121"/>
      <w:bookmarkEnd w:id="804"/>
      <w:bookmarkStart w:id="805" w:name="_Hlt520355504"/>
      <w:bookmarkEnd w:id="805"/>
      <w:bookmarkStart w:id="806" w:name="_Hlt520343392"/>
      <w:bookmarkEnd w:id="806"/>
      <w:bookmarkStart w:id="807" w:name="_Hlt520274407"/>
      <w:bookmarkEnd w:id="807"/>
      <w:bookmarkStart w:id="808" w:name="_Hlt520274065"/>
      <w:bookmarkEnd w:id="808"/>
      <w:bookmarkStart w:id="809" w:name="_Hlt520274393"/>
      <w:bookmarkEnd w:id="809"/>
      <w:bookmarkStart w:id="810" w:name="_Hlt520343000"/>
      <w:bookmarkEnd w:id="810"/>
      <w:bookmarkStart w:id="811" w:name="_Hlt520350918"/>
      <w:bookmarkEnd w:id="811"/>
      <w:bookmarkStart w:id="812" w:name="_Hlt520271212"/>
      <w:bookmarkEnd w:id="812"/>
      <w:bookmarkStart w:id="813" w:name="_Ref467988698"/>
      <w:bookmarkStart w:id="814" w:name="_Toc480942349"/>
      <w:bookmarkStart w:id="815" w:name="_Toc195842921"/>
      <w:bookmarkStart w:id="816" w:name="_Toc520356217"/>
      <w:bookmarkStart w:id="817" w:name="_Toc142311058"/>
      <w:bookmarkStart w:id="818" w:name="_Toc150774761"/>
      <w:bookmarkStart w:id="819" w:name="_Toc226965746"/>
      <w:bookmarkStart w:id="820" w:name="_Toc226965829"/>
      <w:bookmarkStart w:id="821" w:name="_Toc127151556"/>
      <w:bookmarkStart w:id="822" w:name="_Toc150480794"/>
      <w:bookmarkStart w:id="823" w:name="_Toc226309800"/>
      <w:bookmarkStart w:id="824" w:name="_Toc226337252"/>
      <w:r>
        <w:rPr>
          <w:rFonts w:ascii="宋体" w:hAnsi="宋体"/>
          <w:sz w:val="24"/>
        </w:rPr>
        <w:t>1</w:t>
      </w:r>
      <w:r>
        <w:rPr>
          <w:rFonts w:hint="eastAsia" w:ascii="宋体" w:hAnsi="宋体"/>
          <w:sz w:val="24"/>
        </w:rPr>
        <w:t xml:space="preserve">  </w:t>
      </w:r>
      <w:r>
        <w:rPr>
          <w:rFonts w:ascii="宋体" w:hAnsi="宋体"/>
          <w:sz w:val="24"/>
        </w:rPr>
        <w:t>投标</w:t>
      </w:r>
      <w:bookmarkEnd w:id="813"/>
      <w:bookmarkEnd w:id="814"/>
      <w:r>
        <w:rPr>
          <w:rFonts w:ascii="宋体" w:hAnsi="宋体"/>
          <w:sz w:val="24"/>
        </w:rPr>
        <w:t>书</w:t>
      </w:r>
      <w:bookmarkEnd w:id="815"/>
      <w:bookmarkEnd w:id="816"/>
      <w:bookmarkEnd w:id="817"/>
      <w:bookmarkEnd w:id="818"/>
      <w:bookmarkEnd w:id="819"/>
      <w:bookmarkEnd w:id="820"/>
      <w:bookmarkEnd w:id="821"/>
      <w:bookmarkEnd w:id="822"/>
      <w:bookmarkEnd w:id="823"/>
      <w:bookmarkEnd w:id="824"/>
      <w:r>
        <w:rPr>
          <w:rFonts w:ascii="宋体" w:hAnsi="宋体"/>
          <w:sz w:val="24"/>
          <w:szCs w:val="20"/>
        </w:rPr>
        <w:t>（实质性格式）</w:t>
      </w:r>
    </w:p>
    <w:p w14:paraId="7591DD89">
      <w:pPr>
        <w:tabs>
          <w:tab w:val="left" w:pos="5580"/>
        </w:tabs>
        <w:spacing w:line="360" w:lineRule="auto"/>
        <w:rPr>
          <w:rFonts w:ascii="宋体" w:hAnsi="宋体"/>
          <w:sz w:val="24"/>
        </w:rPr>
      </w:pPr>
    </w:p>
    <w:p w14:paraId="77ECCB0D">
      <w:pPr>
        <w:spacing w:line="360" w:lineRule="auto"/>
        <w:jc w:val="center"/>
        <w:rPr>
          <w:rFonts w:ascii="宋体" w:hAnsi="宋体"/>
          <w:b/>
          <w:sz w:val="36"/>
          <w:szCs w:val="36"/>
        </w:rPr>
      </w:pPr>
      <w:r>
        <w:rPr>
          <w:rFonts w:hint="eastAsia" w:ascii="宋体" w:hAnsi="宋体"/>
          <w:b/>
          <w:sz w:val="36"/>
          <w:szCs w:val="36"/>
        </w:rPr>
        <w:t>投标书</w:t>
      </w:r>
    </w:p>
    <w:p w14:paraId="52369C5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418C818">
      <w:pPr>
        <w:tabs>
          <w:tab w:val="left" w:pos="5580"/>
        </w:tabs>
        <w:spacing w:line="360" w:lineRule="auto"/>
        <w:rPr>
          <w:rFonts w:ascii="宋体" w:hAnsi="宋体"/>
          <w:sz w:val="24"/>
          <w:szCs w:val="20"/>
        </w:rPr>
      </w:pPr>
    </w:p>
    <w:p w14:paraId="15C0F852">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我方参加你方就___________（项目名称，项目编号）组织的招标活动，并对此项目进行投标。</w:t>
      </w:r>
    </w:p>
    <w:p w14:paraId="27030CBA">
      <w:pPr>
        <w:tabs>
          <w:tab w:val="left" w:pos="5580"/>
        </w:tabs>
        <w:spacing w:line="360" w:lineRule="auto"/>
        <w:ind w:firstLine="408"/>
        <w:rPr>
          <w:rFonts w:ascii="宋体" w:hAnsi="宋体"/>
          <w:sz w:val="24"/>
        </w:rPr>
      </w:pPr>
      <w:r>
        <w:rPr>
          <w:rFonts w:ascii="宋体" w:hAnsi="宋体"/>
          <w:sz w:val="24"/>
        </w:rPr>
        <w:t>1.我方已详细审查全部招标文件，自愿参与投标并承诺如下：</w:t>
      </w:r>
    </w:p>
    <w:p w14:paraId="3B0BF21E">
      <w:pPr>
        <w:tabs>
          <w:tab w:val="left" w:pos="5580"/>
        </w:tabs>
        <w:spacing w:line="360" w:lineRule="auto"/>
        <w:ind w:firstLine="408"/>
        <w:rPr>
          <w:rFonts w:ascii="宋体" w:hAnsi="宋体"/>
          <w:sz w:val="24"/>
        </w:rPr>
      </w:pPr>
      <w:r>
        <w:rPr>
          <w:rFonts w:ascii="宋体" w:hAnsi="宋体"/>
          <w:sz w:val="24"/>
        </w:rPr>
        <w:t>（1）本投标有效期为自提交投标文件的截止之日起</w:t>
      </w:r>
      <w:r>
        <w:rPr>
          <w:rFonts w:hint="eastAsia" w:ascii="宋体" w:hAnsi="宋体"/>
          <w:sz w:val="24"/>
          <w:u w:val="single"/>
        </w:rPr>
        <w:t xml:space="preserve"> 90 </w:t>
      </w:r>
      <w:r>
        <w:rPr>
          <w:rFonts w:ascii="宋体" w:hAnsi="宋体"/>
          <w:sz w:val="24"/>
        </w:rPr>
        <w:t>个日历日。</w:t>
      </w:r>
    </w:p>
    <w:p w14:paraId="54544BBA">
      <w:pPr>
        <w:tabs>
          <w:tab w:val="left" w:pos="5580"/>
        </w:tabs>
        <w:spacing w:line="360" w:lineRule="auto"/>
        <w:ind w:firstLine="408"/>
        <w:rPr>
          <w:rFonts w:ascii="宋体" w:hAnsi="宋体"/>
          <w:sz w:val="24"/>
        </w:rPr>
      </w:pPr>
      <w:r>
        <w:rPr>
          <w:rFonts w:ascii="宋体" w:hAnsi="宋体"/>
          <w:sz w:val="24"/>
        </w:rPr>
        <w:t>（2）除</w:t>
      </w:r>
      <w:r>
        <w:rPr>
          <w:rFonts w:hint="eastAsia" w:ascii="宋体" w:hAnsi="宋体"/>
          <w:sz w:val="24"/>
        </w:rPr>
        <w:t>商务</w:t>
      </w:r>
      <w:r>
        <w:rPr>
          <w:rFonts w:ascii="宋体" w:hAnsi="宋体"/>
          <w:sz w:val="24"/>
        </w:rPr>
        <w:t>条款及采购需求偏离表列出的偏离外，我方响应招标文件的全部要求。</w:t>
      </w:r>
    </w:p>
    <w:p w14:paraId="40EA0ED0">
      <w:pPr>
        <w:tabs>
          <w:tab w:val="left" w:pos="5580"/>
        </w:tabs>
        <w:spacing w:line="360" w:lineRule="auto"/>
        <w:ind w:firstLine="408"/>
        <w:rPr>
          <w:rFonts w:ascii="宋体" w:hAnsi="宋体"/>
          <w:sz w:val="24"/>
        </w:rPr>
      </w:pPr>
      <w:r>
        <w:rPr>
          <w:rFonts w:ascii="宋体" w:hAnsi="宋体"/>
          <w:sz w:val="24"/>
        </w:rPr>
        <w:t>（3）我方已提供的全部文件资料是真实、</w:t>
      </w:r>
      <w:r>
        <w:rPr>
          <w:rFonts w:hint="eastAsia" w:ascii="宋体" w:hAnsi="宋体"/>
          <w:sz w:val="24"/>
        </w:rPr>
        <w:t>有效</w:t>
      </w:r>
      <w:r>
        <w:rPr>
          <w:rFonts w:ascii="宋体" w:hAnsi="宋体"/>
          <w:sz w:val="24"/>
        </w:rPr>
        <w:t>的，并对此承担一切法律后果。</w:t>
      </w:r>
    </w:p>
    <w:p w14:paraId="6E471F25">
      <w:pPr>
        <w:tabs>
          <w:tab w:val="left" w:pos="5580"/>
        </w:tabs>
        <w:spacing w:line="360" w:lineRule="auto"/>
        <w:ind w:firstLine="408"/>
        <w:rPr>
          <w:rFonts w:ascii="宋体" w:hAnsi="宋体"/>
          <w:sz w:val="24"/>
        </w:rPr>
      </w:pPr>
      <w:r>
        <w:rPr>
          <w:rFonts w:ascii="宋体" w:hAnsi="宋体"/>
          <w:sz w:val="24"/>
        </w:rPr>
        <w:t>（4）如我方中标，我方将在法律规定的期限内与你方签订合同，按照招标文件要求提交履约保证金，并在合同约定的期限内完成合同规定的全部义务。</w:t>
      </w:r>
    </w:p>
    <w:p w14:paraId="3982C9A0">
      <w:pPr>
        <w:tabs>
          <w:tab w:val="left" w:pos="5580"/>
        </w:tabs>
        <w:spacing w:line="360" w:lineRule="auto"/>
        <w:ind w:firstLine="408"/>
        <w:rPr>
          <w:rFonts w:ascii="宋体" w:hAnsi="宋体"/>
          <w:sz w:val="24"/>
        </w:rPr>
      </w:pPr>
      <w:r>
        <w:rPr>
          <w:rFonts w:ascii="宋体" w:hAnsi="宋体"/>
          <w:sz w:val="24"/>
        </w:rPr>
        <w:t>2.其他补充条款（如有）：___________。</w:t>
      </w:r>
    </w:p>
    <w:p w14:paraId="697DCA47">
      <w:pPr>
        <w:tabs>
          <w:tab w:val="left" w:pos="5580"/>
        </w:tabs>
        <w:spacing w:line="360" w:lineRule="auto"/>
        <w:ind w:firstLine="408"/>
        <w:rPr>
          <w:rFonts w:ascii="宋体" w:hAnsi="宋体"/>
          <w:sz w:val="24"/>
        </w:rPr>
      </w:pPr>
      <w:r>
        <w:rPr>
          <w:rFonts w:ascii="宋体" w:hAnsi="宋体"/>
          <w:sz w:val="24"/>
        </w:rPr>
        <w:t>与本投标有关的一切正式往来信函请寄：</w:t>
      </w:r>
    </w:p>
    <w:p w14:paraId="19C5E6C1">
      <w:pPr>
        <w:tabs>
          <w:tab w:val="left" w:pos="5580"/>
        </w:tabs>
        <w:spacing w:line="360" w:lineRule="auto"/>
        <w:ind w:left="420"/>
        <w:rPr>
          <w:rFonts w:ascii="宋体" w:hAnsi="宋体"/>
          <w:sz w:val="24"/>
          <w:szCs w:val="20"/>
        </w:rPr>
      </w:pPr>
    </w:p>
    <w:p w14:paraId="58322F3C">
      <w:pPr>
        <w:tabs>
          <w:tab w:val="left" w:pos="5580"/>
        </w:tabs>
        <w:spacing w:line="360" w:lineRule="auto"/>
        <w:ind w:left="420"/>
        <w:rPr>
          <w:rFonts w:ascii="宋体" w:hAnsi="宋体"/>
          <w:sz w:val="24"/>
          <w:szCs w:val="20"/>
        </w:rPr>
      </w:pPr>
      <w:r>
        <w:rPr>
          <w:rFonts w:ascii="宋体" w:hAnsi="宋体"/>
          <w:sz w:val="24"/>
          <w:szCs w:val="20"/>
        </w:rPr>
        <w:t>地址：______________________     传真：___________________________</w:t>
      </w:r>
    </w:p>
    <w:p w14:paraId="184B08AF">
      <w:pPr>
        <w:tabs>
          <w:tab w:val="left" w:pos="5580"/>
        </w:tabs>
        <w:spacing w:line="360" w:lineRule="auto"/>
        <w:ind w:left="420"/>
        <w:rPr>
          <w:rFonts w:ascii="宋体" w:hAnsi="宋体"/>
          <w:sz w:val="24"/>
          <w:szCs w:val="20"/>
        </w:rPr>
      </w:pPr>
      <w:r>
        <w:rPr>
          <w:rFonts w:ascii="宋体" w:hAnsi="宋体"/>
          <w:sz w:val="24"/>
          <w:szCs w:val="20"/>
        </w:rPr>
        <w:t>电话：______________________     电子函件：_______________________</w:t>
      </w:r>
    </w:p>
    <w:p w14:paraId="1198ED08">
      <w:pPr>
        <w:tabs>
          <w:tab w:val="left" w:pos="5580"/>
        </w:tabs>
        <w:spacing w:line="360" w:lineRule="auto"/>
        <w:ind w:left="420"/>
        <w:rPr>
          <w:rFonts w:ascii="宋体" w:hAnsi="宋体"/>
          <w:sz w:val="24"/>
          <w:szCs w:val="20"/>
        </w:rPr>
      </w:pPr>
    </w:p>
    <w:p w14:paraId="32C9FC03">
      <w:pPr>
        <w:pStyle w:val="9"/>
        <w:ind w:left="840" w:hanging="420"/>
        <w:rPr>
          <w:rFonts w:ascii="宋体" w:hAnsi="宋体"/>
        </w:rPr>
      </w:pPr>
    </w:p>
    <w:p w14:paraId="09D5CA19">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69B6CDBD">
      <w:pPr>
        <w:tabs>
          <w:tab w:val="left" w:pos="5580"/>
        </w:tabs>
        <w:spacing w:line="360" w:lineRule="auto"/>
        <w:ind w:left="420"/>
        <w:rPr>
          <w:rFonts w:ascii="宋体" w:hAnsi="宋体"/>
          <w:sz w:val="24"/>
          <w:szCs w:val="20"/>
        </w:rPr>
      </w:pPr>
      <w:r>
        <w:rPr>
          <w:rFonts w:ascii="宋体" w:hAnsi="宋体"/>
          <w:sz w:val="24"/>
          <w:szCs w:val="20"/>
        </w:rPr>
        <w:t>日期：_____年______月______日</w:t>
      </w:r>
    </w:p>
    <w:p w14:paraId="24FFAF64">
      <w:pPr>
        <w:tabs>
          <w:tab w:val="left" w:pos="5580"/>
        </w:tabs>
        <w:spacing w:line="360" w:lineRule="auto"/>
        <w:ind w:left="420"/>
        <w:rPr>
          <w:rFonts w:ascii="宋体" w:hAnsi="宋体"/>
          <w:sz w:val="24"/>
          <w:szCs w:val="20"/>
          <w:u w:val="single"/>
        </w:rPr>
      </w:pPr>
    </w:p>
    <w:p w14:paraId="7FF86019">
      <w:pPr>
        <w:widowControl/>
        <w:jc w:val="left"/>
        <w:rPr>
          <w:rFonts w:ascii="宋体" w:hAnsi="宋体"/>
          <w:sz w:val="24"/>
        </w:rPr>
      </w:pPr>
      <w:bookmarkStart w:id="825" w:name="_Hlt520355938"/>
      <w:bookmarkEnd w:id="825"/>
      <w:bookmarkStart w:id="826" w:name="_Hlt520356243"/>
      <w:bookmarkEnd w:id="826"/>
      <w:bookmarkStart w:id="827" w:name="_Toc127151557"/>
      <w:bookmarkStart w:id="828" w:name="_Toc195842922"/>
      <w:bookmarkStart w:id="829" w:name="_Toc226309801"/>
      <w:bookmarkStart w:id="830" w:name="_Toc142311059"/>
      <w:bookmarkStart w:id="831" w:name="_Toc480942350"/>
      <w:bookmarkStart w:id="832" w:name="_Toc150480795"/>
      <w:bookmarkStart w:id="833" w:name="_Toc226965830"/>
      <w:bookmarkStart w:id="834" w:name="_Ref467988705"/>
      <w:bookmarkStart w:id="835" w:name="_Toc305158899"/>
      <w:bookmarkStart w:id="836" w:name="_Toc226337253"/>
      <w:bookmarkStart w:id="837" w:name="_Toc520356218"/>
      <w:bookmarkStart w:id="838" w:name="_Toc264969247"/>
      <w:bookmarkStart w:id="839" w:name="_Toc305158825"/>
      <w:bookmarkStart w:id="840" w:name="_Toc226965747"/>
      <w:bookmarkStart w:id="841" w:name="_Toc265228395"/>
      <w:bookmarkStart w:id="842" w:name="_Toc150774762"/>
      <w:r>
        <w:rPr>
          <w:rFonts w:ascii="宋体" w:hAnsi="宋体"/>
          <w:sz w:val="24"/>
        </w:rPr>
        <w:br w:type="page"/>
      </w:r>
    </w:p>
    <w:p w14:paraId="768B97F0">
      <w:pPr>
        <w:spacing w:line="360" w:lineRule="auto"/>
        <w:outlineLvl w:val="2"/>
        <w:rPr>
          <w:rFonts w:ascii="宋体" w:hAnsi="宋体"/>
          <w:sz w:val="24"/>
        </w:rPr>
      </w:pPr>
      <w:r>
        <w:rPr>
          <w:rFonts w:ascii="宋体" w:hAnsi="宋体"/>
          <w:sz w:val="24"/>
        </w:rPr>
        <w:t>2  授权委托书（实质性格式）</w:t>
      </w:r>
    </w:p>
    <w:p w14:paraId="6450D1F0">
      <w:pPr>
        <w:spacing w:line="360" w:lineRule="exact"/>
        <w:jc w:val="center"/>
        <w:rPr>
          <w:rFonts w:ascii="宋体" w:hAnsi="宋体"/>
          <w:b/>
          <w:sz w:val="36"/>
          <w:szCs w:val="36"/>
        </w:rPr>
      </w:pPr>
      <w:r>
        <w:rPr>
          <w:rFonts w:hint="eastAsia" w:ascii="宋体" w:hAnsi="宋体"/>
          <w:b/>
          <w:sz w:val="36"/>
          <w:szCs w:val="36"/>
        </w:rPr>
        <w:t>授权委托书</w:t>
      </w:r>
    </w:p>
    <w:p w14:paraId="0B92D8DB">
      <w:pPr>
        <w:spacing w:line="360" w:lineRule="auto"/>
        <w:ind w:firstLine="420"/>
        <w:rPr>
          <w:rFonts w:ascii="宋体" w:hAnsi="宋体"/>
          <w:sz w:val="24"/>
          <w:szCs w:val="20"/>
        </w:rPr>
      </w:pPr>
    </w:p>
    <w:p w14:paraId="1B95F5EB">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投标文件和</w:t>
      </w:r>
      <w:r>
        <w:rPr>
          <w:rFonts w:ascii="宋体" w:hAnsi="宋体"/>
          <w:sz w:val="24"/>
          <w:szCs w:val="20"/>
        </w:rPr>
        <w:t>处理有关事宜，其法律后果由我方承担。</w:t>
      </w:r>
    </w:p>
    <w:p w14:paraId="6308003A">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投标</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44FD9254">
      <w:pPr>
        <w:spacing w:line="360" w:lineRule="auto"/>
        <w:ind w:firstLine="420"/>
        <w:rPr>
          <w:rFonts w:ascii="宋体" w:hAnsi="宋体"/>
          <w:sz w:val="24"/>
          <w:lang w:val="zh-CN"/>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4EE37183">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或签章或印鉴）</w:t>
      </w:r>
      <w:r>
        <w:rPr>
          <w:rFonts w:ascii="宋体" w:hAnsi="宋体"/>
          <w:sz w:val="24"/>
          <w:szCs w:val="20"/>
        </w:rPr>
        <w:t>：</w:t>
      </w:r>
      <w:r>
        <w:rPr>
          <w:rFonts w:ascii="宋体" w:hAnsi="宋体"/>
          <w:sz w:val="24"/>
          <w:lang w:val="zh-CN"/>
        </w:rPr>
        <w:t>________________</w:t>
      </w:r>
    </w:p>
    <w:p w14:paraId="068695FF">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p>
    <w:p w14:paraId="7434FE39">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3009BF74">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hint="eastAsia" w:ascii="宋体" w:hAnsi="宋体"/>
          <w:sz w:val="24"/>
        </w:rPr>
        <w:t>电子件</w:t>
      </w:r>
      <w:r>
        <w:rPr>
          <w:rFonts w:ascii="宋体" w:hAnsi="宋体"/>
          <w:sz w:val="24"/>
          <w:szCs w:val="20"/>
        </w:rPr>
        <w:t>：</w:t>
      </w:r>
    </w:p>
    <w:tbl>
      <w:tblPr>
        <w:tblStyle w:val="24"/>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5D22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4077" w:type="dxa"/>
          </w:tcPr>
          <w:p w14:paraId="01028A9A">
            <w:pPr>
              <w:tabs>
                <w:tab w:val="left" w:pos="5580"/>
              </w:tabs>
              <w:spacing w:line="360" w:lineRule="auto"/>
              <w:jc w:val="left"/>
              <w:rPr>
                <w:rFonts w:ascii="宋体" w:hAnsi="宋体"/>
                <w:sz w:val="24"/>
                <w:szCs w:val="20"/>
              </w:rPr>
            </w:pPr>
          </w:p>
          <w:p w14:paraId="598BF808">
            <w:pPr>
              <w:tabs>
                <w:tab w:val="left" w:pos="5580"/>
              </w:tabs>
              <w:spacing w:line="360" w:lineRule="auto"/>
              <w:jc w:val="left"/>
              <w:rPr>
                <w:rFonts w:ascii="宋体" w:hAnsi="宋体"/>
                <w:sz w:val="24"/>
                <w:szCs w:val="20"/>
              </w:rPr>
            </w:pPr>
          </w:p>
        </w:tc>
        <w:tc>
          <w:tcPr>
            <w:tcW w:w="4395" w:type="dxa"/>
          </w:tcPr>
          <w:p w14:paraId="69B72CB0">
            <w:pPr>
              <w:tabs>
                <w:tab w:val="left" w:pos="5580"/>
              </w:tabs>
              <w:spacing w:line="360" w:lineRule="auto"/>
              <w:jc w:val="left"/>
              <w:rPr>
                <w:rFonts w:ascii="宋体" w:hAnsi="宋体"/>
                <w:sz w:val="24"/>
                <w:szCs w:val="20"/>
              </w:rPr>
            </w:pPr>
          </w:p>
          <w:p w14:paraId="333A42D1">
            <w:pPr>
              <w:tabs>
                <w:tab w:val="left" w:pos="5580"/>
              </w:tabs>
              <w:spacing w:line="360" w:lineRule="auto"/>
              <w:jc w:val="left"/>
              <w:rPr>
                <w:rFonts w:ascii="宋体" w:hAnsi="宋体"/>
                <w:sz w:val="24"/>
                <w:szCs w:val="20"/>
              </w:rPr>
            </w:pPr>
          </w:p>
        </w:tc>
      </w:tr>
    </w:tbl>
    <w:p w14:paraId="7E91AA18">
      <w:pPr>
        <w:tabs>
          <w:tab w:val="left" w:pos="5580"/>
        </w:tabs>
        <w:spacing w:line="360" w:lineRule="auto"/>
        <w:jc w:val="left"/>
        <w:rPr>
          <w:rFonts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rPr>
        <w:t>电子件</w:t>
      </w:r>
      <w:r>
        <w:rPr>
          <w:rFonts w:ascii="宋体" w:hAnsi="宋体"/>
          <w:sz w:val="24"/>
          <w:szCs w:val="20"/>
        </w:rPr>
        <w:t>：</w:t>
      </w:r>
    </w:p>
    <w:tbl>
      <w:tblPr>
        <w:tblStyle w:val="24"/>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520F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0" w:hRule="atLeast"/>
        </w:trPr>
        <w:tc>
          <w:tcPr>
            <w:tcW w:w="4077" w:type="dxa"/>
          </w:tcPr>
          <w:p w14:paraId="353743C5">
            <w:pPr>
              <w:tabs>
                <w:tab w:val="left" w:pos="5580"/>
              </w:tabs>
              <w:spacing w:line="360" w:lineRule="auto"/>
              <w:jc w:val="left"/>
              <w:rPr>
                <w:rFonts w:ascii="宋体" w:hAnsi="宋体"/>
                <w:sz w:val="24"/>
                <w:szCs w:val="20"/>
              </w:rPr>
            </w:pPr>
          </w:p>
          <w:p w14:paraId="242FA985">
            <w:pPr>
              <w:tabs>
                <w:tab w:val="left" w:pos="5580"/>
              </w:tabs>
              <w:spacing w:line="360" w:lineRule="auto"/>
              <w:jc w:val="left"/>
              <w:rPr>
                <w:rFonts w:ascii="宋体" w:hAnsi="宋体"/>
                <w:sz w:val="24"/>
                <w:szCs w:val="20"/>
              </w:rPr>
            </w:pPr>
          </w:p>
        </w:tc>
        <w:tc>
          <w:tcPr>
            <w:tcW w:w="4395" w:type="dxa"/>
          </w:tcPr>
          <w:p w14:paraId="53871BB2">
            <w:pPr>
              <w:tabs>
                <w:tab w:val="left" w:pos="5580"/>
              </w:tabs>
              <w:spacing w:line="360" w:lineRule="auto"/>
              <w:jc w:val="left"/>
              <w:rPr>
                <w:rFonts w:ascii="宋体" w:hAnsi="宋体"/>
                <w:sz w:val="24"/>
                <w:szCs w:val="20"/>
              </w:rPr>
            </w:pPr>
          </w:p>
          <w:p w14:paraId="013E6757">
            <w:pPr>
              <w:tabs>
                <w:tab w:val="left" w:pos="5580"/>
              </w:tabs>
              <w:spacing w:line="360" w:lineRule="auto"/>
              <w:jc w:val="left"/>
              <w:rPr>
                <w:rFonts w:ascii="宋体" w:hAnsi="宋体"/>
                <w:sz w:val="24"/>
                <w:szCs w:val="20"/>
              </w:rPr>
            </w:pPr>
          </w:p>
        </w:tc>
      </w:tr>
    </w:tbl>
    <w:p w14:paraId="2A9B5E24">
      <w:pPr>
        <w:tabs>
          <w:tab w:val="left" w:pos="5580"/>
        </w:tabs>
        <w:spacing w:line="276"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25774AD8">
      <w:pPr>
        <w:spacing w:line="276" w:lineRule="auto"/>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6C7F0A0C">
      <w:pPr>
        <w:spacing w:line="276" w:lineRule="auto"/>
        <w:rPr>
          <w:rFonts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0B1566F">
      <w:pPr>
        <w:spacing w:line="276" w:lineRule="auto"/>
        <w:rPr>
          <w:rFonts w:ascii="宋体" w:hAnsi="宋体"/>
          <w:sz w:val="24"/>
          <w:szCs w:val="20"/>
        </w:rPr>
      </w:pPr>
      <w:r>
        <w:rPr>
          <w:rFonts w:hint="eastAsia" w:ascii="宋体" w:hAnsi="宋体"/>
          <w:sz w:val="24"/>
          <w:szCs w:val="20"/>
        </w:rPr>
        <w:t>3.若投标文件中签字之处为委托代理人签字的，则供应商须提供本《授权委托书》，同时提供委托代理人的有效的身份证、护照等身份证明文件</w:t>
      </w:r>
      <w:r>
        <w:rPr>
          <w:rFonts w:hint="eastAsia" w:ascii="宋体" w:hAnsi="宋体"/>
          <w:sz w:val="24"/>
        </w:rPr>
        <w:t>电子件</w:t>
      </w:r>
      <w:r>
        <w:rPr>
          <w:rFonts w:hint="eastAsia" w:ascii="宋体" w:hAnsi="宋体"/>
          <w:sz w:val="24"/>
          <w:szCs w:val="20"/>
        </w:rPr>
        <w:t>（提供身份证的，应同时提供身份证双面</w:t>
      </w:r>
      <w:r>
        <w:rPr>
          <w:rFonts w:hint="eastAsia" w:ascii="宋体" w:hAnsi="宋体"/>
          <w:sz w:val="24"/>
        </w:rPr>
        <w:t>电子件</w:t>
      </w:r>
      <w:r>
        <w:rPr>
          <w:rFonts w:hint="eastAsia" w:ascii="宋体" w:hAnsi="宋体"/>
          <w:sz w:val="24"/>
          <w:szCs w:val="20"/>
        </w:rPr>
        <w:t>）及委托代理人的在职证明（提供有效期内的劳动合同或近6个月内任意一个月的社保缴纳证明</w:t>
      </w:r>
      <w:r>
        <w:rPr>
          <w:rFonts w:hint="eastAsia" w:ascii="宋体" w:hAnsi="宋体"/>
          <w:sz w:val="24"/>
        </w:rPr>
        <w:t>电子件</w:t>
      </w:r>
      <w:r>
        <w:rPr>
          <w:rFonts w:hint="eastAsia" w:ascii="宋体" w:hAnsi="宋体"/>
          <w:sz w:val="24"/>
          <w:szCs w:val="20"/>
        </w:rPr>
        <w:t>）并加盖供应商单位公章，否则</w:t>
      </w:r>
      <w:r>
        <w:rPr>
          <w:rFonts w:hint="eastAsia" w:ascii="宋体" w:hAnsi="宋体"/>
          <w:b/>
          <w:bCs/>
          <w:sz w:val="24"/>
          <w:szCs w:val="20"/>
        </w:rPr>
        <w:t>投标无效</w:t>
      </w:r>
      <w:r>
        <w:rPr>
          <w:rFonts w:hint="eastAsia" w:ascii="宋体" w:hAnsi="宋体"/>
          <w:sz w:val="24"/>
          <w:szCs w:val="20"/>
        </w:rPr>
        <w:t>。</w:t>
      </w:r>
    </w:p>
    <w:p w14:paraId="0E4DC5B5">
      <w:pPr>
        <w:spacing w:line="360" w:lineRule="exact"/>
        <w:jc w:val="left"/>
        <w:rPr>
          <w:rFonts w:ascii="宋体" w:hAnsi="宋体"/>
          <w:sz w:val="24"/>
          <w:szCs w:val="20"/>
        </w:rPr>
      </w:pPr>
      <w:r>
        <w:rPr>
          <w:rFonts w:hint="eastAsia" w:ascii="宋体" w:hAnsi="宋体"/>
          <w:sz w:val="24"/>
          <w:szCs w:val="20"/>
        </w:rPr>
        <w:t>4.供应商为自然人的情形，可不提供本《授权委托书》。</w:t>
      </w:r>
    </w:p>
    <w:p w14:paraId="58A65B03">
      <w:pPr>
        <w:jc w:val="left"/>
        <w:rPr>
          <w:rFonts w:ascii="宋体" w:hAnsi="宋体"/>
          <w:sz w:val="24"/>
          <w:szCs w:val="20"/>
        </w:rPr>
      </w:pPr>
    </w:p>
    <w:p w14:paraId="00FE6D04">
      <w:pPr>
        <w:spacing w:line="360" w:lineRule="auto"/>
        <w:rPr>
          <w:rFonts w:ascii="宋体" w:hAnsi="宋体"/>
          <w:sz w:val="24"/>
          <w:szCs w:val="20"/>
        </w:rPr>
      </w:pPr>
      <w:r>
        <w:rPr>
          <w:rFonts w:hint="eastAsia" w:ascii="宋体" w:hAnsi="宋体"/>
          <w:b/>
          <w:sz w:val="24"/>
          <w:szCs w:val="20"/>
        </w:rPr>
        <w:t>附件：</w:t>
      </w:r>
      <w:r>
        <w:rPr>
          <w:rFonts w:hint="eastAsia" w:ascii="宋体" w:hAnsi="宋体"/>
          <w:sz w:val="24"/>
          <w:szCs w:val="20"/>
        </w:rPr>
        <w:t>委托代理人的在职证明（提供有效期内的劳动合同或近6个月内任意一个月的社保缴纳证明</w:t>
      </w:r>
      <w:r>
        <w:rPr>
          <w:rFonts w:hint="eastAsia" w:ascii="宋体" w:hAnsi="宋体"/>
          <w:sz w:val="24"/>
        </w:rPr>
        <w:t>电子件</w:t>
      </w:r>
      <w:r>
        <w:rPr>
          <w:rFonts w:hint="eastAsia" w:ascii="宋体" w:hAnsi="宋体"/>
          <w:sz w:val="24"/>
          <w:szCs w:val="20"/>
        </w:rPr>
        <w:t>）</w:t>
      </w:r>
    </w:p>
    <w:p w14:paraId="3BA8EDA6">
      <w:pPr>
        <w:jc w:val="left"/>
        <w:rPr>
          <w:rFonts w:ascii="宋体" w:hAnsi="宋体"/>
          <w:sz w:val="24"/>
          <w:szCs w:val="20"/>
        </w:rPr>
      </w:pPr>
      <w:r>
        <w:rPr>
          <w:rFonts w:hint="eastAsia" w:ascii="宋体" w:hAnsi="宋体"/>
          <w:sz w:val="24"/>
          <w:szCs w:val="20"/>
        </w:rPr>
        <w:br w:type="page"/>
      </w:r>
    </w:p>
    <w:p w14:paraId="5AB1BFD0">
      <w:pPr>
        <w:spacing w:line="360" w:lineRule="exact"/>
        <w:jc w:val="center"/>
        <w:rPr>
          <w:rFonts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701870F1">
      <w:pPr>
        <w:kinsoku w:val="0"/>
        <w:overflowPunct w:val="0"/>
        <w:spacing w:line="200" w:lineRule="exact"/>
        <w:rPr>
          <w:rFonts w:ascii="宋体" w:hAnsi="宋体"/>
          <w:sz w:val="20"/>
          <w:szCs w:val="20"/>
        </w:rPr>
      </w:pPr>
    </w:p>
    <w:p w14:paraId="74B1BA58">
      <w:pPr>
        <w:tabs>
          <w:tab w:val="left" w:pos="5580"/>
        </w:tabs>
        <w:spacing w:line="360" w:lineRule="auto"/>
        <w:rPr>
          <w:rFonts w:ascii="宋体" w:hAnsi="宋体"/>
          <w:sz w:val="24"/>
        </w:rPr>
      </w:pPr>
    </w:p>
    <w:p w14:paraId="6146B847">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711874CD">
      <w:pPr>
        <w:pStyle w:val="7"/>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5245C3B9">
      <w:pPr>
        <w:pStyle w:val="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97275BC">
      <w:pPr>
        <w:pStyle w:val="7"/>
        <w:tabs>
          <w:tab w:val="left" w:pos="2412"/>
          <w:tab w:val="left" w:pos="3883"/>
          <w:tab w:val="left" w:pos="5352"/>
          <w:tab w:val="left" w:pos="6821"/>
        </w:tabs>
        <w:kinsoku w:val="0"/>
        <w:overflowPunct w:val="0"/>
        <w:spacing w:line="335" w:lineRule="exact"/>
      </w:pPr>
    </w:p>
    <w:p w14:paraId="171B8BDC">
      <w:pPr>
        <w:pStyle w:val="7"/>
        <w:tabs>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16D1333E">
      <w:pPr>
        <w:pStyle w:val="7"/>
        <w:tabs>
          <w:tab w:val="left" w:pos="2412"/>
          <w:tab w:val="left" w:pos="3883"/>
          <w:tab w:val="left" w:pos="5352"/>
          <w:tab w:val="left" w:pos="6821"/>
        </w:tabs>
        <w:kinsoku w:val="0"/>
        <w:overflowPunct w:val="0"/>
        <w:spacing w:line="335" w:lineRule="exact"/>
      </w:pPr>
    </w:p>
    <w:p w14:paraId="72A78D77">
      <w:pPr>
        <w:pStyle w:val="7"/>
        <w:tabs>
          <w:tab w:val="left" w:pos="2412"/>
          <w:tab w:val="left" w:pos="3883"/>
          <w:tab w:val="left" w:pos="5352"/>
          <w:tab w:val="left" w:pos="6821"/>
        </w:tabs>
        <w:kinsoku w:val="0"/>
        <w:overflowPunct w:val="0"/>
        <w:spacing w:line="335" w:lineRule="exact"/>
      </w:pPr>
    </w:p>
    <w:p w14:paraId="20EAF40F">
      <w:pPr>
        <w:pStyle w:val="7"/>
        <w:tabs>
          <w:tab w:val="left" w:pos="2412"/>
          <w:tab w:val="left" w:pos="3883"/>
          <w:tab w:val="left" w:pos="5352"/>
          <w:tab w:val="left" w:pos="6821"/>
        </w:tabs>
        <w:kinsoku w:val="0"/>
        <w:overflowPunct w:val="0"/>
        <w:spacing w:line="335" w:lineRule="exact"/>
      </w:pPr>
    </w:p>
    <w:p w14:paraId="70A1B797">
      <w:pPr>
        <w:pStyle w:val="7"/>
        <w:kinsoku w:val="0"/>
        <w:overflowPunct w:val="0"/>
        <w:spacing w:line="583" w:lineRule="auto"/>
        <w:ind w:right="-46"/>
      </w:pPr>
      <w:r>
        <w:t>附：</w:t>
      </w:r>
      <w:r>
        <w:rPr>
          <w:rFonts w:hint="eastAsia"/>
        </w:rPr>
        <w:t>法定代表人（单位负责人）身份证、护照等身份证明文件电子件</w:t>
      </w:r>
    </w:p>
    <w:tbl>
      <w:tblPr>
        <w:tblStyle w:val="24"/>
        <w:tblW w:w="8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157"/>
      </w:tblGrid>
      <w:tr w14:paraId="47C3B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4077" w:type="dxa"/>
          </w:tcPr>
          <w:p w14:paraId="070D1B63">
            <w:pPr>
              <w:tabs>
                <w:tab w:val="left" w:pos="5580"/>
              </w:tabs>
              <w:spacing w:line="360" w:lineRule="auto"/>
              <w:jc w:val="left"/>
              <w:rPr>
                <w:rFonts w:ascii="宋体" w:hAnsi="宋体"/>
                <w:sz w:val="24"/>
                <w:szCs w:val="20"/>
              </w:rPr>
            </w:pPr>
          </w:p>
          <w:p w14:paraId="1CE05E70">
            <w:pPr>
              <w:tabs>
                <w:tab w:val="left" w:pos="5580"/>
              </w:tabs>
              <w:spacing w:line="360" w:lineRule="auto"/>
              <w:jc w:val="left"/>
              <w:rPr>
                <w:rFonts w:ascii="宋体" w:hAnsi="宋体"/>
                <w:sz w:val="24"/>
                <w:szCs w:val="20"/>
              </w:rPr>
            </w:pPr>
          </w:p>
          <w:p w14:paraId="6693AE60">
            <w:pPr>
              <w:tabs>
                <w:tab w:val="left" w:pos="5580"/>
              </w:tabs>
              <w:spacing w:line="360" w:lineRule="auto"/>
              <w:jc w:val="left"/>
              <w:rPr>
                <w:rFonts w:ascii="宋体" w:hAnsi="宋体"/>
                <w:sz w:val="24"/>
                <w:szCs w:val="20"/>
              </w:rPr>
            </w:pPr>
          </w:p>
        </w:tc>
        <w:tc>
          <w:tcPr>
            <w:tcW w:w="4157" w:type="dxa"/>
          </w:tcPr>
          <w:p w14:paraId="4A9581D9">
            <w:pPr>
              <w:tabs>
                <w:tab w:val="left" w:pos="5580"/>
              </w:tabs>
              <w:spacing w:line="360" w:lineRule="auto"/>
              <w:jc w:val="left"/>
              <w:rPr>
                <w:rFonts w:ascii="宋体" w:hAnsi="宋体"/>
                <w:sz w:val="24"/>
                <w:szCs w:val="20"/>
              </w:rPr>
            </w:pPr>
          </w:p>
          <w:p w14:paraId="64A34E07">
            <w:pPr>
              <w:tabs>
                <w:tab w:val="left" w:pos="5580"/>
              </w:tabs>
              <w:spacing w:line="360" w:lineRule="auto"/>
              <w:jc w:val="left"/>
              <w:rPr>
                <w:rFonts w:ascii="宋体" w:hAnsi="宋体"/>
                <w:sz w:val="24"/>
                <w:szCs w:val="20"/>
              </w:rPr>
            </w:pPr>
          </w:p>
          <w:p w14:paraId="67F54778">
            <w:pPr>
              <w:tabs>
                <w:tab w:val="left" w:pos="5580"/>
              </w:tabs>
              <w:spacing w:line="360" w:lineRule="auto"/>
              <w:jc w:val="left"/>
              <w:rPr>
                <w:rFonts w:ascii="宋体" w:hAnsi="宋体"/>
                <w:sz w:val="24"/>
                <w:szCs w:val="20"/>
              </w:rPr>
            </w:pPr>
          </w:p>
        </w:tc>
      </w:tr>
    </w:tbl>
    <w:p w14:paraId="3AC887A3">
      <w:pPr>
        <w:pStyle w:val="7"/>
        <w:kinsoku w:val="0"/>
        <w:overflowPunct w:val="0"/>
        <w:spacing w:line="360" w:lineRule="auto"/>
        <w:ind w:right="4305"/>
      </w:pPr>
    </w:p>
    <w:p w14:paraId="3A085786">
      <w:pPr>
        <w:pStyle w:val="7"/>
        <w:kinsoku w:val="0"/>
        <w:overflowPunct w:val="0"/>
        <w:spacing w:line="360" w:lineRule="auto"/>
        <w:ind w:right="4305"/>
      </w:pPr>
    </w:p>
    <w:p w14:paraId="6D128B51">
      <w:pPr>
        <w:pStyle w:val="7"/>
        <w:kinsoku w:val="0"/>
        <w:overflowPunct w:val="0"/>
        <w:spacing w:line="360" w:lineRule="auto"/>
        <w:ind w:right="4305"/>
      </w:pPr>
    </w:p>
    <w:p w14:paraId="7B7781E2">
      <w:pPr>
        <w:pStyle w:val="7"/>
        <w:kinsoku w:val="0"/>
        <w:overflowPunct w:val="0"/>
        <w:spacing w:line="360" w:lineRule="auto"/>
        <w:ind w:right="4305"/>
      </w:pPr>
    </w:p>
    <w:p w14:paraId="32BEA4D4">
      <w:pPr>
        <w:pStyle w:val="7"/>
        <w:kinsoku w:val="0"/>
        <w:overflowPunct w:val="0"/>
        <w:spacing w:line="360" w:lineRule="auto"/>
        <w:ind w:right="4305"/>
      </w:pPr>
    </w:p>
    <w:p w14:paraId="56C617E1">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088EFBCB">
      <w:pPr>
        <w:pStyle w:val="7"/>
        <w:kinsoku w:val="0"/>
        <w:overflowPunct w:val="0"/>
        <w:spacing w:line="360" w:lineRule="auto"/>
        <w:ind w:right="95"/>
      </w:pPr>
      <w:r>
        <w:rPr>
          <w:rFonts w:hint="eastAsia"/>
        </w:rPr>
        <w:t>法定代表人（</w:t>
      </w:r>
      <w:r>
        <w:t>单位负责人</w:t>
      </w:r>
      <w:r>
        <w:rPr>
          <w:rFonts w:hint="eastAsia"/>
        </w:rPr>
        <w:t>）（</w:t>
      </w:r>
      <w:r>
        <w:rPr>
          <w:szCs w:val="20"/>
        </w:rPr>
        <w:t>签字</w:t>
      </w:r>
      <w:r>
        <w:rPr>
          <w:rFonts w:hint="eastAsia"/>
          <w:szCs w:val="20"/>
        </w:rPr>
        <w:t>或签章或印鉴</w:t>
      </w:r>
      <w:r>
        <w:rPr>
          <w:rFonts w:hint="eastAsia"/>
        </w:rPr>
        <w:t>）：_</w:t>
      </w:r>
      <w:r>
        <w:t>______</w:t>
      </w:r>
    </w:p>
    <w:p w14:paraId="705E412F">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6AF788E1">
      <w:pPr>
        <w:widowControl/>
        <w:spacing w:line="360" w:lineRule="auto"/>
        <w:jc w:val="left"/>
        <w:rPr>
          <w:rFonts w:ascii="宋体" w:hAnsi="宋体"/>
          <w:i/>
          <w:sz w:val="24"/>
          <w:szCs w:val="20"/>
          <w:u w:val="single"/>
        </w:rPr>
      </w:pPr>
    </w:p>
    <w:p w14:paraId="354B13A7">
      <w:pPr>
        <w:widowControl/>
        <w:spacing w:line="360" w:lineRule="auto"/>
        <w:jc w:val="left"/>
        <w:rPr>
          <w:rFonts w:ascii="宋体" w:hAnsi="宋体"/>
          <w:sz w:val="24"/>
          <w:szCs w:val="20"/>
        </w:rPr>
      </w:pPr>
      <w:r>
        <w:rPr>
          <w:rFonts w:ascii="宋体" w:hAnsi="宋体"/>
          <w:sz w:val="24"/>
          <w:szCs w:val="20"/>
        </w:rPr>
        <w:br w:type="page"/>
      </w:r>
    </w:p>
    <w:p w14:paraId="1C3DC782">
      <w:pPr>
        <w:spacing w:line="360" w:lineRule="auto"/>
        <w:outlineLvl w:val="2"/>
        <w:rPr>
          <w:rFonts w:ascii="宋体" w:hAnsi="宋体"/>
          <w:sz w:val="24"/>
          <w:szCs w:val="20"/>
        </w:rPr>
      </w:pPr>
      <w:r>
        <w:rPr>
          <w:rFonts w:ascii="宋体" w:hAnsi="宋体"/>
          <w:sz w:val="24"/>
          <w:szCs w:val="20"/>
        </w:rPr>
        <w:t>3  开标一览表</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rFonts w:ascii="宋体" w:hAnsi="宋体"/>
          <w:sz w:val="24"/>
          <w:szCs w:val="20"/>
        </w:rPr>
        <w:t>（实质性格式）</w:t>
      </w:r>
    </w:p>
    <w:p w14:paraId="091B97E7">
      <w:pPr>
        <w:pStyle w:val="53"/>
      </w:pPr>
    </w:p>
    <w:p w14:paraId="029F2BF3">
      <w:pPr>
        <w:spacing w:line="360" w:lineRule="exact"/>
        <w:jc w:val="center"/>
        <w:rPr>
          <w:rFonts w:ascii="宋体" w:hAnsi="宋体"/>
          <w:b/>
          <w:sz w:val="36"/>
          <w:szCs w:val="36"/>
        </w:rPr>
      </w:pPr>
      <w:bookmarkStart w:id="843" w:name="_Toc226965748"/>
      <w:bookmarkStart w:id="844" w:name="_Toc265228396"/>
      <w:bookmarkStart w:id="845" w:name="_Toc305158826"/>
      <w:bookmarkStart w:id="846" w:name="_Toc264969248"/>
      <w:bookmarkStart w:id="847" w:name="_Toc195842923"/>
      <w:bookmarkStart w:id="848" w:name="_Toc226309802"/>
      <w:bookmarkStart w:id="849" w:name="_Toc226337254"/>
      <w:bookmarkStart w:id="850" w:name="_Toc164608827"/>
      <w:bookmarkStart w:id="851" w:name="_Toc305158900"/>
      <w:bookmarkStart w:id="852" w:name="_Toc226965831"/>
      <w:bookmarkStart w:id="853" w:name="_Toc164608672"/>
      <w:r>
        <w:rPr>
          <w:rFonts w:hint="eastAsia" w:ascii="宋体" w:hAnsi="宋体"/>
          <w:b/>
          <w:sz w:val="36"/>
          <w:szCs w:val="36"/>
        </w:rPr>
        <w:t>开标一览表</w:t>
      </w:r>
      <w:bookmarkEnd w:id="843"/>
      <w:bookmarkEnd w:id="844"/>
      <w:bookmarkEnd w:id="845"/>
      <w:bookmarkEnd w:id="846"/>
      <w:bookmarkEnd w:id="847"/>
      <w:bookmarkEnd w:id="848"/>
      <w:bookmarkEnd w:id="849"/>
      <w:bookmarkEnd w:id="850"/>
      <w:bookmarkEnd w:id="851"/>
      <w:bookmarkEnd w:id="852"/>
      <w:bookmarkEnd w:id="853"/>
    </w:p>
    <w:p w14:paraId="2F65B124">
      <w:pPr>
        <w:tabs>
          <w:tab w:val="left" w:pos="1800"/>
          <w:tab w:val="left" w:pos="5580"/>
        </w:tabs>
        <w:spacing w:line="360" w:lineRule="auto"/>
        <w:jc w:val="left"/>
        <w:rPr>
          <w:rFonts w:ascii="宋体" w:hAnsi="宋体"/>
          <w:i/>
          <w:sz w:val="24"/>
        </w:rPr>
      </w:pPr>
    </w:p>
    <w:p w14:paraId="6B497DD5">
      <w:pPr>
        <w:tabs>
          <w:tab w:val="left" w:pos="1800"/>
          <w:tab w:val="left" w:pos="5580"/>
        </w:tabs>
        <w:spacing w:line="360" w:lineRule="auto"/>
        <w:jc w:val="left"/>
        <w:rPr>
          <w:rFonts w:ascii="宋体" w:hAnsi="宋体"/>
          <w:i/>
          <w:sz w:val="24"/>
        </w:rPr>
      </w:pPr>
    </w:p>
    <w:p w14:paraId="7D6D375B">
      <w:pPr>
        <w:tabs>
          <w:tab w:val="left" w:pos="1800"/>
          <w:tab w:val="left" w:pos="5580"/>
        </w:tabs>
        <w:spacing w:line="360" w:lineRule="auto"/>
        <w:jc w:val="left"/>
        <w:rPr>
          <w:rFonts w:ascii="宋体" w:hAnsi="宋体"/>
          <w:sz w:val="24"/>
          <w:u w:val="single"/>
        </w:rPr>
      </w:pPr>
      <w:r>
        <w:rPr>
          <w:rFonts w:ascii="宋体" w:hAnsi="宋体"/>
          <w:sz w:val="24"/>
        </w:rPr>
        <w:t>项目编号：_____________________     项目名称：____________</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3"/>
        <w:gridCol w:w="1984"/>
        <w:gridCol w:w="2740"/>
        <w:gridCol w:w="2500"/>
      </w:tblGrid>
      <w:tr w14:paraId="3148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657" w:type="pct"/>
            <w:vMerge w:val="restart"/>
            <w:vAlign w:val="center"/>
          </w:tcPr>
          <w:p w14:paraId="61F19C50">
            <w:pPr>
              <w:tabs>
                <w:tab w:val="left" w:pos="5580"/>
              </w:tabs>
              <w:jc w:val="center"/>
              <w:rPr>
                <w:rFonts w:ascii="宋体" w:hAnsi="宋体"/>
                <w:b/>
                <w:sz w:val="24"/>
              </w:rPr>
            </w:pPr>
            <w:r>
              <w:rPr>
                <w:rFonts w:hint="eastAsia" w:ascii="宋体" w:hAnsi="宋体"/>
                <w:b/>
                <w:sz w:val="24"/>
              </w:rPr>
              <w:t>包号</w:t>
            </w:r>
          </w:p>
        </w:tc>
        <w:tc>
          <w:tcPr>
            <w:tcW w:w="1193" w:type="pct"/>
            <w:vMerge w:val="restart"/>
            <w:vAlign w:val="center"/>
          </w:tcPr>
          <w:p w14:paraId="0D068574">
            <w:pPr>
              <w:tabs>
                <w:tab w:val="left" w:pos="5580"/>
              </w:tabs>
              <w:jc w:val="center"/>
              <w:rPr>
                <w:rFonts w:ascii="宋体" w:hAnsi="宋体"/>
                <w:b/>
                <w:sz w:val="24"/>
              </w:rPr>
            </w:pPr>
            <w:r>
              <w:rPr>
                <w:rFonts w:hint="eastAsia" w:ascii="宋体" w:hAnsi="宋体"/>
                <w:b/>
                <w:sz w:val="24"/>
              </w:rPr>
              <w:t>投标人名称</w:t>
            </w:r>
          </w:p>
        </w:tc>
        <w:tc>
          <w:tcPr>
            <w:tcW w:w="3150" w:type="pct"/>
            <w:gridSpan w:val="2"/>
            <w:vAlign w:val="center"/>
          </w:tcPr>
          <w:p w14:paraId="4E3A6531">
            <w:pPr>
              <w:tabs>
                <w:tab w:val="left" w:pos="5580"/>
              </w:tabs>
              <w:jc w:val="center"/>
              <w:rPr>
                <w:rFonts w:ascii="宋体" w:hAnsi="宋体"/>
                <w:b/>
                <w:sz w:val="24"/>
              </w:rPr>
            </w:pPr>
            <w:r>
              <w:rPr>
                <w:rFonts w:hint="eastAsia" w:ascii="宋体" w:hAnsi="宋体"/>
                <w:b/>
                <w:sz w:val="24"/>
              </w:rPr>
              <w:t>投标报价（元）</w:t>
            </w:r>
          </w:p>
        </w:tc>
      </w:tr>
      <w:tr w14:paraId="5873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657" w:type="pct"/>
            <w:vMerge w:val="continue"/>
            <w:vAlign w:val="center"/>
          </w:tcPr>
          <w:p w14:paraId="5619E901">
            <w:pPr>
              <w:tabs>
                <w:tab w:val="left" w:pos="5580"/>
              </w:tabs>
              <w:jc w:val="center"/>
              <w:rPr>
                <w:rFonts w:ascii="宋体" w:hAnsi="宋体"/>
                <w:b/>
                <w:sz w:val="24"/>
              </w:rPr>
            </w:pPr>
          </w:p>
        </w:tc>
        <w:tc>
          <w:tcPr>
            <w:tcW w:w="1193" w:type="pct"/>
            <w:vMerge w:val="continue"/>
            <w:vAlign w:val="center"/>
          </w:tcPr>
          <w:p w14:paraId="3B0CB8D6">
            <w:pPr>
              <w:tabs>
                <w:tab w:val="left" w:pos="5580"/>
              </w:tabs>
              <w:jc w:val="center"/>
              <w:rPr>
                <w:rFonts w:ascii="宋体" w:hAnsi="宋体"/>
                <w:b/>
                <w:sz w:val="24"/>
              </w:rPr>
            </w:pPr>
          </w:p>
        </w:tc>
        <w:tc>
          <w:tcPr>
            <w:tcW w:w="1647" w:type="pct"/>
            <w:vAlign w:val="center"/>
          </w:tcPr>
          <w:p w14:paraId="721BABAD">
            <w:pPr>
              <w:tabs>
                <w:tab w:val="left" w:pos="5580"/>
              </w:tabs>
              <w:jc w:val="center"/>
              <w:rPr>
                <w:rFonts w:ascii="宋体" w:hAnsi="宋体"/>
                <w:b/>
                <w:sz w:val="24"/>
              </w:rPr>
            </w:pPr>
            <w:r>
              <w:rPr>
                <w:rFonts w:hint="eastAsia" w:ascii="宋体" w:hAnsi="宋体"/>
                <w:b/>
                <w:sz w:val="24"/>
              </w:rPr>
              <w:t>大写</w:t>
            </w:r>
          </w:p>
        </w:tc>
        <w:tc>
          <w:tcPr>
            <w:tcW w:w="1503" w:type="pct"/>
            <w:vAlign w:val="center"/>
          </w:tcPr>
          <w:p w14:paraId="2A96060F">
            <w:pPr>
              <w:tabs>
                <w:tab w:val="left" w:pos="5580"/>
              </w:tabs>
              <w:jc w:val="center"/>
              <w:rPr>
                <w:rFonts w:ascii="宋体" w:hAnsi="宋体"/>
                <w:b/>
                <w:sz w:val="24"/>
              </w:rPr>
            </w:pPr>
            <w:r>
              <w:rPr>
                <w:rFonts w:hint="eastAsia" w:ascii="宋体" w:hAnsi="宋体"/>
                <w:b/>
                <w:sz w:val="24"/>
              </w:rPr>
              <w:t>小写</w:t>
            </w:r>
          </w:p>
        </w:tc>
      </w:tr>
      <w:tr w14:paraId="2EEF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jc w:val="center"/>
        </w:trPr>
        <w:tc>
          <w:tcPr>
            <w:tcW w:w="657" w:type="pct"/>
            <w:vAlign w:val="center"/>
          </w:tcPr>
          <w:p w14:paraId="553E64B3">
            <w:pPr>
              <w:tabs>
                <w:tab w:val="left" w:pos="5580"/>
              </w:tabs>
              <w:jc w:val="center"/>
              <w:rPr>
                <w:rFonts w:ascii="宋体" w:hAnsi="宋体"/>
                <w:sz w:val="24"/>
              </w:rPr>
            </w:pPr>
          </w:p>
        </w:tc>
        <w:tc>
          <w:tcPr>
            <w:tcW w:w="1193" w:type="pct"/>
            <w:vAlign w:val="center"/>
          </w:tcPr>
          <w:p w14:paraId="55A9F986">
            <w:pPr>
              <w:tabs>
                <w:tab w:val="left" w:pos="5580"/>
              </w:tabs>
              <w:jc w:val="left"/>
              <w:rPr>
                <w:rFonts w:ascii="宋体" w:hAnsi="宋体"/>
                <w:sz w:val="24"/>
              </w:rPr>
            </w:pPr>
          </w:p>
        </w:tc>
        <w:tc>
          <w:tcPr>
            <w:tcW w:w="1647" w:type="pct"/>
            <w:vAlign w:val="center"/>
          </w:tcPr>
          <w:p w14:paraId="74D662FE">
            <w:pPr>
              <w:tabs>
                <w:tab w:val="left" w:pos="5580"/>
              </w:tabs>
              <w:jc w:val="center"/>
              <w:rPr>
                <w:rFonts w:ascii="宋体" w:hAnsi="宋体"/>
                <w:sz w:val="24"/>
              </w:rPr>
            </w:pPr>
          </w:p>
        </w:tc>
        <w:tc>
          <w:tcPr>
            <w:tcW w:w="1503" w:type="pct"/>
            <w:vAlign w:val="center"/>
          </w:tcPr>
          <w:p w14:paraId="5FA097E4">
            <w:pPr>
              <w:tabs>
                <w:tab w:val="left" w:pos="5580"/>
              </w:tabs>
              <w:jc w:val="center"/>
              <w:rPr>
                <w:rFonts w:ascii="宋体" w:hAnsi="宋体"/>
                <w:sz w:val="24"/>
              </w:rPr>
            </w:pPr>
          </w:p>
        </w:tc>
      </w:tr>
    </w:tbl>
    <w:p w14:paraId="47A8C3A6">
      <w:pPr>
        <w:autoSpaceDE w:val="0"/>
        <w:autoSpaceDN w:val="0"/>
        <w:adjustRightInd w:val="0"/>
        <w:spacing w:line="360" w:lineRule="auto"/>
        <w:jc w:val="left"/>
        <w:rPr>
          <w:rFonts w:ascii="宋体" w:hAnsi="宋体" w:cs="宋体"/>
          <w:sz w:val="24"/>
          <w:szCs w:val="20"/>
        </w:rPr>
      </w:pPr>
      <w:r>
        <w:rPr>
          <w:rFonts w:ascii="宋体" w:hAnsi="宋体" w:cs="宋体"/>
          <w:sz w:val="24"/>
          <w:szCs w:val="20"/>
        </w:rPr>
        <w:t>注：</w:t>
      </w:r>
      <w:r>
        <w:rPr>
          <w:rFonts w:hint="eastAsia" w:ascii="宋体" w:hAnsi="宋体" w:cs="宋体"/>
          <w:sz w:val="24"/>
          <w:szCs w:val="20"/>
        </w:rPr>
        <w:t>1.此表中的投标报价应和《投标分项报价表》中的总价一致。</w:t>
      </w:r>
    </w:p>
    <w:p w14:paraId="30669797">
      <w:pPr>
        <w:autoSpaceDE w:val="0"/>
        <w:autoSpaceDN w:val="0"/>
        <w:adjustRightInd w:val="0"/>
        <w:spacing w:line="360" w:lineRule="auto"/>
        <w:jc w:val="left"/>
        <w:rPr>
          <w:rFonts w:ascii="宋体" w:hAnsi="宋体" w:cs="宋体"/>
          <w:sz w:val="24"/>
          <w:szCs w:val="20"/>
        </w:rPr>
      </w:pPr>
      <w:r>
        <w:rPr>
          <w:rFonts w:hint="eastAsia" w:ascii="宋体" w:hAnsi="宋体" w:cs="宋体"/>
          <w:sz w:val="24"/>
          <w:szCs w:val="20"/>
        </w:rPr>
        <w:t>2.如项目划分采购包，则本表必须按包分别填写</w:t>
      </w:r>
      <w:r>
        <w:rPr>
          <w:rFonts w:ascii="宋体" w:hAnsi="宋体" w:cs="宋体"/>
          <w:sz w:val="24"/>
          <w:szCs w:val="20"/>
        </w:rPr>
        <w:t>。</w:t>
      </w:r>
    </w:p>
    <w:p w14:paraId="6AD23EFD">
      <w:pPr>
        <w:autoSpaceDE w:val="0"/>
        <w:autoSpaceDN w:val="0"/>
        <w:adjustRightInd w:val="0"/>
        <w:spacing w:line="360" w:lineRule="auto"/>
        <w:jc w:val="left"/>
        <w:rPr>
          <w:rFonts w:ascii="宋体" w:hAnsi="宋体" w:cs="宋体"/>
          <w:sz w:val="24"/>
          <w:szCs w:val="20"/>
        </w:rPr>
      </w:pPr>
    </w:p>
    <w:p w14:paraId="1EC76686">
      <w:pPr>
        <w:autoSpaceDE w:val="0"/>
        <w:autoSpaceDN w:val="0"/>
        <w:adjustRightInd w:val="0"/>
        <w:spacing w:line="360" w:lineRule="auto"/>
        <w:jc w:val="left"/>
        <w:rPr>
          <w:rFonts w:ascii="宋体" w:hAnsi="宋体" w:cs="宋体"/>
          <w:sz w:val="24"/>
          <w:szCs w:val="20"/>
        </w:rPr>
      </w:pPr>
    </w:p>
    <w:p w14:paraId="62B4EAD5">
      <w:pPr>
        <w:autoSpaceDE w:val="0"/>
        <w:autoSpaceDN w:val="0"/>
        <w:adjustRightInd w:val="0"/>
        <w:spacing w:line="360" w:lineRule="auto"/>
        <w:jc w:val="left"/>
        <w:rPr>
          <w:rFonts w:ascii="宋体" w:hAnsi="宋体" w:cs="宋体"/>
          <w:sz w:val="24"/>
          <w:szCs w:val="20"/>
        </w:rPr>
      </w:pPr>
    </w:p>
    <w:p w14:paraId="51A1EA82">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4BAE641A">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日期：_____年______月______日</w:t>
      </w:r>
    </w:p>
    <w:p w14:paraId="7C432257">
      <w:pPr>
        <w:widowControl/>
        <w:jc w:val="left"/>
        <w:rPr>
          <w:rFonts w:ascii="宋体" w:hAnsi="宋体"/>
          <w:sz w:val="24"/>
          <w:szCs w:val="20"/>
        </w:rPr>
      </w:pPr>
      <w:bookmarkStart w:id="854" w:name="_Toc150774763"/>
      <w:bookmarkStart w:id="855" w:name="_Toc195842924"/>
      <w:bookmarkStart w:id="856" w:name="_Toc264969249"/>
      <w:bookmarkStart w:id="857" w:name="_Toc127151558"/>
      <w:bookmarkStart w:id="858" w:name="_Toc226965832"/>
      <w:bookmarkStart w:id="859" w:name="_Toc305158901"/>
      <w:bookmarkStart w:id="860" w:name="_Toc226309803"/>
      <w:bookmarkStart w:id="861" w:name="_Toc226337255"/>
      <w:bookmarkStart w:id="862" w:name="_Toc305158827"/>
      <w:bookmarkStart w:id="863" w:name="_Toc150480796"/>
      <w:bookmarkStart w:id="864" w:name="_Toc142311060"/>
      <w:bookmarkStart w:id="865" w:name="_Toc265228397"/>
      <w:bookmarkStart w:id="866" w:name="_Toc226965749"/>
      <w:r>
        <w:rPr>
          <w:rFonts w:ascii="宋体" w:hAnsi="宋体"/>
          <w:sz w:val="24"/>
          <w:szCs w:val="20"/>
        </w:rPr>
        <w:br w:type="page"/>
      </w:r>
    </w:p>
    <w:p w14:paraId="36896F33">
      <w:pPr>
        <w:spacing w:line="360" w:lineRule="auto"/>
        <w:outlineLvl w:val="2"/>
        <w:rPr>
          <w:rFonts w:ascii="宋体" w:hAnsi="宋体"/>
          <w:sz w:val="24"/>
          <w:szCs w:val="20"/>
        </w:rPr>
        <w:sectPr>
          <w:pgSz w:w="11907" w:h="16840"/>
          <w:pgMar w:top="1440" w:right="1800" w:bottom="1440" w:left="1800" w:header="851" w:footer="851" w:gutter="0"/>
          <w:cols w:space="720" w:num="1"/>
          <w:docGrid w:linePitch="462" w:charSpace="0"/>
        </w:sectPr>
      </w:pPr>
    </w:p>
    <w:p w14:paraId="517BBA4A">
      <w:pPr>
        <w:spacing w:line="360" w:lineRule="auto"/>
        <w:outlineLvl w:val="2"/>
        <w:rPr>
          <w:rFonts w:ascii="宋体" w:hAnsi="宋体"/>
          <w:sz w:val="24"/>
          <w:szCs w:val="20"/>
        </w:rPr>
      </w:pPr>
      <w:r>
        <w:rPr>
          <w:rFonts w:hint="eastAsia" w:ascii="宋体" w:hAnsi="宋体"/>
          <w:sz w:val="24"/>
          <w:szCs w:val="20"/>
        </w:rPr>
        <w:t xml:space="preserve">4  </w:t>
      </w:r>
      <w:r>
        <w:rPr>
          <w:rFonts w:ascii="宋体" w:hAnsi="宋体"/>
          <w:sz w:val="24"/>
          <w:szCs w:val="20"/>
        </w:rPr>
        <w:t>投标分项报价表（实质性格式）</w:t>
      </w:r>
    </w:p>
    <w:p w14:paraId="12A67CA8">
      <w:pPr>
        <w:spacing w:line="360" w:lineRule="exact"/>
        <w:jc w:val="center"/>
        <w:rPr>
          <w:rFonts w:ascii="宋体" w:hAnsi="宋体"/>
          <w:sz w:val="36"/>
          <w:szCs w:val="36"/>
        </w:rPr>
      </w:pPr>
    </w:p>
    <w:p w14:paraId="1808EF5B">
      <w:pPr>
        <w:spacing w:line="360" w:lineRule="exact"/>
        <w:jc w:val="center"/>
        <w:rPr>
          <w:rFonts w:ascii="宋体" w:hAnsi="宋体"/>
          <w:b/>
          <w:bCs/>
          <w:i/>
          <w:iCs/>
          <w:sz w:val="25"/>
          <w:szCs w:val="25"/>
          <w14:textOutline w14:w="4356" w14:cap="sq" w14:cmpd="sng" w14:algn="ctr">
            <w14:solidFill>
              <w14:srgbClr w14:val="FF0000"/>
            </w14:solidFill>
            <w14:prstDash w14:val="solid"/>
            <w14:bevel/>
          </w14:textOutline>
        </w:rPr>
      </w:pPr>
      <w:r>
        <w:rPr>
          <w:rFonts w:hint="eastAsia" w:ascii="宋体" w:hAnsi="宋体"/>
          <w:b/>
          <w:sz w:val="36"/>
          <w:szCs w:val="36"/>
        </w:rPr>
        <w:t>投标分项报价表</w:t>
      </w:r>
    </w:p>
    <w:p w14:paraId="29D343FC">
      <w:pPr>
        <w:tabs>
          <w:tab w:val="left" w:pos="911"/>
        </w:tabs>
        <w:jc w:val="left"/>
        <w:rPr>
          <w:rFonts w:ascii="宋体" w:hAnsi="宋体"/>
        </w:rPr>
      </w:pPr>
    </w:p>
    <w:p w14:paraId="28E3F0CB">
      <w:pPr>
        <w:tabs>
          <w:tab w:val="left" w:pos="1800"/>
          <w:tab w:val="left" w:pos="5580"/>
        </w:tabs>
        <w:rPr>
          <w:rFonts w:ascii="宋体" w:hAnsi="宋体"/>
          <w:sz w:val="24"/>
        </w:rPr>
      </w:pPr>
      <w:r>
        <w:rPr>
          <w:rFonts w:ascii="宋体" w:hAnsi="宋体"/>
          <w:sz w:val="24"/>
        </w:rPr>
        <w:t>项目编号：________ 项目名称：__________报价单位：人民币元</w:t>
      </w:r>
    </w:p>
    <w:tbl>
      <w:tblPr>
        <w:tblStyle w:val="24"/>
        <w:tblW w:w="140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992"/>
        <w:gridCol w:w="851"/>
        <w:gridCol w:w="988"/>
        <w:gridCol w:w="1483"/>
        <w:gridCol w:w="1131"/>
        <w:gridCol w:w="1080"/>
        <w:gridCol w:w="1560"/>
        <w:gridCol w:w="702"/>
        <w:gridCol w:w="1403"/>
        <w:gridCol w:w="1085"/>
        <w:gridCol w:w="1097"/>
        <w:gridCol w:w="953"/>
      </w:tblGrid>
      <w:tr w14:paraId="0304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4B9951D8">
            <w:pPr>
              <w:jc w:val="center"/>
              <w:rPr>
                <w:rFonts w:ascii="宋体" w:hAnsi="宋体"/>
                <w:lang w:eastAsia="en-US"/>
              </w:rPr>
            </w:pPr>
            <w:r>
              <w:rPr>
                <w:rFonts w:hint="eastAsia" w:ascii="宋体" w:hAnsi="宋体"/>
                <w:lang w:eastAsia="en-US"/>
              </w:rPr>
              <w:t>序号</w:t>
            </w:r>
          </w:p>
        </w:tc>
        <w:tc>
          <w:tcPr>
            <w:tcW w:w="992" w:type="dxa"/>
            <w:vAlign w:val="center"/>
          </w:tcPr>
          <w:p w14:paraId="53E5AADA">
            <w:pPr>
              <w:jc w:val="center"/>
              <w:rPr>
                <w:rFonts w:ascii="宋体" w:hAnsi="宋体"/>
                <w:lang w:eastAsia="en-US"/>
              </w:rPr>
            </w:pPr>
            <w:r>
              <w:rPr>
                <w:rFonts w:hint="eastAsia" w:ascii="宋体" w:hAnsi="宋体"/>
              </w:rPr>
              <w:t>分项</w:t>
            </w:r>
            <w:r>
              <w:rPr>
                <w:rFonts w:hint="eastAsia" w:ascii="宋体" w:hAnsi="宋体"/>
                <w:lang w:eastAsia="en-US"/>
              </w:rPr>
              <w:t>名称</w:t>
            </w:r>
          </w:p>
        </w:tc>
        <w:tc>
          <w:tcPr>
            <w:tcW w:w="851" w:type="dxa"/>
            <w:vAlign w:val="center"/>
          </w:tcPr>
          <w:p w14:paraId="2CD84FCD">
            <w:pPr>
              <w:jc w:val="center"/>
              <w:rPr>
                <w:rFonts w:ascii="宋体" w:hAnsi="宋体"/>
                <w:lang w:eastAsia="en-US"/>
              </w:rPr>
            </w:pPr>
            <w:r>
              <w:rPr>
                <w:rFonts w:hint="eastAsia" w:ascii="宋体" w:hAnsi="宋体"/>
                <w:lang w:eastAsia="en-US"/>
              </w:rPr>
              <w:t>制造商</w:t>
            </w:r>
          </w:p>
        </w:tc>
        <w:tc>
          <w:tcPr>
            <w:tcW w:w="988" w:type="dxa"/>
            <w:vAlign w:val="center"/>
          </w:tcPr>
          <w:p w14:paraId="017A46D0">
            <w:pPr>
              <w:jc w:val="center"/>
              <w:rPr>
                <w:rFonts w:ascii="宋体" w:hAnsi="宋体"/>
              </w:rPr>
            </w:pPr>
            <w:r>
              <w:rPr>
                <w:rFonts w:hint="eastAsia" w:ascii="宋体" w:hAnsi="宋体"/>
              </w:rPr>
              <w:t>产地/国别</w:t>
            </w:r>
          </w:p>
        </w:tc>
        <w:tc>
          <w:tcPr>
            <w:tcW w:w="1483" w:type="dxa"/>
            <w:vAlign w:val="center"/>
          </w:tcPr>
          <w:p w14:paraId="4AFB5D26">
            <w:pPr>
              <w:jc w:val="center"/>
              <w:rPr>
                <w:rFonts w:ascii="宋体" w:hAnsi="宋体"/>
                <w:lang w:eastAsia="en-US"/>
              </w:rPr>
            </w:pPr>
            <w:r>
              <w:rPr>
                <w:rFonts w:hint="eastAsia" w:ascii="宋体" w:hAnsi="宋体"/>
                <w:lang w:eastAsia="en-US"/>
              </w:rPr>
              <w:t>制造商统一信用代码</w:t>
            </w:r>
          </w:p>
        </w:tc>
        <w:tc>
          <w:tcPr>
            <w:tcW w:w="1131" w:type="dxa"/>
            <w:vAlign w:val="center"/>
          </w:tcPr>
          <w:p w14:paraId="28314E81">
            <w:pPr>
              <w:jc w:val="center"/>
              <w:rPr>
                <w:rFonts w:ascii="宋体" w:hAnsi="宋体"/>
                <w:lang w:eastAsia="en-US"/>
              </w:rPr>
            </w:pPr>
            <w:r>
              <w:rPr>
                <w:rFonts w:hint="eastAsia" w:ascii="宋体" w:hAnsi="宋体"/>
                <w:lang w:eastAsia="en-US"/>
              </w:rPr>
              <w:t>制造商规模</w:t>
            </w:r>
          </w:p>
        </w:tc>
        <w:tc>
          <w:tcPr>
            <w:tcW w:w="1080" w:type="dxa"/>
            <w:vAlign w:val="center"/>
          </w:tcPr>
          <w:p w14:paraId="069D65B0">
            <w:pPr>
              <w:jc w:val="center"/>
              <w:rPr>
                <w:rFonts w:ascii="宋体" w:hAnsi="宋体"/>
                <w:lang w:eastAsia="en-US"/>
              </w:rPr>
            </w:pPr>
            <w:r>
              <w:rPr>
                <w:rFonts w:hint="eastAsia" w:ascii="宋体" w:hAnsi="宋体"/>
                <w:lang w:eastAsia="en-US"/>
              </w:rPr>
              <w:t>制造商所属性别</w:t>
            </w:r>
          </w:p>
        </w:tc>
        <w:tc>
          <w:tcPr>
            <w:tcW w:w="1560" w:type="dxa"/>
            <w:vAlign w:val="center"/>
          </w:tcPr>
          <w:p w14:paraId="5F52B49A">
            <w:pPr>
              <w:jc w:val="center"/>
              <w:rPr>
                <w:rFonts w:ascii="宋体" w:hAnsi="宋体"/>
                <w:lang w:eastAsia="en-US"/>
              </w:rPr>
            </w:pPr>
            <w:r>
              <w:rPr>
                <w:rFonts w:hint="eastAsia" w:ascii="宋体" w:hAnsi="宋体"/>
                <w:lang w:eastAsia="en-US"/>
              </w:rPr>
              <w:t>外商投资类型</w:t>
            </w:r>
          </w:p>
        </w:tc>
        <w:tc>
          <w:tcPr>
            <w:tcW w:w="702" w:type="dxa"/>
            <w:vAlign w:val="center"/>
          </w:tcPr>
          <w:p w14:paraId="02E76379">
            <w:pPr>
              <w:jc w:val="center"/>
              <w:rPr>
                <w:rFonts w:ascii="宋体" w:hAnsi="宋体"/>
                <w:lang w:eastAsia="en-US"/>
              </w:rPr>
            </w:pPr>
            <w:r>
              <w:rPr>
                <w:rFonts w:hint="eastAsia" w:ascii="宋体" w:hAnsi="宋体"/>
                <w:lang w:eastAsia="en-US"/>
              </w:rPr>
              <w:t>品牌</w:t>
            </w:r>
          </w:p>
        </w:tc>
        <w:tc>
          <w:tcPr>
            <w:tcW w:w="1403" w:type="dxa"/>
            <w:vAlign w:val="center"/>
          </w:tcPr>
          <w:p w14:paraId="01DFBF2D">
            <w:pPr>
              <w:jc w:val="center"/>
              <w:rPr>
                <w:rFonts w:ascii="宋体" w:hAnsi="宋体"/>
                <w:lang w:eastAsia="en-US"/>
              </w:rPr>
            </w:pPr>
            <w:r>
              <w:rPr>
                <w:rFonts w:hint="eastAsia" w:ascii="宋体" w:hAnsi="宋体"/>
                <w:lang w:eastAsia="en-US"/>
              </w:rPr>
              <w:t>规格、型号</w:t>
            </w:r>
          </w:p>
        </w:tc>
        <w:tc>
          <w:tcPr>
            <w:tcW w:w="1085" w:type="dxa"/>
            <w:vAlign w:val="center"/>
          </w:tcPr>
          <w:p w14:paraId="7FB5C6E3">
            <w:pPr>
              <w:jc w:val="center"/>
              <w:rPr>
                <w:rFonts w:ascii="宋体" w:hAnsi="宋体"/>
                <w:lang w:eastAsia="en-US"/>
              </w:rPr>
            </w:pPr>
            <w:r>
              <w:rPr>
                <w:rFonts w:hint="eastAsia" w:ascii="宋体" w:hAnsi="宋体"/>
                <w:lang w:eastAsia="en-US"/>
              </w:rPr>
              <w:t>单价（元）</w:t>
            </w:r>
          </w:p>
        </w:tc>
        <w:tc>
          <w:tcPr>
            <w:tcW w:w="1097" w:type="dxa"/>
            <w:vAlign w:val="center"/>
          </w:tcPr>
          <w:p w14:paraId="7B9BE360">
            <w:pPr>
              <w:jc w:val="center"/>
              <w:rPr>
                <w:rFonts w:ascii="宋体" w:hAnsi="宋体"/>
                <w:lang w:eastAsia="en-US"/>
              </w:rPr>
            </w:pPr>
            <w:r>
              <w:rPr>
                <w:rFonts w:hint="eastAsia" w:ascii="宋体" w:hAnsi="宋体"/>
                <w:lang w:eastAsia="en-US"/>
              </w:rPr>
              <w:t>数量</w:t>
            </w:r>
          </w:p>
        </w:tc>
        <w:tc>
          <w:tcPr>
            <w:tcW w:w="953" w:type="dxa"/>
            <w:vAlign w:val="center"/>
          </w:tcPr>
          <w:p w14:paraId="266EC83F">
            <w:pPr>
              <w:jc w:val="center"/>
              <w:rPr>
                <w:rFonts w:ascii="宋体" w:hAnsi="宋体"/>
                <w:lang w:eastAsia="en-US"/>
              </w:rPr>
            </w:pPr>
            <w:r>
              <w:rPr>
                <w:rFonts w:hint="eastAsia" w:ascii="宋体" w:hAnsi="宋体"/>
                <w:lang w:eastAsia="en-US"/>
              </w:rPr>
              <w:t>合价（元）</w:t>
            </w:r>
          </w:p>
        </w:tc>
      </w:tr>
      <w:tr w14:paraId="4A511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6D56F878">
            <w:pPr>
              <w:pStyle w:val="47"/>
              <w:rPr>
                <w:rFonts w:ascii="宋体" w:hAnsi="宋体" w:eastAsia="宋体"/>
              </w:rPr>
            </w:pPr>
            <w:r>
              <w:rPr>
                <w:rFonts w:hint="eastAsia" w:ascii="宋体" w:hAnsi="宋体" w:eastAsia="宋体"/>
              </w:rPr>
              <w:t>1</w:t>
            </w:r>
          </w:p>
        </w:tc>
        <w:tc>
          <w:tcPr>
            <w:tcW w:w="992" w:type="dxa"/>
            <w:vAlign w:val="center"/>
          </w:tcPr>
          <w:p w14:paraId="3C86F7A0">
            <w:pPr>
              <w:pStyle w:val="47"/>
              <w:rPr>
                <w:rFonts w:ascii="宋体" w:hAnsi="宋体" w:eastAsia="宋体"/>
              </w:rPr>
            </w:pPr>
          </w:p>
        </w:tc>
        <w:tc>
          <w:tcPr>
            <w:tcW w:w="851" w:type="dxa"/>
            <w:vAlign w:val="center"/>
          </w:tcPr>
          <w:p w14:paraId="20D6926A">
            <w:pPr>
              <w:pStyle w:val="47"/>
              <w:rPr>
                <w:rFonts w:ascii="宋体" w:hAnsi="宋体" w:eastAsia="宋体"/>
              </w:rPr>
            </w:pPr>
          </w:p>
        </w:tc>
        <w:tc>
          <w:tcPr>
            <w:tcW w:w="988" w:type="dxa"/>
            <w:vAlign w:val="center"/>
          </w:tcPr>
          <w:p w14:paraId="62BBA574">
            <w:pPr>
              <w:pStyle w:val="47"/>
              <w:rPr>
                <w:rFonts w:ascii="宋体" w:hAnsi="宋体" w:eastAsia="宋体"/>
              </w:rPr>
            </w:pPr>
          </w:p>
        </w:tc>
        <w:tc>
          <w:tcPr>
            <w:tcW w:w="1483" w:type="dxa"/>
            <w:vAlign w:val="center"/>
          </w:tcPr>
          <w:p w14:paraId="53C72EC7">
            <w:pPr>
              <w:pStyle w:val="47"/>
              <w:rPr>
                <w:rFonts w:ascii="宋体" w:hAnsi="宋体" w:eastAsia="宋体"/>
              </w:rPr>
            </w:pPr>
          </w:p>
        </w:tc>
        <w:tc>
          <w:tcPr>
            <w:tcW w:w="1131" w:type="dxa"/>
            <w:vAlign w:val="center"/>
          </w:tcPr>
          <w:p w14:paraId="1B5A67C1">
            <w:pPr>
              <w:pStyle w:val="47"/>
              <w:rPr>
                <w:rFonts w:ascii="宋体" w:hAnsi="宋体" w:eastAsia="宋体"/>
              </w:rPr>
            </w:pPr>
          </w:p>
        </w:tc>
        <w:tc>
          <w:tcPr>
            <w:tcW w:w="1080" w:type="dxa"/>
            <w:vAlign w:val="center"/>
          </w:tcPr>
          <w:p w14:paraId="764B1A52">
            <w:pPr>
              <w:pStyle w:val="47"/>
              <w:rPr>
                <w:rFonts w:ascii="宋体" w:hAnsi="宋体" w:eastAsia="宋体"/>
              </w:rPr>
            </w:pPr>
          </w:p>
        </w:tc>
        <w:tc>
          <w:tcPr>
            <w:tcW w:w="1560" w:type="dxa"/>
            <w:vAlign w:val="center"/>
          </w:tcPr>
          <w:p w14:paraId="3A3DB95F">
            <w:pPr>
              <w:pStyle w:val="47"/>
              <w:rPr>
                <w:rFonts w:ascii="宋体" w:hAnsi="宋体" w:eastAsia="宋体"/>
              </w:rPr>
            </w:pPr>
          </w:p>
        </w:tc>
        <w:tc>
          <w:tcPr>
            <w:tcW w:w="702" w:type="dxa"/>
            <w:vAlign w:val="center"/>
          </w:tcPr>
          <w:p w14:paraId="6CFD3578">
            <w:pPr>
              <w:pStyle w:val="47"/>
              <w:rPr>
                <w:rFonts w:ascii="宋体" w:hAnsi="宋体" w:eastAsia="宋体"/>
              </w:rPr>
            </w:pPr>
          </w:p>
        </w:tc>
        <w:tc>
          <w:tcPr>
            <w:tcW w:w="1403" w:type="dxa"/>
            <w:vAlign w:val="center"/>
          </w:tcPr>
          <w:p w14:paraId="48F93321">
            <w:pPr>
              <w:pStyle w:val="47"/>
              <w:rPr>
                <w:rFonts w:ascii="宋体" w:hAnsi="宋体" w:eastAsia="宋体"/>
              </w:rPr>
            </w:pPr>
          </w:p>
        </w:tc>
        <w:tc>
          <w:tcPr>
            <w:tcW w:w="1085" w:type="dxa"/>
            <w:vAlign w:val="center"/>
          </w:tcPr>
          <w:p w14:paraId="1B2B609E">
            <w:pPr>
              <w:pStyle w:val="47"/>
              <w:rPr>
                <w:rFonts w:ascii="宋体" w:hAnsi="宋体" w:eastAsia="宋体"/>
              </w:rPr>
            </w:pPr>
          </w:p>
        </w:tc>
        <w:tc>
          <w:tcPr>
            <w:tcW w:w="1097" w:type="dxa"/>
            <w:vAlign w:val="center"/>
          </w:tcPr>
          <w:p w14:paraId="6A2648E4">
            <w:pPr>
              <w:pStyle w:val="47"/>
              <w:rPr>
                <w:rFonts w:ascii="宋体" w:hAnsi="宋体" w:eastAsia="宋体"/>
              </w:rPr>
            </w:pPr>
          </w:p>
        </w:tc>
        <w:tc>
          <w:tcPr>
            <w:tcW w:w="953" w:type="dxa"/>
            <w:vAlign w:val="center"/>
          </w:tcPr>
          <w:p w14:paraId="59C73535">
            <w:pPr>
              <w:pStyle w:val="47"/>
              <w:rPr>
                <w:rFonts w:ascii="宋体" w:hAnsi="宋体" w:eastAsia="宋体"/>
              </w:rPr>
            </w:pPr>
          </w:p>
        </w:tc>
      </w:tr>
      <w:tr w14:paraId="7A06F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252105AC">
            <w:pPr>
              <w:pStyle w:val="47"/>
              <w:rPr>
                <w:rFonts w:ascii="宋体" w:hAnsi="宋体" w:eastAsia="宋体"/>
              </w:rPr>
            </w:pPr>
            <w:r>
              <w:rPr>
                <w:rFonts w:hint="eastAsia" w:ascii="宋体" w:hAnsi="宋体" w:eastAsia="宋体"/>
              </w:rPr>
              <w:t>2</w:t>
            </w:r>
          </w:p>
        </w:tc>
        <w:tc>
          <w:tcPr>
            <w:tcW w:w="992" w:type="dxa"/>
            <w:vAlign w:val="center"/>
          </w:tcPr>
          <w:p w14:paraId="7EE36A0D">
            <w:pPr>
              <w:pStyle w:val="47"/>
              <w:rPr>
                <w:rFonts w:ascii="宋体" w:hAnsi="宋体" w:eastAsia="宋体"/>
              </w:rPr>
            </w:pPr>
          </w:p>
        </w:tc>
        <w:tc>
          <w:tcPr>
            <w:tcW w:w="851" w:type="dxa"/>
            <w:vAlign w:val="center"/>
          </w:tcPr>
          <w:p w14:paraId="75687B5E">
            <w:pPr>
              <w:pStyle w:val="47"/>
              <w:rPr>
                <w:rFonts w:ascii="宋体" w:hAnsi="宋体" w:eastAsia="宋体"/>
              </w:rPr>
            </w:pPr>
          </w:p>
        </w:tc>
        <w:tc>
          <w:tcPr>
            <w:tcW w:w="988" w:type="dxa"/>
            <w:vAlign w:val="center"/>
          </w:tcPr>
          <w:p w14:paraId="4451AEB9">
            <w:pPr>
              <w:pStyle w:val="47"/>
              <w:rPr>
                <w:rFonts w:ascii="宋体" w:hAnsi="宋体" w:eastAsia="宋体"/>
              </w:rPr>
            </w:pPr>
          </w:p>
        </w:tc>
        <w:tc>
          <w:tcPr>
            <w:tcW w:w="1483" w:type="dxa"/>
            <w:vAlign w:val="center"/>
          </w:tcPr>
          <w:p w14:paraId="0CA8C680">
            <w:pPr>
              <w:pStyle w:val="47"/>
              <w:rPr>
                <w:rFonts w:ascii="宋体" w:hAnsi="宋体" w:eastAsia="宋体"/>
              </w:rPr>
            </w:pPr>
          </w:p>
        </w:tc>
        <w:tc>
          <w:tcPr>
            <w:tcW w:w="1131" w:type="dxa"/>
            <w:vAlign w:val="center"/>
          </w:tcPr>
          <w:p w14:paraId="41D3E76E">
            <w:pPr>
              <w:pStyle w:val="47"/>
              <w:rPr>
                <w:rFonts w:ascii="宋体" w:hAnsi="宋体" w:eastAsia="宋体"/>
              </w:rPr>
            </w:pPr>
          </w:p>
        </w:tc>
        <w:tc>
          <w:tcPr>
            <w:tcW w:w="1080" w:type="dxa"/>
            <w:vAlign w:val="center"/>
          </w:tcPr>
          <w:p w14:paraId="79623303">
            <w:pPr>
              <w:pStyle w:val="47"/>
              <w:rPr>
                <w:rFonts w:ascii="宋体" w:hAnsi="宋体" w:eastAsia="宋体"/>
              </w:rPr>
            </w:pPr>
          </w:p>
        </w:tc>
        <w:tc>
          <w:tcPr>
            <w:tcW w:w="1560" w:type="dxa"/>
            <w:vAlign w:val="center"/>
          </w:tcPr>
          <w:p w14:paraId="474BE1F1">
            <w:pPr>
              <w:pStyle w:val="47"/>
              <w:rPr>
                <w:rFonts w:ascii="宋体" w:hAnsi="宋体" w:eastAsia="宋体"/>
              </w:rPr>
            </w:pPr>
          </w:p>
        </w:tc>
        <w:tc>
          <w:tcPr>
            <w:tcW w:w="702" w:type="dxa"/>
            <w:vAlign w:val="center"/>
          </w:tcPr>
          <w:p w14:paraId="4527AB19">
            <w:pPr>
              <w:pStyle w:val="47"/>
              <w:rPr>
                <w:rFonts w:ascii="宋体" w:hAnsi="宋体" w:eastAsia="宋体"/>
              </w:rPr>
            </w:pPr>
          </w:p>
        </w:tc>
        <w:tc>
          <w:tcPr>
            <w:tcW w:w="1403" w:type="dxa"/>
            <w:vAlign w:val="center"/>
          </w:tcPr>
          <w:p w14:paraId="1DDBC20A">
            <w:pPr>
              <w:pStyle w:val="47"/>
              <w:rPr>
                <w:rFonts w:ascii="宋体" w:hAnsi="宋体" w:eastAsia="宋体"/>
              </w:rPr>
            </w:pPr>
          </w:p>
        </w:tc>
        <w:tc>
          <w:tcPr>
            <w:tcW w:w="1085" w:type="dxa"/>
            <w:vAlign w:val="center"/>
          </w:tcPr>
          <w:p w14:paraId="12AFB8F3">
            <w:pPr>
              <w:pStyle w:val="47"/>
              <w:rPr>
                <w:rFonts w:ascii="宋体" w:hAnsi="宋体" w:eastAsia="宋体"/>
              </w:rPr>
            </w:pPr>
          </w:p>
        </w:tc>
        <w:tc>
          <w:tcPr>
            <w:tcW w:w="1097" w:type="dxa"/>
            <w:vAlign w:val="center"/>
          </w:tcPr>
          <w:p w14:paraId="7A570868">
            <w:pPr>
              <w:pStyle w:val="47"/>
              <w:rPr>
                <w:rFonts w:ascii="宋体" w:hAnsi="宋体" w:eastAsia="宋体"/>
              </w:rPr>
            </w:pPr>
          </w:p>
        </w:tc>
        <w:tc>
          <w:tcPr>
            <w:tcW w:w="953" w:type="dxa"/>
            <w:vAlign w:val="center"/>
          </w:tcPr>
          <w:p w14:paraId="77EA7E94">
            <w:pPr>
              <w:pStyle w:val="47"/>
              <w:rPr>
                <w:rFonts w:ascii="宋体" w:hAnsi="宋体" w:eastAsia="宋体"/>
              </w:rPr>
            </w:pPr>
          </w:p>
        </w:tc>
      </w:tr>
      <w:tr w14:paraId="08D61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792EB2CD">
            <w:pPr>
              <w:pStyle w:val="47"/>
              <w:rPr>
                <w:rFonts w:ascii="宋体" w:hAnsi="宋体" w:eastAsia="宋体"/>
              </w:rPr>
            </w:pPr>
            <w:r>
              <w:rPr>
                <w:rFonts w:hint="eastAsia" w:ascii="宋体" w:hAnsi="宋体" w:eastAsia="宋体"/>
              </w:rPr>
              <w:t>3</w:t>
            </w:r>
          </w:p>
        </w:tc>
        <w:tc>
          <w:tcPr>
            <w:tcW w:w="992" w:type="dxa"/>
            <w:vAlign w:val="center"/>
          </w:tcPr>
          <w:p w14:paraId="0F8E5CFC">
            <w:pPr>
              <w:pStyle w:val="47"/>
              <w:rPr>
                <w:rFonts w:ascii="宋体" w:hAnsi="宋体" w:eastAsia="宋体"/>
              </w:rPr>
            </w:pPr>
          </w:p>
        </w:tc>
        <w:tc>
          <w:tcPr>
            <w:tcW w:w="851" w:type="dxa"/>
            <w:vAlign w:val="center"/>
          </w:tcPr>
          <w:p w14:paraId="6391E26C">
            <w:pPr>
              <w:pStyle w:val="47"/>
              <w:rPr>
                <w:rFonts w:ascii="宋体" w:hAnsi="宋体" w:eastAsia="宋体"/>
              </w:rPr>
            </w:pPr>
          </w:p>
        </w:tc>
        <w:tc>
          <w:tcPr>
            <w:tcW w:w="988" w:type="dxa"/>
            <w:vAlign w:val="center"/>
          </w:tcPr>
          <w:p w14:paraId="6EA82FE2">
            <w:pPr>
              <w:pStyle w:val="47"/>
              <w:rPr>
                <w:rFonts w:ascii="宋体" w:hAnsi="宋体" w:eastAsia="宋体"/>
              </w:rPr>
            </w:pPr>
          </w:p>
        </w:tc>
        <w:tc>
          <w:tcPr>
            <w:tcW w:w="1483" w:type="dxa"/>
            <w:vAlign w:val="center"/>
          </w:tcPr>
          <w:p w14:paraId="4541EB76">
            <w:pPr>
              <w:pStyle w:val="47"/>
              <w:rPr>
                <w:rFonts w:ascii="宋体" w:hAnsi="宋体" w:eastAsia="宋体"/>
              </w:rPr>
            </w:pPr>
          </w:p>
        </w:tc>
        <w:tc>
          <w:tcPr>
            <w:tcW w:w="1131" w:type="dxa"/>
            <w:vAlign w:val="center"/>
          </w:tcPr>
          <w:p w14:paraId="0CF2D92C">
            <w:pPr>
              <w:pStyle w:val="47"/>
              <w:rPr>
                <w:rFonts w:ascii="宋体" w:hAnsi="宋体" w:eastAsia="宋体"/>
              </w:rPr>
            </w:pPr>
          </w:p>
        </w:tc>
        <w:tc>
          <w:tcPr>
            <w:tcW w:w="1080" w:type="dxa"/>
            <w:vAlign w:val="center"/>
          </w:tcPr>
          <w:p w14:paraId="5B823583">
            <w:pPr>
              <w:pStyle w:val="47"/>
              <w:rPr>
                <w:rFonts w:ascii="宋体" w:hAnsi="宋体" w:eastAsia="宋体"/>
              </w:rPr>
            </w:pPr>
          </w:p>
        </w:tc>
        <w:tc>
          <w:tcPr>
            <w:tcW w:w="1560" w:type="dxa"/>
            <w:vAlign w:val="center"/>
          </w:tcPr>
          <w:p w14:paraId="2D4BDC33">
            <w:pPr>
              <w:pStyle w:val="47"/>
              <w:rPr>
                <w:rFonts w:ascii="宋体" w:hAnsi="宋体" w:eastAsia="宋体"/>
              </w:rPr>
            </w:pPr>
          </w:p>
        </w:tc>
        <w:tc>
          <w:tcPr>
            <w:tcW w:w="702" w:type="dxa"/>
            <w:vAlign w:val="center"/>
          </w:tcPr>
          <w:p w14:paraId="524B62CC">
            <w:pPr>
              <w:pStyle w:val="47"/>
              <w:rPr>
                <w:rFonts w:ascii="宋体" w:hAnsi="宋体" w:eastAsia="宋体"/>
              </w:rPr>
            </w:pPr>
          </w:p>
        </w:tc>
        <w:tc>
          <w:tcPr>
            <w:tcW w:w="1403" w:type="dxa"/>
            <w:vAlign w:val="center"/>
          </w:tcPr>
          <w:p w14:paraId="311A16E2">
            <w:pPr>
              <w:pStyle w:val="47"/>
              <w:rPr>
                <w:rFonts w:ascii="宋体" w:hAnsi="宋体" w:eastAsia="宋体"/>
              </w:rPr>
            </w:pPr>
          </w:p>
        </w:tc>
        <w:tc>
          <w:tcPr>
            <w:tcW w:w="1085" w:type="dxa"/>
            <w:vAlign w:val="center"/>
          </w:tcPr>
          <w:p w14:paraId="50ECAFB9">
            <w:pPr>
              <w:pStyle w:val="47"/>
              <w:rPr>
                <w:rFonts w:ascii="宋体" w:hAnsi="宋体" w:eastAsia="宋体"/>
              </w:rPr>
            </w:pPr>
          </w:p>
        </w:tc>
        <w:tc>
          <w:tcPr>
            <w:tcW w:w="1097" w:type="dxa"/>
            <w:vAlign w:val="center"/>
          </w:tcPr>
          <w:p w14:paraId="231E1AF5">
            <w:pPr>
              <w:pStyle w:val="47"/>
              <w:rPr>
                <w:rFonts w:ascii="宋体" w:hAnsi="宋体" w:eastAsia="宋体"/>
              </w:rPr>
            </w:pPr>
          </w:p>
        </w:tc>
        <w:tc>
          <w:tcPr>
            <w:tcW w:w="953" w:type="dxa"/>
            <w:vAlign w:val="center"/>
          </w:tcPr>
          <w:p w14:paraId="54FCFF2C">
            <w:pPr>
              <w:pStyle w:val="47"/>
              <w:rPr>
                <w:rFonts w:ascii="宋体" w:hAnsi="宋体" w:eastAsia="宋体"/>
              </w:rPr>
            </w:pPr>
          </w:p>
        </w:tc>
      </w:tr>
      <w:tr w14:paraId="6345B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1742FBD4">
            <w:pPr>
              <w:pStyle w:val="47"/>
              <w:rPr>
                <w:rFonts w:ascii="宋体" w:hAnsi="宋体" w:eastAsia="宋体"/>
              </w:rPr>
            </w:pPr>
            <w:r>
              <w:rPr>
                <w:rFonts w:hint="eastAsia" w:ascii="宋体" w:hAnsi="宋体" w:eastAsia="宋体"/>
              </w:rPr>
              <w:t>4</w:t>
            </w:r>
          </w:p>
        </w:tc>
        <w:tc>
          <w:tcPr>
            <w:tcW w:w="992" w:type="dxa"/>
            <w:vAlign w:val="center"/>
          </w:tcPr>
          <w:p w14:paraId="7FC3AFE1">
            <w:pPr>
              <w:pStyle w:val="47"/>
              <w:rPr>
                <w:rFonts w:ascii="宋体" w:hAnsi="宋体" w:eastAsia="宋体"/>
              </w:rPr>
            </w:pPr>
          </w:p>
        </w:tc>
        <w:tc>
          <w:tcPr>
            <w:tcW w:w="851" w:type="dxa"/>
            <w:vAlign w:val="center"/>
          </w:tcPr>
          <w:p w14:paraId="113F4FF7">
            <w:pPr>
              <w:pStyle w:val="47"/>
              <w:rPr>
                <w:rFonts w:ascii="宋体" w:hAnsi="宋体" w:eastAsia="宋体"/>
              </w:rPr>
            </w:pPr>
          </w:p>
        </w:tc>
        <w:tc>
          <w:tcPr>
            <w:tcW w:w="988" w:type="dxa"/>
            <w:vAlign w:val="center"/>
          </w:tcPr>
          <w:p w14:paraId="44EB68B5">
            <w:pPr>
              <w:pStyle w:val="47"/>
              <w:rPr>
                <w:rFonts w:ascii="宋体" w:hAnsi="宋体" w:eastAsia="宋体"/>
              </w:rPr>
            </w:pPr>
          </w:p>
        </w:tc>
        <w:tc>
          <w:tcPr>
            <w:tcW w:w="1483" w:type="dxa"/>
            <w:vAlign w:val="center"/>
          </w:tcPr>
          <w:p w14:paraId="161CC784">
            <w:pPr>
              <w:pStyle w:val="47"/>
              <w:rPr>
                <w:rFonts w:ascii="宋体" w:hAnsi="宋体" w:eastAsia="宋体"/>
              </w:rPr>
            </w:pPr>
          </w:p>
        </w:tc>
        <w:tc>
          <w:tcPr>
            <w:tcW w:w="1131" w:type="dxa"/>
            <w:vAlign w:val="center"/>
          </w:tcPr>
          <w:p w14:paraId="691ECBAC">
            <w:pPr>
              <w:pStyle w:val="47"/>
              <w:rPr>
                <w:rFonts w:ascii="宋体" w:hAnsi="宋体" w:eastAsia="宋体"/>
              </w:rPr>
            </w:pPr>
          </w:p>
        </w:tc>
        <w:tc>
          <w:tcPr>
            <w:tcW w:w="1080" w:type="dxa"/>
            <w:vAlign w:val="center"/>
          </w:tcPr>
          <w:p w14:paraId="5D787294">
            <w:pPr>
              <w:pStyle w:val="47"/>
              <w:rPr>
                <w:rFonts w:ascii="宋体" w:hAnsi="宋体" w:eastAsia="宋体"/>
              </w:rPr>
            </w:pPr>
          </w:p>
        </w:tc>
        <w:tc>
          <w:tcPr>
            <w:tcW w:w="1560" w:type="dxa"/>
            <w:vAlign w:val="center"/>
          </w:tcPr>
          <w:p w14:paraId="70D08396">
            <w:pPr>
              <w:pStyle w:val="47"/>
              <w:rPr>
                <w:rFonts w:ascii="宋体" w:hAnsi="宋体" w:eastAsia="宋体"/>
              </w:rPr>
            </w:pPr>
          </w:p>
        </w:tc>
        <w:tc>
          <w:tcPr>
            <w:tcW w:w="702" w:type="dxa"/>
            <w:vAlign w:val="center"/>
          </w:tcPr>
          <w:p w14:paraId="0A54F9F2">
            <w:pPr>
              <w:pStyle w:val="47"/>
              <w:rPr>
                <w:rFonts w:ascii="宋体" w:hAnsi="宋体" w:eastAsia="宋体"/>
              </w:rPr>
            </w:pPr>
          </w:p>
        </w:tc>
        <w:tc>
          <w:tcPr>
            <w:tcW w:w="1403" w:type="dxa"/>
            <w:vAlign w:val="center"/>
          </w:tcPr>
          <w:p w14:paraId="7905747B">
            <w:pPr>
              <w:pStyle w:val="47"/>
              <w:rPr>
                <w:rFonts w:ascii="宋体" w:hAnsi="宋体" w:eastAsia="宋体"/>
              </w:rPr>
            </w:pPr>
          </w:p>
        </w:tc>
        <w:tc>
          <w:tcPr>
            <w:tcW w:w="1085" w:type="dxa"/>
            <w:vAlign w:val="center"/>
          </w:tcPr>
          <w:p w14:paraId="61527C08">
            <w:pPr>
              <w:pStyle w:val="47"/>
              <w:rPr>
                <w:rFonts w:ascii="宋体" w:hAnsi="宋体" w:eastAsia="宋体"/>
              </w:rPr>
            </w:pPr>
          </w:p>
        </w:tc>
        <w:tc>
          <w:tcPr>
            <w:tcW w:w="1097" w:type="dxa"/>
            <w:vAlign w:val="center"/>
          </w:tcPr>
          <w:p w14:paraId="346D27BB">
            <w:pPr>
              <w:pStyle w:val="47"/>
              <w:rPr>
                <w:rFonts w:ascii="宋体" w:hAnsi="宋体" w:eastAsia="宋体"/>
              </w:rPr>
            </w:pPr>
          </w:p>
        </w:tc>
        <w:tc>
          <w:tcPr>
            <w:tcW w:w="953" w:type="dxa"/>
            <w:vAlign w:val="center"/>
          </w:tcPr>
          <w:p w14:paraId="5A9A0F31">
            <w:pPr>
              <w:pStyle w:val="47"/>
              <w:rPr>
                <w:rFonts w:ascii="宋体" w:hAnsi="宋体" w:eastAsia="宋体"/>
              </w:rPr>
            </w:pPr>
          </w:p>
        </w:tc>
      </w:tr>
      <w:tr w14:paraId="0446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709" w:type="dxa"/>
            <w:vAlign w:val="center"/>
          </w:tcPr>
          <w:p w14:paraId="04AF97E3">
            <w:pPr>
              <w:pStyle w:val="47"/>
              <w:rPr>
                <w:rFonts w:ascii="宋体" w:hAnsi="宋体" w:eastAsia="宋体"/>
              </w:rPr>
            </w:pPr>
            <w:r>
              <w:rPr>
                <w:rFonts w:hint="eastAsia" w:ascii="宋体" w:hAnsi="宋体" w:eastAsia="宋体"/>
              </w:rPr>
              <w:t>……</w:t>
            </w:r>
          </w:p>
        </w:tc>
        <w:tc>
          <w:tcPr>
            <w:tcW w:w="992" w:type="dxa"/>
            <w:vAlign w:val="center"/>
          </w:tcPr>
          <w:p w14:paraId="5F629D6E">
            <w:pPr>
              <w:pStyle w:val="47"/>
              <w:rPr>
                <w:rFonts w:ascii="宋体" w:hAnsi="宋体" w:eastAsia="宋体"/>
              </w:rPr>
            </w:pPr>
          </w:p>
        </w:tc>
        <w:tc>
          <w:tcPr>
            <w:tcW w:w="851" w:type="dxa"/>
            <w:vAlign w:val="center"/>
          </w:tcPr>
          <w:p w14:paraId="653E671D">
            <w:pPr>
              <w:pStyle w:val="47"/>
              <w:rPr>
                <w:rFonts w:ascii="宋体" w:hAnsi="宋体" w:eastAsia="宋体"/>
              </w:rPr>
            </w:pPr>
          </w:p>
        </w:tc>
        <w:tc>
          <w:tcPr>
            <w:tcW w:w="988" w:type="dxa"/>
            <w:vAlign w:val="center"/>
          </w:tcPr>
          <w:p w14:paraId="2606C1CB">
            <w:pPr>
              <w:pStyle w:val="47"/>
              <w:rPr>
                <w:rFonts w:ascii="宋体" w:hAnsi="宋体" w:eastAsia="宋体"/>
              </w:rPr>
            </w:pPr>
          </w:p>
        </w:tc>
        <w:tc>
          <w:tcPr>
            <w:tcW w:w="1483" w:type="dxa"/>
            <w:vAlign w:val="center"/>
          </w:tcPr>
          <w:p w14:paraId="6C453EB1">
            <w:pPr>
              <w:pStyle w:val="47"/>
              <w:rPr>
                <w:rFonts w:ascii="宋体" w:hAnsi="宋体" w:eastAsia="宋体"/>
              </w:rPr>
            </w:pPr>
          </w:p>
        </w:tc>
        <w:tc>
          <w:tcPr>
            <w:tcW w:w="1131" w:type="dxa"/>
            <w:vAlign w:val="center"/>
          </w:tcPr>
          <w:p w14:paraId="3783041D">
            <w:pPr>
              <w:pStyle w:val="47"/>
              <w:rPr>
                <w:rFonts w:ascii="宋体" w:hAnsi="宋体" w:eastAsia="宋体"/>
              </w:rPr>
            </w:pPr>
          </w:p>
        </w:tc>
        <w:tc>
          <w:tcPr>
            <w:tcW w:w="1080" w:type="dxa"/>
            <w:vAlign w:val="center"/>
          </w:tcPr>
          <w:p w14:paraId="38419118">
            <w:pPr>
              <w:pStyle w:val="47"/>
              <w:rPr>
                <w:rFonts w:ascii="宋体" w:hAnsi="宋体" w:eastAsia="宋体"/>
              </w:rPr>
            </w:pPr>
          </w:p>
        </w:tc>
        <w:tc>
          <w:tcPr>
            <w:tcW w:w="1560" w:type="dxa"/>
            <w:vAlign w:val="center"/>
          </w:tcPr>
          <w:p w14:paraId="46682746">
            <w:pPr>
              <w:pStyle w:val="47"/>
              <w:rPr>
                <w:rFonts w:ascii="宋体" w:hAnsi="宋体" w:eastAsia="宋体"/>
              </w:rPr>
            </w:pPr>
          </w:p>
        </w:tc>
        <w:tc>
          <w:tcPr>
            <w:tcW w:w="702" w:type="dxa"/>
            <w:vAlign w:val="center"/>
          </w:tcPr>
          <w:p w14:paraId="24B7954D">
            <w:pPr>
              <w:pStyle w:val="47"/>
              <w:rPr>
                <w:rFonts w:ascii="宋体" w:hAnsi="宋体" w:eastAsia="宋体"/>
              </w:rPr>
            </w:pPr>
          </w:p>
        </w:tc>
        <w:tc>
          <w:tcPr>
            <w:tcW w:w="1403" w:type="dxa"/>
            <w:vAlign w:val="center"/>
          </w:tcPr>
          <w:p w14:paraId="31E781E4">
            <w:pPr>
              <w:pStyle w:val="47"/>
              <w:rPr>
                <w:rFonts w:ascii="宋体" w:hAnsi="宋体" w:eastAsia="宋体"/>
              </w:rPr>
            </w:pPr>
          </w:p>
        </w:tc>
        <w:tc>
          <w:tcPr>
            <w:tcW w:w="1085" w:type="dxa"/>
            <w:vAlign w:val="center"/>
          </w:tcPr>
          <w:p w14:paraId="196ED648">
            <w:pPr>
              <w:pStyle w:val="47"/>
              <w:rPr>
                <w:rFonts w:ascii="宋体" w:hAnsi="宋体" w:eastAsia="宋体"/>
              </w:rPr>
            </w:pPr>
          </w:p>
        </w:tc>
        <w:tc>
          <w:tcPr>
            <w:tcW w:w="1097" w:type="dxa"/>
            <w:vAlign w:val="center"/>
          </w:tcPr>
          <w:p w14:paraId="4C1F4273">
            <w:pPr>
              <w:pStyle w:val="47"/>
              <w:rPr>
                <w:rFonts w:ascii="宋体" w:hAnsi="宋体" w:eastAsia="宋体"/>
              </w:rPr>
            </w:pPr>
          </w:p>
        </w:tc>
        <w:tc>
          <w:tcPr>
            <w:tcW w:w="953" w:type="dxa"/>
            <w:vAlign w:val="center"/>
          </w:tcPr>
          <w:p w14:paraId="66451BC1">
            <w:pPr>
              <w:pStyle w:val="47"/>
              <w:rPr>
                <w:rFonts w:ascii="宋体" w:hAnsi="宋体" w:eastAsia="宋体"/>
              </w:rPr>
            </w:pPr>
          </w:p>
        </w:tc>
      </w:tr>
      <w:tr w14:paraId="2C86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3081" w:type="dxa"/>
            <w:gridSpan w:val="12"/>
            <w:vAlign w:val="center"/>
          </w:tcPr>
          <w:p w14:paraId="24067838">
            <w:pPr>
              <w:autoSpaceDE w:val="0"/>
              <w:autoSpaceDN w:val="0"/>
              <w:ind w:left="5923"/>
              <w:jc w:val="center"/>
              <w:rPr>
                <w:rFonts w:ascii="宋体" w:hAnsi="宋体" w:cs="宋体"/>
                <w:sz w:val="24"/>
                <w:szCs w:val="22"/>
                <w:lang w:eastAsia="en-US"/>
              </w:rPr>
            </w:pPr>
            <w:r>
              <w:rPr>
                <w:rFonts w:hint="eastAsia" w:ascii="宋体" w:hAnsi="宋体" w:cs="宋体"/>
                <w:sz w:val="24"/>
                <w:szCs w:val="22"/>
                <w:lang w:eastAsia="en-US"/>
              </w:rPr>
              <w:t>总价（元）</w:t>
            </w:r>
          </w:p>
        </w:tc>
        <w:tc>
          <w:tcPr>
            <w:tcW w:w="953" w:type="dxa"/>
            <w:vAlign w:val="center"/>
          </w:tcPr>
          <w:p w14:paraId="273EBA89">
            <w:pPr>
              <w:pStyle w:val="47"/>
              <w:rPr>
                <w:rFonts w:ascii="宋体" w:hAnsi="宋体" w:eastAsia="宋体"/>
              </w:rPr>
            </w:pPr>
          </w:p>
        </w:tc>
      </w:tr>
    </w:tbl>
    <w:p w14:paraId="4EDDC91F">
      <w:pPr>
        <w:rPr>
          <w:rFonts w:ascii="宋体" w:hAnsi="宋体" w:cs="宋体"/>
          <w:sz w:val="24"/>
        </w:rPr>
      </w:pPr>
      <w:r>
        <w:rPr>
          <w:rFonts w:hint="eastAsia" w:ascii="宋体" w:hAnsi="宋体" w:cs="宋体"/>
          <w:sz w:val="24"/>
        </w:rPr>
        <w:t>注：</w:t>
      </w:r>
    </w:p>
    <w:p w14:paraId="2D7987B3">
      <w:pPr>
        <w:rPr>
          <w:rFonts w:ascii="宋体" w:hAnsi="宋体" w:cs="宋体"/>
          <w:sz w:val="24"/>
        </w:rPr>
      </w:pPr>
      <w:r>
        <w:rPr>
          <w:rFonts w:hint="eastAsia" w:ascii="宋体" w:hAnsi="宋体" w:cs="宋体"/>
          <w:sz w:val="24"/>
        </w:rPr>
        <w:t>1.如项目划分采购包，则本表应按包分别填写。</w:t>
      </w:r>
    </w:p>
    <w:p w14:paraId="2A57A4E9">
      <w:pPr>
        <w:rPr>
          <w:rFonts w:ascii="宋体" w:hAnsi="宋体" w:cs="宋体"/>
          <w:sz w:val="24"/>
        </w:rPr>
      </w:pPr>
      <w:r>
        <w:rPr>
          <w:rFonts w:hint="eastAsia" w:ascii="宋体" w:hAnsi="宋体" w:cs="宋体"/>
          <w:sz w:val="24"/>
        </w:rPr>
        <w:t>2.如果不提供分项报价将视为没有实质性响应招标文件。</w:t>
      </w:r>
    </w:p>
    <w:p w14:paraId="7F5E5209">
      <w:pPr>
        <w:rPr>
          <w:rFonts w:ascii="宋体" w:hAnsi="宋体" w:cs="宋体"/>
          <w:sz w:val="24"/>
        </w:rPr>
      </w:pPr>
      <w:r>
        <w:rPr>
          <w:rFonts w:hint="eastAsia" w:ascii="宋体" w:hAnsi="宋体" w:cs="宋体"/>
          <w:sz w:val="24"/>
        </w:rPr>
        <w:t>3.上述各项的详细规格（如有），可另页描述。</w:t>
      </w:r>
    </w:p>
    <w:p w14:paraId="607E29D7">
      <w:pPr>
        <w:rPr>
          <w:rFonts w:ascii="宋体" w:hAnsi="宋体" w:cs="宋体"/>
          <w:sz w:val="24"/>
        </w:rPr>
      </w:pPr>
      <w:r>
        <w:rPr>
          <w:rFonts w:hint="eastAsia" w:ascii="宋体" w:hAnsi="宋体" w:cs="宋体"/>
          <w:sz w:val="24"/>
        </w:rPr>
        <w:t>4.制造商规模列应填写“大型 ”、“中型”、“小型”、“微型”或“其他”，且不应与《中小企业声明函》或《拟分包情况说明》中内容矛盾。制造商所属性别请填写“男”或“女”，指拥有制造商51%以上绝对所有权的性别 ；绝对所有权拥有者可以是一个人，也可以是多人合计计算。外商投资类型请填写“外商单独投资”、“外商部分投资”或“内资”。</w:t>
      </w:r>
    </w:p>
    <w:p w14:paraId="6317FFA2">
      <w:pPr>
        <w:rPr>
          <w:rFonts w:ascii="宋体" w:hAnsi="宋体"/>
          <w:sz w:val="24"/>
        </w:rPr>
      </w:pPr>
      <w:r>
        <w:rPr>
          <w:rFonts w:hint="eastAsia" w:ascii="宋体" w:hAnsi="宋体"/>
          <w:sz w:val="24"/>
        </w:rPr>
        <w:t>5.</w:t>
      </w:r>
      <w:r>
        <w:rPr>
          <w:rFonts w:hint="eastAsia" w:ascii="宋体" w:hAnsi="宋体" w:cs="宋体"/>
          <w:sz w:val="24"/>
          <w:szCs w:val="20"/>
        </w:rPr>
        <w:t>如投标人的报价属于招标文件 第四章 2.2.1 （3）的情形的，投标人可在本表后主动提供所投产品的</w:t>
      </w:r>
      <w:r>
        <w:rPr>
          <w:rFonts w:hint="eastAsia" w:ascii="宋体" w:hAnsi="宋体"/>
          <w:sz w:val="24"/>
        </w:rPr>
        <w:t>具体成本测算等与报价合理性相关的书面说明及必要的证明材料，包括但不限于原材料成本、人工成本、制造费用、以往销售合同等。</w:t>
      </w:r>
    </w:p>
    <w:p w14:paraId="2AB6E496">
      <w:pPr>
        <w:rPr>
          <w:rFonts w:ascii="宋体" w:hAnsi="宋体"/>
          <w:sz w:val="24"/>
        </w:rPr>
      </w:pPr>
    </w:p>
    <w:p w14:paraId="456C1633">
      <w:pPr>
        <w:rPr>
          <w:rFonts w:ascii="宋体" w:hAnsi="宋体"/>
          <w:sz w:val="24"/>
        </w:rPr>
      </w:pPr>
      <w:r>
        <w:rPr>
          <w:rFonts w:hint="eastAsia" w:ascii="宋体" w:hAnsi="宋体"/>
          <w:sz w:val="24"/>
        </w:rPr>
        <w:t>投标人名称（加盖公章）：____________</w:t>
      </w:r>
    </w:p>
    <w:p w14:paraId="5E9C75D9">
      <w:pPr>
        <w:rPr>
          <w:rFonts w:ascii="宋体" w:hAnsi="宋体"/>
          <w:sz w:val="24"/>
        </w:rPr>
      </w:pPr>
      <w:r>
        <w:rPr>
          <w:rFonts w:hint="eastAsia" w:ascii="宋体" w:hAnsi="宋体"/>
          <w:sz w:val="24"/>
        </w:rPr>
        <w:t>日期：_____年______月______日</w:t>
      </w:r>
    </w:p>
    <w:p w14:paraId="3361DF13">
      <w:pPr>
        <w:outlineLvl w:val="2"/>
        <w:rPr>
          <w:rFonts w:ascii="宋体" w:hAnsi="宋体"/>
          <w:sz w:val="24"/>
        </w:rPr>
        <w:sectPr>
          <w:pgSz w:w="16840" w:h="11907" w:orient="landscape"/>
          <w:pgMar w:top="1800" w:right="1440" w:bottom="1800" w:left="1440" w:header="851" w:footer="851" w:gutter="0"/>
          <w:cols w:space="720" w:num="1"/>
          <w:docGrid w:linePitch="462" w:charSpace="0"/>
        </w:sectPr>
      </w:pPr>
    </w:p>
    <w:bookmarkEnd w:id="854"/>
    <w:bookmarkEnd w:id="855"/>
    <w:bookmarkEnd w:id="856"/>
    <w:bookmarkEnd w:id="857"/>
    <w:bookmarkEnd w:id="858"/>
    <w:bookmarkEnd w:id="859"/>
    <w:bookmarkEnd w:id="860"/>
    <w:bookmarkEnd w:id="861"/>
    <w:bookmarkEnd w:id="862"/>
    <w:bookmarkEnd w:id="863"/>
    <w:bookmarkEnd w:id="864"/>
    <w:bookmarkEnd w:id="865"/>
    <w:bookmarkEnd w:id="866"/>
    <w:p w14:paraId="4CB79C31">
      <w:pPr>
        <w:spacing w:line="360" w:lineRule="auto"/>
        <w:outlineLvl w:val="2"/>
        <w:rPr>
          <w:rFonts w:ascii="宋体" w:hAnsi="宋体"/>
          <w:sz w:val="24"/>
          <w:szCs w:val="20"/>
        </w:rPr>
      </w:pPr>
      <w:bookmarkStart w:id="867" w:name="_Toc150774765"/>
      <w:bookmarkStart w:id="868" w:name="_Toc226965835"/>
      <w:bookmarkStart w:id="869" w:name="_Toc305158904"/>
      <w:bookmarkStart w:id="870" w:name="_Toc305158830"/>
      <w:bookmarkStart w:id="871" w:name="_Toc226965752"/>
      <w:bookmarkStart w:id="872" w:name="_Toc142311062"/>
      <w:bookmarkStart w:id="873" w:name="_Toc265228400"/>
      <w:bookmarkStart w:id="874" w:name="_Toc226309806"/>
      <w:bookmarkStart w:id="875" w:name="_Toc150480798"/>
      <w:bookmarkStart w:id="876" w:name="_Toc127151562"/>
      <w:bookmarkStart w:id="877" w:name="_Toc226337258"/>
      <w:bookmarkStart w:id="878" w:name="_Toc264969252"/>
      <w:bookmarkStart w:id="879" w:name="_Toc195842927"/>
      <w:bookmarkStart w:id="880" w:name="_Toc305158903"/>
      <w:bookmarkStart w:id="881" w:name="_Toc226309805"/>
      <w:bookmarkStart w:id="882" w:name="_Toc127151561"/>
      <w:bookmarkStart w:id="883" w:name="_Toc150774764"/>
      <w:bookmarkStart w:id="884" w:name="_Toc264969251"/>
      <w:bookmarkStart w:id="885" w:name="_Toc226337257"/>
      <w:bookmarkStart w:id="886" w:name="_Toc305158829"/>
      <w:bookmarkStart w:id="887" w:name="_Toc195842926"/>
      <w:bookmarkStart w:id="888" w:name="_Toc226965751"/>
      <w:bookmarkStart w:id="889" w:name="_Toc265228399"/>
      <w:bookmarkStart w:id="890" w:name="_Toc226965834"/>
      <w:bookmarkStart w:id="891" w:name="_Toc142311061"/>
      <w:bookmarkStart w:id="892" w:name="_Toc150480797"/>
      <w:r>
        <w:rPr>
          <w:rFonts w:hint="eastAsia" w:ascii="宋体" w:hAnsi="宋体"/>
          <w:sz w:val="24"/>
          <w:szCs w:val="20"/>
        </w:rPr>
        <w:t>5</w:t>
      </w:r>
      <w:r>
        <w:rPr>
          <w:rFonts w:ascii="宋体" w:hAnsi="宋体"/>
          <w:sz w:val="24"/>
          <w:szCs w:val="20"/>
        </w:rPr>
        <w:t xml:space="preserve">  </w:t>
      </w:r>
      <w:r>
        <w:rPr>
          <w:rFonts w:hint="eastAsia" w:ascii="宋体" w:hAnsi="宋体"/>
          <w:sz w:val="24"/>
          <w:szCs w:val="20"/>
        </w:rPr>
        <w:t>商务</w:t>
      </w:r>
      <w:r>
        <w:rPr>
          <w:rFonts w:ascii="宋体" w:hAnsi="宋体"/>
          <w:sz w:val="24"/>
          <w:szCs w:val="20"/>
        </w:rPr>
        <w:t>条款偏离表</w:t>
      </w:r>
      <w:bookmarkEnd w:id="867"/>
      <w:bookmarkEnd w:id="868"/>
      <w:bookmarkEnd w:id="869"/>
      <w:bookmarkEnd w:id="870"/>
      <w:bookmarkEnd w:id="871"/>
      <w:bookmarkEnd w:id="872"/>
      <w:bookmarkEnd w:id="873"/>
      <w:bookmarkEnd w:id="874"/>
      <w:bookmarkEnd w:id="875"/>
      <w:bookmarkEnd w:id="876"/>
      <w:bookmarkEnd w:id="877"/>
      <w:bookmarkEnd w:id="878"/>
      <w:bookmarkEnd w:id="879"/>
      <w:r>
        <w:rPr>
          <w:rFonts w:ascii="宋体" w:hAnsi="宋体"/>
          <w:sz w:val="24"/>
          <w:szCs w:val="20"/>
        </w:rPr>
        <w:t>（实质性格式）</w:t>
      </w:r>
    </w:p>
    <w:p w14:paraId="3AEFD7CC">
      <w:pPr>
        <w:spacing w:line="360" w:lineRule="auto"/>
        <w:rPr>
          <w:rFonts w:ascii="宋体" w:hAnsi="宋体"/>
          <w:sz w:val="24"/>
          <w:szCs w:val="20"/>
        </w:rPr>
      </w:pPr>
    </w:p>
    <w:p w14:paraId="1E367857">
      <w:pPr>
        <w:tabs>
          <w:tab w:val="left" w:pos="2775"/>
          <w:tab w:val="center" w:pos="4153"/>
        </w:tabs>
        <w:autoSpaceDE w:val="0"/>
        <w:autoSpaceDN w:val="0"/>
        <w:adjustRightInd w:val="0"/>
        <w:spacing w:line="360" w:lineRule="auto"/>
        <w:jc w:val="center"/>
        <w:rPr>
          <w:rFonts w:ascii="宋体" w:hAnsi="宋体"/>
          <w:b/>
          <w:sz w:val="36"/>
          <w:szCs w:val="36"/>
        </w:rPr>
      </w:pPr>
      <w:r>
        <w:rPr>
          <w:rFonts w:hint="eastAsia" w:ascii="宋体" w:hAnsi="宋体"/>
          <w:b/>
          <w:sz w:val="36"/>
          <w:szCs w:val="36"/>
        </w:rPr>
        <w:t>商务条款偏离表</w:t>
      </w:r>
    </w:p>
    <w:p w14:paraId="2AB3632B">
      <w:pPr>
        <w:spacing w:line="360" w:lineRule="auto"/>
        <w:rPr>
          <w:rFonts w:ascii="宋体" w:hAnsi="宋体"/>
          <w:sz w:val="24"/>
          <w:szCs w:val="20"/>
        </w:rPr>
      </w:pPr>
    </w:p>
    <w:p w14:paraId="3EF03FFD">
      <w:pPr>
        <w:tabs>
          <w:tab w:val="left" w:pos="1800"/>
          <w:tab w:val="left" w:pos="5580"/>
        </w:tabs>
        <w:spacing w:line="360" w:lineRule="auto"/>
        <w:jc w:val="left"/>
        <w:rPr>
          <w:rFonts w:ascii="宋体" w:hAnsi="宋体"/>
          <w:sz w:val="24"/>
        </w:rPr>
      </w:pPr>
      <w:r>
        <w:rPr>
          <w:rFonts w:ascii="宋体" w:hAnsi="宋体"/>
          <w:sz w:val="24"/>
        </w:rPr>
        <w:t>项目编号：____________     项目名称：____________</w:t>
      </w:r>
      <w:r>
        <w:rPr>
          <w:rFonts w:hint="eastAsia" w:ascii="宋体" w:hAnsi="宋体"/>
          <w:sz w:val="24"/>
        </w:rPr>
        <w:t>包号：</w:t>
      </w:r>
    </w:p>
    <w:tbl>
      <w:tblPr>
        <w:tblStyle w:val="24"/>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844"/>
        <w:gridCol w:w="1276"/>
        <w:gridCol w:w="1134"/>
      </w:tblGrid>
      <w:tr w14:paraId="1C25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1D39ECF">
            <w:pPr>
              <w:adjustRightInd w:val="0"/>
              <w:snapToGrid w:val="0"/>
              <w:jc w:val="center"/>
              <w:rPr>
                <w:rFonts w:ascii="宋体" w:hAnsi="宋体"/>
                <w:sz w:val="24"/>
              </w:rPr>
            </w:pPr>
            <w:r>
              <w:rPr>
                <w:rFonts w:hint="eastAsia" w:ascii="宋体" w:hAnsi="宋体"/>
                <w:sz w:val="24"/>
              </w:rPr>
              <w:t>序号</w:t>
            </w:r>
          </w:p>
        </w:tc>
        <w:tc>
          <w:tcPr>
            <w:tcW w:w="1291" w:type="dxa"/>
            <w:vAlign w:val="center"/>
          </w:tcPr>
          <w:p w14:paraId="4E803321">
            <w:pPr>
              <w:adjustRightInd w:val="0"/>
              <w:snapToGrid w:val="0"/>
              <w:jc w:val="center"/>
              <w:rPr>
                <w:rFonts w:ascii="宋体" w:hAnsi="宋体"/>
                <w:sz w:val="24"/>
              </w:rPr>
            </w:pPr>
            <w:r>
              <w:rPr>
                <w:rFonts w:hint="eastAsia" w:ascii="宋体" w:hAnsi="宋体"/>
                <w:sz w:val="24"/>
                <w:szCs w:val="21"/>
              </w:rPr>
              <w:t>招标文件</w:t>
            </w:r>
            <w:r>
              <w:rPr>
                <w:rFonts w:hint="eastAsia" w:ascii="宋体" w:hAnsi="宋体"/>
                <w:sz w:val="24"/>
              </w:rPr>
              <w:t>条目号（页码）</w:t>
            </w:r>
          </w:p>
        </w:tc>
        <w:tc>
          <w:tcPr>
            <w:tcW w:w="1981" w:type="dxa"/>
            <w:vAlign w:val="center"/>
          </w:tcPr>
          <w:p w14:paraId="27366137">
            <w:pPr>
              <w:adjustRightInd w:val="0"/>
              <w:snapToGrid w:val="0"/>
              <w:jc w:val="center"/>
              <w:rPr>
                <w:rFonts w:ascii="宋体" w:hAnsi="宋体"/>
                <w:sz w:val="24"/>
              </w:rPr>
            </w:pPr>
            <w:r>
              <w:rPr>
                <w:rFonts w:hint="eastAsia" w:ascii="宋体" w:hAnsi="宋体"/>
                <w:sz w:val="24"/>
                <w:szCs w:val="21"/>
              </w:rPr>
              <w:t>招标文件</w:t>
            </w:r>
            <w:r>
              <w:rPr>
                <w:rFonts w:hint="eastAsia" w:ascii="宋体" w:hAnsi="宋体"/>
                <w:sz w:val="24"/>
              </w:rPr>
              <w:t>要求</w:t>
            </w:r>
          </w:p>
        </w:tc>
        <w:tc>
          <w:tcPr>
            <w:tcW w:w="1844" w:type="dxa"/>
            <w:vAlign w:val="center"/>
          </w:tcPr>
          <w:p w14:paraId="6C3C47DB">
            <w:pPr>
              <w:adjustRightInd w:val="0"/>
              <w:snapToGrid w:val="0"/>
              <w:jc w:val="center"/>
              <w:rPr>
                <w:rFonts w:ascii="宋体" w:hAnsi="宋体"/>
                <w:sz w:val="24"/>
              </w:rPr>
            </w:pPr>
            <w:r>
              <w:rPr>
                <w:rFonts w:hint="eastAsia" w:ascii="宋体" w:hAnsi="宋体"/>
                <w:sz w:val="24"/>
              </w:rPr>
              <w:t>投标文件内容</w:t>
            </w:r>
          </w:p>
        </w:tc>
        <w:tc>
          <w:tcPr>
            <w:tcW w:w="1276" w:type="dxa"/>
            <w:vAlign w:val="center"/>
          </w:tcPr>
          <w:p w14:paraId="5F9D8455">
            <w:pPr>
              <w:adjustRightInd w:val="0"/>
              <w:snapToGrid w:val="0"/>
              <w:jc w:val="center"/>
              <w:rPr>
                <w:rFonts w:ascii="宋体" w:hAnsi="宋体"/>
                <w:sz w:val="24"/>
              </w:rPr>
            </w:pPr>
            <w:r>
              <w:rPr>
                <w:rFonts w:hint="eastAsia" w:ascii="宋体" w:hAnsi="宋体"/>
                <w:sz w:val="24"/>
              </w:rPr>
              <w:t>偏离情况</w:t>
            </w:r>
          </w:p>
        </w:tc>
        <w:tc>
          <w:tcPr>
            <w:tcW w:w="1134" w:type="dxa"/>
            <w:vAlign w:val="center"/>
          </w:tcPr>
          <w:p w14:paraId="38EAA0BF">
            <w:pPr>
              <w:adjustRightInd w:val="0"/>
              <w:snapToGrid w:val="0"/>
              <w:jc w:val="center"/>
              <w:rPr>
                <w:rFonts w:ascii="宋体" w:hAnsi="宋体"/>
                <w:sz w:val="24"/>
              </w:rPr>
            </w:pPr>
            <w:r>
              <w:rPr>
                <w:rFonts w:hint="eastAsia" w:ascii="宋体" w:hAnsi="宋体"/>
                <w:sz w:val="24"/>
              </w:rPr>
              <w:t>说明</w:t>
            </w:r>
          </w:p>
        </w:tc>
      </w:tr>
      <w:tr w14:paraId="72DE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54" w:type="dxa"/>
            <w:gridSpan w:val="6"/>
            <w:vAlign w:val="center"/>
          </w:tcPr>
          <w:p w14:paraId="6A8AEB32">
            <w:pPr>
              <w:widowControl/>
              <w:jc w:val="left"/>
              <w:rPr>
                <w:rFonts w:ascii="宋体" w:hAnsi="宋体"/>
              </w:rPr>
            </w:pPr>
            <w:r>
              <w:rPr>
                <w:rFonts w:hint="eastAsia" w:ascii="宋体" w:hAnsi="宋体" w:cs="宋体"/>
                <w:b/>
                <w:bCs/>
                <w:kern w:val="0"/>
                <w:sz w:val="24"/>
              </w:rPr>
              <w:t>对本项目商务条款偏离情况</w:t>
            </w:r>
            <w:r>
              <w:rPr>
                <w:rFonts w:hint="eastAsia" w:ascii="宋体" w:hAnsi="宋体" w:cs="宋体"/>
                <w:kern w:val="0"/>
                <w:sz w:val="24"/>
              </w:rPr>
              <w:t>（应进行选择，未选择</w:t>
            </w:r>
            <w:r>
              <w:rPr>
                <w:rFonts w:hint="eastAsia" w:ascii="宋体" w:hAnsi="宋体" w:cs="宋体"/>
                <w:b/>
                <w:bCs/>
                <w:kern w:val="0"/>
                <w:sz w:val="24"/>
              </w:rPr>
              <w:t>投标无效</w:t>
            </w:r>
            <w:r>
              <w:rPr>
                <w:rFonts w:hint="eastAsia" w:ascii="宋体" w:hAnsi="宋体" w:cs="宋体"/>
                <w:kern w:val="0"/>
                <w:sz w:val="24"/>
              </w:rPr>
              <w:t>）：</w:t>
            </w:r>
          </w:p>
          <w:p w14:paraId="6E6DCCCE">
            <w:pPr>
              <w:widowControl/>
              <w:jc w:val="left"/>
              <w:rPr>
                <w:rFonts w:ascii="宋体" w:hAnsi="宋体"/>
              </w:rPr>
            </w:pPr>
            <w:r>
              <w:rPr>
                <w:rFonts w:ascii="宋体" w:hAnsi="宋体" w:cs="DejaVuSans-Bold"/>
                <w:b/>
                <w:bCs/>
                <w:kern w:val="0"/>
                <w:sz w:val="24"/>
              </w:rPr>
              <w:t>□</w:t>
            </w:r>
            <w:r>
              <w:rPr>
                <w:rFonts w:hint="eastAsia" w:ascii="宋体" w:hAnsi="宋体" w:cs="宋体"/>
                <w:b/>
                <w:bCs/>
                <w:kern w:val="0"/>
                <w:sz w:val="24"/>
              </w:rPr>
              <w:t>无偏离</w:t>
            </w:r>
            <w:r>
              <w:rPr>
                <w:rFonts w:hint="eastAsia" w:ascii="宋体" w:hAnsi="宋体" w:cs="宋体"/>
                <w:kern w:val="0"/>
                <w:sz w:val="24"/>
              </w:rPr>
              <w:t>（如无偏离，仅选择无偏离即可；无偏离即为对商务条款中的所有要求，均视作供应商已对之理解和响应。）</w:t>
            </w:r>
          </w:p>
          <w:p w14:paraId="0556ED68">
            <w:pPr>
              <w:widowControl/>
              <w:jc w:val="left"/>
              <w:rPr>
                <w:rFonts w:ascii="宋体" w:hAnsi="宋体"/>
                <w:sz w:val="24"/>
              </w:rPr>
            </w:pPr>
            <w:r>
              <w:rPr>
                <w:rFonts w:ascii="宋体" w:hAnsi="宋体" w:cs="DejaVuSans-Bold"/>
                <w:b/>
                <w:bCs/>
                <w:kern w:val="0"/>
                <w:sz w:val="24"/>
              </w:rPr>
              <w:t>□</w:t>
            </w:r>
            <w:r>
              <w:rPr>
                <w:rFonts w:hint="eastAsia" w:ascii="宋体" w:hAnsi="宋体" w:cs="宋体"/>
                <w:b/>
                <w:bCs/>
                <w:kern w:val="0"/>
                <w:sz w:val="24"/>
              </w:rPr>
              <w:t>有偏离</w:t>
            </w:r>
            <w:r>
              <w:rPr>
                <w:rFonts w:hint="eastAsia" w:ascii="宋体" w:hAnsi="宋体" w:cs="宋体"/>
                <w:kern w:val="0"/>
                <w:sz w:val="24"/>
              </w:rPr>
              <w:t>（如有偏离，则应在本表中对偏离项逐一列明，否则</w:t>
            </w:r>
            <w:r>
              <w:rPr>
                <w:rFonts w:hint="eastAsia" w:ascii="宋体" w:hAnsi="宋体" w:cs="宋体"/>
                <w:b/>
                <w:bCs/>
                <w:kern w:val="0"/>
                <w:sz w:val="24"/>
              </w:rPr>
              <w:t>投标无效</w:t>
            </w:r>
            <w:r>
              <w:rPr>
                <w:rFonts w:hint="eastAsia" w:ascii="宋体" w:hAnsi="宋体" w:cs="宋体"/>
                <w:kern w:val="0"/>
                <w:sz w:val="24"/>
              </w:rPr>
              <w:t>；对商务条款中的所有要求，除本表列明的偏离外，均视作供应商已对之理解和响应。）</w:t>
            </w:r>
          </w:p>
        </w:tc>
      </w:tr>
      <w:tr w14:paraId="230D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6DFA17F">
            <w:pPr>
              <w:adjustRightInd w:val="0"/>
              <w:snapToGrid w:val="0"/>
              <w:jc w:val="center"/>
              <w:rPr>
                <w:rFonts w:ascii="宋体" w:hAnsi="宋体"/>
                <w:sz w:val="24"/>
              </w:rPr>
            </w:pPr>
          </w:p>
        </w:tc>
        <w:tc>
          <w:tcPr>
            <w:tcW w:w="1291" w:type="dxa"/>
            <w:vAlign w:val="center"/>
          </w:tcPr>
          <w:p w14:paraId="5C4357C8">
            <w:pPr>
              <w:adjustRightInd w:val="0"/>
              <w:snapToGrid w:val="0"/>
              <w:jc w:val="center"/>
              <w:rPr>
                <w:rFonts w:ascii="宋体" w:hAnsi="宋体"/>
                <w:sz w:val="24"/>
              </w:rPr>
            </w:pPr>
          </w:p>
        </w:tc>
        <w:tc>
          <w:tcPr>
            <w:tcW w:w="1981" w:type="dxa"/>
            <w:vAlign w:val="center"/>
          </w:tcPr>
          <w:p w14:paraId="1E8B7AE9">
            <w:pPr>
              <w:adjustRightInd w:val="0"/>
              <w:snapToGrid w:val="0"/>
              <w:jc w:val="center"/>
              <w:rPr>
                <w:rFonts w:ascii="宋体" w:hAnsi="宋体"/>
                <w:sz w:val="24"/>
              </w:rPr>
            </w:pPr>
          </w:p>
        </w:tc>
        <w:tc>
          <w:tcPr>
            <w:tcW w:w="1844" w:type="dxa"/>
            <w:vAlign w:val="center"/>
          </w:tcPr>
          <w:p w14:paraId="67F6FBA8">
            <w:pPr>
              <w:adjustRightInd w:val="0"/>
              <w:snapToGrid w:val="0"/>
              <w:jc w:val="center"/>
              <w:rPr>
                <w:rFonts w:ascii="宋体" w:hAnsi="宋体"/>
                <w:sz w:val="24"/>
              </w:rPr>
            </w:pPr>
          </w:p>
        </w:tc>
        <w:tc>
          <w:tcPr>
            <w:tcW w:w="1276" w:type="dxa"/>
            <w:vAlign w:val="center"/>
          </w:tcPr>
          <w:p w14:paraId="09215305">
            <w:pPr>
              <w:adjustRightInd w:val="0"/>
              <w:snapToGrid w:val="0"/>
              <w:jc w:val="center"/>
              <w:rPr>
                <w:rFonts w:ascii="宋体" w:hAnsi="宋体"/>
                <w:sz w:val="24"/>
              </w:rPr>
            </w:pPr>
          </w:p>
        </w:tc>
        <w:tc>
          <w:tcPr>
            <w:tcW w:w="1134" w:type="dxa"/>
            <w:vAlign w:val="center"/>
          </w:tcPr>
          <w:p w14:paraId="5E7AAB60">
            <w:pPr>
              <w:adjustRightInd w:val="0"/>
              <w:snapToGrid w:val="0"/>
              <w:jc w:val="center"/>
              <w:rPr>
                <w:rFonts w:ascii="宋体" w:hAnsi="宋体"/>
                <w:sz w:val="24"/>
              </w:rPr>
            </w:pPr>
          </w:p>
        </w:tc>
      </w:tr>
      <w:tr w14:paraId="13B1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3AC5FD5">
            <w:pPr>
              <w:adjustRightInd w:val="0"/>
              <w:snapToGrid w:val="0"/>
              <w:jc w:val="center"/>
              <w:rPr>
                <w:rFonts w:ascii="宋体" w:hAnsi="宋体"/>
                <w:sz w:val="24"/>
              </w:rPr>
            </w:pPr>
          </w:p>
        </w:tc>
        <w:tc>
          <w:tcPr>
            <w:tcW w:w="1291" w:type="dxa"/>
            <w:vAlign w:val="center"/>
          </w:tcPr>
          <w:p w14:paraId="16E5454C">
            <w:pPr>
              <w:adjustRightInd w:val="0"/>
              <w:snapToGrid w:val="0"/>
              <w:jc w:val="center"/>
              <w:rPr>
                <w:rFonts w:ascii="宋体" w:hAnsi="宋体"/>
                <w:sz w:val="24"/>
              </w:rPr>
            </w:pPr>
          </w:p>
        </w:tc>
        <w:tc>
          <w:tcPr>
            <w:tcW w:w="1981" w:type="dxa"/>
            <w:vAlign w:val="center"/>
          </w:tcPr>
          <w:p w14:paraId="74A0430E">
            <w:pPr>
              <w:adjustRightInd w:val="0"/>
              <w:snapToGrid w:val="0"/>
              <w:jc w:val="center"/>
              <w:rPr>
                <w:rFonts w:ascii="宋体" w:hAnsi="宋体"/>
                <w:sz w:val="24"/>
              </w:rPr>
            </w:pPr>
          </w:p>
        </w:tc>
        <w:tc>
          <w:tcPr>
            <w:tcW w:w="1844" w:type="dxa"/>
            <w:vAlign w:val="center"/>
          </w:tcPr>
          <w:p w14:paraId="4339771B">
            <w:pPr>
              <w:adjustRightInd w:val="0"/>
              <w:snapToGrid w:val="0"/>
              <w:jc w:val="center"/>
              <w:rPr>
                <w:rFonts w:ascii="宋体" w:hAnsi="宋体"/>
                <w:sz w:val="24"/>
              </w:rPr>
            </w:pPr>
          </w:p>
        </w:tc>
        <w:tc>
          <w:tcPr>
            <w:tcW w:w="1276" w:type="dxa"/>
            <w:vAlign w:val="center"/>
          </w:tcPr>
          <w:p w14:paraId="0E9B2CF0">
            <w:pPr>
              <w:adjustRightInd w:val="0"/>
              <w:snapToGrid w:val="0"/>
              <w:jc w:val="center"/>
              <w:rPr>
                <w:rFonts w:ascii="宋体" w:hAnsi="宋体"/>
                <w:sz w:val="24"/>
              </w:rPr>
            </w:pPr>
          </w:p>
        </w:tc>
        <w:tc>
          <w:tcPr>
            <w:tcW w:w="1134" w:type="dxa"/>
            <w:vAlign w:val="center"/>
          </w:tcPr>
          <w:p w14:paraId="7217BCC4">
            <w:pPr>
              <w:adjustRightInd w:val="0"/>
              <w:snapToGrid w:val="0"/>
              <w:jc w:val="center"/>
              <w:rPr>
                <w:rFonts w:ascii="宋体" w:hAnsi="宋体"/>
                <w:sz w:val="24"/>
              </w:rPr>
            </w:pPr>
          </w:p>
        </w:tc>
      </w:tr>
      <w:tr w14:paraId="1552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E6BF02C">
            <w:pPr>
              <w:adjustRightInd w:val="0"/>
              <w:snapToGrid w:val="0"/>
              <w:jc w:val="center"/>
              <w:rPr>
                <w:rFonts w:ascii="宋体" w:hAnsi="宋体"/>
                <w:sz w:val="24"/>
              </w:rPr>
            </w:pPr>
          </w:p>
        </w:tc>
        <w:tc>
          <w:tcPr>
            <w:tcW w:w="1291" w:type="dxa"/>
            <w:vAlign w:val="center"/>
          </w:tcPr>
          <w:p w14:paraId="2DE9989C">
            <w:pPr>
              <w:adjustRightInd w:val="0"/>
              <w:snapToGrid w:val="0"/>
              <w:jc w:val="center"/>
              <w:rPr>
                <w:rFonts w:ascii="宋体" w:hAnsi="宋体"/>
                <w:sz w:val="24"/>
              </w:rPr>
            </w:pPr>
          </w:p>
        </w:tc>
        <w:tc>
          <w:tcPr>
            <w:tcW w:w="1981" w:type="dxa"/>
            <w:vAlign w:val="center"/>
          </w:tcPr>
          <w:p w14:paraId="75905D3A">
            <w:pPr>
              <w:adjustRightInd w:val="0"/>
              <w:snapToGrid w:val="0"/>
              <w:jc w:val="center"/>
              <w:rPr>
                <w:rFonts w:ascii="宋体" w:hAnsi="宋体"/>
                <w:sz w:val="24"/>
              </w:rPr>
            </w:pPr>
          </w:p>
        </w:tc>
        <w:tc>
          <w:tcPr>
            <w:tcW w:w="1844" w:type="dxa"/>
            <w:vAlign w:val="center"/>
          </w:tcPr>
          <w:p w14:paraId="3E5581FE">
            <w:pPr>
              <w:adjustRightInd w:val="0"/>
              <w:snapToGrid w:val="0"/>
              <w:jc w:val="center"/>
              <w:rPr>
                <w:rFonts w:ascii="宋体" w:hAnsi="宋体"/>
                <w:sz w:val="24"/>
              </w:rPr>
            </w:pPr>
          </w:p>
        </w:tc>
        <w:tc>
          <w:tcPr>
            <w:tcW w:w="1276" w:type="dxa"/>
            <w:vAlign w:val="center"/>
          </w:tcPr>
          <w:p w14:paraId="7168B3EE">
            <w:pPr>
              <w:adjustRightInd w:val="0"/>
              <w:snapToGrid w:val="0"/>
              <w:jc w:val="center"/>
              <w:rPr>
                <w:rFonts w:ascii="宋体" w:hAnsi="宋体"/>
                <w:sz w:val="24"/>
              </w:rPr>
            </w:pPr>
          </w:p>
        </w:tc>
        <w:tc>
          <w:tcPr>
            <w:tcW w:w="1134" w:type="dxa"/>
            <w:vAlign w:val="center"/>
          </w:tcPr>
          <w:p w14:paraId="58CB9650">
            <w:pPr>
              <w:adjustRightInd w:val="0"/>
              <w:snapToGrid w:val="0"/>
              <w:jc w:val="center"/>
              <w:rPr>
                <w:rFonts w:ascii="宋体" w:hAnsi="宋体"/>
                <w:sz w:val="24"/>
              </w:rPr>
            </w:pPr>
          </w:p>
        </w:tc>
      </w:tr>
    </w:tbl>
    <w:p w14:paraId="15645301">
      <w:pPr>
        <w:tabs>
          <w:tab w:val="left" w:pos="1800"/>
          <w:tab w:val="left" w:pos="5580"/>
        </w:tabs>
        <w:spacing w:line="360" w:lineRule="auto"/>
        <w:jc w:val="left"/>
        <w:rPr>
          <w:rFonts w:ascii="宋体" w:hAnsi="宋体"/>
          <w:sz w:val="24"/>
        </w:rPr>
      </w:pPr>
      <w:r>
        <w:rPr>
          <w:rFonts w:ascii="宋体" w:hAnsi="宋体"/>
          <w:sz w:val="24"/>
        </w:rPr>
        <w:t>注：</w:t>
      </w:r>
    </w:p>
    <w:p w14:paraId="44D0FDB1">
      <w:pPr>
        <w:tabs>
          <w:tab w:val="left" w:pos="1800"/>
          <w:tab w:val="left" w:pos="5580"/>
        </w:tabs>
        <w:spacing w:line="360" w:lineRule="auto"/>
        <w:jc w:val="left"/>
        <w:rPr>
          <w:rFonts w:ascii="宋体" w:hAnsi="宋体"/>
          <w:sz w:val="24"/>
        </w:rPr>
      </w:pPr>
      <w:r>
        <w:rPr>
          <w:rFonts w:hint="eastAsia" w:ascii="宋体" w:hAnsi="宋体"/>
          <w:sz w:val="24"/>
        </w:rPr>
        <w:t>1.商务条款指：招标文件第五章采购需求 “二、商务要求”及第六章“拟签订的合同文本”</w:t>
      </w:r>
    </w:p>
    <w:p w14:paraId="20A14F36">
      <w:pPr>
        <w:rPr>
          <w:rFonts w:ascii="宋体" w:hAnsi="宋体" w:cs="宋体"/>
          <w:sz w:val="24"/>
        </w:rPr>
      </w:pPr>
      <w:r>
        <w:rPr>
          <w:rFonts w:hint="eastAsia" w:ascii="宋体" w:hAnsi="宋体" w:cs="宋体"/>
          <w:sz w:val="24"/>
        </w:rPr>
        <w:t>2.如项目划分采购包，则本表应按包分别填写。</w:t>
      </w:r>
    </w:p>
    <w:p w14:paraId="67689146">
      <w:pPr>
        <w:autoSpaceDE w:val="0"/>
        <w:autoSpaceDN w:val="0"/>
        <w:adjustRightInd w:val="0"/>
        <w:snapToGrid w:val="0"/>
        <w:spacing w:before="25" w:after="25" w:line="360" w:lineRule="auto"/>
        <w:rPr>
          <w:rFonts w:ascii="宋体" w:hAnsi="宋体"/>
          <w:sz w:val="24"/>
        </w:rPr>
      </w:pPr>
    </w:p>
    <w:p w14:paraId="319A0F49">
      <w:pPr>
        <w:autoSpaceDE w:val="0"/>
        <w:autoSpaceDN w:val="0"/>
        <w:adjustRightInd w:val="0"/>
        <w:snapToGrid w:val="0"/>
        <w:spacing w:before="25" w:after="25" w:line="360" w:lineRule="auto"/>
        <w:rPr>
          <w:rFonts w:ascii="宋体" w:hAnsi="宋体"/>
          <w:sz w:val="24"/>
        </w:rPr>
      </w:pPr>
    </w:p>
    <w:p w14:paraId="7E4929B9">
      <w:pPr>
        <w:autoSpaceDE w:val="0"/>
        <w:autoSpaceDN w:val="0"/>
        <w:adjustRightInd w:val="0"/>
        <w:snapToGrid w:val="0"/>
        <w:spacing w:before="25" w:after="25" w:line="360" w:lineRule="auto"/>
        <w:rPr>
          <w:rFonts w:ascii="宋体" w:hAnsi="宋体"/>
          <w:sz w:val="24"/>
        </w:rPr>
      </w:pPr>
    </w:p>
    <w:p w14:paraId="57D2A5FA">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473646C1">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日期：_____年_____月_____日</w:t>
      </w:r>
    </w:p>
    <w:p w14:paraId="08453947">
      <w:pPr>
        <w:rPr>
          <w:rFonts w:ascii="宋体" w:hAnsi="宋体"/>
          <w:sz w:val="24"/>
          <w:szCs w:val="20"/>
        </w:rPr>
      </w:pPr>
      <w:r>
        <w:rPr>
          <w:rFonts w:ascii="宋体" w:hAnsi="宋体"/>
          <w:sz w:val="24"/>
          <w:szCs w:val="20"/>
        </w:rPr>
        <w:br w:type="page"/>
      </w:r>
    </w:p>
    <w:p w14:paraId="62B30021">
      <w:pPr>
        <w:spacing w:line="360" w:lineRule="auto"/>
        <w:outlineLvl w:val="2"/>
        <w:rPr>
          <w:rFonts w:ascii="宋体" w:hAnsi="宋体"/>
          <w:sz w:val="24"/>
          <w:szCs w:val="20"/>
        </w:rPr>
      </w:pPr>
      <w:r>
        <w:rPr>
          <w:rFonts w:hint="eastAsia" w:ascii="宋体" w:hAnsi="宋体"/>
          <w:sz w:val="24"/>
          <w:szCs w:val="20"/>
        </w:rPr>
        <w:t>6</w:t>
      </w:r>
      <w:r>
        <w:rPr>
          <w:rFonts w:ascii="宋体" w:hAnsi="宋体"/>
          <w:sz w:val="24"/>
          <w:szCs w:val="20"/>
        </w:rPr>
        <w:t xml:space="preserve">  </w:t>
      </w:r>
      <w:bookmarkEnd w:id="880"/>
      <w:bookmarkEnd w:id="881"/>
      <w:bookmarkEnd w:id="882"/>
      <w:bookmarkEnd w:id="883"/>
      <w:bookmarkEnd w:id="884"/>
      <w:bookmarkEnd w:id="885"/>
      <w:bookmarkEnd w:id="886"/>
      <w:bookmarkEnd w:id="887"/>
      <w:bookmarkEnd w:id="888"/>
      <w:bookmarkEnd w:id="889"/>
      <w:bookmarkEnd w:id="890"/>
      <w:bookmarkEnd w:id="891"/>
      <w:bookmarkEnd w:id="892"/>
      <w:r>
        <w:rPr>
          <w:rFonts w:ascii="宋体" w:hAnsi="宋体"/>
          <w:sz w:val="24"/>
          <w:szCs w:val="20"/>
        </w:rPr>
        <w:t>采购需求偏离表（实质性格式）</w:t>
      </w:r>
    </w:p>
    <w:p w14:paraId="0818D9B1">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采购需求偏离表</w:t>
      </w:r>
    </w:p>
    <w:p w14:paraId="3C641DC3">
      <w:pPr>
        <w:tabs>
          <w:tab w:val="left" w:pos="1800"/>
          <w:tab w:val="left" w:pos="5580"/>
        </w:tabs>
        <w:spacing w:line="360" w:lineRule="auto"/>
        <w:jc w:val="left"/>
        <w:rPr>
          <w:rFonts w:ascii="宋体" w:hAnsi="宋体"/>
          <w:sz w:val="24"/>
          <w:u w:val="single"/>
        </w:rPr>
      </w:pPr>
      <w:r>
        <w:rPr>
          <w:rFonts w:ascii="宋体" w:hAnsi="宋体"/>
          <w:sz w:val="24"/>
        </w:rPr>
        <w:t>项目编号：________     项目名称：____________</w:t>
      </w:r>
      <w:r>
        <w:rPr>
          <w:rFonts w:hint="eastAsia" w:ascii="宋体" w:hAnsi="宋体"/>
          <w:sz w:val="24"/>
        </w:rPr>
        <w:t xml:space="preserve"> </w:t>
      </w:r>
    </w:p>
    <w:tbl>
      <w:tblPr>
        <w:tblStyle w:val="24"/>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86"/>
        <w:gridCol w:w="1701"/>
        <w:gridCol w:w="1418"/>
        <w:gridCol w:w="1005"/>
      </w:tblGrid>
      <w:tr w14:paraId="1573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67D6A019">
            <w:pPr>
              <w:adjustRightInd w:val="0"/>
              <w:snapToGrid w:val="0"/>
              <w:jc w:val="center"/>
              <w:rPr>
                <w:rFonts w:ascii="宋体" w:hAnsi="宋体"/>
                <w:sz w:val="24"/>
              </w:rPr>
            </w:pPr>
            <w:r>
              <w:rPr>
                <w:rFonts w:hint="eastAsia" w:ascii="宋体" w:hAnsi="宋体"/>
                <w:sz w:val="24"/>
              </w:rPr>
              <w:t>序号</w:t>
            </w:r>
          </w:p>
        </w:tc>
        <w:tc>
          <w:tcPr>
            <w:tcW w:w="1482" w:type="dxa"/>
            <w:vAlign w:val="center"/>
          </w:tcPr>
          <w:p w14:paraId="2FC8CC41">
            <w:pPr>
              <w:adjustRightInd w:val="0"/>
              <w:snapToGrid w:val="0"/>
              <w:jc w:val="center"/>
              <w:rPr>
                <w:rFonts w:ascii="宋体" w:hAnsi="宋体"/>
                <w:sz w:val="24"/>
              </w:rPr>
            </w:pPr>
            <w:r>
              <w:rPr>
                <w:rFonts w:hint="eastAsia" w:ascii="宋体" w:hAnsi="宋体"/>
                <w:sz w:val="24"/>
              </w:rPr>
              <w:t>招标文件条目号（页码）</w:t>
            </w:r>
          </w:p>
        </w:tc>
        <w:tc>
          <w:tcPr>
            <w:tcW w:w="1886" w:type="dxa"/>
            <w:vAlign w:val="center"/>
          </w:tcPr>
          <w:p w14:paraId="4550A60A">
            <w:pPr>
              <w:adjustRightInd w:val="0"/>
              <w:snapToGrid w:val="0"/>
              <w:jc w:val="center"/>
              <w:rPr>
                <w:rFonts w:ascii="宋体" w:hAnsi="宋体"/>
                <w:sz w:val="24"/>
              </w:rPr>
            </w:pPr>
            <w:r>
              <w:rPr>
                <w:rFonts w:hint="eastAsia" w:ascii="宋体" w:hAnsi="宋体"/>
                <w:sz w:val="24"/>
              </w:rPr>
              <w:t>招标文件要求</w:t>
            </w:r>
          </w:p>
        </w:tc>
        <w:tc>
          <w:tcPr>
            <w:tcW w:w="1701" w:type="dxa"/>
            <w:vAlign w:val="center"/>
          </w:tcPr>
          <w:p w14:paraId="41FEB1F6">
            <w:pPr>
              <w:adjustRightInd w:val="0"/>
              <w:snapToGrid w:val="0"/>
              <w:jc w:val="center"/>
              <w:rPr>
                <w:rFonts w:ascii="宋体" w:hAnsi="宋体"/>
                <w:sz w:val="24"/>
              </w:rPr>
            </w:pPr>
            <w:r>
              <w:rPr>
                <w:rFonts w:hint="eastAsia" w:ascii="宋体" w:hAnsi="宋体"/>
                <w:sz w:val="24"/>
              </w:rPr>
              <w:t>投标响应内容</w:t>
            </w:r>
          </w:p>
        </w:tc>
        <w:tc>
          <w:tcPr>
            <w:tcW w:w="1418" w:type="dxa"/>
            <w:vAlign w:val="center"/>
          </w:tcPr>
          <w:p w14:paraId="62FE0C85">
            <w:pPr>
              <w:adjustRightInd w:val="0"/>
              <w:snapToGrid w:val="0"/>
              <w:jc w:val="center"/>
              <w:rPr>
                <w:rFonts w:ascii="宋体" w:hAnsi="宋体"/>
                <w:sz w:val="24"/>
              </w:rPr>
            </w:pPr>
            <w:r>
              <w:rPr>
                <w:rFonts w:hint="eastAsia" w:ascii="宋体" w:hAnsi="宋体"/>
                <w:sz w:val="24"/>
              </w:rPr>
              <w:t>偏离情况</w:t>
            </w:r>
          </w:p>
        </w:tc>
        <w:tc>
          <w:tcPr>
            <w:tcW w:w="1005" w:type="dxa"/>
            <w:vAlign w:val="center"/>
          </w:tcPr>
          <w:p w14:paraId="47334892">
            <w:pPr>
              <w:adjustRightInd w:val="0"/>
              <w:snapToGrid w:val="0"/>
              <w:jc w:val="center"/>
              <w:rPr>
                <w:rFonts w:ascii="宋体" w:hAnsi="宋体"/>
                <w:sz w:val="24"/>
              </w:rPr>
            </w:pPr>
            <w:r>
              <w:rPr>
                <w:rFonts w:hint="eastAsia" w:ascii="宋体" w:hAnsi="宋体"/>
                <w:sz w:val="24"/>
              </w:rPr>
              <w:t>说明</w:t>
            </w:r>
          </w:p>
        </w:tc>
      </w:tr>
      <w:tr w14:paraId="05FA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327F25">
            <w:pPr>
              <w:adjustRightInd w:val="0"/>
              <w:snapToGrid w:val="0"/>
              <w:jc w:val="center"/>
              <w:rPr>
                <w:rFonts w:ascii="宋体" w:hAnsi="宋体"/>
                <w:sz w:val="24"/>
              </w:rPr>
            </w:pPr>
          </w:p>
        </w:tc>
        <w:tc>
          <w:tcPr>
            <w:tcW w:w="1482" w:type="dxa"/>
            <w:vAlign w:val="center"/>
          </w:tcPr>
          <w:p w14:paraId="1E4472EE">
            <w:pPr>
              <w:adjustRightInd w:val="0"/>
              <w:snapToGrid w:val="0"/>
              <w:jc w:val="center"/>
              <w:rPr>
                <w:rFonts w:ascii="宋体" w:hAnsi="宋体"/>
                <w:sz w:val="24"/>
              </w:rPr>
            </w:pPr>
          </w:p>
        </w:tc>
        <w:tc>
          <w:tcPr>
            <w:tcW w:w="1886" w:type="dxa"/>
            <w:vAlign w:val="center"/>
          </w:tcPr>
          <w:p w14:paraId="42F9C8B0">
            <w:pPr>
              <w:adjustRightInd w:val="0"/>
              <w:snapToGrid w:val="0"/>
              <w:jc w:val="center"/>
              <w:rPr>
                <w:rFonts w:ascii="宋体" w:hAnsi="宋体"/>
                <w:sz w:val="24"/>
              </w:rPr>
            </w:pPr>
          </w:p>
        </w:tc>
        <w:tc>
          <w:tcPr>
            <w:tcW w:w="1701" w:type="dxa"/>
            <w:vAlign w:val="center"/>
          </w:tcPr>
          <w:p w14:paraId="0394D292">
            <w:pPr>
              <w:adjustRightInd w:val="0"/>
              <w:snapToGrid w:val="0"/>
              <w:jc w:val="center"/>
              <w:rPr>
                <w:rFonts w:ascii="宋体" w:hAnsi="宋体"/>
                <w:sz w:val="24"/>
              </w:rPr>
            </w:pPr>
          </w:p>
        </w:tc>
        <w:tc>
          <w:tcPr>
            <w:tcW w:w="1418" w:type="dxa"/>
            <w:vAlign w:val="center"/>
          </w:tcPr>
          <w:p w14:paraId="7F5EDB37">
            <w:pPr>
              <w:adjustRightInd w:val="0"/>
              <w:snapToGrid w:val="0"/>
              <w:jc w:val="center"/>
              <w:rPr>
                <w:rFonts w:ascii="宋体" w:hAnsi="宋体"/>
                <w:sz w:val="24"/>
              </w:rPr>
            </w:pPr>
          </w:p>
        </w:tc>
        <w:tc>
          <w:tcPr>
            <w:tcW w:w="1005" w:type="dxa"/>
            <w:vAlign w:val="center"/>
          </w:tcPr>
          <w:p w14:paraId="750CC550">
            <w:pPr>
              <w:adjustRightInd w:val="0"/>
              <w:snapToGrid w:val="0"/>
              <w:jc w:val="center"/>
              <w:rPr>
                <w:rFonts w:ascii="宋体" w:hAnsi="宋体"/>
                <w:sz w:val="24"/>
              </w:rPr>
            </w:pPr>
          </w:p>
        </w:tc>
      </w:tr>
      <w:tr w14:paraId="0236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692AB12">
            <w:pPr>
              <w:adjustRightInd w:val="0"/>
              <w:snapToGrid w:val="0"/>
              <w:jc w:val="center"/>
              <w:rPr>
                <w:rFonts w:ascii="宋体" w:hAnsi="宋体"/>
                <w:sz w:val="24"/>
              </w:rPr>
            </w:pPr>
          </w:p>
        </w:tc>
        <w:tc>
          <w:tcPr>
            <w:tcW w:w="1482" w:type="dxa"/>
            <w:vAlign w:val="center"/>
          </w:tcPr>
          <w:p w14:paraId="73B9C3E0">
            <w:pPr>
              <w:adjustRightInd w:val="0"/>
              <w:snapToGrid w:val="0"/>
              <w:jc w:val="center"/>
              <w:rPr>
                <w:rFonts w:ascii="宋体" w:hAnsi="宋体"/>
                <w:sz w:val="24"/>
              </w:rPr>
            </w:pPr>
          </w:p>
        </w:tc>
        <w:tc>
          <w:tcPr>
            <w:tcW w:w="1886" w:type="dxa"/>
            <w:vAlign w:val="center"/>
          </w:tcPr>
          <w:p w14:paraId="389C6FC5">
            <w:pPr>
              <w:adjustRightInd w:val="0"/>
              <w:snapToGrid w:val="0"/>
              <w:jc w:val="center"/>
              <w:rPr>
                <w:rFonts w:ascii="宋体" w:hAnsi="宋体"/>
                <w:sz w:val="24"/>
              </w:rPr>
            </w:pPr>
          </w:p>
        </w:tc>
        <w:tc>
          <w:tcPr>
            <w:tcW w:w="1701" w:type="dxa"/>
            <w:vAlign w:val="center"/>
          </w:tcPr>
          <w:p w14:paraId="6478BB18">
            <w:pPr>
              <w:adjustRightInd w:val="0"/>
              <w:snapToGrid w:val="0"/>
              <w:jc w:val="center"/>
              <w:rPr>
                <w:rFonts w:ascii="宋体" w:hAnsi="宋体"/>
                <w:sz w:val="24"/>
              </w:rPr>
            </w:pPr>
          </w:p>
        </w:tc>
        <w:tc>
          <w:tcPr>
            <w:tcW w:w="1418" w:type="dxa"/>
            <w:vAlign w:val="center"/>
          </w:tcPr>
          <w:p w14:paraId="06AE8275">
            <w:pPr>
              <w:adjustRightInd w:val="0"/>
              <w:snapToGrid w:val="0"/>
              <w:jc w:val="center"/>
              <w:rPr>
                <w:rFonts w:ascii="宋体" w:hAnsi="宋体"/>
                <w:sz w:val="24"/>
              </w:rPr>
            </w:pPr>
          </w:p>
        </w:tc>
        <w:tc>
          <w:tcPr>
            <w:tcW w:w="1005" w:type="dxa"/>
            <w:vAlign w:val="center"/>
          </w:tcPr>
          <w:p w14:paraId="6FCF63D8">
            <w:pPr>
              <w:adjustRightInd w:val="0"/>
              <w:snapToGrid w:val="0"/>
              <w:jc w:val="center"/>
              <w:rPr>
                <w:rFonts w:ascii="宋体" w:hAnsi="宋体"/>
                <w:sz w:val="24"/>
              </w:rPr>
            </w:pPr>
          </w:p>
        </w:tc>
      </w:tr>
      <w:tr w14:paraId="2950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876468">
            <w:pPr>
              <w:adjustRightInd w:val="0"/>
              <w:snapToGrid w:val="0"/>
              <w:jc w:val="center"/>
              <w:rPr>
                <w:rFonts w:ascii="宋体" w:hAnsi="宋体"/>
                <w:sz w:val="24"/>
              </w:rPr>
            </w:pPr>
          </w:p>
        </w:tc>
        <w:tc>
          <w:tcPr>
            <w:tcW w:w="1482" w:type="dxa"/>
            <w:vAlign w:val="center"/>
          </w:tcPr>
          <w:p w14:paraId="7D23D06F">
            <w:pPr>
              <w:adjustRightInd w:val="0"/>
              <w:snapToGrid w:val="0"/>
              <w:jc w:val="center"/>
              <w:rPr>
                <w:rFonts w:ascii="宋体" w:hAnsi="宋体"/>
                <w:sz w:val="24"/>
              </w:rPr>
            </w:pPr>
          </w:p>
        </w:tc>
        <w:tc>
          <w:tcPr>
            <w:tcW w:w="1886" w:type="dxa"/>
            <w:vAlign w:val="center"/>
          </w:tcPr>
          <w:p w14:paraId="62001D65">
            <w:pPr>
              <w:adjustRightInd w:val="0"/>
              <w:snapToGrid w:val="0"/>
              <w:jc w:val="center"/>
              <w:rPr>
                <w:rFonts w:ascii="宋体" w:hAnsi="宋体"/>
                <w:sz w:val="24"/>
              </w:rPr>
            </w:pPr>
          </w:p>
        </w:tc>
        <w:tc>
          <w:tcPr>
            <w:tcW w:w="1701" w:type="dxa"/>
            <w:vAlign w:val="center"/>
          </w:tcPr>
          <w:p w14:paraId="39749B43">
            <w:pPr>
              <w:adjustRightInd w:val="0"/>
              <w:snapToGrid w:val="0"/>
              <w:jc w:val="center"/>
              <w:rPr>
                <w:rFonts w:ascii="宋体" w:hAnsi="宋体"/>
                <w:sz w:val="24"/>
              </w:rPr>
            </w:pPr>
          </w:p>
        </w:tc>
        <w:tc>
          <w:tcPr>
            <w:tcW w:w="1418" w:type="dxa"/>
            <w:vAlign w:val="center"/>
          </w:tcPr>
          <w:p w14:paraId="49751E93">
            <w:pPr>
              <w:adjustRightInd w:val="0"/>
              <w:snapToGrid w:val="0"/>
              <w:jc w:val="center"/>
              <w:rPr>
                <w:rFonts w:ascii="宋体" w:hAnsi="宋体"/>
                <w:sz w:val="24"/>
              </w:rPr>
            </w:pPr>
          </w:p>
        </w:tc>
        <w:tc>
          <w:tcPr>
            <w:tcW w:w="1005" w:type="dxa"/>
            <w:vAlign w:val="center"/>
          </w:tcPr>
          <w:p w14:paraId="2D22C0F3">
            <w:pPr>
              <w:adjustRightInd w:val="0"/>
              <w:snapToGrid w:val="0"/>
              <w:jc w:val="center"/>
              <w:rPr>
                <w:rFonts w:ascii="宋体" w:hAnsi="宋体"/>
                <w:sz w:val="24"/>
              </w:rPr>
            </w:pPr>
          </w:p>
        </w:tc>
      </w:tr>
      <w:tr w14:paraId="7465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6303BD">
            <w:pPr>
              <w:adjustRightInd w:val="0"/>
              <w:snapToGrid w:val="0"/>
              <w:jc w:val="center"/>
              <w:rPr>
                <w:rFonts w:ascii="宋体" w:hAnsi="宋体"/>
                <w:sz w:val="24"/>
              </w:rPr>
            </w:pPr>
          </w:p>
        </w:tc>
        <w:tc>
          <w:tcPr>
            <w:tcW w:w="1482" w:type="dxa"/>
            <w:vAlign w:val="center"/>
          </w:tcPr>
          <w:p w14:paraId="6E933EC7">
            <w:pPr>
              <w:adjustRightInd w:val="0"/>
              <w:snapToGrid w:val="0"/>
              <w:jc w:val="center"/>
              <w:rPr>
                <w:rFonts w:ascii="宋体" w:hAnsi="宋体"/>
                <w:sz w:val="24"/>
              </w:rPr>
            </w:pPr>
          </w:p>
        </w:tc>
        <w:tc>
          <w:tcPr>
            <w:tcW w:w="1886" w:type="dxa"/>
            <w:vAlign w:val="center"/>
          </w:tcPr>
          <w:p w14:paraId="21DC3F52">
            <w:pPr>
              <w:adjustRightInd w:val="0"/>
              <w:snapToGrid w:val="0"/>
              <w:jc w:val="center"/>
              <w:rPr>
                <w:rFonts w:ascii="宋体" w:hAnsi="宋体"/>
                <w:sz w:val="24"/>
              </w:rPr>
            </w:pPr>
          </w:p>
        </w:tc>
        <w:tc>
          <w:tcPr>
            <w:tcW w:w="1701" w:type="dxa"/>
            <w:vAlign w:val="center"/>
          </w:tcPr>
          <w:p w14:paraId="1975FD57">
            <w:pPr>
              <w:adjustRightInd w:val="0"/>
              <w:snapToGrid w:val="0"/>
              <w:jc w:val="center"/>
              <w:rPr>
                <w:rFonts w:ascii="宋体" w:hAnsi="宋体"/>
                <w:sz w:val="24"/>
              </w:rPr>
            </w:pPr>
          </w:p>
        </w:tc>
        <w:tc>
          <w:tcPr>
            <w:tcW w:w="1418" w:type="dxa"/>
            <w:vAlign w:val="center"/>
          </w:tcPr>
          <w:p w14:paraId="5E84B032">
            <w:pPr>
              <w:adjustRightInd w:val="0"/>
              <w:snapToGrid w:val="0"/>
              <w:jc w:val="center"/>
              <w:rPr>
                <w:rFonts w:ascii="宋体" w:hAnsi="宋体"/>
                <w:sz w:val="24"/>
              </w:rPr>
            </w:pPr>
          </w:p>
        </w:tc>
        <w:tc>
          <w:tcPr>
            <w:tcW w:w="1005" w:type="dxa"/>
            <w:vAlign w:val="center"/>
          </w:tcPr>
          <w:p w14:paraId="236853D8">
            <w:pPr>
              <w:adjustRightInd w:val="0"/>
              <w:snapToGrid w:val="0"/>
              <w:jc w:val="center"/>
              <w:rPr>
                <w:rFonts w:ascii="宋体" w:hAnsi="宋体"/>
                <w:sz w:val="24"/>
              </w:rPr>
            </w:pPr>
          </w:p>
        </w:tc>
      </w:tr>
      <w:tr w14:paraId="3263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122D62">
            <w:pPr>
              <w:adjustRightInd w:val="0"/>
              <w:snapToGrid w:val="0"/>
              <w:jc w:val="center"/>
              <w:rPr>
                <w:rFonts w:ascii="宋体" w:hAnsi="宋体"/>
                <w:sz w:val="24"/>
              </w:rPr>
            </w:pPr>
          </w:p>
        </w:tc>
        <w:tc>
          <w:tcPr>
            <w:tcW w:w="1482" w:type="dxa"/>
            <w:vAlign w:val="center"/>
          </w:tcPr>
          <w:p w14:paraId="6D63EBBB">
            <w:pPr>
              <w:adjustRightInd w:val="0"/>
              <w:snapToGrid w:val="0"/>
              <w:jc w:val="center"/>
              <w:rPr>
                <w:rFonts w:ascii="宋体" w:hAnsi="宋体"/>
                <w:sz w:val="24"/>
              </w:rPr>
            </w:pPr>
          </w:p>
        </w:tc>
        <w:tc>
          <w:tcPr>
            <w:tcW w:w="1886" w:type="dxa"/>
            <w:vAlign w:val="center"/>
          </w:tcPr>
          <w:p w14:paraId="2D574AC3">
            <w:pPr>
              <w:adjustRightInd w:val="0"/>
              <w:snapToGrid w:val="0"/>
              <w:jc w:val="center"/>
              <w:rPr>
                <w:rFonts w:ascii="宋体" w:hAnsi="宋体"/>
                <w:sz w:val="24"/>
              </w:rPr>
            </w:pPr>
          </w:p>
        </w:tc>
        <w:tc>
          <w:tcPr>
            <w:tcW w:w="1701" w:type="dxa"/>
            <w:vAlign w:val="center"/>
          </w:tcPr>
          <w:p w14:paraId="08DBEEFD">
            <w:pPr>
              <w:adjustRightInd w:val="0"/>
              <w:snapToGrid w:val="0"/>
              <w:jc w:val="center"/>
              <w:rPr>
                <w:rFonts w:ascii="宋体" w:hAnsi="宋体"/>
                <w:sz w:val="24"/>
              </w:rPr>
            </w:pPr>
          </w:p>
        </w:tc>
        <w:tc>
          <w:tcPr>
            <w:tcW w:w="1418" w:type="dxa"/>
            <w:vAlign w:val="center"/>
          </w:tcPr>
          <w:p w14:paraId="786C12B5">
            <w:pPr>
              <w:adjustRightInd w:val="0"/>
              <w:snapToGrid w:val="0"/>
              <w:jc w:val="center"/>
              <w:rPr>
                <w:rFonts w:ascii="宋体" w:hAnsi="宋体"/>
                <w:sz w:val="24"/>
              </w:rPr>
            </w:pPr>
          </w:p>
        </w:tc>
        <w:tc>
          <w:tcPr>
            <w:tcW w:w="1005" w:type="dxa"/>
            <w:vAlign w:val="center"/>
          </w:tcPr>
          <w:p w14:paraId="6516AFCC">
            <w:pPr>
              <w:adjustRightInd w:val="0"/>
              <w:snapToGrid w:val="0"/>
              <w:jc w:val="center"/>
              <w:rPr>
                <w:rFonts w:ascii="宋体" w:hAnsi="宋体"/>
                <w:sz w:val="24"/>
              </w:rPr>
            </w:pPr>
          </w:p>
        </w:tc>
      </w:tr>
      <w:tr w14:paraId="0783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5C0295">
            <w:pPr>
              <w:adjustRightInd w:val="0"/>
              <w:snapToGrid w:val="0"/>
              <w:jc w:val="center"/>
              <w:rPr>
                <w:rFonts w:ascii="宋体" w:hAnsi="宋体"/>
                <w:sz w:val="24"/>
              </w:rPr>
            </w:pPr>
          </w:p>
        </w:tc>
        <w:tc>
          <w:tcPr>
            <w:tcW w:w="1482" w:type="dxa"/>
            <w:vAlign w:val="center"/>
          </w:tcPr>
          <w:p w14:paraId="04DBCF18">
            <w:pPr>
              <w:adjustRightInd w:val="0"/>
              <w:snapToGrid w:val="0"/>
              <w:jc w:val="center"/>
              <w:rPr>
                <w:rFonts w:ascii="宋体" w:hAnsi="宋体"/>
                <w:sz w:val="24"/>
              </w:rPr>
            </w:pPr>
          </w:p>
        </w:tc>
        <w:tc>
          <w:tcPr>
            <w:tcW w:w="1886" w:type="dxa"/>
            <w:vAlign w:val="center"/>
          </w:tcPr>
          <w:p w14:paraId="7FA491B3">
            <w:pPr>
              <w:adjustRightInd w:val="0"/>
              <w:snapToGrid w:val="0"/>
              <w:jc w:val="center"/>
              <w:rPr>
                <w:rFonts w:ascii="宋体" w:hAnsi="宋体"/>
                <w:sz w:val="24"/>
              </w:rPr>
            </w:pPr>
          </w:p>
        </w:tc>
        <w:tc>
          <w:tcPr>
            <w:tcW w:w="1701" w:type="dxa"/>
            <w:vAlign w:val="center"/>
          </w:tcPr>
          <w:p w14:paraId="677672E4">
            <w:pPr>
              <w:adjustRightInd w:val="0"/>
              <w:snapToGrid w:val="0"/>
              <w:jc w:val="center"/>
              <w:rPr>
                <w:rFonts w:ascii="宋体" w:hAnsi="宋体"/>
                <w:sz w:val="24"/>
              </w:rPr>
            </w:pPr>
          </w:p>
        </w:tc>
        <w:tc>
          <w:tcPr>
            <w:tcW w:w="1418" w:type="dxa"/>
            <w:vAlign w:val="center"/>
          </w:tcPr>
          <w:p w14:paraId="46228033">
            <w:pPr>
              <w:adjustRightInd w:val="0"/>
              <w:snapToGrid w:val="0"/>
              <w:jc w:val="center"/>
              <w:rPr>
                <w:rFonts w:ascii="宋体" w:hAnsi="宋体"/>
                <w:sz w:val="24"/>
              </w:rPr>
            </w:pPr>
          </w:p>
        </w:tc>
        <w:tc>
          <w:tcPr>
            <w:tcW w:w="1005" w:type="dxa"/>
            <w:vAlign w:val="center"/>
          </w:tcPr>
          <w:p w14:paraId="349D0988">
            <w:pPr>
              <w:adjustRightInd w:val="0"/>
              <w:snapToGrid w:val="0"/>
              <w:jc w:val="center"/>
              <w:rPr>
                <w:rFonts w:ascii="宋体" w:hAnsi="宋体"/>
                <w:sz w:val="24"/>
              </w:rPr>
            </w:pPr>
          </w:p>
        </w:tc>
      </w:tr>
    </w:tbl>
    <w:p w14:paraId="5A014C63">
      <w:pPr>
        <w:tabs>
          <w:tab w:val="left" w:pos="1800"/>
          <w:tab w:val="left" w:pos="5580"/>
        </w:tabs>
        <w:spacing w:line="360" w:lineRule="auto"/>
        <w:jc w:val="left"/>
        <w:rPr>
          <w:rFonts w:ascii="宋体" w:hAnsi="宋体" w:cs="宋体"/>
          <w:bCs/>
          <w:sz w:val="24"/>
        </w:rPr>
      </w:pPr>
      <w:r>
        <w:rPr>
          <w:rFonts w:ascii="宋体" w:hAnsi="宋体" w:cs="宋体"/>
          <w:bCs/>
          <w:sz w:val="24"/>
        </w:rPr>
        <w:t>注：</w:t>
      </w:r>
    </w:p>
    <w:p w14:paraId="7EDC51A5">
      <w:pPr>
        <w:tabs>
          <w:tab w:val="left" w:pos="1800"/>
          <w:tab w:val="left" w:pos="5580"/>
        </w:tabs>
        <w:spacing w:line="360" w:lineRule="auto"/>
        <w:jc w:val="left"/>
        <w:rPr>
          <w:rFonts w:ascii="宋体" w:hAnsi="宋体" w:cs="宋体"/>
          <w:bCs/>
          <w:sz w:val="24"/>
        </w:rPr>
      </w:pPr>
      <w:r>
        <w:rPr>
          <w:rFonts w:hint="eastAsia" w:ascii="宋体" w:hAnsi="宋体" w:cs="宋体"/>
          <w:bCs/>
          <w:sz w:val="24"/>
        </w:rPr>
        <w:t>1. 对招标文件第五章 采购需求“三、技术要求”中 “（二）具体要求”项下对应采购包的所有内容进行点对点应答</w:t>
      </w:r>
      <w:r>
        <w:rPr>
          <w:rFonts w:hint="eastAsia" w:ascii="宋体" w:hAnsi="宋体" w:cs="宋体"/>
          <w:sz w:val="24"/>
        </w:rPr>
        <w:t>（设备主要用途不计算条款数）</w:t>
      </w:r>
      <w:r>
        <w:rPr>
          <w:rFonts w:hint="eastAsia" w:ascii="宋体" w:hAnsi="宋体" w:cs="宋体"/>
          <w:bCs/>
          <w:sz w:val="24"/>
        </w:rPr>
        <w:t>，不能空白或仅填写“全部满足”、“全部响应”等，“偏离情况”列应据实填写“无偏离”或“负偏离”，否则将导致其在第四章评标标准“对采购需求的响应情况”部分不得分。</w:t>
      </w:r>
    </w:p>
    <w:p w14:paraId="6535256B">
      <w:pPr>
        <w:rPr>
          <w:rFonts w:ascii="宋体" w:hAnsi="宋体" w:cs="宋体"/>
          <w:sz w:val="24"/>
        </w:rPr>
      </w:pPr>
      <w:r>
        <w:rPr>
          <w:rFonts w:hint="eastAsia" w:ascii="宋体" w:hAnsi="宋体" w:cs="宋体"/>
          <w:sz w:val="24"/>
        </w:rPr>
        <w:t>2.如项目划分采购包，则本表应按包分别填写。</w:t>
      </w:r>
    </w:p>
    <w:p w14:paraId="42E96B16">
      <w:pPr>
        <w:tabs>
          <w:tab w:val="left" w:pos="1800"/>
          <w:tab w:val="left" w:pos="5580"/>
        </w:tabs>
        <w:spacing w:line="360" w:lineRule="auto"/>
        <w:jc w:val="left"/>
        <w:rPr>
          <w:rFonts w:ascii="宋体" w:hAnsi="宋体" w:cs="宋体"/>
          <w:bCs/>
          <w:sz w:val="24"/>
        </w:rPr>
      </w:pPr>
    </w:p>
    <w:p w14:paraId="0FBE1671">
      <w:pPr>
        <w:tabs>
          <w:tab w:val="left" w:pos="1800"/>
          <w:tab w:val="left" w:pos="5580"/>
        </w:tabs>
        <w:spacing w:line="360" w:lineRule="auto"/>
        <w:jc w:val="left"/>
        <w:rPr>
          <w:rFonts w:ascii="宋体" w:hAnsi="宋体" w:cs="宋体"/>
          <w:bCs/>
          <w:sz w:val="24"/>
        </w:rPr>
      </w:pPr>
    </w:p>
    <w:p w14:paraId="0A6FB2AA">
      <w:pPr>
        <w:tabs>
          <w:tab w:val="left" w:pos="1800"/>
          <w:tab w:val="left" w:pos="5580"/>
        </w:tabs>
        <w:spacing w:line="360" w:lineRule="auto"/>
        <w:jc w:val="left"/>
        <w:rPr>
          <w:rFonts w:ascii="宋体" w:hAnsi="宋体" w:cs="宋体"/>
          <w:bCs/>
          <w:sz w:val="24"/>
        </w:rPr>
      </w:pPr>
    </w:p>
    <w:p w14:paraId="7A25CD6A">
      <w:pPr>
        <w:tabs>
          <w:tab w:val="left" w:pos="1800"/>
          <w:tab w:val="left" w:pos="5580"/>
        </w:tabs>
        <w:spacing w:line="360" w:lineRule="auto"/>
        <w:jc w:val="left"/>
        <w:rPr>
          <w:rFonts w:ascii="宋体" w:hAnsi="宋体" w:cs="宋体"/>
          <w:bCs/>
          <w:sz w:val="24"/>
        </w:rPr>
      </w:pPr>
    </w:p>
    <w:p w14:paraId="17465B6A">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w:t>
      </w:r>
    </w:p>
    <w:p w14:paraId="012DA763">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日期：_____年_____月_____日</w:t>
      </w:r>
    </w:p>
    <w:p w14:paraId="4F7B2514">
      <w:pPr>
        <w:spacing w:line="360" w:lineRule="auto"/>
        <w:outlineLvl w:val="2"/>
        <w:rPr>
          <w:rFonts w:ascii="宋体" w:hAnsi="宋体"/>
          <w:sz w:val="24"/>
          <w:szCs w:val="20"/>
        </w:rPr>
      </w:pPr>
      <w:r>
        <w:rPr>
          <w:rFonts w:hint="eastAsia" w:ascii="宋体" w:hAnsi="宋体"/>
          <w:sz w:val="24"/>
          <w:szCs w:val="20"/>
        </w:rPr>
        <w:t>7</w:t>
      </w:r>
      <w:r>
        <w:rPr>
          <w:rFonts w:ascii="宋体" w:hAnsi="宋体"/>
          <w:sz w:val="24"/>
          <w:szCs w:val="20"/>
        </w:rPr>
        <w:t xml:space="preserve">  </w:t>
      </w:r>
      <w:r>
        <w:rPr>
          <w:rFonts w:hint="eastAsia" w:ascii="宋体" w:hAnsi="宋体"/>
          <w:sz w:val="24"/>
          <w:szCs w:val="20"/>
        </w:rPr>
        <w:t>中小企业证明文件</w:t>
      </w:r>
    </w:p>
    <w:p w14:paraId="424A5F3C">
      <w:pPr>
        <w:widowControl/>
        <w:spacing w:line="360" w:lineRule="auto"/>
        <w:jc w:val="left"/>
        <w:rPr>
          <w:rFonts w:ascii="宋体" w:hAnsi="宋体"/>
          <w:sz w:val="24"/>
        </w:rPr>
      </w:pPr>
    </w:p>
    <w:p w14:paraId="3A34667A">
      <w:pPr>
        <w:widowControl/>
        <w:spacing w:line="360" w:lineRule="auto"/>
        <w:jc w:val="left"/>
        <w:rPr>
          <w:rFonts w:ascii="宋体" w:hAnsi="宋体"/>
          <w:sz w:val="24"/>
        </w:rPr>
      </w:pPr>
    </w:p>
    <w:p w14:paraId="074C1C75">
      <w:pPr>
        <w:widowControl/>
        <w:spacing w:line="360" w:lineRule="auto"/>
        <w:jc w:val="left"/>
        <w:rPr>
          <w:rFonts w:ascii="宋体" w:hAnsi="宋体"/>
          <w:sz w:val="24"/>
        </w:rPr>
      </w:pPr>
      <w:r>
        <w:rPr>
          <w:rFonts w:hint="eastAsia" w:ascii="宋体" w:hAnsi="宋体"/>
          <w:sz w:val="24"/>
        </w:rPr>
        <w:t>说明：</w:t>
      </w:r>
    </w:p>
    <w:p w14:paraId="0DEC6895">
      <w:pPr>
        <w:widowControl/>
        <w:spacing w:line="360" w:lineRule="auto"/>
        <w:jc w:val="left"/>
        <w:rPr>
          <w:rFonts w:ascii="宋体" w:hAnsi="宋体"/>
          <w:sz w:val="24"/>
        </w:rPr>
      </w:pPr>
      <w:r>
        <w:rPr>
          <w:rFonts w:hint="eastAsia"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174D8D2">
      <w:pPr>
        <w:widowControl/>
        <w:spacing w:line="360" w:lineRule="auto"/>
        <w:jc w:val="left"/>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AAECF13">
      <w:pPr>
        <w:widowControl/>
        <w:spacing w:line="360" w:lineRule="auto"/>
        <w:jc w:val="left"/>
        <w:rPr>
          <w:rFonts w:ascii="宋体" w:hAnsi="宋体"/>
          <w:sz w:val="24"/>
        </w:rPr>
      </w:pPr>
      <w:r>
        <w:rPr>
          <w:rFonts w:hint="eastAsia" w:ascii="宋体" w:hAnsi="宋体"/>
          <w:sz w:val="24"/>
        </w:rPr>
        <w:t>3）对于多标的采购项目，投标人应充分、准确地了解所提供货物的制造企业、提供服务的承接企业信息。对相关情况了解不清楚的，不建议填报本声明函。</w:t>
      </w:r>
    </w:p>
    <w:p w14:paraId="5F4ADD1F">
      <w:pPr>
        <w:tabs>
          <w:tab w:val="left" w:pos="5580"/>
        </w:tabs>
        <w:spacing w:line="360" w:lineRule="auto"/>
        <w:rPr>
          <w:rFonts w:ascii="宋体" w:hAnsi="宋体" w:cs="宋体"/>
          <w:snapToGrid w:val="0"/>
          <w:kern w:val="0"/>
          <w:sz w:val="24"/>
        </w:rPr>
      </w:pPr>
      <w:r>
        <w:rPr>
          <w:rFonts w:hint="eastAsia" w:ascii="宋体" w:hAnsi="宋体"/>
          <w:sz w:val="24"/>
        </w:rPr>
        <w:t>4）</w:t>
      </w:r>
      <w:r>
        <w:rPr>
          <w:rFonts w:hint="eastAsia" w:ascii="宋体" w:hAnsi="宋体" w:cs="宋体"/>
          <w:snapToGrid w:val="0"/>
          <w:kern w:val="0"/>
          <w:sz w:val="24"/>
        </w:rPr>
        <w:t>温馨提示：为方便广大中小企业识别企业规模类型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 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611EA91">
      <w:pPr>
        <w:widowControl/>
        <w:spacing w:line="360" w:lineRule="auto"/>
        <w:jc w:val="left"/>
        <w:rPr>
          <w:rFonts w:ascii="宋体" w:hAnsi="宋体"/>
          <w:b/>
          <w:bCs/>
          <w:sz w:val="36"/>
          <w:szCs w:val="36"/>
        </w:rPr>
      </w:pPr>
      <w:r>
        <w:rPr>
          <w:rFonts w:ascii="宋体" w:hAnsi="宋体"/>
          <w:b/>
          <w:bCs/>
          <w:sz w:val="24"/>
        </w:rPr>
        <w:br w:type="page"/>
      </w:r>
    </w:p>
    <w:p w14:paraId="0860A3A2">
      <w:pPr>
        <w:rPr>
          <w:rFonts w:ascii="宋体" w:hAnsi="宋体"/>
          <w:b/>
          <w:bCs/>
          <w:sz w:val="36"/>
          <w:szCs w:val="36"/>
        </w:rPr>
      </w:pPr>
    </w:p>
    <w:p w14:paraId="7E7220FD">
      <w:pPr>
        <w:widowControl/>
        <w:jc w:val="center"/>
        <w:rPr>
          <w:rFonts w:ascii="宋体" w:hAnsi="宋体" w:cs="宋体"/>
          <w:b/>
          <w:bCs/>
          <w:kern w:val="0"/>
          <w:sz w:val="36"/>
          <w:szCs w:val="36"/>
        </w:rPr>
      </w:pPr>
      <w:r>
        <w:rPr>
          <w:rFonts w:hint="eastAsia" w:ascii="宋体" w:hAnsi="宋体" w:cs="宋体"/>
          <w:b/>
          <w:bCs/>
          <w:kern w:val="0"/>
          <w:sz w:val="36"/>
          <w:szCs w:val="36"/>
        </w:rPr>
        <w:t>中小企业声明函（货物）格式</w:t>
      </w:r>
    </w:p>
    <w:p w14:paraId="7B689161">
      <w:pPr>
        <w:widowControl/>
        <w:spacing w:line="360" w:lineRule="auto"/>
        <w:ind w:firstLine="480" w:firstLineChars="200"/>
        <w:jc w:val="left"/>
        <w:rPr>
          <w:rFonts w:ascii="宋体" w:hAnsi="宋体" w:cs="宋体"/>
          <w:kern w:val="0"/>
          <w:sz w:val="24"/>
        </w:rPr>
      </w:pPr>
    </w:p>
    <w:p w14:paraId="759E1FA9">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本公司（联合体）郑重声明，根据《政府采购促进中小企业发展管理办法》（财库﹝2020﹞46号）的规定，本公司（联合体）参加（单位名称）的（项目名称）采购活动，提供的货物全部由符合政策要求的中小企业制造。相关企业（含联合体 中的中小企业、签订分包意向协议的中小企业）的具体情况如下： </w:t>
      </w:r>
    </w:p>
    <w:p w14:paraId="4E31861D">
      <w:pPr>
        <w:widowControl/>
        <w:spacing w:line="360" w:lineRule="auto"/>
        <w:ind w:firstLine="480" w:firstLineChars="200"/>
        <w:jc w:val="left"/>
        <w:rPr>
          <w:rFonts w:ascii="宋体" w:hAnsi="宋体" w:cs="宋体"/>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行业；制造商为</w:t>
      </w:r>
      <w:r>
        <w:rPr>
          <w:rFonts w:hint="eastAsia" w:ascii="宋体" w:hAnsi="宋体" w:cs="宋体"/>
          <w:kern w:val="0"/>
          <w:sz w:val="24"/>
          <w:u w:val="single"/>
        </w:rPr>
        <w:t>（企业名称）</w:t>
      </w:r>
      <w:r>
        <w:rPr>
          <w:rFonts w:hint="eastAsia" w:ascii="宋体" w:hAnsi="宋体" w:cs="宋体"/>
          <w:kern w:val="0"/>
          <w:sz w:val="24"/>
        </w:rPr>
        <w:t>，从业人员_____人，营业收入为_____万元，资产总额为_____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kern w:val="0"/>
          <w:sz w:val="24"/>
        </w:rPr>
        <w:t>属于____</w:t>
      </w:r>
      <w:r>
        <w:rPr>
          <w:rFonts w:hint="eastAsia" w:ascii="宋体" w:hAnsi="宋体" w:cs="宋体"/>
          <w:kern w:val="0"/>
          <w:sz w:val="24"/>
          <w:u w:val="single"/>
        </w:rPr>
        <w:t>（中型企业、小型企业、微型企业）</w:t>
      </w:r>
      <w:r>
        <w:rPr>
          <w:rFonts w:hint="eastAsia" w:ascii="宋体" w:hAnsi="宋体" w:cs="宋体"/>
          <w:kern w:val="0"/>
          <w:sz w:val="24"/>
        </w:rPr>
        <w:t xml:space="preserve">； </w:t>
      </w:r>
    </w:p>
    <w:p w14:paraId="5CF2D9C7">
      <w:pPr>
        <w:widowControl/>
        <w:spacing w:line="360" w:lineRule="auto"/>
        <w:ind w:firstLine="480" w:firstLineChars="200"/>
        <w:jc w:val="left"/>
        <w:rPr>
          <w:rFonts w:ascii="宋体" w:hAnsi="宋体" w:cs="宋体"/>
          <w:sz w:val="24"/>
        </w:rPr>
      </w:pPr>
      <w:r>
        <w:rPr>
          <w:rFonts w:hint="eastAsia" w:ascii="宋体" w:hAnsi="宋体" w:cs="宋体"/>
          <w:kern w:val="0"/>
          <w:sz w:val="24"/>
        </w:rPr>
        <w:t>2.</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行业；制造商为</w:t>
      </w:r>
      <w:r>
        <w:rPr>
          <w:rFonts w:hint="eastAsia" w:ascii="宋体" w:hAnsi="宋体" w:cs="宋体"/>
          <w:kern w:val="0"/>
          <w:sz w:val="24"/>
          <w:u w:val="single"/>
        </w:rPr>
        <w:t>（企业名称）</w:t>
      </w:r>
      <w:r>
        <w:rPr>
          <w:rFonts w:hint="eastAsia" w:ascii="宋体" w:hAnsi="宋体" w:cs="宋体"/>
          <w:kern w:val="0"/>
          <w:sz w:val="24"/>
        </w:rPr>
        <w:t>，从业人员_____人，营业收入为_____万元，资产总额为_____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kern w:val="0"/>
          <w:sz w:val="24"/>
        </w:rPr>
        <w:t>属于____</w:t>
      </w:r>
      <w:r>
        <w:rPr>
          <w:rFonts w:hint="eastAsia" w:ascii="宋体" w:hAnsi="宋体" w:cs="宋体"/>
          <w:kern w:val="0"/>
          <w:sz w:val="24"/>
          <w:u w:val="single"/>
        </w:rPr>
        <w:t>（中型企业、小型企业、微型企业）</w:t>
      </w:r>
      <w:r>
        <w:rPr>
          <w:rFonts w:hint="eastAsia" w:ascii="宋体" w:hAnsi="宋体" w:cs="宋体"/>
          <w:kern w:val="0"/>
          <w:sz w:val="24"/>
        </w:rPr>
        <w:t>；</w:t>
      </w:r>
    </w:p>
    <w:p w14:paraId="6B999FED">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 </w:t>
      </w:r>
    </w:p>
    <w:p w14:paraId="7F9931DE">
      <w:pPr>
        <w:widowControl/>
        <w:spacing w:line="360" w:lineRule="auto"/>
        <w:ind w:firstLine="480" w:firstLineChars="200"/>
        <w:jc w:val="left"/>
        <w:rPr>
          <w:rFonts w:ascii="宋体" w:hAnsi="宋体" w:cs="宋体"/>
          <w:sz w:val="24"/>
        </w:rPr>
      </w:pPr>
      <w:r>
        <w:rPr>
          <w:rFonts w:hint="eastAsia" w:ascii="宋体" w:hAnsi="宋体" w:cs="宋体"/>
          <w:kern w:val="0"/>
          <w:sz w:val="24"/>
        </w:rPr>
        <w:t xml:space="preserve">以上企业，不属于大企业的分支机构，不存在控股股东为大企业的情形，也不存在与大企业的负责人为同一人的情形。 </w:t>
      </w:r>
    </w:p>
    <w:p w14:paraId="331B0BB5">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 xml:space="preserve">本企业对上述声明内容的真实性负责。如有虚假，将依法承担相应责任。 </w:t>
      </w:r>
    </w:p>
    <w:p w14:paraId="2F9CF48C">
      <w:pPr>
        <w:widowControl/>
        <w:spacing w:line="360" w:lineRule="auto"/>
        <w:ind w:firstLine="480" w:firstLineChars="200"/>
        <w:jc w:val="left"/>
        <w:rPr>
          <w:rFonts w:ascii="宋体" w:hAnsi="宋体" w:cs="宋体"/>
          <w:sz w:val="24"/>
        </w:rPr>
      </w:pPr>
    </w:p>
    <w:p w14:paraId="335E77E0">
      <w:pPr>
        <w:widowControl/>
        <w:spacing w:line="360" w:lineRule="auto"/>
        <w:ind w:firstLine="3360" w:firstLineChars="1400"/>
        <w:jc w:val="right"/>
        <w:rPr>
          <w:rFonts w:ascii="宋体" w:hAnsi="宋体" w:cs="宋体"/>
          <w:sz w:val="24"/>
        </w:rPr>
      </w:pPr>
      <w:r>
        <w:rPr>
          <w:rFonts w:hint="eastAsia" w:ascii="宋体" w:hAnsi="宋体" w:cs="宋体"/>
          <w:kern w:val="0"/>
          <w:sz w:val="24"/>
        </w:rPr>
        <w:t xml:space="preserve">企业名称（盖章）：________ </w:t>
      </w:r>
    </w:p>
    <w:p w14:paraId="4A299E1F">
      <w:pPr>
        <w:widowControl/>
        <w:spacing w:line="360" w:lineRule="auto"/>
        <w:jc w:val="right"/>
        <w:rPr>
          <w:rFonts w:ascii="宋体" w:hAnsi="宋体" w:cs="宋体"/>
          <w:sz w:val="24"/>
        </w:rPr>
      </w:pPr>
      <w:r>
        <w:rPr>
          <w:rFonts w:hint="eastAsia" w:ascii="宋体" w:hAnsi="宋体" w:cs="宋体"/>
          <w:kern w:val="0"/>
          <w:sz w:val="24"/>
        </w:rPr>
        <w:t>日 期：________</w:t>
      </w:r>
    </w:p>
    <w:p w14:paraId="39A3EB9F">
      <w:pPr>
        <w:rPr>
          <w:rFonts w:ascii="宋体" w:hAnsi="宋体"/>
          <w:b/>
          <w:bCs/>
          <w:sz w:val="36"/>
          <w:szCs w:val="36"/>
        </w:rPr>
      </w:pPr>
    </w:p>
    <w:tbl>
      <w:tblPr>
        <w:tblStyle w:val="24"/>
        <w:tblpPr w:leftFromText="180" w:rightFromText="180" w:vertAnchor="text" w:horzAnchor="margin" w:tblpY="1378"/>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1FB9CC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092FCDD">
            <w:pPr>
              <w:adjustRightInd w:val="0"/>
              <w:snapToGrid w:val="0"/>
              <w:jc w:val="left"/>
              <w:rPr>
                <w:rFonts w:ascii="宋体" w:hAnsi="宋体"/>
                <w:szCs w:val="21"/>
              </w:rPr>
            </w:pPr>
            <w:r>
              <w:rPr>
                <w:rFonts w:hint="eastAsia" w:ascii="宋体" w:hAnsi="宋体"/>
                <w:szCs w:val="21"/>
                <w:vertAlign w:val="superscript"/>
              </w:rPr>
              <w:t>1</w:t>
            </w:r>
            <w:r>
              <w:rPr>
                <w:rFonts w:hint="eastAsia" w:ascii="宋体" w:hAnsi="宋体"/>
                <w:szCs w:val="21"/>
              </w:rPr>
              <w:t>从业人员、营业收入、资产总额填报上一年度数据，无上一年度数据的新成立企业可不填报。</w:t>
            </w:r>
          </w:p>
        </w:tc>
      </w:tr>
    </w:tbl>
    <w:p w14:paraId="2CBA46C0">
      <w:pPr>
        <w:rPr>
          <w:rFonts w:ascii="宋体" w:hAnsi="宋体"/>
          <w:b/>
          <w:bCs/>
          <w:sz w:val="36"/>
          <w:szCs w:val="36"/>
        </w:rPr>
      </w:pPr>
      <w:r>
        <w:rPr>
          <w:rFonts w:hint="eastAsia" w:ascii="宋体" w:hAnsi="宋体"/>
          <w:b/>
          <w:bCs/>
          <w:sz w:val="36"/>
          <w:szCs w:val="36"/>
        </w:rPr>
        <w:br w:type="page"/>
      </w:r>
    </w:p>
    <w:p w14:paraId="01390009">
      <w:pPr>
        <w:spacing w:before="240" w:beforeLines="100" w:after="240" w:afterLines="100" w:line="360" w:lineRule="auto"/>
        <w:jc w:val="center"/>
        <w:rPr>
          <w:rFonts w:ascii="宋体" w:hAnsi="宋体"/>
          <w:sz w:val="36"/>
          <w:szCs w:val="36"/>
        </w:rPr>
      </w:pPr>
      <w:r>
        <w:rPr>
          <w:rFonts w:ascii="宋体" w:hAnsi="宋体"/>
          <w:b/>
          <w:bCs/>
          <w:sz w:val="36"/>
          <w:szCs w:val="36"/>
        </w:rPr>
        <w:t>残疾人福利性单位声明函格式</w:t>
      </w:r>
    </w:p>
    <w:p w14:paraId="02C2F9F1">
      <w:pPr>
        <w:spacing w:line="588" w:lineRule="exact"/>
        <w:ind w:firstLine="504"/>
        <w:rPr>
          <w:rFonts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0CFB4D86">
      <w:pPr>
        <w:spacing w:line="588" w:lineRule="exact"/>
        <w:ind w:firstLine="482"/>
        <w:rPr>
          <w:rFonts w:ascii="宋体" w:hAnsi="宋体"/>
          <w:b/>
          <w:sz w:val="24"/>
        </w:rPr>
      </w:pPr>
      <w:r>
        <w:rPr>
          <w:rFonts w:ascii="宋体" w:hAnsi="宋体"/>
          <w:b/>
          <w:sz w:val="24"/>
        </w:rPr>
        <w:t>□不属于符合条件的残疾人福利性单位。</w:t>
      </w:r>
    </w:p>
    <w:p w14:paraId="1FD9CAC9">
      <w:pPr>
        <w:spacing w:line="588" w:lineRule="exact"/>
        <w:ind w:firstLine="482"/>
        <w:rPr>
          <w:rFonts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1453598">
      <w:pPr>
        <w:spacing w:line="588" w:lineRule="exact"/>
        <w:ind w:firstLine="482" w:firstLineChars="200"/>
        <w:rPr>
          <w:rFonts w:ascii="宋体" w:hAnsi="宋体"/>
          <w:sz w:val="24"/>
        </w:rPr>
      </w:pPr>
      <w:r>
        <w:rPr>
          <w:rFonts w:ascii="宋体" w:hAnsi="宋体"/>
          <w:b/>
          <w:sz w:val="24"/>
        </w:rPr>
        <w:t>本单位对上述声明的真实性负责。如有虚假，将依法承担相应责任。</w:t>
      </w:r>
    </w:p>
    <w:p w14:paraId="5725C7E8">
      <w:pPr>
        <w:spacing w:line="588" w:lineRule="exact"/>
        <w:ind w:firstLine="480" w:firstLineChars="200"/>
        <w:rPr>
          <w:rFonts w:ascii="宋体" w:hAnsi="宋体"/>
          <w:sz w:val="24"/>
        </w:rPr>
      </w:pPr>
    </w:p>
    <w:p w14:paraId="5F72F841">
      <w:pPr>
        <w:spacing w:line="588" w:lineRule="exact"/>
        <w:ind w:firstLine="480" w:firstLineChars="200"/>
        <w:rPr>
          <w:rFonts w:ascii="宋体" w:hAnsi="宋体"/>
          <w:sz w:val="24"/>
        </w:rPr>
      </w:pPr>
    </w:p>
    <w:p w14:paraId="58AACD46">
      <w:pPr>
        <w:tabs>
          <w:tab w:val="left" w:pos="4860"/>
        </w:tabs>
        <w:spacing w:line="588" w:lineRule="exact"/>
        <w:ind w:right="1560" w:firstLine="480" w:firstLineChars="200"/>
        <w:jc w:val="center"/>
        <w:rPr>
          <w:rFonts w:ascii="宋体" w:hAnsi="宋体"/>
          <w:sz w:val="24"/>
        </w:rPr>
      </w:pPr>
      <w:r>
        <w:rPr>
          <w:rFonts w:ascii="宋体" w:hAnsi="宋体"/>
          <w:sz w:val="24"/>
        </w:rPr>
        <w:t>单位名称（盖章）：</w:t>
      </w:r>
    </w:p>
    <w:p w14:paraId="2B91D358">
      <w:pPr>
        <w:tabs>
          <w:tab w:val="left" w:pos="4860"/>
        </w:tabs>
        <w:spacing w:line="588" w:lineRule="exact"/>
        <w:ind w:right="1560" w:firstLine="480" w:firstLineChars="200"/>
        <w:jc w:val="center"/>
        <w:rPr>
          <w:rFonts w:ascii="宋体" w:hAnsi="宋体"/>
          <w:sz w:val="24"/>
        </w:rPr>
      </w:pPr>
      <w:r>
        <w:rPr>
          <w:rFonts w:ascii="宋体" w:hAnsi="宋体"/>
          <w:sz w:val="24"/>
        </w:rPr>
        <w:t>日期：</w:t>
      </w:r>
    </w:p>
    <w:p w14:paraId="14659370">
      <w:pPr>
        <w:widowControl/>
        <w:jc w:val="left"/>
        <w:rPr>
          <w:rFonts w:ascii="宋体" w:hAnsi="宋体"/>
          <w:szCs w:val="20"/>
        </w:rPr>
      </w:pPr>
      <w:r>
        <w:rPr>
          <w:rFonts w:hint="eastAsia" w:ascii="宋体" w:hAnsi="宋体"/>
          <w:szCs w:val="20"/>
        </w:rPr>
        <w:br w:type="page"/>
      </w:r>
    </w:p>
    <w:p w14:paraId="17D5F992">
      <w:pPr>
        <w:spacing w:line="360" w:lineRule="auto"/>
        <w:outlineLvl w:val="2"/>
        <w:rPr>
          <w:rFonts w:ascii="宋体" w:hAnsi="宋体"/>
          <w:sz w:val="24"/>
          <w:szCs w:val="20"/>
        </w:rPr>
      </w:pPr>
      <w:r>
        <w:rPr>
          <w:rFonts w:ascii="宋体" w:hAnsi="宋体"/>
          <w:sz w:val="24"/>
          <w:szCs w:val="20"/>
        </w:rPr>
        <w:t>8</w:t>
      </w:r>
      <w:r>
        <w:rPr>
          <w:rFonts w:hint="eastAsia" w:ascii="宋体" w:hAnsi="宋体"/>
          <w:sz w:val="24"/>
          <w:szCs w:val="20"/>
        </w:rPr>
        <w:t xml:space="preserve"> </w:t>
      </w:r>
      <w:r>
        <w:rPr>
          <w:rFonts w:ascii="宋体" w:hAnsi="宋体"/>
          <w:sz w:val="24"/>
          <w:szCs w:val="20"/>
        </w:rPr>
        <w:t xml:space="preserve"> </w:t>
      </w:r>
      <w:r>
        <w:rPr>
          <w:rFonts w:hint="eastAsia" w:ascii="宋体" w:hAnsi="宋体"/>
          <w:sz w:val="24"/>
          <w:szCs w:val="20"/>
        </w:rPr>
        <w:t>关于符合本国产品标准的声明函</w:t>
      </w:r>
    </w:p>
    <w:p w14:paraId="06D40D44">
      <w:pPr>
        <w:pStyle w:val="18"/>
        <w:shd w:val="clear" w:color="auto" w:fill="FFFFFF"/>
        <w:spacing w:before="0" w:beforeAutospacing="0" w:after="0" w:afterAutospacing="0" w:line="560" w:lineRule="atLeast"/>
        <w:jc w:val="center"/>
        <w:textAlignment w:val="baseline"/>
        <w:rPr>
          <w:sz w:val="36"/>
          <w:szCs w:val="36"/>
        </w:rPr>
      </w:pPr>
      <w:r>
        <w:rPr>
          <w:rStyle w:val="34"/>
          <w:rFonts w:hint="eastAsia"/>
          <w:sz w:val="36"/>
          <w:szCs w:val="36"/>
        </w:rPr>
        <w:t>关于符合本国产品标准的声明函</w:t>
      </w:r>
    </w:p>
    <w:p w14:paraId="100D9829">
      <w:pPr>
        <w:pStyle w:val="18"/>
        <w:shd w:val="clear" w:color="auto" w:fill="FFFFFF"/>
        <w:spacing w:before="30" w:beforeAutospacing="0" w:after="30" w:afterAutospacing="0" w:line="560" w:lineRule="atLeast"/>
        <w:ind w:firstLine="480"/>
        <w:textAlignment w:val="baseline"/>
      </w:pPr>
      <w:r>
        <w:rPr>
          <w:rFonts w:hint="eastAsia"/>
        </w:rPr>
        <w:t>本公司（单位）郑重声明，根据《国务院办公厅关于在政府采购中实施本国产品标准及相关政策的通知》（国办发〔2025〕34号）的规定，本公司（单位）提供的以下产品属于本国产品。具体情况如下：</w:t>
      </w:r>
    </w:p>
    <w:p w14:paraId="7493280B">
      <w:pPr>
        <w:pStyle w:val="18"/>
        <w:shd w:val="clear" w:color="auto" w:fill="FFFFFF"/>
        <w:spacing w:before="0" w:beforeAutospacing="0" w:after="0" w:afterAutospacing="0" w:line="560" w:lineRule="atLeast"/>
        <w:ind w:firstLine="480"/>
        <w:textAlignment w:val="baseline"/>
      </w:pPr>
      <w:r>
        <w:rPr>
          <w:rFonts w:hint="eastAsia"/>
        </w:rPr>
        <w:t>1.</w:t>
      </w:r>
      <w:r>
        <w:rPr>
          <w:rStyle w:val="36"/>
          <w:rFonts w:hint="eastAsia"/>
        </w:rPr>
        <w:t>（产品名称1）</w:t>
      </w:r>
      <w:r>
        <w:rPr>
          <w:rStyle w:val="36"/>
          <w:rFonts w:hint="eastAsia"/>
          <w:vertAlign w:val="superscript"/>
        </w:rPr>
        <w:t>1</w:t>
      </w:r>
      <w:r>
        <w:rPr>
          <w:rFonts w:hint="eastAsia"/>
        </w:rPr>
        <w:t>，生产厂为</w:t>
      </w:r>
      <w:r>
        <w:rPr>
          <w:rStyle w:val="36"/>
          <w:rFonts w:hint="eastAsia"/>
        </w:rPr>
        <w:t>（厂名）</w:t>
      </w:r>
      <w:r>
        <w:rPr>
          <w:rStyle w:val="36"/>
          <w:rFonts w:hint="eastAsia"/>
          <w:vertAlign w:val="superscript"/>
        </w:rPr>
        <w:t>2</w:t>
      </w:r>
      <w:r>
        <w:rPr>
          <w:rFonts w:hint="eastAsia"/>
        </w:rPr>
        <w:t>，厂址为</w:t>
      </w:r>
      <w:r>
        <w:rPr>
          <w:rStyle w:val="36"/>
          <w:rFonts w:hint="eastAsia"/>
        </w:rPr>
        <w:t>（生产厂址）</w:t>
      </w:r>
      <w:r>
        <w:rPr>
          <w:rFonts w:hint="eastAsia"/>
        </w:rPr>
        <w:t>。</w:t>
      </w:r>
      <w:r>
        <w:rPr>
          <w:rStyle w:val="36"/>
          <w:rFonts w:hint="eastAsia"/>
        </w:rPr>
        <w:t>（产品名称1）</w:t>
      </w:r>
      <w:r>
        <w:rPr>
          <w:rFonts w:hint="eastAsia"/>
        </w:rPr>
        <w:t>的中国境内生产的组件成本占比≥</w:t>
      </w:r>
      <w:r>
        <w:rPr>
          <w:rStyle w:val="36"/>
          <w:rFonts w:hint="eastAsia"/>
        </w:rPr>
        <w:t>（规定比例）</w:t>
      </w:r>
      <w:r>
        <w:rPr>
          <w:rStyle w:val="36"/>
          <w:rFonts w:hint="eastAsia"/>
          <w:vertAlign w:val="superscript"/>
        </w:rPr>
        <w:t>3</w:t>
      </w:r>
      <w:r>
        <w:rPr>
          <w:rFonts w:hint="eastAsia"/>
        </w:rPr>
        <w:t>。</w:t>
      </w:r>
      <w:r>
        <w:rPr>
          <w:rStyle w:val="36"/>
          <w:rFonts w:hint="eastAsia"/>
        </w:rPr>
        <w:t>（产品名称1）</w:t>
      </w:r>
      <w:r>
        <w:rPr>
          <w:rFonts w:hint="eastAsia"/>
        </w:rPr>
        <w:t>的</w:t>
      </w:r>
      <w:r>
        <w:rPr>
          <w:rStyle w:val="36"/>
          <w:rFonts w:hint="eastAsia"/>
        </w:rPr>
        <w:t>（关键组件）</w:t>
      </w:r>
      <w:r>
        <w:rPr>
          <w:rStyle w:val="36"/>
          <w:rFonts w:hint="eastAsia"/>
          <w:vertAlign w:val="superscript"/>
        </w:rPr>
        <w:t>4</w:t>
      </w:r>
      <w:r>
        <w:rPr>
          <w:rFonts w:hint="eastAsia"/>
        </w:rPr>
        <w:t>在中国境内生产。</w:t>
      </w:r>
      <w:r>
        <w:rPr>
          <w:rStyle w:val="36"/>
          <w:rFonts w:hint="eastAsia"/>
        </w:rPr>
        <w:t>（产品名称1）</w:t>
      </w:r>
      <w:r>
        <w:rPr>
          <w:rFonts w:hint="eastAsia"/>
        </w:rPr>
        <w:t>的</w:t>
      </w:r>
      <w:r>
        <w:rPr>
          <w:rStyle w:val="36"/>
          <w:rFonts w:hint="eastAsia"/>
        </w:rPr>
        <w:t>（关键工序）</w:t>
      </w:r>
      <w:r>
        <w:rPr>
          <w:rStyle w:val="36"/>
          <w:rFonts w:hint="eastAsia"/>
          <w:vertAlign w:val="superscript"/>
        </w:rPr>
        <w:t>5</w:t>
      </w:r>
      <w:r>
        <w:rPr>
          <w:rFonts w:hint="eastAsia"/>
        </w:rPr>
        <w:t>在中国境内完成。</w:t>
      </w:r>
    </w:p>
    <w:p w14:paraId="4C743551">
      <w:pPr>
        <w:pStyle w:val="18"/>
        <w:shd w:val="clear" w:color="auto" w:fill="FFFFFF"/>
        <w:spacing w:before="0" w:beforeAutospacing="0" w:after="0" w:afterAutospacing="0" w:line="560" w:lineRule="atLeast"/>
        <w:ind w:firstLine="480"/>
        <w:textAlignment w:val="baseline"/>
      </w:pPr>
      <w:r>
        <w:rPr>
          <w:rFonts w:hint="eastAsia"/>
        </w:rPr>
        <w:t>2.</w:t>
      </w:r>
      <w:r>
        <w:rPr>
          <w:rStyle w:val="36"/>
          <w:rFonts w:hint="eastAsia"/>
        </w:rPr>
        <w:t>（产品名称2）</w:t>
      </w:r>
      <w:r>
        <w:rPr>
          <w:rFonts w:hint="eastAsia"/>
        </w:rPr>
        <w:t>，生产厂为</w:t>
      </w:r>
      <w:r>
        <w:rPr>
          <w:rStyle w:val="36"/>
          <w:rFonts w:hint="eastAsia"/>
        </w:rPr>
        <w:t>（厂名）</w:t>
      </w:r>
      <w:r>
        <w:rPr>
          <w:rFonts w:hint="eastAsia"/>
        </w:rPr>
        <w:t>，厂址为</w:t>
      </w:r>
      <w:r>
        <w:rPr>
          <w:rStyle w:val="36"/>
          <w:rFonts w:hint="eastAsia"/>
        </w:rPr>
        <w:t>（生产厂址）</w:t>
      </w:r>
      <w:r>
        <w:rPr>
          <w:rFonts w:hint="eastAsia"/>
        </w:rPr>
        <w:t>。</w:t>
      </w:r>
      <w:r>
        <w:rPr>
          <w:rStyle w:val="36"/>
          <w:rFonts w:hint="eastAsia"/>
        </w:rPr>
        <w:t>（产品名称2）</w:t>
      </w:r>
      <w:r>
        <w:rPr>
          <w:rFonts w:hint="eastAsia"/>
        </w:rPr>
        <w:t>的中国境内生产的组件成本占比≥</w:t>
      </w:r>
      <w:r>
        <w:rPr>
          <w:rStyle w:val="36"/>
          <w:rFonts w:hint="eastAsia"/>
        </w:rPr>
        <w:t>（规定比例）</w:t>
      </w:r>
      <w:r>
        <w:rPr>
          <w:rFonts w:hint="eastAsia"/>
        </w:rPr>
        <w:t>。</w:t>
      </w:r>
      <w:r>
        <w:rPr>
          <w:rStyle w:val="36"/>
          <w:rFonts w:hint="eastAsia"/>
        </w:rPr>
        <w:t>（产品名称2）</w:t>
      </w:r>
      <w:r>
        <w:rPr>
          <w:rFonts w:hint="eastAsia"/>
        </w:rPr>
        <w:t>的</w:t>
      </w:r>
      <w:r>
        <w:rPr>
          <w:rStyle w:val="36"/>
          <w:rFonts w:hint="eastAsia"/>
        </w:rPr>
        <w:t>（关键组件）</w:t>
      </w:r>
      <w:r>
        <w:rPr>
          <w:rFonts w:hint="eastAsia"/>
        </w:rPr>
        <w:t>在中国境内生产。</w:t>
      </w:r>
      <w:r>
        <w:rPr>
          <w:rStyle w:val="36"/>
          <w:rFonts w:hint="eastAsia"/>
        </w:rPr>
        <w:t>（产品名称2）</w:t>
      </w:r>
      <w:r>
        <w:rPr>
          <w:rFonts w:hint="eastAsia"/>
        </w:rPr>
        <w:t>的</w:t>
      </w:r>
      <w:r>
        <w:rPr>
          <w:rStyle w:val="36"/>
          <w:rFonts w:hint="eastAsia"/>
        </w:rPr>
        <w:t>（关键工序）</w:t>
      </w:r>
      <w:r>
        <w:rPr>
          <w:rFonts w:hint="eastAsia"/>
        </w:rPr>
        <w:t>在中国境内完成。</w:t>
      </w:r>
    </w:p>
    <w:p w14:paraId="212E4011">
      <w:pPr>
        <w:pStyle w:val="18"/>
        <w:shd w:val="clear" w:color="auto" w:fill="FFFFFF"/>
        <w:spacing w:before="30" w:beforeAutospacing="0" w:after="30" w:afterAutospacing="0" w:line="560" w:lineRule="atLeast"/>
        <w:ind w:firstLine="480"/>
        <w:textAlignment w:val="baseline"/>
      </w:pPr>
      <w:r>
        <w:rPr>
          <w:rFonts w:hint="eastAsia"/>
        </w:rPr>
        <w:t>……</w:t>
      </w:r>
    </w:p>
    <w:p w14:paraId="065C8546">
      <w:pPr>
        <w:pStyle w:val="18"/>
        <w:shd w:val="clear" w:color="auto" w:fill="FFFFFF"/>
        <w:spacing w:before="30" w:beforeAutospacing="0" w:after="30" w:afterAutospacing="0" w:line="560" w:lineRule="atLeast"/>
        <w:ind w:firstLine="480"/>
        <w:textAlignment w:val="baseline"/>
      </w:pPr>
      <w:r>
        <w:rPr>
          <w:rFonts w:hint="eastAsia"/>
        </w:rPr>
        <w:t>本公司（单位）对上述声明内容的真实性负责。如有虚假，愿承担相应法律责任。</w:t>
      </w:r>
    </w:p>
    <w:p w14:paraId="267191A4">
      <w:pPr>
        <w:pStyle w:val="18"/>
        <w:shd w:val="clear" w:color="auto" w:fill="FFFFFF"/>
        <w:spacing w:before="30" w:beforeAutospacing="0" w:after="30" w:afterAutospacing="0" w:line="560" w:lineRule="atLeast"/>
        <w:jc w:val="right"/>
        <w:textAlignment w:val="baseline"/>
      </w:pPr>
      <w:r>
        <w:rPr>
          <w:rFonts w:hint="eastAsia"/>
        </w:rPr>
        <w:t>公司（单位）名称（盖章）</w:t>
      </w:r>
    </w:p>
    <w:p w14:paraId="6DED17CB">
      <w:pPr>
        <w:pStyle w:val="18"/>
        <w:shd w:val="clear" w:color="auto" w:fill="FFFFFF"/>
        <w:spacing w:before="0" w:beforeAutospacing="0" w:after="0" w:afterAutospacing="0" w:line="560" w:lineRule="atLeast"/>
        <w:jc w:val="right"/>
        <w:textAlignment w:val="baseline"/>
      </w:pPr>
      <w:r>
        <w:rPr>
          <w:rFonts w:hint="eastAsia"/>
        </w:rPr>
        <w:t>日期：    年   月   日</w:t>
      </w:r>
    </w:p>
    <w:p w14:paraId="3BB6B112">
      <w:pPr>
        <w:pStyle w:val="18"/>
        <w:shd w:val="clear" w:color="auto" w:fill="FFFFFF"/>
        <w:spacing w:before="0" w:beforeAutospacing="0" w:after="0" w:afterAutospacing="0" w:line="336" w:lineRule="auto"/>
        <w:textAlignment w:val="baseline"/>
      </w:pPr>
    </w:p>
    <w:p w14:paraId="6AB3CFC9">
      <w:pPr>
        <w:pStyle w:val="18"/>
        <w:shd w:val="clear" w:color="auto" w:fill="FFFFFF"/>
        <w:spacing w:before="0" w:beforeAutospacing="0" w:after="0" w:afterAutospacing="0" w:line="336" w:lineRule="auto"/>
        <w:textAlignment w:val="baseline"/>
      </w:pPr>
      <w:r>
        <w:rPr>
          <w:rFonts w:hint="eastAsia"/>
        </w:rPr>
        <w:t>说明：</w:t>
      </w:r>
    </w:p>
    <w:p w14:paraId="0F374078">
      <w:pPr>
        <w:pStyle w:val="18"/>
        <w:shd w:val="clear" w:color="auto" w:fill="FFFFFF"/>
        <w:spacing w:before="0" w:beforeAutospacing="0" w:after="0" w:afterAutospacing="0" w:line="336" w:lineRule="auto"/>
        <w:textAlignment w:val="baseline"/>
      </w:pPr>
      <w:r>
        <w:rPr>
          <w:rFonts w:hint="eastAsia"/>
        </w:rPr>
        <w:t>1.产品如有型号，请在“产品名称”栏一并填写。</w:t>
      </w:r>
    </w:p>
    <w:p w14:paraId="55B0E507">
      <w:pPr>
        <w:pStyle w:val="18"/>
        <w:shd w:val="clear" w:color="auto" w:fill="FFFFFF"/>
        <w:spacing w:before="0" w:beforeAutospacing="0" w:after="0" w:afterAutospacing="0" w:line="336" w:lineRule="auto"/>
        <w:textAlignment w:val="baseline"/>
      </w:pPr>
      <w:r>
        <w:rPr>
          <w:rFonts w:hint="eastAsia"/>
        </w:rPr>
        <w:t>2.生产厂名与厂址应与生产厂营业执照载明的相关信息保持一致。</w:t>
      </w:r>
    </w:p>
    <w:p w14:paraId="7E4F2889">
      <w:pPr>
        <w:pStyle w:val="18"/>
        <w:shd w:val="clear" w:color="auto" w:fill="FFFFFF"/>
        <w:spacing w:before="0" w:beforeAutospacing="0" w:after="0" w:afterAutospacing="0" w:line="336" w:lineRule="auto"/>
        <w:textAlignment w:val="baseline"/>
      </w:pPr>
      <w:r>
        <w:rPr>
          <w:rFonts w:hint="eastAsia"/>
        </w:rPr>
        <w:t>3.该产品的中国境内生产的组件成本占比相关要求实施前，“规定比例”栏可不填，下同。</w:t>
      </w:r>
    </w:p>
    <w:p w14:paraId="3DD31EA9">
      <w:pPr>
        <w:pStyle w:val="18"/>
        <w:shd w:val="clear" w:color="auto" w:fill="FFFFFF"/>
        <w:spacing w:before="0" w:beforeAutospacing="0" w:after="0" w:afterAutospacing="0" w:line="336" w:lineRule="auto"/>
        <w:textAlignment w:val="baseline"/>
      </w:pPr>
      <w:r>
        <w:rPr>
          <w:rFonts w:hint="eastAsia"/>
        </w:rPr>
        <w:t>4.该产品的关键组件要求实施前，“关键组件”栏可不填，下同。</w:t>
      </w:r>
    </w:p>
    <w:p w14:paraId="674BFBDB">
      <w:pPr>
        <w:pStyle w:val="18"/>
        <w:shd w:val="clear" w:color="auto" w:fill="FFFFFF"/>
        <w:spacing w:before="0" w:beforeAutospacing="0" w:after="0" w:afterAutospacing="0" w:line="336" w:lineRule="auto"/>
        <w:textAlignment w:val="baseline"/>
      </w:pPr>
      <w:r>
        <w:rPr>
          <w:rFonts w:hint="eastAsia"/>
        </w:rPr>
        <w:t>5.该产品的关键工序要求实施前，“关键工序”栏可不填，下同。</w:t>
      </w:r>
    </w:p>
    <w:p w14:paraId="6909DED1">
      <w:pPr>
        <w:spacing w:line="360" w:lineRule="auto"/>
        <w:outlineLvl w:val="2"/>
        <w:rPr>
          <w:rFonts w:ascii="宋体" w:hAnsi="宋体"/>
          <w:sz w:val="24"/>
          <w:szCs w:val="20"/>
        </w:rPr>
      </w:pPr>
      <w:r>
        <w:rPr>
          <w:rFonts w:ascii="宋体" w:hAnsi="宋体"/>
          <w:szCs w:val="20"/>
        </w:rPr>
        <w:br w:type="page"/>
      </w:r>
      <w:r>
        <w:rPr>
          <w:rFonts w:hint="eastAsia" w:ascii="宋体" w:hAnsi="宋体"/>
          <w:sz w:val="24"/>
          <w:szCs w:val="20"/>
        </w:rPr>
        <w:t>9</w:t>
      </w:r>
      <w:r>
        <w:rPr>
          <w:rFonts w:ascii="宋体" w:hAnsi="宋体"/>
          <w:sz w:val="24"/>
          <w:szCs w:val="20"/>
        </w:rPr>
        <w:t xml:space="preserve">  拟分包情况说明</w:t>
      </w:r>
    </w:p>
    <w:p w14:paraId="3AB5E519">
      <w:pPr>
        <w:autoSpaceDE w:val="0"/>
        <w:autoSpaceDN w:val="0"/>
        <w:adjustRightInd w:val="0"/>
        <w:jc w:val="center"/>
        <w:rPr>
          <w:rFonts w:ascii="宋体" w:hAnsi="宋体"/>
          <w:sz w:val="30"/>
          <w:szCs w:val="30"/>
        </w:rPr>
      </w:pPr>
    </w:p>
    <w:p w14:paraId="6F22BC82">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拟分包情况说明</w:t>
      </w:r>
    </w:p>
    <w:p w14:paraId="22A6AB8F">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F1048D0">
      <w:pPr>
        <w:adjustRightInd w:val="0"/>
        <w:snapToGrid w:val="0"/>
        <w:spacing w:line="360" w:lineRule="auto"/>
        <w:ind w:firstLine="480" w:firstLineChars="20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8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559"/>
      </w:tblGrid>
      <w:tr w14:paraId="5D44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EC658C9">
            <w:pPr>
              <w:pStyle w:val="40"/>
              <w:jc w:val="center"/>
              <w:rPr>
                <w:sz w:val="24"/>
              </w:rPr>
            </w:pPr>
            <w:r>
              <w:rPr>
                <w:rFonts w:hint="eastAsia"/>
                <w:sz w:val="24"/>
              </w:rPr>
              <w:t>序号</w:t>
            </w:r>
          </w:p>
        </w:tc>
        <w:tc>
          <w:tcPr>
            <w:tcW w:w="1287" w:type="dxa"/>
            <w:vAlign w:val="center"/>
          </w:tcPr>
          <w:p w14:paraId="7A48EF5B">
            <w:pPr>
              <w:pStyle w:val="40"/>
              <w:jc w:val="center"/>
              <w:rPr>
                <w:sz w:val="24"/>
              </w:rPr>
            </w:pPr>
            <w:r>
              <w:rPr>
                <w:rFonts w:hint="eastAsia"/>
                <w:sz w:val="24"/>
              </w:rPr>
              <w:t>分包承担</w:t>
            </w:r>
          </w:p>
          <w:p w14:paraId="5B137C2E">
            <w:pPr>
              <w:pStyle w:val="40"/>
              <w:jc w:val="center"/>
              <w:rPr>
                <w:sz w:val="24"/>
              </w:rPr>
            </w:pPr>
            <w:r>
              <w:rPr>
                <w:rFonts w:hint="eastAsia"/>
                <w:sz w:val="24"/>
              </w:rPr>
              <w:t>主体名称</w:t>
            </w:r>
          </w:p>
        </w:tc>
        <w:tc>
          <w:tcPr>
            <w:tcW w:w="1513" w:type="dxa"/>
            <w:vAlign w:val="center"/>
          </w:tcPr>
          <w:p w14:paraId="158FCFF3">
            <w:pPr>
              <w:pStyle w:val="40"/>
              <w:jc w:val="center"/>
              <w:rPr>
                <w:sz w:val="24"/>
                <w:lang w:eastAsia="zh-CN"/>
              </w:rPr>
            </w:pPr>
            <w:r>
              <w:rPr>
                <w:rFonts w:hint="eastAsia"/>
                <w:sz w:val="24"/>
                <w:lang w:eastAsia="zh-CN"/>
              </w:rPr>
              <w:t>分包承担</w:t>
            </w:r>
          </w:p>
          <w:p w14:paraId="49294B95">
            <w:pPr>
              <w:pStyle w:val="40"/>
              <w:jc w:val="center"/>
              <w:rPr>
                <w:sz w:val="24"/>
                <w:lang w:eastAsia="zh-CN"/>
              </w:rPr>
            </w:pPr>
            <w:r>
              <w:rPr>
                <w:rFonts w:hint="eastAsia"/>
                <w:sz w:val="24"/>
                <w:lang w:eastAsia="zh-CN"/>
              </w:rPr>
              <w:t>主体类型</w:t>
            </w:r>
          </w:p>
          <w:p w14:paraId="504576B5">
            <w:pPr>
              <w:pStyle w:val="40"/>
              <w:jc w:val="center"/>
              <w:rPr>
                <w:sz w:val="24"/>
                <w:lang w:eastAsia="zh-CN"/>
              </w:rPr>
            </w:pPr>
            <w:r>
              <w:rPr>
                <w:rFonts w:hint="eastAsia"/>
                <w:sz w:val="24"/>
                <w:lang w:eastAsia="zh-CN"/>
              </w:rPr>
              <w:t>（选择）</w:t>
            </w:r>
          </w:p>
        </w:tc>
        <w:tc>
          <w:tcPr>
            <w:tcW w:w="1125" w:type="dxa"/>
            <w:vAlign w:val="center"/>
          </w:tcPr>
          <w:p w14:paraId="13E7E6F5">
            <w:pPr>
              <w:pStyle w:val="40"/>
              <w:jc w:val="center"/>
              <w:rPr>
                <w:sz w:val="24"/>
              </w:rPr>
            </w:pPr>
            <w:r>
              <w:rPr>
                <w:rFonts w:hint="eastAsia"/>
                <w:sz w:val="24"/>
              </w:rPr>
              <w:t>资质等级</w:t>
            </w:r>
          </w:p>
        </w:tc>
        <w:tc>
          <w:tcPr>
            <w:tcW w:w="1213" w:type="dxa"/>
            <w:vAlign w:val="center"/>
          </w:tcPr>
          <w:p w14:paraId="4293F961">
            <w:pPr>
              <w:pStyle w:val="40"/>
              <w:jc w:val="center"/>
              <w:rPr>
                <w:sz w:val="24"/>
              </w:rPr>
            </w:pPr>
            <w:r>
              <w:rPr>
                <w:rFonts w:hint="eastAsia"/>
                <w:sz w:val="24"/>
              </w:rPr>
              <w:t>拟分包</w:t>
            </w:r>
          </w:p>
          <w:p w14:paraId="41D2D6CE">
            <w:pPr>
              <w:pStyle w:val="40"/>
              <w:jc w:val="center"/>
              <w:rPr>
                <w:sz w:val="24"/>
              </w:rPr>
            </w:pPr>
            <w:r>
              <w:rPr>
                <w:rFonts w:hint="eastAsia"/>
                <w:sz w:val="24"/>
              </w:rPr>
              <w:t>合同内容</w:t>
            </w:r>
          </w:p>
        </w:tc>
        <w:tc>
          <w:tcPr>
            <w:tcW w:w="1418" w:type="dxa"/>
            <w:vAlign w:val="center"/>
          </w:tcPr>
          <w:p w14:paraId="50876B23">
            <w:pPr>
              <w:pStyle w:val="40"/>
              <w:jc w:val="center"/>
              <w:rPr>
                <w:sz w:val="24"/>
                <w:lang w:eastAsia="zh-CN"/>
              </w:rPr>
            </w:pPr>
            <w:r>
              <w:rPr>
                <w:rFonts w:hint="eastAsia"/>
                <w:sz w:val="24"/>
                <w:lang w:eastAsia="zh-CN"/>
              </w:rPr>
              <w:t>拟分包</w:t>
            </w:r>
          </w:p>
          <w:p w14:paraId="7625F06F">
            <w:pPr>
              <w:pStyle w:val="40"/>
              <w:jc w:val="center"/>
              <w:rPr>
                <w:sz w:val="24"/>
                <w:lang w:eastAsia="zh-CN"/>
              </w:rPr>
            </w:pPr>
            <w:r>
              <w:rPr>
                <w:rFonts w:hint="eastAsia"/>
                <w:sz w:val="24"/>
                <w:lang w:eastAsia="zh-CN"/>
              </w:rPr>
              <w:t>合同金额</w:t>
            </w:r>
          </w:p>
          <w:p w14:paraId="2885C08C">
            <w:pPr>
              <w:pStyle w:val="40"/>
              <w:jc w:val="center"/>
              <w:rPr>
                <w:sz w:val="24"/>
                <w:lang w:eastAsia="zh-CN"/>
              </w:rPr>
            </w:pPr>
            <w:r>
              <w:rPr>
                <w:rFonts w:hint="eastAsia"/>
                <w:sz w:val="24"/>
                <w:lang w:eastAsia="zh-CN"/>
              </w:rPr>
              <w:t>（人民币元）</w:t>
            </w:r>
          </w:p>
        </w:tc>
        <w:tc>
          <w:tcPr>
            <w:tcW w:w="1559" w:type="dxa"/>
            <w:vAlign w:val="center"/>
          </w:tcPr>
          <w:p w14:paraId="2E3875D4">
            <w:pPr>
              <w:pStyle w:val="40"/>
              <w:jc w:val="both"/>
              <w:rPr>
                <w:bCs/>
                <w:sz w:val="24"/>
                <w:lang w:eastAsia="zh-CN"/>
              </w:rPr>
            </w:pPr>
            <w:r>
              <w:rPr>
                <w:rFonts w:hint="eastAsia"/>
                <w:bCs/>
                <w:sz w:val="24"/>
                <w:lang w:eastAsia="zh-CN"/>
              </w:rPr>
              <w:t>占合同金额</w:t>
            </w:r>
          </w:p>
          <w:p w14:paraId="470D1DFB">
            <w:pPr>
              <w:pStyle w:val="40"/>
              <w:jc w:val="center"/>
              <w:rPr>
                <w:bCs/>
                <w:sz w:val="24"/>
                <w:lang w:eastAsia="zh-CN"/>
              </w:rPr>
            </w:pPr>
            <w:r>
              <w:rPr>
                <w:rFonts w:hint="eastAsia"/>
                <w:bCs/>
                <w:sz w:val="24"/>
                <w:lang w:eastAsia="zh-CN"/>
              </w:rPr>
              <w:t>的比例（%）</w:t>
            </w:r>
          </w:p>
        </w:tc>
      </w:tr>
      <w:tr w14:paraId="4262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2BE78F">
            <w:pPr>
              <w:pStyle w:val="40"/>
              <w:jc w:val="center"/>
              <w:rPr>
                <w:sz w:val="24"/>
              </w:rPr>
            </w:pPr>
            <w:r>
              <w:rPr>
                <w:rFonts w:hint="eastAsia"/>
                <w:sz w:val="24"/>
              </w:rPr>
              <w:t>1</w:t>
            </w:r>
          </w:p>
        </w:tc>
        <w:tc>
          <w:tcPr>
            <w:tcW w:w="1287" w:type="dxa"/>
            <w:vAlign w:val="center"/>
          </w:tcPr>
          <w:p w14:paraId="2D5F1DCF">
            <w:pPr>
              <w:pStyle w:val="40"/>
              <w:jc w:val="center"/>
              <w:rPr>
                <w:rFonts w:cs="Times New Roman"/>
                <w:sz w:val="30"/>
              </w:rPr>
            </w:pPr>
          </w:p>
        </w:tc>
        <w:tc>
          <w:tcPr>
            <w:tcW w:w="1513" w:type="dxa"/>
            <w:vAlign w:val="center"/>
          </w:tcPr>
          <w:p w14:paraId="35076544">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77C4BE16">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□其他类型</w:t>
            </w:r>
          </w:p>
          <w:p w14:paraId="51BD50C5">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66D07C4B">
            <w:pPr>
              <w:pStyle w:val="40"/>
              <w:jc w:val="center"/>
              <w:rPr>
                <w:sz w:val="30"/>
                <w:lang w:eastAsia="zh-CN"/>
              </w:rPr>
            </w:pPr>
          </w:p>
        </w:tc>
        <w:tc>
          <w:tcPr>
            <w:tcW w:w="1213" w:type="dxa"/>
            <w:vAlign w:val="center"/>
          </w:tcPr>
          <w:p w14:paraId="673D2435">
            <w:pPr>
              <w:pStyle w:val="40"/>
              <w:jc w:val="center"/>
              <w:rPr>
                <w:sz w:val="30"/>
                <w:lang w:eastAsia="zh-CN"/>
              </w:rPr>
            </w:pPr>
          </w:p>
        </w:tc>
        <w:tc>
          <w:tcPr>
            <w:tcW w:w="1418" w:type="dxa"/>
            <w:vAlign w:val="center"/>
          </w:tcPr>
          <w:p w14:paraId="2FA2F2BA">
            <w:pPr>
              <w:pStyle w:val="40"/>
              <w:jc w:val="center"/>
              <w:rPr>
                <w:sz w:val="30"/>
                <w:lang w:eastAsia="zh-CN"/>
              </w:rPr>
            </w:pPr>
          </w:p>
        </w:tc>
        <w:tc>
          <w:tcPr>
            <w:tcW w:w="1559" w:type="dxa"/>
            <w:vAlign w:val="center"/>
          </w:tcPr>
          <w:p w14:paraId="19468B83">
            <w:pPr>
              <w:pStyle w:val="40"/>
              <w:jc w:val="center"/>
              <w:rPr>
                <w:sz w:val="30"/>
                <w:lang w:eastAsia="zh-CN"/>
              </w:rPr>
            </w:pPr>
          </w:p>
        </w:tc>
      </w:tr>
      <w:tr w14:paraId="3784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886C31">
            <w:pPr>
              <w:pStyle w:val="40"/>
              <w:jc w:val="center"/>
              <w:rPr>
                <w:sz w:val="24"/>
                <w:lang w:eastAsia="zh-CN"/>
              </w:rPr>
            </w:pPr>
            <w:r>
              <w:rPr>
                <w:rFonts w:hint="eastAsia"/>
                <w:sz w:val="24"/>
                <w:lang w:eastAsia="zh-CN"/>
              </w:rPr>
              <w:t>2</w:t>
            </w:r>
          </w:p>
        </w:tc>
        <w:tc>
          <w:tcPr>
            <w:tcW w:w="1287" w:type="dxa"/>
            <w:vAlign w:val="center"/>
          </w:tcPr>
          <w:p w14:paraId="03AB83F9">
            <w:pPr>
              <w:pStyle w:val="40"/>
              <w:jc w:val="center"/>
              <w:rPr>
                <w:sz w:val="30"/>
              </w:rPr>
            </w:pPr>
          </w:p>
        </w:tc>
        <w:tc>
          <w:tcPr>
            <w:tcW w:w="1513" w:type="dxa"/>
            <w:vAlign w:val="center"/>
          </w:tcPr>
          <w:p w14:paraId="65F297B5">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26B2FA0F">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□其他类型</w:t>
            </w:r>
          </w:p>
          <w:p w14:paraId="3B2FDC3A">
            <w:pPr>
              <w:pStyle w:val="40"/>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3620818D">
            <w:pPr>
              <w:pStyle w:val="40"/>
              <w:jc w:val="center"/>
              <w:rPr>
                <w:sz w:val="30"/>
                <w:lang w:eastAsia="zh-CN"/>
              </w:rPr>
            </w:pPr>
          </w:p>
        </w:tc>
        <w:tc>
          <w:tcPr>
            <w:tcW w:w="1213" w:type="dxa"/>
            <w:vAlign w:val="center"/>
          </w:tcPr>
          <w:p w14:paraId="1816C7F4">
            <w:pPr>
              <w:pStyle w:val="40"/>
              <w:jc w:val="center"/>
              <w:rPr>
                <w:sz w:val="30"/>
                <w:lang w:eastAsia="zh-CN"/>
              </w:rPr>
            </w:pPr>
          </w:p>
        </w:tc>
        <w:tc>
          <w:tcPr>
            <w:tcW w:w="1418" w:type="dxa"/>
            <w:vAlign w:val="center"/>
          </w:tcPr>
          <w:p w14:paraId="3D01AB4A">
            <w:pPr>
              <w:pStyle w:val="40"/>
              <w:jc w:val="center"/>
              <w:rPr>
                <w:sz w:val="30"/>
                <w:lang w:eastAsia="zh-CN"/>
              </w:rPr>
            </w:pPr>
          </w:p>
        </w:tc>
        <w:tc>
          <w:tcPr>
            <w:tcW w:w="1559" w:type="dxa"/>
            <w:vAlign w:val="center"/>
          </w:tcPr>
          <w:p w14:paraId="041512F3">
            <w:pPr>
              <w:pStyle w:val="40"/>
              <w:jc w:val="center"/>
              <w:rPr>
                <w:sz w:val="30"/>
                <w:lang w:eastAsia="zh-CN"/>
              </w:rPr>
            </w:pPr>
          </w:p>
        </w:tc>
      </w:tr>
      <w:tr w14:paraId="1307D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436C">
            <w:pPr>
              <w:pStyle w:val="40"/>
              <w:jc w:val="center"/>
              <w:rPr>
                <w:sz w:val="24"/>
                <w:lang w:eastAsia="zh-CN"/>
              </w:rPr>
            </w:pPr>
            <w:r>
              <w:rPr>
                <w:rFonts w:hint="eastAsia"/>
                <w:sz w:val="24"/>
                <w:lang w:eastAsia="zh-CN"/>
              </w:rPr>
              <w:t>…</w:t>
            </w:r>
          </w:p>
        </w:tc>
        <w:tc>
          <w:tcPr>
            <w:tcW w:w="1287" w:type="dxa"/>
            <w:vAlign w:val="center"/>
          </w:tcPr>
          <w:p w14:paraId="0E2B8AF0">
            <w:pPr>
              <w:pStyle w:val="40"/>
              <w:jc w:val="center"/>
              <w:rPr>
                <w:sz w:val="30"/>
              </w:rPr>
            </w:pPr>
          </w:p>
        </w:tc>
        <w:tc>
          <w:tcPr>
            <w:tcW w:w="1513" w:type="dxa"/>
            <w:vAlign w:val="center"/>
          </w:tcPr>
          <w:p w14:paraId="377DC0AD">
            <w:pPr>
              <w:pStyle w:val="40"/>
              <w:tabs>
                <w:tab w:val="left" w:pos="235"/>
              </w:tabs>
              <w:jc w:val="center"/>
              <w:rPr>
                <w:sz w:val="24"/>
              </w:rPr>
            </w:pPr>
          </w:p>
        </w:tc>
        <w:tc>
          <w:tcPr>
            <w:tcW w:w="1125" w:type="dxa"/>
            <w:vAlign w:val="center"/>
          </w:tcPr>
          <w:p w14:paraId="6E557C1F">
            <w:pPr>
              <w:pStyle w:val="40"/>
              <w:jc w:val="center"/>
              <w:rPr>
                <w:sz w:val="30"/>
              </w:rPr>
            </w:pPr>
          </w:p>
        </w:tc>
        <w:tc>
          <w:tcPr>
            <w:tcW w:w="1213" w:type="dxa"/>
            <w:vAlign w:val="center"/>
          </w:tcPr>
          <w:p w14:paraId="608791D8">
            <w:pPr>
              <w:pStyle w:val="40"/>
              <w:jc w:val="center"/>
              <w:rPr>
                <w:sz w:val="30"/>
              </w:rPr>
            </w:pPr>
          </w:p>
        </w:tc>
        <w:tc>
          <w:tcPr>
            <w:tcW w:w="1418" w:type="dxa"/>
            <w:vAlign w:val="center"/>
          </w:tcPr>
          <w:p w14:paraId="4BF2EA8D">
            <w:pPr>
              <w:pStyle w:val="40"/>
              <w:jc w:val="center"/>
              <w:rPr>
                <w:sz w:val="30"/>
              </w:rPr>
            </w:pPr>
          </w:p>
        </w:tc>
        <w:tc>
          <w:tcPr>
            <w:tcW w:w="1559" w:type="dxa"/>
            <w:vAlign w:val="center"/>
          </w:tcPr>
          <w:p w14:paraId="411D1052">
            <w:pPr>
              <w:pStyle w:val="40"/>
              <w:jc w:val="center"/>
              <w:rPr>
                <w:sz w:val="30"/>
              </w:rPr>
            </w:pPr>
          </w:p>
        </w:tc>
      </w:tr>
      <w:tr w14:paraId="2E932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300C5C57">
            <w:pPr>
              <w:pStyle w:val="40"/>
              <w:ind w:right="57" w:rightChars="27"/>
              <w:jc w:val="right"/>
              <w:rPr>
                <w:sz w:val="24"/>
                <w:lang w:eastAsia="zh-CN"/>
              </w:rPr>
            </w:pPr>
            <w:r>
              <w:rPr>
                <w:rFonts w:hint="eastAsia"/>
                <w:sz w:val="24"/>
                <w:lang w:eastAsia="zh-CN"/>
              </w:rPr>
              <w:t>合计：</w:t>
            </w:r>
          </w:p>
        </w:tc>
        <w:tc>
          <w:tcPr>
            <w:tcW w:w="1418" w:type="dxa"/>
            <w:vAlign w:val="center"/>
          </w:tcPr>
          <w:p w14:paraId="653F3106">
            <w:pPr>
              <w:pStyle w:val="40"/>
              <w:jc w:val="center"/>
              <w:rPr>
                <w:sz w:val="30"/>
              </w:rPr>
            </w:pPr>
          </w:p>
        </w:tc>
        <w:tc>
          <w:tcPr>
            <w:tcW w:w="1559" w:type="dxa"/>
            <w:vAlign w:val="center"/>
          </w:tcPr>
          <w:p w14:paraId="44488E98">
            <w:pPr>
              <w:pStyle w:val="40"/>
              <w:jc w:val="center"/>
              <w:rPr>
                <w:sz w:val="30"/>
              </w:rPr>
            </w:pPr>
          </w:p>
        </w:tc>
      </w:tr>
    </w:tbl>
    <w:p w14:paraId="5E69A681">
      <w:pPr>
        <w:adjustRightInd w:val="0"/>
        <w:snapToGrid w:val="0"/>
        <w:spacing w:line="360" w:lineRule="auto"/>
        <w:jc w:val="left"/>
        <w:rPr>
          <w:rFonts w:ascii="宋体" w:hAnsi="宋体"/>
          <w:sz w:val="24"/>
        </w:rPr>
      </w:pPr>
      <w:r>
        <w:rPr>
          <w:rFonts w:ascii="宋体" w:hAnsi="宋体"/>
          <w:sz w:val="24"/>
        </w:rPr>
        <w:t>注：</w:t>
      </w:r>
    </w:p>
    <w:p w14:paraId="162578F5">
      <w:pPr>
        <w:adjustRightInd w:val="0"/>
        <w:snapToGrid w:val="0"/>
        <w:spacing w:line="360" w:lineRule="auto"/>
        <w:jc w:val="left"/>
        <w:rPr>
          <w:rFonts w:ascii="宋体" w:hAnsi="宋体"/>
          <w:sz w:val="24"/>
        </w:rPr>
      </w:pPr>
      <w:r>
        <w:rPr>
          <w:rFonts w:hint="eastAsia" w:ascii="宋体" w:hAnsi="宋体"/>
          <w:sz w:val="24"/>
        </w:rPr>
        <w:t>1. 如本项目（包）允许分包，且投标人拟进行分包时，必须提供；如未提供，或提供了但未填写分包承担主体名称、拟分包合同内容、拟分包合同金额，</w:t>
      </w:r>
      <w:r>
        <w:rPr>
          <w:rFonts w:hint="eastAsia" w:ascii="宋体" w:hAnsi="宋体"/>
          <w:b/>
          <w:bCs/>
          <w:sz w:val="24"/>
        </w:rPr>
        <w:t>投标无效</w:t>
      </w:r>
      <w:r>
        <w:rPr>
          <w:rFonts w:hint="eastAsia" w:ascii="宋体" w:hAnsi="宋体"/>
          <w:sz w:val="24"/>
        </w:rPr>
        <w:t>。</w:t>
      </w:r>
    </w:p>
    <w:p w14:paraId="369E1D88">
      <w:pPr>
        <w:adjustRightInd w:val="0"/>
        <w:snapToGrid w:val="0"/>
        <w:spacing w:line="360" w:lineRule="auto"/>
        <w:jc w:val="left"/>
        <w:rPr>
          <w:rFonts w:ascii="宋体" w:hAnsi="宋体"/>
          <w:sz w:val="24"/>
        </w:rPr>
      </w:pPr>
      <w:r>
        <w:rPr>
          <w:rFonts w:hint="eastAsia" w:ascii="宋体" w:hAnsi="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b/>
          <w:bCs/>
          <w:sz w:val="24"/>
        </w:rPr>
        <w:t>投标无效</w:t>
      </w:r>
      <w:r>
        <w:rPr>
          <w:rFonts w:hint="eastAsia" w:ascii="宋体" w:hAnsi="宋体"/>
          <w:sz w:val="24"/>
        </w:rPr>
        <w:t>。</w:t>
      </w:r>
    </w:p>
    <w:p w14:paraId="6ADFABAB">
      <w:pPr>
        <w:adjustRightInd w:val="0"/>
        <w:snapToGrid w:val="0"/>
        <w:spacing w:line="360" w:lineRule="auto"/>
        <w:jc w:val="left"/>
        <w:rPr>
          <w:rFonts w:ascii="宋体" w:hAnsi="宋体"/>
          <w:sz w:val="24"/>
        </w:rPr>
      </w:pPr>
      <w:r>
        <w:rPr>
          <w:rFonts w:hint="eastAsia" w:ascii="宋体" w:hAnsi="宋体"/>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21C9A0FB">
      <w:pPr>
        <w:adjustRightInd w:val="0"/>
        <w:snapToGrid w:val="0"/>
        <w:spacing w:line="360" w:lineRule="auto"/>
        <w:ind w:firstLine="480" w:firstLineChars="200"/>
        <w:jc w:val="right"/>
        <w:rPr>
          <w:rFonts w:ascii="宋体" w:hAnsi="宋体"/>
          <w:sz w:val="24"/>
        </w:rPr>
      </w:pPr>
      <w:r>
        <w:rPr>
          <w:rFonts w:ascii="宋体" w:hAnsi="宋体"/>
          <w:sz w:val="24"/>
        </w:rPr>
        <w:t>投标人名称（盖章）：______</w:t>
      </w:r>
    </w:p>
    <w:p w14:paraId="4F31795A">
      <w:pPr>
        <w:adjustRightInd w:val="0"/>
        <w:snapToGrid w:val="0"/>
        <w:spacing w:line="360" w:lineRule="auto"/>
        <w:ind w:firstLine="480" w:firstLineChars="200"/>
        <w:jc w:val="right"/>
        <w:rPr>
          <w:rFonts w:ascii="宋体" w:hAnsi="宋体"/>
          <w:sz w:val="24"/>
        </w:rPr>
      </w:pPr>
      <w:r>
        <w:rPr>
          <w:rFonts w:ascii="宋体" w:hAnsi="宋体"/>
          <w:sz w:val="24"/>
        </w:rPr>
        <w:t>日期：_____年______月______日</w:t>
      </w:r>
    </w:p>
    <w:p w14:paraId="38094611">
      <w:pPr>
        <w:spacing w:line="360" w:lineRule="auto"/>
        <w:outlineLvl w:val="2"/>
        <w:rPr>
          <w:rFonts w:ascii="宋体" w:hAnsi="宋体"/>
          <w:sz w:val="24"/>
          <w:szCs w:val="20"/>
        </w:rPr>
        <w:sectPr>
          <w:pgSz w:w="11907" w:h="16840"/>
          <w:pgMar w:top="1440" w:right="1800" w:bottom="1440" w:left="1800" w:header="851" w:footer="851" w:gutter="0"/>
          <w:cols w:space="720" w:num="1"/>
          <w:docGrid w:linePitch="462" w:charSpace="0"/>
        </w:sectPr>
      </w:pPr>
    </w:p>
    <w:p w14:paraId="56D1C1E2">
      <w:pPr>
        <w:spacing w:line="360" w:lineRule="auto"/>
        <w:outlineLvl w:val="2"/>
        <w:rPr>
          <w:rFonts w:ascii="宋体" w:hAnsi="宋体"/>
          <w:sz w:val="24"/>
        </w:rPr>
      </w:pPr>
      <w:r>
        <w:rPr>
          <w:rFonts w:hint="eastAsia" w:ascii="宋体" w:hAnsi="宋体"/>
          <w:sz w:val="24"/>
          <w:szCs w:val="20"/>
        </w:rPr>
        <w:t>10</w:t>
      </w:r>
      <w:r>
        <w:rPr>
          <w:rFonts w:ascii="宋体" w:hAnsi="宋体"/>
          <w:sz w:val="24"/>
          <w:szCs w:val="20"/>
        </w:rPr>
        <w:t xml:space="preserve">  </w:t>
      </w:r>
      <w:r>
        <w:rPr>
          <w:rFonts w:ascii="宋体" w:hAnsi="宋体"/>
          <w:sz w:val="24"/>
        </w:rPr>
        <w:t>代理费承诺书</w:t>
      </w:r>
    </w:p>
    <w:p w14:paraId="4807CE6C">
      <w:pPr>
        <w:rPr>
          <w:rFonts w:ascii="宋体" w:hAnsi="宋体"/>
        </w:rPr>
      </w:pPr>
    </w:p>
    <w:p w14:paraId="6E86DE79">
      <w:pPr>
        <w:spacing w:line="360" w:lineRule="auto"/>
        <w:ind w:left="1080" w:hanging="1080"/>
        <w:jc w:val="left"/>
        <w:rPr>
          <w:rFonts w:ascii="宋体" w:hAnsi="宋体" w:cs="宋体"/>
          <w:b/>
          <w:sz w:val="24"/>
          <w:u w:val="single"/>
        </w:rPr>
      </w:pPr>
      <w:r>
        <w:rPr>
          <w:rFonts w:hint="eastAsia" w:ascii="宋体" w:hAnsi="宋体" w:cs="宋体"/>
          <w:b/>
          <w:sz w:val="24"/>
        </w:rPr>
        <w:t>致：北京中兴恒达招标有限公司</w:t>
      </w:r>
    </w:p>
    <w:p w14:paraId="4711AE9C">
      <w:pPr>
        <w:spacing w:line="360" w:lineRule="auto"/>
        <w:ind w:firstLine="480"/>
        <w:jc w:val="left"/>
        <w:rPr>
          <w:rFonts w:ascii="宋体" w:hAnsi="宋体" w:cs="宋体"/>
          <w:sz w:val="24"/>
        </w:rPr>
      </w:pPr>
    </w:p>
    <w:p w14:paraId="0C646AD2">
      <w:pPr>
        <w:pStyle w:val="9"/>
        <w:spacing w:line="360" w:lineRule="auto"/>
        <w:ind w:left="0" w:leftChars="0" w:firstLine="480" w:firstLineChars="200"/>
        <w:rPr>
          <w:rFonts w:ascii="宋体" w:hAnsi="宋体"/>
        </w:rPr>
      </w:pPr>
      <w:r>
        <w:rPr>
          <w:rFonts w:hint="eastAsia" w:ascii="宋体" w:hAnsi="宋体" w:cs="宋体"/>
          <w:sz w:val="24"/>
        </w:rPr>
        <w:t>我单位承诺：若我单位在贵公司组织的</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）采购项目中获得中标资格，我单位将在领取中标通知书时以银行转账支付的方式向贵公司一次性支付应由我单位交纳的代理费</w:t>
      </w:r>
    </w:p>
    <w:p w14:paraId="0362AD18">
      <w:pPr>
        <w:spacing w:line="360" w:lineRule="auto"/>
        <w:ind w:left="1620" w:leftChars="257" w:hanging="1080"/>
        <w:jc w:val="left"/>
        <w:rPr>
          <w:rFonts w:ascii="宋体" w:hAnsi="宋体" w:cs="宋体"/>
          <w:sz w:val="24"/>
        </w:rPr>
      </w:pPr>
    </w:p>
    <w:p w14:paraId="7B972B09">
      <w:pPr>
        <w:spacing w:line="360" w:lineRule="auto"/>
        <w:ind w:left="1620" w:leftChars="257" w:hanging="1080"/>
        <w:jc w:val="left"/>
        <w:rPr>
          <w:rFonts w:ascii="宋体" w:hAnsi="宋体" w:cs="宋体"/>
          <w:sz w:val="24"/>
        </w:rPr>
      </w:pPr>
    </w:p>
    <w:p w14:paraId="715AF6BF">
      <w:pPr>
        <w:spacing w:line="360" w:lineRule="auto"/>
        <w:ind w:left="1620" w:leftChars="257" w:hanging="1080"/>
        <w:jc w:val="left"/>
        <w:rPr>
          <w:rFonts w:ascii="宋体" w:hAnsi="宋体" w:cs="宋体"/>
          <w:sz w:val="24"/>
        </w:rPr>
      </w:pPr>
    </w:p>
    <w:p w14:paraId="49B8EE9A">
      <w:pPr>
        <w:spacing w:line="360" w:lineRule="auto"/>
        <w:ind w:left="1620" w:leftChars="257" w:hanging="1080"/>
        <w:jc w:val="left"/>
        <w:rPr>
          <w:rFonts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56A67577">
      <w:pPr>
        <w:spacing w:line="360" w:lineRule="auto"/>
        <w:ind w:left="1620" w:leftChars="257" w:hanging="1080"/>
        <w:jc w:val="left"/>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4AF5492C">
      <w:pPr>
        <w:pStyle w:val="9"/>
        <w:ind w:left="840" w:hanging="420"/>
        <w:rPr>
          <w:rFonts w:ascii="宋体" w:hAnsi="宋体"/>
        </w:rPr>
        <w:sectPr>
          <w:pgSz w:w="11907" w:h="16840"/>
          <w:pgMar w:top="1440" w:right="1800" w:bottom="1440" w:left="1800" w:header="851" w:footer="851" w:gutter="0"/>
          <w:cols w:space="720" w:num="1"/>
          <w:docGrid w:linePitch="462" w:charSpace="0"/>
        </w:sectPr>
      </w:pPr>
    </w:p>
    <w:p w14:paraId="3F04E8E3">
      <w:pPr>
        <w:pStyle w:val="4"/>
      </w:pPr>
      <w:r>
        <w:rPr>
          <w:rFonts w:hint="eastAsia"/>
        </w:rPr>
        <w:t>11 商务符合性承诺书</w:t>
      </w:r>
      <w:r>
        <w:t>（实质性格式）</w:t>
      </w:r>
    </w:p>
    <w:p w14:paraId="3A672661">
      <w:pPr>
        <w:spacing w:line="360" w:lineRule="auto"/>
        <w:rPr>
          <w:rFonts w:ascii="宋体" w:hAnsi="宋体"/>
          <w:sz w:val="24"/>
          <w:szCs w:val="20"/>
        </w:rPr>
      </w:pPr>
    </w:p>
    <w:p w14:paraId="22382FE1">
      <w:pPr>
        <w:spacing w:line="360" w:lineRule="auto"/>
        <w:rPr>
          <w:rFonts w:ascii="宋体" w:hAnsi="宋体"/>
          <w:sz w:val="24"/>
          <w:szCs w:val="20"/>
        </w:rPr>
      </w:pPr>
    </w:p>
    <w:p w14:paraId="6091A001">
      <w:pPr>
        <w:spacing w:line="360" w:lineRule="auto"/>
        <w:rPr>
          <w:rFonts w:ascii="宋体" w:hAnsi="宋体"/>
          <w:b/>
          <w:bCs/>
          <w:sz w:val="24"/>
          <w:szCs w:val="20"/>
        </w:rPr>
      </w:pPr>
      <w:r>
        <w:rPr>
          <w:rFonts w:ascii="宋体" w:hAnsi="宋体" w:cs="Arial"/>
          <w:b/>
          <w:sz w:val="24"/>
        </w:rPr>
        <w:t>致：</w:t>
      </w:r>
      <w:r>
        <w:rPr>
          <w:rFonts w:hint="eastAsia" w:ascii="宋体" w:hAnsi="宋体"/>
          <w:b/>
          <w:bCs/>
          <w:sz w:val="24"/>
          <w:szCs w:val="20"/>
        </w:rPr>
        <w:t>北京中兴恒达招标有限公司</w:t>
      </w:r>
    </w:p>
    <w:p w14:paraId="4DB43B53">
      <w:pPr>
        <w:spacing w:line="360" w:lineRule="auto"/>
        <w:ind w:firstLine="480" w:firstLineChars="200"/>
        <w:jc w:val="left"/>
        <w:rPr>
          <w:rFonts w:ascii="宋体" w:hAnsi="宋体"/>
          <w:sz w:val="24"/>
        </w:rPr>
      </w:pPr>
    </w:p>
    <w:p w14:paraId="1654CDC0">
      <w:pPr>
        <w:spacing w:line="360" w:lineRule="auto"/>
        <w:ind w:firstLine="480" w:firstLineChars="200"/>
        <w:jc w:val="left"/>
        <w:rPr>
          <w:rFonts w:ascii="宋体" w:hAnsi="宋体"/>
          <w:sz w:val="24"/>
        </w:rPr>
      </w:pPr>
    </w:p>
    <w:p w14:paraId="4E65F61F">
      <w:pPr>
        <w:spacing w:line="360" w:lineRule="auto"/>
        <w:ind w:firstLine="480" w:firstLineChars="200"/>
        <w:jc w:val="left"/>
        <w:rPr>
          <w:rFonts w:ascii="宋体" w:hAnsi="宋体"/>
          <w:sz w:val="24"/>
        </w:rPr>
      </w:pPr>
      <w:r>
        <w:rPr>
          <w:rFonts w:hint="eastAsia" w:ascii="宋体" w:hAnsi="宋体"/>
          <w:sz w:val="24"/>
        </w:rPr>
        <w:t>我公司承诺：</w:t>
      </w:r>
    </w:p>
    <w:p w14:paraId="389FE605">
      <w:pPr>
        <w:spacing w:line="360" w:lineRule="auto"/>
        <w:ind w:firstLine="480" w:firstLineChars="200"/>
        <w:jc w:val="left"/>
        <w:rPr>
          <w:rFonts w:ascii="宋体" w:hAnsi="宋体"/>
          <w:sz w:val="24"/>
        </w:rPr>
      </w:pPr>
      <w:r>
        <w:rPr>
          <w:rFonts w:hint="eastAsia" w:ascii="宋体" w:hAnsi="宋体"/>
          <w:sz w:val="24"/>
        </w:rPr>
        <w:t>（一）我公司</w:t>
      </w:r>
      <w:r>
        <w:rPr>
          <w:rFonts w:ascii="宋体" w:hAnsi="宋体"/>
          <w:sz w:val="24"/>
        </w:rPr>
        <w:t>遵循公平竞争的原则，不存在恶意串通，</w:t>
      </w:r>
      <w:r>
        <w:rPr>
          <w:rFonts w:hint="eastAsia" w:ascii="宋体" w:hAnsi="宋体"/>
          <w:sz w:val="24"/>
        </w:rPr>
        <w:t>或</w:t>
      </w:r>
      <w:r>
        <w:rPr>
          <w:rFonts w:ascii="宋体" w:hAnsi="宋体"/>
          <w:sz w:val="24"/>
        </w:rPr>
        <w:t>妨碍其他投标人的竞争行为，不存在损害采购人或者其他投标人的合法权益情形；</w:t>
      </w:r>
    </w:p>
    <w:p w14:paraId="694810BA">
      <w:pPr>
        <w:spacing w:line="360" w:lineRule="auto"/>
        <w:ind w:firstLine="480" w:firstLineChars="200"/>
        <w:jc w:val="left"/>
        <w:rPr>
          <w:rFonts w:ascii="宋体" w:hAnsi="宋体"/>
          <w:sz w:val="24"/>
        </w:rPr>
      </w:pPr>
      <w:r>
        <w:rPr>
          <w:rFonts w:hint="eastAsia" w:ascii="宋体" w:hAnsi="宋体"/>
          <w:sz w:val="24"/>
        </w:rPr>
        <w:t>（二）我公司不存在《政府采购货物和服务招标投标管理办法》视为投标人串通投标的情形：</w:t>
      </w:r>
    </w:p>
    <w:p w14:paraId="0CB69148">
      <w:pPr>
        <w:spacing w:line="360" w:lineRule="auto"/>
        <w:ind w:firstLine="480" w:firstLineChars="200"/>
        <w:jc w:val="left"/>
        <w:rPr>
          <w:rFonts w:ascii="宋体" w:hAnsi="宋体"/>
          <w:sz w:val="24"/>
        </w:rPr>
      </w:pPr>
      <w:r>
        <w:rPr>
          <w:rFonts w:hint="eastAsia" w:ascii="宋体" w:hAnsi="宋体"/>
          <w:sz w:val="24"/>
        </w:rPr>
        <w:t>（1）不同投标人的投标文件由同一单位或者个人编制；</w:t>
      </w:r>
    </w:p>
    <w:p w14:paraId="52F0253C">
      <w:pPr>
        <w:spacing w:line="360" w:lineRule="auto"/>
        <w:ind w:firstLine="480" w:firstLineChars="200"/>
        <w:jc w:val="left"/>
        <w:rPr>
          <w:rFonts w:ascii="宋体" w:hAnsi="宋体"/>
          <w:sz w:val="24"/>
        </w:rPr>
      </w:pPr>
      <w:r>
        <w:rPr>
          <w:rFonts w:hint="eastAsia" w:ascii="宋体" w:hAnsi="宋体"/>
          <w:sz w:val="24"/>
        </w:rPr>
        <w:t>（2）不同投标人委托同一单位或者个人办理投标事宜；</w:t>
      </w:r>
    </w:p>
    <w:p w14:paraId="61D163D5">
      <w:pPr>
        <w:spacing w:line="360" w:lineRule="auto"/>
        <w:ind w:firstLine="480" w:firstLineChars="200"/>
        <w:jc w:val="left"/>
        <w:rPr>
          <w:rFonts w:ascii="宋体" w:hAnsi="宋体"/>
          <w:sz w:val="24"/>
        </w:rPr>
      </w:pPr>
      <w:r>
        <w:rPr>
          <w:rFonts w:hint="eastAsia" w:ascii="宋体" w:hAnsi="宋体"/>
          <w:sz w:val="24"/>
        </w:rPr>
        <w:t>（3）不同投标人的投标文件载明的项目管理成员或者联系人员为同一人；</w:t>
      </w:r>
    </w:p>
    <w:p w14:paraId="38EFD7F1">
      <w:pPr>
        <w:spacing w:line="360" w:lineRule="auto"/>
        <w:ind w:firstLine="480" w:firstLineChars="200"/>
        <w:jc w:val="left"/>
        <w:rPr>
          <w:rFonts w:ascii="宋体" w:hAnsi="宋体"/>
          <w:sz w:val="24"/>
        </w:rPr>
      </w:pPr>
      <w:r>
        <w:rPr>
          <w:rFonts w:hint="eastAsia" w:ascii="宋体" w:hAnsi="宋体"/>
          <w:sz w:val="24"/>
        </w:rPr>
        <w:t>（4）不同投标人的投标文件异常一致或者投标报价呈规律性差异；</w:t>
      </w:r>
    </w:p>
    <w:p w14:paraId="643C122A">
      <w:pPr>
        <w:spacing w:line="360" w:lineRule="auto"/>
        <w:ind w:firstLine="480" w:firstLineChars="200"/>
        <w:jc w:val="left"/>
        <w:rPr>
          <w:rFonts w:ascii="宋体" w:hAnsi="宋体"/>
          <w:sz w:val="24"/>
        </w:rPr>
      </w:pPr>
      <w:r>
        <w:rPr>
          <w:rFonts w:hint="eastAsia" w:ascii="宋体" w:hAnsi="宋体"/>
          <w:sz w:val="24"/>
        </w:rPr>
        <w:t>（5）不同投标人的投标文件相互混装；</w:t>
      </w:r>
    </w:p>
    <w:p w14:paraId="6F91B863">
      <w:pPr>
        <w:spacing w:line="360" w:lineRule="auto"/>
        <w:ind w:firstLine="480" w:firstLineChars="200"/>
        <w:jc w:val="left"/>
        <w:rPr>
          <w:rFonts w:ascii="宋体" w:hAnsi="宋体"/>
          <w:sz w:val="24"/>
        </w:rPr>
      </w:pPr>
      <w:r>
        <w:rPr>
          <w:rFonts w:hint="eastAsia" w:ascii="宋体" w:hAnsi="宋体"/>
          <w:sz w:val="24"/>
        </w:rPr>
        <w:t>（6）不同投标人的投标保证金从同一单位或者个人的账户转出</w:t>
      </w:r>
      <w:r>
        <w:rPr>
          <w:rFonts w:ascii="宋体" w:hAnsi="宋体"/>
          <w:sz w:val="24"/>
        </w:rPr>
        <w:t>；</w:t>
      </w:r>
    </w:p>
    <w:p w14:paraId="445B93B8">
      <w:pPr>
        <w:spacing w:line="360" w:lineRule="auto"/>
        <w:ind w:firstLine="480" w:firstLineChars="200"/>
        <w:jc w:val="left"/>
        <w:rPr>
          <w:rFonts w:ascii="宋体" w:hAnsi="宋体"/>
          <w:sz w:val="24"/>
        </w:rPr>
      </w:pPr>
      <w:r>
        <w:rPr>
          <w:rFonts w:hint="eastAsia" w:ascii="宋体" w:hAnsi="宋体"/>
          <w:sz w:val="24"/>
        </w:rPr>
        <w:t>（三）我公司的投标文件未含有采购人不能接受的附加条件；</w:t>
      </w:r>
    </w:p>
    <w:p w14:paraId="083EC719">
      <w:pPr>
        <w:spacing w:line="360" w:lineRule="auto"/>
        <w:ind w:firstLine="480" w:firstLineChars="200"/>
        <w:jc w:val="left"/>
        <w:rPr>
          <w:rFonts w:ascii="宋体" w:hAnsi="宋体"/>
          <w:sz w:val="24"/>
        </w:rPr>
      </w:pPr>
      <w:r>
        <w:rPr>
          <w:rFonts w:hint="eastAsia" w:ascii="宋体" w:hAnsi="宋体"/>
          <w:sz w:val="24"/>
        </w:rPr>
        <w:t>（四）我公司不存在不符合法律、法规和招标文件规定的其他无效情形。</w:t>
      </w:r>
    </w:p>
    <w:p w14:paraId="6B68C7F8">
      <w:pPr>
        <w:spacing w:line="360" w:lineRule="auto"/>
        <w:ind w:firstLine="480" w:firstLineChars="200"/>
        <w:jc w:val="left"/>
        <w:rPr>
          <w:rFonts w:ascii="宋体" w:hAnsi="宋体"/>
          <w:sz w:val="24"/>
        </w:rPr>
      </w:pPr>
    </w:p>
    <w:p w14:paraId="2DCC76A5">
      <w:pPr>
        <w:spacing w:line="360" w:lineRule="auto"/>
        <w:ind w:firstLine="480" w:firstLineChars="200"/>
        <w:jc w:val="left"/>
        <w:rPr>
          <w:rFonts w:ascii="宋体" w:hAnsi="宋体"/>
          <w:sz w:val="24"/>
        </w:rPr>
      </w:pPr>
    </w:p>
    <w:p w14:paraId="17F07408">
      <w:pPr>
        <w:spacing w:line="360" w:lineRule="auto"/>
        <w:ind w:firstLine="480" w:firstLineChars="200"/>
        <w:jc w:val="left"/>
        <w:rPr>
          <w:rFonts w:ascii="宋体" w:hAnsi="宋体"/>
          <w:sz w:val="24"/>
        </w:rPr>
      </w:pPr>
    </w:p>
    <w:p w14:paraId="7EA01372">
      <w:pPr>
        <w:spacing w:line="360" w:lineRule="auto"/>
        <w:ind w:firstLine="480" w:firstLineChars="200"/>
        <w:jc w:val="left"/>
        <w:rPr>
          <w:rFonts w:ascii="宋体" w:hAnsi="宋体"/>
          <w:sz w:val="24"/>
        </w:rPr>
      </w:pPr>
    </w:p>
    <w:p w14:paraId="5E16F3A0">
      <w:pPr>
        <w:spacing w:line="360" w:lineRule="auto"/>
        <w:ind w:left="1620" w:leftChars="257" w:hanging="1080"/>
        <w:jc w:val="left"/>
        <w:rPr>
          <w:rFonts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318D1AAA">
      <w:pPr>
        <w:spacing w:line="360" w:lineRule="auto"/>
        <w:ind w:left="1620" w:leftChars="257" w:hanging="1080"/>
        <w:jc w:val="left"/>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14:paraId="0D44C7EC">
      <w:pPr>
        <w:widowControl/>
        <w:jc w:val="left"/>
        <w:rPr>
          <w:rFonts w:ascii="宋体" w:hAnsi="宋体" w:cs="Arial"/>
          <w:b/>
          <w:kern w:val="0"/>
          <w:position w:val="20"/>
          <w:sz w:val="24"/>
        </w:rPr>
      </w:pPr>
      <w:r>
        <w:rPr>
          <w:rFonts w:hint="eastAsia" w:ascii="宋体" w:hAnsi="宋体"/>
        </w:rPr>
        <w:br w:type="page"/>
      </w:r>
    </w:p>
    <w:p w14:paraId="22B66C3F">
      <w:pPr>
        <w:pStyle w:val="4"/>
      </w:pPr>
      <w:r>
        <w:rPr>
          <w:rFonts w:hint="eastAsia"/>
        </w:rPr>
        <w:t>12 不参与围标、串标承诺书</w:t>
      </w:r>
      <w:r>
        <w:t>（实质性格式）</w:t>
      </w:r>
    </w:p>
    <w:p w14:paraId="4B63799D">
      <w:pPr>
        <w:spacing w:line="360" w:lineRule="auto"/>
        <w:ind w:firstLine="480" w:firstLineChars="200"/>
        <w:jc w:val="left"/>
        <w:rPr>
          <w:rFonts w:ascii="宋体" w:hAnsi="宋体"/>
          <w:sz w:val="24"/>
        </w:rPr>
      </w:pPr>
      <w:r>
        <w:rPr>
          <w:rFonts w:ascii="宋体" w:hAnsi="宋体"/>
          <w:sz w:val="24"/>
        </w:rPr>
        <w:t>致：</w:t>
      </w:r>
      <w:r>
        <w:rPr>
          <w:rFonts w:ascii="宋体" w:hAnsi="宋体"/>
          <w:sz w:val="24"/>
          <w:u w:val="single"/>
        </w:rPr>
        <w:t xml:space="preserve">        </w:t>
      </w:r>
      <w:r>
        <w:rPr>
          <w:rFonts w:hint="eastAsia" w:ascii="宋体" w:hAnsi="宋体"/>
          <w:sz w:val="24"/>
          <w:u w:val="single"/>
        </w:rPr>
        <w:t>（</w:t>
      </w:r>
      <w:r>
        <w:rPr>
          <w:rFonts w:ascii="宋体" w:hAnsi="宋体"/>
          <w:sz w:val="24"/>
          <w:u w:val="single"/>
        </w:rPr>
        <w:t>采购</w:t>
      </w:r>
      <w:r>
        <w:rPr>
          <w:rFonts w:hint="eastAsia" w:ascii="宋体" w:hAnsi="宋体"/>
          <w:sz w:val="24"/>
          <w:u w:val="single"/>
        </w:rPr>
        <w:t>人）</w:t>
      </w:r>
    </w:p>
    <w:p w14:paraId="423D55E0">
      <w:pPr>
        <w:spacing w:line="360" w:lineRule="auto"/>
        <w:ind w:firstLine="480" w:firstLineChars="200"/>
        <w:jc w:val="left"/>
        <w:rPr>
          <w:rFonts w:ascii="宋体" w:hAnsi="宋体"/>
          <w:sz w:val="24"/>
        </w:rPr>
      </w:pPr>
      <w:r>
        <w:rPr>
          <w:rFonts w:hint="eastAsia" w:ascii="宋体" w:hAnsi="宋体"/>
          <w:sz w:val="24"/>
        </w:rPr>
        <w:t>我公司参与贵单位组织的</w:t>
      </w:r>
      <w:r>
        <w:rPr>
          <w:rFonts w:ascii="宋体" w:hAnsi="宋体"/>
          <w:sz w:val="24"/>
          <w:u w:val="single"/>
        </w:rPr>
        <w:t xml:space="preserve">             </w:t>
      </w:r>
      <w:r>
        <w:rPr>
          <w:rFonts w:hint="eastAsia" w:ascii="宋体" w:hAnsi="宋体"/>
          <w:sz w:val="24"/>
        </w:rPr>
        <w:t>（编号：</w:t>
      </w:r>
      <w:r>
        <w:rPr>
          <w:rFonts w:ascii="宋体" w:hAnsi="宋体"/>
          <w:sz w:val="24"/>
          <w:u w:val="single"/>
        </w:rPr>
        <w:t xml:space="preserve">        </w:t>
      </w:r>
      <w:r>
        <w:rPr>
          <w:rFonts w:ascii="宋体" w:hAnsi="宋体"/>
          <w:sz w:val="24"/>
        </w:rPr>
        <w:t xml:space="preserve"> </w:t>
      </w:r>
      <w:r>
        <w:rPr>
          <w:rFonts w:hint="eastAsia" w:ascii="宋体" w:hAnsi="宋体"/>
          <w:sz w:val="24"/>
        </w:rPr>
        <w:t>）的采购活动，现郑重承诺如下：</w:t>
      </w:r>
    </w:p>
    <w:p w14:paraId="4614440C">
      <w:pPr>
        <w:spacing w:line="360" w:lineRule="auto"/>
        <w:ind w:firstLine="480" w:firstLineChars="200"/>
        <w:jc w:val="left"/>
        <w:rPr>
          <w:rFonts w:ascii="宋体" w:hAnsi="宋体"/>
          <w:sz w:val="24"/>
        </w:rPr>
      </w:pPr>
      <w:r>
        <w:rPr>
          <w:rFonts w:hint="eastAsia" w:ascii="宋体" w:hAnsi="宋体"/>
          <w:sz w:val="24"/>
        </w:rPr>
        <w:t>1、我公司</w:t>
      </w:r>
      <w:r>
        <w:rPr>
          <w:rFonts w:ascii="宋体" w:hAnsi="宋体"/>
          <w:sz w:val="24"/>
        </w:rPr>
        <w:t>严格遵守《中华人民共和国政府采购法》及相关</w:t>
      </w:r>
      <w:r>
        <w:rPr>
          <w:rFonts w:hint="eastAsia" w:ascii="宋体" w:hAnsi="宋体"/>
          <w:sz w:val="24"/>
        </w:rPr>
        <w:t>规定，保证依法依规参与本项目投标/响应</w:t>
      </w:r>
      <w:r>
        <w:rPr>
          <w:rFonts w:ascii="宋体" w:hAnsi="宋体"/>
          <w:sz w:val="24"/>
        </w:rPr>
        <w:t>。</w:t>
      </w:r>
    </w:p>
    <w:p w14:paraId="128359C0">
      <w:pPr>
        <w:spacing w:line="360" w:lineRule="auto"/>
        <w:ind w:firstLine="480" w:firstLineChars="200"/>
        <w:jc w:val="left"/>
        <w:rPr>
          <w:rFonts w:ascii="宋体" w:hAnsi="宋体"/>
          <w:sz w:val="24"/>
        </w:rPr>
      </w:pPr>
      <w:r>
        <w:rPr>
          <w:rFonts w:hint="eastAsia" w:ascii="宋体" w:hAnsi="宋体"/>
          <w:sz w:val="24"/>
        </w:rPr>
        <w:t>2、我公司承诺，在本项目采购活动中，不存在以下情况：</w:t>
      </w:r>
    </w:p>
    <w:p w14:paraId="5416E8F9">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）直接或者间接从采购人或者采购代理机构处获得其他投标人的相关情况并修改其投标文件或者响应文件；</w:t>
      </w:r>
    </w:p>
    <w:p w14:paraId="0DF48A94">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）按照采购人或者采购代理机构的授意撤换、修改投标文件或者响应文件的情况；</w:t>
      </w:r>
    </w:p>
    <w:p w14:paraId="7974F560">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）与其他供应商协商报价、技术方案等投标文件或者响应文件实质性内容的情况；</w:t>
      </w:r>
    </w:p>
    <w:p w14:paraId="16F66B20">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）与其他投标人属于同一集团、协会、商会等组织成员并按照该组织要求协同参加采购活动的情况；</w:t>
      </w:r>
    </w:p>
    <w:p w14:paraId="067858DC">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）与其他供应商事先约定由某一特定投标人中标、成交的情况；</w:t>
      </w:r>
    </w:p>
    <w:p w14:paraId="51F5A62B">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）与其他供应商商定部分供应商放弃参加采购活动或者放弃中标、成交的情况；</w:t>
      </w:r>
    </w:p>
    <w:p w14:paraId="57F4ACF1">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）与采购人或者采购代理机构之间、与其他供应商相互之间，为谋求特定投标人中标、成交或者排斥其他投标人的其他串通行为。</w:t>
      </w:r>
    </w:p>
    <w:p w14:paraId="609B73EA">
      <w:pPr>
        <w:spacing w:line="360" w:lineRule="auto"/>
        <w:ind w:firstLine="480" w:firstLineChars="200"/>
        <w:jc w:val="left"/>
        <w:rPr>
          <w:rFonts w:ascii="宋体" w:hAnsi="宋体"/>
          <w:sz w:val="24"/>
        </w:rPr>
      </w:pPr>
      <w:r>
        <w:rPr>
          <w:rFonts w:hint="eastAsia" w:ascii="宋体" w:hAnsi="宋体"/>
          <w:sz w:val="24"/>
        </w:rPr>
        <w:t>3、我公司承诺，在本项目投标活动中，未实施以下行为：</w:t>
      </w:r>
    </w:p>
    <w:p w14:paraId="46BAB418">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）与其他供应商的投标/响应文件由同一单位或者个人编制；</w:t>
      </w:r>
    </w:p>
    <w:p w14:paraId="039BDFA1">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）与其他供应商委托同一单位或者个人办理投标/响应事宜；</w:t>
      </w:r>
    </w:p>
    <w:p w14:paraId="0DDECDFA">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）与其他供应商的投标/响应文件载明的项目管理成员或者联系人员为同一人；</w:t>
      </w:r>
    </w:p>
    <w:p w14:paraId="3790A2EC">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）与其他供应商的投标文件异常一致或者投标报价呈规律性差异；</w:t>
      </w:r>
    </w:p>
    <w:p w14:paraId="42C70CEE">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）与其他供应商的投标/响应文件相互混装；</w:t>
      </w:r>
    </w:p>
    <w:p w14:paraId="6947CE17">
      <w:pPr>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）与其他供应商的保证金从同一单位或者个人的账户转出。</w:t>
      </w:r>
    </w:p>
    <w:p w14:paraId="02BA3B13">
      <w:pPr>
        <w:spacing w:line="360" w:lineRule="auto"/>
        <w:ind w:firstLine="480" w:firstLineChars="200"/>
        <w:jc w:val="left"/>
        <w:rPr>
          <w:rFonts w:ascii="宋体" w:hAnsi="宋体"/>
          <w:sz w:val="24"/>
        </w:rPr>
      </w:pPr>
      <w:r>
        <w:rPr>
          <w:rFonts w:hint="eastAsia" w:ascii="宋体" w:hAnsi="宋体"/>
          <w:sz w:val="24"/>
        </w:rPr>
        <w:t>4、我公司承诺，不进行其他恶意串通行为：</w:t>
      </w:r>
    </w:p>
    <w:p w14:paraId="3D78FEE6">
      <w:pPr>
        <w:spacing w:line="360" w:lineRule="auto"/>
        <w:ind w:firstLine="480" w:firstLineChars="200"/>
        <w:jc w:val="left"/>
        <w:rPr>
          <w:rFonts w:ascii="宋体" w:hAnsi="宋体"/>
          <w:sz w:val="24"/>
        </w:rPr>
      </w:pPr>
      <w:r>
        <w:rPr>
          <w:rFonts w:hint="eastAsia" w:ascii="宋体" w:hAnsi="宋体"/>
          <w:sz w:val="24"/>
        </w:rPr>
        <w:t>（1）不通过行贿、利益输送等方式谋求中标；</w:t>
      </w:r>
    </w:p>
    <w:p w14:paraId="65D7A3D5">
      <w:pPr>
        <w:spacing w:line="360" w:lineRule="auto"/>
        <w:ind w:firstLine="480" w:firstLineChars="200"/>
        <w:jc w:val="left"/>
        <w:rPr>
          <w:rFonts w:ascii="宋体" w:hAnsi="宋体"/>
          <w:sz w:val="24"/>
        </w:rPr>
      </w:pPr>
      <w:r>
        <w:rPr>
          <w:rFonts w:hint="eastAsia" w:ascii="宋体" w:hAnsi="宋体"/>
          <w:sz w:val="24"/>
        </w:rPr>
        <w:t>（2）不利用关联关系（如与其他供应商负责人为同一人或存在控股、管理关系）参与投标/响应且未依法声明；</w:t>
      </w:r>
    </w:p>
    <w:p w14:paraId="1CB510E7">
      <w:pPr>
        <w:spacing w:line="360" w:lineRule="auto"/>
        <w:ind w:firstLine="480" w:firstLineChars="200"/>
        <w:jc w:val="left"/>
        <w:rPr>
          <w:rFonts w:ascii="宋体" w:hAnsi="宋体"/>
          <w:sz w:val="24"/>
        </w:rPr>
      </w:pPr>
      <w:r>
        <w:rPr>
          <w:rFonts w:hint="eastAsia" w:ascii="宋体" w:hAnsi="宋体"/>
          <w:sz w:val="24"/>
        </w:rPr>
        <w:t>（3）不以其他任何形式损害采购人、其他供应商或国家利益。</w:t>
      </w:r>
    </w:p>
    <w:p w14:paraId="69561E52">
      <w:pPr>
        <w:spacing w:line="360" w:lineRule="auto"/>
        <w:ind w:firstLine="480" w:firstLineChars="200"/>
        <w:jc w:val="left"/>
        <w:rPr>
          <w:rFonts w:ascii="宋体" w:hAnsi="宋体"/>
          <w:sz w:val="24"/>
        </w:rPr>
      </w:pPr>
      <w:r>
        <w:rPr>
          <w:rFonts w:hint="eastAsia" w:ascii="宋体" w:hAnsi="宋体"/>
          <w:sz w:val="24"/>
        </w:rPr>
        <w:t>5、我公司承诺，若在本项目采购活动中存在围标串标行为，自愿承担以下法律责任，包括但不限于：</w:t>
      </w:r>
    </w:p>
    <w:p w14:paraId="27D616AB">
      <w:pPr>
        <w:spacing w:line="360" w:lineRule="auto"/>
        <w:ind w:firstLine="480" w:firstLineChars="200"/>
        <w:jc w:val="left"/>
        <w:rPr>
          <w:rFonts w:ascii="宋体" w:hAnsi="宋体"/>
          <w:sz w:val="24"/>
        </w:rPr>
      </w:pPr>
      <w:r>
        <w:rPr>
          <w:rFonts w:hint="eastAsia" w:ascii="宋体" w:hAnsi="宋体"/>
          <w:sz w:val="24"/>
        </w:rPr>
        <w:t>（1）取消投标或中标/成交资格；</w:t>
      </w:r>
    </w:p>
    <w:p w14:paraId="5B3060A8">
      <w:pPr>
        <w:spacing w:line="360" w:lineRule="auto"/>
        <w:ind w:firstLine="480" w:firstLineChars="200"/>
        <w:jc w:val="left"/>
        <w:rPr>
          <w:rFonts w:ascii="宋体" w:hAnsi="宋体"/>
          <w:sz w:val="24"/>
        </w:rPr>
      </w:pPr>
      <w:r>
        <w:rPr>
          <w:rFonts w:hint="eastAsia" w:ascii="宋体" w:hAnsi="宋体"/>
          <w:sz w:val="24"/>
        </w:rPr>
        <w:t>（2）没收投标保证金；</w:t>
      </w:r>
    </w:p>
    <w:p w14:paraId="69F8F242">
      <w:pPr>
        <w:spacing w:line="360" w:lineRule="auto"/>
        <w:ind w:firstLine="480" w:firstLineChars="200"/>
        <w:jc w:val="left"/>
        <w:rPr>
          <w:rFonts w:ascii="宋体" w:hAnsi="宋体"/>
          <w:sz w:val="24"/>
        </w:rPr>
      </w:pPr>
      <w:r>
        <w:rPr>
          <w:rFonts w:hint="eastAsia" w:ascii="宋体" w:hAnsi="宋体"/>
          <w:sz w:val="24"/>
        </w:rPr>
        <w:t>（3）列入不良行为记录名单；</w:t>
      </w:r>
    </w:p>
    <w:p w14:paraId="0E72B708">
      <w:pPr>
        <w:spacing w:line="360" w:lineRule="auto"/>
        <w:ind w:firstLine="480" w:firstLineChars="200"/>
        <w:jc w:val="left"/>
        <w:rPr>
          <w:rFonts w:ascii="宋体" w:hAnsi="宋体"/>
          <w:sz w:val="24"/>
        </w:rPr>
      </w:pPr>
      <w:r>
        <w:rPr>
          <w:rFonts w:hint="eastAsia" w:ascii="宋体" w:hAnsi="宋体"/>
          <w:sz w:val="24"/>
        </w:rPr>
        <w:t>（4）承担违约责任并赔偿由此给相关方造成的全部损失；</w:t>
      </w:r>
    </w:p>
    <w:p w14:paraId="61E45458">
      <w:pPr>
        <w:spacing w:line="360" w:lineRule="auto"/>
        <w:ind w:firstLine="480" w:firstLineChars="200"/>
        <w:jc w:val="left"/>
        <w:rPr>
          <w:rFonts w:ascii="宋体" w:hAnsi="宋体"/>
          <w:sz w:val="24"/>
        </w:rPr>
      </w:pPr>
      <w:r>
        <w:rPr>
          <w:rFonts w:hint="eastAsia" w:ascii="宋体" w:hAnsi="宋体"/>
          <w:sz w:val="24"/>
        </w:rPr>
        <w:t>（5）接受行政处罚；</w:t>
      </w:r>
    </w:p>
    <w:p w14:paraId="0F8494C8">
      <w:pPr>
        <w:spacing w:line="360" w:lineRule="auto"/>
        <w:ind w:firstLine="480" w:firstLineChars="200"/>
        <w:jc w:val="left"/>
        <w:rPr>
          <w:rFonts w:ascii="宋体" w:hAnsi="宋体"/>
          <w:sz w:val="24"/>
        </w:rPr>
      </w:pPr>
      <w:r>
        <w:rPr>
          <w:rFonts w:hint="eastAsia" w:ascii="宋体" w:hAnsi="宋体"/>
          <w:sz w:val="24"/>
        </w:rPr>
        <w:t>（6）构成犯罪的，依法追究刑事责任。</w:t>
      </w:r>
    </w:p>
    <w:p w14:paraId="6C4C63D7">
      <w:pPr>
        <w:spacing w:line="360" w:lineRule="auto"/>
        <w:jc w:val="left"/>
        <w:rPr>
          <w:rFonts w:ascii="宋体" w:hAnsi="宋体"/>
          <w:sz w:val="24"/>
        </w:rPr>
      </w:pPr>
    </w:p>
    <w:p w14:paraId="499F2F3C">
      <w:pPr>
        <w:spacing w:line="360" w:lineRule="auto"/>
        <w:ind w:firstLine="480" w:firstLineChars="200"/>
        <w:jc w:val="left"/>
        <w:rPr>
          <w:rFonts w:ascii="宋体" w:hAnsi="宋体"/>
          <w:sz w:val="24"/>
        </w:rPr>
      </w:pPr>
      <w:r>
        <w:rPr>
          <w:rFonts w:ascii="宋体" w:hAnsi="宋体"/>
          <w:sz w:val="24"/>
        </w:rPr>
        <w:t>特此承诺。</w:t>
      </w:r>
    </w:p>
    <w:p w14:paraId="7AE3DBA6">
      <w:pPr>
        <w:spacing w:line="360" w:lineRule="auto"/>
        <w:ind w:firstLine="480" w:firstLineChars="200"/>
        <w:jc w:val="left"/>
        <w:rPr>
          <w:rFonts w:ascii="宋体" w:hAnsi="宋体"/>
          <w:sz w:val="24"/>
        </w:rPr>
      </w:pPr>
      <w:r>
        <w:rPr>
          <w:rFonts w:ascii="宋体" w:hAnsi="宋体"/>
          <w:sz w:val="24"/>
        </w:rPr>
        <w:t>承诺</w:t>
      </w:r>
      <w:r>
        <w:rPr>
          <w:rFonts w:hint="eastAsia" w:ascii="宋体" w:hAnsi="宋体"/>
          <w:sz w:val="24"/>
        </w:rPr>
        <w:t>人</w:t>
      </w:r>
      <w:r>
        <w:rPr>
          <w:rFonts w:ascii="宋体" w:hAnsi="宋体"/>
          <w:sz w:val="24"/>
        </w:rPr>
        <w:t>（盖章）：</w:t>
      </w:r>
      <w:r>
        <w:rPr>
          <w:rFonts w:hint="eastAsia" w:ascii="宋体" w:hAnsi="宋体"/>
          <w:sz w:val="24"/>
        </w:rPr>
        <w:t xml:space="preserve">                          </w:t>
      </w:r>
    </w:p>
    <w:p w14:paraId="126E5AC1">
      <w:pPr>
        <w:spacing w:line="360" w:lineRule="auto"/>
        <w:ind w:firstLine="480" w:firstLineChars="200"/>
        <w:jc w:val="left"/>
        <w:rPr>
          <w:rFonts w:ascii="宋体" w:hAnsi="宋体"/>
          <w:sz w:val="24"/>
        </w:rPr>
      </w:pPr>
      <w:r>
        <w:rPr>
          <w:rFonts w:ascii="宋体" w:hAnsi="宋体"/>
          <w:sz w:val="24"/>
        </w:rPr>
        <w:t>日期：    年    月    日</w:t>
      </w:r>
    </w:p>
    <w:p w14:paraId="2E9C63DF">
      <w:pPr>
        <w:spacing w:line="360" w:lineRule="auto"/>
        <w:ind w:firstLine="480" w:firstLineChars="200"/>
        <w:jc w:val="left"/>
        <w:rPr>
          <w:rFonts w:ascii="宋体" w:hAnsi="宋体"/>
          <w:sz w:val="24"/>
        </w:rPr>
      </w:pPr>
      <w:r>
        <w:rPr>
          <w:rFonts w:hint="eastAsia" w:ascii="宋体" w:hAnsi="宋体"/>
          <w:sz w:val="24"/>
        </w:rPr>
        <w:br w:type="page"/>
      </w:r>
    </w:p>
    <w:p w14:paraId="40B03FF9">
      <w:pPr>
        <w:pStyle w:val="4"/>
      </w:pPr>
      <w:r>
        <w:rPr>
          <w:rFonts w:hint="eastAsia"/>
        </w:rPr>
        <w:t>13</w:t>
      </w:r>
      <w:r>
        <w:t xml:space="preserve"> 招标文件要求提供或投标人认为应附的其他材料</w:t>
      </w:r>
    </w:p>
    <w:p w14:paraId="449304C1">
      <w:pPr>
        <w:spacing w:line="360" w:lineRule="auto"/>
        <w:outlineLvl w:val="2"/>
        <w:rPr>
          <w:rFonts w:ascii="宋体" w:hAnsi="宋体"/>
          <w:sz w:val="24"/>
          <w:szCs w:val="20"/>
        </w:rPr>
      </w:pPr>
      <w:r>
        <w:rPr>
          <w:rFonts w:hint="eastAsia" w:ascii="宋体" w:hAnsi="宋体"/>
          <w:sz w:val="24"/>
          <w:szCs w:val="20"/>
        </w:rPr>
        <w:t>13-1 供应商信息采集表</w:t>
      </w:r>
    </w:p>
    <w:tbl>
      <w:tblPr>
        <w:tblStyle w:val="50"/>
        <w:tblW w:w="8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2431"/>
        <w:gridCol w:w="2835"/>
      </w:tblGrid>
      <w:tr w14:paraId="429B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572A3D06">
            <w:pPr>
              <w:spacing w:before="43"/>
              <w:ind w:left="112"/>
              <w:jc w:val="center"/>
              <w:rPr>
                <w:rFonts w:ascii="宋体" w:hAnsi="宋体" w:cs="宋体"/>
                <w:sz w:val="24"/>
              </w:rPr>
            </w:pPr>
            <w:r>
              <w:rPr>
                <w:rFonts w:hint="eastAsia" w:ascii="宋体" w:hAnsi="宋体" w:cs="宋体"/>
                <w:sz w:val="24"/>
              </w:rPr>
              <w:t>供应商名称</w:t>
            </w:r>
          </w:p>
        </w:tc>
        <w:tc>
          <w:tcPr>
            <w:tcW w:w="2431" w:type="dxa"/>
            <w:vAlign w:val="center"/>
          </w:tcPr>
          <w:p w14:paraId="0A73F204">
            <w:pPr>
              <w:spacing w:before="43"/>
              <w:ind w:left="109"/>
              <w:jc w:val="center"/>
              <w:rPr>
                <w:rFonts w:ascii="宋体" w:hAnsi="宋体" w:cs="宋体"/>
                <w:sz w:val="24"/>
              </w:rPr>
            </w:pPr>
            <w:r>
              <w:rPr>
                <w:rFonts w:hint="eastAsia" w:ascii="宋体" w:hAnsi="宋体" w:cs="宋体"/>
                <w:sz w:val="24"/>
              </w:rPr>
              <w:t>供应商所属性别</w:t>
            </w:r>
          </w:p>
        </w:tc>
        <w:tc>
          <w:tcPr>
            <w:tcW w:w="2835" w:type="dxa"/>
            <w:vAlign w:val="center"/>
          </w:tcPr>
          <w:p w14:paraId="1D1826F9">
            <w:pPr>
              <w:spacing w:before="43"/>
              <w:ind w:left="110"/>
              <w:jc w:val="center"/>
              <w:rPr>
                <w:rFonts w:ascii="宋体" w:hAnsi="宋体" w:cs="宋体"/>
                <w:sz w:val="24"/>
              </w:rPr>
            </w:pPr>
            <w:r>
              <w:rPr>
                <w:rFonts w:hint="eastAsia" w:ascii="宋体" w:hAnsi="宋体" w:cs="宋体"/>
                <w:sz w:val="24"/>
              </w:rPr>
              <w:t>外商投资类型</w:t>
            </w:r>
          </w:p>
        </w:tc>
      </w:tr>
      <w:tr w14:paraId="1BCEC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6F614907">
            <w:pPr>
              <w:pStyle w:val="47"/>
              <w:rPr>
                <w:rFonts w:ascii="宋体" w:hAnsi="宋体" w:eastAsia="宋体"/>
              </w:rPr>
            </w:pPr>
          </w:p>
        </w:tc>
        <w:tc>
          <w:tcPr>
            <w:tcW w:w="2431" w:type="dxa"/>
            <w:vAlign w:val="center"/>
          </w:tcPr>
          <w:p w14:paraId="023B8310">
            <w:pPr>
              <w:pStyle w:val="47"/>
              <w:rPr>
                <w:rFonts w:ascii="宋体" w:hAnsi="宋体" w:eastAsia="宋体"/>
              </w:rPr>
            </w:pPr>
          </w:p>
        </w:tc>
        <w:tc>
          <w:tcPr>
            <w:tcW w:w="2835" w:type="dxa"/>
            <w:vAlign w:val="center"/>
          </w:tcPr>
          <w:p w14:paraId="401FB77B">
            <w:pPr>
              <w:pStyle w:val="47"/>
              <w:rPr>
                <w:rFonts w:ascii="宋体" w:hAnsi="宋体" w:eastAsia="宋体"/>
              </w:rPr>
            </w:pPr>
          </w:p>
        </w:tc>
      </w:tr>
      <w:tr w14:paraId="3751C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677A657B">
            <w:pPr>
              <w:pStyle w:val="47"/>
              <w:rPr>
                <w:rFonts w:ascii="宋体" w:hAnsi="宋体" w:eastAsia="宋体"/>
              </w:rPr>
            </w:pPr>
          </w:p>
        </w:tc>
        <w:tc>
          <w:tcPr>
            <w:tcW w:w="2431" w:type="dxa"/>
            <w:vAlign w:val="center"/>
          </w:tcPr>
          <w:p w14:paraId="5D9408CE">
            <w:pPr>
              <w:pStyle w:val="47"/>
              <w:rPr>
                <w:rFonts w:ascii="宋体" w:hAnsi="宋体" w:eastAsia="宋体"/>
              </w:rPr>
            </w:pPr>
          </w:p>
        </w:tc>
        <w:tc>
          <w:tcPr>
            <w:tcW w:w="2835" w:type="dxa"/>
            <w:vAlign w:val="center"/>
          </w:tcPr>
          <w:p w14:paraId="1322C0F9">
            <w:pPr>
              <w:pStyle w:val="47"/>
              <w:rPr>
                <w:rFonts w:ascii="宋体" w:hAnsi="宋体" w:eastAsia="宋体"/>
              </w:rPr>
            </w:pPr>
          </w:p>
        </w:tc>
      </w:tr>
      <w:tr w14:paraId="092A6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5743B495">
            <w:pPr>
              <w:pStyle w:val="47"/>
              <w:rPr>
                <w:rFonts w:ascii="宋体" w:hAnsi="宋体" w:eastAsia="宋体"/>
              </w:rPr>
            </w:pPr>
          </w:p>
        </w:tc>
        <w:tc>
          <w:tcPr>
            <w:tcW w:w="2431" w:type="dxa"/>
            <w:vAlign w:val="center"/>
          </w:tcPr>
          <w:p w14:paraId="5B738E5F">
            <w:pPr>
              <w:pStyle w:val="47"/>
              <w:rPr>
                <w:rFonts w:ascii="宋体" w:hAnsi="宋体" w:eastAsia="宋体"/>
              </w:rPr>
            </w:pPr>
          </w:p>
        </w:tc>
        <w:tc>
          <w:tcPr>
            <w:tcW w:w="2835" w:type="dxa"/>
            <w:vAlign w:val="center"/>
          </w:tcPr>
          <w:p w14:paraId="7B29AEF8">
            <w:pPr>
              <w:pStyle w:val="47"/>
              <w:rPr>
                <w:rFonts w:ascii="宋体" w:hAnsi="宋体" w:eastAsia="宋体"/>
              </w:rPr>
            </w:pPr>
          </w:p>
        </w:tc>
      </w:tr>
      <w:tr w14:paraId="65F61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099" w:type="dxa"/>
            <w:vAlign w:val="center"/>
          </w:tcPr>
          <w:p w14:paraId="3A91CBC9">
            <w:pPr>
              <w:pStyle w:val="47"/>
              <w:rPr>
                <w:rFonts w:ascii="宋体" w:hAnsi="宋体" w:eastAsia="宋体"/>
              </w:rPr>
            </w:pPr>
          </w:p>
        </w:tc>
        <w:tc>
          <w:tcPr>
            <w:tcW w:w="2431" w:type="dxa"/>
            <w:vAlign w:val="center"/>
          </w:tcPr>
          <w:p w14:paraId="0643C054">
            <w:pPr>
              <w:pStyle w:val="47"/>
              <w:rPr>
                <w:rFonts w:ascii="宋体" w:hAnsi="宋体" w:eastAsia="宋体"/>
              </w:rPr>
            </w:pPr>
          </w:p>
        </w:tc>
        <w:tc>
          <w:tcPr>
            <w:tcW w:w="2835" w:type="dxa"/>
            <w:vAlign w:val="center"/>
          </w:tcPr>
          <w:p w14:paraId="703615FA">
            <w:pPr>
              <w:pStyle w:val="47"/>
              <w:rPr>
                <w:rFonts w:ascii="宋体" w:hAnsi="宋体" w:eastAsia="宋体"/>
              </w:rPr>
            </w:pPr>
          </w:p>
        </w:tc>
      </w:tr>
    </w:tbl>
    <w:p w14:paraId="2C2719F6">
      <w:pPr>
        <w:pStyle w:val="7"/>
        <w:spacing w:before="39" w:line="360" w:lineRule="auto"/>
        <w:ind w:left="123"/>
        <w:rPr>
          <w:rFonts w:cs="宋体"/>
        </w:rPr>
      </w:pPr>
      <w:r>
        <w:rPr>
          <w:rFonts w:hint="eastAsia" w:cs="宋体"/>
        </w:rPr>
        <w:t>注：</w:t>
      </w:r>
    </w:p>
    <w:p w14:paraId="731BBDBE">
      <w:pPr>
        <w:pStyle w:val="7"/>
        <w:spacing w:before="39" w:line="360" w:lineRule="auto"/>
        <w:ind w:left="123"/>
        <w:rPr>
          <w:rFonts w:cs="宋体"/>
        </w:rPr>
      </w:pPr>
      <w:r>
        <w:rPr>
          <w:rFonts w:hint="eastAsia" w:cs="宋体"/>
        </w:rPr>
        <w:t>1.供应商如为联合体，则应填写联合体各成员信息。</w:t>
      </w:r>
    </w:p>
    <w:p w14:paraId="0A4B17E4">
      <w:pPr>
        <w:pStyle w:val="7"/>
        <w:spacing w:before="39" w:line="360" w:lineRule="auto"/>
        <w:ind w:left="123"/>
        <w:rPr>
          <w:rFonts w:cs="宋体"/>
        </w:rPr>
      </w:pPr>
      <w:r>
        <w:rPr>
          <w:rFonts w:hint="eastAsia" w:cs="宋体"/>
        </w:rPr>
        <w:t>2.供应商所属性别请填写“男”或“女”，指拥有供应商 51%以上绝对所有权的性别；绝对所有权拥有者可以是一个人，也可以是多人合计计算。</w:t>
      </w:r>
    </w:p>
    <w:p w14:paraId="7DE02EA9">
      <w:pPr>
        <w:pStyle w:val="7"/>
        <w:spacing w:before="39" w:line="360" w:lineRule="auto"/>
        <w:ind w:left="123"/>
        <w:rPr>
          <w:rFonts w:cs="宋体"/>
        </w:rPr>
      </w:pPr>
      <w:r>
        <w:rPr>
          <w:rFonts w:hint="eastAsia" w:cs="宋体"/>
        </w:rPr>
        <w:t>3.外商投资类型请填写“外商单独投资”、“外商部分投资”或“内资”。</w:t>
      </w:r>
    </w:p>
    <w:p w14:paraId="1C6B0960">
      <w:pPr>
        <w:pStyle w:val="7"/>
        <w:spacing w:before="39" w:line="360" w:lineRule="auto"/>
        <w:ind w:left="123"/>
        <w:rPr>
          <w:rFonts w:cs="宋体"/>
        </w:rPr>
      </w:pPr>
      <w:r>
        <w:rPr>
          <w:rFonts w:hint="eastAsia" w:cs="宋体"/>
        </w:rPr>
        <w:br w:type="page"/>
      </w:r>
    </w:p>
    <w:p w14:paraId="515364A4">
      <w:pPr>
        <w:spacing w:line="360" w:lineRule="auto"/>
        <w:outlineLvl w:val="2"/>
        <w:rPr>
          <w:rFonts w:ascii="宋体" w:hAnsi="宋体"/>
          <w:sz w:val="24"/>
          <w:szCs w:val="20"/>
        </w:rPr>
      </w:pPr>
      <w:r>
        <w:rPr>
          <w:rFonts w:hint="eastAsia" w:ascii="宋体" w:hAnsi="宋体"/>
          <w:sz w:val="24"/>
          <w:szCs w:val="20"/>
        </w:rPr>
        <w:t>13-2 投标人认为应附的其他材料</w:t>
      </w:r>
    </w:p>
    <w:p w14:paraId="0748CD56">
      <w:pPr>
        <w:rPr>
          <w:rFonts w:ascii="宋体" w:hAnsi="宋体" w:cs="宋体"/>
          <w:sz w:val="24"/>
        </w:rPr>
      </w:pPr>
    </w:p>
    <w:p w14:paraId="0EFA02FC">
      <w:pPr>
        <w:ind w:firstLine="480" w:firstLineChars="200"/>
        <w:rPr>
          <w:rFonts w:ascii="宋体" w:hAnsi="宋体" w:cs="宋体"/>
          <w:sz w:val="24"/>
        </w:rPr>
      </w:pPr>
      <w:r>
        <w:rPr>
          <w:rFonts w:hint="eastAsia" w:ascii="宋体" w:hAnsi="宋体" w:cs="宋体"/>
          <w:sz w:val="24"/>
        </w:rPr>
        <w:t>（1）招标文件要求的需要医疗器械注册证或备案凭证的，投标人在投标文件中提供并标注页码。</w:t>
      </w:r>
    </w:p>
    <w:p w14:paraId="28512D81">
      <w:pPr>
        <w:ind w:firstLine="480" w:firstLineChars="200"/>
        <w:rPr>
          <w:rFonts w:ascii="宋体" w:hAnsi="宋体" w:cs="宋体"/>
          <w:sz w:val="24"/>
        </w:rPr>
      </w:pPr>
      <w:r>
        <w:rPr>
          <w:rFonts w:hint="eastAsia" w:ascii="宋体" w:hAnsi="宋体" w:cs="宋体"/>
          <w:sz w:val="24"/>
        </w:rPr>
        <w:t>（2）招标文件要求的需要医疗器械生产许可证凭证的，投标人在投标文件中提供并标注页码。</w:t>
      </w:r>
    </w:p>
    <w:p w14:paraId="4D4B6AEE">
      <w:pPr>
        <w:ind w:firstLine="480" w:firstLineChars="200"/>
        <w:rPr>
          <w:rFonts w:ascii="宋体" w:hAnsi="宋体" w:cs="宋体"/>
          <w:sz w:val="24"/>
        </w:rPr>
      </w:pPr>
    </w:p>
    <w:p w14:paraId="615207B9">
      <w:pPr>
        <w:widowControl/>
        <w:jc w:val="left"/>
        <w:rPr>
          <w:rFonts w:ascii="宋体" w:hAnsi="宋体" w:cs="宋体"/>
          <w:sz w:val="24"/>
        </w:rPr>
      </w:pPr>
    </w:p>
    <w:sectPr>
      <w:headerReference r:id="rId19" w:type="first"/>
      <w:headerReference r:id="rId18" w:type="even"/>
      <w:footerReference r:id="rId20" w:type="even"/>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DejaVu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C519B">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97120">
    <w:pPr>
      <w:pStyle w:val="13"/>
      <w:jc w:val="center"/>
    </w:pPr>
    <w:r>
      <w:fldChar w:fldCharType="begin"/>
    </w:r>
    <w:r>
      <w:instrText xml:space="preserve">PAGE   \* MERGEFORMAT</w:instrText>
    </w:r>
    <w:r>
      <w:fldChar w:fldCharType="separate"/>
    </w:r>
    <w:r>
      <w:rPr>
        <w:lang w:val="zh-CN"/>
      </w:rPr>
      <w:t>49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25ED">
    <w:pPr>
      <w:pStyle w:val="13"/>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14:paraId="79CDC112">
    <w:pPr>
      <w:pStyle w:val="13"/>
      <w:ind w:right="360"/>
    </w:pPr>
  </w:p>
  <w:p w14:paraId="6574D6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2D1C">
    <w:pPr>
      <w:pStyle w:val="13"/>
      <w:framePr w:wrap="around" w:vAnchor="text" w:hAnchor="margin" w:xAlign="right" w:y="1"/>
      <w:rPr>
        <w:rStyle w:val="35"/>
      </w:rPr>
    </w:pPr>
  </w:p>
  <w:p w14:paraId="114D799F">
    <w:pPr>
      <w:pStyle w:val="1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92E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F619">
    <w:pPr>
      <w:pStyle w:val="13"/>
      <w:framePr w:wrap="around" w:vAnchor="text" w:hAnchor="margin" w:xAlign="right" w:y="1"/>
      <w:rPr>
        <w:rStyle w:val="35"/>
      </w:rPr>
    </w:pPr>
  </w:p>
  <w:p w14:paraId="76591ABC">
    <w:pPr>
      <w:pStyle w:val="1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3FDB">
    <w:pPr>
      <w:pStyle w:val="13"/>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B5D8">
    <w:pPr>
      <w:pStyle w:val="13"/>
      <w:framePr w:wrap="around" w:vAnchor="text" w:hAnchor="margin" w:xAlign="right" w:y="1"/>
      <w:rPr>
        <w:rStyle w:val="35"/>
      </w:rPr>
    </w:pPr>
  </w:p>
  <w:p w14:paraId="3C53F257">
    <w:pPr>
      <w:pStyle w:val="13"/>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40FE9">
    <w:pPr>
      <w:pStyle w:val="13"/>
      <w:framePr w:wrap="around" w:vAnchor="text" w:hAnchor="margin" w:xAlign="center" w:y="1"/>
      <w:rPr>
        <w:rStyle w:val="35"/>
      </w:rPr>
    </w:pPr>
    <w:r>
      <w:fldChar w:fldCharType="begin"/>
    </w:r>
    <w:r>
      <w:rPr>
        <w:rStyle w:val="35"/>
      </w:rPr>
      <w:instrText xml:space="preserve">PAGE  </w:instrText>
    </w:r>
    <w:r>
      <w:fldChar w:fldCharType="separate"/>
    </w:r>
    <w:r>
      <w:rPr>
        <w:rStyle w:val="35"/>
      </w:rPr>
      <w:t>28</w:t>
    </w:r>
    <w:r>
      <w:fldChar w:fldCharType="end"/>
    </w:r>
  </w:p>
  <w:p w14:paraId="0B3325CE">
    <w:pPr>
      <w:pStyle w:val="13"/>
      <w:ind w:right="360" w:firstLine="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63E0">
    <w:pPr>
      <w:pStyle w:val="13"/>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14:paraId="17BB78D8">
    <w:pPr>
      <w:pStyle w:val="1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F3D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B7E5">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A8F5">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2712">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0B0A">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0EE8">
    <w:pPr>
      <w:pStyle w:val="7"/>
      <w:spacing w:line="198" w:lineRule="auto"/>
      <w:jc w:val="right"/>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931F">
    <w:pPr>
      <w:pStyle w:val="14"/>
    </w:pPr>
  </w:p>
  <w:p w14:paraId="05C4BF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B0A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5EF6A"/>
    <w:multiLevelType w:val="singleLevel"/>
    <w:tmpl w:val="8575EF6A"/>
    <w:lvl w:ilvl="0" w:tentative="0">
      <w:start w:val="1"/>
      <w:numFmt w:val="chineseCounting"/>
      <w:suff w:val="nothing"/>
      <w:lvlText w:val="（%1）"/>
      <w:lvlJc w:val="left"/>
      <w:pPr>
        <w:ind w:left="0" w:firstLine="420"/>
      </w:pPr>
      <w:rPr>
        <w:rFonts w:hint="eastAsia"/>
        <w:color w:val="auto"/>
      </w:rPr>
    </w:lvl>
  </w:abstractNum>
  <w:abstractNum w:abstractNumId="1">
    <w:nsid w:val="878B2A9C"/>
    <w:multiLevelType w:val="singleLevel"/>
    <w:tmpl w:val="878B2A9C"/>
    <w:lvl w:ilvl="0" w:tentative="0">
      <w:start w:val="7"/>
      <w:numFmt w:val="chineseCounting"/>
      <w:suff w:val="space"/>
      <w:lvlText w:val="第%1条"/>
      <w:lvlJc w:val="left"/>
      <w:pPr>
        <w:ind w:left="525" w:firstLine="0"/>
      </w:pPr>
      <w:rPr>
        <w:rFonts w:hint="eastAsia"/>
        <w:b/>
        <w:bCs/>
      </w:rPr>
    </w:lvl>
  </w:abstractNum>
  <w:abstractNum w:abstractNumId="2">
    <w:nsid w:val="9278A8CC"/>
    <w:multiLevelType w:val="singleLevel"/>
    <w:tmpl w:val="9278A8CC"/>
    <w:lvl w:ilvl="0" w:tentative="0">
      <w:start w:val="1"/>
      <w:numFmt w:val="decimal"/>
      <w:lvlText w:val="10.%1"/>
      <w:lvlJc w:val="left"/>
      <w:pPr>
        <w:tabs>
          <w:tab w:val="left" w:pos="210"/>
        </w:tabs>
        <w:ind w:left="0" w:firstLine="480"/>
      </w:pPr>
      <w:rPr>
        <w:rFonts w:hint="default"/>
      </w:rPr>
    </w:lvl>
  </w:abstractNum>
  <w:abstractNum w:abstractNumId="3">
    <w:nsid w:val="A2A459EC"/>
    <w:multiLevelType w:val="multilevel"/>
    <w:tmpl w:val="A2A459EC"/>
    <w:lvl w:ilvl="0" w:tentative="0">
      <w:start w:val="4"/>
      <w:numFmt w:val="decimal"/>
      <w:lvlText w:val="%1"/>
      <w:lvlJc w:val="left"/>
      <w:pPr>
        <w:tabs>
          <w:tab w:val="left" w:pos="780"/>
        </w:tabs>
        <w:ind w:left="780" w:hanging="780"/>
      </w:pPr>
      <w:rPr>
        <w:rFonts w:hint="default"/>
      </w:rPr>
    </w:lvl>
    <w:lvl w:ilvl="1" w:tentative="0">
      <w:start w:val="1"/>
      <w:numFmt w:val="decimal"/>
      <w:suff w:val="space"/>
      <w:lvlText w:val="%1.%2"/>
      <w:lvlJc w:val="left"/>
      <w:pPr>
        <w:ind w:left="1425" w:hanging="780"/>
      </w:pPr>
      <w:rPr>
        <w:rFonts w:hint="default"/>
      </w:rPr>
    </w:lvl>
    <w:lvl w:ilvl="2" w:tentative="0">
      <w:start w:val="1"/>
      <w:numFmt w:val="decimal"/>
      <w:lvlText w:val="%1.%2.%3"/>
      <w:lvlJc w:val="left"/>
      <w:pPr>
        <w:tabs>
          <w:tab w:val="left" w:pos="2070"/>
        </w:tabs>
        <w:ind w:left="2070" w:hanging="780"/>
      </w:pPr>
      <w:rPr>
        <w:rFonts w:hint="default"/>
      </w:rPr>
    </w:lvl>
    <w:lvl w:ilvl="3" w:tentative="0">
      <w:start w:val="1"/>
      <w:numFmt w:val="decimal"/>
      <w:lvlText w:val="%1.%2.%3.%4"/>
      <w:lvlJc w:val="left"/>
      <w:pPr>
        <w:tabs>
          <w:tab w:val="left" w:pos="2715"/>
        </w:tabs>
        <w:ind w:left="2715" w:hanging="780"/>
      </w:pPr>
      <w:rPr>
        <w:rFonts w:hint="default"/>
      </w:rPr>
    </w:lvl>
    <w:lvl w:ilvl="4" w:tentative="0">
      <w:start w:val="1"/>
      <w:numFmt w:val="decimal"/>
      <w:lvlText w:val="%1.%2.%3.%4.%5"/>
      <w:lvlJc w:val="left"/>
      <w:pPr>
        <w:tabs>
          <w:tab w:val="left" w:pos="3360"/>
        </w:tabs>
        <w:ind w:left="3360" w:hanging="780"/>
      </w:pPr>
      <w:rPr>
        <w:rFonts w:hint="default"/>
      </w:rPr>
    </w:lvl>
    <w:lvl w:ilvl="5" w:tentative="0">
      <w:start w:val="1"/>
      <w:numFmt w:val="decimal"/>
      <w:lvlText w:val="%1.%2.%3.%4.%5.%6"/>
      <w:lvlJc w:val="left"/>
      <w:pPr>
        <w:tabs>
          <w:tab w:val="left" w:pos="4005"/>
        </w:tabs>
        <w:ind w:left="4005" w:hanging="780"/>
      </w:pPr>
      <w:rPr>
        <w:rFonts w:hint="default"/>
      </w:rPr>
    </w:lvl>
    <w:lvl w:ilvl="6" w:tentative="0">
      <w:start w:val="1"/>
      <w:numFmt w:val="decimal"/>
      <w:lvlText w:val="%1.%2.%3.%4.%5.%6.%7"/>
      <w:lvlJc w:val="left"/>
      <w:pPr>
        <w:tabs>
          <w:tab w:val="left" w:pos="4650"/>
        </w:tabs>
        <w:ind w:left="4650" w:hanging="780"/>
      </w:pPr>
      <w:rPr>
        <w:rFonts w:hint="default"/>
      </w:rPr>
    </w:lvl>
    <w:lvl w:ilvl="7" w:tentative="0">
      <w:start w:val="1"/>
      <w:numFmt w:val="decimal"/>
      <w:lvlText w:val="%1.%2.%3.%4.%5.%6.%7.%8"/>
      <w:lvlJc w:val="left"/>
      <w:pPr>
        <w:tabs>
          <w:tab w:val="left" w:pos="5295"/>
        </w:tabs>
        <w:ind w:left="5295" w:hanging="780"/>
      </w:pPr>
      <w:rPr>
        <w:rFonts w:hint="default"/>
      </w:rPr>
    </w:lvl>
    <w:lvl w:ilvl="8" w:tentative="0">
      <w:start w:val="1"/>
      <w:numFmt w:val="decimal"/>
      <w:lvlText w:val="%1.%2.%3.%4.%5.%6.%7.%8.%9"/>
      <w:lvlJc w:val="left"/>
      <w:pPr>
        <w:tabs>
          <w:tab w:val="left" w:pos="5940"/>
        </w:tabs>
        <w:ind w:left="5940" w:hanging="780"/>
      </w:pPr>
      <w:rPr>
        <w:rFonts w:hint="default"/>
      </w:rPr>
    </w:lvl>
  </w:abstractNum>
  <w:abstractNum w:abstractNumId="4">
    <w:nsid w:val="A5530542"/>
    <w:multiLevelType w:val="singleLevel"/>
    <w:tmpl w:val="A5530542"/>
    <w:lvl w:ilvl="0" w:tentative="0">
      <w:start w:val="1"/>
      <w:numFmt w:val="decimal"/>
      <w:lvlText w:val="9.%1"/>
      <w:lvlJc w:val="left"/>
      <w:pPr>
        <w:tabs>
          <w:tab w:val="left" w:pos="210"/>
        </w:tabs>
        <w:ind w:left="0" w:firstLine="480"/>
      </w:pPr>
      <w:rPr>
        <w:rFonts w:hint="default"/>
      </w:rPr>
    </w:lvl>
  </w:abstractNum>
  <w:abstractNum w:abstractNumId="5">
    <w:nsid w:val="A8DE028C"/>
    <w:multiLevelType w:val="singleLevel"/>
    <w:tmpl w:val="A8DE028C"/>
    <w:lvl w:ilvl="0" w:tentative="0">
      <w:start w:val="1"/>
      <w:numFmt w:val="decimal"/>
      <w:lvlText w:val="(%1)"/>
      <w:lvlJc w:val="left"/>
      <w:pPr>
        <w:tabs>
          <w:tab w:val="left" w:pos="210"/>
        </w:tabs>
        <w:ind w:left="0" w:firstLine="480"/>
      </w:pPr>
      <w:rPr>
        <w:rFonts w:hint="default"/>
      </w:rPr>
    </w:lvl>
  </w:abstractNum>
  <w:abstractNum w:abstractNumId="6">
    <w:nsid w:val="AD65E630"/>
    <w:multiLevelType w:val="singleLevel"/>
    <w:tmpl w:val="AD65E630"/>
    <w:lvl w:ilvl="0" w:tentative="0">
      <w:start w:val="1"/>
      <w:numFmt w:val="lowerLetter"/>
      <w:lvlText w:val="%1."/>
      <w:lvlJc w:val="left"/>
      <w:pPr>
        <w:tabs>
          <w:tab w:val="left" w:pos="210"/>
        </w:tabs>
        <w:ind w:left="0" w:firstLine="480"/>
      </w:pPr>
      <w:rPr>
        <w:rFonts w:hint="default"/>
      </w:rPr>
    </w:lvl>
  </w:abstractNum>
  <w:abstractNum w:abstractNumId="7">
    <w:nsid w:val="BF2F270C"/>
    <w:multiLevelType w:val="singleLevel"/>
    <w:tmpl w:val="BF2F270C"/>
    <w:lvl w:ilvl="0" w:tentative="0">
      <w:start w:val="1"/>
      <w:numFmt w:val="decimal"/>
      <w:suff w:val="nothing"/>
      <w:lvlText w:val="（%1）"/>
      <w:lvlJc w:val="left"/>
      <w:pPr>
        <w:ind w:left="0" w:firstLine="480"/>
      </w:pPr>
      <w:rPr>
        <w:rFonts w:hint="default"/>
      </w:rPr>
    </w:lvl>
  </w:abstractNum>
  <w:abstractNum w:abstractNumId="8">
    <w:nsid w:val="C2AE2C64"/>
    <w:multiLevelType w:val="multilevel"/>
    <w:tmpl w:val="C2AE2C64"/>
    <w:lvl w:ilvl="0" w:tentative="0">
      <w:start w:val="1"/>
      <w:numFmt w:val="decimal"/>
      <w:suff w:val="nothing"/>
      <w:lvlText w:val="%1、"/>
      <w:lvlJc w:val="left"/>
      <w:pPr>
        <w:ind w:left="113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DC671094"/>
    <w:multiLevelType w:val="singleLevel"/>
    <w:tmpl w:val="DC671094"/>
    <w:lvl w:ilvl="0" w:tentative="0">
      <w:start w:val="1"/>
      <w:numFmt w:val="decimal"/>
      <w:lvlText w:val="6.%1"/>
      <w:lvlJc w:val="left"/>
      <w:pPr>
        <w:tabs>
          <w:tab w:val="left" w:pos="210"/>
        </w:tabs>
        <w:ind w:left="0" w:firstLine="480"/>
      </w:pPr>
      <w:rPr>
        <w:rFonts w:hint="default"/>
      </w:rPr>
    </w:lvl>
  </w:abstractNum>
  <w:abstractNum w:abstractNumId="10">
    <w:nsid w:val="E05880F9"/>
    <w:multiLevelType w:val="singleLevel"/>
    <w:tmpl w:val="E05880F9"/>
    <w:lvl w:ilvl="0" w:tentative="0">
      <w:start w:val="1"/>
      <w:numFmt w:val="decimal"/>
      <w:suff w:val="nothing"/>
      <w:lvlText w:val="%1、"/>
      <w:lvlJc w:val="left"/>
      <w:pPr>
        <w:ind w:left="0" w:firstLine="482"/>
      </w:pPr>
      <w:rPr>
        <w:rFonts w:hint="default"/>
      </w:rPr>
    </w:lvl>
  </w:abstractNum>
  <w:abstractNum w:abstractNumId="11">
    <w:nsid w:val="EA6F2000"/>
    <w:multiLevelType w:val="multilevel"/>
    <w:tmpl w:val="EA6F2000"/>
    <w:lvl w:ilvl="0" w:tentative="0">
      <w:start w:val="8"/>
      <w:numFmt w:val="decimal"/>
      <w:lvlText w:val="%1"/>
      <w:lvlJc w:val="left"/>
      <w:pPr>
        <w:tabs>
          <w:tab w:val="left" w:pos="780"/>
        </w:tabs>
        <w:ind w:left="780" w:hanging="780"/>
      </w:pPr>
      <w:rPr>
        <w:rFonts w:hint="eastAsia"/>
      </w:rPr>
    </w:lvl>
    <w:lvl w:ilvl="1" w:tentative="0">
      <w:start w:val="1"/>
      <w:numFmt w:val="decimal"/>
      <w:suff w:val="space"/>
      <w:lvlText w:val="%1.%2"/>
      <w:lvlJc w:val="left"/>
      <w:pPr>
        <w:ind w:left="780" w:hanging="780"/>
      </w:pPr>
      <w:rPr>
        <w:rFonts w:hint="eastAsia"/>
      </w:rPr>
    </w:lvl>
    <w:lvl w:ilvl="2" w:tentative="0">
      <w:start w:val="1"/>
      <w:numFmt w:val="decimal"/>
      <w:lvlText w:val="%1.%2.%3"/>
      <w:lvlJc w:val="left"/>
      <w:pPr>
        <w:tabs>
          <w:tab w:val="left" w:pos="2070"/>
        </w:tabs>
        <w:ind w:left="2070" w:hanging="780"/>
      </w:pPr>
      <w:rPr>
        <w:rFonts w:hint="eastAsia"/>
      </w:rPr>
    </w:lvl>
    <w:lvl w:ilvl="3" w:tentative="0">
      <w:start w:val="1"/>
      <w:numFmt w:val="decimal"/>
      <w:lvlText w:val="%1.%2.%3.%4"/>
      <w:lvlJc w:val="left"/>
      <w:pPr>
        <w:tabs>
          <w:tab w:val="left" w:pos="2715"/>
        </w:tabs>
        <w:ind w:left="2715" w:hanging="780"/>
      </w:pPr>
      <w:rPr>
        <w:rFonts w:hint="eastAsia"/>
      </w:rPr>
    </w:lvl>
    <w:lvl w:ilvl="4" w:tentative="0">
      <w:start w:val="1"/>
      <w:numFmt w:val="decimal"/>
      <w:lvlText w:val="%1.%2.%3.%4.%5"/>
      <w:lvlJc w:val="left"/>
      <w:pPr>
        <w:tabs>
          <w:tab w:val="left" w:pos="3360"/>
        </w:tabs>
        <w:ind w:left="3360" w:hanging="780"/>
      </w:pPr>
      <w:rPr>
        <w:rFonts w:hint="eastAsia"/>
      </w:rPr>
    </w:lvl>
    <w:lvl w:ilvl="5" w:tentative="0">
      <w:start w:val="1"/>
      <w:numFmt w:val="decimal"/>
      <w:lvlText w:val="%1.%2.%3.%4.%5.%6"/>
      <w:lvlJc w:val="left"/>
      <w:pPr>
        <w:tabs>
          <w:tab w:val="left" w:pos="4005"/>
        </w:tabs>
        <w:ind w:left="4005" w:hanging="780"/>
      </w:pPr>
      <w:rPr>
        <w:rFonts w:hint="eastAsia"/>
      </w:rPr>
    </w:lvl>
    <w:lvl w:ilvl="6" w:tentative="0">
      <w:start w:val="1"/>
      <w:numFmt w:val="decimal"/>
      <w:lvlText w:val="%1.%2.%3.%4.%5.%6.%7"/>
      <w:lvlJc w:val="left"/>
      <w:pPr>
        <w:tabs>
          <w:tab w:val="left" w:pos="4650"/>
        </w:tabs>
        <w:ind w:left="4650" w:hanging="780"/>
      </w:pPr>
      <w:rPr>
        <w:rFonts w:hint="eastAsia"/>
      </w:rPr>
    </w:lvl>
    <w:lvl w:ilvl="7" w:tentative="0">
      <w:start w:val="1"/>
      <w:numFmt w:val="decimal"/>
      <w:lvlText w:val="%1.%2.%3.%4.%5.%6.%7.%8"/>
      <w:lvlJc w:val="left"/>
      <w:pPr>
        <w:tabs>
          <w:tab w:val="left" w:pos="5295"/>
        </w:tabs>
        <w:ind w:left="5295" w:hanging="780"/>
      </w:pPr>
      <w:rPr>
        <w:rFonts w:hint="eastAsia"/>
      </w:rPr>
    </w:lvl>
    <w:lvl w:ilvl="8" w:tentative="0">
      <w:start w:val="1"/>
      <w:numFmt w:val="decimal"/>
      <w:lvlText w:val="%1.%2.%3.%4.%5.%6.%7.%8.%9"/>
      <w:lvlJc w:val="left"/>
      <w:pPr>
        <w:tabs>
          <w:tab w:val="left" w:pos="5940"/>
        </w:tabs>
        <w:ind w:left="5940" w:hanging="780"/>
      </w:pPr>
      <w:rPr>
        <w:rFonts w:hint="eastAsia"/>
      </w:rPr>
    </w:lvl>
  </w:abstractNum>
  <w:abstractNum w:abstractNumId="12">
    <w:nsid w:val="F34D28C3"/>
    <w:multiLevelType w:val="singleLevel"/>
    <w:tmpl w:val="F34D28C3"/>
    <w:lvl w:ilvl="0" w:tentative="0">
      <w:start w:val="1"/>
      <w:numFmt w:val="decimal"/>
      <w:suff w:val="nothing"/>
      <w:lvlText w:val="（%1）"/>
      <w:lvlJc w:val="left"/>
      <w:pPr>
        <w:ind w:left="0" w:firstLine="480"/>
      </w:pPr>
      <w:rPr>
        <w:rFonts w:hint="default"/>
      </w:rPr>
    </w:lvl>
  </w:abstractNum>
  <w:abstractNum w:abstractNumId="13">
    <w:nsid w:val="00000001"/>
    <w:multiLevelType w:val="multilevel"/>
    <w:tmpl w:val="00000001"/>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305"/>
        </w:tabs>
        <w:ind w:left="1184"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02"/>
    <w:multiLevelType w:val="multilevel"/>
    <w:tmpl w:val="00000002"/>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447"/>
        </w:tabs>
        <w:ind w:left="1326"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sz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03"/>
    <w:multiLevelType w:val="multilevel"/>
    <w:tmpl w:val="0000000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04"/>
    <w:multiLevelType w:val="singleLevel"/>
    <w:tmpl w:val="00000004"/>
    <w:lvl w:ilvl="0" w:tentative="0">
      <w:start w:val="2"/>
      <w:numFmt w:val="chineseCounting"/>
      <w:suff w:val="nothing"/>
      <w:lvlText w:val="%1、"/>
      <w:lvlJc w:val="left"/>
      <w:rPr>
        <w:rFonts w:hint="eastAsia"/>
      </w:rPr>
    </w:lvl>
  </w:abstractNum>
  <w:abstractNum w:abstractNumId="17">
    <w:nsid w:val="00000005"/>
    <w:multiLevelType w:val="multilevel"/>
    <w:tmpl w:val="00000005"/>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00000006"/>
    <w:multiLevelType w:val="multilevel"/>
    <w:tmpl w:val="00000006"/>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07"/>
    <w:multiLevelType w:val="multilevel"/>
    <w:tmpl w:val="00000007"/>
    <w:lvl w:ilvl="0" w:tentative="0">
      <w:start w:val="1"/>
      <w:numFmt w:val="decimal"/>
      <w:pStyle w:val="41"/>
      <w:isLgl/>
      <w:suff w:val="space"/>
      <w:lvlText w:val="%1."/>
      <w:lvlJc w:val="left"/>
      <w:pPr>
        <w:ind w:left="851" w:hanging="341"/>
      </w:pPr>
      <w:rPr>
        <w:rFonts w:hint="eastAsia" w:ascii="宋体" w:hAnsi="宋体" w:eastAsia="宋体"/>
      </w:rPr>
    </w:lvl>
    <w:lvl w:ilvl="1" w:tentative="0">
      <w:start w:val="1"/>
      <w:numFmt w:val="decimal"/>
      <w:suff w:val="space"/>
      <w:lvlText w:val="%1.%2."/>
      <w:lvlJc w:val="left"/>
      <w:pPr>
        <w:ind w:left="1304" w:hanging="567"/>
      </w:pPr>
      <w:rPr>
        <w:rFonts w:hint="eastAsia" w:ascii="宋体" w:eastAsia="宋体"/>
      </w:rPr>
    </w:lvl>
    <w:lvl w:ilvl="2" w:tentative="0">
      <w:start w:val="1"/>
      <w:numFmt w:val="decimal"/>
      <w:suff w:val="space"/>
      <w:lvlText w:val="%1.%2.%3."/>
      <w:lvlJc w:val="left"/>
      <w:pPr>
        <w:ind w:left="1701" w:hanging="737"/>
      </w:pPr>
      <w:rPr>
        <w:rFonts w:hint="eastAsia"/>
      </w:rPr>
    </w:lvl>
    <w:lvl w:ilvl="3" w:tentative="0">
      <w:start w:val="1"/>
      <w:numFmt w:val="decimal"/>
      <w:suff w:val="space"/>
      <w:lvlText w:val="%1.%2.%3.%4."/>
      <w:lvlJc w:val="left"/>
      <w:pPr>
        <w:ind w:left="1985" w:hanging="964"/>
      </w:pPr>
      <w:rPr>
        <w:rFonts w:hint="eastAsia"/>
      </w:rPr>
    </w:lvl>
    <w:lvl w:ilvl="4" w:tentative="0">
      <w:start w:val="1"/>
      <w:numFmt w:val="decimal"/>
      <w:lvlText w:val="%1.%2.%3.%4.%5."/>
      <w:lvlJc w:val="left"/>
      <w:pPr>
        <w:ind w:left="1759" w:hanging="341"/>
      </w:pPr>
      <w:rPr>
        <w:rFonts w:hint="eastAsia"/>
      </w:rPr>
    </w:lvl>
    <w:lvl w:ilvl="5" w:tentative="0">
      <w:start w:val="1"/>
      <w:numFmt w:val="decimal"/>
      <w:lvlText w:val="%1.%2.%3.%4.%5.%6."/>
      <w:lvlJc w:val="left"/>
      <w:pPr>
        <w:ind w:left="1986" w:hanging="341"/>
      </w:pPr>
      <w:rPr>
        <w:rFonts w:hint="eastAsia"/>
      </w:rPr>
    </w:lvl>
    <w:lvl w:ilvl="6" w:tentative="0">
      <w:start w:val="1"/>
      <w:numFmt w:val="decimal"/>
      <w:lvlText w:val="%1.%2.%3.%4.%5.%6.%7."/>
      <w:lvlJc w:val="left"/>
      <w:pPr>
        <w:ind w:left="2213" w:hanging="341"/>
      </w:pPr>
      <w:rPr>
        <w:rFonts w:hint="eastAsia"/>
      </w:rPr>
    </w:lvl>
    <w:lvl w:ilvl="7" w:tentative="0">
      <w:start w:val="1"/>
      <w:numFmt w:val="decimal"/>
      <w:lvlText w:val="%1.%2.%3.%4.%5.%6.%7.%8."/>
      <w:lvlJc w:val="left"/>
      <w:pPr>
        <w:ind w:left="2440" w:hanging="341"/>
      </w:pPr>
      <w:rPr>
        <w:rFonts w:hint="eastAsia"/>
      </w:rPr>
    </w:lvl>
    <w:lvl w:ilvl="8" w:tentative="0">
      <w:start w:val="1"/>
      <w:numFmt w:val="decimal"/>
      <w:lvlText w:val="%1.%2.%3.%4.%5.%6.%7.%8.%9."/>
      <w:lvlJc w:val="left"/>
      <w:pPr>
        <w:ind w:left="2667" w:hanging="341"/>
      </w:pPr>
      <w:rPr>
        <w:rFonts w:hint="eastAsia"/>
      </w:rPr>
    </w:lvl>
  </w:abstractNum>
  <w:abstractNum w:abstractNumId="20">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042300C"/>
    <w:multiLevelType w:val="multilevel"/>
    <w:tmpl w:val="1042300C"/>
    <w:lvl w:ilvl="0" w:tentative="0">
      <w:start w:val="10"/>
      <w:numFmt w:val="decimal"/>
      <w:suff w:val="space"/>
      <w:lvlText w:val="%1."/>
      <w:lvlJc w:val="left"/>
      <w:pPr>
        <w:ind w:left="270" w:hanging="270"/>
      </w:pPr>
      <w:rPr>
        <w:rFonts w:hint="eastAsia"/>
      </w:rPr>
    </w:lvl>
    <w:lvl w:ilvl="1" w:tentative="0">
      <w:start w:val="1"/>
      <w:numFmt w:val="decimal"/>
      <w:isLgl/>
      <w:suff w:val="space"/>
      <w:lvlText w:val="11.%2"/>
      <w:lvlJc w:val="left"/>
      <w:pPr>
        <w:ind w:left="1095" w:hanging="450"/>
      </w:pPr>
      <w:rPr>
        <w:rFonts w:hint="eastAsia"/>
      </w:rPr>
    </w:lvl>
    <w:lvl w:ilvl="2" w:tentative="0">
      <w:start w:val="1"/>
      <w:numFmt w:val="decimal"/>
      <w:isLgl/>
      <w:lvlText w:val="%1.%2.%3"/>
      <w:lvlJc w:val="left"/>
      <w:pPr>
        <w:tabs>
          <w:tab w:val="left" w:pos="1740"/>
        </w:tabs>
        <w:ind w:left="1740" w:hanging="450"/>
      </w:pPr>
      <w:rPr>
        <w:rFonts w:hint="eastAsia"/>
      </w:rPr>
    </w:lvl>
    <w:lvl w:ilvl="3" w:tentative="0">
      <w:start w:val="1"/>
      <w:numFmt w:val="decimal"/>
      <w:isLgl/>
      <w:lvlText w:val="%1.%2.%3.%4"/>
      <w:lvlJc w:val="left"/>
      <w:pPr>
        <w:tabs>
          <w:tab w:val="left" w:pos="2385"/>
        </w:tabs>
        <w:ind w:left="2385" w:hanging="450"/>
      </w:pPr>
      <w:rPr>
        <w:rFonts w:hint="eastAsia"/>
      </w:rPr>
    </w:lvl>
    <w:lvl w:ilvl="4" w:tentative="0">
      <w:start w:val="1"/>
      <w:numFmt w:val="decimal"/>
      <w:isLgl/>
      <w:lvlText w:val="%1.%2.%3.%4.%5"/>
      <w:lvlJc w:val="left"/>
      <w:pPr>
        <w:tabs>
          <w:tab w:val="left" w:pos="3030"/>
        </w:tabs>
        <w:ind w:left="3030" w:hanging="450"/>
      </w:pPr>
      <w:rPr>
        <w:rFonts w:hint="eastAsia"/>
      </w:rPr>
    </w:lvl>
    <w:lvl w:ilvl="5" w:tentative="0">
      <w:start w:val="1"/>
      <w:numFmt w:val="decimal"/>
      <w:isLgl/>
      <w:lvlText w:val="%1.%2.%3.%4.%5.%6"/>
      <w:lvlJc w:val="left"/>
      <w:pPr>
        <w:tabs>
          <w:tab w:val="left" w:pos="3675"/>
        </w:tabs>
        <w:ind w:left="3675" w:hanging="450"/>
      </w:pPr>
      <w:rPr>
        <w:rFonts w:hint="eastAsia"/>
      </w:rPr>
    </w:lvl>
    <w:lvl w:ilvl="6" w:tentative="0">
      <w:start w:val="1"/>
      <w:numFmt w:val="decimal"/>
      <w:isLgl/>
      <w:lvlText w:val="%1.%2.%3.%4.%5.%6.%7"/>
      <w:lvlJc w:val="left"/>
      <w:pPr>
        <w:tabs>
          <w:tab w:val="left" w:pos="4320"/>
        </w:tabs>
        <w:ind w:left="4320" w:hanging="450"/>
      </w:pPr>
      <w:rPr>
        <w:rFonts w:hint="eastAsia"/>
      </w:rPr>
    </w:lvl>
    <w:lvl w:ilvl="7" w:tentative="0">
      <w:start w:val="1"/>
      <w:numFmt w:val="decimal"/>
      <w:isLgl/>
      <w:lvlText w:val="%1.%2.%3.%4.%5.%6.%7.%8"/>
      <w:lvlJc w:val="left"/>
      <w:pPr>
        <w:tabs>
          <w:tab w:val="left" w:pos="4965"/>
        </w:tabs>
        <w:ind w:left="4965" w:hanging="450"/>
      </w:pPr>
      <w:rPr>
        <w:rFonts w:hint="eastAsia"/>
      </w:rPr>
    </w:lvl>
    <w:lvl w:ilvl="8" w:tentative="0">
      <w:start w:val="1"/>
      <w:numFmt w:val="decimal"/>
      <w:isLgl/>
      <w:lvlText w:val="%1.%2.%3.%4.%5.%6.%7.%8.%9"/>
      <w:lvlJc w:val="left"/>
      <w:pPr>
        <w:tabs>
          <w:tab w:val="left" w:pos="5610"/>
        </w:tabs>
        <w:ind w:left="5610" w:hanging="450"/>
      </w:pPr>
      <w:rPr>
        <w:rFonts w:hint="eastAsia"/>
      </w:rPr>
    </w:lvl>
  </w:abstractNum>
  <w:abstractNum w:abstractNumId="22">
    <w:nsid w:val="10F482C2"/>
    <w:multiLevelType w:val="singleLevel"/>
    <w:tmpl w:val="10F482C2"/>
    <w:lvl w:ilvl="0" w:tentative="0">
      <w:start w:val="1"/>
      <w:numFmt w:val="decimal"/>
      <w:lvlText w:val="14.%1"/>
      <w:lvlJc w:val="left"/>
      <w:pPr>
        <w:tabs>
          <w:tab w:val="left" w:pos="210"/>
        </w:tabs>
        <w:ind w:left="0" w:firstLine="480"/>
      </w:pPr>
      <w:rPr>
        <w:rFonts w:hint="default"/>
      </w:rPr>
    </w:lvl>
  </w:abstractNum>
  <w:abstractNum w:abstractNumId="23">
    <w:nsid w:val="252A2AE1"/>
    <w:multiLevelType w:val="singleLevel"/>
    <w:tmpl w:val="252A2AE1"/>
    <w:lvl w:ilvl="0" w:tentative="0">
      <w:start w:val="1"/>
      <w:numFmt w:val="decimal"/>
      <w:lvlText w:val="12.%1"/>
      <w:lvlJc w:val="left"/>
      <w:pPr>
        <w:tabs>
          <w:tab w:val="left" w:pos="210"/>
        </w:tabs>
        <w:ind w:left="0" w:firstLine="480"/>
      </w:pPr>
      <w:rPr>
        <w:rFonts w:hint="default"/>
      </w:rPr>
    </w:lvl>
  </w:abstractNum>
  <w:abstractNum w:abstractNumId="24">
    <w:nsid w:val="30DB3ACF"/>
    <w:multiLevelType w:val="singleLevel"/>
    <w:tmpl w:val="30DB3ACF"/>
    <w:lvl w:ilvl="0" w:tentative="0">
      <w:start w:val="1"/>
      <w:numFmt w:val="decimal"/>
      <w:lvlText w:val="13.%1"/>
      <w:lvlJc w:val="left"/>
      <w:pPr>
        <w:tabs>
          <w:tab w:val="left" w:pos="210"/>
        </w:tabs>
        <w:ind w:left="0" w:firstLine="480"/>
      </w:pPr>
      <w:rPr>
        <w:rFonts w:hint="default"/>
      </w:rPr>
    </w:lvl>
  </w:abstractNum>
  <w:abstractNum w:abstractNumId="25">
    <w:nsid w:val="624F7C8A"/>
    <w:multiLevelType w:val="singleLevel"/>
    <w:tmpl w:val="624F7C8A"/>
    <w:lvl w:ilvl="0" w:tentative="0">
      <w:start w:val="1"/>
      <w:numFmt w:val="decimal"/>
      <w:lvlText w:val="(%1)"/>
      <w:lvlJc w:val="left"/>
      <w:pPr>
        <w:tabs>
          <w:tab w:val="left" w:pos="210"/>
        </w:tabs>
        <w:ind w:left="0" w:firstLine="480"/>
      </w:pPr>
      <w:rPr>
        <w:rFonts w:hint="default"/>
      </w:rPr>
    </w:lvl>
  </w:abstractNum>
  <w:abstractNum w:abstractNumId="26">
    <w:nsid w:val="677639DE"/>
    <w:multiLevelType w:val="multilevel"/>
    <w:tmpl w:val="677639DE"/>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val="0"/>
        <w:bCs/>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7">
    <w:nsid w:val="677639E9"/>
    <w:multiLevelType w:val="multilevel"/>
    <w:tmpl w:val="677639E9"/>
    <w:lvl w:ilvl="0" w:tentative="0">
      <w:start w:val="8"/>
      <w:numFmt w:val="decimal"/>
      <w:suff w:val="space"/>
      <w:lvlText w:val="%1."/>
      <w:lvlJc w:val="left"/>
      <w:pPr>
        <w:ind w:left="270" w:hanging="270"/>
      </w:pPr>
      <w:rPr>
        <w:rFonts w:hint="eastAsia"/>
      </w:rPr>
    </w:lvl>
    <w:lvl w:ilvl="1" w:tentative="0">
      <w:start w:val="2"/>
      <w:numFmt w:val="decimal"/>
      <w:isLgl/>
      <w:lvlText w:val="%1.%2"/>
      <w:lvlJc w:val="left"/>
      <w:pPr>
        <w:tabs>
          <w:tab w:val="left" w:pos="1095"/>
        </w:tabs>
        <w:ind w:left="1095" w:hanging="450"/>
      </w:pPr>
      <w:rPr>
        <w:rFonts w:hint="eastAsia"/>
      </w:rPr>
    </w:lvl>
    <w:lvl w:ilvl="2" w:tentative="0">
      <w:start w:val="1"/>
      <w:numFmt w:val="decimal"/>
      <w:isLgl/>
      <w:lvlText w:val="%1.%2.%3"/>
      <w:lvlJc w:val="left"/>
      <w:pPr>
        <w:tabs>
          <w:tab w:val="left" w:pos="1740"/>
        </w:tabs>
        <w:ind w:left="1740" w:hanging="450"/>
      </w:pPr>
      <w:rPr>
        <w:rFonts w:hint="eastAsia"/>
      </w:rPr>
    </w:lvl>
    <w:lvl w:ilvl="3" w:tentative="0">
      <w:start w:val="1"/>
      <w:numFmt w:val="decimal"/>
      <w:isLgl/>
      <w:lvlText w:val="%1.%2.%3.%4"/>
      <w:lvlJc w:val="left"/>
      <w:pPr>
        <w:tabs>
          <w:tab w:val="left" w:pos="2385"/>
        </w:tabs>
        <w:ind w:left="2385" w:hanging="450"/>
      </w:pPr>
      <w:rPr>
        <w:rFonts w:hint="eastAsia"/>
      </w:rPr>
    </w:lvl>
    <w:lvl w:ilvl="4" w:tentative="0">
      <w:start w:val="1"/>
      <w:numFmt w:val="decimal"/>
      <w:isLgl/>
      <w:lvlText w:val="%1.%2.%3.%4.%5"/>
      <w:lvlJc w:val="left"/>
      <w:pPr>
        <w:tabs>
          <w:tab w:val="left" w:pos="3030"/>
        </w:tabs>
        <w:ind w:left="3030" w:hanging="450"/>
      </w:pPr>
      <w:rPr>
        <w:rFonts w:hint="eastAsia"/>
      </w:rPr>
    </w:lvl>
    <w:lvl w:ilvl="5" w:tentative="0">
      <w:start w:val="1"/>
      <w:numFmt w:val="decimal"/>
      <w:isLgl/>
      <w:lvlText w:val="%1.%2.%3.%4.%5.%6"/>
      <w:lvlJc w:val="left"/>
      <w:pPr>
        <w:tabs>
          <w:tab w:val="left" w:pos="3675"/>
        </w:tabs>
        <w:ind w:left="3675" w:hanging="450"/>
      </w:pPr>
      <w:rPr>
        <w:rFonts w:hint="eastAsia"/>
      </w:rPr>
    </w:lvl>
    <w:lvl w:ilvl="6" w:tentative="0">
      <w:start w:val="1"/>
      <w:numFmt w:val="decimal"/>
      <w:isLgl/>
      <w:lvlText w:val="%1.%2.%3.%4.%5.%6.%7"/>
      <w:lvlJc w:val="left"/>
      <w:pPr>
        <w:tabs>
          <w:tab w:val="left" w:pos="4320"/>
        </w:tabs>
        <w:ind w:left="4320" w:hanging="450"/>
      </w:pPr>
      <w:rPr>
        <w:rFonts w:hint="eastAsia"/>
      </w:rPr>
    </w:lvl>
    <w:lvl w:ilvl="7" w:tentative="0">
      <w:start w:val="1"/>
      <w:numFmt w:val="decimal"/>
      <w:isLgl/>
      <w:lvlText w:val="%1.%2.%3.%4.%5.%6.%7.%8"/>
      <w:lvlJc w:val="left"/>
      <w:pPr>
        <w:tabs>
          <w:tab w:val="left" w:pos="4965"/>
        </w:tabs>
        <w:ind w:left="4965" w:hanging="450"/>
      </w:pPr>
      <w:rPr>
        <w:rFonts w:hint="eastAsia"/>
      </w:rPr>
    </w:lvl>
    <w:lvl w:ilvl="8" w:tentative="0">
      <w:start w:val="1"/>
      <w:numFmt w:val="decimal"/>
      <w:isLgl/>
      <w:lvlText w:val="%1.%2.%3.%4.%5.%6.%7.%8.%9"/>
      <w:lvlJc w:val="left"/>
      <w:pPr>
        <w:tabs>
          <w:tab w:val="left" w:pos="5610"/>
        </w:tabs>
        <w:ind w:left="5610" w:hanging="450"/>
      </w:pPr>
      <w:rPr>
        <w:rFonts w:hint="eastAsia"/>
      </w:rPr>
    </w:lvl>
  </w:abstractNum>
  <w:abstractNum w:abstractNumId="28">
    <w:nsid w:val="677C1F76"/>
    <w:multiLevelType w:val="singleLevel"/>
    <w:tmpl w:val="677C1F76"/>
    <w:lvl w:ilvl="0" w:tentative="0">
      <w:start w:val="1"/>
      <w:numFmt w:val="decimal"/>
      <w:suff w:val="nothing"/>
      <w:lvlText w:val="（%1）"/>
      <w:lvlJc w:val="left"/>
      <w:pPr>
        <w:ind w:left="0" w:firstLine="480"/>
      </w:pPr>
      <w:rPr>
        <w:rFonts w:hint="default"/>
      </w:rPr>
    </w:lvl>
  </w:abstractNum>
  <w:abstractNum w:abstractNumId="29">
    <w:nsid w:val="6CB0D476"/>
    <w:multiLevelType w:val="singleLevel"/>
    <w:tmpl w:val="6CB0D476"/>
    <w:lvl w:ilvl="0" w:tentative="0">
      <w:start w:val="1"/>
      <w:numFmt w:val="decimal"/>
      <w:lvlText w:val="1.%1"/>
      <w:lvlJc w:val="left"/>
      <w:pPr>
        <w:tabs>
          <w:tab w:val="left" w:pos="210"/>
        </w:tabs>
        <w:ind w:left="0" w:firstLine="480"/>
      </w:pPr>
      <w:rPr>
        <w:rFonts w:hint="default"/>
      </w:rPr>
    </w:lvl>
  </w:abstractNum>
  <w:abstractNum w:abstractNumId="30">
    <w:nsid w:val="6DF736EC"/>
    <w:multiLevelType w:val="singleLevel"/>
    <w:tmpl w:val="6DF736EC"/>
    <w:lvl w:ilvl="0" w:tentative="0">
      <w:start w:val="1"/>
      <w:numFmt w:val="decimal"/>
      <w:lvlText w:val="17.%1"/>
      <w:lvlJc w:val="left"/>
      <w:pPr>
        <w:tabs>
          <w:tab w:val="left" w:pos="210"/>
        </w:tabs>
        <w:ind w:left="0" w:firstLine="480"/>
      </w:pPr>
      <w:rPr>
        <w:rFonts w:hint="default"/>
      </w:rPr>
    </w:lvl>
  </w:abstractNum>
  <w:abstractNum w:abstractNumId="31">
    <w:nsid w:val="79649967"/>
    <w:multiLevelType w:val="singleLevel"/>
    <w:tmpl w:val="79649967"/>
    <w:lvl w:ilvl="0" w:tentative="0">
      <w:start w:val="1"/>
      <w:numFmt w:val="decimal"/>
      <w:lvlText w:val="21.%1"/>
      <w:lvlJc w:val="left"/>
      <w:pPr>
        <w:tabs>
          <w:tab w:val="left" w:pos="210"/>
        </w:tabs>
        <w:ind w:left="0" w:firstLine="480"/>
      </w:pPr>
      <w:rPr>
        <w:rFonts w:hint="default"/>
      </w:rPr>
    </w:lvl>
  </w:abstractNum>
  <w:abstractNum w:abstractNumId="32">
    <w:nsid w:val="7F8600CE"/>
    <w:multiLevelType w:val="multilevel"/>
    <w:tmpl w:val="7F8600CE"/>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num w:numId="1">
    <w:abstractNumId w:val="19"/>
  </w:num>
  <w:num w:numId="2">
    <w:abstractNumId w:val="13"/>
  </w:num>
  <w:num w:numId="3">
    <w:abstractNumId w:val="32"/>
  </w:num>
  <w:num w:numId="4">
    <w:abstractNumId w:val="18"/>
  </w:num>
  <w:num w:numId="5">
    <w:abstractNumId w:val="14"/>
  </w:num>
  <w:num w:numId="6">
    <w:abstractNumId w:val="20"/>
  </w:num>
  <w:num w:numId="7">
    <w:abstractNumId w:val="16"/>
  </w:num>
  <w:num w:numId="8">
    <w:abstractNumId w:val="1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6"/>
  </w:num>
  <w:num w:numId="51">
    <w:abstractNumId w:val="7"/>
  </w:num>
  <w:num w:numId="52">
    <w:abstractNumId w:val="28"/>
  </w:num>
  <w:num w:numId="53">
    <w:abstractNumId w:val="29"/>
  </w:num>
  <w:num w:numId="54">
    <w:abstractNumId w:val="3"/>
  </w:num>
  <w:num w:numId="55">
    <w:abstractNumId w:val="26"/>
    <w:lvlOverride w:ilvl="1">
      <w:startOverride w:val="1"/>
    </w:lvlOverride>
  </w:num>
  <w:num w:numId="56">
    <w:abstractNumId w:val="9"/>
  </w:num>
  <w:num w:numId="57">
    <w:abstractNumId w:val="12"/>
  </w:num>
  <w:num w:numId="58">
    <w:abstractNumId w:val="27"/>
    <w:lvlOverride w:ilvl="0">
      <w:startOverride w:val="8"/>
    </w:lvlOverride>
  </w:num>
  <w:num w:numId="59">
    <w:abstractNumId w:val="11"/>
  </w:num>
  <w:num w:numId="60">
    <w:abstractNumId w:val="4"/>
  </w:num>
  <w:num w:numId="61">
    <w:abstractNumId w:val="2"/>
  </w:num>
  <w:num w:numId="62">
    <w:abstractNumId w:val="25"/>
  </w:num>
  <w:num w:numId="63">
    <w:abstractNumId w:val="21"/>
  </w:num>
  <w:num w:numId="64">
    <w:abstractNumId w:val="23"/>
  </w:num>
  <w:num w:numId="65">
    <w:abstractNumId w:val="24"/>
  </w:num>
  <w:num w:numId="66">
    <w:abstractNumId w:val="22"/>
  </w:num>
  <w:num w:numId="67">
    <w:abstractNumId w:val="30"/>
  </w:num>
  <w:num w:numId="68">
    <w:abstractNumId w:val="5"/>
  </w:num>
  <w:num w:numId="69">
    <w:abstractNumId w:val="31"/>
  </w:num>
  <w:num w:numId="70">
    <w:abstractNumId w:val="8"/>
  </w:num>
  <w:num w:numId="71">
    <w:abstractNumId w:val="0"/>
  </w:num>
  <w:num w:numId="72">
    <w:abstractNumId w:val="1"/>
  </w:num>
  <w:num w:numId="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47"/>
    <w:rsid w:val="00014498"/>
    <w:rsid w:val="0002423D"/>
    <w:rsid w:val="00047E5B"/>
    <w:rsid w:val="000665B6"/>
    <w:rsid w:val="00073F0A"/>
    <w:rsid w:val="00075162"/>
    <w:rsid w:val="00075CFF"/>
    <w:rsid w:val="000A1C7E"/>
    <w:rsid w:val="000B0F7D"/>
    <w:rsid w:val="000D33CB"/>
    <w:rsid w:val="000E3BC4"/>
    <w:rsid w:val="000F3872"/>
    <w:rsid w:val="001313A9"/>
    <w:rsid w:val="001338EE"/>
    <w:rsid w:val="0013673D"/>
    <w:rsid w:val="001A07A7"/>
    <w:rsid w:val="001B4F0A"/>
    <w:rsid w:val="001C2059"/>
    <w:rsid w:val="001C789A"/>
    <w:rsid w:val="001E189E"/>
    <w:rsid w:val="00204760"/>
    <w:rsid w:val="00213011"/>
    <w:rsid w:val="002173F0"/>
    <w:rsid w:val="00225045"/>
    <w:rsid w:val="00234543"/>
    <w:rsid w:val="00237B64"/>
    <w:rsid w:val="00252E42"/>
    <w:rsid w:val="002617DA"/>
    <w:rsid w:val="00293571"/>
    <w:rsid w:val="002D0E25"/>
    <w:rsid w:val="002D5B4D"/>
    <w:rsid w:val="003055E5"/>
    <w:rsid w:val="00321DBF"/>
    <w:rsid w:val="00345BA6"/>
    <w:rsid w:val="003B69C3"/>
    <w:rsid w:val="003E33CE"/>
    <w:rsid w:val="0045458C"/>
    <w:rsid w:val="004850B8"/>
    <w:rsid w:val="00496E88"/>
    <w:rsid w:val="004B380F"/>
    <w:rsid w:val="004D7B1A"/>
    <w:rsid w:val="00514689"/>
    <w:rsid w:val="005271E1"/>
    <w:rsid w:val="00527E7A"/>
    <w:rsid w:val="00564F88"/>
    <w:rsid w:val="005663F5"/>
    <w:rsid w:val="00574AE9"/>
    <w:rsid w:val="005D1030"/>
    <w:rsid w:val="005E4796"/>
    <w:rsid w:val="005E7E21"/>
    <w:rsid w:val="005F2547"/>
    <w:rsid w:val="00604DA3"/>
    <w:rsid w:val="00606A94"/>
    <w:rsid w:val="006149BA"/>
    <w:rsid w:val="00632117"/>
    <w:rsid w:val="0065537D"/>
    <w:rsid w:val="00663C6A"/>
    <w:rsid w:val="00713686"/>
    <w:rsid w:val="00720239"/>
    <w:rsid w:val="007468A8"/>
    <w:rsid w:val="00750A8A"/>
    <w:rsid w:val="00776989"/>
    <w:rsid w:val="00794528"/>
    <w:rsid w:val="007E30E5"/>
    <w:rsid w:val="007F42FB"/>
    <w:rsid w:val="0080150B"/>
    <w:rsid w:val="00816249"/>
    <w:rsid w:val="0082080C"/>
    <w:rsid w:val="0082319C"/>
    <w:rsid w:val="00831853"/>
    <w:rsid w:val="0083253F"/>
    <w:rsid w:val="008668C1"/>
    <w:rsid w:val="00867601"/>
    <w:rsid w:val="00892651"/>
    <w:rsid w:val="008B4C73"/>
    <w:rsid w:val="008B7EC7"/>
    <w:rsid w:val="008D43E9"/>
    <w:rsid w:val="008E03CE"/>
    <w:rsid w:val="008E48A6"/>
    <w:rsid w:val="008E4EF2"/>
    <w:rsid w:val="008E6163"/>
    <w:rsid w:val="008F0FCD"/>
    <w:rsid w:val="009264AC"/>
    <w:rsid w:val="009312C3"/>
    <w:rsid w:val="00960BA5"/>
    <w:rsid w:val="009629CA"/>
    <w:rsid w:val="00972B95"/>
    <w:rsid w:val="009770D2"/>
    <w:rsid w:val="009A0ABA"/>
    <w:rsid w:val="009E3D65"/>
    <w:rsid w:val="00A059BF"/>
    <w:rsid w:val="00A07AFD"/>
    <w:rsid w:val="00A3422B"/>
    <w:rsid w:val="00A412F1"/>
    <w:rsid w:val="00A42D33"/>
    <w:rsid w:val="00A51053"/>
    <w:rsid w:val="00AE5964"/>
    <w:rsid w:val="00AF7DBD"/>
    <w:rsid w:val="00B049DD"/>
    <w:rsid w:val="00B42D91"/>
    <w:rsid w:val="00B551E1"/>
    <w:rsid w:val="00B602BF"/>
    <w:rsid w:val="00BB14CA"/>
    <w:rsid w:val="00BB795F"/>
    <w:rsid w:val="00BC4A0D"/>
    <w:rsid w:val="00BC7DD5"/>
    <w:rsid w:val="00BF0CB2"/>
    <w:rsid w:val="00C23AEB"/>
    <w:rsid w:val="00C27135"/>
    <w:rsid w:val="00C4706B"/>
    <w:rsid w:val="00CD2290"/>
    <w:rsid w:val="00CE7DAA"/>
    <w:rsid w:val="00D10378"/>
    <w:rsid w:val="00D25EA0"/>
    <w:rsid w:val="00D26BCD"/>
    <w:rsid w:val="00D32538"/>
    <w:rsid w:val="00D47103"/>
    <w:rsid w:val="00D63549"/>
    <w:rsid w:val="00D868D7"/>
    <w:rsid w:val="00DA1A82"/>
    <w:rsid w:val="00DC2C40"/>
    <w:rsid w:val="00DD0BF1"/>
    <w:rsid w:val="00DE2B4F"/>
    <w:rsid w:val="00DE5274"/>
    <w:rsid w:val="00E23CA5"/>
    <w:rsid w:val="00E724B2"/>
    <w:rsid w:val="00EC5655"/>
    <w:rsid w:val="00EE1E75"/>
    <w:rsid w:val="00F43437"/>
    <w:rsid w:val="00F601F7"/>
    <w:rsid w:val="00F759ED"/>
    <w:rsid w:val="00FF5933"/>
    <w:rsid w:val="02104022"/>
    <w:rsid w:val="08966904"/>
    <w:rsid w:val="08A10189"/>
    <w:rsid w:val="0F5404E3"/>
    <w:rsid w:val="10354C54"/>
    <w:rsid w:val="160B6B83"/>
    <w:rsid w:val="18046FBA"/>
    <w:rsid w:val="1A312930"/>
    <w:rsid w:val="1F010B23"/>
    <w:rsid w:val="2100305C"/>
    <w:rsid w:val="24E156E4"/>
    <w:rsid w:val="29604433"/>
    <w:rsid w:val="320C1861"/>
    <w:rsid w:val="32F36749"/>
    <w:rsid w:val="35F40F8A"/>
    <w:rsid w:val="397554B1"/>
    <w:rsid w:val="3BA23216"/>
    <w:rsid w:val="3C1648AE"/>
    <w:rsid w:val="45F91CA4"/>
    <w:rsid w:val="4DB265E2"/>
    <w:rsid w:val="4E0C7864"/>
    <w:rsid w:val="52E43A07"/>
    <w:rsid w:val="54320DC5"/>
    <w:rsid w:val="5BD54817"/>
    <w:rsid w:val="5E702B05"/>
    <w:rsid w:val="642556B5"/>
    <w:rsid w:val="6BA51E03"/>
    <w:rsid w:val="6EF966EE"/>
    <w:rsid w:val="71F94C57"/>
    <w:rsid w:val="741C6A3B"/>
    <w:rsid w:val="79256331"/>
    <w:rsid w:val="7A3D0F42"/>
    <w:rsid w:val="7D67555F"/>
    <w:rsid w:val="7EE57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5"/>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46"/>
    <w:unhideWhenUsed/>
    <w:qFormat/>
    <w:uiPriority w:val="9"/>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33">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annotation text"/>
    <w:basedOn w:val="1"/>
    <w:link w:val="43"/>
    <w:qFormat/>
    <w:uiPriority w:val="0"/>
    <w:pPr>
      <w:jc w:val="left"/>
    </w:pPr>
  </w:style>
  <w:style w:type="paragraph" w:styleId="7">
    <w:name w:val="Body Text"/>
    <w:basedOn w:val="1"/>
    <w:link w:val="56"/>
    <w:qFormat/>
    <w:uiPriority w:val="0"/>
    <w:pPr>
      <w:tabs>
        <w:tab w:val="left" w:pos="567"/>
      </w:tabs>
      <w:spacing w:before="120" w:line="22" w:lineRule="atLeast"/>
    </w:pPr>
    <w:rPr>
      <w:rFonts w:ascii="宋体" w:hAnsi="宋体"/>
      <w:sz w:val="24"/>
    </w:rPr>
  </w:style>
  <w:style w:type="paragraph" w:styleId="8">
    <w:name w:val="Body Text Indent"/>
    <w:basedOn w:val="1"/>
    <w:qFormat/>
    <w:uiPriority w:val="99"/>
    <w:pPr>
      <w:spacing w:after="120"/>
      <w:ind w:left="420" w:leftChars="200"/>
    </w:pPr>
  </w:style>
  <w:style w:type="paragraph" w:styleId="9">
    <w:name w:val="List 2"/>
    <w:basedOn w:val="1"/>
    <w:qFormat/>
    <w:uiPriority w:val="0"/>
    <w:pPr>
      <w:ind w:left="100" w:leftChars="200" w:hanging="200" w:hangingChars="200"/>
    </w:pPr>
  </w:style>
  <w:style w:type="paragraph" w:styleId="10">
    <w:name w:val="index 4"/>
    <w:basedOn w:val="1"/>
    <w:next w:val="1"/>
    <w:qFormat/>
    <w:uiPriority w:val="99"/>
    <w:pPr>
      <w:spacing w:before="100" w:beforeAutospacing="1" w:after="100" w:afterAutospacing="1"/>
      <w:ind w:left="600" w:leftChars="600"/>
    </w:pPr>
  </w:style>
  <w:style w:type="paragraph" w:styleId="11">
    <w:name w:val="Plain Text"/>
    <w:basedOn w:val="1"/>
    <w:qFormat/>
    <w:uiPriority w:val="0"/>
    <w:pPr>
      <w:adjustRightInd w:val="0"/>
      <w:snapToGrid w:val="0"/>
    </w:pPr>
    <w:rPr>
      <w:rFonts w:ascii="宋体" w:hAnsi="宋体"/>
      <w:b/>
      <w:bCs/>
      <w:sz w:val="24"/>
    </w:rPr>
  </w:style>
  <w:style w:type="paragraph" w:styleId="12">
    <w:name w:val="Balloon Text"/>
    <w:basedOn w:val="1"/>
    <w:link w:val="42"/>
    <w:qFormat/>
    <w:uiPriority w:val="0"/>
    <w:rPr>
      <w:sz w:val="18"/>
      <w:szCs w:val="18"/>
    </w:rPr>
  </w:style>
  <w:style w:type="paragraph" w:styleId="13">
    <w:name w:val="footer"/>
    <w:basedOn w:val="1"/>
    <w:link w:val="6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qFormat/>
    <w:uiPriority w:val="39"/>
    <w:pPr>
      <w:tabs>
        <w:tab w:val="right" w:leader="dot" w:pos="8937"/>
      </w:tabs>
      <w:spacing w:line="312" w:lineRule="auto"/>
      <w:ind w:left="420" w:leftChars="200"/>
    </w:pPr>
  </w:style>
  <w:style w:type="paragraph" w:styleId="17">
    <w:name w:val="Body Text 2"/>
    <w:basedOn w:val="1"/>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0"/>
    <w:rPr>
      <w:szCs w:val="20"/>
    </w:rPr>
  </w:style>
  <w:style w:type="paragraph" w:styleId="20">
    <w:name w:val="Title"/>
    <w:basedOn w:val="1"/>
    <w:next w:val="8"/>
    <w:qFormat/>
    <w:uiPriority w:val="10"/>
    <w:pPr>
      <w:autoSpaceDE w:val="0"/>
      <w:autoSpaceDN w:val="0"/>
      <w:jc w:val="center"/>
      <w:outlineLvl w:val="0"/>
    </w:pPr>
    <w:rPr>
      <w:rFonts w:ascii="宋体" w:hAnsi="宋体" w:cs="宋体"/>
      <w:b/>
      <w:kern w:val="0"/>
      <w:sz w:val="32"/>
      <w:szCs w:val="20"/>
      <w:lang w:eastAsia="en-US"/>
    </w:rPr>
  </w:style>
  <w:style w:type="paragraph" w:styleId="21">
    <w:name w:val="annotation subject"/>
    <w:basedOn w:val="6"/>
    <w:next w:val="6"/>
    <w:link w:val="44"/>
    <w:qFormat/>
    <w:uiPriority w:val="0"/>
    <w:rPr>
      <w:b/>
      <w:bCs/>
    </w:rPr>
  </w:style>
  <w:style w:type="paragraph" w:styleId="22">
    <w:name w:val="Body Text First Indent"/>
    <w:basedOn w:val="1"/>
    <w:qFormat/>
    <w:uiPriority w:val="0"/>
    <w:pPr>
      <w:tabs>
        <w:tab w:val="left" w:pos="567"/>
      </w:tabs>
      <w:ind w:firstLine="420" w:firstLineChars="100"/>
    </w:pPr>
  </w:style>
  <w:style w:type="paragraph" w:styleId="23">
    <w:name w:val="Body Text First Indent 2"/>
    <w:basedOn w:val="8"/>
    <w:qFormat/>
    <w:uiPriority w:val="0"/>
    <w:pPr>
      <w:spacing w:line="480" w:lineRule="exact"/>
      <w:ind w:firstLine="420" w:firstLineChars="200"/>
    </w:pPr>
    <w:rPr>
      <w:sz w:val="24"/>
      <w:szCs w:val="2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0"/>
    <w:rPr>
      <w:b/>
      <w:bCs/>
    </w:rPr>
  </w:style>
  <w:style w:type="character" w:styleId="35">
    <w:name w:val="page number"/>
    <w:basedOn w:val="33"/>
    <w:qFormat/>
    <w:uiPriority w:val="0"/>
  </w:style>
  <w:style w:type="character" w:styleId="36">
    <w:name w:val="Emphasis"/>
    <w:qFormat/>
    <w:uiPriority w:val="0"/>
    <w:rPr>
      <w:color w:val="CC0033"/>
    </w:rPr>
  </w:style>
  <w:style w:type="character" w:styleId="37">
    <w:name w:val="Hyperlink"/>
    <w:qFormat/>
    <w:uiPriority w:val="99"/>
    <w:rPr>
      <w:color w:val="0000FF"/>
      <w:u w:val="single"/>
    </w:rPr>
  </w:style>
  <w:style w:type="character" w:styleId="38">
    <w:name w:val="annotation reference"/>
    <w:basedOn w:val="33"/>
    <w:qFormat/>
    <w:uiPriority w:val="0"/>
    <w:rPr>
      <w:sz w:val="21"/>
      <w:szCs w:val="21"/>
    </w:rPr>
  </w:style>
  <w:style w:type="paragraph" w:customStyle="1" w:styleId="39">
    <w:name w:val="列出段落1"/>
    <w:basedOn w:val="1"/>
    <w:link w:val="57"/>
    <w:qFormat/>
    <w:uiPriority w:val="34"/>
    <w:pPr>
      <w:ind w:firstLine="420" w:firstLineChars="200"/>
    </w:pPr>
    <w:rPr>
      <w:rFonts w:ascii="Calibri" w:hAnsi="Calibri"/>
      <w:szCs w:val="22"/>
    </w:rPr>
  </w:style>
  <w:style w:type="paragraph" w:customStyle="1" w:styleId="40">
    <w:name w:val="Table Paragraph"/>
    <w:basedOn w:val="1"/>
    <w:qFormat/>
    <w:uiPriority w:val="1"/>
    <w:pPr>
      <w:autoSpaceDE w:val="0"/>
      <w:autoSpaceDN w:val="0"/>
      <w:jc w:val="left"/>
    </w:pPr>
    <w:rPr>
      <w:rFonts w:ascii="宋体" w:hAnsi="宋体" w:cs="宋体"/>
      <w:kern w:val="0"/>
      <w:sz w:val="22"/>
      <w:szCs w:val="22"/>
      <w:lang w:eastAsia="en-US"/>
    </w:rPr>
  </w:style>
  <w:style w:type="paragraph" w:styleId="41">
    <w:name w:val="List Paragraph"/>
    <w:basedOn w:val="1"/>
    <w:qFormat/>
    <w:uiPriority w:val="34"/>
    <w:pPr>
      <w:numPr>
        <w:ilvl w:val="0"/>
        <w:numId w:val="1"/>
      </w:numPr>
      <w:spacing w:line="360" w:lineRule="auto"/>
      <w:jc w:val="left"/>
    </w:pPr>
    <w:rPr>
      <w:rFonts w:ascii="宋体"/>
      <w:sz w:val="24"/>
    </w:rPr>
  </w:style>
  <w:style w:type="character" w:customStyle="1" w:styleId="42">
    <w:name w:val="批注框文本 Char"/>
    <w:basedOn w:val="33"/>
    <w:link w:val="12"/>
    <w:qFormat/>
    <w:uiPriority w:val="0"/>
    <w:rPr>
      <w:rFonts w:ascii="Times New Roman" w:hAnsi="Times New Roman" w:eastAsia="宋体" w:cs="Times New Roman"/>
      <w:kern w:val="2"/>
      <w:sz w:val="18"/>
      <w:szCs w:val="18"/>
    </w:rPr>
  </w:style>
  <w:style w:type="character" w:customStyle="1" w:styleId="43">
    <w:name w:val="批注文字 Char"/>
    <w:basedOn w:val="33"/>
    <w:link w:val="6"/>
    <w:qFormat/>
    <w:uiPriority w:val="0"/>
    <w:rPr>
      <w:rFonts w:ascii="Times New Roman" w:hAnsi="Times New Roman" w:eastAsia="宋体" w:cs="Times New Roman"/>
      <w:kern w:val="2"/>
      <w:sz w:val="21"/>
      <w:szCs w:val="24"/>
    </w:rPr>
  </w:style>
  <w:style w:type="character" w:customStyle="1" w:styleId="44">
    <w:name w:val="批注主题 Char"/>
    <w:basedOn w:val="43"/>
    <w:link w:val="21"/>
    <w:qFormat/>
    <w:uiPriority w:val="0"/>
    <w:rPr>
      <w:rFonts w:ascii="Times New Roman" w:hAnsi="Times New Roman" w:eastAsia="宋体" w:cs="Times New Roman"/>
      <w:b/>
      <w:bCs/>
      <w:kern w:val="2"/>
      <w:sz w:val="21"/>
      <w:szCs w:val="24"/>
    </w:rPr>
  </w:style>
  <w:style w:type="character" w:customStyle="1" w:styleId="45">
    <w:name w:val="标题 2 Char"/>
    <w:basedOn w:val="33"/>
    <w:link w:val="3"/>
    <w:qFormat/>
    <w:uiPriority w:val="0"/>
    <w:rPr>
      <w:rFonts w:ascii="Arial" w:hAnsi="Arial" w:eastAsia="黑体" w:cs="Times New Roman"/>
      <w:b/>
      <w:sz w:val="30"/>
    </w:rPr>
  </w:style>
  <w:style w:type="character" w:customStyle="1" w:styleId="46">
    <w:name w:val="标题 3 Char"/>
    <w:basedOn w:val="33"/>
    <w:link w:val="4"/>
    <w:qFormat/>
    <w:uiPriority w:val="0"/>
    <w:rPr>
      <w:rFonts w:ascii="宋体" w:hAnsi="宋体" w:cs="Arial"/>
      <w:b/>
      <w:position w:val="20"/>
      <w:sz w:val="24"/>
      <w:szCs w:val="24"/>
    </w:rPr>
  </w:style>
  <w:style w:type="paragraph" w:customStyle="1" w:styleId="47">
    <w:name w:val="Table Text"/>
    <w:basedOn w:val="1"/>
    <w:qFormat/>
    <w:uiPriority w:val="0"/>
    <w:pPr>
      <w:jc w:val="left"/>
    </w:pPr>
    <w:rPr>
      <w:rFonts w:ascii="Arial" w:hAnsi="Arial" w:eastAsia="Arial" w:cs="Arial"/>
      <w:szCs w:val="21"/>
      <w:lang w:eastAsia="en-US"/>
    </w:rPr>
  </w:style>
  <w:style w:type="paragraph" w:customStyle="1" w:styleId="48">
    <w:name w:val="修订1"/>
    <w:qFormat/>
    <w:uiPriority w:val="99"/>
    <w:rPr>
      <w:rFonts w:ascii="Times New Roman" w:hAnsi="Times New Roman" w:eastAsia="宋体" w:cs="Times New Roman"/>
      <w:kern w:val="2"/>
      <w:sz w:val="21"/>
      <w:szCs w:val="24"/>
      <w:lang w:val="en-US" w:eastAsia="zh-CN" w:bidi="ar-SA"/>
    </w:rPr>
  </w:style>
  <w:style w:type="paragraph" w:customStyle="1" w:styleId="49">
    <w:name w:val="正文3"/>
    <w:qFormat/>
    <w:uiPriority w:val="99"/>
    <w:pPr>
      <w:jc w:val="both"/>
    </w:pPr>
    <w:rPr>
      <w:rFonts w:ascii="Calibri" w:hAnsi="Calibri" w:eastAsia="宋体" w:cs="Calibri"/>
      <w:kern w:val="2"/>
      <w:sz w:val="21"/>
      <w:szCs w:val="21"/>
      <w:lang w:val="en-US" w:eastAsia="zh-CN" w:bidi="ar-SA"/>
    </w:rPr>
  </w:style>
  <w:style w:type="table" w:customStyle="1" w:styleId="50">
    <w:name w:val="Table Normal"/>
    <w:qFormat/>
    <w:uiPriority w:val="0"/>
    <w:tblPr>
      <w:tblCellMar>
        <w:top w:w="0" w:type="dxa"/>
        <w:left w:w="0" w:type="dxa"/>
        <w:bottom w:w="0" w:type="dxa"/>
        <w:right w:w="0" w:type="dxa"/>
      </w:tblCellMar>
    </w:tblPr>
  </w:style>
  <w:style w:type="paragraph" w:customStyle="1" w:styleId="51">
    <w:name w:val="列出段落11"/>
    <w:basedOn w:val="1"/>
    <w:qFormat/>
    <w:uiPriority w:val="0"/>
    <w:pPr>
      <w:ind w:firstLine="420" w:firstLineChars="200"/>
    </w:pPr>
    <w:rPr>
      <w:rFonts w:ascii="Calibri" w:hAnsi="Calibri"/>
      <w:szCs w:val="22"/>
    </w:rPr>
  </w:style>
  <w:style w:type="paragraph" w:customStyle="1" w:styleId="52">
    <w:name w:val="!正文"/>
    <w:basedOn w:val="1"/>
    <w:qFormat/>
    <w:uiPriority w:val="0"/>
    <w:pPr>
      <w:spacing w:after="120" w:line="360" w:lineRule="auto"/>
      <w:ind w:left="420" w:leftChars="200" w:firstLine="643" w:firstLineChars="200"/>
      <w:jc w:val="center"/>
    </w:pPr>
    <w:rPr>
      <w:rFonts w:cs="宋体"/>
      <w:b/>
      <w:bCs/>
      <w:sz w:val="32"/>
      <w:szCs w:val="32"/>
    </w:rPr>
  </w:style>
  <w:style w:type="paragraph" w:customStyle="1" w:styleId="53">
    <w:name w:val="*正文"/>
    <w:basedOn w:val="1"/>
    <w:qFormat/>
    <w:uiPriority w:val="0"/>
    <w:pPr>
      <w:spacing w:line="300" w:lineRule="auto"/>
      <w:ind w:firstLine="480"/>
      <w:jc w:val="center"/>
    </w:pPr>
    <w:rPr>
      <w:rFonts w:ascii="宋体" w:hAnsi="宋体"/>
      <w:b/>
      <w:bCs/>
      <w:sz w:val="34"/>
      <w:szCs w:val="34"/>
    </w:rPr>
  </w:style>
  <w:style w:type="paragraph" w:customStyle="1" w:styleId="54">
    <w:name w:val="修订2"/>
    <w:qFormat/>
    <w:uiPriority w:val="99"/>
    <w:rPr>
      <w:rFonts w:ascii="Times New Roman" w:hAnsi="Times New Roman" w:eastAsia="宋体" w:cs="Times New Roman"/>
      <w:kern w:val="2"/>
      <w:sz w:val="21"/>
      <w:szCs w:val="24"/>
      <w:lang w:val="en-US" w:eastAsia="zh-CN" w:bidi="ar-SA"/>
    </w:rPr>
  </w:style>
  <w:style w:type="paragraph" w:customStyle="1" w:styleId="55">
    <w:name w:val="修订3"/>
    <w:qFormat/>
    <w:uiPriority w:val="99"/>
    <w:rPr>
      <w:rFonts w:ascii="Times New Roman" w:hAnsi="Times New Roman" w:eastAsia="宋体" w:cs="Times New Roman"/>
      <w:kern w:val="2"/>
      <w:sz w:val="21"/>
      <w:szCs w:val="24"/>
      <w:lang w:val="en-US" w:eastAsia="zh-CN" w:bidi="ar-SA"/>
    </w:rPr>
  </w:style>
  <w:style w:type="character" w:customStyle="1" w:styleId="56">
    <w:name w:val="正文文本 Char"/>
    <w:basedOn w:val="33"/>
    <w:link w:val="7"/>
    <w:qFormat/>
    <w:uiPriority w:val="0"/>
    <w:rPr>
      <w:rFonts w:ascii="宋体" w:hAnsi="宋体"/>
      <w:kern w:val="2"/>
      <w:sz w:val="24"/>
      <w:szCs w:val="24"/>
    </w:rPr>
  </w:style>
  <w:style w:type="character" w:customStyle="1" w:styleId="57">
    <w:name w:val="列表段落 字符"/>
    <w:link w:val="39"/>
    <w:qFormat/>
    <w:uiPriority w:val="34"/>
    <w:rPr>
      <w:rFonts w:ascii="Calibri" w:hAnsi="Calibri"/>
      <w:kern w:val="2"/>
      <w:sz w:val="21"/>
      <w:szCs w:val="22"/>
    </w:rPr>
  </w:style>
  <w:style w:type="paragraph" w:customStyle="1" w:styleId="58">
    <w:name w:val="章前标题"/>
    <w:next w:val="1"/>
    <w:qFormat/>
    <w:uiPriority w:val="0"/>
    <w:pPr>
      <w:widowControl w:val="0"/>
      <w:spacing w:before="240" w:after="240" w:line="360" w:lineRule="auto"/>
      <w:jc w:val="center"/>
    </w:pPr>
    <w:rPr>
      <w:rFonts w:ascii="黑体" w:hAnsi="黑体" w:eastAsia="黑体" w:cs="黑体"/>
      <w:kern w:val="44"/>
      <w:sz w:val="30"/>
      <w:szCs w:val="36"/>
      <w:lang w:val="en-US" w:eastAsia="zh-CN" w:bidi="ar-SA"/>
    </w:rPr>
  </w:style>
  <w:style w:type="paragraph" w:customStyle="1" w:styleId="59">
    <w:name w:val="强调标题"/>
    <w:next w:val="1"/>
    <w:qFormat/>
    <w:uiPriority w:val="0"/>
    <w:pPr>
      <w:spacing w:before="240" w:after="120" w:line="360" w:lineRule="auto"/>
      <w:ind w:firstLine="600" w:firstLineChars="200"/>
      <w:outlineLvl w:val="0"/>
    </w:pPr>
    <w:rPr>
      <w:rFonts w:ascii="Times New Roman" w:hAnsi="Times New Roman" w:eastAsia="宋体" w:cs="Times New Roman"/>
      <w:b/>
      <w:sz w:val="24"/>
      <w:lang w:val="en-US" w:eastAsia="zh-CN" w:bidi="ar-SA"/>
    </w:rPr>
  </w:style>
  <w:style w:type="paragraph" w:customStyle="1" w:styleId="60">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sz w:val="24"/>
      <w:szCs w:val="30"/>
      <w:lang w:val="en-US" w:eastAsia="zh-CN" w:bidi="ar-SA"/>
    </w:rPr>
  </w:style>
  <w:style w:type="paragraph" w:customStyle="1" w:styleId="61">
    <w:name w:val="附录标题"/>
    <w:next w:val="1"/>
    <w:qFormat/>
    <w:uiPriority w:val="0"/>
    <w:pPr>
      <w:widowControl w:val="0"/>
      <w:spacing w:before="240" w:after="120" w:line="360" w:lineRule="auto"/>
      <w:outlineLvl w:val="0"/>
    </w:pPr>
    <w:rPr>
      <w:rFonts w:ascii="Times New Roman" w:hAnsi="Times New Roman" w:eastAsia="宋体" w:cs="Times New Roman"/>
      <w:b/>
      <w:sz w:val="24"/>
      <w:lang w:val="en-US" w:eastAsia="zh-CN" w:bidi="ar-SA"/>
    </w:rPr>
  </w:style>
  <w:style w:type="character" w:customStyle="1" w:styleId="62">
    <w:name w:val="强调说明"/>
    <w:qFormat/>
    <w:uiPriority w:val="0"/>
    <w:rPr>
      <w:rFonts w:ascii="Calibri" w:hAnsi="Calibri" w:eastAsia="宋体"/>
      <w:b/>
      <w:sz w:val="24"/>
    </w:rPr>
  </w:style>
  <w:style w:type="character" w:customStyle="1" w:styleId="63">
    <w:name w:val="页脚 Char"/>
    <w:basedOn w:val="33"/>
    <w:link w:val="13"/>
    <w:qFormat/>
    <w:uiPriority w:val="99"/>
    <w:rPr>
      <w:rFonts w:ascii="宋体"/>
      <w:sz w:val="18"/>
    </w:rPr>
  </w:style>
  <w:style w:type="paragraph" w:customStyle="1" w:styleId="64">
    <w:name w:val="修订4"/>
    <w:qFormat/>
    <w:uiPriority w:val="99"/>
    <w:rPr>
      <w:rFonts w:ascii="Times New Roman" w:hAnsi="Times New Roman" w:eastAsia="宋体" w:cs="Times New Roman"/>
      <w:kern w:val="2"/>
      <w:sz w:val="21"/>
      <w:szCs w:val="24"/>
      <w:lang w:val="en-US" w:eastAsia="zh-CN" w:bidi="ar-SA"/>
    </w:rPr>
  </w:style>
  <w:style w:type="character" w:customStyle="1" w:styleId="65">
    <w:name w:val="未处理的提及1"/>
    <w:basedOn w:val="33"/>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5AB5E-2CA4-4CD5-8CCC-82CE6B29739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106</Pages>
  <Words>15903</Words>
  <Characters>16928</Characters>
  <Lines>57</Lines>
  <Paragraphs>115</Paragraphs>
  <TotalTime>20</TotalTime>
  <ScaleCrop>false</ScaleCrop>
  <LinksUpToDate>false</LinksUpToDate>
  <CharactersWithSpaces>17181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2026-02-08T15:54:00Z</dcterms:created>
  <dc:creator>nuc</dc:creator>
  <cp:lastModifiedBy>WYJ</cp:lastModifiedBy>
  <dcterms:modified xsi:type="dcterms:W3CDTF">2026-03-13T07:49:27Z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0d3f44a972704bcb8964494817662d40_23</vt:lpwstr>
  </property>
  <property fmtid="{D5CDD505-2E9C-101B-9397-08002B2CF9AE}" pid="4" name="KSOTemplateDocerSaveRecord">
    <vt:lpwstr>eyJoZGlkIjoiMDEwZGE1MDQxZjI0MTBlMTY3ZGU0MzI3NzJmNmRmOTQiLCJ1c2VySWQiOiIzNTg1NDA2OTQifQ==</vt:lpwstr>
  </property>
</Properties>
</file>