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74E5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 w14:paraId="0B3C3A47"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BJJQ-2025-166</w:t>
      </w:r>
    </w:p>
    <w:p w14:paraId="0954031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军休干部待遇经费（中央资金）体检服务采购项目</w:t>
      </w:r>
    </w:p>
    <w:p w14:paraId="77077A3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74E7BF21"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更正事项：√采购公告√采购文件□采购结果</w:t>
      </w:r>
    </w:p>
    <w:p w14:paraId="1355C6C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7A10AC0E">
      <w:pPr>
        <w:spacing w:line="360" w:lineRule="auto"/>
        <w:ind w:firstLine="472" w:firstLineChars="197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</w:rPr>
        <w:t>1.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原招标文件中</w:t>
      </w:r>
      <w:r>
        <w:rPr>
          <w:rFonts w:hint="default" w:ascii="Times New Roman" w:hAnsi="Times New Roman" w:eastAsia="宋体" w:cs="Times New Roman"/>
          <w:sz w:val="24"/>
        </w:rPr>
        <w:t>第五章 采购需求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中体检方案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变更为：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0"/>
        <w:gridCol w:w="1729"/>
        <w:gridCol w:w="740"/>
        <w:gridCol w:w="1976"/>
        <w:gridCol w:w="2223"/>
      </w:tblGrid>
      <w:tr w14:paraId="54B2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2" w:type="pct"/>
            <w:shd w:val="clear" w:color="auto" w:fill="auto"/>
            <w:vAlign w:val="center"/>
          </w:tcPr>
          <w:p w14:paraId="35931DE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AA4C8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1E270D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体 检 项 目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23BDF0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732ED7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女性（含妇科检查）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573611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女性（不含妇科检查）</w:t>
            </w:r>
          </w:p>
        </w:tc>
      </w:tr>
      <w:tr w14:paraId="4EA5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restart"/>
            <w:shd w:val="clear" w:color="000000" w:fill="FFFFFF"/>
            <w:vAlign w:val="center"/>
          </w:tcPr>
          <w:p w14:paraId="3B2A2D3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临床检查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13B3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EB428B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一般情况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47E19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125527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710BF1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9AB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0B9A270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865FC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B8FD71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内科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1EF98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FC52E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722C7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B88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7A569BD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6808E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F2695D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外科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807AA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5A316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5EEE0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0BA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5BA8FF9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9C33D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711AEE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肛门指诊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19DD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D45B7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33889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BE9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60FD3D43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0AD62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B554C1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眼科裂隙灯检查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A4F4D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18AC37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7B639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38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204F10D1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C0E5A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CE7E3E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耳鼻喉科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1DAB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45012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AE39B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579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4CFCF97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19721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F8F3F0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眼科常规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18EC1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3FF1A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5B611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044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098D567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11FD2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2CC9F9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非接触眼压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84CD2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BBD78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326BF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B24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0E6E14A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化验检查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15497F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868FC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肝功11项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90DC3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03EC5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B56FA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5D5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24A8DF4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47B77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5E2C67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肾功3项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99A2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A2802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8BD16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6F8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6CD3457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A7ABB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28926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血脂4项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BB150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973C0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C6492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685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5C198D9C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009A7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7C95D1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空腹血糖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FB9C1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9802F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FD219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278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43479BE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84B9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FFABD9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糖化血红蛋白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36920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74A66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26E4A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D85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74F944D7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8999F1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A52255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碳13尿素呼气试验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75980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C85EC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9C08E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D0F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40F6AE3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F8F0C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9CE714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血常规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411E0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63CA6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433D0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031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28F7E95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42036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DCDE61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尿常规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0B89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9F608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8FB57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84F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68EF753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2BF24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FF1780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粪便常规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828CE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AA73F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3FD64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7B6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4F9402F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19A07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459E33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粪便隐血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3C12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3044E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B116A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6CC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61F873E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718864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141BD2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C男性/女性肿瘤12项-甲胎蛋白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B8F3E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DD8F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7DB8E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39B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2627BA7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73BC4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ECF52D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癌胚抗原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01B99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ADD85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910DB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944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5A7F7F73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927B8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A3E1A2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游离前列腺特异性抗原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0304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22112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0A1DC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8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4D8125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2E383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D8560F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前列腺特异性抗原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7A102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2792B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1B832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2A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621A69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7A1E80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0BB3F4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癌抗原72-4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C42D5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F975C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D1E37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153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2F8ED5A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59B95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CF2BD3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细胞角蛋白19片段(cyfra21-1)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8D9F4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3BA06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2CB1B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BB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007B5852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3E290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2AB5B2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癌抗原19-9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A40C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82558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37192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927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B53D81C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C5B21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877F5A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癌抗原125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9AA2A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03E6C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369BC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759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32C7D61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2A99B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3CFEA1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癌抗原50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C71A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352AC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6F7F2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894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345E64A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D729B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42D070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EB病毒衣壳抗原IgA抗体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27A4D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8C5DC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C8121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670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0E6DE9AF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B09A2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9CF10E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神经元特异性烯醇化酶)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D3E6E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7FF13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C84C3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232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7E218203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43726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8BF399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癌抗原15-3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8DCBB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1EA67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43D092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8AC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261750D4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2DDD9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9F0198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癌抗原242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1FABD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D1854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8A88A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82A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2EDCB095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B3B5E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EB2DD0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人绒毛膜促性腺激素β亚单位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F8177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E7A1F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10660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A23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6354887A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3967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4AC6E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甲状腺功能三项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92138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E1C3A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76F357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154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234B49C6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28542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14:paraId="27656EA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同型半胱氨酸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8222F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5C486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139C3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7F54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7C14D5B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F37A2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14:paraId="13617B1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微量元素五项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6B2CB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0D4D6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D40EA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291F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29BB175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物理检查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0AB7F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11062B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心电图检查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645A8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C76C3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B6C8E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ABD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3B48754B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BB54C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A758D4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胸部低剂量螺旋CT（包含两张CT片子）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AC162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A9B71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0795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E7E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2" w:type="pct"/>
            <w:vMerge w:val="continue"/>
            <w:vAlign w:val="center"/>
          </w:tcPr>
          <w:p w14:paraId="43DF080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180BB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437835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腹部彩超(肝、胆、脾、胰)（男）/腹部彩超(肝、胆、脾、胰、双肾)（女）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695BC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23C30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061FCA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763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F31BB8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8FD3D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8E926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前列腺彩超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9FFCA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0BD7B5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FE681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9A8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3DC26BF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AC660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FE6E9A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甲状腺彩色超声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3E213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D03F7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108BD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BF9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664ACC77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6034DA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1014" w:type="pct"/>
            <w:shd w:val="clear" w:color="000000" w:fill="FFFFFF"/>
            <w:vAlign w:val="center"/>
          </w:tcPr>
          <w:p w14:paraId="45F0A47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颈动脉彩色超声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58BA5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EABC0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5B8FCC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017F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31591E40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A226D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4704CA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乳腺彩色超声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523CE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71EEE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40042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2FF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6356970B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5648E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5EACA1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经阴道子宫、附件彩超（彩色阴超）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1F2A29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二选一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85084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F55E8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89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5447AB1E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6F8D1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8661D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经腹部子宫、附件彩超（憋尿彩超）</w:t>
            </w:r>
          </w:p>
        </w:tc>
        <w:tc>
          <w:tcPr>
            <w:tcW w:w="434" w:type="pct"/>
            <w:vMerge w:val="continue"/>
            <w:vAlign w:val="center"/>
          </w:tcPr>
          <w:p w14:paraId="00B5C51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16CA4E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9CF57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631F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pct"/>
            <w:vMerge w:val="continue"/>
            <w:vAlign w:val="center"/>
          </w:tcPr>
          <w:p w14:paraId="46E9D718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61938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95576B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TCT宫颈液基细胞检查（已婚女）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3C797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FAC03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244DF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 w14:paraId="620F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7A29F22B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39019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2F174C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动脉硬化检测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5AC4A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1FE635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1ED070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46F9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1D522F36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55E03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F95CBD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中医经络检查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571B9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7C8754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21EFF1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1AC9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0DC00C43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E7580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01F275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骨密度检测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06B92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168F9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0CF7A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5E2C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64DA213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B73E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EFF061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静脉采血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C9A59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37DBB2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6DDADF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14:paraId="3769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2" w:type="pct"/>
            <w:vMerge w:val="continue"/>
            <w:vAlign w:val="center"/>
          </w:tcPr>
          <w:p w14:paraId="6A020A1C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5379C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/>
              </w:rPr>
              <w:t>50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96ACAB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免费早餐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92BAC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622AD7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304" w:type="pct"/>
            <w:shd w:val="clear" w:color="auto" w:fill="auto"/>
            <w:noWrap/>
            <w:vAlign w:val="center"/>
          </w:tcPr>
          <w:p w14:paraId="340A3D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14:paraId="79335C8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原招标文件中</w:t>
      </w:r>
      <w:r>
        <w:rPr>
          <w:rFonts w:hint="default" w:ascii="Times New Roman" w:hAnsi="Times New Roman" w:eastAsia="宋体" w:cs="Times New Roman"/>
          <w:sz w:val="24"/>
        </w:rPr>
        <w:t>第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4"/>
        </w:rPr>
        <w:t>章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评分标准变更为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88"/>
        <w:gridCol w:w="941"/>
        <w:gridCol w:w="643"/>
        <w:gridCol w:w="5582"/>
      </w:tblGrid>
      <w:tr w14:paraId="257B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noWrap w:val="0"/>
            <w:vAlign w:val="center"/>
          </w:tcPr>
          <w:p w14:paraId="3BF8E76D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7F084A3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评分因素</w:t>
            </w:r>
          </w:p>
        </w:tc>
        <w:tc>
          <w:tcPr>
            <w:tcW w:w="8373" w:type="dxa"/>
            <w:gridSpan w:val="3"/>
            <w:noWrap w:val="0"/>
            <w:vAlign w:val="center"/>
          </w:tcPr>
          <w:p w14:paraId="5BB19A68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评价指标及分值</w:t>
            </w:r>
          </w:p>
        </w:tc>
      </w:tr>
      <w:tr w14:paraId="184C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restart"/>
            <w:noWrap w:val="0"/>
            <w:vAlign w:val="center"/>
          </w:tcPr>
          <w:p w14:paraId="198C4A5E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 w14:paraId="3729A92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商务部分（1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分）</w:t>
            </w:r>
          </w:p>
        </w:tc>
        <w:tc>
          <w:tcPr>
            <w:tcW w:w="1055" w:type="dxa"/>
            <w:noWrap w:val="0"/>
            <w:vAlign w:val="center"/>
          </w:tcPr>
          <w:p w14:paraId="72FC8B3F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业绩及经验</w:t>
            </w:r>
          </w:p>
        </w:tc>
        <w:tc>
          <w:tcPr>
            <w:tcW w:w="691" w:type="dxa"/>
            <w:noWrap w:val="0"/>
            <w:vAlign w:val="center"/>
          </w:tcPr>
          <w:p w14:paraId="0AFA173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16CD0307">
            <w:pPr>
              <w:adjustRightInd w:val="0"/>
              <w:snapToGrid w:val="0"/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自20</w:t>
            </w: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年1月1日起做过的类似项目业绩，每提供一份得</w:t>
            </w: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分，满分</w:t>
            </w: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分；至少须提供合同首页、金额清单页、双方签字盖章页并加盖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公章，否则不得分。 </w:t>
            </w:r>
          </w:p>
        </w:tc>
      </w:tr>
      <w:tr w14:paraId="4A56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5ADE804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65519E6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4DF99DC5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单位实力</w:t>
            </w:r>
          </w:p>
        </w:tc>
        <w:tc>
          <w:tcPr>
            <w:tcW w:w="691" w:type="dxa"/>
            <w:noWrap w:val="0"/>
            <w:vAlign w:val="center"/>
          </w:tcPr>
          <w:p w14:paraId="4AE0701F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2分</w:t>
            </w:r>
          </w:p>
        </w:tc>
        <w:tc>
          <w:tcPr>
            <w:tcW w:w="6627" w:type="dxa"/>
            <w:noWrap w:val="0"/>
            <w:vAlign w:val="center"/>
          </w:tcPr>
          <w:p w14:paraId="720FB90A">
            <w:pPr>
              <w:widowControl/>
              <w:snapToGrid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</w:rPr>
              <w:t>提供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任一</w:t>
            </w:r>
            <w:r>
              <w:rPr>
                <w:rFonts w:hint="default" w:ascii="Times New Roman" w:hAnsi="Times New Roman" w:eastAsia="宋体" w:cs="Times New Roman"/>
              </w:rPr>
              <w:t>体检相关项目符合国家卫生健康委员会的室间质评证书，得2分；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提供复印件并加盖投标人公章。</w:t>
            </w:r>
          </w:p>
        </w:tc>
      </w:tr>
      <w:tr w14:paraId="7BAC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restart"/>
            <w:noWrap w:val="0"/>
            <w:vAlign w:val="center"/>
          </w:tcPr>
          <w:p w14:paraId="0D371A7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 w14:paraId="2A1381B4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技术部分（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分）</w:t>
            </w:r>
          </w:p>
        </w:tc>
        <w:tc>
          <w:tcPr>
            <w:tcW w:w="1055" w:type="dxa"/>
            <w:noWrap w:val="0"/>
            <w:vAlign w:val="center"/>
          </w:tcPr>
          <w:p w14:paraId="4AA20DA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场地面积</w:t>
            </w:r>
          </w:p>
        </w:tc>
        <w:tc>
          <w:tcPr>
            <w:tcW w:w="691" w:type="dxa"/>
            <w:noWrap w:val="0"/>
            <w:vAlign w:val="center"/>
          </w:tcPr>
          <w:p w14:paraId="4FFBEEA7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6分</w:t>
            </w:r>
          </w:p>
        </w:tc>
        <w:tc>
          <w:tcPr>
            <w:tcW w:w="6627" w:type="dxa"/>
            <w:noWrap w:val="0"/>
            <w:vAlign w:val="center"/>
          </w:tcPr>
          <w:p w14:paraId="04A7F893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为本项目拟提供各体检场所可使用面积达到3000平米及以上的，得6分；</w:t>
            </w:r>
          </w:p>
          <w:p w14:paraId="2D686DB8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为本项目拟提供各体检场所可使用面积达到2500（含）-3000平米的，得4分；</w:t>
            </w:r>
          </w:p>
          <w:p w14:paraId="5410F217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为本项目拟提供各体检场所可使用面积不足2500平米的，得2分；</w:t>
            </w:r>
          </w:p>
          <w:p w14:paraId="01938CB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须在响应文件中提供租房合同（或购房合同）等能够证明面积材料的复印件及现场照片并加盖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公章，否则不得分。 </w:t>
            </w:r>
          </w:p>
        </w:tc>
      </w:tr>
      <w:tr w14:paraId="1D36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3740D4B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009631C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23588637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体检仪器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设备情况</w:t>
            </w:r>
          </w:p>
        </w:tc>
        <w:tc>
          <w:tcPr>
            <w:tcW w:w="691" w:type="dxa"/>
            <w:noWrap w:val="0"/>
            <w:vAlign w:val="center"/>
          </w:tcPr>
          <w:p w14:paraId="3F020C0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186C2A22">
            <w:pPr>
              <w:widowControl/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根据本次体检所投入使用的医疗仪器设备配备实际情况进行评价。</w:t>
            </w:r>
          </w:p>
          <w:p w14:paraId="3CD4EFCA">
            <w:pPr>
              <w:widowControl/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设备先进、完善、精准，完全符合国家标准和质量规范要求得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分；</w:t>
            </w:r>
          </w:p>
          <w:p w14:paraId="1034E60A">
            <w:pPr>
              <w:widowControl/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设备较先进、较完善、完较精准，能够符合国家标准和质量规范要求得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分；</w:t>
            </w:r>
          </w:p>
          <w:p w14:paraId="3A134C97">
            <w:pPr>
              <w:widowControl/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设备一般，可以符合国家标准和质量规范要求得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分；</w:t>
            </w:r>
          </w:p>
          <w:p w14:paraId="5AC4842C">
            <w:pPr>
              <w:widowControl/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质量、标准等欠缺或未提供不得分。</w:t>
            </w:r>
          </w:p>
          <w:p w14:paraId="484BF0F1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（注：须提供检测报告复印件，所有医疗仪器的采购或租赁协议等证明材料复印件并加盖公章）</w:t>
            </w:r>
          </w:p>
        </w:tc>
      </w:tr>
      <w:tr w14:paraId="58EB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2282A43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26A2BDC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 w14:paraId="53AF68C5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出行服务方案</w:t>
            </w:r>
          </w:p>
        </w:tc>
        <w:tc>
          <w:tcPr>
            <w:tcW w:w="691" w:type="dxa"/>
            <w:noWrap w:val="0"/>
            <w:vAlign w:val="center"/>
          </w:tcPr>
          <w:p w14:paraId="282068C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4B58F0EE"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承诺提供接送车辆，并提供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车辆信息、驾驶员信息、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车辆行驶证的得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分；</w:t>
            </w:r>
          </w:p>
          <w:p w14:paraId="26ADA70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承诺提供接送车辆，并提供车辆行驶证的得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分；</w:t>
            </w:r>
          </w:p>
          <w:p w14:paraId="7188C6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承诺提供接送车辆的得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分；</w:t>
            </w:r>
          </w:p>
          <w:p w14:paraId="446A301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未提供承诺的不得分。</w:t>
            </w:r>
          </w:p>
        </w:tc>
      </w:tr>
      <w:tr w14:paraId="14A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477" w:type="dxa"/>
            <w:vMerge w:val="continue"/>
            <w:noWrap w:val="0"/>
            <w:vAlign w:val="center"/>
          </w:tcPr>
          <w:p w14:paraId="150F261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79B8B3BE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 w14:paraId="6B8355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1" w:type="dxa"/>
            <w:noWrap w:val="0"/>
            <w:vAlign w:val="center"/>
          </w:tcPr>
          <w:p w14:paraId="63B828D5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2分</w:t>
            </w:r>
          </w:p>
        </w:tc>
        <w:tc>
          <w:tcPr>
            <w:tcW w:w="6627" w:type="dxa"/>
            <w:noWrap w:val="0"/>
            <w:vAlign w:val="center"/>
          </w:tcPr>
          <w:p w14:paraId="0ACFB7D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每辆车可以配备随车医生的，得2分。（提供随车医生信息及相关证件复印件并加盖公章）</w:t>
            </w:r>
          </w:p>
        </w:tc>
      </w:tr>
      <w:tr w14:paraId="5416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5B5A663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6ACEFD51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8CAD5D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人员配备</w:t>
            </w:r>
          </w:p>
        </w:tc>
        <w:tc>
          <w:tcPr>
            <w:tcW w:w="691" w:type="dxa"/>
            <w:noWrap w:val="0"/>
            <w:vAlign w:val="center"/>
          </w:tcPr>
          <w:p w14:paraId="69E6F8A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2CA1CCA7"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拟投入本项目人员（包含并不限于现场医务、咨询人员等）配备充足，配置合理，医务人员专业水平高，个人素质高，得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分； </w:t>
            </w:r>
          </w:p>
          <w:p w14:paraId="3E127BBB"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拟投入本项目人员（包含并不限于现场医务、咨询人员等）配备一般，配置合理，医务人员专业水平较高，个人素质较高，得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分； </w:t>
            </w:r>
          </w:p>
          <w:p w14:paraId="1EB9F2CA"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拟投入本项目人员（包含并不限于现场医务、咨询人员等）配备一般，配置一般，医务人员专业水平一般，个人素质一般，得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分； </w:t>
            </w:r>
          </w:p>
          <w:p w14:paraId="726219F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未提供不得分。</w:t>
            </w:r>
          </w:p>
          <w:p w14:paraId="75025935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需提供医务人员的身份证、执业证等证明材料，并加盖投标人公章</w:t>
            </w:r>
            <w:r>
              <w:rPr>
                <w:rFonts w:hint="eastAsia" w:cs="Times New Roman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 w14:paraId="18AA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35279C9B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73B7C31B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55DABD5A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体检服务</w:t>
            </w:r>
          </w:p>
        </w:tc>
        <w:tc>
          <w:tcPr>
            <w:tcW w:w="691" w:type="dxa"/>
            <w:noWrap w:val="0"/>
            <w:vAlign w:val="center"/>
          </w:tcPr>
          <w:p w14:paraId="2E48F5D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1BC3EE15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拟提供的体检服务方案完善细致、流程合理得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3CB68D0B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拟提供的体检服务方案较完善细致、流程较合理得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3332F69E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拟提供的体检服务方案一般、流程简洁得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2F0A8B5B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拟提供的体检服务方案不够完善、流程粗略得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分。</w:t>
            </w:r>
          </w:p>
        </w:tc>
      </w:tr>
      <w:tr w14:paraId="4CCB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3EE1343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7625372F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AC8A1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中医经络检查</w:t>
            </w:r>
          </w:p>
        </w:tc>
        <w:tc>
          <w:tcPr>
            <w:tcW w:w="691" w:type="dxa"/>
            <w:noWrap w:val="0"/>
            <w:vAlign w:val="center"/>
          </w:tcPr>
          <w:p w14:paraId="6376D2D3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6分</w:t>
            </w:r>
          </w:p>
        </w:tc>
        <w:tc>
          <w:tcPr>
            <w:tcW w:w="6627" w:type="dxa"/>
            <w:noWrap w:val="0"/>
            <w:vAlign w:val="center"/>
          </w:tcPr>
          <w:p w14:paraId="756F0ECD">
            <w:pPr>
              <w:spacing w:before="48" w:beforeLines="20" w:after="48" w:afterLines="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针对体检项中的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中医经络检查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提供专属服务方案。</w:t>
            </w:r>
          </w:p>
          <w:p w14:paraId="1074902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中医经络检查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服务方案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内容丰富，考虑周到，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完善细致得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4F1CD7B1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中医经络检查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服务方案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内容简略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但考虑合理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得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4040F344">
            <w:pPr>
              <w:spacing w:before="48" w:beforeLines="20" w:after="48" w:afterLines="2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拟提供的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中医经络检查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服务方案不够完善、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考虑不周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得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；</w:t>
            </w:r>
          </w:p>
          <w:p w14:paraId="1D8F215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未提供不得分。</w:t>
            </w:r>
          </w:p>
        </w:tc>
      </w:tr>
      <w:tr w14:paraId="3DA5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5C0D2C9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17B84794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 w14:paraId="58467BFD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应急预案</w:t>
            </w:r>
          </w:p>
        </w:tc>
        <w:tc>
          <w:tcPr>
            <w:tcW w:w="691" w:type="dxa"/>
            <w:noWrap w:val="0"/>
            <w:vAlign w:val="center"/>
          </w:tcPr>
          <w:p w14:paraId="63AE65E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8分</w:t>
            </w:r>
          </w:p>
        </w:tc>
        <w:tc>
          <w:tcPr>
            <w:tcW w:w="6627" w:type="dxa"/>
            <w:noWrap w:val="0"/>
            <w:vAlign w:val="center"/>
          </w:tcPr>
          <w:p w14:paraId="6AA05788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体检过程中出现设备故障应急方案。</w:t>
            </w:r>
          </w:p>
          <w:p w14:paraId="774ABF7C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方案完善细致、可行性强的，得8分； </w:t>
            </w:r>
          </w:p>
          <w:p w14:paraId="4E69961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方案完善，可行性较强的，得6分； </w:t>
            </w:r>
          </w:p>
          <w:p w14:paraId="5B75B38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方案不完善，可行性一般的，得4分；</w:t>
            </w:r>
          </w:p>
          <w:p w14:paraId="418BE15C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方案粗略，无可行性得2分；</w:t>
            </w:r>
          </w:p>
          <w:p w14:paraId="738D829F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未提供不得分。</w:t>
            </w:r>
          </w:p>
        </w:tc>
      </w:tr>
      <w:tr w14:paraId="71DC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7D3B6B28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43D5B38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 w14:paraId="6F142BA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7FC3A46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8分</w:t>
            </w:r>
          </w:p>
        </w:tc>
        <w:tc>
          <w:tcPr>
            <w:tcW w:w="6627" w:type="dxa"/>
            <w:noWrap w:val="0"/>
            <w:vAlign w:val="center"/>
          </w:tcPr>
          <w:p w14:paraId="406E92C1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体检过程中军休干部遇到意外事故或突发情况的应急方案。</w:t>
            </w:r>
          </w:p>
          <w:p w14:paraId="4C6D2E6E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方案完善细致、可行性强，并能够在15分钟内送达医院就诊治疗的，得8分； </w:t>
            </w:r>
          </w:p>
          <w:p w14:paraId="35D667F3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方案完善，可行性较强，并能够在30分钟内送达医院就诊治疗的，得6分； </w:t>
            </w:r>
          </w:p>
          <w:p w14:paraId="44F5311D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方案不完善，可行性不强的，得4分；</w:t>
            </w:r>
          </w:p>
          <w:p w14:paraId="193EE0DB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方案粗略，无可行性得2分；</w:t>
            </w:r>
          </w:p>
          <w:p w14:paraId="2BDA75A9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未提供不得分。</w:t>
            </w:r>
          </w:p>
        </w:tc>
      </w:tr>
      <w:tr w14:paraId="23D2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64E182E8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2543DF4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2835EED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个性化服务</w:t>
            </w:r>
          </w:p>
        </w:tc>
        <w:tc>
          <w:tcPr>
            <w:tcW w:w="691" w:type="dxa"/>
            <w:noWrap w:val="0"/>
            <w:vAlign w:val="center"/>
          </w:tcPr>
          <w:p w14:paraId="0F182B74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4A05FBEE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为体检人员</w:t>
            </w: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提供的自选项目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方案： </w:t>
            </w:r>
          </w:p>
          <w:p w14:paraId="55D9C54B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自选项目种类齐全，丰富多样，性价比高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，得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 xml:space="preserve">分； </w:t>
            </w:r>
          </w:p>
          <w:p w14:paraId="6360E94C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cs="Times New Roman"/>
                <w:bCs/>
                <w:kern w:val="0"/>
                <w:szCs w:val="21"/>
                <w:lang w:val="en-US" w:eastAsia="zh-CN"/>
              </w:rPr>
              <w:t>自选项目多样，性价比一般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，得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4B91F7F9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未提供不得分。</w:t>
            </w:r>
          </w:p>
        </w:tc>
      </w:tr>
      <w:tr w14:paraId="1735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477" w:type="dxa"/>
            <w:vMerge w:val="continue"/>
            <w:noWrap w:val="0"/>
            <w:vAlign w:val="center"/>
          </w:tcPr>
          <w:p w14:paraId="56FD5566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0FD0FA16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 w14:paraId="711800B8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检后服务</w:t>
            </w:r>
          </w:p>
        </w:tc>
        <w:tc>
          <w:tcPr>
            <w:tcW w:w="691" w:type="dxa"/>
            <w:noWrap w:val="0"/>
            <w:vAlign w:val="center"/>
          </w:tcPr>
          <w:p w14:paraId="30AB679C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2DC37121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能够结合体检报告进行分析、答疑，提供线上和线下的咨询、培训、讲座等服务的得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24667F7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能够结合体检报告进行分析、答疑，提供线上的咨询、培训、讲座等服务的得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425E5D12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能够结合体检报告进行分析、答疑，提供线上的咨询、培训服务的得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分；</w:t>
            </w:r>
          </w:p>
          <w:p w14:paraId="127E03DD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未提供不得分。</w:t>
            </w:r>
          </w:p>
        </w:tc>
      </w:tr>
      <w:tr w14:paraId="6AA4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73A79C0E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5586220D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 w14:paraId="5215A2E9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4C7FFC54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2分</w:t>
            </w:r>
          </w:p>
        </w:tc>
        <w:tc>
          <w:tcPr>
            <w:tcW w:w="6627" w:type="dxa"/>
            <w:noWrap w:val="0"/>
            <w:vAlign w:val="center"/>
          </w:tcPr>
          <w:p w14:paraId="603B50B0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可提供查出可疑疾病的初步诊断及进一步检查、治疗、预防和日常保健的科学建议的方案得2分。</w:t>
            </w:r>
          </w:p>
        </w:tc>
      </w:tr>
      <w:tr w14:paraId="1C2F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restart"/>
            <w:noWrap w:val="0"/>
            <w:vAlign w:val="center"/>
          </w:tcPr>
          <w:p w14:paraId="0363DB1A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 w14:paraId="23F2F600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价格（10分）</w:t>
            </w:r>
          </w:p>
        </w:tc>
        <w:tc>
          <w:tcPr>
            <w:tcW w:w="1055" w:type="dxa"/>
            <w:noWrap w:val="0"/>
            <w:vAlign w:val="center"/>
          </w:tcPr>
          <w:p w14:paraId="7EEFE922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女性单价</w:t>
            </w:r>
          </w:p>
        </w:tc>
        <w:tc>
          <w:tcPr>
            <w:tcW w:w="691" w:type="dxa"/>
            <w:noWrap w:val="0"/>
            <w:vAlign w:val="center"/>
          </w:tcPr>
          <w:p w14:paraId="450E23DB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2B67AD37">
            <w:pP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评审基准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价：满足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要求且最低的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女性体检评审单价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；</w:t>
            </w:r>
          </w:p>
          <w:p w14:paraId="6F5D48C3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合格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的有效价格得分=（评审基准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价/评审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)×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56B0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noWrap w:val="0"/>
            <w:vAlign w:val="center"/>
          </w:tcPr>
          <w:p w14:paraId="5E3A40BB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596A9D08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2C00BD06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男性单价</w:t>
            </w:r>
          </w:p>
        </w:tc>
        <w:tc>
          <w:tcPr>
            <w:tcW w:w="691" w:type="dxa"/>
            <w:noWrap w:val="0"/>
            <w:vAlign w:val="center"/>
          </w:tcPr>
          <w:p w14:paraId="579E2C11">
            <w:pPr>
              <w:spacing w:before="48" w:beforeLines="20" w:after="48" w:afterLines="2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6627" w:type="dxa"/>
            <w:noWrap w:val="0"/>
            <w:vAlign w:val="center"/>
          </w:tcPr>
          <w:p w14:paraId="63A96144">
            <w:pP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评审基准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价：满足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要求且最低的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男性体检评审单价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；</w:t>
            </w:r>
          </w:p>
          <w:p w14:paraId="0B7CF729">
            <w:pPr>
              <w:spacing w:before="48" w:beforeLines="20" w:after="48" w:afterLines="2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合格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的有效价格得分=（评审基准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价/评审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)×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5</w:t>
            </w:r>
          </w:p>
        </w:tc>
      </w:tr>
    </w:tbl>
    <w:p w14:paraId="3CE67A6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.提交投标文件截止时间、开标时间由“202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sz w:val="24"/>
          <w:highlight w:val="none"/>
          <w:lang w:bidi="ar"/>
        </w:rPr>
        <w:t>点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sz w:val="24"/>
          <w:highlight w:val="none"/>
          <w:lang w:bidi="ar"/>
        </w:rPr>
        <w:t>分</w:t>
      </w:r>
      <w:r>
        <w:rPr>
          <w:rFonts w:hint="default" w:ascii="Times New Roman" w:hAnsi="Times New Roman" w:eastAsia="宋体" w:cs="Times New Roman"/>
          <w:bCs/>
          <w:sz w:val="24"/>
        </w:rPr>
        <w:t>（北京时间）</w:t>
      </w:r>
      <w:r>
        <w:rPr>
          <w:rFonts w:hint="default" w:ascii="Times New Roman" w:hAnsi="Times New Roman" w:eastAsia="宋体" w:cs="Times New Roman"/>
          <w:sz w:val="24"/>
        </w:rPr>
        <w:t>”更正为“202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>日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</w:rPr>
        <w:t>点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0分</w:t>
      </w:r>
      <w:r>
        <w:rPr>
          <w:rFonts w:hint="default" w:ascii="Times New Roman" w:hAnsi="Times New Roman" w:eastAsia="宋体" w:cs="Times New Roman"/>
          <w:bCs/>
          <w:sz w:val="24"/>
        </w:rPr>
        <w:t>（北京时间）</w:t>
      </w:r>
      <w:r>
        <w:rPr>
          <w:rFonts w:hint="default" w:ascii="Times New Roman" w:hAnsi="Times New Roman" w:eastAsia="宋体" w:cs="Times New Roman"/>
          <w:sz w:val="24"/>
        </w:rPr>
        <w:t>”。</w:t>
      </w:r>
    </w:p>
    <w:p w14:paraId="243C1F2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bookmarkStart w:id="17" w:name="_GoBack"/>
      <w:bookmarkEnd w:id="17"/>
      <w:r>
        <w:rPr>
          <w:rFonts w:hint="default" w:ascii="Times New Roman" w:hAnsi="Times New Roman" w:eastAsia="宋体" w:cs="Times New Roman"/>
          <w:sz w:val="24"/>
        </w:rPr>
        <w:t>其他内容均按原招标公告和招标文件的内容执行。</w:t>
      </w:r>
    </w:p>
    <w:p w14:paraId="56B0F8A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5E3F589C"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30952380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default" w:ascii="Times New Roman" w:hAnsi="Times New Roman" w:eastAsia="宋体" w:cs="Times New Roman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。</w:t>
      </w:r>
    </w:p>
    <w:p w14:paraId="7EFEC302">
      <w:pPr>
        <w:pStyle w:val="3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B407154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bookmarkStart w:id="15" w:name="_Toc35393652"/>
      <w:bookmarkStart w:id="16" w:name="_Toc35393821"/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6F765700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北京市军队离休退休干部安立休养所</w:t>
      </w:r>
    </w:p>
    <w:p w14:paraId="68A0DC49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址：北京市朝阳区安立路58号中灿苑小区</w:t>
      </w:r>
    </w:p>
    <w:p w14:paraId="3398EE2D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联系方式：孟令阔，84803186</w:t>
      </w:r>
    </w:p>
    <w:p w14:paraId="452E66E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5D00803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称：北京汇诚金桥国际招标咨询有限公司</w:t>
      </w:r>
    </w:p>
    <w:p w14:paraId="33695129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址：北京市东城区朝内大街南竹杆胡同6号北京INN3号楼9层</w:t>
      </w:r>
    </w:p>
    <w:p w14:paraId="7E72A090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联系方式：李昶悦、姜帅，010-65170699、65173108</w:t>
      </w:r>
    </w:p>
    <w:p w14:paraId="396DD1AE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</w:p>
    <w:p w14:paraId="7CCB6D3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</w:rPr>
        <w:t>李昶悦、姜帅</w:t>
      </w:r>
    </w:p>
    <w:p w14:paraId="16F2B1B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话：010-65170699、65173108</w:t>
      </w:r>
    </w:p>
    <w:p w14:paraId="7629B36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五、附件</w:t>
      </w:r>
      <w:bookmarkEnd w:id="15"/>
      <w:bookmarkEnd w:id="16"/>
    </w:p>
    <w:p w14:paraId="4B49934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AA4251"/>
    <w:rsid w:val="001C048E"/>
    <w:rsid w:val="002718B3"/>
    <w:rsid w:val="00313955"/>
    <w:rsid w:val="003264AE"/>
    <w:rsid w:val="00351ADA"/>
    <w:rsid w:val="003520F3"/>
    <w:rsid w:val="003C5DF1"/>
    <w:rsid w:val="00412FF6"/>
    <w:rsid w:val="00431957"/>
    <w:rsid w:val="006A7D50"/>
    <w:rsid w:val="006E1468"/>
    <w:rsid w:val="007B2041"/>
    <w:rsid w:val="007D7BC3"/>
    <w:rsid w:val="008C58A5"/>
    <w:rsid w:val="008D3972"/>
    <w:rsid w:val="00910BC9"/>
    <w:rsid w:val="0096461C"/>
    <w:rsid w:val="009C5162"/>
    <w:rsid w:val="009D0720"/>
    <w:rsid w:val="00A128DA"/>
    <w:rsid w:val="00A30A99"/>
    <w:rsid w:val="00A31559"/>
    <w:rsid w:val="00AA4251"/>
    <w:rsid w:val="00AB5F08"/>
    <w:rsid w:val="00AC3F95"/>
    <w:rsid w:val="00C11731"/>
    <w:rsid w:val="00CA644B"/>
    <w:rsid w:val="00D375DF"/>
    <w:rsid w:val="00DD6CE5"/>
    <w:rsid w:val="00E02106"/>
    <w:rsid w:val="00E02C1D"/>
    <w:rsid w:val="00E111BB"/>
    <w:rsid w:val="00E567CD"/>
    <w:rsid w:val="00EA3EA8"/>
    <w:rsid w:val="00EC649A"/>
    <w:rsid w:val="00EE6F42"/>
    <w:rsid w:val="00F56353"/>
    <w:rsid w:val="00FD2A51"/>
    <w:rsid w:val="08713394"/>
    <w:rsid w:val="0ED62150"/>
    <w:rsid w:val="13D9495D"/>
    <w:rsid w:val="14CE250C"/>
    <w:rsid w:val="1770017D"/>
    <w:rsid w:val="2933688A"/>
    <w:rsid w:val="2DAF2B71"/>
    <w:rsid w:val="2F16076A"/>
    <w:rsid w:val="36315D3A"/>
    <w:rsid w:val="3DB86588"/>
    <w:rsid w:val="49F241FC"/>
    <w:rsid w:val="4DC236F4"/>
    <w:rsid w:val="4F477F24"/>
    <w:rsid w:val="52334AEB"/>
    <w:rsid w:val="539A1D9A"/>
    <w:rsid w:val="57E14934"/>
    <w:rsid w:val="5D443CF5"/>
    <w:rsid w:val="601E25DC"/>
    <w:rsid w:val="63AA0DB1"/>
    <w:rsid w:val="63C71F6F"/>
    <w:rsid w:val="64467B2B"/>
    <w:rsid w:val="677671A1"/>
    <w:rsid w:val="69034A64"/>
    <w:rsid w:val="6A505A87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6"/>
    <w:qFormat/>
    <w:uiPriority w:val="99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semiHidden/>
    <w:qFormat/>
    <w:uiPriority w:val="99"/>
  </w:style>
  <w:style w:type="character" w:customStyle="1" w:styleId="18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1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</Words>
  <Characters>573</Characters>
  <Lines>8</Lines>
  <Paragraphs>2</Paragraphs>
  <TotalTime>0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2025-03-31T01:05:51Z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8D50AE1C65A64AC1997BDE2700167657_12</vt:lpwstr>
  </property>
  <property fmtid="{D5CDD505-2E9C-101B-9397-08002B2CF9AE}" pid="4" name="KSOTemplateDocerSaveRecord">
    <vt:lpwstr>eyJoZGlkIjoiYmUxZjljOGJkMGE3MjEyMDJhMzU4MzEzOGMwOTJlN2EiLCJ1c2VySWQiOiIzMjcyNjcxNDYifQ==</vt:lpwstr>
  </property>
</Properties>
</file>