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025A07" w:rsidRDefault="00025A07" w:rsidP="00025A07">
      <w:pPr>
        <w:pStyle w:val="2"/>
        <w:spacing w:line="360" w:lineRule="auto"/>
        <w:rPr>
          <w:rFonts w:ascii="黑体" w:eastAsia="黑体" w:hAnsi="黑体" w:cs="宋体"/>
          <w:b w:val="0"/>
          <w:sz w:val="28"/>
          <w:szCs w:val="28"/>
        </w:rPr>
      </w:pPr>
      <w:bookmarkStart w:id="1" w:name="_Toc35393814"/>
      <w:bookmarkStart w:id="2" w:name="_Toc35393645"/>
      <w:bookmarkStart w:id="3" w:name="_Toc28359027"/>
      <w:bookmarkStart w:id="4" w:name="_Toc28359104"/>
      <w:r>
        <w:rPr>
          <w:rFonts w:ascii="黑体" w:hAnsi="黑体" w:cs="宋体" w:hint="eastAsia"/>
          <w:b w:val="0"/>
          <w:sz w:val="28"/>
          <w:szCs w:val="28"/>
        </w:rPr>
        <w:t>一、项目基本情况</w:t>
      </w:r>
      <w:bookmarkEnd w:id="1"/>
      <w:bookmarkEnd w:id="2"/>
      <w:bookmarkEnd w:id="3"/>
      <w:bookmarkEnd w:id="4"/>
      <w:r w:rsidR="00D07C59">
        <w:rPr>
          <w:rFonts w:ascii="黑体" w:hAnsi="黑体" w:cs="宋体" w:hint="eastAsia"/>
          <w:b w:val="0"/>
          <w:sz w:val="28"/>
          <w:szCs w:val="28"/>
        </w:rPr>
        <w:t xml:space="preserve">  </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203ABD" w:rsidRPr="00203ABD">
        <w:rPr>
          <w:rFonts w:ascii="仿宋" w:eastAsia="仿宋" w:hAnsi="仿宋"/>
          <w:sz w:val="28"/>
          <w:szCs w:val="28"/>
          <w:u w:val="single"/>
        </w:rPr>
        <w:t>0701-254106050453</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203ABD" w:rsidRPr="00203ABD">
        <w:rPr>
          <w:rFonts w:ascii="仿宋" w:eastAsia="仿宋" w:hAnsi="仿宋" w:hint="eastAsia"/>
          <w:bCs/>
          <w:sz w:val="28"/>
          <w:szCs w:val="28"/>
          <w:u w:val="single"/>
        </w:rPr>
        <w:t>综合运维</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202</w:t>
      </w:r>
      <w:r w:rsidR="00203ABD">
        <w:rPr>
          <w:rFonts w:ascii="仿宋" w:eastAsia="仿宋" w:hAnsi="仿宋" w:hint="eastAsia"/>
          <w:sz w:val="28"/>
          <w:szCs w:val="28"/>
          <w:u w:val="single"/>
        </w:rPr>
        <w:t>5</w:t>
      </w:r>
      <w:r>
        <w:rPr>
          <w:rFonts w:ascii="仿宋" w:eastAsia="仿宋" w:hAnsi="仿宋" w:hint="eastAsia"/>
          <w:sz w:val="28"/>
          <w:szCs w:val="28"/>
          <w:u w:val="single"/>
        </w:rPr>
        <w:t>年</w:t>
      </w:r>
      <w:r w:rsidR="00203ABD">
        <w:rPr>
          <w:rFonts w:ascii="仿宋" w:eastAsia="仿宋" w:hAnsi="仿宋" w:hint="eastAsia"/>
          <w:sz w:val="28"/>
          <w:szCs w:val="28"/>
          <w:u w:val="single"/>
        </w:rPr>
        <w:t>3</w:t>
      </w:r>
      <w:r>
        <w:rPr>
          <w:rFonts w:ascii="仿宋" w:eastAsia="仿宋" w:hAnsi="仿宋" w:hint="eastAsia"/>
          <w:sz w:val="28"/>
          <w:szCs w:val="28"/>
          <w:u w:val="single"/>
        </w:rPr>
        <w:t>月</w:t>
      </w:r>
      <w:r w:rsidR="00203ABD">
        <w:rPr>
          <w:rFonts w:ascii="仿宋" w:eastAsia="仿宋" w:hAnsi="仿宋" w:hint="eastAsia"/>
          <w:sz w:val="28"/>
          <w:szCs w:val="28"/>
          <w:u w:val="single"/>
        </w:rPr>
        <w:t>12</w:t>
      </w:r>
      <w:r>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5" w:name="_Toc35393815"/>
      <w:bookmarkStart w:id="6" w:name="_Toc35393646"/>
      <w:bookmarkStart w:id="7" w:name="_Toc28359028"/>
      <w:bookmarkStart w:id="8" w:name="_Toc28359105"/>
      <w:r>
        <w:rPr>
          <w:rFonts w:ascii="黑体" w:hAnsi="黑体" w:cs="宋体" w:hint="eastAsia"/>
          <w:b w:val="0"/>
          <w:sz w:val="28"/>
          <w:szCs w:val="28"/>
        </w:rPr>
        <w:t>二、更正信息</w:t>
      </w:r>
      <w:bookmarkEnd w:id="5"/>
      <w:bookmarkEnd w:id="6"/>
      <w:bookmarkEnd w:id="7"/>
      <w:bookmarkEnd w:id="8"/>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 xml:space="preserve">更正事项：□采购公告√采购文件 □采购结果     </w:t>
      </w:r>
    </w:p>
    <w:p w:rsidR="00203ABD" w:rsidRDefault="00025A07" w:rsidP="00025A07">
      <w:pPr>
        <w:ind w:firstLineChars="200" w:firstLine="560"/>
        <w:rPr>
          <w:rFonts w:ascii="仿宋" w:eastAsia="仿宋" w:hAnsi="仿宋" w:hint="eastAsia"/>
          <w:sz w:val="28"/>
          <w:szCs w:val="28"/>
        </w:rPr>
      </w:pPr>
      <w:r>
        <w:rPr>
          <w:rFonts w:ascii="仿宋" w:eastAsia="仿宋" w:hAnsi="仿宋" w:hint="eastAsia"/>
          <w:sz w:val="28"/>
          <w:szCs w:val="28"/>
        </w:rPr>
        <w:t>更正内容：</w:t>
      </w:r>
    </w:p>
    <w:p w:rsidR="00203ABD" w:rsidRPr="00203ABD" w:rsidRDefault="00025A07" w:rsidP="00025A07">
      <w:pPr>
        <w:ind w:firstLineChars="200" w:firstLine="560"/>
        <w:rPr>
          <w:rFonts w:ascii="仿宋" w:eastAsia="仿宋" w:hAnsi="仿宋" w:hint="eastAsia"/>
          <w:sz w:val="28"/>
          <w:szCs w:val="28"/>
        </w:rPr>
      </w:pPr>
      <w:r>
        <w:rPr>
          <w:rFonts w:ascii="仿宋" w:eastAsia="仿宋" w:hAnsi="仿宋" w:hint="eastAsia"/>
          <w:sz w:val="28"/>
          <w:szCs w:val="28"/>
        </w:rPr>
        <w:t>1、</w:t>
      </w:r>
      <w:r w:rsidR="00203ABD">
        <w:rPr>
          <w:rFonts w:ascii="仿宋" w:eastAsia="仿宋" w:hAnsi="仿宋" w:hint="eastAsia"/>
          <w:sz w:val="28"/>
          <w:szCs w:val="28"/>
        </w:rPr>
        <w:t>因本项目“</w:t>
      </w:r>
      <w:r w:rsidR="00203ABD">
        <w:rPr>
          <w:rFonts w:ascii="仿宋" w:eastAsia="仿宋" w:hAnsi="仿宋" w:hint="eastAsia"/>
          <w:sz w:val="28"/>
          <w:szCs w:val="28"/>
        </w:rPr>
        <w:t>第4包：</w:t>
      </w:r>
      <w:r w:rsidR="00203ABD" w:rsidRPr="00203ABD">
        <w:rPr>
          <w:rFonts w:ascii="仿宋" w:eastAsia="仿宋" w:hAnsi="仿宋" w:hint="eastAsia"/>
          <w:sz w:val="28"/>
          <w:szCs w:val="28"/>
        </w:rPr>
        <w:t>卫生健康经济指标平台运行维护</w:t>
      </w:r>
      <w:r w:rsidR="00203ABD">
        <w:rPr>
          <w:rFonts w:ascii="仿宋" w:eastAsia="仿宋" w:hAnsi="仿宋" w:hint="eastAsia"/>
          <w:sz w:val="28"/>
          <w:szCs w:val="28"/>
        </w:rPr>
        <w:t>”</w:t>
      </w:r>
      <w:r w:rsidR="00203ABD" w:rsidRPr="00203ABD">
        <w:rPr>
          <w:rFonts w:ascii="仿宋" w:eastAsia="仿宋" w:hAnsi="仿宋" w:hint="eastAsia"/>
          <w:sz w:val="28"/>
          <w:szCs w:val="28"/>
        </w:rPr>
        <w:t>获取招标文件</w:t>
      </w:r>
      <w:r w:rsidR="00203ABD">
        <w:rPr>
          <w:rFonts w:ascii="仿宋" w:eastAsia="仿宋" w:hAnsi="仿宋" w:hint="eastAsia"/>
          <w:sz w:val="28"/>
          <w:szCs w:val="28"/>
        </w:rPr>
        <w:t>的投标人</w:t>
      </w:r>
      <w:r w:rsidR="00203ABD" w:rsidRPr="00203ABD">
        <w:rPr>
          <w:rFonts w:ascii="仿宋" w:eastAsia="仿宋" w:hAnsi="仿宋" w:hint="eastAsia"/>
          <w:sz w:val="28"/>
          <w:szCs w:val="28"/>
        </w:rPr>
        <w:t>不足3家，本项目获取招标文件截止时间更正为2025年3月21日17点整</w:t>
      </w:r>
      <w:r w:rsidR="00203ABD">
        <w:rPr>
          <w:rFonts w:ascii="仿宋" w:eastAsia="仿宋" w:hAnsi="仿宋" w:hint="eastAsia"/>
          <w:sz w:val="28"/>
          <w:szCs w:val="28"/>
        </w:rPr>
        <w:t>。</w:t>
      </w:r>
    </w:p>
    <w:p w:rsidR="00025A07" w:rsidRPr="00203ABD" w:rsidRDefault="00025A07" w:rsidP="00203ABD">
      <w:pPr>
        <w:snapToGrid w:val="0"/>
        <w:spacing w:beforeLines="50" w:before="156" w:line="360" w:lineRule="auto"/>
        <w:ind w:firstLineChars="200" w:firstLine="560"/>
        <w:rPr>
          <w:rFonts w:ascii="仿宋" w:eastAsia="仿宋" w:hAnsi="仿宋" w:cs="宋体"/>
          <w:sz w:val="28"/>
          <w:szCs w:val="28"/>
        </w:rPr>
      </w:pPr>
      <w:r w:rsidRPr="00203ABD">
        <w:rPr>
          <w:rFonts w:ascii="仿宋" w:eastAsia="仿宋" w:hAnsi="仿宋" w:cs="宋体" w:hint="eastAsia"/>
          <w:sz w:val="28"/>
          <w:szCs w:val="28"/>
        </w:rPr>
        <w:t>2、</w:t>
      </w:r>
      <w:r w:rsidRPr="00203ABD">
        <w:rPr>
          <w:rFonts w:ascii="仿宋" w:eastAsia="仿宋" w:hAnsi="仿宋" w:hint="eastAsia"/>
          <w:bCs/>
          <w:sz w:val="28"/>
          <w:szCs w:val="28"/>
        </w:rPr>
        <w:t>招标文件其他内容不变</w:t>
      </w:r>
      <w:r w:rsidR="00203ABD">
        <w:rPr>
          <w:rFonts w:ascii="仿宋" w:eastAsia="仿宋" w:hAnsi="仿宋" w:hint="eastAsia"/>
          <w:bCs/>
          <w:sz w:val="28"/>
          <w:szCs w:val="28"/>
        </w:rPr>
        <w:t>。</w:t>
      </w:r>
    </w:p>
    <w:p w:rsidR="00025A07" w:rsidRDefault="00025A07" w:rsidP="00025A07">
      <w:pPr>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202</w:t>
      </w:r>
      <w:r w:rsidR="00203ABD">
        <w:rPr>
          <w:rFonts w:ascii="仿宋" w:eastAsia="仿宋" w:hAnsi="仿宋" w:hint="eastAsia"/>
          <w:sz w:val="28"/>
          <w:szCs w:val="28"/>
          <w:u w:val="single"/>
        </w:rPr>
        <w:t>5</w:t>
      </w:r>
      <w:r>
        <w:rPr>
          <w:rFonts w:ascii="仿宋" w:eastAsia="仿宋" w:hAnsi="仿宋" w:hint="eastAsia"/>
          <w:sz w:val="28"/>
          <w:szCs w:val="28"/>
          <w:u w:val="single"/>
        </w:rPr>
        <w:t>年3月</w:t>
      </w:r>
      <w:r w:rsidR="00203ABD">
        <w:rPr>
          <w:rFonts w:ascii="仿宋" w:eastAsia="仿宋" w:hAnsi="仿宋" w:hint="eastAsia"/>
          <w:sz w:val="28"/>
          <w:szCs w:val="28"/>
          <w:u w:val="single"/>
        </w:rPr>
        <w:t>20</w:t>
      </w:r>
      <w:r>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9" w:name="_Toc35393816"/>
      <w:bookmarkStart w:id="10" w:name="_Toc35393647"/>
      <w:r>
        <w:rPr>
          <w:rFonts w:ascii="黑体" w:hAnsi="黑体" w:cs="宋体" w:hint="eastAsia"/>
          <w:b w:val="0"/>
          <w:sz w:val="28"/>
          <w:szCs w:val="28"/>
        </w:rPr>
        <w:t>三、其他补充事宜</w:t>
      </w:r>
      <w:bookmarkEnd w:id="9"/>
      <w:bookmarkEnd w:id="10"/>
    </w:p>
    <w:p w:rsidR="00025A07" w:rsidRDefault="00025A07" w:rsidP="00025A07">
      <w:pPr>
        <w:rPr>
          <w:sz w:val="28"/>
          <w:szCs w:val="28"/>
        </w:rPr>
      </w:pPr>
      <w:r>
        <w:rPr>
          <w:rFonts w:hint="eastAsia"/>
          <w:sz w:val="28"/>
          <w:szCs w:val="28"/>
        </w:rPr>
        <w:t>无</w:t>
      </w:r>
    </w:p>
    <w:p w:rsidR="00025A07" w:rsidRDefault="00025A07" w:rsidP="00025A07">
      <w:pPr>
        <w:pStyle w:val="2"/>
        <w:spacing w:line="360" w:lineRule="auto"/>
        <w:rPr>
          <w:rFonts w:ascii="黑体" w:hAnsi="黑体" w:cs="宋体"/>
          <w:b w:val="0"/>
          <w:sz w:val="28"/>
          <w:szCs w:val="28"/>
        </w:rPr>
      </w:pPr>
      <w:bookmarkStart w:id="11" w:name="_Toc35393817"/>
      <w:bookmarkStart w:id="12" w:name="_Toc35393648"/>
      <w:bookmarkStart w:id="13" w:name="_Toc28359029"/>
      <w:bookmarkStart w:id="14" w:name="_Toc28359106"/>
      <w:r>
        <w:rPr>
          <w:rFonts w:ascii="黑体" w:hAnsi="黑体" w:cs="宋体" w:hint="eastAsia"/>
          <w:b w:val="0"/>
          <w:sz w:val="28"/>
          <w:szCs w:val="28"/>
        </w:rPr>
        <w:t>四、凡对本次公告内容提出询问，请按以下方式联系。</w:t>
      </w:r>
      <w:bookmarkEnd w:id="11"/>
      <w:bookmarkEnd w:id="12"/>
      <w:bookmarkEnd w:id="13"/>
      <w:bookmarkEnd w:id="14"/>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sidR="00203ABD" w:rsidRPr="00203ABD">
        <w:rPr>
          <w:rFonts w:ascii="仿宋" w:eastAsia="仿宋" w:hAnsi="仿宋" w:hint="eastAsia"/>
          <w:sz w:val="28"/>
          <w:szCs w:val="28"/>
          <w:u w:val="single"/>
        </w:rPr>
        <w:t>北京市卫生健康委员会会计核算服务中心</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lastRenderedPageBreak/>
        <w:t>地 址：</w:t>
      </w:r>
      <w:r w:rsidR="00203ABD" w:rsidRPr="00203ABD">
        <w:rPr>
          <w:rFonts w:ascii="仿宋" w:eastAsia="仿宋" w:hAnsi="仿宋" w:hint="eastAsia"/>
          <w:sz w:val="28"/>
          <w:szCs w:val="28"/>
          <w:u w:val="single"/>
        </w:rPr>
        <w:t>北京市通州区</w:t>
      </w:r>
      <w:proofErr w:type="gramStart"/>
      <w:r w:rsidR="00203ABD" w:rsidRPr="00203ABD">
        <w:rPr>
          <w:rFonts w:ascii="仿宋" w:eastAsia="仿宋" w:hAnsi="仿宋" w:hint="eastAsia"/>
          <w:sz w:val="28"/>
          <w:szCs w:val="28"/>
          <w:u w:val="single"/>
        </w:rPr>
        <w:t>达济街</w:t>
      </w:r>
      <w:proofErr w:type="gramEnd"/>
      <w:r w:rsidR="00203ABD" w:rsidRPr="00203ABD">
        <w:rPr>
          <w:rFonts w:ascii="仿宋" w:eastAsia="仿宋" w:hAnsi="仿宋" w:hint="eastAsia"/>
          <w:sz w:val="28"/>
          <w:szCs w:val="28"/>
          <w:u w:val="single"/>
        </w:rPr>
        <w:t>6号院1号楼</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5" w:name="_Toc28359009"/>
      <w:bookmarkStart w:id="16" w:name="_Toc28359086"/>
      <w:r w:rsidR="00203ABD" w:rsidRPr="00203ABD">
        <w:rPr>
          <w:rFonts w:ascii="仿宋" w:eastAsia="仿宋" w:hAnsi="仿宋"/>
          <w:sz w:val="28"/>
          <w:szCs w:val="28"/>
          <w:u w:val="single"/>
        </w:rPr>
        <w:t>010-55532251</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15"/>
      <w:bookmarkEnd w:id="16"/>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Pr="00025A07">
        <w:rPr>
          <w:rFonts w:ascii="仿宋" w:eastAsia="仿宋" w:hAnsi="仿宋" w:hint="eastAsia"/>
          <w:sz w:val="28"/>
          <w:szCs w:val="28"/>
          <w:u w:val="single"/>
        </w:rPr>
        <w:t>北京市丰台区西营街1号院2区1号楼(通用时代中心C座)9层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7" w:name="_Toc28359087"/>
      <w:bookmarkStart w:id="18" w:name="_Toc28359010"/>
      <w:r>
        <w:rPr>
          <w:rFonts w:ascii="仿宋" w:eastAsia="仿宋" w:hAnsi="仿宋" w:hint="eastAsia"/>
          <w:sz w:val="28"/>
          <w:szCs w:val="28"/>
          <w:u w:val="single"/>
        </w:rPr>
        <w:t>010－81168683</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17"/>
      <w:bookmarkEnd w:id="18"/>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Pr>
          <w:rFonts w:ascii="仿宋" w:eastAsia="仿宋" w:hAnsi="仿宋" w:hint="eastAsia"/>
          <w:sz w:val="28"/>
          <w:szCs w:val="28"/>
          <w:u w:val="single"/>
        </w:rPr>
        <w:t>李老师</w:t>
      </w:r>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Pr="00025A07">
        <w:rPr>
          <w:rFonts w:ascii="仿宋" w:eastAsia="仿宋" w:hAnsi="仿宋" w:hint="eastAsia"/>
          <w:sz w:val="28"/>
          <w:szCs w:val="28"/>
          <w:u w:val="single"/>
        </w:rPr>
        <w:t>010-55532251</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Pr>
          <w:rFonts w:ascii="仿宋" w:eastAsia="仿宋" w:hAnsi="仿宋" w:hint="eastAsia"/>
          <w:sz w:val="28"/>
          <w:szCs w:val="28"/>
          <w:u w:val="single"/>
        </w:rPr>
        <w:t>张伯涵、孙薇</w:t>
      </w:r>
    </w:p>
    <w:p w:rsidR="00025A07" w:rsidRDefault="00025A07" w:rsidP="00025A07">
      <w:pPr>
        <w:spacing w:line="360" w:lineRule="auto"/>
        <w:ind w:firstLineChars="300" w:firstLine="840"/>
        <w:rPr>
          <w:szCs w:val="21"/>
        </w:rPr>
      </w:pPr>
      <w:r>
        <w:rPr>
          <w:rFonts w:ascii="仿宋" w:eastAsia="仿宋" w:hAnsi="仿宋" w:hint="eastAsia"/>
          <w:sz w:val="28"/>
          <w:szCs w:val="28"/>
        </w:rPr>
        <w:t>电　话：</w:t>
      </w:r>
      <w:r>
        <w:rPr>
          <w:rFonts w:ascii="仿宋" w:eastAsia="仿宋" w:hAnsi="仿宋" w:hint="eastAsia"/>
          <w:sz w:val="28"/>
          <w:szCs w:val="28"/>
          <w:u w:val="single"/>
        </w:rPr>
        <w:t>010－81168683</w:t>
      </w:r>
    </w:p>
    <w:p w:rsidR="00E414ED" w:rsidRDefault="00E414ED">
      <w:bookmarkStart w:id="19" w:name="_GoBack"/>
      <w:bookmarkEnd w:id="19"/>
    </w:p>
    <w:sectPr w:rsidR="00E41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25A07"/>
    <w:rsid w:val="00203ABD"/>
    <w:rsid w:val="00341590"/>
    <w:rsid w:val="004B03A5"/>
    <w:rsid w:val="005E0297"/>
    <w:rsid w:val="00D07C59"/>
    <w:rsid w:val="00E4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4506-2110-4932-8D3B-3B919419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72</Words>
  <Characters>414</Characters>
  <Application>Microsoft Office Word</Application>
  <DocSecurity>0</DocSecurity>
  <Lines>3</Lines>
  <Paragraphs>1</Paragraphs>
  <ScaleCrop>false</ScaleCrop>
  <Company>Razer</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5</cp:revision>
  <dcterms:created xsi:type="dcterms:W3CDTF">2024-03-06T06:46:00Z</dcterms:created>
  <dcterms:modified xsi:type="dcterms:W3CDTF">2025-03-20T02:37:00Z</dcterms:modified>
</cp:coreProperties>
</file>