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33C9" w14:textId="77777777" w:rsidR="005363E6" w:rsidRDefault="0000000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8"/>
          <w:szCs w:val="28"/>
        </w:rPr>
      </w:pPr>
      <w:bookmarkStart w:id="0" w:name="_Toc35393813"/>
      <w:r>
        <w:rPr>
          <w:rFonts w:asciiTheme="minorEastAsia" w:eastAsiaTheme="minorEastAsia" w:hAnsiTheme="minorEastAsia" w:hint="eastAsia"/>
          <w:sz w:val="28"/>
          <w:szCs w:val="28"/>
        </w:rPr>
        <w:t>更正公告</w:t>
      </w:r>
      <w:bookmarkEnd w:id="0"/>
    </w:p>
    <w:p w14:paraId="3F24A087" w14:textId="77777777" w:rsidR="005363E6" w:rsidRDefault="00000000">
      <w:pPr>
        <w:pStyle w:val="2"/>
        <w:spacing w:before="0" w:after="0" w:line="360" w:lineRule="auto"/>
        <w:rPr>
          <w:rFonts w:asciiTheme="minorEastAsia" w:eastAsiaTheme="minorEastAsia" w:hAnsiTheme="minorEastAsia" w:cs="宋体" w:hint="eastAsia"/>
          <w:sz w:val="21"/>
          <w:szCs w:val="21"/>
        </w:rPr>
      </w:pPr>
      <w:bookmarkStart w:id="1" w:name="_Toc28359104"/>
      <w:bookmarkStart w:id="2" w:name="_Toc35393645"/>
      <w:bookmarkStart w:id="3" w:name="_Toc28359027"/>
      <w:bookmarkStart w:id="4" w:name="_Toc35393814"/>
      <w:r>
        <w:rPr>
          <w:rFonts w:asciiTheme="minorEastAsia" w:eastAsiaTheme="minorEastAsia" w:hAnsiTheme="minorEastAsia" w:cs="宋体" w:hint="eastAsia"/>
          <w:sz w:val="21"/>
          <w:szCs w:val="21"/>
        </w:rPr>
        <w:t>一、项目基本情况</w:t>
      </w:r>
      <w:bookmarkEnd w:id="1"/>
      <w:bookmarkEnd w:id="2"/>
      <w:bookmarkEnd w:id="3"/>
      <w:bookmarkEnd w:id="4"/>
    </w:p>
    <w:p w14:paraId="7B2F3447" w14:textId="7826706D"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原公告的采购项目编号：</w:t>
      </w:r>
      <w:r w:rsidR="00CC3679" w:rsidRPr="00CC3679">
        <w:rPr>
          <w:rFonts w:asciiTheme="minorEastAsia" w:eastAsiaTheme="minorEastAsia" w:hAnsiTheme="minorEastAsia"/>
        </w:rPr>
        <w:t>BIECC-25CG90259</w:t>
      </w:r>
    </w:p>
    <w:p w14:paraId="5CF594CE" w14:textId="1162536F"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原公告的采购项目名称：</w:t>
      </w:r>
      <w:r w:rsidR="00CC3679" w:rsidRPr="00CC3679">
        <w:rPr>
          <w:rFonts w:asciiTheme="minorEastAsia" w:eastAsiaTheme="minorEastAsia" w:hAnsiTheme="minorEastAsia" w:hint="eastAsia"/>
        </w:rPr>
        <w:t>治安总队养犬管理项目</w:t>
      </w:r>
    </w:p>
    <w:p w14:paraId="545A9D58" w14:textId="36DF72CA" w:rsidR="005363E6" w:rsidRDefault="00000000">
      <w:pPr>
        <w:spacing w:line="360" w:lineRule="auto"/>
        <w:ind w:firstLineChars="150" w:firstLine="315"/>
        <w:rPr>
          <w:rFonts w:asciiTheme="minorEastAsia" w:eastAsiaTheme="minorEastAsia" w:hAnsiTheme="minorEastAsia" w:hint="eastAsia"/>
        </w:rPr>
      </w:pPr>
      <w:r>
        <w:rPr>
          <w:rFonts w:asciiTheme="minorEastAsia" w:eastAsiaTheme="minorEastAsia" w:hAnsiTheme="minorEastAsia" w:hint="eastAsia"/>
        </w:rPr>
        <w:t>首次公告日期：2025年0</w:t>
      </w:r>
      <w:r w:rsidR="00CE0F0E">
        <w:rPr>
          <w:rFonts w:asciiTheme="minorEastAsia" w:eastAsiaTheme="minorEastAsia" w:hAnsiTheme="minorEastAsia" w:hint="eastAsia"/>
        </w:rPr>
        <w:t>5</w:t>
      </w:r>
      <w:r>
        <w:rPr>
          <w:rFonts w:asciiTheme="minorEastAsia" w:eastAsiaTheme="minorEastAsia" w:hAnsiTheme="minorEastAsia" w:hint="eastAsia"/>
        </w:rPr>
        <w:t>月</w:t>
      </w:r>
      <w:r w:rsidR="00CC3679">
        <w:rPr>
          <w:rFonts w:asciiTheme="minorEastAsia" w:eastAsiaTheme="minorEastAsia" w:hAnsiTheme="minorEastAsia" w:hint="eastAsia"/>
        </w:rPr>
        <w:t>16</w:t>
      </w:r>
      <w:r>
        <w:rPr>
          <w:rFonts w:asciiTheme="minorEastAsia" w:eastAsiaTheme="minorEastAsia" w:hAnsiTheme="minorEastAsia" w:hint="eastAsia"/>
        </w:rPr>
        <w:t>日</w:t>
      </w:r>
    </w:p>
    <w:p w14:paraId="33531222" w14:textId="77777777" w:rsidR="005363E6" w:rsidRDefault="00000000">
      <w:pPr>
        <w:pStyle w:val="2"/>
        <w:spacing w:before="0" w:after="0" w:line="360" w:lineRule="auto"/>
        <w:rPr>
          <w:rFonts w:asciiTheme="minorEastAsia" w:eastAsiaTheme="minorEastAsia" w:hAnsiTheme="minorEastAsia" w:cs="宋体" w:hint="eastAsia"/>
          <w:sz w:val="21"/>
          <w:szCs w:val="21"/>
        </w:rPr>
      </w:pPr>
      <w:bookmarkStart w:id="5" w:name="_Toc28359028"/>
      <w:bookmarkStart w:id="6" w:name="_Toc35393815"/>
      <w:bookmarkStart w:id="7" w:name="_Toc35393646"/>
      <w:bookmarkStart w:id="8" w:name="_Toc28359105"/>
      <w:r>
        <w:rPr>
          <w:rFonts w:asciiTheme="minorEastAsia" w:eastAsiaTheme="minorEastAsia" w:hAnsiTheme="minorEastAsia" w:cs="宋体" w:hint="eastAsia"/>
          <w:sz w:val="21"/>
          <w:szCs w:val="21"/>
        </w:rPr>
        <w:t>二、更正信息</w:t>
      </w:r>
      <w:bookmarkEnd w:id="5"/>
      <w:bookmarkEnd w:id="6"/>
      <w:bookmarkEnd w:id="7"/>
      <w:bookmarkEnd w:id="8"/>
    </w:p>
    <w:p w14:paraId="14EB820A" w14:textId="5D5DDC4D" w:rsidR="005363E6" w:rsidRDefault="00000000">
      <w:pPr>
        <w:spacing w:line="360" w:lineRule="auto"/>
        <w:ind w:firstLineChars="200" w:firstLine="420"/>
        <w:jc w:val="left"/>
        <w:rPr>
          <w:rFonts w:ascii="宋体" w:hAnsi="宋体" w:hint="eastAsia"/>
        </w:rPr>
      </w:pPr>
      <w:r>
        <w:rPr>
          <w:rFonts w:ascii="宋体" w:hAnsi="宋体" w:hint="eastAsia"/>
        </w:rPr>
        <w:t>更正事项：采购文件</w:t>
      </w:r>
    </w:p>
    <w:p w14:paraId="1F0C92BF" w14:textId="77777777" w:rsidR="005363E6" w:rsidRDefault="00000000">
      <w:pPr>
        <w:spacing w:line="360" w:lineRule="auto"/>
        <w:ind w:firstLineChars="200" w:firstLine="420"/>
        <w:jc w:val="left"/>
        <w:rPr>
          <w:rFonts w:ascii="宋体" w:hAnsi="宋体" w:hint="eastAsia"/>
        </w:rPr>
      </w:pPr>
      <w:r>
        <w:rPr>
          <w:rFonts w:ascii="宋体" w:hAnsi="宋体" w:hint="eastAsia"/>
        </w:rPr>
        <w:t>更正内容：</w:t>
      </w:r>
    </w:p>
    <w:p w14:paraId="5AA3501F" w14:textId="50E91794" w:rsidR="005363E6" w:rsidRPr="00CE0F0E" w:rsidRDefault="00000000">
      <w:pPr>
        <w:spacing w:line="360" w:lineRule="auto"/>
        <w:ind w:firstLineChars="200" w:firstLine="422"/>
        <w:jc w:val="left"/>
        <w:rPr>
          <w:rFonts w:ascii="宋体" w:hAnsi="宋体" w:hint="eastAsia"/>
          <w:b/>
          <w:bCs/>
        </w:rPr>
      </w:pPr>
      <w:r>
        <w:rPr>
          <w:rFonts w:ascii="宋体" w:hAnsi="宋体" w:hint="eastAsia"/>
          <w:b/>
          <w:bCs/>
        </w:rPr>
        <w:t>1.</w:t>
      </w:r>
      <w:r w:rsidR="00CE0F0E">
        <w:rPr>
          <w:rFonts w:ascii="宋体" w:hAnsi="宋体" w:hint="eastAsia"/>
          <w:b/>
          <w:bCs/>
        </w:rPr>
        <w:t>原</w:t>
      </w:r>
      <w:r w:rsidR="00CC3679" w:rsidRPr="00CC3679">
        <w:rPr>
          <w:rFonts w:ascii="宋体" w:hAnsi="宋体" w:hint="eastAsia"/>
          <w:b/>
          <w:bCs/>
        </w:rPr>
        <w:t>治安总队养犬管理项目 第四包物品采购项目</w:t>
      </w:r>
      <w:r w:rsidR="001172F6" w:rsidRPr="001172F6">
        <w:rPr>
          <w:rFonts w:ascii="宋体" w:hAnsi="宋体" w:hint="eastAsia"/>
          <w:b/>
          <w:bCs/>
        </w:rPr>
        <w:t>公开招标文件</w:t>
      </w:r>
      <w:r w:rsidR="00CE0F0E">
        <w:rPr>
          <w:rFonts w:ascii="宋体" w:hAnsi="宋体" w:hint="eastAsia"/>
          <w:b/>
          <w:bCs/>
        </w:rPr>
        <w:t>“第五章 采购需求”中：</w:t>
      </w:r>
    </w:p>
    <w:p w14:paraId="1DD9401D"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t>三、技术要求</w:t>
      </w:r>
    </w:p>
    <w:p w14:paraId="327D699C"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t>（一）基本要求</w:t>
      </w:r>
    </w:p>
    <w:p w14:paraId="10494DAE"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t>1.犬类留检所犬粮购置项目</w:t>
      </w:r>
    </w:p>
    <w:tbl>
      <w:tblPr>
        <w:tblStyle w:val="af8"/>
        <w:tblW w:w="9016" w:type="dxa"/>
        <w:tblLayout w:type="fixed"/>
        <w:tblLook w:val="04A0" w:firstRow="1" w:lastRow="0" w:firstColumn="1" w:lastColumn="0" w:noHBand="0" w:noVBand="1"/>
      </w:tblPr>
      <w:tblGrid>
        <w:gridCol w:w="845"/>
        <w:gridCol w:w="1277"/>
        <w:gridCol w:w="1275"/>
        <w:gridCol w:w="5619"/>
      </w:tblGrid>
      <w:tr w:rsidR="00CC3679" w:rsidRPr="00CF23D6" w14:paraId="3265618D" w14:textId="77777777" w:rsidTr="009054C9">
        <w:tc>
          <w:tcPr>
            <w:tcW w:w="845" w:type="dxa"/>
            <w:vAlign w:val="center"/>
          </w:tcPr>
          <w:p w14:paraId="6735D50A"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序号</w:t>
            </w:r>
          </w:p>
        </w:tc>
        <w:tc>
          <w:tcPr>
            <w:tcW w:w="1277" w:type="dxa"/>
            <w:vAlign w:val="center"/>
          </w:tcPr>
          <w:p w14:paraId="173ACFC1"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产品</w:t>
            </w:r>
          </w:p>
        </w:tc>
        <w:tc>
          <w:tcPr>
            <w:tcW w:w="1275" w:type="dxa"/>
            <w:vAlign w:val="center"/>
          </w:tcPr>
          <w:p w14:paraId="4640E0E6"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规格</w:t>
            </w:r>
          </w:p>
        </w:tc>
        <w:tc>
          <w:tcPr>
            <w:tcW w:w="5619" w:type="dxa"/>
            <w:vAlign w:val="center"/>
          </w:tcPr>
          <w:p w14:paraId="4200C3D4"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技术指标</w:t>
            </w:r>
          </w:p>
        </w:tc>
      </w:tr>
      <w:tr w:rsidR="00CC3679" w:rsidRPr="00CF23D6" w14:paraId="576C78AE" w14:textId="77777777" w:rsidTr="009054C9">
        <w:tc>
          <w:tcPr>
            <w:tcW w:w="845" w:type="dxa"/>
            <w:vAlign w:val="center"/>
          </w:tcPr>
          <w:p w14:paraId="765C2746"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1</w:t>
            </w:r>
          </w:p>
        </w:tc>
        <w:tc>
          <w:tcPr>
            <w:tcW w:w="1277" w:type="dxa"/>
            <w:vAlign w:val="center"/>
          </w:tcPr>
          <w:p w14:paraId="485BAC74"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高档犬粮</w:t>
            </w:r>
          </w:p>
        </w:tc>
        <w:tc>
          <w:tcPr>
            <w:tcW w:w="1275" w:type="dxa"/>
            <w:vAlign w:val="center"/>
          </w:tcPr>
          <w:p w14:paraId="7FF3BA13" w14:textId="77777777" w:rsidR="00CC3679" w:rsidRPr="00CF23D6" w:rsidRDefault="00CC3679" w:rsidP="009054C9">
            <w:pPr>
              <w:spacing w:line="360" w:lineRule="auto"/>
              <w:contextualSpacing/>
              <w:jc w:val="center"/>
              <w:rPr>
                <w:rFonts w:ascii="宋体" w:hAnsi="宋体" w:hint="eastAsia"/>
              </w:rPr>
            </w:pPr>
            <w:r w:rsidRPr="00CF23D6">
              <w:rPr>
                <w:rFonts w:asciiTheme="minorEastAsia" w:eastAsiaTheme="minorEastAsia" w:hAnsiTheme="minorEastAsia" w:hint="eastAsia"/>
              </w:rPr>
              <w:t>15kg/袋</w:t>
            </w:r>
          </w:p>
        </w:tc>
        <w:tc>
          <w:tcPr>
            <w:tcW w:w="5619" w:type="dxa"/>
            <w:vAlign w:val="center"/>
          </w:tcPr>
          <w:p w14:paraId="4436663C" w14:textId="77777777" w:rsidR="00CC3679" w:rsidRPr="00CF23D6" w:rsidRDefault="00CC3679" w:rsidP="009054C9">
            <w:pPr>
              <w:spacing w:line="360" w:lineRule="auto"/>
              <w:contextualSpacing/>
              <w:rPr>
                <w:rFonts w:ascii="宋体" w:hAnsi="宋体" w:hint="eastAsia"/>
              </w:rPr>
            </w:pPr>
            <w:r w:rsidRPr="00CF23D6">
              <w:rPr>
                <w:rFonts w:ascii="宋体" w:hAnsi="宋体" w:hint="eastAsia"/>
              </w:rPr>
              <w:t>1.理化指标：</w:t>
            </w:r>
          </w:p>
          <w:p w14:paraId="75FCE509"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粗蛋白质（%）：≥26.0%</w:t>
            </w:r>
          </w:p>
          <w:p w14:paraId="01EB70ED"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粗脂肪（%）：≥15.0%</w:t>
            </w:r>
          </w:p>
          <w:p w14:paraId="4057E1E1"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钙（%）：≥1.1%</w:t>
            </w:r>
          </w:p>
          <w:p w14:paraId="06814DE9"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总磷（%）：≥0.8%</w:t>
            </w:r>
          </w:p>
          <w:p w14:paraId="29968D9B"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水溶性氯化物（以Cl-计）（%）：≥0.09%</w:t>
            </w:r>
          </w:p>
          <w:p w14:paraId="0FC3425C"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粗纤维（%）：≤5%</w:t>
            </w:r>
          </w:p>
          <w:p w14:paraId="50D58F19"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粗灰分（%）：≤10%</w:t>
            </w:r>
          </w:p>
          <w:p w14:paraId="2BDF9D75"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水分（%）：≤10%</w:t>
            </w:r>
          </w:p>
          <w:p w14:paraId="3CA85025"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总砷（以As计）（mg/kg）：≤0.5%</w:t>
            </w:r>
          </w:p>
          <w:p w14:paraId="20176F97"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铅（mg/kg）：≤0.5%</w:t>
            </w:r>
          </w:p>
          <w:p w14:paraId="3E20A6A8"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氟（mg/kg）：≤30%</w:t>
            </w:r>
          </w:p>
          <w:p w14:paraId="05A65AB8"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汞（mg/kg）：≤0.3%</w:t>
            </w:r>
          </w:p>
          <w:p w14:paraId="59F2F698"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镉（mg/kg）：≤0.1%</w:t>
            </w:r>
          </w:p>
          <w:p w14:paraId="58EB166F"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铬（mg/kg）：≤0.7%</w:t>
            </w:r>
          </w:p>
          <w:p w14:paraId="4DC88BC5"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lastRenderedPageBreak/>
              <w:t>亚硝酸盐（mg/kg）</w:t>
            </w:r>
            <w:r w:rsidRPr="00CF23D6">
              <w:rPr>
                <w:rFonts w:ascii="宋体" w:hAnsi="宋体" w:hint="eastAsia"/>
              </w:rPr>
              <w:tab/>
              <w:t>：不得检出</w:t>
            </w:r>
          </w:p>
          <w:p w14:paraId="21A6F08A"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六六六（mg/kg）：不得检出</w:t>
            </w:r>
          </w:p>
          <w:p w14:paraId="1C66AE29"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滴滴涕（mg/kg）：不得检出</w:t>
            </w:r>
          </w:p>
          <w:p w14:paraId="2A340E12"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霉菌总数（</w:t>
            </w:r>
            <w:proofErr w:type="spellStart"/>
            <w:r w:rsidRPr="00CF23D6">
              <w:rPr>
                <w:rFonts w:ascii="宋体" w:hAnsi="宋体" w:hint="eastAsia"/>
              </w:rPr>
              <w:t>cfu</w:t>
            </w:r>
            <w:proofErr w:type="spellEnd"/>
            <w:r w:rsidRPr="00CF23D6">
              <w:rPr>
                <w:rFonts w:ascii="宋体" w:hAnsi="宋体" w:hint="eastAsia"/>
              </w:rPr>
              <w:t>/g）：＜45000</w:t>
            </w:r>
          </w:p>
          <w:p w14:paraId="2A0CA4B4"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沙门氏菌（25g中）：不得检出</w:t>
            </w:r>
          </w:p>
          <w:p w14:paraId="421750E7"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赖氨酸（%）：≥1.1%</w:t>
            </w:r>
          </w:p>
          <w:p w14:paraId="13877AA6"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三聚氰胺（mg/kg）：不得检出</w:t>
            </w:r>
          </w:p>
          <w:p w14:paraId="4F78E5C8"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黄曲霉毒素B1（μg/kg）：不得检出</w:t>
            </w:r>
          </w:p>
          <w:p w14:paraId="6C13FB53"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玉米赤霉烯酮（μg/kg）：≤0.05%</w:t>
            </w:r>
          </w:p>
          <w:p w14:paraId="559D9EE7"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赭曲霉毒素A（μg/kg）：不得检出</w:t>
            </w:r>
          </w:p>
          <w:p w14:paraId="1AE5F895"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呕吐毒素（mg/kg）：不得检出</w:t>
            </w:r>
          </w:p>
          <w:p w14:paraId="037E3EDB"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丁基羟基茴香醚（BHA）、二丁基羟基甲苯（BHT）：共同使用总量小于等于150mg/kg</w:t>
            </w:r>
          </w:p>
          <w:p w14:paraId="1D3DF90E"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乙氧喹（EQ）：≤8.9mg/kg</w:t>
            </w:r>
          </w:p>
          <w:p w14:paraId="6D8848FA"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胃蛋白酶转换率：≥90%</w:t>
            </w:r>
          </w:p>
          <w:p w14:paraId="2064962F"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ascii="宋体" w:hAnsi="宋体" w:hint="eastAsia"/>
              </w:rPr>
              <w:t>柠檬黄、日落黄、诱惑红、胭脂红、苋菜红、亮蓝：不得检出</w:t>
            </w:r>
          </w:p>
          <w:p w14:paraId="4DE24A30" w14:textId="77777777" w:rsidR="00CC3679" w:rsidRPr="00CF23D6" w:rsidRDefault="00CC3679" w:rsidP="00CC3679">
            <w:pPr>
              <w:pStyle w:val="af3"/>
              <w:numPr>
                <w:ilvl w:val="0"/>
                <w:numId w:val="4"/>
              </w:numPr>
              <w:spacing w:line="360" w:lineRule="auto"/>
              <w:ind w:firstLineChars="0"/>
              <w:contextualSpacing/>
              <w:rPr>
                <w:rFonts w:ascii="宋体" w:hAnsi="宋体" w:hint="eastAsia"/>
              </w:rPr>
            </w:pPr>
            <w:r w:rsidRPr="00CF23D6">
              <w:rPr>
                <w:rFonts w:hint="eastAsia"/>
              </w:rPr>
              <w:t>★</w:t>
            </w:r>
            <w:r w:rsidRPr="00CF23D6">
              <w:rPr>
                <w:rFonts w:ascii="宋体" w:hAnsi="宋体" w:cs="宋体" w:hint="eastAsia"/>
                <w:lang w:bidi="ar"/>
              </w:rPr>
              <w:t>所投犬粮理化指标等需提供1年内国家认证认可的第三方检测机构出具的有效的检测报告复印件或产品标签佐证，并加盖投标人公章。</w:t>
            </w:r>
          </w:p>
          <w:p w14:paraId="7D44E75B" w14:textId="77777777" w:rsidR="00CC3679" w:rsidRPr="00CF23D6" w:rsidRDefault="00CC3679" w:rsidP="009054C9">
            <w:pPr>
              <w:spacing w:line="360" w:lineRule="auto"/>
              <w:contextualSpacing/>
              <w:jc w:val="left"/>
              <w:rPr>
                <w:rFonts w:ascii="宋体" w:hAnsi="宋体" w:hint="eastAsia"/>
              </w:rPr>
            </w:pPr>
            <w:r w:rsidRPr="00CF23D6">
              <w:rPr>
                <w:rFonts w:ascii="宋体" w:hAnsi="宋体" w:hint="eastAsia"/>
              </w:rPr>
              <w:t>2. 所投犬粮产品应该符合《中华人民共和国农业农村部公告第20号》及国家标准《全价宠物食品犬粮》(GB/T31216-2014）的相关规定，禁止添加《饲料原料目录》《饲料添加剂品种目录》以外的任何物质。提供承诺书并加盖投标人公章。</w:t>
            </w:r>
          </w:p>
        </w:tc>
      </w:tr>
    </w:tbl>
    <w:p w14:paraId="70D062F1" w14:textId="1E1EC787" w:rsidR="00CE0F0E" w:rsidRPr="00607314" w:rsidRDefault="00CE0F0E" w:rsidP="00CE0F0E">
      <w:pPr>
        <w:spacing w:line="360" w:lineRule="auto"/>
        <w:ind w:firstLineChars="200" w:firstLine="420"/>
        <w:contextualSpacing/>
        <w:rPr>
          <w:rFonts w:ascii="宋体" w:hAnsi="宋体" w:cs="宋体" w:hint="eastAsia"/>
        </w:rPr>
      </w:pPr>
    </w:p>
    <w:p w14:paraId="1FBDC0BC" w14:textId="4BE4EEF1" w:rsidR="005363E6" w:rsidRDefault="00000000" w:rsidP="001172F6">
      <w:pPr>
        <w:spacing w:line="360" w:lineRule="auto"/>
        <w:ind w:firstLineChars="200" w:firstLine="422"/>
        <w:jc w:val="left"/>
        <w:rPr>
          <w:rFonts w:ascii="宋体" w:hAnsi="宋体" w:hint="eastAsia"/>
          <w:b/>
          <w:bCs/>
        </w:rPr>
      </w:pPr>
      <w:r>
        <w:rPr>
          <w:rFonts w:ascii="宋体" w:hAnsi="宋体" w:hint="eastAsia"/>
          <w:b/>
          <w:bCs/>
        </w:rPr>
        <w:t>现更正为：</w:t>
      </w:r>
    </w:p>
    <w:p w14:paraId="136F91C4"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t>三、技术要求</w:t>
      </w:r>
    </w:p>
    <w:p w14:paraId="3A37C6DF"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t>（一）基本要求</w:t>
      </w:r>
    </w:p>
    <w:p w14:paraId="08D53B79" w14:textId="77777777" w:rsidR="00CC3679" w:rsidRPr="00CC3679" w:rsidRDefault="00CC3679" w:rsidP="00CC3679">
      <w:pPr>
        <w:spacing w:line="360" w:lineRule="auto"/>
        <w:ind w:firstLineChars="200" w:firstLine="420"/>
        <w:contextualSpacing/>
        <w:rPr>
          <w:rFonts w:asciiTheme="minorEastAsia" w:eastAsiaTheme="minorEastAsia" w:hAnsiTheme="minorEastAsia" w:hint="eastAsia"/>
        </w:rPr>
      </w:pPr>
      <w:r w:rsidRPr="00CC3679">
        <w:rPr>
          <w:rFonts w:asciiTheme="minorEastAsia" w:eastAsiaTheme="minorEastAsia" w:hAnsiTheme="minorEastAsia"/>
        </w:rPr>
        <w:lastRenderedPageBreak/>
        <w:t>1.犬类留检所犬粮购置项目</w:t>
      </w:r>
    </w:p>
    <w:tbl>
      <w:tblPr>
        <w:tblStyle w:val="af8"/>
        <w:tblW w:w="9016" w:type="dxa"/>
        <w:tblLayout w:type="fixed"/>
        <w:tblLook w:val="04A0" w:firstRow="1" w:lastRow="0" w:firstColumn="1" w:lastColumn="0" w:noHBand="0" w:noVBand="1"/>
      </w:tblPr>
      <w:tblGrid>
        <w:gridCol w:w="845"/>
        <w:gridCol w:w="1277"/>
        <w:gridCol w:w="1275"/>
        <w:gridCol w:w="5619"/>
      </w:tblGrid>
      <w:tr w:rsidR="00CC3679" w:rsidRPr="00CF23D6" w14:paraId="0C302F12" w14:textId="77777777" w:rsidTr="009054C9">
        <w:tc>
          <w:tcPr>
            <w:tcW w:w="845" w:type="dxa"/>
            <w:vAlign w:val="center"/>
          </w:tcPr>
          <w:p w14:paraId="775737FE"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序号</w:t>
            </w:r>
          </w:p>
        </w:tc>
        <w:tc>
          <w:tcPr>
            <w:tcW w:w="1277" w:type="dxa"/>
            <w:vAlign w:val="center"/>
          </w:tcPr>
          <w:p w14:paraId="680BFD76"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产品</w:t>
            </w:r>
          </w:p>
        </w:tc>
        <w:tc>
          <w:tcPr>
            <w:tcW w:w="1275" w:type="dxa"/>
            <w:vAlign w:val="center"/>
          </w:tcPr>
          <w:p w14:paraId="2F07912D"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规格</w:t>
            </w:r>
          </w:p>
        </w:tc>
        <w:tc>
          <w:tcPr>
            <w:tcW w:w="5619" w:type="dxa"/>
            <w:vAlign w:val="center"/>
          </w:tcPr>
          <w:p w14:paraId="5059481C"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技术指标</w:t>
            </w:r>
          </w:p>
        </w:tc>
      </w:tr>
      <w:tr w:rsidR="00CC3679" w:rsidRPr="00CF23D6" w14:paraId="2E136ACC" w14:textId="77777777" w:rsidTr="009054C9">
        <w:tc>
          <w:tcPr>
            <w:tcW w:w="845" w:type="dxa"/>
            <w:vAlign w:val="center"/>
          </w:tcPr>
          <w:p w14:paraId="2F8A714C"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1</w:t>
            </w:r>
          </w:p>
        </w:tc>
        <w:tc>
          <w:tcPr>
            <w:tcW w:w="1277" w:type="dxa"/>
            <w:vAlign w:val="center"/>
          </w:tcPr>
          <w:p w14:paraId="6D294D71" w14:textId="77777777" w:rsidR="00CC3679" w:rsidRPr="00CF23D6" w:rsidRDefault="00CC3679" w:rsidP="009054C9">
            <w:pPr>
              <w:spacing w:line="360" w:lineRule="auto"/>
              <w:contextualSpacing/>
              <w:jc w:val="center"/>
              <w:rPr>
                <w:rFonts w:ascii="宋体" w:hAnsi="宋体" w:hint="eastAsia"/>
              </w:rPr>
            </w:pPr>
            <w:r w:rsidRPr="00CF23D6">
              <w:rPr>
                <w:rFonts w:ascii="宋体" w:hAnsi="宋体" w:hint="eastAsia"/>
              </w:rPr>
              <w:t>高档犬粮</w:t>
            </w:r>
          </w:p>
        </w:tc>
        <w:tc>
          <w:tcPr>
            <w:tcW w:w="1275" w:type="dxa"/>
            <w:vAlign w:val="center"/>
          </w:tcPr>
          <w:p w14:paraId="648CEA46" w14:textId="77777777" w:rsidR="00CC3679" w:rsidRPr="00CF23D6" w:rsidRDefault="00CC3679" w:rsidP="009054C9">
            <w:pPr>
              <w:spacing w:line="360" w:lineRule="auto"/>
              <w:contextualSpacing/>
              <w:jc w:val="center"/>
              <w:rPr>
                <w:rFonts w:ascii="宋体" w:hAnsi="宋体" w:hint="eastAsia"/>
              </w:rPr>
            </w:pPr>
            <w:r w:rsidRPr="00CF23D6">
              <w:rPr>
                <w:rFonts w:asciiTheme="minorEastAsia" w:eastAsiaTheme="minorEastAsia" w:hAnsiTheme="minorEastAsia" w:hint="eastAsia"/>
              </w:rPr>
              <w:t>15kg/袋</w:t>
            </w:r>
          </w:p>
        </w:tc>
        <w:tc>
          <w:tcPr>
            <w:tcW w:w="5619" w:type="dxa"/>
            <w:vAlign w:val="center"/>
          </w:tcPr>
          <w:p w14:paraId="0D0473F2" w14:textId="77777777" w:rsidR="00CC3679" w:rsidRPr="00CF23D6" w:rsidRDefault="00CC3679" w:rsidP="009054C9">
            <w:pPr>
              <w:spacing w:line="360" w:lineRule="auto"/>
              <w:contextualSpacing/>
              <w:rPr>
                <w:rFonts w:ascii="宋体" w:hAnsi="宋体" w:hint="eastAsia"/>
              </w:rPr>
            </w:pPr>
            <w:r w:rsidRPr="00CF23D6">
              <w:rPr>
                <w:rFonts w:ascii="宋体" w:hAnsi="宋体" w:hint="eastAsia"/>
              </w:rPr>
              <w:t>1.理化指标：</w:t>
            </w:r>
          </w:p>
          <w:p w14:paraId="7EE0CFB2"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粗蛋白质（%）：≥26.0%</w:t>
            </w:r>
          </w:p>
          <w:p w14:paraId="118CD621"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粗脂肪（%）：≥15.0%</w:t>
            </w:r>
          </w:p>
          <w:p w14:paraId="62FF6A35"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钙（%）：≥1.1%</w:t>
            </w:r>
          </w:p>
          <w:p w14:paraId="7B9A5242"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总磷（%）：≥0.8%</w:t>
            </w:r>
          </w:p>
          <w:p w14:paraId="6A52BA77"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水溶性氯化物（以Cl-计）（%）：≥0.09%</w:t>
            </w:r>
          </w:p>
          <w:p w14:paraId="02C85741"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粗纤维（%）：≤5%</w:t>
            </w:r>
          </w:p>
          <w:p w14:paraId="5AC7FAEE"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粗灰分（%）：≤10%</w:t>
            </w:r>
          </w:p>
          <w:p w14:paraId="44F25DA5"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水分（%）：≤10%</w:t>
            </w:r>
          </w:p>
          <w:p w14:paraId="20FF63FA" w14:textId="3A62A9FD"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总砷（以As计）（mg/kg）：≤0.5</w:t>
            </w:r>
          </w:p>
          <w:p w14:paraId="00AB29EB" w14:textId="76202440"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铅（mg/kg）：≤0.5</w:t>
            </w:r>
          </w:p>
          <w:p w14:paraId="4173C369" w14:textId="4A1BA72E"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氟（mg/kg）：≤30</w:t>
            </w:r>
          </w:p>
          <w:p w14:paraId="111C5EFA" w14:textId="21E97A56"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汞（mg/kg）：≤0.3</w:t>
            </w:r>
          </w:p>
          <w:p w14:paraId="087454DF" w14:textId="1506FAEE"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镉（mg/kg）：≤0.1</w:t>
            </w:r>
          </w:p>
          <w:p w14:paraId="71E89D64" w14:textId="47D52D1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铬（mg/kg）：≤0.7</w:t>
            </w:r>
          </w:p>
          <w:p w14:paraId="03EAEFE1"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亚硝酸盐（mg/kg）</w:t>
            </w:r>
            <w:r w:rsidRPr="00CF23D6">
              <w:rPr>
                <w:rFonts w:ascii="宋体" w:hAnsi="宋体" w:hint="eastAsia"/>
              </w:rPr>
              <w:tab/>
              <w:t>：不得检出</w:t>
            </w:r>
          </w:p>
          <w:p w14:paraId="6701499A"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六六六（mg/kg）：不得检出</w:t>
            </w:r>
          </w:p>
          <w:p w14:paraId="377181FF"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滴滴涕（mg/kg）：不得检出</w:t>
            </w:r>
          </w:p>
          <w:p w14:paraId="1894E071"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霉菌总数（</w:t>
            </w:r>
            <w:proofErr w:type="spellStart"/>
            <w:r w:rsidRPr="00CF23D6">
              <w:rPr>
                <w:rFonts w:ascii="宋体" w:hAnsi="宋体" w:hint="eastAsia"/>
              </w:rPr>
              <w:t>cfu</w:t>
            </w:r>
            <w:proofErr w:type="spellEnd"/>
            <w:r w:rsidRPr="00CF23D6">
              <w:rPr>
                <w:rFonts w:ascii="宋体" w:hAnsi="宋体" w:hint="eastAsia"/>
              </w:rPr>
              <w:t>/g）：＜45000</w:t>
            </w:r>
          </w:p>
          <w:p w14:paraId="2273097F"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沙门氏菌（25g中）：不得检出</w:t>
            </w:r>
          </w:p>
          <w:p w14:paraId="32401AB0"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赖氨酸（%）：≥1.1%</w:t>
            </w:r>
          </w:p>
          <w:p w14:paraId="604CABB3"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三聚氰胺（mg/kg）：不得检出</w:t>
            </w:r>
          </w:p>
          <w:p w14:paraId="7863E317"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黄曲霉毒素B1（μg/kg）：不得检出</w:t>
            </w:r>
          </w:p>
          <w:p w14:paraId="2B0BED3B"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玉米赤霉烯酮（μg/kg）：≤0.05%</w:t>
            </w:r>
          </w:p>
          <w:p w14:paraId="0398BE4A"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赭曲霉毒素A（μg/kg）：不得检出</w:t>
            </w:r>
          </w:p>
          <w:p w14:paraId="15C8C5CC"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hint="eastAsia"/>
              </w:rPr>
              <w:t>呕吐毒素（mg/kg）：不得检出</w:t>
            </w:r>
          </w:p>
          <w:p w14:paraId="5258DD54"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丁基羟基茴香醚（BHA）、二丁基羟基甲苯（BHT）：</w:t>
            </w:r>
            <w:r w:rsidRPr="00CF23D6">
              <w:rPr>
                <w:rFonts w:ascii="宋体" w:hAnsi="宋体" w:hint="eastAsia"/>
              </w:rPr>
              <w:lastRenderedPageBreak/>
              <w:t>共同使用总量小于等于150mg/kg</w:t>
            </w:r>
          </w:p>
          <w:p w14:paraId="362FBE87"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乙氧喹（EQ）：≤8.9mg/kg</w:t>
            </w:r>
          </w:p>
          <w:p w14:paraId="60AD00CE"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胃蛋白酶转换率：≥90%</w:t>
            </w:r>
          </w:p>
          <w:p w14:paraId="6804CEC7"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ascii="宋体" w:hAnsi="宋体" w:hint="eastAsia"/>
              </w:rPr>
              <w:t>柠檬黄、日落黄、诱惑红、胭脂红、苋菜红、亮蓝：不得检出</w:t>
            </w:r>
          </w:p>
          <w:p w14:paraId="1B7D905F" w14:textId="77777777" w:rsidR="00CC3679" w:rsidRPr="00CF23D6" w:rsidRDefault="00CC3679" w:rsidP="00CC3679">
            <w:pPr>
              <w:pStyle w:val="af3"/>
              <w:numPr>
                <w:ilvl w:val="0"/>
                <w:numId w:val="5"/>
              </w:numPr>
              <w:spacing w:line="360" w:lineRule="auto"/>
              <w:ind w:firstLineChars="0"/>
              <w:contextualSpacing/>
              <w:rPr>
                <w:rFonts w:ascii="宋体" w:hAnsi="宋体" w:hint="eastAsia"/>
              </w:rPr>
            </w:pPr>
            <w:r w:rsidRPr="00CF23D6">
              <w:rPr>
                <w:rFonts w:hint="eastAsia"/>
              </w:rPr>
              <w:t>★</w:t>
            </w:r>
            <w:r w:rsidRPr="00CF23D6">
              <w:rPr>
                <w:rFonts w:ascii="宋体" w:hAnsi="宋体" w:cs="宋体" w:hint="eastAsia"/>
                <w:lang w:bidi="ar"/>
              </w:rPr>
              <w:t>所投犬粮理化指标等需提供1年内国家认证认可的第三方检测机构出具的有效的检测报告复印件或产品标签佐证，并加盖投标人公章。</w:t>
            </w:r>
          </w:p>
          <w:p w14:paraId="3B184B74" w14:textId="77777777" w:rsidR="00CC3679" w:rsidRPr="00CF23D6" w:rsidRDefault="00CC3679" w:rsidP="009054C9">
            <w:pPr>
              <w:spacing w:line="360" w:lineRule="auto"/>
              <w:contextualSpacing/>
              <w:jc w:val="left"/>
              <w:rPr>
                <w:rFonts w:ascii="宋体" w:hAnsi="宋体" w:hint="eastAsia"/>
              </w:rPr>
            </w:pPr>
            <w:r w:rsidRPr="00CF23D6">
              <w:rPr>
                <w:rFonts w:ascii="宋体" w:hAnsi="宋体" w:hint="eastAsia"/>
              </w:rPr>
              <w:t>2. 所投犬粮产品应该符合《中华人民共和国农业农村部公告第20号》及国家标准《全价宠物食品犬粮》(GB/T31216-2014）的相关规定，禁止添加《饲料原料目录》《饲料添加剂品种目录》以外的任何物质。提供承诺书并加盖投标人公章。</w:t>
            </w:r>
          </w:p>
        </w:tc>
      </w:tr>
    </w:tbl>
    <w:p w14:paraId="126C11AF" w14:textId="7BEECE5C" w:rsidR="00CE0F0E" w:rsidRPr="00607314" w:rsidRDefault="00CE0F0E" w:rsidP="00CE0F0E">
      <w:pPr>
        <w:spacing w:line="360" w:lineRule="auto"/>
        <w:ind w:firstLineChars="200" w:firstLine="420"/>
        <w:contextualSpacing/>
        <w:rPr>
          <w:rFonts w:ascii="宋体" w:hAnsi="宋体" w:cs="宋体" w:hint="eastAsia"/>
        </w:rPr>
      </w:pPr>
    </w:p>
    <w:p w14:paraId="254196F6" w14:textId="77777777" w:rsidR="001172F6" w:rsidRPr="001172F6" w:rsidRDefault="001172F6">
      <w:pPr>
        <w:spacing w:line="360" w:lineRule="auto"/>
        <w:jc w:val="left"/>
        <w:rPr>
          <w:rFonts w:ascii="宋体" w:hAnsi="宋体" w:hint="eastAsia"/>
        </w:rPr>
      </w:pPr>
    </w:p>
    <w:p w14:paraId="5065A12C" w14:textId="52EF79A9" w:rsidR="005363E6" w:rsidRDefault="00000000">
      <w:pPr>
        <w:pStyle w:val="a3"/>
        <w:spacing w:line="360" w:lineRule="auto"/>
        <w:ind w:firstLineChars="200"/>
        <w:rPr>
          <w:sz w:val="21"/>
          <w:szCs w:val="21"/>
          <w:highlight w:val="yellow"/>
        </w:rPr>
      </w:pPr>
      <w:bookmarkStart w:id="9" w:name="_Toc35393816"/>
      <w:bookmarkStart w:id="10" w:name="_Toc35393647"/>
      <w:r>
        <w:rPr>
          <w:rFonts w:hint="eastAsia"/>
          <w:sz w:val="21"/>
          <w:szCs w:val="21"/>
        </w:rPr>
        <w:t>更正日期：2025年0</w:t>
      </w:r>
      <w:r w:rsidR="00CE0F0E">
        <w:rPr>
          <w:rFonts w:hint="eastAsia"/>
          <w:sz w:val="21"/>
          <w:szCs w:val="21"/>
        </w:rPr>
        <w:t>6</w:t>
      </w:r>
      <w:r>
        <w:rPr>
          <w:rFonts w:hint="eastAsia"/>
          <w:sz w:val="21"/>
          <w:szCs w:val="21"/>
        </w:rPr>
        <w:t>月</w:t>
      </w:r>
      <w:r w:rsidR="00CE0F0E">
        <w:rPr>
          <w:rFonts w:hint="eastAsia"/>
          <w:sz w:val="21"/>
          <w:szCs w:val="21"/>
        </w:rPr>
        <w:t>03</w:t>
      </w:r>
      <w:r>
        <w:rPr>
          <w:rFonts w:hint="eastAsia"/>
          <w:sz w:val="21"/>
          <w:szCs w:val="21"/>
        </w:rPr>
        <w:t>日</w:t>
      </w:r>
    </w:p>
    <w:p w14:paraId="0CDB2C6E" w14:textId="77777777" w:rsidR="005363E6" w:rsidRDefault="00000000">
      <w:pPr>
        <w:pStyle w:val="2"/>
        <w:spacing w:before="0" w:after="0" w:line="360" w:lineRule="auto"/>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三、其他补充事宜</w:t>
      </w:r>
      <w:bookmarkEnd w:id="9"/>
      <w:bookmarkEnd w:id="10"/>
    </w:p>
    <w:p w14:paraId="6863E854" w14:textId="77777777" w:rsidR="005363E6" w:rsidRDefault="00000000">
      <w:pPr>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1.采购文件及公告中其他事项不变</w:t>
      </w:r>
    </w:p>
    <w:p w14:paraId="21A30FDD" w14:textId="77777777" w:rsidR="005363E6" w:rsidRDefault="00000000">
      <w:pPr>
        <w:spacing w:line="360" w:lineRule="auto"/>
        <w:ind w:firstLineChars="200" w:firstLine="420"/>
        <w:jc w:val="left"/>
        <w:rPr>
          <w:rFonts w:asciiTheme="minorEastAsia" w:eastAsiaTheme="minorEastAsia" w:hAnsiTheme="minorEastAsia" w:hint="eastAsia"/>
        </w:rPr>
      </w:pPr>
      <w:r>
        <w:rPr>
          <w:rFonts w:asciiTheme="minorEastAsia" w:eastAsiaTheme="minorEastAsia" w:hAnsiTheme="minorEastAsia" w:hint="eastAsia"/>
        </w:rPr>
        <w:t>2.原公告网址链接：</w:t>
      </w:r>
    </w:p>
    <w:p w14:paraId="31430297" w14:textId="32DFA7C0" w:rsidR="005363E6" w:rsidRDefault="00000000">
      <w:pPr>
        <w:spacing w:line="360" w:lineRule="auto"/>
        <w:ind w:firstLineChars="200" w:firstLine="420"/>
        <w:jc w:val="left"/>
        <w:rPr>
          <w:rFonts w:ascii="宋体" w:hAnsi="宋体" w:hint="eastAsia"/>
        </w:rPr>
      </w:pPr>
      <w:bookmarkStart w:id="11" w:name="_Toc35393817"/>
      <w:bookmarkStart w:id="12" w:name="_Toc28359106"/>
      <w:bookmarkStart w:id="13" w:name="_Toc28359029"/>
      <w:bookmarkStart w:id="14" w:name="_Toc35393648"/>
      <w:r>
        <w:rPr>
          <w:rFonts w:ascii="宋体" w:hAnsi="宋体" w:hint="eastAsia"/>
        </w:rPr>
        <w:t>（1）中国政府采购网：</w:t>
      </w:r>
      <w:r w:rsidR="00CC3679" w:rsidRPr="00CC3679">
        <w:rPr>
          <w:rFonts w:ascii="宋体" w:hAnsi="宋体"/>
        </w:rPr>
        <w:t>http://www.ccgp.gov.cn/cggg/dfgg/gkzb/202505/t20250516_24607199.htm</w:t>
      </w:r>
    </w:p>
    <w:p w14:paraId="0E216B97" w14:textId="765CE2CB" w:rsidR="005363E6" w:rsidRDefault="00000000">
      <w:pPr>
        <w:spacing w:line="360" w:lineRule="auto"/>
        <w:ind w:firstLineChars="200" w:firstLine="420"/>
        <w:jc w:val="left"/>
        <w:rPr>
          <w:rFonts w:ascii="宋体" w:hAnsi="宋体" w:hint="eastAsia"/>
        </w:rPr>
      </w:pPr>
      <w:r>
        <w:rPr>
          <w:rFonts w:ascii="宋体" w:hAnsi="宋体" w:hint="eastAsia"/>
        </w:rPr>
        <w:t>（2）北京市政府采购网：</w:t>
      </w:r>
      <w:r w:rsidR="00CC3679" w:rsidRPr="00CC3679">
        <w:rPr>
          <w:rFonts w:ascii="宋体" w:hAnsi="宋体"/>
        </w:rPr>
        <w:t>http://www.ccgp-beijing.gov.cn/xxgg/sjxxgg/zbgg/2025/5/f6c6b07ab18648288246b9e654d6230d.htm</w:t>
      </w:r>
    </w:p>
    <w:p w14:paraId="4AFA59BF" w14:textId="77777777" w:rsidR="005363E6" w:rsidRDefault="00000000">
      <w:pPr>
        <w:pStyle w:val="2"/>
        <w:spacing w:before="0" w:after="0" w:line="360" w:lineRule="auto"/>
        <w:rPr>
          <w:rFonts w:asciiTheme="minorEastAsia" w:eastAsiaTheme="minorEastAsia" w:hAnsiTheme="minorEastAsia" w:cs="宋体" w:hint="eastAsia"/>
          <w:sz w:val="21"/>
          <w:szCs w:val="21"/>
        </w:rPr>
      </w:pPr>
      <w:r>
        <w:rPr>
          <w:rFonts w:asciiTheme="minorEastAsia" w:eastAsiaTheme="minorEastAsia" w:hAnsiTheme="minorEastAsia" w:cs="宋体" w:hint="eastAsia"/>
          <w:sz w:val="21"/>
          <w:szCs w:val="21"/>
        </w:rPr>
        <w:t>四、凡对本次公告内容提出询问，请按以下方式联系</w:t>
      </w:r>
      <w:bookmarkEnd w:id="11"/>
      <w:bookmarkEnd w:id="12"/>
      <w:bookmarkEnd w:id="13"/>
      <w:bookmarkEnd w:id="14"/>
    </w:p>
    <w:p w14:paraId="0151C730" w14:textId="77777777" w:rsidR="005363E6" w:rsidRDefault="00000000">
      <w:pPr>
        <w:spacing w:line="360" w:lineRule="auto"/>
        <w:ind w:firstLineChars="150" w:firstLine="315"/>
        <w:rPr>
          <w:rFonts w:asciiTheme="minorEastAsia" w:eastAsiaTheme="minorEastAsia" w:hAnsiTheme="minorEastAsia" w:hint="eastAsia"/>
        </w:rPr>
      </w:pPr>
      <w:bookmarkStart w:id="15" w:name="_Toc28359019"/>
      <w:bookmarkStart w:id="16" w:name="_Toc28359096"/>
      <w:bookmarkStart w:id="17" w:name="_Toc35393637"/>
      <w:bookmarkStart w:id="18" w:name="_Toc35393806"/>
      <w:r>
        <w:rPr>
          <w:rFonts w:asciiTheme="minorEastAsia" w:eastAsiaTheme="minorEastAsia" w:hAnsiTheme="minorEastAsia" w:hint="eastAsia"/>
        </w:rPr>
        <w:t>1.采购人信息</w:t>
      </w:r>
      <w:bookmarkEnd w:id="15"/>
      <w:bookmarkEnd w:id="16"/>
      <w:bookmarkEnd w:id="17"/>
      <w:bookmarkEnd w:id="18"/>
    </w:p>
    <w:p w14:paraId="254688E2" w14:textId="46597353" w:rsidR="005C4C86" w:rsidRDefault="005C4C86" w:rsidP="005C4C86">
      <w:pPr>
        <w:pStyle w:val="af3"/>
        <w:spacing w:line="360" w:lineRule="auto"/>
        <w:rPr>
          <w:rFonts w:ascii="宋体" w:hAnsi="宋体" w:hint="eastAsia"/>
        </w:rPr>
      </w:pPr>
      <w:r>
        <w:rPr>
          <w:rFonts w:ascii="宋体" w:hAnsi="宋体" w:hint="eastAsia"/>
        </w:rPr>
        <w:t>名称：</w:t>
      </w:r>
      <w:r w:rsidR="00CC3679" w:rsidRPr="00CC3679">
        <w:rPr>
          <w:rFonts w:ascii="宋体" w:hAnsi="宋体" w:hint="eastAsia"/>
        </w:rPr>
        <w:t>北京市公安局警务保障部(三)</w:t>
      </w:r>
    </w:p>
    <w:p w14:paraId="1DFDFBD4" w14:textId="77777777" w:rsidR="005C4C86" w:rsidRDefault="005C4C86" w:rsidP="005C4C86">
      <w:pPr>
        <w:pStyle w:val="af3"/>
        <w:spacing w:line="360" w:lineRule="auto"/>
        <w:rPr>
          <w:rFonts w:ascii="宋体" w:hAnsi="宋体" w:hint="eastAsia"/>
        </w:rPr>
      </w:pPr>
      <w:r>
        <w:rPr>
          <w:rFonts w:ascii="宋体" w:hAnsi="宋体" w:hint="eastAsia"/>
        </w:rPr>
        <w:t>地址：北京市东城区前门东大街9号</w:t>
      </w:r>
    </w:p>
    <w:p w14:paraId="33B2B08F" w14:textId="1631AE4B" w:rsidR="005C4C86" w:rsidRDefault="005C4C86" w:rsidP="005C4C86">
      <w:pPr>
        <w:pStyle w:val="af3"/>
        <w:spacing w:line="360" w:lineRule="auto"/>
        <w:rPr>
          <w:rFonts w:ascii="宋体" w:hAnsi="宋体" w:hint="eastAsia"/>
        </w:rPr>
      </w:pPr>
      <w:r>
        <w:rPr>
          <w:rFonts w:ascii="宋体" w:hAnsi="宋体" w:hint="eastAsia"/>
        </w:rPr>
        <w:t>联系方式：</w:t>
      </w:r>
      <w:r w:rsidR="00CC3679" w:rsidRPr="00CC3679">
        <w:rPr>
          <w:rFonts w:ascii="新宋体" w:eastAsia="新宋体" w:hAnsi="新宋体" w:cs="宋体" w:hint="eastAsia"/>
          <w:color w:val="000000" w:themeColor="text1"/>
        </w:rPr>
        <w:t>汪老师,010-85223998</w:t>
      </w:r>
    </w:p>
    <w:p w14:paraId="692C2ECB" w14:textId="77777777" w:rsidR="005C4C86" w:rsidRDefault="005C4C86" w:rsidP="005C4C86">
      <w:pPr>
        <w:pStyle w:val="af3"/>
        <w:spacing w:line="360" w:lineRule="auto"/>
        <w:rPr>
          <w:rFonts w:ascii="宋体" w:hAnsi="宋体" w:hint="eastAsia"/>
        </w:rPr>
      </w:pPr>
      <w:r>
        <w:rPr>
          <w:rFonts w:ascii="宋体" w:hAnsi="宋体" w:hint="eastAsia"/>
        </w:rPr>
        <w:lastRenderedPageBreak/>
        <w:t>2.采购代理机构信息</w:t>
      </w:r>
    </w:p>
    <w:p w14:paraId="5F0C2192" w14:textId="77777777" w:rsidR="005C4C86" w:rsidRDefault="005C4C86" w:rsidP="005C4C86">
      <w:pPr>
        <w:pStyle w:val="af3"/>
        <w:spacing w:line="360" w:lineRule="auto"/>
        <w:rPr>
          <w:rFonts w:ascii="宋体" w:hAnsi="宋体" w:hint="eastAsia"/>
        </w:rPr>
      </w:pPr>
      <w:r>
        <w:rPr>
          <w:rFonts w:ascii="宋体" w:hAnsi="宋体" w:hint="eastAsia"/>
        </w:rPr>
        <w:t>名称：北京国际工程咨询有限公司</w:t>
      </w:r>
    </w:p>
    <w:p w14:paraId="6F70D998" w14:textId="77777777" w:rsidR="005C4C86" w:rsidRDefault="005C4C86" w:rsidP="005C4C86">
      <w:pPr>
        <w:pStyle w:val="af3"/>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7588A36" w14:textId="77777777" w:rsidR="005C4C86" w:rsidRDefault="005C4C86" w:rsidP="005C4C86">
      <w:pPr>
        <w:pStyle w:val="af3"/>
        <w:spacing w:line="360" w:lineRule="auto"/>
        <w:rPr>
          <w:rFonts w:ascii="宋体" w:eastAsia="新宋体" w:hAnsi="宋体" w:hint="eastAsia"/>
        </w:rPr>
      </w:pPr>
      <w:r>
        <w:rPr>
          <w:rFonts w:ascii="宋体" w:hAnsi="宋体" w:hint="eastAsia"/>
        </w:rPr>
        <w:t>联系方式：</w:t>
      </w:r>
      <w:r>
        <w:rPr>
          <w:rFonts w:ascii="新宋体" w:eastAsia="新宋体" w:hAnsi="新宋体" w:cs="宋体" w:hint="eastAsia"/>
        </w:rPr>
        <w:t>关雪，010-65780567</w:t>
      </w:r>
    </w:p>
    <w:p w14:paraId="7ABB2C54" w14:textId="77777777" w:rsidR="005C4C86" w:rsidRDefault="005C4C86" w:rsidP="005C4C86">
      <w:pPr>
        <w:pStyle w:val="af3"/>
        <w:spacing w:line="360" w:lineRule="auto"/>
        <w:rPr>
          <w:rFonts w:ascii="宋体" w:hAnsi="宋体" w:hint="eastAsia"/>
        </w:rPr>
      </w:pPr>
      <w:r>
        <w:rPr>
          <w:rFonts w:ascii="宋体" w:hAnsi="宋体" w:hint="eastAsia"/>
        </w:rPr>
        <w:t>3.项目联系方式</w:t>
      </w:r>
    </w:p>
    <w:p w14:paraId="232BD257" w14:textId="77777777" w:rsidR="00837515" w:rsidRDefault="005C4C86" w:rsidP="00837515">
      <w:pPr>
        <w:pStyle w:val="af3"/>
        <w:spacing w:line="360" w:lineRule="auto"/>
        <w:rPr>
          <w:rFonts w:ascii="新宋体" w:eastAsia="新宋体" w:hAnsi="新宋体" w:cs="宋体" w:hint="eastAsia"/>
        </w:rPr>
      </w:pPr>
      <w:r>
        <w:rPr>
          <w:rFonts w:ascii="宋体" w:hAnsi="宋体" w:hint="eastAsia"/>
        </w:rPr>
        <w:t>项目联系人：</w:t>
      </w:r>
      <w:r>
        <w:rPr>
          <w:rFonts w:ascii="新宋体" w:eastAsia="新宋体" w:hAnsi="新宋体" w:cs="宋体"/>
        </w:rPr>
        <w:t>关雪</w:t>
      </w:r>
    </w:p>
    <w:p w14:paraId="6DE5A4BF" w14:textId="68230962" w:rsidR="005363E6" w:rsidRPr="00837515" w:rsidRDefault="005C4C86" w:rsidP="00837515">
      <w:pPr>
        <w:pStyle w:val="af3"/>
        <w:spacing w:line="360" w:lineRule="auto"/>
        <w:rPr>
          <w:rFonts w:ascii="宋体" w:hAnsi="宋体" w:hint="eastAsia"/>
        </w:rPr>
      </w:pPr>
      <w:r>
        <w:rPr>
          <w:rFonts w:ascii="宋体" w:hAnsi="宋体" w:hint="eastAsia"/>
        </w:rPr>
        <w:t>电话：</w:t>
      </w:r>
      <w:r>
        <w:rPr>
          <w:rFonts w:ascii="新宋体" w:eastAsia="新宋体" w:hAnsi="新宋体" w:cs="宋体" w:hint="eastAsia"/>
        </w:rPr>
        <w:t>010-65780567</w:t>
      </w:r>
    </w:p>
    <w:sectPr w:rsidR="005363E6" w:rsidRPr="00837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4B3A" w14:textId="77777777" w:rsidR="00B86BE4" w:rsidRDefault="00B86BE4" w:rsidP="00CE0F0E">
      <w:r>
        <w:separator/>
      </w:r>
    </w:p>
  </w:endnote>
  <w:endnote w:type="continuationSeparator" w:id="0">
    <w:p w14:paraId="09C3CEC5" w14:textId="77777777" w:rsidR="00B86BE4" w:rsidRDefault="00B86BE4" w:rsidP="00CE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132F" w14:textId="77777777" w:rsidR="00B86BE4" w:rsidRDefault="00B86BE4" w:rsidP="00CE0F0E">
      <w:r>
        <w:separator/>
      </w:r>
    </w:p>
  </w:footnote>
  <w:footnote w:type="continuationSeparator" w:id="0">
    <w:p w14:paraId="31171F18" w14:textId="77777777" w:rsidR="00B86BE4" w:rsidRDefault="00B86BE4" w:rsidP="00CE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8945FE"/>
    <w:multiLevelType w:val="singleLevel"/>
    <w:tmpl w:val="978945FE"/>
    <w:lvl w:ilvl="0">
      <w:start w:val="1"/>
      <w:numFmt w:val="decimal"/>
      <w:suff w:val="nothing"/>
      <w:lvlText w:val="%1、"/>
      <w:lvlJc w:val="left"/>
    </w:lvl>
  </w:abstractNum>
  <w:abstractNum w:abstractNumId="1" w15:restartNumberingAfterBreak="0">
    <w:nsid w:val="B4463228"/>
    <w:multiLevelType w:val="singleLevel"/>
    <w:tmpl w:val="B4463228"/>
    <w:lvl w:ilvl="0">
      <w:start w:val="1"/>
      <w:numFmt w:val="decimal"/>
      <w:suff w:val="nothing"/>
      <w:lvlText w:val="%1、"/>
      <w:lvlJc w:val="left"/>
    </w:lvl>
  </w:abstractNum>
  <w:abstractNum w:abstractNumId="2" w15:restartNumberingAfterBreak="0">
    <w:nsid w:val="58528524"/>
    <w:multiLevelType w:val="singleLevel"/>
    <w:tmpl w:val="58528524"/>
    <w:lvl w:ilvl="0">
      <w:start w:val="1"/>
      <w:numFmt w:val="decimal"/>
      <w:suff w:val="nothing"/>
      <w:lvlText w:val="%1、"/>
      <w:lvlJc w:val="left"/>
    </w:lvl>
  </w:abstractNum>
  <w:abstractNum w:abstractNumId="3" w15:restartNumberingAfterBreak="0">
    <w:nsid w:val="5E3E3980"/>
    <w:multiLevelType w:val="multilevel"/>
    <w:tmpl w:val="645B357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45B357F"/>
    <w:multiLevelType w:val="multilevel"/>
    <w:tmpl w:val="645B357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13805990">
    <w:abstractNumId w:val="1"/>
  </w:num>
  <w:num w:numId="2" w16cid:durableId="1710031088">
    <w:abstractNumId w:val="0"/>
  </w:num>
  <w:num w:numId="3" w16cid:durableId="597832733">
    <w:abstractNumId w:val="2"/>
  </w:num>
  <w:num w:numId="4" w16cid:durableId="1227256775">
    <w:abstractNumId w:val="4"/>
  </w:num>
  <w:num w:numId="5" w16cid:durableId="384110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7C2C1E"/>
    <w:rsid w:val="00011B95"/>
    <w:rsid w:val="000409DD"/>
    <w:rsid w:val="00044A7D"/>
    <w:rsid w:val="00054140"/>
    <w:rsid w:val="0006286D"/>
    <w:rsid w:val="000636B5"/>
    <w:rsid w:val="0009156F"/>
    <w:rsid w:val="00096CFD"/>
    <w:rsid w:val="000B5E71"/>
    <w:rsid w:val="00103ACD"/>
    <w:rsid w:val="001172F6"/>
    <w:rsid w:val="00132713"/>
    <w:rsid w:val="00133620"/>
    <w:rsid w:val="00143070"/>
    <w:rsid w:val="00163D2E"/>
    <w:rsid w:val="00171096"/>
    <w:rsid w:val="00194901"/>
    <w:rsid w:val="001B6FC4"/>
    <w:rsid w:val="001E3290"/>
    <w:rsid w:val="001F5348"/>
    <w:rsid w:val="001F65B8"/>
    <w:rsid w:val="002004A8"/>
    <w:rsid w:val="002041F5"/>
    <w:rsid w:val="00230DD9"/>
    <w:rsid w:val="00286E05"/>
    <w:rsid w:val="00290F27"/>
    <w:rsid w:val="002A509A"/>
    <w:rsid w:val="003123AE"/>
    <w:rsid w:val="00340094"/>
    <w:rsid w:val="00355A05"/>
    <w:rsid w:val="003601DF"/>
    <w:rsid w:val="00363BFB"/>
    <w:rsid w:val="003766BF"/>
    <w:rsid w:val="003966FE"/>
    <w:rsid w:val="00397C3D"/>
    <w:rsid w:val="00400DE7"/>
    <w:rsid w:val="00414312"/>
    <w:rsid w:val="004202AD"/>
    <w:rsid w:val="00423913"/>
    <w:rsid w:val="00432CC6"/>
    <w:rsid w:val="00436CD3"/>
    <w:rsid w:val="00436E11"/>
    <w:rsid w:val="00446459"/>
    <w:rsid w:val="00467867"/>
    <w:rsid w:val="004712C4"/>
    <w:rsid w:val="00491E90"/>
    <w:rsid w:val="004B3EAC"/>
    <w:rsid w:val="004B4B03"/>
    <w:rsid w:val="004C6491"/>
    <w:rsid w:val="004F253E"/>
    <w:rsid w:val="00531424"/>
    <w:rsid w:val="00533139"/>
    <w:rsid w:val="005363E6"/>
    <w:rsid w:val="0054799B"/>
    <w:rsid w:val="0056519A"/>
    <w:rsid w:val="00581B21"/>
    <w:rsid w:val="00586A56"/>
    <w:rsid w:val="0059649F"/>
    <w:rsid w:val="00596F7A"/>
    <w:rsid w:val="005C4C86"/>
    <w:rsid w:val="005D4CCD"/>
    <w:rsid w:val="00630719"/>
    <w:rsid w:val="006323A9"/>
    <w:rsid w:val="0063560F"/>
    <w:rsid w:val="00642D17"/>
    <w:rsid w:val="006635E9"/>
    <w:rsid w:val="00666A08"/>
    <w:rsid w:val="00686BC7"/>
    <w:rsid w:val="006A1E38"/>
    <w:rsid w:val="006A5DE6"/>
    <w:rsid w:val="006F2791"/>
    <w:rsid w:val="007055DD"/>
    <w:rsid w:val="0070729C"/>
    <w:rsid w:val="0071202E"/>
    <w:rsid w:val="007170B8"/>
    <w:rsid w:val="00730888"/>
    <w:rsid w:val="007419D0"/>
    <w:rsid w:val="00773CEC"/>
    <w:rsid w:val="00775FCE"/>
    <w:rsid w:val="007C2C1E"/>
    <w:rsid w:val="007F3C1C"/>
    <w:rsid w:val="007F3E8F"/>
    <w:rsid w:val="007F712E"/>
    <w:rsid w:val="008019AA"/>
    <w:rsid w:val="00814C27"/>
    <w:rsid w:val="008365A4"/>
    <w:rsid w:val="00837515"/>
    <w:rsid w:val="00847E27"/>
    <w:rsid w:val="00867E33"/>
    <w:rsid w:val="008A62DC"/>
    <w:rsid w:val="00914DA1"/>
    <w:rsid w:val="00952A1F"/>
    <w:rsid w:val="0097235F"/>
    <w:rsid w:val="009C3E52"/>
    <w:rsid w:val="00A07770"/>
    <w:rsid w:val="00A07AC3"/>
    <w:rsid w:val="00A242CB"/>
    <w:rsid w:val="00A3458B"/>
    <w:rsid w:val="00A36F40"/>
    <w:rsid w:val="00A52C36"/>
    <w:rsid w:val="00A67590"/>
    <w:rsid w:val="00A73B3C"/>
    <w:rsid w:val="00A95B9B"/>
    <w:rsid w:val="00AA35A6"/>
    <w:rsid w:val="00B014FB"/>
    <w:rsid w:val="00B15862"/>
    <w:rsid w:val="00B31DAF"/>
    <w:rsid w:val="00B4719E"/>
    <w:rsid w:val="00B54926"/>
    <w:rsid w:val="00B67212"/>
    <w:rsid w:val="00B77D29"/>
    <w:rsid w:val="00B86BE4"/>
    <w:rsid w:val="00B933FB"/>
    <w:rsid w:val="00BA34A6"/>
    <w:rsid w:val="00BA5CC8"/>
    <w:rsid w:val="00BB7C16"/>
    <w:rsid w:val="00BE3940"/>
    <w:rsid w:val="00C14BFA"/>
    <w:rsid w:val="00C42680"/>
    <w:rsid w:val="00C627C0"/>
    <w:rsid w:val="00C822DF"/>
    <w:rsid w:val="00CC3679"/>
    <w:rsid w:val="00CE0F0E"/>
    <w:rsid w:val="00D34CF5"/>
    <w:rsid w:val="00D47A15"/>
    <w:rsid w:val="00D5131B"/>
    <w:rsid w:val="00D71312"/>
    <w:rsid w:val="00D74BED"/>
    <w:rsid w:val="00D7527A"/>
    <w:rsid w:val="00D811E1"/>
    <w:rsid w:val="00DD0AFF"/>
    <w:rsid w:val="00DD2247"/>
    <w:rsid w:val="00E13F40"/>
    <w:rsid w:val="00E44A92"/>
    <w:rsid w:val="00E564A7"/>
    <w:rsid w:val="00E6287E"/>
    <w:rsid w:val="00E7241E"/>
    <w:rsid w:val="00E84134"/>
    <w:rsid w:val="00EA263C"/>
    <w:rsid w:val="00EB4A47"/>
    <w:rsid w:val="00ED3762"/>
    <w:rsid w:val="00F12854"/>
    <w:rsid w:val="00F3337F"/>
    <w:rsid w:val="00F377A1"/>
    <w:rsid w:val="00F47C57"/>
    <w:rsid w:val="00F93228"/>
    <w:rsid w:val="00FB0C84"/>
    <w:rsid w:val="00FE1AC2"/>
    <w:rsid w:val="00FF3F2D"/>
    <w:rsid w:val="0D0A59D1"/>
    <w:rsid w:val="13963C5C"/>
    <w:rsid w:val="23C25081"/>
    <w:rsid w:val="29521D5A"/>
    <w:rsid w:val="33CA4197"/>
    <w:rsid w:val="3BFC3F88"/>
    <w:rsid w:val="3D6911E9"/>
    <w:rsid w:val="431C38CE"/>
    <w:rsid w:val="4D306C2A"/>
    <w:rsid w:val="512259C2"/>
    <w:rsid w:val="56C56C90"/>
    <w:rsid w:val="593B28A8"/>
    <w:rsid w:val="5BCD081E"/>
    <w:rsid w:val="5E9071F2"/>
    <w:rsid w:val="6E4A5A7E"/>
    <w:rsid w:val="7112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811FA"/>
  <w15:docId w15:val="{9ABFF201-AE79-48E0-8333-EA83915C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4">
    <w:name w:val="heading 4"/>
    <w:basedOn w:val="a"/>
    <w:next w:val="a"/>
    <w:qFormat/>
    <w:pPr>
      <w:keepNext/>
      <w:keepLines/>
      <w:adjustRightInd w:val="0"/>
      <w:spacing w:before="280" w:after="290" w:line="376" w:lineRule="atLeast"/>
      <w:textAlignment w:val="baseline"/>
      <w:outlineLvl w:val="3"/>
    </w:pPr>
    <w:rPr>
      <w:kern w:val="0"/>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adjustRightInd w:val="0"/>
      <w:ind w:firstLine="420"/>
      <w:jc w:val="left"/>
    </w:pPr>
    <w:rPr>
      <w:rFonts w:ascii="宋体" w:eastAsiaTheme="minorEastAsia" w:hAnsiTheme="minorHAnsi" w:cstheme="minorBidi"/>
      <w:sz w:val="24"/>
      <w:szCs w:val="22"/>
    </w:rPr>
  </w:style>
  <w:style w:type="paragraph" w:styleId="a5">
    <w:name w:val="Document Map"/>
    <w:basedOn w:val="a"/>
    <w:link w:val="a6"/>
    <w:uiPriority w:val="99"/>
    <w:semiHidden/>
    <w:unhideWhenUsed/>
    <w:qFormat/>
    <w:rPr>
      <w:rFonts w:ascii="宋体"/>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Normal (Web)"/>
    <w:basedOn w:val="a"/>
    <w:uiPriority w:val="99"/>
    <w:semiHidden/>
    <w:unhideWhenUsed/>
    <w:qFormat/>
    <w:pPr>
      <w:spacing w:beforeAutospacing="1" w:afterAutospacing="1"/>
      <w:jc w:val="left"/>
    </w:pPr>
    <w:rPr>
      <w:kern w:val="0"/>
      <w:sz w:val="24"/>
    </w:rPr>
  </w:style>
  <w:style w:type="character" w:styleId="af0">
    <w:name w:val="Strong"/>
    <w:autoRedefine/>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themeColor="hyperlink"/>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5"/>
    <w:qFormat/>
    <w:pPr>
      <w:shd w:val="clear" w:color="auto" w:fill="000080"/>
    </w:pPr>
    <w:rPr>
      <w:rFonts w:ascii="Tahoma" w:hAnsi="Tahoma"/>
      <w:sz w:val="24"/>
      <w:szCs w:val="24"/>
    </w:rPr>
  </w:style>
  <w:style w:type="character" w:customStyle="1" w:styleId="a6">
    <w:name w:val="文档结构图 字符"/>
    <w:basedOn w:val="a0"/>
    <w:link w:val="a5"/>
    <w:uiPriority w:val="99"/>
    <w:semiHidden/>
    <w:qFormat/>
    <w:rPr>
      <w:rFonts w:ascii="宋体" w:eastAsia="宋体" w:hAnsi="Times New Roman" w:cs="Times New Roman"/>
      <w:sz w:val="18"/>
      <w:szCs w:val="18"/>
    </w:rPr>
  </w:style>
  <w:style w:type="paragraph" w:customStyle="1" w:styleId="Style20">
    <w:name w:val="_Style 20"/>
    <w:basedOn w:val="a"/>
    <w:next w:val="af3"/>
    <w:link w:val="af4"/>
    <w:uiPriority w:val="34"/>
    <w:qFormat/>
    <w:pPr>
      <w:ind w:firstLineChars="200" w:firstLine="420"/>
    </w:pPr>
  </w:style>
  <w:style w:type="paragraph" w:styleId="af3">
    <w:name w:val="List Paragraph"/>
    <w:basedOn w:val="a"/>
    <w:link w:val="af5"/>
    <w:uiPriority w:val="34"/>
    <w:qFormat/>
    <w:pPr>
      <w:ind w:firstLineChars="200" w:firstLine="420"/>
    </w:pPr>
  </w:style>
  <w:style w:type="character" w:customStyle="1" w:styleId="af4">
    <w:name w:val="列出段落 字符"/>
    <w:link w:val="Style20"/>
    <w:uiPriority w:val="34"/>
    <w:qFormat/>
    <w:rPr>
      <w:kern w:val="2"/>
      <w:sz w:val="21"/>
      <w:szCs w:val="21"/>
    </w:rPr>
  </w:style>
  <w:style w:type="character" w:customStyle="1" w:styleId="a4">
    <w:name w:val="正文缩进 字符"/>
    <w:link w:val="a3"/>
    <w:qFormat/>
    <w:rPr>
      <w:rFonts w:ascii="宋体"/>
      <w:sz w:val="24"/>
    </w:rPr>
  </w:style>
  <w:style w:type="paragraph" w:customStyle="1" w:styleId="TableParagraph">
    <w:name w:val="Table Paragraph"/>
    <w:basedOn w:val="a"/>
    <w:uiPriority w:val="1"/>
    <w:qFormat/>
    <w:pPr>
      <w:autoSpaceDE w:val="0"/>
      <w:autoSpaceDN w:val="0"/>
      <w:adjustRightInd w:val="0"/>
      <w:jc w:val="left"/>
    </w:pPr>
    <w:rPr>
      <w:kern w:val="0"/>
      <w:sz w:val="24"/>
      <w:szCs w:val="24"/>
    </w:rPr>
  </w:style>
  <w:style w:type="character" w:customStyle="1" w:styleId="30">
    <w:name w:val="标题 3 字符"/>
    <w:basedOn w:val="a0"/>
    <w:link w:val="3"/>
    <w:uiPriority w:val="99"/>
    <w:qFormat/>
    <w:rPr>
      <w:b/>
      <w:bCs/>
      <w:kern w:val="2"/>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f6">
    <w:name w:val="无间隔 字符"/>
    <w:link w:val="af7"/>
    <w:qFormat/>
    <w:rPr>
      <w:sz w:val="22"/>
      <w:szCs w:val="22"/>
    </w:rPr>
  </w:style>
  <w:style w:type="paragraph" w:styleId="af7">
    <w:name w:val="No Spacing"/>
    <w:link w:val="af6"/>
    <w:qFormat/>
    <w:rPr>
      <w:sz w:val="22"/>
      <w:szCs w:val="22"/>
    </w:rPr>
  </w:style>
  <w:style w:type="character" w:customStyle="1" w:styleId="21">
    <w:name w:val="未处理的提及2"/>
    <w:basedOn w:val="a0"/>
    <w:uiPriority w:val="99"/>
    <w:semiHidden/>
    <w:unhideWhenUsed/>
    <w:qFormat/>
    <w:rPr>
      <w:color w:val="605E5C"/>
      <w:shd w:val="clear" w:color="auto" w:fill="E1DFDD"/>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HL">
    <w:name w:val="HL正文样式"/>
    <w:basedOn w:val="a"/>
    <w:qFormat/>
    <w:pPr>
      <w:spacing w:beforeLines="50" w:before="50" w:afterLines="50" w:after="50" w:line="360" w:lineRule="auto"/>
    </w:pPr>
    <w:rPr>
      <w:rFonts w:ascii="Arial" w:eastAsia="黑体" w:hAnsi="Arial"/>
      <w:sz w:val="32"/>
    </w:rPr>
  </w:style>
  <w:style w:type="character" w:customStyle="1" w:styleId="af5">
    <w:name w:val="列表段落 字符"/>
    <w:link w:val="af3"/>
    <w:uiPriority w:val="34"/>
    <w:qFormat/>
    <w:rsid w:val="005C4C86"/>
    <w:rPr>
      <w:kern w:val="2"/>
      <w:sz w:val="21"/>
      <w:szCs w:val="21"/>
    </w:rPr>
  </w:style>
  <w:style w:type="table" w:styleId="af8">
    <w:name w:val="Table Grid"/>
    <w:basedOn w:val="a1"/>
    <w:qFormat/>
    <w:rsid w:val="00CC3679"/>
    <w:pPr>
      <w:spacing w:after="160" w:line="27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886</Words>
  <Characters>1207</Characters>
  <Application>Microsoft Office Word</Application>
  <DocSecurity>0</DocSecurity>
  <Lines>63</Lines>
  <Paragraphs>80</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凯彬 仇</cp:lastModifiedBy>
  <cp:revision>13</cp:revision>
  <dcterms:created xsi:type="dcterms:W3CDTF">2024-08-21T07:44:00Z</dcterms:created>
  <dcterms:modified xsi:type="dcterms:W3CDTF">2025-06-03T03:31:00Z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C27120E855424F6FAE93B351ED1E7108_13</vt:lpwstr>
  </property>
  <property fmtid="{D5CDD505-2E9C-101B-9397-08002B2CF9AE}" pid="4" name="KSOTemplateDocerSaveRecord">
    <vt:lpwstr>eyJoZGlkIjoiZjVhMDc4MzZmNGIzOTA5OTgyNzU3ZmFhOWVlNDUyMTUifQ==</vt:lpwstr>
  </property>
</Properties>
</file>