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E78DD8">
      <w:pPr>
        <w:adjustRightInd/>
        <w:spacing w:line="240" w:lineRule="auto"/>
        <w:rPr>
          <w:rFonts w:ascii="宋体" w:cs="楷体_GB2312"/>
          <w:color w:val="auto"/>
          <w:sz w:val="32"/>
          <w:szCs w:val="32"/>
          <w:highlight w:val="none"/>
        </w:rPr>
      </w:pPr>
    </w:p>
    <w:p w14:paraId="22772181">
      <w:pPr>
        <w:adjustRightInd/>
        <w:spacing w:line="240" w:lineRule="auto"/>
        <w:rPr>
          <w:rFonts w:ascii="宋体" w:cs="楷体_GB2312"/>
          <w:color w:val="auto"/>
          <w:sz w:val="32"/>
          <w:szCs w:val="32"/>
          <w:highlight w:val="none"/>
        </w:rPr>
      </w:pPr>
    </w:p>
    <w:p w14:paraId="4644248F">
      <w:pPr>
        <w:adjustRightInd/>
        <w:spacing w:line="240" w:lineRule="auto"/>
        <w:jc w:val="center"/>
        <w:rPr>
          <w:rFonts w:ascii="宋体"/>
          <w:color w:val="auto"/>
          <w:sz w:val="96"/>
          <w:szCs w:val="24"/>
          <w:highlight w:val="none"/>
        </w:rPr>
      </w:pPr>
    </w:p>
    <w:p w14:paraId="2C692E1E">
      <w:pPr>
        <w:adjustRightInd/>
        <w:spacing w:line="240" w:lineRule="auto"/>
        <w:jc w:val="center"/>
        <w:rPr>
          <w:rFonts w:ascii="宋体"/>
          <w:color w:val="auto"/>
          <w:sz w:val="96"/>
          <w:szCs w:val="24"/>
          <w:highlight w:val="none"/>
        </w:rPr>
      </w:pPr>
      <w:r>
        <w:rPr>
          <w:rFonts w:hint="eastAsia" w:ascii="宋体" w:hAnsi="宋体"/>
          <w:color w:val="auto"/>
          <w:sz w:val="96"/>
          <w:szCs w:val="24"/>
          <w:highlight w:val="none"/>
        </w:rPr>
        <w:t>征集文件</w:t>
      </w:r>
    </w:p>
    <w:p w14:paraId="4984571B">
      <w:pPr>
        <w:adjustRightInd/>
        <w:spacing w:line="620" w:lineRule="exact"/>
        <w:jc w:val="both"/>
        <w:rPr>
          <w:rFonts w:ascii="宋体"/>
          <w:color w:val="auto"/>
          <w:sz w:val="96"/>
          <w:szCs w:val="24"/>
          <w:highlight w:val="none"/>
        </w:rPr>
      </w:pPr>
    </w:p>
    <w:p w14:paraId="6AE04775">
      <w:pPr>
        <w:adjustRightInd/>
        <w:spacing w:line="620" w:lineRule="exact"/>
        <w:jc w:val="both"/>
        <w:rPr>
          <w:rFonts w:ascii="宋体"/>
          <w:color w:val="auto"/>
          <w:sz w:val="96"/>
          <w:szCs w:val="24"/>
          <w:highlight w:val="none"/>
        </w:rPr>
      </w:pPr>
    </w:p>
    <w:p w14:paraId="2BD64F5B">
      <w:pPr>
        <w:adjustRightInd/>
        <w:spacing w:line="620" w:lineRule="exact"/>
        <w:jc w:val="both"/>
        <w:rPr>
          <w:rFonts w:ascii="宋体"/>
          <w:color w:val="auto"/>
          <w:sz w:val="96"/>
          <w:szCs w:val="24"/>
          <w:highlight w:val="none"/>
        </w:rPr>
      </w:pPr>
    </w:p>
    <w:p w14:paraId="34047975">
      <w:pPr>
        <w:adjustRightInd/>
        <w:spacing w:line="620" w:lineRule="exact"/>
        <w:ind w:firstLine="1080" w:firstLineChars="300"/>
        <w:jc w:val="both"/>
        <w:rPr>
          <w:rFonts w:hint="default" w:ascii="宋体" w:eastAsia="宋体"/>
          <w:color w:val="auto"/>
          <w:sz w:val="36"/>
          <w:szCs w:val="36"/>
          <w:highlight w:val="yellow"/>
          <w:lang w:val="en-US" w:eastAsia="zh-CN"/>
        </w:rPr>
      </w:pPr>
      <w:r>
        <w:rPr>
          <w:rFonts w:hint="eastAsia" w:ascii="宋体" w:hAnsi="宋体"/>
          <w:color w:val="auto"/>
          <w:sz w:val="36"/>
          <w:szCs w:val="36"/>
          <w:highlight w:val="none"/>
        </w:rPr>
        <w:t>采购编号：</w:t>
      </w:r>
      <w:r>
        <w:rPr>
          <w:rFonts w:hint="eastAsia" w:ascii="宋体" w:hAnsi="宋体"/>
          <w:color w:val="auto"/>
          <w:sz w:val="36"/>
          <w:szCs w:val="36"/>
          <w:highlight w:val="none"/>
          <w:lang w:val="en-US" w:eastAsia="zh-CN"/>
        </w:rPr>
        <w:t>BGPC-Z25001</w:t>
      </w:r>
    </w:p>
    <w:p w14:paraId="25DE1A35">
      <w:pPr>
        <w:adjustRightInd/>
        <w:spacing w:line="620" w:lineRule="exact"/>
        <w:ind w:left="2880" w:leftChars="450" w:hanging="1800" w:hangingChars="500"/>
        <w:jc w:val="both"/>
        <w:rPr>
          <w:rFonts w:hint="eastAsia" w:ascii="宋体" w:hAnsi="宋体"/>
          <w:color w:val="auto"/>
          <w:sz w:val="36"/>
          <w:szCs w:val="36"/>
          <w:highlight w:val="none"/>
          <w:lang w:val="en-US" w:eastAsia="zh-CN"/>
        </w:rPr>
      </w:pPr>
      <w:r>
        <w:rPr>
          <w:rFonts w:hint="eastAsia" w:ascii="宋体" w:hAnsi="宋体"/>
          <w:color w:val="auto"/>
          <w:sz w:val="36"/>
          <w:szCs w:val="36"/>
          <w:highlight w:val="none"/>
        </w:rPr>
        <w:t>项目名称：北京市市级行政事业单位</w:t>
      </w:r>
      <w:r>
        <w:rPr>
          <w:rFonts w:hint="eastAsia" w:ascii="宋体" w:hAnsi="宋体"/>
          <w:color w:val="auto"/>
          <w:sz w:val="36"/>
          <w:szCs w:val="36"/>
          <w:highlight w:val="none"/>
          <w:lang w:val="en-US" w:eastAsia="zh-CN"/>
        </w:rPr>
        <w:t>物业管理</w:t>
      </w:r>
    </w:p>
    <w:p w14:paraId="720D298B">
      <w:pPr>
        <w:adjustRightInd/>
        <w:spacing w:line="620" w:lineRule="exact"/>
        <w:ind w:left="2880" w:leftChars="1200" w:firstLine="0" w:firstLineChars="0"/>
        <w:jc w:val="both"/>
        <w:rPr>
          <w:rFonts w:hint="eastAsia" w:ascii="宋体" w:hAnsi="宋体"/>
          <w:color w:val="auto"/>
          <w:sz w:val="36"/>
          <w:szCs w:val="36"/>
          <w:highlight w:val="none"/>
        </w:rPr>
      </w:pPr>
      <w:r>
        <w:rPr>
          <w:rFonts w:hint="eastAsia" w:ascii="宋体" w:hAnsi="宋体"/>
          <w:color w:val="auto"/>
          <w:sz w:val="36"/>
          <w:szCs w:val="36"/>
          <w:highlight w:val="none"/>
          <w:lang w:val="en-US" w:eastAsia="zh-CN"/>
        </w:rPr>
        <w:t>服务</w:t>
      </w:r>
      <w:r>
        <w:rPr>
          <w:rFonts w:hint="eastAsia" w:ascii="宋体" w:hAnsi="宋体"/>
          <w:color w:val="auto"/>
          <w:sz w:val="36"/>
          <w:szCs w:val="36"/>
          <w:highlight w:val="none"/>
        </w:rPr>
        <w:t>框架协议采购项目</w:t>
      </w:r>
      <w:r>
        <w:rPr>
          <w:rFonts w:hint="eastAsia" w:ascii="宋体" w:hAnsi="宋体"/>
          <w:color w:val="auto"/>
          <w:sz w:val="36"/>
          <w:szCs w:val="36"/>
          <w:highlight w:val="none"/>
          <w:lang w:eastAsia="zh-CN"/>
        </w:rPr>
        <w:t>（</w:t>
      </w:r>
      <w:r>
        <w:rPr>
          <w:rFonts w:hint="eastAsia" w:ascii="宋体" w:hAnsi="宋体"/>
          <w:color w:val="auto"/>
          <w:sz w:val="36"/>
          <w:szCs w:val="36"/>
          <w:highlight w:val="none"/>
          <w:lang w:val="en-US" w:eastAsia="zh-CN"/>
        </w:rPr>
        <w:t>2025年度</w:t>
      </w:r>
      <w:r>
        <w:rPr>
          <w:rFonts w:hint="eastAsia" w:ascii="宋体" w:hAnsi="宋体"/>
          <w:color w:val="auto"/>
          <w:sz w:val="36"/>
          <w:szCs w:val="36"/>
          <w:highlight w:val="none"/>
          <w:lang w:eastAsia="zh-CN"/>
        </w:rPr>
        <w:t>）</w:t>
      </w:r>
    </w:p>
    <w:p w14:paraId="134C8052">
      <w:pPr>
        <w:adjustRightInd/>
        <w:spacing w:line="620" w:lineRule="exact"/>
        <w:jc w:val="both"/>
        <w:rPr>
          <w:rFonts w:ascii="宋体"/>
          <w:color w:val="auto"/>
          <w:sz w:val="36"/>
          <w:szCs w:val="36"/>
          <w:highlight w:val="none"/>
        </w:rPr>
      </w:pPr>
    </w:p>
    <w:p w14:paraId="0CD6A7EC">
      <w:pPr>
        <w:adjustRightInd/>
        <w:spacing w:line="620" w:lineRule="exact"/>
        <w:jc w:val="both"/>
        <w:rPr>
          <w:rFonts w:ascii="宋体"/>
          <w:color w:val="auto"/>
          <w:sz w:val="36"/>
          <w:szCs w:val="36"/>
          <w:highlight w:val="none"/>
        </w:rPr>
      </w:pPr>
    </w:p>
    <w:p w14:paraId="6F638268">
      <w:pPr>
        <w:adjustRightInd/>
        <w:spacing w:line="620" w:lineRule="exact"/>
        <w:jc w:val="both"/>
        <w:rPr>
          <w:rFonts w:ascii="宋体"/>
          <w:color w:val="auto"/>
          <w:sz w:val="36"/>
          <w:szCs w:val="36"/>
          <w:highlight w:val="none"/>
        </w:rPr>
      </w:pPr>
    </w:p>
    <w:p w14:paraId="77AC5717">
      <w:pPr>
        <w:adjustRightInd/>
        <w:spacing w:line="620" w:lineRule="exact"/>
        <w:jc w:val="both"/>
        <w:rPr>
          <w:rFonts w:ascii="宋体"/>
          <w:color w:val="auto"/>
          <w:sz w:val="36"/>
          <w:szCs w:val="36"/>
          <w:highlight w:val="none"/>
        </w:rPr>
      </w:pPr>
    </w:p>
    <w:p w14:paraId="61952649">
      <w:pPr>
        <w:adjustRightInd/>
        <w:spacing w:line="620" w:lineRule="exact"/>
        <w:jc w:val="both"/>
        <w:rPr>
          <w:rFonts w:ascii="宋体"/>
          <w:color w:val="auto"/>
          <w:sz w:val="36"/>
          <w:szCs w:val="36"/>
          <w:highlight w:val="none"/>
        </w:rPr>
      </w:pPr>
    </w:p>
    <w:p w14:paraId="29E7E42D">
      <w:pPr>
        <w:adjustRightInd/>
        <w:spacing w:line="620" w:lineRule="exact"/>
        <w:jc w:val="center"/>
        <w:rPr>
          <w:rFonts w:hint="eastAsia" w:ascii="宋体" w:hAnsi="宋体" w:eastAsia="宋体"/>
          <w:color w:val="auto"/>
          <w:sz w:val="36"/>
          <w:szCs w:val="36"/>
          <w:highlight w:val="none"/>
        </w:rPr>
      </w:pPr>
    </w:p>
    <w:p w14:paraId="562817CC">
      <w:pPr>
        <w:adjustRightInd/>
        <w:spacing w:line="620" w:lineRule="exact"/>
        <w:jc w:val="center"/>
        <w:rPr>
          <w:rFonts w:hint="eastAsia" w:ascii="宋体" w:hAnsi="宋体" w:eastAsia="宋体"/>
          <w:color w:val="auto"/>
          <w:sz w:val="36"/>
          <w:szCs w:val="36"/>
          <w:highlight w:val="none"/>
        </w:rPr>
      </w:pPr>
    </w:p>
    <w:p w14:paraId="179AA1ED">
      <w:pPr>
        <w:adjustRightInd/>
        <w:spacing w:line="620" w:lineRule="exact"/>
        <w:jc w:val="center"/>
        <w:rPr>
          <w:rFonts w:hint="eastAsia" w:ascii="宋体" w:hAnsi="宋体" w:eastAsia="宋体"/>
          <w:color w:val="auto"/>
          <w:sz w:val="36"/>
          <w:szCs w:val="36"/>
          <w:highlight w:val="none"/>
        </w:rPr>
        <w:sectPr>
          <w:headerReference r:id="rId5" w:type="default"/>
          <w:footerReference r:id="rId6" w:type="even"/>
          <w:pgSz w:w="11907" w:h="16840"/>
          <w:pgMar w:top="1701" w:right="1588" w:bottom="1701" w:left="1588" w:header="851" w:footer="851" w:gutter="0"/>
          <w:pgNumType w:start="1"/>
          <w:cols w:space="720" w:num="1"/>
          <w:docGrid w:type="lines" w:linePitch="326" w:charSpace="0"/>
        </w:sectPr>
      </w:pPr>
      <w:r>
        <w:rPr>
          <w:rFonts w:hint="eastAsia" w:ascii="宋体" w:hAnsi="宋体" w:eastAsia="宋体"/>
          <w:color w:val="auto"/>
          <w:sz w:val="36"/>
          <w:szCs w:val="36"/>
          <w:highlight w:val="none"/>
        </w:rPr>
        <w:t>二○二</w:t>
      </w:r>
      <w:r>
        <w:rPr>
          <w:rFonts w:hint="eastAsia" w:ascii="宋体" w:hAnsi="宋体" w:eastAsia="宋体"/>
          <w:color w:val="auto"/>
          <w:sz w:val="36"/>
          <w:szCs w:val="36"/>
          <w:highlight w:val="none"/>
          <w:lang w:val="en-US" w:eastAsia="zh-CN"/>
        </w:rPr>
        <w:t>五</w:t>
      </w:r>
      <w:r>
        <w:rPr>
          <w:rFonts w:hint="eastAsia" w:ascii="宋体" w:hAnsi="宋体" w:eastAsia="宋体"/>
          <w:color w:val="auto"/>
          <w:sz w:val="36"/>
          <w:szCs w:val="36"/>
          <w:highlight w:val="none"/>
        </w:rPr>
        <w:t>年</w:t>
      </w:r>
      <w:r>
        <w:rPr>
          <w:rFonts w:hint="eastAsia" w:ascii="宋体" w:hAnsi="宋体"/>
          <w:color w:val="auto"/>
          <w:sz w:val="36"/>
          <w:szCs w:val="36"/>
          <w:highlight w:val="none"/>
          <w:lang w:val="en-US" w:eastAsia="zh-CN"/>
        </w:rPr>
        <w:t>十一</w:t>
      </w:r>
      <w:r>
        <w:rPr>
          <w:rFonts w:hint="eastAsia" w:ascii="宋体" w:hAnsi="宋体" w:eastAsia="宋体"/>
          <w:color w:val="auto"/>
          <w:sz w:val="36"/>
          <w:szCs w:val="36"/>
          <w:highlight w:val="none"/>
        </w:rPr>
        <w:t>月</w:t>
      </w:r>
    </w:p>
    <w:p w14:paraId="4D5D3D43">
      <w:pPr>
        <w:snapToGrid w:val="0"/>
        <w:spacing w:line="240" w:lineRule="auto"/>
        <w:jc w:val="center"/>
        <w:rPr>
          <w:rFonts w:hint="eastAsia" w:ascii="宋体" w:eastAsia="宋体"/>
          <w:b/>
          <w:color w:val="auto"/>
          <w:sz w:val="48"/>
          <w:szCs w:val="48"/>
          <w:highlight w:val="none"/>
          <w:lang w:eastAsia="zh-CN"/>
        </w:rPr>
      </w:pPr>
      <w:r>
        <w:rPr>
          <w:rFonts w:hint="eastAsia" w:ascii="宋体" w:hAnsi="宋体" w:cs="宋体"/>
          <w:b/>
          <w:bCs/>
          <w:color w:val="auto"/>
          <w:kern w:val="44"/>
          <w:sz w:val="48"/>
          <w:szCs w:val="40"/>
          <w:highlight w:val="none"/>
        </w:rPr>
        <w:t>目录</w:t>
      </w:r>
    </w:p>
    <w:p w14:paraId="0D7FD90E">
      <w:pPr>
        <w:snapToGrid w:val="0"/>
        <w:spacing w:line="240" w:lineRule="auto"/>
        <w:jc w:val="both"/>
        <w:rPr>
          <w:rFonts w:ascii="宋体"/>
          <w:color w:val="auto"/>
          <w:sz w:val="22"/>
          <w:highlight w:val="none"/>
        </w:rPr>
      </w:pPr>
    </w:p>
    <w:sdt>
      <w:sdtPr>
        <w:rPr>
          <w:rFonts w:ascii="宋体" w:hAnsi="宋体"/>
          <w:color w:val="auto"/>
          <w:sz w:val="22"/>
          <w:szCs w:val="24"/>
          <w:highlight w:val="none"/>
        </w:rPr>
        <w:id w:val="147477529"/>
        <w:docPartObj>
          <w:docPartGallery w:val="Table of Contents"/>
          <w:docPartUnique/>
        </w:docPartObj>
      </w:sdtPr>
      <w:sdtEndPr>
        <w:rPr>
          <w:rFonts w:ascii="宋体" w:hAnsi="宋体"/>
          <w:color w:val="auto"/>
          <w:sz w:val="21"/>
          <w:szCs w:val="21"/>
          <w:highlight w:val="none"/>
        </w:rPr>
      </w:sdtEndPr>
      <w:sdtContent>
        <w:p w14:paraId="284803C3">
          <w:pPr>
            <w:spacing w:line="240" w:lineRule="auto"/>
            <w:jc w:val="center"/>
            <w:rPr>
              <w:color w:val="auto"/>
              <w:sz w:val="28"/>
              <w:szCs w:val="24"/>
              <w:highlight w:val="none"/>
            </w:rPr>
          </w:pPr>
        </w:p>
        <w:p w14:paraId="466B634E">
          <w:pPr>
            <w:pStyle w:val="17"/>
            <w:tabs>
              <w:tab w:val="right" w:leader="dot" w:pos="9071"/>
            </w:tabs>
            <w:rPr>
              <w:rFonts w:hint="eastAsia" w:ascii="宋体" w:hAnsi="宋体" w:eastAsia="宋体"/>
              <w:color w:val="auto"/>
              <w:sz w:val="28"/>
              <w:szCs w:val="24"/>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HYPERLINK \l _Toc14079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第一部分 征集邀请</w:t>
          </w:r>
          <w:r>
            <w:rPr>
              <w:rFonts w:hint="eastAsia" w:ascii="宋体" w:hAnsi="宋体" w:eastAsia="宋体"/>
              <w:color w:val="auto"/>
              <w:sz w:val="28"/>
              <w:szCs w:val="24"/>
              <w:highlight w:val="none"/>
            </w:rPr>
            <w:tab/>
          </w: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PAGEREF _Toc14079 \h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3</w:t>
          </w:r>
          <w:r>
            <w:rPr>
              <w:rFonts w:hint="eastAsia" w:ascii="宋体" w:hAnsi="宋体" w:eastAsia="宋体"/>
              <w:color w:val="auto"/>
              <w:sz w:val="28"/>
              <w:szCs w:val="24"/>
              <w:highlight w:val="none"/>
            </w:rPr>
            <w:fldChar w:fldCharType="end"/>
          </w:r>
          <w:r>
            <w:rPr>
              <w:rFonts w:hint="eastAsia" w:ascii="宋体" w:hAnsi="宋体" w:eastAsia="宋体"/>
              <w:color w:val="auto"/>
              <w:sz w:val="28"/>
              <w:szCs w:val="24"/>
              <w:highlight w:val="none"/>
            </w:rPr>
            <w:fldChar w:fldCharType="end"/>
          </w:r>
        </w:p>
        <w:p w14:paraId="32661D8A">
          <w:pPr>
            <w:pStyle w:val="17"/>
            <w:tabs>
              <w:tab w:val="right" w:leader="dot" w:pos="9071"/>
            </w:tabs>
            <w:rPr>
              <w:rFonts w:hint="eastAsia" w:ascii="宋体" w:hAnsi="宋体" w:eastAsia="宋体"/>
              <w:color w:val="auto"/>
              <w:sz w:val="28"/>
              <w:szCs w:val="24"/>
              <w:highlight w:val="none"/>
            </w:rPr>
          </w:pP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HYPERLINK \l _Toc17405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第二部分 响应人须知前附表</w:t>
          </w:r>
          <w:r>
            <w:rPr>
              <w:rFonts w:hint="eastAsia" w:ascii="宋体" w:hAnsi="宋体" w:eastAsia="宋体"/>
              <w:color w:val="auto"/>
              <w:sz w:val="28"/>
              <w:szCs w:val="24"/>
              <w:highlight w:val="none"/>
            </w:rPr>
            <w:tab/>
          </w: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PAGEREF _Toc17405 \h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8</w:t>
          </w:r>
          <w:r>
            <w:rPr>
              <w:rFonts w:hint="eastAsia" w:ascii="宋体" w:hAnsi="宋体" w:eastAsia="宋体"/>
              <w:color w:val="auto"/>
              <w:sz w:val="28"/>
              <w:szCs w:val="24"/>
              <w:highlight w:val="none"/>
            </w:rPr>
            <w:fldChar w:fldCharType="end"/>
          </w:r>
          <w:r>
            <w:rPr>
              <w:rFonts w:hint="eastAsia" w:ascii="宋体" w:hAnsi="宋体" w:eastAsia="宋体"/>
              <w:color w:val="auto"/>
              <w:sz w:val="28"/>
              <w:szCs w:val="24"/>
              <w:highlight w:val="none"/>
            </w:rPr>
            <w:fldChar w:fldCharType="end"/>
          </w:r>
        </w:p>
        <w:p w14:paraId="236ABB27">
          <w:pPr>
            <w:pStyle w:val="17"/>
            <w:tabs>
              <w:tab w:val="right" w:leader="dot" w:pos="9071"/>
            </w:tabs>
            <w:rPr>
              <w:rFonts w:hint="eastAsia" w:ascii="宋体" w:hAnsi="宋体" w:eastAsia="宋体"/>
              <w:color w:val="auto"/>
              <w:sz w:val="28"/>
              <w:szCs w:val="24"/>
              <w:highlight w:val="none"/>
            </w:rPr>
          </w:pP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HYPERLINK \l _Toc3967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第三部分 响应人须知</w:t>
          </w:r>
          <w:r>
            <w:rPr>
              <w:rFonts w:hint="eastAsia" w:ascii="宋体" w:hAnsi="宋体" w:eastAsia="宋体"/>
              <w:color w:val="auto"/>
              <w:sz w:val="28"/>
              <w:szCs w:val="24"/>
              <w:highlight w:val="none"/>
            </w:rPr>
            <w:tab/>
          </w: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PAGEREF _Toc3967 \h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11</w:t>
          </w:r>
          <w:r>
            <w:rPr>
              <w:rFonts w:hint="eastAsia" w:ascii="宋体" w:hAnsi="宋体" w:eastAsia="宋体"/>
              <w:color w:val="auto"/>
              <w:sz w:val="28"/>
              <w:szCs w:val="24"/>
              <w:highlight w:val="none"/>
            </w:rPr>
            <w:fldChar w:fldCharType="end"/>
          </w:r>
          <w:r>
            <w:rPr>
              <w:rFonts w:hint="eastAsia" w:ascii="宋体" w:hAnsi="宋体" w:eastAsia="宋体"/>
              <w:color w:val="auto"/>
              <w:sz w:val="28"/>
              <w:szCs w:val="24"/>
              <w:highlight w:val="none"/>
            </w:rPr>
            <w:fldChar w:fldCharType="end"/>
          </w:r>
        </w:p>
        <w:p w14:paraId="05F32963">
          <w:pPr>
            <w:pStyle w:val="17"/>
            <w:tabs>
              <w:tab w:val="right" w:leader="dot" w:pos="9071"/>
            </w:tabs>
            <w:rPr>
              <w:rFonts w:hint="eastAsia" w:ascii="宋体" w:hAnsi="宋体" w:eastAsia="宋体"/>
              <w:color w:val="auto"/>
              <w:sz w:val="28"/>
              <w:szCs w:val="24"/>
              <w:highlight w:val="none"/>
            </w:rPr>
          </w:pP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HYPERLINK \l _Toc25673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lang w:val="en-US" w:eastAsia="zh-CN"/>
            </w:rPr>
            <w:t>第四部分 采购需求</w:t>
          </w:r>
          <w:r>
            <w:rPr>
              <w:rFonts w:hint="eastAsia" w:ascii="宋体" w:hAnsi="宋体" w:eastAsia="宋体"/>
              <w:color w:val="auto"/>
              <w:sz w:val="28"/>
              <w:szCs w:val="24"/>
              <w:highlight w:val="none"/>
            </w:rPr>
            <w:tab/>
          </w: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PAGEREF _Toc25673 \h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22</w:t>
          </w:r>
          <w:r>
            <w:rPr>
              <w:rFonts w:hint="eastAsia" w:ascii="宋体" w:hAnsi="宋体" w:eastAsia="宋体"/>
              <w:color w:val="auto"/>
              <w:sz w:val="28"/>
              <w:szCs w:val="24"/>
              <w:highlight w:val="none"/>
            </w:rPr>
            <w:fldChar w:fldCharType="end"/>
          </w:r>
          <w:r>
            <w:rPr>
              <w:rFonts w:hint="eastAsia" w:ascii="宋体" w:hAnsi="宋体" w:eastAsia="宋体"/>
              <w:color w:val="auto"/>
              <w:sz w:val="28"/>
              <w:szCs w:val="24"/>
              <w:highlight w:val="none"/>
            </w:rPr>
            <w:fldChar w:fldCharType="end"/>
          </w:r>
        </w:p>
        <w:p w14:paraId="34DA2C72">
          <w:pPr>
            <w:pStyle w:val="17"/>
            <w:tabs>
              <w:tab w:val="right" w:leader="dot" w:pos="9071"/>
            </w:tabs>
            <w:rPr>
              <w:rFonts w:hint="eastAsia" w:ascii="宋体" w:hAnsi="宋体" w:eastAsia="宋体"/>
              <w:color w:val="auto"/>
              <w:sz w:val="28"/>
              <w:szCs w:val="24"/>
              <w:highlight w:val="none"/>
            </w:rPr>
          </w:pP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HYPERLINK \l _Toc26666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第五部分 评审及入围方法</w:t>
          </w:r>
          <w:r>
            <w:rPr>
              <w:rFonts w:hint="eastAsia" w:ascii="宋体" w:hAnsi="宋体" w:eastAsia="宋体"/>
              <w:color w:val="auto"/>
              <w:sz w:val="28"/>
              <w:szCs w:val="24"/>
              <w:highlight w:val="none"/>
            </w:rPr>
            <w:tab/>
          </w: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PAGEREF _Toc26666 \h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25</w:t>
          </w:r>
          <w:r>
            <w:rPr>
              <w:rFonts w:hint="eastAsia" w:ascii="宋体" w:hAnsi="宋体" w:eastAsia="宋体"/>
              <w:color w:val="auto"/>
              <w:sz w:val="28"/>
              <w:szCs w:val="24"/>
              <w:highlight w:val="none"/>
            </w:rPr>
            <w:fldChar w:fldCharType="end"/>
          </w:r>
          <w:r>
            <w:rPr>
              <w:rFonts w:hint="eastAsia" w:ascii="宋体" w:hAnsi="宋体" w:eastAsia="宋体"/>
              <w:color w:val="auto"/>
              <w:sz w:val="28"/>
              <w:szCs w:val="24"/>
              <w:highlight w:val="none"/>
            </w:rPr>
            <w:fldChar w:fldCharType="end"/>
          </w:r>
        </w:p>
        <w:p w14:paraId="02D87B9D">
          <w:pPr>
            <w:pStyle w:val="17"/>
            <w:tabs>
              <w:tab w:val="right" w:leader="dot" w:pos="9071"/>
            </w:tabs>
            <w:rPr>
              <w:rFonts w:hint="eastAsia" w:ascii="宋体" w:hAnsi="宋体" w:eastAsia="宋体"/>
              <w:color w:val="auto"/>
              <w:sz w:val="28"/>
              <w:szCs w:val="24"/>
              <w:highlight w:val="none"/>
            </w:rPr>
          </w:pP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HYPERLINK \l _Toc30183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第六部分 框架协议文本和采购合同文本</w:t>
          </w:r>
          <w:r>
            <w:rPr>
              <w:rFonts w:hint="eastAsia" w:ascii="宋体" w:hAnsi="宋体" w:eastAsia="宋体"/>
              <w:color w:val="auto"/>
              <w:sz w:val="28"/>
              <w:szCs w:val="24"/>
              <w:highlight w:val="none"/>
            </w:rPr>
            <w:tab/>
          </w: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PAGEREF _Toc30183 \h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27</w:t>
          </w:r>
          <w:r>
            <w:rPr>
              <w:rFonts w:hint="eastAsia" w:ascii="宋体" w:hAnsi="宋体" w:eastAsia="宋体"/>
              <w:color w:val="auto"/>
              <w:sz w:val="28"/>
              <w:szCs w:val="24"/>
              <w:highlight w:val="none"/>
            </w:rPr>
            <w:fldChar w:fldCharType="end"/>
          </w:r>
          <w:r>
            <w:rPr>
              <w:rFonts w:hint="eastAsia" w:ascii="宋体" w:hAnsi="宋体" w:eastAsia="宋体"/>
              <w:color w:val="auto"/>
              <w:sz w:val="28"/>
              <w:szCs w:val="24"/>
              <w:highlight w:val="none"/>
            </w:rPr>
            <w:fldChar w:fldCharType="end"/>
          </w:r>
        </w:p>
        <w:p w14:paraId="59DF7305">
          <w:pPr>
            <w:pStyle w:val="17"/>
            <w:tabs>
              <w:tab w:val="right" w:leader="dot" w:pos="9071"/>
            </w:tabs>
            <w:rPr>
              <w:rFonts w:hint="eastAsia" w:ascii="宋体" w:hAnsi="宋体" w:eastAsia="宋体"/>
              <w:color w:val="auto"/>
              <w:sz w:val="28"/>
              <w:szCs w:val="24"/>
              <w:highlight w:val="none"/>
            </w:rPr>
          </w:pP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HYPERLINK \l _Toc31571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第七部分 电子响应文件格式</w:t>
          </w:r>
          <w:r>
            <w:rPr>
              <w:rFonts w:hint="eastAsia" w:ascii="宋体" w:hAnsi="宋体" w:eastAsia="宋体"/>
              <w:color w:val="auto"/>
              <w:sz w:val="28"/>
              <w:szCs w:val="24"/>
              <w:highlight w:val="none"/>
            </w:rPr>
            <w:tab/>
          </w: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PAGEREF _Toc31571 \h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34</w:t>
          </w:r>
          <w:r>
            <w:rPr>
              <w:rFonts w:hint="eastAsia" w:ascii="宋体" w:hAnsi="宋体" w:eastAsia="宋体"/>
              <w:color w:val="auto"/>
              <w:sz w:val="28"/>
              <w:szCs w:val="24"/>
              <w:highlight w:val="none"/>
            </w:rPr>
            <w:fldChar w:fldCharType="end"/>
          </w:r>
          <w:r>
            <w:rPr>
              <w:rFonts w:hint="eastAsia" w:ascii="宋体" w:hAnsi="宋体" w:eastAsia="宋体"/>
              <w:color w:val="auto"/>
              <w:sz w:val="28"/>
              <w:szCs w:val="24"/>
              <w:highlight w:val="none"/>
            </w:rPr>
            <w:fldChar w:fldCharType="end"/>
          </w:r>
        </w:p>
        <w:p w14:paraId="3C6254F0">
          <w:pPr>
            <w:pStyle w:val="17"/>
            <w:tabs>
              <w:tab w:val="right" w:leader="dot" w:pos="9071"/>
            </w:tabs>
            <w:rPr>
              <w:rFonts w:hint="eastAsia" w:ascii="宋体" w:hAnsi="宋体" w:eastAsia="宋体" w:cs="宋体"/>
              <w:sz w:val="28"/>
              <w:szCs w:val="28"/>
            </w:rPr>
          </w:pP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HYPERLINK \l _Toc25750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lang w:val="en-US" w:eastAsia="zh-CN"/>
            </w:rPr>
            <w:t>第八部分 附件</w:t>
          </w:r>
          <w:r>
            <w:rPr>
              <w:rFonts w:hint="eastAsia" w:ascii="宋体" w:hAnsi="宋体" w:eastAsia="宋体"/>
              <w:color w:val="auto"/>
              <w:sz w:val="28"/>
              <w:szCs w:val="24"/>
              <w:highlight w:val="none"/>
            </w:rPr>
            <w:tab/>
          </w:r>
          <w:r>
            <w:rPr>
              <w:rFonts w:hint="eastAsia" w:ascii="宋体" w:hAnsi="宋体" w:eastAsia="宋体"/>
              <w:color w:val="auto"/>
              <w:sz w:val="28"/>
              <w:szCs w:val="24"/>
              <w:highlight w:val="none"/>
            </w:rPr>
            <w:fldChar w:fldCharType="begin"/>
          </w:r>
          <w:r>
            <w:rPr>
              <w:rFonts w:hint="eastAsia" w:ascii="宋体" w:hAnsi="宋体" w:eastAsia="宋体"/>
              <w:color w:val="auto"/>
              <w:sz w:val="28"/>
              <w:szCs w:val="24"/>
              <w:highlight w:val="none"/>
            </w:rPr>
            <w:instrText xml:space="preserve"> PAGEREF _Toc25750 \h </w:instrText>
          </w:r>
          <w:r>
            <w:rPr>
              <w:rFonts w:hint="eastAsia" w:ascii="宋体" w:hAnsi="宋体" w:eastAsia="宋体"/>
              <w:color w:val="auto"/>
              <w:sz w:val="28"/>
              <w:szCs w:val="24"/>
              <w:highlight w:val="none"/>
            </w:rPr>
            <w:fldChar w:fldCharType="separate"/>
          </w:r>
          <w:r>
            <w:rPr>
              <w:rFonts w:hint="eastAsia" w:ascii="宋体" w:hAnsi="宋体" w:eastAsia="宋体"/>
              <w:color w:val="auto"/>
              <w:sz w:val="28"/>
              <w:szCs w:val="24"/>
              <w:highlight w:val="none"/>
            </w:rPr>
            <w:t>41</w:t>
          </w:r>
          <w:r>
            <w:rPr>
              <w:rFonts w:hint="eastAsia" w:ascii="宋体" w:hAnsi="宋体" w:eastAsia="宋体"/>
              <w:color w:val="auto"/>
              <w:sz w:val="28"/>
              <w:szCs w:val="24"/>
              <w:highlight w:val="none"/>
            </w:rPr>
            <w:fldChar w:fldCharType="end"/>
          </w:r>
          <w:r>
            <w:rPr>
              <w:rFonts w:hint="eastAsia" w:ascii="宋体" w:hAnsi="宋体" w:eastAsia="宋体"/>
              <w:color w:val="auto"/>
              <w:sz w:val="28"/>
              <w:szCs w:val="24"/>
              <w:highlight w:val="none"/>
            </w:rPr>
            <w:fldChar w:fldCharType="end"/>
          </w:r>
        </w:p>
        <w:p w14:paraId="4FC64375">
          <w:pPr>
            <w:rPr>
              <w:color w:val="auto"/>
              <w:sz w:val="21"/>
              <w:szCs w:val="21"/>
              <w:highlight w:val="none"/>
            </w:rPr>
            <w:sectPr>
              <w:headerReference r:id="rId7" w:type="default"/>
              <w:footerReference r:id="rId8" w:type="default"/>
              <w:pgSz w:w="11907" w:h="16840"/>
              <w:pgMar w:top="1418" w:right="1418" w:bottom="1418" w:left="1418" w:header="851" w:footer="850" w:gutter="0"/>
              <w:cols w:space="720" w:num="1"/>
              <w:docGrid w:type="lines" w:linePitch="326" w:charSpace="0"/>
            </w:sectPr>
          </w:pPr>
          <w:r>
            <w:rPr>
              <w:rFonts w:hint="eastAsia" w:ascii="宋体" w:hAnsi="宋体" w:eastAsia="宋体" w:cs="宋体"/>
              <w:color w:val="auto"/>
              <w:sz w:val="28"/>
              <w:szCs w:val="28"/>
              <w:highlight w:val="none"/>
            </w:rPr>
            <w:fldChar w:fldCharType="end"/>
          </w:r>
        </w:p>
      </w:sdtContent>
    </w:sdt>
    <w:p w14:paraId="6EE53B5F">
      <w:pPr>
        <w:snapToGrid w:val="0"/>
        <w:spacing w:line="400" w:lineRule="exact"/>
        <w:jc w:val="both"/>
        <w:rPr>
          <w:rFonts w:ascii="宋体"/>
          <w:color w:val="auto"/>
          <w:sz w:val="22"/>
          <w:highlight w:val="none"/>
        </w:rPr>
      </w:pPr>
    </w:p>
    <w:p w14:paraId="1DBC7C37">
      <w:pPr>
        <w:pStyle w:val="57"/>
        <w:snapToGrid w:val="0"/>
        <w:spacing w:before="0" w:after="0"/>
        <w:ind w:left="0"/>
        <w:rPr>
          <w:rFonts w:ascii="宋体"/>
          <w:color w:val="auto"/>
          <w:sz w:val="32"/>
          <w:szCs w:val="21"/>
          <w:highlight w:val="none"/>
        </w:rPr>
      </w:pPr>
      <w:bookmarkStart w:id="0" w:name="_Toc21488"/>
      <w:bookmarkStart w:id="1" w:name="_Toc27650"/>
      <w:bookmarkStart w:id="2" w:name="_Toc186274096"/>
      <w:bookmarkStart w:id="3" w:name="_Toc27555"/>
      <w:bookmarkStart w:id="4" w:name="_Toc14079"/>
      <w:r>
        <w:rPr>
          <w:rFonts w:hint="eastAsia" w:ascii="宋体" w:hAnsi="宋体"/>
          <w:color w:val="auto"/>
          <w:sz w:val="32"/>
          <w:szCs w:val="21"/>
          <w:highlight w:val="none"/>
          <w:lang w:val="en-US" w:eastAsia="zh-CN"/>
        </w:rPr>
        <w:t xml:space="preserve"> </w:t>
      </w:r>
      <w:r>
        <w:rPr>
          <w:rFonts w:hint="eastAsia" w:ascii="宋体" w:hAnsi="宋体"/>
          <w:color w:val="auto"/>
          <w:sz w:val="32"/>
          <w:szCs w:val="21"/>
          <w:highlight w:val="none"/>
        </w:rPr>
        <w:t>征集邀请</w:t>
      </w:r>
      <w:bookmarkEnd w:id="0"/>
      <w:bookmarkEnd w:id="1"/>
      <w:bookmarkEnd w:id="2"/>
      <w:bookmarkEnd w:id="3"/>
      <w:bookmarkEnd w:id="4"/>
    </w:p>
    <w:p w14:paraId="7DC1C430">
      <w:pPr>
        <w:adjustRightInd/>
        <w:spacing w:line="400" w:lineRule="exact"/>
        <w:ind w:firstLine="440" w:firstLineChars="200"/>
        <w:contextualSpacing/>
        <w:rPr>
          <w:rFonts w:ascii="宋体" w:hAnsi="宋体" w:cs="微软雅黑"/>
          <w:color w:val="auto"/>
          <w:sz w:val="22"/>
          <w:highlight w:val="none"/>
        </w:rPr>
      </w:pPr>
      <w:r>
        <w:rPr>
          <w:rFonts w:hint="eastAsia" w:ascii="宋体" w:hAnsi="宋体" w:cs="微软雅黑"/>
          <w:color w:val="auto"/>
          <w:sz w:val="22"/>
          <w:highlight w:val="none"/>
        </w:rPr>
        <w:t>北京市公共资源交易中心承担市级政府集中采购机构职责</w:t>
      </w:r>
      <w:r>
        <w:rPr>
          <w:rFonts w:hint="eastAsia" w:ascii="宋体" w:hAnsi="宋体" w:cs="微软雅黑"/>
          <w:color w:val="auto"/>
          <w:sz w:val="22"/>
          <w:highlight w:val="none"/>
          <w:lang w:val="en-US" w:eastAsia="zh-CN"/>
        </w:rPr>
        <w:t>，</w:t>
      </w:r>
      <w:r>
        <w:rPr>
          <w:rFonts w:hint="eastAsia" w:ascii="宋体" w:hAnsi="宋体" w:cs="微软雅黑"/>
          <w:color w:val="auto"/>
          <w:sz w:val="22"/>
          <w:highlight w:val="none"/>
        </w:rPr>
        <w:t>现邀请符合本征集文件规定</w:t>
      </w:r>
      <w:r>
        <w:rPr>
          <w:rFonts w:hint="eastAsia" w:ascii="宋体" w:hAnsi="宋体" w:eastAsia="宋体" w:cs="微软雅黑"/>
          <w:color w:val="auto"/>
          <w:sz w:val="22"/>
          <w:highlight w:val="none"/>
          <w:lang w:val="en-US" w:eastAsia="zh-CN"/>
        </w:rPr>
        <w:t>条</w:t>
      </w:r>
      <w:r>
        <w:rPr>
          <w:rFonts w:hint="eastAsia" w:ascii="宋体" w:hAnsi="宋体" w:cs="微软雅黑"/>
          <w:color w:val="auto"/>
          <w:sz w:val="22"/>
          <w:highlight w:val="none"/>
        </w:rPr>
        <w:t>件的合格响应人前来响应。</w:t>
      </w:r>
    </w:p>
    <w:p w14:paraId="571CAFC3">
      <w:pPr>
        <w:numPr>
          <w:ilvl w:val="0"/>
          <w:numId w:val="4"/>
        </w:numPr>
        <w:snapToGrid w:val="0"/>
        <w:spacing w:line="400" w:lineRule="exact"/>
        <w:rPr>
          <w:rFonts w:ascii="宋体" w:hAnsi="宋体" w:cs="微软雅黑"/>
          <w:b/>
          <w:color w:val="auto"/>
          <w:sz w:val="22"/>
          <w:highlight w:val="none"/>
        </w:rPr>
      </w:pPr>
      <w:bookmarkStart w:id="5" w:name="_Toc184013601"/>
      <w:bookmarkStart w:id="6" w:name="_Toc186274097"/>
      <w:bookmarkStart w:id="7" w:name="_Toc174185144"/>
      <w:bookmarkStart w:id="8" w:name="_Toc184023100"/>
      <w:bookmarkStart w:id="9" w:name="_Toc180051008"/>
      <w:bookmarkStart w:id="10" w:name="_Toc184023106"/>
      <w:bookmarkStart w:id="11" w:name="_Toc174185151"/>
      <w:bookmarkStart w:id="12" w:name="_Toc186274103"/>
      <w:bookmarkStart w:id="13" w:name="_Toc184013607"/>
      <w:bookmarkStart w:id="14" w:name="_Toc180051014"/>
      <w:r>
        <w:rPr>
          <w:rFonts w:hint="eastAsia" w:ascii="宋体" w:hAnsi="宋体" w:cs="微软雅黑"/>
          <w:b/>
          <w:color w:val="auto"/>
          <w:sz w:val="22"/>
          <w:highlight w:val="none"/>
        </w:rPr>
        <w:t>项目基本信息</w:t>
      </w:r>
    </w:p>
    <w:tbl>
      <w:tblPr>
        <w:tblStyle w:val="22"/>
        <w:tblW w:w="9830" w:type="dxa"/>
        <w:tblInd w:w="-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54"/>
        <w:gridCol w:w="3683"/>
        <w:gridCol w:w="3919"/>
      </w:tblGrid>
      <w:tr w14:paraId="6196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4385CEDC">
            <w:pPr>
              <w:kinsoku w:val="0"/>
              <w:overflowPunct w:val="0"/>
              <w:autoSpaceDE w:val="0"/>
              <w:autoSpaceDN w:val="0"/>
              <w:snapToGrid w:val="0"/>
              <w:spacing w:line="320" w:lineRule="exact"/>
              <w:jc w:val="center"/>
              <w:textAlignment w:val="auto"/>
              <w:rPr>
                <w:rFonts w:ascii="宋体" w:cs="微软雅黑"/>
                <w:b/>
                <w:bCs/>
                <w:color w:val="auto"/>
                <w:sz w:val="22"/>
                <w:highlight w:val="none"/>
              </w:rPr>
            </w:pPr>
            <w:r>
              <w:rPr>
                <w:rFonts w:hint="eastAsia" w:ascii="宋体" w:hAnsi="宋体" w:cs="微软雅黑"/>
                <w:b/>
                <w:bCs/>
                <w:color w:val="auto"/>
                <w:sz w:val="22"/>
                <w:highlight w:val="none"/>
              </w:rPr>
              <w:t>序号</w:t>
            </w:r>
          </w:p>
        </w:tc>
        <w:tc>
          <w:tcPr>
            <w:tcW w:w="1554" w:type="dxa"/>
            <w:vAlign w:val="center"/>
          </w:tcPr>
          <w:p w14:paraId="0C9B388D">
            <w:pPr>
              <w:kinsoku w:val="0"/>
              <w:overflowPunct w:val="0"/>
              <w:autoSpaceDE w:val="0"/>
              <w:autoSpaceDN w:val="0"/>
              <w:snapToGrid w:val="0"/>
              <w:spacing w:line="320" w:lineRule="exact"/>
              <w:jc w:val="center"/>
              <w:textAlignment w:val="auto"/>
              <w:rPr>
                <w:rFonts w:ascii="宋体" w:cs="微软雅黑"/>
                <w:b/>
                <w:bCs/>
                <w:color w:val="auto"/>
                <w:sz w:val="22"/>
                <w:highlight w:val="none"/>
              </w:rPr>
            </w:pPr>
            <w:r>
              <w:rPr>
                <w:rFonts w:hint="eastAsia" w:ascii="宋体" w:hAnsi="宋体" w:cs="微软雅黑"/>
                <w:b/>
                <w:bCs/>
                <w:color w:val="auto"/>
                <w:sz w:val="22"/>
                <w:highlight w:val="none"/>
              </w:rPr>
              <w:t>项目</w:t>
            </w:r>
          </w:p>
        </w:tc>
        <w:tc>
          <w:tcPr>
            <w:tcW w:w="3683" w:type="dxa"/>
            <w:vAlign w:val="center"/>
          </w:tcPr>
          <w:p w14:paraId="1E3DA34D">
            <w:pPr>
              <w:pStyle w:val="12"/>
              <w:kinsoku w:val="0"/>
              <w:overflowPunct w:val="0"/>
              <w:autoSpaceDE w:val="0"/>
              <w:autoSpaceDN w:val="0"/>
              <w:adjustRightInd w:val="0"/>
              <w:snapToGrid w:val="0"/>
              <w:spacing w:line="320" w:lineRule="exact"/>
              <w:jc w:val="center"/>
              <w:rPr>
                <w:rFonts w:hAnsi="宋体" w:cs="微软雅黑"/>
                <w:b/>
                <w:bCs/>
                <w:color w:val="auto"/>
                <w:sz w:val="22"/>
                <w:szCs w:val="22"/>
                <w:highlight w:val="none"/>
              </w:rPr>
            </w:pPr>
            <w:r>
              <w:rPr>
                <w:rFonts w:hint="eastAsia" w:hAnsi="宋体" w:cs="微软雅黑"/>
                <w:b/>
                <w:bCs/>
                <w:color w:val="auto"/>
                <w:sz w:val="22"/>
                <w:szCs w:val="22"/>
                <w:highlight w:val="none"/>
              </w:rPr>
              <w:t>内容</w:t>
            </w:r>
          </w:p>
        </w:tc>
        <w:tc>
          <w:tcPr>
            <w:tcW w:w="3919" w:type="dxa"/>
            <w:vAlign w:val="center"/>
          </w:tcPr>
          <w:p w14:paraId="0A5A21D4">
            <w:pPr>
              <w:pStyle w:val="12"/>
              <w:kinsoku w:val="0"/>
              <w:overflowPunct w:val="0"/>
              <w:autoSpaceDE w:val="0"/>
              <w:autoSpaceDN w:val="0"/>
              <w:adjustRightInd w:val="0"/>
              <w:snapToGrid w:val="0"/>
              <w:spacing w:line="320" w:lineRule="exact"/>
              <w:jc w:val="center"/>
              <w:rPr>
                <w:rFonts w:hAnsi="宋体" w:cs="微软雅黑"/>
                <w:b/>
                <w:bCs/>
                <w:color w:val="auto"/>
                <w:kern w:val="0"/>
                <w:sz w:val="22"/>
                <w:szCs w:val="22"/>
                <w:highlight w:val="none"/>
              </w:rPr>
            </w:pPr>
            <w:r>
              <w:rPr>
                <w:rFonts w:hint="eastAsia" w:hAnsi="宋体" w:cs="微软雅黑"/>
                <w:b/>
                <w:bCs/>
                <w:color w:val="auto"/>
                <w:kern w:val="0"/>
                <w:sz w:val="22"/>
                <w:szCs w:val="22"/>
                <w:highlight w:val="none"/>
              </w:rPr>
              <w:t>备注</w:t>
            </w:r>
          </w:p>
        </w:tc>
      </w:tr>
      <w:tr w14:paraId="457F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29AD56AF">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1F554CA0">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采购编号</w:t>
            </w:r>
          </w:p>
        </w:tc>
        <w:tc>
          <w:tcPr>
            <w:tcW w:w="3683" w:type="dxa"/>
            <w:vAlign w:val="center"/>
          </w:tcPr>
          <w:p w14:paraId="2F166CDC">
            <w:pPr>
              <w:pStyle w:val="58"/>
              <w:keepNext w:val="0"/>
              <w:keepLines w:val="0"/>
              <w:numPr>
                <w:ilvl w:val="0"/>
                <w:numId w:val="0"/>
              </w:numPr>
              <w:kinsoku w:val="0"/>
              <w:overflowPunct w:val="0"/>
              <w:autoSpaceDE w:val="0"/>
              <w:autoSpaceDN w:val="0"/>
              <w:snapToGrid w:val="0"/>
              <w:spacing w:before="0" w:after="0" w:line="320" w:lineRule="exact"/>
              <w:jc w:val="left"/>
              <w:rPr>
                <w:rFonts w:hint="default" w:ascii="宋体" w:eastAsia="宋体" w:cs="微软雅黑"/>
                <w:b/>
                <w:color w:val="auto"/>
                <w:sz w:val="22"/>
                <w:highlight w:val="none"/>
                <w:lang w:val="en-US" w:eastAsia="zh-CN"/>
              </w:rPr>
            </w:pPr>
            <w:r>
              <w:rPr>
                <w:rFonts w:hint="eastAsia" w:ascii="宋体" w:hAnsi="宋体" w:eastAsia="宋体" w:cs="微软雅黑"/>
                <w:b w:val="0"/>
                <w:color w:val="auto"/>
                <w:sz w:val="22"/>
                <w:szCs w:val="22"/>
                <w:highlight w:val="none"/>
                <w:lang w:val="en-US" w:eastAsia="zh-CN"/>
              </w:rPr>
              <w:t>BGPC-Z25001</w:t>
            </w:r>
          </w:p>
        </w:tc>
        <w:tc>
          <w:tcPr>
            <w:tcW w:w="3919" w:type="dxa"/>
            <w:shd w:val="clear" w:color="auto" w:fill="auto"/>
            <w:vAlign w:val="center"/>
          </w:tcPr>
          <w:p w14:paraId="4E1E9198">
            <w:pPr>
              <w:pStyle w:val="12"/>
              <w:kinsoku w:val="0"/>
              <w:overflowPunct w:val="0"/>
              <w:autoSpaceDE w:val="0"/>
              <w:autoSpaceDN w:val="0"/>
              <w:adjustRightInd w:val="0"/>
              <w:snapToGrid w:val="0"/>
              <w:spacing w:line="320" w:lineRule="exact"/>
              <w:jc w:val="center"/>
              <w:rPr>
                <w:rFonts w:hint="eastAsia" w:ascii="宋体" w:hAnsi="宋体" w:eastAsia="宋体" w:cs="微软雅黑"/>
                <w:b/>
                <w:bCs/>
                <w:color w:val="auto"/>
                <w:kern w:val="0"/>
                <w:sz w:val="22"/>
                <w:szCs w:val="22"/>
                <w:highlight w:val="none"/>
                <w:lang w:val="en-US" w:eastAsia="zh-CN" w:bidi="ar-SA"/>
              </w:rPr>
            </w:pPr>
            <w:r>
              <w:rPr>
                <w:rFonts w:hint="eastAsia" w:ascii="宋体" w:hAnsi="宋体" w:eastAsia="宋体" w:cs="微软雅黑"/>
                <w:color w:val="000000" w:themeColor="text1"/>
                <w:kern w:val="0"/>
                <w:sz w:val="22"/>
                <w:szCs w:val="22"/>
                <w:highlight w:val="none"/>
                <w:lang w:val="en-US" w:eastAsia="zh-CN" w:bidi="ar-SA"/>
                <w14:textFill>
                  <w14:solidFill>
                    <w14:schemeClr w14:val="tx1"/>
                  </w14:solidFill>
                </w14:textFill>
              </w:rPr>
              <w:t>无</w:t>
            </w:r>
          </w:p>
        </w:tc>
      </w:tr>
      <w:tr w14:paraId="5949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39D5FFD9">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1961CE0E">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项目名称</w:t>
            </w:r>
          </w:p>
        </w:tc>
        <w:tc>
          <w:tcPr>
            <w:tcW w:w="3683" w:type="dxa"/>
            <w:vAlign w:val="center"/>
          </w:tcPr>
          <w:p w14:paraId="3FAC0DF4">
            <w:pPr>
              <w:pStyle w:val="58"/>
              <w:keepNext w:val="0"/>
              <w:keepLines w:val="0"/>
              <w:numPr>
                <w:ilvl w:val="0"/>
                <w:numId w:val="0"/>
              </w:numPr>
              <w:kinsoku w:val="0"/>
              <w:overflowPunct w:val="0"/>
              <w:autoSpaceDE w:val="0"/>
              <w:autoSpaceDN w:val="0"/>
              <w:snapToGrid w:val="0"/>
              <w:spacing w:before="0" w:after="0" w:line="320" w:lineRule="exact"/>
              <w:jc w:val="left"/>
              <w:rPr>
                <w:rFonts w:hint="eastAsia" w:ascii="宋体" w:hAnsi="宋体" w:eastAsia="宋体" w:cs="微软雅黑"/>
                <w:b w:val="0"/>
                <w:color w:val="auto"/>
                <w:sz w:val="22"/>
                <w:szCs w:val="22"/>
                <w:highlight w:val="none"/>
                <w:lang w:eastAsia="zh-CN"/>
              </w:rPr>
            </w:pPr>
            <w:r>
              <w:rPr>
                <w:rFonts w:hint="eastAsia" w:ascii="宋体" w:hAnsi="宋体" w:eastAsia="宋体" w:cs="微软雅黑"/>
                <w:b w:val="0"/>
                <w:color w:val="auto"/>
                <w:sz w:val="22"/>
                <w:szCs w:val="22"/>
                <w:highlight w:val="none"/>
                <w:lang w:eastAsia="zh-CN"/>
              </w:rPr>
              <w:t>北京市市级行政事业单位物业管理服务框架协议采购项目（2025年度）</w:t>
            </w:r>
          </w:p>
        </w:tc>
        <w:tc>
          <w:tcPr>
            <w:tcW w:w="3919" w:type="dxa"/>
            <w:shd w:val="clear" w:color="auto" w:fill="auto"/>
            <w:vAlign w:val="center"/>
          </w:tcPr>
          <w:p w14:paraId="06F059B6">
            <w:pPr>
              <w:pStyle w:val="12"/>
              <w:kinsoku w:val="0"/>
              <w:overflowPunct w:val="0"/>
              <w:autoSpaceDE w:val="0"/>
              <w:autoSpaceDN w:val="0"/>
              <w:adjustRightInd w:val="0"/>
              <w:snapToGrid w:val="0"/>
              <w:spacing w:line="320" w:lineRule="exact"/>
              <w:jc w:val="center"/>
              <w:rPr>
                <w:rFonts w:hint="eastAsia" w:ascii="宋体" w:hAnsi="宋体" w:eastAsia="宋体" w:cs="微软雅黑"/>
                <w:color w:val="000000" w:themeColor="text1"/>
                <w:kern w:val="0"/>
                <w:sz w:val="22"/>
                <w:szCs w:val="22"/>
                <w:highlight w:val="none"/>
                <w:lang w:val="en-US" w:eastAsia="zh-CN" w:bidi="ar-SA"/>
                <w14:textFill>
                  <w14:solidFill>
                    <w14:schemeClr w14:val="tx1"/>
                  </w14:solidFill>
                </w14:textFill>
              </w:rPr>
            </w:pPr>
            <w:r>
              <w:rPr>
                <w:rFonts w:hint="eastAsia" w:ascii="宋体" w:hAnsi="宋体" w:eastAsia="宋体" w:cs="微软雅黑"/>
                <w:color w:val="000000" w:themeColor="text1"/>
                <w:kern w:val="0"/>
                <w:sz w:val="22"/>
                <w:szCs w:val="22"/>
                <w:highlight w:val="none"/>
                <w:lang w:val="en-US" w:eastAsia="zh-CN" w:bidi="ar-SA"/>
                <w14:textFill>
                  <w14:solidFill>
                    <w14:schemeClr w14:val="tx1"/>
                  </w14:solidFill>
                </w14:textFill>
              </w:rPr>
              <w:t>无</w:t>
            </w:r>
          </w:p>
        </w:tc>
      </w:tr>
      <w:tr w14:paraId="0376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396B41AE">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2B5B3CBF">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项目属性</w:t>
            </w:r>
          </w:p>
        </w:tc>
        <w:tc>
          <w:tcPr>
            <w:tcW w:w="3683" w:type="dxa"/>
            <w:vAlign w:val="center"/>
          </w:tcPr>
          <w:p w14:paraId="17AAAA93">
            <w:pPr>
              <w:pStyle w:val="58"/>
              <w:keepNext w:val="0"/>
              <w:keepLines w:val="0"/>
              <w:numPr>
                <w:ilvl w:val="0"/>
                <w:numId w:val="0"/>
              </w:numPr>
              <w:kinsoku w:val="0"/>
              <w:overflowPunct w:val="0"/>
              <w:autoSpaceDE w:val="0"/>
              <w:autoSpaceDN w:val="0"/>
              <w:snapToGrid w:val="0"/>
              <w:spacing w:before="0" w:after="0" w:line="320" w:lineRule="exact"/>
              <w:jc w:val="left"/>
              <w:rPr>
                <w:rFonts w:hint="eastAsia" w:ascii="宋体" w:hAnsi="宋体" w:eastAsia="宋体" w:cs="微软雅黑"/>
                <w:b w:val="0"/>
                <w:color w:val="auto"/>
                <w:sz w:val="22"/>
                <w:szCs w:val="22"/>
                <w:highlight w:val="none"/>
                <w:lang w:eastAsia="zh-CN"/>
              </w:rPr>
            </w:pPr>
            <w:r>
              <w:rPr>
                <w:rFonts w:hint="eastAsia" w:ascii="宋体" w:hAnsi="宋体" w:eastAsia="宋体" w:cs="微软雅黑"/>
                <w:b w:val="0"/>
                <w:color w:val="auto"/>
                <w:sz w:val="22"/>
                <w:szCs w:val="22"/>
                <w:highlight w:val="none"/>
                <w:lang w:val="en-US" w:eastAsia="zh-CN"/>
              </w:rPr>
              <w:t>服务</w:t>
            </w:r>
          </w:p>
        </w:tc>
        <w:tc>
          <w:tcPr>
            <w:tcW w:w="3919" w:type="dxa"/>
            <w:shd w:val="clear" w:color="auto" w:fill="auto"/>
            <w:vAlign w:val="center"/>
          </w:tcPr>
          <w:p w14:paraId="2479198F">
            <w:pPr>
              <w:pStyle w:val="12"/>
              <w:kinsoku w:val="0"/>
              <w:overflowPunct w:val="0"/>
              <w:autoSpaceDE w:val="0"/>
              <w:autoSpaceDN w:val="0"/>
              <w:adjustRightInd w:val="0"/>
              <w:snapToGrid w:val="0"/>
              <w:spacing w:line="320" w:lineRule="exact"/>
              <w:jc w:val="center"/>
              <w:rPr>
                <w:rFonts w:hint="eastAsia" w:ascii="宋体" w:hAnsi="宋体" w:eastAsia="宋体" w:cs="微软雅黑"/>
                <w:color w:val="000000" w:themeColor="text1"/>
                <w:kern w:val="0"/>
                <w:sz w:val="22"/>
                <w:szCs w:val="22"/>
                <w:highlight w:val="none"/>
                <w:lang w:val="en-US" w:eastAsia="zh-CN" w:bidi="ar-SA"/>
                <w14:textFill>
                  <w14:solidFill>
                    <w14:schemeClr w14:val="tx1"/>
                  </w14:solidFill>
                </w14:textFill>
              </w:rPr>
            </w:pPr>
            <w:r>
              <w:rPr>
                <w:rFonts w:hint="eastAsia" w:ascii="宋体" w:hAnsi="宋体" w:eastAsia="宋体" w:cs="微软雅黑"/>
                <w:color w:val="000000" w:themeColor="text1"/>
                <w:kern w:val="0"/>
                <w:sz w:val="22"/>
                <w:szCs w:val="22"/>
                <w:highlight w:val="none"/>
                <w:lang w:val="en-US" w:eastAsia="zh-CN" w:bidi="ar-SA"/>
                <w14:textFill>
                  <w14:solidFill>
                    <w14:schemeClr w14:val="tx1"/>
                  </w14:solidFill>
                </w14:textFill>
              </w:rPr>
              <w:t>无</w:t>
            </w:r>
          </w:p>
        </w:tc>
      </w:tr>
      <w:tr w14:paraId="79CF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298ADB9D">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45F9B659">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征集人名称</w:t>
            </w:r>
          </w:p>
        </w:tc>
        <w:tc>
          <w:tcPr>
            <w:tcW w:w="3683" w:type="dxa"/>
            <w:vAlign w:val="center"/>
          </w:tcPr>
          <w:p w14:paraId="1BED1FF6">
            <w:pPr>
              <w:pStyle w:val="58"/>
              <w:keepNext w:val="0"/>
              <w:keepLines w:val="0"/>
              <w:numPr>
                <w:ilvl w:val="0"/>
                <w:numId w:val="0"/>
              </w:numPr>
              <w:kinsoku w:val="0"/>
              <w:overflowPunct w:val="0"/>
              <w:autoSpaceDE w:val="0"/>
              <w:autoSpaceDN w:val="0"/>
              <w:snapToGrid w:val="0"/>
              <w:spacing w:before="0" w:after="0" w:line="320" w:lineRule="exact"/>
              <w:jc w:val="left"/>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北京市公共资源交易中心</w:t>
            </w:r>
          </w:p>
        </w:tc>
        <w:tc>
          <w:tcPr>
            <w:tcW w:w="3919" w:type="dxa"/>
            <w:shd w:val="clear" w:color="auto" w:fill="auto"/>
            <w:vAlign w:val="center"/>
          </w:tcPr>
          <w:p w14:paraId="0909F24B">
            <w:pPr>
              <w:pStyle w:val="12"/>
              <w:kinsoku w:val="0"/>
              <w:overflowPunct w:val="0"/>
              <w:autoSpaceDE w:val="0"/>
              <w:autoSpaceDN w:val="0"/>
              <w:adjustRightInd w:val="0"/>
              <w:snapToGrid w:val="0"/>
              <w:spacing w:line="320" w:lineRule="exact"/>
              <w:jc w:val="center"/>
              <w:rPr>
                <w:rFonts w:hint="eastAsia" w:ascii="宋体" w:hAnsi="宋体" w:eastAsia="宋体" w:cs="微软雅黑"/>
                <w:color w:val="000000" w:themeColor="text1"/>
                <w:kern w:val="0"/>
                <w:sz w:val="22"/>
                <w:szCs w:val="22"/>
                <w:highlight w:val="none"/>
                <w:lang w:val="en-US" w:eastAsia="zh-CN" w:bidi="ar-SA"/>
                <w14:textFill>
                  <w14:solidFill>
                    <w14:schemeClr w14:val="tx1"/>
                  </w14:solidFill>
                </w14:textFill>
              </w:rPr>
            </w:pPr>
            <w:r>
              <w:rPr>
                <w:rFonts w:hint="eastAsia" w:ascii="宋体" w:hAnsi="宋体" w:eastAsia="宋体" w:cs="微软雅黑"/>
                <w:color w:val="000000" w:themeColor="text1"/>
                <w:kern w:val="0"/>
                <w:sz w:val="22"/>
                <w:szCs w:val="22"/>
                <w:highlight w:val="none"/>
                <w:lang w:val="en-US" w:eastAsia="zh-CN" w:bidi="ar-SA"/>
                <w14:textFill>
                  <w14:solidFill>
                    <w14:schemeClr w14:val="tx1"/>
                  </w14:solidFill>
                </w14:textFill>
              </w:rPr>
              <w:t>无</w:t>
            </w:r>
          </w:p>
        </w:tc>
      </w:tr>
      <w:tr w14:paraId="0673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094F97AC">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7F7DAB63">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采购人名称</w:t>
            </w:r>
          </w:p>
        </w:tc>
        <w:tc>
          <w:tcPr>
            <w:tcW w:w="3683" w:type="dxa"/>
            <w:vAlign w:val="center"/>
          </w:tcPr>
          <w:p w14:paraId="709C780A">
            <w:pPr>
              <w:pStyle w:val="58"/>
              <w:keepNext w:val="0"/>
              <w:keepLines w:val="0"/>
              <w:numPr>
                <w:ilvl w:val="0"/>
                <w:numId w:val="0"/>
              </w:numPr>
              <w:kinsoku w:val="0"/>
              <w:overflowPunct w:val="0"/>
              <w:autoSpaceDE w:val="0"/>
              <w:autoSpaceDN w:val="0"/>
              <w:snapToGrid w:val="0"/>
              <w:spacing w:before="0" w:after="0" w:line="320" w:lineRule="exact"/>
              <w:jc w:val="left"/>
              <w:rPr>
                <w:rFonts w:ascii="宋体" w:eastAsia="宋体" w:cs="微软雅黑"/>
                <w:b w:val="0"/>
                <w:color w:val="auto"/>
                <w:sz w:val="22"/>
                <w:szCs w:val="22"/>
                <w:highlight w:val="none"/>
              </w:rPr>
            </w:pPr>
            <w:r>
              <w:rPr>
                <w:rFonts w:hint="eastAsia" w:ascii="宋体" w:hAnsi="宋体" w:eastAsia="宋体" w:cs="微软雅黑"/>
                <w:b w:val="0"/>
                <w:bCs w:val="0"/>
                <w:color w:val="auto"/>
                <w:sz w:val="22"/>
                <w:szCs w:val="22"/>
                <w:highlight w:val="none"/>
              </w:rPr>
              <w:t>北京市市级党政机关、事业单位和团体组织</w:t>
            </w:r>
          </w:p>
        </w:tc>
        <w:tc>
          <w:tcPr>
            <w:tcW w:w="3919" w:type="dxa"/>
            <w:vAlign w:val="center"/>
          </w:tcPr>
          <w:p w14:paraId="1FB21C3F">
            <w:pPr>
              <w:pStyle w:val="12"/>
              <w:kinsoku w:val="0"/>
              <w:overflowPunct w:val="0"/>
              <w:autoSpaceDE w:val="0"/>
              <w:autoSpaceDN w:val="0"/>
              <w:adjustRightInd w:val="0"/>
              <w:snapToGrid w:val="0"/>
              <w:spacing w:line="320" w:lineRule="exact"/>
              <w:jc w:val="left"/>
              <w:rPr>
                <w:rFonts w:hAnsi="宋体" w:cs="微软雅黑"/>
                <w:b/>
                <w:bCs/>
                <w:color w:val="auto"/>
                <w:kern w:val="0"/>
                <w:sz w:val="22"/>
                <w:szCs w:val="22"/>
                <w:highlight w:val="none"/>
              </w:rPr>
            </w:pPr>
            <w:r>
              <w:rPr>
                <w:rFonts w:hint="eastAsia" w:hAnsi="宋体" w:cs="微软雅黑"/>
                <w:bCs/>
                <w:color w:val="auto"/>
                <w:kern w:val="0"/>
                <w:sz w:val="22"/>
                <w:szCs w:val="22"/>
                <w:highlight w:val="none"/>
              </w:rPr>
              <w:t>北京市各区级</w:t>
            </w:r>
            <w:r>
              <w:rPr>
                <w:rFonts w:hint="eastAsia" w:hAnsi="宋体" w:cs="微软雅黑"/>
                <w:color w:val="auto"/>
                <w:sz w:val="22"/>
                <w:szCs w:val="22"/>
                <w:highlight w:val="none"/>
              </w:rPr>
              <w:t>党政机关、事业单位和团体组织</w:t>
            </w:r>
            <w:r>
              <w:rPr>
                <w:rFonts w:hint="eastAsia" w:hAnsi="宋体" w:cs="微软雅黑"/>
                <w:bCs/>
                <w:color w:val="auto"/>
                <w:kern w:val="0"/>
                <w:sz w:val="22"/>
                <w:szCs w:val="22"/>
                <w:highlight w:val="none"/>
              </w:rPr>
              <w:t>共享本次征集结果。</w:t>
            </w:r>
          </w:p>
        </w:tc>
      </w:tr>
      <w:tr w14:paraId="618F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112FC7B8">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1BCA1619">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采购方式</w:t>
            </w:r>
          </w:p>
        </w:tc>
        <w:tc>
          <w:tcPr>
            <w:tcW w:w="3683" w:type="dxa"/>
            <w:vAlign w:val="center"/>
          </w:tcPr>
          <w:p w14:paraId="657E5696">
            <w:pPr>
              <w:pStyle w:val="58"/>
              <w:keepNext w:val="0"/>
              <w:keepLines w:val="0"/>
              <w:numPr>
                <w:ilvl w:val="0"/>
                <w:numId w:val="0"/>
              </w:numPr>
              <w:kinsoku w:val="0"/>
              <w:overflowPunct w:val="0"/>
              <w:autoSpaceDE w:val="0"/>
              <w:autoSpaceDN w:val="0"/>
              <w:snapToGrid w:val="0"/>
              <w:spacing w:before="0" w:after="0" w:line="320" w:lineRule="exact"/>
              <w:jc w:val="left"/>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框架协议采购（封闭式）</w:t>
            </w:r>
          </w:p>
        </w:tc>
        <w:tc>
          <w:tcPr>
            <w:tcW w:w="3919" w:type="dxa"/>
            <w:vAlign w:val="center"/>
          </w:tcPr>
          <w:p w14:paraId="3A998C51">
            <w:pPr>
              <w:pStyle w:val="12"/>
              <w:kinsoku w:val="0"/>
              <w:overflowPunct w:val="0"/>
              <w:autoSpaceDE w:val="0"/>
              <w:autoSpaceDN w:val="0"/>
              <w:adjustRightInd w:val="0"/>
              <w:snapToGrid w:val="0"/>
              <w:spacing w:line="320" w:lineRule="exact"/>
              <w:jc w:val="left"/>
              <w:rPr>
                <w:rFonts w:hAnsi="宋体" w:cs="微软雅黑"/>
                <w:b/>
                <w:bCs/>
                <w:color w:val="auto"/>
                <w:kern w:val="0"/>
                <w:sz w:val="22"/>
                <w:szCs w:val="22"/>
                <w:highlight w:val="none"/>
              </w:rPr>
            </w:pPr>
            <w:r>
              <w:rPr>
                <w:rFonts w:hint="eastAsia" w:hAnsi="宋体" w:cs="微软雅黑"/>
                <w:b w:val="0"/>
                <w:bCs w:val="0"/>
                <w:color w:val="auto"/>
                <w:kern w:val="0"/>
                <w:sz w:val="22"/>
                <w:szCs w:val="22"/>
                <w:highlight w:val="none"/>
                <w:lang w:eastAsia="zh-CN"/>
              </w:rPr>
              <w:t>无</w:t>
            </w:r>
          </w:p>
        </w:tc>
      </w:tr>
      <w:tr w14:paraId="5164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5EB71235">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2B088561">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预算金额</w:t>
            </w:r>
          </w:p>
        </w:tc>
        <w:tc>
          <w:tcPr>
            <w:tcW w:w="3683" w:type="dxa"/>
            <w:vAlign w:val="center"/>
          </w:tcPr>
          <w:p w14:paraId="50629D61">
            <w:pPr>
              <w:pStyle w:val="58"/>
              <w:keepNext w:val="0"/>
              <w:keepLines w:val="0"/>
              <w:numPr>
                <w:ilvl w:val="0"/>
                <w:numId w:val="0"/>
              </w:numPr>
              <w:kinsoku w:val="0"/>
              <w:overflowPunct w:val="0"/>
              <w:autoSpaceDE w:val="0"/>
              <w:autoSpaceDN w:val="0"/>
              <w:snapToGrid w:val="0"/>
              <w:spacing w:before="0" w:after="0" w:line="320" w:lineRule="exact"/>
              <w:jc w:val="left"/>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无</w:t>
            </w:r>
          </w:p>
        </w:tc>
        <w:tc>
          <w:tcPr>
            <w:tcW w:w="3919" w:type="dxa"/>
            <w:vAlign w:val="center"/>
          </w:tcPr>
          <w:p w14:paraId="6E8E2F20">
            <w:pPr>
              <w:pStyle w:val="12"/>
              <w:kinsoku w:val="0"/>
              <w:overflowPunct w:val="0"/>
              <w:autoSpaceDE w:val="0"/>
              <w:autoSpaceDN w:val="0"/>
              <w:adjustRightInd w:val="0"/>
              <w:snapToGrid w:val="0"/>
              <w:spacing w:line="320" w:lineRule="exact"/>
              <w:jc w:val="left"/>
              <w:rPr>
                <w:rFonts w:hAnsi="宋体" w:cs="微软雅黑"/>
                <w:b/>
                <w:bCs/>
                <w:color w:val="auto"/>
                <w:kern w:val="0"/>
                <w:sz w:val="22"/>
                <w:szCs w:val="22"/>
                <w:highlight w:val="none"/>
              </w:rPr>
            </w:pPr>
            <w:r>
              <w:rPr>
                <w:rFonts w:hint="eastAsia" w:hAnsi="宋体" w:cs="微软雅黑"/>
                <w:color w:val="auto"/>
                <w:sz w:val="22"/>
                <w:szCs w:val="22"/>
                <w:highlight w:val="none"/>
              </w:rPr>
              <w:t>框架协议采购项目，征集阶段无预算</w:t>
            </w:r>
          </w:p>
        </w:tc>
      </w:tr>
      <w:tr w14:paraId="3295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306AF092">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1762664E">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最高限制单价</w:t>
            </w:r>
          </w:p>
        </w:tc>
        <w:tc>
          <w:tcPr>
            <w:tcW w:w="3683" w:type="dxa"/>
            <w:vAlign w:val="center"/>
          </w:tcPr>
          <w:p w14:paraId="4AAA0323">
            <w:pPr>
              <w:pStyle w:val="58"/>
              <w:keepNext w:val="0"/>
              <w:keepLines w:val="0"/>
              <w:numPr>
                <w:ilvl w:val="0"/>
                <w:numId w:val="0"/>
              </w:numPr>
              <w:kinsoku w:val="0"/>
              <w:overflowPunct w:val="0"/>
              <w:autoSpaceDE w:val="0"/>
              <w:autoSpaceDN w:val="0"/>
              <w:snapToGrid w:val="0"/>
              <w:spacing w:before="0" w:after="0" w:line="320" w:lineRule="exact"/>
              <w:jc w:val="left"/>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详见征集文件第四部分</w:t>
            </w:r>
          </w:p>
        </w:tc>
        <w:tc>
          <w:tcPr>
            <w:tcW w:w="3919" w:type="dxa"/>
            <w:shd w:val="clear" w:color="auto" w:fill="auto"/>
            <w:vAlign w:val="center"/>
          </w:tcPr>
          <w:p w14:paraId="0C466C36">
            <w:pPr>
              <w:pStyle w:val="12"/>
              <w:kinsoku w:val="0"/>
              <w:overflowPunct w:val="0"/>
              <w:autoSpaceDE w:val="0"/>
              <w:autoSpaceDN w:val="0"/>
              <w:adjustRightInd w:val="0"/>
              <w:snapToGrid w:val="0"/>
              <w:spacing w:line="320" w:lineRule="exact"/>
              <w:jc w:val="left"/>
              <w:rPr>
                <w:rFonts w:hint="eastAsia" w:ascii="宋体" w:hAnsi="宋体" w:eastAsia="宋体" w:cs="微软雅黑"/>
                <w:color w:val="auto"/>
                <w:kern w:val="2"/>
                <w:sz w:val="22"/>
                <w:szCs w:val="22"/>
                <w:highlight w:val="none"/>
                <w:lang w:val="en-US" w:eastAsia="zh-CN" w:bidi="ar-SA"/>
              </w:rPr>
            </w:pPr>
            <w:r>
              <w:rPr>
                <w:rFonts w:hint="eastAsia" w:hAnsi="宋体" w:cs="微软雅黑"/>
                <w:color w:val="auto"/>
                <w:sz w:val="22"/>
                <w:szCs w:val="22"/>
                <w:highlight w:val="none"/>
                <w:lang w:eastAsia="zh-CN"/>
              </w:rPr>
              <w:t>无</w:t>
            </w:r>
          </w:p>
        </w:tc>
      </w:tr>
      <w:tr w14:paraId="03A0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4" w:type="dxa"/>
            <w:vAlign w:val="center"/>
          </w:tcPr>
          <w:p w14:paraId="708EE4B2">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6741A9D8">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征集内容</w:t>
            </w:r>
          </w:p>
        </w:tc>
        <w:tc>
          <w:tcPr>
            <w:tcW w:w="3683" w:type="dxa"/>
            <w:vAlign w:val="center"/>
          </w:tcPr>
          <w:p w14:paraId="64FFBBBA">
            <w:pPr>
              <w:pStyle w:val="12"/>
              <w:kinsoku w:val="0"/>
              <w:overflowPunct w:val="0"/>
              <w:autoSpaceDE w:val="0"/>
              <w:autoSpaceDN w:val="0"/>
              <w:spacing w:line="320" w:lineRule="exact"/>
              <w:jc w:val="left"/>
              <w:rPr>
                <w:rFonts w:hint="default" w:hAnsi="宋体" w:eastAsia="宋体" w:cs="微软雅黑"/>
                <w:color w:val="auto"/>
                <w:sz w:val="22"/>
                <w:szCs w:val="22"/>
                <w:highlight w:val="none"/>
                <w:lang w:val="en-US" w:eastAsia="zh-CN"/>
              </w:rPr>
            </w:pPr>
            <w:r>
              <w:rPr>
                <w:rFonts w:hint="eastAsia" w:hAnsi="宋体" w:cs="微软雅黑"/>
                <w:bCs/>
                <w:color w:val="auto"/>
                <w:kern w:val="0"/>
                <w:sz w:val="22"/>
                <w:szCs w:val="22"/>
                <w:highlight w:val="none"/>
                <w:lang w:val="en-US" w:eastAsia="zh-CN"/>
              </w:rPr>
              <w:t>1</w:t>
            </w:r>
            <w:r>
              <w:rPr>
                <w:rFonts w:hint="eastAsia" w:hAnsi="宋体" w:cs="微软雅黑"/>
                <w:bCs/>
                <w:color w:val="auto"/>
                <w:kern w:val="0"/>
                <w:sz w:val="22"/>
                <w:szCs w:val="22"/>
                <w:highlight w:val="none"/>
                <w:lang w:eastAsia="zh-CN"/>
              </w:rPr>
              <w:t>包。</w:t>
            </w:r>
            <w:r>
              <w:rPr>
                <w:rFonts w:hint="eastAsia" w:hAnsi="宋体" w:cs="微软雅黑"/>
                <w:color w:val="auto"/>
                <w:sz w:val="22"/>
                <w:szCs w:val="22"/>
                <w:highlight w:val="none"/>
              </w:rPr>
              <w:t>具体采购需求详见征集文件第四部分</w:t>
            </w:r>
            <w:r>
              <w:rPr>
                <w:rFonts w:hint="eastAsia" w:hAnsi="宋体" w:cs="微软雅黑"/>
                <w:color w:val="auto"/>
                <w:sz w:val="22"/>
                <w:szCs w:val="22"/>
                <w:highlight w:val="none"/>
                <w:lang w:val="en-US" w:eastAsia="zh-CN"/>
              </w:rPr>
              <w:t>及第八部分</w:t>
            </w:r>
            <w:r>
              <w:rPr>
                <w:rFonts w:hint="eastAsia" w:hAnsi="宋体" w:cs="微软雅黑"/>
                <w:color w:val="auto"/>
                <w:sz w:val="22"/>
                <w:szCs w:val="22"/>
                <w:highlight w:val="none"/>
              </w:rPr>
              <w:t>。</w:t>
            </w:r>
          </w:p>
        </w:tc>
        <w:tc>
          <w:tcPr>
            <w:tcW w:w="3919" w:type="dxa"/>
            <w:shd w:val="clear" w:color="auto" w:fill="auto"/>
            <w:vAlign w:val="center"/>
          </w:tcPr>
          <w:p w14:paraId="13B4236A">
            <w:pPr>
              <w:pStyle w:val="12"/>
              <w:kinsoku w:val="0"/>
              <w:overflowPunct w:val="0"/>
              <w:autoSpaceDE w:val="0"/>
              <w:autoSpaceDN w:val="0"/>
              <w:adjustRightInd w:val="0"/>
              <w:snapToGrid w:val="0"/>
              <w:spacing w:line="320" w:lineRule="exact"/>
              <w:jc w:val="left"/>
              <w:rPr>
                <w:rFonts w:hint="eastAsia" w:hAnsi="宋体" w:cs="微软雅黑"/>
                <w:b/>
                <w:bCs w:val="0"/>
                <w:color w:val="FF0000"/>
                <w:kern w:val="0"/>
                <w:sz w:val="22"/>
                <w:szCs w:val="22"/>
                <w:highlight w:val="none"/>
                <w:lang w:eastAsia="zh-CN"/>
              </w:rPr>
            </w:pPr>
            <w:r>
              <w:rPr>
                <w:rFonts w:hint="eastAsia" w:hAnsi="宋体" w:cs="微软雅黑"/>
                <w:b/>
                <w:bCs w:val="0"/>
                <w:color w:val="FF0000"/>
                <w:kern w:val="0"/>
                <w:sz w:val="22"/>
                <w:szCs w:val="22"/>
                <w:highlight w:val="none"/>
                <w:lang w:val="en-US" w:eastAsia="zh-CN"/>
              </w:rPr>
              <w:t>响应人须参与本项目资格预审并公告合格</w:t>
            </w:r>
            <w:r>
              <w:rPr>
                <w:rFonts w:hint="eastAsia" w:hAnsi="宋体" w:cs="微软雅黑"/>
                <w:b/>
                <w:bCs w:val="0"/>
                <w:color w:val="FF0000"/>
                <w:kern w:val="0"/>
                <w:sz w:val="22"/>
                <w:szCs w:val="22"/>
                <w:highlight w:val="none"/>
                <w:lang w:eastAsia="zh-CN"/>
              </w:rPr>
              <w:t>，否则其响应将被视为无效。</w:t>
            </w:r>
          </w:p>
          <w:p w14:paraId="17F4B346">
            <w:pPr>
              <w:pStyle w:val="12"/>
              <w:keepNext w:val="0"/>
              <w:keepLines w:val="0"/>
              <w:pageBreakBefore w:val="0"/>
              <w:widowControl w:val="0"/>
              <w:kinsoku w:val="0"/>
              <w:wordWrap w:val="0"/>
              <w:overflowPunct w:val="0"/>
              <w:topLinePunct w:val="0"/>
              <w:autoSpaceDE w:val="0"/>
              <w:autoSpaceDN w:val="0"/>
              <w:bidi w:val="0"/>
              <w:adjustRightInd w:val="0"/>
              <w:snapToGrid w:val="0"/>
              <w:spacing w:line="320" w:lineRule="exact"/>
              <w:jc w:val="left"/>
              <w:textAlignment w:val="auto"/>
              <w:rPr>
                <w:rFonts w:hint="default" w:ascii="宋体" w:hAnsi="宋体" w:eastAsia="宋体" w:cs="微软雅黑"/>
                <w:b/>
                <w:bCs/>
                <w:color w:val="auto"/>
                <w:kern w:val="0"/>
                <w:sz w:val="22"/>
                <w:szCs w:val="22"/>
                <w:highlight w:val="none"/>
                <w:lang w:val="en-US" w:eastAsia="zh-CN" w:bidi="ar-SA"/>
              </w:rPr>
            </w:pPr>
            <w:r>
              <w:rPr>
                <w:rFonts w:hint="eastAsia" w:hAnsi="宋体" w:cs="微软雅黑"/>
                <w:b/>
                <w:bCs w:val="0"/>
                <w:color w:val="FF0000"/>
                <w:kern w:val="0"/>
                <w:sz w:val="22"/>
                <w:szCs w:val="22"/>
                <w:highlight w:val="none"/>
                <w:lang w:val="en-US" w:eastAsia="zh-CN"/>
              </w:rPr>
              <w:t>本项目资格预审公告及审核结果公告在</w:t>
            </w:r>
            <w:r>
              <w:rPr>
                <w:rFonts w:hint="eastAsia"/>
                <w:b/>
                <w:bCs w:val="0"/>
                <w:color w:val="FF0000"/>
                <w:sz w:val="22"/>
                <w:szCs w:val="22"/>
                <w:highlight w:val="none"/>
                <w:lang w:val="en-US" w:eastAsia="zh-CN"/>
              </w:rPr>
              <w:t>中国政府采购网（http://www.ccgp.gov.cn）及北京市政府采购网（</w:t>
            </w:r>
            <w:r>
              <w:rPr>
                <w:rFonts w:hint="eastAsia"/>
                <w:b/>
                <w:bCs w:val="0"/>
                <w:color w:val="FF0000"/>
                <w:sz w:val="22"/>
                <w:szCs w:val="22"/>
                <w:highlight w:val="none"/>
                <w:lang w:val="en-US" w:eastAsia="zh-CN"/>
              </w:rPr>
              <w:fldChar w:fldCharType="begin"/>
            </w:r>
            <w:r>
              <w:rPr>
                <w:rFonts w:hint="eastAsia"/>
                <w:b/>
                <w:bCs w:val="0"/>
                <w:color w:val="FF0000"/>
                <w:sz w:val="22"/>
                <w:szCs w:val="22"/>
                <w:highlight w:val="none"/>
                <w:lang w:val="en-US" w:eastAsia="zh-CN"/>
              </w:rPr>
              <w:instrText xml:space="preserve"> HYPERLINK "http://www.ccgp-beijing.gov.cn" </w:instrText>
            </w:r>
            <w:r>
              <w:rPr>
                <w:rFonts w:hint="eastAsia"/>
                <w:b/>
                <w:bCs w:val="0"/>
                <w:color w:val="FF0000"/>
                <w:sz w:val="22"/>
                <w:szCs w:val="22"/>
                <w:highlight w:val="none"/>
                <w:lang w:val="en-US" w:eastAsia="zh-CN"/>
              </w:rPr>
              <w:fldChar w:fldCharType="separate"/>
            </w:r>
            <w:r>
              <w:rPr>
                <w:rFonts w:hint="eastAsia"/>
                <w:b/>
                <w:bCs w:val="0"/>
                <w:color w:val="FF0000"/>
                <w:sz w:val="22"/>
                <w:szCs w:val="22"/>
                <w:highlight w:val="none"/>
                <w:lang w:val="en-US" w:eastAsia="zh-CN"/>
              </w:rPr>
              <w:t>http://www.ccgp-beijing.gov.cn</w:t>
            </w:r>
            <w:r>
              <w:rPr>
                <w:rFonts w:hint="eastAsia"/>
                <w:b/>
                <w:bCs w:val="0"/>
                <w:color w:val="FF0000"/>
                <w:sz w:val="22"/>
                <w:szCs w:val="22"/>
                <w:highlight w:val="none"/>
                <w:lang w:val="en-US" w:eastAsia="zh-CN"/>
              </w:rPr>
              <w:fldChar w:fldCharType="end"/>
            </w:r>
            <w:r>
              <w:rPr>
                <w:rFonts w:hint="eastAsia"/>
                <w:b/>
                <w:bCs w:val="0"/>
                <w:color w:val="FF0000"/>
                <w:sz w:val="22"/>
                <w:szCs w:val="22"/>
                <w:highlight w:val="none"/>
                <w:lang w:val="en-US" w:eastAsia="zh-CN"/>
              </w:rPr>
              <w:t>）发布。</w:t>
            </w:r>
          </w:p>
        </w:tc>
      </w:tr>
      <w:tr w14:paraId="00C5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74" w:type="dxa"/>
            <w:vAlign w:val="center"/>
          </w:tcPr>
          <w:p w14:paraId="211D0A18">
            <w:pPr>
              <w:numPr>
                <w:ilvl w:val="0"/>
                <w:numId w:val="5"/>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554" w:type="dxa"/>
            <w:vAlign w:val="center"/>
          </w:tcPr>
          <w:p w14:paraId="24C2D2E3">
            <w:pPr>
              <w:pStyle w:val="58"/>
              <w:keepNext w:val="0"/>
              <w:keepLines w:val="0"/>
              <w:numPr>
                <w:ilvl w:val="0"/>
                <w:numId w:val="0"/>
              </w:numPr>
              <w:kinsoku w:val="0"/>
              <w:overflowPunct w:val="0"/>
              <w:autoSpaceDE w:val="0"/>
              <w:autoSpaceDN w:val="0"/>
              <w:snapToGrid w:val="0"/>
              <w:spacing w:before="0" w:after="0" w:line="320" w:lineRule="exact"/>
              <w:jc w:val="center"/>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框架协议期限</w:t>
            </w:r>
          </w:p>
        </w:tc>
        <w:tc>
          <w:tcPr>
            <w:tcW w:w="3683" w:type="dxa"/>
            <w:vAlign w:val="center"/>
          </w:tcPr>
          <w:p w14:paraId="3572B974">
            <w:pPr>
              <w:pStyle w:val="58"/>
              <w:keepNext w:val="0"/>
              <w:keepLines w:val="0"/>
              <w:numPr>
                <w:ilvl w:val="0"/>
                <w:numId w:val="0"/>
              </w:numPr>
              <w:kinsoku w:val="0"/>
              <w:overflowPunct w:val="0"/>
              <w:autoSpaceDE w:val="0"/>
              <w:autoSpaceDN w:val="0"/>
              <w:snapToGrid w:val="0"/>
              <w:spacing w:before="0" w:after="0" w:line="320" w:lineRule="exact"/>
              <w:jc w:val="left"/>
              <w:rPr>
                <w:rFonts w:ascii="宋体" w:hAnsi="宋体" w:eastAsia="宋体" w:cs="微软雅黑"/>
                <w:b w:val="0"/>
                <w:color w:val="auto"/>
                <w:sz w:val="22"/>
                <w:szCs w:val="22"/>
                <w:highlight w:val="none"/>
              </w:rPr>
            </w:pPr>
            <w:r>
              <w:rPr>
                <w:rFonts w:hint="eastAsia" w:ascii="宋体" w:hAnsi="宋体" w:eastAsia="宋体" w:cs="微软雅黑"/>
                <w:b w:val="0"/>
                <w:color w:val="auto"/>
                <w:sz w:val="22"/>
                <w:szCs w:val="22"/>
                <w:highlight w:val="none"/>
              </w:rPr>
              <w:t>自签订本框架协议之日起一年</w:t>
            </w:r>
          </w:p>
        </w:tc>
        <w:tc>
          <w:tcPr>
            <w:tcW w:w="3919" w:type="dxa"/>
            <w:vAlign w:val="center"/>
          </w:tcPr>
          <w:p w14:paraId="15AE8118">
            <w:pPr>
              <w:pStyle w:val="12"/>
              <w:kinsoku w:val="0"/>
              <w:overflowPunct w:val="0"/>
              <w:autoSpaceDE w:val="0"/>
              <w:autoSpaceDN w:val="0"/>
              <w:adjustRightInd w:val="0"/>
              <w:snapToGrid w:val="0"/>
              <w:spacing w:line="320" w:lineRule="exact"/>
              <w:jc w:val="left"/>
              <w:rPr>
                <w:rFonts w:hAnsi="宋体" w:cs="微软雅黑"/>
                <w:bCs/>
                <w:color w:val="auto"/>
                <w:kern w:val="0"/>
                <w:sz w:val="22"/>
                <w:szCs w:val="22"/>
                <w:highlight w:val="none"/>
              </w:rPr>
            </w:pPr>
            <w:r>
              <w:rPr>
                <w:rFonts w:hint="eastAsia" w:hAnsi="宋体" w:cs="微软雅黑"/>
                <w:bCs/>
                <w:color w:val="auto"/>
                <w:kern w:val="0"/>
                <w:sz w:val="22"/>
                <w:szCs w:val="22"/>
                <w:highlight w:val="none"/>
              </w:rPr>
              <w:t>响应人应在入围通知书发出之日起30日内签订框架协议</w:t>
            </w:r>
          </w:p>
        </w:tc>
      </w:tr>
    </w:tbl>
    <w:p w14:paraId="10D7354B">
      <w:pPr>
        <w:numPr>
          <w:ilvl w:val="0"/>
          <w:numId w:val="4"/>
        </w:numPr>
        <w:snapToGrid w:val="0"/>
        <w:spacing w:line="400" w:lineRule="exact"/>
        <w:rPr>
          <w:rFonts w:ascii="宋体" w:hAnsi="宋体" w:cs="微软雅黑"/>
          <w:b/>
          <w:color w:val="auto"/>
          <w:sz w:val="22"/>
          <w:highlight w:val="none"/>
        </w:rPr>
      </w:pPr>
      <w:r>
        <w:rPr>
          <w:rFonts w:hint="eastAsia" w:ascii="宋体" w:hAnsi="宋体" w:cs="微软雅黑"/>
          <w:b/>
          <w:color w:val="auto"/>
          <w:sz w:val="22"/>
          <w:highlight w:val="none"/>
        </w:rPr>
        <w:t>合格响应人的条件</w:t>
      </w:r>
      <w:bookmarkEnd w:id="5"/>
      <w:bookmarkEnd w:id="6"/>
      <w:bookmarkEnd w:id="7"/>
      <w:bookmarkEnd w:id="8"/>
      <w:bookmarkEnd w:id="9"/>
    </w:p>
    <w:p w14:paraId="74D07D4F">
      <w:pPr>
        <w:pStyle w:val="6"/>
        <w:numPr>
          <w:ilvl w:val="0"/>
          <w:numId w:val="6"/>
        </w:numPr>
        <w:rPr>
          <w:rFonts w:hAnsi="宋体" w:cs="微软雅黑"/>
          <w:color w:val="auto"/>
          <w:sz w:val="22"/>
          <w:highlight w:val="none"/>
        </w:rPr>
      </w:pPr>
      <w:r>
        <w:rPr>
          <w:rFonts w:hint="eastAsia" w:hAnsi="宋体" w:cs="微软雅黑"/>
          <w:color w:val="auto"/>
          <w:sz w:val="22"/>
          <w:highlight w:val="none"/>
        </w:rPr>
        <w:t>满足《中华人民共和国政府采购法》第二十二条规定；</w:t>
      </w:r>
    </w:p>
    <w:p w14:paraId="59E763A3">
      <w:pPr>
        <w:pStyle w:val="6"/>
        <w:numPr>
          <w:ilvl w:val="0"/>
          <w:numId w:val="6"/>
        </w:numPr>
        <w:rPr>
          <w:rFonts w:hAnsi="宋体" w:cs="微软雅黑"/>
          <w:color w:val="auto"/>
          <w:sz w:val="22"/>
          <w:highlight w:val="none"/>
        </w:rPr>
      </w:pPr>
      <w:r>
        <w:rPr>
          <w:rFonts w:hint="eastAsia" w:hAnsi="宋体" w:cs="微软雅黑"/>
          <w:color w:val="auto"/>
          <w:sz w:val="22"/>
          <w:highlight w:val="none"/>
        </w:rPr>
        <w:t>落实政府采购政策需满足的资格要求：</w:t>
      </w:r>
    </w:p>
    <w:p w14:paraId="12053B91">
      <w:pPr>
        <w:pStyle w:val="6"/>
        <w:numPr>
          <w:ilvl w:val="1"/>
          <w:numId w:val="6"/>
        </w:numPr>
        <w:rPr>
          <w:rFonts w:hAnsi="宋体" w:cs="微软雅黑"/>
          <w:color w:val="auto"/>
          <w:sz w:val="22"/>
          <w:highlight w:val="none"/>
        </w:rPr>
      </w:pPr>
      <w:r>
        <w:rPr>
          <w:rFonts w:hint="eastAsia" w:hAnsi="宋体" w:cs="微软雅黑"/>
          <w:color w:val="auto"/>
          <w:sz w:val="22"/>
          <w:highlight w:val="none"/>
        </w:rPr>
        <w:t>中小企业政策</w:t>
      </w:r>
    </w:p>
    <w:p w14:paraId="09418B17">
      <w:pPr>
        <w:adjustRightInd/>
        <w:spacing w:line="400" w:lineRule="exact"/>
        <w:ind w:firstLine="440" w:firstLineChars="200"/>
        <w:contextualSpacing/>
        <w:rPr>
          <w:rFonts w:ascii="宋体" w:hAnsi="宋体" w:cs="微软雅黑"/>
          <w:color w:val="auto"/>
          <w:sz w:val="22"/>
          <w:highlight w:val="none"/>
        </w:rPr>
      </w:pPr>
      <w:r>
        <w:rPr>
          <w:rFonts w:hint="eastAsia" w:ascii="宋体" w:hAnsi="宋体" w:cs="微软雅黑"/>
          <w:color w:val="auto"/>
          <w:sz w:val="22"/>
          <w:highlight w:val="none"/>
        </w:rPr>
        <w:t>☑本项目不专门面向中小企业预留采购份额。</w:t>
      </w:r>
    </w:p>
    <w:p w14:paraId="633A8606">
      <w:pPr>
        <w:adjustRightInd/>
        <w:spacing w:line="400" w:lineRule="exact"/>
        <w:ind w:firstLine="440" w:firstLineChars="200"/>
        <w:contextualSpacing/>
        <w:rPr>
          <w:rFonts w:ascii="宋体" w:hAnsi="宋体" w:cs="微软雅黑"/>
          <w:color w:val="auto"/>
          <w:sz w:val="22"/>
          <w:highlight w:val="none"/>
        </w:rPr>
      </w:pPr>
      <w:r>
        <w:rPr>
          <w:rFonts w:hint="eastAsia" w:ascii="宋体" w:hAnsi="宋体" w:cs="微软雅黑"/>
          <w:color w:val="auto"/>
          <w:sz w:val="22"/>
          <w:highlight w:val="none"/>
        </w:rPr>
        <w:t>□本项目专门面向  □中小 □小微企业  采购。即：提供的货物全部由符合政策要求的中小/小微企业制造、服务全部由符合政策要求的中小/小微企业承接。</w:t>
      </w:r>
    </w:p>
    <w:p w14:paraId="02A9AAC7">
      <w:pPr>
        <w:adjustRightInd/>
        <w:spacing w:line="400" w:lineRule="exact"/>
        <w:ind w:firstLine="440" w:firstLineChars="200"/>
        <w:contextualSpacing/>
        <w:rPr>
          <w:rFonts w:ascii="宋体" w:hAnsi="宋体" w:cs="微软雅黑"/>
          <w:color w:val="auto"/>
          <w:sz w:val="22"/>
          <w:highlight w:val="none"/>
        </w:rPr>
      </w:pPr>
      <w:r>
        <w:rPr>
          <w:rFonts w:hint="eastAsia" w:ascii="宋体" w:hAnsi="宋体" w:cs="微软雅黑"/>
          <w:color w:val="auto"/>
          <w:sz w:val="22"/>
          <w:highlight w:val="none"/>
        </w:rPr>
        <w:t>□本项目预留部分采购项目预算专门面向中小企业采购。对于预留份额，提供的货物由符合政策要求的中小企业制造、服务由符合政策要求的中小企业承接。预留份额通过以下措施进行：_________/__________。</w:t>
      </w:r>
    </w:p>
    <w:p w14:paraId="6EBEA47E">
      <w:pPr>
        <w:pStyle w:val="6"/>
        <w:numPr>
          <w:ilvl w:val="1"/>
          <w:numId w:val="6"/>
        </w:numPr>
        <w:rPr>
          <w:rFonts w:hAnsi="宋体" w:cs="微软雅黑"/>
          <w:color w:val="auto"/>
          <w:sz w:val="22"/>
          <w:highlight w:val="none"/>
        </w:rPr>
      </w:pPr>
      <w:r>
        <w:rPr>
          <w:rFonts w:hint="eastAsia" w:hAnsi="宋体" w:cs="微软雅黑"/>
          <w:color w:val="auto"/>
          <w:sz w:val="22"/>
          <w:highlight w:val="none"/>
        </w:rPr>
        <w:t>其它落实政府采购政策的资格要求（如有）：_________/__________。</w:t>
      </w:r>
    </w:p>
    <w:p w14:paraId="486F75F5">
      <w:pPr>
        <w:pStyle w:val="6"/>
        <w:numPr>
          <w:ilvl w:val="0"/>
          <w:numId w:val="6"/>
        </w:numPr>
        <w:rPr>
          <w:rFonts w:hAnsi="宋体" w:cs="微软雅黑"/>
          <w:color w:val="auto"/>
          <w:sz w:val="22"/>
          <w:highlight w:val="none"/>
        </w:rPr>
      </w:pPr>
      <w:r>
        <w:rPr>
          <w:rFonts w:hint="eastAsia" w:hAnsi="宋体" w:cs="微软雅黑"/>
          <w:color w:val="auto"/>
          <w:sz w:val="22"/>
          <w:highlight w:val="none"/>
        </w:rPr>
        <w:t>本项目的特定资格要求：</w:t>
      </w:r>
    </w:p>
    <w:p w14:paraId="7864220D">
      <w:pPr>
        <w:pStyle w:val="6"/>
        <w:numPr>
          <w:ilvl w:val="1"/>
          <w:numId w:val="6"/>
        </w:numPr>
        <w:rPr>
          <w:rFonts w:hAnsi="宋体" w:cs="微软雅黑"/>
          <w:color w:val="auto"/>
          <w:sz w:val="22"/>
          <w:highlight w:val="none"/>
        </w:rPr>
      </w:pPr>
      <w:r>
        <w:rPr>
          <w:rFonts w:hint="eastAsia" w:hAnsi="宋体" w:cs="微软雅黑"/>
          <w:color w:val="auto"/>
          <w:sz w:val="22"/>
          <w:highlight w:val="none"/>
        </w:rPr>
        <w:t>本项目是否属于政府购买服务：</w:t>
      </w:r>
    </w:p>
    <w:p w14:paraId="22587A8C">
      <w:pPr>
        <w:adjustRightInd/>
        <w:spacing w:line="400" w:lineRule="exact"/>
        <w:ind w:firstLine="440" w:firstLineChars="200"/>
        <w:contextualSpacing/>
        <w:rPr>
          <w:rFonts w:ascii="宋体" w:hAnsi="宋体" w:cs="微软雅黑"/>
          <w:color w:val="auto"/>
          <w:sz w:val="22"/>
          <w:highlight w:val="none"/>
        </w:rPr>
      </w:pPr>
      <w:r>
        <w:rPr>
          <w:rFonts w:hint="eastAsia" w:ascii="宋体" w:hAnsi="宋体" w:cs="微软雅黑"/>
          <w:color w:val="auto"/>
          <w:sz w:val="22"/>
          <w:highlight w:val="none"/>
        </w:rPr>
        <w:t>☑否</w:t>
      </w:r>
    </w:p>
    <w:p w14:paraId="19F94A00">
      <w:pPr>
        <w:adjustRightInd/>
        <w:spacing w:line="400" w:lineRule="exact"/>
        <w:ind w:firstLine="440" w:firstLineChars="200"/>
        <w:contextualSpacing/>
        <w:rPr>
          <w:rFonts w:ascii="宋体" w:hAnsi="宋体" w:cs="微软雅黑"/>
          <w:color w:val="auto"/>
          <w:sz w:val="22"/>
          <w:highlight w:val="none"/>
        </w:rPr>
      </w:pPr>
      <w:r>
        <w:rPr>
          <w:rFonts w:hint="eastAsia" w:ascii="宋体" w:hAnsi="宋体" w:cs="微软雅黑"/>
          <w:color w:val="auto"/>
          <w:sz w:val="22"/>
          <w:highlight w:val="none"/>
        </w:rPr>
        <w:t>□是，公益一类事业单位、使用事业编制且由财政拨款保障的群团组织，不得作为承接主体；</w:t>
      </w:r>
    </w:p>
    <w:p w14:paraId="0D6C6BA1">
      <w:pPr>
        <w:tabs>
          <w:tab w:val="left" w:pos="840"/>
        </w:tabs>
        <w:snapToGrid w:val="0"/>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具体要求详见征集文件第</w:t>
      </w:r>
      <w:r>
        <w:rPr>
          <w:rFonts w:hint="eastAsia" w:ascii="宋体" w:hAnsi="宋体" w:cs="微软雅黑"/>
          <w:color w:val="auto"/>
          <w:sz w:val="22"/>
          <w:highlight w:val="none"/>
          <w:lang w:eastAsia="zh-CN"/>
        </w:rPr>
        <w:t>二</w:t>
      </w:r>
      <w:r>
        <w:rPr>
          <w:rFonts w:hint="eastAsia" w:ascii="宋体" w:hAnsi="宋体" w:cs="微软雅黑"/>
          <w:color w:val="auto"/>
          <w:sz w:val="22"/>
          <w:highlight w:val="none"/>
        </w:rPr>
        <w:t>部分。</w:t>
      </w:r>
    </w:p>
    <w:p w14:paraId="0CA9FA06">
      <w:pPr>
        <w:numPr>
          <w:ilvl w:val="0"/>
          <w:numId w:val="4"/>
        </w:numPr>
        <w:snapToGrid w:val="0"/>
        <w:spacing w:line="400" w:lineRule="exact"/>
        <w:rPr>
          <w:rFonts w:ascii="宋体" w:hAnsi="宋体" w:cs="微软雅黑"/>
          <w:b/>
          <w:color w:val="auto"/>
          <w:sz w:val="22"/>
          <w:highlight w:val="none"/>
        </w:rPr>
      </w:pPr>
      <w:bookmarkStart w:id="15" w:name="_Toc184013604"/>
      <w:bookmarkStart w:id="16" w:name="_Toc186274100"/>
      <w:bookmarkStart w:id="17" w:name="_Toc184023103"/>
      <w:bookmarkStart w:id="18" w:name="_Toc180051011"/>
      <w:r>
        <w:rPr>
          <w:rFonts w:hint="eastAsia" w:ascii="宋体" w:hAnsi="宋体" w:cs="微软雅黑"/>
          <w:b/>
          <w:color w:val="auto"/>
          <w:sz w:val="22"/>
          <w:highlight w:val="none"/>
        </w:rPr>
        <w:t>征集文件获取方式和下载期限</w:t>
      </w:r>
      <w:bookmarkEnd w:id="15"/>
      <w:bookmarkEnd w:id="16"/>
      <w:bookmarkEnd w:id="17"/>
      <w:bookmarkEnd w:id="18"/>
    </w:p>
    <w:p w14:paraId="1947387F">
      <w:pPr>
        <w:numPr>
          <w:ilvl w:val="0"/>
          <w:numId w:val="7"/>
        </w:numPr>
        <w:tabs>
          <w:tab w:val="left" w:pos="856"/>
        </w:tabs>
        <w:snapToGrid w:val="0"/>
        <w:spacing w:line="400" w:lineRule="exact"/>
        <w:rPr>
          <w:rFonts w:ascii="宋体" w:cs="微软雅黑"/>
          <w:color w:val="auto"/>
          <w:sz w:val="22"/>
          <w:highlight w:val="none"/>
        </w:rPr>
      </w:pPr>
      <w:r>
        <w:rPr>
          <w:rFonts w:hint="eastAsia" w:ascii="宋体" w:hAnsi="宋体" w:cs="微软雅黑"/>
          <w:color w:val="auto"/>
          <w:sz w:val="22"/>
          <w:highlight w:val="none"/>
        </w:rPr>
        <w:t>获取方式：</w:t>
      </w:r>
    </w:p>
    <w:bookmarkEnd w:id="10"/>
    <w:bookmarkEnd w:id="11"/>
    <w:bookmarkEnd w:id="12"/>
    <w:bookmarkEnd w:id="13"/>
    <w:bookmarkEnd w:id="14"/>
    <w:p w14:paraId="56584DC8">
      <w:pPr>
        <w:keepNext w:val="0"/>
        <w:keepLines w:val="0"/>
        <w:pageBreakBefore w:val="0"/>
        <w:widowControl w:val="0"/>
        <w:tabs>
          <w:tab w:val="left" w:pos="856"/>
        </w:tabs>
        <w:kinsoku/>
        <w:wordWrap w:val="0"/>
        <w:overflowPunct/>
        <w:topLinePunct w:val="0"/>
        <w:autoSpaceDE/>
        <w:autoSpaceDN/>
        <w:bidi w:val="0"/>
        <w:adjustRightInd w:val="0"/>
        <w:snapToGrid w:val="0"/>
        <w:spacing w:line="400" w:lineRule="exact"/>
        <w:ind w:firstLine="440" w:firstLineChars="200"/>
        <w:textAlignment w:val="baseline"/>
        <w:rPr>
          <w:rFonts w:hint="eastAsia" w:ascii="宋体" w:hAnsi="宋体" w:cs="微软雅黑"/>
          <w:color w:val="auto"/>
          <w:sz w:val="22"/>
          <w:highlight w:val="none"/>
        </w:rPr>
      </w:pPr>
      <w:r>
        <w:rPr>
          <w:rFonts w:hint="eastAsia" w:ascii="宋体" w:hAnsi="宋体" w:cs="微软雅黑"/>
          <w:color w:val="auto"/>
          <w:sz w:val="22"/>
          <w:highlight w:val="none"/>
        </w:rPr>
        <w:t>自征集公告发布之日起，响应人在规定的下载时间内持</w:t>
      </w:r>
      <w:r>
        <w:rPr>
          <w:rFonts w:hint="eastAsia" w:ascii="宋体" w:hAnsi="宋体" w:cs="微软雅黑"/>
          <w:bCs/>
          <w:color w:val="auto"/>
          <w:sz w:val="22"/>
          <w:highlight w:val="none"/>
        </w:rPr>
        <w:t>自身CA数字认证证书或电子营业执照</w:t>
      </w:r>
      <w:r>
        <w:rPr>
          <w:rFonts w:hint="eastAsia" w:ascii="宋体" w:hAnsi="宋体" w:cs="微软雅黑"/>
          <w:color w:val="auto"/>
          <w:sz w:val="22"/>
          <w:highlight w:val="none"/>
        </w:rPr>
        <w:t>登录北京市政府采购电子交易平台（http://zbcg-bjzc.zhongcy.com/bjczj-portal-site/index.html#/home）免费获取本项目电子版征集文件。</w:t>
      </w:r>
    </w:p>
    <w:p w14:paraId="51A807E7">
      <w:pPr>
        <w:numPr>
          <w:ilvl w:val="0"/>
          <w:numId w:val="7"/>
        </w:numPr>
        <w:tabs>
          <w:tab w:val="left" w:pos="856"/>
        </w:tabs>
        <w:snapToGrid w:val="0"/>
        <w:spacing w:line="400" w:lineRule="exact"/>
        <w:rPr>
          <w:rFonts w:ascii="宋体" w:hAnsi="宋体" w:cs="微软雅黑"/>
          <w:color w:val="auto"/>
          <w:sz w:val="22"/>
          <w:highlight w:val="none"/>
        </w:rPr>
      </w:pPr>
      <w:r>
        <w:rPr>
          <w:rFonts w:hint="eastAsia" w:ascii="宋体" w:hAnsi="宋体" w:cs="微软雅黑"/>
          <w:color w:val="auto"/>
          <w:sz w:val="22"/>
          <w:highlight w:val="none"/>
        </w:rPr>
        <w:t>下载期限：</w:t>
      </w:r>
    </w:p>
    <w:p w14:paraId="4D5F6192">
      <w:pPr>
        <w:tabs>
          <w:tab w:val="left" w:pos="856"/>
        </w:tabs>
        <w:snapToGrid w:val="0"/>
        <w:spacing w:line="400" w:lineRule="exact"/>
        <w:ind w:firstLine="442" w:firstLineChars="200"/>
        <w:rPr>
          <w:rFonts w:hint="eastAsia" w:ascii="宋体" w:hAnsi="宋体" w:cs="微软雅黑"/>
          <w:b/>
          <w:bCs/>
          <w:color w:val="FF0000"/>
          <w:sz w:val="22"/>
          <w:highlight w:val="none"/>
        </w:rPr>
      </w:pPr>
      <w:r>
        <w:rPr>
          <w:rFonts w:hint="eastAsia" w:ascii="宋体" w:hAnsi="宋体" w:cs="微软雅黑"/>
          <w:b/>
          <w:bCs/>
          <w:color w:val="FF0000"/>
          <w:sz w:val="22"/>
          <w:highlight w:val="none"/>
        </w:rPr>
        <w:t>202</w:t>
      </w:r>
      <w:r>
        <w:rPr>
          <w:rFonts w:hint="eastAsia" w:ascii="宋体" w:hAnsi="宋体" w:cs="微软雅黑"/>
          <w:b/>
          <w:bCs/>
          <w:color w:val="FF0000"/>
          <w:sz w:val="22"/>
          <w:highlight w:val="none"/>
          <w:lang w:val="en-US" w:eastAsia="zh-CN"/>
        </w:rPr>
        <w:t>5</w:t>
      </w:r>
      <w:r>
        <w:rPr>
          <w:rFonts w:hint="eastAsia" w:ascii="宋体" w:hAnsi="宋体" w:cs="微软雅黑"/>
          <w:b/>
          <w:bCs/>
          <w:color w:val="FF0000"/>
          <w:sz w:val="22"/>
          <w:highlight w:val="none"/>
        </w:rPr>
        <w:t>年</w:t>
      </w:r>
      <w:r>
        <w:rPr>
          <w:rFonts w:hint="eastAsia" w:ascii="宋体" w:hAnsi="宋体" w:cs="微软雅黑"/>
          <w:b/>
          <w:bCs/>
          <w:color w:val="FF0000"/>
          <w:sz w:val="22"/>
          <w:highlight w:val="none"/>
          <w:lang w:val="en-US" w:eastAsia="zh-CN"/>
        </w:rPr>
        <w:t>11</w:t>
      </w:r>
      <w:r>
        <w:rPr>
          <w:rFonts w:hint="eastAsia" w:ascii="宋体" w:hAnsi="宋体" w:cs="微软雅黑"/>
          <w:b/>
          <w:bCs/>
          <w:color w:val="FF0000"/>
          <w:sz w:val="22"/>
          <w:highlight w:val="none"/>
        </w:rPr>
        <w:t>月</w:t>
      </w:r>
      <w:r>
        <w:rPr>
          <w:rFonts w:hint="eastAsia" w:ascii="宋体" w:hAnsi="宋体" w:cs="微软雅黑"/>
          <w:b/>
          <w:bCs/>
          <w:color w:val="FF0000"/>
          <w:sz w:val="22"/>
          <w:highlight w:val="none"/>
          <w:lang w:val="en-US" w:eastAsia="zh-CN"/>
        </w:rPr>
        <w:t>25</w:t>
      </w:r>
      <w:r>
        <w:rPr>
          <w:rFonts w:hint="eastAsia" w:ascii="宋体" w:hAnsi="宋体" w:cs="微软雅黑"/>
          <w:b/>
          <w:bCs/>
          <w:color w:val="FF0000"/>
          <w:sz w:val="22"/>
          <w:highlight w:val="none"/>
        </w:rPr>
        <w:t>日-202</w:t>
      </w:r>
      <w:r>
        <w:rPr>
          <w:rFonts w:hint="eastAsia" w:ascii="宋体" w:hAnsi="宋体" w:cs="微软雅黑"/>
          <w:b/>
          <w:bCs/>
          <w:color w:val="FF0000"/>
          <w:sz w:val="22"/>
          <w:highlight w:val="none"/>
          <w:lang w:val="en-US" w:eastAsia="zh-CN"/>
        </w:rPr>
        <w:t>5</w:t>
      </w:r>
      <w:r>
        <w:rPr>
          <w:rFonts w:hint="eastAsia" w:ascii="宋体" w:hAnsi="宋体" w:cs="微软雅黑"/>
          <w:b/>
          <w:bCs/>
          <w:color w:val="FF0000"/>
          <w:sz w:val="22"/>
          <w:highlight w:val="none"/>
        </w:rPr>
        <w:t>年</w:t>
      </w:r>
      <w:r>
        <w:rPr>
          <w:rFonts w:hint="eastAsia" w:ascii="宋体" w:hAnsi="宋体" w:cs="微软雅黑"/>
          <w:b/>
          <w:bCs/>
          <w:color w:val="FF0000"/>
          <w:sz w:val="22"/>
          <w:highlight w:val="none"/>
          <w:lang w:val="en-US" w:eastAsia="zh-CN"/>
        </w:rPr>
        <w:t>12</w:t>
      </w:r>
      <w:r>
        <w:rPr>
          <w:rFonts w:hint="eastAsia" w:ascii="宋体" w:hAnsi="宋体" w:cs="微软雅黑"/>
          <w:b/>
          <w:bCs/>
          <w:color w:val="FF0000"/>
          <w:sz w:val="22"/>
          <w:highlight w:val="none"/>
        </w:rPr>
        <w:t>月</w:t>
      </w:r>
      <w:r>
        <w:rPr>
          <w:rFonts w:hint="eastAsia" w:ascii="宋体" w:hAnsi="宋体" w:cs="微软雅黑"/>
          <w:b/>
          <w:bCs/>
          <w:color w:val="FF0000"/>
          <w:sz w:val="22"/>
          <w:highlight w:val="none"/>
          <w:lang w:val="en-US" w:eastAsia="zh-CN"/>
        </w:rPr>
        <w:t>15</w:t>
      </w:r>
      <w:r>
        <w:rPr>
          <w:rFonts w:hint="eastAsia" w:ascii="宋体" w:hAnsi="宋体" w:cs="微软雅黑"/>
          <w:b/>
          <w:bCs/>
          <w:color w:val="FF0000"/>
          <w:sz w:val="22"/>
          <w:highlight w:val="none"/>
        </w:rPr>
        <w:t>日。</w:t>
      </w:r>
    </w:p>
    <w:p w14:paraId="3C2F2F03">
      <w:pPr>
        <w:numPr>
          <w:ilvl w:val="0"/>
          <w:numId w:val="7"/>
        </w:numPr>
        <w:tabs>
          <w:tab w:val="left" w:pos="856"/>
        </w:tabs>
        <w:snapToGrid w:val="0"/>
        <w:spacing w:line="400" w:lineRule="exact"/>
        <w:rPr>
          <w:rFonts w:ascii="宋体" w:hAnsi="宋体" w:cs="微软雅黑"/>
          <w:color w:val="auto"/>
          <w:sz w:val="22"/>
          <w:highlight w:val="none"/>
        </w:rPr>
      </w:pPr>
      <w:r>
        <w:rPr>
          <w:rFonts w:hint="eastAsia" w:ascii="宋体" w:hAnsi="宋体" w:cs="微软雅黑"/>
          <w:color w:val="auto"/>
          <w:sz w:val="22"/>
          <w:highlight w:val="none"/>
        </w:rPr>
        <w:t>CA数字认证证书及电子营业执照操作流程：</w:t>
      </w:r>
    </w:p>
    <w:p w14:paraId="2DD261AF">
      <w:pPr>
        <w:tabs>
          <w:tab w:val="left" w:pos="856"/>
        </w:tabs>
        <w:snapToGrid w:val="0"/>
        <w:spacing w:line="400" w:lineRule="exact"/>
        <w:ind w:left="480"/>
        <w:rPr>
          <w:rFonts w:ascii="宋体" w:hAnsi="宋体" w:cs="微软雅黑"/>
          <w:b/>
          <w:bCs/>
          <w:color w:val="auto"/>
          <w:sz w:val="22"/>
          <w:highlight w:val="none"/>
        </w:rPr>
      </w:pPr>
      <w:r>
        <w:rPr>
          <w:rFonts w:hint="eastAsia" w:ascii="宋体" w:hAnsi="宋体" w:cs="微软雅黑"/>
          <w:color w:val="auto"/>
          <w:sz w:val="22"/>
          <w:highlight w:val="none"/>
        </w:rPr>
        <w:t>（1）</w:t>
      </w:r>
      <w:r>
        <w:rPr>
          <w:rFonts w:hint="eastAsia" w:ascii="宋体" w:hAnsi="宋体" w:cs="微软雅黑"/>
          <w:b/>
          <w:bCs/>
          <w:color w:val="auto"/>
          <w:sz w:val="22"/>
          <w:highlight w:val="none"/>
        </w:rPr>
        <w:t>CA数字认证证书操作流程：</w:t>
      </w:r>
    </w:p>
    <w:p w14:paraId="7D5D0237">
      <w:pPr>
        <w:tabs>
          <w:tab w:val="left" w:pos="856"/>
        </w:tabs>
        <w:snapToGrid w:val="0"/>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①办理CA数字认证证书，详见北京市政府采购电子交易平台（</w:t>
      </w:r>
      <w:r>
        <w:rPr>
          <w:color w:val="auto"/>
          <w:highlight w:val="none"/>
        </w:rPr>
        <w:fldChar w:fldCharType="begin"/>
      </w:r>
      <w:r>
        <w:rPr>
          <w:color w:val="auto"/>
          <w:highlight w:val="none"/>
        </w:rPr>
        <w:instrText xml:space="preserve"> HYPERLINK "http://zbcg-bjzc.zhongcy.com/bjczj-portal-site/index.html" \l "/home" </w:instrText>
      </w:r>
      <w:r>
        <w:rPr>
          <w:color w:val="auto"/>
          <w:highlight w:val="none"/>
        </w:rPr>
        <w:fldChar w:fldCharType="separate"/>
      </w:r>
      <w:r>
        <w:rPr>
          <w:rFonts w:hint="eastAsia" w:ascii="宋体" w:hAnsi="宋体" w:cs="微软雅黑"/>
          <w:color w:val="auto"/>
          <w:sz w:val="22"/>
          <w:highlight w:val="none"/>
        </w:rPr>
        <w:t>http://zbcg-bjzc.zhongcy.com/bjczj-portal-site/index.html#/home</w:t>
      </w:r>
      <w:r>
        <w:rPr>
          <w:rFonts w:hint="eastAsia" w:ascii="宋体" w:hAnsi="宋体" w:cs="微软雅黑"/>
          <w:color w:val="auto"/>
          <w:sz w:val="22"/>
          <w:highlight w:val="none"/>
        </w:rPr>
        <w:fldChar w:fldCharType="end"/>
      </w:r>
      <w:r>
        <w:rPr>
          <w:rFonts w:hint="eastAsia" w:ascii="宋体" w:hAnsi="宋体" w:cs="微软雅黑"/>
          <w:color w:val="auto"/>
          <w:sz w:val="22"/>
          <w:highlight w:val="none"/>
        </w:rPr>
        <w:t>）查阅“用户指南”-“操作指南”-“市场主体CA办理操作流程指引”，按照程序要求办理。</w:t>
      </w:r>
    </w:p>
    <w:p w14:paraId="5AE96BE1">
      <w:pPr>
        <w:tabs>
          <w:tab w:val="left" w:pos="856"/>
        </w:tabs>
        <w:snapToGrid w:val="0"/>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②按照北京市政府采购电子交易平台“用户指南”-“操作指南”-“市场主体注册入库操作流程指引”进行自助注册绑定。</w:t>
      </w:r>
    </w:p>
    <w:p w14:paraId="7BD07D62">
      <w:pPr>
        <w:tabs>
          <w:tab w:val="left" w:pos="856"/>
        </w:tabs>
        <w:snapToGrid w:val="0"/>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③证书驱动下载：于北京市政府采购电子交易平台“用户指南”-“工具下载”-“招标采购系统文件驱动安装包”下载相关驱动。</w:t>
      </w:r>
    </w:p>
    <w:p w14:paraId="04726FE4">
      <w:pPr>
        <w:tabs>
          <w:tab w:val="left" w:pos="856"/>
        </w:tabs>
        <w:snapToGrid w:val="0"/>
        <w:spacing w:line="400" w:lineRule="exact"/>
        <w:ind w:left="480"/>
        <w:rPr>
          <w:rFonts w:ascii="宋体" w:hAnsi="宋体" w:cs="微软雅黑"/>
          <w:b/>
          <w:bCs/>
          <w:color w:val="auto"/>
          <w:sz w:val="22"/>
          <w:highlight w:val="none"/>
        </w:rPr>
      </w:pPr>
      <w:r>
        <w:rPr>
          <w:rFonts w:hint="eastAsia" w:ascii="宋体" w:hAnsi="宋体" w:cs="微软雅黑"/>
          <w:color w:val="auto"/>
          <w:sz w:val="22"/>
          <w:highlight w:val="none"/>
        </w:rPr>
        <w:t>（2）</w:t>
      </w:r>
      <w:r>
        <w:rPr>
          <w:rFonts w:hint="eastAsia" w:ascii="宋体" w:hAnsi="宋体" w:cs="微软雅黑"/>
          <w:b/>
          <w:bCs/>
          <w:color w:val="auto"/>
          <w:sz w:val="22"/>
          <w:highlight w:val="none"/>
        </w:rPr>
        <w:t>电子营业执照操作流程：</w:t>
      </w:r>
    </w:p>
    <w:p w14:paraId="33622A8C">
      <w:pPr>
        <w:tabs>
          <w:tab w:val="left" w:pos="856"/>
        </w:tabs>
        <w:snapToGrid w:val="0"/>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①目前北京市政府采购电子交易平台（</w:t>
      </w:r>
      <w:r>
        <w:rPr>
          <w:color w:val="auto"/>
          <w:highlight w:val="none"/>
        </w:rPr>
        <w:fldChar w:fldCharType="begin"/>
      </w:r>
      <w:r>
        <w:rPr>
          <w:color w:val="auto"/>
          <w:highlight w:val="none"/>
        </w:rPr>
        <w:instrText xml:space="preserve"> HYPERLINK "http://zbcg-bjzc.zhongcy.com/bjczj-portal-site/index.html" \l "/home" </w:instrText>
      </w:r>
      <w:r>
        <w:rPr>
          <w:color w:val="auto"/>
          <w:highlight w:val="none"/>
        </w:rPr>
        <w:fldChar w:fldCharType="separate"/>
      </w:r>
      <w:r>
        <w:rPr>
          <w:rFonts w:hint="eastAsia" w:ascii="宋体" w:hAnsi="宋体" w:cs="微软雅黑"/>
          <w:color w:val="auto"/>
          <w:sz w:val="22"/>
          <w:highlight w:val="none"/>
        </w:rPr>
        <w:t>http://zbcg-bjzc.zhongcy.com/bjczj-portal-site/index.html#/home</w:t>
      </w:r>
      <w:r>
        <w:rPr>
          <w:rFonts w:hint="eastAsia" w:ascii="宋体" w:hAnsi="宋体" w:cs="微软雅黑"/>
          <w:color w:val="auto"/>
          <w:sz w:val="22"/>
          <w:highlight w:val="none"/>
        </w:rPr>
        <w:fldChar w:fldCharType="end"/>
      </w:r>
      <w:r>
        <w:rPr>
          <w:rFonts w:hint="eastAsia" w:ascii="宋体" w:hAnsi="宋体" w:cs="微软雅黑"/>
          <w:color w:val="auto"/>
          <w:sz w:val="22"/>
          <w:highlight w:val="none"/>
        </w:rPr>
        <w:t>）所有已进行企业信息备案的响应人可以直接打开“电子营业执照小程序”按照平台“登录入口”-“操作指南”下发布的“电子营业执照使用指南”进行电子营业执照的申请和下载后，点击扫一扫，扫描平台二维码进行：“供应商入口登录”、“投标文件编制工具登录”、“投标文件盖章”、“投标文件签名”、“投标文件加密”、“投标文件递交签名确认”、“开标环节</w:t>
      </w:r>
      <w:r>
        <w:rPr>
          <w:rFonts w:ascii="宋体" w:hAnsi="宋体" w:cs="微软雅黑"/>
          <w:color w:val="auto"/>
          <w:sz w:val="22"/>
          <w:highlight w:val="none"/>
        </w:rPr>
        <w:t>-</w:t>
      </w:r>
      <w:r>
        <w:rPr>
          <w:rFonts w:hint="eastAsia" w:ascii="宋体" w:hAnsi="宋体" w:cs="微软雅黑"/>
          <w:color w:val="auto"/>
          <w:sz w:val="22"/>
          <w:highlight w:val="none"/>
        </w:rPr>
        <w:t>投标文件解密”等全流程业务操作。</w:t>
      </w:r>
    </w:p>
    <w:p w14:paraId="41B45B4D">
      <w:pPr>
        <w:tabs>
          <w:tab w:val="left" w:pos="856"/>
        </w:tabs>
        <w:snapToGrid w:val="0"/>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②未在平台进行企业信息备案的响应人，可点击“市场主体信息维护”进行账号注册，并使用电子营业执照绑定企业信息，绑定后即可使用电子营业执照进行上述所有业务操作。</w:t>
      </w:r>
    </w:p>
    <w:p w14:paraId="26E38D20">
      <w:pPr>
        <w:numPr>
          <w:ilvl w:val="0"/>
          <w:numId w:val="7"/>
        </w:numPr>
        <w:tabs>
          <w:tab w:val="left" w:pos="856"/>
        </w:tabs>
        <w:snapToGrid w:val="0"/>
        <w:spacing w:line="400" w:lineRule="exact"/>
        <w:rPr>
          <w:rFonts w:ascii="宋体" w:hAnsi="宋体" w:cs="微软雅黑"/>
          <w:color w:val="auto"/>
          <w:sz w:val="22"/>
          <w:highlight w:val="none"/>
        </w:rPr>
      </w:pPr>
      <w:r>
        <w:rPr>
          <w:rFonts w:hint="eastAsia" w:ascii="宋体" w:hAnsi="宋体" w:cs="微软雅黑"/>
          <w:color w:val="auto"/>
          <w:sz w:val="22"/>
          <w:highlight w:val="none"/>
        </w:rPr>
        <w:t>技术服务电话</w:t>
      </w:r>
    </w:p>
    <w:p w14:paraId="67541D93">
      <w:pPr>
        <w:tabs>
          <w:tab w:val="left" w:pos="856"/>
        </w:tabs>
        <w:snapToGrid w:val="0"/>
        <w:spacing w:line="400" w:lineRule="exact"/>
        <w:ind w:left="495" w:leftChars="200" w:hanging="15" w:hangingChars="7"/>
        <w:rPr>
          <w:rFonts w:ascii="宋体" w:hAnsi="宋体" w:cs="微软雅黑"/>
          <w:color w:val="auto"/>
          <w:sz w:val="22"/>
          <w:highlight w:val="none"/>
        </w:rPr>
      </w:pPr>
      <w:r>
        <w:rPr>
          <w:rFonts w:hint="eastAsia" w:ascii="宋体" w:hAnsi="宋体" w:cs="微软雅黑"/>
          <w:color w:val="auto"/>
          <w:sz w:val="22"/>
          <w:highlight w:val="none"/>
        </w:rPr>
        <w:t>CA数字认证证书服务热线</w:t>
      </w:r>
      <w:r>
        <w:rPr>
          <w:rFonts w:ascii="宋体" w:hAnsi="宋体" w:cs="微软雅黑"/>
          <w:color w:val="auto"/>
          <w:sz w:val="22"/>
          <w:highlight w:val="none"/>
        </w:rPr>
        <w:t>010-58511086</w:t>
      </w:r>
    </w:p>
    <w:p w14:paraId="3E66BCC9">
      <w:pPr>
        <w:tabs>
          <w:tab w:val="left" w:pos="856"/>
        </w:tabs>
        <w:snapToGrid w:val="0"/>
        <w:spacing w:line="400" w:lineRule="exact"/>
        <w:ind w:left="495" w:leftChars="200" w:hanging="15" w:hangingChars="7"/>
        <w:rPr>
          <w:rFonts w:ascii="宋体" w:hAnsi="宋体" w:cs="微软雅黑"/>
          <w:color w:val="auto"/>
          <w:sz w:val="22"/>
          <w:highlight w:val="none"/>
        </w:rPr>
      </w:pPr>
      <w:r>
        <w:rPr>
          <w:rFonts w:hint="eastAsia" w:ascii="宋体" w:hAnsi="宋体" w:cs="微软雅黑"/>
          <w:color w:val="auto"/>
          <w:sz w:val="22"/>
          <w:highlight w:val="none"/>
        </w:rPr>
        <w:t>电子营业执照服务热线</w:t>
      </w:r>
      <w:r>
        <w:rPr>
          <w:rFonts w:ascii="宋体" w:hAnsi="宋体" w:cs="微软雅黑"/>
          <w:color w:val="auto"/>
          <w:sz w:val="22"/>
          <w:highlight w:val="none"/>
        </w:rPr>
        <w:t>400-699-7000</w:t>
      </w:r>
    </w:p>
    <w:p w14:paraId="109A77E3">
      <w:pPr>
        <w:tabs>
          <w:tab w:val="left" w:pos="856"/>
        </w:tabs>
        <w:snapToGrid w:val="0"/>
        <w:spacing w:line="400" w:lineRule="exact"/>
        <w:ind w:left="495" w:leftChars="200" w:hanging="15" w:hangingChars="7"/>
        <w:rPr>
          <w:rFonts w:hint="eastAsia" w:ascii="宋体" w:hAnsi="宋体" w:eastAsia="宋体" w:cs="微软雅黑"/>
          <w:color w:val="auto"/>
          <w:sz w:val="22"/>
          <w:highlight w:val="none"/>
          <w:lang w:eastAsia="zh-CN"/>
        </w:rPr>
      </w:pPr>
      <w:r>
        <w:rPr>
          <w:rFonts w:hint="eastAsia" w:ascii="宋体" w:hAnsi="宋体" w:cs="微软雅黑"/>
          <w:color w:val="auto"/>
          <w:sz w:val="22"/>
          <w:highlight w:val="none"/>
        </w:rPr>
        <w:t>技术支持服务热线010-86483801</w:t>
      </w:r>
    </w:p>
    <w:p w14:paraId="6C540B1C">
      <w:pPr>
        <w:tabs>
          <w:tab w:val="left" w:pos="840"/>
        </w:tabs>
        <w:snapToGrid w:val="0"/>
        <w:spacing w:line="400" w:lineRule="exact"/>
        <w:ind w:firstLine="440" w:firstLineChars="200"/>
        <w:rPr>
          <w:rFonts w:hint="eastAsia" w:ascii="宋体" w:hAnsi="宋体" w:cs="微软雅黑"/>
          <w:b w:val="0"/>
          <w:bCs w:val="0"/>
          <w:color w:val="auto"/>
          <w:sz w:val="22"/>
          <w:highlight w:val="none"/>
        </w:rPr>
      </w:pPr>
      <w:r>
        <w:rPr>
          <w:rFonts w:hint="eastAsia" w:ascii="宋体" w:hAnsi="宋体" w:cs="微软雅黑"/>
          <w:b w:val="0"/>
          <w:bCs w:val="0"/>
          <w:color w:val="auto"/>
          <w:sz w:val="22"/>
          <w:highlight w:val="none"/>
        </w:rPr>
        <w:t>提示：本项目采用政府采购全流程电子化线上方式征集，请响应人认真学习北京市政府采购电子交易平台发布的相关操作手册及视频，认真核实确认是否符合本项目电子化采购要求，如有问题，请及时联系相关服务热线。</w:t>
      </w:r>
    </w:p>
    <w:p w14:paraId="48CF3DC0">
      <w:pPr>
        <w:numPr>
          <w:ilvl w:val="-1"/>
          <w:numId w:val="0"/>
        </w:numPr>
        <w:snapToGrid w:val="0"/>
        <w:spacing w:line="400" w:lineRule="exact"/>
        <w:ind w:left="0" w:firstLine="0"/>
        <w:rPr>
          <w:rFonts w:hint="eastAsia" w:ascii="宋体" w:hAnsi="宋体" w:cs="微软雅黑"/>
          <w:b/>
          <w:color w:val="auto"/>
          <w:sz w:val="22"/>
          <w:highlight w:val="none"/>
          <w:lang w:eastAsia="zh-CN"/>
        </w:rPr>
      </w:pPr>
      <w:r>
        <w:rPr>
          <w:rFonts w:hint="eastAsia" w:ascii="宋体" w:hAnsi="宋体" w:cs="微软雅黑"/>
          <w:b/>
          <w:color w:val="auto"/>
          <w:sz w:val="22"/>
          <w:highlight w:val="none"/>
          <w:lang w:eastAsia="zh-CN"/>
        </w:rPr>
        <w:t>四、供应商答疑会</w:t>
      </w:r>
    </w:p>
    <w:p w14:paraId="7DAA6EC9">
      <w:pPr>
        <w:tabs>
          <w:tab w:val="left" w:pos="840"/>
        </w:tabs>
        <w:snapToGrid w:val="0"/>
        <w:spacing w:line="400" w:lineRule="exact"/>
        <w:ind w:firstLine="442" w:firstLineChars="200"/>
        <w:rPr>
          <w:rFonts w:hint="eastAsia" w:ascii="宋体" w:hAnsi="宋体" w:cs="微软雅黑"/>
          <w:b/>
          <w:bCs/>
          <w:color w:val="auto"/>
          <w:sz w:val="22"/>
          <w:highlight w:val="none"/>
          <w:lang w:eastAsia="zh-CN"/>
        </w:rPr>
      </w:pPr>
      <w:r>
        <w:rPr>
          <w:rFonts w:hint="eastAsia" w:ascii="宋体" w:hAnsi="宋体" w:cs="微软雅黑"/>
          <w:b/>
          <w:bCs/>
          <w:color w:val="auto"/>
          <w:sz w:val="22"/>
          <w:highlight w:val="none"/>
        </w:rPr>
        <w:t>本项目将于</w:t>
      </w:r>
      <w:r>
        <w:rPr>
          <w:rFonts w:hint="eastAsia" w:ascii="宋体" w:hAnsi="宋体" w:cs="微软雅黑"/>
          <w:b/>
          <w:bCs/>
          <w:color w:val="FF0000"/>
          <w:sz w:val="22"/>
          <w:highlight w:val="none"/>
          <w:lang w:val="en-US" w:eastAsia="zh-CN"/>
        </w:rPr>
        <w:t>2025</w:t>
      </w:r>
      <w:r>
        <w:rPr>
          <w:rFonts w:hint="eastAsia" w:ascii="宋体" w:hAnsi="宋体" w:cs="微软雅黑"/>
          <w:b/>
          <w:bCs/>
          <w:color w:val="FF0000"/>
          <w:sz w:val="22"/>
          <w:highlight w:val="none"/>
        </w:rPr>
        <w:t>年</w:t>
      </w:r>
      <w:r>
        <w:rPr>
          <w:rFonts w:hint="eastAsia" w:ascii="宋体" w:hAnsi="宋体" w:cs="微软雅黑"/>
          <w:b/>
          <w:bCs/>
          <w:color w:val="FF0000"/>
          <w:sz w:val="22"/>
          <w:highlight w:val="none"/>
          <w:lang w:val="en-US" w:eastAsia="zh-CN"/>
        </w:rPr>
        <w:t>12</w:t>
      </w:r>
      <w:r>
        <w:rPr>
          <w:rFonts w:hint="eastAsia" w:ascii="宋体" w:hAnsi="宋体" w:cs="微软雅黑"/>
          <w:b/>
          <w:bCs/>
          <w:color w:val="FF0000"/>
          <w:sz w:val="22"/>
          <w:highlight w:val="none"/>
        </w:rPr>
        <w:t>月</w:t>
      </w:r>
      <w:r>
        <w:rPr>
          <w:rFonts w:hint="eastAsia" w:ascii="宋体" w:hAnsi="宋体" w:cs="微软雅黑"/>
          <w:b/>
          <w:bCs/>
          <w:color w:val="FF0000"/>
          <w:sz w:val="22"/>
          <w:highlight w:val="none"/>
          <w:lang w:val="en-US" w:eastAsia="zh-CN"/>
        </w:rPr>
        <w:t>2</w:t>
      </w:r>
      <w:r>
        <w:rPr>
          <w:rFonts w:hint="eastAsia" w:ascii="宋体" w:hAnsi="宋体" w:cs="微软雅黑"/>
          <w:b/>
          <w:bCs/>
          <w:color w:val="FF0000"/>
          <w:sz w:val="22"/>
          <w:highlight w:val="none"/>
        </w:rPr>
        <w:t>日</w:t>
      </w:r>
      <w:r>
        <w:rPr>
          <w:rFonts w:hint="eastAsia" w:ascii="宋体" w:hAnsi="宋体" w:cs="微软雅黑"/>
          <w:b/>
          <w:bCs/>
          <w:color w:val="FF0000"/>
          <w:sz w:val="22"/>
          <w:highlight w:val="none"/>
          <w:lang w:eastAsia="zh-CN"/>
        </w:rPr>
        <w:t>、</w:t>
      </w:r>
      <w:r>
        <w:rPr>
          <w:rFonts w:hint="eastAsia" w:ascii="宋体" w:hAnsi="宋体" w:cs="微软雅黑"/>
          <w:b/>
          <w:bCs/>
          <w:color w:val="FF0000"/>
          <w:sz w:val="22"/>
          <w:highlight w:val="none"/>
          <w:lang w:val="en-US" w:eastAsia="zh-CN"/>
        </w:rPr>
        <w:t>12月3日</w:t>
      </w:r>
      <w:r>
        <w:rPr>
          <w:rFonts w:hint="eastAsia" w:ascii="宋体" w:hAnsi="宋体" w:cs="微软雅黑"/>
          <w:b/>
          <w:bCs/>
          <w:color w:val="auto"/>
          <w:sz w:val="22"/>
          <w:highlight w:val="none"/>
        </w:rPr>
        <w:t>组织</w:t>
      </w:r>
      <w:r>
        <w:rPr>
          <w:rFonts w:hint="eastAsia" w:ascii="宋体" w:hAnsi="宋体" w:cs="微软雅黑"/>
          <w:b/>
          <w:bCs/>
          <w:color w:val="auto"/>
          <w:sz w:val="22"/>
          <w:highlight w:val="none"/>
          <w:lang w:eastAsia="zh-CN"/>
        </w:rPr>
        <w:t>供应商线上</w:t>
      </w:r>
      <w:r>
        <w:rPr>
          <w:rFonts w:hint="eastAsia" w:ascii="宋体" w:hAnsi="宋体" w:cs="微软雅黑"/>
          <w:b/>
          <w:bCs/>
          <w:color w:val="auto"/>
          <w:sz w:val="22"/>
          <w:highlight w:val="none"/>
        </w:rPr>
        <w:t>答疑会</w:t>
      </w:r>
      <w:r>
        <w:rPr>
          <w:rFonts w:hint="eastAsia" w:ascii="宋体" w:hAnsi="宋体" w:cs="微软雅黑"/>
          <w:b/>
          <w:bCs/>
          <w:color w:val="auto"/>
          <w:sz w:val="22"/>
          <w:highlight w:val="none"/>
          <w:lang w:eastAsia="zh-CN"/>
        </w:rPr>
        <w:t>，每家供应商至多安排一人参会。六场答疑会会议内容完全一致，请勿重复参会。</w:t>
      </w:r>
    </w:p>
    <w:p w14:paraId="4FF8572A">
      <w:pPr>
        <w:tabs>
          <w:tab w:val="left" w:pos="840"/>
        </w:tabs>
        <w:snapToGrid w:val="0"/>
        <w:spacing w:line="400" w:lineRule="exact"/>
        <w:ind w:firstLine="440" w:firstLineChars="200"/>
        <w:rPr>
          <w:rFonts w:hint="eastAsia" w:ascii="宋体" w:hAnsi="宋体" w:eastAsia="宋体" w:cs="微软雅黑"/>
          <w:b w:val="0"/>
          <w:bCs w:val="0"/>
          <w:color w:val="auto"/>
          <w:sz w:val="22"/>
          <w:highlight w:val="none"/>
          <w:lang w:eastAsia="zh-CN"/>
        </w:rPr>
      </w:pPr>
      <w:r>
        <w:rPr>
          <w:rFonts w:hint="eastAsia" w:ascii="宋体" w:hAnsi="宋体" w:cs="微软雅黑"/>
          <w:b w:val="0"/>
          <w:bCs w:val="0"/>
          <w:color w:val="auto"/>
          <w:sz w:val="22"/>
          <w:highlight w:val="none"/>
          <w:lang w:eastAsia="zh-CN"/>
        </w:rPr>
        <w:t>具体时间及安排如下：</w:t>
      </w:r>
    </w:p>
    <w:tbl>
      <w:tblPr>
        <w:tblStyle w:val="23"/>
        <w:tblpPr w:leftFromText="180" w:rightFromText="180" w:vertAnchor="text" w:horzAnchor="page" w:tblpX="1843" w:tblpY="144"/>
        <w:tblOverlap w:val="never"/>
        <w:tblW w:w="44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4"/>
        <w:gridCol w:w="3231"/>
        <w:gridCol w:w="2533"/>
      </w:tblGrid>
      <w:tr w14:paraId="2F11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3" w:type="pct"/>
            <w:vAlign w:val="center"/>
          </w:tcPr>
          <w:p w14:paraId="775FCF9C">
            <w:pPr>
              <w:tabs>
                <w:tab w:val="left" w:pos="840"/>
              </w:tabs>
              <w:snapToGrid w:val="0"/>
              <w:spacing w:line="400" w:lineRule="exact"/>
              <w:jc w:val="left"/>
              <w:rPr>
                <w:rFonts w:hint="eastAsia" w:ascii="宋体" w:hAnsi="宋体" w:eastAsia="宋体" w:cs="微软雅黑"/>
                <w:color w:val="auto"/>
                <w:sz w:val="22"/>
                <w:highlight w:val="none"/>
                <w:vertAlign w:val="baseline"/>
                <w:lang w:eastAsia="zh-CN"/>
              </w:rPr>
            </w:pPr>
            <w:r>
              <w:rPr>
                <w:rFonts w:hint="eastAsia" w:ascii="宋体" w:hAnsi="宋体" w:eastAsia="宋体" w:cs="微软雅黑"/>
                <w:color w:val="auto"/>
                <w:sz w:val="22"/>
                <w:highlight w:val="none"/>
                <w:vertAlign w:val="baseline"/>
                <w:lang w:eastAsia="zh-CN"/>
              </w:rPr>
              <w:t>会议日期</w:t>
            </w:r>
          </w:p>
        </w:tc>
        <w:tc>
          <w:tcPr>
            <w:tcW w:w="1937" w:type="pct"/>
            <w:vAlign w:val="center"/>
          </w:tcPr>
          <w:p w14:paraId="6A30838A">
            <w:pPr>
              <w:tabs>
                <w:tab w:val="left" w:pos="840"/>
              </w:tabs>
              <w:snapToGrid w:val="0"/>
              <w:spacing w:line="400" w:lineRule="exact"/>
              <w:jc w:val="left"/>
              <w:rPr>
                <w:rFonts w:hint="eastAsia" w:ascii="宋体" w:hAnsi="宋体" w:eastAsia="宋体" w:cs="微软雅黑"/>
                <w:color w:val="auto"/>
                <w:sz w:val="22"/>
                <w:highlight w:val="none"/>
                <w:vertAlign w:val="baseline"/>
                <w:lang w:eastAsia="zh-CN"/>
              </w:rPr>
            </w:pPr>
            <w:r>
              <w:rPr>
                <w:rFonts w:hint="eastAsia" w:ascii="宋体" w:hAnsi="宋体" w:eastAsia="宋体" w:cs="微软雅黑"/>
                <w:color w:val="auto"/>
                <w:sz w:val="22"/>
                <w:highlight w:val="none"/>
                <w:vertAlign w:val="baseline"/>
                <w:lang w:eastAsia="zh-CN"/>
              </w:rPr>
              <w:t>会议安排</w:t>
            </w:r>
          </w:p>
        </w:tc>
        <w:tc>
          <w:tcPr>
            <w:tcW w:w="1518" w:type="pct"/>
            <w:vAlign w:val="center"/>
          </w:tcPr>
          <w:p w14:paraId="7ABCC7AB">
            <w:pPr>
              <w:tabs>
                <w:tab w:val="left" w:pos="840"/>
              </w:tabs>
              <w:snapToGrid w:val="0"/>
              <w:spacing w:line="400" w:lineRule="exact"/>
              <w:jc w:val="both"/>
              <w:rPr>
                <w:rFonts w:hint="eastAsia" w:ascii="宋体" w:hAnsi="宋体" w:eastAsia="宋体" w:cs="微软雅黑"/>
                <w:color w:val="auto"/>
                <w:sz w:val="22"/>
                <w:highlight w:val="none"/>
                <w:vertAlign w:val="baseline"/>
                <w:lang w:eastAsia="zh-CN"/>
              </w:rPr>
            </w:pPr>
            <w:r>
              <w:rPr>
                <w:rFonts w:hint="eastAsia" w:ascii="宋体" w:hAnsi="宋体" w:cs="微软雅黑"/>
                <w:color w:val="auto"/>
                <w:sz w:val="22"/>
                <w:highlight w:val="none"/>
                <w:vertAlign w:val="baseline"/>
                <w:lang w:eastAsia="zh-CN"/>
              </w:rPr>
              <w:t>腾讯会议号</w:t>
            </w:r>
          </w:p>
        </w:tc>
      </w:tr>
      <w:tr w14:paraId="69C9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pct"/>
            <w:vAlign w:val="center"/>
          </w:tcPr>
          <w:p w14:paraId="087044CB">
            <w:pPr>
              <w:tabs>
                <w:tab w:val="left" w:pos="840"/>
              </w:tabs>
              <w:snapToGrid w:val="0"/>
              <w:spacing w:line="400" w:lineRule="exact"/>
              <w:jc w:val="left"/>
              <w:rPr>
                <w:rFonts w:hint="eastAsia" w:ascii="宋体" w:hAnsi="宋体" w:eastAsia="宋体" w:cs="微软雅黑"/>
                <w:color w:val="auto"/>
                <w:sz w:val="22"/>
                <w:highlight w:val="none"/>
                <w:vertAlign w:val="baseline"/>
                <w:lang w:val="en-US" w:eastAsia="zh-CN"/>
              </w:rPr>
            </w:pPr>
            <w:r>
              <w:rPr>
                <w:rFonts w:hint="eastAsia" w:ascii="宋体" w:hAnsi="宋体" w:eastAsia="宋体" w:cs="微软雅黑"/>
                <w:color w:val="auto"/>
                <w:sz w:val="22"/>
                <w:highlight w:val="none"/>
                <w:vertAlign w:val="baseline"/>
                <w:lang w:val="en-US" w:eastAsia="zh-CN"/>
              </w:rPr>
              <w:t>2025年12月</w:t>
            </w:r>
            <w:r>
              <w:rPr>
                <w:rFonts w:hint="eastAsia" w:ascii="宋体" w:hAnsi="宋体" w:cs="微软雅黑"/>
                <w:color w:val="auto"/>
                <w:sz w:val="22"/>
                <w:highlight w:val="none"/>
                <w:vertAlign w:val="baseline"/>
                <w:lang w:val="en-US" w:eastAsia="zh-CN"/>
              </w:rPr>
              <w:t>2</w:t>
            </w:r>
            <w:r>
              <w:rPr>
                <w:rFonts w:hint="eastAsia" w:ascii="宋体" w:hAnsi="宋体" w:eastAsia="宋体" w:cs="微软雅黑"/>
                <w:color w:val="auto"/>
                <w:sz w:val="22"/>
                <w:highlight w:val="none"/>
                <w:vertAlign w:val="baseline"/>
                <w:lang w:val="en-US" w:eastAsia="zh-CN"/>
              </w:rPr>
              <w:t>日</w:t>
            </w:r>
          </w:p>
        </w:tc>
        <w:tc>
          <w:tcPr>
            <w:tcW w:w="1937" w:type="pct"/>
            <w:vAlign w:val="center"/>
          </w:tcPr>
          <w:p w14:paraId="198D79D1">
            <w:pPr>
              <w:tabs>
                <w:tab w:val="left" w:pos="840"/>
              </w:tabs>
              <w:snapToGrid w:val="0"/>
              <w:spacing w:line="400" w:lineRule="exact"/>
              <w:jc w:val="left"/>
              <w:rPr>
                <w:rFonts w:hint="eastAsia" w:ascii="宋体" w:hAnsi="宋体" w:eastAsia="宋体" w:cs="微软雅黑"/>
                <w:color w:val="auto"/>
                <w:sz w:val="22"/>
                <w:highlight w:val="none"/>
                <w:vertAlign w:val="baseline"/>
              </w:rPr>
            </w:pPr>
            <w:r>
              <w:rPr>
                <w:rFonts w:hint="eastAsia" w:ascii="宋体" w:hAnsi="宋体" w:eastAsia="宋体" w:cs="微软雅黑"/>
                <w:color w:val="auto"/>
                <w:sz w:val="22"/>
                <w:highlight w:val="none"/>
                <w:vertAlign w:val="baseline"/>
              </w:rPr>
              <w:t>14</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00-15</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00</w:t>
            </w:r>
            <w:r>
              <w:rPr>
                <w:rFonts w:hint="eastAsia" w:ascii="宋体" w:hAnsi="宋体" w:cs="微软雅黑"/>
                <w:color w:val="auto"/>
                <w:sz w:val="22"/>
                <w:highlight w:val="none"/>
                <w:vertAlign w:val="baseline"/>
                <w:lang w:val="en-US" w:eastAsia="zh-CN"/>
              </w:rPr>
              <w:t xml:space="preserve"> </w:t>
            </w:r>
            <w:r>
              <w:rPr>
                <w:rFonts w:hint="eastAsia" w:ascii="宋体" w:hAnsi="宋体" w:eastAsia="宋体" w:cs="微软雅黑"/>
                <w:color w:val="auto"/>
                <w:sz w:val="22"/>
                <w:highlight w:val="none"/>
                <w:vertAlign w:val="baseline"/>
              </w:rPr>
              <w:t>第一场</w:t>
            </w:r>
          </w:p>
          <w:p w14:paraId="6E67BEB1">
            <w:pPr>
              <w:tabs>
                <w:tab w:val="left" w:pos="840"/>
              </w:tabs>
              <w:snapToGrid w:val="0"/>
              <w:spacing w:line="400" w:lineRule="exact"/>
              <w:jc w:val="left"/>
              <w:rPr>
                <w:rFonts w:hint="eastAsia" w:ascii="宋体" w:hAnsi="宋体" w:eastAsia="宋体" w:cs="微软雅黑"/>
                <w:color w:val="auto"/>
                <w:sz w:val="22"/>
                <w:highlight w:val="none"/>
                <w:vertAlign w:val="baseline"/>
              </w:rPr>
            </w:pPr>
            <w:r>
              <w:rPr>
                <w:rFonts w:hint="eastAsia" w:ascii="宋体" w:hAnsi="宋体" w:eastAsia="宋体" w:cs="微软雅黑"/>
                <w:color w:val="auto"/>
                <w:sz w:val="22"/>
                <w:highlight w:val="none"/>
                <w:vertAlign w:val="baseline"/>
              </w:rPr>
              <w:t>15</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30-16</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15 第二场</w:t>
            </w:r>
          </w:p>
          <w:p w14:paraId="558D5E81">
            <w:pPr>
              <w:tabs>
                <w:tab w:val="left" w:pos="840"/>
              </w:tabs>
              <w:snapToGrid w:val="0"/>
              <w:spacing w:line="400" w:lineRule="exact"/>
              <w:jc w:val="left"/>
              <w:rPr>
                <w:rFonts w:hint="eastAsia" w:ascii="宋体" w:hAnsi="宋体" w:eastAsia="宋体" w:cs="微软雅黑"/>
                <w:color w:val="auto"/>
                <w:sz w:val="22"/>
                <w:highlight w:val="none"/>
                <w:vertAlign w:val="baseline"/>
              </w:rPr>
            </w:pPr>
            <w:r>
              <w:rPr>
                <w:rFonts w:hint="eastAsia" w:ascii="宋体" w:hAnsi="宋体" w:eastAsia="宋体" w:cs="微软雅黑"/>
                <w:color w:val="auto"/>
                <w:sz w:val="22"/>
                <w:highlight w:val="none"/>
                <w:vertAlign w:val="baseline"/>
              </w:rPr>
              <w:t>16</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30-17</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15 第三场</w:t>
            </w:r>
          </w:p>
        </w:tc>
        <w:tc>
          <w:tcPr>
            <w:tcW w:w="1518" w:type="pct"/>
            <w:vAlign w:val="center"/>
          </w:tcPr>
          <w:p w14:paraId="2424FDBA">
            <w:pPr>
              <w:tabs>
                <w:tab w:val="left" w:pos="840"/>
              </w:tabs>
              <w:snapToGrid w:val="0"/>
              <w:spacing w:line="400" w:lineRule="exact"/>
              <w:jc w:val="both"/>
              <w:rPr>
                <w:rFonts w:hint="eastAsia" w:ascii="宋体" w:hAnsi="宋体" w:eastAsia="宋体" w:cs="微软雅黑"/>
                <w:color w:val="auto"/>
                <w:sz w:val="22"/>
                <w:highlight w:val="none"/>
                <w:vertAlign w:val="baseline"/>
                <w:lang w:eastAsia="zh-CN"/>
              </w:rPr>
            </w:pPr>
            <w:r>
              <w:rPr>
                <w:rFonts w:hint="eastAsia" w:ascii="宋体" w:hAnsi="宋体" w:eastAsia="宋体" w:cs="微软雅黑"/>
                <w:color w:val="auto"/>
                <w:sz w:val="22"/>
                <w:highlight w:val="none"/>
                <w:vertAlign w:val="baseline"/>
                <w:lang w:eastAsia="zh-CN"/>
              </w:rPr>
              <w:t>698448658</w:t>
            </w:r>
          </w:p>
        </w:tc>
      </w:tr>
      <w:tr w14:paraId="5307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pct"/>
            <w:vAlign w:val="center"/>
          </w:tcPr>
          <w:p w14:paraId="183A7FCC">
            <w:pPr>
              <w:tabs>
                <w:tab w:val="left" w:pos="840"/>
              </w:tabs>
              <w:snapToGrid w:val="0"/>
              <w:spacing w:line="400" w:lineRule="exact"/>
              <w:jc w:val="left"/>
              <w:rPr>
                <w:rFonts w:hint="eastAsia" w:ascii="宋体" w:hAnsi="宋体" w:eastAsia="宋体" w:cs="微软雅黑"/>
                <w:color w:val="auto"/>
                <w:sz w:val="22"/>
                <w:highlight w:val="none"/>
                <w:vertAlign w:val="baseline"/>
              </w:rPr>
            </w:pPr>
            <w:r>
              <w:rPr>
                <w:rFonts w:hint="eastAsia" w:ascii="宋体" w:hAnsi="宋体" w:eastAsia="宋体" w:cs="微软雅黑"/>
                <w:color w:val="auto"/>
                <w:sz w:val="22"/>
                <w:highlight w:val="none"/>
                <w:vertAlign w:val="baseline"/>
                <w:lang w:val="en-US" w:eastAsia="zh-CN"/>
              </w:rPr>
              <w:t>2025年12月</w:t>
            </w:r>
            <w:r>
              <w:rPr>
                <w:rFonts w:hint="eastAsia" w:ascii="宋体" w:hAnsi="宋体" w:cs="微软雅黑"/>
                <w:color w:val="auto"/>
                <w:sz w:val="22"/>
                <w:highlight w:val="none"/>
                <w:vertAlign w:val="baseline"/>
                <w:lang w:val="en-US" w:eastAsia="zh-CN"/>
              </w:rPr>
              <w:t>3</w:t>
            </w:r>
            <w:r>
              <w:rPr>
                <w:rFonts w:hint="eastAsia" w:ascii="宋体" w:hAnsi="宋体" w:eastAsia="宋体" w:cs="微软雅黑"/>
                <w:color w:val="auto"/>
                <w:sz w:val="22"/>
                <w:highlight w:val="none"/>
                <w:vertAlign w:val="baseline"/>
                <w:lang w:val="en-US" w:eastAsia="zh-CN"/>
              </w:rPr>
              <w:t>日</w:t>
            </w:r>
          </w:p>
        </w:tc>
        <w:tc>
          <w:tcPr>
            <w:tcW w:w="1937" w:type="pct"/>
            <w:vAlign w:val="center"/>
          </w:tcPr>
          <w:p w14:paraId="52641056">
            <w:pPr>
              <w:tabs>
                <w:tab w:val="left" w:pos="840"/>
              </w:tabs>
              <w:snapToGrid w:val="0"/>
              <w:spacing w:line="400" w:lineRule="exact"/>
              <w:jc w:val="left"/>
              <w:rPr>
                <w:rFonts w:hint="eastAsia" w:ascii="宋体" w:hAnsi="宋体" w:eastAsia="宋体" w:cs="微软雅黑"/>
                <w:color w:val="auto"/>
                <w:sz w:val="22"/>
                <w:highlight w:val="none"/>
                <w:vertAlign w:val="baseline"/>
              </w:rPr>
            </w:pPr>
            <w:r>
              <w:rPr>
                <w:rFonts w:hint="eastAsia" w:ascii="宋体" w:hAnsi="宋体" w:eastAsia="宋体" w:cs="微软雅黑"/>
                <w:color w:val="auto"/>
                <w:sz w:val="22"/>
                <w:highlight w:val="none"/>
                <w:vertAlign w:val="baseline"/>
              </w:rPr>
              <w:t>14</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00-15</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00</w:t>
            </w:r>
            <w:r>
              <w:rPr>
                <w:rFonts w:hint="eastAsia" w:ascii="宋体" w:hAnsi="宋体" w:cs="微软雅黑"/>
                <w:color w:val="auto"/>
                <w:sz w:val="22"/>
                <w:highlight w:val="none"/>
                <w:vertAlign w:val="baseline"/>
                <w:lang w:val="en-US" w:eastAsia="zh-CN"/>
              </w:rPr>
              <w:t xml:space="preserve"> </w:t>
            </w:r>
            <w:r>
              <w:rPr>
                <w:rFonts w:hint="eastAsia" w:ascii="宋体" w:hAnsi="宋体" w:eastAsia="宋体" w:cs="微软雅黑"/>
                <w:color w:val="auto"/>
                <w:sz w:val="22"/>
                <w:highlight w:val="none"/>
                <w:vertAlign w:val="baseline"/>
              </w:rPr>
              <w:t>第</w:t>
            </w:r>
            <w:r>
              <w:rPr>
                <w:rFonts w:hint="eastAsia" w:ascii="宋体" w:hAnsi="宋体" w:cs="微软雅黑"/>
                <w:color w:val="auto"/>
                <w:sz w:val="22"/>
                <w:highlight w:val="none"/>
                <w:vertAlign w:val="baseline"/>
                <w:lang w:eastAsia="zh-CN"/>
              </w:rPr>
              <w:t>四</w:t>
            </w:r>
            <w:r>
              <w:rPr>
                <w:rFonts w:hint="eastAsia" w:ascii="宋体" w:hAnsi="宋体" w:eastAsia="宋体" w:cs="微软雅黑"/>
                <w:color w:val="auto"/>
                <w:sz w:val="22"/>
                <w:highlight w:val="none"/>
                <w:vertAlign w:val="baseline"/>
              </w:rPr>
              <w:t>场</w:t>
            </w:r>
          </w:p>
          <w:p w14:paraId="5C0C165E">
            <w:pPr>
              <w:tabs>
                <w:tab w:val="left" w:pos="840"/>
              </w:tabs>
              <w:snapToGrid w:val="0"/>
              <w:spacing w:line="400" w:lineRule="exact"/>
              <w:jc w:val="left"/>
              <w:rPr>
                <w:rFonts w:hint="eastAsia" w:ascii="宋体" w:hAnsi="宋体" w:eastAsia="宋体" w:cs="微软雅黑"/>
                <w:color w:val="auto"/>
                <w:sz w:val="22"/>
                <w:highlight w:val="none"/>
                <w:vertAlign w:val="baseline"/>
              </w:rPr>
            </w:pPr>
            <w:r>
              <w:rPr>
                <w:rFonts w:hint="eastAsia" w:ascii="宋体" w:hAnsi="宋体" w:eastAsia="宋体" w:cs="微软雅黑"/>
                <w:color w:val="auto"/>
                <w:sz w:val="22"/>
                <w:highlight w:val="none"/>
                <w:vertAlign w:val="baseline"/>
              </w:rPr>
              <w:t>15</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30-16</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15 第</w:t>
            </w:r>
            <w:r>
              <w:rPr>
                <w:rFonts w:hint="eastAsia" w:ascii="宋体" w:hAnsi="宋体" w:cs="微软雅黑"/>
                <w:color w:val="auto"/>
                <w:sz w:val="22"/>
                <w:highlight w:val="none"/>
                <w:vertAlign w:val="baseline"/>
                <w:lang w:eastAsia="zh-CN"/>
              </w:rPr>
              <w:t>五</w:t>
            </w:r>
            <w:r>
              <w:rPr>
                <w:rFonts w:hint="eastAsia" w:ascii="宋体" w:hAnsi="宋体" w:eastAsia="宋体" w:cs="微软雅黑"/>
                <w:color w:val="auto"/>
                <w:sz w:val="22"/>
                <w:highlight w:val="none"/>
                <w:vertAlign w:val="baseline"/>
              </w:rPr>
              <w:t>场</w:t>
            </w:r>
          </w:p>
          <w:p w14:paraId="4F562414">
            <w:pPr>
              <w:tabs>
                <w:tab w:val="left" w:pos="840"/>
              </w:tabs>
              <w:snapToGrid w:val="0"/>
              <w:spacing w:line="400" w:lineRule="exact"/>
              <w:jc w:val="left"/>
              <w:rPr>
                <w:rFonts w:hint="eastAsia" w:ascii="宋体" w:hAnsi="宋体" w:eastAsia="宋体" w:cs="微软雅黑"/>
                <w:color w:val="auto"/>
                <w:sz w:val="22"/>
                <w:highlight w:val="none"/>
                <w:vertAlign w:val="baseline"/>
              </w:rPr>
            </w:pPr>
            <w:r>
              <w:rPr>
                <w:rFonts w:hint="eastAsia" w:ascii="宋体" w:hAnsi="宋体" w:eastAsia="宋体" w:cs="微软雅黑"/>
                <w:color w:val="auto"/>
                <w:sz w:val="22"/>
                <w:highlight w:val="none"/>
                <w:vertAlign w:val="baseline"/>
              </w:rPr>
              <w:t>16</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30-17</w:t>
            </w:r>
            <w:r>
              <w:rPr>
                <w:rFonts w:hint="eastAsia" w:ascii="宋体" w:hAnsi="宋体" w:cs="微软雅黑"/>
                <w:color w:val="auto"/>
                <w:sz w:val="22"/>
                <w:highlight w:val="none"/>
                <w:vertAlign w:val="baseline"/>
                <w:lang w:val="en-US" w:eastAsia="zh-CN"/>
              </w:rPr>
              <w:t>:</w:t>
            </w:r>
            <w:r>
              <w:rPr>
                <w:rFonts w:hint="eastAsia" w:ascii="宋体" w:hAnsi="宋体" w:eastAsia="宋体" w:cs="微软雅黑"/>
                <w:color w:val="auto"/>
                <w:sz w:val="22"/>
                <w:highlight w:val="none"/>
                <w:vertAlign w:val="baseline"/>
              </w:rPr>
              <w:t>15 第</w:t>
            </w:r>
            <w:r>
              <w:rPr>
                <w:rFonts w:hint="eastAsia" w:ascii="宋体" w:hAnsi="宋体" w:cs="微软雅黑"/>
                <w:color w:val="auto"/>
                <w:sz w:val="22"/>
                <w:highlight w:val="none"/>
                <w:vertAlign w:val="baseline"/>
                <w:lang w:eastAsia="zh-CN"/>
              </w:rPr>
              <w:t>六</w:t>
            </w:r>
            <w:r>
              <w:rPr>
                <w:rFonts w:hint="eastAsia" w:ascii="宋体" w:hAnsi="宋体" w:eastAsia="宋体" w:cs="微软雅黑"/>
                <w:color w:val="auto"/>
                <w:sz w:val="22"/>
                <w:highlight w:val="none"/>
                <w:vertAlign w:val="baseline"/>
              </w:rPr>
              <w:t>场</w:t>
            </w:r>
          </w:p>
        </w:tc>
        <w:tc>
          <w:tcPr>
            <w:tcW w:w="1518" w:type="pct"/>
            <w:vAlign w:val="center"/>
          </w:tcPr>
          <w:p w14:paraId="79738325">
            <w:pPr>
              <w:tabs>
                <w:tab w:val="left" w:pos="840"/>
              </w:tabs>
              <w:snapToGrid w:val="0"/>
              <w:spacing w:line="400" w:lineRule="exact"/>
              <w:jc w:val="both"/>
              <w:rPr>
                <w:rFonts w:hint="eastAsia" w:ascii="宋体" w:hAnsi="宋体" w:eastAsia="宋体" w:cs="微软雅黑"/>
                <w:color w:val="auto"/>
                <w:sz w:val="22"/>
                <w:highlight w:val="none"/>
                <w:vertAlign w:val="baseline"/>
              </w:rPr>
            </w:pPr>
            <w:r>
              <w:rPr>
                <w:rFonts w:hint="eastAsia" w:ascii="宋体" w:hAnsi="宋体" w:eastAsia="宋体" w:cs="微软雅黑"/>
                <w:color w:val="auto"/>
                <w:sz w:val="22"/>
                <w:highlight w:val="none"/>
                <w:vertAlign w:val="baseline"/>
              </w:rPr>
              <w:t>597740331</w:t>
            </w:r>
          </w:p>
        </w:tc>
      </w:tr>
    </w:tbl>
    <w:p w14:paraId="386364DC">
      <w:pPr>
        <w:tabs>
          <w:tab w:val="left" w:pos="840"/>
        </w:tabs>
        <w:snapToGrid w:val="0"/>
        <w:spacing w:line="400" w:lineRule="exact"/>
        <w:ind w:firstLine="442" w:firstLineChars="200"/>
        <w:rPr>
          <w:rFonts w:hint="eastAsia" w:ascii="宋体" w:hAnsi="宋体" w:eastAsia="宋体" w:cs="微软雅黑"/>
          <w:b/>
          <w:bCs/>
          <w:color w:val="FF0000"/>
          <w:sz w:val="22"/>
          <w:highlight w:val="none"/>
        </w:rPr>
      </w:pPr>
      <w:r>
        <w:rPr>
          <w:rFonts w:hint="eastAsia" w:ascii="宋体" w:hAnsi="宋体" w:cs="微软雅黑"/>
          <w:b/>
          <w:bCs/>
          <w:color w:val="FF0000"/>
          <w:sz w:val="22"/>
          <w:highlight w:val="none"/>
          <w:lang w:eastAsia="zh-CN"/>
        </w:rPr>
        <w:t>注：每场答疑会最多容纳一千人，请供应商合理安排参会时间。</w:t>
      </w:r>
    </w:p>
    <w:p w14:paraId="74D5FC9C">
      <w:pPr>
        <w:numPr>
          <w:ilvl w:val="0"/>
          <w:numId w:val="0"/>
        </w:numPr>
        <w:snapToGrid w:val="0"/>
        <w:spacing w:line="400" w:lineRule="exact"/>
        <w:ind w:leftChars="0"/>
        <w:rPr>
          <w:rFonts w:ascii="宋体" w:hAnsi="宋体" w:cs="微软雅黑"/>
          <w:b/>
          <w:color w:val="auto"/>
          <w:sz w:val="22"/>
          <w:highlight w:val="none"/>
        </w:rPr>
      </w:pPr>
      <w:r>
        <w:rPr>
          <w:rFonts w:hint="eastAsia" w:ascii="宋体" w:hAnsi="宋体" w:cs="微软雅黑"/>
          <w:b/>
          <w:color w:val="auto"/>
          <w:sz w:val="22"/>
          <w:highlight w:val="none"/>
          <w:lang w:eastAsia="zh-CN"/>
        </w:rPr>
        <w:t>五、</w:t>
      </w:r>
      <w:r>
        <w:rPr>
          <w:rFonts w:hint="eastAsia" w:ascii="宋体" w:hAnsi="宋体" w:cs="微软雅黑"/>
          <w:b/>
          <w:color w:val="auto"/>
          <w:sz w:val="22"/>
          <w:highlight w:val="none"/>
        </w:rPr>
        <w:t>电子响应文件提交、解密时间及地点</w:t>
      </w:r>
    </w:p>
    <w:p w14:paraId="6DB521FA">
      <w:pPr>
        <w:numPr>
          <w:ilvl w:val="0"/>
          <w:numId w:val="8"/>
        </w:numPr>
        <w:tabs>
          <w:tab w:val="left" w:pos="856"/>
        </w:tabs>
        <w:snapToGrid w:val="0"/>
        <w:spacing w:line="400" w:lineRule="exact"/>
        <w:rPr>
          <w:rFonts w:ascii="宋体" w:hAnsi="宋体" w:cs="微软雅黑"/>
          <w:b w:val="0"/>
          <w:bCs w:val="0"/>
          <w:color w:val="auto"/>
          <w:sz w:val="22"/>
          <w:highlight w:val="none"/>
          <w:u w:val="none"/>
        </w:rPr>
      </w:pPr>
      <w:r>
        <w:rPr>
          <w:rFonts w:hint="eastAsia" w:ascii="宋体" w:hAnsi="宋体" w:cs="微软雅黑"/>
          <w:b w:val="0"/>
          <w:bCs w:val="0"/>
          <w:color w:val="auto"/>
          <w:sz w:val="22"/>
          <w:highlight w:val="none"/>
        </w:rPr>
        <w:t>电子响应文件提交截止及解</w:t>
      </w:r>
      <w:r>
        <w:rPr>
          <w:rFonts w:hint="eastAsia" w:ascii="宋体" w:hAnsi="宋体" w:cs="微软雅黑"/>
          <w:b w:val="0"/>
          <w:bCs w:val="0"/>
          <w:color w:val="auto"/>
          <w:sz w:val="22"/>
          <w:highlight w:val="none"/>
          <w:u w:val="none"/>
        </w:rPr>
        <w:t>密时间：</w:t>
      </w:r>
      <w:r>
        <w:rPr>
          <w:rFonts w:hint="eastAsia" w:ascii="宋体" w:hAnsi="宋体" w:cs="微软雅黑"/>
          <w:b/>
          <w:bCs/>
          <w:color w:val="FF0000"/>
          <w:sz w:val="22"/>
          <w:highlight w:val="none"/>
          <w:u w:val="none"/>
        </w:rPr>
        <w:t>202</w:t>
      </w:r>
      <w:r>
        <w:rPr>
          <w:rFonts w:hint="eastAsia" w:ascii="宋体" w:hAnsi="宋体" w:cs="微软雅黑"/>
          <w:b/>
          <w:bCs/>
          <w:color w:val="FF0000"/>
          <w:sz w:val="22"/>
          <w:highlight w:val="none"/>
          <w:u w:val="none"/>
          <w:lang w:val="en-US" w:eastAsia="zh-CN"/>
        </w:rPr>
        <w:t>5</w:t>
      </w:r>
      <w:r>
        <w:rPr>
          <w:rFonts w:hint="eastAsia" w:ascii="宋体" w:hAnsi="宋体" w:cs="微软雅黑"/>
          <w:b/>
          <w:bCs/>
          <w:color w:val="FF0000"/>
          <w:sz w:val="22"/>
          <w:highlight w:val="none"/>
          <w:u w:val="none"/>
        </w:rPr>
        <w:t>年</w:t>
      </w:r>
      <w:r>
        <w:rPr>
          <w:rFonts w:hint="eastAsia" w:ascii="宋体" w:hAnsi="宋体" w:cs="微软雅黑"/>
          <w:b/>
          <w:bCs/>
          <w:color w:val="FF0000"/>
          <w:sz w:val="22"/>
          <w:highlight w:val="none"/>
          <w:u w:val="none"/>
          <w:lang w:val="en-US" w:eastAsia="zh-CN"/>
        </w:rPr>
        <w:t>12</w:t>
      </w:r>
      <w:r>
        <w:rPr>
          <w:rFonts w:hint="eastAsia" w:ascii="宋体" w:hAnsi="宋体" w:cs="微软雅黑"/>
          <w:b/>
          <w:bCs/>
          <w:color w:val="FF0000"/>
          <w:sz w:val="22"/>
          <w:highlight w:val="none"/>
          <w:u w:val="none"/>
        </w:rPr>
        <w:t>月</w:t>
      </w:r>
      <w:r>
        <w:rPr>
          <w:rFonts w:hint="eastAsia" w:ascii="宋体" w:hAnsi="宋体" w:cs="微软雅黑"/>
          <w:b/>
          <w:bCs/>
          <w:color w:val="FF0000"/>
          <w:sz w:val="22"/>
          <w:highlight w:val="none"/>
          <w:u w:val="none"/>
          <w:lang w:val="en-US" w:eastAsia="zh-CN"/>
        </w:rPr>
        <w:t>16</w:t>
      </w:r>
      <w:r>
        <w:rPr>
          <w:rFonts w:hint="eastAsia" w:ascii="宋体" w:hAnsi="宋体" w:cs="微软雅黑"/>
          <w:b/>
          <w:bCs/>
          <w:color w:val="FF0000"/>
          <w:sz w:val="22"/>
          <w:highlight w:val="none"/>
          <w:u w:val="none"/>
        </w:rPr>
        <w:t xml:space="preserve">日 </w:t>
      </w:r>
      <w:r>
        <w:rPr>
          <w:rFonts w:hint="eastAsia" w:ascii="宋体" w:hAnsi="宋体" w:cs="微软雅黑"/>
          <w:b/>
          <w:bCs/>
          <w:color w:val="FF0000"/>
          <w:sz w:val="22"/>
          <w:highlight w:val="none"/>
          <w:u w:val="none"/>
          <w:lang w:val="en-US" w:eastAsia="zh-CN"/>
        </w:rPr>
        <w:t>9</w:t>
      </w:r>
      <w:r>
        <w:rPr>
          <w:rFonts w:hint="eastAsia" w:ascii="宋体" w:hAnsi="宋体" w:cs="微软雅黑"/>
          <w:b/>
          <w:bCs/>
          <w:color w:val="FF0000"/>
          <w:sz w:val="22"/>
          <w:highlight w:val="none"/>
          <w:u w:val="none"/>
        </w:rPr>
        <w:t>:</w:t>
      </w:r>
      <w:r>
        <w:rPr>
          <w:rFonts w:hint="eastAsia" w:ascii="宋体" w:hAnsi="宋体" w:cs="微软雅黑"/>
          <w:b/>
          <w:bCs/>
          <w:color w:val="FF0000"/>
          <w:sz w:val="22"/>
          <w:highlight w:val="none"/>
          <w:u w:val="none"/>
          <w:lang w:val="en-US" w:eastAsia="zh-CN"/>
        </w:rPr>
        <w:t>30</w:t>
      </w:r>
      <w:r>
        <w:rPr>
          <w:rFonts w:hint="eastAsia" w:ascii="宋体" w:hAnsi="宋体" w:cs="微软雅黑"/>
          <w:b/>
          <w:bCs/>
          <w:color w:val="FF0000"/>
          <w:sz w:val="22"/>
          <w:highlight w:val="none"/>
          <w:u w:val="none"/>
        </w:rPr>
        <w:t>（北京时间）</w:t>
      </w:r>
      <w:r>
        <w:rPr>
          <w:rFonts w:hint="eastAsia" w:ascii="宋体" w:hAnsi="宋体" w:cs="微软雅黑"/>
          <w:b w:val="0"/>
          <w:bCs w:val="0"/>
          <w:color w:val="auto"/>
          <w:sz w:val="22"/>
          <w:highlight w:val="none"/>
          <w:u w:val="none"/>
        </w:rPr>
        <w:t>。</w:t>
      </w:r>
    </w:p>
    <w:p w14:paraId="33696102">
      <w:pPr>
        <w:numPr>
          <w:ilvl w:val="0"/>
          <w:numId w:val="8"/>
        </w:numPr>
        <w:tabs>
          <w:tab w:val="left" w:pos="856"/>
        </w:tabs>
        <w:snapToGrid w:val="0"/>
        <w:spacing w:line="400" w:lineRule="exact"/>
        <w:rPr>
          <w:rFonts w:ascii="宋体" w:hAnsi="宋体" w:cs="微软雅黑"/>
          <w:b w:val="0"/>
          <w:bCs w:val="0"/>
          <w:color w:val="auto"/>
          <w:sz w:val="22"/>
          <w:highlight w:val="none"/>
          <w:u w:val="none"/>
        </w:rPr>
      </w:pPr>
      <w:r>
        <w:rPr>
          <w:rFonts w:hint="eastAsia" w:ascii="宋体" w:hAnsi="宋体" w:cs="微软雅黑"/>
          <w:b w:val="0"/>
          <w:bCs w:val="0"/>
          <w:color w:val="auto"/>
          <w:sz w:val="22"/>
          <w:highlight w:val="none"/>
          <w:u w:val="none"/>
        </w:rPr>
        <w:t>解密时限：</w:t>
      </w:r>
    </w:p>
    <w:p w14:paraId="1D20F060">
      <w:pPr>
        <w:tabs>
          <w:tab w:val="left" w:pos="856"/>
        </w:tabs>
        <w:snapToGrid w:val="0"/>
        <w:spacing w:line="400" w:lineRule="exact"/>
        <w:ind w:left="480"/>
        <w:rPr>
          <w:rFonts w:ascii="宋体" w:hAnsi="宋体" w:cs="微软雅黑"/>
          <w:b w:val="0"/>
          <w:bCs w:val="0"/>
          <w:color w:val="auto"/>
          <w:sz w:val="22"/>
          <w:highlight w:val="none"/>
          <w:u w:val="none"/>
        </w:rPr>
      </w:pPr>
      <w:r>
        <w:rPr>
          <w:rFonts w:hint="eastAsia" w:ascii="宋体" w:hAnsi="宋体" w:cs="微软雅黑"/>
          <w:b w:val="0"/>
          <w:bCs w:val="0"/>
          <w:color w:val="auto"/>
          <w:sz w:val="22"/>
          <w:highlight w:val="none"/>
          <w:u w:val="none"/>
        </w:rPr>
        <w:t>解密时限为北京市政府采购电子交易平台开启响应人自行解密功能后</w:t>
      </w:r>
      <w:r>
        <w:rPr>
          <w:rFonts w:hint="eastAsia" w:ascii="宋体" w:hAnsi="宋体" w:cs="微软雅黑"/>
          <w:b/>
          <w:bCs/>
          <w:color w:val="FF0000"/>
          <w:sz w:val="22"/>
          <w:highlight w:val="none"/>
          <w:u w:val="none"/>
          <w:lang w:val="en-US" w:eastAsia="zh-CN"/>
        </w:rPr>
        <w:t>1440</w:t>
      </w:r>
      <w:r>
        <w:rPr>
          <w:rFonts w:hint="eastAsia" w:ascii="宋体" w:hAnsi="宋体" w:cs="微软雅黑"/>
          <w:b w:val="0"/>
          <w:bCs w:val="0"/>
          <w:color w:val="auto"/>
          <w:sz w:val="22"/>
          <w:highlight w:val="none"/>
          <w:u w:val="none"/>
        </w:rPr>
        <w:t>分钟。</w:t>
      </w:r>
    </w:p>
    <w:p w14:paraId="17C57DFD">
      <w:pPr>
        <w:numPr>
          <w:ilvl w:val="0"/>
          <w:numId w:val="8"/>
        </w:numPr>
        <w:tabs>
          <w:tab w:val="left" w:pos="856"/>
        </w:tabs>
        <w:snapToGrid w:val="0"/>
        <w:spacing w:line="400" w:lineRule="exact"/>
        <w:rPr>
          <w:rFonts w:ascii="宋体" w:hAnsi="宋体" w:cs="微软雅黑"/>
          <w:color w:val="auto"/>
          <w:sz w:val="22"/>
          <w:highlight w:val="none"/>
        </w:rPr>
      </w:pPr>
      <w:r>
        <w:rPr>
          <w:rFonts w:hint="eastAsia" w:ascii="宋体" w:hAnsi="宋体" w:cs="微软雅黑"/>
          <w:color w:val="auto"/>
          <w:sz w:val="22"/>
          <w:highlight w:val="none"/>
        </w:rPr>
        <w:t>解密地点及方式：</w:t>
      </w:r>
    </w:p>
    <w:p w14:paraId="3961907E">
      <w:pPr>
        <w:tabs>
          <w:tab w:val="left" w:pos="854"/>
        </w:tabs>
        <w:snapToGrid w:val="0"/>
        <w:spacing w:line="400" w:lineRule="exact"/>
        <w:ind w:firstLine="440" w:firstLineChars="200"/>
        <w:rPr>
          <w:rFonts w:ascii="宋体" w:hAnsi="宋体" w:cs="微软雅黑"/>
          <w:b w:val="0"/>
          <w:bCs/>
          <w:color w:val="auto"/>
          <w:sz w:val="22"/>
          <w:highlight w:val="none"/>
        </w:rPr>
      </w:pPr>
      <w:r>
        <w:rPr>
          <w:rFonts w:hint="eastAsia" w:ascii="宋体" w:hAnsi="宋体" w:cs="微软雅黑"/>
          <w:b w:val="0"/>
          <w:bCs/>
          <w:color w:val="auto"/>
          <w:sz w:val="22"/>
          <w:highlight w:val="none"/>
        </w:rPr>
        <w:t>本项目采用远程电子解密方式，由响应人自行对电子响应文件进行解密，不接受纸质文件，无须响应人到达现场。</w:t>
      </w:r>
    </w:p>
    <w:p w14:paraId="2FE34FC4">
      <w:pPr>
        <w:snapToGrid w:val="0"/>
        <w:spacing w:line="400" w:lineRule="exact"/>
        <w:ind w:firstLine="440" w:firstLineChars="200"/>
        <w:rPr>
          <w:rFonts w:ascii="宋体" w:hAnsi="宋体" w:cs="微软雅黑"/>
          <w:b w:val="0"/>
          <w:bCs/>
          <w:color w:val="auto"/>
          <w:sz w:val="22"/>
          <w:highlight w:val="none"/>
        </w:rPr>
      </w:pPr>
      <w:r>
        <w:rPr>
          <w:rFonts w:hint="eastAsia" w:ascii="宋体" w:hAnsi="宋体" w:cs="微软雅黑"/>
          <w:b w:val="0"/>
          <w:bCs/>
          <w:color w:val="auto"/>
          <w:sz w:val="22"/>
          <w:highlight w:val="none"/>
        </w:rPr>
        <w:t>提示：本项目采用远程电子解密方式，为保证解密顺利进行，请响应人务必远程参加并保持联系人电话畅通，同时确保使用制作上传本项目电子响应文件的计算机设备及自身CA数字认证证书或电子营业执照登录北京市政府采购电子交易平台进行自行解密操作，请响应人务必于解密功能开启后及时操作。</w:t>
      </w:r>
    </w:p>
    <w:p w14:paraId="396D810F">
      <w:pPr>
        <w:snapToGrid w:val="0"/>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解密阶段技术电话：010-86483801</w:t>
      </w:r>
    </w:p>
    <w:p w14:paraId="2652ADA4">
      <w:pPr>
        <w:numPr>
          <w:ilvl w:val="0"/>
          <w:numId w:val="9"/>
        </w:numPr>
        <w:adjustRightInd/>
        <w:spacing w:line="400" w:lineRule="exact"/>
        <w:ind w:left="191" w:firstLine="289"/>
        <w:jc w:val="both"/>
        <w:textAlignment w:val="auto"/>
        <w:rPr>
          <w:rFonts w:ascii="宋体" w:hAnsi="宋体"/>
          <w:color w:val="auto"/>
          <w:kern w:val="2"/>
          <w:sz w:val="22"/>
          <w:highlight w:val="none"/>
        </w:rPr>
      </w:pPr>
      <w:r>
        <w:rPr>
          <w:rFonts w:hint="eastAsia" w:ascii="宋体" w:hAnsi="宋体"/>
          <w:color w:val="auto"/>
          <w:kern w:val="2"/>
          <w:sz w:val="22"/>
          <w:highlight w:val="none"/>
        </w:rPr>
        <w:t>未在电子响应文件提交截止时间前按程序上传电子响应文件的响应无效。</w:t>
      </w:r>
    </w:p>
    <w:p w14:paraId="7DFAFCCC">
      <w:pPr>
        <w:numPr>
          <w:ilvl w:val="0"/>
          <w:numId w:val="9"/>
        </w:numPr>
        <w:adjustRightInd/>
        <w:spacing w:line="400" w:lineRule="exact"/>
        <w:ind w:left="191" w:firstLine="289"/>
        <w:jc w:val="both"/>
        <w:textAlignment w:val="auto"/>
        <w:rPr>
          <w:rFonts w:ascii="宋体" w:hAnsi="宋体"/>
          <w:color w:val="auto"/>
          <w:kern w:val="2"/>
          <w:sz w:val="22"/>
          <w:highlight w:val="none"/>
        </w:rPr>
      </w:pPr>
      <w:r>
        <w:rPr>
          <w:rFonts w:hint="eastAsia" w:ascii="宋体" w:hAnsi="宋体"/>
          <w:color w:val="auto"/>
          <w:kern w:val="2"/>
          <w:sz w:val="22"/>
          <w:highlight w:val="none"/>
        </w:rPr>
        <w:t>电子响应文件制作、上传等注意事项详见征集文件第一部分“提示”。</w:t>
      </w:r>
    </w:p>
    <w:p w14:paraId="53066445">
      <w:pPr>
        <w:numPr>
          <w:ilvl w:val="0"/>
          <w:numId w:val="9"/>
        </w:numPr>
        <w:adjustRightInd/>
        <w:spacing w:line="400" w:lineRule="exact"/>
        <w:ind w:left="191" w:firstLine="289"/>
        <w:jc w:val="both"/>
        <w:textAlignment w:val="auto"/>
        <w:rPr>
          <w:rFonts w:ascii="宋体" w:hAnsi="宋体"/>
          <w:color w:val="auto"/>
          <w:kern w:val="2"/>
          <w:sz w:val="22"/>
          <w:highlight w:val="none"/>
        </w:rPr>
      </w:pPr>
      <w:r>
        <w:rPr>
          <w:rFonts w:hint="eastAsia" w:ascii="宋体" w:hAnsi="宋体"/>
          <w:color w:val="auto"/>
          <w:kern w:val="2"/>
          <w:sz w:val="22"/>
          <w:highlight w:val="none"/>
        </w:rPr>
        <w:t>解密及唱标时具体操作流程及注意事项详见征集文件第三部分“15.解密及唱标”。</w:t>
      </w:r>
    </w:p>
    <w:p w14:paraId="496496CD">
      <w:pPr>
        <w:numPr>
          <w:ilvl w:val="0"/>
          <w:numId w:val="0"/>
        </w:numPr>
        <w:snapToGrid w:val="0"/>
        <w:spacing w:line="400" w:lineRule="exact"/>
        <w:ind w:leftChars="0"/>
        <w:rPr>
          <w:rFonts w:ascii="宋体" w:hAnsi="宋体" w:cs="微软雅黑"/>
          <w:b/>
          <w:color w:val="auto"/>
          <w:sz w:val="22"/>
          <w:highlight w:val="none"/>
        </w:rPr>
      </w:pPr>
      <w:r>
        <w:rPr>
          <w:rFonts w:hint="eastAsia" w:ascii="宋体" w:hAnsi="宋体" w:cs="微软雅黑"/>
          <w:b/>
          <w:color w:val="auto"/>
          <w:sz w:val="22"/>
          <w:highlight w:val="none"/>
          <w:lang w:eastAsia="zh-CN"/>
        </w:rPr>
        <w:t>六、</w:t>
      </w:r>
      <w:r>
        <w:rPr>
          <w:rFonts w:hint="eastAsia" w:ascii="宋体" w:hAnsi="宋体" w:cs="微软雅黑"/>
          <w:b/>
          <w:color w:val="auto"/>
          <w:sz w:val="22"/>
          <w:highlight w:val="none"/>
        </w:rPr>
        <w:t>联系信息</w:t>
      </w:r>
    </w:p>
    <w:p w14:paraId="77411821">
      <w:pPr>
        <w:snapToGrid w:val="0"/>
        <w:spacing w:line="400" w:lineRule="exact"/>
        <w:ind w:left="840"/>
        <w:rPr>
          <w:rFonts w:hint="eastAsia" w:ascii="宋体" w:hAnsi="宋体" w:eastAsia="宋体" w:cs="微软雅黑"/>
          <w:color w:val="auto"/>
          <w:sz w:val="22"/>
          <w:highlight w:val="none"/>
          <w:lang w:val="en-US" w:eastAsia="zh-CN"/>
        </w:rPr>
      </w:pPr>
      <w:r>
        <w:rPr>
          <w:rFonts w:hint="eastAsia" w:ascii="宋体" w:hAnsi="宋体" w:cs="微软雅黑"/>
          <w:color w:val="auto"/>
          <w:sz w:val="22"/>
          <w:highlight w:val="none"/>
        </w:rPr>
        <w:t>联系人：</w:t>
      </w:r>
      <w:r>
        <w:rPr>
          <w:rFonts w:hint="eastAsia" w:ascii="宋体" w:hAnsi="宋体" w:cs="微软雅黑"/>
          <w:color w:val="auto"/>
          <w:sz w:val="22"/>
          <w:highlight w:val="none"/>
          <w:lang w:eastAsia="zh-CN"/>
        </w:rPr>
        <w:t>程老师、郭</w:t>
      </w:r>
      <w:r>
        <w:rPr>
          <w:rFonts w:hint="eastAsia" w:ascii="宋体" w:hAnsi="宋体" w:cs="微软雅黑"/>
          <w:color w:val="auto"/>
          <w:sz w:val="22"/>
          <w:highlight w:val="none"/>
        </w:rPr>
        <w:t>老师</w:t>
      </w:r>
      <w:r>
        <w:rPr>
          <w:rFonts w:hint="eastAsia" w:ascii="宋体" w:hAnsi="宋体" w:cs="微软雅黑"/>
          <w:color w:val="auto"/>
          <w:sz w:val="22"/>
          <w:highlight w:val="none"/>
          <w:lang w:eastAsia="zh-CN"/>
        </w:rPr>
        <w:t>、崔老师</w:t>
      </w:r>
    </w:p>
    <w:p w14:paraId="3A42A4A7">
      <w:pPr>
        <w:snapToGrid w:val="0"/>
        <w:spacing w:line="400" w:lineRule="exact"/>
        <w:ind w:firstLine="880" w:firstLineChars="400"/>
        <w:rPr>
          <w:rFonts w:hint="eastAsia" w:ascii="宋体" w:hAnsi="宋体" w:cs="微软雅黑"/>
          <w:color w:val="auto"/>
          <w:sz w:val="22"/>
          <w:highlight w:val="none"/>
          <w:lang w:eastAsia="zh-CN"/>
        </w:rPr>
      </w:pPr>
      <w:r>
        <w:rPr>
          <w:rFonts w:hint="eastAsia" w:ascii="宋体" w:hAnsi="宋体" w:cs="微软雅黑"/>
          <w:color w:val="auto"/>
          <w:sz w:val="22"/>
          <w:highlight w:val="none"/>
        </w:rPr>
        <w:t>电话：</w:t>
      </w:r>
      <w:r>
        <w:rPr>
          <w:rFonts w:hint="eastAsia" w:ascii="宋体" w:hAnsi="宋体" w:cs="微软雅黑"/>
          <w:color w:val="auto"/>
          <w:sz w:val="22"/>
          <w:highlight w:val="none"/>
          <w:lang w:val="en-US" w:eastAsia="zh-CN"/>
        </w:rPr>
        <w:t>010-</w:t>
      </w:r>
      <w:r>
        <w:rPr>
          <w:rFonts w:hint="eastAsia" w:ascii="宋体" w:hAnsi="宋体" w:cs="微软雅黑"/>
          <w:color w:val="auto"/>
          <w:sz w:val="22"/>
          <w:highlight w:val="none"/>
        </w:rPr>
        <w:t>86483801</w:t>
      </w:r>
      <w:r>
        <w:rPr>
          <w:rFonts w:hint="eastAsia" w:ascii="宋体" w:hAnsi="宋体" w:cs="微软雅黑"/>
          <w:color w:val="auto"/>
          <w:sz w:val="22"/>
          <w:highlight w:val="none"/>
          <w:lang w:eastAsia="zh-CN"/>
        </w:rPr>
        <w:t>（技术支持服务电话）</w:t>
      </w:r>
    </w:p>
    <w:p w14:paraId="67067FFA">
      <w:pPr>
        <w:snapToGrid w:val="0"/>
        <w:spacing w:line="400" w:lineRule="exact"/>
        <w:ind w:firstLine="1540" w:firstLineChars="700"/>
        <w:rPr>
          <w:rFonts w:hint="default" w:ascii="宋体" w:hAnsi="宋体" w:eastAsia="宋体" w:cs="微软雅黑"/>
          <w:color w:val="auto"/>
          <w:sz w:val="22"/>
          <w:highlight w:val="yellow"/>
          <w:lang w:val="en-US" w:eastAsia="zh-CN"/>
        </w:rPr>
      </w:pPr>
      <w:r>
        <w:rPr>
          <w:rFonts w:hint="eastAsia" w:ascii="宋体" w:hAnsi="宋体" w:cs="微软雅黑"/>
          <w:color w:val="auto"/>
          <w:sz w:val="22"/>
          <w:highlight w:val="none"/>
        </w:rPr>
        <w:t>010-</w:t>
      </w:r>
      <w:r>
        <w:rPr>
          <w:rFonts w:hint="eastAsia" w:ascii="宋体" w:hAnsi="宋体" w:cs="微软雅黑"/>
          <w:color w:val="auto"/>
          <w:sz w:val="22"/>
          <w:highlight w:val="none"/>
          <w:lang w:val="en-US" w:eastAsia="zh-CN"/>
        </w:rPr>
        <w:t>63540118、010-83916602（项目咨询联系电话）</w:t>
      </w:r>
    </w:p>
    <w:p w14:paraId="79230147">
      <w:pPr>
        <w:snapToGrid w:val="0"/>
        <w:spacing w:line="400" w:lineRule="exact"/>
        <w:ind w:left="840"/>
        <w:rPr>
          <w:rFonts w:ascii="宋体" w:hAnsi="宋体" w:cs="微软雅黑"/>
          <w:color w:val="auto"/>
          <w:sz w:val="22"/>
          <w:highlight w:val="none"/>
        </w:rPr>
      </w:pPr>
      <w:r>
        <w:rPr>
          <w:rFonts w:hint="eastAsia" w:ascii="宋体" w:hAnsi="宋体" w:cs="微软雅黑"/>
          <w:color w:val="auto"/>
          <w:sz w:val="22"/>
          <w:highlight w:val="none"/>
        </w:rPr>
        <w:t>通讯地址：北京市丰台区玉林</w:t>
      </w:r>
      <w:r>
        <w:rPr>
          <w:rFonts w:hint="eastAsia" w:ascii="宋体" w:hAnsi="宋体" w:cs="微软雅黑"/>
          <w:color w:val="auto"/>
          <w:sz w:val="22"/>
          <w:highlight w:val="none"/>
          <w:lang w:eastAsia="zh-CN"/>
        </w:rPr>
        <w:t>西路</w:t>
      </w:r>
      <w:r>
        <w:rPr>
          <w:rFonts w:hint="eastAsia" w:ascii="宋体" w:hAnsi="宋体" w:cs="微软雅黑"/>
          <w:color w:val="auto"/>
          <w:sz w:val="22"/>
          <w:highlight w:val="none"/>
        </w:rPr>
        <w:t>45号腾飞大厦</w:t>
      </w:r>
    </w:p>
    <w:p w14:paraId="40035886">
      <w:pPr>
        <w:spacing w:line="400" w:lineRule="exact"/>
        <w:jc w:val="center"/>
        <w:rPr>
          <w:rFonts w:ascii="宋体" w:cs="微软雅黑"/>
          <w:b/>
          <w:color w:val="auto"/>
          <w:sz w:val="32"/>
          <w:szCs w:val="32"/>
          <w:highlight w:val="none"/>
        </w:rPr>
      </w:pPr>
      <w:r>
        <w:rPr>
          <w:rFonts w:ascii="宋体" w:cs="微软雅黑"/>
          <w:color w:val="auto"/>
          <w:sz w:val="22"/>
          <w:highlight w:val="none"/>
        </w:rPr>
        <w:br w:type="page"/>
      </w:r>
      <w:bookmarkStart w:id="19" w:name="_Toc174185149"/>
      <w:bookmarkStart w:id="20" w:name="_Toc180051012"/>
      <w:bookmarkStart w:id="21" w:name="_Toc184013605"/>
      <w:bookmarkStart w:id="22" w:name="_Toc186274101"/>
      <w:bookmarkStart w:id="23" w:name="_Toc184023104"/>
      <w:r>
        <w:rPr>
          <w:rFonts w:hint="eastAsia" w:ascii="宋体" w:hAnsi="宋体" w:cs="微软雅黑"/>
          <w:b/>
          <w:color w:val="auto"/>
          <w:sz w:val="32"/>
          <w:szCs w:val="32"/>
          <w:highlight w:val="none"/>
        </w:rPr>
        <w:t>电子响应文件制作及上传说明</w:t>
      </w:r>
      <w:bookmarkEnd w:id="19"/>
      <w:bookmarkEnd w:id="20"/>
      <w:bookmarkEnd w:id="21"/>
      <w:bookmarkEnd w:id="22"/>
      <w:bookmarkEnd w:id="23"/>
    </w:p>
    <w:p w14:paraId="5DA978D0">
      <w:pPr>
        <w:snapToGrid w:val="0"/>
        <w:spacing w:line="400" w:lineRule="exact"/>
        <w:ind w:firstLine="442" w:firstLineChars="200"/>
        <w:rPr>
          <w:rFonts w:ascii="宋体" w:hAnsi="宋体" w:cs="微软雅黑"/>
          <w:b/>
          <w:color w:val="auto"/>
          <w:sz w:val="22"/>
          <w:highlight w:val="none"/>
        </w:rPr>
      </w:pPr>
      <w:r>
        <w:rPr>
          <w:rFonts w:hint="eastAsia" w:ascii="宋体" w:hAnsi="宋体" w:cs="微软雅黑"/>
          <w:b/>
          <w:color w:val="auto"/>
          <w:sz w:val="22"/>
          <w:highlight w:val="none"/>
        </w:rPr>
        <w:t>本项目电子响应流程将配套使用北京市政府采购电子交易平台,一律不接受纸质响应文件。请供应商根据征集文件及北京市政府采购电子交易平台相关操作手册制作并网上提交电子响应文件。上传电子响应文件过程中请保持与互联网的连接畅通。</w:t>
      </w:r>
    </w:p>
    <w:p w14:paraId="58CC4449">
      <w:pPr>
        <w:tabs>
          <w:tab w:val="left" w:pos="856"/>
        </w:tabs>
        <w:snapToGrid w:val="0"/>
        <w:spacing w:line="400" w:lineRule="exact"/>
        <w:ind w:left="497" w:leftChars="200" w:hanging="17" w:hangingChars="8"/>
        <w:rPr>
          <w:rFonts w:ascii="宋体" w:hAnsi="宋体" w:cs="微软雅黑"/>
          <w:color w:val="auto"/>
          <w:sz w:val="22"/>
          <w:highlight w:val="none"/>
        </w:rPr>
      </w:pPr>
      <w:r>
        <w:rPr>
          <w:rFonts w:hint="eastAsia" w:ascii="宋体" w:hAnsi="宋体" w:cs="微软雅黑"/>
          <w:color w:val="auto"/>
          <w:sz w:val="22"/>
          <w:highlight w:val="none"/>
        </w:rPr>
        <w:t>CA数字认证证书服务热线0</w:t>
      </w:r>
      <w:r>
        <w:rPr>
          <w:rFonts w:ascii="宋体" w:hAnsi="宋体" w:cs="微软雅黑"/>
          <w:color w:val="auto"/>
          <w:sz w:val="22"/>
          <w:highlight w:val="none"/>
        </w:rPr>
        <w:t>10-58511086</w:t>
      </w:r>
    </w:p>
    <w:p w14:paraId="78552B36">
      <w:pPr>
        <w:tabs>
          <w:tab w:val="left" w:pos="856"/>
        </w:tabs>
        <w:snapToGrid w:val="0"/>
        <w:spacing w:line="400" w:lineRule="exact"/>
        <w:ind w:left="497" w:leftChars="200" w:hanging="17" w:hangingChars="8"/>
        <w:rPr>
          <w:rFonts w:ascii="宋体" w:hAnsi="宋体" w:cs="微软雅黑"/>
          <w:color w:val="auto"/>
          <w:sz w:val="22"/>
          <w:highlight w:val="none"/>
        </w:rPr>
      </w:pPr>
      <w:r>
        <w:rPr>
          <w:rFonts w:hint="eastAsia" w:ascii="宋体" w:hAnsi="宋体" w:cs="微软雅黑"/>
          <w:color w:val="auto"/>
          <w:sz w:val="22"/>
          <w:highlight w:val="none"/>
        </w:rPr>
        <w:t>电子营业执照服务热线</w:t>
      </w:r>
      <w:r>
        <w:rPr>
          <w:rFonts w:ascii="宋体" w:hAnsi="宋体" w:cs="微软雅黑"/>
          <w:color w:val="auto"/>
          <w:sz w:val="22"/>
          <w:highlight w:val="none"/>
        </w:rPr>
        <w:t>400-699-7000</w:t>
      </w:r>
    </w:p>
    <w:p w14:paraId="7E6064C9">
      <w:pPr>
        <w:tabs>
          <w:tab w:val="left" w:pos="856"/>
        </w:tabs>
        <w:snapToGrid w:val="0"/>
        <w:spacing w:line="400" w:lineRule="exact"/>
        <w:ind w:left="497" w:leftChars="200" w:hanging="17" w:hangingChars="8"/>
        <w:rPr>
          <w:rFonts w:ascii="宋体" w:hAnsi="宋体" w:cs="微软雅黑"/>
          <w:color w:val="auto"/>
          <w:sz w:val="22"/>
          <w:highlight w:val="none"/>
        </w:rPr>
      </w:pPr>
      <w:r>
        <w:rPr>
          <w:rFonts w:hint="eastAsia" w:ascii="宋体" w:hAnsi="宋体" w:cs="微软雅黑"/>
          <w:color w:val="auto"/>
          <w:sz w:val="22"/>
          <w:highlight w:val="none"/>
        </w:rPr>
        <w:t>技术支持服务热线010-86483801</w:t>
      </w:r>
    </w:p>
    <w:p w14:paraId="118F4BD8">
      <w:pPr>
        <w:numPr>
          <w:ilvl w:val="0"/>
          <w:numId w:val="10"/>
        </w:numPr>
        <w:snapToGrid w:val="0"/>
        <w:spacing w:line="400" w:lineRule="exact"/>
        <w:rPr>
          <w:rFonts w:ascii="宋体" w:hAnsi="宋体" w:cs="微软雅黑"/>
          <w:b/>
          <w:color w:val="auto"/>
          <w:sz w:val="22"/>
          <w:highlight w:val="none"/>
        </w:rPr>
      </w:pPr>
      <w:r>
        <w:rPr>
          <w:rFonts w:hint="eastAsia" w:ascii="宋体" w:hAnsi="宋体" w:cs="微软雅黑"/>
          <w:b/>
          <w:color w:val="auto"/>
          <w:sz w:val="22"/>
          <w:highlight w:val="none"/>
        </w:rPr>
        <w:t>CA数字认证证书及电子营业执照操作流程</w:t>
      </w:r>
    </w:p>
    <w:p w14:paraId="0EB0ECCD">
      <w:pPr>
        <w:spacing w:line="400" w:lineRule="exact"/>
        <w:ind w:firstLine="440" w:firstLineChars="200"/>
        <w:rPr>
          <w:rFonts w:ascii="宋体" w:hAnsi="宋体" w:cs="微软雅黑"/>
          <w:b w:val="0"/>
          <w:bCs w:val="0"/>
          <w:color w:val="auto"/>
          <w:sz w:val="22"/>
          <w:highlight w:val="none"/>
        </w:rPr>
      </w:pPr>
      <w:r>
        <w:rPr>
          <w:rFonts w:hint="eastAsia" w:ascii="宋体" w:hAnsi="宋体" w:cs="微软雅黑"/>
          <w:b w:val="0"/>
          <w:bCs w:val="0"/>
          <w:color w:val="auto"/>
          <w:sz w:val="22"/>
          <w:highlight w:val="none"/>
        </w:rPr>
        <w:t>供应商登录北京市政府采购电子交易平台查阅“用户指南”-“操作指南”-“市场主体CA办理操作流程指引”或“电子营业执照使用指南”，按照程序要求办理。</w:t>
      </w:r>
    </w:p>
    <w:p w14:paraId="1EA8F4B3">
      <w:pPr>
        <w:snapToGrid w:val="0"/>
        <w:spacing w:line="400" w:lineRule="exact"/>
        <w:ind w:firstLine="440" w:firstLineChars="200"/>
        <w:rPr>
          <w:rFonts w:ascii="宋体" w:hAnsi="宋体" w:cs="微软雅黑"/>
          <w:b w:val="0"/>
          <w:bCs w:val="0"/>
          <w:color w:val="auto"/>
          <w:sz w:val="22"/>
          <w:highlight w:val="none"/>
        </w:rPr>
      </w:pPr>
      <w:r>
        <w:rPr>
          <w:rFonts w:hint="eastAsia" w:ascii="宋体" w:hAnsi="宋体" w:cs="微软雅黑"/>
          <w:b w:val="0"/>
          <w:bCs w:val="0"/>
          <w:color w:val="auto"/>
          <w:sz w:val="22"/>
          <w:highlight w:val="none"/>
        </w:rPr>
        <w:t>提示：加密上传电子响应文件后，不得续费或更新证书及电子营业执照信息，以免影响远程解密功能。确需续费或更新的用户，请使用续费或更新后的CA数字认证证书或电子营业执照重新加密上传电子响应文件。</w:t>
      </w:r>
    </w:p>
    <w:p w14:paraId="79E9E526">
      <w:pPr>
        <w:numPr>
          <w:ilvl w:val="0"/>
          <w:numId w:val="10"/>
        </w:numPr>
        <w:snapToGrid w:val="0"/>
        <w:spacing w:line="400" w:lineRule="exact"/>
        <w:rPr>
          <w:rFonts w:ascii="宋体" w:hAnsi="宋体" w:cs="微软雅黑"/>
          <w:b/>
          <w:color w:val="auto"/>
          <w:sz w:val="22"/>
          <w:highlight w:val="none"/>
        </w:rPr>
      </w:pPr>
      <w:r>
        <w:rPr>
          <w:rFonts w:hint="eastAsia" w:ascii="宋体" w:hAnsi="宋体" w:cs="微软雅黑"/>
          <w:b/>
          <w:color w:val="auto"/>
          <w:sz w:val="22"/>
          <w:highlight w:val="none"/>
        </w:rPr>
        <w:t>注册</w:t>
      </w:r>
    </w:p>
    <w:p w14:paraId="24F71EDA">
      <w:pPr>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供应商登录北京市政府采购电子交易平台“用户指南”-“操作指南”-“市场主体注册入库操作流程指引”进行自助注册绑定。</w:t>
      </w:r>
    </w:p>
    <w:p w14:paraId="1CFDB3E7">
      <w:pPr>
        <w:numPr>
          <w:ilvl w:val="0"/>
          <w:numId w:val="10"/>
        </w:numPr>
        <w:snapToGrid w:val="0"/>
        <w:spacing w:line="400" w:lineRule="exact"/>
        <w:rPr>
          <w:rFonts w:ascii="宋体" w:hAnsi="宋体" w:cs="微软雅黑"/>
          <w:b/>
          <w:color w:val="auto"/>
          <w:sz w:val="22"/>
          <w:highlight w:val="none"/>
        </w:rPr>
      </w:pPr>
      <w:r>
        <w:rPr>
          <w:rFonts w:hint="eastAsia" w:ascii="宋体" w:hAnsi="宋体" w:cs="微软雅黑"/>
          <w:b/>
          <w:color w:val="auto"/>
          <w:sz w:val="22"/>
          <w:highlight w:val="none"/>
        </w:rPr>
        <w:t>驱动、客户端下载</w:t>
      </w:r>
    </w:p>
    <w:p w14:paraId="3599D0A6">
      <w:pPr>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供应商登录北京市政府采购电子交易平台“用户指南”-“工具下载”-“</w:t>
      </w:r>
      <w:bookmarkStart w:id="24" w:name="OLE_LINK1"/>
      <w:r>
        <w:rPr>
          <w:rFonts w:hint="eastAsia" w:ascii="宋体" w:hAnsi="宋体" w:cs="微软雅黑"/>
          <w:color w:val="auto"/>
          <w:sz w:val="22"/>
          <w:highlight w:val="none"/>
        </w:rPr>
        <w:t>招标采购系统文件驱动安装包”下载相关</w:t>
      </w:r>
      <w:bookmarkEnd w:id="24"/>
      <w:r>
        <w:rPr>
          <w:rFonts w:hint="eastAsia" w:ascii="宋体" w:hAnsi="宋体" w:cs="微软雅黑"/>
          <w:color w:val="auto"/>
          <w:sz w:val="22"/>
          <w:highlight w:val="none"/>
        </w:rPr>
        <w:t>驱动。</w:t>
      </w:r>
    </w:p>
    <w:p w14:paraId="6A41CEE0">
      <w:pPr>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供应商登录北京市政府采购电子交易平台“用户指南”-“工具下载”-“电子营业执照驱动程序安装包2.6.3”下载相关驱动。</w:t>
      </w:r>
    </w:p>
    <w:p w14:paraId="75598DEE">
      <w:pPr>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供应商登录北京市政府采购电子交易平台“用户指南”-“工具下载”-“响应文件编制工具”下载相关客户端。</w:t>
      </w:r>
    </w:p>
    <w:p w14:paraId="377A23C1">
      <w:pPr>
        <w:numPr>
          <w:ilvl w:val="0"/>
          <w:numId w:val="10"/>
        </w:numPr>
        <w:snapToGrid w:val="0"/>
        <w:spacing w:line="400" w:lineRule="exact"/>
        <w:rPr>
          <w:rFonts w:ascii="宋体" w:hAnsi="宋体" w:cs="微软雅黑"/>
          <w:b/>
          <w:color w:val="auto"/>
          <w:sz w:val="22"/>
          <w:highlight w:val="none"/>
        </w:rPr>
      </w:pPr>
      <w:r>
        <w:rPr>
          <w:rFonts w:hint="eastAsia" w:ascii="宋体" w:hAnsi="宋体" w:cs="微软雅黑"/>
          <w:b/>
          <w:color w:val="auto"/>
          <w:sz w:val="22"/>
          <w:highlight w:val="none"/>
        </w:rPr>
        <w:t>获取电子征集文件</w:t>
      </w:r>
    </w:p>
    <w:p w14:paraId="08CEFFDA">
      <w:pPr>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供应商持CA数字认证证书或电子营业执照登录北京市政府采购电子交易平台获取电子征集文件。未在规定期限内通过北京市政府采购电子交易平台获取本项目电子征集文件的</w:t>
      </w:r>
      <w:r>
        <w:rPr>
          <w:rFonts w:hint="eastAsia" w:ascii="宋体" w:hAnsi="宋体" w:cs="微软雅黑"/>
          <w:b/>
          <w:bCs/>
          <w:color w:val="auto"/>
          <w:sz w:val="22"/>
          <w:highlight w:val="none"/>
        </w:rPr>
        <w:t>响应无效</w:t>
      </w:r>
      <w:r>
        <w:rPr>
          <w:rFonts w:hint="eastAsia" w:ascii="宋体" w:hAnsi="宋体" w:cs="微软雅黑"/>
          <w:color w:val="auto"/>
          <w:sz w:val="22"/>
          <w:highlight w:val="none"/>
        </w:rPr>
        <w:t>。</w:t>
      </w:r>
    </w:p>
    <w:p w14:paraId="138ED504">
      <w:pPr>
        <w:numPr>
          <w:ilvl w:val="0"/>
          <w:numId w:val="10"/>
        </w:numPr>
        <w:snapToGrid w:val="0"/>
        <w:spacing w:line="400" w:lineRule="exact"/>
        <w:rPr>
          <w:rFonts w:ascii="宋体" w:hAnsi="宋体" w:cs="微软雅黑"/>
          <w:b/>
          <w:color w:val="auto"/>
          <w:sz w:val="22"/>
          <w:highlight w:val="none"/>
        </w:rPr>
      </w:pPr>
      <w:r>
        <w:rPr>
          <w:rFonts w:hint="eastAsia" w:ascii="宋体" w:hAnsi="宋体" w:cs="微软雅黑"/>
          <w:b/>
          <w:color w:val="auto"/>
          <w:sz w:val="22"/>
          <w:highlight w:val="none"/>
        </w:rPr>
        <w:t>编制电子响应文件</w:t>
      </w:r>
    </w:p>
    <w:p w14:paraId="4F2F84D9">
      <w:pPr>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供应商应使用电子投标客户端编制</w:t>
      </w:r>
      <w:r>
        <w:rPr>
          <w:rFonts w:hint="eastAsia" w:ascii="宋体" w:hAnsi="宋体" w:cs="微软雅黑"/>
          <w:color w:val="auto"/>
          <w:sz w:val="22"/>
          <w:highlight w:val="none"/>
          <w:lang w:eastAsia="zh-CN"/>
        </w:rPr>
        <w:t>并按照要求线上递交</w:t>
      </w:r>
      <w:r>
        <w:rPr>
          <w:rFonts w:hint="eastAsia" w:ascii="宋体" w:hAnsi="宋体" w:cs="微软雅黑"/>
          <w:color w:val="auto"/>
          <w:sz w:val="22"/>
          <w:highlight w:val="none"/>
        </w:rPr>
        <w:t>电子响应文件，</w:t>
      </w:r>
      <w:r>
        <w:rPr>
          <w:rFonts w:hint="eastAsia" w:ascii="宋体" w:hAnsi="宋体" w:cs="微软雅黑"/>
          <w:color w:val="auto"/>
          <w:sz w:val="22"/>
          <w:highlight w:val="none"/>
          <w:lang w:eastAsia="zh-CN"/>
        </w:rPr>
        <w:t>如遇问题</w:t>
      </w:r>
      <w:r>
        <w:rPr>
          <w:rFonts w:hint="eastAsia" w:ascii="宋体" w:hAnsi="宋体" w:cs="微软雅黑"/>
          <w:color w:val="auto"/>
          <w:sz w:val="22"/>
          <w:highlight w:val="none"/>
        </w:rPr>
        <w:t>请及时通过技术支持服务热线联系技术人员。</w:t>
      </w:r>
    </w:p>
    <w:p w14:paraId="18522CD9">
      <w:pPr>
        <w:snapToGrid w:val="0"/>
        <w:spacing w:line="400" w:lineRule="exact"/>
        <w:ind w:firstLine="440" w:firstLineChars="200"/>
        <w:rPr>
          <w:rFonts w:ascii="宋体" w:hAnsi="宋体" w:cs="微软雅黑"/>
          <w:b/>
          <w:color w:val="auto"/>
          <w:sz w:val="22"/>
          <w:highlight w:val="none"/>
        </w:rPr>
      </w:pPr>
      <w:r>
        <w:rPr>
          <w:rFonts w:hint="eastAsia" w:ascii="宋体" w:hAnsi="宋体" w:cs="微软雅黑"/>
          <w:b w:val="0"/>
          <w:bCs/>
          <w:color w:val="auto"/>
          <w:sz w:val="22"/>
          <w:highlight w:val="none"/>
        </w:rPr>
        <w:t>提示：请响应人务必使用符合北京市政府采购电子交易平台功能的CA数字认证证书进行上述操作，操作同时不要插入其它认证证书。</w:t>
      </w:r>
    </w:p>
    <w:p w14:paraId="0A762F11">
      <w:pPr>
        <w:numPr>
          <w:ilvl w:val="0"/>
          <w:numId w:val="10"/>
        </w:numPr>
        <w:snapToGrid w:val="0"/>
        <w:spacing w:line="400" w:lineRule="exact"/>
        <w:rPr>
          <w:rFonts w:ascii="宋体" w:hAnsi="宋体" w:cs="微软雅黑"/>
          <w:b/>
          <w:color w:val="auto"/>
          <w:sz w:val="22"/>
          <w:highlight w:val="none"/>
        </w:rPr>
      </w:pPr>
      <w:r>
        <w:rPr>
          <w:rFonts w:hint="eastAsia" w:ascii="宋体" w:hAnsi="宋体" w:cs="微软雅黑"/>
          <w:b/>
          <w:color w:val="auto"/>
          <w:sz w:val="22"/>
          <w:highlight w:val="none"/>
        </w:rPr>
        <w:t>提交电子响应文件</w:t>
      </w:r>
    </w:p>
    <w:p w14:paraId="0BECF0F0">
      <w:pPr>
        <w:spacing w:line="400" w:lineRule="exact"/>
        <w:ind w:firstLine="440" w:firstLineChars="200"/>
        <w:rPr>
          <w:rFonts w:ascii="宋体" w:hAnsi="宋体" w:cs="微软雅黑"/>
          <w:color w:val="auto"/>
          <w:sz w:val="22"/>
          <w:highlight w:val="none"/>
        </w:rPr>
      </w:pPr>
      <w:r>
        <w:rPr>
          <w:rFonts w:hint="eastAsia" w:ascii="宋体" w:hAnsi="宋体" w:cs="微软雅黑"/>
          <w:color w:val="auto"/>
          <w:sz w:val="22"/>
          <w:highlight w:val="none"/>
        </w:rPr>
        <w:t>供应商应于电子响应文件提交截止时间前在北京市政府采购电子交易平台提交电子响应文件，上传电子响应文件过程中请保持与互联网的连接畅通。</w:t>
      </w:r>
    </w:p>
    <w:p w14:paraId="385162E7">
      <w:pPr>
        <w:numPr>
          <w:ilvl w:val="0"/>
          <w:numId w:val="10"/>
        </w:numPr>
        <w:snapToGrid w:val="0"/>
        <w:spacing w:line="400" w:lineRule="exact"/>
        <w:rPr>
          <w:rFonts w:ascii="宋体" w:hAnsi="宋体" w:cs="微软雅黑"/>
          <w:b/>
          <w:color w:val="auto"/>
          <w:sz w:val="22"/>
          <w:highlight w:val="none"/>
        </w:rPr>
      </w:pPr>
      <w:r>
        <w:rPr>
          <w:rFonts w:hint="eastAsia" w:ascii="宋体" w:hAnsi="宋体" w:cs="微软雅黑"/>
          <w:b/>
          <w:color w:val="auto"/>
          <w:sz w:val="22"/>
          <w:highlight w:val="none"/>
        </w:rPr>
        <w:t>电子解密</w:t>
      </w:r>
    </w:p>
    <w:p w14:paraId="6D1F1615">
      <w:pPr>
        <w:spacing w:line="400" w:lineRule="exact"/>
        <w:ind w:firstLine="440" w:firstLineChars="200"/>
        <w:rPr>
          <w:rFonts w:ascii="宋体" w:cs="微软雅黑"/>
          <w:color w:val="auto"/>
          <w:sz w:val="22"/>
          <w:highlight w:val="none"/>
        </w:rPr>
      </w:pPr>
      <w:r>
        <w:rPr>
          <w:rFonts w:hint="eastAsia" w:ascii="宋体" w:hAnsi="宋体" w:cs="微软雅黑"/>
          <w:color w:val="auto"/>
          <w:sz w:val="22"/>
          <w:highlight w:val="none"/>
        </w:rPr>
        <w:t>供应商在规定的时间使用CA数字认证证书或电子营业执照登录北京市政府采购电子交易平台进行远程电子解密。</w:t>
      </w:r>
      <w:r>
        <w:rPr>
          <w:rFonts w:ascii="宋体" w:hAnsi="宋体" w:cs="微软雅黑"/>
          <w:color w:val="auto"/>
          <w:sz w:val="22"/>
          <w:highlight w:val="none"/>
        </w:rPr>
        <w:br w:type="page"/>
      </w:r>
    </w:p>
    <w:p w14:paraId="30E52FEE">
      <w:pPr>
        <w:pStyle w:val="57"/>
        <w:snapToGrid w:val="0"/>
        <w:spacing w:before="0" w:after="0"/>
        <w:ind w:left="0"/>
        <w:rPr>
          <w:rFonts w:cs="微软雅黑"/>
          <w:color w:val="auto"/>
          <w:sz w:val="22"/>
          <w:szCs w:val="22"/>
          <w:highlight w:val="none"/>
        </w:rPr>
      </w:pPr>
      <w:bookmarkStart w:id="25" w:name="_Toc21637"/>
      <w:bookmarkStart w:id="26" w:name="_Toc22558"/>
      <w:bookmarkStart w:id="27" w:name="_Toc174185152"/>
      <w:bookmarkStart w:id="28" w:name="_Toc17405"/>
      <w:bookmarkStart w:id="29" w:name="_Toc5232"/>
      <w:bookmarkStart w:id="30" w:name="_Toc186274104"/>
      <w:r>
        <w:rPr>
          <w:rFonts w:hint="eastAsia" w:ascii="宋体" w:hAnsi="宋体"/>
          <w:color w:val="auto"/>
          <w:sz w:val="32"/>
          <w:szCs w:val="21"/>
          <w:highlight w:val="none"/>
          <w:lang w:val="en-US" w:eastAsia="zh-CN"/>
        </w:rPr>
        <w:t xml:space="preserve"> </w:t>
      </w:r>
      <w:r>
        <w:rPr>
          <w:rFonts w:hint="eastAsia" w:ascii="宋体" w:hAnsi="宋体"/>
          <w:color w:val="auto"/>
          <w:sz w:val="32"/>
          <w:szCs w:val="21"/>
          <w:highlight w:val="none"/>
        </w:rPr>
        <w:t>响应人须知前附表</w:t>
      </w:r>
      <w:bookmarkEnd w:id="25"/>
      <w:bookmarkEnd w:id="26"/>
      <w:bookmarkEnd w:id="27"/>
      <w:bookmarkEnd w:id="28"/>
      <w:bookmarkEnd w:id="29"/>
      <w:bookmarkEnd w:id="30"/>
      <w:bookmarkStart w:id="31" w:name="_Toc7823"/>
    </w:p>
    <w:p w14:paraId="6976FFFF">
      <w:pPr>
        <w:pStyle w:val="12"/>
        <w:keepNext w:val="0"/>
        <w:keepLines w:val="0"/>
        <w:pageBreakBefore w:val="0"/>
        <w:widowControl w:val="0"/>
        <w:kinsoku w:val="0"/>
        <w:wordWrap/>
        <w:overflowPunct w:val="0"/>
        <w:topLinePunct w:val="0"/>
        <w:autoSpaceDE w:val="0"/>
        <w:autoSpaceDN w:val="0"/>
        <w:bidi w:val="0"/>
        <w:adjustRightInd w:val="0"/>
        <w:snapToGrid w:val="0"/>
        <w:spacing w:line="360" w:lineRule="exact"/>
        <w:jc w:val="left"/>
        <w:rPr>
          <w:rFonts w:hint="eastAsia" w:hAnsi="宋体" w:cs="微软雅黑"/>
          <w:b/>
          <w:bCs w:val="0"/>
          <w:color w:val="FF0000"/>
          <w:kern w:val="0"/>
          <w:sz w:val="22"/>
          <w:szCs w:val="22"/>
          <w:highlight w:val="none"/>
          <w:lang w:eastAsia="zh-CN"/>
        </w:rPr>
      </w:pPr>
      <w:r>
        <w:rPr>
          <w:rFonts w:hint="eastAsia"/>
          <w:b/>
          <w:bCs/>
          <w:color w:val="auto"/>
          <w:sz w:val="22"/>
          <w:szCs w:val="22"/>
          <w:highlight w:val="none"/>
        </w:rPr>
        <w:t>提示：征集文件中所有带*条款均为实质性响应条款，电子响应文件须完全响应，未实质响应的，按照无效响应处理。</w:t>
      </w:r>
      <w:r>
        <w:rPr>
          <w:rFonts w:hint="eastAsia" w:hAnsi="宋体" w:cs="微软雅黑"/>
          <w:b/>
          <w:bCs w:val="0"/>
          <w:color w:val="FF0000"/>
          <w:kern w:val="0"/>
          <w:sz w:val="22"/>
          <w:szCs w:val="22"/>
          <w:highlight w:val="none"/>
          <w:lang w:val="en-US" w:eastAsia="zh-CN"/>
        </w:rPr>
        <w:t>响应人须参与本项目资格预审并公告合格</w:t>
      </w:r>
      <w:r>
        <w:rPr>
          <w:rFonts w:hint="eastAsia" w:hAnsi="宋体" w:cs="微软雅黑"/>
          <w:b/>
          <w:bCs w:val="0"/>
          <w:color w:val="FF0000"/>
          <w:kern w:val="0"/>
          <w:sz w:val="22"/>
          <w:szCs w:val="22"/>
          <w:highlight w:val="none"/>
          <w:lang w:eastAsia="zh-CN"/>
        </w:rPr>
        <w:t>，否则其响应将被视为无效。</w:t>
      </w:r>
    </w:p>
    <w:p w14:paraId="77711D57">
      <w:pPr>
        <w:pStyle w:val="47"/>
        <w:keepNext w:val="0"/>
        <w:keepLines w:val="0"/>
        <w:pageBreakBefore w:val="0"/>
        <w:widowControl w:val="0"/>
        <w:numPr>
          <w:ilvl w:val="0"/>
          <w:numId w:val="0"/>
        </w:numPr>
        <w:wordWrap/>
        <w:topLinePunct w:val="0"/>
        <w:bidi w:val="0"/>
        <w:adjustRightInd w:val="0"/>
        <w:spacing w:line="360" w:lineRule="exact"/>
        <w:rPr>
          <w:rFonts w:hint="eastAsia"/>
          <w:b/>
          <w:bCs/>
          <w:color w:val="auto"/>
          <w:sz w:val="22"/>
          <w:szCs w:val="22"/>
          <w:highlight w:val="none"/>
        </w:rPr>
      </w:pPr>
      <w:r>
        <w:rPr>
          <w:rFonts w:hint="eastAsia" w:hAnsi="宋体" w:cs="微软雅黑"/>
          <w:b/>
          <w:bCs w:val="0"/>
          <w:color w:val="FF0000"/>
          <w:kern w:val="0"/>
          <w:sz w:val="22"/>
          <w:szCs w:val="22"/>
          <w:highlight w:val="none"/>
          <w:lang w:val="en-US" w:eastAsia="zh-CN"/>
        </w:rPr>
        <w:t>本项目资格预审公告</w:t>
      </w:r>
      <w:r>
        <w:rPr>
          <w:rFonts w:hint="eastAsia" w:cs="微软雅黑"/>
          <w:b/>
          <w:bCs w:val="0"/>
          <w:color w:val="FF0000"/>
          <w:kern w:val="0"/>
          <w:sz w:val="22"/>
          <w:szCs w:val="22"/>
          <w:highlight w:val="none"/>
          <w:lang w:val="en-US" w:eastAsia="zh-CN"/>
        </w:rPr>
        <w:t>及审核结果公告</w:t>
      </w:r>
      <w:r>
        <w:rPr>
          <w:rFonts w:hint="eastAsia" w:hAnsi="宋体" w:cs="微软雅黑"/>
          <w:b/>
          <w:bCs w:val="0"/>
          <w:color w:val="FF0000"/>
          <w:kern w:val="0"/>
          <w:sz w:val="22"/>
          <w:szCs w:val="22"/>
          <w:highlight w:val="none"/>
          <w:lang w:val="en-US" w:eastAsia="zh-CN"/>
        </w:rPr>
        <w:t>在</w:t>
      </w:r>
      <w:r>
        <w:rPr>
          <w:rFonts w:hint="eastAsia"/>
          <w:b/>
          <w:bCs w:val="0"/>
          <w:color w:val="FF0000"/>
          <w:sz w:val="22"/>
          <w:szCs w:val="22"/>
          <w:highlight w:val="none"/>
          <w:lang w:val="en-US" w:eastAsia="zh-CN"/>
        </w:rPr>
        <w:t>中国政府采购网（http://www.ccgp.gov.cn）及北京市政府采购网（</w:t>
      </w:r>
      <w:r>
        <w:rPr>
          <w:rFonts w:hint="eastAsia"/>
          <w:b/>
          <w:bCs w:val="0"/>
          <w:color w:val="FF0000"/>
          <w:sz w:val="22"/>
          <w:szCs w:val="22"/>
          <w:highlight w:val="none"/>
          <w:lang w:val="en-US" w:eastAsia="zh-CN"/>
        </w:rPr>
        <w:fldChar w:fldCharType="begin"/>
      </w:r>
      <w:r>
        <w:rPr>
          <w:rFonts w:hint="eastAsia"/>
          <w:b/>
          <w:bCs w:val="0"/>
          <w:color w:val="FF0000"/>
          <w:sz w:val="22"/>
          <w:szCs w:val="22"/>
          <w:highlight w:val="none"/>
          <w:lang w:val="en-US" w:eastAsia="zh-CN"/>
        </w:rPr>
        <w:instrText xml:space="preserve"> HYPERLINK "http://www.ccgp-beijing.gov.cn" </w:instrText>
      </w:r>
      <w:r>
        <w:rPr>
          <w:rFonts w:hint="eastAsia"/>
          <w:b/>
          <w:bCs w:val="0"/>
          <w:color w:val="FF0000"/>
          <w:sz w:val="22"/>
          <w:szCs w:val="22"/>
          <w:highlight w:val="none"/>
          <w:lang w:val="en-US" w:eastAsia="zh-CN"/>
        </w:rPr>
        <w:fldChar w:fldCharType="separate"/>
      </w:r>
      <w:r>
        <w:rPr>
          <w:rFonts w:hint="eastAsia"/>
          <w:b/>
          <w:bCs w:val="0"/>
          <w:color w:val="FF0000"/>
          <w:sz w:val="22"/>
          <w:szCs w:val="22"/>
          <w:highlight w:val="none"/>
          <w:lang w:val="en-US" w:eastAsia="zh-CN"/>
        </w:rPr>
        <w:t>http://www.ccgp-beijing.gov.cn</w:t>
      </w:r>
      <w:r>
        <w:rPr>
          <w:rFonts w:hint="eastAsia"/>
          <w:b/>
          <w:bCs w:val="0"/>
          <w:color w:val="FF0000"/>
          <w:sz w:val="22"/>
          <w:szCs w:val="22"/>
          <w:highlight w:val="none"/>
          <w:lang w:val="en-US" w:eastAsia="zh-CN"/>
        </w:rPr>
        <w:fldChar w:fldCharType="end"/>
      </w:r>
      <w:r>
        <w:rPr>
          <w:rFonts w:hint="eastAsia"/>
          <w:b/>
          <w:bCs w:val="0"/>
          <w:color w:val="FF0000"/>
          <w:sz w:val="22"/>
          <w:szCs w:val="22"/>
          <w:highlight w:val="none"/>
          <w:lang w:val="en-US" w:eastAsia="zh-CN"/>
        </w:rPr>
        <w:t>）发布。</w:t>
      </w:r>
    </w:p>
    <w:bookmarkEnd w:id="31"/>
    <w:tbl>
      <w:tblPr>
        <w:tblStyle w:val="22"/>
        <w:tblpPr w:leftFromText="180" w:rightFromText="180" w:vertAnchor="text" w:horzAnchor="page" w:tblpX="1290" w:tblpY="286"/>
        <w:tblOverlap w:val="never"/>
        <w:tblW w:w="9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770"/>
        <w:gridCol w:w="1555"/>
        <w:gridCol w:w="5537"/>
      </w:tblGrid>
      <w:tr w14:paraId="210F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68" w:type="dxa"/>
            <w:vAlign w:val="center"/>
          </w:tcPr>
          <w:p w14:paraId="7A51F1F8">
            <w:pPr>
              <w:kinsoku w:val="0"/>
              <w:overflowPunct w:val="0"/>
              <w:autoSpaceDE w:val="0"/>
              <w:autoSpaceDN w:val="0"/>
              <w:snapToGrid w:val="0"/>
              <w:spacing w:line="320" w:lineRule="exact"/>
              <w:jc w:val="center"/>
              <w:textAlignment w:val="auto"/>
              <w:rPr>
                <w:rFonts w:ascii="宋体" w:cs="微软雅黑"/>
                <w:b/>
                <w:bCs/>
                <w:color w:val="auto"/>
                <w:sz w:val="22"/>
                <w:highlight w:val="none"/>
              </w:rPr>
            </w:pPr>
            <w:r>
              <w:rPr>
                <w:rFonts w:hint="eastAsia" w:ascii="宋体" w:hAnsi="宋体" w:cs="微软雅黑"/>
                <w:b/>
                <w:bCs/>
                <w:color w:val="auto"/>
                <w:sz w:val="22"/>
                <w:highlight w:val="none"/>
              </w:rPr>
              <w:t>序号</w:t>
            </w:r>
          </w:p>
        </w:tc>
        <w:tc>
          <w:tcPr>
            <w:tcW w:w="1770" w:type="dxa"/>
            <w:vAlign w:val="center"/>
          </w:tcPr>
          <w:p w14:paraId="5DD93C9D">
            <w:pPr>
              <w:kinsoku w:val="0"/>
              <w:overflowPunct w:val="0"/>
              <w:autoSpaceDE w:val="0"/>
              <w:autoSpaceDN w:val="0"/>
              <w:snapToGrid w:val="0"/>
              <w:spacing w:line="320" w:lineRule="exact"/>
              <w:jc w:val="center"/>
              <w:textAlignment w:val="auto"/>
              <w:rPr>
                <w:rFonts w:ascii="宋体" w:cs="微软雅黑"/>
                <w:b/>
                <w:bCs/>
                <w:color w:val="auto"/>
                <w:sz w:val="22"/>
                <w:highlight w:val="none"/>
              </w:rPr>
            </w:pPr>
            <w:r>
              <w:rPr>
                <w:rFonts w:hint="eastAsia" w:ascii="宋体" w:hAnsi="宋体" w:cs="微软雅黑"/>
                <w:b/>
                <w:bCs/>
                <w:color w:val="auto"/>
                <w:sz w:val="22"/>
                <w:highlight w:val="none"/>
              </w:rPr>
              <w:t>项目</w:t>
            </w:r>
          </w:p>
        </w:tc>
        <w:tc>
          <w:tcPr>
            <w:tcW w:w="1555" w:type="dxa"/>
            <w:vAlign w:val="center"/>
          </w:tcPr>
          <w:p w14:paraId="6E0E6139">
            <w:pPr>
              <w:pStyle w:val="12"/>
              <w:kinsoku w:val="0"/>
              <w:overflowPunct w:val="0"/>
              <w:autoSpaceDE w:val="0"/>
              <w:autoSpaceDN w:val="0"/>
              <w:adjustRightInd w:val="0"/>
              <w:snapToGrid w:val="0"/>
              <w:spacing w:line="320" w:lineRule="exact"/>
              <w:jc w:val="center"/>
              <w:rPr>
                <w:rFonts w:hAnsi="宋体" w:cs="微软雅黑"/>
                <w:b/>
                <w:bCs/>
                <w:color w:val="auto"/>
                <w:sz w:val="22"/>
                <w:szCs w:val="22"/>
                <w:highlight w:val="none"/>
              </w:rPr>
            </w:pPr>
            <w:r>
              <w:rPr>
                <w:rFonts w:hint="eastAsia" w:hAnsi="宋体" w:cs="微软雅黑"/>
                <w:b/>
                <w:bCs/>
                <w:color w:val="auto"/>
                <w:sz w:val="22"/>
                <w:szCs w:val="22"/>
                <w:highlight w:val="none"/>
              </w:rPr>
              <w:t>内容</w:t>
            </w:r>
          </w:p>
        </w:tc>
        <w:tc>
          <w:tcPr>
            <w:tcW w:w="5537" w:type="dxa"/>
            <w:vAlign w:val="center"/>
          </w:tcPr>
          <w:p w14:paraId="0D2179E2">
            <w:pPr>
              <w:pStyle w:val="12"/>
              <w:kinsoku w:val="0"/>
              <w:overflowPunct w:val="0"/>
              <w:autoSpaceDE w:val="0"/>
              <w:autoSpaceDN w:val="0"/>
              <w:adjustRightInd w:val="0"/>
              <w:snapToGrid w:val="0"/>
              <w:spacing w:line="320" w:lineRule="exact"/>
              <w:jc w:val="center"/>
              <w:rPr>
                <w:rFonts w:hAnsi="宋体" w:cs="微软雅黑"/>
                <w:b/>
                <w:bCs/>
                <w:color w:val="auto"/>
                <w:kern w:val="0"/>
                <w:sz w:val="22"/>
                <w:szCs w:val="22"/>
                <w:highlight w:val="none"/>
              </w:rPr>
            </w:pPr>
            <w:r>
              <w:rPr>
                <w:rFonts w:hint="eastAsia" w:hAnsi="宋体" w:cs="微软雅黑"/>
                <w:b/>
                <w:bCs/>
                <w:color w:val="auto"/>
                <w:kern w:val="0"/>
                <w:sz w:val="22"/>
                <w:szCs w:val="22"/>
                <w:highlight w:val="none"/>
              </w:rPr>
              <w:t>说明与要求</w:t>
            </w:r>
          </w:p>
        </w:tc>
      </w:tr>
      <w:tr w14:paraId="60D5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68" w:type="dxa"/>
            <w:vAlign w:val="center"/>
          </w:tcPr>
          <w:p w14:paraId="5F76E8E0">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26C68450">
            <w:pPr>
              <w:jc w:val="center"/>
              <w:rPr>
                <w:rFonts w:ascii="宋体" w:hAnsi="宋体" w:cs="微软雅黑"/>
                <w:color w:val="auto"/>
                <w:sz w:val="22"/>
                <w:highlight w:val="none"/>
              </w:rPr>
            </w:pPr>
            <w:r>
              <w:rPr>
                <w:rFonts w:hint="eastAsia" w:ascii="宋体" w:hAnsi="宋体" w:cs="微软雅黑"/>
                <w:color w:val="auto"/>
                <w:sz w:val="22"/>
                <w:highlight w:val="none"/>
              </w:rPr>
              <w:t>电子响应文件</w:t>
            </w:r>
          </w:p>
        </w:tc>
        <w:tc>
          <w:tcPr>
            <w:tcW w:w="1555" w:type="dxa"/>
            <w:vAlign w:val="center"/>
          </w:tcPr>
          <w:p w14:paraId="21144962">
            <w:pPr>
              <w:pStyle w:val="12"/>
              <w:kinsoku w:val="0"/>
              <w:overflowPunct w:val="0"/>
              <w:autoSpaceDE w:val="0"/>
              <w:autoSpaceDN w:val="0"/>
              <w:spacing w:line="320" w:lineRule="exact"/>
              <w:ind w:firstLine="220" w:firstLineChars="100"/>
              <w:rPr>
                <w:rFonts w:hAnsi="宋体"/>
                <w:color w:val="auto"/>
                <w:sz w:val="22"/>
                <w:szCs w:val="22"/>
                <w:highlight w:val="none"/>
              </w:rPr>
            </w:pPr>
            <w:r>
              <w:rPr>
                <w:rFonts w:hint="eastAsia" w:hAnsi="宋体"/>
                <w:color w:val="auto"/>
                <w:kern w:val="0"/>
                <w:sz w:val="22"/>
                <w:szCs w:val="22"/>
                <w:highlight w:val="none"/>
              </w:rPr>
              <w:t>技术文件</w:t>
            </w:r>
          </w:p>
        </w:tc>
        <w:tc>
          <w:tcPr>
            <w:tcW w:w="5537" w:type="dxa"/>
            <w:vAlign w:val="center"/>
          </w:tcPr>
          <w:p w14:paraId="29F8F975">
            <w:pPr>
              <w:pStyle w:val="12"/>
              <w:kinsoku w:val="0"/>
              <w:overflowPunct w:val="0"/>
              <w:autoSpaceDE w:val="0"/>
              <w:autoSpaceDN w:val="0"/>
              <w:spacing w:line="320" w:lineRule="exact"/>
              <w:ind w:firstLine="442" w:firstLineChars="200"/>
              <w:rPr>
                <w:rFonts w:hAnsi="宋体"/>
                <w:color w:val="auto"/>
                <w:sz w:val="22"/>
                <w:szCs w:val="22"/>
                <w:highlight w:val="none"/>
              </w:rPr>
            </w:pPr>
            <w:r>
              <w:rPr>
                <w:rFonts w:hint="eastAsia" w:hAnsi="宋体"/>
                <w:b/>
                <w:bCs/>
                <w:color w:val="FF0000"/>
                <w:kern w:val="0"/>
                <w:sz w:val="22"/>
                <w:szCs w:val="22"/>
                <w:highlight w:val="none"/>
                <w:lang w:val="en-US" w:eastAsia="zh-CN"/>
              </w:rPr>
              <w:t>请响应人在</w:t>
            </w:r>
            <w:r>
              <w:rPr>
                <w:rFonts w:hint="eastAsia" w:ascii="宋体" w:hAnsi="宋体" w:cs="微软雅黑"/>
                <w:b/>
                <w:bCs/>
                <w:color w:val="FF0000"/>
                <w:sz w:val="22"/>
                <w:highlight w:val="none"/>
              </w:rPr>
              <w:t>电子投标制作工具客户端</w:t>
            </w:r>
            <w:r>
              <w:rPr>
                <w:rFonts w:hint="eastAsia" w:hAnsi="宋体" w:cs="微软雅黑"/>
                <w:b/>
                <w:bCs/>
                <w:color w:val="FF0000"/>
                <w:sz w:val="22"/>
                <w:highlight w:val="none"/>
                <w:lang w:eastAsia="zh-CN"/>
              </w:rPr>
              <w:t>指定位置</w:t>
            </w:r>
            <w:r>
              <w:rPr>
                <w:rFonts w:hint="eastAsia" w:hAnsi="宋体"/>
                <w:b/>
                <w:bCs/>
                <w:color w:val="FF0000"/>
                <w:kern w:val="0"/>
                <w:sz w:val="22"/>
                <w:szCs w:val="22"/>
                <w:highlight w:val="none"/>
                <w:lang w:val="en-US" w:eastAsia="zh-CN"/>
              </w:rPr>
              <w:t>提交对应电子响应文件。</w:t>
            </w:r>
            <w:r>
              <w:rPr>
                <w:rFonts w:hint="eastAsia" w:hAnsi="宋体"/>
                <w:b w:val="0"/>
                <w:bCs w:val="0"/>
                <w:color w:val="000000" w:themeColor="text1"/>
                <w:kern w:val="0"/>
                <w:sz w:val="22"/>
                <w:szCs w:val="22"/>
                <w:highlight w:val="none"/>
                <w14:textFill>
                  <w14:solidFill>
                    <w14:schemeClr w14:val="tx1"/>
                  </w14:solidFill>
                </w14:textFill>
              </w:rPr>
              <w:t>未提交</w:t>
            </w:r>
            <w:r>
              <w:rPr>
                <w:rFonts w:hint="eastAsia" w:hAnsi="宋体"/>
                <w:b w:val="0"/>
                <w:bCs w:val="0"/>
                <w:color w:val="000000" w:themeColor="text1"/>
                <w:kern w:val="0"/>
                <w:sz w:val="22"/>
                <w:szCs w:val="22"/>
                <w:highlight w:val="none"/>
                <w:lang w:val="en-US" w:eastAsia="zh-CN"/>
                <w14:textFill>
                  <w14:solidFill>
                    <w14:schemeClr w14:val="tx1"/>
                  </w14:solidFill>
                </w14:textFill>
              </w:rPr>
              <w:t>技术</w:t>
            </w:r>
            <w:r>
              <w:rPr>
                <w:rFonts w:hint="eastAsia" w:hAnsi="宋体"/>
                <w:b w:val="0"/>
                <w:bCs w:val="0"/>
                <w:color w:val="000000" w:themeColor="text1"/>
                <w:kern w:val="0"/>
                <w:sz w:val="22"/>
                <w:szCs w:val="22"/>
                <w:highlight w:val="none"/>
                <w14:textFill>
                  <w14:solidFill>
                    <w14:schemeClr w14:val="tx1"/>
                  </w14:solidFill>
                </w14:textFill>
              </w:rPr>
              <w:t>电子响应文件的，作无效响应处理。</w:t>
            </w:r>
          </w:p>
        </w:tc>
      </w:tr>
      <w:tr w14:paraId="2B28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restart"/>
            <w:vAlign w:val="center"/>
          </w:tcPr>
          <w:p w14:paraId="0F1D03BE">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Merge w:val="restart"/>
            <w:vAlign w:val="center"/>
          </w:tcPr>
          <w:p w14:paraId="7511E970">
            <w:pPr>
              <w:kinsoku w:val="0"/>
              <w:overflowPunct w:val="0"/>
              <w:autoSpaceDE w:val="0"/>
              <w:autoSpaceDN w:val="0"/>
              <w:snapToGrid w:val="0"/>
              <w:spacing w:line="320" w:lineRule="exact"/>
              <w:jc w:val="center"/>
              <w:rPr>
                <w:rFonts w:ascii="宋体" w:hAnsi="宋体"/>
                <w:color w:val="auto"/>
                <w:sz w:val="22"/>
                <w:highlight w:val="none"/>
              </w:rPr>
            </w:pPr>
            <w:r>
              <w:rPr>
                <w:rFonts w:hint="eastAsia" w:ascii="宋体" w:hAnsi="宋体"/>
                <w:color w:val="auto"/>
                <w:sz w:val="22"/>
                <w:highlight w:val="none"/>
              </w:rPr>
              <w:t>响应人应提交的技术文件</w:t>
            </w:r>
          </w:p>
        </w:tc>
        <w:tc>
          <w:tcPr>
            <w:tcW w:w="1555" w:type="dxa"/>
            <w:shd w:val="clear" w:color="auto" w:fill="auto"/>
            <w:vAlign w:val="center"/>
          </w:tcPr>
          <w:p w14:paraId="79FAA6FA">
            <w:pPr>
              <w:pStyle w:val="12"/>
              <w:numPr>
                <w:ilvl w:val="0"/>
                <w:numId w:val="12"/>
              </w:numPr>
              <w:kinsoku w:val="0"/>
              <w:overflowPunct w:val="0"/>
              <w:autoSpaceDE w:val="0"/>
              <w:autoSpaceDN w:val="0"/>
              <w:spacing w:line="320" w:lineRule="exact"/>
              <w:ind w:left="420" w:leftChars="0" w:hanging="420" w:firstLineChars="0"/>
              <w:rPr>
                <w:rFonts w:ascii="宋体" w:hAnsi="宋体" w:eastAsia="宋体" w:cs="Times New Roman"/>
                <w:color w:val="auto"/>
                <w:kern w:val="0"/>
                <w:sz w:val="22"/>
                <w:szCs w:val="22"/>
                <w:highlight w:val="none"/>
                <w:lang w:val="en-US" w:eastAsia="zh-CN" w:bidi="ar-SA"/>
              </w:rPr>
            </w:pPr>
            <w:r>
              <w:rPr>
                <w:rFonts w:hint="eastAsia" w:hAnsi="宋体"/>
                <w:color w:val="auto"/>
                <w:kern w:val="0"/>
                <w:sz w:val="22"/>
                <w:szCs w:val="22"/>
                <w:highlight w:val="none"/>
              </w:rPr>
              <w:t>*法定代表人（单位负责人）身份证明及授权委托书</w:t>
            </w:r>
          </w:p>
        </w:tc>
        <w:tc>
          <w:tcPr>
            <w:tcW w:w="5537" w:type="dxa"/>
            <w:shd w:val="clear" w:color="auto" w:fill="auto"/>
            <w:vAlign w:val="top"/>
          </w:tcPr>
          <w:p w14:paraId="5E94700E">
            <w:pPr>
              <w:pStyle w:val="12"/>
              <w:kinsoku w:val="0"/>
              <w:overflowPunct w:val="0"/>
              <w:autoSpaceDE w:val="0"/>
              <w:autoSpaceDN w:val="0"/>
              <w:spacing w:line="320" w:lineRule="exact"/>
              <w:ind w:firstLine="440" w:firstLineChars="200"/>
              <w:rPr>
                <w:rFonts w:hAnsi="宋体"/>
                <w:color w:val="auto"/>
                <w:kern w:val="0"/>
                <w:sz w:val="22"/>
                <w:szCs w:val="22"/>
                <w:highlight w:val="none"/>
              </w:rPr>
            </w:pPr>
            <w:r>
              <w:rPr>
                <w:rFonts w:hint="eastAsia" w:hAnsi="宋体"/>
                <w:color w:val="auto"/>
                <w:sz w:val="22"/>
                <w:szCs w:val="22"/>
                <w:highlight w:val="none"/>
              </w:rPr>
              <w:t>根据征集文件提供格式填写。</w:t>
            </w:r>
          </w:p>
          <w:p w14:paraId="6A6AA1E5">
            <w:pPr>
              <w:pStyle w:val="12"/>
              <w:kinsoku w:val="0"/>
              <w:overflowPunct w:val="0"/>
              <w:autoSpaceDE w:val="0"/>
              <w:autoSpaceDN w:val="0"/>
              <w:spacing w:line="320" w:lineRule="exact"/>
              <w:ind w:firstLine="440" w:firstLineChars="200"/>
              <w:jc w:val="left"/>
              <w:rPr>
                <w:rFonts w:hAnsi="宋体"/>
                <w:color w:val="auto"/>
                <w:sz w:val="22"/>
                <w:szCs w:val="22"/>
                <w:highlight w:val="none"/>
              </w:rPr>
            </w:pPr>
            <w:r>
              <w:rPr>
                <w:rFonts w:hint="eastAsia" w:hAnsi="宋体"/>
                <w:color w:val="auto"/>
                <w:sz w:val="22"/>
                <w:szCs w:val="22"/>
                <w:highlight w:val="none"/>
              </w:rPr>
              <w:t>说明：</w:t>
            </w:r>
          </w:p>
          <w:p w14:paraId="7D1FED6B">
            <w:pPr>
              <w:pStyle w:val="12"/>
              <w:kinsoku w:val="0"/>
              <w:overflowPunct w:val="0"/>
              <w:autoSpaceDE w:val="0"/>
              <w:autoSpaceDN w:val="0"/>
              <w:spacing w:line="320" w:lineRule="exact"/>
              <w:ind w:firstLine="440" w:firstLineChars="200"/>
              <w:jc w:val="left"/>
              <w:rPr>
                <w:rFonts w:hAnsi="宋体"/>
                <w:color w:val="auto"/>
                <w:kern w:val="0"/>
                <w:sz w:val="22"/>
                <w:szCs w:val="22"/>
                <w:highlight w:val="none"/>
              </w:rPr>
            </w:pPr>
            <w:r>
              <w:rPr>
                <w:rFonts w:hint="eastAsia" w:hAnsi="宋体"/>
                <w:color w:val="auto"/>
                <w:kern w:val="0"/>
                <w:sz w:val="22"/>
                <w:szCs w:val="22"/>
                <w:highlight w:val="none"/>
              </w:rPr>
              <w:t>（1）若响应人为事业单位或其他组织或分支机构，则法定代表人（单位负责人）处的签署人可为单位负责人。</w:t>
            </w:r>
          </w:p>
          <w:p w14:paraId="4391E14E">
            <w:pPr>
              <w:pStyle w:val="12"/>
              <w:kinsoku w:val="0"/>
              <w:overflowPunct w:val="0"/>
              <w:autoSpaceDE w:val="0"/>
              <w:autoSpaceDN w:val="0"/>
              <w:spacing w:line="320" w:lineRule="exact"/>
              <w:ind w:firstLine="440" w:firstLineChars="200"/>
              <w:jc w:val="left"/>
              <w:rPr>
                <w:rFonts w:hAnsi="宋体"/>
                <w:color w:val="auto"/>
                <w:kern w:val="0"/>
                <w:sz w:val="22"/>
                <w:szCs w:val="22"/>
                <w:highlight w:val="none"/>
              </w:rPr>
            </w:pPr>
            <w:r>
              <w:rPr>
                <w:rFonts w:hint="eastAsia" w:hAnsi="宋体"/>
                <w:color w:val="auto"/>
                <w:kern w:val="0"/>
                <w:sz w:val="22"/>
                <w:szCs w:val="22"/>
                <w:highlight w:val="none"/>
              </w:rPr>
              <w:t>（2）若响应文件中签字之处均为法定代表人（单位负责人）本人签署，则可不提供《授权委托书》，但须提供《法定代表人（单位负责人）身份证明》；否则，不需要提供《法定代表人（单位负责人）身份证明》。</w:t>
            </w:r>
          </w:p>
          <w:p w14:paraId="3AED49EC">
            <w:pPr>
              <w:pStyle w:val="12"/>
              <w:kinsoku w:val="0"/>
              <w:overflowPunct w:val="0"/>
              <w:autoSpaceDE w:val="0"/>
              <w:autoSpaceDN w:val="0"/>
              <w:spacing w:line="320" w:lineRule="exact"/>
              <w:ind w:firstLine="440" w:firstLineChars="200"/>
              <w:jc w:val="left"/>
              <w:rPr>
                <w:rFonts w:hint="eastAsia" w:hAnsi="宋体" w:eastAsia="宋体"/>
                <w:color w:val="auto"/>
                <w:kern w:val="0"/>
                <w:sz w:val="22"/>
                <w:szCs w:val="22"/>
                <w:highlight w:val="none"/>
                <w:lang w:eastAsia="zh-CN"/>
              </w:rPr>
            </w:pPr>
            <w:r>
              <w:rPr>
                <w:rFonts w:hint="eastAsia" w:hAnsi="宋体"/>
                <w:color w:val="auto"/>
                <w:kern w:val="0"/>
                <w:sz w:val="22"/>
                <w:szCs w:val="22"/>
                <w:highlight w:val="none"/>
              </w:rPr>
              <w:t>（3）响应人为自然人的情形，可不提供《授权委托书》</w:t>
            </w:r>
            <w:r>
              <w:rPr>
                <w:rFonts w:hint="eastAsia" w:hAnsi="宋体"/>
                <w:color w:val="auto"/>
                <w:kern w:val="0"/>
                <w:sz w:val="22"/>
                <w:szCs w:val="22"/>
                <w:highlight w:val="none"/>
                <w:lang w:eastAsia="zh-CN"/>
              </w:rPr>
              <w:t>。</w:t>
            </w:r>
          </w:p>
          <w:p w14:paraId="1A3F2264">
            <w:pPr>
              <w:pStyle w:val="12"/>
              <w:kinsoku w:val="0"/>
              <w:overflowPunct w:val="0"/>
              <w:autoSpaceDE w:val="0"/>
              <w:autoSpaceDN w:val="0"/>
              <w:spacing w:line="320" w:lineRule="exact"/>
              <w:ind w:firstLine="440" w:firstLineChars="200"/>
              <w:rPr>
                <w:rFonts w:ascii="宋体" w:hAnsi="宋体" w:eastAsia="宋体" w:cs="Times New Roman"/>
                <w:color w:val="auto"/>
                <w:kern w:val="0"/>
                <w:sz w:val="22"/>
                <w:szCs w:val="22"/>
                <w:highlight w:val="none"/>
                <w:lang w:val="en-US" w:eastAsia="zh-CN" w:bidi="ar-SA"/>
              </w:rPr>
            </w:pPr>
            <w:r>
              <w:rPr>
                <w:rFonts w:hint="eastAsia" w:hAnsi="宋体"/>
                <w:color w:val="auto"/>
                <w:kern w:val="0"/>
                <w:sz w:val="22"/>
                <w:szCs w:val="22"/>
                <w:highlight w:val="none"/>
              </w:rPr>
              <w:t>（4）响应人应随《授权委托书》同时提供法定代表人（单位负责人）及委托代理人的有效的身份证、护照等身份证明文件电子件。提供身份证的，应同时提供身份证双面电子件。</w:t>
            </w:r>
          </w:p>
        </w:tc>
      </w:tr>
      <w:tr w14:paraId="0202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continue"/>
            <w:vAlign w:val="center"/>
          </w:tcPr>
          <w:p w14:paraId="1F2F5B1C">
            <w:pPr>
              <w:numPr>
                <w:ilvl w:val="0"/>
                <w:numId w:val="13"/>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Merge w:val="continue"/>
            <w:vAlign w:val="center"/>
          </w:tcPr>
          <w:p w14:paraId="79D56817">
            <w:pPr>
              <w:kinsoku w:val="0"/>
              <w:overflowPunct w:val="0"/>
              <w:autoSpaceDE w:val="0"/>
              <w:autoSpaceDN w:val="0"/>
              <w:snapToGrid w:val="0"/>
              <w:spacing w:line="320" w:lineRule="exact"/>
              <w:jc w:val="center"/>
              <w:rPr>
                <w:rFonts w:ascii="宋体" w:hAnsi="宋体"/>
                <w:color w:val="auto"/>
                <w:sz w:val="22"/>
                <w:highlight w:val="none"/>
              </w:rPr>
            </w:pPr>
          </w:p>
        </w:tc>
        <w:tc>
          <w:tcPr>
            <w:tcW w:w="1555" w:type="dxa"/>
            <w:shd w:val="clear" w:color="auto" w:fill="auto"/>
            <w:vAlign w:val="center"/>
          </w:tcPr>
          <w:p w14:paraId="7F726D0F">
            <w:pPr>
              <w:pStyle w:val="12"/>
              <w:numPr>
                <w:ilvl w:val="0"/>
                <w:numId w:val="12"/>
              </w:numPr>
              <w:kinsoku w:val="0"/>
              <w:overflowPunct w:val="0"/>
              <w:autoSpaceDE w:val="0"/>
              <w:autoSpaceDN w:val="0"/>
              <w:spacing w:line="320" w:lineRule="exact"/>
              <w:ind w:left="420" w:leftChars="0" w:hanging="420" w:firstLineChars="0"/>
              <w:rPr>
                <w:rFonts w:ascii="宋体" w:hAnsi="宋体" w:eastAsia="宋体" w:cs="Times New Roman"/>
                <w:color w:val="auto"/>
                <w:kern w:val="0"/>
                <w:sz w:val="22"/>
                <w:szCs w:val="22"/>
                <w:highlight w:val="none"/>
                <w:lang w:val="en-US" w:eastAsia="zh-CN" w:bidi="ar-SA"/>
              </w:rPr>
            </w:pPr>
            <w:r>
              <w:rPr>
                <w:rFonts w:hAnsi="宋体"/>
                <w:color w:val="auto"/>
                <w:kern w:val="0"/>
                <w:sz w:val="22"/>
                <w:szCs w:val="22"/>
                <w:highlight w:val="none"/>
              </w:rPr>
              <w:t>*</w:t>
            </w:r>
            <w:r>
              <w:rPr>
                <w:rFonts w:hint="eastAsia" w:hAnsi="宋体"/>
                <w:color w:val="auto"/>
                <w:kern w:val="0"/>
                <w:sz w:val="22"/>
                <w:szCs w:val="22"/>
                <w:highlight w:val="none"/>
              </w:rPr>
              <w:t>响应函</w:t>
            </w:r>
          </w:p>
        </w:tc>
        <w:tc>
          <w:tcPr>
            <w:tcW w:w="5537" w:type="dxa"/>
            <w:shd w:val="clear" w:color="auto" w:fill="auto"/>
            <w:vAlign w:val="center"/>
          </w:tcPr>
          <w:p w14:paraId="4BC77C91">
            <w:pPr>
              <w:pStyle w:val="12"/>
              <w:keepNext w:val="0"/>
              <w:keepLines w:val="0"/>
              <w:pageBreakBefore w:val="0"/>
              <w:widowControl w:val="0"/>
              <w:kinsoku/>
              <w:wordWrap/>
              <w:overflowPunct w:val="0"/>
              <w:topLinePunct w:val="0"/>
              <w:autoSpaceDE w:val="0"/>
              <w:autoSpaceDN w:val="0"/>
              <w:bidi w:val="0"/>
              <w:spacing w:line="320" w:lineRule="exact"/>
              <w:ind w:firstLine="440" w:firstLineChars="200"/>
              <w:jc w:val="both"/>
              <w:rPr>
                <w:rFonts w:ascii="宋体" w:hAnsi="宋体" w:eastAsia="宋体" w:cs="微软雅黑"/>
                <w:bCs/>
                <w:color w:val="auto"/>
                <w:kern w:val="0"/>
                <w:sz w:val="22"/>
                <w:szCs w:val="22"/>
                <w:highlight w:val="none"/>
                <w:lang w:val="en-US" w:eastAsia="zh-CN" w:bidi="ar-SA"/>
              </w:rPr>
            </w:pPr>
            <w:r>
              <w:rPr>
                <w:rFonts w:hint="eastAsia" w:hAnsi="宋体"/>
                <w:color w:val="auto"/>
                <w:kern w:val="0"/>
                <w:sz w:val="22"/>
                <w:szCs w:val="22"/>
                <w:highlight w:val="none"/>
              </w:rPr>
              <w:t>根据征集文件提供格式填写，加盖响应人</w:t>
            </w:r>
            <w:r>
              <w:rPr>
                <w:rFonts w:hint="eastAsia" w:hAnsi="宋体"/>
                <w:color w:val="auto"/>
                <w:kern w:val="0"/>
                <w:sz w:val="22"/>
                <w:szCs w:val="22"/>
                <w:highlight w:val="none"/>
                <w:lang w:val="en-US" w:eastAsia="zh-CN"/>
              </w:rPr>
              <w:t>公章</w:t>
            </w:r>
            <w:r>
              <w:rPr>
                <w:rFonts w:hint="eastAsia" w:hAnsi="宋体"/>
                <w:color w:val="auto"/>
                <w:kern w:val="0"/>
                <w:sz w:val="22"/>
                <w:szCs w:val="22"/>
                <w:highlight w:val="none"/>
              </w:rPr>
              <w:t>。</w:t>
            </w:r>
          </w:p>
        </w:tc>
      </w:tr>
      <w:tr w14:paraId="0185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continue"/>
            <w:vAlign w:val="center"/>
          </w:tcPr>
          <w:p w14:paraId="23CC1186">
            <w:pPr>
              <w:numPr>
                <w:ilvl w:val="0"/>
                <w:numId w:val="13"/>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Merge w:val="continue"/>
            <w:vAlign w:val="center"/>
          </w:tcPr>
          <w:p w14:paraId="59B4BFC1">
            <w:pPr>
              <w:kinsoku w:val="0"/>
              <w:overflowPunct w:val="0"/>
              <w:autoSpaceDE w:val="0"/>
              <w:autoSpaceDN w:val="0"/>
              <w:snapToGrid w:val="0"/>
              <w:spacing w:line="320" w:lineRule="exact"/>
              <w:jc w:val="center"/>
              <w:rPr>
                <w:rFonts w:ascii="宋体" w:hAnsi="宋体"/>
                <w:color w:val="auto"/>
                <w:sz w:val="22"/>
                <w:highlight w:val="none"/>
              </w:rPr>
            </w:pPr>
          </w:p>
        </w:tc>
        <w:tc>
          <w:tcPr>
            <w:tcW w:w="1555" w:type="dxa"/>
            <w:shd w:val="clear" w:color="auto" w:fill="auto"/>
            <w:vAlign w:val="center"/>
          </w:tcPr>
          <w:p w14:paraId="53AE0563">
            <w:pPr>
              <w:pStyle w:val="12"/>
              <w:numPr>
                <w:ilvl w:val="0"/>
                <w:numId w:val="12"/>
              </w:numPr>
              <w:kinsoku w:val="0"/>
              <w:overflowPunct w:val="0"/>
              <w:autoSpaceDE w:val="0"/>
              <w:autoSpaceDN w:val="0"/>
              <w:spacing w:line="320" w:lineRule="exact"/>
              <w:ind w:left="420" w:leftChars="0" w:hanging="420" w:firstLineChars="0"/>
              <w:rPr>
                <w:rFonts w:ascii="宋体" w:hAnsi="宋体" w:eastAsia="宋体" w:cs="Times New Roman"/>
                <w:color w:val="auto"/>
                <w:kern w:val="0"/>
                <w:sz w:val="22"/>
                <w:szCs w:val="22"/>
                <w:highlight w:val="none"/>
                <w:lang w:val="en-US" w:eastAsia="zh-CN" w:bidi="ar-SA"/>
              </w:rPr>
            </w:pPr>
            <w:r>
              <w:rPr>
                <w:rFonts w:hint="eastAsia" w:hAnsi="宋体"/>
                <w:color w:val="auto"/>
                <w:kern w:val="0"/>
                <w:sz w:val="22"/>
                <w:szCs w:val="22"/>
                <w:highlight w:val="none"/>
              </w:rPr>
              <w:t>中小企业政策文件</w:t>
            </w:r>
          </w:p>
        </w:tc>
        <w:tc>
          <w:tcPr>
            <w:tcW w:w="5537" w:type="dxa"/>
            <w:shd w:val="clear" w:color="auto" w:fill="auto"/>
            <w:vAlign w:val="top"/>
          </w:tcPr>
          <w:p w14:paraId="6D0B08C5">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ascii="宋体" w:hAnsi="宋体"/>
                <w:color w:val="auto"/>
                <w:sz w:val="22"/>
                <w:highlight w:val="none"/>
              </w:rPr>
            </w:pPr>
            <w:r>
              <w:rPr>
                <w:rFonts w:hint="eastAsia" w:ascii="宋体" w:hAnsi="宋体"/>
                <w:color w:val="auto"/>
                <w:sz w:val="22"/>
                <w:highlight w:val="none"/>
              </w:rPr>
              <w:t>根据征集文件提供格式填写，加盖响应人</w:t>
            </w:r>
            <w:r>
              <w:rPr>
                <w:rFonts w:hint="eastAsia" w:ascii="宋体" w:hAnsi="宋体"/>
                <w:color w:val="auto"/>
                <w:sz w:val="22"/>
                <w:highlight w:val="none"/>
                <w:lang w:val="en-US" w:eastAsia="zh-CN"/>
              </w:rPr>
              <w:t>公章</w:t>
            </w:r>
            <w:r>
              <w:rPr>
                <w:rFonts w:hint="eastAsia" w:ascii="宋体" w:hAnsi="宋体"/>
                <w:color w:val="auto"/>
                <w:sz w:val="22"/>
                <w:highlight w:val="none"/>
              </w:rPr>
              <w:t>。</w:t>
            </w:r>
          </w:p>
          <w:p w14:paraId="31390B00">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ascii="宋体" w:hAnsi="宋体"/>
                <w:color w:val="auto"/>
                <w:sz w:val="22"/>
                <w:highlight w:val="none"/>
              </w:rPr>
            </w:pPr>
            <w:r>
              <w:rPr>
                <w:rFonts w:hint="eastAsia" w:ascii="宋体" w:hAnsi="宋体"/>
                <w:color w:val="auto"/>
                <w:sz w:val="22"/>
                <w:highlight w:val="none"/>
              </w:rPr>
              <w:t>1.说明：</w:t>
            </w:r>
          </w:p>
          <w:p w14:paraId="3A2609D6">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ascii="宋体" w:hAnsi="宋体"/>
                <w:color w:val="auto"/>
                <w:sz w:val="22"/>
                <w:highlight w:val="none"/>
              </w:rPr>
            </w:pPr>
            <w:r>
              <w:rPr>
                <w:rFonts w:hint="eastAsia" w:ascii="宋体" w:hAnsi="宋体"/>
                <w:color w:val="auto"/>
                <w:sz w:val="22"/>
                <w:highlight w:val="none"/>
              </w:rPr>
              <w:t>（1）根据财政部、工业和信息化部关于印发《政府采购促进中小企业发展管理办法》的通知（财库〔2020〕46号）、财政部《关于进一步加大政府采购支持中小企业力度的通知》（财库〔2022〕19号）的要求，响应人提供的货物、工程或者服务符合享受本办法规定的中小企业扶持政策的，根据征集文件格式提供《中小企业声明函》。在货物采购项目中，响应人提供的货物既有中小企业制造货物，也有大型企业制造货物的，不享受本办法规定的中小企业扶持政策，无须提供《中小企业声明函》。</w:t>
            </w:r>
          </w:p>
          <w:p w14:paraId="6401B937">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ascii="宋体" w:hAnsi="宋体"/>
                <w:color w:val="auto"/>
                <w:sz w:val="22"/>
                <w:highlight w:val="none"/>
              </w:rPr>
            </w:pPr>
            <w:r>
              <w:rPr>
                <w:rFonts w:hint="eastAsia" w:ascii="宋体" w:hAnsi="宋体"/>
                <w:color w:val="auto"/>
                <w:sz w:val="22"/>
                <w:highlight w:val="none"/>
              </w:rPr>
              <w:t>（2）根据财政部、司法部《关于政府采购支持监狱企业发展有关问题》的通知（财库〔2014〕68号），监狱企业参加本项目征集时，应当提供由省级以上监狱管理局、戒毒管理局（新疆生产建设兵团）出具的属于监狱企业的证明文件。监狱企业视同小型、微型企业。</w:t>
            </w:r>
          </w:p>
          <w:p w14:paraId="1866BEFB">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ascii="宋体" w:hAnsi="宋体"/>
                <w:color w:val="auto"/>
                <w:sz w:val="22"/>
                <w:highlight w:val="none"/>
              </w:rPr>
            </w:pPr>
            <w:r>
              <w:rPr>
                <w:rFonts w:hint="eastAsia" w:ascii="宋体" w:hAnsi="宋体"/>
                <w:color w:val="auto"/>
                <w:sz w:val="22"/>
                <w:highlight w:val="none"/>
              </w:rPr>
              <w:t>（3）根据财政部、民政部、中国残疾人联合会《关于促进残疾人就业政府采购政策的通知》（财库〔2017〕141号），在政府采购活动中，残疾人福利性单位视同小型、微型企业，享受同等价格扣除，但同时属于残疾人福利性单位和小微企业的，不重复价格扣除。响应人属于残疾人福利性单位的，根据征集文件格式提供《残疾人福利性单位声明函》。</w:t>
            </w:r>
          </w:p>
          <w:p w14:paraId="0CFC8C25">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ascii="宋体" w:hAnsi="宋体"/>
                <w:color w:val="auto"/>
                <w:sz w:val="22"/>
                <w:highlight w:val="none"/>
              </w:rPr>
            </w:pPr>
            <w:r>
              <w:rPr>
                <w:rFonts w:hint="eastAsia" w:ascii="宋体" w:hAnsi="宋体"/>
                <w:color w:val="auto"/>
                <w:sz w:val="22"/>
                <w:highlight w:val="none"/>
              </w:rPr>
              <w:t>2.具体执行规定：</w:t>
            </w:r>
          </w:p>
          <w:p w14:paraId="5F3D4978">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ascii="宋体" w:hAnsi="宋体"/>
                <w:color w:val="auto"/>
                <w:sz w:val="22"/>
                <w:highlight w:val="none"/>
              </w:rPr>
            </w:pPr>
            <w:r>
              <w:rPr>
                <w:rFonts w:hint="eastAsia" w:ascii="宋体" w:hAnsi="宋体"/>
                <w:color w:val="auto"/>
                <w:sz w:val="22"/>
                <w:highlight w:val="none"/>
              </w:rPr>
              <w:t>（1）本项目对属于小型和微型企业的响应人的报价给予10%的扣除，用扣除后的价格参与评审排序。</w:t>
            </w:r>
          </w:p>
          <w:p w14:paraId="755CB9B9">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ascii="宋体" w:hAnsi="宋体"/>
                <w:color w:val="auto"/>
                <w:sz w:val="22"/>
                <w:highlight w:val="none"/>
              </w:rPr>
            </w:pPr>
            <w:r>
              <w:rPr>
                <w:rFonts w:hint="eastAsia" w:ascii="宋体" w:hAnsi="宋体"/>
                <w:b w:val="0"/>
                <w:bCs w:val="0"/>
                <w:color w:val="auto"/>
                <w:sz w:val="22"/>
                <w:highlight w:val="none"/>
              </w:rPr>
              <w:t>（2）采购标的对应的中小企业划分标准所属行业为</w:t>
            </w:r>
            <w:r>
              <w:rPr>
                <w:rFonts w:hint="eastAsia" w:ascii="宋体" w:hAnsi="宋体"/>
                <w:b w:val="0"/>
                <w:bCs w:val="0"/>
                <w:color w:val="auto"/>
                <w:sz w:val="22"/>
                <w:highlight w:val="none"/>
                <w:lang w:val="en-US" w:eastAsia="zh-CN"/>
              </w:rPr>
              <w:t>物业管理</w:t>
            </w:r>
            <w:r>
              <w:rPr>
                <w:rFonts w:hint="eastAsia" w:ascii="宋体" w:hAnsi="宋体"/>
                <w:b w:val="0"/>
                <w:bCs w:val="0"/>
                <w:color w:val="auto"/>
                <w:sz w:val="22"/>
                <w:highlight w:val="none"/>
              </w:rPr>
              <w:t>。</w:t>
            </w:r>
          </w:p>
          <w:p w14:paraId="18DC1F09">
            <w:pPr>
              <w:keepNext w:val="0"/>
              <w:keepLines w:val="0"/>
              <w:pageBreakBefore w:val="0"/>
              <w:widowControl w:val="0"/>
              <w:kinsoku/>
              <w:wordWrap/>
              <w:overflowPunct w:val="0"/>
              <w:topLinePunct w:val="0"/>
              <w:autoSpaceDE w:val="0"/>
              <w:autoSpaceDN w:val="0"/>
              <w:bidi w:val="0"/>
              <w:snapToGrid w:val="0"/>
              <w:spacing w:line="320" w:lineRule="exact"/>
              <w:rPr>
                <w:rFonts w:ascii="宋体" w:hAnsi="宋体"/>
                <w:color w:val="auto"/>
                <w:sz w:val="22"/>
                <w:highlight w:val="none"/>
              </w:rPr>
            </w:pPr>
            <w:r>
              <w:rPr>
                <w:rFonts w:hint="eastAsia" w:ascii="宋体" w:hAnsi="宋体"/>
                <w:color w:val="auto"/>
                <w:sz w:val="22"/>
                <w:highlight w:val="none"/>
              </w:rPr>
              <w:t>中小企业划分标准详见工业和信息化部、国家统计局、国家发展和改革委员会、财政部联合印发的《关于印发中小企业划型标准规定的通知》（工信部联企业〔2011〕300号）。</w:t>
            </w:r>
          </w:p>
          <w:p w14:paraId="44FD3362">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ascii="宋体" w:hAnsi="宋体"/>
                <w:color w:val="auto"/>
                <w:sz w:val="22"/>
                <w:highlight w:val="none"/>
              </w:rPr>
            </w:pPr>
            <w:r>
              <w:rPr>
                <w:rFonts w:hint="eastAsia" w:ascii="宋体" w:hAnsi="宋体"/>
                <w:color w:val="auto"/>
                <w:sz w:val="22"/>
                <w:highlight w:val="none"/>
              </w:rPr>
              <w:t>（3）请响应人根据上述相关文件通知要求认真理解并核对是否符合中小企业、监狱或残疾人福利性单位的扶持政策，并如实提供对应声明函或证明文件。响应人按照本办法规定提供声明函或证明文件不实的，属于提供虚假材料谋取中标、成交，依照《中华人民共和国政府采购法》等国家有关规定追究相应责任。</w:t>
            </w:r>
          </w:p>
          <w:p w14:paraId="11BC9C62">
            <w:pPr>
              <w:keepNext w:val="0"/>
              <w:keepLines w:val="0"/>
              <w:pageBreakBefore w:val="0"/>
              <w:widowControl w:val="0"/>
              <w:kinsoku/>
              <w:wordWrap/>
              <w:overflowPunct w:val="0"/>
              <w:topLinePunct w:val="0"/>
              <w:autoSpaceDE w:val="0"/>
              <w:autoSpaceDN w:val="0"/>
              <w:bidi w:val="0"/>
              <w:snapToGrid w:val="0"/>
              <w:spacing w:line="320" w:lineRule="exact"/>
              <w:ind w:firstLine="440" w:firstLineChars="200"/>
              <w:rPr>
                <w:rFonts w:hint="eastAsia" w:ascii="宋体" w:hAnsi="宋体" w:eastAsia="宋体" w:cs="微软雅黑"/>
                <w:bCs/>
                <w:color w:val="auto"/>
                <w:sz w:val="22"/>
                <w:szCs w:val="22"/>
                <w:highlight w:val="none"/>
                <w:lang w:val="en-US" w:eastAsia="zh-CN" w:bidi="ar-SA"/>
              </w:rPr>
            </w:pPr>
            <w:r>
              <w:rPr>
                <w:rFonts w:hint="eastAsia" w:ascii="宋体" w:hAnsi="宋体"/>
                <w:color w:val="auto"/>
                <w:sz w:val="22"/>
                <w:highlight w:val="none"/>
              </w:rPr>
              <w:t>（4）不符合上述扶持政策或适用情形的响应人无须提供上述声明函或证明文件。</w:t>
            </w:r>
          </w:p>
        </w:tc>
      </w:tr>
      <w:tr w14:paraId="0BD4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exact"/>
        </w:trPr>
        <w:tc>
          <w:tcPr>
            <w:tcW w:w="668" w:type="dxa"/>
            <w:vMerge w:val="continue"/>
            <w:vAlign w:val="center"/>
          </w:tcPr>
          <w:p w14:paraId="7FDED904">
            <w:pPr>
              <w:numPr>
                <w:ilvl w:val="0"/>
                <w:numId w:val="13"/>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Merge w:val="continue"/>
            <w:vAlign w:val="center"/>
          </w:tcPr>
          <w:p w14:paraId="711E67F6">
            <w:pPr>
              <w:jc w:val="center"/>
              <w:rPr>
                <w:rFonts w:ascii="宋体"/>
                <w:color w:val="auto"/>
                <w:sz w:val="22"/>
                <w:highlight w:val="none"/>
              </w:rPr>
            </w:pPr>
          </w:p>
        </w:tc>
        <w:tc>
          <w:tcPr>
            <w:tcW w:w="1555" w:type="dxa"/>
            <w:shd w:val="clear" w:color="auto" w:fill="auto"/>
            <w:vAlign w:val="center"/>
          </w:tcPr>
          <w:p w14:paraId="384F24B7">
            <w:pPr>
              <w:pStyle w:val="12"/>
              <w:numPr>
                <w:ilvl w:val="0"/>
                <w:numId w:val="12"/>
              </w:numPr>
              <w:kinsoku w:val="0"/>
              <w:overflowPunct w:val="0"/>
              <w:autoSpaceDE w:val="0"/>
              <w:autoSpaceDN w:val="0"/>
              <w:spacing w:line="320" w:lineRule="exact"/>
              <w:ind w:left="420" w:leftChars="0" w:hanging="420" w:firstLineChars="0"/>
              <w:rPr>
                <w:rFonts w:ascii="宋体" w:hAnsi="宋体" w:eastAsia="宋体" w:cs="Times New Roman"/>
                <w:color w:val="auto"/>
                <w:kern w:val="0"/>
                <w:sz w:val="22"/>
                <w:szCs w:val="22"/>
                <w:highlight w:val="none"/>
                <w:lang w:val="en-US" w:eastAsia="zh-CN" w:bidi="ar-SA"/>
              </w:rPr>
            </w:pPr>
            <w:r>
              <w:rPr>
                <w:rFonts w:hAnsi="宋体"/>
                <w:color w:val="auto"/>
                <w:kern w:val="0"/>
                <w:sz w:val="22"/>
                <w:szCs w:val="22"/>
                <w:highlight w:val="none"/>
              </w:rPr>
              <w:t>*</w:t>
            </w:r>
            <w:r>
              <w:rPr>
                <w:rFonts w:hint="eastAsia" w:hAnsi="宋体"/>
                <w:color w:val="auto"/>
                <w:kern w:val="0"/>
                <w:sz w:val="22"/>
                <w:szCs w:val="22"/>
                <w:highlight w:val="none"/>
              </w:rPr>
              <w:t>投标一览表</w:t>
            </w:r>
          </w:p>
        </w:tc>
        <w:tc>
          <w:tcPr>
            <w:tcW w:w="5537" w:type="dxa"/>
            <w:shd w:val="clear" w:color="auto" w:fill="auto"/>
            <w:vAlign w:val="top"/>
          </w:tcPr>
          <w:p w14:paraId="66A7A2A2">
            <w:pPr>
              <w:kinsoku w:val="0"/>
              <w:overflowPunct w:val="0"/>
              <w:autoSpaceDE w:val="0"/>
              <w:autoSpaceDN w:val="0"/>
              <w:snapToGrid w:val="0"/>
              <w:spacing w:line="320" w:lineRule="exact"/>
              <w:ind w:firstLine="440" w:firstLineChars="200"/>
              <w:rPr>
                <w:rFonts w:hint="eastAsia" w:ascii="宋体" w:hAnsi="宋体" w:eastAsia="宋体" w:cs="微软雅黑"/>
                <w:color w:val="auto"/>
                <w:sz w:val="22"/>
                <w:highlight w:val="none"/>
                <w:lang w:eastAsia="zh-CN"/>
              </w:rPr>
            </w:pPr>
            <w:r>
              <w:rPr>
                <w:rFonts w:hint="eastAsia" w:ascii="宋体" w:hAnsi="宋体" w:cs="微软雅黑"/>
                <w:bCs w:val="0"/>
                <w:color w:val="auto"/>
                <w:sz w:val="22"/>
                <w:highlight w:val="none"/>
              </w:rPr>
              <w:t>按照电子投标制作工具</w:t>
            </w:r>
            <w:r>
              <w:rPr>
                <w:rFonts w:hint="eastAsia" w:ascii="宋体" w:hAnsi="宋体" w:cs="微软雅黑"/>
                <w:color w:val="auto"/>
                <w:sz w:val="22"/>
                <w:highlight w:val="none"/>
              </w:rPr>
              <w:t>客户端填报生成，加盖响应人</w:t>
            </w:r>
            <w:r>
              <w:rPr>
                <w:rFonts w:hint="eastAsia" w:ascii="宋体" w:hAnsi="宋体" w:cs="微软雅黑"/>
                <w:color w:val="auto"/>
                <w:sz w:val="22"/>
                <w:highlight w:val="none"/>
                <w:lang w:val="en-US" w:eastAsia="zh-CN"/>
              </w:rPr>
              <w:t>公章</w:t>
            </w:r>
            <w:r>
              <w:rPr>
                <w:rFonts w:hint="eastAsia" w:ascii="宋体" w:hAnsi="宋体" w:cs="微软雅黑"/>
                <w:color w:val="auto"/>
                <w:sz w:val="22"/>
                <w:highlight w:val="none"/>
              </w:rPr>
              <w:t>。</w:t>
            </w:r>
            <w:r>
              <w:rPr>
                <w:rFonts w:hint="eastAsia" w:ascii="宋体" w:hAnsi="宋体" w:cs="微软雅黑"/>
                <w:b/>
                <w:bCs/>
                <w:color w:val="FF0000"/>
                <w:sz w:val="22"/>
                <w:highlight w:val="none"/>
                <w:lang w:val="en-US" w:eastAsia="zh-CN"/>
              </w:rPr>
              <w:t>岗位报价不得漏报或填零，不得高于最高限制单价，不得低于北京市相关标准和规定。</w:t>
            </w:r>
          </w:p>
          <w:p w14:paraId="73B205B6">
            <w:pPr>
              <w:kinsoku w:val="0"/>
              <w:overflowPunct w:val="0"/>
              <w:snapToGrid w:val="0"/>
              <w:spacing w:line="320" w:lineRule="exact"/>
              <w:ind w:firstLine="440" w:firstLineChars="200"/>
              <w:rPr>
                <w:rFonts w:hint="eastAsia" w:ascii="Calibri" w:hAnsi="Calibri" w:eastAsia="宋体" w:cs="Times New Roman"/>
                <w:sz w:val="24"/>
                <w:szCs w:val="22"/>
                <w:highlight w:val="none"/>
                <w:lang w:val="en-US" w:eastAsia="zh-CN" w:bidi="ar-SA"/>
              </w:rPr>
            </w:pPr>
            <w:r>
              <w:rPr>
                <w:rFonts w:hint="eastAsia" w:ascii="宋体" w:hAnsi="宋体" w:cs="微软雅黑"/>
                <w:b w:val="0"/>
                <w:bCs w:val="0"/>
                <w:color w:val="auto"/>
                <w:sz w:val="22"/>
                <w:highlight w:val="none"/>
              </w:rPr>
              <w:t>投标一览表在客户端填报生成后，与制作生成的电子响应文件一同加密上传，无须在电子响应文件中额外提供。</w:t>
            </w:r>
          </w:p>
        </w:tc>
      </w:tr>
      <w:tr w14:paraId="3B4C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41622052">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78371E22">
            <w:pPr>
              <w:kinsoku w:val="0"/>
              <w:overflowPunct w:val="0"/>
              <w:autoSpaceDE w:val="0"/>
              <w:autoSpaceDN w:val="0"/>
              <w:spacing w:line="320" w:lineRule="exact"/>
              <w:jc w:val="center"/>
              <w:rPr>
                <w:rFonts w:ascii="宋体" w:cs="微软雅黑"/>
                <w:bCs/>
                <w:color w:val="auto"/>
                <w:sz w:val="22"/>
                <w:highlight w:val="none"/>
              </w:rPr>
            </w:pPr>
            <w:r>
              <w:rPr>
                <w:rFonts w:hint="eastAsia" w:ascii="宋体" w:hAnsi="宋体" w:cs="微软雅黑"/>
                <w:bCs/>
                <w:color w:val="auto"/>
                <w:sz w:val="22"/>
                <w:highlight w:val="none"/>
              </w:rPr>
              <w:t>报价保证金</w:t>
            </w:r>
          </w:p>
        </w:tc>
        <w:tc>
          <w:tcPr>
            <w:tcW w:w="1555" w:type="dxa"/>
            <w:vAlign w:val="center"/>
          </w:tcPr>
          <w:p w14:paraId="224E09ED">
            <w:pPr>
              <w:pStyle w:val="65"/>
              <w:keepNext w:val="0"/>
              <w:keepLines w:val="0"/>
              <w:numPr>
                <w:ilvl w:val="0"/>
                <w:numId w:val="0"/>
              </w:numPr>
              <w:kinsoku w:val="0"/>
              <w:overflowPunct w:val="0"/>
              <w:autoSpaceDE w:val="0"/>
              <w:autoSpaceDN w:val="0"/>
              <w:spacing w:before="0" w:after="0" w:line="320" w:lineRule="exact"/>
              <w:jc w:val="center"/>
              <w:rPr>
                <w:rFonts w:cs="微软雅黑"/>
                <w:bCs/>
                <w:color w:val="auto"/>
                <w:sz w:val="22"/>
                <w:szCs w:val="22"/>
                <w:highlight w:val="none"/>
              </w:rPr>
            </w:pPr>
            <w:r>
              <w:rPr>
                <w:rFonts w:hint="eastAsia" w:cs="微软雅黑"/>
                <w:bCs/>
                <w:color w:val="auto"/>
                <w:sz w:val="22"/>
                <w:szCs w:val="22"/>
                <w:highlight w:val="none"/>
              </w:rPr>
              <w:t xml:space="preserve"> 本项目不收取报价保证金</w:t>
            </w:r>
          </w:p>
        </w:tc>
        <w:tc>
          <w:tcPr>
            <w:tcW w:w="5537" w:type="dxa"/>
            <w:vAlign w:val="center"/>
          </w:tcPr>
          <w:p w14:paraId="771E4B3A">
            <w:pPr>
              <w:pStyle w:val="65"/>
              <w:keepNext w:val="0"/>
              <w:keepLines w:val="0"/>
              <w:numPr>
                <w:ilvl w:val="0"/>
                <w:numId w:val="0"/>
              </w:numPr>
              <w:kinsoku w:val="0"/>
              <w:overflowPunct w:val="0"/>
              <w:autoSpaceDE w:val="0"/>
              <w:autoSpaceDN w:val="0"/>
              <w:spacing w:before="0" w:after="0" w:line="320" w:lineRule="exact"/>
              <w:jc w:val="center"/>
              <w:rPr>
                <w:rFonts w:cs="微软雅黑"/>
                <w:bCs/>
                <w:color w:val="auto"/>
                <w:sz w:val="22"/>
                <w:szCs w:val="22"/>
                <w:highlight w:val="none"/>
              </w:rPr>
            </w:pPr>
            <w:r>
              <w:rPr>
                <w:rFonts w:hint="eastAsia" w:cs="微软雅黑"/>
                <w:bCs/>
                <w:color w:val="auto"/>
                <w:sz w:val="22"/>
                <w:szCs w:val="22"/>
                <w:highlight w:val="none"/>
              </w:rPr>
              <w:t>--</w:t>
            </w:r>
          </w:p>
        </w:tc>
      </w:tr>
      <w:tr w14:paraId="6A58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4A44205F">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1F0214BE">
            <w:pPr>
              <w:kinsoku w:val="0"/>
              <w:overflowPunct w:val="0"/>
              <w:autoSpaceDE w:val="0"/>
              <w:autoSpaceDN w:val="0"/>
              <w:spacing w:line="320" w:lineRule="exact"/>
              <w:jc w:val="center"/>
              <w:rPr>
                <w:rFonts w:hint="eastAsia" w:ascii="宋体" w:eastAsia="宋体" w:cs="微软雅黑"/>
                <w:bCs/>
                <w:color w:val="auto"/>
                <w:sz w:val="22"/>
                <w:highlight w:val="none"/>
                <w:lang w:eastAsia="zh-CN"/>
              </w:rPr>
            </w:pPr>
            <w:r>
              <w:rPr>
                <w:rFonts w:hint="eastAsia" w:ascii="宋体" w:hAnsi="宋体" w:cs="微软雅黑"/>
                <w:bCs/>
                <w:color w:val="auto"/>
                <w:sz w:val="22"/>
                <w:highlight w:val="none"/>
              </w:rPr>
              <w:t>是否允许进口产品</w:t>
            </w:r>
            <w:r>
              <w:rPr>
                <w:rFonts w:hint="eastAsia" w:ascii="宋体" w:hAnsi="宋体" w:cs="微软雅黑"/>
                <w:bCs/>
                <w:color w:val="auto"/>
                <w:sz w:val="22"/>
                <w:highlight w:val="none"/>
                <w:lang w:eastAsia="zh-CN"/>
              </w:rPr>
              <w:t>响应</w:t>
            </w:r>
          </w:p>
        </w:tc>
        <w:tc>
          <w:tcPr>
            <w:tcW w:w="1555" w:type="dxa"/>
            <w:vAlign w:val="center"/>
          </w:tcPr>
          <w:p w14:paraId="19E0D25E">
            <w:pPr>
              <w:pStyle w:val="65"/>
              <w:keepNext w:val="0"/>
              <w:keepLines w:val="0"/>
              <w:numPr>
                <w:ilvl w:val="0"/>
                <w:numId w:val="0"/>
              </w:numPr>
              <w:kinsoku w:val="0"/>
              <w:overflowPunct w:val="0"/>
              <w:autoSpaceDE w:val="0"/>
              <w:autoSpaceDN w:val="0"/>
              <w:spacing w:before="0" w:after="0" w:line="320" w:lineRule="exact"/>
              <w:jc w:val="center"/>
              <w:rPr>
                <w:rFonts w:cs="微软雅黑"/>
                <w:bCs/>
                <w:color w:val="auto"/>
                <w:sz w:val="22"/>
                <w:szCs w:val="22"/>
                <w:highlight w:val="none"/>
              </w:rPr>
            </w:pPr>
            <w:r>
              <w:rPr>
                <w:rFonts w:hint="eastAsia" w:cs="微软雅黑"/>
                <w:bCs/>
                <w:color w:val="auto"/>
                <w:sz w:val="22"/>
                <w:szCs w:val="22"/>
                <w:highlight w:val="none"/>
              </w:rPr>
              <w:t>否</w:t>
            </w:r>
          </w:p>
        </w:tc>
        <w:tc>
          <w:tcPr>
            <w:tcW w:w="5537" w:type="dxa"/>
            <w:vAlign w:val="center"/>
          </w:tcPr>
          <w:p w14:paraId="1208E872">
            <w:pPr>
              <w:pStyle w:val="65"/>
              <w:keepNext w:val="0"/>
              <w:keepLines w:val="0"/>
              <w:numPr>
                <w:ilvl w:val="0"/>
                <w:numId w:val="0"/>
              </w:numPr>
              <w:kinsoku w:val="0"/>
              <w:overflowPunct w:val="0"/>
              <w:autoSpaceDE w:val="0"/>
              <w:autoSpaceDN w:val="0"/>
              <w:spacing w:before="0" w:after="0" w:line="320" w:lineRule="exact"/>
              <w:ind w:firstLine="440" w:firstLineChars="200"/>
              <w:jc w:val="both"/>
              <w:rPr>
                <w:rFonts w:cs="微软雅黑"/>
                <w:bCs/>
                <w:color w:val="auto"/>
                <w:sz w:val="22"/>
                <w:szCs w:val="22"/>
                <w:highlight w:val="none"/>
              </w:rPr>
            </w:pPr>
            <w:r>
              <w:rPr>
                <w:rFonts w:hint="eastAsia" w:cs="微软雅黑"/>
                <w:bCs/>
                <w:color w:val="auto"/>
                <w:sz w:val="22"/>
                <w:szCs w:val="22"/>
                <w:highlight w:val="none"/>
              </w:rPr>
              <w:t>根据北京市财政局关于采购进口产品的有关规定，采购人采购进口产品前须履行相关程序。</w:t>
            </w:r>
          </w:p>
        </w:tc>
      </w:tr>
      <w:tr w14:paraId="4CF9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21DC23FC">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398A2967">
            <w:pPr>
              <w:kinsoku w:val="0"/>
              <w:overflowPunct w:val="0"/>
              <w:autoSpaceDE w:val="0"/>
              <w:autoSpaceDN w:val="0"/>
              <w:snapToGrid w:val="0"/>
              <w:spacing w:line="320" w:lineRule="exact"/>
              <w:jc w:val="center"/>
              <w:rPr>
                <w:rFonts w:ascii="宋体" w:cs="微软雅黑"/>
                <w:bCs/>
                <w:color w:val="auto"/>
                <w:sz w:val="22"/>
                <w:highlight w:val="none"/>
              </w:rPr>
            </w:pPr>
            <w:r>
              <w:rPr>
                <w:rFonts w:hint="eastAsia" w:ascii="宋体" w:hAnsi="宋体" w:cs="微软雅黑"/>
                <w:bCs/>
                <w:color w:val="auto"/>
                <w:sz w:val="22"/>
                <w:highlight w:val="none"/>
              </w:rPr>
              <w:t>是否接受可选择或可调整的报价方案和报价</w:t>
            </w:r>
          </w:p>
        </w:tc>
        <w:tc>
          <w:tcPr>
            <w:tcW w:w="1555" w:type="dxa"/>
            <w:vAlign w:val="center"/>
          </w:tcPr>
          <w:p w14:paraId="1D4DB82A">
            <w:pPr>
              <w:pStyle w:val="71"/>
              <w:kinsoku w:val="0"/>
              <w:overflowPunct w:val="0"/>
              <w:autoSpaceDE w:val="0"/>
              <w:autoSpaceDN w:val="0"/>
              <w:adjustRightInd w:val="0"/>
              <w:snapToGrid w:val="0"/>
              <w:spacing w:line="320" w:lineRule="exact"/>
              <w:jc w:val="center"/>
              <w:rPr>
                <w:rFonts w:hAnsi="宋体" w:cs="微软雅黑"/>
                <w:bCs/>
                <w:color w:val="auto"/>
                <w:sz w:val="22"/>
                <w:szCs w:val="22"/>
                <w:highlight w:val="none"/>
              </w:rPr>
            </w:pPr>
            <w:r>
              <w:rPr>
                <w:rFonts w:hint="eastAsia" w:hAnsi="宋体" w:cs="微软雅黑"/>
                <w:bCs/>
                <w:color w:val="auto"/>
                <w:kern w:val="0"/>
                <w:sz w:val="22"/>
                <w:szCs w:val="22"/>
                <w:highlight w:val="none"/>
              </w:rPr>
              <w:t>否</w:t>
            </w:r>
          </w:p>
        </w:tc>
        <w:tc>
          <w:tcPr>
            <w:tcW w:w="5537" w:type="dxa"/>
            <w:vAlign w:val="center"/>
          </w:tcPr>
          <w:p w14:paraId="22ACD799">
            <w:pPr>
              <w:pStyle w:val="71"/>
              <w:kinsoku w:val="0"/>
              <w:overflowPunct w:val="0"/>
              <w:autoSpaceDE w:val="0"/>
              <w:autoSpaceDN w:val="0"/>
              <w:adjustRightInd w:val="0"/>
              <w:snapToGrid w:val="0"/>
              <w:spacing w:line="320" w:lineRule="exact"/>
              <w:jc w:val="center"/>
              <w:rPr>
                <w:rFonts w:hAnsi="宋体" w:cs="微软雅黑"/>
                <w:bCs/>
                <w:color w:val="auto"/>
                <w:kern w:val="0"/>
                <w:sz w:val="22"/>
                <w:szCs w:val="22"/>
                <w:highlight w:val="none"/>
              </w:rPr>
            </w:pPr>
            <w:r>
              <w:rPr>
                <w:rFonts w:hint="eastAsia" w:hAnsi="宋体" w:cs="微软雅黑"/>
                <w:bCs/>
                <w:color w:val="auto"/>
                <w:kern w:val="0"/>
                <w:sz w:val="22"/>
                <w:szCs w:val="22"/>
                <w:highlight w:val="none"/>
              </w:rPr>
              <w:t>--</w:t>
            </w:r>
          </w:p>
        </w:tc>
      </w:tr>
      <w:tr w14:paraId="6AF2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29E18F41">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6A6EE5A0">
            <w:pPr>
              <w:kinsoku w:val="0"/>
              <w:overflowPunct w:val="0"/>
              <w:autoSpaceDE w:val="0"/>
              <w:autoSpaceDN w:val="0"/>
              <w:snapToGrid w:val="0"/>
              <w:spacing w:line="320" w:lineRule="exact"/>
              <w:jc w:val="center"/>
              <w:rPr>
                <w:rFonts w:ascii="宋体" w:cs="微软雅黑"/>
                <w:bCs/>
                <w:color w:val="auto"/>
                <w:sz w:val="22"/>
                <w:highlight w:val="none"/>
              </w:rPr>
            </w:pPr>
            <w:r>
              <w:rPr>
                <w:rFonts w:hint="eastAsia" w:ascii="宋体" w:hAnsi="宋体" w:cs="微软雅黑"/>
                <w:bCs/>
                <w:color w:val="auto"/>
                <w:sz w:val="22"/>
                <w:highlight w:val="none"/>
              </w:rPr>
              <w:t>是否允许转包</w:t>
            </w:r>
          </w:p>
        </w:tc>
        <w:tc>
          <w:tcPr>
            <w:tcW w:w="1555" w:type="dxa"/>
            <w:vAlign w:val="center"/>
          </w:tcPr>
          <w:p w14:paraId="5A0708BC">
            <w:pPr>
              <w:pStyle w:val="65"/>
              <w:keepNext w:val="0"/>
              <w:keepLines w:val="0"/>
              <w:numPr>
                <w:ilvl w:val="0"/>
                <w:numId w:val="0"/>
              </w:numPr>
              <w:kinsoku w:val="0"/>
              <w:overflowPunct w:val="0"/>
              <w:autoSpaceDE w:val="0"/>
              <w:autoSpaceDN w:val="0"/>
              <w:snapToGrid w:val="0"/>
              <w:spacing w:before="0" w:after="0" w:line="320" w:lineRule="exact"/>
              <w:jc w:val="center"/>
              <w:rPr>
                <w:rFonts w:cs="微软雅黑"/>
                <w:bCs/>
                <w:color w:val="auto"/>
                <w:sz w:val="22"/>
                <w:szCs w:val="22"/>
                <w:highlight w:val="none"/>
              </w:rPr>
            </w:pPr>
            <w:r>
              <w:rPr>
                <w:rFonts w:hint="eastAsia" w:cs="微软雅黑"/>
                <w:bCs/>
                <w:color w:val="auto"/>
                <w:sz w:val="22"/>
                <w:szCs w:val="22"/>
                <w:highlight w:val="none"/>
              </w:rPr>
              <w:t>否</w:t>
            </w:r>
          </w:p>
        </w:tc>
        <w:tc>
          <w:tcPr>
            <w:tcW w:w="5537" w:type="dxa"/>
            <w:vAlign w:val="center"/>
          </w:tcPr>
          <w:p w14:paraId="3E1D197D">
            <w:pPr>
              <w:kinsoku w:val="0"/>
              <w:overflowPunct w:val="0"/>
              <w:autoSpaceDE w:val="0"/>
              <w:autoSpaceDN w:val="0"/>
              <w:snapToGrid w:val="0"/>
              <w:spacing w:line="320" w:lineRule="exact"/>
              <w:jc w:val="center"/>
              <w:rPr>
                <w:rFonts w:ascii="宋体" w:hAnsi="宋体" w:cs="微软雅黑"/>
                <w:bCs/>
                <w:color w:val="auto"/>
                <w:sz w:val="22"/>
                <w:highlight w:val="none"/>
              </w:rPr>
            </w:pPr>
            <w:r>
              <w:rPr>
                <w:rFonts w:hint="eastAsia" w:ascii="宋体" w:hAnsi="宋体" w:cs="微软雅黑"/>
                <w:bCs/>
                <w:color w:val="auto"/>
                <w:sz w:val="22"/>
                <w:highlight w:val="none"/>
              </w:rPr>
              <w:t>--</w:t>
            </w:r>
          </w:p>
        </w:tc>
      </w:tr>
      <w:tr w14:paraId="46DA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1DFE698A">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25D920B2">
            <w:pPr>
              <w:kinsoku w:val="0"/>
              <w:overflowPunct w:val="0"/>
              <w:autoSpaceDE w:val="0"/>
              <w:autoSpaceDN w:val="0"/>
              <w:snapToGrid w:val="0"/>
              <w:spacing w:line="320" w:lineRule="exact"/>
              <w:jc w:val="center"/>
              <w:rPr>
                <w:rFonts w:ascii="宋体" w:cs="微软雅黑"/>
                <w:bCs/>
                <w:color w:val="auto"/>
                <w:sz w:val="22"/>
                <w:highlight w:val="none"/>
              </w:rPr>
            </w:pPr>
            <w:r>
              <w:rPr>
                <w:rFonts w:hint="eastAsia" w:ascii="宋体" w:hAnsi="宋体" w:cs="微软雅黑"/>
                <w:bCs/>
                <w:color w:val="auto"/>
                <w:sz w:val="22"/>
                <w:highlight w:val="none"/>
              </w:rPr>
              <w:t>是否允许分包</w:t>
            </w:r>
          </w:p>
        </w:tc>
        <w:tc>
          <w:tcPr>
            <w:tcW w:w="1555" w:type="dxa"/>
            <w:vAlign w:val="center"/>
          </w:tcPr>
          <w:p w14:paraId="26E19803">
            <w:pPr>
              <w:pStyle w:val="65"/>
              <w:keepNext w:val="0"/>
              <w:keepLines w:val="0"/>
              <w:numPr>
                <w:ilvl w:val="0"/>
                <w:numId w:val="0"/>
              </w:numPr>
              <w:kinsoku w:val="0"/>
              <w:overflowPunct w:val="0"/>
              <w:autoSpaceDE w:val="0"/>
              <w:autoSpaceDN w:val="0"/>
              <w:snapToGrid w:val="0"/>
              <w:spacing w:before="0" w:after="0" w:line="320" w:lineRule="exact"/>
              <w:jc w:val="center"/>
              <w:rPr>
                <w:rFonts w:cs="微软雅黑"/>
                <w:bCs/>
                <w:color w:val="auto"/>
                <w:sz w:val="22"/>
                <w:szCs w:val="22"/>
                <w:highlight w:val="none"/>
              </w:rPr>
            </w:pPr>
            <w:r>
              <w:rPr>
                <w:rFonts w:hint="eastAsia" w:cs="微软雅黑"/>
                <w:bCs/>
                <w:color w:val="auto"/>
                <w:sz w:val="22"/>
                <w:szCs w:val="22"/>
                <w:highlight w:val="none"/>
              </w:rPr>
              <w:t>否</w:t>
            </w:r>
          </w:p>
        </w:tc>
        <w:tc>
          <w:tcPr>
            <w:tcW w:w="5537" w:type="dxa"/>
            <w:vAlign w:val="center"/>
          </w:tcPr>
          <w:p w14:paraId="36CC74E5">
            <w:pPr>
              <w:kinsoku w:val="0"/>
              <w:overflowPunct w:val="0"/>
              <w:autoSpaceDE w:val="0"/>
              <w:autoSpaceDN w:val="0"/>
              <w:snapToGrid w:val="0"/>
              <w:spacing w:line="320" w:lineRule="exact"/>
              <w:jc w:val="center"/>
              <w:rPr>
                <w:rFonts w:ascii="宋体" w:hAnsi="宋体" w:cs="微软雅黑"/>
                <w:bCs/>
                <w:color w:val="auto"/>
                <w:sz w:val="22"/>
                <w:highlight w:val="none"/>
              </w:rPr>
            </w:pPr>
            <w:r>
              <w:rPr>
                <w:rFonts w:hint="eastAsia" w:ascii="宋体" w:hAnsi="宋体" w:cs="微软雅黑"/>
                <w:bCs/>
                <w:color w:val="auto"/>
                <w:sz w:val="22"/>
                <w:highlight w:val="none"/>
              </w:rPr>
              <w:t>--</w:t>
            </w:r>
          </w:p>
        </w:tc>
      </w:tr>
      <w:tr w14:paraId="431A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629466B9">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49D17ACA">
            <w:pPr>
              <w:kinsoku w:val="0"/>
              <w:overflowPunct w:val="0"/>
              <w:autoSpaceDE w:val="0"/>
              <w:autoSpaceDN w:val="0"/>
              <w:snapToGrid w:val="0"/>
              <w:spacing w:line="320" w:lineRule="exact"/>
              <w:jc w:val="center"/>
              <w:rPr>
                <w:rFonts w:ascii="宋体" w:cs="微软雅黑"/>
                <w:bCs/>
                <w:color w:val="auto"/>
                <w:sz w:val="22"/>
                <w:highlight w:val="none"/>
              </w:rPr>
            </w:pPr>
            <w:r>
              <w:rPr>
                <w:rFonts w:hint="eastAsia" w:ascii="宋体" w:hAnsi="宋体" w:cs="微软雅黑"/>
                <w:bCs/>
                <w:color w:val="auto"/>
                <w:sz w:val="22"/>
                <w:highlight w:val="none"/>
              </w:rPr>
              <w:t>是否允许联合体征集</w:t>
            </w:r>
          </w:p>
        </w:tc>
        <w:tc>
          <w:tcPr>
            <w:tcW w:w="1555" w:type="dxa"/>
            <w:vAlign w:val="center"/>
          </w:tcPr>
          <w:p w14:paraId="6CD11A84">
            <w:pPr>
              <w:pStyle w:val="65"/>
              <w:keepNext w:val="0"/>
              <w:keepLines w:val="0"/>
              <w:numPr>
                <w:ilvl w:val="0"/>
                <w:numId w:val="0"/>
              </w:numPr>
              <w:kinsoku w:val="0"/>
              <w:overflowPunct w:val="0"/>
              <w:autoSpaceDE w:val="0"/>
              <w:autoSpaceDN w:val="0"/>
              <w:snapToGrid w:val="0"/>
              <w:spacing w:before="0" w:after="0" w:line="320" w:lineRule="exact"/>
              <w:jc w:val="center"/>
              <w:rPr>
                <w:rFonts w:cs="微软雅黑"/>
                <w:bCs/>
                <w:color w:val="auto"/>
                <w:sz w:val="22"/>
                <w:szCs w:val="22"/>
                <w:highlight w:val="none"/>
              </w:rPr>
            </w:pPr>
            <w:r>
              <w:rPr>
                <w:rFonts w:hint="eastAsia" w:cs="微软雅黑"/>
                <w:bCs/>
                <w:color w:val="auto"/>
                <w:sz w:val="22"/>
                <w:szCs w:val="22"/>
                <w:highlight w:val="none"/>
              </w:rPr>
              <w:t>否</w:t>
            </w:r>
          </w:p>
        </w:tc>
        <w:tc>
          <w:tcPr>
            <w:tcW w:w="5537" w:type="dxa"/>
            <w:vAlign w:val="center"/>
          </w:tcPr>
          <w:p w14:paraId="713EF06B">
            <w:pPr>
              <w:kinsoku w:val="0"/>
              <w:overflowPunct w:val="0"/>
              <w:autoSpaceDE w:val="0"/>
              <w:autoSpaceDN w:val="0"/>
              <w:snapToGrid w:val="0"/>
              <w:spacing w:line="320" w:lineRule="exact"/>
              <w:jc w:val="center"/>
              <w:rPr>
                <w:rFonts w:ascii="宋体" w:hAnsi="宋体" w:cs="微软雅黑"/>
                <w:bCs/>
                <w:color w:val="auto"/>
                <w:sz w:val="22"/>
                <w:highlight w:val="none"/>
              </w:rPr>
            </w:pPr>
            <w:r>
              <w:rPr>
                <w:rFonts w:hint="eastAsia" w:ascii="宋体" w:hAnsi="宋体" w:cs="微软雅黑"/>
                <w:bCs/>
                <w:color w:val="auto"/>
                <w:sz w:val="22"/>
                <w:highlight w:val="none"/>
              </w:rPr>
              <w:t>--</w:t>
            </w:r>
          </w:p>
        </w:tc>
      </w:tr>
      <w:tr w14:paraId="217B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302C7C8E">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04816E23">
            <w:pPr>
              <w:kinsoku w:val="0"/>
              <w:overflowPunct w:val="0"/>
              <w:autoSpaceDE w:val="0"/>
              <w:autoSpaceDN w:val="0"/>
              <w:snapToGrid w:val="0"/>
              <w:spacing w:line="320" w:lineRule="exact"/>
              <w:jc w:val="center"/>
              <w:rPr>
                <w:rFonts w:ascii="宋体" w:cs="微软雅黑"/>
                <w:bCs/>
                <w:color w:val="auto"/>
                <w:sz w:val="22"/>
                <w:highlight w:val="none"/>
              </w:rPr>
            </w:pPr>
            <w:r>
              <w:rPr>
                <w:rFonts w:hint="eastAsia" w:ascii="宋体" w:hAnsi="宋体" w:cs="微软雅黑"/>
                <w:bCs/>
                <w:color w:val="auto"/>
                <w:sz w:val="22"/>
                <w:highlight w:val="none"/>
              </w:rPr>
              <w:t>是否专门面向中小企业采购</w:t>
            </w:r>
          </w:p>
        </w:tc>
        <w:tc>
          <w:tcPr>
            <w:tcW w:w="1555" w:type="dxa"/>
            <w:vAlign w:val="center"/>
          </w:tcPr>
          <w:p w14:paraId="534FF1EA">
            <w:pPr>
              <w:pStyle w:val="65"/>
              <w:keepNext w:val="0"/>
              <w:keepLines w:val="0"/>
              <w:numPr>
                <w:ilvl w:val="0"/>
                <w:numId w:val="0"/>
              </w:numPr>
              <w:kinsoku w:val="0"/>
              <w:overflowPunct w:val="0"/>
              <w:autoSpaceDE w:val="0"/>
              <w:autoSpaceDN w:val="0"/>
              <w:snapToGrid w:val="0"/>
              <w:spacing w:before="0" w:after="0" w:line="320" w:lineRule="exact"/>
              <w:jc w:val="center"/>
              <w:rPr>
                <w:rFonts w:cs="微软雅黑"/>
                <w:bCs/>
                <w:color w:val="auto"/>
                <w:sz w:val="22"/>
                <w:szCs w:val="22"/>
                <w:highlight w:val="none"/>
              </w:rPr>
            </w:pPr>
            <w:r>
              <w:rPr>
                <w:rFonts w:hint="eastAsia" w:cs="微软雅黑"/>
                <w:bCs/>
                <w:color w:val="auto"/>
                <w:sz w:val="22"/>
                <w:szCs w:val="22"/>
                <w:highlight w:val="none"/>
              </w:rPr>
              <w:t>否</w:t>
            </w:r>
          </w:p>
        </w:tc>
        <w:tc>
          <w:tcPr>
            <w:tcW w:w="5537" w:type="dxa"/>
            <w:vAlign w:val="center"/>
          </w:tcPr>
          <w:p w14:paraId="75F12068">
            <w:pPr>
              <w:kinsoku w:val="0"/>
              <w:overflowPunct w:val="0"/>
              <w:autoSpaceDE w:val="0"/>
              <w:autoSpaceDN w:val="0"/>
              <w:snapToGrid w:val="0"/>
              <w:spacing w:line="320" w:lineRule="exact"/>
              <w:jc w:val="center"/>
              <w:rPr>
                <w:rFonts w:ascii="宋体" w:hAnsi="宋体" w:cs="微软雅黑"/>
                <w:bCs/>
                <w:color w:val="auto"/>
                <w:sz w:val="22"/>
                <w:highlight w:val="none"/>
              </w:rPr>
            </w:pPr>
            <w:r>
              <w:rPr>
                <w:rFonts w:hint="eastAsia" w:ascii="宋体" w:hAnsi="宋体" w:cs="微软雅黑"/>
                <w:bCs/>
                <w:color w:val="auto"/>
                <w:sz w:val="22"/>
                <w:highlight w:val="none"/>
              </w:rPr>
              <w:t>--</w:t>
            </w:r>
          </w:p>
        </w:tc>
      </w:tr>
      <w:tr w14:paraId="2DA6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0B96C4A8">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24F19568">
            <w:pPr>
              <w:kinsoku w:val="0"/>
              <w:overflowPunct w:val="0"/>
              <w:autoSpaceDE w:val="0"/>
              <w:autoSpaceDN w:val="0"/>
              <w:snapToGrid w:val="0"/>
              <w:spacing w:line="320" w:lineRule="exact"/>
              <w:jc w:val="center"/>
              <w:rPr>
                <w:rFonts w:ascii="宋体" w:cs="微软雅黑"/>
                <w:bCs/>
                <w:color w:val="auto"/>
                <w:sz w:val="22"/>
                <w:highlight w:val="none"/>
              </w:rPr>
            </w:pPr>
            <w:r>
              <w:rPr>
                <w:rFonts w:hint="eastAsia" w:ascii="宋体" w:hAnsi="宋体" w:cs="微软雅黑"/>
                <w:bCs/>
                <w:color w:val="auto"/>
                <w:sz w:val="22"/>
                <w:highlight w:val="none"/>
              </w:rPr>
              <w:t>是否专门面向小微企业采购</w:t>
            </w:r>
          </w:p>
        </w:tc>
        <w:tc>
          <w:tcPr>
            <w:tcW w:w="1555" w:type="dxa"/>
            <w:vAlign w:val="center"/>
          </w:tcPr>
          <w:p w14:paraId="160EF397">
            <w:pPr>
              <w:pStyle w:val="65"/>
              <w:keepNext w:val="0"/>
              <w:keepLines w:val="0"/>
              <w:numPr>
                <w:ilvl w:val="0"/>
                <w:numId w:val="0"/>
              </w:numPr>
              <w:kinsoku w:val="0"/>
              <w:overflowPunct w:val="0"/>
              <w:autoSpaceDE w:val="0"/>
              <w:autoSpaceDN w:val="0"/>
              <w:snapToGrid w:val="0"/>
              <w:spacing w:before="0" w:after="0" w:line="320" w:lineRule="exact"/>
              <w:jc w:val="center"/>
              <w:rPr>
                <w:rFonts w:cs="微软雅黑"/>
                <w:bCs/>
                <w:color w:val="auto"/>
                <w:sz w:val="22"/>
                <w:szCs w:val="22"/>
                <w:highlight w:val="none"/>
              </w:rPr>
            </w:pPr>
            <w:r>
              <w:rPr>
                <w:rFonts w:hint="eastAsia" w:cs="微软雅黑"/>
                <w:bCs/>
                <w:color w:val="auto"/>
                <w:sz w:val="22"/>
                <w:szCs w:val="22"/>
                <w:highlight w:val="none"/>
              </w:rPr>
              <w:t>否</w:t>
            </w:r>
          </w:p>
        </w:tc>
        <w:tc>
          <w:tcPr>
            <w:tcW w:w="5537" w:type="dxa"/>
            <w:vAlign w:val="center"/>
          </w:tcPr>
          <w:p w14:paraId="077EC838">
            <w:pPr>
              <w:kinsoku w:val="0"/>
              <w:overflowPunct w:val="0"/>
              <w:autoSpaceDE w:val="0"/>
              <w:autoSpaceDN w:val="0"/>
              <w:snapToGrid w:val="0"/>
              <w:spacing w:line="320" w:lineRule="exact"/>
              <w:jc w:val="center"/>
              <w:rPr>
                <w:rFonts w:ascii="宋体" w:hAnsi="宋体" w:cs="微软雅黑"/>
                <w:bCs/>
                <w:color w:val="auto"/>
                <w:sz w:val="22"/>
                <w:highlight w:val="none"/>
              </w:rPr>
            </w:pPr>
            <w:r>
              <w:rPr>
                <w:rFonts w:hint="eastAsia" w:ascii="宋体" w:hAnsi="宋体" w:cs="微软雅黑"/>
                <w:bCs/>
                <w:color w:val="auto"/>
                <w:sz w:val="22"/>
                <w:highlight w:val="none"/>
              </w:rPr>
              <w:t>--</w:t>
            </w:r>
          </w:p>
        </w:tc>
      </w:tr>
      <w:tr w14:paraId="477B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2B71D7A3">
            <w:pPr>
              <w:numPr>
                <w:ilvl w:val="0"/>
                <w:numId w:val="11"/>
              </w:numPr>
              <w:kinsoku w:val="0"/>
              <w:overflowPunct w:val="0"/>
              <w:autoSpaceDE w:val="0"/>
              <w:autoSpaceDN w:val="0"/>
              <w:snapToGrid w:val="0"/>
              <w:spacing w:line="320" w:lineRule="exact"/>
              <w:jc w:val="center"/>
              <w:textAlignment w:val="auto"/>
              <w:rPr>
                <w:rFonts w:ascii="宋体" w:cs="微软雅黑"/>
                <w:bCs/>
                <w:color w:val="auto"/>
                <w:sz w:val="22"/>
                <w:highlight w:val="none"/>
              </w:rPr>
            </w:pPr>
          </w:p>
        </w:tc>
        <w:tc>
          <w:tcPr>
            <w:tcW w:w="1770" w:type="dxa"/>
            <w:vAlign w:val="center"/>
          </w:tcPr>
          <w:p w14:paraId="041B0186">
            <w:pPr>
              <w:kinsoku w:val="0"/>
              <w:overflowPunct w:val="0"/>
              <w:autoSpaceDE w:val="0"/>
              <w:autoSpaceDN w:val="0"/>
              <w:snapToGrid w:val="0"/>
              <w:spacing w:line="320" w:lineRule="exact"/>
              <w:jc w:val="center"/>
              <w:rPr>
                <w:rFonts w:ascii="宋体" w:hAnsi="宋体" w:cs="微软雅黑"/>
                <w:bCs/>
                <w:color w:val="auto"/>
                <w:sz w:val="22"/>
                <w:highlight w:val="none"/>
              </w:rPr>
            </w:pPr>
            <w:r>
              <w:rPr>
                <w:rFonts w:hint="eastAsia" w:ascii="宋体" w:hAnsi="宋体" w:cs="微软雅黑"/>
                <w:bCs/>
                <w:color w:val="auto"/>
                <w:sz w:val="22"/>
                <w:highlight w:val="none"/>
              </w:rPr>
              <w:t>响应文件</w:t>
            </w:r>
          </w:p>
          <w:p w14:paraId="3C450131">
            <w:pPr>
              <w:kinsoku w:val="0"/>
              <w:overflowPunct w:val="0"/>
              <w:autoSpaceDE w:val="0"/>
              <w:autoSpaceDN w:val="0"/>
              <w:snapToGrid w:val="0"/>
              <w:spacing w:line="320" w:lineRule="exact"/>
              <w:jc w:val="center"/>
              <w:rPr>
                <w:rFonts w:ascii="宋体" w:cs="微软雅黑"/>
                <w:bCs/>
                <w:color w:val="auto"/>
                <w:sz w:val="22"/>
                <w:highlight w:val="none"/>
              </w:rPr>
            </w:pPr>
            <w:r>
              <w:rPr>
                <w:rFonts w:hint="eastAsia" w:ascii="宋体" w:hAnsi="宋体" w:cs="微软雅黑"/>
                <w:bCs/>
                <w:color w:val="auto"/>
                <w:sz w:val="22"/>
                <w:highlight w:val="none"/>
              </w:rPr>
              <w:t>有效期</w:t>
            </w:r>
          </w:p>
        </w:tc>
        <w:tc>
          <w:tcPr>
            <w:tcW w:w="1555" w:type="dxa"/>
            <w:vAlign w:val="center"/>
          </w:tcPr>
          <w:p w14:paraId="3B47493F">
            <w:pPr>
              <w:pStyle w:val="65"/>
              <w:keepNext w:val="0"/>
              <w:keepLines w:val="0"/>
              <w:numPr>
                <w:ilvl w:val="0"/>
                <w:numId w:val="0"/>
              </w:numPr>
              <w:kinsoku w:val="0"/>
              <w:overflowPunct w:val="0"/>
              <w:autoSpaceDE w:val="0"/>
              <w:autoSpaceDN w:val="0"/>
              <w:snapToGrid w:val="0"/>
              <w:spacing w:before="0" w:after="0" w:line="320" w:lineRule="exact"/>
              <w:jc w:val="both"/>
              <w:rPr>
                <w:rFonts w:cs="微软雅黑"/>
                <w:bCs/>
                <w:color w:val="auto"/>
                <w:sz w:val="22"/>
                <w:szCs w:val="22"/>
                <w:highlight w:val="none"/>
              </w:rPr>
            </w:pPr>
            <w:r>
              <w:rPr>
                <w:rFonts w:cs="微软雅黑"/>
                <w:bCs/>
                <w:color w:val="auto"/>
                <w:sz w:val="22"/>
                <w:szCs w:val="22"/>
                <w:highlight w:val="none"/>
              </w:rPr>
              <w:t>180</w:t>
            </w:r>
            <w:r>
              <w:rPr>
                <w:rFonts w:hint="eastAsia" w:cs="微软雅黑"/>
                <w:bCs/>
                <w:color w:val="auto"/>
                <w:sz w:val="22"/>
                <w:szCs w:val="22"/>
                <w:highlight w:val="none"/>
              </w:rPr>
              <w:t>个日历日（从电子响应文件提交截止时间起计算）</w:t>
            </w:r>
          </w:p>
        </w:tc>
        <w:tc>
          <w:tcPr>
            <w:tcW w:w="5537" w:type="dxa"/>
            <w:vAlign w:val="center"/>
          </w:tcPr>
          <w:p w14:paraId="57687AB1">
            <w:pPr>
              <w:kinsoku w:val="0"/>
              <w:overflowPunct w:val="0"/>
              <w:autoSpaceDE w:val="0"/>
              <w:autoSpaceDN w:val="0"/>
              <w:snapToGrid w:val="0"/>
              <w:spacing w:line="320" w:lineRule="exact"/>
              <w:jc w:val="center"/>
              <w:rPr>
                <w:rFonts w:ascii="宋体" w:hAnsi="宋体" w:cs="微软雅黑"/>
                <w:bCs/>
                <w:color w:val="auto"/>
                <w:sz w:val="22"/>
                <w:highlight w:val="none"/>
              </w:rPr>
            </w:pPr>
            <w:r>
              <w:rPr>
                <w:rFonts w:hint="eastAsia" w:ascii="宋体" w:hAnsi="宋体" w:cs="微软雅黑"/>
                <w:bCs/>
                <w:color w:val="auto"/>
                <w:sz w:val="22"/>
                <w:highlight w:val="none"/>
              </w:rPr>
              <w:t>--</w:t>
            </w:r>
          </w:p>
        </w:tc>
      </w:tr>
    </w:tbl>
    <w:p w14:paraId="1BC2BD91">
      <w:pPr>
        <w:snapToGrid w:val="0"/>
        <w:spacing w:line="400" w:lineRule="exact"/>
        <w:jc w:val="both"/>
        <w:rPr>
          <w:rFonts w:ascii="宋体" w:cs="微软雅黑"/>
          <w:color w:val="auto"/>
          <w:sz w:val="22"/>
          <w:highlight w:val="none"/>
        </w:rPr>
        <w:sectPr>
          <w:pgSz w:w="11907" w:h="16840"/>
          <w:pgMar w:top="1418" w:right="1418" w:bottom="1418" w:left="1418" w:header="851" w:footer="850" w:gutter="0"/>
          <w:cols w:space="720" w:num="1"/>
          <w:docGrid w:type="lines" w:linePitch="326" w:charSpace="0"/>
        </w:sectPr>
      </w:pPr>
    </w:p>
    <w:p w14:paraId="66A6F71E">
      <w:pPr>
        <w:pStyle w:val="57"/>
        <w:snapToGrid w:val="0"/>
        <w:spacing w:before="0" w:after="0"/>
        <w:ind w:left="0"/>
        <w:rPr>
          <w:rFonts w:ascii="宋体"/>
          <w:color w:val="auto"/>
          <w:sz w:val="32"/>
          <w:szCs w:val="21"/>
          <w:highlight w:val="none"/>
        </w:rPr>
      </w:pPr>
      <w:bookmarkStart w:id="32" w:name="_Toc20811"/>
      <w:bookmarkStart w:id="33" w:name="_Toc20975"/>
      <w:bookmarkStart w:id="34" w:name="_Toc3967"/>
      <w:bookmarkStart w:id="35" w:name="_Toc328815991"/>
      <w:bookmarkStart w:id="36" w:name="_Toc22764"/>
      <w:bookmarkStart w:id="37" w:name="_Toc86202581"/>
      <w:bookmarkStart w:id="38" w:name="_Toc174185153"/>
      <w:bookmarkStart w:id="39" w:name="_Toc186274106"/>
      <w:r>
        <w:rPr>
          <w:rFonts w:hint="eastAsia" w:ascii="宋体" w:hAnsi="宋体"/>
          <w:color w:val="auto"/>
          <w:sz w:val="32"/>
          <w:szCs w:val="21"/>
          <w:highlight w:val="none"/>
          <w:lang w:val="en-US" w:eastAsia="zh-CN"/>
        </w:rPr>
        <w:t xml:space="preserve"> </w:t>
      </w:r>
      <w:r>
        <w:rPr>
          <w:rFonts w:hint="eastAsia" w:ascii="宋体" w:hAnsi="宋体"/>
          <w:color w:val="auto"/>
          <w:sz w:val="32"/>
          <w:szCs w:val="21"/>
          <w:highlight w:val="none"/>
        </w:rPr>
        <w:t>响应人须知</w:t>
      </w:r>
      <w:bookmarkEnd w:id="32"/>
      <w:bookmarkEnd w:id="33"/>
      <w:bookmarkEnd w:id="34"/>
      <w:bookmarkEnd w:id="35"/>
      <w:bookmarkEnd w:id="36"/>
    </w:p>
    <w:bookmarkEnd w:id="37"/>
    <w:bookmarkEnd w:id="38"/>
    <w:bookmarkEnd w:id="39"/>
    <w:p w14:paraId="70C2A10B">
      <w:pPr>
        <w:pStyle w:val="3"/>
        <w:spacing w:before="0" w:after="120" w:line="400" w:lineRule="exact"/>
        <w:ind w:left="0"/>
        <w:rPr>
          <w:rFonts w:ascii="宋体" w:hAnsi="宋体" w:eastAsia="宋体" w:cs="微软雅黑"/>
          <w:bCs w:val="0"/>
          <w:color w:val="auto"/>
          <w:sz w:val="22"/>
          <w:szCs w:val="22"/>
          <w:highlight w:val="none"/>
        </w:rPr>
      </w:pPr>
      <w:bookmarkStart w:id="40" w:name="_Toc328815992"/>
      <w:r>
        <w:rPr>
          <w:rFonts w:hint="eastAsia" w:ascii="宋体" w:hAnsi="宋体" w:eastAsia="宋体" w:cs="微软雅黑"/>
          <w:bCs w:val="0"/>
          <w:color w:val="auto"/>
          <w:sz w:val="22"/>
          <w:szCs w:val="22"/>
          <w:highlight w:val="none"/>
        </w:rPr>
        <w:t>总则</w:t>
      </w:r>
      <w:bookmarkEnd w:id="40"/>
    </w:p>
    <w:p w14:paraId="490A6218">
      <w:pPr>
        <w:pStyle w:val="47"/>
        <w:numPr>
          <w:ilvl w:val="0"/>
          <w:numId w:val="14"/>
        </w:numPr>
        <w:spacing w:line="400" w:lineRule="exact"/>
        <w:rPr>
          <w:color w:val="auto"/>
          <w:sz w:val="22"/>
          <w:szCs w:val="22"/>
          <w:highlight w:val="none"/>
        </w:rPr>
      </w:pPr>
      <w:r>
        <w:rPr>
          <w:rFonts w:hint="eastAsia"/>
          <w:color w:val="auto"/>
          <w:sz w:val="22"/>
          <w:szCs w:val="22"/>
          <w:highlight w:val="none"/>
        </w:rPr>
        <w:t>定义：</w:t>
      </w:r>
    </w:p>
    <w:p w14:paraId="06BE8514">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color w:val="auto"/>
          <w:sz w:val="22"/>
          <w:szCs w:val="22"/>
          <w:highlight w:val="none"/>
        </w:rPr>
      </w:pPr>
      <w:r>
        <w:rPr>
          <w:rFonts w:hint="eastAsia"/>
          <w:color w:val="auto"/>
          <w:sz w:val="22"/>
          <w:szCs w:val="22"/>
          <w:highlight w:val="none"/>
        </w:rPr>
        <w:t>“征集人名称”详见征集文件第一部分。</w:t>
      </w:r>
    </w:p>
    <w:p w14:paraId="5BCBE0BC">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rFonts w:hint="eastAsia"/>
          <w:color w:val="auto"/>
          <w:sz w:val="22"/>
          <w:szCs w:val="22"/>
          <w:highlight w:val="none"/>
        </w:rPr>
      </w:pPr>
      <w:r>
        <w:rPr>
          <w:rFonts w:hint="eastAsia"/>
          <w:color w:val="auto"/>
          <w:sz w:val="22"/>
          <w:szCs w:val="22"/>
          <w:highlight w:val="none"/>
        </w:rPr>
        <w:t>“采购人名称”详见征集文件第一部分。</w:t>
      </w:r>
    </w:p>
    <w:p w14:paraId="67D292CF">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10" w:hanging="510"/>
        <w:textAlignment w:val="baseline"/>
        <w:rPr>
          <w:rFonts w:hint="eastAsia"/>
          <w:color w:val="auto"/>
          <w:sz w:val="22"/>
          <w:szCs w:val="22"/>
          <w:highlight w:val="none"/>
        </w:rPr>
      </w:pPr>
      <w:r>
        <w:rPr>
          <w:rFonts w:hint="eastAsia"/>
          <w:color w:val="auto"/>
          <w:sz w:val="22"/>
          <w:szCs w:val="22"/>
          <w:highlight w:val="none"/>
        </w:rPr>
        <w:t>“潜在响应人”指符合《中华人民共和国政府采购法》及相关法律法规和本征集文件的各项规定，</w:t>
      </w:r>
      <w:r>
        <w:rPr>
          <w:rFonts w:hint="eastAsia"/>
          <w:color w:val="auto"/>
          <w:sz w:val="22"/>
          <w:szCs w:val="22"/>
          <w:highlight w:val="none"/>
          <w:lang w:val="en-US" w:eastAsia="zh-CN"/>
        </w:rPr>
        <w:t>参加本项目资格预审并公告合格，</w:t>
      </w:r>
      <w:r>
        <w:rPr>
          <w:rFonts w:hint="eastAsia"/>
          <w:color w:val="auto"/>
          <w:sz w:val="22"/>
          <w:szCs w:val="22"/>
          <w:highlight w:val="none"/>
        </w:rPr>
        <w:t>且按照本项目征集公告及征集文件规定的方式获取征集文件的供应商。</w:t>
      </w:r>
    </w:p>
    <w:p w14:paraId="4B6B779F">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67" w:hanging="567"/>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“响应人”指符合《中华人民共和国政府采购法》及相关法律法规和本征集文件的各项规定，参加本项目资格预审并公告合格，按照本项目征集公告及征集文件规定的方式获取征集文件并参加响应的供应商。</w:t>
      </w:r>
    </w:p>
    <w:p w14:paraId="317577AE">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征集文件中所述的公告发布的指定媒体指中国政府采购网（http://www.ccgp.gov.cn）及北京市政府采购网（</w:t>
      </w:r>
      <w:r>
        <w:rPr>
          <w:rFonts w:hint="eastAsia"/>
          <w:color w:val="auto"/>
          <w:sz w:val="22"/>
          <w:szCs w:val="22"/>
          <w:highlight w:val="none"/>
          <w:lang w:val="en-US" w:eastAsia="zh-CN"/>
        </w:rPr>
        <w:fldChar w:fldCharType="begin"/>
      </w:r>
      <w:r>
        <w:rPr>
          <w:rFonts w:hint="eastAsia"/>
          <w:color w:val="auto"/>
          <w:sz w:val="22"/>
          <w:szCs w:val="22"/>
          <w:highlight w:val="none"/>
          <w:lang w:val="en-US" w:eastAsia="zh-CN"/>
        </w:rPr>
        <w:instrText xml:space="preserve"> HYPERLINK "http://www.ccgp-beijing.gov.cn" </w:instrText>
      </w:r>
      <w:r>
        <w:rPr>
          <w:rFonts w:hint="eastAsia"/>
          <w:color w:val="auto"/>
          <w:sz w:val="22"/>
          <w:szCs w:val="22"/>
          <w:highlight w:val="none"/>
          <w:lang w:val="en-US" w:eastAsia="zh-CN"/>
        </w:rPr>
        <w:fldChar w:fldCharType="separate"/>
      </w:r>
      <w:r>
        <w:rPr>
          <w:rFonts w:hint="eastAsia"/>
          <w:color w:val="auto"/>
          <w:sz w:val="22"/>
          <w:szCs w:val="22"/>
          <w:highlight w:val="none"/>
          <w:lang w:val="en-US" w:eastAsia="zh-CN"/>
        </w:rPr>
        <w:t>http://www.ccgp-beijing.gov.cn</w:t>
      </w:r>
      <w:r>
        <w:rPr>
          <w:rFonts w:hint="eastAsia"/>
          <w:color w:val="auto"/>
          <w:sz w:val="22"/>
          <w:szCs w:val="22"/>
          <w:highlight w:val="none"/>
          <w:lang w:val="en-US" w:eastAsia="zh-CN"/>
        </w:rPr>
        <w:fldChar w:fldCharType="end"/>
      </w:r>
      <w:r>
        <w:rPr>
          <w:rFonts w:hint="eastAsia"/>
          <w:color w:val="auto"/>
          <w:sz w:val="22"/>
          <w:szCs w:val="22"/>
          <w:highlight w:val="none"/>
          <w:lang w:val="en-US" w:eastAsia="zh-CN"/>
        </w:rPr>
        <w:t>）。</w:t>
      </w:r>
    </w:p>
    <w:p w14:paraId="551DB7E9">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本项目需要落实的政府采购政策详见征集文件对应条款。</w:t>
      </w:r>
    </w:p>
    <w:p w14:paraId="76015950">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本项目电子响应各项要求、流程及注意事项已在本征集文件及北京市政府采购电子交易平台相关操作指南中进行说明，如响应人未按要求操作导致的响应无效，责任由响应人承担。</w:t>
      </w:r>
    </w:p>
    <w:p w14:paraId="1DAB4BC9">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rFonts w:hint="eastAsia"/>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评审时，征集人和评审委员会保留审核响应人相关电子响应文件原件的权利。</w:t>
      </w:r>
    </w:p>
    <w:p w14:paraId="1D0EA8A6">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rFonts w:hint="eastAsia"/>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征集人对本征集文件的各项条款具有解释权。</w:t>
      </w:r>
    </w:p>
    <w:p w14:paraId="540AE7C0">
      <w:pPr>
        <w:pStyle w:val="47"/>
        <w:numPr>
          <w:ilvl w:val="0"/>
          <w:numId w:val="14"/>
        </w:numPr>
        <w:spacing w:line="400" w:lineRule="exact"/>
        <w:rPr>
          <w:color w:val="auto"/>
          <w:sz w:val="22"/>
          <w:szCs w:val="22"/>
          <w:highlight w:val="none"/>
        </w:rPr>
      </w:pPr>
      <w:r>
        <w:rPr>
          <w:rFonts w:hint="eastAsia"/>
          <w:color w:val="auto"/>
          <w:sz w:val="22"/>
          <w:szCs w:val="22"/>
          <w:highlight w:val="none"/>
        </w:rPr>
        <w:t>合格响应人的条件</w:t>
      </w:r>
    </w:p>
    <w:p w14:paraId="71855C97">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在中华人民共和国境内注册，具有本项目生产、制造、供应、服务或实施能力，符合、承认并承诺履行本征集文件各项规定的供应商，包括法人、其他组织或者自然人。</w:t>
      </w:r>
    </w:p>
    <w:p w14:paraId="2F4F43B4">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响应人应遵守中华人民共和国有关的国家法律、法规和条例。</w:t>
      </w:r>
    </w:p>
    <w:p w14:paraId="511E4E63">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响应人应具备《中华人民共和国政府采购法》及相关政府采购法律法规和本征集文件中规定的参加政府采购活动的供应商应当具备的条件：</w:t>
      </w:r>
    </w:p>
    <w:p w14:paraId="0509423F">
      <w:pPr>
        <w:numPr>
          <w:ilvl w:val="0"/>
          <w:numId w:val="15"/>
        </w:numPr>
        <w:spacing w:line="400" w:lineRule="exact"/>
        <w:ind w:left="850" w:hanging="567"/>
        <w:rPr>
          <w:rFonts w:ascii="宋体" w:cs="微软雅黑"/>
          <w:color w:val="auto"/>
          <w:sz w:val="22"/>
          <w:highlight w:val="none"/>
        </w:rPr>
      </w:pPr>
      <w:r>
        <w:rPr>
          <w:rFonts w:hint="eastAsia" w:ascii="宋体" w:hAnsi="宋体" w:cs="微软雅黑"/>
          <w:color w:val="auto"/>
          <w:sz w:val="22"/>
          <w:highlight w:val="none"/>
        </w:rPr>
        <w:t>具有独立承担民事责任的能力；</w:t>
      </w:r>
    </w:p>
    <w:p w14:paraId="6C3827BE">
      <w:pPr>
        <w:numPr>
          <w:ilvl w:val="0"/>
          <w:numId w:val="15"/>
        </w:numPr>
        <w:spacing w:line="400" w:lineRule="exact"/>
        <w:ind w:left="850" w:hanging="567"/>
        <w:rPr>
          <w:rFonts w:ascii="宋体" w:cs="微软雅黑"/>
          <w:color w:val="auto"/>
          <w:sz w:val="22"/>
          <w:highlight w:val="none"/>
        </w:rPr>
      </w:pPr>
      <w:r>
        <w:rPr>
          <w:rFonts w:hint="eastAsia" w:ascii="宋体" w:hAnsi="宋体" w:cs="微软雅黑"/>
          <w:color w:val="auto"/>
          <w:sz w:val="22"/>
          <w:highlight w:val="none"/>
        </w:rPr>
        <w:t>具有良好的商业信誉和健全的财务会计制度；</w:t>
      </w:r>
    </w:p>
    <w:p w14:paraId="67713D2A">
      <w:pPr>
        <w:numPr>
          <w:ilvl w:val="0"/>
          <w:numId w:val="15"/>
        </w:numPr>
        <w:spacing w:line="400" w:lineRule="exact"/>
        <w:ind w:left="850" w:hanging="567"/>
        <w:rPr>
          <w:rFonts w:ascii="宋体" w:cs="微软雅黑"/>
          <w:color w:val="auto"/>
          <w:sz w:val="22"/>
          <w:highlight w:val="none"/>
        </w:rPr>
      </w:pPr>
      <w:r>
        <w:rPr>
          <w:rFonts w:hint="eastAsia" w:ascii="宋体" w:hAnsi="宋体" w:cs="微软雅黑"/>
          <w:color w:val="auto"/>
          <w:sz w:val="22"/>
          <w:highlight w:val="none"/>
        </w:rPr>
        <w:t>具有履行合同所必需的设备和专业技术能力；</w:t>
      </w:r>
    </w:p>
    <w:p w14:paraId="19719D66">
      <w:pPr>
        <w:numPr>
          <w:ilvl w:val="0"/>
          <w:numId w:val="15"/>
        </w:numPr>
        <w:spacing w:line="400" w:lineRule="exact"/>
        <w:ind w:left="850" w:hanging="567"/>
        <w:rPr>
          <w:rFonts w:ascii="宋体" w:cs="微软雅黑"/>
          <w:color w:val="auto"/>
          <w:sz w:val="22"/>
          <w:highlight w:val="none"/>
        </w:rPr>
      </w:pPr>
      <w:r>
        <w:rPr>
          <w:rFonts w:hint="eastAsia" w:ascii="宋体" w:hAnsi="宋体" w:cs="微软雅黑"/>
          <w:color w:val="auto"/>
          <w:sz w:val="22"/>
          <w:highlight w:val="none"/>
        </w:rPr>
        <w:t>具有依法缴纳税收和社会保障资金的良好记录；</w:t>
      </w:r>
    </w:p>
    <w:p w14:paraId="4EB6BD98">
      <w:pPr>
        <w:numPr>
          <w:ilvl w:val="0"/>
          <w:numId w:val="15"/>
        </w:numPr>
        <w:spacing w:line="400" w:lineRule="exact"/>
        <w:ind w:left="850" w:hanging="567"/>
        <w:rPr>
          <w:rFonts w:ascii="宋体" w:cs="微软雅黑"/>
          <w:color w:val="auto"/>
          <w:sz w:val="22"/>
          <w:highlight w:val="none"/>
        </w:rPr>
      </w:pPr>
      <w:r>
        <w:rPr>
          <w:rFonts w:hint="eastAsia" w:ascii="宋体" w:hAnsi="宋体" w:cs="微软雅黑"/>
          <w:color w:val="auto"/>
          <w:sz w:val="22"/>
          <w:highlight w:val="none"/>
        </w:rPr>
        <w:t>参加此项采购活动前三年内，在经营活动中没有重大违法记录；</w:t>
      </w:r>
    </w:p>
    <w:p w14:paraId="3BCB8EA6">
      <w:pPr>
        <w:numPr>
          <w:ilvl w:val="0"/>
          <w:numId w:val="15"/>
        </w:numPr>
        <w:spacing w:line="400" w:lineRule="exact"/>
        <w:ind w:left="850" w:hanging="567"/>
        <w:rPr>
          <w:rFonts w:ascii="宋体" w:cs="微软雅黑"/>
          <w:color w:val="auto"/>
          <w:sz w:val="22"/>
          <w:highlight w:val="none"/>
        </w:rPr>
      </w:pPr>
      <w:r>
        <w:rPr>
          <w:rFonts w:hint="eastAsia" w:ascii="宋体" w:hAnsi="宋体" w:cs="微软雅黑"/>
          <w:color w:val="auto"/>
          <w:sz w:val="22"/>
          <w:highlight w:val="none"/>
        </w:rPr>
        <w:t>法律、行政法规规定的其他条件；</w:t>
      </w:r>
    </w:p>
    <w:p w14:paraId="77A909D0">
      <w:pPr>
        <w:numPr>
          <w:ilvl w:val="0"/>
          <w:numId w:val="15"/>
        </w:numPr>
        <w:spacing w:line="400" w:lineRule="exact"/>
        <w:ind w:left="850" w:hanging="567"/>
        <w:rPr>
          <w:rFonts w:ascii="宋体" w:cs="微软雅黑"/>
          <w:color w:val="auto"/>
          <w:sz w:val="22"/>
          <w:highlight w:val="none"/>
        </w:rPr>
      </w:pPr>
      <w:r>
        <w:rPr>
          <w:rFonts w:hint="eastAsia" w:ascii="宋体" w:hAnsi="宋体" w:cs="微软雅黑"/>
          <w:color w:val="auto"/>
          <w:sz w:val="22"/>
          <w:highlight w:val="none"/>
        </w:rPr>
        <w:t>具有响应人须知前附表第二条规定的其他相关资格条件。</w:t>
      </w:r>
    </w:p>
    <w:p w14:paraId="26CC3937">
      <w:pPr>
        <w:keepNext w:val="0"/>
        <w:keepLines w:val="0"/>
        <w:pageBreakBefore w:val="0"/>
        <w:widowControl w:val="0"/>
        <w:numPr>
          <w:ilvl w:val="1"/>
          <w:numId w:val="14"/>
        </w:numPr>
        <w:kinsoku/>
        <w:wordWrap w:val="0"/>
        <w:overflowPunct/>
        <w:topLinePunct w:val="0"/>
        <w:autoSpaceDE/>
        <w:autoSpaceDN/>
        <w:bidi w:val="0"/>
        <w:adjustRightInd w:val="0"/>
        <w:snapToGrid/>
        <w:spacing w:line="400" w:lineRule="exact"/>
        <w:ind w:left="454" w:hanging="454"/>
        <w:textAlignment w:val="baseline"/>
        <w:rPr>
          <w:rFonts w:ascii="宋体" w:hAnsi="宋体" w:cs="微软雅黑"/>
          <w:b w:val="0"/>
          <w:bCs w:val="0"/>
          <w:strike/>
          <w:color w:val="auto"/>
          <w:sz w:val="22"/>
          <w:highlight w:val="none"/>
        </w:rPr>
      </w:pPr>
      <w:r>
        <w:rPr>
          <w:rFonts w:hint="eastAsia" w:ascii="宋体" w:hAnsi="宋体" w:cs="微软雅黑"/>
          <w:color w:val="auto"/>
          <w:sz w:val="22"/>
          <w:highlight w:val="none"/>
          <w:lang w:val="en-US" w:eastAsia="zh-CN"/>
        </w:rPr>
        <w:t xml:space="preserve"> </w:t>
      </w:r>
      <w:r>
        <w:rPr>
          <w:rFonts w:hint="eastAsia" w:ascii="宋体" w:hAnsi="宋体" w:cs="微软雅黑"/>
          <w:b/>
          <w:bCs/>
          <w:color w:val="FF0000"/>
          <w:sz w:val="22"/>
          <w:highlight w:val="none"/>
          <w:lang w:val="en-US" w:eastAsia="zh-CN"/>
        </w:rPr>
        <w:t>响应人须参加北京市市级行政事业单位物业管理服务框架协议采购项目资格预审并公告合格（合格供应商名单详见本项目资格预审审核结果公告），否则不具备响应资格。</w:t>
      </w:r>
    </w:p>
    <w:p w14:paraId="107C6986">
      <w:pPr>
        <w:keepNext w:val="0"/>
        <w:keepLines w:val="0"/>
        <w:pageBreakBefore w:val="0"/>
        <w:widowControl w:val="0"/>
        <w:numPr>
          <w:ilvl w:val="1"/>
          <w:numId w:val="14"/>
        </w:numPr>
        <w:kinsoku/>
        <w:wordWrap w:val="0"/>
        <w:overflowPunct/>
        <w:topLinePunct w:val="0"/>
        <w:autoSpaceDE/>
        <w:autoSpaceDN/>
        <w:bidi w:val="0"/>
        <w:adjustRightInd w:val="0"/>
        <w:snapToGrid/>
        <w:spacing w:line="400" w:lineRule="exact"/>
        <w:ind w:left="454" w:hanging="454"/>
        <w:textAlignment w:val="baseline"/>
        <w:rPr>
          <w:rFonts w:ascii="宋体" w:hAnsi="宋体" w:cs="微软雅黑"/>
          <w:b w:val="0"/>
          <w:bCs w:val="0"/>
          <w:strike/>
          <w:color w:val="auto"/>
          <w:sz w:val="22"/>
          <w:highlight w:val="none"/>
        </w:rPr>
      </w:pPr>
      <w:r>
        <w:rPr>
          <w:rFonts w:hint="eastAsia" w:ascii="宋体" w:hAnsi="宋体" w:cs="微软雅黑"/>
          <w:b w:val="0"/>
          <w:bCs w:val="0"/>
          <w:color w:val="auto"/>
          <w:sz w:val="22"/>
          <w:highlight w:val="none"/>
          <w:lang w:val="en-US" w:eastAsia="zh-CN"/>
        </w:rPr>
        <w:t xml:space="preserve"> </w:t>
      </w:r>
      <w:r>
        <w:rPr>
          <w:rFonts w:hint="eastAsia" w:ascii="宋体" w:hAnsi="宋体" w:cs="微软雅黑"/>
          <w:b w:val="0"/>
          <w:bCs w:val="0"/>
          <w:color w:val="auto"/>
          <w:sz w:val="22"/>
          <w:highlight w:val="none"/>
        </w:rPr>
        <w:t>自征集公告发布之日起，响应人在规定的下载时间内持自身CA数字认证证书或电子营业执照登录北京市政府采购电子交易平台（http://zbcg-bjzc.zhongcy.com/bjczj-portal-site/index.html#/home）免费获取本项目电子版征集文件，否则响应无效。</w:t>
      </w:r>
      <w:r>
        <w:rPr>
          <w:rFonts w:hint="eastAsia" w:ascii="宋体" w:hAnsi="宋体" w:cs="微软雅黑"/>
          <w:b w:val="0"/>
          <w:bCs w:val="0"/>
          <w:color w:val="auto"/>
          <w:sz w:val="22"/>
          <w:highlight w:val="none"/>
          <w:u w:val="single"/>
        </w:rPr>
        <w:t>（提示：请响应人务必注意，根据本项目电子交易平台功能设置，响应人应下载征集文件，否则影响征集响应。）</w:t>
      </w:r>
    </w:p>
    <w:p w14:paraId="34F221A8">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单位负责人为同一人或者存在直接控股、管理关系的不同供应商，不得同时参加本项目征集。</w:t>
      </w:r>
    </w:p>
    <w:p w14:paraId="6CA3ECB7">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为本项目提供整体设计、规范编制或者项目管理、监理、检测等服务的供应商，不得参加本项目征集。</w:t>
      </w:r>
    </w:p>
    <w:p w14:paraId="671DF6C4">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4"/>
          <w:szCs w:val="24"/>
          <w:highlight w:val="none"/>
          <w:lang w:val="en-US" w:eastAsia="zh-CN"/>
        </w:rPr>
      </w:pPr>
      <w:r>
        <w:rPr>
          <w:rFonts w:hint="eastAsia"/>
          <w:color w:val="auto"/>
          <w:sz w:val="24"/>
          <w:szCs w:val="24"/>
          <w:highlight w:val="none"/>
          <w:lang w:val="en-US" w:eastAsia="zh-CN"/>
        </w:rPr>
        <w:t xml:space="preserve"> </w:t>
      </w:r>
      <w:r>
        <w:rPr>
          <w:rFonts w:hint="eastAsia"/>
          <w:color w:val="auto"/>
          <w:sz w:val="22"/>
          <w:szCs w:val="22"/>
          <w:highlight w:val="none"/>
          <w:lang w:val="en-US" w:eastAsia="zh-CN"/>
        </w:rPr>
        <w:t>通过资格预审方式确定合格响应人的项目，资格预审合格的响应人在评审阶段资格发生变化的，应当以书面形式通知征集人。</w:t>
      </w:r>
    </w:p>
    <w:p w14:paraId="232E6A25">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响应人不得被列入相关部门规定的失信被执行人、重大税收违法失信主体、政府采购严重违法失信行为记录名单。</w:t>
      </w:r>
    </w:p>
    <w:p w14:paraId="7C4DD4CA">
      <w:pPr>
        <w:pStyle w:val="47"/>
        <w:numPr>
          <w:ilvl w:val="0"/>
          <w:numId w:val="14"/>
        </w:numPr>
        <w:spacing w:line="400" w:lineRule="exact"/>
        <w:rPr>
          <w:color w:val="auto"/>
          <w:sz w:val="22"/>
          <w:szCs w:val="22"/>
          <w:highlight w:val="none"/>
        </w:rPr>
      </w:pPr>
      <w:r>
        <w:rPr>
          <w:rFonts w:hint="eastAsia"/>
          <w:color w:val="auto"/>
          <w:sz w:val="22"/>
          <w:szCs w:val="22"/>
          <w:highlight w:val="none"/>
        </w:rPr>
        <w:t>征集费用</w:t>
      </w:r>
    </w:p>
    <w:p w14:paraId="5B3A800C">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响应人应承担所有与准备和参加征集有关的费用，征集人在任何情况下均无义务和责任承担相关费用。</w:t>
      </w:r>
    </w:p>
    <w:p w14:paraId="77354DF6">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本项目征集文件免费下载，且不收取任何服务费。</w:t>
      </w:r>
    </w:p>
    <w:p w14:paraId="4F9BF49B">
      <w:pPr>
        <w:pStyle w:val="47"/>
        <w:numPr>
          <w:ilvl w:val="0"/>
          <w:numId w:val="14"/>
        </w:numPr>
        <w:spacing w:line="400" w:lineRule="exact"/>
        <w:rPr>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政府采购政策（包括但不限于下列具体政策要求）</w:t>
      </w:r>
    </w:p>
    <w:p w14:paraId="5D8A5657">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采购本国货物、工程和服务</w:t>
      </w:r>
    </w:p>
    <w:p w14:paraId="19CCCBA7">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24" w:hanging="624"/>
        <w:textAlignment w:val="baseline"/>
        <w:rPr>
          <w:rFonts w:hint="eastAsia" w:cs="微软雅黑"/>
          <w:color w:val="auto"/>
          <w:sz w:val="22"/>
          <w:szCs w:val="22"/>
          <w:highlight w:val="none"/>
          <w:lang w:val="en-US" w:eastAsia="zh-CN"/>
        </w:rPr>
      </w:pPr>
      <w:r>
        <w:rPr>
          <w:rFonts w:hint="eastAsia" w:cs="微软雅黑"/>
          <w:color w:val="auto"/>
          <w:sz w:val="22"/>
          <w:szCs w:val="22"/>
          <w:highlight w:val="none"/>
          <w:lang w:val="en-US" w:eastAsia="zh-CN"/>
        </w:rPr>
        <w:t>政府采购应当采购本国货物、工程和服务。但有《中华人民共和国政府采购法》第十条规定情形的除外。</w:t>
      </w:r>
    </w:p>
    <w:p w14:paraId="14BE9B8C">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24" w:hanging="624"/>
        <w:textAlignment w:val="baseline"/>
        <w:rPr>
          <w:rFonts w:hint="eastAsia" w:cs="微软雅黑"/>
          <w:color w:val="auto"/>
          <w:sz w:val="22"/>
          <w:szCs w:val="22"/>
          <w:highlight w:val="none"/>
          <w:lang w:val="en-US" w:eastAsia="zh-CN"/>
        </w:rPr>
      </w:pPr>
      <w:r>
        <w:rPr>
          <w:rFonts w:hint="eastAsia" w:cs="微软雅黑"/>
          <w:color w:val="auto"/>
          <w:sz w:val="22"/>
          <w:szCs w:val="22"/>
          <w:highlight w:val="none"/>
          <w:lang w:val="en-US" w:eastAsia="zh-CN"/>
        </w:rPr>
        <w:t>本项目如接受非本国货物、工程、服务参与响应，则具体要求见“第四部分 采购需求”。</w:t>
      </w:r>
    </w:p>
    <w:p w14:paraId="500F0A9E">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24" w:hanging="624"/>
        <w:textAlignment w:val="baseline"/>
        <w:rPr>
          <w:rFonts w:hint="eastAsia" w:cs="微软雅黑"/>
          <w:color w:val="auto"/>
          <w:sz w:val="22"/>
          <w:szCs w:val="22"/>
          <w:highlight w:val="none"/>
          <w:lang w:val="en-US" w:eastAsia="zh-CN"/>
        </w:rPr>
      </w:pPr>
      <w:r>
        <w:rPr>
          <w:rFonts w:hint="eastAsia" w:cs="微软雅黑"/>
          <w:color w:val="auto"/>
          <w:sz w:val="22"/>
          <w:szCs w:val="22"/>
          <w:highlight w:val="none"/>
          <w:lang w:val="en-US" w:eastAsia="zh-CN"/>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1C117CC">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中小企业、监狱企业及残疾人福利性单位</w:t>
      </w:r>
    </w:p>
    <w:p w14:paraId="0EEBC029">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cs="微软雅黑"/>
          <w:color w:val="auto"/>
          <w:sz w:val="22"/>
          <w:szCs w:val="22"/>
          <w:highlight w:val="none"/>
        </w:rPr>
      </w:pPr>
      <w:r>
        <w:rPr>
          <w:rFonts w:hint="eastAsia" w:cs="微软雅黑"/>
          <w:color w:val="auto"/>
          <w:sz w:val="22"/>
          <w:szCs w:val="22"/>
          <w:highlight w:val="none"/>
        </w:rPr>
        <w:t>中小企业定义：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r>
        <w:rPr>
          <w:rFonts w:hint="eastAsia" w:cs="微软雅黑"/>
          <w:color w:val="auto"/>
          <w:sz w:val="22"/>
          <w:szCs w:val="22"/>
          <w:highlight w:val="none"/>
          <w:lang w:eastAsia="zh-CN"/>
        </w:rPr>
        <w:t>、</w:t>
      </w:r>
      <w:r>
        <w:rPr>
          <w:rFonts w:hint="eastAsia" w:cs="微软雅黑"/>
          <w:color w:val="auto"/>
          <w:sz w:val="22"/>
          <w:szCs w:val="22"/>
          <w:highlight w:val="none"/>
        </w:rPr>
        <w:t>《金融业企业划型标准规定》（</w:t>
      </w:r>
      <w:r>
        <w:rPr>
          <w:rFonts w:hint="eastAsia" w:cs="微软雅黑"/>
          <w:color w:val="auto"/>
          <w:sz w:val="22"/>
          <w:szCs w:val="22"/>
          <w:highlight w:val="none"/>
          <w:lang w:eastAsia="zh-CN"/>
        </w:rPr>
        <w:t>银发</w:t>
      </w:r>
      <w:r>
        <w:rPr>
          <w:rFonts w:hint="eastAsia" w:cs="微软雅黑"/>
          <w:color w:val="auto"/>
          <w:sz w:val="22"/>
          <w:szCs w:val="22"/>
          <w:highlight w:val="none"/>
        </w:rPr>
        <w:t>〔2015〕309号）等国务院批准的中小企业划分标准执行。</w:t>
      </w:r>
    </w:p>
    <w:p w14:paraId="452D539C">
      <w:pPr>
        <w:pStyle w:val="47"/>
        <w:keepNext w:val="0"/>
        <w:keepLines w:val="0"/>
        <w:pageBreakBefore w:val="0"/>
        <w:widowControl w:val="0"/>
        <w:numPr>
          <w:ilvl w:val="3"/>
          <w:numId w:val="14"/>
        </w:numPr>
        <w:kinsoku/>
        <w:wordWrap/>
        <w:overflowPunct/>
        <w:topLinePunct w:val="0"/>
        <w:autoSpaceDE/>
        <w:autoSpaceDN/>
        <w:bidi w:val="0"/>
        <w:adjustRightInd w:val="0"/>
        <w:snapToGrid w:val="0"/>
        <w:spacing w:line="400" w:lineRule="exact"/>
        <w:ind w:left="850" w:hanging="850"/>
        <w:textAlignment w:val="baseline"/>
        <w:rPr>
          <w:rFonts w:cs="微软雅黑"/>
          <w:color w:val="auto"/>
          <w:sz w:val="22"/>
          <w:szCs w:val="22"/>
          <w:highlight w:val="none"/>
        </w:rPr>
      </w:pPr>
      <w:r>
        <w:rPr>
          <w:rFonts w:hint="eastAsia" w:cs="微软雅黑"/>
          <w:color w:val="auto"/>
          <w:sz w:val="22"/>
          <w:szCs w:val="22"/>
          <w:highlight w:val="none"/>
        </w:rPr>
        <w:t>供应商提供的货物、工程或者服务符合下列情形的，享受中小企业扶持政策：</w:t>
      </w:r>
    </w:p>
    <w:p w14:paraId="327A70F5">
      <w:pPr>
        <w:pStyle w:val="47"/>
        <w:keepNext w:val="0"/>
        <w:keepLines w:val="0"/>
        <w:pageBreakBefore w:val="0"/>
        <w:widowControl w:val="0"/>
        <w:numPr>
          <w:ilvl w:val="0"/>
          <w:numId w:val="16"/>
        </w:numPr>
        <w:kinsoku/>
        <w:wordWrap/>
        <w:overflowPunct/>
        <w:topLinePunct w:val="0"/>
        <w:autoSpaceDE/>
        <w:autoSpaceDN/>
        <w:bidi w:val="0"/>
        <w:adjustRightInd w:val="0"/>
        <w:snapToGrid w:val="0"/>
        <w:spacing w:line="400" w:lineRule="exact"/>
        <w:ind w:left="1340" w:leftChars="329" w:hanging="550" w:hangingChars="250"/>
        <w:textAlignment w:val="baseline"/>
        <w:rPr>
          <w:rFonts w:cs="微软雅黑"/>
          <w:color w:val="auto"/>
          <w:sz w:val="22"/>
          <w:szCs w:val="22"/>
          <w:highlight w:val="none"/>
        </w:rPr>
      </w:pPr>
      <w:r>
        <w:rPr>
          <w:rFonts w:hint="eastAsia" w:cs="微软雅黑"/>
          <w:color w:val="auto"/>
          <w:sz w:val="22"/>
          <w:szCs w:val="22"/>
          <w:highlight w:val="none"/>
        </w:rPr>
        <w:t>在货物采购项目中，货物由中小企业制造，即货物由中小企业生产且使用该中小企业商号或者注册商标；</w:t>
      </w:r>
    </w:p>
    <w:p w14:paraId="5B33329E">
      <w:pPr>
        <w:pStyle w:val="47"/>
        <w:keepNext w:val="0"/>
        <w:keepLines w:val="0"/>
        <w:pageBreakBefore w:val="0"/>
        <w:widowControl w:val="0"/>
        <w:numPr>
          <w:ilvl w:val="0"/>
          <w:numId w:val="16"/>
        </w:numPr>
        <w:kinsoku/>
        <w:wordWrap/>
        <w:overflowPunct/>
        <w:topLinePunct w:val="0"/>
        <w:autoSpaceDE/>
        <w:autoSpaceDN/>
        <w:bidi w:val="0"/>
        <w:adjustRightInd w:val="0"/>
        <w:snapToGrid w:val="0"/>
        <w:spacing w:line="400" w:lineRule="exact"/>
        <w:ind w:left="1340" w:leftChars="329" w:hanging="550" w:hangingChars="250"/>
        <w:textAlignment w:val="baseline"/>
        <w:rPr>
          <w:rFonts w:hint="eastAsia" w:cs="微软雅黑"/>
          <w:color w:val="auto"/>
          <w:sz w:val="22"/>
          <w:szCs w:val="22"/>
          <w:highlight w:val="none"/>
        </w:rPr>
      </w:pPr>
      <w:r>
        <w:rPr>
          <w:rFonts w:hint="eastAsia" w:cs="微软雅黑"/>
          <w:color w:val="auto"/>
          <w:sz w:val="22"/>
          <w:szCs w:val="22"/>
          <w:highlight w:val="none"/>
        </w:rPr>
        <w:t>在工程采购项目中，工程由中小企业承建，即工程施工单位为中小企业；</w:t>
      </w:r>
    </w:p>
    <w:p w14:paraId="7F7CFB8B">
      <w:pPr>
        <w:pStyle w:val="47"/>
        <w:keepNext w:val="0"/>
        <w:keepLines w:val="0"/>
        <w:pageBreakBefore w:val="0"/>
        <w:widowControl w:val="0"/>
        <w:numPr>
          <w:ilvl w:val="0"/>
          <w:numId w:val="16"/>
        </w:numPr>
        <w:kinsoku/>
        <w:wordWrap/>
        <w:overflowPunct/>
        <w:topLinePunct w:val="0"/>
        <w:autoSpaceDE/>
        <w:autoSpaceDN/>
        <w:bidi w:val="0"/>
        <w:adjustRightInd w:val="0"/>
        <w:snapToGrid w:val="0"/>
        <w:spacing w:line="400" w:lineRule="exact"/>
        <w:ind w:left="1340" w:leftChars="329" w:hanging="550" w:hangingChars="250"/>
        <w:textAlignment w:val="baseline"/>
        <w:rPr>
          <w:rFonts w:hint="eastAsia" w:cs="微软雅黑"/>
          <w:color w:val="auto"/>
          <w:sz w:val="22"/>
          <w:szCs w:val="22"/>
          <w:highlight w:val="none"/>
        </w:rPr>
      </w:pPr>
      <w:r>
        <w:rPr>
          <w:rFonts w:hint="eastAsia" w:cs="微软雅黑"/>
          <w:color w:val="auto"/>
          <w:sz w:val="22"/>
          <w:szCs w:val="22"/>
          <w:highlight w:val="none"/>
        </w:rPr>
        <w:t>在服务采购项目中，服务由中小企业承接，即提供服务的人员为中小企业依照《中华人民共和国劳动合同法》订立劳动合同的从业人员。</w:t>
      </w:r>
    </w:p>
    <w:p w14:paraId="1873A5C5">
      <w:pPr>
        <w:pStyle w:val="47"/>
        <w:keepNext w:val="0"/>
        <w:keepLines w:val="0"/>
        <w:pageBreakBefore w:val="0"/>
        <w:widowControl w:val="0"/>
        <w:numPr>
          <w:ilvl w:val="3"/>
          <w:numId w:val="14"/>
        </w:numPr>
        <w:kinsoku/>
        <w:wordWrap/>
        <w:overflowPunct/>
        <w:topLinePunct w:val="0"/>
        <w:autoSpaceDE/>
        <w:autoSpaceDN/>
        <w:bidi w:val="0"/>
        <w:adjustRightInd w:val="0"/>
        <w:snapToGrid w:val="0"/>
        <w:spacing w:line="400" w:lineRule="exact"/>
        <w:ind w:left="879" w:hanging="879"/>
        <w:textAlignment w:val="baseline"/>
        <w:rPr>
          <w:rFonts w:hint="eastAsia" w:cs="微软雅黑"/>
          <w:color w:val="auto"/>
          <w:sz w:val="22"/>
          <w:szCs w:val="22"/>
          <w:highlight w:val="none"/>
        </w:rPr>
      </w:pPr>
      <w:r>
        <w:rPr>
          <w:rFonts w:hint="eastAsia" w:cs="微软雅黑"/>
          <w:color w:val="auto"/>
          <w:sz w:val="22"/>
          <w:szCs w:val="22"/>
          <w:highlight w:val="none"/>
        </w:rPr>
        <w:t>在货物采购项目中，供应商提供的货物既有中小企业制造货物，也有大型企业制造货物的，不享受中小企业扶持政策。</w:t>
      </w:r>
    </w:p>
    <w:p w14:paraId="1973FD43">
      <w:pPr>
        <w:pStyle w:val="47"/>
        <w:keepNext w:val="0"/>
        <w:keepLines w:val="0"/>
        <w:pageBreakBefore w:val="0"/>
        <w:widowControl w:val="0"/>
        <w:numPr>
          <w:ilvl w:val="3"/>
          <w:numId w:val="14"/>
        </w:numPr>
        <w:kinsoku/>
        <w:wordWrap/>
        <w:overflowPunct/>
        <w:topLinePunct w:val="0"/>
        <w:autoSpaceDE/>
        <w:autoSpaceDN/>
        <w:bidi w:val="0"/>
        <w:adjustRightInd w:val="0"/>
        <w:snapToGrid w:val="0"/>
        <w:spacing w:line="400" w:lineRule="exact"/>
        <w:ind w:left="879" w:hanging="879"/>
        <w:textAlignment w:val="baseline"/>
        <w:rPr>
          <w:rFonts w:hint="eastAsia" w:cs="微软雅黑"/>
          <w:color w:val="auto"/>
          <w:sz w:val="22"/>
          <w:szCs w:val="22"/>
          <w:highlight w:val="none"/>
        </w:rPr>
      </w:pPr>
      <w:r>
        <w:rPr>
          <w:rFonts w:hint="eastAsia" w:cs="微软雅黑"/>
          <w:color w:val="auto"/>
          <w:sz w:val="22"/>
          <w:szCs w:val="22"/>
          <w:highlight w:val="none"/>
        </w:rPr>
        <w:t>以联合体形式参加政府采购活动，联合体各方均为中小企业的，联合体视同中小企业。其中，联合体各方均为小微企业的，联合体视同小微企业</w:t>
      </w:r>
      <w:r>
        <w:rPr>
          <w:rFonts w:hint="eastAsia" w:cs="微软雅黑"/>
          <w:color w:val="auto"/>
          <w:sz w:val="22"/>
          <w:szCs w:val="22"/>
          <w:highlight w:val="none"/>
          <w:lang w:eastAsia="zh-CN"/>
        </w:rPr>
        <w:t>（本项目不涉及）。</w:t>
      </w:r>
    </w:p>
    <w:p w14:paraId="22F64767">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87A500D">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57579BC8">
      <w:pPr>
        <w:pStyle w:val="47"/>
        <w:keepNext w:val="0"/>
        <w:keepLines w:val="0"/>
        <w:pageBreakBefore w:val="0"/>
        <w:widowControl w:val="0"/>
        <w:numPr>
          <w:ilvl w:val="3"/>
          <w:numId w:val="14"/>
        </w:numPr>
        <w:kinsoku/>
        <w:wordWrap/>
        <w:overflowPunct/>
        <w:topLinePunct w:val="0"/>
        <w:autoSpaceDE/>
        <w:autoSpaceDN/>
        <w:bidi w:val="0"/>
        <w:adjustRightInd w:val="0"/>
        <w:snapToGrid w:val="0"/>
        <w:spacing w:line="400" w:lineRule="exact"/>
        <w:ind w:left="879" w:hanging="879"/>
        <w:textAlignment w:val="baseline"/>
        <w:rPr>
          <w:rFonts w:hint="eastAsia" w:cs="微软雅黑"/>
          <w:color w:val="auto"/>
          <w:sz w:val="22"/>
          <w:szCs w:val="22"/>
          <w:highlight w:val="none"/>
        </w:rPr>
      </w:pPr>
      <w:r>
        <w:rPr>
          <w:rFonts w:hint="eastAsia" w:cs="微软雅黑"/>
          <w:color w:val="auto"/>
          <w:sz w:val="22"/>
          <w:szCs w:val="22"/>
          <w:highlight w:val="none"/>
        </w:rPr>
        <w:t>安置的残疾人占本单位在职职工人数的比例不低于25%（含25%），并且安置的残疾人人数不少于10人（含10人）；</w:t>
      </w:r>
    </w:p>
    <w:p w14:paraId="4013002A">
      <w:pPr>
        <w:pStyle w:val="47"/>
        <w:keepNext w:val="0"/>
        <w:keepLines w:val="0"/>
        <w:pageBreakBefore w:val="0"/>
        <w:widowControl w:val="0"/>
        <w:numPr>
          <w:ilvl w:val="3"/>
          <w:numId w:val="14"/>
        </w:numPr>
        <w:kinsoku/>
        <w:wordWrap/>
        <w:overflowPunct/>
        <w:topLinePunct w:val="0"/>
        <w:autoSpaceDE/>
        <w:autoSpaceDN/>
        <w:bidi w:val="0"/>
        <w:adjustRightInd w:val="0"/>
        <w:snapToGrid w:val="0"/>
        <w:spacing w:line="400" w:lineRule="exact"/>
        <w:ind w:left="879" w:hanging="879"/>
        <w:textAlignment w:val="baseline"/>
        <w:rPr>
          <w:rFonts w:hint="eastAsia" w:cs="微软雅黑"/>
          <w:color w:val="auto"/>
          <w:sz w:val="22"/>
          <w:szCs w:val="22"/>
          <w:highlight w:val="none"/>
        </w:rPr>
      </w:pPr>
      <w:r>
        <w:rPr>
          <w:rFonts w:hint="eastAsia" w:cs="微软雅黑"/>
          <w:color w:val="auto"/>
          <w:sz w:val="22"/>
          <w:szCs w:val="22"/>
          <w:highlight w:val="none"/>
        </w:rPr>
        <w:t>依法与安置的每位残疾人签订了一年以上（含一年）的劳动合同或服务协议；</w:t>
      </w:r>
    </w:p>
    <w:p w14:paraId="1B035B52">
      <w:pPr>
        <w:pStyle w:val="47"/>
        <w:keepNext w:val="0"/>
        <w:keepLines w:val="0"/>
        <w:pageBreakBefore w:val="0"/>
        <w:widowControl w:val="0"/>
        <w:numPr>
          <w:ilvl w:val="3"/>
          <w:numId w:val="14"/>
        </w:numPr>
        <w:kinsoku/>
        <w:wordWrap/>
        <w:overflowPunct/>
        <w:topLinePunct w:val="0"/>
        <w:autoSpaceDE/>
        <w:autoSpaceDN/>
        <w:bidi w:val="0"/>
        <w:adjustRightInd w:val="0"/>
        <w:snapToGrid w:val="0"/>
        <w:spacing w:line="400" w:lineRule="exact"/>
        <w:ind w:left="879" w:hanging="879"/>
        <w:textAlignment w:val="baseline"/>
        <w:rPr>
          <w:rFonts w:hint="eastAsia" w:cs="微软雅黑"/>
          <w:color w:val="auto"/>
          <w:sz w:val="22"/>
          <w:szCs w:val="22"/>
          <w:highlight w:val="none"/>
        </w:rPr>
      </w:pPr>
      <w:r>
        <w:rPr>
          <w:rFonts w:hint="eastAsia" w:cs="微软雅黑"/>
          <w:color w:val="auto"/>
          <w:sz w:val="22"/>
          <w:szCs w:val="22"/>
          <w:highlight w:val="none"/>
        </w:rPr>
        <w:t>为安置的每位残疾人按月足额缴纳了基本养老保险、基本医疗保险、失业保险、工伤保险和生育保险等社会保险费；</w:t>
      </w:r>
    </w:p>
    <w:p w14:paraId="135BFC75">
      <w:pPr>
        <w:pStyle w:val="47"/>
        <w:keepNext w:val="0"/>
        <w:keepLines w:val="0"/>
        <w:pageBreakBefore w:val="0"/>
        <w:widowControl w:val="0"/>
        <w:numPr>
          <w:ilvl w:val="3"/>
          <w:numId w:val="14"/>
        </w:numPr>
        <w:kinsoku/>
        <w:wordWrap/>
        <w:overflowPunct/>
        <w:topLinePunct w:val="0"/>
        <w:autoSpaceDE/>
        <w:autoSpaceDN/>
        <w:bidi w:val="0"/>
        <w:adjustRightInd w:val="0"/>
        <w:snapToGrid w:val="0"/>
        <w:spacing w:line="400" w:lineRule="exact"/>
        <w:ind w:left="879" w:hanging="879"/>
        <w:textAlignment w:val="baseline"/>
        <w:rPr>
          <w:rFonts w:hint="eastAsia" w:cs="微软雅黑"/>
          <w:color w:val="auto"/>
          <w:sz w:val="22"/>
          <w:szCs w:val="22"/>
          <w:highlight w:val="none"/>
        </w:rPr>
      </w:pPr>
      <w:r>
        <w:rPr>
          <w:rFonts w:hint="eastAsia" w:cs="微软雅黑"/>
          <w:color w:val="auto"/>
          <w:sz w:val="22"/>
          <w:szCs w:val="22"/>
          <w:highlight w:val="none"/>
        </w:rPr>
        <w:t>通过银行等金融机构向安置的每位残疾人，按月支付了不低于单位所在区县适用的经省级人民政府批准的月最低工资标准的工资；</w:t>
      </w:r>
    </w:p>
    <w:p w14:paraId="40B5D6A0">
      <w:pPr>
        <w:pStyle w:val="47"/>
        <w:keepNext w:val="0"/>
        <w:keepLines w:val="0"/>
        <w:pageBreakBefore w:val="0"/>
        <w:widowControl w:val="0"/>
        <w:numPr>
          <w:ilvl w:val="3"/>
          <w:numId w:val="14"/>
        </w:numPr>
        <w:kinsoku/>
        <w:wordWrap/>
        <w:overflowPunct/>
        <w:topLinePunct w:val="0"/>
        <w:autoSpaceDE/>
        <w:autoSpaceDN/>
        <w:bidi w:val="0"/>
        <w:adjustRightInd w:val="0"/>
        <w:snapToGrid w:val="0"/>
        <w:spacing w:line="400" w:lineRule="exact"/>
        <w:ind w:left="879" w:hanging="879"/>
        <w:textAlignment w:val="baseline"/>
        <w:rPr>
          <w:rFonts w:hint="eastAsia" w:cs="微软雅黑"/>
          <w:color w:val="auto"/>
          <w:sz w:val="22"/>
          <w:szCs w:val="22"/>
          <w:highlight w:val="none"/>
        </w:rPr>
      </w:pPr>
      <w:r>
        <w:rPr>
          <w:rFonts w:hint="eastAsia" w:cs="微软雅黑"/>
          <w:color w:val="auto"/>
          <w:sz w:val="22"/>
          <w:szCs w:val="22"/>
          <w:highlight w:val="none"/>
        </w:rPr>
        <w:t>提供本单位制造的货物、承担的工程或者服务（以下简称产品），或者提供其他残疾人福利性单位制造的货物（不包括使用非残疾人福利性单位注册商标的货物）；</w:t>
      </w:r>
    </w:p>
    <w:p w14:paraId="7504169F">
      <w:pPr>
        <w:pStyle w:val="47"/>
        <w:keepNext w:val="0"/>
        <w:keepLines w:val="0"/>
        <w:pageBreakBefore w:val="0"/>
        <w:widowControl w:val="0"/>
        <w:numPr>
          <w:ilvl w:val="3"/>
          <w:numId w:val="14"/>
        </w:numPr>
        <w:kinsoku/>
        <w:wordWrap/>
        <w:overflowPunct/>
        <w:topLinePunct w:val="0"/>
        <w:autoSpaceDE/>
        <w:autoSpaceDN/>
        <w:bidi w:val="0"/>
        <w:adjustRightInd w:val="0"/>
        <w:snapToGrid w:val="0"/>
        <w:spacing w:line="400" w:lineRule="exact"/>
        <w:ind w:left="879" w:hanging="879"/>
        <w:textAlignment w:val="baseline"/>
        <w:rPr>
          <w:rFonts w:hint="eastAsia" w:cs="微软雅黑"/>
          <w:color w:val="auto"/>
          <w:sz w:val="22"/>
          <w:szCs w:val="22"/>
          <w:highlight w:val="none"/>
        </w:rPr>
      </w:pPr>
      <w:r>
        <w:rPr>
          <w:rFonts w:hint="eastAsia" w:cs="微软雅黑"/>
          <w:color w:val="auto"/>
          <w:sz w:val="22"/>
          <w:szCs w:val="22"/>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7269BB5C">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本项目是否专门面向中小企业预留采购份额见“第一部分 征集邀请”。</w:t>
      </w:r>
    </w:p>
    <w:p w14:paraId="5F3E162E">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采购标的对应的中小企业划分标准所属行业见《响应人须知</w:t>
      </w:r>
      <w:r>
        <w:rPr>
          <w:rFonts w:hint="eastAsia" w:cs="微软雅黑"/>
          <w:color w:val="auto"/>
          <w:sz w:val="22"/>
          <w:szCs w:val="22"/>
          <w:highlight w:val="none"/>
          <w:lang w:val="en-US" w:eastAsia="zh-CN"/>
        </w:rPr>
        <w:t>前附</w:t>
      </w:r>
      <w:r>
        <w:rPr>
          <w:rFonts w:hint="eastAsia" w:cs="微软雅黑"/>
          <w:color w:val="auto"/>
          <w:sz w:val="22"/>
          <w:szCs w:val="22"/>
          <w:highlight w:val="none"/>
        </w:rPr>
        <w:t>表》。</w:t>
      </w:r>
    </w:p>
    <w:p w14:paraId="626D4383">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小微企业价格评审优惠的政策调整见“第五部分 评审及入围方法”。</w:t>
      </w:r>
    </w:p>
    <w:p w14:paraId="626F5E0E">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政府采购节能产品、环境标志产品</w:t>
      </w:r>
      <w:r>
        <w:rPr>
          <w:rFonts w:hint="eastAsia"/>
          <w:color w:val="auto"/>
          <w:sz w:val="22"/>
          <w:szCs w:val="22"/>
          <w:highlight w:val="none"/>
          <w:lang w:eastAsia="zh-CN"/>
        </w:rPr>
        <w:t>（</w:t>
      </w:r>
      <w:r>
        <w:rPr>
          <w:rFonts w:hint="eastAsia"/>
          <w:color w:val="auto"/>
          <w:sz w:val="22"/>
          <w:szCs w:val="22"/>
          <w:highlight w:val="none"/>
          <w:lang w:val="en-US" w:eastAsia="zh-CN"/>
        </w:rPr>
        <w:t>本项目不涉及</w:t>
      </w:r>
      <w:r>
        <w:rPr>
          <w:rFonts w:hint="eastAsia"/>
          <w:color w:val="auto"/>
          <w:sz w:val="22"/>
          <w:szCs w:val="22"/>
          <w:highlight w:val="none"/>
          <w:lang w:eastAsia="zh-CN"/>
        </w:rPr>
        <w:t>）</w:t>
      </w:r>
    </w:p>
    <w:p w14:paraId="02D5799B">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44060E2">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53150B4E">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如本项目采购产品属于实施政府强制采购品目清单范围的节能产品，则响应人所报产品必须获得国家确定的认证机构出具的、处于有效期之内的节能产品认证证书，否则响应无效。</w:t>
      </w:r>
    </w:p>
    <w:p w14:paraId="4301B60F">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非政府强制采购的节能产品或环境标志产品，依据品目清单和认证证书实施政府优先采购。</w:t>
      </w:r>
    </w:p>
    <w:p w14:paraId="41F0738A">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正版软件</w:t>
      </w:r>
      <w:r>
        <w:rPr>
          <w:rFonts w:hint="eastAsia"/>
          <w:color w:val="auto"/>
          <w:sz w:val="22"/>
          <w:szCs w:val="22"/>
          <w:highlight w:val="none"/>
          <w:lang w:eastAsia="zh-CN"/>
        </w:rPr>
        <w:t>（</w:t>
      </w:r>
      <w:r>
        <w:rPr>
          <w:rFonts w:hint="eastAsia"/>
          <w:color w:val="auto"/>
          <w:sz w:val="22"/>
          <w:szCs w:val="22"/>
          <w:highlight w:val="none"/>
          <w:lang w:val="en-US" w:eastAsia="zh-CN"/>
        </w:rPr>
        <w:t>本项目不涉及</w:t>
      </w:r>
      <w:r>
        <w:rPr>
          <w:rFonts w:hint="eastAsia"/>
          <w:color w:val="auto"/>
          <w:sz w:val="22"/>
          <w:szCs w:val="22"/>
          <w:highlight w:val="none"/>
          <w:lang w:eastAsia="zh-CN"/>
        </w:rPr>
        <w:t>）</w:t>
      </w:r>
    </w:p>
    <w:p w14:paraId="5FA73220">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5B8519E5">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网络安全专用产品（本项目不涉及）</w:t>
      </w:r>
    </w:p>
    <w:p w14:paraId="2F2BD062">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cs="微软雅黑"/>
          <w:color w:val="auto"/>
          <w:sz w:val="22"/>
          <w:szCs w:val="22"/>
          <w:highlight w:val="none"/>
          <w:lang w:eastAsia="zh-CN"/>
        </w:rPr>
        <w:t>。</w:t>
      </w:r>
    </w:p>
    <w:p w14:paraId="6D620EBF">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推广使用低挥发性有机化合物（VOCs）</w:t>
      </w:r>
    </w:p>
    <w:p w14:paraId="3B6827E6">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属于强制性标准的，供应商应执行符合本市和国家的VOCs含量限制标准，否则响应无效；属于推荐性标准的，优先采购。</w:t>
      </w:r>
    </w:p>
    <w:p w14:paraId="543304B3">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color w:val="auto"/>
          <w:sz w:val="22"/>
          <w:szCs w:val="22"/>
          <w:highlight w:val="none"/>
        </w:rPr>
      </w:pPr>
      <w:r>
        <w:rPr>
          <w:rFonts w:hint="eastAsia"/>
          <w:color w:val="auto"/>
          <w:sz w:val="22"/>
          <w:szCs w:val="22"/>
          <w:highlight w:val="none"/>
          <w:lang w:val="en-US" w:eastAsia="zh-CN"/>
        </w:rPr>
        <w:t xml:space="preserve"> </w:t>
      </w:r>
      <w:r>
        <w:rPr>
          <w:rFonts w:hint="eastAsia"/>
          <w:color w:val="auto"/>
          <w:sz w:val="22"/>
          <w:szCs w:val="22"/>
          <w:highlight w:val="none"/>
        </w:rPr>
        <w:t>采购需求标准</w:t>
      </w:r>
    </w:p>
    <w:p w14:paraId="0183F3FC">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商品包装、快递包装政府采购需求标准(试行)：为助力打好污染防治攻坚战，推广使用绿色包装，根据《财政部关于印发&lt;商品包装政府采购需求标准（试行）&gt;、&lt;快递包装政府采购需求标准（试行）&gt;的通知》（财办库〔2020〕123号），本项目如涉及商品包装和快递包装的，则具体要求见“第四部分 采购需求”。</w:t>
      </w:r>
    </w:p>
    <w:p w14:paraId="577855B6">
      <w:pPr>
        <w:pStyle w:val="47"/>
        <w:keepNext w:val="0"/>
        <w:keepLines w:val="0"/>
        <w:pageBreakBefore w:val="0"/>
        <w:widowControl w:val="0"/>
        <w:numPr>
          <w:ilvl w:val="2"/>
          <w:numId w:val="14"/>
        </w:numPr>
        <w:kinsoku/>
        <w:wordWrap/>
        <w:overflowPunct/>
        <w:topLinePunct w:val="0"/>
        <w:autoSpaceDE/>
        <w:autoSpaceDN/>
        <w:bidi w:val="0"/>
        <w:adjustRightInd w:val="0"/>
        <w:snapToGrid w:val="0"/>
        <w:spacing w:line="400" w:lineRule="exact"/>
        <w:ind w:left="635" w:hanging="635"/>
        <w:textAlignment w:val="baseline"/>
        <w:rPr>
          <w:rFonts w:hint="eastAsia" w:cs="微软雅黑"/>
          <w:color w:val="auto"/>
          <w:sz w:val="22"/>
          <w:szCs w:val="22"/>
          <w:highlight w:val="none"/>
        </w:rPr>
      </w:pPr>
      <w:r>
        <w:rPr>
          <w:rFonts w:hint="eastAsia" w:cs="微软雅黑"/>
          <w:color w:val="auto"/>
          <w:sz w:val="22"/>
          <w:szCs w:val="22"/>
          <w:highlight w:val="none"/>
        </w:rPr>
        <w:t>其他政府采购需求标准</w:t>
      </w:r>
      <w:r>
        <w:rPr>
          <w:rFonts w:hint="eastAsia" w:cs="微软雅黑"/>
          <w:color w:val="auto"/>
          <w:sz w:val="22"/>
          <w:szCs w:val="22"/>
          <w:highlight w:val="none"/>
          <w:lang w:eastAsia="zh-CN"/>
        </w:rPr>
        <w:t>：</w:t>
      </w:r>
      <w:r>
        <w:rPr>
          <w:rFonts w:hint="eastAsia" w:cs="微软雅黑"/>
          <w:color w:val="auto"/>
          <w:sz w:val="22"/>
          <w:szCs w:val="22"/>
          <w:highlight w:val="none"/>
        </w:rPr>
        <w:t>为贯彻落实《深化政府采购制度改革方案》有关要求，推动政府采购需求标准建设，财政部门会同有关部门制定发布的其他政府采购需求标准，本项目如涉及，则具体要求见“第四部分 采购需求”。</w:t>
      </w:r>
    </w:p>
    <w:p w14:paraId="0BEBDA0B">
      <w:pPr>
        <w:pStyle w:val="3"/>
        <w:spacing w:before="0" w:after="120" w:line="400" w:lineRule="exact"/>
        <w:ind w:left="0"/>
        <w:rPr>
          <w:rFonts w:ascii="宋体" w:hAnsi="宋体" w:eastAsia="宋体" w:cs="微软雅黑"/>
          <w:bCs w:val="0"/>
          <w:color w:val="auto"/>
          <w:sz w:val="22"/>
          <w:szCs w:val="22"/>
          <w:highlight w:val="none"/>
        </w:rPr>
      </w:pPr>
      <w:r>
        <w:rPr>
          <w:rFonts w:hint="eastAsia" w:ascii="宋体" w:hAnsi="宋体" w:eastAsia="宋体" w:cs="微软雅黑"/>
          <w:bCs w:val="0"/>
          <w:color w:val="auto"/>
          <w:sz w:val="22"/>
          <w:szCs w:val="22"/>
          <w:highlight w:val="none"/>
        </w:rPr>
        <w:t>征集文件</w:t>
      </w:r>
    </w:p>
    <w:p w14:paraId="54A3FB05">
      <w:pPr>
        <w:pStyle w:val="47"/>
        <w:numPr>
          <w:ilvl w:val="0"/>
          <w:numId w:val="14"/>
        </w:numPr>
        <w:spacing w:line="400" w:lineRule="exact"/>
        <w:rPr>
          <w:color w:val="auto"/>
          <w:sz w:val="22"/>
          <w:szCs w:val="22"/>
          <w:highlight w:val="none"/>
        </w:rPr>
      </w:pPr>
      <w:r>
        <w:rPr>
          <w:rFonts w:hint="eastAsia"/>
          <w:color w:val="auto"/>
          <w:sz w:val="22"/>
          <w:szCs w:val="22"/>
          <w:highlight w:val="none"/>
        </w:rPr>
        <w:t>征集文件</w:t>
      </w:r>
    </w:p>
    <w:p w14:paraId="7A43064B">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709" w:hanging="709"/>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征集文件由下列七部分内容组成：</w:t>
      </w:r>
    </w:p>
    <w:p w14:paraId="29ADA9E1">
      <w:pPr>
        <w:spacing w:line="400" w:lineRule="exact"/>
        <w:ind w:firstLine="418" w:firstLineChars="190"/>
        <w:rPr>
          <w:rFonts w:ascii="宋体" w:cs="微软雅黑"/>
          <w:color w:val="auto"/>
          <w:sz w:val="22"/>
          <w:highlight w:val="none"/>
        </w:rPr>
      </w:pPr>
      <w:r>
        <w:rPr>
          <w:rFonts w:hint="eastAsia" w:ascii="宋体" w:hAnsi="宋体" w:cs="微软雅黑"/>
          <w:color w:val="auto"/>
          <w:sz w:val="22"/>
          <w:highlight w:val="none"/>
        </w:rPr>
        <w:t>第一部分</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征集邀请；</w:t>
      </w:r>
    </w:p>
    <w:p w14:paraId="0918AC78">
      <w:pPr>
        <w:spacing w:line="400" w:lineRule="exact"/>
        <w:ind w:firstLine="418" w:firstLineChars="190"/>
        <w:rPr>
          <w:rFonts w:ascii="宋体" w:cs="微软雅黑"/>
          <w:color w:val="auto"/>
          <w:sz w:val="22"/>
          <w:highlight w:val="none"/>
        </w:rPr>
      </w:pPr>
      <w:r>
        <w:rPr>
          <w:rFonts w:hint="eastAsia" w:ascii="宋体" w:hAnsi="宋体" w:cs="微软雅黑"/>
          <w:color w:val="auto"/>
          <w:sz w:val="22"/>
          <w:highlight w:val="none"/>
        </w:rPr>
        <w:t>第二部分</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响应人须知前附表；</w:t>
      </w:r>
    </w:p>
    <w:p w14:paraId="29866725">
      <w:pPr>
        <w:spacing w:line="400" w:lineRule="exact"/>
        <w:ind w:firstLine="418" w:firstLineChars="190"/>
        <w:rPr>
          <w:rFonts w:ascii="宋体" w:cs="微软雅黑"/>
          <w:color w:val="auto"/>
          <w:sz w:val="22"/>
          <w:highlight w:val="none"/>
        </w:rPr>
      </w:pPr>
      <w:r>
        <w:rPr>
          <w:rFonts w:hint="eastAsia" w:ascii="宋体" w:hAnsi="宋体" w:cs="微软雅黑"/>
          <w:color w:val="auto"/>
          <w:sz w:val="22"/>
          <w:highlight w:val="none"/>
        </w:rPr>
        <w:t>第三部分</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响应人须知；</w:t>
      </w:r>
    </w:p>
    <w:p w14:paraId="60C2E598">
      <w:pPr>
        <w:spacing w:line="400" w:lineRule="exact"/>
        <w:ind w:firstLine="418" w:firstLineChars="190"/>
        <w:rPr>
          <w:rFonts w:ascii="宋体" w:cs="微软雅黑"/>
          <w:color w:val="auto"/>
          <w:sz w:val="22"/>
          <w:highlight w:val="none"/>
        </w:rPr>
      </w:pPr>
      <w:r>
        <w:rPr>
          <w:rFonts w:hint="eastAsia" w:ascii="宋体" w:hAnsi="宋体" w:cs="微软雅黑"/>
          <w:color w:val="auto"/>
          <w:sz w:val="22"/>
          <w:highlight w:val="none"/>
        </w:rPr>
        <w:t>第四部分</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采购需求；</w:t>
      </w:r>
    </w:p>
    <w:p w14:paraId="25792F0A">
      <w:pPr>
        <w:spacing w:line="400" w:lineRule="exact"/>
        <w:ind w:firstLine="418" w:firstLineChars="190"/>
        <w:rPr>
          <w:rFonts w:ascii="宋体" w:cs="微软雅黑"/>
          <w:color w:val="auto"/>
          <w:sz w:val="22"/>
          <w:highlight w:val="none"/>
        </w:rPr>
      </w:pPr>
      <w:r>
        <w:rPr>
          <w:rFonts w:hint="eastAsia" w:ascii="宋体" w:hAnsi="宋体" w:cs="微软雅黑"/>
          <w:color w:val="auto"/>
          <w:sz w:val="22"/>
          <w:highlight w:val="none"/>
        </w:rPr>
        <w:t>第五部分</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评审及入围方法；</w:t>
      </w:r>
    </w:p>
    <w:p w14:paraId="72DEBF4D">
      <w:pPr>
        <w:spacing w:line="400" w:lineRule="exact"/>
        <w:ind w:firstLine="418" w:firstLineChars="190"/>
        <w:rPr>
          <w:rFonts w:ascii="宋体" w:cs="微软雅黑"/>
          <w:color w:val="auto"/>
          <w:sz w:val="22"/>
          <w:highlight w:val="none"/>
        </w:rPr>
      </w:pPr>
      <w:r>
        <w:rPr>
          <w:rFonts w:hint="eastAsia" w:ascii="宋体" w:hAnsi="宋体" w:cs="微软雅黑"/>
          <w:color w:val="auto"/>
          <w:sz w:val="22"/>
          <w:highlight w:val="none"/>
        </w:rPr>
        <w:t>第六部分</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框架协议文本和采购合同文本；</w:t>
      </w:r>
    </w:p>
    <w:p w14:paraId="3884DB68">
      <w:pPr>
        <w:spacing w:line="400" w:lineRule="exact"/>
        <w:ind w:firstLine="418" w:firstLineChars="190"/>
        <w:rPr>
          <w:rFonts w:hint="eastAsia" w:ascii="宋体" w:hAnsi="宋体" w:cs="微软雅黑"/>
          <w:color w:val="auto"/>
          <w:sz w:val="22"/>
          <w:highlight w:val="none"/>
        </w:rPr>
      </w:pPr>
      <w:r>
        <w:rPr>
          <w:rFonts w:hint="eastAsia" w:ascii="宋体" w:hAnsi="宋体" w:cs="微软雅黑"/>
          <w:color w:val="auto"/>
          <w:sz w:val="22"/>
          <w:highlight w:val="none"/>
        </w:rPr>
        <w:t>第七部分</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电子响应文件格式</w:t>
      </w:r>
      <w:r>
        <w:rPr>
          <w:rFonts w:hint="eastAsia" w:ascii="宋体" w:hAnsi="宋体" w:cs="微软雅黑"/>
          <w:color w:val="auto"/>
          <w:sz w:val="22"/>
          <w:highlight w:val="none"/>
          <w:lang w:eastAsia="zh-CN"/>
        </w:rPr>
        <w:t>；</w:t>
      </w:r>
    </w:p>
    <w:p w14:paraId="0777FDC1">
      <w:pPr>
        <w:spacing w:line="400" w:lineRule="exact"/>
        <w:ind w:firstLine="418" w:firstLineChars="190"/>
        <w:rPr>
          <w:rFonts w:hint="default" w:ascii="宋体" w:hAnsi="宋体" w:eastAsia="宋体" w:cs="微软雅黑"/>
          <w:color w:val="auto"/>
          <w:sz w:val="22"/>
          <w:highlight w:val="none"/>
          <w:lang w:val="en-US" w:eastAsia="zh-CN"/>
        </w:rPr>
      </w:pPr>
      <w:r>
        <w:rPr>
          <w:rFonts w:hint="eastAsia" w:ascii="宋体" w:hAnsi="宋体" w:cs="微软雅黑"/>
          <w:color w:val="auto"/>
          <w:sz w:val="22"/>
          <w:highlight w:val="none"/>
          <w:lang w:val="en-US" w:eastAsia="zh-CN"/>
        </w:rPr>
        <w:t>第八部分  附件。</w:t>
      </w:r>
    </w:p>
    <w:p w14:paraId="27488122">
      <w:pPr>
        <w:pStyle w:val="47"/>
        <w:numPr>
          <w:ilvl w:val="0"/>
          <w:numId w:val="14"/>
        </w:numPr>
        <w:spacing w:line="400" w:lineRule="exact"/>
        <w:rPr>
          <w:color w:val="auto"/>
          <w:sz w:val="22"/>
          <w:szCs w:val="22"/>
          <w:highlight w:val="none"/>
        </w:rPr>
      </w:pPr>
      <w:r>
        <w:rPr>
          <w:rFonts w:hint="eastAsia"/>
          <w:color w:val="auto"/>
          <w:sz w:val="22"/>
          <w:szCs w:val="22"/>
          <w:highlight w:val="none"/>
        </w:rPr>
        <w:t>电子响应文件提交前征集文件的澄清和修改</w:t>
      </w:r>
    </w:p>
    <w:p w14:paraId="37CAC137">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任何已按规定程序下载征集文件的潜在响应人，均可要求对征集文件进行澄清或修改。</w:t>
      </w:r>
    </w:p>
    <w:p w14:paraId="4C392259">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征集人可以对已发出的征集文件、征集邀请进行必要的澄清或者修改。澄清或者修改的内容为征集文件、征集邀请的组成部分。</w:t>
      </w:r>
    </w:p>
    <w:p w14:paraId="1FB55BBE">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澄清或者修改的内容可能影响响应文件编制的，应当在电子响应文件提交截止时间至少15日前，在本项目征集公告发布的指定媒体上以公告的形式通知下载征集文件的潜在响应人，不足15日的，应当顺延电子响应文件的提交截止时间。</w:t>
      </w:r>
    </w:p>
    <w:p w14:paraId="528BCBE6">
      <w:pPr>
        <w:pStyle w:val="3"/>
        <w:spacing w:before="0" w:after="120" w:line="400" w:lineRule="exact"/>
        <w:ind w:left="0"/>
        <w:rPr>
          <w:rFonts w:ascii="宋体" w:hAnsi="宋体" w:eastAsia="宋体" w:cs="微软雅黑"/>
          <w:bCs w:val="0"/>
          <w:color w:val="auto"/>
          <w:sz w:val="22"/>
          <w:szCs w:val="22"/>
          <w:highlight w:val="none"/>
        </w:rPr>
      </w:pPr>
      <w:bookmarkStart w:id="41" w:name="_Toc328815994"/>
      <w:r>
        <w:rPr>
          <w:rFonts w:hint="eastAsia" w:ascii="宋体" w:hAnsi="宋体" w:eastAsia="宋体" w:cs="微软雅黑"/>
          <w:bCs w:val="0"/>
          <w:color w:val="auto"/>
          <w:sz w:val="22"/>
          <w:szCs w:val="22"/>
          <w:highlight w:val="none"/>
        </w:rPr>
        <w:t>电子</w:t>
      </w:r>
      <w:bookmarkEnd w:id="41"/>
      <w:r>
        <w:rPr>
          <w:rFonts w:hint="eastAsia" w:ascii="宋体" w:hAnsi="宋体" w:eastAsia="宋体" w:cs="微软雅黑"/>
          <w:bCs w:val="0"/>
          <w:color w:val="auto"/>
          <w:sz w:val="22"/>
          <w:szCs w:val="22"/>
          <w:highlight w:val="none"/>
        </w:rPr>
        <w:t xml:space="preserve">响应文件   </w:t>
      </w:r>
    </w:p>
    <w:p w14:paraId="7FFE00D5">
      <w:pPr>
        <w:pStyle w:val="47"/>
        <w:numPr>
          <w:ilvl w:val="0"/>
          <w:numId w:val="14"/>
        </w:numPr>
        <w:spacing w:line="400" w:lineRule="exact"/>
        <w:rPr>
          <w:color w:val="auto"/>
          <w:sz w:val="22"/>
          <w:szCs w:val="22"/>
          <w:highlight w:val="none"/>
        </w:rPr>
      </w:pPr>
      <w:r>
        <w:rPr>
          <w:rFonts w:hint="eastAsia"/>
          <w:color w:val="auto"/>
          <w:sz w:val="22"/>
          <w:szCs w:val="22"/>
          <w:highlight w:val="none"/>
        </w:rPr>
        <w:t>响应范围、电子响应文件的语言和计量单位</w:t>
      </w:r>
    </w:p>
    <w:p w14:paraId="105B1A9D">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响应人可以对征集文件的其中一包或几包或全部包进行响应，但报价须包含一包中采购清单及采购需求中所列的全部内容，不得将一包中的内容拆开响应，否则作无效响应处理。</w:t>
      </w:r>
    </w:p>
    <w:p w14:paraId="5C1CF08E">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响应人提交的电子响应文件（包括技术文件和资料、图纸中的说明）以及响应人与征集人就有关征集的所有来往函电均应使用中文简体字。</w:t>
      </w:r>
    </w:p>
    <w:p w14:paraId="5DBF5FDB">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电子响应文件所使用的计量单位，应使用国家法定计量单位。</w:t>
      </w:r>
    </w:p>
    <w:p w14:paraId="155CF154">
      <w:pPr>
        <w:pStyle w:val="47"/>
        <w:numPr>
          <w:ilvl w:val="0"/>
          <w:numId w:val="14"/>
        </w:numPr>
        <w:spacing w:line="400" w:lineRule="exact"/>
        <w:rPr>
          <w:color w:val="auto"/>
          <w:sz w:val="22"/>
          <w:szCs w:val="22"/>
          <w:highlight w:val="none"/>
        </w:rPr>
      </w:pPr>
      <w:r>
        <w:rPr>
          <w:rFonts w:hint="eastAsia"/>
          <w:color w:val="auto"/>
          <w:sz w:val="22"/>
          <w:szCs w:val="22"/>
          <w:highlight w:val="none"/>
        </w:rPr>
        <w:t>电子响应文件的组成及相关内容要求</w:t>
      </w:r>
    </w:p>
    <w:p w14:paraId="7AECFDC8">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b w:val="0"/>
          <w:bCs w:val="0"/>
          <w:color w:val="auto"/>
          <w:sz w:val="22"/>
          <w:szCs w:val="22"/>
          <w:highlight w:val="none"/>
          <w:lang w:val="en-US" w:eastAsia="zh-CN"/>
        </w:rPr>
      </w:pPr>
      <w:r>
        <w:rPr>
          <w:rFonts w:hint="eastAsia"/>
          <w:color w:val="auto"/>
          <w:sz w:val="22"/>
          <w:szCs w:val="22"/>
          <w:highlight w:val="none"/>
          <w:lang w:val="en-US" w:eastAsia="zh-CN"/>
        </w:rPr>
        <w:t xml:space="preserve"> </w:t>
      </w:r>
      <w:r>
        <w:rPr>
          <w:rFonts w:hint="eastAsia"/>
          <w:b w:val="0"/>
          <w:bCs w:val="0"/>
          <w:color w:val="auto"/>
          <w:sz w:val="22"/>
          <w:szCs w:val="22"/>
          <w:highlight w:val="none"/>
          <w:lang w:val="en-US" w:eastAsia="zh-CN"/>
        </w:rPr>
        <w:t>响应人应详细阅读征集文件的全部内容。征集文件中所有带*条款均为实质性响应条款，电子响应文件须完全响应，未实质响应的，作无效响应处理。</w:t>
      </w:r>
    </w:p>
    <w:p w14:paraId="10076C6E">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电子响应文件由资格证明文件和技术文件组成。资格证明文件指响应人提交的证明其有资格参加征集和入围后有能力履行合同的文件。技术文件指响应人提交的能够证明响应人提供的货物及服务符合征集文件规定的文件。本次征集，响应人应按响应人须知前附表第二至三条规定提交资格证明文件、技术文件和需要响应人自行编写的其他文件（有格式要求的详见征集文件“第七部分 电子响应文件格式”）。上述的相关文件，可以是文字资料、图纸和数据。</w:t>
      </w:r>
    </w:p>
    <w:p w14:paraId="57076089">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电子响应文件按照征集文件“第二部分 响应人须知前附表”及“第七部分 电子响应文件格式”及北京市政府采购电子交易平台中规定的顺序和格式，分别制作上传提交。</w:t>
      </w:r>
    </w:p>
    <w:p w14:paraId="58346879">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对于征集文件中提及的复印件要求，照片件、扫描件、影印件、截图件等与其具有同等效力。</w:t>
      </w:r>
    </w:p>
    <w:p w14:paraId="7EA33E0F">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电子响应文件中所提供的资料均应真实有效，无效的文件视为未提供。</w:t>
      </w:r>
    </w:p>
    <w:p w14:paraId="31DEBA85">
      <w:pPr>
        <w:pStyle w:val="47"/>
        <w:numPr>
          <w:ilvl w:val="0"/>
          <w:numId w:val="14"/>
        </w:numPr>
        <w:spacing w:line="400" w:lineRule="exact"/>
        <w:rPr>
          <w:color w:val="auto"/>
          <w:sz w:val="22"/>
          <w:szCs w:val="22"/>
          <w:highlight w:val="none"/>
        </w:rPr>
      </w:pPr>
      <w:r>
        <w:rPr>
          <w:rFonts w:hint="eastAsia"/>
          <w:color w:val="auto"/>
          <w:sz w:val="22"/>
          <w:szCs w:val="22"/>
          <w:highlight w:val="none"/>
        </w:rPr>
        <w:t>报价</w:t>
      </w:r>
    </w:p>
    <w:p w14:paraId="679D0FE8">
      <w:pPr>
        <w:numPr>
          <w:ilvl w:val="0"/>
          <w:numId w:val="17"/>
        </w:numPr>
        <w:tabs>
          <w:tab w:val="clear" w:pos="1200"/>
        </w:tabs>
        <w:snapToGrid w:val="0"/>
        <w:spacing w:line="400" w:lineRule="exact"/>
        <w:ind w:left="687" w:leftChars="50" w:hanging="567"/>
        <w:rPr>
          <w:rFonts w:ascii="宋体" w:hAnsi="宋体" w:cs="微软雅黑"/>
          <w:color w:val="auto"/>
          <w:sz w:val="22"/>
          <w:highlight w:val="none"/>
        </w:rPr>
      </w:pPr>
      <w:r>
        <w:rPr>
          <w:rFonts w:hint="eastAsia" w:ascii="宋体" w:hAnsi="宋体" w:cs="微软雅黑"/>
          <w:color w:val="auto"/>
          <w:sz w:val="22"/>
          <w:highlight w:val="none"/>
        </w:rPr>
        <w:t>所有报价无特殊要求的均以人民币元为计算单位。</w:t>
      </w:r>
    </w:p>
    <w:p w14:paraId="06785090">
      <w:pPr>
        <w:numPr>
          <w:ilvl w:val="0"/>
          <w:numId w:val="17"/>
        </w:numPr>
        <w:tabs>
          <w:tab w:val="clear" w:pos="1200"/>
        </w:tabs>
        <w:snapToGrid w:val="0"/>
        <w:spacing w:line="400" w:lineRule="exact"/>
        <w:ind w:left="687" w:leftChars="50" w:hanging="567"/>
        <w:rPr>
          <w:rFonts w:ascii="宋体" w:hAnsi="宋体" w:cs="微软雅黑"/>
          <w:color w:val="auto"/>
          <w:sz w:val="22"/>
          <w:highlight w:val="none"/>
        </w:rPr>
      </w:pPr>
      <w:r>
        <w:rPr>
          <w:rFonts w:hint="eastAsia" w:ascii="宋体" w:hAnsi="宋体" w:cs="微软雅黑"/>
          <w:color w:val="auto"/>
          <w:sz w:val="22"/>
          <w:highlight w:val="none"/>
        </w:rPr>
        <w:t>响应人响应的货物和服务的技术、商务等条件不得低于采购需求。</w:t>
      </w:r>
    </w:p>
    <w:p w14:paraId="7CDB7446">
      <w:pPr>
        <w:numPr>
          <w:ilvl w:val="0"/>
          <w:numId w:val="17"/>
        </w:numPr>
        <w:tabs>
          <w:tab w:val="clear" w:pos="1200"/>
        </w:tabs>
        <w:snapToGrid w:val="0"/>
        <w:spacing w:line="400" w:lineRule="exact"/>
        <w:ind w:left="687" w:leftChars="50" w:hanging="567"/>
        <w:rPr>
          <w:rFonts w:ascii="宋体" w:hAnsi="宋体" w:cs="微软雅黑"/>
          <w:b w:val="0"/>
          <w:bCs/>
          <w:color w:val="auto"/>
          <w:sz w:val="22"/>
          <w:highlight w:val="none"/>
        </w:rPr>
      </w:pPr>
      <w:r>
        <w:rPr>
          <w:rFonts w:hint="eastAsia" w:ascii="宋体" w:hAnsi="宋体" w:cs="微软雅黑"/>
          <w:b w:val="0"/>
          <w:bCs/>
          <w:color w:val="auto"/>
          <w:sz w:val="22"/>
          <w:highlight w:val="none"/>
        </w:rPr>
        <w:t>请响应人根据采购需求在电子投标制作工具客户端填报投标一览表，</w:t>
      </w:r>
      <w:r>
        <w:rPr>
          <w:rFonts w:hint="eastAsia" w:ascii="宋体" w:hAnsi="宋体" w:cs="微软雅黑"/>
          <w:b w:val="0"/>
          <w:bCs/>
          <w:color w:val="auto"/>
          <w:sz w:val="22"/>
          <w:highlight w:val="none"/>
          <w:lang w:val="en-US" w:eastAsia="zh-CN"/>
        </w:rPr>
        <w:t>岗位报价</w:t>
      </w:r>
      <w:r>
        <w:rPr>
          <w:rFonts w:hint="eastAsia" w:ascii="宋体" w:hAnsi="宋体" w:cs="微软雅黑"/>
          <w:b w:val="0"/>
          <w:bCs/>
          <w:color w:val="auto"/>
          <w:sz w:val="22"/>
          <w:highlight w:val="none"/>
        </w:rPr>
        <w:t>不得漏报或填</w:t>
      </w:r>
      <w:r>
        <w:rPr>
          <w:rFonts w:hint="eastAsia" w:ascii="宋体" w:hAnsi="宋体" w:cs="微软雅黑"/>
          <w:b w:val="0"/>
          <w:bCs/>
          <w:color w:val="auto"/>
          <w:sz w:val="22"/>
          <w:highlight w:val="none"/>
          <w:lang w:val="en-US" w:eastAsia="zh-CN"/>
        </w:rPr>
        <w:t>零</w:t>
      </w:r>
      <w:r>
        <w:rPr>
          <w:rFonts w:hint="eastAsia" w:ascii="宋体" w:hAnsi="宋体" w:cs="微软雅黑"/>
          <w:b w:val="0"/>
          <w:bCs/>
          <w:color w:val="auto"/>
          <w:sz w:val="22"/>
          <w:highlight w:val="none"/>
        </w:rPr>
        <w:t>，</w:t>
      </w:r>
      <w:r>
        <w:rPr>
          <w:rFonts w:hint="eastAsia" w:ascii="宋体" w:hAnsi="宋体" w:cs="微软雅黑"/>
          <w:b w:val="0"/>
          <w:bCs/>
          <w:color w:val="auto"/>
          <w:sz w:val="22"/>
          <w:highlight w:val="none"/>
          <w:lang w:val="en-US" w:eastAsia="zh-CN"/>
        </w:rPr>
        <w:t>不得高于最高限制单价，</w:t>
      </w:r>
      <w:r>
        <w:rPr>
          <w:rFonts w:hint="eastAsia" w:ascii="宋体" w:hAnsi="宋体" w:cs="微软雅黑"/>
          <w:b w:val="0"/>
          <w:bCs/>
          <w:color w:val="auto"/>
          <w:sz w:val="22"/>
          <w:highlight w:val="none"/>
        </w:rPr>
        <w:t>不得低于北京市相关标准和规定</w:t>
      </w:r>
      <w:r>
        <w:rPr>
          <w:rFonts w:hint="eastAsia" w:ascii="宋体" w:hAnsi="宋体" w:cs="微软雅黑"/>
          <w:b w:val="0"/>
          <w:bCs/>
          <w:color w:val="auto"/>
          <w:sz w:val="22"/>
          <w:highlight w:val="none"/>
          <w:lang w:eastAsia="zh-CN"/>
        </w:rPr>
        <w:t>，</w:t>
      </w:r>
      <w:r>
        <w:rPr>
          <w:rFonts w:hint="eastAsia" w:ascii="宋体" w:hAnsi="宋体" w:cs="微软雅黑"/>
          <w:b w:val="0"/>
          <w:bCs/>
          <w:color w:val="auto"/>
          <w:sz w:val="22"/>
          <w:highlight w:val="none"/>
        </w:rPr>
        <w:t>否则作无效响应处理。</w:t>
      </w:r>
    </w:p>
    <w:p w14:paraId="40315644">
      <w:pPr>
        <w:numPr>
          <w:ilvl w:val="0"/>
          <w:numId w:val="17"/>
        </w:numPr>
        <w:tabs>
          <w:tab w:val="clear" w:pos="1200"/>
        </w:tabs>
        <w:snapToGrid w:val="0"/>
        <w:spacing w:line="400" w:lineRule="exact"/>
        <w:ind w:left="687" w:leftChars="50" w:hanging="567"/>
        <w:rPr>
          <w:rFonts w:ascii="宋体" w:cs="微软雅黑"/>
          <w:color w:val="auto"/>
          <w:sz w:val="22"/>
          <w:highlight w:val="none"/>
        </w:rPr>
      </w:pPr>
      <w:r>
        <w:rPr>
          <w:rFonts w:hint="eastAsia" w:ascii="宋体" w:hAnsi="宋体" w:cs="微软雅黑"/>
          <w:bCs/>
          <w:color w:val="auto"/>
          <w:sz w:val="22"/>
          <w:highlight w:val="none"/>
        </w:rPr>
        <w:t>本次征集不接受可选择或可调整的方案和报价，任何有选择的或可调整的方案和报价将被视为非实质性响应而作无效响应处理。</w:t>
      </w:r>
    </w:p>
    <w:p w14:paraId="4BF95DED">
      <w:pPr>
        <w:numPr>
          <w:ilvl w:val="0"/>
          <w:numId w:val="17"/>
        </w:numPr>
        <w:tabs>
          <w:tab w:val="clear" w:pos="1200"/>
        </w:tabs>
        <w:snapToGrid w:val="0"/>
        <w:spacing w:line="400" w:lineRule="exact"/>
        <w:ind w:left="687" w:leftChars="50" w:hanging="567"/>
        <w:rPr>
          <w:rFonts w:ascii="宋体" w:hAnsi="宋体" w:cs="微软雅黑"/>
          <w:b w:val="0"/>
          <w:bCs/>
          <w:color w:val="auto"/>
          <w:sz w:val="22"/>
          <w:highlight w:val="none"/>
        </w:rPr>
      </w:pPr>
      <w:r>
        <w:rPr>
          <w:rFonts w:hint="eastAsia" w:ascii="宋体" w:hAnsi="宋体" w:cs="微软雅黑"/>
          <w:b w:val="0"/>
          <w:bCs/>
          <w:color w:val="auto"/>
          <w:sz w:val="22"/>
          <w:highlight w:val="none"/>
        </w:rPr>
        <w:t>评审委员会认为响应人的报价明显低于其他通过符合性审查响应人的报价，有可能影响产品质量或者不能诚信履约的，应当要求其在评审现场合理的时间内提供书面说明，必要时提交相关证明材料；响应人不能证明其报价合理性的，评审委员会应当将其作为无效响应处理。</w:t>
      </w:r>
    </w:p>
    <w:p w14:paraId="7CA66A51">
      <w:pPr>
        <w:pStyle w:val="47"/>
        <w:numPr>
          <w:ilvl w:val="0"/>
          <w:numId w:val="14"/>
        </w:numPr>
        <w:spacing w:line="400" w:lineRule="exact"/>
        <w:rPr>
          <w:color w:val="auto"/>
          <w:sz w:val="22"/>
          <w:szCs w:val="22"/>
          <w:highlight w:val="none"/>
        </w:rPr>
      </w:pPr>
      <w:r>
        <w:rPr>
          <w:rFonts w:hint="eastAsia"/>
          <w:color w:val="auto"/>
          <w:sz w:val="22"/>
          <w:szCs w:val="22"/>
          <w:highlight w:val="none"/>
        </w:rPr>
        <w:t>电子响应文件的有效期</w:t>
      </w:r>
    </w:p>
    <w:p w14:paraId="53EC7729">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本项目电子响应文件的有效期详见响应人须知前附表第十二条。有效期短于该规定期限的作无效响应处理。</w:t>
      </w:r>
    </w:p>
    <w:p w14:paraId="6180F416">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征集人可根据实际情况，在电子响应文件有效期截止之前，征询响应人是否同意延长电子响应文件的有效期，响应人同意延长的须作出书面声明。在延长的有效期内，响应人将不会被要求和允许修正其响应及报价。</w:t>
      </w:r>
    </w:p>
    <w:p w14:paraId="14C03C52">
      <w:pPr>
        <w:pStyle w:val="47"/>
        <w:numPr>
          <w:ilvl w:val="0"/>
          <w:numId w:val="14"/>
        </w:numPr>
        <w:spacing w:line="400" w:lineRule="exact"/>
        <w:rPr>
          <w:color w:val="auto"/>
          <w:sz w:val="22"/>
          <w:szCs w:val="22"/>
          <w:highlight w:val="none"/>
        </w:rPr>
      </w:pPr>
      <w:r>
        <w:rPr>
          <w:rFonts w:hint="eastAsia"/>
          <w:color w:val="auto"/>
          <w:sz w:val="22"/>
          <w:szCs w:val="22"/>
          <w:highlight w:val="none"/>
        </w:rPr>
        <w:t>电子响应文件的签署及盖章规定</w:t>
      </w:r>
    </w:p>
    <w:p w14:paraId="76F2427E">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组成电子响应文件的各项文件均应遵守本条。</w:t>
      </w:r>
    </w:p>
    <w:p w14:paraId="64602CCB">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442" w:hanging="442"/>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响应人须根据征集文件要求签字或加盖响应人公章。</w:t>
      </w:r>
    </w:p>
    <w:p w14:paraId="5E0C510E">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b w:val="0"/>
          <w:bCs w:val="0"/>
          <w:color w:val="auto"/>
          <w:sz w:val="22"/>
          <w:szCs w:val="22"/>
          <w:highlight w:val="none"/>
          <w:lang w:val="en-US" w:eastAsia="zh-CN"/>
        </w:rPr>
      </w:pPr>
      <w:r>
        <w:rPr>
          <w:rFonts w:hint="eastAsia"/>
          <w:b w:val="0"/>
          <w:bCs w:val="0"/>
          <w:color w:val="auto"/>
          <w:sz w:val="22"/>
          <w:szCs w:val="22"/>
          <w:highlight w:val="none"/>
          <w:lang w:val="en-US" w:eastAsia="zh-CN"/>
        </w:rPr>
        <w:t xml:space="preserve"> 本征集文件中所要求加盖的响应人公章是指与响应人名称全称相一致的“行政公章”，不得加盖其它“合同专用章、投标专用章、财务专用章”等非行政公章；签字是指签字或名章。不符合本条规定的盖章为无效盖章。</w:t>
      </w:r>
    </w:p>
    <w:p w14:paraId="0831ECBE">
      <w:pPr>
        <w:pStyle w:val="3"/>
        <w:spacing w:before="0" w:after="120" w:line="400" w:lineRule="exact"/>
        <w:ind w:left="0"/>
        <w:rPr>
          <w:rFonts w:ascii="宋体" w:hAnsi="宋体" w:eastAsia="宋体" w:cs="微软雅黑"/>
          <w:bCs w:val="0"/>
          <w:color w:val="auto"/>
          <w:sz w:val="22"/>
          <w:szCs w:val="22"/>
          <w:highlight w:val="none"/>
        </w:rPr>
      </w:pPr>
      <w:bookmarkStart w:id="42" w:name="_Toc328815995"/>
      <w:r>
        <w:rPr>
          <w:rFonts w:hint="eastAsia" w:ascii="宋体" w:hAnsi="宋体" w:eastAsia="宋体" w:cs="微软雅黑"/>
          <w:bCs w:val="0"/>
          <w:color w:val="auto"/>
          <w:sz w:val="22"/>
          <w:szCs w:val="22"/>
          <w:highlight w:val="none"/>
        </w:rPr>
        <w:t>电子响应文件的</w:t>
      </w:r>
      <w:bookmarkEnd w:id="42"/>
      <w:r>
        <w:rPr>
          <w:rFonts w:hint="eastAsia" w:ascii="宋体" w:hAnsi="宋体" w:eastAsia="宋体" w:cs="微软雅黑"/>
          <w:bCs w:val="0"/>
          <w:color w:val="auto"/>
          <w:sz w:val="22"/>
          <w:szCs w:val="22"/>
          <w:highlight w:val="none"/>
        </w:rPr>
        <w:t>提交</w:t>
      </w:r>
    </w:p>
    <w:p w14:paraId="6C3CA19E">
      <w:pPr>
        <w:pStyle w:val="47"/>
        <w:numPr>
          <w:ilvl w:val="0"/>
          <w:numId w:val="14"/>
        </w:numPr>
        <w:spacing w:line="400" w:lineRule="exact"/>
        <w:rPr>
          <w:color w:val="auto"/>
          <w:sz w:val="22"/>
          <w:szCs w:val="22"/>
          <w:highlight w:val="none"/>
        </w:rPr>
      </w:pPr>
      <w:r>
        <w:rPr>
          <w:rFonts w:hint="eastAsia"/>
          <w:color w:val="auto"/>
          <w:sz w:val="22"/>
          <w:szCs w:val="22"/>
          <w:highlight w:val="none"/>
        </w:rPr>
        <w:t>电子响应文件的制作和上传</w:t>
      </w:r>
    </w:p>
    <w:p w14:paraId="08CCF38F">
      <w:pPr>
        <w:pStyle w:val="47"/>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330" w:firstLineChars="150"/>
        <w:textAlignment w:val="baseline"/>
        <w:rPr>
          <w:rFonts w:cs="微软雅黑"/>
          <w:color w:val="auto"/>
          <w:sz w:val="22"/>
          <w:szCs w:val="22"/>
          <w:highlight w:val="none"/>
        </w:rPr>
      </w:pPr>
      <w:r>
        <w:rPr>
          <w:rFonts w:hint="eastAsia" w:cs="微软雅黑"/>
          <w:color w:val="auto"/>
          <w:sz w:val="22"/>
          <w:szCs w:val="22"/>
          <w:highlight w:val="none"/>
        </w:rPr>
        <w:t>具体说明及要求详见征集文件“第一部分 征集邀请”。</w:t>
      </w:r>
    </w:p>
    <w:p w14:paraId="3784C196">
      <w:pPr>
        <w:pStyle w:val="47"/>
        <w:numPr>
          <w:ilvl w:val="0"/>
          <w:numId w:val="14"/>
        </w:numPr>
        <w:spacing w:line="400" w:lineRule="exact"/>
        <w:rPr>
          <w:color w:val="auto"/>
          <w:sz w:val="22"/>
          <w:szCs w:val="22"/>
          <w:highlight w:val="none"/>
        </w:rPr>
      </w:pPr>
      <w:r>
        <w:rPr>
          <w:rFonts w:hint="eastAsia"/>
          <w:color w:val="auto"/>
          <w:sz w:val="22"/>
          <w:szCs w:val="22"/>
          <w:highlight w:val="none"/>
        </w:rPr>
        <w:t>电子响应文件提交截止时间</w:t>
      </w:r>
    </w:p>
    <w:p w14:paraId="456C044B">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响应人须在征集文件规定的电子响应文件提交截止时间前在北京市政府采购电子交易平台上传电子响应文件，否则响应无效。</w:t>
      </w:r>
    </w:p>
    <w:p w14:paraId="6CA4A545">
      <w:pPr>
        <w:pStyle w:val="47"/>
        <w:numPr>
          <w:ilvl w:val="0"/>
          <w:numId w:val="14"/>
        </w:numPr>
        <w:spacing w:line="400" w:lineRule="exact"/>
        <w:rPr>
          <w:color w:val="auto"/>
          <w:sz w:val="22"/>
          <w:szCs w:val="22"/>
          <w:highlight w:val="none"/>
        </w:rPr>
      </w:pPr>
      <w:r>
        <w:rPr>
          <w:rFonts w:hint="eastAsia"/>
          <w:color w:val="auto"/>
          <w:sz w:val="22"/>
          <w:szCs w:val="22"/>
          <w:highlight w:val="none"/>
        </w:rPr>
        <w:t>电子响应文件的撤回和撤销</w:t>
      </w:r>
    </w:p>
    <w:p w14:paraId="04EC2F61">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电子响应文件提交截止时间前，响应人可登陆北京市政府采购电子交易平台对所上传的电子响应文件在进行撤回或重新上传。</w:t>
      </w:r>
    </w:p>
    <w:p w14:paraId="2D3B32E5">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电子响应文件提交截止时间后，响应人不得在电子响应文件有效期内撤销其电子响应文件。</w:t>
      </w:r>
    </w:p>
    <w:p w14:paraId="54527E5D">
      <w:pPr>
        <w:pStyle w:val="3"/>
        <w:spacing w:before="0" w:after="120" w:line="400" w:lineRule="exact"/>
        <w:ind w:left="0"/>
        <w:rPr>
          <w:rFonts w:ascii="宋体" w:hAnsi="宋体" w:eastAsia="宋体" w:cs="微软雅黑"/>
          <w:bCs w:val="0"/>
          <w:color w:val="auto"/>
          <w:sz w:val="22"/>
          <w:szCs w:val="22"/>
          <w:highlight w:val="none"/>
        </w:rPr>
      </w:pPr>
      <w:r>
        <w:rPr>
          <w:rFonts w:hint="eastAsia" w:ascii="宋体" w:hAnsi="宋体" w:eastAsia="宋体" w:cs="微软雅黑"/>
          <w:bCs w:val="0"/>
          <w:color w:val="auto"/>
          <w:sz w:val="22"/>
          <w:szCs w:val="22"/>
          <w:highlight w:val="none"/>
        </w:rPr>
        <w:t>解密及唱标</w:t>
      </w:r>
    </w:p>
    <w:p w14:paraId="4EC8C12D">
      <w:pPr>
        <w:pStyle w:val="47"/>
        <w:numPr>
          <w:ilvl w:val="0"/>
          <w:numId w:val="14"/>
        </w:numPr>
        <w:spacing w:line="400" w:lineRule="exact"/>
        <w:rPr>
          <w:color w:val="auto"/>
          <w:sz w:val="22"/>
          <w:szCs w:val="22"/>
          <w:highlight w:val="none"/>
        </w:rPr>
      </w:pPr>
      <w:r>
        <w:rPr>
          <w:rFonts w:hint="eastAsia"/>
          <w:color w:val="auto"/>
          <w:sz w:val="22"/>
          <w:szCs w:val="22"/>
          <w:highlight w:val="none"/>
        </w:rPr>
        <w:t>解密及唱标</w:t>
      </w:r>
    </w:p>
    <w:p w14:paraId="151682E6">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b/>
          <w:bCs/>
          <w:color w:val="auto"/>
          <w:sz w:val="22"/>
          <w:szCs w:val="22"/>
          <w:highlight w:val="none"/>
          <w:lang w:val="en-US" w:eastAsia="zh-CN"/>
        </w:rPr>
        <w:t xml:space="preserve"> </w:t>
      </w:r>
      <w:r>
        <w:rPr>
          <w:rFonts w:hint="eastAsia"/>
          <w:b w:val="0"/>
          <w:bCs w:val="0"/>
          <w:color w:val="auto"/>
          <w:sz w:val="22"/>
          <w:szCs w:val="22"/>
          <w:highlight w:val="none"/>
          <w:lang w:val="en-US" w:eastAsia="zh-CN"/>
        </w:rPr>
        <w:t>本项目采用远程电子解密方式。</w:t>
      </w:r>
      <w:r>
        <w:rPr>
          <w:rFonts w:hint="eastAsia"/>
          <w:color w:val="auto"/>
          <w:sz w:val="22"/>
          <w:szCs w:val="22"/>
          <w:highlight w:val="none"/>
          <w:lang w:val="en-US" w:eastAsia="zh-CN"/>
        </w:rPr>
        <w:t>响应人须在制作上传本项目电子响应文件的计算机设备上，使用自身CA数字认证证书或电子营业执照登录北京市政府采购电子交易平台，并在规定的解密截止时间内对其上传的电子响应文件进行</w:t>
      </w:r>
      <w:r>
        <w:rPr>
          <w:rFonts w:hint="eastAsia"/>
          <w:b w:val="0"/>
          <w:bCs w:val="0"/>
          <w:color w:val="auto"/>
          <w:sz w:val="22"/>
          <w:szCs w:val="22"/>
          <w:highlight w:val="none"/>
          <w:lang w:val="en-US" w:eastAsia="zh-CN"/>
        </w:rPr>
        <w:t>自行远程解密。</w:t>
      </w:r>
    </w:p>
    <w:p w14:paraId="5E75C914">
      <w:pPr>
        <w:pStyle w:val="47"/>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550" w:firstLineChars="250"/>
        <w:textAlignment w:val="baseline"/>
        <w:rPr>
          <w:b w:val="0"/>
          <w:bCs w:val="0"/>
          <w:color w:val="auto"/>
          <w:sz w:val="22"/>
          <w:szCs w:val="22"/>
          <w:highlight w:val="none"/>
        </w:rPr>
      </w:pPr>
      <w:r>
        <w:rPr>
          <w:rFonts w:hint="eastAsia"/>
          <w:b w:val="0"/>
          <w:bCs w:val="0"/>
          <w:color w:val="auto"/>
          <w:sz w:val="22"/>
          <w:szCs w:val="22"/>
          <w:highlight w:val="none"/>
        </w:rPr>
        <w:t>提示：请响应人确认负责解密的工作人员保持电话畅通。</w:t>
      </w:r>
    </w:p>
    <w:p w14:paraId="50774D1E">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在规定的解密截止时间内，如所有响应人均自行解密成功，则结束解密进入唱标环节；如有响应人未自行解密成功，则解密时间倒计时至截止时间后进入唱标环节。</w:t>
      </w:r>
    </w:p>
    <w:p w14:paraId="681D424A">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解密程序结束后，有效响应人数量符合法律规定的，将在系统内展示所有解密成功的响应人报价等信息。</w:t>
      </w:r>
    </w:p>
    <w:p w14:paraId="62E46859">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到规定的解密截止时间，如部分响应人未进行自行解密、未解密成功，或解密后报价为零、为空的，该响应人的电子响应文件作无效响应处理。</w:t>
      </w:r>
    </w:p>
    <w:p w14:paraId="5AC758B6">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到规定的解密截止时间，如所有响应人的电子响应文件均无法自行解密成功的，该项目将暂停，另行通知解密时间。暂停期间，响应人无法修改或重新上传电子响应文件。</w:t>
      </w:r>
    </w:p>
    <w:p w14:paraId="59850332">
      <w:pPr>
        <w:pStyle w:val="3"/>
        <w:spacing w:before="0" w:after="120" w:line="400" w:lineRule="exact"/>
        <w:ind w:left="0"/>
        <w:rPr>
          <w:rFonts w:ascii="宋体" w:hAnsi="宋体" w:eastAsia="宋体" w:cs="微软雅黑"/>
          <w:bCs w:val="0"/>
          <w:color w:val="auto"/>
          <w:sz w:val="22"/>
          <w:szCs w:val="22"/>
          <w:highlight w:val="none"/>
        </w:rPr>
      </w:pPr>
      <w:bookmarkStart w:id="43" w:name="_Toc328815997"/>
      <w:r>
        <w:rPr>
          <w:rFonts w:hint="eastAsia" w:ascii="宋体" w:hAnsi="宋体" w:eastAsia="宋体" w:cs="微软雅黑"/>
          <w:bCs w:val="0"/>
          <w:color w:val="auto"/>
          <w:sz w:val="22"/>
          <w:szCs w:val="22"/>
          <w:highlight w:val="none"/>
        </w:rPr>
        <w:t>评审步骤和要求</w:t>
      </w:r>
      <w:bookmarkEnd w:id="43"/>
    </w:p>
    <w:p w14:paraId="550430FA">
      <w:pPr>
        <w:pStyle w:val="47"/>
        <w:numPr>
          <w:ilvl w:val="0"/>
          <w:numId w:val="14"/>
        </w:numPr>
        <w:spacing w:line="400" w:lineRule="exact"/>
        <w:rPr>
          <w:color w:val="auto"/>
          <w:sz w:val="22"/>
          <w:szCs w:val="22"/>
          <w:highlight w:val="none"/>
        </w:rPr>
      </w:pPr>
      <w:r>
        <w:rPr>
          <w:rFonts w:hint="eastAsia"/>
          <w:color w:val="auto"/>
          <w:sz w:val="22"/>
          <w:szCs w:val="22"/>
          <w:highlight w:val="none"/>
        </w:rPr>
        <w:t>选取评审专家及组建评审委员会</w:t>
      </w:r>
    </w:p>
    <w:p w14:paraId="2E8F71F2">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根据有关法律法规、本征集文件的规定及项目特点选取评审专家。</w:t>
      </w:r>
    </w:p>
    <w:p w14:paraId="129BFC8D">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本项目根据有关法律法规、本征集文件的规定及项目特点组建评审委员会。</w:t>
      </w:r>
    </w:p>
    <w:p w14:paraId="668ED0CB">
      <w:pPr>
        <w:pStyle w:val="47"/>
        <w:numPr>
          <w:ilvl w:val="0"/>
          <w:numId w:val="14"/>
        </w:numPr>
        <w:spacing w:line="400" w:lineRule="exact"/>
        <w:rPr>
          <w:color w:val="auto"/>
          <w:sz w:val="22"/>
          <w:szCs w:val="22"/>
          <w:highlight w:val="none"/>
        </w:rPr>
      </w:pPr>
      <w:r>
        <w:rPr>
          <w:rFonts w:hint="eastAsia"/>
          <w:color w:val="auto"/>
          <w:sz w:val="22"/>
          <w:szCs w:val="22"/>
          <w:highlight w:val="none"/>
        </w:rPr>
        <w:t>评审</w:t>
      </w:r>
    </w:p>
    <w:p w14:paraId="74598397">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符合性审查</w:t>
      </w:r>
    </w:p>
    <w:p w14:paraId="34A3D6B2">
      <w:pPr>
        <w:keepNext w:val="0"/>
        <w:keepLines w:val="0"/>
        <w:pageBreakBefore w:val="0"/>
        <w:widowControl/>
        <w:numPr>
          <w:ilvl w:val="-1"/>
          <w:numId w:val="0"/>
        </w:numPr>
        <w:kinsoku/>
        <w:wordWrap/>
        <w:overflowPunct/>
        <w:topLinePunct w:val="0"/>
        <w:autoSpaceDE/>
        <w:autoSpaceDN/>
        <w:bidi w:val="0"/>
        <w:adjustRightInd/>
        <w:snapToGrid/>
        <w:spacing w:line="400" w:lineRule="exact"/>
        <w:ind w:left="519" w:leftChars="0" w:hanging="519" w:hangingChars="236"/>
        <w:textAlignment w:val="auto"/>
        <w:rPr>
          <w:rFonts w:hint="eastAsia" w:ascii="宋体" w:hAnsi="宋体" w:cs="微软雅黑"/>
          <w:color w:val="auto"/>
          <w:sz w:val="22"/>
          <w:highlight w:val="none"/>
        </w:rPr>
      </w:pP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符合性审查：评审委员会依据法律法规和征集文件的规定，对技术文件进行符合性审查，以确定其是否满足征集文件的实质性要求。</w:t>
      </w:r>
    </w:p>
    <w:p w14:paraId="65BE2FC2">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评审委员会审查每份电子响应文件是否实质上响应了征集文件的要求。实质上没有响应征集文件要求的作无效响应处理。响应人不得通过修正或撤销不符之处而使其响应成为实质响应。如发现下列情况之一的，其电子响应文件、报价将被拒绝或认定为无效响应：</w:t>
      </w:r>
    </w:p>
    <w:p w14:paraId="5CA3DB43">
      <w:pPr>
        <w:keepNext w:val="0"/>
        <w:keepLines w:val="0"/>
        <w:pageBreakBefore w:val="0"/>
        <w:widowControl/>
        <w:numPr>
          <w:ilvl w:val="0"/>
          <w:numId w:val="18"/>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不具备征集文件中规定的</w:t>
      </w:r>
      <w:r>
        <w:rPr>
          <w:rFonts w:hint="eastAsia" w:ascii="宋体" w:hAnsi="宋体" w:cs="微软雅黑"/>
          <w:color w:val="auto"/>
          <w:sz w:val="22"/>
          <w:highlight w:val="none"/>
          <w:lang w:eastAsia="zh-CN"/>
        </w:rPr>
        <w:t>符合性</w:t>
      </w:r>
      <w:r>
        <w:rPr>
          <w:rFonts w:hint="eastAsia" w:ascii="宋体" w:hAnsi="宋体" w:cs="微软雅黑"/>
          <w:color w:val="auto"/>
          <w:sz w:val="22"/>
          <w:highlight w:val="none"/>
        </w:rPr>
        <w:t>要求的；</w:t>
      </w:r>
    </w:p>
    <w:p w14:paraId="266C42AE">
      <w:pPr>
        <w:keepNext w:val="0"/>
        <w:keepLines w:val="0"/>
        <w:pageBreakBefore w:val="0"/>
        <w:widowControl/>
        <w:numPr>
          <w:ilvl w:val="0"/>
          <w:numId w:val="18"/>
        </w:numPr>
        <w:kinsoku/>
        <w:wordWrap/>
        <w:overflowPunct/>
        <w:topLinePunct w:val="0"/>
        <w:autoSpaceDE/>
        <w:autoSpaceDN/>
        <w:bidi w:val="0"/>
        <w:adjustRightInd/>
        <w:snapToGrid/>
        <w:spacing w:line="400" w:lineRule="exact"/>
        <w:ind w:left="1200" w:leftChars="0" w:hanging="74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未对征集文件中规定所有带*部分的条款作出实质性响应的，包括其中未按规定签字、盖章的；</w:t>
      </w:r>
    </w:p>
    <w:p w14:paraId="1BE3C4F3">
      <w:pPr>
        <w:keepNext w:val="0"/>
        <w:keepLines w:val="0"/>
        <w:pageBreakBefore w:val="0"/>
        <w:widowControl/>
        <w:numPr>
          <w:ilvl w:val="0"/>
          <w:numId w:val="18"/>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属于征集文件中规定的作无效响应处理情形的；</w:t>
      </w:r>
    </w:p>
    <w:p w14:paraId="4BB17DF5">
      <w:pPr>
        <w:keepNext w:val="0"/>
        <w:keepLines w:val="0"/>
        <w:pageBreakBefore w:val="0"/>
        <w:widowControl/>
        <w:numPr>
          <w:ilvl w:val="0"/>
          <w:numId w:val="18"/>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lang w:val="en-US" w:eastAsia="zh-CN"/>
        </w:rPr>
        <w:t>岗位</w:t>
      </w:r>
      <w:r>
        <w:rPr>
          <w:rFonts w:hint="eastAsia" w:ascii="宋体" w:hAnsi="宋体" w:cs="微软雅黑"/>
          <w:color w:val="auto"/>
          <w:sz w:val="22"/>
          <w:highlight w:val="none"/>
        </w:rPr>
        <w:t>报价超出最高限制单价的；</w:t>
      </w:r>
    </w:p>
    <w:p w14:paraId="3BAB3D82">
      <w:pPr>
        <w:keepNext w:val="0"/>
        <w:keepLines w:val="0"/>
        <w:pageBreakBefore w:val="0"/>
        <w:widowControl/>
        <w:numPr>
          <w:ilvl w:val="0"/>
          <w:numId w:val="18"/>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lang w:val="en-US" w:eastAsia="zh-CN"/>
        </w:rPr>
      </w:pPr>
      <w:r>
        <w:rPr>
          <w:rFonts w:hint="eastAsia" w:ascii="宋体" w:hAnsi="宋体" w:cs="微软雅黑"/>
          <w:color w:val="auto"/>
          <w:sz w:val="22"/>
          <w:highlight w:val="none"/>
          <w:lang w:val="en-US" w:eastAsia="zh-CN"/>
        </w:rPr>
        <w:t>岗位报价漏报或填零的；</w:t>
      </w:r>
    </w:p>
    <w:p w14:paraId="3A1D0213">
      <w:pPr>
        <w:keepNext w:val="0"/>
        <w:keepLines w:val="0"/>
        <w:pageBreakBefore w:val="0"/>
        <w:widowControl/>
        <w:numPr>
          <w:ilvl w:val="0"/>
          <w:numId w:val="18"/>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lang w:val="en-US" w:eastAsia="zh-CN"/>
        </w:rPr>
        <w:t>岗位报价低于北京市</w:t>
      </w:r>
      <w:r>
        <w:rPr>
          <w:rFonts w:hint="eastAsia" w:ascii="宋体" w:hAnsi="宋体" w:cs="微软雅黑"/>
          <w:color w:val="auto"/>
          <w:sz w:val="22"/>
          <w:highlight w:val="none"/>
        </w:rPr>
        <w:t>相关标准和规定</w:t>
      </w:r>
      <w:r>
        <w:rPr>
          <w:rFonts w:hint="eastAsia" w:ascii="宋体" w:hAnsi="宋体" w:cs="微软雅黑"/>
          <w:color w:val="auto"/>
          <w:sz w:val="22"/>
          <w:highlight w:val="none"/>
          <w:lang w:eastAsia="zh-CN"/>
        </w:rPr>
        <w:t>的；</w:t>
      </w:r>
    </w:p>
    <w:p w14:paraId="4325B6A9">
      <w:pPr>
        <w:keepNext w:val="0"/>
        <w:keepLines w:val="0"/>
        <w:pageBreakBefore w:val="0"/>
        <w:widowControl/>
        <w:numPr>
          <w:ilvl w:val="0"/>
          <w:numId w:val="18"/>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电子报价未按照征集文件规定的格式报价导致无法履行合同的；</w:t>
      </w:r>
    </w:p>
    <w:p w14:paraId="7B46F477">
      <w:pPr>
        <w:keepNext w:val="0"/>
        <w:keepLines w:val="0"/>
        <w:pageBreakBefore w:val="0"/>
        <w:widowControl/>
        <w:numPr>
          <w:ilvl w:val="0"/>
          <w:numId w:val="18"/>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不符合征集文件中有关分包、转包规定的；</w:t>
      </w:r>
    </w:p>
    <w:p w14:paraId="1F731B2D">
      <w:pPr>
        <w:keepNext w:val="0"/>
        <w:keepLines w:val="0"/>
        <w:pageBreakBefore w:val="0"/>
        <w:widowControl/>
        <w:numPr>
          <w:ilvl w:val="0"/>
          <w:numId w:val="18"/>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不符合法律、法规和征集文件中规定的其他实质性要求的。</w:t>
      </w:r>
    </w:p>
    <w:p w14:paraId="6E7C51A2">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解密后，在北京市政府采购电子交易平台上显示的报价与电子响应文件中相应报价不一致的,以在北京市政府采购电子交易平台上唱标显示的报价为准。电子响应文件报价出现前后不一致的，按照下列规定修正：</w:t>
      </w:r>
    </w:p>
    <w:p w14:paraId="3F20CBD4">
      <w:pPr>
        <w:keepNext w:val="0"/>
        <w:keepLines w:val="0"/>
        <w:pageBreakBefore w:val="0"/>
        <w:widowControl/>
        <w:numPr>
          <w:ilvl w:val="0"/>
          <w:numId w:val="19"/>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开标时，在北京市政府采购电子交易平台上显示的报价内容与电子响应文件中</w:t>
      </w:r>
      <w:r>
        <w:rPr>
          <w:rFonts w:hint="eastAsia" w:ascii="宋体" w:hAnsi="宋体" w:cs="微软雅黑"/>
          <w:color w:val="auto"/>
          <w:sz w:val="22"/>
          <w:highlight w:val="none"/>
          <w:lang w:val="en-US" w:eastAsia="zh-CN"/>
        </w:rPr>
        <w:t xml:space="preserve"> </w:t>
      </w:r>
    </w:p>
    <w:p w14:paraId="11C2F16E">
      <w:pPr>
        <w:keepNext w:val="0"/>
        <w:keepLines w:val="0"/>
        <w:pageBreakBefore w:val="0"/>
        <w:widowControl/>
        <w:numPr>
          <w:ilvl w:val="0"/>
          <w:numId w:val="0"/>
        </w:numPr>
        <w:kinsoku/>
        <w:wordWrap/>
        <w:overflowPunct/>
        <w:topLinePunct w:val="0"/>
        <w:autoSpaceDE/>
        <w:autoSpaceDN/>
        <w:bidi w:val="0"/>
        <w:adjustRightInd/>
        <w:snapToGrid/>
        <w:spacing w:line="400" w:lineRule="exact"/>
        <w:ind w:left="453" w:leftChars="0" w:firstLine="745" w:firstLineChars="339"/>
        <w:textAlignment w:val="auto"/>
        <w:rPr>
          <w:rFonts w:hint="eastAsia" w:ascii="宋体" w:hAnsi="宋体" w:cs="微软雅黑"/>
          <w:color w:val="auto"/>
          <w:sz w:val="22"/>
          <w:highlight w:val="none"/>
        </w:rPr>
      </w:pPr>
      <w:r>
        <w:rPr>
          <w:rFonts w:hint="eastAsia" w:ascii="宋体" w:hAnsi="宋体" w:cs="微软雅黑"/>
          <w:color w:val="auto"/>
          <w:sz w:val="22"/>
          <w:highlight w:val="none"/>
        </w:rPr>
        <w:t>相应内容不一致的,以开标时显示的响应报价内容为准；</w:t>
      </w:r>
    </w:p>
    <w:p w14:paraId="3ABCC7F1">
      <w:pPr>
        <w:keepNext w:val="0"/>
        <w:keepLines w:val="0"/>
        <w:pageBreakBefore w:val="0"/>
        <w:widowControl/>
        <w:numPr>
          <w:ilvl w:val="0"/>
          <w:numId w:val="19"/>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大写金额和小写金额不一致的，以大写金额为准；</w:t>
      </w:r>
    </w:p>
    <w:p w14:paraId="73EA526B">
      <w:pPr>
        <w:keepNext w:val="0"/>
        <w:keepLines w:val="0"/>
        <w:pageBreakBefore w:val="0"/>
        <w:widowControl/>
        <w:numPr>
          <w:ilvl w:val="0"/>
          <w:numId w:val="19"/>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单价金额小数点或者百分比有明显错位的，以开标一览表的总价为准，并修改</w:t>
      </w:r>
    </w:p>
    <w:p w14:paraId="7466B01E">
      <w:pPr>
        <w:keepNext w:val="0"/>
        <w:keepLines w:val="0"/>
        <w:pageBreakBefore w:val="0"/>
        <w:widowControl/>
        <w:numPr>
          <w:ilvl w:val="0"/>
          <w:numId w:val="0"/>
        </w:numPr>
        <w:kinsoku/>
        <w:wordWrap/>
        <w:overflowPunct/>
        <w:topLinePunct w:val="0"/>
        <w:autoSpaceDE/>
        <w:autoSpaceDN/>
        <w:bidi w:val="0"/>
        <w:adjustRightInd/>
        <w:snapToGrid/>
        <w:spacing w:line="400" w:lineRule="exact"/>
        <w:ind w:left="453" w:leftChars="0" w:firstLine="745" w:firstLineChars="339"/>
        <w:textAlignment w:val="auto"/>
        <w:rPr>
          <w:rFonts w:hint="eastAsia" w:ascii="宋体" w:hAnsi="宋体" w:cs="微软雅黑"/>
          <w:color w:val="auto"/>
          <w:sz w:val="22"/>
          <w:highlight w:val="none"/>
        </w:rPr>
      </w:pPr>
      <w:r>
        <w:rPr>
          <w:rFonts w:hint="eastAsia" w:ascii="宋体" w:hAnsi="宋体" w:cs="微软雅黑"/>
          <w:color w:val="auto"/>
          <w:sz w:val="22"/>
          <w:highlight w:val="none"/>
        </w:rPr>
        <w:t>单价；</w:t>
      </w:r>
    </w:p>
    <w:p w14:paraId="22F1089D">
      <w:pPr>
        <w:keepNext w:val="0"/>
        <w:keepLines w:val="0"/>
        <w:pageBreakBefore w:val="0"/>
        <w:widowControl/>
        <w:numPr>
          <w:ilvl w:val="0"/>
          <w:numId w:val="19"/>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总价金额与按单价汇总金额不一致的，以单价金额计算结果为准；</w:t>
      </w:r>
    </w:p>
    <w:p w14:paraId="4856915E">
      <w:pPr>
        <w:keepNext w:val="0"/>
        <w:keepLines w:val="0"/>
        <w:pageBreakBefore w:val="0"/>
        <w:widowControl/>
        <w:numPr>
          <w:ilvl w:val="0"/>
          <w:numId w:val="19"/>
        </w:numPr>
        <w:kinsoku/>
        <w:wordWrap/>
        <w:overflowPunct/>
        <w:topLinePunct w:val="0"/>
        <w:autoSpaceDE/>
        <w:autoSpaceDN/>
        <w:bidi w:val="0"/>
        <w:adjustRightInd/>
        <w:snapToGrid/>
        <w:spacing w:line="400" w:lineRule="exact"/>
        <w:ind w:left="1020"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同时出现两种以上不一致的，按照前款规定的顺序修正。修正后的报价按照本</w:t>
      </w:r>
    </w:p>
    <w:p w14:paraId="094ED0A4">
      <w:pPr>
        <w:keepNext w:val="0"/>
        <w:keepLines w:val="0"/>
        <w:pageBreakBefore w:val="0"/>
        <w:widowControl/>
        <w:numPr>
          <w:ilvl w:val="0"/>
          <w:numId w:val="0"/>
        </w:numPr>
        <w:kinsoku/>
        <w:wordWrap/>
        <w:overflowPunct/>
        <w:topLinePunct w:val="0"/>
        <w:autoSpaceDE/>
        <w:autoSpaceDN/>
        <w:bidi w:val="0"/>
        <w:adjustRightInd/>
        <w:snapToGrid/>
        <w:spacing w:line="400" w:lineRule="exact"/>
        <w:ind w:left="453" w:leftChars="0" w:firstLine="745" w:firstLineChars="339"/>
        <w:textAlignment w:val="auto"/>
        <w:rPr>
          <w:rFonts w:hint="eastAsia" w:ascii="宋体" w:hAnsi="宋体" w:cs="微软雅黑"/>
          <w:color w:val="auto"/>
          <w:sz w:val="22"/>
          <w:highlight w:val="none"/>
        </w:rPr>
      </w:pPr>
      <w:r>
        <w:rPr>
          <w:rFonts w:hint="eastAsia" w:ascii="宋体" w:hAnsi="宋体" w:cs="微软雅黑"/>
          <w:color w:val="auto"/>
          <w:sz w:val="22"/>
          <w:highlight w:val="none"/>
        </w:rPr>
        <w:t>征集文件1</w:t>
      </w:r>
      <w:r>
        <w:rPr>
          <w:rFonts w:hint="eastAsia" w:ascii="宋体" w:hAnsi="宋体" w:cs="微软雅黑"/>
          <w:color w:val="auto"/>
          <w:sz w:val="22"/>
          <w:highlight w:val="none"/>
          <w:lang w:val="en-US" w:eastAsia="zh-CN"/>
        </w:rPr>
        <w:t>8</w:t>
      </w:r>
      <w:r>
        <w:rPr>
          <w:rFonts w:hint="eastAsia" w:ascii="宋体" w:hAnsi="宋体" w:cs="微软雅黑"/>
          <w:color w:val="auto"/>
          <w:sz w:val="22"/>
          <w:highlight w:val="none"/>
        </w:rPr>
        <w:t>.2条规定经响应人确认后产生约束力，响应人不确认的，其响应无</w:t>
      </w:r>
    </w:p>
    <w:p w14:paraId="1921C70B">
      <w:pPr>
        <w:keepNext w:val="0"/>
        <w:keepLines w:val="0"/>
        <w:pageBreakBefore w:val="0"/>
        <w:widowControl/>
        <w:numPr>
          <w:ilvl w:val="0"/>
          <w:numId w:val="0"/>
        </w:numPr>
        <w:kinsoku/>
        <w:wordWrap/>
        <w:overflowPunct/>
        <w:topLinePunct w:val="0"/>
        <w:autoSpaceDE/>
        <w:autoSpaceDN/>
        <w:bidi w:val="0"/>
        <w:adjustRightInd/>
        <w:snapToGrid/>
        <w:spacing w:line="400" w:lineRule="exact"/>
        <w:ind w:left="453" w:leftChars="0" w:firstLine="745" w:firstLineChars="339"/>
        <w:textAlignment w:val="auto"/>
        <w:rPr>
          <w:rFonts w:hint="eastAsia" w:ascii="宋体" w:hAnsi="宋体" w:cs="微软雅黑"/>
          <w:color w:val="auto"/>
          <w:sz w:val="22"/>
          <w:highlight w:val="none"/>
        </w:rPr>
      </w:pPr>
      <w:r>
        <w:rPr>
          <w:rFonts w:hint="eastAsia" w:ascii="宋体" w:hAnsi="宋体" w:cs="微软雅黑"/>
          <w:color w:val="auto"/>
          <w:sz w:val="22"/>
          <w:highlight w:val="none"/>
        </w:rPr>
        <w:t>效。</w:t>
      </w:r>
    </w:p>
    <w:p w14:paraId="5979640C">
      <w:pPr>
        <w:pStyle w:val="47"/>
        <w:numPr>
          <w:ilvl w:val="0"/>
          <w:numId w:val="14"/>
        </w:numPr>
        <w:spacing w:line="400" w:lineRule="exact"/>
        <w:rPr>
          <w:color w:val="auto"/>
          <w:sz w:val="22"/>
          <w:szCs w:val="22"/>
          <w:highlight w:val="none"/>
        </w:rPr>
      </w:pPr>
      <w:r>
        <w:rPr>
          <w:rFonts w:hint="eastAsia"/>
          <w:color w:val="auto"/>
          <w:sz w:val="22"/>
          <w:szCs w:val="22"/>
          <w:highlight w:val="none"/>
        </w:rPr>
        <w:t>电子响应文件的澄清</w:t>
      </w:r>
    </w:p>
    <w:p w14:paraId="3AF5AFED">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评审委员会有权要求响应人对电子响应文件中含义不明确、对同类问题表述不一致或者有明显文字和计算错误等内容作必要的澄清、说明或者补正。</w:t>
      </w:r>
    </w:p>
    <w:p w14:paraId="41A303FA">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的澄清应在评审委员会规定的时间内以书面方式进行，并作为电子响应文件内容的一部分，由其法定代表人或其授权代表签字。澄清、说明或者补正不得超出电子响应文件的范围或者改变电子响应文件的实质性内容。响应人拒不按照要求对电子响应文件进行澄清、说明或者补正的，评审委员会有权将其作无效响应处理。</w:t>
      </w:r>
    </w:p>
    <w:p w14:paraId="64888501">
      <w:pPr>
        <w:pStyle w:val="47"/>
        <w:numPr>
          <w:ilvl w:val="0"/>
          <w:numId w:val="14"/>
        </w:numPr>
        <w:spacing w:line="400" w:lineRule="exact"/>
        <w:rPr>
          <w:color w:val="auto"/>
          <w:sz w:val="22"/>
          <w:szCs w:val="22"/>
          <w:highlight w:val="none"/>
        </w:rPr>
      </w:pPr>
      <w:r>
        <w:rPr>
          <w:rFonts w:hint="eastAsia"/>
          <w:color w:val="auto"/>
          <w:sz w:val="22"/>
          <w:szCs w:val="22"/>
          <w:highlight w:val="none"/>
        </w:rPr>
        <w:t>对电子响应文件的详细评审</w:t>
      </w:r>
    </w:p>
    <w:p w14:paraId="72887DEA">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评审委员会对通过资格性和符合性审查的电子响应文件按照“第五部分 评审及入围方法”进行评审和报价排序。</w:t>
      </w:r>
    </w:p>
    <w:p w14:paraId="5CCACB6D">
      <w:pPr>
        <w:pStyle w:val="47"/>
        <w:numPr>
          <w:ilvl w:val="0"/>
          <w:numId w:val="14"/>
        </w:numPr>
        <w:spacing w:line="400" w:lineRule="exact"/>
        <w:rPr>
          <w:color w:val="auto"/>
          <w:sz w:val="22"/>
          <w:szCs w:val="22"/>
          <w:highlight w:val="none"/>
        </w:rPr>
      </w:pPr>
      <w:r>
        <w:rPr>
          <w:rFonts w:hint="eastAsia"/>
          <w:color w:val="auto"/>
          <w:sz w:val="22"/>
          <w:szCs w:val="22"/>
          <w:highlight w:val="none"/>
        </w:rPr>
        <w:t>推荐入围候选供应商及确定入围供应商</w:t>
      </w:r>
    </w:p>
    <w:p w14:paraId="126CA711">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评审委员会根据“第五部分 评审及入围方法”方法，按顺序推荐候选入围候选供应商并出具评审报告。</w:t>
      </w:r>
    </w:p>
    <w:p w14:paraId="53B52583">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征集人根据评审报告及第五部分评审及入围方法，按顺序确定入围供应商。</w:t>
      </w:r>
    </w:p>
    <w:p w14:paraId="08441336">
      <w:pPr>
        <w:pStyle w:val="47"/>
        <w:numPr>
          <w:ilvl w:val="0"/>
          <w:numId w:val="14"/>
        </w:numPr>
        <w:spacing w:line="400" w:lineRule="exact"/>
        <w:rPr>
          <w:color w:val="auto"/>
          <w:sz w:val="22"/>
          <w:szCs w:val="22"/>
          <w:highlight w:val="none"/>
        </w:rPr>
      </w:pPr>
      <w:r>
        <w:rPr>
          <w:rFonts w:hint="eastAsia"/>
          <w:color w:val="auto"/>
          <w:sz w:val="22"/>
          <w:szCs w:val="22"/>
          <w:highlight w:val="none"/>
        </w:rPr>
        <w:t>评审过程要求</w:t>
      </w:r>
    </w:p>
    <w:p w14:paraId="23DB949F">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在评审期间，响应人企图影响征集人或评审委员会公正性的任何活动，将导致响应无效，并由其承担相应的法律责任。</w:t>
      </w:r>
    </w:p>
    <w:p w14:paraId="6D42CF65">
      <w:pPr>
        <w:pStyle w:val="47"/>
        <w:numPr>
          <w:ilvl w:val="0"/>
          <w:numId w:val="14"/>
        </w:numPr>
        <w:spacing w:line="400" w:lineRule="exact"/>
        <w:rPr>
          <w:color w:val="auto"/>
          <w:sz w:val="22"/>
          <w:szCs w:val="22"/>
          <w:highlight w:val="none"/>
        </w:rPr>
      </w:pPr>
      <w:r>
        <w:rPr>
          <w:rFonts w:hint="eastAsia"/>
          <w:color w:val="auto"/>
          <w:sz w:val="22"/>
          <w:szCs w:val="22"/>
          <w:highlight w:val="none"/>
        </w:rPr>
        <w:t>有下列情形之一的，视为响应人串通响应，其响应无效：</w:t>
      </w:r>
    </w:p>
    <w:p w14:paraId="6B73EE4C">
      <w:pPr>
        <w:keepNext w:val="0"/>
        <w:keepLines w:val="0"/>
        <w:pageBreakBefore w:val="0"/>
        <w:widowControl/>
        <w:numPr>
          <w:ilvl w:val="0"/>
          <w:numId w:val="20"/>
        </w:numPr>
        <w:kinsoku/>
        <w:wordWrap/>
        <w:overflowPunct/>
        <w:topLinePunct w:val="0"/>
        <w:autoSpaceDE/>
        <w:autoSpaceDN/>
        <w:bidi w:val="0"/>
        <w:adjustRightInd/>
        <w:snapToGrid/>
        <w:spacing w:line="400" w:lineRule="exact"/>
        <w:ind w:left="794"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不同响应人的电子响应文件由同一单位或者个人编制；</w:t>
      </w:r>
    </w:p>
    <w:p w14:paraId="13227583">
      <w:pPr>
        <w:keepNext w:val="0"/>
        <w:keepLines w:val="0"/>
        <w:pageBreakBefore w:val="0"/>
        <w:widowControl/>
        <w:numPr>
          <w:ilvl w:val="0"/>
          <w:numId w:val="20"/>
        </w:numPr>
        <w:kinsoku/>
        <w:wordWrap/>
        <w:overflowPunct/>
        <w:topLinePunct w:val="0"/>
        <w:autoSpaceDE/>
        <w:autoSpaceDN/>
        <w:bidi w:val="0"/>
        <w:adjustRightInd/>
        <w:snapToGrid/>
        <w:spacing w:line="400" w:lineRule="exact"/>
        <w:ind w:left="794"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不同响应人委托同一单位或者个人办理征集事宜；</w:t>
      </w:r>
    </w:p>
    <w:p w14:paraId="7CB0D02C">
      <w:pPr>
        <w:keepNext w:val="0"/>
        <w:keepLines w:val="0"/>
        <w:pageBreakBefore w:val="0"/>
        <w:widowControl/>
        <w:numPr>
          <w:ilvl w:val="0"/>
          <w:numId w:val="20"/>
        </w:numPr>
        <w:kinsoku/>
        <w:wordWrap/>
        <w:overflowPunct/>
        <w:topLinePunct w:val="0"/>
        <w:autoSpaceDE/>
        <w:autoSpaceDN/>
        <w:bidi w:val="0"/>
        <w:adjustRightInd/>
        <w:snapToGrid/>
        <w:spacing w:line="400" w:lineRule="exact"/>
        <w:ind w:left="794"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不同响应人的电子响应文件载明的项目管理成员或者联系人员为同一人；</w:t>
      </w:r>
    </w:p>
    <w:p w14:paraId="4E2C4217">
      <w:pPr>
        <w:keepNext w:val="0"/>
        <w:keepLines w:val="0"/>
        <w:pageBreakBefore w:val="0"/>
        <w:widowControl/>
        <w:numPr>
          <w:ilvl w:val="0"/>
          <w:numId w:val="20"/>
        </w:numPr>
        <w:kinsoku/>
        <w:wordWrap/>
        <w:overflowPunct/>
        <w:topLinePunct w:val="0"/>
        <w:autoSpaceDE/>
        <w:autoSpaceDN/>
        <w:bidi w:val="0"/>
        <w:adjustRightInd/>
        <w:snapToGrid/>
        <w:spacing w:line="400" w:lineRule="exact"/>
        <w:ind w:left="794"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不同响应人的电子响应文件异常一致或者报价呈规律性差异；</w:t>
      </w:r>
    </w:p>
    <w:p w14:paraId="34CCDB2B">
      <w:pPr>
        <w:keepNext w:val="0"/>
        <w:keepLines w:val="0"/>
        <w:pageBreakBefore w:val="0"/>
        <w:widowControl/>
        <w:numPr>
          <w:ilvl w:val="0"/>
          <w:numId w:val="20"/>
        </w:numPr>
        <w:kinsoku/>
        <w:wordWrap/>
        <w:overflowPunct/>
        <w:topLinePunct w:val="0"/>
        <w:autoSpaceDE/>
        <w:autoSpaceDN/>
        <w:bidi w:val="0"/>
        <w:adjustRightInd/>
        <w:snapToGrid/>
        <w:spacing w:line="400" w:lineRule="exact"/>
        <w:ind w:left="794"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不同响应人的电子响应文件相互混装。</w:t>
      </w:r>
    </w:p>
    <w:p w14:paraId="043D6410">
      <w:pPr>
        <w:pStyle w:val="47"/>
        <w:numPr>
          <w:ilvl w:val="0"/>
          <w:numId w:val="14"/>
        </w:numPr>
        <w:spacing w:line="400" w:lineRule="exact"/>
        <w:rPr>
          <w:color w:val="auto"/>
          <w:sz w:val="22"/>
          <w:szCs w:val="22"/>
          <w:highlight w:val="none"/>
        </w:rPr>
      </w:pPr>
      <w:r>
        <w:rPr>
          <w:rFonts w:hint="eastAsia"/>
          <w:color w:val="auto"/>
          <w:sz w:val="22"/>
          <w:szCs w:val="22"/>
          <w:highlight w:val="none"/>
        </w:rPr>
        <w:t>在征集过程中，出现下列情形之一的，采购活动应予终止：</w:t>
      </w:r>
    </w:p>
    <w:p w14:paraId="6D254F4B">
      <w:pPr>
        <w:keepNext w:val="0"/>
        <w:keepLines w:val="0"/>
        <w:pageBreakBefore w:val="0"/>
        <w:widowControl/>
        <w:numPr>
          <w:ilvl w:val="0"/>
          <w:numId w:val="21"/>
        </w:numPr>
        <w:kinsoku/>
        <w:wordWrap/>
        <w:overflowPunct/>
        <w:topLinePunct w:val="0"/>
        <w:autoSpaceDE/>
        <w:autoSpaceDN/>
        <w:bidi w:val="0"/>
        <w:adjustRightInd/>
        <w:snapToGrid/>
        <w:spacing w:line="400" w:lineRule="exact"/>
        <w:ind w:left="794"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提交响应文件或符合资格条件、实质性要求的供应商不足2家的；</w:t>
      </w:r>
    </w:p>
    <w:p w14:paraId="20816527">
      <w:pPr>
        <w:keepNext w:val="0"/>
        <w:keepLines w:val="0"/>
        <w:pageBreakBefore w:val="0"/>
        <w:widowControl/>
        <w:numPr>
          <w:ilvl w:val="0"/>
          <w:numId w:val="21"/>
        </w:numPr>
        <w:kinsoku/>
        <w:wordWrap/>
        <w:overflowPunct/>
        <w:topLinePunct w:val="0"/>
        <w:autoSpaceDE/>
        <w:autoSpaceDN/>
        <w:bidi w:val="0"/>
        <w:adjustRightInd/>
        <w:snapToGrid/>
        <w:spacing w:line="400" w:lineRule="exact"/>
        <w:ind w:left="794"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出现影响采购公正的违法、违规行为的；</w:t>
      </w:r>
    </w:p>
    <w:p w14:paraId="3AEEB71E">
      <w:pPr>
        <w:keepNext w:val="0"/>
        <w:keepLines w:val="0"/>
        <w:pageBreakBefore w:val="0"/>
        <w:widowControl/>
        <w:numPr>
          <w:ilvl w:val="0"/>
          <w:numId w:val="21"/>
        </w:numPr>
        <w:kinsoku/>
        <w:wordWrap/>
        <w:overflowPunct/>
        <w:topLinePunct w:val="0"/>
        <w:autoSpaceDE/>
        <w:autoSpaceDN/>
        <w:bidi w:val="0"/>
        <w:adjustRightInd/>
        <w:snapToGrid/>
        <w:spacing w:line="400" w:lineRule="exact"/>
        <w:ind w:left="794" w:leftChars="0" w:hanging="567" w:firstLineChars="0"/>
        <w:textAlignment w:val="auto"/>
        <w:rPr>
          <w:rFonts w:hint="eastAsia" w:ascii="宋体" w:hAnsi="宋体" w:cs="微软雅黑"/>
          <w:color w:val="auto"/>
          <w:sz w:val="22"/>
          <w:highlight w:val="none"/>
        </w:rPr>
      </w:pPr>
      <w:r>
        <w:rPr>
          <w:rFonts w:hint="eastAsia" w:ascii="宋体" w:hAnsi="宋体" w:cs="微软雅黑"/>
          <w:color w:val="auto"/>
          <w:sz w:val="22"/>
          <w:highlight w:val="none"/>
        </w:rPr>
        <w:t>因重大变故，采购任务取消的。</w:t>
      </w:r>
    </w:p>
    <w:p w14:paraId="6D00B8E7">
      <w:pPr>
        <w:pStyle w:val="3"/>
        <w:spacing w:before="0" w:after="120" w:line="400" w:lineRule="exact"/>
        <w:ind w:left="0"/>
        <w:rPr>
          <w:rFonts w:ascii="宋体" w:hAnsi="宋体" w:eastAsia="宋体" w:cs="微软雅黑"/>
          <w:bCs w:val="0"/>
          <w:color w:val="auto"/>
          <w:sz w:val="22"/>
          <w:szCs w:val="22"/>
          <w:highlight w:val="none"/>
        </w:rPr>
      </w:pPr>
      <w:bookmarkStart w:id="44" w:name="_Toc328815998"/>
      <w:r>
        <w:rPr>
          <w:rFonts w:hint="eastAsia" w:ascii="宋体" w:hAnsi="宋体" w:eastAsia="宋体" w:cs="微软雅黑"/>
          <w:bCs w:val="0"/>
          <w:color w:val="auto"/>
          <w:sz w:val="22"/>
          <w:szCs w:val="22"/>
          <w:highlight w:val="none"/>
        </w:rPr>
        <w:t>入围、未入围通知</w:t>
      </w:r>
      <w:bookmarkEnd w:id="44"/>
    </w:p>
    <w:p w14:paraId="241A6D05">
      <w:pPr>
        <w:pStyle w:val="47"/>
        <w:numPr>
          <w:ilvl w:val="0"/>
          <w:numId w:val="14"/>
        </w:numPr>
        <w:spacing w:line="400" w:lineRule="exact"/>
        <w:rPr>
          <w:color w:val="auto"/>
          <w:sz w:val="22"/>
          <w:szCs w:val="22"/>
          <w:highlight w:val="none"/>
        </w:rPr>
      </w:pPr>
      <w:r>
        <w:rPr>
          <w:rFonts w:hint="eastAsia"/>
          <w:color w:val="auto"/>
          <w:sz w:val="22"/>
          <w:szCs w:val="22"/>
          <w:highlight w:val="none"/>
        </w:rPr>
        <w:t>入围通知</w:t>
      </w:r>
    </w:p>
    <w:p w14:paraId="71028E14">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征集人确定入围供应商后,将在发布本次征集公告的指定媒体上发布征集结果公告，同时以书面形式向入围供应商发出入围通知书。</w:t>
      </w:r>
    </w:p>
    <w:p w14:paraId="26A3EE2B">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入围通知书是框架协议的组成部分。</w:t>
      </w:r>
    </w:p>
    <w:p w14:paraId="1EE4BB51">
      <w:pPr>
        <w:pStyle w:val="47"/>
        <w:numPr>
          <w:ilvl w:val="0"/>
          <w:numId w:val="14"/>
        </w:numPr>
        <w:spacing w:line="400" w:lineRule="exact"/>
        <w:rPr>
          <w:color w:val="auto"/>
          <w:sz w:val="22"/>
          <w:szCs w:val="22"/>
          <w:highlight w:val="none"/>
        </w:rPr>
      </w:pPr>
      <w:r>
        <w:rPr>
          <w:rFonts w:hint="eastAsia"/>
          <w:color w:val="auto"/>
          <w:sz w:val="22"/>
          <w:szCs w:val="22"/>
          <w:highlight w:val="none"/>
        </w:rPr>
        <w:t>未入围通知</w:t>
      </w:r>
    </w:p>
    <w:p w14:paraId="3BD0E1B0">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征集结果公告发布后，未入围供应商可致电征集人咨询本单位未通过资格性和符合性审查原因及排序等相关信息。</w:t>
      </w:r>
    </w:p>
    <w:p w14:paraId="6FF0BD42">
      <w:pPr>
        <w:pStyle w:val="3"/>
        <w:spacing w:before="0" w:after="120" w:line="400" w:lineRule="exact"/>
        <w:ind w:left="0"/>
        <w:rPr>
          <w:rFonts w:ascii="宋体" w:hAnsi="宋体" w:eastAsia="宋体" w:cs="微软雅黑"/>
          <w:bCs w:val="0"/>
          <w:color w:val="auto"/>
          <w:sz w:val="22"/>
          <w:szCs w:val="22"/>
          <w:highlight w:val="none"/>
        </w:rPr>
      </w:pPr>
      <w:r>
        <w:rPr>
          <w:rFonts w:hint="eastAsia" w:ascii="宋体" w:hAnsi="宋体" w:eastAsia="宋体" w:cs="微软雅黑"/>
          <w:bCs w:val="0"/>
          <w:color w:val="auto"/>
          <w:sz w:val="22"/>
          <w:szCs w:val="22"/>
          <w:highlight w:val="none"/>
        </w:rPr>
        <w:t>签订框架协议及合同</w:t>
      </w:r>
    </w:p>
    <w:p w14:paraId="2AB6E43E">
      <w:pPr>
        <w:pStyle w:val="47"/>
        <w:numPr>
          <w:ilvl w:val="0"/>
          <w:numId w:val="14"/>
        </w:numPr>
        <w:spacing w:line="400" w:lineRule="exact"/>
        <w:rPr>
          <w:color w:val="auto"/>
          <w:sz w:val="22"/>
          <w:szCs w:val="22"/>
          <w:highlight w:val="none"/>
        </w:rPr>
      </w:pPr>
      <w:r>
        <w:rPr>
          <w:rFonts w:hint="eastAsia"/>
          <w:color w:val="auto"/>
          <w:sz w:val="22"/>
          <w:szCs w:val="22"/>
          <w:highlight w:val="none"/>
        </w:rPr>
        <w:t>签订框架协议</w:t>
      </w:r>
    </w:p>
    <w:p w14:paraId="3C0F0C6F">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ascii="宋体" w:hAnsi="宋体" w:cs="微软雅黑"/>
          <w:color w:val="auto"/>
          <w:sz w:val="22"/>
          <w:highlight w:val="none"/>
        </w:rPr>
      </w:pPr>
      <w:r>
        <w:rPr>
          <w:rFonts w:hint="eastAsia"/>
          <w:color w:val="auto"/>
          <w:sz w:val="22"/>
          <w:szCs w:val="22"/>
          <w:highlight w:val="none"/>
          <w:lang w:val="en-US" w:eastAsia="zh-CN"/>
        </w:rPr>
        <w:t xml:space="preserve"> 入围供应商应在规定时间、地点按要求与征集人签订框架协议</w:t>
      </w:r>
      <w:r>
        <w:rPr>
          <w:rFonts w:hint="eastAsia" w:cs="微软雅黑"/>
          <w:color w:val="auto"/>
          <w:sz w:val="22"/>
          <w:highlight w:val="none"/>
          <w:lang w:val="en-US" w:eastAsia="zh-CN"/>
        </w:rPr>
        <w:t>。</w:t>
      </w:r>
    </w:p>
    <w:p w14:paraId="6AE23445">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ascii="宋体" w:hAnsi="宋体" w:cs="微软雅黑"/>
          <w:color w:val="auto"/>
          <w:sz w:val="22"/>
          <w:highlight w:val="none"/>
        </w:rPr>
      </w:pPr>
      <w:r>
        <w:rPr>
          <w:rFonts w:hint="eastAsia" w:cs="微软雅黑"/>
          <w:color w:val="auto"/>
          <w:sz w:val="22"/>
          <w:highlight w:val="none"/>
          <w:lang w:val="en-US" w:eastAsia="zh-CN"/>
        </w:rPr>
        <w:t xml:space="preserve"> </w:t>
      </w:r>
      <w:r>
        <w:rPr>
          <w:rFonts w:hint="eastAsia" w:ascii="宋体" w:hAnsi="宋体" w:cs="微软雅黑"/>
          <w:color w:val="auto"/>
          <w:sz w:val="22"/>
          <w:highlight w:val="none"/>
        </w:rPr>
        <w:t>评审过程中的有关澄清、说明或者补正文件的内容均为签订框架协议的依据。</w:t>
      </w:r>
    </w:p>
    <w:p w14:paraId="13D17749">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ascii="宋体" w:hAnsi="宋体" w:cs="微软雅黑"/>
          <w:color w:val="auto"/>
          <w:sz w:val="22"/>
          <w:highlight w:val="none"/>
        </w:rPr>
      </w:pPr>
      <w:r>
        <w:rPr>
          <w:rFonts w:hint="eastAsia" w:cs="微软雅黑"/>
          <w:color w:val="auto"/>
          <w:sz w:val="22"/>
          <w:highlight w:val="none"/>
          <w:lang w:val="en-US" w:eastAsia="zh-CN"/>
        </w:rPr>
        <w:t xml:space="preserve"> </w:t>
      </w:r>
      <w:r>
        <w:rPr>
          <w:rFonts w:hint="eastAsia" w:ascii="宋体" w:hAnsi="宋体" w:cs="微软雅黑"/>
          <w:color w:val="auto"/>
          <w:sz w:val="22"/>
          <w:highlight w:val="none"/>
        </w:rPr>
        <w:t>框架协议不得对征集文件确定的事项以及入围供应商的响应文件作实质性修改。</w:t>
      </w:r>
    </w:p>
    <w:p w14:paraId="2D9A77B8">
      <w:pPr>
        <w:pStyle w:val="47"/>
        <w:numPr>
          <w:ilvl w:val="0"/>
          <w:numId w:val="14"/>
        </w:numPr>
        <w:spacing w:line="400" w:lineRule="exact"/>
        <w:rPr>
          <w:color w:val="auto"/>
          <w:sz w:val="22"/>
          <w:szCs w:val="22"/>
          <w:highlight w:val="none"/>
        </w:rPr>
      </w:pPr>
      <w:bookmarkStart w:id="45" w:name="_Toc328816000"/>
      <w:r>
        <w:rPr>
          <w:rFonts w:hint="eastAsia"/>
          <w:color w:val="auto"/>
          <w:sz w:val="22"/>
          <w:szCs w:val="22"/>
          <w:highlight w:val="none"/>
        </w:rPr>
        <w:t xml:space="preserve">签订合同 </w:t>
      </w:r>
    </w:p>
    <w:p w14:paraId="6D0E9D18">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入围供应商应按照征集文件、响应文件、评审过程中的有关澄清、说明或者补正文件的内容以及框架协议的约定和要求与采购人签订采购合同，确定产品数量、质量要求、价格、服务要求和标准等。</w:t>
      </w:r>
    </w:p>
    <w:p w14:paraId="66E730AC">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采购合同</w:t>
      </w:r>
      <w:r>
        <w:rPr>
          <w:rFonts w:hint="eastAsia" w:ascii="宋体" w:hAnsi="宋体" w:eastAsia="宋体"/>
          <w:color w:val="auto"/>
          <w:sz w:val="22"/>
          <w:szCs w:val="22"/>
          <w:highlight w:val="none"/>
          <w:lang w:val="en-US" w:eastAsia="zh-CN"/>
        </w:rPr>
        <w:t>须使用规范的合同文本，成交供应商不得与采购人签订背离实质性内容的合同。</w:t>
      </w:r>
    </w:p>
    <w:p w14:paraId="6C1ABA72">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s="Times New Roman"/>
          <w:color w:val="auto"/>
          <w:spacing w:val="0"/>
          <w:sz w:val="22"/>
          <w:szCs w:val="22"/>
          <w:highlight w:val="none"/>
          <w:lang w:val="en-US" w:eastAsia="zh-CN"/>
        </w:rPr>
        <w:t xml:space="preserve"> </w:t>
      </w:r>
      <w:r>
        <w:rPr>
          <w:rFonts w:hint="eastAsia" w:ascii="宋体" w:hAnsi="宋体" w:eastAsia="宋体" w:cs="Times New Roman"/>
          <w:color w:val="auto"/>
          <w:spacing w:val="0"/>
          <w:sz w:val="22"/>
          <w:szCs w:val="22"/>
          <w:highlight w:val="none"/>
        </w:rPr>
        <w:t>若采购人证明能够以更低价格向非入围供应商采购相同货物及其服务</w:t>
      </w:r>
      <w:r>
        <w:rPr>
          <w:rFonts w:hint="eastAsia" w:ascii="宋体" w:hAnsi="宋体" w:eastAsia="宋体" w:cs="Times New Roman"/>
          <w:color w:val="auto"/>
          <w:spacing w:val="0"/>
          <w:sz w:val="22"/>
          <w:szCs w:val="22"/>
          <w:highlight w:val="none"/>
          <w:lang w:eastAsia="zh-CN"/>
        </w:rPr>
        <w:t>，</w:t>
      </w:r>
      <w:r>
        <w:rPr>
          <w:rFonts w:hint="eastAsia" w:ascii="宋体" w:hAnsi="宋体" w:eastAsia="宋体" w:cs="Times New Roman"/>
          <w:color w:val="auto"/>
          <w:spacing w:val="0"/>
          <w:sz w:val="22"/>
          <w:szCs w:val="22"/>
          <w:highlight w:val="none"/>
        </w:rPr>
        <w:t>且入围供应商</w:t>
      </w:r>
      <w:r>
        <w:rPr>
          <w:rFonts w:hint="eastAsia" w:ascii="宋体" w:hAnsi="宋体" w:eastAsia="宋体" w:cs="Times New Roman"/>
          <w:color w:val="auto"/>
          <w:sz w:val="22"/>
          <w:szCs w:val="22"/>
          <w:highlight w:val="none"/>
        </w:rPr>
        <w:t xml:space="preserve"> </w:t>
      </w:r>
      <w:r>
        <w:rPr>
          <w:rFonts w:hint="eastAsia" w:ascii="宋体" w:hAnsi="宋体" w:eastAsia="宋体" w:cs="Times New Roman"/>
          <w:color w:val="auto"/>
          <w:spacing w:val="0"/>
          <w:sz w:val="22"/>
          <w:szCs w:val="22"/>
          <w:highlight w:val="none"/>
        </w:rPr>
        <w:t>不同意将价格降至非入围供应商价格以下的</w:t>
      </w:r>
      <w:r>
        <w:rPr>
          <w:rFonts w:hint="eastAsia" w:ascii="宋体" w:hAnsi="宋体" w:eastAsia="宋体" w:cs="Times New Roman"/>
          <w:color w:val="auto"/>
          <w:spacing w:val="0"/>
          <w:sz w:val="22"/>
          <w:szCs w:val="22"/>
          <w:highlight w:val="none"/>
          <w:lang w:eastAsia="zh-CN"/>
        </w:rPr>
        <w:t>，</w:t>
      </w:r>
      <w:r>
        <w:rPr>
          <w:rFonts w:hint="eastAsia" w:ascii="宋体" w:hAnsi="宋体" w:eastAsia="宋体" w:cs="Times New Roman"/>
          <w:color w:val="auto"/>
          <w:spacing w:val="0"/>
          <w:sz w:val="22"/>
          <w:szCs w:val="22"/>
          <w:highlight w:val="none"/>
        </w:rPr>
        <w:t>采购人可以将合同授予非入围供应商，并应当在确定成交供应商后1个工作日内，将成交结果抄送征集人，由征集人按照单笔公告要求发布成交结果公告。同时，采购人应当将相关证明材料和采购合同一并存档备查。</w:t>
      </w:r>
    </w:p>
    <w:p w14:paraId="52EB8B7F">
      <w:pPr>
        <w:pStyle w:val="3"/>
        <w:spacing w:before="0" w:after="120" w:line="400" w:lineRule="exact"/>
        <w:ind w:left="0"/>
        <w:rPr>
          <w:color w:val="auto"/>
          <w:sz w:val="15"/>
          <w:szCs w:val="36"/>
          <w:highlight w:val="none"/>
        </w:rPr>
      </w:pPr>
      <w:r>
        <w:rPr>
          <w:rFonts w:hint="eastAsia" w:ascii="宋体" w:hAnsi="宋体" w:eastAsia="宋体" w:cs="微软雅黑"/>
          <w:bCs w:val="0"/>
          <w:color w:val="auto"/>
          <w:sz w:val="22"/>
          <w:szCs w:val="22"/>
          <w:highlight w:val="none"/>
        </w:rPr>
        <w:t>询问与质疑</w:t>
      </w:r>
      <w:bookmarkEnd w:id="45"/>
      <w:bookmarkStart w:id="46" w:name="_Toc328816001"/>
    </w:p>
    <w:p w14:paraId="1682D6D1">
      <w:pPr>
        <w:numPr>
          <w:ilvl w:val="0"/>
          <w:numId w:val="14"/>
        </w:numPr>
        <w:spacing w:line="400" w:lineRule="exact"/>
        <w:rPr>
          <w:rFonts w:ascii="宋体" w:hAnsi="宋体" w:cs="微软雅黑"/>
          <w:color w:val="auto"/>
          <w:sz w:val="22"/>
          <w:highlight w:val="none"/>
        </w:rPr>
      </w:pPr>
      <w:r>
        <w:rPr>
          <w:rFonts w:hint="eastAsia" w:ascii="宋体" w:hAnsi="宋体" w:cs="微软雅黑"/>
          <w:color w:val="auto"/>
          <w:sz w:val="22"/>
          <w:highlight w:val="none"/>
        </w:rPr>
        <w:t>询问</w:t>
      </w:r>
    </w:p>
    <w:p w14:paraId="5B05DF0B">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响应人对政府采购活动事项有疑问的，可依法提出询问，以电话或书面形式送达征集人，以书面形式询问的应注明响应人名称、响应项目名称、采购编号、联系人联系方式等信息。</w:t>
      </w:r>
    </w:p>
    <w:p w14:paraId="17094FF4">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征集人对供应商依法提出的询问，在3个工作日内作出答复，但答复的内容不得涉及商业秘密。</w:t>
      </w:r>
    </w:p>
    <w:p w14:paraId="0CC8FB00">
      <w:pPr>
        <w:numPr>
          <w:ilvl w:val="0"/>
          <w:numId w:val="14"/>
        </w:numPr>
        <w:spacing w:line="400" w:lineRule="exact"/>
        <w:rPr>
          <w:rFonts w:ascii="宋体" w:hAnsi="宋体" w:cs="微软雅黑"/>
          <w:color w:val="auto"/>
          <w:sz w:val="22"/>
          <w:highlight w:val="none"/>
        </w:rPr>
      </w:pPr>
      <w:r>
        <w:rPr>
          <w:rFonts w:hint="eastAsia" w:ascii="宋体" w:hAnsi="宋体" w:cs="微软雅黑"/>
          <w:color w:val="auto"/>
          <w:sz w:val="22"/>
          <w:highlight w:val="none"/>
        </w:rPr>
        <w:t>质疑</w:t>
      </w:r>
    </w:p>
    <w:p w14:paraId="0444C4D8">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响应人认为征集文件、征集过程、入围结果使自己的权益受到损害的，可以在知道或者应知其权益受到损害之日起7个工作日内，以书面形式向征集人提出质疑。征集人在收到质疑函后7个工作日内作出答复。</w:t>
      </w:r>
    </w:p>
    <w:p w14:paraId="1869F83C">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质疑函须使用财政部制定的范本文件。响应人为自然人的，质疑函应当由本人签字；响应人为法人或者其他组织的，质疑函应当由法定代表人、主要负责人，或者其授权代表签字或者盖章，并加盖公章。</w:t>
      </w:r>
    </w:p>
    <w:p w14:paraId="0595EBEA">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委托代理人进行质疑的，应当随质疑函同时提交响应人签署的授权委托书。授权委托书应当载明代理人的姓名或者名称、代理事项、具体权限、期限和相关事项。响应人为自然人的，应当由本人签字；响应人为法人或者其他组织的，应当由法定代表人、主要负责人签字或者盖章，并加盖公章。</w:t>
      </w:r>
    </w:p>
    <w:p w14:paraId="67D0AED8">
      <w:pPr>
        <w:pStyle w:val="47"/>
        <w:keepNext w:val="0"/>
        <w:keepLines w:val="0"/>
        <w:pageBreakBefore w:val="0"/>
        <w:widowControl w:val="0"/>
        <w:numPr>
          <w:ilvl w:val="1"/>
          <w:numId w:val="14"/>
        </w:numPr>
        <w:kinsoku/>
        <w:wordWrap/>
        <w:overflowPunct/>
        <w:topLinePunct w:val="0"/>
        <w:autoSpaceDE/>
        <w:autoSpaceDN/>
        <w:bidi w:val="0"/>
        <w:adjustRightInd w:val="0"/>
        <w:snapToGrid/>
        <w:spacing w:line="400" w:lineRule="exact"/>
        <w:ind w:left="533" w:hanging="533"/>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 xml:space="preserve"> 响应人应在法定质疑期内一次性提出针对同一采购程序环节的质疑，法定质疑期内针对同一采购程序环节再次提出的质疑，征集人有权不予答复。</w:t>
      </w:r>
    </w:p>
    <w:p w14:paraId="61B61EB8">
      <w:pPr>
        <w:snapToGrid w:val="0"/>
        <w:spacing w:line="400" w:lineRule="exact"/>
        <w:ind w:left="440" w:hanging="440" w:hangingChars="200"/>
        <w:rPr>
          <w:rFonts w:hint="eastAsia" w:ascii="宋体" w:hAnsi="宋体" w:cs="微软雅黑"/>
          <w:color w:val="auto"/>
          <w:sz w:val="22"/>
          <w:highlight w:val="none"/>
        </w:rPr>
      </w:pPr>
      <w:r>
        <w:rPr>
          <w:rFonts w:hint="eastAsia" w:ascii="宋体" w:hAnsi="宋体" w:cs="微软雅黑"/>
          <w:color w:val="auto"/>
          <w:sz w:val="22"/>
          <w:highlight w:val="none"/>
        </w:rPr>
        <w:t>30.接收询问和质疑的联系部门、联系电话和通讯地址</w:t>
      </w:r>
    </w:p>
    <w:p w14:paraId="7188C52F">
      <w:pPr>
        <w:pStyle w:val="47"/>
        <w:numPr>
          <w:ilvl w:val="0"/>
          <w:numId w:val="0"/>
        </w:numPr>
        <w:snapToGrid w:val="0"/>
        <w:spacing w:line="400" w:lineRule="exact"/>
        <w:rPr>
          <w:rFonts w:hint="eastAsia"/>
          <w:color w:val="auto"/>
          <w:sz w:val="22"/>
          <w:szCs w:val="22"/>
          <w:highlight w:val="none"/>
          <w:lang w:val="en-US" w:eastAsia="zh-CN"/>
        </w:rPr>
      </w:pPr>
      <w:r>
        <w:rPr>
          <w:rFonts w:hint="eastAsia"/>
          <w:color w:val="auto"/>
          <w:sz w:val="22"/>
          <w:szCs w:val="22"/>
          <w:highlight w:val="none"/>
        </w:rPr>
        <w:t>30.1询</w:t>
      </w:r>
      <w:r>
        <w:rPr>
          <w:rFonts w:hint="eastAsia"/>
          <w:color w:val="auto"/>
          <w:sz w:val="22"/>
          <w:szCs w:val="22"/>
          <w:highlight w:val="none"/>
          <w:lang w:val="en-US" w:eastAsia="zh-CN"/>
        </w:rPr>
        <w:t>问</w:t>
      </w:r>
    </w:p>
    <w:p w14:paraId="0F1819D2">
      <w:pPr>
        <w:keepNext w:val="0"/>
        <w:keepLines w:val="0"/>
        <w:pageBreakBefore w:val="0"/>
        <w:widowControl w:val="0"/>
        <w:kinsoku/>
        <w:wordWrap/>
        <w:overflowPunct/>
        <w:topLinePunct w:val="0"/>
        <w:autoSpaceDE/>
        <w:autoSpaceDN/>
        <w:bidi w:val="0"/>
        <w:adjustRightInd w:val="0"/>
        <w:snapToGrid w:val="0"/>
        <w:spacing w:line="400" w:lineRule="exact"/>
        <w:ind w:left="437" w:leftChars="182" w:firstLine="0" w:firstLineChars="0"/>
        <w:textAlignment w:val="baseline"/>
        <w:rPr>
          <w:rFonts w:hint="eastAsia" w:ascii="宋体" w:hAnsi="宋体" w:cs="微软雅黑"/>
          <w:color w:val="auto"/>
          <w:sz w:val="22"/>
          <w:highlight w:val="none"/>
          <w:lang w:val="en-US" w:eastAsia="zh-CN"/>
        </w:rPr>
      </w:pPr>
      <w:r>
        <w:rPr>
          <w:rFonts w:hint="eastAsia" w:ascii="宋体" w:hAnsi="宋体" w:cs="微软雅黑"/>
          <w:color w:val="auto"/>
          <w:sz w:val="22"/>
          <w:highlight w:val="none"/>
        </w:rPr>
        <w:t>联系部门：北京市公共资源交易中心</w:t>
      </w:r>
      <w:r>
        <w:rPr>
          <w:rFonts w:hint="eastAsia" w:ascii="宋体" w:hAnsi="宋体" w:cs="微软雅黑"/>
          <w:color w:val="auto"/>
          <w:sz w:val="22"/>
          <w:highlight w:val="none"/>
          <w:lang w:val="en-US" w:eastAsia="zh-CN"/>
        </w:rPr>
        <w:t xml:space="preserve"> 交易服务四部</w:t>
      </w:r>
    </w:p>
    <w:p w14:paraId="1C2A05FC">
      <w:pPr>
        <w:snapToGrid w:val="0"/>
        <w:spacing w:line="400" w:lineRule="exact"/>
        <w:ind w:firstLine="440" w:firstLineChars="200"/>
        <w:rPr>
          <w:rFonts w:hint="eastAsia" w:ascii="宋体" w:hAnsi="宋体" w:eastAsia="宋体" w:cs="微软雅黑"/>
          <w:color w:val="auto"/>
          <w:sz w:val="22"/>
          <w:highlight w:val="none"/>
          <w:lang w:val="en-US" w:eastAsia="zh-CN"/>
        </w:rPr>
      </w:pPr>
      <w:r>
        <w:rPr>
          <w:rFonts w:hint="eastAsia" w:ascii="宋体" w:hAnsi="宋体" w:cs="微软雅黑"/>
          <w:color w:val="auto"/>
          <w:sz w:val="22"/>
          <w:highlight w:val="none"/>
        </w:rPr>
        <w:t>联系人：</w:t>
      </w:r>
      <w:r>
        <w:rPr>
          <w:rFonts w:hint="eastAsia" w:ascii="宋体" w:hAnsi="宋体" w:cs="微软雅黑"/>
          <w:color w:val="auto"/>
          <w:sz w:val="22"/>
          <w:highlight w:val="none"/>
          <w:lang w:eastAsia="zh-CN"/>
        </w:rPr>
        <w:t>程老师、郭</w:t>
      </w:r>
      <w:r>
        <w:rPr>
          <w:rFonts w:hint="eastAsia" w:ascii="宋体" w:hAnsi="宋体" w:cs="微软雅黑"/>
          <w:color w:val="auto"/>
          <w:sz w:val="22"/>
          <w:highlight w:val="none"/>
        </w:rPr>
        <w:t>老师</w:t>
      </w:r>
      <w:r>
        <w:rPr>
          <w:rFonts w:hint="eastAsia" w:ascii="宋体" w:hAnsi="宋体" w:cs="微软雅黑"/>
          <w:color w:val="auto"/>
          <w:sz w:val="22"/>
          <w:highlight w:val="none"/>
          <w:lang w:eastAsia="zh-CN"/>
        </w:rPr>
        <w:t>、崔老师</w:t>
      </w:r>
    </w:p>
    <w:p w14:paraId="5E7EEA2D">
      <w:pPr>
        <w:snapToGrid w:val="0"/>
        <w:spacing w:line="400" w:lineRule="exact"/>
        <w:ind w:firstLine="440" w:firstLineChars="200"/>
        <w:rPr>
          <w:rFonts w:hint="eastAsia" w:ascii="宋体" w:hAnsi="宋体" w:cs="微软雅黑"/>
          <w:color w:val="auto"/>
          <w:sz w:val="22"/>
          <w:highlight w:val="none"/>
          <w:lang w:eastAsia="zh-CN"/>
        </w:rPr>
      </w:pPr>
      <w:r>
        <w:rPr>
          <w:rFonts w:hint="eastAsia" w:ascii="宋体" w:hAnsi="宋体" w:cs="微软雅黑"/>
          <w:color w:val="auto"/>
          <w:sz w:val="22"/>
          <w:highlight w:val="none"/>
        </w:rPr>
        <w:t>电话：</w:t>
      </w:r>
      <w:r>
        <w:rPr>
          <w:rFonts w:hint="eastAsia" w:ascii="宋体" w:hAnsi="宋体" w:cs="微软雅黑"/>
          <w:color w:val="auto"/>
          <w:sz w:val="22"/>
          <w:highlight w:val="none"/>
          <w:lang w:val="en-US" w:eastAsia="zh-CN"/>
        </w:rPr>
        <w:t>010-</w:t>
      </w:r>
      <w:r>
        <w:rPr>
          <w:rFonts w:hint="eastAsia" w:ascii="宋体" w:hAnsi="宋体" w:cs="微软雅黑"/>
          <w:color w:val="auto"/>
          <w:sz w:val="22"/>
          <w:highlight w:val="none"/>
        </w:rPr>
        <w:t>86483801</w:t>
      </w:r>
      <w:r>
        <w:rPr>
          <w:rFonts w:hint="eastAsia" w:ascii="宋体" w:hAnsi="宋体" w:cs="微软雅黑"/>
          <w:color w:val="auto"/>
          <w:sz w:val="22"/>
          <w:highlight w:val="none"/>
          <w:lang w:eastAsia="zh-CN"/>
        </w:rPr>
        <w:t>（技术支持服务电话）</w:t>
      </w:r>
    </w:p>
    <w:p w14:paraId="6AE5E053">
      <w:pPr>
        <w:snapToGrid w:val="0"/>
        <w:spacing w:line="400" w:lineRule="exact"/>
        <w:ind w:firstLine="1100" w:firstLineChars="500"/>
        <w:rPr>
          <w:rFonts w:hint="default" w:ascii="宋体" w:hAnsi="宋体" w:eastAsia="宋体" w:cs="微软雅黑"/>
          <w:color w:val="auto"/>
          <w:sz w:val="22"/>
          <w:highlight w:val="none"/>
          <w:lang w:val="en-US" w:eastAsia="zh-CN"/>
        </w:rPr>
      </w:pPr>
      <w:r>
        <w:rPr>
          <w:rFonts w:hint="eastAsia" w:ascii="宋体" w:hAnsi="宋体" w:cs="微软雅黑"/>
          <w:color w:val="auto"/>
          <w:sz w:val="22"/>
          <w:highlight w:val="none"/>
        </w:rPr>
        <w:t>010-</w:t>
      </w:r>
      <w:r>
        <w:rPr>
          <w:rFonts w:hint="eastAsia" w:ascii="宋体" w:hAnsi="宋体" w:cs="微软雅黑"/>
          <w:color w:val="auto"/>
          <w:sz w:val="22"/>
          <w:highlight w:val="none"/>
          <w:lang w:val="en-US" w:eastAsia="zh-CN"/>
        </w:rPr>
        <w:t>63540118、010-83916602（项目咨询联系电话）</w:t>
      </w:r>
    </w:p>
    <w:p w14:paraId="4AC2F48B">
      <w:pPr>
        <w:keepNext w:val="0"/>
        <w:keepLines w:val="0"/>
        <w:pageBreakBefore w:val="0"/>
        <w:widowControl w:val="0"/>
        <w:kinsoku/>
        <w:wordWrap/>
        <w:overflowPunct/>
        <w:topLinePunct w:val="0"/>
        <w:autoSpaceDE/>
        <w:autoSpaceDN/>
        <w:bidi w:val="0"/>
        <w:adjustRightInd w:val="0"/>
        <w:snapToGrid w:val="0"/>
        <w:spacing w:line="400" w:lineRule="exact"/>
        <w:textAlignment w:val="baseline"/>
        <w:rPr>
          <w:rFonts w:hint="eastAsia" w:ascii="宋体" w:hAnsi="宋体" w:cs="微软雅黑"/>
          <w:color w:val="auto"/>
          <w:sz w:val="22"/>
          <w:highlight w:val="none"/>
        </w:rPr>
      </w:pPr>
      <w:r>
        <w:rPr>
          <w:rFonts w:hint="eastAsia" w:ascii="宋体" w:hAnsi="宋体" w:cs="微软雅黑"/>
          <w:color w:val="auto"/>
          <w:sz w:val="22"/>
          <w:highlight w:val="none"/>
        </w:rPr>
        <w:t xml:space="preserve">  </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通讯地址：北京市丰台区玉林</w:t>
      </w:r>
      <w:r>
        <w:rPr>
          <w:rFonts w:hint="eastAsia" w:ascii="宋体" w:hAnsi="宋体" w:cs="微软雅黑"/>
          <w:color w:val="auto"/>
          <w:sz w:val="22"/>
          <w:highlight w:val="none"/>
          <w:lang w:eastAsia="zh-CN"/>
        </w:rPr>
        <w:t>西路</w:t>
      </w:r>
      <w:r>
        <w:rPr>
          <w:rFonts w:hint="eastAsia" w:ascii="宋体" w:hAnsi="宋体" w:cs="微软雅黑"/>
          <w:color w:val="auto"/>
          <w:sz w:val="22"/>
          <w:highlight w:val="none"/>
        </w:rPr>
        <w:t>45号腾飞大厦</w:t>
      </w:r>
    </w:p>
    <w:p w14:paraId="12308B90">
      <w:pPr>
        <w:snapToGrid w:val="0"/>
        <w:spacing w:line="400" w:lineRule="exact"/>
        <w:ind w:left="440" w:hanging="440" w:hangingChars="200"/>
        <w:rPr>
          <w:rFonts w:hint="eastAsia" w:ascii="宋体" w:hAnsi="宋体" w:cs="微软雅黑"/>
          <w:color w:val="auto"/>
          <w:sz w:val="22"/>
          <w:highlight w:val="none"/>
        </w:rPr>
      </w:pPr>
      <w:r>
        <w:rPr>
          <w:rFonts w:hint="eastAsia" w:ascii="宋体" w:hAnsi="宋体" w:cs="微软雅黑"/>
          <w:color w:val="auto"/>
          <w:sz w:val="22"/>
          <w:highlight w:val="none"/>
        </w:rPr>
        <w:t xml:space="preserve"> 30.2质疑</w:t>
      </w:r>
    </w:p>
    <w:p w14:paraId="242C66FA">
      <w:pPr>
        <w:snapToGrid w:val="0"/>
        <w:spacing w:line="400" w:lineRule="exact"/>
        <w:ind w:firstLine="440" w:firstLineChars="200"/>
        <w:rPr>
          <w:rFonts w:hint="eastAsia" w:ascii="宋体" w:hAnsi="宋体" w:cs="微软雅黑"/>
          <w:color w:val="auto"/>
          <w:sz w:val="22"/>
          <w:highlight w:val="none"/>
        </w:rPr>
      </w:pPr>
      <w:r>
        <w:rPr>
          <w:rFonts w:hint="eastAsia" w:ascii="宋体" w:hAnsi="宋体" w:cs="微软雅黑"/>
          <w:color w:val="auto"/>
          <w:sz w:val="22"/>
          <w:highlight w:val="none"/>
        </w:rPr>
        <w:t>联系部门：北京市公共资源交易中心 法律事务部（监督服务部）</w:t>
      </w:r>
    </w:p>
    <w:p w14:paraId="47B9E4AA">
      <w:pPr>
        <w:snapToGrid w:val="0"/>
        <w:spacing w:line="400" w:lineRule="exact"/>
        <w:ind w:left="440" w:hanging="440" w:hangingChars="200"/>
        <w:rPr>
          <w:rFonts w:hint="eastAsia" w:ascii="宋体" w:hAnsi="宋体" w:cs="微软雅黑"/>
          <w:color w:val="auto"/>
          <w:sz w:val="22"/>
          <w:highlight w:val="none"/>
        </w:rPr>
      </w:pPr>
      <w:r>
        <w:rPr>
          <w:rFonts w:hint="eastAsia" w:ascii="宋体" w:hAnsi="宋体" w:cs="微软雅黑"/>
          <w:color w:val="auto"/>
          <w:sz w:val="22"/>
          <w:highlight w:val="none"/>
        </w:rPr>
        <w:t xml:space="preserve">  </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联系人：魏老师</w:t>
      </w:r>
    </w:p>
    <w:p w14:paraId="106B9CE4">
      <w:pPr>
        <w:snapToGrid w:val="0"/>
        <w:spacing w:line="400" w:lineRule="exact"/>
        <w:ind w:left="440" w:hanging="440" w:hangingChars="200"/>
        <w:rPr>
          <w:rFonts w:hint="eastAsia" w:ascii="宋体" w:hAnsi="宋体" w:cs="微软雅黑"/>
          <w:color w:val="auto"/>
          <w:sz w:val="22"/>
          <w:highlight w:val="none"/>
        </w:rPr>
      </w:pPr>
      <w:r>
        <w:rPr>
          <w:rFonts w:hint="eastAsia" w:ascii="宋体" w:hAnsi="宋体" w:cs="微软雅黑"/>
          <w:color w:val="auto"/>
          <w:sz w:val="22"/>
          <w:highlight w:val="none"/>
        </w:rPr>
        <w:t xml:space="preserve">   </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联系电话：</w:t>
      </w:r>
      <w:r>
        <w:rPr>
          <w:rFonts w:hint="eastAsia" w:ascii="宋体" w:hAnsi="宋体" w:cs="微软雅黑"/>
          <w:color w:val="auto"/>
          <w:sz w:val="22"/>
          <w:highlight w:val="none"/>
          <w:lang w:val="en-US" w:eastAsia="zh-CN"/>
        </w:rPr>
        <w:t>010-</w:t>
      </w:r>
      <w:r>
        <w:rPr>
          <w:rFonts w:hint="eastAsia" w:ascii="宋体" w:hAnsi="宋体" w:cs="微软雅黑"/>
          <w:color w:val="auto"/>
          <w:sz w:val="22"/>
          <w:highlight w:val="none"/>
        </w:rPr>
        <w:t>83537377</w:t>
      </w:r>
    </w:p>
    <w:p w14:paraId="2E0FF7EC">
      <w:pPr>
        <w:snapToGrid w:val="0"/>
        <w:spacing w:line="400" w:lineRule="exact"/>
        <w:ind w:left="440" w:hanging="440" w:hangingChars="200"/>
        <w:rPr>
          <w:rFonts w:ascii="宋体" w:hAnsi="宋体" w:cs="微软雅黑"/>
          <w:color w:val="auto"/>
          <w:sz w:val="22"/>
          <w:highlight w:val="none"/>
        </w:rPr>
      </w:pPr>
      <w:r>
        <w:rPr>
          <w:rFonts w:hint="eastAsia" w:ascii="宋体" w:hAnsi="宋体" w:cs="微软雅黑"/>
          <w:color w:val="auto"/>
          <w:sz w:val="22"/>
          <w:highlight w:val="none"/>
        </w:rPr>
        <w:t xml:space="preserve">   </w:t>
      </w:r>
      <w:r>
        <w:rPr>
          <w:rFonts w:hint="eastAsia" w:ascii="宋体" w:hAnsi="宋体" w:cs="微软雅黑"/>
          <w:color w:val="auto"/>
          <w:sz w:val="22"/>
          <w:highlight w:val="none"/>
          <w:lang w:val="en-US" w:eastAsia="zh-CN"/>
        </w:rPr>
        <w:t xml:space="preserve"> </w:t>
      </w:r>
      <w:r>
        <w:rPr>
          <w:rFonts w:hint="eastAsia" w:ascii="宋体" w:hAnsi="宋体" w:cs="微软雅黑"/>
          <w:color w:val="auto"/>
          <w:sz w:val="22"/>
          <w:highlight w:val="none"/>
        </w:rPr>
        <w:t>通讯地址：北京市西城区广安门南街甲68号</w:t>
      </w:r>
    </w:p>
    <w:p w14:paraId="6900E0F9">
      <w:pPr>
        <w:pStyle w:val="6"/>
        <w:rPr>
          <w:rFonts w:cs="微软雅黑"/>
          <w:color w:val="auto"/>
          <w:sz w:val="22"/>
          <w:szCs w:val="22"/>
          <w:highlight w:val="none"/>
        </w:rPr>
      </w:pPr>
      <w:r>
        <w:rPr>
          <w:rFonts w:cs="微软雅黑"/>
          <w:color w:val="auto"/>
          <w:sz w:val="22"/>
          <w:szCs w:val="22"/>
          <w:highlight w:val="none"/>
        </w:rPr>
        <w:br w:type="page"/>
      </w:r>
    </w:p>
    <w:p w14:paraId="0E73BC52">
      <w:pPr>
        <w:pStyle w:val="57"/>
        <w:snapToGrid w:val="0"/>
        <w:spacing w:before="0" w:after="0"/>
        <w:ind w:left="0"/>
        <w:rPr>
          <w:rFonts w:ascii="宋体" w:hAnsi="宋体"/>
          <w:color w:val="auto"/>
          <w:sz w:val="32"/>
          <w:szCs w:val="21"/>
          <w:highlight w:val="none"/>
        </w:rPr>
        <w:sectPr>
          <w:pgSz w:w="11907" w:h="16840"/>
          <w:pgMar w:top="1701" w:right="1588" w:bottom="1701" w:left="1588" w:header="851" w:footer="851" w:gutter="0"/>
          <w:cols w:space="720" w:num="1"/>
          <w:docGrid w:type="lines" w:linePitch="312" w:charSpace="0"/>
        </w:sectPr>
      </w:pPr>
      <w:bookmarkStart w:id="47" w:name="_Toc27069"/>
    </w:p>
    <w:p w14:paraId="22BAE753">
      <w:pPr>
        <w:pStyle w:val="57"/>
        <w:snapToGrid w:val="0"/>
        <w:spacing w:before="0" w:after="0"/>
        <w:ind w:left="0"/>
        <w:rPr>
          <w:rFonts w:hint="eastAsia" w:ascii="宋体" w:hAnsi="宋体"/>
          <w:color w:val="auto"/>
          <w:sz w:val="32"/>
          <w:szCs w:val="21"/>
          <w:highlight w:val="none"/>
          <w:lang w:val="en-US" w:eastAsia="zh-CN"/>
        </w:rPr>
      </w:pPr>
      <w:bookmarkStart w:id="48" w:name="_Toc19496"/>
      <w:bookmarkStart w:id="49" w:name="_Toc25673"/>
      <w:r>
        <w:rPr>
          <w:rFonts w:hint="eastAsia" w:ascii="宋体" w:hAnsi="宋体"/>
          <w:color w:val="auto"/>
          <w:sz w:val="32"/>
          <w:szCs w:val="21"/>
          <w:highlight w:val="none"/>
          <w:lang w:val="en-US" w:eastAsia="zh-CN"/>
        </w:rPr>
        <w:t xml:space="preserve"> 采购需求</w:t>
      </w:r>
      <w:bookmarkEnd w:id="47"/>
      <w:bookmarkEnd w:id="48"/>
      <w:bookmarkEnd w:id="49"/>
    </w:p>
    <w:bookmarkEnd w:id="46"/>
    <w:p w14:paraId="7FFE2B4D">
      <w:pPr>
        <w:keepNext w:val="0"/>
        <w:keepLines w:val="0"/>
        <w:pageBreakBefore w:val="0"/>
        <w:widowControl w:val="0"/>
        <w:numPr>
          <w:ilvl w:val="0"/>
          <w:numId w:val="22"/>
        </w:numPr>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黑体" w:hAnsi="黑体" w:eastAsia="黑体" w:cs="仿宋_GB2312"/>
          <w:color w:val="000000"/>
          <w:sz w:val="22"/>
          <w:szCs w:val="22"/>
        </w:rPr>
      </w:pPr>
      <w:bookmarkStart w:id="50" w:name="_Toc10857"/>
      <w:bookmarkStart w:id="51" w:name="_Toc24988"/>
      <w:bookmarkStart w:id="52" w:name="_Toc25250"/>
      <w:r>
        <w:rPr>
          <w:rFonts w:hint="eastAsia" w:ascii="黑体" w:hAnsi="黑体" w:eastAsia="黑体" w:cs="仿宋_GB2312"/>
          <w:color w:val="000000"/>
          <w:sz w:val="22"/>
          <w:szCs w:val="22"/>
        </w:rPr>
        <w:t>项目概述</w:t>
      </w:r>
      <w:bookmarkEnd w:id="50"/>
      <w:bookmarkEnd w:id="51"/>
    </w:p>
    <w:p w14:paraId="4C9BBF0E">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default" w:ascii="仿宋_GB2312" w:hAnsi="仿宋_GB2312" w:eastAsia="仿宋_GB2312" w:cs="仿宋_GB2312"/>
          <w:color w:val="000000"/>
          <w:sz w:val="22"/>
          <w:szCs w:val="22"/>
          <w:highlight w:val="none"/>
          <w:lang w:val="en-US" w:eastAsia="zh-CN"/>
        </w:rPr>
      </w:pPr>
      <w:bookmarkStart w:id="53" w:name="_Toc29401"/>
      <w:bookmarkStart w:id="54" w:name="_Toc18544"/>
      <w:r>
        <w:rPr>
          <w:rFonts w:hint="eastAsia" w:ascii="仿宋_GB2312" w:hAnsi="仿宋_GB2312" w:eastAsia="仿宋_GB2312" w:cs="仿宋_GB2312"/>
          <w:color w:val="000000"/>
          <w:sz w:val="22"/>
          <w:szCs w:val="22"/>
          <w:highlight w:val="none"/>
          <w:lang w:eastAsia="zh-CN"/>
        </w:rPr>
        <w:t>北京市市级行政事业单位物业管理服务框架协议采购项目（2025年度），</w:t>
      </w:r>
      <w:r>
        <w:rPr>
          <w:rFonts w:hint="eastAsia" w:ascii="仿宋_GB2312" w:hAnsi="仿宋_GB2312" w:eastAsia="仿宋_GB2312" w:cs="仿宋_GB2312"/>
          <w:color w:val="000000"/>
          <w:sz w:val="22"/>
          <w:szCs w:val="22"/>
          <w:highlight w:val="none"/>
        </w:rPr>
        <w:t>具体</w:t>
      </w:r>
      <w:r>
        <w:rPr>
          <w:rFonts w:hint="eastAsia" w:ascii="仿宋_GB2312" w:hAnsi="仿宋_GB2312" w:eastAsia="仿宋_GB2312" w:cs="仿宋_GB2312"/>
          <w:color w:val="000000"/>
          <w:sz w:val="22"/>
          <w:szCs w:val="22"/>
          <w:highlight w:val="none"/>
          <w:lang w:val="en-US" w:eastAsia="zh-CN"/>
        </w:rPr>
        <w:t>服务内容、标准及要求</w:t>
      </w:r>
      <w:r>
        <w:rPr>
          <w:rFonts w:hint="eastAsia" w:ascii="仿宋_GB2312" w:hAnsi="仿宋_GB2312" w:eastAsia="仿宋_GB2312" w:cs="仿宋_GB2312"/>
          <w:color w:val="000000"/>
          <w:sz w:val="22"/>
          <w:szCs w:val="22"/>
          <w:highlight w:val="none"/>
        </w:rPr>
        <w:t>详见</w:t>
      </w:r>
      <w:r>
        <w:rPr>
          <w:rFonts w:hint="eastAsia" w:ascii="仿宋_GB2312" w:hAnsi="仿宋_GB2312" w:eastAsia="仿宋_GB2312" w:cs="仿宋_GB2312"/>
          <w:color w:val="000000"/>
          <w:sz w:val="22"/>
          <w:szCs w:val="22"/>
          <w:highlight w:val="none"/>
          <w:lang w:val="en-US" w:eastAsia="zh-CN"/>
        </w:rPr>
        <w:t>征集文件第八部分。</w:t>
      </w:r>
      <w:bookmarkEnd w:id="53"/>
      <w:bookmarkEnd w:id="54"/>
    </w:p>
    <w:p w14:paraId="1B771B36">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ascii="仿宋_GB2312" w:hAnsi="仿宋_GB2312" w:eastAsia="仿宋_GB2312" w:cs="仿宋_GB2312"/>
          <w:color w:val="000000"/>
          <w:sz w:val="22"/>
          <w:szCs w:val="22"/>
          <w:highlight w:val="none"/>
        </w:rPr>
      </w:pPr>
      <w:bookmarkStart w:id="55" w:name="_Toc31549"/>
      <w:bookmarkStart w:id="56" w:name="_Toc7007"/>
      <w:r>
        <w:rPr>
          <w:rFonts w:hint="eastAsia" w:ascii="仿宋_GB2312" w:hAnsi="仿宋_GB2312" w:eastAsia="仿宋_GB2312" w:cs="仿宋_GB2312"/>
          <w:color w:val="000000"/>
          <w:sz w:val="22"/>
          <w:szCs w:val="22"/>
          <w:highlight w:val="none"/>
        </w:rPr>
        <w:t>本项目依据《政府采购框架协议采购方式管理暂定办法》（财政部令第110号）的政策要求及相关规定，通过公开征集程序确定第一阶段入围供应商。在框架协议有效期内，本市采购单位使用财政性资金，单项或批量未达到小额零星采购数额标准（100 万元）的物业管理服务项目，在入围供应商范围内确定第二阶段成交供应商。</w:t>
      </w:r>
      <w:bookmarkEnd w:id="55"/>
      <w:bookmarkEnd w:id="56"/>
    </w:p>
    <w:p w14:paraId="15B467DC">
      <w:pPr>
        <w:keepNext w:val="0"/>
        <w:keepLines w:val="0"/>
        <w:pageBreakBefore w:val="0"/>
        <w:widowControl w:val="0"/>
        <w:numPr>
          <w:ilvl w:val="0"/>
          <w:numId w:val="22"/>
        </w:numPr>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黑体" w:hAnsi="黑体" w:eastAsia="黑体" w:cs="仿宋_GB2312"/>
          <w:color w:val="000000"/>
          <w:sz w:val="22"/>
          <w:szCs w:val="22"/>
        </w:rPr>
      </w:pPr>
      <w:bookmarkStart w:id="57" w:name="_Toc25069"/>
      <w:bookmarkStart w:id="58" w:name="_Toc23041"/>
      <w:r>
        <w:rPr>
          <w:rFonts w:hint="eastAsia" w:ascii="黑体" w:hAnsi="黑体" w:eastAsia="黑体" w:cs="仿宋_GB2312"/>
          <w:color w:val="000000"/>
          <w:sz w:val="22"/>
          <w:szCs w:val="22"/>
        </w:rPr>
        <w:t>服务需求</w:t>
      </w:r>
      <w:bookmarkEnd w:id="57"/>
      <w:bookmarkEnd w:id="58"/>
    </w:p>
    <w:p w14:paraId="5F406406">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59" w:name="_Toc20937"/>
      <w:bookmarkStart w:id="60" w:name="_Toc31851"/>
      <w:r>
        <w:rPr>
          <w:rFonts w:hint="eastAsia" w:ascii="仿宋_GB2312" w:hAnsi="仿宋_GB2312" w:eastAsia="仿宋_GB2312" w:cs="仿宋_GB2312"/>
          <w:color w:val="000000"/>
          <w:sz w:val="22"/>
          <w:szCs w:val="22"/>
          <w:highlight w:val="none"/>
        </w:rPr>
        <w:t>供应商结合物业管理服务的特点，提供有针对性的服务方案</w:t>
      </w:r>
      <w:r>
        <w:rPr>
          <w:rFonts w:hint="eastAsia" w:ascii="仿宋_GB2312" w:hAnsi="仿宋_GB2312" w:eastAsia="仿宋_GB2312" w:cs="仿宋_GB2312"/>
          <w:color w:val="000000"/>
          <w:sz w:val="22"/>
          <w:szCs w:val="22"/>
          <w:highlight w:val="none"/>
          <w:lang w:eastAsia="zh-CN"/>
        </w:rPr>
        <w:t>。</w:t>
      </w:r>
      <w:r>
        <w:rPr>
          <w:rFonts w:hint="eastAsia" w:ascii="仿宋_GB2312" w:hAnsi="仿宋_GB2312" w:eastAsia="仿宋_GB2312" w:cs="仿宋_GB2312"/>
          <w:color w:val="000000"/>
          <w:sz w:val="22"/>
          <w:szCs w:val="22"/>
          <w:highlight w:val="none"/>
          <w:lang w:val="en-US" w:eastAsia="zh-CN"/>
        </w:rPr>
        <w:t>其中：综合办公类、医院类、院校类等</w:t>
      </w:r>
      <w:r>
        <w:rPr>
          <w:rFonts w:hint="eastAsia" w:ascii="仿宋_GB2312" w:hAnsi="仿宋_GB2312" w:eastAsia="仿宋_GB2312" w:cs="仿宋_GB2312"/>
          <w:color w:val="000000"/>
          <w:sz w:val="22"/>
          <w:szCs w:val="22"/>
          <w:highlight w:val="none"/>
        </w:rPr>
        <w:t>服务内容</w:t>
      </w:r>
      <w:r>
        <w:rPr>
          <w:rFonts w:hint="eastAsia" w:ascii="仿宋_GB2312" w:hAnsi="仿宋_GB2312" w:eastAsia="仿宋_GB2312" w:cs="仿宋_GB2312"/>
          <w:color w:val="000000"/>
          <w:sz w:val="22"/>
          <w:szCs w:val="22"/>
          <w:highlight w:val="none"/>
          <w:lang w:val="en-US" w:eastAsia="zh-CN"/>
        </w:rPr>
        <w:t>应当</w:t>
      </w:r>
      <w:r>
        <w:rPr>
          <w:rFonts w:hint="eastAsia" w:ascii="仿宋_GB2312" w:hAnsi="仿宋_GB2312" w:eastAsia="仿宋_GB2312" w:cs="仿宋_GB2312"/>
          <w:color w:val="000000"/>
          <w:sz w:val="22"/>
          <w:szCs w:val="22"/>
          <w:highlight w:val="none"/>
        </w:rPr>
        <w:t>包括以下内容：</w:t>
      </w:r>
      <w:bookmarkEnd w:id="59"/>
      <w:bookmarkEnd w:id="60"/>
      <w:r>
        <w:rPr>
          <w:rFonts w:hint="eastAsia" w:ascii="仿宋_GB2312" w:hAnsi="仿宋_GB2312" w:eastAsia="仿宋_GB2312" w:cs="仿宋_GB2312"/>
          <w:color w:val="000000"/>
          <w:sz w:val="22"/>
          <w:szCs w:val="22"/>
          <w:highlight w:val="none"/>
        </w:rPr>
        <w:t xml:space="preserve"> </w:t>
      </w:r>
    </w:p>
    <w:p w14:paraId="6FA003E5">
      <w:pPr>
        <w:keepNext w:val="0"/>
        <w:keepLines w:val="0"/>
        <w:pageBreakBefore w:val="0"/>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楷体_GB2312" w:hAnsi="仿宋_GB2312" w:eastAsia="楷体_GB2312" w:cs="仿宋_GB2312"/>
          <w:color w:val="000000"/>
          <w:sz w:val="22"/>
          <w:szCs w:val="22"/>
          <w:highlight w:val="none"/>
        </w:rPr>
      </w:pPr>
      <w:bookmarkStart w:id="61" w:name="_Toc29407"/>
      <w:bookmarkStart w:id="62" w:name="_Toc9578"/>
      <w:r>
        <w:rPr>
          <w:rFonts w:hint="eastAsia" w:ascii="楷体_GB2312" w:hAnsi="仿宋_GB2312" w:eastAsia="楷体_GB2312" w:cs="仿宋_GB2312"/>
          <w:color w:val="000000"/>
          <w:sz w:val="22"/>
          <w:szCs w:val="22"/>
          <w:highlight w:val="none"/>
        </w:rPr>
        <w:t>（一）综合办公类物业服务</w:t>
      </w:r>
      <w:bookmarkEnd w:id="61"/>
      <w:bookmarkEnd w:id="62"/>
    </w:p>
    <w:p w14:paraId="7B5BE0A8">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63" w:name="_Toc14374"/>
      <w:bookmarkStart w:id="64" w:name="_Toc26701"/>
      <w:r>
        <w:rPr>
          <w:rFonts w:hint="eastAsia" w:ascii="仿宋_GB2312" w:hAnsi="仿宋_GB2312" w:eastAsia="仿宋_GB2312" w:cs="仿宋_GB2312"/>
          <w:color w:val="000000"/>
          <w:sz w:val="22"/>
          <w:szCs w:val="22"/>
          <w:highlight w:val="none"/>
        </w:rPr>
        <w:t>1.综合管理服务</w:t>
      </w:r>
      <w:bookmarkEnd w:id="63"/>
      <w:bookmarkEnd w:id="64"/>
    </w:p>
    <w:p w14:paraId="696DA79C">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65" w:name="_Toc23416"/>
      <w:bookmarkStart w:id="66" w:name="_Toc15844"/>
      <w:r>
        <w:rPr>
          <w:rFonts w:hint="eastAsia" w:ascii="仿宋_GB2312" w:hAnsi="仿宋_GB2312" w:eastAsia="仿宋_GB2312" w:cs="仿宋_GB2312"/>
          <w:color w:val="000000"/>
          <w:sz w:val="22"/>
          <w:szCs w:val="22"/>
          <w:highlight w:val="none"/>
        </w:rPr>
        <w:t>2.建筑物日常养护维修服务</w:t>
      </w:r>
      <w:bookmarkEnd w:id="65"/>
      <w:bookmarkEnd w:id="66"/>
    </w:p>
    <w:p w14:paraId="22D16DD3">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67" w:name="_Toc4326"/>
      <w:bookmarkStart w:id="68" w:name="_Toc7081"/>
      <w:r>
        <w:rPr>
          <w:rFonts w:hint="eastAsia" w:ascii="仿宋_GB2312" w:hAnsi="仿宋_GB2312" w:eastAsia="仿宋_GB2312" w:cs="仿宋_GB2312"/>
          <w:color w:val="000000"/>
          <w:sz w:val="22"/>
          <w:szCs w:val="22"/>
          <w:highlight w:val="none"/>
        </w:rPr>
        <w:t>3.公共设施设备维护服务</w:t>
      </w:r>
      <w:bookmarkEnd w:id="67"/>
      <w:bookmarkEnd w:id="68"/>
    </w:p>
    <w:p w14:paraId="614D61DF">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69" w:name="_Toc9773"/>
      <w:bookmarkStart w:id="70" w:name="_Toc15516"/>
      <w:r>
        <w:rPr>
          <w:rFonts w:hint="eastAsia" w:ascii="仿宋_GB2312" w:hAnsi="仿宋_GB2312" w:eastAsia="仿宋_GB2312" w:cs="仿宋_GB2312"/>
          <w:color w:val="000000"/>
          <w:sz w:val="22"/>
          <w:szCs w:val="22"/>
          <w:highlight w:val="none"/>
        </w:rPr>
        <w:t>4.保洁服务</w:t>
      </w:r>
      <w:bookmarkEnd w:id="69"/>
      <w:bookmarkEnd w:id="70"/>
    </w:p>
    <w:p w14:paraId="6AF6BE84">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71" w:name="_Toc5861"/>
      <w:bookmarkStart w:id="72" w:name="_Toc7380"/>
      <w:r>
        <w:rPr>
          <w:rFonts w:hint="eastAsia" w:ascii="仿宋_GB2312" w:hAnsi="仿宋_GB2312" w:eastAsia="仿宋_GB2312" w:cs="仿宋_GB2312"/>
          <w:color w:val="000000"/>
          <w:sz w:val="22"/>
          <w:szCs w:val="22"/>
          <w:highlight w:val="none"/>
        </w:rPr>
        <w:t>5.绿化养护服务</w:t>
      </w:r>
      <w:bookmarkEnd w:id="71"/>
      <w:bookmarkEnd w:id="72"/>
    </w:p>
    <w:p w14:paraId="641FE977">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73" w:name="_Toc27513"/>
      <w:bookmarkStart w:id="74" w:name="_Toc12600"/>
      <w:r>
        <w:rPr>
          <w:rFonts w:hint="eastAsia" w:ascii="仿宋_GB2312" w:hAnsi="仿宋_GB2312" w:eastAsia="仿宋_GB2312" w:cs="仿宋_GB2312"/>
          <w:color w:val="000000"/>
          <w:sz w:val="22"/>
          <w:szCs w:val="22"/>
          <w:highlight w:val="none"/>
        </w:rPr>
        <w:t>6.接待和会议服务</w:t>
      </w:r>
      <w:bookmarkEnd w:id="73"/>
      <w:bookmarkEnd w:id="74"/>
    </w:p>
    <w:p w14:paraId="0C2F0DD1">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75" w:name="_Toc4193"/>
      <w:bookmarkStart w:id="76" w:name="_Toc6702"/>
      <w:r>
        <w:rPr>
          <w:rFonts w:hint="eastAsia" w:ascii="仿宋_GB2312" w:hAnsi="仿宋_GB2312" w:eastAsia="仿宋_GB2312" w:cs="仿宋_GB2312"/>
          <w:color w:val="000000"/>
          <w:sz w:val="22"/>
          <w:szCs w:val="22"/>
          <w:highlight w:val="none"/>
        </w:rPr>
        <w:t>7.收发服务</w:t>
      </w:r>
      <w:bookmarkEnd w:id="75"/>
      <w:bookmarkEnd w:id="76"/>
    </w:p>
    <w:p w14:paraId="4152BB95">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77" w:name="_Toc32599"/>
      <w:bookmarkStart w:id="78" w:name="_Toc4845"/>
      <w:r>
        <w:rPr>
          <w:rFonts w:hint="eastAsia" w:ascii="仿宋_GB2312" w:hAnsi="仿宋_GB2312" w:eastAsia="仿宋_GB2312" w:cs="仿宋_GB2312"/>
          <w:color w:val="000000"/>
          <w:sz w:val="22"/>
          <w:szCs w:val="22"/>
          <w:highlight w:val="none"/>
        </w:rPr>
        <w:t>8.车辆管理</w:t>
      </w:r>
      <w:bookmarkEnd w:id="77"/>
      <w:bookmarkEnd w:id="78"/>
    </w:p>
    <w:p w14:paraId="4C4E3B6F">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79" w:name="_Toc27633"/>
      <w:bookmarkStart w:id="80" w:name="_Toc30829"/>
      <w:r>
        <w:rPr>
          <w:rFonts w:hint="eastAsia" w:ascii="仿宋_GB2312" w:hAnsi="仿宋_GB2312" w:eastAsia="仿宋_GB2312" w:cs="仿宋_GB2312"/>
          <w:color w:val="000000"/>
          <w:sz w:val="22"/>
          <w:szCs w:val="22"/>
          <w:highlight w:val="none"/>
        </w:rPr>
        <w:t>9.承（交）接查验</w:t>
      </w:r>
      <w:bookmarkEnd w:id="79"/>
      <w:bookmarkEnd w:id="80"/>
    </w:p>
    <w:p w14:paraId="525D9ADC">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81" w:name="_Toc24987"/>
      <w:bookmarkStart w:id="82" w:name="_Toc14698"/>
      <w:r>
        <w:rPr>
          <w:rFonts w:hint="eastAsia" w:ascii="仿宋_GB2312" w:hAnsi="仿宋_GB2312" w:eastAsia="仿宋_GB2312" w:cs="仿宋_GB2312"/>
          <w:color w:val="000000"/>
          <w:sz w:val="22"/>
          <w:szCs w:val="22"/>
          <w:highlight w:val="none"/>
        </w:rPr>
        <w:t>10.绿色物业管理服务</w:t>
      </w:r>
      <w:bookmarkEnd w:id="81"/>
      <w:bookmarkEnd w:id="82"/>
    </w:p>
    <w:p w14:paraId="132A9ECE">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83" w:name="_Toc22126"/>
      <w:bookmarkStart w:id="84" w:name="_Toc16361"/>
      <w:r>
        <w:rPr>
          <w:rFonts w:hint="eastAsia" w:ascii="仿宋_GB2312" w:hAnsi="仿宋_GB2312" w:eastAsia="仿宋_GB2312" w:cs="仿宋_GB2312"/>
          <w:color w:val="000000"/>
          <w:sz w:val="22"/>
          <w:szCs w:val="22"/>
          <w:highlight w:val="none"/>
        </w:rPr>
        <w:t>11.标准化建设服务</w:t>
      </w:r>
      <w:bookmarkEnd w:id="83"/>
      <w:bookmarkEnd w:id="84"/>
    </w:p>
    <w:p w14:paraId="0709FF5E">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85" w:name="_Toc9593"/>
      <w:bookmarkStart w:id="86" w:name="_Toc11956"/>
      <w:r>
        <w:rPr>
          <w:rFonts w:hint="eastAsia" w:ascii="仿宋_GB2312" w:hAnsi="仿宋_GB2312" w:eastAsia="仿宋_GB2312" w:cs="仿宋_GB2312"/>
          <w:color w:val="000000"/>
          <w:sz w:val="22"/>
          <w:szCs w:val="22"/>
          <w:highlight w:val="none"/>
        </w:rPr>
        <w:t>12.针对综合办公类物业的特约服务</w:t>
      </w:r>
      <w:bookmarkEnd w:id="85"/>
      <w:bookmarkEnd w:id="86"/>
    </w:p>
    <w:p w14:paraId="09555AA1">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87" w:name="_Toc6421"/>
      <w:bookmarkStart w:id="88" w:name="_Toc18771"/>
      <w:r>
        <w:rPr>
          <w:rFonts w:hint="eastAsia" w:ascii="仿宋_GB2312" w:hAnsi="仿宋_GB2312" w:eastAsia="仿宋_GB2312" w:cs="仿宋_GB2312"/>
          <w:color w:val="000000"/>
          <w:sz w:val="22"/>
          <w:szCs w:val="22"/>
          <w:highlight w:val="none"/>
        </w:rPr>
        <w:t>13.其它服务</w:t>
      </w:r>
      <w:bookmarkEnd w:id="87"/>
      <w:bookmarkEnd w:id="88"/>
    </w:p>
    <w:p w14:paraId="58AEB913">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ascii="仿宋_GB2312" w:hAnsi="仿宋_GB2312" w:eastAsia="仿宋_GB2312" w:cs="仿宋_GB2312"/>
          <w:color w:val="000000"/>
          <w:sz w:val="22"/>
          <w:szCs w:val="22"/>
          <w:highlight w:val="none"/>
          <w:lang w:val="en"/>
        </w:rPr>
      </w:pPr>
      <w:bookmarkStart w:id="89" w:name="_Toc24850"/>
      <w:bookmarkStart w:id="90" w:name="_Toc31242"/>
      <w:r>
        <w:rPr>
          <w:rFonts w:hint="eastAsia" w:ascii="仿宋_GB2312" w:hAnsi="仿宋_GB2312" w:eastAsia="仿宋_GB2312" w:cs="仿宋_GB2312"/>
          <w:color w:val="000000"/>
          <w:sz w:val="22"/>
          <w:szCs w:val="22"/>
          <w:highlight w:val="none"/>
          <w:lang w:val="en-US" w:eastAsia="zh-CN"/>
        </w:rPr>
        <w:t>具体服务内容、标准及要求详见征集文件第八部分。</w:t>
      </w:r>
      <w:r>
        <w:rPr>
          <w:rFonts w:hint="eastAsia" w:ascii="仿宋_GB2312" w:hAnsi="仿宋_GB2312" w:eastAsia="仿宋_GB2312" w:cs="仿宋_GB2312"/>
          <w:color w:val="000000"/>
          <w:sz w:val="22"/>
          <w:szCs w:val="22"/>
          <w:highlight w:val="none"/>
        </w:rPr>
        <w:t>实际服务内容</w:t>
      </w:r>
      <w:r>
        <w:rPr>
          <w:rFonts w:hint="eastAsia" w:ascii="仿宋_GB2312" w:hAnsi="仿宋_GB2312" w:eastAsia="仿宋_GB2312" w:cs="仿宋_GB2312"/>
          <w:color w:val="000000"/>
          <w:sz w:val="22"/>
          <w:szCs w:val="22"/>
          <w:highlight w:val="none"/>
          <w:lang w:eastAsia="zh-CN"/>
        </w:rPr>
        <w:t>、</w:t>
      </w:r>
      <w:r>
        <w:rPr>
          <w:rFonts w:hint="eastAsia" w:ascii="仿宋_GB2312" w:hAnsi="仿宋_GB2312" w:eastAsia="仿宋_GB2312" w:cs="仿宋_GB2312"/>
          <w:color w:val="000000"/>
          <w:sz w:val="22"/>
          <w:szCs w:val="22"/>
          <w:highlight w:val="none"/>
        </w:rPr>
        <w:t>标准</w:t>
      </w:r>
      <w:r>
        <w:rPr>
          <w:rFonts w:hint="eastAsia" w:ascii="仿宋_GB2312" w:hAnsi="仿宋_GB2312" w:eastAsia="仿宋_GB2312" w:cs="仿宋_GB2312"/>
          <w:color w:val="000000"/>
          <w:sz w:val="22"/>
          <w:szCs w:val="22"/>
          <w:highlight w:val="none"/>
          <w:lang w:val="en-US" w:eastAsia="zh-CN"/>
        </w:rPr>
        <w:t>及要求</w:t>
      </w:r>
      <w:r>
        <w:rPr>
          <w:rFonts w:hint="eastAsia" w:ascii="仿宋_GB2312" w:hAnsi="仿宋_GB2312" w:eastAsia="仿宋_GB2312" w:cs="仿宋_GB2312"/>
          <w:color w:val="000000"/>
          <w:sz w:val="22"/>
          <w:szCs w:val="22"/>
          <w:highlight w:val="none"/>
        </w:rPr>
        <w:t>以采购人具体项目的实际需求为准</w:t>
      </w:r>
      <w:r>
        <w:rPr>
          <w:rFonts w:hint="eastAsia" w:ascii="仿宋_GB2312" w:hAnsi="仿宋_GB2312" w:eastAsia="仿宋_GB2312" w:cs="仿宋_GB2312"/>
          <w:color w:val="000000"/>
          <w:sz w:val="22"/>
          <w:szCs w:val="22"/>
          <w:highlight w:val="none"/>
          <w:lang w:val="en"/>
        </w:rPr>
        <w:t>。</w:t>
      </w:r>
      <w:bookmarkEnd w:id="89"/>
      <w:bookmarkEnd w:id="90"/>
    </w:p>
    <w:p w14:paraId="3A5E3975">
      <w:pPr>
        <w:keepNext w:val="0"/>
        <w:keepLines w:val="0"/>
        <w:pageBreakBefore w:val="0"/>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楷体_GB2312" w:hAnsi="仿宋_GB2312" w:eastAsia="楷体_GB2312" w:cs="仿宋_GB2312"/>
          <w:color w:val="000000"/>
          <w:sz w:val="22"/>
          <w:szCs w:val="22"/>
          <w:highlight w:val="none"/>
        </w:rPr>
      </w:pPr>
      <w:bookmarkStart w:id="91" w:name="_Toc18897"/>
      <w:bookmarkStart w:id="92" w:name="_Toc19743"/>
      <w:r>
        <w:rPr>
          <w:rFonts w:hint="eastAsia" w:ascii="楷体_GB2312" w:hAnsi="仿宋_GB2312" w:eastAsia="楷体_GB2312" w:cs="仿宋_GB2312"/>
          <w:color w:val="000000"/>
          <w:sz w:val="22"/>
          <w:szCs w:val="22"/>
          <w:highlight w:val="none"/>
        </w:rPr>
        <w:t>（二）医院类物业服务</w:t>
      </w:r>
      <w:bookmarkEnd w:id="91"/>
      <w:bookmarkEnd w:id="92"/>
    </w:p>
    <w:p w14:paraId="7595ADE8">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93" w:name="_Toc18867"/>
      <w:bookmarkStart w:id="94" w:name="_Toc30609"/>
      <w:r>
        <w:rPr>
          <w:rFonts w:hint="eastAsia" w:ascii="仿宋_GB2312" w:hAnsi="仿宋_GB2312" w:eastAsia="仿宋_GB2312" w:cs="仿宋_GB2312"/>
          <w:color w:val="000000"/>
          <w:sz w:val="22"/>
          <w:szCs w:val="22"/>
          <w:highlight w:val="none"/>
        </w:rPr>
        <w:t>1.综合管理服务</w:t>
      </w:r>
      <w:bookmarkEnd w:id="93"/>
      <w:bookmarkEnd w:id="94"/>
    </w:p>
    <w:p w14:paraId="18CD0812">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95" w:name="_Toc21276"/>
      <w:bookmarkStart w:id="96" w:name="_Toc26326"/>
      <w:r>
        <w:rPr>
          <w:rFonts w:hint="eastAsia" w:ascii="仿宋_GB2312" w:hAnsi="仿宋_GB2312" w:eastAsia="仿宋_GB2312" w:cs="仿宋_GB2312"/>
          <w:color w:val="000000"/>
          <w:sz w:val="22"/>
          <w:szCs w:val="22"/>
          <w:highlight w:val="none"/>
        </w:rPr>
        <w:t>2.建筑物日常养护维修服务</w:t>
      </w:r>
      <w:bookmarkEnd w:id="95"/>
      <w:bookmarkEnd w:id="96"/>
    </w:p>
    <w:p w14:paraId="6607C007">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97" w:name="_Toc14788"/>
      <w:bookmarkStart w:id="98" w:name="_Toc31685"/>
      <w:r>
        <w:rPr>
          <w:rFonts w:hint="eastAsia" w:ascii="仿宋_GB2312" w:hAnsi="仿宋_GB2312" w:eastAsia="仿宋_GB2312" w:cs="仿宋_GB2312"/>
          <w:color w:val="000000"/>
          <w:sz w:val="22"/>
          <w:szCs w:val="22"/>
          <w:highlight w:val="none"/>
        </w:rPr>
        <w:t>3.公共设施设备维护服务</w:t>
      </w:r>
      <w:bookmarkEnd w:id="97"/>
      <w:bookmarkEnd w:id="98"/>
    </w:p>
    <w:p w14:paraId="30723B72">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99" w:name="_Toc11294"/>
      <w:bookmarkStart w:id="100" w:name="_Toc32741"/>
      <w:r>
        <w:rPr>
          <w:rFonts w:hint="eastAsia" w:ascii="仿宋_GB2312" w:hAnsi="仿宋_GB2312" w:eastAsia="仿宋_GB2312" w:cs="仿宋_GB2312"/>
          <w:color w:val="000000"/>
          <w:sz w:val="22"/>
          <w:szCs w:val="22"/>
          <w:highlight w:val="none"/>
        </w:rPr>
        <w:t>4.保洁服务</w:t>
      </w:r>
      <w:bookmarkEnd w:id="99"/>
      <w:bookmarkEnd w:id="100"/>
    </w:p>
    <w:p w14:paraId="3D0BBBE7">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01" w:name="_Toc18310"/>
      <w:bookmarkStart w:id="102" w:name="_Toc30447"/>
      <w:r>
        <w:rPr>
          <w:rFonts w:hint="eastAsia" w:ascii="仿宋_GB2312" w:hAnsi="仿宋_GB2312" w:eastAsia="仿宋_GB2312" w:cs="仿宋_GB2312"/>
          <w:color w:val="000000"/>
          <w:sz w:val="22"/>
          <w:szCs w:val="22"/>
          <w:highlight w:val="none"/>
        </w:rPr>
        <w:t>5.绿化养护服务</w:t>
      </w:r>
      <w:bookmarkEnd w:id="101"/>
      <w:bookmarkEnd w:id="102"/>
    </w:p>
    <w:p w14:paraId="1CE77780">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03" w:name="_Toc25339"/>
      <w:bookmarkStart w:id="104" w:name="_Toc11684"/>
      <w:r>
        <w:rPr>
          <w:rFonts w:hint="eastAsia" w:ascii="仿宋_GB2312" w:hAnsi="仿宋_GB2312" w:eastAsia="仿宋_GB2312" w:cs="仿宋_GB2312"/>
          <w:color w:val="000000"/>
          <w:sz w:val="22"/>
          <w:szCs w:val="22"/>
          <w:highlight w:val="none"/>
        </w:rPr>
        <w:t>6.接待和会议服务</w:t>
      </w:r>
      <w:bookmarkEnd w:id="103"/>
      <w:bookmarkEnd w:id="104"/>
    </w:p>
    <w:p w14:paraId="5EB870E9">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05" w:name="_Toc25353"/>
      <w:bookmarkStart w:id="106" w:name="_Toc22843"/>
      <w:r>
        <w:rPr>
          <w:rFonts w:hint="eastAsia" w:ascii="仿宋_GB2312" w:hAnsi="仿宋_GB2312" w:eastAsia="仿宋_GB2312" w:cs="仿宋_GB2312"/>
          <w:color w:val="000000"/>
          <w:sz w:val="22"/>
          <w:szCs w:val="22"/>
          <w:highlight w:val="none"/>
        </w:rPr>
        <w:t>7.医疗垃圾管理及清运</w:t>
      </w:r>
      <w:bookmarkEnd w:id="105"/>
      <w:bookmarkEnd w:id="106"/>
    </w:p>
    <w:p w14:paraId="683102F5">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07" w:name="_Toc26577"/>
      <w:bookmarkStart w:id="108" w:name="_Toc12092"/>
      <w:r>
        <w:rPr>
          <w:rFonts w:hint="eastAsia" w:ascii="仿宋_GB2312" w:hAnsi="仿宋_GB2312" w:eastAsia="仿宋_GB2312" w:cs="仿宋_GB2312"/>
          <w:color w:val="000000"/>
          <w:sz w:val="22"/>
          <w:szCs w:val="22"/>
          <w:highlight w:val="none"/>
        </w:rPr>
        <w:t>8.总机管理</w:t>
      </w:r>
      <w:bookmarkEnd w:id="107"/>
      <w:bookmarkEnd w:id="108"/>
    </w:p>
    <w:p w14:paraId="52725409">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09" w:name="_Toc18025"/>
      <w:bookmarkStart w:id="110" w:name="_Toc23232"/>
      <w:r>
        <w:rPr>
          <w:rFonts w:hint="eastAsia" w:ascii="仿宋_GB2312" w:hAnsi="仿宋_GB2312" w:eastAsia="仿宋_GB2312" w:cs="仿宋_GB2312"/>
          <w:color w:val="000000"/>
          <w:sz w:val="22"/>
          <w:szCs w:val="22"/>
          <w:highlight w:val="none"/>
        </w:rPr>
        <w:t>9.物流服务</w:t>
      </w:r>
      <w:bookmarkEnd w:id="109"/>
      <w:bookmarkEnd w:id="110"/>
    </w:p>
    <w:p w14:paraId="7346C992">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11" w:name="_Toc2125"/>
      <w:bookmarkStart w:id="112" w:name="_Toc4167"/>
      <w:r>
        <w:rPr>
          <w:rFonts w:hint="eastAsia" w:ascii="仿宋_GB2312" w:hAnsi="仿宋_GB2312" w:eastAsia="仿宋_GB2312" w:cs="仿宋_GB2312"/>
          <w:color w:val="000000"/>
          <w:sz w:val="22"/>
          <w:szCs w:val="22"/>
          <w:highlight w:val="none"/>
        </w:rPr>
        <w:t>10.导医服务</w:t>
      </w:r>
      <w:bookmarkEnd w:id="111"/>
      <w:bookmarkEnd w:id="112"/>
    </w:p>
    <w:p w14:paraId="01DCA565">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13" w:name="_Toc3596"/>
      <w:bookmarkStart w:id="114" w:name="_Toc13233"/>
      <w:r>
        <w:rPr>
          <w:rFonts w:hint="eastAsia" w:ascii="仿宋_GB2312" w:hAnsi="仿宋_GB2312" w:eastAsia="仿宋_GB2312" w:cs="仿宋_GB2312"/>
          <w:color w:val="000000"/>
          <w:sz w:val="22"/>
          <w:szCs w:val="22"/>
          <w:highlight w:val="none"/>
        </w:rPr>
        <w:t>11.医用信息化服务</w:t>
      </w:r>
      <w:bookmarkEnd w:id="113"/>
      <w:bookmarkEnd w:id="114"/>
    </w:p>
    <w:p w14:paraId="3CA4F54D">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15" w:name="_Toc13702"/>
      <w:bookmarkStart w:id="116" w:name="_Toc28819"/>
      <w:r>
        <w:rPr>
          <w:rFonts w:hint="eastAsia" w:ascii="仿宋_GB2312" w:hAnsi="仿宋_GB2312" w:eastAsia="仿宋_GB2312" w:cs="仿宋_GB2312"/>
          <w:color w:val="000000"/>
          <w:sz w:val="22"/>
          <w:szCs w:val="22"/>
          <w:highlight w:val="none"/>
        </w:rPr>
        <w:t>12.探视管理服务</w:t>
      </w:r>
      <w:bookmarkEnd w:id="115"/>
      <w:bookmarkEnd w:id="116"/>
    </w:p>
    <w:p w14:paraId="4C81FE46">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17" w:name="_Toc10532"/>
      <w:bookmarkStart w:id="118" w:name="_Toc1530"/>
      <w:r>
        <w:rPr>
          <w:rFonts w:hint="eastAsia" w:ascii="仿宋_GB2312" w:hAnsi="仿宋_GB2312" w:eastAsia="仿宋_GB2312" w:cs="仿宋_GB2312"/>
          <w:color w:val="000000"/>
          <w:sz w:val="22"/>
          <w:szCs w:val="22"/>
          <w:highlight w:val="none"/>
        </w:rPr>
        <w:t>13.院内洗涤服务</w:t>
      </w:r>
      <w:bookmarkEnd w:id="117"/>
      <w:bookmarkEnd w:id="118"/>
    </w:p>
    <w:p w14:paraId="75E4246C">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19" w:name="_Toc5020"/>
      <w:bookmarkStart w:id="120" w:name="_Toc23891"/>
      <w:r>
        <w:rPr>
          <w:rFonts w:hint="eastAsia" w:ascii="仿宋_GB2312" w:hAnsi="仿宋_GB2312" w:eastAsia="仿宋_GB2312" w:cs="仿宋_GB2312"/>
          <w:color w:val="000000"/>
          <w:sz w:val="22"/>
          <w:szCs w:val="22"/>
          <w:highlight w:val="none"/>
        </w:rPr>
        <w:t>14.司梯员服务</w:t>
      </w:r>
      <w:bookmarkEnd w:id="119"/>
      <w:bookmarkEnd w:id="120"/>
    </w:p>
    <w:p w14:paraId="6E4CF997">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21" w:name="_Toc14831"/>
      <w:bookmarkStart w:id="122" w:name="_Toc23949"/>
      <w:r>
        <w:rPr>
          <w:rFonts w:hint="eastAsia" w:ascii="仿宋_GB2312" w:hAnsi="仿宋_GB2312" w:eastAsia="仿宋_GB2312" w:cs="仿宋_GB2312"/>
          <w:color w:val="000000"/>
          <w:sz w:val="22"/>
          <w:szCs w:val="22"/>
          <w:highlight w:val="none"/>
        </w:rPr>
        <w:t>15.承（交）接查验</w:t>
      </w:r>
      <w:bookmarkEnd w:id="121"/>
      <w:bookmarkEnd w:id="122"/>
    </w:p>
    <w:p w14:paraId="2690ADA3">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23" w:name="_Toc9025"/>
      <w:bookmarkStart w:id="124" w:name="_Toc13492"/>
      <w:r>
        <w:rPr>
          <w:rFonts w:hint="eastAsia" w:ascii="仿宋_GB2312" w:hAnsi="仿宋_GB2312" w:eastAsia="仿宋_GB2312" w:cs="仿宋_GB2312"/>
          <w:color w:val="000000"/>
          <w:sz w:val="22"/>
          <w:szCs w:val="22"/>
          <w:highlight w:val="none"/>
        </w:rPr>
        <w:t>16.绿色物业管理服务</w:t>
      </w:r>
      <w:bookmarkEnd w:id="123"/>
      <w:bookmarkEnd w:id="124"/>
    </w:p>
    <w:p w14:paraId="313BA67E">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25" w:name="_Toc13166"/>
      <w:bookmarkStart w:id="126" w:name="_Toc24152"/>
      <w:r>
        <w:rPr>
          <w:rFonts w:hint="eastAsia" w:ascii="仿宋_GB2312" w:hAnsi="仿宋_GB2312" w:eastAsia="仿宋_GB2312" w:cs="仿宋_GB2312"/>
          <w:color w:val="000000"/>
          <w:sz w:val="22"/>
          <w:szCs w:val="22"/>
          <w:highlight w:val="none"/>
        </w:rPr>
        <w:t>17.标准化建设服务</w:t>
      </w:r>
      <w:bookmarkEnd w:id="125"/>
      <w:bookmarkEnd w:id="126"/>
    </w:p>
    <w:p w14:paraId="6E50AD06">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27" w:name="_Toc10754"/>
      <w:bookmarkStart w:id="128" w:name="_Toc444"/>
      <w:r>
        <w:rPr>
          <w:rFonts w:hint="eastAsia" w:ascii="仿宋_GB2312" w:hAnsi="仿宋_GB2312" w:eastAsia="仿宋_GB2312" w:cs="仿宋_GB2312"/>
          <w:color w:val="000000"/>
          <w:sz w:val="22"/>
          <w:szCs w:val="22"/>
          <w:highlight w:val="none"/>
        </w:rPr>
        <w:t>18.针对医院类物业的特约服务</w:t>
      </w:r>
      <w:bookmarkEnd w:id="127"/>
      <w:bookmarkEnd w:id="128"/>
    </w:p>
    <w:p w14:paraId="16C36F54">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29" w:name="_Toc29249"/>
      <w:bookmarkStart w:id="130" w:name="_Toc27118"/>
      <w:r>
        <w:rPr>
          <w:rFonts w:hint="eastAsia" w:ascii="仿宋_GB2312" w:hAnsi="仿宋_GB2312" w:eastAsia="仿宋_GB2312" w:cs="仿宋_GB2312"/>
          <w:color w:val="000000"/>
          <w:sz w:val="22"/>
          <w:szCs w:val="22"/>
          <w:highlight w:val="none"/>
        </w:rPr>
        <w:t>19.其它服务</w:t>
      </w:r>
      <w:bookmarkEnd w:id="129"/>
      <w:bookmarkEnd w:id="130"/>
    </w:p>
    <w:p w14:paraId="05A893BC">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ascii="仿宋_GB2312" w:hAnsi="仿宋_GB2312" w:eastAsia="仿宋_GB2312" w:cs="仿宋_GB2312"/>
          <w:color w:val="000000"/>
          <w:sz w:val="22"/>
          <w:szCs w:val="22"/>
          <w:highlight w:val="none"/>
          <w:lang w:val="en"/>
        </w:rPr>
      </w:pPr>
      <w:bookmarkStart w:id="131" w:name="_Toc18067"/>
      <w:bookmarkStart w:id="132" w:name="_Toc2909"/>
      <w:r>
        <w:rPr>
          <w:rFonts w:hint="eastAsia" w:ascii="仿宋_GB2312" w:hAnsi="仿宋_GB2312" w:eastAsia="仿宋_GB2312" w:cs="仿宋_GB2312"/>
          <w:color w:val="000000"/>
          <w:sz w:val="22"/>
          <w:szCs w:val="22"/>
          <w:highlight w:val="none"/>
          <w:lang w:val="en-US" w:eastAsia="zh-CN"/>
        </w:rPr>
        <w:t>具体服务内容、标准及要求详见征集文件第八部分。</w:t>
      </w:r>
      <w:r>
        <w:rPr>
          <w:rFonts w:hint="eastAsia" w:ascii="仿宋_GB2312" w:hAnsi="仿宋_GB2312" w:eastAsia="仿宋_GB2312" w:cs="仿宋_GB2312"/>
          <w:color w:val="000000"/>
          <w:sz w:val="22"/>
          <w:szCs w:val="22"/>
          <w:highlight w:val="none"/>
        </w:rPr>
        <w:t>实际服务内容</w:t>
      </w:r>
      <w:r>
        <w:rPr>
          <w:rFonts w:hint="eastAsia" w:ascii="仿宋_GB2312" w:hAnsi="仿宋_GB2312" w:eastAsia="仿宋_GB2312" w:cs="仿宋_GB2312"/>
          <w:color w:val="000000"/>
          <w:sz w:val="22"/>
          <w:szCs w:val="22"/>
          <w:highlight w:val="none"/>
          <w:lang w:eastAsia="zh-CN"/>
        </w:rPr>
        <w:t>、</w:t>
      </w:r>
      <w:r>
        <w:rPr>
          <w:rFonts w:hint="eastAsia" w:ascii="仿宋_GB2312" w:hAnsi="仿宋_GB2312" w:eastAsia="仿宋_GB2312" w:cs="仿宋_GB2312"/>
          <w:color w:val="000000"/>
          <w:sz w:val="22"/>
          <w:szCs w:val="22"/>
          <w:highlight w:val="none"/>
        </w:rPr>
        <w:t>标准</w:t>
      </w:r>
      <w:r>
        <w:rPr>
          <w:rFonts w:hint="eastAsia" w:ascii="仿宋_GB2312" w:hAnsi="仿宋_GB2312" w:eastAsia="仿宋_GB2312" w:cs="仿宋_GB2312"/>
          <w:color w:val="000000"/>
          <w:sz w:val="22"/>
          <w:szCs w:val="22"/>
          <w:highlight w:val="none"/>
          <w:lang w:val="en-US" w:eastAsia="zh-CN"/>
        </w:rPr>
        <w:t>及要求</w:t>
      </w:r>
      <w:r>
        <w:rPr>
          <w:rFonts w:hint="eastAsia" w:ascii="仿宋_GB2312" w:hAnsi="仿宋_GB2312" w:eastAsia="仿宋_GB2312" w:cs="仿宋_GB2312"/>
          <w:color w:val="000000"/>
          <w:sz w:val="22"/>
          <w:szCs w:val="22"/>
          <w:highlight w:val="none"/>
        </w:rPr>
        <w:t>以采购人具体项目的实际需求为准</w:t>
      </w:r>
      <w:r>
        <w:rPr>
          <w:rFonts w:hint="eastAsia" w:ascii="仿宋_GB2312" w:hAnsi="仿宋_GB2312" w:eastAsia="仿宋_GB2312" w:cs="仿宋_GB2312"/>
          <w:color w:val="000000"/>
          <w:sz w:val="22"/>
          <w:szCs w:val="22"/>
          <w:highlight w:val="none"/>
          <w:lang w:val="en"/>
        </w:rPr>
        <w:t>。</w:t>
      </w:r>
      <w:bookmarkEnd w:id="131"/>
    </w:p>
    <w:bookmarkEnd w:id="132"/>
    <w:p w14:paraId="399B2162">
      <w:pPr>
        <w:keepNext w:val="0"/>
        <w:keepLines w:val="0"/>
        <w:pageBreakBefore w:val="0"/>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楷体_GB2312" w:hAnsi="仿宋_GB2312" w:eastAsia="楷体_GB2312" w:cs="仿宋_GB2312"/>
          <w:color w:val="000000"/>
          <w:sz w:val="22"/>
          <w:szCs w:val="22"/>
          <w:highlight w:val="none"/>
        </w:rPr>
      </w:pPr>
      <w:bookmarkStart w:id="133" w:name="_Toc28527"/>
      <w:bookmarkStart w:id="134" w:name="_Toc26026"/>
      <w:r>
        <w:rPr>
          <w:rFonts w:hint="eastAsia" w:ascii="楷体_GB2312" w:hAnsi="仿宋_GB2312" w:eastAsia="楷体_GB2312" w:cs="仿宋_GB2312"/>
          <w:color w:val="000000"/>
          <w:sz w:val="22"/>
          <w:szCs w:val="22"/>
          <w:highlight w:val="none"/>
        </w:rPr>
        <w:t>（三）院校类物业服务</w:t>
      </w:r>
      <w:bookmarkEnd w:id="133"/>
      <w:bookmarkEnd w:id="134"/>
    </w:p>
    <w:p w14:paraId="31AA7417">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35" w:name="_Toc32018"/>
      <w:bookmarkStart w:id="136" w:name="_Toc13420"/>
      <w:r>
        <w:rPr>
          <w:rFonts w:hint="eastAsia" w:ascii="仿宋_GB2312" w:hAnsi="仿宋_GB2312" w:eastAsia="仿宋_GB2312" w:cs="仿宋_GB2312"/>
          <w:color w:val="000000"/>
          <w:sz w:val="22"/>
          <w:szCs w:val="22"/>
          <w:highlight w:val="none"/>
        </w:rPr>
        <w:t>1.综合管理服务</w:t>
      </w:r>
      <w:bookmarkEnd w:id="135"/>
      <w:bookmarkEnd w:id="136"/>
    </w:p>
    <w:p w14:paraId="2FA00367">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37" w:name="_Toc8923"/>
      <w:bookmarkStart w:id="138" w:name="_Toc3697"/>
      <w:r>
        <w:rPr>
          <w:rFonts w:hint="eastAsia" w:ascii="仿宋_GB2312" w:hAnsi="仿宋_GB2312" w:eastAsia="仿宋_GB2312" w:cs="仿宋_GB2312"/>
          <w:color w:val="000000"/>
          <w:sz w:val="22"/>
          <w:szCs w:val="22"/>
          <w:highlight w:val="none"/>
        </w:rPr>
        <w:t>2.建筑物日常养护维修服务</w:t>
      </w:r>
      <w:bookmarkEnd w:id="137"/>
      <w:bookmarkEnd w:id="138"/>
    </w:p>
    <w:p w14:paraId="6FC31034">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39" w:name="_Toc11360"/>
      <w:bookmarkStart w:id="140" w:name="_Toc29356"/>
      <w:r>
        <w:rPr>
          <w:rFonts w:hint="eastAsia" w:ascii="仿宋_GB2312" w:hAnsi="仿宋_GB2312" w:eastAsia="仿宋_GB2312" w:cs="仿宋_GB2312"/>
          <w:color w:val="000000"/>
          <w:sz w:val="22"/>
          <w:szCs w:val="22"/>
          <w:highlight w:val="none"/>
        </w:rPr>
        <w:t>3.公共设施设备维护服务</w:t>
      </w:r>
      <w:bookmarkEnd w:id="139"/>
      <w:bookmarkEnd w:id="140"/>
    </w:p>
    <w:p w14:paraId="7F8E2098">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41" w:name="_Toc26469"/>
      <w:bookmarkStart w:id="142" w:name="_Toc8841"/>
      <w:r>
        <w:rPr>
          <w:rFonts w:hint="eastAsia" w:ascii="仿宋_GB2312" w:hAnsi="仿宋_GB2312" w:eastAsia="仿宋_GB2312" w:cs="仿宋_GB2312"/>
          <w:color w:val="000000"/>
          <w:sz w:val="22"/>
          <w:szCs w:val="22"/>
          <w:highlight w:val="none"/>
        </w:rPr>
        <w:t>4.保洁服务</w:t>
      </w:r>
      <w:bookmarkEnd w:id="141"/>
      <w:bookmarkEnd w:id="142"/>
    </w:p>
    <w:p w14:paraId="2166BEAA">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43" w:name="_Toc5205"/>
      <w:bookmarkStart w:id="144" w:name="_Toc9649"/>
      <w:r>
        <w:rPr>
          <w:rFonts w:hint="eastAsia" w:ascii="仿宋_GB2312" w:hAnsi="仿宋_GB2312" w:eastAsia="仿宋_GB2312" w:cs="仿宋_GB2312"/>
          <w:color w:val="000000"/>
          <w:sz w:val="22"/>
          <w:szCs w:val="22"/>
          <w:highlight w:val="none"/>
        </w:rPr>
        <w:t>5.绿化养护服务</w:t>
      </w:r>
      <w:bookmarkEnd w:id="143"/>
      <w:bookmarkEnd w:id="144"/>
    </w:p>
    <w:p w14:paraId="2ECCEDC0">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45" w:name="_Toc21336"/>
      <w:bookmarkStart w:id="146" w:name="_Toc23754"/>
      <w:r>
        <w:rPr>
          <w:rFonts w:hint="eastAsia" w:ascii="仿宋_GB2312" w:hAnsi="仿宋_GB2312" w:eastAsia="仿宋_GB2312" w:cs="仿宋_GB2312"/>
          <w:color w:val="000000"/>
          <w:sz w:val="22"/>
          <w:szCs w:val="22"/>
          <w:highlight w:val="none"/>
        </w:rPr>
        <w:t>6.接待和会议服务</w:t>
      </w:r>
      <w:bookmarkEnd w:id="145"/>
      <w:bookmarkEnd w:id="146"/>
    </w:p>
    <w:p w14:paraId="7364DAEC">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47" w:name="_Toc6603"/>
      <w:bookmarkStart w:id="148" w:name="_Toc5871"/>
      <w:r>
        <w:rPr>
          <w:rFonts w:hint="eastAsia" w:ascii="仿宋_GB2312" w:hAnsi="仿宋_GB2312" w:eastAsia="仿宋_GB2312" w:cs="仿宋_GB2312"/>
          <w:color w:val="000000"/>
          <w:sz w:val="22"/>
          <w:szCs w:val="22"/>
          <w:highlight w:val="none"/>
        </w:rPr>
        <w:t>7.生活保障管理服务</w:t>
      </w:r>
      <w:bookmarkEnd w:id="147"/>
      <w:bookmarkEnd w:id="148"/>
    </w:p>
    <w:p w14:paraId="04FBFFFE">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49" w:name="_Toc4062"/>
      <w:bookmarkStart w:id="150" w:name="_Toc5108"/>
      <w:r>
        <w:rPr>
          <w:rFonts w:hint="eastAsia" w:ascii="仿宋_GB2312" w:hAnsi="仿宋_GB2312" w:eastAsia="仿宋_GB2312" w:cs="仿宋_GB2312"/>
          <w:color w:val="000000"/>
          <w:sz w:val="22"/>
          <w:szCs w:val="22"/>
          <w:highlight w:val="none"/>
        </w:rPr>
        <w:t>8.教研管理服务</w:t>
      </w:r>
      <w:bookmarkEnd w:id="149"/>
      <w:bookmarkEnd w:id="150"/>
    </w:p>
    <w:p w14:paraId="77D4C195">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51" w:name="_Toc5589"/>
      <w:bookmarkStart w:id="152" w:name="_Toc32056"/>
      <w:r>
        <w:rPr>
          <w:rFonts w:hint="eastAsia" w:ascii="仿宋_GB2312" w:hAnsi="仿宋_GB2312" w:eastAsia="仿宋_GB2312" w:cs="仿宋_GB2312"/>
          <w:color w:val="000000"/>
          <w:sz w:val="22"/>
          <w:szCs w:val="22"/>
          <w:highlight w:val="none"/>
        </w:rPr>
        <w:t>9.特殊时段管理服务</w:t>
      </w:r>
      <w:bookmarkEnd w:id="151"/>
      <w:bookmarkEnd w:id="152"/>
    </w:p>
    <w:p w14:paraId="7B87DDA7">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53" w:name="_Toc15629"/>
      <w:bookmarkStart w:id="154" w:name="_Toc14696"/>
      <w:r>
        <w:rPr>
          <w:rFonts w:hint="eastAsia" w:ascii="仿宋_GB2312" w:hAnsi="仿宋_GB2312" w:eastAsia="仿宋_GB2312" w:cs="仿宋_GB2312"/>
          <w:color w:val="000000"/>
          <w:sz w:val="22"/>
          <w:szCs w:val="22"/>
          <w:highlight w:val="none"/>
        </w:rPr>
        <w:t>10.接送学生管理服务</w:t>
      </w:r>
      <w:bookmarkEnd w:id="153"/>
      <w:bookmarkEnd w:id="154"/>
    </w:p>
    <w:p w14:paraId="3EFF46E2">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55" w:name="_Toc1787"/>
      <w:bookmarkStart w:id="156" w:name="_Toc4629"/>
      <w:r>
        <w:rPr>
          <w:rFonts w:hint="eastAsia" w:ascii="仿宋_GB2312" w:hAnsi="仿宋_GB2312" w:eastAsia="仿宋_GB2312" w:cs="仿宋_GB2312"/>
          <w:color w:val="000000"/>
          <w:sz w:val="22"/>
          <w:szCs w:val="22"/>
          <w:highlight w:val="none"/>
        </w:rPr>
        <w:t>11.承（交）接查验</w:t>
      </w:r>
      <w:bookmarkEnd w:id="155"/>
      <w:bookmarkEnd w:id="156"/>
    </w:p>
    <w:p w14:paraId="43D4A243">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57" w:name="_Toc27039"/>
      <w:bookmarkStart w:id="158" w:name="_Toc16581"/>
      <w:r>
        <w:rPr>
          <w:rFonts w:hint="eastAsia" w:ascii="仿宋_GB2312" w:hAnsi="仿宋_GB2312" w:eastAsia="仿宋_GB2312" w:cs="仿宋_GB2312"/>
          <w:color w:val="000000"/>
          <w:sz w:val="22"/>
          <w:szCs w:val="22"/>
          <w:highlight w:val="none"/>
        </w:rPr>
        <w:t>12.绿色物业管理服务</w:t>
      </w:r>
      <w:bookmarkEnd w:id="157"/>
      <w:bookmarkEnd w:id="158"/>
    </w:p>
    <w:p w14:paraId="1BA3D94C">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59" w:name="_Toc10556"/>
      <w:bookmarkStart w:id="160" w:name="_Toc17115"/>
      <w:r>
        <w:rPr>
          <w:rFonts w:hint="eastAsia" w:ascii="仿宋_GB2312" w:hAnsi="仿宋_GB2312" w:eastAsia="仿宋_GB2312" w:cs="仿宋_GB2312"/>
          <w:color w:val="000000"/>
          <w:sz w:val="22"/>
          <w:szCs w:val="22"/>
          <w:highlight w:val="none"/>
        </w:rPr>
        <w:t>13.标准化建设服务</w:t>
      </w:r>
      <w:bookmarkEnd w:id="159"/>
      <w:bookmarkEnd w:id="160"/>
    </w:p>
    <w:p w14:paraId="2BA477F7">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61" w:name="_Toc11363"/>
      <w:bookmarkStart w:id="162" w:name="_Toc30256"/>
      <w:r>
        <w:rPr>
          <w:rFonts w:hint="eastAsia" w:ascii="仿宋_GB2312" w:hAnsi="仿宋_GB2312" w:eastAsia="仿宋_GB2312" w:cs="仿宋_GB2312"/>
          <w:color w:val="000000"/>
          <w:sz w:val="22"/>
          <w:szCs w:val="22"/>
          <w:highlight w:val="none"/>
        </w:rPr>
        <w:t>14.针对院校类物业的特约服务</w:t>
      </w:r>
      <w:bookmarkEnd w:id="161"/>
      <w:bookmarkEnd w:id="162"/>
    </w:p>
    <w:p w14:paraId="5557B2FD">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63" w:name="_Toc26117"/>
      <w:bookmarkStart w:id="164" w:name="_Toc4220"/>
      <w:r>
        <w:rPr>
          <w:rFonts w:hint="eastAsia" w:ascii="仿宋_GB2312" w:hAnsi="仿宋_GB2312" w:eastAsia="仿宋_GB2312" w:cs="仿宋_GB2312"/>
          <w:color w:val="000000"/>
          <w:sz w:val="22"/>
          <w:szCs w:val="22"/>
          <w:highlight w:val="none"/>
        </w:rPr>
        <w:t>15.其它服务</w:t>
      </w:r>
      <w:bookmarkEnd w:id="163"/>
      <w:bookmarkEnd w:id="164"/>
    </w:p>
    <w:p w14:paraId="6E46252B">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ascii="仿宋_GB2312" w:hAnsi="仿宋_GB2312" w:eastAsia="仿宋_GB2312" w:cs="仿宋_GB2312"/>
          <w:color w:val="000000"/>
          <w:sz w:val="22"/>
          <w:szCs w:val="22"/>
          <w:highlight w:val="none"/>
          <w:lang w:val="en"/>
        </w:rPr>
      </w:pPr>
      <w:bookmarkStart w:id="165" w:name="_Toc16778"/>
      <w:bookmarkStart w:id="166" w:name="_Toc5280"/>
      <w:r>
        <w:rPr>
          <w:rFonts w:hint="eastAsia" w:ascii="仿宋_GB2312" w:hAnsi="仿宋_GB2312" w:eastAsia="仿宋_GB2312" w:cs="仿宋_GB2312"/>
          <w:color w:val="000000"/>
          <w:sz w:val="22"/>
          <w:szCs w:val="22"/>
          <w:highlight w:val="none"/>
          <w:lang w:val="en-US" w:eastAsia="zh-CN"/>
        </w:rPr>
        <w:t>具体服务内容、标准及要求详见征集文件第八部分。</w:t>
      </w:r>
      <w:r>
        <w:rPr>
          <w:rFonts w:hint="eastAsia" w:ascii="仿宋_GB2312" w:hAnsi="仿宋_GB2312" w:eastAsia="仿宋_GB2312" w:cs="仿宋_GB2312"/>
          <w:color w:val="000000"/>
          <w:sz w:val="22"/>
          <w:szCs w:val="22"/>
          <w:highlight w:val="none"/>
        </w:rPr>
        <w:t>实际服务内容</w:t>
      </w:r>
      <w:r>
        <w:rPr>
          <w:rFonts w:hint="eastAsia" w:ascii="仿宋_GB2312" w:hAnsi="仿宋_GB2312" w:eastAsia="仿宋_GB2312" w:cs="仿宋_GB2312"/>
          <w:color w:val="000000"/>
          <w:sz w:val="22"/>
          <w:szCs w:val="22"/>
          <w:highlight w:val="none"/>
          <w:lang w:eastAsia="zh-CN"/>
        </w:rPr>
        <w:t>、</w:t>
      </w:r>
      <w:r>
        <w:rPr>
          <w:rFonts w:hint="eastAsia" w:ascii="仿宋_GB2312" w:hAnsi="仿宋_GB2312" w:eastAsia="仿宋_GB2312" w:cs="仿宋_GB2312"/>
          <w:color w:val="000000"/>
          <w:sz w:val="22"/>
          <w:szCs w:val="22"/>
          <w:highlight w:val="none"/>
        </w:rPr>
        <w:t>标准</w:t>
      </w:r>
      <w:r>
        <w:rPr>
          <w:rFonts w:hint="eastAsia" w:ascii="仿宋_GB2312" w:hAnsi="仿宋_GB2312" w:eastAsia="仿宋_GB2312" w:cs="仿宋_GB2312"/>
          <w:color w:val="000000"/>
          <w:sz w:val="22"/>
          <w:szCs w:val="22"/>
          <w:highlight w:val="none"/>
          <w:lang w:val="en-US" w:eastAsia="zh-CN"/>
        </w:rPr>
        <w:t>及要求</w:t>
      </w:r>
      <w:r>
        <w:rPr>
          <w:rFonts w:hint="eastAsia" w:ascii="仿宋_GB2312" w:hAnsi="仿宋_GB2312" w:eastAsia="仿宋_GB2312" w:cs="仿宋_GB2312"/>
          <w:color w:val="000000"/>
          <w:sz w:val="22"/>
          <w:szCs w:val="22"/>
          <w:highlight w:val="none"/>
        </w:rPr>
        <w:t>以采购人具体项目的实际需求为准</w:t>
      </w:r>
      <w:r>
        <w:rPr>
          <w:rFonts w:hint="eastAsia" w:ascii="仿宋_GB2312" w:hAnsi="仿宋_GB2312" w:eastAsia="仿宋_GB2312" w:cs="仿宋_GB2312"/>
          <w:color w:val="000000"/>
          <w:sz w:val="22"/>
          <w:szCs w:val="22"/>
          <w:highlight w:val="none"/>
          <w:lang w:val="en"/>
        </w:rPr>
        <w:t>。</w:t>
      </w:r>
      <w:bookmarkEnd w:id="165"/>
    </w:p>
    <w:bookmarkEnd w:id="166"/>
    <w:p w14:paraId="454C14ED">
      <w:pPr>
        <w:keepNext w:val="0"/>
        <w:keepLines w:val="0"/>
        <w:pageBreakBefore w:val="0"/>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楷体_GB2312" w:hAnsi="仿宋_GB2312" w:eastAsia="楷体_GB2312" w:cs="仿宋_GB2312"/>
          <w:color w:val="000000"/>
          <w:sz w:val="22"/>
          <w:szCs w:val="22"/>
          <w:highlight w:val="none"/>
          <w:lang w:val="en-US" w:eastAsia="zh-CN"/>
        </w:rPr>
      </w:pPr>
      <w:bookmarkStart w:id="167" w:name="_Toc31670"/>
      <w:bookmarkStart w:id="168" w:name="_Toc25661"/>
      <w:r>
        <w:rPr>
          <w:rFonts w:hint="eastAsia" w:ascii="楷体_GB2312" w:hAnsi="仿宋_GB2312" w:eastAsia="楷体_GB2312" w:cs="仿宋_GB2312"/>
          <w:color w:val="000000"/>
          <w:sz w:val="22"/>
          <w:szCs w:val="22"/>
          <w:highlight w:val="none"/>
          <w:lang w:val="en-US" w:eastAsia="zh-CN"/>
        </w:rPr>
        <w:t>（四）其他</w:t>
      </w:r>
      <w:bookmarkEnd w:id="167"/>
      <w:bookmarkEnd w:id="168"/>
    </w:p>
    <w:p w14:paraId="178F74CE">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lang w:val="en" w:eastAsia="zh-CN"/>
        </w:rPr>
      </w:pPr>
      <w:bookmarkStart w:id="169" w:name="_Toc31107"/>
      <w:bookmarkStart w:id="170" w:name="_Toc7532"/>
      <w:r>
        <w:rPr>
          <w:rFonts w:hint="eastAsia" w:ascii="仿宋_GB2312" w:hAnsi="仿宋_GB2312" w:eastAsia="仿宋_GB2312" w:cs="仿宋_GB2312"/>
          <w:color w:val="000000"/>
          <w:sz w:val="22"/>
          <w:szCs w:val="22"/>
          <w:highlight w:val="none"/>
          <w:lang w:val="en-US" w:eastAsia="zh-CN"/>
        </w:rPr>
        <w:t>参照综合办公类、医院类、院校类等相关服务内容。实际服务内容、标准及要求以采购人具体项目的实际需求为准</w:t>
      </w:r>
      <w:r>
        <w:rPr>
          <w:rFonts w:hint="eastAsia" w:ascii="仿宋_GB2312" w:hAnsi="仿宋_GB2312" w:eastAsia="仿宋_GB2312" w:cs="仿宋_GB2312"/>
          <w:color w:val="000000"/>
          <w:sz w:val="22"/>
          <w:szCs w:val="22"/>
          <w:highlight w:val="none"/>
          <w:lang w:val="en" w:eastAsia="zh-CN"/>
        </w:rPr>
        <w:t>。</w:t>
      </w:r>
      <w:bookmarkEnd w:id="169"/>
      <w:bookmarkEnd w:id="170"/>
    </w:p>
    <w:p w14:paraId="6D4A3BBF">
      <w:pPr>
        <w:keepNext w:val="0"/>
        <w:keepLines w:val="0"/>
        <w:pageBreakBefore w:val="0"/>
        <w:widowControl w:val="0"/>
        <w:numPr>
          <w:ilvl w:val="0"/>
          <w:numId w:val="22"/>
        </w:numPr>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黑体" w:hAnsi="黑体" w:eastAsia="黑体" w:cs="仿宋_GB2312"/>
          <w:color w:val="000000"/>
          <w:sz w:val="22"/>
          <w:szCs w:val="22"/>
        </w:rPr>
      </w:pPr>
      <w:bookmarkStart w:id="171" w:name="_Toc25685"/>
      <w:bookmarkStart w:id="172" w:name="_Toc9410"/>
      <w:r>
        <w:rPr>
          <w:rFonts w:hint="eastAsia" w:ascii="黑体" w:hAnsi="黑体" w:eastAsia="黑体" w:cs="仿宋_GB2312"/>
          <w:color w:val="000000"/>
          <w:sz w:val="22"/>
          <w:szCs w:val="22"/>
        </w:rPr>
        <w:t>响应报价依据及要求</w:t>
      </w:r>
      <w:bookmarkEnd w:id="171"/>
      <w:bookmarkEnd w:id="172"/>
    </w:p>
    <w:p w14:paraId="7CC08DD6">
      <w:pPr>
        <w:keepNext w:val="0"/>
        <w:keepLines w:val="0"/>
        <w:pageBreakBefore w:val="0"/>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楷体_GB2312" w:hAnsi="仿宋_GB2312" w:eastAsia="楷体_GB2312" w:cs="仿宋_GB2312"/>
          <w:color w:val="000000"/>
          <w:sz w:val="22"/>
          <w:szCs w:val="22"/>
          <w:highlight w:val="none"/>
          <w:lang w:val="en-US" w:eastAsia="zh-CN"/>
        </w:rPr>
      </w:pPr>
      <w:bookmarkStart w:id="173" w:name="_Toc30780"/>
      <w:bookmarkStart w:id="174" w:name="_Toc14509"/>
      <w:r>
        <w:rPr>
          <w:rFonts w:hint="eastAsia" w:ascii="楷体_GB2312" w:hAnsi="仿宋_GB2312" w:eastAsia="楷体_GB2312" w:cs="仿宋_GB2312"/>
          <w:color w:val="000000"/>
          <w:sz w:val="22"/>
          <w:szCs w:val="22"/>
          <w:highlight w:val="none"/>
          <w:lang w:val="en-US" w:eastAsia="zh-CN"/>
        </w:rPr>
        <w:t>（一）报价依据</w:t>
      </w:r>
      <w:bookmarkEnd w:id="173"/>
      <w:bookmarkEnd w:id="174"/>
    </w:p>
    <w:p w14:paraId="3ADF8D2F">
      <w:pPr>
        <w:pStyle w:val="80"/>
        <w:keepNext w:val="0"/>
        <w:keepLines w:val="0"/>
        <w:pageBreakBefore w:val="0"/>
        <w:kinsoku/>
        <w:wordWrap/>
        <w:overflowPunct/>
        <w:topLinePunct w:val="0"/>
        <w:autoSpaceDE/>
        <w:autoSpaceDN/>
        <w:bidi w:val="0"/>
        <w:adjustRightInd/>
        <w:snapToGrid/>
        <w:spacing w:line="400" w:lineRule="exact"/>
        <w:ind w:left="0" w:leftChars="0" w:firstLine="440" w:firstLineChars="200"/>
        <w:textAlignment w:val="baseline"/>
        <w:rPr>
          <w:rFonts w:ascii="仿宋_GB2312" w:hAnsi="仿宋_GB2312" w:eastAsia="仿宋_GB2312" w:cs="仿宋_GB2312"/>
          <w:color w:val="000000"/>
          <w:sz w:val="22"/>
          <w:szCs w:val="22"/>
          <w:highlight w:val="none"/>
          <w:u w:val="none"/>
        </w:rPr>
      </w:pPr>
      <w:r>
        <w:rPr>
          <w:rFonts w:hint="eastAsia" w:ascii="仿宋_GB2312" w:hAnsi="仿宋_GB2312" w:eastAsia="仿宋_GB2312" w:cs="仿宋_GB2312"/>
          <w:color w:val="000000"/>
          <w:sz w:val="22"/>
          <w:szCs w:val="22"/>
          <w:highlight w:val="none"/>
          <w:u w:val="none"/>
        </w:rPr>
        <w:t>本征集文件明确的</w:t>
      </w:r>
      <w:r>
        <w:rPr>
          <w:rFonts w:hint="eastAsia" w:ascii="仿宋_GB2312" w:hAnsi="仿宋_GB2312" w:eastAsia="仿宋_GB2312" w:cs="仿宋_GB2312"/>
          <w:color w:val="000000"/>
          <w:sz w:val="22"/>
          <w:szCs w:val="22"/>
          <w:highlight w:val="none"/>
          <w:lang w:val="en-US" w:eastAsia="zh-CN"/>
        </w:rPr>
        <w:t>服务内容、标准及要求</w:t>
      </w:r>
      <w:r>
        <w:rPr>
          <w:rFonts w:hint="eastAsia" w:ascii="仿宋_GB2312" w:hAnsi="仿宋_GB2312" w:eastAsia="仿宋_GB2312" w:cs="仿宋_GB2312"/>
          <w:color w:val="000000"/>
          <w:sz w:val="22"/>
          <w:szCs w:val="22"/>
          <w:highlight w:val="none"/>
          <w:u w:val="none"/>
        </w:rPr>
        <w:t>。</w:t>
      </w:r>
    </w:p>
    <w:p w14:paraId="47CFCF99">
      <w:pPr>
        <w:keepNext w:val="0"/>
        <w:keepLines w:val="0"/>
        <w:pageBreakBefore w:val="0"/>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楷体_GB2312" w:hAnsi="仿宋_GB2312" w:eastAsia="楷体_GB2312" w:cs="仿宋_GB2312"/>
          <w:color w:val="000000"/>
          <w:sz w:val="22"/>
          <w:szCs w:val="22"/>
          <w:highlight w:val="none"/>
          <w:lang w:val="en-US" w:eastAsia="zh-CN"/>
        </w:rPr>
      </w:pPr>
      <w:bookmarkStart w:id="175" w:name="_Toc30939"/>
      <w:bookmarkStart w:id="176" w:name="_Toc31448"/>
      <w:r>
        <w:rPr>
          <w:rFonts w:hint="eastAsia" w:ascii="楷体_GB2312" w:hAnsi="仿宋_GB2312" w:eastAsia="楷体_GB2312" w:cs="仿宋_GB2312"/>
          <w:color w:val="000000"/>
          <w:sz w:val="22"/>
          <w:szCs w:val="22"/>
          <w:highlight w:val="none"/>
          <w:lang w:val="en-US" w:eastAsia="zh-CN"/>
        </w:rPr>
        <w:t>（二）响应报价要求</w:t>
      </w:r>
      <w:bookmarkEnd w:id="175"/>
      <w:bookmarkEnd w:id="176"/>
    </w:p>
    <w:p w14:paraId="3933FE74">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77" w:name="_Toc17879"/>
      <w:bookmarkStart w:id="178" w:name="_Toc5984"/>
      <w:r>
        <w:rPr>
          <w:rFonts w:hint="eastAsia" w:ascii="仿宋_GB2312" w:hAnsi="仿宋_GB2312" w:eastAsia="仿宋_GB2312" w:cs="仿宋_GB2312"/>
          <w:color w:val="000000"/>
          <w:sz w:val="22"/>
          <w:szCs w:val="22"/>
          <w:highlight w:val="none"/>
          <w:lang w:val="en-US" w:eastAsia="zh-CN"/>
        </w:rPr>
        <w:t>1</w:t>
      </w:r>
      <w:r>
        <w:rPr>
          <w:rFonts w:hint="eastAsia" w:ascii="仿宋_GB2312" w:hAnsi="仿宋_GB2312" w:eastAsia="仿宋_GB2312" w:cs="仿宋_GB2312"/>
          <w:color w:val="000000"/>
          <w:sz w:val="22"/>
          <w:szCs w:val="22"/>
          <w:highlight w:val="none"/>
        </w:rPr>
        <w:t>.供应商填报的岗位报价包括</w:t>
      </w:r>
      <w:r>
        <w:rPr>
          <w:rFonts w:hint="eastAsia" w:ascii="仿宋_GB2312" w:hAnsi="仿宋_GB2312" w:eastAsia="仿宋_GB2312" w:cs="仿宋_GB2312"/>
          <w:color w:val="000000"/>
          <w:sz w:val="22"/>
          <w:szCs w:val="22"/>
          <w:highlight w:val="none"/>
          <w:lang w:val="en-US" w:eastAsia="zh-CN"/>
        </w:rPr>
        <w:t>办公场所水电供应服务、设备运行、门窗保养维护、保洁、绿化养护等管理及服务的</w:t>
      </w:r>
      <w:r>
        <w:rPr>
          <w:rFonts w:hint="eastAsia" w:ascii="仿宋_GB2312" w:hAnsi="仿宋_GB2312" w:eastAsia="仿宋_GB2312" w:cs="仿宋_GB2312"/>
          <w:color w:val="000000"/>
          <w:sz w:val="22"/>
          <w:szCs w:val="22"/>
          <w:highlight w:val="none"/>
        </w:rPr>
        <w:t>人工成本（含工资、社会保险及公积金、加班费、餐费、服装费、相关福利、培训费用等）、管理费、税费及利润等。</w:t>
      </w:r>
      <w:bookmarkEnd w:id="177"/>
      <w:bookmarkEnd w:id="178"/>
    </w:p>
    <w:p w14:paraId="74C5B6FE">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79" w:name="_Toc20115"/>
      <w:bookmarkStart w:id="180" w:name="_Toc6805"/>
      <w:r>
        <w:rPr>
          <w:rFonts w:hint="eastAsia" w:ascii="仿宋_GB2312" w:hAnsi="仿宋_GB2312" w:eastAsia="仿宋_GB2312" w:cs="仿宋_GB2312"/>
          <w:color w:val="000000"/>
          <w:sz w:val="22"/>
          <w:szCs w:val="22"/>
          <w:highlight w:val="none"/>
        </w:rPr>
        <w:t>岗位报价</w:t>
      </w:r>
      <w:r>
        <w:rPr>
          <w:rFonts w:hint="eastAsia" w:ascii="仿宋_GB2312" w:hAnsi="仿宋_GB2312" w:eastAsia="仿宋_GB2312" w:cs="仿宋_GB2312"/>
          <w:color w:val="000000"/>
          <w:sz w:val="22"/>
          <w:szCs w:val="22"/>
          <w:highlight w:val="none"/>
          <w:lang w:val="en-US" w:eastAsia="zh-CN"/>
        </w:rPr>
        <w:t>不包括</w:t>
      </w:r>
      <w:r>
        <w:rPr>
          <w:rFonts w:hint="eastAsia" w:ascii="仿宋_GB2312" w:hAnsi="仿宋_GB2312" w:eastAsia="仿宋_GB2312" w:cs="仿宋_GB2312"/>
          <w:color w:val="000000"/>
          <w:sz w:val="22"/>
          <w:szCs w:val="22"/>
          <w:highlight w:val="none"/>
        </w:rPr>
        <w:t>卫生间用纸及洗手液、化粪池清淘、除四害、地毯清洗等专业化清洗、</w:t>
      </w:r>
      <w:r>
        <w:rPr>
          <w:rFonts w:hint="eastAsia" w:ascii="仿宋_GB2312" w:hAnsi="仿宋_GB2312" w:eastAsia="仿宋_GB2312" w:cs="仿宋_GB2312"/>
          <w:color w:val="000000"/>
          <w:sz w:val="22"/>
          <w:szCs w:val="22"/>
          <w:highlight w:val="none"/>
          <w:lang w:val="en-US" w:eastAsia="zh-CN"/>
        </w:rPr>
        <w:t>专项维修、</w:t>
      </w:r>
      <w:r>
        <w:rPr>
          <w:rFonts w:hint="eastAsia" w:ascii="仿宋_GB2312" w:hAnsi="仿宋_GB2312" w:eastAsia="仿宋_GB2312" w:cs="仿宋_GB2312"/>
          <w:color w:val="000000"/>
          <w:sz w:val="22"/>
          <w:szCs w:val="22"/>
          <w:highlight w:val="none"/>
        </w:rPr>
        <w:t>空调电梯消防等专业维保</w:t>
      </w:r>
      <w:r>
        <w:rPr>
          <w:rFonts w:hint="eastAsia" w:ascii="仿宋_GB2312" w:hAnsi="仿宋_GB2312" w:eastAsia="仿宋_GB2312" w:cs="仿宋_GB2312"/>
          <w:color w:val="000000"/>
          <w:sz w:val="22"/>
          <w:szCs w:val="22"/>
          <w:highlight w:val="none"/>
          <w:lang w:eastAsia="zh-CN"/>
        </w:rPr>
        <w:t>、</w:t>
      </w:r>
      <w:r>
        <w:rPr>
          <w:rFonts w:hint="eastAsia" w:ascii="仿宋_GB2312" w:hAnsi="仿宋_GB2312" w:eastAsia="仿宋_GB2312" w:cs="仿宋_GB2312"/>
          <w:color w:val="000000"/>
          <w:sz w:val="22"/>
          <w:szCs w:val="22"/>
          <w:highlight w:val="none"/>
        </w:rPr>
        <w:t>检测等</w:t>
      </w:r>
      <w:r>
        <w:rPr>
          <w:rFonts w:hint="eastAsia" w:ascii="仿宋_GB2312" w:hAnsi="仿宋_GB2312" w:eastAsia="仿宋_GB2312" w:cs="仿宋_GB2312"/>
          <w:color w:val="000000"/>
          <w:sz w:val="22"/>
          <w:szCs w:val="22"/>
          <w:highlight w:val="none"/>
          <w:lang w:val="en-US" w:eastAsia="zh-CN"/>
        </w:rPr>
        <w:t>费用</w:t>
      </w:r>
      <w:r>
        <w:rPr>
          <w:rFonts w:hint="eastAsia" w:ascii="仿宋_GB2312" w:hAnsi="仿宋_GB2312" w:eastAsia="仿宋_GB2312" w:cs="仿宋_GB2312"/>
          <w:color w:val="000000"/>
          <w:sz w:val="22"/>
          <w:szCs w:val="22"/>
          <w:highlight w:val="none"/>
        </w:rPr>
        <w:t>。</w:t>
      </w:r>
      <w:bookmarkEnd w:id="179"/>
      <w:bookmarkEnd w:id="180"/>
    </w:p>
    <w:p w14:paraId="25B22353">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lang w:eastAsia="zh-CN"/>
        </w:rPr>
      </w:pPr>
      <w:bookmarkStart w:id="181" w:name="_Toc16599"/>
      <w:bookmarkStart w:id="182" w:name="_Toc4263"/>
      <w:r>
        <w:rPr>
          <w:rFonts w:hint="eastAsia" w:ascii="仿宋_GB2312" w:hAnsi="仿宋_GB2312" w:eastAsia="仿宋_GB2312" w:cs="仿宋_GB2312"/>
          <w:color w:val="000000"/>
          <w:sz w:val="22"/>
          <w:szCs w:val="22"/>
          <w:highlight w:val="none"/>
          <w:lang w:val="en-US" w:eastAsia="zh-CN"/>
        </w:rPr>
        <w:t>2.</w:t>
      </w:r>
      <w:r>
        <w:rPr>
          <w:rFonts w:hint="eastAsia" w:ascii="仿宋_GB2312" w:hAnsi="仿宋_GB2312" w:eastAsia="仿宋_GB2312" w:cs="仿宋_GB2312"/>
          <w:color w:val="000000"/>
          <w:sz w:val="22"/>
          <w:szCs w:val="22"/>
          <w:highlight w:val="none"/>
        </w:rPr>
        <w:t>响应报价是项目负责人报价、管理人员平均报价、维修工平均报价、设备运行人员平均报价、保洁服务人员平均报价、绿化养护人员平均报价、接待和会议服务人员平均报价</w:t>
      </w:r>
      <w:r>
        <w:rPr>
          <w:rFonts w:hint="eastAsia" w:ascii="仿宋_GB2312" w:hAnsi="仿宋_GB2312" w:eastAsia="仿宋_GB2312" w:cs="仿宋_GB2312"/>
          <w:color w:val="000000"/>
          <w:sz w:val="22"/>
          <w:szCs w:val="22"/>
          <w:highlight w:val="none"/>
          <w:lang w:eastAsia="zh-CN"/>
        </w:rPr>
        <w:t>、</w:t>
      </w:r>
      <w:r>
        <w:rPr>
          <w:rFonts w:hint="eastAsia" w:ascii="仿宋_GB2312" w:hAnsi="仿宋_GB2312" w:eastAsia="仿宋_GB2312" w:cs="仿宋_GB2312"/>
          <w:color w:val="000000"/>
          <w:sz w:val="22"/>
          <w:szCs w:val="22"/>
          <w:highlight w:val="none"/>
          <w:lang w:val="en-US" w:eastAsia="zh-CN"/>
        </w:rPr>
        <w:t>其他人员平均报价的总和（其他人员包括但不限于：宿管员、司梯员、导医员等）。</w:t>
      </w:r>
      <w:bookmarkEnd w:id="181"/>
      <w:bookmarkEnd w:id="182"/>
    </w:p>
    <w:p w14:paraId="66CA3D1F">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yellow"/>
        </w:rPr>
      </w:pPr>
      <w:bookmarkStart w:id="183" w:name="_Toc10559"/>
      <w:bookmarkStart w:id="184" w:name="_Toc6626"/>
      <w:r>
        <w:rPr>
          <w:rFonts w:hint="eastAsia" w:ascii="仿宋_GB2312" w:hAnsi="仿宋_GB2312" w:eastAsia="仿宋_GB2312" w:cs="仿宋_GB2312"/>
          <w:color w:val="000000"/>
          <w:sz w:val="22"/>
          <w:szCs w:val="22"/>
          <w:highlight w:val="none"/>
          <w:lang w:val="en-US" w:eastAsia="zh-CN"/>
        </w:rPr>
        <w:t>3</w:t>
      </w:r>
      <w:r>
        <w:rPr>
          <w:rFonts w:hint="eastAsia" w:ascii="仿宋_GB2312" w:hAnsi="仿宋_GB2312" w:eastAsia="仿宋_GB2312" w:cs="仿宋_GB2312"/>
          <w:color w:val="000000"/>
          <w:sz w:val="22"/>
          <w:szCs w:val="22"/>
          <w:highlight w:val="none"/>
        </w:rPr>
        <w:t>.</w:t>
      </w:r>
      <w:r>
        <w:rPr>
          <w:rFonts w:hint="eastAsia" w:ascii="仿宋_GB2312" w:hAnsi="仿宋_GB2312" w:eastAsia="仿宋_GB2312" w:cs="仿宋_GB2312"/>
          <w:color w:val="000000"/>
          <w:sz w:val="22"/>
          <w:szCs w:val="22"/>
          <w:highlight w:val="none"/>
          <w:lang w:val="en-US" w:eastAsia="zh-CN"/>
        </w:rPr>
        <w:t>供应商应当填报全部岗位报价，供应商的岗位报价应当能够在物业管理服务</w:t>
      </w:r>
      <w:r>
        <w:rPr>
          <w:rFonts w:hint="eastAsia" w:ascii="仿宋_GB2312" w:hAnsi="仿宋_GB2312" w:eastAsia="仿宋_GB2312" w:cs="仿宋_GB2312"/>
          <w:color w:val="000000"/>
          <w:sz w:val="22"/>
          <w:szCs w:val="22"/>
          <w:highlight w:val="none"/>
          <w:lang w:eastAsia="zh-CN"/>
        </w:rPr>
        <w:t>（</w:t>
      </w:r>
      <w:r>
        <w:rPr>
          <w:rFonts w:hint="eastAsia" w:ascii="仿宋_GB2312" w:hAnsi="仿宋_GB2312" w:eastAsia="仿宋_GB2312" w:cs="仿宋_GB2312"/>
          <w:color w:val="000000"/>
          <w:sz w:val="22"/>
          <w:szCs w:val="22"/>
          <w:highlight w:val="none"/>
          <w:lang w:val="en-US" w:eastAsia="zh-CN"/>
        </w:rPr>
        <w:t>含综合办公类、医院类、院校类等</w:t>
      </w:r>
      <w:r>
        <w:rPr>
          <w:rFonts w:hint="eastAsia" w:ascii="仿宋_GB2312" w:hAnsi="仿宋_GB2312" w:eastAsia="仿宋_GB2312" w:cs="仿宋_GB2312"/>
          <w:color w:val="000000"/>
          <w:sz w:val="22"/>
          <w:szCs w:val="22"/>
          <w:highlight w:val="none"/>
          <w:lang w:eastAsia="zh-CN"/>
        </w:rPr>
        <w:t>）</w:t>
      </w:r>
      <w:r>
        <w:rPr>
          <w:rFonts w:hint="eastAsia" w:ascii="仿宋_GB2312" w:hAnsi="仿宋_GB2312" w:eastAsia="仿宋_GB2312" w:cs="仿宋_GB2312"/>
          <w:color w:val="000000"/>
          <w:sz w:val="22"/>
          <w:szCs w:val="22"/>
          <w:highlight w:val="none"/>
          <w:lang w:val="en-US" w:eastAsia="zh-CN"/>
        </w:rPr>
        <w:t>中完成本征集文件预定的例行服务。岗位报价</w:t>
      </w:r>
      <w:r>
        <w:rPr>
          <w:rFonts w:hint="eastAsia" w:ascii="仿宋_GB2312" w:hAnsi="仿宋_GB2312" w:eastAsia="仿宋_GB2312" w:cs="仿宋_GB2312"/>
          <w:color w:val="000000"/>
          <w:sz w:val="22"/>
          <w:szCs w:val="22"/>
          <w:highlight w:val="none"/>
        </w:rPr>
        <w:t>不得漏报或填</w:t>
      </w:r>
      <w:r>
        <w:rPr>
          <w:rFonts w:hint="eastAsia" w:ascii="仿宋_GB2312" w:hAnsi="仿宋_GB2312" w:eastAsia="仿宋_GB2312" w:cs="仿宋_GB2312"/>
          <w:color w:val="000000"/>
          <w:sz w:val="22"/>
          <w:szCs w:val="22"/>
          <w:highlight w:val="none"/>
          <w:lang w:val="en-US" w:eastAsia="zh-CN"/>
        </w:rPr>
        <w:t>零</w:t>
      </w:r>
      <w:r>
        <w:rPr>
          <w:rFonts w:hint="eastAsia" w:ascii="仿宋_GB2312" w:hAnsi="仿宋_GB2312" w:eastAsia="仿宋_GB2312" w:cs="仿宋_GB2312"/>
          <w:color w:val="000000"/>
          <w:sz w:val="22"/>
          <w:szCs w:val="22"/>
          <w:highlight w:val="none"/>
        </w:rPr>
        <w:t>，</w:t>
      </w:r>
      <w:r>
        <w:rPr>
          <w:rFonts w:hint="eastAsia" w:ascii="仿宋_GB2312" w:hAnsi="仿宋_GB2312" w:eastAsia="仿宋_GB2312" w:cs="仿宋_GB2312"/>
          <w:color w:val="000000"/>
          <w:sz w:val="22"/>
          <w:szCs w:val="22"/>
          <w:highlight w:val="none"/>
          <w:lang w:val="en-US" w:eastAsia="zh-CN"/>
        </w:rPr>
        <w:t>不得高于最高限制单价，</w:t>
      </w:r>
      <w:r>
        <w:rPr>
          <w:rFonts w:hint="eastAsia" w:ascii="仿宋_GB2312" w:hAnsi="仿宋_GB2312" w:eastAsia="仿宋_GB2312" w:cs="仿宋_GB2312"/>
          <w:color w:val="000000"/>
          <w:sz w:val="22"/>
          <w:szCs w:val="22"/>
          <w:highlight w:val="none"/>
        </w:rPr>
        <w:t>不得低于北京市相关标准和规定。</w:t>
      </w:r>
      <w:bookmarkEnd w:id="183"/>
      <w:bookmarkEnd w:id="184"/>
    </w:p>
    <w:p w14:paraId="361DD0D3">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rPr>
      </w:pPr>
      <w:bookmarkStart w:id="185" w:name="_Toc29649"/>
      <w:bookmarkStart w:id="186" w:name="_Toc25535"/>
      <w:r>
        <w:rPr>
          <w:rFonts w:hint="eastAsia" w:ascii="仿宋_GB2312" w:hAnsi="仿宋_GB2312" w:eastAsia="仿宋_GB2312" w:cs="仿宋_GB2312"/>
          <w:color w:val="000000"/>
          <w:sz w:val="22"/>
          <w:szCs w:val="22"/>
          <w:highlight w:val="none"/>
          <w:lang w:val="en-US" w:eastAsia="zh-CN"/>
        </w:rPr>
        <w:t>4</w:t>
      </w:r>
      <w:r>
        <w:rPr>
          <w:rFonts w:hint="eastAsia" w:ascii="仿宋_GB2312" w:hAnsi="仿宋_GB2312" w:eastAsia="仿宋_GB2312" w:cs="仿宋_GB2312"/>
          <w:color w:val="000000"/>
          <w:sz w:val="22"/>
          <w:szCs w:val="22"/>
          <w:highlight w:val="none"/>
        </w:rPr>
        <w:t>.供应商提供的</w:t>
      </w:r>
      <w:r>
        <w:rPr>
          <w:rFonts w:hint="eastAsia" w:ascii="仿宋_GB2312" w:hAnsi="仿宋_GB2312" w:eastAsia="仿宋_GB2312" w:cs="仿宋_GB2312"/>
          <w:color w:val="000000"/>
          <w:sz w:val="22"/>
          <w:szCs w:val="22"/>
          <w:highlight w:val="none"/>
          <w:lang w:val="en-US" w:eastAsia="zh-CN"/>
        </w:rPr>
        <w:t>岗位报价及</w:t>
      </w:r>
      <w:r>
        <w:rPr>
          <w:rFonts w:hint="eastAsia" w:ascii="仿宋_GB2312" w:hAnsi="仿宋_GB2312" w:eastAsia="仿宋_GB2312" w:cs="仿宋_GB2312"/>
          <w:b w:val="0"/>
          <w:bCs w:val="0"/>
          <w:color w:val="000000"/>
          <w:sz w:val="22"/>
          <w:szCs w:val="22"/>
          <w:highlight w:val="none"/>
        </w:rPr>
        <w:t>服务，应当符</w:t>
      </w:r>
      <w:r>
        <w:rPr>
          <w:rFonts w:hint="eastAsia" w:ascii="仿宋_GB2312" w:hAnsi="仿宋_GB2312" w:eastAsia="仿宋_GB2312" w:cs="仿宋_GB2312"/>
          <w:color w:val="000000"/>
          <w:sz w:val="22"/>
          <w:szCs w:val="22"/>
          <w:highlight w:val="none"/>
        </w:rPr>
        <w:t>合国家和地方各项有关法律、法规和标准规范规定，满足合同约定的服务内容、标准</w:t>
      </w:r>
      <w:r>
        <w:rPr>
          <w:rFonts w:hint="eastAsia" w:ascii="仿宋_GB2312" w:hAnsi="仿宋_GB2312" w:eastAsia="仿宋_GB2312" w:cs="仿宋_GB2312"/>
          <w:color w:val="000000"/>
          <w:sz w:val="22"/>
          <w:szCs w:val="22"/>
          <w:highlight w:val="none"/>
          <w:lang w:val="en-US" w:eastAsia="zh-CN"/>
        </w:rPr>
        <w:t>及</w:t>
      </w:r>
      <w:r>
        <w:rPr>
          <w:rFonts w:hint="eastAsia" w:ascii="仿宋_GB2312" w:hAnsi="仿宋_GB2312" w:eastAsia="仿宋_GB2312" w:cs="仿宋_GB2312"/>
          <w:color w:val="000000"/>
          <w:sz w:val="22"/>
          <w:szCs w:val="22"/>
          <w:highlight w:val="none"/>
        </w:rPr>
        <w:t>要求。供应商不得违反法律法规、标准、规定、合同约定，或通过降低</w:t>
      </w:r>
      <w:r>
        <w:rPr>
          <w:rFonts w:hint="eastAsia" w:ascii="仿宋_GB2312" w:hAnsi="仿宋_GB2312" w:eastAsia="仿宋_GB2312" w:cs="仿宋_GB2312"/>
          <w:b w:val="0"/>
          <w:bCs w:val="0"/>
          <w:color w:val="000000"/>
          <w:sz w:val="22"/>
          <w:szCs w:val="22"/>
          <w:highlight w:val="none"/>
        </w:rPr>
        <w:t>服务</w:t>
      </w:r>
      <w:r>
        <w:rPr>
          <w:rFonts w:hint="eastAsia" w:ascii="仿宋_GB2312" w:hAnsi="仿宋_GB2312" w:eastAsia="仿宋_GB2312" w:cs="仿宋_GB2312"/>
          <w:color w:val="000000"/>
          <w:sz w:val="22"/>
          <w:szCs w:val="22"/>
          <w:highlight w:val="none"/>
        </w:rPr>
        <w:t>质量、减少服务内容等手段进行恶性低价竞争，扰乱正常市场秩序。</w:t>
      </w:r>
      <w:bookmarkEnd w:id="185"/>
      <w:bookmarkEnd w:id="186"/>
    </w:p>
    <w:p w14:paraId="7BC00357">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lang w:val="en-US" w:eastAsia="zh-CN"/>
        </w:rPr>
      </w:pPr>
      <w:bookmarkStart w:id="187" w:name="_Toc13835"/>
      <w:bookmarkStart w:id="188" w:name="_Toc5417"/>
      <w:r>
        <w:rPr>
          <w:rFonts w:hint="eastAsia" w:ascii="仿宋_GB2312" w:hAnsi="仿宋_GB2312" w:eastAsia="仿宋_GB2312" w:cs="仿宋_GB2312"/>
          <w:color w:val="000000"/>
          <w:sz w:val="22"/>
          <w:szCs w:val="22"/>
          <w:highlight w:val="none"/>
          <w:lang w:val="en-US" w:eastAsia="zh-CN"/>
        </w:rPr>
        <w:t>5.岗位报价的最高限制单价：</w:t>
      </w:r>
      <w:bookmarkEnd w:id="187"/>
      <w:bookmarkEnd w:id="188"/>
    </w:p>
    <w:p w14:paraId="6E5D007E">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b w:val="0"/>
          <w:bCs w:val="0"/>
          <w:i w:val="0"/>
          <w:iCs w:val="0"/>
          <w:color w:val="000000"/>
          <w:kern w:val="0"/>
          <w:sz w:val="22"/>
          <w:szCs w:val="22"/>
          <w:highlight w:val="none"/>
          <w:u w:val="none"/>
          <w:lang w:val="en-US" w:eastAsia="zh-CN" w:bidi="ar"/>
        </w:rPr>
      </w:pPr>
      <w:bookmarkStart w:id="189" w:name="_Toc27879"/>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项目负责人报价：23,853.00</w:t>
      </w:r>
      <w:r>
        <w:rPr>
          <w:rFonts w:hint="eastAsia" w:ascii="仿宋_GB2312" w:hAnsi="仿宋_GB2312" w:eastAsia="仿宋_GB2312" w:cs="仿宋_GB2312"/>
          <w:color w:val="000000"/>
          <w:sz w:val="22"/>
          <w:szCs w:val="22"/>
          <w:highlight w:val="none"/>
          <w:lang w:val="en-US" w:eastAsia="zh-CN"/>
        </w:rPr>
        <w:t>元/（人·月）</w:t>
      </w:r>
      <w:bookmarkEnd w:id="189"/>
    </w:p>
    <w:p w14:paraId="21F3B9B8">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b w:val="0"/>
          <w:bCs w:val="0"/>
          <w:i w:val="0"/>
          <w:iCs w:val="0"/>
          <w:color w:val="000000"/>
          <w:kern w:val="0"/>
          <w:sz w:val="22"/>
          <w:szCs w:val="22"/>
          <w:highlight w:val="none"/>
          <w:u w:val="none"/>
          <w:lang w:val="en-US" w:eastAsia="zh-CN" w:bidi="ar"/>
        </w:rPr>
      </w:pPr>
      <w:bookmarkStart w:id="190" w:name="_Toc4525"/>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管理人员平均报价：22,038.00</w:t>
      </w:r>
      <w:r>
        <w:rPr>
          <w:rFonts w:hint="eastAsia" w:ascii="仿宋_GB2312" w:hAnsi="仿宋_GB2312" w:eastAsia="仿宋_GB2312" w:cs="仿宋_GB2312"/>
          <w:color w:val="000000"/>
          <w:sz w:val="22"/>
          <w:szCs w:val="22"/>
          <w:highlight w:val="none"/>
          <w:lang w:val="en-US" w:eastAsia="zh-CN"/>
        </w:rPr>
        <w:t>元/（人·月）</w:t>
      </w:r>
      <w:bookmarkEnd w:id="190"/>
    </w:p>
    <w:p w14:paraId="53871643">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b w:val="0"/>
          <w:bCs w:val="0"/>
          <w:i w:val="0"/>
          <w:iCs w:val="0"/>
          <w:color w:val="000000"/>
          <w:kern w:val="0"/>
          <w:sz w:val="22"/>
          <w:szCs w:val="22"/>
          <w:highlight w:val="none"/>
          <w:u w:val="none"/>
          <w:lang w:val="en-US" w:eastAsia="zh-CN" w:bidi="ar"/>
        </w:rPr>
      </w:pPr>
      <w:bookmarkStart w:id="191" w:name="_Toc3984"/>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维修工平均报价：10,821.00</w:t>
      </w:r>
      <w:r>
        <w:rPr>
          <w:rFonts w:hint="eastAsia" w:ascii="仿宋_GB2312" w:hAnsi="仿宋_GB2312" w:eastAsia="仿宋_GB2312" w:cs="仿宋_GB2312"/>
          <w:color w:val="000000"/>
          <w:sz w:val="22"/>
          <w:szCs w:val="22"/>
          <w:highlight w:val="none"/>
          <w:lang w:val="en-US" w:eastAsia="zh-CN"/>
        </w:rPr>
        <w:t>元/（人·月）</w:t>
      </w:r>
      <w:bookmarkEnd w:id="191"/>
    </w:p>
    <w:p w14:paraId="3A3721E2">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b w:val="0"/>
          <w:bCs w:val="0"/>
          <w:i w:val="0"/>
          <w:iCs w:val="0"/>
          <w:color w:val="000000"/>
          <w:kern w:val="0"/>
          <w:sz w:val="22"/>
          <w:szCs w:val="22"/>
          <w:highlight w:val="none"/>
          <w:u w:val="none"/>
          <w:lang w:val="en-US" w:eastAsia="zh-CN" w:bidi="ar"/>
        </w:rPr>
      </w:pPr>
      <w:bookmarkStart w:id="192" w:name="_Toc16567"/>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设备运行人员平均报价：10,821.00</w:t>
      </w:r>
      <w:r>
        <w:rPr>
          <w:rFonts w:hint="eastAsia" w:ascii="仿宋_GB2312" w:hAnsi="仿宋_GB2312" w:eastAsia="仿宋_GB2312" w:cs="仿宋_GB2312"/>
          <w:color w:val="000000"/>
          <w:sz w:val="22"/>
          <w:szCs w:val="22"/>
          <w:highlight w:val="none"/>
          <w:lang w:val="en-US" w:eastAsia="zh-CN"/>
        </w:rPr>
        <w:t>元/（人·月）</w:t>
      </w:r>
      <w:bookmarkEnd w:id="192"/>
    </w:p>
    <w:p w14:paraId="66CDFCAD">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b w:val="0"/>
          <w:bCs w:val="0"/>
          <w:i w:val="0"/>
          <w:iCs w:val="0"/>
          <w:color w:val="000000"/>
          <w:kern w:val="0"/>
          <w:sz w:val="22"/>
          <w:szCs w:val="22"/>
          <w:highlight w:val="none"/>
          <w:u w:val="none"/>
          <w:lang w:val="en-US" w:eastAsia="zh-CN" w:bidi="ar"/>
        </w:rPr>
      </w:pPr>
      <w:bookmarkStart w:id="193" w:name="_Toc7808"/>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保洁服务人员平均报价：8,505.00</w:t>
      </w:r>
      <w:r>
        <w:rPr>
          <w:rFonts w:hint="eastAsia" w:ascii="仿宋_GB2312" w:hAnsi="仿宋_GB2312" w:eastAsia="仿宋_GB2312" w:cs="仿宋_GB2312"/>
          <w:color w:val="000000"/>
          <w:sz w:val="22"/>
          <w:szCs w:val="22"/>
          <w:highlight w:val="none"/>
          <w:lang w:val="en-US" w:eastAsia="zh-CN"/>
        </w:rPr>
        <w:t>元/（人·月）</w:t>
      </w:r>
      <w:bookmarkEnd w:id="193"/>
    </w:p>
    <w:p w14:paraId="4621408B">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b w:val="0"/>
          <w:bCs w:val="0"/>
          <w:i w:val="0"/>
          <w:iCs w:val="0"/>
          <w:color w:val="000000"/>
          <w:kern w:val="0"/>
          <w:sz w:val="22"/>
          <w:szCs w:val="22"/>
          <w:highlight w:val="none"/>
          <w:u w:val="none"/>
          <w:lang w:val="en-US" w:eastAsia="zh-CN" w:bidi="ar"/>
        </w:rPr>
      </w:pPr>
      <w:bookmarkStart w:id="194" w:name="_Toc7258"/>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绿化养护人员平均报价：8,611.00</w:t>
      </w:r>
      <w:r>
        <w:rPr>
          <w:rFonts w:hint="eastAsia" w:ascii="仿宋_GB2312" w:hAnsi="仿宋_GB2312" w:eastAsia="仿宋_GB2312" w:cs="仿宋_GB2312"/>
          <w:color w:val="000000"/>
          <w:sz w:val="22"/>
          <w:szCs w:val="22"/>
          <w:highlight w:val="none"/>
          <w:lang w:val="en-US" w:eastAsia="zh-CN"/>
        </w:rPr>
        <w:t>元/（人·月）</w:t>
      </w:r>
      <w:bookmarkEnd w:id="194"/>
    </w:p>
    <w:p w14:paraId="4E5F5714">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b w:val="0"/>
          <w:bCs w:val="0"/>
          <w:i w:val="0"/>
          <w:iCs w:val="0"/>
          <w:color w:val="000000"/>
          <w:kern w:val="0"/>
          <w:sz w:val="22"/>
          <w:szCs w:val="22"/>
          <w:highlight w:val="none"/>
          <w:u w:val="none"/>
          <w:lang w:val="en-US" w:eastAsia="zh-CN" w:bidi="ar"/>
        </w:rPr>
      </w:pPr>
      <w:bookmarkStart w:id="195" w:name="_Toc23642"/>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接待和会议服务人员平均报价：10,939.00</w:t>
      </w:r>
      <w:r>
        <w:rPr>
          <w:rFonts w:hint="eastAsia" w:ascii="仿宋_GB2312" w:hAnsi="仿宋_GB2312" w:eastAsia="仿宋_GB2312" w:cs="仿宋_GB2312"/>
          <w:color w:val="000000"/>
          <w:sz w:val="22"/>
          <w:szCs w:val="22"/>
          <w:highlight w:val="none"/>
          <w:lang w:val="en-US" w:eastAsia="zh-CN"/>
        </w:rPr>
        <w:t>元/（人·月）</w:t>
      </w:r>
      <w:bookmarkEnd w:id="195"/>
    </w:p>
    <w:p w14:paraId="7FA388AA">
      <w:pPr>
        <w:keepNext w:val="0"/>
        <w:keepLines w:val="0"/>
        <w:pageBreakBefore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b w:val="0"/>
          <w:bCs w:val="0"/>
          <w:i w:val="0"/>
          <w:iCs w:val="0"/>
          <w:color w:val="000000"/>
          <w:kern w:val="0"/>
          <w:sz w:val="22"/>
          <w:szCs w:val="22"/>
          <w:highlight w:val="none"/>
          <w:u w:val="none"/>
          <w:lang w:val="en-US" w:eastAsia="zh-CN" w:bidi="ar"/>
        </w:rPr>
      </w:pPr>
      <w:bookmarkStart w:id="196" w:name="_Toc12832"/>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其他人员平均报价：10,074.00</w:t>
      </w:r>
      <w:r>
        <w:rPr>
          <w:rFonts w:hint="eastAsia" w:ascii="仿宋_GB2312" w:hAnsi="仿宋_GB2312" w:eastAsia="仿宋_GB2312" w:cs="仿宋_GB2312"/>
          <w:color w:val="000000"/>
          <w:sz w:val="22"/>
          <w:szCs w:val="22"/>
          <w:highlight w:val="none"/>
          <w:lang w:val="en-US" w:eastAsia="zh-CN"/>
        </w:rPr>
        <w:t>元/（人·月）</w:t>
      </w:r>
      <w:bookmarkEnd w:id="196"/>
    </w:p>
    <w:p w14:paraId="31E92D5B">
      <w:pPr>
        <w:keepNext w:val="0"/>
        <w:keepLines w:val="0"/>
        <w:pageBreakBefore w:val="0"/>
        <w:suppressAutoHyphens/>
        <w:kinsoku/>
        <w:wordWrap/>
        <w:overflowPunct/>
        <w:topLinePunct w:val="0"/>
        <w:autoSpaceDE/>
        <w:autoSpaceDN/>
        <w:bidi w:val="0"/>
        <w:adjustRightInd/>
        <w:snapToGrid/>
        <w:spacing w:line="400" w:lineRule="exact"/>
        <w:ind w:left="0" w:leftChars="0" w:firstLine="442" w:firstLineChars="200"/>
        <w:textAlignment w:val="baseline"/>
        <w:outlineLvl w:val="0"/>
        <w:rPr>
          <w:rFonts w:hint="eastAsia" w:ascii="仿宋_GB2312" w:hAnsi="仿宋_GB2312" w:eastAsia="仿宋_GB2312" w:cs="仿宋_GB2312"/>
          <w:b/>
          <w:bCs/>
          <w:i w:val="0"/>
          <w:iCs w:val="0"/>
          <w:color w:val="FF0000"/>
          <w:kern w:val="0"/>
          <w:sz w:val="22"/>
          <w:szCs w:val="22"/>
          <w:highlight w:val="none"/>
          <w:u w:val="none"/>
          <w:lang w:val="en-US" w:eastAsia="zh-CN" w:bidi="ar"/>
        </w:rPr>
      </w:pPr>
      <w:r>
        <w:rPr>
          <w:rFonts w:hint="eastAsia" w:ascii="仿宋_GB2312" w:hAnsi="仿宋_GB2312" w:eastAsia="仿宋_GB2312" w:cs="仿宋_GB2312"/>
          <w:b/>
          <w:bCs/>
          <w:i w:val="0"/>
          <w:iCs w:val="0"/>
          <w:color w:val="FF0000"/>
          <w:kern w:val="0"/>
          <w:sz w:val="22"/>
          <w:szCs w:val="22"/>
          <w:highlight w:val="none"/>
          <w:u w:val="none"/>
          <w:lang w:val="en-US" w:eastAsia="zh-CN" w:bidi="ar"/>
        </w:rPr>
        <w:t>注：各岗位报价最多精确到分位（即小数点后保留两位有效数字），否则作无效响应处理。</w:t>
      </w:r>
    </w:p>
    <w:p w14:paraId="331F2BE2">
      <w:pPr>
        <w:rPr>
          <w:color w:val="auto"/>
          <w:sz w:val="32"/>
          <w:szCs w:val="21"/>
          <w:highlight w:val="none"/>
        </w:rPr>
      </w:pPr>
    </w:p>
    <w:p w14:paraId="73120671">
      <w:pPr>
        <w:pStyle w:val="57"/>
        <w:snapToGrid w:val="0"/>
        <w:spacing w:before="0" w:after="0"/>
        <w:ind w:left="0"/>
        <w:rPr>
          <w:color w:val="auto"/>
          <w:sz w:val="32"/>
          <w:szCs w:val="21"/>
          <w:highlight w:val="none"/>
        </w:rPr>
      </w:pPr>
      <w:bookmarkStart w:id="197" w:name="_Toc9681"/>
      <w:bookmarkStart w:id="198" w:name="_Toc26666"/>
      <w:r>
        <w:rPr>
          <w:rFonts w:hint="eastAsia"/>
          <w:color w:val="auto"/>
          <w:sz w:val="32"/>
          <w:szCs w:val="21"/>
          <w:highlight w:val="none"/>
          <w:lang w:val="en-US" w:eastAsia="zh-CN"/>
        </w:rPr>
        <w:t xml:space="preserve"> </w:t>
      </w:r>
      <w:r>
        <w:rPr>
          <w:rFonts w:hint="eastAsia"/>
          <w:color w:val="auto"/>
          <w:sz w:val="32"/>
          <w:szCs w:val="21"/>
          <w:highlight w:val="none"/>
        </w:rPr>
        <w:t>评审及入围方法</w:t>
      </w:r>
      <w:bookmarkEnd w:id="52"/>
      <w:bookmarkEnd w:id="197"/>
      <w:bookmarkEnd w:id="198"/>
    </w:p>
    <w:p w14:paraId="33995143">
      <w:pPr>
        <w:pStyle w:val="57"/>
        <w:numPr>
          <w:ilvl w:val="0"/>
          <w:numId w:val="0"/>
        </w:numPr>
        <w:snapToGrid w:val="0"/>
        <w:spacing w:before="0" w:after="0" w:line="400" w:lineRule="exact"/>
        <w:ind w:left="288"/>
        <w:jc w:val="left"/>
        <w:outlineLvl w:val="9"/>
        <w:rPr>
          <w:rFonts w:ascii="宋体"/>
          <w:color w:val="auto"/>
          <w:sz w:val="22"/>
          <w:szCs w:val="22"/>
          <w:highlight w:val="none"/>
        </w:rPr>
      </w:pPr>
    </w:p>
    <w:p w14:paraId="1722911A">
      <w:pPr>
        <w:pStyle w:val="68"/>
        <w:spacing w:before="0" w:beforeAutospacing="0" w:after="0" w:afterAutospacing="0" w:line="400" w:lineRule="exact"/>
        <w:ind w:firstLine="480"/>
        <w:rPr>
          <w:rFonts w:cs="Helvetica"/>
          <w:b/>
          <w:bCs/>
          <w:color w:val="auto"/>
          <w:sz w:val="22"/>
          <w:szCs w:val="22"/>
          <w:highlight w:val="none"/>
        </w:rPr>
      </w:pPr>
      <w:r>
        <w:rPr>
          <w:rFonts w:hint="eastAsia" w:cs="Helvetica"/>
          <w:b/>
          <w:bCs/>
          <w:color w:val="auto"/>
          <w:sz w:val="22"/>
          <w:szCs w:val="22"/>
          <w:highlight w:val="none"/>
        </w:rPr>
        <w:t>一、确定第一阶段入围供应商的评审方法</w:t>
      </w:r>
    </w:p>
    <w:p w14:paraId="185030E4">
      <w:pPr>
        <w:pStyle w:val="68"/>
        <w:spacing w:before="0" w:beforeAutospacing="0" w:after="0" w:afterAutospacing="0" w:line="400" w:lineRule="exact"/>
        <w:ind w:firstLine="480"/>
        <w:rPr>
          <w:rFonts w:hint="eastAsia" w:eastAsia="宋体" w:cs="Helvetica"/>
          <w:color w:val="auto"/>
          <w:sz w:val="22"/>
          <w:szCs w:val="22"/>
          <w:highlight w:val="yellow"/>
          <w:lang w:eastAsia="zh-CN"/>
        </w:rPr>
      </w:pPr>
      <w:r>
        <w:rPr>
          <w:rFonts w:cs="Helvetica"/>
          <w:color w:val="auto"/>
          <w:sz w:val="22"/>
          <w:szCs w:val="22"/>
          <w:highlight w:val="none"/>
        </w:rPr>
        <w:t>1</w:t>
      </w:r>
      <w:r>
        <w:rPr>
          <w:rFonts w:hint="eastAsia" w:cs="Helvetica"/>
          <w:color w:val="auto"/>
          <w:sz w:val="22"/>
          <w:szCs w:val="22"/>
          <w:highlight w:val="none"/>
        </w:rPr>
        <w:t>、确定第一阶段入围供应商的评审方法为价格优先法。</w:t>
      </w:r>
      <w:r>
        <w:rPr>
          <w:rFonts w:hint="eastAsia" w:cs="Helvetica"/>
          <w:color w:val="auto"/>
          <w:sz w:val="22"/>
          <w:szCs w:val="22"/>
          <w:highlight w:val="none"/>
          <w:lang w:eastAsia="zh-CN"/>
        </w:rPr>
        <w:t>根据《政府采购框架协议采购方式管理暂行办法（财政部令第</w:t>
      </w:r>
      <w:r>
        <w:rPr>
          <w:rFonts w:hint="eastAsia" w:cs="Helvetica"/>
          <w:color w:val="auto"/>
          <w:sz w:val="22"/>
          <w:szCs w:val="22"/>
          <w:highlight w:val="none"/>
          <w:lang w:val="en-US" w:eastAsia="zh-CN"/>
        </w:rPr>
        <w:t>110号</w:t>
      </w:r>
      <w:r>
        <w:rPr>
          <w:rFonts w:hint="eastAsia" w:cs="Helvetica"/>
          <w:color w:val="auto"/>
          <w:sz w:val="22"/>
          <w:szCs w:val="22"/>
          <w:highlight w:val="none"/>
          <w:lang w:eastAsia="zh-CN"/>
        </w:rPr>
        <w:t>）》的规定，</w:t>
      </w:r>
      <w:r>
        <w:rPr>
          <w:rFonts w:hint="eastAsia" w:cs="Helvetica"/>
          <w:color w:val="auto"/>
          <w:sz w:val="22"/>
          <w:szCs w:val="22"/>
          <w:highlight w:val="none"/>
        </w:rPr>
        <w:t>价格优先法是指对满足采购需求且响应报价不超过最高限制单价的产品，按照响应报价从低到高排序，根据征集文件规定的淘汰率进行末位淘汰，确定入围供应商的评审方法。</w:t>
      </w:r>
    </w:p>
    <w:p w14:paraId="0FD617EC">
      <w:pPr>
        <w:pStyle w:val="68"/>
        <w:spacing w:before="0" w:beforeAutospacing="0" w:after="0" w:afterAutospacing="0" w:line="400" w:lineRule="exact"/>
        <w:ind w:firstLine="480"/>
        <w:rPr>
          <w:rFonts w:hint="default" w:cs="Helvetica"/>
          <w:color w:val="auto"/>
          <w:sz w:val="22"/>
          <w:szCs w:val="22"/>
          <w:highlight w:val="none"/>
          <w:lang w:val="en-US" w:eastAsia="zh-CN"/>
        </w:rPr>
      </w:pPr>
      <w:r>
        <w:rPr>
          <w:rFonts w:hint="default" w:cs="Helvetica"/>
          <w:color w:val="auto"/>
          <w:sz w:val="22"/>
          <w:szCs w:val="22"/>
          <w:highlight w:val="none"/>
          <w:lang w:val="en-US" w:eastAsia="zh-CN"/>
        </w:rPr>
        <w:t>2、</w:t>
      </w:r>
      <w:r>
        <w:rPr>
          <w:rFonts w:cs="Helvetica"/>
          <w:color w:val="auto"/>
          <w:sz w:val="22"/>
          <w:szCs w:val="22"/>
          <w:highlight w:val="none"/>
        </w:rPr>
        <w:t>本项目</w:t>
      </w:r>
      <w:r>
        <w:rPr>
          <w:rFonts w:hint="eastAsia" w:cs="Helvetica"/>
          <w:color w:val="auto"/>
          <w:sz w:val="22"/>
          <w:szCs w:val="22"/>
          <w:highlight w:val="none"/>
          <w:lang w:val="en-US" w:eastAsia="zh-CN"/>
        </w:rPr>
        <w:t>的</w:t>
      </w:r>
      <w:r>
        <w:rPr>
          <w:rFonts w:hint="default" w:cs="Helvetica"/>
          <w:color w:val="auto"/>
          <w:sz w:val="22"/>
          <w:szCs w:val="22"/>
          <w:highlight w:val="none"/>
        </w:rPr>
        <w:t>响应</w:t>
      </w:r>
      <w:r>
        <w:rPr>
          <w:rFonts w:cs="Helvetica"/>
          <w:color w:val="auto"/>
          <w:sz w:val="22"/>
          <w:szCs w:val="22"/>
          <w:highlight w:val="none"/>
        </w:rPr>
        <w:t>报价</w:t>
      </w:r>
      <w:r>
        <w:rPr>
          <w:rFonts w:hint="default" w:cs="Helvetica"/>
          <w:color w:val="auto"/>
          <w:sz w:val="22"/>
          <w:szCs w:val="22"/>
          <w:highlight w:val="none"/>
          <w:lang w:val="en-US" w:eastAsia="zh-CN"/>
        </w:rPr>
        <w:t>=项目负责人报价+管理人员平均报价+维修工平均报价+设备运行人员平均报价+保洁服务人员平均报价+绿化养护人员平均报价+接待和会议服务人员平均报价+其他人员平均报价。</w:t>
      </w:r>
    </w:p>
    <w:p w14:paraId="7CDEB98E">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lang w:val="en-US" w:eastAsia="zh-CN"/>
        </w:rPr>
        <w:t>3</w:t>
      </w:r>
      <w:r>
        <w:rPr>
          <w:rFonts w:hint="eastAsia" w:cs="Helvetica"/>
          <w:color w:val="auto"/>
          <w:sz w:val="22"/>
          <w:szCs w:val="22"/>
          <w:highlight w:val="none"/>
        </w:rPr>
        <w:t>、供应商淘汰比例不低于</w:t>
      </w:r>
      <w:r>
        <w:rPr>
          <w:rFonts w:cs="Helvetica"/>
          <w:color w:val="auto"/>
          <w:sz w:val="22"/>
          <w:szCs w:val="22"/>
          <w:highlight w:val="none"/>
        </w:rPr>
        <w:t>20%</w:t>
      </w:r>
      <w:r>
        <w:rPr>
          <w:rFonts w:hint="eastAsia" w:cs="Helvetica"/>
          <w:color w:val="auto"/>
          <w:sz w:val="22"/>
          <w:szCs w:val="22"/>
          <w:highlight w:val="none"/>
        </w:rPr>
        <w:t>，且至少淘汰一家供应商（提交响应文件或符合资格条件、实质性要求的供应商不足</w:t>
      </w:r>
      <w:r>
        <w:rPr>
          <w:rFonts w:cs="Helvetica"/>
          <w:color w:val="auto"/>
          <w:sz w:val="22"/>
          <w:szCs w:val="22"/>
          <w:highlight w:val="none"/>
        </w:rPr>
        <w:t>2</w:t>
      </w:r>
      <w:r>
        <w:rPr>
          <w:rFonts w:hint="eastAsia" w:cs="Helvetica"/>
          <w:color w:val="auto"/>
          <w:sz w:val="22"/>
          <w:szCs w:val="22"/>
          <w:highlight w:val="none"/>
        </w:rPr>
        <w:t>家的，采购活动终止）。</w:t>
      </w:r>
    </w:p>
    <w:p w14:paraId="1C83E19C">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lang w:val="en-US" w:eastAsia="zh-CN"/>
        </w:rPr>
        <w:t>4</w:t>
      </w:r>
      <w:r>
        <w:rPr>
          <w:rFonts w:hint="eastAsia" w:cs="Helvetica"/>
          <w:color w:val="auto"/>
          <w:sz w:val="22"/>
          <w:szCs w:val="22"/>
          <w:highlight w:val="none"/>
        </w:rPr>
        <w:t>、政府采购政策功能落实：本项目对属于小型和微型企业的响应人的响应报价给予</w:t>
      </w:r>
      <w:r>
        <w:rPr>
          <w:rFonts w:cs="Helvetica"/>
          <w:color w:val="auto"/>
          <w:sz w:val="22"/>
          <w:szCs w:val="22"/>
          <w:highlight w:val="none"/>
        </w:rPr>
        <w:t>10%</w:t>
      </w:r>
      <w:r>
        <w:rPr>
          <w:rFonts w:hint="eastAsia" w:cs="Helvetica"/>
          <w:color w:val="auto"/>
          <w:sz w:val="22"/>
          <w:szCs w:val="22"/>
          <w:highlight w:val="none"/>
        </w:rPr>
        <w:t>的扣除，用扣除后的价格参与评审排序。</w:t>
      </w:r>
    </w:p>
    <w:p w14:paraId="2B9168E2">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rPr>
        <w:t>具体执行规则说明：预淘汰供应商数字（</w:t>
      </w:r>
      <w:r>
        <w:rPr>
          <w:rFonts w:cs="Helvetica"/>
          <w:color w:val="auto"/>
          <w:sz w:val="22"/>
          <w:szCs w:val="22"/>
          <w:highlight w:val="none"/>
        </w:rPr>
        <w:t>N</w:t>
      </w:r>
      <w:r>
        <w:rPr>
          <w:rFonts w:hint="eastAsia" w:cs="Helvetica"/>
          <w:color w:val="auto"/>
          <w:sz w:val="22"/>
          <w:szCs w:val="22"/>
          <w:highlight w:val="none"/>
        </w:rPr>
        <w:t>）</w:t>
      </w:r>
      <w:r>
        <w:rPr>
          <w:rFonts w:cs="Helvetica"/>
          <w:color w:val="auto"/>
          <w:sz w:val="22"/>
          <w:szCs w:val="22"/>
          <w:highlight w:val="none"/>
        </w:rPr>
        <w:t>=</w:t>
      </w:r>
      <w:r>
        <w:rPr>
          <w:rFonts w:hint="eastAsia" w:cs="Helvetica"/>
          <w:color w:val="auto"/>
          <w:sz w:val="22"/>
          <w:szCs w:val="22"/>
          <w:highlight w:val="none"/>
        </w:rPr>
        <w:t>所有参与响应报价排序的响应人数量×</w:t>
      </w:r>
      <w:r>
        <w:rPr>
          <w:rFonts w:cs="Helvetica"/>
          <w:color w:val="auto"/>
          <w:sz w:val="22"/>
          <w:szCs w:val="22"/>
          <w:highlight w:val="none"/>
        </w:rPr>
        <w:t>20%</w:t>
      </w:r>
    </w:p>
    <w:p w14:paraId="77088CC7">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rPr>
        <w:t>①当</w:t>
      </w:r>
      <w:r>
        <w:rPr>
          <w:rFonts w:cs="Helvetica"/>
          <w:color w:val="auto"/>
          <w:sz w:val="22"/>
          <w:szCs w:val="22"/>
          <w:highlight w:val="none"/>
        </w:rPr>
        <w:t>N</w:t>
      </w:r>
      <w:r>
        <w:rPr>
          <w:rFonts w:hint="eastAsia" w:cs="Helvetica"/>
          <w:color w:val="auto"/>
          <w:sz w:val="22"/>
          <w:szCs w:val="22"/>
          <w:highlight w:val="none"/>
        </w:rPr>
        <w:t>为整数时，则按该数字淘汰对应数量的响应人，淘汰截止。</w:t>
      </w:r>
    </w:p>
    <w:p w14:paraId="75EEBA63">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rPr>
        <w:t>②当</w:t>
      </w:r>
      <w:r>
        <w:rPr>
          <w:rFonts w:cs="Helvetica"/>
          <w:color w:val="auto"/>
          <w:sz w:val="22"/>
          <w:szCs w:val="22"/>
          <w:highlight w:val="none"/>
        </w:rPr>
        <w:t>N</w:t>
      </w:r>
      <w:r>
        <w:rPr>
          <w:rFonts w:hint="eastAsia" w:cs="Helvetica"/>
          <w:color w:val="auto"/>
          <w:sz w:val="22"/>
          <w:szCs w:val="22"/>
          <w:highlight w:val="none"/>
        </w:rPr>
        <w:t>不为整数时，必须同时保证实际供应商淘汰比例不低于</w:t>
      </w:r>
      <w:r>
        <w:rPr>
          <w:rFonts w:cs="Helvetica"/>
          <w:color w:val="auto"/>
          <w:sz w:val="22"/>
          <w:szCs w:val="22"/>
          <w:highlight w:val="none"/>
        </w:rPr>
        <w:t>20%</w:t>
      </w:r>
      <w:r>
        <w:rPr>
          <w:rFonts w:hint="eastAsia" w:cs="Helvetica"/>
          <w:color w:val="auto"/>
          <w:sz w:val="22"/>
          <w:szCs w:val="22"/>
          <w:highlight w:val="none"/>
        </w:rPr>
        <w:t>，则按</w:t>
      </w:r>
      <w:r>
        <w:rPr>
          <w:rFonts w:cs="Helvetica"/>
          <w:color w:val="auto"/>
          <w:sz w:val="22"/>
          <w:szCs w:val="22"/>
          <w:highlight w:val="none"/>
        </w:rPr>
        <w:t>N</w:t>
      </w:r>
      <w:r>
        <w:rPr>
          <w:rFonts w:hint="eastAsia" w:cs="Helvetica"/>
          <w:color w:val="auto"/>
          <w:sz w:val="22"/>
          <w:szCs w:val="22"/>
          <w:highlight w:val="none"/>
        </w:rPr>
        <w:t>去点进一（舍去小数点之后的数字</w:t>
      </w:r>
      <w:r>
        <w:rPr>
          <w:rFonts w:cs="Helvetica"/>
          <w:color w:val="auto"/>
          <w:sz w:val="22"/>
          <w:szCs w:val="22"/>
          <w:highlight w:val="none"/>
        </w:rPr>
        <w:t>+1</w:t>
      </w:r>
      <w:r>
        <w:rPr>
          <w:rFonts w:hint="eastAsia" w:cs="Helvetica"/>
          <w:color w:val="auto"/>
          <w:sz w:val="22"/>
          <w:szCs w:val="22"/>
          <w:highlight w:val="none"/>
        </w:rPr>
        <w:t>）后的数字，淘汰对应数量的响应人，淘汰截止。</w:t>
      </w:r>
    </w:p>
    <w:p w14:paraId="7E73DDA0">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rPr>
        <w:t>特殊说明：按上述情形①或②执行时，若因响应报价相同的响应人须同时淘汰，则存在淘汰数量＞</w:t>
      </w:r>
      <w:r>
        <w:rPr>
          <w:rFonts w:cs="Helvetica"/>
          <w:color w:val="auto"/>
          <w:sz w:val="22"/>
          <w:szCs w:val="22"/>
          <w:highlight w:val="none"/>
        </w:rPr>
        <w:t>N</w:t>
      </w:r>
      <w:r>
        <w:rPr>
          <w:rFonts w:hint="eastAsia" w:cs="Helvetica"/>
          <w:color w:val="auto"/>
          <w:sz w:val="22"/>
          <w:szCs w:val="22"/>
          <w:highlight w:val="none"/>
        </w:rPr>
        <w:t>（或</w:t>
      </w:r>
      <w:r>
        <w:rPr>
          <w:rFonts w:cs="Helvetica"/>
          <w:color w:val="auto"/>
          <w:sz w:val="22"/>
          <w:szCs w:val="22"/>
          <w:highlight w:val="none"/>
        </w:rPr>
        <w:t>N</w:t>
      </w:r>
      <w:r>
        <w:rPr>
          <w:rFonts w:hint="eastAsia" w:cs="Helvetica"/>
          <w:color w:val="auto"/>
          <w:sz w:val="22"/>
          <w:szCs w:val="22"/>
          <w:highlight w:val="none"/>
        </w:rPr>
        <w:t>舍去小数点后</w:t>
      </w:r>
      <w:r>
        <w:rPr>
          <w:rFonts w:cs="Helvetica"/>
          <w:color w:val="auto"/>
          <w:sz w:val="22"/>
          <w:szCs w:val="22"/>
          <w:highlight w:val="none"/>
        </w:rPr>
        <w:t>+1</w:t>
      </w:r>
      <w:r>
        <w:rPr>
          <w:rFonts w:hint="eastAsia" w:cs="Helvetica"/>
          <w:color w:val="auto"/>
          <w:sz w:val="22"/>
          <w:szCs w:val="22"/>
          <w:highlight w:val="none"/>
        </w:rPr>
        <w:t>）的情况。</w:t>
      </w:r>
    </w:p>
    <w:p w14:paraId="46399341">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lang w:val="en-US" w:eastAsia="zh-CN"/>
        </w:rPr>
        <w:t>5</w:t>
      </w:r>
      <w:r>
        <w:rPr>
          <w:rFonts w:hint="eastAsia" w:cs="Helvetica"/>
          <w:color w:val="auto"/>
          <w:sz w:val="22"/>
          <w:szCs w:val="22"/>
          <w:highlight w:val="none"/>
        </w:rPr>
        <w:t>、按上述规则淘汰截止后，剩余的其他响应人为本项目入围供应商。</w:t>
      </w:r>
    </w:p>
    <w:p w14:paraId="59D0AAB1">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rPr>
        <w:t>规则举例：</w:t>
      </w:r>
    </w:p>
    <w:p w14:paraId="09352F6A">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rPr>
        <w:t>例</w:t>
      </w:r>
      <w:r>
        <w:rPr>
          <w:rFonts w:cs="Helvetica"/>
          <w:color w:val="auto"/>
          <w:sz w:val="22"/>
          <w:szCs w:val="22"/>
          <w:highlight w:val="none"/>
        </w:rPr>
        <w:t>1</w:t>
      </w:r>
      <w:r>
        <w:rPr>
          <w:rFonts w:hint="eastAsia" w:cs="Helvetica"/>
          <w:color w:val="auto"/>
          <w:sz w:val="22"/>
          <w:szCs w:val="22"/>
          <w:highlight w:val="none"/>
        </w:rPr>
        <w:t>：某包响应报价从低到高排序共</w:t>
      </w:r>
      <w:r>
        <w:rPr>
          <w:rFonts w:cs="Helvetica"/>
          <w:color w:val="auto"/>
          <w:sz w:val="22"/>
          <w:szCs w:val="22"/>
          <w:highlight w:val="none"/>
        </w:rPr>
        <w:t>50</w:t>
      </w:r>
      <w:r>
        <w:rPr>
          <w:rFonts w:hint="eastAsia" w:cs="Helvetica"/>
          <w:color w:val="auto"/>
          <w:sz w:val="22"/>
          <w:szCs w:val="22"/>
          <w:highlight w:val="none"/>
        </w:rPr>
        <w:t>家，</w:t>
      </w:r>
      <w:r>
        <w:rPr>
          <w:rFonts w:cs="Helvetica"/>
          <w:color w:val="auto"/>
          <w:sz w:val="22"/>
          <w:szCs w:val="22"/>
          <w:highlight w:val="none"/>
        </w:rPr>
        <w:t>N=50</w:t>
      </w:r>
      <w:r>
        <w:rPr>
          <w:rFonts w:hint="eastAsia" w:cs="Helvetica"/>
          <w:color w:val="auto"/>
          <w:sz w:val="22"/>
          <w:szCs w:val="22"/>
          <w:highlight w:val="none"/>
        </w:rPr>
        <w:t>×</w:t>
      </w:r>
      <w:r>
        <w:rPr>
          <w:rFonts w:cs="Helvetica"/>
          <w:color w:val="auto"/>
          <w:sz w:val="22"/>
          <w:szCs w:val="22"/>
          <w:highlight w:val="none"/>
        </w:rPr>
        <w:t>20%=10</w:t>
      </w:r>
      <w:r>
        <w:rPr>
          <w:rFonts w:hint="eastAsia" w:cs="Helvetica"/>
          <w:color w:val="auto"/>
          <w:sz w:val="22"/>
          <w:szCs w:val="22"/>
          <w:highlight w:val="none"/>
        </w:rPr>
        <w:t>，则淘汰</w:t>
      </w:r>
      <w:r>
        <w:rPr>
          <w:rFonts w:cs="Helvetica"/>
          <w:color w:val="auto"/>
          <w:sz w:val="22"/>
          <w:szCs w:val="22"/>
          <w:highlight w:val="none"/>
        </w:rPr>
        <w:t>10</w:t>
      </w:r>
      <w:r>
        <w:rPr>
          <w:rFonts w:hint="eastAsia" w:cs="Helvetica"/>
          <w:color w:val="auto"/>
          <w:sz w:val="22"/>
          <w:szCs w:val="22"/>
          <w:highlight w:val="none"/>
        </w:rPr>
        <w:t>家响应人，淘汰截止。其他</w:t>
      </w:r>
      <w:r>
        <w:rPr>
          <w:rFonts w:cs="Helvetica"/>
          <w:color w:val="auto"/>
          <w:sz w:val="22"/>
          <w:szCs w:val="22"/>
          <w:highlight w:val="none"/>
        </w:rPr>
        <w:t>40</w:t>
      </w:r>
      <w:r>
        <w:rPr>
          <w:rFonts w:hint="eastAsia" w:cs="Helvetica"/>
          <w:color w:val="auto"/>
          <w:sz w:val="22"/>
          <w:szCs w:val="22"/>
          <w:highlight w:val="none"/>
        </w:rPr>
        <w:t>家响应人为入围供应商。</w:t>
      </w:r>
    </w:p>
    <w:p w14:paraId="15D60078">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rPr>
        <w:t>例</w:t>
      </w:r>
      <w:r>
        <w:rPr>
          <w:rFonts w:cs="Helvetica"/>
          <w:color w:val="auto"/>
          <w:sz w:val="22"/>
          <w:szCs w:val="22"/>
          <w:highlight w:val="none"/>
        </w:rPr>
        <w:t>2</w:t>
      </w:r>
      <w:r>
        <w:rPr>
          <w:rFonts w:hint="eastAsia" w:cs="Helvetica"/>
          <w:color w:val="auto"/>
          <w:sz w:val="22"/>
          <w:szCs w:val="22"/>
          <w:highlight w:val="none"/>
        </w:rPr>
        <w:t>：某包响应报价从低到高排序共</w:t>
      </w:r>
      <w:r>
        <w:rPr>
          <w:rFonts w:cs="Helvetica"/>
          <w:color w:val="auto"/>
          <w:sz w:val="22"/>
          <w:szCs w:val="22"/>
          <w:highlight w:val="none"/>
        </w:rPr>
        <w:t>51</w:t>
      </w:r>
      <w:r>
        <w:rPr>
          <w:rFonts w:hint="eastAsia" w:cs="Helvetica"/>
          <w:color w:val="auto"/>
          <w:sz w:val="22"/>
          <w:szCs w:val="22"/>
          <w:highlight w:val="none"/>
        </w:rPr>
        <w:t>家，</w:t>
      </w:r>
      <w:r>
        <w:rPr>
          <w:rFonts w:cs="Helvetica"/>
          <w:color w:val="auto"/>
          <w:sz w:val="22"/>
          <w:szCs w:val="22"/>
          <w:highlight w:val="none"/>
        </w:rPr>
        <w:t>N=51</w:t>
      </w:r>
      <w:r>
        <w:rPr>
          <w:rFonts w:hint="eastAsia" w:cs="Helvetica"/>
          <w:color w:val="auto"/>
          <w:sz w:val="22"/>
          <w:szCs w:val="22"/>
          <w:highlight w:val="none"/>
        </w:rPr>
        <w:t>×</w:t>
      </w:r>
      <w:r>
        <w:rPr>
          <w:rFonts w:cs="Helvetica"/>
          <w:color w:val="auto"/>
          <w:sz w:val="22"/>
          <w:szCs w:val="22"/>
          <w:highlight w:val="none"/>
        </w:rPr>
        <w:t>20%=10.2</w:t>
      </w:r>
      <w:r>
        <w:rPr>
          <w:rFonts w:hint="eastAsia" w:cs="Helvetica"/>
          <w:color w:val="auto"/>
          <w:sz w:val="22"/>
          <w:szCs w:val="22"/>
          <w:highlight w:val="none"/>
        </w:rPr>
        <w:t>，必须同时保证实际供应商淘汰比例不低于</w:t>
      </w:r>
      <w:r>
        <w:rPr>
          <w:rFonts w:cs="Helvetica"/>
          <w:color w:val="auto"/>
          <w:sz w:val="22"/>
          <w:szCs w:val="22"/>
          <w:highlight w:val="none"/>
        </w:rPr>
        <w:t>20%</w:t>
      </w:r>
      <w:r>
        <w:rPr>
          <w:rFonts w:hint="eastAsia" w:cs="Helvetica"/>
          <w:color w:val="auto"/>
          <w:sz w:val="22"/>
          <w:szCs w:val="22"/>
          <w:highlight w:val="none"/>
        </w:rPr>
        <w:t>，则淘汰</w:t>
      </w:r>
      <w:r>
        <w:rPr>
          <w:rFonts w:cs="Helvetica"/>
          <w:color w:val="auto"/>
          <w:sz w:val="22"/>
          <w:szCs w:val="22"/>
          <w:highlight w:val="none"/>
        </w:rPr>
        <w:t>11</w:t>
      </w:r>
      <w:r>
        <w:rPr>
          <w:rFonts w:hint="eastAsia" w:cs="Helvetica"/>
          <w:color w:val="auto"/>
          <w:sz w:val="22"/>
          <w:szCs w:val="22"/>
          <w:highlight w:val="none"/>
        </w:rPr>
        <w:t>家响应人，淘汰截止。其他</w:t>
      </w:r>
      <w:r>
        <w:rPr>
          <w:rFonts w:cs="Helvetica"/>
          <w:color w:val="auto"/>
          <w:sz w:val="22"/>
          <w:szCs w:val="22"/>
          <w:highlight w:val="none"/>
        </w:rPr>
        <w:t>40</w:t>
      </w:r>
      <w:r>
        <w:rPr>
          <w:rFonts w:hint="eastAsia" w:cs="Helvetica"/>
          <w:color w:val="auto"/>
          <w:sz w:val="22"/>
          <w:szCs w:val="22"/>
          <w:highlight w:val="none"/>
        </w:rPr>
        <w:t>家响应人为入围供应商。</w:t>
      </w:r>
    </w:p>
    <w:p w14:paraId="5FC12502">
      <w:pPr>
        <w:pStyle w:val="68"/>
        <w:spacing w:before="0" w:beforeAutospacing="0" w:after="0" w:afterAutospacing="0" w:line="400" w:lineRule="exact"/>
        <w:ind w:firstLine="480"/>
        <w:rPr>
          <w:rFonts w:cs="Helvetica"/>
          <w:color w:val="auto"/>
          <w:sz w:val="22"/>
          <w:szCs w:val="22"/>
          <w:highlight w:val="none"/>
        </w:rPr>
      </w:pPr>
      <w:r>
        <w:rPr>
          <w:rFonts w:hint="eastAsia" w:cs="Helvetica"/>
          <w:color w:val="auto"/>
          <w:sz w:val="22"/>
          <w:szCs w:val="22"/>
          <w:highlight w:val="none"/>
        </w:rPr>
        <w:t>例</w:t>
      </w:r>
      <w:r>
        <w:rPr>
          <w:rFonts w:cs="Helvetica"/>
          <w:color w:val="auto"/>
          <w:sz w:val="22"/>
          <w:szCs w:val="22"/>
          <w:highlight w:val="none"/>
        </w:rPr>
        <w:t>3</w:t>
      </w:r>
      <w:r>
        <w:rPr>
          <w:rFonts w:hint="eastAsia" w:cs="Helvetica"/>
          <w:color w:val="auto"/>
          <w:sz w:val="22"/>
          <w:szCs w:val="22"/>
          <w:highlight w:val="none"/>
        </w:rPr>
        <w:t>：某包响应报价从低到高排序共</w:t>
      </w:r>
      <w:r>
        <w:rPr>
          <w:rFonts w:cs="Helvetica"/>
          <w:color w:val="auto"/>
          <w:sz w:val="22"/>
          <w:szCs w:val="22"/>
          <w:highlight w:val="none"/>
        </w:rPr>
        <w:t>50</w:t>
      </w:r>
      <w:r>
        <w:rPr>
          <w:rFonts w:hint="eastAsia" w:cs="Helvetica"/>
          <w:color w:val="auto"/>
          <w:sz w:val="22"/>
          <w:szCs w:val="22"/>
          <w:highlight w:val="none"/>
        </w:rPr>
        <w:t>家，</w:t>
      </w:r>
      <w:r>
        <w:rPr>
          <w:rFonts w:cs="Helvetica"/>
          <w:color w:val="auto"/>
          <w:sz w:val="22"/>
          <w:szCs w:val="22"/>
          <w:highlight w:val="none"/>
        </w:rPr>
        <w:t>N=50</w:t>
      </w:r>
      <w:r>
        <w:rPr>
          <w:rFonts w:hint="eastAsia" w:cs="Helvetica"/>
          <w:color w:val="auto"/>
          <w:sz w:val="22"/>
          <w:szCs w:val="22"/>
          <w:highlight w:val="none"/>
        </w:rPr>
        <w:t>×</w:t>
      </w:r>
      <w:r>
        <w:rPr>
          <w:rFonts w:cs="Helvetica"/>
          <w:color w:val="auto"/>
          <w:sz w:val="22"/>
          <w:szCs w:val="22"/>
          <w:highlight w:val="none"/>
        </w:rPr>
        <w:t>20%=10</w:t>
      </w:r>
      <w:r>
        <w:rPr>
          <w:rFonts w:hint="eastAsia" w:cs="Helvetica"/>
          <w:color w:val="auto"/>
          <w:sz w:val="22"/>
          <w:szCs w:val="22"/>
          <w:highlight w:val="none"/>
        </w:rPr>
        <w:t>。假设价格并列最高的有</w:t>
      </w:r>
      <w:r>
        <w:rPr>
          <w:rFonts w:cs="Helvetica"/>
          <w:color w:val="auto"/>
          <w:sz w:val="22"/>
          <w:szCs w:val="22"/>
          <w:highlight w:val="none"/>
        </w:rPr>
        <w:t>6</w:t>
      </w:r>
      <w:r>
        <w:rPr>
          <w:rFonts w:hint="eastAsia" w:cs="Helvetica"/>
          <w:color w:val="auto"/>
          <w:sz w:val="22"/>
          <w:szCs w:val="22"/>
          <w:highlight w:val="none"/>
        </w:rPr>
        <w:t>家，并列次高的有</w:t>
      </w:r>
      <w:r>
        <w:rPr>
          <w:rFonts w:cs="Helvetica"/>
          <w:color w:val="auto"/>
          <w:sz w:val="22"/>
          <w:szCs w:val="22"/>
          <w:highlight w:val="none"/>
        </w:rPr>
        <w:t>7</w:t>
      </w:r>
      <w:r>
        <w:rPr>
          <w:rFonts w:hint="eastAsia" w:cs="Helvetica"/>
          <w:color w:val="auto"/>
          <w:sz w:val="22"/>
          <w:szCs w:val="22"/>
          <w:highlight w:val="none"/>
        </w:rPr>
        <w:t>家，因必须同时保证实际供应商淘汰比例不低于</w:t>
      </w:r>
      <w:r>
        <w:rPr>
          <w:rFonts w:cs="Helvetica"/>
          <w:color w:val="auto"/>
          <w:sz w:val="22"/>
          <w:szCs w:val="22"/>
          <w:highlight w:val="none"/>
        </w:rPr>
        <w:t>20%</w:t>
      </w:r>
      <w:r>
        <w:rPr>
          <w:rFonts w:hint="eastAsia" w:cs="Helvetica"/>
          <w:color w:val="auto"/>
          <w:sz w:val="22"/>
          <w:szCs w:val="22"/>
          <w:highlight w:val="none"/>
        </w:rPr>
        <w:t>，则淘汰</w:t>
      </w:r>
      <w:r>
        <w:rPr>
          <w:rFonts w:cs="Helvetica"/>
          <w:color w:val="auto"/>
          <w:sz w:val="22"/>
          <w:szCs w:val="22"/>
          <w:highlight w:val="none"/>
        </w:rPr>
        <w:t>13</w:t>
      </w:r>
      <w:r>
        <w:rPr>
          <w:rFonts w:hint="eastAsia" w:cs="Helvetica"/>
          <w:color w:val="auto"/>
          <w:sz w:val="22"/>
          <w:szCs w:val="22"/>
          <w:highlight w:val="none"/>
        </w:rPr>
        <w:t>家响应人，淘汰截止。其他</w:t>
      </w:r>
      <w:r>
        <w:rPr>
          <w:rFonts w:cs="Helvetica"/>
          <w:color w:val="auto"/>
          <w:sz w:val="22"/>
          <w:szCs w:val="22"/>
          <w:highlight w:val="none"/>
        </w:rPr>
        <w:t>37</w:t>
      </w:r>
      <w:r>
        <w:rPr>
          <w:rFonts w:hint="eastAsia" w:cs="Helvetica"/>
          <w:color w:val="auto"/>
          <w:sz w:val="22"/>
          <w:szCs w:val="22"/>
          <w:highlight w:val="none"/>
        </w:rPr>
        <w:t>家响应人为入围供应商。</w:t>
      </w:r>
    </w:p>
    <w:p w14:paraId="70346DC1">
      <w:pPr>
        <w:pStyle w:val="68"/>
        <w:numPr>
          <w:ilvl w:val="0"/>
          <w:numId w:val="23"/>
        </w:numPr>
        <w:spacing w:before="0" w:beforeAutospacing="0" w:after="0" w:afterAutospacing="0" w:line="400" w:lineRule="exact"/>
        <w:ind w:firstLine="480"/>
        <w:rPr>
          <w:rFonts w:hint="eastAsia" w:ascii="宋体" w:hAnsi="宋体" w:eastAsia="宋体" w:cs="Helvetica"/>
          <w:b/>
          <w:bCs/>
          <w:color w:val="auto"/>
          <w:sz w:val="22"/>
          <w:szCs w:val="22"/>
          <w:highlight w:val="none"/>
        </w:rPr>
      </w:pPr>
      <w:r>
        <w:rPr>
          <w:rFonts w:hint="eastAsia" w:cs="Helvetica"/>
          <w:b/>
          <w:bCs/>
          <w:color w:val="auto"/>
          <w:sz w:val="22"/>
          <w:szCs w:val="22"/>
          <w:highlight w:val="none"/>
        </w:rPr>
        <w:t>确定第二阶段成交供应商的方式</w:t>
      </w:r>
    </w:p>
    <w:p w14:paraId="3291F933">
      <w:pPr>
        <w:pStyle w:val="68"/>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440" w:firstLineChars="200"/>
        <w:textAlignment w:val="auto"/>
        <w:rPr>
          <w:rFonts w:hint="default" w:ascii="宋体" w:hAnsi="宋体" w:eastAsia="宋体" w:cs="Helvetica"/>
          <w:b w:val="0"/>
          <w:bCs w:val="0"/>
          <w:color w:val="auto"/>
          <w:sz w:val="22"/>
          <w:szCs w:val="22"/>
          <w:highlight w:val="none"/>
          <w:lang w:val="en-US" w:eastAsia="zh-CN"/>
        </w:rPr>
      </w:pPr>
      <w:r>
        <w:rPr>
          <w:rFonts w:hint="default" w:ascii="宋体" w:hAnsi="宋体" w:eastAsia="宋体" w:cs="Helvetica"/>
          <w:color w:val="auto"/>
          <w:sz w:val="22"/>
          <w:szCs w:val="22"/>
          <w:highlight w:val="none"/>
        </w:rPr>
        <w:t>确定第二阶段成交供应商的</w:t>
      </w:r>
      <w:r>
        <w:rPr>
          <w:rFonts w:hint="default" w:ascii="宋体" w:hAnsi="宋体" w:eastAsia="宋体" w:cs="Helvetica"/>
          <w:color w:val="auto"/>
          <w:sz w:val="22"/>
          <w:szCs w:val="22"/>
          <w:highlight w:val="none"/>
          <w:lang w:eastAsia="zh-CN"/>
        </w:rPr>
        <w:t>主要</w:t>
      </w:r>
      <w:r>
        <w:rPr>
          <w:rFonts w:hint="default" w:ascii="宋体" w:hAnsi="宋体" w:eastAsia="宋体" w:cs="Helvetica"/>
          <w:color w:val="auto"/>
          <w:sz w:val="22"/>
          <w:szCs w:val="22"/>
          <w:highlight w:val="none"/>
        </w:rPr>
        <w:t>方式</w:t>
      </w:r>
      <w:r>
        <w:rPr>
          <w:rFonts w:hint="default" w:ascii="宋体" w:hAnsi="宋体" w:eastAsia="宋体" w:cs="Helvetica"/>
          <w:color w:val="auto"/>
          <w:sz w:val="22"/>
          <w:szCs w:val="22"/>
          <w:highlight w:val="none"/>
          <w:lang w:eastAsia="zh-CN"/>
        </w:rPr>
        <w:t>是</w:t>
      </w:r>
      <w:r>
        <w:rPr>
          <w:rFonts w:hint="default" w:ascii="宋体" w:hAnsi="宋体" w:eastAsia="宋体" w:cs="Helvetica"/>
          <w:color w:val="auto"/>
          <w:sz w:val="22"/>
          <w:szCs w:val="22"/>
          <w:highlight w:val="none"/>
        </w:rPr>
        <w:t>直接选定。</w:t>
      </w:r>
      <w:r>
        <w:rPr>
          <w:rFonts w:hint="default" w:ascii="宋体" w:hAnsi="宋体" w:eastAsia="宋体" w:cs="Helvetica"/>
          <w:color w:val="auto"/>
          <w:sz w:val="22"/>
          <w:szCs w:val="22"/>
          <w:highlight w:val="none"/>
          <w:lang w:eastAsia="zh-CN"/>
        </w:rPr>
        <w:t>直接选定是由</w:t>
      </w:r>
      <w:r>
        <w:rPr>
          <w:rFonts w:hint="default" w:ascii="宋体" w:hAnsi="宋体" w:eastAsia="宋体" w:cs="Helvetica"/>
          <w:color w:val="auto"/>
          <w:sz w:val="22"/>
          <w:szCs w:val="22"/>
          <w:highlight w:val="none"/>
        </w:rPr>
        <w:t>采购人或者服务对象依据入围产品价格、质量以及服务便利性、用户评价等因素，</w:t>
      </w:r>
      <w:r>
        <w:rPr>
          <w:rFonts w:hint="default" w:ascii="宋体" w:hAnsi="宋体" w:eastAsia="宋体" w:cs="Helvetica"/>
          <w:color w:val="auto"/>
          <w:sz w:val="22"/>
          <w:szCs w:val="22"/>
          <w:highlight w:val="none"/>
          <w:lang w:eastAsia="zh-CN"/>
        </w:rPr>
        <w:t>从第一阶段入围供应商中确定第二阶段成交供应商。</w:t>
      </w:r>
      <w:r>
        <w:rPr>
          <w:rFonts w:hint="default" w:ascii="宋体" w:hAnsi="宋体" w:eastAsia="宋体" w:cs="Helvetica"/>
          <w:color w:val="auto"/>
          <w:sz w:val="22"/>
          <w:szCs w:val="22"/>
          <w:highlight w:val="none"/>
        </w:rPr>
        <w:t>入围供应商第一阶段响应报价是采购人或者服务对象确定第二阶段成交供应商的最高限价。</w:t>
      </w:r>
    </w:p>
    <w:p w14:paraId="61C1AA7A">
      <w:pPr>
        <w:pStyle w:val="57"/>
        <w:snapToGrid w:val="0"/>
        <w:spacing w:before="0" w:after="0"/>
        <w:ind w:left="0"/>
        <w:rPr>
          <w:rFonts w:ascii="宋体"/>
          <w:color w:val="auto"/>
          <w:sz w:val="32"/>
          <w:szCs w:val="32"/>
          <w:highlight w:val="none"/>
        </w:rPr>
      </w:pPr>
      <w:r>
        <w:rPr>
          <w:rFonts w:hint="eastAsia" w:ascii="宋体" w:hAnsi="宋体"/>
          <w:b w:val="0"/>
          <w:bCs w:val="0"/>
          <w:color w:val="auto"/>
          <w:sz w:val="32"/>
          <w:szCs w:val="21"/>
          <w:highlight w:val="none"/>
        </w:rPr>
        <w:br w:type="page"/>
      </w:r>
      <w:bookmarkStart w:id="199" w:name="_Toc23703"/>
      <w:bookmarkEnd w:id="199"/>
      <w:bookmarkStart w:id="200" w:name="_Toc328816004"/>
      <w:bookmarkEnd w:id="200"/>
      <w:bookmarkStart w:id="201" w:name="_Toc29877"/>
      <w:bookmarkStart w:id="202" w:name="_Toc174185201"/>
      <w:bookmarkStart w:id="203" w:name="_Toc186274124"/>
      <w:r>
        <w:rPr>
          <w:rFonts w:hint="eastAsia" w:ascii="宋体" w:hAnsi="宋体"/>
          <w:b w:val="0"/>
          <w:bCs w:val="0"/>
          <w:color w:val="auto"/>
          <w:sz w:val="32"/>
          <w:szCs w:val="21"/>
          <w:highlight w:val="none"/>
          <w:lang w:val="en-US" w:eastAsia="zh-CN"/>
        </w:rPr>
        <w:t xml:space="preserve"> </w:t>
      </w:r>
      <w:bookmarkStart w:id="204" w:name="_Toc30183"/>
      <w:bookmarkStart w:id="205" w:name="_Toc10190"/>
      <w:r>
        <w:rPr>
          <w:rFonts w:hint="eastAsia" w:ascii="宋体"/>
          <w:color w:val="auto"/>
          <w:sz w:val="32"/>
          <w:szCs w:val="21"/>
          <w:highlight w:val="none"/>
        </w:rPr>
        <w:t>框架协议文本和采购合同文本</w:t>
      </w:r>
      <w:bookmarkEnd w:id="201"/>
      <w:bookmarkEnd w:id="204"/>
      <w:bookmarkEnd w:id="205"/>
    </w:p>
    <w:p w14:paraId="011F1A0A">
      <w:pPr>
        <w:pStyle w:val="57"/>
        <w:numPr>
          <w:ilvl w:val="0"/>
          <w:numId w:val="0"/>
        </w:numPr>
        <w:snapToGrid w:val="0"/>
        <w:spacing w:before="0" w:after="0" w:line="360" w:lineRule="auto"/>
        <w:outlineLvl w:val="9"/>
        <w:rPr>
          <w:rFonts w:ascii="宋体" w:hAnsi="宋体"/>
          <w:color w:val="auto"/>
          <w:sz w:val="32"/>
          <w:szCs w:val="21"/>
          <w:highlight w:val="none"/>
        </w:rPr>
      </w:pPr>
    </w:p>
    <w:p w14:paraId="498FA08F">
      <w:pPr>
        <w:pStyle w:val="57"/>
        <w:numPr>
          <w:ilvl w:val="0"/>
          <w:numId w:val="0"/>
        </w:numPr>
        <w:snapToGrid w:val="0"/>
        <w:spacing w:before="0" w:after="0" w:line="360" w:lineRule="auto"/>
        <w:outlineLvl w:val="9"/>
        <w:rPr>
          <w:rFonts w:ascii="宋体" w:hAnsi="宋体"/>
          <w:color w:val="auto"/>
          <w:sz w:val="32"/>
          <w:szCs w:val="21"/>
          <w:highlight w:val="none"/>
        </w:rPr>
      </w:pPr>
    </w:p>
    <w:p w14:paraId="48280CC0">
      <w:pPr>
        <w:pStyle w:val="57"/>
        <w:numPr>
          <w:ilvl w:val="0"/>
          <w:numId w:val="0"/>
        </w:numPr>
        <w:snapToGrid w:val="0"/>
        <w:spacing w:before="0" w:after="0" w:line="360" w:lineRule="auto"/>
        <w:outlineLvl w:val="9"/>
        <w:rPr>
          <w:rFonts w:ascii="宋体" w:hAnsi="宋体"/>
          <w:color w:val="auto"/>
          <w:sz w:val="32"/>
          <w:szCs w:val="21"/>
          <w:highlight w:val="none"/>
        </w:rPr>
      </w:pPr>
    </w:p>
    <w:p w14:paraId="59A2D451">
      <w:pPr>
        <w:pStyle w:val="57"/>
        <w:numPr>
          <w:ilvl w:val="0"/>
          <w:numId w:val="0"/>
        </w:numPr>
        <w:snapToGrid w:val="0"/>
        <w:spacing w:before="0" w:after="0" w:line="360" w:lineRule="auto"/>
        <w:outlineLvl w:val="9"/>
        <w:rPr>
          <w:rFonts w:ascii="方正小标宋简体" w:hAnsi="宋体" w:eastAsia="方正小标宋简体"/>
          <w:b w:val="0"/>
          <w:bCs w:val="0"/>
          <w:color w:val="auto"/>
          <w:sz w:val="32"/>
          <w:szCs w:val="21"/>
          <w:highlight w:val="none"/>
        </w:rPr>
      </w:pPr>
      <w:r>
        <w:rPr>
          <w:rFonts w:hint="eastAsia" w:ascii="方正小标宋简体" w:hAnsi="黑体" w:eastAsia="方正小标宋简体"/>
          <w:b w:val="0"/>
          <w:bCs w:val="0"/>
          <w:color w:val="auto"/>
          <w:sz w:val="96"/>
          <w:szCs w:val="96"/>
          <w:highlight w:val="none"/>
        </w:rPr>
        <w:t>框  架  协  议</w:t>
      </w:r>
    </w:p>
    <w:p w14:paraId="1A2ADF77">
      <w:pPr>
        <w:pStyle w:val="57"/>
        <w:numPr>
          <w:ilvl w:val="0"/>
          <w:numId w:val="0"/>
        </w:numPr>
        <w:snapToGrid w:val="0"/>
        <w:spacing w:before="0" w:after="0" w:line="360" w:lineRule="auto"/>
        <w:outlineLvl w:val="9"/>
        <w:rPr>
          <w:rFonts w:ascii="宋体" w:hAnsi="宋体"/>
          <w:color w:val="auto"/>
          <w:sz w:val="32"/>
          <w:szCs w:val="21"/>
          <w:highlight w:val="none"/>
        </w:rPr>
      </w:pPr>
      <w:r>
        <w:rPr>
          <w:rFonts w:hint="eastAsia" w:ascii="宋体" w:hAnsi="宋体"/>
          <w:color w:val="auto"/>
          <w:sz w:val="32"/>
          <w:szCs w:val="21"/>
          <w:highlight w:val="none"/>
        </w:rPr>
        <w:t>（</w:t>
      </w:r>
      <w:r>
        <w:rPr>
          <w:rFonts w:hint="eastAsia" w:ascii="宋体" w:hAnsi="宋体"/>
          <w:color w:val="auto"/>
          <w:sz w:val="32"/>
          <w:szCs w:val="21"/>
          <w:highlight w:val="none"/>
          <w:lang w:eastAsia="zh-CN"/>
        </w:rPr>
        <w:t>2025年度</w:t>
      </w:r>
      <w:r>
        <w:rPr>
          <w:rFonts w:hint="eastAsia" w:ascii="宋体" w:hAnsi="宋体"/>
          <w:color w:val="auto"/>
          <w:sz w:val="32"/>
          <w:szCs w:val="21"/>
          <w:highlight w:val="none"/>
        </w:rPr>
        <w:t>）</w:t>
      </w:r>
    </w:p>
    <w:p w14:paraId="3EE6852C">
      <w:pPr>
        <w:pStyle w:val="57"/>
        <w:numPr>
          <w:ilvl w:val="0"/>
          <w:numId w:val="0"/>
        </w:numPr>
        <w:snapToGrid w:val="0"/>
        <w:spacing w:before="0" w:after="0" w:line="360" w:lineRule="auto"/>
        <w:outlineLvl w:val="9"/>
        <w:rPr>
          <w:rFonts w:ascii="宋体" w:hAnsi="宋体"/>
          <w:color w:val="auto"/>
          <w:sz w:val="32"/>
          <w:szCs w:val="21"/>
          <w:highlight w:val="none"/>
        </w:rPr>
      </w:pPr>
    </w:p>
    <w:p w14:paraId="4D5E8C32">
      <w:pPr>
        <w:pStyle w:val="57"/>
        <w:numPr>
          <w:ilvl w:val="0"/>
          <w:numId w:val="0"/>
        </w:numPr>
        <w:snapToGrid w:val="0"/>
        <w:spacing w:before="0" w:after="0" w:line="360" w:lineRule="auto"/>
        <w:outlineLvl w:val="9"/>
        <w:rPr>
          <w:rFonts w:ascii="宋体" w:hAnsi="宋体"/>
          <w:color w:val="auto"/>
          <w:sz w:val="32"/>
          <w:szCs w:val="21"/>
          <w:highlight w:val="none"/>
        </w:rPr>
      </w:pPr>
    </w:p>
    <w:p w14:paraId="0DB1D144">
      <w:pPr>
        <w:pStyle w:val="9"/>
        <w:tabs>
          <w:tab w:val="left" w:pos="840"/>
        </w:tabs>
        <w:spacing w:after="0" w:line="360" w:lineRule="auto"/>
        <w:ind w:firstLine="720" w:firstLineChars="200"/>
        <w:rPr>
          <w:rFonts w:hint="default" w:ascii="方正小标宋简体" w:hAnsi="宋体" w:eastAsia="方正小标宋简体"/>
          <w:color w:val="auto"/>
          <w:sz w:val="36"/>
          <w:szCs w:val="36"/>
          <w:highlight w:val="none"/>
          <w:lang w:val="en-US" w:eastAsia="zh-CN"/>
        </w:rPr>
      </w:pPr>
      <w:r>
        <w:rPr>
          <w:rFonts w:hint="eastAsia" w:ascii="方正小标宋简体" w:eastAsia="方正小标宋简体"/>
          <w:color w:val="auto"/>
          <w:sz w:val="36"/>
          <w:szCs w:val="36"/>
          <w:highlight w:val="none"/>
        </w:rPr>
        <w:t>项目名称：</w:t>
      </w:r>
      <w:r>
        <w:rPr>
          <w:rFonts w:hint="eastAsia" w:ascii="方正小标宋简体" w:hAnsi="宋体" w:eastAsia="方正小标宋简体"/>
          <w:color w:val="auto"/>
          <w:sz w:val="36"/>
          <w:szCs w:val="36"/>
          <w:highlight w:val="none"/>
        </w:rPr>
        <w:t>北京市市级行政事业单位</w:t>
      </w:r>
      <w:r>
        <w:rPr>
          <w:rFonts w:hint="eastAsia" w:ascii="方正小标宋简体" w:hAnsi="宋体" w:eastAsia="方正小标宋简体"/>
          <w:color w:val="auto"/>
          <w:sz w:val="36"/>
          <w:szCs w:val="36"/>
          <w:highlight w:val="none"/>
          <w:lang w:val="en-US" w:eastAsia="zh-CN"/>
        </w:rPr>
        <w:t>物业管理服务</w:t>
      </w:r>
    </w:p>
    <w:p w14:paraId="5A8407CA">
      <w:pPr>
        <w:pStyle w:val="9"/>
        <w:tabs>
          <w:tab w:val="left" w:pos="840"/>
        </w:tabs>
        <w:spacing w:after="0" w:line="360" w:lineRule="auto"/>
        <w:ind w:left="2520" w:leftChars="1050" w:firstLine="7" w:firstLineChars="2"/>
        <w:rPr>
          <w:rFonts w:ascii="方正小标宋简体" w:hAnsi="宋体" w:eastAsia="方正小标宋简体"/>
          <w:color w:val="auto"/>
          <w:sz w:val="36"/>
          <w:szCs w:val="36"/>
          <w:highlight w:val="none"/>
        </w:rPr>
      </w:pPr>
      <w:r>
        <w:rPr>
          <w:rFonts w:hint="eastAsia" w:ascii="方正小标宋简体" w:hAnsi="宋体" w:eastAsia="方正小标宋简体"/>
          <w:color w:val="auto"/>
          <w:sz w:val="36"/>
          <w:szCs w:val="36"/>
          <w:highlight w:val="none"/>
        </w:rPr>
        <w:t>框架协议采购项目（</w:t>
      </w:r>
      <w:r>
        <w:rPr>
          <w:rFonts w:hint="eastAsia" w:ascii="方正小标宋简体" w:hAnsi="宋体" w:eastAsia="方正小标宋简体"/>
          <w:color w:val="auto"/>
          <w:sz w:val="36"/>
          <w:szCs w:val="36"/>
          <w:highlight w:val="none"/>
          <w:lang w:eastAsia="zh-CN"/>
        </w:rPr>
        <w:t>2025年度</w:t>
      </w:r>
      <w:r>
        <w:rPr>
          <w:rFonts w:hint="eastAsia" w:ascii="方正小标宋简体" w:hAnsi="宋体" w:eastAsia="方正小标宋简体"/>
          <w:color w:val="auto"/>
          <w:sz w:val="36"/>
          <w:szCs w:val="36"/>
          <w:highlight w:val="none"/>
        </w:rPr>
        <w:t>）</w:t>
      </w:r>
    </w:p>
    <w:p w14:paraId="7521424E">
      <w:pPr>
        <w:pStyle w:val="9"/>
        <w:tabs>
          <w:tab w:val="left" w:pos="840"/>
        </w:tabs>
        <w:spacing w:after="0" w:line="360" w:lineRule="auto"/>
        <w:ind w:firstLine="752" w:firstLineChars="209"/>
        <w:rPr>
          <w:rFonts w:hint="eastAsia" w:ascii="方正小标宋简体" w:hAnsi="宋体" w:eastAsia="方正小标宋简体"/>
          <w:color w:val="auto"/>
          <w:sz w:val="36"/>
          <w:szCs w:val="36"/>
          <w:highlight w:val="yellow"/>
          <w:lang w:val="en-US" w:eastAsia="zh-CN"/>
        </w:rPr>
      </w:pPr>
      <w:r>
        <w:rPr>
          <w:rFonts w:hint="eastAsia" w:ascii="方正小标宋简体" w:hAnsi="宋体" w:eastAsia="方正小标宋简体"/>
          <w:color w:val="auto"/>
          <w:sz w:val="36"/>
          <w:szCs w:val="36"/>
          <w:highlight w:val="none"/>
        </w:rPr>
        <w:t>采购编号：BGPC-Z250</w:t>
      </w:r>
      <w:r>
        <w:rPr>
          <w:rFonts w:hint="eastAsia" w:ascii="方正小标宋简体" w:hAnsi="宋体" w:eastAsia="方正小标宋简体"/>
          <w:color w:val="auto"/>
          <w:sz w:val="36"/>
          <w:szCs w:val="36"/>
          <w:highlight w:val="none"/>
          <w:lang w:val="en-US" w:eastAsia="zh-CN"/>
        </w:rPr>
        <w:t>01</w:t>
      </w:r>
    </w:p>
    <w:p w14:paraId="3A889496">
      <w:pPr>
        <w:pStyle w:val="9"/>
        <w:tabs>
          <w:tab w:val="left" w:pos="840"/>
        </w:tabs>
        <w:spacing w:after="0" w:line="360" w:lineRule="auto"/>
        <w:ind w:firstLine="752" w:firstLineChars="209"/>
        <w:rPr>
          <w:rFonts w:hint="eastAsia" w:ascii="方正小标宋简体" w:hAnsi="宋体" w:eastAsia="方正小标宋简体"/>
          <w:color w:val="auto"/>
          <w:sz w:val="36"/>
          <w:szCs w:val="36"/>
          <w:highlight w:val="none"/>
          <w:lang w:val="en-US" w:eastAsia="zh-CN"/>
        </w:rPr>
      </w:pPr>
      <w:r>
        <w:rPr>
          <w:rFonts w:hint="eastAsia" w:ascii="方正小标宋简体" w:hAnsi="宋体" w:eastAsia="方正小标宋简体"/>
          <w:color w:val="auto"/>
          <w:sz w:val="36"/>
          <w:szCs w:val="36"/>
          <w:highlight w:val="none"/>
        </w:rPr>
        <w:t>采购类别：</w:t>
      </w:r>
      <w:r>
        <w:rPr>
          <w:rFonts w:hint="eastAsia" w:ascii="方正小标宋简体" w:hAnsi="宋体" w:eastAsia="方正小标宋简体"/>
          <w:color w:val="auto"/>
          <w:sz w:val="36"/>
          <w:szCs w:val="36"/>
          <w:highlight w:val="none"/>
          <w:lang w:val="en-US" w:eastAsia="zh-CN"/>
        </w:rPr>
        <w:t>服务</w:t>
      </w:r>
    </w:p>
    <w:p w14:paraId="0481F77D">
      <w:pPr>
        <w:pStyle w:val="9"/>
        <w:numPr>
          <w:ilvl w:val="0"/>
          <w:numId w:val="0"/>
        </w:numPr>
        <w:tabs>
          <w:tab w:val="left" w:pos="840"/>
        </w:tabs>
        <w:snapToGrid w:val="0"/>
        <w:spacing w:before="0" w:after="0" w:line="360" w:lineRule="auto"/>
        <w:ind w:firstLine="752" w:firstLineChars="209"/>
        <w:jc w:val="left"/>
        <w:outlineLvl w:val="9"/>
        <w:rPr>
          <w:rFonts w:ascii="宋体" w:hAnsi="宋体"/>
          <w:color w:val="auto"/>
          <w:sz w:val="32"/>
          <w:szCs w:val="21"/>
          <w:highlight w:val="none"/>
        </w:rPr>
      </w:pPr>
      <w:r>
        <w:rPr>
          <w:rFonts w:hint="eastAsia" w:ascii="方正小标宋简体" w:hAnsi="宋体" w:eastAsia="方正小标宋简体"/>
          <w:color w:val="auto"/>
          <w:sz w:val="36"/>
          <w:szCs w:val="36"/>
          <w:highlight w:val="none"/>
        </w:rPr>
        <w:t>采购方式：</w:t>
      </w:r>
      <w:r>
        <w:rPr>
          <w:rFonts w:hint="eastAsia" w:ascii="方正小标宋简体" w:hAnsi="方正小标宋简体" w:eastAsia="方正小标宋简体" w:cs="方正小标宋简体"/>
          <w:b w:val="0"/>
          <w:bCs w:val="0"/>
          <w:color w:val="auto"/>
          <w:sz w:val="36"/>
          <w:szCs w:val="36"/>
          <w:highlight w:val="none"/>
        </w:rPr>
        <w:t>封闭式</w:t>
      </w:r>
      <w:r>
        <w:rPr>
          <w:rFonts w:hint="eastAsia" w:ascii="仿宋_GB2312" w:hAnsi="宋体" w:eastAsia="仿宋_GB2312"/>
          <w:b/>
          <w:bCs/>
          <w:color w:val="auto"/>
          <w:sz w:val="36"/>
          <w:szCs w:val="36"/>
          <w:highlight w:val="none"/>
        </w:rPr>
        <w:t xml:space="preserve"> </w:t>
      </w:r>
      <w:r>
        <w:rPr>
          <w:rFonts w:hint="eastAsia" w:ascii="仿宋_GB2312" w:hAnsi="宋体" w:eastAsia="仿宋_GB2312"/>
          <w:color w:val="auto"/>
          <w:sz w:val="36"/>
          <w:szCs w:val="36"/>
          <w:highlight w:val="none"/>
        </w:rPr>
        <w:t xml:space="preserve">   </w:t>
      </w:r>
    </w:p>
    <w:p w14:paraId="1EBA93F3">
      <w:pPr>
        <w:pStyle w:val="57"/>
        <w:numPr>
          <w:ilvl w:val="0"/>
          <w:numId w:val="0"/>
        </w:numPr>
        <w:snapToGrid w:val="0"/>
        <w:spacing w:before="0" w:after="0" w:line="360" w:lineRule="auto"/>
        <w:ind w:firstLine="3534" w:firstLineChars="1100"/>
        <w:jc w:val="left"/>
        <w:outlineLvl w:val="9"/>
        <w:rPr>
          <w:rFonts w:ascii="宋体" w:hAnsi="宋体"/>
          <w:color w:val="auto"/>
          <w:sz w:val="32"/>
          <w:szCs w:val="21"/>
          <w:highlight w:val="none"/>
        </w:rPr>
      </w:pPr>
    </w:p>
    <w:p w14:paraId="7345A2D3">
      <w:pPr>
        <w:pStyle w:val="57"/>
        <w:numPr>
          <w:ilvl w:val="0"/>
          <w:numId w:val="0"/>
        </w:numPr>
        <w:snapToGrid w:val="0"/>
        <w:spacing w:before="0" w:after="0" w:line="360" w:lineRule="auto"/>
        <w:ind w:firstLine="3534" w:firstLineChars="1100"/>
        <w:jc w:val="left"/>
        <w:outlineLvl w:val="9"/>
        <w:rPr>
          <w:rFonts w:ascii="宋体" w:hAnsi="宋体"/>
          <w:color w:val="auto"/>
          <w:sz w:val="32"/>
          <w:szCs w:val="21"/>
          <w:highlight w:val="none"/>
        </w:rPr>
      </w:pPr>
    </w:p>
    <w:p w14:paraId="0BE1CBCD">
      <w:pPr>
        <w:pStyle w:val="57"/>
        <w:numPr>
          <w:ilvl w:val="0"/>
          <w:numId w:val="0"/>
        </w:numPr>
        <w:snapToGrid w:val="0"/>
        <w:spacing w:before="0" w:after="0" w:line="360" w:lineRule="auto"/>
        <w:ind w:firstLine="3534" w:firstLineChars="1100"/>
        <w:jc w:val="left"/>
        <w:outlineLvl w:val="9"/>
        <w:rPr>
          <w:rFonts w:ascii="宋体" w:hAnsi="宋体"/>
          <w:color w:val="auto"/>
          <w:sz w:val="32"/>
          <w:szCs w:val="21"/>
          <w:highlight w:val="none"/>
        </w:rPr>
      </w:pPr>
      <w:r>
        <w:rPr>
          <w:rFonts w:ascii="宋体" w:hAnsi="宋体"/>
          <w:color w:val="auto"/>
          <w:sz w:val="32"/>
          <w:szCs w:val="21"/>
          <w:highlight w:val="none"/>
        </w:rPr>
        <w:t xml:space="preserve">XXX </w:t>
      </w:r>
      <w:r>
        <w:rPr>
          <w:rFonts w:hint="eastAsia" w:ascii="宋体" w:hAnsi="宋体"/>
          <w:color w:val="auto"/>
          <w:sz w:val="32"/>
          <w:szCs w:val="21"/>
          <w:highlight w:val="none"/>
        </w:rPr>
        <w:t xml:space="preserve">年 </w:t>
      </w:r>
      <w:r>
        <w:rPr>
          <w:rFonts w:ascii="宋体" w:hAnsi="宋体"/>
          <w:color w:val="auto"/>
          <w:sz w:val="32"/>
          <w:szCs w:val="21"/>
          <w:highlight w:val="none"/>
        </w:rPr>
        <w:t xml:space="preserve">XX </w:t>
      </w:r>
      <w:r>
        <w:rPr>
          <w:rFonts w:hint="eastAsia" w:ascii="宋体" w:hAnsi="宋体"/>
          <w:color w:val="auto"/>
          <w:sz w:val="32"/>
          <w:szCs w:val="21"/>
          <w:highlight w:val="none"/>
        </w:rPr>
        <w:t>月</w:t>
      </w:r>
      <w:r>
        <w:rPr>
          <w:rFonts w:ascii="宋体" w:hAnsi="宋体"/>
          <w:color w:val="auto"/>
          <w:sz w:val="32"/>
          <w:szCs w:val="21"/>
          <w:highlight w:val="none"/>
        </w:rPr>
        <w:br w:type="page"/>
      </w:r>
    </w:p>
    <w:p w14:paraId="0855C2FA">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 xml:space="preserve">甲方：北京市公共资源交易中心     </w:t>
      </w:r>
    </w:p>
    <w:p w14:paraId="385B21BF">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法定代表人：李冠新</w:t>
      </w:r>
    </w:p>
    <w:p w14:paraId="708EE9FD">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通讯地址：北京市丰台区玉林</w:t>
      </w:r>
      <w:r>
        <w:rPr>
          <w:rFonts w:hint="eastAsia" w:asciiTheme="minorEastAsia" w:hAnsiTheme="minorEastAsia" w:eastAsiaTheme="minorEastAsia" w:cstheme="minorEastAsia"/>
          <w:color w:val="auto"/>
          <w:sz w:val="22"/>
          <w:highlight w:val="none"/>
          <w:lang w:eastAsia="zh-CN"/>
        </w:rPr>
        <w:t>西路</w:t>
      </w:r>
      <w:r>
        <w:rPr>
          <w:rFonts w:hint="eastAsia" w:asciiTheme="minorEastAsia" w:hAnsiTheme="minorEastAsia" w:eastAsiaTheme="minorEastAsia" w:cstheme="minorEastAsia"/>
          <w:color w:val="auto"/>
          <w:sz w:val="22"/>
          <w:highlight w:val="none"/>
        </w:rPr>
        <w:t>45号腾飞大厦</w:t>
      </w:r>
    </w:p>
    <w:p w14:paraId="0852BF01">
      <w:pPr>
        <w:pStyle w:val="9"/>
        <w:tabs>
          <w:tab w:val="left" w:pos="840"/>
        </w:tabs>
        <w:spacing w:after="0" w:line="380" w:lineRule="exact"/>
        <w:ind w:firstLine="440" w:firstLineChars="200"/>
        <w:rPr>
          <w:rFonts w:hint="default" w:asciiTheme="minorEastAsia" w:hAnsiTheme="minorEastAsia" w:eastAsiaTheme="minorEastAsia" w:cstheme="minorEastAsia"/>
          <w:color w:val="auto"/>
          <w:sz w:val="22"/>
          <w:highlight w:val="none"/>
          <w:lang w:val="en-US" w:eastAsia="zh-CN"/>
        </w:rPr>
      </w:pPr>
      <w:r>
        <w:rPr>
          <w:rFonts w:hint="eastAsia" w:asciiTheme="minorEastAsia" w:hAnsiTheme="minorEastAsia" w:eastAsiaTheme="minorEastAsia" w:cstheme="minorEastAsia"/>
          <w:color w:val="auto"/>
          <w:sz w:val="22"/>
          <w:highlight w:val="none"/>
        </w:rPr>
        <w:t>联系电话：</w:t>
      </w:r>
      <w:r>
        <w:rPr>
          <w:rFonts w:hint="eastAsia" w:asciiTheme="minorEastAsia" w:hAnsiTheme="minorEastAsia" w:eastAsiaTheme="minorEastAsia" w:cstheme="minorEastAsia"/>
          <w:color w:val="auto"/>
          <w:sz w:val="22"/>
          <w:highlight w:val="none"/>
          <w:lang w:val="en-US" w:eastAsia="zh-CN"/>
        </w:rPr>
        <w:t>010-</w:t>
      </w:r>
      <w:r>
        <w:rPr>
          <w:rFonts w:hint="eastAsia" w:asciiTheme="minorEastAsia" w:hAnsiTheme="minorEastAsia" w:eastAsiaTheme="minorEastAsia" w:cstheme="minorEastAsia"/>
          <w:color w:val="auto"/>
          <w:sz w:val="22"/>
          <w:highlight w:val="none"/>
        </w:rPr>
        <w:t>83916</w:t>
      </w:r>
      <w:r>
        <w:rPr>
          <w:rFonts w:hint="eastAsia" w:asciiTheme="minorEastAsia" w:hAnsiTheme="minorEastAsia" w:eastAsiaTheme="minorEastAsia" w:cstheme="minorEastAsia"/>
          <w:color w:val="auto"/>
          <w:sz w:val="22"/>
          <w:highlight w:val="none"/>
          <w:lang w:val="en-US" w:eastAsia="zh-CN"/>
        </w:rPr>
        <w:t>628</w:t>
      </w:r>
    </w:p>
    <w:p w14:paraId="5D2871B3">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p>
    <w:p w14:paraId="376281F7">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 xml:space="preserve">乙方：      </w:t>
      </w:r>
    </w:p>
    <w:p w14:paraId="7A4CD36D">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法定代表人：</w:t>
      </w:r>
    </w:p>
    <w:p w14:paraId="0EA949D8">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通讯地址：</w:t>
      </w:r>
    </w:p>
    <w:p w14:paraId="7150C8B0">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联系电话：</w:t>
      </w:r>
    </w:p>
    <w:p w14:paraId="4F9999EF">
      <w:pPr>
        <w:snapToGrid w:val="0"/>
        <w:spacing w:line="380" w:lineRule="exact"/>
        <w:ind w:firstLine="440" w:firstLineChars="200"/>
        <w:rPr>
          <w:rFonts w:asciiTheme="minorEastAsia" w:hAnsiTheme="minorEastAsia" w:eastAsiaTheme="minorEastAsia" w:cstheme="minorEastAsia"/>
          <w:color w:val="auto"/>
          <w:sz w:val="22"/>
          <w:highlight w:val="none"/>
        </w:rPr>
      </w:pPr>
    </w:p>
    <w:p w14:paraId="139E130F">
      <w:pPr>
        <w:pStyle w:val="9"/>
        <w:tabs>
          <w:tab w:val="left" w:pos="840"/>
        </w:tabs>
        <w:adjustRightInd/>
        <w:spacing w:after="0" w:line="380" w:lineRule="exact"/>
        <w:ind w:firstLine="440" w:firstLineChars="200"/>
        <w:textAlignment w:val="auto"/>
        <w:rPr>
          <w:rFonts w:asciiTheme="minorEastAsia" w:hAnsiTheme="minorEastAsia" w:eastAsiaTheme="minorEastAsia" w:cstheme="minorEastAsia"/>
          <w:color w:val="auto"/>
          <w:sz w:val="22"/>
          <w:highlight w:val="none"/>
        </w:rPr>
      </w:pPr>
      <w:bookmarkStart w:id="206" w:name="_Toc230067393"/>
      <w:r>
        <w:rPr>
          <w:rFonts w:hint="eastAsia" w:asciiTheme="minorEastAsia" w:hAnsiTheme="minorEastAsia" w:eastAsiaTheme="minorEastAsia" w:cstheme="minorEastAsia"/>
          <w:color w:val="auto"/>
          <w:sz w:val="22"/>
          <w:highlight w:val="none"/>
        </w:rPr>
        <w:t>甲方</w:t>
      </w:r>
      <w:r>
        <w:rPr>
          <w:rFonts w:hint="eastAsia" w:asciiTheme="minorEastAsia" w:hAnsiTheme="minorEastAsia" w:eastAsiaTheme="minorEastAsia" w:cstheme="minorEastAsia"/>
          <w:color w:val="auto"/>
          <w:sz w:val="22"/>
          <w:highlight w:val="none"/>
          <w:u w:val="none"/>
        </w:rPr>
        <w:t>就</w:t>
      </w:r>
      <w:r>
        <w:rPr>
          <w:rFonts w:hint="eastAsia" w:asciiTheme="minorEastAsia" w:hAnsiTheme="minorEastAsia" w:eastAsiaTheme="minorEastAsia" w:cstheme="minorEastAsia"/>
          <w:color w:val="auto"/>
          <w:sz w:val="22"/>
          <w:highlight w:val="none"/>
          <w:u w:val="none"/>
          <w:lang w:eastAsia="zh-CN"/>
        </w:rPr>
        <w:t>北京市市级行政事业单位物业管理服务框架协议采购项目（2025年度）</w:t>
      </w:r>
      <w:r>
        <w:rPr>
          <w:rFonts w:hint="eastAsia" w:asciiTheme="minorEastAsia" w:hAnsiTheme="minorEastAsia" w:eastAsiaTheme="minorEastAsia" w:cstheme="minorEastAsia"/>
          <w:color w:val="auto"/>
          <w:sz w:val="22"/>
          <w:highlight w:val="none"/>
        </w:rPr>
        <w:t>（采购编号：BGPC-Z25</w:t>
      </w:r>
      <w:r>
        <w:rPr>
          <w:rFonts w:hint="eastAsia" w:asciiTheme="minorEastAsia" w:hAnsiTheme="minorEastAsia" w:eastAsiaTheme="minorEastAsia" w:cstheme="minorEastAsia"/>
          <w:color w:val="auto"/>
          <w:sz w:val="22"/>
          <w:highlight w:val="none"/>
          <w:lang w:val="en-US" w:eastAsia="zh-CN"/>
        </w:rPr>
        <w:t>001</w:t>
      </w:r>
      <w:r>
        <w:rPr>
          <w:rFonts w:hint="eastAsia" w:asciiTheme="minorEastAsia" w:hAnsiTheme="minorEastAsia" w:eastAsiaTheme="minorEastAsia" w:cstheme="minorEastAsia"/>
          <w:color w:val="auto"/>
          <w:sz w:val="22"/>
          <w:highlight w:val="none"/>
        </w:rPr>
        <w:t>）（以下简称“本项目”）进行公开征集，确定乙方为入围供应商。根据《中华人民共和国民法典》《中华人民共和国政府采购法》《中华人民共和国政府采购法实施条例》《政府采购框架协议采购方式管理暂行办法》等相关法律法规、规章和征集文件的规定，甲乙双方经平等协商一致签署本框架协议如下：</w:t>
      </w:r>
    </w:p>
    <w:p w14:paraId="4FDC8CE8">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采购需求及最高限制单价</w:t>
      </w:r>
    </w:p>
    <w:p w14:paraId="7F4D1FEB">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采购需求及最高限制单价详见本项目征集文件。</w:t>
      </w:r>
    </w:p>
    <w:p w14:paraId="28373EE4">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乙方的产品详细技术规格或者服务内容、服务标准及协议价格</w:t>
      </w:r>
    </w:p>
    <w:p w14:paraId="263B34C2">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详见乙方响应文件（或申请文件）。</w:t>
      </w:r>
    </w:p>
    <w:p w14:paraId="130EFE9A">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乙方第一阶段的响应报价（有量价关系折扣的，包括量价关系折扣，以下统称协议价格）是采购人确定第二阶段成交供应商的最高限价。</w:t>
      </w:r>
    </w:p>
    <w:p w14:paraId="52FEE458">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乙方在协议期限内，应当以不高于第一阶段响应报价的价格向适用框架协议的采购人供应相应产品和服务。</w:t>
      </w:r>
    </w:p>
    <w:p w14:paraId="68BBEC10">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入围产品升级换代规则</w:t>
      </w:r>
    </w:p>
    <w:p w14:paraId="39F20629">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（仅货物类框架协议适用本条）货物框架协议执行期内，乙方可以按照质量不降低、价格不提高的原则，提出产品升级换代申请，经甲方审核通过后，进行产品更新。</w:t>
      </w:r>
    </w:p>
    <w:p w14:paraId="269604EC">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确定第二阶段成交供应商的</w:t>
      </w:r>
      <w:r>
        <w:rPr>
          <w:rFonts w:hint="eastAsia" w:ascii="黑体" w:hAnsi="黑体" w:eastAsia="黑体" w:cs="黑体"/>
          <w:color w:val="auto"/>
          <w:kern w:val="2"/>
          <w:sz w:val="22"/>
          <w:highlight w:val="none"/>
          <w:lang w:val="en-US" w:eastAsia="zh-CN"/>
        </w:rPr>
        <w:t>主要</w:t>
      </w:r>
      <w:r>
        <w:rPr>
          <w:rFonts w:hint="eastAsia" w:ascii="黑体" w:hAnsi="黑体" w:eastAsia="黑体" w:cs="黑体"/>
          <w:color w:val="auto"/>
          <w:kern w:val="2"/>
          <w:sz w:val="22"/>
          <w:highlight w:val="none"/>
        </w:rPr>
        <w:t>方式</w:t>
      </w:r>
    </w:p>
    <w:p w14:paraId="26B66DB1">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直接选定：指采购人直接选择入围商品，指定成交供应商进行采购的方式。</w:t>
      </w:r>
    </w:p>
    <w:p w14:paraId="6AAA9054">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协议适用对象和地域范围</w:t>
      </w:r>
    </w:p>
    <w:p w14:paraId="7DCEC9B4">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本协议的采购人：北京市市级党政机关、事业单位和团体组织（北京市各区级党政机关、事业单位和团体组织共享本次征集结果）。</w:t>
      </w:r>
      <w:r>
        <w:rPr>
          <w:rFonts w:hint="eastAsia" w:asciiTheme="minorEastAsia" w:hAnsiTheme="minorEastAsia" w:eastAsiaTheme="minorEastAsia" w:cstheme="minorEastAsia"/>
          <w:color w:val="auto"/>
          <w:sz w:val="22"/>
          <w:highlight w:val="none"/>
        </w:rPr>
        <w:tab/>
      </w:r>
    </w:p>
    <w:p w14:paraId="3D6C3A10">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采购人资金支付方式、时间和条件</w:t>
      </w:r>
    </w:p>
    <w:p w14:paraId="2494B935">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由采购人和乙方（或委托代理商）按照签订的采购合同执行。</w:t>
      </w:r>
    </w:p>
    <w:p w14:paraId="64FCA1F1">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采购人与乙方的采购合同文本</w:t>
      </w:r>
    </w:p>
    <w:p w14:paraId="0BEE752C">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详见附件“采购合同文本”</w:t>
      </w:r>
    </w:p>
    <w:p w14:paraId="3CE782D6">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协议签订</w:t>
      </w:r>
    </w:p>
    <w:p w14:paraId="0749220A">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征集公告或者征集文件中明确要求签订书面框架协议的，供应商取得入围资格后，应当在入围结果公告发出之日起30日内完成框架协议的签订工作。未要求签订书面框架协议的，发布入围结果公告，视为签订框架协议。</w:t>
      </w:r>
    </w:p>
    <w:p w14:paraId="504D6FBA">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协议期限</w:t>
      </w:r>
    </w:p>
    <w:p w14:paraId="5DDF0746">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本协议有效期自本协议签订之日起一年。</w:t>
      </w:r>
    </w:p>
    <w:p w14:paraId="099ED2CD">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协议延期</w:t>
      </w:r>
    </w:p>
    <w:p w14:paraId="446BF26A">
      <w:pPr>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甲方根据实际情况发布框架协议延期公告，乙方按照原框架协议继续履约，不再签订延期协议。</w:t>
      </w:r>
    </w:p>
    <w:p w14:paraId="4BA99983">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入围供应商清退和补充规则</w:t>
      </w:r>
    </w:p>
    <w:p w14:paraId="44F2436E">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 xml:space="preserve">（一）清退规则 </w:t>
      </w:r>
    </w:p>
    <w:p w14:paraId="28BD5A22">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入围供应商存在《政府采购框架协议采购方式管理暂行办法》第十九条规定情形的，尚未签订框架协议的，取消其入围资格；已经签订框架协议的，解除与其签订的框架协议。</w:t>
      </w:r>
    </w:p>
    <w:p w14:paraId="3C8D2E0A">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 xml:space="preserve">（二）补充规则 </w:t>
      </w:r>
    </w:p>
    <w:p w14:paraId="1DCD4CF1">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bookmarkStart w:id="207" w:name="_Hlk151640825"/>
      <w:r>
        <w:rPr>
          <w:rFonts w:hint="eastAsia" w:asciiTheme="minorEastAsia" w:hAnsiTheme="minorEastAsia" w:eastAsiaTheme="minorEastAsia" w:cstheme="minorEastAsia"/>
          <w:color w:val="auto"/>
          <w:sz w:val="22"/>
          <w:highlight w:val="none"/>
        </w:rPr>
        <w:t>本项目为封闭式框架协议采购</w:t>
      </w:r>
      <w:bookmarkEnd w:id="207"/>
      <w:r>
        <w:rPr>
          <w:rFonts w:hint="eastAsia" w:asciiTheme="minorEastAsia" w:hAnsiTheme="minorEastAsia" w:eastAsiaTheme="minorEastAsia" w:cstheme="minorEastAsia"/>
          <w:color w:val="auto"/>
          <w:sz w:val="22"/>
          <w:highlight w:val="none"/>
        </w:rPr>
        <w:t>，如出现剩余入围供应商不足入围供应商总数70%且影响框架协议执行的情形时，甲方报政府采购监管部门同意后，将进行补充征集供应商。补充征集的条件、程序、评审方法和淘汰比例与初次征集相同。补充征集遵守原框架协议的有效期。补充征集期间，原框架协议继续履行。</w:t>
      </w:r>
    </w:p>
    <w:p w14:paraId="7649A816">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甲乙双方的权利义务</w:t>
      </w:r>
    </w:p>
    <w:p w14:paraId="13E90E28">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（一）甲方的权利和义务</w:t>
      </w:r>
      <w:bookmarkEnd w:id="206"/>
    </w:p>
    <w:p w14:paraId="3A861492">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1.甲方有权根据乙方承诺的产品和服务价格、产品质量、服务内容、服务标准等，对乙方或其委托代理商实际提供的产品、服务等相关的事项进行考核和管理。如发现乙方或其委托代理商违反相关规定或承诺，甲方有权追究乙方的违约责任。</w:t>
      </w:r>
    </w:p>
    <w:p w14:paraId="6D2DF410">
      <w:pPr>
        <w:tabs>
          <w:tab w:val="left" w:pos="315"/>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2.甲方将建立用户反馈和评价机制，接受采购人对乙方履行框架协议和采购合同情况的反馈与评价，有权对采购人就乙方提供的产品和服务价格、产品质量、服务内容、服务标准等问题向甲方提出的投诉进行核查。如情况属实，甲方可要求乙方限期履行相应义务，消除影响、弥补损失，并承担本协议规定的违约责任。</w:t>
      </w:r>
    </w:p>
    <w:p w14:paraId="4BE241E9">
      <w:pPr>
        <w:adjustRightInd/>
        <w:spacing w:line="380" w:lineRule="exact"/>
        <w:ind w:firstLine="440" w:firstLineChars="200"/>
        <w:jc w:val="both"/>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3.甲方有权根据政府采购监管部门、行业主管部门或采购人的委托，组织对乙方的供货产品、服务的验收工作,对提供假冒伪劣或者以次充好的产品或服务的供应商，将追究其违约责任。</w:t>
      </w:r>
    </w:p>
    <w:p w14:paraId="5F9541B7">
      <w:pPr>
        <w:adjustRightInd/>
        <w:spacing w:line="380" w:lineRule="exact"/>
        <w:ind w:firstLine="440" w:firstLineChars="200"/>
        <w:jc w:val="both"/>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4.甲方有权为实施政府采购工作的需要在相关政府采购业务网站和相关文件上公布乙方提供的产品和服务价格、产品型号、服务内容、服务标准等相关的信息。</w:t>
      </w:r>
    </w:p>
    <w:p w14:paraId="0882771B">
      <w:pPr>
        <w:adjustRightInd/>
        <w:spacing w:line="380" w:lineRule="exact"/>
        <w:ind w:firstLine="440" w:firstLineChars="200"/>
        <w:jc w:val="both"/>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5.协议期内，甲方将视情况组织入围供应商变更委托代理商，并完成相应审核工作。</w:t>
      </w:r>
    </w:p>
    <w:p w14:paraId="57BBDF3B">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6.遇有国家政策调整时，甲方有权对框架协议进行相应变动。</w:t>
      </w:r>
    </w:p>
    <w:p w14:paraId="17952B02">
      <w:pPr>
        <w:pStyle w:val="9"/>
        <w:tabs>
          <w:tab w:val="left" w:pos="840"/>
        </w:tabs>
        <w:spacing w:after="0" w:line="380" w:lineRule="exact"/>
        <w:ind w:firstLine="440" w:firstLineChars="200"/>
        <w:rPr>
          <w:rFonts w:asciiTheme="minorEastAsia" w:hAnsiTheme="minorEastAsia" w:eastAsiaTheme="minorEastAsia" w:cstheme="minorEastAsia"/>
          <w:color w:val="auto"/>
          <w:sz w:val="22"/>
          <w:highlight w:val="none"/>
        </w:rPr>
      </w:pPr>
      <w:bookmarkStart w:id="208" w:name="_Toc230067394"/>
      <w:r>
        <w:rPr>
          <w:rFonts w:hint="eastAsia" w:asciiTheme="minorEastAsia" w:hAnsiTheme="minorEastAsia" w:eastAsiaTheme="minorEastAsia" w:cstheme="minorEastAsia"/>
          <w:color w:val="auto"/>
          <w:sz w:val="22"/>
          <w:highlight w:val="none"/>
        </w:rPr>
        <w:t>（二）乙方的权利和义务</w:t>
      </w:r>
      <w:bookmarkEnd w:id="208"/>
    </w:p>
    <w:p w14:paraId="1D981F19">
      <w:pPr>
        <w:tabs>
          <w:tab w:val="left" w:pos="90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1.乙方保证第二阶段提供的产品和服务内容及承诺与第一阶段征集入围的产品和服务内容及承诺保持一致，包括但不限于产品和服务价格、产品型号、技术参数、服务内容、服务标准、服务承诺等，且不得收取任何具有押金性质的费用。</w:t>
      </w:r>
    </w:p>
    <w:p w14:paraId="20827526">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2.（仅货物类框架协议适用本条）乙方销售的产品应符合国家标准和征集文件要求的崭新的合格产品，是市场上已有销售的规格型号，不得是专供政府采购的产品。乙方保证依据征集文件要求和乙方响应文件/申请文件的承诺，及时提供或通过委托代理商向采购人提供对应产品和服务，成交价格不高于第二阶段最高限价，且不在框架协议内容之外提出任何附加条款。若存在任何附加或额外条款，无论签署的情形如何，除非经甲方书面认可，均应当被视为无效。</w:t>
      </w:r>
    </w:p>
    <w:p w14:paraId="69F2D24B">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3.（仅货物类框架协议适用本条）乙方在签订货物框架协议时可以委托一家或者多家代理商，并提供委托协议和委托的代理商名单，框架协议有效期内不得随意对代理商名单进行增加、删减，确需变更的应该提交至甲方审核备案。</w:t>
      </w:r>
    </w:p>
    <w:p w14:paraId="2F7F56AB">
      <w:pPr>
        <w:tabs>
          <w:tab w:val="left" w:pos="540"/>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4.乙方在添加委托代理商时，应将采购操作流程等相关内容对委托代理商进行培训。乙方的委托代理商若违反征集文件、响应文件/申请文件、框架协议等规定，由乙方承担违约责任。</w:t>
      </w:r>
    </w:p>
    <w:p w14:paraId="592F44EE">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5.（仅货物类框架协议适用本条）如供货产品存在质量问题，乙方承诺按照本框架协议及征集文件、响应文件/申请文件、框架协议中相关的规定、约定处理。对原料、设计、工艺等导致普遍性质量问题的情形，除上述规定处理外，还应当按照惯例适用召回制度；对于被有权机构(含质检机关)证实产品存在假冒伪劣或走私、非全新等问题时，乙方承诺先按产品金额无条件双倍赔付采购人，再向委托代理商追究责任。</w:t>
      </w:r>
    </w:p>
    <w:p w14:paraId="6B275938">
      <w:pPr>
        <w:tabs>
          <w:tab w:val="left" w:pos="90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6.乙方授权委托由其分公司作为采购合同履约方的，须向财政监管部门提出用于结算的账号变更书面申请，变更申请中应同时附授权委托书、分公司营业执照复印件等相关材料，授权委托书应明确分公司的职责范围及权限，同时明确是否允许加盖分公司印信、是否允许由分公司出具发票等，经财政监管部门同意后方可由分公司履约。乙方对分公司的授权委托书应同时作为政府采购结算单的附件</w:t>
      </w:r>
      <w:r>
        <w:rPr>
          <w:rFonts w:hint="eastAsia" w:asciiTheme="minorEastAsia" w:hAnsiTheme="minorEastAsia" w:eastAsiaTheme="minorEastAsia" w:cstheme="minorEastAsia"/>
          <w:color w:val="auto"/>
          <w:sz w:val="22"/>
          <w:highlight w:val="none"/>
          <w:lang w:eastAsia="zh-CN"/>
        </w:rPr>
        <w:t>，并应对其分公司的履约行为承担法律责任</w:t>
      </w:r>
      <w:r>
        <w:rPr>
          <w:rFonts w:hint="eastAsia" w:asciiTheme="minorEastAsia" w:hAnsiTheme="minorEastAsia" w:eastAsiaTheme="minorEastAsia" w:cstheme="minorEastAsia"/>
          <w:color w:val="auto"/>
          <w:sz w:val="22"/>
          <w:highlight w:val="none"/>
        </w:rPr>
        <w:t>。</w:t>
      </w:r>
    </w:p>
    <w:p w14:paraId="43D53766">
      <w:pPr>
        <w:pStyle w:val="8"/>
        <w:adjustRightInd/>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7.乙方举办的促销活动或提供的优惠政策，如涉及本协议项下的产品和服务，采购人有权参加促销活动并享受其优惠政策，且不得因价格优惠而减少服务项目、降低产品和服务质量。</w:t>
      </w:r>
    </w:p>
    <w:p w14:paraId="71CE2FE3">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8.乙方不得将本项目转包或者分包。</w:t>
      </w:r>
    </w:p>
    <w:p w14:paraId="38C39A76">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9.乙方承诺履行本协议中不得违反有关环境保护、知识产权、劳动保护等各方面的规定，否则所有法律责任均由乙方承担。</w:t>
      </w:r>
    </w:p>
    <w:p w14:paraId="0246ABDC">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10.乙方应按甲方要求完成以下工作，并作为评价考核的依据：</w:t>
      </w:r>
    </w:p>
    <w:p w14:paraId="457E4864">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1）应当指派专人在电子卖场上发布、补充和维护信息，包括但不限于：产品信息、产品报价、服务内容、服务标准（包括但不限于图片、文本、数值、链接等）；企业取得的资质信息（包括但不限于企业资质图片、资质证书号、发证日期等）；联系人、联系方式等，在签订框架协议后30日内确保产品或服务上架、展示，供采购人选购；</w:t>
      </w:r>
    </w:p>
    <w:p w14:paraId="5F17225F">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2）应当登录“北京市政府采购网政府采购电子卖场”维护系统，打印“北京市政府采购电子卖场结算单”（以下简称“结算单”），经与采购人确认后作为入账依据；保存好协议有效期内所有结算单据及合同，甲方有权对结算单据按照结算单据相关管理办法进行检查；</w:t>
      </w:r>
    </w:p>
    <w:p w14:paraId="2752162D">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（3）主动配合政府采购监管部门和甲方开展的监督检查和服务期内日常管理。</w:t>
      </w:r>
    </w:p>
    <w:p w14:paraId="2512FF02">
      <w:pPr>
        <w:adjustRightInd/>
        <w:spacing w:line="380" w:lineRule="exact"/>
        <w:ind w:firstLine="440" w:firstLineChars="200"/>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val="en-US" w:eastAsia="zh-CN"/>
        </w:rPr>
        <w:t>11.</w:t>
      </w:r>
      <w:r>
        <w:rPr>
          <w:rFonts w:hint="eastAsia" w:asciiTheme="minorEastAsia" w:hAnsiTheme="minorEastAsia" w:eastAsiaTheme="minorEastAsia" w:cstheme="minorEastAsia"/>
          <w:color w:val="auto"/>
          <w:sz w:val="22"/>
          <w:highlight w:val="none"/>
        </w:rPr>
        <w:t>随着相关管理规则和制度的不断完善，乙方</w:t>
      </w:r>
      <w:r>
        <w:rPr>
          <w:rFonts w:hint="eastAsia" w:asciiTheme="minorEastAsia" w:hAnsiTheme="minorEastAsia" w:eastAsiaTheme="minorEastAsia" w:cstheme="minorEastAsia"/>
          <w:color w:val="auto"/>
          <w:sz w:val="22"/>
          <w:highlight w:val="none"/>
          <w:lang w:val="en-US" w:eastAsia="zh-CN"/>
        </w:rPr>
        <w:t>及其</w:t>
      </w:r>
      <w:r>
        <w:rPr>
          <w:rFonts w:hint="eastAsia" w:asciiTheme="minorEastAsia" w:hAnsiTheme="minorEastAsia" w:eastAsiaTheme="minorEastAsia" w:cstheme="minorEastAsia"/>
          <w:color w:val="auto"/>
          <w:sz w:val="22"/>
          <w:highlight w:val="none"/>
        </w:rPr>
        <w:t>委托</w:t>
      </w:r>
      <w:r>
        <w:rPr>
          <w:rFonts w:hint="eastAsia" w:asciiTheme="minorEastAsia" w:hAnsiTheme="minorEastAsia" w:eastAsiaTheme="minorEastAsia" w:cstheme="minorEastAsia"/>
          <w:color w:val="auto"/>
          <w:sz w:val="22"/>
          <w:highlight w:val="none"/>
          <w:lang w:eastAsia="zh-CN"/>
        </w:rPr>
        <w:t>的</w:t>
      </w:r>
      <w:r>
        <w:rPr>
          <w:rFonts w:hint="eastAsia" w:asciiTheme="minorEastAsia" w:hAnsiTheme="minorEastAsia" w:eastAsiaTheme="minorEastAsia" w:cstheme="minorEastAsia"/>
          <w:color w:val="auto"/>
          <w:sz w:val="22"/>
          <w:highlight w:val="none"/>
        </w:rPr>
        <w:t>代理商</w:t>
      </w:r>
      <w:r>
        <w:rPr>
          <w:rFonts w:hint="eastAsia" w:asciiTheme="minorEastAsia" w:hAnsiTheme="minorEastAsia" w:eastAsiaTheme="minorEastAsia" w:cstheme="minorEastAsia"/>
          <w:color w:val="auto"/>
          <w:sz w:val="22"/>
          <w:highlight w:val="none"/>
          <w:lang w:val="en-US" w:eastAsia="zh-CN"/>
        </w:rPr>
        <w:t>应当</w:t>
      </w:r>
      <w:r>
        <w:rPr>
          <w:rFonts w:hint="eastAsia" w:asciiTheme="minorEastAsia" w:hAnsiTheme="minorEastAsia" w:eastAsiaTheme="minorEastAsia" w:cstheme="minorEastAsia"/>
          <w:color w:val="auto"/>
          <w:sz w:val="22"/>
          <w:highlight w:val="none"/>
        </w:rPr>
        <w:t>积极配合服从主管部门或征集人新制订的管理制度。遇有重大制度</w:t>
      </w:r>
      <w:r>
        <w:rPr>
          <w:rFonts w:hint="eastAsia" w:asciiTheme="minorEastAsia" w:hAnsiTheme="minorEastAsia" w:eastAsiaTheme="minorEastAsia" w:cstheme="minorEastAsia"/>
          <w:color w:val="auto"/>
          <w:sz w:val="22"/>
          <w:highlight w:val="none"/>
          <w:lang w:val="en-US" w:eastAsia="zh-CN"/>
        </w:rPr>
        <w:t>调整</w:t>
      </w:r>
      <w:r>
        <w:rPr>
          <w:rFonts w:hint="eastAsia" w:asciiTheme="minorEastAsia" w:hAnsiTheme="minorEastAsia" w:eastAsiaTheme="minorEastAsia" w:cstheme="minorEastAsia"/>
          <w:color w:val="auto"/>
          <w:sz w:val="22"/>
          <w:highlight w:val="none"/>
        </w:rPr>
        <w:t>，甲方将及时在补充协议中做出相应完善</w:t>
      </w:r>
      <w:r>
        <w:rPr>
          <w:rFonts w:hint="eastAsia" w:asciiTheme="minorEastAsia" w:hAnsiTheme="minorEastAsia" w:eastAsiaTheme="minorEastAsia" w:cstheme="minorEastAsia"/>
          <w:color w:val="auto"/>
          <w:sz w:val="22"/>
          <w:highlight w:val="none"/>
          <w:lang w:eastAsia="zh-CN"/>
        </w:rPr>
        <w:t>。</w:t>
      </w:r>
    </w:p>
    <w:p w14:paraId="3C27F66E">
      <w:pPr>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1</w:t>
      </w:r>
      <w:r>
        <w:rPr>
          <w:rFonts w:hint="eastAsia" w:asciiTheme="minorEastAsia" w:hAnsiTheme="minorEastAsia" w:eastAsiaTheme="minorEastAsia" w:cstheme="minorEastAsia"/>
          <w:color w:val="auto"/>
          <w:sz w:val="22"/>
          <w:highlight w:val="none"/>
          <w:lang w:val="en-US" w:eastAsia="zh-CN"/>
        </w:rPr>
        <w:t>2</w:t>
      </w:r>
      <w:r>
        <w:rPr>
          <w:rFonts w:hint="eastAsia" w:asciiTheme="minorEastAsia" w:hAnsiTheme="minorEastAsia" w:eastAsiaTheme="minorEastAsia" w:cstheme="minorEastAsia"/>
          <w:color w:val="auto"/>
          <w:sz w:val="22"/>
          <w:highlight w:val="none"/>
        </w:rPr>
        <w:t>.补充事项</w:t>
      </w:r>
    </w:p>
    <w:p w14:paraId="3F792C5B">
      <w:pPr>
        <w:tabs>
          <w:tab w:val="left" w:pos="630"/>
        </w:tabs>
        <w:adjustRightInd/>
        <w:spacing w:line="380" w:lineRule="exact"/>
        <w:ind w:firstLine="440" w:firstLineChars="200"/>
        <w:rPr>
          <w:rFonts w:hint="eastAsia" w:asciiTheme="minorEastAsia" w:hAnsiTheme="minorEastAsia" w:eastAsiaTheme="minorEastAsia" w:cstheme="minorEastAsia"/>
          <w:bCs/>
          <w:color w:val="auto"/>
          <w:spacing w:val="0"/>
          <w:sz w:val="22"/>
          <w:szCs w:val="22"/>
          <w:highlight w:val="none"/>
        </w:rPr>
      </w:pPr>
      <w:r>
        <w:rPr>
          <w:rFonts w:hint="eastAsia" w:asciiTheme="minorEastAsia" w:hAnsiTheme="minorEastAsia" w:eastAsiaTheme="minorEastAsia" w:cstheme="minorEastAsia"/>
          <w:bCs/>
          <w:color w:val="auto"/>
          <w:spacing w:val="0"/>
          <w:sz w:val="22"/>
          <w:szCs w:val="22"/>
          <w:highlight w:val="none"/>
        </w:rPr>
        <w:t>若采购人证明能够以更低价格向非入围供应商采购相同货物及其服务</w:t>
      </w:r>
      <w:r>
        <w:rPr>
          <w:rFonts w:hint="eastAsia" w:asciiTheme="minorEastAsia" w:hAnsiTheme="minorEastAsia" w:eastAsiaTheme="minorEastAsia" w:cstheme="minorEastAsia"/>
          <w:bCs/>
          <w:color w:val="auto"/>
          <w:spacing w:val="0"/>
          <w:sz w:val="22"/>
          <w:szCs w:val="22"/>
          <w:highlight w:val="none"/>
          <w:lang w:eastAsia="zh-CN"/>
        </w:rPr>
        <w:t>，</w:t>
      </w:r>
      <w:r>
        <w:rPr>
          <w:rFonts w:hint="eastAsia" w:asciiTheme="minorEastAsia" w:hAnsiTheme="minorEastAsia" w:eastAsiaTheme="minorEastAsia" w:cstheme="minorEastAsia"/>
          <w:bCs/>
          <w:color w:val="auto"/>
          <w:spacing w:val="0"/>
          <w:sz w:val="22"/>
          <w:szCs w:val="22"/>
          <w:highlight w:val="none"/>
        </w:rPr>
        <w:t>且入围供应商</w:t>
      </w:r>
      <w:r>
        <w:rPr>
          <w:rFonts w:hint="eastAsia" w:asciiTheme="minorEastAsia" w:hAnsiTheme="minorEastAsia" w:eastAsiaTheme="minorEastAsia" w:cstheme="minorEastAsia"/>
          <w:bCs/>
          <w:color w:val="auto"/>
          <w:sz w:val="22"/>
          <w:szCs w:val="22"/>
          <w:highlight w:val="none"/>
        </w:rPr>
        <w:t xml:space="preserve"> </w:t>
      </w:r>
      <w:r>
        <w:rPr>
          <w:rFonts w:hint="eastAsia" w:asciiTheme="minorEastAsia" w:hAnsiTheme="minorEastAsia" w:eastAsiaTheme="minorEastAsia" w:cstheme="minorEastAsia"/>
          <w:bCs/>
          <w:color w:val="auto"/>
          <w:spacing w:val="0"/>
          <w:sz w:val="22"/>
          <w:szCs w:val="22"/>
          <w:highlight w:val="none"/>
        </w:rPr>
        <w:t>不同意将价格降至非入围供应商价格以下的</w:t>
      </w:r>
      <w:r>
        <w:rPr>
          <w:rFonts w:hint="eastAsia" w:asciiTheme="minorEastAsia" w:hAnsiTheme="minorEastAsia" w:eastAsiaTheme="minorEastAsia" w:cstheme="minorEastAsia"/>
          <w:bCs/>
          <w:color w:val="auto"/>
          <w:spacing w:val="0"/>
          <w:sz w:val="22"/>
          <w:szCs w:val="22"/>
          <w:highlight w:val="none"/>
          <w:lang w:eastAsia="zh-CN"/>
        </w:rPr>
        <w:t>，</w:t>
      </w:r>
      <w:r>
        <w:rPr>
          <w:rFonts w:hint="eastAsia" w:asciiTheme="minorEastAsia" w:hAnsiTheme="minorEastAsia" w:eastAsiaTheme="minorEastAsia" w:cstheme="minorEastAsia"/>
          <w:bCs/>
          <w:color w:val="auto"/>
          <w:spacing w:val="0"/>
          <w:sz w:val="22"/>
          <w:szCs w:val="22"/>
          <w:highlight w:val="none"/>
        </w:rPr>
        <w:t>采购人可以将合同授予非入围供应商，并应当在确定成交供应商后1个工作日内，将成交结果抄送征集人，由征集人按照单笔公告要求发布成交结果公告。同时，采购人应当将相关证明材料和采购合同一并存档备查。</w:t>
      </w:r>
    </w:p>
    <w:p w14:paraId="18B219F2">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违约责任</w:t>
      </w:r>
    </w:p>
    <w:p w14:paraId="0CB63B01">
      <w:pPr>
        <w:tabs>
          <w:tab w:val="left" w:pos="630"/>
        </w:tabs>
        <w:adjustRightInd/>
        <w:spacing w:line="380" w:lineRule="exact"/>
        <w:ind w:firstLine="440" w:firstLineChars="200"/>
        <w:rPr>
          <w:rFonts w:asciiTheme="minorEastAsia" w:hAnsiTheme="minorEastAsia" w:eastAsiaTheme="minorEastAsia" w:cstheme="minorEastAsia"/>
          <w:bCs/>
          <w:color w:val="auto"/>
          <w:sz w:val="22"/>
          <w:highlight w:val="none"/>
        </w:rPr>
      </w:pPr>
      <w:r>
        <w:rPr>
          <w:rFonts w:hint="eastAsia" w:asciiTheme="minorEastAsia" w:hAnsiTheme="minorEastAsia" w:eastAsiaTheme="minorEastAsia" w:cstheme="minorEastAsia"/>
          <w:bCs/>
          <w:color w:val="auto"/>
          <w:sz w:val="22"/>
          <w:highlight w:val="none"/>
        </w:rPr>
        <w:t>1</w:t>
      </w:r>
      <w:r>
        <w:rPr>
          <w:rFonts w:hint="eastAsia" w:asciiTheme="minorEastAsia" w:hAnsiTheme="minorEastAsia" w:eastAsiaTheme="minorEastAsia" w:cstheme="minorEastAsia"/>
          <w:color w:val="auto"/>
          <w:sz w:val="22"/>
          <w:highlight w:val="none"/>
        </w:rPr>
        <w:t>.</w:t>
      </w:r>
      <w:r>
        <w:rPr>
          <w:rFonts w:hint="eastAsia" w:asciiTheme="minorEastAsia" w:hAnsiTheme="minorEastAsia" w:eastAsiaTheme="minorEastAsia" w:cstheme="minorEastAsia"/>
          <w:bCs/>
          <w:color w:val="auto"/>
          <w:sz w:val="22"/>
          <w:highlight w:val="none"/>
        </w:rPr>
        <w:t>甲、乙任何一方违反本协议的约定，应当承担违约责任，并赔偿对方的实际损失。由于乙方的违约行为给采购人造成经济损失的，采购人有权要求乙方进行赔偿。</w:t>
      </w:r>
    </w:p>
    <w:p w14:paraId="45ABA960">
      <w:pPr>
        <w:tabs>
          <w:tab w:val="left" w:pos="630"/>
        </w:tabs>
        <w:adjustRightInd/>
        <w:spacing w:line="380" w:lineRule="exact"/>
        <w:ind w:firstLine="440" w:firstLineChars="200"/>
        <w:rPr>
          <w:rFonts w:asciiTheme="minorEastAsia" w:hAnsiTheme="minorEastAsia" w:eastAsiaTheme="minorEastAsia" w:cstheme="minorEastAsia"/>
          <w:bCs/>
          <w:color w:val="auto"/>
          <w:sz w:val="22"/>
          <w:highlight w:val="none"/>
        </w:rPr>
      </w:pPr>
      <w:r>
        <w:rPr>
          <w:rFonts w:hint="eastAsia" w:asciiTheme="minorEastAsia" w:hAnsiTheme="minorEastAsia" w:eastAsiaTheme="minorEastAsia" w:cstheme="minorEastAsia"/>
          <w:bCs/>
          <w:color w:val="auto"/>
          <w:sz w:val="22"/>
          <w:highlight w:val="none"/>
        </w:rPr>
        <w:t>2</w:t>
      </w:r>
      <w:r>
        <w:rPr>
          <w:rFonts w:hint="eastAsia" w:asciiTheme="minorEastAsia" w:hAnsiTheme="minorEastAsia" w:eastAsiaTheme="minorEastAsia" w:cstheme="minorEastAsia"/>
          <w:color w:val="auto"/>
          <w:sz w:val="22"/>
          <w:highlight w:val="none"/>
        </w:rPr>
        <w:t>.</w:t>
      </w:r>
      <w:r>
        <w:rPr>
          <w:rFonts w:hint="eastAsia" w:asciiTheme="minorEastAsia" w:hAnsiTheme="minorEastAsia" w:eastAsiaTheme="minorEastAsia" w:cstheme="minorEastAsia"/>
          <w:bCs/>
          <w:color w:val="auto"/>
          <w:sz w:val="22"/>
          <w:highlight w:val="none"/>
        </w:rPr>
        <w:t>乙方违反协议约定，经调查属实，甲方有权追究乙方的违约责任，违约行为包括但不限于：</w:t>
      </w:r>
    </w:p>
    <w:p w14:paraId="53952485">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（1）不按照框架协议或采购合同，为采购人提供货物或服务承诺的；</w:t>
      </w:r>
    </w:p>
    <w:p w14:paraId="7F60D5C8">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（2）被采购人有效投诉的；</w:t>
      </w:r>
    </w:p>
    <w:p w14:paraId="0A83ED38">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（3）未按相关要求执行价格承诺或要约折扣的；</w:t>
      </w:r>
    </w:p>
    <w:p w14:paraId="1C296146">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（4）虚假提供包括但不限于单据、发票及相关凭证、产品节能、环境标志等的；</w:t>
      </w:r>
    </w:p>
    <w:p w14:paraId="615516C1">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（5）推荐的委托代理商实际供货产品型号、配置与系统填报信息不符的；</w:t>
      </w:r>
    </w:p>
    <w:p w14:paraId="22A34125">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（6）不配合政府采购监管部门和甲方监督检查、评价考核及日常管理的；</w:t>
      </w:r>
    </w:p>
    <w:p w14:paraId="15A4EAA9">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（7）违反协议规定的其他事项的。</w:t>
      </w:r>
    </w:p>
    <w:p w14:paraId="597089C1">
      <w:pPr>
        <w:pStyle w:val="6"/>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3.针对乙方的违约行为，甲方有权要求乙方承担违约责任，承担违约责任的方式包括但不限于：</w:t>
      </w:r>
    </w:p>
    <w:p w14:paraId="4D3367F6">
      <w:pPr>
        <w:tabs>
          <w:tab w:val="left" w:pos="630"/>
        </w:tabs>
        <w:adjustRightInd/>
        <w:spacing w:line="380" w:lineRule="exact"/>
        <w:ind w:firstLine="440" w:firstLineChars="200"/>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（1）面谈并限期整改；</w:t>
      </w:r>
    </w:p>
    <w:p w14:paraId="65B4AF19">
      <w:pPr>
        <w:tabs>
          <w:tab w:val="left" w:pos="630"/>
        </w:tabs>
        <w:adjustRightInd/>
        <w:spacing w:line="380" w:lineRule="exact"/>
        <w:ind w:firstLine="440" w:firstLineChars="200"/>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（2）暂停（或取消）乙方产品供货资格或服务资格；</w:t>
      </w:r>
    </w:p>
    <w:p w14:paraId="549138BC">
      <w:pPr>
        <w:tabs>
          <w:tab w:val="left" w:pos="630"/>
        </w:tabs>
        <w:adjustRightInd/>
        <w:spacing w:line="380" w:lineRule="exact"/>
        <w:ind w:firstLine="440" w:firstLineChars="200"/>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（3）暂停乙方入围供应商资格；</w:t>
      </w:r>
    </w:p>
    <w:p w14:paraId="279B01B7">
      <w:pPr>
        <w:tabs>
          <w:tab w:val="left" w:pos="630"/>
        </w:tabs>
        <w:adjustRightInd/>
        <w:spacing w:line="380" w:lineRule="exact"/>
        <w:ind w:firstLine="440" w:firstLineChars="200"/>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（4）取消乙方入围供应商资格；</w:t>
      </w:r>
    </w:p>
    <w:p w14:paraId="01899182">
      <w:pPr>
        <w:tabs>
          <w:tab w:val="left" w:pos="630"/>
        </w:tabs>
        <w:adjustRightInd/>
        <w:spacing w:line="380" w:lineRule="exact"/>
        <w:ind w:firstLine="440" w:firstLineChars="200"/>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（5）</w:t>
      </w:r>
      <w:r>
        <w:rPr>
          <w:rFonts w:hint="eastAsia" w:asciiTheme="minorEastAsia" w:hAnsiTheme="minorEastAsia" w:eastAsiaTheme="minorEastAsia" w:cstheme="minorEastAsia"/>
          <w:color w:val="auto"/>
          <w:sz w:val="22"/>
          <w:highlight w:val="none"/>
          <w:lang w:val="en-US" w:eastAsia="zh-CN"/>
        </w:rPr>
        <w:t>报请财政部门将乙方</w:t>
      </w:r>
      <w:r>
        <w:rPr>
          <w:rFonts w:hint="eastAsia" w:asciiTheme="minorEastAsia" w:hAnsiTheme="minorEastAsia" w:eastAsiaTheme="minorEastAsia" w:cstheme="minorEastAsia"/>
          <w:color w:val="auto"/>
          <w:sz w:val="22"/>
          <w:highlight w:val="none"/>
        </w:rPr>
        <w:t>列入“政府采购严重违法失信行为记录名单”。</w:t>
      </w:r>
    </w:p>
    <w:p w14:paraId="6170DA9E">
      <w:pPr>
        <w:tabs>
          <w:tab w:val="left" w:pos="630"/>
        </w:tabs>
        <w:adjustRightInd/>
        <w:spacing w:line="380" w:lineRule="exact"/>
        <w:ind w:firstLine="440" w:firstLineChars="200"/>
        <w:rPr>
          <w:rFonts w:asciiTheme="minorEastAsia" w:hAnsiTheme="minorEastAsia" w:eastAsiaTheme="minorEastAsia" w:cstheme="minorEastAsia"/>
          <w:bCs/>
          <w:color w:val="auto"/>
          <w:sz w:val="22"/>
          <w:highlight w:val="none"/>
        </w:rPr>
      </w:pPr>
      <w:r>
        <w:rPr>
          <w:rFonts w:hint="eastAsia" w:asciiTheme="minorEastAsia" w:hAnsiTheme="minorEastAsia" w:eastAsiaTheme="minorEastAsia" w:cstheme="minorEastAsia"/>
          <w:bCs/>
          <w:color w:val="auto"/>
          <w:sz w:val="22"/>
          <w:highlight w:val="none"/>
        </w:rPr>
        <w:t>4.乙方被暂停（或取消）产品供货资格或服务资格后，乙方与采购人已经签订的采购合同继续履行，但在暂停（或取消）期内不得承接涉及该产品或服务的新业务。</w:t>
      </w:r>
    </w:p>
    <w:p w14:paraId="573099FF">
      <w:pPr>
        <w:tabs>
          <w:tab w:val="left" w:pos="630"/>
        </w:tabs>
        <w:adjustRightInd/>
        <w:spacing w:line="380" w:lineRule="exact"/>
        <w:ind w:firstLine="440" w:firstLineChars="200"/>
        <w:rPr>
          <w:rFonts w:asciiTheme="minorEastAsia" w:hAnsiTheme="minorEastAsia" w:eastAsiaTheme="minorEastAsia" w:cstheme="minorEastAsia"/>
          <w:bCs/>
          <w:color w:val="auto"/>
          <w:sz w:val="22"/>
          <w:highlight w:val="none"/>
        </w:rPr>
      </w:pPr>
      <w:r>
        <w:rPr>
          <w:rFonts w:hint="eastAsia" w:asciiTheme="minorEastAsia" w:hAnsiTheme="minorEastAsia" w:eastAsiaTheme="minorEastAsia" w:cstheme="minorEastAsia"/>
          <w:bCs/>
          <w:color w:val="auto"/>
          <w:sz w:val="22"/>
          <w:highlight w:val="none"/>
        </w:rPr>
        <w:t>5.乙方被暂停入围供应商资格后，乙方与采购人已经签订的采购合同继续履行，但在暂停期内不得承接新业务。</w:t>
      </w:r>
    </w:p>
    <w:p w14:paraId="30F2EB6B">
      <w:pPr>
        <w:tabs>
          <w:tab w:val="left" w:pos="630"/>
        </w:tabs>
        <w:adjustRightInd/>
        <w:spacing w:line="380" w:lineRule="exact"/>
        <w:ind w:firstLine="440" w:firstLineChars="200"/>
        <w:rPr>
          <w:rFonts w:asciiTheme="minorEastAsia" w:hAnsiTheme="minorEastAsia" w:eastAsiaTheme="minorEastAsia" w:cstheme="minorEastAsia"/>
          <w:bCs/>
          <w:color w:val="auto"/>
          <w:sz w:val="22"/>
          <w:highlight w:val="none"/>
        </w:rPr>
      </w:pPr>
      <w:r>
        <w:rPr>
          <w:rFonts w:hint="eastAsia" w:asciiTheme="minorEastAsia" w:hAnsiTheme="minorEastAsia" w:eastAsiaTheme="minorEastAsia" w:cstheme="minorEastAsia"/>
          <w:bCs/>
          <w:color w:val="auto"/>
          <w:sz w:val="22"/>
          <w:highlight w:val="none"/>
        </w:rPr>
        <w:t>6.乙方被取消入围供应商资格后，乙方与采购人已经签订的采购合同继续履行，但在本协议期内不得承接新业务。</w:t>
      </w:r>
    </w:p>
    <w:p w14:paraId="17D7A7C1">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协议的终止</w:t>
      </w:r>
    </w:p>
    <w:p w14:paraId="349340D7">
      <w:pPr>
        <w:tabs>
          <w:tab w:val="left" w:pos="0"/>
          <w:tab w:val="left" w:pos="84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 xml:space="preserve">1.出现下列情况时本协议终止： </w:t>
      </w:r>
    </w:p>
    <w:p w14:paraId="65A74868">
      <w:pPr>
        <w:pStyle w:val="9"/>
        <w:tabs>
          <w:tab w:val="left" w:pos="709"/>
        </w:tabs>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（1）甲乙双方协商终止本协议；</w:t>
      </w:r>
    </w:p>
    <w:p w14:paraId="6D60A14E">
      <w:pPr>
        <w:pStyle w:val="9"/>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（2）乙方不履行协议条款，造成无法执行协议，则甲方有权终止本协议。同时甲方有权按照本协议第十三条的约定要求乙方承担违约责任并赔偿损失等。</w:t>
      </w:r>
    </w:p>
    <w:p w14:paraId="7216A003">
      <w:pPr>
        <w:pStyle w:val="9"/>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2.除本协议另有约定外，发生以下任何一种情况，甲方有权终止本协议，并取消乙方的入围供应商资格：</w:t>
      </w:r>
    </w:p>
    <w:p w14:paraId="1A0F758A">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（1）出现本框架协议约定第十三条的违约行为，拒不整改或限期未整改的；</w:t>
      </w:r>
    </w:p>
    <w:p w14:paraId="5C80D583">
      <w:pPr>
        <w:tabs>
          <w:tab w:val="left" w:pos="630"/>
        </w:tabs>
        <w:adjustRightInd/>
        <w:spacing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（2）未遵守法律、法规的规定，出现《中华人民共和国政府采购法实施条例》第十九条规定的重大违法记录的；</w:t>
      </w:r>
    </w:p>
    <w:p w14:paraId="6EE5EB6C">
      <w:pPr>
        <w:pStyle w:val="9"/>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（3）被列入失信被执行人、重大税收违法</w:t>
      </w:r>
      <w:r>
        <w:rPr>
          <w:rFonts w:hint="eastAsia" w:asciiTheme="minorEastAsia" w:hAnsiTheme="minorEastAsia" w:eastAsiaTheme="minorEastAsia" w:cstheme="minorEastAsia"/>
          <w:color w:val="auto"/>
          <w:sz w:val="22"/>
          <w:highlight w:val="none"/>
          <w:lang w:eastAsia="zh-CN"/>
        </w:rPr>
        <w:t>失信主体</w:t>
      </w:r>
      <w:r>
        <w:rPr>
          <w:rFonts w:hint="eastAsia" w:asciiTheme="minorEastAsia" w:hAnsiTheme="minorEastAsia" w:eastAsiaTheme="minorEastAsia" w:cstheme="minorEastAsia"/>
          <w:color w:val="auto"/>
          <w:sz w:val="22"/>
          <w:highlight w:val="none"/>
        </w:rPr>
        <w:t>、政府采购严重违法失信行为记录名单的；</w:t>
      </w:r>
    </w:p>
    <w:p w14:paraId="33C50235">
      <w:pPr>
        <w:pStyle w:val="9"/>
        <w:spacing w:after="0" w:line="380" w:lineRule="exact"/>
        <w:ind w:firstLine="440" w:firstLineChars="200"/>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（4）严重损害采购人利益或政府采购形象、造成社会不良影响，产生严重社会负面舆论的。</w:t>
      </w:r>
    </w:p>
    <w:p w14:paraId="398D0F91">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争议解决</w:t>
      </w:r>
    </w:p>
    <w:p w14:paraId="686419D1">
      <w:pPr>
        <w:pStyle w:val="9"/>
        <w:adjustRightInd/>
        <w:spacing w:after="0" w:line="380" w:lineRule="exact"/>
        <w:ind w:firstLine="440" w:firstLineChars="200"/>
        <w:textAlignment w:val="auto"/>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甲乙双方如果发生争议，应当友好协商解决。如协商不成，</w:t>
      </w:r>
      <w:r>
        <w:rPr>
          <w:rFonts w:hint="eastAsia" w:asciiTheme="minorEastAsia" w:hAnsiTheme="minorEastAsia" w:eastAsiaTheme="minorEastAsia" w:cstheme="minorEastAsia"/>
          <w:color w:val="auto"/>
          <w:sz w:val="22"/>
          <w:highlight w:val="none"/>
          <w:lang w:eastAsia="zh-CN"/>
        </w:rPr>
        <w:t>甲乙双方按照法律途径解决。</w:t>
      </w:r>
    </w:p>
    <w:p w14:paraId="6D668F43">
      <w:pPr>
        <w:numPr>
          <w:ilvl w:val="0"/>
          <w:numId w:val="24"/>
        </w:numPr>
        <w:adjustRightInd/>
        <w:spacing w:line="380" w:lineRule="exact"/>
        <w:ind w:firstLine="440" w:firstLineChars="200"/>
        <w:jc w:val="both"/>
        <w:textAlignment w:val="auto"/>
        <w:rPr>
          <w:rFonts w:ascii="黑体" w:hAnsi="黑体" w:eastAsia="黑体" w:cs="黑体"/>
          <w:color w:val="auto"/>
          <w:kern w:val="2"/>
          <w:sz w:val="22"/>
          <w:highlight w:val="none"/>
        </w:rPr>
      </w:pPr>
      <w:r>
        <w:rPr>
          <w:rFonts w:hint="eastAsia" w:ascii="黑体" w:hAnsi="黑体" w:eastAsia="黑体" w:cs="黑体"/>
          <w:color w:val="auto"/>
          <w:kern w:val="2"/>
          <w:sz w:val="22"/>
          <w:highlight w:val="none"/>
        </w:rPr>
        <w:t>协议生效及其他</w:t>
      </w:r>
    </w:p>
    <w:p w14:paraId="6D3E9E36">
      <w:pPr>
        <w:pStyle w:val="9"/>
        <w:adjustRightInd/>
        <w:spacing w:after="0" w:line="380" w:lineRule="exact"/>
        <w:ind w:firstLine="440" w:firstLineChars="200"/>
        <w:textAlignment w:val="auto"/>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lang w:eastAsia="zh-CN"/>
        </w:rPr>
        <w:t>双方订立</w:t>
      </w:r>
      <w:r>
        <w:rPr>
          <w:rFonts w:hint="eastAsia" w:asciiTheme="minorEastAsia" w:hAnsiTheme="minorEastAsia" w:eastAsiaTheme="minorEastAsia" w:cstheme="minorEastAsia"/>
          <w:color w:val="auto"/>
          <w:sz w:val="22"/>
          <w:highlight w:val="none"/>
        </w:rPr>
        <w:t>书面框架协议，</w:t>
      </w:r>
      <w:r>
        <w:rPr>
          <w:rFonts w:hint="eastAsia" w:asciiTheme="minorEastAsia" w:hAnsiTheme="minorEastAsia" w:eastAsiaTheme="minorEastAsia" w:cstheme="minorEastAsia"/>
          <w:color w:val="auto"/>
          <w:sz w:val="22"/>
          <w:highlight w:val="none"/>
          <w:lang w:eastAsia="zh-CN"/>
        </w:rPr>
        <w:t>框架协议自</w:t>
      </w:r>
      <w:r>
        <w:rPr>
          <w:rFonts w:hint="eastAsia" w:asciiTheme="minorEastAsia" w:hAnsiTheme="minorEastAsia" w:eastAsiaTheme="minorEastAsia" w:cstheme="minorEastAsia"/>
          <w:color w:val="auto"/>
          <w:sz w:val="22"/>
          <w:highlight w:val="none"/>
        </w:rPr>
        <w:t>甲乙双方加盖单位公章后生效，本协议正本一式两份，甲、乙双方各执一份，具有同等法律效力。</w:t>
      </w:r>
    </w:p>
    <w:p w14:paraId="7CA0C4D6">
      <w:pPr>
        <w:pStyle w:val="9"/>
        <w:snapToGrid w:val="0"/>
        <w:spacing w:after="0" w:line="380" w:lineRule="exact"/>
        <w:ind w:firstLine="660" w:firstLineChars="300"/>
        <w:rPr>
          <w:rFonts w:asciiTheme="minorEastAsia" w:hAnsiTheme="minorEastAsia" w:eastAsiaTheme="minorEastAsia" w:cstheme="minorEastAsia"/>
          <w:color w:val="auto"/>
          <w:sz w:val="22"/>
          <w:highlight w:val="none"/>
        </w:rPr>
      </w:pPr>
    </w:p>
    <w:p w14:paraId="07E577BD">
      <w:pPr>
        <w:tabs>
          <w:tab w:val="left" w:pos="630"/>
          <w:tab w:val="left" w:pos="5565"/>
        </w:tabs>
        <w:snapToGrid w:val="0"/>
        <w:spacing w:line="380" w:lineRule="exact"/>
        <w:ind w:firstLine="442" w:firstLineChars="200"/>
        <w:rPr>
          <w:rFonts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甲方（公章）：                          乙方（公章）：</w:t>
      </w:r>
    </w:p>
    <w:p w14:paraId="6DBA81E0">
      <w:pPr>
        <w:spacing w:line="380" w:lineRule="exact"/>
        <w:ind w:firstLine="442" w:firstLineChars="200"/>
        <w:rPr>
          <w:rFonts w:asciiTheme="minorEastAsia" w:hAnsiTheme="minorEastAsia" w:eastAsiaTheme="minorEastAsia" w:cstheme="minorEastAsia"/>
          <w:b/>
          <w:color w:val="auto"/>
          <w:sz w:val="22"/>
          <w:highlight w:val="none"/>
        </w:rPr>
      </w:pPr>
    </w:p>
    <w:p w14:paraId="7408A549">
      <w:pPr>
        <w:spacing w:line="380" w:lineRule="exact"/>
        <w:ind w:firstLine="442" w:firstLineChars="200"/>
        <w:rPr>
          <w:rFonts w:hint="eastAsia"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b/>
          <w:color w:val="auto"/>
          <w:sz w:val="22"/>
          <w:highlight w:val="none"/>
        </w:rPr>
        <w:t xml:space="preserve">签订日期：      </w:t>
      </w:r>
      <w:r>
        <w:rPr>
          <w:rFonts w:hint="eastAsia" w:asciiTheme="minorEastAsia" w:hAnsiTheme="minorEastAsia" w:eastAsiaTheme="minorEastAsia" w:cstheme="minorEastAsia"/>
          <w:color w:val="auto"/>
          <w:sz w:val="22"/>
          <w:highlight w:val="none"/>
        </w:rPr>
        <w:t>年</w:t>
      </w:r>
      <w:r>
        <w:rPr>
          <w:rFonts w:hint="eastAsia" w:asciiTheme="minorEastAsia" w:hAnsiTheme="minorEastAsia" w:eastAsiaTheme="minorEastAsia" w:cstheme="minorEastAsia"/>
          <w:color w:val="auto"/>
          <w:sz w:val="22"/>
          <w:highlight w:val="none"/>
          <w:lang w:val="en-US" w:eastAsia="zh-CN"/>
        </w:rPr>
        <w:t xml:space="preserve">    </w:t>
      </w:r>
      <w:r>
        <w:rPr>
          <w:rFonts w:hint="eastAsia" w:asciiTheme="minorEastAsia" w:hAnsiTheme="minorEastAsia" w:eastAsiaTheme="minorEastAsia" w:cstheme="minorEastAsia"/>
          <w:color w:val="auto"/>
          <w:sz w:val="22"/>
          <w:highlight w:val="none"/>
        </w:rPr>
        <w:t>月</w:t>
      </w:r>
      <w:r>
        <w:rPr>
          <w:rFonts w:hint="eastAsia" w:asciiTheme="minorEastAsia" w:hAnsiTheme="minorEastAsia" w:eastAsiaTheme="minorEastAsia" w:cstheme="minorEastAsia"/>
          <w:color w:val="auto"/>
          <w:sz w:val="22"/>
          <w:highlight w:val="none"/>
          <w:lang w:val="en-US" w:eastAsia="zh-CN"/>
        </w:rPr>
        <w:t xml:space="preserve">    </w:t>
      </w:r>
      <w:r>
        <w:rPr>
          <w:rFonts w:hint="eastAsia" w:asciiTheme="minorEastAsia" w:hAnsiTheme="minorEastAsia" w:eastAsiaTheme="minorEastAsia" w:cstheme="minorEastAsia"/>
          <w:color w:val="auto"/>
          <w:sz w:val="22"/>
          <w:highlight w:val="none"/>
        </w:rPr>
        <w:t xml:space="preserve">日  </w:t>
      </w:r>
      <w:r>
        <w:rPr>
          <w:rFonts w:hint="eastAsia" w:asciiTheme="minorEastAsia" w:hAnsiTheme="minorEastAsia" w:eastAsiaTheme="minorEastAsia" w:cstheme="minorEastAsia"/>
          <w:color w:val="auto"/>
          <w:sz w:val="22"/>
          <w:highlight w:val="none"/>
          <w:lang w:val="en-US" w:eastAsia="zh-CN"/>
        </w:rPr>
        <w:t xml:space="preserve">   </w:t>
      </w:r>
      <w:r>
        <w:rPr>
          <w:rFonts w:hint="eastAsia" w:asciiTheme="minorEastAsia" w:hAnsiTheme="minorEastAsia" w:eastAsiaTheme="minorEastAsia" w:cstheme="minorEastAsia"/>
          <w:color w:val="auto"/>
          <w:sz w:val="22"/>
          <w:highlight w:val="none"/>
        </w:rPr>
        <w:t xml:space="preserve">    </w:t>
      </w:r>
      <w:r>
        <w:rPr>
          <w:rFonts w:hint="eastAsia" w:asciiTheme="minorEastAsia" w:hAnsiTheme="minorEastAsia" w:eastAsiaTheme="minorEastAsia" w:cstheme="minorEastAsia"/>
          <w:color w:val="auto"/>
          <w:sz w:val="22"/>
          <w:highlight w:val="none"/>
          <w:lang w:val="en-US" w:eastAsia="zh-CN"/>
        </w:rPr>
        <w:t xml:space="preserve"> </w:t>
      </w:r>
      <w:r>
        <w:rPr>
          <w:rFonts w:hint="eastAsia" w:asciiTheme="minorEastAsia" w:hAnsiTheme="minorEastAsia" w:eastAsiaTheme="minorEastAsia" w:cstheme="minorEastAsia"/>
          <w:b/>
          <w:color w:val="auto"/>
          <w:sz w:val="22"/>
          <w:highlight w:val="none"/>
        </w:rPr>
        <w:t xml:space="preserve">签订日期：      </w:t>
      </w:r>
      <w:r>
        <w:rPr>
          <w:rFonts w:hint="eastAsia" w:asciiTheme="minorEastAsia" w:hAnsiTheme="minorEastAsia" w:eastAsiaTheme="minorEastAsia" w:cstheme="minorEastAsia"/>
          <w:color w:val="auto"/>
          <w:sz w:val="22"/>
          <w:highlight w:val="none"/>
        </w:rPr>
        <w:t>年</w:t>
      </w:r>
      <w:r>
        <w:rPr>
          <w:rFonts w:hint="eastAsia" w:asciiTheme="minorEastAsia" w:hAnsiTheme="minorEastAsia" w:eastAsiaTheme="minorEastAsia" w:cstheme="minorEastAsia"/>
          <w:color w:val="auto"/>
          <w:sz w:val="22"/>
          <w:highlight w:val="none"/>
          <w:lang w:val="en-US" w:eastAsia="zh-CN"/>
        </w:rPr>
        <w:t xml:space="preserve">    </w:t>
      </w:r>
      <w:r>
        <w:rPr>
          <w:rFonts w:hint="eastAsia" w:asciiTheme="minorEastAsia" w:hAnsiTheme="minorEastAsia" w:eastAsiaTheme="minorEastAsia" w:cstheme="minorEastAsia"/>
          <w:color w:val="auto"/>
          <w:sz w:val="22"/>
          <w:highlight w:val="none"/>
        </w:rPr>
        <w:t>月</w:t>
      </w:r>
      <w:r>
        <w:rPr>
          <w:rFonts w:hint="eastAsia" w:asciiTheme="minorEastAsia" w:hAnsiTheme="minorEastAsia" w:eastAsiaTheme="minorEastAsia" w:cstheme="minorEastAsia"/>
          <w:color w:val="auto"/>
          <w:sz w:val="22"/>
          <w:highlight w:val="none"/>
          <w:lang w:val="en-US" w:eastAsia="zh-CN"/>
        </w:rPr>
        <w:t xml:space="preserve">    </w:t>
      </w:r>
      <w:r>
        <w:rPr>
          <w:rFonts w:hint="eastAsia" w:asciiTheme="minorEastAsia" w:hAnsiTheme="minorEastAsia" w:eastAsiaTheme="minorEastAsia" w:cstheme="minorEastAsia"/>
          <w:color w:val="auto"/>
          <w:sz w:val="22"/>
          <w:highlight w:val="none"/>
        </w:rPr>
        <w:t xml:space="preserve">日  </w:t>
      </w:r>
    </w:p>
    <w:p w14:paraId="0E346383">
      <w:pPr>
        <w:spacing w:line="240" w:lineRule="auto"/>
        <w:ind w:firstLine="0" w:firstLineChars="0"/>
        <w:rPr>
          <w:rFonts w:hint="eastAsia" w:asciiTheme="minorEastAsia" w:hAnsiTheme="minorEastAsia" w:eastAsiaTheme="minorEastAsia" w:cstheme="minorEastAsia"/>
          <w:color w:val="auto"/>
          <w:sz w:val="22"/>
          <w:highlight w:val="none"/>
        </w:rPr>
        <w:sectPr>
          <w:pgSz w:w="11910" w:h="16840"/>
          <w:pgMar w:top="1701" w:right="1587" w:bottom="1701" w:left="1587" w:header="879" w:footer="890" w:gutter="0"/>
          <w:cols w:space="0" w:num="1"/>
        </w:sectPr>
      </w:pPr>
      <w:r>
        <w:rPr>
          <w:rFonts w:hint="eastAsia" w:asciiTheme="minorEastAsia" w:hAnsiTheme="minorEastAsia" w:eastAsiaTheme="minorEastAsia" w:cstheme="minorEastAsia"/>
          <w:color w:val="auto"/>
          <w:sz w:val="22"/>
          <w:highlight w:val="none"/>
        </w:rPr>
        <w:br w:type="page"/>
      </w:r>
    </w:p>
    <w:p w14:paraId="33BFA352">
      <w:pPr>
        <w:jc w:val="center"/>
        <w:rPr>
          <w:rFonts w:hint="eastAsia" w:ascii="宋体"/>
          <w:b/>
          <w:bCs/>
          <w:color w:val="auto"/>
          <w:sz w:val="32"/>
          <w:szCs w:val="21"/>
          <w:highlight w:val="none"/>
          <w:lang w:val="en-US" w:eastAsia="zh-CN"/>
        </w:rPr>
      </w:pPr>
      <w:r>
        <w:rPr>
          <w:rFonts w:hint="eastAsia" w:ascii="宋体"/>
          <w:b/>
          <w:bCs/>
          <w:color w:val="auto"/>
          <w:sz w:val="32"/>
          <w:szCs w:val="21"/>
          <w:highlight w:val="none"/>
          <w:lang w:val="en-US" w:eastAsia="zh-CN"/>
        </w:rPr>
        <w:t>采购合同文本</w:t>
      </w:r>
    </w:p>
    <w:p w14:paraId="522B57B1">
      <w:pPr>
        <w:pStyle w:val="47"/>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Chars="0"/>
        <w:textAlignment w:val="baseline"/>
        <w:rPr>
          <w:rFonts w:hint="eastAsia"/>
          <w:color w:val="auto"/>
          <w:sz w:val="22"/>
          <w:szCs w:val="22"/>
          <w:highlight w:val="none"/>
          <w:lang w:val="en-US" w:eastAsia="zh-CN"/>
        </w:rPr>
      </w:pPr>
    </w:p>
    <w:p w14:paraId="6F6228EB">
      <w:pPr>
        <w:pStyle w:val="47"/>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Chars="0" w:firstLine="440" w:firstLineChars="200"/>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入围供应商应按照征集文件、响应文件、评审过程中的有关澄清、说明或者补正文件的内容以及框架协议的约定和要求与采购人签订采购合同，确定产品数量、质量要求、价格、服务要求和标准等。</w:t>
      </w:r>
    </w:p>
    <w:p w14:paraId="1F7FB8E5">
      <w:pPr>
        <w:pStyle w:val="47"/>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Chars="0" w:firstLine="440" w:firstLineChars="200"/>
        <w:textAlignment w:val="baseline"/>
        <w:rPr>
          <w:rFonts w:hint="eastAsia"/>
          <w:color w:val="auto"/>
          <w:sz w:val="22"/>
          <w:szCs w:val="22"/>
          <w:highlight w:val="none"/>
          <w:lang w:val="en-US" w:eastAsia="zh-CN"/>
        </w:rPr>
      </w:pPr>
      <w:r>
        <w:rPr>
          <w:rFonts w:hint="eastAsia"/>
          <w:color w:val="auto"/>
          <w:sz w:val="22"/>
          <w:szCs w:val="22"/>
          <w:highlight w:val="none"/>
          <w:lang w:val="en-US" w:eastAsia="zh-CN"/>
        </w:rPr>
        <w:t>采购合同须使用规范的合同文本，成交供应商不得与采购人签订背离实质性内容的合同。</w:t>
      </w:r>
    </w:p>
    <w:p w14:paraId="43B5661A">
      <w:pPr>
        <w:rPr>
          <w:rFonts w:ascii="宋体" w:hAnsi="宋体" w:cs="宋体"/>
          <w:color w:val="auto"/>
          <w:sz w:val="22"/>
          <w:highlight w:val="none"/>
        </w:rPr>
      </w:pPr>
      <w:bookmarkStart w:id="209" w:name="_Toc86202632"/>
      <w:bookmarkStart w:id="210" w:name="_Toc15708"/>
    </w:p>
    <w:p w14:paraId="0F874857">
      <w:pPr>
        <w:tabs>
          <w:tab w:val="left" w:pos="525"/>
        </w:tabs>
        <w:spacing w:line="400" w:lineRule="exact"/>
        <w:textAlignment w:val="auto"/>
        <w:rPr>
          <w:rFonts w:ascii="宋体" w:hAnsi="宋体" w:cs="宋体"/>
          <w:color w:val="auto"/>
          <w:sz w:val="22"/>
          <w:highlight w:val="none"/>
        </w:rPr>
      </w:pPr>
      <w:r>
        <w:rPr>
          <w:rFonts w:ascii="宋体" w:hAnsi="宋体" w:cs="宋体"/>
          <w:color w:val="auto"/>
          <w:sz w:val="22"/>
          <w:highlight w:val="none"/>
        </w:rPr>
        <w:t>说明：</w:t>
      </w:r>
    </w:p>
    <w:p w14:paraId="70F78BDC">
      <w:pPr>
        <w:tabs>
          <w:tab w:val="left" w:pos="525"/>
        </w:tabs>
        <w:spacing w:line="400" w:lineRule="exact"/>
        <w:ind w:firstLine="440" w:firstLineChars="200"/>
        <w:textAlignment w:val="auto"/>
        <w:rPr>
          <w:rFonts w:ascii="宋体" w:hAnsi="宋体" w:cs="宋体"/>
          <w:color w:val="auto"/>
          <w:sz w:val="22"/>
          <w:highlight w:val="none"/>
        </w:rPr>
      </w:pPr>
      <w:r>
        <w:rPr>
          <w:rFonts w:hint="eastAsia" w:ascii="宋体" w:hAnsi="宋体" w:cs="宋体"/>
          <w:color w:val="auto"/>
          <w:sz w:val="22"/>
          <w:highlight w:val="none"/>
        </w:rPr>
        <w:t>1.</w:t>
      </w:r>
      <w:r>
        <w:rPr>
          <w:rFonts w:ascii="宋体" w:hAnsi="宋体" w:cs="宋体"/>
          <w:color w:val="auto"/>
          <w:sz w:val="22"/>
          <w:highlight w:val="none"/>
        </w:rPr>
        <w:t>为更大力度激发市场活力和社会创造力，增强发展动力，按照《北京市全面优化营商环境助力企业高质量发展实施方案》（京政办发〔2023〕8 号）部署，进一步加强政府采购合同线上融资“一站式”服务（以下简称“政采贷”），北京市财政局、中国人民银行营业管理部联合发布《关于推进政府采购合同线上融资有关工作的通知》（京财采购〔2023〕637 号）。有需求的供应商，可按上述通知要求办理“政采贷”。</w:t>
      </w:r>
    </w:p>
    <w:p w14:paraId="1113CFD9">
      <w:pPr>
        <w:tabs>
          <w:tab w:val="left" w:pos="525"/>
        </w:tabs>
        <w:spacing w:line="400" w:lineRule="exact"/>
        <w:ind w:firstLine="440" w:firstLineChars="200"/>
        <w:textAlignment w:val="auto"/>
        <w:rPr>
          <w:rFonts w:ascii="宋体" w:hAnsi="宋体" w:cs="宋体"/>
          <w:color w:val="auto"/>
          <w:sz w:val="22"/>
          <w:highlight w:val="none"/>
        </w:rPr>
      </w:pPr>
      <w:r>
        <w:rPr>
          <w:rFonts w:hint="eastAsia" w:ascii="宋体" w:hAnsi="宋体" w:cs="宋体"/>
          <w:color w:val="auto"/>
          <w:sz w:val="22"/>
          <w:highlight w:val="none"/>
        </w:rPr>
        <w:t>2.</w:t>
      </w:r>
      <w:r>
        <w:rPr>
          <w:rFonts w:ascii="宋体" w:hAnsi="宋体" w:cs="宋体"/>
          <w:color w:val="auto"/>
          <w:sz w:val="22"/>
          <w:highlight w:val="none"/>
        </w:rPr>
        <w:t>合同类型按照民法典规定的典型合同类别，结合采购标的的实际情况确定。合同文本应当符合民法典及《政府采购需求管理办法》（财库〔2021〕22 号）的要求，包含法定必备条款和采购需求的所有内容，并至少包括以下内容：标的名称，采购标的质量、数量（规模），履行时间（期限）、地点和方式，包装方式，价款或者报酬、付款进度安排、资金支付方式，验收、交付标准和方法，质量保修范围和保修期，违约责任与解决争议的方法等。</w:t>
      </w:r>
    </w:p>
    <w:p w14:paraId="6D8C8C42">
      <w:pPr>
        <w:tabs>
          <w:tab w:val="left" w:pos="525"/>
        </w:tabs>
        <w:spacing w:line="400" w:lineRule="exact"/>
        <w:ind w:firstLine="440" w:firstLineChars="200"/>
        <w:textAlignment w:val="auto"/>
        <w:rPr>
          <w:rFonts w:ascii="宋体" w:hAnsi="宋体" w:cs="宋体"/>
          <w:color w:val="auto"/>
          <w:sz w:val="22"/>
          <w:highlight w:val="none"/>
        </w:rPr>
      </w:pPr>
      <w:r>
        <w:rPr>
          <w:rFonts w:hint="eastAsia" w:ascii="宋体" w:hAnsi="宋体" w:cs="宋体"/>
          <w:color w:val="auto"/>
          <w:sz w:val="22"/>
          <w:highlight w:val="none"/>
        </w:rPr>
        <w:t>3.</w:t>
      </w:r>
      <w:r>
        <w:rPr>
          <w:rFonts w:ascii="宋体" w:hAnsi="宋体" w:cs="宋体"/>
          <w:color w:val="auto"/>
          <w:sz w:val="22"/>
          <w:highlight w:val="none"/>
        </w:rPr>
        <w:t>合同条款中应规定，乙方完全遵守《中华人民共和国妇女权益保障法》中关于“劳动和社会保障权益”的有关要求。</w:t>
      </w:r>
    </w:p>
    <w:p w14:paraId="199DA1E3">
      <w:pPr>
        <w:tabs>
          <w:tab w:val="left" w:pos="525"/>
        </w:tabs>
        <w:spacing w:line="400" w:lineRule="exact"/>
        <w:ind w:firstLine="440" w:firstLineChars="200"/>
        <w:textAlignment w:val="auto"/>
        <w:rPr>
          <w:rFonts w:ascii="宋体" w:hAnsi="宋体" w:cs="宋体"/>
          <w:color w:val="auto"/>
          <w:sz w:val="22"/>
          <w:highlight w:val="none"/>
        </w:rPr>
      </w:pPr>
      <w:r>
        <w:rPr>
          <w:rFonts w:hint="eastAsia" w:ascii="宋体" w:hAnsi="宋体" w:cs="宋体"/>
          <w:color w:val="auto"/>
          <w:sz w:val="22"/>
          <w:highlight w:val="none"/>
        </w:rPr>
        <w:t>4.</w:t>
      </w:r>
      <w:r>
        <w:rPr>
          <w:rFonts w:ascii="宋体" w:hAnsi="宋体" w:cs="宋体"/>
          <w:color w:val="auto"/>
          <w:sz w:val="22"/>
          <w:highlight w:val="none"/>
        </w:rPr>
        <w:t>政府采购合同设定首付款支付方式的，首付款支付比例原则上不低于合同金额的30%；对于中小企业，首付款支付比例原则上不低于合同金额的 50%。</w:t>
      </w:r>
    </w:p>
    <w:p w14:paraId="60B612A8">
      <w:pPr>
        <w:tabs>
          <w:tab w:val="left" w:pos="525"/>
        </w:tabs>
        <w:spacing w:line="400" w:lineRule="exact"/>
        <w:ind w:firstLine="440" w:firstLineChars="200"/>
        <w:textAlignment w:val="auto"/>
        <w:rPr>
          <w:rFonts w:ascii="宋体" w:hAnsi="宋体" w:cs="宋体"/>
          <w:color w:val="auto"/>
          <w:sz w:val="22"/>
          <w:highlight w:val="none"/>
        </w:rPr>
      </w:pPr>
      <w:r>
        <w:rPr>
          <w:rFonts w:hint="eastAsia" w:ascii="宋体" w:hAnsi="宋体" w:cs="宋体"/>
          <w:color w:val="auto"/>
          <w:sz w:val="22"/>
          <w:highlight w:val="none"/>
        </w:rPr>
        <w:t>5.</w:t>
      </w:r>
      <w:r>
        <w:rPr>
          <w:rFonts w:ascii="宋体" w:hAnsi="宋体" w:cs="宋体"/>
          <w:color w:val="auto"/>
          <w:sz w:val="22"/>
          <w:highlight w:val="none"/>
        </w:rPr>
        <w:t>政府采购合同应当约定资金支付的方式、时间和条件，明确逾期支付资金的违约责任。对于满足合同约定支付条件的，采购人应当自收到发票后 30 日内将资金支付到合同约定的供应商账户，不得以机构变动、人员更替、政策调整等为由延迟付款，不得将采购文件和合同中未规定的义务作为向供应商付款的条件。</w:t>
      </w:r>
    </w:p>
    <w:p w14:paraId="35220E63">
      <w:pPr>
        <w:tabs>
          <w:tab w:val="left" w:pos="525"/>
        </w:tabs>
        <w:spacing w:line="400" w:lineRule="exact"/>
        <w:ind w:firstLine="440" w:firstLineChars="200"/>
        <w:textAlignment w:val="auto"/>
        <w:rPr>
          <w:rFonts w:ascii="宋体" w:hAnsi="宋体" w:cs="宋体"/>
          <w:color w:val="auto"/>
          <w:sz w:val="22"/>
          <w:highlight w:val="none"/>
        </w:rPr>
      </w:pPr>
      <w:r>
        <w:rPr>
          <w:rFonts w:hint="eastAsia" w:ascii="宋体" w:hAnsi="宋体" w:cs="宋体"/>
          <w:color w:val="auto"/>
          <w:sz w:val="22"/>
          <w:highlight w:val="none"/>
        </w:rPr>
        <w:t>6.</w:t>
      </w:r>
      <w:r>
        <w:rPr>
          <w:rFonts w:ascii="宋体" w:hAnsi="宋体" w:cs="宋体"/>
          <w:color w:val="auto"/>
          <w:sz w:val="22"/>
          <w:highlight w:val="none"/>
        </w:rPr>
        <w:t>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14:paraId="65FCA34B">
      <w:pPr>
        <w:tabs>
          <w:tab w:val="left" w:pos="525"/>
        </w:tabs>
        <w:spacing w:line="400" w:lineRule="exact"/>
        <w:ind w:firstLine="440" w:firstLineChars="200"/>
        <w:textAlignment w:val="auto"/>
        <w:rPr>
          <w:rFonts w:ascii="宋体" w:hAnsi="宋体" w:cs="宋体"/>
          <w:color w:val="auto"/>
          <w:sz w:val="22"/>
          <w:highlight w:val="none"/>
        </w:rPr>
      </w:pPr>
      <w:r>
        <w:rPr>
          <w:rFonts w:hint="eastAsia" w:ascii="宋体" w:hAnsi="宋体" w:cs="宋体"/>
          <w:color w:val="auto"/>
          <w:sz w:val="22"/>
          <w:highlight w:val="none"/>
        </w:rPr>
        <w:t>7.</w:t>
      </w:r>
      <w:r>
        <w:rPr>
          <w:rFonts w:ascii="宋体" w:hAnsi="宋体" w:cs="宋体"/>
          <w:color w:val="auto"/>
          <w:sz w:val="22"/>
          <w:highlight w:val="none"/>
        </w:rPr>
        <w:t>当采购项目涉及数据中心相关设备、运维服务时，采购需求应当符合《绿色数据中心政府采购需求标准（试行）》（财库〔2023〕7号）的有关要求，并在合同中明确对相关指标的验收方式和违约责任。</w:t>
      </w:r>
    </w:p>
    <w:p w14:paraId="233B1A00">
      <w:pPr>
        <w:tabs>
          <w:tab w:val="left" w:pos="525"/>
        </w:tabs>
        <w:spacing w:line="360" w:lineRule="auto"/>
        <w:ind w:firstLine="440" w:firstLineChars="200"/>
        <w:textAlignment w:val="auto"/>
        <w:rPr>
          <w:rFonts w:ascii="宋体" w:hAnsi="宋体" w:cs="宋体"/>
          <w:color w:val="auto"/>
          <w:sz w:val="22"/>
          <w:highlight w:val="none"/>
        </w:rPr>
        <w:sectPr>
          <w:pgSz w:w="11910" w:h="16840"/>
          <w:pgMar w:top="1701" w:right="1587" w:bottom="1701" w:left="1587" w:header="879" w:footer="890" w:gutter="0"/>
          <w:cols w:space="0" w:num="1"/>
        </w:sectPr>
      </w:pPr>
    </w:p>
    <w:p w14:paraId="6AD11E36">
      <w:pPr>
        <w:pStyle w:val="57"/>
        <w:snapToGrid w:val="0"/>
        <w:spacing w:before="0" w:after="0"/>
        <w:ind w:left="0"/>
        <w:rPr>
          <w:color w:val="auto"/>
          <w:sz w:val="32"/>
          <w:szCs w:val="21"/>
          <w:highlight w:val="none"/>
        </w:rPr>
      </w:pPr>
      <w:bookmarkStart w:id="211" w:name="_Toc4056"/>
      <w:bookmarkStart w:id="212" w:name="_Toc15848"/>
      <w:bookmarkStart w:id="213" w:name="_Toc31571"/>
      <w:r>
        <w:rPr>
          <w:rFonts w:hint="eastAsia"/>
          <w:color w:val="auto"/>
          <w:sz w:val="32"/>
          <w:szCs w:val="21"/>
          <w:highlight w:val="none"/>
          <w:lang w:val="en-US" w:eastAsia="zh-CN"/>
        </w:rPr>
        <w:t xml:space="preserve"> </w:t>
      </w:r>
      <w:r>
        <w:rPr>
          <w:rFonts w:hint="eastAsia"/>
          <w:color w:val="auto"/>
          <w:sz w:val="32"/>
          <w:szCs w:val="21"/>
          <w:highlight w:val="none"/>
        </w:rPr>
        <w:t>电子</w:t>
      </w:r>
      <w:r>
        <w:rPr>
          <w:rFonts w:hint="eastAsia" w:ascii="宋体" w:hAnsi="宋体"/>
          <w:color w:val="auto"/>
          <w:sz w:val="32"/>
          <w:szCs w:val="21"/>
          <w:highlight w:val="none"/>
        </w:rPr>
        <w:t>响应文件格式</w:t>
      </w:r>
      <w:bookmarkEnd w:id="202"/>
      <w:bookmarkEnd w:id="203"/>
      <w:bookmarkEnd w:id="209"/>
      <w:bookmarkEnd w:id="210"/>
      <w:bookmarkEnd w:id="211"/>
      <w:bookmarkEnd w:id="212"/>
      <w:bookmarkEnd w:id="213"/>
    </w:p>
    <w:p w14:paraId="45E1A145">
      <w:pPr>
        <w:pStyle w:val="67"/>
        <w:numPr>
          <w:ilvl w:val="0"/>
          <w:numId w:val="0"/>
        </w:numPr>
        <w:tabs>
          <w:tab w:val="left" w:pos="660"/>
        </w:tabs>
        <w:snapToGrid w:val="0"/>
        <w:spacing w:before="0" w:line="400" w:lineRule="exact"/>
        <w:outlineLvl w:val="9"/>
        <w:rPr>
          <w:rFonts w:cs="微软雅黑"/>
          <w:color w:val="auto"/>
          <w:sz w:val="22"/>
          <w:szCs w:val="22"/>
          <w:highlight w:val="none"/>
        </w:rPr>
      </w:pPr>
      <w:bookmarkStart w:id="214" w:name="_Toc86202634"/>
      <w:bookmarkStart w:id="215" w:name="_Toc174185203"/>
      <w:bookmarkStart w:id="216" w:name="_Toc186274126"/>
      <w:bookmarkStart w:id="217" w:name="_Toc184023138"/>
    </w:p>
    <w:p w14:paraId="0FEA70AC">
      <w:pPr>
        <w:pStyle w:val="67"/>
        <w:numPr>
          <w:ilvl w:val="0"/>
          <w:numId w:val="0"/>
        </w:numPr>
        <w:tabs>
          <w:tab w:val="left" w:pos="660"/>
        </w:tabs>
        <w:snapToGrid w:val="0"/>
        <w:spacing w:before="0" w:line="400" w:lineRule="exact"/>
        <w:outlineLvl w:val="9"/>
        <w:rPr>
          <w:rFonts w:hint="eastAsia" w:ascii="Calibri" w:hAnsi="Calibri" w:eastAsia="宋体" w:cs="微软雅黑"/>
          <w:b/>
          <w:bCs/>
          <w:color w:val="FF0000"/>
          <w:sz w:val="28"/>
          <w:szCs w:val="28"/>
          <w:highlight w:val="none"/>
          <w:lang w:val="en-US" w:eastAsia="zh-CN" w:bidi="ar-SA"/>
        </w:rPr>
      </w:pPr>
      <w:r>
        <w:rPr>
          <w:rFonts w:hint="eastAsia" w:cs="微软雅黑"/>
          <w:color w:val="auto"/>
          <w:sz w:val="22"/>
          <w:szCs w:val="22"/>
          <w:highlight w:val="none"/>
          <w:lang w:val="en-US" w:eastAsia="zh-CN"/>
        </w:rPr>
        <w:t xml:space="preserve">  </w:t>
      </w:r>
      <w:bookmarkEnd w:id="214"/>
      <w:bookmarkEnd w:id="215"/>
      <w:bookmarkEnd w:id="216"/>
      <w:bookmarkEnd w:id="217"/>
      <w:r>
        <w:rPr>
          <w:rFonts w:hint="eastAsia" w:ascii="Calibri" w:hAnsi="Calibri" w:eastAsia="宋体" w:cs="微软雅黑"/>
          <w:b/>
          <w:bCs/>
          <w:color w:val="FF0000"/>
          <w:sz w:val="28"/>
          <w:szCs w:val="28"/>
          <w:highlight w:val="none"/>
          <w:lang w:val="en-US" w:eastAsia="zh-CN" w:bidi="ar-SA"/>
        </w:rPr>
        <w:t>技术文件</w:t>
      </w:r>
    </w:p>
    <w:p w14:paraId="1074DB65">
      <w:pPr>
        <w:pStyle w:val="67"/>
        <w:numPr>
          <w:ilvl w:val="1"/>
          <w:numId w:val="0"/>
        </w:numPr>
        <w:tabs>
          <w:tab w:val="left" w:pos="660"/>
        </w:tabs>
        <w:snapToGrid w:val="0"/>
        <w:spacing w:before="0" w:line="400" w:lineRule="exact"/>
        <w:ind w:leftChars="0"/>
        <w:outlineLvl w:val="9"/>
        <w:rPr>
          <w:rFonts w:hint="eastAsia" w:hAnsi="宋体"/>
          <w:color w:val="auto"/>
          <w:kern w:val="0"/>
          <w:sz w:val="22"/>
          <w:szCs w:val="22"/>
          <w:highlight w:val="none"/>
        </w:rPr>
      </w:pPr>
      <w:r>
        <w:rPr>
          <w:rFonts w:hint="eastAsia"/>
          <w:color w:val="auto"/>
          <w:kern w:val="0"/>
          <w:sz w:val="22"/>
          <w:szCs w:val="22"/>
          <w:highlight w:val="none"/>
          <w:lang w:val="en-US" w:eastAsia="zh-CN"/>
        </w:rPr>
        <w:t>一、</w:t>
      </w:r>
      <w:r>
        <w:rPr>
          <w:rFonts w:hint="eastAsia" w:hAnsi="宋体"/>
          <w:color w:val="auto"/>
          <w:kern w:val="0"/>
          <w:sz w:val="22"/>
          <w:szCs w:val="22"/>
          <w:highlight w:val="none"/>
        </w:rPr>
        <w:t>*法定代表人（单位负责人）身份证明及授权委托书（实质性格式</w:t>
      </w:r>
      <w:r>
        <w:rPr>
          <w:rFonts w:hint="eastAsia" w:hAnsi="宋体"/>
          <w:color w:val="auto"/>
          <w:kern w:val="0"/>
          <w:sz w:val="22"/>
          <w:szCs w:val="22"/>
          <w:highlight w:val="none"/>
          <w:lang w:eastAsia="zh-CN"/>
        </w:rPr>
        <w:t>，</w:t>
      </w:r>
      <w:r>
        <w:rPr>
          <w:rFonts w:hint="eastAsia" w:hAnsi="宋体"/>
          <w:color w:val="auto"/>
          <w:kern w:val="0"/>
          <w:sz w:val="22"/>
          <w:szCs w:val="22"/>
          <w:highlight w:val="none"/>
          <w:lang w:val="en-US" w:eastAsia="zh-CN"/>
        </w:rPr>
        <w:t>具体说明与要求详见“响应人须知前附表”</w:t>
      </w:r>
      <w:r>
        <w:rPr>
          <w:rFonts w:hint="eastAsia" w:hAnsi="宋体"/>
          <w:color w:val="auto"/>
          <w:kern w:val="0"/>
          <w:sz w:val="22"/>
          <w:szCs w:val="22"/>
          <w:highlight w:val="none"/>
          <w:lang w:eastAsia="zh-CN"/>
        </w:rPr>
        <w:t>）</w:t>
      </w:r>
    </w:p>
    <w:p w14:paraId="553B8576">
      <w:pPr>
        <w:spacing w:line="360" w:lineRule="exact"/>
        <w:jc w:val="center"/>
        <w:rPr>
          <w:b/>
          <w:color w:val="auto"/>
          <w:sz w:val="36"/>
          <w:szCs w:val="36"/>
          <w:highlight w:val="none"/>
        </w:rPr>
      </w:pPr>
    </w:p>
    <w:p w14:paraId="33AD6583">
      <w:pPr>
        <w:spacing w:line="360" w:lineRule="exact"/>
        <w:jc w:val="center"/>
        <w:rPr>
          <w:b/>
          <w:color w:val="auto"/>
          <w:sz w:val="36"/>
          <w:szCs w:val="36"/>
          <w:highlight w:val="none"/>
        </w:rPr>
      </w:pPr>
      <w:r>
        <w:rPr>
          <w:b/>
          <w:color w:val="auto"/>
          <w:sz w:val="36"/>
          <w:szCs w:val="36"/>
          <w:highlight w:val="none"/>
        </w:rPr>
        <w:t>授权委托书</w:t>
      </w:r>
    </w:p>
    <w:p w14:paraId="6B175DF6">
      <w:pPr>
        <w:spacing w:line="360" w:lineRule="auto"/>
        <w:ind w:firstLine="420"/>
        <w:rPr>
          <w:color w:val="auto"/>
          <w:szCs w:val="20"/>
          <w:highlight w:val="none"/>
        </w:rPr>
      </w:pPr>
    </w:p>
    <w:p w14:paraId="5CC9A47D">
      <w:pPr>
        <w:spacing w:line="360" w:lineRule="auto"/>
        <w:ind w:firstLine="420"/>
        <w:rPr>
          <w:color w:val="auto"/>
          <w:szCs w:val="20"/>
          <w:highlight w:val="none"/>
        </w:rPr>
      </w:pPr>
      <w:r>
        <w:rPr>
          <w:color w:val="auto"/>
          <w:szCs w:val="20"/>
          <w:highlight w:val="none"/>
        </w:rPr>
        <w:t>本人</w:t>
      </w:r>
      <w:r>
        <w:rPr>
          <w:rFonts w:hint="eastAsia" w:asciiTheme="minorEastAsia" w:hAnsiTheme="minorEastAsia" w:eastAsiaTheme="minorEastAsia" w:cstheme="minorEastAsia"/>
          <w:color w:val="auto"/>
          <w:highlight w:val="none"/>
          <w:lang w:val="zh-CN"/>
        </w:rPr>
        <w:t>_______</w:t>
      </w:r>
      <w:r>
        <w:rPr>
          <w:color w:val="auto"/>
          <w:szCs w:val="20"/>
          <w:highlight w:val="none"/>
        </w:rPr>
        <w:t>（姓名）系</w:t>
      </w:r>
      <w:r>
        <w:rPr>
          <w:rFonts w:hint="eastAsia" w:asciiTheme="minorEastAsia" w:hAnsiTheme="minorEastAsia" w:eastAsiaTheme="minorEastAsia" w:cstheme="minorEastAsia"/>
          <w:color w:val="auto"/>
          <w:highlight w:val="none"/>
          <w:lang w:val="zh-CN"/>
        </w:rPr>
        <w:t>________________</w:t>
      </w:r>
      <w:r>
        <w:rPr>
          <w:rFonts w:hint="eastAsia" w:asciiTheme="minorEastAsia" w:hAnsiTheme="minorEastAsia" w:eastAsiaTheme="minorEastAsia" w:cstheme="minorEastAsia"/>
          <w:color w:val="auto"/>
          <w:szCs w:val="22"/>
          <w:highlight w:val="none"/>
          <w:lang w:val="zh-CN"/>
        </w:rPr>
        <w:t>（</w:t>
      </w:r>
      <w:r>
        <w:rPr>
          <w:rFonts w:hint="eastAsia"/>
          <w:color w:val="auto"/>
          <w:szCs w:val="20"/>
          <w:highlight w:val="none"/>
        </w:rPr>
        <w:t>响应人名称</w:t>
      </w:r>
      <w:r>
        <w:rPr>
          <w:color w:val="auto"/>
          <w:szCs w:val="20"/>
          <w:highlight w:val="none"/>
        </w:rPr>
        <w:t>）的法定代表人（单位负责人），现委托</w:t>
      </w:r>
      <w:r>
        <w:rPr>
          <w:rFonts w:hint="eastAsia" w:asciiTheme="minorEastAsia" w:hAnsiTheme="minorEastAsia" w:eastAsiaTheme="minorEastAsia" w:cstheme="minorEastAsia"/>
          <w:color w:val="auto"/>
          <w:highlight w:val="none"/>
          <w:lang w:val="zh-CN"/>
        </w:rPr>
        <w:t>_______</w:t>
      </w:r>
      <w:r>
        <w:rPr>
          <w:color w:val="auto"/>
          <w:szCs w:val="20"/>
          <w:highlight w:val="none"/>
        </w:rPr>
        <w:t>（姓名）为我方代理人。代理人根据授权，以我方名义签署、澄清确认、提交、撤回、修改</w:t>
      </w:r>
      <w:r>
        <w:rPr>
          <w:rFonts w:hint="eastAsia" w:asciiTheme="minorEastAsia" w:hAnsiTheme="minorEastAsia" w:eastAsiaTheme="minorEastAsia" w:cstheme="minorEastAsia"/>
          <w:color w:val="auto"/>
          <w:highlight w:val="none"/>
          <w:lang w:val="zh-CN"/>
        </w:rPr>
        <w:t>________________</w:t>
      </w:r>
      <w:r>
        <w:rPr>
          <w:color w:val="auto"/>
          <w:szCs w:val="20"/>
          <w:highlight w:val="none"/>
        </w:rPr>
        <w:t>（项目名称）</w:t>
      </w:r>
      <w:r>
        <w:rPr>
          <w:rFonts w:hint="eastAsia"/>
          <w:color w:val="auto"/>
          <w:szCs w:val="20"/>
          <w:highlight w:val="none"/>
        </w:rPr>
        <w:t>响应</w:t>
      </w:r>
      <w:r>
        <w:rPr>
          <w:color w:val="auto"/>
          <w:szCs w:val="20"/>
          <w:highlight w:val="none"/>
        </w:rPr>
        <w:t>文件和处理有关事宜，其法律后果由我方承担。</w:t>
      </w:r>
    </w:p>
    <w:p w14:paraId="3FDB6E7A">
      <w:pPr>
        <w:spacing w:line="360" w:lineRule="auto"/>
        <w:ind w:firstLine="420"/>
        <w:rPr>
          <w:color w:val="auto"/>
          <w:szCs w:val="20"/>
          <w:highlight w:val="none"/>
        </w:rPr>
      </w:pPr>
      <w:r>
        <w:rPr>
          <w:color w:val="auto"/>
          <w:szCs w:val="20"/>
          <w:highlight w:val="none"/>
        </w:rPr>
        <w:t>委托期限：自本授权委托书签署之日起至投标有效期届满之日止。</w:t>
      </w:r>
    </w:p>
    <w:p w14:paraId="1BD9C146">
      <w:pPr>
        <w:spacing w:line="360" w:lineRule="auto"/>
        <w:ind w:firstLine="420"/>
        <w:rPr>
          <w:color w:val="auto"/>
          <w:highlight w:val="none"/>
          <w:lang w:val="zh-CN"/>
        </w:rPr>
      </w:pPr>
      <w:r>
        <w:rPr>
          <w:color w:val="auto"/>
          <w:szCs w:val="20"/>
          <w:highlight w:val="none"/>
        </w:rPr>
        <w:t>代理人无转委托权。</w:t>
      </w:r>
      <w:r>
        <w:rPr>
          <w:color w:val="auto"/>
          <w:szCs w:val="20"/>
          <w:highlight w:val="none"/>
        </w:rPr>
        <w:cr/>
      </w:r>
      <w:r>
        <w:rPr>
          <w:rFonts w:hint="eastAsia"/>
          <w:color w:val="auto"/>
          <w:highlight w:val="none"/>
        </w:rPr>
        <w:t>响应人名称</w:t>
      </w:r>
      <w:r>
        <w:rPr>
          <w:color w:val="auto"/>
          <w:highlight w:val="none"/>
        </w:rPr>
        <w:t>（加盖公章）</w:t>
      </w:r>
      <w:r>
        <w:rPr>
          <w:color w:val="auto"/>
          <w:highlight w:val="none"/>
          <w:lang w:val="zh-CN"/>
        </w:rPr>
        <w:t>：</w:t>
      </w:r>
      <w:r>
        <w:rPr>
          <w:rFonts w:hint="eastAsia" w:asciiTheme="minorEastAsia" w:hAnsiTheme="minorEastAsia" w:eastAsiaTheme="minorEastAsia" w:cstheme="minorEastAsia"/>
          <w:color w:val="auto"/>
          <w:highlight w:val="none"/>
          <w:lang w:val="zh-CN"/>
        </w:rPr>
        <w:t>________________</w:t>
      </w:r>
    </w:p>
    <w:p w14:paraId="276BC0C9">
      <w:pPr>
        <w:spacing w:line="360" w:lineRule="auto"/>
        <w:rPr>
          <w:color w:val="auto"/>
          <w:szCs w:val="20"/>
          <w:highlight w:val="none"/>
        </w:rPr>
      </w:pPr>
      <w:r>
        <w:rPr>
          <w:color w:val="auto"/>
          <w:szCs w:val="20"/>
          <w:highlight w:val="none"/>
        </w:rPr>
        <w:t>法定代表人（单位负责人）（签字或签章）：</w:t>
      </w:r>
      <w:r>
        <w:rPr>
          <w:rFonts w:hint="eastAsia" w:asciiTheme="minorEastAsia" w:hAnsiTheme="minorEastAsia" w:eastAsiaTheme="minorEastAsia" w:cstheme="minorEastAsia"/>
          <w:color w:val="auto"/>
          <w:highlight w:val="none"/>
          <w:lang w:val="zh-CN"/>
        </w:rPr>
        <w:t>________________</w:t>
      </w:r>
    </w:p>
    <w:p w14:paraId="41D64779">
      <w:pPr>
        <w:autoSpaceDE w:val="0"/>
        <w:autoSpaceDN w:val="0"/>
        <w:snapToGrid w:val="0"/>
        <w:spacing w:line="360" w:lineRule="auto"/>
        <w:rPr>
          <w:color w:val="auto"/>
          <w:highlight w:val="none"/>
          <w:lang w:val="zh-CN"/>
        </w:rPr>
      </w:pPr>
      <w:r>
        <w:rPr>
          <w:color w:val="auto"/>
          <w:highlight w:val="none"/>
        </w:rPr>
        <w:t>委托代理人（签字或签章）：</w:t>
      </w:r>
      <w:r>
        <w:rPr>
          <w:rFonts w:hint="eastAsia" w:asciiTheme="minorEastAsia" w:hAnsiTheme="minorEastAsia" w:eastAsiaTheme="minorEastAsia" w:cstheme="minorEastAsia"/>
          <w:color w:val="auto"/>
          <w:highlight w:val="none"/>
          <w:lang w:val="zh-CN"/>
        </w:rPr>
        <w:t>________________</w:t>
      </w:r>
    </w:p>
    <w:p w14:paraId="58FF0AA2">
      <w:pPr>
        <w:autoSpaceDE w:val="0"/>
        <w:autoSpaceDN w:val="0"/>
        <w:snapToGrid w:val="0"/>
        <w:spacing w:line="360" w:lineRule="auto"/>
        <w:rPr>
          <w:color w:val="auto"/>
          <w:highlight w:val="none"/>
          <w:lang w:val="zh-CN"/>
        </w:rPr>
      </w:pPr>
      <w:r>
        <w:rPr>
          <w:rFonts w:hint="eastAsia"/>
          <w:color w:val="auto"/>
          <w:highlight w:val="none"/>
        </w:rPr>
        <w:t>联系电话：</w:t>
      </w:r>
      <w:r>
        <w:rPr>
          <w:rFonts w:hint="eastAsia" w:asciiTheme="minorEastAsia" w:hAnsiTheme="minorEastAsia" w:eastAsiaTheme="minorEastAsia" w:cstheme="minorEastAsia"/>
          <w:color w:val="auto"/>
          <w:highlight w:val="none"/>
          <w:lang w:val="zh-CN"/>
        </w:rPr>
        <w:t xml:space="preserve">________________  </w:t>
      </w:r>
      <w:r>
        <w:rPr>
          <w:color w:val="auto"/>
          <w:highlight w:val="none"/>
          <w:lang w:val="zh-CN"/>
        </w:rPr>
        <w:t xml:space="preserve">                  </w:t>
      </w:r>
    </w:p>
    <w:p w14:paraId="7A642799">
      <w:pPr>
        <w:autoSpaceDE w:val="0"/>
        <w:autoSpaceDN w:val="0"/>
        <w:snapToGrid w:val="0"/>
        <w:spacing w:line="360" w:lineRule="auto"/>
        <w:rPr>
          <w:color w:val="auto"/>
          <w:highlight w:val="none"/>
          <w:lang w:val="zh-CN"/>
        </w:rPr>
      </w:pPr>
      <w:r>
        <w:rPr>
          <w:color w:val="auto"/>
          <w:highlight w:val="none"/>
        </w:rPr>
        <w:t>日期：</w:t>
      </w:r>
      <w:r>
        <w:rPr>
          <w:rFonts w:hint="eastAsia" w:asciiTheme="minorEastAsia" w:hAnsiTheme="minorEastAsia" w:eastAsiaTheme="minorEastAsia" w:cstheme="minorEastAsia"/>
          <w:color w:val="auto"/>
          <w:highlight w:val="none"/>
          <w:lang w:val="zh-CN"/>
        </w:rPr>
        <w:t>_____</w:t>
      </w:r>
      <w:r>
        <w:rPr>
          <w:color w:val="auto"/>
          <w:highlight w:val="none"/>
        </w:rPr>
        <w:t>年</w:t>
      </w:r>
      <w:r>
        <w:rPr>
          <w:rFonts w:hint="eastAsia" w:asciiTheme="minorEastAsia" w:hAnsiTheme="minorEastAsia" w:eastAsiaTheme="minorEastAsia" w:cstheme="minorEastAsia"/>
          <w:color w:val="auto"/>
          <w:highlight w:val="none"/>
          <w:lang w:val="zh-CN"/>
        </w:rPr>
        <w:t>______</w:t>
      </w:r>
      <w:r>
        <w:rPr>
          <w:color w:val="auto"/>
          <w:highlight w:val="none"/>
        </w:rPr>
        <w:t>月</w:t>
      </w:r>
      <w:r>
        <w:rPr>
          <w:rFonts w:hint="eastAsia" w:asciiTheme="minorEastAsia" w:hAnsiTheme="minorEastAsia" w:eastAsiaTheme="minorEastAsia" w:cstheme="minorEastAsia"/>
          <w:color w:val="auto"/>
          <w:highlight w:val="none"/>
          <w:lang w:val="zh-CN"/>
        </w:rPr>
        <w:t>______</w:t>
      </w:r>
      <w:r>
        <w:rPr>
          <w:color w:val="auto"/>
          <w:highlight w:val="none"/>
        </w:rPr>
        <w:t>日</w:t>
      </w:r>
    </w:p>
    <w:p w14:paraId="6607A5D5">
      <w:pPr>
        <w:tabs>
          <w:tab w:val="left" w:pos="5580"/>
        </w:tabs>
        <w:spacing w:line="360" w:lineRule="auto"/>
        <w:rPr>
          <w:color w:val="auto"/>
          <w:szCs w:val="20"/>
          <w:highlight w:val="none"/>
        </w:rPr>
      </w:pPr>
      <w:r>
        <w:rPr>
          <w:rFonts w:hint="eastAsia"/>
          <w:color w:val="auto"/>
          <w:szCs w:val="20"/>
          <w:highlight w:val="none"/>
        </w:rPr>
        <w:t>附：</w:t>
      </w:r>
      <w:r>
        <w:rPr>
          <w:color w:val="auto"/>
          <w:szCs w:val="20"/>
          <w:highlight w:val="none"/>
        </w:rPr>
        <w:t>法定代表人及委托代理人身份证明文件电子件：</w:t>
      </w:r>
    </w:p>
    <w:tbl>
      <w:tblPr>
        <w:tblStyle w:val="22"/>
        <w:tblW w:w="8296"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96"/>
      </w:tblGrid>
      <w:tr w14:paraId="40578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2" w:hRule="atLeast"/>
        </w:trPr>
        <w:tc>
          <w:tcPr>
            <w:tcW w:w="8296" w:type="dxa"/>
          </w:tcPr>
          <w:p w14:paraId="0A8309F6">
            <w:pPr>
              <w:tabs>
                <w:tab w:val="left" w:pos="5580"/>
              </w:tabs>
              <w:spacing w:line="360" w:lineRule="auto"/>
              <w:rPr>
                <w:color w:val="auto"/>
                <w:szCs w:val="20"/>
                <w:highlight w:val="none"/>
              </w:rPr>
            </w:pPr>
          </w:p>
        </w:tc>
      </w:tr>
    </w:tbl>
    <w:p w14:paraId="5FD7E6FC">
      <w:pPr>
        <w:tabs>
          <w:tab w:val="left" w:pos="5580"/>
        </w:tabs>
        <w:spacing w:line="360" w:lineRule="auto"/>
        <w:rPr>
          <w:color w:val="auto"/>
          <w:szCs w:val="20"/>
          <w:highlight w:val="none"/>
        </w:rPr>
      </w:pPr>
      <w:r>
        <w:rPr>
          <w:color w:val="auto"/>
          <w:szCs w:val="20"/>
          <w:highlight w:val="none"/>
        </w:rPr>
        <w:t>说明：</w:t>
      </w:r>
    </w:p>
    <w:p w14:paraId="7D4F246E">
      <w:pPr>
        <w:tabs>
          <w:tab w:val="left" w:pos="5580"/>
        </w:tabs>
        <w:spacing w:line="360" w:lineRule="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1.若供应商为事业单位或其他组织或分支机构，则法定代表人（单位负责人）处的签署人可为单位负责人。</w:t>
      </w:r>
    </w:p>
    <w:p w14:paraId="426C1E48">
      <w:pPr>
        <w:tabs>
          <w:tab w:val="left" w:pos="5580"/>
        </w:tabs>
        <w:spacing w:line="360" w:lineRule="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2.若投标文件中签字之处均为法定代表人（单位负责人）本人签署，则可不提供本《授权委托书》，但须提供《法定代表人（单位负责人）身份证明》；否则，不需要提供《法定代表人（单位负责人）身份证明》。</w:t>
      </w:r>
    </w:p>
    <w:p w14:paraId="5D787083">
      <w:pPr>
        <w:tabs>
          <w:tab w:val="left" w:pos="5580"/>
        </w:tabs>
        <w:spacing w:line="360" w:lineRule="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3.供应商为自然人的情形，可不提供本《授权委托书》。</w:t>
      </w:r>
    </w:p>
    <w:p w14:paraId="3DEE7E24">
      <w:pPr>
        <w:tabs>
          <w:tab w:val="left" w:pos="5580"/>
        </w:tabs>
        <w:spacing w:line="360" w:lineRule="auto"/>
        <w:rPr>
          <w:rFonts w:hint="eastAsia" w:ascii="宋体" w:hAnsi="宋体" w:eastAsia="宋体" w:cs="宋体"/>
          <w:color w:val="auto"/>
          <w:sz w:val="30"/>
          <w:szCs w:val="30"/>
          <w:highlight w:val="none"/>
        </w:rPr>
      </w:pPr>
      <w:r>
        <w:rPr>
          <w:rFonts w:hint="eastAsia" w:ascii="宋体" w:hAnsi="宋体" w:eastAsia="宋体" w:cs="宋体"/>
          <w:color w:val="auto"/>
          <w:szCs w:val="20"/>
          <w:highlight w:val="none"/>
        </w:rPr>
        <w:t>4.供应商应随本《授权委托书》同时提供法定代表人（单位负责人）及委托代理人的有效的身份证、护照等身份证明文件电子件。提供身份证的，应同时提供身份证</w:t>
      </w:r>
      <w:r>
        <w:rPr>
          <w:rFonts w:hint="eastAsia" w:ascii="宋体" w:hAnsi="宋体" w:eastAsia="宋体" w:cs="宋体"/>
          <w:b w:val="0"/>
          <w:color w:val="auto"/>
          <w:szCs w:val="20"/>
          <w:highlight w:val="none"/>
        </w:rPr>
        <w:t>双面</w:t>
      </w:r>
      <w:r>
        <w:rPr>
          <w:rFonts w:hint="eastAsia" w:ascii="宋体" w:hAnsi="宋体" w:eastAsia="宋体" w:cs="宋体"/>
          <w:color w:val="auto"/>
          <w:szCs w:val="20"/>
          <w:highlight w:val="none"/>
        </w:rPr>
        <w:t>电子件。</w:t>
      </w:r>
      <w:r>
        <w:rPr>
          <w:rFonts w:hint="eastAsia" w:ascii="宋体" w:hAnsi="宋体" w:eastAsia="宋体" w:cs="宋体"/>
          <w:color w:val="auto"/>
          <w:sz w:val="30"/>
          <w:szCs w:val="30"/>
          <w:highlight w:val="none"/>
        </w:rPr>
        <w:br w:type="page"/>
      </w:r>
    </w:p>
    <w:p w14:paraId="35DE123B">
      <w:pPr>
        <w:spacing w:line="360" w:lineRule="exact"/>
        <w:jc w:val="center"/>
        <w:rPr>
          <w:b/>
          <w:color w:val="auto"/>
          <w:sz w:val="36"/>
          <w:szCs w:val="36"/>
          <w:highlight w:val="none"/>
        </w:rPr>
      </w:pPr>
    </w:p>
    <w:p w14:paraId="304736E7">
      <w:pPr>
        <w:spacing w:line="360" w:lineRule="exact"/>
        <w:jc w:val="center"/>
        <w:rPr>
          <w:b/>
          <w:color w:val="auto"/>
          <w:sz w:val="36"/>
          <w:szCs w:val="36"/>
          <w:highlight w:val="none"/>
        </w:rPr>
      </w:pPr>
      <w:r>
        <w:rPr>
          <w:b/>
          <w:color w:val="auto"/>
          <w:sz w:val="36"/>
          <w:szCs w:val="36"/>
          <w:highlight w:val="none"/>
        </w:rPr>
        <w:t>法定代表人（单位负责人）身份证明</w:t>
      </w:r>
    </w:p>
    <w:p w14:paraId="5D125217">
      <w:pPr>
        <w:kinsoku w:val="0"/>
        <w:overflowPunct w:val="0"/>
        <w:spacing w:line="200" w:lineRule="exact"/>
        <w:rPr>
          <w:color w:val="auto"/>
          <w:sz w:val="20"/>
          <w:szCs w:val="20"/>
          <w:highlight w:val="none"/>
        </w:rPr>
      </w:pPr>
    </w:p>
    <w:p w14:paraId="2696B2F1">
      <w:pPr>
        <w:tabs>
          <w:tab w:val="left" w:pos="5580"/>
        </w:tabs>
        <w:spacing w:line="360" w:lineRule="auto"/>
        <w:rPr>
          <w:color w:val="auto"/>
          <w:highlight w:val="none"/>
        </w:rPr>
      </w:pPr>
    </w:p>
    <w:p w14:paraId="4B634A2F">
      <w:pPr>
        <w:tabs>
          <w:tab w:val="left" w:pos="5580"/>
        </w:tabs>
        <w:spacing w:line="360" w:lineRule="auto"/>
        <w:rPr>
          <w:color w:val="auto"/>
          <w:highlight w:val="none"/>
        </w:rPr>
      </w:pPr>
      <w:r>
        <w:rPr>
          <w:color w:val="auto"/>
          <w:highlight w:val="none"/>
        </w:rPr>
        <w:t>致：</w:t>
      </w:r>
      <w:r>
        <w:rPr>
          <w:color w:val="auto"/>
          <w:highlight w:val="none"/>
          <w:u w:val="single"/>
        </w:rPr>
        <w:t>（采购人或采购代理机构）</w:t>
      </w:r>
    </w:p>
    <w:p w14:paraId="0E5036E6">
      <w:pPr>
        <w:pStyle w:val="9"/>
        <w:tabs>
          <w:tab w:val="left" w:pos="567"/>
          <w:tab w:val="left" w:pos="2412"/>
          <w:tab w:val="left" w:pos="3883"/>
          <w:tab w:val="left" w:pos="5352"/>
          <w:tab w:val="left" w:pos="6821"/>
        </w:tabs>
        <w:kinsoku w:val="0"/>
        <w:overflowPunct w:val="0"/>
        <w:spacing w:line="335" w:lineRule="exact"/>
        <w:ind w:firstLine="480" w:firstLineChars="200"/>
        <w:rPr>
          <w:color w:val="auto"/>
          <w:highlight w:val="none"/>
        </w:rPr>
      </w:pPr>
      <w:r>
        <w:rPr>
          <w:color w:val="auto"/>
          <w:highlight w:val="none"/>
        </w:rPr>
        <w:t>兹证明，</w:t>
      </w:r>
    </w:p>
    <w:p w14:paraId="1AA128F7">
      <w:pPr>
        <w:pStyle w:val="9"/>
        <w:tabs>
          <w:tab w:val="left" w:pos="567"/>
          <w:tab w:val="left" w:pos="1690"/>
          <w:tab w:val="left" w:pos="3400"/>
          <w:tab w:val="left" w:pos="5110"/>
          <w:tab w:val="left" w:pos="6821"/>
        </w:tabs>
        <w:kinsoku w:val="0"/>
        <w:overflowPunct w:val="0"/>
        <w:spacing w:line="335" w:lineRule="exact"/>
        <w:rPr>
          <w:color w:val="auto"/>
          <w:highlight w:val="none"/>
        </w:rPr>
      </w:pPr>
      <w:r>
        <w:rPr>
          <w:color w:val="auto"/>
          <w:highlight w:val="none"/>
        </w:rPr>
        <w:t>姓名：</w:t>
      </w:r>
      <w:r>
        <w:rPr>
          <w:rFonts w:hint="eastAsia" w:asciiTheme="minorEastAsia" w:hAnsiTheme="minorEastAsia" w:eastAsiaTheme="minorEastAsia" w:cstheme="minorEastAsia"/>
          <w:color w:val="auto"/>
          <w:highlight w:val="none"/>
          <w:u w:val="single"/>
        </w:rPr>
        <w:t>_____</w:t>
      </w:r>
      <w:r>
        <w:rPr>
          <w:color w:val="auto"/>
          <w:highlight w:val="none"/>
        </w:rPr>
        <w:t>性别：</w:t>
      </w:r>
      <w:r>
        <w:rPr>
          <w:rFonts w:hint="eastAsia" w:asciiTheme="minorEastAsia" w:hAnsiTheme="minorEastAsia" w:eastAsiaTheme="minorEastAsia" w:cstheme="minorEastAsia"/>
          <w:color w:val="auto"/>
          <w:highlight w:val="none"/>
          <w:u w:val="single"/>
        </w:rPr>
        <w:t>_____</w:t>
      </w:r>
      <w:r>
        <w:rPr>
          <w:color w:val="auto"/>
          <w:highlight w:val="none"/>
        </w:rPr>
        <w:t>年龄：</w:t>
      </w:r>
      <w:r>
        <w:rPr>
          <w:rFonts w:hint="eastAsia" w:asciiTheme="minorEastAsia" w:hAnsiTheme="minorEastAsia" w:eastAsiaTheme="minorEastAsia" w:cstheme="minorEastAsia"/>
          <w:color w:val="auto"/>
          <w:highlight w:val="none"/>
          <w:u w:val="single"/>
        </w:rPr>
        <w:t>_____</w:t>
      </w:r>
      <w:r>
        <w:rPr>
          <w:color w:val="auto"/>
          <w:highlight w:val="none"/>
        </w:rPr>
        <w:t>职务：</w:t>
      </w:r>
      <w:r>
        <w:rPr>
          <w:rFonts w:hint="eastAsia" w:asciiTheme="minorEastAsia" w:hAnsiTheme="minorEastAsia" w:eastAsiaTheme="minorEastAsia" w:cstheme="minorEastAsia"/>
          <w:color w:val="auto"/>
          <w:highlight w:val="none"/>
          <w:u w:val="single"/>
        </w:rPr>
        <w:t>_____</w:t>
      </w:r>
      <w:r>
        <w:rPr>
          <w:rFonts w:hint="eastAsia"/>
          <w:color w:val="auto"/>
          <w:highlight w:val="none"/>
        </w:rPr>
        <w:t>联系电话：</w:t>
      </w:r>
      <w:r>
        <w:rPr>
          <w:rFonts w:hint="eastAsia" w:asciiTheme="minorEastAsia" w:hAnsiTheme="minorEastAsia" w:eastAsiaTheme="minorEastAsia" w:cstheme="minorEastAsia"/>
          <w:color w:val="auto"/>
          <w:highlight w:val="none"/>
          <w:u w:val="single"/>
          <w:lang w:val="zh-CN"/>
        </w:rPr>
        <w:t>________________</w:t>
      </w:r>
      <w:r>
        <w:rPr>
          <w:rFonts w:hint="eastAsia" w:asciiTheme="minorEastAsia" w:hAnsiTheme="minorEastAsia" w:eastAsiaTheme="minorEastAsia" w:cstheme="minorEastAsia"/>
          <w:color w:val="auto"/>
          <w:highlight w:val="none"/>
          <w:lang w:val="zh-CN"/>
        </w:rPr>
        <w:t xml:space="preserve"> </w:t>
      </w:r>
      <w:r>
        <w:rPr>
          <w:color w:val="auto"/>
          <w:highlight w:val="none"/>
          <w:lang w:val="zh-CN"/>
        </w:rPr>
        <w:t xml:space="preserve"> </w:t>
      </w:r>
    </w:p>
    <w:p w14:paraId="213A9510">
      <w:pPr>
        <w:pStyle w:val="9"/>
        <w:tabs>
          <w:tab w:val="left" w:pos="567"/>
          <w:tab w:val="left" w:pos="2412"/>
          <w:tab w:val="left" w:pos="3883"/>
          <w:tab w:val="left" w:pos="5352"/>
          <w:tab w:val="left" w:pos="6821"/>
        </w:tabs>
        <w:kinsoku w:val="0"/>
        <w:overflowPunct w:val="0"/>
        <w:spacing w:line="335" w:lineRule="exact"/>
        <w:rPr>
          <w:color w:val="auto"/>
          <w:highlight w:val="none"/>
        </w:rPr>
      </w:pPr>
    </w:p>
    <w:p w14:paraId="53210DC6">
      <w:pPr>
        <w:pStyle w:val="9"/>
        <w:tabs>
          <w:tab w:val="left" w:pos="2250"/>
          <w:tab w:val="left" w:pos="2412"/>
          <w:tab w:val="left" w:pos="3883"/>
          <w:tab w:val="left" w:pos="5352"/>
          <w:tab w:val="left" w:pos="6821"/>
        </w:tabs>
        <w:kinsoku w:val="0"/>
        <w:overflowPunct w:val="0"/>
        <w:spacing w:line="335" w:lineRule="exact"/>
        <w:rPr>
          <w:color w:val="auto"/>
          <w:highlight w:val="none"/>
        </w:rPr>
      </w:pPr>
      <w:r>
        <w:rPr>
          <w:color w:val="auto"/>
          <w:highlight w:val="none"/>
        </w:rPr>
        <w:t>系</w:t>
      </w:r>
      <w:r>
        <w:rPr>
          <w:rFonts w:hint="eastAsia" w:asciiTheme="minorEastAsia" w:hAnsiTheme="minorEastAsia" w:eastAsiaTheme="minorEastAsia" w:cstheme="minorEastAsia"/>
          <w:color w:val="auto"/>
          <w:highlight w:val="none"/>
          <w:u w:val="single"/>
        </w:rPr>
        <w:tab/>
      </w:r>
      <w:r>
        <w:rPr>
          <w:color w:val="auto"/>
          <w:highlight w:val="none"/>
        </w:rPr>
        <w:t>（</w:t>
      </w:r>
      <w:r>
        <w:rPr>
          <w:rFonts w:hint="eastAsia"/>
          <w:color w:val="auto"/>
          <w:highlight w:val="none"/>
        </w:rPr>
        <w:t>响应人名称</w:t>
      </w:r>
      <w:r>
        <w:rPr>
          <w:color w:val="auto"/>
          <w:highlight w:val="none"/>
        </w:rPr>
        <w:t>）的法定代表人（单位负责人）。</w:t>
      </w:r>
    </w:p>
    <w:p w14:paraId="5B788B06">
      <w:pPr>
        <w:pStyle w:val="9"/>
        <w:tabs>
          <w:tab w:val="left" w:pos="567"/>
          <w:tab w:val="left" w:pos="2412"/>
          <w:tab w:val="left" w:pos="3883"/>
          <w:tab w:val="left" w:pos="5352"/>
          <w:tab w:val="left" w:pos="6821"/>
        </w:tabs>
        <w:kinsoku w:val="0"/>
        <w:overflowPunct w:val="0"/>
        <w:spacing w:line="335" w:lineRule="exact"/>
        <w:rPr>
          <w:color w:val="auto"/>
          <w:highlight w:val="none"/>
        </w:rPr>
      </w:pPr>
    </w:p>
    <w:p w14:paraId="6BDD3589">
      <w:pPr>
        <w:pStyle w:val="9"/>
        <w:tabs>
          <w:tab w:val="left" w:pos="567"/>
        </w:tabs>
        <w:kinsoku w:val="0"/>
        <w:overflowPunct w:val="0"/>
        <w:spacing w:line="583" w:lineRule="auto"/>
        <w:ind w:right="-46"/>
        <w:rPr>
          <w:color w:val="auto"/>
          <w:szCs w:val="20"/>
          <w:highlight w:val="none"/>
        </w:rPr>
      </w:pPr>
      <w:r>
        <w:rPr>
          <w:rFonts w:hint="eastAsia"/>
          <w:color w:val="auto"/>
          <w:szCs w:val="20"/>
          <w:highlight w:val="none"/>
        </w:rPr>
        <w:t>附：</w:t>
      </w:r>
      <w:r>
        <w:rPr>
          <w:color w:val="auto"/>
          <w:szCs w:val="20"/>
          <w:highlight w:val="none"/>
        </w:rPr>
        <w:t>法定代表人</w:t>
      </w:r>
      <w:r>
        <w:rPr>
          <w:rFonts w:hint="eastAsia"/>
          <w:color w:val="auto"/>
          <w:szCs w:val="20"/>
          <w:highlight w:val="none"/>
        </w:rPr>
        <w:t>（单位负责人）</w:t>
      </w:r>
      <w:r>
        <w:rPr>
          <w:color w:val="auto"/>
          <w:szCs w:val="20"/>
          <w:highlight w:val="none"/>
        </w:rPr>
        <w:t>身份证、护照等身份证明文件电子件：</w:t>
      </w:r>
    </w:p>
    <w:tbl>
      <w:tblPr>
        <w:tblStyle w:val="22"/>
        <w:tblW w:w="9062"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62"/>
      </w:tblGrid>
      <w:tr w14:paraId="448EE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7" w:hRule="atLeast"/>
        </w:trPr>
        <w:tc>
          <w:tcPr>
            <w:tcW w:w="9062" w:type="dxa"/>
          </w:tcPr>
          <w:p w14:paraId="50F5C68E">
            <w:pPr>
              <w:pStyle w:val="9"/>
              <w:tabs>
                <w:tab w:val="left" w:pos="567"/>
              </w:tabs>
              <w:kinsoku w:val="0"/>
              <w:overflowPunct w:val="0"/>
              <w:spacing w:line="583" w:lineRule="auto"/>
              <w:ind w:right="-46"/>
              <w:rPr>
                <w:color w:val="auto"/>
                <w:szCs w:val="20"/>
                <w:highlight w:val="none"/>
              </w:rPr>
            </w:pPr>
          </w:p>
        </w:tc>
      </w:tr>
    </w:tbl>
    <w:p w14:paraId="243A3962">
      <w:pPr>
        <w:pStyle w:val="9"/>
        <w:tabs>
          <w:tab w:val="left" w:pos="567"/>
        </w:tabs>
        <w:kinsoku w:val="0"/>
        <w:overflowPunct w:val="0"/>
        <w:spacing w:line="583" w:lineRule="auto"/>
        <w:ind w:right="4305"/>
        <w:rPr>
          <w:color w:val="auto"/>
          <w:spacing w:val="-3"/>
          <w:highlight w:val="none"/>
        </w:rPr>
      </w:pPr>
    </w:p>
    <w:p w14:paraId="543C0614">
      <w:pPr>
        <w:autoSpaceDE w:val="0"/>
        <w:autoSpaceDN w:val="0"/>
        <w:snapToGrid w:val="0"/>
        <w:spacing w:line="360" w:lineRule="auto"/>
        <w:rPr>
          <w:rFonts w:hint="eastAsia" w:asciiTheme="minorEastAsia" w:hAnsiTheme="minorEastAsia" w:eastAsiaTheme="minorEastAsia" w:cstheme="minorEastAsia"/>
          <w:color w:val="auto"/>
          <w:highlight w:val="none"/>
          <w:lang w:val="zh-CN"/>
        </w:rPr>
      </w:pPr>
      <w:r>
        <w:rPr>
          <w:rFonts w:hint="eastAsia"/>
          <w:color w:val="auto"/>
          <w:highlight w:val="none"/>
        </w:rPr>
        <w:t>响应人名称</w:t>
      </w:r>
      <w:r>
        <w:rPr>
          <w:color w:val="auto"/>
          <w:highlight w:val="none"/>
        </w:rPr>
        <w:t>（加盖公章）</w:t>
      </w:r>
      <w:r>
        <w:rPr>
          <w:color w:val="auto"/>
          <w:highlight w:val="none"/>
          <w:lang w:val="zh-CN"/>
        </w:rPr>
        <w:t>：</w:t>
      </w:r>
      <w:r>
        <w:rPr>
          <w:rFonts w:hint="eastAsia" w:asciiTheme="minorEastAsia" w:hAnsiTheme="minorEastAsia" w:eastAsiaTheme="minorEastAsia" w:cstheme="minorEastAsia"/>
          <w:color w:val="auto"/>
          <w:highlight w:val="none"/>
          <w:lang w:val="zh-CN"/>
        </w:rPr>
        <w:t>________________</w:t>
      </w:r>
    </w:p>
    <w:p w14:paraId="301C0A9A">
      <w:pPr>
        <w:pStyle w:val="9"/>
        <w:tabs>
          <w:tab w:val="left" w:pos="567"/>
        </w:tabs>
        <w:kinsoku w:val="0"/>
        <w:overflowPunct w:val="0"/>
        <w:spacing w:line="583" w:lineRule="auto"/>
        <w:ind w:right="95"/>
        <w:rPr>
          <w:rFonts w:hint="eastAsia" w:eastAsia="宋体"/>
          <w:color w:val="auto"/>
          <w:spacing w:val="-3"/>
          <w:highlight w:val="none"/>
          <w:lang w:val="en-US" w:eastAsia="zh-CN"/>
        </w:rPr>
      </w:pPr>
      <w:r>
        <w:rPr>
          <w:color w:val="auto"/>
          <w:spacing w:val="-3"/>
          <w:highlight w:val="none"/>
        </w:rPr>
        <w:t>法定代表人（</w:t>
      </w:r>
      <w:r>
        <w:rPr>
          <w:color w:val="auto"/>
          <w:highlight w:val="none"/>
        </w:rPr>
        <w:t>单位负责人</w:t>
      </w:r>
      <w:r>
        <w:rPr>
          <w:color w:val="auto"/>
          <w:spacing w:val="-3"/>
          <w:highlight w:val="none"/>
        </w:rPr>
        <w:t>）（签字或签章）：_______</w:t>
      </w:r>
      <w:r>
        <w:rPr>
          <w:rFonts w:hint="eastAsia"/>
          <w:color w:val="auto"/>
          <w:spacing w:val="-3"/>
          <w:highlight w:val="none"/>
          <w:lang w:val="en-US" w:eastAsia="zh-CN"/>
        </w:rPr>
        <w:t xml:space="preserve"> </w:t>
      </w:r>
    </w:p>
    <w:p w14:paraId="33D2B120">
      <w:pPr>
        <w:widowControl/>
        <w:autoSpaceDE w:val="0"/>
        <w:autoSpaceDN w:val="0"/>
        <w:snapToGrid w:val="0"/>
        <w:spacing w:line="360" w:lineRule="auto"/>
        <w:rPr>
          <w:color w:val="auto"/>
          <w:highlight w:val="none"/>
        </w:rPr>
      </w:pPr>
    </w:p>
    <w:p w14:paraId="170BE5A7">
      <w:pPr>
        <w:widowControl/>
        <w:autoSpaceDE w:val="0"/>
        <w:autoSpaceDN w:val="0"/>
        <w:snapToGrid w:val="0"/>
        <w:spacing w:line="360" w:lineRule="auto"/>
        <w:rPr>
          <w:color w:val="auto"/>
          <w:szCs w:val="20"/>
          <w:highlight w:val="none"/>
        </w:rPr>
        <w:sectPr>
          <w:pgSz w:w="11907" w:h="16840"/>
          <w:pgMar w:top="1417" w:right="1134" w:bottom="1417" w:left="1701" w:header="851" w:footer="850" w:gutter="0"/>
          <w:cols w:space="720" w:num="1"/>
          <w:docGrid w:linePitch="462" w:charSpace="0"/>
        </w:sectPr>
      </w:pPr>
      <w:r>
        <w:rPr>
          <w:color w:val="auto"/>
          <w:highlight w:val="none"/>
        </w:rPr>
        <w:t>日期：</w:t>
      </w:r>
      <w:r>
        <w:rPr>
          <w:rFonts w:hint="eastAsia" w:asciiTheme="minorEastAsia" w:hAnsiTheme="minorEastAsia" w:eastAsiaTheme="minorEastAsia" w:cstheme="minorEastAsia"/>
          <w:color w:val="auto"/>
          <w:highlight w:val="none"/>
          <w:lang w:val="zh-CN"/>
        </w:rPr>
        <w:t>_____</w:t>
      </w:r>
      <w:r>
        <w:rPr>
          <w:color w:val="auto"/>
          <w:highlight w:val="none"/>
        </w:rPr>
        <w:t>年</w:t>
      </w:r>
      <w:r>
        <w:rPr>
          <w:rFonts w:hint="eastAsia" w:asciiTheme="minorEastAsia" w:hAnsiTheme="minorEastAsia" w:eastAsiaTheme="minorEastAsia" w:cstheme="minorEastAsia"/>
          <w:color w:val="auto"/>
          <w:highlight w:val="none"/>
          <w:lang w:val="zh-CN"/>
        </w:rPr>
        <w:t>______</w:t>
      </w:r>
      <w:r>
        <w:rPr>
          <w:color w:val="auto"/>
          <w:highlight w:val="none"/>
        </w:rPr>
        <w:t>月</w:t>
      </w:r>
      <w:r>
        <w:rPr>
          <w:rFonts w:hint="eastAsia" w:asciiTheme="minorEastAsia" w:hAnsiTheme="minorEastAsia" w:eastAsiaTheme="minorEastAsia" w:cstheme="minorEastAsia"/>
          <w:color w:val="auto"/>
          <w:highlight w:val="none"/>
          <w:lang w:val="zh-CN"/>
        </w:rPr>
        <w:t>______</w:t>
      </w:r>
      <w:r>
        <w:rPr>
          <w:color w:val="auto"/>
          <w:highlight w:val="none"/>
        </w:rPr>
        <w:t>日</w:t>
      </w:r>
    </w:p>
    <w:p w14:paraId="0B389371">
      <w:pPr>
        <w:pStyle w:val="67"/>
        <w:numPr>
          <w:ilvl w:val="1"/>
          <w:numId w:val="0"/>
        </w:numPr>
        <w:tabs>
          <w:tab w:val="left" w:pos="660"/>
        </w:tabs>
        <w:snapToGrid w:val="0"/>
        <w:spacing w:before="0" w:line="400" w:lineRule="exact"/>
        <w:ind w:leftChars="0"/>
        <w:outlineLvl w:val="9"/>
        <w:rPr>
          <w:rFonts w:cs="微软雅黑"/>
          <w:color w:val="auto"/>
          <w:sz w:val="22"/>
          <w:szCs w:val="22"/>
          <w:highlight w:val="none"/>
        </w:rPr>
      </w:pPr>
      <w:r>
        <w:rPr>
          <w:rFonts w:hint="eastAsia"/>
          <w:color w:val="auto"/>
          <w:kern w:val="0"/>
          <w:sz w:val="22"/>
          <w:szCs w:val="22"/>
          <w:highlight w:val="none"/>
          <w:lang w:val="en-US" w:eastAsia="zh-CN"/>
        </w:rPr>
        <w:t>二、</w:t>
      </w:r>
      <w:r>
        <w:rPr>
          <w:rFonts w:hAnsi="宋体"/>
          <w:color w:val="auto"/>
          <w:kern w:val="0"/>
          <w:sz w:val="22"/>
          <w:szCs w:val="22"/>
          <w:highlight w:val="none"/>
        </w:rPr>
        <w:t>*</w:t>
      </w:r>
      <w:r>
        <w:rPr>
          <w:rFonts w:hint="eastAsia" w:cs="微软雅黑"/>
          <w:color w:val="auto"/>
          <w:sz w:val="22"/>
          <w:szCs w:val="22"/>
          <w:highlight w:val="none"/>
        </w:rPr>
        <w:t>响应函</w:t>
      </w:r>
      <w:r>
        <w:rPr>
          <w:rFonts w:hint="eastAsia"/>
          <w:color w:val="auto"/>
          <w:sz w:val="22"/>
          <w:szCs w:val="22"/>
          <w:highlight w:val="none"/>
          <w:lang w:eastAsia="zh-CN"/>
        </w:rPr>
        <w:t>（</w:t>
      </w:r>
      <w:r>
        <w:rPr>
          <w:rFonts w:hint="eastAsia"/>
          <w:color w:val="auto"/>
          <w:sz w:val="22"/>
          <w:szCs w:val="22"/>
          <w:highlight w:val="none"/>
          <w:lang w:val="en-US" w:eastAsia="zh-CN"/>
        </w:rPr>
        <w:t>具体说明与要求详见“响应人须知前附表”</w:t>
      </w:r>
      <w:r>
        <w:rPr>
          <w:rFonts w:hint="eastAsia"/>
          <w:color w:val="auto"/>
          <w:sz w:val="22"/>
          <w:szCs w:val="22"/>
          <w:highlight w:val="none"/>
          <w:lang w:eastAsia="zh-CN"/>
        </w:rPr>
        <w:t>）</w:t>
      </w:r>
    </w:p>
    <w:p w14:paraId="1D23D328">
      <w:pPr>
        <w:tabs>
          <w:tab w:val="left" w:pos="630"/>
        </w:tabs>
        <w:snapToGrid w:val="0"/>
        <w:spacing w:line="400" w:lineRule="exact"/>
        <w:ind w:firstLine="440" w:firstLineChars="200"/>
        <w:rPr>
          <w:rFonts w:hint="eastAsia" w:ascii="宋体" w:hAnsi="宋体"/>
          <w:color w:val="auto"/>
          <w:sz w:val="22"/>
          <w:highlight w:val="none"/>
        </w:rPr>
      </w:pPr>
    </w:p>
    <w:p w14:paraId="08696098">
      <w:pPr>
        <w:tabs>
          <w:tab w:val="left" w:pos="630"/>
        </w:tabs>
        <w:snapToGrid w:val="0"/>
        <w:spacing w:line="400" w:lineRule="exact"/>
        <w:ind w:firstLine="440" w:firstLineChars="200"/>
        <w:rPr>
          <w:rFonts w:ascii="宋体" w:hAnsi="宋体"/>
          <w:color w:val="auto"/>
          <w:sz w:val="22"/>
          <w:highlight w:val="none"/>
        </w:rPr>
      </w:pPr>
      <w:r>
        <w:rPr>
          <w:rFonts w:hint="eastAsia" w:ascii="宋体" w:hAnsi="宋体"/>
          <w:color w:val="auto"/>
          <w:sz w:val="22"/>
          <w:highlight w:val="none"/>
        </w:rPr>
        <w:t>我方参加（项目名称：</w:t>
      </w:r>
      <w:r>
        <w:rPr>
          <w:rFonts w:hint="eastAsia" w:ascii="宋体" w:hAnsi="宋体"/>
          <w:color w:val="auto"/>
          <w:sz w:val="22"/>
          <w:highlight w:val="none"/>
          <w:u w:val="single"/>
        </w:rPr>
        <w:t>_________________</w:t>
      </w:r>
      <w:r>
        <w:rPr>
          <w:rFonts w:hint="eastAsia" w:ascii="宋体" w:hAnsi="宋体"/>
          <w:color w:val="auto"/>
          <w:sz w:val="22"/>
          <w:highlight w:val="none"/>
        </w:rPr>
        <w:t>）（采购编号：</w:t>
      </w:r>
      <w:r>
        <w:rPr>
          <w:rFonts w:hint="eastAsia" w:ascii="宋体" w:hAnsi="宋体"/>
          <w:color w:val="auto"/>
          <w:sz w:val="22"/>
          <w:highlight w:val="none"/>
          <w:u w:val="single"/>
        </w:rPr>
        <w:t>_________________</w:t>
      </w:r>
      <w:r>
        <w:rPr>
          <w:rFonts w:hint="eastAsia" w:ascii="宋体" w:hAnsi="宋体"/>
          <w:color w:val="auto"/>
          <w:sz w:val="22"/>
          <w:highlight w:val="none"/>
        </w:rPr>
        <w:t>）的有关采购活动。为此，我方同意和承诺：</w:t>
      </w:r>
    </w:p>
    <w:p w14:paraId="02ED8DE1">
      <w:pPr>
        <w:spacing w:line="400" w:lineRule="exact"/>
        <w:ind w:firstLine="442" w:firstLineChars="201"/>
        <w:rPr>
          <w:rFonts w:ascii="宋体" w:hAnsi="宋体"/>
          <w:bCs/>
          <w:color w:val="auto"/>
          <w:sz w:val="22"/>
          <w:highlight w:val="none"/>
        </w:rPr>
      </w:pPr>
      <w:r>
        <w:rPr>
          <w:rFonts w:hint="eastAsia" w:ascii="宋体" w:hAnsi="宋体"/>
          <w:bCs/>
          <w:color w:val="auto"/>
          <w:sz w:val="22"/>
          <w:highlight w:val="none"/>
        </w:rPr>
        <w:t>（一）我方承诺已详细阅读并理解征集文件及北京市政府采购电子交易平台相关操作手册中关于本项目电子响应各项要求、流程及注意事项，如未按要求操作导致的响应无效，责任由我方承担。</w:t>
      </w:r>
    </w:p>
    <w:p w14:paraId="05320A5E">
      <w:pPr>
        <w:spacing w:line="400" w:lineRule="exact"/>
        <w:ind w:firstLine="442" w:firstLineChars="201"/>
        <w:rPr>
          <w:rFonts w:ascii="宋体" w:hAnsi="宋体"/>
          <w:color w:val="auto"/>
          <w:sz w:val="22"/>
          <w:highlight w:val="none"/>
        </w:rPr>
      </w:pPr>
      <w:r>
        <w:rPr>
          <w:rFonts w:hint="eastAsia" w:ascii="宋体" w:hAnsi="宋体"/>
          <w:color w:val="auto"/>
          <w:sz w:val="22"/>
          <w:highlight w:val="none"/>
        </w:rPr>
        <w:t>（二）我方已详细阅读全部征集文件、包括征集文件的相关更正补充（如有的话）、参考资料及有关附件，保证遵守征集文件的规定。</w:t>
      </w:r>
    </w:p>
    <w:p w14:paraId="66D4C29F">
      <w:pPr>
        <w:spacing w:line="400" w:lineRule="exact"/>
        <w:ind w:firstLine="442" w:firstLineChars="201"/>
        <w:rPr>
          <w:rFonts w:ascii="宋体" w:hAnsi="宋体"/>
          <w:color w:val="auto"/>
          <w:sz w:val="22"/>
          <w:highlight w:val="none"/>
        </w:rPr>
      </w:pPr>
      <w:r>
        <w:rPr>
          <w:rFonts w:hint="eastAsia" w:ascii="宋体" w:hAnsi="宋体"/>
          <w:color w:val="auto"/>
          <w:sz w:val="22"/>
          <w:highlight w:val="none"/>
        </w:rPr>
        <w:t>（三）我方已经完全理解了征集文件中的各项内容和响应人的各项权利义务的真实含义，并承诺在发生争议时不会以对征集文件存在误解、不明白的条款为由，对征集人行使任何法律上的抗辩权。</w:t>
      </w:r>
    </w:p>
    <w:p w14:paraId="46FF62B4">
      <w:pPr>
        <w:pStyle w:val="6"/>
        <w:spacing w:line="400" w:lineRule="exact"/>
        <w:ind w:firstLine="442" w:firstLineChars="201"/>
        <w:rPr>
          <w:color w:val="auto"/>
          <w:sz w:val="28"/>
          <w:szCs w:val="24"/>
          <w:highlight w:val="none"/>
        </w:rPr>
      </w:pPr>
      <w:r>
        <w:rPr>
          <w:rFonts w:hint="eastAsia" w:hAnsi="宋体"/>
          <w:color w:val="auto"/>
          <w:sz w:val="22"/>
          <w:highlight w:val="none"/>
        </w:rPr>
        <w:t>（四）我方同意在本项目征集文件中规定的电子响应文件提交截止时间起180天内遵守本响应文件中的承诺且在此期限期满之前均具有约束力。遵守“响应人须知”中第九条第二款关于延长电子响应文件有效期的规定。</w:t>
      </w:r>
    </w:p>
    <w:p w14:paraId="7DD4FFAC">
      <w:pPr>
        <w:spacing w:line="400" w:lineRule="exact"/>
        <w:ind w:firstLine="442" w:firstLineChars="201"/>
        <w:rPr>
          <w:rFonts w:ascii="宋体" w:hAnsi="宋体"/>
          <w:color w:val="auto"/>
          <w:sz w:val="22"/>
          <w:highlight w:val="none"/>
        </w:rPr>
      </w:pPr>
      <w:r>
        <w:rPr>
          <w:rFonts w:hint="eastAsia" w:ascii="宋体" w:hAnsi="宋体"/>
          <w:color w:val="auto"/>
          <w:sz w:val="22"/>
          <w:highlight w:val="none"/>
        </w:rPr>
        <w:t>（五）我方承诺提供响应人须知规定的全部电子响应文件。</w:t>
      </w:r>
    </w:p>
    <w:p w14:paraId="451541D8">
      <w:pPr>
        <w:pStyle w:val="6"/>
        <w:spacing w:line="400" w:lineRule="exact"/>
        <w:ind w:firstLine="442" w:firstLineChars="201"/>
        <w:rPr>
          <w:color w:val="auto"/>
          <w:sz w:val="28"/>
          <w:szCs w:val="24"/>
          <w:highlight w:val="none"/>
        </w:rPr>
      </w:pPr>
      <w:r>
        <w:rPr>
          <w:rFonts w:hint="eastAsia" w:hAnsi="宋体"/>
          <w:color w:val="auto"/>
          <w:sz w:val="22"/>
          <w:highlight w:val="none"/>
        </w:rPr>
        <w:t>（六）我方承诺完全满足和响应征集文件中的各项商务和技术要求，愿意如实提供任何与本项征集有关的数据、情况和技术资料。若有偏差，已在响应文件中显著处予以说明。</w:t>
      </w:r>
    </w:p>
    <w:p w14:paraId="6422ED33">
      <w:pPr>
        <w:spacing w:line="400" w:lineRule="exact"/>
        <w:ind w:firstLine="442" w:firstLineChars="201"/>
        <w:rPr>
          <w:rFonts w:ascii="宋体" w:hAnsi="宋体"/>
          <w:color w:val="auto"/>
          <w:sz w:val="22"/>
          <w:highlight w:val="none"/>
        </w:rPr>
      </w:pPr>
      <w:r>
        <w:rPr>
          <w:rFonts w:hint="eastAsia" w:ascii="宋体" w:hAnsi="宋体"/>
          <w:color w:val="auto"/>
          <w:sz w:val="22"/>
          <w:highlight w:val="none"/>
        </w:rPr>
        <w:t>（七）我方按征集文件要求提供和交付的货物及服务的报价详见电子响应文件。</w:t>
      </w:r>
    </w:p>
    <w:p w14:paraId="2D4431B6">
      <w:pPr>
        <w:spacing w:line="400" w:lineRule="exact"/>
        <w:ind w:firstLine="442" w:firstLineChars="201"/>
        <w:rPr>
          <w:rFonts w:ascii="宋体" w:hAnsi="宋体"/>
          <w:color w:val="auto"/>
          <w:sz w:val="22"/>
          <w:highlight w:val="none"/>
        </w:rPr>
      </w:pPr>
      <w:r>
        <w:rPr>
          <w:rFonts w:hint="eastAsia" w:ascii="宋体" w:hAnsi="宋体"/>
          <w:color w:val="auto"/>
          <w:sz w:val="22"/>
          <w:highlight w:val="none"/>
        </w:rPr>
        <w:t>（八）我方保证忠实地执行与征集人、采购人所签订的框架协议和采购合同，并承担协议和合同规定的责任和义务。</w:t>
      </w:r>
    </w:p>
    <w:p w14:paraId="5C5D9A63">
      <w:pPr>
        <w:spacing w:line="400" w:lineRule="exact"/>
        <w:ind w:firstLine="442" w:firstLineChars="201"/>
        <w:rPr>
          <w:rFonts w:ascii="宋体" w:hAnsi="宋体"/>
          <w:color w:val="auto"/>
          <w:sz w:val="22"/>
          <w:highlight w:val="none"/>
        </w:rPr>
      </w:pPr>
      <w:r>
        <w:rPr>
          <w:rFonts w:hint="eastAsia" w:ascii="宋体" w:hAnsi="宋体"/>
          <w:color w:val="auto"/>
          <w:sz w:val="22"/>
          <w:highlight w:val="none"/>
        </w:rPr>
        <w:t>（九）我方知晓包括但不限于《中华人民共和国政府采购法》第七十七条、《中华人民共和国政府采购法实施条例》第七十二、七十三、七十四条中对于供应商的有关规定，若有相关情形的，依法接受有关处罚，及由此带来的法律后果。</w:t>
      </w:r>
    </w:p>
    <w:p w14:paraId="28B2282F">
      <w:pPr>
        <w:spacing w:line="400" w:lineRule="exact"/>
        <w:ind w:firstLine="442" w:firstLineChars="201"/>
        <w:rPr>
          <w:rFonts w:ascii="宋体" w:hAnsi="宋体"/>
          <w:color w:val="auto"/>
          <w:sz w:val="22"/>
          <w:highlight w:val="none"/>
        </w:rPr>
      </w:pPr>
      <w:r>
        <w:rPr>
          <w:rFonts w:hint="eastAsia" w:ascii="宋体" w:hAnsi="宋体"/>
          <w:color w:val="auto"/>
          <w:sz w:val="22"/>
          <w:highlight w:val="none"/>
        </w:rPr>
        <w:t>（十）本响应函自本项目电子响应文件提交截止时间起生效。</w:t>
      </w:r>
    </w:p>
    <w:p w14:paraId="3E0D8BE3">
      <w:pPr>
        <w:pStyle w:val="12"/>
        <w:tabs>
          <w:tab w:val="left" w:pos="5580"/>
        </w:tabs>
        <w:spacing w:line="360" w:lineRule="auto"/>
        <w:ind w:firstLine="4290" w:firstLineChars="1950"/>
        <w:rPr>
          <w:rFonts w:hAnsi="宋体"/>
          <w:color w:val="auto"/>
          <w:sz w:val="22"/>
          <w:szCs w:val="22"/>
          <w:highlight w:val="none"/>
        </w:rPr>
      </w:pPr>
    </w:p>
    <w:p w14:paraId="1399AE63">
      <w:pPr>
        <w:pStyle w:val="12"/>
        <w:tabs>
          <w:tab w:val="left" w:pos="5580"/>
        </w:tabs>
        <w:spacing w:line="360" w:lineRule="auto"/>
        <w:ind w:firstLine="4290" w:firstLineChars="1950"/>
        <w:rPr>
          <w:rFonts w:hAnsi="宋体"/>
          <w:color w:val="auto"/>
          <w:sz w:val="22"/>
          <w:szCs w:val="22"/>
          <w:highlight w:val="none"/>
        </w:rPr>
      </w:pPr>
      <w:r>
        <w:rPr>
          <w:rFonts w:hint="eastAsia" w:hAnsi="宋体"/>
          <w:color w:val="auto"/>
          <w:sz w:val="22"/>
          <w:szCs w:val="22"/>
          <w:highlight w:val="none"/>
        </w:rPr>
        <w:t>响应人</w:t>
      </w:r>
      <w:r>
        <w:rPr>
          <w:rFonts w:hint="eastAsia" w:hAnsi="宋体"/>
          <w:color w:val="auto"/>
          <w:sz w:val="22"/>
          <w:szCs w:val="22"/>
          <w:highlight w:val="none"/>
          <w:lang w:val="en-US" w:eastAsia="zh-CN"/>
        </w:rPr>
        <w:t>名称</w:t>
      </w:r>
      <w:r>
        <w:rPr>
          <w:rFonts w:hint="eastAsia" w:hAnsi="宋体"/>
          <w:color w:val="auto"/>
          <w:sz w:val="22"/>
          <w:szCs w:val="22"/>
          <w:highlight w:val="none"/>
        </w:rPr>
        <w:t>（</w:t>
      </w:r>
      <w:r>
        <w:rPr>
          <w:rFonts w:hint="eastAsia" w:hAnsi="宋体"/>
          <w:color w:val="auto"/>
          <w:sz w:val="22"/>
          <w:szCs w:val="22"/>
          <w:highlight w:val="none"/>
          <w:lang w:val="en-US" w:eastAsia="zh-CN"/>
        </w:rPr>
        <w:t>加盖公章</w:t>
      </w:r>
      <w:r>
        <w:rPr>
          <w:rFonts w:hint="eastAsia" w:hAnsi="宋体"/>
          <w:color w:val="auto"/>
          <w:sz w:val="22"/>
          <w:szCs w:val="22"/>
          <w:highlight w:val="none"/>
        </w:rPr>
        <w:t>）：</w:t>
      </w:r>
      <w:r>
        <w:rPr>
          <w:rFonts w:hAnsi="宋体"/>
          <w:color w:val="auto"/>
          <w:sz w:val="22"/>
          <w:szCs w:val="22"/>
          <w:highlight w:val="none"/>
          <w:u w:val="single"/>
        </w:rPr>
        <w:t>__________________</w:t>
      </w:r>
    </w:p>
    <w:p w14:paraId="6DFF5D0A">
      <w:pPr>
        <w:pStyle w:val="12"/>
        <w:tabs>
          <w:tab w:val="left" w:pos="5580"/>
        </w:tabs>
        <w:spacing w:line="300" w:lineRule="auto"/>
        <w:rPr>
          <w:rFonts w:hAnsi="宋体"/>
          <w:color w:val="auto"/>
          <w:sz w:val="22"/>
          <w:szCs w:val="22"/>
          <w:highlight w:val="none"/>
        </w:rPr>
      </w:pPr>
      <w:r>
        <w:rPr>
          <w:rFonts w:hint="eastAsia" w:hAnsi="宋体"/>
          <w:color w:val="auto"/>
          <w:sz w:val="22"/>
          <w:szCs w:val="22"/>
          <w:highlight w:val="none"/>
        </w:rPr>
        <w:t>响应人相关备注信息：</w:t>
      </w:r>
    </w:p>
    <w:tbl>
      <w:tblPr>
        <w:tblStyle w:val="22"/>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6788"/>
      </w:tblGrid>
      <w:tr w14:paraId="0314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59" w:type="dxa"/>
          </w:tcPr>
          <w:p w14:paraId="158DECDE">
            <w:pPr>
              <w:pStyle w:val="12"/>
              <w:tabs>
                <w:tab w:val="left" w:pos="5580"/>
              </w:tabs>
              <w:spacing w:line="300" w:lineRule="auto"/>
              <w:rPr>
                <w:rFonts w:hAnsi="宋体"/>
                <w:color w:val="auto"/>
                <w:sz w:val="22"/>
                <w:szCs w:val="22"/>
                <w:highlight w:val="none"/>
              </w:rPr>
            </w:pPr>
            <w:r>
              <w:rPr>
                <w:rFonts w:hint="eastAsia" w:hAnsi="宋体"/>
                <w:color w:val="auto"/>
                <w:sz w:val="22"/>
                <w:szCs w:val="22"/>
                <w:highlight w:val="none"/>
              </w:rPr>
              <w:t>响应人地址</w:t>
            </w:r>
          </w:p>
        </w:tc>
        <w:tc>
          <w:tcPr>
            <w:tcW w:w="6788" w:type="dxa"/>
          </w:tcPr>
          <w:p w14:paraId="5A1C1D0A">
            <w:pPr>
              <w:pStyle w:val="12"/>
              <w:tabs>
                <w:tab w:val="left" w:pos="5580"/>
              </w:tabs>
              <w:spacing w:line="300" w:lineRule="auto"/>
              <w:rPr>
                <w:rFonts w:hAnsi="宋体"/>
                <w:color w:val="auto"/>
                <w:sz w:val="22"/>
                <w:szCs w:val="22"/>
                <w:highlight w:val="none"/>
              </w:rPr>
            </w:pPr>
          </w:p>
        </w:tc>
      </w:tr>
      <w:tr w14:paraId="0199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tcPr>
          <w:p w14:paraId="74CAA760">
            <w:pPr>
              <w:pStyle w:val="12"/>
              <w:tabs>
                <w:tab w:val="left" w:pos="5580"/>
              </w:tabs>
              <w:spacing w:line="300" w:lineRule="auto"/>
              <w:rPr>
                <w:rFonts w:hAnsi="宋体"/>
                <w:color w:val="auto"/>
                <w:sz w:val="22"/>
                <w:szCs w:val="22"/>
                <w:highlight w:val="none"/>
              </w:rPr>
            </w:pPr>
            <w:r>
              <w:rPr>
                <w:rFonts w:hint="eastAsia" w:hAnsi="宋体"/>
                <w:color w:val="auto"/>
                <w:sz w:val="22"/>
                <w:szCs w:val="22"/>
                <w:highlight w:val="none"/>
              </w:rPr>
              <w:t>项目负责人姓名</w:t>
            </w:r>
          </w:p>
        </w:tc>
        <w:tc>
          <w:tcPr>
            <w:tcW w:w="6788" w:type="dxa"/>
          </w:tcPr>
          <w:p w14:paraId="0ACF3219">
            <w:pPr>
              <w:pStyle w:val="12"/>
              <w:tabs>
                <w:tab w:val="left" w:pos="5580"/>
              </w:tabs>
              <w:spacing w:line="300" w:lineRule="auto"/>
              <w:rPr>
                <w:rFonts w:hAnsi="宋体"/>
                <w:color w:val="auto"/>
                <w:sz w:val="22"/>
                <w:szCs w:val="22"/>
                <w:highlight w:val="none"/>
              </w:rPr>
            </w:pPr>
          </w:p>
        </w:tc>
      </w:tr>
      <w:tr w14:paraId="2CB3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tcPr>
          <w:p w14:paraId="73C8B886">
            <w:pPr>
              <w:pStyle w:val="12"/>
              <w:tabs>
                <w:tab w:val="left" w:pos="5580"/>
              </w:tabs>
              <w:spacing w:line="300" w:lineRule="auto"/>
              <w:rPr>
                <w:rFonts w:hAnsi="宋体"/>
                <w:color w:val="auto"/>
                <w:sz w:val="22"/>
                <w:szCs w:val="22"/>
                <w:highlight w:val="none"/>
              </w:rPr>
            </w:pPr>
            <w:r>
              <w:rPr>
                <w:rFonts w:hint="eastAsia" w:hAnsi="宋体"/>
                <w:color w:val="auto"/>
                <w:sz w:val="22"/>
                <w:szCs w:val="22"/>
                <w:highlight w:val="none"/>
              </w:rPr>
              <w:t>项目负责人手机号</w:t>
            </w:r>
          </w:p>
        </w:tc>
        <w:tc>
          <w:tcPr>
            <w:tcW w:w="6788" w:type="dxa"/>
          </w:tcPr>
          <w:p w14:paraId="43BAA26D">
            <w:pPr>
              <w:pStyle w:val="12"/>
              <w:tabs>
                <w:tab w:val="left" w:pos="5580"/>
              </w:tabs>
              <w:spacing w:line="300" w:lineRule="auto"/>
              <w:rPr>
                <w:rFonts w:hAnsi="宋体"/>
                <w:color w:val="auto"/>
                <w:sz w:val="22"/>
                <w:szCs w:val="22"/>
                <w:highlight w:val="none"/>
              </w:rPr>
            </w:pPr>
          </w:p>
        </w:tc>
      </w:tr>
      <w:tr w14:paraId="16B2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tcPr>
          <w:p w14:paraId="4D944F2D">
            <w:pPr>
              <w:pStyle w:val="12"/>
              <w:tabs>
                <w:tab w:val="left" w:pos="5580"/>
              </w:tabs>
              <w:spacing w:line="300" w:lineRule="auto"/>
              <w:rPr>
                <w:rFonts w:hAnsi="宋体"/>
                <w:color w:val="auto"/>
                <w:sz w:val="22"/>
                <w:szCs w:val="22"/>
                <w:highlight w:val="none"/>
              </w:rPr>
            </w:pPr>
            <w:r>
              <w:rPr>
                <w:rFonts w:hint="eastAsia" w:hAnsi="宋体"/>
                <w:color w:val="auto"/>
                <w:sz w:val="22"/>
                <w:szCs w:val="22"/>
                <w:highlight w:val="none"/>
              </w:rPr>
              <w:t>项目负责人邮箱</w:t>
            </w:r>
          </w:p>
        </w:tc>
        <w:tc>
          <w:tcPr>
            <w:tcW w:w="6788" w:type="dxa"/>
          </w:tcPr>
          <w:p w14:paraId="049D0EC9">
            <w:pPr>
              <w:pStyle w:val="12"/>
              <w:tabs>
                <w:tab w:val="left" w:pos="5580"/>
              </w:tabs>
              <w:spacing w:line="300" w:lineRule="auto"/>
              <w:rPr>
                <w:rFonts w:hAnsi="宋体"/>
                <w:color w:val="auto"/>
                <w:sz w:val="22"/>
                <w:szCs w:val="22"/>
                <w:highlight w:val="none"/>
              </w:rPr>
            </w:pPr>
          </w:p>
        </w:tc>
      </w:tr>
    </w:tbl>
    <w:p w14:paraId="2F8F07F7">
      <w:pPr>
        <w:pStyle w:val="12"/>
        <w:tabs>
          <w:tab w:val="left" w:pos="5580"/>
        </w:tabs>
        <w:spacing w:line="300" w:lineRule="auto"/>
        <w:rPr>
          <w:rFonts w:hAnsi="宋体"/>
          <w:color w:val="auto"/>
          <w:sz w:val="22"/>
          <w:szCs w:val="22"/>
          <w:highlight w:val="none"/>
        </w:rPr>
      </w:pPr>
      <w:r>
        <w:rPr>
          <w:rFonts w:hint="eastAsia" w:hAnsi="宋体"/>
          <w:color w:val="auto"/>
          <w:sz w:val="22"/>
          <w:szCs w:val="22"/>
          <w:highlight w:val="none"/>
        </w:rPr>
        <w:t>请响应人按要求填写上述备注信息，不作为评审使用。</w:t>
      </w:r>
    </w:p>
    <w:p w14:paraId="6F831E3E">
      <w:pPr>
        <w:pStyle w:val="12"/>
        <w:tabs>
          <w:tab w:val="left" w:pos="5580"/>
        </w:tabs>
        <w:spacing w:line="300" w:lineRule="auto"/>
        <w:rPr>
          <w:rFonts w:hAnsi="宋体"/>
          <w:color w:val="auto"/>
          <w:sz w:val="22"/>
          <w:szCs w:val="22"/>
          <w:highlight w:val="none"/>
        </w:rPr>
        <w:sectPr>
          <w:pgSz w:w="11907" w:h="16840"/>
          <w:pgMar w:top="1701" w:right="1588" w:bottom="1701" w:left="1588" w:header="851" w:footer="851" w:gutter="0"/>
          <w:cols w:space="720" w:num="1"/>
          <w:docGrid w:type="lines" w:linePitch="312" w:charSpace="0"/>
        </w:sectPr>
      </w:pPr>
    </w:p>
    <w:p w14:paraId="1DC74730">
      <w:pPr>
        <w:pStyle w:val="67"/>
        <w:numPr>
          <w:ilvl w:val="1"/>
          <w:numId w:val="0"/>
        </w:numPr>
        <w:tabs>
          <w:tab w:val="left" w:pos="660"/>
        </w:tabs>
        <w:snapToGrid w:val="0"/>
        <w:spacing w:before="0" w:line="400" w:lineRule="exact"/>
        <w:ind w:leftChars="0"/>
        <w:outlineLvl w:val="9"/>
        <w:rPr>
          <w:rFonts w:hint="eastAsia" w:cs="微软雅黑"/>
          <w:color w:val="auto"/>
          <w:sz w:val="22"/>
          <w:szCs w:val="22"/>
          <w:highlight w:val="none"/>
        </w:rPr>
      </w:pPr>
      <w:r>
        <w:rPr>
          <w:rFonts w:hint="eastAsia" w:cs="微软雅黑"/>
          <w:color w:val="auto"/>
          <w:sz w:val="22"/>
          <w:szCs w:val="22"/>
          <w:highlight w:val="none"/>
          <w:lang w:val="en-US" w:eastAsia="zh-CN"/>
        </w:rPr>
        <w:t>三、</w:t>
      </w:r>
      <w:r>
        <w:rPr>
          <w:rFonts w:hint="eastAsia" w:hAnsi="宋体"/>
          <w:color w:val="auto"/>
          <w:kern w:val="0"/>
          <w:sz w:val="22"/>
          <w:szCs w:val="22"/>
          <w:highlight w:val="none"/>
        </w:rPr>
        <w:t>中小企业政策文件</w:t>
      </w:r>
      <w:r>
        <w:rPr>
          <w:rFonts w:hint="eastAsia" w:cs="微软雅黑"/>
          <w:color w:val="auto"/>
          <w:sz w:val="22"/>
          <w:szCs w:val="22"/>
          <w:highlight w:val="none"/>
        </w:rPr>
        <w:t>（</w:t>
      </w:r>
      <w:r>
        <w:rPr>
          <w:rFonts w:hint="eastAsia" w:cs="微软雅黑"/>
          <w:color w:val="auto"/>
          <w:sz w:val="22"/>
          <w:szCs w:val="22"/>
          <w:highlight w:val="none"/>
          <w:lang w:eastAsia="zh-CN"/>
        </w:rPr>
        <w:t>服务，</w:t>
      </w:r>
      <w:r>
        <w:rPr>
          <w:rFonts w:hint="eastAsia"/>
          <w:color w:val="auto"/>
          <w:sz w:val="22"/>
          <w:szCs w:val="22"/>
          <w:highlight w:val="none"/>
          <w:lang w:val="en-US" w:eastAsia="zh-CN"/>
        </w:rPr>
        <w:t>具体说明与要求详见“响应人须知前附表”</w:t>
      </w:r>
      <w:r>
        <w:rPr>
          <w:rFonts w:hint="eastAsia"/>
          <w:color w:val="auto"/>
          <w:sz w:val="22"/>
          <w:szCs w:val="22"/>
          <w:highlight w:val="none"/>
          <w:lang w:eastAsia="zh-CN"/>
        </w:rPr>
        <w:t>）</w:t>
      </w:r>
    </w:p>
    <w:p w14:paraId="469C05BF">
      <w:pPr>
        <w:pStyle w:val="67"/>
        <w:numPr>
          <w:ilvl w:val="1"/>
          <w:numId w:val="0"/>
        </w:numPr>
        <w:tabs>
          <w:tab w:val="left" w:pos="660"/>
        </w:tabs>
        <w:snapToGrid w:val="0"/>
        <w:spacing w:before="0" w:line="400" w:lineRule="exact"/>
        <w:ind w:leftChars="0"/>
        <w:outlineLvl w:val="9"/>
        <w:rPr>
          <w:rFonts w:hint="default" w:eastAsia="宋体" w:cs="微软雅黑"/>
          <w:color w:val="FF0000"/>
          <w:sz w:val="22"/>
          <w:szCs w:val="22"/>
          <w:highlight w:val="none"/>
          <w:lang w:val="en-US" w:eastAsia="zh-CN"/>
        </w:rPr>
      </w:pPr>
      <w:r>
        <w:rPr>
          <w:rFonts w:hint="eastAsia" w:cs="微软雅黑"/>
          <w:color w:val="FF0000"/>
          <w:sz w:val="22"/>
          <w:szCs w:val="22"/>
          <w:highlight w:val="none"/>
          <w:lang w:eastAsia="zh-CN"/>
        </w:rPr>
        <w:t>请在电子投标制作工具客户端指定位置上传，</w:t>
      </w:r>
      <w:r>
        <w:rPr>
          <w:rFonts w:hint="eastAsia" w:ascii="宋体" w:hAnsi="宋体"/>
          <w:color w:val="FF0000"/>
          <w:sz w:val="22"/>
          <w:highlight w:val="none"/>
        </w:rPr>
        <w:t>不符合</w:t>
      </w:r>
      <w:r>
        <w:rPr>
          <w:rFonts w:hint="eastAsia"/>
          <w:color w:val="FF0000"/>
          <w:sz w:val="22"/>
          <w:highlight w:val="none"/>
          <w:lang w:eastAsia="zh-CN"/>
        </w:rPr>
        <w:t>本部分</w:t>
      </w:r>
      <w:r>
        <w:rPr>
          <w:rFonts w:hint="eastAsia" w:ascii="宋体" w:hAnsi="宋体"/>
          <w:color w:val="FF0000"/>
          <w:sz w:val="22"/>
          <w:highlight w:val="none"/>
        </w:rPr>
        <w:t>扶持政策或适用情形的响应人无须</w:t>
      </w:r>
      <w:r>
        <w:rPr>
          <w:rFonts w:hint="eastAsia"/>
          <w:color w:val="FF0000"/>
          <w:sz w:val="22"/>
          <w:highlight w:val="none"/>
          <w:lang w:eastAsia="zh-CN"/>
        </w:rPr>
        <w:t>上传</w:t>
      </w:r>
      <w:r>
        <w:rPr>
          <w:rFonts w:hint="eastAsia" w:ascii="宋体" w:hAnsi="宋体"/>
          <w:color w:val="FF0000"/>
          <w:sz w:val="22"/>
          <w:highlight w:val="none"/>
        </w:rPr>
        <w:t>。</w:t>
      </w:r>
    </w:p>
    <w:p w14:paraId="253A7349">
      <w:pPr>
        <w:spacing w:line="360" w:lineRule="auto"/>
        <w:ind w:firstLine="440" w:firstLineChars="200"/>
        <w:rPr>
          <w:rFonts w:hint="eastAsia" w:ascii="宋体" w:hAnsi="宋体"/>
          <w:color w:val="auto"/>
          <w:sz w:val="22"/>
          <w:highlight w:val="none"/>
        </w:rPr>
      </w:pPr>
    </w:p>
    <w:p w14:paraId="430B4D7B">
      <w:pPr>
        <w:pStyle w:val="67"/>
        <w:numPr>
          <w:ilvl w:val="1"/>
          <w:numId w:val="0"/>
        </w:numPr>
        <w:tabs>
          <w:tab w:val="left" w:pos="660"/>
        </w:tabs>
        <w:snapToGrid w:val="0"/>
        <w:spacing w:before="0" w:line="400" w:lineRule="exact"/>
        <w:ind w:leftChars="0"/>
        <w:jc w:val="center"/>
        <w:outlineLvl w:val="9"/>
        <w:rPr>
          <w:rFonts w:hint="eastAsia" w:cs="微软雅黑"/>
          <w:color w:val="auto"/>
          <w:sz w:val="22"/>
          <w:szCs w:val="22"/>
          <w:highlight w:val="none"/>
        </w:rPr>
      </w:pPr>
      <w:r>
        <w:rPr>
          <w:rFonts w:hint="eastAsia" w:cs="微软雅黑"/>
          <w:color w:val="auto"/>
          <w:sz w:val="22"/>
          <w:szCs w:val="22"/>
          <w:highlight w:val="none"/>
        </w:rPr>
        <w:t>中小企业声明函</w:t>
      </w:r>
    </w:p>
    <w:p w14:paraId="481F95D4">
      <w:pPr>
        <w:spacing w:line="360" w:lineRule="auto"/>
        <w:ind w:firstLine="440" w:firstLineChars="200"/>
        <w:rPr>
          <w:rFonts w:hint="eastAsia" w:ascii="宋体" w:hAnsi="宋体"/>
          <w:color w:val="auto"/>
          <w:sz w:val="22"/>
          <w:highlight w:val="none"/>
        </w:rPr>
      </w:pPr>
    </w:p>
    <w:p w14:paraId="69625EDC">
      <w:pPr>
        <w:spacing w:line="360" w:lineRule="auto"/>
        <w:ind w:firstLine="440" w:firstLineChars="200"/>
        <w:rPr>
          <w:rFonts w:ascii="宋体"/>
          <w:color w:val="000000" w:themeColor="text1"/>
          <w:sz w:val="22"/>
          <w:highlight w:val="none"/>
          <w14:textFill>
            <w14:solidFill>
              <w14:schemeClr w14:val="tx1"/>
            </w14:solidFill>
          </w14:textFill>
        </w:rPr>
      </w:pPr>
      <w:r>
        <w:rPr>
          <w:rFonts w:hint="eastAsia" w:ascii="宋体" w:hAnsi="宋体"/>
          <w:color w:val="000000" w:themeColor="text1"/>
          <w:sz w:val="22"/>
          <w:highlight w:val="none"/>
          <w14:textFill>
            <w14:solidFill>
              <w14:schemeClr w14:val="tx1"/>
            </w14:solidFill>
          </w14:textFill>
        </w:rPr>
        <w:t>本公司（联合体）郑重声明，根据《政府采购促进中小企业发展管理办法》（财库﹝</w:t>
      </w:r>
      <w:r>
        <w:rPr>
          <w:rFonts w:ascii="宋体" w:hAnsi="宋体"/>
          <w:color w:val="000000" w:themeColor="text1"/>
          <w:sz w:val="22"/>
          <w:highlight w:val="none"/>
          <w14:textFill>
            <w14:solidFill>
              <w14:schemeClr w14:val="tx1"/>
            </w14:solidFill>
          </w14:textFill>
        </w:rPr>
        <w:t>2020</w:t>
      </w:r>
      <w:r>
        <w:rPr>
          <w:rFonts w:hint="eastAsia" w:ascii="宋体" w:hAnsi="宋体"/>
          <w:color w:val="000000" w:themeColor="text1"/>
          <w:sz w:val="22"/>
          <w:highlight w:val="none"/>
          <w14:textFill>
            <w14:solidFill>
              <w14:schemeClr w14:val="tx1"/>
            </w14:solidFill>
          </w14:textFill>
        </w:rPr>
        <w:t>﹞</w:t>
      </w:r>
      <w:r>
        <w:rPr>
          <w:rFonts w:ascii="宋体" w:hAnsi="宋体"/>
          <w:color w:val="000000" w:themeColor="text1"/>
          <w:sz w:val="22"/>
          <w:highlight w:val="none"/>
          <w14:textFill>
            <w14:solidFill>
              <w14:schemeClr w14:val="tx1"/>
            </w14:solidFill>
          </w14:textFill>
        </w:rPr>
        <w:t>46</w:t>
      </w:r>
      <w:r>
        <w:rPr>
          <w:rFonts w:hint="eastAsia" w:ascii="宋体" w:hAnsi="宋体"/>
          <w:color w:val="000000" w:themeColor="text1"/>
          <w:sz w:val="22"/>
          <w:highlight w:val="none"/>
          <w14:textFill>
            <w14:solidFill>
              <w14:schemeClr w14:val="tx1"/>
            </w14:solidFill>
          </w14:textFill>
        </w:rPr>
        <w:t>号）的规定，本公司（联合体）参加</w:t>
      </w:r>
      <w:r>
        <w:rPr>
          <w:rFonts w:hint="eastAsia" w:ascii="宋体" w:hAnsi="宋体"/>
          <w:color w:val="000000" w:themeColor="text1"/>
          <w:sz w:val="22"/>
          <w:highlight w:val="none"/>
          <w:u w:val="single"/>
          <w:lang w:val="en-US" w:eastAsia="zh-CN"/>
          <w14:textFill>
            <w14:solidFill>
              <w14:schemeClr w14:val="tx1"/>
            </w14:solidFill>
          </w14:textFill>
        </w:rPr>
        <w:t>北京市公共资源交易中心</w:t>
      </w:r>
      <w:r>
        <w:rPr>
          <w:rFonts w:hint="eastAsia" w:ascii="宋体" w:hAnsi="宋体"/>
          <w:color w:val="000000" w:themeColor="text1"/>
          <w:sz w:val="22"/>
          <w:highlight w:val="none"/>
          <w14:textFill>
            <w14:solidFill>
              <w14:schemeClr w14:val="tx1"/>
            </w14:solidFill>
          </w14:textFill>
        </w:rPr>
        <w:t>的</w:t>
      </w:r>
      <w:r>
        <w:rPr>
          <w:rFonts w:hint="eastAsia" w:ascii="宋体" w:hAnsi="宋体"/>
          <w:color w:val="000000" w:themeColor="text1"/>
          <w:sz w:val="22"/>
          <w:highlight w:val="none"/>
          <w:u w:val="single"/>
          <w:lang w:eastAsia="zh-CN"/>
          <w14:textFill>
            <w14:solidFill>
              <w14:schemeClr w14:val="tx1"/>
            </w14:solidFill>
          </w14:textFill>
        </w:rPr>
        <w:t>北京市市级行政事业单位物业管理服务框架协议采购项目（2025年度）</w:t>
      </w:r>
      <w:r>
        <w:rPr>
          <w:rFonts w:hint="eastAsia" w:ascii="宋体" w:hAnsi="宋体"/>
          <w:color w:val="000000" w:themeColor="text1"/>
          <w:sz w:val="22"/>
          <w:highlight w:val="none"/>
          <w14:textFill>
            <w14:solidFill>
              <w14:schemeClr w14:val="tx1"/>
            </w14:solidFill>
          </w14:textFill>
        </w:rPr>
        <w:t>采购活动，</w:t>
      </w:r>
      <w:r>
        <w:rPr>
          <w:rFonts w:hint="eastAsia" w:ascii="宋体" w:hAnsi="宋体"/>
          <w:color w:val="000000" w:themeColor="text1"/>
          <w:sz w:val="22"/>
          <w:highlight w:val="none"/>
          <w:lang w:val="en-US" w:eastAsia="zh-CN"/>
          <w14:textFill>
            <w14:solidFill>
              <w14:schemeClr w14:val="tx1"/>
            </w14:solidFill>
          </w14:textFill>
        </w:rPr>
        <w:t>服务</w:t>
      </w:r>
      <w:r>
        <w:rPr>
          <w:rFonts w:hint="eastAsia" w:ascii="宋体" w:hAnsi="宋体"/>
          <w:b/>
          <w:color w:val="000000" w:themeColor="text1"/>
          <w:sz w:val="22"/>
          <w:highlight w:val="none"/>
          <w14:textFill>
            <w14:solidFill>
              <w14:schemeClr w14:val="tx1"/>
            </w14:solidFill>
          </w14:textFill>
        </w:rPr>
        <w:t>全部</w:t>
      </w:r>
      <w:r>
        <w:rPr>
          <w:rFonts w:hint="eastAsia" w:ascii="宋体" w:hAnsi="宋体"/>
          <w:color w:val="000000" w:themeColor="text1"/>
          <w:sz w:val="22"/>
          <w:highlight w:val="none"/>
          <w14:textFill>
            <w14:solidFill>
              <w14:schemeClr w14:val="tx1"/>
            </w14:solidFill>
          </w14:textFill>
        </w:rPr>
        <w:t>由符合政策要求的</w:t>
      </w:r>
      <w:r>
        <w:rPr>
          <w:rFonts w:hint="eastAsia" w:ascii="宋体" w:hAnsi="宋体"/>
          <w:b/>
          <w:color w:val="000000" w:themeColor="text1"/>
          <w:sz w:val="22"/>
          <w:highlight w:val="none"/>
          <w14:textFill>
            <w14:solidFill>
              <w14:schemeClr w14:val="tx1"/>
            </w14:solidFill>
          </w14:textFill>
        </w:rPr>
        <w:t>中小企业</w:t>
      </w:r>
      <w:r>
        <w:rPr>
          <w:rFonts w:hint="eastAsia" w:ascii="宋体" w:hAnsi="宋体"/>
          <w:b w:val="0"/>
          <w:bCs/>
          <w:color w:val="000000" w:themeColor="text1"/>
          <w:sz w:val="22"/>
          <w:highlight w:val="none"/>
          <w:lang w:val="en-US" w:eastAsia="zh-CN"/>
          <w14:textFill>
            <w14:solidFill>
              <w14:schemeClr w14:val="tx1"/>
            </w14:solidFill>
          </w14:textFill>
        </w:rPr>
        <w:t>承接</w:t>
      </w:r>
      <w:r>
        <w:rPr>
          <w:rFonts w:hint="eastAsia" w:ascii="宋体" w:hAnsi="宋体"/>
          <w:color w:val="000000" w:themeColor="text1"/>
          <w:sz w:val="22"/>
          <w:highlight w:val="none"/>
          <w14:textFill>
            <w14:solidFill>
              <w14:schemeClr w14:val="tx1"/>
            </w14:solidFill>
          </w14:textFill>
        </w:rPr>
        <w:t>。相关企业（含联合体中的中小企业、签订分包意向协议的中小企业）的具体情况如下：</w:t>
      </w:r>
    </w:p>
    <w:p w14:paraId="6B63B860">
      <w:pPr>
        <w:spacing w:line="360" w:lineRule="auto"/>
        <w:ind w:firstLine="440" w:firstLineChars="200"/>
        <w:rPr>
          <w:rFonts w:ascii="宋体"/>
          <w:color w:val="000000" w:themeColor="text1"/>
          <w:sz w:val="22"/>
          <w:highlight w:val="none"/>
          <w14:textFill>
            <w14:solidFill>
              <w14:schemeClr w14:val="tx1"/>
            </w14:solidFill>
          </w14:textFill>
        </w:rPr>
      </w:pPr>
      <w:r>
        <w:rPr>
          <w:rFonts w:hint="eastAsia" w:ascii="宋体" w:hAnsi="宋体"/>
          <w:color w:val="auto"/>
          <w:sz w:val="22"/>
          <w:highlight w:val="none"/>
          <w:u w:val="single"/>
          <w:lang w:val="en-US" w:eastAsia="zh-CN"/>
        </w:rPr>
        <w:t>物业管理服务，含</w:t>
      </w:r>
      <w:r>
        <w:rPr>
          <w:rFonts w:hint="eastAsia" w:ascii="宋体" w:hAnsi="宋体"/>
          <w:color w:val="000000" w:themeColor="text1"/>
          <w:sz w:val="22"/>
          <w:highlight w:val="none"/>
          <w:u w:val="single"/>
          <w:lang w:val="en-US" w:eastAsia="zh-CN"/>
          <w14:textFill>
            <w14:solidFill>
              <w14:schemeClr w14:val="tx1"/>
            </w14:solidFill>
          </w14:textFill>
        </w:rPr>
        <w:t>综合办公类、医院类、院校类等</w:t>
      </w:r>
      <w:r>
        <w:rPr>
          <w:rFonts w:hint="eastAsia" w:ascii="宋体" w:hAnsi="宋体"/>
          <w:color w:val="auto"/>
          <w:sz w:val="22"/>
          <w:highlight w:val="none"/>
        </w:rPr>
        <w:t>，属于</w:t>
      </w:r>
      <w:r>
        <w:rPr>
          <w:rFonts w:hint="eastAsia" w:ascii="宋体" w:hAnsi="宋体"/>
          <w:color w:val="auto"/>
          <w:sz w:val="22"/>
          <w:highlight w:val="none"/>
          <w:u w:val="single"/>
          <w:lang w:val="en-US" w:eastAsia="zh-CN"/>
        </w:rPr>
        <w:t>物业管理</w:t>
      </w:r>
      <w:r>
        <w:rPr>
          <w:rFonts w:hint="eastAsia" w:ascii="宋体" w:hAnsi="宋体"/>
          <w:color w:val="auto"/>
          <w:sz w:val="22"/>
          <w:highlight w:val="none"/>
          <w:u w:val="single"/>
        </w:rPr>
        <w:t>行业</w:t>
      </w:r>
      <w:r>
        <w:rPr>
          <w:rFonts w:hint="eastAsia" w:ascii="宋体" w:hAnsi="宋体"/>
          <w:color w:val="auto"/>
          <w:sz w:val="22"/>
          <w:highlight w:val="none"/>
        </w:rPr>
        <w:t>；</w:t>
      </w:r>
      <w:r>
        <w:rPr>
          <w:rFonts w:hint="eastAsia" w:ascii="宋体" w:hAnsi="宋体"/>
          <w:color w:val="auto"/>
          <w:sz w:val="22"/>
          <w:highlight w:val="none"/>
          <w:lang w:val="en-US" w:eastAsia="zh-CN"/>
        </w:rPr>
        <w:t>承接企业</w:t>
      </w:r>
      <w:r>
        <w:rPr>
          <w:rFonts w:hint="eastAsia" w:ascii="宋体" w:hAnsi="宋体"/>
          <w:color w:val="auto"/>
          <w:sz w:val="22"/>
          <w:highlight w:val="none"/>
        </w:rPr>
        <w:t>为</w:t>
      </w:r>
      <w:r>
        <w:rPr>
          <w:rFonts w:hint="eastAsia" w:ascii="宋体" w:hAnsi="宋体"/>
          <w:color w:val="auto"/>
          <w:sz w:val="22"/>
          <w:highlight w:val="none"/>
          <w:u w:val="single"/>
        </w:rPr>
        <w:t>（</w:t>
      </w:r>
      <w:r>
        <w:rPr>
          <w:rFonts w:hint="eastAsia" w:ascii="宋体" w:hAnsi="宋体"/>
          <w:color w:val="auto"/>
          <w:sz w:val="22"/>
          <w:highlight w:val="none"/>
          <w:u w:val="single"/>
          <w:lang w:eastAsia="zh-CN"/>
        </w:rPr>
        <w:t>填写</w:t>
      </w:r>
      <w:r>
        <w:rPr>
          <w:rFonts w:hint="eastAsia" w:ascii="宋体" w:hAnsi="宋体"/>
          <w:color w:val="auto"/>
          <w:sz w:val="22"/>
          <w:highlight w:val="none"/>
          <w:u w:val="single"/>
          <w:lang w:val="en-US" w:eastAsia="zh-CN"/>
        </w:rPr>
        <w:t>响应人</w:t>
      </w:r>
      <w:r>
        <w:rPr>
          <w:rFonts w:hint="eastAsia" w:ascii="宋体" w:hAnsi="宋体"/>
          <w:color w:val="auto"/>
          <w:sz w:val="22"/>
          <w:highlight w:val="none"/>
          <w:u w:val="single"/>
        </w:rPr>
        <w:t>名称）</w:t>
      </w:r>
      <w:r>
        <w:rPr>
          <w:rFonts w:hint="eastAsia" w:ascii="宋体" w:hAnsi="宋体"/>
          <w:color w:val="auto"/>
          <w:sz w:val="22"/>
          <w:highlight w:val="none"/>
        </w:rPr>
        <w:t>，从业人员</w:t>
      </w:r>
      <w:r>
        <w:rPr>
          <w:rFonts w:hint="eastAsia" w:ascii="宋体" w:hAnsi="宋体"/>
          <w:color w:val="auto"/>
          <w:sz w:val="22"/>
          <w:highlight w:val="none"/>
          <w:u w:val="single"/>
          <w:lang w:eastAsia="zh-CN"/>
        </w:rPr>
        <w:t>（填写人数）</w:t>
      </w:r>
      <w:r>
        <w:rPr>
          <w:rFonts w:hint="eastAsia" w:ascii="宋体" w:hAnsi="宋体"/>
          <w:color w:val="auto"/>
          <w:sz w:val="22"/>
          <w:highlight w:val="none"/>
        </w:rPr>
        <w:t>人，营业收入为</w:t>
      </w:r>
      <w:r>
        <w:rPr>
          <w:rFonts w:hint="eastAsia" w:ascii="宋体" w:hAnsi="宋体"/>
          <w:color w:val="auto"/>
          <w:sz w:val="22"/>
          <w:highlight w:val="none"/>
          <w:u w:val="single"/>
          <w:lang w:val="en-US" w:eastAsia="zh-CN"/>
        </w:rPr>
        <w:t>（填写金额）</w:t>
      </w:r>
      <w:r>
        <w:rPr>
          <w:rFonts w:hint="eastAsia" w:ascii="宋体" w:hAnsi="宋体"/>
          <w:color w:val="auto"/>
          <w:sz w:val="22"/>
          <w:highlight w:val="none"/>
        </w:rPr>
        <w:t>万元，资产总额为</w:t>
      </w:r>
      <w:r>
        <w:rPr>
          <w:rFonts w:hint="eastAsia" w:ascii="宋体" w:hAnsi="宋体"/>
          <w:color w:val="auto"/>
          <w:sz w:val="22"/>
          <w:highlight w:val="none"/>
          <w:u w:val="single"/>
          <w:lang w:val="en-US" w:eastAsia="zh-CN"/>
        </w:rPr>
        <w:t>（填写金额）</w:t>
      </w:r>
      <w:r>
        <w:rPr>
          <w:rFonts w:hint="eastAsia" w:ascii="宋体" w:hAnsi="宋体"/>
          <w:color w:val="auto"/>
          <w:sz w:val="22"/>
          <w:highlight w:val="none"/>
        </w:rPr>
        <w:t>万元，属于</w:t>
      </w:r>
      <w:r>
        <w:rPr>
          <w:rFonts w:hint="eastAsia" w:ascii="宋体" w:hAnsi="宋体"/>
          <w:color w:val="auto"/>
          <w:sz w:val="22"/>
          <w:highlight w:val="none"/>
          <w:u w:val="single"/>
        </w:rPr>
        <w:t>（中型企业、小型企业、微型企业）</w:t>
      </w:r>
      <w:r>
        <w:rPr>
          <w:rFonts w:hint="eastAsia" w:ascii="宋体" w:hAnsi="宋体"/>
          <w:color w:val="auto"/>
          <w:sz w:val="22"/>
          <w:highlight w:val="none"/>
        </w:rPr>
        <w:t>；</w:t>
      </w:r>
    </w:p>
    <w:p w14:paraId="2C9B4B77">
      <w:pPr>
        <w:spacing w:line="360" w:lineRule="auto"/>
        <w:ind w:firstLine="440" w:firstLineChars="200"/>
        <w:rPr>
          <w:rFonts w:ascii="宋体"/>
          <w:color w:val="000000" w:themeColor="text1"/>
          <w:sz w:val="22"/>
          <w:highlight w:val="none"/>
          <w14:textFill>
            <w14:solidFill>
              <w14:schemeClr w14:val="tx1"/>
            </w14:solidFill>
          </w14:textFill>
        </w:rPr>
      </w:pPr>
      <w:r>
        <w:rPr>
          <w:rFonts w:hint="eastAsia" w:ascii="宋体" w:hAnsi="宋体"/>
          <w:color w:val="000000" w:themeColor="text1"/>
          <w:sz w:val="22"/>
          <w:highlight w:val="none"/>
          <w14:textFill>
            <w14:solidFill>
              <w14:schemeClr w14:val="tx1"/>
            </w14:solidFill>
          </w14:textFill>
        </w:rPr>
        <w:t>以上企业，不属于大企业的分支机构，不存在控股股东为大企业的情形，也不存在与大企业的负责人为同一人的情形。</w:t>
      </w:r>
    </w:p>
    <w:p w14:paraId="4645AED4">
      <w:pPr>
        <w:spacing w:line="360" w:lineRule="auto"/>
        <w:ind w:firstLine="440" w:firstLineChars="200"/>
        <w:rPr>
          <w:rFonts w:ascii="宋体"/>
          <w:color w:val="000000" w:themeColor="text1"/>
          <w:sz w:val="22"/>
          <w:highlight w:val="none"/>
          <w14:textFill>
            <w14:solidFill>
              <w14:schemeClr w14:val="tx1"/>
            </w14:solidFill>
          </w14:textFill>
        </w:rPr>
      </w:pPr>
      <w:r>
        <w:rPr>
          <w:rFonts w:hint="eastAsia" w:ascii="宋体" w:hAnsi="宋体"/>
          <w:color w:val="000000" w:themeColor="text1"/>
          <w:sz w:val="22"/>
          <w:highlight w:val="none"/>
          <w14:textFill>
            <w14:solidFill>
              <w14:schemeClr w14:val="tx1"/>
            </w14:solidFill>
          </w14:textFill>
        </w:rPr>
        <w:t>本企业对上述声明内容的真实性负责。如有虚假，将依法承担相应责任。</w:t>
      </w:r>
    </w:p>
    <w:p w14:paraId="02339AF9">
      <w:pPr>
        <w:rPr>
          <w:rFonts w:ascii="宋体"/>
          <w:color w:val="auto"/>
          <w:sz w:val="22"/>
          <w:highlight w:val="none"/>
        </w:rPr>
      </w:pPr>
    </w:p>
    <w:p w14:paraId="0F033F8D">
      <w:pPr>
        <w:rPr>
          <w:rFonts w:ascii="宋体"/>
          <w:color w:val="auto"/>
          <w:sz w:val="22"/>
          <w:highlight w:val="none"/>
        </w:rPr>
      </w:pPr>
    </w:p>
    <w:p w14:paraId="48CAE08D">
      <w:pPr>
        <w:ind w:firstLine="3740" w:firstLineChars="1700"/>
        <w:rPr>
          <w:rFonts w:ascii="宋体"/>
          <w:color w:val="auto"/>
          <w:sz w:val="22"/>
          <w:highlight w:val="none"/>
        </w:rPr>
      </w:pPr>
      <w:r>
        <w:rPr>
          <w:rFonts w:hint="eastAsia" w:ascii="宋体" w:hAnsi="宋体"/>
          <w:color w:val="auto"/>
          <w:sz w:val="22"/>
          <w:highlight w:val="none"/>
          <w:lang w:eastAsia="zh-CN"/>
        </w:rPr>
        <w:t>响应人</w:t>
      </w:r>
      <w:r>
        <w:rPr>
          <w:rFonts w:hint="eastAsia" w:ascii="宋体" w:hAnsi="宋体"/>
          <w:color w:val="auto"/>
          <w:sz w:val="22"/>
          <w:highlight w:val="none"/>
        </w:rPr>
        <w:t>名称（</w:t>
      </w:r>
      <w:r>
        <w:rPr>
          <w:rFonts w:hint="eastAsia" w:ascii="宋体" w:hAnsi="宋体"/>
          <w:color w:val="auto"/>
          <w:sz w:val="22"/>
          <w:highlight w:val="none"/>
          <w:lang w:val="en-US" w:eastAsia="zh-CN"/>
        </w:rPr>
        <w:t>加盖公章</w:t>
      </w:r>
      <w:r>
        <w:rPr>
          <w:rFonts w:hint="eastAsia" w:ascii="宋体" w:hAnsi="宋体"/>
          <w:color w:val="auto"/>
          <w:sz w:val="22"/>
          <w:highlight w:val="none"/>
        </w:rPr>
        <w:t>）：</w:t>
      </w:r>
      <w:r>
        <w:rPr>
          <w:rFonts w:ascii="宋体" w:hAnsi="宋体"/>
          <w:color w:val="auto"/>
          <w:kern w:val="2"/>
          <w:sz w:val="22"/>
          <w:highlight w:val="none"/>
        </w:rPr>
        <w:t>_________________</w:t>
      </w:r>
    </w:p>
    <w:p w14:paraId="60B7053A">
      <w:pPr>
        <w:ind w:firstLine="5720" w:firstLineChars="2600"/>
        <w:rPr>
          <w:rFonts w:ascii="宋体"/>
          <w:color w:val="auto"/>
          <w:sz w:val="22"/>
          <w:highlight w:val="none"/>
        </w:rPr>
      </w:pPr>
      <w:r>
        <w:rPr>
          <w:rFonts w:hint="eastAsia" w:ascii="宋体" w:hAnsi="宋体"/>
          <w:color w:val="auto"/>
          <w:sz w:val="22"/>
          <w:highlight w:val="none"/>
        </w:rPr>
        <w:t>日 期：</w:t>
      </w:r>
      <w:r>
        <w:rPr>
          <w:rFonts w:ascii="宋体" w:hAnsi="宋体"/>
          <w:color w:val="auto"/>
          <w:kern w:val="2"/>
          <w:sz w:val="22"/>
          <w:highlight w:val="none"/>
        </w:rPr>
        <w:t>_________________</w:t>
      </w:r>
    </w:p>
    <w:p w14:paraId="354D2916">
      <w:pPr>
        <w:rPr>
          <w:rFonts w:ascii="宋体"/>
          <w:color w:val="auto"/>
          <w:sz w:val="22"/>
          <w:highlight w:val="none"/>
        </w:rPr>
      </w:pPr>
    </w:p>
    <w:p w14:paraId="7D726C2D">
      <w:pPr>
        <w:rPr>
          <w:rFonts w:ascii="宋体"/>
          <w:color w:val="auto"/>
          <w:sz w:val="22"/>
          <w:highlight w:val="none"/>
        </w:rPr>
      </w:pPr>
      <w:r>
        <w:rPr>
          <w:rFonts w:hint="eastAsia" w:ascii="宋体" w:hAnsi="宋体"/>
          <w:color w:val="auto"/>
          <w:sz w:val="22"/>
          <w:highlight w:val="none"/>
        </w:rPr>
        <w:t>说明：</w:t>
      </w:r>
    </w:p>
    <w:p w14:paraId="7D489220">
      <w:pPr>
        <w:pStyle w:val="61"/>
        <w:numPr>
          <w:ilvl w:val="0"/>
          <w:numId w:val="25"/>
        </w:numPr>
        <w:adjustRightInd/>
        <w:spacing w:line="240" w:lineRule="auto"/>
        <w:ind w:firstLineChars="0"/>
        <w:jc w:val="both"/>
        <w:textAlignment w:val="auto"/>
        <w:rPr>
          <w:rFonts w:ascii="宋体"/>
          <w:color w:val="auto"/>
          <w:sz w:val="22"/>
          <w:highlight w:val="none"/>
        </w:rPr>
      </w:pPr>
      <w:r>
        <w:rPr>
          <w:rFonts w:hint="eastAsia" w:ascii="宋体" w:hAnsi="宋体"/>
          <w:color w:val="auto"/>
          <w:sz w:val="22"/>
          <w:highlight w:val="none"/>
        </w:rPr>
        <w:t>从业人员、营业收入、资产总额填报上一年度数据，无上一年度数据的新成立企业可不填报。</w:t>
      </w:r>
    </w:p>
    <w:p w14:paraId="2996107F">
      <w:pPr>
        <w:pStyle w:val="61"/>
        <w:keepNext w:val="0"/>
        <w:keepLines w:val="0"/>
        <w:pageBreakBefore w:val="0"/>
        <w:widowControl w:val="0"/>
        <w:numPr>
          <w:ilvl w:val="0"/>
          <w:numId w:val="25"/>
        </w:numPr>
        <w:kinsoku/>
        <w:wordWrap/>
        <w:overflowPunct w:val="0"/>
        <w:topLinePunct w:val="0"/>
        <w:autoSpaceDE w:val="0"/>
        <w:autoSpaceDN w:val="0"/>
        <w:bidi w:val="0"/>
        <w:adjustRightInd/>
        <w:snapToGrid w:val="0"/>
        <w:spacing w:line="320" w:lineRule="exact"/>
        <w:ind w:left="420" w:hanging="420" w:firstLineChars="0"/>
        <w:jc w:val="both"/>
        <w:textAlignment w:val="auto"/>
        <w:rPr>
          <w:rFonts w:hint="eastAsia" w:ascii="宋体" w:hAnsi="宋体" w:cs="微软雅黑"/>
          <w:bCs/>
          <w:color w:val="auto"/>
          <w:sz w:val="22"/>
          <w:highlight w:val="none"/>
        </w:rPr>
      </w:pPr>
      <w:r>
        <w:rPr>
          <w:rFonts w:hint="eastAsia" w:ascii="宋体" w:hAnsi="宋体" w:cs="微软雅黑"/>
          <w:bCs/>
          <w:color w:val="auto"/>
          <w:sz w:val="22"/>
          <w:highlight w:val="none"/>
        </w:rPr>
        <w:t>中小企业划分标准详见工业和信息化部、国家统计局、国家发展和改革委员会、财政部联合印发的《关于印发中小企业划型标准规定的通知》（工信部联企业〔2011〕300号）。</w:t>
      </w:r>
    </w:p>
    <w:p w14:paraId="4ABF053A">
      <w:pPr>
        <w:pStyle w:val="61"/>
        <w:keepNext w:val="0"/>
        <w:keepLines w:val="0"/>
        <w:pageBreakBefore w:val="0"/>
        <w:widowControl w:val="0"/>
        <w:numPr>
          <w:ilvl w:val="0"/>
          <w:numId w:val="0"/>
        </w:numPr>
        <w:kinsoku/>
        <w:wordWrap/>
        <w:overflowPunct w:val="0"/>
        <w:topLinePunct w:val="0"/>
        <w:autoSpaceDE w:val="0"/>
        <w:autoSpaceDN w:val="0"/>
        <w:bidi w:val="0"/>
        <w:adjustRightInd/>
        <w:snapToGrid w:val="0"/>
        <w:spacing w:line="320" w:lineRule="exact"/>
        <w:ind w:leftChars="0"/>
        <w:jc w:val="both"/>
        <w:textAlignment w:val="auto"/>
        <w:rPr>
          <w:rFonts w:hint="default" w:ascii="宋体" w:hAnsi="宋体" w:cs="微软雅黑"/>
          <w:b/>
          <w:bCs w:val="0"/>
          <w:color w:val="FF0000"/>
          <w:sz w:val="22"/>
          <w:highlight w:val="none"/>
          <w:lang w:val="en-US" w:eastAsia="zh-CN"/>
        </w:rPr>
        <w:sectPr>
          <w:pgSz w:w="11907" w:h="16840"/>
          <w:pgMar w:top="1701" w:right="1588" w:bottom="1701" w:left="1588" w:header="851" w:footer="851" w:gutter="0"/>
          <w:cols w:space="720" w:num="1"/>
          <w:docGrid w:type="lines" w:linePitch="312" w:charSpace="0"/>
        </w:sectPr>
      </w:pPr>
    </w:p>
    <w:p w14:paraId="6CACCDCC">
      <w:pPr>
        <w:pStyle w:val="67"/>
        <w:numPr>
          <w:ilvl w:val="1"/>
          <w:numId w:val="0"/>
        </w:numPr>
        <w:tabs>
          <w:tab w:val="left" w:pos="660"/>
        </w:tabs>
        <w:snapToGrid w:val="0"/>
        <w:spacing w:before="0" w:line="400" w:lineRule="exact"/>
        <w:ind w:leftChars="0"/>
        <w:jc w:val="center"/>
        <w:outlineLvl w:val="9"/>
        <w:rPr>
          <w:rFonts w:cs="微软雅黑"/>
          <w:color w:val="auto"/>
          <w:sz w:val="22"/>
          <w:szCs w:val="22"/>
          <w:highlight w:val="none"/>
        </w:rPr>
      </w:pPr>
      <w:r>
        <w:rPr>
          <w:rFonts w:hint="eastAsia" w:cs="微软雅黑"/>
          <w:color w:val="auto"/>
          <w:sz w:val="22"/>
          <w:szCs w:val="22"/>
          <w:highlight w:val="none"/>
        </w:rPr>
        <w:t>残疾人福利性单位声明函</w:t>
      </w:r>
    </w:p>
    <w:p w14:paraId="2FAD02FD">
      <w:pPr>
        <w:spacing w:beforeLines="100" w:line="302" w:lineRule="auto"/>
        <w:ind w:firstLine="440" w:firstLineChars="200"/>
        <w:rPr>
          <w:rFonts w:ascii="宋体"/>
          <w:color w:val="auto"/>
          <w:sz w:val="22"/>
          <w:highlight w:val="none"/>
        </w:rPr>
      </w:pPr>
      <w:r>
        <w:rPr>
          <w:rFonts w:hint="eastAsia" w:ascii="宋体" w:hAnsi="宋体"/>
          <w:color w:val="auto"/>
          <w:sz w:val="22"/>
          <w:highlight w:val="none"/>
        </w:rPr>
        <w:t>本单位郑重声明，根据《财政部民政部中国残疾人联合会关于促进残疾人就业政府采购政策的通知》（财库〔</w:t>
      </w:r>
      <w:r>
        <w:rPr>
          <w:rFonts w:ascii="宋体" w:hAnsi="宋体"/>
          <w:color w:val="auto"/>
          <w:sz w:val="22"/>
          <w:highlight w:val="none"/>
        </w:rPr>
        <w:t>2017</w:t>
      </w:r>
      <w:r>
        <w:rPr>
          <w:rFonts w:hint="eastAsia" w:ascii="宋体" w:hAnsi="宋体"/>
          <w:color w:val="auto"/>
          <w:sz w:val="22"/>
          <w:highlight w:val="none"/>
        </w:rPr>
        <w:t>〕</w:t>
      </w:r>
      <w:r>
        <w:rPr>
          <w:rFonts w:ascii="宋体" w:hAnsi="宋体"/>
          <w:color w:val="auto"/>
          <w:sz w:val="22"/>
          <w:highlight w:val="none"/>
        </w:rPr>
        <w:t>141</w:t>
      </w:r>
      <w:r>
        <w:rPr>
          <w:rFonts w:hint="eastAsia" w:ascii="宋体" w:hAnsi="宋体"/>
          <w:color w:val="auto"/>
          <w:sz w:val="22"/>
          <w:highlight w:val="none"/>
        </w:rPr>
        <w:t>号）的规定，本单位为符合条件的残疾人福利性单位，且本单位参加</w:t>
      </w:r>
      <w:r>
        <w:rPr>
          <w:rFonts w:ascii="宋体" w:hAnsi="宋体"/>
          <w:color w:val="auto"/>
          <w:sz w:val="22"/>
          <w:highlight w:val="none"/>
          <w:u w:val="single"/>
        </w:rPr>
        <w:t>______</w:t>
      </w:r>
      <w:r>
        <w:rPr>
          <w:rFonts w:hint="eastAsia" w:ascii="宋体" w:hAnsi="宋体"/>
          <w:color w:val="auto"/>
          <w:sz w:val="22"/>
          <w:highlight w:val="none"/>
          <w:u w:val="single"/>
          <w:lang w:val="en-US" w:eastAsia="zh-CN"/>
        </w:rPr>
        <w:t xml:space="preserve">     </w:t>
      </w:r>
      <w:r>
        <w:rPr>
          <w:rFonts w:hint="eastAsia" w:ascii="宋体" w:hAnsi="宋体"/>
          <w:color w:val="auto"/>
          <w:sz w:val="22"/>
          <w:highlight w:val="none"/>
        </w:rPr>
        <w:t>单位的</w:t>
      </w:r>
      <w:r>
        <w:rPr>
          <w:rFonts w:ascii="宋体" w:hAnsi="宋体"/>
          <w:color w:val="auto"/>
          <w:sz w:val="22"/>
          <w:highlight w:val="none"/>
          <w:u w:val="single"/>
        </w:rPr>
        <w:t>______</w:t>
      </w:r>
      <w:r>
        <w:rPr>
          <w:rFonts w:hint="eastAsia" w:ascii="宋体" w:hAnsi="宋体"/>
          <w:color w:val="auto"/>
          <w:sz w:val="22"/>
          <w:highlight w:val="none"/>
          <w:u w:val="single"/>
          <w:lang w:val="en-US" w:eastAsia="zh-CN"/>
        </w:rPr>
        <w:t xml:space="preserve">      </w:t>
      </w:r>
      <w:r>
        <w:rPr>
          <w:rFonts w:hint="eastAsia" w:ascii="宋体" w:hAnsi="宋体"/>
          <w:color w:val="auto"/>
          <w:sz w:val="22"/>
          <w:highlight w:val="none"/>
        </w:rPr>
        <w:t>项目采购活动提供本单位制造的货物（由本单位承担工程</w:t>
      </w:r>
      <w:r>
        <w:rPr>
          <w:rFonts w:ascii="宋体" w:hAnsi="宋体"/>
          <w:color w:val="auto"/>
          <w:sz w:val="22"/>
          <w:highlight w:val="none"/>
        </w:rPr>
        <w:t>/</w:t>
      </w:r>
      <w:r>
        <w:rPr>
          <w:rFonts w:hint="eastAsia" w:ascii="宋体" w:hAnsi="宋体"/>
          <w:color w:val="auto"/>
          <w:sz w:val="22"/>
          <w:highlight w:val="none"/>
        </w:rPr>
        <w:t>提供服务），或者提供其他残疾人福利性单位制造的货物（不包括使用非残疾人福利性单位注册商标的货物）。</w:t>
      </w:r>
    </w:p>
    <w:p w14:paraId="091E500E">
      <w:pPr>
        <w:spacing w:beforeLines="100" w:line="302" w:lineRule="auto"/>
        <w:ind w:firstLine="440" w:firstLineChars="200"/>
        <w:rPr>
          <w:rFonts w:ascii="宋体"/>
          <w:color w:val="auto"/>
          <w:sz w:val="22"/>
          <w:highlight w:val="none"/>
        </w:rPr>
      </w:pPr>
      <w:r>
        <w:rPr>
          <w:rFonts w:hint="eastAsia" w:ascii="宋体" w:hAnsi="宋体"/>
          <w:color w:val="auto"/>
          <w:sz w:val="22"/>
          <w:highlight w:val="none"/>
        </w:rPr>
        <w:t>本单位对上述声明的真实性负责。如有虚假，将依法承担相应责任。</w:t>
      </w:r>
    </w:p>
    <w:p w14:paraId="283F9DC6">
      <w:pPr>
        <w:spacing w:line="240" w:lineRule="auto"/>
        <w:ind w:firstLine="464" w:firstLineChars="200"/>
        <w:rPr>
          <w:rFonts w:ascii="宋体"/>
          <w:color w:val="auto"/>
          <w:spacing w:val="6"/>
          <w:sz w:val="22"/>
          <w:highlight w:val="none"/>
        </w:rPr>
      </w:pPr>
    </w:p>
    <w:p w14:paraId="37E99488">
      <w:pPr>
        <w:spacing w:line="588" w:lineRule="exact"/>
        <w:ind w:firstLine="464" w:firstLineChars="200"/>
        <w:rPr>
          <w:rFonts w:ascii="宋体"/>
          <w:color w:val="auto"/>
          <w:spacing w:val="6"/>
          <w:sz w:val="22"/>
          <w:highlight w:val="none"/>
        </w:rPr>
      </w:pPr>
    </w:p>
    <w:p w14:paraId="3A3CFA60">
      <w:pPr>
        <w:pStyle w:val="12"/>
        <w:tabs>
          <w:tab w:val="left" w:pos="5580"/>
        </w:tabs>
        <w:spacing w:line="300" w:lineRule="auto"/>
        <w:ind w:firstLine="3520" w:firstLineChars="1600"/>
        <w:rPr>
          <w:rFonts w:hAnsi="宋体"/>
          <w:color w:val="auto"/>
          <w:sz w:val="22"/>
          <w:szCs w:val="22"/>
          <w:highlight w:val="none"/>
        </w:rPr>
      </w:pPr>
      <w:r>
        <w:rPr>
          <w:rFonts w:hint="eastAsia" w:hAnsi="宋体"/>
          <w:color w:val="auto"/>
          <w:sz w:val="22"/>
          <w:szCs w:val="22"/>
          <w:highlight w:val="none"/>
        </w:rPr>
        <w:t>响应人</w:t>
      </w:r>
      <w:r>
        <w:rPr>
          <w:rFonts w:hint="eastAsia" w:hAnsi="宋体"/>
          <w:color w:val="auto"/>
          <w:sz w:val="22"/>
          <w:szCs w:val="22"/>
          <w:highlight w:val="none"/>
          <w:lang w:val="en-US" w:eastAsia="zh-CN"/>
        </w:rPr>
        <w:t>名称</w:t>
      </w:r>
      <w:r>
        <w:rPr>
          <w:rFonts w:hint="eastAsia" w:hAnsi="宋体"/>
          <w:color w:val="auto"/>
          <w:sz w:val="22"/>
          <w:szCs w:val="22"/>
          <w:highlight w:val="none"/>
        </w:rPr>
        <w:t>（</w:t>
      </w:r>
      <w:r>
        <w:rPr>
          <w:rFonts w:hint="eastAsia" w:hAnsi="宋体"/>
          <w:color w:val="auto"/>
          <w:sz w:val="22"/>
          <w:szCs w:val="22"/>
          <w:highlight w:val="none"/>
          <w:lang w:val="en-US" w:eastAsia="zh-CN"/>
        </w:rPr>
        <w:t>加盖公章</w:t>
      </w:r>
      <w:r>
        <w:rPr>
          <w:rFonts w:hint="eastAsia" w:hAnsi="宋体"/>
          <w:color w:val="auto"/>
          <w:sz w:val="22"/>
          <w:szCs w:val="22"/>
          <w:highlight w:val="none"/>
        </w:rPr>
        <w:t>）：</w:t>
      </w:r>
      <w:r>
        <w:rPr>
          <w:rFonts w:hAnsi="宋体"/>
          <w:color w:val="auto"/>
          <w:sz w:val="22"/>
          <w:szCs w:val="22"/>
          <w:highlight w:val="none"/>
        </w:rPr>
        <w:t>__________________</w:t>
      </w:r>
    </w:p>
    <w:p w14:paraId="5E2D8DE4">
      <w:pPr>
        <w:spacing w:line="300" w:lineRule="auto"/>
        <w:ind w:firstLine="5390" w:firstLineChars="2450"/>
        <w:rPr>
          <w:rFonts w:ascii="宋体" w:hAnsi="宋体"/>
          <w:color w:val="auto"/>
          <w:sz w:val="22"/>
          <w:highlight w:val="none"/>
        </w:rPr>
      </w:pPr>
      <w:r>
        <w:rPr>
          <w:rFonts w:hint="eastAsia" w:ascii="宋体" w:hAnsi="宋体"/>
          <w:color w:val="auto"/>
          <w:sz w:val="22"/>
          <w:highlight w:val="none"/>
        </w:rPr>
        <w:t>日 期</w:t>
      </w:r>
      <w:r>
        <w:rPr>
          <w:rFonts w:hint="eastAsia" w:hAnsi="宋体"/>
          <w:color w:val="auto"/>
          <w:sz w:val="22"/>
          <w:highlight w:val="none"/>
        </w:rPr>
        <w:t>：</w:t>
      </w:r>
      <w:r>
        <w:rPr>
          <w:rFonts w:ascii="宋体" w:hAnsi="宋体"/>
          <w:color w:val="auto"/>
          <w:kern w:val="2"/>
          <w:sz w:val="22"/>
          <w:highlight w:val="none"/>
        </w:rPr>
        <w:t>__________________</w:t>
      </w:r>
    </w:p>
    <w:p w14:paraId="7828BF94">
      <w:pPr>
        <w:spacing w:line="300" w:lineRule="auto"/>
        <w:ind w:firstLine="4840" w:firstLineChars="2200"/>
        <w:rPr>
          <w:rFonts w:ascii="宋体"/>
          <w:color w:val="auto"/>
          <w:sz w:val="22"/>
          <w:highlight w:val="none"/>
        </w:rPr>
      </w:pPr>
    </w:p>
    <w:p w14:paraId="52736B76">
      <w:pPr>
        <w:rPr>
          <w:rFonts w:ascii="宋体"/>
          <w:color w:val="auto"/>
          <w:sz w:val="22"/>
          <w:highlight w:val="none"/>
        </w:rPr>
      </w:pPr>
      <w:r>
        <w:rPr>
          <w:rFonts w:ascii="宋体"/>
          <w:color w:val="auto"/>
          <w:sz w:val="22"/>
          <w:highlight w:val="none"/>
        </w:rPr>
        <w:br w:type="page"/>
      </w:r>
    </w:p>
    <w:p w14:paraId="2CF981FE">
      <w:pPr>
        <w:pStyle w:val="67"/>
        <w:numPr>
          <w:ilvl w:val="1"/>
          <w:numId w:val="0"/>
        </w:numPr>
        <w:tabs>
          <w:tab w:val="left" w:pos="660"/>
        </w:tabs>
        <w:snapToGrid w:val="0"/>
        <w:spacing w:before="0" w:line="400" w:lineRule="exact"/>
        <w:ind w:leftChars="0"/>
        <w:outlineLvl w:val="9"/>
        <w:rPr>
          <w:rFonts w:hint="eastAsia"/>
          <w:color w:val="auto"/>
          <w:sz w:val="22"/>
          <w:szCs w:val="22"/>
          <w:highlight w:val="none"/>
          <w:lang w:eastAsia="zh-CN"/>
        </w:rPr>
      </w:pPr>
      <w:r>
        <w:rPr>
          <w:rFonts w:hint="eastAsia" w:cs="微软雅黑"/>
          <w:color w:val="auto"/>
          <w:sz w:val="22"/>
          <w:szCs w:val="22"/>
          <w:highlight w:val="none"/>
          <w:lang w:val="en-US" w:eastAsia="zh-CN"/>
        </w:rPr>
        <w:t>四、*投标一览表</w:t>
      </w:r>
      <w:r>
        <w:rPr>
          <w:rFonts w:hint="eastAsia" w:cs="微软雅黑"/>
          <w:color w:val="auto"/>
          <w:sz w:val="22"/>
          <w:szCs w:val="22"/>
          <w:highlight w:val="none"/>
        </w:rPr>
        <w:tab/>
      </w:r>
      <w:r>
        <w:rPr>
          <w:rFonts w:hint="eastAsia"/>
          <w:color w:val="auto"/>
          <w:sz w:val="22"/>
          <w:szCs w:val="22"/>
          <w:highlight w:val="none"/>
          <w:lang w:eastAsia="zh-CN"/>
        </w:rPr>
        <w:t>（</w:t>
      </w:r>
      <w:r>
        <w:rPr>
          <w:rFonts w:hint="eastAsia"/>
          <w:color w:val="auto"/>
          <w:sz w:val="22"/>
          <w:szCs w:val="22"/>
          <w:highlight w:val="none"/>
          <w:lang w:val="en-US" w:eastAsia="zh-CN"/>
        </w:rPr>
        <w:t>具体说明与要求详见“响应人须知前附表”</w:t>
      </w:r>
      <w:r>
        <w:rPr>
          <w:rFonts w:hint="eastAsia"/>
          <w:color w:val="auto"/>
          <w:sz w:val="22"/>
          <w:szCs w:val="22"/>
          <w:highlight w:val="none"/>
          <w:lang w:eastAsia="zh-CN"/>
        </w:rPr>
        <w:t>）</w:t>
      </w:r>
      <w:bookmarkStart w:id="226" w:name="_GoBack"/>
      <w:bookmarkEnd w:id="226"/>
    </w:p>
    <w:p w14:paraId="132C89BA">
      <w:pPr>
        <w:ind w:firstLine="440" w:firstLineChars="200"/>
        <w:rPr>
          <w:rFonts w:hint="eastAsia"/>
          <w:color w:val="auto"/>
          <w:sz w:val="22"/>
          <w:szCs w:val="22"/>
          <w:highlight w:val="none"/>
          <w:lang w:eastAsia="zh-CN"/>
        </w:rPr>
      </w:pPr>
      <w:r>
        <w:rPr>
          <w:rFonts w:hint="eastAsia" w:ascii="宋体" w:hAnsi="宋体" w:cs="微软雅黑"/>
          <w:b w:val="0"/>
          <w:bCs w:val="0"/>
          <w:color w:val="auto"/>
          <w:sz w:val="22"/>
          <w:highlight w:val="none"/>
        </w:rPr>
        <w:t>投标一览表在客户端填报生成后，与制作生成的电子响应文件一同加密上传，无须在电子响应文件中额外提供。</w:t>
      </w:r>
    </w:p>
    <w:p w14:paraId="5FA27EED">
      <w:pPr>
        <w:snapToGrid w:val="0"/>
        <w:spacing w:before="0" w:after="0"/>
        <w:ind w:left="288" w:leftChars="0"/>
        <w:jc w:val="center"/>
        <w:rPr>
          <w:rFonts w:hint="eastAsia"/>
          <w:color w:val="auto"/>
          <w:sz w:val="32"/>
          <w:szCs w:val="21"/>
          <w:highlight w:val="none"/>
          <w:lang w:val="en-US" w:eastAsia="zh-CN"/>
        </w:rPr>
      </w:pPr>
      <w:bookmarkStart w:id="218" w:name="_Toc10217"/>
      <w:bookmarkStart w:id="219" w:name="_Toc25750"/>
      <w:r>
        <w:rPr>
          <w:rFonts w:hint="eastAsia"/>
          <w:color w:val="auto"/>
          <w:sz w:val="32"/>
          <w:szCs w:val="21"/>
          <w:highlight w:val="none"/>
          <w:lang w:val="en-US" w:eastAsia="zh-CN"/>
        </w:rPr>
        <w:br w:type="page"/>
      </w:r>
    </w:p>
    <w:p w14:paraId="1546D422">
      <w:pPr>
        <w:pStyle w:val="57"/>
        <w:numPr>
          <w:ilvl w:val="0"/>
          <w:numId w:val="0"/>
        </w:numPr>
        <w:snapToGrid w:val="0"/>
        <w:spacing w:before="0" w:after="0"/>
        <w:ind w:left="288" w:leftChars="0"/>
        <w:jc w:val="center"/>
        <w:rPr>
          <w:rFonts w:hint="eastAsia"/>
          <w:color w:val="auto"/>
          <w:sz w:val="32"/>
          <w:szCs w:val="21"/>
          <w:highlight w:val="none"/>
          <w:lang w:val="en-US" w:eastAsia="zh-CN"/>
        </w:rPr>
      </w:pPr>
      <w:r>
        <w:rPr>
          <w:rFonts w:hint="eastAsia"/>
          <w:color w:val="auto"/>
          <w:sz w:val="32"/>
          <w:szCs w:val="21"/>
          <w:highlight w:val="none"/>
          <w:lang w:val="en-US" w:eastAsia="zh-CN"/>
        </w:rPr>
        <w:t>第八部分 附件</w:t>
      </w:r>
      <w:bookmarkEnd w:id="218"/>
      <w:bookmarkEnd w:id="219"/>
    </w:p>
    <w:p w14:paraId="0709A7AC">
      <w:pPr>
        <w:spacing w:line="440" w:lineRule="exact"/>
        <w:ind w:left="0" w:leftChars="0" w:firstLine="0" w:firstLineChars="0"/>
        <w:jc w:val="center"/>
        <w:rPr>
          <w:rFonts w:hint="eastAsia" w:ascii="仿宋_GB2312" w:hAnsi="仿宋_GB2312" w:eastAsia="仿宋_GB2312" w:cs="仿宋_GB2312"/>
          <w:b/>
          <w:bCs/>
          <w:color w:val="000000"/>
          <w:sz w:val="24"/>
          <w:szCs w:val="24"/>
          <w:lang w:val="en-US" w:eastAsia="zh-CN"/>
        </w:rPr>
      </w:pPr>
      <w:r>
        <w:rPr>
          <w:rFonts w:hint="eastAsia" w:ascii="仿宋_GB2312" w:hAnsi="仿宋_GB2312" w:eastAsia="仿宋_GB2312" w:cs="仿宋_GB2312"/>
          <w:b/>
          <w:bCs/>
          <w:color w:val="000000"/>
          <w:sz w:val="24"/>
          <w:szCs w:val="24"/>
          <w:lang w:val="en-US" w:eastAsia="zh-CN"/>
        </w:rPr>
        <w:t>具体服务内容、标准及要求</w:t>
      </w:r>
    </w:p>
    <w:p w14:paraId="2D983544">
      <w:pPr>
        <w:spacing w:line="440" w:lineRule="exact"/>
        <w:ind w:left="0" w:leftChars="0" w:firstLine="0" w:firstLineChars="0"/>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综合办公类物业服务</w:t>
      </w:r>
    </w:p>
    <w:p w14:paraId="455398B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一.综合管理服务</w:t>
      </w:r>
    </w:p>
    <w:p w14:paraId="454AE4D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1.服务机构</w:t>
      </w:r>
    </w:p>
    <w:p w14:paraId="53BE37A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1.1物业服务企业应根据服务区域的具体情况和合同约定，设置相适应的物业服务机构,为服务对象提供一站式服务。</w:t>
      </w:r>
    </w:p>
    <w:p w14:paraId="228AB6F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1.2物业服务企业应有明确、清晰的组织架构，职责明确、清晰。</w:t>
      </w:r>
    </w:p>
    <w:p w14:paraId="79F59A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2.服务人员</w:t>
      </w:r>
    </w:p>
    <w:p w14:paraId="50BEB5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2.1物业服务企业应根据服务区域的具体情况和合同约定，配备充足的服务人员，人员数量应满足日常业务开展的需要并能够应对突发情况。</w:t>
      </w:r>
    </w:p>
    <w:p w14:paraId="0F429D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2.2服务人员应具备物业服务岗位技能，专业技术人员应取得相应专业技术证书。</w:t>
      </w:r>
    </w:p>
    <w:p w14:paraId="6C9818D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2.3服务人员在服务过程中应保持良好的精神状态，用语文明、规范，主动、热情、耐心、及时为服务对象提供服务。</w:t>
      </w:r>
    </w:p>
    <w:p w14:paraId="616477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2.4服务人员应分岗位统一着装，佩戴标志。</w:t>
      </w:r>
    </w:p>
    <w:p w14:paraId="0B25656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3.制度</w:t>
      </w:r>
    </w:p>
    <w:p w14:paraId="0DF95E5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3.1物业服务企业应针对服务项目特点建立相关管理制度，包括但不限于</w:t>
      </w:r>
      <w:r>
        <w:rPr>
          <w:rFonts w:hint="eastAsia" w:ascii="仿宋_GB2312" w:hAnsi="仿宋_GB2312" w:eastAsia="仿宋_GB2312" w:cs="仿宋_GB2312"/>
          <w:sz w:val="24"/>
          <w:szCs w:val="24"/>
          <w:highlight w:val="none"/>
          <w:lang w:eastAsia="zh-CN"/>
        </w:rPr>
        <w:t>综合管理服务、</w:t>
      </w:r>
      <w:r>
        <w:rPr>
          <w:rFonts w:hint="eastAsia" w:ascii="仿宋_GB2312" w:hAnsi="仿宋_GB2312" w:eastAsia="仿宋_GB2312" w:cs="仿宋_GB2312"/>
          <w:sz w:val="24"/>
          <w:szCs w:val="24"/>
          <w:lang w:eastAsia="zh-CN"/>
        </w:rPr>
        <w:t>建筑物日常养护维修</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、公共设施设备维护</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、保洁</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、绿化养护</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、接待和会议服务、收发服务、车辆管理、承</w:t>
      </w:r>
      <w:r>
        <w:rPr>
          <w:rFonts w:hint="eastAsia" w:ascii="仿宋_GB2312" w:hAnsi="仿宋_GB2312" w:eastAsia="仿宋_GB2312" w:cs="仿宋_GB2312"/>
          <w:sz w:val="24"/>
          <w:szCs w:val="24"/>
          <w:highlight w:val="none"/>
          <w:lang w:eastAsia="zh-CN"/>
        </w:rPr>
        <w:t>（交）</w:t>
      </w:r>
      <w:r>
        <w:rPr>
          <w:rFonts w:hint="eastAsia" w:ascii="仿宋_GB2312" w:hAnsi="仿宋_GB2312" w:eastAsia="仿宋_GB2312" w:cs="仿宋_GB2312"/>
          <w:sz w:val="24"/>
          <w:szCs w:val="24"/>
          <w:lang w:eastAsia="zh-CN"/>
        </w:rPr>
        <w:t>接查验、</w:t>
      </w:r>
      <w:r>
        <w:rPr>
          <w:rFonts w:hint="eastAsia" w:ascii="仿宋_GB2312" w:hAnsi="仿宋_GB2312" w:eastAsia="仿宋_GB2312" w:cs="仿宋_GB2312"/>
          <w:strike w:val="0"/>
          <w:sz w:val="24"/>
          <w:szCs w:val="24"/>
          <w:highlight w:val="none"/>
          <w:lang w:eastAsia="zh-CN"/>
        </w:rPr>
        <w:t>绿色</w:t>
      </w:r>
      <w:r>
        <w:rPr>
          <w:rFonts w:hint="eastAsia" w:ascii="仿宋_GB2312" w:hAnsi="仿宋_GB2312" w:eastAsia="仿宋_GB2312" w:cs="仿宋_GB2312"/>
          <w:sz w:val="24"/>
          <w:szCs w:val="24"/>
          <w:highlight w:val="none"/>
          <w:lang w:eastAsia="zh-CN"/>
        </w:rPr>
        <w:t>物业管理服务、标准化建设服务、特约服务</w:t>
      </w:r>
      <w:r>
        <w:rPr>
          <w:rFonts w:hint="eastAsia" w:ascii="仿宋_GB2312" w:hAnsi="仿宋_GB2312" w:eastAsia="仿宋_GB2312" w:cs="仿宋_GB2312"/>
          <w:sz w:val="24"/>
          <w:szCs w:val="24"/>
          <w:lang w:eastAsia="zh-CN"/>
        </w:rPr>
        <w:t>等制度。</w:t>
      </w:r>
    </w:p>
    <w:p w14:paraId="2C508D2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3.2物业服务企业应针对物业管理服务项目特点建立应对各类突发事件的应急预案。</w:t>
      </w:r>
    </w:p>
    <w:p w14:paraId="6CCCCF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3.3物业服务企业应建立培训体系，制定培训计划，定期组织培训、考核。</w:t>
      </w:r>
    </w:p>
    <w:p w14:paraId="62E778A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3.4物业服务企业应建立物业服务工作、运行记录。</w:t>
      </w:r>
    </w:p>
    <w:p w14:paraId="5B1FCFB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4.档案与管理</w:t>
      </w:r>
    </w:p>
    <w:p w14:paraId="78542EA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4.1物业服务企业应建立物业管理档案，包括但不限于客户资料、工程图纸、竣工验收备案资料、合同、收费、人事档案等。</w:t>
      </w:r>
    </w:p>
    <w:p w14:paraId="6530246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4.2配备档案管理人员。</w:t>
      </w:r>
    </w:p>
    <w:p w14:paraId="49C4854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4.3定期归档各类物业服务工作、运行记录。</w:t>
      </w:r>
    </w:p>
    <w:p w14:paraId="21A0F2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5.服务工具、设备</w:t>
      </w:r>
    </w:p>
    <w:p w14:paraId="416EB3A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物业服务企业应配备充足的工具、设备，满足开展物业管理服务所需。</w:t>
      </w:r>
    </w:p>
    <w:p w14:paraId="21EF41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6.实施、监督与改进</w:t>
      </w:r>
    </w:p>
    <w:p w14:paraId="3BDE097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6.1物业服务企业应制订物业管理服务工作计划，并组织实施、定期总结。</w:t>
      </w:r>
    </w:p>
    <w:p w14:paraId="02E0CCF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6.2物业服务企业应设立24小时服务电话，建立规范工作机制和应对各类突发事件的响应机制。</w:t>
      </w:r>
    </w:p>
    <w:p w14:paraId="2B44360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6.3物业服务企业应运用信息化、智能化手段，提高管理效率和服务质量水平。</w:t>
      </w:r>
    </w:p>
    <w:p w14:paraId="3219111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6.4物业服务企业应对物业管理服务区域各项服务管理项目实施检查监管，并对专业服务企业的服务行为承担监督责任。</w:t>
      </w:r>
    </w:p>
    <w:p w14:paraId="61BBD6A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6.5物业服务企业应接受相关部门管理和业主的合同履约监督，做好与服务对象的沟通交流，及时通报相关服务信息。</w:t>
      </w:r>
    </w:p>
    <w:p w14:paraId="0481B7A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6.6物业服务企业应定期开展满意度调查，对收集的服务反馈信息进行分析处理，查找原因，制定相关整改措施并反馈，进一步提高服务质量。</w:t>
      </w:r>
    </w:p>
    <w:p w14:paraId="15E52BF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二.建筑物日常养护维修服务</w:t>
      </w:r>
    </w:p>
    <w:p w14:paraId="3B842E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27F7006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对服务区域内建筑物进行日常巡查、养护、维修服务，包括但不限于：房屋结构、办公楼（区）室内地面，室内各类顶板，室内外墙面、屋面、屋面防水补漏，外墙防水、外墙粉刷、外墙修补、内墙粉刷，吊顶、隔断、幕墙玻璃、雨篷、散水、空调室外机支撑构件、踢脚、门（含门面、门锁、铰链及闭门器等）、窗户、窗玻璃、窗台、窗套、窗帘、窗帘盒、锁、铝合金窗柜、楼梯扶手、楼梯护板、玻璃幕墙、石材幕墙、铝扣板、铝合金门窗锁拉手维修，办公桌抽屉锁、抽屉排锁维修，水体、烘手机、隔断、室外道路、通风道、停车带、井盖、篦子、减速带、车挡、地沟、各类雨水及污水管道、防雷设施、围墙（栏）、园林挡土墙、花岗岩、活动场地、路面修补、绿化围栏、绿化栅拦、室外亭、台、桥、桌、椅、步行道、标识、标牌及其设施。</w:t>
      </w:r>
    </w:p>
    <w:p w14:paraId="752CAE8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4792620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2.1制定建筑物日常养护维修计划，保证物业服务区域内建筑物安全和正常使用，建筑物及其附属件重要部分完好率达100%。</w:t>
      </w:r>
    </w:p>
    <w:p w14:paraId="325A92B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2.2及时完成零星维修，合格率100%。</w:t>
      </w:r>
    </w:p>
    <w:p w14:paraId="6C2D373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2.3建立健全建筑物档案，维修记录和保养记录。</w:t>
      </w:r>
    </w:p>
    <w:p w14:paraId="680A7BE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2.4屋面维护</w:t>
      </w:r>
    </w:p>
    <w:p w14:paraId="3EC94CE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2.4.1女儿墙、防水层、伸缩缝、通风道等表面无开裂、起泡、起砂、缺损。</w:t>
      </w:r>
    </w:p>
    <w:p w14:paraId="29CEE9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2.4.2排水口无阻塞。</w:t>
      </w:r>
    </w:p>
    <w:p w14:paraId="53838A9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2.4.3及时清除屋面杂草、杂物。</w:t>
      </w:r>
    </w:p>
    <w:p w14:paraId="048386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2.5承重构件维护</w:t>
      </w:r>
    </w:p>
    <w:p w14:paraId="3EEA441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承重构件表面、本体、灰缝、连接节点、连接件、紧固件等无变形、开裂、松动、破损、铁涨锈蚀、蜂窝麻面、风化腐蚀。</w:t>
      </w:r>
    </w:p>
    <w:p w14:paraId="6397B66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2.6外立面维护</w:t>
      </w:r>
    </w:p>
    <w:p w14:paraId="3C945BC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2.6.1外墙面及其附属件、幕墙及其附属件，无破损、开裂、剥落、脱离等情况，符合相关安全要求。</w:t>
      </w:r>
    </w:p>
    <w:p w14:paraId="1D745AA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2.6.2室外门窗及其附属件、窗台、各种外露及悬挂物，保障门窗开关灵活、不松动、不变形；门窗附属件完好；外露及悬挂物牢固安全。</w:t>
      </w:r>
    </w:p>
    <w:p w14:paraId="593CC8B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2.7室内装修维护</w:t>
      </w:r>
    </w:p>
    <w:p w14:paraId="17759AE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2.7.1地面瓷砖平整、无缺损。</w:t>
      </w:r>
    </w:p>
    <w:p w14:paraId="16DAA2A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2.7.2墙面无剥落、起皮。</w:t>
      </w:r>
    </w:p>
    <w:p w14:paraId="0C9B6FD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2.7.3附属件完好，外观统一。</w:t>
      </w:r>
    </w:p>
    <w:p w14:paraId="146B44C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2.7.4各种装饰悬挂件牢固、安全、无缺损。</w:t>
      </w:r>
    </w:p>
    <w:p w14:paraId="2AD306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2.7.5栏杆扶手及其附属件完好、无锈蚀。</w:t>
      </w:r>
    </w:p>
    <w:p w14:paraId="2C4BEED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2.7.6室内门窗开关灵活、不松动、不变形，门窗附属件齐全完好。</w:t>
      </w:r>
    </w:p>
    <w:p w14:paraId="15E77EF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2.7.7各类功能性设施完好。</w:t>
      </w:r>
    </w:p>
    <w:p w14:paraId="66AC81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2.8地基基础维护</w:t>
      </w:r>
    </w:p>
    <w:p w14:paraId="2E70A3F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2.8.1地坪、明沟、散水、台阶等，无塌陷、变形、脱开。</w:t>
      </w:r>
    </w:p>
    <w:p w14:paraId="1C8D0FD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2.8.2预制构件无开裂、损毁。</w:t>
      </w:r>
    </w:p>
    <w:p w14:paraId="3B606A7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2.8.3基础主体无沉降、倾斜、开裂现象。</w:t>
      </w:r>
    </w:p>
    <w:p w14:paraId="368BC10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2.9附属建筑维护</w:t>
      </w:r>
    </w:p>
    <w:p w14:paraId="2AF07A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2.9.1消防通道、无障碍设施、路面、坡道等无障碍物、无破损、无积水。</w:t>
      </w:r>
    </w:p>
    <w:p w14:paraId="373D029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2.9.2围墙、栅栏、大门等围护设施无破损、金属无锈蚀，道闸、电子围栏工作正常。</w:t>
      </w:r>
    </w:p>
    <w:p w14:paraId="51C665D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2.9.3附属用房、水景、雕塑、座椅、遮阳等设施无损坏，能安全使用。</w:t>
      </w:r>
    </w:p>
    <w:p w14:paraId="175114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2.9.4标识标牌规范清晰、路线指引正确、安装稳固。</w:t>
      </w:r>
    </w:p>
    <w:p w14:paraId="00C43DE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三.公共设施设备维护服务</w:t>
      </w:r>
    </w:p>
    <w:p w14:paraId="4756C51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779F70F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物业服务企业应对服务区域内公共设施设备进行日常巡查、养护、维修服务，包括但不限于：电气系统、电梯系统、安全防范、消防系统、楼宇自控系统与综合布线、暖通与空调系统、给排水系统、锅炉系统等。</w:t>
      </w:r>
    </w:p>
    <w:p w14:paraId="69B69C2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4861A7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2.1制定公共设施设备维护计划，严格按照国家法律法规和设备操作规程开展维护保养工作，保证物业服务区域内公共设施设备正常运行。</w:t>
      </w:r>
    </w:p>
    <w:p w14:paraId="2095417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2.2及时完成零星维修，合格率100%。</w:t>
      </w:r>
    </w:p>
    <w:p w14:paraId="3F4363A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2.3建立健全公共设施设备档案，维修记录和保养记录。</w:t>
      </w:r>
    </w:p>
    <w:p w14:paraId="4AA123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2.4电气系统</w:t>
      </w:r>
    </w:p>
    <w:p w14:paraId="0F971BF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2.4.1定期对变配电室巡检，检查内容和要求包括：</w:t>
      </w:r>
    </w:p>
    <w:p w14:paraId="4043B90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2.4.1.1隔离开关、负荷开关和熔断器位置正确、平整和牢固；仪表完好、墙上模拟图操作完好、门柜锁完好；变压器温度在正常范围内，通风良好；三相电压表读数平衡，变压器声响正常；外壳接地装置可靠；门柜锁完好。</w:t>
      </w:r>
    </w:p>
    <w:p w14:paraId="719244D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2.4.1.2闸刀开关、负荷开关、空气开关和熔断器完好；面板指示灯和按钮、仪表完好；接地线连接应紧密牢固；门柜锁完好。</w:t>
      </w:r>
    </w:p>
    <w:p w14:paraId="0AD9B20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2.4.1.3接地线平直、牢固，无高低起伏和弯曲现象；接地体焊接牢固，防腐处理均匀。</w:t>
      </w:r>
    </w:p>
    <w:p w14:paraId="7C95943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2.4.1.4变配电室内配置的灭火器等消防设施压力正常，设备齐全，表面清洁。</w:t>
      </w:r>
    </w:p>
    <w:p w14:paraId="3F92A6D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2.4.2变配电抄表</w:t>
      </w:r>
    </w:p>
    <w:p w14:paraId="7A8508F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2.4.2.1低压配电室抄录主开关、电容柜、联络开关的电压、电流值、合/分情况等。</w:t>
      </w:r>
    </w:p>
    <w:p w14:paraId="57DC3A1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2.4.2.2高压配电室抄录高压进线电压、电流值，无功功率值、有功功率值、母联开关、所变的合/分情况。</w:t>
      </w:r>
    </w:p>
    <w:p w14:paraId="0387C4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2.4.2.3变压器室抄录变压器合/分情况、电流值、ABC三相温度等。</w:t>
      </w:r>
    </w:p>
    <w:p w14:paraId="5D99C38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2.4.2.4对所记录的各种数据进行对比分析，与以往数据比较，判断运行是否正常。</w:t>
      </w:r>
    </w:p>
    <w:p w14:paraId="6D063A7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2.4.3倒闸操作</w:t>
      </w:r>
    </w:p>
    <w:p w14:paraId="0468B04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2.4.3.1因操作而影响用户正常使用的，应事先发出经审批的停电通知。</w:t>
      </w:r>
    </w:p>
    <w:p w14:paraId="3838E55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2.4.3.2操作人在模拟板上操作，操作负责人审核操作任务是否与操作预令任务一致。</w:t>
      </w:r>
    </w:p>
    <w:p w14:paraId="2B5064B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2.4.3.3操作人熟悉和掌握危险点分析和控制措施。</w:t>
      </w:r>
    </w:p>
    <w:p w14:paraId="7DD96E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2.4.3.4操作人在操作全过程中严格按照规范化、标准化行为操作，遵守操作纪律。</w:t>
      </w:r>
    </w:p>
    <w:p w14:paraId="5026E40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2.4.3.5操作过程做好记录并保存。</w:t>
      </w:r>
    </w:p>
    <w:p w14:paraId="20CB4E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2.4.4停电限电操作</w:t>
      </w:r>
    </w:p>
    <w:p w14:paraId="7C1C46C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2.4.4.1停电、限电应有明确的审批权限，相关部门拟写通知，物业管理中心负责将通知发送至入驻单位以及各相关部门，并做好通知发放记录。如紧急情况，应采取必要紧急处理措施。</w:t>
      </w:r>
    </w:p>
    <w:p w14:paraId="3EF0B86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2.4.4.2物业管理中心张贴的告示、通知等按规定时间撤除。</w:t>
      </w:r>
    </w:p>
    <w:p w14:paraId="298A4C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2.4.4.3停电前，关停受影响的设备，如信息中心、锅炉、中央空调机组、电梯、水泵等，避免设备故障。</w:t>
      </w:r>
    </w:p>
    <w:p w14:paraId="22A5276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2.4.4.4当限电时，确保消防设施、安全通道照明的用电。</w:t>
      </w:r>
    </w:p>
    <w:p w14:paraId="6775712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2.4.5高（低）压变配电系统维护管理</w:t>
      </w:r>
    </w:p>
    <w:p w14:paraId="06420D4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2.4.5.1高（低）压配电应按年度维护计划或因故障进行检修，严格执行电气作业的安全技术措施和组织措施，并做好记录。</w:t>
      </w:r>
    </w:p>
    <w:p w14:paraId="1099C31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2.4.5.2在规定周期内进行高压电气设备试验，留存测试合格报告。</w:t>
      </w:r>
    </w:p>
    <w:p w14:paraId="2A15705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2.4.5.3高（低）压变（配）电柜操作运行正常，检测表计显示准确。</w:t>
      </w:r>
    </w:p>
    <w:p w14:paraId="2588A8D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2.4.5.4高（低）压变压器运行正常，温控显示准确，联控动作正常。</w:t>
      </w:r>
    </w:p>
    <w:p w14:paraId="7AB5721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2.4.5.5变（配）电柜直流操作系统运行正常，蓄电池组充、放电量稳定。 </w:t>
      </w:r>
    </w:p>
    <w:p w14:paraId="32BAB4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2.4.5.6功率因素自动补偿电容器（组）运行正常，自动切换正确可靠。</w:t>
      </w:r>
    </w:p>
    <w:p w14:paraId="1421EA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2.4.5.7变（配）点系统联络自切正常。</w:t>
      </w:r>
    </w:p>
    <w:p w14:paraId="1E77339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2.4.6应急供电系统</w:t>
      </w:r>
    </w:p>
    <w:p w14:paraId="2C0FDA6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2.4.6.1柴油发电机组维护保养</w:t>
      </w:r>
    </w:p>
    <w:p w14:paraId="033CED6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2.4.6.1.1定期进行室外储油罐、日用油箱油位检查。</w:t>
      </w:r>
    </w:p>
    <w:p w14:paraId="2A54623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2.4.6.1.2定期手动启动一次柴油发电机，确保发电机转速、运行声音、振动情况正常；确保润滑油压力正常、润滑油油位达标、冷却水水温正常、水箱水位达标、燃油系统、油位达标、排烟温度正常；确保输出电压、频率正常；确保启动系统、蓄电池电压达标。</w:t>
      </w:r>
    </w:p>
    <w:p w14:paraId="2174743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2.4.6.1.3发电机控制柜手动及自动启动正常，各类表具显示正常；自动转换开关状态显示完好，动作正常。</w:t>
      </w:r>
    </w:p>
    <w:p w14:paraId="6222EC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2.4.6.1.4定期检查并更换柴油过滤器、更换润滑油与过滤器，清洗和更换空气过滤器。</w:t>
      </w:r>
    </w:p>
    <w:p w14:paraId="6BB01C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2.4.6.1.5定期启动和维护备用发电机（组），确保随时应急启用。</w:t>
      </w:r>
    </w:p>
    <w:p w14:paraId="6EF0F6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2.4.6.1.6定期对应急照明设施进行检查、维护，使其处于有效待命状态。 </w:t>
      </w:r>
    </w:p>
    <w:p w14:paraId="77EABE4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2.4.6.1.7定期进行烟道除灰清洁。</w:t>
      </w:r>
    </w:p>
    <w:p w14:paraId="75E62BD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2.4.6.2UPS设备巡检</w:t>
      </w:r>
    </w:p>
    <w:p w14:paraId="4887B81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2.4.6.2.1应确保控制面板、UPS工作状态、环境温湿度、消防设施正常、完好。</w:t>
      </w:r>
    </w:p>
    <w:p w14:paraId="37A13EC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2.4.6.2.2检查并记录均充、浮充电流、直流母线电压。</w:t>
      </w:r>
    </w:p>
    <w:p w14:paraId="4644B83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2.4.6.2.3定期对蓄电池组进行充放电试验，进行蓄电检查及保养。保持蓄电池室环境温度15℃至25℃,室内通风，环境卫生良好。</w:t>
      </w:r>
    </w:p>
    <w:p w14:paraId="4BD6D2A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2.4.7防雷系统</w:t>
      </w:r>
    </w:p>
    <w:p w14:paraId="15D185B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2.4.7.1定期检查避雷针（避雷器）及接地引下线进行检查，确保各部位紧固、无断裂锈蚀、下沉倾斜等。</w:t>
      </w:r>
    </w:p>
    <w:p w14:paraId="6ACDC12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2.4.7.2定期对办公楼变配电室设备的接地带进行检查。</w:t>
      </w:r>
    </w:p>
    <w:p w14:paraId="3140DE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2.4.7.3定期对办公楼各重要机房内的配电柜及设备接地进行检查。</w:t>
      </w:r>
    </w:p>
    <w:p w14:paraId="4666747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2.4.7.4保证所有机电设备、管道、构架等金属无接地良好。</w:t>
      </w:r>
    </w:p>
    <w:p w14:paraId="6A1ADD8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2.5电梯系统</w:t>
      </w:r>
    </w:p>
    <w:p w14:paraId="3B64759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2.5.1电梯须由具备专业资质的单位、具备相应资格的人员进行定期保养维修。</w:t>
      </w:r>
    </w:p>
    <w:p w14:paraId="78575FA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2.5.2物业服务企业应配备电梯安全员监督管理电梯日常运行、保养维修工作。</w:t>
      </w:r>
    </w:p>
    <w:p w14:paraId="72D7040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2.5.3定期巡检，确保机房内无异常运行声响，机房温湿度适宜，无漏水、进水。</w:t>
      </w:r>
    </w:p>
    <w:p w14:paraId="6E855C7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2.5.4电梯楼层指示灯与轿厢实际位置相符，厅门按钮及按钮灯正常，厅门关闭密封牢固，电梯到达平层应平稳，厅门地坎与轿厢地坎误差在标准范围内。</w:t>
      </w:r>
    </w:p>
    <w:p w14:paraId="66AA93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2.5.5轿厢内各附属设施（楼层信号灯、风扇/空调、照明、警铃、电话、开关门按钮等）正常，电梯起动平稳、运行恒速，减速无明显压迫感。</w:t>
      </w:r>
    </w:p>
    <w:p w14:paraId="3F980D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2.5.6保持电梯机房清洁，保持地面无积尘，控制柜、主机表面无污渍。</w:t>
      </w:r>
    </w:p>
    <w:p w14:paraId="1C6A593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2.5.7需停梯，应提前张贴书面通知。</w:t>
      </w:r>
    </w:p>
    <w:p w14:paraId="65903E7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2.5.8电梯运行异常情况下，在通知电梯维保单位同时，电梯安全员须按应急预案，采用紧急处理措施实施处理。</w:t>
      </w:r>
    </w:p>
    <w:p w14:paraId="41D4CF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2.6安全防范系统</w:t>
      </w:r>
    </w:p>
    <w:p w14:paraId="14B6758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2.6.1中央监控系统</w:t>
      </w:r>
    </w:p>
    <w:p w14:paraId="7642A45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2.6.1.1摄像机安装牢固、位置正确、工作正常、整洁。</w:t>
      </w:r>
    </w:p>
    <w:p w14:paraId="775EEA3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2.6.1.2画面分割器工作正常、整洁。</w:t>
      </w:r>
    </w:p>
    <w:p w14:paraId="1D52E52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2.6.1.3录入设备工作正常、整洁。</w:t>
      </w:r>
    </w:p>
    <w:p w14:paraId="7AE3CE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2.6.1.4监视器工作正常、图像清晰、色彩良好。</w:t>
      </w:r>
    </w:p>
    <w:p w14:paraId="1118651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2.6.1.5矩阵工作正常、线路整齐、标识清楚。</w:t>
      </w:r>
    </w:p>
    <w:p w14:paraId="73EDCB1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2.6.1.6监控的录入资料至少保存30天，有特殊要求的按照相关规定或标准执行。 </w:t>
      </w:r>
    </w:p>
    <w:p w14:paraId="066D911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2.6.2巡更系统</w:t>
      </w:r>
    </w:p>
    <w:p w14:paraId="2400C80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2.6.2.1工作站工作正常、整洁。</w:t>
      </w:r>
    </w:p>
    <w:p w14:paraId="3155B79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2.6.2.2巡更器具工作正常。</w:t>
      </w:r>
    </w:p>
    <w:p w14:paraId="357BE0A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2.6.2.3巡更点位置正确、安装牢固、工作正常。</w:t>
      </w:r>
    </w:p>
    <w:p w14:paraId="17F683E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2.6.3周界报警系统</w:t>
      </w:r>
    </w:p>
    <w:p w14:paraId="0CAE17C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2.6.3.1工作站工作正常、整洁。</w:t>
      </w:r>
    </w:p>
    <w:p w14:paraId="17F7823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2.6.3.2红外探头安装牢固、线路无损、工作正常、整洁。</w:t>
      </w:r>
    </w:p>
    <w:p w14:paraId="2924440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2.6.4对讲系统</w:t>
      </w:r>
    </w:p>
    <w:p w14:paraId="51EC846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2.6.4.1基站线路无损、工作正常、整洁。</w:t>
      </w:r>
    </w:p>
    <w:p w14:paraId="7C990A3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2.6.4.2天线安装牢固、工作正常、整洁。</w:t>
      </w:r>
    </w:p>
    <w:p w14:paraId="3059112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2.7消防系统</w:t>
      </w:r>
    </w:p>
    <w:p w14:paraId="2885BD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2.7.1各项消防设备按规定进行定期检查，保证设施齐全、功能运行正常。</w:t>
      </w:r>
    </w:p>
    <w:p w14:paraId="7514420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2.7.2火灾探测器定期进行时效模拟试验，探测器定期进行清洗，及时更换失效的器件。</w:t>
      </w:r>
    </w:p>
    <w:p w14:paraId="30DC46F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2.7.3每年进行一次消防联动，检测各类消防系统各类运行参数和状况并作记录。</w:t>
      </w:r>
    </w:p>
    <w:p w14:paraId="605BF05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2.7.4消防灭火设施处于良好的待命状态，灭火器等灭火装置应定期进行信号测试与压力状态检查。</w:t>
      </w:r>
    </w:p>
    <w:p w14:paraId="04EF3B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2.7.5消防泵定期启动测试并做记录，定期保养，保证工作站工作正常、整洁。</w:t>
      </w:r>
    </w:p>
    <w:p w14:paraId="44518BD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2.7.6消火栓定期巡查，保持消火栓箱内各种配件完好。</w:t>
      </w:r>
    </w:p>
    <w:p w14:paraId="38EB167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2.7.7消防带定期检查，阀杆处定期加注润滑油并做放水检查。</w:t>
      </w:r>
    </w:p>
    <w:p w14:paraId="741ECED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2.7.8消防监控服务</w:t>
      </w:r>
    </w:p>
    <w:p w14:paraId="05CFACE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2.7.8.1消防监控系统须持有专业证书人员24小时值守，监控设备运行状况。</w:t>
      </w:r>
    </w:p>
    <w:p w14:paraId="25E4056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2.7.8.2接到报警信号应立即赶赴现场处理，并记录备案。</w:t>
      </w:r>
    </w:p>
    <w:p w14:paraId="197C014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2.7.8.3消防设施出现报警故障，应及时报修处理。</w:t>
      </w:r>
    </w:p>
    <w:p w14:paraId="1C99600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2.7.8.4消防控制室在确认火灾后，应当能控制有关部位的防火卷帘门按规定的程序下降，接收器反馈信号并显示其状态。</w:t>
      </w:r>
    </w:p>
    <w:p w14:paraId="0B51EA6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2.7.8.5消防报警与火灾处理</w:t>
      </w:r>
    </w:p>
    <w:p w14:paraId="076D249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2.7.8.5.1当被检测探头相应参数达到预定值时，探测器能输出火灾报警信号，同时启动探测器确认灯。</w:t>
      </w:r>
    </w:p>
    <w:p w14:paraId="706AD9D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2.7.8.5.2操作启动部件，手动火灾报警按钮能输出火灾报警信号，报警按钮有动作显示。</w:t>
      </w:r>
    </w:p>
    <w:p w14:paraId="660B8CF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2.7.8.5.3火灾时能在消防控制室将火灾疏散层的扬声器和广播背景印象系统强制转入火灾应急广播状态，并控制在选定的楼层（区域）内。</w:t>
      </w:r>
    </w:p>
    <w:p w14:paraId="2E7F88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2.7.8.5.4能正常接收来自火灾探测器及其它报警触发器件的火灾报警信号，发出声、光信号。</w:t>
      </w:r>
    </w:p>
    <w:p w14:paraId="090731A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2.7.8.5.5当控制器和火灾探测器、控制器和传输火灾报警信号作用的部件发生故障时，能正确指示出故障部位。</w:t>
      </w:r>
    </w:p>
    <w:p w14:paraId="0D8D59A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2.7.8.5.6显示预报警和故障信号时，如有火灾报警信号输入，能立即显示火灾报警信号；显示故障信号时，如有预报警信号输入，能显示预报警信号。</w:t>
      </w:r>
    </w:p>
    <w:p w14:paraId="5988C8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2.7.8.5.7主电源切换时，备用电源能自动投入运行；当主电源恢复时能从备用电源自动转入主电源状态。</w:t>
      </w:r>
    </w:p>
    <w:p w14:paraId="1F6AAD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2.7.8.5.8火灾确认后，发出控制信号，强制电梯全部停于首层，并接受其反馈信号，消防电梯联动迫降后可进行人工操作，其功能、信号正常。</w:t>
      </w:r>
    </w:p>
    <w:p w14:paraId="2AED176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2.7.8.5.9火灾确认后，能控制相应部位的正压风机和排烟风机启动，接收器反馈信号并显示其状态。</w:t>
      </w:r>
    </w:p>
    <w:p w14:paraId="7F068A5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2.7.8.5.10火灾确认后，发出控制信号，将火层的防烟风阀、排烟阀打开，接收其反馈信号并显示其状态。</w:t>
      </w:r>
    </w:p>
    <w:p w14:paraId="5E7A9BC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2.7.8.5.11火灾确认后，能释放建筑内的所有门禁装置，保证疏散门的畅通。</w:t>
      </w:r>
    </w:p>
    <w:p w14:paraId="67B631E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2.7.8.5.12数据采集柜蓄电池正常、线路整齐、接线正确、工作正常、整洁。</w:t>
      </w:r>
    </w:p>
    <w:p w14:paraId="6A02B6D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2.7.8.5.13末端设备安装牢固、位置正确、线路整齐、工作正常。</w:t>
      </w:r>
    </w:p>
    <w:p w14:paraId="399DA15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2.7.8.5.14中央联动装置工作正常，显示正确。</w:t>
      </w:r>
    </w:p>
    <w:p w14:paraId="2E603C2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2.8楼宇自控系统与综合布线</w:t>
      </w:r>
    </w:p>
    <w:p w14:paraId="4723119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2.8.1服务器、工作站、数字式直接控制器（DDC）工作正常、通讯正常、线路整齐；末端设备工作正常、接线正确、线路无损、安装牢固。</w:t>
      </w:r>
    </w:p>
    <w:p w14:paraId="610A894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2.8.2BA系统温度控制应根据季节变化及近期温度变化，变更空调运行模式，保持舒适的温度环境，并符合节能要求。</w:t>
      </w:r>
    </w:p>
    <w:p w14:paraId="2B2781E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2.8.3定期对BA系统巡检，查看各系统设备运行情况，包括空调机组启动情况、总供回水温度、压力、送（排）风机运行情况、重要会议室温度情况、锅炉运行情况、变配电系统、水池、水箱集水井排水泵运行情况等。</w:t>
      </w:r>
    </w:p>
    <w:p w14:paraId="760700B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2.8.4网络与通讯设备系统 </w:t>
      </w:r>
    </w:p>
    <w:p w14:paraId="6737087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2.8.4.1程控交换机（PABX）数据通讯工作正常、整洁、线路整齐。</w:t>
      </w:r>
    </w:p>
    <w:p w14:paraId="3862E4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2.8.4.1.1维护终端工作正常、整洁。</w:t>
      </w:r>
    </w:p>
    <w:p w14:paraId="2132D06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2.8.4.1.2计费系统工作正常、整洁。</w:t>
      </w:r>
    </w:p>
    <w:p w14:paraId="62BD75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2.8.4.1.3电源工作正常、蓄电池正常、设备整洁、显示仪表无损。</w:t>
      </w:r>
    </w:p>
    <w:p w14:paraId="47E83FB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2.8.4.1.4语音信箱工作正常、整洁、接线正确。</w:t>
      </w:r>
    </w:p>
    <w:p w14:paraId="1DCA425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2.8.4.2网络通讯设备</w:t>
      </w:r>
    </w:p>
    <w:p w14:paraId="5EC7751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2.8.4.2.1程控交换机工作正常。</w:t>
      </w:r>
    </w:p>
    <w:p w14:paraId="6DA18B7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2.8.4.2.2配线架排线整齐，标签完好，数据齐全。</w:t>
      </w:r>
    </w:p>
    <w:p w14:paraId="76E1281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2.8.4.2.3光线配架排线整齐，标签完好，数据齐全。</w:t>
      </w:r>
    </w:p>
    <w:p w14:paraId="7C8714E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2.8.4.2.4插座模块安装完好，线路畅通，表面整洁。</w:t>
      </w:r>
    </w:p>
    <w:p w14:paraId="3BA7403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2.8.4.3广播与背景音响系统</w:t>
      </w:r>
    </w:p>
    <w:p w14:paraId="49A2D84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2.8.4.3.1音源设备工作正常，整洁。</w:t>
      </w:r>
    </w:p>
    <w:p w14:paraId="265DC15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2.8.4.3.2功放设备工作正常，整洁。</w:t>
      </w:r>
    </w:p>
    <w:p w14:paraId="1AEAFC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2.8.4.3.3扬声器等末端设备工作正常、整洁，音质保持清晰。</w:t>
      </w:r>
    </w:p>
    <w:p w14:paraId="320525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2.8.4.3.4背景音响与消防报警系统的连接切换工作正常。</w:t>
      </w:r>
    </w:p>
    <w:p w14:paraId="325520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2.8.4.4话务台工作正常、话音清晰、整洁。</w:t>
      </w:r>
    </w:p>
    <w:p w14:paraId="4B2752A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2.9暖通与空调系统</w:t>
      </w:r>
    </w:p>
    <w:p w14:paraId="712E950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2.9.1定期对空调系统开机前进行检查，测试运行控制和安全控制功能，记录运行参数，分析运行记录。</w:t>
      </w:r>
    </w:p>
    <w:p w14:paraId="2D6E72A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2.9.2定期检查冷却塔风机变速齿轮箱、淋水装置、循环泵、电器控制箱，保证冷却塔及附属设施的正常运行和良好保养，提供符合要求的冷却水。</w:t>
      </w:r>
    </w:p>
    <w:p w14:paraId="67E6561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2.9.3定期对空气处理单元、新风处理单元、风机盘管、滤网、加湿器、风阀、积水盘、风机表冷器进行清洗和保养；定期清洗和更换空调机组的空气过滤器、冷凝水积水盘和冷凝水管道。</w:t>
      </w:r>
    </w:p>
    <w:p w14:paraId="6A8B950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2.9.4定期进行循环泵、空调主机、冷却风机电柜主电路螺栓紧固，测试绝缘值，作好记录。</w:t>
      </w:r>
    </w:p>
    <w:p w14:paraId="4BA8F20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2.9.5定期对空调系统主机、水泵、电机、管道、膨胀水箱、集水器、分水器进行检查保养。</w:t>
      </w:r>
    </w:p>
    <w:p w14:paraId="600F390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2.9.6各种管道完好，阀件及仪表齐备，无跑、冒、滴、漏。</w:t>
      </w:r>
    </w:p>
    <w:p w14:paraId="77A904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2.9.7保证冷冻主机及附属设施的正常运行和良好保养，提供符合要求的冷冻水。</w:t>
      </w:r>
    </w:p>
    <w:p w14:paraId="382A18D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2.9.8保证采暖热水及附属设施的正常运行和良好保养，提供符合要求的采暖热水。</w:t>
      </w:r>
    </w:p>
    <w:p w14:paraId="5D095D7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2.9.9对空调循环水质进行维护保养和水质分析，保证水系统内的水质符合国家标准要求。</w:t>
      </w:r>
    </w:p>
    <w:p w14:paraId="0C5A79B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2.9.10能量计费系统处于完好状态。</w:t>
      </w:r>
    </w:p>
    <w:p w14:paraId="2D47B5B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2.9.11定期检查空调机组、风机的运转情况，记录运行参数。</w:t>
      </w:r>
    </w:p>
    <w:p w14:paraId="05F915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2.9.12定期安排对新风量、排风量的测定。</w:t>
      </w:r>
    </w:p>
    <w:p w14:paraId="4A99B79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2.9.13应考虑定期安排对空气品质的测定。</w:t>
      </w:r>
    </w:p>
    <w:p w14:paraId="711498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2.9.14定期安排对风管系统的清洗。</w:t>
      </w:r>
    </w:p>
    <w:p w14:paraId="08B526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2.9.15做好空调系统维护保养记录。</w:t>
      </w:r>
    </w:p>
    <w:p w14:paraId="7FC0C99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2.10给排水系统</w:t>
      </w:r>
    </w:p>
    <w:p w14:paraId="66627C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2.10.1生活水泵、消防、喷淋水泵巡检</w:t>
      </w:r>
    </w:p>
    <w:p w14:paraId="13A112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2.10.1.1定期对生活水泵、消防、喷淋水泵巡检，检查水泵控制屏的指示灯、变频恒压供水控制器显示数据等是否正确；检查管道接头和阀门有无渗漏水，压力表显示压力等是否正常，用户末端的水压及流量满足使用要求；检查机房内有无异常运行声响，异常气味；机房温度是否适宜，有无漏水、进水，门窗是否关闭。</w:t>
      </w:r>
    </w:p>
    <w:p w14:paraId="34CF2C4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2.10.1.2定期对生活水泵及其机房环境清洁一次，保持地面无尘。控制柜、主机表面无污渍。</w:t>
      </w:r>
    </w:p>
    <w:p w14:paraId="761E64F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2.10.1.3做好巡检相关记录。</w:t>
      </w:r>
    </w:p>
    <w:p w14:paraId="230FDA5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2.10.1.4生活饮用水水质符合规定，确保水质无污染，二次供水设施应定期清洗、消毒或更换滤芯。</w:t>
      </w:r>
    </w:p>
    <w:p w14:paraId="7D166D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2.10.2生活水泵切换</w:t>
      </w:r>
    </w:p>
    <w:p w14:paraId="093ADF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2.10.2.1定期对生活水泵进行切换。</w:t>
      </w:r>
    </w:p>
    <w:p w14:paraId="4D4A30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2.10.2.2做好生活水泵切换记录。</w:t>
      </w:r>
    </w:p>
    <w:p w14:paraId="0CD1685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2.10.3生活水泵、消防、喷淋水泵维保</w:t>
      </w:r>
    </w:p>
    <w:p w14:paraId="07CCF97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2.10.3.1水泵控制回路每月进行一次紧固，检查是否可靠。</w:t>
      </w:r>
    </w:p>
    <w:p w14:paraId="51D39D3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2.10.3.2检查水泵及电机轴承运行情况，视情况加注润滑油；定期对水泵、管道进行除锈油漆。</w:t>
      </w:r>
    </w:p>
    <w:p w14:paraId="1521595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2.10.3.3观察点击运行时的电流、温升情况，声音是否异常，机械是否滑动灵活，对轴加油，使水泵达到良好状态。</w:t>
      </w:r>
    </w:p>
    <w:p w14:paraId="0AAC59C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2.10.3.4维保结束，做好生活水泵、消防、喷淋水泵维保记录。</w:t>
      </w:r>
    </w:p>
    <w:p w14:paraId="31F2940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2.10.4水箱水池</w:t>
      </w:r>
    </w:p>
    <w:p w14:paraId="46DC867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2.10.4.1水箱、水池巡检</w:t>
      </w:r>
    </w:p>
    <w:p w14:paraId="44F21E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2.10.4.1.1应定期对水箱、水池进行巡检。</w:t>
      </w:r>
    </w:p>
    <w:p w14:paraId="0B2B91A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2.10.4.1.2检查水箱、水池的水位控制阀和水位报警装置，确保正常供水。</w:t>
      </w:r>
    </w:p>
    <w:p w14:paraId="3482A9C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2.10.4.1.3确保水池、水箱有盖，保证水箱的密闭性和安全性，水箱排水管、溢水口、透气口应做好防护网罩，保障安全使用。</w:t>
      </w:r>
    </w:p>
    <w:p w14:paraId="49B1B3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2.10.4.1.4确保水箱、水池周边无有毒、有害及挥发性物质。</w:t>
      </w:r>
    </w:p>
    <w:p w14:paraId="7E5FFB0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2.10.4.1.5巡检结束后，做好水箱、水池巡检记录。</w:t>
      </w:r>
    </w:p>
    <w:p w14:paraId="00473D6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2.10.4.2水箱、水池清洗</w:t>
      </w:r>
    </w:p>
    <w:p w14:paraId="081F28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2.10.4.2.1对池壁、池底清洁次数不低于每半年一次，并按要求对管道、阀门、浮球进行检修保养。</w:t>
      </w:r>
    </w:p>
    <w:p w14:paraId="2ED5F6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w:t>
      </w:r>
      <w:r>
        <w:rPr>
          <w:rFonts w:hint="eastAsia" w:ascii="仿宋_GB2312" w:hAnsi="仿宋_GB2312" w:eastAsia="仿宋_GB2312" w:cs="仿宋_GB2312"/>
          <w:sz w:val="24"/>
          <w:szCs w:val="24"/>
          <w:lang w:val="en" w:eastAsia="zh-CN"/>
        </w:rPr>
        <w:t>2.</w:t>
      </w:r>
      <w:r>
        <w:rPr>
          <w:rFonts w:hint="eastAsia" w:ascii="仿宋_GB2312" w:hAnsi="仿宋_GB2312" w:eastAsia="仿宋_GB2312" w:cs="仿宋_GB2312"/>
          <w:sz w:val="24"/>
          <w:szCs w:val="24"/>
          <w:lang w:eastAsia="zh-CN"/>
        </w:rPr>
        <w:t>2清洗完毕后，用符合标准的消毒液，按比例稀释后对箱壁进行清洗消毒。</w:t>
      </w:r>
    </w:p>
    <w:p w14:paraId="5080E86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w:t>
      </w:r>
      <w:r>
        <w:rPr>
          <w:rFonts w:hint="eastAsia" w:ascii="仿宋_GB2312" w:hAnsi="仿宋_GB2312" w:eastAsia="仿宋_GB2312" w:cs="仿宋_GB2312"/>
          <w:sz w:val="24"/>
          <w:szCs w:val="24"/>
          <w:lang w:val="en" w:eastAsia="zh-CN"/>
        </w:rPr>
        <w:t>.</w:t>
      </w:r>
      <w:r>
        <w:rPr>
          <w:rFonts w:hint="eastAsia" w:ascii="仿宋_GB2312" w:hAnsi="仿宋_GB2312" w:eastAsia="仿宋_GB2312" w:cs="仿宋_GB2312"/>
          <w:sz w:val="24"/>
          <w:szCs w:val="24"/>
          <w:lang w:eastAsia="zh-CN"/>
        </w:rPr>
        <w:t>3对水箱出水取样，经检测确保水质化验合格，否则重新清洗。</w:t>
      </w:r>
    </w:p>
    <w:p w14:paraId="5D0FB95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2.10.4.2.4做好水箱、水池清洗记录、水质化验报告并保存。</w:t>
      </w:r>
    </w:p>
    <w:p w14:paraId="6E580F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2.10.5排水管道巡检</w:t>
      </w:r>
    </w:p>
    <w:p w14:paraId="78FA642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2.10.5.1定期对排水管道进行巡检；定期对污水处理系统全面维护保养，作业人员应有相应职业资格；系统无明显异味、噪声；污水排放达到标准要求。</w:t>
      </w:r>
    </w:p>
    <w:p w14:paraId="7E3B7A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2.10.5.2雨水管、废水管、污水泵、提升泵、排水泵、阀门等，曝气风机、排水系统通畅、完好；各种管道阀门完好，仪表显示正确，无跑、冒、滴、漏；排水管线标识应完善，油漆完好；道路排泄水口应畅通、无堵塞；地下排水管窨井盖完好。</w:t>
      </w:r>
    </w:p>
    <w:p w14:paraId="61BFE6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2.10.5.3做好排水管道巡检记录、维护保养记录。 </w:t>
      </w:r>
    </w:p>
    <w:p w14:paraId="02E0AF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2.10.6热、开水器</w:t>
      </w:r>
    </w:p>
    <w:p w14:paraId="3F41EA9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2.10.6.1热水器、开水器巡检</w:t>
      </w:r>
    </w:p>
    <w:p w14:paraId="243A48D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2.10.6.1.1确保电源控制正常，进出水阀门、水位表完好，温度表正常，水浮球开关控制完好，净水器进出口压力差正常。如有燃气热水器，确保燃气阀门、报警器完好。</w:t>
      </w:r>
    </w:p>
    <w:p w14:paraId="190BA83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2.10.6.1.2热水器、开水器内运行声响正常，无异味；管道接头和阀门无渗漏水，管道无堵塞；燃气管道无泄漏。</w:t>
      </w:r>
    </w:p>
    <w:p w14:paraId="538DFF7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2.10.6.1.3做好热水器、开水器巡检记录。</w:t>
      </w:r>
    </w:p>
    <w:p w14:paraId="4F29B82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2.10.6.2热水器、开水器维护保养</w:t>
      </w:r>
    </w:p>
    <w:p w14:paraId="2434C72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2.10.6.2.1定期对热水器、开水器进行维护保养，净水器进行反冲，清洁玻璃管；如是燃气热水器，每月一次清洁点火盘；定期更换滤芯；燃气点火软管定期更换一次。</w:t>
      </w:r>
    </w:p>
    <w:p w14:paraId="063BE95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2.10.6.2.2做好热水器、开水器维保记录。</w:t>
      </w:r>
    </w:p>
    <w:p w14:paraId="48F238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2.11锅炉系统</w:t>
      </w:r>
    </w:p>
    <w:p w14:paraId="3D82E45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2.11.1蒸汽锅炉</w:t>
      </w:r>
    </w:p>
    <w:p w14:paraId="627AD5A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接受行政主管部门指定的检测机构对锅炉设备进行安全检测，并对锅炉电机部分及程序控制器性能、锅炉排放烟气进行检测。</w:t>
      </w:r>
    </w:p>
    <w:p w14:paraId="66A524C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2.11.1.1蒸汽锅炉维护保养</w:t>
      </w:r>
    </w:p>
    <w:p w14:paraId="6D6FAC1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2.11.1.1.1每年对锅炉及附属设备进行定期保养；按规定更换油(气)喷嘴、保养和润滑电机、校验安全阀、检查交换器并添加树脂、设备管道补漆；对除氧器、冷凝水箱检修清洗；对锅筒内部检查并除垢。</w:t>
      </w:r>
    </w:p>
    <w:p w14:paraId="1FF782C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2.11.1.1.2定期对蒸汽压力表进行校检。</w:t>
      </w:r>
    </w:p>
    <w:p w14:paraId="70FD70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2.11.1.1.3定期对锅炉及附属设备保养；对防爆装置及泄爆装置进行安检:清理燃烧器、鼓风机风叶、烟管通灰；对机械设备更换或添加润滑油；超压、超温保护试验，安全阀排气正常。</w:t>
      </w:r>
    </w:p>
    <w:p w14:paraId="5950767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2.11.1.1.4定期对油气管路过滤器进行清洗，检查安全连锁装置。</w:t>
      </w:r>
    </w:p>
    <w:p w14:paraId="492CAE6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2.11.1.1.5应有专业人员对锅炉运行进行管理，做好锅炉安全经济运行监督、管理、工作记录。</w:t>
      </w:r>
    </w:p>
    <w:p w14:paraId="2DF9593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2.11.1.1.6检测水质硬度，符合要求。</w:t>
      </w:r>
    </w:p>
    <w:p w14:paraId="0B2092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2.11.1.1.7锅炉安全附件及仪表齐备，动作可靠。</w:t>
      </w:r>
    </w:p>
    <w:p w14:paraId="30E9A58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2.11.1.1.8在额定的流量范围内，输出蒸汽压力在允许范围之内。</w:t>
      </w:r>
    </w:p>
    <w:p w14:paraId="4E559E5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2.11.1.1.9汽、水管道完好，阀件及仪表齐备，无跑、冒、滴、漏。</w:t>
      </w:r>
    </w:p>
    <w:p w14:paraId="39B506E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2.11.1.1.10操作人员持证上岗。 </w:t>
      </w:r>
    </w:p>
    <w:p w14:paraId="7948366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2.11.1.2蒸汽锅炉运行管理</w:t>
      </w:r>
    </w:p>
    <w:p w14:paraId="78103FB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2.11.1.2.1按锅炉巡检巡回检查线路图巡视，定期巡检锅炉及其附属设备运行情况，记录运行数据。</w:t>
      </w:r>
    </w:p>
    <w:p w14:paraId="69C42B2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2.11.1.2.2锅炉运行中，出现运行故障或特殊情况，采取停炉措施。</w:t>
      </w:r>
    </w:p>
    <w:p w14:paraId="5C2399F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2.11.1.2.3做好锅炉运行记录并签名存放。</w:t>
      </w:r>
    </w:p>
    <w:p w14:paraId="0A2F7C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2.11.2热水锅炉</w:t>
      </w:r>
    </w:p>
    <w:p w14:paraId="5B1001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2.11.2.1定期对温控仪进行检测。</w:t>
      </w:r>
    </w:p>
    <w:p w14:paraId="5087915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2.11.2.2定期对附属设备进行维护保养。</w:t>
      </w:r>
    </w:p>
    <w:p w14:paraId="7B32438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2.11.2.3做好热水锅炉检测、维护保养记录。</w:t>
      </w:r>
    </w:p>
    <w:p w14:paraId="3065DEB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2.12标识系统</w:t>
      </w:r>
    </w:p>
    <w:p w14:paraId="42535D1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2.12.1办公区域、公共区域及仓储（库）区内设指示性标识包括引导、功能、警示标识，如:电梯、楼梯、出入口通道、残疾人通道、门牌号、商务中心、问询处、男女厕所、消防用品、劳防用品、办公用品、工具类物资、有毒有害废弃物存放点标识等。</w:t>
      </w:r>
    </w:p>
    <w:p w14:paraId="52B779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2.12.2办公区域、公共区域内的紧急出口、消防通道、禁烟区、有限空间、设备机房等重点部位设置警示性标识。</w:t>
      </w:r>
    </w:p>
    <w:p w14:paraId="296A881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2.12.3主要道路及停车场设置交通标识，主要路口设路标；配置并在适当时使用“维修进行中”等临时性服务状态标识。</w:t>
      </w:r>
    </w:p>
    <w:p w14:paraId="125C6B3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2.12.4标识的图形符号符合标准要求。</w:t>
      </w:r>
    </w:p>
    <w:p w14:paraId="01F482B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2.12.5消防与安全标识符合标准要求。</w:t>
      </w:r>
    </w:p>
    <w:p w14:paraId="0A33C10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2.12.6各类标识的格式统一，悬挂(摆放)应安全、正规、醒目、便利、协调、无涂改，文字规范。</w:t>
      </w:r>
    </w:p>
    <w:p w14:paraId="3130D14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四.保洁服务</w:t>
      </w:r>
    </w:p>
    <w:p w14:paraId="71D0124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6B3C22E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提供服务区域内保洁服务，包括但不限于：室内大厅、楼梯、走廊、天台、电梯厅及轿厢、卫生间、楼宇外墙等所有公共部位，服务区域内道路、院落、停车场（库）等所有公共场地及“门前三包”区域的日常清洁、保洁及保养；垃圾分类及废弃物清理、清运。</w:t>
      </w:r>
    </w:p>
    <w:p w14:paraId="2C1B38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3FB4D8E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2.1大堂及楼层公共区域</w:t>
      </w:r>
    </w:p>
    <w:p w14:paraId="5B50556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大堂内实行巡回保洁，每天清洁地坪次数视人流量和清洁状况而定，确保地面洁净有光泽，无垃圾杂物、灰尘污渍、无划痕、踢脚线、接缝、角落处洁净。遇雨雪天增加干拖把拖地次数，门口放防滑地毯及“小心地滑”警示牌，并经常清洗防滑地毯，保持地毯整洁无杂物。</w:t>
      </w:r>
    </w:p>
    <w:p w14:paraId="135526B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2.1.2及时清洗、擦拭、清理垃圾箱，垃圾不超过箱容积的三分之二，箱体洁净，周围无抛洒垃圾、异味，每天指定时间内将垃圾倒至垃圾收集站。</w:t>
      </w:r>
    </w:p>
    <w:p w14:paraId="1333314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2.1.3确保及时清洁垃圾桶。</w:t>
      </w:r>
    </w:p>
    <w:p w14:paraId="431634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2.1.4确保墙面、玻璃、桌椅等，玻璃大门无手印、无积尘、无水迹，保持光亮、干净，墙面、桌椅等整洁无积尘；低位墙、踢脚线、转角定期清洁，高位墙定期清洁，保持干净、无蛛网。</w:t>
      </w:r>
    </w:p>
    <w:p w14:paraId="0D5E60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2.1.5旋转门、门框、门中轴、门边缝部位光亮、无痕迹、无灰尘。窗框、窗台无灰尘、无污渍，金属件表面光亮。旋转门空调出风口无灰尘、无污迹。门把手定期消毒，保持干净、无痕迹。</w:t>
      </w:r>
    </w:p>
    <w:p w14:paraId="28275F0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bookmarkStart w:id="220" w:name="bookmark4"/>
      <w:bookmarkEnd w:id="220"/>
      <w:r>
        <w:rPr>
          <w:rFonts w:hint="eastAsia" w:ascii="仿宋_GB2312" w:hAnsi="仿宋_GB2312" w:eastAsia="仿宋_GB2312" w:cs="仿宋_GB2312"/>
          <w:sz w:val="24"/>
          <w:szCs w:val="24"/>
          <w:lang w:eastAsia="zh-CN"/>
        </w:rPr>
        <w:t>2.1.6楼梯扶手、栏杆、指示牌保持干净，金属件表面光亮、无污迹、无絮状物。指示牌定期清洁，清晰无灰尘。</w:t>
      </w:r>
    </w:p>
    <w:p w14:paraId="64E6A26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2.1.7天花板、公共灯具、风口、百叶窗，定期清洁，无积尘、斑点、无蛛网、水迹。</w:t>
      </w:r>
    </w:p>
    <w:p w14:paraId="6E03C8C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2.1.8室内排水管道、排水沟、窨井等管道沟渠，保持畅通，井道内无垃圾、无异味。</w:t>
      </w:r>
    </w:p>
    <w:p w14:paraId="789A5D3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2.1.9做好清洁服务记录。</w:t>
      </w:r>
    </w:p>
    <w:p w14:paraId="5EBDD3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2.2电梯及自动扶梯</w:t>
      </w:r>
    </w:p>
    <w:p w14:paraId="2F09FE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2.2.1轿厢内顶面和内侧墙壁保持光亮、无污迹，天花板无灰尘、蛛网；不锈钢材质部位定期做钢油护理；石材饰面的部位定期做晶面护理。</w:t>
      </w:r>
    </w:p>
    <w:p w14:paraId="7CFC36A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2.2.2按钮、扶手上无灰尘、污迹手印；天花板、出风口、照明无积尘、污垢。</w:t>
      </w:r>
    </w:p>
    <w:p w14:paraId="1210E85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2.2.3地面干净，定期对电梯内地毯吸尘清洗；保持地毯干净整洁，摆放规整。</w:t>
      </w:r>
    </w:p>
    <w:p w14:paraId="1BDEEA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2.2.4每周清理轿厢内导轨积灰、污垢、砂土。</w:t>
      </w:r>
    </w:p>
    <w:p w14:paraId="58F2414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2.2.5做好电梯清洁服务记录。</w:t>
      </w:r>
    </w:p>
    <w:p w14:paraId="7367A5F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2.3消防楼梯及公共通道</w:t>
      </w:r>
    </w:p>
    <w:p w14:paraId="0E826FE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2.3.1定期清扫台阶及边角，确保地面、阶梯（包括侧面）无垃圾、污迹、灰尘、水迹。</w:t>
      </w:r>
    </w:p>
    <w:p w14:paraId="1E4BCBF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2.3.2楼梯扶手无灰尘，扶手边隔断玻璃无手印、污迹，公共通道踢脚线干净无灰尘。</w:t>
      </w:r>
    </w:p>
    <w:p w14:paraId="23CD4F0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2.3.3做好消防楼梯及公共通道清洁服务记录。</w:t>
      </w:r>
    </w:p>
    <w:p w14:paraId="5038E9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2.4地下车库</w:t>
      </w:r>
    </w:p>
    <w:p w14:paraId="26BF4FB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保持地面无垃圾、无污垢（油渍）、无积水、无障碍物，空气畅通，灯泡、灯管、指示灯明亮、无积尘。定位杆、减速条完好明晰、无污垢、垃圾，反光镜干净明亮、无水迹、无污迹，消防通道无灰尘、无污渍、杂物；消防设施和停车栏杆灯具上无灰尘，消防箱外灭火器机箱、消火栓箱、警铃按钮外观红色鲜艳、表面无灰尘。</w:t>
      </w:r>
    </w:p>
    <w:p w14:paraId="34A1CE9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2.4.2地下室车库集水坑和排水沟畅通，盖板定期冲刷，保持清洁。</w:t>
      </w:r>
    </w:p>
    <w:p w14:paraId="05F3A06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2.4.3做好地下车库清洁服务记录。</w:t>
      </w:r>
    </w:p>
    <w:p w14:paraId="49A3C1D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2.5外围</w:t>
      </w:r>
    </w:p>
    <w:p w14:paraId="0E90C5F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2.5.1打扫、清洗地面的垃圾污迹等，确保室外地面干净、畅通，无堆放杂物、无积尘、无油渍、轮胎印；雨天无严重积水，冬天主干道上无积雪、积冰，废弃物及时清除。</w:t>
      </w:r>
    </w:p>
    <w:p w14:paraId="2CEF803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2.5.2做好外围清洁服务记录。</w:t>
      </w:r>
    </w:p>
    <w:p w14:paraId="69DA524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2.6大理石墙（地）面</w:t>
      </w:r>
    </w:p>
    <w:p w14:paraId="2366A4F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2.6.1每月一次刷洗墙面和缝隙，确保墙面无污迹、无水迹；不用酸性清洁剂进行清洗。</w:t>
      </w:r>
    </w:p>
    <w:p w14:paraId="3D57599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2.6.2每周一次清抹地面，确保无水迹。</w:t>
      </w:r>
    </w:p>
    <w:p w14:paraId="4AD0A6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2.6.3做好大理石墙（地）面清洁服务记录。</w:t>
      </w:r>
    </w:p>
    <w:p w14:paraId="7EB692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2.7垃圾房</w:t>
      </w:r>
    </w:p>
    <w:p w14:paraId="0F3294A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2.7.1垃圾房实行每日清扫，垃圾分类标识清晰，按照垃圾分类工作要求做好垃圾分类工作。</w:t>
      </w:r>
    </w:p>
    <w:p w14:paraId="58CDC37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2.7.2垃圾房周围及垃圾房地面无散落垃圾、无污秽物；排水沟无淤泥及污垢。</w:t>
      </w:r>
    </w:p>
    <w:p w14:paraId="3792A76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2.7.3定期消杀灭害，喷洒药水，防止害虫、细菌滋生。</w:t>
      </w:r>
    </w:p>
    <w:p w14:paraId="0A0738D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2.7.4垃圾收集箱内外表面干净、无残留物、无异味、定时消毒。</w:t>
      </w:r>
    </w:p>
    <w:p w14:paraId="7E2FFB0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2.7.5地漏口无杂物、堵塞。</w:t>
      </w:r>
    </w:p>
    <w:p w14:paraId="1B6847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2.7.6垃圾房内垃圾不过夜。</w:t>
      </w:r>
    </w:p>
    <w:p w14:paraId="160E063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2.7.7做好垃圾房清洁服务记录。</w:t>
      </w:r>
    </w:p>
    <w:p w14:paraId="66C6F3C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2.8屋面平台</w:t>
      </w:r>
    </w:p>
    <w:p w14:paraId="6367654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2.8.1平台地面无漂浮垃圾、砖块、木板、金属块等。</w:t>
      </w:r>
    </w:p>
    <w:p w14:paraId="5EA823D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2.8.2排水沟无垃圾，排水沟口畅通，发现堵塞及时清理。</w:t>
      </w:r>
    </w:p>
    <w:p w14:paraId="1E883EE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2.8.3平台无明显破损、脱落。</w:t>
      </w:r>
    </w:p>
    <w:p w14:paraId="6297D52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2.8.4做好平台清洁服务记录。</w:t>
      </w:r>
    </w:p>
    <w:p w14:paraId="34195CA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2.9卫生间</w:t>
      </w:r>
    </w:p>
    <w:p w14:paraId="1CAF377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2.9.1地面无垃圾、无污渍、无积水、定时消毒；地漏畅通无阻。</w:t>
      </w:r>
    </w:p>
    <w:p w14:paraId="147D4B5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2.9.2喷洒消毒清洁剂清洗坐便、便池，保持其干净、无污垢、无异味、畅通，如发现堵塞及时报修。</w:t>
      </w:r>
    </w:p>
    <w:p w14:paraId="656340B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2.9.3清洁墙面、隔断板，保持无污迹。</w:t>
      </w:r>
    </w:p>
    <w:p w14:paraId="5C691C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2.9.4洗手池无水锈、无皂迹、无毛发，对台面和洗手池进行消毒。</w:t>
      </w:r>
    </w:p>
    <w:p w14:paraId="39B71BA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2.9.5保持洁具、镜面表面光洁明亮、无毛发异物、无擦痕、定时消毒。</w:t>
      </w:r>
    </w:p>
    <w:p w14:paraId="2AB6BB5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2.9.6厕纸容器及时清倒，内部无满溢、无异味，外表无污迹。</w:t>
      </w:r>
    </w:p>
    <w:p w14:paraId="72739BE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2.9.7保持水龙头及其他配件、外露管道、洗手液盒、擦手纸盒、干手机等表面干净、无水迹、无污渍；洗手液、手纸及时添加。</w:t>
      </w:r>
    </w:p>
    <w:p w14:paraId="342329A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2.9.8空气清新无异味，窗玻璃清洁无积尘。</w:t>
      </w:r>
    </w:p>
    <w:p w14:paraId="2B871F5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2.9.9做好卫生间清洁服务记录。</w:t>
      </w:r>
    </w:p>
    <w:p w14:paraId="549BA0F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2.10茶水间</w:t>
      </w:r>
    </w:p>
    <w:p w14:paraId="54EBEFD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2.10.1台面保持干燥无水迹水垢、无污迹；水槽无斑点、杂物、水垢。</w:t>
      </w:r>
    </w:p>
    <w:p w14:paraId="6B1CB10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2.10.2冷热水龙头表面光亮、无污迹；水龙头纱布定期更换。</w:t>
      </w:r>
    </w:p>
    <w:p w14:paraId="6EFD53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2.10.3不锈钢水箱、烧水器表面无灰尘、无污垢；定期清洗不锈钢开水箱，除去水箱内壁水垢。</w:t>
      </w:r>
    </w:p>
    <w:p w14:paraId="1C97BC9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2.10.4按规范操作煤气烧水器、电烧水器，确保工作时间内开水供应。</w:t>
      </w:r>
    </w:p>
    <w:p w14:paraId="5C0492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2.10.5做好茶水间清洁服务记录。</w:t>
      </w:r>
    </w:p>
    <w:p w14:paraId="15D5431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2.11展示厅</w:t>
      </w:r>
    </w:p>
    <w:p w14:paraId="04A882A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玻璃橱顶无浮灰，玻璃橱立面地面干净，木橱、不锈钢、花瓶、横梁、踢脚线、绿化盆景、触摸屏、桌椅、茶几、画框、窗帘下沿横杆无灰尘。玻璃门无手印、无污迹。定期用刮刀、毛套清洁幕墙玻璃，用百洁布、铜亮剂清洁铜条，清洁展品橱内玻璃。</w:t>
      </w:r>
    </w:p>
    <w:p w14:paraId="650A31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地面无杂物、无水渍、无污渍、光亮整洁。玻璃门、木门、玻璃窗、图片框、石桥、石柱、护栏、电源箱、茶座、开关、风口、铜条、门压板等部位干净、明亮、整齐；定期用抛光机、光亮剂进行大理石养护。</w:t>
      </w:r>
    </w:p>
    <w:p w14:paraId="3590A4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2.11.3做好展示厅清洁服务记录。</w:t>
      </w:r>
    </w:p>
    <w:p w14:paraId="6537F6B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2.12贵宾厅</w:t>
      </w:r>
    </w:p>
    <w:p w14:paraId="00CA2F8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2.12.1保持茶几、沙发、椅子、座钟、艺术品及底座干净整洁。</w:t>
      </w:r>
    </w:p>
    <w:p w14:paraId="3D94EC9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2.12.2隔板、屏风、木饰墙、玻璃饰面、壁灯、窗台、窗门、插座、开关、风口、门、门压板、标识牌、踢脚线等部位干净、明亮，无蜘蛛网。</w:t>
      </w:r>
    </w:p>
    <w:p w14:paraId="0D1443A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2.12.3地毯无杂物，平整。</w:t>
      </w:r>
    </w:p>
    <w:p w14:paraId="45F4CD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2.12.4卫生间干净整洁。</w:t>
      </w:r>
    </w:p>
    <w:p w14:paraId="03313C3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2.12.5做好贵宾厅清洁服务记录。</w:t>
      </w:r>
    </w:p>
    <w:p w14:paraId="01A93B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2.13广场、地面停车场、台阶</w:t>
      </w:r>
    </w:p>
    <w:p w14:paraId="242B735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2.13.1保持地面干净、无垃圾。</w:t>
      </w:r>
    </w:p>
    <w:p w14:paraId="34A997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2.13.2座椅、灯柱、雕塑、造景等设施清洁，无张贴物。</w:t>
      </w:r>
    </w:p>
    <w:p w14:paraId="5FCCB1A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2.13.3各类指示牌、照明灯具、栏杆、反光镜等保持无污垢、清晰完好。</w:t>
      </w:r>
    </w:p>
    <w:p w14:paraId="5E4465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2.13.4办公楼各进出口台阶地面保持干净清洁，地垫无灰尘、水迹、污垢，纤维整洁成统一方向。</w:t>
      </w:r>
    </w:p>
    <w:p w14:paraId="371AA26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2.13.5做好广场、地面停车场、台阶清洁服务记录。</w:t>
      </w:r>
    </w:p>
    <w:p w14:paraId="45BCF2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2.14绿地、花台、水池</w:t>
      </w:r>
    </w:p>
    <w:p w14:paraId="09326B6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2.14.1绿地、花台、隔离带周围无杂物垃圾，无积水；绿化带、花坛、盆栽植物无枯叶、烟蒂、杂物。</w:t>
      </w:r>
    </w:p>
    <w:p w14:paraId="3DF1CE6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2.14.2水池内无漂浮物、无杂物、无青苔、水质干净无异味。</w:t>
      </w:r>
    </w:p>
    <w:p w14:paraId="237B5F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2.14.3做好绿地、花台、水池清洁服务记录。</w:t>
      </w:r>
    </w:p>
    <w:p w14:paraId="7BB3418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五.绿化养护服务</w:t>
      </w:r>
    </w:p>
    <w:p w14:paraId="31B6BF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0B1685C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物业服务企业应对物业服务区域内草坪、花卉、乔木、灌木等进行修剪、除草、施肥、排灌、有害生物防治；对楼内租摆布置并巡视。</w:t>
      </w:r>
    </w:p>
    <w:p w14:paraId="54B530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65D159E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2.1草坪养护</w:t>
      </w:r>
    </w:p>
    <w:p w14:paraId="41D9DAC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2.1.1景观</w:t>
      </w:r>
    </w:p>
    <w:p w14:paraId="54A15AD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草坪草种纯、色泽均匀。草坪面貌平坦整洁、生长茂盛，无枯黄叶，无斑秃。</w:t>
      </w:r>
    </w:p>
    <w:p w14:paraId="738F369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2.1.2排灌</w:t>
      </w:r>
    </w:p>
    <w:p w14:paraId="66376FD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有管道排水的草坪随时检修，保持管网畅通。遇暴雨或久雨积水及时开沟排水,确保植株不出现萎蔫现象。根据气候、土质、草坪生长、草种等情况适量浇水，新铺设草坪及时充分浇水，草坪生长阶段、冬夏季久旱无雨、夏季炎热土壤干燥时及时浇水。浇水湿透根系层。</w:t>
      </w:r>
    </w:p>
    <w:p w14:paraId="747ACBA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2.1.3施肥</w:t>
      </w:r>
    </w:p>
    <w:p w14:paraId="3334E3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根据土壤肥力或草坪生长情况施肥，草坪越冬期宜施有机肥料，平时宜薄肥勤。</w:t>
      </w:r>
    </w:p>
    <w:p w14:paraId="0107097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2.1.4修剪</w:t>
      </w:r>
    </w:p>
    <w:p w14:paraId="0432087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修剪后草坪整体效果平整，无明显起伏和漏剪，剪口无焦口、撕裂现象，无残留草屑。</w:t>
      </w:r>
    </w:p>
    <w:p w14:paraId="3B1DF2F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2.1.5除草</w:t>
      </w:r>
    </w:p>
    <w:p w14:paraId="530421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草坪中的大型、恶性及缠绕行杂草及时清除，基本无有害生物危害症状；其他杂草及时清除，保证草坪基本无杂草。</w:t>
      </w:r>
    </w:p>
    <w:p w14:paraId="6F674FA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2.1.6清洁</w:t>
      </w:r>
    </w:p>
    <w:p w14:paraId="1FE2824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每天清扫草坪，草坪无裸露地，无大坑积水。</w:t>
      </w:r>
    </w:p>
    <w:p w14:paraId="24607F9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2.2花坛养护</w:t>
      </w:r>
    </w:p>
    <w:p w14:paraId="70A8B43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2.2.1景观</w:t>
      </w:r>
    </w:p>
    <w:p w14:paraId="3A92BFE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花坛具有精美图案和色彩配置，株行距适宜，株高相等，无缺株、倒伏，无枯枝残</w:t>
      </w:r>
      <w:bookmarkStart w:id="221" w:name="bookmark5"/>
      <w:bookmarkEnd w:id="221"/>
      <w:r>
        <w:rPr>
          <w:rFonts w:hint="eastAsia" w:ascii="仿宋_GB2312" w:hAnsi="仿宋_GB2312" w:eastAsia="仿宋_GB2312" w:cs="仿宋_GB2312"/>
          <w:sz w:val="24"/>
          <w:szCs w:val="24"/>
          <w:lang w:eastAsia="zh-CN"/>
        </w:rPr>
        <w:t>花，确保重大节日花繁叶盛。</w:t>
      </w:r>
    </w:p>
    <w:p w14:paraId="1E93E9B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2.2.2排灌</w:t>
      </w:r>
    </w:p>
    <w:p w14:paraId="5636BC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防止花坛积水，如有积水立即排除。花坛浇水视气候、土质、花卉习性和生长情况而定，保证花坛不出现泥面干裂、花株缺水萎蔫现象。</w:t>
      </w:r>
    </w:p>
    <w:p w14:paraId="23E0C54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2.2.3施肥</w:t>
      </w:r>
    </w:p>
    <w:p w14:paraId="0ACC04E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花坛施肥根据气候、土质、花卉习性和生长情况薄肥勤施。</w:t>
      </w:r>
    </w:p>
    <w:p w14:paraId="17686DD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2.2.4补植</w:t>
      </w:r>
    </w:p>
    <w:p w14:paraId="16EA80E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出现大面积花卉枯萎及时补植，补植的花卉品种、规格相同并与周围植物相协调。</w:t>
      </w:r>
    </w:p>
    <w:p w14:paraId="658EAC7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2.2.5更换</w:t>
      </w:r>
    </w:p>
    <w:p w14:paraId="09E62D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花坛的模纹线条保持清晰，弧度流畅。换花的空置期内对花坛土壤翻晒或药物消毒，并施肥。</w:t>
      </w:r>
    </w:p>
    <w:p w14:paraId="02E4ABA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2.2.6有害生物防治</w:t>
      </w:r>
    </w:p>
    <w:p w14:paraId="07F0A3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花坛基本无有害生物症状，有效降低植株受害率，无杂草。</w:t>
      </w:r>
    </w:p>
    <w:p w14:paraId="2FD56E0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2.2.7清洁</w:t>
      </w:r>
    </w:p>
    <w:p w14:paraId="22AB8B4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每天巡查花坛，及时清除残花黄叶断枝和杂物，确保清洁无垃圾。</w:t>
      </w:r>
    </w:p>
    <w:p w14:paraId="552169E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2.3乔木、灌木养护</w:t>
      </w:r>
    </w:p>
    <w:p w14:paraId="5D2A477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2.3.1景观</w:t>
      </w:r>
    </w:p>
    <w:p w14:paraId="723B7B2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乔木生长旺盛，枝叶健壮，树形美观。灌木枝叶生长正常，色泽纯正。观花树木按时茂盛开花，观果树木正常结果，色叶树种季相变化明显。</w:t>
      </w:r>
    </w:p>
    <w:p w14:paraId="67A66C5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2.3.2排灌</w:t>
      </w:r>
    </w:p>
    <w:p w14:paraId="4D0E1EB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乔木、灌木林地有完整的排水系统，排水畅通。浇水视气候、土质、树木习性和生长情况而定，做到适时、适量浇水，保证不出现缺水萎蔫现象。</w:t>
      </w:r>
    </w:p>
    <w:p w14:paraId="450960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2.3.3施肥</w:t>
      </w:r>
    </w:p>
    <w:p w14:paraId="433A386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经土壤检测，确属缺肥适时针对性施肥，其中，冬、春季重点追施基肥。</w:t>
      </w:r>
    </w:p>
    <w:p w14:paraId="1F4FF3D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2.3.4扶正</w:t>
      </w:r>
    </w:p>
    <w:p w14:paraId="5717639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乔木、灌木发生倒伏及时扶正、抢救。</w:t>
      </w:r>
    </w:p>
    <w:p w14:paraId="55E15E6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2.3.5有害生物防治</w:t>
      </w:r>
    </w:p>
    <w:p w14:paraId="72F3EB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乔木、灌木基本无有害生物危害症状，无影响景观面貌的杂草。</w:t>
      </w:r>
    </w:p>
    <w:p w14:paraId="1691F68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2.3.6清洁</w:t>
      </w:r>
    </w:p>
    <w:p w14:paraId="73DAEAA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每天清扫乔木、灌木林地。</w:t>
      </w:r>
    </w:p>
    <w:p w14:paraId="3E06D18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2.4容器内绿植养护</w:t>
      </w:r>
    </w:p>
    <w:p w14:paraId="26E14F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2.4.1景观</w:t>
      </w:r>
    </w:p>
    <w:p w14:paraId="032446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布置协调美观，株形美观，叶片光泽，花朵鲜艳，无枯枝、枯叶、残花。容器完整、清洁、美观，容器与托盆的外形、规格及色彩配套，并与植株相协调。</w:t>
      </w:r>
    </w:p>
    <w:p w14:paraId="1095B5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2.4.2排灌</w:t>
      </w:r>
    </w:p>
    <w:p w14:paraId="7B900BA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排水畅通无积水。根据植物不同习性及所处不同环境和季节，适时酌情浇水，确保容器绿植不出现缺水萎蔫现象。水培植物适时补水或换水，确保水无异味。</w:t>
      </w:r>
    </w:p>
    <w:p w14:paraId="11574B2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2.4.3修剪</w:t>
      </w:r>
    </w:p>
    <w:p w14:paraId="670923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及时修剪枯枝、黄叶，摘除残花。</w:t>
      </w:r>
    </w:p>
    <w:p w14:paraId="553B790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2.4.4清洁</w:t>
      </w:r>
    </w:p>
    <w:p w14:paraId="5938DC2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保持叶面清洁。室内绿植，手套擦摸叶面后无明显污垢；大堂及室外绿植，叶面确保目视无明显灰尘。保持盆面和容器外壁清洁，托盆内无积水和污迹。</w:t>
      </w:r>
    </w:p>
    <w:p w14:paraId="6D2A06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2.4.5施肥</w:t>
      </w:r>
    </w:p>
    <w:p w14:paraId="6C3F00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选用无毒、无害、无味的园艺肥料，并按不同地点的湿度、光线、植物品种决定施肥用量，施肥不得污染环境。</w:t>
      </w:r>
    </w:p>
    <w:p w14:paraId="5508A59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2.4.6有害生物防治</w:t>
      </w:r>
    </w:p>
    <w:p w14:paraId="71BC85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基本无有害生物危害症状。有效降低植株、枝叶受害率。</w:t>
      </w:r>
    </w:p>
    <w:p w14:paraId="34E736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2.4.7更换</w:t>
      </w:r>
    </w:p>
    <w:p w14:paraId="5DB9407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综合植物长势及机关要求，遵循植物生长规律，对容器绿植进行调整。</w:t>
      </w:r>
    </w:p>
    <w:p w14:paraId="4653E3D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2.5绿化租摆</w:t>
      </w:r>
    </w:p>
    <w:p w14:paraId="47C00B0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2.5.1公共区域绿化租放根据摆放地点环境情况（光照、温度、湿度）选择适宜生长的植物，植物品种、大小、叶子色彩要与各部位环境相协调，能最大限度发挥出植物观赏效果。</w:t>
      </w:r>
    </w:p>
    <w:p w14:paraId="2070AEF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2.5.2定期巡视，对有病虫害、枝叶枯萎、盆土异味的植物及时更换。</w:t>
      </w:r>
    </w:p>
    <w:p w14:paraId="1E91AD5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2.6制定养护计划，对相关工作进行记录。</w:t>
      </w:r>
    </w:p>
    <w:p w14:paraId="24E4A38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六.接待和会议服务</w:t>
      </w:r>
    </w:p>
    <w:p w14:paraId="4CD7C3D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461680A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接待来电来访、保修、投诉、回访工作，做好记录，及时为服务对象提供服务；接受会议预订，记录会议需求，会前准备、引导服务、会中服务、会后工作；小型会议、大型会议、会议服务耗材、涉密会议服务。</w:t>
      </w:r>
    </w:p>
    <w:p w14:paraId="7B7403D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1F23DCF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2.1接待服务</w:t>
      </w:r>
    </w:p>
    <w:p w14:paraId="0B6F41B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2.1.1客户服务人员应做到态度和蔼、语言规范，及时为客户提供服务。</w:t>
      </w:r>
    </w:p>
    <w:p w14:paraId="0F79BC4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2.1.2及时、认真做好各项工作记录，要求字迹清晰、内容完整。</w:t>
      </w:r>
    </w:p>
    <w:p w14:paraId="68CD7F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2.2来电来访</w:t>
      </w:r>
    </w:p>
    <w:p w14:paraId="2E0DCCC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2.2.1应在电话铃响三次前接听，声音清晰悦耳，语速适当，做好来电记录。</w:t>
      </w:r>
    </w:p>
    <w:p w14:paraId="689933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2.2.2迎接客户来访时，应立即起立，面带微笑，礼貌询问，详细解答。</w:t>
      </w:r>
    </w:p>
    <w:p w14:paraId="20A41BF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2.3报修接待</w:t>
      </w:r>
    </w:p>
    <w:p w14:paraId="58C004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2.3.1及时受理公共设备设施损坏报修，填写报修单，分派相关维修部门。</w:t>
      </w:r>
    </w:p>
    <w:p w14:paraId="1E10849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2.4回访</w:t>
      </w:r>
    </w:p>
    <w:p w14:paraId="349A6D0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2.4.1对服务对象来电投诉、报修事宜完成后及时回访，回访率100%。</w:t>
      </w:r>
    </w:p>
    <w:p w14:paraId="05A1661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2.4.2征询意见、满意度，做好记录。</w:t>
      </w:r>
    </w:p>
    <w:p w14:paraId="45ED5C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会议服务</w:t>
      </w:r>
    </w:p>
    <w:p w14:paraId="699AD3E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.1小型会议会前准备</w:t>
      </w:r>
    </w:p>
    <w:p w14:paraId="3AB2EC0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.1.1会前调试灯光音响设备，保证正常使用。</w:t>
      </w:r>
    </w:p>
    <w:p w14:paraId="1B8F1C0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.1.2检查室内卫生，打开门窗通风，按规范要求做好会议摆台。</w:t>
      </w:r>
    </w:p>
    <w:p w14:paraId="7352566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.1.3会前启动空调设备。</w:t>
      </w:r>
    </w:p>
    <w:p w14:paraId="0BDC9AD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.1.4服务人员就位，迎候与会人员，引导落座，协助安放随身物品。</w:t>
      </w:r>
    </w:p>
    <w:p w14:paraId="6B1986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.1.5会前摆放湿巾、备好茶水。</w:t>
      </w:r>
    </w:p>
    <w:p w14:paraId="1A4A9BB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.1.6做好引导牌并放置在指定位置，引导人员引导手势规范，语言标准。</w:t>
      </w:r>
    </w:p>
    <w:p w14:paraId="3F9FA33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.2大型会议会前准备</w:t>
      </w:r>
    </w:p>
    <w:p w14:paraId="446F6DA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.2.1按照要求布置会场，提前请采购人检查会场布置情况。</w:t>
      </w:r>
    </w:p>
    <w:p w14:paraId="1031923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.2.2会前调试好灯光音响设备。</w:t>
      </w:r>
    </w:p>
    <w:p w14:paraId="3763145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.2.3检查室内卫生，打开门窗通风。</w:t>
      </w:r>
    </w:p>
    <w:p w14:paraId="2F74D86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.2.4按规范要求做好会议摆台。</w:t>
      </w:r>
    </w:p>
    <w:p w14:paraId="501741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.2.5会前启动空调设备。</w:t>
      </w:r>
    </w:p>
    <w:p w14:paraId="1288037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.2.6服务人员就位，迎候与会人员，引导落座，协助安放随身物品。</w:t>
      </w:r>
    </w:p>
    <w:p w14:paraId="0D2FF48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.2.7会前为主席台摆放湿巾、备好茶水。</w:t>
      </w:r>
    </w:p>
    <w:p w14:paraId="7FAA11F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.2.8做好引导牌并放置在指定位置，引导人员引导手势规范，语言标准。</w:t>
      </w:r>
    </w:p>
    <w:p w14:paraId="6E9B8EB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.3会议期间按要求加水，及时续水。涉密会议无会中服务，须提前将热水准备好。</w:t>
      </w:r>
    </w:p>
    <w:p w14:paraId="6229F18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.4对会议现场进行检查，做好会场清扫工作。</w:t>
      </w:r>
    </w:p>
    <w:p w14:paraId="416F65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.4.1及时提醒、协助与会人员带好随身物品。</w:t>
      </w:r>
    </w:p>
    <w:p w14:paraId="3055185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.4.2对遗留的文件和物品，及时交有关部门处理。</w:t>
      </w:r>
    </w:p>
    <w:p w14:paraId="26FA502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.4.3按分工清理会议用品,关闭空调音响设备及灯具，恢复原会场形式并做好消毒。</w:t>
      </w:r>
    </w:p>
    <w:p w14:paraId="05FF33F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七.收发服务</w:t>
      </w:r>
    </w:p>
    <w:p w14:paraId="1C76C63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632E0BE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物业服务企业受服务对象委托，代办报刊征订、邮件、信件、信函及其他资料与物品的接受、分发服务。</w:t>
      </w:r>
    </w:p>
    <w:p w14:paraId="490C62C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2.服务标准及要求</w:t>
      </w:r>
    </w:p>
    <w:p w14:paraId="2F62933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2.1根据服务对象委托和要求,保证报刊征订和报刊、邮件、信件、信函及其他资料与物品分发及时准确。</w:t>
      </w:r>
    </w:p>
    <w:p w14:paraId="19540A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2.2重要信函及贵重物品收发应登记收发时间、收件人、经办人等，并由收件人签名确认。</w:t>
      </w:r>
    </w:p>
    <w:p w14:paraId="72FFEBB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2.3保密要求</w:t>
      </w:r>
    </w:p>
    <w:p w14:paraId="5663816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物业服务企业应制定相关保密制度和措施，严格落实，监管到位。</w:t>
      </w:r>
    </w:p>
    <w:p w14:paraId="0EC345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八.车辆管理</w:t>
      </w:r>
    </w:p>
    <w:p w14:paraId="011E195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6857E63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物业服务企业提供服务区域内车辆及停车场所管理，保障车辆出入安全有序，停放规范、杜绝隐患。</w:t>
      </w:r>
    </w:p>
    <w:p w14:paraId="263CE0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27B81B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2.1车辆及停车场所管理</w:t>
      </w:r>
    </w:p>
    <w:p w14:paraId="2162B1F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2.1.1车辆进入前，对进入车辆的证件、牌照进行确认并记录，有序疏导。</w:t>
      </w:r>
    </w:p>
    <w:p w14:paraId="2A294A0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2.1.2保持停车场所有通道畅通，如遇堵车，及时疏导。</w:t>
      </w:r>
    </w:p>
    <w:p w14:paraId="4B5E16F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2.1.3停车场严禁吸烟。</w:t>
      </w:r>
    </w:p>
    <w:p w14:paraId="1078A7E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2.1.4停车场严禁带病车辆，特别是漏油车辆进入。</w:t>
      </w:r>
    </w:p>
    <w:p w14:paraId="41F88C9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2.1.5车库或停车场内禁止堆放易燃、易爆物品。</w:t>
      </w:r>
    </w:p>
    <w:p w14:paraId="32D8B1E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2.1.6非机动车按指定车位停放，不得进入机动车车库。</w:t>
      </w:r>
    </w:p>
    <w:p w14:paraId="307F53E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2.1.7车辆管理员及时掌握和加强对车库、路面车辆管理，检查指挥进出车辆停放以及统计工作。</w:t>
      </w:r>
    </w:p>
    <w:p w14:paraId="42CD422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2.1.8定时或随机详细检查车辆车况，发现漏水（油）、未关好车门（窗）或未上锁等情况及时处理并通知服务对象，做好相关记录。</w:t>
      </w:r>
    </w:p>
    <w:p w14:paraId="7C6E515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2.1.9定期检查地下停车场防火卷帘门、消火栓和灭火器等防火设施设备，保证防火卷帘门下无堆物、消火栓和灭火器无过期和失效，并做好相关记录。</w:t>
      </w:r>
    </w:p>
    <w:p w14:paraId="3065F93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2.2车辆准入管理</w:t>
      </w:r>
    </w:p>
    <w:p w14:paraId="59E4CC9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2.2.1凡需进入服务区域车辆，持有有效车辆通行证或提前登记报备。</w:t>
      </w:r>
    </w:p>
    <w:p w14:paraId="37EE52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2.2.2无证车辆或未登记报备车辆不得进入。</w:t>
      </w:r>
    </w:p>
    <w:p w14:paraId="40E02BE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2.2.3特殊情况通过联系后征得相关部门同意确认，登记后放行。</w:t>
      </w:r>
    </w:p>
    <w:p w14:paraId="582B5B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2.2.4安排指定车位停放，并做好相关记录。</w:t>
      </w:r>
    </w:p>
    <w:p w14:paraId="0A535A7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九.承(交)接查验</w:t>
      </w:r>
    </w:p>
    <w:p w14:paraId="3843498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7F6196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物业服务企业正式接管服务区域时，应对承（交）接服务项目的房屋建筑、设备设施、绿化、场地及配套进行查验，承（交）接查验结果应由交接双方签署记录文件，长期保存备查。</w:t>
      </w:r>
    </w:p>
    <w:p w14:paraId="4B3201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7B630A5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2.1承（交）接查验前准备</w:t>
      </w:r>
    </w:p>
    <w:p w14:paraId="368DF8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2.1.1确定查验事项、进度、标准，编制查验计划。</w:t>
      </w:r>
    </w:p>
    <w:p w14:paraId="6EED226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2.1.2准备查验工具、仪器。</w:t>
      </w:r>
    </w:p>
    <w:p w14:paraId="17C14B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2.1.3进行查验安全事项交底。</w:t>
      </w:r>
    </w:p>
    <w:p w14:paraId="18DE39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2.1.4明确工作分工、查验方法。</w:t>
      </w:r>
    </w:p>
    <w:p w14:paraId="585F941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2.2承（交）接查验</w:t>
      </w:r>
    </w:p>
    <w:p w14:paraId="6265DBB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2.2.1新建项目</w:t>
      </w:r>
    </w:p>
    <w:p w14:paraId="4A4FCA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2.2.1.1物业资料交接查验并记录。</w:t>
      </w:r>
    </w:p>
    <w:p w14:paraId="3B26587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2.2.1.2房屋建筑结构、装饰装修交接并记录。</w:t>
      </w:r>
    </w:p>
    <w:p w14:paraId="697AA1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2.2.1.3物业共用部位和共用设备设施现场查验并记录。</w:t>
      </w:r>
    </w:p>
    <w:p w14:paraId="1355A7E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2.2.1.4物业绿化现场交接并记录。</w:t>
      </w:r>
    </w:p>
    <w:p w14:paraId="7C58F07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2.2.1.5机房、共用区域钥匙交接并记录。</w:t>
      </w:r>
    </w:p>
    <w:p w14:paraId="6900734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2.2.1.6查验情况总结及整改。</w:t>
      </w:r>
    </w:p>
    <w:p w14:paraId="4D1C9F9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2.2.2已建项目</w:t>
      </w:r>
    </w:p>
    <w:p w14:paraId="556FA3A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2.2.2.1客户资料交接并记录。</w:t>
      </w:r>
    </w:p>
    <w:p w14:paraId="7B25C46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2.2.2.2财务缴费资料交接并记录。</w:t>
      </w:r>
    </w:p>
    <w:p w14:paraId="1409B2F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2.2.2.3工程资料交接并记录。</w:t>
      </w:r>
    </w:p>
    <w:p w14:paraId="12B678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2.2.2.4装修资料交接并记录。</w:t>
      </w:r>
    </w:p>
    <w:p w14:paraId="226A35C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2.2.2.5房屋建筑结构、装饰装修交接并记录。</w:t>
      </w:r>
    </w:p>
    <w:p w14:paraId="3CD01C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2.2.2.6物业共用部位和共用设备设施现场查验并记录。</w:t>
      </w:r>
    </w:p>
    <w:p w14:paraId="54D4D51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2.2.2.7物业绿化现场交接并记录。</w:t>
      </w:r>
    </w:p>
    <w:p w14:paraId="5E09F7F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2.2.2.8机房、共用区域钥匙交接并记录。</w:t>
      </w:r>
    </w:p>
    <w:p w14:paraId="4AF31F6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2.2.2.9查验情况总结。</w:t>
      </w:r>
    </w:p>
    <w:p w14:paraId="2AE431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十.绿色物业管理服务</w:t>
      </w:r>
    </w:p>
    <w:p w14:paraId="7EC1902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404D132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物业服务企业积极采用环保理念和方法，以实现物业环境的可持续发展，减少对环境的负面影响，提高物业管理的效率和品质，在维护物业设施的同时，促进资源的节约和环境的保护。</w:t>
      </w:r>
    </w:p>
    <w:p w14:paraId="61B5D2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3F9693E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2.1节能减排</w:t>
      </w:r>
    </w:p>
    <w:p w14:paraId="5B456D2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2.1.1制度建设</w:t>
      </w:r>
    </w:p>
    <w:p w14:paraId="7DA150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2.1.1.1建立绿色物业管理规章制度。</w:t>
      </w:r>
    </w:p>
    <w:p w14:paraId="0E1EFF6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2.1.1.2能源管理岗位责任制。</w:t>
      </w:r>
    </w:p>
    <w:p w14:paraId="2312048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2.1.1.3建立能源消费计量统计制度。</w:t>
      </w:r>
    </w:p>
    <w:p w14:paraId="5983EAD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2.1.1.4建立物业服务节能目标管理体系、节能采购办法。</w:t>
      </w:r>
    </w:p>
    <w:p w14:paraId="38074B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2.1.1.5针对物业服务区域用能情况，制定相应补充制度措施。</w:t>
      </w:r>
    </w:p>
    <w:p w14:paraId="690EB1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2.2节能措施</w:t>
      </w:r>
    </w:p>
    <w:p w14:paraId="28F6B74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2.2.1对重点用能设施、设备和系统采用先进技术降低能耗。</w:t>
      </w:r>
    </w:p>
    <w:p w14:paraId="5D2813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2.2.2采用新能源技术、高效节能的照明器具，控制外部反光照明和装饰用照明。</w:t>
      </w:r>
    </w:p>
    <w:p w14:paraId="118AE48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2.2.3用电设施、设备实施分区域管理，均衡用电负荷。</w:t>
      </w:r>
    </w:p>
    <w:p w14:paraId="575D5EF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2.2.4采用高效节水器具，节约用水，降低水资源消耗。</w:t>
      </w:r>
    </w:p>
    <w:p w14:paraId="043ACED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2.2.5减少用电设备待机时间，执行国家关于空调室内温度控制规定。</w:t>
      </w:r>
    </w:p>
    <w:p w14:paraId="08B0855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2.3节能台账</w:t>
      </w:r>
    </w:p>
    <w:p w14:paraId="2D9C303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2.3.1建立物业所涉及水、电、气、油等能耗的节能台账，台账数据准确完整。</w:t>
      </w:r>
    </w:p>
    <w:p w14:paraId="0660B7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2.3.2定期进行能耗检测、计量、统计、分析等，并按照要求上报相关数据信息。</w:t>
      </w:r>
    </w:p>
    <w:p w14:paraId="770775E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十一.标准化建设服务</w:t>
      </w:r>
    </w:p>
    <w:p w14:paraId="3330B0A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2F97F0C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物业服务企业运用标准化的原理和方法，通过制定和实施服务标准，达到服务质量目标化，服务行为规范化，服务过程程序化，从而获得优质服务。</w:t>
      </w:r>
    </w:p>
    <w:p w14:paraId="2C5EF71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5E73091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2.1规范化管理</w:t>
      </w:r>
    </w:p>
    <w:p w14:paraId="5F89E06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2.1.1规范各项服务流程。</w:t>
      </w:r>
    </w:p>
    <w:p w14:paraId="413E06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2.1.1.1服务内容的标准化。</w:t>
      </w:r>
    </w:p>
    <w:p w14:paraId="4EBA429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2.1.1.2服务质量的量化。</w:t>
      </w:r>
    </w:p>
    <w:p w14:paraId="7DC1D42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2.1.1.3服务流程的明确化。</w:t>
      </w:r>
    </w:p>
    <w:p w14:paraId="1D4C751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2.2服务标准全面细致</w:t>
      </w:r>
    </w:p>
    <w:p w14:paraId="558BAD0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2.2.1共用设备设施维护服务标准细化、量化，明确考核标准。</w:t>
      </w:r>
    </w:p>
    <w:p w14:paraId="3CB876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2.2.2严格落实安全生产管理细节，杜绝安全隐患。</w:t>
      </w:r>
    </w:p>
    <w:p w14:paraId="7E9B2F4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2.2.3保洁服务注重频次监管，作业流程、落实细节。</w:t>
      </w:r>
    </w:p>
    <w:p w14:paraId="3A4E422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2.2.4绿化养护服务提高防范意识，规范作业流程，提高服务标准。</w:t>
      </w:r>
    </w:p>
    <w:p w14:paraId="0DE01EC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2.2.5客户服务对接报修服务系统化管理，注重统计分析和应用。</w:t>
      </w:r>
    </w:p>
    <w:p w14:paraId="5AF6672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2.3持续改进</w:t>
      </w:r>
    </w:p>
    <w:p w14:paraId="7F2F31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2.3.1定期对制度、标准、应急预案、措施进行论证评审。</w:t>
      </w:r>
    </w:p>
    <w:p w14:paraId="6AB3AD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2.3.2定期对日常服务质量监督考评。</w:t>
      </w:r>
    </w:p>
    <w:p w14:paraId="29CACEE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2.3.3及时修正与物业服务区域管理服务不适应措施，服务更具针对性。</w:t>
      </w:r>
    </w:p>
    <w:p w14:paraId="5F93B57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十二.针对综合办公类物业的特约服务</w:t>
      </w:r>
    </w:p>
    <w:p w14:paraId="2FDD9BD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2C98C7C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物业服务企业根据服务对象的需求，开展力所能及的特约服务，如理发服务、票务服务、保密纸回收服务、洗衣服务、重点楼宇邮件（品）安检服务、便利商店供应服务等。</w:t>
      </w:r>
    </w:p>
    <w:p w14:paraId="3B8BF48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0BDE1C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2.1不以盈利为目的，根据服务对象需求，力所能及提供服务。</w:t>
      </w:r>
    </w:p>
    <w:p w14:paraId="450D3EA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2.2服务人员需具备相关的服务技能和能力。</w:t>
      </w:r>
    </w:p>
    <w:p w14:paraId="34613E7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2.3在不影响合同履约情况下，开展特约服务。</w:t>
      </w:r>
    </w:p>
    <w:p w14:paraId="5D34D56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十三.其它服务</w:t>
      </w:r>
    </w:p>
    <w:p w14:paraId="67C6E54D">
      <w:pPr>
        <w:keepNext w:val="0"/>
        <w:keepLines w:val="0"/>
        <w:pageBreakBefore w:val="0"/>
        <w:widowControl w:val="0"/>
        <w:kinsoku/>
        <w:wordWrap/>
        <w:overflowPunct/>
        <w:topLinePunct w:val="0"/>
        <w:autoSpaceDE/>
        <w:autoSpaceDN/>
        <w:bidi w:val="0"/>
        <w:adjustRightInd/>
        <w:snapToGrid/>
        <w:spacing w:line="400" w:lineRule="exac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p>
    <w:p w14:paraId="3AE136A3">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jc w:val="center"/>
        <w:textAlignment w:val="baseline"/>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医院类物业服务</w:t>
      </w:r>
    </w:p>
    <w:p w14:paraId="48D992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一.综合管理服务</w:t>
      </w:r>
    </w:p>
    <w:p w14:paraId="38ACC4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1.服务机构</w:t>
      </w:r>
    </w:p>
    <w:p w14:paraId="0715C18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1.1物业服务企业应根据服务区域的具体情况和合同约定，设置相适应的物业服务机构,为服务对象提供一站式服务。</w:t>
      </w:r>
    </w:p>
    <w:p w14:paraId="4703DB1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1.2物业服务企业应有明确、清晰的组织架构，职责明确、清晰。</w:t>
      </w:r>
    </w:p>
    <w:p w14:paraId="238CB04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2.服务人员</w:t>
      </w:r>
    </w:p>
    <w:p w14:paraId="68EEBCF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2.1物业服务企业应根据服务区域的具体情况和合同约定，配备充足的服务人员，人员数量应满足日常业务开展的需要并能够应对突发情况。</w:t>
      </w:r>
    </w:p>
    <w:p w14:paraId="717B27E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2.2服务人员应具备物业服务岗位技能，专业技术人员应取得相应专业技术证书。</w:t>
      </w:r>
    </w:p>
    <w:p w14:paraId="56882CA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2.3服务人员在服务过程中应保持良好的精神状态，用语文明、规范，主动、热情、耐心、及时为服务对象提供服务。</w:t>
      </w:r>
    </w:p>
    <w:p w14:paraId="62E8E3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2.4服务人员应分岗位统一着装，佩戴标志。</w:t>
      </w:r>
    </w:p>
    <w:p w14:paraId="5FCBC4D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3.制度</w:t>
      </w:r>
    </w:p>
    <w:p w14:paraId="78E566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lang w:eastAsia="zh-CN"/>
        </w:rPr>
        <w:t>3.1物业服务企业应针对服务项目特点建立相关管理制度，包括但不限于</w:t>
      </w:r>
      <w:r>
        <w:rPr>
          <w:rFonts w:hint="eastAsia" w:ascii="仿宋_GB2312" w:hAnsi="仿宋_GB2312" w:eastAsia="仿宋_GB2312" w:cs="仿宋_GB2312"/>
          <w:sz w:val="24"/>
          <w:szCs w:val="24"/>
          <w:highlight w:val="none"/>
          <w:lang w:eastAsia="zh-CN"/>
        </w:rPr>
        <w:t>综合管理服务、</w:t>
      </w:r>
      <w:r>
        <w:rPr>
          <w:rFonts w:hint="eastAsia" w:ascii="仿宋_GB2312" w:hAnsi="仿宋_GB2312" w:eastAsia="仿宋_GB2312" w:cs="仿宋_GB2312"/>
          <w:sz w:val="24"/>
          <w:szCs w:val="24"/>
          <w:lang w:eastAsia="zh-CN"/>
        </w:rPr>
        <w:t>建筑物日常养护维修</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、公共设施设备维护</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、保洁</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、绿化养护</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、接待和会议服务、</w:t>
      </w:r>
      <w:r>
        <w:rPr>
          <w:rFonts w:hint="eastAsia" w:ascii="仿宋_GB2312" w:hAnsi="仿宋_GB2312" w:eastAsia="仿宋_GB2312" w:cs="仿宋_GB2312"/>
          <w:sz w:val="24"/>
          <w:szCs w:val="24"/>
          <w:highlight w:val="none"/>
          <w:lang w:eastAsia="zh-CN"/>
        </w:rPr>
        <w:t>医疗垃圾管理及清运</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highlight w:val="none"/>
          <w:lang w:eastAsia="zh-CN"/>
        </w:rPr>
        <w:t>总机管理、物流服务、导医服务、医用信息化服务、探视管理服务、院内洗涤服务、司梯员服务、</w:t>
      </w:r>
      <w:r>
        <w:rPr>
          <w:rFonts w:hint="eastAsia" w:ascii="仿宋_GB2312" w:hAnsi="仿宋_GB2312" w:eastAsia="仿宋_GB2312" w:cs="仿宋_GB2312"/>
          <w:sz w:val="24"/>
          <w:szCs w:val="24"/>
          <w:lang w:eastAsia="zh-CN"/>
        </w:rPr>
        <w:t>承</w:t>
      </w:r>
      <w:r>
        <w:rPr>
          <w:rFonts w:hint="eastAsia" w:ascii="仿宋_GB2312" w:hAnsi="仿宋_GB2312" w:eastAsia="仿宋_GB2312" w:cs="仿宋_GB2312"/>
          <w:sz w:val="24"/>
          <w:szCs w:val="24"/>
          <w:highlight w:val="none"/>
          <w:lang w:eastAsia="zh-CN"/>
        </w:rPr>
        <w:t>（交）</w:t>
      </w:r>
      <w:r>
        <w:rPr>
          <w:rFonts w:hint="eastAsia" w:ascii="仿宋_GB2312" w:hAnsi="仿宋_GB2312" w:eastAsia="仿宋_GB2312" w:cs="仿宋_GB2312"/>
          <w:sz w:val="24"/>
          <w:szCs w:val="24"/>
          <w:lang w:eastAsia="zh-CN"/>
        </w:rPr>
        <w:t>接查验、</w:t>
      </w:r>
      <w:r>
        <w:rPr>
          <w:rFonts w:hint="eastAsia" w:ascii="仿宋_GB2312" w:hAnsi="仿宋_GB2312" w:eastAsia="仿宋_GB2312" w:cs="仿宋_GB2312"/>
          <w:sz w:val="24"/>
          <w:szCs w:val="24"/>
          <w:highlight w:val="none"/>
          <w:lang w:eastAsia="zh-CN"/>
        </w:rPr>
        <w:t>绿色物业管理服务、标准化建设服务、特约服务</w:t>
      </w:r>
      <w:r>
        <w:rPr>
          <w:rFonts w:hint="eastAsia" w:ascii="仿宋_GB2312" w:hAnsi="仿宋_GB2312" w:eastAsia="仿宋_GB2312" w:cs="仿宋_GB2312"/>
          <w:sz w:val="24"/>
          <w:szCs w:val="24"/>
          <w:lang w:eastAsia="zh-CN"/>
        </w:rPr>
        <w:t>等制度。</w:t>
      </w:r>
    </w:p>
    <w:p w14:paraId="22EF805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3.2物业服务企业应针对物业管理服务项目特点建立应对各类突发事件的应急预案。</w:t>
      </w:r>
    </w:p>
    <w:p w14:paraId="4B9319B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3.3物业服务企业应建立培训体系，制定培训计划，定期组织培训、考核。</w:t>
      </w:r>
    </w:p>
    <w:p w14:paraId="0E1E8D6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3.4物业服务企业应建立物业服务工作、运行记录。</w:t>
      </w:r>
    </w:p>
    <w:p w14:paraId="081C09C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4.档案与管理</w:t>
      </w:r>
    </w:p>
    <w:p w14:paraId="1855F08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4.1物业服务企业应建立物业管理档案，包括但不限于客户资料、工程图纸、竣工验收备案资料、合同、收费、人事档案等。</w:t>
      </w:r>
    </w:p>
    <w:p w14:paraId="4142E3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4.2配备档案管理人员。</w:t>
      </w:r>
    </w:p>
    <w:p w14:paraId="781D76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4.3定期归档各类物业服务工作、运行记录。</w:t>
      </w:r>
    </w:p>
    <w:p w14:paraId="247BEB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5.服务工具、设备</w:t>
      </w:r>
    </w:p>
    <w:p w14:paraId="59B5B9C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物业服务企业应配备充足的工具、设备，满足开展物业管理服务所需。</w:t>
      </w:r>
    </w:p>
    <w:p w14:paraId="1748B53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6.实施、监督与改进</w:t>
      </w:r>
    </w:p>
    <w:p w14:paraId="1AD9A5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6.1物业服务企业应制订物业管理服务工作计划，并组织实施、定期总结。</w:t>
      </w:r>
    </w:p>
    <w:p w14:paraId="423D733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6.2物业服务企业应设立24小时服务电话，建立规范工作机制和应对各类突发事件的响应机制。</w:t>
      </w:r>
    </w:p>
    <w:p w14:paraId="061EA06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6.3物业服务企业应运用信息化、智能化手段，提高管理效率和服务质量水平。</w:t>
      </w:r>
    </w:p>
    <w:p w14:paraId="6622C7C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6.4物业服务企业应对物业管理服务区域各项服务管理项目实施检查监管，并对专业服务企业的服务行为承担监督责任。</w:t>
      </w:r>
    </w:p>
    <w:p w14:paraId="518592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6.5物业服务企业应接受相关部门管理和业主的合同履约监督，做好与服务对象的沟通交流，及时通报相关服务信息。</w:t>
      </w:r>
    </w:p>
    <w:p w14:paraId="6F4043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6.6物业服务企业应定期开展满意度调查，对收集的服务反馈信息进行分析处理，查找原因，制定相关整改措施并反馈，进一步提高服务质量。</w:t>
      </w:r>
    </w:p>
    <w:p w14:paraId="43DA496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二.建筑物日常养护维修服务</w:t>
      </w:r>
    </w:p>
    <w:p w14:paraId="4241B15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26A330A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对服务区域内建筑物进行日常巡查、养护、维修服务，包括但不限于：房屋结构、医院楼（区）室内地面，室内各类顶板，室内外墙面、屋面、屋面防水补漏，外墙防水、外墙粉刷、外墙修补、内墙粉刷，吊顶、隔断、幕墙玻璃、雨篷、散水、空调室外机支撑构件、踢脚、门（含门面、门锁、铰链及闭门器等）、窗户、窗玻璃、窗台、窗套、窗帘、窗帘盒、锁、铝合金窗柜、楼梯扶手、楼梯护板、玻璃幕墙、石材幕墙、铝扣板、铝合金门窗锁拉手维修，医院桌抽屉锁、抽屉排锁维修，水体、烘手机、隔断、室外道路、通风道、停车带、井盖、篦子、减速带、车挡、地沟、各类雨水及污水管道、防雷设施、围墙（栏）、园林挡土墙、花岗岩、活动场地、路面修补、绿化围栏、绿化栅拦、室外亭、台、桥、桌、椅、步行道、标识、标牌及其设施。</w:t>
      </w:r>
    </w:p>
    <w:p w14:paraId="39C1503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4E1001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2.1制定建筑物日常养护维修计划，保证物业服务区域内建筑物安全和正常使用，建筑物及其附属件重要部分完好率达100%。</w:t>
      </w:r>
    </w:p>
    <w:p w14:paraId="1C06314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2.2及时完成零星维修，合格率100%。</w:t>
      </w:r>
    </w:p>
    <w:p w14:paraId="4D9053D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2.3建立健全建筑物档案，维修记录和保养记录。</w:t>
      </w:r>
    </w:p>
    <w:p w14:paraId="0375B0D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2.4屋面维护</w:t>
      </w:r>
    </w:p>
    <w:p w14:paraId="5EDDFB7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2.4.1女儿墙、防水层、伸缩缝、通风道等表面无开裂、起泡、起砂、缺损。</w:t>
      </w:r>
    </w:p>
    <w:p w14:paraId="4599C72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2.4.2排水口无阻塞。</w:t>
      </w:r>
    </w:p>
    <w:p w14:paraId="5AF5687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2.4.3及时清除屋面杂草、杂物。</w:t>
      </w:r>
    </w:p>
    <w:p w14:paraId="010CE0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2.5承重构件维护</w:t>
      </w:r>
    </w:p>
    <w:p w14:paraId="0FDA133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承重构件表面、本体、灰缝、连接节点、连接件、紧固件等无变形、开裂、松动、破损、铁涨锈蚀、蜂窝麻面、风化腐蚀。</w:t>
      </w:r>
    </w:p>
    <w:p w14:paraId="7C8625F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2.6外立面维护</w:t>
      </w:r>
    </w:p>
    <w:p w14:paraId="27F895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2.6.1外墙面及其附属件、幕墙及其附属件，无破损、开裂、剥落、脱离等情况，符合相关安全要求。</w:t>
      </w:r>
    </w:p>
    <w:p w14:paraId="3F6B090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2.6.2室外门窗及其附属件、窗台、各种外露及悬挂物，保障门窗开关灵活、不松动、不变形；门窗附属件完好；外露及悬挂物牢固安全。</w:t>
      </w:r>
    </w:p>
    <w:p w14:paraId="6E5A3D6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2.7室内装修维护</w:t>
      </w:r>
    </w:p>
    <w:p w14:paraId="35D8B0C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2.7.1地面瓷砖平整、无缺损。</w:t>
      </w:r>
    </w:p>
    <w:p w14:paraId="4B4724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2.7.2墙面无剥落、起皮。</w:t>
      </w:r>
    </w:p>
    <w:p w14:paraId="3FAC8BF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2.7.3附属件完好，外观统一。</w:t>
      </w:r>
    </w:p>
    <w:p w14:paraId="092DF8C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2.7.4各种装饰悬挂件牢固、安全、无缺损。</w:t>
      </w:r>
    </w:p>
    <w:p w14:paraId="46E1645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2.7.5栏杆扶手及其附属件完好、无锈蚀。</w:t>
      </w:r>
    </w:p>
    <w:p w14:paraId="4A3E56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2.7.6室内门窗开关灵活、不松动、不变形，门窗附属件齐全完好。</w:t>
      </w:r>
    </w:p>
    <w:p w14:paraId="069B80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2.7.7各类功能性设施完好。</w:t>
      </w:r>
    </w:p>
    <w:p w14:paraId="7533F3A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2.8地基基础维护</w:t>
      </w:r>
    </w:p>
    <w:p w14:paraId="0B98A5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2.8.1地坪、明沟、散水、台阶等，无塌陷、变形、脱开。</w:t>
      </w:r>
    </w:p>
    <w:p w14:paraId="316222D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2.8.2预制构件无开裂、损毁。</w:t>
      </w:r>
    </w:p>
    <w:p w14:paraId="768EEB5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2.8.3基础主体无沉降、倾斜、开裂现象。</w:t>
      </w:r>
    </w:p>
    <w:p w14:paraId="4928F5B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2.9附属建筑维护</w:t>
      </w:r>
    </w:p>
    <w:p w14:paraId="4D8F26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2.9.1消防通道、无障碍设施、路面、坡道等无障碍物、无破损、无积水。</w:t>
      </w:r>
    </w:p>
    <w:p w14:paraId="66C0D73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2.9.2围墙、栅栏、大门等围护设施无破损、金属无锈蚀，道闸、电子围栏工作正常。</w:t>
      </w:r>
    </w:p>
    <w:p w14:paraId="2B01F6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2.9.3附属用房、水景、雕塑、座椅、遮阳等设施无损坏，能安全使用。</w:t>
      </w:r>
    </w:p>
    <w:p w14:paraId="21DD172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2.9.4标识标牌规范清晰、路线指引正确、安装稳固。</w:t>
      </w:r>
    </w:p>
    <w:p w14:paraId="786D62B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三.公共设施设备维护服务</w:t>
      </w:r>
    </w:p>
    <w:p w14:paraId="2F2BE6B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4A40CB4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物业服务企业应对服务区域内公共设施设备进行日常巡查、养护、维修服务，包括但不限于：电气系统、电梯系统、安全防范、消防系统、楼宇自控系统与综合布线、暖通与空调系统、给排水系统、锅炉系统等。</w:t>
      </w:r>
    </w:p>
    <w:p w14:paraId="3B91CB5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63A7769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2.1制定公共设施设备维护计划，严格按照国家法律法规和设备操作规程开展维护保养工作，保证物业服务区域内公共设施设备正常运行。</w:t>
      </w:r>
    </w:p>
    <w:p w14:paraId="703DA65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2.2及时完成零星维修，合格率100%。</w:t>
      </w:r>
    </w:p>
    <w:p w14:paraId="50E1CB1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2.3建立健全公共设施设备档案，维修记录和保养记录。</w:t>
      </w:r>
    </w:p>
    <w:p w14:paraId="69A2511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2.4电气系统</w:t>
      </w:r>
    </w:p>
    <w:p w14:paraId="7835952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2.4.1定期对变配电室巡检，检查内容和要求包括：</w:t>
      </w:r>
    </w:p>
    <w:p w14:paraId="065F5E6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2.4.1.1隔离开关、负荷开关和熔断器位置正确、平整和牢固；仪表完好、墙上模拟图操作完好、门柜锁完好；变压器温度在正常范围内，通风良好；三相电压表读数平衡，变压器声响正常；外壳接地装置可靠；门柜锁完好。</w:t>
      </w:r>
    </w:p>
    <w:p w14:paraId="7F5CA3C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2.4.1.2闸刀开关、负荷开关、空气开关和熔断器完好；面板指示灯和按钮、仪表完好；接地线连接应紧密牢固；门柜锁完好。</w:t>
      </w:r>
    </w:p>
    <w:p w14:paraId="5DDDF65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2.4.1.3接地线平直、牢固，无高低起伏和弯曲现象；接地体焊接牢固，防腐处理均匀。</w:t>
      </w:r>
    </w:p>
    <w:p w14:paraId="567158E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2.4.1.4变配电室内配置的灭火器等消防设施压力正常，设备齐全，表面清洁。</w:t>
      </w:r>
    </w:p>
    <w:p w14:paraId="19DF025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2.4.2变配电抄表</w:t>
      </w:r>
    </w:p>
    <w:p w14:paraId="43E3746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2.4.2.1低压配电室抄录主开关、电容柜、联络开关的电压、电流值、合/分情况等。</w:t>
      </w:r>
    </w:p>
    <w:p w14:paraId="724C2CB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2.4.2.2高压配电室抄录高压进线电压、电流值，无功功率值、有功功率值、母联开关、所变的合/分情况。</w:t>
      </w:r>
    </w:p>
    <w:p w14:paraId="1D944B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2.4.2.3变压器室抄录变压器合/分情况、电流值、ABC三相温度等。</w:t>
      </w:r>
    </w:p>
    <w:p w14:paraId="7ABCC06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2.4.2.4对所记录的各种数据进行对比分析，与以往数据比较，判断运行是否正常。</w:t>
      </w:r>
    </w:p>
    <w:p w14:paraId="379D82E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2.4.3倒闸操作</w:t>
      </w:r>
    </w:p>
    <w:p w14:paraId="0689B22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2.4.3.1因操作而影响用户正常使用的，应事先发出经审批的停电通知。</w:t>
      </w:r>
    </w:p>
    <w:p w14:paraId="6C70B64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2.4.3.2操作人在模拟板上操作，操作负责人审核操作任务是否与操作预令任务一致。</w:t>
      </w:r>
    </w:p>
    <w:p w14:paraId="6698F5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2.4.3.3操作人熟悉和掌握危险点分析和控制措施。</w:t>
      </w:r>
    </w:p>
    <w:p w14:paraId="41F8812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2.4.3.4操作人在操作全过程中严格按照规范化、标准化行为操作，遵守操作纪律。</w:t>
      </w:r>
    </w:p>
    <w:p w14:paraId="57A0A42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2.4.3.5操作过程做好记录并保存。</w:t>
      </w:r>
    </w:p>
    <w:p w14:paraId="75A9EC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2.4.4停电限电操作</w:t>
      </w:r>
    </w:p>
    <w:p w14:paraId="7A777B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2.4.4.1停电、限电应有明确的审批权限，相关部门拟写通知，物业管理中心负责将通知发送至入驻单位以及各相关部门，并做好通知发放记录。如紧急情况，应采取必要紧急处理措施。</w:t>
      </w:r>
    </w:p>
    <w:p w14:paraId="3A759A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2.4.4.2物业管理中心张贴的告示、通知等按规定时间撤除。</w:t>
      </w:r>
    </w:p>
    <w:p w14:paraId="57E7E2B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2.4.4.3停电前，关停受影响的设备，如信息中心、锅炉、中央空调机组、电梯、水泵等，避免设备故障。</w:t>
      </w:r>
    </w:p>
    <w:p w14:paraId="4183A87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2.4.4.4当限电时，确保消防设施、安全通道照明的用电。</w:t>
      </w:r>
    </w:p>
    <w:p w14:paraId="55B1AB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2.4.5高（低）压变配电系统维护管理</w:t>
      </w:r>
    </w:p>
    <w:p w14:paraId="45D6C0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2.4.5.1高（低）压配电应按年度维护计划或因故障进行检修，严格执行电气作业的安全技术措施和组织措施，并做好记录。</w:t>
      </w:r>
    </w:p>
    <w:p w14:paraId="45D640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2.4.5.2在规定周期内进行高压电气设备试验，留存测试合格报告。</w:t>
      </w:r>
    </w:p>
    <w:p w14:paraId="1646DDB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2.4.5.3高（低）压变（配）电柜操作运行正常，检测表计显示准确。</w:t>
      </w:r>
    </w:p>
    <w:p w14:paraId="716C7E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2.4.5.4高（低）压变压器运行正常，温控显示准确，联控动作正常。</w:t>
      </w:r>
    </w:p>
    <w:p w14:paraId="78B20F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2.4.5.5变（配）电柜直流操作系统运行正常，蓄电池组充、放电量稳定。 </w:t>
      </w:r>
    </w:p>
    <w:p w14:paraId="042BBD5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2.4.5.6功率因素自动补偿电容器（组）运行正常，自动切换正确可靠。</w:t>
      </w:r>
    </w:p>
    <w:p w14:paraId="422D79D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2.4.5.7变（配）点系统联络自切正常。</w:t>
      </w:r>
    </w:p>
    <w:p w14:paraId="66114C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2.4.6应急供电系统</w:t>
      </w:r>
    </w:p>
    <w:p w14:paraId="2E104B2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2.4.6.1柴油发电机组维护保养</w:t>
      </w:r>
    </w:p>
    <w:p w14:paraId="1EC8B1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2.4.6.1.1定期进行室外储油罐、日用油箱油位检查。</w:t>
      </w:r>
    </w:p>
    <w:p w14:paraId="177DCD4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2.4.6.1.2定期手动启动一次柴油发电机，确保发电机转速、运行声音、振动情况正常；确保润滑油压力正常、润滑油油位达标、冷却水水温正常、水箱水位达标、燃油系统、油位达标、排烟温度正常；确保输出电压、频率正常；确保启动系统、蓄电池电压达标。</w:t>
      </w:r>
    </w:p>
    <w:p w14:paraId="7AC9E03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2.4.6.1.3发电机控制柜手动及自动启动正常，各类表具显示正常；自动转换开关状态显示完好，动作正常。</w:t>
      </w:r>
    </w:p>
    <w:p w14:paraId="438CD97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2.4.6.1.4定期检查并更换柴油过滤器、更换润滑油与过滤器，清洗和更换空气过滤器。</w:t>
      </w:r>
    </w:p>
    <w:p w14:paraId="041204E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2.4.6.1.5定期启动和维护备用发电机（组），确保随时应急启用。</w:t>
      </w:r>
    </w:p>
    <w:p w14:paraId="2EDA8F4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2.4.6.1.6定期对应急照明设施进行检查、维护，使其处于有效待命状态。 </w:t>
      </w:r>
    </w:p>
    <w:p w14:paraId="4BF1FFC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2.4.6.1.7定期进行烟道除灰清洁。</w:t>
      </w:r>
    </w:p>
    <w:p w14:paraId="0F7F15F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2.4.6.2UPS设备巡检</w:t>
      </w:r>
    </w:p>
    <w:p w14:paraId="3CBC13B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2.4.6.2.1应确保控制面板、UPS工作状态、环境温湿度、消防设施正常、完好。</w:t>
      </w:r>
    </w:p>
    <w:p w14:paraId="6AA4B0D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2.4.6.2.2检查并记录均充、浮充电流、直流母线电压。</w:t>
      </w:r>
    </w:p>
    <w:p w14:paraId="1E556B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2.4.6.2.3定期对蓄电池组进行充放电试验，进行蓄电检查及保养。保持蓄电池室环境温度15℃至25℃,室内通风，环境卫生良好。</w:t>
      </w:r>
    </w:p>
    <w:p w14:paraId="33C99F9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2.4.7防雷系统</w:t>
      </w:r>
    </w:p>
    <w:p w14:paraId="574D48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2.4.7.1定期检查避雷针（避雷器）及接地引下线进行检查，确保各部位紧固、无断裂锈蚀、下沉倾斜等。</w:t>
      </w:r>
    </w:p>
    <w:p w14:paraId="3A7A930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2.4.7.2定期对医院楼变配电室设备的接地带进行检查。</w:t>
      </w:r>
    </w:p>
    <w:p w14:paraId="2C93851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2.4.7.3定期对医院楼各重要机房内的配电柜及设备接地进行检查。</w:t>
      </w:r>
    </w:p>
    <w:p w14:paraId="110547E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2.4.7.4保证所有机电设备、管道、构架等金属无接地良好。</w:t>
      </w:r>
    </w:p>
    <w:p w14:paraId="13253C5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2.5电梯系统</w:t>
      </w:r>
    </w:p>
    <w:p w14:paraId="5F41232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2.5.1电梯须由具备专业资质的单位、具备相应资格的人员进行定期保养维修。</w:t>
      </w:r>
    </w:p>
    <w:p w14:paraId="732A5CA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2.5.2物业服务企业应配备电梯安全员监督管理电梯日常运行、保养维修工作。</w:t>
      </w:r>
    </w:p>
    <w:p w14:paraId="50DAB8B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2.5.3定期巡检，确保机房内无异常运行声响，机房温湿度适宜，无漏水、进水。</w:t>
      </w:r>
    </w:p>
    <w:p w14:paraId="0A170AE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2.5.4电梯楼层指示灯与轿厢实际位置相符，厅门按钮及按钮灯正常，厅门关闭密封牢固，电梯到达平层应平稳，厅门地坎与轿厢地坎误差在标准范围内。</w:t>
      </w:r>
    </w:p>
    <w:p w14:paraId="470E1F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2.5.5轿厢内各附属设施（楼层信号灯、风扇/空调、照明、警铃、电话、开关门按钮等）正常，电梯起动平稳、运行恒速，减速无明显压迫感。</w:t>
      </w:r>
    </w:p>
    <w:p w14:paraId="46B9331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2.5.6保持电梯机房清洁，保持地面无积尘，控制柜、主机表面无污渍。</w:t>
      </w:r>
    </w:p>
    <w:p w14:paraId="6492442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2.5.7需停梯，应提前张贴书面通知。</w:t>
      </w:r>
    </w:p>
    <w:p w14:paraId="02D21BA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2.5.8电梯运行异常情况下，在通知电梯维保单位同时，电梯安全员须按应急预案，采用紧急处理措施实施处理。</w:t>
      </w:r>
    </w:p>
    <w:p w14:paraId="66C929B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2.6安全防范系统</w:t>
      </w:r>
    </w:p>
    <w:p w14:paraId="3179821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2.6.1中央监控系统</w:t>
      </w:r>
    </w:p>
    <w:p w14:paraId="0B6207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2.6.1.1摄像机安装牢固、位置正确、工作正常、整洁。</w:t>
      </w:r>
    </w:p>
    <w:p w14:paraId="603B9A9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2.6.1.2画面分割器工作正常、整洁。</w:t>
      </w:r>
    </w:p>
    <w:p w14:paraId="41495ED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2.6.1.3录入设备工作正常、整洁。</w:t>
      </w:r>
    </w:p>
    <w:p w14:paraId="1B270B0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2.6.1.4监视器工作正常、图像清晰、色彩良好。</w:t>
      </w:r>
    </w:p>
    <w:p w14:paraId="1E15DF1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2.6.1.5矩阵工作正常、线路整齐、标识清楚。</w:t>
      </w:r>
    </w:p>
    <w:p w14:paraId="215AD3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2.6.1.6监控的录入资料至少保存30天，有特殊要求的按照相关规定或标准执行。 </w:t>
      </w:r>
    </w:p>
    <w:p w14:paraId="28511B7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2.6.2巡更系统</w:t>
      </w:r>
    </w:p>
    <w:p w14:paraId="21A7A37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2.6.2.1工作站工作正常、整洁。</w:t>
      </w:r>
    </w:p>
    <w:p w14:paraId="58D31DD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2.6.2.2巡更器具工作正常。</w:t>
      </w:r>
    </w:p>
    <w:p w14:paraId="4A69F4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2.6.2.3巡更点位置正确、安装牢固、工作正常。</w:t>
      </w:r>
    </w:p>
    <w:p w14:paraId="3750A0F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2.6.3周界报警系统</w:t>
      </w:r>
    </w:p>
    <w:p w14:paraId="548346C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2.6.3.1工作站工作正常、整洁。</w:t>
      </w:r>
    </w:p>
    <w:p w14:paraId="79EBFCE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2.6.3.2红外探头安装牢固、线路无损、工作正常、整洁。</w:t>
      </w:r>
    </w:p>
    <w:p w14:paraId="4CAC66C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2.6.4对讲系统</w:t>
      </w:r>
    </w:p>
    <w:p w14:paraId="5B8D156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2.6.4.1基站线路无损、工作正常、整洁。</w:t>
      </w:r>
    </w:p>
    <w:p w14:paraId="4C21CBB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2.6.4.2天线安装牢固、工作正常、整洁。</w:t>
      </w:r>
    </w:p>
    <w:p w14:paraId="5B0F486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2.7消防系统</w:t>
      </w:r>
    </w:p>
    <w:p w14:paraId="22B9157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2.7.1各项消防设备按规定进行定期检查，保证设施齐全、功能运行正常。</w:t>
      </w:r>
    </w:p>
    <w:p w14:paraId="2145D32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2.7.2火灾探测器定期进行时效模拟试验，探测器定期进行清洗，及时更换失效的器件。</w:t>
      </w:r>
    </w:p>
    <w:p w14:paraId="4724C4F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2.7.3每年进行一次消防联动，检测各类消防系统各类运行参数和状况并作记录。</w:t>
      </w:r>
    </w:p>
    <w:p w14:paraId="3E9F13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2.7.4消防灭火设施处于良好的待命状态，灭火器等灭火装置应定期进行信号测试与压力状态检查。</w:t>
      </w:r>
    </w:p>
    <w:p w14:paraId="3A61AB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2.7.5消防泵定期启动测试并做记录，定期保养，保证工作站工作正常、整洁。</w:t>
      </w:r>
    </w:p>
    <w:p w14:paraId="6D963F4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2.7.6消火栓定期巡查，保持消火栓箱内各种配件完好。</w:t>
      </w:r>
    </w:p>
    <w:p w14:paraId="75441CA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2.7.7消防带定期检查，阀杆处定期加注润滑油并做放水检查。</w:t>
      </w:r>
    </w:p>
    <w:p w14:paraId="529F799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2.7.8消防监控服务</w:t>
      </w:r>
    </w:p>
    <w:p w14:paraId="7C9054D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2.7.8.1消防监控系统须持有专业证书人员24小时值守，监控设备运行状况。</w:t>
      </w:r>
    </w:p>
    <w:p w14:paraId="728E03E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2.7.8.2接到报警信号应立即赶赴现场处理，并记录备案。</w:t>
      </w:r>
    </w:p>
    <w:p w14:paraId="159DF32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2.7.8.3消防设施出现报警故障，应及时报修处理。</w:t>
      </w:r>
    </w:p>
    <w:p w14:paraId="4B8164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2.7.8.4消防控制室在确认火灾后，应当能控制有关部位的防火卷帘门按规定的程序下降，接收器反馈信号并显示其状态。</w:t>
      </w:r>
    </w:p>
    <w:p w14:paraId="7E371AE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2.7.8.5消防报警与火灾处理</w:t>
      </w:r>
    </w:p>
    <w:p w14:paraId="22ABC9F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2.7.8.5.1当被检测探头相应参数达到预定值时，探测器能输出火灾报警信号，同时启动探测器确认灯。</w:t>
      </w:r>
    </w:p>
    <w:p w14:paraId="64F24F7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2.7.8.5.2操作启动部件，手动火灾报警按钮能输出火灾报警信号，报警按钮有动作显示。</w:t>
      </w:r>
    </w:p>
    <w:p w14:paraId="76B4C5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2.7.8.5.3火灾时能在消防控制室将火灾疏散层的扬声器和广播背景印象系统强制转入火灾应急广播状态，并控制在选定的楼层（区域）内。</w:t>
      </w:r>
    </w:p>
    <w:p w14:paraId="0761204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2.7.8.5.4能正常接收来自火灾探测器及其它报警触发器件的火灾报警信号，发出声、光信号。</w:t>
      </w:r>
    </w:p>
    <w:p w14:paraId="52F40B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2.7.8.5.5当控制器和火灾探测器、控制器和传输火灾报警信号作用的部件发生故障时，能正确指示出故障部位。</w:t>
      </w:r>
    </w:p>
    <w:p w14:paraId="5E13D0F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2.7.8.5.6显示预报警和故障信号时，如有火灾报警信号输入，能立即显示火灾报警信号；显示故障信号时，如有预报警信号输入，能显示预报警信号。</w:t>
      </w:r>
    </w:p>
    <w:p w14:paraId="2DD9001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2.7.8.5.7主电源切换时，备用电源能自动投入运行；当主电源恢复时能从备用电源自动转入主电源状态。</w:t>
      </w:r>
    </w:p>
    <w:p w14:paraId="667E44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2.7.8.5.8火灾确认后，发出控制信号，强制电梯全部停于首层，并接受其反馈信号，消防电梯联动迫降后可进行人工操作，其功能、信号正常。</w:t>
      </w:r>
    </w:p>
    <w:p w14:paraId="7DF327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2.7.8.5.9火灾确认后，能控制相应部位的正压风机和排烟风机启动，接收器反馈信号并显示其状态。</w:t>
      </w:r>
    </w:p>
    <w:p w14:paraId="6D41BB0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2.7.8.5.10火灾确认后，发出控制信号，将火层的防烟风阀、排烟阀打开，接收其反馈信号并显示其状态。</w:t>
      </w:r>
    </w:p>
    <w:p w14:paraId="5E2152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2.7.8.5.11火灾确认后，能释放建筑内的所有门禁装置，保证疏散门的畅通。</w:t>
      </w:r>
    </w:p>
    <w:p w14:paraId="4F70556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2.7.8.5.12数据采集柜蓄电池正常、线路整齐、接线正确、工作正常、整洁。</w:t>
      </w:r>
    </w:p>
    <w:p w14:paraId="419BF11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2.7.8.5.13末端设备安装牢固、位置正确、线路整齐、工作正常。</w:t>
      </w:r>
    </w:p>
    <w:p w14:paraId="354107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2.7.8.5.14中央联动装置工作正常，显示正确。</w:t>
      </w:r>
    </w:p>
    <w:p w14:paraId="2673C9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2.8楼宇自控系统与综合布线</w:t>
      </w:r>
    </w:p>
    <w:p w14:paraId="607F987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2.8.1服务器、工作站、数字式直接控制器（DDC）工作正常、通讯正常、线路整齐；末端设备工作正常、接线正确、线路无损、安装牢固。</w:t>
      </w:r>
    </w:p>
    <w:p w14:paraId="6D2875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2.8.2BA系统温度控制应根据季节变化及近期温度变化，变更空调运行模式，保持舒适的温度环境，并符合节能要求。</w:t>
      </w:r>
    </w:p>
    <w:p w14:paraId="02A6A34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2.8.3定期对BA系统巡检，查看各系统设备运行情况，包括空调机组启动情况、总供回水温度、压力、送（排）风机运行情况、重要会议室温度情况、锅炉运行情况、变配电系统、水池、水箱集水井排水泵运行情况等。</w:t>
      </w:r>
    </w:p>
    <w:p w14:paraId="38E5ADE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2.8.4网络与通讯设备系统 </w:t>
      </w:r>
    </w:p>
    <w:p w14:paraId="2223BE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2.8.4.1程控交换机（PABX）数据通讯工作正常、整洁、线路整齐。</w:t>
      </w:r>
    </w:p>
    <w:p w14:paraId="6730B3E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2.8.4.1.1维护终端工作正常、整洁。</w:t>
      </w:r>
    </w:p>
    <w:p w14:paraId="21309F2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2.8.4.1.2计费系统工作正常、整洁。</w:t>
      </w:r>
    </w:p>
    <w:p w14:paraId="1810FD3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2.8.4.1.3电源工作正常、蓄电池正常、设备整洁、显示仪表无损。</w:t>
      </w:r>
    </w:p>
    <w:p w14:paraId="7A6FEF4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2.8.4.1.4语音信箱工作正常、整洁、接线正确。</w:t>
      </w:r>
    </w:p>
    <w:p w14:paraId="7E13078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2.8.4.2网络通讯设备</w:t>
      </w:r>
    </w:p>
    <w:p w14:paraId="459B25A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2.8.4.2.1程控交换机工作正常。</w:t>
      </w:r>
    </w:p>
    <w:p w14:paraId="6CE719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2.8.4.2.2配线架排线整齐，标签完好，数据齐全。</w:t>
      </w:r>
    </w:p>
    <w:p w14:paraId="123E102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2.8.4.2.3光线配架排线整齐，标签完好，数据齐全。</w:t>
      </w:r>
    </w:p>
    <w:p w14:paraId="6C79A8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2.8.4.2.4插座模块安装完好，线路畅通，表面整洁。</w:t>
      </w:r>
    </w:p>
    <w:p w14:paraId="1390A2B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2.8.4.3广播与背景音响系统</w:t>
      </w:r>
    </w:p>
    <w:p w14:paraId="22BBAE9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2.8.4.3.1音源设备工作正常，整洁。</w:t>
      </w:r>
    </w:p>
    <w:p w14:paraId="2092DB6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2.8.4.3.2功放设备工作正常，整洁。</w:t>
      </w:r>
    </w:p>
    <w:p w14:paraId="218CEB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2.8.4.3.3扬声器等末端设备工作正常、整洁，音质保持清晰。</w:t>
      </w:r>
    </w:p>
    <w:p w14:paraId="5F141CF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2.8.4.3.4背景音响与消防报警系统的连接切换工作正常。</w:t>
      </w:r>
    </w:p>
    <w:p w14:paraId="17959BA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2.8.4.4话务台工作正常、话音清晰、整洁。</w:t>
      </w:r>
    </w:p>
    <w:p w14:paraId="52C031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2.9暖通与空调系统</w:t>
      </w:r>
    </w:p>
    <w:p w14:paraId="37BF27C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2.9.1定期对空调系统开机前进行检查，测试运行控制和安全控制功能，记录运行参数，分析运行记录。</w:t>
      </w:r>
    </w:p>
    <w:p w14:paraId="0A0B250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2.9.2定期检查冷却塔风机变速齿轮箱、淋水装置、循环泵、电器控制箱，保证冷却塔及附属设施的正常运行和良好保养，提供符合要求的冷却水。</w:t>
      </w:r>
    </w:p>
    <w:p w14:paraId="17C9E1F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2.9.3定期对空气处理单元、新风处理单元、风机盘管、滤网、加湿器、风阀、积水盘、风机表冷器进行清洗和保养；定期清洗和更换空调机组的空气过滤器、冷凝水积水盘和冷凝水管道。</w:t>
      </w:r>
    </w:p>
    <w:p w14:paraId="09BB42E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2.9.4定期进行循环泵、空调主机、冷却风机电柜主电路螺栓紧固，测试绝缘值，作好记录。</w:t>
      </w:r>
    </w:p>
    <w:p w14:paraId="26FF2E5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2.9.5定期对空调系统主机、水泵、电机、管道、膨胀水箱、集水器、分水器进行检查保养。</w:t>
      </w:r>
    </w:p>
    <w:p w14:paraId="326B799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2.9.6各种管道完好，阀件及仪表齐备，无跑、冒、滴、漏。</w:t>
      </w:r>
    </w:p>
    <w:p w14:paraId="6EAC0AF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2.9.7保证冷冻主机及附属设施的正常运行和良好保养，提供符合要求的冷冻水。</w:t>
      </w:r>
    </w:p>
    <w:p w14:paraId="272EDA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2.9.8保证采暖热水及附属设施正常运行和良好保养，提供符合要求的采暖热水。</w:t>
      </w:r>
    </w:p>
    <w:p w14:paraId="640D2FA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2.9.9对空调循环水质进行维护保养和水质分析，保证水系统内的水质符合国家标准要求。</w:t>
      </w:r>
    </w:p>
    <w:p w14:paraId="42A4106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2.9.10能量计费系统处于完好状态。</w:t>
      </w:r>
    </w:p>
    <w:p w14:paraId="58C2B5F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2.9.11定期检查空调机组、风机的运转情况，记录运行参数。</w:t>
      </w:r>
    </w:p>
    <w:p w14:paraId="70841E9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2.9.12定期安排对新风量、排风量的测定。</w:t>
      </w:r>
    </w:p>
    <w:p w14:paraId="7EF22D3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2.9.13应考虑定期安排对空气品质的测定。</w:t>
      </w:r>
    </w:p>
    <w:p w14:paraId="4D15680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2.9.14定期安排对风管系统的清洗。</w:t>
      </w:r>
    </w:p>
    <w:p w14:paraId="782903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2.9.15做好空调系统维护保养记录。</w:t>
      </w:r>
    </w:p>
    <w:p w14:paraId="1289DCC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2.9.16医用气体系统管理</w:t>
      </w:r>
    </w:p>
    <w:p w14:paraId="2250530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2.9.16.1定期检查</w:t>
      </w:r>
      <w:r>
        <w:rPr>
          <w:rFonts w:ascii="仿宋_GB2312" w:hAnsi="仿宋_GB2312" w:eastAsia="仿宋_GB2312" w:cs="仿宋_GB2312"/>
          <w:sz w:val="24"/>
          <w:szCs w:val="24"/>
          <w:lang w:eastAsia="zh-CN"/>
        </w:rPr>
        <w:t>瓶装医用气体系统的运行状态，做好记录</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 xml:space="preserve">瓶装医用气体的压力值应符合要求。 </w:t>
      </w:r>
    </w:p>
    <w:p w14:paraId="74FD0A4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2.9.16.2</w:t>
      </w:r>
      <w:r>
        <w:rPr>
          <w:rFonts w:ascii="仿宋_GB2312" w:hAnsi="仿宋_GB2312" w:eastAsia="仿宋_GB2312" w:cs="仿宋_GB2312"/>
          <w:sz w:val="24"/>
          <w:szCs w:val="24"/>
          <w:lang w:eastAsia="zh-CN"/>
        </w:rPr>
        <w:t>瓶装医用气体的放置地点应远离明火，并用专用器具固定。</w:t>
      </w:r>
    </w:p>
    <w:p w14:paraId="2DE5E81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2.9.17</w:t>
      </w:r>
      <w:r>
        <w:rPr>
          <w:rFonts w:ascii="仿宋_GB2312" w:hAnsi="仿宋_GB2312" w:eastAsia="仿宋_GB2312" w:cs="仿宋_GB2312"/>
          <w:sz w:val="24"/>
          <w:szCs w:val="24"/>
          <w:lang w:eastAsia="zh-CN"/>
        </w:rPr>
        <w:t>负压系统管理</w:t>
      </w:r>
    </w:p>
    <w:p w14:paraId="10BE68B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2.9.17.1定期</w:t>
      </w:r>
      <w:r>
        <w:rPr>
          <w:rFonts w:ascii="仿宋_GB2312" w:hAnsi="仿宋_GB2312" w:eastAsia="仿宋_GB2312" w:cs="仿宋_GB2312"/>
          <w:sz w:val="24"/>
          <w:szCs w:val="24"/>
          <w:lang w:eastAsia="zh-CN"/>
        </w:rPr>
        <w:t>检查吸引设备的运行状态，做好记录</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系统真空度应符合</w:t>
      </w:r>
      <w:r>
        <w:rPr>
          <w:rFonts w:hint="eastAsia" w:ascii="仿宋_GB2312" w:hAnsi="仿宋_GB2312" w:eastAsia="仿宋_GB2312" w:cs="仿宋_GB2312"/>
          <w:sz w:val="24"/>
          <w:szCs w:val="24"/>
          <w:lang w:eastAsia="zh-CN"/>
        </w:rPr>
        <w:t>要求。2.9.17.2</w:t>
      </w:r>
      <w:r>
        <w:rPr>
          <w:rFonts w:ascii="仿宋_GB2312" w:hAnsi="仿宋_GB2312" w:eastAsia="仿宋_GB2312" w:cs="仿宋_GB2312"/>
          <w:sz w:val="24"/>
          <w:szCs w:val="24"/>
          <w:lang w:eastAsia="zh-CN"/>
        </w:rPr>
        <w:t>定期对吸引系统设备进行维护保养，确保在用和备用的设施设备完好。</w:t>
      </w:r>
    </w:p>
    <w:p w14:paraId="6C08B03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2.9.17.3</w:t>
      </w:r>
      <w:r>
        <w:rPr>
          <w:rFonts w:ascii="仿宋_GB2312" w:hAnsi="仿宋_GB2312" w:eastAsia="仿宋_GB2312" w:cs="仿宋_GB2312"/>
          <w:sz w:val="24"/>
          <w:szCs w:val="24"/>
          <w:lang w:eastAsia="zh-CN"/>
        </w:rPr>
        <w:t>定期对真空罐放水。</w:t>
      </w:r>
    </w:p>
    <w:p w14:paraId="678672F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2.9.17.4</w:t>
      </w:r>
      <w:r>
        <w:rPr>
          <w:rFonts w:ascii="仿宋_GB2312" w:hAnsi="仿宋_GB2312" w:eastAsia="仿宋_GB2312" w:cs="仿宋_GB2312"/>
          <w:sz w:val="24"/>
          <w:szCs w:val="24"/>
          <w:lang w:eastAsia="zh-CN"/>
        </w:rPr>
        <w:t>定期对压缩空气系统设备（真空泵、止回阀、电磁阀、电气控制箱、压力自停装置、负压管、末端负压装置）的功能进行检查，保持设备状态完好</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防止负压系统漏气。</w:t>
      </w:r>
    </w:p>
    <w:p w14:paraId="61886A6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2.9.18</w:t>
      </w:r>
      <w:r>
        <w:rPr>
          <w:rFonts w:ascii="仿宋_GB2312" w:hAnsi="仿宋_GB2312" w:eastAsia="仿宋_GB2312" w:cs="仿宋_GB2312"/>
          <w:sz w:val="24"/>
          <w:szCs w:val="24"/>
          <w:lang w:eastAsia="zh-CN"/>
        </w:rPr>
        <w:t>手术室空调净化系统管理</w:t>
      </w:r>
    </w:p>
    <w:p w14:paraId="19223E3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2.9.18.1</w:t>
      </w:r>
      <w:r>
        <w:rPr>
          <w:rFonts w:ascii="仿宋_GB2312" w:hAnsi="仿宋_GB2312" w:eastAsia="仿宋_GB2312" w:cs="仿宋_GB2312"/>
          <w:sz w:val="24"/>
          <w:szCs w:val="24"/>
          <w:lang w:eastAsia="zh-CN"/>
        </w:rPr>
        <w:t>定期对空调净化系统进行检查和保养，测试运行状态，记录运行参数，分析运行记录。</w:t>
      </w:r>
    </w:p>
    <w:p w14:paraId="5AA5140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2.9.18.2</w:t>
      </w:r>
      <w:r>
        <w:rPr>
          <w:rFonts w:ascii="仿宋_GB2312" w:hAnsi="仿宋_GB2312" w:eastAsia="仿宋_GB2312" w:cs="仿宋_GB2312"/>
          <w:sz w:val="24"/>
          <w:szCs w:val="24"/>
          <w:lang w:eastAsia="zh-CN"/>
        </w:rPr>
        <w:t>定期对空气处理系统、新风处理系统进行清洗和保养</w:t>
      </w:r>
      <w:r>
        <w:rPr>
          <w:rFonts w:hint="eastAsia" w:ascii="仿宋_GB2312" w:hAnsi="仿宋_GB2312" w:eastAsia="仿宋_GB2312" w:cs="仿宋_GB2312"/>
          <w:sz w:val="24"/>
          <w:szCs w:val="24"/>
          <w:lang w:eastAsia="zh-CN"/>
        </w:rPr>
        <w:t>，定期对空气过滤系统进行消毒、清洗，</w:t>
      </w:r>
      <w:r>
        <w:rPr>
          <w:rFonts w:ascii="仿宋_GB2312" w:hAnsi="仿宋_GB2312" w:eastAsia="仿宋_GB2312" w:cs="仿宋_GB2312"/>
          <w:sz w:val="24"/>
          <w:szCs w:val="24"/>
          <w:lang w:eastAsia="zh-CN"/>
        </w:rPr>
        <w:t>根据风量风速、细菌浓度等适时更换</w:t>
      </w:r>
      <w:r>
        <w:rPr>
          <w:rFonts w:hint="eastAsia" w:ascii="仿宋_GB2312" w:hAnsi="仿宋_GB2312" w:eastAsia="仿宋_GB2312" w:cs="仿宋_GB2312"/>
          <w:sz w:val="24"/>
          <w:szCs w:val="24"/>
          <w:lang w:eastAsia="zh-CN"/>
        </w:rPr>
        <w:t>初、</w:t>
      </w:r>
      <w:r>
        <w:rPr>
          <w:rFonts w:ascii="仿宋_GB2312" w:hAnsi="仿宋_GB2312" w:eastAsia="仿宋_GB2312" w:cs="仿宋_GB2312"/>
          <w:sz w:val="24"/>
          <w:szCs w:val="24"/>
          <w:lang w:eastAsia="zh-CN"/>
        </w:rPr>
        <w:t>中</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高效过滤器。</w:t>
      </w:r>
    </w:p>
    <w:p w14:paraId="45BC91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2.9.18.3</w:t>
      </w:r>
      <w:r>
        <w:rPr>
          <w:rFonts w:ascii="仿宋_GB2312" w:hAnsi="仿宋_GB2312" w:eastAsia="仿宋_GB2312" w:cs="仿宋_GB2312"/>
          <w:sz w:val="24"/>
          <w:szCs w:val="24"/>
          <w:lang w:eastAsia="zh-CN"/>
        </w:rPr>
        <w:t xml:space="preserve">各种管道应保持完好，阀件及仪表齐备，无跑、冒、滴、漏。 </w:t>
      </w:r>
    </w:p>
    <w:p w14:paraId="19AFD47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2.9.18.4</w:t>
      </w:r>
      <w:r>
        <w:rPr>
          <w:rFonts w:ascii="仿宋_GB2312" w:hAnsi="仿宋_GB2312" w:eastAsia="仿宋_GB2312" w:cs="仿宋_GB2312"/>
          <w:sz w:val="24"/>
          <w:szCs w:val="24"/>
          <w:lang w:eastAsia="zh-CN"/>
        </w:rPr>
        <w:t>细菌浓度应符合要求。</w:t>
      </w:r>
    </w:p>
    <w:p w14:paraId="53D30D8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2.10给排水系统</w:t>
      </w:r>
    </w:p>
    <w:p w14:paraId="0E219F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2.10.1生活水泵、消防、喷淋水泵巡检</w:t>
      </w:r>
    </w:p>
    <w:p w14:paraId="7D02382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2.10.1.1定期对生活水泵、消防、喷淋水泵巡检，检查水泵控制屏的指示灯、变频恒压供水控制器显示数据等是否正确；检查管道接头和阀门有无渗漏水，压力表显示压力等是否正常，用户末端的水压及流量满足使用要求；检查机房内有无异常运行声响，异常气味；机房温度是否适宜，有无漏水、进水，门窗是否关闭。</w:t>
      </w:r>
    </w:p>
    <w:p w14:paraId="32DE807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2.10.1.2定期对生活水泵及其机房环境清洁一次，保持地面无尘。控制柜、主机表面无污渍。</w:t>
      </w:r>
    </w:p>
    <w:p w14:paraId="4A104A0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2.10.1.3做好巡检相关记录。</w:t>
      </w:r>
    </w:p>
    <w:p w14:paraId="6E1A24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2.10.1.4生活饮用水水质符合规定，确保水质无污染，二次供水设施应定期清洗、消毒或更换滤芯。</w:t>
      </w:r>
    </w:p>
    <w:p w14:paraId="3221CE3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2.10.2生活水泵切换</w:t>
      </w:r>
    </w:p>
    <w:p w14:paraId="141585B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2.10.2.1定期对生活水泵进行切换。</w:t>
      </w:r>
    </w:p>
    <w:p w14:paraId="6208C9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2.10.2.2做好生活水泵切换记录。</w:t>
      </w:r>
    </w:p>
    <w:p w14:paraId="65150AC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2.10.3生活水泵、消防、喷淋水泵维保</w:t>
      </w:r>
    </w:p>
    <w:p w14:paraId="6FE60B4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2.10.3.1水泵控制回路每月进行一次紧固，检查是否可靠。</w:t>
      </w:r>
    </w:p>
    <w:p w14:paraId="1592511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2.10.3.2检查水泵及电机轴承运行情况，视情况加注润滑油；定期对水泵、管道进行除锈油漆。</w:t>
      </w:r>
    </w:p>
    <w:p w14:paraId="47DA606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2.10.3.3观察点击运行时的电流、温升情况，声音是否异常，机械是否滑动灵活，对轴加油，使水泵达到良好状态。</w:t>
      </w:r>
    </w:p>
    <w:p w14:paraId="75F4C9B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2.10.3.4维保结束，做好生活水泵、消防、喷淋水泵维保记录。</w:t>
      </w:r>
    </w:p>
    <w:p w14:paraId="5358B9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2.10.4水箱水池</w:t>
      </w:r>
    </w:p>
    <w:p w14:paraId="0C82CA5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2.10.4.1水箱、水池巡检</w:t>
      </w:r>
    </w:p>
    <w:p w14:paraId="550780D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2.10.4.1.1应定期对水箱、水池进行巡检。</w:t>
      </w:r>
    </w:p>
    <w:p w14:paraId="19F266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2.10.4.1.2检查水箱、水池的水位控制阀和水位报警装置，确保正常供水。</w:t>
      </w:r>
    </w:p>
    <w:p w14:paraId="00D8CB4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2.10.4.1.3确保水池、水箱有盖，保证水箱的密闭性和安全性，水箱排水管、溢水口、透气口应做好防护网罩，保障安全使用。</w:t>
      </w:r>
    </w:p>
    <w:p w14:paraId="1862C95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2.10.4.1.4确保水箱、水池周边无有毒、有害及挥发性物质。</w:t>
      </w:r>
    </w:p>
    <w:p w14:paraId="235F897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2.10.4.1.5巡检结束后，做好水箱、水池巡检记录。</w:t>
      </w:r>
    </w:p>
    <w:p w14:paraId="10EB3A1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2.10.4.2水箱、水池清洗</w:t>
      </w:r>
    </w:p>
    <w:p w14:paraId="5A85850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2.10.4.2.1对池壁、池底清洁次数不低于每半年一次，并按要求对管道、阀门、浮球进行检修保养。</w:t>
      </w:r>
    </w:p>
    <w:p w14:paraId="251878A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w:t>
      </w:r>
      <w:r>
        <w:rPr>
          <w:rFonts w:hint="eastAsia" w:ascii="仿宋_GB2312" w:hAnsi="仿宋_GB2312" w:eastAsia="仿宋_GB2312" w:cs="仿宋_GB2312"/>
          <w:sz w:val="24"/>
          <w:szCs w:val="24"/>
          <w:lang w:val="en" w:eastAsia="zh-CN"/>
        </w:rPr>
        <w:t>2.</w:t>
      </w:r>
      <w:r>
        <w:rPr>
          <w:rFonts w:hint="eastAsia" w:ascii="仿宋_GB2312" w:hAnsi="仿宋_GB2312" w:eastAsia="仿宋_GB2312" w:cs="仿宋_GB2312"/>
          <w:sz w:val="24"/>
          <w:szCs w:val="24"/>
          <w:lang w:eastAsia="zh-CN"/>
        </w:rPr>
        <w:t>2清洗完毕后，用符合标准的消毒液，按比例稀释后对箱壁进行清洗消毒。</w:t>
      </w:r>
    </w:p>
    <w:p w14:paraId="356A4A7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w:t>
      </w:r>
      <w:r>
        <w:rPr>
          <w:rFonts w:hint="eastAsia" w:ascii="仿宋_GB2312" w:hAnsi="仿宋_GB2312" w:eastAsia="仿宋_GB2312" w:cs="仿宋_GB2312"/>
          <w:sz w:val="24"/>
          <w:szCs w:val="24"/>
          <w:lang w:val="en" w:eastAsia="zh-CN"/>
        </w:rPr>
        <w:t>.</w:t>
      </w:r>
      <w:r>
        <w:rPr>
          <w:rFonts w:hint="eastAsia" w:ascii="仿宋_GB2312" w:hAnsi="仿宋_GB2312" w:eastAsia="仿宋_GB2312" w:cs="仿宋_GB2312"/>
          <w:sz w:val="24"/>
          <w:szCs w:val="24"/>
          <w:lang w:eastAsia="zh-CN"/>
        </w:rPr>
        <w:t>3对水箱出水取样，经检测确保水质化验合格，否则重新清洗。</w:t>
      </w:r>
    </w:p>
    <w:p w14:paraId="77C1F8F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2.10.4.2.4做好水箱、水池清洗记录、水质化验报告并保存。</w:t>
      </w:r>
    </w:p>
    <w:p w14:paraId="32FFCD6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2.10.5排水管道巡检</w:t>
      </w:r>
    </w:p>
    <w:p w14:paraId="733A060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2.10.5.1定期对排水管道进行巡检；定期对污水处理系统全面维护保养，作业人员应有相应职业资格；系统无明显异味、噪声；污水排放达到标准要求。</w:t>
      </w:r>
    </w:p>
    <w:p w14:paraId="60DB35E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2.10.5.2雨水管、废水管、污水泵、提升泵、排水泵、阀门等，曝气风机、排水系统通畅、完好；各种管道阀门完好，仪表显示正确，无跑、冒、滴、漏；排水管线标识应完善，油漆完好；道路排泄水口应畅通、无堵塞；地下排水管窨井盖完好。</w:t>
      </w:r>
    </w:p>
    <w:p w14:paraId="78F1C2E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2.10.5.3做好排水管道巡检记录、维护保养记录。</w:t>
      </w:r>
    </w:p>
    <w:p w14:paraId="3D0283D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2.10.6医院污水处理系统</w:t>
      </w:r>
    </w:p>
    <w:p w14:paraId="641CB8F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2.10.6.1定期</w:t>
      </w:r>
      <w:r>
        <w:rPr>
          <w:rFonts w:ascii="仿宋_GB2312" w:hAnsi="仿宋_GB2312" w:eastAsia="仿宋_GB2312" w:cs="仿宋_GB2312"/>
          <w:sz w:val="24"/>
          <w:szCs w:val="24"/>
          <w:lang w:eastAsia="zh-CN"/>
        </w:rPr>
        <w:t>检查格栅、泥水分离机、二级生化装置、消毒装置，确保调</w:t>
      </w:r>
      <w:r>
        <w:rPr>
          <w:rFonts w:hint="eastAsia" w:ascii="仿宋_GB2312" w:hAnsi="仿宋_GB2312" w:eastAsia="仿宋_GB2312" w:cs="仿宋_GB2312"/>
          <w:sz w:val="24"/>
          <w:szCs w:val="24"/>
          <w:lang w:eastAsia="zh-CN"/>
        </w:rPr>
        <w:t>节</w:t>
      </w:r>
      <w:r>
        <w:rPr>
          <w:rFonts w:ascii="仿宋_GB2312" w:hAnsi="仿宋_GB2312" w:eastAsia="仿宋_GB2312" w:cs="仿宋_GB2312"/>
          <w:sz w:val="24"/>
          <w:szCs w:val="24"/>
          <w:lang w:eastAsia="zh-CN"/>
        </w:rPr>
        <w:t>池、消毒池、污水泵运行正常。</w:t>
      </w:r>
    </w:p>
    <w:p w14:paraId="5D770C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w:t>
      </w:r>
      <w:r>
        <w:rPr>
          <w:rFonts w:ascii="仿宋_GB2312" w:hAnsi="仿宋_GB2312" w:eastAsia="仿宋_GB2312" w:cs="仿宋_GB2312"/>
          <w:sz w:val="24"/>
          <w:szCs w:val="24"/>
          <w:lang w:eastAsia="zh-CN"/>
        </w:rPr>
        <w:t>2</w:t>
      </w:r>
      <w:r>
        <w:rPr>
          <w:rFonts w:hint="eastAsia" w:ascii="仿宋_GB2312" w:hAnsi="仿宋_GB2312" w:eastAsia="仿宋_GB2312" w:cs="仿宋_GB2312"/>
          <w:sz w:val="24"/>
          <w:szCs w:val="24"/>
          <w:lang w:eastAsia="zh-CN"/>
        </w:rPr>
        <w:t>定期</w:t>
      </w:r>
      <w:r>
        <w:rPr>
          <w:rFonts w:ascii="仿宋_GB2312" w:hAnsi="仿宋_GB2312" w:eastAsia="仿宋_GB2312" w:cs="仿宋_GB2312"/>
          <w:sz w:val="24"/>
          <w:szCs w:val="24"/>
          <w:lang w:eastAsia="zh-CN"/>
        </w:rPr>
        <w:t>按规定检查污水处理后水质的剩余有效氯含量，做好记录</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有效氯含量指标应符合要求。</w:t>
      </w:r>
    </w:p>
    <w:p w14:paraId="42DF322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2.10.6.3</w:t>
      </w:r>
      <w:r>
        <w:rPr>
          <w:rFonts w:ascii="仿宋_GB2312" w:hAnsi="仿宋_GB2312" w:eastAsia="仿宋_GB2312" w:cs="仿宋_GB2312"/>
          <w:sz w:val="24"/>
          <w:szCs w:val="24"/>
          <w:lang w:eastAsia="zh-CN"/>
        </w:rPr>
        <w:t>定期对污水处理系统设备进行维护保养，污水排放质量应符合要求。</w:t>
      </w:r>
    </w:p>
    <w:p w14:paraId="789860B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2.10.7热、开水器</w:t>
      </w:r>
    </w:p>
    <w:p w14:paraId="256717D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2.10.7.1热水器、开水器巡检</w:t>
      </w:r>
    </w:p>
    <w:p w14:paraId="7D0A543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2.10.7.1.1确保电源控制正常，进出水阀门、水位表完好，温度表正常，水浮球开关控制完好，净水器进出口压力差正常。如有燃气热水器，确保燃气阀门、报警器完好。</w:t>
      </w:r>
    </w:p>
    <w:p w14:paraId="6F1AE7D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2.10.7.1.2热水器、开水器内运行声响正常，无异味；管道接头和阀门无渗漏水，管道无堵塞；燃气管道无泄漏。</w:t>
      </w:r>
    </w:p>
    <w:p w14:paraId="60FFAD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2.10.7.1.3做好热水器、开水器巡检记录。</w:t>
      </w:r>
    </w:p>
    <w:p w14:paraId="7B54107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2.10.7.2热水器、开水器维护保养</w:t>
      </w:r>
    </w:p>
    <w:p w14:paraId="791CB55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2.10.7.2.1定期对热水器、开水器进行维护保养，净水器进行反冲，清洁玻璃管；如是燃气热水器，每月一次清洁点火盘；定期更换滤芯；燃气点火软管定期更换一次。</w:t>
      </w:r>
    </w:p>
    <w:p w14:paraId="09E564E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2.10.7.2.2做好热水器、开水器维保记录。</w:t>
      </w:r>
    </w:p>
    <w:p w14:paraId="7F68D8C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2.11锅炉系统</w:t>
      </w:r>
    </w:p>
    <w:p w14:paraId="671E13A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2.11.1蒸汽锅炉</w:t>
      </w:r>
    </w:p>
    <w:p w14:paraId="70AEA0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接受行政主管部门指定的检测机构对锅炉设备进行安全检测，并对锅炉电机部分及程序控制器性能、锅炉排放烟气进行检测。</w:t>
      </w:r>
    </w:p>
    <w:p w14:paraId="77BC66E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2.11.1.1蒸汽锅炉维护保养</w:t>
      </w:r>
    </w:p>
    <w:p w14:paraId="4ACF2EA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2.11.1.1.1每年对锅炉及附属设备进行定期保养；按规定更换油(气)喷嘴、保养和润滑电机、校验安全阀、检查交换器并添加树脂、设备管道补漆；对除氧器、冷凝水箱检修清洗；对锅筒内部检查并除垢。</w:t>
      </w:r>
    </w:p>
    <w:p w14:paraId="4C550A4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2.11.1.1.2定期对蒸汽压力表进行校检。</w:t>
      </w:r>
    </w:p>
    <w:p w14:paraId="3C65ABF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2.11.1.1.3定期对锅炉及附属设备保养；对防爆装置及泄爆装置进行安检:清理燃烧器、鼓风机风叶、烟管通灰；对机械设备更换或添加润滑油；超压、超温保护试验，安全阀排气正常。</w:t>
      </w:r>
    </w:p>
    <w:p w14:paraId="0A2138E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2.11.1.1.4定期对油气管路过滤器进行清洗，检查安全连锁装置。</w:t>
      </w:r>
    </w:p>
    <w:p w14:paraId="7A599C8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2.11.1.1.5应有专业人员对锅炉运行进行管理，做好锅炉安全经济运行监督、管理、工作记录。</w:t>
      </w:r>
    </w:p>
    <w:p w14:paraId="098E20D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2.11.1.1.6检测水质硬度，符合要求。</w:t>
      </w:r>
    </w:p>
    <w:p w14:paraId="69A9DF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2.11.1.1.7锅炉安全附件及仪表齐备，动作可靠。</w:t>
      </w:r>
    </w:p>
    <w:p w14:paraId="1D892C0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2.11.1.1.8在额定的流量范围内，输出蒸汽压力在允许范围之内。</w:t>
      </w:r>
    </w:p>
    <w:p w14:paraId="54D729D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2.11.1.1.9汽、水管道完好，阀件及仪表齐备，无跑、冒、滴、漏。</w:t>
      </w:r>
    </w:p>
    <w:p w14:paraId="165191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2.11.1.1.10操作人员持证上岗。 </w:t>
      </w:r>
    </w:p>
    <w:p w14:paraId="607CE60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2.11.1.2蒸汽锅炉运行管理</w:t>
      </w:r>
    </w:p>
    <w:p w14:paraId="591BF55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2.11.1.2.1按锅炉巡检巡回检查线路图巡视，定期巡检锅炉及其附属设备运行情况，记录运行数据。</w:t>
      </w:r>
    </w:p>
    <w:p w14:paraId="6B8D1BE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2.11.1.2.2锅炉运行中，出现运行故障或特殊情况，采取停炉措施。</w:t>
      </w:r>
    </w:p>
    <w:p w14:paraId="48A9BA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2.11.1.2.3做好锅炉运行记录并签名存放。</w:t>
      </w:r>
    </w:p>
    <w:p w14:paraId="78729B4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2.11.2热水锅炉</w:t>
      </w:r>
    </w:p>
    <w:p w14:paraId="35EAA71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2.11.2.1定期对温控仪进行检测。</w:t>
      </w:r>
    </w:p>
    <w:p w14:paraId="10A548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2.11.2.2定期对附属设备进行维护保养。</w:t>
      </w:r>
    </w:p>
    <w:p w14:paraId="2AC91A2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2.11.2.3做好热水锅炉检测、维护保养记录。</w:t>
      </w:r>
    </w:p>
    <w:p w14:paraId="4605A6C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2.12标识系统</w:t>
      </w:r>
    </w:p>
    <w:p w14:paraId="09AD53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2.12.1医院服务区域内设指示性标识包括引导、功能、警示标识，如:电梯、楼梯、出入口通道、残疾人通道、各科室、病区、门诊、手术室、放射室、检查室、男女厕所、消毒用品、工具类物资、有毒有害废弃物存放点标识等。</w:t>
      </w:r>
    </w:p>
    <w:p w14:paraId="1E6A0E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2.12.2医院公共区域内的紧急出口、消防通道、禁烟区、有限空间、设备机房等重点部位设置警示性标识。</w:t>
      </w:r>
    </w:p>
    <w:p w14:paraId="246E95F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2.12.3主要道路及停车场设置交通标识，主要路口设路标；配置并在适当时使用“维修进行中”等临时性服务状态标识。</w:t>
      </w:r>
    </w:p>
    <w:p w14:paraId="71FB829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2.12.4标识的图形符号符合标准要求。</w:t>
      </w:r>
    </w:p>
    <w:p w14:paraId="6CE9AE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2.12.5消防与安全标识符合标准要求。</w:t>
      </w:r>
    </w:p>
    <w:p w14:paraId="337D461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2.12.6各类标识的格式统一，悬挂(摆放)应安全、正规、醒目、便利、协调、无涂改，文字规范。</w:t>
      </w:r>
    </w:p>
    <w:p w14:paraId="0884493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四.保洁服务</w:t>
      </w:r>
    </w:p>
    <w:p w14:paraId="071D557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5C07F1B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提供服务区域内保洁服务，包括但不限于：室内大厅、楼梯、走廊、天台、电梯厅及轿厢、卫生间、楼宇外墙等所有公共部位，服务区域内道路、院落、停车场（库）等所有公共场地及“门前三包”区域的日常清洁、保洁及保养；消毒服务；垃圾分类及医疗垃圾清理、清运。</w:t>
      </w:r>
    </w:p>
    <w:p w14:paraId="2A2DB3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4D2EAC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2.1大堂及楼层公共区域</w:t>
      </w:r>
    </w:p>
    <w:p w14:paraId="5DD0221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大堂内实行巡回保洁，每天清洁地坪次数视人流量和清洁状况而定，确保地面洁净有光泽，无垃圾杂物、灰尘污渍、无划痕、踢脚线、接缝、角落处洁净。遇雨雪天增加干拖把拖地次数，门口放防滑地毯及“小心地滑”警示牌，并经常清洗防滑地毯，保持地毯整洁无杂物。</w:t>
      </w:r>
    </w:p>
    <w:p w14:paraId="004FC18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2.1.2及时清洗、擦拭、清理垃圾箱，垃圾不超过箱容积的三分之二，箱体洁净，周围无抛洒垃圾、异味，每天指定时间内将垃圾倒至垃圾收集站。</w:t>
      </w:r>
    </w:p>
    <w:p w14:paraId="497BB59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2.1.3确保及时清洁垃圾桶。</w:t>
      </w:r>
    </w:p>
    <w:p w14:paraId="7FA2CF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2.1.4确保墙面、玻璃、桌椅等，玻璃大门无手印、无积尘、无水迹，保持光亮、干净，墙面、桌椅等整洁无积尘；低位墙、踢脚线、转角定期清洁，高位墙定期清洁，保持干净、无蛛网。</w:t>
      </w:r>
    </w:p>
    <w:p w14:paraId="44DB9D3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2.1.5旋转门、门框、门中轴、门边缝部位光亮、无痕迹、无灰尘。窗框、窗台无灰尘、无污渍，金属件表面光亮。旋转门空调出风口无灰尘、无污迹。门把手定期消毒，保持干净、无痕迹。</w:t>
      </w:r>
    </w:p>
    <w:p w14:paraId="6BDE941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2.1.6楼梯扶手、栏杆、指示牌保持干净，金属件表面光亮、无污迹、无絮状物。指示牌定期清洁，清晰无灰尘。</w:t>
      </w:r>
    </w:p>
    <w:p w14:paraId="531DEF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2.1.7天花板、公共灯具、风口、百叶窗，定期清洁，无积尘、斑点、无蛛网、水迹。</w:t>
      </w:r>
    </w:p>
    <w:p w14:paraId="11119A4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2.1.8室内排水管道、排水沟、窨井等管道沟渠，保持畅通，井道内无垃圾、无异味。</w:t>
      </w:r>
    </w:p>
    <w:p w14:paraId="2E68BB5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2.1.9做好清洁服务记录。</w:t>
      </w:r>
    </w:p>
    <w:p w14:paraId="581D79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2.2电梯及自动扶梯</w:t>
      </w:r>
    </w:p>
    <w:p w14:paraId="46007F7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2.2.1轿厢内顶面和内侧墙壁保持光亮、无污迹，天花板无灰尘、蛛网；不锈钢材质部位定期做钢油护理；石材饰面的部位定期做晶面护理。</w:t>
      </w:r>
    </w:p>
    <w:p w14:paraId="5A1286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2.2.2按钮、扶手上无灰尘、污迹手印；天花板、出风口、照明无积尘、污垢。</w:t>
      </w:r>
    </w:p>
    <w:p w14:paraId="2330FD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2.2.3地面干净，定期对电梯内地毯吸尘清洗；保持地毯干净整洁，摆放规整。</w:t>
      </w:r>
    </w:p>
    <w:p w14:paraId="6F09DF0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2.2.4每周清理轿厢内导轨积灰、污垢、砂土。</w:t>
      </w:r>
    </w:p>
    <w:p w14:paraId="44F4F57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2.2.5做好电梯清洁服务记录。</w:t>
      </w:r>
    </w:p>
    <w:p w14:paraId="692C827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2.3消防楼梯及公共通道</w:t>
      </w:r>
    </w:p>
    <w:p w14:paraId="7ED17CD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2.3.1定期清扫台阶及边角，确保地面、阶梯（包括侧面）无垃圾、污迹、灰尘、水迹。</w:t>
      </w:r>
    </w:p>
    <w:p w14:paraId="4464AC6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2.3.2楼梯扶手无灰尘，扶手边隔断玻璃无手印、污迹，公共通道踢脚线干净无灰尘。</w:t>
      </w:r>
    </w:p>
    <w:p w14:paraId="6F90A9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2.3.3做好消防楼梯及公共通道清洁服务记录。</w:t>
      </w:r>
    </w:p>
    <w:p w14:paraId="57E43B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2.4地下车库</w:t>
      </w:r>
    </w:p>
    <w:p w14:paraId="3A9C2C5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保持地面无垃圾、无污垢（油渍）、无积水、无障碍物，空气畅通，灯泡、灯管、指示灯明亮、无积尘。定位杆、减速条完好明晰、无污垢、垃圾，反光镜干净明亮、无水迹、无污迹，消防通道无灰尘、无污渍、杂物；消防设施和停车栏杆灯具上无灰尘，消防箱外灭火器机箱、消火栓箱、警铃按钮外观红色鲜艳、表面无灰尘。</w:t>
      </w:r>
    </w:p>
    <w:p w14:paraId="061635D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2.4.2地下室车库集水坑和排水沟畅通，盖板定期冲刷，保持清洁。</w:t>
      </w:r>
    </w:p>
    <w:p w14:paraId="1BD00FF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2.4.3做好地下车库清洁服务记录。</w:t>
      </w:r>
    </w:p>
    <w:p w14:paraId="4325F7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2.5外围</w:t>
      </w:r>
    </w:p>
    <w:p w14:paraId="201C866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2.5.1打扫、清洗地面的垃圾污迹等，确保室外地面干净、畅通，无堆放杂物、无积尘、无油渍、轮胎印；雨天无严重积水，冬天主干道上无积雪、积冰，废弃物及时清除。</w:t>
      </w:r>
    </w:p>
    <w:p w14:paraId="0910C40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2.5.2做好外围清洁服务记录。</w:t>
      </w:r>
    </w:p>
    <w:p w14:paraId="42F6CAF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2.6大理石墙（地）面</w:t>
      </w:r>
    </w:p>
    <w:p w14:paraId="7FC52B0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2.6.1定期刷洗墙面和缝隙，确保墙面无污迹、水迹；不用酸性清洁剂进行清洗。</w:t>
      </w:r>
    </w:p>
    <w:p w14:paraId="4AE160B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2.6.2定期清抹地面，确保无水迹。</w:t>
      </w:r>
    </w:p>
    <w:p w14:paraId="1AB4482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2.6.3做好大理石墙（地）面清洁服务记录。</w:t>
      </w:r>
    </w:p>
    <w:p w14:paraId="3848267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2.7垃圾房</w:t>
      </w:r>
    </w:p>
    <w:p w14:paraId="189ACE4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2.7.1垃圾房实行每日清扫，垃圾分类标识清晰，按照垃圾分类工作要求做好垃圾分类工作。</w:t>
      </w:r>
    </w:p>
    <w:p w14:paraId="0394E44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2.7.2垃圾房周围及垃圾房地面无散落垃圾、无污秽物；排水沟无淤泥及污垢。</w:t>
      </w:r>
    </w:p>
    <w:p w14:paraId="69D0AD8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2.7.3定期消杀灭害，喷洒药水，防止害虫、细菌滋生。</w:t>
      </w:r>
    </w:p>
    <w:p w14:paraId="41B438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2.7.4垃圾收集箱内外表面干净、无残留物、无异味、定时消毒。</w:t>
      </w:r>
    </w:p>
    <w:p w14:paraId="71C54E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2.7.5地漏口无杂物、堵塞。</w:t>
      </w:r>
    </w:p>
    <w:p w14:paraId="478599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2.7.6垃圾房内垃圾不过夜。</w:t>
      </w:r>
    </w:p>
    <w:p w14:paraId="73FCE4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2.7.7做好垃圾房清洁服务记录。</w:t>
      </w:r>
    </w:p>
    <w:p w14:paraId="77579CD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2.8屋面平台</w:t>
      </w:r>
    </w:p>
    <w:p w14:paraId="7CEC9BE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2.8.1平台地面无漂浮垃圾、砖块、木板、金属块等。</w:t>
      </w:r>
    </w:p>
    <w:p w14:paraId="20533B4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2.8.2排水沟无垃圾，排水沟口畅通，发现堵塞及时清理。</w:t>
      </w:r>
    </w:p>
    <w:p w14:paraId="1752E78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2.8.3平台无明显破损、脱落。</w:t>
      </w:r>
    </w:p>
    <w:p w14:paraId="70FA380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2.8.4做好平台清洁服务记录。</w:t>
      </w:r>
    </w:p>
    <w:p w14:paraId="58EA0DC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2.9卫生间</w:t>
      </w:r>
    </w:p>
    <w:p w14:paraId="2F77B1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2.9.1地面无垃圾、无污渍、无积水、定时消毒；地漏畅通无阻。</w:t>
      </w:r>
    </w:p>
    <w:p w14:paraId="552756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2.9.2喷洒消毒清洁剂清洗坐便、便池，保持其干净、无污垢、无异味、畅通，如发现堵塞及时报修。</w:t>
      </w:r>
    </w:p>
    <w:p w14:paraId="240D0D1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2.9.3清洁墙面、隔断板，保持无污迹。</w:t>
      </w:r>
    </w:p>
    <w:p w14:paraId="1B4023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2.9.4洗手池无水锈、无皂迹、无毛发，对台面和洗手池进行消毒。</w:t>
      </w:r>
    </w:p>
    <w:p w14:paraId="67349A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2.9.5保持洁具、镜面表面光洁明亮、无毛发异物、无擦痕、定时消毒。</w:t>
      </w:r>
    </w:p>
    <w:p w14:paraId="6C565A2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2.9.6厕纸容器及时清倒，内部无满溢、无异味，外表无污迹。</w:t>
      </w:r>
    </w:p>
    <w:p w14:paraId="275919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2.9.7保持水龙头及其他配件、外露管道、洗手液盒、擦手纸盒、干手机等表面干净、无水迹、无污渍；洗手液、手纸及时添加。</w:t>
      </w:r>
    </w:p>
    <w:p w14:paraId="1234CA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2.9.8空气清新无异味，窗玻璃清洁无积尘。</w:t>
      </w:r>
    </w:p>
    <w:p w14:paraId="12F1C8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2.9.9做好卫生间清洁服务记录。</w:t>
      </w:r>
    </w:p>
    <w:p w14:paraId="402A43E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2.10茶水间</w:t>
      </w:r>
    </w:p>
    <w:p w14:paraId="624F7D1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2.10.1台面保持干燥无水迹水垢、无污迹；水槽无斑点、杂物、水垢。</w:t>
      </w:r>
    </w:p>
    <w:p w14:paraId="5147E08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2.10.2冷热水龙头表面光亮、无污迹；水龙头纱布定期更换。</w:t>
      </w:r>
    </w:p>
    <w:p w14:paraId="10E3D9A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2.10.3不锈钢水箱、烧水器表面无灰尘、无污垢；定期清洗不锈钢开水箱，除去水箱内壁水垢。</w:t>
      </w:r>
    </w:p>
    <w:p w14:paraId="1CF8893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2.10.4按规范操作煤气烧水器、电烧水器，确保工作时间内开水供应。</w:t>
      </w:r>
    </w:p>
    <w:p w14:paraId="38B4383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2.10.5做好茶水间清洁服务记录。</w:t>
      </w:r>
    </w:p>
    <w:p w14:paraId="1E176E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2.11广场、地面停车场、台阶</w:t>
      </w:r>
    </w:p>
    <w:p w14:paraId="42B5026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2.11.1保持地面干净、无垃圾。</w:t>
      </w:r>
    </w:p>
    <w:p w14:paraId="03251E4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2.11.2座椅、灯柱、雕塑、造景等设施清洁，无张贴物。</w:t>
      </w:r>
    </w:p>
    <w:p w14:paraId="3D8ACBD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2.11.3各类指示牌、照明灯具、栏杆、反光镜等保持无污垢、清晰完好。</w:t>
      </w:r>
    </w:p>
    <w:p w14:paraId="3D12724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2.11.4医院各进出口台阶地面保持干净清洁，地垫无灰尘、水迹、污垢，纤维整洁成统一方向。</w:t>
      </w:r>
    </w:p>
    <w:p w14:paraId="0334F3B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2.11.5做好广场、地面停车场、台阶清洁服务记录。</w:t>
      </w:r>
    </w:p>
    <w:p w14:paraId="76EB638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2.12绿地、花台、水池</w:t>
      </w:r>
    </w:p>
    <w:p w14:paraId="7422FF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2.12.1绿地、花台、隔离带周围无杂物垃圾，无积水；绿化带、花坛、盆栽植物无枯叶、烟蒂、杂物。</w:t>
      </w:r>
    </w:p>
    <w:p w14:paraId="48C5552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2.12.2水池内无漂浮物、无杂物、无青苔、水质干净无异味。</w:t>
      </w:r>
    </w:p>
    <w:p w14:paraId="5DE2FE2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2.12.3做好绿地、花台、水池清洁服务记录。</w:t>
      </w:r>
    </w:p>
    <w:p w14:paraId="444866E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2.13消毒服务</w:t>
      </w:r>
    </w:p>
    <w:p w14:paraId="6DCBB03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2.13.1清洁区、半污染区、污染区的消毒作业，应使用适宜的消毒液。</w:t>
      </w:r>
    </w:p>
    <w:p w14:paraId="5332EDE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2.13.2未被病原微生物污染的清洁区，如更衣室、值班室、配膳室及库房等，拖把、抹布等清洁工具须标记不同颜色，禁止交叉使用。</w:t>
      </w:r>
    </w:p>
    <w:p w14:paraId="0D2601F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2.13.3</w:t>
      </w:r>
      <w:r>
        <w:rPr>
          <w:rFonts w:ascii="仿宋_GB2312" w:hAnsi="仿宋_GB2312" w:eastAsia="仿宋_GB2312" w:cs="仿宋_GB2312"/>
          <w:sz w:val="24"/>
          <w:szCs w:val="24"/>
          <w:lang w:eastAsia="zh-CN"/>
        </w:rPr>
        <w:t>不直接与</w:t>
      </w:r>
      <w:r>
        <w:rPr>
          <w:rFonts w:hint="eastAsia" w:ascii="仿宋_GB2312" w:hAnsi="仿宋_GB2312" w:eastAsia="仿宋_GB2312" w:cs="仿宋_GB2312"/>
          <w:sz w:val="24"/>
          <w:szCs w:val="24"/>
          <w:lang w:eastAsia="zh-CN"/>
        </w:rPr>
        <w:t>患者</w:t>
      </w:r>
      <w:r>
        <w:rPr>
          <w:rFonts w:ascii="仿宋_GB2312" w:hAnsi="仿宋_GB2312" w:eastAsia="仿宋_GB2312" w:cs="仿宋_GB2312"/>
          <w:sz w:val="24"/>
          <w:szCs w:val="24"/>
          <w:lang w:eastAsia="zh-CN"/>
        </w:rPr>
        <w:t>接触，有可能被病原微生物污染的</w:t>
      </w:r>
      <w:r>
        <w:rPr>
          <w:rFonts w:hint="eastAsia" w:ascii="仿宋_GB2312" w:hAnsi="仿宋_GB2312" w:eastAsia="仿宋_GB2312" w:cs="仿宋_GB2312"/>
          <w:sz w:val="24"/>
          <w:szCs w:val="24"/>
          <w:lang w:eastAsia="zh-CN"/>
        </w:rPr>
        <w:t>半污染</w:t>
      </w:r>
      <w:r>
        <w:rPr>
          <w:rFonts w:ascii="仿宋_GB2312" w:hAnsi="仿宋_GB2312" w:eastAsia="仿宋_GB2312" w:cs="仿宋_GB2312"/>
          <w:sz w:val="24"/>
          <w:szCs w:val="24"/>
          <w:lang w:eastAsia="zh-CN"/>
        </w:rPr>
        <w:t>区</w:t>
      </w:r>
      <w:r>
        <w:rPr>
          <w:rFonts w:hint="eastAsia" w:ascii="仿宋_GB2312" w:hAnsi="仿宋_GB2312" w:eastAsia="仿宋_GB2312" w:cs="仿宋_GB2312"/>
          <w:sz w:val="24"/>
          <w:szCs w:val="24"/>
          <w:lang w:eastAsia="zh-CN"/>
        </w:rPr>
        <w:t>，如</w:t>
      </w:r>
      <w:r>
        <w:rPr>
          <w:rFonts w:ascii="仿宋_GB2312" w:hAnsi="仿宋_GB2312" w:eastAsia="仿宋_GB2312" w:cs="仿宋_GB2312"/>
          <w:sz w:val="24"/>
          <w:szCs w:val="24"/>
          <w:lang w:eastAsia="zh-CN"/>
        </w:rPr>
        <w:t>医护办公室、化验室</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病区内走廊</w:t>
      </w:r>
      <w:r>
        <w:rPr>
          <w:rFonts w:hint="eastAsia" w:ascii="MS Gothic" w:hAnsi="MS Gothic" w:eastAsia="MS Gothic" w:cs="MS Gothic"/>
          <w:sz w:val="24"/>
          <w:szCs w:val="24"/>
          <w:lang w:eastAsia="zh-CN"/>
        </w:rPr>
        <w:t>‌</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护士站</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医生办公室</w:t>
      </w:r>
      <w:r>
        <w:rPr>
          <w:rFonts w:hint="eastAsia" w:ascii="MS Gothic" w:hAnsi="MS Gothic" w:eastAsia="MS Gothic" w:cs="MS Gothic"/>
          <w:sz w:val="24"/>
          <w:szCs w:val="24"/>
          <w:lang w:eastAsia="zh-CN"/>
        </w:rPr>
        <w:t>‌</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处置室</w:t>
      </w:r>
      <w:r>
        <w:rPr>
          <w:rFonts w:hint="eastAsia" w:ascii="MS Gothic" w:hAnsi="MS Gothic" w:eastAsia="MS Gothic" w:cs="MS Gothic"/>
          <w:sz w:val="24"/>
          <w:szCs w:val="24"/>
          <w:lang w:eastAsia="zh-CN"/>
        </w:rPr>
        <w:t>‌</w:t>
      </w:r>
      <w:r>
        <w:rPr>
          <w:rFonts w:hint="eastAsia" w:ascii="仿宋_GB2312" w:hAnsi="仿宋_GB2312" w:eastAsia="仿宋_GB2312" w:cs="仿宋_GB2312"/>
          <w:sz w:val="24"/>
          <w:szCs w:val="24"/>
          <w:lang w:eastAsia="zh-CN"/>
        </w:rPr>
        <w:t>等，须定期对室内桌椅、门窗、把手消毒、洗擦，地面消毒、清拖；拖把、抹布等清洁工具须标记不同颜色，禁止交叉使用。</w:t>
      </w:r>
    </w:p>
    <w:p w14:paraId="5D87B7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2.13.4直接或间接与患者接触，容易被病原微生物污染的污染区，如病室、污染间、患者活动区、标本存放区、检查室、预检分诊室、诊室、厕所、浴室等，须定期对病室内床头柜、病床，污物池，垃圾箱，厕所小便池、座便器、蹲便器、面盆等消毒，地面消毒、清拖；拖把、抹布等清洁工具须标记不同颜色，禁止交叉使用。</w:t>
      </w:r>
    </w:p>
    <w:p w14:paraId="6546AF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2.13.5</w:t>
      </w:r>
      <w:r>
        <w:rPr>
          <w:rFonts w:ascii="仿宋_GB2312" w:hAnsi="仿宋_GB2312" w:eastAsia="仿宋_GB2312" w:cs="仿宋_GB2312"/>
          <w:sz w:val="24"/>
          <w:szCs w:val="24"/>
          <w:lang w:eastAsia="zh-CN"/>
        </w:rPr>
        <w:t>拖把、抹布、痰盂、脸盆等清洁工具及用具使用后应进行浸泡消毒。</w:t>
      </w:r>
    </w:p>
    <w:p w14:paraId="5253E4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五.绿化养护服务</w:t>
      </w:r>
    </w:p>
    <w:p w14:paraId="44DF48C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79A197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物业服务企业应对物业服务区域内草坪、花卉、乔木、灌木等进行修剪、除草、施肥、排灌、有害生物防治；对楼内租摆布置并巡视。</w:t>
      </w:r>
    </w:p>
    <w:p w14:paraId="5D2A12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156DBF4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2.1草坪养护</w:t>
      </w:r>
    </w:p>
    <w:p w14:paraId="6F8CDCB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2.1.1景观</w:t>
      </w:r>
    </w:p>
    <w:p w14:paraId="6B8AB0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草坪草种纯、色泽均匀。草坪面貌平坦整洁、生长茂盛，无枯黄叶，无斑秃。</w:t>
      </w:r>
    </w:p>
    <w:p w14:paraId="195D611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2.1.2排灌</w:t>
      </w:r>
    </w:p>
    <w:p w14:paraId="1AC97E3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有管道排水的草坪随时检修，保持管网畅通。遇暴雨或久雨积水及时开沟排水,确保植株不出现萎蔫现象。根据气候、土质、草坪生长、草种等情况适量浇水，新铺设草坪及时充分浇水，草坪生长阶段、冬夏季久旱无雨、夏季炎热土壤干燥时及时浇水。浇水湿透根系层。</w:t>
      </w:r>
    </w:p>
    <w:p w14:paraId="050906B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2.1.3施肥</w:t>
      </w:r>
    </w:p>
    <w:p w14:paraId="6F352F6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根据土壤肥力或草坪生长情况施肥，草坪越冬期宜施有机肥料，平时宜薄肥勤。</w:t>
      </w:r>
    </w:p>
    <w:p w14:paraId="27BA69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2.1.4修剪</w:t>
      </w:r>
    </w:p>
    <w:p w14:paraId="53E7152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修剪后草坪整体效果平整，无明显起伏和漏剪，剪口无焦口、撕裂现象，无残留草屑。</w:t>
      </w:r>
    </w:p>
    <w:p w14:paraId="29B3324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2.1.5除草</w:t>
      </w:r>
    </w:p>
    <w:p w14:paraId="3F2F99E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草坪中的大型、恶性及缠绕行杂草及时清除，基本无有害生物危害症状；其他杂草及时清除，保证草坪基本无杂草。</w:t>
      </w:r>
    </w:p>
    <w:p w14:paraId="575018B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2.1.6清洁</w:t>
      </w:r>
    </w:p>
    <w:p w14:paraId="7C4C339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每天清扫草坪，草坪无裸露地，无大坑积水。</w:t>
      </w:r>
    </w:p>
    <w:p w14:paraId="5652A7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2.2花坛养护</w:t>
      </w:r>
    </w:p>
    <w:p w14:paraId="778EE65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2.2.1景观</w:t>
      </w:r>
    </w:p>
    <w:p w14:paraId="2004C1C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花坛具有精美图案和色彩配置，株行距适宜，株高相等，无缺株无倒伏，无枯枝残花，确保重大节日花繁叶盛。</w:t>
      </w:r>
    </w:p>
    <w:p w14:paraId="47EED8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2.2.2排灌</w:t>
      </w:r>
    </w:p>
    <w:p w14:paraId="2A2C114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防止花坛积水，如有积水立即排除。花坛浇水视气候、土质、花卉习性和生长情况而定，保证花坛不出现泥面干裂、花株缺水萎蔫现象。</w:t>
      </w:r>
    </w:p>
    <w:p w14:paraId="2EE6879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2.2.3施肥</w:t>
      </w:r>
    </w:p>
    <w:p w14:paraId="3BFB43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花坛施肥根据气候、土质、花卉习性和生长情况薄肥勤施。</w:t>
      </w:r>
    </w:p>
    <w:p w14:paraId="1B0992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2.2.4补植</w:t>
      </w:r>
    </w:p>
    <w:p w14:paraId="242E2A0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出现大面积花卉枯萎及时补植，补植的花卉品种、规格相同并与周围植物相协调。</w:t>
      </w:r>
    </w:p>
    <w:p w14:paraId="0CA8D65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2.2.5更换</w:t>
      </w:r>
    </w:p>
    <w:p w14:paraId="26DC28E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花坛的模纹线条保持清晰，弧度流畅。换花的空置期内对花坛土壤翻晒或药物消毒，并施肥。</w:t>
      </w:r>
    </w:p>
    <w:p w14:paraId="6174913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2.2.6有害生物防治</w:t>
      </w:r>
    </w:p>
    <w:p w14:paraId="0FB9E8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花坛基本无有害生物症状，有效降低植株受害率，无杂草。</w:t>
      </w:r>
    </w:p>
    <w:p w14:paraId="1EF03A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2.2.7清洁</w:t>
      </w:r>
    </w:p>
    <w:p w14:paraId="04185BC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每天巡查花坛，及时清除残花黄叶断枝和杂物，确保清洁无垃圾。</w:t>
      </w:r>
    </w:p>
    <w:p w14:paraId="23DD272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2.3乔木、灌木养护</w:t>
      </w:r>
    </w:p>
    <w:p w14:paraId="05D054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2.3.1景观</w:t>
      </w:r>
    </w:p>
    <w:p w14:paraId="4B7B0DF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乔木生长旺盛，枝叶健壮，树形美观。灌木枝叶生长正常，色泽纯正。观花树木按时茂盛开花，观果树木正常结果，色叶树种季相变化明显。</w:t>
      </w:r>
    </w:p>
    <w:p w14:paraId="2FDA6CC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2.3.2排灌</w:t>
      </w:r>
    </w:p>
    <w:p w14:paraId="6A6FDC2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乔木、灌木林地有完整的排水系统，排水畅通。浇水视气候、土质、树木习性和生长情况而定，做到适时、适量浇水，保证不出现缺水萎蔫现象。</w:t>
      </w:r>
    </w:p>
    <w:p w14:paraId="5EE43A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2.3.3施肥</w:t>
      </w:r>
    </w:p>
    <w:p w14:paraId="22C50A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经土壤检测，确属缺肥适时针对性施肥，其中，冬、春季重点追施基肥。</w:t>
      </w:r>
    </w:p>
    <w:p w14:paraId="609B24E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2.3.4扶正</w:t>
      </w:r>
    </w:p>
    <w:p w14:paraId="35988E2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乔木、灌木发生倒伏及时扶正、抢救。</w:t>
      </w:r>
    </w:p>
    <w:p w14:paraId="1712772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2.3.5有害生物防治</w:t>
      </w:r>
    </w:p>
    <w:p w14:paraId="501C44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乔木、灌木基本无有害生物危害症状，无影响景观面貌的杂草。</w:t>
      </w:r>
    </w:p>
    <w:p w14:paraId="333E834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2.3.6清洁</w:t>
      </w:r>
    </w:p>
    <w:p w14:paraId="12578F9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每天清扫乔木、灌木林地。</w:t>
      </w:r>
    </w:p>
    <w:p w14:paraId="5C0E784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2.4容器内绿植养护</w:t>
      </w:r>
    </w:p>
    <w:p w14:paraId="0771FCB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2.4.1景观</w:t>
      </w:r>
    </w:p>
    <w:p w14:paraId="629789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布置协调美观，株形美观，叶片光泽，花朵鲜艳，无枯枝、枯叶、残花。容器完整、清洁、美观，容器与托盆的外形、规格及色彩配套，并与植株相协调。</w:t>
      </w:r>
    </w:p>
    <w:p w14:paraId="1B56984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2.4.2排灌</w:t>
      </w:r>
    </w:p>
    <w:p w14:paraId="151925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排水畅通无积水。根据植物不同习性及所处不同环境和季节，适时酌情浇水，确保容器绿植不出现缺水萎蔫现象。水培植物适时补水或换水，确保水无异味。</w:t>
      </w:r>
    </w:p>
    <w:p w14:paraId="4F8980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2.4.3修剪</w:t>
      </w:r>
    </w:p>
    <w:p w14:paraId="1763033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及时修剪枯枝、黄叶，摘除残花。</w:t>
      </w:r>
    </w:p>
    <w:p w14:paraId="0173222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2.4.4清洁</w:t>
      </w:r>
    </w:p>
    <w:p w14:paraId="543E5C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保持叶面清洁。室内绿植，手套擦摸叶面后无明显污垢；大堂及室外绿植，叶面确保目视无明显灰尘。保持盆面和容器外壁清洁，托盆内无积水和污迹。</w:t>
      </w:r>
    </w:p>
    <w:p w14:paraId="28A5C47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2.4.5施肥</w:t>
      </w:r>
    </w:p>
    <w:p w14:paraId="523581E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选用无毒、无害、无味的园艺肥料，并按不同地点的湿度、光线、植物品种决定施肥用量，施肥不得污染环境。</w:t>
      </w:r>
    </w:p>
    <w:p w14:paraId="285E332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2.4.6有害生物防治</w:t>
      </w:r>
    </w:p>
    <w:p w14:paraId="03BE34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基本无有害生物危害症状。有效降低植株、枝叶受害率。</w:t>
      </w:r>
    </w:p>
    <w:p w14:paraId="7A69184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2.4.7更换</w:t>
      </w:r>
    </w:p>
    <w:p w14:paraId="6DC77C5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综合植物长势及机关要求，遵循植物生长规律，对容器绿植进行调整。</w:t>
      </w:r>
    </w:p>
    <w:p w14:paraId="18B15C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2.5绿化租摆</w:t>
      </w:r>
    </w:p>
    <w:p w14:paraId="7B8A3FB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2.5.1公共区域绿化租放根据摆放地点环境情况（光照、温度、湿度）选择适宜生长的植物，植物品种、大小、叶子色彩要与各部位环境相协调，能最大限度发挥出植物观赏效果。</w:t>
      </w:r>
    </w:p>
    <w:p w14:paraId="0462D40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2.5.2定期巡视，对有病虫害、枝叶枯萎、盆土异味的植物及时更换。</w:t>
      </w:r>
    </w:p>
    <w:p w14:paraId="63D0C7F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2.6制定养护计划，对相关工作进行记录。</w:t>
      </w:r>
    </w:p>
    <w:p w14:paraId="6128496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六.接待和会议服务</w:t>
      </w:r>
    </w:p>
    <w:p w14:paraId="5094CFA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70C2430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接待来电来访、保修、投诉、回访工作，做好记录，及时为服务对象提供服务；接受会议预订，记录会议需求，会前准备、引导服务、会中服务、会后工作；小型会议、大型会议、会议服务耗材、涉密会议服务。</w:t>
      </w:r>
    </w:p>
    <w:p w14:paraId="448917E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7BCA69C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2.1接待服务</w:t>
      </w:r>
    </w:p>
    <w:p w14:paraId="2243CC7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2.1.1客户服务人员应做到态度和蔼、语言规范，及时为客户提供服务。</w:t>
      </w:r>
    </w:p>
    <w:p w14:paraId="26CFC5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2.1.2及时、认真做好各项工作记录，要求字迹清晰、内容完整。</w:t>
      </w:r>
    </w:p>
    <w:p w14:paraId="6B153B2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2.2来电来访</w:t>
      </w:r>
    </w:p>
    <w:p w14:paraId="249ADBA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2.2.1应在电话铃响三次前接听，声音清晰悦耳，语速适当，做好来电记录。</w:t>
      </w:r>
    </w:p>
    <w:p w14:paraId="0E373D4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2.2.2迎接客户来访时，应立即起立，面带微笑，礼貌询问，详细解答。</w:t>
      </w:r>
    </w:p>
    <w:p w14:paraId="7F6C89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2.3报修接待</w:t>
      </w:r>
    </w:p>
    <w:p w14:paraId="3C55D94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2.3.1及时受理公共设备设施损坏报修，填写报修单，分派相关维修部门。</w:t>
      </w:r>
    </w:p>
    <w:p w14:paraId="637E4A0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2.4回访</w:t>
      </w:r>
    </w:p>
    <w:p w14:paraId="48DE64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2.4.1对服务对象来电投诉、报修事宜完成后及时回访，回访率100%。</w:t>
      </w:r>
    </w:p>
    <w:p w14:paraId="601B038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2.4.2征询意见、满意度，做好记录。</w:t>
      </w:r>
    </w:p>
    <w:p w14:paraId="63A06F3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会议服务</w:t>
      </w:r>
    </w:p>
    <w:p w14:paraId="082FF40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.1小型会议会前准备</w:t>
      </w:r>
    </w:p>
    <w:p w14:paraId="5CF434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.1.1会前调试灯光音响设备，保证正常使用。</w:t>
      </w:r>
    </w:p>
    <w:p w14:paraId="7A5373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.1.2检查室内卫生，打开门窗通风，按规范要求做好会议摆台。</w:t>
      </w:r>
    </w:p>
    <w:p w14:paraId="052104D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.1.3会前启动空调设备。</w:t>
      </w:r>
    </w:p>
    <w:p w14:paraId="355ABAC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.1.4服务人员就位，迎候与会人员，引导落座，协助安放随身物品。</w:t>
      </w:r>
    </w:p>
    <w:p w14:paraId="7174829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.1.5会前摆放湿巾、备好茶水。</w:t>
      </w:r>
    </w:p>
    <w:p w14:paraId="66BD40F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.1.6做好引导牌并放置在指定位置，引导人员引导手势规范，语言标准。</w:t>
      </w:r>
    </w:p>
    <w:p w14:paraId="2A09C3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.2大型会议会前准备</w:t>
      </w:r>
    </w:p>
    <w:p w14:paraId="1FED2F0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.2.1按照要求布置会场，提前请采购人检查会场布置情况。</w:t>
      </w:r>
    </w:p>
    <w:p w14:paraId="4A757AC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.2.2会前调试好灯光音响设备。</w:t>
      </w:r>
    </w:p>
    <w:p w14:paraId="6AE019F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.2.3检查室内卫生，打开门窗通风。</w:t>
      </w:r>
    </w:p>
    <w:p w14:paraId="6F4A85E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.2.4按规范要求做好会议摆台。</w:t>
      </w:r>
    </w:p>
    <w:p w14:paraId="7DCB8DB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.2.5会前启动空调设备。</w:t>
      </w:r>
    </w:p>
    <w:p w14:paraId="005A424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.2.6服务人员就位，迎候与会人员，引导落座，协助安放随身物品。</w:t>
      </w:r>
    </w:p>
    <w:p w14:paraId="24BB48C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.2.7会前为主席台摆放湿巾、备好茶水。</w:t>
      </w:r>
    </w:p>
    <w:p w14:paraId="2BB6DF0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.2.8做好引导牌并放置在指定位置，引导人员引导手势规范，语言标准。</w:t>
      </w:r>
    </w:p>
    <w:p w14:paraId="1772607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.3会议期间按要求加水，及时续水。涉密会议无会中服务，须提前将热水准备好。</w:t>
      </w:r>
    </w:p>
    <w:p w14:paraId="5621EE4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.4对会议现场进行检查，做好会场清扫工作。</w:t>
      </w:r>
    </w:p>
    <w:p w14:paraId="21C46B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.4.1及时提醒、协助与会人员带好随身物品。</w:t>
      </w:r>
    </w:p>
    <w:p w14:paraId="0E0EDC5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.4.2对遗留的文件和物品，及时交有关部门处理。</w:t>
      </w:r>
    </w:p>
    <w:p w14:paraId="75386E8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.4.3按分工清理会议用品,关闭空调音响设备及灯具，恢复原会场形式并做好消毒。</w:t>
      </w:r>
    </w:p>
    <w:p w14:paraId="03E50DD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lang w:eastAsia="zh-CN"/>
        </w:rPr>
        <w:t>七.医疗垃圾管理及清运</w:t>
      </w:r>
    </w:p>
    <w:p w14:paraId="40C2560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0C5D4A0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物业服务企业对医疗垃圾清运提供专人、专项管理服务，严格遵照标准、流程，从源头收集（垃圾桶的位置）、进行分类、转运至垃圾暂存站，</w:t>
      </w:r>
      <w:r>
        <w:rPr>
          <w:rFonts w:ascii="仿宋_GB2312" w:hAnsi="仿宋_GB2312" w:eastAsia="仿宋_GB2312" w:cs="仿宋_GB2312"/>
          <w:sz w:val="24"/>
          <w:szCs w:val="24"/>
          <w:lang w:eastAsia="zh-CN"/>
        </w:rPr>
        <w:t>使用专</w:t>
      </w:r>
      <w:r>
        <w:rPr>
          <w:rFonts w:hint="eastAsia" w:ascii="仿宋_GB2312" w:hAnsi="仿宋_GB2312" w:eastAsia="仿宋_GB2312" w:cs="仿宋_GB2312"/>
          <w:sz w:val="24"/>
          <w:szCs w:val="24"/>
          <w:lang w:eastAsia="zh-CN"/>
        </w:rPr>
        <w:t>用</w:t>
      </w:r>
      <w:r>
        <w:rPr>
          <w:rFonts w:ascii="仿宋_GB2312" w:hAnsi="仿宋_GB2312" w:eastAsia="仿宋_GB2312" w:cs="仿宋_GB2312"/>
          <w:sz w:val="24"/>
          <w:szCs w:val="24"/>
          <w:lang w:eastAsia="zh-CN"/>
        </w:rPr>
        <w:t>车辆进行</w:t>
      </w:r>
      <w:r>
        <w:rPr>
          <w:rFonts w:hint="eastAsia" w:ascii="仿宋_GB2312" w:hAnsi="仿宋_GB2312" w:eastAsia="仿宋_GB2312" w:cs="仿宋_GB2312"/>
          <w:sz w:val="24"/>
          <w:szCs w:val="24"/>
          <w:lang w:eastAsia="zh-CN"/>
        </w:rPr>
        <w:t>清运。</w:t>
      </w:r>
    </w:p>
    <w:p w14:paraId="093273B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2B83620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2.1医疗垃圾管理</w:t>
      </w:r>
    </w:p>
    <w:p w14:paraId="6D4BCC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w:t>
      </w:r>
      <w:r>
        <w:rPr>
          <w:rFonts w:ascii="仿宋_GB2312" w:hAnsi="仿宋_GB2312" w:eastAsia="仿宋_GB2312" w:cs="仿宋_GB2312"/>
          <w:sz w:val="24"/>
          <w:szCs w:val="24"/>
          <w:lang w:eastAsia="zh-CN"/>
        </w:rPr>
        <w:t>医疗垃圾应分类收集，用专用包装袋或容器存放。当达到专用包装袋或容器</w:t>
      </w:r>
      <w:r>
        <w:rPr>
          <w:rFonts w:hint="eastAsia" w:ascii="仿宋_GB2312" w:hAnsi="仿宋_GB2312" w:eastAsia="仿宋_GB2312" w:cs="仿宋_GB2312"/>
          <w:sz w:val="24"/>
          <w:szCs w:val="24"/>
          <w:lang w:eastAsia="zh-CN"/>
        </w:rPr>
        <w:t>存放标准时</w:t>
      </w:r>
      <w:r>
        <w:rPr>
          <w:rFonts w:ascii="仿宋_GB2312" w:hAnsi="仿宋_GB2312" w:eastAsia="仿宋_GB2312" w:cs="仿宋_GB2312"/>
          <w:sz w:val="24"/>
          <w:szCs w:val="24"/>
          <w:lang w:eastAsia="zh-CN"/>
        </w:rPr>
        <w:t>，应严密封口、称重，系上中文标签。标签应当标明医疗垃圾产生部门、日期、类别、重量、备注等。</w:t>
      </w:r>
    </w:p>
    <w:p w14:paraId="550ED5D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w:t>
      </w:r>
      <w:r>
        <w:rPr>
          <w:rFonts w:ascii="仿宋_GB2312" w:hAnsi="仿宋_GB2312" w:eastAsia="仿宋_GB2312" w:cs="仿宋_GB2312"/>
          <w:sz w:val="24"/>
          <w:szCs w:val="24"/>
          <w:lang w:eastAsia="zh-CN"/>
        </w:rPr>
        <w:t>感染性垃圾的收集应使用黄色垃圾袋包装。</w:t>
      </w:r>
    </w:p>
    <w:p w14:paraId="4F24327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w:t>
      </w:r>
      <w:r>
        <w:rPr>
          <w:rFonts w:ascii="仿宋_GB2312" w:hAnsi="仿宋_GB2312" w:eastAsia="仿宋_GB2312" w:cs="仿宋_GB2312"/>
          <w:sz w:val="24"/>
          <w:szCs w:val="24"/>
          <w:lang w:eastAsia="zh-CN"/>
        </w:rPr>
        <w:t>传染病病人或者疑似传染病病人产生的生活垃圾、感染性垃圾和病理性垃圾应使用双层黄色垃圾袋包装。</w:t>
      </w:r>
    </w:p>
    <w:p w14:paraId="4606660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w:t>
      </w:r>
      <w:r>
        <w:rPr>
          <w:rFonts w:ascii="仿宋_GB2312" w:hAnsi="仿宋_GB2312" w:eastAsia="仿宋_GB2312" w:cs="仿宋_GB2312"/>
          <w:sz w:val="24"/>
          <w:szCs w:val="24"/>
          <w:lang w:eastAsia="zh-CN"/>
        </w:rPr>
        <w:t>损伤性垃圾的收集，应使用规定容器</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容器应装入黄色垃圾袋</w:t>
      </w:r>
      <w:r>
        <w:rPr>
          <w:rFonts w:hint="eastAsia" w:ascii="仿宋_GB2312" w:hAnsi="仿宋_GB2312" w:eastAsia="仿宋_GB2312" w:cs="仿宋_GB2312"/>
          <w:sz w:val="24"/>
          <w:szCs w:val="24"/>
          <w:lang w:eastAsia="zh-CN"/>
        </w:rPr>
        <w:t>。</w:t>
      </w:r>
    </w:p>
    <w:p w14:paraId="5DB2BCB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w:t>
      </w:r>
      <w:r>
        <w:rPr>
          <w:rFonts w:ascii="仿宋_GB2312" w:hAnsi="仿宋_GB2312" w:eastAsia="仿宋_GB2312" w:cs="仿宋_GB2312"/>
          <w:sz w:val="24"/>
          <w:szCs w:val="24"/>
          <w:lang w:eastAsia="zh-CN"/>
        </w:rPr>
        <w:t>收集的医疗垃圾应按时转运到医院指定的医疗垃圾贮存场所，并由专人负责贮存管理。</w:t>
      </w:r>
    </w:p>
    <w:p w14:paraId="4A09306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2.2医疗垃圾清运</w:t>
      </w:r>
    </w:p>
    <w:p w14:paraId="6D3FB4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2.2.1医疗垃圾需</w:t>
      </w:r>
      <w:r>
        <w:rPr>
          <w:rFonts w:ascii="仿宋_GB2312" w:hAnsi="仿宋_GB2312" w:eastAsia="仿宋_GB2312" w:cs="仿宋_GB2312"/>
          <w:sz w:val="24"/>
          <w:szCs w:val="24"/>
          <w:lang w:eastAsia="zh-CN"/>
        </w:rPr>
        <w:t>使用专</w:t>
      </w:r>
      <w:r>
        <w:rPr>
          <w:rFonts w:hint="eastAsia" w:ascii="仿宋_GB2312" w:hAnsi="仿宋_GB2312" w:eastAsia="仿宋_GB2312" w:cs="仿宋_GB2312"/>
          <w:sz w:val="24"/>
          <w:szCs w:val="24"/>
          <w:lang w:eastAsia="zh-CN"/>
        </w:rPr>
        <w:t>用</w:t>
      </w:r>
      <w:r>
        <w:rPr>
          <w:rFonts w:ascii="仿宋_GB2312" w:hAnsi="仿宋_GB2312" w:eastAsia="仿宋_GB2312" w:cs="仿宋_GB2312"/>
          <w:sz w:val="24"/>
          <w:szCs w:val="24"/>
          <w:lang w:eastAsia="zh-CN"/>
        </w:rPr>
        <w:t>车辆进行</w:t>
      </w:r>
      <w:r>
        <w:rPr>
          <w:rFonts w:hint="eastAsia" w:ascii="仿宋_GB2312" w:hAnsi="仿宋_GB2312" w:eastAsia="仿宋_GB2312" w:cs="仿宋_GB2312"/>
          <w:sz w:val="24"/>
          <w:szCs w:val="24"/>
          <w:lang w:eastAsia="zh-CN"/>
        </w:rPr>
        <w:t>清运，不得遗洒、暴露和污染环境。运输车辆实行专人专管，不准随便转借、转让、换人或挪做他用；车辆行驶前，必须先检查，做到无故障行车；发现问题，应及时修理或解决。</w:t>
      </w:r>
    </w:p>
    <w:p w14:paraId="17B6C05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w:t>
      </w:r>
      <w:r>
        <w:rPr>
          <w:rFonts w:ascii="仿宋_GB2312" w:hAnsi="仿宋_GB2312" w:eastAsia="仿宋_GB2312" w:cs="仿宋_GB2312"/>
          <w:sz w:val="24"/>
          <w:szCs w:val="24"/>
          <w:lang w:eastAsia="zh-CN"/>
        </w:rPr>
        <w:t>医疗垃圾</w:t>
      </w:r>
      <w:r>
        <w:rPr>
          <w:rFonts w:hint="eastAsia" w:ascii="仿宋_GB2312" w:hAnsi="仿宋_GB2312" w:eastAsia="仿宋_GB2312" w:cs="仿宋_GB2312"/>
          <w:sz w:val="24"/>
          <w:szCs w:val="24"/>
          <w:lang w:eastAsia="zh-CN"/>
        </w:rPr>
        <w:t>清</w:t>
      </w:r>
      <w:r>
        <w:rPr>
          <w:rFonts w:ascii="仿宋_GB2312" w:hAnsi="仿宋_GB2312" w:eastAsia="仿宋_GB2312" w:cs="仿宋_GB2312"/>
          <w:sz w:val="24"/>
          <w:szCs w:val="24"/>
          <w:lang w:eastAsia="zh-CN"/>
        </w:rPr>
        <w:t>运后，对医疗垃圾收集场所、收集存放和运输设备进行清洗和消毒，并做好记录。</w:t>
      </w:r>
    </w:p>
    <w:p w14:paraId="3394BA1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w:t>
      </w:r>
      <w:r>
        <w:rPr>
          <w:rFonts w:ascii="仿宋_GB2312" w:hAnsi="仿宋_GB2312" w:eastAsia="仿宋_GB2312" w:cs="仿宋_GB2312"/>
          <w:sz w:val="24"/>
          <w:szCs w:val="24"/>
          <w:lang w:eastAsia="zh-CN"/>
        </w:rPr>
        <w:t>若发生医疗垃圾泄露、扩散，应及时控制现场，由专职回收人员将其装入黄色垃圾袋，对污染环境进行消毒，防止医疗垃圾的再次扩散，造成更大的污染。</w:t>
      </w:r>
    </w:p>
    <w:p w14:paraId="32BC08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八.总机管理</w:t>
      </w:r>
    </w:p>
    <w:p w14:paraId="5A25A65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1A578C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负责全院电话通信，话务服务，热线咨询，接报修工作。</w:t>
      </w:r>
    </w:p>
    <w:p w14:paraId="05B55D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241A30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2.1熟悉分机电话，熟悉各病区区域。</w:t>
      </w:r>
    </w:p>
    <w:p w14:paraId="1B45B47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2.2普通话标准，沟通表达能力强。</w:t>
      </w:r>
    </w:p>
    <w:p w14:paraId="3E133E1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2.3认真处理问题，急用户所急，力争做到用户满意。</w:t>
      </w:r>
    </w:p>
    <w:p w14:paraId="1CF1254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2.4保证用户通话畅通，如遇故障及时处理，做到严重故障不隔班，不过夜。</w:t>
      </w:r>
    </w:p>
    <w:p w14:paraId="62DE1E5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2.5做好交接班和工作记录。</w:t>
      </w:r>
    </w:p>
    <w:p w14:paraId="72D50CE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九.物流服务</w:t>
      </w:r>
    </w:p>
    <w:p w14:paraId="7AD3907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050B310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提供代送辅助服务，协助转运患者检查，取送各类标本、药品、医疗文件，医疗设备的运送等。</w:t>
      </w:r>
    </w:p>
    <w:p w14:paraId="123B44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1C400F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2.1代送辅助工作应准时，保证物品完整，做好运送记录工作。</w:t>
      </w:r>
    </w:p>
    <w:p w14:paraId="7E27B1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w:t>
      </w:r>
      <w:r>
        <w:rPr>
          <w:rFonts w:ascii="仿宋_GB2312" w:hAnsi="仿宋_GB2312" w:eastAsia="仿宋_GB2312" w:cs="仿宋_GB2312"/>
          <w:sz w:val="24"/>
          <w:szCs w:val="24"/>
          <w:lang w:eastAsia="zh-CN"/>
        </w:rPr>
        <w:t>2</w:t>
      </w:r>
      <w:r>
        <w:rPr>
          <w:rFonts w:hint="eastAsia" w:ascii="仿宋_GB2312" w:hAnsi="仿宋_GB2312" w:eastAsia="仿宋_GB2312" w:cs="仿宋_GB2312"/>
          <w:sz w:val="24"/>
          <w:szCs w:val="24"/>
          <w:lang w:eastAsia="zh-CN"/>
        </w:rPr>
        <w:t>取送标本及时，并将检验结果送回至相关科室。</w:t>
      </w:r>
    </w:p>
    <w:p w14:paraId="14414F7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2.3住院患者的院内陪检及转运，严格执行运送工作流程及安全操作规程。</w:t>
      </w:r>
    </w:p>
    <w:p w14:paraId="67590C1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2.4运送高致病生物标本，应制定有效安全措施，做好个人防护。</w:t>
      </w:r>
    </w:p>
    <w:p w14:paraId="187AF4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2.5协助各科室从药房领药，核对药品、数量准确。</w:t>
      </w:r>
    </w:p>
    <w:p w14:paraId="35A4F72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2.6协助取送医疗器械、物资，安全操作，避免损坏。</w:t>
      </w:r>
    </w:p>
    <w:p w14:paraId="0E75C6B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2.7运送人员须进行岗前体检，提供必需劳保、安全防护用品。</w:t>
      </w:r>
    </w:p>
    <w:p w14:paraId="1E17D94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2.8运送人员须进行专项安全操作培训，考核合格方可上岗。</w:t>
      </w:r>
    </w:p>
    <w:p w14:paraId="3075DF6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2.9运送人员须进行消毒隔离及个人防护知识培训。</w:t>
      </w:r>
    </w:p>
    <w:p w14:paraId="7013E99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2.10对运送工具按规定进行清洁消毒。</w:t>
      </w:r>
    </w:p>
    <w:p w14:paraId="2887CA6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2.11遇突发事件应立即启动应急预案，并报告院方。</w:t>
      </w:r>
    </w:p>
    <w:p w14:paraId="0864F0C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2.12做好相关工作记录。</w:t>
      </w:r>
    </w:p>
    <w:p w14:paraId="7350809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十.导医服务</w:t>
      </w:r>
    </w:p>
    <w:p w14:paraId="22BA35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33ECC6B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配合医护人员进行楼层引导、就诊咨询、候诊提醒、注意事项及特殊事件的处理；有序疏导，维护就诊区域环境和秩序，发现问题及时通知相关部门。</w:t>
      </w:r>
    </w:p>
    <w:p w14:paraId="1FCEED5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6256B5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2.1熟悉各科室的具体位置，为患者就诊提供方便、快捷、优质的服务。</w:t>
      </w:r>
    </w:p>
    <w:p w14:paraId="7CA0CC3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2.2热情主动接待患者，耐心解释，文明用语，引导患者就诊。</w:t>
      </w:r>
    </w:p>
    <w:p w14:paraId="05AA23A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2.3了解基本医学常识，为患者就诊提供帮助。</w:t>
      </w:r>
    </w:p>
    <w:p w14:paraId="5E2114C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十一.医用信息化服务</w:t>
      </w:r>
    </w:p>
    <w:p w14:paraId="2A6C9F4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16AB94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物业服务企业运用信息化技术，将各项服务内容进行信息化系统管理，按照院方要求定期上报相关数据。</w:t>
      </w:r>
    </w:p>
    <w:p w14:paraId="62B1253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7872195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2.1制定医用信息系统安全保护制度。</w:t>
      </w:r>
    </w:p>
    <w:p w14:paraId="10C4DB9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2.2连接内网的任何一台计算机都不能直接或间接与互联网连接。</w:t>
      </w:r>
    </w:p>
    <w:p w14:paraId="4605601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2.3保证定期上报的数据及时，系统安全、稳定。</w:t>
      </w:r>
    </w:p>
    <w:p w14:paraId="064ECBF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2.4设专人维护信息化设备，出现故障及时上报并记录。</w:t>
      </w:r>
    </w:p>
    <w:p w14:paraId="7FE6680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十二.探视管理服务</w:t>
      </w:r>
    </w:p>
    <w:p w14:paraId="58B59B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190553D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在</w:t>
      </w:r>
      <w:r>
        <w:rPr>
          <w:rFonts w:ascii="仿宋_GB2312" w:hAnsi="仿宋_GB2312" w:eastAsia="仿宋_GB2312" w:cs="仿宋_GB2312"/>
          <w:sz w:val="24"/>
          <w:szCs w:val="24"/>
          <w:lang w:eastAsia="zh-CN"/>
        </w:rPr>
        <w:t>住院部各出入口进行</w:t>
      </w:r>
      <w:r>
        <w:rPr>
          <w:rFonts w:hint="eastAsia" w:ascii="仿宋_GB2312" w:hAnsi="仿宋_GB2312" w:eastAsia="仿宋_GB2312" w:cs="仿宋_GB2312"/>
          <w:sz w:val="24"/>
          <w:szCs w:val="24"/>
          <w:lang w:eastAsia="zh-CN"/>
        </w:rPr>
        <w:t>监督和管理进入来访者的情况，病房巡视。</w:t>
      </w:r>
    </w:p>
    <w:p w14:paraId="7463727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786EDBC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2.1认真执行医院的探视管理规定，值守各通道，监督和管理各类来访者的情况，禁止闲杂人员进入病区。</w:t>
      </w:r>
    </w:p>
    <w:p w14:paraId="0037C1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ascii="仿宋_GB2312" w:hAnsi="仿宋_GB2312" w:eastAsia="仿宋_GB2312" w:cs="仿宋_GB2312"/>
          <w:sz w:val="24"/>
          <w:szCs w:val="24"/>
          <w:lang w:eastAsia="zh-CN"/>
        </w:rPr>
        <w:t>2.2</w:t>
      </w:r>
      <w:r>
        <w:rPr>
          <w:rFonts w:hint="eastAsia" w:ascii="仿宋_GB2312" w:hAnsi="仿宋_GB2312" w:eastAsia="仿宋_GB2312" w:cs="仿宋_GB2312"/>
          <w:sz w:val="24"/>
          <w:szCs w:val="24"/>
          <w:lang w:eastAsia="zh-CN"/>
        </w:rPr>
        <w:t>接待来访者时态度和蔼、有礼貌，使用文明用语，耐心解释医院的制度，主动热情的做好咨询服务工作。</w:t>
      </w:r>
    </w:p>
    <w:p w14:paraId="708933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ascii="仿宋_GB2312" w:hAnsi="仿宋_GB2312" w:eastAsia="仿宋_GB2312" w:cs="仿宋_GB2312"/>
          <w:sz w:val="24"/>
          <w:szCs w:val="24"/>
          <w:lang w:eastAsia="zh-CN"/>
        </w:rPr>
        <w:t>2.3</w:t>
      </w:r>
      <w:r>
        <w:rPr>
          <w:rFonts w:hint="eastAsia" w:ascii="仿宋_GB2312" w:hAnsi="仿宋_GB2312" w:eastAsia="仿宋_GB2312" w:cs="仿宋_GB2312"/>
          <w:sz w:val="24"/>
          <w:szCs w:val="24"/>
          <w:lang w:eastAsia="zh-CN"/>
        </w:rPr>
        <w:t>按时交接班，做好交班记录，特殊情况要登记，重大事情及时上报相关部门</w:t>
      </w:r>
      <w:r>
        <w:rPr>
          <w:rFonts w:ascii="仿宋_GB2312" w:hAnsi="仿宋_GB2312" w:eastAsia="仿宋_GB2312" w:cs="仿宋_GB2312"/>
          <w:sz w:val="24"/>
          <w:szCs w:val="24"/>
          <w:lang w:eastAsia="zh-CN"/>
        </w:rPr>
        <w:t>，并做好记录工作</w:t>
      </w:r>
      <w:r>
        <w:rPr>
          <w:rFonts w:hint="eastAsia" w:ascii="仿宋_GB2312" w:hAnsi="仿宋_GB2312" w:eastAsia="仿宋_GB2312" w:cs="仿宋_GB2312"/>
          <w:sz w:val="24"/>
          <w:szCs w:val="24"/>
          <w:lang w:eastAsia="zh-CN"/>
        </w:rPr>
        <w:t>。</w:t>
      </w:r>
    </w:p>
    <w:p w14:paraId="163B722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十三.院内洗涤服务</w:t>
      </w:r>
    </w:p>
    <w:p w14:paraId="366D511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765C11B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ascii="仿宋_GB2312" w:hAnsi="仿宋_GB2312" w:eastAsia="仿宋_GB2312" w:cs="仿宋_GB2312"/>
          <w:sz w:val="24"/>
          <w:szCs w:val="24"/>
          <w:lang w:eastAsia="zh-CN"/>
        </w:rPr>
        <w:t>为医院内部提供的洗涤、消毒和熨烫服务</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主要包括医院各科室的被服、隔离衣、工作服的清洗</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消毒和熨烫</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lang w:eastAsia="zh-CN"/>
        </w:rPr>
        <w:t>满足医疗和护理工作的需求</w:t>
      </w:r>
      <w:r>
        <w:rPr>
          <w:rFonts w:hint="eastAsia" w:ascii="MS Gothic" w:hAnsi="MS Gothic" w:eastAsia="MS Gothic" w:cs="MS Gothic"/>
          <w:sz w:val="24"/>
          <w:szCs w:val="24"/>
          <w:lang w:eastAsia="zh-CN"/>
        </w:rPr>
        <w:t>‌</w:t>
      </w:r>
      <w:r>
        <w:rPr>
          <w:rFonts w:ascii="仿宋_GB2312" w:hAnsi="仿宋_GB2312" w:eastAsia="仿宋_GB2312" w:cs="仿宋_GB2312"/>
          <w:sz w:val="24"/>
          <w:szCs w:val="24"/>
          <w:lang w:eastAsia="zh-CN"/>
        </w:rPr>
        <w:t>。</w:t>
      </w:r>
    </w:p>
    <w:p w14:paraId="3D71C6B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2140DCE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2.1服务流程</w:t>
      </w:r>
    </w:p>
    <w:p w14:paraId="16E80FF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w:t>
      </w:r>
      <w:r>
        <w:rPr>
          <w:rFonts w:ascii="仿宋_GB2312" w:hAnsi="仿宋_GB2312" w:eastAsia="仿宋_GB2312" w:cs="仿宋_GB2312"/>
          <w:sz w:val="24"/>
          <w:szCs w:val="24"/>
          <w:lang w:eastAsia="zh-CN"/>
        </w:rPr>
        <w:t>各类衣物应分类洗涤，感染与非感染物分机洗涤，严格</w:t>
      </w:r>
      <w:r>
        <w:rPr>
          <w:rFonts w:hint="eastAsia" w:ascii="仿宋_GB2312" w:hAnsi="仿宋_GB2312" w:eastAsia="仿宋_GB2312" w:cs="仿宋_GB2312"/>
          <w:sz w:val="24"/>
          <w:szCs w:val="24"/>
          <w:lang w:eastAsia="zh-CN"/>
        </w:rPr>
        <w:t>执行</w:t>
      </w:r>
      <w:r>
        <w:rPr>
          <w:rFonts w:ascii="仿宋_GB2312" w:hAnsi="仿宋_GB2312" w:eastAsia="仿宋_GB2312" w:cs="仿宋_GB2312"/>
          <w:sz w:val="24"/>
          <w:szCs w:val="24"/>
          <w:lang w:eastAsia="zh-CN"/>
        </w:rPr>
        <w:t>控制感染标准</w:t>
      </w:r>
      <w:r>
        <w:rPr>
          <w:rFonts w:hint="eastAsia" w:ascii="仿宋_GB2312" w:hAnsi="仿宋_GB2312" w:eastAsia="仿宋_GB2312" w:cs="仿宋_GB2312"/>
          <w:sz w:val="24"/>
          <w:szCs w:val="24"/>
          <w:lang w:eastAsia="zh-CN"/>
        </w:rPr>
        <w:t>。</w:t>
      </w:r>
    </w:p>
    <w:p w14:paraId="751DE25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MS Gothic" w:hAnsi="MS Gothic" w:eastAsia="MS Gothic" w:cs="MS Gothic"/>
          <w:sz w:val="24"/>
          <w:szCs w:val="24"/>
          <w:lang w:eastAsia="zh-CN"/>
        </w:rPr>
        <w:t>‌</w:t>
      </w:r>
      <w:r>
        <w:rPr>
          <w:rFonts w:hint="eastAsia" w:ascii="仿宋_GB2312" w:hAnsi="仿宋_GB2312" w:eastAsia="仿宋_GB2312" w:cs="仿宋_GB2312"/>
          <w:sz w:val="24"/>
          <w:szCs w:val="24"/>
          <w:lang w:eastAsia="zh-CN"/>
        </w:rPr>
        <w:t>2.1.2</w:t>
      </w:r>
      <w:r>
        <w:rPr>
          <w:rFonts w:ascii="仿宋_GB2312" w:hAnsi="仿宋_GB2312" w:eastAsia="仿宋_GB2312" w:cs="仿宋_GB2312"/>
          <w:sz w:val="24"/>
          <w:szCs w:val="24"/>
          <w:lang w:eastAsia="zh-CN"/>
        </w:rPr>
        <w:t>严格执行被服消毒制度，对严重污染或传染病人污染的被服进行彻底消毒后再洗涤</w:t>
      </w:r>
      <w:r>
        <w:rPr>
          <w:rFonts w:hint="eastAsia" w:ascii="MS Gothic" w:hAnsi="MS Gothic" w:eastAsia="MS Gothic" w:cs="MS Gothic"/>
          <w:sz w:val="24"/>
          <w:szCs w:val="24"/>
          <w:lang w:eastAsia="zh-CN"/>
        </w:rPr>
        <w:t>‌</w:t>
      </w:r>
      <w:r>
        <w:rPr>
          <w:rFonts w:ascii="仿宋_GB2312" w:hAnsi="仿宋_GB2312" w:eastAsia="仿宋_GB2312" w:cs="仿宋_GB2312"/>
          <w:sz w:val="24"/>
          <w:szCs w:val="24"/>
          <w:lang w:eastAsia="zh-CN"/>
        </w:rPr>
        <w:t>。</w:t>
      </w:r>
    </w:p>
    <w:p w14:paraId="75EA20B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MS Gothic" w:hAnsi="MS Gothic" w:eastAsia="MS Gothic" w:cs="MS Gothic"/>
          <w:sz w:val="24"/>
          <w:szCs w:val="24"/>
          <w:lang w:eastAsia="zh-CN"/>
        </w:rPr>
        <w:t>‌</w:t>
      </w:r>
      <w:r>
        <w:rPr>
          <w:rFonts w:hint="eastAsia" w:ascii="仿宋_GB2312" w:hAnsi="仿宋_GB2312" w:eastAsia="仿宋_GB2312" w:cs="仿宋_GB2312"/>
          <w:sz w:val="24"/>
          <w:szCs w:val="24"/>
          <w:lang w:eastAsia="zh-CN"/>
        </w:rPr>
        <w:t>2.1.3</w:t>
      </w:r>
      <w:r>
        <w:rPr>
          <w:rFonts w:ascii="仿宋_GB2312" w:hAnsi="仿宋_GB2312" w:eastAsia="仿宋_GB2312" w:cs="仿宋_GB2312"/>
          <w:sz w:val="24"/>
          <w:szCs w:val="24"/>
          <w:lang w:eastAsia="zh-CN"/>
        </w:rPr>
        <w:t>洗涤后应洁净无污渍、无洗涤剂残留，眼观达到洁</w:t>
      </w:r>
      <w:r>
        <w:rPr>
          <w:rFonts w:hint="eastAsia" w:ascii="仿宋_GB2312" w:hAnsi="仿宋_GB2312" w:eastAsia="仿宋_GB2312" w:cs="仿宋_GB2312"/>
          <w:sz w:val="24"/>
          <w:szCs w:val="24"/>
          <w:lang w:eastAsia="zh-CN"/>
        </w:rPr>
        <w:t>净、</w:t>
      </w:r>
      <w:r>
        <w:rPr>
          <w:rFonts w:ascii="仿宋_GB2312" w:hAnsi="仿宋_GB2312" w:eastAsia="仿宋_GB2312" w:cs="仿宋_GB2312"/>
          <w:sz w:val="24"/>
          <w:szCs w:val="24"/>
          <w:lang w:eastAsia="zh-CN"/>
        </w:rPr>
        <w:t>无血渍、无油污。</w:t>
      </w:r>
    </w:p>
    <w:p w14:paraId="6C8DFC4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w:t>
      </w:r>
      <w:r>
        <w:rPr>
          <w:rFonts w:ascii="仿宋_GB2312" w:hAnsi="仿宋_GB2312" w:eastAsia="仿宋_GB2312" w:cs="仿宋_GB2312"/>
          <w:sz w:val="24"/>
          <w:szCs w:val="24"/>
          <w:lang w:eastAsia="zh-CN"/>
        </w:rPr>
        <w:t>医院洗衣房的工作人员需要经过岗前培训，熟练掌握洗涤、消毒技能，了解相关设备及消毒隔离与感染控制基础知识。</w:t>
      </w:r>
    </w:p>
    <w:p w14:paraId="7AFAF15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w:t>
      </w:r>
      <w:r>
        <w:rPr>
          <w:rFonts w:ascii="仿宋_GB2312" w:hAnsi="仿宋_GB2312" w:eastAsia="仿宋_GB2312" w:cs="仿宋_GB2312"/>
          <w:sz w:val="24"/>
          <w:szCs w:val="24"/>
          <w:lang w:eastAsia="zh-CN"/>
        </w:rPr>
        <w:t>工作人员需严格遵守操作规程，确保工作区域的清洁和安全，同时做好个人防护，避免交叉感染</w:t>
      </w:r>
      <w:r>
        <w:rPr>
          <w:rFonts w:hint="eastAsia" w:ascii="MS Gothic" w:hAnsi="MS Gothic" w:eastAsia="MS Gothic" w:cs="MS Gothic"/>
          <w:sz w:val="24"/>
          <w:szCs w:val="24"/>
          <w:lang w:eastAsia="zh-CN"/>
        </w:rPr>
        <w:t>‌</w:t>
      </w:r>
      <w:r>
        <w:rPr>
          <w:rFonts w:ascii="仿宋_GB2312" w:hAnsi="仿宋_GB2312" w:eastAsia="仿宋_GB2312" w:cs="仿宋_GB2312"/>
          <w:sz w:val="24"/>
          <w:szCs w:val="24"/>
          <w:lang w:eastAsia="zh-CN"/>
        </w:rPr>
        <w:t>。</w:t>
      </w:r>
    </w:p>
    <w:p w14:paraId="7178874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2.4定期维护和保养洗涤设备，确保其正常工作。</w:t>
      </w:r>
    </w:p>
    <w:p w14:paraId="3137EAD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2.5定期清洁洗衣房的工作区域，保持整洁、卫生。</w:t>
      </w:r>
    </w:p>
    <w:p w14:paraId="18405EE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十四.司梯员服务</w:t>
      </w:r>
    </w:p>
    <w:p w14:paraId="0E2C281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3C6D97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物业服务企业对服务区域内的电梯运行管理，专人操作、报站工作，引导患者到指定楼层。</w:t>
      </w:r>
    </w:p>
    <w:p w14:paraId="00D077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2.服务标准及</w:t>
      </w:r>
      <w:r>
        <w:rPr>
          <w:rFonts w:hint="eastAsia" w:ascii="仿宋_GB2312" w:hAnsi="仿宋_GB2312" w:eastAsia="仿宋_GB2312" w:cs="仿宋_GB2312"/>
          <w:sz w:val="24"/>
          <w:szCs w:val="24"/>
          <w:lang w:val="en-US" w:eastAsia="zh-CN"/>
        </w:rPr>
        <w:t>要求</w:t>
      </w:r>
    </w:p>
    <w:p w14:paraId="67798B1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2.1司梯员须经过培训考核合格后方可上岗。</w:t>
      </w:r>
    </w:p>
    <w:p w14:paraId="6883773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bCs/>
          <w:sz w:val="24"/>
          <w:szCs w:val="24"/>
          <w:lang w:eastAsia="zh-CN"/>
        </w:rPr>
      </w:pPr>
      <w:r>
        <w:rPr>
          <w:rFonts w:hint="eastAsia" w:ascii="仿宋_GB2312" w:hAnsi="仿宋_GB2312" w:eastAsia="仿宋_GB2312" w:cs="仿宋_GB2312"/>
          <w:sz w:val="24"/>
          <w:szCs w:val="24"/>
          <w:lang w:eastAsia="zh-CN"/>
        </w:rPr>
        <w:t>2.2</w:t>
      </w:r>
      <w:r>
        <w:rPr>
          <w:rFonts w:hint="eastAsia" w:ascii="仿宋_GB2312" w:hAnsi="仿宋_GB2312" w:eastAsia="仿宋_GB2312" w:cs="仿宋_GB2312"/>
          <w:bCs/>
          <w:sz w:val="24"/>
          <w:szCs w:val="24"/>
          <w:lang w:eastAsia="zh-CN"/>
        </w:rPr>
        <w:t>熟悉电梯分布及使用情况，掌握电梯使用、保洁及消毒常识。</w:t>
      </w:r>
    </w:p>
    <w:p w14:paraId="763A9DA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2.3保持电梯内、外干净整洁，电梯内不存放私人物品。</w:t>
      </w:r>
    </w:p>
    <w:p w14:paraId="1B6A58B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2.4工作时间坚守岗位，站立服务，言语礼貌，遇行动困难患者协助进梯、耐心等候。</w:t>
      </w:r>
    </w:p>
    <w:p w14:paraId="08ED7EC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2.5遇电梯故障，立即拨打报修电话，维持梯内秩序，做好工作记录。</w:t>
      </w:r>
    </w:p>
    <w:p w14:paraId="6DFBEAB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十五.承(交)接查验</w:t>
      </w:r>
    </w:p>
    <w:p w14:paraId="2F6E936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1B33596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物业服务企业正式接管服务区域时，应对承（交）接服务项目的房屋建筑、设备设施、绿化、场地及配套进行查验，承（交）接查验结果应由交接双方签署记录文件，长期保存备查。</w:t>
      </w:r>
    </w:p>
    <w:p w14:paraId="6C6FDA1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56EB8C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2.1承（交）接查验前准备</w:t>
      </w:r>
    </w:p>
    <w:p w14:paraId="77A8ADA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2.1.1确定查验事项、进度、标准，编制查验计划。</w:t>
      </w:r>
    </w:p>
    <w:p w14:paraId="5C413EA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2.1.2准备查验工具、仪器。</w:t>
      </w:r>
    </w:p>
    <w:p w14:paraId="5DDD723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2.1.3进行查验安全事项交底。</w:t>
      </w:r>
    </w:p>
    <w:p w14:paraId="40F2775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2.1.4明确工作分工、查验方法。</w:t>
      </w:r>
    </w:p>
    <w:p w14:paraId="528093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2.2承（交）接查验</w:t>
      </w:r>
    </w:p>
    <w:p w14:paraId="478AB3E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2.2.1新建项目</w:t>
      </w:r>
    </w:p>
    <w:p w14:paraId="530C1E3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2.2.1.1物业资料交接查验并记录。</w:t>
      </w:r>
    </w:p>
    <w:p w14:paraId="35C954F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2.2.1.2房屋建筑结构、装饰装修交接并记录。</w:t>
      </w:r>
    </w:p>
    <w:p w14:paraId="10E9C70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2.2.1.3物业共用部位和共用设备设施现场查验并记录。</w:t>
      </w:r>
    </w:p>
    <w:p w14:paraId="3299849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2.2.1.4物业绿化现场交接并记录。</w:t>
      </w:r>
    </w:p>
    <w:p w14:paraId="2FEB81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2.2.1.5机房、共用区域钥匙交接并记录。</w:t>
      </w:r>
    </w:p>
    <w:p w14:paraId="6CF64C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2.2.1.6查验情况总结及整改。</w:t>
      </w:r>
    </w:p>
    <w:p w14:paraId="19FF68E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2.2.2已建项目</w:t>
      </w:r>
    </w:p>
    <w:p w14:paraId="29D838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2.2.2.1工程资料交接并记录。</w:t>
      </w:r>
    </w:p>
    <w:p w14:paraId="316A37D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2.2.2.2房屋建筑结构、装饰装修交接并记录。</w:t>
      </w:r>
    </w:p>
    <w:p w14:paraId="4650FAD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2.2.2.3物业共用部位和共用设备设施现场查验并记录。</w:t>
      </w:r>
    </w:p>
    <w:p w14:paraId="4A447A6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2.2.2.4物业绿化现场交接并记录。</w:t>
      </w:r>
    </w:p>
    <w:p w14:paraId="16865F4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2.2.2.5机房、共用区域钥匙交接并记录。</w:t>
      </w:r>
    </w:p>
    <w:p w14:paraId="66F6C06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2.2.2.6查验情况总结。</w:t>
      </w:r>
    </w:p>
    <w:p w14:paraId="6AC58C3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十六.绿色物业管理服务</w:t>
      </w:r>
    </w:p>
    <w:p w14:paraId="26B0A9A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214C1D2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物业服务企业积极采用环保理念和方法，以实现物业环境的可持续发展，减少对环境的负面影响，提高物业管理的效率和品质，在维护物业设施的同时，促进资源的节约和环境的保护。</w:t>
      </w:r>
    </w:p>
    <w:p w14:paraId="3FFA9C6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72325D2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2.1节能减排</w:t>
      </w:r>
    </w:p>
    <w:p w14:paraId="5CB4921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2.1.1制度建设</w:t>
      </w:r>
    </w:p>
    <w:p w14:paraId="2A94E7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2.1.1.1建立绿色物业管理规章制度。</w:t>
      </w:r>
    </w:p>
    <w:p w14:paraId="68DEC8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2.1.1.2能源管理岗位责任制。</w:t>
      </w:r>
    </w:p>
    <w:p w14:paraId="09F519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2.1.1.3建立能源消费计量统计制度。</w:t>
      </w:r>
    </w:p>
    <w:p w14:paraId="5DDF0C6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2.1.1.4建立物业服务节能目标管理体系、节能采购办法。</w:t>
      </w:r>
    </w:p>
    <w:p w14:paraId="6B7C63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2.1.1.5针对物业服务区域用能情况，制定相应补充制度措施。</w:t>
      </w:r>
    </w:p>
    <w:p w14:paraId="4B64BF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2.2节能措施</w:t>
      </w:r>
    </w:p>
    <w:p w14:paraId="085CC2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2.2.1对重点用能设施、设备和系统采用先进技术降低能耗。</w:t>
      </w:r>
    </w:p>
    <w:p w14:paraId="5E6D2B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2.2.2采用新能源技术，高效节能照明器具，控制外部反光照明和装饰用照明。</w:t>
      </w:r>
    </w:p>
    <w:p w14:paraId="4F9A758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2.2.3用电设施、设备实施分区域管理，均衡用电负荷。</w:t>
      </w:r>
    </w:p>
    <w:p w14:paraId="5F74F19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2.2.4采用高效节水器具，节约用水，降低水资源消耗。</w:t>
      </w:r>
    </w:p>
    <w:p w14:paraId="36DBA9D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2.2.5减少用电设备待机时间，执行国家关于空调室内温度控制规定。</w:t>
      </w:r>
    </w:p>
    <w:p w14:paraId="1942007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2.3节能台账</w:t>
      </w:r>
    </w:p>
    <w:p w14:paraId="13682F9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2.3.1建立物业所涉及水、电、气、油等能耗的节能台账，台账数据准确完整。</w:t>
      </w:r>
    </w:p>
    <w:p w14:paraId="7B64B84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2.3.2指定专人记帐、定期进行能耗检测、计量、统计、分析等，并按照要求上报相关数据信息。</w:t>
      </w:r>
    </w:p>
    <w:p w14:paraId="59EEA56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十七.标准化建设服务</w:t>
      </w:r>
    </w:p>
    <w:p w14:paraId="6108613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21A1091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物业服务企业运用标准化的原理和方法，通过制定和实施服务标准，达到服务质量目标化，服务行为规范化，服务过程程序化，从而获得优质服务。</w:t>
      </w:r>
    </w:p>
    <w:p w14:paraId="230734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26ECAAF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2.1规范化管理</w:t>
      </w:r>
    </w:p>
    <w:p w14:paraId="7C74B22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2.1.1规范各项服务流程。</w:t>
      </w:r>
    </w:p>
    <w:p w14:paraId="2277B08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2.1.1.1服务内容的标准化。</w:t>
      </w:r>
    </w:p>
    <w:p w14:paraId="331404E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2.1.1.2服务质量的量化。</w:t>
      </w:r>
    </w:p>
    <w:p w14:paraId="0A13CF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2.1.1.3服务流程的明确化。</w:t>
      </w:r>
    </w:p>
    <w:p w14:paraId="50F9240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2.2服务标准全面细致</w:t>
      </w:r>
    </w:p>
    <w:p w14:paraId="068B2B1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2.2.1共用设备设施维护服务标准细化、量化，明确考核标准。</w:t>
      </w:r>
    </w:p>
    <w:p w14:paraId="494239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2.2.2严格落实安全生产管理细节，杜绝安全隐患。</w:t>
      </w:r>
    </w:p>
    <w:p w14:paraId="3680891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2.2.3保洁服务注重频次监管，作业流程、落实细节。</w:t>
      </w:r>
    </w:p>
    <w:p w14:paraId="70EFE07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2.2.4绿化养护服务提高防范意识，规范作业流程，提高服务标准。</w:t>
      </w:r>
    </w:p>
    <w:p w14:paraId="7A4B202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2.2.5客户服务对接报修服务系统化管理，注重统计分析和应用。</w:t>
      </w:r>
    </w:p>
    <w:p w14:paraId="00FF31D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2.3持续改进</w:t>
      </w:r>
    </w:p>
    <w:p w14:paraId="5B3E375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2.3.1定期对制度、标准、应急预案、措施进行论证评审。</w:t>
      </w:r>
    </w:p>
    <w:p w14:paraId="20ECDD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2.3.2定期对日常服务质量监督考评。</w:t>
      </w:r>
    </w:p>
    <w:p w14:paraId="4DFF5F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2.3.3及时修正与物业服务区域管理服务不适应措施，服务更具针对性。</w:t>
      </w:r>
    </w:p>
    <w:p w14:paraId="7C637B2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十八.针对医院类物业的特约服务</w:t>
      </w:r>
    </w:p>
    <w:p w14:paraId="2406EE0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1555CD3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物业服务企业根据服务对象的需求，开展力所能及的特约服务，如专业陪护、商务中心、小型超市、对外餐厅等。</w:t>
      </w:r>
    </w:p>
    <w:p w14:paraId="5C2B773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3A3BAF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2.1不以盈利为目的，根据服务对象需求，力所能及提供服务。</w:t>
      </w:r>
    </w:p>
    <w:p w14:paraId="4CD91DF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2.2服务人员需具备相关的服务技能和能力。</w:t>
      </w:r>
    </w:p>
    <w:p w14:paraId="3F46DA3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2.3在不影响合同履约情况下，开展特约服务。</w:t>
      </w:r>
    </w:p>
    <w:p w14:paraId="312BB4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十九.其它服务</w:t>
      </w:r>
    </w:p>
    <w:p w14:paraId="4C628A9D">
      <w:pPr>
        <w:keepNext w:val="0"/>
        <w:keepLines w:val="0"/>
        <w:pageBreakBefore w:val="0"/>
        <w:widowControl w:val="0"/>
        <w:kinsoku/>
        <w:wordWrap/>
        <w:overflowPunct/>
        <w:topLinePunct w:val="0"/>
        <w:autoSpaceDE/>
        <w:autoSpaceDN/>
        <w:bidi w:val="0"/>
        <w:adjustRightInd/>
        <w:snapToGrid/>
        <w:spacing w:line="400" w:lineRule="exac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p>
    <w:p w14:paraId="69FE572B">
      <w:pPr>
        <w:keepNext w:val="0"/>
        <w:keepLines w:val="0"/>
        <w:pageBreakBefore w:val="0"/>
        <w:widowControl w:val="0"/>
        <w:kinsoku/>
        <w:wordWrap/>
        <w:overflowPunct/>
        <w:topLinePunct w:val="0"/>
        <w:autoSpaceDE/>
        <w:autoSpaceDN/>
        <w:bidi w:val="0"/>
        <w:adjustRightInd/>
        <w:snapToGrid/>
        <w:spacing w:line="400" w:lineRule="exact"/>
        <w:ind w:left="0" w:leftChars="0" w:firstLine="482" w:firstLineChars="200"/>
        <w:jc w:val="center"/>
        <w:textAlignment w:val="baseline"/>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院校类物业服务</w:t>
      </w:r>
    </w:p>
    <w:p w14:paraId="37FE91F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一.综合管理服务</w:t>
      </w:r>
    </w:p>
    <w:p w14:paraId="639FF6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1.服务机构</w:t>
      </w:r>
    </w:p>
    <w:p w14:paraId="7E575B8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1.1物业服务企业应根据服务区域的具体情况和合同约定，设置相适应的物业服务机构,为服务对象提供一站式服务。</w:t>
      </w:r>
    </w:p>
    <w:p w14:paraId="595BC7A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1.2物业服务企业应有明确、清晰的组织架构，职责明确、清晰。</w:t>
      </w:r>
    </w:p>
    <w:p w14:paraId="3BCAD9C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2.服务人员</w:t>
      </w:r>
    </w:p>
    <w:p w14:paraId="4B35F50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2.1物业服务企业应根据服务区域的具体情况和合同约定，配备充足的服务人员，人员数量应满足日常业务开展的需要并能够应对突发情况。</w:t>
      </w:r>
    </w:p>
    <w:p w14:paraId="7608E0D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2.2服务人员应具备物业服务岗位技能，专业技术人员应取得相应专业技术证书。</w:t>
      </w:r>
    </w:p>
    <w:p w14:paraId="169A91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2.3服务人员在服务过程中应保持良好的精神状态，用语文明、规范，主动、热情、耐心、及时为服务对象提供服务。</w:t>
      </w:r>
    </w:p>
    <w:p w14:paraId="2816D78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2.4服务人员应分岗位统一着装，佩戴标志。</w:t>
      </w:r>
    </w:p>
    <w:p w14:paraId="2239C97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3.制度</w:t>
      </w:r>
    </w:p>
    <w:p w14:paraId="5AC4E35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lang w:eastAsia="zh-CN"/>
        </w:rPr>
        <w:t>3.1物业服务企业应针对服务项目特点建立相关管理制度，包括但不限于</w:t>
      </w:r>
      <w:r>
        <w:rPr>
          <w:rFonts w:hint="eastAsia" w:ascii="仿宋_GB2312" w:hAnsi="仿宋_GB2312" w:eastAsia="仿宋_GB2312" w:cs="仿宋_GB2312"/>
          <w:sz w:val="24"/>
          <w:szCs w:val="24"/>
          <w:highlight w:val="none"/>
          <w:lang w:eastAsia="zh-CN"/>
        </w:rPr>
        <w:t>综合管理服务、</w:t>
      </w:r>
      <w:r>
        <w:rPr>
          <w:rFonts w:hint="eastAsia" w:ascii="仿宋_GB2312" w:hAnsi="仿宋_GB2312" w:eastAsia="仿宋_GB2312" w:cs="仿宋_GB2312"/>
          <w:sz w:val="24"/>
          <w:szCs w:val="24"/>
          <w:lang w:eastAsia="zh-CN"/>
        </w:rPr>
        <w:t>建筑物日常养护维修</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、公共设施设备维护</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、保洁</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、绿化养护</w:t>
      </w:r>
      <w:r>
        <w:rPr>
          <w:rFonts w:hint="eastAsia" w:ascii="仿宋_GB2312" w:hAnsi="仿宋_GB2312" w:eastAsia="仿宋_GB2312" w:cs="仿宋_GB2312"/>
          <w:sz w:val="24"/>
          <w:szCs w:val="24"/>
          <w:highlight w:val="none"/>
          <w:lang w:eastAsia="zh-CN"/>
        </w:rPr>
        <w:t>服务</w:t>
      </w:r>
      <w:r>
        <w:rPr>
          <w:rFonts w:hint="eastAsia" w:ascii="仿宋_GB2312" w:hAnsi="仿宋_GB2312" w:eastAsia="仿宋_GB2312" w:cs="仿宋_GB2312"/>
          <w:sz w:val="24"/>
          <w:szCs w:val="24"/>
          <w:lang w:eastAsia="zh-CN"/>
        </w:rPr>
        <w:t>、接待和会议服务、</w:t>
      </w:r>
      <w:r>
        <w:rPr>
          <w:rFonts w:hint="eastAsia" w:ascii="仿宋_GB2312" w:hAnsi="仿宋_GB2312" w:eastAsia="仿宋_GB2312" w:cs="仿宋_GB2312"/>
          <w:sz w:val="24"/>
          <w:szCs w:val="24"/>
          <w:highlight w:val="none"/>
          <w:lang w:eastAsia="zh-CN"/>
        </w:rPr>
        <w:t>生活保障管理</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highlight w:val="none"/>
          <w:lang w:eastAsia="zh-CN"/>
        </w:rPr>
        <w:t>教研管理服务、特殊时段管理服务、接送学生管理服务、</w:t>
      </w:r>
      <w:r>
        <w:rPr>
          <w:rFonts w:hint="eastAsia" w:ascii="仿宋_GB2312" w:hAnsi="仿宋_GB2312" w:eastAsia="仿宋_GB2312" w:cs="仿宋_GB2312"/>
          <w:sz w:val="24"/>
          <w:szCs w:val="24"/>
          <w:lang w:eastAsia="zh-CN"/>
        </w:rPr>
        <w:t>承</w:t>
      </w:r>
      <w:r>
        <w:rPr>
          <w:rFonts w:hint="eastAsia" w:ascii="仿宋_GB2312" w:hAnsi="仿宋_GB2312" w:eastAsia="仿宋_GB2312" w:cs="仿宋_GB2312"/>
          <w:sz w:val="24"/>
          <w:szCs w:val="24"/>
          <w:highlight w:val="none"/>
          <w:lang w:eastAsia="zh-CN"/>
        </w:rPr>
        <w:t>（交）</w:t>
      </w:r>
      <w:r>
        <w:rPr>
          <w:rFonts w:hint="eastAsia" w:ascii="仿宋_GB2312" w:hAnsi="仿宋_GB2312" w:eastAsia="仿宋_GB2312" w:cs="仿宋_GB2312"/>
          <w:sz w:val="24"/>
          <w:szCs w:val="24"/>
          <w:lang w:eastAsia="zh-CN"/>
        </w:rPr>
        <w:t>接查验、</w:t>
      </w:r>
      <w:r>
        <w:rPr>
          <w:rFonts w:hint="eastAsia" w:ascii="仿宋_GB2312" w:hAnsi="仿宋_GB2312" w:eastAsia="仿宋_GB2312" w:cs="仿宋_GB2312"/>
          <w:sz w:val="24"/>
          <w:szCs w:val="24"/>
          <w:highlight w:val="none"/>
          <w:lang w:eastAsia="zh-CN"/>
        </w:rPr>
        <w:t>绿色物业管理服务、标准化建设服务、特约服务等制度。</w:t>
      </w:r>
    </w:p>
    <w:p w14:paraId="4DF7C51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3.2物业服务企业应针对物业管理服务项目特点建立应对各类突发事件的应急预案。</w:t>
      </w:r>
    </w:p>
    <w:p w14:paraId="6864696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3.3物业服务企业应建立培训体系，制定培训计划，定期组织培训、考核。</w:t>
      </w:r>
    </w:p>
    <w:p w14:paraId="058A8D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3.4物业服务企业应建立物业服务工作、运行记录。</w:t>
      </w:r>
    </w:p>
    <w:p w14:paraId="08EED1C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4.档案与管理</w:t>
      </w:r>
    </w:p>
    <w:p w14:paraId="404CB25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4.1物业服务企业应建立物业管理档案，包括但不限于客户资料、工程图纸、竣工验收备案资料、合同、收费、人事档案等。</w:t>
      </w:r>
    </w:p>
    <w:p w14:paraId="65BA858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4.2配备档案管理人员。</w:t>
      </w:r>
    </w:p>
    <w:p w14:paraId="6F53AA2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4.3定期归档各类物业服务工作、运行记录。</w:t>
      </w:r>
    </w:p>
    <w:p w14:paraId="45CAA3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5.服务工具、设备</w:t>
      </w:r>
    </w:p>
    <w:p w14:paraId="71DFC63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物业服务企业应配备充足的工具、设备，满足开展物业管理服务所需。</w:t>
      </w:r>
    </w:p>
    <w:p w14:paraId="0D70F33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6.实施、监督与改进</w:t>
      </w:r>
    </w:p>
    <w:p w14:paraId="4FD76AF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6.1物业服务企业应制订物业管理服务工作计划，并组织实施、定期总结。</w:t>
      </w:r>
    </w:p>
    <w:p w14:paraId="08CD78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6.2物业服务企业应设立24小时服务电话，建立规范工作机制和应对各类突发事件的响应机制。</w:t>
      </w:r>
    </w:p>
    <w:p w14:paraId="3D9B13D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6.3物业服务企业应运用信息化、智能化手段，提高管理效率和服务质量水平。</w:t>
      </w:r>
    </w:p>
    <w:p w14:paraId="4FB63F7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6.4物业服务企业应对物业管理服务区域各项服务管理项目实施检查监管，并对专业服务企业的服务行为承担监督责任。</w:t>
      </w:r>
    </w:p>
    <w:p w14:paraId="6231937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6.5物业服务企业应接受相关部门管理和业主的合同履约监督，做好与服务对象的沟通交流，及时通报相关服务信息。</w:t>
      </w:r>
    </w:p>
    <w:p w14:paraId="5399CFD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6.6物业服务企业应定期开展满意度调查，对收集的服务反馈信息进行分析处理，查找原因，制定相关整改措施并反馈，进一步提高服务质量。</w:t>
      </w:r>
    </w:p>
    <w:p w14:paraId="64A0D78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二.建筑物日常养护维修服务</w:t>
      </w:r>
    </w:p>
    <w:p w14:paraId="1453052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16C90C7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对服务区域内建筑物进行日常巡查、养护、维修服务，包括但不限于：房屋结构、教学楼（区）室内地面，室内各类顶板，室内外墙面、屋面、屋面防水补漏，外墙防水、外墙粉刷、外墙修补、内墙粉刷，吊顶、隔断、幕墙玻璃、雨篷、散水、空调室外机支撑构件、踢脚、门（含门面、门锁、铰链及闭门器等）、窗户、窗玻璃、窗台、窗套、窗帘、窗帘盒、锁、铝合金窗柜、楼梯扶手、楼梯护板、玻璃幕墙、石材幕墙、铝扣板、铝合金门窗锁拉手维修，教学桌抽屉锁、抽屉排锁维修，水体、烘手机、隔断、室外道路、通风道、停车带、井盖、篦子、减速带、车挡、地沟、各类雨水及污水管道、防雷设施、围墙（栏）、园林挡土墙、花岗岩、活动场地、路面修补、绿化围栏、绿化栅拦、室外亭、台、桥、桌、椅、步行道、标识、标牌及其设施。</w:t>
      </w:r>
    </w:p>
    <w:p w14:paraId="4097E20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503971A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2.1制定建筑物日常养护维修计划，保证物业服务区域内建筑物安全和正常使用，建筑物及其附属件重要部分完好率达100%。</w:t>
      </w:r>
    </w:p>
    <w:p w14:paraId="66952D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2.2及时完成零星维修，合格率100%。</w:t>
      </w:r>
    </w:p>
    <w:p w14:paraId="6678D0A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2.3建立健全建筑物档案，维修记录和保养记录。</w:t>
      </w:r>
    </w:p>
    <w:p w14:paraId="3E2403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2.4屋面维护</w:t>
      </w:r>
    </w:p>
    <w:p w14:paraId="2ED7255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2.4.1女儿墙、防水层、伸缩缝、通风道等表面无开裂、起泡、起砂、缺损。</w:t>
      </w:r>
    </w:p>
    <w:p w14:paraId="6E203ED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2.4.2排水口无阻塞。</w:t>
      </w:r>
    </w:p>
    <w:p w14:paraId="09C6C54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2.4.3及时清除屋面杂草、杂物。</w:t>
      </w:r>
    </w:p>
    <w:p w14:paraId="6ACC9B8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2.5承重构件维护</w:t>
      </w:r>
    </w:p>
    <w:p w14:paraId="6772E1D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承重构件表面、本体、灰缝、连接节点、连接件、紧固件等无变形、开裂、松动、破损、铁涨锈蚀、蜂窝麻面、风化腐蚀。</w:t>
      </w:r>
    </w:p>
    <w:p w14:paraId="48B0B9C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2.6外立面维护</w:t>
      </w:r>
    </w:p>
    <w:p w14:paraId="1383BB1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2.6.1外墙面及其附属件、幕墙及其附属件，无破损、开裂、剥落、脱离等情况，符合相关安全要求。</w:t>
      </w:r>
    </w:p>
    <w:p w14:paraId="604894D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2.6.2室外门窗及其附属件、窗台、各种外露及悬挂物，保障门窗开关灵活、不松动、不变形；门窗附属件完好；外露及悬挂物牢固安全。</w:t>
      </w:r>
    </w:p>
    <w:p w14:paraId="611306F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2.7室内装修维护</w:t>
      </w:r>
    </w:p>
    <w:p w14:paraId="789EE90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2.7.1地面瓷砖平整、无缺损。</w:t>
      </w:r>
    </w:p>
    <w:p w14:paraId="31E772A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2.7.2墙面无剥落、起皮。</w:t>
      </w:r>
    </w:p>
    <w:p w14:paraId="517F856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2.7.3附属件完好，外观统一。</w:t>
      </w:r>
    </w:p>
    <w:p w14:paraId="4E84299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2.7.4各种装饰悬挂件牢固、安全、无缺损。</w:t>
      </w:r>
    </w:p>
    <w:p w14:paraId="1C97C79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2.7.5栏杆扶手及其附属件完好、无锈蚀。</w:t>
      </w:r>
    </w:p>
    <w:p w14:paraId="64F3EA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2.7.6室内门窗开关灵活、不松动、不变形，门窗附属件齐全完好。</w:t>
      </w:r>
    </w:p>
    <w:p w14:paraId="2F5EB24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2.7.7各类功能性设施完好。</w:t>
      </w:r>
    </w:p>
    <w:p w14:paraId="1FE831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2.8地基基础维护</w:t>
      </w:r>
    </w:p>
    <w:p w14:paraId="45B0715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2.8.1地坪、明沟、散水、台阶等，无塌陷、变形、脱开。</w:t>
      </w:r>
    </w:p>
    <w:p w14:paraId="7BA0784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2.8.2预制构件无开裂、损毁。</w:t>
      </w:r>
    </w:p>
    <w:p w14:paraId="6EA9843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2.8.3基础主体无沉降、倾斜、开裂现象。</w:t>
      </w:r>
    </w:p>
    <w:p w14:paraId="67F566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2.9附属建筑维护</w:t>
      </w:r>
    </w:p>
    <w:p w14:paraId="789A96B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2.9.1消防通道、无障碍设施、路面、坡道等无障碍物、无破损、无积水。</w:t>
      </w:r>
    </w:p>
    <w:p w14:paraId="0602405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2.9.2围墙、栅栏、大门等围护设施无破损、金属无锈蚀，道闸、电子围栏工作正常。</w:t>
      </w:r>
    </w:p>
    <w:p w14:paraId="419025A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2.9.3附属用房、水景、雕塑、座椅、遮阳等设施无损坏，能安全使用。</w:t>
      </w:r>
    </w:p>
    <w:p w14:paraId="26AB3C2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2.9.4标识标牌规范清晰、路线指引正确、安装稳固。</w:t>
      </w:r>
    </w:p>
    <w:p w14:paraId="241D257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三.公共设施设备维护服务</w:t>
      </w:r>
    </w:p>
    <w:p w14:paraId="794327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107E46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物业服务企业应对服务区域内公共设施设备进行日常巡查、养护、维修服务，包括但不限于：电气系统、电梯系统、安全防范、消防系统、楼宇自控系统与综合布线、暖通与空调系统、给排水系统、锅炉系统等。</w:t>
      </w:r>
    </w:p>
    <w:p w14:paraId="0EE50CA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31C017A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2.1制定公共设施设备维护计划，严格按照国家法律法规和设备操作规程开展维护保养工作，保证物业服务区域内公共设施设备正常运行。</w:t>
      </w:r>
    </w:p>
    <w:p w14:paraId="424B055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2.2及时完成零星维修，合格率100%。</w:t>
      </w:r>
    </w:p>
    <w:p w14:paraId="25B3B3A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2.3建立健全公共设施设备档案，维修记录和保养记录。</w:t>
      </w:r>
    </w:p>
    <w:p w14:paraId="4D750B7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2.4电气系统</w:t>
      </w:r>
    </w:p>
    <w:p w14:paraId="48E6A8A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2.4.1定期对变配电室巡检，检查内容和要求包括：</w:t>
      </w:r>
    </w:p>
    <w:p w14:paraId="7BC8D0B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2.4.1.1隔离开关、负荷开关和熔断器位置正确、平整和牢固；仪表完好、墙上模拟图操作完好、门柜锁完好；变压器温度在正常范围内，通风良好；三相电压表读数平衡，变压器声响正常；外壳接地装置可靠；门柜锁完好。</w:t>
      </w:r>
    </w:p>
    <w:p w14:paraId="003EDAF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2.4.1.2闸刀开关、负荷开关、空气开关和熔断器完好；面板指示灯和按钮、仪表完好；接地线连接应紧密牢固；门柜锁完好。</w:t>
      </w:r>
    </w:p>
    <w:p w14:paraId="4C8B4A1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2.4.1.3接地线平直、牢固，无高低起伏和弯曲现象；接地体焊接牢固，防腐处理均匀。</w:t>
      </w:r>
    </w:p>
    <w:p w14:paraId="2C15178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2.4.1.4变配电室内配置的灭火器等消防设施压力正常，设备齐全，表面清洁。</w:t>
      </w:r>
    </w:p>
    <w:p w14:paraId="1D332B1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2.4.2变配电抄表</w:t>
      </w:r>
    </w:p>
    <w:p w14:paraId="5AEA903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2.4.2.1低压配电室抄录主开关、电容柜、联络开关的电压、电流值、合/分情况等。</w:t>
      </w:r>
    </w:p>
    <w:p w14:paraId="7054898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2.4.2.2高压配电室抄录高压进线电压、电流值，无功功率值、有功功率值、母联开关、所变的合/分情况。</w:t>
      </w:r>
    </w:p>
    <w:p w14:paraId="06C36DB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2.4.2.3变压器室抄录变压器合/分情况、电流值、ABC三相温度等。</w:t>
      </w:r>
    </w:p>
    <w:p w14:paraId="1F8E22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2.4.2.4对所记录的各种数据进行对比分析，与以往数据比较，判断运行是否正常。</w:t>
      </w:r>
    </w:p>
    <w:p w14:paraId="024A2F4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2.4.3倒闸操作</w:t>
      </w:r>
    </w:p>
    <w:p w14:paraId="05EB5DC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2.4.3.1因操作而影响用户正常使用的，应事先发出经审批的停电通知。</w:t>
      </w:r>
    </w:p>
    <w:p w14:paraId="238DA2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2.4.3.2操作人在模拟板上操作，操作负责人审核操作任务是否与操作预令任务一致。</w:t>
      </w:r>
    </w:p>
    <w:p w14:paraId="671D3D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2.4.3.3操作人熟悉和掌握危险点分析和控制措施。</w:t>
      </w:r>
    </w:p>
    <w:p w14:paraId="1DE720E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2.4.3.4操作人在操作全过程中严格按照规范化、标准化行为操作，遵守操作纪律。</w:t>
      </w:r>
    </w:p>
    <w:p w14:paraId="3A96035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2.4.3.5操作过程做好记录并保存。</w:t>
      </w:r>
    </w:p>
    <w:p w14:paraId="167903A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2.4.4停电限电操作</w:t>
      </w:r>
    </w:p>
    <w:p w14:paraId="35096D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2.4.4.1停电、限电应有明确的审批权限，相关部门拟写通知，物业管理中心负责将通知发送至入驻单位以及各相关部门，并做好通知发放记录。如紧急情况，应采取必要紧急处理措施。</w:t>
      </w:r>
    </w:p>
    <w:p w14:paraId="6D99EA5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2.4.4.2物业管理中心张贴的告示、通知等按规定时间撤除。</w:t>
      </w:r>
    </w:p>
    <w:p w14:paraId="2CB5ABB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2.4.4.3停电前，关停受影响的设备，如信息中心、锅炉、中央空调机组、电梯、水泵等，避免设备故障。</w:t>
      </w:r>
    </w:p>
    <w:p w14:paraId="0E30767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2.4.4.4当限电时，确保消防设施、安全通道照明的用电。</w:t>
      </w:r>
    </w:p>
    <w:p w14:paraId="0191DE2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2.4.5高（低）压变配电系统维护管理</w:t>
      </w:r>
    </w:p>
    <w:p w14:paraId="3D6144A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2.4.5.1高（低）压配电应按年度维护计划或因故障进行检修，严格执行电气作业的安全技术措施和组织措施，并做好记录。</w:t>
      </w:r>
    </w:p>
    <w:p w14:paraId="48B2761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2.4.5.2在规定周期内进行高压电气设备试验，留存测试合格报告。</w:t>
      </w:r>
    </w:p>
    <w:p w14:paraId="6A75F6B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2.4.5.3高（低）压变（配）电柜操作运行正常，检测表计显示准确。</w:t>
      </w:r>
    </w:p>
    <w:p w14:paraId="030B2E9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2.4.5.4高（低）压变压器运行正常，温控显示准确，联控动作正常。</w:t>
      </w:r>
    </w:p>
    <w:p w14:paraId="545088D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2.4.5.5变（配）电柜直流操作系统运行正常，蓄电池组充、放电量稳定。 </w:t>
      </w:r>
    </w:p>
    <w:p w14:paraId="748DBF5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2.4.5.6功率因素自动补偿电容器（组）运行正常，自动切换正确可靠。</w:t>
      </w:r>
    </w:p>
    <w:p w14:paraId="0DA5976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2.4.5.7变（配）点系统联络自切正常。</w:t>
      </w:r>
    </w:p>
    <w:p w14:paraId="3C2E65B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2.4.6应急供电系统</w:t>
      </w:r>
    </w:p>
    <w:p w14:paraId="46436D6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2.4.6.1柴油发电机组维护保养</w:t>
      </w:r>
    </w:p>
    <w:p w14:paraId="780CFDC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2.4.6.1.1定期进行室外储油罐、日用油箱油位检查。</w:t>
      </w:r>
    </w:p>
    <w:p w14:paraId="14658A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2.4.6.1.2定期手动启动一次柴油发电机，确保发电机转速、运行声音、振动情况正常；确保润滑油压力正常、润滑油油位达标、冷却水水温正常、水箱水位达标、燃油系统、油位达标、排烟温度正常；确保输出电压、频率正常；确保启动系统、蓄电池电压达标。</w:t>
      </w:r>
    </w:p>
    <w:p w14:paraId="552C07F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2.4.6.1.3发电机控制柜手动及自动启动正常，各类表具显示正常；自动转换开关状态显示完好，动作正常。</w:t>
      </w:r>
    </w:p>
    <w:p w14:paraId="4187832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2.4.6.1.4定期检查并更换柴油过滤器、更换润滑油与过滤器，清洗和更换空气过滤器。</w:t>
      </w:r>
    </w:p>
    <w:p w14:paraId="32EF8AA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2.4.6.1.5定期启动和维护备用发电机（组），确保随时应急启用。</w:t>
      </w:r>
    </w:p>
    <w:p w14:paraId="58FE29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2.4.6.1.6定期对应急照明设施进行检查、维护，使其处于有效待命状态。 </w:t>
      </w:r>
    </w:p>
    <w:p w14:paraId="28DE5B1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2.4.6.1.7定期进行烟道除灰清洁。</w:t>
      </w:r>
    </w:p>
    <w:p w14:paraId="53ECA41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2.4.6.2UPS设备巡检</w:t>
      </w:r>
    </w:p>
    <w:p w14:paraId="060451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2.4.6.2.1应确保控制面板、UPS工作状态、环境温湿度、消防设施正常、完好。</w:t>
      </w:r>
    </w:p>
    <w:p w14:paraId="35CFE0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2.4.6.2.2检查并记录均充、浮充电流、直流母线电压。</w:t>
      </w:r>
    </w:p>
    <w:p w14:paraId="1843650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2.4.6.2.3定期对蓄电池组进行充放电试验，进行蓄电检查及保养。保持蓄电池室环境温度15℃至25℃,室内通风，环境卫生良好。</w:t>
      </w:r>
    </w:p>
    <w:p w14:paraId="7BC5F13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2.4.7防雷系统</w:t>
      </w:r>
    </w:p>
    <w:p w14:paraId="4B06AF7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2.4.7.1定期检查避雷针（避雷器）及接地引下线进行检查，确保各部位紧固、无断裂锈蚀、下沉倾斜等。</w:t>
      </w:r>
    </w:p>
    <w:p w14:paraId="2E77F4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2.4.7.2定期对教学楼变配电室设备的接地带进行检查。</w:t>
      </w:r>
    </w:p>
    <w:p w14:paraId="0547A4A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2.4.7.3定期对教学楼各重要机房内的配电柜及设备接地进行检查。</w:t>
      </w:r>
    </w:p>
    <w:p w14:paraId="277FF3C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2.4.7.4保证所有机电设备、管道、构架等金属无接地良好。</w:t>
      </w:r>
    </w:p>
    <w:p w14:paraId="58AC6AC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2.5电梯系统</w:t>
      </w:r>
    </w:p>
    <w:p w14:paraId="7F50CB2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2.5.1电梯须由具备专业资质的单位、具备相应资格的人员进行定期保养维修。</w:t>
      </w:r>
    </w:p>
    <w:p w14:paraId="5D07D1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2.5.2物业服务企业应配备电梯安全员监督管理电梯日常运行、保养维修工作。</w:t>
      </w:r>
    </w:p>
    <w:p w14:paraId="1F557B0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2.5.3定期巡检，确保机房内无异常运行声响，机房温湿度适宜，无漏水、进水。</w:t>
      </w:r>
    </w:p>
    <w:p w14:paraId="04C650D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2.5.4电梯楼层指示灯与轿厢实际位置相符，厅门按钮及按钮灯正常，厅门关闭密封牢固，电梯到达平层应平稳，厅门地坎与轿厢地坎误差在标准范围内。</w:t>
      </w:r>
    </w:p>
    <w:p w14:paraId="72F5344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2.5.5轿厢内各附属设施（楼层信号灯、风扇/空调、照明、警铃、电话、开关门按钮等）正常，电梯起动平稳、运行恒速，减速无明显压迫感。</w:t>
      </w:r>
    </w:p>
    <w:p w14:paraId="50F2A6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2.5.6保持电梯机房清洁，保持地面无积尘，控制柜、主机表面无污渍。</w:t>
      </w:r>
    </w:p>
    <w:p w14:paraId="693A2A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2.5.7需停梯，应提前张贴书面通知。</w:t>
      </w:r>
    </w:p>
    <w:p w14:paraId="7028AF2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2.5.8电梯运行异常情况下，在通知电梯维保单位同时，电梯安全员须按应急预案，采用紧急处理措施实施处理。</w:t>
      </w:r>
    </w:p>
    <w:p w14:paraId="1829A2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2.6安全防范系统</w:t>
      </w:r>
    </w:p>
    <w:p w14:paraId="0A04B0D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2.6.1中央监控系统</w:t>
      </w:r>
    </w:p>
    <w:p w14:paraId="586E098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2.6.1.1摄像机安装牢固、位置正确、工作正常、整洁。</w:t>
      </w:r>
    </w:p>
    <w:p w14:paraId="2B37695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2.6.1.2画面分割器工作正常、整洁。</w:t>
      </w:r>
    </w:p>
    <w:p w14:paraId="77DE8FE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2.6.1.3录入设备工作正常、整洁。</w:t>
      </w:r>
    </w:p>
    <w:p w14:paraId="7204FFA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2.6.1.4监视器工作正常、图像清晰、色彩良好。</w:t>
      </w:r>
    </w:p>
    <w:p w14:paraId="247AE09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2.6.1.5矩阵工作正常、线路整齐、标识清楚。</w:t>
      </w:r>
    </w:p>
    <w:p w14:paraId="66119AC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2.6.1.6监控的录入资料至少保存30天，有特殊要求的按照相关规定或标准执行。 </w:t>
      </w:r>
    </w:p>
    <w:p w14:paraId="04D34D9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2.6.2巡更系统</w:t>
      </w:r>
    </w:p>
    <w:p w14:paraId="1D948B5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2.6.2.1工作站工作正常、整洁。</w:t>
      </w:r>
    </w:p>
    <w:p w14:paraId="050F5B0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2.6.2.2巡更器具工作正常。</w:t>
      </w:r>
    </w:p>
    <w:p w14:paraId="0F2E579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2.6.2.3巡更点位置正确、安装牢固、工作正常。</w:t>
      </w:r>
    </w:p>
    <w:p w14:paraId="13477CC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2.6.3周界报警系统</w:t>
      </w:r>
    </w:p>
    <w:p w14:paraId="6FDBFED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2.6.3.1工作站工作正常、整洁。</w:t>
      </w:r>
    </w:p>
    <w:p w14:paraId="0D84307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2.6.3.2红外探头安装牢固、线路无损、工作正常、整洁。</w:t>
      </w:r>
    </w:p>
    <w:p w14:paraId="5D2DB4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2.6.4对讲系统</w:t>
      </w:r>
    </w:p>
    <w:p w14:paraId="10C83AC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2.6.4.1基站线路无损、工作正常、整洁。</w:t>
      </w:r>
    </w:p>
    <w:p w14:paraId="1E151B1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2.6.4.2天线安装牢固、工作正常、整洁。</w:t>
      </w:r>
    </w:p>
    <w:p w14:paraId="7A4A86D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2.7消防系统</w:t>
      </w:r>
    </w:p>
    <w:p w14:paraId="3B2469D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2.7.1各项消防设备按规定进行定期检查，保证设施齐全、功能运行正常。</w:t>
      </w:r>
    </w:p>
    <w:p w14:paraId="5EC54F0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2.7.2火灾探测器定期进行时效模拟试验，探测器定期进行清洗，及时更换失效的器件。</w:t>
      </w:r>
    </w:p>
    <w:p w14:paraId="7B6A35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2.7.3每年进行一次消防联动，检测各类消防系统各类运行参数和状况并作记录。</w:t>
      </w:r>
    </w:p>
    <w:p w14:paraId="6E30E7A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2.7.4消防灭火设施处于良好的待命状态，灭火器等灭火装置应定期进行信号测试与压力状态检查。</w:t>
      </w:r>
    </w:p>
    <w:p w14:paraId="7DDDC2F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2.7.5消防泵定期启动测试并做记录，定期保养，保证工作站工作正常、整洁。</w:t>
      </w:r>
    </w:p>
    <w:p w14:paraId="0A6C1D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2.7.6消火栓定期巡查，保持消火栓箱内各种配件完好。</w:t>
      </w:r>
    </w:p>
    <w:p w14:paraId="61D1EF5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2.7.7消防带定期检查，阀杆处定期加注润滑油并做放水检查。</w:t>
      </w:r>
    </w:p>
    <w:p w14:paraId="1EA5EA3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2.7.8消防监控服务</w:t>
      </w:r>
    </w:p>
    <w:p w14:paraId="340A91F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2.7.8.1消防监控系统须持有专业证书人员24小时值守，监控设备运行状况。</w:t>
      </w:r>
    </w:p>
    <w:p w14:paraId="24794B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2.7.8.2接到报警信号应立即赶赴现场处理，并记录备案。</w:t>
      </w:r>
    </w:p>
    <w:p w14:paraId="5A484C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2.7.8.3消防设施出现报警故障，应及时报修处理。</w:t>
      </w:r>
    </w:p>
    <w:p w14:paraId="6BE993E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2.7.8.4消防控制室在确认火灾后，应当能控制有关部位的防火卷帘门按规定的程序下降，接收器反馈信号并显示其状态。</w:t>
      </w:r>
    </w:p>
    <w:p w14:paraId="470248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2.7.8.5消防报警与火灾处理</w:t>
      </w:r>
    </w:p>
    <w:p w14:paraId="1130EB5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2.7.8.5.1当被检测探头相应参数达到预定值时，探测器能输出火灾报警信号，同时启动探测器确认灯。</w:t>
      </w:r>
    </w:p>
    <w:p w14:paraId="686DDCF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2.7.8.5.2操作启动部件，手动火灾报警按钮能输出火灾报警信号，报警按钮有动作显示。</w:t>
      </w:r>
    </w:p>
    <w:p w14:paraId="3141E64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2.7.8.5.3火灾时能在消防控制室将火灾疏散层的扬声器和广播背景印象系统强制转入火灾应急广播状态，并控制在选定的楼层（区域）内。</w:t>
      </w:r>
    </w:p>
    <w:p w14:paraId="06DB09A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2.7.8.5.4能正常接收来自火灾探测器及其它报警触发器件的火灾报警信号，发出声、光信号。</w:t>
      </w:r>
    </w:p>
    <w:p w14:paraId="7F327FC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2.7.8.5.5当控制器和火灾探测器、控制器和传输火灾报警信号作用的部件发生故障时，能正确指示出故障部位。</w:t>
      </w:r>
    </w:p>
    <w:p w14:paraId="4EF3F0D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2.7.8.5.6显示预报警和故障信号时，如有火灾报警信号输入，能立即显示火灾报警信号；显示故障信号时，如有预报警信号输入，能显示预报警信号。</w:t>
      </w:r>
    </w:p>
    <w:p w14:paraId="3B64B60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2.7.8.5.7主电源切换时，备用电源能自动投入运行；当主电源恢复时能从备用电源自动转入主电源状态。</w:t>
      </w:r>
    </w:p>
    <w:p w14:paraId="749C1D4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2.7.8.5.8火灾确认后，发出控制信号，强制电梯全部停于首层，并接受其反馈信号，消防电梯联动迫降后可进行人工操作，其功能、信号正常。</w:t>
      </w:r>
    </w:p>
    <w:p w14:paraId="05A1439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2.7.8.5.9火灾确认后，能控制相应部位的正压风机和排烟风机启动，接收器反馈信号并显示其状态。</w:t>
      </w:r>
    </w:p>
    <w:p w14:paraId="2A70448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2.7.8.5.10火灾确认后，发出控制信号，将火层的防烟风阀、排烟阀打开，接收其反馈信号并显示其状态。</w:t>
      </w:r>
    </w:p>
    <w:p w14:paraId="43A0012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2.7.8.5.11火灾确认后，能释放建筑内的所有门禁装置，保证疏散门的畅通。</w:t>
      </w:r>
    </w:p>
    <w:p w14:paraId="22BAC8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2.7.8.5.12数据采集柜蓄电池正常、线路整齐、接线正确、工作正常、整洁。</w:t>
      </w:r>
    </w:p>
    <w:p w14:paraId="0833589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2.7.8.5.13末端设备安装牢固、位置正确、线路整齐、工作正常。</w:t>
      </w:r>
    </w:p>
    <w:p w14:paraId="6AB103D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2.7.8.5.14中央联动装置工作正常，显示正确。</w:t>
      </w:r>
    </w:p>
    <w:p w14:paraId="7B623EF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2.8楼宇自控系统与综合布线</w:t>
      </w:r>
    </w:p>
    <w:p w14:paraId="63C6568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2.8.1服务器、工作站、数字式直接控制器（DDC）工作正常、通讯正常、线路整齐；末端设备工作正常、接线正确、线路无损、安装牢固。</w:t>
      </w:r>
    </w:p>
    <w:p w14:paraId="6AD73A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2.8.2BA系统温度控制应根据季节变化及近期温度变化，变更空调运行模式，保持舒适的温度环境，并符合节能要求。</w:t>
      </w:r>
    </w:p>
    <w:p w14:paraId="14AB19D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2.8.3定期对BA系统巡检，查看各系统设备运行情况，包括空调机组启动情况、总供回水温度、压力、送（排）风机运行情况、重要会议室温度情况、锅炉运行情况、变配电系统、水池、水箱集水井排水泵运行情况等。</w:t>
      </w:r>
    </w:p>
    <w:p w14:paraId="2822136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2.8.4网络与通讯设备系统 </w:t>
      </w:r>
    </w:p>
    <w:p w14:paraId="1F46C7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2.8.4.1程控交换机（PABX）数据通讯工作正常、整洁、线路整齐。</w:t>
      </w:r>
    </w:p>
    <w:p w14:paraId="0281D46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2.8.4.1.1维护终端工作正常、整洁。</w:t>
      </w:r>
    </w:p>
    <w:p w14:paraId="04D6CE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2.8.4.1.2计费系统工作正常、整洁。</w:t>
      </w:r>
    </w:p>
    <w:p w14:paraId="09929A7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2.8.4.1.3电源工作正常、蓄电池正常、设备整洁、显示仪表无损。</w:t>
      </w:r>
    </w:p>
    <w:p w14:paraId="43C049D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2.8.4.1.4语音信箱工作正常、整洁、接线正确。</w:t>
      </w:r>
    </w:p>
    <w:p w14:paraId="4872776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2.8.4.2网络通讯设备</w:t>
      </w:r>
    </w:p>
    <w:p w14:paraId="09AB5DD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2.8.4.2.1程控交换机工作正常。</w:t>
      </w:r>
    </w:p>
    <w:p w14:paraId="4771915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2.8.4.2.2配线架排线整齐，标签完好，数据齐全。</w:t>
      </w:r>
    </w:p>
    <w:p w14:paraId="2D5274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2.8.4.2.3光线配架排线整齐，标签完好，数据齐全。</w:t>
      </w:r>
    </w:p>
    <w:p w14:paraId="3E8E138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2.8.4.2.4插座模块安装完好，线路畅通，表面整洁。</w:t>
      </w:r>
    </w:p>
    <w:p w14:paraId="07ABDAB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2.8.4.3广播与背景音响系统</w:t>
      </w:r>
    </w:p>
    <w:p w14:paraId="0046EAC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2.8.4.3.1音源设备工作正常，整洁。</w:t>
      </w:r>
    </w:p>
    <w:p w14:paraId="74420D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2.8.4.3.2功放设备工作正常，整洁。</w:t>
      </w:r>
    </w:p>
    <w:p w14:paraId="400FE3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2.8.4.3.3扬声器等末端设备工作正常、整洁，音质保持清晰。</w:t>
      </w:r>
    </w:p>
    <w:p w14:paraId="1C16D75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2.8.4.3.4背景音响与消防报警系统的连接切换工作正常。</w:t>
      </w:r>
    </w:p>
    <w:p w14:paraId="422CD2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2.8.4.4话务台工作正常、话音清晰、整洁。</w:t>
      </w:r>
    </w:p>
    <w:p w14:paraId="1039D74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2.9暖通与空调系统</w:t>
      </w:r>
    </w:p>
    <w:p w14:paraId="5A8642E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2.9.1定期对空调系统开机前进行检查，测试运行控制和安全控制功能，记录运行参数，分析运行记录。</w:t>
      </w:r>
    </w:p>
    <w:p w14:paraId="482B506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2.9.2定期检查冷却塔风机变速齿轮箱、淋水装置、循环泵、电器控制箱，保证冷却塔及附属设施的正常运行和良好保养，提供符合要求的冷却水。</w:t>
      </w:r>
    </w:p>
    <w:p w14:paraId="410FE41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2.9.3定期对空气处理单元、新风处理单元、风机盘管、滤网、加湿器、风阀、积水盘、风机表冷器进行清洗和保养；定期清洗和更换空调机组的空气过滤器、冷凝水积水盘和冷凝水管道。</w:t>
      </w:r>
    </w:p>
    <w:p w14:paraId="010325E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2.9.4定期进行循环泵、空调主机、冷却风机电柜主电路螺栓紧固，测试绝缘值，作好记录。</w:t>
      </w:r>
    </w:p>
    <w:p w14:paraId="06A3B72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2.9.5定期对空调系统主机、水泵、电机、管道、膨胀水箱、集水器、分水器进行检查保养。</w:t>
      </w:r>
    </w:p>
    <w:p w14:paraId="78DB55A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2.9.6各种管道完好，阀件及仪表齐备，无跑、冒、滴、漏。</w:t>
      </w:r>
    </w:p>
    <w:p w14:paraId="340F72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2.9.7保证冷冻主机及附属设施的正常运行和良好保养，提供符合要求的冷冻水。</w:t>
      </w:r>
    </w:p>
    <w:p w14:paraId="7B3BC8A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2.9.8保证采暖热水及附属设施的正常运行和良好保养，提供符合要求的采暖热水。</w:t>
      </w:r>
    </w:p>
    <w:p w14:paraId="0A77639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2.9.9对空调循环水质进行维护保养和水质分析，保证水系统内的水质符合国家标准要求。</w:t>
      </w:r>
    </w:p>
    <w:p w14:paraId="01E1DD6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2.9.10能量计费系统处于完好状态。</w:t>
      </w:r>
    </w:p>
    <w:p w14:paraId="09BB7F0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2.9.11定期检查空调机组、风机的运转情况，记录运行参数。</w:t>
      </w:r>
    </w:p>
    <w:p w14:paraId="280ADED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2.9.12定期安排对新风量、排风量的测定。</w:t>
      </w:r>
    </w:p>
    <w:p w14:paraId="27BD7C6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2.9.13应考虑定期安排对空气品质的测定。</w:t>
      </w:r>
    </w:p>
    <w:p w14:paraId="30F5341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2.9.14定期安排对风管系统的清洗。</w:t>
      </w:r>
    </w:p>
    <w:p w14:paraId="477F99D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2.9.15做好空调系统维护保养记录。</w:t>
      </w:r>
    </w:p>
    <w:p w14:paraId="6A152F7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2.10给排水系统</w:t>
      </w:r>
    </w:p>
    <w:p w14:paraId="2E95D22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2.10.1生活水泵、消防、喷淋水泵巡检</w:t>
      </w:r>
    </w:p>
    <w:p w14:paraId="6CB15BA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2.10.1.1定期对生活水泵、消防、喷淋水泵巡检，检查水泵控制屏的指示灯、变频恒压供水控制器显示数据等是否正确；检查管道接头和阀门有无渗漏水，压力表显示压力等是否正常，用户末端的水压及流量满足使用要求；检查机房内有无异常运行声响，异常气味；机房温度是否适宜，有无漏水、进水，门窗是否关闭。</w:t>
      </w:r>
    </w:p>
    <w:p w14:paraId="6BB0992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2.10.1.2定期对生活水泵及其机房环境清洁一次，保持地面无尘。控制柜、主机表面无污渍。</w:t>
      </w:r>
    </w:p>
    <w:p w14:paraId="72C2867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2.10.1.3做好巡检相关记录。</w:t>
      </w:r>
    </w:p>
    <w:p w14:paraId="5B536A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2.10.1.4生活饮用水水质符合规定，确保水质无污染，二次供水设施应定期清洗、消毒或更换滤芯。</w:t>
      </w:r>
    </w:p>
    <w:p w14:paraId="305B0BB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2.10.2生活水泵切换</w:t>
      </w:r>
    </w:p>
    <w:p w14:paraId="0BAAC7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2.10.2.1定期对生活水泵进行切换。</w:t>
      </w:r>
    </w:p>
    <w:p w14:paraId="136E751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2.10.2.2做好生活水泵切换记录。</w:t>
      </w:r>
    </w:p>
    <w:p w14:paraId="5BA0FBE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2.10.3生活水泵、消防、喷淋水泵维保</w:t>
      </w:r>
    </w:p>
    <w:p w14:paraId="35D37E1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2.10.3.1水泵控制回路每月进行一次紧固，检查是否可靠。</w:t>
      </w:r>
    </w:p>
    <w:p w14:paraId="5AB1260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2.10.3.2检查水泵及电机轴承运行情况，视情况加注润滑油；定期对水泵、管道进行除锈油漆。</w:t>
      </w:r>
    </w:p>
    <w:p w14:paraId="0D7661E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2.10.3.3观察点击运行时的电流、温升情况，声音是否异常，机械是否滑动灵活，对轴加油，使水泵达到良好状态。</w:t>
      </w:r>
    </w:p>
    <w:p w14:paraId="3067FE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2.10.3.4维保结束，做好生活水泵、消防、喷淋水泵维保记录。</w:t>
      </w:r>
    </w:p>
    <w:p w14:paraId="2F848AF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2.10.4水箱水池</w:t>
      </w:r>
    </w:p>
    <w:p w14:paraId="1B6F09B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2.10.4.1水箱、水池巡检</w:t>
      </w:r>
    </w:p>
    <w:p w14:paraId="3B2C195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2.10.4.1.1应定期对水箱、水池进行巡检。</w:t>
      </w:r>
    </w:p>
    <w:p w14:paraId="2DDC800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2.10.4.1.2检查水箱、水池的水位控制阀和水位报警装置，确保正常供水。</w:t>
      </w:r>
    </w:p>
    <w:p w14:paraId="4FD2EB3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2.10.4.1.3确保水池、水箱有盖，保证水箱的密闭性和安全性，水箱排水管、溢水口、透气口应做好防护网罩，保障安全使用。</w:t>
      </w:r>
    </w:p>
    <w:p w14:paraId="3C390DD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2.10.4.1.4确保水箱、水池周边无有毒、有害及挥发性物质。</w:t>
      </w:r>
    </w:p>
    <w:p w14:paraId="58E4D11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2.10.4.1.5巡检结束后，做好水箱、水池巡检记录。</w:t>
      </w:r>
    </w:p>
    <w:p w14:paraId="663E171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2.10.4.2水箱、水池清洗</w:t>
      </w:r>
    </w:p>
    <w:p w14:paraId="5F960D1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2.10.4.2.1对池壁、池底清洁次数不低于每半年一次，并按要求对管道、阀门、浮球进行检修保养。</w:t>
      </w:r>
    </w:p>
    <w:p w14:paraId="12B2B5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w:t>
      </w:r>
      <w:r>
        <w:rPr>
          <w:rFonts w:hint="eastAsia" w:ascii="仿宋_GB2312" w:hAnsi="仿宋_GB2312" w:eastAsia="仿宋_GB2312" w:cs="仿宋_GB2312"/>
          <w:sz w:val="24"/>
          <w:szCs w:val="24"/>
          <w:lang w:val="en" w:eastAsia="zh-CN"/>
        </w:rPr>
        <w:t>2.</w:t>
      </w:r>
      <w:r>
        <w:rPr>
          <w:rFonts w:hint="eastAsia" w:ascii="仿宋_GB2312" w:hAnsi="仿宋_GB2312" w:eastAsia="仿宋_GB2312" w:cs="仿宋_GB2312"/>
          <w:sz w:val="24"/>
          <w:szCs w:val="24"/>
          <w:lang w:eastAsia="zh-CN"/>
        </w:rPr>
        <w:t>2清洗完毕后，用符合标准的消毒液，按比例稀释后对箱壁进行清洗消毒。</w:t>
      </w:r>
    </w:p>
    <w:p w14:paraId="3CAAC75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w:t>
      </w:r>
      <w:r>
        <w:rPr>
          <w:rFonts w:hint="eastAsia" w:ascii="仿宋_GB2312" w:hAnsi="仿宋_GB2312" w:eastAsia="仿宋_GB2312" w:cs="仿宋_GB2312"/>
          <w:sz w:val="24"/>
          <w:szCs w:val="24"/>
          <w:lang w:val="en" w:eastAsia="zh-CN"/>
        </w:rPr>
        <w:t>.</w:t>
      </w:r>
      <w:r>
        <w:rPr>
          <w:rFonts w:hint="eastAsia" w:ascii="仿宋_GB2312" w:hAnsi="仿宋_GB2312" w:eastAsia="仿宋_GB2312" w:cs="仿宋_GB2312"/>
          <w:sz w:val="24"/>
          <w:szCs w:val="24"/>
          <w:lang w:eastAsia="zh-CN"/>
        </w:rPr>
        <w:t>3对水箱出水取样，经检测确保水质化验合格，否则重新清洗。</w:t>
      </w:r>
    </w:p>
    <w:p w14:paraId="0CAFAC2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2.10.4.2.4做好水箱、水池清洗记录、水质化验报告并保存。</w:t>
      </w:r>
    </w:p>
    <w:p w14:paraId="00ED9D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2.10.5排水管道巡检</w:t>
      </w:r>
    </w:p>
    <w:p w14:paraId="7A65BDB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2.10.5.1定期对排水管道进行巡检；定期对污水处理系统全面维护保养，作业人员应有相应职业资格；系统无明显异味、噪声；污水排放达到标准要求。</w:t>
      </w:r>
    </w:p>
    <w:p w14:paraId="73886F0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2.10.5.2雨水管、废水管、污水泵、提升泵、排水泵、阀门等，曝气风机、排水系统通畅、完好；各种管道阀门完好，仪表显示正确，无跑、冒、滴、漏；排水管线标识应完善，油漆完好；道路排泄水口应畅通、无堵塞；地下排水管窨井盖完好。</w:t>
      </w:r>
    </w:p>
    <w:p w14:paraId="6F2A36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2.10.5.3做好排水管道巡检记录、维护保养记录。 </w:t>
      </w:r>
    </w:p>
    <w:p w14:paraId="1A77AF5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2.10.6热、开水器</w:t>
      </w:r>
    </w:p>
    <w:p w14:paraId="452B2FD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2.10.6.1热水器、开水器巡检</w:t>
      </w:r>
    </w:p>
    <w:p w14:paraId="5453FA0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2.10.6.1.1确保电源控制正常，进出水阀门、水位表完好，温度表正常，水浮球开关控制完好，净水器进出口压力差正常。如有燃气热水器，确保燃气阀门、报警器完好。</w:t>
      </w:r>
    </w:p>
    <w:p w14:paraId="0E01528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2.10.6.1.2热水器、开水器内运行声响正常，无异味；管道接头和阀门无渗漏水，管道无堵塞；燃气管道无泄漏。</w:t>
      </w:r>
    </w:p>
    <w:p w14:paraId="5D94A95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2.10.6.1.3做好热水器、开水器巡检记录。</w:t>
      </w:r>
    </w:p>
    <w:p w14:paraId="1C3F9F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2.10.6.2热水器、开水器维护保养</w:t>
      </w:r>
    </w:p>
    <w:p w14:paraId="31387E7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2.10.6.2.1定期对热水器、开水器进行维护保养，净水器进行反冲，清洁玻璃管；如是燃气热水器，每月一次清洁点火盘；定期更换滤芯；燃气点火软管定期更换一次。</w:t>
      </w:r>
    </w:p>
    <w:p w14:paraId="7A76549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2.10.6.2.2做好热水器、开水器维保记录。</w:t>
      </w:r>
    </w:p>
    <w:p w14:paraId="3487683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2.11锅炉系统</w:t>
      </w:r>
    </w:p>
    <w:p w14:paraId="48138BD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2.11.1蒸汽锅炉</w:t>
      </w:r>
    </w:p>
    <w:p w14:paraId="37231AC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接受行政主管部门指定的检测机构对锅炉设备进行安全检测，并对锅炉电机部分及程序控制器性能、锅炉排放烟气进行检测。</w:t>
      </w:r>
    </w:p>
    <w:p w14:paraId="5C5B5C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2.11.1.1蒸汽锅炉维护保养</w:t>
      </w:r>
    </w:p>
    <w:p w14:paraId="53AE8CB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2.11.1.1.1每年对锅炉及附属设备进行定期保养；按规定更换油(气)喷嘴、保养和润滑电机、校验安全阀、检查交换器并添加树脂、设备管道补漆；对除氧器、冷凝水箱检修清洗；对锅筒内部检查并除垢。</w:t>
      </w:r>
    </w:p>
    <w:p w14:paraId="70B5ABB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2.11.1.1.2定期对蒸汽压力表进行校检。</w:t>
      </w:r>
    </w:p>
    <w:p w14:paraId="7B04F75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2.11.1.1.3定期对锅炉及附属设备保养；对防爆装置及泄爆装置进行安检:清理燃烧器、鼓风机风叶、烟管通灰；对机械设备更换或添加润滑油；超压、超温保护试验，安全阀排气正常。</w:t>
      </w:r>
    </w:p>
    <w:p w14:paraId="1E08E22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2.11.1.1.4定期对油气管路过滤器进行清洗，检查安全连锁装置。</w:t>
      </w:r>
    </w:p>
    <w:p w14:paraId="3CF09B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2.11.1.1.5应有专业人员对锅炉运行进行管理，做好锅炉安全经济运行监督、管理、工作记录。</w:t>
      </w:r>
    </w:p>
    <w:p w14:paraId="0370338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2.11.1.1.6检测水质硬度，符合要求。</w:t>
      </w:r>
    </w:p>
    <w:p w14:paraId="2111E17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2.11.1.1.7锅炉安全附件及仪表齐备，动作可靠。</w:t>
      </w:r>
    </w:p>
    <w:p w14:paraId="0073124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2.11.1.1.8在额定的流量范围内，输出蒸汽压力在允许范围之内。</w:t>
      </w:r>
    </w:p>
    <w:p w14:paraId="1BF8617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2.11.1.1.9汽、水管道完好，阀件及仪表齐备，无跑、冒、滴、漏。</w:t>
      </w:r>
    </w:p>
    <w:p w14:paraId="5EE2569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2.11.1.1.10操作人员持证上岗。 </w:t>
      </w:r>
    </w:p>
    <w:p w14:paraId="3579CA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2.11.1.2蒸汽锅炉运行管理</w:t>
      </w:r>
    </w:p>
    <w:p w14:paraId="7B19AD3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2.11.1.2.1按锅炉巡检巡回检查线路图巡视，定期巡检锅炉及其附属设备运行情况，记录运行数据。</w:t>
      </w:r>
    </w:p>
    <w:p w14:paraId="0EAF1BF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2.11.1.2.2锅炉运行中，出现运行故障或特殊情况，采取停炉措施。</w:t>
      </w:r>
    </w:p>
    <w:p w14:paraId="30DB17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2.11.1.2.3做好锅炉运行记录并签名存放。</w:t>
      </w:r>
    </w:p>
    <w:p w14:paraId="222E9E6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2.11.2热水锅炉</w:t>
      </w:r>
    </w:p>
    <w:p w14:paraId="4086BD0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2.11.2.1定期对温控仪进行检测。</w:t>
      </w:r>
    </w:p>
    <w:p w14:paraId="1D17B2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2.11.2.2定期对附属设备进行维护保养。</w:t>
      </w:r>
    </w:p>
    <w:p w14:paraId="756638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2.11.2.3做好热水锅炉检测、维护保养记录。</w:t>
      </w:r>
    </w:p>
    <w:p w14:paraId="0E692FF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2.12标识系统</w:t>
      </w:r>
    </w:p>
    <w:p w14:paraId="4E7E062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2.12.1教学区域、公共区域及仓储（库）区内设指示性标识包括引导、功能、警示标识，如:电梯、楼梯、出入口通道、残疾人通道、门牌号、男女厕所、消防用品、劳防用品、教学用品、工具类物资、有毒有害废弃物存放点标识等。</w:t>
      </w:r>
    </w:p>
    <w:p w14:paraId="0EB7C46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2.12.2教学区域、公共区域内的紧急出口、消防通道、禁烟区、有限空间、设备机房等重点部位设置警示性标识。</w:t>
      </w:r>
    </w:p>
    <w:p w14:paraId="045D998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2.12.3主要道路及停车场设置交通标识，主要路口设路标；配置并在适当时使用“维修进行中”等临时性服务状态标识。</w:t>
      </w:r>
    </w:p>
    <w:p w14:paraId="112505B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2.12.4标识的图形符号符合标准要求。</w:t>
      </w:r>
    </w:p>
    <w:p w14:paraId="0077A4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2.12.5消防与安全标识符合标准要求。</w:t>
      </w:r>
    </w:p>
    <w:p w14:paraId="76E50B2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2.12.6各类标识的格式统一，悬挂(摆放)应安全、正规、醒目、便利、协调、无涂改，文字规范。</w:t>
      </w:r>
    </w:p>
    <w:p w14:paraId="11A48FB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四.保洁服务</w:t>
      </w:r>
    </w:p>
    <w:p w14:paraId="226B8BC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29F5BA9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提供服务区域内保洁服务，包括但不限于：室内大厅、楼梯、走廊、天台、电梯厅及轿厢、卫生间、楼宇外墙等所有公共部位，服务区域内道路、院落、停车场（库）等所有公共场地及“门前三包”区域的日常清洁、保洁及保养；垃圾分类及废弃物清理、清运。</w:t>
      </w:r>
    </w:p>
    <w:p w14:paraId="14891E6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788468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2.1大堂及楼层公共区域</w:t>
      </w:r>
    </w:p>
    <w:p w14:paraId="7D97811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大堂内实行巡回保洁，每天清洁地坪次数视人流量和清洁状况而定，确保地面洁净有光泽，无垃圾杂物、灰尘污渍、无划痕、踢脚线、接缝、角落处洁净。遇雨雪天增加干拖把拖地次数，门口放防滑地毯及“小心地滑”警示牌，并经常清洗防滑地毯，保持地毯整洁无杂物。</w:t>
      </w:r>
    </w:p>
    <w:p w14:paraId="630B6A7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2.1.2及时清洗、擦拭、清理垃圾箱，垃圾不超过箱容积的三分之二，箱体洁净，周围无抛洒垃圾、异味，每天指定时间内将垃圾倒至垃圾收集站。</w:t>
      </w:r>
    </w:p>
    <w:p w14:paraId="7911A95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2.1.3确保及时清洁垃圾桶。</w:t>
      </w:r>
    </w:p>
    <w:p w14:paraId="0FF27C8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2.1.4确保墙面、玻璃、桌椅等，玻璃大门无手印、无积尘、无水迹，保持光亮、干净，墙面、桌椅等整洁无积尘；低位墙、踢脚线、转角定期清洁，高位墙定期清洁，保持干净、无蛛网。</w:t>
      </w:r>
    </w:p>
    <w:p w14:paraId="1EBA98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2.1.5旋转门、门框、门中轴、门边缝部位光亮、无痕迹、无灰尘。窗框、窗台无灰尘、无污渍，金属件表面光亮。旋转门空调出风口无灰尘、无污迹。门把手定期消毒，保持干净、无痕迹。</w:t>
      </w:r>
    </w:p>
    <w:p w14:paraId="166C1FC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2.1.6楼梯扶手、栏杆、指示牌保持干净，金属件表面光亮、无污迹、无絮状物。指示牌定期清洁，清晰无灰尘。</w:t>
      </w:r>
    </w:p>
    <w:p w14:paraId="2B89B04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2.1.7天花板、公共灯具、风口、百叶窗，定期清洁，无积尘、斑点、无蛛网、水迹。</w:t>
      </w:r>
    </w:p>
    <w:p w14:paraId="2667880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2.1.8室内排水管道、排水沟、窨井等管道沟渠，保持畅通，井道内无垃圾、无异味。</w:t>
      </w:r>
    </w:p>
    <w:p w14:paraId="3272F24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2.1.9做好清洁服务记录。</w:t>
      </w:r>
    </w:p>
    <w:p w14:paraId="089C37C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2.2电梯及自动扶梯</w:t>
      </w:r>
    </w:p>
    <w:p w14:paraId="6F1998C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2.2.1轿厢内顶面和内侧墙壁保持光亮、无污迹，天花板无灰尘、蛛网；不锈钢材质部位定期做钢油护理；石材饰面的部位定期做晶面护理。</w:t>
      </w:r>
    </w:p>
    <w:p w14:paraId="2C35F6D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2.2.2按钮、扶手上无灰尘、污迹手印；天花板、出风口、照明无积尘、污垢。</w:t>
      </w:r>
    </w:p>
    <w:p w14:paraId="7E94E1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2.2.3地面干净，定期对电梯内地毯吸尘清洗；保持地毯干净整洁，摆放规整。</w:t>
      </w:r>
    </w:p>
    <w:p w14:paraId="286274A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2.2.4每周清理轿厢内导轨积灰、污垢、砂土。</w:t>
      </w:r>
    </w:p>
    <w:p w14:paraId="7711DD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2.2.5做好电梯清洁服务记录。</w:t>
      </w:r>
    </w:p>
    <w:p w14:paraId="3333DA3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2.3消防楼梯及公共通道</w:t>
      </w:r>
    </w:p>
    <w:p w14:paraId="3F24B2B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2.3.1定期清扫台阶及边角，确保地面、阶梯（包括侧面）无垃圾、污迹、灰尘、水迹。</w:t>
      </w:r>
    </w:p>
    <w:p w14:paraId="4845E3E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2.3.2楼梯扶手无灰尘，扶手边隔断玻璃无手印、污迹，公共通道踢脚线干净无灰尘。</w:t>
      </w:r>
    </w:p>
    <w:p w14:paraId="45497AA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2.3.3做好消防楼梯及公共通道清洁服务记录。</w:t>
      </w:r>
    </w:p>
    <w:p w14:paraId="21DF219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2.4地下车库</w:t>
      </w:r>
    </w:p>
    <w:p w14:paraId="3838F2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保持地面无垃圾、无污垢（油渍）、无积水、无障碍物，空气畅通，灯泡、灯管、指示灯明亮、无积尘。定位杆、减速条完好明晰、无污垢、垃圾，反光镜干净明亮、无水迹、无污迹，消防通道无灰尘、无污渍、杂物；消防设施和停车栏杆灯具上无灰尘，消防箱外灭火器机箱、消火栓箱、警铃按钮外观红色鲜艳、表面无灰尘。</w:t>
      </w:r>
    </w:p>
    <w:p w14:paraId="7CB7512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2.4.2地下室车库集水坑和排水沟畅通，盖板定期冲刷，保持清洁。</w:t>
      </w:r>
    </w:p>
    <w:p w14:paraId="5E4C26B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2.4.3做好地下车库清洁服务记录。</w:t>
      </w:r>
    </w:p>
    <w:p w14:paraId="40DED88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2.5外围</w:t>
      </w:r>
    </w:p>
    <w:p w14:paraId="6FDA574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2.5.1打扫、清洗地面的垃圾污迹等，确保室外地面干净、畅通，无堆放杂物、无积尘、无油渍、轮胎印；雨天无严重积水，冬天主干道上无积雪、积冰，废弃物及时清除。</w:t>
      </w:r>
    </w:p>
    <w:p w14:paraId="3912C97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2.5.2做好外围清洁服务记录。</w:t>
      </w:r>
    </w:p>
    <w:p w14:paraId="7AD848D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2.6大理石墙（地）面</w:t>
      </w:r>
    </w:p>
    <w:p w14:paraId="54D9E95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2.6.1每月一次刷洗墙面和缝隙，确保墙面无污迹、无水迹；不用酸性清洁剂进行清洗。</w:t>
      </w:r>
    </w:p>
    <w:p w14:paraId="3BB737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2.6.2每周一次清抹地面，确保无水迹。</w:t>
      </w:r>
    </w:p>
    <w:p w14:paraId="37E8411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2.6.3做好大理石墙（地）面清洁服务记录。</w:t>
      </w:r>
    </w:p>
    <w:p w14:paraId="2E5EA2D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2.7垃圾房</w:t>
      </w:r>
    </w:p>
    <w:p w14:paraId="6CA9F97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2.7.1垃圾房实行每日清扫，垃圾分类标识清晰，按照垃圾分类工作要求做好垃圾分类工作。</w:t>
      </w:r>
    </w:p>
    <w:p w14:paraId="0B0B69F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2.7.2垃圾房周围及垃圾房地面无散落垃圾、无污秽物；排水沟无淤泥及污垢。</w:t>
      </w:r>
    </w:p>
    <w:p w14:paraId="23FAC43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2.7.3定期消杀灭害，喷洒药水，防止害虫、细菌滋生。</w:t>
      </w:r>
    </w:p>
    <w:p w14:paraId="6F665A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2.7.4垃圾收集箱内外表面干净、无残留物、无异味、定时消毒。</w:t>
      </w:r>
    </w:p>
    <w:p w14:paraId="6122CEE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2.7.5地漏口无杂物、堵塞。</w:t>
      </w:r>
    </w:p>
    <w:p w14:paraId="1AE407C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2.7.6垃圾房内垃圾不过夜。</w:t>
      </w:r>
    </w:p>
    <w:p w14:paraId="6A21CB8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2.7.7做好垃圾房清洁服务记录。</w:t>
      </w:r>
    </w:p>
    <w:p w14:paraId="56A74B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2.8屋面平台</w:t>
      </w:r>
    </w:p>
    <w:p w14:paraId="7F456A7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2.8.1平台地面无漂浮垃圾、砖块、木板、金属块等。</w:t>
      </w:r>
    </w:p>
    <w:p w14:paraId="58D6F8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2.8.2排水沟无垃圾，排水沟口畅通，发现堵塞及时清理。</w:t>
      </w:r>
    </w:p>
    <w:p w14:paraId="68AD39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2.8.3平台无明显破损、脱落。</w:t>
      </w:r>
    </w:p>
    <w:p w14:paraId="1D3A346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2.8.4做好平台清洁服务记录。</w:t>
      </w:r>
    </w:p>
    <w:p w14:paraId="08FE8F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2.9卫生间</w:t>
      </w:r>
    </w:p>
    <w:p w14:paraId="1CA4A8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2.9.1地面无垃圾、无污渍、无积水、定时消毒；地漏畅通无阻。</w:t>
      </w:r>
    </w:p>
    <w:p w14:paraId="53CD3B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2.9.2喷洒消毒清洁剂清洗坐便、便池，保持其干净、无污垢、无异味、畅通，如发现堵塞及时报修。</w:t>
      </w:r>
    </w:p>
    <w:p w14:paraId="5C9EFB6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2.9.3清洁墙面、隔断板，保持无污迹。</w:t>
      </w:r>
    </w:p>
    <w:p w14:paraId="6AE5E85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2.9.4洗手池无水锈、无皂迹、无毛发，对台面和洗手池进行消毒。</w:t>
      </w:r>
    </w:p>
    <w:p w14:paraId="09C74A1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2.9.5保持洁具、镜面表面光洁明亮、无毛发异物、无擦痕、定时消毒。</w:t>
      </w:r>
    </w:p>
    <w:p w14:paraId="427F0DE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2.9.6厕纸容器及时清倒，内部无满溢、无异味，外表无污迹。</w:t>
      </w:r>
    </w:p>
    <w:p w14:paraId="6F63706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2.9.7保持水龙头及其他配件、外露管道、洗手液盒、擦手纸盒、干手机等表面干净、无水迹、无污渍；洗手液、手纸及时添加。</w:t>
      </w:r>
    </w:p>
    <w:p w14:paraId="5BF03CE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2.9.8空气清新无异味，窗玻璃清洁无积尘。</w:t>
      </w:r>
    </w:p>
    <w:p w14:paraId="778D5B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2.9.9做好卫生间清洁服务记录。</w:t>
      </w:r>
    </w:p>
    <w:p w14:paraId="2D2864C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2.10茶水间</w:t>
      </w:r>
    </w:p>
    <w:p w14:paraId="27C69D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2.10.1台面保持干燥无水迹水垢、无污迹；水槽无斑点、杂物、水垢。</w:t>
      </w:r>
    </w:p>
    <w:p w14:paraId="7D2DBAB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2.10.2冷热水龙头表面光亮、无污迹；水龙头纱布定期更换。</w:t>
      </w:r>
    </w:p>
    <w:p w14:paraId="3E2EFF0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2.10.3不锈钢水箱、烧水器表面无灰尘、无污垢；定期清洗不锈钢开水箱，除去水箱内壁水垢。</w:t>
      </w:r>
    </w:p>
    <w:p w14:paraId="5FA7FF0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2.10.4按规范操作煤气烧水器、电烧水器，确保工作时间内开水供应。</w:t>
      </w:r>
    </w:p>
    <w:p w14:paraId="58F0204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2.10.5做好茶水间清洁服务记录。</w:t>
      </w:r>
    </w:p>
    <w:p w14:paraId="3E61D42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2.11教学、科研、办公用房</w:t>
      </w:r>
    </w:p>
    <w:p w14:paraId="081E13D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2.11.1按合同约定内容，定期对教学、科研、办公用房提供保洁服务。</w:t>
      </w:r>
    </w:p>
    <w:p w14:paraId="714D8F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2.11.2保洁服务应不影响正常教学、科研、办公活动及课间休息。</w:t>
      </w:r>
    </w:p>
    <w:p w14:paraId="6D60AE6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2.11.3做好清洁服务记录。</w:t>
      </w:r>
    </w:p>
    <w:p w14:paraId="2F079BE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2.12宿舍楼</w:t>
      </w:r>
    </w:p>
    <w:p w14:paraId="4DBD430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2.12.1</w:t>
      </w:r>
      <w:r>
        <w:rPr>
          <w:rFonts w:ascii="仿宋_GB2312" w:hAnsi="仿宋_GB2312" w:eastAsia="仿宋_GB2312" w:cs="仿宋_GB2312"/>
          <w:sz w:val="24"/>
          <w:szCs w:val="24"/>
          <w:lang w:eastAsia="zh-CN"/>
        </w:rPr>
        <w:t>定时保洁，保持楼梯、走道、活动室等公共部位清洁卫生，垃圾日产日清。</w:t>
      </w:r>
      <w:r>
        <w:rPr>
          <w:rFonts w:hint="eastAsia" w:ascii="仿宋_GB2312" w:hAnsi="仿宋_GB2312" w:eastAsia="仿宋_GB2312" w:cs="仿宋_GB2312"/>
          <w:sz w:val="24"/>
          <w:szCs w:val="24"/>
          <w:lang w:eastAsia="zh-CN"/>
        </w:rPr>
        <w:t>2.12.2</w:t>
      </w:r>
      <w:r>
        <w:rPr>
          <w:rFonts w:ascii="仿宋_GB2312" w:hAnsi="仿宋_GB2312" w:eastAsia="仿宋_GB2312" w:cs="仿宋_GB2312"/>
          <w:sz w:val="24"/>
          <w:szCs w:val="24"/>
          <w:lang w:eastAsia="zh-CN"/>
        </w:rPr>
        <w:t>保持公共部位的墙面、门、窗台无污迹、无积</w:t>
      </w:r>
      <w:r>
        <w:rPr>
          <w:rFonts w:hint="eastAsia" w:ascii="仿宋_GB2312" w:hAnsi="仿宋_GB2312" w:eastAsia="仿宋_GB2312" w:cs="仿宋_GB2312"/>
          <w:sz w:val="24"/>
          <w:szCs w:val="24"/>
          <w:lang w:eastAsia="zh-CN"/>
        </w:rPr>
        <w:t>尘</w:t>
      </w:r>
      <w:r>
        <w:rPr>
          <w:rFonts w:ascii="仿宋_GB2312" w:hAnsi="仿宋_GB2312" w:eastAsia="仿宋_GB2312" w:cs="仿宋_GB2312"/>
          <w:sz w:val="24"/>
          <w:szCs w:val="24"/>
          <w:lang w:eastAsia="zh-CN"/>
        </w:rPr>
        <w:t>，门、窗玻璃明亮。</w:t>
      </w:r>
    </w:p>
    <w:p w14:paraId="67FE594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2.12.3</w:t>
      </w:r>
      <w:r>
        <w:rPr>
          <w:rFonts w:ascii="仿宋_GB2312" w:hAnsi="仿宋_GB2312" w:eastAsia="仿宋_GB2312" w:cs="仿宋_GB2312"/>
          <w:sz w:val="24"/>
          <w:szCs w:val="24"/>
          <w:lang w:eastAsia="zh-CN"/>
        </w:rPr>
        <w:t xml:space="preserve">公共卫生间、盥洗室及时保洁，保持无异味、无积水、无污垢、无卫生死角。 </w:t>
      </w:r>
    </w:p>
    <w:p w14:paraId="21EF9C3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2.12.4做好清洁服务记录。</w:t>
      </w:r>
    </w:p>
    <w:p w14:paraId="49E1201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2.13自助洗衣房</w:t>
      </w:r>
    </w:p>
    <w:p w14:paraId="28687C7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2.13.1定期进行环境保洁，保持地面清洁、无积尘。</w:t>
      </w:r>
    </w:p>
    <w:p w14:paraId="0F2C47B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2.13.2定期擦拭洗衣设备，保持设备清洁。</w:t>
      </w:r>
    </w:p>
    <w:p w14:paraId="099572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2.13.3做好清洁服务记录。</w:t>
      </w:r>
    </w:p>
    <w:p w14:paraId="35467CA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2.14绿地、花台、水池</w:t>
      </w:r>
    </w:p>
    <w:p w14:paraId="011B9D9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2.14.1绿地、花台、隔离带周围无杂物垃圾，无积水；绿化带、花坛、盆栽植物无枯叶、烟蒂、杂物。</w:t>
      </w:r>
    </w:p>
    <w:p w14:paraId="5EA8ECE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2.14.2水池内无漂浮物、无杂物、无青苔、水质干净无异味。</w:t>
      </w:r>
    </w:p>
    <w:p w14:paraId="59D0CA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2.14.3做好绿地、花台、水池清洁服务记录。</w:t>
      </w:r>
    </w:p>
    <w:p w14:paraId="374F9A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五.绿化养护服务</w:t>
      </w:r>
    </w:p>
    <w:p w14:paraId="51E111E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3656316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物业服务企业应对物业服务区域内草坪、花卉、乔木、灌木等进行修剪、除草、施肥、排灌、有害生物防治；对楼内租摆布置并巡视。</w:t>
      </w:r>
    </w:p>
    <w:p w14:paraId="1E3DE09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39E5B68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2.1草坪养护</w:t>
      </w:r>
    </w:p>
    <w:p w14:paraId="3A43D8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2.1.1景观</w:t>
      </w:r>
    </w:p>
    <w:p w14:paraId="7F25AD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草坪草种纯、色泽均匀。草坪面貌平坦整洁、生长茂盛，无枯黄叶，无斑秃。</w:t>
      </w:r>
    </w:p>
    <w:p w14:paraId="7155343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2.1.2排灌</w:t>
      </w:r>
    </w:p>
    <w:p w14:paraId="503A541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有管道排水的草坪随时检修，保持管网畅通。遇暴雨或久雨积水及时开沟排水,确保植株不出现萎蔫现象。根据气候、土质、草坪生长、草种等情况适量浇水，新铺设草坪及时充分浇水，草坪生长阶段、冬夏季久旱无雨、夏季炎热土壤干燥时及时浇水。浇水湿透根系层。</w:t>
      </w:r>
    </w:p>
    <w:p w14:paraId="666175B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2.1.3施肥</w:t>
      </w:r>
    </w:p>
    <w:p w14:paraId="0CE6B6C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根据土壤肥力或草坪生长情况施肥，草坪越冬期宜施有机肥料，平时宜薄肥勤。</w:t>
      </w:r>
    </w:p>
    <w:p w14:paraId="78F0C9E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2.1.4修剪</w:t>
      </w:r>
    </w:p>
    <w:p w14:paraId="5E57981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修剪后草坪整体效果平整，无明显起伏和漏剪，剪口无焦口、撕裂现象，无残留草屑。</w:t>
      </w:r>
    </w:p>
    <w:p w14:paraId="452C56B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2.1.5除草</w:t>
      </w:r>
    </w:p>
    <w:p w14:paraId="648D52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草坪中的大型、恶性及缠绕行杂草及时清除，基本无有害生物危害症状；其他杂草及时清除，保证草坪基本无杂草。</w:t>
      </w:r>
    </w:p>
    <w:p w14:paraId="7DE8300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2.1.6清洁</w:t>
      </w:r>
    </w:p>
    <w:p w14:paraId="7932977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每天清扫草坪，草坪无裸露地，无大坑积水。</w:t>
      </w:r>
    </w:p>
    <w:p w14:paraId="6C369A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2.2花坛养护</w:t>
      </w:r>
    </w:p>
    <w:p w14:paraId="6825F5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2.2.1景观</w:t>
      </w:r>
    </w:p>
    <w:p w14:paraId="36FD2BE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花坛具有精美图案和色彩配置，株行距适宜，株高相等，无缺株无倒伏，无枯枝残花，确保重大节日花繁叶盛。</w:t>
      </w:r>
    </w:p>
    <w:p w14:paraId="5F4C1E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2.2.2排灌</w:t>
      </w:r>
    </w:p>
    <w:p w14:paraId="7BAB7DB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防止花坛积水，如有积水立即排除。花坛浇水视气候、土质、花卉习性和生长情况而定，保证花坛不出现泥面干裂、花株缺水萎蔫现象。</w:t>
      </w:r>
    </w:p>
    <w:p w14:paraId="2C2F26E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2.2.3施肥</w:t>
      </w:r>
    </w:p>
    <w:p w14:paraId="0403622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花坛施肥根据气候、土质、花卉习性和生长情况薄肥勤施。</w:t>
      </w:r>
    </w:p>
    <w:p w14:paraId="099165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2.2.4补植</w:t>
      </w:r>
    </w:p>
    <w:p w14:paraId="1D2BA11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出现大面积花卉枯萎及时补植，补植的花卉品种、规格相通并与周围植物相协调。</w:t>
      </w:r>
    </w:p>
    <w:p w14:paraId="2352251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2.2.5更换</w:t>
      </w:r>
    </w:p>
    <w:p w14:paraId="031CE05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花坛的模纹线条保持清晰，弧度流畅。换花的空置期内对花坛土壤翻晒或药物消毒，并施肥。</w:t>
      </w:r>
    </w:p>
    <w:p w14:paraId="56F8B6D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2.2.6有害生物防治</w:t>
      </w:r>
    </w:p>
    <w:p w14:paraId="56D91F9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花坛基本无有害生物症状，有效降低植株受害率，无杂草。</w:t>
      </w:r>
    </w:p>
    <w:p w14:paraId="35FDA84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2.2.7清洁</w:t>
      </w:r>
    </w:p>
    <w:p w14:paraId="243823B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每天巡查花坛，及时清除残花黄叶断枝和杂物，确保清洁无垃圾。</w:t>
      </w:r>
    </w:p>
    <w:p w14:paraId="6F6165C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2.3乔木、灌木养护</w:t>
      </w:r>
    </w:p>
    <w:p w14:paraId="6ED051A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2.3.1景观</w:t>
      </w:r>
    </w:p>
    <w:p w14:paraId="7D343CA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乔木生长旺盛，枝叶健壮，树形美观。灌木枝叶生长正常，色泽纯正。观花树木按时茂盛开花，观果树木正常结果，色叶树种季相变化明显。</w:t>
      </w:r>
    </w:p>
    <w:p w14:paraId="02F8263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2.3.2排灌</w:t>
      </w:r>
    </w:p>
    <w:p w14:paraId="0E8A772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乔木、灌木林地有完整的排水系统，排水畅通。浇水视气候、土质、树木习性和生长情况而定，做到适时、适量浇水，保证不出现缺水萎蔫现象。</w:t>
      </w:r>
    </w:p>
    <w:p w14:paraId="105A78C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2.3.3施肥</w:t>
      </w:r>
    </w:p>
    <w:p w14:paraId="73FF6CD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经土壤检测，确属缺肥适时针对性施肥，其中，冬、春季重点追施基肥。</w:t>
      </w:r>
    </w:p>
    <w:p w14:paraId="78598EF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2.3.4扶正</w:t>
      </w:r>
    </w:p>
    <w:p w14:paraId="44E50F8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乔木、灌木发生倒伏及时扶正、抢救。</w:t>
      </w:r>
    </w:p>
    <w:p w14:paraId="6288300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2.3.5有害生物防治</w:t>
      </w:r>
    </w:p>
    <w:p w14:paraId="6C3A285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乔木、灌木基本无有害生物危害症状，无影响景观面貌的杂草。</w:t>
      </w:r>
    </w:p>
    <w:p w14:paraId="613688A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2.3.6清洁</w:t>
      </w:r>
    </w:p>
    <w:p w14:paraId="3B758EC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每天清扫乔木、灌木林地。</w:t>
      </w:r>
    </w:p>
    <w:p w14:paraId="4795B19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2.4容器内绿植养护</w:t>
      </w:r>
    </w:p>
    <w:p w14:paraId="5860F05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2.4.1景观</w:t>
      </w:r>
    </w:p>
    <w:p w14:paraId="493DA2D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布置协调美观，株形美观，叶片光泽，花朵鲜艳，无枯枝、枯叶、残花。容器完整、清洁、美观，容器与托盆的外形、规格及色彩配套，并与植株相协调。</w:t>
      </w:r>
    </w:p>
    <w:p w14:paraId="21EE2FD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2.4.2排灌</w:t>
      </w:r>
    </w:p>
    <w:p w14:paraId="583CBFB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排水畅通无积水。根据植物不同习性及所处不同环境和季节，适时酌情浇水，确保容器绿植不出现缺水萎蔫现象。水培植物适时补水或换水，确保水无异味。</w:t>
      </w:r>
    </w:p>
    <w:p w14:paraId="2280732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2.4.3修剪</w:t>
      </w:r>
    </w:p>
    <w:p w14:paraId="582B1B7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及时修剪枯枝、黄叶，摘除残花。</w:t>
      </w:r>
    </w:p>
    <w:p w14:paraId="1BF02B2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2.4.4清洁</w:t>
      </w:r>
    </w:p>
    <w:p w14:paraId="71E0D11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保持叶面清洁。室内绿植，手套擦摸叶面后无明显污垢；大堂及室外绿植，叶面确保目视无明显灰尘。保持盆面和容器外壁清洁，托盆内无积水和污迹。</w:t>
      </w:r>
    </w:p>
    <w:p w14:paraId="4AD9A81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2.4.5施肥</w:t>
      </w:r>
    </w:p>
    <w:p w14:paraId="11F3399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选用无毒、无害、无味的园艺肥料，并按不同地点的湿度、光线、植物品种决定施肥用量，施肥不得污染环境。</w:t>
      </w:r>
    </w:p>
    <w:p w14:paraId="306A86A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2.4.6有害生物防治</w:t>
      </w:r>
    </w:p>
    <w:p w14:paraId="4FDC2E5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基本无有害生物危害症状。有效降低植株、枝叶受害率。</w:t>
      </w:r>
    </w:p>
    <w:p w14:paraId="11EE5A6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2.4.7更换</w:t>
      </w:r>
    </w:p>
    <w:p w14:paraId="14A4ECB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综合植物长势及机关要求，遵循植物生长规律，对容器绿植进行调整。</w:t>
      </w:r>
    </w:p>
    <w:p w14:paraId="62344F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2.5绿化租摆</w:t>
      </w:r>
    </w:p>
    <w:p w14:paraId="1DF88B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2.5.1公共区域绿化租放根据摆放地点环境情况（光照、温度、湿度）选择适宜生长的植物，植物品种、大小、叶子色彩要与各部位环境相协调，能最大限度发挥出植物观赏效果。</w:t>
      </w:r>
    </w:p>
    <w:p w14:paraId="14EAC6D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2.5.2定期巡视，对有病虫害、枝叶枯萎、盆土异味的植物及时更换。</w:t>
      </w:r>
    </w:p>
    <w:p w14:paraId="78F32D9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2.6制定养护计划，对相关工作进行记录。</w:t>
      </w:r>
    </w:p>
    <w:p w14:paraId="053B35F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六.接待和会议服务</w:t>
      </w:r>
    </w:p>
    <w:p w14:paraId="138E61C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4F1BE54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接待来电来访、保修、投诉、回访工作，做好记录，及时为服务对象提供服务；接受会议预订，记录会议需求，会前准备、引导服务、会中服务、会后工作；小型会议、大型会议、会议服务耗材、涉密会议服务。</w:t>
      </w:r>
    </w:p>
    <w:p w14:paraId="6AAA3DB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2.服务标准</w:t>
      </w:r>
      <w:r>
        <w:rPr>
          <w:rFonts w:hint="eastAsia" w:ascii="仿宋_GB2312" w:hAnsi="仿宋_GB2312" w:eastAsia="仿宋_GB2312" w:cs="仿宋_GB2312"/>
          <w:sz w:val="24"/>
          <w:szCs w:val="24"/>
          <w:highlight w:val="none"/>
          <w:lang w:val="en-US" w:eastAsia="zh-CN"/>
        </w:rPr>
        <w:t>及要求</w:t>
      </w:r>
    </w:p>
    <w:p w14:paraId="63B3094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2.1接待服务</w:t>
      </w:r>
    </w:p>
    <w:p w14:paraId="02D304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2.1.1客户服务人员应做到态度和蔼、语言规范，及时为客户提供服务。</w:t>
      </w:r>
    </w:p>
    <w:p w14:paraId="3FE07DF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2.1.2及时、认真做好各项工作记录，要求字迹清晰、内容完整。</w:t>
      </w:r>
    </w:p>
    <w:p w14:paraId="2E4CB99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2.2来电来访</w:t>
      </w:r>
    </w:p>
    <w:p w14:paraId="701CF6E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2.2.1应在电话铃响三次前接听，声音清晰悦耳，语速适当，做好来电记录。</w:t>
      </w:r>
    </w:p>
    <w:p w14:paraId="6C6518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2.2.2迎接客户来访时，应立即起立，面带微笑，礼貌询问，详细解答。</w:t>
      </w:r>
    </w:p>
    <w:p w14:paraId="3ED3D10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2.3报修接待</w:t>
      </w:r>
    </w:p>
    <w:p w14:paraId="295533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2.3.1及时受理公共设备设施损坏报修，填写报修单，分派相关维修部门。</w:t>
      </w:r>
    </w:p>
    <w:p w14:paraId="2E3193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2.4回访</w:t>
      </w:r>
    </w:p>
    <w:p w14:paraId="6DEBB6F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2.4.1对服务对象来电投诉、报修事宜完成后及时回访，回访率100%。</w:t>
      </w:r>
    </w:p>
    <w:p w14:paraId="1505888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2.4.2征询意见、满意度，做好记录。</w:t>
      </w:r>
    </w:p>
    <w:p w14:paraId="4F53BD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会议服务</w:t>
      </w:r>
    </w:p>
    <w:p w14:paraId="3ACABA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.1小型会议会前准备</w:t>
      </w:r>
    </w:p>
    <w:p w14:paraId="50F82EB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.1.1会前调试灯光音响设备，保证正常使用。</w:t>
      </w:r>
    </w:p>
    <w:p w14:paraId="4C6F74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.1.2检查室内卫生，打开门窗通风，按规范要求做好会议摆台。</w:t>
      </w:r>
    </w:p>
    <w:p w14:paraId="2C00618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.1.3会前启动空调设备。</w:t>
      </w:r>
    </w:p>
    <w:p w14:paraId="76E5E71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.1.4服务人员就位，迎候与会人员，引导落座，协助安放随身物品。</w:t>
      </w:r>
    </w:p>
    <w:p w14:paraId="71013C8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.1.5会前摆放湿巾、备好茶水。</w:t>
      </w:r>
    </w:p>
    <w:p w14:paraId="5E9B291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.1.6做好引导牌并放置在指定位置，引导人员引导手势规范，语言标准。</w:t>
      </w:r>
    </w:p>
    <w:p w14:paraId="4F805D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.2大型会议会前准备</w:t>
      </w:r>
    </w:p>
    <w:p w14:paraId="667BD04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.2.1按照要求布置会场，提前请采购人检查会场布置情况。</w:t>
      </w:r>
    </w:p>
    <w:p w14:paraId="657ACF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.2.2会前调试好灯光音响设备。</w:t>
      </w:r>
    </w:p>
    <w:p w14:paraId="69B84C8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.2.3检查室内卫生，打开门窗通风。</w:t>
      </w:r>
    </w:p>
    <w:p w14:paraId="4E218C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.2.4按规范要求做好会议摆台。</w:t>
      </w:r>
    </w:p>
    <w:p w14:paraId="10D7621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.2.5会前启动空调设备。</w:t>
      </w:r>
    </w:p>
    <w:p w14:paraId="3476A8B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.2.6服务人员就位，迎候与会人员，引导落座，协助安放随身物品。</w:t>
      </w:r>
    </w:p>
    <w:p w14:paraId="10875DC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.2.7会前为主席台摆放湿巾、备好茶水。</w:t>
      </w:r>
    </w:p>
    <w:p w14:paraId="3D00AC1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.2.8做好引导牌并放置在指定位置，引导人员引导手势规范，语言标准。</w:t>
      </w:r>
    </w:p>
    <w:p w14:paraId="4421B92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.3会议期间按要求加水，及时续水。涉密会议无会中服务，须提前将热水准备好。</w:t>
      </w:r>
    </w:p>
    <w:p w14:paraId="1638AE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.4对会议现场进行检查，做好会场清扫工作。</w:t>
      </w:r>
    </w:p>
    <w:p w14:paraId="489C14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.4.1及时提醒、协助与会人员带好随身物品。</w:t>
      </w:r>
    </w:p>
    <w:p w14:paraId="12C4FF8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.4.2对遗留的文件和物品，及时交有关部门处理。</w:t>
      </w:r>
    </w:p>
    <w:p w14:paraId="2667B7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eastAsia="zh-CN"/>
        </w:rPr>
        <w:t>.4.3按分工清理会议用品,关闭空调音响设备及灯具，恢复原会场形式并做好消毒。</w:t>
      </w:r>
    </w:p>
    <w:p w14:paraId="1C53E6F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七.生活保障管理服务</w:t>
      </w:r>
    </w:p>
    <w:p w14:paraId="0FD33AB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140F34A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物业服务企业对服务区域内学生公寓、教师公寓、公共浴室、开水间等生活区域提供服务。</w:t>
      </w:r>
    </w:p>
    <w:p w14:paraId="2A0FAA6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1AF9170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2.1学生公寓管理 </w:t>
      </w:r>
    </w:p>
    <w:p w14:paraId="2E2E7C2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2.1.1保障公寓内设施设备运行正常，门、窗、床、桌椅等公共设施无损坏；公寓钥匙齐备、摆放整齐，钥匙标识信息准确。</w:t>
      </w:r>
    </w:p>
    <w:p w14:paraId="65A7EF8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2.1.2公寓出入口应安排值班人员24小时值班，为学生提供接待、报修、备用钥匙借用等服务，严格作息时间。</w:t>
      </w:r>
    </w:p>
    <w:p w14:paraId="5CD4C7B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2.1.3采取有效工作方式，做好宿舍进出管理，校外人员不得进入公寓，其他公寓楼学生及走读学生亦不得进入；对来访人员进行验证登记，晚归学生登记上报，禁止无证来访者及推销商品者进入公寓。</w:t>
      </w:r>
    </w:p>
    <w:p w14:paraId="0FEFCCF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2.1.4定期登记学生住宿情况，对晚归和夜不归宿学生逐一核实情况，及时与相关方沟通晚归及夜不归宿学生信息，按照学生手册及时处理。</w:t>
      </w:r>
    </w:p>
    <w:p w14:paraId="24867EC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2.1.5贵重物品、大件物品进出时应按学校规定进行核实登记。</w:t>
      </w:r>
    </w:p>
    <w:p w14:paraId="23CE4C8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2.1.6定期进行安全巡查，重点巡查楼宇设施、学生住宿及消防设施情况，制止违章用电、焚烧、乱贴乱划等行为。</w:t>
      </w:r>
    </w:p>
    <w:p w14:paraId="3702E0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2.1.7收集并定期核对住宿人员基本信息，清点寝室人员，检查并处理冒名顶替及外来留宿人员。</w:t>
      </w:r>
    </w:p>
    <w:p w14:paraId="4350808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2.1.8根据住宿相关规定，对学生文明安全住宿进行宣传教育，引导学生养成良好的生活与作息习惯。</w:t>
      </w:r>
    </w:p>
    <w:p w14:paraId="0EC948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2.1.9关注学生精神状态和身体状况，有针对性的提供重点关怀和帮助，每日巡视卫生状况、用电情况、用火情况、吸烟、酗酒、赌博、打架、欺凌、有无传看色情视频、同性性行为等违纪情况。</w:t>
      </w:r>
    </w:p>
    <w:p w14:paraId="2CF826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2.1.10在公寓设置休闲区，供学生会客、沟通和交流。</w:t>
      </w:r>
    </w:p>
    <w:p w14:paraId="30B27C2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2.1.11在公寓设置辅导员室，供入驻辅导员开展工作及住宿。</w:t>
      </w:r>
    </w:p>
    <w:p w14:paraId="7FC662F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2.1.12落实学校消防疏散演练要求，定期组织公寓楼学生消防疏散演练。</w:t>
      </w:r>
    </w:p>
    <w:p w14:paraId="667E6E3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2.1.13负责假期留校住宿学生的信息登记及相关管理服务。</w:t>
      </w:r>
    </w:p>
    <w:p w14:paraId="4210E92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2.2教师公寓管理</w:t>
      </w:r>
    </w:p>
    <w:p w14:paraId="05CC4E3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2.2.1保障公寓内设施设备运行正常，门窗等公共设施无损坏。</w:t>
      </w:r>
    </w:p>
    <w:p w14:paraId="098CA48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2.2.2公寓出入口应安排值班人员值班，提供接待、报修等服务。</w:t>
      </w:r>
    </w:p>
    <w:p w14:paraId="2645CD9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2.2.3对公寓出入口的人员、车辆和物品进行管理；定期进行安全巡查，重点巡查楼宇设施及消防设施情况，制止违章用电、焚烧、乱贴乱划等行为。</w:t>
      </w:r>
    </w:p>
    <w:p w14:paraId="27F53EC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2.2.4协助办理教师入住与退宿手续。</w:t>
      </w:r>
    </w:p>
    <w:p w14:paraId="7F810A4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2.2.5对退宿空房实施查验、设施设备维修、清洁，保持其正常使用、干净整洁。</w:t>
      </w:r>
    </w:p>
    <w:p w14:paraId="6E17790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2.3公共浴室管理</w:t>
      </w:r>
    </w:p>
    <w:p w14:paraId="426D91E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2.3.1按学校规定时间开放。</w:t>
      </w:r>
    </w:p>
    <w:p w14:paraId="6384DC2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2.3.2保持水温恒定，符合规定要求。</w:t>
      </w:r>
    </w:p>
    <w:p w14:paraId="08A7610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2.3.3开放前、关闭后应对公共浴室地面、墙面等部位进行清洁和消毒，保持更衣橱柜、公共卫生间等干净整洁。</w:t>
      </w:r>
    </w:p>
    <w:p w14:paraId="4DDE27A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2.3.4定期对花洒、地漏等设施进行检查维修和养护，保持良好运行状态。</w:t>
      </w:r>
    </w:p>
    <w:p w14:paraId="5E00D02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2.4开水间管理</w:t>
      </w:r>
    </w:p>
    <w:p w14:paraId="41C096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2.4.1定期对地面、墙面、供水设备等进行清洁，保持干净整洁。</w:t>
      </w:r>
    </w:p>
    <w:p w14:paraId="21F7DC1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2.4.2保持水温恒定，符合规定要求。</w:t>
      </w:r>
    </w:p>
    <w:p w14:paraId="44C939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2.4.3设置防滑、小心烫伤等安全提示标识。</w:t>
      </w:r>
    </w:p>
    <w:p w14:paraId="00A8BDC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2.4.4维护取水秩序。</w:t>
      </w:r>
    </w:p>
    <w:p w14:paraId="106E421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2.5做好相关记录。</w:t>
      </w:r>
    </w:p>
    <w:p w14:paraId="6CD3283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八.教研管理服务</w:t>
      </w:r>
    </w:p>
    <w:p w14:paraId="6A85178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1499857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物业服务企业对服务区域内教学楼、图书馆、体育场管、实验室、劳动服务等提供服务。</w:t>
      </w:r>
    </w:p>
    <w:p w14:paraId="6B3EF3A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5678893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2.1教学楼服务</w:t>
      </w:r>
    </w:p>
    <w:p w14:paraId="052C601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2.1.1桌椅数量齐备、摆放整齐、干净整洁，教学用品定点摆放。</w:t>
      </w:r>
    </w:p>
    <w:p w14:paraId="5B0B80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2.1.2多媒体教学设备正常启用，运行良好，在醒目位置张贴相关操作说明。</w:t>
      </w:r>
    </w:p>
    <w:p w14:paraId="576EA63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2.1.3开放教室，关门前应清查滞留人员，关闭门窗及相关设施设备。</w:t>
      </w:r>
    </w:p>
    <w:p w14:paraId="51A3D89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2.1.4定期对教室内多媒体设施设备进行检查和维护保养。</w:t>
      </w:r>
    </w:p>
    <w:p w14:paraId="4CCDC7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2.1.5看护教室内的课桌椅、讲台、黑板、投影幕布、投影仪、电脑、标识牌等，防止被擅自搬出、私自拆卸和替换。楼内大件物品出入应问明原因，做好登记。</w:t>
      </w:r>
    </w:p>
    <w:p w14:paraId="2E2F9B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2.1.6配合教务部门进行临时课程教室调整以及教学设备出现突发情况后教室的临时调整等工作。</w:t>
      </w:r>
    </w:p>
    <w:p w14:paraId="710768D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2.2图书馆服务</w:t>
      </w:r>
    </w:p>
    <w:p w14:paraId="70E3285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2.2.1书库内温湿度符合图书馆要求。</w:t>
      </w:r>
    </w:p>
    <w:p w14:paraId="0907D6D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2.2.2按规定时间开馆、闭馆，闭馆前应清查滞留人员，关闭门窗及相关设施设备。</w:t>
      </w:r>
    </w:p>
    <w:p w14:paraId="7C54A2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2.2.3图书馆出入口应设专人值班，对人员和物品实施安全秩序管控，发现问题立即处理。</w:t>
      </w:r>
    </w:p>
    <w:p w14:paraId="09C6826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2.2.4定时对馆内进行巡查，确保设施设备保持完好，发现设备故障应及时报修。</w:t>
      </w:r>
    </w:p>
    <w:p w14:paraId="436EB0A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2.2.5维持图书馆秩序，对大声喧哗、打闹等行为进行劝阻。</w:t>
      </w:r>
    </w:p>
    <w:p w14:paraId="48348D9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2.2.6配合图书馆实施书籍防潮、防霉、防虫、防蛀工作。</w:t>
      </w:r>
    </w:p>
    <w:p w14:paraId="5E5FC38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2.2.7在合同约定前提下，提供图书报刊管理工作。</w:t>
      </w:r>
    </w:p>
    <w:p w14:paraId="2B8A22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2.3体育场馆（场地）服务</w:t>
      </w:r>
    </w:p>
    <w:p w14:paraId="79F3D73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2.3.1场馆（场地）内干净整洁无异味。</w:t>
      </w:r>
    </w:p>
    <w:p w14:paraId="4EC43CD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2.3.2对场馆（场地）配套设施实施检查维修和养护，保持良好运行状态，发现问题立即处理。</w:t>
      </w:r>
    </w:p>
    <w:p w14:paraId="6342200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2.3.3配合相关部门检查水电、燃气、消防、安保、供热、应急设施和疏散系统、急救系统配置是否合理。</w:t>
      </w:r>
    </w:p>
    <w:p w14:paraId="50F7124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2.3.4体育场馆（场地）的安全防护管理应符合标准要求。</w:t>
      </w:r>
    </w:p>
    <w:p w14:paraId="7FE8ABA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2.3.5游泳池服务应符合相关规定：游泳池水质卫生应符合规定；游泳场所卫生应符合规定；配备取得国家规定的执业资格证书人员。</w:t>
      </w:r>
    </w:p>
    <w:p w14:paraId="0D147EA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2.4实验室服务</w:t>
      </w:r>
    </w:p>
    <w:p w14:paraId="0BDB9C6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2.4.1保障实验室内供水、供电、排水等系统正常运行。</w:t>
      </w:r>
    </w:p>
    <w:p w14:paraId="162A15D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2.4.2保管实验室备用钥匙，在学校工作人员陪同下定期进行试开测试，确保有效。</w:t>
      </w:r>
    </w:p>
    <w:p w14:paraId="4DA8DB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2.5做好相关记录。</w:t>
      </w:r>
    </w:p>
    <w:p w14:paraId="7B52B18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九.特殊时段管理服务</w:t>
      </w:r>
    </w:p>
    <w:p w14:paraId="607F48D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720964C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物业服务企业在学校开学迎新活动，学生毕业离校期间，考试辅助、假期、校园施工等重大活动期间提供服务。</w:t>
      </w:r>
    </w:p>
    <w:p w14:paraId="29395EF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7B43FCD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2.1开学迎新服务</w:t>
      </w:r>
    </w:p>
    <w:p w14:paraId="3201CA5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2.1.1主动与学校沟通，根据新生入校计划，制定迎新方案及应急预案。</w:t>
      </w:r>
    </w:p>
    <w:p w14:paraId="4600D99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2.1.2按学校要求做好迎新物资准备及现场布置，做好服务咨询。</w:t>
      </w:r>
    </w:p>
    <w:p w14:paraId="6C5FB26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2.1.3建立学生住宿信息台账。</w:t>
      </w:r>
    </w:p>
    <w:p w14:paraId="58509D2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2.2毕业离校服务</w:t>
      </w:r>
    </w:p>
    <w:p w14:paraId="1C87814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2.2.1按学校要求统计毕业生相关信息，按规定办理毕业生退宿手续。</w:t>
      </w:r>
    </w:p>
    <w:p w14:paraId="674CBEE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2.2.2对毕业生退宿空房实施查验、设施设备维修、清洁，保持其正常使用、干净整洁。</w:t>
      </w:r>
    </w:p>
    <w:p w14:paraId="35F4EB2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2.3考试辅助服务</w:t>
      </w:r>
    </w:p>
    <w:p w14:paraId="5D38011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2.3.1根据学校安排做好考场前期准备工作，按规定调整摆放教室课桌椅，检查并调试好灯光、空调、打铃器等设备设施。</w:t>
      </w:r>
    </w:p>
    <w:p w14:paraId="050D170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2.3.2大型考试宜设立考点、卫生间等的指引标识。</w:t>
      </w:r>
    </w:p>
    <w:p w14:paraId="2FF48DD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2.3.3做好考场秩序维护，配合考场周边警戒，防止喧哗、干扰、闹事等情形发生。</w:t>
      </w:r>
    </w:p>
    <w:p w14:paraId="1B30CF0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2.3.4考试结束后，按学校安排恢复课桌椅复位摆放，打扫考场卫生，关闭空调等设备。</w:t>
      </w:r>
    </w:p>
    <w:p w14:paraId="5BD9F9E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2.4假期服务</w:t>
      </w:r>
    </w:p>
    <w:p w14:paraId="26540D2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2.4.1按要求确定是否需要封楼管理，封楼前应进行安全检查，关闭门窗及相关设施设备，公示封楼时间及紧急进入的联系方式。</w:t>
      </w:r>
    </w:p>
    <w:p w14:paraId="700ED96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2.4.2协助相关部门开展假期留校学生的安全宣传教育工作。</w:t>
      </w:r>
    </w:p>
    <w:p w14:paraId="6EEE92C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2.4.3定期巡查公共教室、离校学生公寓及集中留宿的学生公寓，发现隐患及时处理。</w:t>
      </w:r>
    </w:p>
    <w:p w14:paraId="51D108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2.4.4对公共设施设备、教学设备设施、学生公寓内设施等进行检修维护，保持其正常使用功能。</w:t>
      </w:r>
    </w:p>
    <w:p w14:paraId="22B5259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2.4.5组织开展假期卫生大扫除，进行全面保洁，保持楼宇内外环境整洁.</w:t>
      </w:r>
    </w:p>
    <w:p w14:paraId="2258FB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2.5施工管理</w:t>
      </w:r>
    </w:p>
    <w:p w14:paraId="1345E50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2.5.1对施工单位实行登记、备案管理，施工人员进入服务区域施工应进行登记、验证。</w:t>
      </w:r>
    </w:p>
    <w:p w14:paraId="1D48190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2.5.2对施工现场安全防护、作业噪音、施工时段、施工材料堆放、建筑垃圾清运等进行监督管理。</w:t>
      </w:r>
    </w:p>
    <w:p w14:paraId="1123FF1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2.5.3对施工现场动火作业、用电规范实行有效监督或管控。</w:t>
      </w:r>
    </w:p>
    <w:p w14:paraId="239F89B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2.6做好相关记录。</w:t>
      </w:r>
    </w:p>
    <w:p w14:paraId="7F66994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十.接送学生管理服务</w:t>
      </w:r>
    </w:p>
    <w:p w14:paraId="164694D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49BDB66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物业服务企业协助维护接送孩子时间段内出入口秩序。</w:t>
      </w:r>
    </w:p>
    <w:p w14:paraId="0486134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0FFDE37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2.1引导家长接送学生到大门口，家长不得进入校园。</w:t>
      </w:r>
    </w:p>
    <w:p w14:paraId="4332A9D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2.2做好接送时段车辆疏导工作，确保大门口及道路上的交通畅通。</w:t>
      </w:r>
    </w:p>
    <w:p w14:paraId="72C372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2.3学生出校门时，维护家长接送秩序，防止拥挤。</w:t>
      </w:r>
    </w:p>
    <w:p w14:paraId="4EFBC47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2.4引导学生在指定地点等候家长接送。</w:t>
      </w:r>
    </w:p>
    <w:p w14:paraId="173AC29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十一.承(交)接查验</w:t>
      </w:r>
    </w:p>
    <w:p w14:paraId="3E7809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46D94CE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物业服务企业正式接管服务区域时，应对承（交）接服务项目的房屋建筑、设备设施、绿化、场地及配套进行查验，承（交）接查验结果应由交接双方签署记录文件，长期保存备查。</w:t>
      </w:r>
    </w:p>
    <w:p w14:paraId="1FD5205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3E15D7A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2.1承（交）接查验前准备</w:t>
      </w:r>
    </w:p>
    <w:p w14:paraId="693783A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2.1.1确定查验事项、进度、标准，编制查验计划。</w:t>
      </w:r>
    </w:p>
    <w:p w14:paraId="7E151E3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2.1.2准备查验工具、仪器。</w:t>
      </w:r>
    </w:p>
    <w:p w14:paraId="63BFA48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2.1.3进行查验安全事项交底。</w:t>
      </w:r>
    </w:p>
    <w:p w14:paraId="447FF69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2.1.4明确工作分工、查验方法。</w:t>
      </w:r>
    </w:p>
    <w:p w14:paraId="21639FF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2.2承（交）接查验</w:t>
      </w:r>
    </w:p>
    <w:p w14:paraId="0136A9D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2.2.1新建项目</w:t>
      </w:r>
    </w:p>
    <w:p w14:paraId="2DA2FAE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2.2.1.1物业资料交接查验并记录。</w:t>
      </w:r>
    </w:p>
    <w:p w14:paraId="5A52557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2.2.1.2房屋建筑结构、装饰装修交接并记录。</w:t>
      </w:r>
    </w:p>
    <w:p w14:paraId="77ED10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2.2.1.3物业共用部位和共用设备设施现场查验并记录。</w:t>
      </w:r>
    </w:p>
    <w:p w14:paraId="3289541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2.2.1.4物业绿化现场交接并记录。</w:t>
      </w:r>
    </w:p>
    <w:p w14:paraId="1B70428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2.2.1.5机房、共用区域钥匙交接并记录。</w:t>
      </w:r>
    </w:p>
    <w:p w14:paraId="1E30293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2.2.1.6查验情况总结及整改。</w:t>
      </w:r>
    </w:p>
    <w:p w14:paraId="6356F28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2.2.2已建项目</w:t>
      </w:r>
    </w:p>
    <w:p w14:paraId="046F8EC3">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2.2.2.1客户资料交接并记录。</w:t>
      </w:r>
    </w:p>
    <w:p w14:paraId="76A1E84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2.2.2.2工程资料交接并记录。</w:t>
      </w:r>
    </w:p>
    <w:p w14:paraId="73AFE27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2.2.2.3房屋建筑结构、装饰装修交接并记录。</w:t>
      </w:r>
    </w:p>
    <w:p w14:paraId="3067BCA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2.2.2.4物业共用部位和共用设备设施现场查验并记录。</w:t>
      </w:r>
    </w:p>
    <w:p w14:paraId="318C2E8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2.2.2.5物业绿化现场交接并记录。</w:t>
      </w:r>
    </w:p>
    <w:p w14:paraId="265CF3D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2.2.2.6机房、共用区域钥匙交接并记录。</w:t>
      </w:r>
    </w:p>
    <w:p w14:paraId="0D7E3E5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2.2.2.7查验情况总结。</w:t>
      </w:r>
    </w:p>
    <w:p w14:paraId="4D0B093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十二.绿色物业管理服务</w:t>
      </w:r>
    </w:p>
    <w:p w14:paraId="1302DAE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456E28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物业服务企业积极采用环保理念和方法，以实现物业环境的可持续发展，减少对环境的负面影响，提高物业管理的效率和品质，在维护物业设施的同时，促进资源的节约和环境的保护。</w:t>
      </w:r>
    </w:p>
    <w:p w14:paraId="3FCD4AE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6B3B254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2.1节能减排</w:t>
      </w:r>
    </w:p>
    <w:p w14:paraId="0899882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2.1.1制度建设</w:t>
      </w:r>
    </w:p>
    <w:p w14:paraId="3F95080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2.1.1.1建立绿色物业管理规章制度。</w:t>
      </w:r>
    </w:p>
    <w:p w14:paraId="562C137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2.1.1.2能源管理岗位责任制。</w:t>
      </w:r>
    </w:p>
    <w:p w14:paraId="22C8074C">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2.1.1.3建立能源消费计量统计制度。</w:t>
      </w:r>
    </w:p>
    <w:p w14:paraId="3B864C3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2.1.1.4建立物业服务节能目标管理体系、节能采购办法。</w:t>
      </w:r>
    </w:p>
    <w:p w14:paraId="1D4B105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2.1.1.5针对物业服务区域用能情况，制定相应补充制度措施。</w:t>
      </w:r>
    </w:p>
    <w:p w14:paraId="130E916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2.2节能措施</w:t>
      </w:r>
    </w:p>
    <w:p w14:paraId="2E8C46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2.2.1对重点用能设施、设备和系统采用先进技术降低能耗。</w:t>
      </w:r>
    </w:p>
    <w:p w14:paraId="61E404D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2.2.2采用新能源技术，采用高效节能照明器具，控制外部反光照明和装饰用照明。</w:t>
      </w:r>
    </w:p>
    <w:p w14:paraId="716AA80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2.2.3用电设施、设备实施分区域管理，均衡用电负荷。</w:t>
      </w:r>
    </w:p>
    <w:p w14:paraId="707A9E1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2.2.4采用高效节水器具，节约用水，降低水资源消耗。</w:t>
      </w:r>
    </w:p>
    <w:p w14:paraId="1866A01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2.2.5减少用电设备待机时间，执行国家关于空调室内温度控制规定。</w:t>
      </w:r>
    </w:p>
    <w:p w14:paraId="7CE4728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2.3节能台账</w:t>
      </w:r>
    </w:p>
    <w:p w14:paraId="1CD767E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2.3.1建立物业所涉及水、电、气、油等能耗的节能台账，台账数据准确完整。</w:t>
      </w:r>
    </w:p>
    <w:p w14:paraId="471C5A1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2.3.2指定专人记帐、定期进行能耗检测、计量、统计、分析等，并按照要求上报相关数据信息。</w:t>
      </w:r>
    </w:p>
    <w:p w14:paraId="5B1152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十三.标准化建设服务</w:t>
      </w:r>
    </w:p>
    <w:p w14:paraId="165DA88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783ECD1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物业服务企业运用标准化的原理和方法，通过制定和实施服务标准，达到服务质量目标化，服务行为规范化，服务过程程序化，从而获得优质服务。</w:t>
      </w:r>
    </w:p>
    <w:p w14:paraId="5556765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24ECC445">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2.1规范化管理</w:t>
      </w:r>
    </w:p>
    <w:p w14:paraId="749A2E1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2.1.1规范各项服务流程。</w:t>
      </w:r>
    </w:p>
    <w:p w14:paraId="58744CB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2.1.1.1服务内容的标准化。</w:t>
      </w:r>
    </w:p>
    <w:p w14:paraId="0E84209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2.1.1.2服务质量的量化。</w:t>
      </w:r>
    </w:p>
    <w:p w14:paraId="48CB337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2.1.1.3服务流程的明确化。</w:t>
      </w:r>
    </w:p>
    <w:p w14:paraId="33D0044F">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2.2服务标准全面细致</w:t>
      </w:r>
    </w:p>
    <w:p w14:paraId="0C6D322D">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2.2.1共用设备设施维护服务标准细化、量化，明确考核标准。</w:t>
      </w:r>
    </w:p>
    <w:p w14:paraId="06C5CF6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2.2.2严格落实安全生产管理细节，杜绝安全隐患。</w:t>
      </w:r>
    </w:p>
    <w:p w14:paraId="247172A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2.2.3保洁服务注重频次监管，作业流程、落实细节。</w:t>
      </w:r>
    </w:p>
    <w:p w14:paraId="2EBCC986">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2.2.4绿化养护服务提高防范意识，规范作业流程，提高服务标准。</w:t>
      </w:r>
    </w:p>
    <w:p w14:paraId="623D6B6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2.2.5客户服务对接报修服务系统化管理，注重统计分析和应用。</w:t>
      </w:r>
    </w:p>
    <w:p w14:paraId="0DF5A61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2.3持续改进</w:t>
      </w:r>
    </w:p>
    <w:p w14:paraId="7D8C2D7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2.3.1定期对制度、标准、应急预案、措施进行论证评审。</w:t>
      </w:r>
    </w:p>
    <w:p w14:paraId="76AA3DA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2.3.2定期对日常服务质量监督考评。</w:t>
      </w:r>
    </w:p>
    <w:p w14:paraId="0BC25E7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2.3.3及时修正与物业服务区域管理服务不适应措施，服务更具针对性。</w:t>
      </w:r>
    </w:p>
    <w:p w14:paraId="0EA18758">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十四.针对院校类物业的特约服务</w:t>
      </w:r>
    </w:p>
    <w:p w14:paraId="136A9E2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1.服务内容</w:t>
      </w:r>
    </w:p>
    <w:p w14:paraId="3BEDFE2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物业服务企业根据服务对象的需求，开展力所能及的特约服务，如体育场馆（场地）对外服务、票务服务、洗衣服务、便利商店供应服务等。</w:t>
      </w:r>
    </w:p>
    <w:p w14:paraId="2639AF21">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2.服务标准</w:t>
      </w:r>
      <w:r>
        <w:rPr>
          <w:rFonts w:hint="eastAsia" w:ascii="仿宋_GB2312" w:hAnsi="仿宋_GB2312" w:eastAsia="仿宋_GB2312" w:cs="仿宋_GB2312"/>
          <w:sz w:val="24"/>
          <w:szCs w:val="24"/>
          <w:lang w:val="en-US" w:eastAsia="zh-CN"/>
        </w:rPr>
        <w:t>及要求</w:t>
      </w:r>
    </w:p>
    <w:p w14:paraId="4A94F8F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2.1不以盈利为目的，根据服务对象需求，力所能及提供服务。</w:t>
      </w:r>
    </w:p>
    <w:p w14:paraId="6FBBDAA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2.2服务人员需具备相关的服务技能和能力。</w:t>
      </w:r>
    </w:p>
    <w:p w14:paraId="73B7816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0"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2.3在不影响合同履约情况下，开展特约服务。</w:t>
      </w:r>
    </w:p>
    <w:p w14:paraId="3ADCCE0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lang w:eastAsia="zh-CN"/>
        </w:rPr>
        <w:t>十五.其它服务</w:t>
      </w:r>
    </w:p>
    <w:p w14:paraId="34DC164A">
      <w:pPr>
        <w:keepNext w:val="0"/>
        <w:keepLines w:val="0"/>
        <w:pageBreakBefore w:val="0"/>
        <w:widowControl w:val="0"/>
        <w:suppressAutoHyphens/>
        <w:kinsoku/>
        <w:wordWrap/>
        <w:overflowPunct/>
        <w:topLinePunct w:val="0"/>
        <w:autoSpaceDE/>
        <w:autoSpaceDN/>
        <w:bidi w:val="0"/>
        <w:adjustRightInd/>
        <w:snapToGrid/>
        <w:spacing w:line="400" w:lineRule="exact"/>
        <w:ind w:left="0" w:leftChars="0"/>
        <w:jc w:val="center"/>
        <w:textAlignment w:val="baseline"/>
        <w:outlineLvl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bookmarkStart w:id="222" w:name="_Toc27622"/>
      <w:bookmarkStart w:id="223" w:name="_Toc24733"/>
      <w:r>
        <w:rPr>
          <w:rFonts w:hint="eastAsia" w:ascii="仿宋_GB2312" w:hAnsi="仿宋_GB2312" w:eastAsia="仿宋_GB2312" w:cs="仿宋_GB2312"/>
          <w:b/>
          <w:bCs/>
          <w:color w:val="000000"/>
          <w:sz w:val="24"/>
          <w:szCs w:val="24"/>
          <w:lang w:val="en-US" w:eastAsia="zh-CN"/>
        </w:rPr>
        <w:t>其他</w:t>
      </w:r>
      <w:r>
        <w:rPr>
          <w:rFonts w:hint="eastAsia" w:ascii="仿宋_GB2312" w:hAnsi="仿宋_GB2312" w:eastAsia="仿宋_GB2312" w:cs="仿宋_GB2312"/>
          <w:b/>
          <w:bCs/>
          <w:color w:val="000000"/>
          <w:sz w:val="24"/>
          <w:szCs w:val="24"/>
        </w:rPr>
        <w:t>物业服务</w:t>
      </w:r>
      <w:bookmarkEnd w:id="222"/>
      <w:bookmarkEnd w:id="223"/>
    </w:p>
    <w:p w14:paraId="02C1B406">
      <w:pPr>
        <w:keepNext w:val="0"/>
        <w:keepLines w:val="0"/>
        <w:pageBreakBefore w:val="0"/>
        <w:widowControl w:val="0"/>
        <w:suppressAutoHyphens/>
        <w:kinsoku/>
        <w:wordWrap/>
        <w:overflowPunct/>
        <w:topLinePunct w:val="0"/>
        <w:autoSpaceDE/>
        <w:autoSpaceDN/>
        <w:bidi w:val="0"/>
        <w:adjustRightInd/>
        <w:snapToGrid/>
        <w:spacing w:line="400" w:lineRule="exact"/>
        <w:ind w:left="0" w:leftChars="0" w:firstLine="440" w:firstLineChars="200"/>
        <w:textAlignment w:val="baseline"/>
        <w:outlineLvl w:val="0"/>
        <w:rPr>
          <w:rFonts w:hint="eastAsia" w:ascii="仿宋_GB2312" w:hAnsi="仿宋_GB2312" w:eastAsia="仿宋_GB2312" w:cs="仿宋_GB2312"/>
          <w:color w:val="000000"/>
          <w:sz w:val="22"/>
          <w:szCs w:val="22"/>
          <w:highlight w:val="none"/>
          <w:lang w:val="en" w:eastAsia="zh-CN"/>
        </w:rPr>
      </w:pPr>
      <w:bookmarkStart w:id="224" w:name="_Toc8058"/>
      <w:bookmarkStart w:id="225" w:name="_Toc15776"/>
      <w:r>
        <w:rPr>
          <w:rFonts w:hint="eastAsia" w:ascii="仿宋_GB2312" w:hAnsi="仿宋_GB2312" w:eastAsia="仿宋_GB2312" w:cs="仿宋_GB2312"/>
          <w:color w:val="000000"/>
          <w:sz w:val="22"/>
          <w:szCs w:val="22"/>
          <w:highlight w:val="none"/>
          <w:lang w:val="en-US" w:eastAsia="zh-CN"/>
        </w:rPr>
        <w:t>参照综合办公类、医院类、院校类等相关服务内容、标准及要求以采购人具体项目的实际需求为准</w:t>
      </w:r>
      <w:r>
        <w:rPr>
          <w:rFonts w:hint="eastAsia" w:ascii="仿宋_GB2312" w:hAnsi="仿宋_GB2312" w:eastAsia="仿宋_GB2312" w:cs="仿宋_GB2312"/>
          <w:color w:val="000000"/>
          <w:sz w:val="22"/>
          <w:szCs w:val="22"/>
          <w:highlight w:val="none"/>
          <w:lang w:val="en" w:eastAsia="zh-CN"/>
        </w:rPr>
        <w:t>。</w:t>
      </w:r>
      <w:bookmarkEnd w:id="224"/>
      <w:bookmarkEnd w:id="225"/>
    </w:p>
    <w:p w14:paraId="23862F4A">
      <w:pPr>
        <w:spacing w:line="440" w:lineRule="exact"/>
        <w:rPr>
          <w:rFonts w:hint="eastAsia" w:ascii="仿宋_GB2312" w:hAnsi="仿宋_GB2312" w:eastAsia="仿宋_GB2312" w:cs="仿宋_GB2312"/>
          <w:sz w:val="24"/>
          <w:szCs w:val="24"/>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1C6E81-A783-4B44-8B02-AD8C1AC9D92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89C04F61-B7E6-4CC8-B686-7B16047D681A}"/>
  </w:font>
  <w:font w:name="Cambria">
    <w:panose1 w:val="02040503050406030204"/>
    <w:charset w:val="00"/>
    <w:family w:val="roman"/>
    <w:pitch w:val="default"/>
    <w:sig w:usb0="E00002FF" w:usb1="400004FF" w:usb2="00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7E61B9A4-2718-4019-A32E-BD28F5099308}"/>
  </w:font>
  <w:font w:name="楷体_GB2312">
    <w:panose1 w:val="02010609030101010101"/>
    <w:charset w:val="86"/>
    <w:family w:val="modern"/>
    <w:pitch w:val="default"/>
    <w:sig w:usb0="00000001" w:usb1="080E0000" w:usb2="00000000" w:usb3="00000000" w:csb0="00040000" w:csb1="00000000"/>
    <w:embedRegular r:id="rId4" w:fontKey="{45838BFF-FEA0-48FB-886A-6838EB3BBD11}"/>
  </w:font>
  <w:font w:name="微软雅黑">
    <w:panose1 w:val="020B0503020204020204"/>
    <w:charset w:val="86"/>
    <w:family w:val="swiss"/>
    <w:pitch w:val="default"/>
    <w:sig w:usb0="80000287" w:usb1="280F3C52" w:usb2="00000016" w:usb3="00000000" w:csb0="0004001F" w:csb1="00000000"/>
    <w:embedRegular r:id="rId5" w:fontKey="{38770BE1-15AB-42FE-BC18-1294FDE0C11A}"/>
  </w:font>
  <w:font w:name="Helvetica">
    <w:altName w:val="Arial"/>
    <w:panose1 w:val="020B0604020202020204"/>
    <w:charset w:val="00"/>
    <w:family w:val="swiss"/>
    <w:pitch w:val="default"/>
    <w:sig w:usb0="00000000" w:usb1="00000000" w:usb2="00000000" w:usb3="00000000" w:csb0="00000001" w:csb1="00000000"/>
    <w:embedRegular r:id="rId6" w:fontKey="{3428F9E3-E9A3-4EB9-B58E-E732AF59C905}"/>
  </w:font>
  <w:font w:name="方正小标宋简体">
    <w:panose1 w:val="03000509000000000000"/>
    <w:charset w:val="86"/>
    <w:family w:val="auto"/>
    <w:pitch w:val="default"/>
    <w:sig w:usb0="00000001" w:usb1="080E0000" w:usb2="00000000" w:usb3="00000000" w:csb0="00040000" w:csb1="00000000"/>
    <w:embedRegular r:id="rId7" w:fontKey="{4FCE34E9-8525-4415-B9C9-C17A54DAA17B}"/>
  </w:font>
  <w:font w:name="MS Gothic">
    <w:panose1 w:val="020B0609070205080204"/>
    <w:charset w:val="80"/>
    <w:family w:val="modern"/>
    <w:pitch w:val="default"/>
    <w:sig w:usb0="E00002FF" w:usb1="6AC7FDFB" w:usb2="00000012" w:usb3="00000000" w:csb0="4002009F" w:csb1="DFD70000"/>
    <w:embedRegular r:id="rId8" w:fontKey="{0D0F467C-2774-4825-BF37-8DD7CFA51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04BC6">
    <w:pPr>
      <w:pStyle w:val="15"/>
      <w:framePr w:wrap="around" w:vAnchor="text" w:hAnchor="margin" w:xAlign="center" w:y="2"/>
      <w:rPr>
        <w:rStyle w:val="26"/>
      </w:rPr>
    </w:pPr>
    <w:r>
      <w:rPr>
        <w:rStyle w:val="26"/>
      </w:rPr>
      <w:fldChar w:fldCharType="begin"/>
    </w:r>
    <w:r>
      <w:rPr>
        <w:rStyle w:val="26"/>
      </w:rPr>
      <w:instrText xml:space="preserve">PAGE  </w:instrText>
    </w:r>
    <w:r>
      <w:rPr>
        <w:rStyle w:val="26"/>
      </w:rPr>
      <w:fldChar w:fldCharType="separate"/>
    </w:r>
    <w:r>
      <w:rPr>
        <w:rStyle w:val="26"/>
      </w:rPr>
      <w:t>1</w:t>
    </w:r>
    <w:r>
      <w:rPr>
        <w:rStyle w:val="26"/>
      </w:rPr>
      <w:fldChar w:fldCharType="end"/>
    </w:r>
  </w:p>
  <w:p w14:paraId="753F6A79">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4EC65">
    <w:pPr>
      <w:pStyle w:val="15"/>
      <w:framePr w:wrap="around" w:vAnchor="text" w:hAnchor="margin" w:xAlign="center" w:yAlign="top"/>
    </w:pPr>
  </w:p>
  <w:p w14:paraId="30764AAE">
    <w:pPr>
      <w:pStyle w:val="15"/>
      <w:ind w:right="360"/>
      <w:jc w:val="center"/>
    </w:pPr>
    <w:r>
      <w:rPr>
        <w:rFonts w:hint="eastAsia"/>
        <w:szCs w:val="21"/>
      </w:rPr>
      <w:t>第</w:t>
    </w:r>
    <w:r>
      <w:rPr>
        <w:szCs w:val="21"/>
      </w:rPr>
      <w:fldChar w:fldCharType="begin"/>
    </w:r>
    <w:r>
      <w:rPr>
        <w:szCs w:val="21"/>
      </w:rPr>
      <w:instrText xml:space="preserve"> PAGE </w:instrText>
    </w:r>
    <w:r>
      <w:rPr>
        <w:szCs w:val="21"/>
      </w:rPr>
      <w:fldChar w:fldCharType="separate"/>
    </w:r>
    <w:r>
      <w:rPr>
        <w:szCs w:val="21"/>
      </w:rPr>
      <w:t>22</w:t>
    </w:r>
    <w:r>
      <w:rPr>
        <w:szCs w:val="21"/>
      </w:rPr>
      <w:fldChar w:fldCharType="end"/>
    </w:r>
    <w:r>
      <w:rPr>
        <w:rFonts w:hint="eastAsia"/>
        <w:szCs w:val="21"/>
      </w:rPr>
      <w:t>页共</w:t>
    </w:r>
    <w:r>
      <w:rPr>
        <w:szCs w:val="21"/>
      </w:rPr>
      <w:fldChar w:fldCharType="begin"/>
    </w:r>
    <w:r>
      <w:rPr>
        <w:szCs w:val="21"/>
      </w:rPr>
      <w:instrText xml:space="preserve"> NUMPAGES </w:instrText>
    </w:r>
    <w:r>
      <w:rPr>
        <w:szCs w:val="21"/>
      </w:rPr>
      <w:fldChar w:fldCharType="separate"/>
    </w:r>
    <w:r>
      <w:rPr>
        <w:szCs w:val="21"/>
      </w:rPr>
      <w:t>50</w:t>
    </w:r>
    <w:r>
      <w:rPr>
        <w:szCs w:val="21"/>
      </w:rPr>
      <w:fldChar w:fldCharType="end"/>
    </w:r>
    <w:r>
      <w:rPr>
        <w:rFonts w:hint="eastAsia"/>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5DA99">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75D49">
    <w:pPr>
      <w:pStyle w:val="16"/>
      <w:jc w:val="left"/>
    </w:pPr>
    <w:r>
      <w:rPr>
        <w:rFonts w:hint="eastAsia"/>
      </w:rPr>
      <w:t>征集文件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B633DC"/>
    <w:multiLevelType w:val="multilevel"/>
    <w:tmpl w:val="9DB633DC"/>
    <w:lvl w:ilvl="0" w:tentative="0">
      <w:start w:val="1"/>
      <w:numFmt w:val="decimal"/>
      <w:suff w:val="nothing"/>
      <w:lvlText w:val="%1."/>
      <w:lvlJc w:val="left"/>
      <w:pPr>
        <w:ind w:left="709" w:hanging="709"/>
      </w:pPr>
      <w:rPr>
        <w:rFonts w:hint="eastAsia" w:cs="Times New Roman"/>
      </w:rPr>
    </w:lvl>
    <w:lvl w:ilvl="1" w:tentative="0">
      <w:start w:val="1"/>
      <w:numFmt w:val="decimal"/>
      <w:suff w:val="nothing"/>
      <w:lvlText w:val="%1.%2"/>
      <w:lvlJc w:val="left"/>
      <w:pPr>
        <w:ind w:left="1187" w:hanging="709"/>
      </w:pPr>
      <w:rPr>
        <w:rFonts w:hint="default" w:ascii="宋体" w:hAnsi="宋体" w:eastAsia="宋体" w:cs="Times New Roman"/>
        <w:b w:val="0"/>
        <w:strike w:val="0"/>
        <w:dstrike w:val="0"/>
        <w:color w:val="auto"/>
        <w:sz w:val="21"/>
        <w:szCs w:val="21"/>
      </w:rPr>
    </w:lvl>
    <w:lvl w:ilvl="2" w:tentative="0">
      <w:start w:val="1"/>
      <w:numFmt w:val="decimal"/>
      <w:suff w:val="nothing"/>
      <w:lvlText w:val="%1.%2.%3."/>
      <w:lvlJc w:val="left"/>
      <w:pPr>
        <w:ind w:left="425" w:hanging="425"/>
      </w:pPr>
      <w:rPr>
        <w:rFonts w:hint="eastAsia" w:cs="Times New Roman"/>
        <w:sz w:val="21"/>
        <w:szCs w:val="21"/>
      </w:rPr>
    </w:lvl>
    <w:lvl w:ilvl="3" w:tentative="0">
      <w:start w:val="1"/>
      <w:numFmt w:val="decimal"/>
      <w:suff w:val="nothing"/>
      <w:lvlText w:val="%1.%2.%3.%4."/>
      <w:lvlJc w:val="left"/>
      <w:pPr>
        <w:ind w:left="61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
    <w:nsid w:val="9E66EE74"/>
    <w:multiLevelType w:val="multilevel"/>
    <w:tmpl w:val="9E66EE74"/>
    <w:lvl w:ilvl="0" w:tentative="0">
      <w:start w:val="1"/>
      <w:numFmt w:val="decimal"/>
      <w:lvlText w:val="（%1）"/>
      <w:lvlJc w:val="left"/>
      <w:pPr>
        <w:tabs>
          <w:tab w:val="left" w:pos="1200"/>
        </w:tabs>
        <w:ind w:left="1440" w:hanging="720"/>
      </w:pPr>
      <w:rPr>
        <w:rFonts w:hint="default" w:ascii="Times New Roman" w:hAnsi="Times New Roman" w:eastAsia="宋体" w:cs="Times New Roman"/>
        <w:u w:val="none"/>
      </w:rPr>
    </w:lvl>
    <w:lvl w:ilvl="1" w:tentative="0">
      <w:start w:val="1"/>
      <w:numFmt w:val="lowerLetter"/>
      <w:lvlText w:val="%2)"/>
      <w:lvlJc w:val="left"/>
      <w:pPr>
        <w:tabs>
          <w:tab w:val="left" w:pos="1320"/>
        </w:tabs>
        <w:ind w:left="1560" w:hanging="420"/>
      </w:pPr>
      <w:rPr>
        <w:rFonts w:hint="default" w:cs="Times New Roman"/>
        <w:u w:val="none"/>
      </w:rPr>
    </w:lvl>
    <w:lvl w:ilvl="2" w:tentative="0">
      <w:start w:val="17"/>
      <w:numFmt w:val="decimal"/>
      <w:lvlText w:val="%3"/>
      <w:lvlJc w:val="left"/>
      <w:pPr>
        <w:tabs>
          <w:tab w:val="left" w:pos="1680"/>
        </w:tabs>
        <w:ind w:left="1920" w:hanging="360"/>
      </w:pPr>
      <w:rPr>
        <w:rFonts w:hint="default" w:ascii="Times New Roman" w:hAnsi="Times New Roman" w:eastAsia="宋体" w:cs="Times New Roman"/>
        <w:u w:val="none"/>
      </w:rPr>
    </w:lvl>
    <w:lvl w:ilvl="3" w:tentative="0">
      <w:start w:val="1"/>
      <w:numFmt w:val="decimal"/>
      <w:lvlText w:val="%4."/>
      <w:lvlJc w:val="left"/>
      <w:pPr>
        <w:tabs>
          <w:tab w:val="left" w:pos="2160"/>
        </w:tabs>
        <w:ind w:left="2400" w:hanging="420"/>
      </w:pPr>
      <w:rPr>
        <w:rFonts w:hint="default" w:cs="Times New Roman"/>
        <w:u w:val="none"/>
      </w:rPr>
    </w:lvl>
    <w:lvl w:ilvl="4" w:tentative="0">
      <w:start w:val="1"/>
      <w:numFmt w:val="lowerLetter"/>
      <w:lvlText w:val="%5)"/>
      <w:lvlJc w:val="left"/>
      <w:pPr>
        <w:tabs>
          <w:tab w:val="left" w:pos="2580"/>
        </w:tabs>
        <w:ind w:left="2820" w:hanging="420"/>
      </w:pPr>
      <w:rPr>
        <w:rFonts w:hint="default" w:cs="Times New Roman"/>
        <w:u w:val="none"/>
      </w:rPr>
    </w:lvl>
    <w:lvl w:ilvl="5" w:tentative="0">
      <w:start w:val="1"/>
      <w:numFmt w:val="lowerRoman"/>
      <w:lvlText w:val="%6."/>
      <w:lvlJc w:val="right"/>
      <w:pPr>
        <w:tabs>
          <w:tab w:val="left" w:pos="3000"/>
        </w:tabs>
        <w:ind w:left="3240" w:hanging="420"/>
      </w:pPr>
      <w:rPr>
        <w:rFonts w:hint="default" w:cs="Times New Roman"/>
        <w:u w:val="none"/>
      </w:rPr>
    </w:lvl>
    <w:lvl w:ilvl="6" w:tentative="0">
      <w:start w:val="1"/>
      <w:numFmt w:val="decimal"/>
      <w:lvlText w:val="%7."/>
      <w:lvlJc w:val="left"/>
      <w:pPr>
        <w:tabs>
          <w:tab w:val="left" w:pos="3420"/>
        </w:tabs>
        <w:ind w:left="3660" w:hanging="420"/>
      </w:pPr>
      <w:rPr>
        <w:rFonts w:hint="default" w:cs="Times New Roman"/>
        <w:u w:val="none"/>
      </w:rPr>
    </w:lvl>
    <w:lvl w:ilvl="7" w:tentative="0">
      <w:start w:val="1"/>
      <w:numFmt w:val="lowerLetter"/>
      <w:lvlText w:val="%8)"/>
      <w:lvlJc w:val="left"/>
      <w:pPr>
        <w:tabs>
          <w:tab w:val="left" w:pos="3840"/>
        </w:tabs>
        <w:ind w:left="4080" w:hanging="420"/>
      </w:pPr>
      <w:rPr>
        <w:rFonts w:hint="default" w:cs="Times New Roman"/>
        <w:u w:val="none"/>
      </w:rPr>
    </w:lvl>
    <w:lvl w:ilvl="8" w:tentative="0">
      <w:start w:val="1"/>
      <w:numFmt w:val="lowerRoman"/>
      <w:lvlText w:val="%9."/>
      <w:lvlJc w:val="right"/>
      <w:pPr>
        <w:tabs>
          <w:tab w:val="left" w:pos="4260"/>
        </w:tabs>
        <w:ind w:left="4500" w:hanging="420"/>
      </w:pPr>
      <w:rPr>
        <w:rFonts w:hint="default" w:cs="Times New Roman"/>
        <w:u w:val="none"/>
      </w:rPr>
    </w:lvl>
  </w:abstractNum>
  <w:abstractNum w:abstractNumId="2">
    <w:nsid w:val="A8583288"/>
    <w:multiLevelType w:val="multilevel"/>
    <w:tmpl w:val="A8583288"/>
    <w:lvl w:ilvl="0" w:tentative="0">
      <w:start w:val="1"/>
      <w:numFmt w:val="decimal"/>
      <w:suff w:val="nothing"/>
      <w:lvlText w:val="（%1）"/>
      <w:lvlJc w:val="left"/>
      <w:pPr>
        <w:ind w:left="971" w:hanging="720"/>
      </w:pPr>
      <w:rPr>
        <w:rFonts w:hint="default" w:ascii="Times New Roman" w:hAnsi="Times New Roman" w:eastAsia="宋体" w:cs="Times New Roman"/>
        <w:u w:val="none"/>
      </w:rPr>
    </w:lvl>
    <w:lvl w:ilvl="1" w:tentative="0">
      <w:start w:val="1"/>
      <w:numFmt w:val="lowerLetter"/>
      <w:lvlText w:val="%2)"/>
      <w:lvlJc w:val="left"/>
      <w:pPr>
        <w:tabs>
          <w:tab w:val="left" w:pos="840"/>
        </w:tabs>
        <w:ind w:left="611" w:hanging="420"/>
      </w:pPr>
      <w:rPr>
        <w:rFonts w:hint="default" w:cs="Times New Roman"/>
        <w:u w:val="none"/>
      </w:rPr>
    </w:lvl>
    <w:lvl w:ilvl="2" w:tentative="0">
      <w:start w:val="1"/>
      <w:numFmt w:val="lowerRoman"/>
      <w:lvlText w:val="%3."/>
      <w:lvlJc w:val="right"/>
      <w:pPr>
        <w:tabs>
          <w:tab w:val="left" w:pos="1260"/>
        </w:tabs>
        <w:ind w:left="1031" w:hanging="420"/>
      </w:pPr>
      <w:rPr>
        <w:rFonts w:hint="default" w:cs="Times New Roman"/>
        <w:u w:val="none"/>
      </w:rPr>
    </w:lvl>
    <w:lvl w:ilvl="3" w:tentative="0">
      <w:start w:val="1"/>
      <w:numFmt w:val="decimal"/>
      <w:lvlText w:val="%4."/>
      <w:lvlJc w:val="left"/>
      <w:pPr>
        <w:tabs>
          <w:tab w:val="left" w:pos="1680"/>
        </w:tabs>
        <w:ind w:left="1451" w:hanging="420"/>
      </w:pPr>
      <w:rPr>
        <w:rFonts w:hint="default" w:cs="Times New Roman"/>
        <w:u w:val="none"/>
      </w:rPr>
    </w:lvl>
    <w:lvl w:ilvl="4" w:tentative="0">
      <w:start w:val="1"/>
      <w:numFmt w:val="lowerLetter"/>
      <w:lvlText w:val="%5)"/>
      <w:lvlJc w:val="left"/>
      <w:pPr>
        <w:tabs>
          <w:tab w:val="left" w:pos="2100"/>
        </w:tabs>
        <w:ind w:left="1871" w:hanging="420"/>
      </w:pPr>
      <w:rPr>
        <w:rFonts w:hint="default" w:cs="Times New Roman"/>
        <w:u w:val="none"/>
      </w:rPr>
    </w:lvl>
    <w:lvl w:ilvl="5" w:tentative="0">
      <w:start w:val="1"/>
      <w:numFmt w:val="lowerRoman"/>
      <w:lvlText w:val="%6."/>
      <w:lvlJc w:val="right"/>
      <w:pPr>
        <w:tabs>
          <w:tab w:val="left" w:pos="2520"/>
        </w:tabs>
        <w:ind w:left="2291" w:hanging="420"/>
      </w:pPr>
      <w:rPr>
        <w:rFonts w:hint="default" w:cs="Times New Roman"/>
        <w:u w:val="none"/>
      </w:rPr>
    </w:lvl>
    <w:lvl w:ilvl="6" w:tentative="0">
      <w:start w:val="1"/>
      <w:numFmt w:val="decimal"/>
      <w:lvlText w:val="%7."/>
      <w:lvlJc w:val="left"/>
      <w:pPr>
        <w:tabs>
          <w:tab w:val="left" w:pos="2940"/>
        </w:tabs>
        <w:ind w:left="2711" w:hanging="420"/>
      </w:pPr>
      <w:rPr>
        <w:rFonts w:hint="default" w:cs="Times New Roman"/>
        <w:u w:val="none"/>
      </w:rPr>
    </w:lvl>
    <w:lvl w:ilvl="7" w:tentative="0">
      <w:start w:val="1"/>
      <w:numFmt w:val="lowerLetter"/>
      <w:lvlText w:val="%8)"/>
      <w:lvlJc w:val="left"/>
      <w:pPr>
        <w:tabs>
          <w:tab w:val="left" w:pos="3360"/>
        </w:tabs>
        <w:ind w:left="3131" w:hanging="420"/>
      </w:pPr>
      <w:rPr>
        <w:rFonts w:hint="default" w:cs="Times New Roman"/>
        <w:u w:val="none"/>
      </w:rPr>
    </w:lvl>
    <w:lvl w:ilvl="8" w:tentative="0">
      <w:start w:val="1"/>
      <w:numFmt w:val="lowerRoman"/>
      <w:lvlText w:val="%9."/>
      <w:lvlJc w:val="right"/>
      <w:pPr>
        <w:tabs>
          <w:tab w:val="left" w:pos="3780"/>
        </w:tabs>
        <w:ind w:left="3551" w:hanging="420"/>
      </w:pPr>
      <w:rPr>
        <w:rFonts w:hint="default" w:cs="Times New Roman"/>
        <w:u w:val="none"/>
      </w:rPr>
    </w:lvl>
  </w:abstractNum>
  <w:abstractNum w:abstractNumId="3">
    <w:nsid w:val="D2DE90D9"/>
    <w:multiLevelType w:val="multilevel"/>
    <w:tmpl w:val="D2DE90D9"/>
    <w:lvl w:ilvl="0" w:tentative="0">
      <w:start w:val="1"/>
      <w:numFmt w:val="decimal"/>
      <w:pStyle w:val="47"/>
      <w:suff w:val="space"/>
      <w:lvlText w:val="%1."/>
      <w:lvlJc w:val="left"/>
      <w:pPr>
        <w:ind w:left="709" w:hanging="709"/>
      </w:pPr>
      <w:rPr>
        <w:rFonts w:hint="eastAsia" w:cs="Times New Roman"/>
      </w:rPr>
    </w:lvl>
    <w:lvl w:ilvl="1" w:tentative="0">
      <w:start w:val="1"/>
      <w:numFmt w:val="decimal"/>
      <w:lvlText w:val="%1.%2"/>
      <w:lvlJc w:val="left"/>
      <w:pPr>
        <w:tabs>
          <w:tab w:val="left" w:pos="709"/>
        </w:tabs>
        <w:ind w:left="1187" w:hanging="709"/>
      </w:pPr>
      <w:rPr>
        <w:rFonts w:hint="eastAsia" w:ascii="宋体" w:hAnsi="宋体" w:eastAsia="宋体" w:cs="Times New Roman"/>
        <w:b w:val="0"/>
        <w:color w:val="auto"/>
        <w:sz w:val="21"/>
        <w:szCs w:val="21"/>
      </w:rPr>
    </w:lvl>
    <w:lvl w:ilvl="2" w:tentative="0">
      <w:start w:val="1"/>
      <w:numFmt w:val="decimal"/>
      <w:suff w:val="nothing"/>
      <w:lvlText w:val="%1.%2.%3."/>
      <w:lvlJc w:val="left"/>
      <w:pPr>
        <w:ind w:left="425" w:hanging="425"/>
      </w:pPr>
      <w:rPr>
        <w:rFonts w:hint="eastAsia" w:cs="Times New Roman"/>
        <w:sz w:val="21"/>
        <w:szCs w:val="21"/>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4">
    <w:nsid w:val="D9C6D713"/>
    <w:multiLevelType w:val="multilevel"/>
    <w:tmpl w:val="D9C6D713"/>
    <w:lvl w:ilvl="0" w:tentative="0">
      <w:start w:val="1"/>
      <w:numFmt w:val="chineseCountingThousand"/>
      <w:suff w:val="nothing"/>
      <w:lvlText w:val="%1、"/>
      <w:lvlJc w:val="left"/>
      <w:pPr>
        <w:ind w:left="420" w:hanging="420"/>
      </w:pPr>
      <w:rPr>
        <w:rFonts w:hint="eastAsia" w:cs="Times New Roman"/>
      </w:rPr>
    </w:lvl>
    <w:lvl w:ilvl="1" w:tentative="0">
      <w:start w:val="1"/>
      <w:numFmt w:val="lowerLetter"/>
      <w:lvlText w:val="%2)"/>
      <w:lvlJc w:val="left"/>
      <w:pPr>
        <w:tabs>
          <w:tab w:val="left" w:pos="1260"/>
        </w:tabs>
        <w:ind w:left="1260" w:hanging="420"/>
      </w:pPr>
      <w:rPr>
        <w:rFonts w:hint="eastAsia" w:cs="Times New Roman"/>
      </w:rPr>
    </w:lvl>
    <w:lvl w:ilvl="2" w:tentative="0">
      <w:start w:val="1"/>
      <w:numFmt w:val="lowerRoman"/>
      <w:lvlText w:val="%3."/>
      <w:lvlJc w:val="right"/>
      <w:pPr>
        <w:tabs>
          <w:tab w:val="left" w:pos="1680"/>
        </w:tabs>
        <w:ind w:left="1680" w:hanging="420"/>
      </w:pPr>
      <w:rPr>
        <w:rFonts w:hint="eastAsia" w:cs="Times New Roman"/>
      </w:rPr>
    </w:lvl>
    <w:lvl w:ilvl="3" w:tentative="0">
      <w:start w:val="1"/>
      <w:numFmt w:val="decimal"/>
      <w:lvlText w:val="%4."/>
      <w:lvlJc w:val="left"/>
      <w:pPr>
        <w:tabs>
          <w:tab w:val="left" w:pos="2100"/>
        </w:tabs>
        <w:ind w:left="2100" w:hanging="420"/>
      </w:pPr>
      <w:rPr>
        <w:rFonts w:hint="eastAsia" w:cs="Times New Roman"/>
      </w:rPr>
    </w:lvl>
    <w:lvl w:ilvl="4" w:tentative="0">
      <w:start w:val="1"/>
      <w:numFmt w:val="lowerLetter"/>
      <w:lvlText w:val="%5)"/>
      <w:lvlJc w:val="left"/>
      <w:pPr>
        <w:tabs>
          <w:tab w:val="left" w:pos="2520"/>
        </w:tabs>
        <w:ind w:left="2520" w:hanging="420"/>
      </w:pPr>
      <w:rPr>
        <w:rFonts w:hint="eastAsia" w:cs="Times New Roman"/>
      </w:rPr>
    </w:lvl>
    <w:lvl w:ilvl="5" w:tentative="0">
      <w:start w:val="1"/>
      <w:numFmt w:val="lowerRoman"/>
      <w:lvlText w:val="%6."/>
      <w:lvlJc w:val="right"/>
      <w:pPr>
        <w:tabs>
          <w:tab w:val="left" w:pos="2940"/>
        </w:tabs>
        <w:ind w:left="2940" w:hanging="420"/>
      </w:pPr>
      <w:rPr>
        <w:rFonts w:hint="eastAsia" w:cs="Times New Roman"/>
      </w:rPr>
    </w:lvl>
    <w:lvl w:ilvl="6" w:tentative="0">
      <w:start w:val="1"/>
      <w:numFmt w:val="decimal"/>
      <w:lvlText w:val="%7."/>
      <w:lvlJc w:val="left"/>
      <w:pPr>
        <w:tabs>
          <w:tab w:val="left" w:pos="3360"/>
        </w:tabs>
        <w:ind w:left="3360" w:hanging="420"/>
      </w:pPr>
      <w:rPr>
        <w:rFonts w:hint="eastAsia" w:cs="Times New Roman"/>
      </w:rPr>
    </w:lvl>
    <w:lvl w:ilvl="7" w:tentative="0">
      <w:start w:val="1"/>
      <w:numFmt w:val="lowerLetter"/>
      <w:lvlText w:val="%8)"/>
      <w:lvlJc w:val="left"/>
      <w:pPr>
        <w:tabs>
          <w:tab w:val="left" w:pos="3780"/>
        </w:tabs>
        <w:ind w:left="3780" w:hanging="420"/>
      </w:pPr>
      <w:rPr>
        <w:rFonts w:hint="eastAsia" w:cs="Times New Roman"/>
      </w:rPr>
    </w:lvl>
    <w:lvl w:ilvl="8" w:tentative="0">
      <w:start w:val="1"/>
      <w:numFmt w:val="lowerRoman"/>
      <w:lvlText w:val="%9."/>
      <w:lvlJc w:val="right"/>
      <w:pPr>
        <w:tabs>
          <w:tab w:val="left" w:pos="4200"/>
        </w:tabs>
        <w:ind w:left="4200" w:hanging="420"/>
      </w:pPr>
      <w:rPr>
        <w:rFonts w:hint="eastAsia" w:cs="Times New Roman"/>
      </w:rPr>
    </w:lvl>
  </w:abstractNum>
  <w:abstractNum w:abstractNumId="5">
    <w:nsid w:val="E40590B8"/>
    <w:multiLevelType w:val="singleLevel"/>
    <w:tmpl w:val="E40590B8"/>
    <w:lvl w:ilvl="0" w:tentative="0">
      <w:start w:val="1"/>
      <w:numFmt w:val="decimal"/>
      <w:suff w:val="nothing"/>
      <w:lvlText w:val="（%1）"/>
      <w:lvlJc w:val="left"/>
      <w:pPr>
        <w:ind w:left="-739"/>
      </w:pPr>
    </w:lvl>
  </w:abstractNum>
  <w:abstractNum w:abstractNumId="6">
    <w:nsid w:val="FBB1D5F7"/>
    <w:multiLevelType w:val="multilevel"/>
    <w:tmpl w:val="FBB1D5F7"/>
    <w:lvl w:ilvl="0" w:tentative="0">
      <w:start w:val="1"/>
      <w:numFmt w:val="decimal"/>
      <w:lvlText w:val="（%1）"/>
      <w:lvlJc w:val="left"/>
      <w:pPr>
        <w:tabs>
          <w:tab w:val="left" w:pos="1200"/>
        </w:tabs>
        <w:ind w:left="1440" w:hanging="720"/>
      </w:pPr>
      <w:rPr>
        <w:rFonts w:hint="default" w:ascii="Times New Roman" w:hAnsi="Times New Roman" w:eastAsia="宋体" w:cs="Times New Roman"/>
        <w:u w:val="none"/>
      </w:rPr>
    </w:lvl>
    <w:lvl w:ilvl="1" w:tentative="0">
      <w:start w:val="1"/>
      <w:numFmt w:val="lowerLetter"/>
      <w:lvlText w:val="%2)"/>
      <w:lvlJc w:val="left"/>
      <w:pPr>
        <w:tabs>
          <w:tab w:val="left" w:pos="1320"/>
        </w:tabs>
        <w:ind w:left="1560" w:hanging="420"/>
      </w:pPr>
      <w:rPr>
        <w:rFonts w:hint="default" w:cs="Times New Roman"/>
        <w:u w:val="none"/>
      </w:rPr>
    </w:lvl>
    <w:lvl w:ilvl="2" w:tentative="0">
      <w:start w:val="17"/>
      <w:numFmt w:val="decimal"/>
      <w:lvlText w:val="%3"/>
      <w:lvlJc w:val="left"/>
      <w:pPr>
        <w:tabs>
          <w:tab w:val="left" w:pos="1680"/>
        </w:tabs>
        <w:ind w:left="1920" w:hanging="360"/>
      </w:pPr>
      <w:rPr>
        <w:rFonts w:hint="default" w:ascii="Times New Roman" w:hAnsi="Times New Roman" w:eastAsia="宋体" w:cs="Times New Roman"/>
        <w:u w:val="none"/>
      </w:rPr>
    </w:lvl>
    <w:lvl w:ilvl="3" w:tentative="0">
      <w:start w:val="1"/>
      <w:numFmt w:val="decimal"/>
      <w:lvlText w:val="%4."/>
      <w:lvlJc w:val="left"/>
      <w:pPr>
        <w:tabs>
          <w:tab w:val="left" w:pos="2160"/>
        </w:tabs>
        <w:ind w:left="2400" w:hanging="420"/>
      </w:pPr>
      <w:rPr>
        <w:rFonts w:hint="default" w:cs="Times New Roman"/>
        <w:u w:val="none"/>
      </w:rPr>
    </w:lvl>
    <w:lvl w:ilvl="4" w:tentative="0">
      <w:start w:val="1"/>
      <w:numFmt w:val="lowerLetter"/>
      <w:lvlText w:val="%5)"/>
      <w:lvlJc w:val="left"/>
      <w:pPr>
        <w:tabs>
          <w:tab w:val="left" w:pos="2580"/>
        </w:tabs>
        <w:ind w:left="2820" w:hanging="420"/>
      </w:pPr>
      <w:rPr>
        <w:rFonts w:hint="default" w:cs="Times New Roman"/>
        <w:u w:val="none"/>
      </w:rPr>
    </w:lvl>
    <w:lvl w:ilvl="5" w:tentative="0">
      <w:start w:val="1"/>
      <w:numFmt w:val="lowerRoman"/>
      <w:lvlText w:val="%6."/>
      <w:lvlJc w:val="right"/>
      <w:pPr>
        <w:tabs>
          <w:tab w:val="left" w:pos="3000"/>
        </w:tabs>
        <w:ind w:left="3240" w:hanging="420"/>
      </w:pPr>
      <w:rPr>
        <w:rFonts w:hint="default" w:cs="Times New Roman"/>
        <w:u w:val="none"/>
      </w:rPr>
    </w:lvl>
    <w:lvl w:ilvl="6" w:tentative="0">
      <w:start w:val="1"/>
      <w:numFmt w:val="decimal"/>
      <w:lvlText w:val="%7."/>
      <w:lvlJc w:val="left"/>
      <w:pPr>
        <w:tabs>
          <w:tab w:val="left" w:pos="3420"/>
        </w:tabs>
        <w:ind w:left="3660" w:hanging="420"/>
      </w:pPr>
      <w:rPr>
        <w:rFonts w:hint="default" w:cs="Times New Roman"/>
        <w:u w:val="none"/>
      </w:rPr>
    </w:lvl>
    <w:lvl w:ilvl="7" w:tentative="0">
      <w:start w:val="1"/>
      <w:numFmt w:val="lowerLetter"/>
      <w:lvlText w:val="%8)"/>
      <w:lvlJc w:val="left"/>
      <w:pPr>
        <w:tabs>
          <w:tab w:val="left" w:pos="3840"/>
        </w:tabs>
        <w:ind w:left="4080" w:hanging="420"/>
      </w:pPr>
      <w:rPr>
        <w:rFonts w:hint="default" w:cs="Times New Roman"/>
        <w:u w:val="none"/>
      </w:rPr>
    </w:lvl>
    <w:lvl w:ilvl="8" w:tentative="0">
      <w:start w:val="1"/>
      <w:numFmt w:val="lowerRoman"/>
      <w:lvlText w:val="%9."/>
      <w:lvlJc w:val="right"/>
      <w:pPr>
        <w:tabs>
          <w:tab w:val="left" w:pos="4260"/>
        </w:tabs>
        <w:ind w:left="4500" w:hanging="420"/>
      </w:pPr>
      <w:rPr>
        <w:rFonts w:hint="default" w:cs="Times New Roman"/>
        <w:u w:val="none"/>
      </w:rPr>
    </w:lvl>
  </w:abstractNum>
  <w:abstractNum w:abstractNumId="7">
    <w:nsid w:val="FCC88D12"/>
    <w:multiLevelType w:val="multilevel"/>
    <w:tmpl w:val="FCC88D12"/>
    <w:lvl w:ilvl="0" w:tentative="0">
      <w:start w:val="1"/>
      <w:numFmt w:val="decimal"/>
      <w:suff w:val="nothing"/>
      <w:lvlText w:val="%1."/>
      <w:lvlJc w:val="left"/>
      <w:pPr>
        <w:ind w:left="900" w:hanging="420"/>
      </w:pPr>
      <w:rPr>
        <w:rFonts w:hint="eastAsia" w:cs="Times New Roman"/>
      </w:rPr>
    </w:lvl>
    <w:lvl w:ilvl="1" w:tentative="0">
      <w:start w:val="1"/>
      <w:numFmt w:val="decimal"/>
      <w:lvlText w:val="%2."/>
      <w:lvlJc w:val="left"/>
      <w:pPr>
        <w:tabs>
          <w:tab w:val="left" w:pos="1635"/>
        </w:tabs>
        <w:ind w:left="1619" w:hanging="735"/>
      </w:pPr>
      <w:rPr>
        <w:rFonts w:hint="eastAsia" w:cs="Times New Roman"/>
      </w:rPr>
    </w:lvl>
    <w:lvl w:ilvl="2" w:tentative="0">
      <w:start w:val="4"/>
      <w:numFmt w:val="japaneseCounting"/>
      <w:lvlText w:val="%3、"/>
      <w:lvlJc w:val="left"/>
      <w:pPr>
        <w:tabs>
          <w:tab w:val="left" w:pos="1740"/>
        </w:tabs>
        <w:ind w:left="1724" w:hanging="420"/>
      </w:pPr>
      <w:rPr>
        <w:rFonts w:hint="eastAsia" w:cs="Times New Roman"/>
      </w:rPr>
    </w:lvl>
    <w:lvl w:ilvl="3" w:tentative="0">
      <w:start w:val="1"/>
      <w:numFmt w:val="decimal"/>
      <w:lvlText w:val="（%4）"/>
      <w:lvlJc w:val="left"/>
      <w:pPr>
        <w:tabs>
          <w:tab w:val="left" w:pos="2460"/>
        </w:tabs>
        <w:ind w:left="2444" w:hanging="720"/>
      </w:pPr>
      <w:rPr>
        <w:rFonts w:hint="eastAsia" w:cs="Times New Roman"/>
      </w:rPr>
    </w:lvl>
    <w:lvl w:ilvl="4" w:tentative="0">
      <w:start w:val="1"/>
      <w:numFmt w:val="lowerLetter"/>
      <w:lvlText w:val="%5)"/>
      <w:lvlJc w:val="left"/>
      <w:pPr>
        <w:tabs>
          <w:tab w:val="left" w:pos="2580"/>
        </w:tabs>
        <w:ind w:left="2564" w:hanging="420"/>
      </w:pPr>
      <w:rPr>
        <w:rFonts w:hint="eastAsia" w:cs="Times New Roman"/>
      </w:rPr>
    </w:lvl>
    <w:lvl w:ilvl="5" w:tentative="0">
      <w:start w:val="1"/>
      <w:numFmt w:val="lowerRoman"/>
      <w:lvlText w:val="%6."/>
      <w:lvlJc w:val="right"/>
      <w:pPr>
        <w:tabs>
          <w:tab w:val="left" w:pos="3000"/>
        </w:tabs>
        <w:ind w:left="2984" w:hanging="420"/>
      </w:pPr>
      <w:rPr>
        <w:rFonts w:hint="eastAsia" w:cs="Times New Roman"/>
      </w:rPr>
    </w:lvl>
    <w:lvl w:ilvl="6" w:tentative="0">
      <w:start w:val="1"/>
      <w:numFmt w:val="decimal"/>
      <w:lvlText w:val="%7."/>
      <w:lvlJc w:val="left"/>
      <w:pPr>
        <w:tabs>
          <w:tab w:val="left" w:pos="3420"/>
        </w:tabs>
        <w:ind w:left="3404" w:hanging="420"/>
      </w:pPr>
      <w:rPr>
        <w:rFonts w:hint="eastAsia" w:cs="Times New Roman"/>
      </w:rPr>
    </w:lvl>
    <w:lvl w:ilvl="7" w:tentative="0">
      <w:start w:val="1"/>
      <w:numFmt w:val="lowerLetter"/>
      <w:lvlText w:val="%8)"/>
      <w:lvlJc w:val="left"/>
      <w:pPr>
        <w:tabs>
          <w:tab w:val="left" w:pos="3840"/>
        </w:tabs>
        <w:ind w:left="3824" w:hanging="420"/>
      </w:pPr>
      <w:rPr>
        <w:rFonts w:hint="eastAsia" w:cs="Times New Roman"/>
      </w:rPr>
    </w:lvl>
    <w:lvl w:ilvl="8" w:tentative="0">
      <w:start w:val="1"/>
      <w:numFmt w:val="lowerRoman"/>
      <w:lvlText w:val="%9."/>
      <w:lvlJc w:val="right"/>
      <w:pPr>
        <w:tabs>
          <w:tab w:val="left" w:pos="4260"/>
        </w:tabs>
        <w:ind w:left="4244" w:hanging="420"/>
      </w:pPr>
      <w:rPr>
        <w:rFonts w:hint="eastAsia" w:cs="Times New Roman"/>
      </w:rPr>
    </w:lvl>
  </w:abstractNum>
  <w:abstractNum w:abstractNumId="8">
    <w:nsid w:val="00000001"/>
    <w:multiLevelType w:val="multilevel"/>
    <w:tmpl w:val="00000001"/>
    <w:lvl w:ilvl="0" w:tentative="0">
      <w:start w:val="1"/>
      <w:numFmt w:val="decimal"/>
      <w:lvlText w:val="（%1）"/>
      <w:lvlJc w:val="left"/>
      <w:pPr>
        <w:tabs>
          <w:tab w:val="left" w:pos="1200"/>
        </w:tabs>
        <w:ind w:left="1440" w:hanging="720"/>
      </w:pPr>
      <w:rPr>
        <w:rFonts w:hint="default" w:ascii="Times New Roman" w:hAnsi="Times New Roman" w:eastAsia="宋体" w:cs="Times New Roman"/>
        <w:u w:val="none"/>
      </w:rPr>
    </w:lvl>
    <w:lvl w:ilvl="1" w:tentative="0">
      <w:start w:val="1"/>
      <w:numFmt w:val="lowerLetter"/>
      <w:lvlText w:val="%2)"/>
      <w:lvlJc w:val="left"/>
      <w:pPr>
        <w:tabs>
          <w:tab w:val="left" w:pos="840"/>
        </w:tabs>
        <w:ind w:left="1080" w:hanging="420"/>
      </w:pPr>
      <w:rPr>
        <w:rFonts w:hint="default" w:cs="Times New Roman"/>
        <w:u w:val="none"/>
      </w:rPr>
    </w:lvl>
    <w:lvl w:ilvl="2" w:tentative="0">
      <w:start w:val="1"/>
      <w:numFmt w:val="lowerRoman"/>
      <w:lvlText w:val="%3."/>
      <w:lvlJc w:val="right"/>
      <w:pPr>
        <w:tabs>
          <w:tab w:val="left" w:pos="1260"/>
        </w:tabs>
        <w:ind w:left="1500" w:hanging="420"/>
      </w:pPr>
      <w:rPr>
        <w:rFonts w:hint="default" w:cs="Times New Roman"/>
        <w:u w:val="none"/>
      </w:rPr>
    </w:lvl>
    <w:lvl w:ilvl="3" w:tentative="0">
      <w:start w:val="1"/>
      <w:numFmt w:val="decimal"/>
      <w:lvlText w:val="%4."/>
      <w:lvlJc w:val="left"/>
      <w:pPr>
        <w:tabs>
          <w:tab w:val="left" w:pos="1680"/>
        </w:tabs>
        <w:ind w:left="1920" w:hanging="420"/>
      </w:pPr>
      <w:rPr>
        <w:rFonts w:hint="default" w:cs="Times New Roman"/>
        <w:u w:val="none"/>
      </w:rPr>
    </w:lvl>
    <w:lvl w:ilvl="4" w:tentative="0">
      <w:start w:val="1"/>
      <w:numFmt w:val="lowerLetter"/>
      <w:lvlText w:val="%5)"/>
      <w:lvlJc w:val="left"/>
      <w:pPr>
        <w:tabs>
          <w:tab w:val="left" w:pos="2100"/>
        </w:tabs>
        <w:ind w:left="2340" w:hanging="420"/>
      </w:pPr>
      <w:rPr>
        <w:rFonts w:hint="default" w:cs="Times New Roman"/>
        <w:u w:val="none"/>
      </w:rPr>
    </w:lvl>
    <w:lvl w:ilvl="5" w:tentative="0">
      <w:start w:val="1"/>
      <w:numFmt w:val="lowerRoman"/>
      <w:lvlText w:val="%6."/>
      <w:lvlJc w:val="right"/>
      <w:pPr>
        <w:tabs>
          <w:tab w:val="left" w:pos="2520"/>
        </w:tabs>
        <w:ind w:left="2760" w:hanging="420"/>
      </w:pPr>
      <w:rPr>
        <w:rFonts w:hint="default" w:cs="Times New Roman"/>
        <w:u w:val="none"/>
      </w:rPr>
    </w:lvl>
    <w:lvl w:ilvl="6" w:tentative="0">
      <w:start w:val="1"/>
      <w:numFmt w:val="decimal"/>
      <w:lvlText w:val="%7."/>
      <w:lvlJc w:val="left"/>
      <w:pPr>
        <w:tabs>
          <w:tab w:val="left" w:pos="2940"/>
        </w:tabs>
        <w:ind w:left="3180" w:hanging="420"/>
      </w:pPr>
      <w:rPr>
        <w:rFonts w:hint="default" w:cs="Times New Roman"/>
        <w:u w:val="none"/>
      </w:rPr>
    </w:lvl>
    <w:lvl w:ilvl="7" w:tentative="0">
      <w:start w:val="1"/>
      <w:numFmt w:val="lowerLetter"/>
      <w:lvlText w:val="%8)"/>
      <w:lvlJc w:val="left"/>
      <w:pPr>
        <w:tabs>
          <w:tab w:val="left" w:pos="3360"/>
        </w:tabs>
        <w:ind w:left="3600" w:hanging="420"/>
      </w:pPr>
      <w:rPr>
        <w:rFonts w:hint="default" w:cs="Times New Roman"/>
        <w:u w:val="none"/>
      </w:rPr>
    </w:lvl>
    <w:lvl w:ilvl="8" w:tentative="0">
      <w:start w:val="1"/>
      <w:numFmt w:val="lowerRoman"/>
      <w:lvlText w:val="%9."/>
      <w:lvlJc w:val="right"/>
      <w:pPr>
        <w:tabs>
          <w:tab w:val="left" w:pos="3780"/>
        </w:tabs>
        <w:ind w:left="4020" w:hanging="420"/>
      </w:pPr>
      <w:rPr>
        <w:rFonts w:hint="default" w:cs="Times New Roman"/>
        <w:u w:val="none"/>
      </w:rPr>
    </w:lvl>
  </w:abstractNum>
  <w:abstractNum w:abstractNumId="9">
    <w:nsid w:val="00000006"/>
    <w:multiLevelType w:val="multilevel"/>
    <w:tmpl w:val="00000006"/>
    <w:lvl w:ilvl="0" w:tentative="0">
      <w:start w:val="1"/>
      <w:numFmt w:val="chineseCountingThousand"/>
      <w:pStyle w:val="57"/>
      <w:suff w:val="nothing"/>
      <w:lvlText w:val="第%1部分"/>
      <w:lvlJc w:val="center"/>
      <w:pPr>
        <w:ind w:left="6517" w:firstLine="288"/>
      </w:pPr>
      <w:rPr>
        <w:rFonts w:hint="eastAsia" w:cs="Times New Roman"/>
        <w:color w:val="auto"/>
        <w:sz w:val="32"/>
        <w:szCs w:val="32"/>
      </w:rPr>
    </w:lvl>
    <w:lvl w:ilvl="1" w:tentative="0">
      <w:start w:val="1"/>
      <w:numFmt w:val="chineseCountingThousand"/>
      <w:pStyle w:val="3"/>
      <w:suff w:val="nothing"/>
      <w:lvlText w:val="%2、"/>
      <w:lvlJc w:val="left"/>
      <w:pPr>
        <w:ind w:left="16"/>
      </w:pPr>
      <w:rPr>
        <w:rFonts w:hint="eastAsia" w:ascii="宋体" w:hAnsi="宋体" w:eastAsia="宋体" w:cs="Times New Roman"/>
        <w:sz w:val="24"/>
        <w:szCs w:val="24"/>
      </w:rPr>
    </w:lvl>
    <w:lvl w:ilvl="2" w:tentative="0">
      <w:start w:val="1"/>
      <w:numFmt w:val="chineseCountingThousand"/>
      <w:suff w:val="nothing"/>
      <w:lvlText w:val="(%3)"/>
      <w:lvlJc w:val="left"/>
      <w:rPr>
        <w:rFonts w:hint="default" w:ascii="Times New Roman" w:hAnsi="Times New Roman" w:eastAsia="宋体" w:cs="Times New Roman"/>
        <w:b/>
        <w:i w:val="0"/>
        <w:spacing w:val="0"/>
        <w:w w:val="100"/>
        <w:position w:val="0"/>
        <w:sz w:val="21"/>
        <w:szCs w:val="21"/>
      </w:rPr>
    </w:lvl>
    <w:lvl w:ilvl="3" w:tentative="0">
      <w:start w:val="1"/>
      <w:numFmt w:val="decimal"/>
      <w:pStyle w:val="5"/>
      <w:suff w:val="nothing"/>
      <w:lvlText w:val="%4、"/>
      <w:lvlJc w:val="left"/>
      <w:rPr>
        <w:rFonts w:hint="eastAsia" w:cs="Times New Roman"/>
      </w:rPr>
    </w:lvl>
    <w:lvl w:ilvl="4" w:tentative="0">
      <w:start w:val="1"/>
      <w:numFmt w:val="upperLetter"/>
      <w:suff w:val="nothing"/>
      <w:lvlText w:val="%5、"/>
      <w:lvlJc w:val="left"/>
      <w:rPr>
        <w:rFonts w:hint="eastAsia" w:cs="Times New Roman"/>
      </w:rPr>
    </w:lvl>
    <w:lvl w:ilvl="5" w:tentative="0">
      <w:start w:val="1"/>
      <w:numFmt w:val="none"/>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abstractNum w:abstractNumId="10">
    <w:nsid w:val="0000000B"/>
    <w:multiLevelType w:val="multilevel"/>
    <w:tmpl w:val="0000000B"/>
    <w:lvl w:ilvl="0" w:tentative="0">
      <w:start w:val="1"/>
      <w:numFmt w:val="bullet"/>
      <w:pStyle w:val="70"/>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pStyle w:val="73"/>
      <w:lvlText w:val=""/>
      <w:lvlJc w:val="left"/>
      <w:pPr>
        <w:tabs>
          <w:tab w:val="left" w:pos="3780"/>
        </w:tabs>
        <w:ind w:left="3780" w:hanging="420"/>
      </w:pPr>
      <w:rPr>
        <w:rFonts w:hint="default" w:ascii="Wingdings" w:hAnsi="Wingdings"/>
      </w:rPr>
    </w:lvl>
  </w:abstractNum>
  <w:abstractNum w:abstractNumId="11">
    <w:nsid w:val="00000022"/>
    <w:multiLevelType w:val="multilevel"/>
    <w:tmpl w:val="00000022"/>
    <w:lvl w:ilvl="0" w:tentative="0">
      <w:start w:val="1"/>
      <w:numFmt w:val="decimal"/>
      <w:lvlText w:val="（%1）"/>
      <w:lvlJc w:val="left"/>
      <w:pPr>
        <w:tabs>
          <w:tab w:val="left" w:pos="1200"/>
        </w:tabs>
        <w:ind w:left="1440" w:hanging="720"/>
      </w:pPr>
      <w:rPr>
        <w:rFonts w:hint="default" w:ascii="Times New Roman" w:hAnsi="Times New Roman" w:eastAsia="宋体" w:cs="Times New Roman"/>
        <w:u w:val="none"/>
      </w:rPr>
    </w:lvl>
    <w:lvl w:ilvl="1" w:tentative="0">
      <w:start w:val="1"/>
      <w:numFmt w:val="lowerLetter"/>
      <w:lvlText w:val="%2)"/>
      <w:lvlJc w:val="left"/>
      <w:pPr>
        <w:tabs>
          <w:tab w:val="left" w:pos="1320"/>
        </w:tabs>
        <w:ind w:left="1560" w:hanging="420"/>
      </w:pPr>
      <w:rPr>
        <w:rFonts w:hint="default" w:cs="Times New Roman"/>
        <w:u w:val="none"/>
      </w:rPr>
    </w:lvl>
    <w:lvl w:ilvl="2" w:tentative="0">
      <w:start w:val="17"/>
      <w:numFmt w:val="decimal"/>
      <w:lvlText w:val="%3"/>
      <w:lvlJc w:val="left"/>
      <w:pPr>
        <w:tabs>
          <w:tab w:val="left" w:pos="1680"/>
        </w:tabs>
        <w:ind w:left="1920" w:hanging="360"/>
      </w:pPr>
      <w:rPr>
        <w:rFonts w:hint="default" w:ascii="Times New Roman" w:hAnsi="Times New Roman" w:eastAsia="宋体" w:cs="Times New Roman"/>
        <w:u w:val="none"/>
      </w:rPr>
    </w:lvl>
    <w:lvl w:ilvl="3" w:tentative="0">
      <w:start w:val="1"/>
      <w:numFmt w:val="decimal"/>
      <w:lvlText w:val="%4."/>
      <w:lvlJc w:val="left"/>
      <w:pPr>
        <w:tabs>
          <w:tab w:val="left" w:pos="2160"/>
        </w:tabs>
        <w:ind w:left="2400" w:hanging="420"/>
      </w:pPr>
      <w:rPr>
        <w:rFonts w:hint="default" w:cs="Times New Roman"/>
        <w:u w:val="none"/>
      </w:rPr>
    </w:lvl>
    <w:lvl w:ilvl="4" w:tentative="0">
      <w:start w:val="1"/>
      <w:numFmt w:val="lowerLetter"/>
      <w:lvlText w:val="%5)"/>
      <w:lvlJc w:val="left"/>
      <w:pPr>
        <w:tabs>
          <w:tab w:val="left" w:pos="2580"/>
        </w:tabs>
        <w:ind w:left="2820" w:hanging="420"/>
      </w:pPr>
      <w:rPr>
        <w:rFonts w:hint="default" w:cs="Times New Roman"/>
        <w:u w:val="none"/>
      </w:rPr>
    </w:lvl>
    <w:lvl w:ilvl="5" w:tentative="0">
      <w:start w:val="1"/>
      <w:numFmt w:val="lowerRoman"/>
      <w:lvlText w:val="%6."/>
      <w:lvlJc w:val="right"/>
      <w:pPr>
        <w:tabs>
          <w:tab w:val="left" w:pos="3000"/>
        </w:tabs>
        <w:ind w:left="3240" w:hanging="420"/>
      </w:pPr>
      <w:rPr>
        <w:rFonts w:hint="default" w:cs="Times New Roman"/>
        <w:u w:val="none"/>
      </w:rPr>
    </w:lvl>
    <w:lvl w:ilvl="6" w:tentative="0">
      <w:start w:val="1"/>
      <w:numFmt w:val="decimal"/>
      <w:lvlText w:val="%7."/>
      <w:lvlJc w:val="left"/>
      <w:pPr>
        <w:tabs>
          <w:tab w:val="left" w:pos="3420"/>
        </w:tabs>
        <w:ind w:left="3660" w:hanging="420"/>
      </w:pPr>
      <w:rPr>
        <w:rFonts w:hint="default" w:cs="Times New Roman"/>
        <w:u w:val="none"/>
      </w:rPr>
    </w:lvl>
    <w:lvl w:ilvl="7" w:tentative="0">
      <w:start w:val="1"/>
      <w:numFmt w:val="lowerLetter"/>
      <w:lvlText w:val="%8)"/>
      <w:lvlJc w:val="left"/>
      <w:pPr>
        <w:tabs>
          <w:tab w:val="left" w:pos="3840"/>
        </w:tabs>
        <w:ind w:left="4080" w:hanging="420"/>
      </w:pPr>
      <w:rPr>
        <w:rFonts w:hint="default" w:cs="Times New Roman"/>
        <w:u w:val="none"/>
      </w:rPr>
    </w:lvl>
    <w:lvl w:ilvl="8" w:tentative="0">
      <w:start w:val="1"/>
      <w:numFmt w:val="lowerRoman"/>
      <w:lvlText w:val="%9."/>
      <w:lvlJc w:val="right"/>
      <w:pPr>
        <w:tabs>
          <w:tab w:val="left" w:pos="4260"/>
        </w:tabs>
        <w:ind w:left="4500" w:hanging="420"/>
      </w:pPr>
      <w:rPr>
        <w:rFonts w:hint="default" w:cs="Times New Roman"/>
        <w:u w:val="none"/>
      </w:rPr>
    </w:lvl>
  </w:abstractNum>
  <w:abstractNum w:abstractNumId="12">
    <w:nsid w:val="000FC3D8"/>
    <w:multiLevelType w:val="multilevel"/>
    <w:tmpl w:val="000FC3D8"/>
    <w:lvl w:ilvl="0" w:tentative="0">
      <w:start w:val="1"/>
      <w:numFmt w:val="decimal"/>
      <w:suff w:val="nothing"/>
      <w:lvlText w:val="%1."/>
      <w:lvlJc w:val="left"/>
      <w:pPr>
        <w:ind w:left="900" w:hanging="420"/>
      </w:pPr>
      <w:rPr>
        <w:rFonts w:hint="eastAsia" w:cs="Times New Roman"/>
        <w:color w:val="000000" w:themeColor="text1"/>
        <w14:textFill>
          <w14:solidFill>
            <w14:schemeClr w14:val="tx1"/>
          </w14:solidFill>
        </w14:textFill>
      </w:rPr>
    </w:lvl>
    <w:lvl w:ilvl="1" w:tentative="0">
      <w:start w:val="1"/>
      <w:numFmt w:val="decimal"/>
      <w:lvlText w:val="%2."/>
      <w:lvlJc w:val="left"/>
      <w:pPr>
        <w:tabs>
          <w:tab w:val="left" w:pos="1635"/>
        </w:tabs>
        <w:ind w:left="1619" w:hanging="735"/>
      </w:pPr>
      <w:rPr>
        <w:rFonts w:hint="eastAsia" w:cs="Times New Roman"/>
      </w:rPr>
    </w:lvl>
    <w:lvl w:ilvl="2" w:tentative="0">
      <w:start w:val="4"/>
      <w:numFmt w:val="japaneseCounting"/>
      <w:lvlText w:val="%3、"/>
      <w:lvlJc w:val="left"/>
      <w:pPr>
        <w:tabs>
          <w:tab w:val="left" w:pos="1740"/>
        </w:tabs>
        <w:ind w:left="1724" w:hanging="420"/>
      </w:pPr>
      <w:rPr>
        <w:rFonts w:hint="eastAsia" w:cs="Times New Roman"/>
      </w:rPr>
    </w:lvl>
    <w:lvl w:ilvl="3" w:tentative="0">
      <w:start w:val="1"/>
      <w:numFmt w:val="decimal"/>
      <w:lvlText w:val="（%4）"/>
      <w:lvlJc w:val="left"/>
      <w:pPr>
        <w:tabs>
          <w:tab w:val="left" w:pos="2460"/>
        </w:tabs>
        <w:ind w:left="2444" w:hanging="720"/>
      </w:pPr>
      <w:rPr>
        <w:rFonts w:hint="eastAsia" w:cs="Times New Roman"/>
      </w:rPr>
    </w:lvl>
    <w:lvl w:ilvl="4" w:tentative="0">
      <w:start w:val="1"/>
      <w:numFmt w:val="lowerLetter"/>
      <w:lvlText w:val="%5)"/>
      <w:lvlJc w:val="left"/>
      <w:pPr>
        <w:tabs>
          <w:tab w:val="left" w:pos="2580"/>
        </w:tabs>
        <w:ind w:left="2564" w:hanging="420"/>
      </w:pPr>
      <w:rPr>
        <w:rFonts w:hint="eastAsia" w:cs="Times New Roman"/>
      </w:rPr>
    </w:lvl>
    <w:lvl w:ilvl="5" w:tentative="0">
      <w:start w:val="1"/>
      <w:numFmt w:val="lowerRoman"/>
      <w:lvlText w:val="%6."/>
      <w:lvlJc w:val="right"/>
      <w:pPr>
        <w:tabs>
          <w:tab w:val="left" w:pos="3000"/>
        </w:tabs>
        <w:ind w:left="2984" w:hanging="420"/>
      </w:pPr>
      <w:rPr>
        <w:rFonts w:hint="eastAsia" w:cs="Times New Roman"/>
      </w:rPr>
    </w:lvl>
    <w:lvl w:ilvl="6" w:tentative="0">
      <w:start w:val="1"/>
      <w:numFmt w:val="decimal"/>
      <w:lvlText w:val="%7."/>
      <w:lvlJc w:val="left"/>
      <w:pPr>
        <w:tabs>
          <w:tab w:val="left" w:pos="3420"/>
        </w:tabs>
        <w:ind w:left="3404" w:hanging="420"/>
      </w:pPr>
      <w:rPr>
        <w:rFonts w:hint="eastAsia" w:cs="Times New Roman"/>
      </w:rPr>
    </w:lvl>
    <w:lvl w:ilvl="7" w:tentative="0">
      <w:start w:val="1"/>
      <w:numFmt w:val="lowerLetter"/>
      <w:lvlText w:val="%8)"/>
      <w:lvlJc w:val="left"/>
      <w:pPr>
        <w:tabs>
          <w:tab w:val="left" w:pos="3840"/>
        </w:tabs>
        <w:ind w:left="3824" w:hanging="420"/>
      </w:pPr>
      <w:rPr>
        <w:rFonts w:hint="eastAsia" w:cs="Times New Roman"/>
      </w:rPr>
    </w:lvl>
    <w:lvl w:ilvl="8" w:tentative="0">
      <w:start w:val="1"/>
      <w:numFmt w:val="lowerRoman"/>
      <w:lvlText w:val="%9."/>
      <w:lvlJc w:val="right"/>
      <w:pPr>
        <w:tabs>
          <w:tab w:val="left" w:pos="4260"/>
        </w:tabs>
        <w:ind w:left="4244" w:hanging="420"/>
      </w:pPr>
      <w:rPr>
        <w:rFonts w:hint="eastAsia" w:cs="Times New Roman"/>
      </w:rPr>
    </w:lvl>
  </w:abstractNum>
  <w:abstractNum w:abstractNumId="13">
    <w:nsid w:val="079D8666"/>
    <w:multiLevelType w:val="multilevel"/>
    <w:tmpl w:val="079D8666"/>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4">
    <w:nsid w:val="084534A2"/>
    <w:multiLevelType w:val="singleLevel"/>
    <w:tmpl w:val="084534A2"/>
    <w:lvl w:ilvl="0" w:tentative="0">
      <w:start w:val="1"/>
      <w:numFmt w:val="chineseCounting"/>
      <w:suff w:val="nothing"/>
      <w:lvlText w:val="%1、"/>
      <w:lvlJc w:val="left"/>
      <w:rPr>
        <w:rFonts w:hint="eastAsia"/>
      </w:rPr>
    </w:lvl>
  </w:abstractNum>
  <w:abstractNum w:abstractNumId="15">
    <w:nsid w:val="0A115D51"/>
    <w:multiLevelType w:val="multilevel"/>
    <w:tmpl w:val="0A115D51"/>
    <w:lvl w:ilvl="0" w:tentative="0">
      <w:start w:val="1"/>
      <w:numFmt w:val="chineseCountingThousand"/>
      <w:suff w:val="nothing"/>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6">
    <w:nsid w:val="12D809B2"/>
    <w:multiLevelType w:val="multilevel"/>
    <w:tmpl w:val="12D809B2"/>
    <w:lvl w:ilvl="0" w:tentative="0">
      <w:start w:val="1"/>
      <w:numFmt w:val="chineseCountingThousand"/>
      <w:lvlText w:val="%1、"/>
      <w:lvlJc w:val="left"/>
      <w:pPr>
        <w:ind w:left="420" w:hanging="420"/>
      </w:pPr>
      <w:rPr>
        <w:rFonts w:hint="eastAsia" w:cs="Times New Roman"/>
      </w:rPr>
    </w:lvl>
    <w:lvl w:ilvl="1" w:tentative="0">
      <w:start w:val="1"/>
      <w:numFmt w:val="decimalEnclosedCircle"/>
      <w:lvlText w:val="%2_x0001_"/>
      <w:lvlJc w:val="left"/>
      <w:pPr>
        <w:ind w:left="780" w:hanging="360"/>
      </w:pPr>
      <w:rPr>
        <w:rFonts w:hint="default" w:cs="微软雅黑"/>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7">
    <w:nsid w:val="20166A90"/>
    <w:multiLevelType w:val="multilevel"/>
    <w:tmpl w:val="20166A90"/>
    <w:lvl w:ilvl="0" w:tentative="0">
      <w:start w:val="1"/>
      <w:numFmt w:val="decimal"/>
      <w:lvlText w:val="（%1）"/>
      <w:lvlJc w:val="left"/>
      <w:pPr>
        <w:tabs>
          <w:tab w:val="left" w:pos="1200"/>
        </w:tabs>
        <w:ind w:left="1440" w:hanging="720"/>
      </w:pPr>
      <w:rPr>
        <w:rFonts w:hint="default" w:ascii="Times New Roman" w:hAnsi="Times New Roman" w:eastAsia="宋体" w:cs="Times New Roman"/>
        <w:u w:val="none"/>
      </w:rPr>
    </w:lvl>
    <w:lvl w:ilvl="1" w:tentative="0">
      <w:start w:val="1"/>
      <w:numFmt w:val="lowerLetter"/>
      <w:lvlText w:val="%2)"/>
      <w:lvlJc w:val="left"/>
      <w:pPr>
        <w:tabs>
          <w:tab w:val="left" w:pos="1320"/>
        </w:tabs>
        <w:ind w:left="1560" w:hanging="420"/>
      </w:pPr>
      <w:rPr>
        <w:rFonts w:hint="default" w:cs="Times New Roman"/>
        <w:u w:val="none"/>
      </w:rPr>
    </w:lvl>
    <w:lvl w:ilvl="2" w:tentative="0">
      <w:start w:val="17"/>
      <w:numFmt w:val="decimal"/>
      <w:lvlText w:val="%3"/>
      <w:lvlJc w:val="left"/>
      <w:pPr>
        <w:tabs>
          <w:tab w:val="left" w:pos="1680"/>
        </w:tabs>
        <w:ind w:left="1920" w:hanging="360"/>
      </w:pPr>
      <w:rPr>
        <w:rFonts w:hint="default" w:ascii="Times New Roman" w:hAnsi="Times New Roman" w:eastAsia="宋体" w:cs="Times New Roman"/>
        <w:u w:val="none"/>
      </w:rPr>
    </w:lvl>
    <w:lvl w:ilvl="3" w:tentative="0">
      <w:start w:val="1"/>
      <w:numFmt w:val="decimal"/>
      <w:lvlText w:val="%4."/>
      <w:lvlJc w:val="left"/>
      <w:pPr>
        <w:tabs>
          <w:tab w:val="left" w:pos="2160"/>
        </w:tabs>
        <w:ind w:left="2400" w:hanging="420"/>
      </w:pPr>
      <w:rPr>
        <w:rFonts w:hint="default" w:cs="Times New Roman"/>
        <w:u w:val="none"/>
      </w:rPr>
    </w:lvl>
    <w:lvl w:ilvl="4" w:tentative="0">
      <w:start w:val="1"/>
      <w:numFmt w:val="lowerLetter"/>
      <w:lvlText w:val="%5)"/>
      <w:lvlJc w:val="left"/>
      <w:pPr>
        <w:tabs>
          <w:tab w:val="left" w:pos="2580"/>
        </w:tabs>
        <w:ind w:left="2820" w:hanging="420"/>
      </w:pPr>
      <w:rPr>
        <w:rFonts w:hint="default" w:cs="Times New Roman"/>
        <w:u w:val="none"/>
      </w:rPr>
    </w:lvl>
    <w:lvl w:ilvl="5" w:tentative="0">
      <w:start w:val="1"/>
      <w:numFmt w:val="lowerRoman"/>
      <w:lvlText w:val="%6."/>
      <w:lvlJc w:val="right"/>
      <w:pPr>
        <w:tabs>
          <w:tab w:val="left" w:pos="3000"/>
        </w:tabs>
        <w:ind w:left="3240" w:hanging="420"/>
      </w:pPr>
      <w:rPr>
        <w:rFonts w:hint="default" w:cs="Times New Roman"/>
        <w:u w:val="none"/>
      </w:rPr>
    </w:lvl>
    <w:lvl w:ilvl="6" w:tentative="0">
      <w:start w:val="1"/>
      <w:numFmt w:val="decimal"/>
      <w:lvlText w:val="%7."/>
      <w:lvlJc w:val="left"/>
      <w:pPr>
        <w:tabs>
          <w:tab w:val="left" w:pos="3420"/>
        </w:tabs>
        <w:ind w:left="3660" w:hanging="420"/>
      </w:pPr>
      <w:rPr>
        <w:rFonts w:hint="default" w:cs="Times New Roman"/>
        <w:u w:val="none"/>
      </w:rPr>
    </w:lvl>
    <w:lvl w:ilvl="7" w:tentative="0">
      <w:start w:val="1"/>
      <w:numFmt w:val="lowerLetter"/>
      <w:lvlText w:val="%8)"/>
      <w:lvlJc w:val="left"/>
      <w:pPr>
        <w:tabs>
          <w:tab w:val="left" w:pos="3840"/>
        </w:tabs>
        <w:ind w:left="4080" w:hanging="420"/>
      </w:pPr>
      <w:rPr>
        <w:rFonts w:hint="default" w:cs="Times New Roman"/>
        <w:u w:val="none"/>
      </w:rPr>
    </w:lvl>
    <w:lvl w:ilvl="8" w:tentative="0">
      <w:start w:val="1"/>
      <w:numFmt w:val="lowerRoman"/>
      <w:lvlText w:val="%9."/>
      <w:lvlJc w:val="right"/>
      <w:pPr>
        <w:tabs>
          <w:tab w:val="left" w:pos="4260"/>
        </w:tabs>
        <w:ind w:left="4500" w:hanging="420"/>
      </w:pPr>
      <w:rPr>
        <w:rFonts w:hint="default" w:cs="Times New Roman"/>
        <w:u w:val="none"/>
      </w:rPr>
    </w:lvl>
  </w:abstractNum>
  <w:abstractNum w:abstractNumId="18">
    <w:nsid w:val="2CFA6EB1"/>
    <w:multiLevelType w:val="multilevel"/>
    <w:tmpl w:val="2CFA6EB1"/>
    <w:lvl w:ilvl="0" w:tentative="0">
      <w:start w:val="1"/>
      <w:numFmt w:val="chineseCountingThousand"/>
      <w:suff w:val="nothing"/>
      <w:lvlText w:val="%1、"/>
      <w:lvlJc w:val="left"/>
      <w:pPr>
        <w:ind w:left="420" w:hanging="420"/>
      </w:pPr>
      <w:rPr>
        <w:rFonts w:hint="eastAsia" w:cs="Times New Roman"/>
      </w:rPr>
    </w:lvl>
    <w:lvl w:ilvl="1" w:tentative="0">
      <w:start w:val="1"/>
      <w:numFmt w:val="lowerLetter"/>
      <w:lvlText w:val="%2)"/>
      <w:lvlJc w:val="left"/>
      <w:pPr>
        <w:tabs>
          <w:tab w:val="left" w:pos="1260"/>
        </w:tabs>
        <w:ind w:left="1260" w:hanging="420"/>
      </w:pPr>
      <w:rPr>
        <w:rFonts w:hint="eastAsia" w:cs="Times New Roman"/>
      </w:rPr>
    </w:lvl>
    <w:lvl w:ilvl="2" w:tentative="0">
      <w:start w:val="1"/>
      <w:numFmt w:val="lowerRoman"/>
      <w:lvlText w:val="%3."/>
      <w:lvlJc w:val="right"/>
      <w:pPr>
        <w:tabs>
          <w:tab w:val="left" w:pos="1680"/>
        </w:tabs>
        <w:ind w:left="1680" w:hanging="420"/>
      </w:pPr>
      <w:rPr>
        <w:rFonts w:hint="eastAsia" w:cs="Times New Roman"/>
      </w:rPr>
    </w:lvl>
    <w:lvl w:ilvl="3" w:tentative="0">
      <w:start w:val="1"/>
      <w:numFmt w:val="decimal"/>
      <w:lvlText w:val="%4."/>
      <w:lvlJc w:val="left"/>
      <w:pPr>
        <w:tabs>
          <w:tab w:val="left" w:pos="2100"/>
        </w:tabs>
        <w:ind w:left="2100" w:hanging="420"/>
      </w:pPr>
      <w:rPr>
        <w:rFonts w:hint="eastAsia" w:cs="Times New Roman"/>
      </w:rPr>
    </w:lvl>
    <w:lvl w:ilvl="4" w:tentative="0">
      <w:start w:val="1"/>
      <w:numFmt w:val="lowerLetter"/>
      <w:lvlText w:val="%5)"/>
      <w:lvlJc w:val="left"/>
      <w:pPr>
        <w:tabs>
          <w:tab w:val="left" w:pos="2520"/>
        </w:tabs>
        <w:ind w:left="2520" w:hanging="420"/>
      </w:pPr>
      <w:rPr>
        <w:rFonts w:hint="eastAsia" w:cs="Times New Roman"/>
      </w:rPr>
    </w:lvl>
    <w:lvl w:ilvl="5" w:tentative="0">
      <w:start w:val="1"/>
      <w:numFmt w:val="lowerRoman"/>
      <w:lvlText w:val="%6."/>
      <w:lvlJc w:val="right"/>
      <w:pPr>
        <w:tabs>
          <w:tab w:val="left" w:pos="2940"/>
        </w:tabs>
        <w:ind w:left="2940" w:hanging="420"/>
      </w:pPr>
      <w:rPr>
        <w:rFonts w:hint="eastAsia" w:cs="Times New Roman"/>
      </w:rPr>
    </w:lvl>
    <w:lvl w:ilvl="6" w:tentative="0">
      <w:start w:val="1"/>
      <w:numFmt w:val="decimal"/>
      <w:lvlText w:val="%7."/>
      <w:lvlJc w:val="left"/>
      <w:pPr>
        <w:tabs>
          <w:tab w:val="left" w:pos="3360"/>
        </w:tabs>
        <w:ind w:left="3360" w:hanging="420"/>
      </w:pPr>
      <w:rPr>
        <w:rFonts w:hint="eastAsia" w:cs="Times New Roman"/>
      </w:rPr>
    </w:lvl>
    <w:lvl w:ilvl="7" w:tentative="0">
      <w:start w:val="1"/>
      <w:numFmt w:val="lowerLetter"/>
      <w:lvlText w:val="%8)"/>
      <w:lvlJc w:val="left"/>
      <w:pPr>
        <w:tabs>
          <w:tab w:val="left" w:pos="3780"/>
        </w:tabs>
        <w:ind w:left="3780" w:hanging="420"/>
      </w:pPr>
      <w:rPr>
        <w:rFonts w:hint="eastAsia" w:cs="Times New Roman"/>
      </w:rPr>
    </w:lvl>
    <w:lvl w:ilvl="8" w:tentative="0">
      <w:start w:val="1"/>
      <w:numFmt w:val="lowerRoman"/>
      <w:lvlText w:val="%9."/>
      <w:lvlJc w:val="right"/>
      <w:pPr>
        <w:tabs>
          <w:tab w:val="left" w:pos="4200"/>
        </w:tabs>
        <w:ind w:left="4200" w:hanging="420"/>
      </w:pPr>
      <w:rPr>
        <w:rFonts w:hint="eastAsia" w:cs="Times New Roman"/>
      </w:rPr>
    </w:lvl>
  </w:abstractNum>
  <w:abstractNum w:abstractNumId="19">
    <w:nsid w:val="408F6600"/>
    <w:multiLevelType w:val="multilevel"/>
    <w:tmpl w:val="408F6600"/>
    <w:lvl w:ilvl="0" w:tentative="0">
      <w:start w:val="1"/>
      <w:numFmt w:val="decimal"/>
      <w:lvlText w:val="%1."/>
      <w:lvlJc w:val="left"/>
      <w:pPr>
        <w:tabs>
          <w:tab w:val="left" w:pos="420"/>
        </w:tabs>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0">
    <w:nsid w:val="568ACB37"/>
    <w:multiLevelType w:val="multilevel"/>
    <w:tmpl w:val="568ACB37"/>
    <w:lvl w:ilvl="0" w:tentative="0">
      <w:start w:val="1"/>
      <w:numFmt w:val="decimal"/>
      <w:lvlText w:val="（%1）"/>
      <w:lvlJc w:val="left"/>
      <w:pPr>
        <w:tabs>
          <w:tab w:val="left" w:pos="1200"/>
        </w:tabs>
        <w:ind w:left="1440" w:hanging="720"/>
      </w:pPr>
      <w:rPr>
        <w:rFonts w:hint="default" w:ascii="Times New Roman" w:hAnsi="Times New Roman" w:eastAsia="宋体" w:cs="Times New Roman"/>
        <w:u w:val="none"/>
      </w:rPr>
    </w:lvl>
    <w:lvl w:ilvl="1" w:tentative="0">
      <w:start w:val="1"/>
      <w:numFmt w:val="lowerLetter"/>
      <w:lvlText w:val="%2)"/>
      <w:lvlJc w:val="left"/>
      <w:pPr>
        <w:tabs>
          <w:tab w:val="left" w:pos="1320"/>
        </w:tabs>
        <w:ind w:left="1560" w:hanging="420"/>
      </w:pPr>
      <w:rPr>
        <w:rFonts w:hint="default" w:cs="Times New Roman"/>
        <w:u w:val="none"/>
      </w:rPr>
    </w:lvl>
    <w:lvl w:ilvl="2" w:tentative="0">
      <w:start w:val="17"/>
      <w:numFmt w:val="decimal"/>
      <w:lvlText w:val="%3"/>
      <w:lvlJc w:val="left"/>
      <w:pPr>
        <w:tabs>
          <w:tab w:val="left" w:pos="1680"/>
        </w:tabs>
        <w:ind w:left="1920" w:hanging="360"/>
      </w:pPr>
      <w:rPr>
        <w:rFonts w:hint="default" w:ascii="Times New Roman" w:hAnsi="Times New Roman" w:eastAsia="宋体" w:cs="Times New Roman"/>
        <w:u w:val="none"/>
      </w:rPr>
    </w:lvl>
    <w:lvl w:ilvl="3" w:tentative="0">
      <w:start w:val="1"/>
      <w:numFmt w:val="decimal"/>
      <w:lvlText w:val="%4."/>
      <w:lvlJc w:val="left"/>
      <w:pPr>
        <w:tabs>
          <w:tab w:val="left" w:pos="2160"/>
        </w:tabs>
        <w:ind w:left="2400" w:hanging="420"/>
      </w:pPr>
      <w:rPr>
        <w:rFonts w:hint="default" w:cs="Times New Roman"/>
        <w:u w:val="none"/>
      </w:rPr>
    </w:lvl>
    <w:lvl w:ilvl="4" w:tentative="0">
      <w:start w:val="1"/>
      <w:numFmt w:val="lowerLetter"/>
      <w:lvlText w:val="%5)"/>
      <w:lvlJc w:val="left"/>
      <w:pPr>
        <w:tabs>
          <w:tab w:val="left" w:pos="2580"/>
        </w:tabs>
        <w:ind w:left="2820" w:hanging="420"/>
      </w:pPr>
      <w:rPr>
        <w:rFonts w:hint="default" w:cs="Times New Roman"/>
        <w:u w:val="none"/>
      </w:rPr>
    </w:lvl>
    <w:lvl w:ilvl="5" w:tentative="0">
      <w:start w:val="1"/>
      <w:numFmt w:val="lowerRoman"/>
      <w:lvlText w:val="%6."/>
      <w:lvlJc w:val="right"/>
      <w:pPr>
        <w:tabs>
          <w:tab w:val="left" w:pos="3000"/>
        </w:tabs>
        <w:ind w:left="3240" w:hanging="420"/>
      </w:pPr>
      <w:rPr>
        <w:rFonts w:hint="default" w:cs="Times New Roman"/>
        <w:u w:val="none"/>
      </w:rPr>
    </w:lvl>
    <w:lvl w:ilvl="6" w:tentative="0">
      <w:start w:val="1"/>
      <w:numFmt w:val="decimal"/>
      <w:lvlText w:val="%7."/>
      <w:lvlJc w:val="left"/>
      <w:pPr>
        <w:tabs>
          <w:tab w:val="left" w:pos="3420"/>
        </w:tabs>
        <w:ind w:left="3660" w:hanging="420"/>
      </w:pPr>
      <w:rPr>
        <w:rFonts w:hint="default" w:cs="Times New Roman"/>
        <w:u w:val="none"/>
      </w:rPr>
    </w:lvl>
    <w:lvl w:ilvl="7" w:tentative="0">
      <w:start w:val="1"/>
      <w:numFmt w:val="lowerLetter"/>
      <w:lvlText w:val="%8)"/>
      <w:lvlJc w:val="left"/>
      <w:pPr>
        <w:tabs>
          <w:tab w:val="left" w:pos="3840"/>
        </w:tabs>
        <w:ind w:left="4080" w:hanging="420"/>
      </w:pPr>
      <w:rPr>
        <w:rFonts w:hint="default" w:cs="Times New Roman"/>
        <w:u w:val="none"/>
      </w:rPr>
    </w:lvl>
    <w:lvl w:ilvl="8" w:tentative="0">
      <w:start w:val="1"/>
      <w:numFmt w:val="lowerRoman"/>
      <w:lvlText w:val="%9."/>
      <w:lvlJc w:val="right"/>
      <w:pPr>
        <w:tabs>
          <w:tab w:val="left" w:pos="4260"/>
        </w:tabs>
        <w:ind w:left="4500" w:hanging="420"/>
      </w:pPr>
      <w:rPr>
        <w:rFonts w:hint="default" w:cs="Times New Roman"/>
        <w:u w:val="none"/>
      </w:rPr>
    </w:lvl>
  </w:abstractNum>
  <w:abstractNum w:abstractNumId="21">
    <w:nsid w:val="58433B77"/>
    <w:multiLevelType w:val="multilevel"/>
    <w:tmpl w:val="58433B77"/>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2">
    <w:nsid w:val="59D5102C"/>
    <w:multiLevelType w:val="multilevel"/>
    <w:tmpl w:val="59D5102C"/>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3">
    <w:nsid w:val="752F5BDC"/>
    <w:multiLevelType w:val="multilevel"/>
    <w:tmpl w:val="752F5BDC"/>
    <w:lvl w:ilvl="0" w:tentative="0">
      <w:start w:val="1"/>
      <w:numFmt w:val="chineseCountingThousand"/>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4">
    <w:nsid w:val="7DEF8BF9"/>
    <w:multiLevelType w:val="singleLevel"/>
    <w:tmpl w:val="7DEF8BF9"/>
    <w:lvl w:ilvl="0" w:tentative="0">
      <w:start w:val="2"/>
      <w:numFmt w:val="chineseCounting"/>
      <w:suff w:val="nothing"/>
      <w:lvlText w:val="%1、"/>
      <w:lvlJc w:val="left"/>
      <w:rPr>
        <w:rFonts w:hint="eastAsia"/>
      </w:rPr>
    </w:lvl>
  </w:abstractNum>
  <w:num w:numId="1">
    <w:abstractNumId w:val="9"/>
  </w:num>
  <w:num w:numId="2">
    <w:abstractNumId w:val="3"/>
  </w:num>
  <w:num w:numId="3">
    <w:abstractNumId w:val="10"/>
  </w:num>
  <w:num w:numId="4">
    <w:abstractNumId w:val="4"/>
  </w:num>
  <w:num w:numId="5">
    <w:abstractNumId w:val="22"/>
  </w:num>
  <w:num w:numId="6">
    <w:abstractNumId w:val="13"/>
  </w:num>
  <w:num w:numId="7">
    <w:abstractNumId w:val="7"/>
  </w:num>
  <w:num w:numId="8">
    <w:abstractNumId w:val="12"/>
  </w:num>
  <w:num w:numId="9">
    <w:abstractNumId w:val="2"/>
  </w:num>
  <w:num w:numId="10">
    <w:abstractNumId w:val="18"/>
  </w:num>
  <w:num w:numId="11">
    <w:abstractNumId w:val="16"/>
  </w:num>
  <w:num w:numId="12">
    <w:abstractNumId w:val="19"/>
  </w:num>
  <w:num w:numId="13">
    <w:abstractNumId w:val="23"/>
  </w:num>
  <w:num w:numId="14">
    <w:abstractNumId w:val="0"/>
  </w:num>
  <w:num w:numId="15">
    <w:abstractNumId w:val="11"/>
  </w:num>
  <w:num w:numId="16">
    <w:abstractNumId w:val="5"/>
  </w:num>
  <w:num w:numId="17">
    <w:abstractNumId w:val="8"/>
  </w:num>
  <w:num w:numId="18">
    <w:abstractNumId w:val="6"/>
  </w:num>
  <w:num w:numId="19">
    <w:abstractNumId w:val="20"/>
  </w:num>
  <w:num w:numId="20">
    <w:abstractNumId w:val="17"/>
  </w:num>
  <w:num w:numId="21">
    <w:abstractNumId w:val="1"/>
  </w:num>
  <w:num w:numId="22">
    <w:abstractNumId w:val="15"/>
  </w:num>
  <w:num w:numId="23">
    <w:abstractNumId w:val="24"/>
  </w:num>
  <w:num w:numId="24">
    <w:abstractNumId w:val="1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20"/>
  <w:drawingGridVerticalSpacing w:val="168"/>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mNjZiNTE0MTg2ZTYzMmVmYzQwMmM3MTM3YjRjNDQifQ=="/>
  </w:docVars>
  <w:rsids>
    <w:rsidRoot w:val="00172A27"/>
    <w:rsid w:val="000034AB"/>
    <w:rsid w:val="000042ED"/>
    <w:rsid w:val="000102EC"/>
    <w:rsid w:val="000104FD"/>
    <w:rsid w:val="00013828"/>
    <w:rsid w:val="00015049"/>
    <w:rsid w:val="00015251"/>
    <w:rsid w:val="00016136"/>
    <w:rsid w:val="00016509"/>
    <w:rsid w:val="00020D67"/>
    <w:rsid w:val="000236B1"/>
    <w:rsid w:val="0002631A"/>
    <w:rsid w:val="000264BC"/>
    <w:rsid w:val="00033657"/>
    <w:rsid w:val="00036C42"/>
    <w:rsid w:val="00045A8A"/>
    <w:rsid w:val="00051381"/>
    <w:rsid w:val="00051FB2"/>
    <w:rsid w:val="000522D1"/>
    <w:rsid w:val="000555B2"/>
    <w:rsid w:val="0006462B"/>
    <w:rsid w:val="00065455"/>
    <w:rsid w:val="00065D19"/>
    <w:rsid w:val="00066BB3"/>
    <w:rsid w:val="00070EED"/>
    <w:rsid w:val="000766E4"/>
    <w:rsid w:val="00077085"/>
    <w:rsid w:val="000774C4"/>
    <w:rsid w:val="00083E03"/>
    <w:rsid w:val="00085CD3"/>
    <w:rsid w:val="000862F9"/>
    <w:rsid w:val="00090CF9"/>
    <w:rsid w:val="000916E6"/>
    <w:rsid w:val="00093177"/>
    <w:rsid w:val="0009561C"/>
    <w:rsid w:val="0009711C"/>
    <w:rsid w:val="000972B5"/>
    <w:rsid w:val="000A4480"/>
    <w:rsid w:val="000A57E9"/>
    <w:rsid w:val="000A7624"/>
    <w:rsid w:val="000A77DC"/>
    <w:rsid w:val="000B003B"/>
    <w:rsid w:val="000B1F97"/>
    <w:rsid w:val="000B2A63"/>
    <w:rsid w:val="000B341B"/>
    <w:rsid w:val="000B6607"/>
    <w:rsid w:val="000B731E"/>
    <w:rsid w:val="000B7DA2"/>
    <w:rsid w:val="000C3AB6"/>
    <w:rsid w:val="000C4893"/>
    <w:rsid w:val="000D0CF4"/>
    <w:rsid w:val="000D5286"/>
    <w:rsid w:val="000D547B"/>
    <w:rsid w:val="000E2A3F"/>
    <w:rsid w:val="000E43B3"/>
    <w:rsid w:val="000E4E80"/>
    <w:rsid w:val="000E5AC8"/>
    <w:rsid w:val="000E6A63"/>
    <w:rsid w:val="000E716D"/>
    <w:rsid w:val="000F1D8B"/>
    <w:rsid w:val="000F2BB9"/>
    <w:rsid w:val="000F7D18"/>
    <w:rsid w:val="00101F9A"/>
    <w:rsid w:val="001047A2"/>
    <w:rsid w:val="00105E77"/>
    <w:rsid w:val="00105FDF"/>
    <w:rsid w:val="00110781"/>
    <w:rsid w:val="00113942"/>
    <w:rsid w:val="00113B19"/>
    <w:rsid w:val="00125040"/>
    <w:rsid w:val="001276C3"/>
    <w:rsid w:val="00133469"/>
    <w:rsid w:val="00134970"/>
    <w:rsid w:val="00136F1E"/>
    <w:rsid w:val="00137038"/>
    <w:rsid w:val="0013734C"/>
    <w:rsid w:val="001378F3"/>
    <w:rsid w:val="001405C0"/>
    <w:rsid w:val="0014158D"/>
    <w:rsid w:val="00144F1D"/>
    <w:rsid w:val="0014554F"/>
    <w:rsid w:val="0014648A"/>
    <w:rsid w:val="00146566"/>
    <w:rsid w:val="00150A4A"/>
    <w:rsid w:val="00153D0E"/>
    <w:rsid w:val="00157410"/>
    <w:rsid w:val="001603CB"/>
    <w:rsid w:val="001608E5"/>
    <w:rsid w:val="00161102"/>
    <w:rsid w:val="00165CDD"/>
    <w:rsid w:val="0016693A"/>
    <w:rsid w:val="001670E8"/>
    <w:rsid w:val="00170E2A"/>
    <w:rsid w:val="0017192C"/>
    <w:rsid w:val="00172804"/>
    <w:rsid w:val="00172A27"/>
    <w:rsid w:val="00174295"/>
    <w:rsid w:val="0017556D"/>
    <w:rsid w:val="00180466"/>
    <w:rsid w:val="00181792"/>
    <w:rsid w:val="00181CBC"/>
    <w:rsid w:val="00187646"/>
    <w:rsid w:val="0019049E"/>
    <w:rsid w:val="00193112"/>
    <w:rsid w:val="0019322B"/>
    <w:rsid w:val="00195B9D"/>
    <w:rsid w:val="0019626B"/>
    <w:rsid w:val="0019643A"/>
    <w:rsid w:val="001A1C52"/>
    <w:rsid w:val="001A2191"/>
    <w:rsid w:val="001A4B20"/>
    <w:rsid w:val="001A6DED"/>
    <w:rsid w:val="001A74BB"/>
    <w:rsid w:val="001B0009"/>
    <w:rsid w:val="001B20D7"/>
    <w:rsid w:val="001B6D33"/>
    <w:rsid w:val="001C0D78"/>
    <w:rsid w:val="001C2978"/>
    <w:rsid w:val="001C2D51"/>
    <w:rsid w:val="001C30A7"/>
    <w:rsid w:val="001C3114"/>
    <w:rsid w:val="001C4CA3"/>
    <w:rsid w:val="001C4D1C"/>
    <w:rsid w:val="001C5002"/>
    <w:rsid w:val="001D05CA"/>
    <w:rsid w:val="001D25F9"/>
    <w:rsid w:val="001D2ECA"/>
    <w:rsid w:val="001D4486"/>
    <w:rsid w:val="001D4BA6"/>
    <w:rsid w:val="001D4EEE"/>
    <w:rsid w:val="001D5208"/>
    <w:rsid w:val="001E51F3"/>
    <w:rsid w:val="001E6C76"/>
    <w:rsid w:val="001F0DCE"/>
    <w:rsid w:val="001F2680"/>
    <w:rsid w:val="001F2D33"/>
    <w:rsid w:val="001F5C44"/>
    <w:rsid w:val="00202C9E"/>
    <w:rsid w:val="00205EB1"/>
    <w:rsid w:val="00207CEF"/>
    <w:rsid w:val="002121B2"/>
    <w:rsid w:val="00213E06"/>
    <w:rsid w:val="00214413"/>
    <w:rsid w:val="0021448E"/>
    <w:rsid w:val="0021726A"/>
    <w:rsid w:val="00220F24"/>
    <w:rsid w:val="00220F7B"/>
    <w:rsid w:val="00223768"/>
    <w:rsid w:val="00224C15"/>
    <w:rsid w:val="00225A45"/>
    <w:rsid w:val="002270B1"/>
    <w:rsid w:val="00227400"/>
    <w:rsid w:val="00231495"/>
    <w:rsid w:val="00231783"/>
    <w:rsid w:val="00232113"/>
    <w:rsid w:val="00233101"/>
    <w:rsid w:val="00237C0D"/>
    <w:rsid w:val="00240DCB"/>
    <w:rsid w:val="00242035"/>
    <w:rsid w:val="0024219D"/>
    <w:rsid w:val="00242888"/>
    <w:rsid w:val="00242DA5"/>
    <w:rsid w:val="00245662"/>
    <w:rsid w:val="002469DC"/>
    <w:rsid w:val="00247AAA"/>
    <w:rsid w:val="0025013C"/>
    <w:rsid w:val="00252491"/>
    <w:rsid w:val="00253061"/>
    <w:rsid w:val="002605D2"/>
    <w:rsid w:val="00260932"/>
    <w:rsid w:val="00260BCF"/>
    <w:rsid w:val="00260E0B"/>
    <w:rsid w:val="00263A17"/>
    <w:rsid w:val="002641AD"/>
    <w:rsid w:val="00274569"/>
    <w:rsid w:val="002749F5"/>
    <w:rsid w:val="002773CE"/>
    <w:rsid w:val="00277FD2"/>
    <w:rsid w:val="00280F8D"/>
    <w:rsid w:val="002825AD"/>
    <w:rsid w:val="002825AE"/>
    <w:rsid w:val="00282A12"/>
    <w:rsid w:val="002830D8"/>
    <w:rsid w:val="00283F21"/>
    <w:rsid w:val="0028524D"/>
    <w:rsid w:val="00292902"/>
    <w:rsid w:val="002931B1"/>
    <w:rsid w:val="0029404E"/>
    <w:rsid w:val="002A0DBF"/>
    <w:rsid w:val="002A19CD"/>
    <w:rsid w:val="002A1FBE"/>
    <w:rsid w:val="002A7DDC"/>
    <w:rsid w:val="002B0C5B"/>
    <w:rsid w:val="002B16A6"/>
    <w:rsid w:val="002B23BD"/>
    <w:rsid w:val="002B306A"/>
    <w:rsid w:val="002B3166"/>
    <w:rsid w:val="002B3358"/>
    <w:rsid w:val="002B6B13"/>
    <w:rsid w:val="002B6EBC"/>
    <w:rsid w:val="002C0EB4"/>
    <w:rsid w:val="002C3165"/>
    <w:rsid w:val="002C3C35"/>
    <w:rsid w:val="002C71BC"/>
    <w:rsid w:val="002C766B"/>
    <w:rsid w:val="002D31B5"/>
    <w:rsid w:val="002D35BF"/>
    <w:rsid w:val="002D39F4"/>
    <w:rsid w:val="002D593D"/>
    <w:rsid w:val="002D5F8A"/>
    <w:rsid w:val="002D6F27"/>
    <w:rsid w:val="002D7734"/>
    <w:rsid w:val="002E3459"/>
    <w:rsid w:val="002E3D2B"/>
    <w:rsid w:val="002F2BC5"/>
    <w:rsid w:val="002F37D8"/>
    <w:rsid w:val="002F3F61"/>
    <w:rsid w:val="002F5E2D"/>
    <w:rsid w:val="003027D1"/>
    <w:rsid w:val="00304345"/>
    <w:rsid w:val="00314442"/>
    <w:rsid w:val="00314ADD"/>
    <w:rsid w:val="00314C8C"/>
    <w:rsid w:val="003152FB"/>
    <w:rsid w:val="00315B30"/>
    <w:rsid w:val="003201CB"/>
    <w:rsid w:val="0032148A"/>
    <w:rsid w:val="0032421F"/>
    <w:rsid w:val="00330B60"/>
    <w:rsid w:val="00331D81"/>
    <w:rsid w:val="00342982"/>
    <w:rsid w:val="003431DC"/>
    <w:rsid w:val="00344A1B"/>
    <w:rsid w:val="00350A9F"/>
    <w:rsid w:val="003533D0"/>
    <w:rsid w:val="00354670"/>
    <w:rsid w:val="00355289"/>
    <w:rsid w:val="00361E43"/>
    <w:rsid w:val="00363304"/>
    <w:rsid w:val="00364D07"/>
    <w:rsid w:val="00367D54"/>
    <w:rsid w:val="00372744"/>
    <w:rsid w:val="0038086E"/>
    <w:rsid w:val="00381040"/>
    <w:rsid w:val="00383AF7"/>
    <w:rsid w:val="00396952"/>
    <w:rsid w:val="003A02D9"/>
    <w:rsid w:val="003A1EC0"/>
    <w:rsid w:val="003A30C6"/>
    <w:rsid w:val="003A370B"/>
    <w:rsid w:val="003A605E"/>
    <w:rsid w:val="003A76FA"/>
    <w:rsid w:val="003B254B"/>
    <w:rsid w:val="003B39FB"/>
    <w:rsid w:val="003B4407"/>
    <w:rsid w:val="003B4B4E"/>
    <w:rsid w:val="003C12CD"/>
    <w:rsid w:val="003C275F"/>
    <w:rsid w:val="003C3F6F"/>
    <w:rsid w:val="003C5292"/>
    <w:rsid w:val="003C53D7"/>
    <w:rsid w:val="003C671A"/>
    <w:rsid w:val="003D0359"/>
    <w:rsid w:val="003D1D97"/>
    <w:rsid w:val="003D32D9"/>
    <w:rsid w:val="003D37D7"/>
    <w:rsid w:val="003D3E5F"/>
    <w:rsid w:val="003D4694"/>
    <w:rsid w:val="003D4C22"/>
    <w:rsid w:val="003E4D89"/>
    <w:rsid w:val="003E648B"/>
    <w:rsid w:val="003E715C"/>
    <w:rsid w:val="003F0825"/>
    <w:rsid w:val="003F52C4"/>
    <w:rsid w:val="003F66FE"/>
    <w:rsid w:val="003F6748"/>
    <w:rsid w:val="003F7496"/>
    <w:rsid w:val="00401666"/>
    <w:rsid w:val="00401A83"/>
    <w:rsid w:val="00403598"/>
    <w:rsid w:val="00405A78"/>
    <w:rsid w:val="00413208"/>
    <w:rsid w:val="004138F5"/>
    <w:rsid w:val="004232E7"/>
    <w:rsid w:val="004242F6"/>
    <w:rsid w:val="004259C7"/>
    <w:rsid w:val="004269EC"/>
    <w:rsid w:val="0043116E"/>
    <w:rsid w:val="00435215"/>
    <w:rsid w:val="00436068"/>
    <w:rsid w:val="00436BF7"/>
    <w:rsid w:val="00437AA9"/>
    <w:rsid w:val="004401CC"/>
    <w:rsid w:val="00440A27"/>
    <w:rsid w:val="00442391"/>
    <w:rsid w:val="00446C0A"/>
    <w:rsid w:val="004532C0"/>
    <w:rsid w:val="00454A8C"/>
    <w:rsid w:val="004629EB"/>
    <w:rsid w:val="00462B90"/>
    <w:rsid w:val="004665B4"/>
    <w:rsid w:val="00471A82"/>
    <w:rsid w:val="00471B29"/>
    <w:rsid w:val="004724A7"/>
    <w:rsid w:val="004761DA"/>
    <w:rsid w:val="004770AC"/>
    <w:rsid w:val="00477E26"/>
    <w:rsid w:val="004810C1"/>
    <w:rsid w:val="004813F6"/>
    <w:rsid w:val="0048341F"/>
    <w:rsid w:val="00483766"/>
    <w:rsid w:val="004840BB"/>
    <w:rsid w:val="00485CED"/>
    <w:rsid w:val="00490F71"/>
    <w:rsid w:val="00491556"/>
    <w:rsid w:val="004948B1"/>
    <w:rsid w:val="00496C0D"/>
    <w:rsid w:val="004A302C"/>
    <w:rsid w:val="004A5A4E"/>
    <w:rsid w:val="004A65D4"/>
    <w:rsid w:val="004A7C8A"/>
    <w:rsid w:val="004B2C40"/>
    <w:rsid w:val="004B53A0"/>
    <w:rsid w:val="004B6182"/>
    <w:rsid w:val="004C5017"/>
    <w:rsid w:val="004E1F68"/>
    <w:rsid w:val="004E5042"/>
    <w:rsid w:val="004E6F1F"/>
    <w:rsid w:val="004E734F"/>
    <w:rsid w:val="004F3C43"/>
    <w:rsid w:val="004F433F"/>
    <w:rsid w:val="004F4AA4"/>
    <w:rsid w:val="004F4AE8"/>
    <w:rsid w:val="004F585D"/>
    <w:rsid w:val="004F63DC"/>
    <w:rsid w:val="004F6837"/>
    <w:rsid w:val="004F79CA"/>
    <w:rsid w:val="004F7EA7"/>
    <w:rsid w:val="00500326"/>
    <w:rsid w:val="00501F92"/>
    <w:rsid w:val="00506163"/>
    <w:rsid w:val="005067CF"/>
    <w:rsid w:val="00510055"/>
    <w:rsid w:val="005126BD"/>
    <w:rsid w:val="00522328"/>
    <w:rsid w:val="00524424"/>
    <w:rsid w:val="00526865"/>
    <w:rsid w:val="005268E1"/>
    <w:rsid w:val="005328AE"/>
    <w:rsid w:val="00533462"/>
    <w:rsid w:val="005369A8"/>
    <w:rsid w:val="00543496"/>
    <w:rsid w:val="00544556"/>
    <w:rsid w:val="0054475D"/>
    <w:rsid w:val="0054479D"/>
    <w:rsid w:val="00555003"/>
    <w:rsid w:val="005561D0"/>
    <w:rsid w:val="00557B3D"/>
    <w:rsid w:val="005646F5"/>
    <w:rsid w:val="0056582B"/>
    <w:rsid w:val="00565868"/>
    <w:rsid w:val="00570BB6"/>
    <w:rsid w:val="00572AE4"/>
    <w:rsid w:val="0057367B"/>
    <w:rsid w:val="0057619F"/>
    <w:rsid w:val="0058195F"/>
    <w:rsid w:val="00582A21"/>
    <w:rsid w:val="00584A0C"/>
    <w:rsid w:val="00587583"/>
    <w:rsid w:val="00590563"/>
    <w:rsid w:val="00593436"/>
    <w:rsid w:val="005942F8"/>
    <w:rsid w:val="005962C2"/>
    <w:rsid w:val="00596F89"/>
    <w:rsid w:val="005A02F3"/>
    <w:rsid w:val="005A0D20"/>
    <w:rsid w:val="005A1668"/>
    <w:rsid w:val="005A7B00"/>
    <w:rsid w:val="005B697E"/>
    <w:rsid w:val="005B74B1"/>
    <w:rsid w:val="005C1DE2"/>
    <w:rsid w:val="005C45AB"/>
    <w:rsid w:val="005C6625"/>
    <w:rsid w:val="005C6EEF"/>
    <w:rsid w:val="005D192E"/>
    <w:rsid w:val="005E2AE2"/>
    <w:rsid w:val="005E3C72"/>
    <w:rsid w:val="005E64B1"/>
    <w:rsid w:val="005E6E41"/>
    <w:rsid w:val="005F17D5"/>
    <w:rsid w:val="005F2F39"/>
    <w:rsid w:val="005F3322"/>
    <w:rsid w:val="005F434D"/>
    <w:rsid w:val="005F5FED"/>
    <w:rsid w:val="00600141"/>
    <w:rsid w:val="006015D8"/>
    <w:rsid w:val="00604012"/>
    <w:rsid w:val="00604D38"/>
    <w:rsid w:val="006100A4"/>
    <w:rsid w:val="006110CA"/>
    <w:rsid w:val="00614927"/>
    <w:rsid w:val="00616962"/>
    <w:rsid w:val="00617409"/>
    <w:rsid w:val="00617BA6"/>
    <w:rsid w:val="00620D26"/>
    <w:rsid w:val="0062232D"/>
    <w:rsid w:val="00627A06"/>
    <w:rsid w:val="00630D70"/>
    <w:rsid w:val="00635A54"/>
    <w:rsid w:val="00636A0A"/>
    <w:rsid w:val="00636A6E"/>
    <w:rsid w:val="00644017"/>
    <w:rsid w:val="006514FC"/>
    <w:rsid w:val="00651D22"/>
    <w:rsid w:val="00653AC2"/>
    <w:rsid w:val="00655CE2"/>
    <w:rsid w:val="00656AAB"/>
    <w:rsid w:val="00661C19"/>
    <w:rsid w:val="006628BF"/>
    <w:rsid w:val="00663018"/>
    <w:rsid w:val="006634B9"/>
    <w:rsid w:val="00663755"/>
    <w:rsid w:val="0066599C"/>
    <w:rsid w:val="00666554"/>
    <w:rsid w:val="0067361C"/>
    <w:rsid w:val="00674973"/>
    <w:rsid w:val="00676B0B"/>
    <w:rsid w:val="006815DF"/>
    <w:rsid w:val="00681F5D"/>
    <w:rsid w:val="0068280B"/>
    <w:rsid w:val="00682896"/>
    <w:rsid w:val="006848F7"/>
    <w:rsid w:val="00685E61"/>
    <w:rsid w:val="0068710E"/>
    <w:rsid w:val="00690859"/>
    <w:rsid w:val="006913C0"/>
    <w:rsid w:val="00691D05"/>
    <w:rsid w:val="0069442C"/>
    <w:rsid w:val="006948E4"/>
    <w:rsid w:val="00694E1D"/>
    <w:rsid w:val="0069508C"/>
    <w:rsid w:val="00695399"/>
    <w:rsid w:val="006967FF"/>
    <w:rsid w:val="006A1A3C"/>
    <w:rsid w:val="006A261B"/>
    <w:rsid w:val="006A308A"/>
    <w:rsid w:val="006A3507"/>
    <w:rsid w:val="006A4F8B"/>
    <w:rsid w:val="006A5E8E"/>
    <w:rsid w:val="006A6F66"/>
    <w:rsid w:val="006B2287"/>
    <w:rsid w:val="006B249E"/>
    <w:rsid w:val="006B4D65"/>
    <w:rsid w:val="006C31C3"/>
    <w:rsid w:val="006C50EB"/>
    <w:rsid w:val="006C7DE1"/>
    <w:rsid w:val="006D0850"/>
    <w:rsid w:val="006D4544"/>
    <w:rsid w:val="006E1B20"/>
    <w:rsid w:val="006E50CB"/>
    <w:rsid w:val="006F06D2"/>
    <w:rsid w:val="006F1108"/>
    <w:rsid w:val="006F1513"/>
    <w:rsid w:val="006F2C5C"/>
    <w:rsid w:val="006F4CFC"/>
    <w:rsid w:val="006F5950"/>
    <w:rsid w:val="006F5AD7"/>
    <w:rsid w:val="006F74E2"/>
    <w:rsid w:val="006F7879"/>
    <w:rsid w:val="00701FCB"/>
    <w:rsid w:val="007029AF"/>
    <w:rsid w:val="00702C83"/>
    <w:rsid w:val="00704E03"/>
    <w:rsid w:val="00705F75"/>
    <w:rsid w:val="00707553"/>
    <w:rsid w:val="00710112"/>
    <w:rsid w:val="0071065B"/>
    <w:rsid w:val="0071753E"/>
    <w:rsid w:val="00721A3C"/>
    <w:rsid w:val="00727ACE"/>
    <w:rsid w:val="00730F3B"/>
    <w:rsid w:val="0073323B"/>
    <w:rsid w:val="0073572D"/>
    <w:rsid w:val="0073635F"/>
    <w:rsid w:val="00736E7A"/>
    <w:rsid w:val="00737105"/>
    <w:rsid w:val="00740449"/>
    <w:rsid w:val="00743095"/>
    <w:rsid w:val="00744F52"/>
    <w:rsid w:val="00746315"/>
    <w:rsid w:val="007658DF"/>
    <w:rsid w:val="007678D8"/>
    <w:rsid w:val="00767F96"/>
    <w:rsid w:val="00781F8C"/>
    <w:rsid w:val="00792409"/>
    <w:rsid w:val="00792AB3"/>
    <w:rsid w:val="00794754"/>
    <w:rsid w:val="007A0342"/>
    <w:rsid w:val="007A1F2D"/>
    <w:rsid w:val="007A3A7C"/>
    <w:rsid w:val="007A4B25"/>
    <w:rsid w:val="007B4325"/>
    <w:rsid w:val="007B4DCA"/>
    <w:rsid w:val="007C20B5"/>
    <w:rsid w:val="007C21B0"/>
    <w:rsid w:val="007D198C"/>
    <w:rsid w:val="007D22A5"/>
    <w:rsid w:val="007D3207"/>
    <w:rsid w:val="007D6950"/>
    <w:rsid w:val="007E082D"/>
    <w:rsid w:val="007E140C"/>
    <w:rsid w:val="007E3AFC"/>
    <w:rsid w:val="007E40C0"/>
    <w:rsid w:val="007E500D"/>
    <w:rsid w:val="007F0195"/>
    <w:rsid w:val="007F0E9E"/>
    <w:rsid w:val="007F107B"/>
    <w:rsid w:val="007F25C1"/>
    <w:rsid w:val="007F3966"/>
    <w:rsid w:val="00800AEB"/>
    <w:rsid w:val="00800DE0"/>
    <w:rsid w:val="00801B6B"/>
    <w:rsid w:val="008027A2"/>
    <w:rsid w:val="00803D2F"/>
    <w:rsid w:val="00804114"/>
    <w:rsid w:val="00804A66"/>
    <w:rsid w:val="008066D6"/>
    <w:rsid w:val="008074E4"/>
    <w:rsid w:val="008079C6"/>
    <w:rsid w:val="00807E49"/>
    <w:rsid w:val="0081258B"/>
    <w:rsid w:val="00815395"/>
    <w:rsid w:val="00815639"/>
    <w:rsid w:val="00820AFA"/>
    <w:rsid w:val="0082195B"/>
    <w:rsid w:val="008233F8"/>
    <w:rsid w:val="0082371F"/>
    <w:rsid w:val="00824433"/>
    <w:rsid w:val="00824E67"/>
    <w:rsid w:val="00826698"/>
    <w:rsid w:val="00826ADB"/>
    <w:rsid w:val="0083081A"/>
    <w:rsid w:val="00830C89"/>
    <w:rsid w:val="008326A5"/>
    <w:rsid w:val="00832F71"/>
    <w:rsid w:val="00833082"/>
    <w:rsid w:val="008347DE"/>
    <w:rsid w:val="00835B90"/>
    <w:rsid w:val="0083669B"/>
    <w:rsid w:val="00837930"/>
    <w:rsid w:val="00841C91"/>
    <w:rsid w:val="00842100"/>
    <w:rsid w:val="008445B2"/>
    <w:rsid w:val="00845330"/>
    <w:rsid w:val="00853703"/>
    <w:rsid w:val="0085592D"/>
    <w:rsid w:val="00855A62"/>
    <w:rsid w:val="00857126"/>
    <w:rsid w:val="00861129"/>
    <w:rsid w:val="0086129A"/>
    <w:rsid w:val="008625BA"/>
    <w:rsid w:val="0087159A"/>
    <w:rsid w:val="008715EE"/>
    <w:rsid w:val="008729FE"/>
    <w:rsid w:val="008764C2"/>
    <w:rsid w:val="00876D7D"/>
    <w:rsid w:val="0088116E"/>
    <w:rsid w:val="008811DC"/>
    <w:rsid w:val="00882005"/>
    <w:rsid w:val="00882EA4"/>
    <w:rsid w:val="00883AAF"/>
    <w:rsid w:val="008867C0"/>
    <w:rsid w:val="008872F3"/>
    <w:rsid w:val="00890D88"/>
    <w:rsid w:val="00892010"/>
    <w:rsid w:val="008931FF"/>
    <w:rsid w:val="0089660B"/>
    <w:rsid w:val="0089793A"/>
    <w:rsid w:val="008A218E"/>
    <w:rsid w:val="008A340F"/>
    <w:rsid w:val="008A436A"/>
    <w:rsid w:val="008A5BD6"/>
    <w:rsid w:val="008A5F22"/>
    <w:rsid w:val="008B29CA"/>
    <w:rsid w:val="008B7034"/>
    <w:rsid w:val="008C064E"/>
    <w:rsid w:val="008C1281"/>
    <w:rsid w:val="008C4886"/>
    <w:rsid w:val="008C4BAA"/>
    <w:rsid w:val="008C7CD0"/>
    <w:rsid w:val="008D0778"/>
    <w:rsid w:val="008D1E74"/>
    <w:rsid w:val="008D4878"/>
    <w:rsid w:val="008D6572"/>
    <w:rsid w:val="008D6ABD"/>
    <w:rsid w:val="008D702C"/>
    <w:rsid w:val="008E00BA"/>
    <w:rsid w:val="008E3517"/>
    <w:rsid w:val="008E394F"/>
    <w:rsid w:val="008E49DB"/>
    <w:rsid w:val="008F132F"/>
    <w:rsid w:val="008F172A"/>
    <w:rsid w:val="008F2702"/>
    <w:rsid w:val="008F29D6"/>
    <w:rsid w:val="008F4DA8"/>
    <w:rsid w:val="008F6494"/>
    <w:rsid w:val="008F779D"/>
    <w:rsid w:val="00901E9F"/>
    <w:rsid w:val="00906CB6"/>
    <w:rsid w:val="00912F5D"/>
    <w:rsid w:val="00913FC5"/>
    <w:rsid w:val="0092158D"/>
    <w:rsid w:val="009215F5"/>
    <w:rsid w:val="00922B8E"/>
    <w:rsid w:val="009247DD"/>
    <w:rsid w:val="00925998"/>
    <w:rsid w:val="00930370"/>
    <w:rsid w:val="009328F8"/>
    <w:rsid w:val="00936C3A"/>
    <w:rsid w:val="00937699"/>
    <w:rsid w:val="00941531"/>
    <w:rsid w:val="009422C4"/>
    <w:rsid w:val="00942690"/>
    <w:rsid w:val="00942DFA"/>
    <w:rsid w:val="009434D6"/>
    <w:rsid w:val="0094475C"/>
    <w:rsid w:val="00945F9F"/>
    <w:rsid w:val="009517AD"/>
    <w:rsid w:val="00952067"/>
    <w:rsid w:val="00955487"/>
    <w:rsid w:val="0095776B"/>
    <w:rsid w:val="00960103"/>
    <w:rsid w:val="00960AA2"/>
    <w:rsid w:val="0096103D"/>
    <w:rsid w:val="00961554"/>
    <w:rsid w:val="00962723"/>
    <w:rsid w:val="009635C0"/>
    <w:rsid w:val="00970F06"/>
    <w:rsid w:val="00970F8A"/>
    <w:rsid w:val="00976CAB"/>
    <w:rsid w:val="009779E7"/>
    <w:rsid w:val="009802D5"/>
    <w:rsid w:val="009855BD"/>
    <w:rsid w:val="00986383"/>
    <w:rsid w:val="009922D0"/>
    <w:rsid w:val="00993706"/>
    <w:rsid w:val="00995BEA"/>
    <w:rsid w:val="009979FE"/>
    <w:rsid w:val="009A0012"/>
    <w:rsid w:val="009A35EC"/>
    <w:rsid w:val="009A3DD9"/>
    <w:rsid w:val="009A3F15"/>
    <w:rsid w:val="009A5A3D"/>
    <w:rsid w:val="009B1710"/>
    <w:rsid w:val="009B243D"/>
    <w:rsid w:val="009B24A6"/>
    <w:rsid w:val="009B3464"/>
    <w:rsid w:val="009B3E39"/>
    <w:rsid w:val="009B3E9D"/>
    <w:rsid w:val="009B3FC2"/>
    <w:rsid w:val="009B485E"/>
    <w:rsid w:val="009B50F4"/>
    <w:rsid w:val="009C0E18"/>
    <w:rsid w:val="009C1038"/>
    <w:rsid w:val="009C558E"/>
    <w:rsid w:val="009D0688"/>
    <w:rsid w:val="009D1507"/>
    <w:rsid w:val="009D161D"/>
    <w:rsid w:val="009D183E"/>
    <w:rsid w:val="009D2CD1"/>
    <w:rsid w:val="009D7D64"/>
    <w:rsid w:val="009E1802"/>
    <w:rsid w:val="009E2083"/>
    <w:rsid w:val="009E5F20"/>
    <w:rsid w:val="009F0048"/>
    <w:rsid w:val="009F0713"/>
    <w:rsid w:val="009F51CD"/>
    <w:rsid w:val="009F656A"/>
    <w:rsid w:val="00A022F2"/>
    <w:rsid w:val="00A02C4F"/>
    <w:rsid w:val="00A032BD"/>
    <w:rsid w:val="00A051AA"/>
    <w:rsid w:val="00A065F8"/>
    <w:rsid w:val="00A06D11"/>
    <w:rsid w:val="00A079A6"/>
    <w:rsid w:val="00A10C95"/>
    <w:rsid w:val="00A114D5"/>
    <w:rsid w:val="00A11CEC"/>
    <w:rsid w:val="00A21840"/>
    <w:rsid w:val="00A2319E"/>
    <w:rsid w:val="00A2535C"/>
    <w:rsid w:val="00A272E4"/>
    <w:rsid w:val="00A319A2"/>
    <w:rsid w:val="00A35976"/>
    <w:rsid w:val="00A36546"/>
    <w:rsid w:val="00A36686"/>
    <w:rsid w:val="00A436B0"/>
    <w:rsid w:val="00A46708"/>
    <w:rsid w:val="00A46F5C"/>
    <w:rsid w:val="00A50BD5"/>
    <w:rsid w:val="00A51680"/>
    <w:rsid w:val="00A5206C"/>
    <w:rsid w:val="00A53537"/>
    <w:rsid w:val="00A576C0"/>
    <w:rsid w:val="00A61C2B"/>
    <w:rsid w:val="00A65C7A"/>
    <w:rsid w:val="00A6721C"/>
    <w:rsid w:val="00A67D51"/>
    <w:rsid w:val="00A7090E"/>
    <w:rsid w:val="00A7192C"/>
    <w:rsid w:val="00A71F98"/>
    <w:rsid w:val="00A72F2D"/>
    <w:rsid w:val="00A72F57"/>
    <w:rsid w:val="00A73557"/>
    <w:rsid w:val="00A74CC7"/>
    <w:rsid w:val="00A7709D"/>
    <w:rsid w:val="00A77FD6"/>
    <w:rsid w:val="00A820C9"/>
    <w:rsid w:val="00A83E81"/>
    <w:rsid w:val="00A84759"/>
    <w:rsid w:val="00A85DAB"/>
    <w:rsid w:val="00A86FD2"/>
    <w:rsid w:val="00A91B5E"/>
    <w:rsid w:val="00A91D02"/>
    <w:rsid w:val="00A92E9A"/>
    <w:rsid w:val="00A931A7"/>
    <w:rsid w:val="00A95F06"/>
    <w:rsid w:val="00A9617F"/>
    <w:rsid w:val="00AA00EB"/>
    <w:rsid w:val="00AA2B8C"/>
    <w:rsid w:val="00AA3AF3"/>
    <w:rsid w:val="00AA49EC"/>
    <w:rsid w:val="00AA775E"/>
    <w:rsid w:val="00AB04DB"/>
    <w:rsid w:val="00AB1299"/>
    <w:rsid w:val="00AB1B54"/>
    <w:rsid w:val="00AB4A5B"/>
    <w:rsid w:val="00AB7E77"/>
    <w:rsid w:val="00AC045F"/>
    <w:rsid w:val="00AC1209"/>
    <w:rsid w:val="00AC1A1A"/>
    <w:rsid w:val="00AC430D"/>
    <w:rsid w:val="00AC7328"/>
    <w:rsid w:val="00AC7D5A"/>
    <w:rsid w:val="00AD027F"/>
    <w:rsid w:val="00AD2803"/>
    <w:rsid w:val="00AD2949"/>
    <w:rsid w:val="00AD5A07"/>
    <w:rsid w:val="00AE278B"/>
    <w:rsid w:val="00AE2BE1"/>
    <w:rsid w:val="00AE3F24"/>
    <w:rsid w:val="00AE6307"/>
    <w:rsid w:val="00AE6CEA"/>
    <w:rsid w:val="00AF0D6F"/>
    <w:rsid w:val="00AF2C44"/>
    <w:rsid w:val="00AF3641"/>
    <w:rsid w:val="00AF5642"/>
    <w:rsid w:val="00AF60CE"/>
    <w:rsid w:val="00AF6376"/>
    <w:rsid w:val="00AF71CF"/>
    <w:rsid w:val="00AF75D8"/>
    <w:rsid w:val="00AF77C0"/>
    <w:rsid w:val="00B04D5E"/>
    <w:rsid w:val="00B05E99"/>
    <w:rsid w:val="00B07B76"/>
    <w:rsid w:val="00B122F8"/>
    <w:rsid w:val="00B12BD8"/>
    <w:rsid w:val="00B1337A"/>
    <w:rsid w:val="00B23975"/>
    <w:rsid w:val="00B2683F"/>
    <w:rsid w:val="00B31099"/>
    <w:rsid w:val="00B34B2E"/>
    <w:rsid w:val="00B3532D"/>
    <w:rsid w:val="00B35B32"/>
    <w:rsid w:val="00B35CE9"/>
    <w:rsid w:val="00B37BC9"/>
    <w:rsid w:val="00B40AA6"/>
    <w:rsid w:val="00B43AA7"/>
    <w:rsid w:val="00B43ADD"/>
    <w:rsid w:val="00B43F2B"/>
    <w:rsid w:val="00B45EB2"/>
    <w:rsid w:val="00B51263"/>
    <w:rsid w:val="00B566B2"/>
    <w:rsid w:val="00B61DF9"/>
    <w:rsid w:val="00B66028"/>
    <w:rsid w:val="00B66555"/>
    <w:rsid w:val="00B67B5D"/>
    <w:rsid w:val="00B719CC"/>
    <w:rsid w:val="00B75785"/>
    <w:rsid w:val="00B75A39"/>
    <w:rsid w:val="00B7623C"/>
    <w:rsid w:val="00B809B0"/>
    <w:rsid w:val="00B8146F"/>
    <w:rsid w:val="00B814F7"/>
    <w:rsid w:val="00B82793"/>
    <w:rsid w:val="00B83D5C"/>
    <w:rsid w:val="00B86A55"/>
    <w:rsid w:val="00B87A8B"/>
    <w:rsid w:val="00B9022A"/>
    <w:rsid w:val="00B9411F"/>
    <w:rsid w:val="00B947E7"/>
    <w:rsid w:val="00B958B2"/>
    <w:rsid w:val="00BA0B0E"/>
    <w:rsid w:val="00BA0D26"/>
    <w:rsid w:val="00BA15A8"/>
    <w:rsid w:val="00BA18A0"/>
    <w:rsid w:val="00BA1FD3"/>
    <w:rsid w:val="00BA279B"/>
    <w:rsid w:val="00BA44B5"/>
    <w:rsid w:val="00BA5168"/>
    <w:rsid w:val="00BA7839"/>
    <w:rsid w:val="00BA7C96"/>
    <w:rsid w:val="00BA7CEE"/>
    <w:rsid w:val="00BB1B0F"/>
    <w:rsid w:val="00BB1D7C"/>
    <w:rsid w:val="00BB23B5"/>
    <w:rsid w:val="00BB2A5F"/>
    <w:rsid w:val="00BB3B32"/>
    <w:rsid w:val="00BB3F1E"/>
    <w:rsid w:val="00BC2BB5"/>
    <w:rsid w:val="00BC344A"/>
    <w:rsid w:val="00BC3BEC"/>
    <w:rsid w:val="00BC4C42"/>
    <w:rsid w:val="00BC4D65"/>
    <w:rsid w:val="00BC7424"/>
    <w:rsid w:val="00BD238C"/>
    <w:rsid w:val="00BD25BE"/>
    <w:rsid w:val="00BD3884"/>
    <w:rsid w:val="00BD4786"/>
    <w:rsid w:val="00BD5DB2"/>
    <w:rsid w:val="00BD5EAD"/>
    <w:rsid w:val="00BE1FA7"/>
    <w:rsid w:val="00BE39F7"/>
    <w:rsid w:val="00BE3CD2"/>
    <w:rsid w:val="00BE4620"/>
    <w:rsid w:val="00BE6D83"/>
    <w:rsid w:val="00BE74C0"/>
    <w:rsid w:val="00BF0FC1"/>
    <w:rsid w:val="00BF0FE5"/>
    <w:rsid w:val="00BF3326"/>
    <w:rsid w:val="00BF4732"/>
    <w:rsid w:val="00BF7887"/>
    <w:rsid w:val="00BF7D68"/>
    <w:rsid w:val="00C00AD4"/>
    <w:rsid w:val="00C053F7"/>
    <w:rsid w:val="00C103D7"/>
    <w:rsid w:val="00C107F5"/>
    <w:rsid w:val="00C15A05"/>
    <w:rsid w:val="00C15DAB"/>
    <w:rsid w:val="00C17B1C"/>
    <w:rsid w:val="00C22F54"/>
    <w:rsid w:val="00C23617"/>
    <w:rsid w:val="00C24C8D"/>
    <w:rsid w:val="00C25454"/>
    <w:rsid w:val="00C267D5"/>
    <w:rsid w:val="00C26EC3"/>
    <w:rsid w:val="00C26F22"/>
    <w:rsid w:val="00C354F1"/>
    <w:rsid w:val="00C36532"/>
    <w:rsid w:val="00C365C4"/>
    <w:rsid w:val="00C424CD"/>
    <w:rsid w:val="00C4682E"/>
    <w:rsid w:val="00C47E35"/>
    <w:rsid w:val="00C50549"/>
    <w:rsid w:val="00C50BEF"/>
    <w:rsid w:val="00C52FF1"/>
    <w:rsid w:val="00C532BC"/>
    <w:rsid w:val="00C54B8E"/>
    <w:rsid w:val="00C56307"/>
    <w:rsid w:val="00C56EDE"/>
    <w:rsid w:val="00C609B8"/>
    <w:rsid w:val="00C613FB"/>
    <w:rsid w:val="00C61567"/>
    <w:rsid w:val="00C638B8"/>
    <w:rsid w:val="00C65312"/>
    <w:rsid w:val="00C65E74"/>
    <w:rsid w:val="00C72550"/>
    <w:rsid w:val="00C748EA"/>
    <w:rsid w:val="00C7640D"/>
    <w:rsid w:val="00C7666C"/>
    <w:rsid w:val="00C77D44"/>
    <w:rsid w:val="00C8072B"/>
    <w:rsid w:val="00C807A7"/>
    <w:rsid w:val="00C80AA7"/>
    <w:rsid w:val="00C82310"/>
    <w:rsid w:val="00C83009"/>
    <w:rsid w:val="00C85B58"/>
    <w:rsid w:val="00C86CD0"/>
    <w:rsid w:val="00C8702A"/>
    <w:rsid w:val="00C8788C"/>
    <w:rsid w:val="00C8789E"/>
    <w:rsid w:val="00C90A36"/>
    <w:rsid w:val="00C90A5B"/>
    <w:rsid w:val="00C934D3"/>
    <w:rsid w:val="00C938A6"/>
    <w:rsid w:val="00C94EBE"/>
    <w:rsid w:val="00C95FA5"/>
    <w:rsid w:val="00CA1166"/>
    <w:rsid w:val="00CA3303"/>
    <w:rsid w:val="00CA6C13"/>
    <w:rsid w:val="00CB1714"/>
    <w:rsid w:val="00CB18DB"/>
    <w:rsid w:val="00CB5528"/>
    <w:rsid w:val="00CC0CDA"/>
    <w:rsid w:val="00CC234E"/>
    <w:rsid w:val="00CC3435"/>
    <w:rsid w:val="00CC66A1"/>
    <w:rsid w:val="00CD3766"/>
    <w:rsid w:val="00CD5CCE"/>
    <w:rsid w:val="00CD622D"/>
    <w:rsid w:val="00CE397A"/>
    <w:rsid w:val="00CE523A"/>
    <w:rsid w:val="00CE77B2"/>
    <w:rsid w:val="00CF2338"/>
    <w:rsid w:val="00CF6D58"/>
    <w:rsid w:val="00D009B5"/>
    <w:rsid w:val="00D013E7"/>
    <w:rsid w:val="00D02942"/>
    <w:rsid w:val="00D10FC5"/>
    <w:rsid w:val="00D11BE1"/>
    <w:rsid w:val="00D1549F"/>
    <w:rsid w:val="00D1561D"/>
    <w:rsid w:val="00D17447"/>
    <w:rsid w:val="00D2090E"/>
    <w:rsid w:val="00D2215C"/>
    <w:rsid w:val="00D22C4B"/>
    <w:rsid w:val="00D260AC"/>
    <w:rsid w:val="00D301C0"/>
    <w:rsid w:val="00D322F4"/>
    <w:rsid w:val="00D344D6"/>
    <w:rsid w:val="00D345E9"/>
    <w:rsid w:val="00D363BF"/>
    <w:rsid w:val="00D372FB"/>
    <w:rsid w:val="00D44BF4"/>
    <w:rsid w:val="00D4589D"/>
    <w:rsid w:val="00D45A52"/>
    <w:rsid w:val="00D47141"/>
    <w:rsid w:val="00D47246"/>
    <w:rsid w:val="00D476F6"/>
    <w:rsid w:val="00D50817"/>
    <w:rsid w:val="00D51437"/>
    <w:rsid w:val="00D54BA7"/>
    <w:rsid w:val="00D56567"/>
    <w:rsid w:val="00D61A74"/>
    <w:rsid w:val="00D624D0"/>
    <w:rsid w:val="00D6388E"/>
    <w:rsid w:val="00D645D1"/>
    <w:rsid w:val="00D65A14"/>
    <w:rsid w:val="00D6788D"/>
    <w:rsid w:val="00D67E81"/>
    <w:rsid w:val="00D71D88"/>
    <w:rsid w:val="00D737E2"/>
    <w:rsid w:val="00D8112F"/>
    <w:rsid w:val="00D81929"/>
    <w:rsid w:val="00D81D98"/>
    <w:rsid w:val="00D82C94"/>
    <w:rsid w:val="00D84D50"/>
    <w:rsid w:val="00D84FEF"/>
    <w:rsid w:val="00D90491"/>
    <w:rsid w:val="00D90DFD"/>
    <w:rsid w:val="00D9139D"/>
    <w:rsid w:val="00D92C7E"/>
    <w:rsid w:val="00D9445C"/>
    <w:rsid w:val="00D954DB"/>
    <w:rsid w:val="00DA0A9B"/>
    <w:rsid w:val="00DA3159"/>
    <w:rsid w:val="00DA5249"/>
    <w:rsid w:val="00DA5444"/>
    <w:rsid w:val="00DA5CF1"/>
    <w:rsid w:val="00DA7D81"/>
    <w:rsid w:val="00DB0EAC"/>
    <w:rsid w:val="00DB18DF"/>
    <w:rsid w:val="00DB2D09"/>
    <w:rsid w:val="00DB54BD"/>
    <w:rsid w:val="00DB5A7D"/>
    <w:rsid w:val="00DB70B3"/>
    <w:rsid w:val="00DC0CFA"/>
    <w:rsid w:val="00DC173F"/>
    <w:rsid w:val="00DC2A64"/>
    <w:rsid w:val="00DC5112"/>
    <w:rsid w:val="00DC55D2"/>
    <w:rsid w:val="00DD21E9"/>
    <w:rsid w:val="00DD4579"/>
    <w:rsid w:val="00DE0593"/>
    <w:rsid w:val="00DE3678"/>
    <w:rsid w:val="00DE383E"/>
    <w:rsid w:val="00DE4FB9"/>
    <w:rsid w:val="00DE67AE"/>
    <w:rsid w:val="00DE68C4"/>
    <w:rsid w:val="00DF10A0"/>
    <w:rsid w:val="00DF18BA"/>
    <w:rsid w:val="00E02611"/>
    <w:rsid w:val="00E02751"/>
    <w:rsid w:val="00E02B58"/>
    <w:rsid w:val="00E04E50"/>
    <w:rsid w:val="00E05359"/>
    <w:rsid w:val="00E06A45"/>
    <w:rsid w:val="00E076B4"/>
    <w:rsid w:val="00E13E5D"/>
    <w:rsid w:val="00E161B6"/>
    <w:rsid w:val="00E20DEC"/>
    <w:rsid w:val="00E20F9B"/>
    <w:rsid w:val="00E21738"/>
    <w:rsid w:val="00E244E1"/>
    <w:rsid w:val="00E2718C"/>
    <w:rsid w:val="00E27394"/>
    <w:rsid w:val="00E27C93"/>
    <w:rsid w:val="00E32D84"/>
    <w:rsid w:val="00E34791"/>
    <w:rsid w:val="00E35819"/>
    <w:rsid w:val="00E36D97"/>
    <w:rsid w:val="00E40BFF"/>
    <w:rsid w:val="00E44A6C"/>
    <w:rsid w:val="00E46E45"/>
    <w:rsid w:val="00E5027F"/>
    <w:rsid w:val="00E50867"/>
    <w:rsid w:val="00E54852"/>
    <w:rsid w:val="00E553ED"/>
    <w:rsid w:val="00E56D66"/>
    <w:rsid w:val="00E6041D"/>
    <w:rsid w:val="00E60740"/>
    <w:rsid w:val="00E607E4"/>
    <w:rsid w:val="00E6124C"/>
    <w:rsid w:val="00E70C83"/>
    <w:rsid w:val="00E73EC1"/>
    <w:rsid w:val="00E7400D"/>
    <w:rsid w:val="00E74D92"/>
    <w:rsid w:val="00E842DE"/>
    <w:rsid w:val="00E86073"/>
    <w:rsid w:val="00E878EA"/>
    <w:rsid w:val="00E91026"/>
    <w:rsid w:val="00E937A7"/>
    <w:rsid w:val="00E947AA"/>
    <w:rsid w:val="00E96BC7"/>
    <w:rsid w:val="00E972B2"/>
    <w:rsid w:val="00EA1F48"/>
    <w:rsid w:val="00EA2A34"/>
    <w:rsid w:val="00EA530D"/>
    <w:rsid w:val="00EA62A1"/>
    <w:rsid w:val="00EB2C5A"/>
    <w:rsid w:val="00EB3786"/>
    <w:rsid w:val="00EB5E4A"/>
    <w:rsid w:val="00EB612D"/>
    <w:rsid w:val="00EB75F3"/>
    <w:rsid w:val="00EC0796"/>
    <w:rsid w:val="00EC103F"/>
    <w:rsid w:val="00EC40BF"/>
    <w:rsid w:val="00EC6ED4"/>
    <w:rsid w:val="00EC7885"/>
    <w:rsid w:val="00EC7F27"/>
    <w:rsid w:val="00ED183F"/>
    <w:rsid w:val="00ED4F69"/>
    <w:rsid w:val="00EE0472"/>
    <w:rsid w:val="00EE2B1B"/>
    <w:rsid w:val="00EE2BB6"/>
    <w:rsid w:val="00EE3F34"/>
    <w:rsid w:val="00EE5584"/>
    <w:rsid w:val="00EE583F"/>
    <w:rsid w:val="00EF0ABC"/>
    <w:rsid w:val="00EF542B"/>
    <w:rsid w:val="00F008E7"/>
    <w:rsid w:val="00F04132"/>
    <w:rsid w:val="00F06A69"/>
    <w:rsid w:val="00F06C06"/>
    <w:rsid w:val="00F06D55"/>
    <w:rsid w:val="00F1153B"/>
    <w:rsid w:val="00F1390B"/>
    <w:rsid w:val="00F16E2B"/>
    <w:rsid w:val="00F2492A"/>
    <w:rsid w:val="00F25524"/>
    <w:rsid w:val="00F26A7A"/>
    <w:rsid w:val="00F27E17"/>
    <w:rsid w:val="00F30595"/>
    <w:rsid w:val="00F35224"/>
    <w:rsid w:val="00F36759"/>
    <w:rsid w:val="00F36C41"/>
    <w:rsid w:val="00F42038"/>
    <w:rsid w:val="00F427D0"/>
    <w:rsid w:val="00F43863"/>
    <w:rsid w:val="00F44512"/>
    <w:rsid w:val="00F44FA6"/>
    <w:rsid w:val="00F46552"/>
    <w:rsid w:val="00F46915"/>
    <w:rsid w:val="00F47002"/>
    <w:rsid w:val="00F471FF"/>
    <w:rsid w:val="00F51BDE"/>
    <w:rsid w:val="00F521F7"/>
    <w:rsid w:val="00F540F9"/>
    <w:rsid w:val="00F5416C"/>
    <w:rsid w:val="00F5691D"/>
    <w:rsid w:val="00F61FD6"/>
    <w:rsid w:val="00F63792"/>
    <w:rsid w:val="00F64A31"/>
    <w:rsid w:val="00F64B6B"/>
    <w:rsid w:val="00F6689F"/>
    <w:rsid w:val="00F715EE"/>
    <w:rsid w:val="00F71A73"/>
    <w:rsid w:val="00F7269D"/>
    <w:rsid w:val="00F7338D"/>
    <w:rsid w:val="00F739F8"/>
    <w:rsid w:val="00F76AD0"/>
    <w:rsid w:val="00F77C8B"/>
    <w:rsid w:val="00F81684"/>
    <w:rsid w:val="00F8405B"/>
    <w:rsid w:val="00F84F6C"/>
    <w:rsid w:val="00F85616"/>
    <w:rsid w:val="00F86349"/>
    <w:rsid w:val="00F866B6"/>
    <w:rsid w:val="00F93489"/>
    <w:rsid w:val="00F94932"/>
    <w:rsid w:val="00F9497C"/>
    <w:rsid w:val="00F95B20"/>
    <w:rsid w:val="00FA5D67"/>
    <w:rsid w:val="00FA73F3"/>
    <w:rsid w:val="00FB348A"/>
    <w:rsid w:val="00FB422C"/>
    <w:rsid w:val="00FB63E6"/>
    <w:rsid w:val="00FC48C9"/>
    <w:rsid w:val="00FC6D4F"/>
    <w:rsid w:val="00FC7AAF"/>
    <w:rsid w:val="00FC7F50"/>
    <w:rsid w:val="00FD0194"/>
    <w:rsid w:val="00FD3FD6"/>
    <w:rsid w:val="00FD71DC"/>
    <w:rsid w:val="00FE0522"/>
    <w:rsid w:val="00FE4CE5"/>
    <w:rsid w:val="00FF2255"/>
    <w:rsid w:val="00FF2BC8"/>
    <w:rsid w:val="00FF32CD"/>
    <w:rsid w:val="00FF456D"/>
    <w:rsid w:val="00FF49C3"/>
    <w:rsid w:val="00FF53CA"/>
    <w:rsid w:val="00FF63BE"/>
    <w:rsid w:val="00FF7F1B"/>
    <w:rsid w:val="010B22B0"/>
    <w:rsid w:val="011C75D2"/>
    <w:rsid w:val="01230C09"/>
    <w:rsid w:val="01466A3F"/>
    <w:rsid w:val="014D224D"/>
    <w:rsid w:val="01671BDD"/>
    <w:rsid w:val="01710365"/>
    <w:rsid w:val="017E0CD4"/>
    <w:rsid w:val="01902F51"/>
    <w:rsid w:val="01C71E66"/>
    <w:rsid w:val="01E45689"/>
    <w:rsid w:val="022C2B30"/>
    <w:rsid w:val="023C62EC"/>
    <w:rsid w:val="02710756"/>
    <w:rsid w:val="0296055D"/>
    <w:rsid w:val="02977228"/>
    <w:rsid w:val="02BA1A1C"/>
    <w:rsid w:val="02D8531F"/>
    <w:rsid w:val="03284F84"/>
    <w:rsid w:val="0334789D"/>
    <w:rsid w:val="033829E4"/>
    <w:rsid w:val="03483E6F"/>
    <w:rsid w:val="035B1DD5"/>
    <w:rsid w:val="03677A0D"/>
    <w:rsid w:val="03D6425B"/>
    <w:rsid w:val="03DD20DE"/>
    <w:rsid w:val="04275495"/>
    <w:rsid w:val="044261C4"/>
    <w:rsid w:val="04975326"/>
    <w:rsid w:val="04A15C46"/>
    <w:rsid w:val="04B94EBC"/>
    <w:rsid w:val="04BD6785"/>
    <w:rsid w:val="04D87415"/>
    <w:rsid w:val="04DD7B46"/>
    <w:rsid w:val="051F632A"/>
    <w:rsid w:val="052073F4"/>
    <w:rsid w:val="05A23775"/>
    <w:rsid w:val="05EA7042"/>
    <w:rsid w:val="063F052D"/>
    <w:rsid w:val="067526A6"/>
    <w:rsid w:val="073D28D0"/>
    <w:rsid w:val="07BA72D5"/>
    <w:rsid w:val="08326375"/>
    <w:rsid w:val="08481F38"/>
    <w:rsid w:val="0858402D"/>
    <w:rsid w:val="0898078B"/>
    <w:rsid w:val="0898267C"/>
    <w:rsid w:val="08A86B7F"/>
    <w:rsid w:val="09081A42"/>
    <w:rsid w:val="09165A67"/>
    <w:rsid w:val="092D370C"/>
    <w:rsid w:val="093B77AF"/>
    <w:rsid w:val="095610A3"/>
    <w:rsid w:val="095F239A"/>
    <w:rsid w:val="09672B05"/>
    <w:rsid w:val="09A96DF4"/>
    <w:rsid w:val="09C6637A"/>
    <w:rsid w:val="09D73678"/>
    <w:rsid w:val="0A0206F5"/>
    <w:rsid w:val="0A115F1D"/>
    <w:rsid w:val="0A517145"/>
    <w:rsid w:val="0A73514E"/>
    <w:rsid w:val="0A8F3694"/>
    <w:rsid w:val="0A972A58"/>
    <w:rsid w:val="0AAF76C1"/>
    <w:rsid w:val="0ADC2EA8"/>
    <w:rsid w:val="0AF14A57"/>
    <w:rsid w:val="0B1523D1"/>
    <w:rsid w:val="0B4E5BBB"/>
    <w:rsid w:val="0B4E5D0E"/>
    <w:rsid w:val="0B503147"/>
    <w:rsid w:val="0B64718D"/>
    <w:rsid w:val="0BF5180B"/>
    <w:rsid w:val="0C0F2644"/>
    <w:rsid w:val="0C544721"/>
    <w:rsid w:val="0C8D6FE1"/>
    <w:rsid w:val="0CFB58CF"/>
    <w:rsid w:val="0CFE7943"/>
    <w:rsid w:val="0D077DD0"/>
    <w:rsid w:val="0D33523D"/>
    <w:rsid w:val="0D7D62E4"/>
    <w:rsid w:val="0D837517"/>
    <w:rsid w:val="0DBC0BBA"/>
    <w:rsid w:val="0DE97878"/>
    <w:rsid w:val="0E0063E5"/>
    <w:rsid w:val="0E0C4F62"/>
    <w:rsid w:val="0E0D7180"/>
    <w:rsid w:val="0E2B4ADB"/>
    <w:rsid w:val="0E675E9D"/>
    <w:rsid w:val="0E7074E7"/>
    <w:rsid w:val="0E91205B"/>
    <w:rsid w:val="0E9733D5"/>
    <w:rsid w:val="0EA43025"/>
    <w:rsid w:val="0EA63619"/>
    <w:rsid w:val="0EC84D1D"/>
    <w:rsid w:val="0EEC43FC"/>
    <w:rsid w:val="0F007AAE"/>
    <w:rsid w:val="0F2F0DF1"/>
    <w:rsid w:val="0F346E76"/>
    <w:rsid w:val="0F3E7ACF"/>
    <w:rsid w:val="0F4576FA"/>
    <w:rsid w:val="0F8816DD"/>
    <w:rsid w:val="0FC30926"/>
    <w:rsid w:val="0FC87CEA"/>
    <w:rsid w:val="0FFB7A5A"/>
    <w:rsid w:val="10AE0ABB"/>
    <w:rsid w:val="10AF2C58"/>
    <w:rsid w:val="10B97E14"/>
    <w:rsid w:val="10BA4A4B"/>
    <w:rsid w:val="110A2F78"/>
    <w:rsid w:val="115A7068"/>
    <w:rsid w:val="11AF32A2"/>
    <w:rsid w:val="11BE5D26"/>
    <w:rsid w:val="11DA08E3"/>
    <w:rsid w:val="11E70C92"/>
    <w:rsid w:val="11E817F0"/>
    <w:rsid w:val="122B4561"/>
    <w:rsid w:val="123C0648"/>
    <w:rsid w:val="124B69B1"/>
    <w:rsid w:val="12595CD7"/>
    <w:rsid w:val="127D38BF"/>
    <w:rsid w:val="12A844DB"/>
    <w:rsid w:val="12C216C4"/>
    <w:rsid w:val="12E75462"/>
    <w:rsid w:val="13086525"/>
    <w:rsid w:val="1347086A"/>
    <w:rsid w:val="13500B10"/>
    <w:rsid w:val="135B2B22"/>
    <w:rsid w:val="135E57D8"/>
    <w:rsid w:val="137B3B4B"/>
    <w:rsid w:val="13AD48CA"/>
    <w:rsid w:val="141362D3"/>
    <w:rsid w:val="145B1BB2"/>
    <w:rsid w:val="146A3F89"/>
    <w:rsid w:val="14860174"/>
    <w:rsid w:val="14865844"/>
    <w:rsid w:val="14A449BB"/>
    <w:rsid w:val="14F13869"/>
    <w:rsid w:val="14FA6FE8"/>
    <w:rsid w:val="15744E79"/>
    <w:rsid w:val="15783FBA"/>
    <w:rsid w:val="1588725F"/>
    <w:rsid w:val="15A77A54"/>
    <w:rsid w:val="15DE4629"/>
    <w:rsid w:val="15EC5637"/>
    <w:rsid w:val="15FF72EB"/>
    <w:rsid w:val="16095600"/>
    <w:rsid w:val="16351E52"/>
    <w:rsid w:val="16480B24"/>
    <w:rsid w:val="16500A3A"/>
    <w:rsid w:val="166B000B"/>
    <w:rsid w:val="16EA49EA"/>
    <w:rsid w:val="16F27103"/>
    <w:rsid w:val="1709768E"/>
    <w:rsid w:val="173B5246"/>
    <w:rsid w:val="1761165C"/>
    <w:rsid w:val="176206EA"/>
    <w:rsid w:val="176A650D"/>
    <w:rsid w:val="17A52BCE"/>
    <w:rsid w:val="17F551AC"/>
    <w:rsid w:val="17FF631B"/>
    <w:rsid w:val="18060253"/>
    <w:rsid w:val="180A10FA"/>
    <w:rsid w:val="1811090C"/>
    <w:rsid w:val="185145F5"/>
    <w:rsid w:val="185D5DCC"/>
    <w:rsid w:val="190663D0"/>
    <w:rsid w:val="196B7D6D"/>
    <w:rsid w:val="196C0EFD"/>
    <w:rsid w:val="197D2DE7"/>
    <w:rsid w:val="19A07E7C"/>
    <w:rsid w:val="1A316BD8"/>
    <w:rsid w:val="1AA672A0"/>
    <w:rsid w:val="1AD070CA"/>
    <w:rsid w:val="1B0C692E"/>
    <w:rsid w:val="1B4668DD"/>
    <w:rsid w:val="1B4B4946"/>
    <w:rsid w:val="1BBE01F3"/>
    <w:rsid w:val="1BCD7790"/>
    <w:rsid w:val="1BED1C9D"/>
    <w:rsid w:val="1BEE29F1"/>
    <w:rsid w:val="1BF85D40"/>
    <w:rsid w:val="1C197D2E"/>
    <w:rsid w:val="1C2437EB"/>
    <w:rsid w:val="1C517768"/>
    <w:rsid w:val="1C5446B4"/>
    <w:rsid w:val="1C6E70A6"/>
    <w:rsid w:val="1C8036FB"/>
    <w:rsid w:val="1CB95C00"/>
    <w:rsid w:val="1CF309FA"/>
    <w:rsid w:val="1D1C039B"/>
    <w:rsid w:val="1D58091B"/>
    <w:rsid w:val="1D973828"/>
    <w:rsid w:val="1E037064"/>
    <w:rsid w:val="1E3060F0"/>
    <w:rsid w:val="1E3971A5"/>
    <w:rsid w:val="1E3E04E2"/>
    <w:rsid w:val="1E412CB1"/>
    <w:rsid w:val="1E4705D4"/>
    <w:rsid w:val="1E6C0104"/>
    <w:rsid w:val="1E8522CD"/>
    <w:rsid w:val="1EA27C15"/>
    <w:rsid w:val="1EAB76B3"/>
    <w:rsid w:val="1EB43F0F"/>
    <w:rsid w:val="1ED43782"/>
    <w:rsid w:val="1F442190"/>
    <w:rsid w:val="1F595EBC"/>
    <w:rsid w:val="200F3EAF"/>
    <w:rsid w:val="2020348A"/>
    <w:rsid w:val="2023631E"/>
    <w:rsid w:val="204262CA"/>
    <w:rsid w:val="206F179C"/>
    <w:rsid w:val="20B816B5"/>
    <w:rsid w:val="20F12E19"/>
    <w:rsid w:val="20F26E94"/>
    <w:rsid w:val="210B5730"/>
    <w:rsid w:val="21164FD2"/>
    <w:rsid w:val="211D055F"/>
    <w:rsid w:val="211E7B56"/>
    <w:rsid w:val="213E7A51"/>
    <w:rsid w:val="214925B9"/>
    <w:rsid w:val="214B2BBB"/>
    <w:rsid w:val="21625D51"/>
    <w:rsid w:val="219A4B91"/>
    <w:rsid w:val="21DB3AAD"/>
    <w:rsid w:val="221E19EC"/>
    <w:rsid w:val="22230E89"/>
    <w:rsid w:val="22621A13"/>
    <w:rsid w:val="22A75E85"/>
    <w:rsid w:val="22F369D5"/>
    <w:rsid w:val="232314E7"/>
    <w:rsid w:val="23490CEA"/>
    <w:rsid w:val="234C0C7F"/>
    <w:rsid w:val="236B13B6"/>
    <w:rsid w:val="239D373F"/>
    <w:rsid w:val="23A64DF8"/>
    <w:rsid w:val="23A93537"/>
    <w:rsid w:val="23CA1359"/>
    <w:rsid w:val="23E017FC"/>
    <w:rsid w:val="24210E42"/>
    <w:rsid w:val="24294678"/>
    <w:rsid w:val="24CD2939"/>
    <w:rsid w:val="24E20345"/>
    <w:rsid w:val="24FD7FDE"/>
    <w:rsid w:val="2500392D"/>
    <w:rsid w:val="25071862"/>
    <w:rsid w:val="25100542"/>
    <w:rsid w:val="254E083A"/>
    <w:rsid w:val="2590283A"/>
    <w:rsid w:val="260357AC"/>
    <w:rsid w:val="26C40ED6"/>
    <w:rsid w:val="26C67B20"/>
    <w:rsid w:val="26E36D60"/>
    <w:rsid w:val="27183191"/>
    <w:rsid w:val="27207725"/>
    <w:rsid w:val="2729351D"/>
    <w:rsid w:val="275839D3"/>
    <w:rsid w:val="275E1A9D"/>
    <w:rsid w:val="2796327E"/>
    <w:rsid w:val="27B9383B"/>
    <w:rsid w:val="27E354CA"/>
    <w:rsid w:val="27FF7BCA"/>
    <w:rsid w:val="281157E2"/>
    <w:rsid w:val="28377363"/>
    <w:rsid w:val="2841741D"/>
    <w:rsid w:val="284E0CD0"/>
    <w:rsid w:val="284F62D2"/>
    <w:rsid w:val="28681C7B"/>
    <w:rsid w:val="286B3EE1"/>
    <w:rsid w:val="28C80A12"/>
    <w:rsid w:val="290B751C"/>
    <w:rsid w:val="2920429C"/>
    <w:rsid w:val="297A058A"/>
    <w:rsid w:val="29867550"/>
    <w:rsid w:val="298A3E0B"/>
    <w:rsid w:val="29947A22"/>
    <w:rsid w:val="299B0E29"/>
    <w:rsid w:val="29BB2216"/>
    <w:rsid w:val="29C76E0D"/>
    <w:rsid w:val="29C9144C"/>
    <w:rsid w:val="29D033E3"/>
    <w:rsid w:val="29E65F84"/>
    <w:rsid w:val="29F76BF2"/>
    <w:rsid w:val="29FD45DD"/>
    <w:rsid w:val="2A0249A4"/>
    <w:rsid w:val="2A0444C9"/>
    <w:rsid w:val="2A636507"/>
    <w:rsid w:val="2A8F246A"/>
    <w:rsid w:val="2A922F77"/>
    <w:rsid w:val="2A944AC7"/>
    <w:rsid w:val="2AB42AEA"/>
    <w:rsid w:val="2ABC5DA2"/>
    <w:rsid w:val="2AEB2687"/>
    <w:rsid w:val="2AEC0B4B"/>
    <w:rsid w:val="2B1159EB"/>
    <w:rsid w:val="2B1803C1"/>
    <w:rsid w:val="2B253DEB"/>
    <w:rsid w:val="2B255B99"/>
    <w:rsid w:val="2B464B7C"/>
    <w:rsid w:val="2B933CAF"/>
    <w:rsid w:val="2BAF7DBD"/>
    <w:rsid w:val="2BB94533"/>
    <w:rsid w:val="2BC41044"/>
    <w:rsid w:val="2BCE106D"/>
    <w:rsid w:val="2BF35346"/>
    <w:rsid w:val="2C173FF3"/>
    <w:rsid w:val="2C3C2B42"/>
    <w:rsid w:val="2C5028B1"/>
    <w:rsid w:val="2CF25F4F"/>
    <w:rsid w:val="2D06766A"/>
    <w:rsid w:val="2D156CD1"/>
    <w:rsid w:val="2D744BB6"/>
    <w:rsid w:val="2DAB649D"/>
    <w:rsid w:val="2DE7182C"/>
    <w:rsid w:val="2E9F4325"/>
    <w:rsid w:val="2ED2112E"/>
    <w:rsid w:val="2F1B3D51"/>
    <w:rsid w:val="2F3C7A16"/>
    <w:rsid w:val="2F6A44C2"/>
    <w:rsid w:val="2F78485F"/>
    <w:rsid w:val="2F972DDE"/>
    <w:rsid w:val="2F9A1C68"/>
    <w:rsid w:val="30371D0A"/>
    <w:rsid w:val="306565F9"/>
    <w:rsid w:val="309335A5"/>
    <w:rsid w:val="31073BE0"/>
    <w:rsid w:val="31AF6706"/>
    <w:rsid w:val="31F960F0"/>
    <w:rsid w:val="32116E77"/>
    <w:rsid w:val="324423BF"/>
    <w:rsid w:val="324803BF"/>
    <w:rsid w:val="32620B4A"/>
    <w:rsid w:val="32626444"/>
    <w:rsid w:val="327D6A74"/>
    <w:rsid w:val="329954A0"/>
    <w:rsid w:val="33053955"/>
    <w:rsid w:val="33776F7A"/>
    <w:rsid w:val="337C2823"/>
    <w:rsid w:val="338B4C95"/>
    <w:rsid w:val="340F05EB"/>
    <w:rsid w:val="344C063B"/>
    <w:rsid w:val="3494093B"/>
    <w:rsid w:val="349679F1"/>
    <w:rsid w:val="34FA46FD"/>
    <w:rsid w:val="352F0DCF"/>
    <w:rsid w:val="357D794B"/>
    <w:rsid w:val="35BF4DCE"/>
    <w:rsid w:val="35E30B2B"/>
    <w:rsid w:val="365E37FF"/>
    <w:rsid w:val="36716136"/>
    <w:rsid w:val="3680281D"/>
    <w:rsid w:val="36C566EF"/>
    <w:rsid w:val="371658C9"/>
    <w:rsid w:val="371B4D4E"/>
    <w:rsid w:val="37205BDA"/>
    <w:rsid w:val="3729365E"/>
    <w:rsid w:val="376B0DD8"/>
    <w:rsid w:val="379751A3"/>
    <w:rsid w:val="381A5625"/>
    <w:rsid w:val="3849704B"/>
    <w:rsid w:val="38514E90"/>
    <w:rsid w:val="387BA3AA"/>
    <w:rsid w:val="38A075FB"/>
    <w:rsid w:val="38D779D4"/>
    <w:rsid w:val="38E6287F"/>
    <w:rsid w:val="3905700A"/>
    <w:rsid w:val="393D4D30"/>
    <w:rsid w:val="39437042"/>
    <w:rsid w:val="39524F6F"/>
    <w:rsid w:val="3954558D"/>
    <w:rsid w:val="397B72CC"/>
    <w:rsid w:val="39B42DDE"/>
    <w:rsid w:val="39C72511"/>
    <w:rsid w:val="39CD0EC3"/>
    <w:rsid w:val="39EF620D"/>
    <w:rsid w:val="3A26548A"/>
    <w:rsid w:val="3A612BDB"/>
    <w:rsid w:val="3A6D2E8A"/>
    <w:rsid w:val="3B21607B"/>
    <w:rsid w:val="3B35603C"/>
    <w:rsid w:val="3B510257"/>
    <w:rsid w:val="3B6C17ED"/>
    <w:rsid w:val="3B814871"/>
    <w:rsid w:val="3BC6790E"/>
    <w:rsid w:val="3C020661"/>
    <w:rsid w:val="3C291261"/>
    <w:rsid w:val="3C4153A5"/>
    <w:rsid w:val="3C5D4D4E"/>
    <w:rsid w:val="3C5D7CBE"/>
    <w:rsid w:val="3CFE449C"/>
    <w:rsid w:val="3D484B06"/>
    <w:rsid w:val="3D583DA3"/>
    <w:rsid w:val="3D6F51D8"/>
    <w:rsid w:val="3D855446"/>
    <w:rsid w:val="3D85696B"/>
    <w:rsid w:val="3D94095C"/>
    <w:rsid w:val="3DA46DF1"/>
    <w:rsid w:val="3DB87332"/>
    <w:rsid w:val="3E126451"/>
    <w:rsid w:val="3E2B12C1"/>
    <w:rsid w:val="3E3F1DCB"/>
    <w:rsid w:val="3E795988"/>
    <w:rsid w:val="3E9B32B7"/>
    <w:rsid w:val="3EA80B63"/>
    <w:rsid w:val="3EB124D7"/>
    <w:rsid w:val="3EC31ED4"/>
    <w:rsid w:val="3ECE7509"/>
    <w:rsid w:val="3ED23E32"/>
    <w:rsid w:val="3F06075A"/>
    <w:rsid w:val="3F0E5B04"/>
    <w:rsid w:val="3F1C1543"/>
    <w:rsid w:val="3F253F62"/>
    <w:rsid w:val="3F7578E5"/>
    <w:rsid w:val="3F8A07FD"/>
    <w:rsid w:val="3FDF6807"/>
    <w:rsid w:val="40386BBE"/>
    <w:rsid w:val="40445CE2"/>
    <w:rsid w:val="404A3387"/>
    <w:rsid w:val="406709C6"/>
    <w:rsid w:val="408B24EB"/>
    <w:rsid w:val="410138AE"/>
    <w:rsid w:val="417F72A0"/>
    <w:rsid w:val="41A1495E"/>
    <w:rsid w:val="41B25855"/>
    <w:rsid w:val="41B437BC"/>
    <w:rsid w:val="41D81760"/>
    <w:rsid w:val="4201515B"/>
    <w:rsid w:val="420E6F2F"/>
    <w:rsid w:val="42186A68"/>
    <w:rsid w:val="423746D8"/>
    <w:rsid w:val="425424E3"/>
    <w:rsid w:val="42554B5E"/>
    <w:rsid w:val="425F3C8C"/>
    <w:rsid w:val="426E4E56"/>
    <w:rsid w:val="42C42D76"/>
    <w:rsid w:val="437E3381"/>
    <w:rsid w:val="43B342D5"/>
    <w:rsid w:val="43B879AD"/>
    <w:rsid w:val="43F860E9"/>
    <w:rsid w:val="441A18D5"/>
    <w:rsid w:val="44216CF4"/>
    <w:rsid w:val="444E3F5B"/>
    <w:rsid w:val="44590106"/>
    <w:rsid w:val="446472DA"/>
    <w:rsid w:val="448D3D22"/>
    <w:rsid w:val="44D0505E"/>
    <w:rsid w:val="44D80F49"/>
    <w:rsid w:val="44D939C1"/>
    <w:rsid w:val="45126D36"/>
    <w:rsid w:val="45492B3A"/>
    <w:rsid w:val="454E6486"/>
    <w:rsid w:val="455F7AA2"/>
    <w:rsid w:val="457277D5"/>
    <w:rsid w:val="457578F9"/>
    <w:rsid w:val="45943EE9"/>
    <w:rsid w:val="459D6C40"/>
    <w:rsid w:val="45B74CFA"/>
    <w:rsid w:val="45F250F7"/>
    <w:rsid w:val="46235528"/>
    <w:rsid w:val="46312FC7"/>
    <w:rsid w:val="46434AFE"/>
    <w:rsid w:val="468C39EA"/>
    <w:rsid w:val="469D73C6"/>
    <w:rsid w:val="46A133DF"/>
    <w:rsid w:val="46D55CE8"/>
    <w:rsid w:val="46E4352A"/>
    <w:rsid w:val="47341516"/>
    <w:rsid w:val="47413903"/>
    <w:rsid w:val="478A38B9"/>
    <w:rsid w:val="478D6B48"/>
    <w:rsid w:val="47D604EF"/>
    <w:rsid w:val="481D6356"/>
    <w:rsid w:val="483D1D78"/>
    <w:rsid w:val="48592A3D"/>
    <w:rsid w:val="488E2B78"/>
    <w:rsid w:val="48EB79E9"/>
    <w:rsid w:val="48FB5D34"/>
    <w:rsid w:val="49172669"/>
    <w:rsid w:val="49861AA1"/>
    <w:rsid w:val="49A62143"/>
    <w:rsid w:val="49BE676E"/>
    <w:rsid w:val="49C246BC"/>
    <w:rsid w:val="49C778A2"/>
    <w:rsid w:val="49CC2D15"/>
    <w:rsid w:val="4A0E528A"/>
    <w:rsid w:val="4A123DF7"/>
    <w:rsid w:val="4A327388"/>
    <w:rsid w:val="4A4200BE"/>
    <w:rsid w:val="4A485282"/>
    <w:rsid w:val="4A59760E"/>
    <w:rsid w:val="4A6F69D9"/>
    <w:rsid w:val="4AA602AC"/>
    <w:rsid w:val="4AF23346"/>
    <w:rsid w:val="4B137875"/>
    <w:rsid w:val="4B180E1F"/>
    <w:rsid w:val="4B534ADE"/>
    <w:rsid w:val="4B5D6832"/>
    <w:rsid w:val="4B934F20"/>
    <w:rsid w:val="4B9E7576"/>
    <w:rsid w:val="4BBD5522"/>
    <w:rsid w:val="4BC468B1"/>
    <w:rsid w:val="4BCD1C09"/>
    <w:rsid w:val="4BD374B9"/>
    <w:rsid w:val="4C587C6C"/>
    <w:rsid w:val="4C840E32"/>
    <w:rsid w:val="4CC17D34"/>
    <w:rsid w:val="4CDF5D99"/>
    <w:rsid w:val="4CE21DF9"/>
    <w:rsid w:val="4CF43A6D"/>
    <w:rsid w:val="4CFA126F"/>
    <w:rsid w:val="4D4B180F"/>
    <w:rsid w:val="4D6A56D9"/>
    <w:rsid w:val="4D6C78CC"/>
    <w:rsid w:val="4D8943FF"/>
    <w:rsid w:val="4D994499"/>
    <w:rsid w:val="4DC52D99"/>
    <w:rsid w:val="4E555EE6"/>
    <w:rsid w:val="4E9E1DAF"/>
    <w:rsid w:val="4ECC6563"/>
    <w:rsid w:val="4EEC7AB1"/>
    <w:rsid w:val="4EF56C95"/>
    <w:rsid w:val="4F5D4819"/>
    <w:rsid w:val="4F642884"/>
    <w:rsid w:val="4F7F146C"/>
    <w:rsid w:val="4F9A2A67"/>
    <w:rsid w:val="4FC11AB9"/>
    <w:rsid w:val="4FDF015D"/>
    <w:rsid w:val="4FFA6D45"/>
    <w:rsid w:val="501341EF"/>
    <w:rsid w:val="503264DF"/>
    <w:rsid w:val="508A00C9"/>
    <w:rsid w:val="50A619B8"/>
    <w:rsid w:val="50B476EF"/>
    <w:rsid w:val="50BA2C88"/>
    <w:rsid w:val="50CF2798"/>
    <w:rsid w:val="50D72F5D"/>
    <w:rsid w:val="51024103"/>
    <w:rsid w:val="512128A9"/>
    <w:rsid w:val="5123379A"/>
    <w:rsid w:val="5133250E"/>
    <w:rsid w:val="517F5682"/>
    <w:rsid w:val="51855702"/>
    <w:rsid w:val="519D3800"/>
    <w:rsid w:val="51BF35E3"/>
    <w:rsid w:val="51F24D8E"/>
    <w:rsid w:val="51F6595B"/>
    <w:rsid w:val="51FF4AE6"/>
    <w:rsid w:val="52094756"/>
    <w:rsid w:val="526563EA"/>
    <w:rsid w:val="52754DA9"/>
    <w:rsid w:val="529C45A3"/>
    <w:rsid w:val="52DB4763"/>
    <w:rsid w:val="52E678FD"/>
    <w:rsid w:val="52F5184E"/>
    <w:rsid w:val="530107FD"/>
    <w:rsid w:val="53012E4A"/>
    <w:rsid w:val="530A54F1"/>
    <w:rsid w:val="53107713"/>
    <w:rsid w:val="532A5B93"/>
    <w:rsid w:val="53446C55"/>
    <w:rsid w:val="536514B7"/>
    <w:rsid w:val="538B1541"/>
    <w:rsid w:val="539C292D"/>
    <w:rsid w:val="53B37937"/>
    <w:rsid w:val="53B44138"/>
    <w:rsid w:val="53C53D11"/>
    <w:rsid w:val="53EA074B"/>
    <w:rsid w:val="54082647"/>
    <w:rsid w:val="546E74FC"/>
    <w:rsid w:val="54B23345"/>
    <w:rsid w:val="54C72685"/>
    <w:rsid w:val="54C85664"/>
    <w:rsid w:val="54D45DB6"/>
    <w:rsid w:val="54DA01DA"/>
    <w:rsid w:val="54F57D75"/>
    <w:rsid w:val="552D3719"/>
    <w:rsid w:val="554618F6"/>
    <w:rsid w:val="555D5520"/>
    <w:rsid w:val="555D72DC"/>
    <w:rsid w:val="55603A62"/>
    <w:rsid w:val="55627866"/>
    <w:rsid w:val="556C5435"/>
    <w:rsid w:val="5595188A"/>
    <w:rsid w:val="562436B9"/>
    <w:rsid w:val="567C073D"/>
    <w:rsid w:val="567E43D2"/>
    <w:rsid w:val="56861332"/>
    <w:rsid w:val="56DD0CA9"/>
    <w:rsid w:val="56E40032"/>
    <w:rsid w:val="56FE02AF"/>
    <w:rsid w:val="572172AD"/>
    <w:rsid w:val="575912F3"/>
    <w:rsid w:val="578B46DA"/>
    <w:rsid w:val="57F860EE"/>
    <w:rsid w:val="58097FA0"/>
    <w:rsid w:val="581125D0"/>
    <w:rsid w:val="584539A4"/>
    <w:rsid w:val="585F7B44"/>
    <w:rsid w:val="586A50EB"/>
    <w:rsid w:val="58961E2B"/>
    <w:rsid w:val="58BA3515"/>
    <w:rsid w:val="58CB3629"/>
    <w:rsid w:val="59103135"/>
    <w:rsid w:val="593F51ED"/>
    <w:rsid w:val="597A7377"/>
    <w:rsid w:val="59A75247"/>
    <w:rsid w:val="59AE210C"/>
    <w:rsid w:val="59C86376"/>
    <w:rsid w:val="59CC1752"/>
    <w:rsid w:val="59EFEFB8"/>
    <w:rsid w:val="5A1B6384"/>
    <w:rsid w:val="5A3A2B60"/>
    <w:rsid w:val="5AD259A1"/>
    <w:rsid w:val="5AD45C28"/>
    <w:rsid w:val="5ADC2607"/>
    <w:rsid w:val="5ADC3C17"/>
    <w:rsid w:val="5AEA3C95"/>
    <w:rsid w:val="5B0427D1"/>
    <w:rsid w:val="5B313557"/>
    <w:rsid w:val="5B3C6463"/>
    <w:rsid w:val="5B6E42E3"/>
    <w:rsid w:val="5BF77FF4"/>
    <w:rsid w:val="5BFD9219"/>
    <w:rsid w:val="5BFF5797"/>
    <w:rsid w:val="5C5C6C96"/>
    <w:rsid w:val="5C7020B3"/>
    <w:rsid w:val="5C8348C3"/>
    <w:rsid w:val="5CBD7CF1"/>
    <w:rsid w:val="5CC44962"/>
    <w:rsid w:val="5CC54DE3"/>
    <w:rsid w:val="5CD64696"/>
    <w:rsid w:val="5CE1007A"/>
    <w:rsid w:val="5CE23F0B"/>
    <w:rsid w:val="5D1560FD"/>
    <w:rsid w:val="5DB0100C"/>
    <w:rsid w:val="5E082F75"/>
    <w:rsid w:val="5E083B78"/>
    <w:rsid w:val="5E0E6705"/>
    <w:rsid w:val="5E1D4CBE"/>
    <w:rsid w:val="5E315738"/>
    <w:rsid w:val="5E5E4943"/>
    <w:rsid w:val="5E68598B"/>
    <w:rsid w:val="5E7E040C"/>
    <w:rsid w:val="5E7E09ED"/>
    <w:rsid w:val="5E8D4527"/>
    <w:rsid w:val="5E954808"/>
    <w:rsid w:val="5EAB5261"/>
    <w:rsid w:val="5ED56CFF"/>
    <w:rsid w:val="5EF14116"/>
    <w:rsid w:val="5F136B71"/>
    <w:rsid w:val="5F280B90"/>
    <w:rsid w:val="5F334BD5"/>
    <w:rsid w:val="5F6869FC"/>
    <w:rsid w:val="5F79F629"/>
    <w:rsid w:val="6027211D"/>
    <w:rsid w:val="60277D5D"/>
    <w:rsid w:val="60327E35"/>
    <w:rsid w:val="60476A5D"/>
    <w:rsid w:val="605407B8"/>
    <w:rsid w:val="605E0C2A"/>
    <w:rsid w:val="607466A0"/>
    <w:rsid w:val="60A85CD4"/>
    <w:rsid w:val="60C572AA"/>
    <w:rsid w:val="610220DC"/>
    <w:rsid w:val="61872199"/>
    <w:rsid w:val="61914131"/>
    <w:rsid w:val="61A72DB6"/>
    <w:rsid w:val="61AB5048"/>
    <w:rsid w:val="61D62B6D"/>
    <w:rsid w:val="61D81D7A"/>
    <w:rsid w:val="61F71336"/>
    <w:rsid w:val="61FC1E08"/>
    <w:rsid w:val="62065A1D"/>
    <w:rsid w:val="621D02FD"/>
    <w:rsid w:val="62DA4EE0"/>
    <w:rsid w:val="62ED2483"/>
    <w:rsid w:val="632062D6"/>
    <w:rsid w:val="635C2557"/>
    <w:rsid w:val="63784CD0"/>
    <w:rsid w:val="63C36F49"/>
    <w:rsid w:val="640D3093"/>
    <w:rsid w:val="6412673F"/>
    <w:rsid w:val="647C6908"/>
    <w:rsid w:val="64852C29"/>
    <w:rsid w:val="64D94D23"/>
    <w:rsid w:val="651D0B99"/>
    <w:rsid w:val="656071C0"/>
    <w:rsid w:val="658D448B"/>
    <w:rsid w:val="659F41BF"/>
    <w:rsid w:val="65DA0694"/>
    <w:rsid w:val="6621312C"/>
    <w:rsid w:val="663E4468"/>
    <w:rsid w:val="66454DFC"/>
    <w:rsid w:val="66644AC0"/>
    <w:rsid w:val="667411A7"/>
    <w:rsid w:val="668313EA"/>
    <w:rsid w:val="668D2269"/>
    <w:rsid w:val="669F375A"/>
    <w:rsid w:val="66AA4BC9"/>
    <w:rsid w:val="671264AE"/>
    <w:rsid w:val="677B2F59"/>
    <w:rsid w:val="678C73B0"/>
    <w:rsid w:val="67A850AE"/>
    <w:rsid w:val="67C56AB2"/>
    <w:rsid w:val="67D9119E"/>
    <w:rsid w:val="67E637C0"/>
    <w:rsid w:val="67F655CC"/>
    <w:rsid w:val="685F3338"/>
    <w:rsid w:val="68B05FF0"/>
    <w:rsid w:val="68F14B45"/>
    <w:rsid w:val="69180510"/>
    <w:rsid w:val="692367F0"/>
    <w:rsid w:val="692678CE"/>
    <w:rsid w:val="69580F38"/>
    <w:rsid w:val="695B20BB"/>
    <w:rsid w:val="695B47FE"/>
    <w:rsid w:val="69941194"/>
    <w:rsid w:val="69957136"/>
    <w:rsid w:val="699D210A"/>
    <w:rsid w:val="6A0E1F92"/>
    <w:rsid w:val="6A0E6CF5"/>
    <w:rsid w:val="6A70797F"/>
    <w:rsid w:val="6A8C3D5C"/>
    <w:rsid w:val="6A906D98"/>
    <w:rsid w:val="6A955B90"/>
    <w:rsid w:val="6AA34C50"/>
    <w:rsid w:val="6AD11867"/>
    <w:rsid w:val="6AE03964"/>
    <w:rsid w:val="6AFF4C65"/>
    <w:rsid w:val="6B3E1D84"/>
    <w:rsid w:val="6B4C0752"/>
    <w:rsid w:val="6B5E5F82"/>
    <w:rsid w:val="6BB40BC2"/>
    <w:rsid w:val="6BC41746"/>
    <w:rsid w:val="6C0738C4"/>
    <w:rsid w:val="6C5234A3"/>
    <w:rsid w:val="6C5C6B69"/>
    <w:rsid w:val="6CAA73D7"/>
    <w:rsid w:val="6CD6322B"/>
    <w:rsid w:val="6CFF5A25"/>
    <w:rsid w:val="6D94484E"/>
    <w:rsid w:val="6D9D49F8"/>
    <w:rsid w:val="6DC42A14"/>
    <w:rsid w:val="6DCE3893"/>
    <w:rsid w:val="6E157307"/>
    <w:rsid w:val="6E565602"/>
    <w:rsid w:val="6E9F1BFD"/>
    <w:rsid w:val="6EA814CE"/>
    <w:rsid w:val="6EE77278"/>
    <w:rsid w:val="6EFC3D76"/>
    <w:rsid w:val="6F133C87"/>
    <w:rsid w:val="6F466EE5"/>
    <w:rsid w:val="6F665B7C"/>
    <w:rsid w:val="6F863CF9"/>
    <w:rsid w:val="6F8C01F8"/>
    <w:rsid w:val="6F8D2AC6"/>
    <w:rsid w:val="6FB823FA"/>
    <w:rsid w:val="700C06A3"/>
    <w:rsid w:val="701B2E02"/>
    <w:rsid w:val="702102C3"/>
    <w:rsid w:val="7099054F"/>
    <w:rsid w:val="70DF0D69"/>
    <w:rsid w:val="7104137A"/>
    <w:rsid w:val="710D0F27"/>
    <w:rsid w:val="717160B2"/>
    <w:rsid w:val="7174432C"/>
    <w:rsid w:val="71BD278F"/>
    <w:rsid w:val="71ED7309"/>
    <w:rsid w:val="720A5EEB"/>
    <w:rsid w:val="72153AA2"/>
    <w:rsid w:val="72347A3D"/>
    <w:rsid w:val="723925C7"/>
    <w:rsid w:val="72395459"/>
    <w:rsid w:val="7256293A"/>
    <w:rsid w:val="728E30E2"/>
    <w:rsid w:val="72E62FFE"/>
    <w:rsid w:val="735B0E4A"/>
    <w:rsid w:val="738A200A"/>
    <w:rsid w:val="73CC2623"/>
    <w:rsid w:val="73CC57F7"/>
    <w:rsid w:val="741F1C9D"/>
    <w:rsid w:val="746434A9"/>
    <w:rsid w:val="747074AE"/>
    <w:rsid w:val="74B84955"/>
    <w:rsid w:val="74EC45FF"/>
    <w:rsid w:val="75004AEF"/>
    <w:rsid w:val="75012B4F"/>
    <w:rsid w:val="751D2394"/>
    <w:rsid w:val="751E09C0"/>
    <w:rsid w:val="753348CC"/>
    <w:rsid w:val="75970096"/>
    <w:rsid w:val="75AA589C"/>
    <w:rsid w:val="75BF0F55"/>
    <w:rsid w:val="75C326C2"/>
    <w:rsid w:val="75C5557C"/>
    <w:rsid w:val="75C60818"/>
    <w:rsid w:val="75CA6844"/>
    <w:rsid w:val="761958C7"/>
    <w:rsid w:val="762027B2"/>
    <w:rsid w:val="767B47BA"/>
    <w:rsid w:val="76B96DD9"/>
    <w:rsid w:val="76C05D43"/>
    <w:rsid w:val="76DF1E01"/>
    <w:rsid w:val="76F12FBB"/>
    <w:rsid w:val="771B67F2"/>
    <w:rsid w:val="7721285F"/>
    <w:rsid w:val="77424DF3"/>
    <w:rsid w:val="77DF03B7"/>
    <w:rsid w:val="781448BD"/>
    <w:rsid w:val="782F4F2E"/>
    <w:rsid w:val="783A118D"/>
    <w:rsid w:val="783D5354"/>
    <w:rsid w:val="78470884"/>
    <w:rsid w:val="788039DC"/>
    <w:rsid w:val="789470BD"/>
    <w:rsid w:val="78A43B6E"/>
    <w:rsid w:val="78C20004"/>
    <w:rsid w:val="78CE0BEB"/>
    <w:rsid w:val="79006402"/>
    <w:rsid w:val="793925ED"/>
    <w:rsid w:val="794978A6"/>
    <w:rsid w:val="79502D1E"/>
    <w:rsid w:val="79730A7E"/>
    <w:rsid w:val="79B97124"/>
    <w:rsid w:val="7A3B3F5F"/>
    <w:rsid w:val="7A743F6F"/>
    <w:rsid w:val="7B046B46"/>
    <w:rsid w:val="7B1E74DC"/>
    <w:rsid w:val="7B52378D"/>
    <w:rsid w:val="7B64461B"/>
    <w:rsid w:val="7B9F7628"/>
    <w:rsid w:val="7BCE6D01"/>
    <w:rsid w:val="7BD3434A"/>
    <w:rsid w:val="7BE04A0C"/>
    <w:rsid w:val="7BEF783E"/>
    <w:rsid w:val="7BFA296E"/>
    <w:rsid w:val="7C1032C9"/>
    <w:rsid w:val="7C3F770A"/>
    <w:rsid w:val="7C5142BF"/>
    <w:rsid w:val="7C896BD7"/>
    <w:rsid w:val="7C8974D7"/>
    <w:rsid w:val="7CCB45C8"/>
    <w:rsid w:val="7CCC1CEE"/>
    <w:rsid w:val="7CEA7B96"/>
    <w:rsid w:val="7D033891"/>
    <w:rsid w:val="7D14489C"/>
    <w:rsid w:val="7D162E35"/>
    <w:rsid w:val="7D44147C"/>
    <w:rsid w:val="7D767E94"/>
    <w:rsid w:val="7DB64E94"/>
    <w:rsid w:val="7DFC34E0"/>
    <w:rsid w:val="7DFFCEB1"/>
    <w:rsid w:val="7E2A155C"/>
    <w:rsid w:val="7E601E4C"/>
    <w:rsid w:val="7E6D029D"/>
    <w:rsid w:val="7EDC3097"/>
    <w:rsid w:val="7F780FFA"/>
    <w:rsid w:val="7F8603D7"/>
    <w:rsid w:val="7F97767F"/>
    <w:rsid w:val="7FB1229A"/>
    <w:rsid w:val="7FB7A62E"/>
    <w:rsid w:val="7FE76D1C"/>
    <w:rsid w:val="AE673AD5"/>
    <w:rsid w:val="BF7B8E08"/>
    <w:rsid w:val="C19F5728"/>
    <w:rsid w:val="C799B552"/>
    <w:rsid w:val="C7BBF4E1"/>
    <w:rsid w:val="DA7A7220"/>
    <w:rsid w:val="DAFF76D2"/>
    <w:rsid w:val="EEFA626B"/>
    <w:rsid w:val="EFB54DD9"/>
    <w:rsid w:val="EFD962EE"/>
    <w:rsid w:val="FFDB660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Calibri" w:hAnsi="Calibri" w:eastAsia="宋体" w:cs="Times New Roman"/>
      <w:sz w:val="24"/>
      <w:szCs w:val="22"/>
      <w:lang w:val="en-US" w:eastAsia="zh-CN" w:bidi="ar-SA"/>
    </w:rPr>
  </w:style>
  <w:style w:type="paragraph" w:styleId="2">
    <w:name w:val="heading 1"/>
    <w:basedOn w:val="1"/>
    <w:next w:val="1"/>
    <w:link w:val="30"/>
    <w:qFormat/>
    <w:uiPriority w:val="99"/>
    <w:pPr>
      <w:keepNext/>
      <w:keepLines/>
      <w:spacing w:before="340" w:after="330" w:line="578" w:lineRule="atLeast"/>
      <w:ind w:firstLine="288"/>
      <w:outlineLvl w:val="0"/>
    </w:pPr>
    <w:rPr>
      <w:b/>
      <w:bCs/>
      <w:kern w:val="44"/>
      <w:sz w:val="44"/>
      <w:szCs w:val="44"/>
    </w:rPr>
  </w:style>
  <w:style w:type="paragraph" w:styleId="3">
    <w:name w:val="heading 2"/>
    <w:basedOn w:val="1"/>
    <w:next w:val="1"/>
    <w:link w:val="31"/>
    <w:qFormat/>
    <w:uiPriority w:val="99"/>
    <w:pPr>
      <w:keepNext/>
      <w:keepLines/>
      <w:numPr>
        <w:ilvl w:val="1"/>
        <w:numId w:val="1"/>
      </w:numPr>
      <w:spacing w:before="260" w:after="260" w:line="416" w:lineRule="atLeast"/>
      <w:outlineLvl w:val="1"/>
    </w:pPr>
    <w:rPr>
      <w:rFonts w:ascii="Arial" w:hAnsi="Arial" w:eastAsia="黑体"/>
      <w:b/>
      <w:bCs/>
      <w:sz w:val="32"/>
      <w:szCs w:val="32"/>
    </w:rPr>
  </w:style>
  <w:style w:type="paragraph" w:styleId="4">
    <w:name w:val="heading 3"/>
    <w:basedOn w:val="1"/>
    <w:next w:val="1"/>
    <w:link w:val="32"/>
    <w:qFormat/>
    <w:uiPriority w:val="99"/>
    <w:pPr>
      <w:keepNext/>
      <w:keepLines/>
      <w:tabs>
        <w:tab w:val="left" w:pos="1260"/>
      </w:tabs>
      <w:spacing w:before="260" w:after="260" w:line="416" w:lineRule="atLeast"/>
      <w:ind w:left="1260" w:hanging="420"/>
      <w:outlineLvl w:val="2"/>
    </w:pPr>
    <w:rPr>
      <w:b/>
      <w:sz w:val="32"/>
    </w:rPr>
  </w:style>
  <w:style w:type="paragraph" w:styleId="5">
    <w:name w:val="heading 4"/>
    <w:basedOn w:val="1"/>
    <w:next w:val="1"/>
    <w:link w:val="33"/>
    <w:qFormat/>
    <w:uiPriority w:val="99"/>
    <w:pPr>
      <w:keepNext/>
      <w:keepLines/>
      <w:numPr>
        <w:ilvl w:val="3"/>
        <w:numId w:val="1"/>
      </w:numPr>
      <w:spacing w:before="280" w:after="290" w:line="376" w:lineRule="atLeast"/>
      <w:outlineLvl w:val="3"/>
    </w:pPr>
    <w:rPr>
      <w:rFonts w:ascii="Arial" w:hAnsi="Arial" w:eastAsia="黑体"/>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autoSpaceDE w:val="0"/>
      <w:autoSpaceDN w:val="0"/>
      <w:ind w:firstLine="420"/>
    </w:pPr>
    <w:rPr>
      <w:rFonts w:ascii="宋体"/>
    </w:rPr>
  </w:style>
  <w:style w:type="paragraph" w:styleId="7">
    <w:name w:val="annotation text"/>
    <w:basedOn w:val="1"/>
    <w:link w:val="34"/>
    <w:qFormat/>
    <w:uiPriority w:val="99"/>
    <w:rPr>
      <w:rFonts w:ascii="Times New Roman" w:hAnsi="Times New Roman"/>
    </w:rPr>
  </w:style>
  <w:style w:type="paragraph" w:styleId="8">
    <w:name w:val="Body Text 3"/>
    <w:basedOn w:val="1"/>
    <w:unhideWhenUsed/>
    <w:qFormat/>
    <w:uiPriority w:val="99"/>
    <w:pPr>
      <w:spacing w:after="120"/>
    </w:pPr>
    <w:rPr>
      <w:color w:val="595959"/>
      <w:sz w:val="16"/>
    </w:rPr>
  </w:style>
  <w:style w:type="paragraph" w:styleId="9">
    <w:name w:val="Body Text"/>
    <w:basedOn w:val="1"/>
    <w:link w:val="35"/>
    <w:qFormat/>
    <w:uiPriority w:val="99"/>
    <w:pPr>
      <w:spacing w:after="120"/>
    </w:pPr>
    <w:rPr>
      <w:rFonts w:ascii="Times New Roman" w:hAnsi="Times New Roman"/>
    </w:rPr>
  </w:style>
  <w:style w:type="paragraph" w:styleId="10">
    <w:name w:val="Body Text Indent"/>
    <w:basedOn w:val="1"/>
    <w:link w:val="36"/>
    <w:qFormat/>
    <w:uiPriority w:val="99"/>
    <w:pPr>
      <w:spacing w:after="120"/>
      <w:ind w:left="420" w:leftChars="200"/>
    </w:pPr>
    <w:rPr>
      <w:rFonts w:ascii="Times New Roman" w:hAnsi="Times New Roman"/>
    </w:rPr>
  </w:style>
  <w:style w:type="paragraph" w:styleId="11">
    <w:name w:val="Block Text"/>
    <w:basedOn w:val="1"/>
    <w:qFormat/>
    <w:uiPriority w:val="99"/>
    <w:pPr>
      <w:snapToGrid w:val="0"/>
      <w:spacing w:before="120" w:line="312" w:lineRule="auto"/>
      <w:ind w:left="428" w:right="154" w:firstLine="470" w:firstLineChars="196"/>
      <w:jc w:val="both"/>
      <w:textAlignment w:val="auto"/>
    </w:pPr>
    <w:rPr>
      <w:kern w:val="2"/>
      <w:szCs w:val="20"/>
    </w:rPr>
  </w:style>
  <w:style w:type="paragraph" w:styleId="12">
    <w:name w:val="Plain Text"/>
    <w:basedOn w:val="1"/>
    <w:link w:val="37"/>
    <w:qFormat/>
    <w:uiPriority w:val="99"/>
    <w:pPr>
      <w:adjustRightInd/>
      <w:spacing w:line="240" w:lineRule="auto"/>
      <w:jc w:val="both"/>
      <w:textAlignment w:val="auto"/>
    </w:pPr>
    <w:rPr>
      <w:rFonts w:ascii="宋体" w:hAnsi="Courier New"/>
      <w:kern w:val="2"/>
      <w:sz w:val="21"/>
      <w:szCs w:val="21"/>
    </w:rPr>
  </w:style>
  <w:style w:type="paragraph" w:styleId="13">
    <w:name w:val="Body Text Indent 2"/>
    <w:basedOn w:val="1"/>
    <w:link w:val="38"/>
    <w:qFormat/>
    <w:uiPriority w:val="99"/>
    <w:pPr>
      <w:spacing w:after="120" w:line="480" w:lineRule="auto"/>
      <w:ind w:left="420" w:leftChars="200"/>
    </w:pPr>
    <w:rPr>
      <w:rFonts w:ascii="Times New Roman" w:hAnsi="Times New Roman"/>
    </w:rPr>
  </w:style>
  <w:style w:type="paragraph" w:styleId="14">
    <w:name w:val="Balloon Text"/>
    <w:basedOn w:val="1"/>
    <w:link w:val="39"/>
    <w:semiHidden/>
    <w:qFormat/>
    <w:uiPriority w:val="99"/>
    <w:rPr>
      <w:sz w:val="18"/>
      <w:szCs w:val="18"/>
    </w:rPr>
  </w:style>
  <w:style w:type="paragraph" w:styleId="15">
    <w:name w:val="footer"/>
    <w:basedOn w:val="1"/>
    <w:link w:val="40"/>
    <w:qFormat/>
    <w:uiPriority w:val="99"/>
    <w:pPr>
      <w:tabs>
        <w:tab w:val="center" w:pos="4153"/>
        <w:tab w:val="right" w:pos="8306"/>
      </w:tabs>
      <w:spacing w:line="240" w:lineRule="atLeast"/>
    </w:pPr>
    <w:rPr>
      <w:sz w:val="18"/>
    </w:rPr>
  </w:style>
  <w:style w:type="paragraph" w:styleId="16">
    <w:name w:val="header"/>
    <w:basedOn w:val="1"/>
    <w:link w:val="41"/>
    <w:qFormat/>
    <w:uiPriority w:val="99"/>
    <w:pPr>
      <w:pBdr>
        <w:bottom w:val="single" w:color="auto" w:sz="6" w:space="1"/>
      </w:pBdr>
      <w:tabs>
        <w:tab w:val="center" w:pos="4153"/>
        <w:tab w:val="right" w:pos="8306"/>
      </w:tabs>
      <w:spacing w:line="240" w:lineRule="atLeast"/>
      <w:jc w:val="center"/>
    </w:pPr>
    <w:rPr>
      <w:sz w:val="18"/>
    </w:rPr>
  </w:style>
  <w:style w:type="paragraph" w:styleId="17">
    <w:name w:val="toc 1"/>
    <w:basedOn w:val="1"/>
    <w:next w:val="1"/>
    <w:qFormat/>
    <w:uiPriority w:val="99"/>
  </w:style>
  <w:style w:type="paragraph" w:styleId="18">
    <w:name w:val="Body Text Indent 3"/>
    <w:basedOn w:val="1"/>
    <w:link w:val="42"/>
    <w:qFormat/>
    <w:uiPriority w:val="99"/>
    <w:pPr>
      <w:spacing w:after="120"/>
      <w:ind w:left="420" w:leftChars="200"/>
    </w:pPr>
    <w:rPr>
      <w:rFonts w:ascii="Times New Roman" w:hAnsi="Times New Roman"/>
      <w:sz w:val="16"/>
      <w:szCs w:val="16"/>
    </w:rPr>
  </w:style>
  <w:style w:type="paragraph" w:styleId="19">
    <w:name w:val="Normal (Web)"/>
    <w:basedOn w:val="1"/>
    <w:qFormat/>
    <w:uiPriority w:val="99"/>
    <w:pPr>
      <w:widowControl/>
      <w:adjustRightInd/>
      <w:spacing w:before="100" w:beforeAutospacing="1" w:after="100" w:afterAutospacing="1" w:line="240" w:lineRule="auto"/>
      <w:textAlignment w:val="auto"/>
    </w:pPr>
    <w:rPr>
      <w:rFonts w:ascii="宋体" w:hAnsi="宋体" w:cs="宋体"/>
      <w:szCs w:val="24"/>
    </w:rPr>
  </w:style>
  <w:style w:type="paragraph" w:styleId="20">
    <w:name w:val="annotation subject"/>
    <w:basedOn w:val="7"/>
    <w:next w:val="7"/>
    <w:link w:val="43"/>
    <w:qFormat/>
    <w:uiPriority w:val="99"/>
    <w:rPr>
      <w:b/>
      <w:bCs/>
    </w:rPr>
  </w:style>
  <w:style w:type="paragraph" w:styleId="21">
    <w:name w:val="Body Text First Indent 2"/>
    <w:basedOn w:val="10"/>
    <w:link w:val="44"/>
    <w:qFormat/>
    <w:uiPriority w:val="99"/>
    <w:pPr>
      <w:adjustRightInd/>
      <w:spacing w:line="240" w:lineRule="auto"/>
      <w:ind w:firstLine="420" w:firstLineChars="200"/>
      <w:jc w:val="both"/>
      <w:textAlignment w:val="auto"/>
    </w:pPr>
    <w:rPr>
      <w:kern w:val="2"/>
      <w:sz w:val="21"/>
      <w:szCs w:val="24"/>
    </w:rPr>
  </w:style>
  <w:style w:type="table" w:styleId="23">
    <w:name w:val="Table Grid"/>
    <w:basedOn w:val="2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99"/>
    <w:rPr>
      <w:rFonts w:cs="Times New Roman"/>
      <w:b/>
    </w:rPr>
  </w:style>
  <w:style w:type="character" w:styleId="26">
    <w:name w:val="page number"/>
    <w:basedOn w:val="24"/>
    <w:qFormat/>
    <w:uiPriority w:val="99"/>
    <w:rPr>
      <w:rFonts w:cs="Times New Roman"/>
    </w:rPr>
  </w:style>
  <w:style w:type="character" w:styleId="27">
    <w:name w:val="FollowedHyperlink"/>
    <w:basedOn w:val="24"/>
    <w:qFormat/>
    <w:uiPriority w:val="99"/>
    <w:rPr>
      <w:rFonts w:cs="Times New Roman"/>
      <w:color w:val="800080"/>
      <w:u w:val="single"/>
    </w:rPr>
  </w:style>
  <w:style w:type="character" w:styleId="28">
    <w:name w:val="Hyperlink"/>
    <w:basedOn w:val="24"/>
    <w:qFormat/>
    <w:uiPriority w:val="99"/>
    <w:rPr>
      <w:rFonts w:cs="Times New Roman"/>
      <w:color w:val="0000FF"/>
      <w:u w:val="single"/>
    </w:rPr>
  </w:style>
  <w:style w:type="character" w:styleId="29">
    <w:name w:val="annotation reference"/>
    <w:basedOn w:val="24"/>
    <w:qFormat/>
    <w:uiPriority w:val="99"/>
    <w:rPr>
      <w:rFonts w:cs="Times New Roman"/>
      <w:sz w:val="21"/>
    </w:rPr>
  </w:style>
  <w:style w:type="character" w:customStyle="1" w:styleId="30">
    <w:name w:val="标题 1 Char"/>
    <w:basedOn w:val="24"/>
    <w:link w:val="2"/>
    <w:qFormat/>
    <w:uiPriority w:val="9"/>
    <w:rPr>
      <w:rFonts w:ascii="Calibri" w:hAnsi="Calibri"/>
      <w:b/>
      <w:bCs/>
      <w:kern w:val="44"/>
      <w:sz w:val="44"/>
      <w:szCs w:val="44"/>
    </w:rPr>
  </w:style>
  <w:style w:type="character" w:customStyle="1" w:styleId="31">
    <w:name w:val="标题 2 Char"/>
    <w:basedOn w:val="24"/>
    <w:link w:val="3"/>
    <w:semiHidden/>
    <w:qFormat/>
    <w:uiPriority w:val="9"/>
    <w:rPr>
      <w:rFonts w:asciiTheme="majorHAnsi" w:hAnsiTheme="majorHAnsi" w:eastAsiaTheme="majorEastAsia" w:cstheme="majorBidi"/>
      <w:b/>
      <w:bCs/>
      <w:kern w:val="0"/>
      <w:sz w:val="32"/>
      <w:szCs w:val="32"/>
    </w:rPr>
  </w:style>
  <w:style w:type="character" w:customStyle="1" w:styleId="32">
    <w:name w:val="标题 3 Char1"/>
    <w:basedOn w:val="24"/>
    <w:link w:val="4"/>
    <w:semiHidden/>
    <w:qFormat/>
    <w:uiPriority w:val="9"/>
    <w:rPr>
      <w:rFonts w:ascii="Calibri" w:hAnsi="Calibri"/>
      <w:b/>
      <w:bCs/>
      <w:kern w:val="0"/>
      <w:sz w:val="32"/>
      <w:szCs w:val="32"/>
    </w:rPr>
  </w:style>
  <w:style w:type="character" w:customStyle="1" w:styleId="33">
    <w:name w:val="标题 4 Char"/>
    <w:basedOn w:val="24"/>
    <w:link w:val="5"/>
    <w:semiHidden/>
    <w:qFormat/>
    <w:uiPriority w:val="9"/>
    <w:rPr>
      <w:rFonts w:asciiTheme="majorHAnsi" w:hAnsiTheme="majorHAnsi" w:eastAsiaTheme="majorEastAsia" w:cstheme="majorBidi"/>
      <w:b/>
      <w:bCs/>
      <w:kern w:val="0"/>
      <w:sz w:val="28"/>
      <w:szCs w:val="28"/>
    </w:rPr>
  </w:style>
  <w:style w:type="character" w:customStyle="1" w:styleId="34">
    <w:name w:val="批注文字 Char"/>
    <w:basedOn w:val="24"/>
    <w:link w:val="7"/>
    <w:qFormat/>
    <w:locked/>
    <w:uiPriority w:val="99"/>
    <w:rPr>
      <w:sz w:val="22"/>
    </w:rPr>
  </w:style>
  <w:style w:type="character" w:customStyle="1" w:styleId="35">
    <w:name w:val="正文文本 Char"/>
    <w:basedOn w:val="24"/>
    <w:link w:val="9"/>
    <w:qFormat/>
    <w:locked/>
    <w:uiPriority w:val="99"/>
    <w:rPr>
      <w:sz w:val="22"/>
    </w:rPr>
  </w:style>
  <w:style w:type="character" w:customStyle="1" w:styleId="36">
    <w:name w:val="正文文本缩进 Char"/>
    <w:basedOn w:val="24"/>
    <w:link w:val="10"/>
    <w:qFormat/>
    <w:locked/>
    <w:uiPriority w:val="99"/>
    <w:rPr>
      <w:sz w:val="22"/>
    </w:rPr>
  </w:style>
  <w:style w:type="character" w:customStyle="1" w:styleId="37">
    <w:name w:val="纯文本 Char"/>
    <w:basedOn w:val="24"/>
    <w:link w:val="12"/>
    <w:qFormat/>
    <w:locked/>
    <w:uiPriority w:val="99"/>
    <w:rPr>
      <w:rFonts w:ascii="宋体" w:hAnsi="Courier New" w:eastAsia="宋体"/>
      <w:kern w:val="2"/>
      <w:sz w:val="21"/>
      <w:lang w:val="en-US" w:eastAsia="zh-CN"/>
    </w:rPr>
  </w:style>
  <w:style w:type="character" w:customStyle="1" w:styleId="38">
    <w:name w:val="正文文本缩进 2 Char"/>
    <w:basedOn w:val="24"/>
    <w:link w:val="13"/>
    <w:qFormat/>
    <w:locked/>
    <w:uiPriority w:val="99"/>
    <w:rPr>
      <w:sz w:val="22"/>
    </w:rPr>
  </w:style>
  <w:style w:type="character" w:customStyle="1" w:styleId="39">
    <w:name w:val="批注框文本 Char"/>
    <w:basedOn w:val="24"/>
    <w:link w:val="14"/>
    <w:semiHidden/>
    <w:qFormat/>
    <w:uiPriority w:val="99"/>
    <w:rPr>
      <w:rFonts w:ascii="Calibri" w:hAnsi="Calibri"/>
      <w:kern w:val="0"/>
      <w:sz w:val="0"/>
      <w:szCs w:val="0"/>
    </w:rPr>
  </w:style>
  <w:style w:type="character" w:customStyle="1" w:styleId="40">
    <w:name w:val="页脚 Char"/>
    <w:basedOn w:val="24"/>
    <w:link w:val="15"/>
    <w:semiHidden/>
    <w:qFormat/>
    <w:uiPriority w:val="99"/>
    <w:rPr>
      <w:rFonts w:ascii="Calibri" w:hAnsi="Calibri"/>
      <w:kern w:val="0"/>
      <w:sz w:val="18"/>
      <w:szCs w:val="18"/>
    </w:rPr>
  </w:style>
  <w:style w:type="character" w:customStyle="1" w:styleId="41">
    <w:name w:val="页眉 Char"/>
    <w:basedOn w:val="24"/>
    <w:link w:val="16"/>
    <w:semiHidden/>
    <w:qFormat/>
    <w:uiPriority w:val="99"/>
    <w:rPr>
      <w:rFonts w:ascii="Calibri" w:hAnsi="Calibri"/>
      <w:kern w:val="0"/>
      <w:sz w:val="18"/>
      <w:szCs w:val="18"/>
    </w:rPr>
  </w:style>
  <w:style w:type="character" w:customStyle="1" w:styleId="42">
    <w:name w:val="正文文本缩进 3 Char"/>
    <w:basedOn w:val="24"/>
    <w:link w:val="18"/>
    <w:qFormat/>
    <w:locked/>
    <w:uiPriority w:val="99"/>
    <w:rPr>
      <w:sz w:val="16"/>
    </w:rPr>
  </w:style>
  <w:style w:type="character" w:customStyle="1" w:styleId="43">
    <w:name w:val="批注主题 Char"/>
    <w:basedOn w:val="34"/>
    <w:link w:val="20"/>
    <w:qFormat/>
    <w:locked/>
    <w:uiPriority w:val="99"/>
    <w:rPr>
      <w:b/>
      <w:sz w:val="22"/>
    </w:rPr>
  </w:style>
  <w:style w:type="character" w:customStyle="1" w:styleId="44">
    <w:name w:val="正文首行缩进 2 Char"/>
    <w:basedOn w:val="36"/>
    <w:link w:val="21"/>
    <w:qFormat/>
    <w:locked/>
    <w:uiPriority w:val="99"/>
    <w:rPr>
      <w:rFonts w:ascii="Times New Roman" w:hAnsi="Times New Roman"/>
      <w:kern w:val="2"/>
      <w:sz w:val="24"/>
    </w:rPr>
  </w:style>
  <w:style w:type="character" w:customStyle="1" w:styleId="45">
    <w:name w:val="font41"/>
    <w:basedOn w:val="24"/>
    <w:qFormat/>
    <w:uiPriority w:val="99"/>
    <w:rPr>
      <w:rFonts w:ascii="等线" w:hAnsi="等线" w:eastAsia="等线" w:cs="等线"/>
      <w:color w:val="000000"/>
      <w:sz w:val="22"/>
      <w:szCs w:val="22"/>
      <w:u w:val="none"/>
    </w:rPr>
  </w:style>
  <w:style w:type="character" w:customStyle="1" w:styleId="46">
    <w:name w:val="样式1 Char"/>
    <w:link w:val="47"/>
    <w:qFormat/>
    <w:locked/>
    <w:uiPriority w:val="0"/>
    <w:rPr>
      <w:rFonts w:ascii="宋体" w:eastAsia="宋体"/>
      <w:sz w:val="21"/>
    </w:rPr>
  </w:style>
  <w:style w:type="paragraph" w:customStyle="1" w:styleId="47">
    <w:name w:val="样式1"/>
    <w:basedOn w:val="1"/>
    <w:link w:val="46"/>
    <w:qFormat/>
    <w:uiPriority w:val="0"/>
    <w:pPr>
      <w:numPr>
        <w:ilvl w:val="0"/>
        <w:numId w:val="2"/>
      </w:numPr>
      <w:tabs>
        <w:tab w:val="left" w:pos="709"/>
      </w:tabs>
      <w:spacing w:line="240" w:lineRule="auto"/>
      <w:jc w:val="both"/>
    </w:pPr>
    <w:rPr>
      <w:rFonts w:ascii="宋体" w:hAnsi="宋体"/>
      <w:sz w:val="21"/>
      <w:szCs w:val="21"/>
    </w:rPr>
  </w:style>
  <w:style w:type="character" w:customStyle="1" w:styleId="48">
    <w:name w:val="标题 3 Char"/>
    <w:qFormat/>
    <w:uiPriority w:val="99"/>
    <w:rPr>
      <w:rFonts w:ascii="宋体" w:eastAsia="宋体"/>
    </w:rPr>
  </w:style>
  <w:style w:type="character" w:customStyle="1" w:styleId="49">
    <w:name w:val="px_10"/>
    <w:qFormat/>
    <w:uiPriority w:val="99"/>
  </w:style>
  <w:style w:type="character" w:customStyle="1" w:styleId="50">
    <w:name w:val="纯文本 字符1"/>
    <w:qFormat/>
    <w:uiPriority w:val="99"/>
    <w:rPr>
      <w:rFonts w:ascii="Times New Roman" w:hAnsi="Courier New"/>
      <w:kern w:val="2"/>
      <w:sz w:val="21"/>
    </w:rPr>
  </w:style>
  <w:style w:type="character" w:customStyle="1" w:styleId="51">
    <w:name w:val="标题 1 Char Char Char Char"/>
    <w:qFormat/>
    <w:uiPriority w:val="99"/>
    <w:rPr>
      <w:rFonts w:eastAsia="宋体"/>
      <w:b/>
      <w:kern w:val="44"/>
      <w:sz w:val="44"/>
      <w:lang w:val="en-US" w:eastAsia="zh-CN"/>
    </w:rPr>
  </w:style>
  <w:style w:type="character" w:customStyle="1" w:styleId="52">
    <w:name w:val="apple-converted-space"/>
    <w:qFormat/>
    <w:uiPriority w:val="99"/>
  </w:style>
  <w:style w:type="character" w:customStyle="1" w:styleId="53">
    <w:name w:val="15"/>
    <w:qFormat/>
    <w:uiPriority w:val="99"/>
    <w:rPr>
      <w:rFonts w:ascii="宋体" w:hAnsi="宋体" w:eastAsia="宋体"/>
      <w:color w:val="000000"/>
      <w:sz w:val="20"/>
    </w:rPr>
  </w:style>
  <w:style w:type="character" w:customStyle="1" w:styleId="54">
    <w:name w:val="未处理的提及1"/>
    <w:qFormat/>
    <w:uiPriority w:val="99"/>
    <w:rPr>
      <w:color w:val="605E5C"/>
      <w:shd w:val="clear" w:color="auto" w:fill="E1DFDD"/>
    </w:rPr>
  </w:style>
  <w:style w:type="paragraph" w:customStyle="1" w:styleId="55">
    <w:name w:val="正文文字缩进 2"/>
    <w:basedOn w:val="1"/>
    <w:qFormat/>
    <w:uiPriority w:val="99"/>
    <w:pPr>
      <w:widowControl/>
      <w:adjustRightInd/>
      <w:spacing w:line="351" w:lineRule="atLeast"/>
      <w:ind w:firstLine="481"/>
      <w:jc w:val="both"/>
    </w:pPr>
    <w:rPr>
      <w:rFonts w:ascii="仿宋_GB2312" w:hAnsi="Times New Roman" w:eastAsia="仿宋_GB2312"/>
      <w:color w:val="000000"/>
      <w:szCs w:val="20"/>
      <w:u w:color="000000"/>
    </w:rPr>
  </w:style>
  <w:style w:type="paragraph" w:customStyle="1" w:styleId="56">
    <w:name w:val="正文文字缩进 3"/>
    <w:basedOn w:val="1"/>
    <w:qFormat/>
    <w:uiPriority w:val="99"/>
    <w:pPr>
      <w:widowControl/>
      <w:adjustRightInd/>
      <w:spacing w:before="119" w:line="272" w:lineRule="atLeast"/>
      <w:ind w:left="719" w:firstLine="481"/>
    </w:pPr>
    <w:rPr>
      <w:rFonts w:ascii="宋体" w:hAnsi="Times New Roman"/>
      <w:color w:val="000000"/>
      <w:szCs w:val="20"/>
      <w:u w:color="000000"/>
    </w:rPr>
  </w:style>
  <w:style w:type="paragraph" w:customStyle="1" w:styleId="57">
    <w:name w:val="样式 标题 1 + 四号 居中 段前: 12 磅 段后: 12 磅 行距: 单倍行距"/>
    <w:basedOn w:val="2"/>
    <w:qFormat/>
    <w:uiPriority w:val="99"/>
    <w:pPr>
      <w:numPr>
        <w:ilvl w:val="0"/>
        <w:numId w:val="1"/>
      </w:numPr>
      <w:spacing w:before="240" w:after="240" w:line="240" w:lineRule="auto"/>
      <w:jc w:val="center"/>
    </w:pPr>
    <w:rPr>
      <w:rFonts w:cs="宋体"/>
      <w:sz w:val="28"/>
      <w:szCs w:val="20"/>
    </w:rPr>
  </w:style>
  <w:style w:type="paragraph" w:customStyle="1" w:styleId="58">
    <w:name w:val="样式 标题 4 + 段前: 5 磅 段后: 5 磅 行距: 单倍行距"/>
    <w:basedOn w:val="5"/>
    <w:qFormat/>
    <w:uiPriority w:val="99"/>
    <w:pPr>
      <w:spacing w:before="100" w:after="100" w:line="240" w:lineRule="auto"/>
    </w:pPr>
    <w:rPr>
      <w:rFonts w:cs="宋体"/>
      <w:szCs w:val="20"/>
    </w:rPr>
  </w:style>
  <w:style w:type="paragraph" w:customStyle="1" w:styleId="59">
    <w:name w:val="列出段落1"/>
    <w:basedOn w:val="1"/>
    <w:qFormat/>
    <w:uiPriority w:val="99"/>
    <w:pPr>
      <w:ind w:firstLine="420" w:firstLineChars="200"/>
    </w:pPr>
  </w:style>
  <w:style w:type="paragraph" w:customStyle="1" w:styleId="60">
    <w:name w:val="列表段落1"/>
    <w:basedOn w:val="1"/>
    <w:qFormat/>
    <w:uiPriority w:val="99"/>
    <w:pPr>
      <w:adjustRightInd/>
      <w:spacing w:line="240" w:lineRule="auto"/>
      <w:ind w:firstLine="420" w:firstLineChars="200"/>
      <w:jc w:val="both"/>
      <w:textAlignment w:val="auto"/>
    </w:pPr>
    <w:rPr>
      <w:rFonts w:ascii="Times New Roman" w:hAnsi="Times New Roman"/>
      <w:kern w:val="2"/>
      <w:sz w:val="21"/>
      <w:szCs w:val="24"/>
    </w:rPr>
  </w:style>
  <w:style w:type="paragraph" w:customStyle="1" w:styleId="61">
    <w:name w:val="彩色列表 - 强调文字颜色 11"/>
    <w:basedOn w:val="1"/>
    <w:qFormat/>
    <w:uiPriority w:val="99"/>
    <w:pPr>
      <w:ind w:firstLine="420" w:firstLineChars="200"/>
    </w:pPr>
  </w:style>
  <w:style w:type="paragraph" w:customStyle="1" w:styleId="62">
    <w:name w:val="彩色底纹 - 强调文字颜色 11"/>
    <w:semiHidden/>
    <w:qFormat/>
    <w:uiPriority w:val="99"/>
    <w:rPr>
      <w:rFonts w:ascii="Calibri" w:hAnsi="Calibri" w:eastAsia="宋体" w:cs="Times New Roman"/>
      <w:sz w:val="24"/>
      <w:szCs w:val="22"/>
      <w:lang w:val="en-US" w:eastAsia="zh-CN" w:bidi="ar-SA"/>
    </w:rPr>
  </w:style>
  <w:style w:type="paragraph" w:customStyle="1" w:styleId="63">
    <w:name w:val="样式 样式 样式 标题 2 + 宋体 五号 非加粗 黑色 + 段前: 6 磅 段后: 0 磅 行距: 单倍行距 + 段前: 12..."/>
    <w:basedOn w:val="64"/>
    <w:qFormat/>
    <w:uiPriority w:val="99"/>
    <w:pPr>
      <w:spacing w:before="240"/>
    </w:pPr>
  </w:style>
  <w:style w:type="paragraph" w:customStyle="1" w:styleId="64">
    <w:name w:val="样式 样式 标题 2 + 宋体 五号 非加粗 黑色 + 段前: 6 磅 段后: 0 磅 行距: 单倍行距"/>
    <w:basedOn w:val="65"/>
    <w:qFormat/>
    <w:uiPriority w:val="99"/>
    <w:pPr>
      <w:spacing w:before="120" w:after="0" w:line="240" w:lineRule="auto"/>
    </w:pPr>
    <w:rPr>
      <w:rFonts w:cs="宋体"/>
      <w:szCs w:val="20"/>
    </w:rPr>
  </w:style>
  <w:style w:type="paragraph" w:customStyle="1" w:styleId="65">
    <w:name w:val="样式 标题 2 + 宋体 五号 非加粗 黑色"/>
    <w:basedOn w:val="3"/>
    <w:qFormat/>
    <w:uiPriority w:val="99"/>
    <w:rPr>
      <w:rFonts w:ascii="宋体" w:hAnsi="宋体" w:eastAsia="宋体"/>
      <w:b w:val="0"/>
      <w:bCs w:val="0"/>
      <w:color w:val="000000"/>
      <w:sz w:val="21"/>
    </w:rPr>
  </w:style>
  <w:style w:type="paragraph" w:customStyle="1" w:styleId="66">
    <w:name w:val="正文缩进1"/>
    <w:basedOn w:val="1"/>
    <w:qFormat/>
    <w:uiPriority w:val="99"/>
    <w:pPr>
      <w:widowControl/>
      <w:autoSpaceDE w:val="0"/>
      <w:autoSpaceDN w:val="0"/>
      <w:spacing w:line="240" w:lineRule="auto"/>
      <w:ind w:firstLine="420"/>
      <w:textAlignment w:val="auto"/>
    </w:pPr>
    <w:rPr>
      <w:rFonts w:ascii="宋体" w:hAnsi="Times New Roman" w:cs="宋体"/>
      <w:szCs w:val="24"/>
    </w:rPr>
  </w:style>
  <w:style w:type="paragraph" w:customStyle="1" w:styleId="67">
    <w:name w:val="样式 样式 样式 样式 标题 2 + 宋体 五号 非加粗 黑色 + 段前: 6 磅 段后: 0 磅 行距: 单倍行距 + 段前:..."/>
    <w:basedOn w:val="63"/>
    <w:qFormat/>
    <w:uiPriority w:val="99"/>
    <w:rPr>
      <w:b/>
      <w:bCs/>
    </w:rPr>
  </w:style>
  <w:style w:type="paragraph" w:customStyle="1" w:styleId="68">
    <w:name w:val="text"/>
    <w:basedOn w:val="1"/>
    <w:qFormat/>
    <w:uiPriority w:val="99"/>
    <w:pPr>
      <w:widowControl/>
      <w:adjustRightInd/>
      <w:spacing w:before="100" w:beforeAutospacing="1" w:after="100" w:afterAutospacing="1" w:line="240" w:lineRule="auto"/>
      <w:textAlignment w:val="auto"/>
    </w:pPr>
    <w:rPr>
      <w:rFonts w:ascii="宋体" w:hAnsi="宋体" w:cs="宋体"/>
      <w:szCs w:val="24"/>
    </w:rPr>
  </w:style>
  <w:style w:type="paragraph" w:customStyle="1" w:styleId="69">
    <w:name w:val="普通文字"/>
    <w:basedOn w:val="1"/>
    <w:qFormat/>
    <w:uiPriority w:val="99"/>
    <w:pPr>
      <w:widowControl/>
      <w:adjustRightInd/>
      <w:spacing w:line="351" w:lineRule="atLeast"/>
      <w:ind w:firstLine="419"/>
      <w:jc w:val="both"/>
    </w:pPr>
    <w:rPr>
      <w:rFonts w:ascii="宋体" w:hAnsi="Times New Roman"/>
      <w:color w:val="000000"/>
      <w:sz w:val="21"/>
      <w:szCs w:val="20"/>
      <w:u w:color="000000"/>
    </w:rPr>
  </w:style>
  <w:style w:type="paragraph" w:customStyle="1" w:styleId="70">
    <w:name w:val="Table Text List"/>
    <w:basedOn w:val="1"/>
    <w:qFormat/>
    <w:uiPriority w:val="99"/>
    <w:pPr>
      <w:widowControl/>
      <w:numPr>
        <w:ilvl w:val="0"/>
        <w:numId w:val="3"/>
      </w:numPr>
      <w:adjustRightInd/>
      <w:snapToGrid w:val="0"/>
      <w:spacing w:before="80" w:after="80" w:line="240" w:lineRule="auto"/>
      <w:textAlignment w:val="auto"/>
    </w:pPr>
    <w:rPr>
      <w:rFonts w:ascii="Times New Roman" w:hAnsi="Times New Roman"/>
      <w:sz w:val="18"/>
      <w:szCs w:val="18"/>
    </w:rPr>
  </w:style>
  <w:style w:type="paragraph" w:customStyle="1" w:styleId="71">
    <w:name w:val="纯文本1"/>
    <w:basedOn w:val="1"/>
    <w:qFormat/>
    <w:uiPriority w:val="99"/>
    <w:pPr>
      <w:adjustRightInd/>
      <w:spacing w:line="240" w:lineRule="auto"/>
      <w:jc w:val="both"/>
      <w:textAlignment w:val="auto"/>
    </w:pPr>
    <w:rPr>
      <w:rFonts w:ascii="宋体" w:hAnsi="Courier New"/>
      <w:kern w:val="2"/>
      <w:sz w:val="21"/>
      <w:szCs w:val="21"/>
    </w:rPr>
  </w:style>
  <w:style w:type="paragraph" w:customStyle="1" w:styleId="72">
    <w:name w:val="List Paragraph1"/>
    <w:basedOn w:val="1"/>
    <w:next w:val="60"/>
    <w:qFormat/>
    <w:uiPriority w:val="99"/>
    <w:pPr>
      <w:adjustRightInd/>
      <w:spacing w:line="240" w:lineRule="auto"/>
      <w:ind w:firstLine="420" w:firstLineChars="200"/>
      <w:jc w:val="both"/>
      <w:textAlignment w:val="auto"/>
    </w:pPr>
    <w:rPr>
      <w:kern w:val="2"/>
      <w:sz w:val="21"/>
      <w:lang w:val="zh-CN"/>
    </w:rPr>
  </w:style>
  <w:style w:type="paragraph" w:customStyle="1" w:styleId="73">
    <w:name w:val="正文3"/>
    <w:basedOn w:val="1"/>
    <w:qFormat/>
    <w:uiPriority w:val="99"/>
    <w:pPr>
      <w:widowControl/>
      <w:numPr>
        <w:ilvl w:val="8"/>
        <w:numId w:val="3"/>
      </w:numPr>
      <w:adjustRightInd/>
      <w:spacing w:before="60" w:after="60" w:line="360" w:lineRule="auto"/>
      <w:textAlignment w:val="auto"/>
      <w:outlineLvl w:val="8"/>
    </w:pPr>
    <w:rPr>
      <w:rFonts w:ascii="Times New Roman" w:hAnsi="Times New Roman"/>
      <w:kern w:val="2"/>
      <w:szCs w:val="21"/>
    </w:rPr>
  </w:style>
  <w:style w:type="paragraph" w:customStyle="1" w:styleId="74">
    <w:name w:val="样式 标题 3h3H3sect1.2.3 + 五号 段前: 6 磅 段后: 6 磅 行距: 单倍行距"/>
    <w:basedOn w:val="4"/>
    <w:qFormat/>
    <w:uiPriority w:val="99"/>
    <w:pPr>
      <w:spacing w:before="120" w:after="120" w:line="240" w:lineRule="auto"/>
    </w:pPr>
    <w:rPr>
      <w:sz w:val="21"/>
    </w:rPr>
  </w:style>
  <w:style w:type="paragraph" w:customStyle="1" w:styleId="75">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6">
    <w:name w:val="p0"/>
    <w:basedOn w:val="1"/>
    <w:qFormat/>
    <w:uiPriority w:val="99"/>
    <w:pPr>
      <w:widowControl/>
      <w:spacing w:before="100" w:beforeAutospacing="1" w:after="100" w:afterAutospacing="1"/>
    </w:pPr>
    <w:rPr>
      <w:rFonts w:ascii="宋体" w:hAnsi="宋体" w:cs="宋体"/>
      <w:szCs w:val="24"/>
    </w:rPr>
  </w:style>
  <w:style w:type="character" w:customStyle="1" w:styleId="77">
    <w:name w:val="font31"/>
    <w:basedOn w:val="24"/>
    <w:qFormat/>
    <w:uiPriority w:val="99"/>
    <w:rPr>
      <w:rFonts w:ascii="等线" w:hAnsi="等线" w:eastAsia="等线" w:cs="等线"/>
      <w:color w:val="000000"/>
      <w:sz w:val="22"/>
      <w:szCs w:val="22"/>
      <w:u w:val="none"/>
      <w:vertAlign w:val="superscript"/>
    </w:rPr>
  </w:style>
  <w:style w:type="character" w:customStyle="1" w:styleId="78">
    <w:name w:val="font01"/>
    <w:basedOn w:val="24"/>
    <w:qFormat/>
    <w:uiPriority w:val="99"/>
    <w:rPr>
      <w:rFonts w:ascii="等线" w:hAnsi="等线" w:eastAsia="等线" w:cs="等线"/>
      <w:color w:val="000000"/>
      <w:sz w:val="22"/>
      <w:szCs w:val="22"/>
      <w:u w:val="none"/>
    </w:rPr>
  </w:style>
  <w:style w:type="character" w:customStyle="1" w:styleId="79">
    <w:name w:val="font11"/>
    <w:basedOn w:val="24"/>
    <w:qFormat/>
    <w:uiPriority w:val="99"/>
    <w:rPr>
      <w:rFonts w:ascii="等线" w:hAnsi="等线" w:eastAsia="等线" w:cs="等线"/>
      <w:color w:val="000000"/>
      <w:sz w:val="22"/>
      <w:szCs w:val="22"/>
      <w:u w:val="none"/>
    </w:rPr>
  </w:style>
  <w:style w:type="paragraph" w:styleId="80">
    <w:name w:val="List Paragraph"/>
    <w:basedOn w:val="1"/>
    <w:qFormat/>
    <w:uiPriority w:val="1"/>
    <w:pPr>
      <w:ind w:left="1776" w:hanging="720"/>
    </w:pPr>
    <w:rPr>
      <w:rFonts w:ascii="宋体" w:hAnsi="宋体" w:cs="宋体"/>
    </w:rPr>
  </w:style>
  <w:style w:type="paragraph" w:customStyle="1" w:styleId="81">
    <w:name w:val="Table Paragraph"/>
    <w:basedOn w:val="1"/>
    <w:qFormat/>
    <w:uiPriority w:val="1"/>
    <w:rPr>
      <w:rFonts w:ascii="宋体" w:hAnsi="宋体" w:cs="宋体"/>
    </w:rPr>
  </w:style>
  <w:style w:type="paragraph" w:customStyle="1" w:styleId="82">
    <w:name w:val="WPSOffice手动目录 1"/>
    <w:qFormat/>
    <w:uiPriority w:val="0"/>
    <w:rPr>
      <w:rFonts w:ascii="Times New Roman" w:hAnsi="Times New Roman" w:eastAsia="宋体" w:cs="Times New Roman"/>
      <w:lang w:val="en-US" w:eastAsia="zh-CN" w:bidi="ar-SA"/>
    </w:rPr>
  </w:style>
  <w:style w:type="table" w:customStyle="1" w:styleId="83">
    <w:name w:val="Table Normal"/>
    <w:semiHidden/>
    <w:unhideWhenUsed/>
    <w:qFormat/>
    <w:uiPriority w:val="0"/>
    <w:rPr>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116</Pages>
  <Words>55</Words>
  <Characters>68</Characters>
  <Lines>223</Lines>
  <Paragraphs>62</Paragraphs>
  <TotalTime>42</TotalTime>
  <ScaleCrop>false</ScaleCrop>
  <LinksUpToDate>false</LinksUpToDate>
  <CharactersWithSpaces>68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2024-08-11T00:32:00Z</dcterms:created>
  <dc:creator>lyf</dc:creator>
  <cp:lastModifiedBy>MMZ</cp:lastModifiedBy>
  <cp:lastPrinted>2025-11-28T08:30:00Z</cp:lastPrinted>
  <dcterms:modified xsi:type="dcterms:W3CDTF">2025-11-28T09:33:12Z</dcterms:modified>
  <dc:title>招 标 文 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60B3B2E4ADD1449190D8231A69C50492_13</vt:lpwstr>
  </property>
  <property fmtid="{D5CDD505-2E9C-101B-9397-08002B2CF9AE}" pid="4" name="KSOTemplateDocerSaveRecord">
    <vt:lpwstr>eyJoZGlkIjoiY2JiYzFkMDQwM2YwMWFkNGQ3ODVmOWRmZjBjNmEwZGIiLCJ1c2VySWQiOiIzNzk0MDY1ODQifQ==</vt:lpwstr>
  </property>
</Properties>
</file>