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2BC8FD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/>
        <w:contextualSpacing/>
        <w:textAlignment w:val="auto"/>
        <w:rPr>
          <w:rFonts w:hint="eastAsia" w:ascii="仿宋" w:hAnsi="仿宋" w:eastAsia="仿宋" w:cs="仿宋"/>
          <w:b/>
          <w:bCs w:val="0"/>
          <w:kern w:val="2"/>
          <w:sz w:val="28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kern w:val="2"/>
          <w:sz w:val="28"/>
          <w:szCs w:val="32"/>
          <w:lang w:val="en-US" w:eastAsia="zh-CN" w:bidi="ar-SA"/>
        </w:rPr>
        <w:t>第四章  评标程序、评标方法和评标标准中的二、评标标准第5项技术响应按照以下内容进行更正：</w:t>
      </w:r>
    </w:p>
    <w:p w14:paraId="5081C088">
      <w:pPr>
        <w:pStyle w:val="6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/>
        <w:textAlignment w:val="auto"/>
        <w:rPr>
          <w:rFonts w:hint="default" w:ascii="仿宋" w:hAnsi="仿宋" w:eastAsia="仿宋" w:cs="仿宋"/>
          <w:bCs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bCs/>
          <w:sz w:val="24"/>
          <w:szCs w:val="24"/>
          <w:lang w:val="en-US" w:eastAsia="zh-CN"/>
        </w:rPr>
        <w:t>根据投标文件针对“招标文件第五章 三、技术要求中的参数要求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（共37项参数要求）</w:t>
      </w:r>
      <w:r>
        <w:rPr>
          <w:rFonts w:hint="default" w:ascii="仿宋" w:hAnsi="仿宋" w:eastAsia="仿宋" w:cs="仿宋"/>
          <w:bCs/>
          <w:sz w:val="24"/>
          <w:szCs w:val="24"/>
          <w:lang w:val="en-US" w:eastAsia="zh-CN"/>
        </w:rPr>
        <w:t>响应程度，按下述评审细则得分：</w:t>
      </w:r>
    </w:p>
    <w:p w14:paraId="5B0728AB">
      <w:pPr>
        <w:pStyle w:val="6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/>
        <w:textAlignment w:val="auto"/>
        <w:rPr>
          <w:rFonts w:hint="default" w:ascii="仿宋" w:hAnsi="仿宋" w:eastAsia="仿宋" w:cs="仿宋"/>
          <w:bCs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bCs/>
          <w:sz w:val="24"/>
          <w:szCs w:val="24"/>
          <w:lang w:val="en-US" w:eastAsia="zh-CN"/>
        </w:rPr>
        <w:t>标注“▲”的，共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4</w:t>
      </w:r>
      <w:r>
        <w:rPr>
          <w:rFonts w:hint="default" w:ascii="仿宋" w:hAnsi="仿宋" w:eastAsia="仿宋" w:cs="仿宋"/>
          <w:bCs/>
          <w:sz w:val="24"/>
          <w:szCs w:val="24"/>
          <w:lang w:val="en-US" w:eastAsia="zh-CN"/>
        </w:rPr>
        <w:t>项，每项得2.4分；</w:t>
      </w:r>
    </w:p>
    <w:p w14:paraId="05436170">
      <w:pPr>
        <w:pStyle w:val="6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/>
        <w:textAlignment w:val="auto"/>
        <w:rPr>
          <w:rFonts w:hint="default" w:ascii="仿宋" w:hAnsi="仿宋" w:eastAsia="仿宋" w:cs="仿宋"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标注“△”的，共9项，每项得1.2分；</w:t>
      </w:r>
    </w:p>
    <w:p w14:paraId="4D2C84ED">
      <w:pPr>
        <w:pStyle w:val="6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/>
        <w:textAlignment w:val="auto"/>
        <w:rPr>
          <w:rFonts w:hint="default" w:ascii="仿宋" w:hAnsi="仿宋" w:eastAsia="仿宋" w:cs="仿宋"/>
          <w:bCs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bCs/>
          <w:sz w:val="24"/>
          <w:szCs w:val="24"/>
          <w:lang w:val="en-US" w:eastAsia="zh-CN"/>
        </w:rPr>
        <w:t>未有任何标注的，共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24</w:t>
      </w:r>
      <w:r>
        <w:rPr>
          <w:rFonts w:hint="default" w:ascii="仿宋" w:hAnsi="仿宋" w:eastAsia="仿宋" w:cs="仿宋"/>
          <w:bCs/>
          <w:sz w:val="24"/>
          <w:szCs w:val="24"/>
          <w:lang w:val="en-US" w:eastAsia="zh-CN"/>
        </w:rPr>
        <w:t>项，每项得0.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4</w:t>
      </w:r>
      <w:r>
        <w:rPr>
          <w:rFonts w:hint="default" w:ascii="仿宋" w:hAnsi="仿宋" w:eastAsia="仿宋" w:cs="仿宋"/>
          <w:bCs/>
          <w:sz w:val="24"/>
          <w:szCs w:val="24"/>
          <w:lang w:val="en-US" w:eastAsia="zh-CN"/>
        </w:rPr>
        <w:t>分。</w:t>
      </w:r>
    </w:p>
    <w:p w14:paraId="7F80A4BC">
      <w:pPr>
        <w:rPr>
          <w:rFonts w:hint="eastAsia" w:ascii="仿宋" w:hAnsi="仿宋" w:eastAsia="仿宋" w:cs="仿宋"/>
          <w:b/>
          <w:bCs w:val="0"/>
          <w:kern w:val="2"/>
          <w:sz w:val="28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kern w:val="2"/>
          <w:sz w:val="28"/>
          <w:szCs w:val="32"/>
          <w:lang w:val="en-US" w:eastAsia="zh-CN" w:bidi="ar-SA"/>
        </w:rPr>
        <w:br w:type="page"/>
      </w:r>
    </w:p>
    <w:p w14:paraId="5D549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contextualSpacing/>
        <w:textAlignment w:val="auto"/>
        <w:rPr>
          <w:rFonts w:hint="default" w:ascii="仿宋" w:hAnsi="仿宋" w:eastAsia="仿宋" w:cs="仿宋"/>
          <w:b/>
          <w:bCs w:val="0"/>
          <w:kern w:val="2"/>
          <w:sz w:val="28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kern w:val="2"/>
          <w:sz w:val="28"/>
          <w:szCs w:val="32"/>
          <w:lang w:val="en-US" w:eastAsia="zh-CN" w:bidi="ar-SA"/>
        </w:rPr>
        <w:t>第五章 采购需求中的三、技术要求（二）参数要求按照以下内容进行更正：</w:t>
      </w:r>
    </w:p>
    <w:p w14:paraId="718FBC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contextualSpacing/>
        <w:textAlignment w:val="auto"/>
        <w:rPr>
          <w:rFonts w:hint="eastAsia" w:ascii="仿宋" w:hAnsi="仿宋" w:eastAsia="仿宋" w:cs="仿宋"/>
          <w:bCs/>
          <w:kern w:val="2"/>
          <w:sz w:val="24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24"/>
          <w:szCs w:val="28"/>
          <w:lang w:val="en-US" w:eastAsia="zh-CN" w:bidi="ar-SA"/>
        </w:rPr>
        <w:t>（二）参数要求</w:t>
      </w:r>
    </w:p>
    <w:p w14:paraId="14C021CE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0"/>
        <w:textAlignment w:val="auto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△</w:t>
      </w:r>
      <w:r>
        <w:rPr>
          <w:rFonts w:hint="eastAsia" w:ascii="仿宋" w:hAnsi="仿宋" w:eastAsia="仿宋" w:cs="仿宋"/>
          <w:bCs/>
          <w:sz w:val="24"/>
          <w:szCs w:val="24"/>
        </w:rPr>
        <w:t>OCT扫描光源：扫频激光光源</w:t>
      </w:r>
    </w:p>
    <w:p w14:paraId="4857B418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0"/>
        <w:textAlignment w:val="auto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扫描速度：≥100000次A-Scan/秒</w:t>
      </w:r>
    </w:p>
    <w:p w14:paraId="4D3EBF5B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0"/>
        <w:textAlignment w:val="auto"/>
        <w:rPr>
          <w:rFonts w:hint="eastAsia" w:ascii="仿宋" w:hAnsi="仿宋" w:eastAsia="仿宋" w:cs="仿宋"/>
          <w:bCs/>
          <w:color w:val="auto"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△</w:t>
      </w:r>
      <w:r>
        <w:rPr>
          <w:rFonts w:hint="eastAsia" w:ascii="仿宋" w:hAnsi="仿宋" w:eastAsia="仿宋" w:cs="仿宋"/>
          <w:bCs/>
          <w:sz w:val="24"/>
          <w:szCs w:val="24"/>
        </w:rPr>
        <w:t>扫</w:t>
      </w:r>
      <w:r>
        <w:rPr>
          <w:rFonts w:hint="eastAsia" w:ascii="仿宋" w:hAnsi="仿宋" w:eastAsia="仿宋" w:cs="仿宋"/>
          <w:bCs/>
          <w:color w:val="auto"/>
          <w:sz w:val="24"/>
          <w:szCs w:val="24"/>
        </w:rPr>
        <w:t>频激光器中心波长：≥1060nm</w:t>
      </w:r>
      <w:r>
        <w:rPr>
          <w:rFonts w:hint="eastAsia" w:ascii="仿宋" w:hAnsi="仿宋" w:eastAsia="仿宋" w:cs="仿宋"/>
          <w:bCs/>
          <w:color w:val="auto"/>
          <w:sz w:val="24"/>
          <w:szCs w:val="24"/>
          <w:lang w:val="en-US" w:eastAsia="zh-CN"/>
        </w:rPr>
        <w:t>(不计允差）</w:t>
      </w:r>
    </w:p>
    <w:p w14:paraId="10F816A3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0"/>
        <w:textAlignment w:val="auto"/>
        <w:rPr>
          <w:rFonts w:hint="eastAsia" w:ascii="仿宋" w:hAnsi="仿宋" w:eastAsia="仿宋" w:cs="仿宋"/>
          <w:bCs/>
          <w:color w:val="auto"/>
          <w:sz w:val="24"/>
          <w:szCs w:val="24"/>
        </w:rPr>
      </w:pPr>
      <w:r>
        <w:rPr>
          <w:rFonts w:hint="eastAsia" w:ascii="仿宋" w:hAnsi="仿宋" w:eastAsia="仿宋" w:cs="仿宋"/>
          <w:bCs/>
          <w:color w:val="auto"/>
          <w:sz w:val="24"/>
          <w:szCs w:val="24"/>
        </w:rPr>
        <w:t>最小</w:t>
      </w:r>
      <w:r>
        <w:rPr>
          <w:rFonts w:hint="eastAsia" w:ascii="仿宋" w:hAnsi="仿宋" w:eastAsia="仿宋" w:cs="仿宋"/>
          <w:bCs/>
          <w:color w:val="auto"/>
          <w:sz w:val="24"/>
          <w:szCs w:val="24"/>
          <w:lang w:val="en-US" w:eastAsia="zh-CN"/>
        </w:rPr>
        <w:t>测量</w:t>
      </w:r>
      <w:r>
        <w:rPr>
          <w:rFonts w:hint="eastAsia" w:ascii="仿宋" w:hAnsi="仿宋" w:eastAsia="仿宋" w:cs="仿宋"/>
          <w:bCs/>
          <w:color w:val="auto"/>
          <w:sz w:val="24"/>
          <w:szCs w:val="24"/>
        </w:rPr>
        <w:t xml:space="preserve">瞳孔直径：≤2mm </w:t>
      </w:r>
    </w:p>
    <w:p w14:paraId="7BACB14F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0"/>
        <w:textAlignment w:val="auto"/>
        <w:rPr>
          <w:rFonts w:hint="eastAsia" w:ascii="仿宋" w:hAnsi="仿宋" w:eastAsia="仿宋" w:cs="仿宋"/>
          <w:bCs/>
          <w:color w:val="auto"/>
          <w:sz w:val="24"/>
          <w:szCs w:val="24"/>
        </w:rPr>
      </w:pPr>
      <w:r>
        <w:rPr>
          <w:rFonts w:hint="eastAsia" w:ascii="仿宋" w:hAnsi="仿宋" w:eastAsia="仿宋" w:cs="仿宋"/>
          <w:bCs/>
          <w:color w:val="auto"/>
          <w:sz w:val="24"/>
          <w:szCs w:val="24"/>
          <w:lang w:eastAsia="zh-CN"/>
        </w:rPr>
        <w:t>△</w:t>
      </w:r>
      <w:r>
        <w:rPr>
          <w:rFonts w:hint="eastAsia" w:ascii="仿宋" w:hAnsi="仿宋" w:eastAsia="仿宋" w:cs="仿宋"/>
          <w:bCs/>
          <w:color w:val="auto"/>
          <w:sz w:val="24"/>
          <w:szCs w:val="24"/>
        </w:rPr>
        <w:t>眼底扫描深度：≥</w:t>
      </w:r>
      <w:r>
        <w:rPr>
          <w:rFonts w:hint="eastAsia" w:ascii="仿宋" w:hAnsi="仿宋" w:eastAsia="仿宋" w:cs="仿宋"/>
          <w:bCs/>
          <w:color w:val="auto"/>
          <w:sz w:val="24"/>
          <w:szCs w:val="24"/>
          <w:lang w:val="en-US" w:eastAsia="zh-CN"/>
        </w:rPr>
        <w:t>12</w:t>
      </w:r>
      <w:r>
        <w:rPr>
          <w:rFonts w:hint="eastAsia" w:ascii="仿宋" w:hAnsi="仿宋" w:eastAsia="仿宋" w:cs="仿宋"/>
          <w:bCs/>
          <w:color w:val="auto"/>
          <w:sz w:val="24"/>
          <w:szCs w:val="24"/>
        </w:rPr>
        <w:t>mm</w:t>
      </w:r>
    </w:p>
    <w:p w14:paraId="15B2CEA3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0"/>
        <w:textAlignment w:val="auto"/>
        <w:rPr>
          <w:rFonts w:hint="eastAsia" w:ascii="仿宋" w:hAnsi="仿宋" w:eastAsia="仿宋" w:cs="仿宋"/>
          <w:bCs/>
          <w:color w:val="auto"/>
          <w:sz w:val="24"/>
          <w:szCs w:val="24"/>
        </w:rPr>
      </w:pPr>
      <w:r>
        <w:rPr>
          <w:rFonts w:hint="eastAsia" w:ascii="仿宋" w:hAnsi="仿宋" w:eastAsia="仿宋" w:cs="仿宋"/>
          <w:bCs/>
          <w:color w:val="auto"/>
          <w:sz w:val="24"/>
          <w:szCs w:val="24"/>
          <w:lang w:eastAsia="zh-CN"/>
        </w:rPr>
        <w:t>△</w:t>
      </w:r>
      <w:r>
        <w:rPr>
          <w:rFonts w:hint="eastAsia" w:ascii="仿宋" w:hAnsi="仿宋" w:eastAsia="仿宋" w:cs="仿宋"/>
          <w:bCs/>
          <w:color w:val="auto"/>
          <w:sz w:val="24"/>
          <w:szCs w:val="24"/>
        </w:rPr>
        <w:t>前节扫描深度：≥1</w:t>
      </w:r>
      <w:r>
        <w:rPr>
          <w:rFonts w:hint="eastAsia" w:ascii="仿宋" w:hAnsi="仿宋" w:eastAsia="仿宋" w:cs="仿宋"/>
          <w:bCs/>
          <w:color w:val="auto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bCs/>
          <w:color w:val="auto"/>
          <w:sz w:val="24"/>
          <w:szCs w:val="24"/>
        </w:rPr>
        <w:t>mm</w:t>
      </w:r>
    </w:p>
    <w:p w14:paraId="6FB2828E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0"/>
        <w:textAlignment w:val="auto"/>
        <w:rPr>
          <w:rFonts w:hint="eastAsia" w:ascii="仿宋" w:hAnsi="仿宋" w:eastAsia="仿宋" w:cs="仿宋"/>
          <w:bCs/>
          <w:color w:val="auto"/>
          <w:sz w:val="24"/>
          <w:szCs w:val="24"/>
        </w:rPr>
      </w:pPr>
      <w:r>
        <w:rPr>
          <w:rFonts w:hint="eastAsia" w:ascii="仿宋" w:hAnsi="仿宋" w:eastAsia="仿宋" w:cs="仿宋"/>
          <w:bCs/>
          <w:color w:val="auto"/>
          <w:sz w:val="24"/>
          <w:szCs w:val="24"/>
          <w:lang w:eastAsia="zh-CN"/>
        </w:rPr>
        <w:t>△</w:t>
      </w:r>
      <w:r>
        <w:rPr>
          <w:rFonts w:hint="eastAsia" w:ascii="仿宋" w:hAnsi="仿宋" w:eastAsia="仿宋" w:cs="仿宋"/>
          <w:bCs/>
          <w:color w:val="auto"/>
          <w:sz w:val="24"/>
          <w:szCs w:val="24"/>
        </w:rPr>
        <w:t>眼底扫描</w:t>
      </w:r>
      <w:r>
        <w:rPr>
          <w:rFonts w:hint="eastAsia" w:ascii="仿宋" w:hAnsi="仿宋" w:eastAsia="仿宋" w:cs="仿宋"/>
          <w:bCs/>
          <w:color w:val="auto"/>
          <w:sz w:val="24"/>
          <w:szCs w:val="24"/>
          <w:lang w:val="en-US" w:eastAsia="zh-CN"/>
        </w:rPr>
        <w:t>长</w:t>
      </w:r>
      <w:r>
        <w:rPr>
          <w:rFonts w:hint="eastAsia" w:ascii="仿宋" w:hAnsi="仿宋" w:eastAsia="仿宋" w:cs="仿宋"/>
          <w:bCs/>
          <w:color w:val="auto"/>
          <w:sz w:val="24"/>
          <w:szCs w:val="24"/>
        </w:rPr>
        <w:t>度：≥</w:t>
      </w:r>
      <w:r>
        <w:rPr>
          <w:rFonts w:hint="eastAsia" w:ascii="仿宋" w:hAnsi="仿宋" w:eastAsia="仿宋" w:cs="仿宋"/>
          <w:bCs/>
          <w:color w:val="auto"/>
          <w:sz w:val="24"/>
          <w:szCs w:val="24"/>
          <w:lang w:val="en-US" w:eastAsia="zh-CN"/>
        </w:rPr>
        <w:t>17</w:t>
      </w:r>
      <w:r>
        <w:rPr>
          <w:rFonts w:hint="eastAsia" w:ascii="仿宋" w:hAnsi="仿宋" w:eastAsia="仿宋" w:cs="仿宋"/>
          <w:bCs/>
          <w:color w:val="auto"/>
          <w:sz w:val="24"/>
          <w:szCs w:val="24"/>
        </w:rPr>
        <w:t>mm</w:t>
      </w:r>
    </w:p>
    <w:p w14:paraId="0381A366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0"/>
        <w:textAlignment w:val="auto"/>
        <w:rPr>
          <w:rFonts w:hint="eastAsia" w:ascii="仿宋" w:hAnsi="仿宋" w:eastAsia="仿宋" w:cs="仿宋"/>
          <w:bCs/>
          <w:color w:val="auto"/>
          <w:sz w:val="24"/>
          <w:szCs w:val="24"/>
        </w:rPr>
      </w:pPr>
      <w:r>
        <w:rPr>
          <w:rFonts w:hint="eastAsia" w:ascii="仿宋" w:hAnsi="仿宋" w:eastAsia="仿宋" w:cs="仿宋"/>
          <w:bCs/>
          <w:color w:val="auto"/>
          <w:sz w:val="24"/>
          <w:szCs w:val="24"/>
          <w:lang w:eastAsia="zh-CN"/>
        </w:rPr>
        <w:t>△</w:t>
      </w:r>
      <w:r>
        <w:rPr>
          <w:rFonts w:hint="eastAsia" w:ascii="仿宋" w:hAnsi="仿宋" w:eastAsia="仿宋" w:cs="仿宋"/>
          <w:bCs/>
          <w:color w:val="auto"/>
          <w:sz w:val="24"/>
          <w:szCs w:val="24"/>
          <w:lang w:val="en-US" w:eastAsia="zh-CN"/>
        </w:rPr>
        <w:t>前节</w:t>
      </w:r>
      <w:r>
        <w:rPr>
          <w:rFonts w:hint="eastAsia" w:ascii="仿宋" w:hAnsi="仿宋" w:eastAsia="仿宋" w:cs="仿宋"/>
          <w:bCs/>
          <w:color w:val="auto"/>
          <w:sz w:val="24"/>
          <w:szCs w:val="24"/>
        </w:rPr>
        <w:t>扫描</w:t>
      </w:r>
      <w:r>
        <w:rPr>
          <w:rFonts w:hint="eastAsia" w:ascii="仿宋" w:hAnsi="仿宋" w:eastAsia="仿宋" w:cs="仿宋"/>
          <w:bCs/>
          <w:color w:val="auto"/>
          <w:sz w:val="24"/>
          <w:szCs w:val="24"/>
          <w:lang w:val="en-US" w:eastAsia="zh-CN"/>
        </w:rPr>
        <w:t>长</w:t>
      </w:r>
      <w:r>
        <w:rPr>
          <w:rFonts w:hint="eastAsia" w:ascii="仿宋" w:hAnsi="仿宋" w:eastAsia="仿宋" w:cs="仿宋"/>
          <w:bCs/>
          <w:color w:val="auto"/>
          <w:sz w:val="24"/>
          <w:szCs w:val="24"/>
        </w:rPr>
        <w:t>度：≥</w:t>
      </w:r>
      <w:r>
        <w:rPr>
          <w:rFonts w:hint="eastAsia" w:ascii="仿宋" w:hAnsi="仿宋" w:eastAsia="仿宋" w:cs="仿宋"/>
          <w:bCs/>
          <w:color w:val="auto"/>
          <w:sz w:val="24"/>
          <w:szCs w:val="24"/>
          <w:lang w:val="en-US" w:eastAsia="zh-CN"/>
        </w:rPr>
        <w:t>24</w:t>
      </w:r>
      <w:r>
        <w:rPr>
          <w:rFonts w:hint="eastAsia" w:ascii="仿宋" w:hAnsi="仿宋" w:eastAsia="仿宋" w:cs="仿宋"/>
          <w:bCs/>
          <w:color w:val="auto"/>
          <w:sz w:val="24"/>
          <w:szCs w:val="24"/>
        </w:rPr>
        <w:t>mm</w:t>
      </w:r>
    </w:p>
    <w:p w14:paraId="349F6A29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0"/>
        <w:textAlignment w:val="auto"/>
        <w:rPr>
          <w:rFonts w:hint="eastAsia" w:ascii="仿宋" w:hAnsi="仿宋" w:eastAsia="仿宋" w:cs="仿宋"/>
          <w:bCs/>
          <w:color w:val="auto"/>
          <w:sz w:val="24"/>
          <w:szCs w:val="24"/>
        </w:rPr>
      </w:pPr>
      <w:r>
        <w:rPr>
          <w:rFonts w:hint="eastAsia" w:ascii="仿宋" w:hAnsi="仿宋" w:eastAsia="仿宋" w:cs="仿宋"/>
          <w:bCs/>
          <w:color w:val="auto"/>
          <w:sz w:val="24"/>
          <w:szCs w:val="24"/>
        </w:rPr>
        <w:t>轴向分辨率（光学）≤3.8um</w:t>
      </w:r>
    </w:p>
    <w:p w14:paraId="3B0EBD08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0"/>
        <w:textAlignment w:val="auto"/>
        <w:rPr>
          <w:rFonts w:hint="eastAsia" w:ascii="仿宋" w:hAnsi="仿宋" w:eastAsia="仿宋" w:cs="仿宋"/>
          <w:bCs/>
          <w:color w:val="auto"/>
          <w:sz w:val="24"/>
          <w:szCs w:val="24"/>
        </w:rPr>
      </w:pPr>
      <w:r>
        <w:rPr>
          <w:rFonts w:hint="eastAsia" w:ascii="仿宋" w:hAnsi="仿宋" w:eastAsia="仿宋" w:cs="仿宋"/>
          <w:bCs/>
          <w:color w:val="auto"/>
          <w:sz w:val="24"/>
          <w:szCs w:val="24"/>
        </w:rPr>
        <w:t>▲横向分辨率（光学）≤10um</w:t>
      </w:r>
    </w:p>
    <w:p w14:paraId="75EED86D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0"/>
        <w:textAlignment w:val="auto"/>
        <w:rPr>
          <w:rFonts w:hint="eastAsia" w:ascii="仿宋" w:hAnsi="仿宋" w:eastAsia="仿宋" w:cs="仿宋"/>
          <w:bCs/>
          <w:color w:val="auto"/>
          <w:sz w:val="24"/>
          <w:szCs w:val="24"/>
        </w:rPr>
      </w:pPr>
      <w:r>
        <w:rPr>
          <w:rFonts w:hint="eastAsia" w:ascii="仿宋" w:hAnsi="仿宋" w:eastAsia="仿宋" w:cs="仿宋"/>
          <w:bCs/>
          <w:color w:val="auto"/>
          <w:sz w:val="24"/>
          <w:szCs w:val="24"/>
        </w:rPr>
        <w:t>扫描方式：单线、十字、辐射、网格、栅格、ONH、GMA、黄斑容积、3D黄斑、3D视盘、黄斑OCTA、视盘OCTA，前节单线、前节辐射、高清辐射、前节3D、前节OCTA</w:t>
      </w:r>
    </w:p>
    <w:p w14:paraId="61000736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0"/>
        <w:textAlignment w:val="auto"/>
        <w:rPr>
          <w:rFonts w:hint="eastAsia" w:ascii="仿宋" w:hAnsi="仿宋" w:eastAsia="仿宋" w:cs="仿宋"/>
          <w:bCs/>
          <w:color w:val="auto"/>
          <w:sz w:val="24"/>
          <w:szCs w:val="24"/>
        </w:rPr>
      </w:pPr>
      <w:r>
        <w:rPr>
          <w:rFonts w:hint="eastAsia" w:ascii="仿宋" w:hAnsi="仿宋" w:eastAsia="仿宋" w:cs="仿宋"/>
          <w:bCs/>
          <w:color w:val="auto"/>
          <w:sz w:val="24"/>
          <w:szCs w:val="24"/>
        </w:rPr>
        <w:t>实时眼球追踪≥</w:t>
      </w:r>
      <w:r>
        <w:rPr>
          <w:rFonts w:hint="eastAsia" w:ascii="仿宋" w:hAnsi="仿宋" w:eastAsia="仿宋" w:cs="仿宋"/>
          <w:bCs/>
          <w:color w:val="auto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bCs/>
          <w:color w:val="auto"/>
          <w:sz w:val="24"/>
          <w:szCs w:val="24"/>
        </w:rPr>
        <w:t>0Hz</w:t>
      </w:r>
    </w:p>
    <w:p w14:paraId="06657268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0"/>
        <w:textAlignment w:val="auto"/>
        <w:rPr>
          <w:rFonts w:hint="eastAsia" w:ascii="仿宋" w:hAnsi="仿宋" w:eastAsia="仿宋" w:cs="仿宋"/>
          <w:bCs/>
          <w:color w:val="auto"/>
          <w:sz w:val="24"/>
          <w:szCs w:val="24"/>
        </w:rPr>
      </w:pPr>
      <w:r>
        <w:rPr>
          <w:rFonts w:hint="eastAsia" w:ascii="仿宋" w:hAnsi="仿宋" w:eastAsia="仿宋" w:cs="仿宋"/>
          <w:bCs/>
          <w:color w:val="auto"/>
          <w:sz w:val="24"/>
          <w:szCs w:val="24"/>
          <w:lang w:val="en-US" w:eastAsia="zh-CN"/>
        </w:rPr>
        <w:t>屈光补偿范围：-15D～+15D</w:t>
      </w:r>
    </w:p>
    <w:p w14:paraId="618E6DC7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0"/>
        <w:textAlignment w:val="auto"/>
        <w:rPr>
          <w:rFonts w:hint="eastAsia" w:ascii="仿宋" w:hAnsi="仿宋" w:eastAsia="仿宋" w:cs="仿宋"/>
          <w:bCs/>
          <w:color w:val="auto"/>
          <w:sz w:val="24"/>
          <w:szCs w:val="24"/>
        </w:rPr>
      </w:pPr>
      <w:r>
        <w:rPr>
          <w:rFonts w:hint="eastAsia" w:ascii="仿宋" w:hAnsi="仿宋" w:eastAsia="仿宋" w:cs="仿宋"/>
          <w:bCs/>
          <w:color w:val="auto"/>
          <w:sz w:val="24"/>
          <w:szCs w:val="24"/>
          <w:lang w:eastAsia="zh-CN"/>
        </w:rPr>
        <w:t>△</w:t>
      </w:r>
      <w:r>
        <w:rPr>
          <w:rFonts w:hint="eastAsia" w:ascii="仿宋" w:hAnsi="仿宋" w:eastAsia="仿宋" w:cs="仿宋"/>
          <w:bCs/>
          <w:color w:val="auto"/>
          <w:sz w:val="24"/>
          <w:szCs w:val="24"/>
        </w:rPr>
        <w:t>外置</w:t>
      </w:r>
      <w:r>
        <w:rPr>
          <w:rFonts w:hint="eastAsia" w:ascii="仿宋" w:hAnsi="仿宋" w:eastAsia="仿宋" w:cs="仿宋"/>
          <w:bCs/>
          <w:color w:val="auto"/>
          <w:sz w:val="24"/>
          <w:szCs w:val="24"/>
          <w:lang w:val="en-US" w:eastAsia="zh-CN"/>
        </w:rPr>
        <w:t>可拆卸</w:t>
      </w:r>
      <w:r>
        <w:rPr>
          <w:rFonts w:hint="eastAsia" w:ascii="仿宋" w:hAnsi="仿宋" w:eastAsia="仿宋" w:cs="仿宋"/>
          <w:bCs/>
          <w:color w:val="auto"/>
          <w:sz w:val="24"/>
          <w:szCs w:val="24"/>
        </w:rPr>
        <w:t>眼前节适配器</w:t>
      </w:r>
    </w:p>
    <w:p w14:paraId="0A012EEF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0"/>
        <w:textAlignment w:val="auto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眼底图成像方式：共聚焦激光眼底成像</w:t>
      </w:r>
    </w:p>
    <w:p w14:paraId="70BA6E3A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0"/>
        <w:textAlignment w:val="auto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眼底图成像范围视场角≥40º╳40º</w:t>
      </w:r>
    </w:p>
    <w:p w14:paraId="525220FD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0"/>
        <w:textAlignment w:val="auto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▲</w:t>
      </w:r>
      <w:r>
        <w:rPr>
          <w:rFonts w:hint="eastAsia" w:ascii="仿宋" w:hAnsi="仿宋" w:eastAsia="仿宋" w:cs="仿宋"/>
          <w:bCs/>
          <w:sz w:val="24"/>
          <w:szCs w:val="24"/>
        </w:rPr>
        <w:t>眼底成像波长: ≥8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bCs/>
          <w:sz w:val="24"/>
          <w:szCs w:val="24"/>
        </w:rPr>
        <w:t>0nm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不计允差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）</w:t>
      </w:r>
    </w:p>
    <w:p w14:paraId="63BAD54B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0"/>
        <w:textAlignment w:val="auto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视网膜成像功能：单线扫描≥1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7</w:t>
      </w:r>
      <w:r>
        <w:rPr>
          <w:rFonts w:hint="eastAsia" w:ascii="仿宋" w:hAnsi="仿宋" w:eastAsia="仿宋" w:cs="仿宋"/>
          <w:bCs/>
          <w:sz w:val="24"/>
          <w:szCs w:val="24"/>
        </w:rPr>
        <w:t>mm，同时显示玻璃体、视网膜与脉络膜结构</w:t>
      </w:r>
    </w:p>
    <w:p w14:paraId="6177CC5B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0"/>
        <w:textAlignment w:val="auto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前节成像功能：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单次扫描</w:t>
      </w:r>
      <w:r>
        <w:rPr>
          <w:rFonts w:hint="eastAsia" w:ascii="仿宋" w:hAnsi="仿宋" w:eastAsia="仿宋" w:cs="仿宋"/>
          <w:bCs/>
          <w:sz w:val="24"/>
          <w:szCs w:val="24"/>
        </w:rPr>
        <w:t>≥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24</w:t>
      </w:r>
      <w:r>
        <w:rPr>
          <w:rFonts w:hint="eastAsia" w:ascii="仿宋" w:hAnsi="仿宋" w:eastAsia="仿宋" w:cs="仿宋"/>
          <w:bCs/>
          <w:sz w:val="24"/>
          <w:szCs w:val="24"/>
        </w:rPr>
        <w:t>mm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仿宋"/>
          <w:bCs/>
          <w:sz w:val="24"/>
          <w:szCs w:val="24"/>
        </w:rPr>
        <w:t>单次成像含角膜、前房、双侧房角、部分巩膜、晶体、前部玻璃体</w:t>
      </w:r>
    </w:p>
    <w:p w14:paraId="7AA5D083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0"/>
        <w:textAlignment w:val="auto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晶体形态成像与测量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：晶体厚度LT、晶体拱高、晶体矢高、晶体前表半径、晶体后表半径、晶体倾斜角度</w:t>
      </w:r>
    </w:p>
    <w:p w14:paraId="6E533C7A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0"/>
        <w:textAlignment w:val="auto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△</w:t>
      </w:r>
      <w:r>
        <w:rPr>
          <w:rFonts w:hint="eastAsia" w:ascii="仿宋" w:hAnsi="仿宋" w:eastAsia="仿宋" w:cs="仿宋"/>
          <w:bCs/>
          <w:sz w:val="24"/>
          <w:szCs w:val="24"/>
        </w:rPr>
        <w:t>角膜厚度测量准确性和重复性检测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：测量准确度：</w:t>
      </w:r>
      <w:r>
        <w:rPr>
          <w:rFonts w:hint="eastAsia" w:ascii="仿宋" w:hAnsi="仿宋" w:eastAsia="仿宋" w:cs="仿宋"/>
          <w:bCs/>
          <w:sz w:val="24"/>
          <w:szCs w:val="24"/>
        </w:rPr>
        <w:t>≤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3%，测量重复性：相对标准差</w:t>
      </w:r>
      <w:r>
        <w:rPr>
          <w:rFonts w:hint="eastAsia" w:ascii="仿宋" w:hAnsi="仿宋" w:eastAsia="仿宋" w:cs="仿宋"/>
          <w:bCs/>
          <w:sz w:val="24"/>
          <w:szCs w:val="24"/>
        </w:rPr>
        <w:t>≤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0.75%</w:t>
      </w:r>
    </w:p>
    <w:p w14:paraId="67055D08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0"/>
        <w:textAlignment w:val="auto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OCTA成像功能：单次成像范围≥1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0</w:t>
      </w:r>
      <w:r>
        <w:rPr>
          <w:rFonts w:hint="eastAsia" w:ascii="仿宋" w:hAnsi="仿宋" w:eastAsia="仿宋" w:cs="仿宋"/>
          <w:bCs/>
          <w:sz w:val="24"/>
          <w:szCs w:val="24"/>
        </w:rPr>
        <w:t>mm╳1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0</w:t>
      </w:r>
      <w:r>
        <w:rPr>
          <w:rFonts w:hint="eastAsia" w:ascii="仿宋" w:hAnsi="仿宋" w:eastAsia="仿宋" w:cs="仿宋"/>
          <w:bCs/>
          <w:sz w:val="24"/>
          <w:szCs w:val="24"/>
        </w:rPr>
        <w:t>mm</w:t>
      </w:r>
    </w:p>
    <w:p w14:paraId="6419976A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0"/>
        <w:textAlignment w:val="auto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单次OCTA最高分辨率≥1024╳1024</w:t>
      </w:r>
    </w:p>
    <w:p w14:paraId="67D6640E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0"/>
        <w:textAlignment w:val="auto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△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前节OCTA成像范围：</w:t>
      </w:r>
      <w:r>
        <w:rPr>
          <w:rFonts w:hint="eastAsia" w:ascii="仿宋" w:hAnsi="仿宋" w:eastAsia="仿宋" w:cs="仿宋"/>
          <w:bCs/>
          <w:sz w:val="24"/>
          <w:szCs w:val="24"/>
        </w:rPr>
        <w:t>≥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18</w:t>
      </w:r>
      <w:r>
        <w:rPr>
          <w:rFonts w:hint="eastAsia" w:ascii="仿宋" w:hAnsi="仿宋" w:eastAsia="仿宋" w:cs="仿宋"/>
          <w:bCs/>
          <w:sz w:val="24"/>
          <w:szCs w:val="24"/>
        </w:rPr>
        <w:t>mm╳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18</w:t>
      </w:r>
      <w:r>
        <w:rPr>
          <w:rFonts w:hint="eastAsia" w:ascii="仿宋" w:hAnsi="仿宋" w:eastAsia="仿宋" w:cs="仿宋"/>
          <w:bCs/>
          <w:sz w:val="24"/>
          <w:szCs w:val="24"/>
        </w:rPr>
        <w:t>mm</w:t>
      </w:r>
    </w:p>
    <w:p w14:paraId="2B2EC3B4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0"/>
        <w:textAlignment w:val="auto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血流成像拼图范围:≥2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0</w:t>
      </w:r>
      <w:r>
        <w:rPr>
          <w:rFonts w:hint="eastAsia" w:ascii="仿宋" w:hAnsi="仿宋" w:eastAsia="仿宋" w:cs="仿宋"/>
          <w:bCs/>
          <w:sz w:val="24"/>
          <w:szCs w:val="24"/>
        </w:rPr>
        <w:t>mm╳2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0</w:t>
      </w:r>
      <w:r>
        <w:rPr>
          <w:rFonts w:hint="eastAsia" w:ascii="仿宋" w:hAnsi="仿宋" w:eastAsia="仿宋" w:cs="仿宋"/>
          <w:bCs/>
          <w:sz w:val="24"/>
          <w:szCs w:val="24"/>
        </w:rPr>
        <w:t>mm</w:t>
      </w:r>
    </w:p>
    <w:p w14:paraId="32D3A2B9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0"/>
        <w:textAlignment w:val="auto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视网膜厚度地形图：可以手动测量指定区域视网膜厚度，也可自定义任意两层厚度进行自动分析。生成厚度地形图及偏差图，可在眼底图叠加热力图</w:t>
      </w:r>
    </w:p>
    <w:p w14:paraId="4D1972A4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0"/>
        <w:textAlignment w:val="auto"/>
        <w:rPr>
          <w:rFonts w:hint="eastAsia" w:ascii="仿宋" w:hAnsi="仿宋" w:eastAsia="仿宋" w:cs="仿宋"/>
          <w:bCs/>
          <w:color w:val="C00000"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视网膜三维图像分析模式：支持三维重建技术，支持基于三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维</w:t>
      </w:r>
      <w:r>
        <w:rPr>
          <w:rFonts w:hint="eastAsia" w:ascii="仿宋" w:hAnsi="仿宋" w:eastAsia="仿宋" w:cs="仿宋"/>
          <w:bCs/>
          <w:sz w:val="24"/>
          <w:szCs w:val="24"/>
        </w:rPr>
        <w:t>模式的分层、自定义分区浏览模式</w:t>
      </w:r>
    </w:p>
    <w:p w14:paraId="2FFB5DF5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0"/>
        <w:textAlignment w:val="auto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视盘结构分析：自动识别视杯视盘位置与视盘边缘，测量垂直方向，水平方向、面积杯盘比，盘沿面积、视杯体积。支持6mm范围厚度图并对神经纤维层厚度分析</w:t>
      </w:r>
    </w:p>
    <w:p w14:paraId="092FDE33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0"/>
        <w:textAlignment w:val="auto"/>
        <w:rPr>
          <w:rFonts w:hint="eastAsia" w:ascii="仿宋" w:hAnsi="仿宋" w:eastAsia="仿宋" w:cs="仿宋"/>
          <w:bCs/>
          <w:color w:val="C00000"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神经节细胞复合体分析：支持黄斑区神经节细胞厚度分析</w:t>
      </w:r>
    </w:p>
    <w:p w14:paraId="06AD2F8E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0"/>
        <w:textAlignment w:val="auto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眼前节分析软件：自动或手动测量ICL拱高，前房深度、前房体积、房角隐窝距离、巩膜突距离。3D重建房角状态，自动测量房角角度，巩膜突角度、房角开放面积、小梁网虹膜间面积。半自动角膜瓣厚度及位置测量。支持360全景房角自动量化</w:t>
      </w:r>
    </w:p>
    <w:p w14:paraId="796C3079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0"/>
        <w:textAlignment w:val="auto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血流量化分析软件：支持玻璃体、视网膜与脉络膜分层，支持格栅分区、ETDRS等多种分区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，可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根据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需求手动调节任意层次</w:t>
      </w:r>
      <w:r>
        <w:rPr>
          <w:rFonts w:hint="eastAsia" w:ascii="仿宋" w:hAnsi="仿宋" w:eastAsia="仿宋" w:cs="仿宋"/>
          <w:bCs/>
          <w:sz w:val="24"/>
          <w:szCs w:val="24"/>
        </w:rPr>
        <w:t>。</w:t>
      </w:r>
    </w:p>
    <w:p w14:paraId="7EC95349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0"/>
        <w:textAlignment w:val="auto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去伪影技术：默认3D全层去伪影</w:t>
      </w:r>
    </w:p>
    <w:p w14:paraId="2C4F839E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0"/>
        <w:textAlignment w:val="auto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血流量化参数：支持自定义边界与环形边界血流面积测量。支持任意扫描尺寸的血流密度测量，自动识别FAZ，自动测量面积、周长、近圆比例、环周密度</w:t>
      </w:r>
    </w:p>
    <w:p w14:paraId="1577C1E9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0"/>
        <w:textAlignment w:val="auto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color w:val="auto"/>
          <w:sz w:val="24"/>
          <w:szCs w:val="24"/>
          <w:lang w:eastAsia="zh-CN"/>
        </w:rPr>
        <w:t>▲</w:t>
      </w:r>
      <w:r>
        <w:rPr>
          <w:rFonts w:hint="eastAsia" w:ascii="仿宋" w:hAnsi="仿宋" w:eastAsia="仿宋" w:cs="仿宋"/>
          <w:bCs/>
          <w:sz w:val="24"/>
          <w:szCs w:val="24"/>
        </w:rPr>
        <w:t>前节OCTA量化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：</w:t>
      </w:r>
    </w:p>
    <w:p w14:paraId="08664FFB">
      <w:pPr>
        <w:pStyle w:val="6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Cs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前节OCTA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血流密度：支持网格ETDRS，圆形区域，自选区域，自定义模式；</w:t>
      </w:r>
    </w:p>
    <w:p w14:paraId="17524DFB">
      <w:pPr>
        <w:pStyle w:val="6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Cs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前节OCTA血流面积：支持圆形和自选区域</w:t>
      </w:r>
    </w:p>
    <w:p w14:paraId="3C239A6D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0"/>
        <w:textAlignment w:val="auto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脉络膜分析软件：自动或手动测量脉络膜厚度，支持任意扫描尺寸的脉络膜中大血管层血流量化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仿宋"/>
          <w:bCs/>
          <w:sz w:val="24"/>
          <w:szCs w:val="24"/>
        </w:rPr>
        <w:t>支持2D 血流密度量化；支持3D，CVV,CVI,CSV,CSI脉络膜中大血流自动识别及量化分析</w:t>
      </w:r>
    </w:p>
    <w:p w14:paraId="0BB3742D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0"/>
        <w:textAlignment w:val="auto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血管线密度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：支持各种尺寸范围的ETDRS和网格的血管线密度量化</w:t>
      </w:r>
    </w:p>
    <w:p w14:paraId="58453D84">
      <w:pPr>
        <w:pStyle w:val="6"/>
        <w:numPr>
          <w:ilvl w:val="0"/>
          <w:numId w:val="1"/>
        </w:numPr>
        <w:ind w:firstLineChars="0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color w:val="auto"/>
          <w:sz w:val="24"/>
          <w:szCs w:val="24"/>
          <w:lang w:eastAsia="zh-CN"/>
        </w:rPr>
        <w:t>▲</w:t>
      </w:r>
      <w:r>
        <w:rPr>
          <w:rFonts w:hint="eastAsia" w:ascii="仿宋" w:hAnsi="仿宋" w:eastAsia="仿宋" w:cs="仿宋"/>
          <w:bCs/>
          <w:sz w:val="24"/>
          <w:szCs w:val="24"/>
        </w:rPr>
        <w:t>配置清单：</w:t>
      </w:r>
    </w:p>
    <w:tbl>
      <w:tblPr>
        <w:tblStyle w:val="4"/>
        <w:tblW w:w="0" w:type="auto"/>
        <w:tblInd w:w="4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9"/>
        <w:gridCol w:w="2618"/>
        <w:gridCol w:w="2619"/>
      </w:tblGrid>
      <w:tr w14:paraId="5B74C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9" w:type="dxa"/>
          </w:tcPr>
          <w:p w14:paraId="628631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210" w:leftChars="100"/>
              <w:textAlignment w:val="auto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配置名称</w:t>
            </w:r>
          </w:p>
        </w:tc>
        <w:tc>
          <w:tcPr>
            <w:tcW w:w="2618" w:type="dxa"/>
          </w:tcPr>
          <w:p w14:paraId="2B94C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210" w:leftChars="100"/>
              <w:textAlignment w:val="auto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数量</w:t>
            </w:r>
          </w:p>
        </w:tc>
        <w:tc>
          <w:tcPr>
            <w:tcW w:w="2619" w:type="dxa"/>
          </w:tcPr>
          <w:p w14:paraId="370BB4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210" w:leftChars="100"/>
              <w:textAlignment w:val="auto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单位</w:t>
            </w:r>
          </w:p>
        </w:tc>
      </w:tr>
      <w:tr w14:paraId="52CAD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9" w:type="dxa"/>
          </w:tcPr>
          <w:p w14:paraId="438E9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210" w:leftChars="100"/>
              <w:textAlignment w:val="auto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主机</w:t>
            </w:r>
          </w:p>
        </w:tc>
        <w:tc>
          <w:tcPr>
            <w:tcW w:w="2618" w:type="dxa"/>
          </w:tcPr>
          <w:p w14:paraId="00BC7D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210" w:leftChars="100"/>
              <w:textAlignment w:val="auto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1</w:t>
            </w:r>
          </w:p>
        </w:tc>
        <w:tc>
          <w:tcPr>
            <w:tcW w:w="2619" w:type="dxa"/>
          </w:tcPr>
          <w:p w14:paraId="390FD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210" w:leftChars="100"/>
              <w:textAlignment w:val="auto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台</w:t>
            </w:r>
          </w:p>
        </w:tc>
      </w:tr>
      <w:tr w14:paraId="22AD9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9" w:type="dxa"/>
          </w:tcPr>
          <w:p w14:paraId="36F30B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210" w:leftChars="100"/>
              <w:textAlignment w:val="auto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全景前节镜头组件</w:t>
            </w:r>
          </w:p>
        </w:tc>
        <w:tc>
          <w:tcPr>
            <w:tcW w:w="2618" w:type="dxa"/>
          </w:tcPr>
          <w:p w14:paraId="622747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210" w:leftChars="100"/>
              <w:textAlignment w:val="auto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1</w:t>
            </w:r>
          </w:p>
        </w:tc>
        <w:tc>
          <w:tcPr>
            <w:tcW w:w="2619" w:type="dxa"/>
          </w:tcPr>
          <w:p w14:paraId="47E8D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210" w:leftChars="100"/>
              <w:textAlignment w:val="auto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套</w:t>
            </w:r>
          </w:p>
        </w:tc>
      </w:tr>
      <w:tr w14:paraId="4857E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9" w:type="dxa"/>
          </w:tcPr>
          <w:p w14:paraId="3E5A6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210" w:leftChars="100"/>
              <w:textAlignment w:val="auto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电动升降台</w:t>
            </w:r>
          </w:p>
        </w:tc>
        <w:tc>
          <w:tcPr>
            <w:tcW w:w="2618" w:type="dxa"/>
          </w:tcPr>
          <w:p w14:paraId="66C60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210" w:leftChars="100"/>
              <w:textAlignment w:val="auto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1</w:t>
            </w:r>
          </w:p>
        </w:tc>
        <w:tc>
          <w:tcPr>
            <w:tcW w:w="2619" w:type="dxa"/>
          </w:tcPr>
          <w:p w14:paraId="7D8465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210" w:leftChars="100"/>
              <w:textAlignment w:val="auto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台</w:t>
            </w:r>
          </w:p>
        </w:tc>
      </w:tr>
      <w:tr w14:paraId="69E09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9" w:type="dxa"/>
          </w:tcPr>
          <w:p w14:paraId="6273D1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210" w:leftChars="100"/>
              <w:textAlignment w:val="auto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  <w:t>图文显示</w:t>
            </w: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系统</w:t>
            </w:r>
          </w:p>
        </w:tc>
        <w:tc>
          <w:tcPr>
            <w:tcW w:w="2618" w:type="dxa"/>
          </w:tcPr>
          <w:p w14:paraId="4ECC34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210" w:leftChars="100"/>
              <w:textAlignment w:val="auto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1</w:t>
            </w:r>
          </w:p>
        </w:tc>
        <w:tc>
          <w:tcPr>
            <w:tcW w:w="2619" w:type="dxa"/>
          </w:tcPr>
          <w:p w14:paraId="198361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210" w:leftChars="100"/>
              <w:textAlignment w:val="auto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套</w:t>
            </w:r>
          </w:p>
        </w:tc>
      </w:tr>
      <w:tr w14:paraId="04DDF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9" w:type="dxa"/>
          </w:tcPr>
          <w:p w14:paraId="0733D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210" w:leftChars="100"/>
              <w:textAlignment w:val="auto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系统电源</w:t>
            </w:r>
          </w:p>
        </w:tc>
        <w:tc>
          <w:tcPr>
            <w:tcW w:w="2618" w:type="dxa"/>
          </w:tcPr>
          <w:p w14:paraId="4E158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210" w:leftChars="100"/>
              <w:textAlignment w:val="auto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1</w:t>
            </w:r>
          </w:p>
        </w:tc>
        <w:tc>
          <w:tcPr>
            <w:tcW w:w="2619" w:type="dxa"/>
          </w:tcPr>
          <w:p w14:paraId="43E7C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210" w:leftChars="100"/>
              <w:textAlignment w:val="auto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套</w:t>
            </w:r>
          </w:p>
        </w:tc>
      </w:tr>
      <w:tr w14:paraId="776E0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9" w:type="dxa"/>
          </w:tcPr>
          <w:p w14:paraId="44233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210" w:leftChars="100"/>
              <w:textAlignment w:val="auto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  <w:t>图文输出系统</w:t>
            </w:r>
          </w:p>
        </w:tc>
        <w:tc>
          <w:tcPr>
            <w:tcW w:w="2618" w:type="dxa"/>
          </w:tcPr>
          <w:p w14:paraId="0249ED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210" w:leftChars="100"/>
              <w:textAlignment w:val="auto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1</w:t>
            </w:r>
          </w:p>
        </w:tc>
        <w:tc>
          <w:tcPr>
            <w:tcW w:w="2619" w:type="dxa"/>
          </w:tcPr>
          <w:p w14:paraId="6E032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210" w:leftChars="100"/>
              <w:textAlignment w:val="auto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台</w:t>
            </w:r>
          </w:p>
        </w:tc>
      </w:tr>
      <w:tr w14:paraId="18C2F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9" w:type="dxa"/>
          </w:tcPr>
          <w:p w14:paraId="276F53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210" w:leftChars="100"/>
              <w:textAlignment w:val="auto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眼科专业软件系统</w:t>
            </w:r>
          </w:p>
        </w:tc>
        <w:tc>
          <w:tcPr>
            <w:tcW w:w="2618" w:type="dxa"/>
          </w:tcPr>
          <w:p w14:paraId="311BCE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210" w:leftChars="100"/>
              <w:textAlignment w:val="auto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1</w:t>
            </w:r>
          </w:p>
        </w:tc>
        <w:tc>
          <w:tcPr>
            <w:tcW w:w="2619" w:type="dxa"/>
          </w:tcPr>
          <w:p w14:paraId="7B572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210" w:leftChars="100"/>
              <w:textAlignment w:val="auto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套</w:t>
            </w:r>
          </w:p>
        </w:tc>
      </w:tr>
      <w:tr w14:paraId="09270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9" w:type="dxa"/>
          </w:tcPr>
          <w:p w14:paraId="0426C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210" w:leftChars="100"/>
              <w:textAlignment w:val="auto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视网膜程序</w:t>
            </w:r>
          </w:p>
        </w:tc>
        <w:tc>
          <w:tcPr>
            <w:tcW w:w="2618" w:type="dxa"/>
          </w:tcPr>
          <w:p w14:paraId="62CF72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210" w:leftChars="100"/>
              <w:textAlignment w:val="auto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1</w:t>
            </w:r>
          </w:p>
        </w:tc>
        <w:tc>
          <w:tcPr>
            <w:tcW w:w="2619" w:type="dxa"/>
          </w:tcPr>
          <w:p w14:paraId="5078AF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210" w:leftChars="100"/>
              <w:textAlignment w:val="auto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套</w:t>
            </w:r>
          </w:p>
        </w:tc>
      </w:tr>
      <w:tr w14:paraId="186AB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9" w:type="dxa"/>
          </w:tcPr>
          <w:p w14:paraId="30189B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210" w:leftChars="100"/>
              <w:textAlignment w:val="auto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青光眼程序</w:t>
            </w:r>
          </w:p>
        </w:tc>
        <w:tc>
          <w:tcPr>
            <w:tcW w:w="2618" w:type="dxa"/>
          </w:tcPr>
          <w:p w14:paraId="63AAC6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210" w:leftChars="100"/>
              <w:textAlignment w:val="auto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1</w:t>
            </w:r>
          </w:p>
        </w:tc>
        <w:tc>
          <w:tcPr>
            <w:tcW w:w="2619" w:type="dxa"/>
          </w:tcPr>
          <w:p w14:paraId="0C2422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210" w:leftChars="100"/>
              <w:textAlignment w:val="auto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套</w:t>
            </w:r>
          </w:p>
        </w:tc>
      </w:tr>
      <w:tr w14:paraId="5E884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9" w:type="dxa"/>
          </w:tcPr>
          <w:p w14:paraId="23861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210" w:leftChars="100"/>
              <w:textAlignment w:val="auto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眼前节程序</w:t>
            </w:r>
          </w:p>
        </w:tc>
        <w:tc>
          <w:tcPr>
            <w:tcW w:w="2618" w:type="dxa"/>
          </w:tcPr>
          <w:p w14:paraId="40BEE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210" w:leftChars="100"/>
              <w:textAlignment w:val="auto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1</w:t>
            </w:r>
          </w:p>
        </w:tc>
        <w:tc>
          <w:tcPr>
            <w:tcW w:w="2619" w:type="dxa"/>
          </w:tcPr>
          <w:p w14:paraId="0449C0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210" w:leftChars="100"/>
              <w:textAlignment w:val="auto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套</w:t>
            </w:r>
          </w:p>
        </w:tc>
      </w:tr>
      <w:tr w14:paraId="155CD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9" w:type="dxa"/>
          </w:tcPr>
          <w:p w14:paraId="24E6B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210" w:leftChars="100"/>
              <w:textAlignment w:val="auto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OCTA程序</w:t>
            </w:r>
          </w:p>
        </w:tc>
        <w:tc>
          <w:tcPr>
            <w:tcW w:w="2618" w:type="dxa"/>
          </w:tcPr>
          <w:p w14:paraId="12663E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210" w:leftChars="100"/>
              <w:textAlignment w:val="auto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1</w:t>
            </w:r>
          </w:p>
        </w:tc>
        <w:tc>
          <w:tcPr>
            <w:tcW w:w="2619" w:type="dxa"/>
          </w:tcPr>
          <w:p w14:paraId="66996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210" w:leftChars="100"/>
              <w:textAlignment w:val="auto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套</w:t>
            </w:r>
          </w:p>
        </w:tc>
      </w:tr>
    </w:tbl>
    <w:p w14:paraId="439F49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contextualSpacing/>
        <w:textAlignment w:val="auto"/>
        <w:rPr>
          <w:rFonts w:hint="eastAsia" w:ascii="仿宋" w:hAnsi="仿宋" w:eastAsia="仿宋" w:cs="仿宋"/>
          <w:bCs/>
          <w:kern w:val="2"/>
          <w:sz w:val="24"/>
          <w:szCs w:val="28"/>
          <w:lang w:val="en-US" w:eastAsia="zh-CN" w:bidi="ar-SA"/>
        </w:rPr>
      </w:pPr>
    </w:p>
    <w:p w14:paraId="37E81B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contextualSpacing/>
        <w:textAlignment w:val="auto"/>
      </w:pPr>
      <w:r>
        <w:rPr>
          <w:rFonts w:hint="eastAsia" w:ascii="仿宋" w:hAnsi="仿宋" w:eastAsia="仿宋" w:cs="仿宋"/>
          <w:bCs/>
          <w:kern w:val="2"/>
          <w:sz w:val="24"/>
          <w:szCs w:val="28"/>
          <w:highlight w:val="yellow"/>
          <w:lang w:val="en-US" w:eastAsia="zh-CN" w:bidi="ar-SA"/>
        </w:rPr>
        <w:t>证明材料要求：针对以上参数要求，投标人应在投标文件中提供【制造商公开发布的印刷资料（如产品彩页、网页截图、技术白皮书等），并加盖制造商公章】或【检测机构出具的检测报告】。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475141"/>
    <w:multiLevelType w:val="singleLevel"/>
    <w:tmpl w:val="B9475141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9A13265"/>
    <w:multiLevelType w:val="multilevel"/>
    <w:tmpl w:val="29A13265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64564"/>
    <w:rsid w:val="02C86253"/>
    <w:rsid w:val="106735F0"/>
    <w:rsid w:val="12413713"/>
    <w:rsid w:val="16301FF7"/>
    <w:rsid w:val="185E2E81"/>
    <w:rsid w:val="1BC60734"/>
    <w:rsid w:val="1ED5336F"/>
    <w:rsid w:val="2968067B"/>
    <w:rsid w:val="2C5B48AD"/>
    <w:rsid w:val="32892B30"/>
    <w:rsid w:val="369D7168"/>
    <w:rsid w:val="37314597"/>
    <w:rsid w:val="3769735A"/>
    <w:rsid w:val="376E47D6"/>
    <w:rsid w:val="383B014F"/>
    <w:rsid w:val="387D663A"/>
    <w:rsid w:val="3EB709F3"/>
    <w:rsid w:val="42346A95"/>
    <w:rsid w:val="453F2418"/>
    <w:rsid w:val="469211D3"/>
    <w:rsid w:val="49291217"/>
    <w:rsid w:val="4C7D66B9"/>
    <w:rsid w:val="4C871DB8"/>
    <w:rsid w:val="551408A9"/>
    <w:rsid w:val="582301D6"/>
    <w:rsid w:val="59690770"/>
    <w:rsid w:val="61416F4F"/>
    <w:rsid w:val="637F3AF5"/>
    <w:rsid w:val="656E232E"/>
    <w:rsid w:val="657B5DDA"/>
    <w:rsid w:val="678A3FDC"/>
    <w:rsid w:val="6FB4784B"/>
    <w:rsid w:val="71A80522"/>
    <w:rsid w:val="72D364DA"/>
    <w:rsid w:val="73833CEC"/>
    <w:rsid w:val="764D1B7C"/>
    <w:rsid w:val="76D3117F"/>
    <w:rsid w:val="7950774B"/>
    <w:rsid w:val="7F964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2026-10-21T06:16:43Z</dcterms:created>
  <dc:creator>Administrator</dc:creator>
  <cp:lastModifiedBy>CaoPei</cp:lastModifiedBy>
  <dcterms:modified xsi:type="dcterms:W3CDTF">2026-10-21T06:50:32Z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9208819B04EE4697B65531C0F9B3EE3E_12</vt:lpwstr>
  </property>
</Properties>
</file>