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28A355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contextualSpacing/>
        <w:jc w:val="center"/>
        <w:rPr>
          <w:rFonts w:ascii="华文中宋" w:hAnsi="华文中宋" w:eastAsia="华文中宋"/>
        </w:rPr>
      </w:pPr>
      <w:bookmarkStart w:id="0" w:name="_Toc35393813"/>
      <w:bookmarkStart w:id="1" w:name="OLE_LINK359"/>
      <w:bookmarkStart w:id="2" w:name="OLE_LINK358"/>
      <w:r>
        <w:rPr>
          <w:rFonts w:hint="eastAsia" w:ascii="华文中宋" w:hAnsi="华文中宋" w:eastAsia="华文中宋"/>
        </w:rPr>
        <w:t>北京市属医院2026年医用设备集中带量采购项目体征监测维持组（监护仪）第21包、第25包更正公告</w:t>
      </w:r>
      <w:bookmarkEnd w:id="0"/>
    </w:p>
    <w:p w14:paraId="703D8B92">
      <w:pPr>
        <w:pStyle w:val="3"/>
        <w:spacing w:before="0" w:after="0" w:line="360" w:lineRule="auto"/>
        <w:contextualSpacing/>
        <w:rPr>
          <w:rFonts w:ascii="黑体" w:hAnsi="黑体" w:cs="宋体"/>
          <w:b w:val="0"/>
          <w:sz w:val="28"/>
          <w:szCs w:val="28"/>
        </w:rPr>
      </w:pPr>
      <w:bookmarkStart w:id="3" w:name="_Toc35393645"/>
      <w:bookmarkStart w:id="4" w:name="_Toc35393814"/>
      <w:bookmarkStart w:id="5" w:name="_Toc28359104"/>
      <w:bookmarkStart w:id="6" w:name="_Toc28359027"/>
      <w:r>
        <w:rPr>
          <w:rFonts w:hint="eastAsia" w:ascii="黑体" w:hAnsi="黑体" w:cs="宋体"/>
          <w:b w:val="0"/>
          <w:sz w:val="28"/>
          <w:szCs w:val="28"/>
        </w:rPr>
        <w:t>一、项目基本情况</w:t>
      </w:r>
      <w:bookmarkEnd w:id="3"/>
      <w:bookmarkEnd w:id="4"/>
      <w:bookmarkEnd w:id="5"/>
      <w:bookmarkEnd w:id="6"/>
    </w:p>
    <w:p w14:paraId="792CF4CD">
      <w:pPr>
        <w:spacing w:line="360" w:lineRule="auto"/>
        <w:ind w:firstLine="560" w:firstLineChars="200"/>
        <w:contextualSpacing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原公告的采购项目编号：</w:t>
      </w:r>
      <w:r>
        <w:fldChar w:fldCharType="begin"/>
      </w:r>
      <w:r>
        <w:instrText xml:space="preserve"> HYPERLINK "http://219.232.204.193:8080/frontend/plan/project_detail.html?projectUuid=de6a92ad-c642-4ed9-84b6-ada7bbdb57d7" </w:instrText>
      </w:r>
      <w:r>
        <w:fldChar w:fldCharType="separate"/>
      </w:r>
      <w:r>
        <w:rPr>
          <w:rFonts w:hint="eastAsia" w:ascii="仿宋" w:hAnsi="仿宋" w:eastAsia="仿宋"/>
          <w:sz w:val="28"/>
          <w:szCs w:val="28"/>
        </w:rPr>
        <w:t>20260624</w:t>
      </w:r>
      <w:r>
        <w:rPr>
          <w:rFonts w:hint="eastAsia" w:ascii="仿宋" w:hAnsi="仿宋" w:eastAsia="仿宋"/>
          <w:sz w:val="28"/>
          <w:szCs w:val="28"/>
        </w:rPr>
        <w:fldChar w:fldCharType="end"/>
      </w:r>
    </w:p>
    <w:p w14:paraId="2EEA1497">
      <w:pPr>
        <w:spacing w:line="360" w:lineRule="auto"/>
        <w:ind w:firstLine="560" w:firstLineChars="200"/>
        <w:contextualSpacing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原公告的采购项目名称：北京市属医院2026年医用设备集中带量采购项目体征监测维持组</w:t>
      </w:r>
    </w:p>
    <w:p w14:paraId="17E5EB06">
      <w:pPr>
        <w:spacing w:line="360" w:lineRule="auto"/>
        <w:ind w:firstLine="560" w:firstLineChars="200"/>
        <w:contextualSpacing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首次公告日期：</w:t>
      </w:r>
      <w:r>
        <w:rPr>
          <w:rFonts w:hint="eastAsia" w:ascii="仿宋" w:hAnsi="仿宋" w:eastAsia="仿宋"/>
          <w:sz w:val="28"/>
          <w:szCs w:val="28"/>
          <w:u w:val="single"/>
        </w:rPr>
        <w:t>2026年9月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30</w:t>
      </w:r>
      <w:bookmarkStart w:id="38" w:name="_GoBack"/>
      <w:bookmarkEnd w:id="38"/>
      <w:r>
        <w:rPr>
          <w:rFonts w:hint="eastAsia" w:ascii="仿宋" w:hAnsi="仿宋" w:eastAsia="仿宋"/>
          <w:sz w:val="28"/>
          <w:szCs w:val="28"/>
          <w:u w:val="single"/>
        </w:rPr>
        <w:t>日</w:t>
      </w:r>
    </w:p>
    <w:p w14:paraId="1E7B6050">
      <w:pPr>
        <w:pStyle w:val="3"/>
        <w:spacing w:before="0" w:after="0" w:line="360" w:lineRule="auto"/>
        <w:contextualSpacing/>
        <w:rPr>
          <w:rFonts w:ascii="黑体" w:hAnsi="黑体" w:cs="宋体"/>
          <w:b w:val="0"/>
          <w:sz w:val="28"/>
          <w:szCs w:val="28"/>
        </w:rPr>
      </w:pPr>
      <w:bookmarkStart w:id="7" w:name="_Toc28359105"/>
      <w:bookmarkStart w:id="8" w:name="_Toc28359028"/>
      <w:bookmarkStart w:id="9" w:name="_Toc35393815"/>
      <w:bookmarkStart w:id="10" w:name="_Toc35393646"/>
      <w:r>
        <w:rPr>
          <w:rFonts w:hint="eastAsia" w:ascii="黑体" w:hAnsi="黑体" w:cs="宋体"/>
          <w:b w:val="0"/>
          <w:sz w:val="28"/>
          <w:szCs w:val="28"/>
        </w:rPr>
        <w:t>二、更正信息</w:t>
      </w:r>
      <w:bookmarkEnd w:id="7"/>
      <w:bookmarkEnd w:id="8"/>
      <w:bookmarkEnd w:id="9"/>
      <w:bookmarkEnd w:id="10"/>
    </w:p>
    <w:p w14:paraId="52FAB430">
      <w:pPr>
        <w:spacing w:line="360" w:lineRule="auto"/>
        <w:ind w:firstLine="560" w:firstLineChars="200"/>
        <w:contextualSpacing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更正事项：</w:t>
      </w:r>
      <w:r>
        <w:rPr>
          <w:rFonts w:hint="eastAsia" w:ascii="仿宋" w:hAnsi="仿宋" w:eastAsia="仿宋"/>
          <w:kern w:val="0"/>
          <w:sz w:val="28"/>
          <w:szCs w:val="28"/>
        </w:rPr>
        <w:t>□</w:t>
      </w:r>
      <w:r>
        <w:rPr>
          <w:rFonts w:hint="eastAsia" w:ascii="仿宋" w:hAnsi="仿宋" w:eastAsia="仿宋"/>
          <w:sz w:val="28"/>
          <w:szCs w:val="28"/>
        </w:rPr>
        <w:t xml:space="preserve">采购公告 </w:t>
      </w:r>
      <w:r>
        <w:rPr>
          <w:rFonts w:hint="eastAsia" w:ascii="仿宋" w:hAnsi="仿宋" w:eastAsia="仿宋"/>
          <w:kern w:val="0"/>
          <w:sz w:val="28"/>
          <w:szCs w:val="28"/>
        </w:rPr>
        <w:t>√</w:t>
      </w:r>
      <w:r>
        <w:rPr>
          <w:rFonts w:hint="eastAsia" w:ascii="仿宋" w:hAnsi="仿宋" w:eastAsia="仿宋"/>
          <w:sz w:val="28"/>
          <w:szCs w:val="28"/>
        </w:rPr>
        <w:t xml:space="preserve">采购文件 □采购结果     </w:t>
      </w:r>
    </w:p>
    <w:p w14:paraId="52B939E7">
      <w:pPr>
        <w:spacing w:line="360" w:lineRule="auto"/>
        <w:ind w:firstLine="560" w:firstLineChars="200"/>
        <w:contextualSpacing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更正内容：</w:t>
      </w:r>
    </w:p>
    <w:p w14:paraId="7EF9131B">
      <w:pPr>
        <w:spacing w:line="360" w:lineRule="auto"/>
        <w:contextualSpacing/>
        <w:rPr>
          <w:rFonts w:ascii="仿宋" w:hAnsi="仿宋" w:eastAsia="仿宋"/>
          <w:b/>
          <w:kern w:val="0"/>
          <w:sz w:val="28"/>
          <w:szCs w:val="28"/>
        </w:rPr>
      </w:pPr>
      <w:bookmarkStart w:id="11" w:name="OLE_LINK6"/>
      <w:bookmarkStart w:id="12" w:name="OLE_LINK154"/>
      <w:bookmarkStart w:id="13" w:name="OLE_LINK19"/>
      <w:bookmarkStart w:id="14" w:name="OLE_LINK356"/>
      <w:bookmarkStart w:id="15" w:name="OLE_LINK156"/>
      <w:bookmarkStart w:id="16" w:name="OLE_LINK155"/>
      <w:bookmarkStart w:id="17" w:name="OLE_LINK153"/>
      <w:bookmarkStart w:id="18" w:name="OLE_LINK357"/>
      <w:bookmarkStart w:id="19" w:name="OLE_LINK65"/>
      <w:bookmarkStart w:id="20" w:name="OLE_LINK63"/>
      <w:bookmarkStart w:id="21" w:name="OLE_LINK64"/>
      <w:bookmarkStart w:id="22" w:name="OLE_LINK5"/>
      <w:r>
        <w:rPr>
          <w:rFonts w:hint="eastAsia" w:ascii="仿宋" w:hAnsi="仿宋" w:eastAsia="仿宋"/>
          <w:kern w:val="0"/>
          <w:sz w:val="28"/>
          <w:szCs w:val="28"/>
        </w:rPr>
        <w:t>1、经采购人确认，针对本项目第21包招标文件 “第五章 采购需求 三、技术要求（二）服务内容及要求/货物技术要求1、采购标的需满足的性能、材料、结构、外观、质量、安全、技术规格、物理特性等要求：”中第21包品目21-3一、技术参数“▲3、监测参数包含：rSO</w:t>
      </w:r>
      <w:r>
        <w:rPr>
          <w:rFonts w:hint="eastAsia" w:ascii="仿宋" w:hAnsi="仿宋" w:eastAsia="仿宋"/>
          <w:kern w:val="0"/>
          <w:sz w:val="28"/>
          <w:szCs w:val="28"/>
          <w:vertAlign w:val="subscript"/>
        </w:rPr>
        <w:t>2</w:t>
      </w:r>
      <w:r>
        <w:rPr>
          <w:rFonts w:hint="eastAsia" w:ascii="仿宋" w:hAnsi="仿宋" w:eastAsia="仿宋"/>
          <w:kern w:val="0"/>
          <w:sz w:val="28"/>
          <w:szCs w:val="28"/>
        </w:rPr>
        <w:t>、StO</w:t>
      </w:r>
      <w:r>
        <w:rPr>
          <w:rFonts w:hint="eastAsia" w:ascii="仿宋" w:hAnsi="仿宋" w:eastAsia="仿宋"/>
          <w:kern w:val="0"/>
          <w:sz w:val="28"/>
          <w:szCs w:val="28"/>
          <w:vertAlign w:val="subscript"/>
        </w:rPr>
        <w:t>2</w:t>
      </w:r>
      <w:r>
        <w:rPr>
          <w:rFonts w:hint="eastAsia" w:ascii="仿宋" w:hAnsi="仿宋" w:eastAsia="仿宋"/>
          <w:kern w:val="0"/>
          <w:sz w:val="28"/>
          <w:szCs w:val="28"/>
        </w:rPr>
        <w:t>、SpO</w:t>
      </w:r>
      <w:r>
        <w:rPr>
          <w:rFonts w:hint="eastAsia" w:ascii="仿宋" w:hAnsi="仿宋" w:eastAsia="仿宋"/>
          <w:kern w:val="0"/>
          <w:sz w:val="28"/>
          <w:szCs w:val="28"/>
          <w:vertAlign w:val="subscript"/>
        </w:rPr>
        <w:t>2</w:t>
      </w:r>
      <w:r>
        <w:rPr>
          <w:rFonts w:hint="eastAsia" w:ascii="仿宋" w:hAnsi="仿宋" w:eastAsia="仿宋"/>
          <w:kern w:val="0"/>
          <w:sz w:val="28"/>
          <w:szCs w:val="28"/>
        </w:rPr>
        <w:t>。”更正为“</w:t>
      </w: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</w:rPr>
        <w:t>▲3、具备局部组织氧饱和度(rS0</w:t>
      </w: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  <w:vertAlign w:val="subscript"/>
        </w:rPr>
        <w:t>2</w:t>
      </w: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</w:rPr>
        <w:t>)连续监测功能；可根据临床需求提供其他组织氧合或血氧相关监测参数。</w:t>
      </w:r>
      <w:r>
        <w:rPr>
          <w:rFonts w:hint="eastAsia" w:ascii="仿宋" w:hAnsi="仿宋" w:eastAsia="仿宋"/>
          <w:b/>
          <w:kern w:val="0"/>
          <w:sz w:val="28"/>
          <w:szCs w:val="28"/>
        </w:rPr>
        <w:t>”</w:t>
      </w:r>
    </w:p>
    <w:p w14:paraId="35954167">
      <w:pPr>
        <w:spacing w:line="360" w:lineRule="auto"/>
        <w:contextualSpacing/>
        <w:rPr>
          <w:rFonts w:ascii="仿宋" w:hAnsi="仿宋" w:eastAsia="仿宋"/>
          <w:b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2、经采购人确认，针对本项目第21包招标文件 “第五章 采购需求 三、技术要求（二）服务内容及要求/货物技术要求1、采购标的需满足的性能、材料、结构、外观、质量、安全、技术规格、物理特性等要求：”中第21包品目21-3一、技术参数“▲4、计算参数包含：通道信号质量、基线值（BL）、氧饱和度变化率（ΔBL）、脑氧摄取分数（cFTOE）、AUC、TUT、AUT、局部组织血红蛋白浓度指数（THI）、总血红蛋白浓度变化指数变化率（ΔTHI）、局部组织中氧合血红蛋白浓度相对测量初始值的变化量（ΔCHbO2）、局部组织中还原血红蛋白浓度相对测量初始值的变化量（ΔCHb）、局部组织中总血红蛋白浓度相对测量初始值的变化量（ΔCtHb）、脱氧血红蛋白浓度变化指数（HbI）、含氧血红蛋白浓度变化指数（HbOI）等。”更正为“</w:t>
      </w: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</w:rPr>
        <w:t>▲4、计算参数包含：基线值、氧饱和度变化率、脑氧摄取分数、AUC、TUT、AUT、局部组织血红蛋白浓度指数（THI）、总血红蛋白浓度变化指数变化率（ΔTHI）、局部组织中氧合血红蛋白浓度相对测量初始值的变化量、局部组织中还原血红蛋白浓度相对测量初始值的变化量、局部组织中总血红蛋白浓度相对测量初始值的变化量、脱氧血红蛋白浓度变化指数、含氧血红蛋白浓度变化指数等。</w:t>
      </w:r>
      <w:r>
        <w:rPr>
          <w:rFonts w:hint="eastAsia" w:ascii="仿宋" w:hAnsi="仿宋" w:eastAsia="仿宋"/>
          <w:b/>
          <w:kern w:val="0"/>
          <w:sz w:val="28"/>
          <w:szCs w:val="28"/>
        </w:rPr>
        <w:t>”</w:t>
      </w:r>
    </w:p>
    <w:p w14:paraId="6466BC94">
      <w:pPr>
        <w:spacing w:line="360" w:lineRule="auto"/>
        <w:contextualSpacing/>
        <w:rPr>
          <w:rFonts w:ascii="仿宋" w:hAnsi="仿宋" w:eastAsia="仿宋"/>
          <w:bCs/>
          <w:kern w:val="0"/>
          <w:sz w:val="28"/>
          <w:szCs w:val="28"/>
        </w:rPr>
      </w:pPr>
      <w:r>
        <w:rPr>
          <w:rFonts w:hint="eastAsia" w:ascii="仿宋" w:hAnsi="仿宋" w:eastAsia="仿宋"/>
          <w:bCs/>
          <w:kern w:val="0"/>
          <w:sz w:val="28"/>
          <w:szCs w:val="28"/>
        </w:rPr>
        <w:t>3、</w:t>
      </w:r>
      <w:r>
        <w:rPr>
          <w:rFonts w:hint="eastAsia" w:ascii="仿宋" w:hAnsi="仿宋" w:eastAsia="仿宋"/>
          <w:kern w:val="0"/>
          <w:sz w:val="28"/>
          <w:szCs w:val="28"/>
        </w:rPr>
        <w:t>经采购人确认，针对本项目第21包招标文件 “第五章 采购需求 三、技术要求（二）服务内容及要求/货物技术要求1、采购标的需满足的性能、材料、结构、外观、质量、安全、技术规格、物理特性等要求：”中第21包品目21-3一、技术参数“10、配备黑白激光图文输出装置，具备报告打印功能。”更正为“</w:t>
      </w: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</w:rPr>
        <w:t>10、配备内置或外置黑白激光图文输出装置，具备报告打印功能。</w:t>
      </w:r>
      <w:r>
        <w:rPr>
          <w:rFonts w:hint="eastAsia" w:ascii="仿宋" w:hAnsi="仿宋" w:eastAsia="仿宋"/>
          <w:b/>
          <w:kern w:val="0"/>
          <w:sz w:val="28"/>
          <w:szCs w:val="28"/>
        </w:rPr>
        <w:t>”</w:t>
      </w:r>
    </w:p>
    <w:p w14:paraId="3F210E31">
      <w:pPr>
        <w:spacing w:line="360" w:lineRule="auto"/>
        <w:contextualSpacing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kern w:val="0"/>
          <w:sz w:val="28"/>
          <w:szCs w:val="28"/>
        </w:rPr>
        <w:t>、经采购人确认，针对本项目第25包招标文件 “第五章 采购需求 三、技术要求（二）服务内容及要求/货物技术要求1、采购标的需满足的性能、材料、结构、外观、质量、安全、技术规格、物理特性等要求：”中第25包品目25-4（二）、监护仪“3、转运模块：</w:t>
      </w:r>
    </w:p>
    <w:p w14:paraId="590AD005">
      <w:pPr>
        <w:spacing w:line="360" w:lineRule="auto"/>
        <w:contextualSpacing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▲3.1、转运模块从主机拔出后可做为独立监护仪使用。</w:t>
      </w:r>
    </w:p>
    <w:p w14:paraId="0811A509">
      <w:pPr>
        <w:spacing w:line="360" w:lineRule="auto"/>
        <w:contextualSpacing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3.2、屏幕≥5英寸。</w:t>
      </w:r>
    </w:p>
    <w:p w14:paraId="7E06DD6F">
      <w:pPr>
        <w:spacing w:line="360" w:lineRule="auto"/>
        <w:contextualSpacing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3.3、内置可充电锂电池，支持转运模块正常工作≥3小时。</w:t>
      </w:r>
    </w:p>
    <w:p w14:paraId="704F0733">
      <w:pPr>
        <w:spacing w:line="360" w:lineRule="auto"/>
        <w:contextualSpacing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▲3.4、可监测心电、心率，呼吸，无创血压，血氧饱和度，脉搏、双通道体温和双通道有创血压。</w:t>
      </w:r>
      <w:r>
        <w:rPr>
          <w:rFonts w:hint="eastAsia" w:ascii="仿宋" w:hAnsi="仿宋" w:eastAsia="仿宋"/>
          <w:kern w:val="0"/>
          <w:sz w:val="28"/>
          <w:szCs w:val="28"/>
        </w:rPr>
        <w:cr/>
      </w:r>
      <w:r>
        <w:rPr>
          <w:rFonts w:hint="eastAsia" w:ascii="仿宋" w:hAnsi="仿宋" w:eastAsia="仿宋"/>
          <w:kern w:val="0"/>
          <w:sz w:val="28"/>
          <w:szCs w:val="28"/>
        </w:rPr>
        <w:t>3.5、心电监测</w:t>
      </w:r>
    </w:p>
    <w:p w14:paraId="7C29F77C">
      <w:pPr>
        <w:spacing w:line="360" w:lineRule="auto"/>
        <w:contextualSpacing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3.5.1、具备室上性心动过速和室上性心律失常分析功能。</w:t>
      </w:r>
    </w:p>
    <w:p w14:paraId="43E256E6">
      <w:pPr>
        <w:spacing w:line="360" w:lineRule="auto"/>
        <w:contextualSpacing/>
        <w:rPr>
          <w:rFonts w:ascii="仿宋" w:hAnsi="仿宋" w:eastAsia="仿宋"/>
          <w:b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3.5.2、具备多导联实时动态同步分析功能。</w:t>
      </w:r>
      <w:r>
        <w:rPr>
          <w:rFonts w:hint="eastAsia" w:ascii="仿宋" w:hAnsi="仿宋" w:eastAsia="仿宋"/>
          <w:kern w:val="0"/>
          <w:sz w:val="28"/>
          <w:szCs w:val="28"/>
        </w:rPr>
        <w:cr/>
      </w:r>
      <w:r>
        <w:rPr>
          <w:rFonts w:hint="eastAsia" w:ascii="仿宋" w:hAnsi="仿宋" w:eastAsia="仿宋"/>
          <w:kern w:val="0"/>
          <w:sz w:val="28"/>
          <w:szCs w:val="28"/>
        </w:rPr>
        <w:t>3.5.3、心率测量范围：20～260bpm。</w:t>
      </w:r>
      <w:r>
        <w:rPr>
          <w:rFonts w:hint="eastAsia" w:ascii="仿宋" w:hAnsi="仿宋" w:eastAsia="仿宋"/>
          <w:kern w:val="0"/>
          <w:sz w:val="28"/>
          <w:szCs w:val="28"/>
        </w:rPr>
        <w:cr/>
      </w:r>
      <w:r>
        <w:rPr>
          <w:rFonts w:hint="eastAsia" w:ascii="仿宋" w:hAnsi="仿宋" w:eastAsia="仿宋"/>
          <w:kern w:val="0"/>
          <w:sz w:val="28"/>
          <w:szCs w:val="28"/>
        </w:rPr>
        <w:t>3.6、呼吸频率测量范围：10～150rpm。</w:t>
      </w:r>
      <w:r>
        <w:rPr>
          <w:rFonts w:hint="eastAsia" w:ascii="仿宋" w:hAnsi="仿宋" w:eastAsia="仿宋"/>
          <w:kern w:val="0"/>
          <w:sz w:val="28"/>
          <w:szCs w:val="28"/>
        </w:rPr>
        <w:cr/>
      </w:r>
      <w:r>
        <w:rPr>
          <w:rFonts w:hint="eastAsia" w:ascii="仿宋" w:hAnsi="仿宋" w:eastAsia="仿宋"/>
          <w:kern w:val="0"/>
          <w:sz w:val="28"/>
          <w:szCs w:val="28"/>
        </w:rPr>
        <w:t>3.7、无创血压监测：具备手动、自动间隔、连续、序列测量模式。</w:t>
      </w:r>
      <w:r>
        <w:rPr>
          <w:rFonts w:hint="eastAsia" w:ascii="仿宋" w:hAnsi="仿宋" w:eastAsia="仿宋"/>
          <w:kern w:val="0"/>
          <w:sz w:val="28"/>
          <w:szCs w:val="28"/>
        </w:rPr>
        <w:cr/>
      </w:r>
      <w:r>
        <w:rPr>
          <w:rFonts w:hint="eastAsia" w:ascii="仿宋" w:hAnsi="仿宋" w:eastAsia="仿宋"/>
          <w:kern w:val="0"/>
          <w:sz w:val="28"/>
          <w:szCs w:val="28"/>
        </w:rPr>
        <w:t>3.8、有创血压监测测量范围：-40～320mmHg。”更正为“</w:t>
      </w: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</w:rPr>
        <w:t>删除上述参数。</w:t>
      </w:r>
      <w:r>
        <w:rPr>
          <w:rFonts w:hint="eastAsia" w:ascii="仿宋" w:hAnsi="仿宋" w:eastAsia="仿宋"/>
          <w:b/>
          <w:kern w:val="0"/>
          <w:sz w:val="28"/>
          <w:szCs w:val="28"/>
        </w:rPr>
        <w:t>”</w:t>
      </w:r>
    </w:p>
    <w:p w14:paraId="74C41936">
      <w:pPr>
        <w:spacing w:line="360" w:lineRule="auto"/>
        <w:contextualSpacing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kern w:val="0"/>
          <w:sz w:val="28"/>
          <w:szCs w:val="28"/>
        </w:rPr>
        <w:t>、经采购人确认，针对本项目第25包招标文件“第四章 评标程序、评标方法和评标标准二、评标标准”的以下内容进行更正：</w:t>
      </w:r>
    </w:p>
    <w:tbl>
      <w:tblPr>
        <w:tblStyle w:val="15"/>
        <w:tblW w:w="9087" w:type="dxa"/>
        <w:tblInd w:w="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1"/>
        <w:gridCol w:w="4536"/>
      </w:tblGrid>
      <w:tr w14:paraId="2E832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4551" w:type="dxa"/>
            <w:shd w:val="clear" w:color="auto" w:fill="FFFFFF" w:themeFill="background1"/>
            <w:vAlign w:val="center"/>
          </w:tcPr>
          <w:p w14:paraId="504D47D6"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</w:rPr>
              <w:t>招标文件内容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1D262201"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</w:rPr>
              <w:t>更正后内容</w:t>
            </w:r>
          </w:p>
        </w:tc>
      </w:tr>
      <w:tr w14:paraId="697DF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551" w:type="dxa"/>
            <w:shd w:val="clear" w:color="auto" w:fill="FFFFFF" w:themeFill="background1"/>
            <w:noWrap/>
            <w:vAlign w:val="center"/>
          </w:tcPr>
          <w:p w14:paraId="12F1FD9F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根据投标文件针对“招标文件第五章三、技术要求（二）服务内容及要求/货物技术要求中1、采购标的需满足的性能、材料、结构、外观、质量、安全、技术规格、物理特性等要求”中技术条款的响应程度进行评价，技术指标全部满足招标文件的要求得50.88分：</w:t>
            </w:r>
          </w:p>
          <w:p w14:paraId="71B3C8F9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（1）共34项“▲”号条款，每有一项“▲”号条款不满足招标文件扣1.45分；</w:t>
            </w:r>
          </w:p>
          <w:p w14:paraId="5E2F378A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（2）共158项普通条款，每有一项普通条款不满足招标文件扣0.01分；</w:t>
            </w:r>
          </w:p>
          <w:p w14:paraId="6DCA74DF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注:1、投标人须针对“第五章采购需求中“采购标的需满足的质量、安全、技术规格、物理特性等”中的技术参数条款在采购需求偏离表中按要求逐条响应，并按“采购标的的其他技术、服务等要求”的相关要求提供证明材料。</w:t>
            </w:r>
          </w:p>
          <w:p w14:paraId="5DB7E690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2、以标注序号“1”“2”……为一条，如有多级序号，以最小级别序号为一条。</w:t>
            </w:r>
          </w:p>
          <w:p w14:paraId="144278A2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3、得分四舍五入后保留小数点后两位小数。</w:t>
            </w:r>
          </w:p>
          <w:p w14:paraId="6C2A6401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4、“★”条款作为实质性要求，不纳入评分。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4EC3BEBA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根据投标文件针对“招标文件第五章三、技术要求（二）服务内容及要求/货物技术要求中1、采购标的需满足的性能、材料、结构、外观、质量、安全、技术规格、物理特性等要求”中技术条款的响应程度进行评价，技术指标全部满足招标文件的要求得51分：</w:t>
            </w:r>
          </w:p>
          <w:p w14:paraId="0BD60D72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（1）共32项“▲”号条款，每有一项“▲”号条款不满足招标文件扣1.5分；</w:t>
            </w:r>
          </w:p>
          <w:p w14:paraId="4E742911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（2）共150项普通条款，每有一项普通条款不满足招标文件扣0.02分；</w:t>
            </w:r>
          </w:p>
          <w:p w14:paraId="5855B865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注:1、投标人须针对“第五章采购需求中“采购标的需满足的质量、安全、技术规格、物理特性等”中的技术参数条款在采购需求偏离表中按要求逐条响应，并按“采购标的的其他技术、服务等要求”的相关要求提供证明材料。</w:t>
            </w:r>
          </w:p>
          <w:p w14:paraId="545D11A6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2、以标注序号“1”“2”……为一条，如有多级序号，以最小级别序号为一条。</w:t>
            </w:r>
          </w:p>
          <w:p w14:paraId="37E16DB9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3、得分四舍五入后保留小数点后两位小数。</w:t>
            </w:r>
          </w:p>
          <w:p w14:paraId="2D70463B">
            <w:pPr>
              <w:widowControl/>
              <w:spacing w:line="360" w:lineRule="auto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4、“★”条款作为实质性要求，不纳入评分。</w:t>
            </w:r>
          </w:p>
        </w:tc>
      </w:tr>
      <w:tr w14:paraId="0C06A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551" w:type="dxa"/>
            <w:shd w:val="clear" w:color="auto" w:fill="FFFFFF" w:themeFill="background1"/>
            <w:noWrap/>
            <w:vAlign w:val="center"/>
          </w:tcPr>
          <w:p w14:paraId="1E13DB97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投标人需按照招标文件第五章采购需求中“三、技术要求 （二）服务内容及要求/货物技术要求4.3供货及安装要求”共4项服务要求提供供货方案及安装方案，针对上述服务要求内容的完整性、可行性、合理性进行评价:</w:t>
            </w:r>
          </w:p>
          <w:p w14:paraId="69B6273E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1）提供相关方案均进行详细阐述且满足采购需求，得4.62分；</w:t>
            </w:r>
          </w:p>
          <w:p w14:paraId="62F292CB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2）提供相关方案但未贴合项目实际情况进行论述，或相关方案中未包括具体实施细节及措施，得3分；</w:t>
            </w:r>
          </w:p>
          <w:p w14:paraId="3D4C7442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3）相关方案不符合项目实际情况且未提供具体实施细节及措施，得1分；</w:t>
            </w:r>
          </w:p>
          <w:p w14:paraId="6E4B47D3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4）未提供相关方案不得分。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75ECCDDA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投标人需按照招标文件第五章采购需求中“三、技术要求 （二）服务内容及要求/货物技术要求4.3供货及安装要求”共4项服务要求提供供货方案及安装方案，针对上述服务要求内容的完整性、可行性、合理性进行评价:</w:t>
            </w:r>
          </w:p>
          <w:p w14:paraId="2FD0D288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1）提供相关方案均进行详细阐述且满足采购需求，得4.5分；</w:t>
            </w:r>
          </w:p>
          <w:p w14:paraId="4CC784EA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2）提供相关方案但未贴合项目实际情况进行论述，或相关方案中未包括具体实施细节及措施，得3分；</w:t>
            </w:r>
          </w:p>
          <w:p w14:paraId="746186E0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3）相关方案不符合项目实际情况且未提供具体实施细节及措施，得1分；</w:t>
            </w:r>
          </w:p>
          <w:p w14:paraId="4716B421">
            <w:pPr>
              <w:widowControl/>
              <w:spacing w:line="360" w:lineRule="auto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4）未提供相关方案不得分。</w:t>
            </w:r>
          </w:p>
        </w:tc>
      </w:tr>
    </w:tbl>
    <w:p w14:paraId="25D6AC1E">
      <w:pPr>
        <w:spacing w:line="360" w:lineRule="auto"/>
        <w:contextualSpacing/>
        <w:jc w:val="left"/>
        <w:rPr>
          <w:rFonts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、本项目第21包、第25包投标截止时间、开标时间由“2026年10月21日08点00分（北京时间）”更正为</w:t>
      </w:r>
      <w:r>
        <w:rPr>
          <w:rFonts w:hint="eastAsia" w:ascii="仿宋" w:hAnsi="仿宋" w:eastAsia="仿宋"/>
          <w:color w:val="auto"/>
          <w:sz w:val="28"/>
          <w:szCs w:val="28"/>
        </w:rPr>
        <w:t>：“</w:t>
      </w:r>
      <w:r>
        <w:rPr>
          <w:rFonts w:hint="eastAsia" w:ascii="仿宋" w:hAnsi="仿宋" w:eastAsia="仿宋"/>
          <w:b/>
          <w:bCs/>
          <w:color w:val="auto"/>
          <w:sz w:val="28"/>
          <w:szCs w:val="28"/>
          <w:u w:val="single"/>
        </w:rPr>
        <w:t>2026年11月4日08点00分（北京时间）。</w:t>
      </w:r>
      <w:bookmarkStart w:id="23" w:name="OLE_LINK150"/>
      <w:r>
        <w:rPr>
          <w:rFonts w:hint="eastAsia" w:ascii="仿宋" w:hAnsi="仿宋" w:eastAsia="仿宋"/>
          <w:color w:val="auto"/>
          <w:sz w:val="28"/>
          <w:szCs w:val="28"/>
        </w:rPr>
        <w:t>”</w:t>
      </w:r>
      <w:bookmarkEnd w:id="23"/>
    </w:p>
    <w:p w14:paraId="3A97BFDB">
      <w:pPr>
        <w:spacing w:line="360" w:lineRule="auto"/>
        <w:contextualSpacing/>
        <w:jc w:val="left"/>
        <w:rPr>
          <w:rFonts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/>
          <w:color w:val="auto"/>
          <w:sz w:val="28"/>
          <w:szCs w:val="28"/>
        </w:rPr>
        <w:t>、本项目第21包、第25包招标文件第二章 投标人须知投标人须知资料表12.1投标保证金“2.如投标保证金形式为纸质保函的，投标人须在2026年10月21日08点00分前（投标截</w:t>
      </w:r>
      <w:r>
        <w:rPr>
          <w:rFonts w:hint="eastAsia" w:ascii="仿宋" w:hAnsi="仿宋" w:eastAsia="仿宋"/>
          <w:sz w:val="28"/>
          <w:szCs w:val="28"/>
        </w:rPr>
        <w:t>止时间当天）将纸质保函密封</w:t>
      </w:r>
      <w:r>
        <w:rPr>
          <w:rFonts w:hint="eastAsia" w:ascii="仿宋" w:hAnsi="仿宋" w:eastAsia="仿宋"/>
          <w:color w:val="auto"/>
          <w:sz w:val="28"/>
          <w:szCs w:val="28"/>
        </w:rPr>
        <w:t>递交至北京市丰台区西三环南路14号院首科大厦A座4层405号中技国际招标有限公司会议中心。”更正为“</w:t>
      </w:r>
      <w:r>
        <w:rPr>
          <w:rFonts w:hint="eastAsia" w:ascii="仿宋" w:hAnsi="仿宋" w:eastAsia="仿宋"/>
          <w:b/>
          <w:bCs/>
          <w:color w:val="auto"/>
          <w:sz w:val="28"/>
          <w:szCs w:val="28"/>
          <w:u w:val="single"/>
        </w:rPr>
        <w:t>2.如投标保证金形式为纸质保函的，投标人须在2026年11月4日08点00分前（投标截止时间当天）将纸质保函密封递交至北京市丰台区西三环南路14号院首科大厦A座4层405号中技国际招标有限公司会议中心。</w:t>
      </w:r>
      <w:r>
        <w:rPr>
          <w:rFonts w:hint="eastAsia" w:ascii="仿宋" w:hAnsi="仿宋" w:eastAsia="仿宋"/>
          <w:color w:val="auto"/>
          <w:sz w:val="28"/>
          <w:szCs w:val="28"/>
        </w:rPr>
        <w:t>”</w:t>
      </w:r>
    </w:p>
    <w:p w14:paraId="74F7EE1B">
      <w:pPr>
        <w:spacing w:line="360" w:lineRule="auto"/>
        <w:contextualSpacing/>
        <w:jc w:val="left"/>
        <w:rPr>
          <w:rFonts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color w:val="auto"/>
          <w:sz w:val="28"/>
          <w:szCs w:val="28"/>
        </w:rPr>
        <w:t>、本项目第21包、第25包招标文件其他内容不变。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14:paraId="2B72876D">
      <w:pPr>
        <w:pStyle w:val="3"/>
        <w:spacing w:before="0" w:after="0" w:line="360" w:lineRule="auto"/>
        <w:contextualSpacing/>
        <w:rPr>
          <w:rFonts w:ascii="仿宋" w:hAnsi="仿宋" w:eastAsia="仿宋"/>
          <w:color w:val="auto"/>
          <w:sz w:val="24"/>
          <w:szCs w:val="21"/>
        </w:rPr>
      </w:pPr>
      <w:r>
        <w:rPr>
          <w:rFonts w:hint="eastAsia" w:ascii="黑体" w:hAnsi="黑体" w:cs="宋体"/>
          <w:b w:val="0"/>
          <w:color w:val="auto"/>
          <w:sz w:val="28"/>
          <w:szCs w:val="28"/>
        </w:rPr>
        <w:t>三、更正日期：</w:t>
      </w:r>
      <w:r>
        <w:rPr>
          <w:rFonts w:hint="eastAsia" w:ascii="仿宋" w:hAnsi="仿宋" w:eastAsia="仿宋" w:cs="宋体"/>
          <w:b w:val="0"/>
          <w:color w:val="auto"/>
          <w:sz w:val="28"/>
          <w:szCs w:val="28"/>
        </w:rPr>
        <w:t>2026年10月19日</w:t>
      </w:r>
    </w:p>
    <w:p w14:paraId="0BAC3A35">
      <w:pPr>
        <w:pStyle w:val="3"/>
        <w:spacing w:before="0" w:after="0" w:line="360" w:lineRule="auto"/>
        <w:contextualSpacing/>
        <w:rPr>
          <w:rFonts w:ascii="黑体" w:hAnsi="黑体" w:cs="宋体"/>
          <w:b w:val="0"/>
          <w:sz w:val="28"/>
          <w:szCs w:val="28"/>
        </w:rPr>
      </w:pPr>
      <w:bookmarkStart w:id="24" w:name="_Toc35393647"/>
      <w:bookmarkStart w:id="25" w:name="_Toc35393816"/>
      <w:r>
        <w:rPr>
          <w:rFonts w:hint="eastAsia" w:ascii="黑体" w:hAnsi="黑体" w:cs="宋体"/>
          <w:b w:val="0"/>
          <w:sz w:val="28"/>
          <w:szCs w:val="28"/>
        </w:rPr>
        <w:t>四、其他补充事宜</w:t>
      </w:r>
      <w:bookmarkEnd w:id="24"/>
      <w:bookmarkEnd w:id="25"/>
    </w:p>
    <w:p w14:paraId="17B0A5BC">
      <w:pPr>
        <w:pStyle w:val="3"/>
        <w:spacing w:before="0" w:after="0" w:line="360" w:lineRule="auto"/>
        <w:contextualSpacing/>
        <w:rPr>
          <w:rFonts w:ascii="黑体" w:hAnsi="黑体" w:cs="宋体"/>
          <w:b w:val="0"/>
          <w:sz w:val="28"/>
          <w:szCs w:val="28"/>
        </w:rPr>
      </w:pPr>
      <w:bookmarkStart w:id="26" w:name="_Toc28359106"/>
      <w:bookmarkStart w:id="27" w:name="_Toc35393817"/>
      <w:bookmarkStart w:id="28" w:name="_Toc28359029"/>
      <w:bookmarkStart w:id="29" w:name="_Toc35393648"/>
      <w:r>
        <w:rPr>
          <w:rFonts w:hint="eastAsia" w:ascii="黑体" w:hAnsi="黑体" w:cs="宋体"/>
          <w:b w:val="0"/>
          <w:sz w:val="28"/>
          <w:szCs w:val="28"/>
        </w:rPr>
        <w:t>无。</w:t>
      </w:r>
    </w:p>
    <w:p w14:paraId="0092CD02">
      <w:pPr>
        <w:pStyle w:val="3"/>
        <w:spacing w:before="0" w:after="0" w:line="360" w:lineRule="auto"/>
        <w:contextualSpacing/>
        <w:rPr>
          <w:rFonts w:ascii="黑体" w:hAnsi="黑体" w:cs="宋体"/>
          <w:b w:val="0"/>
          <w:sz w:val="28"/>
          <w:szCs w:val="28"/>
        </w:rPr>
      </w:pPr>
      <w:r>
        <w:rPr>
          <w:rFonts w:hint="eastAsia" w:ascii="黑体" w:hAnsi="黑体" w:cs="宋体"/>
          <w:b w:val="0"/>
          <w:sz w:val="28"/>
          <w:szCs w:val="28"/>
        </w:rPr>
        <w:t>五、凡对本次公告内容提出询问，请按以下方式联系。</w:t>
      </w:r>
      <w:bookmarkEnd w:id="26"/>
      <w:bookmarkEnd w:id="27"/>
      <w:bookmarkEnd w:id="28"/>
      <w:bookmarkEnd w:id="29"/>
    </w:p>
    <w:p w14:paraId="7402A0DF">
      <w:pPr>
        <w:spacing w:line="360" w:lineRule="auto"/>
        <w:ind w:left="1130" w:leftChars="1" w:hanging="1128" w:hangingChars="403"/>
        <w:contextualSpacing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ascii="仿宋" w:hAnsi="仿宋" w:eastAsia="仿宋" w:cs="宋体"/>
          <w:sz w:val="28"/>
          <w:szCs w:val="28"/>
        </w:rPr>
        <w:t>1.</w:t>
      </w:r>
      <w:r>
        <w:rPr>
          <w:rFonts w:hint="eastAsia" w:ascii="仿宋" w:hAnsi="仿宋" w:eastAsia="仿宋" w:cs="宋体"/>
          <w:sz w:val="28"/>
          <w:szCs w:val="28"/>
        </w:rPr>
        <w:t>采购人信息</w:t>
      </w:r>
    </w:p>
    <w:p w14:paraId="1BBB0FF2">
      <w:pPr>
        <w:spacing w:line="360" w:lineRule="auto"/>
        <w:contextualSpacing/>
        <w:jc w:val="left"/>
        <w:rPr>
          <w:rFonts w:ascii="仿宋" w:hAnsi="仿宋" w:eastAsia="仿宋" w:cs="宋体"/>
          <w:sz w:val="28"/>
          <w:szCs w:val="28"/>
        </w:rPr>
      </w:pPr>
      <w:bookmarkStart w:id="30" w:name="_Toc28359009"/>
      <w:bookmarkStart w:id="31" w:name="_Toc28359086"/>
      <w:r>
        <w:rPr>
          <w:rFonts w:ascii="仿宋" w:hAnsi="仿宋" w:eastAsia="仿宋" w:cs="宋体"/>
          <w:sz w:val="28"/>
          <w:szCs w:val="28"/>
        </w:rPr>
        <w:t>名    称：</w:t>
      </w:r>
      <w:r>
        <w:rPr>
          <w:rFonts w:hint="eastAsia" w:ascii="仿宋" w:hAnsi="仿宋" w:eastAsia="仿宋" w:cs="宋体"/>
          <w:sz w:val="28"/>
          <w:szCs w:val="28"/>
        </w:rPr>
        <w:t>首都医科大学附属首都儿童医学中心</w:t>
      </w:r>
    </w:p>
    <w:p w14:paraId="61E4F74A">
      <w:pPr>
        <w:spacing w:line="360" w:lineRule="auto"/>
        <w:contextualSpacing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ascii="仿宋" w:hAnsi="仿宋" w:eastAsia="仿宋" w:cs="宋体"/>
          <w:sz w:val="28"/>
          <w:szCs w:val="28"/>
        </w:rPr>
        <w:t>地    址：</w:t>
      </w:r>
      <w:r>
        <w:rPr>
          <w:rFonts w:hint="eastAsia" w:ascii="仿宋" w:hAnsi="仿宋" w:eastAsia="仿宋" w:cs="宋体"/>
          <w:sz w:val="28"/>
          <w:szCs w:val="28"/>
        </w:rPr>
        <w:t>北京市朝阳区雅宝路2号</w:t>
      </w:r>
    </w:p>
    <w:p w14:paraId="3468C67F">
      <w:pPr>
        <w:spacing w:line="360" w:lineRule="auto"/>
        <w:contextualSpacing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ascii="仿宋" w:hAnsi="仿宋" w:eastAsia="仿宋" w:cs="宋体"/>
          <w:sz w:val="28"/>
          <w:szCs w:val="28"/>
        </w:rPr>
        <w:t>联系方式：</w:t>
      </w:r>
      <w:bookmarkStart w:id="32" w:name="OLE_LINK217"/>
      <w:r>
        <w:rPr>
          <w:rFonts w:ascii="仿宋" w:hAnsi="仿宋" w:eastAsia="仿宋" w:cs="宋体"/>
          <w:sz w:val="28"/>
          <w:szCs w:val="28"/>
        </w:rPr>
        <w:t>010-85695224</w:t>
      </w:r>
    </w:p>
    <w:bookmarkEnd w:id="32"/>
    <w:p w14:paraId="225DC4BD">
      <w:pPr>
        <w:spacing w:line="360" w:lineRule="auto"/>
        <w:ind w:left="1130" w:leftChars="1" w:hanging="1128" w:hangingChars="403"/>
        <w:contextualSpacing/>
        <w:jc w:val="lef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 w:cs="宋体"/>
          <w:sz w:val="28"/>
          <w:szCs w:val="28"/>
        </w:rPr>
        <w:t>2.</w:t>
      </w:r>
      <w:r>
        <w:rPr>
          <w:rFonts w:hint="eastAsia" w:ascii="仿宋" w:hAnsi="仿宋" w:eastAsia="仿宋" w:cs="宋体"/>
          <w:sz w:val="28"/>
          <w:szCs w:val="28"/>
        </w:rPr>
        <w:t>采购代理机构信息</w:t>
      </w:r>
      <w:bookmarkEnd w:id="30"/>
      <w:bookmarkEnd w:id="31"/>
    </w:p>
    <w:p w14:paraId="1ACC7A75">
      <w:pPr>
        <w:spacing w:line="360" w:lineRule="auto"/>
        <w:contextualSpacing/>
        <w:rPr>
          <w:rFonts w:ascii="仿宋" w:hAnsi="仿宋" w:eastAsia="仿宋" w:cs="宋体"/>
          <w:sz w:val="28"/>
          <w:szCs w:val="28"/>
        </w:rPr>
      </w:pPr>
      <w:bookmarkStart w:id="33" w:name="_Toc28359010"/>
      <w:bookmarkStart w:id="34" w:name="_Toc28359087"/>
      <w:r>
        <w:rPr>
          <w:rFonts w:hint="eastAsia" w:ascii="仿宋" w:hAnsi="仿宋" w:eastAsia="仿宋" w:cs="宋体"/>
          <w:sz w:val="28"/>
          <w:szCs w:val="28"/>
        </w:rPr>
        <w:t>名    称：中技国际招标有限公司</w:t>
      </w:r>
    </w:p>
    <w:p w14:paraId="70B3C9D3">
      <w:pPr>
        <w:spacing w:line="360" w:lineRule="auto"/>
        <w:contextualSpacing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地    址：北京市丰台区西营街1号院通用时代中心C座9层</w:t>
      </w:r>
    </w:p>
    <w:p w14:paraId="4671BABC">
      <w:pPr>
        <w:spacing w:line="360" w:lineRule="auto"/>
        <w:contextualSpacing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联系方式：</w:t>
      </w:r>
      <w:bookmarkStart w:id="35" w:name="OLE_LINK16"/>
      <w:r>
        <w:rPr>
          <w:rFonts w:hint="eastAsia" w:ascii="仿宋" w:hAnsi="仿宋" w:eastAsia="仿宋" w:cs="宋体"/>
          <w:sz w:val="28"/>
          <w:szCs w:val="28"/>
        </w:rPr>
        <w:t>010-81168541</w:t>
      </w:r>
      <w:bookmarkEnd w:id="35"/>
      <w:r>
        <w:rPr>
          <w:rFonts w:hint="eastAsia" w:ascii="仿宋" w:hAnsi="仿宋" w:eastAsia="仿宋" w:cs="宋体"/>
          <w:sz w:val="28"/>
          <w:szCs w:val="28"/>
        </w:rPr>
        <w:t>、010-81168492</w:t>
      </w:r>
    </w:p>
    <w:p w14:paraId="2F34D630">
      <w:pPr>
        <w:spacing w:line="360" w:lineRule="auto"/>
        <w:ind w:left="1130" w:leftChars="1" w:hanging="1128" w:hangingChars="403"/>
        <w:contextualSpacing/>
        <w:rPr>
          <w:rFonts w:ascii="仿宋" w:hAnsi="仿宋" w:eastAsia="仿宋" w:cs="宋体"/>
          <w:sz w:val="28"/>
          <w:szCs w:val="28"/>
        </w:rPr>
      </w:pPr>
      <w:r>
        <w:rPr>
          <w:rFonts w:ascii="仿宋" w:hAnsi="仿宋" w:eastAsia="仿宋" w:cs="宋体"/>
          <w:sz w:val="28"/>
          <w:szCs w:val="28"/>
        </w:rPr>
        <w:t>3.</w:t>
      </w:r>
      <w:r>
        <w:rPr>
          <w:rFonts w:hint="eastAsia" w:ascii="仿宋" w:hAnsi="仿宋" w:eastAsia="仿宋" w:cs="宋体"/>
          <w:sz w:val="28"/>
          <w:szCs w:val="28"/>
        </w:rPr>
        <w:t>项目联系方式</w:t>
      </w:r>
      <w:bookmarkEnd w:id="33"/>
      <w:bookmarkEnd w:id="34"/>
    </w:p>
    <w:p w14:paraId="22886DF9">
      <w:pPr>
        <w:spacing w:line="360" w:lineRule="auto"/>
        <w:contextualSpacing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采购人项目联系人：宁老师</w:t>
      </w:r>
    </w:p>
    <w:p w14:paraId="398C3636">
      <w:pPr>
        <w:spacing w:line="360" w:lineRule="auto"/>
        <w:contextualSpacing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电　话：</w:t>
      </w:r>
      <w:bookmarkStart w:id="36" w:name="OLE_LINK17"/>
      <w:r>
        <w:rPr>
          <w:rFonts w:ascii="仿宋" w:hAnsi="仿宋" w:eastAsia="仿宋" w:cs="宋体"/>
          <w:sz w:val="28"/>
          <w:szCs w:val="28"/>
        </w:rPr>
        <w:t>010-85695224</w:t>
      </w:r>
      <w:bookmarkEnd w:id="36"/>
    </w:p>
    <w:p w14:paraId="36EEAC28">
      <w:pPr>
        <w:spacing w:line="360" w:lineRule="auto"/>
        <w:contextualSpacing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采购代理机构项目联系人：</w:t>
      </w:r>
      <w:bookmarkStart w:id="37" w:name="OLE_LINK206"/>
      <w:r>
        <w:rPr>
          <w:rFonts w:hint="eastAsia" w:ascii="仿宋" w:hAnsi="仿宋" w:eastAsia="仿宋" w:cs="宋体"/>
          <w:sz w:val="28"/>
          <w:szCs w:val="28"/>
        </w:rPr>
        <w:t>强文晓、</w:t>
      </w:r>
      <w:bookmarkEnd w:id="37"/>
      <w:r>
        <w:rPr>
          <w:rFonts w:hint="eastAsia" w:ascii="仿宋" w:hAnsi="仿宋" w:eastAsia="仿宋" w:cs="宋体"/>
          <w:sz w:val="28"/>
          <w:szCs w:val="28"/>
        </w:rPr>
        <w:t>姚玮、孙薇</w:t>
      </w:r>
    </w:p>
    <w:p w14:paraId="1EF27955">
      <w:pPr>
        <w:spacing w:line="360" w:lineRule="auto"/>
        <w:contextualSpacing/>
        <w:jc w:val="left"/>
        <w:rPr>
          <w:rFonts w:eastAsia="仿宋"/>
        </w:rPr>
      </w:pPr>
      <w:r>
        <w:rPr>
          <w:rFonts w:hint="eastAsia" w:ascii="仿宋" w:hAnsi="仿宋" w:eastAsia="仿宋" w:cs="宋体"/>
          <w:sz w:val="28"/>
          <w:szCs w:val="28"/>
        </w:rPr>
        <w:t>电　话：010-81168541、010-81168492</w:t>
      </w:r>
    </w:p>
    <w:bookmarkEnd w:id="1"/>
    <w:bookmarkEnd w:id="2"/>
    <w:p w14:paraId="54C9BA6E">
      <w:pPr>
        <w:spacing w:line="360" w:lineRule="auto"/>
        <w:contextualSpacing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5A"/>
    <w:rsid w:val="00002318"/>
    <w:rsid w:val="0000367F"/>
    <w:rsid w:val="00013EDE"/>
    <w:rsid w:val="00016698"/>
    <w:rsid w:val="00026B71"/>
    <w:rsid w:val="000555B3"/>
    <w:rsid w:val="000946D5"/>
    <w:rsid w:val="00094BB2"/>
    <w:rsid w:val="000A20A2"/>
    <w:rsid w:val="000C1895"/>
    <w:rsid w:val="000C3EF8"/>
    <w:rsid w:val="000C59CE"/>
    <w:rsid w:val="000D7609"/>
    <w:rsid w:val="000F0B6B"/>
    <w:rsid w:val="000F0CE6"/>
    <w:rsid w:val="00121288"/>
    <w:rsid w:val="00122184"/>
    <w:rsid w:val="0012697B"/>
    <w:rsid w:val="00126F4E"/>
    <w:rsid w:val="001471A5"/>
    <w:rsid w:val="001D7850"/>
    <w:rsid w:val="001E0202"/>
    <w:rsid w:val="001E3CF3"/>
    <w:rsid w:val="00237A6E"/>
    <w:rsid w:val="00251A77"/>
    <w:rsid w:val="00286630"/>
    <w:rsid w:val="002937AD"/>
    <w:rsid w:val="002A77F5"/>
    <w:rsid w:val="002C4F10"/>
    <w:rsid w:val="0031713A"/>
    <w:rsid w:val="00331105"/>
    <w:rsid w:val="00336471"/>
    <w:rsid w:val="00356363"/>
    <w:rsid w:val="00357844"/>
    <w:rsid w:val="00370844"/>
    <w:rsid w:val="0039607E"/>
    <w:rsid w:val="003B6212"/>
    <w:rsid w:val="003E56BB"/>
    <w:rsid w:val="003E7BC0"/>
    <w:rsid w:val="00450BA8"/>
    <w:rsid w:val="00496850"/>
    <w:rsid w:val="004B0FF3"/>
    <w:rsid w:val="004B367A"/>
    <w:rsid w:val="004B5455"/>
    <w:rsid w:val="004B6850"/>
    <w:rsid w:val="004D7796"/>
    <w:rsid w:val="004E2040"/>
    <w:rsid w:val="004E3E98"/>
    <w:rsid w:val="004F5619"/>
    <w:rsid w:val="00506AB7"/>
    <w:rsid w:val="005579B3"/>
    <w:rsid w:val="005B6CCA"/>
    <w:rsid w:val="005D290E"/>
    <w:rsid w:val="005D68C1"/>
    <w:rsid w:val="005E1F20"/>
    <w:rsid w:val="005F0ACC"/>
    <w:rsid w:val="00604CC5"/>
    <w:rsid w:val="00614BC9"/>
    <w:rsid w:val="00614EA7"/>
    <w:rsid w:val="00622C65"/>
    <w:rsid w:val="00652B28"/>
    <w:rsid w:val="00665E24"/>
    <w:rsid w:val="00684671"/>
    <w:rsid w:val="00685D27"/>
    <w:rsid w:val="00695807"/>
    <w:rsid w:val="006A36AF"/>
    <w:rsid w:val="006C0F0A"/>
    <w:rsid w:val="006C37F0"/>
    <w:rsid w:val="006C69BC"/>
    <w:rsid w:val="006D4CD1"/>
    <w:rsid w:val="006E320C"/>
    <w:rsid w:val="00716DEA"/>
    <w:rsid w:val="00741CDA"/>
    <w:rsid w:val="00785D3F"/>
    <w:rsid w:val="00796325"/>
    <w:rsid w:val="007C2FC3"/>
    <w:rsid w:val="007C787B"/>
    <w:rsid w:val="007E7F7C"/>
    <w:rsid w:val="00831987"/>
    <w:rsid w:val="00834AEE"/>
    <w:rsid w:val="00863425"/>
    <w:rsid w:val="00871377"/>
    <w:rsid w:val="00872EDE"/>
    <w:rsid w:val="00875648"/>
    <w:rsid w:val="0088542A"/>
    <w:rsid w:val="00894411"/>
    <w:rsid w:val="008A2459"/>
    <w:rsid w:val="008A6AC1"/>
    <w:rsid w:val="008A72AB"/>
    <w:rsid w:val="008C0ADF"/>
    <w:rsid w:val="008E0828"/>
    <w:rsid w:val="009275E3"/>
    <w:rsid w:val="009336D1"/>
    <w:rsid w:val="009412D3"/>
    <w:rsid w:val="009413D2"/>
    <w:rsid w:val="00945254"/>
    <w:rsid w:val="00956F31"/>
    <w:rsid w:val="009A13E7"/>
    <w:rsid w:val="009B1C48"/>
    <w:rsid w:val="009F29C9"/>
    <w:rsid w:val="00A0285C"/>
    <w:rsid w:val="00A23170"/>
    <w:rsid w:val="00A27941"/>
    <w:rsid w:val="00A61B45"/>
    <w:rsid w:val="00A73A66"/>
    <w:rsid w:val="00AB7A8A"/>
    <w:rsid w:val="00AC2343"/>
    <w:rsid w:val="00AE5035"/>
    <w:rsid w:val="00AF39CF"/>
    <w:rsid w:val="00B03925"/>
    <w:rsid w:val="00B063AE"/>
    <w:rsid w:val="00B3644B"/>
    <w:rsid w:val="00B7224D"/>
    <w:rsid w:val="00B84F88"/>
    <w:rsid w:val="00B90A34"/>
    <w:rsid w:val="00BA428A"/>
    <w:rsid w:val="00BA5D41"/>
    <w:rsid w:val="00BD3FB5"/>
    <w:rsid w:val="00C21446"/>
    <w:rsid w:val="00C36BBB"/>
    <w:rsid w:val="00C75987"/>
    <w:rsid w:val="00C75E11"/>
    <w:rsid w:val="00C77F0A"/>
    <w:rsid w:val="00C9322D"/>
    <w:rsid w:val="00C97D5A"/>
    <w:rsid w:val="00CB2B2E"/>
    <w:rsid w:val="00CC5A6C"/>
    <w:rsid w:val="00CF1A0B"/>
    <w:rsid w:val="00D20CF7"/>
    <w:rsid w:val="00D22A2A"/>
    <w:rsid w:val="00D360F0"/>
    <w:rsid w:val="00D41030"/>
    <w:rsid w:val="00D47F27"/>
    <w:rsid w:val="00D55AF8"/>
    <w:rsid w:val="00D62533"/>
    <w:rsid w:val="00D74BFE"/>
    <w:rsid w:val="00D83839"/>
    <w:rsid w:val="00DA238B"/>
    <w:rsid w:val="00DB0179"/>
    <w:rsid w:val="00DB5034"/>
    <w:rsid w:val="00DC4278"/>
    <w:rsid w:val="00E1650C"/>
    <w:rsid w:val="00E55DE6"/>
    <w:rsid w:val="00E5706B"/>
    <w:rsid w:val="00E66B06"/>
    <w:rsid w:val="00E83771"/>
    <w:rsid w:val="00EB215F"/>
    <w:rsid w:val="00EC7444"/>
    <w:rsid w:val="00ED2109"/>
    <w:rsid w:val="00ED63E9"/>
    <w:rsid w:val="00EF58E0"/>
    <w:rsid w:val="00F05593"/>
    <w:rsid w:val="00F06C63"/>
    <w:rsid w:val="00F14901"/>
    <w:rsid w:val="00F3155A"/>
    <w:rsid w:val="00F70DE2"/>
    <w:rsid w:val="00F80F3E"/>
    <w:rsid w:val="00F92305"/>
    <w:rsid w:val="00F96BF9"/>
    <w:rsid w:val="00FE0943"/>
    <w:rsid w:val="023F5AF0"/>
    <w:rsid w:val="0CEB1928"/>
    <w:rsid w:val="0D897CCD"/>
    <w:rsid w:val="2AD11833"/>
    <w:rsid w:val="31AC36E8"/>
    <w:rsid w:val="3B81050A"/>
    <w:rsid w:val="464A74F9"/>
    <w:rsid w:val="528B4681"/>
    <w:rsid w:val="5ADC6668"/>
    <w:rsid w:val="6D63451E"/>
    <w:rsid w:val="7358217B"/>
    <w:rsid w:val="7584384B"/>
    <w:rsid w:val="782A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0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link w:val="35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  <w:szCs w:val="24"/>
    </w:rPr>
  </w:style>
  <w:style w:type="paragraph" w:styleId="6">
    <w:name w:val="annotation text"/>
    <w:basedOn w:val="1"/>
    <w:link w:val="28"/>
    <w:semiHidden/>
    <w:unhideWhenUsed/>
    <w:qFormat/>
    <w:uiPriority w:val="99"/>
    <w:pPr>
      <w:jc w:val="left"/>
    </w:pPr>
  </w:style>
  <w:style w:type="paragraph" w:styleId="7">
    <w:name w:val="Body Text Indent"/>
    <w:basedOn w:val="1"/>
    <w:link w:val="30"/>
    <w:semiHidden/>
    <w:unhideWhenUsed/>
    <w:qFormat/>
    <w:uiPriority w:val="99"/>
    <w:pPr>
      <w:spacing w:after="120"/>
      <w:ind w:left="420" w:leftChars="200"/>
    </w:pPr>
  </w:style>
  <w:style w:type="paragraph" w:styleId="8">
    <w:name w:val="Plain Text"/>
    <w:basedOn w:val="1"/>
    <w:link w:val="21"/>
    <w:qFormat/>
    <w:uiPriority w:val="0"/>
    <w:rPr>
      <w:rFonts w:ascii="宋体" w:hAnsi="Courier New" w:eastAsiaTheme="minorEastAsia" w:cstheme="minorBidi"/>
      <w:szCs w:val="22"/>
    </w:rPr>
  </w:style>
  <w:style w:type="paragraph" w:styleId="9">
    <w:name w:val="Balloon Text"/>
    <w:basedOn w:val="1"/>
    <w:link w:val="25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3">
    <w:name w:val="annotation subject"/>
    <w:basedOn w:val="6"/>
    <w:next w:val="6"/>
    <w:link w:val="29"/>
    <w:semiHidden/>
    <w:unhideWhenUsed/>
    <w:qFormat/>
    <w:uiPriority w:val="99"/>
    <w:rPr>
      <w:b/>
      <w:bCs/>
    </w:rPr>
  </w:style>
  <w:style w:type="paragraph" w:styleId="14">
    <w:name w:val="Body Text First Indent 2"/>
    <w:basedOn w:val="7"/>
    <w:link w:val="31"/>
    <w:qFormat/>
    <w:uiPriority w:val="0"/>
    <w:pPr>
      <w:spacing w:line="480" w:lineRule="exact"/>
      <w:ind w:firstLine="420" w:firstLineChars="200"/>
    </w:pPr>
    <w:rPr>
      <w:sz w:val="24"/>
      <w:szCs w:val="20"/>
    </w:rPr>
  </w:style>
  <w:style w:type="character" w:styleId="17">
    <w:name w:val="Strong"/>
    <w:qFormat/>
    <w:uiPriority w:val="22"/>
    <w:rPr>
      <w:b/>
      <w:bCs/>
    </w:rPr>
  </w:style>
  <w:style w:type="character" w:styleId="18">
    <w:name w:val="annotation reference"/>
    <w:basedOn w:val="16"/>
    <w:semiHidden/>
    <w:unhideWhenUsed/>
    <w:qFormat/>
    <w:uiPriority w:val="99"/>
    <w:rPr>
      <w:sz w:val="21"/>
      <w:szCs w:val="21"/>
    </w:rPr>
  </w:style>
  <w:style w:type="character" w:customStyle="1" w:styleId="19">
    <w:name w:val="标题 1 Char"/>
    <w:basedOn w:val="1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0">
    <w:name w:val="标题 2 Char"/>
    <w:basedOn w:val="16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1">
    <w:name w:val="纯文本 Char"/>
    <w:basedOn w:val="16"/>
    <w:link w:val="8"/>
    <w:qFormat/>
    <w:uiPriority w:val="0"/>
    <w:rPr>
      <w:rFonts w:ascii="宋体" w:hAnsi="Courier New"/>
    </w:rPr>
  </w:style>
  <w:style w:type="character" w:customStyle="1" w:styleId="22">
    <w:name w:val="标题 3 Char"/>
    <w:basedOn w:val="16"/>
    <w:link w:val="4"/>
    <w:semiHidden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23">
    <w:name w:val="页眉 Char"/>
    <w:basedOn w:val="16"/>
    <w:link w:val="11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页脚 Char"/>
    <w:basedOn w:val="16"/>
    <w:link w:val="10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5">
    <w:name w:val="批注框文本 Char"/>
    <w:basedOn w:val="16"/>
    <w:link w:val="9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6">
    <w:name w:val="Body text|1"/>
    <w:basedOn w:val="1"/>
    <w:qFormat/>
    <w:uiPriority w:val="0"/>
    <w:pPr>
      <w:ind w:firstLine="280"/>
      <w:jc w:val="left"/>
    </w:pPr>
    <w:rPr>
      <w:rFonts w:ascii="MingLiU" w:hAnsi="MingLiU" w:eastAsia="MingLiU" w:cs="MingLiU"/>
      <w:color w:val="184318"/>
      <w:kern w:val="0"/>
      <w:sz w:val="19"/>
      <w:szCs w:val="19"/>
      <w:lang w:val="zh-TW" w:eastAsia="zh-TW" w:bidi="zh-TW"/>
    </w:rPr>
  </w:style>
  <w:style w:type="paragraph" w:styleId="27">
    <w:name w:val="List Paragraph"/>
    <w:basedOn w:val="1"/>
    <w:link w:val="32"/>
    <w:qFormat/>
    <w:uiPriority w:val="34"/>
    <w:pPr>
      <w:ind w:firstLine="420" w:firstLineChars="200"/>
    </w:pPr>
  </w:style>
  <w:style w:type="character" w:customStyle="1" w:styleId="28">
    <w:name w:val="批注文字 Char"/>
    <w:basedOn w:val="16"/>
    <w:link w:val="6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9">
    <w:name w:val="批注主题 Char"/>
    <w:basedOn w:val="28"/>
    <w:link w:val="13"/>
    <w:semiHidden/>
    <w:qFormat/>
    <w:uiPriority w:val="99"/>
    <w:rPr>
      <w:rFonts w:ascii="Times New Roman" w:hAnsi="Times New Roman" w:eastAsia="宋体" w:cs="Times New Roman"/>
      <w:b/>
      <w:bCs/>
      <w:szCs w:val="21"/>
    </w:rPr>
  </w:style>
  <w:style w:type="character" w:customStyle="1" w:styleId="30">
    <w:name w:val="正文文本缩进 Char"/>
    <w:basedOn w:val="16"/>
    <w:link w:val="7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31">
    <w:name w:val="正文首行缩进 2 Char"/>
    <w:basedOn w:val="30"/>
    <w:link w:val="14"/>
    <w:qFormat/>
    <w:uiPriority w:val="0"/>
    <w:rPr>
      <w:rFonts w:ascii="Times New Roman" w:hAnsi="Times New Roman" w:eastAsia="宋体" w:cs="Times New Roman"/>
      <w:sz w:val="24"/>
      <w:szCs w:val="20"/>
    </w:rPr>
  </w:style>
  <w:style w:type="character" w:customStyle="1" w:styleId="32">
    <w:name w:val="列出段落 Char"/>
    <w:link w:val="27"/>
    <w:qFormat/>
    <w:uiPriority w:val="34"/>
    <w:rPr>
      <w:rFonts w:ascii="Times New Roman" w:hAnsi="Times New Roman" w:eastAsia="宋体" w:cs="Times New Roman"/>
      <w:szCs w:val="21"/>
    </w:rPr>
  </w:style>
  <w:style w:type="paragraph" w:customStyle="1" w:styleId="33">
    <w:name w:val="p0"/>
    <w:basedOn w:val="1"/>
    <w:qFormat/>
    <w:uiPriority w:val="0"/>
    <w:pPr>
      <w:widowControl/>
      <w:suppressAutoHyphens/>
      <w:autoSpaceDN w:val="0"/>
      <w:spacing w:before="100" w:beforeAutospacing="1" w:after="100" w:afterAutospacing="1"/>
      <w:jc w:val="left"/>
      <w:textAlignment w:val="baseline"/>
    </w:pPr>
    <w:rPr>
      <w:rFonts w:ascii="宋体" w:hAnsi="宋体" w:cs="宋体"/>
      <w:kern w:val="0"/>
      <w:sz w:val="24"/>
      <w:szCs w:val="24"/>
    </w:rPr>
  </w:style>
  <w:style w:type="paragraph" w:customStyle="1" w:styleId="34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5">
    <w:name w:val="正文缩进 Char"/>
    <w:link w:val="5"/>
    <w:qFormat/>
    <w:uiPriority w:val="0"/>
    <w:rPr>
      <w:rFonts w:ascii="宋体" w:hAnsi="Times New Roman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Razer</Company>
  <Pages>6</Pages>
  <Words>3051</Words>
  <Characters>3351</Characters>
  <Lines>129</Lines>
  <Paragraphs>87</Paragraphs>
  <TotalTime>5</TotalTime>
  <ScaleCrop>false</ScaleCrop>
  <LinksUpToDate>false</LinksUpToDate>
  <CharactersWithSpaces>3392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2026-10-19T03:29:00Z</dcterms:created>
  <dc:creator>Zhang</dc:creator>
  <cp:lastModifiedBy>Estela</cp:lastModifiedBy>
  <cp:lastPrinted>2025-11-04T03:43:00Z</cp:lastPrinted>
  <dcterms:modified xsi:type="dcterms:W3CDTF">2026-10-19T10:15:58Z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688F0A896E2A409C9E2A44CD5F8CBC0B</vt:lpwstr>
  </property>
  <property fmtid="{D5CDD505-2E9C-101B-9397-08002B2CF9AE}" pid="4" name="KSOTemplateDocerSaveRecord">
    <vt:lpwstr>eyJoZGlkIjoiMzA3ZWQ0OTIxMTlkZDRlNTNlOGQwMWJhMThkMzdiYzEiLCJ1c2VySWQiOiIyNDc5MzkxNzUifQ==</vt:lpwstr>
  </property>
</Properties>
</file>