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8A355"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contextualSpacing/>
        <w:jc w:val="center"/>
        <w:rPr>
          <w:rFonts w:ascii="华文中宋" w:hAnsi="华文中宋" w:eastAsia="华文中宋"/>
        </w:rPr>
      </w:pPr>
      <w:bookmarkStart w:id="0" w:name="_Toc35393813"/>
      <w:bookmarkStart w:id="1" w:name="OLE_LINK358"/>
      <w:bookmarkStart w:id="2" w:name="OLE_LINK359"/>
      <w:r>
        <w:rPr>
          <w:rFonts w:hint="eastAsia" w:ascii="华文中宋" w:hAnsi="华文中宋" w:eastAsia="华文中宋"/>
          <w:lang w:eastAsia="zh-CN"/>
        </w:rPr>
        <w:t>北京市属医院2026年医用设备集中带量采购项目体征监测维持组（</w:t>
      </w:r>
      <w:r>
        <w:rPr>
          <w:rFonts w:hint="eastAsia" w:ascii="华文中宋" w:hAnsi="华文中宋" w:eastAsia="华文中宋"/>
          <w:lang w:val="en-US" w:eastAsia="zh-CN"/>
        </w:rPr>
        <w:t>脑电图仪</w:t>
      </w:r>
      <w:r>
        <w:rPr>
          <w:rFonts w:hint="eastAsia" w:ascii="华文中宋" w:hAnsi="华文中宋" w:eastAsia="华文中宋"/>
          <w:lang w:eastAsia="zh-CN"/>
        </w:rPr>
        <w:t>）</w:t>
      </w:r>
      <w:r>
        <w:rPr>
          <w:rFonts w:hint="eastAsia" w:ascii="华文中宋" w:hAnsi="华文中宋" w:eastAsia="华文中宋"/>
          <w:lang w:val="en-US" w:eastAsia="zh-CN"/>
        </w:rPr>
        <w:t>第8包、第9包</w:t>
      </w:r>
      <w:r>
        <w:rPr>
          <w:rFonts w:hint="eastAsia" w:ascii="华文中宋" w:hAnsi="华文中宋" w:eastAsia="华文中宋"/>
        </w:rPr>
        <w:t>更正公告</w:t>
      </w:r>
      <w:bookmarkEnd w:id="0"/>
    </w:p>
    <w:p w14:paraId="703D8B92">
      <w:pPr>
        <w:pStyle w:val="4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3" w:name="_Toc28359104"/>
      <w:bookmarkStart w:id="4" w:name="_Toc35393814"/>
      <w:bookmarkStart w:id="5" w:name="_Toc35393645"/>
      <w:bookmarkStart w:id="6" w:name="_Toc28359027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 w14:paraId="792CF4CD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</w:t>
      </w:r>
      <w:r>
        <w:rPr>
          <w:rFonts w:hint="eastAsia" w:ascii="仿宋" w:hAnsi="仿宋" w:eastAsia="仿宋" w:cs="Times New Roman"/>
          <w:sz w:val="28"/>
          <w:szCs w:val="28"/>
        </w:rPr>
        <w:t>：</w:t>
      </w:r>
      <w:r>
        <w:rPr>
          <w:rFonts w:hint="eastAsia" w:ascii="仿宋" w:hAnsi="仿宋" w:eastAsia="仿宋" w:cs="Times New Roman"/>
          <w:sz w:val="28"/>
          <w:szCs w:val="28"/>
        </w:rPr>
        <w:fldChar w:fldCharType="begin"/>
      </w:r>
      <w:r>
        <w:rPr>
          <w:rFonts w:hint="eastAsia" w:ascii="仿宋" w:hAnsi="仿宋" w:eastAsia="仿宋" w:cs="Times New Roman"/>
          <w:sz w:val="28"/>
          <w:szCs w:val="28"/>
        </w:rPr>
        <w:instrText xml:space="preserve"> HYPERLINK "http://219.232.204.193:8080/frontend/plan/project_detail.html?projectUuid=de6a92ad-c642-4ed9-84b6-ada7bbdb57d7" </w:instrText>
      </w:r>
      <w:r>
        <w:rPr>
          <w:rFonts w:hint="eastAsia" w:ascii="仿宋" w:hAnsi="仿宋" w:eastAsia="仿宋" w:cs="Times New Roman"/>
          <w:sz w:val="28"/>
          <w:szCs w:val="28"/>
        </w:rPr>
        <w:fldChar w:fldCharType="separate"/>
      </w:r>
      <w:r>
        <w:rPr>
          <w:rFonts w:hint="eastAsia" w:ascii="仿宋" w:hAnsi="仿宋" w:eastAsia="仿宋" w:cs="Times New Roman"/>
          <w:sz w:val="28"/>
          <w:szCs w:val="28"/>
        </w:rPr>
        <w:t>20260624</w:t>
      </w:r>
      <w:r>
        <w:rPr>
          <w:rFonts w:hint="eastAsia" w:ascii="仿宋" w:hAnsi="仿宋" w:eastAsia="仿宋" w:cs="Times New Roman"/>
          <w:sz w:val="28"/>
          <w:szCs w:val="28"/>
        </w:rPr>
        <w:fldChar w:fldCharType="end"/>
      </w:r>
    </w:p>
    <w:p w14:paraId="2EEA1497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hint="eastAsia" w:ascii="仿宋" w:hAnsi="仿宋" w:eastAsia="仿宋"/>
          <w:sz w:val="28"/>
          <w:szCs w:val="28"/>
          <w:lang w:eastAsia="zh-CN"/>
        </w:rPr>
        <w:t>北京市属医院2026年医用设备集中带量采购项目体征监测维持组</w:t>
      </w:r>
    </w:p>
    <w:p w14:paraId="17E5EB06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2026年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/>
          <w:sz w:val="28"/>
          <w:szCs w:val="28"/>
          <w:u w:val="single"/>
        </w:rPr>
        <w:t>月2</w:t>
      </w:r>
      <w:r>
        <w:rPr>
          <w:rFonts w:hint="eastAsia" w:ascii="仿宋" w:hAnsi="仿宋" w:eastAsia="仿宋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/>
          <w:sz w:val="28"/>
          <w:szCs w:val="28"/>
          <w:u w:val="single"/>
        </w:rPr>
        <w:t>日</w:t>
      </w:r>
    </w:p>
    <w:p w14:paraId="1E7B6050">
      <w:pPr>
        <w:pStyle w:val="4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7" w:name="_Toc35393815"/>
      <w:bookmarkStart w:id="8" w:name="_Toc28359105"/>
      <w:bookmarkStart w:id="9" w:name="_Toc35393646"/>
      <w:bookmarkStart w:id="10" w:name="_Toc28359028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7"/>
      <w:bookmarkEnd w:id="8"/>
      <w:bookmarkEnd w:id="9"/>
      <w:bookmarkEnd w:id="10"/>
    </w:p>
    <w:p w14:paraId="52FAB430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kern w:val="0"/>
          <w:sz w:val="28"/>
          <w:szCs w:val="28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kern w:val="0"/>
          <w:sz w:val="28"/>
          <w:szCs w:val="28"/>
        </w:rPr>
        <w:t>√</w:t>
      </w:r>
      <w:r>
        <w:rPr>
          <w:rFonts w:hint="eastAsia" w:ascii="仿宋" w:hAnsi="仿宋" w:eastAsia="仿宋"/>
          <w:sz w:val="28"/>
          <w:szCs w:val="28"/>
        </w:rPr>
        <w:t xml:space="preserve">采购文件 </w:t>
      </w:r>
      <w:r>
        <w:rPr>
          <w:rFonts w:hint="eastAsia" w:ascii="仿宋" w:hAnsi="仿宋" w:eastAsia="仿宋"/>
          <w:sz w:val="28"/>
          <w:szCs w:val="28"/>
          <w:lang w:eastAsia="zh-CN"/>
        </w:rPr>
        <w:t>□</w:t>
      </w:r>
      <w:r>
        <w:rPr>
          <w:rFonts w:hint="eastAsia" w:ascii="仿宋" w:hAnsi="仿宋" w:eastAsia="仿宋"/>
          <w:sz w:val="28"/>
          <w:szCs w:val="28"/>
        </w:rPr>
        <w:t xml:space="preserve">采购结果     </w:t>
      </w:r>
    </w:p>
    <w:p w14:paraId="52B939E7">
      <w:pPr>
        <w:spacing w:line="360" w:lineRule="auto"/>
        <w:ind w:firstLine="560" w:firstLineChars="200"/>
        <w:contextualSpacing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7EF9131B">
      <w:pPr>
        <w:spacing w:line="360" w:lineRule="auto"/>
        <w:contextualSpacing/>
        <w:rPr>
          <w:rFonts w:hint="eastAsia" w:ascii="仿宋" w:hAnsi="仿宋" w:eastAsia="仿宋"/>
          <w:b/>
          <w:kern w:val="0"/>
          <w:sz w:val="28"/>
          <w:szCs w:val="28"/>
          <w:u w:val="none"/>
        </w:rPr>
      </w:pPr>
      <w:bookmarkStart w:id="11" w:name="OLE_LINK19"/>
      <w:bookmarkStart w:id="12" w:name="OLE_LINK155"/>
      <w:bookmarkStart w:id="13" w:name="OLE_LINK357"/>
      <w:bookmarkStart w:id="14" w:name="OLE_LINK156"/>
      <w:bookmarkStart w:id="15" w:name="OLE_LINK5"/>
      <w:bookmarkStart w:id="16" w:name="OLE_LINK65"/>
      <w:bookmarkStart w:id="17" w:name="OLE_LINK64"/>
      <w:bookmarkStart w:id="18" w:name="OLE_LINK153"/>
      <w:bookmarkStart w:id="19" w:name="OLE_LINK154"/>
      <w:bookmarkStart w:id="20" w:name="OLE_LINK356"/>
      <w:bookmarkStart w:id="21" w:name="OLE_LINK6"/>
      <w:bookmarkStart w:id="22" w:name="OLE_LINK63"/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第8包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第8包品目8-1一、技术参数“▲1.6、输入阻抗：≥1000MΩ。”更正为</w:t>
      </w:r>
      <w:r>
        <w:rPr>
          <w:rFonts w:hint="eastAsia" w:ascii="仿宋" w:hAnsi="仿宋" w:eastAsia="仿宋"/>
          <w:kern w:val="0"/>
          <w:sz w:val="28"/>
          <w:szCs w:val="28"/>
        </w:rPr>
        <w:t>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▲1.6、输入阻抗：≥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00MΩ。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35954167">
      <w:pPr>
        <w:spacing w:line="360" w:lineRule="auto"/>
        <w:contextualSpacing/>
        <w:rPr>
          <w:rFonts w:hint="eastAsia" w:ascii="仿宋" w:hAnsi="仿宋" w:eastAsia="仿宋"/>
          <w:b/>
          <w:kern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第9包品目9-2一、技术参数“▲1.4、输入阻抗：≥1000MΩ。”更正为</w:t>
      </w:r>
      <w:r>
        <w:rPr>
          <w:rFonts w:hint="eastAsia" w:ascii="仿宋" w:hAnsi="仿宋" w:eastAsia="仿宋"/>
          <w:kern w:val="0"/>
          <w:sz w:val="28"/>
          <w:szCs w:val="28"/>
        </w:rPr>
        <w:t>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▲1.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4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、输入阻抗：≥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3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00MΩ。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43E256E6">
      <w:pPr>
        <w:spacing w:line="360" w:lineRule="auto"/>
        <w:contextualSpacing/>
        <w:rPr>
          <w:rFonts w:hint="eastAsia" w:ascii="仿宋" w:hAnsi="仿宋" w:eastAsia="仿宋"/>
          <w:b/>
          <w:kern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第9包品目9-2一、技术参数“1.5、峰峰值噪声：≤0.5μVp-p。”更正为</w:t>
      </w:r>
      <w:r>
        <w:rPr>
          <w:rFonts w:hint="eastAsia" w:ascii="仿宋" w:hAnsi="仿宋" w:eastAsia="仿宋"/>
          <w:kern w:val="0"/>
          <w:sz w:val="28"/>
          <w:szCs w:val="28"/>
        </w:rPr>
        <w:t>“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1.5、峰峰值噪声：≤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  <w:lang w:val="en-US" w:eastAsia="zh-CN"/>
        </w:rPr>
        <w:t>1</w:t>
      </w:r>
      <w:r>
        <w:rPr>
          <w:rFonts w:hint="eastAsia" w:ascii="仿宋" w:hAnsi="仿宋" w:eastAsia="仿宋"/>
          <w:b/>
          <w:bCs/>
          <w:kern w:val="0"/>
          <w:sz w:val="28"/>
          <w:szCs w:val="28"/>
          <w:u w:val="single"/>
        </w:rPr>
        <w:t>.5μVp-p。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0C7219E9">
      <w:pPr>
        <w:spacing w:line="360" w:lineRule="auto"/>
        <w:contextualSpacing/>
        <w:rPr>
          <w:rFonts w:hint="eastAsia" w:ascii="仿宋" w:hAnsi="仿宋" w:eastAsia="仿宋"/>
          <w:b/>
          <w:kern w:val="0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第9包品目9-2一、技术参数“4.11.3、告采取网页式设计，可实现全部设备联网使用。”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删除本条参数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  <w:lang w:eastAsia="zh-CN"/>
        </w:rPr>
        <w:t>。</w:t>
      </w:r>
    </w:p>
    <w:p w14:paraId="3A64B16E"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第9包品目9-3一、技术参数“▲1.1、通道数≥41通道，其中EEG≥32通道，SPO</w:t>
      </w:r>
      <w:r>
        <w:rPr>
          <w:rFonts w:hint="eastAsia" w:ascii="仿宋" w:hAnsi="仿宋" w:eastAsia="仿宋"/>
          <w:kern w:val="0"/>
          <w:sz w:val="28"/>
          <w:szCs w:val="28"/>
          <w:vertAlign w:val="subscript"/>
          <w:lang w:val="en-US" w:eastAsia="zh-CN"/>
        </w:rPr>
        <w:t>2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：≥1通道，DC：≥4通道，打标：≥1通道。”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▲1.1、通道数≥41通道，其中EEG≥32通道，SPO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vertAlign w:val="subscript"/>
          <w:lang w:val="en-US" w:eastAsia="zh-CN"/>
        </w:rPr>
        <w:t>2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：≥1通道，DC：≥4通道。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0AA8C4AC">
      <w:pPr>
        <w:pStyle w:val="2"/>
        <w:ind w:left="0" w:leftChars="0" w:firstLine="0" w:firstLineChars="0"/>
        <w:rPr>
          <w:rFonts w:hint="eastAsia" w:ascii="仿宋" w:hAnsi="仿宋" w:eastAsia="仿宋"/>
          <w:b/>
          <w:kern w:val="0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第9包品目9-3一、技术参数“4.15.3、报告采取网页式。”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删除本条参数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  <w:lang w:eastAsia="zh-CN"/>
        </w:rPr>
        <w:t>。</w:t>
      </w:r>
    </w:p>
    <w:p w14:paraId="7900AD4A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第9包品目9-4一、技术参数“▲1.4、输入阻抗：≥1000MΩ。”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▲1.4、输入阻抗：≥300MΩ。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1232BE4F">
      <w:pPr>
        <w:pStyle w:val="2"/>
        <w:ind w:left="0" w:leftChars="0" w:firstLine="0" w:firstLineChars="0"/>
        <w:rPr>
          <w:rFonts w:hint="eastAsia" w:ascii="仿宋" w:hAnsi="仿宋" w:eastAsia="仿宋"/>
          <w:b/>
          <w:kern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第9包品目9-4一、技术参数“1.5、峰峰值噪声：≤0.5μVp-p。”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1.5、峰峰值噪声：≤1.5μVp-p。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35B35BA9">
      <w:pPr>
        <w:pStyle w:val="2"/>
        <w:ind w:left="0" w:leftChars="0" w:firstLine="0" w:firstLineChars="0"/>
        <w:rPr>
          <w:rFonts w:hint="eastAsia" w:ascii="仿宋" w:hAnsi="仿宋" w:eastAsia="仿宋"/>
          <w:b/>
          <w:kern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8、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 “第五章 采购需求 三、技术要求（二）服务内容及要求/货物技术要求1、采购标的需满足的性能、材料、结构、外观、质量、安全、技术规格、物理特性等要求：”中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第9包品目9-4一、技术参数“▲3.16.2、具备叠加分析功能，可将外部触发的事件诱发脑电波形进行叠加处理，得出事件相关电位，含P300、N400、AEP、VEP、CNV、MMN等。”</w:t>
      </w:r>
      <w:r>
        <w:rPr>
          <w:rFonts w:hint="eastAsia" w:ascii="仿宋" w:hAnsi="仿宋" w:eastAsia="仿宋" w:cs="Times New Roman"/>
          <w:kern w:val="0"/>
          <w:sz w:val="28"/>
          <w:szCs w:val="28"/>
          <w:lang w:val="en-US" w:eastAsia="zh-CN"/>
        </w:rPr>
        <w:t>更正为“</w:t>
      </w:r>
      <w:r>
        <w:rPr>
          <w:rFonts w:hint="eastAsia" w:ascii="仿宋" w:hAnsi="仿宋" w:eastAsia="仿宋" w:cs="Times New Roman"/>
          <w:b/>
          <w:bCs/>
          <w:kern w:val="0"/>
          <w:sz w:val="28"/>
          <w:szCs w:val="28"/>
          <w:u w:val="single"/>
          <w:lang w:val="en-US" w:eastAsia="zh-CN"/>
        </w:rPr>
        <w:t>3.16.2、具备叠加分析功能，可将外部触发的事件诱发脑电波形进行叠加处理，得出事件相关电位，含P300、N400、AEP、VEP、CNV、MMN等。</w:t>
      </w:r>
      <w:r>
        <w:rPr>
          <w:rFonts w:hint="eastAsia" w:ascii="仿宋" w:hAnsi="仿宋" w:eastAsia="仿宋"/>
          <w:b/>
          <w:kern w:val="0"/>
          <w:sz w:val="28"/>
          <w:szCs w:val="28"/>
          <w:u w:val="none"/>
        </w:rPr>
        <w:t>”</w:t>
      </w:r>
    </w:p>
    <w:p w14:paraId="74C41936">
      <w:pPr>
        <w:numPr>
          <w:ilvl w:val="0"/>
          <w:numId w:val="0"/>
        </w:numPr>
        <w:spacing w:line="360" w:lineRule="auto"/>
        <w:contextualSpacing/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9、</w:t>
      </w:r>
      <w:r>
        <w:rPr>
          <w:rFonts w:hint="eastAsia" w:ascii="仿宋" w:hAnsi="仿宋" w:eastAsia="仿宋"/>
          <w:kern w:val="0"/>
          <w:sz w:val="28"/>
          <w:szCs w:val="28"/>
        </w:rPr>
        <w:t>经采购人确认，针对本项目</w:t>
      </w:r>
      <w:r>
        <w:rPr>
          <w:rFonts w:hint="eastAsia" w:ascii="仿宋" w:hAnsi="仿宋" w:eastAsia="仿宋"/>
          <w:color w:val="auto"/>
          <w:kern w:val="0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kern w:val="0"/>
          <w:sz w:val="28"/>
          <w:szCs w:val="28"/>
        </w:rPr>
        <w:t>招标文件“第四章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kern w:val="0"/>
          <w:sz w:val="28"/>
          <w:szCs w:val="28"/>
        </w:rPr>
        <w:t>评标程序、评标方法和评标标准二、评标标准</w:t>
      </w:r>
      <w:r>
        <w:rPr>
          <w:rFonts w:hint="eastAsia" w:ascii="仿宋" w:hAnsi="仿宋" w:eastAsia="仿宋"/>
          <w:kern w:val="0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的以下内容进行更正：</w:t>
      </w:r>
    </w:p>
    <w:tbl>
      <w:tblPr>
        <w:tblStyle w:val="15"/>
        <w:tblW w:w="9087" w:type="dxa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4536"/>
      </w:tblGrid>
      <w:tr w14:paraId="2E832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4551" w:type="dxa"/>
            <w:shd w:val="clear" w:color="auto" w:fill="FFFFFF" w:themeFill="background1"/>
            <w:vAlign w:val="center"/>
          </w:tcPr>
          <w:p w14:paraId="504D4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cs="宋体" w:asciiTheme="minorEastAsia" w:hAnsiTheme="minorEastAsia" w:eastAsiaTheme="minorEastAsia"/>
                <w:b/>
                <w:bCs/>
                <w:kern w:val="0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</w:rPr>
              <w:t>招标文件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lang w:val="en-US" w:eastAsia="zh-CN"/>
              </w:rPr>
              <w:t>内容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1D262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cs="宋体" w:asciiTheme="minorEastAsia" w:hAnsiTheme="minorEastAsia" w:eastAsiaTheme="minorEastAsia"/>
                <w:b/>
                <w:bCs/>
                <w:kern w:val="0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</w:rPr>
              <w:t>更正后</w:t>
            </w:r>
            <w:r>
              <w:rPr>
                <w:rFonts w:hint="eastAsia" w:cs="宋体" w:asciiTheme="minorEastAsia" w:hAnsiTheme="minorEastAsia" w:eastAsiaTheme="minorEastAsia"/>
                <w:b/>
                <w:bCs/>
                <w:kern w:val="0"/>
                <w:lang w:val="en-US" w:eastAsia="zh-CN"/>
              </w:rPr>
              <w:t>内容</w:t>
            </w:r>
          </w:p>
        </w:tc>
      </w:tr>
      <w:tr w14:paraId="697DF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51" w:type="dxa"/>
            <w:shd w:val="clear" w:color="auto" w:fill="FFFFFF" w:themeFill="background1"/>
            <w:noWrap/>
            <w:vAlign w:val="center"/>
          </w:tcPr>
          <w:p w14:paraId="1F7FB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根据投标文件针对“招标文件第五章三、技术要求（二）服务内容及要求/货物技术要求中1、采购标的需满足的性能、材料、结构、外观、质量、安全、技术规格、物理特性等要求”中技术条款的响应程度进行评价，技术指标全部满足招标文件的要求得50.5分：</w:t>
            </w:r>
          </w:p>
          <w:p w14:paraId="12C73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（1）共36项“▲”号条款，每有一项“▲”号条款不满足招标文件扣1分；</w:t>
            </w:r>
          </w:p>
          <w:p w14:paraId="7A98C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（2）共145项普通条款，每有一项普通条款不满足招标文件扣0.1分；</w:t>
            </w:r>
          </w:p>
          <w:p w14:paraId="59695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注:1、投标人须针对“第五章采购需求中“采购标的需满足的质量、安全、技术规格、物理特性等”中的技术参数条款在采购需求偏离表中按要求逐条响应，并按“采购标的的其他技术、服务等要求”的相关要求提供证明材料。</w:t>
            </w:r>
          </w:p>
          <w:p w14:paraId="4DCDD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2、以标注序号“1”“2”……为一条，如有多级序号，以最小级别序号为一条。</w:t>
            </w:r>
          </w:p>
          <w:p w14:paraId="75B629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3、得分四舍五入后保留小数点后两位小数。</w:t>
            </w:r>
          </w:p>
          <w:p w14:paraId="41108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4、“★”条款作为实质性要求，不纳入评分。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3ABEE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根据投标文件针对“招标文件第五章三、技术要求（二）服务内容及要求/货物技术要求中1、采购标的需满足的性能、材料、结构、外观、质量、安全、技术规格、物理特性等要求”中技术条款的响应程度进行评价，技术指标全部满足招标文件的要求得50.45分：</w:t>
            </w:r>
          </w:p>
          <w:p w14:paraId="532ED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（1）共35项“▲”号条款，每有一项“▲”号条款不满足招标文件扣1.03分；</w:t>
            </w:r>
          </w:p>
          <w:p w14:paraId="25E54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（2）共144项普通条款，每有一项普通条款不满足招标文件扣0.1分；</w:t>
            </w:r>
          </w:p>
          <w:p w14:paraId="20F0BE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注:1、投标人须针对“第五章采购需求中“采购标的需满足的质量、安全、技术规格、物理特性等”中的技术参数条款在采购需求偏离表中按要求逐条响应，并按“采购标的的其他技术、服务等要求”的相关要求提供证明材料。</w:t>
            </w:r>
          </w:p>
          <w:p w14:paraId="2EB7D3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2、以标注序号“1”“2”……为一条，如有多级序号，以最小级别序号为一条。</w:t>
            </w:r>
          </w:p>
          <w:p w14:paraId="04CEAB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3、得分四舍五入后保留小数点后两位小数。</w:t>
            </w:r>
          </w:p>
          <w:p w14:paraId="29718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</w:rPr>
              <w:t>4、“★”条款作为实质性要求，不纳入评分。</w:t>
            </w:r>
          </w:p>
        </w:tc>
      </w:tr>
      <w:tr w14:paraId="0C06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551" w:type="dxa"/>
            <w:shd w:val="clear" w:color="auto" w:fill="FFFFFF" w:themeFill="background1"/>
            <w:noWrap/>
            <w:vAlign w:val="center"/>
          </w:tcPr>
          <w:p w14:paraId="3C45F1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投标人需按照招标文件第五章采购需求中“三、技术要求 （二）服务内容及要求/货物技术要求4.3供货及安装要求”共4项服务要求提供供货方案及安装方案，针对上述服务要求内容的完整性、可行性、合理性进行评价:</w:t>
            </w:r>
          </w:p>
          <w:p w14:paraId="11B45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1）提供相关方案均进行详细阐述且满足采购需求，得5分；</w:t>
            </w:r>
          </w:p>
          <w:p w14:paraId="2F673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2）提供相关方案但未贴合项目实际情况进行论述，或相关方案中未包括具体实施细节及措施，得3分；</w:t>
            </w:r>
          </w:p>
          <w:p w14:paraId="470130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3）相关方案不符合项目实际情况且未提供具体实施细节及措施，得1分；</w:t>
            </w:r>
          </w:p>
          <w:p w14:paraId="25557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4）未提供相关方案不得分。</w:t>
            </w:r>
          </w:p>
        </w:tc>
        <w:tc>
          <w:tcPr>
            <w:tcW w:w="4536" w:type="dxa"/>
            <w:shd w:val="clear" w:color="auto" w:fill="FFFFFF" w:themeFill="background1"/>
            <w:vAlign w:val="center"/>
          </w:tcPr>
          <w:p w14:paraId="4E0BE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投标人需按照招标文件第五章采购需求中“三、技术要求 （二）服务内容及要求/货物技术要求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eastAsia="zh-CN"/>
              </w:rPr>
              <w:t>4.3供货及安装要求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”共4项服务要求提供供货方案及安装方案，针对上述服务要求内容的完整性、可行性、合理性进行评价:</w:t>
            </w:r>
          </w:p>
          <w:p w14:paraId="3823E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1）提供相关方案均进行详细阐述且满足采购需求，得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5.05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分；</w:t>
            </w:r>
          </w:p>
          <w:p w14:paraId="28CC9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2）提供相关方案但未贴合项目实际情况进行论述，或相关方案中未包括具体实施细节及措施，得3分；</w:t>
            </w:r>
          </w:p>
          <w:p w14:paraId="05BFE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3）相关方案不符合项目实际情况且未提供具体实施细节及措施，得1分；</w:t>
            </w:r>
          </w:p>
          <w:p w14:paraId="247CB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auto"/>
                <w:kern w:val="0"/>
                <w:sz w:val="24"/>
                <w:szCs w:val="24"/>
                <w:highlight w:val="none"/>
                <w:u w:val="none"/>
              </w:rPr>
              <w:t>4）未提供相关方案不得分。</w:t>
            </w:r>
          </w:p>
        </w:tc>
      </w:tr>
    </w:tbl>
    <w:p w14:paraId="25D6AC1E">
      <w:pPr>
        <w:spacing w:line="360" w:lineRule="auto"/>
        <w:contextualSpacing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/>
          <w:sz w:val="28"/>
          <w:szCs w:val="28"/>
        </w:rPr>
        <w:t>本项目第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包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sz w:val="28"/>
          <w:szCs w:val="28"/>
        </w:rPr>
        <w:t>投标截止时间、开标时间由“2026年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日0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点00分（北京时间）”更正为：“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2026年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29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08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点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0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0分（北京时间）。</w:t>
      </w:r>
      <w:bookmarkStart w:id="23" w:name="OLE_LINK150"/>
      <w:r>
        <w:rPr>
          <w:rFonts w:hint="eastAsia" w:ascii="仿宋" w:hAnsi="仿宋" w:eastAsia="仿宋"/>
          <w:sz w:val="28"/>
          <w:szCs w:val="28"/>
        </w:rPr>
        <w:t>”</w:t>
      </w:r>
      <w:bookmarkEnd w:id="23"/>
    </w:p>
    <w:p w14:paraId="3A97BFDB">
      <w:pPr>
        <w:spacing w:line="360" w:lineRule="auto"/>
        <w:contextualSpacing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/>
          <w:sz w:val="28"/>
          <w:szCs w:val="28"/>
        </w:rPr>
        <w:t>本项目第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包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第9包招标文件</w:t>
      </w:r>
      <w:r>
        <w:rPr>
          <w:rFonts w:hint="eastAsia" w:ascii="仿宋" w:hAnsi="仿宋" w:eastAsia="仿宋"/>
          <w:sz w:val="28"/>
          <w:szCs w:val="28"/>
        </w:rPr>
        <w:t>第二章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投标人须知投标人须知资料表12.1投标保证金</w:t>
      </w:r>
      <w:r>
        <w:rPr>
          <w:rFonts w:hint="eastAsia" w:ascii="仿宋" w:hAnsi="仿宋" w:eastAsia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sz w:val="28"/>
          <w:szCs w:val="28"/>
        </w:rPr>
        <w:t>2.如投标保证金形式为纸质保函的，投标人须在2026年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14</w:t>
      </w:r>
      <w:r>
        <w:rPr>
          <w:rFonts w:hint="eastAsia" w:ascii="仿宋" w:hAnsi="仿宋" w:eastAsia="仿宋"/>
          <w:sz w:val="28"/>
          <w:szCs w:val="28"/>
        </w:rPr>
        <w:t>日0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点00分前（投标截止时间当天）将纸质保函密封递交至北京市丰台区西三环南路14号院首科大厦A座4层405号中技国际招标有限公司会议中心。</w:t>
      </w:r>
      <w:r>
        <w:rPr>
          <w:rFonts w:hint="eastAsia" w:ascii="仿宋" w:hAnsi="仿宋" w:eastAsia="仿宋"/>
          <w:sz w:val="28"/>
          <w:szCs w:val="28"/>
          <w:lang w:eastAsia="zh-CN"/>
        </w:rPr>
        <w:t>”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更正为</w:t>
      </w:r>
      <w:r>
        <w:rPr>
          <w:rFonts w:hint="eastAsia" w:ascii="仿宋" w:hAnsi="仿宋" w:eastAsia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2.如投标保证金形式为纸质保函的，投标人须在2026年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29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日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08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点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0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0分前（投标截止时间当天）将纸质保函密封递交至北京市丰台区西三环南路14号院首科大厦A座4层405号中技国际招标有限公司会议中心。</w:t>
      </w:r>
      <w:r>
        <w:rPr>
          <w:rFonts w:hint="eastAsia" w:ascii="仿宋" w:hAnsi="仿宋" w:eastAsia="仿宋"/>
          <w:sz w:val="28"/>
          <w:szCs w:val="28"/>
          <w:lang w:eastAsia="zh-CN"/>
        </w:rPr>
        <w:t>”</w:t>
      </w:r>
    </w:p>
    <w:p w14:paraId="74F7EE1B">
      <w:pPr>
        <w:spacing w:line="360" w:lineRule="auto"/>
        <w:contextualSpacing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、本项目第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/>
          <w:sz w:val="28"/>
          <w:szCs w:val="28"/>
        </w:rPr>
        <w:t>包</w:t>
      </w:r>
      <w:r>
        <w:rPr>
          <w:rFonts w:hint="eastAsia" w:ascii="仿宋" w:hAnsi="仿宋" w:eastAsia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第9包</w:t>
      </w:r>
      <w:r>
        <w:rPr>
          <w:rFonts w:hint="eastAsia" w:ascii="仿宋" w:hAnsi="仿宋" w:eastAsia="仿宋"/>
          <w:sz w:val="28"/>
          <w:szCs w:val="28"/>
        </w:rPr>
        <w:t>招标文件其他内容不变。</w:t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p w14:paraId="2B72876D">
      <w:pPr>
        <w:pStyle w:val="4"/>
        <w:spacing w:before="0" w:after="0" w:line="360" w:lineRule="auto"/>
        <w:contextualSpacing/>
        <w:rPr>
          <w:rFonts w:ascii="仿宋" w:hAnsi="仿宋" w:eastAsia="仿宋"/>
          <w:sz w:val="24"/>
          <w:szCs w:val="21"/>
        </w:rPr>
      </w:pPr>
      <w:r>
        <w:rPr>
          <w:rFonts w:hint="eastAsia" w:ascii="黑体" w:hAnsi="黑体" w:cs="宋体"/>
          <w:b w:val="0"/>
          <w:sz w:val="28"/>
          <w:szCs w:val="28"/>
        </w:rPr>
        <w:t>三、更正日期：</w:t>
      </w:r>
      <w:r>
        <w:rPr>
          <w:rFonts w:hint="eastAsia" w:ascii="仿宋" w:hAnsi="仿宋" w:eastAsia="仿宋" w:cs="宋体"/>
          <w:b w:val="0"/>
          <w:sz w:val="28"/>
          <w:szCs w:val="28"/>
        </w:rPr>
        <w:t>2026年</w:t>
      </w: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宋体"/>
          <w:b w:val="0"/>
          <w:sz w:val="28"/>
          <w:szCs w:val="28"/>
        </w:rPr>
        <w:t>月</w:t>
      </w:r>
      <w:r>
        <w:rPr>
          <w:rFonts w:hint="eastAsia" w:ascii="仿宋" w:hAnsi="仿宋" w:eastAsia="仿宋" w:cs="宋体"/>
          <w:b w:val="0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宋体"/>
          <w:b w:val="0"/>
          <w:sz w:val="28"/>
          <w:szCs w:val="28"/>
        </w:rPr>
        <w:t>日</w:t>
      </w:r>
    </w:p>
    <w:p w14:paraId="0BAC3A35">
      <w:pPr>
        <w:pStyle w:val="4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bookmarkStart w:id="24" w:name="_Toc35393647"/>
      <w:bookmarkStart w:id="25" w:name="_Toc35393816"/>
      <w:r>
        <w:rPr>
          <w:rFonts w:hint="eastAsia" w:ascii="黑体" w:hAnsi="黑体" w:cs="宋体"/>
          <w:b w:val="0"/>
          <w:sz w:val="28"/>
          <w:szCs w:val="28"/>
        </w:rPr>
        <w:t>四、其他补充事宜</w:t>
      </w:r>
      <w:bookmarkEnd w:id="24"/>
      <w:bookmarkEnd w:id="25"/>
    </w:p>
    <w:p w14:paraId="17B0A5BC">
      <w:pPr>
        <w:pStyle w:val="4"/>
        <w:spacing w:before="0" w:after="0" w:line="360" w:lineRule="auto"/>
        <w:contextualSpacing/>
        <w:rPr>
          <w:rFonts w:hint="eastAsia" w:ascii="黑体" w:hAnsi="黑体" w:eastAsia="黑体" w:cs="宋体"/>
          <w:b w:val="0"/>
          <w:sz w:val="28"/>
          <w:szCs w:val="28"/>
          <w:lang w:val="en-US" w:eastAsia="zh-CN"/>
        </w:rPr>
      </w:pPr>
      <w:bookmarkStart w:id="26" w:name="_Toc35393648"/>
      <w:bookmarkStart w:id="27" w:name="_Toc28359106"/>
      <w:bookmarkStart w:id="28" w:name="_Toc35393817"/>
      <w:bookmarkStart w:id="29" w:name="_Toc28359029"/>
      <w:r>
        <w:rPr>
          <w:rFonts w:hint="eastAsia" w:ascii="黑体" w:hAnsi="黑体" w:cs="宋体"/>
          <w:b w:val="0"/>
          <w:sz w:val="28"/>
          <w:szCs w:val="28"/>
          <w:lang w:val="en-US" w:eastAsia="zh-CN"/>
        </w:rPr>
        <w:t>无。</w:t>
      </w:r>
      <w:bookmarkStart w:id="38" w:name="_GoBack"/>
      <w:bookmarkEnd w:id="38"/>
    </w:p>
    <w:p w14:paraId="0092CD02">
      <w:pPr>
        <w:pStyle w:val="4"/>
        <w:spacing w:before="0" w:after="0" w:line="360" w:lineRule="auto"/>
        <w:contextualSpacing/>
        <w:rPr>
          <w:rFonts w:ascii="黑体" w:hAnsi="黑体" w:cs="宋体"/>
          <w:b w:val="0"/>
          <w:sz w:val="28"/>
          <w:szCs w:val="28"/>
        </w:rPr>
      </w:pPr>
      <w:r>
        <w:rPr>
          <w:rFonts w:hint="eastAsia" w:ascii="黑体" w:hAnsi="黑体" w:cs="宋体"/>
          <w:b w:val="0"/>
          <w:sz w:val="28"/>
          <w:szCs w:val="28"/>
        </w:rPr>
        <w:t>五、凡对本次公告内容提出询问，请按以下方式联系。</w:t>
      </w:r>
      <w:bookmarkEnd w:id="26"/>
      <w:bookmarkEnd w:id="27"/>
      <w:bookmarkEnd w:id="28"/>
      <w:bookmarkEnd w:id="29"/>
    </w:p>
    <w:p w14:paraId="7402A0DF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1.</w:t>
      </w:r>
      <w:r>
        <w:rPr>
          <w:rFonts w:hint="eastAsia" w:ascii="仿宋" w:hAnsi="仿宋" w:eastAsia="仿宋" w:cs="宋体"/>
          <w:sz w:val="28"/>
          <w:szCs w:val="28"/>
        </w:rPr>
        <w:t>采购人信息</w:t>
      </w:r>
    </w:p>
    <w:p w14:paraId="1BBB0FF2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bookmarkStart w:id="30" w:name="_Toc28359086"/>
      <w:bookmarkStart w:id="31" w:name="_Toc28359009"/>
      <w:r>
        <w:rPr>
          <w:rFonts w:ascii="仿宋" w:hAnsi="仿宋" w:eastAsia="仿宋" w:cs="宋体"/>
          <w:sz w:val="28"/>
          <w:szCs w:val="28"/>
        </w:rPr>
        <w:t>名    称：</w:t>
      </w:r>
      <w:r>
        <w:rPr>
          <w:rFonts w:hint="eastAsia" w:ascii="仿宋" w:hAnsi="仿宋" w:eastAsia="仿宋" w:cs="宋体"/>
          <w:sz w:val="28"/>
          <w:szCs w:val="28"/>
        </w:rPr>
        <w:t>首都医科大学附属首都儿童医学中心</w:t>
      </w:r>
    </w:p>
    <w:p w14:paraId="61E4F74A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地    址：</w:t>
      </w:r>
      <w:r>
        <w:rPr>
          <w:rFonts w:hint="eastAsia" w:ascii="仿宋" w:hAnsi="仿宋" w:eastAsia="仿宋" w:cs="宋体"/>
          <w:sz w:val="28"/>
          <w:szCs w:val="28"/>
        </w:rPr>
        <w:t>北京市朝阳区雅宝路2号</w:t>
      </w:r>
    </w:p>
    <w:p w14:paraId="3468C67F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联系方式：</w:t>
      </w:r>
      <w:bookmarkStart w:id="32" w:name="OLE_LINK217"/>
      <w:r>
        <w:rPr>
          <w:rFonts w:ascii="仿宋" w:hAnsi="仿宋" w:eastAsia="仿宋" w:cs="宋体"/>
          <w:sz w:val="28"/>
          <w:szCs w:val="28"/>
        </w:rPr>
        <w:t>010-85695224</w:t>
      </w:r>
    </w:p>
    <w:bookmarkEnd w:id="32"/>
    <w:p w14:paraId="225DC4BD">
      <w:pPr>
        <w:spacing w:line="360" w:lineRule="auto"/>
        <w:ind w:left="1130" w:leftChars="1" w:hanging="1128" w:hangingChars="403"/>
        <w:contextualSpacing/>
        <w:jc w:val="left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2.</w:t>
      </w:r>
      <w:r>
        <w:rPr>
          <w:rFonts w:hint="eastAsia" w:ascii="仿宋" w:hAnsi="仿宋" w:eastAsia="仿宋" w:cs="宋体"/>
          <w:sz w:val="28"/>
          <w:szCs w:val="28"/>
        </w:rPr>
        <w:t>采购代理机构信息</w:t>
      </w:r>
      <w:bookmarkEnd w:id="30"/>
      <w:bookmarkEnd w:id="31"/>
    </w:p>
    <w:p w14:paraId="1ACC7A75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bookmarkStart w:id="33" w:name="_Toc28359087"/>
      <w:bookmarkStart w:id="34" w:name="_Toc28359010"/>
      <w:r>
        <w:rPr>
          <w:rFonts w:hint="eastAsia" w:ascii="仿宋" w:hAnsi="仿宋" w:eastAsia="仿宋" w:cs="宋体"/>
          <w:sz w:val="28"/>
          <w:szCs w:val="28"/>
        </w:rPr>
        <w:t>名    称：中技国际招标有限公司</w:t>
      </w:r>
    </w:p>
    <w:p w14:paraId="70B3C9D3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地    址：北京市丰台区西营街1号院通用时代中心C座9层</w:t>
      </w:r>
    </w:p>
    <w:p w14:paraId="4671BABC">
      <w:pPr>
        <w:spacing w:line="360" w:lineRule="auto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联系方式：</w:t>
      </w:r>
      <w:bookmarkStart w:id="35" w:name="OLE_LINK16"/>
      <w:r>
        <w:rPr>
          <w:rFonts w:hint="eastAsia" w:ascii="仿宋" w:hAnsi="仿宋" w:eastAsia="仿宋" w:cs="宋体"/>
          <w:sz w:val="28"/>
          <w:szCs w:val="28"/>
        </w:rPr>
        <w:t>010-81168541</w:t>
      </w:r>
      <w:bookmarkEnd w:id="35"/>
      <w:r>
        <w:rPr>
          <w:rFonts w:hint="eastAsia" w:ascii="仿宋" w:hAnsi="仿宋" w:eastAsia="仿宋" w:cs="宋体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010-81169492</w:t>
      </w:r>
    </w:p>
    <w:p w14:paraId="2F34D630">
      <w:pPr>
        <w:spacing w:line="360" w:lineRule="auto"/>
        <w:ind w:left="1130" w:leftChars="1" w:hanging="1128" w:hangingChars="403"/>
        <w:contextualSpacing/>
        <w:rPr>
          <w:rFonts w:ascii="仿宋" w:hAnsi="仿宋" w:eastAsia="仿宋" w:cs="宋体"/>
          <w:sz w:val="28"/>
          <w:szCs w:val="28"/>
        </w:rPr>
      </w:pPr>
      <w:r>
        <w:rPr>
          <w:rFonts w:ascii="仿宋" w:hAnsi="仿宋" w:eastAsia="仿宋" w:cs="宋体"/>
          <w:sz w:val="28"/>
          <w:szCs w:val="28"/>
        </w:rPr>
        <w:t>3.</w:t>
      </w:r>
      <w:r>
        <w:rPr>
          <w:rFonts w:hint="eastAsia" w:ascii="仿宋" w:hAnsi="仿宋" w:eastAsia="仿宋" w:cs="宋体"/>
          <w:sz w:val="28"/>
          <w:szCs w:val="28"/>
        </w:rPr>
        <w:t>项目联系方式</w:t>
      </w:r>
      <w:bookmarkEnd w:id="33"/>
      <w:bookmarkEnd w:id="34"/>
    </w:p>
    <w:p w14:paraId="22886DF9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采购人项目联系人：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宁</w:t>
      </w:r>
      <w:r>
        <w:rPr>
          <w:rFonts w:hint="eastAsia" w:ascii="仿宋" w:hAnsi="仿宋" w:eastAsia="仿宋" w:cs="宋体"/>
          <w:sz w:val="28"/>
          <w:szCs w:val="28"/>
        </w:rPr>
        <w:t>老师</w:t>
      </w:r>
    </w:p>
    <w:p w14:paraId="398C3636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电　话：</w:t>
      </w:r>
      <w:bookmarkStart w:id="36" w:name="OLE_LINK17"/>
      <w:r>
        <w:rPr>
          <w:rFonts w:ascii="仿宋" w:hAnsi="仿宋" w:eastAsia="仿宋" w:cs="宋体"/>
          <w:sz w:val="28"/>
          <w:szCs w:val="28"/>
        </w:rPr>
        <w:t>010-85695224</w:t>
      </w:r>
      <w:bookmarkEnd w:id="36"/>
    </w:p>
    <w:p w14:paraId="36EEAC28">
      <w:pPr>
        <w:spacing w:line="360" w:lineRule="auto"/>
        <w:contextualSpacing/>
        <w:jc w:val="lef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采购代理机构项目联系人：</w:t>
      </w:r>
      <w:bookmarkStart w:id="37" w:name="OLE_LINK206"/>
      <w:r>
        <w:rPr>
          <w:rFonts w:hint="eastAsia" w:ascii="仿宋" w:hAnsi="仿宋" w:eastAsia="仿宋" w:cs="宋体"/>
          <w:sz w:val="28"/>
          <w:szCs w:val="28"/>
        </w:rPr>
        <w:t>强文晓、</w:t>
      </w:r>
      <w:bookmarkEnd w:id="37"/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姚玮、</w:t>
      </w:r>
      <w:r>
        <w:rPr>
          <w:rFonts w:hint="eastAsia" w:ascii="仿宋" w:hAnsi="仿宋" w:eastAsia="仿宋" w:cs="宋体"/>
          <w:sz w:val="28"/>
          <w:szCs w:val="28"/>
        </w:rPr>
        <w:t>孙薇</w:t>
      </w:r>
    </w:p>
    <w:p w14:paraId="1EF27955">
      <w:pPr>
        <w:spacing w:line="360" w:lineRule="auto"/>
        <w:contextualSpacing/>
        <w:jc w:val="left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宋体"/>
          <w:sz w:val="28"/>
          <w:szCs w:val="28"/>
        </w:rPr>
        <w:t>电　话：010-81168541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宋体"/>
          <w:sz w:val="28"/>
          <w:szCs w:val="28"/>
          <w:lang w:val="en-US" w:eastAsia="zh-CN"/>
        </w:rPr>
        <w:t>010-81169492</w:t>
      </w:r>
    </w:p>
    <w:bookmarkEnd w:id="1"/>
    <w:bookmarkEnd w:id="2"/>
    <w:p w14:paraId="54C9BA6E">
      <w:pPr>
        <w:spacing w:line="360" w:lineRule="auto"/>
        <w:contextualSpacing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5A"/>
    <w:rsid w:val="00002318"/>
    <w:rsid w:val="0000367F"/>
    <w:rsid w:val="00013EDE"/>
    <w:rsid w:val="00016698"/>
    <w:rsid w:val="00026B71"/>
    <w:rsid w:val="000555B3"/>
    <w:rsid w:val="000946D5"/>
    <w:rsid w:val="00094BB2"/>
    <w:rsid w:val="000A20A2"/>
    <w:rsid w:val="000C1895"/>
    <w:rsid w:val="000C3EF8"/>
    <w:rsid w:val="000C59CE"/>
    <w:rsid w:val="000D7609"/>
    <w:rsid w:val="000F0B6B"/>
    <w:rsid w:val="000F0CE6"/>
    <w:rsid w:val="00122184"/>
    <w:rsid w:val="0012697B"/>
    <w:rsid w:val="00126F4E"/>
    <w:rsid w:val="001471A5"/>
    <w:rsid w:val="001D7850"/>
    <w:rsid w:val="001E0202"/>
    <w:rsid w:val="001E3CF3"/>
    <w:rsid w:val="00237A6E"/>
    <w:rsid w:val="00251A77"/>
    <w:rsid w:val="00286630"/>
    <w:rsid w:val="002937AD"/>
    <w:rsid w:val="002A77F5"/>
    <w:rsid w:val="002C4F10"/>
    <w:rsid w:val="0031713A"/>
    <w:rsid w:val="00331105"/>
    <w:rsid w:val="00336471"/>
    <w:rsid w:val="00356363"/>
    <w:rsid w:val="00357844"/>
    <w:rsid w:val="00370844"/>
    <w:rsid w:val="0039607E"/>
    <w:rsid w:val="003B6212"/>
    <w:rsid w:val="003E56BB"/>
    <w:rsid w:val="003E7BC0"/>
    <w:rsid w:val="00450BA8"/>
    <w:rsid w:val="00496850"/>
    <w:rsid w:val="004B0FF3"/>
    <w:rsid w:val="004B367A"/>
    <w:rsid w:val="004B5455"/>
    <w:rsid w:val="004B6850"/>
    <w:rsid w:val="004D7796"/>
    <w:rsid w:val="004E2040"/>
    <w:rsid w:val="004E3E98"/>
    <w:rsid w:val="004F5619"/>
    <w:rsid w:val="00506AB7"/>
    <w:rsid w:val="005579B3"/>
    <w:rsid w:val="005B6CCA"/>
    <w:rsid w:val="005D290E"/>
    <w:rsid w:val="005D68C1"/>
    <w:rsid w:val="005E1F20"/>
    <w:rsid w:val="005F0ACC"/>
    <w:rsid w:val="00604CC5"/>
    <w:rsid w:val="00614BC9"/>
    <w:rsid w:val="00614EA7"/>
    <w:rsid w:val="00622C65"/>
    <w:rsid w:val="00652B28"/>
    <w:rsid w:val="00665E24"/>
    <w:rsid w:val="00684671"/>
    <w:rsid w:val="00685D27"/>
    <w:rsid w:val="00695807"/>
    <w:rsid w:val="006A36AF"/>
    <w:rsid w:val="006C0F0A"/>
    <w:rsid w:val="006C37F0"/>
    <w:rsid w:val="006C69BC"/>
    <w:rsid w:val="006D4CD1"/>
    <w:rsid w:val="00716DEA"/>
    <w:rsid w:val="00741CDA"/>
    <w:rsid w:val="00785D3F"/>
    <w:rsid w:val="00796325"/>
    <w:rsid w:val="007C2FC3"/>
    <w:rsid w:val="007C787B"/>
    <w:rsid w:val="007E7F7C"/>
    <w:rsid w:val="00831987"/>
    <w:rsid w:val="00834AEE"/>
    <w:rsid w:val="00863425"/>
    <w:rsid w:val="00871377"/>
    <w:rsid w:val="00872EDE"/>
    <w:rsid w:val="00875648"/>
    <w:rsid w:val="0088542A"/>
    <w:rsid w:val="00894411"/>
    <w:rsid w:val="008A2459"/>
    <w:rsid w:val="008A6AC1"/>
    <w:rsid w:val="008A72AB"/>
    <w:rsid w:val="008C0ADF"/>
    <w:rsid w:val="008E0828"/>
    <w:rsid w:val="009275E3"/>
    <w:rsid w:val="009336D1"/>
    <w:rsid w:val="009412D3"/>
    <w:rsid w:val="009413D2"/>
    <w:rsid w:val="00945254"/>
    <w:rsid w:val="00956F31"/>
    <w:rsid w:val="009A13E7"/>
    <w:rsid w:val="009B1C48"/>
    <w:rsid w:val="009F29C9"/>
    <w:rsid w:val="00A0285C"/>
    <w:rsid w:val="00A23170"/>
    <w:rsid w:val="00A27941"/>
    <w:rsid w:val="00A61B45"/>
    <w:rsid w:val="00A73A66"/>
    <w:rsid w:val="00AB7A8A"/>
    <w:rsid w:val="00AC2343"/>
    <w:rsid w:val="00AE5035"/>
    <w:rsid w:val="00AF39CF"/>
    <w:rsid w:val="00B03925"/>
    <w:rsid w:val="00B063AE"/>
    <w:rsid w:val="00B3644B"/>
    <w:rsid w:val="00B7224D"/>
    <w:rsid w:val="00B84F88"/>
    <w:rsid w:val="00B90A34"/>
    <w:rsid w:val="00BA428A"/>
    <w:rsid w:val="00BA5D41"/>
    <w:rsid w:val="00BD3FB5"/>
    <w:rsid w:val="00C21446"/>
    <w:rsid w:val="00C36BBB"/>
    <w:rsid w:val="00C75987"/>
    <w:rsid w:val="00C75E11"/>
    <w:rsid w:val="00C77F0A"/>
    <w:rsid w:val="00C9322D"/>
    <w:rsid w:val="00C97D5A"/>
    <w:rsid w:val="00CB2B2E"/>
    <w:rsid w:val="00CC5A6C"/>
    <w:rsid w:val="00CF1A0B"/>
    <w:rsid w:val="00D20CF7"/>
    <w:rsid w:val="00D22A2A"/>
    <w:rsid w:val="00D360F0"/>
    <w:rsid w:val="00D41030"/>
    <w:rsid w:val="00D47F27"/>
    <w:rsid w:val="00D55AF8"/>
    <w:rsid w:val="00D62533"/>
    <w:rsid w:val="00D74BFE"/>
    <w:rsid w:val="00D83839"/>
    <w:rsid w:val="00DA238B"/>
    <w:rsid w:val="00DB0179"/>
    <w:rsid w:val="00DB5034"/>
    <w:rsid w:val="00DC4278"/>
    <w:rsid w:val="00E1650C"/>
    <w:rsid w:val="00E55DE6"/>
    <w:rsid w:val="00E5706B"/>
    <w:rsid w:val="00E66B06"/>
    <w:rsid w:val="00E83771"/>
    <w:rsid w:val="00EB215F"/>
    <w:rsid w:val="00EC7444"/>
    <w:rsid w:val="00ED2109"/>
    <w:rsid w:val="00ED63E9"/>
    <w:rsid w:val="00EF58E0"/>
    <w:rsid w:val="00F05593"/>
    <w:rsid w:val="00F06C63"/>
    <w:rsid w:val="00F14901"/>
    <w:rsid w:val="00F3155A"/>
    <w:rsid w:val="00F70DE2"/>
    <w:rsid w:val="00F80F3E"/>
    <w:rsid w:val="00F92305"/>
    <w:rsid w:val="00F96BF9"/>
    <w:rsid w:val="00FE0943"/>
    <w:rsid w:val="023F5AF0"/>
    <w:rsid w:val="0CEB1928"/>
    <w:rsid w:val="2AD11833"/>
    <w:rsid w:val="3B81050A"/>
    <w:rsid w:val="464A74F9"/>
    <w:rsid w:val="5ADC6668"/>
    <w:rsid w:val="7358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35"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  <w:szCs w:val="24"/>
    </w:rPr>
  </w:style>
  <w:style w:type="paragraph" w:styleId="6">
    <w:name w:val="annotation text"/>
    <w:basedOn w:val="1"/>
    <w:link w:val="28"/>
    <w:semiHidden/>
    <w:unhideWhenUsed/>
    <w:uiPriority w:val="99"/>
    <w:pPr>
      <w:jc w:val="left"/>
    </w:pPr>
  </w:style>
  <w:style w:type="paragraph" w:styleId="7">
    <w:name w:val="Body Text Indent"/>
    <w:basedOn w:val="1"/>
    <w:link w:val="30"/>
    <w:semiHidden/>
    <w:unhideWhenUsed/>
    <w:uiPriority w:val="99"/>
    <w:pPr>
      <w:spacing w:after="120"/>
      <w:ind w:left="420" w:leftChars="200"/>
    </w:pPr>
  </w:style>
  <w:style w:type="paragraph" w:styleId="8">
    <w:name w:val="Plain Text"/>
    <w:basedOn w:val="1"/>
    <w:link w:val="21"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Balloon Text"/>
    <w:basedOn w:val="1"/>
    <w:link w:val="25"/>
    <w:semiHidden/>
    <w:unhideWhenUsed/>
    <w:uiPriority w:val="99"/>
    <w:rPr>
      <w:sz w:val="18"/>
      <w:szCs w:val="18"/>
    </w:rPr>
  </w:style>
  <w:style w:type="paragraph" w:styleId="10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3">
    <w:name w:val="annotation subject"/>
    <w:basedOn w:val="6"/>
    <w:next w:val="6"/>
    <w:link w:val="29"/>
    <w:semiHidden/>
    <w:unhideWhenUsed/>
    <w:qFormat/>
    <w:uiPriority w:val="99"/>
    <w:rPr>
      <w:b/>
      <w:bCs/>
    </w:rPr>
  </w:style>
  <w:style w:type="paragraph" w:styleId="14">
    <w:name w:val="Body Text First Indent 2"/>
    <w:basedOn w:val="7"/>
    <w:link w:val="31"/>
    <w:qFormat/>
    <w:uiPriority w:val="0"/>
    <w:pPr>
      <w:spacing w:line="480" w:lineRule="exact"/>
      <w:ind w:firstLine="420" w:firstLineChars="200"/>
    </w:pPr>
    <w:rPr>
      <w:sz w:val="24"/>
      <w:szCs w:val="20"/>
    </w:rPr>
  </w:style>
  <w:style w:type="character" w:styleId="17">
    <w:name w:val="Strong"/>
    <w:qFormat/>
    <w:uiPriority w:val="22"/>
    <w:rPr>
      <w:b/>
      <w:bCs/>
    </w:rPr>
  </w:style>
  <w:style w:type="character" w:styleId="18">
    <w:name w:val="annotation reference"/>
    <w:basedOn w:val="16"/>
    <w:semiHidden/>
    <w:unhideWhenUsed/>
    <w:qFormat/>
    <w:uiPriority w:val="99"/>
    <w:rPr>
      <w:sz w:val="21"/>
      <w:szCs w:val="21"/>
    </w:rPr>
  </w:style>
  <w:style w:type="character" w:customStyle="1" w:styleId="19">
    <w:name w:val="标题 1 Char"/>
    <w:basedOn w:val="16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标题 2 Char"/>
    <w:basedOn w:val="16"/>
    <w:link w:val="4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1">
    <w:name w:val="纯文本 Char"/>
    <w:basedOn w:val="16"/>
    <w:link w:val="8"/>
    <w:qFormat/>
    <w:uiPriority w:val="0"/>
    <w:rPr>
      <w:rFonts w:ascii="宋体" w:hAnsi="Courier New"/>
    </w:rPr>
  </w:style>
  <w:style w:type="character" w:customStyle="1" w:styleId="22">
    <w:name w:val="标题 3 Char"/>
    <w:basedOn w:val="16"/>
    <w:link w:val="5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3">
    <w:name w:val="页眉 Char"/>
    <w:basedOn w:val="16"/>
    <w:link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4">
    <w:name w:val="页脚 Char"/>
    <w:basedOn w:val="16"/>
    <w:link w:val="10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5">
    <w:name w:val="批注框文本 Char"/>
    <w:basedOn w:val="16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6">
    <w:name w:val="Body text|1"/>
    <w:basedOn w:val="1"/>
    <w:qFormat/>
    <w:uiPriority w:val="0"/>
    <w:pPr>
      <w:ind w:firstLine="280"/>
      <w:jc w:val="left"/>
    </w:pPr>
    <w:rPr>
      <w:rFonts w:ascii="MingLiU" w:hAnsi="MingLiU" w:eastAsia="MingLiU" w:cs="MingLiU"/>
      <w:color w:val="184318"/>
      <w:kern w:val="0"/>
      <w:sz w:val="19"/>
      <w:szCs w:val="19"/>
      <w:lang w:val="zh-TW" w:eastAsia="zh-TW" w:bidi="zh-TW"/>
    </w:rPr>
  </w:style>
  <w:style w:type="paragraph" w:styleId="27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28">
    <w:name w:val="批注文字 Char"/>
    <w:basedOn w:val="16"/>
    <w:link w:val="6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29">
    <w:name w:val="批注主题 Char"/>
    <w:basedOn w:val="28"/>
    <w:link w:val="13"/>
    <w:semiHidden/>
    <w:qFormat/>
    <w:uiPriority w:val="99"/>
    <w:rPr>
      <w:rFonts w:ascii="Times New Roman" w:hAnsi="Times New Roman" w:eastAsia="宋体" w:cs="Times New Roman"/>
      <w:b/>
      <w:bCs/>
      <w:szCs w:val="21"/>
    </w:rPr>
  </w:style>
  <w:style w:type="character" w:customStyle="1" w:styleId="30">
    <w:name w:val="正文文本缩进 Char"/>
    <w:basedOn w:val="16"/>
    <w:link w:val="7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31">
    <w:name w:val="正文首行缩进 2 Char"/>
    <w:basedOn w:val="30"/>
    <w:link w:val="14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32">
    <w:name w:val="列出段落 Char"/>
    <w:link w:val="27"/>
    <w:qFormat/>
    <w:uiPriority w:val="34"/>
    <w:rPr>
      <w:rFonts w:ascii="Times New Roman" w:hAnsi="Times New Roman" w:eastAsia="宋体" w:cs="Times New Roman"/>
      <w:szCs w:val="21"/>
    </w:rPr>
  </w:style>
  <w:style w:type="paragraph" w:customStyle="1" w:styleId="33">
    <w:name w:val="p0"/>
    <w:basedOn w:val="1"/>
    <w:qFormat/>
    <w:uiPriority w:val="0"/>
    <w:pPr>
      <w:widowControl/>
      <w:suppressAutoHyphens/>
      <w:autoSpaceDN w:val="0"/>
      <w:spacing w:before="100" w:beforeAutospacing="1" w:after="100" w:afterAutospacing="1"/>
      <w:jc w:val="left"/>
      <w:textAlignment w:val="baseline"/>
    </w:pPr>
    <w:rPr>
      <w:rFonts w:ascii="宋体" w:hAnsi="宋体" w:cs="宋体"/>
      <w:kern w:val="0"/>
      <w:sz w:val="24"/>
      <w:szCs w:val="24"/>
    </w:rPr>
  </w:style>
  <w:style w:type="paragraph" w:customStyle="1" w:styleId="3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5">
    <w:name w:val="正文缩进 Char"/>
    <w:link w:val="2"/>
    <w:qFormat/>
    <w:uiPriority w:val="0"/>
    <w:rPr>
      <w:rFonts w:ascii="宋体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Razer</Company>
  <Pages>6</Pages>
  <Words>3263</Words>
  <Characters>3583</Characters>
  <Lines>28</Lines>
  <Paragraphs>8</Paragraphs>
  <TotalTime>7</TotalTime>
  <ScaleCrop>false</ScaleCrop>
  <LinksUpToDate>false</LinksUpToDate>
  <CharactersWithSpaces>3639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2021-01-21T08:13:00Z</dcterms:created>
  <dc:creator>Zhang</dc:creator>
  <cp:lastModifiedBy>Estela</cp:lastModifiedBy>
  <cp:lastPrinted>2025-11-04T03:43:00Z</cp:lastPrinted>
  <dcterms:modified xsi:type="dcterms:W3CDTF">2026-10-13T12:18:33Z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688F0A896E2A409C9E2A44CD5F8CBC0B</vt:lpwstr>
  </property>
  <property fmtid="{D5CDD505-2E9C-101B-9397-08002B2CF9AE}" pid="4" name="KSOTemplateDocerSaveRecord">
    <vt:lpwstr>eyJoZGlkIjoiMzA3ZWQ0OTIxMTlkZDRlNTNlOGQwMWJhMThkMzdiYzEiLCJ1c2VySWQiOiIyNDc5MzkxNzUifQ==</vt:lpwstr>
  </property>
</Properties>
</file>