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AA2C4">
      <w:pPr>
        <w:pStyle w:val="2"/>
        <w:tabs>
          <w:tab w:val="left" w:pos="0"/>
        </w:tabs>
        <w:autoSpaceDE w:val="0"/>
        <w:autoSpaceDN w:val="0"/>
        <w:adjustRightInd w:val="0"/>
        <w:spacing w:before="0" w:after="0" w:line="360" w:lineRule="auto"/>
        <w:jc w:val="center"/>
        <w:rPr>
          <w:rFonts w:hint="eastAsia" w:ascii="仿宋" w:hAnsi="仿宋" w:eastAsia="仿宋" w:cs="仿宋"/>
        </w:rPr>
      </w:pPr>
      <w:bookmarkStart w:id="0" w:name="_Toc35393813"/>
      <w:r>
        <w:rPr>
          <w:rFonts w:hint="eastAsia" w:ascii="仿宋" w:hAnsi="仿宋" w:eastAsia="仿宋" w:cs="仿宋"/>
        </w:rPr>
        <w:t>北京汽车技师学院宿舍楼安全用电升级改造项目建筑物照明设备安装采购项目更正公告</w:t>
      </w:r>
      <w:bookmarkEnd w:id="0"/>
    </w:p>
    <w:p w14:paraId="4B9BEA56">
      <w:pPr>
        <w:pStyle w:val="3"/>
        <w:spacing w:line="360" w:lineRule="auto"/>
        <w:rPr>
          <w:rFonts w:hint="eastAsia" w:ascii="仿宋" w:hAnsi="仿宋" w:eastAsia="仿宋" w:cs="仿宋"/>
          <w:b/>
          <w:bCs w:val="0"/>
          <w:sz w:val="28"/>
          <w:szCs w:val="28"/>
        </w:rPr>
      </w:pPr>
      <w:bookmarkStart w:id="1" w:name="_Toc28359104"/>
      <w:bookmarkStart w:id="2" w:name="_Toc35393814"/>
      <w:bookmarkStart w:id="3" w:name="_Toc28359027"/>
      <w:bookmarkStart w:id="4" w:name="_Toc35393645"/>
      <w:r>
        <w:rPr>
          <w:rFonts w:hint="eastAsia" w:ascii="仿宋" w:hAnsi="仿宋" w:eastAsia="仿宋" w:cs="仿宋"/>
          <w:b/>
          <w:bCs w:val="0"/>
          <w:sz w:val="28"/>
          <w:szCs w:val="28"/>
        </w:rPr>
        <w:t>一、项目基本情况</w:t>
      </w:r>
      <w:bookmarkEnd w:id="1"/>
      <w:bookmarkEnd w:id="2"/>
      <w:bookmarkEnd w:id="3"/>
      <w:bookmarkEnd w:id="4"/>
    </w:p>
    <w:p w14:paraId="45B42F63">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原公告的采购项目编号：</w:t>
      </w:r>
      <w:r>
        <w:rPr>
          <w:rFonts w:hint="eastAsia" w:ascii="仿宋" w:hAnsi="仿宋" w:eastAsia="仿宋" w:cs="仿宋"/>
          <w:sz w:val="28"/>
          <w:szCs w:val="28"/>
          <w:u w:val="single"/>
        </w:rPr>
        <w:t>11000026210200176324-XM001</w:t>
      </w:r>
    </w:p>
    <w:p w14:paraId="7CD431A4">
      <w:pPr>
        <w:ind w:firstLine="560" w:firstLineChars="200"/>
        <w:rPr>
          <w:rFonts w:hint="eastAsia" w:ascii="仿宋" w:hAnsi="仿宋" w:eastAsia="仿宋" w:cs="仿宋"/>
          <w:sz w:val="28"/>
          <w:szCs w:val="28"/>
        </w:rPr>
      </w:pPr>
      <w:r>
        <w:rPr>
          <w:rFonts w:hint="eastAsia" w:ascii="仿宋" w:hAnsi="仿宋" w:eastAsia="仿宋" w:cs="仿宋"/>
          <w:sz w:val="28"/>
          <w:szCs w:val="28"/>
        </w:rPr>
        <w:t>原公告的采购项目名称：</w:t>
      </w:r>
      <w:r>
        <w:rPr>
          <w:rFonts w:hint="eastAsia" w:ascii="仿宋" w:hAnsi="仿宋" w:eastAsia="仿宋" w:cs="仿宋"/>
          <w:sz w:val="28"/>
          <w:szCs w:val="28"/>
          <w:u w:val="single"/>
        </w:rPr>
        <w:t>北京汽车技师学院宿舍楼安全用电升级改造项目建筑物照明设备安装采购项目</w:t>
      </w:r>
    </w:p>
    <w:p w14:paraId="56FB91F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首次公告日期：</w:t>
      </w:r>
      <w:r>
        <w:rPr>
          <w:rFonts w:hint="eastAsia" w:ascii="仿宋" w:hAnsi="仿宋" w:eastAsia="仿宋" w:cs="仿宋"/>
          <w:sz w:val="28"/>
          <w:szCs w:val="28"/>
          <w:u w:val="single"/>
          <w:lang w:val="en-US" w:eastAsia="zh-CN"/>
        </w:rPr>
        <w:t>2026年6月22日</w:t>
      </w:r>
    </w:p>
    <w:p w14:paraId="6ABECEF1">
      <w:pPr>
        <w:pStyle w:val="3"/>
        <w:spacing w:line="360" w:lineRule="auto"/>
        <w:rPr>
          <w:rFonts w:hint="eastAsia" w:ascii="仿宋" w:hAnsi="仿宋" w:eastAsia="仿宋" w:cs="仿宋"/>
          <w:b/>
          <w:bCs w:val="0"/>
          <w:sz w:val="28"/>
          <w:szCs w:val="28"/>
        </w:rPr>
      </w:pPr>
      <w:bookmarkStart w:id="5" w:name="_Toc35393646"/>
      <w:bookmarkStart w:id="6" w:name="_Toc35393815"/>
      <w:bookmarkStart w:id="7" w:name="_Toc28359028"/>
      <w:bookmarkStart w:id="8" w:name="_Toc28359105"/>
      <w:r>
        <w:rPr>
          <w:rFonts w:hint="eastAsia" w:ascii="仿宋" w:hAnsi="仿宋" w:eastAsia="仿宋" w:cs="仿宋"/>
          <w:b/>
          <w:bCs w:val="0"/>
          <w:sz w:val="28"/>
          <w:szCs w:val="28"/>
        </w:rPr>
        <w:t>二、更正信息</w:t>
      </w:r>
      <w:bookmarkEnd w:id="5"/>
      <w:bookmarkEnd w:id="6"/>
      <w:bookmarkEnd w:id="7"/>
      <w:bookmarkEnd w:id="8"/>
    </w:p>
    <w:p w14:paraId="14E207E6">
      <w:pPr>
        <w:ind w:firstLine="560" w:firstLineChars="200"/>
        <w:rPr>
          <w:rFonts w:hint="eastAsia" w:ascii="仿宋" w:hAnsi="仿宋" w:eastAsia="仿宋" w:cs="仿宋"/>
          <w:sz w:val="28"/>
          <w:szCs w:val="28"/>
        </w:rPr>
      </w:pPr>
      <w:r>
        <w:rPr>
          <w:rFonts w:hint="eastAsia" w:ascii="仿宋" w:hAnsi="仿宋" w:eastAsia="仿宋" w:cs="仿宋"/>
          <w:sz w:val="28"/>
          <w:szCs w:val="28"/>
        </w:rPr>
        <w:t>更正事项：</w:t>
      </w:r>
      <w:r>
        <w:rPr>
          <w:rFonts w:hint="eastAsia" w:ascii="仿宋" w:hAnsi="仿宋" w:eastAsia="仿宋" w:cs="仿宋"/>
          <w:sz w:val="24"/>
        </w:rPr>
        <w:t>■</w:t>
      </w:r>
      <w:r>
        <w:rPr>
          <w:rFonts w:hint="eastAsia" w:ascii="仿宋" w:hAnsi="仿宋" w:eastAsia="仿宋" w:cs="仿宋"/>
          <w:sz w:val="28"/>
          <w:szCs w:val="28"/>
          <w:lang w:val="en-US" w:eastAsia="zh-CN"/>
        </w:rPr>
        <w:t>采购需求</w:t>
      </w:r>
      <w:r>
        <w:rPr>
          <w:rFonts w:hint="eastAsia" w:ascii="仿宋" w:hAnsi="仿宋" w:eastAsia="仿宋" w:cs="仿宋"/>
          <w:sz w:val="28"/>
          <w:szCs w:val="28"/>
        </w:rPr>
        <w:t xml:space="preserve"> </w:t>
      </w:r>
    </w:p>
    <w:p w14:paraId="3F17142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更正内容：</w:t>
      </w:r>
    </w:p>
    <w:p w14:paraId="473FCD8C">
      <w:pPr>
        <w:spacing w:line="360" w:lineRule="auto"/>
        <w:ind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1、原招标文件全部65W快充插座相关条款统一变更</w:t>
      </w:r>
    </w:p>
    <w:p w14:paraId="218E016C">
      <w:pPr>
        <w:spacing w:line="360" w:lineRule="auto"/>
        <w:ind w:firstLine="600" w:firstLineChars="200"/>
        <w:rPr>
          <w:rFonts w:hint="eastAsia" w:ascii="仿宋" w:hAnsi="仿宋" w:eastAsia="仿宋" w:cs="Times New Roman"/>
          <w:sz w:val="30"/>
          <w:szCs w:val="30"/>
        </w:rPr>
      </w:pPr>
      <w:r>
        <w:rPr>
          <w:rFonts w:hint="eastAsia" w:ascii="仿宋" w:hAnsi="仿宋" w:eastAsia="仿宋" w:cs="Times New Roman"/>
          <w:sz w:val="30"/>
          <w:szCs w:val="30"/>
          <w:lang w:val="en-US" w:eastAsia="zh-CN"/>
        </w:rPr>
        <w:t xml:space="preserve">原文中所有“65W超级快充USB接口type-c插座、type-c单口输出65W” 全部调整为：20W USB Type-C 快充插座，USB和Type-C单口最大输出功率20W，其余插座技术要求保持不变。 </w:t>
      </w:r>
    </w:p>
    <w:p w14:paraId="54F69057">
      <w:pPr>
        <w:numPr>
          <w:ilvl w:val="0"/>
          <w:numId w:val="1"/>
        </w:numPr>
        <w:spacing w:line="360" w:lineRule="auto"/>
        <w:ind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 xml:space="preserve">插座其余技术参数不变要求 </w:t>
      </w:r>
    </w:p>
    <w:p w14:paraId="7F8BB15D">
      <w:pPr>
        <w:numPr>
          <w:ilvl w:val="0"/>
          <w:numId w:val="0"/>
        </w:numPr>
        <w:spacing w:line="360" w:lineRule="auto"/>
        <w:ind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 xml:space="preserve">调整功率后，插座其他硬性标准不作修改，投标人投标、供货、施工仍需满足以下要求： </w:t>
      </w:r>
    </w:p>
    <w:p w14:paraId="3B07787E">
      <w:pPr>
        <w:numPr>
          <w:ilvl w:val="0"/>
          <w:numId w:val="2"/>
        </w:numPr>
        <w:spacing w:line="360" w:lineRule="auto"/>
        <w:ind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 xml:space="preserve">插座面板具备国家3C强制性产品认证，附带防触电保护门、阻燃外壳； </w:t>
      </w:r>
    </w:p>
    <w:p w14:paraId="4BA6838F">
      <w:pPr>
        <w:numPr>
          <w:ilvl w:val="0"/>
          <w:numId w:val="2"/>
        </w:numPr>
        <w:spacing w:line="360" w:lineRule="auto"/>
        <w:ind w:firstLine="600" w:firstLineChars="200"/>
        <w:rPr>
          <w:rFonts w:hint="eastAsia" w:ascii="仿宋" w:hAnsi="仿宋" w:eastAsia="仿宋" w:cs="Times New Roman"/>
          <w:sz w:val="30"/>
          <w:szCs w:val="30"/>
        </w:rPr>
      </w:pPr>
      <w:r>
        <w:rPr>
          <w:rFonts w:hint="eastAsia" w:ascii="仿宋" w:hAnsi="仿宋" w:eastAsia="仿宋" w:cs="Times New Roman"/>
          <w:sz w:val="30"/>
          <w:szCs w:val="30"/>
          <w:lang w:val="en-US" w:eastAsia="zh-CN"/>
        </w:rPr>
        <w:t xml:space="preserve">进场需提供产品合格证、第三方权威检测报告、3C认证证书； </w:t>
      </w:r>
    </w:p>
    <w:p w14:paraId="47D18C29">
      <w:pPr>
        <w:numPr>
          <w:ilvl w:val="0"/>
          <w:numId w:val="2"/>
        </w:numPr>
        <w:spacing w:line="360" w:lineRule="auto"/>
        <w:ind w:firstLine="600" w:firstLineChars="200"/>
        <w:rPr>
          <w:rFonts w:hint="eastAsia" w:ascii="仿宋" w:hAnsi="仿宋" w:eastAsia="仿宋" w:cs="Times New Roman"/>
          <w:sz w:val="30"/>
          <w:szCs w:val="30"/>
        </w:rPr>
      </w:pPr>
      <w:r>
        <w:rPr>
          <w:rFonts w:hint="eastAsia" w:ascii="仿宋" w:hAnsi="仿宋" w:eastAsia="仿宋" w:cs="Times New Roman"/>
          <w:sz w:val="30"/>
          <w:szCs w:val="30"/>
          <w:lang w:val="en-US" w:eastAsia="zh-CN"/>
        </w:rPr>
        <w:t xml:space="preserve">安装牢固平整、接线规范，具备可靠漏电防护、绝缘防护功能； </w:t>
      </w:r>
    </w:p>
    <w:p w14:paraId="3B107BA6">
      <w:pPr>
        <w:numPr>
          <w:ilvl w:val="0"/>
          <w:numId w:val="2"/>
        </w:numPr>
        <w:spacing w:line="360" w:lineRule="auto"/>
        <w:ind w:firstLine="600" w:firstLineChars="200"/>
        <w:rPr>
          <w:rFonts w:hint="eastAsia" w:ascii="仿宋" w:hAnsi="仿宋" w:eastAsia="仿宋" w:cs="Times New Roman"/>
          <w:sz w:val="30"/>
          <w:szCs w:val="30"/>
        </w:rPr>
      </w:pPr>
      <w:r>
        <w:rPr>
          <w:rFonts w:hint="eastAsia" w:ascii="仿宋" w:hAnsi="仿宋" w:eastAsia="仿宋" w:cs="Times New Roman"/>
          <w:sz w:val="30"/>
          <w:szCs w:val="30"/>
          <w:lang w:val="en-US" w:eastAsia="zh-CN"/>
        </w:rPr>
        <w:t>施工、验收标准仍执行原文件列明 GB50303-2015、GB55025-2022 等全部国家规范。</w:t>
      </w:r>
    </w:p>
    <w:p w14:paraId="2D113382">
      <w:pPr>
        <w:numPr>
          <w:ilvl w:val="0"/>
          <w:numId w:val="1"/>
        </w:numPr>
        <w:spacing w:line="360" w:lineRule="auto"/>
        <w:ind w:left="0" w:leftChars="0"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 xml:space="preserve">工程量不变说明 </w:t>
      </w:r>
    </w:p>
    <w:p w14:paraId="3E96AF53">
      <w:pPr>
        <w:numPr>
          <w:ilvl w:val="0"/>
          <w:numId w:val="0"/>
        </w:numPr>
        <w:spacing w:line="360" w:lineRule="auto"/>
        <w:ind w:leftChars="200" w:firstLine="600" w:firstLineChars="200"/>
        <w:rPr>
          <w:rFonts w:hint="eastAsia" w:ascii="仿宋" w:hAnsi="仿宋" w:eastAsia="仿宋" w:cs="Times New Roman"/>
          <w:sz w:val="30"/>
          <w:szCs w:val="30"/>
        </w:rPr>
      </w:pPr>
      <w:r>
        <w:rPr>
          <w:rFonts w:hint="eastAsia" w:ascii="仿宋" w:hAnsi="仿宋" w:eastAsia="仿宋" w:cs="Times New Roman"/>
          <w:sz w:val="30"/>
          <w:szCs w:val="30"/>
          <w:lang w:val="en-US" w:eastAsia="zh-CN"/>
        </w:rPr>
        <w:t>本次仅调整插座单口输出功率，育才楼插座总数802个、培英楼新增插座792个总工程量不作变更，投标人报价时工程量以原招标文件为准，仅按20W标准插座重新核算材料成本。</w:t>
      </w:r>
    </w:p>
    <w:p w14:paraId="1CABE23F">
      <w:pPr>
        <w:numPr>
          <w:ilvl w:val="0"/>
          <w:numId w:val="1"/>
        </w:numPr>
        <w:spacing w:line="360" w:lineRule="auto"/>
        <w:ind w:left="0" w:leftChars="0"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 xml:space="preserve">材料进场审核要求 </w:t>
      </w:r>
    </w:p>
    <w:p w14:paraId="4E337E78">
      <w:pPr>
        <w:numPr>
          <w:ilvl w:val="0"/>
          <w:numId w:val="0"/>
        </w:numPr>
        <w:spacing w:line="360" w:lineRule="auto"/>
        <w:ind w:leftChars="200" w:firstLine="600" w:firstLineChars="200"/>
        <w:rPr>
          <w:rFonts w:hint="eastAsia" w:ascii="仿宋" w:hAnsi="仿宋" w:eastAsia="仿宋" w:cs="Times New Roman"/>
          <w:sz w:val="30"/>
          <w:szCs w:val="30"/>
        </w:rPr>
      </w:pPr>
      <w:r>
        <w:rPr>
          <w:rFonts w:hint="eastAsia" w:ascii="仿宋" w:hAnsi="仿宋" w:eastAsia="仿宋" w:cs="Times New Roman"/>
          <w:sz w:val="30"/>
          <w:szCs w:val="30"/>
          <w:lang w:val="en-US" w:eastAsia="zh-CN"/>
        </w:rPr>
        <w:t>投标人制作投标文件时，须提供20W Type-C快充插座样品及全套资质文件；中标后进场材料均为20W规格插座，招标人、监理单位将现场核验功率参数，若仍使用65W插座，视为材料不合格，全部材料强制退场，由此产生工期延误、返工损失由中标单位自行承担。</w:t>
      </w:r>
    </w:p>
    <w:p w14:paraId="000BCD86">
      <w:pPr>
        <w:spacing w:line="360" w:lineRule="auto"/>
        <w:ind w:firstLine="600" w:firstLineChars="200"/>
        <w:rPr>
          <w:rFonts w:hint="eastAsia" w:ascii="仿宋" w:hAnsi="仿宋" w:eastAsia="仿宋" w:cs="Times New Roman"/>
          <w:sz w:val="30"/>
          <w:szCs w:val="30"/>
        </w:rPr>
      </w:pPr>
      <w:r>
        <w:rPr>
          <w:rFonts w:hint="eastAsia" w:ascii="仿宋" w:hAnsi="仿宋" w:eastAsia="仿宋" w:cs="Times New Roman"/>
          <w:sz w:val="30"/>
          <w:szCs w:val="30"/>
          <w:lang w:val="en-US" w:eastAsia="zh-CN"/>
        </w:rPr>
        <w:t>5、</w:t>
      </w:r>
      <w:r>
        <w:rPr>
          <w:rFonts w:hint="eastAsia" w:ascii="仿宋" w:hAnsi="仿宋" w:eastAsia="仿宋" w:cs="Times New Roman"/>
          <w:sz w:val="30"/>
          <w:szCs w:val="30"/>
        </w:rPr>
        <w:t>本澄清文件为招标文件不可分割组成部分，所有已获取招标文件的潜在投标人均受本澄清约束；</w:t>
      </w:r>
    </w:p>
    <w:p w14:paraId="7939BEE7">
      <w:pPr>
        <w:spacing w:line="360" w:lineRule="auto"/>
        <w:ind w:firstLine="600" w:firstLineChars="200"/>
        <w:rPr>
          <w:rFonts w:hint="eastAsia" w:ascii="仿宋" w:hAnsi="仿宋" w:eastAsia="仿宋" w:cs="Times New Roman"/>
          <w:sz w:val="30"/>
          <w:szCs w:val="30"/>
        </w:rPr>
      </w:pPr>
      <w:r>
        <w:rPr>
          <w:rFonts w:hint="eastAsia" w:ascii="仿宋" w:hAnsi="仿宋" w:eastAsia="仿宋" w:cs="Times New Roman"/>
          <w:sz w:val="30"/>
          <w:szCs w:val="30"/>
          <w:lang w:val="en-US" w:eastAsia="zh-CN"/>
        </w:rPr>
        <w:t>6、</w:t>
      </w:r>
      <w:r>
        <w:rPr>
          <w:rFonts w:hint="eastAsia" w:ascii="仿宋" w:hAnsi="仿宋" w:eastAsia="仿宋" w:cs="Times New Roman"/>
          <w:sz w:val="30"/>
          <w:szCs w:val="30"/>
        </w:rPr>
        <w:t>招标文件中除本次明确调整的插座功率条款外，其余资质要求、工期45日历天、招标限价、施工规范、付款、质保、投标资格等全部条款维持原状不作修改；</w:t>
      </w:r>
    </w:p>
    <w:p w14:paraId="7BDE0AB4">
      <w:pPr>
        <w:spacing w:line="360" w:lineRule="auto"/>
        <w:ind w:firstLine="600" w:firstLineChars="200"/>
        <w:rPr>
          <w:rFonts w:hint="eastAsia" w:ascii="仿宋" w:hAnsi="仿宋" w:eastAsia="仿宋" w:cs="仿宋"/>
          <w:sz w:val="28"/>
          <w:szCs w:val="28"/>
          <w:highlight w:val="yellow"/>
          <w:lang w:val="en-US" w:eastAsia="zh-CN"/>
        </w:rPr>
      </w:pPr>
      <w:r>
        <w:rPr>
          <w:rFonts w:hint="eastAsia" w:ascii="仿宋" w:hAnsi="仿宋" w:eastAsia="仿宋" w:cs="Times New Roman"/>
          <w:sz w:val="30"/>
          <w:szCs w:val="30"/>
          <w:lang w:val="en-US" w:eastAsia="zh-CN"/>
        </w:rPr>
        <w:t>7、</w:t>
      </w:r>
      <w:r>
        <w:rPr>
          <w:rFonts w:hint="eastAsia" w:ascii="仿宋" w:hAnsi="仿宋" w:eastAsia="仿宋" w:cs="Times New Roman"/>
          <w:sz w:val="30"/>
          <w:szCs w:val="30"/>
        </w:rPr>
        <w:t>投标人编制投标文件、测算报价、准备技术方案均以本次澄清内容为准，若投标文件仍按原65W插座编制，评标委员会有权判定投标文件技术响应不满足招标文件要求。</w:t>
      </w:r>
    </w:p>
    <w:p w14:paraId="5307D90A">
      <w:pPr>
        <w:spacing w:line="360" w:lineRule="auto"/>
        <w:ind w:firstLine="560" w:firstLineChars="200"/>
        <w:jc w:val="left"/>
        <w:rPr>
          <w:rFonts w:hint="default"/>
          <w:highlight w:val="none"/>
          <w:lang w:val="en-US" w:eastAsia="zh-CN"/>
        </w:rPr>
      </w:pPr>
      <w:r>
        <w:rPr>
          <w:rFonts w:hint="eastAsia" w:ascii="仿宋" w:hAnsi="仿宋" w:eastAsia="仿宋" w:cs="仿宋"/>
          <w:sz w:val="28"/>
          <w:szCs w:val="28"/>
          <w:highlight w:val="none"/>
          <w:lang w:val="en-US" w:eastAsia="zh-CN"/>
        </w:rPr>
        <w:t>8、其他内容不变。</w:t>
      </w:r>
    </w:p>
    <w:p w14:paraId="308FFE46">
      <w:pPr>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更正日期：</w:t>
      </w:r>
      <w:r>
        <w:rPr>
          <w:rFonts w:hint="eastAsia" w:ascii="仿宋" w:hAnsi="仿宋" w:eastAsia="仿宋" w:cs="仿宋"/>
          <w:sz w:val="28"/>
          <w:szCs w:val="28"/>
          <w:u w:val="single"/>
          <w:lang w:val="en-US" w:eastAsia="zh-CN"/>
        </w:rPr>
        <w:t>2026年6月25日</w:t>
      </w:r>
    </w:p>
    <w:p w14:paraId="2B6A0DB9">
      <w:pPr>
        <w:pStyle w:val="3"/>
        <w:spacing w:line="360" w:lineRule="auto"/>
        <w:rPr>
          <w:rFonts w:hint="eastAsia" w:ascii="仿宋" w:hAnsi="仿宋" w:eastAsia="仿宋" w:cs="仿宋"/>
          <w:b/>
          <w:bCs w:val="0"/>
          <w:sz w:val="28"/>
          <w:szCs w:val="28"/>
        </w:rPr>
      </w:pPr>
      <w:bookmarkStart w:id="9" w:name="_Toc35393647"/>
      <w:bookmarkStart w:id="10" w:name="_Toc35393816"/>
      <w:r>
        <w:rPr>
          <w:rFonts w:hint="eastAsia" w:ascii="仿宋" w:hAnsi="仿宋" w:eastAsia="仿宋" w:cs="仿宋"/>
          <w:b/>
          <w:bCs w:val="0"/>
          <w:sz w:val="28"/>
          <w:szCs w:val="28"/>
        </w:rPr>
        <w:t>三、其他补充事宜</w:t>
      </w:r>
      <w:bookmarkEnd w:id="9"/>
      <w:bookmarkEnd w:id="10"/>
    </w:p>
    <w:p w14:paraId="40F5A6B5">
      <w:pPr>
        <w:ind w:firstLine="560" w:firstLineChars="200"/>
        <w:rPr>
          <w:rFonts w:hint="eastAsia" w:ascii="仿宋" w:hAnsi="仿宋" w:eastAsia="仿宋" w:cs="仿宋"/>
          <w:sz w:val="28"/>
          <w:szCs w:val="28"/>
          <w:lang w:val="en-US" w:eastAsia="zh-CN"/>
        </w:rPr>
      </w:pPr>
      <w:bookmarkStart w:id="41" w:name="_GoBack"/>
      <w:r>
        <w:rPr>
          <w:rFonts w:hint="eastAsia" w:ascii="仿宋" w:hAnsi="仿宋" w:eastAsia="仿宋" w:cs="仿宋"/>
          <w:sz w:val="28"/>
          <w:szCs w:val="28"/>
          <w:lang w:val="en-US" w:eastAsia="zh-CN"/>
        </w:rPr>
        <w:t>无</w:t>
      </w:r>
    </w:p>
    <w:bookmarkEnd w:id="41"/>
    <w:p w14:paraId="5FC9C267">
      <w:pPr>
        <w:pStyle w:val="3"/>
        <w:spacing w:line="360" w:lineRule="auto"/>
        <w:rPr>
          <w:rFonts w:hint="eastAsia" w:ascii="仿宋" w:hAnsi="仿宋" w:eastAsia="仿宋" w:cs="仿宋"/>
          <w:b/>
          <w:bCs w:val="0"/>
          <w:sz w:val="28"/>
          <w:szCs w:val="28"/>
        </w:rPr>
      </w:pPr>
      <w:bookmarkStart w:id="11" w:name="_Toc28359029"/>
      <w:bookmarkStart w:id="12" w:name="_Toc35393817"/>
      <w:bookmarkStart w:id="13" w:name="_Toc35393648"/>
      <w:bookmarkStart w:id="14" w:name="_Toc28359106"/>
      <w:r>
        <w:rPr>
          <w:rFonts w:hint="eastAsia" w:ascii="仿宋" w:hAnsi="仿宋" w:eastAsia="仿宋" w:cs="仿宋"/>
          <w:b/>
          <w:bCs w:val="0"/>
          <w:sz w:val="28"/>
          <w:szCs w:val="28"/>
        </w:rPr>
        <w:t>四、凡对本次公告内容提出询问，请按以下方式联系。</w:t>
      </w:r>
      <w:bookmarkEnd w:id="11"/>
      <w:bookmarkEnd w:id="12"/>
      <w:bookmarkEnd w:id="13"/>
      <w:bookmarkEnd w:id="14"/>
    </w:p>
    <w:p w14:paraId="15561E61">
      <w:pPr>
        <w:spacing w:line="360" w:lineRule="auto"/>
        <w:rPr>
          <w:rFonts w:ascii="仿宋" w:hAnsi="仿宋" w:eastAsia="仿宋" w:cs="宋体"/>
          <w:b/>
          <w:sz w:val="28"/>
          <w:szCs w:val="28"/>
        </w:rPr>
      </w:pPr>
      <w:bookmarkStart w:id="15" w:name="_Toc35393637"/>
      <w:bookmarkStart w:id="16" w:name="_Toc28971"/>
      <w:bookmarkStart w:id="17" w:name="_Toc28359096"/>
      <w:bookmarkStart w:id="18" w:name="_Toc28359019"/>
      <w:bookmarkStart w:id="19" w:name="_Toc35393806"/>
      <w:bookmarkStart w:id="20" w:name="_Toc9239"/>
      <w:bookmarkStart w:id="21" w:name="_Toc19627"/>
      <w:bookmarkStart w:id="22" w:name="_Toc22817"/>
      <w:bookmarkStart w:id="23" w:name="_Toc35393652"/>
      <w:bookmarkStart w:id="24" w:name="_Toc35393821"/>
      <w:r>
        <w:rPr>
          <w:rFonts w:hint="eastAsia" w:ascii="仿宋" w:hAnsi="仿宋" w:eastAsia="仿宋" w:cs="宋体"/>
          <w:sz w:val="28"/>
          <w:szCs w:val="28"/>
        </w:rPr>
        <w:t>1.采购人信息</w:t>
      </w:r>
      <w:bookmarkEnd w:id="15"/>
      <w:bookmarkEnd w:id="16"/>
      <w:bookmarkEnd w:id="17"/>
      <w:bookmarkEnd w:id="18"/>
      <w:bookmarkEnd w:id="19"/>
      <w:bookmarkEnd w:id="20"/>
      <w:bookmarkEnd w:id="21"/>
      <w:bookmarkEnd w:id="22"/>
    </w:p>
    <w:p w14:paraId="76CFF3F4">
      <w:pPr>
        <w:spacing w:line="360" w:lineRule="auto"/>
        <w:rPr>
          <w:rFonts w:hint="eastAsia" w:ascii="仿宋" w:hAnsi="仿宋" w:eastAsia="仿宋"/>
          <w:sz w:val="28"/>
          <w:szCs w:val="28"/>
        </w:rPr>
      </w:pPr>
      <w:bookmarkStart w:id="25" w:name="_Toc28359020"/>
      <w:bookmarkStart w:id="26" w:name="_Toc29640"/>
      <w:bookmarkStart w:id="27" w:name="_Toc18336"/>
      <w:bookmarkStart w:id="28" w:name="_Toc28359097"/>
      <w:bookmarkStart w:id="29" w:name="_Toc35393807"/>
      <w:bookmarkStart w:id="30" w:name="_Toc35393638"/>
      <w:r>
        <w:rPr>
          <w:rFonts w:hint="eastAsia" w:ascii="仿宋" w:hAnsi="仿宋" w:eastAsia="仿宋"/>
          <w:sz w:val="28"/>
          <w:szCs w:val="28"/>
        </w:rPr>
        <w:t>名称：北京汽车技师学院</w:t>
      </w:r>
    </w:p>
    <w:p w14:paraId="6DC5FA02">
      <w:pPr>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地    址：北京市大兴区育英街11号</w:t>
      </w:r>
    </w:p>
    <w:p w14:paraId="28F63C39">
      <w:pPr>
        <w:spacing w:line="360" w:lineRule="auto"/>
        <w:rPr>
          <w:rFonts w:ascii="仿宋" w:hAnsi="仿宋" w:eastAsia="仿宋"/>
          <w:sz w:val="28"/>
          <w:szCs w:val="28"/>
        </w:rPr>
      </w:pPr>
      <w:r>
        <w:rPr>
          <w:rFonts w:hint="eastAsia" w:ascii="仿宋" w:hAnsi="仿宋" w:eastAsia="仿宋"/>
          <w:sz w:val="28"/>
          <w:szCs w:val="28"/>
          <w:lang w:val="en-US" w:eastAsia="zh-CN"/>
        </w:rPr>
        <w:t>联系方式：刘老师，80278787-8521</w:t>
      </w:r>
    </w:p>
    <w:p w14:paraId="23826D7C">
      <w:pPr>
        <w:spacing w:line="360" w:lineRule="auto"/>
        <w:rPr>
          <w:rFonts w:ascii="仿宋" w:hAnsi="仿宋" w:eastAsia="仿宋" w:cs="宋体"/>
          <w:b/>
          <w:sz w:val="28"/>
          <w:szCs w:val="28"/>
        </w:rPr>
      </w:pPr>
      <w:bookmarkStart w:id="31" w:name="_Toc1007"/>
      <w:bookmarkStart w:id="32" w:name="_Toc14691"/>
      <w:r>
        <w:rPr>
          <w:rFonts w:hint="eastAsia" w:ascii="仿宋" w:hAnsi="仿宋" w:eastAsia="仿宋" w:cs="宋体"/>
          <w:sz w:val="28"/>
          <w:szCs w:val="28"/>
        </w:rPr>
        <w:t>2.采购代理机构信息</w:t>
      </w:r>
      <w:bookmarkEnd w:id="25"/>
      <w:bookmarkEnd w:id="26"/>
      <w:bookmarkEnd w:id="27"/>
      <w:bookmarkEnd w:id="28"/>
      <w:bookmarkEnd w:id="29"/>
      <w:bookmarkEnd w:id="30"/>
      <w:bookmarkEnd w:id="31"/>
      <w:bookmarkEnd w:id="32"/>
    </w:p>
    <w:p w14:paraId="305C80C7">
      <w:pPr>
        <w:spacing w:line="360" w:lineRule="auto"/>
        <w:rPr>
          <w:rFonts w:ascii="仿宋" w:hAnsi="仿宋" w:eastAsia="仿宋"/>
          <w:sz w:val="28"/>
          <w:szCs w:val="28"/>
          <w:u w:val="none"/>
        </w:rPr>
      </w:pPr>
      <w:r>
        <w:rPr>
          <w:rFonts w:hint="eastAsia" w:ascii="仿宋" w:hAnsi="仿宋" w:eastAsia="仿宋"/>
          <w:sz w:val="28"/>
          <w:szCs w:val="28"/>
          <w:u w:val="none"/>
        </w:rPr>
        <w:t>名称：中技国际招标有限公司</w:t>
      </w:r>
    </w:p>
    <w:p w14:paraId="587FD0D4">
      <w:pPr>
        <w:spacing w:line="360" w:lineRule="auto"/>
        <w:rPr>
          <w:rFonts w:ascii="仿宋" w:hAnsi="仿宋" w:eastAsia="仿宋"/>
          <w:sz w:val="28"/>
          <w:szCs w:val="28"/>
          <w:u w:val="none"/>
        </w:rPr>
      </w:pPr>
      <w:r>
        <w:rPr>
          <w:rFonts w:hint="eastAsia" w:ascii="仿宋" w:hAnsi="仿宋" w:eastAsia="仿宋"/>
          <w:sz w:val="28"/>
          <w:szCs w:val="28"/>
          <w:u w:val="none"/>
        </w:rPr>
        <w:t>地址：北京市丰台区西营街1号院通用时代中心</w:t>
      </w:r>
    </w:p>
    <w:p w14:paraId="055B1401">
      <w:pPr>
        <w:spacing w:line="360" w:lineRule="auto"/>
        <w:rPr>
          <w:rFonts w:ascii="仿宋" w:hAnsi="仿宋" w:eastAsia="仿宋"/>
          <w:sz w:val="28"/>
          <w:szCs w:val="28"/>
          <w:u w:val="none"/>
        </w:rPr>
      </w:pPr>
      <w:r>
        <w:rPr>
          <w:rFonts w:hint="eastAsia" w:ascii="仿宋" w:hAnsi="仿宋" w:eastAsia="仿宋"/>
          <w:sz w:val="28"/>
          <w:szCs w:val="28"/>
          <w:u w:val="none"/>
        </w:rPr>
        <w:t>联系方式：010-81168510</w:t>
      </w:r>
    </w:p>
    <w:p w14:paraId="5D9DC065">
      <w:pPr>
        <w:spacing w:line="360" w:lineRule="auto"/>
        <w:rPr>
          <w:rFonts w:ascii="仿宋" w:hAnsi="仿宋" w:eastAsia="仿宋" w:cs="宋体"/>
          <w:b/>
          <w:sz w:val="28"/>
          <w:szCs w:val="28"/>
        </w:rPr>
      </w:pPr>
      <w:bookmarkStart w:id="33" w:name="_Toc28795"/>
      <w:bookmarkStart w:id="34" w:name="_Toc23979"/>
      <w:bookmarkStart w:id="35" w:name="_Toc28359098"/>
      <w:bookmarkStart w:id="36" w:name="_Toc35393808"/>
      <w:bookmarkStart w:id="37" w:name="_Toc28359021"/>
      <w:bookmarkStart w:id="38" w:name="_Toc6756"/>
      <w:bookmarkStart w:id="39" w:name="_Toc35393639"/>
      <w:bookmarkStart w:id="40" w:name="_Toc12222"/>
      <w:r>
        <w:rPr>
          <w:rFonts w:hint="eastAsia" w:ascii="仿宋" w:hAnsi="仿宋" w:eastAsia="仿宋" w:cs="宋体"/>
          <w:sz w:val="28"/>
          <w:szCs w:val="28"/>
        </w:rPr>
        <w:t>3.项目联系</w:t>
      </w:r>
      <w:r>
        <w:rPr>
          <w:rFonts w:ascii="仿宋" w:hAnsi="仿宋" w:eastAsia="仿宋" w:cs="宋体"/>
          <w:sz w:val="28"/>
          <w:szCs w:val="28"/>
        </w:rPr>
        <w:t>方式</w:t>
      </w:r>
      <w:bookmarkEnd w:id="33"/>
      <w:bookmarkEnd w:id="34"/>
      <w:bookmarkEnd w:id="35"/>
      <w:bookmarkEnd w:id="36"/>
      <w:bookmarkEnd w:id="37"/>
      <w:bookmarkEnd w:id="38"/>
      <w:bookmarkEnd w:id="39"/>
      <w:bookmarkEnd w:id="40"/>
    </w:p>
    <w:p w14:paraId="55152CE6">
      <w:pPr>
        <w:spacing w:line="360" w:lineRule="auto"/>
        <w:rPr>
          <w:rFonts w:hint="default" w:ascii="仿宋" w:hAnsi="仿宋" w:eastAsia="仿宋"/>
          <w:sz w:val="28"/>
          <w:szCs w:val="28"/>
          <w:u w:val="none"/>
          <w:lang w:val="en-US" w:eastAsia="zh-CN"/>
        </w:rPr>
      </w:pPr>
      <w:r>
        <w:rPr>
          <w:rFonts w:hint="eastAsia" w:ascii="仿宋" w:hAnsi="仿宋" w:eastAsia="仿宋"/>
          <w:sz w:val="28"/>
          <w:szCs w:val="28"/>
          <w:u w:val="none"/>
        </w:rPr>
        <w:t>项目联系人：史桂林</w:t>
      </w:r>
      <w:r>
        <w:rPr>
          <w:rFonts w:hint="eastAsia" w:ascii="仿宋" w:hAnsi="仿宋" w:eastAsia="仿宋"/>
          <w:sz w:val="28"/>
          <w:szCs w:val="28"/>
          <w:u w:val="none"/>
          <w:lang w:eastAsia="zh-CN"/>
        </w:rPr>
        <w:t>、</w:t>
      </w:r>
      <w:r>
        <w:rPr>
          <w:rFonts w:hint="eastAsia" w:ascii="仿宋" w:hAnsi="仿宋" w:eastAsia="仿宋"/>
          <w:sz w:val="28"/>
          <w:szCs w:val="28"/>
          <w:u w:val="none"/>
          <w:lang w:val="en-US" w:eastAsia="zh-CN"/>
        </w:rPr>
        <w:t>彭媛媛</w:t>
      </w:r>
    </w:p>
    <w:p w14:paraId="746C6A9C">
      <w:pPr>
        <w:spacing w:line="360" w:lineRule="auto"/>
        <w:rPr>
          <w:rFonts w:ascii="仿宋" w:hAnsi="仿宋" w:eastAsia="仿宋"/>
          <w:sz w:val="28"/>
          <w:szCs w:val="28"/>
          <w:u w:val="none"/>
        </w:rPr>
      </w:pPr>
      <w:r>
        <w:rPr>
          <w:rFonts w:hint="eastAsia" w:ascii="仿宋" w:hAnsi="仿宋" w:eastAsia="仿宋"/>
          <w:sz w:val="28"/>
          <w:szCs w:val="28"/>
          <w:u w:val="none"/>
        </w:rPr>
        <w:t>电话：010-81168510</w:t>
      </w:r>
    </w:p>
    <w:p w14:paraId="58DAFBCC">
      <w:pPr>
        <w:pStyle w:val="3"/>
        <w:spacing w:line="360" w:lineRule="auto"/>
        <w:rPr>
          <w:rFonts w:hint="eastAsia" w:ascii="仿宋" w:hAnsi="仿宋" w:eastAsia="仿宋" w:cs="仿宋"/>
          <w:sz w:val="28"/>
          <w:szCs w:val="28"/>
        </w:rPr>
      </w:pPr>
      <w:r>
        <w:rPr>
          <w:rFonts w:hint="eastAsia" w:ascii="仿宋" w:hAnsi="仿宋" w:eastAsia="仿宋" w:cs="仿宋"/>
          <w:b/>
          <w:bCs w:val="0"/>
          <w:sz w:val="28"/>
          <w:szCs w:val="28"/>
        </w:rPr>
        <w:t>五、附件</w:t>
      </w:r>
      <w:bookmarkEnd w:id="23"/>
      <w:bookmarkEnd w:id="24"/>
    </w:p>
    <w:p w14:paraId="3795F19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23A16"/>
    <w:multiLevelType w:val="singleLevel"/>
    <w:tmpl w:val="9D823A16"/>
    <w:lvl w:ilvl="0" w:tentative="0">
      <w:start w:val="2"/>
      <w:numFmt w:val="decimal"/>
      <w:suff w:val="nothing"/>
      <w:lvlText w:val="%1、"/>
      <w:lvlJc w:val="left"/>
    </w:lvl>
  </w:abstractNum>
  <w:abstractNum w:abstractNumId="1">
    <w:nsid w:val="1BDCB81D"/>
    <w:multiLevelType w:val="singleLevel"/>
    <w:tmpl w:val="1BDCB81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xODk0MzFhN2RiYWM1ZjNmMzNkNGVjMmYzODA0YmYifQ=="/>
  </w:docVars>
  <w:rsids>
    <w:rsidRoot w:val="1D6F73A4"/>
    <w:rsid w:val="007637A7"/>
    <w:rsid w:val="008B5614"/>
    <w:rsid w:val="00BA3803"/>
    <w:rsid w:val="014337F8"/>
    <w:rsid w:val="025D08EA"/>
    <w:rsid w:val="039B3DC0"/>
    <w:rsid w:val="0414147C"/>
    <w:rsid w:val="042C71E8"/>
    <w:rsid w:val="05DD246D"/>
    <w:rsid w:val="06DF5D71"/>
    <w:rsid w:val="0754114E"/>
    <w:rsid w:val="07671A2A"/>
    <w:rsid w:val="076D4B9C"/>
    <w:rsid w:val="079052BE"/>
    <w:rsid w:val="07C558A2"/>
    <w:rsid w:val="08AA0601"/>
    <w:rsid w:val="08C6543B"/>
    <w:rsid w:val="08CA4233"/>
    <w:rsid w:val="0A374116"/>
    <w:rsid w:val="0AB063A2"/>
    <w:rsid w:val="0C430B50"/>
    <w:rsid w:val="0D090A96"/>
    <w:rsid w:val="0D0A61EA"/>
    <w:rsid w:val="121D3BF2"/>
    <w:rsid w:val="12887C05"/>
    <w:rsid w:val="12BA7D07"/>
    <w:rsid w:val="12E8415D"/>
    <w:rsid w:val="13557E77"/>
    <w:rsid w:val="14D90049"/>
    <w:rsid w:val="151416D3"/>
    <w:rsid w:val="161810CD"/>
    <w:rsid w:val="16D9355B"/>
    <w:rsid w:val="177B7D38"/>
    <w:rsid w:val="178C5AA1"/>
    <w:rsid w:val="17AD77C6"/>
    <w:rsid w:val="18716A45"/>
    <w:rsid w:val="18864714"/>
    <w:rsid w:val="18916A4A"/>
    <w:rsid w:val="1A073B05"/>
    <w:rsid w:val="1AEE0821"/>
    <w:rsid w:val="1C2C33AF"/>
    <w:rsid w:val="1C9F0025"/>
    <w:rsid w:val="1D2422D8"/>
    <w:rsid w:val="1D6F73A4"/>
    <w:rsid w:val="1DA351D5"/>
    <w:rsid w:val="1FC57DA2"/>
    <w:rsid w:val="224A1257"/>
    <w:rsid w:val="22602004"/>
    <w:rsid w:val="22E744D4"/>
    <w:rsid w:val="23841D23"/>
    <w:rsid w:val="2446522A"/>
    <w:rsid w:val="247955FF"/>
    <w:rsid w:val="25244566"/>
    <w:rsid w:val="26D703BB"/>
    <w:rsid w:val="27E92A9C"/>
    <w:rsid w:val="28480D9A"/>
    <w:rsid w:val="2A6B1546"/>
    <w:rsid w:val="2B512E32"/>
    <w:rsid w:val="2CB43679"/>
    <w:rsid w:val="2D8D7A26"/>
    <w:rsid w:val="2E0C3040"/>
    <w:rsid w:val="2E4E18AB"/>
    <w:rsid w:val="2EE43FBD"/>
    <w:rsid w:val="2F000DF7"/>
    <w:rsid w:val="30AA08EF"/>
    <w:rsid w:val="31B9528D"/>
    <w:rsid w:val="322E7A29"/>
    <w:rsid w:val="330634C7"/>
    <w:rsid w:val="33C5616B"/>
    <w:rsid w:val="34533777"/>
    <w:rsid w:val="35304426"/>
    <w:rsid w:val="368220F2"/>
    <w:rsid w:val="37024FE0"/>
    <w:rsid w:val="389600D6"/>
    <w:rsid w:val="3A8C79E3"/>
    <w:rsid w:val="3AAD7959"/>
    <w:rsid w:val="3AC0768C"/>
    <w:rsid w:val="3B007D15"/>
    <w:rsid w:val="3CAD15C2"/>
    <w:rsid w:val="3EDE6E5B"/>
    <w:rsid w:val="3F76656C"/>
    <w:rsid w:val="40854174"/>
    <w:rsid w:val="412169AB"/>
    <w:rsid w:val="43E53CC0"/>
    <w:rsid w:val="459040FF"/>
    <w:rsid w:val="459E4A6E"/>
    <w:rsid w:val="46761547"/>
    <w:rsid w:val="493871C4"/>
    <w:rsid w:val="497B7D6F"/>
    <w:rsid w:val="4A1852C5"/>
    <w:rsid w:val="4D4608FE"/>
    <w:rsid w:val="4D6B16DA"/>
    <w:rsid w:val="4E30647F"/>
    <w:rsid w:val="4E74636C"/>
    <w:rsid w:val="50697A27"/>
    <w:rsid w:val="50F8401E"/>
    <w:rsid w:val="51246D5D"/>
    <w:rsid w:val="51E101BC"/>
    <w:rsid w:val="521C2FA3"/>
    <w:rsid w:val="537B019D"/>
    <w:rsid w:val="547736B9"/>
    <w:rsid w:val="54B35714"/>
    <w:rsid w:val="552503C0"/>
    <w:rsid w:val="56095069"/>
    <w:rsid w:val="565A053D"/>
    <w:rsid w:val="567E13F4"/>
    <w:rsid w:val="575E01ED"/>
    <w:rsid w:val="57E00F16"/>
    <w:rsid w:val="591E3AA4"/>
    <w:rsid w:val="5A1B4488"/>
    <w:rsid w:val="5A767910"/>
    <w:rsid w:val="5AAD44D8"/>
    <w:rsid w:val="5AD22D98"/>
    <w:rsid w:val="5E070FAB"/>
    <w:rsid w:val="5EE02DF3"/>
    <w:rsid w:val="5F5A5FEB"/>
    <w:rsid w:val="60DB3758"/>
    <w:rsid w:val="61894E55"/>
    <w:rsid w:val="62375BD7"/>
    <w:rsid w:val="656960A7"/>
    <w:rsid w:val="66134265"/>
    <w:rsid w:val="66644AC0"/>
    <w:rsid w:val="676236F6"/>
    <w:rsid w:val="67A51AC9"/>
    <w:rsid w:val="683230C8"/>
    <w:rsid w:val="69801C11"/>
    <w:rsid w:val="6AD9782B"/>
    <w:rsid w:val="6B6F1F3D"/>
    <w:rsid w:val="6B99345E"/>
    <w:rsid w:val="6C0E5BFA"/>
    <w:rsid w:val="6C4918B9"/>
    <w:rsid w:val="6C553829"/>
    <w:rsid w:val="6C6475C8"/>
    <w:rsid w:val="6E0F17B6"/>
    <w:rsid w:val="703D260A"/>
    <w:rsid w:val="714B6FA9"/>
    <w:rsid w:val="714F6A99"/>
    <w:rsid w:val="717007BD"/>
    <w:rsid w:val="7307399B"/>
    <w:rsid w:val="738D38A8"/>
    <w:rsid w:val="73D03795"/>
    <w:rsid w:val="73DB5EF5"/>
    <w:rsid w:val="73EC1C67"/>
    <w:rsid w:val="74EA0887"/>
    <w:rsid w:val="75C64E50"/>
    <w:rsid w:val="75FE45EA"/>
    <w:rsid w:val="76880357"/>
    <w:rsid w:val="76960CC6"/>
    <w:rsid w:val="76E45ED5"/>
    <w:rsid w:val="772B58B2"/>
    <w:rsid w:val="77E15F71"/>
    <w:rsid w:val="787C619C"/>
    <w:rsid w:val="7B022DCE"/>
    <w:rsid w:val="7B05641A"/>
    <w:rsid w:val="7C5E4034"/>
    <w:rsid w:val="7C7B4F44"/>
    <w:rsid w:val="7CE65DD7"/>
    <w:rsid w:val="7DD6409E"/>
    <w:rsid w:val="7E1F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0"/>
    <w:pPr>
      <w:tabs>
        <w:tab w:val="left" w:pos="567"/>
      </w:tabs>
      <w:spacing w:before="120" w:line="22" w:lineRule="atLeast"/>
    </w:pPr>
    <w:rPr>
      <w:rFonts w:ascii="宋体" w:hAnsi="宋体"/>
      <w:sz w:val="24"/>
    </w:rPr>
  </w:style>
  <w:style w:type="paragraph" w:styleId="6">
    <w:name w:val="Date"/>
    <w:basedOn w:val="1"/>
    <w:next w:val="1"/>
    <w:qFormat/>
    <w:uiPriority w:val="0"/>
    <w:pPr>
      <w:ind w:left="100" w:leftChars="2500"/>
    </w:pPr>
    <w:rPr>
      <w:rFonts w:ascii="仿宋_GB2312" w:hAnsi="宋体" w:eastAsia="仿宋_GB2312"/>
      <w:color w:val="000000"/>
      <w:sz w:val="24"/>
    </w:rPr>
  </w:style>
  <w:style w:type="paragraph" w:styleId="7">
    <w:name w:val="Plain Text"/>
    <w:basedOn w:val="1"/>
    <w:autoRedefine/>
    <w:qFormat/>
    <w:uiPriority w:val="0"/>
    <w:rPr>
      <w:rFonts w:ascii="宋体" w:hAnsi="Courier New" w:eastAsiaTheme="minorEastAsia" w:cstheme="minorBidi"/>
      <w:szCs w:val="22"/>
    </w:rPr>
  </w:style>
  <w:style w:type="paragraph" w:styleId="8">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951</Words>
  <Characters>1102</Characters>
  <Lines>0</Lines>
  <Paragraphs>0</Paragraphs>
  <TotalTime>5</TotalTime>
  <ScaleCrop>false</ScaleCrop>
  <LinksUpToDate>false</LinksUpToDate>
  <CharactersWithSpaces>1122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2024-04-17T02:52:00Z</dcterms:created>
  <dc:creator>s</dc:creator>
  <cp:lastModifiedBy>吴家豪</cp:lastModifiedBy>
  <dcterms:modified xsi:type="dcterms:W3CDTF">2026-06-25T06:26:18Z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7A5CBBBD9A3A492D9AB3129CE4D95188_13</vt:lpwstr>
  </property>
  <property fmtid="{D5CDD505-2E9C-101B-9397-08002B2CF9AE}" pid="4" name="KSOTemplateDocerSaveRecord">
    <vt:lpwstr>eyJoZGlkIjoiMzEwNTM5NzYwMDRjMzkwZTVkZjY2ODkwMGIxNGU0OTUiLCJ1c2VySWQiOiI5MDI0NjM5OTMifQ==</vt:lpwstr>
  </property>
</Properties>
</file>