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74A42">
      <w:pPr>
        <w:spacing w:line="360" w:lineRule="auto"/>
        <w:jc w:val="center"/>
        <w:outlineLvl w:val="0"/>
        <w:rPr>
          <w:b/>
          <w:sz w:val="36"/>
          <w:szCs w:val="36"/>
        </w:rPr>
      </w:pPr>
      <w:bookmarkStart w:id="0" w:name="_Toc7535"/>
      <w:r>
        <w:rPr>
          <w:b/>
          <w:sz w:val="36"/>
          <w:szCs w:val="36"/>
        </w:rPr>
        <w:t>第五章   采购需求</w:t>
      </w:r>
      <w:bookmarkEnd w:id="0"/>
    </w:p>
    <w:p w14:paraId="25A22ED4">
      <w:pPr>
        <w:pStyle w:val="3"/>
        <w:tabs>
          <w:tab w:val="left" w:pos="630"/>
        </w:tabs>
        <w:ind w:firstLine="0"/>
        <w:rPr>
          <w:b/>
        </w:rPr>
      </w:pPr>
      <w:r>
        <w:rPr>
          <w:b/>
        </w:rPr>
        <w:t>注：</w:t>
      </w:r>
      <w:r>
        <w:rPr>
          <w:bCs/>
        </w:rPr>
        <w:t>招标文件带有“★”号条款为实质性条款，不满足要求为</w:t>
      </w:r>
      <w:r>
        <w:rPr>
          <w:b/>
        </w:rPr>
        <w:t>无效投标（如有）。</w:t>
      </w:r>
    </w:p>
    <w:p w14:paraId="6DD78405">
      <w:pPr>
        <w:spacing w:line="360" w:lineRule="auto"/>
        <w:rPr>
          <w:b/>
          <w:sz w:val="24"/>
        </w:rPr>
      </w:pPr>
      <w:r>
        <w:rPr>
          <w:b/>
          <w:sz w:val="24"/>
        </w:rPr>
        <w:t>一、采购标的</w:t>
      </w:r>
    </w:p>
    <w:p w14:paraId="07196EB5">
      <w:pPr>
        <w:spacing w:line="360" w:lineRule="auto"/>
        <w:rPr>
          <w:b/>
          <w:sz w:val="24"/>
        </w:rPr>
      </w:pPr>
      <w:r>
        <w:rPr>
          <w:b/>
          <w:sz w:val="24"/>
        </w:rPr>
        <w:t>核心产品为：</w:t>
      </w:r>
      <w:r>
        <w:rPr>
          <w:rFonts w:hint="eastAsia"/>
          <w:b/>
          <w:sz w:val="24"/>
        </w:rPr>
        <w:t>移动机器人开发平台</w:t>
      </w:r>
    </w:p>
    <w:p w14:paraId="4846735E">
      <w:pPr>
        <w:spacing w:line="360" w:lineRule="auto"/>
        <w:contextualSpacing/>
        <w:rPr>
          <w:bCs/>
          <w:sz w:val="24"/>
        </w:rPr>
      </w:pPr>
      <w:r>
        <w:rPr>
          <w:bCs/>
          <w:sz w:val="24"/>
        </w:rPr>
        <w:t>1. 采购标的（货物需求一览表或简要服务内容及数量）</w:t>
      </w:r>
    </w:p>
    <w:tbl>
      <w:tblPr>
        <w:tblStyle w:val="4"/>
        <w:tblW w:w="4997" w:type="pct"/>
        <w:tblInd w:w="0" w:type="dxa"/>
        <w:tblLayout w:type="autofit"/>
        <w:tblCellMar>
          <w:top w:w="0" w:type="dxa"/>
          <w:left w:w="108" w:type="dxa"/>
          <w:bottom w:w="0" w:type="dxa"/>
          <w:right w:w="108" w:type="dxa"/>
        </w:tblCellMar>
      </w:tblPr>
      <w:tblGrid>
        <w:gridCol w:w="457"/>
        <w:gridCol w:w="1547"/>
        <w:gridCol w:w="457"/>
        <w:gridCol w:w="3177"/>
        <w:gridCol w:w="457"/>
        <w:gridCol w:w="1656"/>
        <w:gridCol w:w="766"/>
      </w:tblGrid>
      <w:tr w14:paraId="4CA2EC53">
        <w:tblPrEx>
          <w:tblCellMar>
            <w:top w:w="0" w:type="dxa"/>
            <w:left w:w="108" w:type="dxa"/>
            <w:bottom w:w="0" w:type="dxa"/>
            <w:right w:w="108" w:type="dxa"/>
          </w:tblCellMar>
        </w:tblPrEx>
        <w:trPr>
          <w:trHeight w:val="1218" w:hRule="atLeast"/>
        </w:trPr>
        <w:tc>
          <w:tcPr>
            <w:tcW w:w="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7494">
            <w:pPr>
              <w:widowControl/>
              <w:spacing w:line="360" w:lineRule="auto"/>
              <w:jc w:val="center"/>
              <w:textAlignment w:val="center"/>
              <w:rPr>
                <w:b/>
                <w:bCs/>
                <w:color w:val="000000"/>
                <w:sz w:val="24"/>
              </w:rPr>
            </w:pPr>
            <w:r>
              <w:rPr>
                <w:b/>
                <w:bCs/>
                <w:color w:val="000000"/>
                <w:kern w:val="0"/>
                <w:sz w:val="24"/>
                <w:lang w:bidi="ar"/>
              </w:rPr>
              <w:t>序号</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61C8">
            <w:pPr>
              <w:widowControl/>
              <w:spacing w:line="360" w:lineRule="auto"/>
              <w:jc w:val="center"/>
              <w:textAlignment w:val="center"/>
              <w:rPr>
                <w:b/>
                <w:bCs/>
                <w:color w:val="000000"/>
                <w:sz w:val="24"/>
              </w:rPr>
            </w:pPr>
            <w:r>
              <w:rPr>
                <w:b/>
                <w:bCs/>
                <w:color w:val="000000"/>
                <w:kern w:val="0"/>
                <w:sz w:val="24"/>
                <w:lang w:bidi="ar"/>
              </w:rPr>
              <w:t>产品名称</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E8E5B">
            <w:pPr>
              <w:widowControl/>
              <w:spacing w:line="360" w:lineRule="auto"/>
              <w:jc w:val="center"/>
              <w:textAlignment w:val="center"/>
              <w:rPr>
                <w:b/>
                <w:bCs/>
                <w:color w:val="000000"/>
                <w:sz w:val="24"/>
              </w:rPr>
            </w:pPr>
            <w:r>
              <w:rPr>
                <w:b/>
                <w:bCs/>
                <w:color w:val="000000"/>
                <w:kern w:val="0"/>
                <w:sz w:val="24"/>
                <w:lang w:bidi="ar"/>
              </w:rPr>
              <w:t>计量单位</w:t>
            </w:r>
          </w:p>
        </w:tc>
        <w:tc>
          <w:tcPr>
            <w:tcW w:w="1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5EBB9">
            <w:pPr>
              <w:widowControl/>
              <w:spacing w:line="360" w:lineRule="auto"/>
              <w:jc w:val="center"/>
              <w:textAlignment w:val="center"/>
              <w:rPr>
                <w:b/>
                <w:bCs/>
                <w:color w:val="000000"/>
                <w:kern w:val="0"/>
                <w:sz w:val="24"/>
                <w:lang w:bidi="ar"/>
              </w:rPr>
            </w:pPr>
            <w:r>
              <w:rPr>
                <w:rFonts w:hint="eastAsia"/>
                <w:b/>
                <w:bCs/>
                <w:color w:val="000000"/>
                <w:kern w:val="0"/>
                <w:sz w:val="24"/>
                <w:lang w:bidi="ar"/>
              </w:rPr>
              <w:t>规格要求</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DC2C">
            <w:pPr>
              <w:widowControl/>
              <w:spacing w:line="360" w:lineRule="auto"/>
              <w:jc w:val="center"/>
              <w:textAlignment w:val="center"/>
              <w:rPr>
                <w:b/>
                <w:bCs/>
                <w:color w:val="000000"/>
                <w:sz w:val="24"/>
              </w:rPr>
            </w:pPr>
            <w:r>
              <w:rPr>
                <w:b/>
                <w:bCs/>
                <w:color w:val="000000"/>
                <w:kern w:val="0"/>
                <w:sz w:val="24"/>
                <w:lang w:bidi="ar"/>
              </w:rPr>
              <w:t>数量</w:t>
            </w:r>
          </w:p>
        </w:tc>
        <w:tc>
          <w:tcPr>
            <w:tcW w:w="617" w:type="pct"/>
            <w:tcBorders>
              <w:top w:val="single" w:color="000000" w:sz="4" w:space="0"/>
              <w:left w:val="single" w:color="000000" w:sz="4" w:space="0"/>
              <w:bottom w:val="single" w:color="auto" w:sz="4" w:space="0"/>
              <w:right w:val="single" w:color="000000" w:sz="4" w:space="0"/>
            </w:tcBorders>
            <w:shd w:val="clear" w:color="auto" w:fill="auto"/>
            <w:vAlign w:val="center"/>
          </w:tcPr>
          <w:p w14:paraId="7FC6650D">
            <w:pPr>
              <w:widowControl/>
              <w:spacing w:line="360" w:lineRule="auto"/>
              <w:jc w:val="center"/>
              <w:textAlignment w:val="center"/>
              <w:rPr>
                <w:b/>
                <w:bCs/>
                <w:color w:val="000000"/>
                <w:kern w:val="0"/>
                <w:sz w:val="24"/>
                <w:lang w:bidi="ar"/>
              </w:rPr>
            </w:pPr>
            <w:r>
              <w:rPr>
                <w:b/>
                <w:bCs/>
                <w:color w:val="000000"/>
                <w:kern w:val="0"/>
                <w:sz w:val="24"/>
                <w:lang w:bidi="ar"/>
              </w:rPr>
              <w:t>简要技术需求或服务要求</w:t>
            </w:r>
          </w:p>
        </w:tc>
        <w:tc>
          <w:tcPr>
            <w:tcW w:w="540" w:type="pct"/>
            <w:tcBorders>
              <w:top w:val="single" w:color="000000" w:sz="4" w:space="0"/>
              <w:left w:val="single" w:color="000000" w:sz="4" w:space="0"/>
              <w:bottom w:val="single" w:color="auto" w:sz="4" w:space="0"/>
              <w:right w:val="single" w:color="000000" w:sz="4" w:space="0"/>
            </w:tcBorders>
            <w:shd w:val="clear" w:color="auto" w:fill="auto"/>
            <w:vAlign w:val="center"/>
          </w:tcPr>
          <w:p w14:paraId="023E2776">
            <w:pPr>
              <w:widowControl/>
              <w:spacing w:line="360" w:lineRule="auto"/>
              <w:jc w:val="center"/>
              <w:textAlignment w:val="center"/>
              <w:rPr>
                <w:b/>
                <w:bCs/>
                <w:color w:val="000000"/>
                <w:kern w:val="0"/>
                <w:sz w:val="24"/>
                <w:lang w:bidi="ar"/>
              </w:rPr>
            </w:pPr>
            <w:r>
              <w:rPr>
                <w:b/>
                <w:bCs/>
                <w:color w:val="000000"/>
                <w:kern w:val="0"/>
                <w:sz w:val="24"/>
                <w:lang w:bidi="ar"/>
              </w:rPr>
              <w:t>是否允许进口产品投标</w:t>
            </w:r>
          </w:p>
        </w:tc>
      </w:tr>
      <w:tr w14:paraId="767950C3">
        <w:tblPrEx>
          <w:tblCellMar>
            <w:top w:w="0" w:type="dxa"/>
            <w:left w:w="108" w:type="dxa"/>
            <w:bottom w:w="0" w:type="dxa"/>
            <w:right w:w="108" w:type="dxa"/>
          </w:tblCellMar>
        </w:tblPrEx>
        <w:trPr>
          <w:trHeight w:val="1589" w:hRule="atLeast"/>
        </w:trPr>
        <w:tc>
          <w:tcPr>
            <w:tcW w:w="2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B66B">
            <w:pPr>
              <w:widowControl/>
              <w:spacing w:line="360" w:lineRule="auto"/>
              <w:jc w:val="center"/>
              <w:textAlignment w:val="center"/>
              <w:rPr>
                <w:color w:val="000000"/>
                <w:sz w:val="24"/>
              </w:rPr>
            </w:pPr>
            <w:r>
              <w:rPr>
                <w:color w:val="000000"/>
                <w:kern w:val="0"/>
                <w:sz w:val="24"/>
                <w:lang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EAC2">
            <w:pPr>
              <w:spacing w:line="360" w:lineRule="auto"/>
              <w:jc w:val="center"/>
              <w:rPr>
                <w:color w:val="000000"/>
                <w:sz w:val="24"/>
              </w:rPr>
            </w:pPr>
            <w:r>
              <w:rPr>
                <w:rFonts w:hint="eastAsia"/>
                <w:b/>
                <w:bCs/>
                <w:sz w:val="24"/>
              </w:rPr>
              <w:t>移动机器人开发平台（核心产品）</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67E1">
            <w:pPr>
              <w:spacing w:line="360" w:lineRule="auto"/>
              <w:jc w:val="center"/>
              <w:rPr>
                <w:color w:val="000000"/>
                <w:sz w:val="24"/>
              </w:rPr>
            </w:pPr>
            <w:r>
              <w:rPr>
                <w:rFonts w:hint="eastAsia"/>
                <w:color w:val="000000"/>
                <w:sz w:val="24"/>
              </w:rPr>
              <w:t>套</w:t>
            </w:r>
          </w:p>
        </w:tc>
        <w:tc>
          <w:tcPr>
            <w:tcW w:w="19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A903032">
            <w:pPr>
              <w:widowControl/>
              <w:spacing w:line="360" w:lineRule="auto"/>
              <w:jc w:val="left"/>
              <w:rPr>
                <w:bCs/>
                <w:sz w:val="24"/>
              </w:rPr>
            </w:pPr>
            <w:r>
              <w:rPr>
                <w:bCs/>
                <w:sz w:val="24"/>
              </w:rPr>
              <w:t>包含以下模块：</w:t>
            </w:r>
          </w:p>
          <w:p w14:paraId="5BFD2E14">
            <w:pPr>
              <w:widowControl/>
              <w:spacing w:line="360" w:lineRule="auto"/>
              <w:jc w:val="left"/>
              <w:rPr>
                <w:bCs/>
                <w:sz w:val="24"/>
              </w:rPr>
            </w:pPr>
            <w:r>
              <w:rPr>
                <w:bCs/>
                <w:sz w:val="24"/>
              </w:rPr>
              <w:t>一、行走模块</w:t>
            </w:r>
          </w:p>
          <w:p w14:paraId="11115B8D">
            <w:pPr>
              <w:widowControl/>
              <w:spacing w:line="360" w:lineRule="auto"/>
              <w:jc w:val="left"/>
              <w:rPr>
                <w:bCs/>
                <w:sz w:val="24"/>
              </w:rPr>
            </w:pPr>
            <w:r>
              <w:rPr>
                <w:bCs/>
                <w:sz w:val="24"/>
              </w:rPr>
              <w:t>二、多自由度作业模块</w:t>
            </w:r>
          </w:p>
          <w:p w14:paraId="4ABCA3D3">
            <w:pPr>
              <w:widowControl/>
              <w:spacing w:line="360" w:lineRule="auto"/>
              <w:jc w:val="left"/>
              <w:rPr>
                <w:bCs/>
                <w:sz w:val="24"/>
              </w:rPr>
            </w:pPr>
            <w:r>
              <w:rPr>
                <w:bCs/>
                <w:sz w:val="24"/>
              </w:rPr>
              <w:t>三、视觉检测模块</w:t>
            </w:r>
          </w:p>
          <w:p w14:paraId="5A42D8E3">
            <w:pPr>
              <w:widowControl/>
              <w:spacing w:line="360" w:lineRule="auto"/>
              <w:jc w:val="left"/>
              <w:rPr>
                <w:bCs/>
                <w:sz w:val="24"/>
              </w:rPr>
            </w:pPr>
            <w:r>
              <w:rPr>
                <w:bCs/>
                <w:sz w:val="24"/>
              </w:rPr>
              <w:t>四、结构光检测模块</w:t>
            </w:r>
          </w:p>
          <w:p w14:paraId="27C70677">
            <w:pPr>
              <w:widowControl/>
              <w:spacing w:line="360" w:lineRule="auto"/>
              <w:jc w:val="left"/>
              <w:rPr>
                <w:bCs/>
                <w:sz w:val="24"/>
              </w:rPr>
            </w:pPr>
            <w:r>
              <w:rPr>
                <w:bCs/>
                <w:sz w:val="24"/>
              </w:rPr>
              <w:t>五、多功能作业模块</w:t>
            </w:r>
          </w:p>
          <w:p w14:paraId="1B6E09FF">
            <w:pPr>
              <w:widowControl/>
              <w:spacing w:line="360" w:lineRule="auto"/>
              <w:jc w:val="left"/>
              <w:rPr>
                <w:bCs/>
                <w:sz w:val="24"/>
              </w:rPr>
            </w:pPr>
            <w:r>
              <w:rPr>
                <w:bCs/>
                <w:sz w:val="24"/>
              </w:rPr>
              <w:t>六、超声检测模块</w:t>
            </w:r>
          </w:p>
          <w:p w14:paraId="01087DEF">
            <w:pPr>
              <w:widowControl/>
              <w:spacing w:line="360" w:lineRule="auto"/>
              <w:jc w:val="left"/>
              <w:rPr>
                <w:bCs/>
                <w:sz w:val="24"/>
              </w:rPr>
            </w:pPr>
            <w:r>
              <w:rPr>
                <w:bCs/>
                <w:sz w:val="24"/>
              </w:rPr>
              <w:t xml:space="preserve">七、主控模块 </w:t>
            </w:r>
          </w:p>
          <w:p w14:paraId="27840F98">
            <w:pPr>
              <w:widowControl/>
              <w:spacing w:line="360" w:lineRule="auto"/>
              <w:jc w:val="left"/>
              <w:rPr>
                <w:bCs/>
                <w:sz w:val="24"/>
              </w:rPr>
            </w:pPr>
            <w:r>
              <w:rPr>
                <w:bCs/>
                <w:sz w:val="24"/>
              </w:rPr>
              <w:t xml:space="preserve">八、作业监控模块 </w:t>
            </w:r>
          </w:p>
        </w:tc>
        <w:tc>
          <w:tcPr>
            <w:tcW w:w="33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4330790">
            <w:pPr>
              <w:spacing w:line="360" w:lineRule="auto"/>
              <w:jc w:val="center"/>
              <w:rPr>
                <w:color w:val="000000"/>
                <w:sz w:val="24"/>
              </w:rPr>
            </w:pPr>
            <w:r>
              <w:rPr>
                <w:rFonts w:hint="eastAsia"/>
                <w:color w:val="000000"/>
                <w:sz w:val="24"/>
              </w:rPr>
              <w:t>1</w:t>
            </w:r>
          </w:p>
        </w:tc>
        <w:tc>
          <w:tcPr>
            <w:tcW w:w="617" w:type="pct"/>
            <w:tcBorders>
              <w:top w:val="single" w:color="auto" w:sz="4" w:space="0"/>
              <w:left w:val="single" w:color="auto" w:sz="4" w:space="0"/>
              <w:bottom w:val="single" w:color="auto" w:sz="4" w:space="0"/>
              <w:right w:val="single" w:color="000000" w:sz="4" w:space="0"/>
            </w:tcBorders>
            <w:shd w:val="clear" w:color="auto" w:fill="auto"/>
            <w:noWrap/>
            <w:vAlign w:val="center"/>
          </w:tcPr>
          <w:p w14:paraId="0935F1DA">
            <w:pPr>
              <w:widowControl/>
              <w:spacing w:line="360" w:lineRule="auto"/>
              <w:jc w:val="center"/>
              <w:textAlignment w:val="center"/>
              <w:rPr>
                <w:color w:val="000000"/>
                <w:kern w:val="0"/>
                <w:sz w:val="24"/>
                <w:lang w:bidi="ar"/>
              </w:rPr>
            </w:pPr>
            <w:r>
              <w:rPr>
                <w:color w:val="000000"/>
                <w:kern w:val="0"/>
                <w:sz w:val="24"/>
                <w:lang w:bidi="ar"/>
              </w:rPr>
              <w:t>详见采购需求</w:t>
            </w:r>
          </w:p>
        </w:tc>
        <w:tc>
          <w:tcPr>
            <w:tcW w:w="540" w:type="pct"/>
            <w:tcBorders>
              <w:top w:val="single" w:color="auto" w:sz="4" w:space="0"/>
              <w:left w:val="single" w:color="000000" w:sz="4" w:space="0"/>
              <w:bottom w:val="single" w:color="auto" w:sz="4" w:space="0"/>
              <w:right w:val="single" w:color="auto" w:sz="4" w:space="0"/>
            </w:tcBorders>
            <w:shd w:val="clear" w:color="auto" w:fill="auto"/>
            <w:noWrap/>
            <w:vAlign w:val="center"/>
          </w:tcPr>
          <w:p w14:paraId="0C61F020">
            <w:pPr>
              <w:widowControl/>
              <w:spacing w:line="360" w:lineRule="auto"/>
              <w:jc w:val="center"/>
              <w:textAlignment w:val="center"/>
              <w:rPr>
                <w:color w:val="000000"/>
                <w:kern w:val="0"/>
                <w:sz w:val="24"/>
                <w:lang w:bidi="ar"/>
              </w:rPr>
            </w:pPr>
            <w:r>
              <w:rPr>
                <w:color w:val="000000"/>
                <w:kern w:val="0"/>
                <w:sz w:val="24"/>
                <w:lang w:bidi="ar"/>
              </w:rPr>
              <w:t>否</w:t>
            </w:r>
          </w:p>
        </w:tc>
      </w:tr>
    </w:tbl>
    <w:p w14:paraId="089B9527">
      <w:pPr>
        <w:spacing w:line="360" w:lineRule="auto"/>
        <w:rPr>
          <w:b/>
          <w:sz w:val="24"/>
        </w:rPr>
      </w:pPr>
    </w:p>
    <w:p w14:paraId="002ACA96">
      <w:pPr>
        <w:spacing w:line="360" w:lineRule="auto"/>
        <w:rPr>
          <w:b/>
          <w:sz w:val="24"/>
        </w:rPr>
      </w:pPr>
      <w:r>
        <w:rPr>
          <w:b/>
          <w:sz w:val="24"/>
        </w:rPr>
        <w:t>二、商务要求</w:t>
      </w:r>
    </w:p>
    <w:p w14:paraId="3014162B">
      <w:pPr>
        <w:spacing w:line="360" w:lineRule="auto"/>
        <w:ind w:firstLine="480"/>
        <w:contextualSpacing/>
        <w:rPr>
          <w:sz w:val="24"/>
        </w:rPr>
      </w:pPr>
      <w:r>
        <w:rPr>
          <w:sz w:val="24"/>
        </w:rPr>
        <w:t>1.交付的时间和地点</w:t>
      </w:r>
    </w:p>
    <w:p w14:paraId="2942D130">
      <w:pPr>
        <w:spacing w:line="360" w:lineRule="auto"/>
        <w:ind w:firstLine="480"/>
        <w:contextualSpacing/>
        <w:rPr>
          <w:sz w:val="24"/>
        </w:rPr>
      </w:pPr>
      <w:r>
        <w:rPr>
          <w:sz w:val="24"/>
        </w:rPr>
        <w:t>交货时间：自合同签订之日起</w:t>
      </w:r>
      <w:r>
        <w:rPr>
          <w:rFonts w:hint="eastAsia"/>
          <w:sz w:val="24"/>
        </w:rPr>
        <w:t>90天</w:t>
      </w:r>
      <w:r>
        <w:rPr>
          <w:sz w:val="24"/>
        </w:rPr>
        <w:t>完成交货、安装</w:t>
      </w:r>
      <w:r>
        <w:rPr>
          <w:rFonts w:hint="eastAsia"/>
          <w:sz w:val="24"/>
        </w:rPr>
        <w:t>。</w:t>
      </w:r>
    </w:p>
    <w:p w14:paraId="6801E055">
      <w:pPr>
        <w:spacing w:line="360" w:lineRule="auto"/>
        <w:ind w:firstLine="480"/>
        <w:contextualSpacing/>
        <w:rPr>
          <w:sz w:val="24"/>
        </w:rPr>
      </w:pPr>
      <w:r>
        <w:rPr>
          <w:sz w:val="24"/>
        </w:rPr>
        <w:t>交货地点：采购人指定地点。</w:t>
      </w:r>
    </w:p>
    <w:p w14:paraId="24D936C1">
      <w:pPr>
        <w:pStyle w:val="2"/>
        <w:spacing w:before="0" w:line="360" w:lineRule="auto"/>
        <w:ind w:firstLine="480"/>
        <w:rPr>
          <w:rFonts w:ascii="Times New Roman" w:hAnsi="Times New Roman"/>
        </w:rPr>
      </w:pPr>
      <w:r>
        <w:rPr>
          <w:rFonts w:ascii="Times New Roman" w:hAnsi="Times New Roman"/>
        </w:rPr>
        <w:t>2.付款条件（进度和方式）</w:t>
      </w:r>
    </w:p>
    <w:p w14:paraId="635D8FC4">
      <w:pPr>
        <w:spacing w:line="360" w:lineRule="auto"/>
        <w:ind w:firstLine="480"/>
        <w:contextualSpacing/>
        <w:rPr>
          <w:spacing w:val="7"/>
          <w:position w:val="2"/>
          <w:sz w:val="24"/>
        </w:rPr>
      </w:pPr>
      <w:r>
        <w:rPr>
          <w:rFonts w:hint="eastAsia"/>
          <w:spacing w:val="7"/>
          <w:position w:val="2"/>
          <w:sz w:val="24"/>
        </w:rPr>
        <w:t>合同签</w:t>
      </w:r>
      <w:r>
        <w:rPr>
          <w:rFonts w:hint="eastAsia"/>
          <w:spacing w:val="7"/>
          <w:position w:val="2"/>
          <w:sz w:val="24"/>
          <w:lang w:val="en-US" w:eastAsia="zh-CN"/>
        </w:rPr>
        <w:t>订</w:t>
      </w:r>
      <w:r>
        <w:rPr>
          <w:rFonts w:hint="eastAsia"/>
          <w:spacing w:val="7"/>
          <w:position w:val="2"/>
          <w:sz w:val="24"/>
        </w:rPr>
        <w:t>后【5】个工作日内，中标人向采购人提交合同金额的5%作为履约保证金。采购人收到履约保证金后向中标人支付不超过合同总额</w:t>
      </w:r>
      <w:r>
        <w:rPr>
          <w:rFonts w:hint="eastAsia"/>
          <w:spacing w:val="7"/>
          <w:position w:val="2"/>
          <w:sz w:val="24"/>
          <w:lang w:val="en-US" w:eastAsia="zh-CN"/>
        </w:rPr>
        <w:t>30</w:t>
      </w:r>
      <w:r>
        <w:rPr>
          <w:rFonts w:hint="eastAsia"/>
          <w:spacing w:val="7"/>
          <w:position w:val="2"/>
          <w:sz w:val="24"/>
        </w:rPr>
        <w:t>%的首付款，中标人应按照采购人要求，对首付款金额开具合规有效发票（抬头、金额及内容须与合同一致）；货到安装调试并验收合格（凭验收证明文件，验收文件需要采购人书面签章确认）、中标人开具合规发票（抬头、金额及内容须与合同一致）且所有资料齐全后于2027年5月前支付合同尾款。若验收不合格，采购人有权要求卖方返还已支付款项，并按日0.1%计息至实际返还之日止。尾款支付前采购人有权审查所有资料和票据的合规性，发现问题时有权暂缓支付，直至问题解决。</w:t>
      </w:r>
    </w:p>
    <w:p w14:paraId="653ECA03">
      <w:pPr>
        <w:spacing w:line="360" w:lineRule="auto"/>
        <w:ind w:firstLine="480"/>
        <w:contextualSpacing/>
        <w:rPr>
          <w:spacing w:val="7"/>
          <w:position w:val="2"/>
          <w:sz w:val="24"/>
        </w:rPr>
      </w:pPr>
      <w:r>
        <w:rPr>
          <w:rFonts w:hint="eastAsia"/>
          <w:spacing w:val="7"/>
          <w:position w:val="2"/>
          <w:sz w:val="24"/>
        </w:rPr>
        <w:t>具体</w:t>
      </w:r>
      <w:r>
        <w:rPr>
          <w:spacing w:val="7"/>
          <w:position w:val="2"/>
          <w:sz w:val="24"/>
        </w:rPr>
        <w:t>详见合同</w:t>
      </w:r>
      <w:r>
        <w:rPr>
          <w:rFonts w:hint="eastAsia"/>
          <w:spacing w:val="7"/>
          <w:position w:val="2"/>
          <w:sz w:val="24"/>
        </w:rPr>
        <w:t>，如上述内容与实际合同内容不一致，以合同约定的具体方式为准。</w:t>
      </w:r>
    </w:p>
    <w:p w14:paraId="70A35987">
      <w:pPr>
        <w:spacing w:line="360" w:lineRule="auto"/>
        <w:ind w:firstLine="480" w:firstLineChars="200"/>
        <w:rPr>
          <w:sz w:val="24"/>
        </w:rPr>
      </w:pPr>
      <w:r>
        <w:rPr>
          <w:sz w:val="24"/>
        </w:rPr>
        <w:t>3.包装和运输要求：涉及商品包装、快递包装的，除【政府采购合同专用条款】另有约定外，包装应适应远距离运输、防潮、防震、防锈和防野蛮装卸等要求，确保货物安全无损地运抵【政府采购合同专用条款】约定的指定现场。</w:t>
      </w:r>
    </w:p>
    <w:p w14:paraId="6E737203">
      <w:pPr>
        <w:spacing w:line="360" w:lineRule="auto"/>
        <w:ind w:firstLine="480" w:firstLineChars="200"/>
        <w:rPr>
          <w:sz w:val="24"/>
        </w:rPr>
      </w:pPr>
      <w:r>
        <w:rPr>
          <w:rFonts w:hint="eastAsia"/>
          <w:sz w:val="24"/>
        </w:rPr>
        <w:t>4.规范要求</w:t>
      </w:r>
    </w:p>
    <w:p w14:paraId="2BC6A143">
      <w:pPr>
        <w:spacing w:line="360" w:lineRule="auto"/>
        <w:ind w:firstLine="480" w:firstLineChars="200"/>
        <w:rPr>
          <w:sz w:val="24"/>
        </w:rPr>
      </w:pPr>
      <w:r>
        <w:rPr>
          <w:rFonts w:hint="eastAsia"/>
          <w:sz w:val="24"/>
        </w:rPr>
        <w:t>4.1</w:t>
      </w:r>
      <w:r>
        <w:rPr>
          <w:sz w:val="24"/>
        </w:rPr>
        <w:t>产品的设计和制造应满足及相关规范的要求，并应充分考虑当地环境条件和使用条件的影响。</w:t>
      </w:r>
    </w:p>
    <w:p w14:paraId="5A65D8D0">
      <w:pPr>
        <w:spacing w:line="360" w:lineRule="auto"/>
        <w:ind w:firstLine="480" w:firstLineChars="200"/>
        <w:rPr>
          <w:sz w:val="24"/>
        </w:rPr>
      </w:pPr>
      <w:r>
        <w:rPr>
          <w:rFonts w:hint="eastAsia"/>
          <w:sz w:val="24"/>
        </w:rPr>
        <w:t>4.2</w:t>
      </w:r>
      <w:r>
        <w:rPr>
          <w:sz w:val="24"/>
        </w:rPr>
        <w:t>产品用材应采用能满足其使用条件的优质材料，零部件的选择应以技术先进、成熟可靠、安全耐用为基本原则。</w:t>
      </w:r>
    </w:p>
    <w:p w14:paraId="60605ADE">
      <w:pPr>
        <w:spacing w:line="360" w:lineRule="auto"/>
        <w:ind w:firstLine="480" w:firstLineChars="200"/>
        <w:rPr>
          <w:sz w:val="24"/>
        </w:rPr>
      </w:pPr>
      <w:r>
        <w:rPr>
          <w:rFonts w:hint="eastAsia"/>
          <w:sz w:val="24"/>
        </w:rPr>
        <w:t>4.3</w:t>
      </w:r>
      <w:r>
        <w:rPr>
          <w:sz w:val="24"/>
        </w:rPr>
        <w:t>中标人应提出安装现场安装注意事项及安装质量保证方法。</w:t>
      </w:r>
    </w:p>
    <w:p w14:paraId="7E1A59AA">
      <w:pPr>
        <w:spacing w:line="360" w:lineRule="auto"/>
        <w:ind w:firstLine="480" w:firstLineChars="200"/>
        <w:rPr>
          <w:sz w:val="24"/>
        </w:rPr>
      </w:pPr>
      <w:r>
        <w:rPr>
          <w:rFonts w:hint="eastAsia"/>
          <w:sz w:val="24"/>
        </w:rPr>
        <w:t>4.4</w:t>
      </w:r>
      <w:r>
        <w:rPr>
          <w:sz w:val="24"/>
        </w:rPr>
        <w:t>中标人应提供所用材料的合格证，制造检验记录及产品合格证，并且所提供的产品须符合国家相关环保要求，确保室内空气质量达到国家标准。</w:t>
      </w:r>
    </w:p>
    <w:p w14:paraId="20F4062E">
      <w:pPr>
        <w:spacing w:line="360" w:lineRule="auto"/>
        <w:ind w:firstLine="480" w:firstLineChars="200"/>
        <w:rPr>
          <w:sz w:val="24"/>
        </w:rPr>
      </w:pPr>
      <w:r>
        <w:rPr>
          <w:rFonts w:hint="eastAsia"/>
          <w:sz w:val="24"/>
        </w:rPr>
        <w:t>5</w:t>
      </w:r>
      <w:r>
        <w:rPr>
          <w:sz w:val="24"/>
        </w:rPr>
        <w:t>. 售后服务：</w:t>
      </w:r>
    </w:p>
    <w:p w14:paraId="4707C088">
      <w:pPr>
        <w:spacing w:line="360" w:lineRule="auto"/>
        <w:ind w:firstLine="480" w:firstLineChars="200"/>
        <w:rPr>
          <w:sz w:val="24"/>
        </w:rPr>
      </w:pPr>
      <w:r>
        <w:rPr>
          <w:rFonts w:hint="eastAsia"/>
          <w:sz w:val="24"/>
        </w:rPr>
        <w:t>5</w:t>
      </w:r>
      <w:r>
        <w:rPr>
          <w:sz w:val="24"/>
        </w:rPr>
        <w:t>.1</w:t>
      </w:r>
      <w:r>
        <w:rPr>
          <w:rFonts w:hint="eastAsia"/>
          <w:sz w:val="24"/>
        </w:rPr>
        <w:t>质保期</w:t>
      </w:r>
      <w:r>
        <w:rPr>
          <w:sz w:val="24"/>
        </w:rPr>
        <w:t>约定</w:t>
      </w:r>
    </w:p>
    <w:p w14:paraId="57D866CD">
      <w:pPr>
        <w:spacing w:line="360" w:lineRule="auto"/>
        <w:ind w:firstLine="480" w:firstLineChars="200"/>
        <w:rPr>
          <w:sz w:val="24"/>
        </w:rPr>
      </w:pPr>
      <w:r>
        <w:rPr>
          <w:sz w:val="24"/>
        </w:rPr>
        <w:t>全部设备</w:t>
      </w:r>
      <w:r>
        <w:rPr>
          <w:rFonts w:hint="eastAsia"/>
          <w:sz w:val="24"/>
        </w:rPr>
        <w:t>质保期</w:t>
      </w:r>
      <w:r>
        <w:rPr>
          <w:sz w:val="24"/>
        </w:rPr>
        <w:t>自项目最终验收合格之日起计算，</w:t>
      </w:r>
      <w:r>
        <w:rPr>
          <w:rFonts w:hint="eastAsia"/>
          <w:sz w:val="24"/>
        </w:rPr>
        <w:t>质保期不少于1年</w:t>
      </w:r>
      <w:r>
        <w:rPr>
          <w:sz w:val="24"/>
        </w:rPr>
        <w:t>。</w:t>
      </w:r>
      <w:r>
        <w:rPr>
          <w:rFonts w:hint="eastAsia"/>
          <w:sz w:val="24"/>
        </w:rPr>
        <w:t>质保期</w:t>
      </w:r>
      <w:r>
        <w:rPr>
          <w:sz w:val="24"/>
        </w:rPr>
        <w:t>内，因</w:t>
      </w:r>
      <w:r>
        <w:rPr>
          <w:rFonts w:hint="eastAsia"/>
          <w:sz w:val="24"/>
        </w:rPr>
        <w:t>产品</w:t>
      </w:r>
      <w:r>
        <w:rPr>
          <w:sz w:val="24"/>
        </w:rPr>
        <w:t>设计、制造、材料质量问题导致的故障与损坏，中标人须免费提供零部件更换、上门维修及技术服务，不收取任何费用。</w:t>
      </w:r>
      <w:r>
        <w:rPr>
          <w:rFonts w:hint="eastAsia"/>
          <w:sz w:val="24"/>
        </w:rPr>
        <w:t>保修期</w:t>
      </w:r>
      <w:r>
        <w:rPr>
          <w:sz w:val="24"/>
        </w:rPr>
        <w:t>内更换的原厂全新零部件，自更换验收合格之日起重新计算对应</w:t>
      </w:r>
      <w:r>
        <w:rPr>
          <w:rFonts w:hint="eastAsia"/>
          <w:sz w:val="24"/>
        </w:rPr>
        <w:t>质保</w:t>
      </w:r>
      <w:r>
        <w:rPr>
          <w:sz w:val="24"/>
        </w:rPr>
        <w:t>期限。</w:t>
      </w:r>
    </w:p>
    <w:p w14:paraId="67778C51">
      <w:pPr>
        <w:spacing w:line="360" w:lineRule="auto"/>
        <w:ind w:firstLine="480" w:firstLineChars="200"/>
        <w:rPr>
          <w:sz w:val="24"/>
        </w:rPr>
      </w:pPr>
      <w:r>
        <w:rPr>
          <w:rFonts w:hint="eastAsia"/>
          <w:sz w:val="24"/>
        </w:rPr>
        <w:t>5</w:t>
      </w:r>
      <w:r>
        <w:rPr>
          <w:sz w:val="24"/>
        </w:rPr>
        <w:t>.2服务响应与到场时限</w:t>
      </w:r>
    </w:p>
    <w:p w14:paraId="066B4C21">
      <w:pPr>
        <w:spacing w:line="360" w:lineRule="auto"/>
        <w:ind w:firstLine="480" w:firstLineChars="200"/>
        <w:rPr>
          <w:sz w:val="24"/>
        </w:rPr>
      </w:pPr>
      <w:r>
        <w:rPr>
          <w:sz w:val="24"/>
        </w:rPr>
        <w:t>中标人须设立专属项目对接渠道，保障采购人可正常提交售后服务申请。接到采购人服务需求后，2小时内完成首次有效响应，维修人员须在24小时内抵达项目现场。</w:t>
      </w:r>
    </w:p>
    <w:p w14:paraId="1F2804D4">
      <w:pPr>
        <w:spacing w:line="360" w:lineRule="auto"/>
        <w:ind w:firstLine="480" w:firstLineChars="200"/>
        <w:rPr>
          <w:sz w:val="24"/>
        </w:rPr>
      </w:pPr>
      <w:r>
        <w:rPr>
          <w:rFonts w:hint="eastAsia"/>
          <w:sz w:val="24"/>
        </w:rPr>
        <w:t>5</w:t>
      </w:r>
      <w:r>
        <w:rPr>
          <w:sz w:val="24"/>
        </w:rPr>
        <w:t>.</w:t>
      </w:r>
      <w:r>
        <w:rPr>
          <w:rFonts w:hint="eastAsia"/>
          <w:sz w:val="24"/>
        </w:rPr>
        <w:t>3</w:t>
      </w:r>
      <w:r>
        <w:rPr>
          <w:sz w:val="24"/>
        </w:rPr>
        <w:t>备品备件要求</w:t>
      </w:r>
    </w:p>
    <w:p w14:paraId="66790317">
      <w:pPr>
        <w:spacing w:line="360" w:lineRule="auto"/>
        <w:ind w:firstLine="480" w:firstLineChars="200"/>
        <w:rPr>
          <w:sz w:val="24"/>
        </w:rPr>
      </w:pPr>
      <w:r>
        <w:rPr>
          <w:rFonts w:hint="eastAsia"/>
          <w:sz w:val="24"/>
        </w:rPr>
        <w:t>质保期</w:t>
      </w:r>
      <w:r>
        <w:rPr>
          <w:sz w:val="24"/>
        </w:rPr>
        <w:t>内更换的所有零部件均须为原厂全新正品，符合国家产品质量标准。中标人须具备本项目</w:t>
      </w:r>
      <w:r>
        <w:rPr>
          <w:rFonts w:hint="eastAsia"/>
          <w:sz w:val="24"/>
        </w:rPr>
        <w:t>产品</w:t>
      </w:r>
      <w:r>
        <w:rPr>
          <w:sz w:val="24"/>
        </w:rPr>
        <w:t>常用备件的稳定供应能力，保障维修时效。</w:t>
      </w:r>
    </w:p>
    <w:p w14:paraId="55854C27">
      <w:pPr>
        <w:spacing w:line="360" w:lineRule="auto"/>
        <w:ind w:firstLine="480" w:firstLineChars="200"/>
        <w:rPr>
          <w:sz w:val="24"/>
        </w:rPr>
      </w:pPr>
      <w:r>
        <w:rPr>
          <w:rFonts w:hint="eastAsia"/>
          <w:sz w:val="24"/>
        </w:rPr>
        <w:t>5</w:t>
      </w:r>
      <w:r>
        <w:rPr>
          <w:sz w:val="24"/>
        </w:rPr>
        <w:t>.</w:t>
      </w:r>
      <w:r>
        <w:rPr>
          <w:rFonts w:hint="eastAsia"/>
          <w:sz w:val="24"/>
        </w:rPr>
        <w:t>4</w:t>
      </w:r>
      <w:r>
        <w:rPr>
          <w:sz w:val="24"/>
        </w:rPr>
        <w:t>服务人员要求</w:t>
      </w:r>
    </w:p>
    <w:p w14:paraId="7A88DF06">
      <w:pPr>
        <w:spacing w:line="360" w:lineRule="auto"/>
        <w:ind w:firstLine="480" w:firstLineChars="200"/>
        <w:rPr>
          <w:sz w:val="24"/>
        </w:rPr>
      </w:pPr>
      <w:r>
        <w:rPr>
          <w:sz w:val="24"/>
        </w:rPr>
        <w:t>中标人须为本项目配备固定的售后服务对接人及专业维修人员。维修人员须具备对应从业资质及</w:t>
      </w:r>
      <w:r>
        <w:rPr>
          <w:rFonts w:hint="eastAsia"/>
          <w:sz w:val="24"/>
        </w:rPr>
        <w:t>产品</w:t>
      </w:r>
      <w:r>
        <w:rPr>
          <w:sz w:val="24"/>
        </w:rPr>
        <w:t>维修经验，熟悉本项目全部设备的技术参数与维修规范。</w:t>
      </w:r>
    </w:p>
    <w:p w14:paraId="0E56BCBE">
      <w:pPr>
        <w:numPr>
          <w:ilvl w:val="0"/>
          <w:numId w:val="1"/>
        </w:numPr>
        <w:spacing w:line="360" w:lineRule="auto"/>
        <w:rPr>
          <w:highlight w:val="none"/>
        </w:rPr>
      </w:pPr>
      <w:r>
        <w:rPr>
          <w:b/>
          <w:sz w:val="24"/>
          <w:highlight w:val="none"/>
        </w:rPr>
        <w:t>技术要求</w:t>
      </w:r>
      <w:bookmarkStart w:id="1" w:name="_GoBack"/>
      <w:bookmarkEnd w:id="1"/>
    </w:p>
    <w:tbl>
      <w:tblPr>
        <w:tblStyle w:val="4"/>
        <w:tblW w:w="5000"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 w:type="dxa"/>
          <w:bottom w:w="0" w:type="dxa"/>
          <w:right w:w="10" w:type="dxa"/>
        </w:tblCellMar>
      </w:tblPr>
      <w:tblGrid>
        <w:gridCol w:w="414"/>
        <w:gridCol w:w="1414"/>
        <w:gridCol w:w="4578"/>
        <w:gridCol w:w="664"/>
        <w:gridCol w:w="1256"/>
      </w:tblGrid>
      <w:tr w14:paraId="7548800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 w:type="dxa"/>
            <w:bottom w:w="0" w:type="dxa"/>
            <w:right w:w="10" w:type="dxa"/>
          </w:tblCellMar>
        </w:tblPrEx>
        <w:trPr>
          <w:trHeight w:val="301" w:hRule="atLeast"/>
          <w:jc w:val="center"/>
        </w:trPr>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6A203496">
            <w:pPr>
              <w:widowControl/>
              <w:spacing w:line="360" w:lineRule="auto"/>
              <w:jc w:val="center"/>
              <w:rPr>
                <w:rFonts w:hint="default" w:ascii="Times New Roman" w:hAnsi="Times New Roman" w:eastAsia="宋体" w:cs="Times New Roman"/>
                <w:kern w:val="0"/>
                <w:sz w:val="24"/>
                <w:szCs w:val="24"/>
              </w:rPr>
            </w:pPr>
          </w:p>
        </w:tc>
      </w:tr>
      <w:tr w14:paraId="076E4E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 w:type="dxa"/>
            <w:bottom w:w="0" w:type="dxa"/>
            <w:right w:w="10" w:type="dxa"/>
          </w:tblCellMar>
        </w:tblPrEx>
        <w:trPr>
          <w:trHeight w:val="301" w:hRule="atLeast"/>
          <w:jc w:val="center"/>
        </w:trPr>
        <w:tc>
          <w:tcPr>
            <w:tcW w:w="249" w:type="pct"/>
            <w:tcBorders>
              <w:top w:val="single" w:color="auto" w:sz="4" w:space="0"/>
              <w:left w:val="single" w:color="auto" w:sz="4" w:space="0"/>
              <w:bottom w:val="single" w:color="auto" w:sz="4" w:space="0"/>
              <w:right w:val="single" w:color="auto" w:sz="4" w:space="0"/>
            </w:tcBorders>
            <w:shd w:val="clear" w:color="auto" w:fill="auto"/>
            <w:vAlign w:val="center"/>
          </w:tcPr>
          <w:p w14:paraId="378C4E49">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序号</w:t>
            </w:r>
          </w:p>
        </w:tc>
        <w:tc>
          <w:tcPr>
            <w:tcW w:w="849" w:type="pct"/>
            <w:tcBorders>
              <w:top w:val="single" w:color="auto" w:sz="4" w:space="0"/>
              <w:left w:val="nil"/>
              <w:bottom w:val="single" w:color="auto" w:sz="4" w:space="0"/>
              <w:right w:val="single" w:color="auto" w:sz="4" w:space="0"/>
            </w:tcBorders>
            <w:shd w:val="clear" w:color="auto" w:fill="auto"/>
            <w:vAlign w:val="center"/>
          </w:tcPr>
          <w:p w14:paraId="0B18120E">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设备名称</w:t>
            </w:r>
          </w:p>
        </w:tc>
        <w:tc>
          <w:tcPr>
            <w:tcW w:w="2749" w:type="pct"/>
            <w:tcBorders>
              <w:top w:val="single" w:color="auto" w:sz="4" w:space="0"/>
              <w:left w:val="nil"/>
              <w:bottom w:val="single" w:color="auto" w:sz="4" w:space="0"/>
              <w:right w:val="single" w:color="auto" w:sz="4" w:space="0"/>
            </w:tcBorders>
            <w:shd w:val="clear" w:color="auto" w:fill="auto"/>
            <w:vAlign w:val="center"/>
          </w:tcPr>
          <w:p w14:paraId="143E73C1">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技术参数</w:t>
            </w:r>
          </w:p>
        </w:tc>
        <w:tc>
          <w:tcPr>
            <w:tcW w:w="399" w:type="pct"/>
            <w:tcBorders>
              <w:top w:val="single" w:color="auto" w:sz="4" w:space="0"/>
              <w:left w:val="nil"/>
              <w:bottom w:val="single" w:color="auto" w:sz="4" w:space="0"/>
              <w:right w:val="single" w:color="auto" w:sz="4" w:space="0"/>
            </w:tcBorders>
            <w:shd w:val="clear" w:color="auto" w:fill="auto"/>
            <w:vAlign w:val="center"/>
          </w:tcPr>
          <w:p w14:paraId="1608E691">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数量</w:t>
            </w:r>
          </w:p>
        </w:tc>
        <w:tc>
          <w:tcPr>
            <w:tcW w:w="751" w:type="pct"/>
            <w:tcBorders>
              <w:top w:val="single" w:color="auto" w:sz="4" w:space="0"/>
              <w:left w:val="nil"/>
              <w:bottom w:val="single" w:color="auto" w:sz="4" w:space="0"/>
              <w:right w:val="single" w:color="auto" w:sz="4" w:space="0"/>
            </w:tcBorders>
            <w:shd w:val="clear" w:color="auto" w:fill="auto"/>
            <w:vAlign w:val="center"/>
          </w:tcPr>
          <w:p w14:paraId="2F281B1A">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备注</w:t>
            </w:r>
          </w:p>
        </w:tc>
      </w:tr>
      <w:tr w14:paraId="0AD66C7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 w:type="dxa"/>
            <w:bottom w:w="0" w:type="dxa"/>
            <w:right w:w="10" w:type="dxa"/>
          </w:tblCellMar>
        </w:tblPrEx>
        <w:trPr>
          <w:trHeight w:val="350" w:hRule="atLeast"/>
          <w:jc w:val="center"/>
        </w:trPr>
        <w:tc>
          <w:tcPr>
            <w:tcW w:w="249" w:type="pct"/>
            <w:tcBorders>
              <w:top w:val="single" w:color="auto" w:sz="4" w:space="0"/>
              <w:left w:val="single" w:color="auto" w:sz="4" w:space="0"/>
              <w:bottom w:val="single" w:color="auto" w:sz="4" w:space="0"/>
              <w:right w:val="single" w:color="auto" w:sz="4" w:space="0"/>
            </w:tcBorders>
            <w:shd w:val="clear" w:color="auto" w:fill="auto"/>
            <w:vAlign w:val="center"/>
          </w:tcPr>
          <w:p w14:paraId="67187C05">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w:t>
            </w:r>
          </w:p>
        </w:tc>
        <w:tc>
          <w:tcPr>
            <w:tcW w:w="849" w:type="pct"/>
            <w:tcBorders>
              <w:top w:val="single" w:color="auto" w:sz="4" w:space="0"/>
              <w:left w:val="nil"/>
              <w:bottom w:val="single" w:color="auto" w:sz="4" w:space="0"/>
              <w:right w:val="single" w:color="auto" w:sz="4" w:space="0"/>
            </w:tcBorders>
            <w:shd w:val="clear" w:color="auto" w:fill="auto"/>
            <w:vAlign w:val="center"/>
          </w:tcPr>
          <w:p w14:paraId="32A63B82">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移动机器人开发平台(核心产品)</w:t>
            </w:r>
          </w:p>
        </w:tc>
        <w:tc>
          <w:tcPr>
            <w:tcW w:w="2749" w:type="pct"/>
            <w:tcBorders>
              <w:top w:val="single" w:color="auto" w:sz="4" w:space="0"/>
              <w:left w:val="nil"/>
              <w:bottom w:val="single" w:color="auto" w:sz="4" w:space="0"/>
              <w:right w:val="single" w:color="auto" w:sz="4" w:space="0"/>
            </w:tcBorders>
            <w:shd w:val="clear" w:color="auto" w:fill="auto"/>
            <w:vAlign w:val="center"/>
          </w:tcPr>
          <w:p w14:paraId="11D228C3">
            <w:pPr>
              <w:spacing w:line="360" w:lineRule="auto"/>
              <w:rPr>
                <w:rFonts w:hint="default" w:ascii="Times New Roman" w:hAnsi="Times New Roman" w:eastAsia="宋体" w:cs="Times New Roman"/>
                <w:sz w:val="24"/>
                <w:szCs w:val="24"/>
                <w:lang w:eastAsia="zh-CN"/>
              </w:rPr>
            </w:pPr>
            <w:r>
              <w:rPr>
                <w:rFonts w:hint="default" w:ascii="Times New Roman" w:hAnsi="Times New Roman" w:eastAsia="宋体" w:cs="Times New Roman"/>
                <w:kern w:val="0"/>
                <w:sz w:val="24"/>
                <w:szCs w:val="24"/>
              </w:rPr>
              <w:t>一、行走模块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1）外形尺寸≤1098mm*450mm*645mm；</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2）驱动能力：最大关节扭矩大于360 N*m，最大运动速度≥5m/s；</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3）爬坡性能：最大爬坡角度45</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4）跳跃能力：标准配置下最大极限跳跃壕沟的宽度≥0.4m；</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5）负载能力：持续行走时负载能力≥40kg；</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6）越障能力：可正向上下≥40cm的台阶</w:t>
            </w:r>
            <w:r>
              <w:rPr>
                <w:rFonts w:hint="default" w:ascii="Times New Roman" w:hAnsi="Times New Roman" w:eastAsia="宋体" w:cs="Times New Roman"/>
                <w:kern w:val="0"/>
                <w:sz w:val="24"/>
                <w:szCs w:val="24"/>
                <w:lang w:eastAsia="zh-CN"/>
              </w:rPr>
              <w:t>，攀爬速度最快可达每5秒15级台阶；</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7）相机：</w:t>
            </w:r>
            <w:r>
              <w:rPr>
                <w:rFonts w:hint="default" w:ascii="Times New Roman" w:hAnsi="Times New Roman" w:eastAsia="宋体" w:cs="Times New Roman"/>
                <w:sz w:val="24"/>
                <w:szCs w:val="24"/>
              </w:rPr>
              <w:t>搭载多组高精度深度视觉相机，具备三维环境感知、深度成像、智能识别功能，成像精度与探测性能不低于行业主流高精度深度相机水平</w:t>
            </w:r>
            <w:r>
              <w:rPr>
                <w:rFonts w:hint="default" w:ascii="Times New Roman" w:hAnsi="Times New Roman" w:eastAsia="宋体" w:cs="Times New Roman"/>
                <w:kern w:val="0"/>
                <w:sz w:val="24"/>
                <w:szCs w:val="24"/>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8）外置接口：4个1000M-Base-Ethernet；4个USB3.0；4个12V；1个5V； 4个24V；1个BAT；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9）支持无工具辅助快速旋转尾部相机，单次旋转时间≤5秒；</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10）防护等级：不低于IP67；</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11）导航雷达：配置不低于32线车规级3D雷达；</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二、多自由度作业模块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1）有效负载：≥</w:t>
            </w:r>
            <w:r>
              <w:rPr>
                <w:rFonts w:hint="default" w:ascii="Times New Roman" w:hAnsi="Times New Roman" w:eastAsia="宋体" w:cs="Times New Roman"/>
                <w:kern w:val="0"/>
                <w:sz w:val="24"/>
                <w:szCs w:val="24"/>
                <w:lang w:val="en-US" w:eastAsia="zh-CN"/>
              </w:rPr>
              <w:t>7.5</w:t>
            </w:r>
            <w:r>
              <w:rPr>
                <w:rFonts w:hint="default" w:ascii="Times New Roman" w:hAnsi="Times New Roman" w:eastAsia="宋体" w:cs="Times New Roman"/>
                <w:kern w:val="0"/>
                <w:sz w:val="24"/>
                <w:szCs w:val="24"/>
              </w:rPr>
              <w:t>kg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2）工作半径：≥</w:t>
            </w:r>
            <w:r>
              <w:rPr>
                <w:rFonts w:hint="default" w:ascii="Times New Roman" w:hAnsi="Times New Roman" w:eastAsia="宋体" w:cs="Times New Roman"/>
                <w:kern w:val="0"/>
                <w:sz w:val="24"/>
                <w:szCs w:val="24"/>
                <w:lang w:val="en-US" w:eastAsia="zh-CN"/>
              </w:rPr>
              <w:t>850</w:t>
            </w:r>
            <w:r>
              <w:rPr>
                <w:rFonts w:hint="default" w:ascii="Times New Roman" w:hAnsi="Times New Roman" w:eastAsia="宋体" w:cs="Times New Roman"/>
                <w:kern w:val="0"/>
                <w:sz w:val="24"/>
                <w:szCs w:val="24"/>
              </w:rPr>
              <w:t>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3）自由度数量：≥</w:t>
            </w:r>
            <w:r>
              <w:rPr>
                <w:rFonts w:hint="default" w:ascii="Times New Roman" w:hAnsi="Times New Roman" w:eastAsia="宋体" w:cs="Times New Roman"/>
                <w:kern w:val="0"/>
                <w:sz w:val="24"/>
                <w:szCs w:val="24"/>
                <w:lang w:val="en-US" w:eastAsia="zh-CN"/>
              </w:rPr>
              <w:t>7；</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w:t>
            </w:r>
            <w:r>
              <w:rPr>
                <w:rFonts w:hint="default" w:ascii="Times New Roman" w:hAnsi="Times New Roman" w:eastAsia="宋体" w:cs="Times New Roman"/>
                <w:kern w:val="0"/>
                <w:sz w:val="24"/>
                <w:szCs w:val="24"/>
                <w:highlight w:val="none"/>
              </w:rPr>
              <w:t>）六维力精度</w:t>
            </w:r>
            <w:r>
              <w:rPr>
                <w:rFonts w:hint="default" w:ascii="Times New Roman" w:hAnsi="Times New Roman" w:eastAsia="宋体" w:cs="Times New Roman"/>
                <w:kern w:val="0"/>
                <w:sz w:val="24"/>
                <w:szCs w:val="24"/>
                <w:highlight w:val="none"/>
                <w:lang w:eastAsia="zh-CN"/>
              </w:rPr>
              <w:t>：</w:t>
            </w:r>
            <w:r>
              <w:rPr>
                <w:rFonts w:hint="default" w:ascii="Times New Roman" w:hAnsi="Times New Roman" w:eastAsia="宋体" w:cs="Times New Roman"/>
                <w:kern w:val="0"/>
                <w:sz w:val="24"/>
                <w:szCs w:val="24"/>
                <w:highlight w:val="none"/>
                <w:lang w:val="en-US" w:eastAsia="zh-CN"/>
              </w:rPr>
              <w:t>≤±</w:t>
            </w:r>
            <w:r>
              <w:rPr>
                <w:rFonts w:hint="default" w:ascii="Times New Roman" w:hAnsi="Times New Roman" w:eastAsia="宋体" w:cs="Times New Roman"/>
                <w:kern w:val="0"/>
                <w:sz w:val="24"/>
                <w:szCs w:val="24"/>
                <w:highlight w:val="none"/>
              </w:rPr>
              <w:t>0.5%FS</w:t>
            </w:r>
            <w:r>
              <w:rPr>
                <w:rFonts w:hint="default" w:ascii="Times New Roman" w:hAnsi="Times New Roman" w:eastAsia="宋体" w:cs="Times New Roman"/>
                <w:kern w:val="0"/>
                <w:sz w:val="24"/>
                <w:szCs w:val="24"/>
                <w:highlight w:val="none"/>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5）模块重量：≤</w:t>
            </w:r>
            <w:r>
              <w:rPr>
                <w:rFonts w:hint="default" w:ascii="Times New Roman" w:hAnsi="Times New Roman" w:eastAsia="宋体" w:cs="Times New Roman"/>
                <w:kern w:val="0"/>
                <w:sz w:val="24"/>
                <w:szCs w:val="24"/>
                <w:lang w:val="en-US" w:eastAsia="zh-CN"/>
              </w:rPr>
              <w:t>8</w:t>
            </w:r>
            <w:r>
              <w:rPr>
                <w:rFonts w:hint="default" w:ascii="Times New Roman" w:hAnsi="Times New Roman" w:eastAsia="宋体" w:cs="Times New Roman"/>
                <w:kern w:val="0"/>
                <w:sz w:val="24"/>
                <w:szCs w:val="24"/>
              </w:rPr>
              <w:t xml:space="preserve"> kg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6）重复精度：</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±0.0</w:t>
            </w: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kern w:val="0"/>
                <w:sz w:val="24"/>
                <w:szCs w:val="24"/>
              </w:rPr>
              <w:t>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三、视觉检测模块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1）工作距离范围：250</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500mm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sz w:val="24"/>
                <w:szCs w:val="24"/>
                <w:lang w:val="en-US" w:eastAsia="zh-CN"/>
              </w:rPr>
              <w:t>视</w:t>
            </w:r>
            <w:r>
              <w:rPr>
                <w:rFonts w:hint="default" w:ascii="Times New Roman" w:hAnsi="Times New Roman" w:eastAsia="宋体" w:cs="Times New Roman"/>
                <w:sz w:val="24"/>
                <w:szCs w:val="24"/>
              </w:rPr>
              <w:t>觉传感器：单次成像视场应覆盖典型目标区域近距工作约0.25m处不小于220mm×165mm</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或功能等同的视场覆盖方案，投标人</w:t>
            </w:r>
            <w:r>
              <w:rPr>
                <w:rFonts w:hint="default" w:ascii="Times New Roman" w:hAnsi="Times New Roman" w:eastAsia="宋体" w:cs="Times New Roman"/>
                <w:sz w:val="24"/>
                <w:szCs w:val="24"/>
                <w:lang w:val="en-US" w:eastAsia="zh-CN"/>
              </w:rPr>
              <w:t>需</w:t>
            </w:r>
            <w:r>
              <w:rPr>
                <w:rFonts w:hint="default" w:ascii="Times New Roman" w:hAnsi="Times New Roman" w:eastAsia="宋体" w:cs="Times New Roman"/>
                <w:sz w:val="24"/>
                <w:szCs w:val="24"/>
              </w:rPr>
              <w:t>说明对应关系</w:t>
            </w:r>
            <w:r>
              <w:rPr>
                <w:rFonts w:hint="default" w:ascii="Times New Roman" w:hAnsi="Times New Roman" w:eastAsia="宋体" w:cs="Times New Roman"/>
                <w:sz w:val="24"/>
                <w:szCs w:val="24"/>
                <w:lang w:eastAsia="zh-CN"/>
              </w:rPr>
              <w:t>；</w:t>
            </w:r>
          </w:p>
          <w:p w14:paraId="34F1C2DE">
            <w:pPr>
              <w:spacing w:line="360" w:lineRule="auto"/>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3）视觉传感器：单次成像视场应覆盖典型目标区域</w:t>
            </w:r>
            <w:r>
              <w:rPr>
                <w:rFonts w:hint="default" w:ascii="Times New Roman" w:hAnsi="Times New Roman" w:eastAsia="宋体" w:cs="Times New Roman"/>
                <w:sz w:val="24"/>
                <w:szCs w:val="24"/>
              </w:rPr>
              <w:t>远距工作约0.5m处不小于500mm×340mm；或功能等同的视场覆盖方案，投标人</w:t>
            </w:r>
            <w:r>
              <w:rPr>
                <w:rFonts w:hint="default" w:ascii="Times New Roman" w:hAnsi="Times New Roman" w:eastAsia="宋体" w:cs="Times New Roman"/>
                <w:sz w:val="24"/>
                <w:szCs w:val="24"/>
                <w:lang w:val="en-US" w:eastAsia="zh-CN"/>
              </w:rPr>
              <w:t>需</w:t>
            </w:r>
            <w:r>
              <w:rPr>
                <w:rFonts w:hint="default" w:ascii="Times New Roman" w:hAnsi="Times New Roman" w:eastAsia="宋体" w:cs="Times New Roman"/>
                <w:sz w:val="24"/>
                <w:szCs w:val="24"/>
              </w:rPr>
              <w:t>说明对应关系</w:t>
            </w:r>
            <w:r>
              <w:rPr>
                <w:rFonts w:hint="default" w:ascii="Times New Roman" w:hAnsi="Times New Roman" w:eastAsia="宋体" w:cs="Times New Roman"/>
                <w:sz w:val="24"/>
                <w:szCs w:val="24"/>
                <w:lang w:eastAsia="zh-CN"/>
              </w:rPr>
              <w:t>；</w:t>
            </w:r>
          </w:p>
          <w:p w14:paraId="3A34F3BE">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4）Z向单点重复精度（σ）</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0.</w:t>
            </w:r>
            <w:r>
              <w:rPr>
                <w:rFonts w:hint="default" w:ascii="Times New Roman" w:hAnsi="Times New Roman" w:eastAsia="宋体" w:cs="Times New Roman"/>
                <w:kern w:val="0"/>
                <w:sz w:val="24"/>
                <w:szCs w:val="24"/>
                <w:lang w:val="en-US" w:eastAsia="zh-CN"/>
              </w:rPr>
              <w:t>07</w:t>
            </w:r>
            <w:r>
              <w:rPr>
                <w:rFonts w:hint="default" w:ascii="Times New Roman" w:hAnsi="Times New Roman" w:eastAsia="宋体" w:cs="Times New Roman"/>
                <w:kern w:val="0"/>
                <w:sz w:val="24"/>
                <w:szCs w:val="24"/>
              </w:rPr>
              <w:t>mm@0.</w:t>
            </w:r>
            <w:r>
              <w:rPr>
                <w:rFonts w:hint="default" w:ascii="Times New Roman" w:hAnsi="Times New Roman" w:eastAsia="宋体" w:cs="Times New Roman"/>
                <w:kern w:val="0"/>
                <w:sz w:val="24"/>
                <w:szCs w:val="24"/>
                <w:lang w:val="en-US" w:eastAsia="zh-CN"/>
              </w:rPr>
              <w:t>5</w:t>
            </w:r>
            <w:r>
              <w:rPr>
                <w:rFonts w:hint="default" w:ascii="Times New Roman" w:hAnsi="Times New Roman" w:eastAsia="宋体" w:cs="Times New Roman"/>
                <w:kern w:val="0"/>
                <w:sz w:val="24"/>
                <w:szCs w:val="24"/>
              </w:rPr>
              <w:t>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5）重量≤1.0kg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四、结构光检测模块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1）扫描速率：3.3~15kHz</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2）测量范围（Z轴）≥100mm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3）测量范围（X轴）≥89mm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4）X轴分辨率优于23.5µm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5）Z轴重复精度优于0.5µm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6）模块重量：≤1.2kg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五、多功能作业模块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1）支持快换，9-G1/8直通型气路</w:t>
            </w:r>
            <w:r>
              <w:rPr>
                <w:rFonts w:hint="default" w:ascii="Times New Roman" w:hAnsi="Times New Roman" w:eastAsia="宋体" w:cs="Times New Roman"/>
                <w:kern w:val="0"/>
                <w:sz w:val="24"/>
                <w:szCs w:val="24"/>
                <w:lang w:eastAsia="zh-CN"/>
              </w:rPr>
              <w:t>；</w:t>
            </w:r>
          </w:p>
          <w:p w14:paraId="49F39144">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2）量程Fx</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不低于100</w:t>
            </w:r>
            <w:r>
              <w:rPr>
                <w:rStyle w:val="6"/>
                <w:rFonts w:hint="default" w:ascii="Times New Roman" w:hAnsi="Times New Roman" w:eastAsia="宋体" w:cs="Times New Roman"/>
                <w:b w:val="0"/>
                <w:bCs w:val="0"/>
                <w:i w:val="0"/>
                <w:iCs w:val="0"/>
                <w:caps w:val="0"/>
                <w:color w:val="17181A"/>
                <w:spacing w:val="0"/>
                <w:sz w:val="24"/>
                <w:szCs w:val="24"/>
                <w:bdr w:val="single" w:color="E5E7EB" w:sz="2" w:space="0"/>
                <w:shd w:val="clear" w:fill="FFFFFF"/>
              </w:rPr>
              <w:t>N</w:t>
            </w:r>
            <w:r>
              <w:rPr>
                <w:rStyle w:val="6"/>
                <w:rFonts w:hint="default" w:ascii="Times New Roman" w:hAnsi="Times New Roman" w:eastAsia="宋体" w:cs="Times New Roman"/>
                <w:b w:val="0"/>
                <w:bCs w:val="0"/>
                <w:i w:val="0"/>
                <w:iCs w:val="0"/>
                <w:caps w:val="0"/>
                <w:color w:val="17181A"/>
                <w:spacing w:val="0"/>
                <w:sz w:val="24"/>
                <w:szCs w:val="24"/>
                <w:bdr w:val="single" w:color="E5E7EB" w:sz="2" w:space="0"/>
                <w:shd w:val="clear" w:fill="FFFFFF"/>
                <w:lang w:eastAsia="zh-CN"/>
              </w:rPr>
              <w:t>；</w:t>
            </w:r>
          </w:p>
          <w:p w14:paraId="14A1F427">
            <w:pPr>
              <w:widowControl/>
              <w:spacing w:line="360" w:lineRule="auto"/>
              <w:jc w:val="left"/>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3）</w:t>
            </w:r>
            <w:r>
              <w:rPr>
                <w:rFonts w:hint="default" w:ascii="Times New Roman" w:hAnsi="Times New Roman" w:eastAsia="宋体" w:cs="Times New Roman"/>
                <w:kern w:val="0"/>
                <w:sz w:val="24"/>
                <w:szCs w:val="24"/>
              </w:rPr>
              <w:t>量程Fy</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不低于100</w:t>
            </w:r>
            <w:r>
              <w:rPr>
                <w:rStyle w:val="6"/>
                <w:rFonts w:hint="default" w:ascii="Times New Roman" w:hAnsi="Times New Roman" w:eastAsia="宋体" w:cs="Times New Roman"/>
                <w:b w:val="0"/>
                <w:bCs w:val="0"/>
                <w:i w:val="0"/>
                <w:iCs w:val="0"/>
                <w:caps w:val="0"/>
                <w:color w:val="17181A"/>
                <w:spacing w:val="0"/>
                <w:sz w:val="24"/>
                <w:szCs w:val="24"/>
                <w:bdr w:val="single" w:color="E5E7EB" w:sz="2" w:space="0"/>
                <w:shd w:val="clear" w:fill="FFFFFF"/>
              </w:rPr>
              <w:t>N</w:t>
            </w:r>
            <w:r>
              <w:rPr>
                <w:rStyle w:val="6"/>
                <w:rFonts w:hint="default" w:ascii="Times New Roman" w:hAnsi="Times New Roman" w:eastAsia="宋体" w:cs="Times New Roman"/>
                <w:b w:val="0"/>
                <w:bCs w:val="0"/>
                <w:i w:val="0"/>
                <w:iCs w:val="0"/>
                <w:caps w:val="0"/>
                <w:color w:val="17181A"/>
                <w:spacing w:val="0"/>
                <w:sz w:val="24"/>
                <w:szCs w:val="24"/>
                <w:bdr w:val="single" w:color="E5E7EB" w:sz="2" w:space="0"/>
                <w:shd w:val="clear" w:fill="FFFFFF"/>
                <w:lang w:eastAsia="zh-CN"/>
              </w:rPr>
              <w:t>；</w:t>
            </w:r>
          </w:p>
          <w:p w14:paraId="6C77EF32">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val="en-US" w:eastAsia="zh-CN"/>
              </w:rPr>
              <w:t>4</w:t>
            </w:r>
            <w:r>
              <w:rPr>
                <w:rFonts w:hint="default" w:ascii="Times New Roman" w:hAnsi="Times New Roman" w:eastAsia="宋体" w:cs="Times New Roman"/>
                <w:kern w:val="0"/>
                <w:sz w:val="24"/>
                <w:szCs w:val="24"/>
              </w:rPr>
              <w:t>）重复精度：</w:t>
            </w:r>
            <w:r>
              <w:rPr>
                <w:rFonts w:hint="default"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0.1N</w:t>
            </w:r>
            <w:r>
              <w:rPr>
                <w:rFonts w:hint="default" w:ascii="Times New Roman" w:hAnsi="Times New Roman" w:eastAsia="宋体" w:cs="Times New Roman"/>
                <w:kern w:val="0"/>
                <w:sz w:val="24"/>
                <w:szCs w:val="24"/>
                <w:lang w:eastAsia="zh-CN"/>
              </w:rPr>
              <w:t>；</w:t>
            </w:r>
          </w:p>
          <w:p w14:paraId="76C3FEC9">
            <w:pPr>
              <w:widowControl/>
              <w:shd w:val="clear"/>
              <w:spacing w:line="360" w:lineRule="auto"/>
              <w:jc w:val="left"/>
              <w:rPr>
                <w:rFonts w:hint="default" w:ascii="Times New Roman" w:hAnsi="Times New Roman" w:eastAsia="宋体" w:cs="Times New Roman"/>
                <w:kern w:val="0"/>
                <w:sz w:val="24"/>
                <w:szCs w:val="24"/>
                <w:highlight w:val="none"/>
                <w:lang w:eastAsia="zh-CN"/>
              </w:rPr>
            </w:pPr>
            <w:r>
              <w:rPr>
                <w:rFonts w:hint="default" w:ascii="Times New Roman" w:hAnsi="Times New Roman" w:eastAsia="宋体" w:cs="Times New Roman"/>
                <w:kern w:val="0"/>
                <w:sz w:val="24"/>
                <w:szCs w:val="24"/>
                <w:highlight w:val="none"/>
                <w:lang w:val="en-US" w:eastAsia="zh-CN"/>
              </w:rPr>
              <w:t>5</w:t>
            </w:r>
            <w:r>
              <w:rPr>
                <w:rFonts w:hint="default" w:ascii="Times New Roman" w:hAnsi="Times New Roman" w:eastAsia="宋体" w:cs="Times New Roman"/>
                <w:kern w:val="0"/>
                <w:sz w:val="24"/>
                <w:szCs w:val="24"/>
                <w:highlight w:val="none"/>
              </w:rPr>
              <w:t>）准度：</w:t>
            </w:r>
            <w:r>
              <w:rPr>
                <w:rFonts w:hint="default" w:ascii="Times New Roman" w:hAnsi="Times New Roman" w:eastAsia="宋体" w:cs="Times New Roman"/>
                <w:kern w:val="0"/>
                <w:sz w:val="24"/>
                <w:szCs w:val="24"/>
                <w:highlight w:val="none"/>
                <w:lang w:val="en-US" w:eastAsia="zh-CN"/>
              </w:rPr>
              <w:t>≤±</w:t>
            </w:r>
            <w:r>
              <w:rPr>
                <w:rFonts w:hint="default" w:ascii="Times New Roman" w:hAnsi="Times New Roman" w:eastAsia="宋体" w:cs="Times New Roman"/>
                <w:kern w:val="0"/>
                <w:sz w:val="24"/>
                <w:szCs w:val="24"/>
                <w:highlight w:val="none"/>
              </w:rPr>
              <w:t>0.5%FS</w:t>
            </w:r>
            <w:r>
              <w:rPr>
                <w:rFonts w:hint="default" w:ascii="Times New Roman" w:hAnsi="Times New Roman" w:eastAsia="宋体" w:cs="Times New Roman"/>
                <w:sz w:val="24"/>
                <w:szCs w:val="24"/>
                <w:highlight w:val="none"/>
                <w:lang w:eastAsia="zh-CN"/>
              </w:rPr>
              <w:t>；</w:t>
            </w:r>
          </w:p>
          <w:p w14:paraId="633F5645">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val="en-US" w:eastAsia="zh-CN"/>
              </w:rPr>
              <w:t>6</w:t>
            </w:r>
            <w:r>
              <w:rPr>
                <w:rFonts w:hint="default" w:ascii="Times New Roman" w:hAnsi="Times New Roman" w:eastAsia="宋体" w:cs="Times New Roman"/>
                <w:kern w:val="0"/>
                <w:sz w:val="24"/>
                <w:szCs w:val="24"/>
              </w:rPr>
              <w:t>）防护等级：不低于ip64</w:t>
            </w:r>
            <w:r>
              <w:rPr>
                <w:rFonts w:hint="default" w:ascii="Times New Roman" w:hAnsi="Times New Roman" w:eastAsia="宋体" w:cs="Times New Roman"/>
                <w:kern w:val="0"/>
                <w:sz w:val="24"/>
                <w:szCs w:val="24"/>
                <w:lang w:eastAsia="zh-CN"/>
              </w:rPr>
              <w:t>；</w:t>
            </w:r>
          </w:p>
          <w:p w14:paraId="5E6F890A">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val="en-US" w:eastAsia="zh-CN"/>
              </w:rPr>
              <w:t>7</w:t>
            </w:r>
            <w:r>
              <w:rPr>
                <w:rFonts w:hint="default" w:ascii="Times New Roman" w:hAnsi="Times New Roman" w:eastAsia="宋体" w:cs="Times New Roman"/>
                <w:kern w:val="0"/>
                <w:sz w:val="24"/>
                <w:szCs w:val="24"/>
              </w:rPr>
              <w:t>）采样频率：不低于1000</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六、超声检测模块</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1）检测范围具备超声相控阵探伤功能，常规通道至少覆盖0-15000mm，相控阵通道0-500mm</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2）垂直线性误差 ≤1.5%</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3）水平线性误差 ≤0.1%</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4）模块质量：探头≤1.6kg</w:t>
            </w:r>
            <w:r>
              <w:rPr>
                <w:rFonts w:hint="default" w:ascii="Times New Roman" w:hAnsi="Times New Roman" w:eastAsia="宋体" w:cs="Times New Roman"/>
                <w:kern w:val="0"/>
                <w:sz w:val="24"/>
                <w:szCs w:val="24"/>
                <w:lang w:eastAsia="zh-CN"/>
              </w:rPr>
              <w:t>；</w:t>
            </w:r>
          </w:p>
          <w:p w14:paraId="3A36CFF7">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val="en-US" w:eastAsia="zh-CN"/>
              </w:rPr>
              <w:t>5）</w:t>
            </w:r>
            <w:r>
              <w:rPr>
                <w:rFonts w:hint="default" w:ascii="Times New Roman" w:hAnsi="Times New Roman" w:eastAsia="宋体" w:cs="Times New Roman"/>
                <w:kern w:val="0"/>
                <w:sz w:val="24"/>
                <w:szCs w:val="24"/>
              </w:rPr>
              <w:t>模块质量</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主体≤6kg</w:t>
            </w:r>
            <w:r>
              <w:rPr>
                <w:rFonts w:hint="default" w:ascii="Times New Roman" w:hAnsi="Times New Roman" w:eastAsia="宋体" w:cs="Times New Roman"/>
                <w:kern w:val="0"/>
                <w:sz w:val="24"/>
                <w:szCs w:val="24"/>
                <w:lang w:eastAsia="zh-CN"/>
              </w:rPr>
              <w:t>；</w:t>
            </w:r>
          </w:p>
          <w:p w14:paraId="49C65E45">
            <w:pPr>
              <w:widowControl/>
              <w:spacing w:line="360" w:lineRule="auto"/>
              <w:jc w:val="left"/>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 xml:space="preserve">七、主控模块 </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 CPU：搭载高性能多核处理器，具备≥112 并行运算线程能力，基准主频≥2.7GHz，满足多传感器、多算法、多模块同步实时调度算力需求</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 内存：DDR4≥ 128G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 显存≥48G</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 单精度性能优于38.7 TFLOPS</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 xml:space="preserve">八、作业监控模块 </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1） 分辨率≥1280*1024</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2） 最高帧数≥55帧</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3） 具有熔池尺寸分析功能，自动标识出熔池区域</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4） 动态范围：≥140dB</w:t>
            </w:r>
            <w:r>
              <w:rPr>
                <w:rFonts w:hint="default"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br w:type="textWrapping"/>
            </w:r>
            <w:r>
              <w:rPr>
                <w:rFonts w:hint="default" w:ascii="Times New Roman" w:hAnsi="Times New Roman" w:eastAsia="宋体" w:cs="Times New Roman"/>
                <w:kern w:val="0"/>
                <w:sz w:val="24"/>
                <w:szCs w:val="24"/>
              </w:rPr>
              <w:t>5） 具备视频录制和存档功能</w:t>
            </w:r>
            <w:r>
              <w:rPr>
                <w:rFonts w:hint="default" w:ascii="Times New Roman" w:hAnsi="Times New Roman" w:eastAsia="宋体" w:cs="Times New Roman"/>
                <w:kern w:val="0"/>
                <w:sz w:val="24"/>
                <w:szCs w:val="24"/>
                <w:lang w:eastAsia="zh-CN"/>
              </w:rPr>
              <w:t>；</w:t>
            </w:r>
          </w:p>
        </w:tc>
        <w:tc>
          <w:tcPr>
            <w:tcW w:w="399" w:type="pct"/>
            <w:tcBorders>
              <w:top w:val="single" w:color="auto" w:sz="4" w:space="0"/>
              <w:left w:val="nil"/>
              <w:bottom w:val="single" w:color="auto" w:sz="4" w:space="0"/>
              <w:right w:val="single" w:color="auto" w:sz="4" w:space="0"/>
            </w:tcBorders>
            <w:shd w:val="clear" w:color="auto" w:fill="auto"/>
            <w:vAlign w:val="center"/>
          </w:tcPr>
          <w:p w14:paraId="5B306CA9">
            <w:pPr>
              <w:widowControl/>
              <w:spacing w:line="36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w:t>
            </w:r>
          </w:p>
        </w:tc>
        <w:tc>
          <w:tcPr>
            <w:tcW w:w="751" w:type="pct"/>
            <w:tcBorders>
              <w:top w:val="single" w:color="auto" w:sz="4" w:space="0"/>
              <w:left w:val="nil"/>
              <w:bottom w:val="single" w:color="auto" w:sz="4" w:space="0"/>
              <w:right w:val="single" w:color="auto" w:sz="4" w:space="0"/>
            </w:tcBorders>
            <w:shd w:val="clear" w:color="auto" w:fill="auto"/>
            <w:vAlign w:val="center"/>
          </w:tcPr>
          <w:p w14:paraId="2149D53A">
            <w:pPr>
              <w:widowControl/>
              <w:spacing w:line="360" w:lineRule="auto"/>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质保期≥12个月</w:t>
            </w:r>
          </w:p>
        </w:tc>
      </w:tr>
    </w:tbl>
    <w:p w14:paraId="3672A0E0">
      <w:pPr>
        <w:numPr>
          <w:numId w:val="0"/>
        </w:numPr>
        <w:spacing w:line="360" w:lineRule="auto"/>
        <w:rPr>
          <w:highlight w:val="yellow"/>
        </w:rPr>
      </w:pPr>
    </w:p>
    <w:p w14:paraId="1D843056">
      <w:pPr>
        <w:spacing w:line="360" w:lineRule="auto"/>
        <w:rPr>
          <w:b/>
          <w:sz w:val="24"/>
        </w:rPr>
      </w:pPr>
      <w:r>
        <w:rPr>
          <w:b/>
          <w:sz w:val="24"/>
        </w:rPr>
        <w:t>四、履约验收要求</w:t>
      </w:r>
    </w:p>
    <w:p w14:paraId="2DE7FEE2">
      <w:pPr>
        <w:spacing w:line="360" w:lineRule="auto"/>
        <w:ind w:firstLine="480" w:firstLineChars="200"/>
        <w:rPr>
          <w:bCs/>
          <w:sz w:val="24"/>
        </w:rPr>
      </w:pPr>
      <w:r>
        <w:rPr>
          <w:bCs/>
          <w:sz w:val="24"/>
        </w:rPr>
        <w:t>采购人在验收时将按照约定的验收标准、要求和程序对每一项技术、服务、安全标准的履约情况进行确认。如招标文件没有特殊要求，则验收时以中标人的投标文件应答及招标文件的要求作为验收标准及依据。同时，中标人必须提供全方位免费培训和指导，确保采购人能够顺利开展后续各项教学工作。</w:t>
      </w:r>
    </w:p>
    <w:p w14:paraId="3D055314">
      <w:pPr>
        <w:spacing w:line="360" w:lineRule="auto"/>
        <w:ind w:firstLine="480" w:firstLineChars="200"/>
        <w:rPr>
          <w:bCs/>
          <w:sz w:val="24"/>
        </w:rPr>
      </w:pPr>
      <w:r>
        <w:rPr>
          <w:bCs/>
          <w:sz w:val="24"/>
        </w:rPr>
        <w:t>1.验收主体</w:t>
      </w:r>
    </w:p>
    <w:p w14:paraId="37E81CA9">
      <w:pPr>
        <w:spacing w:line="360" w:lineRule="auto"/>
        <w:ind w:firstLine="480" w:firstLineChars="200"/>
        <w:rPr>
          <w:bCs/>
          <w:sz w:val="24"/>
        </w:rPr>
      </w:pPr>
      <w:r>
        <w:rPr>
          <w:bCs/>
          <w:sz w:val="24"/>
        </w:rPr>
        <w:t>采购人是履约验收责任主体，也可以邀请第三方专业机构及专家参与验收，按规定开展验收工作、出具验收意见，对验收结果负责。</w:t>
      </w:r>
    </w:p>
    <w:p w14:paraId="099130A3">
      <w:pPr>
        <w:spacing w:line="360" w:lineRule="auto"/>
        <w:ind w:firstLine="480" w:firstLineChars="200"/>
        <w:rPr>
          <w:bCs/>
          <w:sz w:val="24"/>
        </w:rPr>
      </w:pPr>
      <w:r>
        <w:rPr>
          <w:bCs/>
          <w:sz w:val="24"/>
        </w:rPr>
        <w:t>2.验收环节及时限</w:t>
      </w:r>
    </w:p>
    <w:p w14:paraId="5F475D4E">
      <w:pPr>
        <w:spacing w:line="360" w:lineRule="auto"/>
        <w:ind w:firstLine="480" w:firstLineChars="200"/>
        <w:rPr>
          <w:bCs/>
          <w:sz w:val="24"/>
        </w:rPr>
      </w:pPr>
      <w:r>
        <w:rPr>
          <w:bCs/>
          <w:sz w:val="24"/>
        </w:rPr>
        <w:t>到货检验：设备送达指定地点后5个工作日内，现场核验</w:t>
      </w:r>
      <w:r>
        <w:rPr>
          <w:rFonts w:hint="eastAsia"/>
          <w:bCs/>
          <w:sz w:val="24"/>
        </w:rPr>
        <w:t>产品</w:t>
      </w:r>
      <w:r>
        <w:rPr>
          <w:bCs/>
          <w:sz w:val="24"/>
        </w:rPr>
        <w:t>型号、数量、外观及质量证明文件；</w:t>
      </w:r>
    </w:p>
    <w:p w14:paraId="5C934252">
      <w:pPr>
        <w:spacing w:line="360" w:lineRule="auto"/>
        <w:ind w:firstLine="480" w:firstLineChars="200"/>
        <w:rPr>
          <w:bCs/>
          <w:sz w:val="24"/>
        </w:rPr>
      </w:pPr>
      <w:r>
        <w:rPr>
          <w:bCs/>
          <w:sz w:val="24"/>
        </w:rPr>
        <w:t>最终验收：</w:t>
      </w:r>
      <w:r>
        <w:rPr>
          <w:rFonts w:hint="eastAsia"/>
          <w:bCs/>
          <w:sz w:val="24"/>
        </w:rPr>
        <w:t>安装完成</w:t>
      </w:r>
      <w:r>
        <w:rPr>
          <w:bCs/>
          <w:sz w:val="24"/>
        </w:rPr>
        <w:t>后5个工作日内开展整体验收，验收合格出具正式验收书，</w:t>
      </w:r>
      <w:r>
        <w:rPr>
          <w:rFonts w:hint="eastAsia"/>
          <w:bCs/>
          <w:sz w:val="24"/>
        </w:rPr>
        <w:t>保修期</w:t>
      </w:r>
      <w:r>
        <w:rPr>
          <w:bCs/>
          <w:sz w:val="24"/>
        </w:rPr>
        <w:t>自验收合格之日起计算。</w:t>
      </w:r>
    </w:p>
    <w:p w14:paraId="074B8473">
      <w:pPr>
        <w:spacing w:line="360" w:lineRule="auto"/>
        <w:ind w:firstLine="480" w:firstLineChars="200"/>
        <w:rPr>
          <w:bCs/>
          <w:sz w:val="24"/>
        </w:rPr>
      </w:pPr>
      <w:r>
        <w:rPr>
          <w:bCs/>
          <w:sz w:val="24"/>
        </w:rPr>
        <w:t>3.验收内容与标准</w:t>
      </w:r>
    </w:p>
    <w:p w14:paraId="295CA0FC">
      <w:pPr>
        <w:spacing w:line="360" w:lineRule="auto"/>
        <w:ind w:firstLine="480" w:firstLineChars="200"/>
        <w:rPr>
          <w:bCs/>
          <w:sz w:val="24"/>
        </w:rPr>
      </w:pPr>
      <w:r>
        <w:rPr>
          <w:bCs/>
          <w:sz w:val="24"/>
        </w:rPr>
        <w:t>验收内容覆盖招标文件及合同约定的全部技术、商务要求，逐项核验履约情况，不得缺项漏项。验收标准以客观、量化指标为核心，所有参数、指标需符合合同约定及国家行业强制标准。</w:t>
      </w:r>
    </w:p>
    <w:p w14:paraId="727CCB4B">
      <w:pPr>
        <w:spacing w:line="360" w:lineRule="auto"/>
        <w:ind w:firstLine="480" w:firstLineChars="200"/>
        <w:rPr>
          <w:bCs/>
          <w:sz w:val="24"/>
        </w:rPr>
      </w:pPr>
      <w:r>
        <w:rPr>
          <w:bCs/>
          <w:sz w:val="24"/>
        </w:rPr>
        <w:t>4.不合格处理</w:t>
      </w:r>
    </w:p>
    <w:p w14:paraId="4921FD5B">
      <w:pPr>
        <w:spacing w:line="360" w:lineRule="auto"/>
        <w:ind w:firstLine="480" w:firstLineChars="200"/>
        <w:rPr>
          <w:bCs/>
          <w:sz w:val="24"/>
        </w:rPr>
      </w:pPr>
      <w:r>
        <w:rPr>
          <w:bCs/>
          <w:sz w:val="24"/>
        </w:rPr>
        <w:t>验收发现不符合合同约定的，中标人须在采购人指定限期内完成整改、更换，相关费用自行承担，整改后重新组织验收；最终验收合格出具的验收书，作为项目资金支付的法定依据。</w:t>
      </w:r>
    </w:p>
    <w:p w14:paraId="4D887C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ECC1B"/>
    <w:multiLevelType w:val="singleLevel"/>
    <w:tmpl w:val="08FECC1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E41C69"/>
    <w:rsid w:val="1A952CEB"/>
    <w:rsid w:val="369022B5"/>
    <w:rsid w:val="5CB54F34"/>
    <w:rsid w:val="661C0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3">
    <w:name w:val="Body Text Indent"/>
    <w:basedOn w:val="1"/>
    <w:qFormat/>
    <w:uiPriority w:val="0"/>
    <w:pPr>
      <w:spacing w:line="360" w:lineRule="auto"/>
      <w:ind w:firstLine="570"/>
    </w:pPr>
    <w:rPr>
      <w:sz w:val="24"/>
    </w:rPr>
  </w:style>
  <w:style w:type="character" w:styleId="6">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2677</Words>
  <Characters>3001</Characters>
  <Lines>0</Lines>
  <Paragraphs>0</Paragraphs>
  <TotalTime>0</TotalTime>
  <ScaleCrop>false</ScaleCrop>
  <LinksUpToDate>false</LinksUpToDate>
  <CharactersWithSpaces>3027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2026-09-30T05:00:00Z</dcterms:created>
  <dc:creator>Lenovo</dc:creator>
  <cp:lastModifiedBy>代理</cp:lastModifiedBy>
  <cp:lastPrinted>2026-09-30T06:42:54Z</cp:lastPrinted>
  <dcterms:modified xsi:type="dcterms:W3CDTF">2026-09-30T07:45:32Z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eyJoZGlkIjoiOTMyYjU5NjdhNGZkNzk3MTMxYzY0YmYwYjRiODk4NWUiLCJ1c2VySWQiOiIxNTg3OTkxMzIyIn0=</vt:lpwstr>
  </property>
  <property fmtid="{D5CDD505-2E9C-101B-9397-08002B2CF9AE}" pid="4" name="ICV">
    <vt:lpwstr>BC013C5AC4CF40A495D83409A39C2736_12</vt:lpwstr>
  </property>
</Properties>
</file>