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FD700">
      <w:pPr>
        <w:pStyle w:val="2"/>
        <w:tabs>
          <w:tab w:val="left" w:pos="0"/>
        </w:tabs>
        <w:autoSpaceDE w:val="0"/>
        <w:autoSpaceDN w:val="0"/>
        <w:adjustRightInd w:val="0"/>
        <w:spacing w:before="0" w:after="0" w:line="360" w:lineRule="auto"/>
        <w:jc w:val="center"/>
        <w:rPr>
          <w:rFonts w:hint="eastAsia" w:ascii="仿宋" w:hAnsi="仿宋" w:eastAsia="仿宋" w:cs="仿宋"/>
          <w:sz w:val="28"/>
          <w:szCs w:val="24"/>
        </w:rPr>
      </w:pPr>
      <w:bookmarkStart w:id="0" w:name="_Toc35393813"/>
      <w:r>
        <w:rPr>
          <w:rFonts w:hint="eastAsia" w:ascii="仿宋" w:hAnsi="仿宋" w:eastAsia="仿宋" w:cs="仿宋"/>
          <w:sz w:val="28"/>
          <w:szCs w:val="24"/>
        </w:rPr>
        <w:t>更正公告</w:t>
      </w:r>
      <w:bookmarkEnd w:id="0"/>
    </w:p>
    <w:p w14:paraId="3EA7EEEC">
      <w:pPr>
        <w:pStyle w:val="3"/>
        <w:pageBreakBefore w:val="0"/>
        <w:widowControl w:val="0"/>
        <w:kinsoku/>
        <w:wordWrap/>
        <w:overflowPunct/>
        <w:topLinePunct w:val="0"/>
        <w:autoSpaceDE/>
        <w:autoSpaceDN/>
        <w:bidi w:val="0"/>
        <w:adjustRightInd/>
        <w:snapToGrid/>
        <w:spacing w:before="120" w:after="0" w:line="480" w:lineRule="exact"/>
        <w:textAlignment w:val="auto"/>
        <w:rPr>
          <w:rFonts w:hint="eastAsia" w:ascii="仿宋" w:hAnsi="仿宋" w:eastAsia="仿宋" w:cs="仿宋"/>
          <w:b w:val="0"/>
          <w:sz w:val="24"/>
          <w:szCs w:val="24"/>
        </w:rPr>
      </w:pPr>
      <w:bookmarkStart w:id="1" w:name="_Toc28359027"/>
      <w:bookmarkStart w:id="2" w:name="_Toc35393814"/>
      <w:bookmarkStart w:id="3" w:name="_Toc28359104"/>
      <w:bookmarkStart w:id="4" w:name="_Toc35393645"/>
      <w:r>
        <w:rPr>
          <w:rFonts w:hint="eastAsia" w:ascii="仿宋" w:hAnsi="仿宋" w:eastAsia="仿宋" w:cs="仿宋"/>
          <w:b w:val="0"/>
          <w:sz w:val="24"/>
          <w:szCs w:val="24"/>
        </w:rPr>
        <w:t>一、项目基本情况</w:t>
      </w:r>
      <w:bookmarkEnd w:id="1"/>
      <w:bookmarkEnd w:id="2"/>
      <w:bookmarkEnd w:id="3"/>
      <w:bookmarkEnd w:id="4"/>
    </w:p>
    <w:p w14:paraId="3803ACF0">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原公告的采购项目编号：</w:t>
      </w:r>
      <w:r>
        <w:rPr>
          <w:rFonts w:hint="eastAsia" w:ascii="仿宋" w:hAnsi="仿宋" w:eastAsia="仿宋" w:cs="仿宋"/>
          <w:color w:val="auto"/>
          <w:sz w:val="24"/>
          <w:highlight w:val="none"/>
          <w:u w:val="single"/>
          <w:lang w:val="en-US" w:eastAsia="zh-CN"/>
        </w:rPr>
        <w:t>11000026210200182105-XM001</w:t>
      </w:r>
      <w:r>
        <w:rPr>
          <w:rFonts w:hint="eastAsia" w:ascii="仿宋" w:hAnsi="仿宋" w:eastAsia="仿宋" w:cs="仿宋"/>
          <w:sz w:val="24"/>
          <w:szCs w:val="24"/>
          <w:u w:val="single"/>
          <w:lang w:val="en-US" w:eastAsia="zh-CN"/>
        </w:rPr>
        <w:t xml:space="preserve"> </w:t>
      </w:r>
    </w:p>
    <w:p w14:paraId="43E679A3">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原公告的采购项目名称：</w:t>
      </w:r>
      <w:r>
        <w:rPr>
          <w:rFonts w:hint="eastAsia" w:ascii="仿宋" w:hAnsi="仿宋" w:eastAsia="仿宋" w:cs="仿宋"/>
          <w:color w:val="auto"/>
          <w:sz w:val="24"/>
          <w:highlight w:val="none"/>
          <w:u w:val="single"/>
        </w:rPr>
        <w:t>2602-110000-04-02-227425</w:t>
      </w:r>
      <w:r>
        <w:rPr>
          <w:rFonts w:hint="eastAsia" w:ascii="仿宋" w:hAnsi="仿宋" w:eastAsia="仿宋" w:cs="仿宋"/>
          <w:color w:val="auto"/>
          <w:sz w:val="24"/>
          <w:highlight w:val="none"/>
          <w:u w:val="single"/>
          <w:lang w:val="en-US" w:eastAsia="zh-CN"/>
        </w:rPr>
        <w:t>特种设备检验检测设备更新项目</w:t>
      </w:r>
      <w:r>
        <w:rPr>
          <w:rFonts w:hint="eastAsia" w:ascii="仿宋" w:hAnsi="仿宋" w:eastAsia="仿宋" w:cs="仿宋"/>
          <w:sz w:val="24"/>
          <w:szCs w:val="24"/>
          <w:u w:val="single"/>
          <w:lang w:val="en-US" w:eastAsia="zh-CN"/>
        </w:rPr>
        <w:t xml:space="preserve"> </w:t>
      </w:r>
    </w:p>
    <w:p w14:paraId="23653BC8">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首次公告日期：</w:t>
      </w:r>
      <w:r>
        <w:rPr>
          <w:rFonts w:hint="eastAsia" w:ascii="仿宋" w:hAnsi="仿宋" w:eastAsia="仿宋" w:cs="仿宋"/>
          <w:sz w:val="24"/>
          <w:szCs w:val="24"/>
          <w:u w:val="single"/>
          <w:lang w:val="en-US" w:eastAsia="zh-CN"/>
        </w:rPr>
        <w:t xml:space="preserve"> 2026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08</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31</w:t>
      </w:r>
      <w:r>
        <w:rPr>
          <w:rFonts w:hint="eastAsia" w:ascii="仿宋" w:hAnsi="仿宋" w:eastAsia="仿宋" w:cs="仿宋"/>
          <w:sz w:val="24"/>
          <w:szCs w:val="24"/>
          <w:u w:val="single"/>
        </w:rPr>
        <w:t>日</w:t>
      </w:r>
    </w:p>
    <w:p w14:paraId="7DB33D12">
      <w:pPr>
        <w:pStyle w:val="3"/>
        <w:keepNext/>
        <w:keepLines/>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val="0"/>
          <w:sz w:val="24"/>
          <w:szCs w:val="24"/>
        </w:rPr>
      </w:pPr>
      <w:bookmarkStart w:id="5" w:name="_Toc28359028"/>
      <w:bookmarkStart w:id="6" w:name="_Toc35393646"/>
      <w:bookmarkStart w:id="7" w:name="_Toc35393815"/>
      <w:bookmarkStart w:id="8" w:name="_Toc28359105"/>
      <w:r>
        <w:rPr>
          <w:rFonts w:hint="eastAsia" w:ascii="仿宋" w:hAnsi="仿宋" w:eastAsia="仿宋" w:cs="仿宋"/>
          <w:b w:val="0"/>
          <w:sz w:val="24"/>
          <w:szCs w:val="24"/>
        </w:rPr>
        <w:t>二、更正信息</w:t>
      </w:r>
      <w:bookmarkEnd w:id="5"/>
      <w:bookmarkEnd w:id="6"/>
      <w:bookmarkEnd w:id="7"/>
      <w:bookmarkEnd w:id="8"/>
    </w:p>
    <w:p w14:paraId="603ADE70">
      <w:pPr>
        <w:pageBreakBefore w:val="0"/>
        <w:widowControl w:val="0"/>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更正事项：■采购</w:t>
      </w:r>
      <w:r>
        <w:rPr>
          <w:rFonts w:hint="eastAsia" w:ascii="仿宋" w:hAnsi="仿宋" w:eastAsia="仿宋" w:cs="仿宋"/>
          <w:sz w:val="24"/>
          <w:szCs w:val="24"/>
          <w:lang w:val="en-US" w:eastAsia="zh-CN"/>
        </w:rPr>
        <w:t>文件</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w:t>
      </w:r>
    </w:p>
    <w:p w14:paraId="69DD74C9">
      <w:pPr>
        <w:pageBreakBefore w:val="0"/>
        <w:widowControl w:val="0"/>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更正内容：</w:t>
      </w:r>
    </w:p>
    <w:p w14:paraId="238F951B">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480" w:lineRule="exact"/>
        <w:ind w:left="0" w:leftChars="0" w:firstLine="240" w:firstLineChars="100"/>
        <w:textAlignment w:val="auto"/>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针对本项目01、02、03、04、05包招标文件部分内容的变更，变更内容以附件为准，除附件所列变更外，其他内容不变。</w:t>
      </w:r>
    </w:p>
    <w:p w14:paraId="41BC46B7">
      <w:pPr>
        <w:keepNext w:val="0"/>
        <w:keepLines w:val="0"/>
        <w:pageBreakBefore w:val="0"/>
        <w:widowControl w:val="0"/>
        <w:numPr>
          <w:ilvl w:val="0"/>
          <w:numId w:val="1"/>
        </w:numPr>
        <w:tabs>
          <w:tab w:val="left" w:pos="0"/>
        </w:tabs>
        <w:kinsoku/>
        <w:wordWrap/>
        <w:overflowPunct/>
        <w:topLinePunct w:val="0"/>
        <w:autoSpaceDE/>
        <w:autoSpaceDN/>
        <w:bidi w:val="0"/>
        <w:adjustRightInd/>
        <w:snapToGrid/>
        <w:spacing w:line="480" w:lineRule="exact"/>
        <w:ind w:left="0" w:leftChars="0" w:firstLine="240" w:firstLineChars="100"/>
        <w:textAlignment w:val="auto"/>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对“提交投标文件截止时间、开标时间”的变更</w:t>
      </w:r>
    </w:p>
    <w:p w14:paraId="7B3AEB7F">
      <w:pPr>
        <w:pageBreakBefore w:val="0"/>
        <w:widowControl w:val="0"/>
        <w:numPr>
          <w:ilvl w:val="0"/>
          <w:numId w:val="0"/>
        </w:numPr>
        <w:kinsoku/>
        <w:wordWrap/>
        <w:overflowPunct/>
        <w:topLinePunct w:val="0"/>
        <w:autoSpaceDE/>
        <w:autoSpaceDN/>
        <w:bidi w:val="0"/>
        <w:adjustRightInd/>
        <w:snapToGrid/>
        <w:spacing w:line="480" w:lineRule="exact"/>
        <w:ind w:firstLine="720" w:firstLineChars="300"/>
        <w:textAlignment w:val="auto"/>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原投标截止时间、开标时间：2026年 9 月 21 日 9点30分（北京时间）</w:t>
      </w:r>
    </w:p>
    <w:p w14:paraId="4D74551D">
      <w:pPr>
        <w:pageBreakBefore w:val="0"/>
        <w:widowControl w:val="0"/>
        <w:numPr>
          <w:ilvl w:val="0"/>
          <w:numId w:val="0"/>
        </w:numPr>
        <w:kinsoku/>
        <w:wordWrap/>
        <w:overflowPunct/>
        <w:topLinePunct w:val="0"/>
        <w:autoSpaceDE/>
        <w:autoSpaceDN/>
        <w:bidi w:val="0"/>
        <w:adjustRightInd/>
        <w:snapToGrid/>
        <w:spacing w:line="480" w:lineRule="exact"/>
        <w:ind w:firstLine="720" w:firstLineChars="300"/>
        <w:textAlignment w:val="auto"/>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现变更投标截止时间、开标时间：2026年 10 月 08 日 9点30分（北京时间）</w:t>
      </w:r>
    </w:p>
    <w:p w14:paraId="5726191B">
      <w:pPr>
        <w:pStyle w:val="20"/>
        <w:pageBreakBefore w:val="0"/>
        <w:widowControl w:val="0"/>
        <w:numPr>
          <w:ilvl w:val="0"/>
          <w:numId w:val="0"/>
        </w:numPr>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u w:val="none"/>
          <w:lang w:val="en-US" w:eastAsia="zh-CN"/>
        </w:rPr>
        <w:t>本项目招标文件以最新版文件为准，</w:t>
      </w:r>
      <w:r>
        <w:rPr>
          <w:rFonts w:hint="eastAsia" w:ascii="仿宋" w:hAnsi="仿宋" w:eastAsia="仿宋" w:cs="仿宋"/>
          <w:sz w:val="24"/>
          <w:szCs w:val="24"/>
          <w:u w:val="none"/>
        </w:rPr>
        <w:t>北京市政府采购电子交易平台已同步更新招标文件，可前往下载。</w:t>
      </w:r>
    </w:p>
    <w:p w14:paraId="7B5F42E7">
      <w:pPr>
        <w:pStyle w:val="20"/>
        <w:pageBreakBefore w:val="0"/>
        <w:widowControl w:val="0"/>
        <w:numPr>
          <w:ilvl w:val="0"/>
          <w:numId w:val="0"/>
        </w:numPr>
        <w:kinsoku/>
        <w:wordWrap/>
        <w:overflowPunct/>
        <w:topLinePunct w:val="0"/>
        <w:autoSpaceDE/>
        <w:autoSpaceDN/>
        <w:bidi w:val="0"/>
        <w:adjustRightInd/>
        <w:snapToGrid/>
        <w:spacing w:line="480" w:lineRule="exact"/>
        <w:ind w:firstLine="240" w:firstLineChars="100"/>
        <w:textAlignment w:val="auto"/>
        <w:rPr>
          <w:rFonts w:hint="eastAsia" w:ascii="仿宋" w:hAnsi="仿宋" w:eastAsia="仿宋" w:cs="仿宋"/>
          <w:sz w:val="24"/>
          <w:szCs w:val="24"/>
          <w:u w:val="single"/>
        </w:rPr>
      </w:pPr>
      <w:r>
        <w:rPr>
          <w:rFonts w:hint="eastAsia" w:ascii="仿宋" w:hAnsi="仿宋" w:eastAsia="仿宋" w:cs="仿宋"/>
          <w:sz w:val="24"/>
          <w:szCs w:val="24"/>
          <w:lang w:val="en-US" w:eastAsia="zh-CN"/>
        </w:rPr>
        <w:t>4.</w:t>
      </w:r>
      <w:r>
        <w:rPr>
          <w:rFonts w:hint="eastAsia" w:ascii="仿宋" w:hAnsi="仿宋" w:eastAsia="仿宋" w:cs="仿宋"/>
          <w:sz w:val="24"/>
          <w:szCs w:val="24"/>
        </w:rPr>
        <w:t>更正日期：</w:t>
      </w:r>
      <w:r>
        <w:rPr>
          <w:rFonts w:hint="eastAsia" w:ascii="仿宋" w:hAnsi="仿宋" w:eastAsia="仿宋" w:cs="仿宋"/>
          <w:sz w:val="24"/>
          <w:szCs w:val="24"/>
          <w:u w:val="single"/>
        </w:rPr>
        <w:t>202</w:t>
      </w:r>
      <w:r>
        <w:rPr>
          <w:rFonts w:hint="eastAsia" w:ascii="仿宋" w:hAnsi="仿宋" w:eastAsia="仿宋" w:cs="仿宋"/>
          <w:sz w:val="24"/>
          <w:szCs w:val="24"/>
          <w:u w:val="single"/>
          <w:lang w:val="en-US" w:eastAsia="zh-CN"/>
        </w:rPr>
        <w:t>6</w:t>
      </w:r>
      <w:r>
        <w:rPr>
          <w:rFonts w:hint="eastAsia" w:ascii="仿宋" w:hAnsi="仿宋" w:eastAsia="仿宋" w:cs="仿宋"/>
          <w:sz w:val="24"/>
          <w:szCs w:val="24"/>
          <w:u w:val="single"/>
        </w:rPr>
        <w:t>年</w:t>
      </w:r>
      <w:r>
        <w:rPr>
          <w:rFonts w:hint="eastAsia" w:ascii="仿宋" w:hAnsi="仿宋" w:eastAsia="仿宋" w:cs="仿宋"/>
          <w:sz w:val="24"/>
          <w:szCs w:val="24"/>
          <w:u w:val="single"/>
          <w:lang w:val="en-US" w:eastAsia="zh-CN"/>
        </w:rPr>
        <w:t>9</w:t>
      </w:r>
      <w:r>
        <w:rPr>
          <w:rFonts w:hint="eastAsia" w:ascii="仿宋" w:hAnsi="仿宋" w:eastAsia="仿宋" w:cs="仿宋"/>
          <w:sz w:val="24"/>
          <w:szCs w:val="24"/>
          <w:u w:val="single"/>
        </w:rPr>
        <w:t>月</w:t>
      </w:r>
      <w:r>
        <w:rPr>
          <w:rFonts w:hint="eastAsia" w:ascii="仿宋" w:hAnsi="仿宋" w:eastAsia="仿宋" w:cs="仿宋"/>
          <w:sz w:val="24"/>
          <w:szCs w:val="24"/>
          <w:u w:val="single"/>
          <w:lang w:val="en-US" w:eastAsia="zh-CN"/>
        </w:rPr>
        <w:t>14</w:t>
      </w:r>
      <w:r>
        <w:rPr>
          <w:rFonts w:hint="eastAsia" w:ascii="仿宋" w:hAnsi="仿宋" w:eastAsia="仿宋" w:cs="仿宋"/>
          <w:sz w:val="24"/>
          <w:szCs w:val="24"/>
          <w:u w:val="single"/>
        </w:rPr>
        <w:t>日</w:t>
      </w:r>
    </w:p>
    <w:p w14:paraId="10969EB8">
      <w:pPr>
        <w:pStyle w:val="3"/>
        <w:keepNext/>
        <w:keepLines/>
        <w:pageBreakBefore w:val="0"/>
        <w:widowControl w:val="0"/>
        <w:kinsoku/>
        <w:wordWrap/>
        <w:overflowPunct/>
        <w:topLinePunct w:val="0"/>
        <w:autoSpaceDE/>
        <w:autoSpaceDN/>
        <w:bidi w:val="0"/>
        <w:adjustRightInd/>
        <w:snapToGrid/>
        <w:spacing w:after="0" w:line="480" w:lineRule="exact"/>
        <w:textAlignment w:val="auto"/>
        <w:rPr>
          <w:rFonts w:hint="eastAsia" w:ascii="仿宋" w:hAnsi="仿宋" w:eastAsia="仿宋" w:cs="仿宋"/>
          <w:b w:val="0"/>
          <w:sz w:val="24"/>
          <w:szCs w:val="24"/>
        </w:rPr>
      </w:pPr>
      <w:bookmarkStart w:id="9" w:name="_Toc35393816"/>
      <w:bookmarkStart w:id="10" w:name="_Toc35393647"/>
      <w:r>
        <w:rPr>
          <w:rFonts w:hint="eastAsia" w:ascii="仿宋" w:hAnsi="仿宋" w:eastAsia="仿宋" w:cs="仿宋"/>
          <w:b w:val="0"/>
          <w:sz w:val="24"/>
          <w:szCs w:val="24"/>
        </w:rPr>
        <w:t>三、其他补充事宜</w:t>
      </w:r>
      <w:bookmarkEnd w:id="9"/>
      <w:bookmarkEnd w:id="10"/>
    </w:p>
    <w:p w14:paraId="7D53A3A0">
      <w:pPr>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仿宋" w:hAnsi="仿宋" w:eastAsia="仿宋" w:cs="仿宋"/>
          <w:sz w:val="24"/>
          <w:szCs w:val="24"/>
          <w:u w:val="none"/>
          <w:lang w:val="en-US" w:eastAsia="zh-CN"/>
        </w:rPr>
      </w:pPr>
      <w:bookmarkStart w:id="20" w:name="_GoBack"/>
      <w:r>
        <w:rPr>
          <w:rFonts w:hint="eastAsia" w:ascii="仿宋" w:hAnsi="仿宋" w:eastAsia="仿宋" w:cs="仿宋"/>
          <w:sz w:val="24"/>
          <w:szCs w:val="24"/>
          <w:u w:val="none"/>
          <w:lang w:val="en-US" w:eastAsia="zh-CN"/>
        </w:rPr>
        <w:t>无。</w:t>
      </w:r>
      <w:bookmarkEnd w:id="20"/>
    </w:p>
    <w:p w14:paraId="43966AFA">
      <w:pPr>
        <w:pStyle w:val="3"/>
        <w:pageBreakBefore w:val="0"/>
        <w:widowControl w:val="0"/>
        <w:kinsoku/>
        <w:wordWrap/>
        <w:overflowPunct/>
        <w:topLinePunct w:val="0"/>
        <w:autoSpaceDE/>
        <w:autoSpaceDN/>
        <w:bidi w:val="0"/>
        <w:adjustRightInd/>
        <w:snapToGrid/>
        <w:spacing w:before="120" w:after="0" w:line="480" w:lineRule="exact"/>
        <w:textAlignment w:val="auto"/>
        <w:rPr>
          <w:rFonts w:hint="eastAsia" w:ascii="仿宋" w:hAnsi="仿宋" w:eastAsia="仿宋" w:cs="仿宋"/>
          <w:b w:val="0"/>
          <w:sz w:val="24"/>
          <w:szCs w:val="24"/>
        </w:rPr>
      </w:pPr>
      <w:bookmarkStart w:id="11" w:name="_Toc35393648"/>
      <w:bookmarkStart w:id="12" w:name="_Toc28359106"/>
      <w:bookmarkStart w:id="13" w:name="_Toc28359029"/>
      <w:bookmarkStart w:id="14" w:name="_Toc35393817"/>
      <w:r>
        <w:rPr>
          <w:rFonts w:hint="eastAsia" w:ascii="仿宋" w:hAnsi="仿宋" w:eastAsia="仿宋" w:cs="仿宋"/>
          <w:b w:val="0"/>
          <w:sz w:val="24"/>
          <w:szCs w:val="24"/>
        </w:rPr>
        <w:t>四、凡对本次公告内容提出询问，请按以下方式联系。</w:t>
      </w:r>
      <w:bookmarkEnd w:id="11"/>
      <w:bookmarkEnd w:id="12"/>
      <w:bookmarkEnd w:id="13"/>
      <w:bookmarkEnd w:id="14"/>
    </w:p>
    <w:p w14:paraId="21445A92">
      <w:pPr>
        <w:spacing w:line="360" w:lineRule="auto"/>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1.采购人信息</w:t>
      </w:r>
    </w:p>
    <w:p w14:paraId="58542348">
      <w:pPr>
        <w:spacing w:line="360" w:lineRule="auto"/>
        <w:ind w:firstLine="480" w:firstLineChars="200"/>
        <w:jc w:val="left"/>
        <w:rPr>
          <w:rFonts w:hint="eastAsia" w:ascii="仿宋" w:hAnsi="仿宋" w:eastAsia="仿宋" w:cs="仿宋"/>
          <w:color w:val="auto"/>
          <w:sz w:val="24"/>
          <w:highlight w:val="none"/>
          <w:lang w:eastAsia="zh-CN"/>
        </w:rPr>
      </w:pPr>
      <w:bookmarkStart w:id="15" w:name="_Toc28359009"/>
      <w:bookmarkStart w:id="16" w:name="_Toc28359086"/>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u w:val="single"/>
          <w:lang w:eastAsia="zh-CN"/>
        </w:rPr>
        <w:t>北京市</w:t>
      </w:r>
      <w:r>
        <w:rPr>
          <w:rFonts w:hint="eastAsia" w:ascii="仿宋" w:hAnsi="仿宋" w:eastAsia="仿宋" w:cs="仿宋"/>
          <w:color w:val="auto"/>
          <w:sz w:val="24"/>
          <w:highlight w:val="none"/>
          <w:u w:val="single"/>
          <w:lang w:val="en-US" w:eastAsia="zh-CN"/>
        </w:rPr>
        <w:t>特种设备检验检测研究院</w:t>
      </w:r>
    </w:p>
    <w:p w14:paraId="68578687">
      <w:pPr>
        <w:spacing w:line="360" w:lineRule="auto"/>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u w:val="single"/>
          <w:lang w:val="en-US" w:eastAsia="zh-CN"/>
        </w:rPr>
        <w:t xml:space="preserve"> 北京市朝阳区惠新东街3号  </w:t>
      </w:r>
    </w:p>
    <w:p w14:paraId="67B1C607">
      <w:pPr>
        <w:spacing w:line="360" w:lineRule="auto"/>
        <w:ind w:firstLine="480" w:firstLineChars="200"/>
        <w:jc w:val="left"/>
        <w:rPr>
          <w:rFonts w:hint="eastAsia" w:ascii="仿宋" w:hAnsi="仿宋" w:eastAsia="仿宋" w:cs="仿宋"/>
          <w:color w:val="auto"/>
          <w:sz w:val="24"/>
          <w:highlight w:val="none"/>
          <w:u w:val="singl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u w:val="single"/>
          <w:lang w:val="en-US" w:eastAsia="zh-CN"/>
        </w:rPr>
        <w:t xml:space="preserve">  张老师，010-57520886  </w:t>
      </w:r>
    </w:p>
    <w:p w14:paraId="42F3114F">
      <w:pPr>
        <w:spacing w:line="360" w:lineRule="auto"/>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2.采购代理机构信息</w:t>
      </w:r>
      <w:bookmarkEnd w:id="15"/>
      <w:bookmarkEnd w:id="16"/>
    </w:p>
    <w:p w14:paraId="71D9C71F">
      <w:pPr>
        <w:spacing w:line="360" w:lineRule="auto"/>
        <w:ind w:firstLine="480" w:firstLineChars="200"/>
        <w:jc w:val="left"/>
        <w:rPr>
          <w:rFonts w:hint="eastAsia" w:ascii="仿宋" w:hAnsi="仿宋" w:eastAsia="仿宋" w:cs="仿宋"/>
          <w:color w:val="auto"/>
          <w:sz w:val="24"/>
          <w:highlight w:val="none"/>
        </w:rPr>
      </w:pPr>
      <w:bookmarkStart w:id="17" w:name="_Toc28359010"/>
      <w:bookmarkStart w:id="18" w:name="_Toc28359087"/>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u w:val="single"/>
        </w:rPr>
        <w:t>华诚博远工程咨询有限公司</w:t>
      </w:r>
    </w:p>
    <w:p w14:paraId="12AA9E75">
      <w:pPr>
        <w:spacing w:line="360" w:lineRule="auto"/>
        <w:ind w:firstLine="480" w:firstLineChars="200"/>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bookmarkStart w:id="19" w:name="OLE_LINK68"/>
      <w:r>
        <w:rPr>
          <w:rFonts w:hint="eastAsia" w:ascii="仿宋" w:hAnsi="仿宋" w:eastAsia="仿宋" w:cs="仿宋"/>
          <w:color w:val="auto"/>
          <w:sz w:val="24"/>
          <w:highlight w:val="none"/>
          <w:u w:val="single"/>
          <w:lang w:val="en-US" w:eastAsia="zh-CN" w:bidi="ar"/>
        </w:rPr>
        <w:t>北京市丰台区吴家村路57号华诚博远设计产业园</w:t>
      </w:r>
      <w:bookmarkEnd w:id="19"/>
    </w:p>
    <w:p w14:paraId="0E92768A">
      <w:pPr>
        <w:spacing w:line="360" w:lineRule="auto"/>
        <w:ind w:firstLine="480" w:firstLineChars="200"/>
        <w:jc w:val="left"/>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联系方式：</w:t>
      </w:r>
      <w:r>
        <w:rPr>
          <w:rFonts w:hint="eastAsia" w:ascii="仿宋" w:hAnsi="仿宋" w:eastAsia="仿宋" w:cs="仿宋"/>
          <w:color w:val="auto"/>
          <w:sz w:val="24"/>
          <w:szCs w:val="24"/>
          <w:highlight w:val="none"/>
          <w:u w:val="single"/>
          <w:lang w:val="en-US" w:eastAsia="zh-CN"/>
        </w:rPr>
        <w:t>张佳敏、申俊杰</w:t>
      </w:r>
      <w:r>
        <w:rPr>
          <w:rFonts w:hint="eastAsia" w:ascii="仿宋" w:hAnsi="仿宋" w:eastAsia="仿宋" w:cs="仿宋"/>
          <w:color w:val="auto"/>
          <w:sz w:val="24"/>
          <w:highlight w:val="none"/>
          <w:u w:val="single"/>
          <w:lang w:eastAsia="zh-CN"/>
        </w:rPr>
        <w:t>；</w:t>
      </w:r>
      <w:r>
        <w:rPr>
          <w:rFonts w:hint="eastAsia" w:ascii="仿宋" w:hAnsi="仿宋" w:eastAsia="仿宋" w:cs="仿宋"/>
          <w:color w:val="auto"/>
          <w:sz w:val="24"/>
          <w:highlight w:val="none"/>
          <w:u w:val="single"/>
          <w:lang w:val="en-US" w:eastAsia="zh-CN" w:bidi="ar"/>
        </w:rPr>
        <w:t xml:space="preserve"> 13521559594   </w:t>
      </w:r>
    </w:p>
    <w:p w14:paraId="0771FA78">
      <w:pPr>
        <w:spacing w:line="360" w:lineRule="auto"/>
        <w:ind w:firstLine="482" w:firstLineChars="200"/>
        <w:jc w:val="left"/>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3.项目联系方式</w:t>
      </w:r>
      <w:bookmarkEnd w:id="17"/>
      <w:bookmarkEnd w:id="18"/>
    </w:p>
    <w:p w14:paraId="6A962D44">
      <w:pPr>
        <w:pStyle w:val="5"/>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项目联系人：</w:t>
      </w:r>
      <w:r>
        <w:rPr>
          <w:rFonts w:hint="eastAsia" w:ascii="仿宋" w:hAnsi="仿宋" w:eastAsia="仿宋" w:cs="仿宋"/>
          <w:color w:val="auto"/>
          <w:sz w:val="24"/>
          <w:szCs w:val="24"/>
          <w:highlight w:val="none"/>
          <w:u w:val="single"/>
          <w:lang w:val="en-US" w:eastAsia="zh-CN"/>
        </w:rPr>
        <w:t>张佳敏、申俊杰</w:t>
      </w:r>
    </w:p>
    <w:p w14:paraId="00965F3B">
      <w:pPr>
        <w:ind w:firstLine="480" w:firstLineChars="200"/>
        <w:rPr>
          <w:rFonts w:hint="eastAsia" w:ascii="仿宋" w:hAnsi="仿宋" w:eastAsia="仿宋" w:cs="仿宋"/>
          <w:b w:val="0"/>
          <w:sz w:val="24"/>
          <w:szCs w:val="24"/>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u w:val="single"/>
          <w:lang w:val="en-US" w:eastAsia="zh-CN" w:bidi="ar"/>
        </w:rPr>
        <w:t xml:space="preserve">  13521559594  </w:t>
      </w:r>
    </w:p>
    <w:p w14:paraId="3569AD64">
      <w:pPr>
        <w:pStyle w:val="3"/>
        <w:bidi w:val="0"/>
        <w:rPr>
          <w:rFonts w:hint="eastAsia"/>
          <w:lang w:val="en-US" w:eastAsia="zh-CN"/>
        </w:rPr>
      </w:pPr>
      <w:r>
        <w:rPr>
          <w:rFonts w:hint="eastAsia"/>
          <w:lang w:val="en-US" w:eastAsia="zh-CN"/>
        </w:rPr>
        <w:t>包号：</w:t>
      </w:r>
      <w:r>
        <w:rPr>
          <w:rFonts w:hint="eastAsia" w:ascii="仿宋" w:hAnsi="仿宋" w:eastAsia="仿宋" w:cs="仿宋"/>
          <w:lang w:val="en-US" w:eastAsia="zh-CN"/>
        </w:rPr>
        <w:t>01包</w:t>
      </w:r>
    </w:p>
    <w:tbl>
      <w:tblPr>
        <w:tblStyle w:val="11"/>
        <w:tblW w:w="10275" w:type="dxa"/>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5025"/>
        <w:gridCol w:w="4600"/>
      </w:tblGrid>
      <w:tr w14:paraId="71F3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14:paraId="24BAF93D">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序号</w:t>
            </w:r>
          </w:p>
        </w:tc>
        <w:tc>
          <w:tcPr>
            <w:tcW w:w="5025" w:type="dxa"/>
            <w:vAlign w:val="center"/>
          </w:tcPr>
          <w:p w14:paraId="7F83219D">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变更前</w:t>
            </w:r>
          </w:p>
        </w:tc>
        <w:tc>
          <w:tcPr>
            <w:tcW w:w="4600" w:type="dxa"/>
            <w:vAlign w:val="center"/>
          </w:tcPr>
          <w:p w14:paraId="5620C3EB">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变更后</w:t>
            </w:r>
          </w:p>
        </w:tc>
      </w:tr>
      <w:tr w14:paraId="29B8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top"/>
          </w:tcPr>
          <w:p w14:paraId="0B8DC468">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4"/>
                <w:szCs w:val="24"/>
                <w:u w:val="none"/>
                <w:vertAlign w:val="baseline"/>
                <w:lang w:val="en-US" w:eastAsia="zh-CN" w:bidi="ar-SA"/>
              </w:rPr>
            </w:pPr>
            <w:r>
              <w:rPr>
                <w:rFonts w:hint="eastAsia" w:ascii="黑体" w:hAnsi="黑体" w:eastAsia="黑体" w:cs="黑体"/>
                <w:sz w:val="24"/>
                <w:szCs w:val="24"/>
                <w:u w:val="none"/>
                <w:vertAlign w:val="baseline"/>
                <w:lang w:val="en-US" w:eastAsia="zh-CN"/>
              </w:rPr>
              <w:t>一</w:t>
            </w:r>
          </w:p>
        </w:tc>
        <w:tc>
          <w:tcPr>
            <w:tcW w:w="5025" w:type="dxa"/>
            <w:shd w:val="clear" w:color="auto" w:fill="auto"/>
            <w:vAlign w:val="center"/>
          </w:tcPr>
          <w:p w14:paraId="26EBFF7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黑体" w:hAnsi="黑体" w:eastAsia="黑体" w:cs="黑体"/>
                <w:kern w:val="2"/>
                <w:sz w:val="24"/>
                <w:szCs w:val="24"/>
                <w:u w:val="none"/>
                <w:vertAlign w:val="baseline"/>
                <w:lang w:val="en-US" w:eastAsia="zh-CN" w:bidi="ar-SA"/>
              </w:rPr>
            </w:pPr>
            <w:r>
              <w:rPr>
                <w:rFonts w:hint="eastAsia" w:ascii="黑体" w:hAnsi="黑体" w:eastAsia="黑体" w:cs="黑体"/>
                <w:sz w:val="24"/>
                <w:szCs w:val="24"/>
                <w:u w:val="none"/>
                <w:vertAlign w:val="baseline"/>
                <w:lang w:val="en-US" w:eastAsia="zh-CN"/>
              </w:rPr>
              <w:t>原招标文件：第四章评标程序、评标方法和评标标准</w:t>
            </w:r>
          </w:p>
        </w:tc>
        <w:tc>
          <w:tcPr>
            <w:tcW w:w="4600" w:type="dxa"/>
            <w:shd w:val="clear" w:color="auto" w:fill="auto"/>
            <w:vAlign w:val="center"/>
          </w:tcPr>
          <w:p w14:paraId="7DFFFF0F">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4"/>
                <w:szCs w:val="24"/>
                <w:u w:val="none"/>
                <w:vertAlign w:val="baseline"/>
                <w:lang w:val="en-US" w:eastAsia="zh-CN" w:bidi="ar-SA"/>
              </w:rPr>
            </w:pPr>
          </w:p>
        </w:tc>
      </w:tr>
      <w:tr w14:paraId="3604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4B109142">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4"/>
                <w:szCs w:val="24"/>
                <w:u w:val="none"/>
                <w:vertAlign w:val="baseline"/>
                <w:lang w:val="en-US" w:eastAsia="zh-CN" w:bidi="ar-SA"/>
              </w:rPr>
            </w:pPr>
            <w:r>
              <w:rPr>
                <w:rFonts w:hint="eastAsia" w:ascii="仿宋" w:hAnsi="仿宋" w:eastAsia="仿宋" w:cs="仿宋"/>
                <w:sz w:val="24"/>
                <w:szCs w:val="24"/>
                <w:u w:val="none"/>
                <w:vertAlign w:val="baseline"/>
                <w:lang w:val="en-US" w:eastAsia="zh-CN"/>
              </w:rPr>
              <w:t>1</w:t>
            </w:r>
          </w:p>
        </w:tc>
        <w:tc>
          <w:tcPr>
            <w:tcW w:w="5025" w:type="dxa"/>
            <w:shd w:val="clear" w:color="auto" w:fill="auto"/>
            <w:vAlign w:val="center"/>
          </w:tcPr>
          <w:p w14:paraId="57CE9E0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2.2异常低价处理</w:t>
            </w:r>
          </w:p>
          <w:p w14:paraId="3FE206F0">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2.2.1 政府采购评审中出现下列情形之一的，评审委员会应当启动异常低价投标（响应）审查程序：</w:t>
            </w:r>
          </w:p>
          <w:p w14:paraId="3A64710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（1）投标（响应）报价低于全部通过符合性审查供应商投标（响应）报价平均值</w:t>
            </w:r>
            <w:r>
              <w:rPr>
                <w:rFonts w:hint="default" w:ascii="仿宋" w:hAnsi="仿宋" w:eastAsia="仿宋" w:cs="仿宋"/>
                <w:sz w:val="24"/>
                <w:szCs w:val="24"/>
                <w:u w:val="single"/>
                <w:vertAlign w:val="baseline"/>
                <w:lang w:val="en-US" w:eastAsia="zh-CN"/>
              </w:rPr>
              <w:t>50</w:t>
            </w:r>
            <w:r>
              <w:rPr>
                <w:rFonts w:hint="default" w:ascii="仿宋" w:hAnsi="仿宋" w:eastAsia="仿宋" w:cs="仿宋"/>
                <w:sz w:val="24"/>
                <w:szCs w:val="24"/>
                <w:u w:val="none"/>
                <w:vertAlign w:val="baseline"/>
                <w:lang w:val="en-US" w:eastAsia="zh-CN"/>
              </w:rPr>
              <w:t>%的，即投标（响应）报价&lt;全部通过符合性审查供应商投标（响应）报价平均值×</w:t>
            </w:r>
            <w:r>
              <w:rPr>
                <w:rFonts w:hint="default" w:ascii="仿宋" w:hAnsi="仿宋" w:eastAsia="仿宋" w:cs="仿宋"/>
                <w:sz w:val="24"/>
                <w:szCs w:val="24"/>
                <w:u w:val="single"/>
                <w:vertAlign w:val="baseline"/>
                <w:lang w:val="en-US" w:eastAsia="zh-CN"/>
              </w:rPr>
              <w:t>50</w:t>
            </w:r>
            <w:r>
              <w:rPr>
                <w:rFonts w:hint="default" w:ascii="仿宋" w:hAnsi="仿宋" w:eastAsia="仿宋" w:cs="仿宋"/>
                <w:sz w:val="24"/>
                <w:szCs w:val="24"/>
                <w:u w:val="none"/>
                <w:vertAlign w:val="baseline"/>
                <w:lang w:val="en-US" w:eastAsia="zh-CN"/>
              </w:rPr>
              <w:t>%；</w:t>
            </w:r>
          </w:p>
          <w:p w14:paraId="0562187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（2）投标（响应）报价低于通过符合性审查的次低报价供应商投标（响应）报价</w:t>
            </w:r>
            <w:r>
              <w:rPr>
                <w:rFonts w:hint="default" w:ascii="仿宋" w:hAnsi="仿宋" w:eastAsia="仿宋" w:cs="仿宋"/>
                <w:sz w:val="24"/>
                <w:szCs w:val="24"/>
                <w:u w:val="single"/>
                <w:vertAlign w:val="baseline"/>
                <w:lang w:val="en-US" w:eastAsia="zh-CN"/>
              </w:rPr>
              <w:t>50</w:t>
            </w:r>
            <w:r>
              <w:rPr>
                <w:rFonts w:hint="default" w:ascii="仿宋" w:hAnsi="仿宋" w:eastAsia="仿宋" w:cs="仿宋"/>
                <w:sz w:val="24"/>
                <w:szCs w:val="24"/>
                <w:u w:val="none"/>
                <w:vertAlign w:val="baseline"/>
                <w:lang w:val="en-US" w:eastAsia="zh-CN"/>
              </w:rPr>
              <w:t>%的，即投标（响应）报价&lt;通过符合性审查的次低报价供应商投标（响应）报价×</w:t>
            </w:r>
            <w:r>
              <w:rPr>
                <w:rFonts w:hint="default" w:ascii="仿宋" w:hAnsi="仿宋" w:eastAsia="仿宋" w:cs="仿宋"/>
                <w:sz w:val="24"/>
                <w:szCs w:val="24"/>
                <w:u w:val="single"/>
                <w:vertAlign w:val="baseline"/>
                <w:lang w:val="en-US" w:eastAsia="zh-CN"/>
              </w:rPr>
              <w:t>50</w:t>
            </w:r>
            <w:r>
              <w:rPr>
                <w:rFonts w:hint="default" w:ascii="仿宋" w:hAnsi="仿宋" w:eastAsia="仿宋" w:cs="仿宋"/>
                <w:sz w:val="24"/>
                <w:szCs w:val="24"/>
                <w:u w:val="none"/>
                <w:vertAlign w:val="baseline"/>
                <w:lang w:val="en-US" w:eastAsia="zh-CN"/>
              </w:rPr>
              <w:t>%；</w:t>
            </w:r>
          </w:p>
          <w:p w14:paraId="3997FD4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（3）投标（响应）报价低于采购项目最高限价</w:t>
            </w:r>
            <w:r>
              <w:rPr>
                <w:rFonts w:hint="eastAsia" w:ascii="仿宋" w:hAnsi="仿宋" w:eastAsia="仿宋" w:cs="仿宋"/>
                <w:sz w:val="24"/>
                <w:szCs w:val="24"/>
                <w:u w:val="single"/>
                <w:vertAlign w:val="baseline"/>
                <w:lang w:val="en-US" w:eastAsia="zh-CN"/>
              </w:rPr>
              <w:t>45</w:t>
            </w:r>
            <w:r>
              <w:rPr>
                <w:rFonts w:hint="default" w:ascii="仿宋" w:hAnsi="仿宋" w:eastAsia="仿宋" w:cs="仿宋"/>
                <w:sz w:val="24"/>
                <w:szCs w:val="24"/>
                <w:u w:val="none"/>
                <w:vertAlign w:val="baseline"/>
                <w:lang w:val="en-US" w:eastAsia="zh-CN"/>
              </w:rPr>
              <w:t>%的，即投标（响应）报价&lt;采购项目最高限价×</w:t>
            </w:r>
            <w:r>
              <w:rPr>
                <w:rFonts w:hint="eastAsia" w:ascii="仿宋" w:hAnsi="仿宋" w:eastAsia="仿宋" w:cs="仿宋"/>
                <w:sz w:val="24"/>
                <w:szCs w:val="24"/>
                <w:u w:val="single"/>
                <w:vertAlign w:val="baseline"/>
                <w:lang w:val="en-US" w:eastAsia="zh-CN"/>
              </w:rPr>
              <w:t>45</w:t>
            </w:r>
            <w:r>
              <w:rPr>
                <w:rFonts w:hint="default" w:ascii="仿宋" w:hAnsi="仿宋" w:eastAsia="仿宋" w:cs="仿宋"/>
                <w:sz w:val="24"/>
                <w:szCs w:val="24"/>
                <w:u w:val="none"/>
                <w:vertAlign w:val="baseline"/>
                <w:lang w:val="en-US" w:eastAsia="zh-CN"/>
              </w:rPr>
              <w:t>%；未设定最高限价的采购项目，以采购项目预算金额作为最高限价；</w:t>
            </w:r>
          </w:p>
          <w:p w14:paraId="3A7AFF6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4"/>
                <w:szCs w:val="24"/>
                <w:u w:val="none"/>
                <w:vertAlign w:val="baseline"/>
                <w:lang w:val="en-US" w:eastAsia="zh-CN" w:bidi="ar-SA"/>
              </w:rPr>
            </w:pPr>
            <w:r>
              <w:rPr>
                <w:rFonts w:hint="default" w:ascii="仿宋" w:hAnsi="仿宋" w:eastAsia="仿宋" w:cs="仿宋"/>
                <w:sz w:val="24"/>
                <w:szCs w:val="24"/>
                <w:u w:val="none"/>
                <w:vertAlign w:val="baseline"/>
                <w:lang w:val="en-US" w:eastAsia="zh-CN"/>
              </w:rPr>
              <w:t>（4）评审委员会基于专业判断，认为供应商报价过低，有可能影响产品质量或者不能诚信履约的其他情形。</w:t>
            </w:r>
          </w:p>
        </w:tc>
        <w:tc>
          <w:tcPr>
            <w:tcW w:w="4600" w:type="dxa"/>
            <w:shd w:val="clear" w:color="auto" w:fill="auto"/>
            <w:vAlign w:val="center"/>
          </w:tcPr>
          <w:p w14:paraId="07662B0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2.2异常低价处理</w:t>
            </w:r>
          </w:p>
          <w:p w14:paraId="2458611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2.2.1 政府采购评审中出现下列情形之一的，评审委员会应当启动异常低价投标（响应）审查程序：</w:t>
            </w:r>
          </w:p>
          <w:p w14:paraId="358D8F3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（1）投标（响应）报价低于全部通过符合性审查供应商投标（响应）报价平均值</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%的，即投标（响应）报价&lt;全部通过符合性审查供应商投标（响应）报价平均值×</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w:t>
            </w:r>
          </w:p>
          <w:p w14:paraId="3E9BC5E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（2）投标（响应）报价低于通过符合性审查的次低报价供应商投标（响应）报价</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%的，即投标（响应）报价&lt;通过符合性审查的次低报价供应商投标（响应）报价×</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w:t>
            </w:r>
          </w:p>
          <w:p w14:paraId="17106D6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（3）投标（响应）报价低于采购项目最高限价</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%的，即投标（响应）报价&lt;采购项目最高限价×</w:t>
            </w:r>
            <w:r>
              <w:rPr>
                <w:rFonts w:hint="eastAsia" w:ascii="仿宋" w:hAnsi="仿宋" w:eastAsia="仿宋" w:cs="仿宋"/>
                <w:sz w:val="24"/>
                <w:szCs w:val="24"/>
                <w:u w:val="single"/>
                <w:vertAlign w:val="baseline"/>
                <w:lang w:val="en-US" w:eastAsia="zh-CN"/>
              </w:rPr>
              <w:t>65</w:t>
            </w:r>
            <w:r>
              <w:rPr>
                <w:rFonts w:hint="default" w:ascii="仿宋" w:hAnsi="仿宋" w:eastAsia="仿宋" w:cs="仿宋"/>
                <w:sz w:val="24"/>
                <w:szCs w:val="24"/>
                <w:u w:val="none"/>
                <w:vertAlign w:val="baseline"/>
                <w:lang w:val="en-US" w:eastAsia="zh-CN"/>
              </w:rPr>
              <w:t>%；未设定最高限价的采购项目，以采购项目预算金额作为最高限价；</w:t>
            </w:r>
          </w:p>
          <w:p w14:paraId="0DAA9E8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4"/>
                <w:szCs w:val="24"/>
                <w:u w:val="none"/>
                <w:vertAlign w:val="baseline"/>
                <w:lang w:val="en-US" w:eastAsia="zh-CN" w:bidi="ar-SA"/>
              </w:rPr>
            </w:pPr>
            <w:r>
              <w:rPr>
                <w:rFonts w:hint="default" w:ascii="仿宋" w:hAnsi="仿宋" w:eastAsia="仿宋" w:cs="仿宋"/>
                <w:sz w:val="24"/>
                <w:szCs w:val="24"/>
                <w:u w:val="none"/>
                <w:vertAlign w:val="baseline"/>
                <w:lang w:val="en-US" w:eastAsia="zh-CN"/>
              </w:rPr>
              <w:t>（4）评审委员会基于专业判断，认为供应商报价过低，有可能影响产品质量或者不能诚信履约的其他情形。</w:t>
            </w:r>
          </w:p>
        </w:tc>
      </w:tr>
      <w:tr w14:paraId="664B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34BC8BB7">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4"/>
                <w:szCs w:val="24"/>
                <w:u w:val="none"/>
                <w:vertAlign w:val="baseline"/>
                <w:lang w:val="en-US" w:eastAsia="zh-CN" w:bidi="ar-SA"/>
              </w:rPr>
            </w:pPr>
            <w:r>
              <w:rPr>
                <w:rFonts w:hint="eastAsia" w:ascii="仿宋" w:hAnsi="仿宋" w:eastAsia="仿宋" w:cs="仿宋"/>
                <w:sz w:val="24"/>
                <w:szCs w:val="24"/>
                <w:u w:val="none"/>
                <w:vertAlign w:val="baseline"/>
                <w:lang w:val="en-US" w:eastAsia="zh-CN"/>
              </w:rPr>
              <w:t>2</w:t>
            </w:r>
          </w:p>
        </w:tc>
        <w:tc>
          <w:tcPr>
            <w:tcW w:w="5025" w:type="dxa"/>
            <w:shd w:val="clear" w:color="auto" w:fill="auto"/>
            <w:vAlign w:val="center"/>
          </w:tcPr>
          <w:p w14:paraId="20A0A3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7470CCE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：体系认证</w:t>
            </w:r>
          </w:p>
          <w:p w14:paraId="426018C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：3</w:t>
            </w:r>
          </w:p>
          <w:p w14:paraId="5AAFE50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kern w:val="2"/>
                <w:sz w:val="24"/>
                <w:szCs w:val="24"/>
                <w:u w:val="none"/>
                <w:vertAlign w:val="baseline"/>
                <w:lang w:val="en-US" w:eastAsia="zh-CN" w:bidi="ar-SA"/>
              </w:rPr>
            </w:pPr>
            <w:r>
              <w:rPr>
                <w:rFonts w:hint="default" w:ascii="仿宋" w:hAnsi="仿宋" w:eastAsia="仿宋" w:cs="仿宋"/>
                <w:sz w:val="24"/>
                <w:szCs w:val="24"/>
                <w:u w:val="none"/>
                <w:vertAlign w:val="baseline"/>
                <w:lang w:val="en-US" w:eastAsia="zh-CN"/>
              </w:rPr>
              <w:t>投标人具有质量管理体系认证证书、环境管理体系认证证书、职业健康安全管理体系认证证书，需提供证明文件的扫描件及全国认证认可信息公共服务平台官网证书信息查询截图，均需加盖投标人公章。上述每提供一个有效证书得1分，满分3分。</w:t>
            </w:r>
          </w:p>
        </w:tc>
        <w:tc>
          <w:tcPr>
            <w:tcW w:w="4600" w:type="dxa"/>
            <w:shd w:val="clear" w:color="auto" w:fill="auto"/>
            <w:vAlign w:val="center"/>
          </w:tcPr>
          <w:p w14:paraId="73E016A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kern w:val="2"/>
                <w:sz w:val="24"/>
                <w:szCs w:val="24"/>
                <w:u w:val="none"/>
                <w:vertAlign w:val="baseline"/>
                <w:lang w:val="en-US" w:eastAsia="zh-CN" w:bidi="ar-SA"/>
              </w:rPr>
            </w:pPr>
            <w:r>
              <w:rPr>
                <w:rFonts w:hint="eastAsia" w:ascii="仿宋" w:hAnsi="仿宋" w:eastAsia="仿宋" w:cs="仿宋"/>
                <w:sz w:val="24"/>
                <w:szCs w:val="24"/>
                <w:u w:val="none"/>
                <w:vertAlign w:val="baseline"/>
                <w:lang w:val="en-US" w:eastAsia="zh-CN"/>
              </w:rPr>
              <w:t>删除此项评分因素</w:t>
            </w:r>
          </w:p>
        </w:tc>
      </w:tr>
      <w:tr w14:paraId="4F7C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790B951E">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default" w:ascii="仿宋" w:hAnsi="仿宋" w:eastAsia="仿宋" w:cs="仿宋"/>
                <w:sz w:val="24"/>
                <w:szCs w:val="24"/>
                <w:u w:val="none"/>
                <w:vertAlign w:val="baseline"/>
                <w:lang w:val="en-US" w:eastAsia="zh-CN"/>
              </w:rPr>
            </w:pPr>
            <w:r>
              <w:rPr>
                <w:rFonts w:hint="eastAsia" w:ascii="仿宋" w:hAnsi="仿宋" w:eastAsia="仿宋" w:cs="仿宋"/>
                <w:sz w:val="24"/>
                <w:szCs w:val="24"/>
                <w:u w:val="none"/>
                <w:vertAlign w:val="baseline"/>
                <w:lang w:val="en-US" w:eastAsia="zh-CN"/>
              </w:rPr>
              <w:t>3</w:t>
            </w:r>
          </w:p>
        </w:tc>
        <w:tc>
          <w:tcPr>
            <w:tcW w:w="5025" w:type="dxa"/>
            <w:shd w:val="clear" w:color="auto" w:fill="auto"/>
            <w:vAlign w:val="center"/>
          </w:tcPr>
          <w:p w14:paraId="04D196E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72C2ED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3E25279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10</w:t>
            </w:r>
          </w:p>
          <w:p w14:paraId="37EE757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提供投标人近三年内（2023年8月至投标截止时间）以合同签订时间为准，所投产品(如本包为非单一产品采购，则提供本包核心产品)的销售业绩，每提供1个有效业绩得2分，该项最高得 10分。</w:t>
            </w:r>
          </w:p>
          <w:p w14:paraId="48FDD34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c>
          <w:tcPr>
            <w:tcW w:w="4600" w:type="dxa"/>
            <w:shd w:val="clear" w:color="auto" w:fill="auto"/>
            <w:vAlign w:val="center"/>
          </w:tcPr>
          <w:p w14:paraId="023654A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63BA8FE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1EC4470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w:t>
            </w:r>
            <w:r>
              <w:rPr>
                <w:rFonts w:hint="eastAsia" w:ascii="仿宋" w:hAnsi="仿宋" w:eastAsia="仿宋" w:cs="仿宋"/>
                <w:sz w:val="24"/>
                <w:szCs w:val="24"/>
                <w:u w:val="none"/>
                <w:vertAlign w:val="baseline"/>
                <w:lang w:val="en-US" w:eastAsia="zh-CN"/>
              </w:rPr>
              <w:t>3</w:t>
            </w:r>
          </w:p>
          <w:p w14:paraId="0EDE6FA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w:t>
            </w:r>
            <w:r>
              <w:rPr>
                <w:rFonts w:hint="eastAsia" w:ascii="仿宋" w:hAnsi="仿宋" w:eastAsia="仿宋" w:cs="仿宋"/>
                <w:sz w:val="24"/>
                <w:szCs w:val="24"/>
                <w:u w:val="none"/>
                <w:vertAlign w:val="baseline"/>
                <w:lang w:val="en-US" w:eastAsia="zh-CN"/>
              </w:rPr>
              <w:t>.6</w:t>
            </w:r>
            <w:r>
              <w:rPr>
                <w:rFonts w:hint="default" w:ascii="仿宋" w:hAnsi="仿宋" w:eastAsia="仿宋" w:cs="仿宋"/>
                <w:sz w:val="24"/>
                <w:szCs w:val="24"/>
                <w:u w:val="none"/>
                <w:vertAlign w:val="baseline"/>
                <w:lang w:val="en-US" w:eastAsia="zh-CN"/>
              </w:rPr>
              <w:t>分，该项最高得 1</w:t>
            </w:r>
            <w:r>
              <w:rPr>
                <w:rFonts w:hint="eastAsia" w:ascii="仿宋" w:hAnsi="仿宋" w:eastAsia="仿宋" w:cs="仿宋"/>
                <w:sz w:val="24"/>
                <w:szCs w:val="24"/>
                <w:u w:val="none"/>
                <w:vertAlign w:val="baseline"/>
                <w:lang w:val="en-US" w:eastAsia="zh-CN"/>
              </w:rPr>
              <w:t>3</w:t>
            </w:r>
            <w:r>
              <w:rPr>
                <w:rFonts w:hint="default" w:ascii="仿宋" w:hAnsi="仿宋" w:eastAsia="仿宋" w:cs="仿宋"/>
                <w:sz w:val="24"/>
                <w:szCs w:val="24"/>
                <w:u w:val="none"/>
                <w:vertAlign w:val="baseline"/>
                <w:lang w:val="en-US" w:eastAsia="zh-CN"/>
              </w:rPr>
              <w:t>分。</w:t>
            </w:r>
          </w:p>
          <w:p w14:paraId="036C63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r>
    </w:tbl>
    <w:p w14:paraId="322D7187">
      <w:pPr>
        <w:rPr>
          <w:rFonts w:hint="eastAsia" w:ascii="仿宋" w:hAnsi="仿宋" w:eastAsia="仿宋" w:cs="仿宋"/>
          <w:b w:val="0"/>
          <w:sz w:val="24"/>
          <w:szCs w:val="24"/>
        </w:rPr>
      </w:pPr>
    </w:p>
    <w:p w14:paraId="18893F14">
      <w:pPr>
        <w:rPr>
          <w:rFonts w:hint="eastAsia" w:ascii="仿宋" w:hAnsi="仿宋" w:eastAsia="仿宋" w:cs="仿宋"/>
          <w:b w:val="0"/>
          <w:sz w:val="24"/>
          <w:szCs w:val="24"/>
        </w:rPr>
      </w:pPr>
    </w:p>
    <w:p w14:paraId="330DC0C3">
      <w:pPr>
        <w:rPr>
          <w:rFonts w:hint="eastAsia" w:ascii="仿宋" w:hAnsi="仿宋" w:eastAsia="仿宋" w:cs="仿宋"/>
          <w:b w:val="0"/>
          <w:sz w:val="24"/>
          <w:szCs w:val="24"/>
        </w:rPr>
      </w:pPr>
    </w:p>
    <w:p w14:paraId="5CD8B7F4">
      <w:pPr>
        <w:rPr>
          <w:rFonts w:hint="eastAsia" w:ascii="仿宋" w:hAnsi="仿宋" w:eastAsia="仿宋" w:cs="仿宋"/>
          <w:b w:val="0"/>
          <w:sz w:val="24"/>
          <w:szCs w:val="24"/>
        </w:rPr>
      </w:pPr>
    </w:p>
    <w:p w14:paraId="4F35AA93">
      <w:pPr>
        <w:rPr>
          <w:rFonts w:hint="eastAsia" w:ascii="仿宋" w:hAnsi="仿宋" w:eastAsia="仿宋" w:cs="仿宋"/>
          <w:b w:val="0"/>
          <w:sz w:val="24"/>
          <w:szCs w:val="24"/>
        </w:rPr>
      </w:pPr>
    </w:p>
    <w:p w14:paraId="7E1C6FCB">
      <w:pPr>
        <w:rPr>
          <w:rFonts w:hint="eastAsia" w:ascii="仿宋" w:hAnsi="仿宋" w:eastAsia="仿宋" w:cs="仿宋"/>
          <w:b w:val="0"/>
          <w:sz w:val="24"/>
          <w:szCs w:val="24"/>
        </w:rPr>
      </w:pPr>
    </w:p>
    <w:p w14:paraId="6396BBCD">
      <w:pPr>
        <w:rPr>
          <w:rFonts w:hint="eastAsia" w:ascii="仿宋" w:hAnsi="仿宋" w:eastAsia="仿宋" w:cs="仿宋"/>
          <w:b w:val="0"/>
          <w:sz w:val="24"/>
          <w:szCs w:val="24"/>
        </w:rPr>
      </w:pPr>
    </w:p>
    <w:p w14:paraId="03407A35">
      <w:pPr>
        <w:rPr>
          <w:rFonts w:hint="eastAsia" w:ascii="仿宋" w:hAnsi="仿宋" w:eastAsia="仿宋" w:cs="仿宋"/>
          <w:b w:val="0"/>
          <w:sz w:val="24"/>
          <w:szCs w:val="24"/>
        </w:rPr>
      </w:pPr>
    </w:p>
    <w:p w14:paraId="3D84AF69">
      <w:pPr>
        <w:rPr>
          <w:rFonts w:hint="eastAsia" w:ascii="仿宋" w:hAnsi="仿宋" w:eastAsia="仿宋" w:cs="仿宋"/>
          <w:b w:val="0"/>
          <w:sz w:val="24"/>
          <w:szCs w:val="24"/>
        </w:rPr>
      </w:pPr>
    </w:p>
    <w:p w14:paraId="03E8875D">
      <w:pPr>
        <w:rPr>
          <w:rFonts w:hint="eastAsia" w:ascii="仿宋" w:hAnsi="仿宋" w:eastAsia="仿宋" w:cs="仿宋"/>
          <w:b w:val="0"/>
          <w:sz w:val="24"/>
          <w:szCs w:val="24"/>
        </w:rPr>
      </w:pPr>
    </w:p>
    <w:p w14:paraId="34CED2D2">
      <w:pPr>
        <w:rPr>
          <w:rFonts w:hint="eastAsia" w:ascii="仿宋" w:hAnsi="仿宋" w:eastAsia="仿宋" w:cs="仿宋"/>
          <w:b w:val="0"/>
          <w:sz w:val="24"/>
          <w:szCs w:val="24"/>
        </w:rPr>
      </w:pPr>
    </w:p>
    <w:p w14:paraId="4218A7D6">
      <w:pPr>
        <w:rPr>
          <w:rFonts w:hint="eastAsia" w:ascii="仿宋" w:hAnsi="仿宋" w:eastAsia="仿宋" w:cs="仿宋"/>
          <w:b w:val="0"/>
          <w:sz w:val="24"/>
          <w:szCs w:val="24"/>
        </w:rPr>
      </w:pPr>
    </w:p>
    <w:p w14:paraId="65369152">
      <w:pPr>
        <w:rPr>
          <w:rFonts w:hint="eastAsia" w:ascii="仿宋" w:hAnsi="仿宋" w:eastAsia="仿宋" w:cs="仿宋"/>
          <w:b w:val="0"/>
          <w:sz w:val="24"/>
          <w:szCs w:val="24"/>
        </w:rPr>
      </w:pPr>
    </w:p>
    <w:p w14:paraId="0190B09A">
      <w:pPr>
        <w:rPr>
          <w:rFonts w:hint="eastAsia" w:ascii="仿宋" w:hAnsi="仿宋" w:eastAsia="仿宋" w:cs="仿宋"/>
          <w:b w:val="0"/>
          <w:sz w:val="24"/>
          <w:szCs w:val="24"/>
        </w:rPr>
      </w:pPr>
    </w:p>
    <w:p w14:paraId="742C37A7">
      <w:pPr>
        <w:rPr>
          <w:rFonts w:hint="eastAsia" w:ascii="仿宋" w:hAnsi="仿宋" w:eastAsia="仿宋" w:cs="仿宋"/>
          <w:b w:val="0"/>
          <w:sz w:val="24"/>
          <w:szCs w:val="24"/>
        </w:rPr>
      </w:pPr>
    </w:p>
    <w:p w14:paraId="36EE40C9">
      <w:pPr>
        <w:rPr>
          <w:rFonts w:hint="eastAsia" w:ascii="仿宋" w:hAnsi="仿宋" w:eastAsia="仿宋" w:cs="仿宋"/>
          <w:b w:val="0"/>
          <w:sz w:val="24"/>
          <w:szCs w:val="24"/>
        </w:rPr>
      </w:pPr>
    </w:p>
    <w:p w14:paraId="46773FE3">
      <w:pPr>
        <w:rPr>
          <w:rFonts w:hint="eastAsia" w:ascii="仿宋" w:hAnsi="仿宋" w:eastAsia="仿宋" w:cs="仿宋"/>
          <w:b w:val="0"/>
          <w:sz w:val="24"/>
          <w:szCs w:val="24"/>
        </w:rPr>
      </w:pPr>
    </w:p>
    <w:p w14:paraId="40E81E8B">
      <w:pPr>
        <w:rPr>
          <w:rFonts w:hint="eastAsia" w:ascii="仿宋" w:hAnsi="仿宋" w:eastAsia="仿宋" w:cs="仿宋"/>
          <w:b w:val="0"/>
          <w:sz w:val="24"/>
          <w:szCs w:val="24"/>
        </w:rPr>
      </w:pPr>
    </w:p>
    <w:p w14:paraId="5B2FDAAE">
      <w:pPr>
        <w:rPr>
          <w:rFonts w:hint="eastAsia" w:ascii="仿宋" w:hAnsi="仿宋" w:eastAsia="仿宋" w:cs="仿宋"/>
          <w:b w:val="0"/>
          <w:sz w:val="24"/>
          <w:szCs w:val="24"/>
        </w:rPr>
      </w:pPr>
    </w:p>
    <w:p w14:paraId="66283127">
      <w:pPr>
        <w:rPr>
          <w:rFonts w:hint="eastAsia" w:ascii="仿宋" w:hAnsi="仿宋" w:eastAsia="仿宋" w:cs="仿宋"/>
          <w:b w:val="0"/>
          <w:sz w:val="24"/>
          <w:szCs w:val="24"/>
        </w:rPr>
      </w:pPr>
    </w:p>
    <w:p w14:paraId="6EBA4552">
      <w:pPr>
        <w:rPr>
          <w:rFonts w:hint="eastAsia" w:ascii="仿宋" w:hAnsi="仿宋" w:eastAsia="仿宋" w:cs="仿宋"/>
          <w:b w:val="0"/>
          <w:sz w:val="24"/>
          <w:szCs w:val="24"/>
        </w:rPr>
      </w:pPr>
    </w:p>
    <w:p w14:paraId="4A31ABFE">
      <w:pPr>
        <w:rPr>
          <w:rFonts w:hint="eastAsia" w:ascii="仿宋" w:hAnsi="仿宋" w:eastAsia="仿宋" w:cs="仿宋"/>
          <w:b w:val="0"/>
          <w:sz w:val="24"/>
          <w:szCs w:val="24"/>
        </w:rPr>
      </w:pPr>
    </w:p>
    <w:p w14:paraId="6467105F">
      <w:pPr>
        <w:rPr>
          <w:rFonts w:hint="eastAsia" w:ascii="仿宋" w:hAnsi="仿宋" w:eastAsia="仿宋" w:cs="仿宋"/>
          <w:b w:val="0"/>
          <w:sz w:val="24"/>
          <w:szCs w:val="24"/>
        </w:rPr>
      </w:pPr>
    </w:p>
    <w:p w14:paraId="25750615">
      <w:pPr>
        <w:rPr>
          <w:rFonts w:hint="eastAsia" w:ascii="仿宋" w:hAnsi="仿宋" w:eastAsia="仿宋" w:cs="仿宋"/>
          <w:b w:val="0"/>
          <w:sz w:val="24"/>
          <w:szCs w:val="24"/>
        </w:rPr>
      </w:pPr>
    </w:p>
    <w:p w14:paraId="66AF9727">
      <w:pPr>
        <w:rPr>
          <w:rFonts w:hint="eastAsia" w:ascii="仿宋" w:hAnsi="仿宋" w:eastAsia="仿宋" w:cs="仿宋"/>
          <w:b w:val="0"/>
          <w:sz w:val="24"/>
          <w:szCs w:val="24"/>
        </w:rPr>
      </w:pPr>
    </w:p>
    <w:p w14:paraId="47839A71">
      <w:pPr>
        <w:rPr>
          <w:rFonts w:hint="eastAsia" w:ascii="仿宋" w:hAnsi="仿宋" w:eastAsia="仿宋" w:cs="仿宋"/>
          <w:b w:val="0"/>
          <w:sz w:val="24"/>
          <w:szCs w:val="24"/>
        </w:rPr>
      </w:pPr>
    </w:p>
    <w:p w14:paraId="49DCD2DA">
      <w:pPr>
        <w:rPr>
          <w:rFonts w:hint="eastAsia" w:ascii="仿宋" w:hAnsi="仿宋" w:eastAsia="仿宋" w:cs="仿宋"/>
          <w:b w:val="0"/>
          <w:sz w:val="24"/>
          <w:szCs w:val="24"/>
        </w:rPr>
      </w:pPr>
    </w:p>
    <w:p w14:paraId="7574C63A">
      <w:pPr>
        <w:rPr>
          <w:rFonts w:hint="eastAsia" w:ascii="仿宋" w:hAnsi="仿宋" w:eastAsia="仿宋" w:cs="仿宋"/>
          <w:b w:val="0"/>
          <w:sz w:val="24"/>
          <w:szCs w:val="24"/>
        </w:rPr>
      </w:pPr>
    </w:p>
    <w:p w14:paraId="28345B92">
      <w:pPr>
        <w:rPr>
          <w:rFonts w:hint="eastAsia" w:ascii="仿宋" w:hAnsi="仿宋" w:eastAsia="仿宋" w:cs="仿宋"/>
          <w:b w:val="0"/>
          <w:sz w:val="24"/>
          <w:szCs w:val="24"/>
        </w:rPr>
      </w:pPr>
    </w:p>
    <w:p w14:paraId="5D415DEF">
      <w:pPr>
        <w:rPr>
          <w:rFonts w:hint="eastAsia" w:ascii="仿宋" w:hAnsi="仿宋" w:eastAsia="仿宋" w:cs="仿宋"/>
          <w:b w:val="0"/>
          <w:sz w:val="24"/>
          <w:szCs w:val="24"/>
        </w:rPr>
      </w:pPr>
    </w:p>
    <w:p w14:paraId="1B6D8CCB">
      <w:pPr>
        <w:rPr>
          <w:rFonts w:hint="eastAsia" w:ascii="仿宋" w:hAnsi="仿宋" w:eastAsia="仿宋" w:cs="仿宋"/>
          <w:b w:val="0"/>
          <w:sz w:val="24"/>
          <w:szCs w:val="24"/>
        </w:rPr>
      </w:pPr>
    </w:p>
    <w:p w14:paraId="3CF962A3">
      <w:pPr>
        <w:rPr>
          <w:rFonts w:hint="eastAsia" w:ascii="仿宋" w:hAnsi="仿宋" w:eastAsia="仿宋" w:cs="仿宋"/>
          <w:b w:val="0"/>
          <w:sz w:val="24"/>
          <w:szCs w:val="24"/>
        </w:rPr>
      </w:pPr>
    </w:p>
    <w:p w14:paraId="0BC3C6CB">
      <w:pPr>
        <w:rPr>
          <w:rFonts w:hint="eastAsia" w:ascii="仿宋" w:hAnsi="仿宋" w:eastAsia="仿宋" w:cs="仿宋"/>
          <w:b w:val="0"/>
          <w:sz w:val="24"/>
          <w:szCs w:val="24"/>
        </w:rPr>
      </w:pPr>
    </w:p>
    <w:p w14:paraId="27F71853">
      <w:pPr>
        <w:rPr>
          <w:rFonts w:hint="eastAsia" w:ascii="仿宋" w:hAnsi="仿宋" w:eastAsia="仿宋" w:cs="仿宋"/>
          <w:b w:val="0"/>
          <w:sz w:val="24"/>
          <w:szCs w:val="24"/>
        </w:rPr>
      </w:pPr>
    </w:p>
    <w:p w14:paraId="504DC483">
      <w:pPr>
        <w:rPr>
          <w:rFonts w:hint="eastAsia" w:ascii="仿宋" w:hAnsi="仿宋" w:eastAsia="仿宋" w:cs="仿宋"/>
          <w:b w:val="0"/>
          <w:sz w:val="24"/>
          <w:szCs w:val="24"/>
        </w:rPr>
      </w:pPr>
    </w:p>
    <w:p w14:paraId="644F617D">
      <w:pPr>
        <w:rPr>
          <w:rFonts w:hint="eastAsia" w:ascii="仿宋" w:hAnsi="仿宋" w:eastAsia="仿宋" w:cs="仿宋"/>
          <w:b w:val="0"/>
          <w:sz w:val="24"/>
          <w:szCs w:val="24"/>
        </w:rPr>
      </w:pPr>
    </w:p>
    <w:p w14:paraId="4EED985C">
      <w:pPr>
        <w:rPr>
          <w:rFonts w:hint="eastAsia" w:ascii="仿宋" w:hAnsi="仿宋" w:eastAsia="仿宋" w:cs="仿宋"/>
          <w:b w:val="0"/>
          <w:sz w:val="24"/>
          <w:szCs w:val="24"/>
        </w:rPr>
      </w:pPr>
    </w:p>
    <w:p w14:paraId="55E79008">
      <w:pPr>
        <w:rPr>
          <w:rFonts w:hint="eastAsia" w:ascii="仿宋" w:hAnsi="仿宋" w:eastAsia="仿宋" w:cs="仿宋"/>
          <w:b w:val="0"/>
          <w:sz w:val="24"/>
          <w:szCs w:val="24"/>
        </w:rPr>
      </w:pPr>
    </w:p>
    <w:p w14:paraId="690B4E87">
      <w:pPr>
        <w:rPr>
          <w:rFonts w:hint="eastAsia" w:ascii="仿宋" w:hAnsi="仿宋" w:eastAsia="仿宋" w:cs="仿宋"/>
          <w:b w:val="0"/>
          <w:sz w:val="24"/>
          <w:szCs w:val="24"/>
        </w:rPr>
      </w:pPr>
    </w:p>
    <w:p w14:paraId="024173AA">
      <w:pPr>
        <w:rPr>
          <w:rFonts w:hint="eastAsia" w:ascii="仿宋" w:hAnsi="仿宋" w:eastAsia="仿宋" w:cs="仿宋"/>
          <w:b w:val="0"/>
          <w:sz w:val="24"/>
          <w:szCs w:val="24"/>
        </w:rPr>
      </w:pPr>
    </w:p>
    <w:p w14:paraId="2488A9BE">
      <w:pPr>
        <w:pStyle w:val="3"/>
        <w:bidi w:val="0"/>
        <w:rPr>
          <w:rFonts w:hint="eastAsia"/>
          <w:lang w:val="en-US" w:eastAsia="zh-CN"/>
        </w:rPr>
      </w:pPr>
      <w:r>
        <w:rPr>
          <w:rFonts w:hint="eastAsia"/>
          <w:lang w:val="en-US" w:eastAsia="zh-CN"/>
        </w:rPr>
        <w:t>包号：</w:t>
      </w:r>
      <w:r>
        <w:rPr>
          <w:rFonts w:hint="eastAsia" w:ascii="仿宋" w:hAnsi="仿宋" w:eastAsia="仿宋" w:cs="仿宋"/>
          <w:lang w:val="en-US" w:eastAsia="zh-CN"/>
        </w:rPr>
        <w:t>02</w:t>
      </w:r>
      <w:r>
        <w:rPr>
          <w:rFonts w:hint="eastAsia"/>
          <w:lang w:val="en-US" w:eastAsia="zh-CN"/>
        </w:rPr>
        <w:t>包</w:t>
      </w:r>
    </w:p>
    <w:tbl>
      <w:tblPr>
        <w:tblStyle w:val="11"/>
        <w:tblW w:w="10582" w:type="dxa"/>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5168"/>
        <w:gridCol w:w="4764"/>
      </w:tblGrid>
      <w:tr w14:paraId="5A85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14:paraId="4496DD92">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序号</w:t>
            </w:r>
          </w:p>
        </w:tc>
        <w:tc>
          <w:tcPr>
            <w:tcW w:w="5168" w:type="dxa"/>
            <w:vAlign w:val="center"/>
          </w:tcPr>
          <w:p w14:paraId="3117D542">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变更前</w:t>
            </w:r>
          </w:p>
        </w:tc>
        <w:tc>
          <w:tcPr>
            <w:tcW w:w="4764" w:type="dxa"/>
            <w:vAlign w:val="center"/>
          </w:tcPr>
          <w:p w14:paraId="26E468D8">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变更后</w:t>
            </w:r>
          </w:p>
        </w:tc>
      </w:tr>
      <w:tr w14:paraId="4A14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14:paraId="3ED1B159">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黑体" w:hAnsi="黑体" w:eastAsia="黑体" w:cs="黑体"/>
                <w:sz w:val="22"/>
                <w:szCs w:val="22"/>
                <w:u w:val="none"/>
                <w:vertAlign w:val="baseline"/>
                <w:lang w:val="en-US" w:eastAsia="zh-CN"/>
              </w:rPr>
            </w:pPr>
            <w:r>
              <w:rPr>
                <w:rFonts w:hint="eastAsia" w:ascii="黑体" w:hAnsi="黑体" w:eastAsia="黑体" w:cs="黑体"/>
                <w:sz w:val="22"/>
                <w:szCs w:val="22"/>
                <w:u w:val="none"/>
                <w:vertAlign w:val="baseline"/>
                <w:lang w:val="en-US" w:eastAsia="zh-CN"/>
              </w:rPr>
              <w:t>一</w:t>
            </w:r>
          </w:p>
        </w:tc>
        <w:tc>
          <w:tcPr>
            <w:tcW w:w="5168" w:type="dxa"/>
            <w:vAlign w:val="center"/>
          </w:tcPr>
          <w:p w14:paraId="232809E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黑体" w:hAnsi="黑体" w:eastAsia="黑体" w:cs="黑体"/>
                <w:sz w:val="22"/>
                <w:szCs w:val="22"/>
                <w:u w:val="none"/>
                <w:vertAlign w:val="baseline"/>
                <w:lang w:val="en-US" w:eastAsia="zh-CN"/>
              </w:rPr>
            </w:pPr>
            <w:r>
              <w:rPr>
                <w:rFonts w:hint="eastAsia" w:ascii="黑体" w:hAnsi="黑体" w:eastAsia="黑体" w:cs="黑体"/>
                <w:sz w:val="22"/>
                <w:szCs w:val="22"/>
                <w:u w:val="none"/>
                <w:vertAlign w:val="baseline"/>
                <w:lang w:val="en-US" w:eastAsia="zh-CN"/>
              </w:rPr>
              <w:t>原招标文件：第四章评标程序、评标方法和评标标准</w:t>
            </w:r>
          </w:p>
        </w:tc>
        <w:tc>
          <w:tcPr>
            <w:tcW w:w="4764" w:type="dxa"/>
            <w:vAlign w:val="center"/>
          </w:tcPr>
          <w:p w14:paraId="0FE77602">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p>
        </w:tc>
      </w:tr>
      <w:tr w14:paraId="12B1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529E062F">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w:t>
            </w:r>
          </w:p>
        </w:tc>
        <w:tc>
          <w:tcPr>
            <w:tcW w:w="5168" w:type="dxa"/>
            <w:vAlign w:val="top"/>
          </w:tcPr>
          <w:p w14:paraId="6664213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7EE3F83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6FBCE63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626654F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254F5D5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%的，即投标（响应）报价&lt;采购项目最高限价×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03F52B9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c>
          <w:tcPr>
            <w:tcW w:w="4764" w:type="dxa"/>
            <w:vAlign w:val="top"/>
          </w:tcPr>
          <w:p w14:paraId="784CD088">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06950E6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05FC746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6B76347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5B172610">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67B0EAE1">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r>
      <w:tr w14:paraId="223CF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1CEC3441">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2</w:t>
            </w:r>
          </w:p>
        </w:tc>
        <w:tc>
          <w:tcPr>
            <w:tcW w:w="5168" w:type="dxa"/>
            <w:vAlign w:val="center"/>
          </w:tcPr>
          <w:p w14:paraId="7555877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0A50AEA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：体系认证</w:t>
            </w:r>
          </w:p>
          <w:p w14:paraId="7CF81FA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：3</w:t>
            </w:r>
          </w:p>
          <w:p w14:paraId="52B6923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投标人具有质量管理体系认证证书、环境管理体系认证证书、职业健康安全管理体系认证证书，需提供证明文件的扫描件及全国认证认可信息公共服务平台官网证书信息查询截图，均需加盖投标人公章。上述每提供一个有效证书得1分，满分3分。</w:t>
            </w:r>
          </w:p>
        </w:tc>
        <w:tc>
          <w:tcPr>
            <w:tcW w:w="4764" w:type="dxa"/>
            <w:vAlign w:val="center"/>
          </w:tcPr>
          <w:p w14:paraId="2333A65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删除此项评分因素</w:t>
            </w:r>
          </w:p>
        </w:tc>
      </w:tr>
      <w:tr w14:paraId="00F0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60C459FB">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3</w:t>
            </w:r>
          </w:p>
        </w:tc>
        <w:tc>
          <w:tcPr>
            <w:tcW w:w="5168" w:type="dxa"/>
            <w:vAlign w:val="center"/>
          </w:tcPr>
          <w:p w14:paraId="7CF784A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21AC5BC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2E0181C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10</w:t>
            </w:r>
          </w:p>
          <w:p w14:paraId="5C9B415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提供投标人近三年内（2023年8月至投标截止时间）以合同签订时间为准，所投产品(如本包为非单一产品采购，则提供本包核心产品)的销售业绩，每提供1个有效业绩得2分，该项最高得 10分。</w:t>
            </w:r>
          </w:p>
          <w:p w14:paraId="31FD246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c>
          <w:tcPr>
            <w:tcW w:w="4764" w:type="dxa"/>
            <w:vAlign w:val="center"/>
          </w:tcPr>
          <w:p w14:paraId="34731F1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325E1C7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08B6ED1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w:t>
            </w:r>
            <w:r>
              <w:rPr>
                <w:rFonts w:hint="eastAsia" w:ascii="仿宋" w:hAnsi="仿宋" w:eastAsia="仿宋" w:cs="仿宋"/>
                <w:sz w:val="24"/>
                <w:szCs w:val="24"/>
                <w:u w:val="none"/>
                <w:vertAlign w:val="baseline"/>
                <w:lang w:val="en-US" w:eastAsia="zh-CN"/>
              </w:rPr>
              <w:t>3</w:t>
            </w:r>
          </w:p>
          <w:p w14:paraId="4266C8B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w:t>
            </w:r>
            <w:r>
              <w:rPr>
                <w:rFonts w:hint="eastAsia" w:ascii="仿宋" w:hAnsi="仿宋" w:eastAsia="仿宋" w:cs="仿宋"/>
                <w:sz w:val="24"/>
                <w:szCs w:val="24"/>
                <w:u w:val="none"/>
                <w:vertAlign w:val="baseline"/>
                <w:lang w:val="en-US" w:eastAsia="zh-CN"/>
              </w:rPr>
              <w:t>.6</w:t>
            </w:r>
            <w:r>
              <w:rPr>
                <w:rFonts w:hint="default" w:ascii="仿宋" w:hAnsi="仿宋" w:eastAsia="仿宋" w:cs="仿宋"/>
                <w:sz w:val="24"/>
                <w:szCs w:val="24"/>
                <w:u w:val="none"/>
                <w:vertAlign w:val="baseline"/>
                <w:lang w:val="en-US" w:eastAsia="zh-CN"/>
              </w:rPr>
              <w:t>分，该项最高得 1</w:t>
            </w:r>
            <w:r>
              <w:rPr>
                <w:rFonts w:hint="eastAsia" w:ascii="仿宋" w:hAnsi="仿宋" w:eastAsia="仿宋" w:cs="仿宋"/>
                <w:sz w:val="24"/>
                <w:szCs w:val="24"/>
                <w:u w:val="none"/>
                <w:vertAlign w:val="baseline"/>
                <w:lang w:val="en-US" w:eastAsia="zh-CN"/>
              </w:rPr>
              <w:t>3</w:t>
            </w:r>
            <w:r>
              <w:rPr>
                <w:rFonts w:hint="default" w:ascii="仿宋" w:hAnsi="仿宋" w:eastAsia="仿宋" w:cs="仿宋"/>
                <w:sz w:val="24"/>
                <w:szCs w:val="24"/>
                <w:u w:val="none"/>
                <w:vertAlign w:val="baseline"/>
                <w:lang w:val="en-US" w:eastAsia="zh-CN"/>
              </w:rPr>
              <w:t>分。</w:t>
            </w:r>
          </w:p>
          <w:p w14:paraId="71C2DA7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r>
      <w:tr w14:paraId="3EF2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5FF55453">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二</w:t>
            </w:r>
          </w:p>
        </w:tc>
        <w:tc>
          <w:tcPr>
            <w:tcW w:w="5168" w:type="dxa"/>
            <w:shd w:val="clear" w:color="auto" w:fill="auto"/>
            <w:vAlign w:val="top"/>
          </w:tcPr>
          <w:p w14:paraId="0432047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原招标文件：第五章“采购需求”中（二）货物技术要求）</w:t>
            </w:r>
          </w:p>
        </w:tc>
        <w:tc>
          <w:tcPr>
            <w:tcW w:w="4764" w:type="dxa"/>
            <w:vAlign w:val="center"/>
          </w:tcPr>
          <w:p w14:paraId="55B94D0C">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p>
        </w:tc>
      </w:tr>
      <w:tr w14:paraId="3F54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1A53A4D1">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w:t>
            </w:r>
          </w:p>
        </w:tc>
        <w:tc>
          <w:tcPr>
            <w:tcW w:w="5168" w:type="dxa"/>
          </w:tcPr>
          <w:p w14:paraId="631C3BD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2.30</w:t>
            </w:r>
            <w:r>
              <w:rPr>
                <w:rFonts w:hint="eastAsia" w:ascii="仿宋" w:hAnsi="仿宋" w:eastAsia="仿宋" w:cs="仿宋"/>
                <w:color w:val="auto"/>
                <w:sz w:val="22"/>
                <w:szCs w:val="22"/>
                <w:highlight w:val="none"/>
              </w:rPr>
              <w:t>流量计（气体质量流量计）</w:t>
            </w:r>
            <w:r>
              <w:rPr>
                <w:rFonts w:hint="eastAsia" w:ascii="仿宋" w:hAnsi="仿宋" w:eastAsia="仿宋" w:cs="仿宋"/>
                <w:sz w:val="22"/>
                <w:szCs w:val="22"/>
                <w:u w:val="none"/>
                <w:vertAlign w:val="baseline"/>
                <w:lang w:val="en-US" w:eastAsia="zh-CN"/>
              </w:rPr>
              <w:t>-（一）功能要求：</w:t>
            </w:r>
          </w:p>
          <w:p w14:paraId="6710B73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1.适用于锅炉烟气配套多种气体介质流量精准计量，可连续稳定测量氢气、氮气、氧气、氦气、氩气多种气体瞬时及累计流量。</w:t>
            </w:r>
          </w:p>
          <w:p w14:paraId="2D57E30C">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2.具备实时流量数据本地显示、数据远传输出功能，可对接锅炉检测采集系统，数据无丢失、无延迟。</w:t>
            </w:r>
          </w:p>
          <w:p w14:paraId="5B5736B8">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6.采用标准信号输出接口，适配温度采集仪、烟气测试仪等配套检测设备联动采集。</w:t>
            </w:r>
          </w:p>
          <w:p w14:paraId="0CB3B2E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7.整机抗粉尘、抗烟气腐蚀，适配锅炉现场恶劣工况长期连续运行。</w:t>
            </w:r>
          </w:p>
        </w:tc>
        <w:tc>
          <w:tcPr>
            <w:tcW w:w="4764" w:type="dxa"/>
            <w:vAlign w:val="center"/>
          </w:tcPr>
          <w:p w14:paraId="733F976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2.30</w:t>
            </w:r>
            <w:r>
              <w:rPr>
                <w:rFonts w:hint="eastAsia" w:ascii="仿宋" w:hAnsi="仿宋" w:eastAsia="仿宋" w:cs="仿宋"/>
                <w:color w:val="auto"/>
                <w:sz w:val="22"/>
                <w:szCs w:val="22"/>
                <w:highlight w:val="none"/>
              </w:rPr>
              <w:t>流量计（气体质量流量计）</w:t>
            </w:r>
            <w:r>
              <w:rPr>
                <w:rFonts w:hint="eastAsia" w:ascii="仿宋" w:hAnsi="仿宋" w:eastAsia="仿宋" w:cs="仿宋"/>
                <w:sz w:val="22"/>
                <w:szCs w:val="22"/>
                <w:u w:val="none"/>
                <w:vertAlign w:val="baseline"/>
                <w:lang w:val="en-US" w:eastAsia="zh-CN"/>
              </w:rPr>
              <w:t>-（一）功能要求：</w:t>
            </w:r>
          </w:p>
          <w:p w14:paraId="131DA088">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1.适用于多种气体介质流量精准计量，可连续稳定测量氢气、氮气、氧气、氦气、氩气多种气体瞬时及累计流量。</w:t>
            </w:r>
          </w:p>
          <w:p w14:paraId="4E43182A">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2.具备实时流量数据本地显示、数据远传输出功能，数据无丢失、无延迟。</w:t>
            </w:r>
          </w:p>
          <w:p w14:paraId="4A8562FA">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6.采用标准信号输出接口。</w:t>
            </w:r>
          </w:p>
          <w:p w14:paraId="7AB3C67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删除“7.整机抗粉尘、抗烟气腐蚀，适配锅炉现场恶劣工况长期连续运行。”</w:t>
            </w:r>
          </w:p>
        </w:tc>
      </w:tr>
      <w:tr w14:paraId="0BA8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3656575D">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168" w:type="dxa"/>
          </w:tcPr>
          <w:p w14:paraId="61270DB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2.30</w:t>
            </w:r>
            <w:r>
              <w:rPr>
                <w:rFonts w:hint="eastAsia" w:ascii="仿宋" w:hAnsi="仿宋" w:eastAsia="仿宋" w:cs="仿宋"/>
                <w:color w:val="auto"/>
                <w:sz w:val="22"/>
                <w:szCs w:val="22"/>
                <w:highlight w:val="none"/>
              </w:rPr>
              <w:t>流量计（气体质量流量计）</w:t>
            </w:r>
            <w:r>
              <w:rPr>
                <w:rFonts w:hint="eastAsia" w:ascii="仿宋" w:hAnsi="仿宋" w:eastAsia="仿宋" w:cs="仿宋"/>
                <w:sz w:val="22"/>
                <w:szCs w:val="22"/>
                <w:u w:val="none"/>
                <w:vertAlign w:val="baseline"/>
                <w:lang w:val="en-US" w:eastAsia="zh-CN"/>
              </w:rPr>
              <w:t>-（三）参数要求：</w:t>
            </w:r>
          </w:p>
          <w:p w14:paraId="0776CBF7">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3.支持连续在线测量与短时便携式间歇测量两种模式。</w:t>
            </w:r>
          </w:p>
          <w:p w14:paraId="7C03FC3B">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5.供电适配工业现场 24V 直流供电，工作温度 - 20℃～60℃。</w:t>
            </w:r>
          </w:p>
        </w:tc>
        <w:tc>
          <w:tcPr>
            <w:tcW w:w="4764" w:type="dxa"/>
            <w:vAlign w:val="center"/>
          </w:tcPr>
          <w:p w14:paraId="4E067A5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2.30</w:t>
            </w:r>
            <w:r>
              <w:rPr>
                <w:rFonts w:hint="eastAsia" w:ascii="仿宋" w:hAnsi="仿宋" w:eastAsia="仿宋" w:cs="仿宋"/>
                <w:color w:val="auto"/>
                <w:sz w:val="22"/>
                <w:szCs w:val="22"/>
                <w:highlight w:val="none"/>
              </w:rPr>
              <w:t>流量计（气体质量流量计）</w:t>
            </w:r>
            <w:r>
              <w:rPr>
                <w:rFonts w:hint="eastAsia" w:ascii="仿宋" w:hAnsi="仿宋" w:eastAsia="仿宋" w:cs="仿宋"/>
                <w:sz w:val="22"/>
                <w:szCs w:val="22"/>
                <w:u w:val="none"/>
                <w:vertAlign w:val="baseline"/>
                <w:lang w:val="en-US" w:eastAsia="zh-CN"/>
              </w:rPr>
              <w:t>-（三）参数要求：</w:t>
            </w:r>
          </w:p>
          <w:p w14:paraId="4A5BC16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删除：“3.支持连续在线测量与短时便携式间歇测量两种模式。”（因该项条目删除，后续技术参数序号相应顺延调整；参数内容本身未做修改，仅序号重新编排）</w:t>
            </w:r>
          </w:p>
          <w:p w14:paraId="3000A92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5.工作温度 - 20℃～60℃。</w:t>
            </w:r>
          </w:p>
        </w:tc>
      </w:tr>
      <w:tr w14:paraId="4EAE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4A732A61">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w:t>
            </w:r>
          </w:p>
        </w:tc>
        <w:tc>
          <w:tcPr>
            <w:tcW w:w="5168" w:type="dxa"/>
          </w:tcPr>
          <w:p w14:paraId="034C9EB9">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2.31流量计（超声波流量计-便携式）-（一）功能要求：</w:t>
            </w:r>
          </w:p>
          <w:p w14:paraId="3AAD393B">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1.便携式超声波流量测量设备，采用外夹式超声波传感器，无需破坏管道即可实现管内介质流量测量，适用于工业管道液体、蒸汽、压缩空气流量检测。</w:t>
            </w:r>
          </w:p>
          <w:p w14:paraId="032B49C3">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7.具备多种管材及介质参数设置功能，可适应碳钢、不锈钢、铸铁、塑料等不同材质管道测量需求。</w:t>
            </w:r>
          </w:p>
        </w:tc>
        <w:tc>
          <w:tcPr>
            <w:tcW w:w="4764" w:type="dxa"/>
            <w:vAlign w:val="center"/>
          </w:tcPr>
          <w:p w14:paraId="68D43FF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2.31流量计（超声波流量计-便携式）-（一）功能要求：</w:t>
            </w:r>
          </w:p>
          <w:p w14:paraId="76EE3C25">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1.便携式超声波流量测量设备，采用外夹式超声波传感器，无需破坏管道即可实现管内介质流量测量。</w:t>
            </w:r>
          </w:p>
          <w:p w14:paraId="736A10C2">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7.具备多种管材及介质参数设置功能，可适应碳钢、不锈钢、铸铁等不同材质管道测量需求。</w:t>
            </w:r>
          </w:p>
        </w:tc>
      </w:tr>
      <w:tr w14:paraId="15F0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7EB10016">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168" w:type="dxa"/>
          </w:tcPr>
          <w:p w14:paraId="7A75DBD7">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2.31流量计（超声波流量计-便携式）-（三）技术参数：</w:t>
            </w:r>
          </w:p>
          <w:p w14:paraId="28CC96F4">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 具有壁厚测量功能</w:t>
            </w:r>
          </w:p>
          <w:p w14:paraId="7BEF2588">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8. 适用于蒸汽、压缩空气、液体流量测量</w:t>
            </w:r>
          </w:p>
        </w:tc>
        <w:tc>
          <w:tcPr>
            <w:tcW w:w="4764" w:type="dxa"/>
            <w:vAlign w:val="center"/>
          </w:tcPr>
          <w:p w14:paraId="2DE39E61">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2.31流量计（超声波流量计-便携式）-（三）技术参数：</w:t>
            </w:r>
          </w:p>
          <w:p w14:paraId="2F0A0D1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删除：“7.具有壁厚测量功能  8.适用于蒸汽、压缩空气、液体流量测量”</w:t>
            </w:r>
          </w:p>
        </w:tc>
      </w:tr>
      <w:tr w14:paraId="47F12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774AFB08">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w:t>
            </w:r>
          </w:p>
        </w:tc>
        <w:tc>
          <w:tcPr>
            <w:tcW w:w="5168" w:type="dxa"/>
            <w:vAlign w:val="center"/>
          </w:tcPr>
          <w:p w14:paraId="1154240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2.32 流量计（三维皮托管流量计）-（一）功能要求：</w:t>
            </w:r>
          </w:p>
          <w:p w14:paraId="0BA7F9E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1.用于锅炉烟道三维烟气流速、静压、风温同步测量，精准获取烟道截面风量分布数据，满足锅炉热工效率试验流量测算需求。</w:t>
            </w:r>
          </w:p>
          <w:p w14:paraId="1E74B92E">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3.AA 级/1 级高精度测量，适配高低风速、正负静压烟道工况，高低温烟气环境稳定测量。</w:t>
            </w:r>
          </w:p>
          <w:p w14:paraId="2101CD5E">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4.便携分体式结构，皮托管探杆可伸缩，适配不同直径锅炉烟道开孔。</w:t>
            </w:r>
          </w:p>
          <w:p w14:paraId="65C8FE0D">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5.数据实时曲线显示，自动记录多点截面采样数据，自动生成截面风量分布图。</w:t>
            </w:r>
          </w:p>
        </w:tc>
        <w:tc>
          <w:tcPr>
            <w:tcW w:w="4764" w:type="dxa"/>
            <w:vAlign w:val="center"/>
          </w:tcPr>
          <w:p w14:paraId="544B558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2.32 流量计（三维皮托管流量计）-（一）功能要求：</w:t>
            </w:r>
          </w:p>
          <w:p w14:paraId="55852F90">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1.用于锅炉烟道烟气流速、静压、风温同步测量，精准获取烟道截面风量分布数据，满足锅炉热工效率试验流量测算需求。</w:t>
            </w:r>
          </w:p>
          <w:p w14:paraId="6867C58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3.适配高低风速、正负静压烟道工况，高低温烟气环境稳定测量。</w:t>
            </w:r>
          </w:p>
          <w:p w14:paraId="13B8EBE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4.便携分体式结构，适配不同直径锅炉烟道开孔。</w:t>
            </w:r>
          </w:p>
          <w:p w14:paraId="6D2146F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5.数据实时曲线显示，自动记录多点截面采样数据。</w:t>
            </w:r>
          </w:p>
        </w:tc>
      </w:tr>
      <w:tr w14:paraId="4CA4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51573C6D">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168" w:type="dxa"/>
            <w:vAlign w:val="center"/>
          </w:tcPr>
          <w:p w14:paraId="037E0C4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2.32 流量计（三维皮托管流量计）-（三）技术参数：</w:t>
            </w:r>
          </w:p>
          <w:p w14:paraId="0F50052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▲5.设备精度等级：AA 级/1 级。</w:t>
            </w:r>
          </w:p>
          <w:p w14:paraId="613D4F6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6.探杆耐高温材质，可长期耐受 200℃烟气短时测量。</w:t>
            </w:r>
          </w:p>
          <w:p w14:paraId="05ED6E1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7.支持多点网格法自动采样，可预设烟道截面测点数量。</w:t>
            </w:r>
          </w:p>
        </w:tc>
        <w:tc>
          <w:tcPr>
            <w:tcW w:w="4764" w:type="dxa"/>
            <w:vAlign w:val="center"/>
          </w:tcPr>
          <w:p w14:paraId="3EE93C51">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2.32 流量计（三维皮托管流量计）-（三）技术参数：</w:t>
            </w:r>
          </w:p>
          <w:p w14:paraId="539A5845">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▲5.设备精度等级：1级。</w:t>
            </w:r>
          </w:p>
          <w:p w14:paraId="1622635A">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6.探杆耐高温材质，可耐受 200℃烟气短时测量。</w:t>
            </w:r>
          </w:p>
          <w:p w14:paraId="13A22F6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7.支持多点网格法采样，可预设烟道截面测点数量。</w:t>
            </w:r>
          </w:p>
        </w:tc>
      </w:tr>
      <w:tr w14:paraId="20EFB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20E80F66">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4</w:t>
            </w:r>
          </w:p>
        </w:tc>
        <w:tc>
          <w:tcPr>
            <w:tcW w:w="5168" w:type="dxa"/>
          </w:tcPr>
          <w:p w14:paraId="4982E77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2.33 温度采集仪-（一）功能要求：</w:t>
            </w:r>
          </w:p>
          <w:p w14:paraId="0DD67CD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2.超高分辨率温度采集，Ⅰ级测量精度，满足 GB 10180 热效率计算温度测量严苛要求。</w:t>
            </w:r>
          </w:p>
          <w:p w14:paraId="202CEA5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5.兼容常规 K 型、S 型热电偶，支持热电偶类型一键切换识别。</w:t>
            </w:r>
          </w:p>
          <w:p w14:paraId="4C20841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7.设备可与各类流量计、烟尘测试仪数据同步联动采集，统一时间戳。</w:t>
            </w:r>
          </w:p>
        </w:tc>
        <w:tc>
          <w:tcPr>
            <w:tcW w:w="4764" w:type="dxa"/>
            <w:vAlign w:val="center"/>
          </w:tcPr>
          <w:p w14:paraId="41B91AC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2.33 温度采集仪-（一）功能要求：</w:t>
            </w:r>
          </w:p>
          <w:p w14:paraId="50E469D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2.0.5级测量精度，满足GB 10180热效率计算温度测量要求。</w:t>
            </w:r>
          </w:p>
          <w:p w14:paraId="783CC29B">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5.支持热电偶类型一键切换识别。</w:t>
            </w:r>
          </w:p>
          <w:p w14:paraId="7AC260FF">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删除：“7.设备可与各类流量计、烟尘测试仪数据同步联动采集，统一时间戳。”</w:t>
            </w:r>
          </w:p>
        </w:tc>
      </w:tr>
      <w:tr w14:paraId="2AE51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650" w:type="dxa"/>
            <w:vMerge w:val="continue"/>
          </w:tcPr>
          <w:p w14:paraId="1675CC8F">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168" w:type="dxa"/>
            <w:vAlign w:val="center"/>
          </w:tcPr>
          <w:p w14:paraId="49B8A79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2.33 温度采集仪-（三）技术参数：</w:t>
            </w:r>
          </w:p>
          <w:p w14:paraId="0B0A6F3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▲测量精度等级：不低于Ⅰ级。</w:t>
            </w:r>
          </w:p>
          <w:p w14:paraId="4DE857AA">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5.工作温度范围：-20℃～300℃，支持现场长期连续采集。</w:t>
            </w:r>
          </w:p>
        </w:tc>
        <w:tc>
          <w:tcPr>
            <w:tcW w:w="4764" w:type="dxa"/>
            <w:vAlign w:val="center"/>
          </w:tcPr>
          <w:p w14:paraId="07FAFCA5">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2.33 温度采集仪-（三）技术参数：</w:t>
            </w:r>
          </w:p>
          <w:p w14:paraId="00BCF05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▲测量精度等级：不低于0.5级。</w:t>
            </w:r>
          </w:p>
          <w:p w14:paraId="491731F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5.温度范围：-20℃～300℃，支持现场长期连续采集。</w:t>
            </w:r>
          </w:p>
        </w:tc>
      </w:tr>
      <w:tr w14:paraId="2F86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164714B7">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w:t>
            </w:r>
          </w:p>
        </w:tc>
        <w:tc>
          <w:tcPr>
            <w:tcW w:w="5168" w:type="dxa"/>
            <w:vAlign w:val="center"/>
          </w:tcPr>
          <w:p w14:paraId="4D509CF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2.34 烟气烟尘颗粒物浓度测试仪-（一）功能要求：</w:t>
            </w:r>
          </w:p>
          <w:p w14:paraId="3D481838">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5.实时显示动压、静压、颗粒物实时浓度、累计采样体积，数据自动存储。</w:t>
            </w:r>
          </w:p>
          <w:p w14:paraId="39E0E9BE">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6.自带烟气预除尘、脱水预处理模块，防止水汽、粉尘损伤压力传感器。</w:t>
            </w:r>
          </w:p>
          <w:p w14:paraId="105D0FC1">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7.检测报告可直接导出，数据格式符合生态环境检测标准归档要求。</w:t>
            </w:r>
          </w:p>
        </w:tc>
        <w:tc>
          <w:tcPr>
            <w:tcW w:w="4764" w:type="dxa"/>
            <w:vAlign w:val="center"/>
          </w:tcPr>
          <w:p w14:paraId="41942E12">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2.34烟气烟尘颗粒物浓度测试仪-（一）功能要求：</w:t>
            </w:r>
          </w:p>
          <w:p w14:paraId="489704E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5.实时显示动压、静压、累计采样体积，数据自动存储。</w:t>
            </w:r>
          </w:p>
          <w:p w14:paraId="0AB2D5E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6.自带烟气脱水预处理模块，防止水汽损伤压力传感器。</w:t>
            </w:r>
          </w:p>
          <w:p w14:paraId="24D613D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删除：“7.检测报告可直接导出，数据格式符合生态环境检测标准归档要求。”</w:t>
            </w:r>
          </w:p>
        </w:tc>
      </w:tr>
      <w:tr w14:paraId="6FF2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1AEE7D39">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168" w:type="dxa"/>
            <w:vAlign w:val="center"/>
          </w:tcPr>
          <w:p w14:paraId="077ECD7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2.34 烟气烟尘颗粒物浓度测试仪-（二）执行标准：严格遵循《HJ 836 固定污染源废气 低浓度颗粒物的测定 β 射线吸收法》、《GB 10180 工业锅炉热工性能试验规程》烟尘、压力测量仪器技术要求。</w:t>
            </w:r>
          </w:p>
        </w:tc>
        <w:tc>
          <w:tcPr>
            <w:tcW w:w="4764" w:type="dxa"/>
            <w:vAlign w:val="center"/>
          </w:tcPr>
          <w:p w14:paraId="56B511F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2.34 烟气烟尘颗粒物浓度测试仪-（二）执行标准：</w:t>
            </w:r>
          </w:p>
          <w:p w14:paraId="06E7D18A">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严格遵循《HJ 836 固定污染源废气 低浓度颗粒物的测定 重量法》、《GB 10180 工业锅炉热工性能试验规程》烟尘、压力测量仪器技术要求。</w:t>
            </w:r>
          </w:p>
        </w:tc>
      </w:tr>
      <w:tr w14:paraId="7AF3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00A06597">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6</w:t>
            </w:r>
          </w:p>
        </w:tc>
        <w:tc>
          <w:tcPr>
            <w:tcW w:w="5168" w:type="dxa"/>
            <w:shd w:val="clear" w:color="auto" w:fill="auto"/>
            <w:vAlign w:val="top"/>
          </w:tcPr>
          <w:p w14:paraId="13633369">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2.38 静态蒸发率测试仪-（一）功能要求：</w:t>
            </w:r>
          </w:p>
          <w:p w14:paraId="3F3C6679">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1.单机双工位配置，一台测试仪可同时检测两只气瓶，也可做成单机单工位。</w:t>
            </w:r>
          </w:p>
        </w:tc>
        <w:tc>
          <w:tcPr>
            <w:tcW w:w="4764" w:type="dxa"/>
            <w:shd w:val="clear" w:color="auto" w:fill="auto"/>
            <w:vAlign w:val="center"/>
          </w:tcPr>
          <w:p w14:paraId="559CD052">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vertAlign w:val="baseline"/>
                <w:lang w:val="en-US" w:eastAsia="zh-CN"/>
              </w:rPr>
              <w:t>2.38 静态蒸发率测试仪-（一）功能要求：</w:t>
            </w:r>
          </w:p>
          <w:p w14:paraId="59AE5E7B">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lang w:val="en-US" w:eastAsia="zh-CN"/>
              </w:rPr>
              <w:t>1.单机支持双工位，可兼容四工位配置。</w:t>
            </w:r>
          </w:p>
        </w:tc>
      </w:tr>
      <w:tr w14:paraId="4AFD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05BEE74C">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7</w:t>
            </w:r>
          </w:p>
        </w:tc>
        <w:tc>
          <w:tcPr>
            <w:tcW w:w="5168" w:type="dxa"/>
            <w:vAlign w:val="center"/>
          </w:tcPr>
          <w:p w14:paraId="492367F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2.39铁素体检测仪-（三）参数要求：</w:t>
            </w:r>
          </w:p>
          <w:p w14:paraId="18586EC8">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lang w:val="en-US" w:eastAsia="zh-CN"/>
              </w:rPr>
              <w:t>5.探头采用V型卡槽设计。</w:t>
            </w:r>
          </w:p>
        </w:tc>
        <w:tc>
          <w:tcPr>
            <w:tcW w:w="4764" w:type="dxa"/>
          </w:tcPr>
          <w:p w14:paraId="2AE50208">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2.39铁素体检测仪-（三）参数要求：</w:t>
            </w:r>
          </w:p>
          <w:p w14:paraId="0BD1EAA4">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5.探头具备曲面适配卡槽结构，可满足焊缝、曲面工件测量。</w:t>
            </w:r>
          </w:p>
        </w:tc>
      </w:tr>
      <w:tr w14:paraId="7A63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471F56FE">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8</w:t>
            </w:r>
          </w:p>
        </w:tc>
        <w:tc>
          <w:tcPr>
            <w:tcW w:w="5168" w:type="dxa"/>
          </w:tcPr>
          <w:p w14:paraId="51721249">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2.40 土壤腐蚀速度测量仪-（三）参数要求：</w:t>
            </w:r>
          </w:p>
          <w:p w14:paraId="508BCA24">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4.土壤极化电阻测量范围：20Ω至300KΩ，误差：≤3%。</w:t>
            </w:r>
          </w:p>
        </w:tc>
        <w:tc>
          <w:tcPr>
            <w:tcW w:w="4764" w:type="dxa"/>
            <w:vAlign w:val="center"/>
          </w:tcPr>
          <w:p w14:paraId="1C77DC1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2.40 土壤腐蚀速度测量仪-（三）参数要求：</w:t>
            </w:r>
          </w:p>
          <w:p w14:paraId="143A221D">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4.土壤极化电阻测量范围：1Ω至300KΩ，误差：≤3%。</w:t>
            </w:r>
          </w:p>
        </w:tc>
      </w:tr>
      <w:tr w14:paraId="3022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69C4BB4A">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9</w:t>
            </w:r>
          </w:p>
        </w:tc>
        <w:tc>
          <w:tcPr>
            <w:tcW w:w="5168" w:type="dxa"/>
            <w:vAlign w:val="center"/>
          </w:tcPr>
          <w:p w14:paraId="0E1EA84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2.41 阴极剥离试验装置-（三）参数要求：</w:t>
            </w:r>
          </w:p>
          <w:p w14:paraId="618CE8BF">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5.元件需采用SMD贴元元件。</w:t>
            </w:r>
          </w:p>
        </w:tc>
        <w:tc>
          <w:tcPr>
            <w:tcW w:w="4764" w:type="dxa"/>
            <w:vAlign w:val="center"/>
          </w:tcPr>
          <w:p w14:paraId="6D6BAE5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2.41 阴极剥离试验装置-（三）参数要求：</w:t>
            </w:r>
          </w:p>
          <w:p w14:paraId="34CA4A6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删除5.元件需采用SMD贴元元件。</w:t>
            </w:r>
            <w:r>
              <w:rPr>
                <w:rFonts w:hint="eastAsia" w:ascii="仿宋" w:hAnsi="仿宋" w:eastAsia="仿宋" w:cs="仿宋"/>
                <w:sz w:val="22"/>
                <w:szCs w:val="22"/>
                <w:u w:val="none"/>
                <w:vertAlign w:val="baseline"/>
                <w:lang w:val="en-US" w:eastAsia="zh-CN"/>
              </w:rPr>
              <w:t>（因该项条目删除，后续技术参数序号相应顺延调整；参数内容本身未做修改，仅序号重新编排）</w:t>
            </w:r>
          </w:p>
        </w:tc>
      </w:tr>
      <w:tr w14:paraId="098D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7C4DAE23">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10</w:t>
            </w:r>
          </w:p>
        </w:tc>
        <w:tc>
          <w:tcPr>
            <w:tcW w:w="5168" w:type="dxa"/>
          </w:tcPr>
          <w:p w14:paraId="4F562C25">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2.44 静电电阻测量仪-（三）参数要求：</w:t>
            </w:r>
          </w:p>
          <w:p w14:paraId="240B3180">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▲1.电阻测量范围：1kΩ～10MΩ，测试电压至少包含10V、100V。</w:t>
            </w:r>
          </w:p>
        </w:tc>
        <w:tc>
          <w:tcPr>
            <w:tcW w:w="4764" w:type="dxa"/>
            <w:vAlign w:val="center"/>
          </w:tcPr>
          <w:p w14:paraId="04278379">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2.44 静电电阻测量仪-（三）参数要求：</w:t>
            </w:r>
          </w:p>
          <w:p w14:paraId="3BDC975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▲1.电阻测量范围：103-1012Ω，测试电压至少包含10V、100V。</w:t>
            </w:r>
          </w:p>
        </w:tc>
      </w:tr>
      <w:tr w14:paraId="56F4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4CBCDCD0">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11</w:t>
            </w:r>
          </w:p>
        </w:tc>
        <w:tc>
          <w:tcPr>
            <w:tcW w:w="5168" w:type="dxa"/>
          </w:tcPr>
          <w:p w14:paraId="4D6447B6">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2.45 裂纹深度检测仪-（三）参数要求：</w:t>
            </w:r>
          </w:p>
          <w:p w14:paraId="6CDA111D">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▲1.传感器灵敏度：4.9mV/V/Gs。</w:t>
            </w:r>
          </w:p>
        </w:tc>
        <w:tc>
          <w:tcPr>
            <w:tcW w:w="4764" w:type="dxa"/>
            <w:vAlign w:val="center"/>
          </w:tcPr>
          <w:p w14:paraId="2ADDEF62">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2.45 裂纹深度检测仪-（三）参数要求：</w:t>
            </w:r>
          </w:p>
          <w:p w14:paraId="08443BCF">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▲1.传感器灵敏度不低于4.5mV/V/Gs。</w:t>
            </w:r>
          </w:p>
        </w:tc>
      </w:tr>
      <w:tr w14:paraId="77BA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37618EAD">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12</w:t>
            </w:r>
          </w:p>
        </w:tc>
        <w:tc>
          <w:tcPr>
            <w:tcW w:w="5168" w:type="dxa"/>
          </w:tcPr>
          <w:p w14:paraId="202BAD80">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2.48测厚仪（电磁超声）-（一）功能要求：</w:t>
            </w:r>
          </w:p>
          <w:p w14:paraId="1E852F45">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1.主机集成红外测温模块与激光定位指示器，红外测温范围-30℃~+600℃，测温精度 ±1℃；激光标记用于现场快速定位腐蚀减薄区域。</w:t>
            </w:r>
          </w:p>
        </w:tc>
        <w:tc>
          <w:tcPr>
            <w:tcW w:w="4764" w:type="dxa"/>
            <w:vAlign w:val="center"/>
          </w:tcPr>
          <w:p w14:paraId="4D285C60">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2.48测厚仪（电磁超声）-（一）功能要求：</w:t>
            </w:r>
          </w:p>
          <w:p w14:paraId="4CC1CDF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1.主机集成红外测温模块与激光定位指示器，红外测温范围-50℃~+800℃，测温精度 ±1℃；激光标记用于现场快速定位腐蚀减薄区域。</w:t>
            </w:r>
          </w:p>
        </w:tc>
      </w:tr>
      <w:tr w14:paraId="1587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vAlign w:val="center"/>
          </w:tcPr>
          <w:p w14:paraId="51D49CAB">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p>
        </w:tc>
        <w:tc>
          <w:tcPr>
            <w:tcW w:w="5168" w:type="dxa"/>
          </w:tcPr>
          <w:p w14:paraId="1FF65E61">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2.48测厚仪（电磁超声）-（三）参数要求：</w:t>
            </w:r>
          </w:p>
          <w:p w14:paraId="34535F5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14.采样频率：400MHz/10bit。</w:t>
            </w:r>
          </w:p>
        </w:tc>
        <w:tc>
          <w:tcPr>
            <w:tcW w:w="4764" w:type="dxa"/>
            <w:vAlign w:val="center"/>
          </w:tcPr>
          <w:p w14:paraId="09AABF9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2.48测厚仪（电磁超声）-（三）参数要求：</w:t>
            </w:r>
          </w:p>
          <w:p w14:paraId="088ADBF5">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14.采样频率：不低于200MHz/10bit。</w:t>
            </w:r>
          </w:p>
        </w:tc>
      </w:tr>
      <w:tr w14:paraId="7173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18D1DAF5">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13</w:t>
            </w:r>
          </w:p>
        </w:tc>
        <w:tc>
          <w:tcPr>
            <w:tcW w:w="5168" w:type="dxa"/>
          </w:tcPr>
          <w:p w14:paraId="70F3EE24">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2.50测厚仪（涂层）-（三）参数要求：</w:t>
            </w:r>
          </w:p>
          <w:p w14:paraId="59F1D1A6">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1.测量范围：1～200mm；</w:t>
            </w:r>
          </w:p>
          <w:p w14:paraId="1D98EBD2">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▲2.测量精度不低于±(0.5%H+0.05)mm；</w:t>
            </w:r>
          </w:p>
          <w:p w14:paraId="6600658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3.分辨率：0～99.9μm为0.1μm；100～999μm为1μm；1.00～5.00mm为0.01mm；</w:t>
            </w:r>
          </w:p>
          <w:p w14:paraId="437F0D23">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4.单次测量响应时间：0.5s，支持连续快速批量检测；</w:t>
            </w:r>
          </w:p>
          <w:p w14:paraId="6CAC485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5.探头规格：F5N3分体大量程探头，尺寸22×26×55mm，红宝石耐磨测尖；航空插头可拆卸，可单独更换探头；</w:t>
            </w:r>
          </w:p>
        </w:tc>
        <w:tc>
          <w:tcPr>
            <w:tcW w:w="4764" w:type="dxa"/>
            <w:vAlign w:val="center"/>
          </w:tcPr>
          <w:p w14:paraId="65BB223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2.50测厚仪（涂层）-（三）参数要求：</w:t>
            </w:r>
          </w:p>
          <w:p w14:paraId="447A1261">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1.测量范围：0～5mm；</w:t>
            </w:r>
          </w:p>
          <w:p w14:paraId="30A4F700">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▲2.测量精度不低于±(3%H+10)μm；</w:t>
            </w:r>
          </w:p>
          <w:p w14:paraId="4BF27DB5">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3.分辨率：0-100 μm不劣于0.1 μm；100-1000 μm不劣于1 μm；≥1 mm 量程段分辨率不劣于 0.01 mm；</w:t>
            </w:r>
          </w:p>
          <w:p w14:paraId="721C0DB7">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4.单次测量响应时间不高于1s，支持连续快速批量检测；</w:t>
            </w:r>
          </w:p>
          <w:p w14:paraId="7FB9A88A">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0"/>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5.探头规格：分体式大量程两用探头，红宝石耐磨测尖；可拆卸，可单独更换探头；</w:t>
            </w:r>
          </w:p>
        </w:tc>
      </w:tr>
      <w:tr w14:paraId="4243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Align w:val="center"/>
          </w:tcPr>
          <w:p w14:paraId="3B9F8B7B">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14</w:t>
            </w:r>
          </w:p>
        </w:tc>
        <w:tc>
          <w:tcPr>
            <w:tcW w:w="5168" w:type="dxa"/>
          </w:tcPr>
          <w:p w14:paraId="005BC1AF">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2.57 直流电压梯度检测系统和密间隔管地电位检测仪-（三）参数要求：</w:t>
            </w:r>
          </w:p>
          <w:p w14:paraId="06CEE240">
            <w:pPr>
              <w:keepNext w:val="0"/>
              <w:keepLines w:val="0"/>
              <w:pageBreakBefore w:val="0"/>
              <w:widowControl w:val="0"/>
              <w:numPr>
                <w:ilvl w:val="0"/>
                <w:numId w:val="0"/>
              </w:numPr>
              <w:kinsoku/>
              <w:wordWrap/>
              <w:overflowPunct/>
              <w:topLinePunct w:val="0"/>
              <w:autoSpaceDE/>
              <w:autoSpaceDN/>
              <w:bidi w:val="0"/>
              <w:adjustRightInd/>
              <w:snapToGrid/>
              <w:spacing w:line="340" w:lineRule="exact"/>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CIPS量程：自动量程，10mV、25mV、50mV、100mV、250mV、500mV、1.0V、2.5V、5.0V、10.0V、25.0V；管地电位测量范围覆盖-30V～+30V；电位梯度测量范围-10V～10V。2.DCVG量程：自动量程，10mV、25mV、50mV、100mV、250mV、500mV、1V、2.5V、5V、10V、25V。</w:t>
            </w:r>
          </w:p>
        </w:tc>
        <w:tc>
          <w:tcPr>
            <w:tcW w:w="4764" w:type="dxa"/>
            <w:vAlign w:val="center"/>
          </w:tcPr>
          <w:p w14:paraId="5A0EDD02">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2.57 直流电压梯度检测系统和密间隔管地电位检测仪-（三）参数要求：</w:t>
            </w:r>
          </w:p>
          <w:p w14:paraId="248C6151">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lang w:val="en-US" w:eastAsia="zh-CN"/>
              </w:rPr>
            </w:pPr>
            <w:r>
              <w:rPr>
                <w:rFonts w:hint="eastAsia" w:ascii="仿宋" w:hAnsi="仿宋" w:eastAsia="仿宋" w:cs="仿宋"/>
                <w:sz w:val="22"/>
                <w:szCs w:val="22"/>
                <w:u w:val="none"/>
                <w:lang w:val="en-US" w:eastAsia="zh-CN"/>
              </w:rPr>
              <w:t>▲1.CIPS 测量支持自动多档位量程；管地电位测量范围覆盖-30V～+30V；电位梯度测量范围-10V～10V。2.DCVG 测量支持自动多档位量程。</w:t>
            </w:r>
          </w:p>
        </w:tc>
      </w:tr>
    </w:tbl>
    <w:p w14:paraId="7E01D395">
      <w:pPr>
        <w:bidi w:val="0"/>
        <w:rPr>
          <w:rFonts w:hint="eastAsia"/>
          <w:lang w:val="en-US" w:eastAsia="zh-CN"/>
        </w:rPr>
      </w:pPr>
    </w:p>
    <w:p w14:paraId="34D2ED7E">
      <w:pPr>
        <w:bidi w:val="0"/>
        <w:rPr>
          <w:rFonts w:hint="eastAsia"/>
          <w:lang w:val="en-US" w:eastAsia="zh-CN"/>
        </w:rPr>
      </w:pPr>
    </w:p>
    <w:p w14:paraId="02FC0667">
      <w:pPr>
        <w:bidi w:val="0"/>
        <w:rPr>
          <w:rFonts w:hint="eastAsia"/>
          <w:lang w:val="en-US" w:eastAsia="zh-CN"/>
        </w:rPr>
      </w:pPr>
    </w:p>
    <w:p w14:paraId="65AAABF6">
      <w:pPr>
        <w:bidi w:val="0"/>
        <w:rPr>
          <w:rFonts w:hint="eastAsia"/>
          <w:lang w:val="en-US" w:eastAsia="zh-CN"/>
        </w:rPr>
      </w:pPr>
    </w:p>
    <w:p w14:paraId="111450EC">
      <w:pPr>
        <w:bidi w:val="0"/>
        <w:rPr>
          <w:rFonts w:hint="eastAsia"/>
          <w:lang w:val="en-US" w:eastAsia="zh-CN"/>
        </w:rPr>
      </w:pPr>
    </w:p>
    <w:p w14:paraId="169DA3B9">
      <w:pPr>
        <w:bidi w:val="0"/>
        <w:rPr>
          <w:rFonts w:hint="eastAsia"/>
          <w:lang w:val="en-US" w:eastAsia="zh-CN"/>
        </w:rPr>
      </w:pPr>
    </w:p>
    <w:p w14:paraId="5F5B7FB1">
      <w:pPr>
        <w:bidi w:val="0"/>
        <w:rPr>
          <w:rFonts w:hint="eastAsia"/>
          <w:lang w:val="en-US" w:eastAsia="zh-CN"/>
        </w:rPr>
      </w:pPr>
    </w:p>
    <w:p w14:paraId="6729C2FE">
      <w:pPr>
        <w:bidi w:val="0"/>
        <w:rPr>
          <w:rFonts w:hint="eastAsia"/>
          <w:lang w:val="en-US" w:eastAsia="zh-CN"/>
        </w:rPr>
      </w:pPr>
    </w:p>
    <w:p w14:paraId="5FA9F8C4">
      <w:pPr>
        <w:bidi w:val="0"/>
        <w:rPr>
          <w:rFonts w:hint="eastAsia"/>
          <w:lang w:val="en-US" w:eastAsia="zh-CN"/>
        </w:rPr>
      </w:pPr>
    </w:p>
    <w:p w14:paraId="7073B5C0">
      <w:pPr>
        <w:pStyle w:val="3"/>
        <w:bidi w:val="0"/>
        <w:rPr>
          <w:rFonts w:hint="eastAsia" w:ascii="仿宋" w:hAnsi="仿宋" w:eastAsia="仿宋" w:cs="仿宋"/>
          <w:lang w:val="en-US" w:eastAsia="zh-CN"/>
        </w:rPr>
      </w:pPr>
      <w:r>
        <w:rPr>
          <w:rFonts w:hint="eastAsia" w:ascii="仿宋" w:hAnsi="仿宋" w:eastAsia="仿宋" w:cs="仿宋"/>
          <w:lang w:val="en-US" w:eastAsia="zh-CN"/>
        </w:rPr>
        <w:t>包号：03包</w:t>
      </w:r>
    </w:p>
    <w:tbl>
      <w:tblPr>
        <w:tblStyle w:val="11"/>
        <w:tblW w:w="10275" w:type="dxa"/>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5025"/>
        <w:gridCol w:w="4600"/>
      </w:tblGrid>
      <w:tr w14:paraId="0570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14:paraId="2C59B57E">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序号</w:t>
            </w:r>
          </w:p>
        </w:tc>
        <w:tc>
          <w:tcPr>
            <w:tcW w:w="5025" w:type="dxa"/>
            <w:vAlign w:val="center"/>
          </w:tcPr>
          <w:p w14:paraId="21E76941">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变更前</w:t>
            </w:r>
          </w:p>
        </w:tc>
        <w:tc>
          <w:tcPr>
            <w:tcW w:w="4600" w:type="dxa"/>
            <w:vAlign w:val="center"/>
          </w:tcPr>
          <w:p w14:paraId="1FE15E56">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变更后</w:t>
            </w:r>
          </w:p>
        </w:tc>
      </w:tr>
      <w:tr w14:paraId="05C2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top"/>
          </w:tcPr>
          <w:p w14:paraId="1D9D4ACB">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一</w:t>
            </w:r>
          </w:p>
        </w:tc>
        <w:tc>
          <w:tcPr>
            <w:tcW w:w="5025" w:type="dxa"/>
            <w:shd w:val="clear" w:color="auto" w:fill="auto"/>
            <w:vAlign w:val="center"/>
          </w:tcPr>
          <w:p w14:paraId="461F543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原招标文件：第四章评标程序、评标方法和评标标准</w:t>
            </w:r>
          </w:p>
        </w:tc>
        <w:tc>
          <w:tcPr>
            <w:tcW w:w="4600" w:type="dxa"/>
            <w:shd w:val="clear" w:color="auto" w:fill="auto"/>
            <w:vAlign w:val="center"/>
          </w:tcPr>
          <w:p w14:paraId="29BFCB34">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p>
        </w:tc>
      </w:tr>
      <w:tr w14:paraId="1674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63CE499C">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w:t>
            </w:r>
          </w:p>
        </w:tc>
        <w:tc>
          <w:tcPr>
            <w:tcW w:w="5025" w:type="dxa"/>
            <w:shd w:val="clear" w:color="auto" w:fill="auto"/>
            <w:vAlign w:val="center"/>
          </w:tcPr>
          <w:p w14:paraId="6D86A71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041E37E6">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716DE65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429B989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01366E24">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%的，即投标（响应）报价&lt;采购项目最高限价×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4B0CDA0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c>
          <w:tcPr>
            <w:tcW w:w="4600" w:type="dxa"/>
            <w:shd w:val="clear" w:color="auto" w:fill="auto"/>
            <w:vAlign w:val="center"/>
          </w:tcPr>
          <w:p w14:paraId="1E01F40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2B8D984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59841535">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46191A42">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43B7AC1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1D4099C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r>
      <w:tr w14:paraId="3B47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10C51C94">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2</w:t>
            </w:r>
          </w:p>
        </w:tc>
        <w:tc>
          <w:tcPr>
            <w:tcW w:w="5025" w:type="dxa"/>
            <w:shd w:val="clear" w:color="auto" w:fill="auto"/>
            <w:vAlign w:val="center"/>
          </w:tcPr>
          <w:p w14:paraId="577E825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343BD8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：体系认证</w:t>
            </w:r>
          </w:p>
          <w:p w14:paraId="12CA2C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：3</w:t>
            </w:r>
          </w:p>
          <w:p w14:paraId="2B4D4C7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投标人具有质量管理体系认证证书、环境管理体系认证证书、职业健康安全管理体系认证证书，需提供证明文件的扫描件及全国认证认可信息公共服务平台官网证书信息查询截图，均需加盖投标人公章。上述每提供一个有效证书得1分，满分3分。</w:t>
            </w:r>
          </w:p>
        </w:tc>
        <w:tc>
          <w:tcPr>
            <w:tcW w:w="4600" w:type="dxa"/>
            <w:shd w:val="clear" w:color="auto" w:fill="auto"/>
            <w:vAlign w:val="center"/>
          </w:tcPr>
          <w:p w14:paraId="52CD8F6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删除此项评分因素</w:t>
            </w:r>
          </w:p>
        </w:tc>
      </w:tr>
      <w:tr w14:paraId="2008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7A1B4E44">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3</w:t>
            </w:r>
          </w:p>
        </w:tc>
        <w:tc>
          <w:tcPr>
            <w:tcW w:w="5025" w:type="dxa"/>
            <w:shd w:val="clear" w:color="auto" w:fill="auto"/>
            <w:vAlign w:val="center"/>
          </w:tcPr>
          <w:p w14:paraId="02582BF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66EAA32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17985A2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10</w:t>
            </w:r>
          </w:p>
          <w:p w14:paraId="0D935E7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提供投标人近三年内（2023年8月至投标截止时间）以合同签订时间为准，所投产品(如本包为非单一产品采购，则提供本包核心产品)的销售业绩，每提供1个有效业绩得2分，该项最高得 10分。</w:t>
            </w:r>
          </w:p>
          <w:p w14:paraId="23CDC7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c>
          <w:tcPr>
            <w:tcW w:w="4600" w:type="dxa"/>
            <w:shd w:val="clear" w:color="auto" w:fill="auto"/>
            <w:vAlign w:val="center"/>
          </w:tcPr>
          <w:p w14:paraId="731C5A7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2408DA0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7214900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w:t>
            </w:r>
            <w:r>
              <w:rPr>
                <w:rFonts w:hint="eastAsia" w:ascii="仿宋" w:hAnsi="仿宋" w:eastAsia="仿宋" w:cs="仿宋"/>
                <w:sz w:val="24"/>
                <w:szCs w:val="24"/>
                <w:u w:val="none"/>
                <w:vertAlign w:val="baseline"/>
                <w:lang w:val="en-US" w:eastAsia="zh-CN"/>
              </w:rPr>
              <w:t>3</w:t>
            </w:r>
          </w:p>
          <w:p w14:paraId="4E6C358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w:t>
            </w:r>
            <w:r>
              <w:rPr>
                <w:rFonts w:hint="eastAsia" w:ascii="仿宋" w:hAnsi="仿宋" w:eastAsia="仿宋" w:cs="仿宋"/>
                <w:sz w:val="24"/>
                <w:szCs w:val="24"/>
                <w:u w:val="none"/>
                <w:vertAlign w:val="baseline"/>
                <w:lang w:val="en-US" w:eastAsia="zh-CN"/>
              </w:rPr>
              <w:t>.6</w:t>
            </w:r>
            <w:r>
              <w:rPr>
                <w:rFonts w:hint="default" w:ascii="仿宋" w:hAnsi="仿宋" w:eastAsia="仿宋" w:cs="仿宋"/>
                <w:sz w:val="24"/>
                <w:szCs w:val="24"/>
                <w:u w:val="none"/>
                <w:vertAlign w:val="baseline"/>
                <w:lang w:val="en-US" w:eastAsia="zh-CN"/>
              </w:rPr>
              <w:t>分，该项最高得1</w:t>
            </w:r>
            <w:r>
              <w:rPr>
                <w:rFonts w:hint="eastAsia" w:ascii="仿宋" w:hAnsi="仿宋" w:eastAsia="仿宋" w:cs="仿宋"/>
                <w:sz w:val="24"/>
                <w:szCs w:val="24"/>
                <w:u w:val="none"/>
                <w:vertAlign w:val="baseline"/>
                <w:lang w:val="en-US" w:eastAsia="zh-CN"/>
              </w:rPr>
              <w:t>3</w:t>
            </w:r>
            <w:r>
              <w:rPr>
                <w:rFonts w:hint="default" w:ascii="仿宋" w:hAnsi="仿宋" w:eastAsia="仿宋" w:cs="仿宋"/>
                <w:sz w:val="24"/>
                <w:szCs w:val="24"/>
                <w:u w:val="none"/>
                <w:vertAlign w:val="baseline"/>
                <w:lang w:val="en-US" w:eastAsia="zh-CN"/>
              </w:rPr>
              <w:t>分。</w:t>
            </w:r>
          </w:p>
          <w:p w14:paraId="58A7593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r>
      <w:tr w14:paraId="2A56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7BEEFFBD">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二</w:t>
            </w:r>
          </w:p>
        </w:tc>
        <w:tc>
          <w:tcPr>
            <w:tcW w:w="5025" w:type="dxa"/>
            <w:shd w:val="clear" w:color="auto" w:fill="auto"/>
            <w:vAlign w:val="top"/>
          </w:tcPr>
          <w:p w14:paraId="1143DC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原招标文件：第五章“采购需求”中（二）货物技术要求）</w:t>
            </w:r>
          </w:p>
        </w:tc>
        <w:tc>
          <w:tcPr>
            <w:tcW w:w="4600" w:type="dxa"/>
            <w:vAlign w:val="center"/>
          </w:tcPr>
          <w:p w14:paraId="401FD9D6">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p>
        </w:tc>
      </w:tr>
      <w:tr w14:paraId="4644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628D138A">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w:t>
            </w:r>
          </w:p>
        </w:tc>
        <w:tc>
          <w:tcPr>
            <w:tcW w:w="5025" w:type="dxa"/>
            <w:vAlign w:val="top"/>
          </w:tcPr>
          <w:p w14:paraId="5B2E158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2.12 射线探伤装置（底片扫描分析仪）-（一）功能要求：</w:t>
            </w:r>
          </w:p>
          <w:p w14:paraId="7DADF31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1.手持式一体化，快速检测金属材料，实现现场材料牌号鉴别、元素成分定量分析，不需样品前处理。</w:t>
            </w:r>
          </w:p>
          <w:p w14:paraId="78B9FE9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2.整机集成 X 射线光管、高灵敏度探测器、触控显示屏、内置电池、辐射防护系统，单手可操作。</w:t>
            </w:r>
          </w:p>
          <w:p w14:paraId="2762BF7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3.需要具备完善辐射安全联锁保护，满足国内辐射使用管理相关规范。</w:t>
            </w:r>
          </w:p>
        </w:tc>
        <w:tc>
          <w:tcPr>
            <w:tcW w:w="4600" w:type="dxa"/>
          </w:tcPr>
          <w:p w14:paraId="08AB5D1E">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2.12 射线探伤装置（底片扫描分析仪）-（一）功能要求：</w:t>
            </w:r>
          </w:p>
          <w:p w14:paraId="5769D02C">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1.能够实现工业级底片扫描的数字化扫描仪.</w:t>
            </w:r>
          </w:p>
          <w:p w14:paraId="0EAFA32D">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2.底片黑度范围需D≥4.5。</w:t>
            </w:r>
          </w:p>
          <w:p w14:paraId="5BE8B83F">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3.具有专业扫描/评片软件，满足数字影像扫描保存和评定的基本功能。</w:t>
            </w:r>
          </w:p>
          <w:p w14:paraId="5D12AD66">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4.扫描仪采用激光束，通过光学系统扫描底片。光学系统要确保激光束到扫描区的各个点的光学距离保持不变，避免图像失真。</w:t>
            </w:r>
          </w:p>
          <w:p w14:paraId="16B699E1">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5.胶片扫描仪出厂前须经过校正和特性化，设定最佳参数存储在设备中。</w:t>
            </w:r>
          </w:p>
        </w:tc>
      </w:tr>
      <w:tr w14:paraId="727C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7E2ACEA8">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tcPr>
          <w:p w14:paraId="53BED729">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2.12射线探伤装置（底片扫描分析仪）-（二）执行标准：执行GB 17625.1-2012《电磁兼容 限值 谐波电流发射限值（设备每相输入电流≤16A）》、GB 4943.1-2011《信息技术设备 安全 第 1 部分：通用要求》、GB/T 9254-2008《信息技术设备的无线电骚扰限值和测量方法》国家强制性认证标准，按照CNCA-C09-01:2014《强制性产品认证实施规则 信息技术设备》</w:t>
            </w:r>
          </w:p>
        </w:tc>
        <w:tc>
          <w:tcPr>
            <w:tcW w:w="4600" w:type="dxa"/>
            <w:vAlign w:val="center"/>
          </w:tcPr>
          <w:p w14:paraId="1E86B6F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2.12射线探伤装置（底片扫描分析仪）-（二）执行标准：</w:t>
            </w:r>
          </w:p>
          <w:p w14:paraId="499DC77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GB/T 26141. 1-2010/ISO 14096-1:2005《无损检测 射线照相底片数字化系统的质量鉴定》。</w:t>
            </w:r>
          </w:p>
        </w:tc>
      </w:tr>
      <w:tr w14:paraId="527E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77CC7049">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tcPr>
          <w:p w14:paraId="76690215">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2.12射线探伤装置（底片扫描分析仪）-（四）配置要求：</w:t>
            </w:r>
          </w:p>
          <w:p w14:paraId="3B1567B0">
            <w:pPr>
              <w:keepNext w:val="0"/>
              <w:keepLines w:val="0"/>
              <w:pageBreakBefore w:val="0"/>
              <w:widowControl w:val="0"/>
              <w:numPr>
                <w:ilvl w:val="0"/>
                <w:numId w:val="2"/>
              </w:numPr>
              <w:kinsoku/>
              <w:wordWrap/>
              <w:overflowPunct/>
              <w:topLinePunct w:val="0"/>
              <w:autoSpaceDE/>
              <w:autoSpaceDN/>
              <w:bidi w:val="0"/>
              <w:adjustRightInd/>
              <w:snapToGrid/>
              <w:spacing w:line="360" w:lineRule="exact"/>
              <w:ind w:left="0" w:leftChars="0" w:hanging="425" w:firstLineChars="0"/>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工业底片数字化扫描主机×1台。2.灰度管理系统软件×1套。3.影像处理软件×1套。4.多通道扫描装置×1套。5.自动馈片系统装置×1套。6.档案管理系统软件×1套。7.数据安全管理系统软件×1套。8.设备性能自动检修、校准系统软件×1套。9.数字化评片软件×1套。10.移动式数字影像分析系统×1套。11.说明书×1套，产品合格证×1套。</w:t>
            </w:r>
          </w:p>
        </w:tc>
        <w:tc>
          <w:tcPr>
            <w:tcW w:w="4600" w:type="dxa"/>
            <w:vAlign w:val="center"/>
          </w:tcPr>
          <w:p w14:paraId="7390D2B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sz w:val="22"/>
                <w:szCs w:val="22"/>
                <w:u w:val="none"/>
                <w:lang w:val="en-US" w:eastAsia="zh-CN"/>
              </w:rPr>
            </w:pPr>
            <w:r>
              <w:rPr>
                <w:rFonts w:hint="eastAsia" w:ascii="仿宋" w:hAnsi="仿宋" w:eastAsia="仿宋" w:cs="仿宋"/>
                <w:sz w:val="22"/>
                <w:szCs w:val="22"/>
                <w:u w:val="none"/>
                <w:vertAlign w:val="baseline"/>
                <w:lang w:val="en-US" w:eastAsia="zh-CN"/>
              </w:rPr>
              <w:t>2.12射线探伤装置（底片扫描分析仪）-（四）配置要求：</w:t>
            </w:r>
          </w:p>
          <w:p w14:paraId="70273E7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sz w:val="22"/>
                <w:szCs w:val="22"/>
                <w:u w:val="none"/>
                <w:lang w:val="en-US" w:eastAsia="zh-CN"/>
              </w:rPr>
              <w:t>1.工业底片数字化扫描主机×1台。2.数字化评片软件×1套。软件功能：灰度管理系统软件×1套。影像处理软件×1套。档案管理系统软件×1套。数据管理系统软件×1套。移动式数字影像分析系统×1套。3.多通道扫描装置×1套。4.说明书×1套，产品合格证×1套。</w:t>
            </w:r>
          </w:p>
        </w:tc>
      </w:tr>
    </w:tbl>
    <w:p w14:paraId="3B1A5FCD">
      <w:pPr>
        <w:bidi w:val="0"/>
        <w:rPr>
          <w:rFonts w:hint="eastAsia"/>
          <w:lang w:val="en-US" w:eastAsia="zh-CN"/>
        </w:rPr>
      </w:pPr>
    </w:p>
    <w:p w14:paraId="2823DB02">
      <w:pPr>
        <w:bidi w:val="0"/>
        <w:rPr>
          <w:rFonts w:hint="eastAsia"/>
          <w:lang w:val="en-US" w:eastAsia="zh-CN"/>
        </w:rPr>
      </w:pPr>
    </w:p>
    <w:p w14:paraId="0ED9D061">
      <w:pPr>
        <w:bidi w:val="0"/>
        <w:rPr>
          <w:rFonts w:hint="eastAsia"/>
          <w:lang w:val="en-US" w:eastAsia="zh-CN"/>
        </w:rPr>
      </w:pPr>
    </w:p>
    <w:p w14:paraId="0486DC5E">
      <w:pPr>
        <w:bidi w:val="0"/>
        <w:rPr>
          <w:rFonts w:hint="eastAsia"/>
          <w:lang w:val="en-US" w:eastAsia="zh-CN"/>
        </w:rPr>
      </w:pPr>
    </w:p>
    <w:p w14:paraId="2896DA32">
      <w:pPr>
        <w:pStyle w:val="3"/>
        <w:bidi w:val="0"/>
        <w:rPr>
          <w:rFonts w:hint="eastAsia" w:ascii="仿宋" w:hAnsi="仿宋" w:eastAsia="仿宋" w:cs="仿宋"/>
          <w:lang w:val="en-US" w:eastAsia="zh-CN"/>
        </w:rPr>
      </w:pPr>
      <w:r>
        <w:rPr>
          <w:rFonts w:hint="eastAsia" w:ascii="仿宋" w:hAnsi="仿宋" w:eastAsia="仿宋" w:cs="仿宋"/>
          <w:lang w:val="en-US" w:eastAsia="zh-CN"/>
        </w:rPr>
        <w:t>包号：04包</w:t>
      </w:r>
    </w:p>
    <w:tbl>
      <w:tblPr>
        <w:tblStyle w:val="11"/>
        <w:tblW w:w="10564" w:type="dxa"/>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5025"/>
        <w:gridCol w:w="4889"/>
      </w:tblGrid>
      <w:tr w14:paraId="5CBB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tcPr>
          <w:p w14:paraId="2ADE677C">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序号</w:t>
            </w:r>
          </w:p>
        </w:tc>
        <w:tc>
          <w:tcPr>
            <w:tcW w:w="5025" w:type="dxa"/>
            <w:vAlign w:val="center"/>
          </w:tcPr>
          <w:p w14:paraId="27A43EE9">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变更前</w:t>
            </w:r>
          </w:p>
        </w:tc>
        <w:tc>
          <w:tcPr>
            <w:tcW w:w="4889" w:type="dxa"/>
            <w:vAlign w:val="center"/>
          </w:tcPr>
          <w:p w14:paraId="4A6E98CF">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变更后</w:t>
            </w:r>
          </w:p>
        </w:tc>
      </w:tr>
      <w:tr w14:paraId="5DFB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top"/>
          </w:tcPr>
          <w:p w14:paraId="70414A67">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一</w:t>
            </w:r>
          </w:p>
        </w:tc>
        <w:tc>
          <w:tcPr>
            <w:tcW w:w="5025" w:type="dxa"/>
            <w:shd w:val="clear" w:color="auto" w:fill="auto"/>
            <w:vAlign w:val="center"/>
          </w:tcPr>
          <w:p w14:paraId="4D755CE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原招标文件：第四章评标程序、评标方法和评标标准</w:t>
            </w:r>
          </w:p>
        </w:tc>
        <w:tc>
          <w:tcPr>
            <w:tcW w:w="4889" w:type="dxa"/>
            <w:shd w:val="clear" w:color="auto" w:fill="auto"/>
            <w:vAlign w:val="center"/>
          </w:tcPr>
          <w:p w14:paraId="05AD3411">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p>
        </w:tc>
      </w:tr>
      <w:tr w14:paraId="1CCE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4F390FC2">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w:t>
            </w:r>
          </w:p>
        </w:tc>
        <w:tc>
          <w:tcPr>
            <w:tcW w:w="5025" w:type="dxa"/>
            <w:shd w:val="clear" w:color="auto" w:fill="auto"/>
            <w:vAlign w:val="top"/>
          </w:tcPr>
          <w:p w14:paraId="05FD8883">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1E941A41">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2396BFF6">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1661D3F7">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43A8B55D">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%的，即投标（响应）报价&lt;采购项目最高限价×</w:t>
            </w:r>
            <w:r>
              <w:rPr>
                <w:rFonts w:hint="default"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360D0BC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c>
          <w:tcPr>
            <w:tcW w:w="4889" w:type="dxa"/>
            <w:shd w:val="clear" w:color="auto" w:fill="auto"/>
            <w:vAlign w:val="center"/>
          </w:tcPr>
          <w:p w14:paraId="5F2F0644">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67A63D2E">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4F2170CD">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03CBA2FD">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2026084C">
            <w:pPr>
              <w:keepNext w:val="0"/>
              <w:keepLines w:val="0"/>
              <w:pageBreakBefore w:val="0"/>
              <w:widowControl w:val="0"/>
              <w:numPr>
                <w:ilvl w:val="0"/>
                <w:numId w:val="0"/>
              </w:numPr>
              <w:kinsoku/>
              <w:wordWrap/>
              <w:overflowPunct/>
              <w:topLinePunct w:val="0"/>
              <w:autoSpaceDE/>
              <w:autoSpaceDN/>
              <w:bidi w:val="0"/>
              <w:adjustRightInd/>
              <w:snapToGrid/>
              <w:spacing w:line="34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0BCF60BF">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r>
      <w:tr w14:paraId="0594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31618C55">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2</w:t>
            </w:r>
          </w:p>
        </w:tc>
        <w:tc>
          <w:tcPr>
            <w:tcW w:w="5025" w:type="dxa"/>
            <w:shd w:val="clear" w:color="auto" w:fill="auto"/>
            <w:vAlign w:val="center"/>
          </w:tcPr>
          <w:p w14:paraId="33630C0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7D81C5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：体系认证</w:t>
            </w:r>
          </w:p>
          <w:p w14:paraId="1FBD041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：3</w:t>
            </w:r>
          </w:p>
          <w:p w14:paraId="0D700E4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投标人具有质量管理体系认证证书、环境管理体系认证证书、职业健康安全管理体系认证证书，需提供证明文件的扫描件及全国认证认可信息公共服务平台官网证书信息查询截图，均需加盖投标人公章。上述每提供一个有效证书得1分，满分3分。</w:t>
            </w:r>
          </w:p>
        </w:tc>
        <w:tc>
          <w:tcPr>
            <w:tcW w:w="4889" w:type="dxa"/>
            <w:shd w:val="clear" w:color="auto" w:fill="auto"/>
            <w:vAlign w:val="center"/>
          </w:tcPr>
          <w:p w14:paraId="4B9CE96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删除此项评分因素</w:t>
            </w:r>
          </w:p>
        </w:tc>
      </w:tr>
      <w:tr w14:paraId="03E06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00C6C21A">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3</w:t>
            </w:r>
          </w:p>
        </w:tc>
        <w:tc>
          <w:tcPr>
            <w:tcW w:w="5025" w:type="dxa"/>
            <w:shd w:val="clear" w:color="auto" w:fill="auto"/>
            <w:vAlign w:val="center"/>
          </w:tcPr>
          <w:p w14:paraId="7901A87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71BCD6A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58E5F6D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10</w:t>
            </w:r>
          </w:p>
          <w:p w14:paraId="7E4934A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提供投标人近三年内（2023年8月至投标截止时间）以合同签订时间为准，所投产品(如本包为非单一产品采购，则提供本包核心产品)的销售业绩，每提供1个有效业绩得2分，该项最高得 10分。</w:t>
            </w:r>
          </w:p>
          <w:p w14:paraId="3BCFC65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c>
          <w:tcPr>
            <w:tcW w:w="4889" w:type="dxa"/>
            <w:shd w:val="clear" w:color="auto" w:fill="auto"/>
            <w:vAlign w:val="center"/>
          </w:tcPr>
          <w:p w14:paraId="5C7F92D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0BDC968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4D7E1A8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w:t>
            </w:r>
            <w:r>
              <w:rPr>
                <w:rFonts w:hint="eastAsia" w:ascii="仿宋" w:hAnsi="仿宋" w:eastAsia="仿宋" w:cs="仿宋"/>
                <w:sz w:val="24"/>
                <w:szCs w:val="24"/>
                <w:u w:val="none"/>
                <w:vertAlign w:val="baseline"/>
                <w:lang w:val="en-US" w:eastAsia="zh-CN"/>
              </w:rPr>
              <w:t>3</w:t>
            </w:r>
          </w:p>
          <w:p w14:paraId="0656337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w:t>
            </w:r>
            <w:r>
              <w:rPr>
                <w:rFonts w:hint="eastAsia" w:ascii="仿宋" w:hAnsi="仿宋" w:eastAsia="仿宋" w:cs="仿宋"/>
                <w:sz w:val="24"/>
                <w:szCs w:val="24"/>
                <w:u w:val="none"/>
                <w:vertAlign w:val="baseline"/>
                <w:lang w:val="en-US" w:eastAsia="zh-CN"/>
              </w:rPr>
              <w:t>.6</w:t>
            </w:r>
            <w:r>
              <w:rPr>
                <w:rFonts w:hint="default" w:ascii="仿宋" w:hAnsi="仿宋" w:eastAsia="仿宋" w:cs="仿宋"/>
                <w:sz w:val="24"/>
                <w:szCs w:val="24"/>
                <w:u w:val="none"/>
                <w:vertAlign w:val="baseline"/>
                <w:lang w:val="en-US" w:eastAsia="zh-CN"/>
              </w:rPr>
              <w:t>分，该项最高得 1</w:t>
            </w:r>
            <w:r>
              <w:rPr>
                <w:rFonts w:hint="eastAsia" w:ascii="仿宋" w:hAnsi="仿宋" w:eastAsia="仿宋" w:cs="仿宋"/>
                <w:sz w:val="24"/>
                <w:szCs w:val="24"/>
                <w:u w:val="none"/>
                <w:vertAlign w:val="baseline"/>
                <w:lang w:val="en-US" w:eastAsia="zh-CN"/>
              </w:rPr>
              <w:t>3</w:t>
            </w:r>
            <w:r>
              <w:rPr>
                <w:rFonts w:hint="default" w:ascii="仿宋" w:hAnsi="仿宋" w:eastAsia="仿宋" w:cs="仿宋"/>
                <w:sz w:val="24"/>
                <w:szCs w:val="24"/>
                <w:u w:val="none"/>
                <w:vertAlign w:val="baseline"/>
                <w:lang w:val="en-US" w:eastAsia="zh-CN"/>
              </w:rPr>
              <w:t>分。</w:t>
            </w:r>
          </w:p>
          <w:p w14:paraId="52249CF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r>
      <w:tr w14:paraId="627A3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50" w:type="dxa"/>
          </w:tcPr>
          <w:p w14:paraId="32BBBFD8">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黑体" w:hAnsi="黑体" w:eastAsia="黑体" w:cs="黑体"/>
                <w:b w:val="0"/>
                <w:bCs w:val="0"/>
                <w:sz w:val="22"/>
                <w:szCs w:val="22"/>
                <w:u w:val="none"/>
                <w:vertAlign w:val="baseline"/>
                <w:lang w:val="en-US" w:eastAsia="zh-CN"/>
              </w:rPr>
            </w:pPr>
            <w:r>
              <w:rPr>
                <w:rFonts w:hint="eastAsia" w:ascii="黑体" w:hAnsi="黑体" w:eastAsia="黑体" w:cs="黑体"/>
                <w:b w:val="0"/>
                <w:bCs w:val="0"/>
                <w:sz w:val="22"/>
                <w:szCs w:val="22"/>
                <w:u w:val="none"/>
                <w:vertAlign w:val="baseline"/>
                <w:lang w:val="en-US" w:eastAsia="zh-CN"/>
              </w:rPr>
              <w:t>二</w:t>
            </w:r>
          </w:p>
        </w:tc>
        <w:tc>
          <w:tcPr>
            <w:tcW w:w="5025" w:type="dxa"/>
            <w:vAlign w:val="top"/>
          </w:tcPr>
          <w:p w14:paraId="459C0A92">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both"/>
              <w:textAlignment w:val="auto"/>
              <w:rPr>
                <w:rFonts w:hint="eastAsia" w:ascii="黑体" w:hAnsi="黑体" w:eastAsia="黑体" w:cs="黑体"/>
                <w:b w:val="0"/>
                <w:bCs w:val="0"/>
                <w:sz w:val="22"/>
                <w:szCs w:val="22"/>
                <w:u w:val="none"/>
                <w:vertAlign w:val="baseline"/>
                <w:lang w:val="en-US" w:eastAsia="zh-CN"/>
              </w:rPr>
            </w:pPr>
            <w:r>
              <w:rPr>
                <w:rFonts w:hint="eastAsia" w:ascii="黑体" w:hAnsi="黑体" w:eastAsia="黑体" w:cs="黑体"/>
                <w:b w:val="0"/>
                <w:bCs w:val="0"/>
                <w:sz w:val="22"/>
                <w:szCs w:val="22"/>
                <w:u w:val="none"/>
                <w:vertAlign w:val="baseline"/>
                <w:lang w:val="en-US" w:eastAsia="zh-CN"/>
              </w:rPr>
              <w:t>原招标文件：第五章“采购需求”中（二）货物技术要求）</w:t>
            </w:r>
          </w:p>
        </w:tc>
        <w:tc>
          <w:tcPr>
            <w:tcW w:w="4889" w:type="dxa"/>
            <w:vAlign w:val="center"/>
          </w:tcPr>
          <w:p w14:paraId="45A96DCB">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p>
        </w:tc>
      </w:tr>
      <w:tr w14:paraId="7E075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1194EBF8">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w:t>
            </w:r>
          </w:p>
        </w:tc>
        <w:tc>
          <w:tcPr>
            <w:tcW w:w="5025" w:type="dxa"/>
            <w:vAlign w:val="center"/>
          </w:tcPr>
          <w:p w14:paraId="01FCAFCC">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 管道漏磁内检测器-（三）参数要求：</w:t>
            </w:r>
          </w:p>
          <w:p w14:paraId="4FC191E0">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2.7采用三轴高清探头+IDOD探头。</w:t>
            </w:r>
          </w:p>
        </w:tc>
        <w:tc>
          <w:tcPr>
            <w:tcW w:w="4889" w:type="dxa"/>
          </w:tcPr>
          <w:p w14:paraId="4E0DBDC7">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 管道漏磁内检测器-（三）参数要求：</w:t>
            </w:r>
          </w:p>
          <w:p w14:paraId="6BF19C45">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2.7采用三轴高清探头，可同时采集径向、轴向、周向漏磁信号，具备内外壁缺陷区分识别能力。</w:t>
            </w:r>
          </w:p>
        </w:tc>
      </w:tr>
      <w:tr w14:paraId="481B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5D946831">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shd w:val="clear" w:color="auto" w:fill="auto"/>
            <w:vAlign w:val="center"/>
          </w:tcPr>
          <w:p w14:paraId="20B65716">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 管道漏磁内检测器-（三）参数要求：</w:t>
            </w:r>
          </w:p>
          <w:p w14:paraId="0DE31AC0">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8、缺陷定位精度：轴向≤±50mm，周向≤±3°。9、壁厚检测范围：5mm～20mm。</w:t>
            </w:r>
          </w:p>
        </w:tc>
        <w:tc>
          <w:tcPr>
            <w:tcW w:w="4889" w:type="dxa"/>
          </w:tcPr>
          <w:p w14:paraId="7273A799">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 管道漏磁内检测器-（三）参数要求：</w:t>
            </w:r>
          </w:p>
          <w:p w14:paraId="52E16A75">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删除：“8、缺陷定位精度：轴向≤±50mm，周向≤±3°。9、壁厚检测范围：5mm～20mm。”（因该两项条目删除，后续技术参数序号相应顺延调整；参数内容本身未做修改，仅序号重新编排）。</w:t>
            </w:r>
          </w:p>
        </w:tc>
      </w:tr>
      <w:tr w14:paraId="40D28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73C981AE">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w:t>
            </w:r>
          </w:p>
        </w:tc>
        <w:tc>
          <w:tcPr>
            <w:tcW w:w="5025" w:type="dxa"/>
            <w:vAlign w:val="center"/>
          </w:tcPr>
          <w:p w14:paraId="78CBA3A8">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2.2管道漏磁内检测器-（三）参数要求：</w:t>
            </w:r>
          </w:p>
          <w:p w14:paraId="65FB7038">
            <w:pPr>
              <w:keepNext w:val="0"/>
              <w:keepLines w:val="0"/>
              <w:pageBreakBefore w:val="0"/>
              <w:widowControl w:val="0"/>
              <w:numPr>
                <w:ilvl w:val="0"/>
                <w:numId w:val="2"/>
              </w:numPr>
              <w:kinsoku/>
              <w:wordWrap/>
              <w:overflowPunct/>
              <w:topLinePunct w:val="0"/>
              <w:autoSpaceDE/>
              <w:autoSpaceDN/>
              <w:bidi w:val="0"/>
              <w:adjustRightInd/>
              <w:snapToGrid/>
              <w:spacing w:line="340" w:lineRule="exact"/>
              <w:ind w:left="0" w:leftChars="0" w:hanging="425" w:firstLine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2.7 采用三轴高清探头+IDOD探头。</w:t>
            </w:r>
          </w:p>
        </w:tc>
        <w:tc>
          <w:tcPr>
            <w:tcW w:w="4889" w:type="dxa"/>
          </w:tcPr>
          <w:p w14:paraId="4E1A1862">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2.2管道漏磁内检测器-（三）参数要求：</w:t>
            </w:r>
          </w:p>
          <w:p w14:paraId="6FC802B0">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2.7 采用三轴高清探头，可同时采集径向、轴向、周向漏磁信号，具备内外壁缺陷区分识别能力。</w:t>
            </w:r>
          </w:p>
        </w:tc>
      </w:tr>
      <w:tr w14:paraId="5C99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0" w:type="dxa"/>
            <w:vMerge w:val="continue"/>
          </w:tcPr>
          <w:p w14:paraId="3A4F7A7B">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vAlign w:val="center"/>
          </w:tcPr>
          <w:p w14:paraId="3F607524">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2.2管道漏磁内检测器-（三）参数要求：</w:t>
            </w:r>
          </w:p>
          <w:p w14:paraId="7323C833">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8.缺陷定位精度：轴向≤±80mm，周向≤±2°。</w:t>
            </w:r>
          </w:p>
          <w:p w14:paraId="6C070E08">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9.壁厚检测范围：6mm～30mm。</w:t>
            </w:r>
          </w:p>
        </w:tc>
        <w:tc>
          <w:tcPr>
            <w:tcW w:w="4889" w:type="dxa"/>
          </w:tcPr>
          <w:p w14:paraId="6D09CE2E">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2.2管道漏磁内检测器-（三）参数要求：</w:t>
            </w:r>
          </w:p>
          <w:p w14:paraId="406992A4">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删除：“8.缺陷定位精度：轴向≤±80mm，周向≤±2°。9.壁厚检测范围：6mm～30mm。”（因该两项条目删除，后续技术参数序号相应顺延调整；参数内容本身未做修改，仅序号重新编排）</w:t>
            </w:r>
          </w:p>
        </w:tc>
      </w:tr>
      <w:tr w14:paraId="34A6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0" w:type="dxa"/>
            <w:shd w:val="clear" w:color="auto" w:fill="auto"/>
            <w:vAlign w:val="center"/>
          </w:tcPr>
          <w:p w14:paraId="03B3E238">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三</w:t>
            </w:r>
          </w:p>
        </w:tc>
        <w:tc>
          <w:tcPr>
            <w:tcW w:w="5025" w:type="dxa"/>
            <w:shd w:val="clear" w:color="auto" w:fill="auto"/>
            <w:vAlign w:val="center"/>
          </w:tcPr>
          <w:p w14:paraId="5C112D3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原招标文件：第六章 拟签订的合同文本</w:t>
            </w:r>
          </w:p>
        </w:tc>
        <w:tc>
          <w:tcPr>
            <w:tcW w:w="4889" w:type="dxa"/>
            <w:shd w:val="clear" w:color="auto" w:fill="auto"/>
            <w:vAlign w:val="center"/>
          </w:tcPr>
          <w:p w14:paraId="11B527F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kern w:val="2"/>
                <w:sz w:val="22"/>
                <w:szCs w:val="22"/>
                <w:highlight w:val="none"/>
                <w:lang w:val="en-US" w:eastAsia="zh-CN" w:bidi="ar-SA"/>
              </w:rPr>
            </w:pPr>
          </w:p>
        </w:tc>
      </w:tr>
      <w:tr w14:paraId="2174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50" w:type="dxa"/>
            <w:shd w:val="clear" w:color="auto" w:fill="auto"/>
            <w:vAlign w:val="center"/>
          </w:tcPr>
          <w:p w14:paraId="567C5CBD">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w:t>
            </w:r>
          </w:p>
        </w:tc>
        <w:tc>
          <w:tcPr>
            <w:tcW w:w="5025" w:type="dxa"/>
            <w:shd w:val="clear" w:color="auto" w:fill="auto"/>
            <w:vAlign w:val="center"/>
          </w:tcPr>
          <w:p w14:paraId="5E4B9B6D">
            <w:pPr>
              <w:keepNext w:val="0"/>
              <w:keepLines w:val="0"/>
              <w:pageBreakBefore w:val="0"/>
              <w:widowControl w:val="0"/>
              <w:numPr>
                <w:ilvl w:val="0"/>
                <w:numId w:val="3"/>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政府采购合同协议书</w:t>
            </w:r>
            <w:r>
              <w:rPr>
                <w:rFonts w:hint="eastAsia" w:ascii="仿宋" w:hAnsi="仿宋" w:eastAsia="仿宋" w:cs="仿宋"/>
                <w:sz w:val="22"/>
                <w:szCs w:val="22"/>
                <w:u w:val="none"/>
                <w:vertAlign w:val="baseline"/>
                <w:lang w:val="en-US" w:eastAsia="zh-CN"/>
              </w:rPr>
              <w:t>-3.合同履行-（4）分期履行要求：乙方应当按照如下约定完成供货、安装调试及培训服务。</w:t>
            </w:r>
          </w:p>
          <w:p w14:paraId="2C2FA13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1.供货及验收：合同签署后</w:t>
            </w:r>
            <w:r>
              <w:rPr>
                <w:rFonts w:hint="eastAsia" w:ascii="仿宋" w:hAnsi="仿宋" w:eastAsia="仿宋" w:cs="仿宋"/>
                <w:sz w:val="22"/>
                <w:szCs w:val="22"/>
                <w:u w:val="none"/>
                <w:vertAlign w:val="baseline"/>
                <w:lang w:val="en-US" w:eastAsia="zh-CN"/>
              </w:rPr>
              <w:t>15</w:t>
            </w:r>
            <w:r>
              <w:rPr>
                <w:rFonts w:hint="default" w:ascii="仿宋" w:hAnsi="仿宋" w:eastAsia="仿宋" w:cs="仿宋"/>
                <w:sz w:val="22"/>
                <w:szCs w:val="22"/>
                <w:u w:val="none"/>
                <w:vertAlign w:val="baseline"/>
                <w:lang w:val="en-US" w:eastAsia="zh-CN"/>
              </w:rPr>
              <w:t>日内，乙方完成供货，并满足到货验收标准，所供货物全新且无瑕疵，规格、数量、质量及配置应满足本合同及附件、投标文件、招标需求文件的整体要求。双方确认到货验收仅为双方就产品外观、数量、规格等所做的程序性验收，不作为甲方对产品满足实质性使用需求的认可。</w:t>
            </w:r>
          </w:p>
        </w:tc>
        <w:tc>
          <w:tcPr>
            <w:tcW w:w="4889" w:type="dxa"/>
            <w:shd w:val="clear" w:color="auto" w:fill="auto"/>
            <w:vAlign w:val="center"/>
          </w:tcPr>
          <w:p w14:paraId="09EACD4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 xml:space="preserve">第一节 </w:t>
            </w:r>
            <w:r>
              <w:rPr>
                <w:rFonts w:hint="default" w:ascii="仿宋" w:hAnsi="仿宋" w:eastAsia="仿宋" w:cs="仿宋"/>
                <w:sz w:val="22"/>
                <w:szCs w:val="22"/>
                <w:u w:val="none"/>
                <w:vertAlign w:val="baseline"/>
                <w:lang w:val="en-US" w:eastAsia="zh-CN"/>
              </w:rPr>
              <w:t>政府采购合同协议书</w:t>
            </w:r>
            <w:r>
              <w:rPr>
                <w:rFonts w:hint="eastAsia" w:ascii="仿宋" w:hAnsi="仿宋" w:eastAsia="仿宋" w:cs="仿宋"/>
                <w:sz w:val="22"/>
                <w:szCs w:val="22"/>
                <w:u w:val="none"/>
                <w:vertAlign w:val="baseline"/>
                <w:lang w:val="en-US" w:eastAsia="zh-CN"/>
              </w:rPr>
              <w:t>-3.合同履行-（4）分期履行要求：乙方应当按照如下约定完成供货、安装调试及培训服务。</w:t>
            </w:r>
          </w:p>
          <w:p w14:paraId="51AB04D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kern w:val="2"/>
                <w:sz w:val="22"/>
                <w:szCs w:val="22"/>
                <w:highlight w:val="none"/>
                <w:lang w:val="en-US" w:eastAsia="zh-CN" w:bidi="ar-SA"/>
              </w:rPr>
            </w:pPr>
            <w:r>
              <w:rPr>
                <w:rFonts w:hint="default" w:ascii="仿宋" w:hAnsi="仿宋" w:eastAsia="仿宋" w:cs="仿宋"/>
                <w:sz w:val="22"/>
                <w:szCs w:val="22"/>
                <w:u w:val="none"/>
                <w:vertAlign w:val="baseline"/>
                <w:lang w:val="en-US" w:eastAsia="zh-CN"/>
              </w:rPr>
              <w:t>1.供货及验收：合同签署后45日内，乙方完成供货，并满足到货验收标准，所供货物全新且无瑕疵，规格、数量、质量及配置应满足本合同及附件、投标文件、招标需求文件的整体要求。双方确认到货验收仅为双方就产品外观、数量、规格等所做的程序性验收，不作为甲方对产品满足实质性使用需求的认可。</w:t>
            </w:r>
          </w:p>
        </w:tc>
      </w:tr>
    </w:tbl>
    <w:p w14:paraId="294FB105">
      <w:pPr>
        <w:rPr>
          <w:rFonts w:hint="default" w:ascii="仿宋" w:hAnsi="仿宋" w:eastAsia="仿宋" w:cs="仿宋"/>
          <w:b w:val="0"/>
          <w:sz w:val="24"/>
          <w:szCs w:val="24"/>
          <w:lang w:val="en-US" w:eastAsia="zh-CN"/>
        </w:rPr>
      </w:pPr>
    </w:p>
    <w:p w14:paraId="14047A76">
      <w:pPr>
        <w:rPr>
          <w:rFonts w:hint="default" w:ascii="仿宋" w:hAnsi="仿宋" w:eastAsia="仿宋" w:cs="仿宋"/>
          <w:b w:val="0"/>
          <w:sz w:val="24"/>
          <w:szCs w:val="24"/>
          <w:lang w:val="en-US" w:eastAsia="zh-CN"/>
        </w:rPr>
      </w:pPr>
    </w:p>
    <w:p w14:paraId="5D882C8D">
      <w:pPr>
        <w:rPr>
          <w:rFonts w:hint="default" w:ascii="仿宋" w:hAnsi="仿宋" w:eastAsia="仿宋" w:cs="仿宋"/>
          <w:b w:val="0"/>
          <w:sz w:val="24"/>
          <w:szCs w:val="24"/>
          <w:lang w:val="en-US" w:eastAsia="zh-CN"/>
        </w:rPr>
      </w:pPr>
    </w:p>
    <w:p w14:paraId="468F76DA">
      <w:pPr>
        <w:rPr>
          <w:rFonts w:hint="default" w:ascii="仿宋" w:hAnsi="仿宋" w:eastAsia="仿宋" w:cs="仿宋"/>
          <w:b w:val="0"/>
          <w:sz w:val="24"/>
          <w:szCs w:val="24"/>
          <w:lang w:val="en-US" w:eastAsia="zh-CN"/>
        </w:rPr>
      </w:pPr>
    </w:p>
    <w:p w14:paraId="33A1B996">
      <w:pPr>
        <w:rPr>
          <w:rFonts w:hint="default" w:ascii="仿宋" w:hAnsi="仿宋" w:eastAsia="仿宋" w:cs="仿宋"/>
          <w:b w:val="0"/>
          <w:sz w:val="24"/>
          <w:szCs w:val="24"/>
          <w:lang w:val="en-US" w:eastAsia="zh-CN"/>
        </w:rPr>
      </w:pPr>
    </w:p>
    <w:p w14:paraId="0E7926D5">
      <w:pPr>
        <w:rPr>
          <w:rFonts w:hint="default" w:ascii="仿宋" w:hAnsi="仿宋" w:eastAsia="仿宋" w:cs="仿宋"/>
          <w:b w:val="0"/>
          <w:sz w:val="24"/>
          <w:szCs w:val="24"/>
          <w:lang w:val="en-US" w:eastAsia="zh-CN"/>
        </w:rPr>
      </w:pPr>
    </w:p>
    <w:p w14:paraId="0E6BB9EB">
      <w:pPr>
        <w:rPr>
          <w:rFonts w:hint="default" w:ascii="仿宋" w:hAnsi="仿宋" w:eastAsia="仿宋" w:cs="仿宋"/>
          <w:b w:val="0"/>
          <w:sz w:val="24"/>
          <w:szCs w:val="24"/>
          <w:lang w:val="en-US" w:eastAsia="zh-CN"/>
        </w:rPr>
      </w:pPr>
    </w:p>
    <w:p w14:paraId="27F8E918">
      <w:pPr>
        <w:rPr>
          <w:rFonts w:hint="default" w:ascii="仿宋" w:hAnsi="仿宋" w:eastAsia="仿宋" w:cs="仿宋"/>
          <w:b w:val="0"/>
          <w:sz w:val="24"/>
          <w:szCs w:val="24"/>
          <w:lang w:val="en-US" w:eastAsia="zh-CN"/>
        </w:rPr>
      </w:pPr>
    </w:p>
    <w:p w14:paraId="10A8B872">
      <w:pPr>
        <w:rPr>
          <w:rFonts w:hint="default" w:ascii="仿宋" w:hAnsi="仿宋" w:eastAsia="仿宋" w:cs="仿宋"/>
          <w:b w:val="0"/>
          <w:sz w:val="24"/>
          <w:szCs w:val="24"/>
          <w:lang w:val="en-US" w:eastAsia="zh-CN"/>
        </w:rPr>
      </w:pPr>
    </w:p>
    <w:p w14:paraId="3C9E61C1">
      <w:pPr>
        <w:rPr>
          <w:rFonts w:hint="default" w:ascii="仿宋" w:hAnsi="仿宋" w:eastAsia="仿宋" w:cs="仿宋"/>
          <w:b w:val="0"/>
          <w:sz w:val="24"/>
          <w:szCs w:val="24"/>
          <w:lang w:val="en-US" w:eastAsia="zh-CN"/>
        </w:rPr>
      </w:pPr>
    </w:p>
    <w:p w14:paraId="32947449">
      <w:pPr>
        <w:rPr>
          <w:rFonts w:hint="default" w:ascii="仿宋" w:hAnsi="仿宋" w:eastAsia="仿宋" w:cs="仿宋"/>
          <w:b w:val="0"/>
          <w:sz w:val="24"/>
          <w:szCs w:val="24"/>
          <w:lang w:val="en-US" w:eastAsia="zh-CN"/>
        </w:rPr>
      </w:pPr>
    </w:p>
    <w:p w14:paraId="0DC87C23">
      <w:pPr>
        <w:pStyle w:val="3"/>
        <w:bidi w:val="0"/>
        <w:rPr>
          <w:rFonts w:hint="eastAsia" w:ascii="仿宋" w:hAnsi="仿宋" w:eastAsia="仿宋" w:cs="仿宋"/>
          <w:lang w:val="en-US" w:eastAsia="zh-CN"/>
        </w:rPr>
      </w:pPr>
      <w:r>
        <w:rPr>
          <w:rFonts w:hint="eastAsia" w:ascii="仿宋" w:hAnsi="仿宋" w:eastAsia="仿宋" w:cs="仿宋"/>
          <w:lang w:val="en-US" w:eastAsia="zh-CN"/>
        </w:rPr>
        <w:t>包号：05包</w:t>
      </w:r>
    </w:p>
    <w:tbl>
      <w:tblPr>
        <w:tblStyle w:val="11"/>
        <w:tblW w:w="10275" w:type="dxa"/>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5025"/>
        <w:gridCol w:w="4600"/>
      </w:tblGrid>
      <w:tr w14:paraId="7D07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50" w:type="dxa"/>
          </w:tcPr>
          <w:p w14:paraId="26CD105E">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序号</w:t>
            </w:r>
          </w:p>
        </w:tc>
        <w:tc>
          <w:tcPr>
            <w:tcW w:w="5025" w:type="dxa"/>
            <w:vAlign w:val="center"/>
          </w:tcPr>
          <w:p w14:paraId="50924207">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变更前</w:t>
            </w:r>
          </w:p>
        </w:tc>
        <w:tc>
          <w:tcPr>
            <w:tcW w:w="4600" w:type="dxa"/>
            <w:vAlign w:val="center"/>
          </w:tcPr>
          <w:p w14:paraId="6C2EA33F">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变更后</w:t>
            </w:r>
          </w:p>
        </w:tc>
      </w:tr>
      <w:tr w14:paraId="7006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top"/>
          </w:tcPr>
          <w:p w14:paraId="64E1841F">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一</w:t>
            </w:r>
          </w:p>
        </w:tc>
        <w:tc>
          <w:tcPr>
            <w:tcW w:w="5025" w:type="dxa"/>
            <w:shd w:val="clear" w:color="auto" w:fill="auto"/>
            <w:vAlign w:val="center"/>
          </w:tcPr>
          <w:p w14:paraId="7AE1B77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黑体" w:hAnsi="黑体" w:eastAsia="黑体" w:cs="黑体"/>
                <w:sz w:val="22"/>
                <w:szCs w:val="22"/>
                <w:u w:val="none"/>
                <w:vertAlign w:val="baseline"/>
                <w:lang w:val="en-US" w:eastAsia="zh-CN"/>
              </w:rPr>
            </w:pPr>
            <w:r>
              <w:rPr>
                <w:rFonts w:hint="eastAsia" w:ascii="黑体" w:hAnsi="黑体" w:eastAsia="黑体" w:cs="黑体"/>
                <w:sz w:val="22"/>
                <w:szCs w:val="22"/>
                <w:u w:val="none"/>
                <w:vertAlign w:val="baseline"/>
                <w:lang w:val="en-US" w:eastAsia="zh-CN"/>
              </w:rPr>
              <w:t>原招标文件：第四章评标程序、评标方法和评标</w:t>
            </w:r>
          </w:p>
          <w:p w14:paraId="092EDBE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黑体" w:hAnsi="黑体" w:eastAsia="黑体" w:cs="黑体"/>
                <w:kern w:val="2"/>
                <w:sz w:val="22"/>
                <w:szCs w:val="22"/>
                <w:u w:val="none"/>
                <w:vertAlign w:val="baseline"/>
                <w:lang w:val="en-US" w:eastAsia="zh-CN" w:bidi="ar-SA"/>
              </w:rPr>
            </w:pPr>
            <w:r>
              <w:rPr>
                <w:rFonts w:hint="eastAsia" w:ascii="黑体" w:hAnsi="黑体" w:eastAsia="黑体" w:cs="黑体"/>
                <w:sz w:val="22"/>
                <w:szCs w:val="22"/>
                <w:u w:val="none"/>
                <w:vertAlign w:val="baseline"/>
                <w:lang w:val="en-US" w:eastAsia="zh-CN"/>
              </w:rPr>
              <w:t>标准</w:t>
            </w:r>
          </w:p>
        </w:tc>
        <w:tc>
          <w:tcPr>
            <w:tcW w:w="4600" w:type="dxa"/>
            <w:shd w:val="clear" w:color="auto" w:fill="auto"/>
            <w:vAlign w:val="center"/>
          </w:tcPr>
          <w:p w14:paraId="4B70A464">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p>
        </w:tc>
      </w:tr>
      <w:tr w14:paraId="680F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26EA7297">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w:t>
            </w:r>
          </w:p>
        </w:tc>
        <w:tc>
          <w:tcPr>
            <w:tcW w:w="5025" w:type="dxa"/>
            <w:shd w:val="clear" w:color="auto" w:fill="auto"/>
            <w:vAlign w:val="top"/>
          </w:tcPr>
          <w:p w14:paraId="0DA1996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187CA15E">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017EB75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0685070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default" w:ascii="仿宋" w:hAnsi="仿宋" w:eastAsia="仿宋" w:cs="仿宋"/>
                <w:sz w:val="22"/>
                <w:szCs w:val="22"/>
                <w:u w:val="single"/>
                <w:vertAlign w:val="baseline"/>
                <w:lang w:val="en-US" w:eastAsia="zh-CN"/>
              </w:rPr>
              <w:t>50</w:t>
            </w:r>
            <w:r>
              <w:rPr>
                <w:rFonts w:hint="default" w:ascii="仿宋" w:hAnsi="仿宋" w:eastAsia="仿宋" w:cs="仿宋"/>
                <w:sz w:val="22"/>
                <w:szCs w:val="22"/>
                <w:u w:val="none"/>
                <w:vertAlign w:val="baseline"/>
                <w:lang w:val="en-US" w:eastAsia="zh-CN"/>
              </w:rPr>
              <w:t>%；</w:t>
            </w:r>
          </w:p>
          <w:p w14:paraId="224EDBDB">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eastAsia"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%的，即投标（响应）报价&lt;采购项目最高限价×</w:t>
            </w:r>
            <w:r>
              <w:rPr>
                <w:rFonts w:hint="eastAsia" w:ascii="仿宋" w:hAnsi="仿宋" w:eastAsia="仿宋" w:cs="仿宋"/>
                <w:sz w:val="22"/>
                <w:szCs w:val="22"/>
                <w:u w:val="single"/>
                <w:vertAlign w:val="baseline"/>
                <w:lang w:val="en-US" w:eastAsia="zh-CN"/>
              </w:rPr>
              <w:t>45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3A6F934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c>
          <w:tcPr>
            <w:tcW w:w="4600" w:type="dxa"/>
            <w:shd w:val="clear" w:color="auto" w:fill="auto"/>
            <w:vAlign w:val="center"/>
          </w:tcPr>
          <w:p w14:paraId="20771D13">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2.2异常低价处理</w:t>
            </w:r>
          </w:p>
          <w:p w14:paraId="035A13F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2.2.1 政府采购评审中出现下列情形之一的，评审委员会应当启动异常低价投标（响应）审查程序：</w:t>
            </w:r>
          </w:p>
          <w:p w14:paraId="7C6C652A">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（1）投标（响应）报价低于全部通过符合性审查供应商投标（响应）报价平均值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%的，即投标（响应）报价&lt;全部通过符合性审查供应商投标（响应）报价平均值×</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24EC7EB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（2）投标（响应）报价低于通过符合性审查的次低报价供应商投标（响应）报价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%的，即投标（响应）报价&lt;通过符合性审查的次低报价供应商投标（响应）报价×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w:t>
            </w:r>
          </w:p>
          <w:p w14:paraId="52C3C41C">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（3）投标（响应）报价低于采购项目最高限价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%的，即投标（响应）报价&lt;采购项目最高限价×</w:t>
            </w:r>
            <w:r>
              <w:rPr>
                <w:rFonts w:hint="eastAsia" w:ascii="仿宋" w:hAnsi="仿宋" w:eastAsia="仿宋" w:cs="仿宋"/>
                <w:sz w:val="22"/>
                <w:szCs w:val="22"/>
                <w:u w:val="single"/>
                <w:vertAlign w:val="baseline"/>
                <w:lang w:val="en-US" w:eastAsia="zh-CN"/>
              </w:rPr>
              <w:t>65</w:t>
            </w:r>
            <w:r>
              <w:rPr>
                <w:rFonts w:hint="default" w:ascii="仿宋" w:hAnsi="仿宋" w:eastAsia="仿宋" w:cs="仿宋"/>
                <w:sz w:val="22"/>
                <w:szCs w:val="22"/>
                <w:u w:val="none"/>
                <w:vertAlign w:val="baseline"/>
                <w:lang w:val="en-US" w:eastAsia="zh-CN"/>
              </w:rPr>
              <w:t>%；未设定最高限价的采购项目，以采购项目预算金额作为最高限价；</w:t>
            </w:r>
          </w:p>
          <w:p w14:paraId="53AF37A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（4）评审委员会基于专业判断，认为供应商报价过低，有可能影响产品质量或者不能诚信履约的其他情形。</w:t>
            </w:r>
          </w:p>
        </w:tc>
      </w:tr>
      <w:tr w14:paraId="23EA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53399BB6">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2</w:t>
            </w:r>
          </w:p>
        </w:tc>
        <w:tc>
          <w:tcPr>
            <w:tcW w:w="5025" w:type="dxa"/>
            <w:shd w:val="clear" w:color="auto" w:fill="auto"/>
            <w:vAlign w:val="center"/>
          </w:tcPr>
          <w:p w14:paraId="2F9D645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517D969F">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：体系认证</w:t>
            </w:r>
          </w:p>
          <w:p w14:paraId="17A185F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：3</w:t>
            </w:r>
          </w:p>
          <w:p w14:paraId="32838B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投标人具有质量管理体系认证证书、环境管理体系认证证书、职业健康安全管理体系认证证书，需提供证明文件的扫描件及全国认证认可信息公共服务平台官网证书信息查询截图，均需加盖投标人公章。上述每提供一个有效证书得1分，满分3分。</w:t>
            </w:r>
          </w:p>
        </w:tc>
        <w:tc>
          <w:tcPr>
            <w:tcW w:w="4600" w:type="dxa"/>
            <w:shd w:val="clear" w:color="auto" w:fill="auto"/>
            <w:vAlign w:val="center"/>
          </w:tcPr>
          <w:p w14:paraId="767DCC6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删除此项评分因素</w:t>
            </w:r>
          </w:p>
        </w:tc>
      </w:tr>
      <w:tr w14:paraId="7EDE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shd w:val="clear" w:color="auto" w:fill="auto"/>
            <w:vAlign w:val="center"/>
          </w:tcPr>
          <w:p w14:paraId="20E24E01">
            <w:pPr>
              <w:pageBreakBefore w:val="0"/>
              <w:widowControl w:val="0"/>
              <w:numPr>
                <w:ilvl w:val="0"/>
                <w:numId w:val="0"/>
              </w:numPr>
              <w:kinsoku/>
              <w:wordWrap/>
              <w:overflowPunct/>
              <w:topLinePunct w:val="0"/>
              <w:autoSpaceDE/>
              <w:autoSpaceDN/>
              <w:bidi w:val="0"/>
              <w:adjustRightInd/>
              <w:snapToGrid/>
              <w:spacing w:line="480" w:lineRule="exact"/>
              <w:ind w:left="0" w:leftChars="0" w:firstLine="0" w:firstLineChars="0"/>
              <w:jc w:val="center"/>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4"/>
                <w:szCs w:val="24"/>
                <w:u w:val="none"/>
                <w:vertAlign w:val="baseline"/>
                <w:lang w:val="en-US" w:eastAsia="zh-CN"/>
              </w:rPr>
              <w:t>3</w:t>
            </w:r>
          </w:p>
        </w:tc>
        <w:tc>
          <w:tcPr>
            <w:tcW w:w="5025" w:type="dxa"/>
            <w:shd w:val="clear" w:color="auto" w:fill="auto"/>
            <w:vAlign w:val="center"/>
          </w:tcPr>
          <w:p w14:paraId="7E7840E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227DC1A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7762B42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10</w:t>
            </w:r>
          </w:p>
          <w:p w14:paraId="0246114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提供投标人近三年内（2023年8月至投标截止时间）以合同签订时间为准，所投产品(如本包为非单一产品采购，则提供本包核心产品)的销售业绩，每提供1个有效业绩得2分，该项最高得 10分。</w:t>
            </w:r>
          </w:p>
          <w:p w14:paraId="6DB2497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c>
          <w:tcPr>
            <w:tcW w:w="4600" w:type="dxa"/>
            <w:shd w:val="clear" w:color="auto" w:fill="auto"/>
            <w:vAlign w:val="center"/>
          </w:tcPr>
          <w:p w14:paraId="6768D41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商务部分</w:t>
            </w:r>
            <w:r>
              <w:rPr>
                <w:rFonts w:hint="eastAsia" w:ascii="仿宋" w:hAnsi="仿宋" w:eastAsia="仿宋" w:cs="仿宋"/>
                <w:sz w:val="24"/>
                <w:szCs w:val="24"/>
                <w:u w:val="none"/>
                <w:vertAlign w:val="baseline"/>
                <w:lang w:val="en-US" w:eastAsia="zh-CN"/>
              </w:rPr>
              <w:t>：</w:t>
            </w:r>
          </w:p>
          <w:p w14:paraId="7EE62B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评分因素分项</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类似项目业绩</w:t>
            </w:r>
            <w:r>
              <w:rPr>
                <w:rFonts w:hint="eastAsia" w:ascii="仿宋" w:hAnsi="仿宋" w:eastAsia="仿宋" w:cs="仿宋"/>
                <w:sz w:val="24"/>
                <w:szCs w:val="24"/>
                <w:u w:val="none"/>
                <w:vertAlign w:val="baseline"/>
                <w:lang w:val="en-US" w:eastAsia="zh-CN"/>
              </w:rPr>
              <w:t xml:space="preserve"> </w:t>
            </w:r>
          </w:p>
          <w:p w14:paraId="5C16760D">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分项评分</w:t>
            </w:r>
            <w:r>
              <w:rPr>
                <w:rFonts w:hint="eastAsia" w:ascii="仿宋" w:hAnsi="仿宋" w:eastAsia="仿宋" w:cs="仿宋"/>
                <w:sz w:val="24"/>
                <w:szCs w:val="24"/>
                <w:u w:val="none"/>
                <w:vertAlign w:val="baseline"/>
                <w:lang w:val="en-US" w:eastAsia="zh-CN"/>
              </w:rPr>
              <w:t>：</w:t>
            </w:r>
            <w:r>
              <w:rPr>
                <w:rFonts w:hint="default" w:ascii="仿宋" w:hAnsi="仿宋" w:eastAsia="仿宋" w:cs="仿宋"/>
                <w:sz w:val="24"/>
                <w:szCs w:val="24"/>
                <w:u w:val="none"/>
                <w:vertAlign w:val="baseline"/>
                <w:lang w:val="en-US" w:eastAsia="zh-CN"/>
              </w:rPr>
              <w:t>1</w:t>
            </w:r>
            <w:r>
              <w:rPr>
                <w:rFonts w:hint="eastAsia" w:ascii="仿宋" w:hAnsi="仿宋" w:eastAsia="仿宋" w:cs="仿宋"/>
                <w:sz w:val="24"/>
                <w:szCs w:val="24"/>
                <w:u w:val="none"/>
                <w:vertAlign w:val="baseline"/>
                <w:lang w:val="en-US" w:eastAsia="zh-CN"/>
              </w:rPr>
              <w:t>3</w:t>
            </w:r>
          </w:p>
          <w:p w14:paraId="6752C67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4"/>
                <w:szCs w:val="24"/>
                <w:u w:val="none"/>
                <w:vertAlign w:val="baseline"/>
                <w:lang w:val="en-US" w:eastAsia="zh-CN"/>
              </w:rPr>
            </w:pPr>
            <w:r>
              <w:rPr>
                <w:rFonts w:hint="default" w:ascii="仿宋" w:hAnsi="仿宋" w:eastAsia="仿宋" w:cs="仿宋"/>
                <w:sz w:val="24"/>
                <w:szCs w:val="24"/>
                <w:u w:val="none"/>
                <w:vertAlign w:val="baseline"/>
                <w:lang w:val="en-US" w:eastAsia="zh-CN"/>
              </w:rPr>
              <w:t>提供投标人近三年内（2023年8月至投标截止时间）以合同签订时间为准，所投产品(如本包为非单一产品采购，则提供本包核心产品)的销售业绩，每提供1个有效业绩得2</w:t>
            </w:r>
            <w:r>
              <w:rPr>
                <w:rFonts w:hint="eastAsia" w:ascii="仿宋" w:hAnsi="仿宋" w:eastAsia="仿宋" w:cs="仿宋"/>
                <w:sz w:val="24"/>
                <w:szCs w:val="24"/>
                <w:u w:val="none"/>
                <w:vertAlign w:val="baseline"/>
                <w:lang w:val="en-US" w:eastAsia="zh-CN"/>
              </w:rPr>
              <w:t>.6</w:t>
            </w:r>
            <w:r>
              <w:rPr>
                <w:rFonts w:hint="default" w:ascii="仿宋" w:hAnsi="仿宋" w:eastAsia="仿宋" w:cs="仿宋"/>
                <w:sz w:val="24"/>
                <w:szCs w:val="24"/>
                <w:u w:val="none"/>
                <w:vertAlign w:val="baseline"/>
                <w:lang w:val="en-US" w:eastAsia="zh-CN"/>
              </w:rPr>
              <w:t>分，该项最高得 1</w:t>
            </w:r>
            <w:r>
              <w:rPr>
                <w:rFonts w:hint="eastAsia" w:ascii="仿宋" w:hAnsi="仿宋" w:eastAsia="仿宋" w:cs="仿宋"/>
                <w:sz w:val="24"/>
                <w:szCs w:val="24"/>
                <w:u w:val="none"/>
                <w:vertAlign w:val="baseline"/>
                <w:lang w:val="en-US" w:eastAsia="zh-CN"/>
              </w:rPr>
              <w:t>3</w:t>
            </w:r>
            <w:r>
              <w:rPr>
                <w:rFonts w:hint="default" w:ascii="仿宋" w:hAnsi="仿宋" w:eastAsia="仿宋" w:cs="仿宋"/>
                <w:sz w:val="24"/>
                <w:szCs w:val="24"/>
                <w:u w:val="none"/>
                <w:vertAlign w:val="baseline"/>
                <w:lang w:val="en-US" w:eastAsia="zh-CN"/>
              </w:rPr>
              <w:t>分。</w:t>
            </w:r>
          </w:p>
          <w:p w14:paraId="29D00E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4"/>
                <w:szCs w:val="24"/>
                <w:u w:val="none"/>
                <w:vertAlign w:val="baseline"/>
                <w:lang w:val="en-US" w:eastAsia="zh-CN"/>
              </w:rPr>
              <w:t>注：需提供合同主要内容页（至少包括首页、产品信息页、签字盖章页）复印件并加盖投标人公章，否则不得分。</w:t>
            </w:r>
          </w:p>
        </w:tc>
      </w:tr>
      <w:tr w14:paraId="1C6E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650" w:type="dxa"/>
          </w:tcPr>
          <w:p w14:paraId="5D3740A0">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黑体" w:hAnsi="黑体" w:eastAsia="黑体" w:cs="黑体"/>
                <w:b w:val="0"/>
                <w:bCs w:val="0"/>
                <w:sz w:val="22"/>
                <w:szCs w:val="22"/>
                <w:u w:val="none"/>
                <w:vertAlign w:val="baseline"/>
                <w:lang w:val="en-US" w:eastAsia="zh-CN"/>
              </w:rPr>
            </w:pPr>
            <w:r>
              <w:rPr>
                <w:rFonts w:hint="eastAsia" w:ascii="黑体" w:hAnsi="黑体" w:eastAsia="黑体" w:cs="黑体"/>
                <w:b w:val="0"/>
                <w:bCs w:val="0"/>
                <w:sz w:val="22"/>
                <w:szCs w:val="22"/>
                <w:u w:val="none"/>
                <w:vertAlign w:val="baseline"/>
                <w:lang w:val="en-US" w:eastAsia="zh-CN"/>
              </w:rPr>
              <w:t>二</w:t>
            </w:r>
          </w:p>
        </w:tc>
        <w:tc>
          <w:tcPr>
            <w:tcW w:w="5025" w:type="dxa"/>
            <w:vAlign w:val="top"/>
          </w:tcPr>
          <w:p w14:paraId="24BB54F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22"/>
                <w:szCs w:val="22"/>
                <w:u w:val="none"/>
                <w:vertAlign w:val="baseline"/>
                <w:lang w:val="en-US" w:eastAsia="zh-CN"/>
              </w:rPr>
            </w:pPr>
            <w:r>
              <w:rPr>
                <w:rFonts w:hint="eastAsia" w:ascii="黑体" w:hAnsi="黑体" w:eastAsia="黑体" w:cs="黑体"/>
                <w:b w:val="0"/>
                <w:bCs w:val="0"/>
                <w:sz w:val="22"/>
                <w:szCs w:val="22"/>
                <w:u w:val="none"/>
                <w:vertAlign w:val="baseline"/>
                <w:lang w:val="en-US" w:eastAsia="zh-CN"/>
              </w:rPr>
              <w:t>原招标文件：第五章“采购需求”中（二）货物技术要求）</w:t>
            </w:r>
          </w:p>
        </w:tc>
        <w:tc>
          <w:tcPr>
            <w:tcW w:w="4600" w:type="dxa"/>
            <w:vAlign w:val="center"/>
          </w:tcPr>
          <w:p w14:paraId="47DDA929">
            <w:pPr>
              <w:pageBreakBefore w:val="0"/>
              <w:widowControl w:val="0"/>
              <w:numPr>
                <w:ilvl w:val="0"/>
                <w:numId w:val="0"/>
              </w:numPr>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22"/>
                <w:szCs w:val="22"/>
                <w:u w:val="none"/>
                <w:vertAlign w:val="baseline"/>
                <w:lang w:val="en-US" w:eastAsia="zh-CN"/>
              </w:rPr>
            </w:pPr>
          </w:p>
        </w:tc>
      </w:tr>
      <w:tr w14:paraId="464D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754A47DC">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1</w:t>
            </w:r>
          </w:p>
        </w:tc>
        <w:tc>
          <w:tcPr>
            <w:tcW w:w="5025" w:type="dxa"/>
            <w:vAlign w:val="center"/>
          </w:tcPr>
          <w:p w14:paraId="2A910920">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2.5 超声C扫描检测系统-（二）执行标准：</w:t>
            </w:r>
          </w:p>
          <w:p w14:paraId="60CBEBA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T/CSEE 0441-2024《焊接接头全矩阵 FMC/TFM 超声检测方法》，电力管道、厚壁焊缝 TFM 成像现场检测工艺执行依据。</w:t>
            </w:r>
          </w:p>
        </w:tc>
        <w:tc>
          <w:tcPr>
            <w:tcW w:w="4600" w:type="dxa"/>
            <w:vAlign w:val="center"/>
          </w:tcPr>
          <w:p w14:paraId="0FCE03B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sz w:val="22"/>
                <w:szCs w:val="22"/>
                <w:lang w:val="en-US" w:eastAsia="zh-CN"/>
              </w:rPr>
            </w:pPr>
            <w:r>
              <w:rPr>
                <w:rFonts w:hint="eastAsia" w:ascii="仿宋" w:hAnsi="仿宋" w:eastAsia="仿宋" w:cs="仿宋"/>
                <w:sz w:val="22"/>
                <w:szCs w:val="22"/>
                <w:u w:val="none"/>
                <w:vertAlign w:val="baseline"/>
                <w:lang w:val="en-US" w:eastAsia="zh-CN"/>
              </w:rPr>
              <w:t>2.5 超声C扫描检测系统-（二）执行标准：</w:t>
            </w:r>
          </w:p>
          <w:p w14:paraId="2E06C6F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sz w:val="22"/>
                <w:szCs w:val="22"/>
                <w:lang w:val="en-US" w:eastAsia="zh-CN"/>
              </w:rPr>
            </w:pPr>
            <w:r>
              <w:rPr>
                <w:rFonts w:hint="eastAsia" w:ascii="仿宋" w:hAnsi="仿宋" w:eastAsia="仿宋"/>
                <w:sz w:val="22"/>
                <w:szCs w:val="22"/>
                <w:lang w:val="en-US" w:eastAsia="zh-CN"/>
              </w:rPr>
              <w:t>T/CSEE 0441-2024《焊接接头全矩阵 FMC/TFM 超声检测方法》，电力管道、厚壁焊缝 TFM 成像现场检测工艺执行依据。</w:t>
            </w:r>
          </w:p>
          <w:p w14:paraId="50C9CAD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仿宋" w:hAnsi="仿宋" w:eastAsia="仿宋"/>
                <w:sz w:val="22"/>
                <w:szCs w:val="22"/>
                <w:lang w:val="en-US" w:eastAsia="zh-CN"/>
              </w:rPr>
            </w:pPr>
            <w:r>
              <w:rPr>
                <w:rFonts w:hint="default" w:ascii="仿宋" w:hAnsi="仿宋" w:eastAsia="仿宋"/>
                <w:sz w:val="22"/>
                <w:szCs w:val="22"/>
                <w:lang w:val="en-US" w:eastAsia="zh-CN"/>
              </w:rPr>
              <w:t>GB/T 44362-2024《焊缝无损检测 超声检测 自动全聚焦技术（TFM）》</w:t>
            </w:r>
          </w:p>
        </w:tc>
      </w:tr>
      <w:tr w14:paraId="604C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continue"/>
          </w:tcPr>
          <w:p w14:paraId="4149F94A">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shd w:val="clear" w:color="auto" w:fill="auto"/>
            <w:vAlign w:val="center"/>
          </w:tcPr>
          <w:p w14:paraId="4DEAD7CC">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2.5 超声C扫描检测系统-（三）参数要求：</w:t>
            </w:r>
          </w:p>
          <w:p w14:paraId="0EAC9DF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kern w:val="2"/>
                <w:sz w:val="22"/>
                <w:szCs w:val="22"/>
                <w:u w:val="none"/>
                <w:vertAlign w:val="baseline"/>
                <w:lang w:val="en-US" w:eastAsia="zh-CN" w:bidi="ar-SA"/>
              </w:rPr>
              <w:t>三、软件功能</w:t>
            </w:r>
          </w:p>
          <w:p w14:paraId="72A7795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kern w:val="2"/>
                <w:sz w:val="22"/>
                <w:szCs w:val="22"/>
                <w:u w:val="none"/>
                <w:vertAlign w:val="baseline"/>
                <w:lang w:val="en-US" w:eastAsia="zh-CN" w:bidi="ar-SA"/>
              </w:rPr>
              <w:t>1.成像模式：A 超、B 扫描、C 扫描、D 扫描、三维 3D 重构成像，深度分层切片 C 扫。</w:t>
            </w:r>
          </w:p>
        </w:tc>
        <w:tc>
          <w:tcPr>
            <w:tcW w:w="4600" w:type="dxa"/>
            <w:vAlign w:val="center"/>
          </w:tcPr>
          <w:p w14:paraId="3B56160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2.5 超声C扫描检测系统-（三）参数要求：</w:t>
            </w:r>
          </w:p>
          <w:p w14:paraId="6D63383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kern w:val="2"/>
                <w:sz w:val="22"/>
                <w:szCs w:val="22"/>
                <w:u w:val="none"/>
                <w:vertAlign w:val="baseline"/>
                <w:lang w:val="en-US" w:eastAsia="zh-CN" w:bidi="ar-SA"/>
              </w:rPr>
              <w:t>三、软件功能</w:t>
            </w:r>
          </w:p>
          <w:p w14:paraId="137F3C38">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sz w:val="22"/>
                <w:szCs w:val="22"/>
                <w:lang w:val="en-US" w:eastAsia="zh-CN"/>
              </w:rPr>
              <w:t>1.成像模式：A超、B扫描、C扫描、三维3D重构成像，深度分层切片C扫。</w:t>
            </w:r>
          </w:p>
        </w:tc>
      </w:tr>
      <w:tr w14:paraId="5D81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dxa"/>
            <w:vMerge w:val="restart"/>
            <w:vAlign w:val="center"/>
          </w:tcPr>
          <w:p w14:paraId="54F38CD8">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w:t>
            </w:r>
          </w:p>
        </w:tc>
        <w:tc>
          <w:tcPr>
            <w:tcW w:w="5025" w:type="dxa"/>
            <w:shd w:val="clear" w:color="auto" w:fill="auto"/>
            <w:vAlign w:val="center"/>
          </w:tcPr>
          <w:p w14:paraId="0682B24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2.8 电磁超声探伤仪-（一）功能要求：</w:t>
            </w:r>
          </w:p>
          <w:p w14:paraId="7609FFA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3.无需耦合，可以检测到最小的缺陷与传感器与管道表面接触点的距离不少于0.5米。</w:t>
            </w:r>
          </w:p>
        </w:tc>
        <w:tc>
          <w:tcPr>
            <w:tcW w:w="4600" w:type="dxa"/>
            <w:shd w:val="clear" w:color="auto" w:fill="auto"/>
            <w:vAlign w:val="center"/>
          </w:tcPr>
          <w:p w14:paraId="046A36C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2.8 电磁超声探伤仪-（一）功能要求：</w:t>
            </w:r>
          </w:p>
          <w:p w14:paraId="3D133C0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3.无需耦合，可以检测到最小的缺陷与传感器与管道表面接触点的距离不少于1mm。</w:t>
            </w:r>
          </w:p>
        </w:tc>
      </w:tr>
      <w:tr w14:paraId="7805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50" w:type="dxa"/>
            <w:vMerge w:val="continue"/>
          </w:tcPr>
          <w:p w14:paraId="2C5640EF">
            <w:pPr>
              <w:pageBreakBefore w:val="0"/>
              <w:widowControl w:val="0"/>
              <w:numPr>
                <w:ilvl w:val="0"/>
                <w:numId w:val="0"/>
              </w:numPr>
              <w:kinsoku/>
              <w:wordWrap/>
              <w:overflowPunct/>
              <w:topLinePunct w:val="0"/>
              <w:autoSpaceDE/>
              <w:autoSpaceDN/>
              <w:bidi w:val="0"/>
              <w:adjustRightInd/>
              <w:snapToGrid/>
              <w:spacing w:line="480" w:lineRule="exact"/>
              <w:ind w:leftChars="0"/>
              <w:textAlignment w:val="auto"/>
              <w:rPr>
                <w:rFonts w:hint="eastAsia" w:ascii="仿宋" w:hAnsi="仿宋" w:eastAsia="仿宋" w:cs="仿宋"/>
                <w:sz w:val="22"/>
                <w:szCs w:val="22"/>
                <w:u w:val="none"/>
                <w:vertAlign w:val="baseline"/>
                <w:lang w:val="en-US" w:eastAsia="zh-CN"/>
              </w:rPr>
            </w:pPr>
          </w:p>
        </w:tc>
        <w:tc>
          <w:tcPr>
            <w:tcW w:w="5025" w:type="dxa"/>
            <w:shd w:val="clear" w:color="auto" w:fill="auto"/>
            <w:vAlign w:val="center"/>
          </w:tcPr>
          <w:p w14:paraId="314CB39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2.8 电磁超声探伤仪-（三）参数要求：</w:t>
            </w:r>
          </w:p>
          <w:p w14:paraId="249BB3A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3.检测频率1.5～6MHz；增益范围30～100dB；温度范围≤450℃</w:t>
            </w:r>
          </w:p>
          <w:p w14:paraId="415E768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eastAsia" w:ascii="仿宋" w:hAnsi="仿宋" w:eastAsia="仿宋" w:cs="仿宋"/>
                <w:sz w:val="22"/>
                <w:szCs w:val="22"/>
                <w:u w:val="none"/>
                <w:vertAlign w:val="baseline"/>
                <w:lang w:val="en-US" w:eastAsia="zh-CN"/>
              </w:rPr>
              <w:t>11.传感器功率设置：UT：220-350V10V步长；EMAT：800-3kV。</w:t>
            </w:r>
          </w:p>
        </w:tc>
        <w:tc>
          <w:tcPr>
            <w:tcW w:w="4600" w:type="dxa"/>
            <w:shd w:val="clear" w:color="auto" w:fill="auto"/>
            <w:vAlign w:val="center"/>
          </w:tcPr>
          <w:p w14:paraId="743EDCA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2"/>
                <w:szCs w:val="22"/>
                <w:highlight w:val="none"/>
              </w:rPr>
            </w:pPr>
            <w:r>
              <w:rPr>
                <w:rFonts w:hint="eastAsia" w:ascii="仿宋" w:hAnsi="仿宋" w:eastAsia="仿宋" w:cs="仿宋"/>
                <w:sz w:val="22"/>
                <w:szCs w:val="22"/>
                <w:u w:val="none"/>
                <w:vertAlign w:val="baseline"/>
                <w:lang w:val="en-US" w:eastAsia="zh-CN"/>
              </w:rPr>
              <w:t>2.8 电磁超声探伤仪-（三）参数要求：</w:t>
            </w:r>
          </w:p>
          <w:p w14:paraId="5DEABEF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3.增益范围</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～100dB；温度范围-20~50℃。</w:t>
            </w:r>
          </w:p>
          <w:p w14:paraId="129DC6D3">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11.传感器电压设置：UT：220-350V10V步长；EMAT：800-3kV。</w:t>
            </w:r>
          </w:p>
        </w:tc>
      </w:tr>
      <w:tr w14:paraId="5D568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50" w:type="dxa"/>
            <w:vAlign w:val="center"/>
          </w:tcPr>
          <w:p w14:paraId="5356DB23">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3</w:t>
            </w:r>
          </w:p>
        </w:tc>
        <w:tc>
          <w:tcPr>
            <w:tcW w:w="5025" w:type="dxa"/>
            <w:vAlign w:val="center"/>
          </w:tcPr>
          <w:p w14:paraId="7E30863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2.9 不去除防腐层管道腐蚀漏磁检测系统-（一）功能要求：</w:t>
            </w:r>
          </w:p>
          <w:p w14:paraId="15FC3F1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2.可覆盖45mm～406mm管径的管道。</w:t>
            </w:r>
          </w:p>
        </w:tc>
        <w:tc>
          <w:tcPr>
            <w:tcW w:w="4600" w:type="dxa"/>
            <w:vAlign w:val="center"/>
          </w:tcPr>
          <w:p w14:paraId="3826217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2.9 不去除防腐层管道腐蚀漏磁检测系统-（一）功能要求：</w:t>
            </w:r>
          </w:p>
          <w:p w14:paraId="1A2DB81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lang w:val="en-US" w:eastAsia="zh-CN"/>
              </w:rPr>
              <w:t>2.可覆盖40mm～406mm管径的管道。</w:t>
            </w:r>
          </w:p>
        </w:tc>
      </w:tr>
      <w:tr w14:paraId="153B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50" w:type="dxa"/>
            <w:vAlign w:val="center"/>
          </w:tcPr>
          <w:p w14:paraId="06F454F6">
            <w:pPr>
              <w:pageBreakBefore w:val="0"/>
              <w:widowControl w:val="0"/>
              <w:numPr>
                <w:ilvl w:val="0"/>
                <w:numId w:val="0"/>
              </w:numPr>
              <w:kinsoku/>
              <w:wordWrap/>
              <w:overflowPunct/>
              <w:topLinePunct w:val="0"/>
              <w:autoSpaceDE/>
              <w:autoSpaceDN/>
              <w:bidi w:val="0"/>
              <w:adjustRightInd/>
              <w:snapToGrid/>
              <w:spacing w:line="480" w:lineRule="exact"/>
              <w:ind w:leftChars="0"/>
              <w:jc w:val="center"/>
              <w:textAlignment w:val="auto"/>
              <w:rPr>
                <w:rFonts w:hint="default"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4</w:t>
            </w:r>
          </w:p>
        </w:tc>
        <w:tc>
          <w:tcPr>
            <w:tcW w:w="5025" w:type="dxa"/>
            <w:vAlign w:val="center"/>
          </w:tcPr>
          <w:p w14:paraId="32E1B4F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2.11 全自动摆锤式冲击试验机-（三）技术参数：</w:t>
            </w:r>
          </w:p>
          <w:p w14:paraId="7AA9C7E7">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default" w:ascii="仿宋" w:hAnsi="仿宋" w:eastAsia="仿宋" w:cs="仿宋"/>
                <w:sz w:val="22"/>
                <w:szCs w:val="22"/>
                <w:u w:val="none"/>
                <w:vertAlign w:val="baseline"/>
                <w:lang w:val="en-US" w:eastAsia="zh-CN"/>
              </w:rPr>
            </w:pPr>
            <w:r>
              <w:rPr>
                <w:rFonts w:hint="default" w:ascii="仿宋" w:hAnsi="仿宋" w:eastAsia="仿宋" w:cs="仿宋"/>
                <w:sz w:val="22"/>
                <w:szCs w:val="22"/>
                <w:u w:val="none"/>
                <w:vertAlign w:val="baseline"/>
                <w:lang w:val="en-US" w:eastAsia="zh-CN"/>
              </w:rPr>
              <w:t>★1.功率≥3kW；角度重现性≤0.0001°</w:t>
            </w:r>
          </w:p>
        </w:tc>
        <w:tc>
          <w:tcPr>
            <w:tcW w:w="4600" w:type="dxa"/>
            <w:shd w:val="clear" w:color="auto" w:fill="auto"/>
            <w:vAlign w:val="center"/>
          </w:tcPr>
          <w:p w14:paraId="7B8C19C2">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jc w:val="both"/>
              <w:textAlignment w:val="auto"/>
              <w:rPr>
                <w:rFonts w:hint="eastAsia" w:ascii="仿宋" w:hAnsi="仿宋" w:eastAsia="仿宋" w:cs="仿宋"/>
                <w:sz w:val="22"/>
                <w:szCs w:val="22"/>
                <w:u w:val="none"/>
                <w:vertAlign w:val="baseline"/>
                <w:lang w:val="en-US" w:eastAsia="zh-CN"/>
              </w:rPr>
            </w:pPr>
            <w:r>
              <w:rPr>
                <w:rFonts w:hint="eastAsia" w:ascii="仿宋" w:hAnsi="仿宋" w:eastAsia="仿宋" w:cs="仿宋"/>
                <w:sz w:val="22"/>
                <w:szCs w:val="22"/>
                <w:u w:val="none"/>
                <w:vertAlign w:val="baseline"/>
                <w:lang w:val="en-US" w:eastAsia="zh-CN"/>
              </w:rPr>
              <w:t>2.11 全自动摆锤式冲击试验机-（三）技术参数：</w:t>
            </w:r>
          </w:p>
          <w:p w14:paraId="5E9313AB">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rPr>
                <w:rFonts w:hint="eastAsia" w:ascii="仿宋" w:hAnsi="仿宋" w:eastAsia="仿宋" w:cs="仿宋"/>
                <w:kern w:val="2"/>
                <w:sz w:val="22"/>
                <w:szCs w:val="22"/>
                <w:u w:val="none"/>
                <w:vertAlign w:val="baseline"/>
                <w:lang w:val="en-US" w:eastAsia="zh-CN" w:bidi="ar-SA"/>
              </w:rPr>
            </w:pPr>
            <w:r>
              <w:rPr>
                <w:rFonts w:hint="default" w:ascii="仿宋" w:hAnsi="仿宋" w:eastAsia="仿宋" w:cs="仿宋"/>
                <w:sz w:val="22"/>
                <w:szCs w:val="22"/>
                <w:u w:val="none"/>
                <w:vertAlign w:val="baseline"/>
                <w:lang w:val="en-US" w:eastAsia="zh-CN"/>
              </w:rPr>
              <w:t>1.功率≥3kW；角度重现性≤0.0001°</w:t>
            </w:r>
          </w:p>
        </w:tc>
      </w:tr>
    </w:tbl>
    <w:p w14:paraId="4DD86BAD">
      <w:pPr>
        <w:rPr>
          <w:rFonts w:hint="default" w:ascii="仿宋" w:hAnsi="仿宋" w:eastAsia="仿宋" w:cs="仿宋"/>
          <w:b w:val="0"/>
          <w:sz w:val="24"/>
          <w:szCs w:val="24"/>
          <w:lang w:val="en-US" w:eastAsia="zh-CN"/>
        </w:rPr>
      </w:pPr>
    </w:p>
    <w:sectPr>
      <w:pgSz w:w="11906" w:h="16838"/>
      <w:pgMar w:top="1134" w:right="1247" w:bottom="113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EF9ED"/>
    <w:multiLevelType w:val="singleLevel"/>
    <w:tmpl w:val="A6AEF9ED"/>
    <w:lvl w:ilvl="0" w:tentative="0">
      <w:start w:val="1"/>
      <w:numFmt w:val="decimal"/>
      <w:lvlText w:val="%1."/>
      <w:lvlJc w:val="left"/>
      <w:pPr>
        <w:ind w:left="425" w:hanging="425"/>
      </w:pPr>
      <w:rPr>
        <w:rFonts w:hint="default"/>
      </w:rPr>
    </w:lvl>
  </w:abstractNum>
  <w:abstractNum w:abstractNumId="1">
    <w:nsid w:val="AF067283"/>
    <w:multiLevelType w:val="singleLevel"/>
    <w:tmpl w:val="AF067283"/>
    <w:lvl w:ilvl="0" w:tentative="0">
      <w:start w:val="1"/>
      <w:numFmt w:val="chineseCounting"/>
      <w:suff w:val="space"/>
      <w:lvlText w:val="第%1节"/>
      <w:lvlJc w:val="left"/>
      <w:rPr>
        <w:rFonts w:hint="eastAsia"/>
      </w:rPr>
    </w:lvl>
  </w:abstractNum>
  <w:abstractNum w:abstractNumId="2">
    <w:nsid w:val="7A01048D"/>
    <w:multiLevelType w:val="singleLevel"/>
    <w:tmpl w:val="7A01048D"/>
    <w:lvl w:ilvl="0" w:tentative="0">
      <w:start w:val="1"/>
      <w:numFmt w:val="decimal"/>
      <w:lvlText w:val="%1."/>
      <w:lvlJc w:val="left"/>
      <w:pPr>
        <w:ind w:left="425" w:hanging="425"/>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6B5"/>
    <w:rsid w:val="00000B04"/>
    <w:rsid w:val="000749E3"/>
    <w:rsid w:val="000F2426"/>
    <w:rsid w:val="00114D09"/>
    <w:rsid w:val="00123069"/>
    <w:rsid w:val="001746DE"/>
    <w:rsid w:val="002338D5"/>
    <w:rsid w:val="003156B5"/>
    <w:rsid w:val="0039337C"/>
    <w:rsid w:val="003F6CFB"/>
    <w:rsid w:val="00434E54"/>
    <w:rsid w:val="004C5539"/>
    <w:rsid w:val="004D4AEB"/>
    <w:rsid w:val="004E229F"/>
    <w:rsid w:val="005E2837"/>
    <w:rsid w:val="006B6279"/>
    <w:rsid w:val="00883A16"/>
    <w:rsid w:val="009A2356"/>
    <w:rsid w:val="00AD3B7D"/>
    <w:rsid w:val="00AD7B16"/>
    <w:rsid w:val="00B340F5"/>
    <w:rsid w:val="00C32BB2"/>
    <w:rsid w:val="00C72B21"/>
    <w:rsid w:val="00CC59E9"/>
    <w:rsid w:val="00DE2C59"/>
    <w:rsid w:val="00F82B35"/>
    <w:rsid w:val="00FD333F"/>
    <w:rsid w:val="01747E56"/>
    <w:rsid w:val="01F64D0F"/>
    <w:rsid w:val="01FE3B56"/>
    <w:rsid w:val="022278B2"/>
    <w:rsid w:val="0250441F"/>
    <w:rsid w:val="02BE1B0E"/>
    <w:rsid w:val="0316680C"/>
    <w:rsid w:val="039B3DC0"/>
    <w:rsid w:val="041047F1"/>
    <w:rsid w:val="04C74EA5"/>
    <w:rsid w:val="0532641E"/>
    <w:rsid w:val="05FD666C"/>
    <w:rsid w:val="07794418"/>
    <w:rsid w:val="07EB560A"/>
    <w:rsid w:val="08585C62"/>
    <w:rsid w:val="08D35DAA"/>
    <w:rsid w:val="08D56868"/>
    <w:rsid w:val="0AA95618"/>
    <w:rsid w:val="0B0264D2"/>
    <w:rsid w:val="0B09531E"/>
    <w:rsid w:val="0B3A2110"/>
    <w:rsid w:val="0B4B60CB"/>
    <w:rsid w:val="0BC157F5"/>
    <w:rsid w:val="0CC60EA7"/>
    <w:rsid w:val="0D2C3CDA"/>
    <w:rsid w:val="0D5177EE"/>
    <w:rsid w:val="0DAB4BFF"/>
    <w:rsid w:val="0EA84A08"/>
    <w:rsid w:val="0F4277E5"/>
    <w:rsid w:val="0F751969"/>
    <w:rsid w:val="0FC53BEC"/>
    <w:rsid w:val="0FDB3705"/>
    <w:rsid w:val="0FE40E5E"/>
    <w:rsid w:val="0FEE5277"/>
    <w:rsid w:val="10E87F18"/>
    <w:rsid w:val="11456666"/>
    <w:rsid w:val="1173636D"/>
    <w:rsid w:val="11F1761D"/>
    <w:rsid w:val="12DE5A77"/>
    <w:rsid w:val="134C7B5E"/>
    <w:rsid w:val="13EC7D20"/>
    <w:rsid w:val="155D0ED5"/>
    <w:rsid w:val="15DB44F0"/>
    <w:rsid w:val="164D719B"/>
    <w:rsid w:val="16A6065A"/>
    <w:rsid w:val="16F969DB"/>
    <w:rsid w:val="17BA0860"/>
    <w:rsid w:val="18FE652B"/>
    <w:rsid w:val="195411A6"/>
    <w:rsid w:val="1A7A0A4C"/>
    <w:rsid w:val="1AFE6CB6"/>
    <w:rsid w:val="1B770817"/>
    <w:rsid w:val="1CA51364"/>
    <w:rsid w:val="1CFF09BD"/>
    <w:rsid w:val="1DCA7323"/>
    <w:rsid w:val="1FC25848"/>
    <w:rsid w:val="20983709"/>
    <w:rsid w:val="21792E05"/>
    <w:rsid w:val="21B07443"/>
    <w:rsid w:val="21F056A0"/>
    <w:rsid w:val="23EB3B50"/>
    <w:rsid w:val="2448014D"/>
    <w:rsid w:val="24583A65"/>
    <w:rsid w:val="249E5F08"/>
    <w:rsid w:val="266B0F78"/>
    <w:rsid w:val="26853386"/>
    <w:rsid w:val="29425E28"/>
    <w:rsid w:val="2A622692"/>
    <w:rsid w:val="2AF41038"/>
    <w:rsid w:val="2BC8461C"/>
    <w:rsid w:val="2FD454A2"/>
    <w:rsid w:val="2FEC4ED7"/>
    <w:rsid w:val="30E738F1"/>
    <w:rsid w:val="31D245A1"/>
    <w:rsid w:val="32C56864"/>
    <w:rsid w:val="33E40B83"/>
    <w:rsid w:val="34252A2A"/>
    <w:rsid w:val="342E1F62"/>
    <w:rsid w:val="3550415A"/>
    <w:rsid w:val="355F7EFA"/>
    <w:rsid w:val="364F7F6E"/>
    <w:rsid w:val="36AC3612"/>
    <w:rsid w:val="36BB3856"/>
    <w:rsid w:val="37461371"/>
    <w:rsid w:val="3936386A"/>
    <w:rsid w:val="3A4F678F"/>
    <w:rsid w:val="3A54556C"/>
    <w:rsid w:val="3AF47336"/>
    <w:rsid w:val="3B0C643A"/>
    <w:rsid w:val="3CF47AC1"/>
    <w:rsid w:val="3D5A3DC8"/>
    <w:rsid w:val="3E7569E0"/>
    <w:rsid w:val="3E902A1D"/>
    <w:rsid w:val="3EAD4BEA"/>
    <w:rsid w:val="401732FD"/>
    <w:rsid w:val="40354679"/>
    <w:rsid w:val="421A3B26"/>
    <w:rsid w:val="42CA554C"/>
    <w:rsid w:val="435968D0"/>
    <w:rsid w:val="438020AF"/>
    <w:rsid w:val="43F839F3"/>
    <w:rsid w:val="44FD1A0B"/>
    <w:rsid w:val="45D264C6"/>
    <w:rsid w:val="45D60FBA"/>
    <w:rsid w:val="469519CD"/>
    <w:rsid w:val="46D5388D"/>
    <w:rsid w:val="46E75FA1"/>
    <w:rsid w:val="497C50C6"/>
    <w:rsid w:val="4A6E0EB3"/>
    <w:rsid w:val="4A7B712C"/>
    <w:rsid w:val="4AF7123C"/>
    <w:rsid w:val="4C1007D3"/>
    <w:rsid w:val="4C5B3555"/>
    <w:rsid w:val="4D531F29"/>
    <w:rsid w:val="4EEE4370"/>
    <w:rsid w:val="4FCB6460"/>
    <w:rsid w:val="505521CD"/>
    <w:rsid w:val="50642410"/>
    <w:rsid w:val="51A72505"/>
    <w:rsid w:val="51AC22C1"/>
    <w:rsid w:val="51EA0E62"/>
    <w:rsid w:val="53A414A2"/>
    <w:rsid w:val="552877B6"/>
    <w:rsid w:val="554B48AE"/>
    <w:rsid w:val="556B729A"/>
    <w:rsid w:val="55801A9A"/>
    <w:rsid w:val="56112E41"/>
    <w:rsid w:val="56242D6E"/>
    <w:rsid w:val="56CB143B"/>
    <w:rsid w:val="56CD0D0F"/>
    <w:rsid w:val="578F1872"/>
    <w:rsid w:val="589046EA"/>
    <w:rsid w:val="5D2D57A7"/>
    <w:rsid w:val="5D746972"/>
    <w:rsid w:val="5D7719D5"/>
    <w:rsid w:val="5D78723B"/>
    <w:rsid w:val="5EA7453C"/>
    <w:rsid w:val="60093FD2"/>
    <w:rsid w:val="609603C4"/>
    <w:rsid w:val="61E710D2"/>
    <w:rsid w:val="625B4ED4"/>
    <w:rsid w:val="64591E34"/>
    <w:rsid w:val="652524CF"/>
    <w:rsid w:val="652E7A0E"/>
    <w:rsid w:val="664D0D85"/>
    <w:rsid w:val="672103EE"/>
    <w:rsid w:val="67686034"/>
    <w:rsid w:val="677F0F92"/>
    <w:rsid w:val="67A120E2"/>
    <w:rsid w:val="69380A4E"/>
    <w:rsid w:val="697A7F9F"/>
    <w:rsid w:val="697B3329"/>
    <w:rsid w:val="6B0B7C00"/>
    <w:rsid w:val="6B1D1834"/>
    <w:rsid w:val="6B8862B9"/>
    <w:rsid w:val="6DA5433C"/>
    <w:rsid w:val="6E623FDB"/>
    <w:rsid w:val="6F763CF1"/>
    <w:rsid w:val="7060279C"/>
    <w:rsid w:val="71614A1E"/>
    <w:rsid w:val="71E13469"/>
    <w:rsid w:val="72A46970"/>
    <w:rsid w:val="75AB270C"/>
    <w:rsid w:val="7798281C"/>
    <w:rsid w:val="77F1313F"/>
    <w:rsid w:val="78085BF3"/>
    <w:rsid w:val="780954C8"/>
    <w:rsid w:val="78C6036F"/>
    <w:rsid w:val="7C1A4147"/>
    <w:rsid w:val="7D051F28"/>
    <w:rsid w:val="7D1B3B82"/>
    <w:rsid w:val="7D676DC7"/>
    <w:rsid w:val="7D847ACA"/>
    <w:rsid w:val="7DC26892"/>
    <w:rsid w:val="7E4C27FB"/>
    <w:rsid w:val="7EE8052D"/>
    <w:rsid w:val="7F272E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8"/>
    <w:qFormat/>
    <w:uiPriority w:val="0"/>
    <w:pPr>
      <w:keepNext/>
      <w:keepLines/>
      <w:spacing w:line="360" w:lineRule="exact"/>
      <w:jc w:val="left"/>
      <w:outlineLvl w:val="1"/>
    </w:pPr>
    <w:rPr>
      <w:rFonts w:ascii="Arial" w:hAnsi="Arial" w:eastAsia="仿宋" w:cs="Arial"/>
      <w:bCs/>
      <w:sz w:val="28"/>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99"/>
    <w:pPr>
      <w:jc w:val="left"/>
    </w:pPr>
  </w:style>
  <w:style w:type="paragraph" w:styleId="5">
    <w:name w:val="Plain Text"/>
    <w:basedOn w:val="1"/>
    <w:link w:val="19"/>
    <w:qFormat/>
    <w:uiPriority w:val="0"/>
    <w:rPr>
      <w:rFonts w:ascii="宋体" w:hAnsi="Courier New" w:eastAsiaTheme="minorEastAsia" w:cstheme="minorBidi"/>
      <w:szCs w:val="22"/>
    </w:rPr>
  </w:style>
  <w:style w:type="paragraph" w:styleId="6">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Hyperlink"/>
    <w:basedOn w:val="12"/>
    <w:semiHidden/>
    <w:unhideWhenUsed/>
    <w:qFormat/>
    <w:uiPriority w:val="99"/>
    <w:rPr>
      <w:color w:val="0000FF"/>
      <w:u w:val="single"/>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标题 1 字符"/>
    <w:basedOn w:val="12"/>
    <w:link w:val="2"/>
    <w:qFormat/>
    <w:uiPriority w:val="9"/>
    <w:rPr>
      <w:rFonts w:ascii="Times New Roman" w:hAnsi="Times New Roman" w:eastAsia="宋体" w:cs="Times New Roman"/>
      <w:b/>
      <w:bCs/>
      <w:kern w:val="44"/>
      <w:sz w:val="44"/>
      <w:szCs w:val="44"/>
    </w:rPr>
  </w:style>
  <w:style w:type="character" w:customStyle="1" w:styleId="18">
    <w:name w:val="标题 2 字符"/>
    <w:basedOn w:val="12"/>
    <w:link w:val="3"/>
    <w:qFormat/>
    <w:uiPriority w:val="0"/>
    <w:rPr>
      <w:rFonts w:ascii="Arial" w:hAnsi="Arial" w:eastAsia="仿宋" w:cs="Arial"/>
      <w:bCs/>
      <w:sz w:val="28"/>
      <w:szCs w:val="32"/>
    </w:rPr>
  </w:style>
  <w:style w:type="character" w:customStyle="1" w:styleId="19">
    <w:name w:val="纯文本 字符"/>
    <w:basedOn w:val="12"/>
    <w:link w:val="5"/>
    <w:qFormat/>
    <w:uiPriority w:val="0"/>
    <w:rPr>
      <w:rFonts w:ascii="宋体" w:hAnsi="Courier New"/>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4</TotalTime>
  <Pages>13</Pages>
  <Words>3410</Words>
  <Characters>3653</Characters>
  <DocSecurity>0</DocSecurity>
  <Lines>3</Lines>
  <Paragraphs>1</Paragraphs>
  <ScaleCrop>false</ScaleCrop>
  <LinksUpToDate>false</LinksUpToDate>
  <CharactersWithSpaces>3727</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2021-02-22T02:33:00Z</cp:lastPrinted>
  <dcterms:created xsi:type="dcterms:W3CDTF">2021-02-22T01:31:00Z</dcterms:created>
  <dcterms:modified xsi:type="dcterms:W3CDTF">2026-09-14T10:50:07Z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eyJoZGlkIjoiYzhkOThiMmNhNjgyNGI2OGI2YzJlZmMwMzZlZmI5NGIiLCJ1c2VySWQiOiIxODI2OTIyNDgwIn0=</vt:lpwstr>
  </property>
  <property fmtid="{D5CDD505-2E9C-101B-9397-08002B2CF9AE}" pid="3" name="KSOProductBuildVer">
    <vt:lpwstr>2052-12.1.0.28505</vt:lpwstr>
  </property>
  <property fmtid="{D5CDD505-2E9C-101B-9397-08002B2CF9AE}" pid="4" name="ICV">
    <vt:lpwstr>16566D102B5F4C3AA9D4854F16C36056_12</vt:lpwstr>
  </property>
</Properties>
</file>