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1"/>
        </w:numPr>
        <w:tabs>
          <w:tab w:val="left" w:pos="1630"/>
        </w:tabs>
        <w:spacing w:line="460" w:lineRule="exact"/>
        <w:ind w:left="8"/>
        <w:jc w:val="center"/>
        <w:rPr>
          <w:rFonts w:hint="eastAsia" w:ascii="宋体" w:hAnsi="宋体" w:eastAsia="宋体" w:cs="宋体"/>
          <w:b/>
          <w:bCs/>
        </w:rPr>
      </w:pPr>
      <w:r>
        <w:rPr>
          <w:rFonts w:hint="eastAsia" w:ascii="宋体" w:hAnsi="宋体" w:eastAsia="宋体" w:cs="宋体"/>
          <w:b/>
          <w:bCs/>
          <w:lang w:eastAsia="zh-CN"/>
        </w:rPr>
        <w:t xml:space="preserve"> </w:t>
      </w:r>
      <w:bookmarkStart w:id="0" w:name="_Toc18074"/>
      <w:r>
        <w:rPr>
          <w:rFonts w:hint="eastAsia" w:ascii="宋体" w:hAnsi="宋体" w:eastAsia="宋体" w:cs="宋体"/>
          <w:b/>
          <w:bCs/>
        </w:rPr>
        <w:t>采购需求</w:t>
      </w:r>
      <w:bookmarkEnd w:id="0"/>
    </w:p>
    <w:p>
      <w:pPr>
        <w:numPr>
          <w:ilvl w:val="0"/>
          <w:numId w:val="0"/>
        </w:numPr>
        <w:rPr>
          <w:rFonts w:hint="eastAsia" w:ascii="宋体" w:hAnsi="宋体" w:eastAsia="宋体" w:cs="宋体"/>
        </w:rPr>
      </w:pPr>
    </w:p>
    <w:p>
      <w:pPr>
        <w:pStyle w:val="3"/>
        <w:spacing w:before="1"/>
        <w:ind w:left="121"/>
        <w:rPr>
          <w:rFonts w:hint="eastAsia" w:ascii="宋体" w:hAnsi="宋体" w:eastAsia="宋体" w:cs="宋体"/>
          <w:b/>
          <w:bCs/>
        </w:rPr>
      </w:pPr>
      <w:r>
        <w:rPr>
          <w:rFonts w:hint="eastAsia" w:ascii="宋体" w:hAnsi="宋体" w:eastAsia="宋体" w:cs="宋体"/>
          <w:b/>
          <w:bCs/>
        </w:rPr>
        <w:t>一、采购标的</w:t>
      </w:r>
    </w:p>
    <w:p>
      <w:pPr>
        <w:pStyle w:val="9"/>
        <w:tabs>
          <w:tab w:val="left" w:pos="470"/>
          <w:tab w:val="left" w:pos="7040"/>
        </w:tabs>
        <w:spacing w:before="154" w:line="338" w:lineRule="auto"/>
        <w:ind w:left="121" w:right="1830" w:firstLine="269" w:firstLineChars="100"/>
        <w:rPr>
          <w:rFonts w:hint="eastAsia" w:ascii="宋体" w:hAnsi="宋体" w:eastAsia="宋体" w:cs="宋体"/>
          <w:sz w:val="24"/>
          <w:lang w:eastAsia="zh-CN"/>
        </w:rPr>
      </w:pPr>
      <w:r>
        <w:rPr>
          <w:rFonts w:hint="eastAsia" w:ascii="宋体" w:hAnsi="宋体" w:eastAsia="宋体" w:cs="宋体"/>
          <w:spacing w:val="-2"/>
          <w:w w:val="114"/>
          <w:sz w:val="24"/>
          <w:szCs w:val="24"/>
          <w:lang w:eastAsia="zh-CN"/>
        </w:rPr>
        <w:t>1.</w:t>
      </w:r>
      <w:r>
        <w:rPr>
          <w:rFonts w:hint="eastAsia" w:ascii="宋体" w:hAnsi="宋体" w:eastAsia="宋体" w:cs="宋体"/>
          <w:sz w:val="24"/>
          <w:lang w:eastAsia="zh-CN"/>
        </w:rPr>
        <w:t>采购标的（货物需求一览表）</w:t>
      </w:r>
    </w:p>
    <w:tbl>
      <w:tblPr>
        <w:tblStyle w:val="7"/>
        <w:tblW w:w="80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pPr>
              <w:pStyle w:val="10"/>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lang w:eastAsia="zh-CN"/>
              </w:rPr>
              <w:t>包号</w:t>
            </w:r>
          </w:p>
        </w:tc>
        <w:tc>
          <w:tcPr>
            <w:tcW w:w="1005" w:type="dxa"/>
            <w:vAlign w:val="center"/>
          </w:tcPr>
          <w:p>
            <w:pPr>
              <w:pStyle w:val="1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品目号</w:t>
            </w:r>
          </w:p>
        </w:tc>
        <w:tc>
          <w:tcPr>
            <w:tcW w:w="3555" w:type="dxa"/>
            <w:vAlign w:val="center"/>
          </w:tcPr>
          <w:p>
            <w:pPr>
              <w:pStyle w:val="10"/>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lang w:val="en-US" w:eastAsia="zh-CN"/>
              </w:rPr>
              <w:t>标的名称</w:t>
            </w:r>
          </w:p>
        </w:tc>
        <w:tc>
          <w:tcPr>
            <w:tcW w:w="1275" w:type="dxa"/>
            <w:vAlign w:val="center"/>
          </w:tcPr>
          <w:p>
            <w:pPr>
              <w:pStyle w:val="10"/>
              <w:jc w:val="center"/>
              <w:rPr>
                <w:rFonts w:hint="eastAsia" w:ascii="宋体" w:hAnsi="宋体" w:eastAsia="宋体" w:cs="宋体"/>
                <w:b/>
                <w:bCs/>
                <w:sz w:val="24"/>
                <w:szCs w:val="24"/>
              </w:rPr>
            </w:pPr>
            <w:r>
              <w:rPr>
                <w:rFonts w:hint="eastAsia" w:ascii="宋体" w:hAnsi="宋体" w:eastAsia="宋体" w:cs="宋体"/>
                <w:b/>
                <w:bCs/>
                <w:sz w:val="24"/>
                <w:szCs w:val="24"/>
              </w:rPr>
              <w:t>数量</w:t>
            </w:r>
          </w:p>
          <w:p>
            <w:pPr>
              <w:pStyle w:val="10"/>
              <w:jc w:val="center"/>
              <w:rPr>
                <w:rFonts w:hint="eastAsia" w:ascii="宋体" w:hAnsi="宋体" w:eastAsia="宋体" w:cs="宋体"/>
                <w:b/>
                <w:bCs/>
                <w:sz w:val="24"/>
                <w:szCs w:val="24"/>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pPr>
              <w:pStyle w:val="10"/>
              <w:jc w:val="center"/>
              <w:rPr>
                <w:rFonts w:hint="eastAsia" w:ascii="宋体" w:hAnsi="宋体" w:eastAsia="宋体" w:cs="宋体"/>
                <w:b/>
                <w:bCs/>
                <w:sz w:val="24"/>
                <w:szCs w:val="24"/>
              </w:rPr>
            </w:pPr>
            <w:r>
              <w:rPr>
                <w:rFonts w:hint="eastAsia" w:ascii="宋体" w:hAnsi="宋体" w:eastAsia="宋体" w:cs="宋体"/>
                <w:b/>
                <w:bCs/>
                <w:spacing w:val="0"/>
                <w:sz w:val="24"/>
                <w:szCs w:val="24"/>
                <w:highlight w:val="none"/>
                <w:lang w:eastAsia="zh-CN"/>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vAlign w:val="center"/>
          </w:tcPr>
          <w:p>
            <w:pPr>
              <w:pStyle w:val="10"/>
              <w:jc w:val="center"/>
              <w:rPr>
                <w:rFonts w:hint="eastAsia" w:ascii="宋体" w:hAnsi="宋体" w:eastAsia="宋体" w:cs="宋体"/>
                <w:sz w:val="24"/>
                <w:szCs w:val="24"/>
                <w:lang w:val="en-US" w:eastAsia="zh-CN"/>
              </w:rPr>
            </w:pPr>
            <w:r>
              <w:rPr>
                <w:rFonts w:hint="eastAsia" w:cs="宋体"/>
                <w:sz w:val="24"/>
                <w:szCs w:val="24"/>
                <w:lang w:val="en-US" w:eastAsia="zh-CN"/>
              </w:rPr>
              <w:t>7</w:t>
            </w: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auto"/>
                <w:kern w:val="0"/>
                <w:sz w:val="24"/>
                <w:szCs w:val="24"/>
                <w:u w:val="none"/>
                <w:lang w:val="en-US" w:eastAsia="zh-CN" w:bidi="ar"/>
              </w:rPr>
              <w:t>7-1</w:t>
            </w:r>
          </w:p>
        </w:tc>
        <w:tc>
          <w:tcPr>
            <w:tcW w:w="3555"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1（中高端）</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6</w:t>
            </w:r>
          </w:p>
        </w:tc>
        <w:tc>
          <w:tcPr>
            <w:tcW w:w="14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pPr>
              <w:pStyle w:val="10"/>
              <w:jc w:val="center"/>
              <w:rPr>
                <w:rFonts w:hint="eastAsia" w:ascii="宋体" w:hAnsi="宋体" w:eastAsia="宋体" w:cs="宋体"/>
                <w:sz w:val="24"/>
                <w:szCs w:val="24"/>
                <w:lang w:val="en-US" w:eastAsia="zh-CN"/>
              </w:rPr>
            </w:pP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auto"/>
                <w:kern w:val="0"/>
                <w:sz w:val="24"/>
                <w:szCs w:val="24"/>
                <w:u w:val="none"/>
                <w:lang w:val="en-US" w:eastAsia="zh-CN" w:bidi="ar"/>
              </w:rPr>
              <w:t>7-2</w:t>
            </w:r>
          </w:p>
        </w:tc>
        <w:tc>
          <w:tcPr>
            <w:tcW w:w="3555"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2（中高端）</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4</w:t>
            </w:r>
          </w:p>
        </w:tc>
        <w:tc>
          <w:tcPr>
            <w:tcW w:w="14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pPr>
              <w:pStyle w:val="10"/>
              <w:jc w:val="center"/>
              <w:rPr>
                <w:rFonts w:hint="eastAsia" w:ascii="宋体" w:hAnsi="宋体" w:eastAsia="宋体" w:cs="宋体"/>
                <w:sz w:val="24"/>
                <w:szCs w:val="24"/>
                <w:lang w:val="en-US" w:eastAsia="zh-CN"/>
              </w:rPr>
            </w:pP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auto"/>
                <w:kern w:val="0"/>
                <w:sz w:val="24"/>
                <w:szCs w:val="24"/>
                <w:u w:val="none"/>
                <w:lang w:val="en-US" w:eastAsia="zh-CN" w:bidi="ar"/>
              </w:rPr>
              <w:t>7-3</w:t>
            </w:r>
          </w:p>
        </w:tc>
        <w:tc>
          <w:tcPr>
            <w:tcW w:w="3555"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3（中高端）</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5</w:t>
            </w:r>
          </w:p>
        </w:tc>
        <w:tc>
          <w:tcPr>
            <w:tcW w:w="14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pPr>
        <w:pStyle w:val="11"/>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b/>
          <w:bCs/>
          <w:spacing w:val="0"/>
          <w:sz w:val="24"/>
          <w:szCs w:val="24"/>
          <w:highlight w:val="yellow"/>
          <w:lang w:eastAsia="zh-CN"/>
        </w:rPr>
      </w:pPr>
    </w:p>
    <w:p>
      <w:pPr>
        <w:pStyle w:val="11"/>
        <w:keepNext w:val="0"/>
        <w:keepLines w:val="0"/>
        <w:pageBreakBefore w:val="0"/>
        <w:widowControl w:val="0"/>
        <w:numPr>
          <w:ilvl w:val="0"/>
          <w:numId w:val="0"/>
        </w:numPr>
        <w:tabs>
          <w:tab w:val="left" w:pos="1197"/>
        </w:tabs>
        <w:kinsoku/>
        <w:wordWrap/>
        <w:overflowPunct/>
        <w:topLinePunct w:val="0"/>
        <w:bidi w:val="0"/>
        <w:snapToGrid/>
        <w:spacing w:before="0" w:line="500"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500"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1.交货时间和地点：</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500" w:lineRule="exact"/>
        <w:ind w:right="233" w:rightChars="0" w:firstLine="480" w:firstLineChars="200"/>
        <w:jc w:val="both"/>
        <w:textAlignment w:val="auto"/>
        <w:outlineLvl w:val="9"/>
        <w:rPr>
          <w:rFonts w:hint="eastAsia" w:ascii="宋体" w:hAnsi="宋体" w:eastAsia="宋体" w:cs="宋体"/>
          <w:b w:val="0"/>
          <w:bCs w:val="0"/>
          <w:color w:val="auto"/>
          <w:sz w:val="24"/>
          <w:szCs w:val="22"/>
          <w:highlight w:val="none"/>
          <w:lang w:val="en-US" w:eastAsia="zh-CN" w:bidi="ar-SA"/>
        </w:rPr>
      </w:pPr>
      <w:bookmarkStart w:id="1" w:name="_Toc24278"/>
      <w:bookmarkStart w:id="2" w:name="_Toc8925"/>
      <w:bookmarkStart w:id="3" w:name="_Toc23382"/>
      <w:bookmarkStart w:id="4" w:name="_Toc14802"/>
      <w:bookmarkStart w:id="5" w:name="_Toc256196753"/>
      <w:r>
        <w:rPr>
          <w:rFonts w:hint="eastAsia" w:ascii="宋体" w:hAnsi="宋体" w:eastAsia="宋体" w:cs="宋体"/>
          <w:b w:val="0"/>
          <w:bCs w:val="0"/>
          <w:color w:val="auto"/>
          <w:sz w:val="24"/>
          <w:szCs w:val="22"/>
          <w:highlight w:val="none"/>
          <w:lang w:val="en-US" w:eastAsia="zh-CN" w:bidi="ar-SA"/>
        </w:rPr>
        <w:t>1.1 交货时间：</w:t>
      </w:r>
      <w:bookmarkEnd w:id="1"/>
      <w:bookmarkEnd w:id="2"/>
      <w:bookmarkEnd w:id="3"/>
      <w:bookmarkEnd w:id="4"/>
      <w:bookmarkEnd w:id="5"/>
      <w:r>
        <w:rPr>
          <w:rFonts w:hint="eastAsia" w:ascii="宋体" w:hAnsi="宋体" w:eastAsia="宋体" w:cs="宋体"/>
          <w:b w:val="0"/>
          <w:bCs w:val="0"/>
          <w:color w:val="auto"/>
          <w:sz w:val="24"/>
          <w:szCs w:val="22"/>
          <w:highlight w:val="none"/>
          <w:lang w:val="en-US" w:eastAsia="zh-CN" w:bidi="ar-SA"/>
        </w:rPr>
        <w:t xml:space="preserve">合同签订之日起60个日历日内。 </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500" w:lineRule="exact"/>
        <w:ind w:right="233" w:rightChars="0" w:firstLine="480" w:firstLineChars="200"/>
        <w:jc w:val="both"/>
        <w:textAlignment w:val="auto"/>
        <w:outlineLvl w:val="9"/>
        <w:rPr>
          <w:rFonts w:hint="eastAsia" w:cs="宋体"/>
          <w:b w:val="0"/>
          <w:bCs w:val="0"/>
          <w:spacing w:val="0"/>
          <w:sz w:val="24"/>
          <w:szCs w:val="24"/>
          <w:lang w:val="en-US" w:eastAsia="zh-CN"/>
        </w:rPr>
      </w:pPr>
      <w:bookmarkStart w:id="6" w:name="_Toc8853"/>
      <w:bookmarkStart w:id="7" w:name="_Toc30936"/>
      <w:bookmarkStart w:id="8" w:name="_Toc19535"/>
      <w:bookmarkStart w:id="9" w:name="_Toc194115436"/>
      <w:bookmarkStart w:id="10" w:name="_Toc6107"/>
      <w:r>
        <w:rPr>
          <w:rFonts w:hint="eastAsia" w:ascii="宋体" w:hAnsi="宋体" w:eastAsia="宋体" w:cs="宋体"/>
          <w:b w:val="0"/>
          <w:bCs w:val="0"/>
          <w:color w:val="auto"/>
          <w:sz w:val="24"/>
          <w:szCs w:val="22"/>
          <w:highlight w:val="none"/>
          <w:lang w:val="en-US" w:eastAsia="zh-CN" w:bidi="ar-SA"/>
        </w:rPr>
        <w:t>1.2 交货地点：</w:t>
      </w:r>
      <w:bookmarkEnd w:id="6"/>
      <w:bookmarkEnd w:id="7"/>
      <w:bookmarkEnd w:id="8"/>
      <w:bookmarkEnd w:id="9"/>
      <w:bookmarkEnd w:id="10"/>
      <w:r>
        <w:rPr>
          <w:rFonts w:hint="eastAsia" w:ascii="宋体" w:hAnsi="宋体" w:eastAsia="宋体" w:cs="宋体"/>
          <w:b w:val="0"/>
          <w:bCs w:val="0"/>
          <w:color w:val="auto"/>
          <w:sz w:val="24"/>
          <w:szCs w:val="22"/>
          <w:highlight w:val="none"/>
          <w:lang w:val="en-US" w:eastAsia="zh-CN" w:bidi="ar-SA"/>
        </w:rPr>
        <w:t>各</w:t>
      </w:r>
      <w:r>
        <w:rPr>
          <w:rFonts w:hint="eastAsia" w:cs="宋体"/>
          <w:b w:val="0"/>
          <w:bCs w:val="0"/>
          <w:spacing w:val="0"/>
          <w:sz w:val="24"/>
          <w:szCs w:val="24"/>
          <w:lang w:val="en-US" w:eastAsia="zh-CN"/>
        </w:rPr>
        <w:t>市属医院指定地点。</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500" w:lineRule="exact"/>
        <w:ind w:right="233" w:rightChars="0"/>
        <w:jc w:val="both"/>
        <w:textAlignment w:val="auto"/>
        <w:outlineLvl w:val="9"/>
        <w:rPr>
          <w:rFonts w:hint="eastAsia" w:ascii="宋体" w:hAnsi="宋体" w:eastAsia="宋体" w:cs="宋体"/>
          <w:spacing w:val="0"/>
          <w:sz w:val="24"/>
          <w:szCs w:val="24"/>
          <w:lang w:eastAsia="zh-CN"/>
        </w:rPr>
      </w:pPr>
      <w:r>
        <w:rPr>
          <w:rFonts w:hint="eastAsia" w:ascii="宋体" w:hAnsi="宋体" w:eastAsia="宋体" w:cs="宋体"/>
          <w:b/>
          <w:bCs/>
          <w:spacing w:val="0"/>
          <w:sz w:val="24"/>
          <w:szCs w:val="24"/>
          <w:lang w:eastAsia="zh-CN"/>
        </w:rPr>
        <w:t>2.付款条件（进度和方式）</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由卖方分别与各市属医院通过签订分合同确定。</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500" w:lineRule="exact"/>
        <w:ind w:right="233" w:rightChars="0"/>
        <w:jc w:val="both"/>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3.包装和运输（如适用，须满足《关于印发〈商品包装政府采购需求标准（试行）〉、〈快递包装政府采购需求标准（试行）〉的通知》（财办库﹝2020﹞123号））</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500" w:lineRule="exact"/>
        <w:ind w:right="233" w:rightChars="0"/>
        <w:jc w:val="both"/>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4.质保</w:t>
      </w:r>
      <w:r>
        <w:rPr>
          <w:rFonts w:hint="eastAsia" w:cs="宋体"/>
          <w:b/>
          <w:bCs/>
          <w:spacing w:val="0"/>
          <w:sz w:val="24"/>
          <w:szCs w:val="24"/>
          <w:lang w:val="en-US" w:eastAsia="zh-CN"/>
        </w:rPr>
        <w:t>服务</w:t>
      </w:r>
      <w:r>
        <w:rPr>
          <w:rFonts w:hint="eastAsia" w:ascii="宋体" w:hAnsi="宋体" w:eastAsia="宋体" w:cs="宋体"/>
          <w:b/>
          <w:bCs/>
          <w:spacing w:val="0"/>
          <w:sz w:val="24"/>
          <w:szCs w:val="24"/>
          <w:lang w:eastAsia="zh-CN"/>
        </w:rPr>
        <w:t>：</w:t>
      </w:r>
    </w:p>
    <w:p>
      <w:pPr>
        <w:keepNext w:val="0"/>
        <w:keepLines w:val="0"/>
        <w:pageBreakBefore w:val="0"/>
        <w:widowControl w:val="0"/>
        <w:kinsoku/>
        <w:wordWrap/>
        <w:overflowPunct/>
        <w:topLinePunct w:val="0"/>
        <w:bidi w:val="0"/>
        <w:snapToGrid/>
        <w:spacing w:line="500" w:lineRule="exact"/>
        <w:ind w:firstLine="480" w:firstLineChars="200"/>
        <w:contextualSpacing/>
        <w:textAlignment w:val="auto"/>
        <w:outlineLvl w:val="9"/>
        <w:rPr>
          <w:rFonts w:hint="eastAsia" w:ascii="宋体" w:hAnsi="宋体" w:eastAsia="宋体" w:cs="宋体"/>
          <w:color w:val="auto"/>
          <w:sz w:val="24"/>
          <w:highlight w:val="none"/>
          <w:lang w:eastAsia="zh-CN"/>
        </w:rPr>
      </w:pPr>
      <w:r>
        <w:rPr>
          <w:rFonts w:hint="eastAsia" w:cs="宋体"/>
          <w:color w:val="auto"/>
          <w:sz w:val="24"/>
          <w:highlight w:val="none"/>
          <w:lang w:val="en-US" w:eastAsia="zh-CN"/>
        </w:rPr>
        <w:t>1.1、</w:t>
      </w:r>
      <w:r>
        <w:rPr>
          <w:rFonts w:hint="eastAsia" w:ascii="宋体" w:hAnsi="宋体" w:eastAsia="宋体" w:cs="宋体"/>
          <w:color w:val="auto"/>
          <w:sz w:val="24"/>
          <w:highlight w:val="none"/>
          <w:lang w:val="en-US" w:eastAsia="zh-CN"/>
        </w:rPr>
        <w:t>提供设备原厂售后服务承诺：承诺整机（含所配探头）6年质保，终身维修服务。负责提供技术服务与技术支持，软件免费升级。</w:t>
      </w:r>
      <w:r>
        <w:rPr>
          <w:rFonts w:hint="eastAsia" w:cs="宋体"/>
          <w:color w:val="auto"/>
          <w:sz w:val="24"/>
          <w:highlight w:val="none"/>
          <w:lang w:val="en-US" w:eastAsia="zh-CN"/>
        </w:rPr>
        <w:t>（投标人和制造商需要同时提供承诺函并加盖单位公章）</w:t>
      </w:r>
    </w:p>
    <w:p>
      <w:pPr>
        <w:keepNext w:val="0"/>
        <w:keepLines w:val="0"/>
        <w:pageBreakBefore w:val="0"/>
        <w:widowControl w:val="0"/>
        <w:kinsoku/>
        <w:wordWrap/>
        <w:overflowPunct/>
        <w:topLinePunct w:val="0"/>
        <w:bidi w:val="0"/>
        <w:snapToGrid/>
        <w:spacing w:line="500" w:lineRule="exact"/>
        <w:ind w:firstLine="480" w:firstLineChars="200"/>
        <w:contextualSpacing/>
        <w:textAlignment w:val="auto"/>
        <w:outlineLvl w:val="9"/>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整机（含所配探头）6年质保指：由原厂工程师安装完成，经医院或第三方检测、验收合格入库之日起的6年之内为质保。在质保内，任何由于机器质量原因或正常使用引起的故障及损坏，除人为因素损坏外，由原厂提供免费维修</w:t>
      </w:r>
      <w:r>
        <w:rPr>
          <w:rFonts w:hint="eastAsia" w:cs="宋体"/>
          <w:color w:val="auto"/>
          <w:sz w:val="24"/>
          <w:highlight w:val="none"/>
          <w:lang w:val="en-US" w:eastAsia="zh-CN"/>
        </w:rPr>
        <w:t>。</w:t>
      </w:r>
    </w:p>
    <w:p>
      <w:pPr>
        <w:pStyle w:val="6"/>
        <w:keepNext w:val="0"/>
        <w:keepLines w:val="0"/>
        <w:pageBreakBefore w:val="0"/>
        <w:numPr>
          <w:ilvl w:val="0"/>
          <w:numId w:val="0"/>
        </w:numPr>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终身维修指：原厂对所售产品提供终身维修服务。如果因为该产品生产年限过长，零配件无法供应，维修方案将与用户协商解决。  </w:t>
      </w:r>
    </w:p>
    <w:p>
      <w:pPr>
        <w:pStyle w:val="6"/>
        <w:keepNext w:val="0"/>
        <w:keepLines w:val="0"/>
        <w:pageBreakBefore w:val="0"/>
        <w:numPr>
          <w:ilvl w:val="0"/>
          <w:numId w:val="0"/>
        </w:numPr>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1.2、供应商还需要提供质保期结束后，维保费用最高不超过合同金额8%的承诺。保修费用应含维保工时费、零配件费用和软件维护、升级费用，服务内容和细则与免费维保期相同。（含所有第三方辅助关联设备）</w:t>
      </w:r>
    </w:p>
    <w:p>
      <w:pPr>
        <w:pStyle w:val="9"/>
        <w:keepNext w:val="0"/>
        <w:keepLines w:val="0"/>
        <w:pageBreakBefore w:val="0"/>
        <w:widowControl w:val="0"/>
        <w:tabs>
          <w:tab w:val="left" w:pos="470"/>
        </w:tabs>
        <w:kinsoku/>
        <w:wordWrap/>
        <w:overflowPunct/>
        <w:topLinePunct w:val="0"/>
        <w:bidi w:val="0"/>
        <w:snapToGrid/>
        <w:spacing w:before="0" w:line="500" w:lineRule="exact"/>
        <w:ind w:left="0" w:leftChars="0" w:right="6766" w:rightChars="0" w:firstLine="0" w:firstLineChars="0"/>
        <w:jc w:val="both"/>
        <w:textAlignment w:val="auto"/>
        <w:outlineLvl w:val="9"/>
        <w:rPr>
          <w:rFonts w:hint="eastAsia" w:ascii="宋体" w:hAnsi="宋体" w:eastAsia="宋体" w:cs="宋体"/>
          <w:sz w:val="24"/>
          <w:lang w:eastAsia="zh-CN"/>
        </w:rPr>
      </w:pPr>
      <w:r>
        <w:rPr>
          <w:rFonts w:hint="eastAsia" w:ascii="宋体" w:hAnsi="宋体" w:eastAsia="宋体" w:cs="宋体"/>
          <w:b/>
          <w:bCs/>
          <w:sz w:val="24"/>
          <w:lang w:eastAsia="zh-CN"/>
        </w:rPr>
        <w:t>三、技术</w:t>
      </w:r>
      <w:r>
        <w:rPr>
          <w:rFonts w:hint="eastAsia" w:cs="宋体"/>
          <w:b/>
          <w:bCs/>
          <w:sz w:val="24"/>
          <w:lang w:val="en-US" w:eastAsia="zh-CN"/>
        </w:rPr>
        <w:t>要</w:t>
      </w:r>
      <w:r>
        <w:rPr>
          <w:rFonts w:hint="eastAsia" w:ascii="宋体" w:hAnsi="宋体" w:eastAsia="宋体" w:cs="宋体"/>
          <w:b/>
          <w:bCs/>
          <w:sz w:val="24"/>
          <w:lang w:eastAsia="zh-CN"/>
        </w:rPr>
        <w:t>求</w:t>
      </w:r>
    </w:p>
    <w:p>
      <w:pPr>
        <w:keepNext w:val="0"/>
        <w:keepLines w:val="0"/>
        <w:pageBreakBefore w:val="0"/>
        <w:widowControl w:val="0"/>
        <w:kinsoku/>
        <w:wordWrap/>
        <w:overflowPunct/>
        <w:topLinePunct w:val="0"/>
        <w:bidi w:val="0"/>
        <w:snapToGrid/>
        <w:spacing w:line="500" w:lineRule="exact"/>
        <w:ind w:firstLine="241" w:firstLineChars="100"/>
        <w:contextualSpacing/>
        <w:textAlignment w:val="auto"/>
        <w:outlineLvl w:val="9"/>
        <w:rPr>
          <w:rFonts w:hint="eastAsia" w:ascii="宋体" w:hAnsi="宋体" w:eastAsia="宋体" w:cs="宋体"/>
          <w:b/>
          <w:bCs/>
          <w:spacing w:val="0"/>
          <w:sz w:val="24"/>
          <w:lang w:eastAsia="zh-CN"/>
        </w:rPr>
      </w:pPr>
      <w:r>
        <w:rPr>
          <w:rFonts w:hint="eastAsia" w:ascii="宋体" w:hAnsi="宋体" w:eastAsia="宋体" w:cs="宋体"/>
          <w:b/>
          <w:bCs/>
          <w:spacing w:val="0"/>
          <w:sz w:val="24"/>
          <w:lang w:eastAsia="zh-CN"/>
        </w:rPr>
        <w:t>1. 基本要求</w:t>
      </w:r>
    </w:p>
    <w:p>
      <w:pPr>
        <w:keepNext w:val="0"/>
        <w:keepLines w:val="0"/>
        <w:pageBreakBefore w:val="0"/>
        <w:widowControl w:val="0"/>
        <w:kinsoku/>
        <w:wordWrap/>
        <w:overflowPunct/>
        <w:topLinePunct w:val="0"/>
        <w:bidi w:val="0"/>
        <w:snapToGrid/>
        <w:spacing w:line="500" w:lineRule="exact"/>
        <w:ind w:firstLine="241" w:firstLineChars="100"/>
        <w:contextualSpacing/>
        <w:textAlignment w:val="auto"/>
        <w:outlineLvl w:val="9"/>
        <w:rPr>
          <w:rFonts w:hint="eastAsia" w:ascii="宋体" w:hAnsi="宋体" w:eastAsia="宋体" w:cs="宋体"/>
          <w:b/>
          <w:bCs/>
          <w:spacing w:val="0"/>
          <w:sz w:val="24"/>
          <w:highlight w:val="none"/>
          <w:lang w:eastAsia="zh-CN"/>
        </w:rPr>
      </w:pPr>
      <w:r>
        <w:rPr>
          <w:rFonts w:hint="eastAsia" w:ascii="宋体" w:hAnsi="宋体" w:eastAsia="宋体" w:cs="宋体"/>
          <w:b/>
          <w:bCs/>
          <w:spacing w:val="0"/>
          <w:sz w:val="24"/>
          <w:lang w:eastAsia="zh-CN"/>
        </w:rPr>
        <w:t>1.1 采购标的需实现的</w:t>
      </w:r>
      <w:r>
        <w:rPr>
          <w:rFonts w:hint="eastAsia" w:ascii="宋体" w:hAnsi="宋体" w:eastAsia="宋体" w:cs="宋体"/>
          <w:b/>
          <w:bCs/>
          <w:spacing w:val="0"/>
          <w:sz w:val="24"/>
          <w:highlight w:val="none"/>
          <w:lang w:eastAsia="zh-CN"/>
        </w:rPr>
        <w:t>功能或者目标</w:t>
      </w:r>
    </w:p>
    <w:p>
      <w:pPr>
        <w:keepNext w:val="0"/>
        <w:keepLines w:val="0"/>
        <w:pageBreakBefore w:val="0"/>
        <w:widowControl w:val="0"/>
        <w:kinsoku/>
        <w:wordWrap/>
        <w:overflowPunct/>
        <w:topLinePunct w:val="0"/>
        <w:bidi w:val="0"/>
        <w:adjustRightInd w:val="0"/>
        <w:snapToGrid/>
        <w:spacing w:line="500" w:lineRule="exact"/>
        <w:ind w:firstLine="480" w:firstLineChars="200"/>
        <w:textAlignment w:val="auto"/>
        <w:outlineLvl w:val="9"/>
        <w:rPr>
          <w:rFonts w:hint="eastAsia" w:ascii="宋体" w:hAnsi="宋体" w:eastAsia="宋体" w:cs="宋体"/>
          <w:spacing w:val="0"/>
          <w:sz w:val="24"/>
          <w:highlight w:val="none"/>
          <w:lang w:eastAsia="zh-CN"/>
        </w:rPr>
      </w:pPr>
      <w:r>
        <w:rPr>
          <w:rFonts w:hint="eastAsia" w:ascii="宋体" w:hAnsi="宋体" w:eastAsia="宋体" w:cs="宋体"/>
          <w:spacing w:val="0"/>
          <w:sz w:val="24"/>
          <w:highlight w:val="none"/>
          <w:lang w:eastAsia="zh-CN"/>
        </w:rPr>
        <w:t>本次招标采购是为</w:t>
      </w:r>
      <w:r>
        <w:rPr>
          <w:rFonts w:hint="eastAsia" w:cs="宋体"/>
          <w:spacing w:val="0"/>
          <w:sz w:val="24"/>
          <w:highlight w:val="none"/>
          <w:lang w:val="en-US" w:eastAsia="zh-CN"/>
        </w:rPr>
        <w:t>北京市属医院配置</w:t>
      </w:r>
      <w:r>
        <w:rPr>
          <w:rFonts w:hint="eastAsia" w:ascii="宋体" w:hAnsi="宋体" w:eastAsia="宋体" w:cs="宋体"/>
          <w:spacing w:val="0"/>
          <w:kern w:val="2"/>
          <w:sz w:val="24"/>
          <w:szCs w:val="24"/>
          <w:highlight w:val="none"/>
          <w:lang w:val="en-US" w:eastAsia="zh-CN"/>
        </w:rPr>
        <w:t>超声诊断仪</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highlight w:val="none"/>
          <w:lang w:eastAsia="zh-CN"/>
        </w:rPr>
        <w:t>，</w:t>
      </w:r>
      <w:r>
        <w:rPr>
          <w:rFonts w:hint="eastAsia" w:ascii="宋体" w:hAnsi="宋体" w:eastAsia="宋体" w:cs="宋体"/>
          <w:color w:val="auto"/>
          <w:sz w:val="24"/>
          <w:highlight w:val="none"/>
        </w:rPr>
        <w:t>供应商应根据招标文件所提出的技术规格和服务要求，综合考虑所投货物的适用性，选择</w:t>
      </w:r>
      <w:r>
        <w:rPr>
          <w:rFonts w:hint="eastAsia" w:ascii="宋体" w:hAnsi="宋体" w:eastAsia="宋体" w:cs="宋体"/>
          <w:color w:val="auto"/>
          <w:sz w:val="24"/>
          <w:highlight w:val="none"/>
          <w:lang w:val="en-US" w:eastAsia="zh-CN"/>
        </w:rPr>
        <w:t>具有</w:t>
      </w:r>
      <w:r>
        <w:rPr>
          <w:rFonts w:hint="eastAsia" w:ascii="宋体" w:hAnsi="宋体" w:eastAsia="宋体" w:cs="宋体"/>
          <w:color w:val="auto"/>
          <w:sz w:val="24"/>
          <w:highlight w:val="none"/>
        </w:rPr>
        <w:t>最佳性能价格比的货物前来投标。供应商应以先进的技术、优良的服务和优惠的价格，充分显示自己的竞争</w:t>
      </w:r>
      <w:bookmarkStart w:id="12" w:name="_GoBack"/>
      <w:bookmarkEnd w:id="12"/>
      <w:r>
        <w:rPr>
          <w:rFonts w:hint="eastAsia" w:ascii="宋体" w:hAnsi="宋体" w:eastAsia="宋体" w:cs="宋体"/>
          <w:color w:val="auto"/>
          <w:sz w:val="24"/>
          <w:highlight w:val="none"/>
        </w:rPr>
        <w:t>实力。</w:t>
      </w:r>
    </w:p>
    <w:p>
      <w:pPr>
        <w:keepNext w:val="0"/>
        <w:keepLines w:val="0"/>
        <w:pageBreakBefore w:val="0"/>
        <w:widowControl w:val="0"/>
        <w:kinsoku/>
        <w:wordWrap/>
        <w:overflowPunct/>
        <w:topLinePunct w:val="0"/>
        <w:bidi w:val="0"/>
        <w:snapToGrid/>
        <w:spacing w:line="500" w:lineRule="exact"/>
        <w:ind w:firstLine="241" w:firstLineChars="100"/>
        <w:contextualSpacing/>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1.2 需执行的国家相关标准、行业标准、地方标准或者其他标准、规范</w:t>
      </w:r>
    </w:p>
    <w:p>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pPr>
        <w:keepNext w:val="0"/>
        <w:keepLines w:val="0"/>
        <w:pageBreakBefore w:val="0"/>
        <w:numPr>
          <w:ilvl w:val="0"/>
          <w:numId w:val="0"/>
        </w:numPr>
        <w:kinsoku/>
        <w:wordWrap/>
        <w:overflowPunct/>
        <w:topLinePunct w:val="0"/>
        <w:bidi w:val="0"/>
        <w:snapToGrid/>
        <w:spacing w:line="500" w:lineRule="exact"/>
        <w:ind w:firstLine="241" w:firstLineChars="1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服务内容及要求/货物技术要求</w:t>
      </w:r>
    </w:p>
    <w:p>
      <w:pPr>
        <w:keepNext w:val="0"/>
        <w:keepLines w:val="0"/>
        <w:pageBreakBefore w:val="0"/>
        <w:widowControl/>
        <w:kinsoku/>
        <w:wordWrap/>
        <w:overflowPunct/>
        <w:topLinePunct w:val="0"/>
        <w:bidi w:val="0"/>
        <w:snapToGrid/>
        <w:spacing w:line="500" w:lineRule="exact"/>
        <w:ind w:left="-1" w:leftChars="0" w:firstLine="241" w:firstLineChars="100"/>
        <w:contextualSpacing/>
        <w:textAlignment w:val="auto"/>
        <w:rPr>
          <w:rFonts w:hint="eastAsia" w:ascii="宋体" w:hAnsi="宋体" w:eastAsia="宋体" w:cs="宋体"/>
          <w:b/>
          <w:bCs/>
          <w:sz w:val="44"/>
          <w:szCs w:val="44"/>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1 </w:t>
      </w:r>
      <w:r>
        <w:rPr>
          <w:rFonts w:hint="eastAsia" w:ascii="宋体" w:hAnsi="宋体" w:eastAsia="宋体" w:cs="宋体"/>
          <w:b/>
          <w:bCs/>
          <w:color w:val="auto"/>
          <w:sz w:val="24"/>
          <w:highlight w:val="none"/>
        </w:rPr>
        <w:t>采购标的需满足的性能、材料、结构、外观、质量、安全、技术规格、物理特性等要求；</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07包 </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品目</w:t>
      </w:r>
      <w:r>
        <w:rPr>
          <w:rFonts w:hint="eastAsia" w:cs="宋体"/>
          <w:b/>
          <w:bCs/>
          <w:sz w:val="24"/>
          <w:szCs w:val="24"/>
          <w:highlight w:val="none"/>
          <w:lang w:val="en-US" w:eastAsia="zh-CN"/>
        </w:rPr>
        <w:t>7-1</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cs="宋体"/>
          <w:sz w:val="24"/>
          <w:szCs w:val="24"/>
          <w:highlight w:val="none"/>
          <w:lang w:eastAsia="zh-CN"/>
        </w:rPr>
        <w:t>标的名称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便携式超声诊断仪1（中高端）</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二、数量：6套</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三、主要用途：用于腹部、泌尿、浅表组织与小器官、外周血管超声诊断和神经、ICU、CCU等介入和治疗的超声引导。</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四、主机系统技术规格及概述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1、便携式彩色多普勒超声系统主机包括：</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1.1、数字化二维灰阶成像和分析单元</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1.2、数字化彩色多普勒成像和分析单元</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1.3、数字化频谱多普勒成像和分析单元。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1.4、全数字式波束形成器：数字式全程动态连续聚焦，数字式可变孔径及动态变迹，A/D≥12bit</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1.5、二维模式、CFM、PWD模式独立角度偏转功能。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1.6、组织谐波成像模式：谐波频率可视可调，可用于所配探头。</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1.7、斑点噪音抑制技术：多级调节,可用于所配探头。可同屏实时双幅对比显示，支持CFM/PDI/PWD，可以在图像后处理时进行级别调整。</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、多角度空间复合成像技术：偏转线≥3条，多级可调，支持所配线阵和凸阵探头。</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、自动调整声波发射速度,匹配不同组织检查。</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、解剖M型：取样线≥3条，可支持360°自由旋转。</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、系统动态范围：≥250dB；调节步长≤2dB。</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、可将既往图像进行同屏对比显示。</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、线阵扩展梯形成像功能。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、宽景成像：支持彩色宽景成像。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、全屏放大显示功能、局部放大功能。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、双幅实时成像功能。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、实时双同步、三同步显示功能。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、自动优化技术。</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、智能血流跟踪：自动随探头移动，取样框自动角度偏转、自动跟踪血流显示，无需手动调节。</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、穿刺针增强技术：可跟随进针角度随时改变声束偏转角度，可双屏实时对比显示增强前后效果，支持所配线阵探头。</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、原始数据处理：数据储存后，可对回放的常规图像进行≥30种参数调节。</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2、测量和分析：包括B型、M型、频谱多普勒、彩色模式测量和分析</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3、图像存储与(电影)回放重现单元：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3.1、具备超声图像存档与病案管理系统</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3.2、具备USB接口，可一键将图象存储至USB存储设备和硬盘。</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4、连通性：</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4.1、具备有线、无线联网功能。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4.2、具备DICOM3.0接口，开放查询、存储、传输、打印和工作列表协议。</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五、技术参数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1、主机通用参数：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1.1、彩色液晶显示屏≥15英寸。</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1.2、液晶触摸显示屏≥5英寸。</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1.3、固态硬盘：≥120GB。</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1.4、探头扩张接口：≥3个。</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2、探头</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2.1、探头频率：</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2.1.1、腹部凸阵探头：1.5～5MHz。</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2.1.2、线阵探头频率：4.0～12.0MHz。</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2.1.3、高频线阵探头频率：6.0～22.0MHz。</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2.2、所配探头均为宽频或变频探头，二维、彩色、多普勒频率独立可调，变频探头基波中心频率≥3种可选，多普勒可选不同频率。</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2.3、振子：凸阵探头有效振子数≥128振子。</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2.4、线阵、凸阵探头具备多角度穿刺引导功能。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3、二维灰阶成像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3.1、凸阵探头扫描速度：≥30帧/s@全视野、18cm深。</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3.2、扫描线：每帧线密度≥500超声线</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3.3、发射声束聚焦：连续聚焦</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3.4、接收方式：多倍信号并行处理</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3.5、回放重现：灰阶图像回放≥3000幅、回放时间≥600s。</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3.6、预设条件：针对不同的检查脏器，预置图像的检查条件。</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▲3.7、增益调节：B/M可独立调节，TGC≥8可调；LGC≥6段可调。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4、频谱多普勒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4.1、成像方式：PWD、CWD。</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4.2、PWD最大测量速度：血流速度≥8m/s。</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4.3、最低测量速度：≤1mm/s(非噪声信号)</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4.4、显示方式：B/PWD、B/CF+PWD</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4.5、电影回放：≥600s</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4.6、零位移动：≥8级</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4.7、具备频谱自动跟踪与测量功能。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5、彩色多普勒：</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5.1、显示模式：速度方差显示、能量显示，速度显示、方差显示。</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5.2、凸阵探头彩色显示帧频：≥8帧/秒@最大角度、18cm深。</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5.3、显示位置调整：线阵扫描感兴趣的图像范围：-20°～+20°</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5.4、显示控制：黑/白与彩色比较、彩色对比</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5.5、具备彩色多普勒能量图，彩色方向性能量图。</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5.6、彩色显示速度：最低平均血流显示速度≤1cm/s（非噪声信号）</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6、超声功率输出调节：B/M、PWD、Color Flow Doppler 输出功率可调。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7、独立报告工作站：</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7.1、CPU：i7或以上性能；内存≥8G；硬盘≥1T；彩色液晶显示器≥24英寸。</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7.2、输出设备：彩色或黑白激光打印机。</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六、主要配置</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1、配置</w:t>
      </w:r>
      <w:r>
        <w:rPr>
          <w:rFonts w:hint="eastAsia" w:ascii="宋体" w:hAnsi="宋体" w:eastAsia="宋体" w:cs="宋体"/>
          <w:sz w:val="24"/>
          <w:szCs w:val="24"/>
          <w:highlight w:val="none"/>
          <w:lang w:val="en-US" w:eastAsia="zh-CN"/>
        </w:rPr>
        <w:t>1</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1.1、主机：4台。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★1.2、探头：≥12把，至少包括腹部凸阵探头4把、线阵探头4把、高频线阵探头4把。</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1.3、台车（含探头扩展接口）：4辆。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1.4、独立报告工作站：4套。</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2、配置</w:t>
      </w:r>
      <w:r>
        <w:rPr>
          <w:rFonts w:hint="eastAsia" w:ascii="宋体" w:hAnsi="宋体" w:eastAsia="宋体" w:cs="宋体"/>
          <w:sz w:val="24"/>
          <w:szCs w:val="24"/>
          <w:highlight w:val="none"/>
          <w:lang w:val="en-US" w:eastAsia="zh-CN"/>
        </w:rPr>
        <w:t>2</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2.1、主机：1台。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★2.2、探头≥2把，至少包含按键线阵探头1把、腹部凸阵探头1把。</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2.3、台车（含探头扩展接口）：1辆。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2.4、独立报告工作站：1套。</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3、配置</w:t>
      </w:r>
      <w:r>
        <w:rPr>
          <w:rFonts w:hint="eastAsia" w:ascii="宋体" w:hAnsi="宋体" w:eastAsia="宋体" w:cs="宋体"/>
          <w:sz w:val="24"/>
          <w:szCs w:val="24"/>
          <w:highlight w:val="none"/>
          <w:lang w:val="en-US" w:eastAsia="zh-CN"/>
        </w:rPr>
        <w:t>3</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3</w:t>
      </w:r>
      <w:r>
        <w:rPr>
          <w:rFonts w:hint="eastAsia" w:ascii="宋体" w:hAnsi="宋体" w:eastAsia="宋体" w:cs="宋体"/>
          <w:sz w:val="24"/>
          <w:szCs w:val="24"/>
          <w:highlight w:val="none"/>
        </w:rPr>
        <w:t>.1、主机：1台。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.2、探头≥2把，至少包含线阵探头1把、腹部凸阵探头1把。</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3</w:t>
      </w:r>
      <w:r>
        <w:rPr>
          <w:rFonts w:hint="eastAsia" w:ascii="宋体" w:hAnsi="宋体" w:eastAsia="宋体" w:cs="宋体"/>
          <w:sz w:val="24"/>
          <w:szCs w:val="24"/>
          <w:highlight w:val="none"/>
        </w:rPr>
        <w:t>.3、台车（含探头扩展接口）：1辆。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3</w:t>
      </w:r>
      <w:r>
        <w:rPr>
          <w:rFonts w:hint="eastAsia" w:ascii="宋体" w:hAnsi="宋体" w:eastAsia="宋体" w:cs="宋体"/>
          <w:sz w:val="24"/>
          <w:szCs w:val="24"/>
          <w:highlight w:val="none"/>
        </w:rPr>
        <w:t>.4、独立报告工作站：1套。</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品目</w:t>
      </w:r>
      <w:r>
        <w:rPr>
          <w:rFonts w:hint="eastAsia" w:cs="宋体"/>
          <w:b/>
          <w:bCs/>
          <w:sz w:val="24"/>
          <w:szCs w:val="24"/>
          <w:highlight w:val="none"/>
          <w:lang w:val="en-US" w:eastAsia="zh-CN"/>
        </w:rPr>
        <w:t>7-2</w:t>
      </w:r>
      <w:r>
        <w:rPr>
          <w:rFonts w:hint="eastAsia" w:ascii="宋体" w:hAnsi="宋体" w:eastAsia="宋体" w:cs="宋体"/>
          <w:b/>
          <w:bCs/>
          <w:sz w:val="24"/>
          <w:szCs w:val="24"/>
          <w:highlight w:val="none"/>
        </w:rPr>
        <w:t xml:space="preserve">  </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cs="宋体"/>
          <w:sz w:val="24"/>
          <w:szCs w:val="24"/>
          <w:highlight w:val="none"/>
          <w:lang w:eastAsia="zh-CN"/>
        </w:rPr>
        <w:t>标的名称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便携式超声诊断仪2（中高端）</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二、数量：4套</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三、主要用途：用于浅表、小器官、腹部、心脏、血管、神经、肌骨软组织、颅脑超声和介入性超声引导。</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四、主机系统技术规格及概述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1、便携式多普勒超声诊断系统主机包括</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1.1、二维灰阶成像和分析单元。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1.2、频谱多普勒成像和分析单元。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1.3、彩色多普勒成像和分析单元。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1.4、数字化声束形成器：数字化全程动态聚焦，数字化可变孔径及动态变迹，A/D≥12 bit</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1.5、发射、接收通道≥1024，多倍信号并行处理。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1.6、角度校正功能。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1.7、微细血流定量成像技术。</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▲1.7.1、可测量ROI区血管指数，定量分析ROI区内血管密度。</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1.7.2、支持实时双幅对比显示、支持频谱定量。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1.8、介入穿刺引导：具备穿刺针增强技术。</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1.9、应变式弹性成像技术：</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1.9.1、可实时双幅对比显示。</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▲1.9.2、具备组织硬度定量分析软件和压力操作提示功能。 </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1.9.3、支持测量映射分析，在组织图测量时，弹性图同步测量。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2、测量和分析：</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2.1、常规测量：具备距离、面积、周长、体积、斜率、角度测量功能。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2.2、可自动检测内中膜厚度。</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3、具备DICOM 3.0 接口，开放查询、存储、传输、打印和工作列表协议。</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五、技术参数：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1、主机通用参数：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1.1、彩色液晶显示屏≥15英寸。</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1.2、扩展探头接口：≥3个。</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1.3、硬盘≥500G。</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1.4、整机重量：≤6.5kg。</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2、探头频率和阵元：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2.1、单晶体腹部电子凸阵探头：1.5～5.0MHz；阵元数：≥190。</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2.2、单晶体经阴道电子凸阵探头：3.0～12.0MHz；阵元数：≥190。</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2.3、电子相控阵探头：1.5～5.0MHz。</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2.4、电子线阵探头：3.0～9.0MHz。</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2.5、高频电子线阵探头：5.0-15.0MHz</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3、二维灰阶成像：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3.1、最大显示或扫描深度：≥38cm。</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3.2、动态范围：可视可调，调节范围：30-200dB。</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3.3、增益调节：B/M/D独立可调，调节范围≥100dB，调节步长≤2dB。</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4、频谱多普勒成像：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4.1、成像模式：脉冲多普勒、高脉冲重复频率、连续多普勒。</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4.2、最大测量速度：</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4.2.1、脉冲多普勒：≥10m/s。</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4.2.2、连续多普勒速度：≥25m/s。</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4.3、最小测量速度: ≤1mm/s（非噪声信号）。</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4.4、支持频谱自动测量。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5、彩色多普勒：</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5.1、成像模式：速度、速度方差、能量、方向能量模式。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5.2、取样容积：0.5-20mm。</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5.3、偏转角度：不少于±20°。</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、独立报告工作站：</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6</w:t>
      </w:r>
      <w:r>
        <w:rPr>
          <w:rFonts w:hint="eastAsia" w:ascii="宋体" w:hAnsi="宋体" w:eastAsia="宋体" w:cs="宋体"/>
          <w:sz w:val="24"/>
          <w:szCs w:val="24"/>
          <w:highlight w:val="none"/>
        </w:rPr>
        <w:t>.1、CPU：i7或以上性能；内存≥8G；硬盘≥1T；彩色液晶显示器≥24英寸。</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6</w:t>
      </w:r>
      <w:r>
        <w:rPr>
          <w:rFonts w:hint="eastAsia" w:ascii="宋体" w:hAnsi="宋体" w:eastAsia="宋体" w:cs="宋体"/>
          <w:sz w:val="24"/>
          <w:szCs w:val="24"/>
          <w:highlight w:val="none"/>
        </w:rPr>
        <w:t>.2、输出设备：彩色或黑白激光打印机。</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六、主要配置：</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1、配置1</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1.1、主机：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★1.2、探头≥4把，至少包含单晶体腹部电子凸阵探头2把、单晶体经阴道电子凸阵探头2把。</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1.3、台车（含探头扩展接口）：2辆。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1.4、独立报告工作站：2套。</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2、配置2：</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2.1、主机：1台。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★2.2、探头≥3把，至少包含单晶体腹部电子凸阵探头1把、电子相控阵探头1把、电子线阵探头1把。</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2.3、台车（含探头扩展接口）：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2.4、独立报告工作站：</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套。</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3、配置3</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3.1、主机：1台。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★3.2、探头：≥3把，至少包括腹部电子凸阵探头1把、电子线阵探头1把、相控阵探头1把。</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3.3、台车：1辆。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品目</w:t>
      </w:r>
      <w:r>
        <w:rPr>
          <w:rFonts w:hint="eastAsia" w:cs="宋体"/>
          <w:b/>
          <w:bCs/>
          <w:sz w:val="24"/>
          <w:szCs w:val="24"/>
          <w:highlight w:val="none"/>
          <w:lang w:val="en-US" w:eastAsia="zh-CN"/>
        </w:rPr>
        <w:t>7-3</w:t>
      </w:r>
    </w:p>
    <w:p>
      <w:pPr>
        <w:keepNext w:val="0"/>
        <w:keepLines w:val="0"/>
        <w:pageBreakBefore w:val="0"/>
        <w:numPr>
          <w:ilvl w:val="0"/>
          <w:numId w:val="2"/>
        </w:numPr>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cs="宋体"/>
          <w:sz w:val="24"/>
          <w:szCs w:val="24"/>
          <w:highlight w:val="none"/>
          <w:lang w:eastAsia="zh-CN"/>
        </w:rPr>
        <w:t>标的名称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便携式超声诊断仪3（中高端）</w:t>
      </w:r>
    </w:p>
    <w:p>
      <w:pPr>
        <w:keepNext w:val="0"/>
        <w:keepLines w:val="0"/>
        <w:pageBreakBefore w:val="0"/>
        <w:numPr>
          <w:ilvl w:val="0"/>
          <w:numId w:val="0"/>
        </w:numPr>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二、数量：5套</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三、主要用途：用于麻醉科、疼痛科、康复科、介入科、外科等超声下可视化引导。</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四、主机系统技术规格及概述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1、彩色多普勒超声诊断仪主机包括：</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1.1、二维灰阶成像和分析单元。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1.2、频谱多普勒成像和分析单元。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1.3、彩色多普勒成像和分析单元。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1.4、谐波成像技术。</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1.5、实时血流三同步显示。</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1.6、实时空间复合成像技术：同时用作发射和接收，≥6线。</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1.7、自适应图像增强技术。</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1.8、一键图像优化技术：可优化B模式、彩色模式、频谱模式的图像。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1.9、血管网格定位。</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1.10、穿刺技术：具备自动穿刺增强技术。线阵探头下，穿刺针增强显影自适应调整，无需手动调节。</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1.11、自动多普勒血管追踪技术：自动寻找血管、自动调节彩色框偏转、彩色框位置、PW取样门位置、PW取样线偏转。</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1.12、具备无线联网功能，手机或平板可调整超声设备成像参数，包括深度、增益、冻结、存图等。</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▲1.13、智能穿刺增强技术：平面内的穿刺针增强角度自适应调整，无需手动选择角度。</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2、测量和分析包括</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2.1、产科测量。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2.2、多普勒血流测量与分析。</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2.3、全自动血流多普勒包络分析。</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2.4、自动膈肌测量：可自动识别并测量膈肌移动度、加速度、吸气时间、膈肌速度。</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3、检查存储和管理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3.1、内置超声工作站，可存储、修改、检索和打印病人资料、报告、图像。图像可存储为PC兼容格式。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3.2、超声图像可静态、动态存储，原始数据回放重现。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、输入/输出端口：网络、HDMI、USB。</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五、技术参数：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1、主机通用参数：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1.1、彩色液晶触摸显示器：≥18英寸，具备多点触控功能。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1.2、硬盘≥240G。</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1.3、主机重量：≤7kg。</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1.4、台车：可电动升降，行程≥20cm。。</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1.5、电池续航时间（实时连续非冻结下扫查）：≥4h。</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1.6、探头接口：≥3个。</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2、探头频率：</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2.1、相控阵探头频率：2.0-4.0MHz。</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2.2、凸阵按键探头：1.5-5.0MHz。</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2.3、线阵按键探头：5-10MHz。</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3、二维灰阶陈翔：</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3.1、相控阵扫描频率：≥60帧/秒@18cm 深度、全视野扫描。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3.2、凸阵探头扫描频率：≥70帧/秒@18cm深、全视野扫描。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3.3、可视可调动态范围≥180。</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3.4、二维灰阶≥256。</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3.5、电影回放：灰阶图像回放≥10000幅。</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3.6、预设条件：针对不同的检查脏器，预置图像的检查条件。</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3.7、TGC≥3段，LGC≥2段。</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3.8、扫描深度：≥29cm。</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4、频谱多普勒成像：</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4.1、成像方式：PWD、CWD、HPRF。</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4.2、最大测量速度：</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4.2.1、PWD：血流速度≥8.5m/s。</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4.2.2、CWD：血流速度≥25m/s。</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4.3、最低测量速度：≤3mm/s。</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4.4、显示方式：B、B/PWD、B/CW、B/HPRF、B/M、B/B、B/CFI/D。</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4.5、电影回放：≥400s。</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4.6、取样宽度：1–30mm，分级可调。</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4.7、零位移动：≥8级。</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5、彩色多普勒成像技术参数：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5.1、显示方式：能量显示、速度显示、方向能量显示。</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5.2、具备二维、彩色、频谱三同步显示功能。</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5.3、相控阵探头彩色显示帧频：≥15帧/s@18cm深、全视野。</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5.4、凸阵探头彩色显示帧频：≥8帧/s@18cm深、全视野。</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5.5、线阵扫描感兴趣图像范围：-30°~+30。</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5.6、显示控制：零位移动≥8级可调，黑白与彩色比较、双实时彩色对比。</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5.7、彩色增强功能：彩色多普勒能量图（CDE）及方向性能量图。</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六、主要配置：</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1、配置1：</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1.1、主机：2台。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★1.2、探头：≥6把，至少包含线阵按键探头2把、凸阵按键探头2把、相控阵探头2把。</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1.3、台车：2辆。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2、配置2：</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2.1、主机：2台。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★2.2、探头：≥6把，至少包括腹部凸阵探头2把、线阵探头2把、相控阵探头2把。</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2.3、台车：2辆。</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3、配置3：</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3.1、主机：1台。</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★3.2、探头：≥3把，至少包含线阵按键探头1把、凸阵按键探头1把、相控阵探头1把。</w:t>
      </w:r>
    </w:p>
    <w:p>
      <w:pPr>
        <w:keepNext w:val="0"/>
        <w:keepLines w:val="0"/>
        <w:pageBreakBefore w:val="0"/>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3.3、台车：1辆。</w:t>
      </w:r>
    </w:p>
    <w:p>
      <w:pPr>
        <w:keepNext w:val="0"/>
        <w:keepLines w:val="0"/>
        <w:pageBreakBefore w:val="0"/>
        <w:numPr>
          <w:ilvl w:val="0"/>
          <w:numId w:val="0"/>
        </w:numPr>
        <w:kinsoku/>
        <w:wordWrap/>
        <w:overflowPunct/>
        <w:topLinePunct w:val="0"/>
        <w:autoSpaceDE w:val="0"/>
        <w:autoSpaceDN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3.4、独立报告工作站：1套。</w:t>
      </w:r>
    </w:p>
    <w:p>
      <w:pPr>
        <w:keepNext w:val="0"/>
        <w:keepLines w:val="0"/>
        <w:pageBreakBefore w:val="0"/>
        <w:widowControl/>
        <w:kinsoku/>
        <w:wordWrap/>
        <w:overflowPunct/>
        <w:topLinePunct w:val="0"/>
        <w:autoSpaceDE w:val="0"/>
        <w:autoSpaceDN w:val="0"/>
        <w:bidi w:val="0"/>
        <w:adjustRightInd/>
        <w:snapToGrid/>
        <w:spacing w:line="500" w:lineRule="exact"/>
        <w:ind w:left="0" w:leftChars="0" w:right="0" w:rightChars="0" w:firstLine="0" w:firstLineChars="0"/>
        <w:contextualSpacing/>
        <w:jc w:val="left"/>
        <w:textAlignment w:val="auto"/>
        <w:outlineLvl w:val="9"/>
        <w:rPr>
          <w:rFonts w:hint="eastAsia" w:ascii="宋体" w:hAnsi="宋体" w:eastAsia="宋体" w:cs="宋体"/>
          <w:b/>
          <w:bCs/>
          <w:i w:val="0"/>
          <w:iCs w:val="0"/>
          <w:color w:val="FF0000"/>
          <w:sz w:val="24"/>
          <w:highlight w:val="none"/>
          <w:lang w:val="en-US" w:eastAsia="zh-CN"/>
        </w:rPr>
      </w:pPr>
    </w:p>
    <w:p>
      <w:pPr>
        <w:keepNext w:val="0"/>
        <w:keepLines w:val="0"/>
        <w:pageBreakBefore w:val="0"/>
        <w:widowControl/>
        <w:kinsoku/>
        <w:wordWrap/>
        <w:overflowPunct/>
        <w:topLinePunct w:val="0"/>
        <w:bidi w:val="0"/>
        <w:snapToGrid/>
        <w:spacing w:line="440" w:lineRule="exact"/>
        <w:ind w:firstLine="241" w:firstLineChars="100"/>
        <w:contextualSpacing/>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lang w:val="en-US" w:eastAsia="zh-CN"/>
        </w:rPr>
        <w:t>2</w:t>
      </w:r>
      <w:r>
        <w:rPr>
          <w:rFonts w:hint="eastAsia" w:ascii="宋体" w:hAnsi="宋体" w:eastAsia="宋体" w:cs="宋体"/>
          <w:b/>
          <w:bCs/>
          <w:i w:val="0"/>
          <w:iCs w:val="0"/>
          <w:color w:val="auto"/>
          <w:sz w:val="24"/>
          <w:highlight w:val="none"/>
        </w:rPr>
        <w:t>.</w:t>
      </w:r>
      <w:r>
        <w:rPr>
          <w:rFonts w:hint="eastAsia" w:ascii="宋体" w:hAnsi="宋体" w:eastAsia="宋体" w:cs="宋体"/>
          <w:b/>
          <w:bCs/>
          <w:i w:val="0"/>
          <w:iCs w:val="0"/>
          <w:color w:val="auto"/>
          <w:sz w:val="24"/>
          <w:highlight w:val="none"/>
          <w:lang w:val="en-US" w:eastAsia="zh-CN"/>
        </w:rPr>
        <w:t xml:space="preserve">2 </w:t>
      </w:r>
      <w:r>
        <w:rPr>
          <w:rFonts w:hint="eastAsia" w:ascii="宋体" w:hAnsi="宋体" w:eastAsia="宋体" w:cs="宋体"/>
          <w:b/>
          <w:bCs/>
          <w:i w:val="0"/>
          <w:iCs w:val="0"/>
          <w:color w:val="auto"/>
          <w:sz w:val="24"/>
          <w:highlight w:val="none"/>
        </w:rPr>
        <w:t>采购标的需满足的服务标准、期限、效率等要求；</w:t>
      </w:r>
    </w:p>
    <w:p>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pPr>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pPr>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pPr>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pPr>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pPr>
        <w:keepNext w:val="0"/>
        <w:keepLines w:val="0"/>
        <w:pageBreakBefore w:val="0"/>
        <w:widowControl w:val="0"/>
        <w:numPr>
          <w:ilvl w:val="0"/>
          <w:numId w:val="0"/>
        </w:numPr>
        <w:kinsoku/>
        <w:wordWrap/>
        <w:overflowPunct/>
        <w:topLinePunct w:val="0"/>
        <w:bidi w:val="0"/>
        <w:adjustRightInd/>
        <w:snapToGrid/>
        <w:spacing w:before="50" w:line="500"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pPr>
        <w:pStyle w:val="6"/>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pPr>
        <w:pStyle w:val="6"/>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pPr>
        <w:pStyle w:val="6"/>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pPr>
        <w:pStyle w:val="6"/>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pPr>
        <w:pStyle w:val="6"/>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pPr>
        <w:pStyle w:val="6"/>
        <w:keepNext w:val="0"/>
        <w:keepLines w:val="0"/>
        <w:pageBreakBefore w:val="0"/>
        <w:widowControl w:val="0"/>
        <w:numPr>
          <w:ilvl w:val="0"/>
          <w:numId w:val="0"/>
        </w:numPr>
        <w:kinsoku/>
        <w:wordWrap/>
        <w:overflowPunct/>
        <w:topLinePunct w:val="0"/>
        <w:bidi w:val="0"/>
        <w:adjustRightInd/>
        <w:snapToGrid/>
        <w:spacing w:before="50" w:line="5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pPr>
        <w:pStyle w:val="6"/>
        <w:keepNext w:val="0"/>
        <w:keepLines w:val="0"/>
        <w:pageBreakBefore w:val="0"/>
        <w:widowControl w:val="0"/>
        <w:numPr>
          <w:ilvl w:val="0"/>
          <w:numId w:val="0"/>
        </w:numPr>
        <w:kinsoku/>
        <w:wordWrap/>
        <w:overflowPunct/>
        <w:topLinePunct w:val="0"/>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50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pPr>
        <w:keepNext w:val="0"/>
        <w:keepLines w:val="0"/>
        <w:pageBreakBefore w:val="0"/>
        <w:widowControl w:val="0"/>
        <w:kinsoku/>
        <w:wordWrap/>
        <w:overflowPunct/>
        <w:topLinePunct w:val="0"/>
        <w:autoSpaceDE/>
        <w:autoSpaceDN/>
        <w:bidi w:val="0"/>
        <w:adjustRightInd/>
        <w:snapToGrid/>
        <w:spacing w:before="20" w:line="500"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1"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pPr>
        <w:keepNext w:val="0"/>
        <w:keepLines w:val="0"/>
        <w:pageBreakBefore w:val="0"/>
        <w:widowControl w:val="0"/>
        <w:numPr>
          <w:ilvl w:val="0"/>
          <w:numId w:val="0"/>
        </w:numPr>
        <w:tabs>
          <w:tab w:val="left" w:pos="900"/>
        </w:tabs>
        <w:kinsoku/>
        <w:wordWrap/>
        <w:overflowPunct/>
        <w:topLinePunct w:val="0"/>
        <w:bidi w:val="0"/>
        <w:adjustRightInd/>
        <w:snapToGrid/>
        <w:spacing w:line="500"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500"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abstractNum w:abstractNumId="1">
    <w:nsid w:val="68AD20E4"/>
    <w:multiLevelType w:val="singleLevel"/>
    <w:tmpl w:val="68AD20E4"/>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4D5F0B84"/>
    <w:rsid w:val="4D5F0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5">
    <w:name w:val="heading 1"/>
    <w:basedOn w:val="1"/>
    <w:next w:val="1"/>
    <w:qFormat/>
    <w:uiPriority w:val="1"/>
    <w:pPr>
      <w:outlineLvl w:val="0"/>
    </w:pPr>
    <w:rPr>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styleId="6">
    <w:name w:val="Plain Text"/>
    <w:basedOn w:val="1"/>
    <w:unhideWhenUsed/>
    <w:qFormat/>
    <w:uiPriority w:val="0"/>
    <w:rPr>
      <w:rFonts w:hAnsi="Courier New" w:cs="Courier New"/>
      <w:sz w:val="24"/>
      <w:szCs w:val="21"/>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2025-11-24T05:38:00Z</dcterms:created>
  <dc:creator>KB106</dc:creator>
  <cp:lastModifiedBy>KB106</cp:lastModifiedBy>
  <dcterms:modified xsi:type="dcterms:W3CDTF">2025-11-24T05:39:50Z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CF24A361262641778815FC20E4026B9E</vt:lpwstr>
  </property>
</Properties>
</file>