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 w:val="left" w:pos="1080"/>
        </w:tabs>
        <w:snapToGrid w:val="0"/>
        <w:spacing w:line="360" w:lineRule="auto"/>
        <w:rPr>
          <w:b w:val="0"/>
          <w:bCs/>
          <w:kern w:val="0"/>
          <w:sz w:val="18"/>
          <w:szCs w:val="18"/>
        </w:rPr>
      </w:pPr>
    </w:p>
    <w:p>
      <w:pPr>
        <w:spacing w:line="360" w:lineRule="auto"/>
        <w:jc w:val="center"/>
        <w:rPr>
          <w:b w:val="0"/>
          <w:bCs/>
          <w:sz w:val="36"/>
          <w:szCs w:val="36"/>
        </w:rPr>
      </w:pPr>
      <w:r>
        <w:rPr>
          <w:rFonts w:hint="eastAsia"/>
          <w:b w:val="0"/>
          <w:bCs/>
          <w:sz w:val="48"/>
          <w:szCs w:val="48"/>
        </w:rPr>
        <w:t>北京市法律援助中心信息化安全保障项目（第一包：信息化基础环境、弱电及自助服务系统）</w:t>
      </w:r>
    </w:p>
    <w:p>
      <w:pPr>
        <w:autoSpaceDE w:val="0"/>
        <w:autoSpaceDN w:val="0"/>
        <w:adjustRightInd w:val="0"/>
        <w:ind w:firstLine="803"/>
        <w:jc w:val="left"/>
        <w:rPr>
          <w:rFonts w:ascii="宋体" w:cs="宋体"/>
          <w:b w:val="0"/>
          <w:bCs/>
          <w:color w:val="000000"/>
          <w:sz w:val="40"/>
          <w:szCs w:val="40"/>
        </w:rPr>
      </w:pPr>
    </w:p>
    <w:p>
      <w:pPr>
        <w:spacing w:line="360" w:lineRule="auto"/>
        <w:jc w:val="center"/>
        <w:rPr>
          <w:b w:val="0"/>
          <w:bCs/>
        </w:rPr>
      </w:pPr>
      <w:r>
        <w:rPr>
          <w:rFonts w:hint="eastAsia"/>
          <w:b w:val="0"/>
          <w:bCs/>
          <w:sz w:val="40"/>
          <w:szCs w:val="40"/>
        </w:rPr>
        <w:t>项目</w:t>
      </w:r>
      <w:r>
        <w:rPr>
          <w:b w:val="0"/>
          <w:bCs/>
          <w:sz w:val="40"/>
          <w:szCs w:val="40"/>
        </w:rPr>
        <w:t>合同</w:t>
      </w:r>
    </w:p>
    <w:p>
      <w:pPr>
        <w:autoSpaceDE w:val="0"/>
        <w:autoSpaceDN w:val="0"/>
        <w:adjustRightInd w:val="0"/>
        <w:spacing w:line="360" w:lineRule="auto"/>
        <w:ind w:firstLine="480"/>
        <w:jc w:val="left"/>
        <w:rPr>
          <w:b w:val="0"/>
          <w:bCs/>
          <w:color w:val="000000"/>
          <w:kern w:val="0"/>
          <w:sz w:val="24"/>
        </w:rPr>
      </w:pPr>
    </w:p>
    <w:p>
      <w:pPr>
        <w:autoSpaceDE w:val="0"/>
        <w:autoSpaceDN w:val="0"/>
        <w:adjustRightInd w:val="0"/>
        <w:spacing w:line="360" w:lineRule="auto"/>
        <w:ind w:firstLine="480"/>
        <w:jc w:val="left"/>
        <w:rPr>
          <w:b w:val="0"/>
          <w:bCs/>
          <w:color w:val="000000"/>
          <w:kern w:val="0"/>
          <w:sz w:val="24"/>
        </w:rPr>
      </w:pPr>
    </w:p>
    <w:p>
      <w:pPr>
        <w:autoSpaceDE w:val="0"/>
        <w:autoSpaceDN w:val="0"/>
        <w:adjustRightInd w:val="0"/>
        <w:spacing w:line="360" w:lineRule="auto"/>
        <w:ind w:firstLine="480"/>
        <w:jc w:val="left"/>
        <w:rPr>
          <w:b w:val="0"/>
          <w:bCs/>
          <w:color w:val="000000"/>
          <w:kern w:val="0"/>
          <w:sz w:val="24"/>
        </w:rPr>
      </w:pPr>
    </w:p>
    <w:p>
      <w:pPr>
        <w:autoSpaceDE w:val="0"/>
        <w:autoSpaceDN w:val="0"/>
        <w:adjustRightInd w:val="0"/>
        <w:spacing w:line="360" w:lineRule="auto"/>
        <w:ind w:firstLine="480"/>
        <w:jc w:val="left"/>
        <w:rPr>
          <w:b w:val="0"/>
          <w:bCs/>
          <w:color w:val="000000"/>
          <w:kern w:val="0"/>
          <w:sz w:val="24"/>
        </w:rPr>
      </w:pPr>
    </w:p>
    <w:p>
      <w:pPr>
        <w:autoSpaceDE w:val="0"/>
        <w:autoSpaceDN w:val="0"/>
        <w:adjustRightInd w:val="0"/>
        <w:spacing w:line="360" w:lineRule="auto"/>
        <w:ind w:firstLine="480"/>
        <w:rPr>
          <w:b w:val="0"/>
          <w:bCs/>
          <w:color w:val="000000"/>
          <w:kern w:val="0"/>
          <w:sz w:val="24"/>
          <w:u w:val="single"/>
        </w:rPr>
      </w:pPr>
    </w:p>
    <w:p>
      <w:pPr>
        <w:spacing w:line="360" w:lineRule="auto"/>
        <w:rPr>
          <w:b w:val="0"/>
          <w:bCs/>
          <w:sz w:val="32"/>
          <w:szCs w:val="32"/>
        </w:rPr>
      </w:pPr>
    </w:p>
    <w:p>
      <w:pPr>
        <w:spacing w:line="360" w:lineRule="auto"/>
        <w:rPr>
          <w:b w:val="0"/>
          <w:bCs/>
          <w:sz w:val="32"/>
          <w:szCs w:val="32"/>
        </w:rPr>
      </w:pPr>
    </w:p>
    <w:p>
      <w:pPr>
        <w:spacing w:line="360" w:lineRule="auto"/>
        <w:rPr>
          <w:b w:val="0"/>
          <w:bCs/>
          <w:sz w:val="32"/>
          <w:szCs w:val="32"/>
        </w:rPr>
      </w:pPr>
    </w:p>
    <w:p>
      <w:pPr>
        <w:spacing w:line="360" w:lineRule="auto"/>
        <w:rPr>
          <w:b w:val="0"/>
          <w:bCs/>
          <w:sz w:val="32"/>
          <w:szCs w:val="32"/>
        </w:rPr>
      </w:pPr>
    </w:p>
    <w:p>
      <w:pPr>
        <w:pStyle w:val="2"/>
        <w:rPr>
          <w:b w:val="0"/>
          <w:bCs/>
          <w:sz w:val="32"/>
          <w:szCs w:val="32"/>
        </w:rPr>
      </w:pPr>
    </w:p>
    <w:p>
      <w:pPr>
        <w:pStyle w:val="2"/>
        <w:rPr>
          <w:b w:val="0"/>
          <w:bCs/>
          <w:sz w:val="32"/>
          <w:szCs w:val="32"/>
        </w:rPr>
      </w:pPr>
    </w:p>
    <w:p>
      <w:pPr>
        <w:pStyle w:val="2"/>
        <w:rPr>
          <w:b w:val="0"/>
          <w:bCs/>
          <w:sz w:val="32"/>
          <w:szCs w:val="32"/>
        </w:rPr>
      </w:pPr>
    </w:p>
    <w:p>
      <w:pPr>
        <w:spacing w:line="360" w:lineRule="auto"/>
        <w:rPr>
          <w:b w:val="0"/>
          <w:bCs/>
          <w:sz w:val="32"/>
          <w:szCs w:val="32"/>
        </w:rPr>
      </w:pPr>
      <w:r>
        <w:rPr>
          <w:b w:val="0"/>
          <w:bCs/>
          <w:sz w:val="32"/>
          <w:szCs w:val="32"/>
        </w:rPr>
        <w:t>甲方：</w:t>
      </w:r>
    </w:p>
    <w:p>
      <w:pPr>
        <w:spacing w:line="360" w:lineRule="auto"/>
        <w:rPr>
          <w:b w:val="0"/>
          <w:bCs/>
          <w:sz w:val="32"/>
          <w:szCs w:val="32"/>
        </w:rPr>
      </w:pPr>
      <w:r>
        <w:rPr>
          <w:b w:val="0"/>
          <w:bCs/>
          <w:sz w:val="32"/>
          <w:szCs w:val="32"/>
        </w:rPr>
        <w:t>乙方：</w:t>
      </w:r>
    </w:p>
    <w:p>
      <w:pPr>
        <w:spacing w:line="360" w:lineRule="auto"/>
        <w:rPr>
          <w:b w:val="0"/>
          <w:bCs/>
          <w:sz w:val="32"/>
          <w:szCs w:val="32"/>
        </w:rPr>
      </w:pPr>
      <w:r>
        <w:rPr>
          <w:b w:val="0"/>
          <w:bCs/>
          <w:sz w:val="32"/>
          <w:szCs w:val="32"/>
        </w:rPr>
        <w:t>日期：</w:t>
      </w:r>
    </w:p>
    <w:p>
      <w:pPr>
        <w:pageBreakBefore w:val="0"/>
        <w:widowControl w:val="0"/>
        <w:kinsoku/>
        <w:wordWrap/>
        <w:overflowPunct/>
        <w:topLinePunct w:val="0"/>
        <w:bidi w:val="0"/>
        <w:adjustRightInd w:val="0"/>
        <w:snapToGrid w:val="0"/>
        <w:spacing w:line="240" w:lineRule="auto"/>
        <w:rPr>
          <w:rFonts w:hint="eastAsia" w:ascii="宋体" w:hAnsi="宋体" w:cs="宋体"/>
          <w:b w:val="0"/>
          <w:bCs/>
          <w:caps/>
          <w:sz w:val="24"/>
        </w:rPr>
      </w:pPr>
    </w:p>
    <w:p>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宋体" w:hAnsi="宋体" w:cs="宋体"/>
          <w:b w:val="0"/>
          <w:bCs/>
          <w:caps/>
          <w:sz w:val="24"/>
          <w:u w:val="single"/>
        </w:rPr>
      </w:pPr>
      <w:r>
        <w:rPr>
          <w:rFonts w:hint="eastAsia" w:ascii="宋体" w:hAnsi="宋体" w:cs="宋体"/>
          <w:b w:val="0"/>
          <w:bCs/>
          <w:caps/>
          <w:sz w:val="24"/>
        </w:rPr>
        <w:t xml:space="preserve">北京市法律援助中心 </w:t>
      </w:r>
      <w:r>
        <w:rPr>
          <w:rFonts w:hint="eastAsia" w:ascii="宋体" w:hAnsi="宋体" w:cs="宋体"/>
          <w:b w:val="0"/>
          <w:bCs/>
          <w:caps/>
          <w:sz w:val="24"/>
          <w:u w:val="single"/>
        </w:rPr>
        <w:t>北京市法律援助中心信息化安全保障项目（第一包：信息化基础环境、弱电及自助服务系统）</w:t>
      </w:r>
      <w:r>
        <w:rPr>
          <w:rFonts w:hint="eastAsia" w:ascii="宋体" w:hAnsi="宋体" w:cs="宋体"/>
          <w:b w:val="0"/>
          <w:bCs/>
          <w:caps/>
          <w:sz w:val="24"/>
        </w:rPr>
        <w:t>（项目名称）经</w:t>
      </w:r>
      <w:r>
        <w:rPr>
          <w:rFonts w:hint="eastAsia" w:ascii="宋体" w:hAnsi="宋体" w:cs="宋体"/>
          <w:b w:val="0"/>
          <w:bCs/>
          <w:caps/>
          <w:sz w:val="24"/>
          <w:u w:val="single"/>
        </w:rPr>
        <w:t xml:space="preserve">                 </w:t>
      </w:r>
      <w:r>
        <w:rPr>
          <w:rFonts w:hint="eastAsia" w:ascii="宋体" w:hAnsi="宋体" w:cs="宋体"/>
          <w:b w:val="0"/>
          <w:bCs/>
          <w:caps/>
          <w:sz w:val="24"/>
        </w:rPr>
        <w:t>（招标机构）以</w:t>
      </w:r>
      <w:r>
        <w:rPr>
          <w:rFonts w:hint="eastAsia" w:ascii="宋体" w:hAnsi="宋体" w:cs="宋体"/>
          <w:b w:val="0"/>
          <w:bCs/>
          <w:caps/>
          <w:sz w:val="24"/>
          <w:u w:val="single"/>
        </w:rPr>
        <w:t xml:space="preserve">          </w:t>
      </w:r>
      <w:r>
        <w:rPr>
          <w:rFonts w:hint="eastAsia" w:ascii="宋体" w:hAnsi="宋体" w:cs="宋体"/>
          <w:b w:val="0"/>
          <w:bCs/>
          <w:caps/>
          <w:sz w:val="24"/>
        </w:rPr>
        <w:t>（招标编号）</w:t>
      </w:r>
      <w:r>
        <w:rPr>
          <w:rFonts w:hint="eastAsia" w:ascii="宋体" w:hAnsi="宋体" w:cs="宋体"/>
          <w:b w:val="0"/>
          <w:bCs/>
          <w:caps/>
          <w:sz w:val="24"/>
          <w:u w:val="single"/>
        </w:rPr>
        <w:t xml:space="preserve">                      </w:t>
      </w:r>
      <w:r>
        <w:rPr>
          <w:rFonts w:hint="eastAsia" w:ascii="宋体" w:hAnsi="宋体" w:cs="宋体"/>
          <w:b w:val="0"/>
          <w:bCs/>
          <w:caps/>
          <w:sz w:val="24"/>
        </w:rPr>
        <w:t>招标文件在国内进行公开招标。经评标委员会评定，</w:t>
      </w:r>
      <w:r>
        <w:rPr>
          <w:rFonts w:hint="eastAsia" w:ascii="宋体" w:hAnsi="宋体" w:cs="宋体"/>
          <w:b w:val="0"/>
          <w:bCs/>
          <w:caps/>
          <w:sz w:val="24"/>
          <w:u w:val="single"/>
        </w:rPr>
        <w:t xml:space="preserve"> </w:t>
      </w:r>
      <w:r>
        <w:rPr>
          <w:rFonts w:ascii="宋体" w:hAnsi="宋体" w:cs="宋体"/>
          <w:b w:val="0"/>
          <w:bCs/>
          <w:caps/>
          <w:sz w:val="24"/>
          <w:u w:val="single"/>
        </w:rPr>
        <w:t xml:space="preserve">  </w:t>
      </w:r>
      <w:r>
        <w:rPr>
          <w:rFonts w:hint="eastAsia" w:ascii="宋体" w:hAnsi="宋体" w:cs="宋体"/>
          <w:b w:val="0"/>
          <w:bCs/>
          <w:sz w:val="24"/>
          <w:u w:val="single"/>
        </w:rPr>
        <w:t xml:space="preserve">（乙方）                     </w:t>
      </w:r>
      <w:r>
        <w:rPr>
          <w:rFonts w:hint="eastAsia" w:ascii="宋体" w:hAnsi="宋体" w:cs="宋体"/>
          <w:b w:val="0"/>
          <w:bCs/>
          <w:sz w:val="24"/>
        </w:rPr>
        <w:t>为成交供应商</w:t>
      </w:r>
      <w:r>
        <w:rPr>
          <w:rFonts w:hint="eastAsia" w:ascii="宋体" w:hAnsi="宋体" w:cs="宋体"/>
          <w:b w:val="0"/>
          <w:bCs/>
          <w:caps/>
          <w:sz w:val="24"/>
        </w:rPr>
        <w:t>。</w:t>
      </w:r>
      <w:r>
        <w:rPr>
          <w:rFonts w:hint="eastAsia" w:ascii="宋体" w:hAnsi="宋体" w:cs="宋体"/>
          <w:b w:val="0"/>
          <w:bCs/>
          <w:sz w:val="24"/>
        </w:rPr>
        <w:t>依据《中华人民共和国民法典》及相关法律法规的规定，经甲乙双方协商一致，签订本合同，以资共同遵守。下列文件构成本合同的组成部分，应该认为是一个整体，彼此相互解释，相互补充。为便于解释，组成合同的多个文件的优先支配地位的次序如下：</w:t>
      </w:r>
    </w:p>
    <w:p>
      <w:pPr>
        <w:pageBreakBefore w:val="0"/>
        <w:widowControl w:val="0"/>
        <w:tabs>
          <w:tab w:val="left" w:pos="810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a.本合同书　</w:t>
      </w:r>
    </w:p>
    <w:p>
      <w:pPr>
        <w:pageBreakBefore w:val="0"/>
        <w:widowControl w:val="0"/>
        <w:tabs>
          <w:tab w:val="left" w:pos="810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b.中标通知书</w:t>
      </w:r>
    </w:p>
    <w:p>
      <w:pPr>
        <w:pageBreakBefore w:val="0"/>
        <w:widowControl w:val="0"/>
        <w:tabs>
          <w:tab w:val="left" w:pos="810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c.招标文件（含招标文件补充通知）</w:t>
      </w:r>
    </w:p>
    <w:p>
      <w:pPr>
        <w:pageBreakBefore w:val="0"/>
        <w:widowControl w:val="0"/>
        <w:tabs>
          <w:tab w:val="left" w:pos="810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d.投标文件（含澄清文件）</w:t>
      </w:r>
    </w:p>
    <w:p>
      <w:pPr>
        <w:pageBreakBefore w:val="0"/>
        <w:widowControl w:val="0"/>
        <w:tabs>
          <w:tab w:val="left" w:pos="810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e.本合同附件</w:t>
      </w:r>
    </w:p>
    <w:p>
      <w:pPr>
        <w:keepNext/>
        <w:keepLines/>
        <w:pageBreakBefore w:val="0"/>
        <w:widowControl w:val="0"/>
        <w:numPr>
          <w:ilvl w:val="0"/>
          <w:numId w:val="1"/>
        </w:numPr>
        <w:tabs>
          <w:tab w:val="left" w:pos="360"/>
          <w:tab w:val="left" w:pos="1200"/>
        </w:tabs>
        <w:kinsoku/>
        <w:wordWrap/>
        <w:overflowPunct/>
        <w:topLinePunct w:val="0"/>
        <w:autoSpaceDE/>
        <w:autoSpaceDN/>
        <w:bidi w:val="0"/>
        <w:adjustRightInd w:val="0"/>
        <w:snapToGrid w:val="0"/>
        <w:spacing w:line="240" w:lineRule="auto"/>
        <w:ind w:left="0" w:leftChars="0" w:firstLine="480" w:firstLineChars="200"/>
        <w:textAlignment w:val="auto"/>
        <w:outlineLvl w:val="1"/>
        <w:rPr>
          <w:rFonts w:ascii="宋体" w:hAnsi="宋体" w:cs="宋体"/>
          <w:b w:val="0"/>
          <w:bCs/>
          <w:sz w:val="24"/>
        </w:rPr>
      </w:pPr>
      <w:r>
        <w:rPr>
          <w:rFonts w:hint="eastAsia" w:ascii="宋体" w:hAnsi="宋体" w:cs="宋体"/>
          <w:b w:val="0"/>
          <w:bCs/>
          <w:sz w:val="24"/>
        </w:rPr>
        <w:t>定义</w:t>
      </w:r>
    </w:p>
    <w:p>
      <w:pPr>
        <w:pageBreakBefore w:val="0"/>
        <w:widowControl w:val="0"/>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本合同下列术语应解释为：</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“合同”系指甲乙双方签署的、合同格式中载明的甲乙双方所达成的协议，包括所有的附件、附录和构成合同的其它文件。</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cs="宋体"/>
          <w:b w:val="0"/>
          <w:bCs/>
          <w:sz w:val="24"/>
        </w:rPr>
      </w:pPr>
      <w:r>
        <w:rPr>
          <w:rFonts w:hint="eastAsia" w:ascii="宋体" w:hAnsi="宋体" w:cs="宋体"/>
          <w:b w:val="0"/>
          <w:bCs/>
          <w:sz w:val="24"/>
        </w:rPr>
        <w:t>“合同价”系指根据合同约定，乙方在完全履行合同义务后甲方应付给乙方的价格。</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cs="宋体"/>
          <w:b w:val="0"/>
          <w:bCs/>
          <w:sz w:val="24"/>
        </w:rPr>
      </w:pPr>
      <w:r>
        <w:rPr>
          <w:rFonts w:hint="eastAsia" w:ascii="宋体" w:hAnsi="宋体" w:cs="宋体"/>
          <w:b w:val="0"/>
          <w:bCs/>
          <w:sz w:val="24"/>
        </w:rPr>
        <w:t>“服务”系指根据合同约定，乙方需承担的有关服务，详见合同条款及相关附件。</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cs="宋体"/>
          <w:b w:val="0"/>
          <w:bCs/>
          <w:sz w:val="24"/>
        </w:rPr>
      </w:pPr>
      <w:r>
        <w:rPr>
          <w:rFonts w:hint="eastAsia" w:ascii="宋体" w:hAnsi="宋体" w:cs="宋体"/>
          <w:b w:val="0"/>
          <w:bCs/>
          <w:sz w:val="24"/>
        </w:rPr>
        <w:t>“甲方”系指与中标人签署合同的单位。本合同甲方系指：</w:t>
      </w:r>
      <w:r>
        <w:rPr>
          <w:rFonts w:hint="eastAsia" w:ascii="宋体" w:hAnsi="宋体" w:cs="宋体"/>
          <w:b w:val="0"/>
          <w:bCs/>
          <w:sz w:val="24"/>
          <w:u w:val="single"/>
        </w:rPr>
        <w:t>北京市法律援助中心</w:t>
      </w:r>
      <w:r>
        <w:rPr>
          <w:rFonts w:hint="eastAsia" w:ascii="宋体" w:hAnsi="宋体" w:cs="宋体"/>
          <w:b w:val="0"/>
          <w:bCs/>
          <w:sz w:val="24"/>
        </w:rPr>
        <w:t>。</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cs="宋体"/>
          <w:b w:val="0"/>
          <w:bCs/>
          <w:sz w:val="24"/>
        </w:rPr>
      </w:pPr>
      <w:r>
        <w:rPr>
          <w:rFonts w:hint="eastAsia" w:ascii="宋体" w:hAnsi="宋体" w:cs="宋体"/>
          <w:b w:val="0"/>
          <w:bCs/>
          <w:sz w:val="24"/>
        </w:rPr>
        <w:t>“乙方”系指根据合同约定提供相关服务的中标人。本合同乙方是：</w:t>
      </w:r>
      <w:r>
        <w:rPr>
          <w:rFonts w:hint="eastAsia" w:ascii="宋体" w:hAnsi="宋体" w:cs="宋体"/>
          <w:b w:val="0"/>
          <w:bCs/>
          <w:sz w:val="24"/>
          <w:u w:val="single"/>
        </w:rPr>
        <w:t xml:space="preserve">                  </w:t>
      </w:r>
      <w:r>
        <w:rPr>
          <w:rFonts w:hint="eastAsia" w:ascii="宋体" w:hAnsi="宋体" w:cs="宋体"/>
          <w:b w:val="0"/>
          <w:bCs/>
          <w:sz w:val="24"/>
        </w:rPr>
        <w:t xml:space="preserve"> 。</w:t>
      </w:r>
    </w:p>
    <w:p>
      <w:pPr>
        <w:keepNext w:val="0"/>
        <w:keepLines w:val="0"/>
        <w:pageBreakBefore w:val="0"/>
        <w:widowControl w:val="0"/>
        <w:numPr>
          <w:ilvl w:val="1"/>
          <w:numId w:val="2"/>
        </w:numPr>
        <w:tabs>
          <w:tab w:val="left" w:pos="1080"/>
          <w:tab w:val="left" w:pos="8280"/>
        </w:tabs>
        <w:kinsoku/>
        <w:wordWrap/>
        <w:overflowPunct/>
        <w:topLinePunct w:val="0"/>
        <w:autoSpaceDE/>
        <w:autoSpaceDN/>
        <w:bidi w:val="0"/>
        <w:adjustRightInd w:val="0"/>
        <w:snapToGrid w:val="0"/>
        <w:spacing w:line="240" w:lineRule="auto"/>
        <w:ind w:left="0" w:leftChars="0" w:firstLine="480" w:firstLineChars="200"/>
        <w:textAlignment w:val="auto"/>
        <w:rPr>
          <w:rFonts w:ascii="宋体" w:hAnsi="宋体" w:cs="宋体"/>
          <w:b w:val="0"/>
          <w:bCs/>
          <w:sz w:val="24"/>
        </w:rPr>
      </w:pPr>
      <w:r>
        <w:rPr>
          <w:rFonts w:hint="eastAsia" w:ascii="宋体" w:hAnsi="宋体" w:cs="宋体"/>
          <w:b w:val="0"/>
          <w:bCs/>
          <w:sz w:val="24"/>
        </w:rPr>
        <w:t>“项目现场”指的是：甲方指定地点。</w:t>
      </w:r>
    </w:p>
    <w:p>
      <w:pPr>
        <w:keepNext/>
        <w:keepLines/>
        <w:pageBreakBefore w:val="0"/>
        <w:widowControl w:val="0"/>
        <w:numPr>
          <w:ilvl w:val="0"/>
          <w:numId w:val="1"/>
        </w:numPr>
        <w:tabs>
          <w:tab w:val="left" w:pos="360"/>
          <w:tab w:val="left" w:pos="90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乙方服务内容</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服务内容</w:t>
      </w:r>
    </w:p>
    <w:p>
      <w:pPr>
        <w:keepNext/>
        <w:keepLines w:val="0"/>
        <w:pageBreakBefore w:val="0"/>
        <w:widowControl w:val="0"/>
        <w:tabs>
          <w:tab w:val="left" w:pos="360"/>
          <w:tab w:val="left" w:pos="1080"/>
          <w:tab w:val="left" w:pos="8600"/>
        </w:tabs>
        <w:kinsoku/>
        <w:wordWrap/>
        <w:overflowPunct/>
        <w:topLinePunct w:val="0"/>
        <w:autoSpaceDE/>
        <w:autoSpaceDN/>
        <w:bidi w:val="0"/>
        <w:adjustRightInd w:val="0"/>
        <w:snapToGrid w:val="0"/>
        <w:spacing w:line="240" w:lineRule="auto"/>
        <w:ind w:left="0" w:leftChars="0" w:firstLine="480" w:firstLineChars="200"/>
        <w:textAlignment w:val="auto"/>
        <w:rPr>
          <w:rFonts w:hint="eastAsia" w:ascii="宋体" w:hAnsi="宋体" w:cs="宋体"/>
          <w:b w:val="0"/>
          <w:bCs/>
          <w:sz w:val="24"/>
        </w:rPr>
      </w:pPr>
      <w:r>
        <w:rPr>
          <w:rFonts w:hint="eastAsia" w:ascii="宋体" w:hAnsi="宋体" w:cs="宋体"/>
          <w:b w:val="0"/>
          <w:bCs/>
          <w:caps/>
          <w:sz w:val="24"/>
        </w:rPr>
        <w:t>北京市公共法律服务中心信息化建设项目运维服务（第一包）信息化基础环境、弱电及自助服务系统的运维</w:t>
      </w:r>
      <w:r>
        <w:rPr>
          <w:rFonts w:hint="eastAsia" w:ascii="宋体" w:hAnsi="宋体" w:cs="宋体"/>
          <w:b w:val="0"/>
          <w:bCs/>
          <w:sz w:val="24"/>
        </w:rPr>
        <w:t>服务内容为：硬件设备维护、日常技术支持保障服务、应急支持保障服务、特殊时期保障服务、系统巡检维护工作。乙方服务内容见招标文件及被甲方接受的投标文件中的规定。具体服务内容详见本合同附件《北京市法律援助中心信息化安全保障项目采购需求（第一包）》。乙方提供的服务应与招标文件规定的服务内容、服务规范和规范附件及其投标文件的服务内容、服务规范偏差表（如果被甲方接受的话）相一致。乙方提供的服务应与甲方设备和软件相适配，乙方制订投标方案时应充分了解甲方设备和相应软件情况，为适配问题预留处置成本。</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hint="eastAsia" w:ascii="宋体" w:hAnsi="宋体" w:eastAsia="宋体" w:cs="宋体"/>
          <w:b w:val="0"/>
          <w:bCs/>
          <w:sz w:val="24"/>
        </w:rPr>
      </w:pPr>
      <w:r>
        <w:rPr>
          <w:rFonts w:hint="eastAsia" w:ascii="宋体" w:hAnsi="宋体" w:eastAsia="宋体" w:cs="宋体"/>
          <w:b w:val="0"/>
          <w:bCs/>
          <w:sz w:val="24"/>
        </w:rPr>
        <w:t>合同资料。本合同项下文件资料将以下列方式交付：接到对方书面通知后15 天之内，将完成服务或合同所需必要资料交付给对方。</w:t>
      </w:r>
    </w:p>
    <w:p>
      <w:pPr>
        <w:pStyle w:val="2"/>
      </w:pP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工作成果交付包括：系统巡检记录单、故障处理单等运维相关过程性材料。乙方应按照甲方要求的时间和进度交付相应的工作结果。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保密。乙方保证对在谈判、签订、执行本协议过程中所获悉的属于无法自公开渠道获得的甲方文件及资料（包括国家秘密、商业秘密、工作秘密、运营活动、财务信息、技术信息及其他有关信息）予以保密。未经甲方书面同意，不得向任何第三方泄露该商业秘密或未公开工作信息的全部或部分内容。但法律、法规另有规定或双方另有约定的除外。对是否为保密信息存在争议的，乙方应按照保密信息处理，除非得到甲方书面明确否认。本合同约定的保密义务长期有效，不因合同的中止、解除或终止而免除。</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知识产权</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ascii="宋体" w:hAnsi="宋体" w:cs="宋体"/>
          <w:b w:val="0"/>
          <w:bCs/>
          <w:kern w:val="0"/>
          <w:sz w:val="24"/>
        </w:rPr>
      </w:pPr>
      <w:r>
        <w:rPr>
          <w:rFonts w:hint="eastAsia" w:ascii="宋体" w:hAnsi="宋体" w:cs="宋体"/>
          <w:b w:val="0"/>
          <w:bCs/>
          <w:kern w:val="0"/>
          <w:sz w:val="24"/>
        </w:rPr>
        <w:t>2.5.1乙方应保证甲方使用合同项下乙方工作成果的全部或任何一部分时免受第三方提出的侵犯其专利权、著作权、商标权或工业设计权等知识产权的起诉。如果任何第三方对此提出起诉，乙方应负责与之交涉并承担由此引起的一切法律责任、交涉费用及甲方全部损失。</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ascii="宋体" w:hAnsi="宋体" w:cs="宋体"/>
          <w:b w:val="0"/>
          <w:bCs/>
          <w:kern w:val="0"/>
          <w:sz w:val="24"/>
        </w:rPr>
      </w:pPr>
      <w:r>
        <w:rPr>
          <w:rFonts w:hint="eastAsia" w:ascii="宋体" w:hAnsi="宋体" w:cs="宋体"/>
          <w:b w:val="0"/>
          <w:bCs/>
          <w:kern w:val="0"/>
          <w:sz w:val="24"/>
        </w:rPr>
        <w:t>2.5.2知识产权归甲方所有。乙方为本项目服务形成的工作成果的知识产权归甲方所有（已有的第三方知识产权除外）。</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甲方权利和义务</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甲方有权督促服务的实施进度及质量，并对乙方的服务进行监督、提出建议及满意度评价，将结果反馈给乙方。</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甲方有权要求乙方提供现场技术指导、故障处理及其他服务。</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甲方有权要求乙方对获取的甲方所有信息、数据及资源保密，严禁外泄、另行使用。</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甲方如调整项目管理要求，需及时告知乙方。</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甲方应协调服务中涉及相关政务云、安全评估、等级保护测评等外部资源，并协助乙方开展工作。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甲方应按本合同约定向乙方支付服务费用。</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乙方权利和义务</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乙方需根据合同要求，在甲方的管理和监督下，开展具体运维服务工作。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对甲方提出的服务要求，乙方有责任提供技术咨询并配合甲方执行相关工作。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 xml:space="preserve"> 对存储在甲方各系统中的相关业务数据，未经甲方允许，乙方不得擅自留存、使用、泄露或者向他人提供，系统迁出后，乙方应及时清除所有数据。</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乙方需按时提交运维工作报告：按照合同要求于每周、每月最后一个工作日编写运维工作报告（日报、周报或月报）。</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 xml:space="preserve"> 乙方须按照合同所约定的标准服务内容向甲方提供相关资源，做到资源专用，不得私自另行使用。</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 xml:space="preserve"> 乙方应采取相应的技术措施，确保不能从指定的运维操作地点以外的场所进行任何操作。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 xml:space="preserve"> 乙方需按照有关规定进行操作，确保甲方系统不被乙方人为地损坏。</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 xml:space="preserve"> 乙方在发现甲方系统故障后，须在10分钟内通过电话和邮件等有效方式及时联系甲方对应负责人员，进行故障上报和处理。</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现场值守人员应遵守甲方的相关规定，在接到甲方故障报告后，应在10分钟内做好相关信息的登记工作，并进行故障排查。故障未排除前，现场值守人员应定时向甲方反馈检查进度及结果，故障排除后，现场值守人员应将处理结果在1小时内反馈甲方并做好故障记录工作；故障排除后，乙方需向甲方提交故障报告，经甲方确认后，需向甲方提交故障处理报告。</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乙方必须遵守甲方的各项规章制度，严格按照工作规范组织、实施运维工作，制定切实可行的措施保障人员安全、设备安全和生产安全。</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乙方必须制定合理的措施对运维人员进行管理和思想教育，加强保密意识和安全生产意识。</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乙方负责的甲方系统开发或运维工作必须符合甲方系统相应安全等级保护的相关要求，确保甲方系统不出现弱口令等安全漏洞。</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乙方应积极配合甲方网络安全主管部门对甲方系统进行的网络安全监督检查工作。</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应当按照相关法律法规规定及本合同约定处理个人信息，不得超出法律法规规定和本合同约定的处理目的、处理方式等处理个人信息；委托处理个人信息合同不生效、无效、被撤销或者终止的，乙方应当将个人信息返还个人信息处理者或者予以删除，不得保留。</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乙方应当依照《中华人民共和国个人信息保护法》和《中华人民共和国数据安全法》等法律法规的规定，采取必要措施保障所处理的个人信息的安全，并协助甲方履行相关法律法规规定的义务。</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合同款支付</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合同货币：人民币。</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合同款支付：</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ascii="宋体" w:hAnsi="宋体" w:cs="宋体"/>
          <w:b w:val="0"/>
          <w:bCs/>
          <w:kern w:val="0"/>
          <w:sz w:val="24"/>
        </w:rPr>
      </w:pPr>
      <w:r>
        <w:rPr>
          <w:rFonts w:hint="eastAsia" w:ascii="宋体" w:hAnsi="宋体" w:cs="宋体"/>
          <w:b w:val="0"/>
          <w:bCs/>
          <w:kern w:val="0"/>
          <w:sz w:val="24"/>
        </w:rPr>
        <w:t>5.2.1 本合同总价（含税）为人民币</w:t>
      </w:r>
      <w:r>
        <w:rPr>
          <w:rFonts w:hint="eastAsia" w:ascii="宋体" w:hAnsi="宋体" w:cs="宋体"/>
          <w:b w:val="0"/>
          <w:bCs/>
          <w:kern w:val="0"/>
          <w:sz w:val="24"/>
          <w:u w:val="single"/>
        </w:rPr>
        <w:t xml:space="preserve">大写：          </w:t>
      </w:r>
      <w:r>
        <w:rPr>
          <w:rFonts w:hint="eastAsia" w:ascii="宋体" w:hAnsi="宋体" w:cs="宋体"/>
          <w:b w:val="0"/>
          <w:bCs/>
          <w:kern w:val="0"/>
          <w:sz w:val="24"/>
          <w:u w:val="none"/>
        </w:rPr>
        <w:t>元整，（小写：</w:t>
      </w:r>
      <w:r>
        <w:rPr>
          <w:rFonts w:hint="eastAsia" w:ascii="宋体" w:hAnsi="宋体" w:cs="宋体"/>
          <w:b w:val="0"/>
          <w:bCs/>
          <w:kern w:val="0"/>
          <w:sz w:val="24"/>
          <w:u w:val="single"/>
        </w:rPr>
        <w:t xml:space="preserve">      </w:t>
      </w:r>
      <w:r>
        <w:rPr>
          <w:rFonts w:hint="eastAsia" w:ascii="宋体" w:hAnsi="宋体" w:cs="宋体"/>
          <w:b w:val="0"/>
          <w:bCs/>
          <w:kern w:val="0"/>
          <w:sz w:val="24"/>
          <w:u w:val="single"/>
          <w:lang w:val="en-US" w:eastAsia="zh-CN"/>
        </w:rPr>
        <w:t xml:space="preserve"> </w:t>
      </w:r>
      <w:r>
        <w:rPr>
          <w:rFonts w:hint="eastAsia" w:ascii="宋体" w:hAnsi="宋体" w:cs="宋体"/>
          <w:b w:val="0"/>
          <w:bCs/>
          <w:kern w:val="0"/>
          <w:sz w:val="24"/>
          <w:u w:val="single"/>
        </w:rPr>
        <w:t xml:space="preserve">    </w:t>
      </w:r>
      <w:r>
        <w:rPr>
          <w:rFonts w:hint="eastAsia" w:ascii="宋体" w:hAnsi="宋体" w:cs="宋体"/>
          <w:b w:val="0"/>
          <w:bCs/>
          <w:kern w:val="0"/>
          <w:sz w:val="24"/>
          <w:u w:val="none"/>
        </w:rPr>
        <w:t>元）</w:t>
      </w:r>
      <w:r>
        <w:rPr>
          <w:rFonts w:hint="eastAsia" w:ascii="宋体" w:hAnsi="宋体" w:cs="宋体"/>
          <w:b w:val="0"/>
          <w:bCs/>
          <w:kern w:val="0"/>
          <w:sz w:val="24"/>
        </w:rPr>
        <w:t>，具体分项价格详见附件二-项目报价书。</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hint="eastAsia" w:ascii="宋体" w:hAnsi="宋体" w:cs="宋体"/>
          <w:b w:val="0"/>
          <w:bCs/>
          <w:kern w:val="0"/>
          <w:sz w:val="24"/>
        </w:rPr>
      </w:pPr>
      <w:r>
        <w:rPr>
          <w:rFonts w:hint="eastAsia" w:ascii="宋体" w:hAnsi="宋体" w:cs="宋体"/>
          <w:b w:val="0"/>
          <w:bCs/>
          <w:kern w:val="0"/>
          <w:sz w:val="24"/>
        </w:rPr>
        <w:t xml:space="preserve">5.2.2 </w:t>
      </w:r>
      <w:r>
        <w:rPr>
          <w:rFonts w:hint="eastAsia" w:ascii="宋体" w:hAnsi="宋体"/>
          <w:b w:val="0"/>
          <w:bCs/>
          <w:kern w:val="44"/>
          <w:sz w:val="24"/>
        </w:rPr>
        <w:t>本项目服务期为12个月，</w:t>
      </w:r>
      <w:r>
        <w:rPr>
          <w:rFonts w:hint="eastAsia" w:ascii="宋体" w:hAnsi="宋体" w:cs="宋体"/>
          <w:b w:val="0"/>
          <w:bCs/>
          <w:kern w:val="0"/>
          <w:sz w:val="24"/>
        </w:rPr>
        <w:t>本合同生效且乙方提供运维服务之日起10日内，甲方向乙方支付</w:t>
      </w:r>
      <w:r>
        <w:rPr>
          <w:rFonts w:hint="eastAsia" w:ascii="宋体" w:hAnsi="宋体"/>
          <w:b w:val="0"/>
          <w:bCs/>
          <w:kern w:val="44"/>
          <w:sz w:val="24"/>
          <w:lang w:val="en-US" w:eastAsia="zh-CN"/>
        </w:rPr>
        <w:t>50%</w:t>
      </w:r>
      <w:r>
        <w:rPr>
          <w:rFonts w:hint="eastAsia" w:ascii="宋体" w:hAnsi="宋体"/>
          <w:b w:val="0"/>
          <w:bCs/>
          <w:kern w:val="44"/>
          <w:sz w:val="24"/>
        </w:rPr>
        <w:t>合同价款</w:t>
      </w:r>
      <w:r>
        <w:rPr>
          <w:rFonts w:hint="eastAsia" w:ascii="宋体" w:hAnsi="宋体" w:cs="宋体"/>
          <w:b w:val="0"/>
          <w:bCs/>
          <w:kern w:val="0"/>
          <w:sz w:val="24"/>
        </w:rPr>
        <w:t>，即人民币</w:t>
      </w:r>
      <w:r>
        <w:rPr>
          <w:rFonts w:hint="eastAsia" w:ascii="宋体" w:hAnsi="宋体" w:cs="宋体"/>
          <w:b w:val="0"/>
          <w:bCs/>
          <w:kern w:val="0"/>
          <w:sz w:val="24"/>
          <w:u w:val="single"/>
        </w:rPr>
        <w:t xml:space="preserve">                   </w:t>
      </w:r>
      <w:r>
        <w:rPr>
          <w:rFonts w:hint="eastAsia" w:ascii="宋体" w:hAnsi="宋体" w:cs="宋体"/>
          <w:b w:val="0"/>
          <w:bCs/>
          <w:kern w:val="0"/>
          <w:sz w:val="24"/>
        </w:rPr>
        <w:t>元整（小写：</w:t>
      </w:r>
      <w:r>
        <w:rPr>
          <w:rFonts w:hint="eastAsia" w:ascii="宋体" w:hAnsi="宋体" w:cs="宋体"/>
          <w:b w:val="0"/>
          <w:bCs/>
          <w:kern w:val="0"/>
          <w:sz w:val="24"/>
          <w:u w:val="single"/>
        </w:rPr>
        <w:t xml:space="preserve">             </w:t>
      </w:r>
      <w:r>
        <w:rPr>
          <w:rFonts w:hint="eastAsia" w:ascii="宋体" w:hAnsi="宋体" w:cs="宋体"/>
          <w:b w:val="0"/>
          <w:bCs/>
          <w:kern w:val="0"/>
          <w:sz w:val="24"/>
        </w:rPr>
        <w:t>元 ）。</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hint="default" w:ascii="宋体" w:hAnsi="宋体" w:eastAsia="宋体" w:cs="宋体"/>
          <w:b w:val="0"/>
          <w:bCs/>
          <w:kern w:val="0"/>
          <w:sz w:val="24"/>
          <w:u w:val="none"/>
          <w:lang w:val="en-US" w:eastAsia="zh-CN"/>
        </w:rPr>
      </w:pPr>
      <w:r>
        <w:rPr>
          <w:rFonts w:hint="eastAsia" w:ascii="宋体" w:hAnsi="宋体" w:cs="宋体"/>
          <w:b w:val="0"/>
          <w:bCs/>
          <w:kern w:val="0"/>
          <w:sz w:val="24"/>
        </w:rPr>
        <w:t xml:space="preserve">5.2.3 </w:t>
      </w:r>
      <w:r>
        <w:rPr>
          <w:rFonts w:hint="eastAsia" w:ascii="宋体" w:hAnsi="宋体" w:cs="宋体"/>
          <w:b w:val="0"/>
          <w:bCs/>
          <w:kern w:val="0"/>
          <w:sz w:val="24"/>
          <w:u w:val="none"/>
          <w:lang w:val="en-US" w:eastAsia="zh-CN"/>
        </w:rPr>
        <w:t>乙方提供10个月运维服务后10日内，甲方再向乙方支付30%合同价款，即人民币                   元整（</w:t>
      </w:r>
      <w:r>
        <w:rPr>
          <w:rFonts w:hint="eastAsia" w:ascii="宋体" w:hAnsi="宋体" w:cs="宋体"/>
          <w:b w:val="0"/>
          <w:bCs/>
          <w:kern w:val="0"/>
          <w:sz w:val="24"/>
          <w:u w:val="none"/>
        </w:rPr>
        <w:t>小写：             元</w:t>
      </w:r>
      <w:r>
        <w:rPr>
          <w:rFonts w:hint="eastAsia" w:ascii="宋体" w:hAnsi="宋体" w:cs="宋体"/>
          <w:b w:val="0"/>
          <w:bCs/>
          <w:kern w:val="0"/>
          <w:sz w:val="24"/>
          <w:u w:val="none"/>
          <w:lang w:val="en-US" w:eastAsia="zh-CN"/>
        </w:rPr>
        <w:t>）。</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hint="eastAsia" w:ascii="宋体" w:hAnsi="宋体" w:cs="宋体"/>
          <w:b w:val="0"/>
          <w:bCs/>
          <w:kern w:val="0"/>
          <w:sz w:val="24"/>
        </w:rPr>
      </w:pPr>
      <w:r>
        <w:rPr>
          <w:rFonts w:hint="eastAsia" w:ascii="宋体" w:hAnsi="宋体" w:cs="宋体"/>
          <w:b w:val="0"/>
          <w:bCs/>
          <w:kern w:val="0"/>
          <w:sz w:val="24"/>
        </w:rPr>
        <w:t>5.2.4项目执行完毕且甲方对服务成果验收通过后10日内，甲方向乙方支付</w:t>
      </w:r>
      <w:r>
        <w:rPr>
          <w:rFonts w:hint="eastAsia" w:ascii="宋体" w:hAnsi="宋体"/>
          <w:b w:val="0"/>
          <w:bCs/>
          <w:kern w:val="44"/>
          <w:sz w:val="24"/>
        </w:rPr>
        <w:t>剩余</w:t>
      </w:r>
      <w:r>
        <w:rPr>
          <w:rFonts w:hint="eastAsia" w:ascii="宋体" w:hAnsi="宋体"/>
          <w:b w:val="0"/>
          <w:bCs/>
          <w:kern w:val="44"/>
          <w:sz w:val="24"/>
          <w:lang w:val="en-US" w:eastAsia="zh-CN"/>
        </w:rPr>
        <w:t>20%</w:t>
      </w:r>
      <w:r>
        <w:rPr>
          <w:rFonts w:hint="eastAsia" w:ascii="宋体" w:hAnsi="宋体"/>
          <w:b w:val="0"/>
          <w:bCs/>
          <w:kern w:val="44"/>
          <w:sz w:val="24"/>
        </w:rPr>
        <w:t>合同价款</w:t>
      </w:r>
      <w:r>
        <w:rPr>
          <w:rFonts w:hint="eastAsia" w:ascii="宋体" w:hAnsi="宋体" w:cs="宋体"/>
          <w:b w:val="0"/>
          <w:bCs/>
          <w:kern w:val="0"/>
          <w:sz w:val="24"/>
        </w:rPr>
        <w:t>，即人民币</w:t>
      </w:r>
      <w:r>
        <w:rPr>
          <w:rFonts w:hint="eastAsia" w:ascii="宋体" w:hAnsi="宋体" w:cs="宋体"/>
          <w:b w:val="0"/>
          <w:bCs/>
          <w:kern w:val="0"/>
          <w:sz w:val="24"/>
          <w:u w:val="single"/>
        </w:rPr>
        <w:t xml:space="preserve">             </w:t>
      </w:r>
      <w:r>
        <w:rPr>
          <w:rFonts w:hint="eastAsia" w:ascii="宋体" w:hAnsi="宋体" w:cs="宋体"/>
          <w:b w:val="0"/>
          <w:bCs/>
          <w:kern w:val="0"/>
          <w:sz w:val="24"/>
        </w:rPr>
        <w:t>元整（小写：</w:t>
      </w:r>
      <w:r>
        <w:rPr>
          <w:rFonts w:hint="eastAsia" w:ascii="宋体" w:hAnsi="宋体" w:cs="宋体"/>
          <w:b w:val="0"/>
          <w:bCs/>
          <w:kern w:val="0"/>
          <w:sz w:val="24"/>
          <w:u w:val="single"/>
        </w:rPr>
        <w:t xml:space="preserve">             </w:t>
      </w:r>
      <w:r>
        <w:rPr>
          <w:rFonts w:hint="eastAsia" w:ascii="宋体" w:hAnsi="宋体" w:cs="宋体"/>
          <w:b w:val="0"/>
          <w:bCs/>
          <w:kern w:val="0"/>
          <w:sz w:val="24"/>
        </w:rPr>
        <w:t xml:space="preserve">元 ）。 </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ascii="宋体" w:hAnsi="宋体" w:cs="宋体"/>
          <w:b w:val="0"/>
          <w:bCs/>
          <w:kern w:val="0"/>
          <w:sz w:val="24"/>
        </w:rPr>
      </w:pPr>
      <w:r>
        <w:rPr>
          <w:rFonts w:hint="eastAsia" w:ascii="宋体" w:hAnsi="宋体" w:cs="宋体"/>
          <w:b w:val="0"/>
          <w:bCs/>
          <w:kern w:val="0"/>
          <w:sz w:val="24"/>
        </w:rPr>
        <w:t>5.2.5甲方每次付款前，乙方应提供等额、合法发票，否则，甲方有权拒绝付款且无需承担违约责任。</w:t>
      </w:r>
    </w:p>
    <w:p>
      <w:pPr>
        <w:keepNext/>
        <w:keepLines/>
        <w:pageBreakBefore w:val="0"/>
        <w:widowControl w:val="0"/>
        <w:numPr>
          <w:ilvl w:val="3"/>
          <w:numId w:val="0"/>
        </w:numPr>
        <w:kinsoku/>
        <w:wordWrap/>
        <w:overflowPunct/>
        <w:topLinePunct w:val="0"/>
        <w:bidi w:val="0"/>
        <w:adjustRightInd w:val="0"/>
        <w:snapToGrid w:val="0"/>
        <w:spacing w:line="240" w:lineRule="auto"/>
        <w:ind w:left="0" w:leftChars="0" w:firstLine="480" w:firstLineChars="200"/>
        <w:outlineLvl w:val="3"/>
        <w:rPr>
          <w:rFonts w:ascii="宋体" w:hAnsi="宋体" w:cs="宋体"/>
          <w:b w:val="0"/>
          <w:bCs/>
          <w:kern w:val="0"/>
          <w:sz w:val="24"/>
        </w:rPr>
      </w:pPr>
      <w:r>
        <w:rPr>
          <w:rFonts w:hint="eastAsia" w:ascii="宋体" w:hAnsi="宋体" w:cs="宋体"/>
          <w:b w:val="0"/>
          <w:bCs/>
          <w:kern w:val="0"/>
          <w:sz w:val="24"/>
          <w:lang w:val="en-US" w:eastAsia="zh-CN"/>
        </w:rPr>
        <w:t xml:space="preserve">5.2.6 </w:t>
      </w:r>
      <w:r>
        <w:rPr>
          <w:rFonts w:hint="eastAsia" w:ascii="宋体" w:hAnsi="宋体" w:cs="宋体"/>
          <w:b w:val="0"/>
          <w:bCs/>
          <w:kern w:val="0"/>
          <w:sz w:val="24"/>
        </w:rPr>
        <w:t>甲方付款如遇到国库财政预算支付的限制，可以顺延付款期限，甲方不承担违约责任，但甲方应当将延迟付款理由通知到乙方，且在支付限制解除后立即完成对乙方的付款。乙方不得因此暂停、终止、拒绝、延迟义务的履行。</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合同约定的项目服务时间：</w:t>
      </w:r>
      <w:r>
        <w:rPr>
          <w:rFonts w:hint="eastAsia" w:ascii="宋体" w:hAnsi="宋体" w:cs="宋体"/>
          <w:b w:val="0"/>
          <w:bCs/>
          <w:sz w:val="24"/>
          <w:u w:val="single"/>
        </w:rPr>
        <w:t xml:space="preserve">                                </w:t>
      </w:r>
      <w:r>
        <w:rPr>
          <w:rFonts w:hint="eastAsia" w:ascii="宋体" w:hAnsi="宋体" w:cs="宋体"/>
          <w:b w:val="0"/>
          <w:bCs/>
          <w:sz w:val="24"/>
        </w:rPr>
        <w:t xml:space="preserve"> </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验收</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验收主体：甲方。</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验收时间：合同服务期满后10天内，乙方提出验收申请。</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验收方式：甲方组织验收。阶段性验收由甲方开展内部验收，最终验收由甲方邀请不少于3位具有高级职称或处级及以上信息化领域专家以评审的方式开展。</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验收程序：收到乙方提交的验收申请后，甲方依照合同完成情况决定是否同意验收，同意验收的，由甲方组织专家评审会。</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验收内容：合同项下所有内容，包括数量、质量是否达到要求，项目文档是否规范、齐全，项目文档应包括：运维方案、周/月报、巡检记录单、功能调整单、故障处理单、总结报告等相关服务过程文档。</w:t>
      </w:r>
    </w:p>
    <w:p>
      <w:pPr>
        <w:keepNext/>
        <w:keepLines/>
        <w:pageBreakBefore w:val="0"/>
        <w:widowControl w:val="0"/>
        <w:numPr>
          <w:ilvl w:val="1"/>
          <w:numId w:val="1"/>
        </w:numPr>
        <w:tabs>
          <w:tab w:val="left" w:pos="360"/>
          <w:tab w:val="left" w:pos="1200"/>
        </w:tabs>
        <w:kinsoku/>
        <w:wordWrap/>
        <w:overflowPunct/>
        <w:topLinePunct w:val="0"/>
        <w:autoSpaceDE/>
        <w:autoSpaceDN/>
        <w:bidi w:val="0"/>
        <w:adjustRightInd w:val="0"/>
        <w:snapToGrid w:val="0"/>
        <w:spacing w:line="240" w:lineRule="auto"/>
        <w:ind w:left="0" w:leftChars="0" w:firstLine="480" w:firstLineChars="200"/>
        <w:textAlignment w:val="auto"/>
        <w:outlineLvl w:val="2"/>
        <w:rPr>
          <w:rFonts w:ascii="宋体" w:hAnsi="宋体" w:cs="宋体"/>
          <w:b w:val="0"/>
          <w:bCs/>
          <w:sz w:val="24"/>
        </w:rPr>
      </w:pPr>
      <w:r>
        <w:rPr>
          <w:rFonts w:hint="eastAsia" w:ascii="宋体" w:hAnsi="宋体" w:cs="宋体"/>
          <w:b w:val="0"/>
          <w:bCs/>
          <w:sz w:val="24"/>
        </w:rPr>
        <w:t>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本项目执行结束后，北京市法律援助中心开展运维项目验收，组织运维项目验收专家评审会，专家组人选由北京市法律援助中心</w:t>
      </w:r>
      <w:r>
        <w:rPr>
          <w:rFonts w:hint="eastAsia" w:ascii="宋体" w:hAnsi="宋体"/>
          <w:b w:val="0"/>
          <w:bCs/>
          <w:sz w:val="24"/>
          <w:lang w:val="en-US" w:eastAsia="zh-CN"/>
        </w:rPr>
        <w:t>工作人员</w:t>
      </w:r>
      <w:r>
        <w:rPr>
          <w:rFonts w:hint="eastAsia" w:ascii="宋体" w:hAnsi="宋体"/>
          <w:b w:val="0"/>
          <w:bCs/>
          <w:sz w:val="24"/>
        </w:rPr>
        <w:t>以及</w:t>
      </w:r>
      <w:r>
        <w:rPr>
          <w:rFonts w:hint="eastAsia" w:ascii="宋体" w:hAnsi="宋体"/>
          <w:b w:val="0"/>
          <w:bCs/>
          <w:sz w:val="24"/>
          <w:lang w:val="en-US" w:eastAsia="zh-CN"/>
        </w:rPr>
        <w:t>律师代理</w:t>
      </w:r>
      <w:r>
        <w:rPr>
          <w:rFonts w:hint="eastAsia" w:ascii="宋体" w:hAnsi="宋体"/>
          <w:b w:val="0"/>
          <w:bCs/>
          <w:sz w:val="24"/>
        </w:rPr>
        <w:t>组成。验收结果作为评价合同执行情况和申请支付项目资金的重要依据。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验收专家评审会程序为：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介绍项目情况；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服务商报告项目执行情况；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宣读用户使用意见；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b w:val="0"/>
          <w:bCs/>
          <w:sz w:val="24"/>
        </w:rPr>
      </w:pPr>
      <w:r>
        <w:rPr>
          <w:rFonts w:hint="eastAsia" w:ascii="宋体" w:hAnsi="宋体"/>
          <w:b w:val="0"/>
          <w:bCs/>
          <w:sz w:val="24"/>
        </w:rPr>
        <w:t>评审组审阅项目相关文档，开展现场质询，形成验收意见。</w:t>
      </w:r>
      <w:bookmarkStart w:id="0" w:name="_GoBack"/>
      <w:bookmarkEnd w:id="0"/>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违约责任与罚则</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如果在合同履行过程中，由于乙方违反合同规定义务导致甲方受到损失的，乙方应按照甲方的全部损失予以赔偿。</w:t>
      </w:r>
      <w:r>
        <w:rPr>
          <w:rFonts w:hint="eastAsia" w:ascii="宋体" w:hAnsi="宋体" w:cs="宋体"/>
          <w:b w:val="0"/>
          <w:bCs/>
          <w:sz w:val="24"/>
        </w:rPr>
        <w:tab/>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除了本合同规定的不可抗力外，如果乙方不能按项目实施计划规定的时间要求提供服务或提供的服务不符合合同约定和甲方要求的，甲方在不影响合同项下的其它补救措施的情况下，有权从合同价款中扣除误期赔偿费。每延误一周或每提供不符合合同约定及甲方要求的服务一周的赔偿费按合同总价的0.5%计收，不足7日者按7日计算至提供服务为止。误期赔偿费的最高限额为合同总价的5%。一旦达到误期赔偿费的最高限额，甲方有权无需乙方同意立即单方解除合同。乙方除应按照合同总价的20%向甲方支付违约金外，还应赔偿给甲方造成的全部损失。如有尚未支付的款项，甲方不予支付。误期赔偿费从项目尾款中扣除，如误期赔偿费超过项目尾款应支付金额，则乙方应予补足。</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未履行本合同约定的保密义务，致使信息泄露的，乙方应在第一时间采取有效的补救措施，以防泄密范围的继续扩大。甲方有权视乙方违约情况追究乙方的法律责任直至单方解除合同，甲方解除合同的，乙方除应按照合同总价款的10％向甲方支付违约金外，还应赔偿由此给甲方造成的全部损失。</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乙方及其安全运维人员就安全保密义务向甲方承担连带责任。</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本合同中不涉及解除的合同部分，应按照合同约定继续执行。</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定期完成系统巡检与故障排查：按照合同约定的巡检频率对系统进行巡检，发现故障第一时间应急处置。</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不可抗力</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本条所述的“不可抗力”系指那些双方在订立合同时</w:t>
      </w:r>
      <w:r>
        <w:rPr>
          <w:rFonts w:hint="eastAsia" w:ascii="宋体" w:hAnsi="宋体" w:cs="宋体"/>
          <w:b w:val="0"/>
          <w:bCs/>
          <w:sz w:val="24"/>
        </w:rPr>
        <w:t>不能预见、不能避免且不能克服</w:t>
      </w:r>
      <w:r>
        <w:rPr>
          <w:rFonts w:hint="eastAsia" w:ascii="宋体" w:hAnsi="宋体" w:cs="宋体"/>
          <w:b w:val="0"/>
          <w:bCs/>
          <w:sz w:val="24"/>
        </w:rPr>
        <w:t>的事件。这些事件包括：战争、水灾、地震以及双方同意的事件。当不可抗力事件发生时，执行合同的期限将相应延长。</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在不可抗力事件发生时，遭遇不可抗力的一方应尽快以书面形式将不可抗力的情况和迟延或不能履行合同的原因通知对方。同时必须在7日内，以挂号信形式递交有关政府部门的证明。如果不可抗力持续时间超过15日，双方可通过友好协商就合同的执行另行达成协议。</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合同修改</w:t>
      </w:r>
    </w:p>
    <w:p>
      <w:pPr>
        <w:pageBreakBefore w:val="0"/>
        <w:widowControl w:val="0"/>
        <w:tabs>
          <w:tab w:val="left" w:pos="8100"/>
          <w:tab w:val="left" w:pos="8600"/>
        </w:tabs>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任何对合同内容的变更或修改、补充或删减，均须双方签订书面协议。</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争端的解决</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合同实施或与合同有关的一切争端应通过双方协商解决。如果协商后不能解决，向甲方所在地人民法院提起诉讼。</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在争端解决期间，除争端涉及的部分外，本合同其它部分应继续执行。</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通知送达</w:t>
      </w:r>
    </w:p>
    <w:p>
      <w:pPr>
        <w:pageBreakBefore w:val="0"/>
        <w:widowControl w:val="0"/>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12.1双方因履行本协议或与本协议有关的一切通知都必须按照本协议中的地址，以书面形式或双方确认的电子邮件、传真或类似的通讯方式进行。采用信函形式的应使用挂号信或者具有良好信誉的特快专递送达。如使用电子邮件、传真或类似的通讯方式，通知日期即为通讯发出日期，如使用挂号信件或特快专递，通知日期即为邮件寄出日期并以邮戳为准。</w:t>
      </w:r>
    </w:p>
    <w:p>
      <w:pPr>
        <w:pageBreakBefore w:val="0"/>
        <w:widowControl w:val="0"/>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12.2任何一方的联系方式发生变更的，应于变更之日起三日内书面通知对方。否则，由此导致的不利后果由变更一方承担。</w:t>
      </w:r>
    </w:p>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rPr>
          <w:rFonts w:ascii="宋体" w:hAnsi="宋体"/>
          <w:b w:val="0"/>
          <w:bCs/>
          <w:color w:val="000000"/>
          <w:sz w:val="24"/>
        </w:rPr>
      </w:pPr>
      <w:r>
        <w:rPr>
          <w:rFonts w:hint="eastAsia" w:ascii="宋体" w:hAnsi="宋体" w:cs="宋体"/>
          <w:b w:val="0"/>
          <w:bCs/>
          <w:sz w:val="24"/>
        </w:rPr>
        <w:t>12.3如果因接受方原因（包括但不限于接受方相关信息变更未及时通知、地址错误、无人签收或拒收、电子邮箱地址不存在或者邮箱已满或者设置拒收等）导致通知发送失败，则发送方按照上述地址以寄送方式送达的书面文件，寄送后第</w:t>
      </w:r>
      <w:r>
        <w:rPr>
          <w:rFonts w:ascii="宋体" w:hAnsi="宋体" w:cs="宋体"/>
          <w:b w:val="0"/>
          <w:bCs/>
          <w:sz w:val="24"/>
        </w:rPr>
        <w:t>3</w:t>
      </w:r>
      <w:r>
        <w:rPr>
          <w:rFonts w:hint="eastAsia" w:ascii="宋体" w:hAnsi="宋体" w:cs="宋体"/>
          <w:b w:val="0"/>
          <w:bCs/>
          <w:sz w:val="24"/>
        </w:rPr>
        <w:t>个工作日视为送达；以电子邮件方式送达的书面文件，以电子邮件发送时间作为通知送达时间。。</w:t>
      </w:r>
    </w:p>
    <w:tbl>
      <w:tblPr>
        <w:tblStyle w:val="4"/>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162"/>
        <w:gridCol w:w="1313"/>
        <w:gridCol w:w="172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130"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单位名称</w:t>
            </w:r>
          </w:p>
        </w:tc>
        <w:tc>
          <w:tcPr>
            <w:tcW w:w="1162"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电话</w:t>
            </w:r>
          </w:p>
        </w:tc>
        <w:tc>
          <w:tcPr>
            <w:tcW w:w="1313"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传真</w:t>
            </w:r>
          </w:p>
        </w:tc>
        <w:tc>
          <w:tcPr>
            <w:tcW w:w="172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电子邮件</w:t>
            </w:r>
          </w:p>
        </w:tc>
        <w:tc>
          <w:tcPr>
            <w:tcW w:w="274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30"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b w:val="0"/>
                <w:bCs/>
                <w:sz w:val="24"/>
                <w:u w:val="single"/>
              </w:rPr>
            </w:pPr>
            <w:r>
              <w:rPr>
                <w:rFonts w:hint="eastAsia"/>
                <w:b w:val="0"/>
                <w:bCs/>
                <w:sz w:val="24"/>
              </w:rPr>
              <w:t>（甲方）</w:t>
            </w:r>
          </w:p>
        </w:tc>
        <w:tc>
          <w:tcPr>
            <w:tcW w:w="1162"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1313"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172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274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0"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r>
              <w:rPr>
                <w:rFonts w:hint="eastAsia" w:ascii="宋体" w:hAnsi="宋体"/>
                <w:b w:val="0"/>
                <w:bCs/>
                <w:color w:val="000000"/>
                <w:sz w:val="24"/>
              </w:rPr>
              <w:t>（乙方）</w:t>
            </w:r>
          </w:p>
        </w:tc>
        <w:tc>
          <w:tcPr>
            <w:tcW w:w="1162"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1313"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172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c>
          <w:tcPr>
            <w:tcW w:w="2745" w:type="dxa"/>
            <w:noWrap w:val="0"/>
            <w:vAlign w:val="top"/>
          </w:tcPr>
          <w:p>
            <w:pPr>
              <w:pageBreakBefore w:val="0"/>
              <w:widowControl w:val="0"/>
              <w:kinsoku/>
              <w:wordWrap/>
              <w:overflowPunct/>
              <w:topLinePunct w:val="0"/>
              <w:autoSpaceDE w:val="0"/>
              <w:autoSpaceDN w:val="0"/>
              <w:bidi w:val="0"/>
              <w:adjustRightInd w:val="0"/>
              <w:snapToGrid w:val="0"/>
              <w:spacing w:line="240" w:lineRule="auto"/>
              <w:ind w:left="0" w:leftChars="0" w:firstLine="480" w:firstLineChars="200"/>
              <w:jc w:val="center"/>
              <w:rPr>
                <w:rFonts w:ascii="宋体" w:hAnsi="宋体"/>
                <w:b w:val="0"/>
                <w:bCs/>
                <w:color w:val="000000"/>
                <w:sz w:val="24"/>
              </w:rPr>
            </w:pPr>
          </w:p>
        </w:tc>
      </w:tr>
    </w:tbl>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计量单位</w:t>
      </w:r>
    </w:p>
    <w:p>
      <w:pPr>
        <w:pageBreakBefore w:val="0"/>
        <w:widowControl w:val="0"/>
        <w:tabs>
          <w:tab w:val="left" w:pos="8100"/>
          <w:tab w:val="left" w:pos="8600"/>
        </w:tabs>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除技术规范中另有规定外，计量单位均使用国家法定计量单位。</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适用法律</w:t>
      </w:r>
    </w:p>
    <w:p>
      <w:pPr>
        <w:pageBreakBefore w:val="0"/>
        <w:widowControl w:val="0"/>
        <w:tabs>
          <w:tab w:val="left" w:pos="8100"/>
          <w:tab w:val="left" w:pos="8600"/>
        </w:tabs>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本合同应按照中华人民共和国的法律进行解释。</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合同未尽事宜</w:t>
      </w:r>
    </w:p>
    <w:p>
      <w:pPr>
        <w:pageBreakBefore w:val="0"/>
        <w:widowControl w:val="0"/>
        <w:tabs>
          <w:tab w:val="left" w:pos="8100"/>
          <w:tab w:val="left" w:pos="8600"/>
        </w:tabs>
        <w:kinsoku/>
        <w:wordWrap/>
        <w:overflowPunct/>
        <w:topLinePunct w:val="0"/>
        <w:bidi w:val="0"/>
        <w:adjustRightInd w:val="0"/>
        <w:snapToGrid w:val="0"/>
        <w:spacing w:line="240" w:lineRule="auto"/>
        <w:ind w:left="0" w:leftChars="0" w:firstLine="480" w:firstLineChars="200"/>
        <w:rPr>
          <w:rFonts w:ascii="宋体" w:hAnsi="宋体" w:cs="宋体"/>
          <w:b w:val="0"/>
          <w:bCs/>
          <w:sz w:val="24"/>
        </w:rPr>
      </w:pPr>
      <w:r>
        <w:rPr>
          <w:rFonts w:hint="eastAsia" w:ascii="宋体" w:hAnsi="宋体" w:cs="宋体"/>
          <w:b w:val="0"/>
          <w:bCs/>
          <w:sz w:val="24"/>
        </w:rPr>
        <w:t>本合同未尽事宜按《中华人民共和国民法典》执行，或由甲乙双方另行协商签订书面补充协议。</w:t>
      </w:r>
    </w:p>
    <w:p>
      <w:pPr>
        <w:pageBreakBefore w:val="0"/>
        <w:widowControl w:val="0"/>
        <w:numPr>
          <w:ilvl w:val="0"/>
          <w:numId w:val="1"/>
        </w:numPr>
        <w:kinsoku/>
        <w:wordWrap/>
        <w:overflowPunct/>
        <w:topLinePunct w:val="0"/>
        <w:bidi w:val="0"/>
        <w:adjustRightInd w:val="0"/>
        <w:snapToGrid w:val="0"/>
        <w:spacing w:line="240" w:lineRule="auto"/>
        <w:ind w:left="0" w:leftChars="0" w:firstLine="480" w:firstLineChars="200"/>
        <w:jc w:val="left"/>
        <w:textAlignment w:val="baseline"/>
        <w:rPr>
          <w:rFonts w:ascii="宋体" w:hAnsi="宋体" w:cs="宋体"/>
          <w:b w:val="0"/>
          <w:bCs/>
          <w:sz w:val="24"/>
        </w:rPr>
      </w:pPr>
      <w:r>
        <w:rPr>
          <w:rFonts w:hint="eastAsia" w:ascii="宋体" w:hAnsi="宋体" w:cs="宋体"/>
          <w:b w:val="0"/>
          <w:bCs/>
          <w:sz w:val="24"/>
        </w:rPr>
        <w:t>合同生效</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本合同经</w:t>
      </w:r>
      <w:r>
        <w:rPr>
          <w:rFonts w:hint="eastAsia" w:ascii="宋体" w:hAnsi="宋体" w:cs="宋体"/>
          <w:b w:val="0"/>
          <w:bCs/>
          <w:sz w:val="24"/>
        </w:rPr>
        <w:t>双方法定代表人或授权代表签字并加盖双方单位公章后即生效，至双方均履行完各自的合同义务且双方无争议后终止。</w:t>
      </w:r>
    </w:p>
    <w:p>
      <w:pPr>
        <w:keepNext/>
        <w:keepLines/>
        <w:pageBreakBefore w:val="0"/>
        <w:widowControl w:val="0"/>
        <w:numPr>
          <w:ilvl w:val="0"/>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1"/>
        <w:rPr>
          <w:rFonts w:ascii="宋体" w:hAnsi="宋体" w:cs="宋体"/>
          <w:b w:val="0"/>
          <w:bCs/>
          <w:sz w:val="24"/>
        </w:rPr>
      </w:pPr>
      <w:r>
        <w:rPr>
          <w:rFonts w:hint="eastAsia" w:ascii="宋体" w:hAnsi="宋体" w:cs="宋体"/>
          <w:b w:val="0"/>
          <w:bCs/>
          <w:sz w:val="24"/>
        </w:rPr>
        <w:t>其他</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本合同一式</w:t>
      </w:r>
      <w:r>
        <w:rPr>
          <w:rFonts w:hint="eastAsia" w:ascii="宋体" w:hAnsi="宋体" w:cs="宋体"/>
          <w:b w:val="0"/>
          <w:bCs/>
          <w:sz w:val="24"/>
          <w:lang w:eastAsia="zh-Hans"/>
        </w:rPr>
        <w:t>肆</w:t>
      </w:r>
      <w:r>
        <w:rPr>
          <w:rFonts w:hint="eastAsia" w:ascii="宋体" w:hAnsi="宋体" w:cs="宋体"/>
          <w:b w:val="0"/>
          <w:bCs/>
          <w:sz w:val="24"/>
        </w:rPr>
        <w:t>份，甲方持</w:t>
      </w:r>
      <w:r>
        <w:rPr>
          <w:rFonts w:hint="eastAsia" w:ascii="宋体" w:hAnsi="宋体" w:cs="宋体"/>
          <w:b w:val="0"/>
          <w:bCs/>
          <w:sz w:val="24"/>
          <w:lang w:eastAsia="zh-Hans"/>
        </w:rPr>
        <w:t>贰</w:t>
      </w:r>
      <w:r>
        <w:rPr>
          <w:rFonts w:hint="eastAsia" w:ascii="宋体" w:hAnsi="宋体" w:cs="宋体"/>
          <w:b w:val="0"/>
          <w:bCs/>
          <w:sz w:val="24"/>
        </w:rPr>
        <w:t>份，乙方持</w:t>
      </w:r>
      <w:r>
        <w:rPr>
          <w:rFonts w:hint="eastAsia" w:ascii="宋体" w:hAnsi="宋体" w:cs="宋体"/>
          <w:b w:val="0"/>
          <w:bCs/>
          <w:sz w:val="24"/>
          <w:lang w:eastAsia="zh-Hans"/>
        </w:rPr>
        <w:t>贰</w:t>
      </w:r>
      <w:r>
        <w:rPr>
          <w:rFonts w:hint="eastAsia" w:ascii="宋体" w:hAnsi="宋体" w:cs="宋体"/>
          <w:b w:val="0"/>
          <w:bCs/>
          <w:sz w:val="24"/>
        </w:rPr>
        <w:t>份，具有同等法律效力。</w:t>
      </w:r>
    </w:p>
    <w:p>
      <w:pPr>
        <w:keepNext/>
        <w:keepLines/>
        <w:pageBreakBefore w:val="0"/>
        <w:widowControl w:val="0"/>
        <w:numPr>
          <w:ilvl w:val="1"/>
          <w:numId w:val="1"/>
        </w:numPr>
        <w:tabs>
          <w:tab w:val="left" w:pos="360"/>
          <w:tab w:val="left" w:pos="1200"/>
        </w:tabs>
        <w:kinsoku/>
        <w:wordWrap/>
        <w:overflowPunct/>
        <w:topLinePunct w:val="0"/>
        <w:bidi w:val="0"/>
        <w:adjustRightInd w:val="0"/>
        <w:snapToGrid w:val="0"/>
        <w:spacing w:line="240" w:lineRule="auto"/>
        <w:ind w:left="0" w:leftChars="0" w:firstLine="480" w:firstLineChars="200"/>
        <w:outlineLvl w:val="2"/>
        <w:rPr>
          <w:rFonts w:ascii="宋体" w:hAnsi="宋体" w:cs="宋体"/>
          <w:b w:val="0"/>
          <w:bCs/>
          <w:sz w:val="24"/>
        </w:rPr>
      </w:pPr>
      <w:r>
        <w:rPr>
          <w:rFonts w:hint="eastAsia" w:ascii="宋体" w:hAnsi="宋体" w:cs="宋体"/>
          <w:b w:val="0"/>
          <w:bCs/>
          <w:sz w:val="24"/>
        </w:rPr>
        <w:t>合同附件列表：附件一、《北京市法律援助中心信息化安全保障项目采购需求（第一包）》；附件二、项目报价书。</w:t>
      </w:r>
    </w:p>
    <w:p>
      <w:pPr>
        <w:spacing w:line="560" w:lineRule="exact"/>
        <w:ind w:firstLine="480" w:firstLineChars="200"/>
        <w:rPr>
          <w:rFonts w:hint="eastAsia" w:ascii="宋体" w:hAnsi="宋体" w:cs="宋体"/>
          <w:b w:val="0"/>
          <w:bCs/>
          <w:sz w:val="24"/>
        </w:rPr>
      </w:pPr>
      <w:r>
        <w:rPr>
          <w:rFonts w:hint="eastAsia" w:ascii="宋体" w:hAnsi="宋体" w:cs="宋体"/>
          <w:b w:val="0"/>
          <w:bCs/>
          <w:sz w:val="24"/>
        </w:rPr>
        <w:t xml:space="preserve"> （以下无正文，为签署页）</w:t>
      </w:r>
    </w:p>
    <w:p>
      <w:pPr>
        <w:pStyle w:val="2"/>
        <w:rPr>
          <w:rFonts w:hint="eastAsia" w:ascii="宋体" w:hAnsi="宋体" w:cs="宋体"/>
          <w:b w:val="0"/>
          <w:bCs/>
          <w:sz w:val="24"/>
        </w:rPr>
      </w:pPr>
    </w:p>
    <w:p>
      <w:pPr>
        <w:pStyle w:val="2"/>
        <w:rPr>
          <w:rFonts w:hint="eastAsia" w:ascii="宋体" w:hAnsi="宋体" w:cs="宋体"/>
          <w:b w:val="0"/>
          <w:bCs/>
          <w:sz w:val="24"/>
        </w:rPr>
      </w:pPr>
    </w:p>
    <w:p>
      <w:pPr>
        <w:pStyle w:val="2"/>
        <w:rPr>
          <w:rFonts w:hint="eastAsia" w:ascii="宋体" w:hAnsi="宋体" w:cs="宋体"/>
          <w:b w:val="0"/>
          <w:bCs/>
          <w:sz w:val="24"/>
        </w:rPr>
      </w:pPr>
    </w:p>
    <w:p>
      <w:pPr>
        <w:pStyle w:val="2"/>
        <w:rPr>
          <w:rFonts w:hint="eastAsia" w:ascii="宋体" w:hAnsi="宋体" w:cs="宋体"/>
          <w:b w:val="0"/>
          <w:bCs/>
          <w:sz w:val="24"/>
        </w:rPr>
      </w:pPr>
    </w:p>
    <w:p>
      <w:pPr>
        <w:pStyle w:val="2"/>
        <w:rPr>
          <w:rFonts w:hint="eastAsia" w:ascii="宋体" w:hAnsi="宋体" w:cs="宋体"/>
          <w:b w:val="0"/>
          <w:bCs/>
          <w:sz w:val="24"/>
        </w:rPr>
      </w:pPr>
    </w:p>
    <w:p>
      <w:pPr>
        <w:pStyle w:val="2"/>
      </w:pPr>
    </w:p>
    <w:p>
      <w:pPr>
        <w:tabs>
          <w:tab w:val="left" w:pos="4395"/>
        </w:tabs>
        <w:spacing w:line="560" w:lineRule="exact"/>
        <w:ind w:firstLine="480" w:firstLineChars="200"/>
        <w:rPr>
          <w:b w:val="0"/>
          <w:bCs/>
          <w:sz w:val="24"/>
        </w:rPr>
      </w:pPr>
      <w:r>
        <w:rPr>
          <w:rFonts w:hint="eastAsia" w:ascii="宋体" w:hAnsi="宋体" w:cs="宋体"/>
          <w:b w:val="0"/>
          <w:bCs/>
          <w:sz w:val="24"/>
        </w:rPr>
        <w:t xml:space="preserve">甲方：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（盖章）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法定代表人或授权代表（签字）：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甲方账户名称：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甲方开户行：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甲方账号：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日期：    年     月     日            </w:t>
      </w:r>
    </w:p>
    <w:p>
      <w:pPr>
        <w:tabs>
          <w:tab w:val="left" w:pos="4395"/>
        </w:tabs>
        <w:spacing w:line="560" w:lineRule="exact"/>
        <w:ind w:firstLine="480" w:firstLineChars="200"/>
        <w:rPr>
          <w:rFonts w:ascii="宋体" w:hAnsi="宋体" w:cs="宋体"/>
          <w:b w:val="0"/>
          <w:bCs/>
          <w:sz w:val="24"/>
        </w:rPr>
      </w:pPr>
    </w:p>
    <w:p>
      <w:pPr>
        <w:tabs>
          <w:tab w:val="left" w:pos="4395"/>
        </w:tabs>
        <w:spacing w:line="560" w:lineRule="exact"/>
        <w:ind w:firstLine="480" w:firstLineChars="200"/>
        <w:rPr>
          <w:rFonts w:ascii="宋体" w:hAnsi="宋体" w:cs="宋体"/>
          <w:b w:val="0"/>
          <w:bCs/>
          <w:sz w:val="24"/>
        </w:rPr>
      </w:pPr>
      <w:r>
        <w:rPr>
          <w:rFonts w:hint="eastAsia" w:ascii="宋体" w:hAnsi="宋体" w:cs="宋体"/>
          <w:b w:val="0"/>
          <w:bCs/>
          <w:sz w:val="24"/>
        </w:rPr>
        <w:t xml:space="preserve">乙方：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（盖章）                             </w:t>
      </w:r>
    </w:p>
    <w:p>
      <w:pPr>
        <w:spacing w:line="560" w:lineRule="exact"/>
        <w:ind w:firstLine="480" w:firstLineChars="200"/>
        <w:rPr>
          <w:rFonts w:ascii="宋体" w:hAnsi="宋体" w:cs="宋体"/>
          <w:b w:val="0"/>
          <w:bCs/>
          <w:sz w:val="24"/>
        </w:rPr>
      </w:pPr>
      <w:r>
        <w:rPr>
          <w:rFonts w:hint="eastAsia" w:ascii="宋体" w:hAnsi="宋体" w:cs="宋体"/>
          <w:b w:val="0"/>
          <w:bCs/>
          <w:sz w:val="24"/>
        </w:rPr>
        <w:t>法定代表人或授权代表（签字）：</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乙方账户名称：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乙方开户行：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乙方账号：                         </w:t>
      </w:r>
    </w:p>
    <w:p>
      <w:pPr>
        <w:spacing w:line="560" w:lineRule="exact"/>
        <w:ind w:firstLine="480" w:firstLineChars="200"/>
        <w:rPr>
          <w:rFonts w:ascii="宋体" w:hAnsi="宋体" w:cs="宋体"/>
          <w:b w:val="0"/>
          <w:bCs/>
          <w:sz w:val="24"/>
        </w:rPr>
      </w:pPr>
      <w:r>
        <w:rPr>
          <w:rFonts w:hint="eastAsia" w:ascii="宋体" w:hAnsi="宋体" w:cs="宋体"/>
          <w:b w:val="0"/>
          <w:bCs/>
          <w:sz w:val="24"/>
        </w:rPr>
        <w:t xml:space="preserve">日期：    年     月     日          </w:t>
      </w:r>
    </w:p>
    <w:p>
      <w:pPr>
        <w:spacing w:line="360" w:lineRule="auto"/>
        <w:rPr>
          <w:rFonts w:ascii="宋体" w:hAnsi="宋体"/>
          <w:b w:val="0"/>
          <w:bCs/>
          <w:szCs w:val="20"/>
          <w:u w:val="single"/>
        </w:rPr>
      </w:pPr>
    </w:p>
    <w:p>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E53A3"/>
    <w:multiLevelType w:val="multilevel"/>
    <w:tmpl w:val="FBCE53A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7C532F1"/>
    <w:multiLevelType w:val="multilevel"/>
    <w:tmpl w:val="67C532F1"/>
    <w:lvl w:ilvl="0" w:tentative="0">
      <w:start w:val="1"/>
      <w:numFmt w:val="decimal"/>
      <w:lvlText w:val="%1"/>
      <w:lvlJc w:val="left"/>
      <w:pPr>
        <w:ind w:left="425" w:hanging="425"/>
      </w:pPr>
      <w:rPr>
        <w:sz w:val="24"/>
        <w:szCs w:val="24"/>
      </w:rPr>
    </w:lvl>
    <w:lvl w:ilvl="1" w:tentative="0">
      <w:start w:val="1"/>
      <w:numFmt w:val="decimal"/>
      <w:lvlText w:val="%1.%2"/>
      <w:lvlJc w:val="left"/>
      <w:pPr>
        <w:ind w:left="992" w:hanging="567"/>
      </w:pPr>
      <w:rPr>
        <w:b w:val="0"/>
        <w:bCs/>
      </w:rPr>
    </w:lvl>
    <w:lvl w:ilvl="2" w:tentative="0">
      <w:start w:val="1"/>
      <w:numFmt w:val="decimal"/>
      <w:lvlText w:val="%1.%2.%3"/>
      <w:lvlJc w:val="left"/>
      <w:pPr>
        <w:ind w:left="1418" w:hanging="567"/>
      </w:pPr>
      <w:rPr>
        <w:b w:val="0"/>
        <w:bC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D0D52"/>
    <w:rsid w:val="3F4BF9CC"/>
    <w:rsid w:val="5A3D0D52"/>
    <w:rsid w:val="ECD9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b/>
      <w:color w:val="000000" w:themeColor="text1"/>
      <w:kern w:val="2"/>
      <w:sz w:val="21"/>
      <w:szCs w:val="44"/>
      <w:lang w:val="en-US" w:eastAsia="zh-CN" w:bidi="ar-SA"/>
      <w14:textFill>
        <w14:solidFill>
          <w14:schemeClr w14:val="tx1"/>
        </w14:solidFill>
      </w14:textFil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2025-04-17T09:19:00Z</dcterms:created>
  <dc:creator>徐博</dc:creator>
  <cp:lastModifiedBy>徐博</cp:lastModifiedBy>
  <dcterms:modified xsi:type="dcterms:W3CDTF">2025-04-17T10:03:49Z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