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s>
        <w:kinsoku/>
        <w:wordWrap/>
        <w:overflowPunct/>
        <w:topLinePunct w:val="0"/>
        <w:autoSpaceDE/>
        <w:autoSpaceDN/>
        <w:bidi w:val="0"/>
        <w:adjustRightInd/>
        <w:spacing w:line="520" w:lineRule="exact"/>
        <w:jc w:val="center"/>
        <w:textAlignment w:val="auto"/>
        <w:rPr>
          <w:rFonts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pacing w:val="-10"/>
          <w:sz w:val="44"/>
          <w:szCs w:val="44"/>
        </w:rPr>
        <w:t>市纪委市监委机关办公用品及耗材</w:t>
      </w:r>
    </w:p>
    <w:p>
      <w:pPr>
        <w:keepNext w:val="0"/>
        <w:keepLines w:val="0"/>
        <w:pageBreakBefore w:val="0"/>
        <w:widowControl w:val="0"/>
        <w:tabs>
          <w:tab w:val="center" w:pos="4153"/>
        </w:tabs>
        <w:kinsoku/>
        <w:wordWrap/>
        <w:overflowPunct/>
        <w:topLinePunct w:val="0"/>
        <w:autoSpaceDE/>
        <w:autoSpaceDN/>
        <w:bidi w:val="0"/>
        <w:adjustRightInd/>
        <w:spacing w:line="520" w:lineRule="exact"/>
        <w:jc w:val="center"/>
        <w:textAlignment w:val="auto"/>
        <w:rPr>
          <w:rFonts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pacing w:val="-10"/>
          <w:sz w:val="44"/>
          <w:szCs w:val="44"/>
        </w:rPr>
        <w:t>采购协议</w:t>
      </w:r>
    </w:p>
    <w:p>
      <w:pPr>
        <w:keepNext w:val="0"/>
        <w:keepLines w:val="0"/>
        <w:pageBreakBefore w:val="0"/>
        <w:widowControl w:val="0"/>
        <w:kinsoku/>
        <w:wordWrap/>
        <w:overflowPunct/>
        <w:topLinePunct w:val="0"/>
        <w:autoSpaceDE/>
        <w:autoSpaceDN/>
        <w:bidi w:val="0"/>
        <w:adjustRightInd/>
        <w:spacing w:after="0" w:line="520" w:lineRule="exact"/>
        <w:textAlignment w:val="auto"/>
      </w:pPr>
    </w:p>
    <w:tbl>
      <w:tblPr>
        <w:tblStyle w:val="4"/>
        <w:tblW w:w="8471" w:type="dxa"/>
        <w:tblInd w:w="0" w:type="dxa"/>
        <w:tblLayout w:type="fixed"/>
        <w:tblCellMar>
          <w:top w:w="0" w:type="dxa"/>
          <w:left w:w="108" w:type="dxa"/>
          <w:bottom w:w="0" w:type="dxa"/>
          <w:right w:w="108" w:type="dxa"/>
        </w:tblCellMar>
      </w:tblPr>
      <w:tblGrid>
        <w:gridCol w:w="8471"/>
      </w:tblGrid>
      <w:tr>
        <w:tblPrEx>
          <w:tblCellMar>
            <w:top w:w="0" w:type="dxa"/>
            <w:left w:w="108" w:type="dxa"/>
            <w:bottom w:w="0" w:type="dxa"/>
            <w:right w:w="108" w:type="dxa"/>
          </w:tblCellMar>
        </w:tblPrEx>
        <w:tc>
          <w:tcPr>
            <w:tcW w:w="8471" w:type="dxa"/>
          </w:tcPr>
          <w:p>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甲（买）方：中国共产党北京市纪律检查委员会机关</w:t>
            </w:r>
          </w:p>
        </w:tc>
      </w:tr>
      <w:tr>
        <w:tblPrEx>
          <w:tblCellMar>
            <w:top w:w="0" w:type="dxa"/>
            <w:left w:w="108" w:type="dxa"/>
            <w:bottom w:w="0" w:type="dxa"/>
            <w:right w:w="108" w:type="dxa"/>
          </w:tblCellMar>
        </w:tblPrEx>
        <w:trPr>
          <w:trHeight w:val="543" w:hRule="atLeast"/>
        </w:trPr>
        <w:tc>
          <w:tcPr>
            <w:tcW w:w="8471" w:type="dxa"/>
          </w:tcPr>
          <w:p>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地址：通州区览秀西路5号</w:t>
            </w:r>
          </w:p>
        </w:tc>
      </w:tr>
      <w:tr>
        <w:tblPrEx>
          <w:tblCellMar>
            <w:top w:w="0" w:type="dxa"/>
            <w:left w:w="108" w:type="dxa"/>
            <w:bottom w:w="0" w:type="dxa"/>
            <w:right w:w="108" w:type="dxa"/>
          </w:tblCellMar>
        </w:tblPrEx>
        <w:trPr>
          <w:trHeight w:val="543" w:hRule="atLeast"/>
        </w:trPr>
        <w:tc>
          <w:tcPr>
            <w:tcW w:w="8471" w:type="dxa"/>
          </w:tcPr>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乙（卖）方：贵昌集团有限公司</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法定代表人：刘辉</w:t>
            </w:r>
          </w:p>
          <w:p>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联系电话：13699288364</w:t>
            </w:r>
          </w:p>
        </w:tc>
      </w:tr>
      <w:tr>
        <w:tblPrEx>
          <w:tblCellMar>
            <w:top w:w="0" w:type="dxa"/>
            <w:left w:w="108" w:type="dxa"/>
            <w:bottom w:w="0" w:type="dxa"/>
            <w:right w:w="108" w:type="dxa"/>
          </w:tblCellMar>
        </w:tblPrEx>
        <w:trPr>
          <w:trHeight w:val="543" w:hRule="atLeast"/>
        </w:trPr>
        <w:tc>
          <w:tcPr>
            <w:tcW w:w="8471" w:type="dxa"/>
          </w:tcPr>
          <w:p>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r>
              <w:rPr>
                <w:rFonts w:ascii="仿宋_GB2312" w:hAnsi="仿宋_GB2312" w:eastAsia="仿宋_GB2312" w:cs="仿宋_GB2312"/>
                <w:kern w:val="0"/>
                <w:sz w:val="28"/>
                <w:szCs w:val="28"/>
              </w:rPr>
              <w:t>北京市丰台区六圈西路8号新华双创园B座2层209室</w:t>
            </w:r>
          </w:p>
        </w:tc>
      </w:tr>
    </w:tbl>
    <w:p>
      <w:pPr>
        <w:keepNext w:val="0"/>
        <w:keepLines w:val="0"/>
        <w:pageBreakBefore w:val="0"/>
        <w:widowControl w:val="0"/>
        <w:kinsoku/>
        <w:wordWrap/>
        <w:overflowPunct/>
        <w:topLinePunct w:val="0"/>
        <w:autoSpaceDE/>
        <w:autoSpaceDN/>
        <w:bidi w:val="0"/>
        <w:adjustRightInd/>
        <w:spacing w:before="120" w:line="520" w:lineRule="exact"/>
        <w:textAlignment w:val="auto"/>
        <w:rPr>
          <w:rFonts w:ascii="仿宋_GB2312" w:hAnsi="仿宋_GB2312" w:eastAsia="仿宋_GB2312" w:cs="仿宋_GB2312"/>
          <w:kern w:val="0"/>
          <w:sz w:val="30"/>
          <w:szCs w:val="30"/>
        </w:rPr>
      </w:pPr>
    </w:p>
    <w:p>
      <w:pPr>
        <w:keepNext w:val="0"/>
        <w:keepLines w:val="0"/>
        <w:pageBreakBefore w:val="0"/>
        <w:widowControl w:val="0"/>
        <w:kinsoku/>
        <w:wordWrap/>
        <w:overflowPunct/>
        <w:topLinePunct w:val="0"/>
        <w:autoSpaceDE/>
        <w:autoSpaceDN/>
        <w:bidi w:val="0"/>
        <w:adjustRightInd/>
        <w:spacing w:before="120"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甲乙双方根据《中华人民共和国民法典》及相关法律规定，就甲方向乙方采购办公用品及耗材合作事宜，经甲乙双方协商一致，订立本协议。</w:t>
      </w:r>
    </w:p>
    <w:p>
      <w:pPr>
        <w:keepNext w:val="0"/>
        <w:keepLines w:val="0"/>
        <w:pageBreakBefore w:val="0"/>
        <w:widowControl w:val="0"/>
        <w:tabs>
          <w:tab w:val="left" w:pos="-824"/>
        </w:tabs>
        <w:kinsoku/>
        <w:wordWrap/>
        <w:overflowPunct/>
        <w:topLinePunct w:val="0"/>
        <w:autoSpaceDE/>
        <w:autoSpaceDN/>
        <w:bidi w:val="0"/>
        <w:adjustRightInd/>
        <w:spacing w:line="520" w:lineRule="exact"/>
        <w:ind w:left="64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一、产品信息及销售价格</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1.甲方下订单时应明确产品的名称、规格型号、数量、单价、金额。</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2.本协议金额以实际发生为准（但不超过项目预算金额），预算金额为人民币202万元（大写：贰佰零贰万元整）。</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结算定价原则：采购清单范围内产品，根据中标的单价定价，且结算价格不得高于京东、天猫自营店及旗舰店的产品价格。如果有特殊情况，对于采购清单中未列出的办公用品及耗材，定价不得高于京东、天猫自营店及旗舰店的产品价格。</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4.乙方产品价格包含运费。因乙方邮寄发票、单据等材料产生的运费由乙方承担。</w:t>
      </w:r>
    </w:p>
    <w:p>
      <w:pPr>
        <w:keepNext w:val="0"/>
        <w:keepLines w:val="0"/>
        <w:pageBreakBefore w:val="0"/>
        <w:widowControl w:val="0"/>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二、交货</w:t>
      </w:r>
    </w:p>
    <w:p>
      <w:pPr>
        <w:keepNext w:val="0"/>
        <w:keepLines w:val="0"/>
        <w:pageBreakBefore w:val="0"/>
        <w:widowControl w:val="0"/>
        <w:tabs>
          <w:tab w:val="left" w:pos="780"/>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1.乙方应在甲方下单后5个工作日内，将甲方所购货物送至甲方指定地点，双方另有约定的除外。但因恶劣天气和突发交通事件等人力不可抗拒因素引起的延误送货，甲乙双方另行协商交付时间。</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2.乙方在交付货物时应当出具相关交付证明，甲方核对货物后，在相关交付证明上签字，双方各执一份留存。</w:t>
      </w:r>
    </w:p>
    <w:p>
      <w:pPr>
        <w:keepNext w:val="0"/>
        <w:keepLines w:val="0"/>
        <w:pageBreakBefore w:val="0"/>
        <w:widowControl w:val="0"/>
        <w:kinsoku/>
        <w:wordWrap/>
        <w:overflowPunct/>
        <w:topLinePunct w:val="0"/>
        <w:autoSpaceDE/>
        <w:autoSpaceDN/>
        <w:bidi w:val="0"/>
        <w:adjustRightInd/>
        <w:spacing w:after="0" w:line="520" w:lineRule="exact"/>
        <w:textAlignment w:val="auto"/>
        <w:rPr>
          <w:sz w:val="32"/>
          <w:szCs w:val="32"/>
        </w:rPr>
      </w:pPr>
      <w:r>
        <w:rPr>
          <w:rFonts w:hint="eastAsia" w:ascii="仿宋_GB2312" w:hAnsi="仿宋_GB2312" w:eastAsia="仿宋_GB2312" w:cs="仿宋_GB2312"/>
          <w:sz w:val="32"/>
          <w:szCs w:val="32"/>
        </w:rPr>
        <w:t xml:space="preserve">    3.甲方因工作原因要求乙方加急送货或次日送货的，乙方应积极配合。</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三、开票、付款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1.乙方应于次月或按照甲方要求，向甲方提供上月采购商品清单、交付证明等材料。甲方对乙方提供材料进行审核，经审核无误后要求乙方根据清单金额开具发票。</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2.甲方根据发票金额履行支付手续。</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w:t>
      </w:r>
      <w:r>
        <w:rPr>
          <w:rFonts w:hint="eastAsia" w:ascii="仿宋_GB2312" w:hAnsi="仿宋_GB2312" w:eastAsia="仿宋_GB2312" w:cs="仿宋_GB2312"/>
          <w:color w:val="000000"/>
          <w:sz w:val="32"/>
          <w:szCs w:val="32"/>
          <w:lang w:eastAsia="zh-CN"/>
        </w:rPr>
        <w:t>发票抬头</w:t>
      </w:r>
      <w:r>
        <w:rPr>
          <w:rFonts w:hint="eastAsia" w:ascii="仿宋_GB2312" w:hAnsi="仿宋_GB2312" w:eastAsia="仿宋_GB2312" w:cs="仿宋_GB2312"/>
          <w:color w:val="000000"/>
          <w:sz w:val="32"/>
          <w:szCs w:val="32"/>
        </w:rPr>
        <w:t>、纳税人识别号（开票信息）：</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发票抬头</w:t>
      </w:r>
      <w:r>
        <w:rPr>
          <w:rFonts w:hint="eastAsia" w:ascii="仿宋_GB2312" w:hAnsi="仿宋_GB2312" w:eastAsia="仿宋_GB2312" w:cs="仿宋_GB2312"/>
          <w:color w:val="000000"/>
          <w:sz w:val="32"/>
          <w:szCs w:val="32"/>
        </w:rPr>
        <w:t>：中共北京市纪委</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纳税人识别号：11110000000020</w:t>
      </w:r>
      <w:bookmarkStart w:id="3" w:name="_GoBack"/>
      <w:bookmarkEnd w:id="3"/>
      <w:r>
        <w:rPr>
          <w:rFonts w:hint="eastAsia" w:ascii="仿宋_GB2312" w:hAnsi="仿宋_GB2312" w:eastAsia="仿宋_GB2312" w:cs="仿宋_GB2312"/>
          <w:color w:val="000000"/>
          <w:sz w:val="32"/>
          <w:szCs w:val="32"/>
        </w:rPr>
        <w:t>108L</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4.乙方开户银行名称、账户（付款信息）：</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 户 名：贵昌集团有限公司</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开户银行：</w:t>
      </w:r>
      <w:r>
        <w:rPr>
          <w:rFonts w:ascii="仿宋_GB2312" w:hAnsi="仿宋_GB2312" w:eastAsia="仿宋_GB2312" w:cs="仿宋_GB2312"/>
          <w:color w:val="000000"/>
          <w:sz w:val="32"/>
          <w:szCs w:val="32"/>
        </w:rPr>
        <w:t>中国工商银行股份有限公司北京望京广顺支行</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    号：</w:t>
      </w:r>
      <w:r>
        <w:rPr>
          <w:rFonts w:ascii="仿宋_GB2312" w:hAnsi="仿宋_GB2312" w:eastAsia="仿宋_GB2312" w:cs="仿宋_GB2312"/>
          <w:color w:val="000000"/>
          <w:sz w:val="32"/>
          <w:szCs w:val="32"/>
        </w:rPr>
        <w:t>0200234819200062775</w:t>
      </w:r>
    </w:p>
    <w:p>
      <w:pPr>
        <w:keepNext w:val="0"/>
        <w:keepLines w:val="0"/>
        <w:pageBreakBefore w:val="0"/>
        <w:widowControl w:val="0"/>
        <w:tabs>
          <w:tab w:val="left" w:pos="525"/>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纳税人识别号：</w:t>
      </w:r>
      <w:r>
        <w:rPr>
          <w:rFonts w:ascii="仿宋_GB2312" w:hAnsi="仿宋_GB2312" w:eastAsia="仿宋_GB2312" w:cs="仿宋_GB2312"/>
          <w:color w:val="000000"/>
          <w:sz w:val="32"/>
          <w:szCs w:val="32"/>
        </w:rPr>
        <w:t>91110106096442910X</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四、质量保证、售后服务</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乙方应保证货物是全新、未使用过的原装合格正品。并完全符合国家及行业规定的质量、规格和性能的要求以及通过国家质量标准体系认证。乙方应保证其提供的货物在正确安装、正常使用和保养条件下，在其使用寿命内具有良好的性能。</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2.乙方保证甲方在使用乙方提供的货物或货物的任何部分均不受第三方关于侵犯其所有权、专利权、商标权、工业设计权的指控。</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3.甲方在商品保修期内有权获得厂商或其授权维修机构提供的保修服务。乙方应协助联系售后服务。</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rPr>
        <w:t>五、安装、验收、退换货</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1.对初次使用前需安装调试的产品，乙方应为甲方提供免费安装调试服务及技术咨询。</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2.除双方另有约定外，乙方将商品送达客户指定地址后，甲方应当立即对商品的质量规格、数量及其他可直观判断的相关情况进行验收。</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3.如乙方所交货物与甲方下单情况不符，乙方应根据甲方要求进行包换或者包退，并承担因修理、调换或退货而产生的实际费用。</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六、违约责任</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乙方不能及时交货或部分产品无法交付，或拒不协助联系售后的，每延期一天，乙方需向甲方支付当批次订单总额仟分之壹的违约金，延期</w:t>
      </w:r>
      <w:r>
        <w:rPr>
          <w:rFonts w:hint="eastAsia" w:ascii="仿宋_GB2312" w:hAnsi="仿宋_GB2312" w:eastAsia="仿宋_GB2312" w:cs="仿宋_GB2312"/>
          <w:sz w:val="32"/>
          <w:szCs w:val="32"/>
          <w:u w:val="single"/>
        </w:rPr>
        <w:t>15个工作日</w:t>
      </w:r>
      <w:r>
        <w:rPr>
          <w:rFonts w:hint="eastAsia" w:ascii="仿宋_GB2312" w:hAnsi="仿宋_GB2312" w:eastAsia="仿宋_GB2312" w:cs="仿宋_GB2312"/>
          <w:sz w:val="32"/>
          <w:szCs w:val="32"/>
        </w:rPr>
        <w:t>以上的，甲方有权解除部分订单以及本协议，并不承担违约责任。</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七、终止</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任何一方可在对方未履行本协议条款的情况下，经书面通知对方后可立即终止本协议。</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b/>
          <w:bCs/>
          <w:sz w:val="32"/>
          <w:szCs w:val="32"/>
          <w:lang w:eastAsia="zh-CN"/>
        </w:rPr>
        <w:t>争议</w:t>
      </w:r>
      <w:r>
        <w:rPr>
          <w:rFonts w:hint="eastAsia" w:ascii="仿宋_GB2312" w:hAnsi="仿宋_GB2312" w:eastAsia="仿宋_GB2312" w:cs="仿宋_GB2312"/>
          <w:b/>
          <w:bCs/>
          <w:sz w:val="32"/>
          <w:szCs w:val="32"/>
        </w:rPr>
        <w:t>解决</w:t>
      </w:r>
    </w:p>
    <w:p>
      <w:pPr>
        <w:keepNext w:val="0"/>
        <w:keepLines w:val="0"/>
        <w:pageBreakBefore w:val="0"/>
        <w:widowControl w:val="0"/>
        <w:kinsoku/>
        <w:wordWrap/>
        <w:overflowPunct/>
        <w:topLinePunct w:val="0"/>
        <w:autoSpaceDE/>
        <w:autoSpaceDN/>
        <w:bidi w:val="0"/>
        <w:adjustRightInd/>
        <w:spacing w:line="520" w:lineRule="exact"/>
        <w:ind w:firstLine="646" w:firstLineChars="20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履行本协议过程中发生争议，由双方当事人协商解决。协商不成，任何一方应向甲方所在地人民法院起诉。</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2"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九、其他事项</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1.本协议有效期自双方签字盖章之日起</w:t>
      </w:r>
      <w:r>
        <w:rPr>
          <w:rFonts w:hint="eastAsia" w:ascii="仿宋_GB2312" w:hAnsi="仿宋_GB2312" w:eastAsia="仿宋_GB2312" w:cs="仿宋_GB2312"/>
          <w:bCs/>
          <w:color w:val="000000"/>
          <w:sz w:val="32"/>
          <w:szCs w:val="32"/>
          <w:u w:val="single"/>
        </w:rPr>
        <w:t>至2026年12月31日</w:t>
      </w:r>
      <w:r>
        <w:rPr>
          <w:rFonts w:hint="eastAsia" w:ascii="仿宋_GB2312" w:hAnsi="仿宋_GB2312" w:eastAsia="仿宋_GB2312" w:cs="仿宋_GB2312"/>
          <w:bCs/>
          <w:color w:val="000000"/>
          <w:sz w:val="32"/>
          <w:szCs w:val="32"/>
        </w:rPr>
        <w:t>。</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2.协议如有未尽事宜，须经双方共同协商，作出补充规定，补充规定与本协议具有同等法律效力。</w:t>
      </w:r>
    </w:p>
    <w:p>
      <w:pPr>
        <w:keepNext w:val="0"/>
        <w:keepLines w:val="0"/>
        <w:pageBreakBefore w:val="0"/>
        <w:widowControl w:val="0"/>
        <w:kinsoku/>
        <w:wordWrap/>
        <w:overflowPunct/>
        <w:topLinePunct w:val="0"/>
        <w:autoSpaceDE/>
        <w:autoSpaceDN/>
        <w:bidi w:val="0"/>
        <w:adjustRightInd/>
        <w:spacing w:after="0" w:line="520" w:lineRule="exact"/>
        <w:ind w:firstLine="640" w:firstLineChars="200"/>
        <w:textAlignment w:val="auto"/>
        <w:rPr>
          <w:rFonts w:eastAsia="仿宋_GB2312"/>
          <w:sz w:val="32"/>
          <w:szCs w:val="32"/>
        </w:rPr>
      </w:pPr>
      <w:r>
        <w:rPr>
          <w:rFonts w:hint="eastAsia" w:ascii="仿宋_GB2312" w:hAnsi="仿宋_GB2312" w:eastAsia="仿宋_GB2312" w:cs="仿宋_GB2312"/>
          <w:bCs/>
          <w:color w:val="000000"/>
          <w:sz w:val="32"/>
          <w:szCs w:val="32"/>
        </w:rPr>
        <w:t>3.《采购需求》（附件1）、</w:t>
      </w:r>
      <w:bookmarkStart w:id="0" w:name="OLE_LINK3"/>
      <w:r>
        <w:rPr>
          <w:rFonts w:hint="eastAsia" w:ascii="仿宋_GB2312" w:hAnsi="仿宋_GB2312" w:eastAsia="仿宋_GB2312" w:cs="仿宋_GB2312"/>
          <w:bCs/>
          <w:color w:val="000000"/>
          <w:sz w:val="32"/>
          <w:szCs w:val="32"/>
        </w:rPr>
        <w:t>《中标价格明细》（附件2）</w:t>
      </w:r>
      <w:bookmarkEnd w:id="0"/>
      <w:r>
        <w:rPr>
          <w:rFonts w:hint="eastAsia" w:ascii="仿宋_GB2312" w:hAnsi="仿宋_GB2312" w:eastAsia="仿宋_GB2312" w:cs="仿宋_GB2312"/>
          <w:bCs/>
          <w:color w:val="000000"/>
          <w:sz w:val="32"/>
          <w:szCs w:val="32"/>
        </w:rPr>
        <w:t>作为本协议补充事项，与本协议具有同等效力。</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4.本协议正本一式六份，甲乙双方各执三份</w:t>
      </w:r>
      <w:r>
        <w:rPr>
          <w:rFonts w:hint="eastAsia" w:ascii="仿宋_GB2312" w:hAnsi="仿宋_GB2312" w:eastAsia="仿宋_GB2312" w:cs="仿宋_GB2312"/>
          <w:bCs/>
          <w:color w:val="000000"/>
          <w:sz w:val="32"/>
          <w:szCs w:val="32"/>
          <w:lang w:eastAsia="zh-CN"/>
        </w:rPr>
        <w:t>，具有同等法律效力</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autoSpaceDE/>
        <w:autoSpaceDN/>
        <w:bidi w:val="0"/>
        <w:adjustRightInd/>
        <w:spacing w:before="120"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bCs/>
          <w:color w:val="000000"/>
          <w:sz w:val="32"/>
          <w:szCs w:val="32"/>
        </w:rPr>
        <w:t>《采购需求》</w:t>
      </w:r>
    </w:p>
    <w:p>
      <w:pPr>
        <w:keepNext w:val="0"/>
        <w:keepLines w:val="0"/>
        <w:pageBreakBefore w:val="0"/>
        <w:widowControl w:val="0"/>
        <w:kinsoku/>
        <w:wordWrap/>
        <w:overflowPunct/>
        <w:topLinePunct w:val="0"/>
        <w:autoSpaceDE/>
        <w:autoSpaceDN/>
        <w:bidi w:val="0"/>
        <w:adjustRightInd/>
        <w:spacing w:before="120"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附件2：《中标价格明细》</w:t>
      </w:r>
    </w:p>
    <w:p>
      <w:pPr>
        <w:keepNext w:val="0"/>
        <w:keepLines w:val="0"/>
        <w:pageBreakBefore w:val="0"/>
        <w:widowControl w:val="0"/>
        <w:tabs>
          <w:tab w:val="left" w:pos="-824"/>
        </w:tabs>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color w:val="000000"/>
          <w:sz w:val="32"/>
          <w:szCs w:val="32"/>
        </w:rPr>
      </w:pPr>
      <w:bookmarkStart w:id="1" w:name="OLE_LINK1"/>
      <w:bookmarkStart w:id="2" w:name="OLE_LINK2"/>
      <w:r>
        <w:rPr>
          <w:rFonts w:hint="eastAsia" w:ascii="仿宋_GB2312" w:hAnsi="仿宋_GB2312" w:eastAsia="仿宋_GB2312" w:cs="仿宋_GB2312"/>
          <w:bCs/>
          <w:color w:val="000000"/>
          <w:sz w:val="32"/>
          <w:szCs w:val="32"/>
        </w:rPr>
        <w:t>（以下无正文</w:t>
      </w:r>
      <w:r>
        <w:rPr>
          <w:rFonts w:hint="eastAsia" w:ascii="仿宋_GB2312" w:hAnsi="仿宋_GB2312" w:eastAsia="仿宋_GB2312" w:cs="仿宋_GB2312"/>
          <w:bCs/>
          <w:color w:val="000000"/>
          <w:sz w:val="32"/>
          <w:szCs w:val="32"/>
          <w:lang w:eastAsia="zh-CN"/>
        </w:rPr>
        <w:t>，为签章页</w:t>
      </w:r>
      <w:r>
        <w:rPr>
          <w:rFonts w:hint="eastAsia" w:ascii="仿宋_GB2312" w:hAnsi="仿宋_GB2312" w:eastAsia="仿宋_GB2312" w:cs="仿宋_GB2312"/>
          <w:bCs/>
          <w:color w:val="000000"/>
          <w:sz w:val="32"/>
          <w:szCs w:val="32"/>
        </w:rPr>
        <w:t>）</w:t>
      </w:r>
    </w:p>
    <w:p>
      <w:pPr>
        <w:tabs>
          <w:tab w:val="left" w:pos="-824"/>
        </w:tabs>
        <w:spacing w:line="560" w:lineRule="exact"/>
        <w:ind w:firstLine="640" w:firstLineChars="200"/>
        <w:rPr>
          <w:rFonts w:hint="eastAsia" w:ascii="仿宋_GB2312" w:hAnsi="仿宋_GB2312" w:eastAsia="仿宋_GB2312" w:cs="仿宋_GB2312"/>
          <w:bCs/>
          <w:color w:val="000000"/>
          <w:sz w:val="32"/>
          <w:szCs w:val="32"/>
        </w:rPr>
      </w:pPr>
    </w:p>
    <w:p>
      <w:pPr>
        <w:tabs>
          <w:tab w:val="left" w:pos="-824"/>
        </w:tabs>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甲（买）方：中国共产党北京市纪律检查委员会机关</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（盖章）</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授权代表人：</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签订时间：  </w:t>
      </w:r>
    </w:p>
    <w:p>
      <w:pPr>
        <w:spacing w:after="0" w:line="560" w:lineRule="exact"/>
        <w:rPr>
          <w:rFonts w:ascii="仿宋_GB2312" w:hAnsi="仿宋_GB2312" w:eastAsia="仿宋_GB2312" w:cs="仿宋_GB2312"/>
          <w:bCs/>
          <w:color w:val="000000"/>
          <w:sz w:val="32"/>
          <w:szCs w:val="32"/>
        </w:rPr>
      </w:pPr>
    </w:p>
    <w:p>
      <w:pPr>
        <w:spacing w:after="0" w:line="560" w:lineRule="exact"/>
        <w:rPr>
          <w:rFonts w:ascii="仿宋_GB2312" w:hAnsi="仿宋_GB2312" w:eastAsia="仿宋_GB2312" w:cs="仿宋_GB2312"/>
          <w:bCs/>
          <w:color w:val="000000"/>
          <w:sz w:val="32"/>
          <w:szCs w:val="32"/>
        </w:rPr>
      </w:pPr>
    </w:p>
    <w:p>
      <w:pPr>
        <w:tabs>
          <w:tab w:val="left" w:pos="-824"/>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乙（卖）方：</w:t>
      </w:r>
      <w:r>
        <w:rPr>
          <w:rFonts w:hint="eastAsia" w:ascii="仿宋_GB2312" w:hAnsi="仿宋_GB2312" w:eastAsia="仿宋_GB2312" w:cs="仿宋_GB2312"/>
          <w:color w:val="000000"/>
          <w:sz w:val="32"/>
          <w:szCs w:val="32"/>
        </w:rPr>
        <w:t>贵昌集团有限公司</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（盖章）</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w:t>
      </w:r>
    </w:p>
    <w:p>
      <w:pPr>
        <w:tabs>
          <w:tab w:val="left" w:pos="-824"/>
        </w:tabs>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签订时间：</w:t>
      </w:r>
    </w:p>
    <w:bookmarkEnd w:id="1"/>
    <w:bookmarkEnd w:id="2"/>
    <w:p>
      <w:pPr>
        <w:tabs>
          <w:tab w:val="left" w:pos="-824"/>
        </w:tabs>
        <w:spacing w:line="560" w:lineRule="exact"/>
        <w:ind w:firstLine="600" w:firstLineChars="200"/>
        <w:rPr>
          <w:sz w:val="30"/>
          <w:szCs w:val="30"/>
        </w:rPr>
      </w:pPr>
    </w:p>
    <w:p>
      <w:pPr>
        <w:spacing w:line="360" w:lineRule="auto"/>
        <w:ind w:firstLine="650" w:firstLineChars="271"/>
        <w:rPr>
          <w:rFonts w:ascii="宋体" w:hAnsi="宋体"/>
          <w:color w:val="000000"/>
          <w:sz w:val="24"/>
        </w:rPr>
      </w:pPr>
    </w:p>
    <w:p>
      <w:pPr>
        <w:rPr>
          <w:rFonts w:ascii="宋体" w:hAnsi="宋体" w:cs="宋体"/>
          <w:color w:val="000000"/>
        </w:rPr>
      </w:pPr>
    </w:p>
    <w:p>
      <w:pPr>
        <w:spacing w:line="360" w:lineRule="auto"/>
        <w:ind w:firstLine="650" w:firstLineChars="271"/>
        <w:rPr>
          <w:rFonts w:ascii="宋体" w:hAnsi="宋体"/>
          <w:color w:val="000000" w:themeColor="text1"/>
          <w:sz w:val="24"/>
        </w:rPr>
      </w:pPr>
    </w:p>
    <w:p>
      <w:pPr>
        <w:rPr>
          <w:rFonts w:ascii="宋体" w:hAnsi="宋体" w:cs="宋体"/>
          <w:color w:val="000000" w:themeColor="text1"/>
        </w:rPr>
      </w:pPr>
    </w:p>
    <w:sectPr>
      <w:footerReference r:id="rId5" w:type="default"/>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44C3"/>
    <w:rsid w:val="00017260"/>
    <w:rsid w:val="0016753D"/>
    <w:rsid w:val="002D103B"/>
    <w:rsid w:val="002F35D5"/>
    <w:rsid w:val="003344C3"/>
    <w:rsid w:val="003A3697"/>
    <w:rsid w:val="003F624A"/>
    <w:rsid w:val="0049627F"/>
    <w:rsid w:val="004972C7"/>
    <w:rsid w:val="00502644"/>
    <w:rsid w:val="006355CC"/>
    <w:rsid w:val="006C42BD"/>
    <w:rsid w:val="00713A99"/>
    <w:rsid w:val="00750218"/>
    <w:rsid w:val="00794117"/>
    <w:rsid w:val="00837D75"/>
    <w:rsid w:val="008E71D6"/>
    <w:rsid w:val="009F19DF"/>
    <w:rsid w:val="00A00488"/>
    <w:rsid w:val="00AE2E92"/>
    <w:rsid w:val="00AF134C"/>
    <w:rsid w:val="00B77CEA"/>
    <w:rsid w:val="00B81709"/>
    <w:rsid w:val="00BB4C8B"/>
    <w:rsid w:val="00BB7008"/>
    <w:rsid w:val="00C2142D"/>
    <w:rsid w:val="00CC4015"/>
    <w:rsid w:val="00D31C14"/>
    <w:rsid w:val="00E02C49"/>
    <w:rsid w:val="00E3066C"/>
    <w:rsid w:val="00F60112"/>
    <w:rsid w:val="00FF2CDA"/>
    <w:rsid w:val="00FF43B1"/>
    <w:rsid w:val="5B35F757"/>
    <w:rsid w:val="EF7FE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Words>
  <Characters>1517</Characters>
  <Lines>12</Lines>
  <Paragraphs>3</Paragraphs>
  <TotalTime>46</TotalTime>
  <ScaleCrop>false</ScaleCrop>
  <LinksUpToDate>false</LinksUpToDate>
  <CharactersWithSpaces>1779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2025-04-29T19:38:00Z</dcterms:created>
  <dc:creator>bjjw</dc:creator>
  <cp:lastModifiedBy>lushaonan</cp:lastModifiedBy>
  <cp:lastPrinted>2026-01-13T14:13:24Z</cp:lastPrinted>
  <dcterms:modified xsi:type="dcterms:W3CDTF">2026-01-13T14:59:54Z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