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val="0"/>
        <w:snapToGrid/>
        <w:spacing w:after="0" w:line="360" w:lineRule="auto"/>
        <w:ind w:firstLine="482" w:firstLineChars="200"/>
        <w:jc w:val="both"/>
        <w:textAlignment w:val="auto"/>
        <w:outlineLvl w:val="0"/>
        <w:rPr>
          <w:rFonts w:hint="eastAsia" w:ascii="宋体" w:hAnsi="宋体" w:eastAsia="宋体" w:cs="宋体"/>
          <w:b/>
          <w:bCs/>
          <w:sz w:val="24"/>
          <w:szCs w:val="24"/>
          <w:highlight w:val="none"/>
        </w:rPr>
      </w:pPr>
      <w:bookmarkStart w:id="0" w:name="_Toc20840"/>
      <w:bookmarkStart w:id="1" w:name="_Toc20541"/>
      <w:bookmarkStart w:id="2" w:name="_Toc264969245"/>
      <w:bookmarkStart w:id="3" w:name="_Toc353873935"/>
      <w:bookmarkStart w:id="4" w:name="_Toc265228393"/>
      <w:bookmarkStart w:id="5" w:name="_Toc353825545"/>
      <w:bookmarkStart w:id="6" w:name="_Toc353873665"/>
      <w:bookmarkStart w:id="7" w:name="_Toc127151555"/>
      <w:bookmarkStart w:id="8" w:name="_Toc195842920"/>
      <w:bookmarkStart w:id="9" w:name="_Toc150774760"/>
      <w:bookmarkStart w:id="10" w:name="_Toc150480793"/>
      <w:bookmarkStart w:id="11" w:name="_Toc226965828"/>
      <w:bookmarkStart w:id="12" w:name="_Toc142311057"/>
      <w:bookmarkStart w:id="13" w:name="_Toc226337251"/>
      <w:bookmarkStart w:id="14" w:name="_Toc305158897"/>
      <w:bookmarkStart w:id="15" w:name="_Toc305158823"/>
      <w:r>
        <w:rPr>
          <w:rFonts w:hint="eastAsia" w:ascii="宋体" w:hAnsi="宋体" w:eastAsia="宋体" w:cs="宋体"/>
          <w:b/>
          <w:bCs/>
          <w:sz w:val="24"/>
          <w:szCs w:val="24"/>
          <w:highlight w:val="none"/>
        </w:rPr>
        <w:t>一、项目背景</w:t>
      </w:r>
      <w:bookmarkEnd w:id="0"/>
      <w:bookmarkEnd w:id="1"/>
    </w:p>
    <w:p>
      <w:pPr>
        <w:pStyle w:val="5"/>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bookmarkStart w:id="16" w:name="_Hlk204102611"/>
      <w:r>
        <w:rPr>
          <w:rFonts w:hint="eastAsia" w:ascii="宋体" w:hAnsi="宋体" w:eastAsia="宋体" w:cs="宋体"/>
          <w:sz w:val="24"/>
          <w:szCs w:val="24"/>
          <w:lang w:eastAsia="zh-CN"/>
        </w:rPr>
        <w:t>根据国家和</w:t>
      </w:r>
      <w:r>
        <w:rPr>
          <w:rFonts w:hint="eastAsia" w:ascii="宋体" w:hAnsi="宋体" w:eastAsia="宋体" w:cs="宋体"/>
          <w:sz w:val="24"/>
          <w:szCs w:val="24"/>
          <w:lang w:val="en-US" w:eastAsia="zh-CN"/>
        </w:rPr>
        <w:t>北京</w:t>
      </w:r>
      <w:r>
        <w:rPr>
          <w:rFonts w:hint="eastAsia" w:ascii="宋体" w:hAnsi="宋体" w:eastAsia="宋体" w:cs="宋体"/>
          <w:sz w:val="24"/>
          <w:szCs w:val="24"/>
          <w:lang w:eastAsia="zh-CN"/>
        </w:rPr>
        <w:t>市统一要求，对北京市重点工程调度与服务平台进行能力提升，确保平台持续安全稳定运行。</w:t>
      </w:r>
    </w:p>
    <w:p>
      <w:pPr>
        <w:keepNext w:val="0"/>
        <w:keepLines w:val="0"/>
        <w:pageBreakBefore w:val="0"/>
        <w:kinsoku/>
        <w:wordWrap/>
        <w:overflowPunct/>
        <w:topLinePunct w:val="0"/>
        <w:autoSpaceDE/>
        <w:autoSpaceDN/>
        <w:bidi w:val="0"/>
        <w:snapToGrid/>
        <w:spacing w:after="0"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北京市重点工程调度与服务平台</w:t>
      </w:r>
      <w:r>
        <w:rPr>
          <w:rFonts w:hint="eastAsia" w:ascii="宋体" w:hAnsi="宋体" w:eastAsia="宋体" w:cs="宋体"/>
          <w:sz w:val="24"/>
          <w:szCs w:val="24"/>
        </w:rPr>
        <w:t>实现对重点项目的全生命周期管理功能，包括项目前期的监督查看、项目审批与推进过程中的问题汇聚与解决、协调和调度等。同时，为企业提供便捷的重点项目征集、月报填报与查看功能，主动为企业提供政策推送、智能服务等。利用BI、大数据分析、挖掘算法等技术，实现信息查询、信息监测、信息分析、信息预测等功能，并通过领导个性化首页进行信息展示，对投资项目和重点项目进行全方位的信息掌控与分析预测，为各级领导决策提供全面的支撑，科学辅助领导决策。</w:t>
      </w:r>
      <w:r>
        <w:rPr>
          <w:rFonts w:hint="eastAsia" w:ascii="宋体" w:hAnsi="宋体" w:eastAsia="宋体" w:cs="宋体"/>
          <w:sz w:val="24"/>
          <w:szCs w:val="24"/>
          <w:lang w:eastAsia="zh-CN"/>
        </w:rPr>
        <w:t>主要</w:t>
      </w:r>
      <w:r>
        <w:rPr>
          <w:rFonts w:hint="eastAsia" w:ascii="宋体" w:hAnsi="宋体" w:eastAsia="宋体" w:cs="宋体"/>
          <w:sz w:val="24"/>
          <w:szCs w:val="24"/>
          <w:highlight w:val="none"/>
        </w:rPr>
        <w:t>包括协调调度平台、项目服务推进平台、决策支撑平台、平台管理系统、数据资源中心</w:t>
      </w:r>
      <w:r>
        <w:rPr>
          <w:rFonts w:hint="eastAsia" w:ascii="宋体" w:hAnsi="宋体" w:eastAsia="宋体" w:cs="宋体"/>
          <w:sz w:val="24"/>
          <w:szCs w:val="24"/>
          <w:highlight w:val="none"/>
          <w:lang w:eastAsia="zh-CN"/>
        </w:rPr>
        <w:t>、支撑平台</w:t>
      </w:r>
      <w:r>
        <w:rPr>
          <w:rFonts w:hint="eastAsia" w:ascii="宋体" w:hAnsi="宋体" w:eastAsia="宋体" w:cs="宋体"/>
          <w:sz w:val="24"/>
          <w:szCs w:val="24"/>
          <w:highlight w:val="none"/>
          <w:lang w:val="en-US" w:eastAsia="zh-CN"/>
        </w:rPr>
        <w:t>等。</w:t>
      </w:r>
    </w:p>
    <w:p>
      <w:pPr>
        <w:keepNext w:val="0"/>
        <w:keepLines w:val="0"/>
        <w:pageBreakBefore w:val="0"/>
        <w:kinsoku/>
        <w:wordWrap/>
        <w:overflowPunct/>
        <w:topLinePunct w:val="0"/>
        <w:autoSpaceDE/>
        <w:autoSpaceDN/>
        <w:bidi w:val="0"/>
        <w:snapToGrid/>
        <w:spacing w:after="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北京市重点工程调度与服务平台部署在市级政务云，共有45台云主机服务器、操作系统45套、数据库17套、各种中间件53套。</w:t>
      </w:r>
    </w:p>
    <w:bookmarkEnd w:id="16"/>
    <w:p>
      <w:pPr>
        <w:keepNext w:val="0"/>
        <w:keepLines w:val="0"/>
        <w:pageBreakBefore w:val="0"/>
        <w:numPr>
          <w:ilvl w:val="-1"/>
          <w:numId w:val="0"/>
        </w:numPr>
        <w:kinsoku/>
        <w:wordWrap/>
        <w:overflowPunct/>
        <w:topLinePunct w:val="0"/>
        <w:autoSpaceDE/>
        <w:autoSpaceDN/>
        <w:bidi w:val="0"/>
        <w:adjustRightInd w:val="0"/>
        <w:snapToGrid/>
        <w:spacing w:after="0" w:line="360" w:lineRule="auto"/>
        <w:ind w:firstLine="482" w:firstLineChars="200"/>
        <w:jc w:val="both"/>
        <w:textAlignment w:val="auto"/>
        <w:outlineLvl w:val="0"/>
        <w:rPr>
          <w:rFonts w:hint="eastAsia" w:ascii="宋体" w:hAnsi="宋体" w:eastAsia="宋体" w:cs="宋体"/>
          <w:b/>
          <w:bCs/>
          <w:sz w:val="24"/>
          <w:szCs w:val="24"/>
          <w:highlight w:val="none"/>
        </w:rPr>
      </w:pPr>
      <w:bookmarkStart w:id="17" w:name="_Toc5136"/>
      <w:bookmarkStart w:id="18" w:name="_Toc1210"/>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服务内容</w:t>
      </w:r>
      <w:bookmarkEnd w:id="17"/>
      <w:bookmarkEnd w:id="18"/>
    </w:p>
    <w:p>
      <w:pPr>
        <w:pStyle w:val="14"/>
        <w:keepNext w:val="0"/>
        <w:keepLines w:val="0"/>
        <w:pageBreakBefore w:val="0"/>
        <w:numPr>
          <w:ilvl w:val="0"/>
          <w:numId w:val="8"/>
        </w:numPr>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系统功能适配</w:t>
      </w:r>
    </w:p>
    <w:p>
      <w:pPr>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成北京市重点工程调度与服务平台5个系统功能对于国产化操作系统、国产关系型数据库的适配改造。在系统架构保持不变（B/S架构）的情况下，通过部署符合能力提升统一要求的国产操作系统及适配的开源JAVA中间件（Tomcat 9），采用国产关系数据库替换原使用的Oracle、Sqlserver、Mysql数据库；完成JAVA数据操作层的代码适配，实现北京市重点工程调度与服务平台在保持原系统功能不变的前提下平稳过渡，提高系统稳定性和可靠性，实现系统安全管理，确保数据存储和查询效率，提升数据安全性，同时提高资源利用率，优化系统响应时间和处理能力；完成对存量数据作业中的数据源、</w:t>
      </w:r>
      <w:r>
        <w:rPr>
          <w:rFonts w:hint="eastAsia" w:ascii="宋体" w:hAnsi="宋体" w:eastAsia="宋体" w:cs="宋体"/>
          <w:sz w:val="24"/>
          <w:szCs w:val="24"/>
          <w:highlight w:val="none"/>
          <w:lang w:val="zh-CN" w:eastAsia="zh-CN"/>
        </w:rPr>
        <w:t>SQL脚本、</w:t>
      </w:r>
      <w:r>
        <w:rPr>
          <w:rFonts w:hint="eastAsia" w:ascii="宋体" w:hAnsi="宋体" w:eastAsia="宋体" w:cs="宋体"/>
          <w:sz w:val="24"/>
          <w:szCs w:val="24"/>
          <w:highlight w:val="none"/>
          <w:lang w:val="en-US" w:eastAsia="zh-CN"/>
        </w:rPr>
        <w:t>存储过程等改造，完成对</w:t>
      </w:r>
      <w:r>
        <w:rPr>
          <w:rFonts w:hint="eastAsia" w:ascii="宋体" w:hAnsi="宋体" w:eastAsia="宋体" w:cs="宋体"/>
          <w:sz w:val="24"/>
          <w:szCs w:val="24"/>
          <w:highlight w:val="none"/>
          <w:lang w:val="zh-CN" w:eastAsia="zh-CN"/>
        </w:rPr>
        <w:t>数据</w:t>
      </w:r>
      <w:r>
        <w:rPr>
          <w:rFonts w:hint="eastAsia" w:ascii="宋体" w:hAnsi="宋体" w:eastAsia="宋体" w:cs="宋体"/>
          <w:sz w:val="24"/>
          <w:szCs w:val="24"/>
          <w:highlight w:val="none"/>
          <w:lang w:val="en-US" w:eastAsia="zh-CN"/>
        </w:rPr>
        <w:t>报表的数据源、</w:t>
      </w:r>
      <w:r>
        <w:rPr>
          <w:rFonts w:hint="eastAsia" w:ascii="宋体" w:hAnsi="宋体" w:eastAsia="宋体" w:cs="宋体"/>
          <w:sz w:val="24"/>
          <w:szCs w:val="24"/>
          <w:highlight w:val="none"/>
          <w:lang w:val="zh-CN" w:eastAsia="zh-CN"/>
        </w:rPr>
        <w:t>SQL脚本、</w:t>
      </w:r>
      <w:r>
        <w:rPr>
          <w:rFonts w:hint="eastAsia" w:ascii="宋体" w:hAnsi="宋体" w:eastAsia="宋体" w:cs="宋体"/>
          <w:sz w:val="24"/>
          <w:szCs w:val="24"/>
          <w:highlight w:val="none"/>
          <w:lang w:val="en-US" w:eastAsia="zh-CN"/>
        </w:rPr>
        <w:t>存储过程等改造，实现其与国产</w:t>
      </w:r>
      <w:r>
        <w:rPr>
          <w:rFonts w:hint="eastAsia" w:ascii="宋体" w:hAnsi="宋体" w:eastAsia="宋体" w:cs="宋体"/>
          <w:sz w:val="24"/>
          <w:szCs w:val="24"/>
          <w:highlight w:val="none"/>
          <w:lang w:val="zh-CN" w:eastAsia="zh-CN"/>
        </w:rPr>
        <w:t>关系</w:t>
      </w:r>
      <w:r>
        <w:rPr>
          <w:rFonts w:hint="eastAsia" w:ascii="宋体" w:hAnsi="宋体" w:eastAsia="宋体" w:cs="宋体"/>
          <w:sz w:val="24"/>
          <w:szCs w:val="24"/>
          <w:highlight w:val="none"/>
          <w:lang w:val="en-US" w:eastAsia="zh-CN"/>
        </w:rPr>
        <w:t>型</w:t>
      </w:r>
      <w:r>
        <w:rPr>
          <w:rFonts w:hint="eastAsia" w:ascii="宋体" w:hAnsi="宋体" w:eastAsia="宋体" w:cs="宋体"/>
          <w:sz w:val="24"/>
          <w:szCs w:val="24"/>
          <w:highlight w:val="none"/>
          <w:lang w:val="zh-CN" w:eastAsia="zh-CN"/>
        </w:rPr>
        <w:t>数据库的</w:t>
      </w:r>
      <w:r>
        <w:rPr>
          <w:rFonts w:hint="eastAsia" w:ascii="宋体" w:hAnsi="宋体" w:eastAsia="宋体" w:cs="宋体"/>
          <w:sz w:val="24"/>
          <w:szCs w:val="24"/>
          <w:highlight w:val="none"/>
          <w:lang w:val="en-US" w:eastAsia="zh-CN"/>
        </w:rPr>
        <w:t>适配；同时，将原系统主要面向IE和360浏览器的前端页面适配改造为兼容</w:t>
      </w:r>
      <w:r>
        <w:rPr>
          <w:rFonts w:hint="eastAsia" w:ascii="宋体" w:hAnsi="宋体" w:cs="宋体"/>
          <w:sz w:val="24"/>
          <w:szCs w:val="24"/>
          <w:highlight w:val="none"/>
          <w:lang w:val="en-US" w:eastAsia="zh-CN"/>
        </w:rPr>
        <w:t>国产</w:t>
      </w:r>
      <w:r>
        <w:rPr>
          <w:rFonts w:hint="eastAsia" w:ascii="宋体" w:hAnsi="宋体" w:eastAsia="宋体" w:cs="宋体"/>
          <w:sz w:val="24"/>
          <w:szCs w:val="24"/>
          <w:highlight w:val="none"/>
          <w:lang w:val="en-US" w:eastAsia="zh-CN"/>
        </w:rPr>
        <w:t>浏览器。</w:t>
      </w:r>
    </w:p>
    <w:p>
      <w:pPr>
        <w:keepNext w:val="0"/>
        <w:keepLines w:val="0"/>
        <w:pageBreakBefore w:val="0"/>
        <w:kinsoku/>
        <w:wordWrap/>
        <w:overflowPunct/>
        <w:topLinePunct w:val="0"/>
        <w:autoSpaceDE/>
        <w:autoSpaceDN/>
        <w:bidi w:val="0"/>
        <w:snapToGrid/>
        <w:spacing w:after="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1.协调调度平台适配</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bidi="ar"/>
        </w:rPr>
        <w:t>完成</w:t>
      </w:r>
      <w:r>
        <w:rPr>
          <w:rFonts w:hint="eastAsia" w:ascii="宋体" w:hAnsi="宋体" w:eastAsia="宋体" w:cs="宋体"/>
          <w:sz w:val="24"/>
          <w:szCs w:val="24"/>
          <w:lang w:eastAsia="zh-CN"/>
        </w:rPr>
        <w:t>政务工作个性化首页、计划编制系统、进度监管系统、专项信息、协调推进系统、政务工作移动应用等</w:t>
      </w:r>
      <w:r>
        <w:rPr>
          <w:rFonts w:hint="eastAsia" w:ascii="宋体" w:hAnsi="宋体" w:cs="宋体"/>
          <w:sz w:val="24"/>
          <w:szCs w:val="24"/>
          <w:lang w:val="en-US" w:eastAsia="zh-CN"/>
        </w:rPr>
        <w:t>6</w:t>
      </w:r>
      <w:r>
        <w:rPr>
          <w:rFonts w:hint="eastAsia" w:ascii="宋体" w:hAnsi="宋体" w:eastAsia="宋体" w:cs="宋体"/>
          <w:sz w:val="24"/>
          <w:szCs w:val="24"/>
          <w:lang w:eastAsia="zh-CN"/>
        </w:rPr>
        <w:t>个功能模块</w:t>
      </w:r>
      <w:r>
        <w:rPr>
          <w:rFonts w:hint="eastAsia" w:ascii="宋体" w:hAnsi="宋体" w:eastAsia="宋体" w:cs="宋体"/>
          <w:sz w:val="24"/>
          <w:szCs w:val="24"/>
          <w:lang w:val="en-US" w:eastAsia="zh-CN"/>
        </w:rPr>
        <w:t>的适配改造</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2.项目推进服务平台适配</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bidi="ar"/>
        </w:rPr>
        <w:t>完成</w:t>
      </w:r>
      <w:r>
        <w:rPr>
          <w:rFonts w:hint="eastAsia" w:ascii="宋体" w:hAnsi="宋体" w:eastAsia="宋体" w:cs="宋体"/>
          <w:sz w:val="24"/>
          <w:szCs w:val="24"/>
          <w:lang w:val="en-US" w:eastAsia="zh-CN"/>
        </w:rPr>
        <w:t>企业服务个性化首页、项目服务系统、政策服务系统、智能服务系统、企业服务移动应用等5个功能模块的适配改造。</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000000"/>
          <w:kern w:val="2"/>
          <w:sz w:val="24"/>
          <w:szCs w:val="24"/>
          <w:lang w:val="en-US" w:eastAsia="zh-CN"/>
        </w:rPr>
        <w:t>3.</w:t>
      </w:r>
      <w:r>
        <w:rPr>
          <w:rFonts w:hint="eastAsia" w:ascii="宋体" w:hAnsi="宋体" w:eastAsia="宋体" w:cs="宋体"/>
          <w:b w:val="0"/>
          <w:bCs w:val="0"/>
          <w:color w:val="000000"/>
          <w:kern w:val="2"/>
          <w:sz w:val="24"/>
          <w:szCs w:val="24"/>
        </w:rPr>
        <w:t>决策支撑平台</w:t>
      </w:r>
      <w:r>
        <w:rPr>
          <w:rFonts w:hint="eastAsia" w:ascii="宋体" w:hAnsi="宋体" w:eastAsia="宋体" w:cs="宋体"/>
          <w:b w:val="0"/>
          <w:bCs w:val="0"/>
          <w:color w:val="000000"/>
          <w:kern w:val="2"/>
          <w:sz w:val="24"/>
          <w:szCs w:val="24"/>
          <w:lang w:eastAsia="zh-CN"/>
        </w:rPr>
        <w:t>适配</w:t>
      </w:r>
    </w:p>
    <w:p>
      <w:pPr>
        <w:keepNext w:val="0"/>
        <w:keepLines w:val="0"/>
        <w:pageBreakBefore w:val="0"/>
        <w:kinsoku/>
        <w:wordWrap/>
        <w:overflowPunct/>
        <w:topLinePunct w:val="0"/>
        <w:autoSpaceDE/>
        <w:autoSpaceDN/>
        <w:bidi w:val="0"/>
        <w:snapToGrid/>
        <w:spacing w:after="0" w:line="360" w:lineRule="auto"/>
        <w:ind w:firstLine="480" w:firstLineChars="20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eastAsia="zh-CN" w:bidi="ar"/>
        </w:rPr>
        <w:t>完成</w:t>
      </w:r>
      <w:r>
        <w:rPr>
          <w:rFonts w:hint="eastAsia" w:ascii="宋体" w:hAnsi="宋体" w:eastAsia="宋体" w:cs="宋体"/>
          <w:sz w:val="24"/>
          <w:szCs w:val="24"/>
          <w:lang w:eastAsia="zh-CN"/>
        </w:rPr>
        <w:t>领导个性化首页、决策分析系统、领导发决策移动应用等</w:t>
      </w:r>
      <w:r>
        <w:rPr>
          <w:rFonts w:hint="eastAsia" w:ascii="宋体" w:hAnsi="宋体" w:eastAsia="宋体" w:cs="宋体"/>
          <w:sz w:val="24"/>
          <w:szCs w:val="24"/>
          <w:lang w:val="en-US" w:eastAsia="zh-CN"/>
        </w:rPr>
        <w:t>3个功能模块的适配改造</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snapToGrid/>
        <w:spacing w:after="0" w:line="360" w:lineRule="auto"/>
        <w:ind w:firstLine="480" w:firstLineChars="200"/>
        <w:jc w:val="left"/>
        <w:textAlignment w:val="auto"/>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rPr>
        <w:t>4.</w:t>
      </w:r>
      <w:r>
        <w:rPr>
          <w:rFonts w:hint="eastAsia" w:ascii="宋体" w:hAnsi="宋体" w:eastAsia="宋体" w:cs="宋体"/>
          <w:b w:val="0"/>
          <w:bCs w:val="0"/>
          <w:color w:val="000000"/>
          <w:kern w:val="2"/>
          <w:sz w:val="24"/>
          <w:szCs w:val="24"/>
        </w:rPr>
        <w:t>平台管理系统</w:t>
      </w:r>
      <w:r>
        <w:rPr>
          <w:rFonts w:hint="eastAsia" w:ascii="宋体" w:hAnsi="宋体" w:eastAsia="宋体" w:cs="宋体"/>
          <w:b w:val="0"/>
          <w:bCs w:val="0"/>
          <w:color w:val="auto"/>
          <w:kern w:val="2"/>
          <w:sz w:val="24"/>
          <w:szCs w:val="24"/>
          <w:lang w:eastAsia="zh-CN"/>
        </w:rPr>
        <w:t>适配</w:t>
      </w:r>
    </w:p>
    <w:p>
      <w:pPr>
        <w:keepNext w:val="0"/>
        <w:keepLines w:val="0"/>
        <w:pageBreakBefore w:val="0"/>
        <w:numPr>
          <w:ilvl w:val="0"/>
          <w:numId w:val="0"/>
        </w:numPr>
        <w:kinsoku/>
        <w:wordWrap/>
        <w:overflowPunct/>
        <w:topLinePunct w:val="0"/>
        <w:autoSpaceDE/>
        <w:autoSpaceDN/>
        <w:bidi w:val="0"/>
        <w:snapToGrid/>
        <w:spacing w:after="0" w:line="360" w:lineRule="auto"/>
        <w:ind w:firstLine="480" w:firstLineChars="200"/>
        <w:jc w:val="both"/>
        <w:textAlignment w:val="auto"/>
        <w:rPr>
          <w:rFonts w:hint="eastAsia" w:ascii="宋体" w:hAnsi="宋体" w:eastAsia="宋体" w:cs="宋体"/>
          <w:b w:val="0"/>
          <w:bCs w:val="0"/>
          <w:color w:val="000000"/>
          <w:kern w:val="0"/>
          <w:sz w:val="24"/>
          <w:szCs w:val="24"/>
        </w:rPr>
      </w:pPr>
      <w:r>
        <w:rPr>
          <w:rFonts w:hint="eastAsia" w:ascii="宋体" w:hAnsi="宋体" w:eastAsia="宋体" w:cs="宋体"/>
          <w:sz w:val="24"/>
          <w:szCs w:val="24"/>
          <w:highlight w:val="none"/>
          <w:lang w:val="en-US" w:eastAsia="zh-CN"/>
        </w:rPr>
        <w:t>平台管理系统主要实现了系统用户角色权限基础字典表统一配置，完成约6个子功能点的适配改造。</w:t>
      </w:r>
    </w:p>
    <w:p>
      <w:pPr>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rPr>
        <w:t>5.</w:t>
      </w:r>
      <w:r>
        <w:rPr>
          <w:rFonts w:hint="eastAsia" w:ascii="宋体" w:hAnsi="宋体" w:eastAsia="宋体" w:cs="宋体"/>
          <w:b w:val="0"/>
          <w:bCs w:val="0"/>
          <w:color w:val="000000"/>
          <w:kern w:val="2"/>
          <w:sz w:val="24"/>
          <w:szCs w:val="24"/>
        </w:rPr>
        <w:t>数据资源中心</w:t>
      </w:r>
      <w:r>
        <w:rPr>
          <w:rFonts w:hint="eastAsia" w:ascii="宋体" w:hAnsi="宋体" w:eastAsia="宋体" w:cs="宋体"/>
          <w:b w:val="0"/>
          <w:bCs w:val="0"/>
          <w:color w:val="000000"/>
          <w:kern w:val="2"/>
          <w:sz w:val="24"/>
          <w:szCs w:val="24"/>
          <w:lang w:eastAsia="zh-CN"/>
        </w:rPr>
        <w:t>适配</w:t>
      </w:r>
    </w:p>
    <w:p>
      <w:pPr>
        <w:pStyle w:val="2"/>
        <w:keepNext w:val="0"/>
        <w:keepLines w:val="0"/>
        <w:pageBreakBefore w:val="0"/>
        <w:numPr>
          <w:ilvl w:val="0"/>
          <w:numId w:val="0"/>
        </w:numPr>
        <w:kinsoku/>
        <w:wordWrap/>
        <w:overflowPunct/>
        <w:topLinePunct w:val="0"/>
        <w:bidi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一是</w:t>
      </w:r>
      <w:r>
        <w:rPr>
          <w:rFonts w:hint="eastAsia" w:ascii="宋体" w:hAnsi="宋体" w:eastAsia="宋体" w:cs="宋体"/>
          <w:sz w:val="24"/>
          <w:szCs w:val="24"/>
          <w:lang w:eastAsia="zh-CN" w:bidi="ar"/>
        </w:rPr>
        <w:t>完成</w:t>
      </w:r>
      <w:r>
        <w:rPr>
          <w:rFonts w:hint="eastAsia" w:ascii="宋体" w:hAnsi="宋体" w:eastAsia="宋体" w:cs="宋体"/>
          <w:sz w:val="24"/>
          <w:szCs w:val="24"/>
          <w:highlight w:val="none"/>
        </w:rPr>
        <w:t>数据集成平台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数据质量管理</w:t>
      </w:r>
      <w:r>
        <w:rPr>
          <w:rFonts w:hint="eastAsia" w:ascii="宋体" w:hAnsi="宋体" w:eastAsia="宋体" w:cs="宋体"/>
          <w:sz w:val="24"/>
          <w:szCs w:val="24"/>
          <w:highlight w:val="none"/>
          <w:lang w:val="en-US" w:eastAsia="zh-CN"/>
        </w:rPr>
        <w:t>平台、</w:t>
      </w:r>
      <w:r>
        <w:rPr>
          <w:rFonts w:hint="eastAsia" w:ascii="宋体" w:hAnsi="宋体" w:eastAsia="宋体" w:cs="宋体"/>
          <w:sz w:val="24"/>
          <w:szCs w:val="24"/>
          <w:highlight w:val="none"/>
        </w:rPr>
        <w:t>数据资源管理平台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元数据管理平台、统一作业调度平台、一体化监控平台、互联网数据爬取工具等七个模块</w:t>
      </w:r>
      <w:r>
        <w:rPr>
          <w:rFonts w:hint="eastAsia" w:ascii="宋体" w:hAnsi="宋体" w:eastAsia="宋体" w:cs="宋体"/>
          <w:sz w:val="24"/>
          <w:szCs w:val="24"/>
          <w:lang w:val="en-US" w:eastAsia="zh-CN"/>
        </w:rPr>
        <w:t>适配改造</w:t>
      </w:r>
      <w:r>
        <w:rPr>
          <w:rFonts w:hint="eastAsia" w:ascii="宋体" w:hAnsi="宋体" w:eastAsia="宋体" w:cs="宋体"/>
          <w:sz w:val="24"/>
          <w:szCs w:val="24"/>
          <w:highlight w:val="none"/>
          <w:lang w:val="en-US" w:eastAsia="zh-CN"/>
        </w:rPr>
        <w:t>。二是对数据作业进行适配。</w:t>
      </w:r>
    </w:p>
    <w:p>
      <w:pPr>
        <w:pStyle w:val="2"/>
        <w:keepNext w:val="0"/>
        <w:keepLines w:val="0"/>
        <w:pageBreakBefore w:val="0"/>
        <w:numPr>
          <w:ilvl w:val="0"/>
          <w:numId w:val="9"/>
        </w:numPr>
        <w:tabs>
          <w:tab w:val="left" w:pos="992"/>
        </w:tabs>
        <w:kinsoku/>
        <w:wordWrap/>
        <w:overflowPunct/>
        <w:topLinePunct w:val="0"/>
        <w:bidi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支撑平台适配</w:t>
      </w:r>
    </w:p>
    <w:p>
      <w:pPr>
        <w:pStyle w:val="2"/>
        <w:keepNext w:val="0"/>
        <w:keepLines w:val="0"/>
        <w:pageBreakBefore w:val="0"/>
        <w:numPr>
          <w:ilvl w:val="0"/>
          <w:numId w:val="0"/>
        </w:numPr>
        <w:kinsoku/>
        <w:wordWrap/>
        <w:overflowPunct/>
        <w:topLinePunct w:val="0"/>
        <w:bidi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bidi="ar"/>
        </w:rPr>
        <w:t>完成</w:t>
      </w:r>
      <w:r>
        <w:rPr>
          <w:rFonts w:hint="eastAsia" w:ascii="宋体" w:hAnsi="宋体" w:eastAsia="宋体" w:cs="宋体"/>
          <w:sz w:val="24"/>
          <w:szCs w:val="24"/>
          <w:highlight w:val="none"/>
          <w:lang w:eastAsia="zh-CN"/>
        </w:rPr>
        <w:t>对文档管理、全文检索、统一认证等功能进行适配改造</w:t>
      </w:r>
      <w:r>
        <w:rPr>
          <w:rFonts w:hint="eastAsia" w:cs="宋体"/>
          <w:sz w:val="24"/>
          <w:szCs w:val="24"/>
          <w:highlight w:val="none"/>
          <w:lang w:eastAsia="zh-CN"/>
        </w:rPr>
        <w:t>。</w:t>
      </w:r>
    </w:p>
    <w:p>
      <w:pPr>
        <w:keepNext w:val="0"/>
        <w:keepLines w:val="0"/>
        <w:pageBreakBefore w:val="0"/>
        <w:kinsoku/>
        <w:wordWrap/>
        <w:overflowPunct/>
        <w:topLinePunct w:val="0"/>
        <w:autoSpaceDE/>
        <w:autoSpaceDN/>
        <w:bidi w:val="0"/>
        <w:snapToGrid/>
        <w:spacing w:after="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数据迁移</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1.数据库模型转换</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将现有系统数据库数据迁移至国产关系数据库，涉及MSSQLServer数据库的492张表、MySQL数据库的419张表、Oracle的2981张表结构，按照国产数据库规范，创建相应的索引、主键、外键等约束。</w:t>
      </w:r>
    </w:p>
    <w:p>
      <w:pPr>
        <w:pStyle w:val="14"/>
        <w:keepNext w:val="0"/>
        <w:keepLines w:val="0"/>
        <w:pageBreakBefore w:val="0"/>
        <w:numPr>
          <w:ilvl w:val="-1"/>
          <w:numId w:val="0"/>
        </w:numPr>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2.数据库迁移</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协调调度平台：将协调调度平台MSSQLServer数据库数据迁移至国产关系数据库，涉及数据库表164张，大小共48G。其中，支撑系统业务表122张，权限配置管理的数据库表约36张，日志表6张。  </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项目推进服务平台：将项目推进服务平台MSSQLServer数据库数据迁移至国产关系数据库，涉及数据库表327张，大小共90G。其中，权限配置约8张，日志约3张，业务约316张。 </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决策分析系统：将决策分析系统MySQL数据库数据迁移至国产关系数据库，涉及数据库表76张，大小共0.76G。其中，权限配置约8张，日志约2张，业务约66张。</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数据资源中心系统：将数据资源中心系统的MySQL和oracle数据库数据迁移至国产关系数据库，涉及数据库表3324张，大小共1976.32G。</w:t>
      </w:r>
    </w:p>
    <w:p>
      <w:pPr>
        <w:pStyle w:val="14"/>
        <w:keepNext w:val="0"/>
        <w:keepLines w:val="0"/>
        <w:pageBreakBefore w:val="0"/>
        <w:numPr>
          <w:ilvl w:val="-1"/>
          <w:numId w:val="0"/>
        </w:numPr>
        <w:tabs>
          <w:tab w:val="left" w:pos="991"/>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3.文件迁移</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协调调度平台：将协调调度平台系统中的上传业务文件迁移到新服务器中，涉及总共约34万个文件，大小约560GB。</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项目推进服务平台：将项目推进服务平台中的上传业务文件迁移到新服务器中，涉及总共496399个文件，大小约700GB。</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决策分析系统：将决策分析系统中的上传业务文件迁移到新服务器中，涉及总共448130个文件，大小约500GB。</w:t>
      </w:r>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数据资源中心系统：将数据资源中心系统的非结构化文件进行备份，包括网络爬虫附件、证照附件、疏整促切片数据等1.6TB。</w:t>
      </w:r>
    </w:p>
    <w:p>
      <w:pPr>
        <w:keepNext w:val="0"/>
        <w:keepLines w:val="0"/>
        <w:pageBreakBefore w:val="0"/>
        <w:numPr>
          <w:ilvl w:val="0"/>
          <w:numId w:val="0"/>
        </w:numPr>
        <w:kinsoku/>
        <w:wordWrap/>
        <w:overflowPunct/>
        <w:topLinePunct w:val="0"/>
        <w:autoSpaceDE/>
        <w:autoSpaceDN/>
        <w:bidi w:val="0"/>
        <w:adjustRightInd w:val="0"/>
        <w:snapToGrid/>
        <w:spacing w:after="0" w:line="360" w:lineRule="auto"/>
        <w:ind w:leftChars="200"/>
        <w:jc w:val="both"/>
        <w:textAlignment w:val="auto"/>
        <w:outlineLvl w:val="0"/>
        <w:rPr>
          <w:rFonts w:hint="eastAsia" w:ascii="宋体" w:hAnsi="宋体" w:eastAsia="宋体" w:cs="宋体"/>
          <w:b/>
          <w:bCs/>
          <w:sz w:val="24"/>
          <w:szCs w:val="24"/>
          <w:highlight w:val="none"/>
        </w:rPr>
      </w:pPr>
      <w:bookmarkStart w:id="19" w:name="_Toc32384"/>
      <w:bookmarkStart w:id="20" w:name="_Toc3332"/>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人员要求</w:t>
      </w:r>
      <w:bookmarkEnd w:id="19"/>
      <w:bookmarkEnd w:id="20"/>
    </w:p>
    <w:p>
      <w:pPr>
        <w:pStyle w:val="14"/>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项目团队成员</w:t>
      </w:r>
      <w:r>
        <w:rPr>
          <w:rFonts w:hint="eastAsia" w:ascii="宋体" w:hAnsi="宋体" w:eastAsia="宋体" w:cs="宋体"/>
          <w:sz w:val="24"/>
          <w:szCs w:val="24"/>
          <w:highlight w:val="none"/>
        </w:rPr>
        <w:t>为本单位人员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其中项目负责人和项目技术经理为计算机相关专业本科及以上学历，</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年（含）以上信息化系统</w:t>
      </w:r>
      <w:r>
        <w:rPr>
          <w:rFonts w:hint="eastAsia" w:ascii="宋体" w:hAnsi="宋体" w:eastAsia="宋体" w:cs="宋体"/>
          <w:sz w:val="24"/>
          <w:szCs w:val="24"/>
          <w:highlight w:val="none"/>
          <w:lang w:eastAsia="zh-CN"/>
        </w:rPr>
        <w:t>建设项目管理</w:t>
      </w:r>
      <w:r>
        <w:rPr>
          <w:rFonts w:hint="eastAsia" w:ascii="宋体" w:hAnsi="宋体" w:eastAsia="宋体" w:cs="宋体"/>
          <w:sz w:val="24"/>
          <w:szCs w:val="24"/>
          <w:highlight w:val="none"/>
        </w:rPr>
        <w:t>经验。项目团队满足采购人需求的人员能力和人员配置，</w:t>
      </w:r>
      <w:r>
        <w:rPr>
          <w:rFonts w:hint="eastAsia" w:ascii="宋体" w:hAnsi="宋体" w:eastAsia="宋体" w:cs="宋体"/>
          <w:b/>
          <w:bCs/>
          <w:sz w:val="24"/>
          <w:szCs w:val="24"/>
          <w:highlight w:val="none"/>
        </w:rPr>
        <w:t>供应商承诺团队稳定性，不随意更换。</w:t>
      </w:r>
    </w:p>
    <w:p>
      <w:pPr>
        <w:keepNext w:val="0"/>
        <w:keepLines w:val="0"/>
        <w:pageBreakBefore w:val="0"/>
        <w:widowControl/>
        <w:numPr>
          <w:ilvl w:val="0"/>
          <w:numId w:val="0"/>
        </w:numPr>
        <w:kinsoku/>
        <w:wordWrap/>
        <w:overflowPunct/>
        <w:topLinePunct w:val="0"/>
        <w:autoSpaceDE/>
        <w:autoSpaceDN/>
        <w:bidi w:val="0"/>
        <w:adjustRightInd w:val="0"/>
        <w:snapToGrid/>
        <w:spacing w:after="0" w:line="360" w:lineRule="auto"/>
        <w:ind w:leftChars="200"/>
        <w:textAlignment w:val="auto"/>
        <w:outlineLvl w:val="0"/>
        <w:rPr>
          <w:rFonts w:hint="eastAsia" w:ascii="宋体" w:hAnsi="宋体" w:eastAsia="宋体" w:cs="宋体"/>
          <w:b/>
          <w:bCs/>
          <w:sz w:val="24"/>
          <w:szCs w:val="24"/>
          <w:highlight w:val="none"/>
          <w:lang w:val="en-US" w:eastAsia="zh-CN"/>
        </w:rPr>
      </w:pPr>
      <w:bookmarkStart w:id="21" w:name="_Toc16423"/>
      <w:bookmarkStart w:id="22" w:name="_Toc31511"/>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服务期限</w:t>
      </w:r>
      <w:bookmarkEnd w:id="21"/>
      <w:bookmarkEnd w:id="22"/>
      <w:bookmarkStart w:id="23" w:name="_Hlk204102633"/>
    </w:p>
    <w:p>
      <w:pPr>
        <w:keepNext w:val="0"/>
        <w:keepLines w:val="0"/>
        <w:pageBreakBefore w:val="0"/>
        <w:kinsoku/>
        <w:wordWrap/>
        <w:overflowPunct/>
        <w:topLinePunct w:val="0"/>
        <w:autoSpaceDE/>
        <w:autoSpaceDN/>
        <w:bidi w:val="0"/>
        <w:adjustRightInd w:val="0"/>
        <w:snapToGrid/>
        <w:spacing w:after="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本项目工期自合同签订之日起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个月内完成项目全部系统的设计、</w:t>
      </w:r>
      <w:r>
        <w:rPr>
          <w:rFonts w:hint="eastAsia" w:ascii="宋体" w:hAnsi="宋体" w:eastAsia="宋体" w:cs="宋体"/>
          <w:sz w:val="24"/>
          <w:szCs w:val="24"/>
          <w:highlight w:val="none"/>
          <w:lang w:val="en-US" w:eastAsia="zh-CN"/>
        </w:rPr>
        <w:t>开发</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试运行、</w:t>
      </w:r>
      <w:r>
        <w:rPr>
          <w:rFonts w:hint="eastAsia" w:ascii="宋体" w:hAnsi="宋体" w:eastAsia="宋体" w:cs="宋体"/>
          <w:sz w:val="24"/>
          <w:szCs w:val="24"/>
          <w:highlight w:val="none"/>
        </w:rPr>
        <w:t>及验收等工作</w:t>
      </w:r>
      <w:r>
        <w:rPr>
          <w:rFonts w:hint="eastAsia" w:ascii="宋体" w:hAnsi="宋体" w:eastAsia="宋体" w:cs="宋体"/>
          <w:sz w:val="24"/>
          <w:szCs w:val="24"/>
          <w:highlight w:val="none"/>
          <w:lang w:eastAsia="zh-CN"/>
        </w:rPr>
        <w:t>。</w:t>
      </w:r>
    </w:p>
    <w:bookmarkEnd w:id="23"/>
    <w:p>
      <w:pPr>
        <w:keepNext w:val="0"/>
        <w:keepLines w:val="0"/>
        <w:pageBreakBefore w:val="0"/>
        <w:numPr>
          <w:ilvl w:val="0"/>
          <w:numId w:val="0"/>
        </w:numPr>
        <w:kinsoku/>
        <w:wordWrap/>
        <w:overflowPunct/>
        <w:topLinePunct w:val="0"/>
        <w:autoSpaceDE/>
        <w:autoSpaceDN/>
        <w:bidi w:val="0"/>
        <w:adjustRightInd w:val="0"/>
        <w:snapToGrid/>
        <w:spacing w:after="0" w:line="360" w:lineRule="auto"/>
        <w:ind w:leftChars="200"/>
        <w:jc w:val="both"/>
        <w:textAlignment w:val="auto"/>
        <w:outlineLvl w:val="0"/>
        <w:rPr>
          <w:rFonts w:hint="eastAsia" w:ascii="宋体" w:hAnsi="宋体" w:eastAsia="宋体" w:cs="宋体"/>
          <w:b/>
          <w:bCs/>
          <w:sz w:val="24"/>
          <w:szCs w:val="24"/>
          <w:highlight w:val="none"/>
        </w:rPr>
      </w:pPr>
      <w:bookmarkStart w:id="24" w:name="_Toc28606"/>
      <w:bookmarkStart w:id="25" w:name="_Toc29568"/>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成果文件</w:t>
      </w:r>
      <w:bookmarkEnd w:id="24"/>
      <w:bookmarkEnd w:id="25"/>
    </w:p>
    <w:p>
      <w:pPr>
        <w:keepNext w:val="0"/>
        <w:keepLines w:val="0"/>
        <w:pageBreakBefore w:val="0"/>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包括但不限于以下文档：项目建设方案、实施方案、系统切换方案、测试文档、</w:t>
      </w:r>
      <w:r>
        <w:rPr>
          <w:rFonts w:hint="eastAsia" w:ascii="宋体" w:hAnsi="宋体" w:cs="宋体"/>
          <w:sz w:val="24"/>
          <w:szCs w:val="24"/>
          <w:highlight w:val="none"/>
          <w:lang w:val="en-US" w:eastAsia="zh-CN"/>
        </w:rPr>
        <w:t>部署</w:t>
      </w:r>
      <w:r>
        <w:rPr>
          <w:rFonts w:hint="eastAsia" w:ascii="宋体" w:hAnsi="宋体" w:eastAsia="宋体" w:cs="宋体"/>
          <w:sz w:val="24"/>
          <w:szCs w:val="24"/>
          <w:highlight w:val="none"/>
        </w:rPr>
        <w:t>配置手册、源代码、项目总结报告等文档。</w:t>
      </w:r>
    </w:p>
    <w:p>
      <w:pPr>
        <w:keepNext w:val="0"/>
        <w:keepLines w:val="0"/>
        <w:pageBreakBefore w:val="0"/>
        <w:numPr>
          <w:ilvl w:val="0"/>
          <w:numId w:val="0"/>
        </w:numPr>
        <w:kinsoku/>
        <w:wordWrap/>
        <w:overflowPunct/>
        <w:topLinePunct w:val="0"/>
        <w:autoSpaceDE/>
        <w:autoSpaceDN/>
        <w:bidi w:val="0"/>
        <w:adjustRightInd w:val="0"/>
        <w:snapToGrid/>
        <w:spacing w:after="0" w:line="360" w:lineRule="auto"/>
        <w:ind w:leftChars="200"/>
        <w:jc w:val="both"/>
        <w:textAlignment w:val="auto"/>
        <w:outlineLvl w:val="0"/>
        <w:rPr>
          <w:rFonts w:hint="eastAsia" w:ascii="宋体" w:hAnsi="宋体" w:eastAsia="宋体" w:cs="宋体"/>
          <w:b/>
          <w:bCs/>
          <w:sz w:val="24"/>
          <w:szCs w:val="24"/>
          <w:highlight w:val="none"/>
        </w:rPr>
      </w:pPr>
      <w:bookmarkStart w:id="26" w:name="_Toc23816"/>
      <w:bookmarkStart w:id="27" w:name="_Toc31756"/>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其</w:t>
      </w:r>
      <w:r>
        <w:rPr>
          <w:rFonts w:hint="eastAsia" w:ascii="宋体" w:hAnsi="宋体" w:eastAsia="宋体" w:cs="宋体"/>
          <w:b/>
          <w:bCs/>
          <w:sz w:val="24"/>
          <w:szCs w:val="24"/>
          <w:highlight w:val="none"/>
          <w:lang w:val="en-US" w:eastAsia="zh-CN"/>
        </w:rPr>
        <w:t>他</w:t>
      </w:r>
      <w:r>
        <w:rPr>
          <w:rFonts w:hint="eastAsia" w:ascii="宋体" w:hAnsi="宋体" w:eastAsia="宋体" w:cs="宋体"/>
          <w:b/>
          <w:bCs/>
          <w:sz w:val="24"/>
          <w:szCs w:val="24"/>
          <w:highlight w:val="none"/>
        </w:rPr>
        <w:t>要求</w:t>
      </w:r>
      <w:bookmarkEnd w:id="26"/>
      <w:bookmarkEnd w:id="27"/>
    </w:p>
    <w:p>
      <w:pPr>
        <w:keepNext w:val="0"/>
        <w:keepLines w:val="0"/>
        <w:pageBreakBefore w:val="0"/>
        <w:kinsoku/>
        <w:wordWrap/>
        <w:overflowPunct/>
        <w:topLinePunct w:val="0"/>
        <w:autoSpaceDE/>
        <w:autoSpaceDN/>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（一）供应商应与委托方签订保密协议。如果参与服务的人员在规定的保密期内发生失泄密行为，供应商应承担全部责任。</w:t>
      </w:r>
    </w:p>
    <w:p>
      <w:pPr>
        <w:keepNext w:val="0"/>
        <w:keepLines w:val="0"/>
        <w:pageBreakBefore w:val="0"/>
        <w:kinsoku/>
        <w:wordWrap/>
        <w:overflowPunct/>
        <w:topLinePunct w:val="0"/>
        <w:autoSpaceDE/>
        <w:autoSpaceDN/>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（二）供应商须在响应文件中对服务过程中引用或产生的所有资料做出明确的保密承诺，包括但不限于纸质文档、电子文档、数据、软件、程序等。保密责任最终以正式签署的保密协议为准。</w:t>
      </w:r>
    </w:p>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jc w:val="right"/>
        <w:rPr>
          <w:color w:val="000000"/>
          <w:sz w:val="24"/>
          <w:szCs w:val="20"/>
        </w:rPr>
      </w:pPr>
      <w:bookmarkStart w:id="28" w:name="_GoBack"/>
      <w:bookmarkEnd w:id="28"/>
    </w:p>
    <w:sectPr>
      <w:headerReference r:id="rId3" w:type="default"/>
      <w:footerReference r:id="rId4"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E9A3F"/>
    <w:multiLevelType w:val="singleLevel"/>
    <w:tmpl w:val="8B0E9A3F"/>
    <w:lvl w:ilvl="0" w:tentative="0">
      <w:start w:val="6"/>
      <w:numFmt w:val="decimal"/>
      <w:suff w:val="nothing"/>
      <w:lvlText w:val="%1."/>
      <w:lvlJc w:val="left"/>
    </w:lvl>
  </w:abstractNum>
  <w:abstractNum w:abstractNumId="1">
    <w:nsid w:val="EC9C0CD5"/>
    <w:multiLevelType w:val="singleLevel"/>
    <w:tmpl w:val="EC9C0CD5"/>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35"/>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6FF"/>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557D"/>
    <w:rsid w:val="01320448"/>
    <w:rsid w:val="01397466"/>
    <w:rsid w:val="02201D8C"/>
    <w:rsid w:val="024D20EA"/>
    <w:rsid w:val="032C501C"/>
    <w:rsid w:val="03A644DC"/>
    <w:rsid w:val="04082EA6"/>
    <w:rsid w:val="04AF5742"/>
    <w:rsid w:val="04ED76E2"/>
    <w:rsid w:val="04F37683"/>
    <w:rsid w:val="05A84572"/>
    <w:rsid w:val="06013041"/>
    <w:rsid w:val="07BE7946"/>
    <w:rsid w:val="08030185"/>
    <w:rsid w:val="080D7666"/>
    <w:rsid w:val="083A174E"/>
    <w:rsid w:val="096C4286"/>
    <w:rsid w:val="09AE6FEF"/>
    <w:rsid w:val="09D73678"/>
    <w:rsid w:val="0A4A7809"/>
    <w:rsid w:val="0A64331B"/>
    <w:rsid w:val="0B660C1A"/>
    <w:rsid w:val="0B7B2930"/>
    <w:rsid w:val="0BC35C62"/>
    <w:rsid w:val="0BCB309D"/>
    <w:rsid w:val="0C092167"/>
    <w:rsid w:val="0C297F49"/>
    <w:rsid w:val="0CA737E4"/>
    <w:rsid w:val="0CBB4FE0"/>
    <w:rsid w:val="0CDB6FDB"/>
    <w:rsid w:val="0D0A5626"/>
    <w:rsid w:val="0D1C7D1F"/>
    <w:rsid w:val="0D5A0695"/>
    <w:rsid w:val="0F7A2ADB"/>
    <w:rsid w:val="101055F2"/>
    <w:rsid w:val="101822F4"/>
    <w:rsid w:val="101F1086"/>
    <w:rsid w:val="10B55BD2"/>
    <w:rsid w:val="10BE10ED"/>
    <w:rsid w:val="11914BF6"/>
    <w:rsid w:val="120A4808"/>
    <w:rsid w:val="12AF69E2"/>
    <w:rsid w:val="134F427F"/>
    <w:rsid w:val="14373D36"/>
    <w:rsid w:val="148621AB"/>
    <w:rsid w:val="14D700F7"/>
    <w:rsid w:val="14DC071E"/>
    <w:rsid w:val="150A66AF"/>
    <w:rsid w:val="151D2712"/>
    <w:rsid w:val="15F91405"/>
    <w:rsid w:val="16E1419F"/>
    <w:rsid w:val="17F93E0B"/>
    <w:rsid w:val="1858016B"/>
    <w:rsid w:val="188D74FB"/>
    <w:rsid w:val="18B828C6"/>
    <w:rsid w:val="18CD11D6"/>
    <w:rsid w:val="18FC5A33"/>
    <w:rsid w:val="19402504"/>
    <w:rsid w:val="19447B6F"/>
    <w:rsid w:val="1AE40239"/>
    <w:rsid w:val="1B7864F8"/>
    <w:rsid w:val="1C053422"/>
    <w:rsid w:val="1C136A38"/>
    <w:rsid w:val="1C455CA5"/>
    <w:rsid w:val="1C5059CF"/>
    <w:rsid w:val="1D2C69D2"/>
    <w:rsid w:val="1DDC3DD2"/>
    <w:rsid w:val="1DFD14A7"/>
    <w:rsid w:val="1E2D2057"/>
    <w:rsid w:val="201E74B3"/>
    <w:rsid w:val="207D69B0"/>
    <w:rsid w:val="20C46D34"/>
    <w:rsid w:val="20CB68DC"/>
    <w:rsid w:val="21921BF4"/>
    <w:rsid w:val="239E00B4"/>
    <w:rsid w:val="241B6C18"/>
    <w:rsid w:val="24993623"/>
    <w:rsid w:val="24DF0E61"/>
    <w:rsid w:val="251E74A4"/>
    <w:rsid w:val="269C67AD"/>
    <w:rsid w:val="26A526DC"/>
    <w:rsid w:val="26EA2685"/>
    <w:rsid w:val="27414A4E"/>
    <w:rsid w:val="27532138"/>
    <w:rsid w:val="27843CE5"/>
    <w:rsid w:val="280F4BC6"/>
    <w:rsid w:val="281E2746"/>
    <w:rsid w:val="28F1615F"/>
    <w:rsid w:val="29194E41"/>
    <w:rsid w:val="2AF23A16"/>
    <w:rsid w:val="2C475FE3"/>
    <w:rsid w:val="2C842D93"/>
    <w:rsid w:val="2CC3566A"/>
    <w:rsid w:val="2D8A0884"/>
    <w:rsid w:val="2D8A7D6E"/>
    <w:rsid w:val="2DEF7B6A"/>
    <w:rsid w:val="2E062F28"/>
    <w:rsid w:val="2E23763B"/>
    <w:rsid w:val="2E4E49E1"/>
    <w:rsid w:val="2EB931C8"/>
    <w:rsid w:val="2EE87AF0"/>
    <w:rsid w:val="2F1308B0"/>
    <w:rsid w:val="2F5062BB"/>
    <w:rsid w:val="2FD81838"/>
    <w:rsid w:val="3073530A"/>
    <w:rsid w:val="311A00DC"/>
    <w:rsid w:val="311D5124"/>
    <w:rsid w:val="31612525"/>
    <w:rsid w:val="31A0475D"/>
    <w:rsid w:val="31E12BA4"/>
    <w:rsid w:val="31E33D37"/>
    <w:rsid w:val="32E0684A"/>
    <w:rsid w:val="32EB653A"/>
    <w:rsid w:val="33A31D51"/>
    <w:rsid w:val="342C5BF9"/>
    <w:rsid w:val="354A3431"/>
    <w:rsid w:val="35DB6085"/>
    <w:rsid w:val="366A41CF"/>
    <w:rsid w:val="369C23EC"/>
    <w:rsid w:val="36EE229E"/>
    <w:rsid w:val="371829BD"/>
    <w:rsid w:val="37D44BCF"/>
    <w:rsid w:val="39504559"/>
    <w:rsid w:val="39BD46B4"/>
    <w:rsid w:val="39DE1D35"/>
    <w:rsid w:val="3A7022ED"/>
    <w:rsid w:val="3A8328DC"/>
    <w:rsid w:val="3AA12F01"/>
    <w:rsid w:val="3B9C2EA9"/>
    <w:rsid w:val="3BCB6780"/>
    <w:rsid w:val="3C374F8E"/>
    <w:rsid w:val="3C3D72AA"/>
    <w:rsid w:val="3C793F97"/>
    <w:rsid w:val="3C927480"/>
    <w:rsid w:val="3E4D7489"/>
    <w:rsid w:val="3E7C7B37"/>
    <w:rsid w:val="3EEB2533"/>
    <w:rsid w:val="3EFE54E2"/>
    <w:rsid w:val="3F3C192A"/>
    <w:rsid w:val="3F54166E"/>
    <w:rsid w:val="3FD521CA"/>
    <w:rsid w:val="40257C32"/>
    <w:rsid w:val="410F0A26"/>
    <w:rsid w:val="41967399"/>
    <w:rsid w:val="42747926"/>
    <w:rsid w:val="42AB30F6"/>
    <w:rsid w:val="42C92CCD"/>
    <w:rsid w:val="42CD0A98"/>
    <w:rsid w:val="431A0C09"/>
    <w:rsid w:val="43856FA0"/>
    <w:rsid w:val="44791F78"/>
    <w:rsid w:val="44911622"/>
    <w:rsid w:val="44A3631F"/>
    <w:rsid w:val="44B50B9A"/>
    <w:rsid w:val="44F3240C"/>
    <w:rsid w:val="45796DB6"/>
    <w:rsid w:val="458D4F3F"/>
    <w:rsid w:val="46B70AB3"/>
    <w:rsid w:val="46CA70CA"/>
    <w:rsid w:val="4766659B"/>
    <w:rsid w:val="480E2158"/>
    <w:rsid w:val="48392BA3"/>
    <w:rsid w:val="4953791E"/>
    <w:rsid w:val="49801786"/>
    <w:rsid w:val="499C6329"/>
    <w:rsid w:val="4A176B9D"/>
    <w:rsid w:val="4A2C089A"/>
    <w:rsid w:val="4A9D29C4"/>
    <w:rsid w:val="4AE56AE3"/>
    <w:rsid w:val="4B65373A"/>
    <w:rsid w:val="4D00163A"/>
    <w:rsid w:val="4DA06F46"/>
    <w:rsid w:val="4DB26057"/>
    <w:rsid w:val="4F0F5BE3"/>
    <w:rsid w:val="4F836FD1"/>
    <w:rsid w:val="4FBC446F"/>
    <w:rsid w:val="50CC06E1"/>
    <w:rsid w:val="513E0EB3"/>
    <w:rsid w:val="51590CC2"/>
    <w:rsid w:val="517F4B94"/>
    <w:rsid w:val="52422029"/>
    <w:rsid w:val="5250110F"/>
    <w:rsid w:val="527F3EE1"/>
    <w:rsid w:val="52E15F9A"/>
    <w:rsid w:val="53395DD6"/>
    <w:rsid w:val="536A3D92"/>
    <w:rsid w:val="53AC47FA"/>
    <w:rsid w:val="5449029B"/>
    <w:rsid w:val="54720213"/>
    <w:rsid w:val="547D62DB"/>
    <w:rsid w:val="55040901"/>
    <w:rsid w:val="56842CFF"/>
    <w:rsid w:val="56A97ADB"/>
    <w:rsid w:val="56DF05DE"/>
    <w:rsid w:val="57202AFE"/>
    <w:rsid w:val="577B4DDD"/>
    <w:rsid w:val="57EE345E"/>
    <w:rsid w:val="57F42B9E"/>
    <w:rsid w:val="57FC6189"/>
    <w:rsid w:val="590B0A9B"/>
    <w:rsid w:val="594B23BF"/>
    <w:rsid w:val="5B384449"/>
    <w:rsid w:val="5B42B7CD"/>
    <w:rsid w:val="5B650361"/>
    <w:rsid w:val="5B677C81"/>
    <w:rsid w:val="5BAF30D9"/>
    <w:rsid w:val="5C4001D5"/>
    <w:rsid w:val="5CB309A7"/>
    <w:rsid w:val="5CE9261B"/>
    <w:rsid w:val="5F073306"/>
    <w:rsid w:val="5F5F73B9"/>
    <w:rsid w:val="5FDC4B20"/>
    <w:rsid w:val="60FB291D"/>
    <w:rsid w:val="621A6E70"/>
    <w:rsid w:val="62833716"/>
    <w:rsid w:val="62C12B26"/>
    <w:rsid w:val="63443525"/>
    <w:rsid w:val="638B7F88"/>
    <w:rsid w:val="63992CAF"/>
    <w:rsid w:val="64F71B45"/>
    <w:rsid w:val="650414C0"/>
    <w:rsid w:val="65493C57"/>
    <w:rsid w:val="654D23F4"/>
    <w:rsid w:val="65BF0FAF"/>
    <w:rsid w:val="65CA60FC"/>
    <w:rsid w:val="663528AD"/>
    <w:rsid w:val="66F81EE4"/>
    <w:rsid w:val="670210E8"/>
    <w:rsid w:val="679A69EC"/>
    <w:rsid w:val="67AE2497"/>
    <w:rsid w:val="67FC1489"/>
    <w:rsid w:val="6838144E"/>
    <w:rsid w:val="68AA7398"/>
    <w:rsid w:val="697E40EB"/>
    <w:rsid w:val="6A527BFB"/>
    <w:rsid w:val="6AA933EA"/>
    <w:rsid w:val="6AF56A7C"/>
    <w:rsid w:val="6C472EBA"/>
    <w:rsid w:val="6D301135"/>
    <w:rsid w:val="6D643DFF"/>
    <w:rsid w:val="6DD72E46"/>
    <w:rsid w:val="6DD95E6A"/>
    <w:rsid w:val="6E503059"/>
    <w:rsid w:val="6F6806BD"/>
    <w:rsid w:val="6FF10305"/>
    <w:rsid w:val="6FF45AE0"/>
    <w:rsid w:val="701E1674"/>
    <w:rsid w:val="708329A0"/>
    <w:rsid w:val="708745F6"/>
    <w:rsid w:val="708850E0"/>
    <w:rsid w:val="70CB40BA"/>
    <w:rsid w:val="72027C3D"/>
    <w:rsid w:val="72183203"/>
    <w:rsid w:val="72730565"/>
    <w:rsid w:val="72834520"/>
    <w:rsid w:val="72987BD3"/>
    <w:rsid w:val="72F71196"/>
    <w:rsid w:val="738D7FFA"/>
    <w:rsid w:val="73922C6D"/>
    <w:rsid w:val="742C597A"/>
    <w:rsid w:val="746026BB"/>
    <w:rsid w:val="76593821"/>
    <w:rsid w:val="76930A77"/>
    <w:rsid w:val="771B741D"/>
    <w:rsid w:val="779C055E"/>
    <w:rsid w:val="77FC0E6D"/>
    <w:rsid w:val="78804BB1"/>
    <w:rsid w:val="79E373BA"/>
    <w:rsid w:val="7ACA420E"/>
    <w:rsid w:val="7B3B7A9C"/>
    <w:rsid w:val="7B767EDD"/>
    <w:rsid w:val="7BDA78A7"/>
    <w:rsid w:val="7C7C44BA"/>
    <w:rsid w:val="7CDB38D7"/>
    <w:rsid w:val="7D77D6BD"/>
    <w:rsid w:val="7E167FC7"/>
    <w:rsid w:val="7E9F459F"/>
    <w:rsid w:val="7FDB19B8"/>
    <w:rsid w:val="7FE945CE"/>
    <w:rsid w:val="A6BEB84C"/>
    <w:rsid w:val="B77F8749"/>
    <w:rsid w:val="C5FF1D65"/>
    <w:rsid w:val="EEC4FFC3"/>
    <w:rsid w:val="FFEAC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table of authorities"/>
    <w:basedOn w:val="1"/>
    <w:next w:val="1"/>
    <w:qFormat/>
    <w:uiPriority w:val="99"/>
    <w:pPr>
      <w:ind w:left="420" w:leftChars="200"/>
    </w:pPr>
    <w:rPr>
      <w:rFonts w:ascii="Calibri" w:hAnsi="Calibri" w:eastAsia="宋体" w:cs="Mongolian Baiti"/>
      <w:szCs w:val="22"/>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183"/>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7"/>
    <w:next w:val="17"/>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3"/>
    <w:qFormat/>
    <w:uiPriority w:val="0"/>
    <w:rPr>
      <w:rFonts w:ascii="宋体"/>
      <w:b/>
      <w:kern w:val="44"/>
      <w:sz w:val="32"/>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6"/>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6"/>
    <w:qFormat/>
    <w:uiPriority w:val="0"/>
    <w:rPr>
      <w:kern w:val="2"/>
      <w:sz w:val="21"/>
      <w:szCs w:val="24"/>
      <w:shd w:val="clear" w:color="auto" w:fill="000080"/>
    </w:rPr>
  </w:style>
  <w:style w:type="character" w:customStyle="1" w:styleId="237">
    <w:name w:val="正文文本 3 字符"/>
    <w:basedOn w:val="46"/>
    <w:link w:val="18"/>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8"/>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P"/>
    <w:basedOn w:val="1"/>
    <w:qFormat/>
    <w:uiPriority w:val="0"/>
    <w:pPr>
      <w:widowControl/>
      <w:spacing w:line="360" w:lineRule="atLeast"/>
      <w:jc w:val="left"/>
    </w:pPr>
    <w:rPr>
      <w:rFonts w:ascii="微软雅黑" w:hAnsi="微软雅黑" w:eastAsia="微软雅黑" w:cs="微软雅黑"/>
      <w:kern w:val="0"/>
      <w:sz w:val="24"/>
    </w:rPr>
  </w:style>
  <w:style w:type="character" w:customStyle="1" w:styleId="254">
    <w:name w:val="font11"/>
    <w:basedOn w:val="46"/>
    <w:qFormat/>
    <w:uiPriority w:val="0"/>
    <w:rPr>
      <w:rFonts w:hint="eastAsia" w:ascii="宋体" w:hAnsi="宋体" w:eastAsia="宋体" w:cs="宋体"/>
      <w:color w:val="000000"/>
      <w:sz w:val="20"/>
      <w:szCs w:val="20"/>
      <w:u w:val="none"/>
    </w:rPr>
  </w:style>
  <w:style w:type="character" w:customStyle="1" w:styleId="255">
    <w:name w:val="font31"/>
    <w:basedOn w:val="46"/>
    <w:qFormat/>
    <w:uiPriority w:val="0"/>
    <w:rPr>
      <w:rFonts w:hint="eastAsia" w:ascii="宋体" w:hAnsi="宋体" w:eastAsia="宋体" w:cs="宋体"/>
      <w:b/>
      <w:bCs/>
      <w:color w:val="000000"/>
      <w:sz w:val="20"/>
      <w:szCs w:val="20"/>
      <w:u w:val="none"/>
    </w:rPr>
  </w:style>
  <w:style w:type="character" w:customStyle="1" w:styleId="256">
    <w:name w:val="font71"/>
    <w:basedOn w:val="46"/>
    <w:qFormat/>
    <w:uiPriority w:val="0"/>
    <w:rPr>
      <w:rFonts w:ascii="Arial" w:hAnsi="Arial" w:cs="Arial"/>
      <w:color w:val="000000"/>
      <w:sz w:val="20"/>
      <w:szCs w:val="20"/>
      <w:u w:val="none"/>
    </w:rPr>
  </w:style>
  <w:style w:type="paragraph" w:customStyle="1" w:styleId="25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8">
    <w:name w:val="正文仿宋小四1"/>
    <w:basedOn w:val="1"/>
    <w:qFormat/>
    <w:uiPriority w:val="0"/>
    <w:rPr>
      <w:rFonts w:ascii="Times New Roman" w:hAnsi="Times New Roman" w:eastAsia="宋体" w:cs="Times New Roman"/>
      <w:szCs w:val="24"/>
    </w:rPr>
  </w:style>
  <w:style w:type="table" w:customStyle="1" w:styleId="259">
    <w:name w:val="TableGri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32435</Words>
  <Characters>34012</Characters>
  <Lines>1296</Lines>
  <Paragraphs>1101</Paragraphs>
  <TotalTime>9</TotalTime>
  <ScaleCrop>false</ScaleCrop>
  <LinksUpToDate>false</LinksUpToDate>
  <CharactersWithSpaces>34573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2024-06-06T01:36:00Z</dcterms:created>
  <dc:creator>Yin Hao</dc:creator>
  <cp:lastModifiedBy>cyn</cp:lastModifiedBy>
  <cp:lastPrinted>2020-04-02T19:13:00Z</cp:lastPrinted>
  <dcterms:modified xsi:type="dcterms:W3CDTF">2026-06-22T09:12:56Z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A99A6A115A214717A7B2CFD75427EA99_13</vt:lpwstr>
  </property>
  <property fmtid="{D5CDD505-2E9C-101B-9397-08002B2CF9AE}" pid="4" name="KSOTemplateDocerSaveRecord">
    <vt:lpwstr>eyJoZGlkIjoiMDczN2VjYjQ0NmU1YzY1MzQxMjNkMDY3NTRkYmNhM2IiLCJ1c2VySWQiOiIzNzAwOTg2NDcifQ==</vt:lpwstr>
  </property>
</Properties>
</file>