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15" w:rsidRPr="00891215" w:rsidRDefault="00891215" w:rsidP="00891215">
      <w:pPr>
        <w:snapToGrid w:val="0"/>
        <w:spacing w:line="540" w:lineRule="exact"/>
        <w:jc w:val="center"/>
        <w:outlineLvl w:val="0"/>
        <w:rPr>
          <w:rFonts w:ascii="Calibri" w:eastAsia="宋体" w:hAnsi="Calibri" w:cs="Times New Roman"/>
          <w:b/>
          <w:sz w:val="36"/>
          <w:szCs w:val="36"/>
        </w:rPr>
      </w:pPr>
      <w:bookmarkStart w:id="0" w:name="_Toc188469918"/>
      <w:r w:rsidRPr="00891215">
        <w:rPr>
          <w:rFonts w:ascii="Calibri" w:eastAsia="宋体" w:hAnsi="Calibri" w:cs="Times New Roman" w:hint="eastAsia"/>
          <w:b/>
          <w:sz w:val="36"/>
          <w:szCs w:val="36"/>
        </w:rPr>
        <w:t>采购需求</w:t>
      </w:r>
      <w:bookmarkEnd w:id="0"/>
    </w:p>
    <w:p w:rsidR="00891215" w:rsidRPr="00891215" w:rsidRDefault="00891215" w:rsidP="00891215">
      <w:pPr>
        <w:rPr>
          <w:rFonts w:ascii="Calibri" w:eastAsia="宋体" w:hAnsi="Calibri" w:cs="Times New Roman"/>
          <w:szCs w:val="24"/>
        </w:rPr>
      </w:pPr>
    </w:p>
    <w:p w:rsidR="00891215" w:rsidRPr="00891215" w:rsidRDefault="00891215" w:rsidP="00891215">
      <w:pPr>
        <w:snapToGrid w:val="0"/>
        <w:spacing w:beforeLines="50" w:before="156" w:line="360" w:lineRule="auto"/>
        <w:rPr>
          <w:rFonts w:ascii="仿宋" w:eastAsia="仿宋" w:hAnsi="仿宋" w:cs="Times New Roman"/>
          <w:b/>
          <w:sz w:val="24"/>
          <w:szCs w:val="24"/>
        </w:rPr>
      </w:pPr>
      <w:r w:rsidRPr="00891215">
        <w:rPr>
          <w:rFonts w:ascii="仿宋" w:eastAsia="仿宋" w:hAnsi="仿宋" w:cs="Times New Roman" w:hint="eastAsia"/>
          <w:b/>
          <w:sz w:val="24"/>
          <w:szCs w:val="24"/>
        </w:rPr>
        <w:t>一、采购标的需实现的功能或者目标，以及为落实政府采购政策需满足的要求</w:t>
      </w:r>
    </w:p>
    <w:p w:rsidR="00891215" w:rsidRPr="00891215" w:rsidRDefault="00891215" w:rsidP="00891215">
      <w:pPr>
        <w:tabs>
          <w:tab w:val="left" w:pos="7980"/>
        </w:tabs>
        <w:spacing w:beforeLines="50" w:before="156" w:line="360" w:lineRule="auto"/>
        <w:rPr>
          <w:rFonts w:ascii="仿宋" w:eastAsia="仿宋" w:hAnsi="仿宋" w:cs="Times New Roman"/>
          <w:b/>
          <w:bCs/>
          <w:sz w:val="24"/>
          <w:szCs w:val="24"/>
        </w:rPr>
      </w:pPr>
      <w:r w:rsidRPr="00891215">
        <w:rPr>
          <w:rFonts w:ascii="仿宋" w:eastAsia="仿宋" w:hAnsi="仿宋" w:cs="Times New Roman" w:hint="eastAsia"/>
          <w:b/>
          <w:bCs/>
          <w:sz w:val="24"/>
          <w:szCs w:val="24"/>
        </w:rPr>
        <w:t>（一）采购标的需实现的功能或者目标：</w:t>
      </w:r>
    </w:p>
    <w:p w:rsidR="00891215" w:rsidRPr="00891215" w:rsidRDefault="00891215" w:rsidP="00891215">
      <w:pPr>
        <w:autoSpaceDE w:val="0"/>
        <w:autoSpaceDN w:val="0"/>
        <w:adjustRightInd w:val="0"/>
        <w:spacing w:before="50" w:line="360" w:lineRule="auto"/>
        <w:ind w:firstLineChars="200" w:firstLine="480"/>
        <w:rPr>
          <w:rFonts w:ascii="仿宋" w:eastAsia="仿宋" w:hAnsi="仿宋" w:cs="Times New Roman"/>
          <w:sz w:val="24"/>
          <w:szCs w:val="24"/>
        </w:rPr>
      </w:pPr>
      <w:r w:rsidRPr="00891215">
        <w:rPr>
          <w:rFonts w:ascii="仿宋" w:eastAsia="仿宋" w:hAnsi="仿宋" w:cs="Times New Roman" w:hint="eastAsia"/>
          <w:sz w:val="24"/>
          <w:szCs w:val="24"/>
        </w:rPr>
        <w:t>本次采购新能源执勤执法车，满足市区勤务需求，符合市</w:t>
      </w:r>
      <w:bookmarkStart w:id="1" w:name="_GoBack"/>
      <w:bookmarkEnd w:id="1"/>
      <w:r w:rsidRPr="00891215">
        <w:rPr>
          <w:rFonts w:ascii="仿宋" w:eastAsia="仿宋" w:hAnsi="仿宋" w:cs="Times New Roman" w:hint="eastAsia"/>
          <w:sz w:val="24"/>
          <w:szCs w:val="24"/>
        </w:rPr>
        <w:t>区道路拥挤，胡同道路狭窄的使用需求，符合北京市环保要求，满足北京市落户上牌要求。</w:t>
      </w:r>
    </w:p>
    <w:p w:rsidR="00891215" w:rsidRPr="00891215" w:rsidRDefault="00891215" w:rsidP="00891215">
      <w:pPr>
        <w:spacing w:beforeLines="50" w:before="156" w:line="360" w:lineRule="auto"/>
        <w:rPr>
          <w:rFonts w:ascii="仿宋" w:eastAsia="仿宋" w:hAnsi="仿宋" w:cs="Times New Roman"/>
          <w:b/>
          <w:bCs/>
          <w:sz w:val="24"/>
          <w:szCs w:val="24"/>
        </w:rPr>
      </w:pPr>
      <w:r w:rsidRPr="00891215">
        <w:rPr>
          <w:rFonts w:ascii="仿宋" w:eastAsia="仿宋" w:hAnsi="仿宋" w:cs="Times New Roman" w:hint="eastAsia"/>
          <w:b/>
          <w:bCs/>
          <w:sz w:val="24"/>
          <w:szCs w:val="24"/>
        </w:rPr>
        <w:t>（二）为落实政府采购政策需满足的要求</w:t>
      </w:r>
    </w:p>
    <w:p w:rsidR="00891215" w:rsidRPr="00891215" w:rsidRDefault="00891215" w:rsidP="00891215">
      <w:pPr>
        <w:numPr>
          <w:ilvl w:val="0"/>
          <w:numId w:val="2"/>
        </w:numPr>
        <w:tabs>
          <w:tab w:val="left" w:pos="900"/>
        </w:tabs>
        <w:spacing w:beforeLines="50" w:before="156" w:line="360" w:lineRule="auto"/>
        <w:rPr>
          <w:rFonts w:ascii="仿宋" w:eastAsia="仿宋" w:hAnsi="仿宋" w:cs="Times New Roman"/>
          <w:sz w:val="24"/>
          <w:szCs w:val="24"/>
        </w:rPr>
      </w:pPr>
      <w:r w:rsidRPr="00891215">
        <w:rPr>
          <w:rFonts w:ascii="仿宋" w:eastAsia="仿宋" w:hAnsi="仿宋" w:cs="Times New Roman" w:hint="eastAsia"/>
          <w:sz w:val="24"/>
          <w:szCs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891215">
        <w:rPr>
          <w:rFonts w:ascii="仿宋" w:eastAsia="仿宋" w:hAnsi="仿宋" w:cs="Times New Roman" w:hint="eastAsia"/>
          <w:sz w:val="24"/>
          <w:szCs w:val="24"/>
        </w:rPr>
        <w:t>声明函不真实</w:t>
      </w:r>
      <w:proofErr w:type="gramEnd"/>
      <w:r w:rsidRPr="00891215">
        <w:rPr>
          <w:rFonts w:ascii="仿宋" w:eastAsia="仿宋" w:hAnsi="仿宋" w:cs="Times New Roman" w:hint="eastAsia"/>
          <w:sz w:val="24"/>
          <w:szCs w:val="24"/>
        </w:rPr>
        <w:t>的，应承担相应的法律责任。（注：依据《政府采购促进中小企业发展管理办法》规定享受扶持政策获得政府采购合同的小</w:t>
      </w:r>
      <w:proofErr w:type="gramStart"/>
      <w:r w:rsidRPr="00891215">
        <w:rPr>
          <w:rFonts w:ascii="仿宋" w:eastAsia="仿宋" w:hAnsi="仿宋" w:cs="Times New Roman" w:hint="eastAsia"/>
          <w:sz w:val="24"/>
          <w:szCs w:val="24"/>
        </w:rPr>
        <w:t>微企业</w:t>
      </w:r>
      <w:proofErr w:type="gramEnd"/>
      <w:r w:rsidRPr="00891215">
        <w:rPr>
          <w:rFonts w:ascii="仿宋" w:eastAsia="仿宋" w:hAnsi="仿宋" w:cs="Times New Roman" w:hint="eastAsia"/>
          <w:sz w:val="24"/>
          <w:szCs w:val="24"/>
        </w:rPr>
        <w:t>不得将合同分包给大中型企业，中型企业不得将合同分包给大型企业。）</w:t>
      </w:r>
    </w:p>
    <w:p w:rsidR="00891215" w:rsidRPr="00891215" w:rsidRDefault="00891215" w:rsidP="00891215">
      <w:pPr>
        <w:numPr>
          <w:ilvl w:val="0"/>
          <w:numId w:val="2"/>
        </w:numPr>
        <w:snapToGrid w:val="0"/>
        <w:spacing w:beforeLines="50" w:before="156" w:line="360" w:lineRule="auto"/>
        <w:rPr>
          <w:rFonts w:ascii="仿宋" w:eastAsia="仿宋" w:hAnsi="仿宋" w:cs="Times New Roman"/>
          <w:sz w:val="24"/>
          <w:szCs w:val="24"/>
        </w:rPr>
      </w:pPr>
      <w:r w:rsidRPr="00891215">
        <w:rPr>
          <w:rFonts w:ascii="仿宋" w:eastAsia="仿宋" w:hAnsi="仿宋" w:cs="Times New Roman" w:hint="eastAsia"/>
          <w:sz w:val="24"/>
          <w:szCs w:val="24"/>
        </w:rPr>
        <w:t>监狱企业扶持政策：</w:t>
      </w:r>
      <w:r w:rsidRPr="00891215">
        <w:rPr>
          <w:rFonts w:ascii="仿宋" w:eastAsia="仿宋" w:hAnsi="仿宋" w:cs="Times New Roman" w:hint="eastAsia"/>
          <w:iCs/>
          <w:sz w:val="24"/>
          <w:szCs w:val="24"/>
        </w:rPr>
        <w:t>投标人如为监狱企业将视同为小型或微型企业，</w:t>
      </w:r>
      <w:r w:rsidRPr="00891215">
        <w:rPr>
          <w:rFonts w:ascii="仿宋" w:eastAsia="仿宋" w:hAnsi="仿宋" w:cs="Times New Roman" w:hint="eastAsia"/>
          <w:sz w:val="24"/>
          <w:szCs w:val="24"/>
        </w:rPr>
        <w:t>且所投产品为小型或微型企业生产的，</w:t>
      </w:r>
      <w:r w:rsidRPr="00891215">
        <w:rPr>
          <w:rFonts w:ascii="仿宋" w:eastAsia="仿宋" w:hAnsi="仿宋" w:cs="Times New Roman" w:hint="eastAsia"/>
          <w:iCs/>
          <w:sz w:val="24"/>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891215">
        <w:rPr>
          <w:rFonts w:ascii="仿宋" w:eastAsia="仿宋" w:hAnsi="仿宋" w:cs="Times New Roman" w:hint="eastAsia"/>
          <w:sz w:val="24"/>
          <w:szCs w:val="24"/>
        </w:rPr>
        <w:t>。</w:t>
      </w:r>
    </w:p>
    <w:p w:rsidR="00891215" w:rsidRPr="00891215" w:rsidRDefault="00891215" w:rsidP="00891215">
      <w:pPr>
        <w:numPr>
          <w:ilvl w:val="0"/>
          <w:numId w:val="2"/>
        </w:numPr>
        <w:snapToGrid w:val="0"/>
        <w:spacing w:beforeLines="50" w:before="156" w:line="360" w:lineRule="auto"/>
        <w:rPr>
          <w:rFonts w:ascii="仿宋" w:eastAsia="仿宋" w:hAnsi="仿宋" w:cs="Times New Roman"/>
          <w:sz w:val="24"/>
          <w:szCs w:val="24"/>
        </w:rPr>
      </w:pPr>
      <w:r w:rsidRPr="00891215">
        <w:rPr>
          <w:rFonts w:ascii="仿宋" w:eastAsia="仿宋" w:hAnsi="仿宋" w:cs="Times New Roman" w:hint="eastAsia"/>
          <w:sz w:val="24"/>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891215" w:rsidRPr="00891215" w:rsidRDefault="00891215" w:rsidP="00891215">
      <w:pPr>
        <w:numPr>
          <w:ilvl w:val="0"/>
          <w:numId w:val="2"/>
        </w:numPr>
        <w:tabs>
          <w:tab w:val="left" w:pos="900"/>
        </w:tabs>
        <w:spacing w:beforeLines="50" w:before="156" w:line="360" w:lineRule="auto"/>
        <w:rPr>
          <w:rFonts w:ascii="仿宋" w:eastAsia="仿宋" w:hAnsi="仿宋" w:cs="Times New Roman"/>
          <w:sz w:val="24"/>
          <w:szCs w:val="24"/>
        </w:rPr>
      </w:pPr>
      <w:r w:rsidRPr="00891215">
        <w:rPr>
          <w:rFonts w:ascii="仿宋" w:eastAsia="仿宋" w:hAnsi="仿宋" w:cs="Times New Roman" w:hint="eastAsia"/>
          <w:sz w:val="24"/>
          <w:szCs w:val="24"/>
        </w:rPr>
        <w:t>鼓励节能政策：投标人的</w:t>
      </w:r>
      <w:r w:rsidRPr="00891215">
        <w:rPr>
          <w:rFonts w:ascii="仿宋" w:eastAsia="仿宋" w:hAnsi="仿宋" w:cs="Times New Roman" w:hint="eastAsia"/>
          <w:kern w:val="0"/>
          <w:sz w:val="24"/>
          <w:szCs w:val="24"/>
        </w:rPr>
        <w:t>投标产品属于财政部、发展改革委公布的“节能产</w:t>
      </w:r>
      <w:r w:rsidRPr="00891215">
        <w:rPr>
          <w:rFonts w:ascii="仿宋" w:eastAsia="仿宋" w:hAnsi="仿宋" w:cs="Times New Roman" w:hint="eastAsia"/>
          <w:kern w:val="0"/>
          <w:sz w:val="24"/>
          <w:szCs w:val="24"/>
        </w:rPr>
        <w:lastRenderedPageBreak/>
        <w:t>品政府采购品目清单”范围的</w:t>
      </w:r>
      <w:r w:rsidRPr="00891215">
        <w:rPr>
          <w:rFonts w:ascii="仿宋" w:eastAsia="仿宋" w:hAnsi="仿宋" w:cs="Times New Roman" w:hint="eastAsia"/>
          <w:sz w:val="24"/>
          <w:szCs w:val="24"/>
        </w:rPr>
        <w:t>，投标人需提供</w:t>
      </w:r>
      <w:r w:rsidRPr="00891215">
        <w:rPr>
          <w:rFonts w:ascii="仿宋" w:eastAsia="仿宋" w:hAnsi="仿宋" w:cs="Times New Roman" w:hint="eastAsia"/>
          <w:kern w:val="0"/>
          <w:sz w:val="24"/>
          <w:szCs w:val="24"/>
        </w:rPr>
        <w:t>国家确定的</w:t>
      </w:r>
      <w:r w:rsidRPr="00891215">
        <w:rPr>
          <w:rFonts w:ascii="仿宋" w:eastAsia="仿宋" w:hAnsi="仿宋" w:cs="Times New Roman" w:hint="eastAsia"/>
          <w:sz w:val="24"/>
          <w:szCs w:val="24"/>
        </w:rPr>
        <w:t>认证机构出具的、处于有效期之内的节能产品认证证书。</w:t>
      </w:r>
      <w:r w:rsidRPr="00891215">
        <w:rPr>
          <w:rFonts w:ascii="仿宋" w:eastAsia="仿宋" w:hAnsi="仿宋" w:cs="Times New Roman" w:hint="eastAsia"/>
          <w:kern w:val="0"/>
          <w:sz w:val="24"/>
          <w:szCs w:val="24"/>
        </w:rPr>
        <w:t>国家确定的</w:t>
      </w:r>
      <w:r w:rsidRPr="00891215">
        <w:rPr>
          <w:rFonts w:ascii="仿宋" w:eastAsia="仿宋" w:hAnsi="仿宋" w:cs="Times New Roman" w:hint="eastAsia"/>
          <w:sz w:val="24"/>
          <w:szCs w:val="24"/>
        </w:rPr>
        <w:t>认证机构和节能产品获证产品信息可从市场监管总局组建的节能产品、环境标志产品认证结果信息发布平台或中国政府采购网（www.ccgp.gov.cn）建立的认证结果信息发布平台链接中查询下载。</w:t>
      </w:r>
    </w:p>
    <w:p w:rsidR="00891215" w:rsidRPr="00891215" w:rsidRDefault="00891215" w:rsidP="00891215">
      <w:pPr>
        <w:numPr>
          <w:ilvl w:val="0"/>
          <w:numId w:val="2"/>
        </w:numPr>
        <w:tabs>
          <w:tab w:val="left" w:pos="900"/>
        </w:tabs>
        <w:spacing w:beforeLines="50" w:before="156" w:line="360" w:lineRule="auto"/>
        <w:rPr>
          <w:rFonts w:ascii="仿宋" w:eastAsia="仿宋" w:hAnsi="仿宋" w:cs="Times New Roman"/>
          <w:sz w:val="24"/>
          <w:szCs w:val="24"/>
        </w:rPr>
      </w:pPr>
      <w:r w:rsidRPr="00891215">
        <w:rPr>
          <w:rFonts w:ascii="仿宋" w:eastAsia="仿宋" w:hAnsi="仿宋" w:cs="Times New Roman" w:hint="eastAsia"/>
          <w:sz w:val="24"/>
          <w:szCs w:val="24"/>
        </w:rPr>
        <w:t>鼓励环保政策：投标人的</w:t>
      </w:r>
      <w:r w:rsidRPr="00891215">
        <w:rPr>
          <w:rFonts w:ascii="仿宋" w:eastAsia="仿宋" w:hAnsi="仿宋" w:cs="Times New Roman" w:hint="eastAsia"/>
          <w:kern w:val="0"/>
          <w:sz w:val="24"/>
          <w:szCs w:val="24"/>
        </w:rPr>
        <w:t>投标产品属于财政部、生态环境部公布的“环境标志产品政府采购品目清单”范围的</w:t>
      </w:r>
      <w:r w:rsidRPr="00891215">
        <w:rPr>
          <w:rFonts w:ascii="仿宋" w:eastAsia="仿宋" w:hAnsi="仿宋" w:cs="Times New Roman" w:hint="eastAsia"/>
          <w:sz w:val="24"/>
          <w:szCs w:val="24"/>
        </w:rPr>
        <w:t>，投标人需提供</w:t>
      </w:r>
      <w:r w:rsidRPr="00891215">
        <w:rPr>
          <w:rFonts w:ascii="仿宋" w:eastAsia="仿宋" w:hAnsi="仿宋" w:cs="Times New Roman" w:hint="eastAsia"/>
          <w:kern w:val="0"/>
          <w:sz w:val="24"/>
          <w:szCs w:val="24"/>
        </w:rPr>
        <w:t>国家确定的</w:t>
      </w:r>
      <w:r w:rsidRPr="00891215">
        <w:rPr>
          <w:rFonts w:ascii="仿宋" w:eastAsia="仿宋" w:hAnsi="仿宋" w:cs="Times New Roman" w:hint="eastAsia"/>
          <w:sz w:val="24"/>
          <w:szCs w:val="24"/>
        </w:rPr>
        <w:t>认证机构出具的、处于有效期之内的</w:t>
      </w:r>
      <w:r w:rsidRPr="00891215">
        <w:rPr>
          <w:rFonts w:ascii="仿宋" w:eastAsia="仿宋" w:hAnsi="仿宋" w:cs="Times New Roman" w:hint="eastAsia"/>
          <w:kern w:val="0"/>
          <w:sz w:val="24"/>
          <w:szCs w:val="24"/>
        </w:rPr>
        <w:t>环境标志</w:t>
      </w:r>
      <w:r w:rsidRPr="00891215">
        <w:rPr>
          <w:rFonts w:ascii="仿宋" w:eastAsia="仿宋" w:hAnsi="仿宋" w:cs="Times New Roman" w:hint="eastAsia"/>
          <w:sz w:val="24"/>
          <w:szCs w:val="24"/>
        </w:rPr>
        <w:t>产品认证证书。</w:t>
      </w:r>
      <w:r w:rsidRPr="00891215">
        <w:rPr>
          <w:rFonts w:ascii="仿宋" w:eastAsia="仿宋" w:hAnsi="仿宋" w:cs="Times New Roman" w:hint="eastAsia"/>
          <w:kern w:val="0"/>
          <w:sz w:val="24"/>
          <w:szCs w:val="24"/>
        </w:rPr>
        <w:t>国家确定的</w:t>
      </w:r>
      <w:r w:rsidRPr="00891215">
        <w:rPr>
          <w:rFonts w:ascii="仿宋" w:eastAsia="仿宋" w:hAnsi="仿宋" w:cs="Times New Roman" w:hint="eastAsia"/>
          <w:sz w:val="24"/>
          <w:szCs w:val="24"/>
        </w:rPr>
        <w:t>认证机构和</w:t>
      </w:r>
      <w:r w:rsidRPr="00891215">
        <w:rPr>
          <w:rFonts w:ascii="仿宋" w:eastAsia="仿宋" w:hAnsi="仿宋" w:cs="Times New Roman" w:hint="eastAsia"/>
          <w:kern w:val="0"/>
          <w:sz w:val="24"/>
          <w:szCs w:val="24"/>
        </w:rPr>
        <w:t>环境标志</w:t>
      </w:r>
      <w:r w:rsidRPr="00891215">
        <w:rPr>
          <w:rFonts w:ascii="仿宋" w:eastAsia="仿宋" w:hAnsi="仿宋" w:cs="Times New Roman" w:hint="eastAsia"/>
          <w:sz w:val="24"/>
          <w:szCs w:val="24"/>
        </w:rPr>
        <w:t>产品获证产品信息可从市场监管总局组建的节能产品、环境标志产品认证结果信息发布平台或中国政府采购网（www.ccgp.gov.cn）建立的认证结果信息发布平台链接中查询下载。</w:t>
      </w:r>
    </w:p>
    <w:p w:rsidR="00891215" w:rsidRPr="00891215" w:rsidRDefault="00891215" w:rsidP="00891215">
      <w:pPr>
        <w:snapToGrid w:val="0"/>
        <w:spacing w:beforeLines="50" w:before="156" w:line="360" w:lineRule="auto"/>
        <w:rPr>
          <w:rFonts w:ascii="仿宋" w:eastAsia="仿宋" w:hAnsi="仿宋" w:cs="Times New Roman"/>
          <w:b/>
          <w:sz w:val="24"/>
          <w:szCs w:val="24"/>
        </w:rPr>
      </w:pPr>
      <w:r w:rsidRPr="00891215">
        <w:rPr>
          <w:rFonts w:ascii="仿宋" w:eastAsia="仿宋" w:hAnsi="仿宋" w:cs="Times New Roman" w:hint="eastAsia"/>
          <w:b/>
          <w:sz w:val="24"/>
          <w:szCs w:val="24"/>
        </w:rPr>
        <w:t>二、采购标的需执行的国家相关标准、行业标准、地方标准或者其他标准、规范</w:t>
      </w:r>
    </w:p>
    <w:p w:rsidR="00891215" w:rsidRPr="00891215" w:rsidRDefault="00891215" w:rsidP="00891215">
      <w:pPr>
        <w:tabs>
          <w:tab w:val="left" w:pos="420"/>
        </w:tabs>
        <w:wordWrap w:val="0"/>
        <w:spacing w:before="50" w:line="360" w:lineRule="auto"/>
        <w:ind w:firstLineChars="200" w:firstLine="482"/>
        <w:rPr>
          <w:rFonts w:ascii="仿宋" w:eastAsia="仿宋" w:hAnsi="仿宋" w:cs="Times New Roman"/>
          <w:b/>
          <w:sz w:val="24"/>
          <w:szCs w:val="20"/>
        </w:rPr>
      </w:pPr>
      <w:r w:rsidRPr="00891215">
        <w:rPr>
          <w:rFonts w:ascii="仿宋" w:eastAsia="仿宋" w:hAnsi="仿宋" w:cs="Times New Roman"/>
          <w:b/>
          <w:sz w:val="24"/>
          <w:szCs w:val="20"/>
        </w:rPr>
        <w:t>★1、交车时，根据采购人要求完成外观喷涂，全部警车涂</w:t>
      </w:r>
      <w:proofErr w:type="gramStart"/>
      <w:r w:rsidRPr="00891215">
        <w:rPr>
          <w:rFonts w:ascii="仿宋" w:eastAsia="仿宋" w:hAnsi="仿宋" w:cs="Times New Roman"/>
          <w:b/>
          <w:sz w:val="24"/>
          <w:szCs w:val="20"/>
        </w:rPr>
        <w:t>装符合</w:t>
      </w:r>
      <w:proofErr w:type="gramEnd"/>
      <w:r w:rsidRPr="00891215">
        <w:rPr>
          <w:rFonts w:ascii="仿宋" w:eastAsia="仿宋" w:hAnsi="仿宋" w:cs="Times New Roman"/>
          <w:b/>
          <w:sz w:val="24"/>
          <w:szCs w:val="20"/>
        </w:rPr>
        <w:t>《中华人民共和国公共安全行业标准》GA524-2004(2004式警车汽车类外观制式涂</w:t>
      </w:r>
      <w:proofErr w:type="gramStart"/>
      <w:r w:rsidRPr="00891215">
        <w:rPr>
          <w:rFonts w:ascii="仿宋" w:eastAsia="仿宋" w:hAnsi="仿宋" w:cs="Times New Roman"/>
          <w:b/>
          <w:sz w:val="24"/>
          <w:szCs w:val="20"/>
        </w:rPr>
        <w:t>装规范</w:t>
      </w:r>
      <w:proofErr w:type="gramEnd"/>
      <w:r w:rsidRPr="00891215">
        <w:rPr>
          <w:rFonts w:ascii="仿宋" w:eastAsia="仿宋" w:hAnsi="仿宋" w:cs="Times New Roman"/>
          <w:b/>
          <w:sz w:val="24"/>
          <w:szCs w:val="20"/>
        </w:rPr>
        <w:t>)涂装规范；同时按采购人要求配备长排警灯。（投标人须提供承诺函并加盖投标人单位公章，格式自拟）</w:t>
      </w:r>
    </w:p>
    <w:p w:rsidR="00891215" w:rsidRPr="00891215" w:rsidRDefault="00891215" w:rsidP="00891215">
      <w:pPr>
        <w:tabs>
          <w:tab w:val="left" w:pos="420"/>
        </w:tabs>
        <w:wordWrap w:val="0"/>
        <w:spacing w:before="50" w:line="360" w:lineRule="auto"/>
        <w:ind w:firstLineChars="200" w:firstLine="480"/>
        <w:rPr>
          <w:rFonts w:ascii="仿宋" w:eastAsia="仿宋" w:hAnsi="仿宋" w:cs="Times New Roman"/>
          <w:sz w:val="24"/>
          <w:szCs w:val="20"/>
        </w:rPr>
      </w:pPr>
      <w:r w:rsidRPr="00891215">
        <w:rPr>
          <w:rFonts w:ascii="仿宋" w:eastAsia="仿宋" w:hAnsi="仿宋" w:cs="Times New Roman"/>
          <w:sz w:val="24"/>
          <w:szCs w:val="20"/>
        </w:rPr>
        <w:t>以上规范如有更新，以国家、地方、行业最新标准为准。在实施本项目期间除应遵循上述规范外，还应遵循未列出的其它相关国家、地方、行业标准及规范。</w:t>
      </w:r>
    </w:p>
    <w:p w:rsidR="00891215" w:rsidRPr="00891215" w:rsidRDefault="00891215" w:rsidP="00891215">
      <w:pPr>
        <w:snapToGrid w:val="0"/>
        <w:spacing w:beforeLines="50" w:before="156" w:line="360" w:lineRule="auto"/>
        <w:rPr>
          <w:rFonts w:ascii="仿宋" w:eastAsia="仿宋" w:hAnsi="仿宋" w:cs="Times New Roman"/>
          <w:b/>
          <w:sz w:val="24"/>
          <w:szCs w:val="24"/>
        </w:rPr>
      </w:pPr>
      <w:r w:rsidRPr="00891215">
        <w:rPr>
          <w:rFonts w:ascii="仿宋" w:eastAsia="仿宋" w:hAnsi="仿宋" w:cs="Times New Roman" w:hint="eastAsia"/>
          <w:b/>
          <w:sz w:val="24"/>
          <w:szCs w:val="24"/>
        </w:rPr>
        <w:t>三、采购标的</w:t>
      </w:r>
      <w:proofErr w:type="gramStart"/>
      <w:r w:rsidRPr="00891215">
        <w:rPr>
          <w:rFonts w:ascii="仿宋" w:eastAsia="仿宋" w:hAnsi="仿宋" w:cs="Times New Roman" w:hint="eastAsia"/>
          <w:b/>
          <w:sz w:val="24"/>
          <w:szCs w:val="24"/>
        </w:rPr>
        <w:t>的</w:t>
      </w:r>
      <w:proofErr w:type="gramEnd"/>
      <w:r w:rsidRPr="00891215">
        <w:rPr>
          <w:rFonts w:ascii="仿宋" w:eastAsia="仿宋" w:hAnsi="仿宋" w:cs="Times New Roman" w:hint="eastAsia"/>
          <w:b/>
          <w:sz w:val="24"/>
          <w:szCs w:val="24"/>
        </w:rPr>
        <w:t>数量、采购项目交付或者实施的时间和地点</w:t>
      </w:r>
    </w:p>
    <w:p w:rsidR="00891215" w:rsidRPr="00891215" w:rsidRDefault="00891215" w:rsidP="00891215">
      <w:pPr>
        <w:spacing w:beforeLines="50" w:before="156" w:line="360" w:lineRule="auto"/>
        <w:ind w:left="-208"/>
        <w:rPr>
          <w:rFonts w:ascii="仿宋" w:eastAsia="仿宋" w:hAnsi="仿宋" w:cs="Times New Roman"/>
          <w:b/>
          <w:sz w:val="24"/>
          <w:szCs w:val="24"/>
        </w:rPr>
      </w:pPr>
      <w:r w:rsidRPr="00891215">
        <w:rPr>
          <w:rFonts w:ascii="仿宋" w:eastAsia="仿宋" w:hAnsi="仿宋" w:cs="Times New Roman" w:hint="eastAsia"/>
          <w:b/>
          <w:sz w:val="24"/>
          <w:szCs w:val="24"/>
        </w:rPr>
        <w:t>（一）采购标的</w:t>
      </w:r>
      <w:proofErr w:type="gramStart"/>
      <w:r w:rsidRPr="00891215">
        <w:rPr>
          <w:rFonts w:ascii="仿宋" w:eastAsia="仿宋" w:hAnsi="仿宋" w:cs="Times New Roman" w:hint="eastAsia"/>
          <w:b/>
          <w:sz w:val="24"/>
          <w:szCs w:val="24"/>
        </w:rPr>
        <w:t>的</w:t>
      </w:r>
      <w:proofErr w:type="gramEnd"/>
      <w:r w:rsidRPr="00891215">
        <w:rPr>
          <w:rFonts w:ascii="仿宋" w:eastAsia="仿宋" w:hAnsi="仿宋" w:cs="Times New Roman" w:hint="eastAsia"/>
          <w:b/>
          <w:sz w:val="24"/>
          <w:szCs w:val="24"/>
        </w:rPr>
        <w:t>数量</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287"/>
        <w:gridCol w:w="1563"/>
        <w:gridCol w:w="3379"/>
      </w:tblGrid>
      <w:tr w:rsidR="00891215" w:rsidRPr="00891215" w:rsidTr="00B70704">
        <w:trPr>
          <w:trHeight w:val="57"/>
        </w:trPr>
        <w:tc>
          <w:tcPr>
            <w:tcW w:w="426" w:type="pct"/>
            <w:shd w:val="clear" w:color="auto" w:fill="auto"/>
            <w:vAlign w:val="center"/>
          </w:tcPr>
          <w:p w:rsidR="00891215" w:rsidRPr="00891215" w:rsidRDefault="00891215" w:rsidP="00891215">
            <w:pPr>
              <w:widowControl/>
              <w:jc w:val="center"/>
              <w:rPr>
                <w:rFonts w:ascii="仿宋" w:eastAsia="仿宋" w:hAnsi="仿宋" w:cs="宋体"/>
                <w:b/>
                <w:kern w:val="0"/>
                <w:sz w:val="24"/>
                <w:szCs w:val="24"/>
              </w:rPr>
            </w:pPr>
            <w:proofErr w:type="gramStart"/>
            <w:r w:rsidRPr="00891215">
              <w:rPr>
                <w:rFonts w:ascii="仿宋" w:eastAsia="仿宋" w:hAnsi="仿宋" w:cs="宋体" w:hint="eastAsia"/>
                <w:b/>
                <w:kern w:val="0"/>
                <w:sz w:val="24"/>
                <w:szCs w:val="24"/>
              </w:rPr>
              <w:t>包号</w:t>
            </w:r>
            <w:proofErr w:type="gramEnd"/>
          </w:p>
        </w:tc>
        <w:tc>
          <w:tcPr>
            <w:tcW w:w="1447" w:type="pct"/>
            <w:shd w:val="clear" w:color="auto" w:fill="auto"/>
            <w:vAlign w:val="center"/>
          </w:tcPr>
          <w:p w:rsidR="00891215" w:rsidRPr="00891215" w:rsidRDefault="00891215" w:rsidP="00891215">
            <w:pPr>
              <w:widowControl/>
              <w:jc w:val="center"/>
              <w:rPr>
                <w:rFonts w:ascii="仿宋" w:eastAsia="仿宋" w:hAnsi="仿宋" w:cs="宋体"/>
                <w:b/>
                <w:kern w:val="0"/>
                <w:sz w:val="24"/>
                <w:szCs w:val="24"/>
              </w:rPr>
            </w:pPr>
            <w:r w:rsidRPr="00891215">
              <w:rPr>
                <w:rFonts w:ascii="仿宋" w:eastAsia="仿宋" w:hAnsi="仿宋" w:cs="宋体" w:hint="eastAsia"/>
                <w:b/>
                <w:kern w:val="0"/>
                <w:sz w:val="24"/>
                <w:szCs w:val="24"/>
              </w:rPr>
              <w:t>标的名称</w:t>
            </w:r>
          </w:p>
        </w:tc>
        <w:tc>
          <w:tcPr>
            <w:tcW w:w="989" w:type="pct"/>
            <w:vAlign w:val="center"/>
          </w:tcPr>
          <w:p w:rsidR="00891215" w:rsidRPr="00891215" w:rsidRDefault="00891215" w:rsidP="00891215">
            <w:pPr>
              <w:widowControl/>
              <w:jc w:val="center"/>
              <w:rPr>
                <w:rFonts w:ascii="仿宋" w:eastAsia="仿宋" w:hAnsi="仿宋" w:cs="宋体"/>
                <w:b/>
                <w:kern w:val="0"/>
                <w:sz w:val="24"/>
                <w:szCs w:val="24"/>
              </w:rPr>
            </w:pPr>
            <w:r w:rsidRPr="00891215">
              <w:rPr>
                <w:rFonts w:ascii="仿宋" w:eastAsia="仿宋" w:hAnsi="仿宋" w:cs="宋体" w:hint="eastAsia"/>
                <w:b/>
                <w:kern w:val="0"/>
                <w:sz w:val="24"/>
                <w:szCs w:val="24"/>
              </w:rPr>
              <w:t>数量（辆）</w:t>
            </w:r>
          </w:p>
        </w:tc>
        <w:tc>
          <w:tcPr>
            <w:tcW w:w="2138" w:type="pct"/>
            <w:shd w:val="clear" w:color="auto" w:fill="auto"/>
            <w:vAlign w:val="center"/>
          </w:tcPr>
          <w:p w:rsidR="00891215" w:rsidRPr="00891215" w:rsidRDefault="00891215" w:rsidP="00891215">
            <w:pPr>
              <w:widowControl/>
              <w:jc w:val="center"/>
              <w:rPr>
                <w:rFonts w:ascii="仿宋" w:eastAsia="仿宋" w:hAnsi="仿宋" w:cs="宋体"/>
                <w:b/>
                <w:kern w:val="0"/>
                <w:sz w:val="24"/>
                <w:szCs w:val="24"/>
              </w:rPr>
            </w:pPr>
            <w:r w:rsidRPr="00891215">
              <w:rPr>
                <w:rFonts w:ascii="仿宋" w:eastAsia="仿宋" w:hAnsi="仿宋" w:cs="宋体" w:hint="eastAsia"/>
                <w:b/>
                <w:kern w:val="0"/>
                <w:sz w:val="24"/>
                <w:szCs w:val="24"/>
              </w:rPr>
              <w:t>是否接受进口产品</w:t>
            </w:r>
          </w:p>
        </w:tc>
      </w:tr>
      <w:tr w:rsidR="00891215" w:rsidRPr="00891215" w:rsidTr="00B70704">
        <w:trPr>
          <w:trHeight w:val="533"/>
        </w:trPr>
        <w:tc>
          <w:tcPr>
            <w:tcW w:w="426" w:type="pct"/>
            <w:shd w:val="clear" w:color="auto" w:fill="auto"/>
            <w:noWrap/>
            <w:vAlign w:val="center"/>
          </w:tcPr>
          <w:p w:rsidR="00891215" w:rsidRPr="00891215" w:rsidRDefault="00891215" w:rsidP="00891215">
            <w:pPr>
              <w:widowControl/>
              <w:jc w:val="center"/>
              <w:rPr>
                <w:rFonts w:ascii="仿宋" w:eastAsia="仿宋" w:hAnsi="仿宋" w:cs="宋体"/>
                <w:color w:val="000000"/>
                <w:kern w:val="0"/>
                <w:sz w:val="24"/>
                <w:szCs w:val="24"/>
              </w:rPr>
            </w:pPr>
            <w:r w:rsidRPr="00891215">
              <w:rPr>
                <w:rFonts w:ascii="仿宋" w:eastAsia="仿宋" w:hAnsi="仿宋" w:cs="宋体" w:hint="eastAsia"/>
                <w:color w:val="000000"/>
                <w:kern w:val="0"/>
                <w:sz w:val="24"/>
                <w:szCs w:val="24"/>
              </w:rPr>
              <w:t>1</w:t>
            </w:r>
          </w:p>
        </w:tc>
        <w:tc>
          <w:tcPr>
            <w:tcW w:w="1447" w:type="pct"/>
            <w:shd w:val="clear" w:color="000000" w:fill="FFFFFF"/>
            <w:vAlign w:val="center"/>
          </w:tcPr>
          <w:p w:rsidR="00891215" w:rsidRPr="00891215" w:rsidRDefault="00891215" w:rsidP="00891215">
            <w:pPr>
              <w:jc w:val="center"/>
              <w:rPr>
                <w:rFonts w:ascii="仿宋" w:eastAsia="仿宋" w:hAnsi="仿宋" w:cs="宋体"/>
                <w:color w:val="000000"/>
                <w:kern w:val="0"/>
                <w:sz w:val="24"/>
                <w:szCs w:val="24"/>
              </w:rPr>
            </w:pPr>
            <w:r w:rsidRPr="00891215">
              <w:rPr>
                <w:rFonts w:ascii="仿宋_GB2312" w:eastAsia="仿宋_GB2312" w:hAnsi="仿宋_GB2312" w:cs="仿宋_GB2312" w:hint="eastAsia"/>
                <w:sz w:val="24"/>
                <w:szCs w:val="24"/>
              </w:rPr>
              <w:t>新能源执勤执法车</w:t>
            </w:r>
          </w:p>
        </w:tc>
        <w:tc>
          <w:tcPr>
            <w:tcW w:w="989" w:type="pct"/>
            <w:vAlign w:val="center"/>
          </w:tcPr>
          <w:p w:rsidR="00891215" w:rsidRPr="00891215" w:rsidRDefault="00891215" w:rsidP="00891215">
            <w:pPr>
              <w:widowControl/>
              <w:jc w:val="center"/>
              <w:rPr>
                <w:rFonts w:ascii="仿宋" w:eastAsia="仿宋" w:hAnsi="仿宋" w:cs="宋体"/>
                <w:kern w:val="0"/>
                <w:sz w:val="24"/>
                <w:szCs w:val="24"/>
              </w:rPr>
            </w:pPr>
            <w:r w:rsidRPr="00891215">
              <w:rPr>
                <w:rFonts w:ascii="仿宋" w:eastAsia="仿宋" w:hAnsi="仿宋" w:cs="宋体" w:hint="eastAsia"/>
                <w:kern w:val="0"/>
                <w:sz w:val="24"/>
                <w:szCs w:val="24"/>
              </w:rPr>
              <w:t>33</w:t>
            </w:r>
          </w:p>
        </w:tc>
        <w:tc>
          <w:tcPr>
            <w:tcW w:w="2138" w:type="pct"/>
            <w:shd w:val="clear" w:color="auto" w:fill="auto"/>
            <w:noWrap/>
            <w:vAlign w:val="center"/>
          </w:tcPr>
          <w:p w:rsidR="00891215" w:rsidRPr="00891215" w:rsidRDefault="00891215" w:rsidP="00891215">
            <w:pPr>
              <w:widowControl/>
              <w:jc w:val="center"/>
              <w:rPr>
                <w:rFonts w:ascii="仿宋" w:eastAsia="仿宋" w:hAnsi="仿宋" w:cs="宋体"/>
                <w:kern w:val="0"/>
                <w:sz w:val="24"/>
                <w:szCs w:val="24"/>
              </w:rPr>
            </w:pPr>
            <w:r w:rsidRPr="00891215">
              <w:rPr>
                <w:rFonts w:ascii="仿宋" w:eastAsia="仿宋" w:hAnsi="仿宋" w:cs="宋体" w:hint="eastAsia"/>
                <w:kern w:val="0"/>
                <w:sz w:val="24"/>
                <w:szCs w:val="24"/>
              </w:rPr>
              <w:t>否</w:t>
            </w:r>
          </w:p>
        </w:tc>
      </w:tr>
    </w:tbl>
    <w:p w:rsidR="00891215" w:rsidRPr="00891215" w:rsidRDefault="00891215" w:rsidP="00891215">
      <w:pPr>
        <w:spacing w:beforeLines="50" w:before="156" w:line="360" w:lineRule="auto"/>
        <w:ind w:left="-208"/>
        <w:rPr>
          <w:rFonts w:ascii="仿宋" w:eastAsia="仿宋" w:hAnsi="仿宋" w:cs="Times New Roman"/>
          <w:b/>
          <w:sz w:val="24"/>
          <w:szCs w:val="24"/>
        </w:rPr>
      </w:pPr>
      <w:r w:rsidRPr="00891215">
        <w:rPr>
          <w:rFonts w:ascii="仿宋" w:eastAsia="仿宋" w:hAnsi="仿宋" w:cs="Times New Roman" w:hint="eastAsia"/>
          <w:b/>
          <w:sz w:val="24"/>
          <w:szCs w:val="24"/>
        </w:rPr>
        <w:t>（二）采购项目交付或者实施的时间和地点：</w:t>
      </w:r>
    </w:p>
    <w:p w:rsidR="00891215" w:rsidRPr="00891215" w:rsidRDefault="00891215" w:rsidP="00891215">
      <w:pPr>
        <w:tabs>
          <w:tab w:val="left" w:pos="420"/>
        </w:tabs>
        <w:spacing w:before="50" w:line="360" w:lineRule="auto"/>
        <w:ind w:firstLineChars="200" w:firstLine="480"/>
        <w:rPr>
          <w:rFonts w:ascii="仿宋" w:eastAsia="仿宋" w:hAnsi="仿宋" w:cs="Times New Roman"/>
          <w:sz w:val="24"/>
          <w:szCs w:val="20"/>
        </w:rPr>
      </w:pPr>
      <w:r w:rsidRPr="00891215">
        <w:rPr>
          <w:rFonts w:ascii="仿宋" w:eastAsia="仿宋" w:hAnsi="仿宋" w:cs="Times New Roman"/>
          <w:sz w:val="24"/>
          <w:szCs w:val="20"/>
        </w:rPr>
        <w:t>1、采购项目（标的）交付的时间：签订合同后30天内交货。</w:t>
      </w:r>
    </w:p>
    <w:p w:rsidR="00891215" w:rsidRPr="00891215" w:rsidRDefault="00891215" w:rsidP="00891215">
      <w:pPr>
        <w:tabs>
          <w:tab w:val="left" w:pos="420"/>
        </w:tabs>
        <w:spacing w:before="50" w:line="360" w:lineRule="auto"/>
        <w:ind w:firstLineChars="200" w:firstLine="480"/>
        <w:rPr>
          <w:rFonts w:ascii="仿宋" w:eastAsia="仿宋" w:hAnsi="仿宋" w:cs="Times New Roman"/>
          <w:sz w:val="24"/>
          <w:szCs w:val="20"/>
        </w:rPr>
      </w:pPr>
      <w:r w:rsidRPr="00891215">
        <w:rPr>
          <w:rFonts w:ascii="仿宋" w:eastAsia="仿宋" w:hAnsi="仿宋" w:cs="Times New Roman"/>
          <w:sz w:val="24"/>
          <w:szCs w:val="20"/>
        </w:rPr>
        <w:t>2、采购项目（标的）交付的地点：采购人指定地点。</w:t>
      </w:r>
    </w:p>
    <w:p w:rsidR="00891215" w:rsidRPr="00891215" w:rsidRDefault="00891215" w:rsidP="00891215">
      <w:pPr>
        <w:snapToGrid w:val="0"/>
        <w:spacing w:beforeLines="50" w:before="156" w:line="360" w:lineRule="auto"/>
        <w:rPr>
          <w:rFonts w:ascii="仿宋" w:eastAsia="仿宋" w:hAnsi="仿宋" w:cs="Times New Roman"/>
          <w:b/>
          <w:sz w:val="24"/>
          <w:szCs w:val="24"/>
        </w:rPr>
      </w:pPr>
      <w:r w:rsidRPr="00891215">
        <w:rPr>
          <w:rFonts w:ascii="仿宋" w:eastAsia="仿宋" w:hAnsi="仿宋" w:cs="Times New Roman" w:hint="eastAsia"/>
          <w:b/>
          <w:sz w:val="24"/>
          <w:szCs w:val="24"/>
        </w:rPr>
        <w:t>四、采购标的需满足的服务标准、期限、效率等要求</w:t>
      </w:r>
    </w:p>
    <w:p w:rsidR="00891215" w:rsidRPr="00891215" w:rsidRDefault="00891215" w:rsidP="00891215">
      <w:pPr>
        <w:tabs>
          <w:tab w:val="left" w:pos="900"/>
        </w:tabs>
        <w:spacing w:beforeLines="50" w:before="156" w:line="360" w:lineRule="auto"/>
        <w:rPr>
          <w:rFonts w:ascii="仿宋" w:eastAsia="仿宋" w:hAnsi="仿宋" w:cs="Times New Roman"/>
          <w:b/>
          <w:sz w:val="24"/>
          <w:szCs w:val="24"/>
        </w:rPr>
      </w:pPr>
      <w:r w:rsidRPr="00891215">
        <w:rPr>
          <w:rFonts w:ascii="仿宋" w:eastAsia="仿宋" w:hAnsi="仿宋" w:cs="Times New Roman" w:hint="eastAsia"/>
          <w:b/>
          <w:sz w:val="24"/>
          <w:szCs w:val="24"/>
        </w:rPr>
        <w:lastRenderedPageBreak/>
        <w:t>（一）采购标的需满足的服务标准、效率要求</w:t>
      </w:r>
    </w:p>
    <w:p w:rsidR="00891215" w:rsidRPr="00891215" w:rsidRDefault="00891215" w:rsidP="00891215">
      <w:pPr>
        <w:tabs>
          <w:tab w:val="left" w:pos="420"/>
        </w:tabs>
        <w:wordWrap w:val="0"/>
        <w:spacing w:before="50" w:line="360" w:lineRule="auto"/>
        <w:ind w:firstLineChars="200" w:firstLine="482"/>
        <w:rPr>
          <w:rFonts w:ascii="仿宋" w:eastAsia="仿宋" w:hAnsi="仿宋" w:cs="Times New Roman"/>
          <w:b/>
          <w:sz w:val="24"/>
          <w:szCs w:val="20"/>
        </w:rPr>
      </w:pPr>
      <w:r w:rsidRPr="00891215">
        <w:rPr>
          <w:rFonts w:ascii="仿宋" w:eastAsia="仿宋" w:hAnsi="仿宋" w:cs="Times New Roman"/>
          <w:b/>
          <w:sz w:val="24"/>
          <w:szCs w:val="20"/>
        </w:rPr>
        <w:t>★1、投标车型必须为列入《道路机动车辆生产企业及产品公告》目录中的产品，投标人须提供道路机动车辆生产企业及产品信息查询系统查询的页面截图并加盖投标人单位公章。（</w:t>
      </w:r>
      <w:proofErr w:type="gramStart"/>
      <w:r w:rsidRPr="00891215">
        <w:rPr>
          <w:rFonts w:ascii="仿宋" w:eastAsia="仿宋" w:hAnsi="仿宋" w:cs="Times New Roman"/>
          <w:b/>
          <w:sz w:val="24"/>
          <w:szCs w:val="20"/>
        </w:rPr>
        <w:t>截图须至少</w:t>
      </w:r>
      <w:proofErr w:type="gramEnd"/>
      <w:r w:rsidRPr="00891215">
        <w:rPr>
          <w:rFonts w:ascii="仿宋" w:eastAsia="仿宋" w:hAnsi="仿宋" w:cs="Times New Roman"/>
          <w:b/>
          <w:sz w:val="24"/>
          <w:szCs w:val="20"/>
        </w:rPr>
        <w:t>包含所投产品的“企业名称”“中文品牌”“车辆型号”“车辆名称”“批次”内容）。（参考网址：</w:t>
      </w:r>
      <w:hyperlink r:id="rId8" w:history="1">
        <w:r w:rsidRPr="00891215">
          <w:rPr>
            <w:rFonts w:ascii="仿宋" w:eastAsia="仿宋" w:hAnsi="仿宋" w:cs="Times New Roman"/>
            <w:b/>
            <w:sz w:val="24"/>
            <w:szCs w:val="20"/>
          </w:rPr>
          <w:t>http://app.miit-eidc.org.cn/miitxxgk/gonggao_xxgk/index_ggcp.html</w:t>
        </w:r>
      </w:hyperlink>
      <w:r w:rsidRPr="00891215">
        <w:rPr>
          <w:rFonts w:ascii="仿宋" w:eastAsia="仿宋" w:hAnsi="仿宋" w:cs="Times New Roman"/>
          <w:b/>
          <w:sz w:val="24"/>
          <w:szCs w:val="20"/>
        </w:rPr>
        <w:t>）</w:t>
      </w:r>
    </w:p>
    <w:p w:rsidR="00891215" w:rsidRPr="00891215" w:rsidRDefault="00891215" w:rsidP="00891215">
      <w:pPr>
        <w:tabs>
          <w:tab w:val="left" w:pos="420"/>
        </w:tabs>
        <w:wordWrap w:val="0"/>
        <w:spacing w:before="50" w:line="360" w:lineRule="auto"/>
        <w:ind w:firstLineChars="200" w:firstLine="480"/>
        <w:rPr>
          <w:rFonts w:ascii="仿宋" w:eastAsia="仿宋" w:hAnsi="仿宋" w:cs="Times New Roman"/>
          <w:sz w:val="24"/>
          <w:szCs w:val="20"/>
        </w:rPr>
      </w:pPr>
      <w:r w:rsidRPr="00891215">
        <w:rPr>
          <w:rFonts w:ascii="仿宋" w:eastAsia="仿宋" w:hAnsi="仿宋" w:cs="Times New Roman"/>
          <w:sz w:val="24"/>
          <w:szCs w:val="20"/>
        </w:rPr>
        <w:t>2、供货组织方案</w:t>
      </w:r>
    </w:p>
    <w:p w:rsidR="00891215" w:rsidRPr="00891215" w:rsidRDefault="00891215" w:rsidP="00891215">
      <w:pPr>
        <w:tabs>
          <w:tab w:val="left" w:pos="420"/>
        </w:tabs>
        <w:wordWrap w:val="0"/>
        <w:spacing w:before="50" w:line="360" w:lineRule="auto"/>
        <w:ind w:firstLineChars="200" w:firstLine="480"/>
        <w:rPr>
          <w:rFonts w:ascii="仿宋" w:eastAsia="仿宋" w:hAnsi="仿宋" w:cs="Times New Roman"/>
          <w:sz w:val="24"/>
          <w:szCs w:val="20"/>
        </w:rPr>
      </w:pPr>
      <w:r w:rsidRPr="00891215">
        <w:rPr>
          <w:rFonts w:ascii="仿宋" w:eastAsia="仿宋" w:hAnsi="仿宋" w:cs="Times New Roman"/>
          <w:sz w:val="24"/>
          <w:szCs w:val="20"/>
        </w:rPr>
        <w:t>功能、应用场景、目标：供应商应制定合理可行的供货组织方案，通过多种手段，确保供货能按期完成。</w:t>
      </w:r>
    </w:p>
    <w:p w:rsidR="00891215" w:rsidRPr="00891215" w:rsidRDefault="00891215" w:rsidP="00891215">
      <w:pPr>
        <w:tabs>
          <w:tab w:val="left" w:pos="420"/>
        </w:tabs>
        <w:wordWrap w:val="0"/>
        <w:spacing w:before="50" w:line="360" w:lineRule="auto"/>
        <w:ind w:firstLineChars="200" w:firstLine="480"/>
        <w:rPr>
          <w:rFonts w:ascii="仿宋" w:eastAsia="仿宋" w:hAnsi="仿宋" w:cs="Times New Roman"/>
          <w:sz w:val="24"/>
          <w:szCs w:val="20"/>
        </w:rPr>
      </w:pPr>
      <w:r w:rsidRPr="00891215">
        <w:rPr>
          <w:rFonts w:ascii="仿宋" w:eastAsia="仿宋" w:hAnsi="仿宋" w:cs="Times New Roman"/>
          <w:sz w:val="24"/>
          <w:szCs w:val="20"/>
        </w:rPr>
        <w:t>3、培训组织方案</w:t>
      </w:r>
    </w:p>
    <w:p w:rsidR="00891215" w:rsidRPr="00891215" w:rsidRDefault="00891215" w:rsidP="00891215">
      <w:pPr>
        <w:tabs>
          <w:tab w:val="left" w:pos="420"/>
        </w:tabs>
        <w:wordWrap w:val="0"/>
        <w:spacing w:before="50" w:line="360" w:lineRule="auto"/>
        <w:ind w:firstLineChars="200" w:firstLine="480"/>
        <w:rPr>
          <w:rFonts w:ascii="仿宋" w:eastAsia="仿宋" w:hAnsi="仿宋" w:cs="Times New Roman"/>
          <w:sz w:val="24"/>
          <w:szCs w:val="20"/>
        </w:rPr>
      </w:pPr>
      <w:r w:rsidRPr="00891215">
        <w:rPr>
          <w:rFonts w:ascii="仿宋" w:eastAsia="仿宋" w:hAnsi="仿宋" w:cs="Times New Roman"/>
          <w:sz w:val="24"/>
          <w:szCs w:val="20"/>
        </w:rPr>
        <w:t>功能、应用场景、目标：供应商应制定科学、合理的培训组织方案，对采购人及相关下属单位系统使用人员进行及时有效的培训，确保其能正确使用相关系统及功能。</w:t>
      </w:r>
    </w:p>
    <w:p w:rsidR="00891215" w:rsidRPr="00891215" w:rsidRDefault="00891215" w:rsidP="00891215">
      <w:pPr>
        <w:tabs>
          <w:tab w:val="left" w:pos="420"/>
        </w:tabs>
        <w:wordWrap w:val="0"/>
        <w:spacing w:before="50" w:line="360" w:lineRule="auto"/>
        <w:ind w:firstLineChars="200" w:firstLine="480"/>
        <w:rPr>
          <w:rFonts w:ascii="仿宋" w:eastAsia="仿宋" w:hAnsi="仿宋" w:cs="Times New Roman"/>
          <w:sz w:val="24"/>
          <w:szCs w:val="20"/>
        </w:rPr>
      </w:pPr>
      <w:r w:rsidRPr="00891215">
        <w:rPr>
          <w:rFonts w:ascii="仿宋" w:eastAsia="仿宋" w:hAnsi="仿宋" w:cs="Times New Roman"/>
          <w:sz w:val="24"/>
          <w:szCs w:val="20"/>
        </w:rPr>
        <w:t>4、售后服务解决方案</w:t>
      </w:r>
    </w:p>
    <w:p w:rsidR="00891215" w:rsidRPr="00891215" w:rsidRDefault="00891215" w:rsidP="00891215">
      <w:pPr>
        <w:tabs>
          <w:tab w:val="left" w:pos="420"/>
        </w:tabs>
        <w:wordWrap w:val="0"/>
        <w:spacing w:before="50" w:line="360" w:lineRule="auto"/>
        <w:ind w:firstLineChars="200" w:firstLine="480"/>
        <w:rPr>
          <w:rFonts w:ascii="仿宋" w:eastAsia="仿宋" w:hAnsi="仿宋" w:cs="Times New Roman"/>
          <w:sz w:val="24"/>
          <w:szCs w:val="20"/>
        </w:rPr>
      </w:pPr>
      <w:r w:rsidRPr="00891215">
        <w:rPr>
          <w:rFonts w:ascii="仿宋" w:eastAsia="仿宋" w:hAnsi="仿宋" w:cs="Times New Roman"/>
          <w:sz w:val="24"/>
          <w:szCs w:val="20"/>
        </w:rPr>
        <w:t>功能、应用场景、目标：供应商应制定合理完善的售后服务解决方案，按照国家有关要求及本项目实际情况，最大限度的保证本项目所购设备质保期内外均可以连续、稳定运行。</w:t>
      </w:r>
    </w:p>
    <w:p w:rsidR="00891215" w:rsidRPr="00891215" w:rsidRDefault="00891215" w:rsidP="00891215">
      <w:pPr>
        <w:tabs>
          <w:tab w:val="left" w:pos="900"/>
        </w:tabs>
        <w:spacing w:beforeLines="50" w:before="156" w:line="360" w:lineRule="auto"/>
        <w:rPr>
          <w:rFonts w:ascii="仿宋" w:eastAsia="仿宋" w:hAnsi="仿宋" w:cs="Times New Roman"/>
          <w:b/>
          <w:sz w:val="24"/>
          <w:szCs w:val="24"/>
        </w:rPr>
      </w:pPr>
      <w:r w:rsidRPr="00891215">
        <w:rPr>
          <w:rFonts w:ascii="仿宋" w:eastAsia="仿宋" w:hAnsi="仿宋" w:cs="Times New Roman" w:hint="eastAsia"/>
          <w:b/>
          <w:sz w:val="24"/>
          <w:szCs w:val="24"/>
        </w:rPr>
        <w:t>（二）采购标的需满足的服务期限（质保期限）要求</w:t>
      </w:r>
    </w:p>
    <w:p w:rsidR="00891215" w:rsidRPr="00891215" w:rsidRDefault="00891215" w:rsidP="00891215">
      <w:pPr>
        <w:tabs>
          <w:tab w:val="left" w:pos="900"/>
        </w:tabs>
        <w:spacing w:beforeLines="50" w:before="156" w:line="360" w:lineRule="auto"/>
        <w:ind w:firstLineChars="200" w:firstLine="480"/>
        <w:rPr>
          <w:rFonts w:ascii="仿宋" w:eastAsia="仿宋" w:hAnsi="仿宋" w:cs="Times New Roman"/>
          <w:sz w:val="24"/>
          <w:szCs w:val="24"/>
        </w:rPr>
      </w:pPr>
      <w:r w:rsidRPr="00891215">
        <w:rPr>
          <w:rFonts w:ascii="仿宋" w:eastAsia="仿宋" w:hAnsi="仿宋" w:cs="Times New Roman" w:hint="eastAsia"/>
          <w:sz w:val="24"/>
          <w:szCs w:val="24"/>
        </w:rPr>
        <w:t>1、项目车辆质保期为验收合格之日起不低于3年或者行驶里程100000公里，以先到者为准。质保期内供货方要对所有软、硬件提供质保，质保期内不再收取额外费用。如果系统发生故障，中标人负责调查故障原因，并免费进行修理维护，直至达到验收质量和性能要求。</w:t>
      </w:r>
    </w:p>
    <w:p w:rsidR="00891215" w:rsidRPr="00891215" w:rsidRDefault="00891215" w:rsidP="00891215">
      <w:pPr>
        <w:snapToGrid w:val="0"/>
        <w:spacing w:beforeLines="50" w:before="156" w:line="360" w:lineRule="auto"/>
        <w:rPr>
          <w:rFonts w:ascii="仿宋" w:eastAsia="仿宋" w:hAnsi="仿宋" w:cs="Times New Roman"/>
          <w:b/>
          <w:sz w:val="24"/>
          <w:szCs w:val="24"/>
        </w:rPr>
      </w:pPr>
      <w:r w:rsidRPr="00891215">
        <w:rPr>
          <w:rFonts w:ascii="仿宋" w:eastAsia="仿宋" w:hAnsi="仿宋" w:cs="Times New Roman" w:hint="eastAsia"/>
          <w:b/>
          <w:sz w:val="24"/>
          <w:szCs w:val="24"/>
        </w:rPr>
        <w:t>五、采购标的物验收标准</w:t>
      </w:r>
    </w:p>
    <w:p w:rsidR="00891215" w:rsidRPr="00891215" w:rsidRDefault="00891215" w:rsidP="00891215">
      <w:pPr>
        <w:tabs>
          <w:tab w:val="left" w:pos="900"/>
        </w:tabs>
        <w:spacing w:beforeLines="50" w:before="156" w:line="360" w:lineRule="auto"/>
        <w:ind w:firstLineChars="200" w:firstLine="480"/>
        <w:rPr>
          <w:rFonts w:ascii="仿宋" w:eastAsia="仿宋" w:hAnsi="仿宋" w:cs="Times New Roman"/>
          <w:sz w:val="24"/>
          <w:szCs w:val="24"/>
        </w:rPr>
      </w:pPr>
      <w:r w:rsidRPr="00891215">
        <w:rPr>
          <w:rFonts w:ascii="仿宋" w:eastAsia="仿宋" w:hAnsi="仿宋" w:cs="Times New Roman" w:hint="eastAsia"/>
          <w:sz w:val="24"/>
          <w:szCs w:val="24"/>
        </w:rPr>
        <w:t>详见第六章“拟签订的合同文本”</w:t>
      </w:r>
    </w:p>
    <w:p w:rsidR="00891215" w:rsidRPr="00891215" w:rsidRDefault="00891215" w:rsidP="00891215">
      <w:pPr>
        <w:tabs>
          <w:tab w:val="left" w:pos="900"/>
        </w:tabs>
        <w:spacing w:beforeLines="50" w:before="156" w:line="360" w:lineRule="auto"/>
        <w:rPr>
          <w:rFonts w:ascii="仿宋" w:eastAsia="仿宋" w:hAnsi="仿宋" w:cs="Times New Roman"/>
          <w:b/>
          <w:sz w:val="24"/>
          <w:szCs w:val="24"/>
        </w:rPr>
      </w:pPr>
      <w:r w:rsidRPr="00891215">
        <w:rPr>
          <w:rFonts w:ascii="仿宋" w:eastAsia="仿宋" w:hAnsi="仿宋" w:cs="Times New Roman" w:hint="eastAsia"/>
          <w:b/>
          <w:sz w:val="24"/>
          <w:szCs w:val="24"/>
        </w:rPr>
        <w:t>六、采购标的</w:t>
      </w:r>
      <w:proofErr w:type="gramStart"/>
      <w:r w:rsidRPr="00891215">
        <w:rPr>
          <w:rFonts w:ascii="仿宋" w:eastAsia="仿宋" w:hAnsi="仿宋" w:cs="Times New Roman" w:hint="eastAsia"/>
          <w:b/>
          <w:sz w:val="24"/>
          <w:szCs w:val="24"/>
        </w:rPr>
        <w:t>的</w:t>
      </w:r>
      <w:proofErr w:type="gramEnd"/>
      <w:r w:rsidRPr="00891215">
        <w:rPr>
          <w:rFonts w:ascii="仿宋" w:eastAsia="仿宋" w:hAnsi="仿宋" w:cs="Times New Roman" w:hint="eastAsia"/>
          <w:b/>
          <w:sz w:val="24"/>
          <w:szCs w:val="24"/>
        </w:rPr>
        <w:t>其他技术、服务等要求</w:t>
      </w:r>
    </w:p>
    <w:p w:rsidR="00891215" w:rsidRPr="00891215" w:rsidRDefault="00891215" w:rsidP="00891215">
      <w:pPr>
        <w:tabs>
          <w:tab w:val="left" w:pos="900"/>
        </w:tabs>
        <w:spacing w:beforeLines="50" w:before="156" w:line="360" w:lineRule="auto"/>
        <w:rPr>
          <w:rFonts w:ascii="仿宋" w:eastAsia="仿宋" w:hAnsi="仿宋" w:cs="Times New Roman"/>
          <w:b/>
          <w:sz w:val="24"/>
          <w:szCs w:val="24"/>
        </w:rPr>
      </w:pPr>
      <w:r w:rsidRPr="00891215">
        <w:rPr>
          <w:rFonts w:ascii="仿宋" w:eastAsia="仿宋" w:hAnsi="仿宋" w:cs="Times New Roman" w:hint="eastAsia"/>
          <w:b/>
          <w:sz w:val="24"/>
          <w:szCs w:val="24"/>
        </w:rPr>
        <w:t>（一）售后服务及培训</w:t>
      </w:r>
    </w:p>
    <w:p w:rsidR="00891215" w:rsidRPr="00891215" w:rsidRDefault="00891215" w:rsidP="00891215">
      <w:pPr>
        <w:tabs>
          <w:tab w:val="left" w:pos="900"/>
        </w:tabs>
        <w:spacing w:beforeLines="50" w:before="156" w:line="360" w:lineRule="auto"/>
        <w:ind w:firstLineChars="200" w:firstLine="480"/>
        <w:rPr>
          <w:rFonts w:ascii="仿宋" w:eastAsia="仿宋" w:hAnsi="仿宋" w:cs="Times New Roman"/>
          <w:sz w:val="24"/>
          <w:szCs w:val="24"/>
        </w:rPr>
      </w:pPr>
      <w:r w:rsidRPr="00891215">
        <w:rPr>
          <w:rFonts w:ascii="仿宋" w:eastAsia="仿宋" w:hAnsi="仿宋" w:cs="Times New Roman" w:hint="eastAsia"/>
          <w:sz w:val="24"/>
          <w:szCs w:val="24"/>
        </w:rPr>
        <w:lastRenderedPageBreak/>
        <w:t>1、制定针对采购人的培训计划，提供培训手册，保障采购人能够熟练掌握车辆及设备软硬件的应用。</w:t>
      </w:r>
    </w:p>
    <w:p w:rsidR="00891215" w:rsidRPr="00891215" w:rsidRDefault="00891215" w:rsidP="00891215">
      <w:pPr>
        <w:tabs>
          <w:tab w:val="left" w:pos="900"/>
        </w:tabs>
        <w:spacing w:beforeLines="50" w:before="156" w:line="360" w:lineRule="auto"/>
        <w:ind w:firstLineChars="200" w:firstLine="480"/>
        <w:rPr>
          <w:rFonts w:ascii="仿宋" w:eastAsia="仿宋" w:hAnsi="仿宋" w:cs="Times New Roman"/>
          <w:sz w:val="24"/>
          <w:szCs w:val="24"/>
        </w:rPr>
      </w:pPr>
      <w:r w:rsidRPr="00891215">
        <w:rPr>
          <w:rFonts w:ascii="仿宋" w:eastAsia="仿宋" w:hAnsi="仿宋" w:cs="Times New Roman" w:hint="eastAsia"/>
          <w:sz w:val="24"/>
          <w:szCs w:val="24"/>
        </w:rPr>
        <w:t>2、项目车辆质保期为验收合格之日起不低于3年或者行驶里程100000公里，以先到者为准；三电系统质保期为验收合格之日起不低于8年或者行驶里程160000公里。质保期内供货方要对所有软、硬件提供质保，质保期内不再收取额外费用。如果系统发生故障，中标人负责调查故障原因，并免费进行修理维护，直至达到验收质量和性能要求。</w:t>
      </w:r>
    </w:p>
    <w:p w:rsidR="00891215" w:rsidRPr="00891215" w:rsidRDefault="00891215" w:rsidP="00891215">
      <w:pPr>
        <w:tabs>
          <w:tab w:val="left" w:pos="900"/>
        </w:tabs>
        <w:spacing w:beforeLines="50" w:before="156" w:line="360" w:lineRule="auto"/>
        <w:ind w:firstLineChars="200" w:firstLine="480"/>
        <w:rPr>
          <w:rFonts w:ascii="仿宋" w:eastAsia="仿宋" w:hAnsi="仿宋" w:cs="Times New Roman"/>
          <w:sz w:val="24"/>
          <w:szCs w:val="24"/>
        </w:rPr>
      </w:pPr>
      <w:r w:rsidRPr="00891215">
        <w:rPr>
          <w:rFonts w:ascii="仿宋" w:eastAsia="仿宋" w:hAnsi="仿宋" w:cs="Times New Roman" w:hint="eastAsia"/>
          <w:sz w:val="24"/>
          <w:szCs w:val="24"/>
        </w:rPr>
        <w:t>3、在质保期内，中标人提供每周7×24小时的技术支持；当系统发生故障时，中标人要在接到报修通知30分钟内做出响应，2小时内到达现场，8个小时内解决问题。对于产生的设备故障若8小时内无法恢复，中标人为采购人免费提供故障部件的备件等应急处理方式，保证采购人的正常使用。</w:t>
      </w:r>
    </w:p>
    <w:p w:rsidR="00891215" w:rsidRPr="00891215" w:rsidRDefault="00891215" w:rsidP="00891215">
      <w:pPr>
        <w:tabs>
          <w:tab w:val="left" w:pos="900"/>
        </w:tabs>
        <w:spacing w:beforeLines="50" w:before="156" w:line="360" w:lineRule="auto"/>
        <w:ind w:firstLineChars="200" w:firstLine="480"/>
        <w:rPr>
          <w:rFonts w:ascii="仿宋" w:eastAsia="仿宋" w:hAnsi="仿宋" w:cs="Times New Roman"/>
          <w:sz w:val="24"/>
          <w:szCs w:val="24"/>
        </w:rPr>
      </w:pPr>
      <w:r w:rsidRPr="00891215">
        <w:rPr>
          <w:rFonts w:ascii="仿宋" w:eastAsia="仿宋" w:hAnsi="仿宋" w:cs="Times New Roman" w:hint="eastAsia"/>
          <w:sz w:val="24"/>
          <w:szCs w:val="24"/>
        </w:rPr>
        <w:t>4、遇节假日、敏感时期、大型活动及突发重大事件时，如采购人有特殊需要，中标人应根据采购人要求派相关人员提供现场系统、技术维护保障服务。</w:t>
      </w:r>
    </w:p>
    <w:p w:rsidR="00891215" w:rsidRPr="00891215" w:rsidRDefault="00891215" w:rsidP="00891215">
      <w:pPr>
        <w:tabs>
          <w:tab w:val="left" w:pos="900"/>
        </w:tabs>
        <w:spacing w:beforeLines="50" w:before="156" w:line="360" w:lineRule="auto"/>
        <w:rPr>
          <w:rFonts w:ascii="仿宋" w:eastAsia="仿宋" w:hAnsi="仿宋" w:cs="Times New Roman"/>
          <w:b/>
          <w:sz w:val="24"/>
          <w:szCs w:val="24"/>
        </w:rPr>
      </w:pPr>
      <w:r w:rsidRPr="00891215">
        <w:rPr>
          <w:rFonts w:ascii="仿宋" w:eastAsia="仿宋" w:hAnsi="仿宋" w:cs="Times New Roman" w:hint="eastAsia"/>
          <w:b/>
          <w:sz w:val="24"/>
          <w:szCs w:val="24"/>
        </w:rPr>
        <w:t>（二）保险</w:t>
      </w:r>
    </w:p>
    <w:p w:rsidR="00891215" w:rsidRPr="00891215" w:rsidRDefault="00891215" w:rsidP="00891215">
      <w:pPr>
        <w:tabs>
          <w:tab w:val="left" w:pos="900"/>
        </w:tabs>
        <w:spacing w:beforeLines="50" w:before="156" w:line="360" w:lineRule="auto"/>
        <w:ind w:firstLineChars="200" w:firstLine="480"/>
        <w:rPr>
          <w:rFonts w:ascii="仿宋" w:eastAsia="仿宋" w:hAnsi="仿宋" w:cs="Times New Roman"/>
          <w:sz w:val="24"/>
          <w:szCs w:val="24"/>
        </w:rPr>
      </w:pPr>
      <w:r w:rsidRPr="00891215">
        <w:rPr>
          <w:rFonts w:ascii="仿宋" w:eastAsia="仿宋" w:hAnsi="仿宋" w:cs="Times New Roman" w:hint="eastAsia"/>
          <w:sz w:val="24"/>
          <w:szCs w:val="24"/>
        </w:rPr>
        <w:t>车辆在验收合格前的保险由投标人负责，投标人还应负责其派出的现场服务人员人身意外保险。</w:t>
      </w:r>
    </w:p>
    <w:p w:rsidR="00891215" w:rsidRPr="00891215" w:rsidRDefault="00891215" w:rsidP="00891215">
      <w:pPr>
        <w:tabs>
          <w:tab w:val="left" w:pos="900"/>
        </w:tabs>
        <w:spacing w:beforeLines="50" w:before="156" w:line="360" w:lineRule="auto"/>
        <w:rPr>
          <w:rFonts w:ascii="仿宋" w:eastAsia="仿宋" w:hAnsi="仿宋" w:cs="Times New Roman"/>
          <w:b/>
          <w:sz w:val="24"/>
          <w:szCs w:val="24"/>
        </w:rPr>
      </w:pPr>
      <w:r w:rsidRPr="00891215">
        <w:rPr>
          <w:rFonts w:ascii="仿宋" w:eastAsia="仿宋" w:hAnsi="仿宋" w:cs="Times New Roman" w:hint="eastAsia"/>
          <w:b/>
          <w:sz w:val="24"/>
          <w:szCs w:val="24"/>
        </w:rPr>
        <w:t>（三）其他</w:t>
      </w:r>
    </w:p>
    <w:p w:rsidR="00891215" w:rsidRPr="00891215" w:rsidRDefault="00891215" w:rsidP="00891215">
      <w:pPr>
        <w:tabs>
          <w:tab w:val="left" w:pos="900"/>
        </w:tabs>
        <w:spacing w:beforeLines="50" w:before="156" w:line="360" w:lineRule="auto"/>
        <w:ind w:firstLineChars="200" w:firstLine="482"/>
        <w:rPr>
          <w:rFonts w:ascii="仿宋" w:eastAsia="仿宋" w:hAnsi="仿宋" w:cs="Times New Roman"/>
          <w:b/>
          <w:sz w:val="24"/>
          <w:szCs w:val="24"/>
        </w:rPr>
      </w:pPr>
      <w:r w:rsidRPr="00891215">
        <w:rPr>
          <w:rFonts w:ascii="仿宋" w:eastAsia="仿宋" w:hAnsi="仿宋" w:cs="Times New Roman" w:hint="eastAsia"/>
          <w:b/>
          <w:sz w:val="24"/>
          <w:szCs w:val="24"/>
        </w:rPr>
        <w:t>★1、投标人应配合采购人完成所投全部车辆在北京地区的车辆注册登记、上牌手续。（投标人须提供承诺函并加盖投标人单位公章，格式自拟）</w:t>
      </w:r>
    </w:p>
    <w:p w:rsidR="00891215" w:rsidRPr="00891215" w:rsidRDefault="00891215" w:rsidP="00891215">
      <w:pPr>
        <w:tabs>
          <w:tab w:val="left" w:pos="900"/>
        </w:tabs>
        <w:spacing w:beforeLines="50" w:before="156" w:line="360" w:lineRule="auto"/>
        <w:ind w:firstLineChars="200" w:firstLine="480"/>
        <w:rPr>
          <w:rFonts w:ascii="仿宋" w:eastAsia="仿宋" w:hAnsi="仿宋" w:cs="Times New Roman"/>
          <w:sz w:val="24"/>
          <w:szCs w:val="24"/>
        </w:rPr>
      </w:pPr>
      <w:r w:rsidRPr="00891215">
        <w:rPr>
          <w:rFonts w:ascii="仿宋" w:eastAsia="仿宋" w:hAnsi="仿宋" w:cs="Times New Roman" w:hint="eastAsia"/>
          <w:sz w:val="24"/>
          <w:szCs w:val="24"/>
        </w:rPr>
        <w:t>2、与本项目执行有关的一切费用均包含在采购人购车总价中（包含但不限于车辆购置税、验车上牌、运输保险缴纳、充电桩等费用）。</w:t>
      </w:r>
    </w:p>
    <w:p w:rsidR="00891215" w:rsidRPr="00891215" w:rsidRDefault="00891215" w:rsidP="00891215">
      <w:pPr>
        <w:tabs>
          <w:tab w:val="left" w:pos="900"/>
        </w:tabs>
        <w:spacing w:beforeLines="50" w:before="156" w:line="360" w:lineRule="auto"/>
        <w:ind w:firstLineChars="200" w:firstLine="480"/>
        <w:rPr>
          <w:rFonts w:ascii="仿宋" w:eastAsia="仿宋" w:hAnsi="仿宋" w:cs="Times New Roman"/>
          <w:sz w:val="24"/>
          <w:szCs w:val="24"/>
        </w:rPr>
      </w:pPr>
      <w:r w:rsidRPr="00891215">
        <w:rPr>
          <w:rFonts w:ascii="仿宋" w:eastAsia="仿宋" w:hAnsi="仿宋" w:cs="Times New Roman" w:hint="eastAsia"/>
          <w:sz w:val="24"/>
          <w:szCs w:val="24"/>
        </w:rPr>
        <w:t>3、投标人须按照采购人要求，提供33个立柱式或壁挂式充电桩。</w:t>
      </w:r>
    </w:p>
    <w:p w:rsidR="00891215" w:rsidRPr="00891215" w:rsidRDefault="00891215" w:rsidP="00891215">
      <w:pPr>
        <w:tabs>
          <w:tab w:val="left" w:pos="900"/>
        </w:tabs>
        <w:spacing w:beforeLines="50" w:before="156" w:line="360" w:lineRule="auto"/>
        <w:ind w:firstLineChars="200" w:firstLine="480"/>
        <w:rPr>
          <w:rFonts w:ascii="仿宋" w:eastAsia="仿宋" w:hAnsi="仿宋" w:cs="Times New Roman"/>
          <w:sz w:val="24"/>
          <w:szCs w:val="24"/>
        </w:rPr>
      </w:pPr>
      <w:r w:rsidRPr="00891215">
        <w:rPr>
          <w:rFonts w:ascii="仿宋" w:eastAsia="仿宋" w:hAnsi="仿宋" w:cs="Times New Roman" w:hint="eastAsia"/>
          <w:sz w:val="24"/>
          <w:szCs w:val="24"/>
        </w:rPr>
        <w:t>4、投标人须提供车辆贴膜（GB/T 31849-2015）、脚垫、车刷等车辆辅件。</w:t>
      </w:r>
    </w:p>
    <w:p w:rsidR="00891215" w:rsidRPr="00891215" w:rsidRDefault="00891215" w:rsidP="00891215">
      <w:pPr>
        <w:tabs>
          <w:tab w:val="left" w:pos="900"/>
        </w:tabs>
        <w:spacing w:beforeLines="50" w:before="156" w:line="360" w:lineRule="auto"/>
        <w:rPr>
          <w:rFonts w:ascii="仿宋" w:eastAsia="仿宋" w:hAnsi="仿宋" w:cs="Times New Roman"/>
          <w:b/>
          <w:sz w:val="24"/>
          <w:szCs w:val="24"/>
        </w:rPr>
      </w:pPr>
      <w:r w:rsidRPr="00891215">
        <w:rPr>
          <w:rFonts w:ascii="仿宋" w:eastAsia="仿宋" w:hAnsi="仿宋" w:cs="Times New Roman" w:hint="eastAsia"/>
          <w:b/>
          <w:sz w:val="24"/>
          <w:szCs w:val="24"/>
        </w:rPr>
        <w:t>七、采购标的需满足的质量、安全、技术规格、物理特性等要求：</w:t>
      </w: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999"/>
        <w:gridCol w:w="4000"/>
      </w:tblGrid>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sz w:val="24"/>
                <w:szCs w:val="24"/>
                <w:lang w:bidi="ar"/>
              </w:rPr>
              <w:t>序号</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sz w:val="24"/>
                <w:szCs w:val="24"/>
                <w:lang w:bidi="ar"/>
              </w:rPr>
              <w:t>项目</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sz w:val="24"/>
                <w:szCs w:val="24"/>
                <w:lang w:bidi="ar"/>
              </w:rPr>
              <w:t>需求</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sz w:val="24"/>
                <w:szCs w:val="24"/>
                <w:lang w:bidi="ar"/>
              </w:rPr>
              <w:t>1</w:t>
            </w:r>
          </w:p>
        </w:tc>
        <w:tc>
          <w:tcPr>
            <w:tcW w:w="3999" w:type="dxa"/>
            <w:tcBorders>
              <w:tl2br w:val="nil"/>
              <w:tr2bl w:val="nil"/>
            </w:tcBorders>
            <w:vAlign w:val="center"/>
          </w:tcPr>
          <w:p w:rsidR="00891215" w:rsidRPr="00891215" w:rsidRDefault="00891215" w:rsidP="00891215">
            <w:pPr>
              <w:jc w:val="center"/>
              <w:rPr>
                <w:rFonts w:ascii="仿宋" w:eastAsia="仿宋" w:hAnsi="仿宋" w:cs="宋体"/>
                <w:sz w:val="24"/>
                <w:szCs w:val="24"/>
              </w:rPr>
            </w:pPr>
            <w:r w:rsidRPr="00891215">
              <w:rPr>
                <w:rFonts w:ascii="仿宋" w:eastAsia="仿宋" w:hAnsi="仿宋" w:cs="宋体" w:hint="eastAsia"/>
                <w:sz w:val="24"/>
                <w:szCs w:val="24"/>
              </w:rPr>
              <w:t>★车身</w:t>
            </w:r>
          </w:p>
        </w:tc>
        <w:tc>
          <w:tcPr>
            <w:tcW w:w="4000" w:type="dxa"/>
            <w:tcBorders>
              <w:tl2br w:val="nil"/>
              <w:tr2bl w:val="nil"/>
            </w:tcBorders>
            <w:vAlign w:val="center"/>
          </w:tcPr>
          <w:p w:rsidR="00891215" w:rsidRPr="00891215" w:rsidRDefault="00891215" w:rsidP="00891215">
            <w:pPr>
              <w:jc w:val="center"/>
              <w:rPr>
                <w:rFonts w:ascii="仿宋" w:eastAsia="仿宋" w:hAnsi="仿宋" w:cs="宋体"/>
                <w:sz w:val="24"/>
                <w:szCs w:val="24"/>
              </w:rPr>
            </w:pPr>
            <w:r w:rsidRPr="00891215">
              <w:rPr>
                <w:rFonts w:ascii="仿宋" w:eastAsia="仿宋" w:hAnsi="仿宋" w:cs="宋体" w:hint="eastAsia"/>
                <w:sz w:val="24"/>
                <w:szCs w:val="24"/>
              </w:rPr>
              <w:t>四门五座纯电动新能源轿车</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sz w:val="24"/>
                <w:szCs w:val="24"/>
                <w:lang w:bidi="ar"/>
              </w:rPr>
              <w:lastRenderedPageBreak/>
              <w:t>2</w:t>
            </w:r>
          </w:p>
        </w:tc>
        <w:tc>
          <w:tcPr>
            <w:tcW w:w="3999" w:type="dxa"/>
            <w:tcBorders>
              <w:tl2br w:val="nil"/>
              <w:tr2bl w:val="nil"/>
            </w:tcBorders>
            <w:shd w:val="clear" w:color="auto" w:fill="auto"/>
            <w:vAlign w:val="center"/>
          </w:tcPr>
          <w:p w:rsidR="00891215" w:rsidRPr="00891215" w:rsidRDefault="00891215" w:rsidP="00891215">
            <w:pPr>
              <w:jc w:val="center"/>
              <w:rPr>
                <w:rFonts w:ascii="仿宋" w:eastAsia="仿宋" w:hAnsi="仿宋" w:cs="宋体"/>
                <w:sz w:val="24"/>
                <w:szCs w:val="24"/>
              </w:rPr>
            </w:pPr>
            <w:r w:rsidRPr="00891215">
              <w:rPr>
                <w:rFonts w:ascii="仿宋" w:eastAsia="仿宋" w:hAnsi="仿宋" w:cs="宋体" w:hint="eastAsia"/>
                <w:sz w:val="24"/>
                <w:szCs w:val="24"/>
              </w:rPr>
              <w:t>★续航里程</w:t>
            </w:r>
          </w:p>
        </w:tc>
        <w:tc>
          <w:tcPr>
            <w:tcW w:w="4000" w:type="dxa"/>
            <w:tcBorders>
              <w:tl2br w:val="nil"/>
              <w:tr2bl w:val="nil"/>
            </w:tcBorders>
            <w:shd w:val="clear" w:color="auto" w:fill="auto"/>
            <w:vAlign w:val="center"/>
          </w:tcPr>
          <w:p w:rsidR="00891215" w:rsidRPr="00891215" w:rsidRDefault="00891215" w:rsidP="00891215">
            <w:pPr>
              <w:jc w:val="center"/>
              <w:rPr>
                <w:rFonts w:ascii="仿宋" w:eastAsia="仿宋" w:hAnsi="仿宋" w:cs="宋体"/>
                <w:sz w:val="24"/>
                <w:szCs w:val="24"/>
              </w:rPr>
            </w:pPr>
            <w:r w:rsidRPr="00891215">
              <w:rPr>
                <w:rFonts w:ascii="仿宋" w:eastAsia="仿宋" w:hAnsi="仿宋" w:cs="宋体" w:hint="eastAsia"/>
                <w:sz w:val="24"/>
                <w:szCs w:val="24"/>
              </w:rPr>
              <w:t>≥500㎞</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sz w:val="24"/>
                <w:szCs w:val="24"/>
                <w:lang w:bidi="ar"/>
              </w:rPr>
              <w:t>3</w:t>
            </w:r>
          </w:p>
        </w:tc>
        <w:tc>
          <w:tcPr>
            <w:tcW w:w="3999" w:type="dxa"/>
            <w:tcBorders>
              <w:tl2br w:val="nil"/>
              <w:tr2bl w:val="nil"/>
            </w:tcBorders>
            <w:shd w:val="clear" w:color="auto" w:fill="auto"/>
            <w:vAlign w:val="center"/>
          </w:tcPr>
          <w:p w:rsidR="00891215" w:rsidRPr="00891215" w:rsidRDefault="00891215" w:rsidP="00891215">
            <w:pPr>
              <w:jc w:val="center"/>
              <w:rPr>
                <w:rFonts w:ascii="仿宋" w:eastAsia="仿宋" w:hAnsi="仿宋" w:cs="宋体"/>
                <w:sz w:val="24"/>
                <w:szCs w:val="24"/>
              </w:rPr>
            </w:pPr>
            <w:r w:rsidRPr="00891215">
              <w:rPr>
                <w:rFonts w:ascii="仿宋" w:eastAsia="仿宋" w:hAnsi="仿宋" w:cs="宋体" w:hint="eastAsia"/>
                <w:color w:val="000000"/>
                <w:sz w:val="24"/>
                <w:szCs w:val="24"/>
              </w:rPr>
              <w:t>电池能量</w:t>
            </w:r>
          </w:p>
        </w:tc>
        <w:tc>
          <w:tcPr>
            <w:tcW w:w="4000" w:type="dxa"/>
            <w:tcBorders>
              <w:tl2br w:val="nil"/>
              <w:tr2bl w:val="nil"/>
            </w:tcBorders>
            <w:shd w:val="clear" w:color="auto" w:fill="auto"/>
            <w:vAlign w:val="center"/>
          </w:tcPr>
          <w:p w:rsidR="00891215" w:rsidRPr="00891215" w:rsidRDefault="00891215" w:rsidP="00891215">
            <w:pPr>
              <w:jc w:val="center"/>
              <w:rPr>
                <w:rFonts w:ascii="仿宋" w:eastAsia="仿宋" w:hAnsi="仿宋" w:cs="宋体"/>
                <w:sz w:val="24"/>
                <w:szCs w:val="24"/>
              </w:rPr>
            </w:pPr>
            <w:r w:rsidRPr="00891215">
              <w:rPr>
                <w:rFonts w:ascii="仿宋" w:eastAsia="仿宋" w:hAnsi="仿宋" w:cs="宋体" w:hint="eastAsia"/>
                <w:color w:val="000000"/>
                <w:sz w:val="24"/>
                <w:szCs w:val="24"/>
              </w:rPr>
              <w:t>≥64kWh</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sz w:val="24"/>
                <w:szCs w:val="24"/>
                <w:lang w:bidi="ar"/>
              </w:rPr>
              <w:t>4</w:t>
            </w:r>
          </w:p>
        </w:tc>
        <w:tc>
          <w:tcPr>
            <w:tcW w:w="3999" w:type="dxa"/>
            <w:tcBorders>
              <w:tl2br w:val="nil"/>
              <w:tr2bl w:val="nil"/>
            </w:tcBorders>
            <w:shd w:val="clear" w:color="auto" w:fill="auto"/>
            <w:vAlign w:val="center"/>
          </w:tcPr>
          <w:p w:rsidR="00891215" w:rsidRPr="00891215" w:rsidRDefault="00891215" w:rsidP="00891215">
            <w:pPr>
              <w:jc w:val="center"/>
              <w:rPr>
                <w:rFonts w:ascii="仿宋" w:eastAsia="仿宋" w:hAnsi="仿宋" w:cs="宋体"/>
                <w:sz w:val="24"/>
                <w:szCs w:val="24"/>
              </w:rPr>
            </w:pPr>
            <w:r w:rsidRPr="00891215">
              <w:rPr>
                <w:rFonts w:ascii="仿宋" w:eastAsia="仿宋" w:hAnsi="仿宋" w:cs="宋体" w:hint="eastAsia"/>
                <w:sz w:val="24"/>
                <w:szCs w:val="24"/>
              </w:rPr>
              <w:t>★轴距</w:t>
            </w:r>
          </w:p>
        </w:tc>
        <w:tc>
          <w:tcPr>
            <w:tcW w:w="4000" w:type="dxa"/>
            <w:tcBorders>
              <w:tl2br w:val="nil"/>
              <w:tr2bl w:val="nil"/>
            </w:tcBorders>
            <w:shd w:val="clear" w:color="auto" w:fill="auto"/>
            <w:vAlign w:val="center"/>
          </w:tcPr>
          <w:p w:rsidR="00891215" w:rsidRPr="00891215" w:rsidRDefault="00891215" w:rsidP="00891215">
            <w:pPr>
              <w:jc w:val="center"/>
              <w:rPr>
                <w:rFonts w:ascii="仿宋" w:eastAsia="仿宋" w:hAnsi="仿宋" w:cs="宋体"/>
                <w:sz w:val="24"/>
                <w:szCs w:val="24"/>
              </w:rPr>
            </w:pPr>
            <w:r w:rsidRPr="00891215">
              <w:rPr>
                <w:rFonts w:ascii="仿宋" w:eastAsia="仿宋" w:hAnsi="仿宋" w:cs="宋体" w:hint="eastAsia"/>
                <w:sz w:val="24"/>
                <w:szCs w:val="24"/>
              </w:rPr>
              <w:t>≥2750mm</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sz w:val="24"/>
                <w:szCs w:val="24"/>
                <w:lang w:bidi="ar"/>
              </w:rPr>
              <w:t>5</w:t>
            </w:r>
          </w:p>
        </w:tc>
        <w:tc>
          <w:tcPr>
            <w:tcW w:w="3999" w:type="dxa"/>
            <w:tcBorders>
              <w:tl2br w:val="nil"/>
              <w:tr2bl w:val="nil"/>
            </w:tcBorders>
            <w:shd w:val="clear" w:color="auto" w:fill="auto"/>
            <w:vAlign w:val="center"/>
          </w:tcPr>
          <w:p w:rsidR="00891215" w:rsidRPr="00891215" w:rsidRDefault="00891215" w:rsidP="00891215">
            <w:pPr>
              <w:jc w:val="center"/>
              <w:rPr>
                <w:rFonts w:ascii="仿宋" w:eastAsia="仿宋" w:hAnsi="仿宋" w:cs="宋体"/>
                <w:sz w:val="24"/>
                <w:szCs w:val="24"/>
              </w:rPr>
            </w:pPr>
            <w:r w:rsidRPr="00891215">
              <w:rPr>
                <w:rFonts w:ascii="仿宋" w:eastAsia="仿宋" w:hAnsi="仿宋" w:cs="宋体" w:hint="eastAsia"/>
                <w:sz w:val="24"/>
                <w:szCs w:val="24"/>
              </w:rPr>
              <w:t>★驱动形式</w:t>
            </w:r>
          </w:p>
        </w:tc>
        <w:tc>
          <w:tcPr>
            <w:tcW w:w="4000" w:type="dxa"/>
            <w:tcBorders>
              <w:tl2br w:val="nil"/>
              <w:tr2bl w:val="nil"/>
            </w:tcBorders>
            <w:shd w:val="clear" w:color="auto" w:fill="auto"/>
            <w:vAlign w:val="center"/>
          </w:tcPr>
          <w:p w:rsidR="00891215" w:rsidRPr="00891215" w:rsidRDefault="00891215" w:rsidP="00891215">
            <w:pPr>
              <w:jc w:val="center"/>
              <w:rPr>
                <w:rFonts w:ascii="仿宋" w:eastAsia="仿宋" w:hAnsi="仿宋" w:cs="宋体"/>
                <w:sz w:val="24"/>
                <w:szCs w:val="24"/>
              </w:rPr>
            </w:pPr>
            <w:r w:rsidRPr="00891215">
              <w:rPr>
                <w:rFonts w:ascii="仿宋" w:eastAsia="仿宋" w:hAnsi="仿宋" w:cs="宋体" w:hint="eastAsia"/>
                <w:sz w:val="24"/>
                <w:szCs w:val="24"/>
              </w:rPr>
              <w:t>前置前驱</w:t>
            </w:r>
          </w:p>
        </w:tc>
      </w:tr>
      <w:tr w:rsidR="00891215" w:rsidRPr="00891215" w:rsidTr="00B70704">
        <w:trPr>
          <w:trHeight w:val="454"/>
        </w:trPr>
        <w:tc>
          <w:tcPr>
            <w:tcW w:w="948" w:type="dxa"/>
            <w:vMerge w:val="restart"/>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sz w:val="24"/>
                <w:szCs w:val="24"/>
                <w:lang w:bidi="ar"/>
              </w:rPr>
              <w:t>6</w:t>
            </w:r>
          </w:p>
        </w:tc>
        <w:tc>
          <w:tcPr>
            <w:tcW w:w="3999" w:type="dxa"/>
            <w:vMerge w:val="restart"/>
            <w:tcBorders>
              <w:tl2br w:val="nil"/>
              <w:tr2bl w:val="nil"/>
            </w:tcBorders>
            <w:vAlign w:val="center"/>
          </w:tcPr>
          <w:p w:rsidR="00891215" w:rsidRPr="00891215" w:rsidRDefault="00891215" w:rsidP="00891215">
            <w:pPr>
              <w:jc w:val="center"/>
              <w:rPr>
                <w:rFonts w:ascii="仿宋" w:eastAsia="仿宋" w:hAnsi="仿宋" w:cs="宋体"/>
                <w:sz w:val="24"/>
                <w:szCs w:val="24"/>
              </w:rPr>
            </w:pPr>
            <w:r w:rsidRPr="00891215">
              <w:rPr>
                <w:rFonts w:ascii="仿宋" w:eastAsia="仿宋" w:hAnsi="仿宋" w:cs="宋体" w:hint="eastAsia"/>
                <w:sz w:val="24"/>
                <w:szCs w:val="24"/>
              </w:rPr>
              <w:t>★外形尺寸</w:t>
            </w:r>
          </w:p>
        </w:tc>
        <w:tc>
          <w:tcPr>
            <w:tcW w:w="4000" w:type="dxa"/>
            <w:tcBorders>
              <w:tl2br w:val="nil"/>
              <w:tr2bl w:val="nil"/>
            </w:tcBorders>
            <w:vAlign w:val="center"/>
          </w:tcPr>
          <w:p w:rsidR="00891215" w:rsidRPr="00891215" w:rsidRDefault="00891215" w:rsidP="00891215">
            <w:pPr>
              <w:jc w:val="center"/>
              <w:rPr>
                <w:rFonts w:ascii="仿宋" w:eastAsia="仿宋" w:hAnsi="仿宋" w:cs="宋体"/>
                <w:sz w:val="24"/>
                <w:szCs w:val="24"/>
              </w:rPr>
            </w:pPr>
            <w:r w:rsidRPr="00891215">
              <w:rPr>
                <w:rFonts w:ascii="仿宋" w:eastAsia="仿宋" w:hAnsi="仿宋" w:cs="宋体" w:hint="eastAsia"/>
                <w:sz w:val="24"/>
                <w:szCs w:val="24"/>
              </w:rPr>
              <w:t>4780mm≤长≤4900mm</w:t>
            </w:r>
          </w:p>
        </w:tc>
      </w:tr>
      <w:tr w:rsidR="00891215" w:rsidRPr="00891215" w:rsidTr="00B70704">
        <w:trPr>
          <w:trHeight w:val="454"/>
        </w:trPr>
        <w:tc>
          <w:tcPr>
            <w:tcW w:w="948" w:type="dxa"/>
            <w:vMerge/>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p>
        </w:tc>
        <w:tc>
          <w:tcPr>
            <w:tcW w:w="3999" w:type="dxa"/>
            <w:vMerge/>
            <w:tcBorders>
              <w:tl2br w:val="nil"/>
              <w:tr2bl w:val="nil"/>
            </w:tcBorders>
            <w:vAlign w:val="center"/>
          </w:tcPr>
          <w:p w:rsidR="00891215" w:rsidRPr="00891215" w:rsidRDefault="00891215" w:rsidP="00891215">
            <w:pPr>
              <w:jc w:val="center"/>
              <w:rPr>
                <w:rFonts w:ascii="仿宋" w:eastAsia="仿宋" w:hAnsi="仿宋" w:cs="宋体"/>
                <w:sz w:val="24"/>
                <w:szCs w:val="24"/>
              </w:rPr>
            </w:pPr>
          </w:p>
        </w:tc>
        <w:tc>
          <w:tcPr>
            <w:tcW w:w="4000" w:type="dxa"/>
            <w:tcBorders>
              <w:tl2br w:val="nil"/>
              <w:tr2bl w:val="nil"/>
            </w:tcBorders>
            <w:vAlign w:val="center"/>
          </w:tcPr>
          <w:p w:rsidR="00891215" w:rsidRPr="00891215" w:rsidRDefault="00891215" w:rsidP="00891215">
            <w:pPr>
              <w:jc w:val="center"/>
              <w:rPr>
                <w:rFonts w:ascii="仿宋" w:eastAsia="仿宋" w:hAnsi="仿宋" w:cs="宋体"/>
                <w:sz w:val="24"/>
                <w:szCs w:val="24"/>
              </w:rPr>
            </w:pPr>
            <w:r w:rsidRPr="00891215">
              <w:rPr>
                <w:rFonts w:ascii="仿宋" w:eastAsia="仿宋" w:hAnsi="仿宋" w:cs="宋体" w:hint="eastAsia"/>
                <w:sz w:val="24"/>
                <w:szCs w:val="24"/>
              </w:rPr>
              <w:t>1880mm≤宽≤1950mm</w:t>
            </w:r>
          </w:p>
        </w:tc>
      </w:tr>
      <w:tr w:rsidR="00891215" w:rsidRPr="00891215" w:rsidTr="00B70704">
        <w:trPr>
          <w:trHeight w:val="454"/>
        </w:trPr>
        <w:tc>
          <w:tcPr>
            <w:tcW w:w="948" w:type="dxa"/>
            <w:vMerge/>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p>
        </w:tc>
        <w:tc>
          <w:tcPr>
            <w:tcW w:w="3999" w:type="dxa"/>
            <w:vMerge/>
            <w:tcBorders>
              <w:tl2br w:val="nil"/>
              <w:tr2bl w:val="nil"/>
            </w:tcBorders>
            <w:vAlign w:val="center"/>
          </w:tcPr>
          <w:p w:rsidR="00891215" w:rsidRPr="00891215" w:rsidRDefault="00891215" w:rsidP="00891215">
            <w:pPr>
              <w:jc w:val="center"/>
              <w:rPr>
                <w:rFonts w:ascii="仿宋" w:eastAsia="仿宋" w:hAnsi="仿宋" w:cs="宋体"/>
                <w:sz w:val="24"/>
                <w:szCs w:val="24"/>
              </w:rPr>
            </w:pPr>
          </w:p>
        </w:tc>
        <w:tc>
          <w:tcPr>
            <w:tcW w:w="4000" w:type="dxa"/>
            <w:tcBorders>
              <w:tl2br w:val="nil"/>
              <w:tr2bl w:val="nil"/>
            </w:tcBorders>
            <w:vAlign w:val="center"/>
          </w:tcPr>
          <w:p w:rsidR="00891215" w:rsidRPr="00891215" w:rsidRDefault="00891215" w:rsidP="00891215">
            <w:pPr>
              <w:jc w:val="center"/>
              <w:rPr>
                <w:rFonts w:ascii="仿宋" w:eastAsia="仿宋" w:hAnsi="仿宋" w:cs="宋体"/>
                <w:sz w:val="24"/>
                <w:szCs w:val="24"/>
              </w:rPr>
            </w:pPr>
            <w:r w:rsidRPr="00891215">
              <w:rPr>
                <w:rFonts w:ascii="仿宋" w:eastAsia="仿宋" w:hAnsi="仿宋" w:cs="宋体" w:hint="eastAsia"/>
                <w:sz w:val="24"/>
                <w:szCs w:val="24"/>
              </w:rPr>
              <w:t>1450mm≤高≤1600mm</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7</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电池快充时间（30%-80%）（h）</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＜0.4</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8</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电动机最大功率</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＞180kW</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sz w:val="24"/>
                <w:szCs w:val="24"/>
              </w:rPr>
              <w:t>9</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电动机最大扭矩</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＞350N·m</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10</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行李箱最小容积</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≥400L</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11</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后制动器类型</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通风盘式</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12</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主/副驾驶座安全气囊</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sz w:val="24"/>
                <w:szCs w:val="24"/>
              </w:rPr>
              <w:t>13</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前排侧气囊</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14</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ABS防抱死</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15</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制动力分配（EBD/CBC等）</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16</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刹车辅助（EBA/BAS/BA等）</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17</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牵引力控制（ASR/TCS/TRC等）</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18</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车身稳定控制（ESC/ESP/DSC等）</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19</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车道偏离预警</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20</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前后方碰撞预警</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21</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上坡辅助</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22</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前后驻车雷达</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shd w:val="clear" w:color="auto" w:fill="auto"/>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23</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360度全景影像</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shd w:val="clear" w:color="auto" w:fill="auto"/>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24</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全速自适应巡航</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shd w:val="clear" w:color="auto" w:fill="auto"/>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25</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倒车车侧预警系统</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shd w:val="clear" w:color="auto" w:fill="auto"/>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26</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并线辅助</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shd w:val="clear" w:color="auto" w:fill="auto"/>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kern w:val="0"/>
                <w:sz w:val="24"/>
                <w:szCs w:val="24"/>
                <w:lang w:bidi="ar"/>
              </w:rPr>
              <w:t>27</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远程启动功能</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shd w:val="clear" w:color="auto" w:fill="auto"/>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sz w:val="24"/>
                <w:szCs w:val="24"/>
              </w:rPr>
              <w:t>28</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前排座椅加热通风</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r w:rsidR="00891215" w:rsidRPr="00891215" w:rsidTr="00B70704">
        <w:trPr>
          <w:trHeight w:val="454"/>
        </w:trPr>
        <w:tc>
          <w:tcPr>
            <w:tcW w:w="948" w:type="dxa"/>
            <w:tcBorders>
              <w:tl2br w:val="nil"/>
              <w:tr2bl w:val="nil"/>
            </w:tcBorders>
            <w:shd w:val="clear" w:color="auto" w:fill="auto"/>
            <w:vAlign w:val="center"/>
          </w:tcPr>
          <w:p w:rsidR="00891215" w:rsidRPr="00891215" w:rsidRDefault="00891215" w:rsidP="00891215">
            <w:pPr>
              <w:widowControl/>
              <w:jc w:val="center"/>
              <w:textAlignment w:val="center"/>
              <w:rPr>
                <w:rFonts w:ascii="仿宋" w:eastAsia="仿宋" w:hAnsi="仿宋" w:cs="宋体"/>
                <w:color w:val="000000"/>
                <w:sz w:val="24"/>
                <w:szCs w:val="24"/>
                <w:lang w:bidi="ar"/>
              </w:rPr>
            </w:pPr>
            <w:r w:rsidRPr="00891215">
              <w:rPr>
                <w:rFonts w:ascii="仿宋" w:eastAsia="仿宋" w:hAnsi="仿宋" w:cs="宋体" w:hint="eastAsia"/>
                <w:color w:val="000000"/>
                <w:sz w:val="24"/>
                <w:szCs w:val="24"/>
              </w:rPr>
              <w:t>29</w:t>
            </w:r>
          </w:p>
        </w:tc>
        <w:tc>
          <w:tcPr>
            <w:tcW w:w="3999"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kern w:val="0"/>
                <w:sz w:val="24"/>
                <w:szCs w:val="24"/>
                <w:lang w:bidi="ar"/>
              </w:rPr>
              <w:t>热泵空调</w:t>
            </w:r>
          </w:p>
        </w:tc>
        <w:tc>
          <w:tcPr>
            <w:tcW w:w="4000" w:type="dxa"/>
            <w:tcBorders>
              <w:tl2br w:val="nil"/>
              <w:tr2bl w:val="nil"/>
            </w:tcBorders>
            <w:vAlign w:val="center"/>
          </w:tcPr>
          <w:p w:rsidR="00891215" w:rsidRPr="00891215" w:rsidRDefault="00891215" w:rsidP="00891215">
            <w:pPr>
              <w:widowControl/>
              <w:jc w:val="center"/>
              <w:textAlignment w:val="center"/>
              <w:rPr>
                <w:rFonts w:ascii="仿宋" w:eastAsia="仿宋" w:hAnsi="仿宋" w:cs="宋体"/>
                <w:sz w:val="24"/>
                <w:szCs w:val="24"/>
              </w:rPr>
            </w:pPr>
            <w:r w:rsidRPr="00891215">
              <w:rPr>
                <w:rFonts w:ascii="仿宋" w:eastAsia="仿宋" w:hAnsi="仿宋" w:cs="宋体" w:hint="eastAsia"/>
                <w:color w:val="000000"/>
                <w:sz w:val="24"/>
                <w:szCs w:val="24"/>
              </w:rPr>
              <w:t>有</w:t>
            </w:r>
          </w:p>
        </w:tc>
      </w:tr>
    </w:tbl>
    <w:p w:rsidR="00891215" w:rsidRPr="00891215" w:rsidRDefault="00891215" w:rsidP="00891215">
      <w:pPr>
        <w:spacing w:after="160" w:line="360" w:lineRule="auto"/>
        <w:ind w:firstLineChars="200" w:firstLine="482"/>
        <w:rPr>
          <w:rFonts w:ascii="仿宋" w:eastAsia="仿宋" w:hAnsi="仿宋" w:cs="宋体"/>
          <w:sz w:val="24"/>
          <w:szCs w:val="24"/>
        </w:rPr>
      </w:pPr>
      <w:r w:rsidRPr="00891215">
        <w:rPr>
          <w:rFonts w:ascii="仿宋" w:eastAsia="仿宋" w:hAnsi="仿宋" w:cs="Times New Roman" w:hint="eastAsia"/>
          <w:b/>
          <w:kern w:val="0"/>
          <w:sz w:val="24"/>
          <w:szCs w:val="24"/>
        </w:rPr>
        <w:lastRenderedPageBreak/>
        <w:t>注：对于上表技术参数中标注“</w:t>
      </w:r>
      <w:r w:rsidRPr="00891215">
        <w:rPr>
          <w:rFonts w:ascii="仿宋" w:eastAsia="仿宋" w:hAnsi="仿宋" w:cs="宋体" w:hint="eastAsia"/>
          <w:bCs/>
          <w:sz w:val="24"/>
          <w:szCs w:val="24"/>
        </w:rPr>
        <w:t>★</w:t>
      </w:r>
      <w:r w:rsidRPr="00891215">
        <w:rPr>
          <w:rFonts w:ascii="仿宋" w:eastAsia="仿宋" w:hAnsi="仿宋" w:cs="Times New Roman" w:hint="eastAsia"/>
          <w:b/>
          <w:kern w:val="0"/>
          <w:sz w:val="24"/>
          <w:szCs w:val="24"/>
        </w:rPr>
        <w:t>”的条款，投标人需要提供投标产品技术支持资料(或证明材料)，其中技术支持资料指生产厂家公开发布的印刷资料(技术白皮书、产品彩页、产品说明书等)或检测机构出具的检测报告或道路机动车辆生产企业及产品公告页。如投标人采购需求响应与技术支持资料(或证明材料)不一致，将以技术支持资料(或证明材料)为准。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评标委员会可不予承认。</w:t>
      </w:r>
    </w:p>
    <w:p w:rsidR="00DF3452" w:rsidRPr="00891215" w:rsidRDefault="00055A81" w:rsidP="00891215"/>
    <w:sectPr w:rsidR="00DF3452" w:rsidRPr="008912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A81" w:rsidRDefault="00055A81" w:rsidP="00D84714">
      <w:r>
        <w:separator/>
      </w:r>
    </w:p>
  </w:endnote>
  <w:endnote w:type="continuationSeparator" w:id="0">
    <w:p w:rsidR="00055A81" w:rsidRDefault="00055A81" w:rsidP="00D8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A81" w:rsidRDefault="00055A81" w:rsidP="00D84714">
      <w:r>
        <w:separator/>
      </w:r>
    </w:p>
  </w:footnote>
  <w:footnote w:type="continuationSeparator" w:id="0">
    <w:p w:rsidR="00055A81" w:rsidRDefault="00055A81" w:rsidP="00D847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055A81"/>
    <w:rsid w:val="0061248C"/>
    <w:rsid w:val="006F1968"/>
    <w:rsid w:val="008029BB"/>
    <w:rsid w:val="00891215"/>
    <w:rsid w:val="00AA67FD"/>
    <w:rsid w:val="00D84714"/>
    <w:rsid w:val="00F7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4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4714"/>
    <w:rPr>
      <w:sz w:val="18"/>
      <w:szCs w:val="18"/>
    </w:rPr>
  </w:style>
  <w:style w:type="paragraph" w:styleId="a4">
    <w:name w:val="footer"/>
    <w:basedOn w:val="a"/>
    <w:link w:val="Char0"/>
    <w:uiPriority w:val="99"/>
    <w:unhideWhenUsed/>
    <w:rsid w:val="00D84714"/>
    <w:pPr>
      <w:tabs>
        <w:tab w:val="center" w:pos="4153"/>
        <w:tab w:val="right" w:pos="8306"/>
      </w:tabs>
      <w:snapToGrid w:val="0"/>
      <w:jc w:val="left"/>
    </w:pPr>
    <w:rPr>
      <w:sz w:val="18"/>
      <w:szCs w:val="18"/>
    </w:rPr>
  </w:style>
  <w:style w:type="character" w:customStyle="1" w:styleId="Char0">
    <w:name w:val="页脚 Char"/>
    <w:basedOn w:val="a0"/>
    <w:link w:val="a4"/>
    <w:uiPriority w:val="99"/>
    <w:rsid w:val="00D847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miit-eidc.org.cn/miitxxgk/gonggao_xxgk/index_ggcp.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4</cp:revision>
  <dcterms:created xsi:type="dcterms:W3CDTF">2025-08-18T03:11:00Z</dcterms:created>
  <dcterms:modified xsi:type="dcterms:W3CDTF">2025-10-29T00:57:00Z</dcterms:modified>
</cp:coreProperties>
</file>