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4E6D9">
      <w:pPr>
        <w:spacing w:line="360" w:lineRule="auto"/>
        <w:jc w:val="center"/>
        <w:outlineLvl w:val="0"/>
        <w:rPr>
          <w:b/>
          <w:sz w:val="36"/>
          <w:szCs w:val="36"/>
        </w:rPr>
      </w:pPr>
      <w:bookmarkStart w:id="0" w:name="_Toc25206"/>
      <w:r>
        <w:rPr>
          <w:b/>
          <w:sz w:val="36"/>
          <w:szCs w:val="36"/>
        </w:rPr>
        <w:t>采购需求</w:t>
      </w:r>
      <w:bookmarkEnd w:id="0"/>
      <w:bookmarkStart w:id="3" w:name="_GoBack"/>
      <w:bookmarkEnd w:id="3"/>
    </w:p>
    <w:p w14:paraId="7C1AB136">
      <w:pPr>
        <w:pStyle w:val="7"/>
      </w:pPr>
    </w:p>
    <w:p w14:paraId="73719023">
      <w:pPr>
        <w:pStyle w:val="11"/>
        <w:numPr>
          <w:ilvl w:val="0"/>
          <w:numId w:val="1"/>
        </w:numPr>
        <w:spacing w:line="360" w:lineRule="auto"/>
        <w:ind w:firstLineChars="0"/>
        <w:contextualSpacing/>
        <w:rPr>
          <w:rFonts w:ascii="宋体" w:hAnsi="宋体" w:cs="宋体"/>
          <w:b/>
          <w:sz w:val="24"/>
          <w:szCs w:val="24"/>
        </w:rPr>
      </w:pPr>
      <w:r>
        <w:rPr>
          <w:rFonts w:hint="eastAsia" w:ascii="宋体" w:hAnsi="宋体" w:cs="宋体"/>
          <w:b/>
          <w:sz w:val="24"/>
          <w:szCs w:val="24"/>
        </w:rPr>
        <w:t>采购标的</w:t>
      </w:r>
    </w:p>
    <w:tbl>
      <w:tblPr>
        <w:tblStyle w:val="9"/>
        <w:tblW w:w="50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1179"/>
        <w:gridCol w:w="1504"/>
        <w:gridCol w:w="797"/>
        <w:gridCol w:w="1133"/>
        <w:gridCol w:w="1133"/>
        <w:gridCol w:w="852"/>
        <w:gridCol w:w="1416"/>
      </w:tblGrid>
      <w:tr w14:paraId="107BC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2" w:type="dxa"/>
            <w:vAlign w:val="center"/>
          </w:tcPr>
          <w:p w14:paraId="2DDFFBA8">
            <w:pPr>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包号</w:t>
            </w:r>
          </w:p>
        </w:tc>
        <w:tc>
          <w:tcPr>
            <w:tcW w:w="1180" w:type="dxa"/>
            <w:vAlign w:val="center"/>
          </w:tcPr>
          <w:p w14:paraId="5E5D057A">
            <w:pPr>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包名称</w:t>
            </w:r>
          </w:p>
        </w:tc>
        <w:tc>
          <w:tcPr>
            <w:tcW w:w="1507" w:type="dxa"/>
            <w:vAlign w:val="center"/>
          </w:tcPr>
          <w:p w14:paraId="7CE94F31">
            <w:pPr>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标的名称</w:t>
            </w:r>
          </w:p>
        </w:tc>
        <w:tc>
          <w:tcPr>
            <w:tcW w:w="795" w:type="dxa"/>
            <w:vAlign w:val="center"/>
          </w:tcPr>
          <w:p w14:paraId="10454E15">
            <w:pPr>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数量</w:t>
            </w:r>
          </w:p>
        </w:tc>
        <w:tc>
          <w:tcPr>
            <w:tcW w:w="1134" w:type="dxa"/>
            <w:vAlign w:val="center"/>
          </w:tcPr>
          <w:p w14:paraId="5098B87E">
            <w:pPr>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单价最高限价（万元）</w:t>
            </w:r>
          </w:p>
        </w:tc>
        <w:tc>
          <w:tcPr>
            <w:tcW w:w="1134" w:type="dxa"/>
            <w:vAlign w:val="center"/>
          </w:tcPr>
          <w:p w14:paraId="0DC7DB48">
            <w:pPr>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分包最高限价（万元）</w:t>
            </w:r>
          </w:p>
        </w:tc>
        <w:tc>
          <w:tcPr>
            <w:tcW w:w="850" w:type="dxa"/>
            <w:vAlign w:val="center"/>
          </w:tcPr>
          <w:p w14:paraId="203D3F19">
            <w:pPr>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是否允许进口</w:t>
            </w:r>
          </w:p>
        </w:tc>
        <w:tc>
          <w:tcPr>
            <w:tcW w:w="1418" w:type="dxa"/>
            <w:vAlign w:val="center"/>
          </w:tcPr>
          <w:p w14:paraId="0329B5ED">
            <w:pPr>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是否为核心产品</w:t>
            </w:r>
          </w:p>
        </w:tc>
      </w:tr>
      <w:tr w14:paraId="2FF3B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2" w:type="dxa"/>
            <w:vAlign w:val="center"/>
          </w:tcPr>
          <w:p w14:paraId="31AC893A">
            <w:pPr>
              <w:widowControl/>
              <w:jc w:val="center"/>
              <w:textAlignment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01</w:t>
            </w:r>
          </w:p>
        </w:tc>
        <w:tc>
          <w:tcPr>
            <w:tcW w:w="1180" w:type="dxa"/>
            <w:vAlign w:val="center"/>
          </w:tcPr>
          <w:p w14:paraId="357458A5">
            <w:pPr>
              <w:widowControl/>
              <w:jc w:val="center"/>
              <w:textAlignment w:val="center"/>
              <w:rPr>
                <w:rFonts w:cs="宋体" w:asciiTheme="minorEastAsia" w:hAnsiTheme="minorEastAsia" w:eastAsiaTheme="minorEastAsia"/>
                <w:bCs/>
                <w:sz w:val="24"/>
              </w:rPr>
            </w:pPr>
            <w:r>
              <w:rPr>
                <w:rFonts w:hint="eastAsia" w:asciiTheme="minorEastAsia" w:hAnsiTheme="minorEastAsia" w:eastAsiaTheme="minorEastAsia"/>
                <w:color w:val="000000"/>
                <w:sz w:val="24"/>
              </w:rPr>
              <w:t>数据库专用一体化集群</w:t>
            </w:r>
          </w:p>
        </w:tc>
        <w:tc>
          <w:tcPr>
            <w:tcW w:w="1507" w:type="dxa"/>
            <w:vAlign w:val="center"/>
          </w:tcPr>
          <w:p w14:paraId="18872500">
            <w:pPr>
              <w:widowControl/>
              <w:jc w:val="center"/>
              <w:textAlignment w:val="center"/>
              <w:rPr>
                <w:rFonts w:cs="宋体" w:asciiTheme="minorEastAsia" w:hAnsiTheme="minorEastAsia" w:eastAsiaTheme="minorEastAsia"/>
                <w:bCs/>
                <w:sz w:val="24"/>
              </w:rPr>
            </w:pPr>
            <w:r>
              <w:rPr>
                <w:rFonts w:hint="eastAsia" w:asciiTheme="minorEastAsia" w:hAnsiTheme="minorEastAsia" w:eastAsiaTheme="minorEastAsia"/>
                <w:color w:val="000000"/>
                <w:sz w:val="24"/>
              </w:rPr>
              <w:t>数据库专用一体化集群</w:t>
            </w:r>
          </w:p>
        </w:tc>
        <w:tc>
          <w:tcPr>
            <w:tcW w:w="795" w:type="dxa"/>
            <w:vAlign w:val="center"/>
          </w:tcPr>
          <w:p w14:paraId="505B963D">
            <w:pPr>
              <w:widowControl/>
              <w:jc w:val="center"/>
              <w:textAlignment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1台</w:t>
            </w:r>
          </w:p>
        </w:tc>
        <w:tc>
          <w:tcPr>
            <w:tcW w:w="1134" w:type="dxa"/>
            <w:vAlign w:val="center"/>
          </w:tcPr>
          <w:p w14:paraId="16871DDB">
            <w:pPr>
              <w:widowControl/>
              <w:jc w:val="center"/>
              <w:textAlignment w:val="center"/>
              <w:rPr>
                <w:rFonts w:asciiTheme="minorEastAsia" w:hAnsiTheme="minorEastAsia" w:eastAsiaTheme="minorEastAsia"/>
                <w:color w:val="000000"/>
                <w:sz w:val="24"/>
              </w:rPr>
            </w:pPr>
            <w:r>
              <w:rPr>
                <w:rFonts w:asciiTheme="minorEastAsia" w:hAnsiTheme="minorEastAsia" w:eastAsiaTheme="minorEastAsia"/>
                <w:color w:val="000000"/>
                <w:sz w:val="24"/>
              </w:rPr>
              <w:t>454.4</w:t>
            </w:r>
          </w:p>
        </w:tc>
        <w:tc>
          <w:tcPr>
            <w:tcW w:w="1134" w:type="dxa"/>
            <w:vAlign w:val="center"/>
          </w:tcPr>
          <w:p w14:paraId="1DD49367">
            <w:pPr>
              <w:widowControl/>
              <w:jc w:val="center"/>
              <w:textAlignment w:val="center"/>
              <w:rPr>
                <w:rFonts w:asciiTheme="minorEastAsia" w:hAnsiTheme="minorEastAsia" w:eastAsiaTheme="minorEastAsia"/>
                <w:color w:val="000000"/>
                <w:sz w:val="24"/>
              </w:rPr>
            </w:pPr>
            <w:r>
              <w:rPr>
                <w:rFonts w:asciiTheme="minorEastAsia" w:hAnsiTheme="minorEastAsia" w:eastAsiaTheme="minorEastAsia"/>
                <w:color w:val="000000"/>
                <w:sz w:val="24"/>
              </w:rPr>
              <w:t>454.4</w:t>
            </w:r>
          </w:p>
        </w:tc>
        <w:tc>
          <w:tcPr>
            <w:tcW w:w="850" w:type="dxa"/>
            <w:vAlign w:val="center"/>
          </w:tcPr>
          <w:p w14:paraId="43D27C77">
            <w:pPr>
              <w:widowControl/>
              <w:jc w:val="center"/>
              <w:textAlignment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否</w:t>
            </w:r>
          </w:p>
        </w:tc>
        <w:tc>
          <w:tcPr>
            <w:tcW w:w="1418" w:type="dxa"/>
            <w:vAlign w:val="center"/>
          </w:tcPr>
          <w:p w14:paraId="0CFA9CB1">
            <w:pPr>
              <w:widowControl/>
              <w:jc w:val="center"/>
              <w:textAlignment w:val="center"/>
              <w:rPr>
                <w:rFonts w:cs="宋体" w:asciiTheme="minorEastAsia" w:hAnsiTheme="minorEastAsia" w:eastAsiaTheme="minorEastAsia"/>
                <w:bCs/>
                <w:sz w:val="24"/>
              </w:rPr>
            </w:pPr>
            <w:r>
              <w:rPr>
                <w:rFonts w:hint="eastAsia" w:cs="宋体" w:asciiTheme="minorEastAsia" w:hAnsiTheme="minorEastAsia" w:eastAsiaTheme="minorEastAsia"/>
                <w:sz w:val="24"/>
              </w:rPr>
              <w:t>本包为</w:t>
            </w:r>
            <w:r>
              <w:rPr>
                <w:rFonts w:cs="宋体" w:asciiTheme="minorEastAsia" w:hAnsiTheme="minorEastAsia" w:eastAsiaTheme="minorEastAsia"/>
                <w:sz w:val="24"/>
              </w:rPr>
              <w:t>单一产品采购包</w:t>
            </w:r>
          </w:p>
        </w:tc>
      </w:tr>
      <w:tr w14:paraId="06A3F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2" w:type="dxa"/>
            <w:vMerge w:val="restart"/>
            <w:vAlign w:val="center"/>
          </w:tcPr>
          <w:p w14:paraId="0713A35D">
            <w:pPr>
              <w:widowControl/>
              <w:jc w:val="center"/>
              <w:textAlignment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02</w:t>
            </w:r>
          </w:p>
        </w:tc>
        <w:tc>
          <w:tcPr>
            <w:tcW w:w="1180" w:type="dxa"/>
            <w:vMerge w:val="restart"/>
            <w:vAlign w:val="center"/>
          </w:tcPr>
          <w:p w14:paraId="4BE37F7D">
            <w:pPr>
              <w:widowControl/>
              <w:jc w:val="center"/>
              <w:textAlignment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网络安全设备</w:t>
            </w:r>
          </w:p>
        </w:tc>
        <w:tc>
          <w:tcPr>
            <w:tcW w:w="1507" w:type="dxa"/>
            <w:vAlign w:val="center"/>
          </w:tcPr>
          <w:p w14:paraId="3E191C5F">
            <w:pPr>
              <w:widowControl/>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数据库审计</w:t>
            </w:r>
          </w:p>
        </w:tc>
        <w:tc>
          <w:tcPr>
            <w:tcW w:w="795" w:type="dxa"/>
            <w:vAlign w:val="center"/>
          </w:tcPr>
          <w:p w14:paraId="0F507773">
            <w:pPr>
              <w:widowControl/>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1台</w:t>
            </w:r>
          </w:p>
        </w:tc>
        <w:tc>
          <w:tcPr>
            <w:tcW w:w="1134" w:type="dxa"/>
            <w:vAlign w:val="center"/>
          </w:tcPr>
          <w:p w14:paraId="6DDAB3DC">
            <w:pPr>
              <w:widowControl/>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16</w:t>
            </w:r>
          </w:p>
        </w:tc>
        <w:tc>
          <w:tcPr>
            <w:tcW w:w="1134" w:type="dxa"/>
            <w:vMerge w:val="restart"/>
            <w:vAlign w:val="center"/>
          </w:tcPr>
          <w:p w14:paraId="7136294D">
            <w:pPr>
              <w:widowControl/>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334.6</w:t>
            </w:r>
          </w:p>
        </w:tc>
        <w:tc>
          <w:tcPr>
            <w:tcW w:w="850" w:type="dxa"/>
            <w:shd w:val="clear" w:color="auto" w:fill="auto"/>
            <w:vAlign w:val="center"/>
          </w:tcPr>
          <w:p w14:paraId="0537E360">
            <w:pPr>
              <w:widowControl/>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否</w:t>
            </w:r>
          </w:p>
        </w:tc>
        <w:tc>
          <w:tcPr>
            <w:tcW w:w="1418" w:type="dxa"/>
            <w:shd w:val="clear" w:color="auto" w:fill="auto"/>
            <w:vAlign w:val="center"/>
          </w:tcPr>
          <w:p w14:paraId="3867EA4A">
            <w:pPr>
              <w:widowControl/>
              <w:jc w:val="center"/>
              <w:textAlignment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否</w:t>
            </w:r>
          </w:p>
        </w:tc>
      </w:tr>
      <w:tr w14:paraId="6506F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2" w:type="dxa"/>
            <w:vMerge w:val="continue"/>
            <w:vAlign w:val="center"/>
          </w:tcPr>
          <w:p w14:paraId="560A8FFE">
            <w:pPr>
              <w:pStyle w:val="6"/>
              <w:rPr>
                <w:rFonts w:asciiTheme="minorEastAsia" w:hAnsiTheme="minorEastAsia" w:eastAsiaTheme="minorEastAsia"/>
              </w:rPr>
            </w:pPr>
          </w:p>
        </w:tc>
        <w:tc>
          <w:tcPr>
            <w:tcW w:w="1180" w:type="dxa"/>
            <w:vMerge w:val="continue"/>
            <w:vAlign w:val="center"/>
          </w:tcPr>
          <w:p w14:paraId="34A8C224">
            <w:pPr>
              <w:widowControl/>
              <w:jc w:val="center"/>
              <w:textAlignment w:val="center"/>
              <w:rPr>
                <w:rFonts w:cs="宋体" w:asciiTheme="minorEastAsia" w:hAnsiTheme="minorEastAsia" w:eastAsiaTheme="minorEastAsia"/>
                <w:bCs/>
                <w:sz w:val="24"/>
              </w:rPr>
            </w:pPr>
          </w:p>
        </w:tc>
        <w:tc>
          <w:tcPr>
            <w:tcW w:w="1507" w:type="dxa"/>
            <w:vAlign w:val="center"/>
          </w:tcPr>
          <w:p w14:paraId="3C3871D6">
            <w:pPr>
              <w:widowControl/>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业务防火墙</w:t>
            </w:r>
          </w:p>
        </w:tc>
        <w:tc>
          <w:tcPr>
            <w:tcW w:w="795" w:type="dxa"/>
            <w:vAlign w:val="center"/>
          </w:tcPr>
          <w:p w14:paraId="0005C555">
            <w:pPr>
              <w:widowControl/>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2台</w:t>
            </w:r>
          </w:p>
        </w:tc>
        <w:tc>
          <w:tcPr>
            <w:tcW w:w="1134" w:type="dxa"/>
            <w:vAlign w:val="center"/>
          </w:tcPr>
          <w:p w14:paraId="77B1F715">
            <w:pPr>
              <w:widowControl/>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16</w:t>
            </w:r>
          </w:p>
        </w:tc>
        <w:tc>
          <w:tcPr>
            <w:tcW w:w="1134" w:type="dxa"/>
            <w:vMerge w:val="continue"/>
            <w:vAlign w:val="center"/>
          </w:tcPr>
          <w:p w14:paraId="2FBCBEC7">
            <w:pPr>
              <w:widowControl/>
              <w:jc w:val="center"/>
              <w:textAlignment w:val="center"/>
              <w:rPr>
                <w:rFonts w:asciiTheme="minorEastAsia" w:hAnsiTheme="minorEastAsia" w:eastAsiaTheme="minorEastAsia"/>
                <w:color w:val="000000"/>
                <w:sz w:val="24"/>
              </w:rPr>
            </w:pPr>
          </w:p>
        </w:tc>
        <w:tc>
          <w:tcPr>
            <w:tcW w:w="850" w:type="dxa"/>
            <w:shd w:val="clear" w:color="auto" w:fill="auto"/>
            <w:vAlign w:val="center"/>
          </w:tcPr>
          <w:p w14:paraId="37F61502">
            <w:pPr>
              <w:widowControl/>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否</w:t>
            </w:r>
          </w:p>
        </w:tc>
        <w:tc>
          <w:tcPr>
            <w:tcW w:w="1418" w:type="dxa"/>
            <w:shd w:val="clear" w:color="auto" w:fill="auto"/>
            <w:vAlign w:val="center"/>
          </w:tcPr>
          <w:p w14:paraId="537E3AD7">
            <w:pPr>
              <w:widowControl/>
              <w:jc w:val="center"/>
              <w:textAlignment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否</w:t>
            </w:r>
          </w:p>
        </w:tc>
      </w:tr>
      <w:tr w14:paraId="3DB3B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2" w:type="dxa"/>
            <w:vMerge w:val="continue"/>
            <w:vAlign w:val="center"/>
          </w:tcPr>
          <w:p w14:paraId="60A04360">
            <w:pPr>
              <w:pStyle w:val="6"/>
              <w:rPr>
                <w:rFonts w:asciiTheme="minorEastAsia" w:hAnsiTheme="minorEastAsia" w:eastAsiaTheme="minorEastAsia"/>
              </w:rPr>
            </w:pPr>
          </w:p>
        </w:tc>
        <w:tc>
          <w:tcPr>
            <w:tcW w:w="1180" w:type="dxa"/>
            <w:vMerge w:val="continue"/>
            <w:vAlign w:val="center"/>
          </w:tcPr>
          <w:p w14:paraId="5E4BC15A">
            <w:pPr>
              <w:widowControl/>
              <w:jc w:val="center"/>
              <w:textAlignment w:val="center"/>
              <w:rPr>
                <w:rFonts w:cs="宋体" w:asciiTheme="minorEastAsia" w:hAnsiTheme="minorEastAsia" w:eastAsiaTheme="minorEastAsia"/>
                <w:bCs/>
                <w:sz w:val="24"/>
              </w:rPr>
            </w:pPr>
          </w:p>
        </w:tc>
        <w:tc>
          <w:tcPr>
            <w:tcW w:w="1507" w:type="dxa"/>
            <w:vAlign w:val="center"/>
          </w:tcPr>
          <w:p w14:paraId="79756FFB">
            <w:pPr>
              <w:widowControl/>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网络安全审计</w:t>
            </w:r>
          </w:p>
        </w:tc>
        <w:tc>
          <w:tcPr>
            <w:tcW w:w="795" w:type="dxa"/>
            <w:vAlign w:val="center"/>
          </w:tcPr>
          <w:p w14:paraId="4E1DB3B1">
            <w:pPr>
              <w:widowControl/>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1台</w:t>
            </w:r>
          </w:p>
        </w:tc>
        <w:tc>
          <w:tcPr>
            <w:tcW w:w="1134" w:type="dxa"/>
            <w:vAlign w:val="center"/>
          </w:tcPr>
          <w:p w14:paraId="4208B129">
            <w:pPr>
              <w:widowControl/>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8.5</w:t>
            </w:r>
          </w:p>
        </w:tc>
        <w:tc>
          <w:tcPr>
            <w:tcW w:w="1134" w:type="dxa"/>
            <w:vMerge w:val="continue"/>
            <w:vAlign w:val="center"/>
          </w:tcPr>
          <w:p w14:paraId="088D8867">
            <w:pPr>
              <w:widowControl/>
              <w:jc w:val="center"/>
              <w:textAlignment w:val="center"/>
              <w:rPr>
                <w:rFonts w:asciiTheme="minorEastAsia" w:hAnsiTheme="minorEastAsia" w:eastAsiaTheme="minorEastAsia"/>
                <w:color w:val="000000"/>
                <w:sz w:val="24"/>
              </w:rPr>
            </w:pPr>
          </w:p>
        </w:tc>
        <w:tc>
          <w:tcPr>
            <w:tcW w:w="850" w:type="dxa"/>
            <w:shd w:val="clear" w:color="auto" w:fill="auto"/>
            <w:vAlign w:val="center"/>
          </w:tcPr>
          <w:p w14:paraId="6185D2BB">
            <w:pPr>
              <w:widowControl/>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否</w:t>
            </w:r>
          </w:p>
        </w:tc>
        <w:tc>
          <w:tcPr>
            <w:tcW w:w="1418" w:type="dxa"/>
            <w:shd w:val="clear" w:color="auto" w:fill="auto"/>
            <w:vAlign w:val="center"/>
          </w:tcPr>
          <w:p w14:paraId="7FBA3F4D">
            <w:pPr>
              <w:widowControl/>
              <w:jc w:val="center"/>
              <w:textAlignment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否</w:t>
            </w:r>
          </w:p>
        </w:tc>
      </w:tr>
      <w:tr w14:paraId="419C7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2" w:type="dxa"/>
            <w:vMerge w:val="continue"/>
            <w:vAlign w:val="center"/>
          </w:tcPr>
          <w:p w14:paraId="629AC20D">
            <w:pPr>
              <w:pStyle w:val="6"/>
              <w:rPr>
                <w:rFonts w:asciiTheme="minorEastAsia" w:hAnsiTheme="minorEastAsia" w:eastAsiaTheme="minorEastAsia"/>
              </w:rPr>
            </w:pPr>
          </w:p>
        </w:tc>
        <w:tc>
          <w:tcPr>
            <w:tcW w:w="1180" w:type="dxa"/>
            <w:vMerge w:val="continue"/>
            <w:vAlign w:val="center"/>
          </w:tcPr>
          <w:p w14:paraId="449DB4CD">
            <w:pPr>
              <w:widowControl/>
              <w:jc w:val="center"/>
              <w:textAlignment w:val="center"/>
              <w:rPr>
                <w:rFonts w:cs="宋体" w:asciiTheme="minorEastAsia" w:hAnsiTheme="minorEastAsia" w:eastAsiaTheme="minorEastAsia"/>
                <w:bCs/>
                <w:sz w:val="24"/>
              </w:rPr>
            </w:pPr>
          </w:p>
        </w:tc>
        <w:tc>
          <w:tcPr>
            <w:tcW w:w="1507" w:type="dxa"/>
            <w:vAlign w:val="center"/>
          </w:tcPr>
          <w:p w14:paraId="2CCBC635">
            <w:pPr>
              <w:widowControl/>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日志审计</w:t>
            </w:r>
          </w:p>
        </w:tc>
        <w:tc>
          <w:tcPr>
            <w:tcW w:w="795" w:type="dxa"/>
            <w:vAlign w:val="center"/>
          </w:tcPr>
          <w:p w14:paraId="797C6009">
            <w:pPr>
              <w:widowControl/>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1台</w:t>
            </w:r>
          </w:p>
        </w:tc>
        <w:tc>
          <w:tcPr>
            <w:tcW w:w="1134" w:type="dxa"/>
            <w:vAlign w:val="center"/>
          </w:tcPr>
          <w:p w14:paraId="51EAF422">
            <w:pPr>
              <w:widowControl/>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12</w:t>
            </w:r>
          </w:p>
        </w:tc>
        <w:tc>
          <w:tcPr>
            <w:tcW w:w="1134" w:type="dxa"/>
            <w:vMerge w:val="continue"/>
            <w:vAlign w:val="center"/>
          </w:tcPr>
          <w:p w14:paraId="125E0DE3">
            <w:pPr>
              <w:widowControl/>
              <w:jc w:val="center"/>
              <w:textAlignment w:val="center"/>
              <w:rPr>
                <w:rFonts w:asciiTheme="minorEastAsia" w:hAnsiTheme="minorEastAsia" w:eastAsiaTheme="minorEastAsia"/>
                <w:color w:val="000000"/>
                <w:sz w:val="24"/>
              </w:rPr>
            </w:pPr>
          </w:p>
        </w:tc>
        <w:tc>
          <w:tcPr>
            <w:tcW w:w="850" w:type="dxa"/>
            <w:shd w:val="clear" w:color="auto" w:fill="auto"/>
            <w:vAlign w:val="center"/>
          </w:tcPr>
          <w:p w14:paraId="43407EDE">
            <w:pPr>
              <w:widowControl/>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否</w:t>
            </w:r>
          </w:p>
        </w:tc>
        <w:tc>
          <w:tcPr>
            <w:tcW w:w="1418" w:type="dxa"/>
            <w:shd w:val="clear" w:color="auto" w:fill="auto"/>
            <w:vAlign w:val="center"/>
          </w:tcPr>
          <w:p w14:paraId="345A509D">
            <w:pPr>
              <w:widowControl/>
              <w:jc w:val="center"/>
              <w:textAlignment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否</w:t>
            </w:r>
          </w:p>
        </w:tc>
      </w:tr>
      <w:tr w14:paraId="33294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2" w:type="dxa"/>
            <w:vMerge w:val="continue"/>
            <w:vAlign w:val="center"/>
          </w:tcPr>
          <w:p w14:paraId="712F12A0">
            <w:pPr>
              <w:pStyle w:val="6"/>
              <w:rPr>
                <w:rFonts w:asciiTheme="minorEastAsia" w:hAnsiTheme="minorEastAsia" w:eastAsiaTheme="minorEastAsia"/>
              </w:rPr>
            </w:pPr>
          </w:p>
        </w:tc>
        <w:tc>
          <w:tcPr>
            <w:tcW w:w="1180" w:type="dxa"/>
            <w:vMerge w:val="continue"/>
            <w:vAlign w:val="center"/>
          </w:tcPr>
          <w:p w14:paraId="20172266">
            <w:pPr>
              <w:widowControl/>
              <w:jc w:val="center"/>
              <w:textAlignment w:val="center"/>
              <w:rPr>
                <w:rFonts w:cs="宋体" w:asciiTheme="minorEastAsia" w:hAnsiTheme="minorEastAsia" w:eastAsiaTheme="minorEastAsia"/>
                <w:bCs/>
                <w:sz w:val="24"/>
              </w:rPr>
            </w:pPr>
          </w:p>
        </w:tc>
        <w:tc>
          <w:tcPr>
            <w:tcW w:w="1507" w:type="dxa"/>
            <w:vAlign w:val="center"/>
          </w:tcPr>
          <w:p w14:paraId="1C27DC6E">
            <w:pPr>
              <w:widowControl/>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入侵检测</w:t>
            </w:r>
          </w:p>
        </w:tc>
        <w:tc>
          <w:tcPr>
            <w:tcW w:w="795" w:type="dxa"/>
            <w:vAlign w:val="center"/>
          </w:tcPr>
          <w:p w14:paraId="00539BEC">
            <w:pPr>
              <w:widowControl/>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1台</w:t>
            </w:r>
          </w:p>
        </w:tc>
        <w:tc>
          <w:tcPr>
            <w:tcW w:w="1134" w:type="dxa"/>
            <w:vAlign w:val="center"/>
          </w:tcPr>
          <w:p w14:paraId="30495E47">
            <w:pPr>
              <w:widowControl/>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18</w:t>
            </w:r>
          </w:p>
        </w:tc>
        <w:tc>
          <w:tcPr>
            <w:tcW w:w="1134" w:type="dxa"/>
            <w:vMerge w:val="continue"/>
            <w:vAlign w:val="center"/>
          </w:tcPr>
          <w:p w14:paraId="28AD7CCD">
            <w:pPr>
              <w:widowControl/>
              <w:jc w:val="center"/>
              <w:textAlignment w:val="center"/>
              <w:rPr>
                <w:rFonts w:asciiTheme="minorEastAsia" w:hAnsiTheme="minorEastAsia" w:eastAsiaTheme="minorEastAsia"/>
                <w:color w:val="000000"/>
                <w:sz w:val="24"/>
              </w:rPr>
            </w:pPr>
          </w:p>
        </w:tc>
        <w:tc>
          <w:tcPr>
            <w:tcW w:w="850" w:type="dxa"/>
            <w:shd w:val="clear" w:color="auto" w:fill="auto"/>
            <w:vAlign w:val="center"/>
          </w:tcPr>
          <w:p w14:paraId="7760F20A">
            <w:pPr>
              <w:widowControl/>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否</w:t>
            </w:r>
          </w:p>
        </w:tc>
        <w:tc>
          <w:tcPr>
            <w:tcW w:w="1418" w:type="dxa"/>
            <w:shd w:val="clear" w:color="auto" w:fill="auto"/>
            <w:vAlign w:val="center"/>
          </w:tcPr>
          <w:p w14:paraId="17643A34">
            <w:pPr>
              <w:widowControl/>
              <w:jc w:val="center"/>
              <w:textAlignment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否</w:t>
            </w:r>
          </w:p>
        </w:tc>
      </w:tr>
      <w:tr w14:paraId="61603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2" w:type="dxa"/>
            <w:vMerge w:val="continue"/>
            <w:vAlign w:val="center"/>
          </w:tcPr>
          <w:p w14:paraId="02AF92D8">
            <w:pPr>
              <w:pStyle w:val="6"/>
              <w:rPr>
                <w:rFonts w:asciiTheme="minorEastAsia" w:hAnsiTheme="minorEastAsia" w:eastAsiaTheme="minorEastAsia"/>
              </w:rPr>
            </w:pPr>
          </w:p>
        </w:tc>
        <w:tc>
          <w:tcPr>
            <w:tcW w:w="1180" w:type="dxa"/>
            <w:vMerge w:val="continue"/>
            <w:vAlign w:val="center"/>
          </w:tcPr>
          <w:p w14:paraId="7B25C179">
            <w:pPr>
              <w:widowControl/>
              <w:jc w:val="center"/>
              <w:textAlignment w:val="center"/>
              <w:rPr>
                <w:rFonts w:cs="宋体" w:asciiTheme="minorEastAsia" w:hAnsiTheme="minorEastAsia" w:eastAsiaTheme="minorEastAsia"/>
                <w:bCs/>
                <w:sz w:val="24"/>
              </w:rPr>
            </w:pPr>
          </w:p>
        </w:tc>
        <w:tc>
          <w:tcPr>
            <w:tcW w:w="1507" w:type="dxa"/>
            <w:vAlign w:val="center"/>
          </w:tcPr>
          <w:p w14:paraId="58CCE903">
            <w:pPr>
              <w:widowControl/>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全网行为管理</w:t>
            </w:r>
          </w:p>
        </w:tc>
        <w:tc>
          <w:tcPr>
            <w:tcW w:w="795" w:type="dxa"/>
            <w:vAlign w:val="center"/>
          </w:tcPr>
          <w:p w14:paraId="19E8EA67">
            <w:pPr>
              <w:widowControl/>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1台</w:t>
            </w:r>
          </w:p>
        </w:tc>
        <w:tc>
          <w:tcPr>
            <w:tcW w:w="1134" w:type="dxa"/>
            <w:vAlign w:val="center"/>
          </w:tcPr>
          <w:p w14:paraId="7AC3242F">
            <w:pPr>
              <w:widowControl/>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19.5</w:t>
            </w:r>
          </w:p>
        </w:tc>
        <w:tc>
          <w:tcPr>
            <w:tcW w:w="1134" w:type="dxa"/>
            <w:vMerge w:val="continue"/>
            <w:vAlign w:val="center"/>
          </w:tcPr>
          <w:p w14:paraId="6323E91F">
            <w:pPr>
              <w:widowControl/>
              <w:jc w:val="center"/>
              <w:textAlignment w:val="center"/>
              <w:rPr>
                <w:rFonts w:asciiTheme="minorEastAsia" w:hAnsiTheme="minorEastAsia" w:eastAsiaTheme="minorEastAsia"/>
                <w:color w:val="000000"/>
                <w:sz w:val="24"/>
              </w:rPr>
            </w:pPr>
          </w:p>
        </w:tc>
        <w:tc>
          <w:tcPr>
            <w:tcW w:w="850" w:type="dxa"/>
            <w:shd w:val="clear" w:color="auto" w:fill="auto"/>
            <w:vAlign w:val="center"/>
          </w:tcPr>
          <w:p w14:paraId="24602C9F">
            <w:pPr>
              <w:widowControl/>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否</w:t>
            </w:r>
          </w:p>
        </w:tc>
        <w:tc>
          <w:tcPr>
            <w:tcW w:w="1418" w:type="dxa"/>
            <w:shd w:val="clear" w:color="auto" w:fill="auto"/>
            <w:vAlign w:val="center"/>
          </w:tcPr>
          <w:p w14:paraId="59C54612">
            <w:pPr>
              <w:widowControl/>
              <w:jc w:val="center"/>
              <w:textAlignment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否</w:t>
            </w:r>
          </w:p>
        </w:tc>
      </w:tr>
      <w:tr w14:paraId="1458D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2" w:type="dxa"/>
            <w:vMerge w:val="continue"/>
            <w:vAlign w:val="center"/>
          </w:tcPr>
          <w:p w14:paraId="07A69601">
            <w:pPr>
              <w:pStyle w:val="6"/>
              <w:rPr>
                <w:rFonts w:asciiTheme="minorEastAsia" w:hAnsiTheme="minorEastAsia" w:eastAsiaTheme="minorEastAsia"/>
              </w:rPr>
            </w:pPr>
          </w:p>
        </w:tc>
        <w:tc>
          <w:tcPr>
            <w:tcW w:w="1180" w:type="dxa"/>
            <w:vMerge w:val="continue"/>
            <w:vAlign w:val="center"/>
          </w:tcPr>
          <w:p w14:paraId="7E500813">
            <w:pPr>
              <w:widowControl/>
              <w:jc w:val="center"/>
              <w:textAlignment w:val="center"/>
              <w:rPr>
                <w:rFonts w:cs="宋体" w:asciiTheme="minorEastAsia" w:hAnsiTheme="minorEastAsia" w:eastAsiaTheme="minorEastAsia"/>
                <w:bCs/>
                <w:sz w:val="24"/>
              </w:rPr>
            </w:pPr>
          </w:p>
        </w:tc>
        <w:tc>
          <w:tcPr>
            <w:tcW w:w="1507" w:type="dxa"/>
            <w:vAlign w:val="center"/>
          </w:tcPr>
          <w:p w14:paraId="5C5458E6">
            <w:pPr>
              <w:widowControl/>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零信任网关</w:t>
            </w:r>
          </w:p>
        </w:tc>
        <w:tc>
          <w:tcPr>
            <w:tcW w:w="795" w:type="dxa"/>
            <w:vAlign w:val="center"/>
          </w:tcPr>
          <w:p w14:paraId="1B6F7E82">
            <w:pPr>
              <w:widowControl/>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1台</w:t>
            </w:r>
          </w:p>
        </w:tc>
        <w:tc>
          <w:tcPr>
            <w:tcW w:w="1134" w:type="dxa"/>
            <w:vAlign w:val="center"/>
          </w:tcPr>
          <w:p w14:paraId="19E096BD">
            <w:pPr>
              <w:widowControl/>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16.8</w:t>
            </w:r>
          </w:p>
        </w:tc>
        <w:tc>
          <w:tcPr>
            <w:tcW w:w="1134" w:type="dxa"/>
            <w:vMerge w:val="continue"/>
            <w:vAlign w:val="center"/>
          </w:tcPr>
          <w:p w14:paraId="7F62D663">
            <w:pPr>
              <w:widowControl/>
              <w:jc w:val="center"/>
              <w:textAlignment w:val="center"/>
              <w:rPr>
                <w:rFonts w:asciiTheme="minorEastAsia" w:hAnsiTheme="minorEastAsia" w:eastAsiaTheme="minorEastAsia"/>
                <w:color w:val="000000"/>
                <w:sz w:val="24"/>
              </w:rPr>
            </w:pPr>
          </w:p>
        </w:tc>
        <w:tc>
          <w:tcPr>
            <w:tcW w:w="850" w:type="dxa"/>
            <w:shd w:val="clear" w:color="auto" w:fill="auto"/>
            <w:vAlign w:val="center"/>
          </w:tcPr>
          <w:p w14:paraId="10C83F5E">
            <w:pPr>
              <w:widowControl/>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否</w:t>
            </w:r>
          </w:p>
        </w:tc>
        <w:tc>
          <w:tcPr>
            <w:tcW w:w="1418" w:type="dxa"/>
            <w:shd w:val="clear" w:color="auto" w:fill="auto"/>
            <w:vAlign w:val="center"/>
          </w:tcPr>
          <w:p w14:paraId="7BCE5AE0">
            <w:pPr>
              <w:widowControl/>
              <w:jc w:val="center"/>
              <w:textAlignment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否</w:t>
            </w:r>
          </w:p>
        </w:tc>
      </w:tr>
      <w:tr w14:paraId="2FDEA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2" w:type="dxa"/>
            <w:vMerge w:val="continue"/>
            <w:vAlign w:val="center"/>
          </w:tcPr>
          <w:p w14:paraId="6CFE3257">
            <w:pPr>
              <w:pStyle w:val="6"/>
              <w:rPr>
                <w:rFonts w:asciiTheme="minorEastAsia" w:hAnsiTheme="minorEastAsia" w:eastAsiaTheme="minorEastAsia"/>
              </w:rPr>
            </w:pPr>
          </w:p>
        </w:tc>
        <w:tc>
          <w:tcPr>
            <w:tcW w:w="1180" w:type="dxa"/>
            <w:vMerge w:val="continue"/>
            <w:vAlign w:val="center"/>
          </w:tcPr>
          <w:p w14:paraId="0A7D64BA">
            <w:pPr>
              <w:widowControl/>
              <w:jc w:val="center"/>
              <w:textAlignment w:val="center"/>
              <w:rPr>
                <w:rFonts w:cs="宋体" w:asciiTheme="minorEastAsia" w:hAnsiTheme="minorEastAsia" w:eastAsiaTheme="minorEastAsia"/>
                <w:bCs/>
                <w:sz w:val="24"/>
              </w:rPr>
            </w:pPr>
          </w:p>
        </w:tc>
        <w:tc>
          <w:tcPr>
            <w:tcW w:w="1507" w:type="dxa"/>
            <w:vAlign w:val="center"/>
          </w:tcPr>
          <w:p w14:paraId="531D3001">
            <w:pPr>
              <w:widowControl/>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运维审计系统</w:t>
            </w:r>
          </w:p>
        </w:tc>
        <w:tc>
          <w:tcPr>
            <w:tcW w:w="795" w:type="dxa"/>
            <w:vAlign w:val="center"/>
          </w:tcPr>
          <w:p w14:paraId="0A15812B">
            <w:pPr>
              <w:widowControl/>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1台</w:t>
            </w:r>
          </w:p>
        </w:tc>
        <w:tc>
          <w:tcPr>
            <w:tcW w:w="1134" w:type="dxa"/>
            <w:vAlign w:val="center"/>
          </w:tcPr>
          <w:p w14:paraId="56DF43D1">
            <w:pPr>
              <w:widowControl/>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16</w:t>
            </w:r>
          </w:p>
        </w:tc>
        <w:tc>
          <w:tcPr>
            <w:tcW w:w="1134" w:type="dxa"/>
            <w:vMerge w:val="continue"/>
            <w:vAlign w:val="center"/>
          </w:tcPr>
          <w:p w14:paraId="4113F9E6">
            <w:pPr>
              <w:widowControl/>
              <w:jc w:val="center"/>
              <w:textAlignment w:val="center"/>
              <w:rPr>
                <w:rFonts w:asciiTheme="minorEastAsia" w:hAnsiTheme="minorEastAsia" w:eastAsiaTheme="minorEastAsia"/>
                <w:color w:val="000000"/>
                <w:sz w:val="24"/>
              </w:rPr>
            </w:pPr>
          </w:p>
        </w:tc>
        <w:tc>
          <w:tcPr>
            <w:tcW w:w="850" w:type="dxa"/>
            <w:shd w:val="clear" w:color="auto" w:fill="auto"/>
            <w:vAlign w:val="center"/>
          </w:tcPr>
          <w:p w14:paraId="226CE8C8">
            <w:pPr>
              <w:widowControl/>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否</w:t>
            </w:r>
          </w:p>
        </w:tc>
        <w:tc>
          <w:tcPr>
            <w:tcW w:w="1418" w:type="dxa"/>
            <w:shd w:val="clear" w:color="auto" w:fill="auto"/>
            <w:vAlign w:val="center"/>
          </w:tcPr>
          <w:p w14:paraId="26625359">
            <w:pPr>
              <w:widowControl/>
              <w:jc w:val="center"/>
              <w:textAlignment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否</w:t>
            </w:r>
          </w:p>
        </w:tc>
      </w:tr>
      <w:tr w14:paraId="1909D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2" w:type="dxa"/>
            <w:vMerge w:val="continue"/>
            <w:vAlign w:val="center"/>
          </w:tcPr>
          <w:p w14:paraId="51DD5B18">
            <w:pPr>
              <w:pStyle w:val="6"/>
              <w:rPr>
                <w:rFonts w:asciiTheme="minorEastAsia" w:hAnsiTheme="minorEastAsia" w:eastAsiaTheme="minorEastAsia"/>
              </w:rPr>
            </w:pPr>
          </w:p>
        </w:tc>
        <w:tc>
          <w:tcPr>
            <w:tcW w:w="1180" w:type="dxa"/>
            <w:vMerge w:val="continue"/>
            <w:vAlign w:val="center"/>
          </w:tcPr>
          <w:p w14:paraId="411D76E6">
            <w:pPr>
              <w:widowControl/>
              <w:jc w:val="center"/>
              <w:textAlignment w:val="center"/>
              <w:rPr>
                <w:rFonts w:cs="宋体" w:asciiTheme="minorEastAsia" w:hAnsiTheme="minorEastAsia" w:eastAsiaTheme="minorEastAsia"/>
                <w:bCs/>
                <w:sz w:val="24"/>
              </w:rPr>
            </w:pPr>
          </w:p>
        </w:tc>
        <w:tc>
          <w:tcPr>
            <w:tcW w:w="1507" w:type="dxa"/>
            <w:vAlign w:val="center"/>
          </w:tcPr>
          <w:p w14:paraId="6ABBA3A0">
            <w:pPr>
              <w:widowControl/>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漏洞扫描</w:t>
            </w:r>
          </w:p>
        </w:tc>
        <w:tc>
          <w:tcPr>
            <w:tcW w:w="795" w:type="dxa"/>
            <w:vAlign w:val="center"/>
          </w:tcPr>
          <w:p w14:paraId="567E6CF9">
            <w:pPr>
              <w:widowControl/>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1台</w:t>
            </w:r>
          </w:p>
        </w:tc>
        <w:tc>
          <w:tcPr>
            <w:tcW w:w="1134" w:type="dxa"/>
            <w:vAlign w:val="center"/>
          </w:tcPr>
          <w:p w14:paraId="57721DAB">
            <w:pPr>
              <w:widowControl/>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15.8</w:t>
            </w:r>
          </w:p>
        </w:tc>
        <w:tc>
          <w:tcPr>
            <w:tcW w:w="1134" w:type="dxa"/>
            <w:vMerge w:val="continue"/>
            <w:vAlign w:val="center"/>
          </w:tcPr>
          <w:p w14:paraId="7B37ED68">
            <w:pPr>
              <w:widowControl/>
              <w:jc w:val="center"/>
              <w:textAlignment w:val="center"/>
              <w:rPr>
                <w:rFonts w:asciiTheme="minorEastAsia" w:hAnsiTheme="minorEastAsia" w:eastAsiaTheme="minorEastAsia"/>
                <w:color w:val="000000"/>
                <w:sz w:val="24"/>
              </w:rPr>
            </w:pPr>
          </w:p>
        </w:tc>
        <w:tc>
          <w:tcPr>
            <w:tcW w:w="850" w:type="dxa"/>
            <w:shd w:val="clear" w:color="auto" w:fill="auto"/>
            <w:vAlign w:val="center"/>
          </w:tcPr>
          <w:p w14:paraId="46BE5BC8">
            <w:pPr>
              <w:widowControl/>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否</w:t>
            </w:r>
          </w:p>
        </w:tc>
        <w:tc>
          <w:tcPr>
            <w:tcW w:w="1418" w:type="dxa"/>
            <w:shd w:val="clear" w:color="auto" w:fill="auto"/>
            <w:vAlign w:val="center"/>
          </w:tcPr>
          <w:p w14:paraId="64F7CD52">
            <w:pPr>
              <w:widowControl/>
              <w:jc w:val="center"/>
              <w:textAlignment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否</w:t>
            </w:r>
          </w:p>
        </w:tc>
      </w:tr>
      <w:tr w14:paraId="0E7D5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2" w:type="dxa"/>
            <w:vMerge w:val="continue"/>
            <w:vAlign w:val="center"/>
          </w:tcPr>
          <w:p w14:paraId="64398677">
            <w:pPr>
              <w:pStyle w:val="6"/>
              <w:rPr>
                <w:rFonts w:asciiTheme="minorEastAsia" w:hAnsiTheme="minorEastAsia" w:eastAsiaTheme="minorEastAsia"/>
              </w:rPr>
            </w:pPr>
          </w:p>
        </w:tc>
        <w:tc>
          <w:tcPr>
            <w:tcW w:w="1180" w:type="dxa"/>
            <w:vMerge w:val="continue"/>
            <w:vAlign w:val="center"/>
          </w:tcPr>
          <w:p w14:paraId="5AFCD651">
            <w:pPr>
              <w:widowControl/>
              <w:jc w:val="center"/>
              <w:textAlignment w:val="center"/>
              <w:rPr>
                <w:rFonts w:cs="宋体" w:asciiTheme="minorEastAsia" w:hAnsiTheme="minorEastAsia" w:eastAsiaTheme="minorEastAsia"/>
                <w:bCs/>
                <w:sz w:val="24"/>
              </w:rPr>
            </w:pPr>
          </w:p>
        </w:tc>
        <w:tc>
          <w:tcPr>
            <w:tcW w:w="1507" w:type="dxa"/>
            <w:vAlign w:val="center"/>
          </w:tcPr>
          <w:p w14:paraId="00BBD1A5">
            <w:pPr>
              <w:widowControl/>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准入系统</w:t>
            </w:r>
          </w:p>
        </w:tc>
        <w:tc>
          <w:tcPr>
            <w:tcW w:w="795" w:type="dxa"/>
            <w:vAlign w:val="center"/>
          </w:tcPr>
          <w:p w14:paraId="137E0CEB">
            <w:pPr>
              <w:widowControl/>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1台</w:t>
            </w:r>
          </w:p>
        </w:tc>
        <w:tc>
          <w:tcPr>
            <w:tcW w:w="1134" w:type="dxa"/>
            <w:vAlign w:val="center"/>
          </w:tcPr>
          <w:p w14:paraId="3A90BDBF">
            <w:pPr>
              <w:widowControl/>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16</w:t>
            </w:r>
          </w:p>
        </w:tc>
        <w:tc>
          <w:tcPr>
            <w:tcW w:w="1134" w:type="dxa"/>
            <w:vMerge w:val="continue"/>
            <w:vAlign w:val="center"/>
          </w:tcPr>
          <w:p w14:paraId="1BA42735">
            <w:pPr>
              <w:widowControl/>
              <w:jc w:val="center"/>
              <w:textAlignment w:val="center"/>
              <w:rPr>
                <w:rFonts w:asciiTheme="minorEastAsia" w:hAnsiTheme="minorEastAsia" w:eastAsiaTheme="minorEastAsia"/>
                <w:color w:val="000000"/>
                <w:sz w:val="24"/>
              </w:rPr>
            </w:pPr>
          </w:p>
        </w:tc>
        <w:tc>
          <w:tcPr>
            <w:tcW w:w="850" w:type="dxa"/>
            <w:shd w:val="clear" w:color="auto" w:fill="auto"/>
            <w:vAlign w:val="center"/>
          </w:tcPr>
          <w:p w14:paraId="041F9A89">
            <w:pPr>
              <w:widowControl/>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否</w:t>
            </w:r>
          </w:p>
        </w:tc>
        <w:tc>
          <w:tcPr>
            <w:tcW w:w="1418" w:type="dxa"/>
            <w:shd w:val="clear" w:color="auto" w:fill="auto"/>
            <w:vAlign w:val="center"/>
          </w:tcPr>
          <w:p w14:paraId="589AA676">
            <w:pPr>
              <w:widowControl/>
              <w:jc w:val="center"/>
              <w:textAlignment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否</w:t>
            </w:r>
          </w:p>
        </w:tc>
      </w:tr>
      <w:tr w14:paraId="6E96B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2" w:type="dxa"/>
            <w:vMerge w:val="continue"/>
            <w:vAlign w:val="center"/>
          </w:tcPr>
          <w:p w14:paraId="4A4A56FB">
            <w:pPr>
              <w:pStyle w:val="6"/>
              <w:rPr>
                <w:rFonts w:asciiTheme="minorEastAsia" w:hAnsiTheme="minorEastAsia" w:eastAsiaTheme="minorEastAsia"/>
              </w:rPr>
            </w:pPr>
          </w:p>
        </w:tc>
        <w:tc>
          <w:tcPr>
            <w:tcW w:w="1180" w:type="dxa"/>
            <w:vMerge w:val="continue"/>
            <w:vAlign w:val="center"/>
          </w:tcPr>
          <w:p w14:paraId="06728279">
            <w:pPr>
              <w:widowControl/>
              <w:jc w:val="center"/>
              <w:textAlignment w:val="center"/>
              <w:rPr>
                <w:rFonts w:cs="宋体" w:asciiTheme="minorEastAsia" w:hAnsiTheme="minorEastAsia" w:eastAsiaTheme="minorEastAsia"/>
                <w:bCs/>
                <w:sz w:val="24"/>
              </w:rPr>
            </w:pPr>
          </w:p>
        </w:tc>
        <w:tc>
          <w:tcPr>
            <w:tcW w:w="1507" w:type="dxa"/>
            <w:vAlign w:val="center"/>
          </w:tcPr>
          <w:p w14:paraId="6685641D">
            <w:pPr>
              <w:widowControl/>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多源威胁检测响应系统</w:t>
            </w:r>
          </w:p>
        </w:tc>
        <w:tc>
          <w:tcPr>
            <w:tcW w:w="795" w:type="dxa"/>
            <w:vAlign w:val="center"/>
          </w:tcPr>
          <w:p w14:paraId="0823BD8D">
            <w:pPr>
              <w:widowControl/>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1台</w:t>
            </w:r>
          </w:p>
        </w:tc>
        <w:tc>
          <w:tcPr>
            <w:tcW w:w="1134" w:type="dxa"/>
            <w:vAlign w:val="center"/>
          </w:tcPr>
          <w:p w14:paraId="6F92FE6C">
            <w:pPr>
              <w:widowControl/>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90</w:t>
            </w:r>
          </w:p>
        </w:tc>
        <w:tc>
          <w:tcPr>
            <w:tcW w:w="1134" w:type="dxa"/>
            <w:vMerge w:val="continue"/>
            <w:vAlign w:val="center"/>
          </w:tcPr>
          <w:p w14:paraId="65A9DECF">
            <w:pPr>
              <w:widowControl/>
              <w:jc w:val="center"/>
              <w:textAlignment w:val="center"/>
              <w:rPr>
                <w:rFonts w:asciiTheme="minorEastAsia" w:hAnsiTheme="minorEastAsia" w:eastAsiaTheme="minorEastAsia"/>
                <w:color w:val="000000"/>
                <w:sz w:val="24"/>
              </w:rPr>
            </w:pPr>
          </w:p>
        </w:tc>
        <w:tc>
          <w:tcPr>
            <w:tcW w:w="850" w:type="dxa"/>
            <w:shd w:val="clear" w:color="auto" w:fill="auto"/>
            <w:vAlign w:val="center"/>
          </w:tcPr>
          <w:p w14:paraId="46C3E5C1">
            <w:pPr>
              <w:widowControl/>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否</w:t>
            </w:r>
          </w:p>
        </w:tc>
        <w:tc>
          <w:tcPr>
            <w:tcW w:w="1418" w:type="dxa"/>
            <w:shd w:val="clear" w:color="auto" w:fill="auto"/>
            <w:vAlign w:val="center"/>
          </w:tcPr>
          <w:p w14:paraId="73C394B4">
            <w:pPr>
              <w:widowControl/>
              <w:jc w:val="center"/>
              <w:textAlignment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是</w:t>
            </w:r>
          </w:p>
        </w:tc>
      </w:tr>
      <w:tr w14:paraId="41A89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2" w:type="dxa"/>
            <w:vMerge w:val="continue"/>
            <w:vAlign w:val="center"/>
          </w:tcPr>
          <w:p w14:paraId="33121EE3">
            <w:pPr>
              <w:pStyle w:val="6"/>
              <w:rPr>
                <w:rFonts w:asciiTheme="minorEastAsia" w:hAnsiTheme="minorEastAsia" w:eastAsiaTheme="minorEastAsia"/>
              </w:rPr>
            </w:pPr>
          </w:p>
        </w:tc>
        <w:tc>
          <w:tcPr>
            <w:tcW w:w="1180" w:type="dxa"/>
            <w:vMerge w:val="continue"/>
            <w:vAlign w:val="center"/>
          </w:tcPr>
          <w:p w14:paraId="48C39A7B">
            <w:pPr>
              <w:widowControl/>
              <w:jc w:val="center"/>
              <w:textAlignment w:val="center"/>
              <w:rPr>
                <w:rFonts w:cs="宋体" w:asciiTheme="minorEastAsia" w:hAnsiTheme="minorEastAsia" w:eastAsiaTheme="minorEastAsia"/>
                <w:bCs/>
                <w:sz w:val="24"/>
              </w:rPr>
            </w:pPr>
          </w:p>
        </w:tc>
        <w:tc>
          <w:tcPr>
            <w:tcW w:w="1507" w:type="dxa"/>
            <w:vAlign w:val="center"/>
          </w:tcPr>
          <w:p w14:paraId="06B006B2">
            <w:pPr>
              <w:widowControl/>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业务交换机</w:t>
            </w:r>
          </w:p>
        </w:tc>
        <w:tc>
          <w:tcPr>
            <w:tcW w:w="795" w:type="dxa"/>
            <w:vAlign w:val="center"/>
          </w:tcPr>
          <w:p w14:paraId="16480D24">
            <w:pPr>
              <w:widowControl/>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2台</w:t>
            </w:r>
          </w:p>
        </w:tc>
        <w:tc>
          <w:tcPr>
            <w:tcW w:w="1134" w:type="dxa"/>
            <w:vAlign w:val="center"/>
          </w:tcPr>
          <w:p w14:paraId="04CC755B">
            <w:pPr>
              <w:widowControl/>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2</w:t>
            </w:r>
          </w:p>
        </w:tc>
        <w:tc>
          <w:tcPr>
            <w:tcW w:w="1134" w:type="dxa"/>
            <w:vMerge w:val="continue"/>
            <w:vAlign w:val="center"/>
          </w:tcPr>
          <w:p w14:paraId="48E045EC">
            <w:pPr>
              <w:widowControl/>
              <w:jc w:val="center"/>
              <w:textAlignment w:val="center"/>
              <w:rPr>
                <w:rFonts w:asciiTheme="minorEastAsia" w:hAnsiTheme="minorEastAsia" w:eastAsiaTheme="minorEastAsia"/>
                <w:color w:val="000000"/>
                <w:sz w:val="24"/>
              </w:rPr>
            </w:pPr>
          </w:p>
        </w:tc>
        <w:tc>
          <w:tcPr>
            <w:tcW w:w="850" w:type="dxa"/>
            <w:shd w:val="clear" w:color="auto" w:fill="auto"/>
            <w:vAlign w:val="center"/>
          </w:tcPr>
          <w:p w14:paraId="290BCC3B">
            <w:pPr>
              <w:widowControl/>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否</w:t>
            </w:r>
          </w:p>
        </w:tc>
        <w:tc>
          <w:tcPr>
            <w:tcW w:w="1418" w:type="dxa"/>
            <w:shd w:val="clear" w:color="auto" w:fill="auto"/>
            <w:vAlign w:val="center"/>
          </w:tcPr>
          <w:p w14:paraId="0B450561">
            <w:pPr>
              <w:widowControl/>
              <w:jc w:val="center"/>
              <w:textAlignment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否</w:t>
            </w:r>
          </w:p>
        </w:tc>
      </w:tr>
      <w:tr w14:paraId="01E3C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2" w:type="dxa"/>
            <w:vMerge w:val="continue"/>
            <w:vAlign w:val="center"/>
          </w:tcPr>
          <w:p w14:paraId="6AB17F18">
            <w:pPr>
              <w:widowControl/>
              <w:jc w:val="center"/>
              <w:textAlignment w:val="center"/>
              <w:rPr>
                <w:rFonts w:cs="宋体" w:asciiTheme="minorEastAsia" w:hAnsiTheme="minorEastAsia" w:eastAsiaTheme="minorEastAsia"/>
                <w:bCs/>
                <w:sz w:val="24"/>
              </w:rPr>
            </w:pPr>
          </w:p>
        </w:tc>
        <w:tc>
          <w:tcPr>
            <w:tcW w:w="1180" w:type="dxa"/>
            <w:vMerge w:val="continue"/>
            <w:vAlign w:val="center"/>
          </w:tcPr>
          <w:p w14:paraId="7AF28377">
            <w:pPr>
              <w:widowControl/>
              <w:jc w:val="center"/>
              <w:textAlignment w:val="center"/>
              <w:rPr>
                <w:rFonts w:cs="宋体" w:asciiTheme="minorEastAsia" w:hAnsiTheme="minorEastAsia" w:eastAsiaTheme="minorEastAsia"/>
                <w:bCs/>
                <w:sz w:val="24"/>
              </w:rPr>
            </w:pPr>
          </w:p>
        </w:tc>
        <w:tc>
          <w:tcPr>
            <w:tcW w:w="1507" w:type="dxa"/>
            <w:vAlign w:val="center"/>
          </w:tcPr>
          <w:p w14:paraId="0D743462">
            <w:pPr>
              <w:widowControl/>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汇聚交换机</w:t>
            </w:r>
          </w:p>
        </w:tc>
        <w:tc>
          <w:tcPr>
            <w:tcW w:w="795" w:type="dxa"/>
            <w:vAlign w:val="center"/>
          </w:tcPr>
          <w:p w14:paraId="581EE896">
            <w:pPr>
              <w:widowControl/>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2台</w:t>
            </w:r>
          </w:p>
        </w:tc>
        <w:tc>
          <w:tcPr>
            <w:tcW w:w="1134" w:type="dxa"/>
            <w:vAlign w:val="center"/>
          </w:tcPr>
          <w:p w14:paraId="2FC033A8">
            <w:pPr>
              <w:widowControl/>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15</w:t>
            </w:r>
          </w:p>
        </w:tc>
        <w:tc>
          <w:tcPr>
            <w:tcW w:w="1134" w:type="dxa"/>
            <w:vMerge w:val="continue"/>
            <w:vAlign w:val="center"/>
          </w:tcPr>
          <w:p w14:paraId="0ADF8651">
            <w:pPr>
              <w:widowControl/>
              <w:jc w:val="center"/>
              <w:textAlignment w:val="center"/>
              <w:rPr>
                <w:rFonts w:asciiTheme="minorEastAsia" w:hAnsiTheme="minorEastAsia" w:eastAsiaTheme="minorEastAsia"/>
                <w:color w:val="000000"/>
                <w:sz w:val="24"/>
              </w:rPr>
            </w:pPr>
          </w:p>
        </w:tc>
        <w:tc>
          <w:tcPr>
            <w:tcW w:w="850" w:type="dxa"/>
            <w:shd w:val="clear" w:color="auto" w:fill="auto"/>
            <w:vAlign w:val="center"/>
          </w:tcPr>
          <w:p w14:paraId="5931C202">
            <w:pPr>
              <w:widowControl/>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否</w:t>
            </w:r>
          </w:p>
        </w:tc>
        <w:tc>
          <w:tcPr>
            <w:tcW w:w="1418" w:type="dxa"/>
            <w:shd w:val="clear" w:color="auto" w:fill="auto"/>
            <w:vAlign w:val="center"/>
          </w:tcPr>
          <w:p w14:paraId="04814ECA">
            <w:pPr>
              <w:widowControl/>
              <w:jc w:val="center"/>
              <w:textAlignment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否</w:t>
            </w:r>
          </w:p>
        </w:tc>
      </w:tr>
      <w:tr w14:paraId="4406A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2" w:type="dxa"/>
            <w:vMerge w:val="continue"/>
            <w:vAlign w:val="center"/>
          </w:tcPr>
          <w:p w14:paraId="02B927F6">
            <w:pPr>
              <w:widowControl/>
              <w:jc w:val="center"/>
              <w:textAlignment w:val="center"/>
              <w:rPr>
                <w:rFonts w:cs="宋体" w:asciiTheme="minorEastAsia" w:hAnsiTheme="minorEastAsia" w:eastAsiaTheme="minorEastAsia"/>
                <w:bCs/>
                <w:sz w:val="24"/>
              </w:rPr>
            </w:pPr>
          </w:p>
        </w:tc>
        <w:tc>
          <w:tcPr>
            <w:tcW w:w="1180" w:type="dxa"/>
            <w:vMerge w:val="continue"/>
            <w:vAlign w:val="center"/>
          </w:tcPr>
          <w:p w14:paraId="7380FDDD">
            <w:pPr>
              <w:widowControl/>
              <w:jc w:val="center"/>
              <w:textAlignment w:val="center"/>
              <w:rPr>
                <w:rFonts w:cs="宋体" w:asciiTheme="minorEastAsia" w:hAnsiTheme="minorEastAsia" w:eastAsiaTheme="minorEastAsia"/>
                <w:bCs/>
                <w:sz w:val="24"/>
              </w:rPr>
            </w:pPr>
          </w:p>
        </w:tc>
        <w:tc>
          <w:tcPr>
            <w:tcW w:w="1507" w:type="dxa"/>
            <w:vAlign w:val="center"/>
          </w:tcPr>
          <w:p w14:paraId="678328F8">
            <w:pPr>
              <w:widowControl/>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备份一体机</w:t>
            </w:r>
          </w:p>
        </w:tc>
        <w:tc>
          <w:tcPr>
            <w:tcW w:w="795" w:type="dxa"/>
            <w:vAlign w:val="center"/>
          </w:tcPr>
          <w:p w14:paraId="437A3009">
            <w:pPr>
              <w:widowControl/>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1台</w:t>
            </w:r>
          </w:p>
        </w:tc>
        <w:tc>
          <w:tcPr>
            <w:tcW w:w="1134" w:type="dxa"/>
            <w:vAlign w:val="center"/>
          </w:tcPr>
          <w:p w14:paraId="3E5E707A">
            <w:pPr>
              <w:widowControl/>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40</w:t>
            </w:r>
          </w:p>
        </w:tc>
        <w:tc>
          <w:tcPr>
            <w:tcW w:w="1134" w:type="dxa"/>
            <w:vMerge w:val="continue"/>
            <w:vAlign w:val="center"/>
          </w:tcPr>
          <w:p w14:paraId="07F44146">
            <w:pPr>
              <w:widowControl/>
              <w:jc w:val="center"/>
              <w:textAlignment w:val="center"/>
              <w:rPr>
                <w:rFonts w:asciiTheme="minorEastAsia" w:hAnsiTheme="minorEastAsia" w:eastAsiaTheme="minorEastAsia"/>
                <w:color w:val="000000"/>
                <w:sz w:val="24"/>
              </w:rPr>
            </w:pPr>
          </w:p>
        </w:tc>
        <w:tc>
          <w:tcPr>
            <w:tcW w:w="850" w:type="dxa"/>
            <w:shd w:val="clear" w:color="auto" w:fill="auto"/>
            <w:vAlign w:val="center"/>
          </w:tcPr>
          <w:p w14:paraId="4BDF58D9">
            <w:pPr>
              <w:widowControl/>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否</w:t>
            </w:r>
          </w:p>
        </w:tc>
        <w:tc>
          <w:tcPr>
            <w:tcW w:w="1418" w:type="dxa"/>
            <w:shd w:val="clear" w:color="auto" w:fill="auto"/>
            <w:vAlign w:val="center"/>
          </w:tcPr>
          <w:p w14:paraId="726F85D8">
            <w:pPr>
              <w:widowControl/>
              <w:jc w:val="center"/>
              <w:textAlignment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是</w:t>
            </w:r>
          </w:p>
        </w:tc>
      </w:tr>
      <w:tr w14:paraId="59E86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2" w:type="dxa"/>
            <w:vMerge w:val="restart"/>
            <w:vAlign w:val="center"/>
          </w:tcPr>
          <w:p w14:paraId="400A3F9A">
            <w:pPr>
              <w:widowControl/>
              <w:jc w:val="center"/>
              <w:textAlignment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03</w:t>
            </w:r>
          </w:p>
        </w:tc>
        <w:tc>
          <w:tcPr>
            <w:tcW w:w="1180" w:type="dxa"/>
            <w:vMerge w:val="restart"/>
            <w:vAlign w:val="center"/>
          </w:tcPr>
          <w:p w14:paraId="36C9FC97">
            <w:pPr>
              <w:widowControl/>
              <w:jc w:val="center"/>
              <w:textAlignment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计算应用服务一体化设备</w:t>
            </w:r>
          </w:p>
        </w:tc>
        <w:tc>
          <w:tcPr>
            <w:tcW w:w="1507" w:type="dxa"/>
            <w:vAlign w:val="center"/>
          </w:tcPr>
          <w:p w14:paraId="10B8E953">
            <w:pPr>
              <w:widowControl/>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超融合一体化集群</w:t>
            </w:r>
          </w:p>
        </w:tc>
        <w:tc>
          <w:tcPr>
            <w:tcW w:w="795" w:type="dxa"/>
            <w:vAlign w:val="center"/>
          </w:tcPr>
          <w:p w14:paraId="71DD83D4">
            <w:pPr>
              <w:widowControl/>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1台</w:t>
            </w:r>
          </w:p>
        </w:tc>
        <w:tc>
          <w:tcPr>
            <w:tcW w:w="1134" w:type="dxa"/>
            <w:vAlign w:val="center"/>
          </w:tcPr>
          <w:p w14:paraId="2654AC91">
            <w:pPr>
              <w:widowControl/>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148</w:t>
            </w:r>
          </w:p>
        </w:tc>
        <w:tc>
          <w:tcPr>
            <w:tcW w:w="1134" w:type="dxa"/>
            <w:vMerge w:val="restart"/>
            <w:vAlign w:val="center"/>
          </w:tcPr>
          <w:p w14:paraId="5C2513DA">
            <w:pPr>
              <w:widowControl/>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625</w:t>
            </w:r>
          </w:p>
        </w:tc>
        <w:tc>
          <w:tcPr>
            <w:tcW w:w="850" w:type="dxa"/>
            <w:vAlign w:val="center"/>
          </w:tcPr>
          <w:p w14:paraId="63FF627E">
            <w:pPr>
              <w:widowControl/>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否</w:t>
            </w:r>
          </w:p>
        </w:tc>
        <w:tc>
          <w:tcPr>
            <w:tcW w:w="1418" w:type="dxa"/>
            <w:vAlign w:val="center"/>
          </w:tcPr>
          <w:p w14:paraId="601F3A5E">
            <w:pPr>
              <w:widowControl/>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bCs/>
                <w:sz w:val="24"/>
              </w:rPr>
              <w:t>否</w:t>
            </w:r>
          </w:p>
        </w:tc>
      </w:tr>
      <w:tr w14:paraId="2DCD8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2" w:type="dxa"/>
            <w:vMerge w:val="continue"/>
            <w:vAlign w:val="center"/>
          </w:tcPr>
          <w:p w14:paraId="5F153A99">
            <w:pPr>
              <w:widowControl/>
              <w:jc w:val="center"/>
              <w:textAlignment w:val="center"/>
              <w:rPr>
                <w:rFonts w:cs="宋体" w:asciiTheme="minorEastAsia" w:hAnsiTheme="minorEastAsia" w:eastAsiaTheme="minorEastAsia"/>
                <w:bCs/>
                <w:sz w:val="24"/>
              </w:rPr>
            </w:pPr>
          </w:p>
        </w:tc>
        <w:tc>
          <w:tcPr>
            <w:tcW w:w="1180" w:type="dxa"/>
            <w:vMerge w:val="continue"/>
            <w:vAlign w:val="center"/>
          </w:tcPr>
          <w:p w14:paraId="0C6F4DE3">
            <w:pPr>
              <w:widowControl/>
              <w:jc w:val="center"/>
              <w:textAlignment w:val="center"/>
              <w:rPr>
                <w:rFonts w:cs="宋体" w:asciiTheme="minorEastAsia" w:hAnsiTheme="minorEastAsia" w:eastAsiaTheme="minorEastAsia"/>
                <w:bCs/>
                <w:sz w:val="24"/>
              </w:rPr>
            </w:pPr>
          </w:p>
        </w:tc>
        <w:tc>
          <w:tcPr>
            <w:tcW w:w="1507" w:type="dxa"/>
            <w:vAlign w:val="center"/>
          </w:tcPr>
          <w:p w14:paraId="0140A025">
            <w:pPr>
              <w:widowControl/>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超融合用万兆交换机</w:t>
            </w:r>
          </w:p>
        </w:tc>
        <w:tc>
          <w:tcPr>
            <w:tcW w:w="795" w:type="dxa"/>
            <w:vAlign w:val="center"/>
          </w:tcPr>
          <w:p w14:paraId="6EC9DAB0">
            <w:pPr>
              <w:widowControl/>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2台</w:t>
            </w:r>
          </w:p>
        </w:tc>
        <w:tc>
          <w:tcPr>
            <w:tcW w:w="1134" w:type="dxa"/>
            <w:vAlign w:val="center"/>
          </w:tcPr>
          <w:p w14:paraId="608F602C">
            <w:pPr>
              <w:widowControl/>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3</w:t>
            </w:r>
          </w:p>
        </w:tc>
        <w:tc>
          <w:tcPr>
            <w:tcW w:w="1134" w:type="dxa"/>
            <w:vMerge w:val="continue"/>
            <w:vAlign w:val="center"/>
          </w:tcPr>
          <w:p w14:paraId="51D857D1">
            <w:pPr>
              <w:widowControl/>
              <w:jc w:val="center"/>
              <w:textAlignment w:val="center"/>
              <w:rPr>
                <w:rFonts w:asciiTheme="minorEastAsia" w:hAnsiTheme="minorEastAsia" w:eastAsiaTheme="minorEastAsia"/>
                <w:color w:val="000000"/>
                <w:sz w:val="24"/>
              </w:rPr>
            </w:pPr>
          </w:p>
        </w:tc>
        <w:tc>
          <w:tcPr>
            <w:tcW w:w="850" w:type="dxa"/>
            <w:vAlign w:val="center"/>
          </w:tcPr>
          <w:p w14:paraId="0B65B4CF">
            <w:pPr>
              <w:widowControl/>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否</w:t>
            </w:r>
          </w:p>
        </w:tc>
        <w:tc>
          <w:tcPr>
            <w:tcW w:w="1418" w:type="dxa"/>
            <w:vAlign w:val="center"/>
          </w:tcPr>
          <w:p w14:paraId="73827BAE">
            <w:pPr>
              <w:widowControl/>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bCs/>
                <w:sz w:val="24"/>
              </w:rPr>
              <w:t>否</w:t>
            </w:r>
          </w:p>
        </w:tc>
      </w:tr>
      <w:tr w14:paraId="2DC65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2" w:type="dxa"/>
            <w:vMerge w:val="continue"/>
            <w:vAlign w:val="center"/>
          </w:tcPr>
          <w:p w14:paraId="7F64C39C">
            <w:pPr>
              <w:widowControl/>
              <w:jc w:val="center"/>
              <w:textAlignment w:val="center"/>
              <w:rPr>
                <w:rFonts w:cs="宋体" w:asciiTheme="minorEastAsia" w:hAnsiTheme="minorEastAsia" w:eastAsiaTheme="minorEastAsia"/>
                <w:bCs/>
                <w:sz w:val="24"/>
              </w:rPr>
            </w:pPr>
          </w:p>
        </w:tc>
        <w:tc>
          <w:tcPr>
            <w:tcW w:w="1180" w:type="dxa"/>
            <w:vMerge w:val="continue"/>
            <w:vAlign w:val="center"/>
          </w:tcPr>
          <w:p w14:paraId="5ED90437">
            <w:pPr>
              <w:widowControl/>
              <w:jc w:val="center"/>
              <w:textAlignment w:val="center"/>
              <w:rPr>
                <w:rFonts w:cs="宋体" w:asciiTheme="minorEastAsia" w:hAnsiTheme="minorEastAsia" w:eastAsiaTheme="minorEastAsia"/>
                <w:bCs/>
                <w:sz w:val="24"/>
              </w:rPr>
            </w:pPr>
          </w:p>
        </w:tc>
        <w:tc>
          <w:tcPr>
            <w:tcW w:w="1507" w:type="dxa"/>
            <w:vAlign w:val="center"/>
          </w:tcPr>
          <w:p w14:paraId="6CF4063C">
            <w:pPr>
              <w:widowControl/>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中心训练节点</w:t>
            </w:r>
          </w:p>
        </w:tc>
        <w:tc>
          <w:tcPr>
            <w:tcW w:w="795" w:type="dxa"/>
            <w:vAlign w:val="center"/>
          </w:tcPr>
          <w:p w14:paraId="3EE93E03">
            <w:pPr>
              <w:widowControl/>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3台</w:t>
            </w:r>
          </w:p>
        </w:tc>
        <w:tc>
          <w:tcPr>
            <w:tcW w:w="1134" w:type="dxa"/>
            <w:vAlign w:val="center"/>
          </w:tcPr>
          <w:p w14:paraId="207F09B7">
            <w:pPr>
              <w:widowControl/>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157</w:t>
            </w:r>
          </w:p>
        </w:tc>
        <w:tc>
          <w:tcPr>
            <w:tcW w:w="1134" w:type="dxa"/>
            <w:vMerge w:val="continue"/>
            <w:vAlign w:val="center"/>
          </w:tcPr>
          <w:p w14:paraId="6C2075FB">
            <w:pPr>
              <w:widowControl/>
              <w:jc w:val="center"/>
              <w:textAlignment w:val="center"/>
              <w:rPr>
                <w:rFonts w:asciiTheme="minorEastAsia" w:hAnsiTheme="minorEastAsia" w:eastAsiaTheme="minorEastAsia"/>
                <w:color w:val="000000"/>
                <w:sz w:val="24"/>
              </w:rPr>
            </w:pPr>
          </w:p>
        </w:tc>
        <w:tc>
          <w:tcPr>
            <w:tcW w:w="850" w:type="dxa"/>
            <w:vAlign w:val="center"/>
          </w:tcPr>
          <w:p w14:paraId="3B7EF064">
            <w:pPr>
              <w:widowControl/>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否</w:t>
            </w:r>
          </w:p>
        </w:tc>
        <w:tc>
          <w:tcPr>
            <w:tcW w:w="1418" w:type="dxa"/>
            <w:vAlign w:val="center"/>
          </w:tcPr>
          <w:p w14:paraId="7C8B0E2B">
            <w:pPr>
              <w:widowControl/>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是</w:t>
            </w:r>
          </w:p>
        </w:tc>
      </w:tr>
    </w:tbl>
    <w:p w14:paraId="086E9AE8">
      <w:pPr>
        <w:wordWrap w:val="0"/>
        <w:topLinePunct/>
        <w:adjustRightInd w:val="0"/>
        <w:spacing w:line="360" w:lineRule="auto"/>
        <w:ind w:firstLine="480" w:firstLineChars="200"/>
        <w:jc w:val="left"/>
        <w:textAlignment w:val="baseline"/>
        <w:rPr>
          <w:rFonts w:ascii="宋体" w:hAnsi="宋体" w:cs="宋体"/>
          <w:sz w:val="24"/>
        </w:rPr>
      </w:pPr>
    </w:p>
    <w:p w14:paraId="7F1471BC">
      <w:pPr>
        <w:pStyle w:val="8"/>
        <w:spacing w:line="360" w:lineRule="auto"/>
        <w:rPr>
          <w:rFonts w:ascii="宋体" w:hAnsi="宋体" w:cs="宋体"/>
          <w:b/>
          <w:sz w:val="24"/>
        </w:rPr>
      </w:pPr>
      <w:r>
        <w:rPr>
          <w:rFonts w:hint="eastAsia" w:ascii="宋体" w:hAnsi="宋体" w:cs="宋体"/>
          <w:bCs/>
          <w:sz w:val="24"/>
        </w:rPr>
        <w:t>二、</w:t>
      </w:r>
      <w:r>
        <w:rPr>
          <w:rFonts w:hint="eastAsia" w:ascii="宋体" w:hAnsi="宋体" w:cs="宋体"/>
          <w:b/>
          <w:sz w:val="24"/>
        </w:rPr>
        <w:t>商务要求</w:t>
      </w:r>
    </w:p>
    <w:p w14:paraId="22CDD52F">
      <w:pPr>
        <w:spacing w:line="360" w:lineRule="auto"/>
        <w:ind w:firstLine="482" w:firstLineChars="200"/>
        <w:contextualSpacing/>
        <w:jc w:val="left"/>
        <w:rPr>
          <w:rFonts w:ascii="宋体" w:hAnsi="宋体" w:cs="宋体"/>
          <w:b/>
          <w:sz w:val="24"/>
        </w:rPr>
      </w:pPr>
      <w:r>
        <w:rPr>
          <w:rFonts w:hint="eastAsia" w:ascii="宋体" w:hAnsi="宋体" w:cs="宋体"/>
          <w:b/>
          <w:sz w:val="24"/>
        </w:rPr>
        <w:t>（一）交货时间和地点：</w:t>
      </w:r>
    </w:p>
    <w:p w14:paraId="18209318">
      <w:pPr>
        <w:pStyle w:val="5"/>
        <w:spacing w:line="360" w:lineRule="auto"/>
        <w:ind w:firstLine="480" w:firstLineChars="200"/>
        <w:rPr>
          <w:rFonts w:hAnsi="宋体" w:cs="宋体"/>
        </w:rPr>
      </w:pPr>
      <w:r>
        <w:rPr>
          <w:rFonts w:hint="eastAsia" w:hAnsi="宋体" w:cs="宋体"/>
          <w:bCs/>
        </w:rPr>
        <w:t>1.交货时间：合同签订后15日内完成交货</w:t>
      </w:r>
      <w:r>
        <w:rPr>
          <w:rFonts w:hint="eastAsia" w:hAnsi="宋体" w:cs="宋体"/>
        </w:rPr>
        <w:t>。</w:t>
      </w:r>
    </w:p>
    <w:p w14:paraId="64094519">
      <w:pPr>
        <w:pStyle w:val="5"/>
        <w:spacing w:line="360" w:lineRule="auto"/>
        <w:ind w:firstLine="480" w:firstLineChars="200"/>
        <w:rPr>
          <w:rFonts w:hAnsi="宋体" w:cs="宋体"/>
          <w:bCs/>
        </w:rPr>
      </w:pPr>
      <w:r>
        <w:rPr>
          <w:rFonts w:hint="eastAsia" w:hAnsi="宋体" w:cs="宋体"/>
          <w:bCs/>
        </w:rPr>
        <w:t>2.交货地点：采购人指定地点</w:t>
      </w:r>
    </w:p>
    <w:p w14:paraId="3B490926">
      <w:pPr>
        <w:spacing w:line="360" w:lineRule="auto"/>
        <w:ind w:firstLine="482" w:firstLineChars="200"/>
        <w:contextualSpacing/>
        <w:jc w:val="left"/>
        <w:rPr>
          <w:rFonts w:ascii="宋体" w:hAnsi="宋体" w:cs="宋体"/>
          <w:sz w:val="24"/>
        </w:rPr>
      </w:pPr>
      <w:r>
        <w:rPr>
          <w:rFonts w:hint="eastAsia" w:ascii="宋体" w:hAnsi="宋体" w:cs="宋体"/>
          <w:b/>
          <w:sz w:val="24"/>
        </w:rPr>
        <w:t>（二）付款条件（进度和方式）：</w:t>
      </w:r>
      <w:r>
        <w:rPr>
          <w:rFonts w:hint="eastAsia" w:ascii="宋体" w:hAnsi="宋体" w:cs="宋体"/>
          <w:bCs/>
          <w:sz w:val="24"/>
        </w:rPr>
        <w:t>见第六章拟签订的合同文本</w:t>
      </w:r>
    </w:p>
    <w:p w14:paraId="776312BD">
      <w:pPr>
        <w:pStyle w:val="7"/>
        <w:spacing w:line="360" w:lineRule="auto"/>
        <w:ind w:left="0" w:leftChars="0" w:firstLine="482" w:firstLineChars="200"/>
        <w:jc w:val="left"/>
        <w:rPr>
          <w:rFonts w:ascii="宋体" w:hAnsi="宋体" w:cs="宋体"/>
          <w:sz w:val="24"/>
        </w:rPr>
      </w:pPr>
      <w:r>
        <w:rPr>
          <w:rFonts w:hint="eastAsia" w:ascii="宋体" w:hAnsi="宋体" w:cs="宋体"/>
          <w:b/>
          <w:bCs/>
          <w:sz w:val="24"/>
        </w:rPr>
        <w:t>（三）包装和运输</w:t>
      </w:r>
      <w:r>
        <w:rPr>
          <w:rFonts w:hint="eastAsia" w:ascii="宋体" w:hAnsi="宋体" w:cs="宋体"/>
          <w:sz w:val="24"/>
        </w:rPr>
        <w:t>（如适用，须满足《关于印发〈商品包装政府采购需求标准（试行）〉、〈快递包装政府采购需求标准（试行）〉的通知》（财办库﹝2020﹞123号））</w:t>
      </w:r>
    </w:p>
    <w:p w14:paraId="17502C01">
      <w:pPr>
        <w:pStyle w:val="7"/>
        <w:spacing w:line="360" w:lineRule="auto"/>
        <w:ind w:left="0" w:leftChars="0" w:firstLine="482" w:firstLineChars="200"/>
        <w:jc w:val="left"/>
        <w:rPr>
          <w:rFonts w:ascii="宋体" w:hAnsi="宋体" w:cs="宋体"/>
          <w:b/>
          <w:bCs/>
          <w:sz w:val="24"/>
        </w:rPr>
      </w:pPr>
      <w:r>
        <w:rPr>
          <w:rFonts w:hint="eastAsia" w:ascii="宋体" w:hAnsi="宋体" w:cs="宋体"/>
          <w:b/>
          <w:bCs/>
          <w:sz w:val="24"/>
        </w:rPr>
        <w:t xml:space="preserve">（四）采购标的需满足的服务标准、期限、效率等要求 </w:t>
      </w:r>
    </w:p>
    <w:p w14:paraId="66421D2A">
      <w:pPr>
        <w:widowControl/>
        <w:spacing w:line="360" w:lineRule="auto"/>
        <w:ind w:firstLine="480" w:firstLineChars="200"/>
        <w:contextualSpacing/>
        <w:jc w:val="left"/>
        <w:rPr>
          <w:rFonts w:ascii="宋体" w:hAnsi="宋体"/>
          <w:sz w:val="24"/>
        </w:rPr>
      </w:pPr>
      <w:r>
        <w:rPr>
          <w:rFonts w:hint="eastAsia" w:ascii="宋体" w:hAnsi="宋体" w:cs="宋体"/>
          <w:sz w:val="24"/>
        </w:rPr>
        <w:t>1.</w:t>
      </w:r>
      <w:r>
        <w:rPr>
          <w:rFonts w:hint="eastAsia" w:ascii="宋体" w:hAnsi="宋体"/>
          <w:sz w:val="24"/>
        </w:rPr>
        <w:t>采购标的的其他技术、服务等要求：</w:t>
      </w:r>
    </w:p>
    <w:p w14:paraId="48A6BD7A">
      <w:pPr>
        <w:spacing w:line="360" w:lineRule="auto"/>
        <w:ind w:firstLine="480" w:firstLineChars="200"/>
        <w:jc w:val="left"/>
        <w:rPr>
          <w:rFonts w:ascii="宋体" w:hAnsi="宋体"/>
          <w:sz w:val="24"/>
        </w:rPr>
      </w:pPr>
      <w:r>
        <w:rPr>
          <w:rFonts w:hint="eastAsia" w:ascii="宋体" w:hAnsi="宋体"/>
          <w:sz w:val="24"/>
        </w:rPr>
        <w:t>1.1标注“</w:t>
      </w:r>
      <w:r>
        <w:rPr>
          <w:rFonts w:hint="eastAsia" w:ascii="宋体" w:hAnsi="宋体" w:cs="宋体"/>
          <w:bCs/>
          <w:kern w:val="0"/>
          <w:sz w:val="24"/>
        </w:rPr>
        <w:t>▲</w:t>
      </w:r>
      <w:r>
        <w:rPr>
          <w:rFonts w:hint="eastAsia" w:ascii="宋体" w:hAnsi="宋体"/>
          <w:sz w:val="24"/>
        </w:rPr>
        <w:t>”的指标为重要的技术指标，不满足将导致其在第四章评标标准中对采购需求的响应情况被扣除相应分值。</w:t>
      </w:r>
    </w:p>
    <w:p w14:paraId="2225C8B0">
      <w:pPr>
        <w:spacing w:line="360" w:lineRule="auto"/>
        <w:ind w:firstLine="480" w:firstLineChars="200"/>
        <w:jc w:val="left"/>
        <w:rPr>
          <w:rFonts w:ascii="宋体" w:hAnsi="宋体"/>
          <w:sz w:val="24"/>
        </w:rPr>
      </w:pPr>
      <w:r>
        <w:rPr>
          <w:rFonts w:hint="eastAsia" w:ascii="宋体" w:hAnsi="宋体"/>
          <w:sz w:val="24"/>
        </w:rPr>
        <w:t>1.2对于技术规格中标注“</w:t>
      </w:r>
      <w:r>
        <w:rPr>
          <w:rFonts w:hint="eastAsia" w:ascii="宋体" w:hAnsi="宋体" w:cs="宋体"/>
          <w:bCs/>
          <w:kern w:val="0"/>
          <w:sz w:val="24"/>
        </w:rPr>
        <w:t>▲</w:t>
      </w:r>
      <w:r>
        <w:rPr>
          <w:rFonts w:hint="eastAsia" w:ascii="宋体" w:hAnsi="宋体"/>
          <w:sz w:val="24"/>
        </w:rPr>
        <w:t xml:space="preserve">”的技术指标，投标人须在投标文件中按照招标文件技术规格的要求提供证明材料。如投标人技术响应与证明材料不一致，将以证明材料为准。对于投标人提供的投标文件技术应答未按本条款要求提供证明材料的，评标委员会可不予承认，并可认为该技术应答不符合招标文件要求。由此产生的风险由投标人承担。 </w:t>
      </w:r>
    </w:p>
    <w:p w14:paraId="1BC1A2E7">
      <w:pPr>
        <w:spacing w:line="360" w:lineRule="auto"/>
        <w:ind w:firstLine="482" w:firstLineChars="200"/>
        <w:rPr>
          <w:rFonts w:ascii="宋体" w:hAnsi="宋体" w:cs="宋体"/>
          <w:b/>
          <w:bCs/>
          <w:sz w:val="24"/>
        </w:rPr>
      </w:pPr>
      <w:r>
        <w:rPr>
          <w:rFonts w:hint="eastAsia" w:ascii="宋体" w:hAnsi="宋体" w:cs="宋体"/>
          <w:b/>
          <w:bCs/>
          <w:sz w:val="24"/>
        </w:rPr>
        <w:t>（五）采购标的的验收标准</w:t>
      </w:r>
    </w:p>
    <w:p w14:paraId="03557E3E">
      <w:pPr>
        <w:spacing w:line="360" w:lineRule="auto"/>
        <w:ind w:firstLine="480" w:firstLineChars="200"/>
        <w:rPr>
          <w:rFonts w:ascii="宋体" w:hAnsi="宋体" w:cs="宋体"/>
          <w:sz w:val="24"/>
        </w:rPr>
      </w:pPr>
      <w:r>
        <w:rPr>
          <w:rFonts w:ascii="宋体" w:hAnsi="宋体" w:cs="宋体"/>
          <w:sz w:val="24"/>
        </w:rPr>
        <w:t>5</w:t>
      </w:r>
      <w:r>
        <w:rPr>
          <w:rFonts w:hint="eastAsia" w:ascii="宋体" w:hAnsi="宋体" w:cs="宋体"/>
          <w:sz w:val="24"/>
        </w:rPr>
        <w:t>.1设备应符合国家标准、行业标准及本合同约定要求，并能满足采购人的特别要求。</w:t>
      </w:r>
    </w:p>
    <w:p w14:paraId="01D8C92C">
      <w:pPr>
        <w:spacing w:line="360" w:lineRule="auto"/>
        <w:ind w:firstLine="480" w:firstLineChars="200"/>
        <w:rPr>
          <w:rFonts w:ascii="宋体" w:hAnsi="宋体" w:cs="宋体"/>
          <w:sz w:val="24"/>
        </w:rPr>
      </w:pPr>
      <w:r>
        <w:rPr>
          <w:rFonts w:ascii="宋体" w:hAnsi="宋体" w:cs="宋体"/>
          <w:sz w:val="24"/>
        </w:rPr>
        <w:t>5</w:t>
      </w:r>
      <w:r>
        <w:rPr>
          <w:rFonts w:hint="eastAsia" w:ascii="宋体" w:hAnsi="宋体" w:cs="宋体"/>
          <w:sz w:val="24"/>
        </w:rPr>
        <w:t>.2验收时间：在设备抵达采购人指定地点后，采购人与中标人物流人员和中标人负责人现场共同验收，在中标人向采购人交付必需的医疗设备的有关文件、注册证明、技术资料和有关质量证明并经采购人验收合格后采购人与中标人双方验收人员及负责人应在验收单上签字认可。</w:t>
      </w:r>
    </w:p>
    <w:p w14:paraId="74AA5CBF">
      <w:pPr>
        <w:spacing w:line="360" w:lineRule="auto"/>
        <w:ind w:firstLine="480" w:firstLineChars="200"/>
        <w:rPr>
          <w:rFonts w:ascii="宋体" w:hAnsi="宋体" w:cs="宋体"/>
          <w:sz w:val="24"/>
        </w:rPr>
      </w:pPr>
      <w:r>
        <w:rPr>
          <w:rFonts w:ascii="宋体" w:hAnsi="宋体" w:cs="宋体"/>
          <w:sz w:val="24"/>
        </w:rPr>
        <w:t>5</w:t>
      </w:r>
      <w:r>
        <w:rPr>
          <w:rFonts w:hint="eastAsia" w:ascii="宋体" w:hAnsi="宋体" w:cs="宋体"/>
          <w:sz w:val="24"/>
        </w:rPr>
        <w:t>.3验收方式：设备自中标人交付，采购人、中标人双方负责人对设备实物外观进行开箱清点、检查验收，如果发现数量不足或在外观验收完成七个工作日内发现有质量、技术等问题，中标人应按照采购人的要求，采取补足、更换或退货等处理措施，并承担由此发生的一切损失和费用。</w:t>
      </w:r>
    </w:p>
    <w:p w14:paraId="46B4FB55">
      <w:pPr>
        <w:spacing w:line="360" w:lineRule="auto"/>
        <w:ind w:firstLine="480" w:firstLineChars="200"/>
        <w:rPr>
          <w:rFonts w:ascii="宋体" w:hAnsi="宋体" w:cs="宋体"/>
          <w:sz w:val="24"/>
        </w:rPr>
      </w:pPr>
      <w:r>
        <w:rPr>
          <w:rFonts w:ascii="宋体" w:hAnsi="宋体" w:cs="宋体"/>
          <w:sz w:val="24"/>
        </w:rPr>
        <w:t>5</w:t>
      </w:r>
      <w:r>
        <w:rPr>
          <w:rFonts w:hint="eastAsia" w:ascii="宋体" w:hAnsi="宋体" w:cs="宋体"/>
          <w:sz w:val="24"/>
        </w:rPr>
        <w:t>.4中标人负责交付现场的清理打扫及保存设备包装箱。</w:t>
      </w:r>
    </w:p>
    <w:p w14:paraId="03F8BEAE">
      <w:pPr>
        <w:spacing w:line="360" w:lineRule="auto"/>
        <w:ind w:firstLine="480" w:firstLineChars="200"/>
        <w:rPr>
          <w:rFonts w:ascii="宋体" w:hAnsi="宋体" w:cs="宋体"/>
          <w:sz w:val="24"/>
        </w:rPr>
      </w:pPr>
    </w:p>
    <w:p w14:paraId="13889AB6">
      <w:pPr>
        <w:spacing w:line="360" w:lineRule="auto"/>
        <w:ind w:firstLine="482" w:firstLineChars="200"/>
        <w:rPr>
          <w:rFonts w:ascii="宋体" w:hAnsi="宋体" w:cs="宋体"/>
          <w:b/>
          <w:bCs/>
          <w:sz w:val="24"/>
        </w:rPr>
      </w:pPr>
      <w:r>
        <w:rPr>
          <w:rFonts w:hint="eastAsia" w:ascii="宋体" w:hAnsi="宋体" w:cs="宋体"/>
          <w:b/>
          <w:bCs/>
          <w:sz w:val="24"/>
        </w:rPr>
        <w:t>三、技术要求</w:t>
      </w:r>
    </w:p>
    <w:p w14:paraId="0C372C00">
      <w:pPr>
        <w:spacing w:line="360" w:lineRule="auto"/>
        <w:ind w:firstLine="482" w:firstLineChars="200"/>
        <w:contextualSpacing/>
        <w:rPr>
          <w:rFonts w:ascii="宋体" w:hAnsi="宋体" w:cs="宋体"/>
          <w:b/>
          <w:bCs/>
          <w:sz w:val="24"/>
        </w:rPr>
      </w:pPr>
      <w:r>
        <w:rPr>
          <w:rFonts w:hint="eastAsia" w:ascii="宋体" w:hAnsi="宋体" w:cs="宋体"/>
          <w:b/>
          <w:bCs/>
          <w:sz w:val="24"/>
        </w:rPr>
        <w:t>（一）基本要求</w:t>
      </w:r>
    </w:p>
    <w:p w14:paraId="18DC9129">
      <w:pPr>
        <w:spacing w:line="360" w:lineRule="auto"/>
        <w:ind w:firstLine="482" w:firstLineChars="200"/>
        <w:contextualSpacing/>
        <w:rPr>
          <w:rFonts w:ascii="宋体" w:hAnsi="宋体" w:cs="宋体"/>
          <w:b/>
          <w:bCs/>
          <w:sz w:val="24"/>
        </w:rPr>
      </w:pPr>
      <w:r>
        <w:rPr>
          <w:rFonts w:hint="eastAsia" w:ascii="宋体" w:hAnsi="宋体" w:cs="宋体"/>
          <w:b/>
          <w:bCs/>
          <w:sz w:val="24"/>
        </w:rPr>
        <w:t>1.需满足国家相关标准、行业标准、地方标准或者其他标准、规范：</w:t>
      </w:r>
    </w:p>
    <w:p w14:paraId="11843CE3">
      <w:pPr>
        <w:spacing w:line="360" w:lineRule="auto"/>
        <w:ind w:firstLine="480" w:firstLineChars="200"/>
        <w:jc w:val="left"/>
        <w:rPr>
          <w:rFonts w:ascii="宋体" w:hAnsi="宋体" w:cs="宋体"/>
          <w:kern w:val="0"/>
          <w:sz w:val="24"/>
        </w:rPr>
      </w:pPr>
      <w:r>
        <w:rPr>
          <w:rFonts w:hint="eastAsia" w:ascii="宋体" w:hAnsi="宋体" w:cs="宋体"/>
          <w:kern w:val="0"/>
          <w:sz w:val="24"/>
        </w:rPr>
        <w:t>投标产品及制造商应符合国家有关部门规定的相应技术法规及标准，如国家有关部门对投标产品或其制造商有强制性规定或要求的，投标产品或其制造商必须符合相应规定或要求。</w:t>
      </w:r>
    </w:p>
    <w:p w14:paraId="3EB9BE93">
      <w:pPr>
        <w:spacing w:line="360" w:lineRule="auto"/>
        <w:ind w:firstLine="482" w:firstLineChars="200"/>
        <w:jc w:val="left"/>
        <w:rPr>
          <w:rFonts w:ascii="宋体" w:hAnsi="宋体" w:cs="宋体"/>
          <w:sz w:val="24"/>
        </w:rPr>
      </w:pPr>
      <w:r>
        <w:rPr>
          <w:rFonts w:hint="eastAsia" w:ascii="宋体" w:hAnsi="宋体" w:cs="宋体"/>
          <w:b/>
          <w:bCs/>
          <w:sz w:val="24"/>
        </w:rPr>
        <w:t>（二）具体要求</w:t>
      </w:r>
    </w:p>
    <w:p w14:paraId="14A0E760">
      <w:pPr>
        <w:pStyle w:val="3"/>
        <w:spacing w:line="360" w:lineRule="auto"/>
        <w:ind w:firstLine="482" w:firstLineChars="200"/>
        <w:jc w:val="both"/>
        <w:rPr>
          <w:rFonts w:ascii="宋体" w:hAnsi="宋体" w:eastAsia="宋体" w:cs="宋体"/>
          <w:sz w:val="24"/>
          <w:szCs w:val="24"/>
        </w:rPr>
      </w:pPr>
      <w:r>
        <w:rPr>
          <w:rFonts w:hint="eastAsia" w:ascii="宋体" w:hAnsi="宋体" w:eastAsia="宋体" w:cs="宋体"/>
          <w:sz w:val="24"/>
          <w:szCs w:val="24"/>
        </w:rPr>
        <w:t>01包：数据库专用一体化集群</w:t>
      </w:r>
    </w:p>
    <w:p w14:paraId="08EB8912">
      <w:pPr>
        <w:widowControl/>
        <w:spacing w:line="360" w:lineRule="auto"/>
        <w:ind w:firstLine="480" w:firstLineChars="200"/>
        <w:contextualSpacing/>
        <w:jc w:val="left"/>
        <w:rPr>
          <w:rFonts w:ascii="宋体" w:hAnsi="宋体"/>
          <w:sz w:val="24"/>
        </w:rPr>
      </w:pPr>
      <w:r>
        <w:rPr>
          <w:rFonts w:hint="eastAsia" w:ascii="宋体" w:hAnsi="宋体"/>
          <w:sz w:val="24"/>
        </w:rPr>
        <w:t>1.数据库专用一体化集群总体指标</w:t>
      </w:r>
    </w:p>
    <w:p w14:paraId="6EBBA4F4">
      <w:pPr>
        <w:widowControl/>
        <w:spacing w:line="360" w:lineRule="auto"/>
        <w:ind w:firstLine="480" w:firstLineChars="200"/>
        <w:contextualSpacing/>
        <w:jc w:val="left"/>
        <w:rPr>
          <w:rFonts w:ascii="宋体" w:hAnsi="宋体"/>
          <w:sz w:val="24"/>
        </w:rPr>
      </w:pPr>
      <w:r>
        <w:rPr>
          <w:rFonts w:hint="eastAsia" w:ascii="宋体" w:hAnsi="宋体"/>
          <w:sz w:val="24"/>
        </w:rPr>
        <w:t>1.1节点规格：64位x86架构机架式企业级硬件平台，非刀片堆叠或刀片式背板架构。</w:t>
      </w:r>
    </w:p>
    <w:p w14:paraId="083E9256">
      <w:pPr>
        <w:widowControl/>
        <w:spacing w:line="360" w:lineRule="auto"/>
        <w:ind w:firstLine="480" w:firstLineChars="200"/>
        <w:contextualSpacing/>
        <w:jc w:val="left"/>
        <w:rPr>
          <w:rFonts w:ascii="宋体" w:hAnsi="宋体"/>
          <w:sz w:val="24"/>
        </w:rPr>
      </w:pPr>
      <w:r>
        <w:rPr>
          <w:rFonts w:hint="eastAsia" w:ascii="宋体" w:hAnsi="宋体"/>
          <w:sz w:val="24"/>
        </w:rPr>
        <w:t>1.2数量：集群包含两台数据库计算节点、三台存储节点。</w:t>
      </w:r>
    </w:p>
    <w:p w14:paraId="7A7A6B17">
      <w:pPr>
        <w:widowControl/>
        <w:spacing w:line="360" w:lineRule="auto"/>
        <w:ind w:firstLine="480" w:firstLineChars="200"/>
        <w:contextualSpacing/>
        <w:jc w:val="left"/>
        <w:rPr>
          <w:rFonts w:ascii="宋体" w:hAnsi="宋体"/>
          <w:sz w:val="24"/>
        </w:rPr>
      </w:pPr>
      <w:r>
        <w:rPr>
          <w:rFonts w:hint="eastAsia" w:ascii="宋体" w:hAnsi="宋体"/>
          <w:sz w:val="24"/>
        </w:rPr>
        <w:t>1.3稳定性：完全兼容甲方当前生产系统的数据库软件，并支持软硬件深度优化、集成化的全冗余架构。</w:t>
      </w:r>
    </w:p>
    <w:p w14:paraId="362ACC4E">
      <w:pPr>
        <w:widowControl/>
        <w:spacing w:line="360" w:lineRule="auto"/>
        <w:ind w:firstLine="480" w:firstLineChars="200"/>
        <w:contextualSpacing/>
        <w:jc w:val="left"/>
        <w:rPr>
          <w:rFonts w:ascii="宋体" w:hAnsi="宋体"/>
          <w:sz w:val="24"/>
        </w:rPr>
      </w:pPr>
      <w:r>
        <w:rPr>
          <w:rFonts w:hint="eastAsia" w:ascii="宋体" w:hAnsi="宋体"/>
          <w:sz w:val="24"/>
        </w:rPr>
        <w:t>1.4处理器与内存</w:t>
      </w:r>
    </w:p>
    <w:p w14:paraId="43343D4A">
      <w:pPr>
        <w:widowControl/>
        <w:spacing w:line="360" w:lineRule="auto"/>
        <w:ind w:firstLine="480" w:firstLineChars="200"/>
        <w:contextualSpacing/>
        <w:jc w:val="left"/>
        <w:rPr>
          <w:rFonts w:ascii="宋体" w:hAnsi="宋体"/>
          <w:sz w:val="24"/>
        </w:rPr>
      </w:pPr>
      <w:r>
        <w:rPr>
          <w:rFonts w:hint="eastAsia" w:ascii="宋体" w:hAnsi="宋体"/>
          <w:sz w:val="24"/>
        </w:rPr>
        <w:t>1.4.1CPU：</w:t>
      </w:r>
      <w:r>
        <w:rPr>
          <w:rFonts w:ascii="宋体" w:hAnsi="宋体"/>
          <w:sz w:val="24"/>
        </w:rPr>
        <w:t>2台数据库计算节点</w:t>
      </w:r>
      <w:r>
        <w:rPr>
          <w:rFonts w:hint="eastAsia" w:ascii="宋体" w:hAnsi="宋体"/>
          <w:sz w:val="24"/>
        </w:rPr>
        <w:t>总配置≥128核、</w:t>
      </w:r>
      <w:r>
        <w:rPr>
          <w:rFonts w:ascii="宋体" w:hAnsi="宋体"/>
          <w:sz w:val="24"/>
        </w:rPr>
        <w:t>3台数据库存储节点</w:t>
      </w:r>
      <w:r>
        <w:rPr>
          <w:rFonts w:hint="eastAsia" w:ascii="宋体" w:hAnsi="宋体"/>
          <w:sz w:val="24"/>
        </w:rPr>
        <w:t>总配置≥96核</w:t>
      </w:r>
    </w:p>
    <w:p w14:paraId="7C89A8D3">
      <w:pPr>
        <w:widowControl/>
        <w:spacing w:line="360" w:lineRule="auto"/>
        <w:ind w:firstLine="480" w:firstLineChars="200"/>
        <w:contextualSpacing/>
        <w:jc w:val="left"/>
        <w:rPr>
          <w:rFonts w:ascii="宋体" w:hAnsi="宋体"/>
          <w:sz w:val="24"/>
        </w:rPr>
      </w:pPr>
      <w:r>
        <w:rPr>
          <w:rFonts w:hint="eastAsia" w:ascii="宋体" w:hAnsi="宋体"/>
          <w:sz w:val="24"/>
        </w:rPr>
        <w:t>1.4.2内存：2个数据库计算节点总容量≥2TB、3个数据库存储节点总容量≥768G</w:t>
      </w:r>
    </w:p>
    <w:p w14:paraId="6F42A446">
      <w:pPr>
        <w:widowControl/>
        <w:spacing w:line="360" w:lineRule="auto"/>
        <w:ind w:firstLine="480" w:firstLineChars="200"/>
        <w:contextualSpacing/>
        <w:jc w:val="left"/>
        <w:rPr>
          <w:rFonts w:ascii="宋体" w:hAnsi="宋体"/>
          <w:sz w:val="24"/>
        </w:rPr>
      </w:pPr>
      <w:r>
        <w:rPr>
          <w:rFonts w:hint="eastAsia" w:ascii="宋体" w:hAnsi="宋体"/>
          <w:sz w:val="24"/>
        </w:rPr>
        <w:t>2.数据库专用一体化集群计算节点指标</w:t>
      </w:r>
    </w:p>
    <w:p w14:paraId="19F02860">
      <w:pPr>
        <w:widowControl/>
        <w:spacing w:line="360" w:lineRule="auto"/>
        <w:ind w:firstLine="480" w:firstLineChars="200"/>
        <w:contextualSpacing/>
        <w:jc w:val="left"/>
        <w:rPr>
          <w:rFonts w:ascii="宋体" w:hAnsi="宋体"/>
          <w:sz w:val="24"/>
        </w:rPr>
      </w:pPr>
      <w:r>
        <w:rPr>
          <w:rFonts w:hint="eastAsia" w:ascii="宋体" w:hAnsi="宋体"/>
          <w:sz w:val="24"/>
        </w:rPr>
        <w:t>2.1单个计算节点处理器/内存/内置硬盘</w:t>
      </w:r>
    </w:p>
    <w:p w14:paraId="4E6E904A">
      <w:pPr>
        <w:widowControl/>
        <w:spacing w:line="360" w:lineRule="auto"/>
        <w:ind w:firstLine="480" w:firstLineChars="200"/>
        <w:contextualSpacing/>
        <w:jc w:val="left"/>
        <w:rPr>
          <w:rFonts w:ascii="宋体" w:hAnsi="宋体"/>
          <w:sz w:val="24"/>
        </w:rPr>
      </w:pPr>
      <w:r>
        <w:rPr>
          <w:rFonts w:hint="eastAsia" w:ascii="宋体" w:hAnsi="宋体"/>
          <w:sz w:val="24"/>
        </w:rPr>
        <w:t>2.1.1单路≥32核心</w:t>
      </w:r>
    </w:p>
    <w:p w14:paraId="2D1B6270">
      <w:pPr>
        <w:widowControl/>
        <w:spacing w:line="360" w:lineRule="auto"/>
        <w:ind w:firstLine="480" w:firstLineChars="200"/>
        <w:contextualSpacing/>
        <w:jc w:val="left"/>
        <w:rPr>
          <w:rFonts w:ascii="宋体" w:hAnsi="宋体"/>
          <w:sz w:val="24"/>
        </w:rPr>
      </w:pPr>
      <w:r>
        <w:rPr>
          <w:rFonts w:hint="eastAsia" w:ascii="宋体" w:hAnsi="宋体"/>
          <w:sz w:val="24"/>
        </w:rPr>
        <w:t>2.1.2总核心数≥64核心</w:t>
      </w:r>
    </w:p>
    <w:p w14:paraId="52866ADA">
      <w:pPr>
        <w:widowControl/>
        <w:spacing w:line="360" w:lineRule="auto"/>
        <w:ind w:firstLine="480" w:firstLineChars="200"/>
        <w:contextualSpacing/>
        <w:jc w:val="left"/>
        <w:rPr>
          <w:rFonts w:ascii="宋体" w:hAnsi="宋体"/>
          <w:sz w:val="24"/>
        </w:rPr>
      </w:pPr>
      <w:r>
        <w:rPr>
          <w:rFonts w:hint="eastAsia" w:ascii="宋体" w:hAnsi="宋体"/>
          <w:sz w:val="24"/>
        </w:rPr>
        <w:t>2.1.3主频≥2.60GHz</w:t>
      </w:r>
    </w:p>
    <w:p w14:paraId="4CFE3A6A">
      <w:pPr>
        <w:widowControl/>
        <w:spacing w:line="360" w:lineRule="auto"/>
        <w:ind w:firstLine="480" w:firstLineChars="200"/>
        <w:contextualSpacing/>
        <w:jc w:val="left"/>
        <w:rPr>
          <w:rFonts w:ascii="宋体" w:hAnsi="宋体"/>
          <w:sz w:val="24"/>
        </w:rPr>
      </w:pPr>
      <w:r>
        <w:rPr>
          <w:rFonts w:hint="eastAsia" w:ascii="宋体" w:hAnsi="宋体"/>
          <w:sz w:val="24"/>
        </w:rPr>
        <w:t>2.1.4内存：≥1TB</w:t>
      </w:r>
    </w:p>
    <w:p w14:paraId="16A8DA11">
      <w:pPr>
        <w:widowControl/>
        <w:spacing w:line="360" w:lineRule="auto"/>
        <w:ind w:firstLine="480" w:firstLineChars="200"/>
        <w:contextualSpacing/>
        <w:jc w:val="left"/>
        <w:rPr>
          <w:rFonts w:ascii="宋体" w:hAnsi="宋体"/>
          <w:sz w:val="24"/>
        </w:rPr>
      </w:pPr>
      <w:r>
        <w:rPr>
          <w:rFonts w:hint="eastAsia" w:ascii="宋体" w:hAnsi="宋体"/>
          <w:sz w:val="24"/>
        </w:rPr>
        <w:t>2.1.5系统硬盘：≥2个NVMe SSD，单盘容量≥3.84TB。</w:t>
      </w:r>
    </w:p>
    <w:p w14:paraId="0A12A5C8">
      <w:pPr>
        <w:widowControl/>
        <w:spacing w:line="360" w:lineRule="auto"/>
        <w:ind w:firstLine="480" w:firstLineChars="200"/>
        <w:contextualSpacing/>
        <w:jc w:val="left"/>
        <w:rPr>
          <w:rFonts w:ascii="宋体" w:hAnsi="宋体"/>
          <w:sz w:val="24"/>
        </w:rPr>
      </w:pPr>
      <w:r>
        <w:rPr>
          <w:rFonts w:hint="eastAsia" w:ascii="宋体" w:hAnsi="宋体"/>
          <w:sz w:val="24"/>
        </w:rPr>
        <w:t>2.2网络接口</w:t>
      </w:r>
    </w:p>
    <w:p w14:paraId="45FA814F">
      <w:pPr>
        <w:widowControl/>
        <w:spacing w:line="360" w:lineRule="auto"/>
        <w:ind w:firstLine="480" w:firstLineChars="200"/>
        <w:contextualSpacing/>
        <w:jc w:val="left"/>
        <w:rPr>
          <w:rFonts w:ascii="宋体" w:hAnsi="宋体"/>
          <w:sz w:val="24"/>
        </w:rPr>
      </w:pPr>
      <w:r>
        <w:rPr>
          <w:rFonts w:hint="eastAsia" w:ascii="宋体" w:hAnsi="宋体"/>
          <w:sz w:val="24"/>
        </w:rPr>
        <w:t>2.2.1每台数据库计算节点配置≥2块双端口</w:t>
      </w:r>
      <w:r>
        <w:rPr>
          <w:rFonts w:ascii="宋体" w:hAnsi="宋体"/>
          <w:sz w:val="24"/>
        </w:rPr>
        <w:t>10/25</w:t>
      </w:r>
      <w:r>
        <w:rPr>
          <w:rFonts w:hint="eastAsia" w:ascii="宋体" w:hAnsi="宋体"/>
          <w:sz w:val="24"/>
        </w:rPr>
        <w:t>Gb</w:t>
      </w:r>
      <w:r>
        <w:rPr>
          <w:rFonts w:ascii="宋体" w:hAnsi="宋体"/>
          <w:sz w:val="24"/>
        </w:rPr>
        <w:t xml:space="preserve"> SFP28</w:t>
      </w:r>
      <w:r>
        <w:rPr>
          <w:rFonts w:hint="eastAsia" w:ascii="宋体" w:hAnsi="宋体"/>
          <w:sz w:val="24"/>
        </w:rPr>
        <w:t>网卡，含4个25Gb光模块。</w:t>
      </w:r>
    </w:p>
    <w:p w14:paraId="45B2D816">
      <w:pPr>
        <w:widowControl/>
        <w:spacing w:line="360" w:lineRule="auto"/>
        <w:ind w:firstLine="480" w:firstLineChars="200"/>
        <w:contextualSpacing/>
        <w:jc w:val="left"/>
        <w:rPr>
          <w:rFonts w:ascii="宋体" w:hAnsi="宋体"/>
          <w:sz w:val="24"/>
        </w:rPr>
      </w:pPr>
      <w:r>
        <w:rPr>
          <w:rFonts w:hint="eastAsia" w:ascii="宋体" w:hAnsi="宋体"/>
          <w:sz w:val="24"/>
        </w:rPr>
        <w:t>2.2.2每台数据库计算节点配置≥2 个 100 Gb QSFP28 RoCE 网络端口。</w:t>
      </w:r>
    </w:p>
    <w:p w14:paraId="1B8ADB54">
      <w:pPr>
        <w:widowControl/>
        <w:spacing w:line="360" w:lineRule="auto"/>
        <w:ind w:firstLine="480" w:firstLineChars="200"/>
        <w:contextualSpacing/>
        <w:jc w:val="left"/>
        <w:rPr>
          <w:rFonts w:ascii="宋体" w:hAnsi="宋体"/>
          <w:sz w:val="24"/>
        </w:rPr>
      </w:pPr>
      <w:r>
        <w:rPr>
          <w:rFonts w:hint="eastAsia" w:ascii="宋体" w:hAnsi="宋体"/>
          <w:sz w:val="24"/>
        </w:rPr>
        <w:t>2.3 I/O</w:t>
      </w:r>
    </w:p>
    <w:p w14:paraId="13CBE36E">
      <w:pPr>
        <w:widowControl/>
        <w:spacing w:line="360" w:lineRule="auto"/>
        <w:ind w:firstLine="480" w:firstLineChars="200"/>
        <w:contextualSpacing/>
        <w:jc w:val="left"/>
        <w:rPr>
          <w:rFonts w:ascii="宋体" w:hAnsi="宋体"/>
          <w:sz w:val="24"/>
        </w:rPr>
      </w:pPr>
      <w:r>
        <w:rPr>
          <w:rFonts w:hint="eastAsia" w:ascii="宋体" w:hAnsi="宋体"/>
          <w:sz w:val="24"/>
        </w:rPr>
        <w:t>2.3.1数据库计算节点与存储交换机之间总的I/O通道≥400 Gb/秒。</w:t>
      </w:r>
    </w:p>
    <w:p w14:paraId="3A519882">
      <w:pPr>
        <w:widowControl/>
        <w:spacing w:line="360" w:lineRule="auto"/>
        <w:ind w:firstLine="480" w:firstLineChars="200"/>
        <w:contextualSpacing/>
        <w:jc w:val="left"/>
        <w:rPr>
          <w:rFonts w:ascii="宋体" w:hAnsi="宋体"/>
          <w:sz w:val="24"/>
        </w:rPr>
      </w:pPr>
      <w:r>
        <w:rPr>
          <w:rFonts w:hint="eastAsia" w:ascii="宋体" w:hAnsi="宋体"/>
          <w:sz w:val="24"/>
        </w:rPr>
        <w:t>2.3.2数据库计算节点之间网络带宽≥200 Gb/秒。</w:t>
      </w:r>
    </w:p>
    <w:p w14:paraId="7ED2D39D">
      <w:pPr>
        <w:widowControl/>
        <w:spacing w:line="360" w:lineRule="auto"/>
        <w:ind w:firstLine="480" w:firstLineChars="200"/>
        <w:contextualSpacing/>
        <w:jc w:val="left"/>
        <w:rPr>
          <w:rFonts w:ascii="宋体" w:hAnsi="宋体"/>
          <w:sz w:val="24"/>
        </w:rPr>
      </w:pPr>
      <w:r>
        <w:rPr>
          <w:rFonts w:hint="eastAsia" w:ascii="宋体" w:hAnsi="宋体"/>
          <w:sz w:val="24"/>
        </w:rPr>
        <w:t>2.4可靠性：数据库专用一体化集群应在不依赖第三方软件的基础上，支持高可靠体系架构，即使任意一个节点发生故障，数据库仍能够在存活的节点上不间断地对外提供数据库服务。同时支持电源，风扇，硬盘等硬件冗余。</w:t>
      </w:r>
    </w:p>
    <w:p w14:paraId="75225F9C">
      <w:pPr>
        <w:widowControl/>
        <w:spacing w:line="360" w:lineRule="auto"/>
        <w:ind w:firstLine="480" w:firstLineChars="200"/>
        <w:contextualSpacing/>
        <w:jc w:val="left"/>
        <w:rPr>
          <w:rFonts w:ascii="宋体" w:hAnsi="宋体"/>
          <w:sz w:val="24"/>
        </w:rPr>
      </w:pPr>
      <w:r>
        <w:rPr>
          <w:rFonts w:hint="eastAsia" w:ascii="宋体" w:hAnsi="宋体"/>
          <w:sz w:val="24"/>
        </w:rPr>
        <w:t>2.5可管理和维护性</w:t>
      </w:r>
    </w:p>
    <w:p w14:paraId="0246E516">
      <w:pPr>
        <w:widowControl/>
        <w:spacing w:line="360" w:lineRule="auto"/>
        <w:ind w:firstLine="480" w:firstLineChars="200"/>
        <w:contextualSpacing/>
        <w:jc w:val="left"/>
        <w:rPr>
          <w:rFonts w:ascii="宋体" w:hAnsi="宋体"/>
          <w:sz w:val="24"/>
        </w:rPr>
      </w:pPr>
      <w:r>
        <w:rPr>
          <w:rFonts w:hint="eastAsia" w:ascii="宋体" w:hAnsi="宋体"/>
          <w:sz w:val="24"/>
        </w:rPr>
        <w:t>2.5.1集成系统管理支持：包括主机重启、风扇监视和控制、电源监控、温度监控、启动/关闭、按序重启、错误日志等；</w:t>
      </w:r>
    </w:p>
    <w:p w14:paraId="3CD2C624">
      <w:pPr>
        <w:widowControl/>
        <w:spacing w:line="360" w:lineRule="auto"/>
        <w:ind w:firstLine="480" w:firstLineChars="200"/>
        <w:contextualSpacing/>
        <w:jc w:val="left"/>
        <w:rPr>
          <w:rFonts w:ascii="宋体" w:hAnsi="宋体"/>
          <w:sz w:val="24"/>
        </w:rPr>
      </w:pPr>
      <w:r>
        <w:rPr>
          <w:rFonts w:hint="eastAsia" w:ascii="宋体" w:hAnsi="宋体"/>
          <w:sz w:val="24"/>
        </w:rPr>
        <w:t>2.5.2对CPU、内存、硬盘驱动器、电源及风扇等关键部分的潜在的故障具有提前预警能力；</w:t>
      </w:r>
      <w:r>
        <w:rPr>
          <w:rFonts w:hint="eastAsia" w:ascii="宋体" w:hAnsi="宋体"/>
          <w:sz w:val="24"/>
        </w:rPr>
        <w:tab/>
      </w:r>
    </w:p>
    <w:p w14:paraId="742FFEA0">
      <w:pPr>
        <w:widowControl/>
        <w:spacing w:line="360" w:lineRule="auto"/>
        <w:ind w:firstLine="480" w:firstLineChars="200"/>
        <w:contextualSpacing/>
        <w:jc w:val="left"/>
        <w:rPr>
          <w:rFonts w:ascii="宋体" w:hAnsi="宋体"/>
          <w:sz w:val="24"/>
        </w:rPr>
      </w:pPr>
      <w:r>
        <w:rPr>
          <w:rFonts w:hint="eastAsia" w:ascii="宋体" w:hAnsi="宋体"/>
          <w:sz w:val="24"/>
        </w:rPr>
        <w:t>2.6操作系统：支持64位LINUX操作系统，支持裸机部署或者虚拟化部署方式。</w:t>
      </w:r>
    </w:p>
    <w:p w14:paraId="76FB2A1D">
      <w:pPr>
        <w:widowControl/>
        <w:spacing w:line="360" w:lineRule="auto"/>
        <w:ind w:firstLine="480" w:firstLineChars="200"/>
        <w:contextualSpacing/>
        <w:jc w:val="left"/>
        <w:rPr>
          <w:rFonts w:ascii="宋体" w:hAnsi="宋体"/>
          <w:b/>
          <w:bCs/>
          <w:sz w:val="24"/>
        </w:rPr>
      </w:pPr>
      <w:r>
        <w:rPr>
          <w:rFonts w:hint="eastAsia" w:ascii="宋体" w:hAnsi="宋体" w:cs="宋体"/>
          <w:bCs/>
          <w:kern w:val="0"/>
          <w:sz w:val="24"/>
        </w:rPr>
        <w:t>▲</w:t>
      </w:r>
      <w:r>
        <w:rPr>
          <w:rFonts w:hint="eastAsia" w:ascii="宋体" w:hAnsi="宋体"/>
          <w:sz w:val="24"/>
        </w:rPr>
        <w:t>2.7数据库要求：数据库专用一体化集群支持构建同城容灾环境。</w:t>
      </w:r>
      <w:r>
        <w:rPr>
          <w:rFonts w:hint="eastAsia" w:ascii="宋体" w:hAnsi="宋体"/>
          <w:b/>
          <w:bCs/>
          <w:sz w:val="24"/>
        </w:rPr>
        <w:t>（提供承诺书加盖投标人单位公章）</w:t>
      </w:r>
    </w:p>
    <w:p w14:paraId="6F9C5076">
      <w:pPr>
        <w:widowControl/>
        <w:spacing w:line="360" w:lineRule="auto"/>
        <w:ind w:firstLine="480" w:firstLineChars="200"/>
        <w:contextualSpacing/>
        <w:jc w:val="left"/>
        <w:rPr>
          <w:rFonts w:ascii="宋体" w:hAnsi="宋体"/>
          <w:sz w:val="24"/>
        </w:rPr>
      </w:pPr>
      <w:r>
        <w:rPr>
          <w:rFonts w:hint="eastAsia" w:ascii="宋体" w:hAnsi="宋体"/>
          <w:sz w:val="24"/>
        </w:rPr>
        <w:t>2.8安装和实施：提供数据库系统相关产品的原厂安装配置服务，包括硬件加电、操作系统安装、交换机配置、集群数据库安装等。</w:t>
      </w:r>
    </w:p>
    <w:p w14:paraId="28060A90">
      <w:pPr>
        <w:widowControl/>
        <w:spacing w:line="360" w:lineRule="auto"/>
        <w:ind w:firstLine="480" w:firstLineChars="200"/>
        <w:contextualSpacing/>
        <w:jc w:val="left"/>
        <w:rPr>
          <w:rFonts w:ascii="宋体" w:hAnsi="宋体"/>
          <w:sz w:val="24"/>
        </w:rPr>
      </w:pPr>
      <w:r>
        <w:rPr>
          <w:rFonts w:hint="eastAsia" w:ascii="宋体" w:hAnsi="宋体"/>
          <w:sz w:val="24"/>
        </w:rPr>
        <w:t>3.数据库专用一体化集群存储节点指标</w:t>
      </w:r>
    </w:p>
    <w:p w14:paraId="75781A2E">
      <w:pPr>
        <w:widowControl/>
        <w:spacing w:line="360" w:lineRule="auto"/>
        <w:ind w:firstLine="480" w:firstLineChars="200"/>
        <w:contextualSpacing/>
        <w:jc w:val="left"/>
        <w:rPr>
          <w:rFonts w:ascii="宋体" w:hAnsi="宋体"/>
          <w:sz w:val="24"/>
        </w:rPr>
      </w:pPr>
      <w:r>
        <w:rPr>
          <w:rFonts w:hint="eastAsia" w:ascii="宋体" w:hAnsi="宋体"/>
          <w:sz w:val="24"/>
        </w:rPr>
        <w:t>3.1存储容量</w:t>
      </w:r>
    </w:p>
    <w:p w14:paraId="09A9A8AC">
      <w:pPr>
        <w:widowControl/>
        <w:spacing w:line="360" w:lineRule="auto"/>
        <w:ind w:firstLine="480" w:firstLineChars="200"/>
        <w:contextualSpacing/>
        <w:jc w:val="left"/>
        <w:rPr>
          <w:rFonts w:ascii="宋体" w:hAnsi="宋体"/>
          <w:sz w:val="24"/>
        </w:rPr>
      </w:pPr>
      <w:r>
        <w:rPr>
          <w:rFonts w:hint="eastAsia" w:ascii="宋体" w:hAnsi="宋体"/>
          <w:sz w:val="24"/>
        </w:rPr>
        <w:t>3.1.1≥3个存储节点。</w:t>
      </w:r>
    </w:p>
    <w:p w14:paraId="7DE4B2AA">
      <w:pPr>
        <w:widowControl/>
        <w:spacing w:line="360" w:lineRule="auto"/>
        <w:ind w:firstLine="480" w:firstLineChars="200"/>
        <w:contextualSpacing/>
        <w:jc w:val="left"/>
        <w:rPr>
          <w:rFonts w:ascii="宋体" w:hAnsi="宋体"/>
          <w:sz w:val="24"/>
        </w:rPr>
      </w:pPr>
      <w:r>
        <w:rPr>
          <w:rFonts w:hint="eastAsia" w:ascii="宋体" w:hAnsi="宋体"/>
          <w:sz w:val="24"/>
        </w:rPr>
        <w:t>3.1.2硬盘实际配置≥648TB的裸容量。当前磁盘配置：支持SAS接口，支持两或三倍数据冗余保护或等效数据保护处理。</w:t>
      </w:r>
    </w:p>
    <w:p w14:paraId="1175E04F">
      <w:pPr>
        <w:widowControl/>
        <w:spacing w:line="360" w:lineRule="auto"/>
        <w:ind w:firstLine="480" w:firstLineChars="200"/>
        <w:contextualSpacing/>
        <w:jc w:val="left"/>
        <w:rPr>
          <w:rFonts w:ascii="宋体" w:hAnsi="宋体"/>
          <w:sz w:val="24"/>
        </w:rPr>
      </w:pPr>
      <w:r>
        <w:rPr>
          <w:rFonts w:hint="eastAsia" w:ascii="宋体" w:hAnsi="宋体"/>
          <w:sz w:val="24"/>
        </w:rPr>
        <w:t>3.2高速缓存或者闪存</w:t>
      </w:r>
    </w:p>
    <w:p w14:paraId="339717D0">
      <w:pPr>
        <w:widowControl/>
        <w:spacing w:line="360" w:lineRule="auto"/>
        <w:ind w:firstLine="480" w:firstLineChars="200"/>
        <w:contextualSpacing/>
        <w:jc w:val="left"/>
        <w:rPr>
          <w:rFonts w:ascii="宋体" w:hAnsi="宋体"/>
          <w:sz w:val="24"/>
        </w:rPr>
      </w:pPr>
      <w:r>
        <w:rPr>
          <w:rFonts w:hint="eastAsia" w:ascii="宋体" w:hAnsi="宋体" w:cs="宋体"/>
          <w:bCs/>
          <w:kern w:val="0"/>
          <w:sz w:val="24"/>
        </w:rPr>
        <w:t>3.2.1</w:t>
      </w:r>
      <w:r>
        <w:rPr>
          <w:rFonts w:hint="eastAsia" w:ascii="宋体" w:hAnsi="宋体"/>
          <w:sz w:val="24"/>
        </w:rPr>
        <w:t>处理能力配置：要求存储节点具有计算能力，硬件实际配置的处理器内核数量≥96核。</w:t>
      </w:r>
    </w:p>
    <w:p w14:paraId="06E243E7">
      <w:pPr>
        <w:widowControl/>
        <w:spacing w:line="360" w:lineRule="auto"/>
        <w:ind w:firstLine="480" w:firstLineChars="200"/>
        <w:contextualSpacing/>
        <w:jc w:val="left"/>
        <w:rPr>
          <w:rFonts w:ascii="宋体" w:hAnsi="宋体"/>
          <w:sz w:val="24"/>
        </w:rPr>
      </w:pPr>
      <w:r>
        <w:rPr>
          <w:rFonts w:hint="eastAsia" w:ascii="宋体" w:hAnsi="宋体" w:cs="宋体"/>
          <w:bCs/>
          <w:kern w:val="0"/>
          <w:sz w:val="24"/>
        </w:rPr>
        <w:t>3.2.2</w:t>
      </w:r>
      <w:r>
        <w:rPr>
          <w:rFonts w:hint="eastAsia" w:ascii="宋体" w:hAnsi="宋体"/>
          <w:sz w:val="24"/>
        </w:rPr>
        <w:t>全系统存储节点配置的内存≥768 GB；</w:t>
      </w:r>
    </w:p>
    <w:p w14:paraId="6DFD4504">
      <w:pPr>
        <w:widowControl/>
        <w:spacing w:line="360" w:lineRule="auto"/>
        <w:ind w:firstLine="480" w:firstLineChars="200"/>
        <w:contextualSpacing/>
        <w:jc w:val="left"/>
        <w:rPr>
          <w:rFonts w:ascii="宋体" w:hAnsi="宋体"/>
          <w:sz w:val="24"/>
        </w:rPr>
      </w:pPr>
      <w:r>
        <w:rPr>
          <w:rFonts w:hint="eastAsia" w:ascii="宋体" w:hAnsi="宋体" w:cs="宋体"/>
          <w:bCs/>
          <w:kern w:val="0"/>
          <w:sz w:val="24"/>
        </w:rPr>
        <w:t>3.2.3</w:t>
      </w:r>
      <w:r>
        <w:rPr>
          <w:rFonts w:hint="eastAsia" w:ascii="宋体" w:hAnsi="宋体"/>
          <w:sz w:val="24"/>
        </w:rPr>
        <w:t>支持非易失性内存、闪存与普通硬盘混插模式。</w:t>
      </w:r>
    </w:p>
    <w:p w14:paraId="7D8DD8F2">
      <w:pPr>
        <w:widowControl/>
        <w:spacing w:line="360" w:lineRule="auto"/>
        <w:ind w:firstLine="480" w:firstLineChars="200"/>
        <w:contextualSpacing/>
        <w:jc w:val="left"/>
        <w:rPr>
          <w:rFonts w:ascii="宋体" w:hAnsi="宋体"/>
          <w:sz w:val="24"/>
        </w:rPr>
      </w:pPr>
      <w:r>
        <w:rPr>
          <w:rFonts w:hint="eastAsia" w:ascii="宋体" w:hAnsi="宋体"/>
          <w:sz w:val="24"/>
        </w:rPr>
        <w:t>▲</w:t>
      </w:r>
      <w:r>
        <w:rPr>
          <w:rFonts w:hint="eastAsia" w:ascii="宋体" w:hAnsi="宋体" w:cs="宋体"/>
          <w:bCs/>
          <w:kern w:val="0"/>
          <w:sz w:val="24"/>
        </w:rPr>
        <w:t>3.2.4</w:t>
      </w:r>
      <w:r>
        <w:rPr>
          <w:rFonts w:hint="eastAsia" w:ascii="宋体" w:hAnsi="宋体"/>
          <w:sz w:val="24"/>
        </w:rPr>
        <w:t>全系统存储节点内置非易失性内存容量≥4.5TB，内置NVMe闪存卡作为磁盘的加速器，要求全系统存储节点配置闪存容量≥76.8 TB。</w:t>
      </w:r>
      <w:r>
        <w:rPr>
          <w:rFonts w:hint="eastAsia" w:ascii="宋体" w:hAnsi="宋体"/>
          <w:b/>
          <w:bCs/>
          <w:sz w:val="24"/>
        </w:rPr>
        <w:t>（需提供产品技术白皮书或产品说明书</w:t>
      </w:r>
      <w:r>
        <w:rPr>
          <w:rFonts w:hint="eastAsia" w:ascii="宋体" w:hAnsi="宋体"/>
          <w:b/>
          <w:bCs/>
          <w:sz w:val="24"/>
          <w:lang w:eastAsia="zh-CN"/>
        </w:rPr>
        <w:t>，</w:t>
      </w:r>
      <w:r>
        <w:rPr>
          <w:rFonts w:hint="eastAsia" w:ascii="宋体" w:hAnsi="宋体"/>
          <w:b/>
          <w:bCs/>
          <w:sz w:val="24"/>
        </w:rPr>
        <w:t>并加盖投标人单位公章）</w:t>
      </w:r>
    </w:p>
    <w:p w14:paraId="6976742F">
      <w:pPr>
        <w:widowControl/>
        <w:spacing w:line="360" w:lineRule="auto"/>
        <w:ind w:firstLine="480" w:firstLineChars="200"/>
        <w:contextualSpacing/>
        <w:jc w:val="left"/>
        <w:rPr>
          <w:rFonts w:ascii="宋体" w:hAnsi="宋体"/>
          <w:sz w:val="24"/>
        </w:rPr>
      </w:pPr>
      <w:r>
        <w:rPr>
          <w:rFonts w:hint="eastAsia" w:ascii="宋体" w:hAnsi="宋体"/>
          <w:sz w:val="24"/>
        </w:rPr>
        <w:t>3.3性能</w:t>
      </w:r>
    </w:p>
    <w:p w14:paraId="55DA189B">
      <w:pPr>
        <w:widowControl/>
        <w:spacing w:line="360" w:lineRule="auto"/>
        <w:ind w:firstLine="480" w:firstLineChars="200"/>
        <w:contextualSpacing/>
        <w:jc w:val="left"/>
        <w:rPr>
          <w:rFonts w:ascii="宋体" w:hAnsi="宋体"/>
          <w:sz w:val="24"/>
        </w:rPr>
      </w:pPr>
      <w:r>
        <w:rPr>
          <w:rFonts w:hint="eastAsia" w:ascii="宋体" w:hAnsi="宋体"/>
          <w:sz w:val="24"/>
        </w:rPr>
        <w:t>3.3.1数据库专用一体化集群的最大SQL磁盘带宽≥5.4GB/秒；</w:t>
      </w:r>
    </w:p>
    <w:p w14:paraId="35974C27">
      <w:pPr>
        <w:widowControl/>
        <w:spacing w:line="360" w:lineRule="auto"/>
        <w:ind w:firstLine="480" w:firstLineChars="200"/>
        <w:contextualSpacing/>
        <w:jc w:val="left"/>
        <w:rPr>
          <w:rFonts w:ascii="宋体" w:hAnsi="宋体"/>
          <w:sz w:val="24"/>
        </w:rPr>
      </w:pPr>
      <w:r>
        <w:rPr>
          <w:rFonts w:hint="eastAsia" w:ascii="宋体" w:hAnsi="宋体"/>
          <w:sz w:val="24"/>
        </w:rPr>
        <w:t>▲3.3.2数据库专用一体化集群的最大SQL闪存带宽≥135GB/秒；</w:t>
      </w:r>
      <w:r>
        <w:rPr>
          <w:rFonts w:hint="eastAsia" w:ascii="宋体" w:hAnsi="宋体"/>
          <w:b/>
          <w:bCs/>
          <w:sz w:val="24"/>
        </w:rPr>
        <w:t>（需提供产品技术白皮书或第三方检测报告，并加盖投标人单位公章）</w:t>
      </w:r>
    </w:p>
    <w:p w14:paraId="76127F74">
      <w:pPr>
        <w:widowControl/>
        <w:spacing w:line="360" w:lineRule="auto"/>
        <w:ind w:firstLine="480" w:firstLineChars="200"/>
        <w:contextualSpacing/>
        <w:jc w:val="left"/>
        <w:rPr>
          <w:rFonts w:ascii="宋体" w:hAnsi="宋体"/>
          <w:sz w:val="24"/>
        </w:rPr>
      </w:pPr>
      <w:r>
        <w:rPr>
          <w:rFonts w:hint="eastAsia" w:ascii="宋体" w:hAnsi="宋体"/>
          <w:sz w:val="24"/>
        </w:rPr>
        <w:t>▲3.3.3数据库专用一体化集群的非易失性内存IOPS（8K读）≥5600000；</w:t>
      </w:r>
      <w:r>
        <w:rPr>
          <w:rFonts w:hint="eastAsia" w:ascii="宋体" w:hAnsi="宋体"/>
          <w:b/>
          <w:bCs/>
          <w:sz w:val="24"/>
        </w:rPr>
        <w:t>（需提供产品技术白皮书或第三方检测报告，并加盖投标人单位公章）</w:t>
      </w:r>
    </w:p>
    <w:p w14:paraId="6AB28D21">
      <w:pPr>
        <w:widowControl/>
        <w:spacing w:line="360" w:lineRule="auto"/>
        <w:ind w:firstLine="480" w:firstLineChars="200"/>
        <w:contextualSpacing/>
        <w:jc w:val="left"/>
        <w:rPr>
          <w:rFonts w:ascii="宋体" w:hAnsi="宋体"/>
          <w:sz w:val="24"/>
        </w:rPr>
      </w:pPr>
      <w:r>
        <w:rPr>
          <w:rFonts w:hint="eastAsia" w:ascii="宋体" w:hAnsi="宋体"/>
          <w:sz w:val="24"/>
        </w:rPr>
        <w:t>3.3.4数据库专用一体化集群的闪存IOPS（8K写）≥1842000；</w:t>
      </w:r>
    </w:p>
    <w:p w14:paraId="03E034F6">
      <w:pPr>
        <w:widowControl/>
        <w:spacing w:line="360" w:lineRule="auto"/>
        <w:ind w:firstLine="480" w:firstLineChars="200"/>
        <w:contextualSpacing/>
        <w:jc w:val="left"/>
        <w:rPr>
          <w:rFonts w:ascii="宋体" w:hAnsi="宋体"/>
          <w:sz w:val="24"/>
        </w:rPr>
      </w:pPr>
      <w:r>
        <w:rPr>
          <w:rFonts w:hint="eastAsia" w:ascii="宋体" w:hAnsi="宋体"/>
          <w:sz w:val="24"/>
        </w:rPr>
        <w:t>3.4可管理性和可靠性</w:t>
      </w:r>
    </w:p>
    <w:p w14:paraId="726D6E7C">
      <w:pPr>
        <w:widowControl/>
        <w:spacing w:line="360" w:lineRule="auto"/>
        <w:ind w:firstLine="480" w:firstLineChars="200"/>
        <w:contextualSpacing/>
        <w:jc w:val="left"/>
        <w:rPr>
          <w:rFonts w:ascii="宋体" w:hAnsi="宋体"/>
          <w:sz w:val="24"/>
        </w:rPr>
      </w:pPr>
      <w:r>
        <w:rPr>
          <w:rFonts w:hint="eastAsia" w:ascii="宋体" w:hAnsi="宋体"/>
          <w:sz w:val="24"/>
        </w:rPr>
        <w:t>数据库专用一体化集群应支持：</w:t>
      </w:r>
    </w:p>
    <w:p w14:paraId="73366075">
      <w:pPr>
        <w:widowControl/>
        <w:spacing w:line="360" w:lineRule="auto"/>
        <w:ind w:firstLine="480" w:firstLineChars="200"/>
        <w:contextualSpacing/>
        <w:jc w:val="left"/>
        <w:rPr>
          <w:rFonts w:ascii="宋体" w:hAnsi="宋体"/>
          <w:sz w:val="24"/>
        </w:rPr>
      </w:pPr>
      <w:r>
        <w:rPr>
          <w:rFonts w:hint="eastAsia" w:ascii="宋体" w:hAnsi="宋体"/>
          <w:sz w:val="24"/>
        </w:rPr>
        <w:t>3.4.1可按需扩容；</w:t>
      </w:r>
    </w:p>
    <w:p w14:paraId="57C01BEF">
      <w:pPr>
        <w:widowControl/>
        <w:spacing w:line="360" w:lineRule="auto"/>
        <w:ind w:firstLine="480" w:firstLineChars="200"/>
        <w:contextualSpacing/>
        <w:jc w:val="left"/>
        <w:rPr>
          <w:rFonts w:ascii="宋体" w:hAnsi="宋体"/>
          <w:sz w:val="24"/>
        </w:rPr>
      </w:pPr>
      <w:r>
        <w:rPr>
          <w:rFonts w:hint="eastAsia" w:ascii="宋体" w:hAnsi="宋体"/>
          <w:sz w:val="24"/>
        </w:rPr>
        <w:t>3.4.2自动磁盘清理和修复；</w:t>
      </w:r>
    </w:p>
    <w:p w14:paraId="59DADE43">
      <w:pPr>
        <w:widowControl/>
        <w:spacing w:line="360" w:lineRule="auto"/>
        <w:ind w:firstLine="480" w:firstLineChars="200"/>
        <w:contextualSpacing/>
        <w:jc w:val="left"/>
        <w:rPr>
          <w:rFonts w:ascii="宋体" w:hAnsi="宋体"/>
          <w:sz w:val="24"/>
        </w:rPr>
      </w:pPr>
      <w:r>
        <w:rPr>
          <w:rFonts w:hint="eastAsia" w:ascii="宋体" w:hAnsi="宋体"/>
          <w:sz w:val="24"/>
        </w:rPr>
        <w:t>3.4.3自动负载信息库应包含存储统计信息，以支持端到端监视；</w:t>
      </w:r>
    </w:p>
    <w:p w14:paraId="6B60D580">
      <w:pPr>
        <w:widowControl/>
        <w:spacing w:line="360" w:lineRule="auto"/>
        <w:ind w:firstLine="480" w:firstLineChars="200"/>
        <w:contextualSpacing/>
        <w:jc w:val="left"/>
        <w:rPr>
          <w:rFonts w:ascii="宋体" w:hAnsi="宋体"/>
          <w:sz w:val="24"/>
        </w:rPr>
      </w:pPr>
      <w:r>
        <w:rPr>
          <w:rFonts w:hint="eastAsia" w:ascii="宋体" w:hAnsi="宋体"/>
          <w:sz w:val="24"/>
        </w:rPr>
        <w:t>3.4.4一个存储节点完全崩溃，数据不会丢失、数据库不会停止工作和重新启动，应用可以继续正常访问数据；</w:t>
      </w:r>
    </w:p>
    <w:p w14:paraId="61A23BA8">
      <w:pPr>
        <w:widowControl/>
        <w:spacing w:line="360" w:lineRule="auto"/>
        <w:ind w:firstLine="480" w:firstLineChars="200"/>
        <w:contextualSpacing/>
        <w:jc w:val="left"/>
        <w:rPr>
          <w:rFonts w:ascii="宋体" w:hAnsi="宋体"/>
          <w:sz w:val="24"/>
        </w:rPr>
      </w:pPr>
      <w:r>
        <w:rPr>
          <w:rFonts w:hint="eastAsia" w:ascii="宋体" w:hAnsi="宋体"/>
          <w:sz w:val="24"/>
        </w:rPr>
        <w:t>3.5智能存储管理软件</w:t>
      </w:r>
    </w:p>
    <w:p w14:paraId="4D754333">
      <w:pPr>
        <w:widowControl/>
        <w:spacing w:line="360" w:lineRule="auto"/>
        <w:ind w:firstLine="480" w:firstLineChars="200"/>
        <w:contextualSpacing/>
        <w:jc w:val="left"/>
        <w:rPr>
          <w:rFonts w:ascii="宋体" w:hAnsi="宋体"/>
          <w:sz w:val="24"/>
        </w:rPr>
      </w:pPr>
      <w:r>
        <w:rPr>
          <w:rFonts w:hint="eastAsia" w:ascii="宋体" w:hAnsi="宋体"/>
          <w:sz w:val="24"/>
        </w:rPr>
        <w:t>▲3.5.1存储内置智能存储管理软件,能够分担部分数据库的数据处理能力, 能够将数据密集型SQL操作从计算节点直接卸载至存储节点；</w:t>
      </w:r>
      <w:r>
        <w:rPr>
          <w:rFonts w:hint="eastAsia" w:ascii="宋体" w:hAnsi="宋体"/>
          <w:b/>
          <w:bCs/>
          <w:sz w:val="24"/>
        </w:rPr>
        <w:t>（需提供产品技术白皮书或第三方检测报告，并加盖投标人单位公章）</w:t>
      </w:r>
    </w:p>
    <w:p w14:paraId="541C69CA">
      <w:pPr>
        <w:widowControl/>
        <w:spacing w:line="360" w:lineRule="auto"/>
        <w:ind w:firstLine="480" w:firstLineChars="200"/>
        <w:contextualSpacing/>
        <w:jc w:val="left"/>
        <w:rPr>
          <w:rFonts w:ascii="宋体" w:hAnsi="宋体"/>
          <w:sz w:val="24"/>
        </w:rPr>
      </w:pPr>
      <w:r>
        <w:rPr>
          <w:rFonts w:hint="eastAsia" w:ascii="宋体" w:hAnsi="宋体"/>
          <w:sz w:val="24"/>
        </w:rPr>
        <w:t>▲3.5.2支持从磁盘或闪存中读取数据时就可以立即在所有存储节点上并行执行数据筛选和处理。只将与查询相关的行和列发送至计算节点；</w:t>
      </w:r>
      <w:r>
        <w:rPr>
          <w:rFonts w:hint="eastAsia" w:ascii="宋体" w:hAnsi="宋体"/>
          <w:b/>
          <w:bCs/>
          <w:sz w:val="24"/>
        </w:rPr>
        <w:t>（需提供产品技术白皮书或第三方检测报告，并加盖投标人单位公章）</w:t>
      </w:r>
    </w:p>
    <w:p w14:paraId="1CCC7843">
      <w:pPr>
        <w:widowControl/>
        <w:spacing w:line="360" w:lineRule="auto"/>
        <w:ind w:firstLine="480" w:firstLineChars="200"/>
        <w:contextualSpacing/>
        <w:jc w:val="left"/>
        <w:rPr>
          <w:rFonts w:ascii="宋体" w:hAnsi="宋体"/>
          <w:sz w:val="24"/>
        </w:rPr>
      </w:pPr>
      <w:r>
        <w:rPr>
          <w:rFonts w:hint="eastAsia" w:ascii="宋体" w:hAnsi="宋体"/>
          <w:sz w:val="24"/>
        </w:rPr>
        <w:t>3.5.3智能存储管理软件可以在存储内存中生成并维护存储索引，最大程度减少磁盘操作开销；</w:t>
      </w:r>
    </w:p>
    <w:p w14:paraId="28A47646">
      <w:pPr>
        <w:widowControl/>
        <w:spacing w:line="360" w:lineRule="auto"/>
        <w:ind w:firstLine="480" w:firstLineChars="200"/>
        <w:contextualSpacing/>
        <w:jc w:val="left"/>
        <w:rPr>
          <w:rFonts w:ascii="宋体" w:hAnsi="宋体"/>
          <w:sz w:val="24"/>
        </w:rPr>
      </w:pPr>
      <w:r>
        <w:rPr>
          <w:rFonts w:hint="eastAsia" w:ascii="宋体" w:hAnsi="宋体"/>
          <w:sz w:val="24"/>
        </w:rPr>
        <w:t>3.5.4实现存储自动优化，不需要人工干预，自动将热点数据移动或复制到高性能非易失性内存/FLASH/高容量磁盘存储上；</w:t>
      </w:r>
    </w:p>
    <w:p w14:paraId="1D4BCA2A">
      <w:pPr>
        <w:widowControl/>
        <w:spacing w:line="360" w:lineRule="auto"/>
        <w:ind w:firstLine="480" w:firstLineChars="200"/>
        <w:contextualSpacing/>
        <w:jc w:val="left"/>
        <w:rPr>
          <w:rFonts w:ascii="宋体" w:hAnsi="宋体"/>
          <w:sz w:val="24"/>
        </w:rPr>
      </w:pPr>
      <w:r>
        <w:rPr>
          <w:rFonts w:hint="eastAsia" w:ascii="宋体" w:hAnsi="宋体"/>
          <w:sz w:val="24"/>
        </w:rPr>
        <w:t>3.5.5支持混合列压缩技术，减少数据库计算节点的CPU开销和I/O使用率，提供5到20倍的数据压缩能力；</w:t>
      </w:r>
    </w:p>
    <w:p w14:paraId="66397F6E">
      <w:pPr>
        <w:widowControl/>
        <w:spacing w:line="360" w:lineRule="auto"/>
        <w:ind w:firstLine="480" w:firstLineChars="200"/>
        <w:contextualSpacing/>
        <w:jc w:val="left"/>
        <w:rPr>
          <w:rFonts w:ascii="宋体" w:hAnsi="宋体"/>
          <w:sz w:val="24"/>
        </w:rPr>
      </w:pPr>
      <w:r>
        <w:rPr>
          <w:rFonts w:hint="eastAsia" w:ascii="宋体" w:hAnsi="宋体"/>
          <w:sz w:val="24"/>
        </w:rPr>
        <w:t>3.5.6可自动列化数据；</w:t>
      </w:r>
    </w:p>
    <w:p w14:paraId="6BF97437">
      <w:pPr>
        <w:widowControl/>
        <w:spacing w:line="360" w:lineRule="auto"/>
        <w:ind w:firstLine="480" w:firstLineChars="200"/>
        <w:contextualSpacing/>
        <w:jc w:val="left"/>
        <w:rPr>
          <w:rFonts w:ascii="宋体" w:hAnsi="宋体"/>
          <w:sz w:val="24"/>
        </w:rPr>
      </w:pPr>
      <w:r>
        <w:rPr>
          <w:rFonts w:hint="eastAsia" w:ascii="宋体" w:hAnsi="宋体"/>
          <w:sz w:val="24"/>
        </w:rPr>
        <w:t>3.5.7能够并行磁盘检索，提高I/O通道效率。</w:t>
      </w:r>
    </w:p>
    <w:p w14:paraId="4E8F0556">
      <w:pPr>
        <w:widowControl/>
        <w:spacing w:line="360" w:lineRule="auto"/>
        <w:ind w:firstLine="480" w:firstLineChars="200"/>
        <w:contextualSpacing/>
        <w:jc w:val="left"/>
        <w:rPr>
          <w:rFonts w:ascii="宋体" w:hAnsi="宋体"/>
          <w:sz w:val="24"/>
        </w:rPr>
      </w:pPr>
      <w:r>
        <w:rPr>
          <w:rFonts w:hint="eastAsia" w:ascii="宋体" w:hAnsi="宋体"/>
          <w:sz w:val="24"/>
        </w:rPr>
        <w:t>4.数据库专用一体化集群网络交换机及其他配件指标</w:t>
      </w:r>
    </w:p>
    <w:p w14:paraId="1FA40AB4">
      <w:pPr>
        <w:widowControl/>
        <w:spacing w:line="360" w:lineRule="auto"/>
        <w:ind w:firstLine="480" w:firstLineChars="200"/>
        <w:contextualSpacing/>
        <w:jc w:val="left"/>
        <w:rPr>
          <w:rFonts w:ascii="宋体" w:hAnsi="宋体"/>
          <w:sz w:val="24"/>
        </w:rPr>
      </w:pPr>
      <w:r>
        <w:rPr>
          <w:rFonts w:hint="eastAsia" w:ascii="宋体" w:hAnsi="宋体"/>
          <w:sz w:val="24"/>
        </w:rPr>
        <w:t>4.1存储网络交换机：2台，单台≥36口RoCE 交换机，单个端口速度≥100Gb/秒。</w:t>
      </w:r>
    </w:p>
    <w:p w14:paraId="4311F317">
      <w:pPr>
        <w:widowControl/>
        <w:spacing w:line="360" w:lineRule="auto"/>
        <w:ind w:firstLine="480" w:firstLineChars="200"/>
        <w:contextualSpacing/>
        <w:jc w:val="left"/>
        <w:rPr>
          <w:rFonts w:ascii="宋体" w:hAnsi="宋体"/>
          <w:sz w:val="24"/>
        </w:rPr>
      </w:pPr>
      <w:r>
        <w:rPr>
          <w:rFonts w:hint="eastAsia" w:ascii="宋体" w:hAnsi="宋体"/>
          <w:sz w:val="24"/>
        </w:rPr>
        <w:t>4.2其他配件</w:t>
      </w:r>
    </w:p>
    <w:p w14:paraId="0A32BAEE">
      <w:pPr>
        <w:widowControl/>
        <w:spacing w:line="360" w:lineRule="auto"/>
        <w:ind w:firstLine="480" w:firstLineChars="200"/>
        <w:contextualSpacing/>
        <w:jc w:val="left"/>
        <w:rPr>
          <w:rFonts w:ascii="宋体" w:hAnsi="宋体"/>
          <w:sz w:val="24"/>
        </w:rPr>
      </w:pPr>
      <w:r>
        <w:rPr>
          <w:rFonts w:hint="eastAsia" w:ascii="宋体" w:hAnsi="宋体"/>
          <w:sz w:val="24"/>
        </w:rPr>
        <w:t>4.2.1配置与主机及存储互联所需线缆；</w:t>
      </w:r>
    </w:p>
    <w:p w14:paraId="64BFCD7F">
      <w:pPr>
        <w:widowControl/>
        <w:spacing w:line="360" w:lineRule="auto"/>
        <w:ind w:firstLine="480" w:firstLineChars="200"/>
        <w:contextualSpacing/>
        <w:jc w:val="left"/>
        <w:rPr>
          <w:rFonts w:ascii="宋体" w:hAnsi="宋体"/>
          <w:sz w:val="24"/>
        </w:rPr>
      </w:pPr>
      <w:r>
        <w:rPr>
          <w:rFonts w:hint="eastAsia" w:ascii="宋体" w:hAnsi="宋体"/>
          <w:sz w:val="24"/>
        </w:rPr>
        <w:t>4.2.2标准宽19英寸42U机架包装。</w:t>
      </w:r>
      <w:r>
        <w:rPr>
          <w:rFonts w:hint="eastAsia" w:ascii="宋体" w:hAnsi="宋体"/>
          <w:sz w:val="24"/>
        </w:rPr>
        <w:tab/>
      </w:r>
    </w:p>
    <w:p w14:paraId="3B65D887">
      <w:pPr>
        <w:widowControl/>
        <w:spacing w:line="360" w:lineRule="auto"/>
        <w:ind w:firstLine="480" w:firstLineChars="200"/>
        <w:contextualSpacing/>
        <w:jc w:val="left"/>
        <w:rPr>
          <w:rFonts w:ascii="宋体" w:hAnsi="宋体"/>
          <w:sz w:val="24"/>
        </w:rPr>
      </w:pPr>
      <w:r>
        <w:rPr>
          <w:rFonts w:hint="eastAsia" w:ascii="宋体" w:hAnsi="宋体"/>
          <w:sz w:val="24"/>
        </w:rPr>
        <w:t>5.数据库专用一体化集群整体质保要求</w:t>
      </w:r>
    </w:p>
    <w:p w14:paraId="3B2FF474">
      <w:pPr>
        <w:widowControl/>
        <w:spacing w:line="360" w:lineRule="auto"/>
        <w:ind w:firstLine="480" w:firstLineChars="200"/>
        <w:contextualSpacing/>
        <w:jc w:val="left"/>
        <w:rPr>
          <w:rFonts w:ascii="宋体" w:hAnsi="宋体"/>
          <w:sz w:val="24"/>
        </w:rPr>
      </w:pPr>
      <w:r>
        <w:rPr>
          <w:rFonts w:hint="eastAsia" w:ascii="宋体" w:hAnsi="宋体"/>
          <w:sz w:val="24"/>
        </w:rPr>
        <w:t>5.1服务质保：免费提供≥5年技术服务支持（包含软件更新服务、产品保修服务、7×24小时全天候远程支持服务和上门支持服务）。</w:t>
      </w:r>
    </w:p>
    <w:p w14:paraId="595D3B0B">
      <w:pPr>
        <w:widowControl/>
        <w:spacing w:line="360" w:lineRule="auto"/>
        <w:ind w:firstLine="480" w:firstLineChars="200"/>
        <w:contextualSpacing/>
        <w:jc w:val="left"/>
        <w:rPr>
          <w:rFonts w:ascii="宋体" w:hAnsi="宋体"/>
          <w:sz w:val="24"/>
        </w:rPr>
      </w:pPr>
      <w:r>
        <w:rPr>
          <w:rFonts w:hint="eastAsia" w:ascii="宋体" w:hAnsi="宋体"/>
          <w:sz w:val="24"/>
        </w:rPr>
        <w:t>5.2硬件质保：免费提供≥5年硬件质保。</w:t>
      </w:r>
    </w:p>
    <w:p w14:paraId="138387D3">
      <w:pPr>
        <w:widowControl/>
        <w:spacing w:line="360" w:lineRule="auto"/>
        <w:ind w:firstLine="480" w:firstLineChars="200"/>
        <w:contextualSpacing/>
        <w:jc w:val="left"/>
        <w:rPr>
          <w:rFonts w:ascii="宋体" w:hAnsi="宋体"/>
          <w:sz w:val="24"/>
        </w:rPr>
      </w:pPr>
      <w:r>
        <w:rPr>
          <w:rFonts w:hint="eastAsia" w:ascii="宋体" w:hAnsi="宋体"/>
          <w:sz w:val="24"/>
        </w:rPr>
        <w:t>6.售后服务要求</w:t>
      </w:r>
    </w:p>
    <w:p w14:paraId="4B9D34B1">
      <w:pPr>
        <w:widowControl/>
        <w:spacing w:line="360" w:lineRule="auto"/>
        <w:ind w:firstLine="480" w:firstLineChars="200"/>
        <w:contextualSpacing/>
        <w:jc w:val="left"/>
        <w:rPr>
          <w:rFonts w:ascii="宋体" w:hAnsi="宋体"/>
          <w:sz w:val="24"/>
        </w:rPr>
      </w:pPr>
      <w:r>
        <w:rPr>
          <w:rFonts w:hint="eastAsia" w:ascii="宋体" w:hAnsi="宋体"/>
          <w:sz w:val="24"/>
        </w:rPr>
        <w:t>6.1</w:t>
      </w:r>
      <w:r>
        <w:rPr>
          <w:rFonts w:ascii="宋体" w:hAnsi="宋体"/>
          <w:sz w:val="24"/>
        </w:rPr>
        <w:t>整个项目要求在签订合同后30日内全部完成。</w:t>
      </w:r>
    </w:p>
    <w:p w14:paraId="4982C956">
      <w:pPr>
        <w:widowControl/>
        <w:spacing w:line="360" w:lineRule="auto"/>
        <w:ind w:firstLine="480" w:firstLineChars="200"/>
        <w:contextualSpacing/>
        <w:jc w:val="left"/>
        <w:rPr>
          <w:rFonts w:ascii="宋体" w:hAnsi="宋体"/>
          <w:sz w:val="24"/>
        </w:rPr>
      </w:pPr>
      <w:r>
        <w:rPr>
          <w:rFonts w:hint="eastAsia" w:ascii="宋体" w:hAnsi="宋体"/>
          <w:sz w:val="24"/>
        </w:rPr>
        <w:t>6.2</w:t>
      </w:r>
      <w:r>
        <w:rPr>
          <w:rFonts w:ascii="宋体" w:hAnsi="宋体"/>
          <w:sz w:val="24"/>
        </w:rPr>
        <w:t>投标人所投产品在满足采购人招标文件需求的前提下，对现有医院核心业务系统进行迁移，提供详细建设方案、应用迁移方案和步骤，1小时内完成医院现有数据库系统的数据迁移，数据库应用切换，确保医院HIS、EMR、PACS、LIS系统数据库平滑迁移至新建的集群环境，迁移后应保证医院HIS、EMR、PACS、LIS系统数据库性能满足日常诊疗及各科室业务访问要求。</w:t>
      </w:r>
    </w:p>
    <w:p w14:paraId="1C4D9DEB">
      <w:pPr>
        <w:widowControl/>
        <w:spacing w:line="360" w:lineRule="auto"/>
        <w:ind w:firstLine="480" w:firstLineChars="200"/>
        <w:contextualSpacing/>
        <w:jc w:val="left"/>
        <w:rPr>
          <w:rFonts w:ascii="宋体" w:hAnsi="宋体"/>
          <w:sz w:val="24"/>
        </w:rPr>
      </w:pPr>
      <w:r>
        <w:rPr>
          <w:rFonts w:hint="eastAsia" w:ascii="宋体" w:hAnsi="宋体"/>
          <w:sz w:val="24"/>
        </w:rPr>
        <w:t>6.3</w:t>
      </w:r>
      <w:r>
        <w:rPr>
          <w:rFonts w:ascii="宋体" w:hAnsi="宋体"/>
          <w:sz w:val="24"/>
        </w:rPr>
        <w:t>投标人提供项目实施所需所有配件及辅材，完成项目中所有软、硬件设备的安装调试、上线割接、系统联调、性能优化、数据库等各核心系统迁移，割接等工作。</w:t>
      </w:r>
    </w:p>
    <w:p w14:paraId="44DF7B01">
      <w:pPr>
        <w:widowControl/>
        <w:spacing w:line="360" w:lineRule="auto"/>
        <w:ind w:firstLine="480" w:firstLineChars="200"/>
        <w:contextualSpacing/>
        <w:jc w:val="left"/>
        <w:rPr>
          <w:rFonts w:ascii="宋体" w:hAnsi="宋体"/>
          <w:sz w:val="24"/>
        </w:rPr>
      </w:pPr>
      <w:r>
        <w:rPr>
          <w:rFonts w:hint="eastAsia" w:ascii="宋体" w:hAnsi="宋体"/>
          <w:sz w:val="24"/>
        </w:rPr>
        <w:t>★6.4</w:t>
      </w:r>
      <w:r>
        <w:rPr>
          <w:rFonts w:ascii="宋体" w:hAnsi="宋体"/>
          <w:sz w:val="24"/>
        </w:rPr>
        <w:t>投标人针对提供的所有设备提供免费的送货、安装、调试，直至设备正常运行。自设备验收之日起，投标人应确保一名经验丰富且经采购人许可的技术人员提供</w:t>
      </w:r>
      <w:r>
        <w:rPr>
          <w:rFonts w:hint="eastAsia" w:ascii="宋体" w:hAnsi="宋体"/>
          <w:sz w:val="24"/>
        </w:rPr>
        <w:t>7*8小时</w:t>
      </w:r>
      <w:r>
        <w:rPr>
          <w:rFonts w:ascii="宋体" w:hAnsi="宋体"/>
          <w:sz w:val="24"/>
        </w:rPr>
        <w:t>驻场服务，投标产品无故障稳定运行6个月后，方可离场。</w:t>
      </w:r>
      <w:r>
        <w:rPr>
          <w:rFonts w:hint="eastAsia" w:ascii="宋体" w:hAnsi="宋体"/>
          <w:b/>
          <w:bCs/>
          <w:sz w:val="24"/>
        </w:rPr>
        <w:t>（提供承诺书加盖投标人单位公章）</w:t>
      </w:r>
    </w:p>
    <w:p w14:paraId="1C898A24">
      <w:pPr>
        <w:widowControl/>
        <w:spacing w:line="360" w:lineRule="auto"/>
        <w:ind w:firstLine="480" w:firstLineChars="200"/>
        <w:contextualSpacing/>
        <w:jc w:val="left"/>
        <w:rPr>
          <w:rFonts w:ascii="宋体" w:hAnsi="宋体"/>
          <w:sz w:val="24"/>
        </w:rPr>
      </w:pPr>
      <w:r>
        <w:rPr>
          <w:rFonts w:hint="eastAsia" w:ascii="宋体" w:hAnsi="宋体"/>
          <w:sz w:val="24"/>
        </w:rPr>
        <w:t>▲6.5</w:t>
      </w:r>
      <w:r>
        <w:rPr>
          <w:rFonts w:ascii="宋体" w:hAnsi="宋体"/>
          <w:sz w:val="24"/>
        </w:rPr>
        <w:t>投标人提供7*24小时技术支持，按招标人实际工作需要，提供应急支持。对于投标产品故障问题应及时提供保修服务，若因投标人原因无法在1天之内更换配件恢复，须及时与采购人协商并免费提供备用整机。</w:t>
      </w:r>
      <w:r>
        <w:rPr>
          <w:rFonts w:hint="eastAsia" w:ascii="宋体" w:hAnsi="宋体"/>
          <w:b/>
          <w:bCs/>
          <w:sz w:val="24"/>
        </w:rPr>
        <w:t>（提供承诺书加盖投标人单位公章）</w:t>
      </w:r>
    </w:p>
    <w:p w14:paraId="4C62F8B0">
      <w:pPr>
        <w:widowControl/>
        <w:spacing w:line="360" w:lineRule="auto"/>
        <w:ind w:firstLine="480" w:firstLineChars="200"/>
        <w:contextualSpacing/>
        <w:jc w:val="left"/>
        <w:rPr>
          <w:rFonts w:ascii="宋体" w:hAnsi="宋体"/>
          <w:b/>
          <w:bCs/>
          <w:sz w:val="24"/>
        </w:rPr>
      </w:pPr>
      <w:r>
        <w:rPr>
          <w:rFonts w:hint="eastAsia" w:ascii="宋体" w:hAnsi="宋体"/>
          <w:sz w:val="24"/>
        </w:rPr>
        <w:t>▲</w:t>
      </w:r>
      <w:r>
        <w:rPr>
          <w:rFonts w:ascii="宋体" w:hAnsi="宋体"/>
          <w:sz w:val="24"/>
        </w:rPr>
        <w:t>6.6</w:t>
      </w:r>
      <w:r>
        <w:rPr>
          <w:rFonts w:hint="eastAsia" w:ascii="宋体" w:hAnsi="宋体"/>
          <w:sz w:val="24"/>
        </w:rPr>
        <w:t>投标人需提供数据库专用一体化集群的数据库及操作系统软件的正版化永久授权</w:t>
      </w:r>
      <w:r>
        <w:rPr>
          <w:rFonts w:ascii="宋体" w:hAnsi="宋体"/>
          <w:sz w:val="24"/>
        </w:rPr>
        <w:t>。</w:t>
      </w:r>
      <w:r>
        <w:rPr>
          <w:rFonts w:hint="eastAsia" w:ascii="宋体" w:hAnsi="宋体"/>
          <w:b/>
          <w:bCs/>
          <w:sz w:val="24"/>
        </w:rPr>
        <w:t>（提供承诺书加盖投标人单位公章）</w:t>
      </w:r>
    </w:p>
    <w:p w14:paraId="23EE6C5C">
      <w:pPr>
        <w:widowControl/>
        <w:spacing w:line="360" w:lineRule="auto"/>
        <w:ind w:firstLine="480" w:firstLineChars="200"/>
        <w:contextualSpacing/>
        <w:jc w:val="left"/>
        <w:rPr>
          <w:rFonts w:ascii="宋体" w:hAnsi="宋体"/>
          <w:sz w:val="24"/>
        </w:rPr>
      </w:pPr>
      <w:r>
        <w:rPr>
          <w:rFonts w:hint="eastAsia" w:ascii="宋体" w:hAnsi="宋体"/>
          <w:sz w:val="24"/>
        </w:rPr>
        <w:t>6.7</w:t>
      </w:r>
      <w:r>
        <w:rPr>
          <w:rFonts w:ascii="宋体" w:hAnsi="宋体"/>
          <w:sz w:val="24"/>
        </w:rPr>
        <w:t>上述工作产生的一切费用均由投标人承担。</w:t>
      </w:r>
    </w:p>
    <w:p w14:paraId="2B3AC996">
      <w:pPr>
        <w:widowControl/>
        <w:spacing w:line="360" w:lineRule="auto"/>
        <w:contextualSpacing/>
        <w:jc w:val="left"/>
        <w:rPr>
          <w:rFonts w:ascii="宋体" w:hAnsi="宋体"/>
          <w:sz w:val="24"/>
        </w:rPr>
      </w:pPr>
    </w:p>
    <w:p w14:paraId="54E57168">
      <w:pPr>
        <w:pStyle w:val="3"/>
        <w:spacing w:line="360" w:lineRule="auto"/>
        <w:ind w:firstLine="482" w:firstLineChars="200"/>
        <w:jc w:val="both"/>
        <w:rPr>
          <w:rFonts w:ascii="宋体" w:hAnsi="宋体" w:eastAsia="宋体" w:cs="宋体"/>
          <w:sz w:val="24"/>
          <w:szCs w:val="24"/>
        </w:rPr>
      </w:pPr>
      <w:r>
        <w:rPr>
          <w:rFonts w:hint="eastAsia" w:ascii="宋体" w:hAnsi="宋体" w:eastAsia="宋体" w:cs="宋体"/>
          <w:sz w:val="24"/>
          <w:szCs w:val="24"/>
        </w:rPr>
        <w:t>02包：网络安全设备</w:t>
      </w:r>
    </w:p>
    <w:p w14:paraId="2ED32041">
      <w:pPr>
        <w:pStyle w:val="4"/>
        <w:ind w:firstLine="482" w:firstLineChars="200"/>
        <w:rPr>
          <w:u w:val="none"/>
        </w:rPr>
      </w:pPr>
      <w:r>
        <w:rPr>
          <w:rFonts w:hint="eastAsia"/>
          <w:u w:val="none"/>
        </w:rPr>
        <w:t>一）技术要求</w:t>
      </w:r>
    </w:p>
    <w:p w14:paraId="08D8C8C1">
      <w:pPr>
        <w:pStyle w:val="4"/>
        <w:ind w:firstLine="482" w:firstLineChars="200"/>
        <w:rPr>
          <w:u w:val="none"/>
        </w:rPr>
      </w:pPr>
      <w:r>
        <w:rPr>
          <w:rFonts w:hint="eastAsia"/>
          <w:u w:val="none"/>
        </w:rPr>
        <w:t>标的1：数据库审计</w:t>
      </w:r>
    </w:p>
    <w:p w14:paraId="32DF32B5">
      <w:pPr>
        <w:widowControl/>
        <w:spacing w:line="360" w:lineRule="auto"/>
        <w:ind w:firstLine="480" w:firstLineChars="200"/>
        <w:contextualSpacing/>
        <w:jc w:val="left"/>
        <w:rPr>
          <w:rFonts w:ascii="宋体" w:hAnsi="宋体"/>
          <w:sz w:val="24"/>
        </w:rPr>
      </w:pPr>
      <w:r>
        <w:rPr>
          <w:rFonts w:hint="eastAsia" w:ascii="宋体" w:hAnsi="宋体"/>
          <w:sz w:val="24"/>
        </w:rPr>
        <w:t>1.产品规格：CPU≥8核16线程、内存≥64G、磁盘≥8T、支持数据库实例数≥70个。网络流量≥4.5Gbps、纯数据库流量≥450Mbps、SQL每秒入库量≥25000条/秒、SQL峰值吞吐量≥45000条/秒。</w:t>
      </w:r>
    </w:p>
    <w:p w14:paraId="735000AE">
      <w:pPr>
        <w:widowControl/>
        <w:spacing w:line="360" w:lineRule="auto"/>
        <w:ind w:firstLine="480" w:firstLineChars="200"/>
        <w:contextualSpacing/>
        <w:jc w:val="left"/>
        <w:rPr>
          <w:rFonts w:ascii="宋体" w:hAnsi="宋体"/>
          <w:sz w:val="24"/>
        </w:rPr>
      </w:pPr>
      <w:r>
        <w:rPr>
          <w:rFonts w:hint="eastAsia" w:ascii="宋体" w:hAnsi="宋体"/>
          <w:sz w:val="24"/>
        </w:rPr>
        <w:t>2.部署相关：支持镜像和探针模式，支持丰富的探针参数，包括IP地址过滤、服务器和探针的CPU占用率、内存占用率、流量速率阈值、加密、本地缓存大小等灵活配置。</w:t>
      </w:r>
    </w:p>
    <w:p w14:paraId="4BAD99BD">
      <w:pPr>
        <w:widowControl/>
        <w:spacing w:line="360" w:lineRule="auto"/>
        <w:ind w:firstLine="480" w:firstLineChars="200"/>
        <w:contextualSpacing/>
        <w:jc w:val="left"/>
        <w:rPr>
          <w:rFonts w:ascii="宋体" w:hAnsi="宋体"/>
          <w:sz w:val="24"/>
        </w:rPr>
      </w:pPr>
      <w:r>
        <w:rPr>
          <w:rFonts w:hint="eastAsia" w:ascii="宋体" w:hAnsi="宋体"/>
          <w:sz w:val="24"/>
        </w:rPr>
        <w:t>3.协议支持</w:t>
      </w:r>
    </w:p>
    <w:p w14:paraId="6B3554E7">
      <w:pPr>
        <w:widowControl/>
        <w:spacing w:line="360" w:lineRule="auto"/>
        <w:ind w:firstLine="480" w:firstLineChars="200"/>
        <w:contextualSpacing/>
        <w:jc w:val="left"/>
        <w:rPr>
          <w:rFonts w:ascii="宋体" w:hAnsi="宋体"/>
          <w:sz w:val="24"/>
        </w:rPr>
      </w:pPr>
      <w:r>
        <w:rPr>
          <w:rFonts w:hint="eastAsia" w:ascii="宋体" w:hAnsi="宋体"/>
          <w:sz w:val="24"/>
        </w:rPr>
        <w:t>3.1国际数据库：Oracle、MySQL、SQL Server、Db2、Informix、PostgreSQL（EDB）、Sybase ASE、MariaDB、Percona、Greenplum、Caché、Teradata、SAP HANA、Vertica等。</w:t>
      </w:r>
    </w:p>
    <w:p w14:paraId="420B4A47">
      <w:pPr>
        <w:widowControl/>
        <w:spacing w:line="360" w:lineRule="auto"/>
        <w:ind w:firstLine="480" w:firstLineChars="200"/>
        <w:contextualSpacing/>
        <w:jc w:val="left"/>
        <w:rPr>
          <w:rFonts w:ascii="宋体" w:hAnsi="宋体"/>
          <w:sz w:val="24"/>
        </w:rPr>
      </w:pPr>
      <w:r>
        <w:rPr>
          <w:rFonts w:hint="eastAsia" w:ascii="宋体" w:hAnsi="宋体"/>
          <w:sz w:val="24"/>
        </w:rPr>
        <w:t>3.2国产数据库：达梦、南大通用、人大金仓、神通、OceanBase、GaussDB A、GaussDB T、TiDB、TeleDB、CirroData、EsgynDB、Gbase 8t等。</w:t>
      </w:r>
    </w:p>
    <w:p w14:paraId="04CD51D9">
      <w:pPr>
        <w:widowControl/>
        <w:spacing w:line="360" w:lineRule="auto"/>
        <w:ind w:firstLine="480" w:firstLineChars="200"/>
        <w:contextualSpacing/>
        <w:jc w:val="left"/>
        <w:rPr>
          <w:rFonts w:ascii="宋体" w:hAnsi="宋体"/>
          <w:sz w:val="24"/>
        </w:rPr>
      </w:pPr>
      <w:r>
        <w:rPr>
          <w:rFonts w:hint="eastAsia" w:ascii="宋体" w:hAnsi="宋体"/>
          <w:sz w:val="24"/>
        </w:rPr>
        <w:t>3.3支持Hive、HBase、Impala、HDFS、Spark SQL，ElasticSearch、MongoDB、Redis、Clickhouse、Solr、Hive、Neo4j等大数据组件和非关系型数据库的审计。</w:t>
      </w:r>
    </w:p>
    <w:p w14:paraId="1BAB2AA5">
      <w:pPr>
        <w:widowControl/>
        <w:spacing w:line="360" w:lineRule="auto"/>
        <w:ind w:firstLine="480" w:firstLineChars="200"/>
        <w:contextualSpacing/>
        <w:jc w:val="left"/>
        <w:rPr>
          <w:rFonts w:ascii="宋体" w:hAnsi="宋体"/>
          <w:sz w:val="24"/>
        </w:rPr>
      </w:pPr>
      <w:r>
        <w:rPr>
          <w:rFonts w:hint="eastAsia" w:ascii="宋体" w:hAnsi="宋体"/>
          <w:sz w:val="24"/>
        </w:rPr>
        <w:t>3.4支持审计使用IPC直连数据库实例的本地访问行为。</w:t>
      </w:r>
    </w:p>
    <w:p w14:paraId="203D2476">
      <w:pPr>
        <w:widowControl/>
        <w:spacing w:line="360" w:lineRule="auto"/>
        <w:ind w:firstLine="480" w:firstLineChars="200"/>
        <w:contextualSpacing/>
        <w:jc w:val="left"/>
        <w:rPr>
          <w:rFonts w:ascii="宋体" w:hAnsi="宋体"/>
          <w:sz w:val="24"/>
        </w:rPr>
      </w:pPr>
      <w:r>
        <w:rPr>
          <w:rFonts w:hint="eastAsia" w:ascii="宋体" w:hAnsi="宋体"/>
          <w:sz w:val="24"/>
        </w:rPr>
        <w:t>4.自动发现</w:t>
      </w:r>
    </w:p>
    <w:p w14:paraId="2F9A8710">
      <w:pPr>
        <w:widowControl/>
        <w:spacing w:line="360" w:lineRule="auto"/>
        <w:ind w:firstLine="480" w:firstLineChars="200"/>
        <w:contextualSpacing/>
        <w:jc w:val="left"/>
        <w:rPr>
          <w:rFonts w:ascii="宋体" w:hAnsi="宋体"/>
          <w:sz w:val="24"/>
        </w:rPr>
      </w:pPr>
      <w:r>
        <w:rPr>
          <w:rFonts w:hint="eastAsia" w:ascii="宋体" w:hAnsi="宋体"/>
          <w:sz w:val="24"/>
        </w:rPr>
        <w:t>4.1支持从数据库流量中自动识别数据库，从流量分析结果中自动判别包含的数据库类型、地址等信息，并且自动添加到审计范围，无需用户提供网段、数据库地址等信息。</w:t>
      </w:r>
    </w:p>
    <w:p w14:paraId="713F661E">
      <w:pPr>
        <w:widowControl/>
        <w:spacing w:line="360" w:lineRule="auto"/>
        <w:ind w:firstLine="480" w:firstLineChars="200"/>
        <w:contextualSpacing/>
        <w:jc w:val="left"/>
        <w:rPr>
          <w:rFonts w:ascii="宋体" w:hAnsi="宋体"/>
          <w:sz w:val="24"/>
        </w:rPr>
      </w:pPr>
      <w:r>
        <w:rPr>
          <w:rFonts w:hint="eastAsia" w:ascii="宋体" w:hAnsi="宋体"/>
          <w:sz w:val="24"/>
        </w:rPr>
        <w:t>4.2支持自动添加自动发现的数据库。</w:t>
      </w:r>
    </w:p>
    <w:p w14:paraId="34099CEF">
      <w:pPr>
        <w:widowControl/>
        <w:spacing w:line="360" w:lineRule="auto"/>
        <w:ind w:firstLine="480" w:firstLineChars="200"/>
        <w:contextualSpacing/>
        <w:jc w:val="left"/>
        <w:rPr>
          <w:rFonts w:ascii="宋体" w:hAnsi="宋体"/>
          <w:sz w:val="24"/>
        </w:rPr>
      </w:pPr>
      <w:r>
        <w:rPr>
          <w:rFonts w:hint="eastAsia" w:ascii="宋体" w:hAnsi="宋体"/>
          <w:sz w:val="24"/>
        </w:rPr>
        <w:t>4.3对于基于开源数据库协议实现的数据库，可以支持自动发现、并且可以在添加的时候选择实际的数据库类型。</w:t>
      </w:r>
      <w:r>
        <w:rPr>
          <w:rFonts w:hint="eastAsia" w:ascii="宋体" w:hAnsi="宋体"/>
          <w:sz w:val="24"/>
        </w:rPr>
        <w:tab/>
      </w:r>
    </w:p>
    <w:p w14:paraId="6D9EF300">
      <w:pPr>
        <w:widowControl/>
        <w:spacing w:line="360" w:lineRule="auto"/>
        <w:ind w:firstLine="480" w:firstLineChars="200"/>
        <w:contextualSpacing/>
        <w:jc w:val="left"/>
        <w:rPr>
          <w:rFonts w:ascii="宋体" w:hAnsi="宋体"/>
          <w:sz w:val="24"/>
        </w:rPr>
      </w:pPr>
      <w:r>
        <w:rPr>
          <w:rFonts w:hint="eastAsia" w:ascii="宋体" w:hAnsi="宋体"/>
          <w:sz w:val="24"/>
        </w:rPr>
        <w:t>5.审计能力</w:t>
      </w:r>
    </w:p>
    <w:p w14:paraId="61574363">
      <w:pPr>
        <w:widowControl/>
        <w:spacing w:line="360" w:lineRule="auto"/>
        <w:ind w:firstLine="480" w:firstLineChars="200"/>
        <w:contextualSpacing/>
        <w:jc w:val="left"/>
        <w:rPr>
          <w:rFonts w:ascii="宋体" w:hAnsi="宋体"/>
          <w:sz w:val="24"/>
        </w:rPr>
      </w:pPr>
      <w:r>
        <w:rPr>
          <w:rFonts w:hint="eastAsia" w:ascii="宋体" w:hAnsi="宋体"/>
          <w:sz w:val="24"/>
        </w:rPr>
        <w:t>5.1支持审计会话相关信息，包括：客户端IP、客户端端口、客户端MAC、OS用户、访问工具、主机名称、数据库名称、数据库用户、数据库会话标识、数据库IP、端口、MAC、服务（实例）名、会话开始、结束时间等。</w:t>
      </w:r>
    </w:p>
    <w:p w14:paraId="4709684C">
      <w:pPr>
        <w:widowControl/>
        <w:spacing w:line="360" w:lineRule="auto"/>
        <w:ind w:firstLine="480" w:firstLineChars="200"/>
        <w:contextualSpacing/>
        <w:jc w:val="left"/>
        <w:rPr>
          <w:rFonts w:ascii="宋体" w:hAnsi="宋体"/>
          <w:sz w:val="24"/>
        </w:rPr>
      </w:pPr>
      <w:r>
        <w:rPr>
          <w:rFonts w:hint="eastAsia" w:ascii="宋体" w:hAnsi="宋体"/>
          <w:sz w:val="24"/>
        </w:rPr>
        <w:t>5.2支持配置返回行数和内容大小控制返回结果集大小，降低系统开销。</w:t>
      </w:r>
    </w:p>
    <w:p w14:paraId="74D8E674">
      <w:pPr>
        <w:widowControl/>
        <w:spacing w:line="360" w:lineRule="auto"/>
        <w:ind w:firstLine="480" w:firstLineChars="200"/>
        <w:contextualSpacing/>
        <w:jc w:val="left"/>
        <w:rPr>
          <w:rFonts w:ascii="宋体" w:hAnsi="宋体"/>
          <w:sz w:val="24"/>
        </w:rPr>
      </w:pPr>
      <w:r>
        <w:rPr>
          <w:rFonts w:hint="eastAsia" w:ascii="宋体" w:hAnsi="宋体"/>
          <w:sz w:val="24"/>
        </w:rPr>
        <w:t>6.审计规则</w:t>
      </w:r>
    </w:p>
    <w:p w14:paraId="21869667">
      <w:pPr>
        <w:widowControl/>
        <w:spacing w:line="360" w:lineRule="auto"/>
        <w:ind w:firstLine="480" w:firstLineChars="200"/>
        <w:contextualSpacing/>
        <w:jc w:val="left"/>
        <w:rPr>
          <w:rFonts w:ascii="宋体" w:hAnsi="宋体"/>
          <w:sz w:val="24"/>
        </w:rPr>
      </w:pPr>
      <w:r>
        <w:rPr>
          <w:rFonts w:hint="eastAsia" w:ascii="宋体" w:hAnsi="宋体"/>
          <w:sz w:val="24"/>
        </w:rPr>
        <w:t>6.1规则可关联数据库，也可关联数据库类型。</w:t>
      </w:r>
    </w:p>
    <w:p w14:paraId="58FDEF7C">
      <w:pPr>
        <w:widowControl/>
        <w:spacing w:line="360" w:lineRule="auto"/>
        <w:ind w:firstLine="480" w:firstLineChars="200"/>
        <w:contextualSpacing/>
        <w:jc w:val="left"/>
        <w:rPr>
          <w:rFonts w:ascii="宋体" w:hAnsi="宋体"/>
          <w:sz w:val="24"/>
        </w:rPr>
      </w:pPr>
      <w:r>
        <w:rPr>
          <w:rFonts w:hint="eastAsia" w:ascii="宋体" w:hAnsi="宋体"/>
          <w:sz w:val="24"/>
        </w:rPr>
        <w:t>6.2关联数据库类型后，可选择自动关联后续添加的数据库。</w:t>
      </w:r>
    </w:p>
    <w:p w14:paraId="7C586603">
      <w:pPr>
        <w:widowControl/>
        <w:spacing w:line="360" w:lineRule="auto"/>
        <w:ind w:firstLine="480" w:firstLineChars="200"/>
        <w:contextualSpacing/>
        <w:jc w:val="left"/>
        <w:rPr>
          <w:rFonts w:ascii="宋体" w:hAnsi="宋体"/>
          <w:sz w:val="24"/>
        </w:rPr>
      </w:pPr>
      <w:r>
        <w:rPr>
          <w:rFonts w:hint="eastAsia" w:ascii="宋体" w:hAnsi="宋体" w:cs="宋体"/>
          <w:bCs/>
          <w:kern w:val="0"/>
          <w:sz w:val="24"/>
        </w:rPr>
        <w:t>▲</w:t>
      </w:r>
      <w:r>
        <w:rPr>
          <w:rFonts w:hint="eastAsia" w:ascii="宋体" w:hAnsi="宋体"/>
          <w:sz w:val="24"/>
        </w:rPr>
        <w:t>6.3应具备漏洞攻击规则库，漏洞攻击规则应至少包括：漏洞名称、CVE标识、CNNVD、漏洞类型、影响范围等内容</w:t>
      </w:r>
      <w:r>
        <w:rPr>
          <w:rFonts w:hint="eastAsia" w:ascii="宋体" w:hAnsi="宋体"/>
          <w:b/>
          <w:bCs/>
          <w:sz w:val="24"/>
        </w:rPr>
        <w:t>（提供</w:t>
      </w:r>
      <w:bookmarkStart w:id="1" w:name="OLE_LINK2"/>
      <w:r>
        <w:rPr>
          <w:rFonts w:hint="eastAsia" w:ascii="宋体" w:hAnsi="宋体"/>
          <w:b/>
          <w:bCs/>
          <w:sz w:val="24"/>
        </w:rPr>
        <w:t>产品功能截图</w:t>
      </w:r>
      <w:bookmarkEnd w:id="1"/>
      <w:r>
        <w:rPr>
          <w:rFonts w:hint="eastAsia" w:ascii="宋体" w:hAnsi="宋体"/>
          <w:b/>
          <w:bCs/>
          <w:sz w:val="24"/>
        </w:rPr>
        <w:t>并加盖投标人单位公章）</w:t>
      </w:r>
      <w:r>
        <w:rPr>
          <w:rFonts w:hint="eastAsia" w:ascii="宋体" w:hAnsi="宋体"/>
          <w:sz w:val="24"/>
        </w:rPr>
        <w:t>。</w:t>
      </w:r>
    </w:p>
    <w:p w14:paraId="43459CA0">
      <w:pPr>
        <w:widowControl/>
        <w:spacing w:line="360" w:lineRule="auto"/>
        <w:ind w:firstLine="480" w:firstLineChars="200"/>
        <w:contextualSpacing/>
        <w:jc w:val="left"/>
        <w:rPr>
          <w:rFonts w:ascii="宋体" w:hAnsi="宋体"/>
          <w:sz w:val="24"/>
        </w:rPr>
      </w:pPr>
      <w:r>
        <w:rPr>
          <w:rFonts w:hint="eastAsia" w:ascii="宋体" w:hAnsi="宋体"/>
          <w:sz w:val="24"/>
        </w:rPr>
        <w:t>7.告警与外送</w:t>
      </w:r>
    </w:p>
    <w:p w14:paraId="19F6D404">
      <w:pPr>
        <w:widowControl/>
        <w:spacing w:line="360" w:lineRule="auto"/>
        <w:ind w:firstLine="480" w:firstLineChars="200"/>
        <w:contextualSpacing/>
        <w:jc w:val="left"/>
        <w:rPr>
          <w:rFonts w:ascii="宋体" w:hAnsi="宋体"/>
          <w:sz w:val="24"/>
        </w:rPr>
      </w:pPr>
      <w:r>
        <w:rPr>
          <w:rFonts w:hint="eastAsia" w:ascii="宋体" w:hAnsi="宋体"/>
          <w:sz w:val="24"/>
        </w:rPr>
        <w:t>7.1支持规则命中后的风险告警；</w:t>
      </w:r>
    </w:p>
    <w:p w14:paraId="72AF65F5">
      <w:pPr>
        <w:widowControl/>
        <w:spacing w:line="360" w:lineRule="auto"/>
        <w:ind w:firstLine="480" w:firstLineChars="200"/>
        <w:contextualSpacing/>
        <w:jc w:val="left"/>
        <w:rPr>
          <w:rFonts w:ascii="宋体" w:hAnsi="宋体"/>
          <w:sz w:val="24"/>
        </w:rPr>
      </w:pPr>
      <w:r>
        <w:rPr>
          <w:rFonts w:hint="eastAsia" w:ascii="宋体" w:hAnsi="宋体"/>
          <w:sz w:val="24"/>
        </w:rPr>
        <w:t>7.2风险告警内容支持触发规则风险内容，并支持根据风险等级进行告警通知；</w:t>
      </w:r>
    </w:p>
    <w:p w14:paraId="7A1D8C7F">
      <w:pPr>
        <w:widowControl/>
        <w:spacing w:line="360" w:lineRule="auto"/>
        <w:ind w:firstLine="480" w:firstLineChars="200"/>
        <w:contextualSpacing/>
        <w:jc w:val="left"/>
        <w:rPr>
          <w:rFonts w:ascii="宋体" w:hAnsi="宋体"/>
          <w:sz w:val="24"/>
        </w:rPr>
      </w:pPr>
      <w:r>
        <w:rPr>
          <w:rFonts w:hint="eastAsia" w:ascii="宋体" w:hAnsi="宋体"/>
          <w:sz w:val="24"/>
        </w:rPr>
        <w:t>7.3支持规则告警与规则、数据库关联，实现不同规则、风险级别、数据库以及数据库类型的告警发送给不同收件人，方便进行风险的排查；</w:t>
      </w:r>
    </w:p>
    <w:p w14:paraId="24714E24">
      <w:pPr>
        <w:widowControl/>
        <w:spacing w:line="360" w:lineRule="auto"/>
        <w:ind w:firstLine="480" w:firstLineChars="200"/>
        <w:contextualSpacing/>
        <w:jc w:val="left"/>
        <w:rPr>
          <w:rFonts w:ascii="宋体" w:hAnsi="宋体"/>
          <w:sz w:val="24"/>
        </w:rPr>
      </w:pPr>
      <w:r>
        <w:rPr>
          <w:rFonts w:hint="eastAsia" w:ascii="宋体" w:hAnsi="宋体"/>
          <w:sz w:val="24"/>
        </w:rPr>
        <w:t>7.4支持告警方式包括：邮件、短信、SYSLOG、SNMP TRAP、企业微信、钉钉群告警、飞书群助手、页面弹窗。</w:t>
      </w:r>
    </w:p>
    <w:p w14:paraId="35EAC0DB">
      <w:pPr>
        <w:widowControl/>
        <w:spacing w:line="360" w:lineRule="auto"/>
        <w:ind w:firstLine="480" w:firstLineChars="200"/>
        <w:contextualSpacing/>
        <w:jc w:val="left"/>
        <w:rPr>
          <w:rFonts w:ascii="宋体" w:hAnsi="宋体"/>
          <w:sz w:val="24"/>
        </w:rPr>
      </w:pPr>
      <w:r>
        <w:rPr>
          <w:rFonts w:hint="eastAsia" w:ascii="宋体" w:hAnsi="宋体"/>
          <w:sz w:val="24"/>
        </w:rPr>
        <w:t>★</w:t>
      </w:r>
      <w:r>
        <w:rPr>
          <w:rFonts w:ascii="宋体" w:hAnsi="宋体"/>
          <w:sz w:val="24"/>
        </w:rPr>
        <w:t>8</w:t>
      </w:r>
      <w:r>
        <w:rPr>
          <w:rFonts w:hint="eastAsia" w:ascii="宋体" w:hAnsi="宋体"/>
          <w:sz w:val="24"/>
        </w:rPr>
        <w:t>.投标产品具备检测机构出具的网络关键设备和网络安全专用产品安全认证合格证书或检测符合报告或有效期内的计算机信息系统安全专用产品销售许可证。</w:t>
      </w:r>
      <w:r>
        <w:rPr>
          <w:rFonts w:hint="eastAsia" w:ascii="宋体" w:hAnsi="宋体"/>
          <w:b/>
          <w:bCs/>
          <w:sz w:val="24"/>
        </w:rPr>
        <w:t>（提供合格证书或检测符合报告或销售许可证的复印件并加盖投标人单位公章）</w:t>
      </w:r>
    </w:p>
    <w:p w14:paraId="07B51284">
      <w:pPr>
        <w:pStyle w:val="4"/>
        <w:ind w:firstLine="482" w:firstLineChars="200"/>
        <w:rPr>
          <w:u w:val="none"/>
        </w:rPr>
      </w:pPr>
      <w:r>
        <w:rPr>
          <w:rFonts w:hint="eastAsia"/>
          <w:u w:val="none"/>
        </w:rPr>
        <w:t>标的2：业务防火墙</w:t>
      </w:r>
    </w:p>
    <w:p w14:paraId="7ED7E770">
      <w:pPr>
        <w:widowControl/>
        <w:spacing w:line="360" w:lineRule="auto"/>
        <w:ind w:firstLine="480" w:firstLineChars="200"/>
        <w:contextualSpacing/>
        <w:jc w:val="left"/>
        <w:rPr>
          <w:rFonts w:ascii="宋体" w:hAnsi="宋体"/>
          <w:sz w:val="24"/>
        </w:rPr>
      </w:pPr>
      <w:r>
        <w:rPr>
          <w:rFonts w:hint="eastAsia" w:ascii="宋体" w:hAnsi="宋体"/>
          <w:sz w:val="24"/>
        </w:rPr>
        <w:t>1.硬件指标：2U机架式设备,内存≥32G，机械硬盘≥4T，支持≥16个千兆电口，≥2个千兆光口，≥4个万兆光口,冗余电源,≥2个扩展槽位。</w:t>
      </w:r>
    </w:p>
    <w:p w14:paraId="7E401883">
      <w:pPr>
        <w:widowControl/>
        <w:spacing w:line="360" w:lineRule="auto"/>
        <w:ind w:firstLine="480" w:firstLineChars="200"/>
        <w:contextualSpacing/>
        <w:jc w:val="left"/>
        <w:rPr>
          <w:rFonts w:ascii="宋体" w:hAnsi="宋体"/>
          <w:sz w:val="24"/>
        </w:rPr>
      </w:pPr>
      <w:r>
        <w:rPr>
          <w:rFonts w:hint="eastAsia" w:ascii="宋体" w:hAnsi="宋体"/>
          <w:sz w:val="24"/>
        </w:rPr>
        <w:t>2.性能要求</w:t>
      </w:r>
    </w:p>
    <w:p w14:paraId="3D17CB9F">
      <w:pPr>
        <w:widowControl/>
        <w:spacing w:line="360" w:lineRule="auto"/>
        <w:ind w:firstLine="480" w:firstLineChars="200"/>
        <w:contextualSpacing/>
        <w:jc w:val="left"/>
        <w:rPr>
          <w:rFonts w:ascii="宋体" w:hAnsi="宋体"/>
          <w:sz w:val="24"/>
        </w:rPr>
      </w:pPr>
      <w:r>
        <w:rPr>
          <w:rFonts w:hint="eastAsia" w:ascii="宋体" w:hAnsi="宋体"/>
          <w:sz w:val="24"/>
        </w:rPr>
        <w:t>2.1防火墙吞吐≥26G；</w:t>
      </w:r>
    </w:p>
    <w:p w14:paraId="3038AEFC">
      <w:pPr>
        <w:widowControl/>
        <w:spacing w:line="360" w:lineRule="auto"/>
        <w:ind w:firstLine="480" w:firstLineChars="200"/>
        <w:contextualSpacing/>
        <w:jc w:val="left"/>
        <w:rPr>
          <w:rFonts w:ascii="宋体" w:hAnsi="宋体"/>
          <w:sz w:val="24"/>
        </w:rPr>
      </w:pPr>
      <w:r>
        <w:rPr>
          <w:rFonts w:hint="eastAsia" w:ascii="宋体" w:hAnsi="宋体"/>
          <w:sz w:val="24"/>
        </w:rPr>
        <w:t xml:space="preserve">2.2并发连接≥800万； </w:t>
      </w:r>
    </w:p>
    <w:p w14:paraId="7D89D5C3">
      <w:pPr>
        <w:widowControl/>
        <w:spacing w:line="360" w:lineRule="auto"/>
        <w:ind w:firstLine="480" w:firstLineChars="200"/>
        <w:contextualSpacing/>
        <w:jc w:val="left"/>
        <w:rPr>
          <w:rFonts w:ascii="宋体" w:hAnsi="宋体"/>
          <w:sz w:val="24"/>
        </w:rPr>
      </w:pPr>
      <w:r>
        <w:rPr>
          <w:rFonts w:hint="eastAsia" w:ascii="宋体" w:hAnsi="宋体"/>
          <w:sz w:val="24"/>
        </w:rPr>
        <w:t>2.3每秒新建连接≥10万。</w:t>
      </w:r>
    </w:p>
    <w:p w14:paraId="64DB28CF">
      <w:pPr>
        <w:widowControl/>
        <w:spacing w:line="360" w:lineRule="auto"/>
        <w:ind w:firstLine="480" w:firstLineChars="200"/>
        <w:contextualSpacing/>
        <w:jc w:val="left"/>
        <w:rPr>
          <w:rFonts w:ascii="宋体" w:hAnsi="宋体"/>
          <w:sz w:val="24"/>
        </w:rPr>
      </w:pPr>
      <w:r>
        <w:rPr>
          <w:rFonts w:hint="eastAsia" w:ascii="宋体" w:hAnsi="宋体"/>
          <w:sz w:val="24"/>
        </w:rPr>
        <w:t>3.网络接入</w:t>
      </w:r>
    </w:p>
    <w:p w14:paraId="1FCBCAE9">
      <w:pPr>
        <w:widowControl/>
        <w:spacing w:line="360" w:lineRule="auto"/>
        <w:ind w:firstLine="480" w:firstLineChars="200"/>
        <w:contextualSpacing/>
        <w:jc w:val="left"/>
        <w:rPr>
          <w:rFonts w:ascii="宋体" w:hAnsi="宋体"/>
          <w:sz w:val="24"/>
        </w:rPr>
      </w:pPr>
      <w:r>
        <w:rPr>
          <w:rFonts w:hint="eastAsia" w:ascii="宋体" w:hAnsi="宋体"/>
          <w:sz w:val="24"/>
        </w:rPr>
        <w:t>3.1支持RIP、OSPF、BGP4、QinQ（VLAN VPN）、PIM-SM、PIM-DM等。</w:t>
      </w:r>
    </w:p>
    <w:p w14:paraId="3014AFAD">
      <w:pPr>
        <w:widowControl/>
        <w:spacing w:line="360" w:lineRule="auto"/>
        <w:ind w:firstLine="480" w:firstLineChars="200"/>
        <w:contextualSpacing/>
        <w:jc w:val="left"/>
        <w:rPr>
          <w:rFonts w:ascii="宋体" w:hAnsi="宋体"/>
          <w:sz w:val="24"/>
        </w:rPr>
      </w:pPr>
      <w:r>
        <w:rPr>
          <w:rFonts w:hint="eastAsia" w:ascii="宋体" w:hAnsi="宋体"/>
          <w:sz w:val="24"/>
        </w:rPr>
        <w:t>3.2支持链路负载均衡功能，支持轮询、加权轮询、就近选路、优先级、带宽比率等多种链路负载均衡算法，支持备用选路算法，支持链路过载保护。</w:t>
      </w:r>
    </w:p>
    <w:p w14:paraId="0D17857A">
      <w:pPr>
        <w:widowControl/>
        <w:spacing w:line="360" w:lineRule="auto"/>
        <w:ind w:firstLine="480" w:firstLineChars="200"/>
        <w:contextualSpacing/>
        <w:jc w:val="left"/>
        <w:rPr>
          <w:rFonts w:ascii="宋体" w:hAnsi="宋体"/>
          <w:sz w:val="24"/>
        </w:rPr>
      </w:pPr>
      <w:r>
        <w:rPr>
          <w:rFonts w:hint="eastAsia" w:ascii="宋体" w:hAnsi="宋体"/>
          <w:sz w:val="24"/>
        </w:rPr>
        <w:t>4.访问控制</w:t>
      </w:r>
    </w:p>
    <w:p w14:paraId="2D40F7A8">
      <w:pPr>
        <w:widowControl/>
        <w:spacing w:line="360" w:lineRule="auto"/>
        <w:ind w:firstLine="480" w:firstLineChars="200"/>
        <w:contextualSpacing/>
        <w:jc w:val="left"/>
        <w:rPr>
          <w:rFonts w:ascii="宋体" w:hAnsi="宋体"/>
          <w:sz w:val="24"/>
        </w:rPr>
      </w:pPr>
      <w:r>
        <w:rPr>
          <w:rFonts w:hint="eastAsia" w:ascii="宋体" w:hAnsi="宋体"/>
          <w:sz w:val="24"/>
        </w:rPr>
        <w:t>4.1支持一体化安全策略配置，可以通过一条策略实现五元组、IPS、AV、高级威胁防护、WAF、APT等功能配置。</w:t>
      </w:r>
    </w:p>
    <w:p w14:paraId="22C510BA">
      <w:pPr>
        <w:widowControl/>
        <w:spacing w:line="360" w:lineRule="auto"/>
        <w:ind w:firstLine="480" w:firstLineChars="200"/>
        <w:contextualSpacing/>
        <w:jc w:val="left"/>
        <w:rPr>
          <w:rFonts w:ascii="宋体" w:hAnsi="宋体"/>
          <w:sz w:val="24"/>
        </w:rPr>
      </w:pPr>
      <w:r>
        <w:rPr>
          <w:rFonts w:hint="eastAsia" w:ascii="宋体" w:hAnsi="宋体"/>
          <w:sz w:val="24"/>
        </w:rPr>
        <w:t>4.2提供策略分析功能，支持策略命中分析、策略冗余分析、策略冲突检查、策略包含分析、宽泛策略分析，可在WEB界面显示检测结果。</w:t>
      </w:r>
    </w:p>
    <w:p w14:paraId="1DDCCC6A">
      <w:pPr>
        <w:widowControl/>
        <w:spacing w:line="360" w:lineRule="auto"/>
        <w:ind w:firstLine="480" w:firstLineChars="200"/>
        <w:contextualSpacing/>
        <w:jc w:val="left"/>
        <w:rPr>
          <w:rFonts w:ascii="宋体" w:hAnsi="宋体"/>
          <w:sz w:val="24"/>
        </w:rPr>
      </w:pPr>
      <w:r>
        <w:rPr>
          <w:rFonts w:hint="eastAsia" w:ascii="宋体" w:hAnsi="宋体"/>
          <w:sz w:val="24"/>
        </w:rPr>
        <w:t>4.3提供策略变更信息管理功能，支持查看变更策略、变更动作、变更时间、修改人、登陆IP，支持对变更前后的策略进行直观对比，并能一键还原配置。</w:t>
      </w:r>
    </w:p>
    <w:p w14:paraId="1113227F">
      <w:pPr>
        <w:widowControl/>
        <w:spacing w:line="360" w:lineRule="auto"/>
        <w:ind w:firstLine="480" w:firstLineChars="200"/>
        <w:contextualSpacing/>
        <w:jc w:val="left"/>
        <w:rPr>
          <w:rFonts w:ascii="宋体" w:hAnsi="宋体"/>
          <w:sz w:val="24"/>
        </w:rPr>
      </w:pPr>
      <w:r>
        <w:rPr>
          <w:rFonts w:hint="eastAsia" w:ascii="宋体" w:hAnsi="宋体"/>
          <w:sz w:val="24"/>
        </w:rPr>
        <w:t>5.虚拟系统</w:t>
      </w:r>
    </w:p>
    <w:p w14:paraId="1DFF3789">
      <w:pPr>
        <w:widowControl/>
        <w:spacing w:line="360" w:lineRule="auto"/>
        <w:ind w:firstLine="480" w:firstLineChars="200"/>
        <w:contextualSpacing/>
        <w:jc w:val="left"/>
        <w:rPr>
          <w:rFonts w:ascii="宋体" w:hAnsi="宋体"/>
          <w:sz w:val="24"/>
        </w:rPr>
      </w:pPr>
      <w:r>
        <w:rPr>
          <w:rFonts w:hint="eastAsia" w:ascii="宋体" w:hAnsi="宋体" w:cs="宋体"/>
          <w:bCs/>
          <w:kern w:val="0"/>
          <w:sz w:val="24"/>
        </w:rPr>
        <w:t>5.1</w:t>
      </w:r>
      <w:r>
        <w:rPr>
          <w:rFonts w:hint="eastAsia" w:ascii="宋体" w:hAnsi="宋体"/>
          <w:sz w:val="24"/>
        </w:rPr>
        <w:t>支持配置文件、路由、安全策略、病毒过滤、WAF、高级威胁防护、审计、报表等安全功能虚拟化。</w:t>
      </w:r>
    </w:p>
    <w:p w14:paraId="07C6B8C9">
      <w:pPr>
        <w:widowControl/>
        <w:spacing w:line="360" w:lineRule="auto"/>
        <w:ind w:firstLine="480" w:firstLineChars="200"/>
        <w:contextualSpacing/>
        <w:jc w:val="left"/>
        <w:rPr>
          <w:rFonts w:ascii="宋体" w:hAnsi="宋体"/>
          <w:sz w:val="24"/>
        </w:rPr>
      </w:pPr>
      <w:r>
        <w:rPr>
          <w:rFonts w:hint="eastAsia" w:ascii="宋体" w:hAnsi="宋体" w:cs="宋体"/>
          <w:bCs/>
          <w:kern w:val="0"/>
          <w:sz w:val="24"/>
        </w:rPr>
        <w:t>5.2</w:t>
      </w:r>
      <w:r>
        <w:rPr>
          <w:rFonts w:hint="eastAsia" w:ascii="宋体" w:hAnsi="宋体"/>
          <w:sz w:val="24"/>
        </w:rPr>
        <w:t>支持在一台物理设备上划分出不少于128个相互独立的虚拟系统，可根据连接配额及连接新建速率为每个虚拟系统分配资源，实配不少于24个虚拟防火墙授权。</w:t>
      </w:r>
    </w:p>
    <w:p w14:paraId="5F8F5FD8">
      <w:pPr>
        <w:widowControl/>
        <w:spacing w:line="360" w:lineRule="auto"/>
        <w:ind w:firstLine="480" w:firstLineChars="200"/>
        <w:contextualSpacing/>
        <w:jc w:val="left"/>
        <w:rPr>
          <w:rFonts w:ascii="宋体" w:hAnsi="宋体"/>
          <w:sz w:val="24"/>
        </w:rPr>
      </w:pPr>
      <w:r>
        <w:rPr>
          <w:rFonts w:hint="eastAsia" w:ascii="宋体" w:hAnsi="宋体"/>
          <w:sz w:val="24"/>
        </w:rPr>
        <w:t>6.应用管控：支持对P2P、数据库、移动应用、加密流量、远程控制软件、工控物联网协议等的流量进行识别控制，支持自定义应用特征。</w:t>
      </w:r>
    </w:p>
    <w:p w14:paraId="6A78C483">
      <w:pPr>
        <w:widowControl/>
        <w:spacing w:line="360" w:lineRule="auto"/>
        <w:ind w:firstLine="480" w:firstLineChars="200"/>
        <w:contextualSpacing/>
        <w:jc w:val="left"/>
        <w:rPr>
          <w:rFonts w:ascii="宋体" w:hAnsi="宋体"/>
          <w:sz w:val="24"/>
        </w:rPr>
      </w:pPr>
      <w:r>
        <w:rPr>
          <w:rFonts w:hint="eastAsia" w:ascii="宋体" w:hAnsi="宋体"/>
          <w:sz w:val="24"/>
        </w:rPr>
        <w:t>7.入侵防御：规则库支持根据攻击类型、风险等级、流行程度、操作系统等进行分类，防护动作包括告警、阻断、记录攻击报文。</w:t>
      </w:r>
    </w:p>
    <w:p w14:paraId="22719571">
      <w:pPr>
        <w:widowControl/>
        <w:spacing w:line="360" w:lineRule="auto"/>
        <w:ind w:firstLine="480" w:firstLineChars="200"/>
        <w:contextualSpacing/>
        <w:jc w:val="left"/>
        <w:rPr>
          <w:rFonts w:ascii="宋体" w:hAnsi="宋体"/>
          <w:sz w:val="24"/>
        </w:rPr>
      </w:pPr>
      <w:r>
        <w:rPr>
          <w:rFonts w:hint="eastAsia" w:ascii="宋体" w:hAnsi="宋体"/>
          <w:sz w:val="24"/>
        </w:rPr>
        <w:t>8.病毒过滤：支持对HTTP/SMTP/POP3/FTP/IMAP/IM等协议进行病毒防御，病毒特征库规模超过400万；支持对6级以上的压缩文件进行解压查杀。</w:t>
      </w:r>
    </w:p>
    <w:p w14:paraId="11BB6CD9">
      <w:pPr>
        <w:widowControl/>
        <w:spacing w:line="360" w:lineRule="auto"/>
        <w:ind w:firstLine="480" w:firstLineChars="200"/>
        <w:contextualSpacing/>
        <w:jc w:val="left"/>
        <w:rPr>
          <w:rFonts w:ascii="宋体" w:hAnsi="宋体"/>
          <w:sz w:val="24"/>
        </w:rPr>
      </w:pPr>
      <w:r>
        <w:rPr>
          <w:rFonts w:hint="eastAsia" w:ascii="宋体" w:hAnsi="宋体"/>
          <w:sz w:val="24"/>
        </w:rPr>
        <w:t>9.僵尸木马蠕虫防御：支持独立的引擎，支持预定义规则库，特征总数在6600条以上，可对僵尸、木马、蠕虫、勒索软件进行防护。</w:t>
      </w:r>
    </w:p>
    <w:p w14:paraId="67F41211">
      <w:pPr>
        <w:widowControl/>
        <w:spacing w:line="360" w:lineRule="auto"/>
        <w:ind w:firstLine="480" w:firstLineChars="200"/>
        <w:contextualSpacing/>
        <w:jc w:val="left"/>
        <w:rPr>
          <w:rFonts w:ascii="宋体" w:hAnsi="宋体"/>
          <w:sz w:val="24"/>
        </w:rPr>
      </w:pPr>
      <w:r>
        <w:rPr>
          <w:rFonts w:hint="eastAsia" w:ascii="宋体" w:hAnsi="宋体"/>
          <w:sz w:val="24"/>
        </w:rPr>
        <w:t>10.信息防泄漏：内置数据过滤功能，支持HTTP、FTP、POP3、SMTP等协议，可对预置身份证号、护照号、银行卡号、手机号等敏感信息和自定义关键字进行过滤，可对FTP命令和邮件标题、正文、附件、收发件人进行过滤。</w:t>
      </w:r>
    </w:p>
    <w:p w14:paraId="608C8C95">
      <w:pPr>
        <w:widowControl/>
        <w:spacing w:line="360" w:lineRule="auto"/>
        <w:ind w:firstLine="480" w:firstLineChars="200"/>
        <w:contextualSpacing/>
        <w:jc w:val="left"/>
        <w:rPr>
          <w:rFonts w:ascii="宋体" w:hAnsi="宋体"/>
          <w:sz w:val="24"/>
        </w:rPr>
      </w:pPr>
      <w:r>
        <w:rPr>
          <w:rFonts w:hint="eastAsia" w:ascii="宋体" w:hAnsi="宋体" w:cs="宋体"/>
          <w:bCs/>
          <w:kern w:val="0"/>
          <w:sz w:val="24"/>
        </w:rPr>
        <w:t>▲</w:t>
      </w:r>
      <w:r>
        <w:rPr>
          <w:rFonts w:hint="eastAsia" w:ascii="宋体" w:hAnsi="宋体"/>
          <w:sz w:val="24"/>
        </w:rPr>
        <w:t>11.高级威胁防护：内置高级威胁防护，可对DGA、隐蔽信道、恶意加密流量进行检测，支持监控高级威胁检测数据，并进行可视化展示。</w:t>
      </w:r>
      <w:r>
        <w:rPr>
          <w:rFonts w:hint="eastAsia" w:ascii="宋体" w:hAnsi="宋体"/>
          <w:b/>
          <w:bCs/>
          <w:sz w:val="24"/>
        </w:rPr>
        <w:t>（提供产品功能截图并加盖投标人单位公章）</w:t>
      </w:r>
    </w:p>
    <w:p w14:paraId="6D459ADA">
      <w:pPr>
        <w:widowControl/>
        <w:spacing w:line="360" w:lineRule="auto"/>
        <w:ind w:firstLine="480" w:firstLineChars="200"/>
        <w:contextualSpacing/>
        <w:jc w:val="left"/>
        <w:rPr>
          <w:rFonts w:ascii="宋体" w:hAnsi="宋体"/>
          <w:b/>
          <w:bCs/>
          <w:sz w:val="24"/>
        </w:rPr>
      </w:pPr>
      <w:r>
        <w:rPr>
          <w:rFonts w:hint="eastAsia" w:ascii="宋体" w:hAnsi="宋体"/>
          <w:sz w:val="24"/>
        </w:rPr>
        <w:t>★12. 投标产品具备检测机构出具的网络关键设备和网络安全专用产品安全认证合格证书或检测符合报告或有效期内的计算机信息系统安全专用产品销售许可证。</w:t>
      </w:r>
      <w:r>
        <w:rPr>
          <w:rFonts w:hint="eastAsia" w:ascii="宋体" w:hAnsi="宋体"/>
          <w:b/>
          <w:bCs/>
          <w:sz w:val="24"/>
        </w:rPr>
        <w:t>（提供合格证书或检测符合报告或销售许可证的复印件并加盖投标人单位公章）</w:t>
      </w:r>
    </w:p>
    <w:p w14:paraId="18DBD1D0">
      <w:pPr>
        <w:pStyle w:val="4"/>
        <w:ind w:firstLine="482" w:firstLineChars="200"/>
        <w:rPr>
          <w:u w:val="none"/>
        </w:rPr>
      </w:pPr>
      <w:r>
        <w:rPr>
          <w:rFonts w:hint="eastAsia"/>
          <w:u w:val="none"/>
        </w:rPr>
        <w:t>标的3：网络安全审计</w:t>
      </w:r>
    </w:p>
    <w:p w14:paraId="78EBB967">
      <w:pPr>
        <w:widowControl/>
        <w:spacing w:line="360" w:lineRule="auto"/>
        <w:ind w:firstLine="480" w:firstLineChars="200"/>
        <w:contextualSpacing/>
        <w:jc w:val="left"/>
        <w:rPr>
          <w:rFonts w:ascii="宋体" w:hAnsi="宋体"/>
          <w:sz w:val="24"/>
        </w:rPr>
      </w:pPr>
      <w:r>
        <w:rPr>
          <w:rFonts w:hint="eastAsia" w:ascii="宋体" w:hAnsi="宋体"/>
          <w:sz w:val="24"/>
        </w:rPr>
        <w:t>1.硬件规格：标准机架式设备，设备尺寸≥2U，≥10个10/100/1000M自适应电口，≥4个千兆光口，硬盘容量≥1T，冗余电源。</w:t>
      </w:r>
    </w:p>
    <w:p w14:paraId="45165A5A">
      <w:pPr>
        <w:widowControl/>
        <w:spacing w:line="360" w:lineRule="auto"/>
        <w:ind w:firstLine="480" w:firstLineChars="200"/>
        <w:contextualSpacing/>
        <w:jc w:val="left"/>
        <w:rPr>
          <w:rFonts w:ascii="宋体" w:hAnsi="宋体"/>
          <w:sz w:val="24"/>
        </w:rPr>
      </w:pPr>
      <w:r>
        <w:rPr>
          <w:rFonts w:hint="eastAsia" w:ascii="宋体" w:hAnsi="宋体"/>
          <w:sz w:val="24"/>
        </w:rPr>
        <w:t>2.性能要求：带宽≥500M，最大并发连接数≥60万，最大每秒新建连接数≥35000。</w:t>
      </w:r>
    </w:p>
    <w:p w14:paraId="2B4831E0">
      <w:pPr>
        <w:widowControl/>
        <w:spacing w:line="360" w:lineRule="auto"/>
        <w:ind w:firstLine="480" w:firstLineChars="200"/>
        <w:contextualSpacing/>
        <w:jc w:val="left"/>
        <w:rPr>
          <w:rFonts w:ascii="宋体" w:hAnsi="宋体"/>
          <w:sz w:val="24"/>
        </w:rPr>
      </w:pPr>
      <w:r>
        <w:rPr>
          <w:rFonts w:hint="eastAsia" w:ascii="宋体" w:hAnsi="宋体"/>
          <w:sz w:val="24"/>
        </w:rPr>
        <w:t>3.售后和授权：提供≥3年原厂硬件质保服务，授权≥3年URL库、应用协议库更新服务、软件版本升级服务，提供投标产品制造商售后服务承诺函。</w:t>
      </w:r>
    </w:p>
    <w:p w14:paraId="5D86BD31">
      <w:pPr>
        <w:widowControl/>
        <w:spacing w:line="360" w:lineRule="auto"/>
        <w:ind w:firstLine="480" w:firstLineChars="200"/>
        <w:contextualSpacing/>
        <w:jc w:val="left"/>
        <w:rPr>
          <w:rFonts w:ascii="宋体" w:hAnsi="宋体"/>
          <w:sz w:val="24"/>
        </w:rPr>
      </w:pPr>
      <w:r>
        <w:rPr>
          <w:rFonts w:hint="eastAsia" w:ascii="宋体" w:hAnsi="宋体"/>
          <w:sz w:val="24"/>
        </w:rPr>
        <w:t>4.IPv6支持</w:t>
      </w:r>
    </w:p>
    <w:p w14:paraId="343E9F76">
      <w:pPr>
        <w:widowControl/>
        <w:spacing w:line="360" w:lineRule="auto"/>
        <w:ind w:firstLine="480" w:firstLineChars="200"/>
        <w:contextualSpacing/>
        <w:jc w:val="left"/>
        <w:rPr>
          <w:rFonts w:ascii="宋体" w:hAnsi="宋体"/>
          <w:sz w:val="24"/>
        </w:rPr>
      </w:pPr>
      <w:r>
        <w:rPr>
          <w:rFonts w:hint="eastAsia" w:ascii="宋体" w:hAnsi="宋体"/>
          <w:sz w:val="24"/>
        </w:rPr>
        <w:t>4.1能够支持IPv6环境下的网址访问审计、生成分析报表等功能；能够在IPv6环境下，正确审计显示用户的IPv6地址；用户识别和认证支持IPv6；</w:t>
      </w:r>
    </w:p>
    <w:p w14:paraId="1E254652">
      <w:pPr>
        <w:widowControl/>
        <w:spacing w:line="360" w:lineRule="auto"/>
        <w:ind w:firstLine="480" w:firstLineChars="200"/>
        <w:contextualSpacing/>
        <w:jc w:val="left"/>
        <w:rPr>
          <w:rFonts w:ascii="宋体" w:hAnsi="宋体"/>
          <w:sz w:val="24"/>
        </w:rPr>
      </w:pPr>
      <w:r>
        <w:rPr>
          <w:rFonts w:hint="eastAsia" w:ascii="宋体" w:hAnsi="宋体"/>
          <w:sz w:val="24"/>
        </w:rPr>
        <w:t>4.2网络接口配置支持IPv6功能；管理口增加DHCPv6地址获取、静态域名解析支持IPv6、支持DNSv6功能。</w:t>
      </w:r>
    </w:p>
    <w:p w14:paraId="3013DCC3">
      <w:pPr>
        <w:widowControl/>
        <w:spacing w:line="360" w:lineRule="auto"/>
        <w:ind w:firstLine="480" w:firstLineChars="200"/>
        <w:contextualSpacing/>
        <w:jc w:val="left"/>
        <w:rPr>
          <w:rFonts w:ascii="宋体" w:hAnsi="宋体"/>
          <w:sz w:val="24"/>
        </w:rPr>
      </w:pPr>
      <w:r>
        <w:rPr>
          <w:rFonts w:hint="eastAsia" w:ascii="宋体" w:hAnsi="宋体" w:cs="宋体"/>
          <w:bCs/>
          <w:kern w:val="0"/>
          <w:sz w:val="24"/>
        </w:rPr>
        <w:t>▲</w:t>
      </w:r>
      <w:r>
        <w:rPr>
          <w:rFonts w:hint="eastAsia" w:ascii="宋体" w:hAnsi="宋体"/>
          <w:sz w:val="24"/>
        </w:rPr>
        <w:t>5.系统监控：首页至少可集中展示：安全等级、效率等级、合规等级、管控等级、管控效果、运行状态、安全状态、泄密风险状态、合规状态、应用使用状态以及特征库规模详情。</w:t>
      </w:r>
      <w:r>
        <w:rPr>
          <w:rFonts w:hint="eastAsia" w:ascii="宋体" w:hAnsi="宋体"/>
          <w:b/>
          <w:bCs/>
          <w:sz w:val="24"/>
        </w:rPr>
        <w:t>（提供产品功能截图并加盖投标人单位公章）</w:t>
      </w:r>
    </w:p>
    <w:p w14:paraId="3B274460">
      <w:pPr>
        <w:widowControl/>
        <w:spacing w:line="360" w:lineRule="auto"/>
        <w:ind w:firstLine="480" w:firstLineChars="200"/>
        <w:contextualSpacing/>
        <w:jc w:val="left"/>
        <w:rPr>
          <w:rFonts w:ascii="宋体" w:hAnsi="宋体" w:cs="宋体"/>
          <w:bCs/>
          <w:kern w:val="0"/>
          <w:sz w:val="24"/>
        </w:rPr>
      </w:pPr>
      <w:r>
        <w:rPr>
          <w:rFonts w:hint="eastAsia" w:ascii="宋体" w:hAnsi="宋体"/>
          <w:sz w:val="24"/>
        </w:rPr>
        <w:t>6.应用审计及控制：应用协议库包含的应用数量不低于15000种，其中大模型应用数量不低于3000个；支持按照客户业务场景自定义标签加入应用管控。</w:t>
      </w:r>
    </w:p>
    <w:p w14:paraId="447E10BB">
      <w:pPr>
        <w:widowControl/>
        <w:spacing w:line="360" w:lineRule="auto"/>
        <w:ind w:firstLine="480" w:firstLineChars="200"/>
        <w:contextualSpacing/>
        <w:jc w:val="left"/>
        <w:rPr>
          <w:rFonts w:ascii="宋体" w:hAnsi="宋体"/>
          <w:sz w:val="24"/>
        </w:rPr>
      </w:pPr>
      <w:r>
        <w:rPr>
          <w:rFonts w:hint="eastAsia" w:ascii="宋体" w:hAnsi="宋体"/>
          <w:sz w:val="24"/>
        </w:rPr>
        <w:t>7.网站分类库：应支持≥2.8亿条URL数据，在系统有URL库更新情况详细说明。</w:t>
      </w:r>
    </w:p>
    <w:p w14:paraId="3C48AB46">
      <w:pPr>
        <w:widowControl/>
        <w:spacing w:line="360" w:lineRule="auto"/>
        <w:ind w:firstLine="480" w:firstLineChars="200"/>
        <w:contextualSpacing/>
        <w:jc w:val="left"/>
        <w:rPr>
          <w:rFonts w:ascii="宋体" w:hAnsi="宋体"/>
          <w:sz w:val="24"/>
        </w:rPr>
      </w:pPr>
      <w:r>
        <w:rPr>
          <w:rFonts w:hint="eastAsia" w:ascii="宋体" w:hAnsi="宋体"/>
          <w:sz w:val="24"/>
        </w:rPr>
        <w:t>8.网址访问审计与管理</w:t>
      </w:r>
    </w:p>
    <w:p w14:paraId="108BC667">
      <w:pPr>
        <w:widowControl/>
        <w:spacing w:line="360" w:lineRule="auto"/>
        <w:ind w:firstLine="480" w:firstLineChars="200"/>
        <w:contextualSpacing/>
        <w:jc w:val="left"/>
        <w:rPr>
          <w:rFonts w:ascii="宋体" w:hAnsi="宋体"/>
          <w:sz w:val="24"/>
        </w:rPr>
      </w:pPr>
      <w:r>
        <w:rPr>
          <w:rFonts w:hint="eastAsia" w:ascii="宋体" w:hAnsi="宋体"/>
          <w:sz w:val="24"/>
        </w:rPr>
        <w:t>8.1可根据URL库及URL关键字进行网址访问管理，支持一条策略实现阻断、记录、告警。</w:t>
      </w:r>
    </w:p>
    <w:p w14:paraId="3625698C">
      <w:pPr>
        <w:widowControl/>
        <w:spacing w:line="360" w:lineRule="auto"/>
        <w:ind w:firstLine="480" w:firstLineChars="200"/>
        <w:contextualSpacing/>
        <w:jc w:val="left"/>
        <w:rPr>
          <w:rFonts w:ascii="宋体" w:hAnsi="宋体"/>
          <w:sz w:val="24"/>
        </w:rPr>
      </w:pPr>
      <w:r>
        <w:rPr>
          <w:rFonts w:hint="eastAsia" w:ascii="宋体" w:hAnsi="宋体"/>
          <w:sz w:val="24"/>
        </w:rPr>
        <w:t>8.2可根据网页内容关键字进行审计与过滤，支持一条策略实现阻断、记录、告警；每个关键字对象要求可至少录入500个关键字。</w:t>
      </w:r>
    </w:p>
    <w:p w14:paraId="0070D330">
      <w:pPr>
        <w:widowControl/>
        <w:spacing w:line="360" w:lineRule="auto"/>
        <w:ind w:firstLine="480" w:firstLineChars="200"/>
        <w:contextualSpacing/>
        <w:jc w:val="left"/>
        <w:rPr>
          <w:rFonts w:ascii="宋体" w:hAnsi="宋体"/>
          <w:sz w:val="24"/>
        </w:rPr>
      </w:pPr>
      <w:r>
        <w:rPr>
          <w:rFonts w:hint="eastAsia" w:ascii="宋体" w:hAnsi="宋体"/>
          <w:sz w:val="24"/>
        </w:rPr>
        <w:t>9.流控策略</w:t>
      </w:r>
    </w:p>
    <w:p w14:paraId="312A85D6">
      <w:pPr>
        <w:widowControl/>
        <w:spacing w:line="360" w:lineRule="auto"/>
        <w:ind w:firstLine="480" w:firstLineChars="200"/>
        <w:contextualSpacing/>
        <w:jc w:val="left"/>
        <w:rPr>
          <w:rFonts w:ascii="宋体" w:hAnsi="宋体"/>
          <w:sz w:val="24"/>
        </w:rPr>
      </w:pPr>
      <w:r>
        <w:rPr>
          <w:rFonts w:hint="eastAsia" w:ascii="宋体" w:hAnsi="宋体"/>
          <w:sz w:val="24"/>
        </w:rPr>
        <w:t>9.1支持多级虚拟通道，可以将物理带宽分成至少7级虚拟通道，合理分配物理带宽资源；</w:t>
      </w:r>
    </w:p>
    <w:p w14:paraId="38CE87D2">
      <w:pPr>
        <w:widowControl/>
        <w:spacing w:line="360" w:lineRule="auto"/>
        <w:ind w:firstLine="480" w:firstLineChars="200"/>
        <w:contextualSpacing/>
        <w:jc w:val="left"/>
        <w:rPr>
          <w:rFonts w:ascii="宋体" w:hAnsi="宋体"/>
          <w:sz w:val="24"/>
        </w:rPr>
      </w:pPr>
      <w:r>
        <w:rPr>
          <w:rFonts w:hint="eastAsia" w:ascii="宋体" w:hAnsi="宋体"/>
          <w:sz w:val="24"/>
        </w:rPr>
        <w:t>9.2支持基于用户、时间、应用创建流量控制策略。</w:t>
      </w:r>
    </w:p>
    <w:p w14:paraId="23831720">
      <w:pPr>
        <w:widowControl/>
        <w:spacing w:line="360" w:lineRule="auto"/>
        <w:ind w:firstLine="480" w:firstLineChars="200"/>
        <w:contextualSpacing/>
        <w:jc w:val="left"/>
        <w:rPr>
          <w:rFonts w:ascii="宋体" w:hAnsi="宋体"/>
          <w:sz w:val="24"/>
        </w:rPr>
      </w:pPr>
      <w:r>
        <w:rPr>
          <w:rFonts w:hint="eastAsia" w:ascii="宋体" w:hAnsi="宋体"/>
          <w:sz w:val="24"/>
        </w:rPr>
        <w:t>9.3支持基于源IP、目的IP和服务创建流量控制策略。</w:t>
      </w:r>
    </w:p>
    <w:p w14:paraId="2326E5BF">
      <w:pPr>
        <w:widowControl/>
        <w:spacing w:line="360" w:lineRule="auto"/>
        <w:ind w:firstLine="480" w:firstLineChars="200"/>
        <w:contextualSpacing/>
        <w:jc w:val="left"/>
        <w:rPr>
          <w:rFonts w:ascii="宋体" w:hAnsi="宋体"/>
          <w:sz w:val="24"/>
        </w:rPr>
      </w:pPr>
      <w:r>
        <w:rPr>
          <w:rFonts w:hint="eastAsia" w:ascii="宋体" w:hAnsi="宋体"/>
          <w:sz w:val="24"/>
        </w:rPr>
        <w:t>10.业务审计</w:t>
      </w:r>
    </w:p>
    <w:p w14:paraId="62E99200">
      <w:pPr>
        <w:widowControl/>
        <w:spacing w:line="360" w:lineRule="auto"/>
        <w:ind w:firstLine="480" w:firstLineChars="200"/>
        <w:contextualSpacing/>
        <w:jc w:val="left"/>
        <w:rPr>
          <w:rFonts w:ascii="宋体" w:hAnsi="宋体"/>
          <w:b/>
          <w:sz w:val="24"/>
        </w:rPr>
      </w:pPr>
      <w:r>
        <w:rPr>
          <w:rFonts w:hint="eastAsia" w:ascii="宋体" w:hAnsi="宋体" w:cs="宋体"/>
          <w:bCs/>
          <w:kern w:val="0"/>
          <w:sz w:val="24"/>
        </w:rPr>
        <w:t>1</w:t>
      </w:r>
      <w:r>
        <w:rPr>
          <w:rFonts w:ascii="宋体" w:hAnsi="宋体" w:cs="宋体"/>
          <w:bCs/>
          <w:kern w:val="0"/>
          <w:sz w:val="24"/>
        </w:rPr>
        <w:t>0.1</w:t>
      </w:r>
      <w:r>
        <w:rPr>
          <w:rFonts w:hint="eastAsia" w:ascii="宋体" w:hAnsi="宋体"/>
          <w:sz w:val="24"/>
        </w:rPr>
        <w:t>支持业务系统访问及API接口进行双向扫描、通过敏感信息、安全漏洞、行为接口、自定义接口规则等识别并标识数据及传输风险。</w:t>
      </w:r>
    </w:p>
    <w:p w14:paraId="7E8DA8DF">
      <w:pPr>
        <w:widowControl/>
        <w:spacing w:line="360" w:lineRule="auto"/>
        <w:ind w:firstLine="480" w:firstLineChars="200"/>
        <w:contextualSpacing/>
        <w:jc w:val="left"/>
        <w:rPr>
          <w:rFonts w:ascii="宋体" w:hAnsi="宋体"/>
          <w:sz w:val="24"/>
        </w:rPr>
      </w:pPr>
      <w:r>
        <w:rPr>
          <w:rFonts w:hint="eastAsia" w:ascii="宋体" w:hAnsi="宋体"/>
          <w:sz w:val="24"/>
        </w:rPr>
        <w:t>10.2支持业务审计监控，可以查看最近某段时间内扫描到的业务系统访问数据的统计及排行；</w:t>
      </w:r>
    </w:p>
    <w:p w14:paraId="23D07344">
      <w:pPr>
        <w:widowControl/>
        <w:spacing w:line="360" w:lineRule="auto"/>
        <w:ind w:firstLine="480" w:firstLineChars="200"/>
        <w:contextualSpacing/>
        <w:jc w:val="left"/>
        <w:rPr>
          <w:rFonts w:ascii="宋体" w:hAnsi="宋体"/>
          <w:sz w:val="24"/>
        </w:rPr>
      </w:pPr>
      <w:r>
        <w:rPr>
          <w:rFonts w:hint="eastAsia" w:ascii="宋体" w:hAnsi="宋体"/>
          <w:sz w:val="24"/>
        </w:rPr>
        <w:t>10.3对业务访问和API接口请求进行内容详情记录，支持列表视图查看记录日志。</w:t>
      </w:r>
    </w:p>
    <w:p w14:paraId="040B19A4">
      <w:pPr>
        <w:widowControl/>
        <w:spacing w:line="360" w:lineRule="auto"/>
        <w:ind w:firstLine="480" w:firstLineChars="200"/>
        <w:contextualSpacing/>
        <w:jc w:val="left"/>
        <w:rPr>
          <w:rFonts w:ascii="宋体" w:hAnsi="宋体"/>
          <w:sz w:val="24"/>
        </w:rPr>
      </w:pPr>
      <w:r>
        <w:rPr>
          <w:rFonts w:hint="eastAsia" w:ascii="宋体" w:hAnsi="宋体"/>
          <w:sz w:val="24"/>
        </w:rPr>
        <w:t>11.日志查询与统计：可查询到网页访问、论坛发帖，webmail、邮件收发、应用访问、应用流量历史日志；可生成网页访问、论坛发帖，webmail、邮件收发、应用访问、应用流量、通道分析等各种统计报表。</w:t>
      </w:r>
    </w:p>
    <w:p w14:paraId="0CB19602">
      <w:pPr>
        <w:widowControl/>
        <w:spacing w:line="360" w:lineRule="auto"/>
        <w:ind w:firstLine="480" w:firstLineChars="200"/>
        <w:contextualSpacing/>
        <w:jc w:val="left"/>
        <w:rPr>
          <w:rFonts w:ascii="宋体" w:hAnsi="宋体"/>
          <w:b/>
          <w:bCs/>
          <w:sz w:val="24"/>
        </w:rPr>
      </w:pPr>
      <w:r>
        <w:rPr>
          <w:rFonts w:hint="eastAsia" w:ascii="宋体" w:hAnsi="宋体"/>
          <w:sz w:val="24"/>
        </w:rPr>
        <w:t>★12. 投标产品具备检测机构出具的网络关键设备和网络安全专用产品安全认证合格证书或检测符合报告或有效期内的计算机信息系统安全专用产品销售许可证。</w:t>
      </w:r>
      <w:r>
        <w:rPr>
          <w:rFonts w:hint="eastAsia" w:ascii="宋体" w:hAnsi="宋体"/>
          <w:b/>
          <w:bCs/>
          <w:sz w:val="24"/>
        </w:rPr>
        <w:t>（提供合格证书或检测符合报告或销售许可证的复印件并加盖投标人单位公章）</w:t>
      </w:r>
    </w:p>
    <w:p w14:paraId="711553B8">
      <w:pPr>
        <w:pStyle w:val="4"/>
        <w:ind w:firstLine="482" w:firstLineChars="200"/>
        <w:rPr>
          <w:u w:val="none"/>
        </w:rPr>
      </w:pPr>
      <w:r>
        <w:rPr>
          <w:rFonts w:hint="eastAsia"/>
          <w:u w:val="none"/>
        </w:rPr>
        <w:t>标的4：日志审计</w:t>
      </w:r>
    </w:p>
    <w:p w14:paraId="1C1F49DA">
      <w:pPr>
        <w:widowControl/>
        <w:spacing w:line="360" w:lineRule="auto"/>
        <w:ind w:firstLine="480" w:firstLineChars="200"/>
        <w:contextualSpacing/>
        <w:jc w:val="left"/>
        <w:rPr>
          <w:rFonts w:ascii="宋体" w:hAnsi="宋体"/>
          <w:sz w:val="24"/>
        </w:rPr>
      </w:pPr>
      <w:r>
        <w:rPr>
          <w:rFonts w:hint="eastAsia" w:ascii="宋体" w:hAnsi="宋体"/>
          <w:sz w:val="24"/>
        </w:rPr>
        <w:t>1.硬件规格：2U,含交流冗余电源模块，≥2*USB接口，≥1*RJ45串口，≥2*GE管理口，≥8个10/100/1000M电口，≥1*16TB硬盘，内存≥32GB，CPU≥2核4线程，日志处理性能（均值）≥7000EPS，≥500个日志源的许可证。</w:t>
      </w:r>
    </w:p>
    <w:p w14:paraId="765454EC">
      <w:pPr>
        <w:widowControl/>
        <w:spacing w:line="360" w:lineRule="auto"/>
        <w:ind w:firstLine="480" w:firstLineChars="200"/>
        <w:contextualSpacing/>
        <w:jc w:val="left"/>
        <w:rPr>
          <w:rFonts w:ascii="宋体" w:hAnsi="宋体"/>
          <w:sz w:val="24"/>
        </w:rPr>
      </w:pPr>
      <w:r>
        <w:rPr>
          <w:rFonts w:hint="eastAsia" w:ascii="宋体" w:hAnsi="宋体"/>
          <w:sz w:val="24"/>
        </w:rPr>
        <w:t>2.性能要求：日志处理性能（均值）≥7000EPS，≥</w:t>
      </w:r>
      <w:r>
        <w:rPr>
          <w:rFonts w:ascii="宋体" w:hAnsi="宋体"/>
          <w:sz w:val="24"/>
        </w:rPr>
        <w:t>500个日志源的许可</w:t>
      </w:r>
      <w:r>
        <w:rPr>
          <w:rFonts w:hint="eastAsia" w:ascii="宋体" w:hAnsi="宋体"/>
          <w:sz w:val="24"/>
        </w:rPr>
        <w:t>证。</w:t>
      </w:r>
    </w:p>
    <w:p w14:paraId="78DC3D0F">
      <w:pPr>
        <w:widowControl/>
        <w:spacing w:line="360" w:lineRule="auto"/>
        <w:ind w:firstLine="480" w:firstLineChars="200"/>
        <w:contextualSpacing/>
        <w:jc w:val="left"/>
        <w:rPr>
          <w:rFonts w:ascii="宋体" w:hAnsi="宋体"/>
          <w:sz w:val="24"/>
        </w:rPr>
      </w:pPr>
      <w:r>
        <w:rPr>
          <w:rFonts w:hint="eastAsia" w:ascii="宋体" w:hAnsi="宋体"/>
          <w:sz w:val="24"/>
        </w:rPr>
        <w:t>3.日志采集</w:t>
      </w:r>
    </w:p>
    <w:p w14:paraId="3E0A5424">
      <w:pPr>
        <w:widowControl/>
        <w:spacing w:line="360" w:lineRule="auto"/>
        <w:ind w:firstLine="480" w:firstLineChars="200"/>
        <w:contextualSpacing/>
        <w:jc w:val="left"/>
        <w:rPr>
          <w:rFonts w:ascii="宋体" w:hAnsi="宋体"/>
          <w:sz w:val="24"/>
        </w:rPr>
      </w:pPr>
      <w:r>
        <w:rPr>
          <w:rFonts w:hint="eastAsia" w:ascii="宋体" w:hAnsi="宋体" w:cs="宋体"/>
          <w:bCs/>
          <w:kern w:val="0"/>
          <w:sz w:val="24"/>
        </w:rPr>
        <w:t>▲3.1</w:t>
      </w:r>
      <w:r>
        <w:rPr>
          <w:rFonts w:hint="eastAsia" w:ascii="宋体" w:hAnsi="宋体"/>
          <w:sz w:val="24"/>
        </w:rPr>
        <w:t>系统支持的数据采集范围包括但不限于网络安全设备、交换设备、路由设备、操作系统、应用系统、Windows共享文件审计等。</w:t>
      </w:r>
      <w:r>
        <w:rPr>
          <w:rFonts w:hint="eastAsia" w:ascii="宋体" w:hAnsi="宋体"/>
          <w:b/>
          <w:bCs/>
          <w:sz w:val="24"/>
        </w:rPr>
        <w:t>（提供产品功能截图并加盖投标人单位公章）</w:t>
      </w:r>
    </w:p>
    <w:p w14:paraId="570E4D53">
      <w:pPr>
        <w:widowControl/>
        <w:spacing w:line="360" w:lineRule="auto"/>
        <w:ind w:firstLine="480" w:firstLineChars="200"/>
        <w:contextualSpacing/>
        <w:jc w:val="left"/>
        <w:rPr>
          <w:rFonts w:ascii="宋体" w:hAnsi="宋体"/>
          <w:sz w:val="24"/>
        </w:rPr>
      </w:pPr>
      <w:r>
        <w:rPr>
          <w:rFonts w:hint="eastAsia" w:ascii="宋体" w:hAnsi="宋体"/>
          <w:sz w:val="24"/>
        </w:rPr>
        <w:t>3.2系统支持的数据采集方式包括但不限于SYSLOG、RSYSLOG、NetFlow V9等五种以上方式采集日志。</w:t>
      </w:r>
    </w:p>
    <w:p w14:paraId="3732298D">
      <w:pPr>
        <w:widowControl/>
        <w:spacing w:line="360" w:lineRule="auto"/>
        <w:ind w:firstLine="480" w:firstLineChars="200"/>
        <w:contextualSpacing/>
        <w:jc w:val="left"/>
        <w:rPr>
          <w:rFonts w:ascii="宋体" w:hAnsi="宋体"/>
          <w:sz w:val="24"/>
        </w:rPr>
      </w:pPr>
      <w:r>
        <w:rPr>
          <w:rFonts w:hint="eastAsia" w:ascii="宋体" w:hAnsi="宋体" w:cs="宋体"/>
          <w:bCs/>
          <w:kern w:val="0"/>
          <w:sz w:val="24"/>
        </w:rPr>
        <w:t>3.3</w:t>
      </w:r>
      <w:r>
        <w:rPr>
          <w:rFonts w:hint="eastAsia" w:ascii="宋体" w:hAnsi="宋体"/>
          <w:sz w:val="24"/>
        </w:rPr>
        <w:t>系统应支持规则自适应日志接入，仅输入端口即可自动匹配相应规则，完成日志自动接入。</w:t>
      </w:r>
    </w:p>
    <w:p w14:paraId="65C2542D">
      <w:pPr>
        <w:widowControl/>
        <w:spacing w:line="360" w:lineRule="auto"/>
        <w:ind w:firstLine="480" w:firstLineChars="200"/>
        <w:contextualSpacing/>
        <w:jc w:val="left"/>
        <w:rPr>
          <w:rFonts w:ascii="宋体" w:hAnsi="宋体"/>
          <w:sz w:val="24"/>
        </w:rPr>
      </w:pPr>
      <w:r>
        <w:rPr>
          <w:rFonts w:hint="eastAsia" w:ascii="宋体" w:hAnsi="宋体"/>
          <w:sz w:val="24"/>
        </w:rPr>
        <w:t>4.日志管理</w:t>
      </w:r>
    </w:p>
    <w:p w14:paraId="64E46D80">
      <w:pPr>
        <w:widowControl/>
        <w:spacing w:line="360" w:lineRule="auto"/>
        <w:ind w:firstLine="480" w:firstLineChars="200"/>
        <w:contextualSpacing/>
        <w:jc w:val="left"/>
        <w:rPr>
          <w:rFonts w:ascii="宋体" w:hAnsi="宋体"/>
          <w:sz w:val="24"/>
        </w:rPr>
      </w:pPr>
      <w:r>
        <w:rPr>
          <w:rFonts w:hint="eastAsia" w:ascii="宋体" w:hAnsi="宋体"/>
          <w:sz w:val="24"/>
        </w:rPr>
        <w:t>4.1系统应能实现海量日志数据的采集并保存原始日志数据。</w:t>
      </w:r>
    </w:p>
    <w:p w14:paraId="0F003A45">
      <w:pPr>
        <w:widowControl/>
        <w:spacing w:line="360" w:lineRule="auto"/>
        <w:ind w:firstLine="480" w:firstLineChars="200"/>
        <w:contextualSpacing/>
        <w:jc w:val="left"/>
        <w:rPr>
          <w:rFonts w:ascii="宋体" w:hAnsi="宋体"/>
          <w:sz w:val="24"/>
        </w:rPr>
      </w:pPr>
      <w:r>
        <w:rPr>
          <w:rFonts w:hint="eastAsia" w:ascii="宋体" w:hAnsi="宋体" w:cs="宋体"/>
          <w:bCs/>
          <w:kern w:val="0"/>
          <w:sz w:val="24"/>
        </w:rPr>
        <w:t>4.2</w:t>
      </w:r>
      <w:r>
        <w:rPr>
          <w:rFonts w:hint="eastAsia" w:ascii="宋体" w:hAnsi="宋体"/>
          <w:sz w:val="24"/>
        </w:rPr>
        <w:t>系统应支持综合态势大屏概览，可直观展示系统运行情况及日志源设备活跃情况。</w:t>
      </w:r>
    </w:p>
    <w:p w14:paraId="7101E597">
      <w:pPr>
        <w:widowControl/>
        <w:spacing w:line="360" w:lineRule="auto"/>
        <w:ind w:firstLine="480" w:firstLineChars="200"/>
        <w:contextualSpacing/>
        <w:jc w:val="left"/>
        <w:rPr>
          <w:rFonts w:ascii="宋体" w:hAnsi="宋体"/>
          <w:sz w:val="24"/>
        </w:rPr>
      </w:pPr>
      <w:r>
        <w:rPr>
          <w:rFonts w:hint="eastAsia" w:ascii="宋体" w:hAnsi="宋体"/>
          <w:sz w:val="24"/>
        </w:rPr>
        <w:t>4.3系统应能够对异构日志格式进行统一化处理并保存处理后的日志数据。</w:t>
      </w:r>
    </w:p>
    <w:p w14:paraId="0ED7F685">
      <w:pPr>
        <w:widowControl/>
        <w:spacing w:line="360" w:lineRule="auto"/>
        <w:ind w:firstLine="480" w:firstLineChars="200"/>
        <w:contextualSpacing/>
        <w:jc w:val="left"/>
        <w:rPr>
          <w:rFonts w:ascii="宋体" w:hAnsi="宋体"/>
          <w:sz w:val="24"/>
        </w:rPr>
      </w:pPr>
      <w:r>
        <w:rPr>
          <w:rFonts w:hint="eastAsia" w:ascii="宋体" w:hAnsi="宋体"/>
          <w:sz w:val="24"/>
        </w:rPr>
        <w:t>4.4系统支持内置对主机日志展开深度分析的功能。分析场景包括但不限于登录情况、用户核心文件/文件夹监控、敏感操作及异常外联等。</w:t>
      </w:r>
    </w:p>
    <w:p w14:paraId="7214C998">
      <w:pPr>
        <w:widowControl/>
        <w:spacing w:line="360" w:lineRule="auto"/>
        <w:ind w:firstLine="480" w:firstLineChars="200"/>
        <w:contextualSpacing/>
        <w:jc w:val="left"/>
        <w:rPr>
          <w:rFonts w:ascii="宋体" w:hAnsi="宋体"/>
          <w:sz w:val="24"/>
        </w:rPr>
      </w:pPr>
      <w:r>
        <w:rPr>
          <w:rFonts w:hint="eastAsia" w:ascii="宋体" w:hAnsi="宋体"/>
          <w:sz w:val="24"/>
        </w:rPr>
        <w:t>5.日志转发：系统应提供日志转发功能，应支持日志转发多个目标地址，可实现原始日志、范式化日志的转发，且不丢失原始日志源IP信息。</w:t>
      </w:r>
    </w:p>
    <w:p w14:paraId="1796AFD9">
      <w:pPr>
        <w:widowControl/>
        <w:spacing w:line="360" w:lineRule="auto"/>
        <w:ind w:firstLine="480" w:firstLineChars="200"/>
        <w:contextualSpacing/>
        <w:jc w:val="left"/>
        <w:rPr>
          <w:rFonts w:ascii="宋体" w:hAnsi="宋体"/>
          <w:sz w:val="24"/>
        </w:rPr>
      </w:pPr>
      <w:r>
        <w:rPr>
          <w:rFonts w:hint="eastAsia" w:ascii="宋体" w:hAnsi="宋体"/>
          <w:sz w:val="24"/>
        </w:rPr>
        <w:t>6.日志查询分析：系统应支持实时日志查询、历史日志查询，实时日志查询支持3分钟、5分钟、10分钟、30分钟等不同频次刷新频率。</w:t>
      </w:r>
    </w:p>
    <w:p w14:paraId="625F5C67">
      <w:pPr>
        <w:widowControl/>
        <w:spacing w:line="360" w:lineRule="auto"/>
        <w:ind w:firstLine="480" w:firstLineChars="200"/>
        <w:contextualSpacing/>
        <w:jc w:val="left"/>
        <w:rPr>
          <w:rFonts w:ascii="宋体" w:hAnsi="宋体"/>
          <w:sz w:val="24"/>
        </w:rPr>
      </w:pPr>
      <w:r>
        <w:rPr>
          <w:rFonts w:hint="eastAsia" w:ascii="宋体" w:hAnsi="宋体"/>
          <w:sz w:val="24"/>
        </w:rPr>
        <w:t>7.事件告警：系统应支持基于事件分类的告警规则，支持短信、声音、邮件、界面提示等多种告警方式。</w:t>
      </w:r>
    </w:p>
    <w:p w14:paraId="7AF17A8B">
      <w:pPr>
        <w:widowControl/>
        <w:spacing w:line="360" w:lineRule="auto"/>
        <w:ind w:firstLine="480" w:firstLineChars="200"/>
        <w:contextualSpacing/>
        <w:jc w:val="left"/>
        <w:rPr>
          <w:rFonts w:ascii="宋体" w:hAnsi="宋体"/>
          <w:b/>
          <w:bCs/>
          <w:sz w:val="24"/>
        </w:rPr>
      </w:pPr>
      <w:r>
        <w:rPr>
          <w:rFonts w:hint="eastAsia" w:ascii="宋体" w:hAnsi="宋体"/>
          <w:sz w:val="24"/>
        </w:rPr>
        <w:t>★</w:t>
      </w:r>
      <w:r>
        <w:rPr>
          <w:rFonts w:ascii="宋体" w:hAnsi="宋体"/>
          <w:sz w:val="24"/>
        </w:rPr>
        <w:t>8</w:t>
      </w:r>
      <w:r>
        <w:rPr>
          <w:rFonts w:hint="eastAsia" w:ascii="宋体" w:hAnsi="宋体"/>
          <w:sz w:val="24"/>
        </w:rPr>
        <w:t>. 投标产品具备检测机构出具的网络关键设备和网络安全专用产品安全认证合格证书或检测符合报告或有效期内的计算机信息系统安全专用产品销售许可证。</w:t>
      </w:r>
      <w:r>
        <w:rPr>
          <w:rFonts w:hint="eastAsia" w:ascii="宋体" w:hAnsi="宋体"/>
          <w:b/>
          <w:bCs/>
          <w:sz w:val="24"/>
        </w:rPr>
        <w:t>（提供合格证书或检测符合报告或销售许可证的复印件并加盖投标人单位公章）</w:t>
      </w:r>
    </w:p>
    <w:p w14:paraId="009942E5">
      <w:pPr>
        <w:pStyle w:val="4"/>
        <w:ind w:firstLine="482" w:firstLineChars="200"/>
        <w:rPr>
          <w:u w:val="none"/>
        </w:rPr>
      </w:pPr>
      <w:r>
        <w:rPr>
          <w:rFonts w:hint="eastAsia"/>
          <w:u w:val="none"/>
        </w:rPr>
        <w:t>标的5：入侵检测</w:t>
      </w:r>
    </w:p>
    <w:p w14:paraId="57D0F16F">
      <w:pPr>
        <w:widowControl/>
        <w:spacing w:line="360" w:lineRule="auto"/>
        <w:ind w:firstLine="480" w:firstLineChars="200"/>
        <w:contextualSpacing/>
        <w:jc w:val="left"/>
        <w:rPr>
          <w:rFonts w:ascii="宋体" w:hAnsi="宋体"/>
          <w:sz w:val="24"/>
        </w:rPr>
      </w:pPr>
      <w:r>
        <w:rPr>
          <w:rFonts w:hint="eastAsia" w:ascii="宋体" w:hAnsi="宋体"/>
          <w:sz w:val="24"/>
        </w:rPr>
        <w:t>1.硬件指标：1U机架式设备,内存≥32G,机械硬盘≥4TB,支持≥8个千兆电口（含1个管理口）,≥4个千兆光口插槽,≥1个管理口，冗余电源,≥2个扩展槽位。</w:t>
      </w:r>
    </w:p>
    <w:p w14:paraId="4156170D">
      <w:pPr>
        <w:widowControl/>
        <w:spacing w:line="360" w:lineRule="auto"/>
        <w:ind w:firstLine="480" w:firstLineChars="200"/>
        <w:contextualSpacing/>
        <w:jc w:val="left"/>
        <w:rPr>
          <w:rFonts w:ascii="宋体" w:hAnsi="宋体"/>
          <w:sz w:val="24"/>
        </w:rPr>
      </w:pPr>
      <w:r>
        <w:rPr>
          <w:rFonts w:hint="eastAsia" w:ascii="宋体" w:hAnsi="宋体"/>
          <w:sz w:val="24"/>
        </w:rPr>
        <w:t>2.性能要求</w:t>
      </w:r>
    </w:p>
    <w:p w14:paraId="16A42DD5">
      <w:pPr>
        <w:widowControl/>
        <w:spacing w:line="360" w:lineRule="auto"/>
        <w:ind w:firstLine="480" w:firstLineChars="200"/>
        <w:contextualSpacing/>
        <w:jc w:val="left"/>
        <w:rPr>
          <w:rFonts w:ascii="宋体" w:hAnsi="宋体"/>
          <w:sz w:val="24"/>
        </w:rPr>
      </w:pPr>
      <w:r>
        <w:rPr>
          <w:rFonts w:hint="eastAsia" w:ascii="宋体" w:hAnsi="宋体"/>
          <w:sz w:val="24"/>
        </w:rPr>
        <w:t>2.1整机吞吐率≥6.5Gbps，最大并发连接数≥150万，</w:t>
      </w:r>
    </w:p>
    <w:p w14:paraId="375A64CB">
      <w:pPr>
        <w:widowControl/>
        <w:spacing w:line="360" w:lineRule="auto"/>
        <w:ind w:firstLine="480" w:firstLineChars="200"/>
        <w:contextualSpacing/>
        <w:jc w:val="left"/>
        <w:rPr>
          <w:rFonts w:ascii="宋体" w:hAnsi="宋体"/>
          <w:sz w:val="24"/>
        </w:rPr>
      </w:pPr>
      <w:r>
        <w:rPr>
          <w:rFonts w:hint="eastAsia" w:ascii="宋体" w:hAnsi="宋体"/>
          <w:sz w:val="24"/>
        </w:rPr>
        <w:t>2.2IDS吞吐率≥2.2Gbps。</w:t>
      </w:r>
    </w:p>
    <w:p w14:paraId="37FA10EB">
      <w:pPr>
        <w:widowControl/>
        <w:spacing w:line="360" w:lineRule="auto"/>
        <w:ind w:firstLine="480" w:firstLineChars="200"/>
        <w:contextualSpacing/>
        <w:jc w:val="left"/>
        <w:rPr>
          <w:rFonts w:ascii="宋体" w:hAnsi="宋体"/>
          <w:sz w:val="24"/>
        </w:rPr>
      </w:pPr>
      <w:r>
        <w:rPr>
          <w:rFonts w:hint="eastAsia" w:ascii="宋体" w:hAnsi="宋体"/>
          <w:sz w:val="24"/>
        </w:rPr>
        <w:t>3.综合分析</w:t>
      </w:r>
    </w:p>
    <w:p w14:paraId="54E95177">
      <w:pPr>
        <w:widowControl/>
        <w:spacing w:line="360" w:lineRule="auto"/>
        <w:ind w:firstLine="480" w:firstLineChars="200"/>
        <w:contextualSpacing/>
        <w:jc w:val="left"/>
        <w:rPr>
          <w:rFonts w:ascii="宋体" w:hAnsi="宋体"/>
          <w:sz w:val="24"/>
        </w:rPr>
      </w:pPr>
      <w:r>
        <w:rPr>
          <w:rFonts w:hint="eastAsia" w:ascii="宋体" w:hAnsi="宋体" w:cs="宋体"/>
          <w:bCs/>
          <w:kern w:val="0"/>
          <w:sz w:val="24"/>
        </w:rPr>
        <w:t>3.1</w:t>
      </w:r>
      <w:r>
        <w:rPr>
          <w:rFonts w:hint="eastAsia" w:ascii="宋体" w:hAnsi="宋体"/>
          <w:sz w:val="24"/>
        </w:rPr>
        <w:t>支持威胁视角和运维视角分析，威胁视角按照受害者、攻击者、威胁事件、恶意文件、攻击类型、攻击主机、受害主机、应用类型、恶意程序类型等维度进行综合分析，支持数据下钻查看威胁详情。</w:t>
      </w:r>
    </w:p>
    <w:p w14:paraId="29AA01D4">
      <w:pPr>
        <w:widowControl/>
        <w:spacing w:line="360" w:lineRule="auto"/>
        <w:ind w:firstLine="480" w:firstLineChars="200"/>
        <w:contextualSpacing/>
        <w:jc w:val="left"/>
        <w:rPr>
          <w:rFonts w:ascii="宋体" w:hAnsi="宋体"/>
          <w:sz w:val="24"/>
        </w:rPr>
      </w:pPr>
      <w:r>
        <w:rPr>
          <w:rFonts w:hint="eastAsia" w:ascii="宋体" w:hAnsi="宋体"/>
          <w:sz w:val="24"/>
        </w:rPr>
        <w:t>3.2支持受害者视角分析，按照时间范围、受害主机、事件类型、处置状态、攻击结果、应用协议等条件综合分析受害者信息。</w:t>
      </w:r>
    </w:p>
    <w:p w14:paraId="07709E22">
      <w:pPr>
        <w:widowControl/>
        <w:spacing w:line="360" w:lineRule="auto"/>
        <w:ind w:firstLine="480" w:firstLineChars="200"/>
        <w:contextualSpacing/>
        <w:jc w:val="left"/>
        <w:rPr>
          <w:rFonts w:ascii="宋体" w:hAnsi="宋体"/>
          <w:sz w:val="24"/>
        </w:rPr>
      </w:pPr>
      <w:r>
        <w:rPr>
          <w:rFonts w:hint="eastAsia" w:ascii="宋体" w:hAnsi="宋体"/>
          <w:sz w:val="24"/>
        </w:rPr>
        <w:t>4.攻击检测</w:t>
      </w:r>
    </w:p>
    <w:p w14:paraId="666B37C2">
      <w:pPr>
        <w:widowControl/>
        <w:spacing w:line="360" w:lineRule="auto"/>
        <w:ind w:firstLine="480" w:firstLineChars="200"/>
        <w:contextualSpacing/>
        <w:jc w:val="left"/>
        <w:rPr>
          <w:rFonts w:ascii="宋体" w:hAnsi="宋体"/>
          <w:sz w:val="24"/>
        </w:rPr>
      </w:pPr>
      <w:r>
        <w:rPr>
          <w:rFonts w:hint="eastAsia" w:ascii="宋体" w:hAnsi="宋体" w:cs="宋体"/>
          <w:bCs/>
          <w:kern w:val="0"/>
          <w:sz w:val="24"/>
        </w:rPr>
        <w:t>4.1</w:t>
      </w:r>
      <w:r>
        <w:rPr>
          <w:rFonts w:hint="eastAsia" w:ascii="宋体" w:hAnsi="宋体"/>
          <w:sz w:val="24"/>
        </w:rPr>
        <w:t>支持独立的攻击检测引擎，涵盖10000种以上的攻击检测规则库。规则库支持按照攻击类型、操作系统、风险等级、应用类型、流行程度、ATT&amp;CK、攻击阶段等方式进行分类。</w:t>
      </w:r>
    </w:p>
    <w:p w14:paraId="7B5F7B28">
      <w:pPr>
        <w:widowControl/>
        <w:spacing w:line="360" w:lineRule="auto"/>
        <w:ind w:firstLine="480" w:firstLineChars="200"/>
        <w:contextualSpacing/>
        <w:jc w:val="left"/>
        <w:rPr>
          <w:rFonts w:ascii="宋体" w:hAnsi="宋体"/>
          <w:sz w:val="24"/>
        </w:rPr>
      </w:pPr>
      <w:r>
        <w:rPr>
          <w:rFonts w:hint="eastAsia" w:ascii="宋体" w:hAnsi="宋体" w:cs="宋体"/>
          <w:bCs/>
          <w:kern w:val="0"/>
          <w:sz w:val="24"/>
        </w:rPr>
        <w:t>▲</w:t>
      </w:r>
      <w:r>
        <w:rPr>
          <w:rFonts w:hint="eastAsia" w:ascii="宋体" w:hAnsi="宋体"/>
          <w:sz w:val="24"/>
        </w:rPr>
        <w:t>4.2支持能够检测包括：扫描探测、暴力猜解、拒绝服务攻击、后门控制、溢出攻击、代码执行、非授权访问、注入攻击、URL跳转、跨站攻击、WebShell、浏览器劫持、文件漏洞攻击、工控漏洞攻击、车联网漏洞攻击、物联网漏洞攻击、其他类攻击等在内的17大类超过10000种网络攻击事件。</w:t>
      </w:r>
      <w:r>
        <w:rPr>
          <w:rFonts w:hint="eastAsia" w:ascii="宋体" w:hAnsi="宋体"/>
          <w:b/>
          <w:bCs/>
          <w:sz w:val="24"/>
        </w:rPr>
        <w:t>（提供产品功能截图并加盖投标人单位公章）</w:t>
      </w:r>
    </w:p>
    <w:p w14:paraId="00721D4D">
      <w:pPr>
        <w:widowControl/>
        <w:spacing w:line="360" w:lineRule="auto"/>
        <w:ind w:firstLine="480" w:firstLineChars="200"/>
        <w:contextualSpacing/>
        <w:jc w:val="left"/>
        <w:rPr>
          <w:rFonts w:ascii="宋体" w:hAnsi="宋体"/>
          <w:sz w:val="24"/>
        </w:rPr>
      </w:pPr>
      <w:r>
        <w:rPr>
          <w:rFonts w:hint="eastAsia" w:ascii="宋体" w:hAnsi="宋体"/>
          <w:sz w:val="24"/>
        </w:rPr>
        <w:t>4.3支持ARP攻击检测，支持基于ARP请求的源IP不合法、响应的源IP不合法、响应的目的IP不合法、请求的源MAC与以太网源MAC不同、响应的源MAC与以太网源MAC不同、响应的目的MAC与以太网目的MAC不同等进行检测。</w:t>
      </w:r>
    </w:p>
    <w:p w14:paraId="21174130">
      <w:pPr>
        <w:widowControl/>
        <w:spacing w:line="360" w:lineRule="auto"/>
        <w:ind w:firstLine="480" w:firstLineChars="200"/>
        <w:contextualSpacing/>
        <w:jc w:val="left"/>
        <w:rPr>
          <w:rFonts w:ascii="宋体" w:hAnsi="宋体"/>
          <w:sz w:val="24"/>
        </w:rPr>
      </w:pPr>
      <w:r>
        <w:rPr>
          <w:rFonts w:hint="eastAsia" w:ascii="宋体" w:hAnsi="宋体"/>
          <w:sz w:val="24"/>
        </w:rPr>
        <w:t>5.账号安全检测</w:t>
      </w:r>
    </w:p>
    <w:p w14:paraId="277C1561">
      <w:pPr>
        <w:widowControl/>
        <w:spacing w:line="360" w:lineRule="auto"/>
        <w:ind w:firstLine="480" w:firstLineChars="200"/>
        <w:contextualSpacing/>
        <w:jc w:val="left"/>
        <w:rPr>
          <w:rFonts w:ascii="宋体" w:hAnsi="宋体"/>
          <w:sz w:val="24"/>
        </w:rPr>
      </w:pPr>
      <w:r>
        <w:rPr>
          <w:rFonts w:hint="eastAsia" w:ascii="宋体" w:hAnsi="宋体" w:cs="宋体"/>
          <w:bCs/>
          <w:kern w:val="0"/>
          <w:sz w:val="24"/>
        </w:rPr>
        <w:t>5.1</w:t>
      </w:r>
      <w:r>
        <w:rPr>
          <w:rFonts w:hint="eastAsia" w:ascii="宋体" w:hAnsi="宋体"/>
          <w:sz w:val="24"/>
        </w:rPr>
        <w:t>支持暴力破解检测，包括：邮件（SMTP、IMAP、POP3）、文件（FTP、SMB）、远程访问（TELNET、RDP、SSH）、数据库（LDAP、SQLServer、DB2、REDIS、POSTGRESQL、ORACLE、MYSQL、MONGODB）、WEB应用（HTTP）等协议类型进行暴力破解检测。</w:t>
      </w:r>
    </w:p>
    <w:p w14:paraId="598E4B13">
      <w:pPr>
        <w:widowControl/>
        <w:spacing w:line="360" w:lineRule="auto"/>
        <w:ind w:firstLine="480" w:firstLineChars="200"/>
        <w:contextualSpacing/>
        <w:jc w:val="left"/>
        <w:rPr>
          <w:rFonts w:ascii="宋体" w:hAnsi="宋体"/>
          <w:sz w:val="24"/>
        </w:rPr>
      </w:pPr>
      <w:r>
        <w:rPr>
          <w:rFonts w:hint="eastAsia" w:ascii="宋体" w:hAnsi="宋体"/>
          <w:sz w:val="24"/>
        </w:rPr>
        <w:t>5.2支持明文密码检测，包括：邮件（SMTP、IMAP、POP3）、WEB应用（HTTP）、远程连接（TELNET、RDP）、数据库（LDAP、SQLServer、DB2、REDIS、POSTGRESQL）、等协议类型进行明文密码检测。</w:t>
      </w:r>
    </w:p>
    <w:p w14:paraId="2D9E867E">
      <w:pPr>
        <w:widowControl/>
        <w:spacing w:line="360" w:lineRule="auto"/>
        <w:ind w:firstLine="480" w:firstLineChars="200"/>
        <w:contextualSpacing/>
        <w:jc w:val="left"/>
        <w:rPr>
          <w:rFonts w:ascii="宋体" w:hAnsi="宋体"/>
          <w:sz w:val="24"/>
        </w:rPr>
      </w:pPr>
      <w:r>
        <w:rPr>
          <w:rFonts w:hint="eastAsia" w:ascii="宋体" w:hAnsi="宋体"/>
          <w:sz w:val="24"/>
        </w:rPr>
        <w:t>6.僵尸主机检测：支持独立的僵尸主机检测引擎，≥11000种的僵尸主机规则库。规则库支持按照攻击类型、操作系统、风险等级、ATT&amp;CK、攻击阶段等方式进行分类。</w:t>
      </w:r>
    </w:p>
    <w:p w14:paraId="12071821">
      <w:pPr>
        <w:widowControl/>
        <w:spacing w:line="360" w:lineRule="auto"/>
        <w:ind w:firstLine="480" w:firstLineChars="200"/>
        <w:contextualSpacing/>
        <w:jc w:val="left"/>
        <w:rPr>
          <w:rFonts w:ascii="宋体" w:hAnsi="宋体"/>
          <w:sz w:val="24"/>
        </w:rPr>
      </w:pPr>
      <w:r>
        <w:rPr>
          <w:rFonts w:hint="eastAsia" w:ascii="宋体" w:hAnsi="宋体"/>
          <w:sz w:val="24"/>
        </w:rPr>
        <w:t>7.异常流量检测</w:t>
      </w:r>
    </w:p>
    <w:p w14:paraId="420C28DF">
      <w:pPr>
        <w:widowControl/>
        <w:spacing w:line="360" w:lineRule="auto"/>
        <w:ind w:firstLine="480" w:firstLineChars="200"/>
        <w:contextualSpacing/>
        <w:jc w:val="left"/>
        <w:rPr>
          <w:rFonts w:ascii="宋体" w:hAnsi="宋体"/>
          <w:sz w:val="24"/>
        </w:rPr>
      </w:pPr>
      <w:r>
        <w:rPr>
          <w:rFonts w:hint="eastAsia" w:ascii="宋体" w:hAnsi="宋体" w:cs="宋体"/>
          <w:bCs/>
          <w:kern w:val="0"/>
          <w:sz w:val="24"/>
        </w:rPr>
        <w:t>7.1</w:t>
      </w:r>
      <w:r>
        <w:rPr>
          <w:rFonts w:hint="eastAsia" w:ascii="宋体" w:hAnsi="宋体"/>
          <w:sz w:val="24"/>
        </w:rPr>
        <w:t>支持DGA恶意域名检测。</w:t>
      </w:r>
    </w:p>
    <w:p w14:paraId="654AE43C">
      <w:pPr>
        <w:widowControl/>
        <w:spacing w:line="360" w:lineRule="auto"/>
        <w:ind w:firstLine="480" w:firstLineChars="200"/>
        <w:contextualSpacing/>
        <w:jc w:val="left"/>
        <w:rPr>
          <w:rFonts w:ascii="宋体" w:hAnsi="宋体"/>
          <w:sz w:val="24"/>
        </w:rPr>
      </w:pPr>
      <w:r>
        <w:rPr>
          <w:rFonts w:hint="eastAsia" w:ascii="宋体" w:hAnsi="宋体"/>
          <w:sz w:val="24"/>
        </w:rPr>
        <w:t>7.2支持HTTP隧道检测。</w:t>
      </w:r>
    </w:p>
    <w:p w14:paraId="65F45913">
      <w:pPr>
        <w:widowControl/>
        <w:spacing w:line="360" w:lineRule="auto"/>
        <w:ind w:firstLine="480" w:firstLineChars="200"/>
        <w:contextualSpacing/>
        <w:jc w:val="left"/>
        <w:rPr>
          <w:rFonts w:ascii="宋体" w:hAnsi="宋体"/>
          <w:sz w:val="24"/>
        </w:rPr>
      </w:pPr>
      <w:r>
        <w:rPr>
          <w:rFonts w:hint="eastAsia" w:ascii="宋体" w:hAnsi="宋体" w:cs="宋体"/>
          <w:bCs/>
          <w:kern w:val="0"/>
          <w:sz w:val="24"/>
        </w:rPr>
        <w:t>8.</w:t>
      </w:r>
      <w:r>
        <w:rPr>
          <w:rFonts w:hint="eastAsia" w:ascii="宋体" w:hAnsi="宋体"/>
          <w:sz w:val="24"/>
        </w:rPr>
        <w:t>恶意程序检测：支持恶意程序检测，采用固网恶意程序检测智慧引擎、移动恶意程序检测智慧引擎、虚拟沙箱、YARA等多种检测方式。</w:t>
      </w:r>
    </w:p>
    <w:p w14:paraId="5B06F1DF">
      <w:pPr>
        <w:widowControl/>
        <w:spacing w:line="360" w:lineRule="auto"/>
        <w:ind w:firstLine="480" w:firstLineChars="200"/>
        <w:contextualSpacing/>
        <w:jc w:val="left"/>
        <w:rPr>
          <w:rFonts w:ascii="宋体" w:hAnsi="宋体"/>
          <w:sz w:val="24"/>
        </w:rPr>
      </w:pPr>
      <w:r>
        <w:rPr>
          <w:rFonts w:hint="eastAsia" w:ascii="宋体" w:hAnsi="宋体"/>
          <w:sz w:val="24"/>
        </w:rPr>
        <w:t>9.APT检测：支持通过智慧引擎检测未知威胁，通过威胁情报、僵尸主机检测已知</w:t>
      </w:r>
      <w:r>
        <w:rPr>
          <w:rFonts w:ascii="宋体" w:hAnsi="宋体"/>
          <w:sz w:val="24"/>
        </w:rPr>
        <w:t>APT攻击行为和已知APT组织。</w:t>
      </w:r>
    </w:p>
    <w:p w14:paraId="3E25A5F6">
      <w:pPr>
        <w:widowControl/>
        <w:spacing w:line="360" w:lineRule="auto"/>
        <w:ind w:firstLine="480" w:firstLineChars="200"/>
        <w:contextualSpacing/>
        <w:jc w:val="left"/>
        <w:rPr>
          <w:rFonts w:ascii="宋体" w:hAnsi="宋体"/>
          <w:sz w:val="24"/>
        </w:rPr>
      </w:pPr>
      <w:r>
        <w:rPr>
          <w:rFonts w:ascii="宋体" w:hAnsi="宋体"/>
          <w:sz w:val="24"/>
        </w:rPr>
        <w:t>10.</w:t>
      </w:r>
      <w:r>
        <w:rPr>
          <w:rFonts w:hint="eastAsia" w:ascii="宋体" w:hAnsi="宋体"/>
          <w:sz w:val="24"/>
        </w:rPr>
        <w:t>加密流量检测：支持采用恶意</w:t>
      </w:r>
      <w:r>
        <w:rPr>
          <w:rFonts w:ascii="宋体" w:hAnsi="宋体"/>
          <w:sz w:val="24"/>
        </w:rPr>
        <w:t>TLS流量智慧引擎</w:t>
      </w:r>
      <w:r>
        <w:rPr>
          <w:rFonts w:hint="eastAsia" w:ascii="宋体" w:hAnsi="宋体"/>
          <w:sz w:val="24"/>
        </w:rPr>
        <w:t>等方式对异常握手、非法证书和内网流量等进行恶意加密流量检测。</w:t>
      </w:r>
    </w:p>
    <w:p w14:paraId="484A0CB3">
      <w:pPr>
        <w:widowControl/>
        <w:spacing w:line="360" w:lineRule="auto"/>
        <w:ind w:firstLine="480" w:firstLineChars="200"/>
        <w:contextualSpacing/>
        <w:jc w:val="left"/>
        <w:rPr>
          <w:rFonts w:ascii="宋体" w:hAnsi="宋体"/>
          <w:sz w:val="24"/>
        </w:rPr>
      </w:pPr>
      <w:r>
        <w:rPr>
          <w:rFonts w:hint="eastAsia" w:ascii="宋体" w:hAnsi="宋体"/>
          <w:sz w:val="24"/>
        </w:rPr>
        <w:t>11.自定义检测：支持YARA规则自定义，能够按照元数据、字符串、条件进行规则配置。</w:t>
      </w:r>
    </w:p>
    <w:p w14:paraId="46898CE6">
      <w:pPr>
        <w:widowControl/>
        <w:spacing w:line="360" w:lineRule="auto"/>
        <w:ind w:firstLine="480" w:firstLineChars="200"/>
        <w:contextualSpacing/>
        <w:jc w:val="left"/>
        <w:rPr>
          <w:rFonts w:ascii="宋体" w:hAnsi="宋体"/>
          <w:sz w:val="24"/>
        </w:rPr>
      </w:pPr>
      <w:r>
        <w:rPr>
          <w:rFonts w:ascii="宋体" w:hAnsi="宋体"/>
          <w:sz w:val="24"/>
        </w:rPr>
        <w:t>12</w:t>
      </w:r>
      <w:r>
        <w:rPr>
          <w:rFonts w:hint="eastAsia" w:ascii="宋体" w:hAnsi="宋体"/>
          <w:sz w:val="24"/>
        </w:rPr>
        <w:t>.服务要求：含3年攻击检测规则库、应用识别库、地理信息库、僵尸主机规则库升级许可。</w:t>
      </w:r>
    </w:p>
    <w:p w14:paraId="15D37E59">
      <w:pPr>
        <w:widowControl/>
        <w:spacing w:line="360" w:lineRule="auto"/>
        <w:ind w:firstLine="480" w:firstLineChars="200"/>
        <w:contextualSpacing/>
        <w:jc w:val="left"/>
        <w:rPr>
          <w:rFonts w:ascii="宋体" w:hAnsi="宋体"/>
          <w:b/>
          <w:bCs/>
          <w:sz w:val="24"/>
        </w:rPr>
      </w:pPr>
      <w:bookmarkStart w:id="2" w:name="OLE_LINK1"/>
      <w:r>
        <w:rPr>
          <w:rFonts w:hint="eastAsia" w:ascii="宋体" w:hAnsi="宋体"/>
          <w:sz w:val="24"/>
        </w:rPr>
        <w:t>★1</w:t>
      </w:r>
      <w:r>
        <w:rPr>
          <w:rFonts w:ascii="宋体" w:hAnsi="宋体"/>
          <w:sz w:val="24"/>
        </w:rPr>
        <w:t>3</w:t>
      </w:r>
      <w:r>
        <w:rPr>
          <w:rFonts w:hint="eastAsia" w:ascii="宋体" w:hAnsi="宋体"/>
          <w:sz w:val="24"/>
        </w:rPr>
        <w:t>. 投标产品具备检测机构出具的网络关键设备和网络安全专用产品安全认证合格证书或检测符合报告或有效期内的计算机信息系统安全专用产品销售许可证。</w:t>
      </w:r>
      <w:r>
        <w:rPr>
          <w:rFonts w:hint="eastAsia" w:ascii="宋体" w:hAnsi="宋体"/>
          <w:b/>
          <w:bCs/>
          <w:sz w:val="24"/>
        </w:rPr>
        <w:t>（提供合格证书或检测符合报告或销售许可证的复印件并加盖投标人单位公章）</w:t>
      </w:r>
      <w:bookmarkEnd w:id="2"/>
    </w:p>
    <w:p w14:paraId="6752BFCC">
      <w:pPr>
        <w:pStyle w:val="4"/>
        <w:ind w:firstLine="482" w:firstLineChars="200"/>
        <w:rPr>
          <w:u w:val="none"/>
        </w:rPr>
      </w:pPr>
      <w:r>
        <w:rPr>
          <w:rFonts w:hint="eastAsia"/>
          <w:u w:val="none"/>
        </w:rPr>
        <w:t>标的6：全网行为管理</w:t>
      </w:r>
    </w:p>
    <w:p w14:paraId="03AAD2F4">
      <w:pPr>
        <w:widowControl/>
        <w:spacing w:line="360" w:lineRule="auto"/>
        <w:ind w:firstLine="480" w:firstLineChars="200"/>
        <w:contextualSpacing/>
        <w:jc w:val="left"/>
        <w:rPr>
          <w:rFonts w:ascii="宋体" w:hAnsi="宋体"/>
          <w:sz w:val="24"/>
        </w:rPr>
      </w:pPr>
      <w:r>
        <w:rPr>
          <w:rFonts w:hint="eastAsia" w:ascii="宋体" w:hAnsi="宋体"/>
          <w:sz w:val="24"/>
        </w:rPr>
        <w:t>1.硬件指标：2U机架式设备,≥1个管理口，≥2个USB接口，支持≥8个千兆电口，≥2个千兆光口插槽，≥2个万兆光口插槽，支持1对电口Bypass，冗余电源,≥2个扩展槽位。</w:t>
      </w:r>
    </w:p>
    <w:p w14:paraId="77D3B9B1">
      <w:pPr>
        <w:widowControl/>
        <w:spacing w:line="360" w:lineRule="auto"/>
        <w:ind w:firstLine="480" w:firstLineChars="200"/>
        <w:contextualSpacing/>
        <w:jc w:val="left"/>
        <w:rPr>
          <w:rFonts w:ascii="宋体" w:hAnsi="宋体"/>
          <w:sz w:val="24"/>
        </w:rPr>
      </w:pPr>
      <w:r>
        <w:rPr>
          <w:rFonts w:hint="eastAsia" w:ascii="宋体" w:hAnsi="宋体"/>
          <w:sz w:val="24"/>
        </w:rPr>
        <w:t>2.性能要求</w:t>
      </w:r>
    </w:p>
    <w:p w14:paraId="4AAE107D">
      <w:pPr>
        <w:widowControl/>
        <w:spacing w:line="360" w:lineRule="auto"/>
        <w:ind w:firstLine="480" w:firstLineChars="200"/>
        <w:contextualSpacing/>
        <w:jc w:val="left"/>
        <w:rPr>
          <w:rFonts w:ascii="宋体" w:hAnsi="宋体"/>
          <w:sz w:val="24"/>
        </w:rPr>
      </w:pPr>
      <w:r>
        <w:rPr>
          <w:rFonts w:hint="eastAsia" w:ascii="宋体" w:hAnsi="宋体"/>
          <w:sz w:val="24"/>
        </w:rPr>
        <w:t>2.1适配带宽：≥1G；</w:t>
      </w:r>
    </w:p>
    <w:p w14:paraId="06FE11B4">
      <w:pPr>
        <w:widowControl/>
        <w:spacing w:line="360" w:lineRule="auto"/>
        <w:ind w:firstLine="480" w:firstLineChars="200"/>
        <w:contextualSpacing/>
        <w:jc w:val="left"/>
        <w:rPr>
          <w:rFonts w:ascii="宋体" w:hAnsi="宋体"/>
          <w:sz w:val="24"/>
        </w:rPr>
      </w:pPr>
      <w:r>
        <w:rPr>
          <w:rFonts w:hint="eastAsia" w:ascii="宋体" w:hAnsi="宋体"/>
          <w:sz w:val="24"/>
        </w:rPr>
        <w:t>2.2网络吞吐≥6G，推荐用户数≥5000人。</w:t>
      </w:r>
    </w:p>
    <w:p w14:paraId="75623998">
      <w:pPr>
        <w:widowControl/>
        <w:spacing w:line="360" w:lineRule="auto"/>
        <w:ind w:firstLine="480" w:firstLineChars="200"/>
        <w:contextualSpacing/>
        <w:jc w:val="left"/>
        <w:rPr>
          <w:rFonts w:ascii="宋体" w:hAnsi="宋体"/>
          <w:sz w:val="24"/>
        </w:rPr>
      </w:pPr>
      <w:r>
        <w:rPr>
          <w:rFonts w:hint="eastAsia" w:ascii="宋体" w:hAnsi="宋体"/>
          <w:sz w:val="24"/>
        </w:rPr>
        <w:t>3.网络适应性：支持URL分类库、应用识别库基于域名方式自动在线升级。</w:t>
      </w:r>
    </w:p>
    <w:p w14:paraId="44A11A12">
      <w:pPr>
        <w:widowControl/>
        <w:spacing w:line="360" w:lineRule="auto"/>
        <w:ind w:firstLine="480" w:firstLineChars="200"/>
        <w:contextualSpacing/>
        <w:jc w:val="left"/>
        <w:rPr>
          <w:rFonts w:ascii="宋体" w:hAnsi="宋体"/>
          <w:sz w:val="24"/>
        </w:rPr>
      </w:pPr>
      <w:r>
        <w:rPr>
          <w:rFonts w:hint="eastAsia" w:ascii="宋体" w:hAnsi="宋体"/>
          <w:sz w:val="24"/>
        </w:rPr>
        <w:t>4.安全防护：支持基于策略方向、源地址、目的地址、服务、生效时间的安全策略。</w:t>
      </w:r>
    </w:p>
    <w:p w14:paraId="2AD5E5DE">
      <w:pPr>
        <w:widowControl/>
        <w:spacing w:line="360" w:lineRule="auto"/>
        <w:ind w:firstLine="480" w:firstLineChars="200"/>
        <w:contextualSpacing/>
        <w:jc w:val="left"/>
        <w:rPr>
          <w:rFonts w:ascii="宋体" w:hAnsi="宋体"/>
          <w:sz w:val="24"/>
        </w:rPr>
      </w:pPr>
      <w:r>
        <w:rPr>
          <w:rFonts w:hint="eastAsia" w:ascii="宋体" w:hAnsi="宋体"/>
          <w:sz w:val="24"/>
        </w:rPr>
        <w:t>5.行为管控</w:t>
      </w:r>
    </w:p>
    <w:p w14:paraId="763CE9BC">
      <w:pPr>
        <w:widowControl/>
        <w:spacing w:line="360" w:lineRule="auto"/>
        <w:ind w:firstLine="480" w:firstLineChars="200"/>
        <w:contextualSpacing/>
        <w:jc w:val="left"/>
        <w:rPr>
          <w:rFonts w:ascii="宋体" w:hAnsi="宋体"/>
          <w:sz w:val="24"/>
        </w:rPr>
      </w:pPr>
      <w:r>
        <w:rPr>
          <w:rFonts w:hint="eastAsia" w:ascii="宋体" w:hAnsi="宋体" w:cs="宋体"/>
          <w:bCs/>
          <w:kern w:val="0"/>
          <w:sz w:val="24"/>
        </w:rPr>
        <w:t>5.1</w:t>
      </w:r>
      <w:r>
        <w:rPr>
          <w:rFonts w:hint="eastAsia" w:ascii="宋体" w:hAnsi="宋体"/>
          <w:sz w:val="24"/>
        </w:rPr>
        <w:t>可针对特殊非主流论坛或网页评论自定义特征，可对非内置特征的论坛和网页评论审计外发文字内容并在审计内容中对应自定义特征名称；可定义内容应包括：URL、HOST、编码类型、是否MIME型、主题关键字、内容关键字等。</w:t>
      </w:r>
    </w:p>
    <w:p w14:paraId="738C2C1C">
      <w:pPr>
        <w:widowControl/>
        <w:spacing w:line="360" w:lineRule="auto"/>
        <w:ind w:firstLine="480" w:firstLineChars="200"/>
        <w:contextualSpacing/>
        <w:jc w:val="left"/>
        <w:rPr>
          <w:rFonts w:ascii="宋体" w:hAnsi="宋体"/>
          <w:sz w:val="24"/>
        </w:rPr>
      </w:pPr>
      <w:r>
        <w:rPr>
          <w:rFonts w:hint="eastAsia" w:ascii="宋体" w:hAnsi="宋体" w:cs="宋体"/>
          <w:bCs/>
          <w:kern w:val="0"/>
          <w:sz w:val="24"/>
        </w:rPr>
        <w:t>5.2</w:t>
      </w:r>
      <w:r>
        <w:rPr>
          <w:rFonts w:hint="eastAsia" w:ascii="宋体" w:hAnsi="宋体"/>
          <w:sz w:val="24"/>
        </w:rPr>
        <w:t>支持周期性将HTTP流量重定向到指定公告页面，能够为上网用户在浏览器进行网站浏览时周期性的对其展示公告页面；公告页面可指定URL使用外部公告页面，重定向公告页面的周期可自定义重定向间隔时间，或是自定义访问次数到达指定次数后进行重定向，以及在指定时间内访问网站到达指定次数后进行重定向到公告页面。</w:t>
      </w:r>
    </w:p>
    <w:p w14:paraId="7CBBEF54">
      <w:pPr>
        <w:widowControl/>
        <w:spacing w:line="360" w:lineRule="auto"/>
        <w:ind w:firstLine="480" w:firstLineChars="200"/>
        <w:contextualSpacing/>
        <w:jc w:val="left"/>
        <w:rPr>
          <w:rFonts w:ascii="宋体" w:hAnsi="宋体"/>
          <w:sz w:val="24"/>
        </w:rPr>
      </w:pPr>
      <w:r>
        <w:rPr>
          <w:rFonts w:hint="eastAsia" w:ascii="宋体" w:hAnsi="宋体"/>
          <w:sz w:val="24"/>
        </w:rPr>
        <w:t>5.3支持通过识别翻墙软件流量特征，对翻墙软件进行审计和管控，从而实现审计和管控上网用户的翻墙行为，内置翻墙软件特征支持30种以上。</w:t>
      </w:r>
    </w:p>
    <w:p w14:paraId="377DD6C5">
      <w:pPr>
        <w:widowControl/>
        <w:spacing w:line="360" w:lineRule="auto"/>
        <w:ind w:firstLine="480" w:firstLineChars="200"/>
        <w:contextualSpacing/>
        <w:jc w:val="left"/>
        <w:rPr>
          <w:rFonts w:ascii="宋体" w:hAnsi="宋体"/>
          <w:sz w:val="24"/>
        </w:rPr>
      </w:pPr>
      <w:r>
        <w:rPr>
          <w:rFonts w:hint="eastAsia" w:ascii="宋体" w:hAnsi="宋体"/>
          <w:sz w:val="24"/>
        </w:rPr>
        <w:t>6.流量管理</w:t>
      </w:r>
    </w:p>
    <w:p w14:paraId="648FADF4">
      <w:pPr>
        <w:widowControl/>
        <w:spacing w:line="360" w:lineRule="auto"/>
        <w:ind w:firstLine="480" w:firstLineChars="200"/>
        <w:contextualSpacing/>
        <w:jc w:val="left"/>
        <w:rPr>
          <w:rFonts w:ascii="宋体" w:hAnsi="宋体"/>
          <w:sz w:val="24"/>
        </w:rPr>
      </w:pPr>
      <w:r>
        <w:rPr>
          <w:rFonts w:hint="eastAsia" w:ascii="宋体" w:hAnsi="宋体" w:cs="宋体"/>
          <w:bCs/>
          <w:kern w:val="0"/>
          <w:sz w:val="24"/>
        </w:rPr>
        <w:t>6.1</w:t>
      </w:r>
      <w:r>
        <w:rPr>
          <w:rFonts w:hint="eastAsia" w:ascii="宋体" w:hAnsi="宋体"/>
          <w:sz w:val="24"/>
        </w:rPr>
        <w:t>支持同时关联用户源和服务，制定多维度的管控策略，进行最大上、下行会话数控制，避免网络滥用。</w:t>
      </w:r>
    </w:p>
    <w:p w14:paraId="6F57849A">
      <w:pPr>
        <w:widowControl/>
        <w:spacing w:line="360" w:lineRule="auto"/>
        <w:ind w:firstLine="480" w:firstLineChars="200"/>
        <w:contextualSpacing/>
        <w:jc w:val="left"/>
        <w:rPr>
          <w:rFonts w:ascii="宋体" w:hAnsi="宋体"/>
          <w:sz w:val="24"/>
        </w:rPr>
      </w:pPr>
      <w:r>
        <w:rPr>
          <w:rFonts w:hint="eastAsia" w:ascii="宋体" w:hAnsi="宋体"/>
          <w:sz w:val="24"/>
        </w:rPr>
        <w:t>6.2可根据预设总带宽，实时智能识别策略匹配上线用户，并依照预设总带宽将流量对匹配用户进行智能平均分配。</w:t>
      </w:r>
    </w:p>
    <w:p w14:paraId="636E2D0D">
      <w:pPr>
        <w:widowControl/>
        <w:spacing w:line="360" w:lineRule="auto"/>
        <w:ind w:firstLine="480" w:firstLineChars="200"/>
        <w:contextualSpacing/>
        <w:jc w:val="left"/>
        <w:rPr>
          <w:rFonts w:ascii="宋体" w:hAnsi="宋体"/>
          <w:sz w:val="24"/>
        </w:rPr>
      </w:pPr>
      <w:r>
        <w:rPr>
          <w:rFonts w:hint="eastAsia" w:ascii="宋体" w:hAnsi="宋体" w:cs="宋体"/>
          <w:bCs/>
          <w:kern w:val="0"/>
          <w:sz w:val="24"/>
        </w:rPr>
        <w:t>6.3</w:t>
      </w:r>
      <w:r>
        <w:rPr>
          <w:rFonts w:hint="eastAsia" w:ascii="宋体" w:hAnsi="宋体"/>
          <w:sz w:val="24"/>
        </w:rPr>
        <w:t>支持防网络共享行为，针对私接路由器和非法无线热点行为进行识别和管控；检测方式包括但不限于UA识别、共享账号识别、虚拟身份识别、路由器识别、应用特征检测等。</w:t>
      </w:r>
    </w:p>
    <w:p w14:paraId="20D7CB11">
      <w:pPr>
        <w:widowControl/>
        <w:spacing w:line="360" w:lineRule="auto"/>
        <w:ind w:firstLine="480" w:firstLineChars="200"/>
        <w:contextualSpacing/>
        <w:jc w:val="left"/>
        <w:rPr>
          <w:rFonts w:ascii="宋体" w:hAnsi="宋体"/>
          <w:sz w:val="24"/>
        </w:rPr>
      </w:pPr>
      <w:r>
        <w:rPr>
          <w:rFonts w:hint="eastAsia" w:ascii="宋体" w:hAnsi="宋体"/>
          <w:sz w:val="24"/>
        </w:rPr>
        <w:t>7.安全准入</w:t>
      </w:r>
    </w:p>
    <w:p w14:paraId="286913F7">
      <w:pPr>
        <w:widowControl/>
        <w:spacing w:line="360" w:lineRule="auto"/>
        <w:ind w:firstLine="480" w:firstLineChars="200"/>
        <w:contextualSpacing/>
        <w:jc w:val="left"/>
        <w:rPr>
          <w:rFonts w:ascii="宋体" w:hAnsi="宋体"/>
          <w:sz w:val="24"/>
        </w:rPr>
      </w:pPr>
      <w:r>
        <w:rPr>
          <w:rFonts w:hint="eastAsia" w:ascii="宋体" w:hAnsi="宋体"/>
          <w:sz w:val="24"/>
        </w:rPr>
        <w:t>7.1支持检测Windows操作系统，可细化到系统补丁。如符合准入要求，可允许终端入网，否则禁止。</w:t>
      </w:r>
    </w:p>
    <w:p w14:paraId="1B87B062">
      <w:pPr>
        <w:widowControl/>
        <w:spacing w:line="360" w:lineRule="auto"/>
        <w:ind w:firstLine="480" w:firstLineChars="200"/>
        <w:contextualSpacing/>
        <w:jc w:val="left"/>
        <w:rPr>
          <w:rFonts w:ascii="宋体" w:hAnsi="宋体"/>
          <w:sz w:val="24"/>
        </w:rPr>
      </w:pPr>
      <w:r>
        <w:rPr>
          <w:rFonts w:hint="eastAsia" w:ascii="宋体" w:hAnsi="宋体" w:cs="宋体"/>
          <w:bCs/>
          <w:kern w:val="0"/>
          <w:sz w:val="24"/>
        </w:rPr>
        <w:t>7.2</w:t>
      </w:r>
      <w:r>
        <w:rPr>
          <w:rFonts w:hint="eastAsia" w:ascii="宋体" w:hAnsi="宋体"/>
          <w:sz w:val="24"/>
        </w:rPr>
        <w:t>支持对Windows PC端杀毒软件的安装情况以及版本进行检测，并设定规则，对于违规操作的用户可选择禁止上网或者仅记录。</w:t>
      </w:r>
    </w:p>
    <w:p w14:paraId="6FEDDF47">
      <w:pPr>
        <w:widowControl/>
        <w:spacing w:line="360" w:lineRule="auto"/>
        <w:ind w:firstLine="480" w:firstLineChars="200"/>
        <w:contextualSpacing/>
        <w:jc w:val="left"/>
        <w:rPr>
          <w:rFonts w:ascii="宋体" w:hAnsi="宋体"/>
          <w:sz w:val="24"/>
        </w:rPr>
      </w:pPr>
      <w:r>
        <w:rPr>
          <w:rFonts w:hint="eastAsia" w:ascii="宋体" w:hAnsi="宋体"/>
          <w:sz w:val="24"/>
        </w:rPr>
        <w:t>7.3可对Windows PC端的外联行为进行检测，包括拨号行为、使用双网卡、无线网卡、连接非法WIFI、4G网卡、使用非法网关、连接外网、使用代理以及自定义非法外联等行为进行检测，对违规的用户可禁止上网。</w:t>
      </w:r>
    </w:p>
    <w:p w14:paraId="0A3C51EF">
      <w:pPr>
        <w:widowControl/>
        <w:spacing w:line="360" w:lineRule="auto"/>
        <w:ind w:firstLine="480" w:firstLineChars="200"/>
        <w:contextualSpacing/>
        <w:jc w:val="left"/>
        <w:rPr>
          <w:rFonts w:ascii="宋体" w:hAnsi="宋体"/>
          <w:sz w:val="24"/>
        </w:rPr>
      </w:pPr>
      <w:r>
        <w:rPr>
          <w:rFonts w:hint="eastAsia" w:ascii="宋体" w:hAnsi="宋体"/>
          <w:sz w:val="24"/>
        </w:rPr>
        <w:t>8.上网日志分析：支持对所有访问的会话日志记录，包括:源IP、目的IP、协议类型、七层应用名称、源端口、目的端口、是否进行 NAT 转换(可显示转换后的 IP 和端口)、会话产生的时间和会话持续时间等。</w:t>
      </w:r>
    </w:p>
    <w:p w14:paraId="3CE8848A">
      <w:pPr>
        <w:widowControl/>
        <w:spacing w:line="360" w:lineRule="auto"/>
        <w:ind w:firstLine="480" w:firstLineChars="200"/>
        <w:contextualSpacing/>
        <w:jc w:val="left"/>
        <w:rPr>
          <w:rFonts w:ascii="宋体" w:hAnsi="宋体"/>
          <w:sz w:val="24"/>
        </w:rPr>
      </w:pPr>
      <w:r>
        <w:rPr>
          <w:rFonts w:hint="eastAsia" w:ascii="宋体" w:hAnsi="宋体" w:cs="宋体"/>
          <w:bCs/>
          <w:kern w:val="0"/>
          <w:sz w:val="24"/>
        </w:rPr>
        <w:t>▲9.</w:t>
      </w:r>
      <w:r>
        <w:rPr>
          <w:rFonts w:hint="eastAsia" w:ascii="宋体" w:hAnsi="宋体"/>
          <w:sz w:val="24"/>
        </w:rPr>
        <w:t>用户行为分析：可从内网整体网络的宏观角度展现网络使用概况、上网目的地分布、热门应用流量分布、网站类型分析、终端类型分析、在线人群趋势、违规行为统计等多维度展现网络的使用综合态势。</w:t>
      </w:r>
      <w:r>
        <w:rPr>
          <w:rFonts w:hint="eastAsia" w:ascii="宋体" w:hAnsi="宋体"/>
          <w:b/>
          <w:bCs/>
          <w:sz w:val="24"/>
        </w:rPr>
        <w:t>（提供产品功能截图并加盖投标人单位公章）</w:t>
      </w:r>
    </w:p>
    <w:p w14:paraId="0F9A59B5">
      <w:pPr>
        <w:widowControl/>
        <w:spacing w:line="360" w:lineRule="auto"/>
        <w:ind w:firstLine="480" w:firstLineChars="200"/>
        <w:contextualSpacing/>
        <w:jc w:val="left"/>
        <w:rPr>
          <w:rFonts w:ascii="宋体" w:hAnsi="宋体"/>
          <w:sz w:val="24"/>
        </w:rPr>
      </w:pPr>
      <w:r>
        <w:rPr>
          <w:rFonts w:hint="eastAsia" w:ascii="宋体" w:hAnsi="宋体"/>
          <w:sz w:val="24"/>
        </w:rPr>
        <w:t>10.服务要求：含应用识别功能，≥3年的系统版本，URL库及应用特征库升级许可。</w:t>
      </w:r>
    </w:p>
    <w:p w14:paraId="77EB2147">
      <w:pPr>
        <w:pStyle w:val="4"/>
        <w:ind w:firstLine="482" w:firstLineChars="200"/>
        <w:rPr>
          <w:u w:val="none"/>
        </w:rPr>
      </w:pPr>
      <w:r>
        <w:rPr>
          <w:rFonts w:hint="eastAsia"/>
          <w:u w:val="none"/>
        </w:rPr>
        <w:t>标的7：零信任网关</w:t>
      </w:r>
    </w:p>
    <w:p w14:paraId="2809AC64">
      <w:pPr>
        <w:widowControl/>
        <w:spacing w:line="360" w:lineRule="auto"/>
        <w:ind w:firstLine="480" w:firstLineChars="200"/>
        <w:contextualSpacing/>
        <w:jc w:val="left"/>
        <w:rPr>
          <w:rFonts w:ascii="宋体" w:hAnsi="宋体"/>
          <w:sz w:val="24"/>
        </w:rPr>
      </w:pPr>
      <w:r>
        <w:rPr>
          <w:rFonts w:hint="eastAsia" w:ascii="宋体" w:hAnsi="宋体"/>
          <w:sz w:val="24"/>
        </w:rPr>
        <w:t>1.硬件要求：2U，内存≥8*32GB DDR4 3200，硬盘容量≥2*240GB SATA SSD，接口≥6个千兆电口、≥2个万兆光口。</w:t>
      </w:r>
    </w:p>
    <w:p w14:paraId="5C642E65">
      <w:pPr>
        <w:widowControl/>
        <w:spacing w:line="360" w:lineRule="auto"/>
        <w:ind w:firstLine="480" w:firstLineChars="200"/>
        <w:contextualSpacing/>
        <w:jc w:val="left"/>
        <w:rPr>
          <w:rFonts w:ascii="宋体" w:hAnsi="宋体"/>
          <w:sz w:val="24"/>
        </w:rPr>
      </w:pPr>
      <w:r>
        <w:rPr>
          <w:rFonts w:hint="eastAsia" w:ascii="宋体" w:hAnsi="宋体"/>
          <w:sz w:val="24"/>
        </w:rPr>
        <w:t>2.双栈支持：需支持IPV4/IPV6双栈网络IP配置，可自主选择配置LAN口或WAN口。</w:t>
      </w:r>
    </w:p>
    <w:p w14:paraId="0C4FB873">
      <w:pPr>
        <w:widowControl/>
        <w:spacing w:line="360" w:lineRule="auto"/>
        <w:ind w:firstLine="480" w:firstLineChars="200"/>
        <w:contextualSpacing/>
        <w:jc w:val="left"/>
        <w:rPr>
          <w:rFonts w:ascii="宋体" w:hAnsi="宋体"/>
          <w:sz w:val="24"/>
        </w:rPr>
      </w:pPr>
      <w:r>
        <w:rPr>
          <w:rFonts w:hint="eastAsia" w:ascii="宋体" w:hAnsi="宋体"/>
          <w:sz w:val="24"/>
        </w:rPr>
        <w:t>3.网口聚合：支持网口聚合，支持将聚合网口作为设备网络部署IP。</w:t>
      </w:r>
    </w:p>
    <w:p w14:paraId="22E802F7">
      <w:pPr>
        <w:widowControl/>
        <w:spacing w:line="360" w:lineRule="auto"/>
        <w:ind w:firstLine="480" w:firstLineChars="200"/>
        <w:contextualSpacing/>
        <w:jc w:val="left"/>
        <w:rPr>
          <w:rFonts w:ascii="宋体" w:hAnsi="宋体"/>
          <w:sz w:val="24"/>
        </w:rPr>
      </w:pPr>
      <w:r>
        <w:rPr>
          <w:rFonts w:hint="eastAsia" w:ascii="宋体" w:hAnsi="宋体"/>
          <w:sz w:val="24"/>
        </w:rPr>
        <w:t>4.下载加速：支持配置CDN下载加速功能，支持客户端的下载地址配置为企业的CDN。</w:t>
      </w:r>
    </w:p>
    <w:p w14:paraId="3BDC3368">
      <w:pPr>
        <w:widowControl/>
        <w:spacing w:line="360" w:lineRule="auto"/>
        <w:ind w:firstLine="480" w:firstLineChars="200"/>
        <w:contextualSpacing/>
        <w:jc w:val="left"/>
        <w:rPr>
          <w:rFonts w:ascii="宋体" w:hAnsi="宋体"/>
          <w:sz w:val="24"/>
        </w:rPr>
      </w:pPr>
      <w:r>
        <w:rPr>
          <w:rFonts w:hint="eastAsia" w:ascii="宋体" w:hAnsi="宋体"/>
          <w:sz w:val="24"/>
        </w:rPr>
        <w:t>5.DNS解析</w:t>
      </w:r>
      <w:r>
        <w:rPr>
          <w:rFonts w:hint="eastAsia" w:ascii="宋体" w:hAnsi="宋体"/>
          <w:sz w:val="24"/>
        </w:rPr>
        <w:tab/>
      </w:r>
      <w:r>
        <w:rPr>
          <w:rFonts w:hint="eastAsia" w:ascii="宋体" w:hAnsi="宋体"/>
          <w:sz w:val="24"/>
        </w:rPr>
        <w:t>：具有DNS解析功能，支持在不额外购买DNS的情况下在内网使用域名访问内网资源。</w:t>
      </w:r>
    </w:p>
    <w:p w14:paraId="7F0F4752">
      <w:pPr>
        <w:widowControl/>
        <w:spacing w:line="360" w:lineRule="auto"/>
        <w:ind w:firstLine="480" w:firstLineChars="200"/>
        <w:contextualSpacing/>
        <w:jc w:val="left"/>
        <w:rPr>
          <w:rFonts w:ascii="宋体" w:hAnsi="宋体"/>
          <w:sz w:val="24"/>
        </w:rPr>
      </w:pPr>
      <w:r>
        <w:rPr>
          <w:rFonts w:hint="eastAsia" w:ascii="宋体" w:hAnsi="宋体"/>
          <w:sz w:val="24"/>
        </w:rPr>
        <w:t>6.资源授权：具有批量资源授权功能，支持将单个或多个应用授权给用户的组织架构、用户角色或最终用户。</w:t>
      </w:r>
    </w:p>
    <w:p w14:paraId="31148AE2">
      <w:pPr>
        <w:widowControl/>
        <w:spacing w:line="360" w:lineRule="auto"/>
        <w:ind w:firstLine="480" w:firstLineChars="200"/>
        <w:contextualSpacing/>
        <w:jc w:val="left"/>
        <w:rPr>
          <w:rFonts w:ascii="宋体" w:hAnsi="宋体"/>
          <w:sz w:val="24"/>
        </w:rPr>
      </w:pPr>
      <w:r>
        <w:rPr>
          <w:rFonts w:hint="eastAsia" w:ascii="宋体" w:hAnsi="宋体"/>
          <w:sz w:val="24"/>
        </w:rPr>
        <w:t>7.增强认证：支持增强认证，支持在账号首次登录、新终端登录、新地点登录、异常时间登陆情境下进行增强认证。</w:t>
      </w:r>
    </w:p>
    <w:p w14:paraId="1C8D9A6C">
      <w:pPr>
        <w:widowControl/>
        <w:spacing w:line="360" w:lineRule="auto"/>
        <w:ind w:firstLine="480" w:firstLineChars="200"/>
        <w:contextualSpacing/>
        <w:jc w:val="left"/>
        <w:rPr>
          <w:rFonts w:ascii="宋体" w:hAnsi="宋体"/>
          <w:sz w:val="24"/>
        </w:rPr>
      </w:pPr>
      <w:r>
        <w:rPr>
          <w:rFonts w:hint="eastAsia" w:ascii="宋体" w:hAnsi="宋体"/>
          <w:sz w:val="24"/>
        </w:rPr>
        <w:t>8.协议优化：支持对TCP协议的优化，支持在网络环境不佳的情况下业务的快速访问。</w:t>
      </w:r>
    </w:p>
    <w:p w14:paraId="0C6C9905">
      <w:pPr>
        <w:widowControl/>
        <w:spacing w:line="360" w:lineRule="auto"/>
        <w:ind w:firstLine="480" w:firstLineChars="200"/>
        <w:contextualSpacing/>
        <w:jc w:val="left"/>
        <w:rPr>
          <w:rFonts w:ascii="宋体" w:hAnsi="宋体"/>
          <w:sz w:val="24"/>
        </w:rPr>
      </w:pPr>
      <w:r>
        <w:rPr>
          <w:rFonts w:hint="eastAsia" w:ascii="宋体" w:hAnsi="宋体"/>
          <w:sz w:val="24"/>
        </w:rPr>
        <w:t>9.单包授权：支持SPA单包授权功能，支持UDP+TCP组合的单包授权技术，支持未授权客户无法扫描到服务端口。</w:t>
      </w:r>
    </w:p>
    <w:p w14:paraId="2DDCCA50">
      <w:pPr>
        <w:widowControl/>
        <w:spacing w:line="360" w:lineRule="auto"/>
        <w:ind w:firstLine="480" w:firstLineChars="200"/>
        <w:contextualSpacing/>
        <w:jc w:val="left"/>
        <w:rPr>
          <w:rFonts w:ascii="宋体" w:hAnsi="宋体"/>
          <w:sz w:val="24"/>
        </w:rPr>
      </w:pPr>
      <w:r>
        <w:rPr>
          <w:rFonts w:hint="eastAsia" w:ascii="宋体" w:hAnsi="宋体"/>
          <w:sz w:val="24"/>
        </w:rPr>
        <w:t>10.密码复杂度：支持密码复杂度配置，支持设定密码不能包含用户名，支持设定密码不能与历史的密码相同，支持设定密码不能包含键盘连续排序。</w:t>
      </w:r>
    </w:p>
    <w:p w14:paraId="00ADA220">
      <w:pPr>
        <w:widowControl/>
        <w:spacing w:line="360" w:lineRule="auto"/>
        <w:ind w:firstLine="480" w:firstLineChars="200"/>
        <w:contextualSpacing/>
        <w:jc w:val="left"/>
        <w:rPr>
          <w:rFonts w:ascii="宋体" w:hAnsi="宋体"/>
          <w:sz w:val="24"/>
        </w:rPr>
      </w:pPr>
      <w:r>
        <w:rPr>
          <w:rFonts w:hint="eastAsia" w:ascii="宋体" w:hAnsi="宋体"/>
          <w:sz w:val="24"/>
        </w:rPr>
        <w:t>11.动态访问控制：支持配置组织访问、注销登陆、锁定账号等动态访问控制策略。</w:t>
      </w:r>
    </w:p>
    <w:p w14:paraId="17A9E2E4">
      <w:pPr>
        <w:widowControl/>
        <w:spacing w:line="360" w:lineRule="auto"/>
        <w:ind w:firstLine="480" w:firstLineChars="200"/>
        <w:contextualSpacing/>
        <w:jc w:val="left"/>
        <w:rPr>
          <w:rFonts w:ascii="宋体" w:hAnsi="宋体"/>
          <w:sz w:val="24"/>
        </w:rPr>
      </w:pPr>
      <w:r>
        <w:rPr>
          <w:rFonts w:hint="eastAsia" w:ascii="宋体" w:hAnsi="宋体"/>
          <w:sz w:val="24"/>
        </w:rPr>
        <w:t>12.网络加速：应支持优化TCP协议，增强隧道抗丢包、抗抖动特性，实现弱网环境的访问加速。</w:t>
      </w:r>
    </w:p>
    <w:p w14:paraId="6E852270">
      <w:pPr>
        <w:widowControl/>
        <w:spacing w:line="360" w:lineRule="auto"/>
        <w:ind w:firstLine="480" w:firstLineChars="200"/>
        <w:contextualSpacing/>
        <w:jc w:val="left"/>
        <w:rPr>
          <w:rFonts w:ascii="宋体" w:hAnsi="宋体"/>
          <w:sz w:val="24"/>
        </w:rPr>
      </w:pPr>
      <w:r>
        <w:rPr>
          <w:rFonts w:hint="eastAsia" w:ascii="宋体" w:hAnsi="宋体"/>
          <w:sz w:val="24"/>
        </w:rPr>
        <w:t>13.动态权限控制：支持设置如短信增强认证、告警等灵活的补救动作，实现灰度处置，且能配置处置有效时长，平衡员工访问体验和安全保障。</w:t>
      </w:r>
    </w:p>
    <w:p w14:paraId="6531CCF6">
      <w:pPr>
        <w:widowControl/>
        <w:spacing w:line="360" w:lineRule="auto"/>
        <w:ind w:firstLine="480" w:firstLineChars="200"/>
        <w:contextualSpacing/>
        <w:jc w:val="left"/>
        <w:rPr>
          <w:rFonts w:ascii="宋体" w:hAnsi="宋体"/>
          <w:sz w:val="24"/>
        </w:rPr>
      </w:pPr>
    </w:p>
    <w:p w14:paraId="38C56EAD">
      <w:pPr>
        <w:pStyle w:val="4"/>
        <w:ind w:firstLine="482" w:firstLineChars="200"/>
        <w:rPr>
          <w:u w:val="none"/>
        </w:rPr>
      </w:pPr>
      <w:r>
        <w:rPr>
          <w:rFonts w:hint="eastAsia"/>
          <w:u w:val="none"/>
        </w:rPr>
        <w:t>标的8：运维审计系统</w:t>
      </w:r>
    </w:p>
    <w:p w14:paraId="32E9275C">
      <w:pPr>
        <w:widowControl/>
        <w:spacing w:line="360" w:lineRule="auto"/>
        <w:ind w:firstLine="480" w:firstLineChars="200"/>
        <w:contextualSpacing/>
        <w:jc w:val="left"/>
        <w:rPr>
          <w:rFonts w:ascii="宋体" w:hAnsi="宋体"/>
          <w:sz w:val="24"/>
        </w:rPr>
      </w:pPr>
      <w:r>
        <w:rPr>
          <w:rFonts w:hint="eastAsia" w:ascii="宋体" w:hAnsi="宋体"/>
          <w:sz w:val="24"/>
        </w:rPr>
        <w:t>1.硬件规格：2U，液晶屏，冗余电源，≥128G SSD，≥4T硬盘，≥6个千兆电口，≥4个千兆光口，≥2个USB，≥1个串口，≥1*GE管理口，≥1*GE热备口。</w:t>
      </w:r>
    </w:p>
    <w:p w14:paraId="30C3541F">
      <w:pPr>
        <w:widowControl/>
        <w:spacing w:line="360" w:lineRule="auto"/>
        <w:ind w:firstLine="480" w:firstLineChars="200"/>
        <w:contextualSpacing/>
        <w:jc w:val="left"/>
        <w:rPr>
          <w:rFonts w:ascii="宋体" w:hAnsi="宋体"/>
          <w:sz w:val="24"/>
        </w:rPr>
      </w:pPr>
      <w:r>
        <w:rPr>
          <w:rFonts w:hint="eastAsia" w:ascii="宋体" w:hAnsi="宋体"/>
          <w:sz w:val="24"/>
        </w:rPr>
        <w:t>2.性能要求：授权管理≥200台设备。</w:t>
      </w:r>
    </w:p>
    <w:p w14:paraId="726AD69F">
      <w:pPr>
        <w:widowControl/>
        <w:spacing w:line="360" w:lineRule="auto"/>
        <w:ind w:firstLine="480" w:firstLineChars="200"/>
        <w:contextualSpacing/>
        <w:jc w:val="left"/>
        <w:rPr>
          <w:rFonts w:ascii="宋体" w:hAnsi="宋体"/>
          <w:sz w:val="24"/>
        </w:rPr>
      </w:pPr>
      <w:r>
        <w:rPr>
          <w:rFonts w:hint="eastAsia" w:ascii="宋体" w:hAnsi="宋体"/>
          <w:sz w:val="24"/>
        </w:rPr>
        <w:t>3.多级组织管理/分权分域</w:t>
      </w:r>
    </w:p>
    <w:p w14:paraId="13E44983">
      <w:pPr>
        <w:widowControl/>
        <w:spacing w:line="360" w:lineRule="auto"/>
        <w:ind w:firstLine="480" w:firstLineChars="200"/>
        <w:contextualSpacing/>
        <w:jc w:val="left"/>
        <w:rPr>
          <w:rFonts w:ascii="宋体" w:hAnsi="宋体"/>
          <w:sz w:val="24"/>
        </w:rPr>
      </w:pPr>
      <w:r>
        <w:rPr>
          <w:rFonts w:hint="eastAsia" w:ascii="宋体" w:hAnsi="宋体"/>
          <w:sz w:val="24"/>
        </w:rPr>
        <w:t>3.1支持划分多级组织架构（至少10个层级），支持管理员批量导入用户信息，可通过勾选账户进行批量操作如停用/启用、冻结、移除本组织成员。</w:t>
      </w:r>
    </w:p>
    <w:p w14:paraId="6BAA3F20">
      <w:pPr>
        <w:widowControl/>
        <w:spacing w:line="360" w:lineRule="auto"/>
        <w:ind w:firstLine="480" w:firstLineChars="200"/>
        <w:contextualSpacing/>
        <w:jc w:val="left"/>
        <w:rPr>
          <w:rFonts w:ascii="宋体" w:hAnsi="宋体"/>
          <w:sz w:val="24"/>
        </w:rPr>
      </w:pPr>
      <w:r>
        <w:rPr>
          <w:rFonts w:hint="eastAsia" w:ascii="宋体" w:hAnsi="宋体"/>
          <w:sz w:val="24"/>
        </w:rPr>
        <w:t>3.</w:t>
      </w:r>
      <w:r>
        <w:rPr>
          <w:rFonts w:ascii="宋体" w:hAnsi="宋体"/>
          <w:sz w:val="24"/>
        </w:rPr>
        <w:t>2支持划分多级组织架构，不同层级有独立的用户管理，</w:t>
      </w:r>
      <w:r>
        <w:rPr>
          <w:rFonts w:hint="eastAsia" w:ascii="宋体" w:hAnsi="宋体"/>
          <w:sz w:val="24"/>
        </w:rPr>
        <w:t>如</w:t>
      </w:r>
      <w:r>
        <w:rPr>
          <w:rFonts w:ascii="宋体" w:hAnsi="宋体"/>
          <w:sz w:val="24"/>
        </w:rPr>
        <w:t>用户角色管理</w:t>
      </w:r>
      <w:r>
        <w:rPr>
          <w:rFonts w:hint="eastAsia" w:ascii="宋体" w:hAnsi="宋体"/>
          <w:sz w:val="24"/>
        </w:rPr>
        <w:t>、</w:t>
      </w:r>
      <w:r>
        <w:rPr>
          <w:rFonts w:ascii="宋体" w:hAnsi="宋体"/>
          <w:sz w:val="24"/>
        </w:rPr>
        <w:t>资产管理</w:t>
      </w:r>
      <w:r>
        <w:rPr>
          <w:rFonts w:hint="eastAsia" w:ascii="宋体" w:hAnsi="宋体"/>
          <w:sz w:val="24"/>
        </w:rPr>
        <w:t>、</w:t>
      </w:r>
      <w:r>
        <w:rPr>
          <w:rFonts w:ascii="宋体" w:hAnsi="宋体"/>
          <w:sz w:val="24"/>
        </w:rPr>
        <w:t>密码管理、策略管理、审计管理的权限角色</w:t>
      </w:r>
      <w:r>
        <w:rPr>
          <w:rFonts w:hint="eastAsia" w:ascii="宋体" w:hAnsi="宋体"/>
          <w:sz w:val="24"/>
        </w:rPr>
        <w:t>等</w:t>
      </w:r>
      <w:r>
        <w:rPr>
          <w:rFonts w:ascii="宋体" w:hAnsi="宋体"/>
          <w:sz w:val="24"/>
        </w:rPr>
        <w:t>，支持不同用户-部门-角色的灵活编排组合。</w:t>
      </w:r>
    </w:p>
    <w:p w14:paraId="261DE9D7">
      <w:pPr>
        <w:widowControl/>
        <w:spacing w:line="360" w:lineRule="auto"/>
        <w:ind w:firstLine="480" w:firstLineChars="200"/>
        <w:contextualSpacing/>
        <w:jc w:val="left"/>
        <w:rPr>
          <w:rFonts w:ascii="宋体" w:hAnsi="宋体"/>
          <w:sz w:val="24"/>
        </w:rPr>
      </w:pPr>
      <w:r>
        <w:rPr>
          <w:rFonts w:hint="eastAsia" w:ascii="宋体" w:hAnsi="宋体"/>
          <w:sz w:val="24"/>
        </w:rPr>
        <w:t>4.个性化：支持页面风格个性化配置，可以自定义系统名称、系统标签、系统图标、网站ico、登录页风格、登录页背景图、登录页logo、系统主题色、导航栏颜色、系统布局（上下，左右，混合）、是否展示页脚等。</w:t>
      </w:r>
    </w:p>
    <w:p w14:paraId="0723612A">
      <w:pPr>
        <w:widowControl/>
        <w:spacing w:line="360" w:lineRule="auto"/>
        <w:ind w:firstLine="480" w:firstLineChars="200"/>
        <w:contextualSpacing/>
        <w:jc w:val="left"/>
        <w:rPr>
          <w:rFonts w:ascii="宋体" w:hAnsi="宋体"/>
          <w:b/>
          <w:bCs/>
          <w:sz w:val="24"/>
        </w:rPr>
      </w:pPr>
      <w:r>
        <w:rPr>
          <w:rFonts w:hint="eastAsia" w:ascii="宋体" w:hAnsi="宋体" w:cs="宋体"/>
          <w:bCs/>
          <w:kern w:val="0"/>
          <w:sz w:val="24"/>
        </w:rPr>
        <w:t>▲</w:t>
      </w:r>
      <w:r>
        <w:rPr>
          <w:rFonts w:hint="eastAsia" w:ascii="宋体" w:hAnsi="宋体"/>
          <w:sz w:val="24"/>
        </w:rPr>
        <w:t>5.客户端：支持堡垒机专用客户端和堡垒机建立加密隧道，隧道加密算法可按需选择是国密或者标密。</w:t>
      </w:r>
      <w:r>
        <w:rPr>
          <w:rFonts w:hint="eastAsia" w:ascii="宋体" w:hAnsi="宋体"/>
          <w:b/>
          <w:bCs/>
          <w:sz w:val="24"/>
        </w:rPr>
        <w:t>（提供产品功能截图并加盖投标人单位公章）</w:t>
      </w:r>
    </w:p>
    <w:p w14:paraId="1DE9FB17">
      <w:pPr>
        <w:widowControl/>
        <w:spacing w:line="360" w:lineRule="auto"/>
        <w:ind w:firstLine="480" w:firstLineChars="200"/>
        <w:contextualSpacing/>
        <w:jc w:val="left"/>
        <w:rPr>
          <w:rFonts w:ascii="宋体" w:hAnsi="宋体"/>
          <w:sz w:val="24"/>
        </w:rPr>
      </w:pPr>
      <w:r>
        <w:rPr>
          <w:rFonts w:hint="eastAsia" w:ascii="宋体" w:hAnsi="宋体"/>
          <w:sz w:val="24"/>
        </w:rPr>
        <w:t>6.多因子认证：支持提供静态PIN+动态OTP口令认证方式，并支持配置PIN码的有效期、到期提醒、PIN码强度及弱PIN码字典。支持通过电子邮件、短信方式找回密码。</w:t>
      </w:r>
    </w:p>
    <w:p w14:paraId="5EFA1AC1">
      <w:pPr>
        <w:widowControl/>
        <w:spacing w:line="360" w:lineRule="auto"/>
        <w:ind w:firstLine="480" w:firstLineChars="200"/>
        <w:contextualSpacing/>
        <w:jc w:val="left"/>
        <w:rPr>
          <w:rFonts w:ascii="宋体" w:hAnsi="宋体"/>
          <w:sz w:val="24"/>
        </w:rPr>
      </w:pPr>
      <w:r>
        <w:rPr>
          <w:rFonts w:hint="eastAsia" w:ascii="宋体" w:hAnsi="宋体"/>
          <w:sz w:val="24"/>
        </w:rPr>
        <w:t>7.资产管理：支持资产托管账号密码检查，配置包含但不限于：密码强度检查规格（大小写字母，数字，特殊字符），最小长度（默认为8），是否启用弱密码库检查，弱密码字典等，检查后可通过列表展示。</w:t>
      </w:r>
    </w:p>
    <w:p w14:paraId="7AFF251A">
      <w:pPr>
        <w:widowControl/>
        <w:spacing w:line="360" w:lineRule="auto"/>
        <w:ind w:firstLine="480" w:firstLineChars="200"/>
        <w:contextualSpacing/>
        <w:jc w:val="left"/>
        <w:rPr>
          <w:rFonts w:ascii="宋体" w:hAnsi="宋体"/>
          <w:sz w:val="24"/>
        </w:rPr>
      </w:pPr>
      <w:r>
        <w:rPr>
          <w:rFonts w:hint="eastAsia" w:ascii="宋体" w:hAnsi="宋体"/>
          <w:sz w:val="24"/>
        </w:rPr>
        <w:t>8.资产运维</w:t>
      </w:r>
    </w:p>
    <w:p w14:paraId="619A5166">
      <w:pPr>
        <w:widowControl/>
        <w:spacing w:line="360" w:lineRule="auto"/>
        <w:ind w:firstLine="480" w:firstLineChars="200"/>
        <w:contextualSpacing/>
        <w:jc w:val="left"/>
        <w:rPr>
          <w:rFonts w:ascii="宋体" w:hAnsi="宋体"/>
          <w:sz w:val="24"/>
        </w:rPr>
      </w:pPr>
      <w:r>
        <w:rPr>
          <w:rFonts w:hint="eastAsia" w:ascii="宋体" w:hAnsi="宋体" w:cs="宋体"/>
          <w:bCs/>
          <w:kern w:val="0"/>
          <w:sz w:val="24"/>
        </w:rPr>
        <w:t>8.1</w:t>
      </w:r>
      <w:r>
        <w:rPr>
          <w:rFonts w:hint="eastAsia" w:ascii="宋体" w:hAnsi="宋体"/>
          <w:sz w:val="24"/>
        </w:rPr>
        <w:t>支持通过堡垒机直接代理HTTP/HTTPS协议，无需前置机。</w:t>
      </w:r>
    </w:p>
    <w:p w14:paraId="580021BD">
      <w:pPr>
        <w:widowControl/>
        <w:spacing w:line="360" w:lineRule="auto"/>
        <w:ind w:firstLine="480" w:firstLineChars="200"/>
        <w:contextualSpacing/>
        <w:jc w:val="left"/>
        <w:rPr>
          <w:rFonts w:ascii="宋体" w:hAnsi="宋体"/>
          <w:sz w:val="24"/>
        </w:rPr>
      </w:pPr>
      <w:r>
        <w:rPr>
          <w:rFonts w:hint="eastAsia" w:ascii="宋体" w:hAnsi="宋体"/>
          <w:sz w:val="24"/>
        </w:rPr>
        <w:t>8.2支持RDP、X11、VNC、SSH、TELNET、RLOGIN、SFTP、FTP、SAMBA协议的HTML5运维，无需本地运维客户端。支持通过HTML5文件运维的方式上传和下载文件。</w:t>
      </w:r>
    </w:p>
    <w:p w14:paraId="6755D459">
      <w:pPr>
        <w:widowControl/>
        <w:spacing w:line="360" w:lineRule="auto"/>
        <w:ind w:firstLine="480" w:firstLineChars="200"/>
        <w:contextualSpacing/>
        <w:jc w:val="left"/>
        <w:rPr>
          <w:rFonts w:ascii="宋体" w:hAnsi="宋体"/>
          <w:sz w:val="24"/>
        </w:rPr>
      </w:pPr>
      <w:r>
        <w:rPr>
          <w:rFonts w:hint="eastAsia" w:ascii="宋体" w:hAnsi="宋体"/>
          <w:sz w:val="24"/>
        </w:rPr>
        <w:t>9.授权策略：支持基于用户、用户组、组织机构、角色和用户属性的静态授权，通过不同授权模型满足运维管控要求。</w:t>
      </w:r>
    </w:p>
    <w:p w14:paraId="2EF26932">
      <w:pPr>
        <w:widowControl/>
        <w:spacing w:line="360" w:lineRule="auto"/>
        <w:ind w:firstLine="480" w:firstLineChars="200"/>
        <w:contextualSpacing/>
        <w:jc w:val="left"/>
        <w:rPr>
          <w:rFonts w:ascii="宋体" w:hAnsi="宋体"/>
          <w:sz w:val="24"/>
        </w:rPr>
      </w:pPr>
      <w:r>
        <w:rPr>
          <w:rFonts w:hint="eastAsia" w:ascii="宋体" w:hAnsi="宋体"/>
          <w:sz w:val="24"/>
        </w:rPr>
        <w:t>10.自动化运维：支持自动化运维，支持自定义自动化脚本，可在线编辑和本地导入。支持设定任务为手动、定时和周期执行方式。支持登录后自动执行脚本，执行完后堡垒机保存运维记录。</w:t>
      </w:r>
    </w:p>
    <w:p w14:paraId="6B18136B">
      <w:pPr>
        <w:widowControl/>
        <w:spacing w:line="360" w:lineRule="auto"/>
        <w:ind w:firstLine="480" w:firstLineChars="200"/>
        <w:contextualSpacing/>
        <w:jc w:val="left"/>
        <w:rPr>
          <w:rFonts w:ascii="宋体" w:hAnsi="宋体"/>
          <w:sz w:val="24"/>
        </w:rPr>
      </w:pPr>
      <w:r>
        <w:rPr>
          <w:rFonts w:hint="eastAsia" w:ascii="宋体" w:hAnsi="宋体"/>
          <w:sz w:val="24"/>
        </w:rPr>
        <w:t>11.日志管理</w:t>
      </w:r>
    </w:p>
    <w:p w14:paraId="11D401F1">
      <w:pPr>
        <w:widowControl/>
        <w:spacing w:line="360" w:lineRule="auto"/>
        <w:ind w:firstLine="480" w:firstLineChars="200"/>
        <w:contextualSpacing/>
        <w:jc w:val="left"/>
        <w:rPr>
          <w:rFonts w:ascii="宋体" w:hAnsi="宋体"/>
          <w:sz w:val="24"/>
        </w:rPr>
      </w:pPr>
      <w:r>
        <w:rPr>
          <w:rFonts w:hint="eastAsia" w:ascii="宋体" w:hAnsi="宋体"/>
          <w:sz w:val="24"/>
        </w:rPr>
        <w:t>11.1支持运维审计，审计日志包括认证日志、授权日志、网页审计、图形审计、字符审计、文件审计、数据库审计、系统日志。</w:t>
      </w:r>
    </w:p>
    <w:p w14:paraId="00CEBE58">
      <w:pPr>
        <w:widowControl/>
        <w:spacing w:line="360" w:lineRule="auto"/>
        <w:ind w:firstLine="480" w:firstLineChars="200"/>
        <w:contextualSpacing/>
        <w:jc w:val="left"/>
        <w:rPr>
          <w:rFonts w:ascii="宋体" w:hAnsi="宋体"/>
          <w:sz w:val="24"/>
        </w:rPr>
      </w:pPr>
      <w:r>
        <w:rPr>
          <w:rFonts w:hint="eastAsia" w:ascii="宋体" w:hAnsi="宋体"/>
          <w:sz w:val="24"/>
        </w:rPr>
        <w:t>11.2支持FTP、SFTP、NFS备份，支持手动备份和自动备份，支持备份指定的日志类型，以及备份后是否需要清除原文件，支持日志从FTP恢复和从文件恢复。</w:t>
      </w:r>
    </w:p>
    <w:p w14:paraId="77424D17">
      <w:pPr>
        <w:pStyle w:val="4"/>
        <w:ind w:firstLine="482" w:firstLineChars="200"/>
        <w:rPr>
          <w:u w:val="none"/>
        </w:rPr>
      </w:pPr>
      <w:r>
        <w:rPr>
          <w:rFonts w:hint="eastAsia"/>
          <w:u w:val="none"/>
        </w:rPr>
        <w:t>标的9：漏洞扫描</w:t>
      </w:r>
    </w:p>
    <w:p w14:paraId="1E0B49C1">
      <w:pPr>
        <w:widowControl/>
        <w:spacing w:line="360" w:lineRule="auto"/>
        <w:ind w:firstLine="480" w:firstLineChars="200"/>
        <w:contextualSpacing/>
        <w:jc w:val="left"/>
        <w:rPr>
          <w:rFonts w:ascii="宋体" w:hAnsi="宋体"/>
          <w:sz w:val="24"/>
        </w:rPr>
      </w:pPr>
      <w:r>
        <w:rPr>
          <w:rFonts w:hint="eastAsia" w:ascii="宋体" w:hAnsi="宋体"/>
          <w:sz w:val="24"/>
        </w:rPr>
        <w:t>1.硬件规格：2U，含交流冗余电源模块，≥1个RJ45串口，≥2个GE管理口，标准配置提供1路授权扫描端口，≥32个10/100/1000M电口。</w:t>
      </w:r>
    </w:p>
    <w:p w14:paraId="02C2B7E0">
      <w:pPr>
        <w:widowControl/>
        <w:spacing w:line="360" w:lineRule="auto"/>
        <w:ind w:firstLine="480" w:firstLineChars="200"/>
        <w:contextualSpacing/>
        <w:jc w:val="left"/>
        <w:rPr>
          <w:rFonts w:ascii="宋体" w:hAnsi="宋体"/>
          <w:sz w:val="24"/>
        </w:rPr>
      </w:pPr>
      <w:r>
        <w:rPr>
          <w:rFonts w:hint="eastAsia" w:ascii="宋体" w:hAnsi="宋体"/>
          <w:sz w:val="24"/>
        </w:rPr>
        <w:t>2.性能要求：授权可扫描总数量为无限的IP地址或域名。</w:t>
      </w:r>
    </w:p>
    <w:p w14:paraId="33B7C694">
      <w:pPr>
        <w:widowControl/>
        <w:spacing w:line="360" w:lineRule="auto"/>
        <w:ind w:firstLine="480" w:firstLineChars="200"/>
        <w:contextualSpacing/>
        <w:jc w:val="left"/>
        <w:rPr>
          <w:rFonts w:ascii="宋体" w:hAnsi="宋体"/>
          <w:sz w:val="24"/>
        </w:rPr>
      </w:pPr>
      <w:r>
        <w:rPr>
          <w:rFonts w:hint="eastAsia" w:ascii="宋体" w:hAnsi="宋体"/>
          <w:sz w:val="24"/>
        </w:rPr>
        <w:t>3.基本要求：产品需使用国产化硬件平台以及自主可控的安全操作系统，支持B/S设计架构，并支持SSL加密通信方式，无须安装客户端，用户可通过浏览器远程方便的对产品进行管理。</w:t>
      </w:r>
    </w:p>
    <w:p w14:paraId="400663CD">
      <w:pPr>
        <w:widowControl/>
        <w:spacing w:line="360" w:lineRule="auto"/>
        <w:ind w:firstLine="480" w:firstLineChars="200"/>
        <w:contextualSpacing/>
        <w:jc w:val="left"/>
        <w:rPr>
          <w:rFonts w:ascii="宋体" w:hAnsi="宋体"/>
          <w:sz w:val="24"/>
        </w:rPr>
      </w:pPr>
      <w:r>
        <w:rPr>
          <w:rFonts w:hint="eastAsia" w:ascii="宋体" w:hAnsi="宋体"/>
          <w:sz w:val="24"/>
        </w:rPr>
        <w:t>4.漏洞管理和分析</w:t>
      </w:r>
    </w:p>
    <w:p w14:paraId="7C62E082">
      <w:pPr>
        <w:widowControl/>
        <w:spacing w:line="360" w:lineRule="auto"/>
        <w:ind w:firstLine="480" w:firstLineChars="200"/>
        <w:contextualSpacing/>
        <w:jc w:val="left"/>
        <w:rPr>
          <w:rFonts w:ascii="宋体" w:hAnsi="宋体"/>
          <w:sz w:val="24"/>
        </w:rPr>
      </w:pPr>
      <w:r>
        <w:rPr>
          <w:rFonts w:hint="eastAsia" w:ascii="宋体" w:hAnsi="宋体" w:cs="宋体"/>
          <w:bCs/>
          <w:kern w:val="0"/>
          <w:sz w:val="24"/>
        </w:rPr>
        <w:t>4.1</w:t>
      </w:r>
      <w:r>
        <w:rPr>
          <w:rFonts w:hint="eastAsia" w:ascii="宋体" w:hAnsi="宋体"/>
          <w:sz w:val="24"/>
        </w:rPr>
        <w:t>支持检测的漏洞数大于340000条，兼容CVE、CNCVE、CNNVD、CNVD、Bugtraq等主流标准。</w:t>
      </w:r>
    </w:p>
    <w:p w14:paraId="4744B073">
      <w:pPr>
        <w:widowControl/>
        <w:spacing w:line="360" w:lineRule="auto"/>
        <w:ind w:firstLine="480" w:firstLineChars="200"/>
        <w:contextualSpacing/>
        <w:jc w:val="left"/>
        <w:rPr>
          <w:rFonts w:ascii="宋体" w:hAnsi="宋体"/>
          <w:sz w:val="24"/>
        </w:rPr>
      </w:pPr>
      <w:r>
        <w:rPr>
          <w:rFonts w:hint="eastAsia" w:ascii="宋体" w:hAnsi="宋体"/>
          <w:sz w:val="24"/>
        </w:rPr>
        <w:t>4.2产品应支持通过多种维度对漏洞进行检索，包括：CVE ID、BUGTRAQ ID、CNCVE ID、CNVD ID、CNNVD ID、MS 编号、风险等级、漏洞名称、是否使用危险插件、漏洞发布日期等信息。</w:t>
      </w:r>
    </w:p>
    <w:p w14:paraId="53398E1B">
      <w:pPr>
        <w:widowControl/>
        <w:spacing w:line="360" w:lineRule="auto"/>
        <w:ind w:firstLine="480" w:firstLineChars="200"/>
        <w:contextualSpacing/>
        <w:jc w:val="left"/>
        <w:rPr>
          <w:rFonts w:ascii="宋体" w:hAnsi="宋体"/>
          <w:sz w:val="24"/>
        </w:rPr>
      </w:pPr>
      <w:r>
        <w:rPr>
          <w:rFonts w:hint="eastAsia" w:ascii="宋体" w:hAnsi="宋体"/>
          <w:sz w:val="24"/>
        </w:rPr>
        <w:t>4.3支持Oracle、MySQL、MS SQL、DB2、Sybase数据库漏洞检查。</w:t>
      </w:r>
    </w:p>
    <w:p w14:paraId="4174B9E3">
      <w:pPr>
        <w:widowControl/>
        <w:spacing w:line="360" w:lineRule="auto"/>
        <w:ind w:firstLine="480" w:firstLineChars="200"/>
        <w:contextualSpacing/>
        <w:jc w:val="left"/>
        <w:rPr>
          <w:rFonts w:ascii="宋体" w:hAnsi="宋体"/>
          <w:sz w:val="24"/>
        </w:rPr>
      </w:pPr>
      <w:r>
        <w:rPr>
          <w:rFonts w:hint="eastAsia" w:ascii="宋体" w:hAnsi="宋体"/>
          <w:sz w:val="24"/>
        </w:rPr>
        <w:t>4.4支持断点续扫，可对已完成的扫描任务中没有被覆盖到的目标重新下发扫描任务。</w:t>
      </w:r>
    </w:p>
    <w:p w14:paraId="122ED8B0">
      <w:pPr>
        <w:widowControl/>
        <w:spacing w:line="360" w:lineRule="auto"/>
        <w:ind w:firstLine="480" w:firstLineChars="200"/>
        <w:contextualSpacing/>
        <w:jc w:val="left"/>
        <w:rPr>
          <w:rFonts w:ascii="宋体" w:hAnsi="宋体"/>
          <w:sz w:val="24"/>
        </w:rPr>
      </w:pPr>
      <w:r>
        <w:rPr>
          <w:rFonts w:hint="eastAsia" w:ascii="宋体" w:hAnsi="宋体"/>
          <w:sz w:val="24"/>
        </w:rPr>
        <w:t>5.风险展示和报表</w:t>
      </w:r>
    </w:p>
    <w:p w14:paraId="39A5CE37">
      <w:pPr>
        <w:widowControl/>
        <w:spacing w:line="360" w:lineRule="auto"/>
        <w:ind w:firstLine="480" w:firstLineChars="200"/>
        <w:contextualSpacing/>
        <w:jc w:val="left"/>
        <w:rPr>
          <w:rFonts w:ascii="宋体" w:hAnsi="宋体"/>
          <w:sz w:val="24"/>
        </w:rPr>
      </w:pPr>
      <w:r>
        <w:rPr>
          <w:rFonts w:hint="eastAsia" w:ascii="宋体" w:hAnsi="宋体"/>
          <w:sz w:val="24"/>
        </w:rPr>
        <w:t>5.1支持在线报表，在线查看展示各节点和主机资产风险分布、漏洞分布、配置合规和脆弱账号信息，在线查看设备风险详情。</w:t>
      </w:r>
    </w:p>
    <w:p w14:paraId="2E0B4F01">
      <w:pPr>
        <w:widowControl/>
        <w:spacing w:line="360" w:lineRule="auto"/>
        <w:ind w:firstLine="480" w:firstLineChars="200"/>
        <w:contextualSpacing/>
        <w:jc w:val="left"/>
        <w:rPr>
          <w:rFonts w:ascii="宋体" w:hAnsi="宋体"/>
          <w:sz w:val="24"/>
        </w:rPr>
      </w:pPr>
      <w:r>
        <w:rPr>
          <w:rFonts w:hint="eastAsia" w:ascii="宋体" w:hAnsi="宋体"/>
          <w:sz w:val="24"/>
        </w:rPr>
        <w:t>5.2提供灵活的报表自定义，可定制报表标题、封面logo、报表页眉和页脚、报表各章节显示内容。</w:t>
      </w:r>
    </w:p>
    <w:p w14:paraId="64BEF6B3">
      <w:pPr>
        <w:widowControl/>
        <w:spacing w:line="360" w:lineRule="auto"/>
        <w:ind w:firstLine="480" w:firstLineChars="200"/>
        <w:contextualSpacing/>
        <w:jc w:val="left"/>
        <w:rPr>
          <w:rFonts w:ascii="宋体" w:hAnsi="宋体"/>
          <w:b/>
          <w:bCs/>
          <w:sz w:val="24"/>
        </w:rPr>
      </w:pPr>
      <w:r>
        <w:rPr>
          <w:rFonts w:hint="eastAsia" w:ascii="宋体" w:hAnsi="宋体"/>
          <w:sz w:val="24"/>
        </w:rPr>
        <w:t>6.多权限用户管理：支持不同用户角色权限管理，区分系统管理员、普通用户、审计管理员等角色，不同管理员拥有不同的管理权限。</w:t>
      </w:r>
    </w:p>
    <w:p w14:paraId="0C2D0BE2">
      <w:pPr>
        <w:pStyle w:val="4"/>
        <w:ind w:firstLine="482" w:firstLineChars="200"/>
        <w:rPr>
          <w:u w:val="none"/>
        </w:rPr>
      </w:pPr>
      <w:r>
        <w:rPr>
          <w:rFonts w:hint="eastAsia"/>
          <w:u w:val="none"/>
        </w:rPr>
        <w:t>标的10：准入系统</w:t>
      </w:r>
    </w:p>
    <w:p w14:paraId="5C75AD8B">
      <w:pPr>
        <w:widowControl/>
        <w:spacing w:line="360" w:lineRule="auto"/>
        <w:ind w:firstLine="480" w:firstLineChars="200"/>
        <w:contextualSpacing/>
        <w:jc w:val="left"/>
        <w:rPr>
          <w:rFonts w:ascii="宋体" w:hAnsi="宋体"/>
          <w:sz w:val="24"/>
        </w:rPr>
      </w:pPr>
      <w:r>
        <w:rPr>
          <w:rFonts w:hint="eastAsia" w:ascii="宋体" w:hAnsi="宋体"/>
          <w:sz w:val="24"/>
        </w:rPr>
        <w:t>1.产品规格：须为标准机架式硬件产品，1U机架结构；单电源；≥6个1000MBASE-T接口；每秒事务数（TPS)≥2000（次/秒）；最大吞吐量≥1000Mbps；最大并发连接数≥2000（条）；≥1000个终端准入客户端授权点数。</w:t>
      </w:r>
    </w:p>
    <w:p w14:paraId="55D877C6">
      <w:pPr>
        <w:widowControl/>
        <w:spacing w:line="360" w:lineRule="auto"/>
        <w:ind w:firstLine="480" w:firstLineChars="200"/>
        <w:contextualSpacing/>
        <w:jc w:val="left"/>
        <w:rPr>
          <w:rFonts w:ascii="宋体" w:hAnsi="宋体"/>
          <w:sz w:val="24"/>
        </w:rPr>
      </w:pPr>
      <w:r>
        <w:rPr>
          <w:rFonts w:hint="eastAsia" w:ascii="宋体" w:hAnsi="宋体" w:cs="宋体"/>
          <w:bCs/>
          <w:kern w:val="0"/>
          <w:sz w:val="24"/>
        </w:rPr>
        <w:t>▲</w:t>
      </w:r>
      <w:r>
        <w:rPr>
          <w:rFonts w:hint="eastAsia" w:ascii="宋体" w:hAnsi="宋体"/>
          <w:sz w:val="24"/>
        </w:rPr>
        <w:t>2.准入设备管理：支持移动终端专用管理APP，实现设备快速定位、设备审核、实时报警监控、小助手确认码生成、平台基本信息、关机与重启等操作。</w:t>
      </w:r>
      <w:r>
        <w:rPr>
          <w:rFonts w:hint="eastAsia" w:ascii="宋体" w:hAnsi="宋体"/>
          <w:b/>
          <w:bCs/>
          <w:sz w:val="24"/>
        </w:rPr>
        <w:t>（提供产品功能截图并加盖投标人单位公章）</w:t>
      </w:r>
    </w:p>
    <w:p w14:paraId="3AD503AF">
      <w:pPr>
        <w:widowControl/>
        <w:spacing w:line="360" w:lineRule="auto"/>
        <w:ind w:firstLine="480" w:firstLineChars="200"/>
        <w:contextualSpacing/>
        <w:jc w:val="left"/>
        <w:rPr>
          <w:rFonts w:ascii="宋体" w:hAnsi="宋体"/>
          <w:sz w:val="24"/>
        </w:rPr>
      </w:pPr>
      <w:r>
        <w:rPr>
          <w:rFonts w:hint="eastAsia" w:ascii="宋体" w:hAnsi="宋体"/>
          <w:sz w:val="24"/>
        </w:rPr>
        <w:t>3.客户端兼容</w:t>
      </w:r>
    </w:p>
    <w:p w14:paraId="3BE31FBA">
      <w:pPr>
        <w:widowControl/>
        <w:spacing w:line="360" w:lineRule="auto"/>
        <w:ind w:firstLine="480" w:firstLineChars="200"/>
        <w:contextualSpacing/>
        <w:jc w:val="left"/>
        <w:rPr>
          <w:rFonts w:ascii="宋体" w:hAnsi="宋体"/>
          <w:sz w:val="24"/>
        </w:rPr>
      </w:pPr>
      <w:r>
        <w:rPr>
          <w:rFonts w:hint="eastAsia" w:ascii="宋体" w:hAnsi="宋体" w:cs="宋体"/>
          <w:bCs/>
          <w:kern w:val="0"/>
          <w:sz w:val="24"/>
        </w:rPr>
        <w:t>3.1</w:t>
      </w:r>
      <w:r>
        <w:rPr>
          <w:rFonts w:hint="eastAsia" w:ascii="宋体" w:hAnsi="宋体"/>
          <w:sz w:val="24"/>
        </w:rPr>
        <w:t>支持一个管理平台可以同时对Windows电脑、信创电脑、MacOS电脑、苹果手机、安卓手机进行安全检查。</w:t>
      </w:r>
    </w:p>
    <w:p w14:paraId="4EDA9C07">
      <w:pPr>
        <w:widowControl/>
        <w:spacing w:line="360" w:lineRule="auto"/>
        <w:ind w:firstLine="480" w:firstLineChars="200"/>
        <w:contextualSpacing/>
        <w:jc w:val="left"/>
        <w:rPr>
          <w:rFonts w:ascii="宋体" w:hAnsi="宋体"/>
          <w:sz w:val="24"/>
        </w:rPr>
      </w:pPr>
      <w:r>
        <w:rPr>
          <w:rFonts w:hint="eastAsia" w:ascii="宋体" w:hAnsi="宋体" w:cs="宋体"/>
          <w:bCs/>
          <w:kern w:val="0"/>
          <w:sz w:val="24"/>
        </w:rPr>
        <w:t>3.2</w:t>
      </w:r>
      <w:r>
        <w:rPr>
          <w:rFonts w:hint="eastAsia" w:ascii="宋体" w:hAnsi="宋体"/>
          <w:sz w:val="24"/>
        </w:rPr>
        <w:t>支持多种客户端推送方式，包括引导式入网界面安装、无扰式客户端推送、国产化客户端批量静默安装（无需人工输入root密码）。</w:t>
      </w:r>
    </w:p>
    <w:p w14:paraId="425FF3D9">
      <w:pPr>
        <w:widowControl/>
        <w:spacing w:line="360" w:lineRule="auto"/>
        <w:ind w:firstLine="480" w:firstLineChars="200"/>
        <w:contextualSpacing/>
        <w:jc w:val="left"/>
        <w:rPr>
          <w:rFonts w:ascii="宋体" w:hAnsi="宋体"/>
          <w:sz w:val="24"/>
        </w:rPr>
      </w:pPr>
      <w:r>
        <w:rPr>
          <w:rFonts w:hint="eastAsia" w:ascii="宋体" w:hAnsi="宋体"/>
          <w:sz w:val="24"/>
        </w:rPr>
        <w:t>4.入网流程管理</w:t>
      </w:r>
    </w:p>
    <w:p w14:paraId="7A322ED0">
      <w:pPr>
        <w:widowControl/>
        <w:spacing w:line="360" w:lineRule="auto"/>
        <w:ind w:firstLine="480" w:firstLineChars="200"/>
        <w:contextualSpacing/>
        <w:jc w:val="left"/>
        <w:rPr>
          <w:rFonts w:ascii="宋体" w:hAnsi="宋体"/>
          <w:sz w:val="24"/>
        </w:rPr>
      </w:pPr>
      <w:r>
        <w:rPr>
          <w:rFonts w:hint="eastAsia" w:ascii="宋体" w:hAnsi="宋体"/>
          <w:sz w:val="24"/>
        </w:rPr>
        <w:t>4.1支持基于终端属性（包括但不限于按IP地址、终端类型、指定终端、终端部门、操作系统等）和角色定义准入场景策略。</w:t>
      </w:r>
    </w:p>
    <w:p w14:paraId="4404F7B7">
      <w:pPr>
        <w:widowControl/>
        <w:spacing w:line="360" w:lineRule="auto"/>
        <w:ind w:firstLine="480" w:firstLineChars="200"/>
        <w:contextualSpacing/>
        <w:jc w:val="left"/>
        <w:rPr>
          <w:rFonts w:ascii="宋体" w:hAnsi="宋体" w:cs="宋体"/>
          <w:bCs/>
          <w:kern w:val="0"/>
          <w:sz w:val="24"/>
        </w:rPr>
      </w:pPr>
      <w:r>
        <w:rPr>
          <w:rFonts w:hint="eastAsia" w:ascii="宋体" w:hAnsi="宋体" w:cs="宋体"/>
          <w:bCs/>
          <w:kern w:val="0"/>
          <w:sz w:val="24"/>
        </w:rPr>
        <w:t>4.2</w:t>
      </w:r>
      <w:r>
        <w:rPr>
          <w:rFonts w:hint="eastAsia" w:ascii="宋体" w:hAnsi="宋体"/>
          <w:sz w:val="24"/>
        </w:rPr>
        <w:t>针对打印机、摄像头、考勤机等哑终端，需支持基于终端类型自动授信入网，接入后可访问指定的安全域，防止越权访问或哑终端被攻陷后作为跳板攻击其他业务网络。</w:t>
      </w:r>
    </w:p>
    <w:p w14:paraId="1C1D8AEA">
      <w:pPr>
        <w:widowControl/>
        <w:spacing w:line="360" w:lineRule="auto"/>
        <w:ind w:firstLine="480" w:firstLineChars="200"/>
        <w:contextualSpacing/>
        <w:jc w:val="left"/>
        <w:rPr>
          <w:rFonts w:ascii="宋体" w:hAnsi="宋体"/>
          <w:sz w:val="24"/>
        </w:rPr>
      </w:pPr>
      <w:r>
        <w:rPr>
          <w:rFonts w:hint="eastAsia" w:ascii="宋体" w:hAnsi="宋体"/>
          <w:sz w:val="24"/>
        </w:rPr>
        <w:t>5.准入控制技术：支持多种准入技术，包含但不限于透明网桥、VLAN隔离、802.1x、策略路由、镜像流量、ARP、DHCP、portal准入、等准入技术；同时支持多厂商交换机的虚拟网关的VLAN隔离技术，实现无客户端下端口级准入控制。</w:t>
      </w:r>
    </w:p>
    <w:p w14:paraId="28B4FF9B">
      <w:pPr>
        <w:widowControl/>
        <w:spacing w:line="360" w:lineRule="auto"/>
        <w:ind w:firstLine="480" w:firstLineChars="200"/>
        <w:contextualSpacing/>
        <w:jc w:val="left"/>
        <w:rPr>
          <w:rFonts w:ascii="宋体" w:hAnsi="宋体"/>
          <w:sz w:val="24"/>
        </w:rPr>
      </w:pPr>
      <w:r>
        <w:rPr>
          <w:rFonts w:hint="eastAsia" w:ascii="宋体" w:hAnsi="宋体"/>
          <w:sz w:val="24"/>
        </w:rPr>
        <w:t>6.身份认证方式</w:t>
      </w:r>
    </w:p>
    <w:p w14:paraId="52519ACA">
      <w:pPr>
        <w:widowControl/>
        <w:spacing w:line="360" w:lineRule="auto"/>
        <w:ind w:firstLine="480" w:firstLineChars="200"/>
        <w:contextualSpacing/>
        <w:jc w:val="left"/>
        <w:rPr>
          <w:rFonts w:ascii="宋体" w:hAnsi="宋体"/>
          <w:sz w:val="24"/>
        </w:rPr>
      </w:pPr>
      <w:r>
        <w:rPr>
          <w:rFonts w:hint="eastAsia" w:ascii="宋体" w:hAnsi="宋体"/>
          <w:sz w:val="24"/>
        </w:rPr>
        <w:t>6.1支持多种身份认证方式，包含但不限于本地账号密码认证、LDAP/AD认证、UKEY用户认证、手机短信账户认证、Mac地址用户认证、指纹认证、钉钉认证、企业微信认证、飞书认证。</w:t>
      </w:r>
    </w:p>
    <w:p w14:paraId="5576DD31">
      <w:pPr>
        <w:widowControl/>
        <w:spacing w:line="360" w:lineRule="auto"/>
        <w:ind w:firstLine="480" w:firstLineChars="200"/>
        <w:contextualSpacing/>
        <w:jc w:val="left"/>
        <w:rPr>
          <w:rFonts w:ascii="宋体" w:hAnsi="宋体"/>
          <w:sz w:val="24"/>
        </w:rPr>
      </w:pPr>
      <w:r>
        <w:rPr>
          <w:rFonts w:hint="eastAsia" w:ascii="宋体" w:hAnsi="宋体" w:cs="宋体"/>
          <w:bCs/>
          <w:kern w:val="0"/>
          <w:sz w:val="24"/>
        </w:rPr>
        <w:t>6.2</w:t>
      </w:r>
      <w:r>
        <w:rPr>
          <w:rFonts w:hint="eastAsia" w:ascii="宋体" w:hAnsi="宋体"/>
          <w:sz w:val="24"/>
        </w:rPr>
        <w:t>钉钉、企微、飞书扫码认证支持统一代理认证，无需设置认证源服务器为白名单服务器，支持PC通过上述APP扫码完成认证。</w:t>
      </w:r>
    </w:p>
    <w:p w14:paraId="086AE631">
      <w:pPr>
        <w:widowControl/>
        <w:spacing w:line="360" w:lineRule="auto"/>
        <w:ind w:firstLine="480" w:firstLineChars="200"/>
        <w:contextualSpacing/>
        <w:jc w:val="left"/>
        <w:rPr>
          <w:rFonts w:ascii="宋体" w:hAnsi="宋体"/>
          <w:sz w:val="24"/>
        </w:rPr>
      </w:pPr>
      <w:r>
        <w:rPr>
          <w:rFonts w:hint="eastAsia" w:ascii="宋体" w:hAnsi="宋体"/>
          <w:sz w:val="24"/>
        </w:rPr>
        <w:t>7.PC端安全检查</w:t>
      </w:r>
    </w:p>
    <w:p w14:paraId="6F582CDB">
      <w:pPr>
        <w:widowControl/>
        <w:spacing w:line="360" w:lineRule="auto"/>
        <w:ind w:firstLine="480" w:firstLineChars="200"/>
        <w:contextualSpacing/>
        <w:jc w:val="left"/>
        <w:rPr>
          <w:rFonts w:ascii="宋体" w:hAnsi="宋体"/>
          <w:sz w:val="24"/>
        </w:rPr>
      </w:pPr>
      <w:r>
        <w:rPr>
          <w:rFonts w:hint="eastAsia" w:ascii="宋体" w:hAnsi="宋体"/>
          <w:sz w:val="24"/>
        </w:rPr>
        <w:t>7.1PC端安全检查需支持Windows电脑、信创电脑、MacOS电脑，安全检查项的数量Windows电脑≥30个、信创电脑≥25个、MacOS电脑≥10个，检查项包括但不限于防火墙状态检查、域用户检查、弱口令检查等。</w:t>
      </w:r>
    </w:p>
    <w:p w14:paraId="72B7D693">
      <w:pPr>
        <w:widowControl/>
        <w:spacing w:line="360" w:lineRule="auto"/>
        <w:ind w:firstLine="480" w:firstLineChars="200"/>
        <w:contextualSpacing/>
        <w:jc w:val="left"/>
        <w:rPr>
          <w:rFonts w:ascii="宋体" w:hAnsi="宋体"/>
          <w:b/>
          <w:sz w:val="24"/>
        </w:rPr>
      </w:pPr>
      <w:r>
        <w:rPr>
          <w:rFonts w:hint="eastAsia" w:ascii="宋体" w:hAnsi="宋体" w:cs="宋体"/>
          <w:bCs/>
          <w:kern w:val="0"/>
          <w:sz w:val="24"/>
        </w:rPr>
        <w:t>7.2</w:t>
      </w:r>
      <w:r>
        <w:rPr>
          <w:rFonts w:hint="eastAsia" w:ascii="宋体" w:hAnsi="宋体"/>
          <w:sz w:val="24"/>
        </w:rPr>
        <w:t>Windows电脑与信创电脑支持自定义安全检查项，支持检查文件是否存在，文件大小，文件md5等。</w:t>
      </w:r>
    </w:p>
    <w:p w14:paraId="71470367">
      <w:pPr>
        <w:widowControl/>
        <w:spacing w:line="360" w:lineRule="auto"/>
        <w:ind w:firstLine="482" w:firstLineChars="200"/>
        <w:contextualSpacing/>
        <w:jc w:val="left"/>
        <w:rPr>
          <w:rFonts w:ascii="宋体" w:hAnsi="宋体"/>
          <w:b/>
          <w:sz w:val="24"/>
        </w:rPr>
      </w:pPr>
    </w:p>
    <w:p w14:paraId="0572F623">
      <w:pPr>
        <w:pStyle w:val="4"/>
        <w:ind w:firstLine="482" w:firstLineChars="200"/>
        <w:rPr>
          <w:u w:val="none"/>
        </w:rPr>
      </w:pPr>
      <w:r>
        <w:rPr>
          <w:rFonts w:hint="eastAsia"/>
          <w:u w:val="none"/>
        </w:rPr>
        <w:t>标的11：多源威胁检测响应系统</w:t>
      </w:r>
    </w:p>
    <w:p w14:paraId="6201AE29">
      <w:pPr>
        <w:widowControl/>
        <w:spacing w:line="360" w:lineRule="auto"/>
        <w:ind w:firstLine="480" w:firstLineChars="200"/>
        <w:contextualSpacing/>
        <w:jc w:val="left"/>
        <w:rPr>
          <w:rFonts w:ascii="宋体" w:hAnsi="宋体"/>
          <w:sz w:val="24"/>
        </w:rPr>
      </w:pPr>
      <w:r>
        <w:rPr>
          <w:rFonts w:hint="eastAsia" w:ascii="宋体" w:hAnsi="宋体"/>
          <w:sz w:val="24"/>
        </w:rPr>
        <w:t>1.性能规格</w:t>
      </w:r>
    </w:p>
    <w:p w14:paraId="270F1BFC">
      <w:pPr>
        <w:widowControl/>
        <w:spacing w:line="360" w:lineRule="auto"/>
        <w:ind w:firstLine="480" w:firstLineChars="200"/>
        <w:contextualSpacing/>
        <w:jc w:val="left"/>
        <w:rPr>
          <w:rFonts w:ascii="宋体" w:hAnsi="宋体"/>
          <w:sz w:val="24"/>
        </w:rPr>
      </w:pPr>
      <w:r>
        <w:rPr>
          <w:rFonts w:hint="eastAsia" w:ascii="宋体" w:hAnsi="宋体"/>
          <w:sz w:val="24"/>
        </w:rPr>
        <w:t>1.1吞吐量≥10Gbps、流量分析性能≥2Gbps、数据采集性能≥2000条/秒</w:t>
      </w:r>
    </w:p>
    <w:p w14:paraId="2A902A1F">
      <w:pPr>
        <w:widowControl/>
        <w:spacing w:line="360" w:lineRule="auto"/>
        <w:ind w:firstLine="480" w:firstLineChars="200"/>
        <w:contextualSpacing/>
        <w:jc w:val="left"/>
        <w:rPr>
          <w:rFonts w:ascii="宋体" w:hAnsi="宋体"/>
          <w:sz w:val="24"/>
        </w:rPr>
      </w:pPr>
      <w:r>
        <w:rPr>
          <w:rFonts w:hint="eastAsia" w:ascii="宋体" w:hAnsi="宋体"/>
          <w:sz w:val="24"/>
        </w:rPr>
        <w:t>1.2设备规格：2U，万兆光口≥2个、GE电口≥4个、USB口≥3个，电源：冗余电源，CPU≥2颗，内存≥64G，硬盘≥2T。</w:t>
      </w:r>
    </w:p>
    <w:p w14:paraId="6A177E73">
      <w:pPr>
        <w:widowControl/>
        <w:spacing w:line="360" w:lineRule="auto"/>
        <w:ind w:firstLine="480" w:firstLineChars="200"/>
        <w:contextualSpacing/>
        <w:jc w:val="left"/>
        <w:rPr>
          <w:rFonts w:ascii="宋体" w:hAnsi="宋体"/>
          <w:sz w:val="24"/>
        </w:rPr>
      </w:pPr>
      <w:r>
        <w:rPr>
          <w:rFonts w:ascii="宋体" w:hAnsi="宋体"/>
          <w:sz w:val="24"/>
        </w:rPr>
        <w:t>2.授权：提供安全设备对接授权license≥10个，涵盖本次投标的各类设备授权，并支持升级扩容。</w:t>
      </w:r>
    </w:p>
    <w:p w14:paraId="1E5DB4C5">
      <w:pPr>
        <w:widowControl/>
        <w:spacing w:line="360" w:lineRule="auto"/>
        <w:ind w:firstLine="480" w:firstLineChars="200"/>
        <w:contextualSpacing/>
        <w:jc w:val="left"/>
        <w:rPr>
          <w:rFonts w:ascii="宋体" w:hAnsi="宋体"/>
          <w:b/>
          <w:sz w:val="24"/>
        </w:rPr>
      </w:pPr>
      <w:r>
        <w:rPr>
          <w:rFonts w:hint="eastAsia" w:ascii="宋体" w:hAnsi="宋体"/>
          <w:sz w:val="24"/>
        </w:rPr>
        <w:t>3.多源数据采集：支持跨品牌的多源异构数据采集，支持采集类型不少于30种。</w:t>
      </w:r>
    </w:p>
    <w:p w14:paraId="0CD5AE24">
      <w:pPr>
        <w:widowControl/>
        <w:spacing w:line="360" w:lineRule="auto"/>
        <w:ind w:firstLine="480" w:firstLineChars="200"/>
        <w:contextualSpacing/>
        <w:jc w:val="left"/>
        <w:rPr>
          <w:rFonts w:ascii="宋体" w:hAnsi="宋体"/>
          <w:sz w:val="24"/>
        </w:rPr>
      </w:pPr>
      <w:r>
        <w:rPr>
          <w:rFonts w:hint="eastAsia" w:ascii="宋体" w:hAnsi="宋体"/>
          <w:sz w:val="24"/>
        </w:rPr>
        <w:t>4.采集协议：</w:t>
      </w:r>
    </w:p>
    <w:p w14:paraId="347C347B">
      <w:pPr>
        <w:widowControl/>
        <w:spacing w:line="360" w:lineRule="auto"/>
        <w:ind w:firstLine="480" w:firstLineChars="200"/>
        <w:contextualSpacing/>
        <w:jc w:val="left"/>
        <w:rPr>
          <w:rFonts w:ascii="宋体" w:hAnsi="宋体"/>
          <w:sz w:val="24"/>
        </w:rPr>
      </w:pPr>
      <w:r>
        <w:rPr>
          <w:rFonts w:hint="eastAsia" w:ascii="宋体" w:hAnsi="宋体" w:cs="宋体"/>
          <w:bCs/>
          <w:kern w:val="0"/>
          <w:sz w:val="24"/>
        </w:rPr>
        <w:t>4.1</w:t>
      </w:r>
      <w:r>
        <w:rPr>
          <w:rFonts w:hint="eastAsia" w:ascii="宋体" w:hAnsi="宋体"/>
          <w:sz w:val="24"/>
        </w:rPr>
        <w:t>日志采集范围包括但不限于：网络设备、安全设备、数据库等；</w:t>
      </w:r>
    </w:p>
    <w:p w14:paraId="74DC88DD">
      <w:pPr>
        <w:widowControl/>
        <w:spacing w:line="360" w:lineRule="auto"/>
        <w:ind w:firstLine="480" w:firstLineChars="200"/>
        <w:contextualSpacing/>
        <w:jc w:val="left"/>
        <w:rPr>
          <w:rFonts w:ascii="宋体" w:hAnsi="宋体"/>
          <w:sz w:val="24"/>
        </w:rPr>
      </w:pPr>
      <w:r>
        <w:rPr>
          <w:rFonts w:hint="eastAsia" w:ascii="宋体" w:hAnsi="宋体" w:cs="宋体"/>
          <w:bCs/>
          <w:kern w:val="0"/>
          <w:sz w:val="24"/>
        </w:rPr>
        <w:t>4.2</w:t>
      </w:r>
      <w:r>
        <w:rPr>
          <w:rFonts w:hint="eastAsia" w:ascii="宋体" w:hAnsi="宋体"/>
          <w:sz w:val="24"/>
        </w:rPr>
        <w:t>日志采集方式包括但不限于：Syslog、API、Kafka等；</w:t>
      </w:r>
    </w:p>
    <w:p w14:paraId="34A74EF7">
      <w:pPr>
        <w:widowControl/>
        <w:spacing w:line="360" w:lineRule="auto"/>
        <w:ind w:firstLine="480" w:firstLineChars="200"/>
        <w:contextualSpacing/>
        <w:jc w:val="left"/>
        <w:rPr>
          <w:rFonts w:ascii="宋体" w:hAnsi="宋体"/>
          <w:sz w:val="24"/>
        </w:rPr>
      </w:pPr>
      <w:r>
        <w:rPr>
          <w:rFonts w:hint="eastAsia" w:ascii="宋体" w:hAnsi="宋体" w:cs="宋体"/>
          <w:bCs/>
          <w:kern w:val="0"/>
          <w:sz w:val="24"/>
        </w:rPr>
        <w:t>4.3</w:t>
      </w:r>
      <w:r>
        <w:rPr>
          <w:rFonts w:hint="eastAsia" w:ascii="宋体" w:hAnsi="宋体"/>
          <w:sz w:val="24"/>
        </w:rPr>
        <w:t>日志源对接能力库≥200个。</w:t>
      </w:r>
    </w:p>
    <w:p w14:paraId="3832F6C2">
      <w:pPr>
        <w:widowControl/>
        <w:spacing w:line="360" w:lineRule="auto"/>
        <w:ind w:firstLine="480" w:firstLineChars="200"/>
        <w:contextualSpacing/>
        <w:jc w:val="left"/>
        <w:rPr>
          <w:rFonts w:ascii="宋体" w:hAnsi="宋体"/>
          <w:sz w:val="24"/>
        </w:rPr>
      </w:pPr>
      <w:r>
        <w:rPr>
          <w:rFonts w:hint="eastAsia" w:ascii="宋体" w:hAnsi="宋体"/>
          <w:sz w:val="24"/>
        </w:rPr>
        <w:t>5.数据处理</w:t>
      </w:r>
    </w:p>
    <w:p w14:paraId="102E1B72">
      <w:pPr>
        <w:widowControl/>
        <w:spacing w:line="360" w:lineRule="auto"/>
        <w:ind w:firstLine="480" w:firstLineChars="200"/>
        <w:contextualSpacing/>
        <w:jc w:val="left"/>
        <w:rPr>
          <w:rFonts w:ascii="宋体" w:hAnsi="宋体"/>
          <w:sz w:val="24"/>
        </w:rPr>
      </w:pPr>
      <w:r>
        <w:rPr>
          <w:rFonts w:hint="eastAsia" w:ascii="宋体" w:hAnsi="宋体"/>
          <w:sz w:val="24"/>
        </w:rPr>
        <w:t>5.1采用mongodb、Hadoop、ElasticSearch、Kafka、Spark等大数据技术，具备大规模数据存储、高压缩以及快速检索能力，具备亿条日志秒级查询能力，具备追溯取证能力。</w:t>
      </w:r>
    </w:p>
    <w:p w14:paraId="5717A811">
      <w:pPr>
        <w:widowControl/>
        <w:spacing w:line="360" w:lineRule="auto"/>
        <w:ind w:firstLine="480" w:firstLineChars="200"/>
        <w:contextualSpacing/>
        <w:jc w:val="left"/>
        <w:rPr>
          <w:rFonts w:ascii="宋体" w:hAnsi="宋体"/>
          <w:b/>
          <w:sz w:val="24"/>
        </w:rPr>
      </w:pPr>
      <w:r>
        <w:rPr>
          <w:rFonts w:ascii="宋体" w:hAnsi="宋体" w:cs="宋体"/>
          <w:bCs/>
          <w:kern w:val="0"/>
          <w:sz w:val="24"/>
        </w:rPr>
        <w:t>5.2</w:t>
      </w:r>
      <w:r>
        <w:rPr>
          <w:rFonts w:hint="eastAsia" w:ascii="宋体" w:hAnsi="宋体"/>
          <w:sz w:val="24"/>
        </w:rPr>
        <w:t>支持多品牌设备数据预定义规则≥</w:t>
      </w:r>
      <w:r>
        <w:rPr>
          <w:rFonts w:ascii="宋体" w:hAnsi="宋体"/>
          <w:sz w:val="24"/>
        </w:rPr>
        <w:t>150条，且包含本次投标各类安全产品品牌。</w:t>
      </w:r>
    </w:p>
    <w:p w14:paraId="17C5BA30">
      <w:pPr>
        <w:widowControl/>
        <w:spacing w:line="360" w:lineRule="auto"/>
        <w:ind w:firstLine="480" w:firstLineChars="200"/>
        <w:contextualSpacing/>
        <w:jc w:val="left"/>
        <w:rPr>
          <w:rFonts w:ascii="宋体" w:hAnsi="宋体"/>
          <w:sz w:val="24"/>
        </w:rPr>
      </w:pPr>
      <w:r>
        <w:rPr>
          <w:rFonts w:hint="eastAsia" w:ascii="宋体" w:hAnsi="宋体" w:cs="宋体"/>
          <w:bCs/>
          <w:kern w:val="0"/>
          <w:sz w:val="24"/>
        </w:rPr>
        <w:t>▲6.</w:t>
      </w:r>
      <w:r>
        <w:rPr>
          <w:rFonts w:hint="eastAsia" w:ascii="宋体" w:hAnsi="宋体"/>
          <w:sz w:val="24"/>
        </w:rPr>
        <w:t>数据分析规则模型：支持基于不同维度、逻辑、权重的算法模型进行聚合分析，至少提供投票分析模型、加权分析模型、递进分析模型、行为跟踪模型、规则分析模型等多种分析模型。</w:t>
      </w:r>
      <w:r>
        <w:rPr>
          <w:rFonts w:hint="eastAsia" w:ascii="宋体" w:hAnsi="宋体"/>
          <w:b/>
          <w:bCs/>
          <w:sz w:val="24"/>
        </w:rPr>
        <w:t>（提供产品功能截图并加盖投标人单位公章）</w:t>
      </w:r>
    </w:p>
    <w:p w14:paraId="5D49DB2C">
      <w:pPr>
        <w:widowControl/>
        <w:spacing w:line="360" w:lineRule="auto"/>
        <w:ind w:firstLine="480" w:firstLineChars="200"/>
        <w:contextualSpacing/>
        <w:jc w:val="left"/>
        <w:rPr>
          <w:rFonts w:ascii="宋体" w:hAnsi="宋体"/>
          <w:b/>
          <w:sz w:val="24"/>
        </w:rPr>
      </w:pPr>
      <w:r>
        <w:rPr>
          <w:rFonts w:hint="eastAsia" w:ascii="宋体" w:hAnsi="宋体" w:cs="宋体"/>
          <w:bCs/>
          <w:kern w:val="0"/>
          <w:sz w:val="24"/>
        </w:rPr>
        <w:t>7.</w:t>
      </w:r>
      <w:r>
        <w:rPr>
          <w:rFonts w:hint="eastAsia" w:ascii="宋体" w:hAnsi="宋体"/>
          <w:sz w:val="24"/>
        </w:rPr>
        <w:t>威胁检测：支持检测模型自定义功能，包括告警设备、生效时间、IP类型、威胁等级、攻击事件、阈值等。</w:t>
      </w:r>
    </w:p>
    <w:p w14:paraId="7CFECD8D">
      <w:pPr>
        <w:widowControl/>
        <w:spacing w:line="360" w:lineRule="auto"/>
        <w:ind w:firstLine="480" w:firstLineChars="200"/>
        <w:contextualSpacing/>
        <w:jc w:val="left"/>
        <w:rPr>
          <w:rFonts w:ascii="宋体" w:hAnsi="宋体"/>
          <w:sz w:val="24"/>
        </w:rPr>
      </w:pPr>
      <w:r>
        <w:rPr>
          <w:rFonts w:hint="eastAsia" w:ascii="宋体" w:hAnsi="宋体"/>
          <w:sz w:val="24"/>
        </w:rPr>
        <w:t>8.威胁情报标签</w:t>
      </w:r>
    </w:p>
    <w:p w14:paraId="357A5F31">
      <w:pPr>
        <w:widowControl/>
        <w:spacing w:line="360" w:lineRule="auto"/>
        <w:ind w:firstLine="480" w:firstLineChars="200"/>
        <w:contextualSpacing/>
        <w:jc w:val="left"/>
        <w:rPr>
          <w:rFonts w:ascii="宋体" w:hAnsi="宋体"/>
          <w:sz w:val="24"/>
        </w:rPr>
      </w:pPr>
      <w:r>
        <w:rPr>
          <w:rFonts w:hint="eastAsia" w:ascii="宋体" w:hAnsi="宋体"/>
          <w:sz w:val="24"/>
        </w:rPr>
        <w:t>8.1内嵌威胁情报系统，能够将安全威胁分析结果进行二次情报校验，并将结果进行标签分类。</w:t>
      </w:r>
    </w:p>
    <w:p w14:paraId="224B3415">
      <w:pPr>
        <w:widowControl/>
        <w:spacing w:line="360" w:lineRule="auto"/>
        <w:ind w:firstLine="480" w:firstLineChars="200"/>
        <w:contextualSpacing/>
        <w:jc w:val="left"/>
        <w:rPr>
          <w:rFonts w:ascii="宋体" w:hAnsi="宋体"/>
          <w:sz w:val="24"/>
        </w:rPr>
      </w:pPr>
      <w:r>
        <w:rPr>
          <w:rFonts w:hint="eastAsia" w:ascii="宋体" w:hAnsi="宋体"/>
          <w:sz w:val="24"/>
        </w:rPr>
        <w:t>8.2支持与第三方情报平台的对接管理。</w:t>
      </w:r>
    </w:p>
    <w:p w14:paraId="7A9885F6">
      <w:pPr>
        <w:widowControl/>
        <w:spacing w:line="360" w:lineRule="auto"/>
        <w:ind w:firstLine="480" w:firstLineChars="200"/>
        <w:contextualSpacing/>
        <w:jc w:val="left"/>
        <w:rPr>
          <w:rFonts w:ascii="宋体" w:hAnsi="宋体"/>
          <w:b/>
          <w:sz w:val="24"/>
        </w:rPr>
      </w:pPr>
      <w:r>
        <w:rPr>
          <w:rFonts w:hint="eastAsia" w:ascii="宋体" w:hAnsi="宋体"/>
          <w:sz w:val="24"/>
        </w:rPr>
        <w:t>9.设备联动：支持多品牌设备对接，对接品牌≥10种，且涵盖本次投标的品牌；实现对威胁告警等安全事件的上报，处置策略的下发，可以对攻击威胁等告警信息中的源IP进行网络隔离操作。</w:t>
      </w:r>
    </w:p>
    <w:p w14:paraId="69E877A2">
      <w:pPr>
        <w:widowControl/>
        <w:spacing w:line="360" w:lineRule="auto"/>
        <w:ind w:firstLine="480" w:firstLineChars="200"/>
        <w:contextualSpacing/>
        <w:jc w:val="left"/>
        <w:rPr>
          <w:rFonts w:ascii="宋体" w:hAnsi="宋体"/>
          <w:b/>
          <w:sz w:val="24"/>
        </w:rPr>
      </w:pPr>
      <w:r>
        <w:rPr>
          <w:rFonts w:hint="eastAsia" w:ascii="宋体" w:hAnsi="宋体"/>
          <w:sz w:val="24"/>
        </w:rPr>
        <w:t>10.处置方式：支持手动（手动添加策略）、半自动（平台自动生成策略，人工确认批量下发）、全自动（平台自动生成策略下发策略）三种策略下发方式。</w:t>
      </w:r>
    </w:p>
    <w:p w14:paraId="420FC29F">
      <w:pPr>
        <w:widowControl/>
        <w:spacing w:line="360" w:lineRule="auto"/>
        <w:ind w:firstLine="480" w:firstLineChars="200"/>
        <w:contextualSpacing/>
        <w:jc w:val="left"/>
        <w:rPr>
          <w:rFonts w:ascii="宋体" w:hAnsi="宋体"/>
          <w:sz w:val="24"/>
        </w:rPr>
      </w:pPr>
      <w:r>
        <w:rPr>
          <w:rFonts w:hint="eastAsia" w:ascii="宋体" w:hAnsi="宋体"/>
          <w:sz w:val="24"/>
        </w:rPr>
        <w:t>11.处置模式</w:t>
      </w:r>
    </w:p>
    <w:p w14:paraId="349A18E8">
      <w:pPr>
        <w:widowControl/>
        <w:spacing w:line="360" w:lineRule="auto"/>
        <w:ind w:firstLine="480" w:firstLineChars="200"/>
        <w:contextualSpacing/>
        <w:jc w:val="left"/>
        <w:rPr>
          <w:rFonts w:ascii="宋体" w:hAnsi="宋体"/>
          <w:b/>
          <w:sz w:val="24"/>
        </w:rPr>
      </w:pPr>
      <w:r>
        <w:rPr>
          <w:rFonts w:hint="eastAsia" w:ascii="宋体" w:hAnsi="宋体" w:cs="宋体"/>
          <w:bCs/>
          <w:kern w:val="0"/>
          <w:sz w:val="24"/>
        </w:rPr>
        <w:t>11.1</w:t>
      </w:r>
      <w:r>
        <w:rPr>
          <w:rFonts w:hint="eastAsia" w:ascii="宋体" w:hAnsi="宋体"/>
          <w:sz w:val="24"/>
        </w:rPr>
        <w:t>提供多种策略下发处置模式，从处置的规模、处置的时间、处置的力度、人工参与的程度来满足不同情况的处置灵活性，包括但不限于，精准阻断、局部阻断、全局阻断、跨域阻断。</w:t>
      </w:r>
    </w:p>
    <w:p w14:paraId="4FAAD0C5">
      <w:pPr>
        <w:widowControl/>
        <w:spacing w:line="360" w:lineRule="auto"/>
        <w:ind w:firstLine="480" w:firstLineChars="200"/>
        <w:contextualSpacing/>
        <w:jc w:val="left"/>
        <w:rPr>
          <w:rFonts w:ascii="宋体" w:hAnsi="宋体"/>
          <w:sz w:val="24"/>
        </w:rPr>
      </w:pPr>
      <w:r>
        <w:rPr>
          <w:rFonts w:hint="eastAsia" w:ascii="宋体" w:hAnsi="宋体"/>
          <w:sz w:val="24"/>
        </w:rPr>
        <w:t>11.2支持旁路部署模式下对威胁进行有效阻断，需要同时支持对TCP连接和UDP连接的阻断，阻断率≥99%；支持自定义设置封禁策略，策略包括但不限于地理位置、严重级别、威胁名称、封禁时间、攻击方向等。</w:t>
      </w:r>
    </w:p>
    <w:p w14:paraId="7CEB19D4">
      <w:pPr>
        <w:widowControl/>
        <w:spacing w:line="360" w:lineRule="auto"/>
        <w:ind w:firstLine="480" w:firstLineChars="200"/>
        <w:contextualSpacing/>
        <w:jc w:val="left"/>
        <w:rPr>
          <w:rFonts w:ascii="宋体" w:hAnsi="宋体"/>
          <w:sz w:val="24"/>
        </w:rPr>
      </w:pPr>
      <w:r>
        <w:rPr>
          <w:rFonts w:hint="eastAsia" w:ascii="宋体" w:hAnsi="宋体" w:cs="宋体"/>
          <w:bCs/>
          <w:kern w:val="0"/>
          <w:sz w:val="24"/>
        </w:rPr>
        <w:t>12.</w:t>
      </w:r>
      <w:r>
        <w:rPr>
          <w:rFonts w:hint="eastAsia" w:ascii="宋体" w:hAnsi="宋体"/>
          <w:sz w:val="24"/>
        </w:rPr>
        <w:t>仿真诱捕</w:t>
      </w:r>
    </w:p>
    <w:p w14:paraId="19F8D8D1">
      <w:pPr>
        <w:widowControl/>
        <w:spacing w:line="360" w:lineRule="auto"/>
        <w:ind w:firstLine="480" w:firstLineChars="200"/>
        <w:contextualSpacing/>
        <w:jc w:val="left"/>
        <w:rPr>
          <w:rFonts w:ascii="宋体" w:hAnsi="宋体"/>
          <w:sz w:val="24"/>
        </w:rPr>
      </w:pPr>
      <w:r>
        <w:rPr>
          <w:rFonts w:hint="eastAsia" w:ascii="宋体" w:hAnsi="宋体" w:cs="宋体"/>
          <w:bCs/>
          <w:kern w:val="0"/>
          <w:sz w:val="24"/>
        </w:rPr>
        <w:t>12.1</w:t>
      </w:r>
      <w:r>
        <w:rPr>
          <w:rFonts w:hint="eastAsia" w:ascii="宋体" w:hAnsi="宋体"/>
          <w:sz w:val="24"/>
        </w:rPr>
        <w:t>支持仿真诱捕技术，可仿真客户现有业务</w:t>
      </w:r>
    </w:p>
    <w:p w14:paraId="71C8C004">
      <w:pPr>
        <w:widowControl/>
        <w:spacing w:line="360" w:lineRule="auto"/>
        <w:ind w:firstLine="480" w:firstLineChars="200"/>
        <w:contextualSpacing/>
        <w:jc w:val="left"/>
        <w:rPr>
          <w:rFonts w:ascii="宋体" w:hAnsi="宋体"/>
          <w:b/>
          <w:sz w:val="24"/>
        </w:rPr>
      </w:pPr>
      <w:r>
        <w:rPr>
          <w:rFonts w:hint="eastAsia" w:ascii="宋体" w:hAnsi="宋体" w:cs="宋体"/>
          <w:bCs/>
          <w:kern w:val="0"/>
          <w:sz w:val="24"/>
        </w:rPr>
        <w:t>▲12.2</w:t>
      </w:r>
      <w:r>
        <w:rPr>
          <w:rFonts w:hint="eastAsia" w:ascii="宋体" w:hAnsi="宋体"/>
          <w:sz w:val="24"/>
        </w:rPr>
        <w:t>支持多种模拟应用类型（wiki、bbs、zabbix、tomcat、oa、crm、mailbox、jboss、struts2、weblogic、jenkins、vpn等），支持不少于10种服务类型（ssh、ftp、samba、mailbox、mysql、redis、memcache、SQLserver等）。</w:t>
      </w:r>
      <w:r>
        <w:rPr>
          <w:rFonts w:hint="eastAsia" w:ascii="宋体" w:hAnsi="宋体"/>
          <w:b/>
          <w:bCs/>
          <w:sz w:val="24"/>
        </w:rPr>
        <w:t>（提供产品功能截图并加盖投标人单位公章）</w:t>
      </w:r>
    </w:p>
    <w:p w14:paraId="626305DB">
      <w:pPr>
        <w:widowControl/>
        <w:spacing w:line="360" w:lineRule="auto"/>
        <w:ind w:firstLine="480" w:firstLineChars="200"/>
        <w:contextualSpacing/>
        <w:jc w:val="left"/>
        <w:rPr>
          <w:rFonts w:ascii="宋体" w:hAnsi="宋体"/>
          <w:sz w:val="24"/>
        </w:rPr>
      </w:pPr>
      <w:r>
        <w:rPr>
          <w:rFonts w:hint="eastAsia" w:ascii="宋体" w:hAnsi="宋体"/>
          <w:sz w:val="24"/>
        </w:rPr>
        <w:t>13.APT攻击防护：支持针对APT攻击的网络威胁进行专项防护，支持对APT组织攻击行为的检测和拦截，具备APT攻击防护场景的安全策略设置、检测防护效果专项页面。支持对至少300的APT攻击组织进行有效防护，能够覆盖其最新的攻击行为和攻击工具。</w:t>
      </w:r>
    </w:p>
    <w:p w14:paraId="60EE0A51">
      <w:pPr>
        <w:widowControl/>
        <w:spacing w:line="360" w:lineRule="auto"/>
        <w:ind w:firstLine="480" w:firstLineChars="200"/>
        <w:contextualSpacing/>
        <w:jc w:val="left"/>
        <w:rPr>
          <w:rFonts w:ascii="宋体" w:hAnsi="宋体"/>
          <w:sz w:val="24"/>
        </w:rPr>
      </w:pPr>
      <w:r>
        <w:rPr>
          <w:rFonts w:hint="eastAsia" w:ascii="宋体" w:hAnsi="宋体" w:cs="宋体"/>
          <w:bCs/>
          <w:kern w:val="0"/>
          <w:sz w:val="24"/>
        </w:rPr>
        <w:t>14.</w:t>
      </w:r>
      <w:r>
        <w:rPr>
          <w:rFonts w:hint="eastAsia" w:ascii="宋体" w:hAnsi="宋体"/>
          <w:sz w:val="24"/>
        </w:rPr>
        <w:t>黑/白名单：支持出入站场景下自定义黑/白名单，支持域名及IP的手动录入和批量导入，支持自定义设置黑名单生效时间。可支持封禁策略20万条以上，支持封禁IP百万级；设置支持IPV6黑名单封禁。</w:t>
      </w:r>
    </w:p>
    <w:p w14:paraId="75131E54">
      <w:pPr>
        <w:widowControl/>
        <w:spacing w:line="360" w:lineRule="auto"/>
        <w:ind w:firstLine="480" w:firstLineChars="200"/>
        <w:contextualSpacing/>
        <w:jc w:val="left"/>
        <w:rPr>
          <w:rFonts w:ascii="宋体" w:hAnsi="宋体"/>
          <w:sz w:val="24"/>
        </w:rPr>
      </w:pPr>
      <w:r>
        <w:rPr>
          <w:rFonts w:hint="eastAsia" w:ascii="宋体" w:hAnsi="宋体" w:cs="宋体"/>
          <w:bCs/>
          <w:kern w:val="0"/>
          <w:sz w:val="24"/>
        </w:rPr>
        <w:t>▲15.</w:t>
      </w:r>
      <w:r>
        <w:rPr>
          <w:rFonts w:hint="eastAsia" w:ascii="宋体" w:hAnsi="宋体"/>
          <w:sz w:val="24"/>
        </w:rPr>
        <w:t>场景方案：平台提供场景对接方案，场景方案应包含VPN移动接入、负载均衡调度、终端准入调度、接入交换机调度等。</w:t>
      </w:r>
      <w:r>
        <w:rPr>
          <w:rFonts w:hint="eastAsia" w:ascii="宋体" w:hAnsi="宋体"/>
          <w:b/>
          <w:bCs/>
          <w:sz w:val="24"/>
        </w:rPr>
        <w:t>（提供产品功能截图并加盖投标人单位公章）</w:t>
      </w:r>
    </w:p>
    <w:p w14:paraId="1ECF6C27">
      <w:pPr>
        <w:pStyle w:val="4"/>
        <w:ind w:firstLine="482" w:firstLineChars="200"/>
        <w:rPr>
          <w:u w:val="none"/>
        </w:rPr>
      </w:pPr>
      <w:r>
        <w:rPr>
          <w:rFonts w:hint="eastAsia"/>
          <w:u w:val="none"/>
        </w:rPr>
        <w:t>标的12：业务交换机</w:t>
      </w:r>
    </w:p>
    <w:p w14:paraId="78B85858">
      <w:pPr>
        <w:widowControl/>
        <w:spacing w:line="360" w:lineRule="auto"/>
        <w:ind w:firstLine="480" w:firstLineChars="200"/>
        <w:contextualSpacing/>
        <w:jc w:val="left"/>
        <w:rPr>
          <w:rFonts w:ascii="宋体" w:hAnsi="宋体"/>
          <w:sz w:val="24"/>
        </w:rPr>
      </w:pPr>
      <w:r>
        <w:rPr>
          <w:rFonts w:hint="eastAsia" w:ascii="宋体" w:hAnsi="宋体"/>
          <w:sz w:val="24"/>
        </w:rPr>
        <w:t>1.转发性能：交换容量≥2.4Tbps，包转发率≥660Mpps。</w:t>
      </w:r>
    </w:p>
    <w:p w14:paraId="796ACFC0">
      <w:pPr>
        <w:widowControl/>
        <w:spacing w:line="360" w:lineRule="auto"/>
        <w:ind w:firstLine="480" w:firstLineChars="200"/>
        <w:contextualSpacing/>
        <w:jc w:val="left"/>
        <w:rPr>
          <w:rFonts w:ascii="宋体" w:hAnsi="宋体"/>
          <w:sz w:val="24"/>
        </w:rPr>
      </w:pPr>
      <w:r>
        <w:rPr>
          <w:rFonts w:hint="eastAsia" w:ascii="宋体" w:hAnsi="宋体"/>
          <w:sz w:val="24"/>
        </w:rPr>
        <w:t>2.硬件规格：10/100/1000M Base-T 以太网端口≥48个，10/25GE SFP28接口≥8个；标准1U设备，支持电源模块≥2个，风扇模块≥2个。</w:t>
      </w:r>
    </w:p>
    <w:p w14:paraId="0AF8B592">
      <w:pPr>
        <w:widowControl/>
        <w:spacing w:line="360" w:lineRule="auto"/>
        <w:ind w:firstLine="480" w:firstLineChars="200"/>
        <w:contextualSpacing/>
        <w:jc w:val="left"/>
        <w:rPr>
          <w:rFonts w:ascii="宋体" w:hAnsi="宋体"/>
          <w:sz w:val="24"/>
        </w:rPr>
      </w:pPr>
      <w:r>
        <w:rPr>
          <w:rFonts w:hint="eastAsia" w:ascii="宋体" w:hAnsi="宋体"/>
          <w:sz w:val="24"/>
        </w:rPr>
        <w:t>3.堆叠：支持堆叠，主机堆叠数≥9台。</w:t>
      </w:r>
    </w:p>
    <w:p w14:paraId="7BB7F20B">
      <w:pPr>
        <w:widowControl/>
        <w:spacing w:line="360" w:lineRule="auto"/>
        <w:ind w:firstLine="480" w:firstLineChars="200"/>
        <w:contextualSpacing/>
        <w:jc w:val="left"/>
        <w:rPr>
          <w:rFonts w:ascii="宋体" w:hAnsi="宋体"/>
          <w:sz w:val="24"/>
        </w:rPr>
      </w:pPr>
      <w:r>
        <w:rPr>
          <w:rFonts w:hint="eastAsia" w:ascii="宋体" w:hAnsi="宋体"/>
          <w:sz w:val="24"/>
        </w:rPr>
        <w:t>4.内存：内存≥4G。</w:t>
      </w:r>
    </w:p>
    <w:p w14:paraId="038BB645">
      <w:pPr>
        <w:widowControl/>
        <w:spacing w:line="360" w:lineRule="auto"/>
        <w:ind w:firstLine="480" w:firstLineChars="200"/>
        <w:contextualSpacing/>
        <w:jc w:val="left"/>
        <w:rPr>
          <w:rFonts w:ascii="宋体" w:hAnsi="宋体"/>
          <w:sz w:val="24"/>
        </w:rPr>
      </w:pPr>
      <w:r>
        <w:rPr>
          <w:rFonts w:hint="eastAsia" w:ascii="宋体" w:hAnsi="宋体"/>
          <w:sz w:val="24"/>
        </w:rPr>
        <w:t>5. ID指示灯：ID指示灯支持后台点亮。</w:t>
      </w:r>
    </w:p>
    <w:p w14:paraId="7E0B5E52">
      <w:pPr>
        <w:widowControl/>
        <w:spacing w:line="360" w:lineRule="auto"/>
        <w:ind w:firstLine="480" w:firstLineChars="200"/>
        <w:contextualSpacing/>
        <w:jc w:val="left"/>
        <w:rPr>
          <w:rFonts w:ascii="宋体" w:hAnsi="宋体"/>
          <w:sz w:val="24"/>
        </w:rPr>
      </w:pPr>
      <w:r>
        <w:rPr>
          <w:rFonts w:hint="eastAsia" w:ascii="宋体" w:hAnsi="宋体"/>
          <w:sz w:val="24"/>
        </w:rPr>
        <w:t>6.二层功能：支持MAC表项≥330</w:t>
      </w:r>
      <w:r>
        <w:rPr>
          <w:rFonts w:ascii="宋体" w:hAnsi="宋体"/>
          <w:sz w:val="24"/>
        </w:rPr>
        <w:t>K</w:t>
      </w:r>
      <w:r>
        <w:rPr>
          <w:rFonts w:hint="eastAsia" w:ascii="宋体" w:hAnsi="宋体"/>
          <w:sz w:val="24"/>
        </w:rPr>
        <w:t>。</w:t>
      </w:r>
    </w:p>
    <w:p w14:paraId="116DCFA0">
      <w:pPr>
        <w:widowControl/>
        <w:spacing w:line="360" w:lineRule="auto"/>
        <w:ind w:firstLine="480" w:firstLineChars="200"/>
        <w:contextualSpacing/>
        <w:jc w:val="left"/>
        <w:rPr>
          <w:rFonts w:ascii="宋体" w:hAnsi="宋体"/>
          <w:sz w:val="24"/>
        </w:rPr>
      </w:pPr>
      <w:r>
        <w:rPr>
          <w:rFonts w:hint="eastAsia" w:ascii="宋体" w:hAnsi="宋体"/>
          <w:sz w:val="24"/>
        </w:rPr>
        <w:t>7.三层功能：支持RIP、OSPF、ISIS、BGP等IPv4动态路由协议，支持RIPng、OSPFv3、ISISv6、BGP4+等IPv6动态路由协议。</w:t>
      </w:r>
    </w:p>
    <w:p w14:paraId="3E630535">
      <w:pPr>
        <w:widowControl/>
        <w:spacing w:line="360" w:lineRule="auto"/>
        <w:ind w:firstLine="480" w:firstLineChars="200"/>
        <w:contextualSpacing/>
        <w:jc w:val="left"/>
        <w:rPr>
          <w:rFonts w:ascii="宋体" w:hAnsi="宋体"/>
          <w:sz w:val="24"/>
        </w:rPr>
      </w:pPr>
      <w:r>
        <w:rPr>
          <w:rFonts w:hint="eastAsia" w:ascii="宋体" w:hAnsi="宋体"/>
          <w:sz w:val="24"/>
        </w:rPr>
        <w:t>8.实配要求：1000M Base-T 以太网端口≥48个，25GE SFP28接口≥8个，电源模块≥2个，10GE多模光模块≥2个。</w:t>
      </w:r>
    </w:p>
    <w:p w14:paraId="46AFD840">
      <w:pPr>
        <w:pStyle w:val="4"/>
        <w:ind w:firstLine="482" w:firstLineChars="200"/>
        <w:rPr>
          <w:u w:val="none"/>
        </w:rPr>
      </w:pPr>
      <w:r>
        <w:rPr>
          <w:rFonts w:hint="eastAsia"/>
          <w:u w:val="none"/>
        </w:rPr>
        <w:t>标的13：汇聚交换机</w:t>
      </w:r>
    </w:p>
    <w:p w14:paraId="0CC8C0F3">
      <w:pPr>
        <w:widowControl/>
        <w:spacing w:line="360" w:lineRule="auto"/>
        <w:ind w:firstLine="480" w:firstLineChars="200"/>
        <w:contextualSpacing/>
        <w:jc w:val="left"/>
        <w:rPr>
          <w:rFonts w:ascii="宋体" w:hAnsi="宋体"/>
          <w:sz w:val="24"/>
        </w:rPr>
      </w:pPr>
      <w:r>
        <w:rPr>
          <w:rFonts w:hint="eastAsia" w:ascii="宋体" w:hAnsi="宋体"/>
          <w:sz w:val="24"/>
        </w:rPr>
        <w:t>1.转发性能：交换容量≥100Tbps，包转发率≥76000Mpps。</w:t>
      </w:r>
    </w:p>
    <w:p w14:paraId="0419A7C8">
      <w:pPr>
        <w:widowControl/>
        <w:spacing w:line="360" w:lineRule="auto"/>
        <w:ind w:firstLine="480" w:firstLineChars="200"/>
        <w:contextualSpacing/>
        <w:jc w:val="left"/>
        <w:rPr>
          <w:rFonts w:ascii="宋体" w:hAnsi="宋体"/>
          <w:sz w:val="24"/>
        </w:rPr>
      </w:pPr>
      <w:r>
        <w:rPr>
          <w:rFonts w:hint="eastAsia" w:ascii="宋体" w:hAnsi="宋体"/>
          <w:sz w:val="24"/>
        </w:rPr>
        <w:t>2.硬件规格：主控引擎≥2个，整机业务板槽位数≥6个，整机电源槽位数≥6个。</w:t>
      </w:r>
    </w:p>
    <w:p w14:paraId="572AF7DC">
      <w:pPr>
        <w:widowControl/>
        <w:spacing w:line="360" w:lineRule="auto"/>
        <w:ind w:firstLine="480" w:firstLineChars="200"/>
        <w:contextualSpacing/>
        <w:jc w:val="left"/>
        <w:rPr>
          <w:rFonts w:ascii="宋体" w:hAnsi="宋体"/>
          <w:sz w:val="24"/>
        </w:rPr>
      </w:pPr>
      <w:r>
        <w:rPr>
          <w:rFonts w:hint="eastAsia" w:ascii="宋体" w:hAnsi="宋体"/>
          <w:sz w:val="24"/>
        </w:rPr>
        <w:t>3.二层功能：支持MAC地址自动学习和老化、静态、动态、黑洞MAC表项、源MAC地址过滤、基于端口和VLAN的MAC地址学习限制。</w:t>
      </w:r>
    </w:p>
    <w:p w14:paraId="201FCDCF">
      <w:pPr>
        <w:widowControl/>
        <w:spacing w:line="360" w:lineRule="auto"/>
        <w:ind w:firstLine="480" w:firstLineChars="200"/>
        <w:contextualSpacing/>
        <w:jc w:val="left"/>
        <w:rPr>
          <w:rFonts w:ascii="宋体" w:hAnsi="宋体"/>
          <w:sz w:val="24"/>
        </w:rPr>
      </w:pPr>
      <w:r>
        <w:rPr>
          <w:rFonts w:hint="eastAsia" w:ascii="宋体" w:hAnsi="宋体"/>
          <w:sz w:val="24"/>
        </w:rPr>
        <w:t>4.三层功能：支持RIP、OSPF、ISIS、BGP等IPv4动态路由协议、RIPng、OSPFv3、ISISv6、BGP4+等IPv6动态路由协议。</w:t>
      </w:r>
    </w:p>
    <w:p w14:paraId="15A64FDB">
      <w:pPr>
        <w:widowControl/>
        <w:spacing w:line="360" w:lineRule="auto"/>
        <w:ind w:firstLine="480" w:firstLineChars="200"/>
        <w:contextualSpacing/>
        <w:jc w:val="left"/>
        <w:rPr>
          <w:rFonts w:ascii="宋体" w:hAnsi="宋体"/>
          <w:sz w:val="24"/>
        </w:rPr>
      </w:pPr>
      <w:r>
        <w:rPr>
          <w:rFonts w:hint="eastAsia" w:ascii="宋体" w:hAnsi="宋体"/>
          <w:sz w:val="24"/>
        </w:rPr>
        <w:t>5.VxLAN：支持VxLAN功能，支持VxLAN网络的自动化部署。</w:t>
      </w:r>
    </w:p>
    <w:p w14:paraId="120DD015">
      <w:pPr>
        <w:widowControl/>
        <w:spacing w:line="360" w:lineRule="auto"/>
        <w:ind w:firstLine="480" w:firstLineChars="200"/>
        <w:contextualSpacing/>
        <w:jc w:val="left"/>
        <w:rPr>
          <w:rFonts w:ascii="宋体" w:hAnsi="宋体"/>
          <w:sz w:val="24"/>
        </w:rPr>
      </w:pPr>
      <w:r>
        <w:rPr>
          <w:rFonts w:hint="eastAsia" w:ascii="宋体" w:hAnsi="宋体" w:cs="宋体"/>
          <w:bCs/>
          <w:kern w:val="0"/>
          <w:sz w:val="24"/>
        </w:rPr>
        <w:t>6.</w:t>
      </w:r>
      <w:r>
        <w:rPr>
          <w:rFonts w:hint="eastAsia" w:ascii="宋体" w:hAnsi="宋体"/>
          <w:sz w:val="24"/>
        </w:rPr>
        <w:t>安全性：支持 MACsec端到端加密组网。</w:t>
      </w:r>
    </w:p>
    <w:p w14:paraId="6FF1F89B">
      <w:pPr>
        <w:widowControl/>
        <w:spacing w:line="360" w:lineRule="auto"/>
        <w:ind w:firstLine="480" w:firstLineChars="200"/>
        <w:contextualSpacing/>
        <w:jc w:val="left"/>
        <w:rPr>
          <w:rFonts w:ascii="宋体" w:hAnsi="宋体"/>
          <w:sz w:val="24"/>
        </w:rPr>
      </w:pPr>
      <w:r>
        <w:rPr>
          <w:rFonts w:hint="eastAsia" w:ascii="宋体" w:hAnsi="宋体" w:cs="宋体"/>
          <w:bCs/>
          <w:kern w:val="0"/>
          <w:sz w:val="24"/>
        </w:rPr>
        <w:t>7.</w:t>
      </w:r>
      <w:r>
        <w:rPr>
          <w:rFonts w:hint="eastAsia" w:ascii="宋体" w:hAnsi="宋体"/>
          <w:sz w:val="24"/>
        </w:rPr>
        <w:t>可靠性：支持双活主控，故障倒换时间≤5ms。</w:t>
      </w:r>
    </w:p>
    <w:p w14:paraId="743EF244">
      <w:pPr>
        <w:widowControl/>
        <w:spacing w:line="360" w:lineRule="auto"/>
        <w:ind w:firstLine="480" w:firstLineChars="200"/>
        <w:contextualSpacing/>
        <w:jc w:val="left"/>
        <w:rPr>
          <w:rFonts w:ascii="宋体" w:hAnsi="宋体"/>
          <w:sz w:val="24"/>
        </w:rPr>
      </w:pPr>
      <w:r>
        <w:rPr>
          <w:rFonts w:hint="eastAsia" w:ascii="宋体" w:hAnsi="宋体"/>
          <w:sz w:val="24"/>
        </w:rPr>
        <w:t>8.实配要求：万兆以太网光接口≥48个，千兆以太网电接口≥48个，40GE光接口≥4个，主控单元≥2个，10GE多模光模块≥14个，模块化电源≥2个。</w:t>
      </w:r>
    </w:p>
    <w:p w14:paraId="4890A823">
      <w:pPr>
        <w:widowControl/>
        <w:spacing w:line="360" w:lineRule="auto"/>
        <w:ind w:firstLine="480" w:firstLineChars="200"/>
        <w:contextualSpacing/>
        <w:jc w:val="left"/>
        <w:rPr>
          <w:rFonts w:ascii="宋体" w:hAnsi="宋体"/>
          <w:sz w:val="24"/>
        </w:rPr>
      </w:pPr>
      <w:r>
        <w:rPr>
          <w:rFonts w:hint="eastAsia" w:ascii="宋体" w:hAnsi="宋体"/>
          <w:sz w:val="24"/>
        </w:rPr>
        <w:t>★9. 投标产品具备检测机构出具的网络关键设备和网络安全专用产品安全认证合格证书或检测符合报告或有效期内的计算机信息系统安全专用产品销售许可证。</w:t>
      </w:r>
      <w:r>
        <w:rPr>
          <w:rFonts w:hint="eastAsia" w:ascii="宋体" w:hAnsi="宋体"/>
          <w:b/>
          <w:bCs/>
          <w:sz w:val="24"/>
        </w:rPr>
        <w:t>（提供合格证书或检测符合报告或销售许可证的复印件并加盖投标人单位公章）</w:t>
      </w:r>
    </w:p>
    <w:p w14:paraId="5BBDB955">
      <w:pPr>
        <w:pStyle w:val="4"/>
        <w:ind w:firstLine="482" w:firstLineChars="200"/>
        <w:rPr>
          <w:u w:val="none"/>
        </w:rPr>
      </w:pPr>
      <w:r>
        <w:rPr>
          <w:rFonts w:hint="eastAsia"/>
          <w:u w:val="none"/>
        </w:rPr>
        <w:t>标的14：备份一体机</w:t>
      </w:r>
    </w:p>
    <w:p w14:paraId="777F8B77">
      <w:pPr>
        <w:widowControl/>
        <w:spacing w:line="360" w:lineRule="auto"/>
        <w:ind w:firstLine="480" w:firstLineChars="200"/>
        <w:contextualSpacing/>
        <w:jc w:val="left"/>
        <w:rPr>
          <w:rFonts w:ascii="宋体" w:hAnsi="宋体"/>
          <w:sz w:val="24"/>
        </w:rPr>
      </w:pPr>
      <w:r>
        <w:rPr>
          <w:rFonts w:hint="eastAsia" w:ascii="宋体" w:hAnsi="宋体"/>
          <w:sz w:val="24"/>
        </w:rPr>
        <w:t>1.硬件配置：≥128TB存储裸容量、≥2块960GB SSD；配置≥2个千兆以太网口、≥2个万兆以太网光口（含SFP模块）；≥2颗第三代24核48线程CPU；内存≥1TB。冗余电源模块;RAID支持1,5,6,10,50,60,热备模式。</w:t>
      </w:r>
    </w:p>
    <w:p w14:paraId="12C35B89">
      <w:pPr>
        <w:widowControl/>
        <w:spacing w:line="360" w:lineRule="auto"/>
        <w:ind w:firstLine="480" w:firstLineChars="200"/>
        <w:contextualSpacing/>
        <w:jc w:val="left"/>
        <w:rPr>
          <w:rFonts w:ascii="宋体" w:hAnsi="宋体"/>
          <w:sz w:val="24"/>
        </w:rPr>
      </w:pPr>
      <w:r>
        <w:rPr>
          <w:rFonts w:hint="eastAsia" w:ascii="宋体" w:hAnsi="宋体"/>
          <w:sz w:val="24"/>
        </w:rPr>
        <w:t>2.整机备份：提供基于磁盘数据块复制技术的整机一体化备份功能，可对物理机、虚拟机、云主机提供统一的灾备保护。整机保护内容包括主机的操作系统、应用系统、数据库、文件等，备份前无需了解主机业务系统类型、部署方法、业务系统间的数据交互机制、数据结构/逻辑关系和数据库的品牌/版本，提供不少于30TB存储容量授权。</w:t>
      </w:r>
    </w:p>
    <w:p w14:paraId="5745F291">
      <w:pPr>
        <w:widowControl/>
        <w:spacing w:line="360" w:lineRule="auto"/>
        <w:ind w:firstLine="480" w:firstLineChars="200"/>
        <w:contextualSpacing/>
        <w:jc w:val="left"/>
        <w:rPr>
          <w:rFonts w:ascii="宋体" w:hAnsi="宋体"/>
          <w:sz w:val="24"/>
        </w:rPr>
      </w:pPr>
      <w:r>
        <w:rPr>
          <w:rFonts w:hint="eastAsia" w:ascii="宋体" w:hAnsi="宋体"/>
          <w:sz w:val="24"/>
        </w:rPr>
        <w:t>3.CDP备份</w:t>
      </w:r>
    </w:p>
    <w:p w14:paraId="0C21C1A9">
      <w:pPr>
        <w:widowControl/>
        <w:spacing w:line="360" w:lineRule="auto"/>
        <w:ind w:firstLine="480" w:firstLineChars="200"/>
        <w:contextualSpacing/>
        <w:jc w:val="left"/>
        <w:rPr>
          <w:rFonts w:ascii="宋体" w:hAnsi="宋体"/>
          <w:sz w:val="24"/>
        </w:rPr>
      </w:pPr>
      <w:r>
        <w:rPr>
          <w:rFonts w:hint="eastAsia" w:ascii="宋体" w:hAnsi="宋体"/>
          <w:sz w:val="24"/>
        </w:rPr>
        <w:t>3.1要求提供数据块级别的连续数据保护机制,具备基于I/O的录像功能，任意I/O点均可无限次提取查看或启动业务系统，最小业务提取时间精度到微秒级，可以通过I/O界面识别每一笔交易数据，提供CDP连续数据保护功能授权，不限制CDP保护主机个数，不限制CDP所占授权空间容量。</w:t>
      </w:r>
    </w:p>
    <w:p w14:paraId="2CE4A7A7">
      <w:pPr>
        <w:widowControl/>
        <w:spacing w:line="360" w:lineRule="auto"/>
        <w:ind w:firstLine="480" w:firstLineChars="200"/>
        <w:contextualSpacing/>
        <w:jc w:val="left"/>
        <w:rPr>
          <w:rFonts w:ascii="宋体" w:hAnsi="宋体"/>
          <w:sz w:val="24"/>
        </w:rPr>
      </w:pPr>
      <w:r>
        <w:rPr>
          <w:rFonts w:hint="eastAsia" w:ascii="宋体" w:hAnsi="宋体"/>
          <w:sz w:val="24"/>
        </w:rPr>
        <w:t>3.2对主机进行微秒级CDP保护的过程中，对被保护主机性能影响小于百分之一，备份时间粒度最小可达微秒级，实现RPO趋近于0。</w:t>
      </w:r>
    </w:p>
    <w:p w14:paraId="4145F164">
      <w:pPr>
        <w:widowControl/>
        <w:spacing w:line="360" w:lineRule="auto"/>
        <w:ind w:firstLine="480" w:firstLineChars="200"/>
        <w:contextualSpacing/>
        <w:jc w:val="left"/>
        <w:rPr>
          <w:rFonts w:ascii="宋体" w:hAnsi="宋体"/>
          <w:sz w:val="24"/>
        </w:rPr>
      </w:pPr>
      <w:r>
        <w:rPr>
          <w:rFonts w:hint="eastAsia" w:ascii="宋体" w:hAnsi="宋体"/>
          <w:sz w:val="24"/>
        </w:rPr>
        <w:t>4.永久增量</w:t>
      </w:r>
    </w:p>
    <w:p w14:paraId="158003DB">
      <w:pPr>
        <w:widowControl/>
        <w:spacing w:line="360" w:lineRule="auto"/>
        <w:ind w:firstLine="480" w:firstLineChars="200"/>
        <w:contextualSpacing/>
        <w:jc w:val="left"/>
        <w:rPr>
          <w:rFonts w:ascii="宋体" w:hAnsi="宋体"/>
          <w:sz w:val="24"/>
        </w:rPr>
      </w:pPr>
      <w:r>
        <w:rPr>
          <w:rFonts w:hint="eastAsia" w:ascii="宋体" w:hAnsi="宋体"/>
          <w:sz w:val="24"/>
        </w:rPr>
        <w:t>4.1支持完整备份和增量备份，首次备份时使用完整备份保留整机应用的完整状态，后续所有备份均采用增量备份，大幅减少备份的数据量。</w:t>
      </w:r>
    </w:p>
    <w:p w14:paraId="3AA40B41">
      <w:pPr>
        <w:widowControl/>
        <w:spacing w:line="360" w:lineRule="auto"/>
        <w:ind w:firstLine="480" w:firstLineChars="200"/>
        <w:contextualSpacing/>
        <w:jc w:val="left"/>
        <w:rPr>
          <w:rFonts w:ascii="宋体" w:hAnsi="宋体"/>
          <w:sz w:val="24"/>
        </w:rPr>
      </w:pPr>
      <w:r>
        <w:rPr>
          <w:rFonts w:hint="eastAsia" w:ascii="宋体" w:hAnsi="宋体"/>
          <w:sz w:val="24"/>
        </w:rPr>
        <w:t>4.2支持合成备份，可按照策略设定数据保留时间，超时的增量备份副本将与全量备份副本进行自动合成，形成全新的全量备份副本。同时，每份增量副本均可进行容灾与恢复，中间备份副本的丢失或损坏不会影响后续的时间点恢复，提高数据的安全性。</w:t>
      </w:r>
    </w:p>
    <w:p w14:paraId="243D8E8B">
      <w:pPr>
        <w:widowControl/>
        <w:spacing w:line="360" w:lineRule="auto"/>
        <w:ind w:firstLine="480" w:firstLineChars="200"/>
        <w:contextualSpacing/>
        <w:jc w:val="left"/>
        <w:rPr>
          <w:rFonts w:ascii="宋体" w:hAnsi="宋体"/>
          <w:sz w:val="24"/>
        </w:rPr>
      </w:pPr>
      <w:r>
        <w:rPr>
          <w:rFonts w:hint="eastAsia" w:ascii="宋体" w:hAnsi="宋体"/>
          <w:sz w:val="24"/>
        </w:rPr>
        <w:t>5.快速整机验证</w:t>
      </w:r>
    </w:p>
    <w:p w14:paraId="1D351BB4">
      <w:pPr>
        <w:widowControl/>
        <w:spacing w:line="360" w:lineRule="auto"/>
        <w:ind w:firstLine="480" w:firstLineChars="200"/>
        <w:contextualSpacing/>
        <w:jc w:val="left"/>
        <w:rPr>
          <w:rFonts w:ascii="宋体" w:hAnsi="宋体"/>
          <w:sz w:val="24"/>
        </w:rPr>
      </w:pPr>
      <w:r>
        <w:rPr>
          <w:rFonts w:hint="eastAsia" w:ascii="宋体" w:hAnsi="宋体" w:cs="宋体"/>
          <w:bCs/>
          <w:kern w:val="0"/>
          <w:sz w:val="24"/>
        </w:rPr>
        <w:t>5.1</w:t>
      </w:r>
      <w:r>
        <w:rPr>
          <w:rFonts w:hint="eastAsia" w:ascii="宋体" w:hAnsi="宋体"/>
          <w:sz w:val="24"/>
        </w:rPr>
        <w:t>支持数据和业务的即时验证，无需准备第三方挂载环境，无需恢复数据，直接将备份副本拉起为运行在灾备系统上的验证虚拟机，即时验证备份数据的完整性、一致性和业务应用的可用性。</w:t>
      </w:r>
    </w:p>
    <w:p w14:paraId="39AED515">
      <w:pPr>
        <w:widowControl/>
        <w:spacing w:line="360" w:lineRule="auto"/>
        <w:ind w:firstLine="480" w:firstLineChars="200"/>
        <w:contextualSpacing/>
        <w:jc w:val="left"/>
        <w:rPr>
          <w:rFonts w:ascii="宋体" w:hAnsi="宋体"/>
          <w:sz w:val="24"/>
        </w:rPr>
      </w:pPr>
      <w:r>
        <w:rPr>
          <w:rFonts w:hint="eastAsia" w:ascii="宋体" w:hAnsi="宋体"/>
          <w:sz w:val="24"/>
        </w:rPr>
        <w:t>5.2需支持同时对一个备份点自动化构建多个虚拟化验证主机用于验证，也可基于多个备份点按照同一时间构建多个虚拟机用于验证，以保证备份数据的完整性以及快速的找到可用于恢复的备份点。</w:t>
      </w:r>
    </w:p>
    <w:p w14:paraId="56A19480">
      <w:pPr>
        <w:widowControl/>
        <w:spacing w:line="360" w:lineRule="auto"/>
        <w:ind w:firstLine="480" w:firstLineChars="200"/>
        <w:contextualSpacing/>
        <w:jc w:val="left"/>
        <w:rPr>
          <w:rFonts w:ascii="宋体" w:hAnsi="宋体"/>
          <w:sz w:val="24"/>
        </w:rPr>
      </w:pPr>
      <w:r>
        <w:rPr>
          <w:rFonts w:hint="eastAsia" w:ascii="宋体" w:hAnsi="宋体"/>
          <w:sz w:val="24"/>
        </w:rPr>
        <w:t>6.应急接管容灾：具备源机故障时的接管容灾能力，无需集成、配置第三方虚拟化平台，无需恢复数据，直接将备份副本拉起为运行在灾备系统上的容灾虚拟机以接管源机业务。提供≥</w:t>
      </w:r>
      <w:r>
        <w:rPr>
          <w:rFonts w:ascii="宋体" w:hAnsi="宋体"/>
          <w:sz w:val="24"/>
        </w:rPr>
        <w:t>2个</w:t>
      </w:r>
      <w:r>
        <w:rPr>
          <w:rFonts w:hint="eastAsia" w:ascii="宋体" w:hAnsi="宋体"/>
          <w:sz w:val="24"/>
        </w:rPr>
        <w:t>主机同时接管授权。</w:t>
      </w:r>
    </w:p>
    <w:p w14:paraId="63F944D3">
      <w:pPr>
        <w:widowControl/>
        <w:spacing w:line="360" w:lineRule="auto"/>
        <w:ind w:firstLine="480" w:firstLineChars="200"/>
        <w:contextualSpacing/>
        <w:jc w:val="left"/>
        <w:rPr>
          <w:rFonts w:ascii="宋体" w:hAnsi="宋体"/>
          <w:sz w:val="24"/>
        </w:rPr>
      </w:pPr>
      <w:r>
        <w:rPr>
          <w:rFonts w:hint="eastAsia" w:ascii="宋体" w:hAnsi="宋体"/>
          <w:sz w:val="24"/>
        </w:rPr>
        <w:t>7.全场景重建恢复</w:t>
      </w:r>
    </w:p>
    <w:p w14:paraId="3D4F634D">
      <w:pPr>
        <w:widowControl/>
        <w:spacing w:line="360" w:lineRule="auto"/>
        <w:ind w:firstLine="480" w:firstLineChars="200"/>
        <w:contextualSpacing/>
        <w:jc w:val="left"/>
        <w:rPr>
          <w:rFonts w:ascii="宋体" w:hAnsi="宋体"/>
          <w:sz w:val="24"/>
        </w:rPr>
      </w:pPr>
      <w:r>
        <w:rPr>
          <w:rFonts w:hint="eastAsia" w:ascii="宋体" w:hAnsi="宋体"/>
          <w:sz w:val="24"/>
        </w:rPr>
        <w:t>7.1支持操作系统、应用、数据一体化的整机恢复，恢复目标端无需配置操作系统、应用和数据库等系统环境，实现全场景带业务逻辑的重建恢复。</w:t>
      </w:r>
    </w:p>
    <w:p w14:paraId="552DBA6B">
      <w:pPr>
        <w:widowControl/>
        <w:spacing w:line="360" w:lineRule="auto"/>
        <w:ind w:firstLine="480" w:firstLineChars="200"/>
        <w:contextualSpacing/>
        <w:jc w:val="left"/>
        <w:rPr>
          <w:rFonts w:ascii="宋体" w:hAnsi="宋体"/>
          <w:sz w:val="24"/>
        </w:rPr>
      </w:pPr>
      <w:r>
        <w:rPr>
          <w:rFonts w:hint="eastAsia" w:ascii="宋体" w:hAnsi="宋体" w:cs="宋体"/>
          <w:bCs/>
          <w:kern w:val="0"/>
          <w:sz w:val="24"/>
        </w:rPr>
        <w:t>7.2</w:t>
      </w:r>
      <w:r>
        <w:rPr>
          <w:rFonts w:hint="eastAsia" w:ascii="宋体" w:hAnsi="宋体"/>
          <w:sz w:val="24"/>
        </w:rPr>
        <w:t>千兆网络环境中，无需预置恢复目标端环境（操作系统、应用、数据库等），即可将无论数据量大小的备份副本在15分钟内将应用系统灾备点重建至目标主机上，以非存储挂载方式实现业务服务恢复。</w:t>
      </w:r>
    </w:p>
    <w:p w14:paraId="292240CE">
      <w:pPr>
        <w:widowControl/>
        <w:spacing w:line="360" w:lineRule="auto"/>
        <w:ind w:firstLine="480" w:firstLineChars="200"/>
        <w:contextualSpacing/>
        <w:jc w:val="left"/>
        <w:rPr>
          <w:rFonts w:ascii="宋体" w:hAnsi="宋体"/>
          <w:sz w:val="24"/>
        </w:rPr>
      </w:pPr>
      <w:r>
        <w:rPr>
          <w:rFonts w:hint="eastAsia" w:ascii="宋体" w:hAnsi="宋体"/>
          <w:sz w:val="24"/>
        </w:rPr>
        <w:t>8.集群实时备份</w:t>
      </w:r>
    </w:p>
    <w:p w14:paraId="6B31E43E">
      <w:pPr>
        <w:widowControl/>
        <w:spacing w:line="360" w:lineRule="auto"/>
        <w:ind w:firstLine="480" w:firstLineChars="200"/>
        <w:contextualSpacing/>
        <w:jc w:val="left"/>
        <w:rPr>
          <w:rFonts w:ascii="宋体" w:hAnsi="宋体"/>
          <w:b/>
          <w:sz w:val="24"/>
        </w:rPr>
      </w:pPr>
      <w:r>
        <w:rPr>
          <w:rFonts w:hint="eastAsia" w:ascii="宋体" w:hAnsi="宋体" w:cs="宋体"/>
          <w:bCs/>
          <w:kern w:val="0"/>
          <w:sz w:val="24"/>
        </w:rPr>
        <w:t>8.1</w:t>
      </w:r>
      <w:r>
        <w:rPr>
          <w:rFonts w:hint="eastAsia" w:ascii="宋体" w:hAnsi="宋体"/>
          <w:sz w:val="24"/>
        </w:rPr>
        <w:t>支持数据库集群块级复制技术，无需构建单机备库（DG、OGG等方式）即可实现直接对集群数据库的秒级CDP备份，可选择任意时间点拉起验证、应急容灾接管、快速恢复等，保障数据的安全性。</w:t>
      </w:r>
    </w:p>
    <w:p w14:paraId="6A48841F">
      <w:pPr>
        <w:widowControl/>
        <w:spacing w:line="360" w:lineRule="auto"/>
        <w:ind w:firstLine="480" w:firstLineChars="200"/>
        <w:contextualSpacing/>
        <w:jc w:val="left"/>
        <w:rPr>
          <w:rFonts w:ascii="宋体" w:hAnsi="宋体"/>
          <w:sz w:val="24"/>
        </w:rPr>
      </w:pPr>
      <w:r>
        <w:rPr>
          <w:rFonts w:hint="eastAsia" w:ascii="宋体" w:hAnsi="宋体"/>
          <w:sz w:val="24"/>
        </w:rPr>
        <w:t>8.2提供不少于1套集群业务系统实时备份功能授权；</w:t>
      </w:r>
    </w:p>
    <w:p w14:paraId="24578113">
      <w:pPr>
        <w:widowControl/>
        <w:spacing w:line="360" w:lineRule="auto"/>
        <w:ind w:firstLine="480" w:firstLineChars="200"/>
        <w:contextualSpacing/>
        <w:jc w:val="left"/>
        <w:rPr>
          <w:rFonts w:ascii="宋体" w:hAnsi="宋体"/>
          <w:sz w:val="24"/>
        </w:rPr>
      </w:pPr>
      <w:r>
        <w:rPr>
          <w:rFonts w:hint="eastAsia" w:ascii="宋体" w:hAnsi="宋体" w:cs="宋体"/>
          <w:bCs/>
          <w:kern w:val="0"/>
          <w:sz w:val="24"/>
        </w:rPr>
        <w:t>▲</w:t>
      </w:r>
      <w:r>
        <w:rPr>
          <w:rFonts w:hint="eastAsia" w:ascii="宋体" w:hAnsi="宋体"/>
          <w:sz w:val="24"/>
        </w:rPr>
        <w:t>9.集群业务快速恢复：无需人工手动配置集群主机操作系统、数据库、集群等环境，在突发灾难故障时，可实现集群主机单节点的15分钟内恢复服务，双节点整机的</w:t>
      </w:r>
      <w:r>
        <w:rPr>
          <w:rFonts w:ascii="宋体" w:hAnsi="宋体"/>
          <w:sz w:val="24"/>
        </w:rPr>
        <w:t>30分钟恢</w:t>
      </w:r>
      <w:r>
        <w:rPr>
          <w:rFonts w:hint="eastAsia" w:ascii="宋体" w:hAnsi="宋体"/>
          <w:sz w:val="24"/>
        </w:rPr>
        <w:t>复服务</w:t>
      </w:r>
      <w:r>
        <w:rPr>
          <w:rFonts w:hint="eastAsia" w:ascii="宋体" w:hAnsi="宋体"/>
          <w:b/>
          <w:sz w:val="24"/>
        </w:rPr>
        <w:t>。</w:t>
      </w:r>
      <w:r>
        <w:rPr>
          <w:rFonts w:hint="eastAsia" w:ascii="宋体" w:hAnsi="宋体"/>
          <w:b/>
          <w:bCs/>
          <w:sz w:val="24"/>
        </w:rPr>
        <w:t>（提供产品功能截图并加盖投标人单位公章）</w:t>
      </w:r>
    </w:p>
    <w:p w14:paraId="5E6B2725">
      <w:pPr>
        <w:widowControl/>
        <w:spacing w:line="360" w:lineRule="auto"/>
        <w:ind w:firstLine="480" w:firstLineChars="200"/>
        <w:contextualSpacing/>
        <w:jc w:val="left"/>
        <w:rPr>
          <w:rFonts w:ascii="宋体" w:hAnsi="宋体"/>
          <w:sz w:val="24"/>
        </w:rPr>
      </w:pPr>
      <w:r>
        <w:rPr>
          <w:rFonts w:hint="eastAsia" w:ascii="宋体" w:hAnsi="宋体"/>
          <w:sz w:val="24"/>
        </w:rPr>
        <w:t>10.断点续传：支持断点续传，当备份链路中断修复或者备份任务重启后，可智能判断已经备份的数据，继续备份未备份的新增数据。</w:t>
      </w:r>
    </w:p>
    <w:p w14:paraId="67E3A606">
      <w:pPr>
        <w:widowControl/>
        <w:spacing w:line="360" w:lineRule="auto"/>
        <w:ind w:firstLine="480" w:firstLineChars="200"/>
        <w:contextualSpacing/>
        <w:jc w:val="left"/>
        <w:rPr>
          <w:rFonts w:ascii="宋体" w:hAnsi="宋体"/>
          <w:sz w:val="24"/>
        </w:rPr>
      </w:pPr>
      <w:r>
        <w:rPr>
          <w:rFonts w:hint="eastAsia" w:ascii="宋体" w:hAnsi="宋体"/>
          <w:sz w:val="24"/>
        </w:rPr>
        <w:t>11.安全特性</w:t>
      </w:r>
    </w:p>
    <w:p w14:paraId="1F3D8346">
      <w:pPr>
        <w:widowControl/>
        <w:spacing w:line="360" w:lineRule="auto"/>
        <w:ind w:firstLine="480" w:firstLineChars="200"/>
        <w:contextualSpacing/>
        <w:jc w:val="left"/>
        <w:rPr>
          <w:rFonts w:ascii="宋体" w:hAnsi="宋体"/>
          <w:sz w:val="24"/>
        </w:rPr>
      </w:pPr>
      <w:r>
        <w:rPr>
          <w:rFonts w:hint="eastAsia" w:ascii="宋体" w:hAnsi="宋体" w:cs="宋体"/>
          <w:bCs/>
          <w:kern w:val="0"/>
          <w:sz w:val="24"/>
        </w:rPr>
        <w:t>▲</w:t>
      </w:r>
      <w:r>
        <w:rPr>
          <w:rFonts w:hint="eastAsia" w:ascii="宋体" w:hAnsi="宋体"/>
          <w:sz w:val="24"/>
        </w:rPr>
        <w:t>11.1备份系统的专用嵌入式操作系统维护后台采用动态口令机制，动态口令由设备管理员和原厂口令组成，原厂口令随着设备管理员的改密码操作而变化，确保系统后台密码都是唯一的，减少被攻破的可能性；</w:t>
      </w:r>
      <w:r>
        <w:rPr>
          <w:rFonts w:hint="eastAsia" w:ascii="宋体" w:hAnsi="宋体"/>
          <w:b/>
          <w:bCs/>
          <w:sz w:val="24"/>
        </w:rPr>
        <w:t>（提供产品功能截图并加盖投标人单位公章）</w:t>
      </w:r>
    </w:p>
    <w:p w14:paraId="2DEFA1DA">
      <w:pPr>
        <w:widowControl/>
        <w:spacing w:line="360" w:lineRule="auto"/>
        <w:ind w:firstLine="480" w:firstLineChars="200"/>
        <w:contextualSpacing/>
        <w:jc w:val="left"/>
        <w:rPr>
          <w:rFonts w:ascii="宋体" w:hAnsi="宋体"/>
          <w:sz w:val="24"/>
        </w:rPr>
      </w:pPr>
      <w:r>
        <w:rPr>
          <w:rFonts w:hint="eastAsia" w:ascii="宋体" w:hAnsi="宋体" w:cs="宋体"/>
          <w:bCs/>
          <w:kern w:val="0"/>
          <w:sz w:val="24"/>
        </w:rPr>
        <w:t>11.2</w:t>
      </w:r>
      <w:r>
        <w:rPr>
          <w:rFonts w:hint="eastAsia" w:ascii="宋体" w:hAnsi="宋体"/>
          <w:sz w:val="24"/>
        </w:rPr>
        <w:t>灾备系统网络可配置“网卡自动关闭/定时开启策略”，还可将除备份数据传输端口外的SSH、网络访问等网络端口全部关闭，杜绝除传输备份数据流之外一切网络访问的可能，降低灾备系统被攻击的概率；</w:t>
      </w:r>
    </w:p>
    <w:p w14:paraId="4756871D">
      <w:pPr>
        <w:widowControl/>
        <w:spacing w:line="360" w:lineRule="auto"/>
        <w:ind w:firstLine="480" w:firstLineChars="200"/>
        <w:contextualSpacing/>
        <w:jc w:val="left"/>
        <w:rPr>
          <w:rFonts w:ascii="宋体" w:hAnsi="宋体"/>
          <w:b/>
          <w:sz w:val="24"/>
        </w:rPr>
      </w:pPr>
      <w:r>
        <w:rPr>
          <w:rFonts w:hint="eastAsia" w:ascii="宋体" w:hAnsi="宋体"/>
          <w:sz w:val="24"/>
        </w:rPr>
        <w:t>11.3支持端口策略管理，可选允许访问的IP地址，保障登录安全。</w:t>
      </w:r>
    </w:p>
    <w:p w14:paraId="7B702AB9">
      <w:pPr>
        <w:pStyle w:val="4"/>
        <w:ind w:firstLine="482" w:firstLineChars="200"/>
        <w:rPr>
          <w:u w:val="none"/>
        </w:rPr>
      </w:pPr>
      <w:r>
        <w:rPr>
          <w:rFonts w:hint="eastAsia"/>
          <w:u w:val="none"/>
        </w:rPr>
        <w:t>二）其他要求</w:t>
      </w:r>
    </w:p>
    <w:p w14:paraId="7053297C">
      <w:pPr>
        <w:widowControl/>
        <w:spacing w:line="360" w:lineRule="auto"/>
        <w:ind w:firstLine="480" w:firstLineChars="200"/>
        <w:contextualSpacing/>
        <w:jc w:val="left"/>
        <w:rPr>
          <w:rFonts w:ascii="宋体" w:hAnsi="宋体"/>
          <w:sz w:val="24"/>
        </w:rPr>
      </w:pPr>
      <w:r>
        <w:rPr>
          <w:rFonts w:ascii="宋体" w:hAnsi="宋体"/>
          <w:sz w:val="24"/>
        </w:rPr>
        <w:t>1</w:t>
      </w:r>
      <w:r>
        <w:rPr>
          <w:rFonts w:hint="eastAsia" w:ascii="宋体" w:hAnsi="宋体"/>
          <w:sz w:val="24"/>
        </w:rPr>
        <w:t>.</w:t>
      </w:r>
      <w:r>
        <w:rPr>
          <w:rFonts w:ascii="宋体" w:hAnsi="宋体"/>
          <w:sz w:val="24"/>
        </w:rPr>
        <w:t>投标人对本次招标所提供的所有设备连同配件提供</w:t>
      </w:r>
      <w:r>
        <w:rPr>
          <w:rFonts w:hint="eastAsia" w:ascii="宋体" w:hAnsi="宋体"/>
          <w:sz w:val="24"/>
        </w:rPr>
        <w:t>≥</w:t>
      </w:r>
      <w:r>
        <w:rPr>
          <w:rFonts w:ascii="宋体" w:hAnsi="宋体"/>
          <w:sz w:val="24"/>
        </w:rPr>
        <w:t>3年的原厂质保服务，提供原厂上门服务，技术服务支持和维修。</w:t>
      </w:r>
    </w:p>
    <w:p w14:paraId="5CC57FA3">
      <w:pPr>
        <w:widowControl/>
        <w:spacing w:line="360" w:lineRule="auto"/>
        <w:ind w:firstLine="480" w:firstLineChars="200"/>
        <w:contextualSpacing/>
        <w:jc w:val="left"/>
        <w:rPr>
          <w:rFonts w:ascii="宋体" w:hAnsi="宋体"/>
          <w:sz w:val="24"/>
        </w:rPr>
      </w:pPr>
      <w:r>
        <w:rPr>
          <w:rFonts w:ascii="宋体" w:hAnsi="宋体"/>
          <w:sz w:val="24"/>
        </w:rPr>
        <w:t>★2</w:t>
      </w:r>
      <w:r>
        <w:rPr>
          <w:rFonts w:hint="eastAsia" w:ascii="宋体" w:hAnsi="宋体"/>
          <w:sz w:val="24"/>
        </w:rPr>
        <w:t>.</w:t>
      </w:r>
      <w:r>
        <w:rPr>
          <w:rFonts w:ascii="宋体" w:hAnsi="宋体"/>
          <w:sz w:val="24"/>
        </w:rPr>
        <w:t>投标人针对提供的所有设备提供免费的送货、安装、调试，直至设备正常运行。自设备验收之日起，投标人应确保一名经验丰富且经采购人许可的技术人员提供</w:t>
      </w:r>
      <w:r>
        <w:rPr>
          <w:rFonts w:hint="eastAsia" w:ascii="宋体" w:hAnsi="宋体"/>
          <w:sz w:val="24"/>
        </w:rPr>
        <w:t>7*8小时</w:t>
      </w:r>
      <w:r>
        <w:rPr>
          <w:rFonts w:ascii="宋体" w:hAnsi="宋体"/>
          <w:sz w:val="24"/>
        </w:rPr>
        <w:t>驻场服务，投标产品无故障稳定运行6个月后，方可离场。</w:t>
      </w:r>
      <w:r>
        <w:rPr>
          <w:rFonts w:hint="eastAsia" w:ascii="宋体" w:hAnsi="宋体"/>
          <w:b/>
          <w:bCs/>
          <w:sz w:val="24"/>
        </w:rPr>
        <w:t>（提供承诺书加盖投标人单位公章）</w:t>
      </w:r>
    </w:p>
    <w:p w14:paraId="7BB8BD77">
      <w:pPr>
        <w:widowControl/>
        <w:spacing w:line="360" w:lineRule="auto"/>
        <w:ind w:firstLine="480" w:firstLineChars="200"/>
        <w:contextualSpacing/>
        <w:jc w:val="left"/>
        <w:rPr>
          <w:rFonts w:ascii="宋体" w:hAnsi="宋体"/>
          <w:sz w:val="24"/>
        </w:rPr>
      </w:pPr>
      <w:r>
        <w:rPr>
          <w:rFonts w:ascii="宋体" w:hAnsi="宋体"/>
          <w:sz w:val="24"/>
        </w:rPr>
        <w:t>3</w:t>
      </w:r>
      <w:r>
        <w:rPr>
          <w:rFonts w:hint="eastAsia" w:ascii="宋体" w:hAnsi="宋体"/>
          <w:sz w:val="24"/>
        </w:rPr>
        <w:t>.</w:t>
      </w:r>
      <w:r>
        <w:rPr>
          <w:rFonts w:ascii="宋体" w:hAnsi="宋体"/>
          <w:sz w:val="24"/>
        </w:rPr>
        <w:t>投标人对本次招标所提供的所有设备定期进行巡检服务，检查设备运行状况，防患于未然。</w:t>
      </w:r>
    </w:p>
    <w:p w14:paraId="23A3BD86">
      <w:pPr>
        <w:widowControl/>
        <w:spacing w:line="360" w:lineRule="auto"/>
        <w:ind w:firstLine="480" w:firstLineChars="200"/>
        <w:contextualSpacing/>
        <w:jc w:val="left"/>
        <w:rPr>
          <w:rFonts w:ascii="宋体" w:hAnsi="宋体"/>
          <w:sz w:val="24"/>
        </w:rPr>
      </w:pPr>
      <w:r>
        <w:rPr>
          <w:rFonts w:ascii="宋体" w:hAnsi="宋体"/>
          <w:sz w:val="24"/>
        </w:rPr>
        <w:t>4</w:t>
      </w:r>
      <w:r>
        <w:rPr>
          <w:rFonts w:hint="eastAsia" w:ascii="宋体" w:hAnsi="宋体"/>
          <w:sz w:val="24"/>
        </w:rPr>
        <w:t>.</w:t>
      </w:r>
      <w:r>
        <w:rPr>
          <w:rFonts w:ascii="宋体" w:hAnsi="宋体"/>
          <w:sz w:val="24"/>
        </w:rPr>
        <w:t>投标人对本次招标所提供的所有设备提供培训服务，培训内容包含但不限于：产品常识、安装部署、使用方法、故障排查等。</w:t>
      </w:r>
    </w:p>
    <w:p w14:paraId="3A1C9B86">
      <w:pPr>
        <w:widowControl/>
        <w:spacing w:line="360" w:lineRule="auto"/>
        <w:ind w:firstLine="480" w:firstLineChars="200"/>
        <w:contextualSpacing/>
        <w:jc w:val="lef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w:t>
      </w:r>
      <w:r>
        <w:rPr>
          <w:rFonts w:ascii="宋体" w:hAnsi="宋体"/>
          <w:sz w:val="24"/>
        </w:rPr>
        <w:t>投标人提供7*24小时技术支持，按招标人实际工作需要，提供应急支持。对于投标产品故障问题应及时提供保修服务，若因投标人原因无法在1天之内更换配件恢复，须及时与采购人协商并免费提供备用整机。</w:t>
      </w:r>
      <w:r>
        <w:rPr>
          <w:rFonts w:hint="eastAsia" w:ascii="宋体" w:hAnsi="宋体"/>
          <w:b/>
          <w:bCs/>
          <w:sz w:val="24"/>
        </w:rPr>
        <w:t>（提供承诺书加盖投标人单位公章）</w:t>
      </w:r>
    </w:p>
    <w:p w14:paraId="24B61ECD">
      <w:pPr>
        <w:widowControl/>
        <w:spacing w:line="360" w:lineRule="auto"/>
        <w:ind w:firstLine="480" w:firstLineChars="200"/>
        <w:contextualSpacing/>
        <w:jc w:val="left"/>
        <w:rPr>
          <w:rFonts w:ascii="宋体" w:hAnsi="宋体"/>
          <w:sz w:val="24"/>
        </w:rPr>
      </w:pPr>
      <w:r>
        <w:rPr>
          <w:rFonts w:ascii="宋体" w:hAnsi="宋体"/>
          <w:sz w:val="24"/>
        </w:rPr>
        <w:t>6</w:t>
      </w:r>
      <w:r>
        <w:rPr>
          <w:rFonts w:hint="eastAsia" w:ascii="宋体" w:hAnsi="宋体"/>
          <w:sz w:val="24"/>
        </w:rPr>
        <w:t>.</w:t>
      </w:r>
      <w:r>
        <w:rPr>
          <w:rFonts w:ascii="宋体" w:hAnsi="宋体"/>
          <w:sz w:val="24"/>
        </w:rPr>
        <w:t>应急响应</w:t>
      </w:r>
    </w:p>
    <w:p w14:paraId="5AA95DCA">
      <w:pPr>
        <w:widowControl/>
        <w:spacing w:line="360" w:lineRule="auto"/>
        <w:ind w:firstLine="480" w:firstLineChars="200"/>
        <w:contextualSpacing/>
        <w:jc w:val="left"/>
        <w:rPr>
          <w:rFonts w:ascii="宋体" w:hAnsi="宋体"/>
          <w:sz w:val="24"/>
        </w:rPr>
      </w:pPr>
      <w:r>
        <w:rPr>
          <w:rFonts w:hint="eastAsia" w:ascii="宋体" w:hAnsi="宋体"/>
          <w:sz w:val="24"/>
        </w:rPr>
        <w:t>6.1</w:t>
      </w:r>
      <w:r>
        <w:rPr>
          <w:rFonts w:ascii="宋体" w:hAnsi="宋体"/>
          <w:sz w:val="24"/>
        </w:rPr>
        <w:t>工作期间应急响应15分钟，到场1小时以内。</w:t>
      </w:r>
    </w:p>
    <w:p w14:paraId="4C59066A">
      <w:pPr>
        <w:widowControl/>
        <w:spacing w:line="360" w:lineRule="auto"/>
        <w:ind w:firstLine="480" w:firstLineChars="200"/>
        <w:contextualSpacing/>
        <w:jc w:val="left"/>
        <w:rPr>
          <w:rFonts w:ascii="宋体" w:hAnsi="宋体"/>
          <w:sz w:val="24"/>
        </w:rPr>
      </w:pPr>
      <w:r>
        <w:rPr>
          <w:rFonts w:hint="eastAsia" w:ascii="宋体" w:hAnsi="宋体"/>
          <w:sz w:val="24"/>
        </w:rPr>
        <w:t>6.2</w:t>
      </w:r>
      <w:r>
        <w:rPr>
          <w:rFonts w:ascii="宋体" w:hAnsi="宋体"/>
          <w:sz w:val="24"/>
        </w:rPr>
        <w:t>非工作日应急响应时间15分钟，到场时间2小时以内。</w:t>
      </w:r>
    </w:p>
    <w:p w14:paraId="03AAB829">
      <w:pPr>
        <w:widowControl/>
        <w:spacing w:line="360" w:lineRule="auto"/>
        <w:ind w:firstLine="480" w:firstLineChars="200"/>
        <w:contextualSpacing/>
        <w:jc w:val="left"/>
        <w:rPr>
          <w:rFonts w:ascii="宋体" w:hAnsi="宋体"/>
          <w:sz w:val="24"/>
        </w:rPr>
      </w:pPr>
      <w:r>
        <w:rPr>
          <w:rFonts w:hint="eastAsia" w:ascii="宋体" w:hAnsi="宋体"/>
          <w:sz w:val="24"/>
        </w:rPr>
        <w:t>6.3</w:t>
      </w:r>
      <w:r>
        <w:rPr>
          <w:rFonts w:ascii="宋体" w:hAnsi="宋体"/>
          <w:sz w:val="24"/>
        </w:rPr>
        <w:t>现场服务的工程师应服从招标人统一的工作安排，严格遵守作息时间，工作期间不得从事其它活动；严格遵守招标人的规章制度和保密制度。</w:t>
      </w:r>
    </w:p>
    <w:p w14:paraId="767C3AC7">
      <w:pPr>
        <w:widowControl/>
        <w:spacing w:line="360" w:lineRule="auto"/>
        <w:ind w:firstLine="480" w:firstLineChars="200"/>
        <w:contextualSpacing/>
        <w:jc w:val="left"/>
        <w:rPr>
          <w:rFonts w:ascii="宋体" w:hAnsi="宋体"/>
          <w:sz w:val="24"/>
        </w:rPr>
      </w:pPr>
    </w:p>
    <w:p w14:paraId="1AD2E65A">
      <w:pPr>
        <w:pStyle w:val="3"/>
        <w:spacing w:line="360" w:lineRule="auto"/>
        <w:ind w:firstLine="482" w:firstLineChars="200"/>
        <w:jc w:val="both"/>
        <w:rPr>
          <w:rFonts w:ascii="宋体" w:hAnsi="宋体"/>
          <w:sz w:val="24"/>
        </w:rPr>
      </w:pPr>
      <w:r>
        <w:rPr>
          <w:rFonts w:hint="eastAsia" w:ascii="宋体" w:hAnsi="宋体" w:eastAsia="宋体" w:cs="宋体"/>
          <w:sz w:val="24"/>
          <w:szCs w:val="24"/>
        </w:rPr>
        <w:t>03包：计算应用服务一体化设备</w:t>
      </w:r>
    </w:p>
    <w:p w14:paraId="3A407A5F">
      <w:pPr>
        <w:pStyle w:val="4"/>
        <w:ind w:firstLine="482" w:firstLineChars="200"/>
        <w:rPr>
          <w:u w:val="none"/>
        </w:rPr>
      </w:pPr>
      <w:r>
        <w:rPr>
          <w:rFonts w:hint="eastAsia"/>
          <w:u w:val="none"/>
        </w:rPr>
        <w:t>一）技术要求</w:t>
      </w:r>
    </w:p>
    <w:p w14:paraId="5D3A948C">
      <w:pPr>
        <w:pStyle w:val="4"/>
        <w:ind w:firstLine="482" w:firstLineChars="200"/>
        <w:rPr>
          <w:u w:val="none"/>
        </w:rPr>
      </w:pPr>
      <w:r>
        <w:rPr>
          <w:rFonts w:hint="eastAsia"/>
          <w:u w:val="none"/>
        </w:rPr>
        <w:t>标的1：超融合一体化集群</w:t>
      </w:r>
    </w:p>
    <w:p w14:paraId="327C115F">
      <w:pPr>
        <w:widowControl/>
        <w:spacing w:line="360" w:lineRule="auto"/>
        <w:ind w:firstLine="480" w:firstLineChars="200"/>
        <w:contextualSpacing/>
        <w:jc w:val="left"/>
        <w:rPr>
          <w:rFonts w:hint="eastAsia" w:ascii="宋体" w:hAnsi="宋体" w:eastAsia="宋体"/>
          <w:sz w:val="24"/>
          <w:lang w:eastAsia="zh-CN"/>
        </w:rPr>
      </w:pPr>
      <w:r>
        <w:rPr>
          <w:rFonts w:hint="eastAsia" w:ascii="宋体" w:hAnsi="宋体"/>
          <w:sz w:val="24"/>
        </w:rPr>
        <w:t>1.配置要求：超融合一体机节点数量≥8节点。每节点配置</w:t>
      </w:r>
      <w:r>
        <w:rPr>
          <w:rFonts w:hint="eastAsia" w:ascii="宋体" w:hAnsi="宋体"/>
          <w:sz w:val="24"/>
          <w:lang w:eastAsia="zh-CN"/>
        </w:rPr>
        <w:t>。</w:t>
      </w:r>
    </w:p>
    <w:p w14:paraId="1AB3CE1A">
      <w:pPr>
        <w:widowControl/>
        <w:spacing w:line="360" w:lineRule="auto"/>
        <w:ind w:firstLine="480" w:firstLineChars="200"/>
        <w:contextualSpacing/>
        <w:jc w:val="left"/>
        <w:rPr>
          <w:rFonts w:ascii="宋体" w:hAnsi="宋体"/>
          <w:sz w:val="24"/>
        </w:rPr>
      </w:pPr>
      <w:r>
        <w:rPr>
          <w:rFonts w:hint="eastAsia" w:ascii="宋体" w:hAnsi="宋体"/>
          <w:sz w:val="24"/>
        </w:rPr>
        <w:t>1.1 CPU：≥2颗X86架构处理器，单颗处理器基础主频≥2.2Ghz，核心数≥26。</w:t>
      </w:r>
    </w:p>
    <w:p w14:paraId="724FAD99">
      <w:pPr>
        <w:widowControl/>
        <w:spacing w:line="360" w:lineRule="auto"/>
        <w:ind w:firstLine="480" w:firstLineChars="200"/>
        <w:contextualSpacing/>
        <w:jc w:val="left"/>
        <w:rPr>
          <w:rFonts w:ascii="宋体" w:hAnsi="宋体"/>
          <w:sz w:val="24"/>
        </w:rPr>
      </w:pPr>
      <w:r>
        <w:rPr>
          <w:rFonts w:hint="eastAsia" w:ascii="宋体" w:hAnsi="宋体"/>
          <w:sz w:val="24"/>
        </w:rPr>
        <w:t>1.2内存：≥1024GB内存。</w:t>
      </w:r>
    </w:p>
    <w:p w14:paraId="6E2F1624">
      <w:pPr>
        <w:widowControl/>
        <w:spacing w:line="360" w:lineRule="auto"/>
        <w:ind w:firstLine="480" w:firstLineChars="200"/>
        <w:contextualSpacing/>
        <w:jc w:val="left"/>
        <w:rPr>
          <w:rFonts w:ascii="宋体" w:hAnsi="宋体"/>
          <w:sz w:val="24"/>
        </w:rPr>
      </w:pPr>
      <w:r>
        <w:rPr>
          <w:rFonts w:hint="eastAsia" w:ascii="宋体" w:hAnsi="宋体"/>
          <w:sz w:val="24"/>
        </w:rPr>
        <w:t>1.3磁盘：系统盘≥2块480G SSD，配有独立硬件RAID1保护；缓存盘≥2块3.84TB 混合型SSD硬盘，DWPD≥3；容量盘≥5块8TB HDD硬盘。</w:t>
      </w:r>
    </w:p>
    <w:p w14:paraId="5EE98089">
      <w:pPr>
        <w:widowControl/>
        <w:spacing w:line="360" w:lineRule="auto"/>
        <w:ind w:firstLine="480" w:firstLineChars="200"/>
        <w:contextualSpacing/>
        <w:jc w:val="left"/>
        <w:rPr>
          <w:rFonts w:ascii="宋体" w:hAnsi="宋体"/>
          <w:sz w:val="24"/>
        </w:rPr>
      </w:pPr>
      <w:r>
        <w:rPr>
          <w:rFonts w:hint="eastAsia" w:ascii="宋体" w:hAnsi="宋体"/>
          <w:sz w:val="24"/>
        </w:rPr>
        <w:t>1.4网卡：≥2块双口万兆网卡，配置相应的万兆光模块；≥1块四口千兆网卡。</w:t>
      </w:r>
    </w:p>
    <w:p w14:paraId="324F9288">
      <w:pPr>
        <w:widowControl/>
        <w:spacing w:line="360" w:lineRule="auto"/>
        <w:ind w:firstLine="480" w:firstLineChars="200"/>
        <w:contextualSpacing/>
        <w:jc w:val="left"/>
        <w:rPr>
          <w:rFonts w:ascii="宋体" w:hAnsi="宋体"/>
          <w:sz w:val="24"/>
        </w:rPr>
      </w:pPr>
      <w:r>
        <w:rPr>
          <w:rFonts w:hint="eastAsia" w:ascii="宋体" w:hAnsi="宋体"/>
          <w:sz w:val="24"/>
        </w:rPr>
        <w:t>1.5电源：1+1冗余电源。</w:t>
      </w:r>
    </w:p>
    <w:p w14:paraId="5351941B">
      <w:pPr>
        <w:widowControl/>
        <w:spacing w:line="360" w:lineRule="auto"/>
        <w:ind w:firstLine="480" w:firstLineChars="200"/>
        <w:contextualSpacing/>
        <w:jc w:val="left"/>
        <w:rPr>
          <w:rFonts w:ascii="宋体" w:hAnsi="宋体"/>
          <w:sz w:val="24"/>
        </w:rPr>
      </w:pPr>
      <w:r>
        <w:rPr>
          <w:rFonts w:hint="eastAsia" w:ascii="宋体" w:hAnsi="宋体"/>
          <w:sz w:val="24"/>
        </w:rPr>
        <w:t>1.6软件：≥2颗处理器的超融合软件永久授权许可，需包含超融合管理功能、计算虚拟化功能、分布式存储虚拟化功能、网络虚拟化功能。</w:t>
      </w:r>
    </w:p>
    <w:p w14:paraId="3A5F3EC3">
      <w:pPr>
        <w:widowControl/>
        <w:spacing w:line="360" w:lineRule="auto"/>
        <w:ind w:firstLine="480" w:firstLineChars="200"/>
        <w:contextualSpacing/>
        <w:jc w:val="left"/>
        <w:rPr>
          <w:rFonts w:ascii="宋体" w:hAnsi="宋体"/>
          <w:sz w:val="24"/>
        </w:rPr>
      </w:pPr>
      <w:r>
        <w:rPr>
          <w:rFonts w:hint="eastAsia" w:ascii="宋体" w:hAnsi="宋体"/>
          <w:sz w:val="24"/>
        </w:rPr>
        <w:t>1.7质保服务：软硬件≥3年，磁盘故障无需返还。</w:t>
      </w:r>
    </w:p>
    <w:p w14:paraId="447E2C56">
      <w:pPr>
        <w:widowControl/>
        <w:spacing w:line="360" w:lineRule="auto"/>
        <w:ind w:firstLine="480" w:firstLineChars="200"/>
        <w:contextualSpacing/>
        <w:jc w:val="left"/>
        <w:rPr>
          <w:rFonts w:ascii="宋体" w:hAnsi="宋体"/>
          <w:sz w:val="24"/>
        </w:rPr>
      </w:pPr>
      <w:r>
        <w:rPr>
          <w:rFonts w:hint="eastAsia" w:ascii="宋体" w:hAnsi="宋体"/>
          <w:sz w:val="24"/>
        </w:rPr>
        <w:t>2.总体要求：采用单实例集群部署架构，计算、存储等资源全面池化管理与调配，虚拟化平台具备高可用（HA）功能。</w:t>
      </w:r>
    </w:p>
    <w:p w14:paraId="5B3C18BD">
      <w:pPr>
        <w:widowControl/>
        <w:spacing w:line="360" w:lineRule="auto"/>
        <w:ind w:firstLine="480" w:firstLineChars="200"/>
        <w:contextualSpacing/>
        <w:jc w:val="left"/>
        <w:rPr>
          <w:rFonts w:ascii="宋体" w:hAnsi="宋体"/>
          <w:sz w:val="24"/>
        </w:rPr>
      </w:pPr>
      <w:r>
        <w:rPr>
          <w:rFonts w:hint="eastAsia" w:ascii="宋体" w:hAnsi="宋体"/>
          <w:sz w:val="24"/>
        </w:rPr>
        <w:t>3.节点支持：单个超融合集群支持≥255个节点，具备节点在线扩展及数据自动均衡。</w:t>
      </w:r>
    </w:p>
    <w:p w14:paraId="4DD9BDAA">
      <w:pPr>
        <w:widowControl/>
        <w:spacing w:line="360" w:lineRule="auto"/>
        <w:ind w:firstLine="480" w:firstLineChars="200"/>
        <w:contextualSpacing/>
        <w:jc w:val="left"/>
        <w:rPr>
          <w:rFonts w:ascii="宋体" w:hAnsi="宋体"/>
          <w:b/>
          <w:sz w:val="24"/>
        </w:rPr>
      </w:pPr>
      <w:r>
        <w:rPr>
          <w:rFonts w:hint="eastAsia" w:ascii="宋体" w:hAnsi="宋体"/>
          <w:sz w:val="24"/>
        </w:rPr>
        <w:t>4.</w:t>
      </w:r>
      <w:r>
        <w:rPr>
          <w:rFonts w:ascii="宋体" w:hAnsi="宋体"/>
          <w:sz w:val="24"/>
        </w:rPr>
        <w:t>CPU兼容性：虚拟化平台具备修改≥5种vCPU</w:t>
      </w:r>
      <w:r>
        <w:rPr>
          <w:rFonts w:hint="eastAsia" w:ascii="宋体" w:hAnsi="宋体"/>
          <w:sz w:val="24"/>
        </w:rPr>
        <w:t>模型，且支持按虚拟机颗粒度调整；支持跨代</w:t>
      </w:r>
      <w:r>
        <w:rPr>
          <w:rFonts w:ascii="宋体" w:hAnsi="宋体"/>
          <w:sz w:val="24"/>
        </w:rPr>
        <w:t>CPU在线迁移。</w:t>
      </w:r>
    </w:p>
    <w:p w14:paraId="461D9BD1">
      <w:pPr>
        <w:widowControl/>
        <w:spacing w:line="360" w:lineRule="auto"/>
        <w:ind w:firstLine="480" w:firstLineChars="200"/>
        <w:contextualSpacing/>
        <w:jc w:val="left"/>
        <w:rPr>
          <w:rFonts w:ascii="宋体" w:hAnsi="宋体"/>
          <w:b/>
          <w:bCs/>
          <w:sz w:val="24"/>
        </w:rPr>
      </w:pPr>
      <w:r>
        <w:rPr>
          <w:rFonts w:hint="eastAsia" w:ascii="宋体" w:hAnsi="宋体" w:cs="宋体"/>
          <w:bCs/>
          <w:kern w:val="0"/>
          <w:sz w:val="24"/>
        </w:rPr>
        <w:t>▲</w:t>
      </w:r>
      <w:r>
        <w:rPr>
          <w:rFonts w:hint="eastAsia" w:ascii="宋体" w:hAnsi="宋体"/>
          <w:sz w:val="24"/>
        </w:rPr>
        <w:t>5.存储策略：具备整合所有节点磁盘为统一存储池的能力，允许不同存储策略(两副本、三副本、纠删码)的虚拟机共享该单一存储池。分布式存储优先保障虚拟机所在节点本地磁盘有一份完整副本，虚拟机优先读取本地磁盘，且当虚拟机迁移到任意节点，一份完整副本数据在一段时间后自动迁移到虚拟机所在物理节点。</w:t>
      </w:r>
      <w:r>
        <w:rPr>
          <w:rFonts w:hint="eastAsia" w:ascii="宋体" w:hAnsi="宋体"/>
          <w:b/>
          <w:bCs/>
          <w:sz w:val="24"/>
        </w:rPr>
        <w:t>（提供产品功能截图或产品技术白皮书并加盖投标人单位公章）</w:t>
      </w:r>
    </w:p>
    <w:p w14:paraId="31D9ACF8">
      <w:pPr>
        <w:widowControl/>
        <w:numPr>
          <w:ilvl w:val="0"/>
          <w:numId w:val="2"/>
        </w:numPr>
        <w:spacing w:line="360" w:lineRule="auto"/>
        <w:ind w:firstLine="480" w:firstLineChars="200"/>
        <w:contextualSpacing/>
        <w:jc w:val="left"/>
        <w:rPr>
          <w:rFonts w:ascii="宋体" w:hAnsi="宋体"/>
          <w:sz w:val="24"/>
        </w:rPr>
      </w:pPr>
      <w:r>
        <w:rPr>
          <w:rFonts w:hint="eastAsia" w:ascii="宋体" w:hAnsi="宋体"/>
          <w:sz w:val="24"/>
        </w:rPr>
        <w:t>IOPS管理：具备IOPS及带宽数值限速，以虚拟机为颗粒度。</w:t>
      </w:r>
    </w:p>
    <w:p w14:paraId="161E9F2A">
      <w:pPr>
        <w:widowControl/>
        <w:spacing w:line="360" w:lineRule="auto"/>
        <w:ind w:firstLine="480" w:firstLineChars="200"/>
        <w:contextualSpacing/>
        <w:jc w:val="left"/>
        <w:rPr>
          <w:rFonts w:ascii="宋体" w:hAnsi="宋体"/>
          <w:b/>
          <w:sz w:val="24"/>
        </w:rPr>
      </w:pPr>
      <w:r>
        <w:rPr>
          <w:rFonts w:hint="eastAsia" w:ascii="宋体" w:hAnsi="宋体" w:cs="宋体"/>
          <w:bCs/>
          <w:kern w:val="0"/>
          <w:sz w:val="24"/>
        </w:rPr>
        <w:t>▲</w:t>
      </w:r>
      <w:r>
        <w:rPr>
          <w:rFonts w:hint="eastAsia" w:ascii="宋体" w:hAnsi="宋体"/>
          <w:sz w:val="24"/>
        </w:rPr>
        <w:t>7.兼容性要求：分布式存储软件支持和至少2种虚拟化软件融合部署为超融合平台。超融合软件兼容≥5种服务器品牌，并支持融合部署。</w:t>
      </w:r>
      <w:r>
        <w:rPr>
          <w:rFonts w:hint="eastAsia" w:ascii="宋体" w:hAnsi="宋体"/>
          <w:b/>
          <w:sz w:val="24"/>
        </w:rPr>
        <w:t>（提供官网兼容性证明或</w:t>
      </w:r>
      <w:r>
        <w:rPr>
          <w:rFonts w:hint="eastAsia" w:ascii="宋体" w:hAnsi="宋体"/>
          <w:b/>
          <w:bCs/>
          <w:sz w:val="24"/>
        </w:rPr>
        <w:t>产品技术白皮书</w:t>
      </w:r>
      <w:r>
        <w:rPr>
          <w:rFonts w:hint="eastAsia" w:ascii="宋体" w:hAnsi="宋体"/>
          <w:b/>
          <w:sz w:val="24"/>
        </w:rPr>
        <w:t>，并加盖</w:t>
      </w:r>
      <w:r>
        <w:rPr>
          <w:rFonts w:hint="eastAsia" w:ascii="宋体" w:hAnsi="宋体"/>
          <w:b/>
          <w:bCs/>
          <w:sz w:val="24"/>
        </w:rPr>
        <w:t>投标人单位公章</w:t>
      </w:r>
      <w:r>
        <w:rPr>
          <w:rFonts w:hint="eastAsia" w:ascii="宋体" w:hAnsi="宋体"/>
          <w:b/>
          <w:sz w:val="24"/>
        </w:rPr>
        <w:t>）</w:t>
      </w:r>
    </w:p>
    <w:p w14:paraId="5CBECFD0">
      <w:pPr>
        <w:widowControl/>
        <w:spacing w:line="360" w:lineRule="auto"/>
        <w:ind w:firstLine="480" w:firstLineChars="200"/>
        <w:contextualSpacing/>
        <w:jc w:val="left"/>
        <w:rPr>
          <w:rFonts w:ascii="宋体" w:hAnsi="宋体"/>
          <w:b/>
          <w:sz w:val="24"/>
        </w:rPr>
      </w:pPr>
      <w:r>
        <w:rPr>
          <w:rFonts w:hint="eastAsia" w:ascii="宋体" w:hAnsi="宋体" w:cs="宋体"/>
          <w:bCs/>
          <w:kern w:val="0"/>
          <w:sz w:val="24"/>
        </w:rPr>
        <w:t>▲</w:t>
      </w:r>
      <w:r>
        <w:rPr>
          <w:rFonts w:hint="eastAsia" w:ascii="宋体" w:hAnsi="宋体"/>
          <w:sz w:val="24"/>
        </w:rPr>
        <w:t>8.文件存储：具备NFS协议的文件存储（NAS）功能，与超融合统一平台管理。文件存储功能支持高可用，可在线扩展。</w:t>
      </w:r>
      <w:r>
        <w:rPr>
          <w:rFonts w:hint="eastAsia" w:ascii="宋体" w:hAnsi="宋体"/>
          <w:b/>
          <w:sz w:val="24"/>
        </w:rPr>
        <w:t>（</w:t>
      </w:r>
      <w:r>
        <w:rPr>
          <w:rFonts w:hint="eastAsia" w:ascii="宋体" w:hAnsi="宋体"/>
          <w:b/>
          <w:bCs/>
          <w:sz w:val="24"/>
        </w:rPr>
        <w:t>提供产品功能截图或产品技术白皮书并</w:t>
      </w:r>
      <w:r>
        <w:rPr>
          <w:rFonts w:hint="eastAsia" w:ascii="宋体" w:hAnsi="宋体"/>
          <w:b/>
          <w:sz w:val="24"/>
        </w:rPr>
        <w:t>加盖</w:t>
      </w:r>
      <w:r>
        <w:rPr>
          <w:rFonts w:hint="eastAsia" w:ascii="宋体" w:hAnsi="宋体"/>
          <w:b/>
          <w:bCs/>
          <w:sz w:val="24"/>
        </w:rPr>
        <w:t>投标人单位公章</w:t>
      </w:r>
      <w:r>
        <w:rPr>
          <w:rFonts w:hint="eastAsia" w:ascii="宋体" w:hAnsi="宋体"/>
          <w:b/>
          <w:sz w:val="24"/>
        </w:rPr>
        <w:t>）</w:t>
      </w:r>
    </w:p>
    <w:p w14:paraId="52D92BF2">
      <w:pPr>
        <w:widowControl/>
        <w:spacing w:line="360" w:lineRule="auto"/>
        <w:ind w:firstLine="480" w:firstLineChars="200"/>
        <w:contextualSpacing/>
        <w:jc w:val="left"/>
        <w:rPr>
          <w:rFonts w:ascii="宋体" w:hAnsi="宋体"/>
          <w:sz w:val="24"/>
        </w:rPr>
      </w:pPr>
      <w:r>
        <w:rPr>
          <w:rFonts w:hint="eastAsia" w:ascii="宋体" w:hAnsi="宋体"/>
          <w:sz w:val="24"/>
        </w:rPr>
        <w:t>9.监控功能：具备基本资源监控功能，包括查看CPU、网络和磁盘实时数据信息；可设置告警阈值，可配置告警通知。具备监控集群节点和虚拟机实时及历史性能数据，呈现视图和图表分析结果。</w:t>
      </w:r>
    </w:p>
    <w:p w14:paraId="25A2DA06">
      <w:pPr>
        <w:widowControl/>
        <w:spacing w:line="360" w:lineRule="auto"/>
        <w:ind w:firstLine="480" w:firstLineChars="200"/>
        <w:contextualSpacing/>
        <w:jc w:val="left"/>
        <w:rPr>
          <w:rFonts w:ascii="宋体" w:hAnsi="宋体"/>
          <w:b/>
          <w:sz w:val="24"/>
        </w:rPr>
      </w:pPr>
      <w:r>
        <w:rPr>
          <w:rFonts w:hint="eastAsia" w:ascii="宋体" w:hAnsi="宋体" w:cs="宋体"/>
          <w:bCs/>
          <w:kern w:val="0"/>
          <w:sz w:val="24"/>
        </w:rPr>
        <w:t>▲</w:t>
      </w:r>
      <w:r>
        <w:rPr>
          <w:rFonts w:hint="eastAsia" w:ascii="宋体" w:hAnsi="宋体"/>
          <w:sz w:val="24"/>
        </w:rPr>
        <w:t>10.流量分析：不需要启用防火墙，平台自身流量分析功能可以展示每个数据流的源/目的 IP 地址、协议、源/目的端口号、收/发数据量、包转发率、往返延时等信息，并可以自动关联到虚拟机名、物理主机名、网卡等信息，支持在虚拟机网络上展示数据流的完整路径。</w:t>
      </w:r>
      <w:r>
        <w:rPr>
          <w:rFonts w:hint="eastAsia" w:ascii="宋体" w:hAnsi="宋体"/>
          <w:b/>
          <w:sz w:val="24"/>
        </w:rPr>
        <w:t>（</w:t>
      </w:r>
      <w:r>
        <w:rPr>
          <w:rFonts w:hint="eastAsia" w:ascii="宋体" w:hAnsi="宋体"/>
          <w:b/>
          <w:bCs/>
          <w:sz w:val="24"/>
        </w:rPr>
        <w:t>提供产品功能截图或产品技术白皮书并</w:t>
      </w:r>
      <w:r>
        <w:rPr>
          <w:rFonts w:hint="eastAsia" w:ascii="宋体" w:hAnsi="宋体"/>
          <w:b/>
          <w:sz w:val="24"/>
        </w:rPr>
        <w:t>加盖</w:t>
      </w:r>
      <w:r>
        <w:rPr>
          <w:rFonts w:hint="eastAsia" w:ascii="宋体" w:hAnsi="宋体"/>
          <w:b/>
          <w:bCs/>
          <w:sz w:val="24"/>
        </w:rPr>
        <w:t>投标人单位公章</w:t>
      </w:r>
      <w:r>
        <w:rPr>
          <w:rFonts w:hint="eastAsia" w:ascii="宋体" w:hAnsi="宋体"/>
          <w:b/>
          <w:sz w:val="24"/>
        </w:rPr>
        <w:t>）</w:t>
      </w:r>
    </w:p>
    <w:p w14:paraId="03AE944B">
      <w:pPr>
        <w:widowControl/>
        <w:spacing w:line="360" w:lineRule="auto"/>
        <w:ind w:firstLine="480" w:firstLineChars="200"/>
        <w:contextualSpacing/>
        <w:jc w:val="left"/>
        <w:rPr>
          <w:rFonts w:ascii="宋体" w:hAnsi="宋体"/>
          <w:b/>
          <w:sz w:val="24"/>
        </w:rPr>
      </w:pPr>
      <w:r>
        <w:rPr>
          <w:rFonts w:hint="eastAsia" w:ascii="宋体" w:hAnsi="宋体"/>
          <w:sz w:val="24"/>
        </w:rPr>
        <w:t>11.可靠性：非磁盘组架构，SSD缓存盘故障仅影响其自身，不影响其他机械盘HDD。</w:t>
      </w:r>
    </w:p>
    <w:p w14:paraId="7751D3B4">
      <w:pPr>
        <w:widowControl/>
        <w:spacing w:line="360" w:lineRule="auto"/>
        <w:ind w:firstLine="480" w:firstLineChars="200"/>
        <w:contextualSpacing/>
        <w:jc w:val="left"/>
        <w:rPr>
          <w:rFonts w:ascii="宋体" w:hAnsi="宋体"/>
          <w:sz w:val="24"/>
        </w:rPr>
      </w:pPr>
      <w:r>
        <w:rPr>
          <w:rFonts w:hint="eastAsia" w:ascii="宋体" w:hAnsi="宋体"/>
          <w:sz w:val="24"/>
        </w:rPr>
        <w:t>12.自动巡检：支持集群的自动化巡检，可自定义巡检对象与细项，可图形化展示历史巡检记录、风险项目分布及统计，支持导出巡检报告。</w:t>
      </w:r>
    </w:p>
    <w:p w14:paraId="32CBB4A4">
      <w:pPr>
        <w:widowControl/>
        <w:spacing w:line="360" w:lineRule="auto"/>
        <w:ind w:firstLine="480" w:firstLineChars="200"/>
        <w:contextualSpacing/>
        <w:jc w:val="left"/>
        <w:rPr>
          <w:rFonts w:ascii="宋体" w:hAnsi="宋体"/>
          <w:b/>
          <w:sz w:val="24"/>
        </w:rPr>
      </w:pPr>
      <w:r>
        <w:rPr>
          <w:rFonts w:hint="eastAsia" w:ascii="宋体" w:hAnsi="宋体" w:cs="宋体"/>
          <w:bCs/>
          <w:kern w:val="0"/>
          <w:sz w:val="24"/>
        </w:rPr>
        <w:t>▲</w:t>
      </w:r>
      <w:r>
        <w:rPr>
          <w:rFonts w:hint="eastAsia" w:ascii="宋体" w:hAnsi="宋体"/>
          <w:sz w:val="24"/>
        </w:rPr>
        <w:t>13.机架感知：具备基于机架拓扑智能分布副本功能，支持图形界面调整机架位置，后台自动根据拓扑重新分布副本。</w:t>
      </w:r>
      <w:r>
        <w:rPr>
          <w:rFonts w:hint="eastAsia" w:ascii="宋体" w:hAnsi="宋体"/>
          <w:b/>
          <w:sz w:val="24"/>
        </w:rPr>
        <w:t>（</w:t>
      </w:r>
      <w:r>
        <w:rPr>
          <w:rFonts w:hint="eastAsia" w:ascii="宋体" w:hAnsi="宋体"/>
          <w:b/>
          <w:bCs/>
          <w:sz w:val="24"/>
        </w:rPr>
        <w:t>提供产品功能截图或产品技术白皮书并</w:t>
      </w:r>
      <w:r>
        <w:rPr>
          <w:rFonts w:hint="eastAsia" w:ascii="宋体" w:hAnsi="宋体"/>
          <w:b/>
          <w:sz w:val="24"/>
        </w:rPr>
        <w:t>加盖</w:t>
      </w:r>
      <w:r>
        <w:rPr>
          <w:rFonts w:hint="eastAsia" w:ascii="宋体" w:hAnsi="宋体"/>
          <w:b/>
          <w:bCs/>
          <w:sz w:val="24"/>
        </w:rPr>
        <w:t>投标人单位公章</w:t>
      </w:r>
      <w:r>
        <w:rPr>
          <w:rFonts w:hint="eastAsia" w:ascii="宋体" w:hAnsi="宋体"/>
          <w:b/>
          <w:sz w:val="24"/>
        </w:rPr>
        <w:t>）</w:t>
      </w:r>
    </w:p>
    <w:p w14:paraId="082801EE">
      <w:pPr>
        <w:widowControl/>
        <w:spacing w:line="360" w:lineRule="auto"/>
        <w:ind w:firstLine="480" w:firstLineChars="200"/>
        <w:contextualSpacing/>
        <w:jc w:val="left"/>
        <w:rPr>
          <w:rFonts w:ascii="宋体" w:hAnsi="宋体"/>
          <w:sz w:val="24"/>
        </w:rPr>
      </w:pPr>
      <w:r>
        <w:rPr>
          <w:rFonts w:hint="eastAsia" w:ascii="宋体" w:hAnsi="宋体"/>
          <w:sz w:val="24"/>
        </w:rPr>
        <w:t>14.平滑扩容：可以在不中断业务的情况下通过控制台将新节点加入现有集群中，实现存储资源的无缝扩展，并将数据重新自动分布至均衡状态。</w:t>
      </w:r>
    </w:p>
    <w:p w14:paraId="6804D723">
      <w:pPr>
        <w:widowControl/>
        <w:spacing w:line="360" w:lineRule="auto"/>
        <w:ind w:firstLine="480" w:firstLineChars="200"/>
        <w:contextualSpacing/>
        <w:jc w:val="left"/>
        <w:rPr>
          <w:rFonts w:ascii="宋体" w:hAnsi="宋体"/>
          <w:sz w:val="24"/>
        </w:rPr>
      </w:pPr>
      <w:r>
        <w:rPr>
          <w:rFonts w:hint="eastAsia" w:ascii="宋体" w:hAnsi="宋体"/>
          <w:sz w:val="24"/>
        </w:rPr>
        <w:t>15.缓存加速：支持SSD作为读写缓存，加速I/O访问性能。系统自动将经常访问的随机数据缓存到SSD磁盘上，而将不常用的数据放在 SATA/SAS HDD 数据磁盘上，无需手工干预。</w:t>
      </w:r>
    </w:p>
    <w:p w14:paraId="1C1657DA">
      <w:pPr>
        <w:pStyle w:val="4"/>
        <w:ind w:firstLine="482" w:firstLineChars="200"/>
        <w:rPr>
          <w:u w:val="none"/>
        </w:rPr>
      </w:pPr>
      <w:r>
        <w:rPr>
          <w:rFonts w:hint="eastAsia"/>
          <w:u w:val="none"/>
        </w:rPr>
        <w:t>标的2：超融合用万兆交换机</w:t>
      </w:r>
    </w:p>
    <w:p w14:paraId="02134C0E">
      <w:pPr>
        <w:widowControl/>
        <w:spacing w:line="360" w:lineRule="auto"/>
        <w:ind w:firstLine="480" w:firstLineChars="200"/>
        <w:contextualSpacing/>
        <w:jc w:val="left"/>
        <w:rPr>
          <w:rFonts w:ascii="宋体" w:hAnsi="宋体"/>
          <w:sz w:val="24"/>
        </w:rPr>
      </w:pPr>
      <w:r>
        <w:rPr>
          <w:rFonts w:hint="eastAsia" w:ascii="宋体" w:hAnsi="宋体"/>
          <w:sz w:val="24"/>
        </w:rPr>
        <w:t>1.转发性能：交换容量≥4.8Tbps，包转发率≥1600Mpps。</w:t>
      </w:r>
    </w:p>
    <w:p w14:paraId="0F986450">
      <w:pPr>
        <w:widowControl/>
        <w:spacing w:line="360" w:lineRule="auto"/>
        <w:ind w:firstLine="480" w:firstLineChars="200"/>
        <w:contextualSpacing/>
        <w:jc w:val="left"/>
        <w:rPr>
          <w:rFonts w:ascii="宋体" w:hAnsi="宋体"/>
          <w:sz w:val="24"/>
        </w:rPr>
      </w:pPr>
      <w:r>
        <w:rPr>
          <w:rFonts w:hint="eastAsia" w:ascii="宋体" w:hAnsi="宋体"/>
          <w:sz w:val="24"/>
        </w:rPr>
        <w:t>2.硬件规格：10GE光接口≥24个，100GE QSFP28接口≥6个；标准1U设备，支持电源模块≥2个，风扇模块≥4个。</w:t>
      </w:r>
    </w:p>
    <w:p w14:paraId="4177B841">
      <w:pPr>
        <w:widowControl/>
        <w:spacing w:line="360" w:lineRule="auto"/>
        <w:ind w:firstLine="480" w:firstLineChars="200"/>
        <w:contextualSpacing/>
        <w:jc w:val="left"/>
        <w:rPr>
          <w:rFonts w:ascii="宋体" w:hAnsi="宋体"/>
          <w:sz w:val="24"/>
        </w:rPr>
      </w:pPr>
      <w:r>
        <w:rPr>
          <w:rFonts w:hint="eastAsia" w:ascii="宋体" w:hAnsi="宋体"/>
          <w:sz w:val="24"/>
        </w:rPr>
        <w:t>3.ID指示灯支持后台点亮。</w:t>
      </w:r>
    </w:p>
    <w:p w14:paraId="6795770F">
      <w:pPr>
        <w:widowControl/>
        <w:spacing w:line="360" w:lineRule="auto"/>
        <w:ind w:firstLine="480" w:firstLineChars="200"/>
        <w:contextualSpacing/>
        <w:jc w:val="left"/>
        <w:rPr>
          <w:rFonts w:ascii="宋体" w:hAnsi="宋体"/>
          <w:sz w:val="24"/>
        </w:rPr>
      </w:pPr>
      <w:r>
        <w:rPr>
          <w:rFonts w:hint="eastAsia" w:ascii="宋体" w:hAnsi="宋体"/>
          <w:sz w:val="24"/>
        </w:rPr>
        <w:t>4.三层功能</w:t>
      </w:r>
    </w:p>
    <w:p w14:paraId="0067EC49">
      <w:pPr>
        <w:widowControl/>
        <w:spacing w:line="360" w:lineRule="auto"/>
        <w:ind w:firstLine="480" w:firstLineChars="200"/>
        <w:contextualSpacing/>
        <w:jc w:val="left"/>
        <w:rPr>
          <w:rFonts w:ascii="宋体" w:hAnsi="宋体"/>
          <w:sz w:val="24"/>
        </w:rPr>
      </w:pPr>
      <w:r>
        <w:rPr>
          <w:rFonts w:hint="eastAsia" w:ascii="宋体" w:hAnsi="宋体"/>
          <w:sz w:val="24"/>
        </w:rPr>
        <w:t>4.1支持RIP、OSPF、ISIS、BGP等IPv4动态路由协议。</w:t>
      </w:r>
    </w:p>
    <w:p w14:paraId="5FFE2154">
      <w:pPr>
        <w:widowControl/>
        <w:spacing w:line="360" w:lineRule="auto"/>
        <w:ind w:firstLine="480" w:firstLineChars="200"/>
        <w:contextualSpacing/>
        <w:jc w:val="left"/>
        <w:rPr>
          <w:rFonts w:ascii="宋体" w:hAnsi="宋体"/>
          <w:sz w:val="24"/>
        </w:rPr>
      </w:pPr>
      <w:r>
        <w:rPr>
          <w:rFonts w:hint="eastAsia" w:ascii="宋体" w:hAnsi="宋体"/>
          <w:sz w:val="24"/>
        </w:rPr>
        <w:t>4.2支持RIPng、OSPFv3、ISISv6、BGP4+等IPv6动态路由协议。</w:t>
      </w:r>
    </w:p>
    <w:p w14:paraId="0076236D">
      <w:pPr>
        <w:widowControl/>
        <w:spacing w:line="360" w:lineRule="auto"/>
        <w:ind w:firstLine="480" w:firstLineChars="200"/>
        <w:contextualSpacing/>
        <w:jc w:val="left"/>
        <w:rPr>
          <w:rFonts w:ascii="宋体" w:hAnsi="宋体"/>
          <w:sz w:val="24"/>
        </w:rPr>
      </w:pPr>
      <w:r>
        <w:rPr>
          <w:rFonts w:hint="eastAsia" w:ascii="宋体" w:hAnsi="宋体"/>
          <w:sz w:val="24"/>
        </w:rPr>
        <w:t>5.VxLAN：支持VxLAN功能，支持BGP EVPN，支持分布式Anycast网关。</w:t>
      </w:r>
    </w:p>
    <w:p w14:paraId="52EE1E9B">
      <w:pPr>
        <w:widowControl/>
        <w:spacing w:line="360" w:lineRule="auto"/>
        <w:ind w:firstLine="480" w:firstLineChars="200"/>
        <w:contextualSpacing/>
        <w:jc w:val="left"/>
        <w:rPr>
          <w:rFonts w:ascii="宋体" w:hAnsi="宋体" w:cs="宋体"/>
          <w:sz w:val="24"/>
        </w:rPr>
      </w:pPr>
      <w:r>
        <w:rPr>
          <w:rFonts w:hint="eastAsia" w:ascii="宋体" w:hAnsi="宋体"/>
          <w:sz w:val="24"/>
        </w:rPr>
        <w:t>6.实配要求：10GE光接口≥24个，100GE QSFP28接口≥6个，10GE多模光模块≥24个，3米 40GE堆叠线≥2，电源模块≥2块。</w:t>
      </w:r>
    </w:p>
    <w:p w14:paraId="4BED8B71">
      <w:pPr>
        <w:pStyle w:val="4"/>
        <w:ind w:firstLine="482" w:firstLineChars="200"/>
        <w:rPr>
          <w:u w:val="none"/>
        </w:rPr>
      </w:pPr>
      <w:r>
        <w:rPr>
          <w:rFonts w:hint="eastAsia"/>
          <w:u w:val="none"/>
        </w:rPr>
        <w:t>标的3：中心训练节点</w:t>
      </w:r>
    </w:p>
    <w:p w14:paraId="7A118204">
      <w:pPr>
        <w:widowControl/>
        <w:spacing w:line="360" w:lineRule="auto"/>
        <w:ind w:firstLine="480" w:firstLineChars="200"/>
        <w:contextualSpacing/>
        <w:jc w:val="left"/>
        <w:rPr>
          <w:rFonts w:ascii="宋体" w:hAnsi="宋体"/>
          <w:sz w:val="24"/>
        </w:rPr>
      </w:pPr>
      <w:r>
        <w:rPr>
          <w:rFonts w:hint="eastAsia" w:ascii="宋体" w:hAnsi="宋体"/>
          <w:sz w:val="24"/>
        </w:rPr>
        <w:t>1.规格：4U机架式服务器。</w:t>
      </w:r>
    </w:p>
    <w:p w14:paraId="5D89A041">
      <w:pPr>
        <w:widowControl/>
        <w:spacing w:line="360" w:lineRule="auto"/>
        <w:ind w:firstLine="480" w:firstLineChars="200"/>
        <w:contextualSpacing/>
        <w:jc w:val="left"/>
        <w:rPr>
          <w:rFonts w:ascii="宋体" w:hAnsi="宋体"/>
          <w:sz w:val="24"/>
        </w:rPr>
      </w:pPr>
      <w:r>
        <w:rPr>
          <w:rFonts w:hint="eastAsia" w:ascii="宋体" w:hAnsi="宋体"/>
          <w:sz w:val="24"/>
        </w:rPr>
        <w:t>★2.处理器：配置≥4颗ARM架构国产处理器，单颗处理器主频≥2.6GHz，单颗核心数≥48。</w:t>
      </w:r>
      <w:r>
        <w:rPr>
          <w:rFonts w:hint="eastAsia" w:ascii="宋体" w:hAnsi="宋体"/>
          <w:b/>
          <w:sz w:val="24"/>
        </w:rPr>
        <w:t>（</w:t>
      </w:r>
      <w:r>
        <w:rPr>
          <w:rFonts w:hint="eastAsia" w:ascii="宋体" w:hAnsi="宋体"/>
          <w:b/>
          <w:bCs/>
          <w:sz w:val="24"/>
        </w:rPr>
        <w:t>提供产品官网截图或产品技术白皮书或产品彩页并</w:t>
      </w:r>
      <w:r>
        <w:rPr>
          <w:rFonts w:hint="eastAsia" w:ascii="宋体" w:hAnsi="宋体"/>
          <w:b/>
          <w:sz w:val="24"/>
        </w:rPr>
        <w:t>加盖</w:t>
      </w:r>
      <w:r>
        <w:rPr>
          <w:rFonts w:hint="eastAsia" w:ascii="宋体" w:hAnsi="宋体"/>
          <w:b/>
          <w:bCs/>
          <w:sz w:val="24"/>
        </w:rPr>
        <w:t>投标人单位公章</w:t>
      </w:r>
      <w:r>
        <w:rPr>
          <w:rFonts w:hint="eastAsia" w:ascii="宋体" w:hAnsi="宋体"/>
          <w:b/>
          <w:sz w:val="24"/>
        </w:rPr>
        <w:t>）</w:t>
      </w:r>
    </w:p>
    <w:p w14:paraId="5A9F9655">
      <w:pPr>
        <w:widowControl/>
        <w:spacing w:line="360" w:lineRule="auto"/>
        <w:ind w:firstLine="480" w:firstLineChars="200"/>
        <w:contextualSpacing/>
        <w:jc w:val="left"/>
        <w:rPr>
          <w:rFonts w:ascii="宋体" w:hAnsi="宋体"/>
          <w:sz w:val="24"/>
        </w:rPr>
      </w:pPr>
      <w:r>
        <w:rPr>
          <w:rFonts w:hint="eastAsia" w:ascii="宋体" w:hAnsi="宋体"/>
          <w:sz w:val="24"/>
        </w:rPr>
        <w:t>3.内存：≥1024GB ECC DDR4 3200MHz。</w:t>
      </w:r>
    </w:p>
    <w:p w14:paraId="14AD0DC5">
      <w:pPr>
        <w:widowControl/>
        <w:spacing w:line="360" w:lineRule="auto"/>
        <w:ind w:firstLine="480" w:firstLineChars="200"/>
        <w:contextualSpacing/>
        <w:jc w:val="left"/>
        <w:rPr>
          <w:rFonts w:ascii="宋体" w:hAnsi="宋体"/>
          <w:sz w:val="24"/>
        </w:rPr>
      </w:pPr>
      <w:r>
        <w:rPr>
          <w:rFonts w:hint="eastAsia" w:ascii="宋体" w:hAnsi="宋体"/>
          <w:sz w:val="24"/>
        </w:rPr>
        <w:t>4.硬盘：≥2块480G SATA SSD，≥4块3.84TB NVME SSD。</w:t>
      </w:r>
    </w:p>
    <w:p w14:paraId="189970B4">
      <w:pPr>
        <w:widowControl/>
        <w:spacing w:line="360" w:lineRule="auto"/>
        <w:ind w:firstLine="480" w:firstLineChars="200"/>
        <w:contextualSpacing/>
        <w:jc w:val="left"/>
        <w:rPr>
          <w:rFonts w:ascii="宋体" w:hAnsi="宋体"/>
          <w:sz w:val="24"/>
        </w:rPr>
      </w:pPr>
      <w:r>
        <w:rPr>
          <w:rFonts w:hint="eastAsia" w:ascii="宋体" w:hAnsi="宋体"/>
          <w:sz w:val="24"/>
        </w:rPr>
        <w:t>5.网卡：≥2个10GE光口（含光模块），≥4个GE电口，≥8个200GE光口（含光模块）。</w:t>
      </w:r>
    </w:p>
    <w:p w14:paraId="723F5DB2">
      <w:pPr>
        <w:widowControl/>
        <w:spacing w:line="360" w:lineRule="auto"/>
        <w:ind w:firstLine="480" w:firstLineChars="200"/>
        <w:contextualSpacing/>
        <w:jc w:val="left"/>
        <w:rPr>
          <w:rFonts w:ascii="宋体" w:hAnsi="宋体"/>
          <w:b/>
          <w:sz w:val="24"/>
        </w:rPr>
      </w:pPr>
      <w:r>
        <w:rPr>
          <w:rFonts w:hint="eastAsia" w:ascii="宋体" w:hAnsi="宋体"/>
          <w:sz w:val="24"/>
        </w:rPr>
        <w:t>★6.GPU：≥8个AI芯片，用于AI推理任务。单芯片内存≥64GB HBM，单芯片FP16算力≥280TFLOPS</w:t>
      </w:r>
      <w:r>
        <w:rPr>
          <w:rFonts w:hint="eastAsia" w:ascii="宋体" w:hAnsi="宋体"/>
          <w:b/>
          <w:bCs/>
          <w:sz w:val="24"/>
        </w:rPr>
        <w:t>（需提供芯片厂商开具的针对本项目理论峰值算力的有效说明，并加盖投标人单位公章）</w:t>
      </w:r>
    </w:p>
    <w:p w14:paraId="7B62D6C0">
      <w:pPr>
        <w:widowControl/>
        <w:spacing w:line="360" w:lineRule="auto"/>
        <w:ind w:firstLine="480" w:firstLineChars="200"/>
        <w:contextualSpacing/>
        <w:jc w:val="left"/>
        <w:rPr>
          <w:rFonts w:ascii="宋体" w:hAnsi="宋体"/>
          <w:sz w:val="24"/>
        </w:rPr>
      </w:pPr>
      <w:r>
        <w:rPr>
          <w:rFonts w:hint="eastAsia" w:ascii="宋体" w:hAnsi="宋体"/>
          <w:sz w:val="24"/>
        </w:rPr>
        <w:t>7.Raid卡：配置1张独立RAID卡，支持RAID 0/1/5/6等，2G缓存超级电容。</w:t>
      </w:r>
    </w:p>
    <w:p w14:paraId="7CEDEEF3">
      <w:pPr>
        <w:widowControl/>
        <w:spacing w:line="360" w:lineRule="auto"/>
        <w:ind w:firstLine="480" w:firstLineChars="200"/>
        <w:contextualSpacing/>
        <w:jc w:val="left"/>
        <w:rPr>
          <w:rFonts w:ascii="宋体" w:hAnsi="宋体"/>
          <w:sz w:val="24"/>
        </w:rPr>
      </w:pPr>
      <w:r>
        <w:rPr>
          <w:rFonts w:hint="eastAsia" w:ascii="宋体" w:hAnsi="宋体"/>
          <w:sz w:val="24"/>
        </w:rPr>
        <w:t>8.电源：≥4个2600W热拔插电源，支持2+2冗余。</w:t>
      </w:r>
    </w:p>
    <w:p w14:paraId="2178FD92">
      <w:pPr>
        <w:widowControl/>
        <w:spacing w:line="360" w:lineRule="auto"/>
        <w:ind w:firstLine="480" w:firstLineChars="200"/>
        <w:contextualSpacing/>
        <w:jc w:val="left"/>
        <w:rPr>
          <w:rFonts w:ascii="宋体" w:hAnsi="宋体"/>
          <w:sz w:val="24"/>
        </w:rPr>
      </w:pPr>
      <w:r>
        <w:rPr>
          <w:rFonts w:hint="eastAsia" w:ascii="宋体" w:hAnsi="宋体"/>
          <w:sz w:val="24"/>
        </w:rPr>
        <w:t>9.带外管理：BMC芯片集成1个专用管理GE网口，提供全面的故障诊断、自动化运维、硬件安全加固等管理特性。</w:t>
      </w:r>
    </w:p>
    <w:p w14:paraId="39537324">
      <w:pPr>
        <w:widowControl/>
        <w:spacing w:line="360" w:lineRule="auto"/>
        <w:ind w:firstLine="480" w:firstLineChars="200"/>
        <w:contextualSpacing/>
        <w:jc w:val="left"/>
        <w:rPr>
          <w:rFonts w:ascii="宋体" w:hAnsi="宋体"/>
          <w:sz w:val="24"/>
        </w:rPr>
      </w:pPr>
      <w:r>
        <w:rPr>
          <w:rFonts w:hint="eastAsia" w:ascii="宋体" w:hAnsi="宋体" w:cs="宋体"/>
          <w:bCs/>
          <w:kern w:val="0"/>
          <w:sz w:val="24"/>
        </w:rPr>
        <w:t>▲</w:t>
      </w:r>
      <w:r>
        <w:rPr>
          <w:rFonts w:hint="eastAsia" w:ascii="宋体" w:hAnsi="宋体"/>
          <w:sz w:val="24"/>
        </w:rPr>
        <w:t>10.维保：3年7*24小时原厂维保</w:t>
      </w:r>
      <w:r>
        <w:rPr>
          <w:rFonts w:hint="eastAsia" w:ascii="宋体" w:hAnsi="宋体"/>
          <w:b/>
          <w:bCs/>
          <w:sz w:val="24"/>
        </w:rPr>
        <w:t>（需提供投标产品制造商售后服务承诺函并加盖投标人单位公章）</w:t>
      </w:r>
    </w:p>
    <w:p w14:paraId="36F616C5">
      <w:pPr>
        <w:pStyle w:val="4"/>
        <w:ind w:firstLine="482" w:firstLineChars="200"/>
        <w:rPr>
          <w:u w:val="none"/>
        </w:rPr>
      </w:pPr>
      <w:r>
        <w:rPr>
          <w:rFonts w:hint="eastAsia"/>
          <w:u w:val="none"/>
        </w:rPr>
        <w:t>二）其他要求</w:t>
      </w:r>
    </w:p>
    <w:p w14:paraId="03384FE0">
      <w:pPr>
        <w:widowControl/>
        <w:spacing w:line="360" w:lineRule="auto"/>
        <w:ind w:firstLine="480" w:firstLineChars="200"/>
        <w:contextualSpacing/>
        <w:jc w:val="left"/>
        <w:rPr>
          <w:rFonts w:ascii="宋体" w:hAnsi="宋体"/>
          <w:sz w:val="24"/>
        </w:rPr>
      </w:pPr>
      <w:r>
        <w:rPr>
          <w:rFonts w:hint="eastAsia" w:ascii="宋体" w:hAnsi="宋体"/>
          <w:sz w:val="24"/>
        </w:rPr>
        <w:t>1.投标人对本次招标所提供的所有设备连同配件提供≥5年的质保服务，提供原厂上门服务，技术服务支持和维修。</w:t>
      </w:r>
    </w:p>
    <w:p w14:paraId="6BE217A4">
      <w:pPr>
        <w:widowControl/>
        <w:spacing w:line="360" w:lineRule="auto"/>
        <w:ind w:firstLine="480" w:firstLineChars="200"/>
        <w:contextualSpacing/>
        <w:jc w:val="left"/>
        <w:rPr>
          <w:rFonts w:ascii="宋体" w:hAnsi="宋体"/>
          <w:sz w:val="24"/>
        </w:rPr>
      </w:pPr>
      <w:r>
        <w:rPr>
          <w:rFonts w:hint="eastAsia" w:ascii="宋体" w:hAnsi="宋体"/>
          <w:sz w:val="24"/>
        </w:rPr>
        <w:t>★2.投标人针对提供的所有设备提供免费的送货、安装、调试，直至设备正常运行。自设备验收之日起，投标人应确保一名经验丰富且经采购人许可的技术人员提供7*8小时驻场服务，投标产品无故障稳定运行6个月后，方可离场。</w:t>
      </w:r>
      <w:r>
        <w:rPr>
          <w:rFonts w:hint="eastAsia" w:ascii="宋体" w:hAnsi="宋体"/>
          <w:b/>
          <w:bCs/>
          <w:sz w:val="24"/>
        </w:rPr>
        <w:t>（提供承诺书加盖投标人单位公章）</w:t>
      </w:r>
    </w:p>
    <w:p w14:paraId="34DF3C45">
      <w:pPr>
        <w:widowControl/>
        <w:spacing w:line="360" w:lineRule="auto"/>
        <w:ind w:firstLine="480" w:firstLineChars="200"/>
        <w:contextualSpacing/>
        <w:jc w:val="left"/>
        <w:rPr>
          <w:rFonts w:ascii="宋体" w:hAnsi="宋体"/>
          <w:sz w:val="24"/>
        </w:rPr>
      </w:pPr>
      <w:r>
        <w:rPr>
          <w:rFonts w:hint="eastAsia" w:ascii="宋体" w:hAnsi="宋体"/>
          <w:sz w:val="24"/>
        </w:rPr>
        <w:t>3.投标人对本次招标所提供的所有设备定期进行巡检服务，检查设备运行状况，防患于未然。</w:t>
      </w:r>
    </w:p>
    <w:p w14:paraId="68624FF1">
      <w:pPr>
        <w:widowControl/>
        <w:spacing w:line="360" w:lineRule="auto"/>
        <w:ind w:firstLine="480" w:firstLineChars="200"/>
        <w:contextualSpacing/>
        <w:jc w:val="left"/>
        <w:rPr>
          <w:rFonts w:ascii="宋体" w:hAnsi="宋体"/>
          <w:sz w:val="24"/>
        </w:rPr>
      </w:pPr>
      <w:r>
        <w:rPr>
          <w:rFonts w:hint="eastAsia" w:ascii="宋体" w:hAnsi="宋体"/>
          <w:sz w:val="24"/>
        </w:rPr>
        <w:t>4.投标人对本次招标所提供的所有设备提供培训服务，培训内容包含但不限于：产品常识、安装部署、使用方法、故障排查等。</w:t>
      </w:r>
    </w:p>
    <w:p w14:paraId="591376F3">
      <w:pPr>
        <w:widowControl/>
        <w:spacing w:line="360" w:lineRule="auto"/>
        <w:ind w:firstLine="480" w:firstLineChars="200"/>
        <w:contextualSpacing/>
        <w:jc w:val="left"/>
        <w:rPr>
          <w:rFonts w:ascii="宋体" w:hAnsi="宋体"/>
          <w:sz w:val="24"/>
        </w:rPr>
      </w:pPr>
      <w:r>
        <w:rPr>
          <w:rFonts w:hint="eastAsia" w:ascii="宋体" w:hAnsi="宋体"/>
          <w:sz w:val="24"/>
        </w:rPr>
        <w:t>▲5.投标人提供7*24小时技术支持，按招标人实际工作需要，提供应急支持。对于投标产品故障问题应及时提供保修服务，若因投标人原因无法在1天之内更换配件恢复，须及时与采购人协商并免费提供备用整机。</w:t>
      </w:r>
      <w:r>
        <w:rPr>
          <w:rFonts w:hint="eastAsia" w:ascii="宋体" w:hAnsi="宋体"/>
          <w:b/>
          <w:bCs/>
          <w:sz w:val="24"/>
        </w:rPr>
        <w:t>（提供承诺书加盖投标人单位公章）</w:t>
      </w:r>
    </w:p>
    <w:p w14:paraId="7F143A54">
      <w:pPr>
        <w:widowControl/>
        <w:spacing w:line="360" w:lineRule="auto"/>
        <w:ind w:firstLine="480" w:firstLineChars="200"/>
        <w:contextualSpacing/>
        <w:jc w:val="left"/>
        <w:rPr>
          <w:rFonts w:ascii="宋体" w:hAnsi="宋体"/>
          <w:sz w:val="24"/>
        </w:rPr>
      </w:pPr>
      <w:r>
        <w:rPr>
          <w:rFonts w:hint="eastAsia" w:ascii="宋体" w:hAnsi="宋体"/>
          <w:sz w:val="24"/>
        </w:rPr>
        <w:t>6.应急响应</w:t>
      </w:r>
    </w:p>
    <w:p w14:paraId="585205F6">
      <w:pPr>
        <w:widowControl/>
        <w:spacing w:line="360" w:lineRule="auto"/>
        <w:ind w:firstLine="480" w:firstLineChars="200"/>
        <w:contextualSpacing/>
        <w:jc w:val="left"/>
        <w:rPr>
          <w:rFonts w:ascii="宋体" w:hAnsi="宋体"/>
          <w:sz w:val="24"/>
        </w:rPr>
      </w:pPr>
      <w:r>
        <w:rPr>
          <w:rFonts w:hint="eastAsia" w:ascii="宋体" w:hAnsi="宋体"/>
          <w:sz w:val="24"/>
        </w:rPr>
        <w:t>6.1工作期间应急响应15分钟，到场1小时以内。</w:t>
      </w:r>
    </w:p>
    <w:p w14:paraId="4C5EB4F4">
      <w:pPr>
        <w:widowControl/>
        <w:spacing w:line="360" w:lineRule="auto"/>
        <w:ind w:firstLine="480" w:firstLineChars="200"/>
        <w:contextualSpacing/>
        <w:jc w:val="left"/>
        <w:rPr>
          <w:rFonts w:ascii="宋体" w:hAnsi="宋体"/>
          <w:sz w:val="24"/>
        </w:rPr>
      </w:pPr>
      <w:r>
        <w:rPr>
          <w:rFonts w:hint="eastAsia" w:ascii="宋体" w:hAnsi="宋体"/>
          <w:sz w:val="24"/>
        </w:rPr>
        <w:t>6.2非工作日应急响应时间15分钟，到场时间2小时以内。</w:t>
      </w:r>
    </w:p>
    <w:p w14:paraId="65B74EBF">
      <w:pPr>
        <w:widowControl/>
        <w:spacing w:line="360" w:lineRule="auto"/>
        <w:ind w:firstLine="480" w:firstLineChars="200"/>
        <w:contextualSpacing/>
        <w:jc w:val="left"/>
      </w:pPr>
      <w:r>
        <w:rPr>
          <w:rFonts w:hint="eastAsia" w:ascii="宋体" w:hAnsi="宋体"/>
          <w:sz w:val="24"/>
        </w:rPr>
        <w:t>7.现场服务的工程师应服从招标人统一的工作安排，严格遵守作息时间，工作期间不得从事其它活动；严格遵守招标人的规章制度和保密制度。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6F04DC1"/>
    <w:multiLevelType w:val="singleLevel"/>
    <w:tmpl w:val="46F04DC1"/>
    <w:lvl w:ilvl="0" w:tentative="0">
      <w:start w:val="6"/>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441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w:basedOn w:val="1"/>
    <w:qFormat/>
    <w:uiPriority w:val="0"/>
    <w:pPr>
      <w:tabs>
        <w:tab w:val="left" w:pos="567"/>
      </w:tabs>
      <w:ind w:firstLine="420" w:firstLineChars="100"/>
    </w:pPr>
  </w:style>
  <w:style w:type="paragraph" w:styleId="5">
    <w:name w:val="Normal Indent"/>
    <w:basedOn w:val="1"/>
    <w:next w:val="1"/>
    <w:qFormat/>
    <w:uiPriority w:val="0"/>
    <w:pPr>
      <w:autoSpaceDE w:val="0"/>
      <w:autoSpaceDN w:val="0"/>
      <w:adjustRightInd w:val="0"/>
      <w:ind w:firstLine="420"/>
      <w:jc w:val="left"/>
    </w:pPr>
    <w:rPr>
      <w:rFonts w:ascii="宋体"/>
      <w:sz w:val="24"/>
    </w:rPr>
  </w:style>
  <w:style w:type="paragraph" w:styleId="6">
    <w:name w:val="footer"/>
    <w:basedOn w:val="1"/>
    <w:next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7">
    <w:name w:val="toc 2"/>
    <w:basedOn w:val="1"/>
    <w:next w:val="1"/>
    <w:qFormat/>
    <w:uiPriority w:val="39"/>
    <w:pPr>
      <w:tabs>
        <w:tab w:val="right" w:leader="dot" w:pos="8937"/>
      </w:tabs>
      <w:spacing w:line="312" w:lineRule="auto"/>
      <w:ind w:left="420" w:leftChars="200"/>
    </w:pPr>
  </w:style>
  <w:style w:type="paragraph" w:styleId="8">
    <w:name w:val="Body Text 2"/>
    <w:basedOn w:val="1"/>
    <w:semiHidden/>
    <w:unhideWhenUsed/>
    <w:qFormat/>
    <w:uiPriority w:val="99"/>
    <w:pPr>
      <w:spacing w:after="120" w:line="480" w:lineRule="auto"/>
    </w:pPr>
  </w:style>
  <w:style w:type="paragraph" w:customStyle="1" w:styleId="11">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2025-10-17T07:32:37Z</dcterms:created>
  <dc:creator>Luna</dc:creator>
  <cp:lastModifiedBy>Luna</cp:lastModifiedBy>
  <dcterms:modified xsi:type="dcterms:W3CDTF">2025-10-17T07:33:17Z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eyJoZGlkIjoiMDU4MWRkZDVlYzU1YTFjMjhlMGU0YTU1YzE5NWNiY2QifQ==</vt:lpwstr>
  </property>
  <property fmtid="{D5CDD505-2E9C-101B-9397-08002B2CF9AE}" pid="4" name="ICV">
    <vt:lpwstr>019418F6B262404DA947D6E73E374699_12</vt:lpwstr>
  </property>
</Properties>
</file>