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2BF8E">
      <w:pPr>
        <w:pStyle w:val="3"/>
        <w:numPr>
          <w:numId w:val="0"/>
        </w:numPr>
        <w:tabs>
          <w:tab w:val="left" w:pos="1630"/>
        </w:tabs>
        <w:spacing w:line="460" w:lineRule="exact"/>
        <w:jc w:val="center"/>
        <w:rPr>
          <w:rFonts w:hint="eastAsia"/>
          <w:b/>
          <w:bCs/>
        </w:rPr>
      </w:pPr>
      <w:bookmarkStart w:id="10" w:name="_GoBack"/>
      <w:bookmarkStart w:id="0" w:name="_Toc22302"/>
      <w:bookmarkStart w:id="1" w:name="_Toc17965"/>
      <w:bookmarkStart w:id="2" w:name="_Toc16033"/>
      <w:r>
        <w:rPr>
          <w:rFonts w:hint="eastAsia"/>
          <w:b/>
          <w:bCs/>
        </w:rPr>
        <w:t>采购需求</w:t>
      </w:r>
      <w:bookmarkEnd w:id="10"/>
      <w:bookmarkEnd w:id="0"/>
      <w:bookmarkEnd w:id="1"/>
    </w:p>
    <w:p w14:paraId="7DDB5990">
      <w:pPr>
        <w:rPr>
          <w:rFonts w:hint="eastAsia"/>
        </w:rPr>
      </w:pPr>
    </w:p>
    <w:p w14:paraId="6307E53E">
      <w:pPr>
        <w:pStyle w:val="2"/>
        <w:spacing w:before="1"/>
        <w:ind w:left="121"/>
        <w:rPr>
          <w:rFonts w:hint="eastAsia"/>
          <w:b/>
          <w:bCs/>
        </w:rPr>
      </w:pPr>
      <w:r>
        <w:rPr>
          <w:rFonts w:hint="eastAsia"/>
          <w:b/>
          <w:bCs/>
        </w:rPr>
        <w:t>一、采购标的</w:t>
      </w:r>
    </w:p>
    <w:p w14:paraId="40F26626">
      <w:pPr>
        <w:pStyle w:val="6"/>
        <w:tabs>
          <w:tab w:val="left" w:pos="470"/>
          <w:tab w:val="left" w:pos="7040"/>
        </w:tabs>
        <w:spacing w:before="154" w:line="338" w:lineRule="auto"/>
        <w:ind w:left="121" w:right="1830" w:firstLine="240" w:firstLineChars="100"/>
        <w:rPr>
          <w:rFonts w:hint="eastAsia"/>
          <w:sz w:val="24"/>
          <w:lang w:eastAsia="zh-CN"/>
        </w:rPr>
      </w:pPr>
      <w:r>
        <w:rPr>
          <w:rFonts w:hint="eastAsia"/>
          <w:sz w:val="24"/>
          <w:szCs w:val="24"/>
          <w:lang w:eastAsia="zh-CN"/>
        </w:rPr>
        <w:t>★</w:t>
      </w:r>
      <w:r>
        <w:rPr>
          <w:rFonts w:hint="eastAsia"/>
          <w:spacing w:val="-2"/>
          <w:w w:val="114"/>
          <w:sz w:val="24"/>
          <w:szCs w:val="24"/>
          <w:lang w:eastAsia="zh-CN"/>
        </w:rPr>
        <w:t>1.</w:t>
      </w:r>
      <w:r>
        <w:rPr>
          <w:rFonts w:hint="eastAsia"/>
          <w:sz w:val="24"/>
          <w:lang w:eastAsia="zh-CN"/>
        </w:rPr>
        <w:t>采购标的（货物需求一览表）</w:t>
      </w:r>
    </w:p>
    <w:tbl>
      <w:tblPr>
        <w:tblStyle w:val="4"/>
        <w:tblW w:w="9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1305"/>
        <w:gridCol w:w="2649"/>
        <w:gridCol w:w="1734"/>
        <w:gridCol w:w="2649"/>
      </w:tblGrid>
      <w:tr w14:paraId="10521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49" w:type="dxa"/>
            <w:vAlign w:val="center"/>
          </w:tcPr>
          <w:p w14:paraId="2E45857D">
            <w:pPr>
              <w:pStyle w:val="7"/>
              <w:jc w:val="center"/>
              <w:rPr>
                <w:rFonts w:hint="eastAsia"/>
                <w:sz w:val="24"/>
                <w:szCs w:val="24"/>
                <w:lang w:eastAsia="zh-CN"/>
              </w:rPr>
            </w:pPr>
            <w:r>
              <w:rPr>
                <w:rFonts w:hint="eastAsia"/>
                <w:b/>
                <w:bCs/>
                <w:sz w:val="24"/>
                <w:szCs w:val="24"/>
                <w:lang w:eastAsia="zh-CN"/>
              </w:rPr>
              <w:t>包号</w:t>
            </w:r>
          </w:p>
        </w:tc>
        <w:tc>
          <w:tcPr>
            <w:tcW w:w="1305" w:type="dxa"/>
            <w:vAlign w:val="center"/>
          </w:tcPr>
          <w:p w14:paraId="3C1EE367">
            <w:pPr>
              <w:pStyle w:val="7"/>
              <w:jc w:val="center"/>
              <w:rPr>
                <w:rFonts w:hint="eastAsia"/>
                <w:b/>
                <w:bCs/>
                <w:sz w:val="24"/>
                <w:szCs w:val="24"/>
                <w:lang w:eastAsia="zh-CN"/>
              </w:rPr>
            </w:pPr>
            <w:r>
              <w:rPr>
                <w:rFonts w:hint="eastAsia"/>
                <w:b/>
                <w:bCs/>
                <w:sz w:val="24"/>
                <w:szCs w:val="24"/>
                <w:lang w:eastAsia="zh-CN"/>
              </w:rPr>
              <w:t>品目号</w:t>
            </w:r>
          </w:p>
        </w:tc>
        <w:tc>
          <w:tcPr>
            <w:tcW w:w="2649" w:type="dxa"/>
            <w:vAlign w:val="center"/>
          </w:tcPr>
          <w:p w14:paraId="0806BBD7">
            <w:pPr>
              <w:pStyle w:val="7"/>
              <w:jc w:val="center"/>
              <w:rPr>
                <w:rFonts w:hint="eastAsia"/>
                <w:sz w:val="24"/>
                <w:szCs w:val="24"/>
                <w:lang w:eastAsia="zh-CN"/>
              </w:rPr>
            </w:pPr>
            <w:r>
              <w:rPr>
                <w:rFonts w:hint="eastAsia"/>
                <w:b/>
                <w:bCs/>
                <w:sz w:val="24"/>
                <w:szCs w:val="24"/>
                <w:lang w:eastAsia="zh-CN"/>
              </w:rPr>
              <w:t>标的名称</w:t>
            </w:r>
          </w:p>
        </w:tc>
        <w:tc>
          <w:tcPr>
            <w:tcW w:w="1734" w:type="dxa"/>
            <w:vAlign w:val="center"/>
          </w:tcPr>
          <w:p w14:paraId="0560DD48">
            <w:pPr>
              <w:pStyle w:val="7"/>
              <w:jc w:val="center"/>
              <w:rPr>
                <w:rFonts w:hint="eastAsia"/>
                <w:b/>
                <w:bCs/>
                <w:sz w:val="24"/>
                <w:szCs w:val="24"/>
                <w:lang w:eastAsia="zh-CN"/>
              </w:rPr>
            </w:pPr>
            <w:r>
              <w:rPr>
                <w:rFonts w:hint="eastAsia"/>
                <w:b/>
                <w:bCs/>
                <w:sz w:val="24"/>
                <w:szCs w:val="24"/>
              </w:rPr>
              <w:t>数量</w:t>
            </w:r>
          </w:p>
        </w:tc>
        <w:tc>
          <w:tcPr>
            <w:tcW w:w="2649" w:type="dxa"/>
            <w:vAlign w:val="center"/>
          </w:tcPr>
          <w:p w14:paraId="7015D324">
            <w:pPr>
              <w:pStyle w:val="7"/>
              <w:jc w:val="center"/>
              <w:rPr>
                <w:rFonts w:hint="eastAsia"/>
                <w:b/>
                <w:bCs/>
                <w:sz w:val="24"/>
                <w:szCs w:val="24"/>
              </w:rPr>
            </w:pPr>
            <w:r>
              <w:rPr>
                <w:rFonts w:hint="eastAsia"/>
                <w:b/>
                <w:bCs/>
                <w:sz w:val="24"/>
                <w:szCs w:val="24"/>
                <w:lang w:eastAsia="zh-CN"/>
              </w:rPr>
              <w:t>服务周期</w:t>
            </w:r>
          </w:p>
        </w:tc>
      </w:tr>
      <w:tr w14:paraId="48B66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49" w:type="dxa"/>
            <w:vMerge w:val="restart"/>
            <w:vAlign w:val="center"/>
          </w:tcPr>
          <w:p w14:paraId="37602FE3">
            <w:pPr>
              <w:pStyle w:val="7"/>
              <w:jc w:val="center"/>
              <w:rPr>
                <w:rFonts w:hint="eastAsia"/>
                <w:sz w:val="24"/>
                <w:szCs w:val="24"/>
                <w:lang w:eastAsia="zh-CN"/>
              </w:rPr>
            </w:pPr>
            <w:r>
              <w:rPr>
                <w:rFonts w:hint="eastAsia"/>
                <w:sz w:val="24"/>
                <w:szCs w:val="24"/>
                <w:lang w:eastAsia="zh-CN"/>
              </w:rPr>
              <w:t>1</w:t>
            </w:r>
          </w:p>
        </w:tc>
        <w:tc>
          <w:tcPr>
            <w:tcW w:w="1305" w:type="dxa"/>
            <w:vAlign w:val="center"/>
          </w:tcPr>
          <w:p w14:paraId="0019DE80">
            <w:pPr>
              <w:widowControl/>
              <w:jc w:val="center"/>
              <w:rPr>
                <w:rFonts w:hint="eastAsia"/>
                <w:sz w:val="24"/>
                <w:szCs w:val="24"/>
                <w:lang w:eastAsia="zh-CN"/>
              </w:rPr>
            </w:pPr>
            <w:r>
              <w:rPr>
                <w:rFonts w:hint="eastAsia"/>
                <w:sz w:val="24"/>
                <w:szCs w:val="24"/>
                <w:lang w:eastAsia="zh-CN"/>
              </w:rPr>
              <w:t>1-1</w:t>
            </w:r>
          </w:p>
        </w:tc>
        <w:tc>
          <w:tcPr>
            <w:tcW w:w="2649" w:type="dxa"/>
            <w:vAlign w:val="center"/>
          </w:tcPr>
          <w:p w14:paraId="7B798F77">
            <w:pPr>
              <w:widowControl/>
              <w:jc w:val="center"/>
              <w:rPr>
                <w:rFonts w:hint="eastAsia"/>
                <w:sz w:val="24"/>
                <w:szCs w:val="24"/>
                <w:lang w:eastAsia="zh-CN"/>
              </w:rPr>
            </w:pPr>
            <w:r>
              <w:rPr>
                <w:rFonts w:hint="eastAsia"/>
                <w:sz w:val="24"/>
                <w:szCs w:val="24"/>
              </w:rPr>
              <w:t>奥斯卡DIA蛋白</w:t>
            </w:r>
          </w:p>
        </w:tc>
        <w:tc>
          <w:tcPr>
            <w:tcW w:w="1734" w:type="dxa"/>
            <w:vAlign w:val="center"/>
          </w:tcPr>
          <w:p w14:paraId="0181C691">
            <w:pPr>
              <w:widowControl/>
              <w:jc w:val="center"/>
              <w:textAlignment w:val="center"/>
              <w:rPr>
                <w:rFonts w:hint="eastAsia"/>
                <w:sz w:val="24"/>
                <w:szCs w:val="24"/>
                <w:lang w:eastAsia="zh-CN"/>
              </w:rPr>
            </w:pPr>
            <w:r>
              <w:rPr>
                <w:rFonts w:hint="eastAsia"/>
                <w:color w:val="000000"/>
                <w:sz w:val="24"/>
                <w:szCs w:val="24"/>
                <w:lang w:eastAsia="zh-CN" w:bidi="ar"/>
              </w:rPr>
              <w:t>60例</w:t>
            </w:r>
          </w:p>
        </w:tc>
        <w:tc>
          <w:tcPr>
            <w:tcW w:w="2649" w:type="dxa"/>
            <w:vMerge w:val="restart"/>
            <w:vAlign w:val="center"/>
          </w:tcPr>
          <w:p w14:paraId="6AAB4D04">
            <w:pPr>
              <w:widowControl/>
              <w:jc w:val="center"/>
              <w:textAlignment w:val="center"/>
              <w:rPr>
                <w:rFonts w:hint="eastAsia"/>
                <w:color w:val="000000"/>
                <w:sz w:val="24"/>
                <w:szCs w:val="24"/>
                <w:lang w:eastAsia="zh-CN" w:bidi="ar"/>
              </w:rPr>
            </w:pPr>
            <w:r>
              <w:rPr>
                <w:rFonts w:hint="eastAsia"/>
                <w:bCs/>
                <w:sz w:val="24"/>
                <w:szCs w:val="24"/>
                <w:lang w:eastAsia="zh-CN"/>
              </w:rPr>
              <w:t>本采购项目实验周期45个工作日，服务周期3年，包括数据沟通与调整等，交付周期45个工作日。</w:t>
            </w:r>
          </w:p>
        </w:tc>
      </w:tr>
      <w:tr w14:paraId="353B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49" w:type="dxa"/>
            <w:vMerge w:val="continue"/>
            <w:vAlign w:val="center"/>
          </w:tcPr>
          <w:p w14:paraId="19F2300C">
            <w:pPr>
              <w:pStyle w:val="7"/>
              <w:jc w:val="center"/>
              <w:rPr>
                <w:rFonts w:hint="eastAsia"/>
                <w:sz w:val="24"/>
                <w:szCs w:val="24"/>
                <w:lang w:eastAsia="zh-CN"/>
              </w:rPr>
            </w:pPr>
          </w:p>
        </w:tc>
        <w:tc>
          <w:tcPr>
            <w:tcW w:w="1305" w:type="dxa"/>
            <w:vAlign w:val="center"/>
          </w:tcPr>
          <w:p w14:paraId="7B2A039D">
            <w:pPr>
              <w:widowControl/>
              <w:jc w:val="center"/>
              <w:rPr>
                <w:rFonts w:hint="eastAsia"/>
                <w:sz w:val="24"/>
                <w:szCs w:val="24"/>
                <w:lang w:eastAsia="zh-CN"/>
              </w:rPr>
            </w:pPr>
            <w:r>
              <w:rPr>
                <w:rFonts w:hint="eastAsia"/>
                <w:sz w:val="24"/>
                <w:szCs w:val="24"/>
                <w:lang w:eastAsia="zh-CN"/>
              </w:rPr>
              <w:t>1-2</w:t>
            </w:r>
          </w:p>
        </w:tc>
        <w:tc>
          <w:tcPr>
            <w:tcW w:w="2649" w:type="dxa"/>
            <w:vAlign w:val="center"/>
          </w:tcPr>
          <w:p w14:paraId="15D99446">
            <w:pPr>
              <w:widowControl/>
              <w:jc w:val="center"/>
              <w:rPr>
                <w:rFonts w:hint="eastAsia"/>
                <w:sz w:val="24"/>
                <w:szCs w:val="24"/>
                <w:lang w:eastAsia="zh-CN"/>
              </w:rPr>
            </w:pPr>
            <w:r>
              <w:rPr>
                <w:rFonts w:hint="eastAsia"/>
                <w:sz w:val="24"/>
                <w:szCs w:val="24"/>
              </w:rPr>
              <w:t>3'端单细胞转录组</w:t>
            </w:r>
          </w:p>
        </w:tc>
        <w:tc>
          <w:tcPr>
            <w:tcW w:w="1734" w:type="dxa"/>
            <w:vAlign w:val="center"/>
          </w:tcPr>
          <w:p w14:paraId="571A0D2E">
            <w:pPr>
              <w:widowControl/>
              <w:jc w:val="center"/>
              <w:textAlignment w:val="center"/>
              <w:rPr>
                <w:rFonts w:hint="eastAsia"/>
                <w:sz w:val="24"/>
                <w:szCs w:val="24"/>
                <w:lang w:eastAsia="zh-CN"/>
              </w:rPr>
            </w:pPr>
            <w:r>
              <w:rPr>
                <w:rFonts w:hint="eastAsia"/>
                <w:color w:val="000000"/>
                <w:sz w:val="24"/>
                <w:szCs w:val="24"/>
                <w:lang w:eastAsia="zh-CN" w:bidi="ar"/>
              </w:rPr>
              <w:t>60例</w:t>
            </w:r>
          </w:p>
        </w:tc>
        <w:tc>
          <w:tcPr>
            <w:tcW w:w="2649" w:type="dxa"/>
            <w:vMerge w:val="continue"/>
            <w:vAlign w:val="center"/>
          </w:tcPr>
          <w:p w14:paraId="1D78900E">
            <w:pPr>
              <w:widowControl/>
              <w:jc w:val="center"/>
              <w:textAlignment w:val="center"/>
              <w:rPr>
                <w:rFonts w:hint="eastAsia"/>
                <w:color w:val="000000"/>
                <w:sz w:val="24"/>
                <w:szCs w:val="24"/>
                <w:lang w:eastAsia="zh-CN" w:bidi="ar"/>
              </w:rPr>
            </w:pPr>
          </w:p>
        </w:tc>
      </w:tr>
      <w:tr w14:paraId="2E3C6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49" w:type="dxa"/>
            <w:vMerge w:val="restart"/>
            <w:vAlign w:val="center"/>
          </w:tcPr>
          <w:p w14:paraId="38D1C5D4">
            <w:pPr>
              <w:pStyle w:val="7"/>
              <w:jc w:val="center"/>
              <w:rPr>
                <w:rFonts w:hint="eastAsia"/>
                <w:sz w:val="24"/>
                <w:szCs w:val="24"/>
                <w:lang w:eastAsia="zh-CN"/>
              </w:rPr>
            </w:pPr>
            <w:r>
              <w:rPr>
                <w:rFonts w:hint="eastAsia"/>
                <w:sz w:val="24"/>
                <w:szCs w:val="24"/>
                <w:lang w:eastAsia="zh-CN"/>
              </w:rPr>
              <w:t>2</w:t>
            </w:r>
          </w:p>
        </w:tc>
        <w:tc>
          <w:tcPr>
            <w:tcW w:w="1305" w:type="dxa"/>
            <w:vAlign w:val="center"/>
          </w:tcPr>
          <w:p w14:paraId="629F2BA8">
            <w:pPr>
              <w:widowControl/>
              <w:jc w:val="center"/>
              <w:rPr>
                <w:rFonts w:hint="eastAsia"/>
                <w:sz w:val="24"/>
                <w:szCs w:val="24"/>
                <w:lang w:eastAsia="zh-CN"/>
              </w:rPr>
            </w:pPr>
            <w:r>
              <w:rPr>
                <w:rFonts w:hint="eastAsia"/>
                <w:sz w:val="24"/>
                <w:szCs w:val="24"/>
                <w:lang w:eastAsia="zh-CN"/>
              </w:rPr>
              <w:t>2-1</w:t>
            </w:r>
          </w:p>
        </w:tc>
        <w:tc>
          <w:tcPr>
            <w:tcW w:w="2649" w:type="dxa"/>
            <w:vAlign w:val="center"/>
          </w:tcPr>
          <w:p w14:paraId="0F5ABD7A">
            <w:pPr>
              <w:widowControl/>
              <w:jc w:val="center"/>
              <w:textAlignment w:val="center"/>
              <w:rPr>
                <w:rFonts w:hint="eastAsia"/>
                <w:sz w:val="24"/>
                <w:szCs w:val="24"/>
                <w:lang w:eastAsia="zh-CN"/>
              </w:rPr>
            </w:pPr>
            <w:r>
              <w:rPr>
                <w:rFonts w:hint="eastAsia"/>
                <w:color w:val="000000"/>
                <w:sz w:val="24"/>
                <w:szCs w:val="24"/>
                <w:lang w:eastAsia="zh-CN" w:bidi="ar"/>
              </w:rPr>
              <w:t>10X单细胞转录组测序</w:t>
            </w:r>
          </w:p>
        </w:tc>
        <w:tc>
          <w:tcPr>
            <w:tcW w:w="1734" w:type="dxa"/>
            <w:vAlign w:val="center"/>
          </w:tcPr>
          <w:p w14:paraId="2723A4F3">
            <w:pPr>
              <w:widowControl/>
              <w:jc w:val="center"/>
              <w:textAlignment w:val="center"/>
              <w:rPr>
                <w:rFonts w:hint="eastAsia"/>
                <w:sz w:val="24"/>
                <w:szCs w:val="24"/>
                <w:lang w:eastAsia="zh-CN"/>
              </w:rPr>
            </w:pPr>
            <w:r>
              <w:rPr>
                <w:rFonts w:hint="eastAsia"/>
                <w:color w:val="000000"/>
                <w:sz w:val="24"/>
                <w:szCs w:val="24"/>
                <w:lang w:eastAsia="zh-CN" w:bidi="ar"/>
              </w:rPr>
              <w:t>17例</w:t>
            </w:r>
          </w:p>
        </w:tc>
        <w:tc>
          <w:tcPr>
            <w:tcW w:w="2649" w:type="dxa"/>
            <w:vMerge w:val="restart"/>
            <w:vAlign w:val="center"/>
          </w:tcPr>
          <w:p w14:paraId="1D7BB786">
            <w:pPr>
              <w:widowControl/>
              <w:jc w:val="center"/>
              <w:textAlignment w:val="center"/>
              <w:rPr>
                <w:rFonts w:hint="eastAsia"/>
                <w:color w:val="000000"/>
                <w:sz w:val="24"/>
                <w:szCs w:val="24"/>
                <w:lang w:eastAsia="zh-CN" w:bidi="ar"/>
              </w:rPr>
            </w:pPr>
            <w:r>
              <w:rPr>
                <w:rFonts w:hint="eastAsia"/>
                <w:color w:val="000000"/>
                <w:sz w:val="24"/>
                <w:szCs w:val="24"/>
                <w:lang w:eastAsia="zh-CN" w:bidi="ar"/>
              </w:rPr>
              <w:t>本采购项目实验周期30个工作日，服务周期1年，包括数据沟通与调整等，交付周期30个工作日。</w:t>
            </w:r>
          </w:p>
        </w:tc>
      </w:tr>
      <w:tr w14:paraId="4E275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49" w:type="dxa"/>
            <w:vMerge w:val="continue"/>
            <w:vAlign w:val="center"/>
          </w:tcPr>
          <w:p w14:paraId="5D5B73FD">
            <w:pPr>
              <w:pStyle w:val="7"/>
              <w:jc w:val="center"/>
              <w:rPr>
                <w:rFonts w:hint="eastAsia"/>
                <w:sz w:val="24"/>
                <w:szCs w:val="24"/>
                <w:lang w:eastAsia="zh-CN"/>
              </w:rPr>
            </w:pPr>
          </w:p>
        </w:tc>
        <w:tc>
          <w:tcPr>
            <w:tcW w:w="1305" w:type="dxa"/>
            <w:vAlign w:val="center"/>
          </w:tcPr>
          <w:p w14:paraId="187D9BFC">
            <w:pPr>
              <w:widowControl/>
              <w:jc w:val="center"/>
              <w:rPr>
                <w:rFonts w:hint="eastAsia"/>
                <w:sz w:val="24"/>
                <w:szCs w:val="24"/>
                <w:lang w:eastAsia="zh-CN"/>
              </w:rPr>
            </w:pPr>
            <w:r>
              <w:rPr>
                <w:rFonts w:hint="eastAsia"/>
                <w:sz w:val="24"/>
                <w:szCs w:val="24"/>
                <w:lang w:eastAsia="zh-CN"/>
              </w:rPr>
              <w:t>2-2</w:t>
            </w:r>
          </w:p>
        </w:tc>
        <w:tc>
          <w:tcPr>
            <w:tcW w:w="2649" w:type="dxa"/>
            <w:vAlign w:val="center"/>
          </w:tcPr>
          <w:p w14:paraId="25D5DBAE">
            <w:pPr>
              <w:widowControl/>
              <w:jc w:val="center"/>
              <w:textAlignment w:val="center"/>
              <w:rPr>
                <w:rFonts w:hint="eastAsia"/>
                <w:sz w:val="24"/>
                <w:szCs w:val="24"/>
                <w:lang w:eastAsia="zh-CN"/>
              </w:rPr>
            </w:pPr>
            <w:r>
              <w:rPr>
                <w:rFonts w:hint="eastAsia"/>
                <w:color w:val="000000"/>
                <w:sz w:val="24"/>
                <w:szCs w:val="24"/>
                <w:lang w:eastAsia="zh-CN" w:bidi="ar"/>
              </w:rPr>
              <w:t>BD单细胞转录组测序</w:t>
            </w:r>
          </w:p>
        </w:tc>
        <w:tc>
          <w:tcPr>
            <w:tcW w:w="1734" w:type="dxa"/>
            <w:vAlign w:val="center"/>
          </w:tcPr>
          <w:p w14:paraId="1859607B">
            <w:pPr>
              <w:widowControl/>
              <w:jc w:val="center"/>
              <w:textAlignment w:val="center"/>
              <w:rPr>
                <w:rFonts w:hint="eastAsia"/>
                <w:sz w:val="24"/>
                <w:szCs w:val="24"/>
                <w:lang w:eastAsia="zh-CN"/>
              </w:rPr>
            </w:pPr>
            <w:r>
              <w:rPr>
                <w:rFonts w:hint="eastAsia"/>
                <w:color w:val="000000"/>
                <w:sz w:val="24"/>
                <w:szCs w:val="24"/>
                <w:lang w:eastAsia="zh-CN" w:bidi="ar"/>
              </w:rPr>
              <w:t>24例</w:t>
            </w:r>
          </w:p>
        </w:tc>
        <w:tc>
          <w:tcPr>
            <w:tcW w:w="2649" w:type="dxa"/>
            <w:vMerge w:val="continue"/>
            <w:vAlign w:val="center"/>
          </w:tcPr>
          <w:p w14:paraId="37D6FFFD">
            <w:pPr>
              <w:widowControl/>
              <w:jc w:val="center"/>
              <w:textAlignment w:val="center"/>
              <w:rPr>
                <w:rFonts w:hint="eastAsia"/>
                <w:color w:val="000000"/>
                <w:sz w:val="24"/>
                <w:szCs w:val="24"/>
                <w:lang w:eastAsia="zh-CN" w:bidi="ar"/>
              </w:rPr>
            </w:pPr>
          </w:p>
        </w:tc>
      </w:tr>
      <w:tr w14:paraId="6CF76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49" w:type="dxa"/>
            <w:vMerge w:val="restart"/>
            <w:vAlign w:val="center"/>
          </w:tcPr>
          <w:p w14:paraId="55DA853C">
            <w:pPr>
              <w:pStyle w:val="7"/>
              <w:jc w:val="center"/>
              <w:rPr>
                <w:rFonts w:hint="eastAsia"/>
                <w:sz w:val="24"/>
                <w:szCs w:val="24"/>
                <w:lang w:eastAsia="zh-CN"/>
              </w:rPr>
            </w:pPr>
            <w:r>
              <w:rPr>
                <w:rFonts w:hint="eastAsia"/>
                <w:sz w:val="24"/>
                <w:szCs w:val="24"/>
                <w:lang w:eastAsia="zh-CN"/>
              </w:rPr>
              <w:t>3</w:t>
            </w:r>
          </w:p>
        </w:tc>
        <w:tc>
          <w:tcPr>
            <w:tcW w:w="1305" w:type="dxa"/>
            <w:vAlign w:val="center"/>
          </w:tcPr>
          <w:p w14:paraId="3B363885">
            <w:pPr>
              <w:widowControl/>
              <w:jc w:val="center"/>
              <w:rPr>
                <w:rFonts w:hint="eastAsia"/>
                <w:sz w:val="24"/>
                <w:szCs w:val="24"/>
                <w:lang w:eastAsia="zh-CN"/>
              </w:rPr>
            </w:pPr>
            <w:r>
              <w:rPr>
                <w:rFonts w:hint="eastAsia"/>
                <w:sz w:val="24"/>
                <w:szCs w:val="24"/>
                <w:lang w:eastAsia="zh-CN"/>
              </w:rPr>
              <w:t>3-1</w:t>
            </w:r>
          </w:p>
        </w:tc>
        <w:tc>
          <w:tcPr>
            <w:tcW w:w="2649" w:type="dxa"/>
            <w:vAlign w:val="center"/>
          </w:tcPr>
          <w:p w14:paraId="2A232B79">
            <w:pPr>
              <w:widowControl/>
              <w:jc w:val="center"/>
              <w:rPr>
                <w:rFonts w:hint="eastAsia"/>
                <w:sz w:val="24"/>
                <w:szCs w:val="24"/>
                <w:lang w:eastAsia="zh-CN"/>
              </w:rPr>
            </w:pPr>
            <w:r>
              <w:rPr>
                <w:rFonts w:hint="eastAsia"/>
                <w:sz w:val="24"/>
                <w:szCs w:val="24"/>
                <w:lang w:eastAsia="zh-CN"/>
              </w:rPr>
              <w:t>10x Genomics 3端单细胞转录组测序分析</w:t>
            </w:r>
          </w:p>
        </w:tc>
        <w:tc>
          <w:tcPr>
            <w:tcW w:w="1734" w:type="dxa"/>
            <w:vAlign w:val="center"/>
          </w:tcPr>
          <w:p w14:paraId="22477CAD">
            <w:pPr>
              <w:widowControl/>
              <w:jc w:val="center"/>
              <w:textAlignment w:val="center"/>
              <w:rPr>
                <w:rFonts w:hint="eastAsia"/>
                <w:sz w:val="24"/>
                <w:szCs w:val="24"/>
                <w:lang w:eastAsia="zh-CN"/>
              </w:rPr>
            </w:pPr>
            <w:r>
              <w:rPr>
                <w:rFonts w:hint="eastAsia"/>
                <w:color w:val="000000"/>
                <w:sz w:val="24"/>
                <w:szCs w:val="24"/>
                <w:lang w:eastAsia="zh-CN" w:bidi="ar"/>
              </w:rPr>
              <w:t>16例</w:t>
            </w:r>
          </w:p>
        </w:tc>
        <w:tc>
          <w:tcPr>
            <w:tcW w:w="2649" w:type="dxa"/>
            <w:vAlign w:val="center"/>
          </w:tcPr>
          <w:p w14:paraId="2B86C9C6">
            <w:pPr>
              <w:widowControl/>
              <w:jc w:val="center"/>
              <w:textAlignment w:val="center"/>
              <w:rPr>
                <w:rFonts w:hint="eastAsia"/>
                <w:color w:val="000000"/>
                <w:sz w:val="24"/>
                <w:szCs w:val="24"/>
                <w:lang w:eastAsia="zh-CN" w:bidi="ar"/>
              </w:rPr>
            </w:pPr>
            <w:r>
              <w:rPr>
                <w:rFonts w:hint="eastAsia"/>
                <w:bCs/>
                <w:sz w:val="24"/>
                <w:szCs w:val="24"/>
                <w:lang w:eastAsia="zh-CN"/>
              </w:rPr>
              <w:t>单次送样8个样本以下40个自然日，法定假期顺延。</w:t>
            </w:r>
            <w:r>
              <w:rPr>
                <w:rFonts w:hint="eastAsia"/>
                <w:bCs/>
                <w:sz w:val="24"/>
                <w:szCs w:val="24"/>
              </w:rPr>
              <w:t>服务周期2年。</w:t>
            </w:r>
          </w:p>
        </w:tc>
      </w:tr>
      <w:tr w14:paraId="3B48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49" w:type="dxa"/>
            <w:vMerge w:val="continue"/>
            <w:vAlign w:val="center"/>
          </w:tcPr>
          <w:p w14:paraId="6AD0B012">
            <w:pPr>
              <w:pStyle w:val="7"/>
              <w:jc w:val="center"/>
              <w:rPr>
                <w:rFonts w:hint="eastAsia"/>
                <w:sz w:val="24"/>
                <w:szCs w:val="24"/>
                <w:lang w:eastAsia="zh-CN"/>
              </w:rPr>
            </w:pPr>
          </w:p>
        </w:tc>
        <w:tc>
          <w:tcPr>
            <w:tcW w:w="1305" w:type="dxa"/>
            <w:vAlign w:val="center"/>
          </w:tcPr>
          <w:p w14:paraId="62FF910E">
            <w:pPr>
              <w:widowControl/>
              <w:jc w:val="center"/>
              <w:rPr>
                <w:rFonts w:hint="eastAsia"/>
                <w:sz w:val="24"/>
                <w:szCs w:val="24"/>
                <w:lang w:eastAsia="zh-CN"/>
              </w:rPr>
            </w:pPr>
            <w:r>
              <w:rPr>
                <w:rFonts w:hint="eastAsia"/>
                <w:sz w:val="24"/>
                <w:szCs w:val="24"/>
                <w:lang w:eastAsia="zh-CN"/>
              </w:rPr>
              <w:t>3-2</w:t>
            </w:r>
          </w:p>
        </w:tc>
        <w:tc>
          <w:tcPr>
            <w:tcW w:w="2649" w:type="dxa"/>
            <w:vAlign w:val="center"/>
          </w:tcPr>
          <w:p w14:paraId="016CC34C">
            <w:pPr>
              <w:widowControl/>
              <w:jc w:val="center"/>
              <w:rPr>
                <w:rFonts w:hint="eastAsia"/>
                <w:sz w:val="24"/>
                <w:szCs w:val="24"/>
                <w:lang w:eastAsia="zh-CN"/>
              </w:rPr>
            </w:pPr>
            <w:r>
              <w:rPr>
                <w:rFonts w:hint="eastAsia"/>
                <w:sz w:val="24"/>
                <w:szCs w:val="24"/>
              </w:rPr>
              <w:t>转录组测序分析</w:t>
            </w:r>
          </w:p>
        </w:tc>
        <w:tc>
          <w:tcPr>
            <w:tcW w:w="1734" w:type="dxa"/>
            <w:vAlign w:val="center"/>
          </w:tcPr>
          <w:p w14:paraId="448CDBBA">
            <w:pPr>
              <w:widowControl/>
              <w:jc w:val="center"/>
              <w:textAlignment w:val="center"/>
              <w:rPr>
                <w:rFonts w:hint="eastAsia"/>
                <w:sz w:val="24"/>
                <w:szCs w:val="24"/>
                <w:lang w:eastAsia="zh-CN"/>
              </w:rPr>
            </w:pPr>
            <w:r>
              <w:rPr>
                <w:rFonts w:hint="eastAsia"/>
                <w:color w:val="000000"/>
                <w:sz w:val="24"/>
                <w:szCs w:val="24"/>
                <w:lang w:eastAsia="zh-CN" w:bidi="ar"/>
              </w:rPr>
              <w:t>160例</w:t>
            </w:r>
          </w:p>
        </w:tc>
        <w:tc>
          <w:tcPr>
            <w:tcW w:w="2649" w:type="dxa"/>
            <w:vAlign w:val="center"/>
          </w:tcPr>
          <w:p w14:paraId="6AD65359">
            <w:pPr>
              <w:widowControl/>
              <w:jc w:val="center"/>
              <w:textAlignment w:val="center"/>
              <w:rPr>
                <w:rFonts w:hint="eastAsia"/>
                <w:color w:val="000000"/>
                <w:sz w:val="24"/>
                <w:szCs w:val="24"/>
                <w:lang w:eastAsia="zh-CN" w:bidi="ar"/>
              </w:rPr>
            </w:pPr>
            <w:r>
              <w:rPr>
                <w:rFonts w:hint="eastAsia"/>
                <w:bCs/>
                <w:sz w:val="24"/>
                <w:szCs w:val="24"/>
                <w:lang w:eastAsia="zh-CN"/>
              </w:rPr>
              <w:t>样本质检合格确认建库开始，单次送样30个样本以下，21个自然日，法定假期顺延。</w:t>
            </w:r>
            <w:r>
              <w:rPr>
                <w:rFonts w:hint="eastAsia"/>
                <w:bCs/>
                <w:sz w:val="24"/>
                <w:szCs w:val="24"/>
              </w:rPr>
              <w:t>服务周期2年。</w:t>
            </w:r>
          </w:p>
        </w:tc>
      </w:tr>
      <w:tr w14:paraId="6A1A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49" w:type="dxa"/>
            <w:vMerge w:val="restart"/>
            <w:vAlign w:val="center"/>
          </w:tcPr>
          <w:p w14:paraId="64C01CA3">
            <w:pPr>
              <w:pStyle w:val="7"/>
              <w:jc w:val="center"/>
              <w:rPr>
                <w:rFonts w:hint="eastAsia"/>
                <w:sz w:val="24"/>
                <w:szCs w:val="24"/>
                <w:lang w:eastAsia="zh-CN"/>
              </w:rPr>
            </w:pPr>
            <w:r>
              <w:rPr>
                <w:rFonts w:hint="eastAsia"/>
                <w:sz w:val="24"/>
                <w:szCs w:val="24"/>
                <w:lang w:eastAsia="zh-CN"/>
              </w:rPr>
              <w:t>4</w:t>
            </w:r>
          </w:p>
        </w:tc>
        <w:tc>
          <w:tcPr>
            <w:tcW w:w="1305" w:type="dxa"/>
            <w:vAlign w:val="center"/>
          </w:tcPr>
          <w:p w14:paraId="39179466">
            <w:pPr>
              <w:widowControl/>
              <w:jc w:val="center"/>
              <w:rPr>
                <w:rFonts w:hint="eastAsia"/>
                <w:sz w:val="24"/>
                <w:szCs w:val="24"/>
                <w:lang w:eastAsia="zh-CN"/>
              </w:rPr>
            </w:pPr>
            <w:r>
              <w:rPr>
                <w:rFonts w:hint="eastAsia"/>
                <w:sz w:val="24"/>
                <w:szCs w:val="24"/>
                <w:lang w:eastAsia="zh-CN"/>
              </w:rPr>
              <w:t>4-1</w:t>
            </w:r>
          </w:p>
        </w:tc>
        <w:tc>
          <w:tcPr>
            <w:tcW w:w="2649" w:type="dxa"/>
            <w:vAlign w:val="center"/>
          </w:tcPr>
          <w:p w14:paraId="58A4D835">
            <w:pPr>
              <w:widowControl/>
              <w:jc w:val="center"/>
              <w:rPr>
                <w:rFonts w:hint="eastAsia"/>
                <w:sz w:val="24"/>
                <w:szCs w:val="24"/>
                <w:lang w:eastAsia="zh-CN"/>
              </w:rPr>
            </w:pPr>
            <w:r>
              <w:rPr>
                <w:rFonts w:hint="eastAsia"/>
                <w:sz w:val="24"/>
                <w:szCs w:val="24"/>
              </w:rPr>
              <w:t>单细胞转录组测序</w:t>
            </w:r>
          </w:p>
        </w:tc>
        <w:tc>
          <w:tcPr>
            <w:tcW w:w="1734" w:type="dxa"/>
            <w:vAlign w:val="center"/>
          </w:tcPr>
          <w:p w14:paraId="47074A36">
            <w:pPr>
              <w:widowControl/>
              <w:jc w:val="center"/>
              <w:textAlignment w:val="center"/>
              <w:rPr>
                <w:rFonts w:hint="eastAsia"/>
                <w:sz w:val="24"/>
                <w:szCs w:val="24"/>
                <w:lang w:eastAsia="zh-CN"/>
              </w:rPr>
            </w:pPr>
            <w:r>
              <w:rPr>
                <w:rFonts w:hint="eastAsia"/>
                <w:color w:val="000000"/>
                <w:sz w:val="24"/>
                <w:szCs w:val="24"/>
                <w:lang w:eastAsia="zh-CN" w:bidi="ar"/>
              </w:rPr>
              <w:t>24例</w:t>
            </w:r>
          </w:p>
        </w:tc>
        <w:tc>
          <w:tcPr>
            <w:tcW w:w="2649" w:type="dxa"/>
            <w:vMerge w:val="restart"/>
            <w:vAlign w:val="center"/>
          </w:tcPr>
          <w:p w14:paraId="7DB6D51A">
            <w:pPr>
              <w:widowControl/>
              <w:jc w:val="center"/>
              <w:textAlignment w:val="center"/>
              <w:rPr>
                <w:rFonts w:hint="eastAsia"/>
                <w:color w:val="000000"/>
                <w:sz w:val="24"/>
                <w:szCs w:val="24"/>
                <w:lang w:eastAsia="zh-CN" w:bidi="ar"/>
              </w:rPr>
            </w:pPr>
            <w:r>
              <w:rPr>
                <w:rFonts w:hint="eastAsia"/>
                <w:bCs/>
                <w:sz w:val="24"/>
                <w:szCs w:val="24"/>
                <w:lang w:eastAsia="zh-CN"/>
              </w:rPr>
              <w:t>本采购项目实验周期20个工作日，服务周期2年，包括数据沟通与调整等，交付周期20个工作日。</w:t>
            </w:r>
          </w:p>
        </w:tc>
      </w:tr>
      <w:tr w14:paraId="00097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49" w:type="dxa"/>
            <w:vMerge w:val="continue"/>
            <w:vAlign w:val="center"/>
          </w:tcPr>
          <w:p w14:paraId="0BD60E56">
            <w:pPr>
              <w:pStyle w:val="7"/>
              <w:jc w:val="center"/>
              <w:rPr>
                <w:rFonts w:hint="eastAsia"/>
                <w:sz w:val="24"/>
                <w:szCs w:val="24"/>
                <w:lang w:eastAsia="zh-CN"/>
              </w:rPr>
            </w:pPr>
          </w:p>
        </w:tc>
        <w:tc>
          <w:tcPr>
            <w:tcW w:w="1305" w:type="dxa"/>
            <w:vAlign w:val="center"/>
          </w:tcPr>
          <w:p w14:paraId="2DF0A959">
            <w:pPr>
              <w:widowControl/>
              <w:jc w:val="center"/>
              <w:rPr>
                <w:rFonts w:hint="eastAsia"/>
                <w:sz w:val="24"/>
                <w:szCs w:val="24"/>
                <w:lang w:eastAsia="zh-CN"/>
              </w:rPr>
            </w:pPr>
            <w:r>
              <w:rPr>
                <w:rFonts w:hint="eastAsia"/>
                <w:sz w:val="24"/>
                <w:szCs w:val="24"/>
                <w:lang w:eastAsia="zh-CN"/>
              </w:rPr>
              <w:t>4-2</w:t>
            </w:r>
          </w:p>
        </w:tc>
        <w:tc>
          <w:tcPr>
            <w:tcW w:w="2649" w:type="dxa"/>
            <w:vAlign w:val="center"/>
          </w:tcPr>
          <w:p w14:paraId="049D8657">
            <w:pPr>
              <w:widowControl/>
              <w:jc w:val="center"/>
              <w:rPr>
                <w:rFonts w:hint="eastAsia"/>
                <w:sz w:val="24"/>
                <w:szCs w:val="24"/>
                <w:lang w:eastAsia="zh-CN"/>
              </w:rPr>
            </w:pPr>
            <w:r>
              <w:rPr>
                <w:rFonts w:hint="eastAsia"/>
                <w:sz w:val="24"/>
                <w:szCs w:val="24"/>
              </w:rPr>
              <w:t>普通转录组测序</w:t>
            </w:r>
          </w:p>
        </w:tc>
        <w:tc>
          <w:tcPr>
            <w:tcW w:w="1734" w:type="dxa"/>
            <w:vAlign w:val="center"/>
          </w:tcPr>
          <w:p w14:paraId="2A376444">
            <w:pPr>
              <w:widowControl/>
              <w:jc w:val="center"/>
              <w:textAlignment w:val="center"/>
              <w:rPr>
                <w:rFonts w:hint="eastAsia"/>
                <w:sz w:val="24"/>
                <w:szCs w:val="24"/>
                <w:lang w:eastAsia="zh-CN"/>
              </w:rPr>
            </w:pPr>
            <w:r>
              <w:rPr>
                <w:rFonts w:hint="eastAsia"/>
                <w:color w:val="000000"/>
                <w:sz w:val="24"/>
                <w:szCs w:val="24"/>
                <w:lang w:eastAsia="zh-CN" w:bidi="ar"/>
              </w:rPr>
              <w:t>100例</w:t>
            </w:r>
          </w:p>
        </w:tc>
        <w:tc>
          <w:tcPr>
            <w:tcW w:w="2649" w:type="dxa"/>
            <w:vMerge w:val="continue"/>
            <w:vAlign w:val="center"/>
          </w:tcPr>
          <w:p w14:paraId="2A0E4212">
            <w:pPr>
              <w:widowControl/>
              <w:jc w:val="center"/>
              <w:textAlignment w:val="center"/>
              <w:rPr>
                <w:rFonts w:hint="eastAsia"/>
                <w:color w:val="000000"/>
                <w:sz w:val="24"/>
                <w:szCs w:val="24"/>
                <w:lang w:eastAsia="zh-CN" w:bidi="ar"/>
              </w:rPr>
            </w:pPr>
          </w:p>
        </w:tc>
      </w:tr>
    </w:tbl>
    <w:p w14:paraId="07193890">
      <w:pPr>
        <w:pStyle w:val="8"/>
        <w:tabs>
          <w:tab w:val="left" w:pos="1197"/>
        </w:tabs>
        <w:spacing w:before="0" w:line="486" w:lineRule="exact"/>
        <w:ind w:left="0" w:right="233" w:firstLine="0"/>
        <w:jc w:val="both"/>
        <w:rPr>
          <w:rFonts w:hint="eastAsia"/>
          <w:b/>
          <w:bCs/>
          <w:sz w:val="24"/>
          <w:lang w:eastAsia="zh-CN"/>
        </w:rPr>
      </w:pPr>
      <w:r>
        <w:rPr>
          <w:rFonts w:hint="eastAsia"/>
          <w:b/>
          <w:bCs/>
          <w:sz w:val="24"/>
          <w:lang w:eastAsia="zh-CN"/>
        </w:rPr>
        <w:t>二、商务要求</w:t>
      </w:r>
    </w:p>
    <w:p w14:paraId="6D9B9F43">
      <w:pPr>
        <w:pStyle w:val="8"/>
        <w:tabs>
          <w:tab w:val="left" w:pos="1197"/>
        </w:tabs>
        <w:spacing w:before="0" w:line="486" w:lineRule="exact"/>
        <w:ind w:left="0" w:right="233" w:firstLine="0"/>
        <w:jc w:val="both"/>
        <w:rPr>
          <w:rFonts w:hint="eastAsia"/>
          <w:b/>
          <w:bCs/>
          <w:sz w:val="24"/>
          <w:szCs w:val="24"/>
          <w:lang w:eastAsia="zh-CN"/>
        </w:rPr>
      </w:pPr>
      <w:r>
        <w:rPr>
          <w:rFonts w:hint="eastAsia"/>
          <w:b/>
          <w:bCs/>
          <w:sz w:val="24"/>
          <w:szCs w:val="24"/>
          <w:lang w:eastAsia="zh-CN"/>
        </w:rPr>
        <w:t>1.采购项目交付或者服务的时间和地点：</w:t>
      </w:r>
    </w:p>
    <w:p w14:paraId="0639C89F">
      <w:pPr>
        <w:pStyle w:val="8"/>
        <w:tabs>
          <w:tab w:val="left" w:pos="1197"/>
        </w:tabs>
        <w:spacing w:before="0" w:line="486" w:lineRule="exact"/>
        <w:ind w:left="0" w:right="233" w:firstLine="0"/>
        <w:jc w:val="both"/>
        <w:rPr>
          <w:rFonts w:hint="eastAsia"/>
          <w:sz w:val="24"/>
          <w:szCs w:val="24"/>
          <w:lang w:eastAsia="zh-CN"/>
        </w:rPr>
      </w:pPr>
      <w:r>
        <w:rPr>
          <w:rFonts w:hint="eastAsia"/>
          <w:sz w:val="24"/>
          <w:szCs w:val="24"/>
          <w:lang w:eastAsia="zh-CN"/>
        </w:rPr>
        <w:t>1.1交付时间：按采购人要求。</w:t>
      </w:r>
    </w:p>
    <w:p w14:paraId="71D21FCD">
      <w:pPr>
        <w:pStyle w:val="8"/>
        <w:tabs>
          <w:tab w:val="left" w:pos="1197"/>
        </w:tabs>
        <w:spacing w:before="0" w:line="486" w:lineRule="exact"/>
        <w:ind w:left="0" w:right="233" w:firstLine="0"/>
        <w:jc w:val="both"/>
        <w:rPr>
          <w:rFonts w:hint="eastAsia"/>
          <w:sz w:val="24"/>
          <w:szCs w:val="24"/>
          <w:lang w:eastAsia="zh-CN"/>
        </w:rPr>
      </w:pPr>
      <w:r>
        <w:rPr>
          <w:rFonts w:hint="eastAsia"/>
          <w:sz w:val="24"/>
          <w:szCs w:val="24"/>
          <w:lang w:eastAsia="zh-CN"/>
        </w:rPr>
        <w:t>1.2服务地点：采购人指定地点。</w:t>
      </w:r>
    </w:p>
    <w:p w14:paraId="251AE37A">
      <w:pPr>
        <w:pStyle w:val="8"/>
        <w:tabs>
          <w:tab w:val="left" w:pos="1197"/>
        </w:tabs>
        <w:spacing w:before="0" w:line="486" w:lineRule="exact"/>
        <w:ind w:left="0" w:right="233" w:firstLine="0"/>
        <w:jc w:val="both"/>
        <w:rPr>
          <w:rFonts w:hint="eastAsia"/>
          <w:sz w:val="24"/>
          <w:szCs w:val="24"/>
          <w:lang w:eastAsia="zh-CN"/>
        </w:rPr>
      </w:pPr>
      <w:r>
        <w:rPr>
          <w:rFonts w:hint="eastAsia"/>
          <w:b/>
          <w:bCs/>
          <w:sz w:val="24"/>
          <w:szCs w:val="24"/>
          <w:lang w:eastAsia="zh-CN"/>
        </w:rPr>
        <w:t>2.付款条件（进度和方式）</w:t>
      </w:r>
      <w:r>
        <w:rPr>
          <w:rFonts w:hint="eastAsia"/>
          <w:sz w:val="24"/>
          <w:szCs w:val="24"/>
          <w:lang w:eastAsia="zh-CN"/>
        </w:rPr>
        <w:t>：详见“采购合同”。</w:t>
      </w:r>
    </w:p>
    <w:p w14:paraId="1395774B">
      <w:pPr>
        <w:pStyle w:val="6"/>
        <w:tabs>
          <w:tab w:val="left" w:pos="470"/>
        </w:tabs>
        <w:spacing w:before="0" w:line="486" w:lineRule="exact"/>
        <w:ind w:left="0" w:right="6546" w:firstLine="0"/>
        <w:jc w:val="both"/>
        <w:rPr>
          <w:rFonts w:hint="eastAsia"/>
          <w:sz w:val="24"/>
          <w:szCs w:val="24"/>
          <w:lang w:eastAsia="zh-CN"/>
        </w:rPr>
      </w:pPr>
      <w:r>
        <w:rPr>
          <w:rFonts w:hint="eastAsia"/>
          <w:b/>
          <w:bCs/>
          <w:sz w:val="24"/>
          <w:szCs w:val="24"/>
          <w:lang w:eastAsia="zh-CN"/>
        </w:rPr>
        <w:t>三、技术要求</w:t>
      </w:r>
    </w:p>
    <w:p w14:paraId="680E4605">
      <w:pPr>
        <w:spacing w:line="486" w:lineRule="exact"/>
        <w:ind w:firstLine="241" w:firstLineChars="100"/>
        <w:contextualSpacing/>
        <w:rPr>
          <w:rFonts w:hint="eastAsia"/>
          <w:b/>
          <w:bCs/>
          <w:sz w:val="24"/>
          <w:szCs w:val="24"/>
          <w:lang w:eastAsia="zh-CN"/>
        </w:rPr>
      </w:pPr>
      <w:r>
        <w:rPr>
          <w:rFonts w:hint="eastAsia"/>
          <w:b/>
          <w:bCs/>
          <w:sz w:val="24"/>
          <w:szCs w:val="24"/>
          <w:lang w:eastAsia="zh-CN"/>
        </w:rPr>
        <w:t>1. 基本要求</w:t>
      </w:r>
    </w:p>
    <w:p w14:paraId="06A11C7D">
      <w:pPr>
        <w:spacing w:line="486" w:lineRule="exact"/>
        <w:ind w:firstLine="241" w:firstLineChars="100"/>
        <w:contextualSpacing/>
        <w:rPr>
          <w:rFonts w:hint="eastAsia"/>
          <w:b/>
          <w:bCs/>
          <w:sz w:val="24"/>
          <w:szCs w:val="24"/>
          <w:lang w:eastAsia="zh-CN"/>
        </w:rPr>
      </w:pPr>
      <w:r>
        <w:rPr>
          <w:rFonts w:hint="eastAsia"/>
          <w:b/>
          <w:bCs/>
          <w:sz w:val="24"/>
          <w:szCs w:val="24"/>
          <w:lang w:eastAsia="zh-CN"/>
        </w:rPr>
        <w:t>1.1 采购标的需实现的功能或者目标</w:t>
      </w:r>
    </w:p>
    <w:p w14:paraId="5CB5AACD">
      <w:pPr>
        <w:adjustRightInd w:val="0"/>
        <w:spacing w:line="486" w:lineRule="exact"/>
        <w:ind w:firstLine="480" w:firstLineChars="200"/>
        <w:rPr>
          <w:rFonts w:hint="eastAsia"/>
          <w:sz w:val="24"/>
          <w:szCs w:val="24"/>
          <w:lang w:eastAsia="zh-CN"/>
        </w:rPr>
      </w:pPr>
      <w:r>
        <w:rPr>
          <w:rFonts w:hint="eastAsia"/>
          <w:sz w:val="24"/>
          <w:szCs w:val="24"/>
          <w:lang w:eastAsia="zh-CN"/>
        </w:rPr>
        <w:t>本次招标采购是为北京市耳鼻咽喉科研究所（北京市耳鼻咽喉头颈外科</w:t>
      </w:r>
    </w:p>
    <w:p w14:paraId="6DCEA5BF">
      <w:pPr>
        <w:adjustRightInd w:val="0"/>
        <w:spacing w:line="486" w:lineRule="exact"/>
        <w:rPr>
          <w:rFonts w:hint="eastAsia"/>
          <w:sz w:val="24"/>
          <w:szCs w:val="24"/>
          <w:lang w:eastAsia="zh-CN"/>
        </w:rPr>
      </w:pPr>
      <w:r>
        <w:rPr>
          <w:rFonts w:hint="eastAsia"/>
          <w:sz w:val="24"/>
          <w:szCs w:val="24"/>
          <w:lang w:eastAsia="zh-CN"/>
        </w:rPr>
        <w:t>研究中心）提供“难治性慢性鼻窦炎的创新诊疗研究”相关测序分析服务，供应商应根据招标文件所提出的技术规格和服务要求，以先进的技术、优良的服务和优惠的价格，充分显示自己的竞争实力。</w:t>
      </w:r>
    </w:p>
    <w:p w14:paraId="2BB99563">
      <w:pPr>
        <w:spacing w:line="486" w:lineRule="exact"/>
        <w:ind w:firstLine="241" w:firstLineChars="100"/>
        <w:contextualSpacing/>
        <w:rPr>
          <w:rFonts w:hint="eastAsia"/>
          <w:sz w:val="24"/>
          <w:szCs w:val="24"/>
          <w:lang w:eastAsia="zh-CN"/>
        </w:rPr>
      </w:pPr>
      <w:r>
        <w:rPr>
          <w:rFonts w:hint="eastAsia"/>
          <w:b/>
          <w:bCs/>
          <w:sz w:val="24"/>
          <w:szCs w:val="24"/>
          <w:lang w:eastAsia="zh-CN"/>
        </w:rPr>
        <w:t>1.2 需执行的国家相关标准、行业标准、地方标准或者其他标准、规范</w:t>
      </w:r>
    </w:p>
    <w:p w14:paraId="09A4BA54">
      <w:pPr>
        <w:spacing w:line="486" w:lineRule="exact"/>
        <w:ind w:firstLine="240" w:firstLineChars="100"/>
        <w:contextualSpacing/>
        <w:rPr>
          <w:rFonts w:hint="eastAsia"/>
          <w:sz w:val="24"/>
          <w:szCs w:val="24"/>
          <w:lang w:eastAsia="zh-CN"/>
        </w:rPr>
      </w:pPr>
      <w:r>
        <w:rPr>
          <w:rFonts w:hint="eastAsia"/>
          <w:sz w:val="24"/>
          <w:szCs w:val="24"/>
          <w:lang w:eastAsia="zh-CN"/>
        </w:rPr>
        <w:t>供应商应保证所提供的服务符合国家相关法律法规的要求。</w:t>
      </w:r>
    </w:p>
    <w:p w14:paraId="0F8CE74F">
      <w:pPr>
        <w:spacing w:line="486" w:lineRule="exact"/>
        <w:ind w:firstLine="241" w:firstLineChars="100"/>
        <w:contextualSpacing/>
        <w:rPr>
          <w:rFonts w:hint="eastAsia"/>
          <w:b/>
          <w:bCs/>
          <w:sz w:val="24"/>
          <w:szCs w:val="24"/>
          <w:lang w:eastAsia="zh-CN"/>
        </w:rPr>
      </w:pPr>
      <w:r>
        <w:rPr>
          <w:rFonts w:hint="eastAsia"/>
          <w:b/>
          <w:bCs/>
          <w:sz w:val="24"/>
          <w:szCs w:val="24"/>
          <w:lang w:eastAsia="zh-CN"/>
        </w:rPr>
        <w:t>2.服务内容及要求</w:t>
      </w:r>
    </w:p>
    <w:p w14:paraId="2B927D6B">
      <w:pPr>
        <w:widowControl/>
        <w:spacing w:line="486" w:lineRule="exact"/>
        <w:ind w:left="-1" w:firstLine="241" w:firstLineChars="100"/>
        <w:contextualSpacing/>
        <w:rPr>
          <w:rFonts w:hint="eastAsia"/>
          <w:b/>
          <w:bCs/>
          <w:color w:val="FF0000"/>
          <w:sz w:val="24"/>
          <w:szCs w:val="24"/>
          <w:lang w:eastAsia="zh-CN"/>
        </w:rPr>
      </w:pPr>
      <w:r>
        <w:rPr>
          <w:rFonts w:hint="eastAsia"/>
          <w:b/>
          <w:bCs/>
          <w:sz w:val="24"/>
          <w:szCs w:val="24"/>
          <w:lang w:eastAsia="zh-CN"/>
        </w:rPr>
        <w:t>2.1 采购标的需满足的、质量、安全、技术规格、物理特性等要求；</w:t>
      </w:r>
    </w:p>
    <w:p w14:paraId="2DE242CC">
      <w:pPr>
        <w:pStyle w:val="2"/>
        <w:jc w:val="center"/>
        <w:rPr>
          <w:rFonts w:hint="eastAsia"/>
          <w:b/>
          <w:bCs/>
          <w:sz w:val="32"/>
          <w:szCs w:val="32"/>
          <w:lang w:eastAsia="zh-CN"/>
        </w:rPr>
      </w:pPr>
    </w:p>
    <w:p w14:paraId="5C29462D">
      <w:pPr>
        <w:pStyle w:val="2"/>
        <w:jc w:val="center"/>
        <w:rPr>
          <w:rFonts w:hint="eastAsia"/>
          <w:b/>
          <w:bCs/>
          <w:sz w:val="32"/>
          <w:szCs w:val="32"/>
          <w:lang w:eastAsia="zh-CN"/>
        </w:rPr>
        <w:sectPr>
          <w:pgSz w:w="11906" w:h="16838"/>
          <w:pgMar w:top="1440" w:right="1800" w:bottom="1440" w:left="1800" w:header="851" w:footer="992" w:gutter="0"/>
          <w:cols w:space="425" w:num="1"/>
          <w:docGrid w:type="lines" w:linePitch="312" w:charSpace="0"/>
        </w:sectPr>
      </w:pPr>
    </w:p>
    <w:p w14:paraId="367623C9">
      <w:pPr>
        <w:pStyle w:val="2"/>
        <w:jc w:val="center"/>
        <w:rPr>
          <w:rFonts w:hint="eastAsia"/>
          <w:b/>
          <w:bCs/>
          <w:sz w:val="32"/>
          <w:szCs w:val="32"/>
          <w:lang w:eastAsia="zh-CN"/>
        </w:rPr>
      </w:pPr>
      <w:r>
        <w:rPr>
          <w:rFonts w:hint="eastAsia"/>
          <w:b/>
          <w:bCs/>
          <w:sz w:val="32"/>
          <w:szCs w:val="32"/>
          <w:lang w:eastAsia="zh-CN"/>
        </w:rPr>
        <w:t>01包：</w:t>
      </w:r>
    </w:p>
    <w:p w14:paraId="6D479E06">
      <w:pPr>
        <w:pStyle w:val="2"/>
        <w:jc w:val="both"/>
        <w:rPr>
          <w:rFonts w:hint="eastAsia"/>
          <w:b/>
          <w:bCs/>
          <w:lang w:eastAsia="zh-CN"/>
        </w:rPr>
      </w:pPr>
      <w:r>
        <w:rPr>
          <w:rFonts w:hint="eastAsia"/>
          <w:b/>
          <w:bCs/>
          <w:lang w:eastAsia="zh-CN"/>
        </w:rPr>
        <w:t>（一）技术要求</w:t>
      </w:r>
    </w:p>
    <w:tbl>
      <w:tblPr>
        <w:tblStyle w:val="4"/>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880"/>
        <w:gridCol w:w="5759"/>
        <w:gridCol w:w="1250"/>
        <w:gridCol w:w="1890"/>
      </w:tblGrid>
      <w:tr w14:paraId="5824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888" w:type="dxa"/>
            <w:vAlign w:val="center"/>
          </w:tcPr>
          <w:p w14:paraId="6F863B5F">
            <w:pPr>
              <w:autoSpaceDE/>
              <w:autoSpaceDN/>
              <w:jc w:val="center"/>
              <w:rPr>
                <w:rFonts w:hint="eastAsia"/>
                <w:b/>
                <w:bCs/>
                <w:sz w:val="24"/>
                <w:szCs w:val="24"/>
                <w:lang w:eastAsia="zh-CN"/>
              </w:rPr>
            </w:pPr>
            <w:r>
              <w:rPr>
                <w:rFonts w:hint="eastAsia"/>
                <w:b/>
                <w:bCs/>
                <w:sz w:val="24"/>
                <w:szCs w:val="24"/>
                <w:lang w:eastAsia="zh-CN"/>
              </w:rPr>
              <w:t>品目号</w:t>
            </w:r>
          </w:p>
        </w:tc>
        <w:tc>
          <w:tcPr>
            <w:tcW w:w="880" w:type="dxa"/>
            <w:vAlign w:val="center"/>
          </w:tcPr>
          <w:p w14:paraId="0BA09AA2">
            <w:pPr>
              <w:autoSpaceDE/>
              <w:autoSpaceDN/>
              <w:jc w:val="center"/>
              <w:rPr>
                <w:rFonts w:hint="eastAsia"/>
                <w:b/>
                <w:bCs/>
                <w:sz w:val="24"/>
                <w:szCs w:val="24"/>
                <w:lang w:eastAsia="zh-CN"/>
              </w:rPr>
            </w:pPr>
            <w:r>
              <w:rPr>
                <w:rFonts w:hint="eastAsia"/>
                <w:b/>
                <w:bCs/>
                <w:sz w:val="24"/>
                <w:szCs w:val="24"/>
                <w:lang w:eastAsia="zh-CN"/>
              </w:rPr>
              <w:t>名称</w:t>
            </w:r>
          </w:p>
        </w:tc>
        <w:tc>
          <w:tcPr>
            <w:tcW w:w="5759" w:type="dxa"/>
          </w:tcPr>
          <w:p w14:paraId="2B58FAB7">
            <w:pPr>
              <w:autoSpaceDE/>
              <w:autoSpaceDN/>
              <w:spacing w:before="156" w:beforeLines="50"/>
              <w:jc w:val="center"/>
              <w:rPr>
                <w:rFonts w:hint="eastAsia"/>
                <w:b/>
                <w:bCs/>
                <w:sz w:val="24"/>
                <w:szCs w:val="24"/>
                <w:lang w:eastAsia="zh-CN"/>
              </w:rPr>
            </w:pPr>
            <w:r>
              <w:rPr>
                <w:rFonts w:hint="eastAsia"/>
                <w:b/>
                <w:bCs/>
                <w:sz w:val="24"/>
                <w:szCs w:val="24"/>
                <w:lang w:eastAsia="zh-CN"/>
              </w:rPr>
              <w:t>具体要求</w:t>
            </w:r>
          </w:p>
        </w:tc>
        <w:tc>
          <w:tcPr>
            <w:tcW w:w="1250" w:type="dxa"/>
            <w:vAlign w:val="center"/>
          </w:tcPr>
          <w:p w14:paraId="0F970B5C">
            <w:pPr>
              <w:autoSpaceDE/>
              <w:autoSpaceDN/>
              <w:jc w:val="center"/>
              <w:rPr>
                <w:rFonts w:hint="eastAsia"/>
                <w:b/>
                <w:bCs/>
                <w:sz w:val="24"/>
                <w:szCs w:val="24"/>
              </w:rPr>
            </w:pPr>
            <w:r>
              <w:rPr>
                <w:rFonts w:hint="eastAsia"/>
                <w:b/>
                <w:bCs/>
                <w:sz w:val="24"/>
                <w:szCs w:val="24"/>
              </w:rPr>
              <w:t>数量</w:t>
            </w:r>
          </w:p>
          <w:p w14:paraId="309B89D6">
            <w:pPr>
              <w:autoSpaceDE/>
              <w:autoSpaceDN/>
              <w:jc w:val="center"/>
              <w:rPr>
                <w:rFonts w:hint="eastAsia"/>
                <w:b/>
                <w:bCs/>
                <w:sz w:val="24"/>
                <w:szCs w:val="24"/>
              </w:rPr>
            </w:pPr>
            <w:r>
              <w:rPr>
                <w:rFonts w:hint="eastAsia"/>
                <w:b/>
                <w:bCs/>
                <w:sz w:val="24"/>
                <w:szCs w:val="24"/>
              </w:rPr>
              <w:t>（单位）</w:t>
            </w:r>
          </w:p>
        </w:tc>
        <w:tc>
          <w:tcPr>
            <w:tcW w:w="1890" w:type="dxa"/>
          </w:tcPr>
          <w:p w14:paraId="5A03A02C">
            <w:pPr>
              <w:autoSpaceDE/>
              <w:autoSpaceDN/>
              <w:spacing w:before="156" w:beforeLines="50"/>
              <w:jc w:val="center"/>
              <w:rPr>
                <w:rFonts w:hint="eastAsia"/>
                <w:b/>
                <w:bCs/>
                <w:sz w:val="24"/>
                <w:szCs w:val="24"/>
              </w:rPr>
            </w:pPr>
            <w:r>
              <w:rPr>
                <w:rFonts w:hint="eastAsia"/>
                <w:b/>
                <w:bCs/>
                <w:sz w:val="24"/>
                <w:szCs w:val="24"/>
              </w:rPr>
              <w:t>服务周期</w:t>
            </w:r>
          </w:p>
        </w:tc>
      </w:tr>
      <w:tr w14:paraId="1D6B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Align w:val="center"/>
          </w:tcPr>
          <w:p w14:paraId="0E069CCF">
            <w:pPr>
              <w:spacing w:before="156" w:beforeLines="50"/>
              <w:jc w:val="center"/>
              <w:rPr>
                <w:rFonts w:hint="eastAsia"/>
                <w:sz w:val="24"/>
                <w:szCs w:val="24"/>
                <w:lang w:eastAsia="zh-CN"/>
              </w:rPr>
            </w:pPr>
            <w:r>
              <w:rPr>
                <w:rFonts w:hint="eastAsia"/>
                <w:sz w:val="24"/>
                <w:szCs w:val="24"/>
                <w:lang w:eastAsia="zh-CN"/>
              </w:rPr>
              <w:t>1-1</w:t>
            </w:r>
          </w:p>
        </w:tc>
        <w:tc>
          <w:tcPr>
            <w:tcW w:w="880" w:type="dxa"/>
            <w:vAlign w:val="center"/>
          </w:tcPr>
          <w:p w14:paraId="2EBA7A1B">
            <w:pPr>
              <w:spacing w:before="156" w:beforeLines="50"/>
              <w:jc w:val="center"/>
              <w:rPr>
                <w:rFonts w:hint="eastAsia"/>
                <w:b/>
                <w:bCs/>
                <w:sz w:val="24"/>
                <w:szCs w:val="24"/>
              </w:rPr>
            </w:pPr>
            <w:r>
              <w:rPr>
                <w:rFonts w:hint="eastAsia"/>
                <w:sz w:val="24"/>
                <w:szCs w:val="24"/>
              </w:rPr>
              <w:t>奥斯卡DIA蛋白</w:t>
            </w:r>
          </w:p>
        </w:tc>
        <w:tc>
          <w:tcPr>
            <w:tcW w:w="5759" w:type="dxa"/>
            <w:vAlign w:val="center"/>
          </w:tcPr>
          <w:p w14:paraId="42EB2D88">
            <w:pPr>
              <w:autoSpaceDE/>
              <w:autoSpaceDN/>
              <w:rPr>
                <w:rFonts w:hint="eastAsia"/>
                <w:sz w:val="24"/>
                <w:szCs w:val="24"/>
                <w:lang w:eastAsia="zh-CN"/>
              </w:rPr>
            </w:pPr>
            <w:r>
              <w:rPr>
                <w:rFonts w:hint="eastAsia"/>
                <w:sz w:val="24"/>
                <w:szCs w:val="24"/>
                <w:lang w:eastAsia="zh-CN"/>
              </w:rPr>
              <w:t>一、数据质控：具备大队列DIA蛋白质组学多维QC质控体系。为监测和评价系统的稳定性及实验数据的可靠性，在样本队列中每间隔一定数量的样本插入一个QC样本（一般为所有样本的混样），并对整个实验过程中插入的各 QC样本的数据一致性进行评价。主要采用变异系数（CV）、主成分分析 (Principle Component Ananlysis, PCA)、QC样本相关性来评估 QC的质量。要求该项目QC样品CV中值小于20%，QC的相关性达到 0.9 以上，QC样本的 PCA 聚集程度较高。</w:t>
            </w:r>
          </w:p>
          <w:p w14:paraId="533E9E6F">
            <w:pPr>
              <w:autoSpaceDE/>
              <w:autoSpaceDN/>
              <w:rPr>
                <w:rFonts w:hint="eastAsia"/>
                <w:sz w:val="24"/>
                <w:szCs w:val="24"/>
                <w:lang w:eastAsia="zh-CN"/>
              </w:rPr>
            </w:pPr>
            <w:r>
              <w:rPr>
                <w:rFonts w:hint="eastAsia"/>
                <w:sz w:val="24"/>
                <w:szCs w:val="24"/>
                <w:lang w:eastAsia="zh-CN"/>
              </w:rPr>
              <w:t>二、数据分析：下机数据搜库后进行生物信息学分析，分析内容主要包括：</w:t>
            </w:r>
          </w:p>
          <w:p w14:paraId="2450F4F9">
            <w:pPr>
              <w:autoSpaceDE/>
              <w:autoSpaceDN/>
              <w:rPr>
                <w:rFonts w:hint="eastAsia"/>
                <w:sz w:val="24"/>
                <w:szCs w:val="24"/>
                <w:lang w:eastAsia="zh-CN"/>
              </w:rPr>
            </w:pPr>
            <w:r>
              <w:rPr>
                <w:rFonts w:hint="eastAsia"/>
                <w:sz w:val="24"/>
                <w:szCs w:val="24"/>
                <w:lang w:eastAsia="zh-CN"/>
              </w:rPr>
              <w:t>1、鉴定分析：定性定量结果统计、PCA分析、皮尔森相关性、RSD分析等</w:t>
            </w:r>
          </w:p>
          <w:p w14:paraId="50D2B678">
            <w:pPr>
              <w:numPr>
                <w:ilvl w:val="0"/>
                <w:numId w:val="1"/>
              </w:numPr>
              <w:autoSpaceDE/>
              <w:autoSpaceDN/>
              <w:rPr>
                <w:rFonts w:hint="eastAsia"/>
                <w:sz w:val="24"/>
                <w:szCs w:val="24"/>
                <w:lang w:eastAsia="zh-CN"/>
              </w:rPr>
            </w:pPr>
            <w:r>
              <w:rPr>
                <w:rFonts w:hint="eastAsia"/>
                <w:sz w:val="24"/>
                <w:szCs w:val="24"/>
                <w:lang w:eastAsia="zh-CN"/>
              </w:rPr>
              <w:t>表达差异分析：差异蛋白结果、火山图、箱线图、雷达图、聚类分析等</w:t>
            </w:r>
          </w:p>
          <w:p w14:paraId="3EAEF468">
            <w:pPr>
              <w:numPr>
                <w:ilvl w:val="0"/>
                <w:numId w:val="1"/>
              </w:numPr>
              <w:autoSpaceDE/>
              <w:autoSpaceDN/>
              <w:rPr>
                <w:rFonts w:hint="eastAsia"/>
                <w:sz w:val="24"/>
                <w:szCs w:val="24"/>
              </w:rPr>
            </w:pPr>
            <w:r>
              <w:rPr>
                <w:rFonts w:hint="eastAsia"/>
                <w:sz w:val="24"/>
                <w:szCs w:val="24"/>
              </w:rPr>
              <w:t>功能分析：亚细胞定位分析、蛋白结构域分析、GO功能分析、KEGG通路分析、Reactome通路富集分析、Wikipathways通路富集分析、 GSEA 分析、转录因子、激酶、ROC分析、蛋白互作分析、WGCNA分析等。</w:t>
            </w:r>
          </w:p>
          <w:p w14:paraId="58E31950">
            <w:pPr>
              <w:autoSpaceDE/>
              <w:autoSpaceDN/>
              <w:rPr>
                <w:rFonts w:hint="eastAsia"/>
                <w:sz w:val="24"/>
                <w:szCs w:val="24"/>
                <w:lang w:eastAsia="zh-CN"/>
              </w:rPr>
            </w:pPr>
            <w:r>
              <w:rPr>
                <w:rFonts w:hint="eastAsia"/>
                <w:kern w:val="2"/>
                <w:sz w:val="24"/>
                <w:szCs w:val="24"/>
                <w:lang w:eastAsia="zh-CN"/>
              </w:rPr>
              <w:t>三、</w:t>
            </w:r>
            <w:r>
              <w:rPr>
                <w:rFonts w:hint="eastAsia"/>
                <w:sz w:val="24"/>
                <w:szCs w:val="24"/>
                <w:lang w:eastAsia="zh-CN"/>
              </w:rPr>
              <w:t>数据交付：</w:t>
            </w:r>
          </w:p>
          <w:p w14:paraId="1B4F029B">
            <w:pPr>
              <w:autoSpaceDE/>
              <w:autoSpaceDN/>
              <w:rPr>
                <w:rFonts w:hint="eastAsia"/>
                <w:sz w:val="24"/>
                <w:szCs w:val="24"/>
                <w:lang w:eastAsia="zh-CN"/>
              </w:rPr>
            </w:pPr>
            <w:r>
              <w:rPr>
                <w:rFonts w:hint="eastAsia"/>
                <w:sz w:val="24"/>
                <w:szCs w:val="24"/>
                <w:lang w:eastAsia="zh-CN"/>
              </w:rPr>
              <w:t>1、完整的项目结题报告及全部原始数据</w:t>
            </w:r>
          </w:p>
          <w:p w14:paraId="4123C768">
            <w:pPr>
              <w:autoSpaceDE/>
              <w:autoSpaceDN/>
              <w:rPr>
                <w:rFonts w:hint="eastAsia"/>
                <w:b/>
                <w:bCs/>
                <w:sz w:val="24"/>
                <w:szCs w:val="24"/>
                <w:lang w:eastAsia="zh-CN"/>
              </w:rPr>
            </w:pPr>
            <w:r>
              <w:rPr>
                <w:rFonts w:hint="eastAsia"/>
                <w:sz w:val="24"/>
                <w:szCs w:val="24"/>
                <w:lang w:eastAsia="zh-CN"/>
              </w:rPr>
              <w:t>2、提供在线服务平台，包括多种分析与可视化工具、可完成各种数据分析</w:t>
            </w:r>
          </w:p>
        </w:tc>
        <w:tc>
          <w:tcPr>
            <w:tcW w:w="1250" w:type="dxa"/>
            <w:vAlign w:val="center"/>
          </w:tcPr>
          <w:p w14:paraId="14A5A51E">
            <w:pPr>
              <w:spacing w:before="156" w:beforeLines="50"/>
              <w:jc w:val="center"/>
              <w:rPr>
                <w:rFonts w:hint="eastAsia"/>
                <w:b/>
                <w:bCs/>
                <w:sz w:val="24"/>
                <w:szCs w:val="24"/>
              </w:rPr>
            </w:pPr>
            <w:r>
              <w:rPr>
                <w:rFonts w:hint="eastAsia"/>
                <w:bCs/>
                <w:sz w:val="24"/>
                <w:szCs w:val="24"/>
              </w:rPr>
              <w:t>60例</w:t>
            </w:r>
          </w:p>
        </w:tc>
        <w:tc>
          <w:tcPr>
            <w:tcW w:w="1890" w:type="dxa"/>
          </w:tcPr>
          <w:p w14:paraId="31BC3C8D">
            <w:pPr>
              <w:spacing w:before="156" w:beforeLines="50"/>
              <w:jc w:val="center"/>
              <w:rPr>
                <w:rFonts w:hint="eastAsia"/>
                <w:bCs/>
                <w:sz w:val="24"/>
                <w:szCs w:val="24"/>
                <w:lang w:eastAsia="zh-CN"/>
              </w:rPr>
            </w:pPr>
            <w:r>
              <w:rPr>
                <w:rFonts w:hint="eastAsia"/>
                <w:bCs/>
                <w:sz w:val="24"/>
                <w:szCs w:val="24"/>
                <w:lang w:eastAsia="zh-CN"/>
              </w:rPr>
              <w:t>本采购项目实验周期45个工作日，服务周期3年，包括数据沟通与调整等，交付周期45个工作日。</w:t>
            </w:r>
          </w:p>
        </w:tc>
      </w:tr>
      <w:tr w14:paraId="4D93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Align w:val="center"/>
          </w:tcPr>
          <w:p w14:paraId="49B52E83">
            <w:pPr>
              <w:spacing w:before="156" w:beforeLines="50"/>
              <w:jc w:val="center"/>
              <w:rPr>
                <w:rFonts w:hint="eastAsia"/>
                <w:bCs/>
                <w:sz w:val="24"/>
                <w:szCs w:val="24"/>
                <w:lang w:eastAsia="zh-CN"/>
              </w:rPr>
            </w:pPr>
            <w:r>
              <w:rPr>
                <w:rFonts w:hint="eastAsia"/>
                <w:bCs/>
                <w:sz w:val="24"/>
                <w:szCs w:val="24"/>
                <w:lang w:eastAsia="zh-CN"/>
              </w:rPr>
              <w:t>1-2</w:t>
            </w:r>
          </w:p>
        </w:tc>
        <w:tc>
          <w:tcPr>
            <w:tcW w:w="880" w:type="dxa"/>
            <w:vAlign w:val="center"/>
          </w:tcPr>
          <w:p w14:paraId="46C6309B">
            <w:pPr>
              <w:spacing w:before="156" w:beforeLines="50"/>
              <w:jc w:val="center"/>
              <w:rPr>
                <w:rFonts w:hint="eastAsia"/>
                <w:b/>
                <w:bCs/>
                <w:sz w:val="24"/>
                <w:szCs w:val="24"/>
              </w:rPr>
            </w:pPr>
            <w:r>
              <w:rPr>
                <w:rFonts w:hint="eastAsia"/>
                <w:bCs/>
                <w:sz w:val="24"/>
                <w:szCs w:val="24"/>
              </w:rPr>
              <w:t>3’单细胞转录组检测</w:t>
            </w:r>
          </w:p>
        </w:tc>
        <w:tc>
          <w:tcPr>
            <w:tcW w:w="5759" w:type="dxa"/>
          </w:tcPr>
          <w:p w14:paraId="3C437C0E">
            <w:pPr>
              <w:tabs>
                <w:tab w:val="left" w:pos="0"/>
              </w:tabs>
              <w:autoSpaceDE/>
              <w:autoSpaceDN/>
              <w:rPr>
                <w:rFonts w:hint="eastAsia"/>
                <w:sz w:val="24"/>
                <w:szCs w:val="24"/>
                <w:lang w:eastAsia="zh-CN"/>
              </w:rPr>
            </w:pPr>
            <w:r>
              <w:rPr>
                <w:rFonts w:hint="eastAsia"/>
                <w:kern w:val="2"/>
                <w:sz w:val="24"/>
                <w:szCs w:val="24"/>
                <w:lang w:eastAsia="zh-CN"/>
              </w:rPr>
              <w:t>一、</w:t>
            </w:r>
            <w:r>
              <w:rPr>
                <w:rFonts w:hint="eastAsia"/>
                <w:sz w:val="24"/>
                <w:szCs w:val="24"/>
                <w:lang w:eastAsia="zh-CN"/>
              </w:rPr>
              <w:t>服务内容：</w:t>
            </w:r>
          </w:p>
          <w:p w14:paraId="03FB0573">
            <w:pPr>
              <w:tabs>
                <w:tab w:val="left" w:pos="0"/>
              </w:tabs>
              <w:autoSpaceDE/>
              <w:autoSpaceDN/>
              <w:rPr>
                <w:rFonts w:hint="eastAsia"/>
                <w:sz w:val="24"/>
                <w:szCs w:val="24"/>
                <w:lang w:eastAsia="zh-CN"/>
              </w:rPr>
            </w:pPr>
            <w:r>
              <w:rPr>
                <w:rFonts w:hint="eastAsia"/>
                <w:sz w:val="24"/>
                <w:szCs w:val="24"/>
                <w:lang w:eastAsia="zh-CN"/>
              </w:rPr>
              <w:t>单细胞转录组测序分析服务。包括但不限于以下内容：</w:t>
            </w:r>
          </w:p>
          <w:p w14:paraId="500CB084">
            <w:pPr>
              <w:tabs>
                <w:tab w:val="left" w:pos="0"/>
              </w:tabs>
              <w:autoSpaceDE/>
              <w:autoSpaceDN/>
              <w:rPr>
                <w:rFonts w:hint="eastAsia"/>
                <w:sz w:val="24"/>
                <w:szCs w:val="24"/>
                <w:lang w:eastAsia="zh-CN"/>
              </w:rPr>
            </w:pPr>
            <w:r>
              <w:rPr>
                <w:rFonts w:hint="eastAsia"/>
                <w:kern w:val="2"/>
                <w:sz w:val="24"/>
                <w:szCs w:val="24"/>
                <w:lang w:eastAsia="zh-CN"/>
              </w:rPr>
              <w:t>1、</w:t>
            </w:r>
            <w:r>
              <w:rPr>
                <w:rFonts w:hint="eastAsia"/>
                <w:sz w:val="24"/>
                <w:szCs w:val="24"/>
                <w:lang w:eastAsia="zh-CN"/>
              </w:rPr>
              <w:t>组织样本的单细胞悬液制备和质检服务；</w:t>
            </w:r>
          </w:p>
          <w:p w14:paraId="11DCAA72">
            <w:pPr>
              <w:tabs>
                <w:tab w:val="left" w:pos="0"/>
              </w:tabs>
              <w:autoSpaceDE/>
              <w:autoSpaceDN/>
              <w:rPr>
                <w:rFonts w:hint="eastAsia"/>
                <w:sz w:val="24"/>
                <w:szCs w:val="24"/>
                <w:lang w:eastAsia="zh-CN"/>
              </w:rPr>
            </w:pPr>
            <w:r>
              <w:rPr>
                <w:rFonts w:hint="eastAsia"/>
                <w:kern w:val="2"/>
                <w:sz w:val="24"/>
                <w:szCs w:val="24"/>
                <w:lang w:eastAsia="zh-CN"/>
              </w:rPr>
              <w:t>2、</w:t>
            </w:r>
            <w:r>
              <w:rPr>
                <w:rFonts w:hint="eastAsia"/>
                <w:sz w:val="24"/>
                <w:szCs w:val="24"/>
                <w:lang w:eastAsia="zh-CN"/>
              </w:rPr>
              <w:t>质检合格的样本进行华大高通量单细胞平台建库,使用illumina高通量平台进行测序，测序数据量100G，要求测序策略为双端100pb，即PE100；</w:t>
            </w:r>
          </w:p>
          <w:p w14:paraId="59839FDE">
            <w:pPr>
              <w:tabs>
                <w:tab w:val="left" w:pos="0"/>
              </w:tabs>
              <w:autoSpaceDE/>
              <w:autoSpaceDN/>
              <w:rPr>
                <w:rFonts w:hint="eastAsia"/>
                <w:sz w:val="24"/>
                <w:szCs w:val="24"/>
                <w:lang w:eastAsia="zh-CN"/>
              </w:rPr>
            </w:pPr>
            <w:r>
              <w:rPr>
                <w:rFonts w:hint="eastAsia"/>
                <w:kern w:val="2"/>
                <w:sz w:val="24"/>
                <w:szCs w:val="24"/>
                <w:lang w:eastAsia="zh-CN"/>
              </w:rPr>
              <w:t>3、</w:t>
            </w:r>
            <w:r>
              <w:rPr>
                <w:rFonts w:hint="eastAsia"/>
                <w:sz w:val="24"/>
                <w:szCs w:val="24"/>
                <w:lang w:eastAsia="zh-CN"/>
              </w:rPr>
              <w:t>测序下机数据进行数据质控和常规生信分析。</w:t>
            </w:r>
          </w:p>
          <w:p w14:paraId="2998FA4A">
            <w:pPr>
              <w:tabs>
                <w:tab w:val="left" w:pos="0"/>
              </w:tabs>
              <w:autoSpaceDE/>
              <w:autoSpaceDN/>
              <w:rPr>
                <w:rFonts w:hint="eastAsia"/>
                <w:sz w:val="24"/>
                <w:szCs w:val="24"/>
              </w:rPr>
            </w:pPr>
            <w:r>
              <w:rPr>
                <w:rFonts w:hint="eastAsia"/>
                <w:kern w:val="2"/>
                <w:sz w:val="24"/>
                <w:szCs w:val="24"/>
                <w:lang w:eastAsia="zh-CN"/>
              </w:rPr>
              <w:t>二、</w:t>
            </w:r>
            <w:r>
              <w:rPr>
                <w:rFonts w:hint="eastAsia"/>
                <w:sz w:val="24"/>
                <w:szCs w:val="24"/>
              </w:rPr>
              <w:t>细胞悬液要求：</w:t>
            </w:r>
          </w:p>
          <w:p w14:paraId="6CC6BF46">
            <w:pPr>
              <w:numPr>
                <w:ilvl w:val="0"/>
                <w:numId w:val="2"/>
              </w:numPr>
              <w:autoSpaceDE/>
              <w:autoSpaceDN/>
              <w:rPr>
                <w:rFonts w:hint="eastAsia"/>
                <w:sz w:val="24"/>
                <w:szCs w:val="24"/>
              </w:rPr>
            </w:pPr>
            <w:r>
              <w:rPr>
                <w:rFonts w:hint="eastAsia"/>
                <w:sz w:val="24"/>
                <w:szCs w:val="24"/>
              </w:rPr>
              <w:t>细胞活性≥85%；</w:t>
            </w:r>
          </w:p>
          <w:p w14:paraId="1FA4CAD5">
            <w:pPr>
              <w:numPr>
                <w:ilvl w:val="0"/>
                <w:numId w:val="2"/>
              </w:numPr>
              <w:autoSpaceDE/>
              <w:autoSpaceDN/>
              <w:rPr>
                <w:rFonts w:hint="eastAsia"/>
                <w:sz w:val="24"/>
                <w:szCs w:val="24"/>
              </w:rPr>
            </w:pPr>
            <w:r>
              <w:rPr>
                <w:rFonts w:hint="eastAsia"/>
                <w:sz w:val="24"/>
                <w:szCs w:val="24"/>
              </w:rPr>
              <w:t>细胞浓度700-1200cells/ul；</w:t>
            </w:r>
          </w:p>
          <w:p w14:paraId="1005FE29">
            <w:pPr>
              <w:numPr>
                <w:ilvl w:val="0"/>
                <w:numId w:val="2"/>
              </w:numPr>
              <w:autoSpaceDE/>
              <w:autoSpaceDN/>
              <w:rPr>
                <w:rFonts w:hint="eastAsia"/>
                <w:sz w:val="24"/>
                <w:szCs w:val="24"/>
              </w:rPr>
            </w:pPr>
            <w:r>
              <w:rPr>
                <w:rFonts w:hint="eastAsia"/>
                <w:sz w:val="24"/>
                <w:szCs w:val="24"/>
              </w:rPr>
              <w:t>结团率≤10%；</w:t>
            </w:r>
          </w:p>
          <w:p w14:paraId="50F427E3">
            <w:pPr>
              <w:numPr>
                <w:ilvl w:val="0"/>
                <w:numId w:val="2"/>
              </w:numPr>
              <w:autoSpaceDE/>
              <w:autoSpaceDN/>
              <w:rPr>
                <w:rFonts w:hint="eastAsia"/>
                <w:sz w:val="24"/>
                <w:szCs w:val="24"/>
              </w:rPr>
            </w:pPr>
            <w:r>
              <w:rPr>
                <w:rFonts w:hint="eastAsia"/>
                <w:sz w:val="24"/>
                <w:szCs w:val="24"/>
              </w:rPr>
              <w:t xml:space="preserve">有核率≥70%。 </w:t>
            </w:r>
          </w:p>
          <w:p w14:paraId="41AB03C2">
            <w:pPr>
              <w:tabs>
                <w:tab w:val="left" w:pos="0"/>
              </w:tabs>
              <w:autoSpaceDE/>
              <w:autoSpaceDN/>
              <w:rPr>
                <w:rFonts w:hint="eastAsia"/>
                <w:sz w:val="24"/>
                <w:szCs w:val="24"/>
              </w:rPr>
            </w:pPr>
            <w:r>
              <w:rPr>
                <w:rFonts w:hint="eastAsia"/>
                <w:kern w:val="2"/>
                <w:sz w:val="24"/>
                <w:szCs w:val="24"/>
                <w:lang w:eastAsia="zh-CN"/>
              </w:rPr>
              <w:t>三、</w:t>
            </w:r>
            <w:r>
              <w:rPr>
                <w:rFonts w:hint="eastAsia"/>
                <w:sz w:val="24"/>
                <w:szCs w:val="24"/>
              </w:rPr>
              <w:t>实验平台要求：</w:t>
            </w:r>
          </w:p>
          <w:p w14:paraId="58BC1094">
            <w:pPr>
              <w:tabs>
                <w:tab w:val="left" w:pos="0"/>
              </w:tabs>
              <w:autoSpaceDE/>
              <w:autoSpaceDN/>
              <w:rPr>
                <w:rFonts w:hint="eastAsia"/>
                <w:sz w:val="24"/>
                <w:szCs w:val="24"/>
                <w:lang w:eastAsia="zh-CN"/>
              </w:rPr>
            </w:pPr>
            <w:r>
              <w:rPr>
                <w:rFonts w:hint="eastAsia"/>
                <w:kern w:val="2"/>
                <w:sz w:val="24"/>
                <w:szCs w:val="24"/>
                <w:lang w:eastAsia="zh-CN"/>
              </w:rPr>
              <w:t>1、</w:t>
            </w:r>
            <w:r>
              <w:rPr>
                <w:rFonts w:hint="eastAsia"/>
                <w:sz w:val="24"/>
                <w:szCs w:val="24"/>
                <w:lang w:eastAsia="zh-CN"/>
              </w:rPr>
              <w:t>支持利用荧光计数法和台盼蓝染色法两种方式同时进行细胞计数；</w:t>
            </w:r>
          </w:p>
          <w:p w14:paraId="41D4D535">
            <w:pPr>
              <w:tabs>
                <w:tab w:val="left" w:pos="0"/>
              </w:tabs>
              <w:autoSpaceDE/>
              <w:autoSpaceDN/>
              <w:rPr>
                <w:rFonts w:hint="eastAsia"/>
                <w:sz w:val="24"/>
                <w:szCs w:val="24"/>
                <w:lang w:eastAsia="zh-CN"/>
              </w:rPr>
            </w:pPr>
            <w:r>
              <w:rPr>
                <w:rFonts w:hint="eastAsia"/>
                <w:kern w:val="2"/>
                <w:sz w:val="24"/>
                <w:szCs w:val="24"/>
                <w:lang w:eastAsia="zh-CN"/>
              </w:rPr>
              <w:t>2、</w:t>
            </w:r>
            <w:r>
              <w:rPr>
                <w:rFonts w:hint="eastAsia"/>
                <w:sz w:val="24"/>
                <w:szCs w:val="24"/>
                <w:lang w:eastAsia="zh-CN"/>
              </w:rPr>
              <w:t xml:space="preserve">要求利用单细胞捕获平台及配套试剂完成样本捕获和文库构建。 </w:t>
            </w:r>
          </w:p>
          <w:p w14:paraId="1D042B1F">
            <w:pPr>
              <w:tabs>
                <w:tab w:val="left" w:pos="0"/>
              </w:tabs>
              <w:autoSpaceDE/>
              <w:autoSpaceDN/>
              <w:rPr>
                <w:rFonts w:hint="eastAsia"/>
                <w:sz w:val="24"/>
                <w:szCs w:val="24"/>
              </w:rPr>
            </w:pPr>
            <w:r>
              <w:rPr>
                <w:rFonts w:hint="eastAsia"/>
                <w:color w:val="333333"/>
                <w:sz w:val="24"/>
                <w:shd w:val="clear" w:color="auto" w:fill="FFFFFF"/>
              </w:rPr>
              <w:t>▲</w:t>
            </w:r>
            <w:r>
              <w:rPr>
                <w:rFonts w:hint="eastAsia"/>
                <w:kern w:val="2"/>
                <w:sz w:val="24"/>
                <w:szCs w:val="24"/>
                <w:lang w:eastAsia="zh-CN"/>
              </w:rPr>
              <w:t>四、</w:t>
            </w:r>
            <w:r>
              <w:rPr>
                <w:rFonts w:hint="eastAsia"/>
                <w:sz w:val="24"/>
                <w:szCs w:val="24"/>
              </w:rPr>
              <w:t>测序需求：</w:t>
            </w:r>
          </w:p>
          <w:p w14:paraId="43F70812">
            <w:pPr>
              <w:numPr>
                <w:ilvl w:val="0"/>
                <w:numId w:val="3"/>
              </w:numPr>
              <w:autoSpaceDE/>
              <w:autoSpaceDN/>
              <w:rPr>
                <w:rFonts w:hint="eastAsia"/>
                <w:sz w:val="24"/>
                <w:szCs w:val="24"/>
                <w:lang w:eastAsia="zh-CN"/>
              </w:rPr>
            </w:pPr>
            <w:r>
              <w:rPr>
                <w:rFonts w:hint="eastAsia"/>
                <w:sz w:val="24"/>
                <w:szCs w:val="24"/>
                <w:lang w:eastAsia="zh-CN"/>
              </w:rPr>
              <w:t>要求使用高通量测序平台进行PE100测序；</w:t>
            </w:r>
          </w:p>
          <w:p w14:paraId="76FD8323">
            <w:pPr>
              <w:numPr>
                <w:ilvl w:val="0"/>
                <w:numId w:val="3"/>
              </w:numPr>
              <w:autoSpaceDE/>
              <w:autoSpaceDN/>
              <w:rPr>
                <w:rFonts w:hint="eastAsia"/>
                <w:sz w:val="24"/>
                <w:szCs w:val="24"/>
              </w:rPr>
            </w:pPr>
            <w:r>
              <w:rPr>
                <w:rFonts w:hint="eastAsia"/>
                <w:sz w:val="24"/>
                <w:szCs w:val="24"/>
              </w:rPr>
              <w:t>测序质量验收要求：</w:t>
            </w:r>
          </w:p>
          <w:p w14:paraId="769CC56E">
            <w:pPr>
              <w:autoSpaceDE/>
              <w:autoSpaceDN/>
              <w:rPr>
                <w:rFonts w:hint="eastAsia"/>
                <w:sz w:val="24"/>
                <w:szCs w:val="24"/>
                <w:lang w:eastAsia="zh-CN"/>
              </w:rPr>
            </w:pPr>
            <w:r>
              <w:rPr>
                <w:sz w:val="24"/>
                <w:szCs w:val="24"/>
                <w:lang w:eastAsia="zh-CN"/>
              </w:rPr>
              <w:t>(1)</w:t>
            </w:r>
            <w:r>
              <w:rPr>
                <w:rFonts w:hint="eastAsia"/>
                <w:sz w:val="24"/>
                <w:szCs w:val="24"/>
                <w:lang w:eastAsia="zh-CN"/>
              </w:rPr>
              <w:t>文库质检合格后，每个转录组文库测序数据量达到交付标准的90%及以上</w:t>
            </w:r>
          </w:p>
          <w:p w14:paraId="774F0691">
            <w:pPr>
              <w:autoSpaceDE/>
              <w:autoSpaceDN/>
              <w:rPr>
                <w:rFonts w:hint="eastAsia"/>
                <w:sz w:val="24"/>
                <w:szCs w:val="24"/>
                <w:lang w:eastAsia="zh-CN"/>
              </w:rPr>
            </w:pPr>
            <w:r>
              <w:rPr>
                <w:sz w:val="24"/>
                <w:szCs w:val="24"/>
                <w:lang w:eastAsia="zh-CN"/>
              </w:rPr>
              <w:t>(2)</w:t>
            </w:r>
            <w:r>
              <w:rPr>
                <w:rFonts w:hint="eastAsia"/>
                <w:sz w:val="24"/>
                <w:szCs w:val="24"/>
                <w:lang w:eastAsia="zh-CN"/>
              </w:rPr>
              <w:t>测序 Q30≥80%，无GC分离；</w:t>
            </w:r>
          </w:p>
          <w:p w14:paraId="2DBBE163">
            <w:pPr>
              <w:tabs>
                <w:tab w:val="left" w:pos="0"/>
              </w:tabs>
              <w:autoSpaceDE/>
              <w:autoSpaceDN/>
              <w:rPr>
                <w:rFonts w:hint="eastAsia"/>
                <w:sz w:val="24"/>
                <w:szCs w:val="24"/>
                <w:lang w:eastAsia="zh-CN"/>
              </w:rPr>
            </w:pPr>
            <w:r>
              <w:rPr>
                <w:rFonts w:hint="eastAsia"/>
                <w:kern w:val="2"/>
                <w:sz w:val="24"/>
                <w:szCs w:val="24"/>
                <w:lang w:eastAsia="zh-CN"/>
              </w:rPr>
              <w:t>五、</w:t>
            </w:r>
            <w:r>
              <w:rPr>
                <w:rFonts w:hint="eastAsia"/>
                <w:sz w:val="24"/>
                <w:szCs w:val="24"/>
                <w:lang w:eastAsia="zh-CN"/>
              </w:rPr>
              <w:t>数据交付标准及保存：</w:t>
            </w:r>
          </w:p>
          <w:p w14:paraId="1BC25E6C">
            <w:pPr>
              <w:tabs>
                <w:tab w:val="left" w:pos="0"/>
              </w:tabs>
              <w:autoSpaceDE/>
              <w:autoSpaceDN/>
              <w:rPr>
                <w:rFonts w:hint="eastAsia"/>
                <w:sz w:val="24"/>
                <w:szCs w:val="24"/>
                <w:lang w:eastAsia="zh-CN"/>
              </w:rPr>
            </w:pPr>
            <w:r>
              <w:rPr>
                <w:rFonts w:hint="eastAsia"/>
                <w:kern w:val="2"/>
                <w:sz w:val="24"/>
                <w:szCs w:val="24"/>
                <w:lang w:eastAsia="zh-CN"/>
              </w:rPr>
              <w:t>1、</w:t>
            </w:r>
            <w:r>
              <w:rPr>
                <w:rFonts w:hint="eastAsia"/>
                <w:sz w:val="24"/>
                <w:szCs w:val="24"/>
                <w:lang w:eastAsia="zh-CN"/>
              </w:rPr>
              <w:t>数据交付：</w:t>
            </w:r>
          </w:p>
          <w:p w14:paraId="0AAD0558">
            <w:pPr>
              <w:autoSpaceDE/>
              <w:autoSpaceDN/>
              <w:rPr>
                <w:rFonts w:hint="eastAsia"/>
                <w:sz w:val="24"/>
                <w:szCs w:val="24"/>
                <w:lang w:eastAsia="zh-CN"/>
              </w:rPr>
            </w:pPr>
            <w:r>
              <w:rPr>
                <w:sz w:val="24"/>
                <w:szCs w:val="24"/>
                <w:lang w:eastAsia="zh-CN"/>
              </w:rPr>
              <w:t>(1)</w:t>
            </w:r>
            <w:r>
              <w:rPr>
                <w:rFonts w:hint="eastAsia"/>
                <w:sz w:val="24"/>
                <w:szCs w:val="24"/>
                <w:lang w:eastAsia="zh-CN"/>
              </w:rPr>
              <w:t>交付所有测序原始数据以及cleandata记录报告及结果；</w:t>
            </w:r>
          </w:p>
          <w:p w14:paraId="2AB2A59C">
            <w:pPr>
              <w:autoSpaceDE/>
              <w:autoSpaceDN/>
              <w:rPr>
                <w:rFonts w:hint="eastAsia"/>
                <w:sz w:val="24"/>
                <w:szCs w:val="24"/>
                <w:lang w:eastAsia="zh-CN"/>
              </w:rPr>
            </w:pPr>
            <w:r>
              <w:rPr>
                <w:sz w:val="24"/>
                <w:szCs w:val="24"/>
                <w:lang w:eastAsia="zh-CN"/>
              </w:rPr>
              <w:t>(2)</w:t>
            </w:r>
            <w:r>
              <w:rPr>
                <w:rFonts w:hint="eastAsia"/>
                <w:sz w:val="24"/>
                <w:szCs w:val="24"/>
                <w:lang w:eastAsia="zh-CN"/>
              </w:rPr>
              <w:t>结果分析报告：分析内容包含但不限于对数据进行标准分析、高级分析：数据质控、数据统计、单样本 t-SNE分型、marker 基因展示、转录因子注释、蛋白互作网络、样本间 相关性分析、多样本 t-SNE 分型分析、多样本拟时分析、marker基因聚类分析、基因共表达分析热图、差异基因分析及差异基因通路富集分析，KEGG、GO、GSEA，并包含线粒体基因过滤、死细胞和多细胞过滤、批次效应去除等质量控制手段；样本间基因差异分析；目标细胞群体亚聚类；细胞互作；基因互作；鉴定稀有细胞亚群，加强细胞注释准确度。</w:t>
            </w:r>
          </w:p>
        </w:tc>
        <w:tc>
          <w:tcPr>
            <w:tcW w:w="1250" w:type="dxa"/>
            <w:vAlign w:val="center"/>
          </w:tcPr>
          <w:p w14:paraId="228824B2">
            <w:pPr>
              <w:spacing w:before="156" w:beforeLines="50"/>
              <w:jc w:val="center"/>
              <w:rPr>
                <w:rFonts w:hint="eastAsia"/>
                <w:b/>
                <w:bCs/>
                <w:sz w:val="24"/>
                <w:szCs w:val="24"/>
              </w:rPr>
            </w:pPr>
            <w:r>
              <w:rPr>
                <w:rFonts w:hint="eastAsia"/>
                <w:bCs/>
                <w:sz w:val="24"/>
                <w:szCs w:val="24"/>
              </w:rPr>
              <w:t>60例</w:t>
            </w:r>
          </w:p>
        </w:tc>
        <w:tc>
          <w:tcPr>
            <w:tcW w:w="1890" w:type="dxa"/>
          </w:tcPr>
          <w:p w14:paraId="5BF47E07">
            <w:pPr>
              <w:spacing w:before="156" w:beforeLines="50"/>
              <w:jc w:val="center"/>
              <w:rPr>
                <w:rFonts w:hint="eastAsia"/>
                <w:bCs/>
                <w:sz w:val="24"/>
                <w:szCs w:val="24"/>
                <w:lang w:eastAsia="zh-CN"/>
              </w:rPr>
            </w:pPr>
            <w:r>
              <w:rPr>
                <w:rFonts w:hint="eastAsia"/>
                <w:bCs/>
                <w:sz w:val="24"/>
                <w:szCs w:val="24"/>
                <w:lang w:eastAsia="zh-CN"/>
              </w:rPr>
              <w:t>本采购项目实验周期45个工作日，服务周期3年，包括数据沟通与调整等，交付周期45个工作日。</w:t>
            </w:r>
          </w:p>
        </w:tc>
      </w:tr>
    </w:tbl>
    <w:p w14:paraId="39ACEAB5">
      <w:pPr>
        <w:spacing w:line="360" w:lineRule="auto"/>
        <w:rPr>
          <w:rFonts w:hint="eastAsia"/>
          <w:b/>
          <w:bCs/>
          <w:sz w:val="24"/>
          <w:szCs w:val="24"/>
          <w:lang w:eastAsia="zh-CN"/>
        </w:rPr>
      </w:pPr>
      <w:r>
        <w:rPr>
          <w:rFonts w:hint="eastAsia"/>
          <w:b/>
          <w:bCs/>
          <w:sz w:val="24"/>
          <w:szCs w:val="24"/>
          <w:lang w:eastAsia="zh-CN"/>
        </w:rPr>
        <w:t>（二）样本收取及流转</w:t>
      </w:r>
    </w:p>
    <w:p w14:paraId="39B4FB12">
      <w:pPr>
        <w:spacing w:line="360" w:lineRule="auto"/>
        <w:rPr>
          <w:rFonts w:hint="eastAsia"/>
          <w:sz w:val="24"/>
          <w:szCs w:val="24"/>
          <w:lang w:eastAsia="zh-CN"/>
        </w:rPr>
      </w:pPr>
      <w:r>
        <w:rPr>
          <w:rFonts w:hint="eastAsia"/>
          <w:sz w:val="24"/>
          <w:szCs w:val="24"/>
          <w:lang w:eastAsia="zh-CN"/>
        </w:rPr>
        <w:t>（1）样本接收：</w:t>
      </w:r>
    </w:p>
    <w:p w14:paraId="6F10A8CB">
      <w:pPr>
        <w:spacing w:line="360" w:lineRule="auto"/>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6D2869FB">
      <w:pPr>
        <w:spacing w:line="360" w:lineRule="auto"/>
        <w:rPr>
          <w:rFonts w:hint="eastAsia"/>
          <w:sz w:val="24"/>
          <w:szCs w:val="24"/>
          <w:lang w:eastAsia="zh-CN"/>
        </w:rPr>
      </w:pPr>
      <w:r>
        <w:rPr>
          <w:rFonts w:hint="eastAsia"/>
          <w:sz w:val="24"/>
          <w:szCs w:val="24"/>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4276B44D">
      <w:pPr>
        <w:spacing w:line="360" w:lineRule="auto"/>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5EEFBA06">
      <w:pPr>
        <w:spacing w:line="360" w:lineRule="auto"/>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2DC06008">
      <w:pPr>
        <w:spacing w:line="360" w:lineRule="auto"/>
        <w:rPr>
          <w:rFonts w:hint="eastAsia"/>
          <w:sz w:val="24"/>
          <w:szCs w:val="24"/>
          <w:lang w:eastAsia="zh-CN"/>
        </w:rPr>
      </w:pPr>
      <w:r>
        <w:rPr>
          <w:rFonts w:hint="eastAsia"/>
          <w:sz w:val="24"/>
          <w:szCs w:val="24"/>
          <w:lang w:eastAsia="zh-CN"/>
        </w:rPr>
        <w:t>（2）样本运输：</w:t>
      </w:r>
    </w:p>
    <w:p w14:paraId="4830E34E">
      <w:pPr>
        <w:spacing w:line="360" w:lineRule="auto"/>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168CFD5B">
      <w:pPr>
        <w:spacing w:line="360" w:lineRule="auto"/>
        <w:rPr>
          <w:rFonts w:hint="eastAsia"/>
          <w:sz w:val="24"/>
          <w:szCs w:val="24"/>
          <w:lang w:eastAsia="zh-CN"/>
        </w:rPr>
      </w:pPr>
      <w:r>
        <w:rPr>
          <w:rFonts w:hint="eastAsia"/>
          <w:sz w:val="24"/>
          <w:szCs w:val="24"/>
          <w:lang w:eastAsia="zh-CN"/>
        </w:rPr>
        <w:t>②接收样本后48小时内转运至检测实验室，以保障检测时效性。</w:t>
      </w:r>
    </w:p>
    <w:p w14:paraId="39E0539E">
      <w:pPr>
        <w:spacing w:line="360" w:lineRule="auto"/>
        <w:rPr>
          <w:rFonts w:hint="eastAsia"/>
          <w:sz w:val="24"/>
          <w:szCs w:val="24"/>
          <w:lang w:eastAsia="zh-CN"/>
        </w:rPr>
      </w:pPr>
      <w:r>
        <w:rPr>
          <w:rFonts w:hint="eastAsia"/>
          <w:sz w:val="24"/>
          <w:szCs w:val="24"/>
          <w:lang w:eastAsia="zh-CN"/>
        </w:rPr>
        <w:t>2.保密要求：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6DF499C8">
      <w:pPr>
        <w:spacing w:line="360" w:lineRule="auto"/>
        <w:rPr>
          <w:rFonts w:hint="eastAsia"/>
          <w:sz w:val="24"/>
          <w:szCs w:val="24"/>
          <w:lang w:eastAsia="zh-CN"/>
        </w:rPr>
      </w:pPr>
      <w:r>
        <w:rPr>
          <w:rFonts w:hint="eastAsia"/>
          <w:sz w:val="24"/>
          <w:szCs w:val="24"/>
          <w:lang w:eastAsia="zh-CN"/>
        </w:rPr>
        <w:t>3.其他要求</w:t>
      </w:r>
    </w:p>
    <w:p w14:paraId="5BBC6F23">
      <w:pPr>
        <w:spacing w:line="360" w:lineRule="auto"/>
        <w:rPr>
          <w:rFonts w:hint="eastAsia"/>
          <w:sz w:val="24"/>
          <w:szCs w:val="24"/>
          <w:lang w:eastAsia="zh-CN"/>
        </w:rPr>
      </w:pPr>
      <w:r>
        <w:rPr>
          <w:rFonts w:hint="eastAsia"/>
          <w:sz w:val="24"/>
          <w:szCs w:val="24"/>
          <w:lang w:eastAsia="zh-CN"/>
        </w:rPr>
        <w:t>（1）剩余样本保存：实验完成后，中标人提供不少于3个月的样本（包括剩余原始样本以及检测后剩余的文库样本）保存服务。在保存样本时，对样本进行一一对应标记，用专用样本存储设备进行低温（-20℃～-80℃）保存，标记需清晰，以便采购人有需要可随时进行调档；12个月后经采购人的书面通知后进行无害化处理或按照采购人要求及时返还样本标本。对于超过保存期的样本，中标人需经采购人书面同意后方可处理；如采购人需要，中标人需按采购人要求在规定时间内返还保存的样本。由此过程中产生的一切费用均由中标人承担。</w:t>
      </w:r>
    </w:p>
    <w:p w14:paraId="670077B1">
      <w:pPr>
        <w:spacing w:line="360" w:lineRule="auto"/>
        <w:rPr>
          <w:rFonts w:hint="eastAsia"/>
          <w:sz w:val="24"/>
          <w:szCs w:val="24"/>
          <w:lang w:eastAsia="zh-CN"/>
        </w:rPr>
        <w:sectPr>
          <w:pgSz w:w="11906" w:h="16838"/>
          <w:pgMar w:top="1440" w:right="1800" w:bottom="1440" w:left="1800" w:header="851" w:footer="992" w:gutter="0"/>
          <w:cols w:space="425" w:num="1"/>
          <w:docGrid w:type="lines" w:linePitch="312" w:charSpace="0"/>
        </w:sectPr>
      </w:pPr>
      <w:r>
        <w:rPr>
          <w:rFonts w:hint="eastAsia"/>
          <w:sz w:val="24"/>
          <w:szCs w:val="24"/>
          <w:lang w:eastAsia="zh-CN"/>
        </w:rPr>
        <w:t>（2）数据存储：数据交付后，中标人提供不少于6个月的数据存储服务。中标人须对样本数据进行对应标记及专用保密方式存储，以便采购人有需要时可随时调档或再次交付数据；12个月后根据采购人的书面通知进行无保留的无痕清除处理。由此产生的一切费用均由中标人承担。</w:t>
      </w:r>
    </w:p>
    <w:p w14:paraId="17FCA34F">
      <w:pPr>
        <w:pStyle w:val="2"/>
        <w:jc w:val="center"/>
        <w:rPr>
          <w:rFonts w:hint="eastAsia"/>
          <w:b/>
          <w:bCs/>
          <w:sz w:val="32"/>
          <w:szCs w:val="32"/>
          <w:lang w:eastAsia="zh-CN"/>
        </w:rPr>
      </w:pPr>
      <w:r>
        <w:rPr>
          <w:rFonts w:hint="eastAsia"/>
          <w:b/>
          <w:bCs/>
          <w:sz w:val="32"/>
          <w:szCs w:val="32"/>
          <w:lang w:eastAsia="zh-CN"/>
        </w:rPr>
        <w:t>02包：</w:t>
      </w:r>
    </w:p>
    <w:p w14:paraId="5211D7A7">
      <w:pPr>
        <w:pStyle w:val="2"/>
        <w:jc w:val="both"/>
        <w:rPr>
          <w:rFonts w:hint="eastAsia"/>
          <w:b/>
          <w:bCs/>
          <w:lang w:eastAsia="zh-CN"/>
        </w:rPr>
      </w:pPr>
      <w:r>
        <w:rPr>
          <w:rFonts w:hint="eastAsia"/>
          <w:b/>
          <w:bCs/>
          <w:lang w:eastAsia="zh-CN"/>
        </w:rPr>
        <w:t>（一）技术要求</w:t>
      </w:r>
    </w:p>
    <w:tbl>
      <w:tblPr>
        <w:tblStyle w:val="4"/>
        <w:tblW w:w="10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384"/>
        <w:gridCol w:w="3759"/>
        <w:gridCol w:w="1586"/>
        <w:gridCol w:w="2559"/>
      </w:tblGrid>
      <w:tr w14:paraId="539B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65" w:type="dxa"/>
            <w:vAlign w:val="center"/>
          </w:tcPr>
          <w:p w14:paraId="118B063A">
            <w:pPr>
              <w:jc w:val="center"/>
              <w:rPr>
                <w:rFonts w:hint="eastAsia"/>
                <w:b/>
                <w:bCs/>
                <w:sz w:val="24"/>
                <w:szCs w:val="24"/>
              </w:rPr>
            </w:pPr>
            <w:r>
              <w:rPr>
                <w:rFonts w:hint="eastAsia"/>
                <w:b/>
                <w:bCs/>
                <w:sz w:val="24"/>
                <w:szCs w:val="24"/>
              </w:rPr>
              <w:t>品目号</w:t>
            </w:r>
          </w:p>
        </w:tc>
        <w:tc>
          <w:tcPr>
            <w:tcW w:w="1384" w:type="dxa"/>
            <w:vAlign w:val="center"/>
          </w:tcPr>
          <w:p w14:paraId="1D7A8968">
            <w:pPr>
              <w:jc w:val="center"/>
              <w:rPr>
                <w:rFonts w:hint="eastAsia"/>
                <w:b/>
                <w:bCs/>
                <w:sz w:val="24"/>
                <w:szCs w:val="24"/>
              </w:rPr>
            </w:pPr>
            <w:r>
              <w:rPr>
                <w:rFonts w:hint="eastAsia"/>
                <w:b/>
                <w:bCs/>
                <w:sz w:val="24"/>
                <w:szCs w:val="24"/>
              </w:rPr>
              <w:t>名称</w:t>
            </w:r>
          </w:p>
        </w:tc>
        <w:tc>
          <w:tcPr>
            <w:tcW w:w="3759" w:type="dxa"/>
          </w:tcPr>
          <w:p w14:paraId="00F62650">
            <w:pPr>
              <w:spacing w:before="156" w:beforeLines="50"/>
              <w:jc w:val="center"/>
              <w:rPr>
                <w:rFonts w:hint="eastAsia"/>
                <w:b/>
                <w:bCs/>
                <w:sz w:val="24"/>
                <w:szCs w:val="24"/>
              </w:rPr>
            </w:pPr>
            <w:r>
              <w:rPr>
                <w:rFonts w:hint="eastAsia"/>
                <w:b/>
                <w:bCs/>
                <w:sz w:val="24"/>
                <w:szCs w:val="24"/>
              </w:rPr>
              <w:t>具体要求</w:t>
            </w:r>
          </w:p>
        </w:tc>
        <w:tc>
          <w:tcPr>
            <w:tcW w:w="1586" w:type="dxa"/>
            <w:vAlign w:val="center"/>
          </w:tcPr>
          <w:p w14:paraId="7E288222">
            <w:pPr>
              <w:jc w:val="center"/>
              <w:rPr>
                <w:rFonts w:hint="eastAsia"/>
                <w:b/>
                <w:bCs/>
                <w:sz w:val="24"/>
                <w:szCs w:val="24"/>
              </w:rPr>
            </w:pPr>
            <w:r>
              <w:rPr>
                <w:rFonts w:hint="eastAsia"/>
                <w:b/>
                <w:bCs/>
                <w:sz w:val="24"/>
                <w:szCs w:val="24"/>
              </w:rPr>
              <w:t>数量</w:t>
            </w:r>
          </w:p>
          <w:p w14:paraId="73153F98">
            <w:pPr>
              <w:jc w:val="center"/>
              <w:rPr>
                <w:rFonts w:hint="eastAsia"/>
                <w:b/>
                <w:bCs/>
                <w:sz w:val="24"/>
                <w:szCs w:val="24"/>
              </w:rPr>
            </w:pPr>
            <w:r>
              <w:rPr>
                <w:rFonts w:hint="eastAsia"/>
                <w:b/>
                <w:bCs/>
                <w:sz w:val="24"/>
                <w:szCs w:val="24"/>
              </w:rPr>
              <w:t>（单位）</w:t>
            </w:r>
          </w:p>
        </w:tc>
        <w:tc>
          <w:tcPr>
            <w:tcW w:w="2559" w:type="dxa"/>
          </w:tcPr>
          <w:p w14:paraId="1135AF85">
            <w:pPr>
              <w:spacing w:before="156" w:beforeLines="50"/>
              <w:jc w:val="center"/>
              <w:rPr>
                <w:rFonts w:hint="eastAsia"/>
                <w:b/>
                <w:bCs/>
                <w:sz w:val="24"/>
                <w:szCs w:val="24"/>
              </w:rPr>
            </w:pPr>
            <w:r>
              <w:rPr>
                <w:rFonts w:hint="eastAsia"/>
                <w:b/>
                <w:bCs/>
                <w:sz w:val="24"/>
                <w:szCs w:val="24"/>
              </w:rPr>
              <w:t>服务周期</w:t>
            </w:r>
          </w:p>
        </w:tc>
      </w:tr>
      <w:tr w14:paraId="7661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65" w:type="dxa"/>
            <w:vAlign w:val="center"/>
          </w:tcPr>
          <w:p w14:paraId="0514181C">
            <w:pPr>
              <w:spacing w:before="156" w:beforeLines="50"/>
              <w:jc w:val="center"/>
              <w:rPr>
                <w:rFonts w:hint="eastAsia"/>
                <w:bCs/>
                <w:sz w:val="24"/>
                <w:szCs w:val="24"/>
              </w:rPr>
            </w:pPr>
            <w:r>
              <w:rPr>
                <w:rFonts w:hint="eastAsia"/>
                <w:bCs/>
                <w:sz w:val="24"/>
                <w:szCs w:val="24"/>
              </w:rPr>
              <w:t>2-1</w:t>
            </w:r>
          </w:p>
        </w:tc>
        <w:tc>
          <w:tcPr>
            <w:tcW w:w="1384" w:type="dxa"/>
            <w:vAlign w:val="center"/>
          </w:tcPr>
          <w:p w14:paraId="6EEDA763">
            <w:pPr>
              <w:spacing w:before="156" w:beforeLines="50"/>
              <w:jc w:val="center"/>
              <w:rPr>
                <w:rFonts w:hint="eastAsia"/>
                <w:bCs/>
                <w:sz w:val="24"/>
                <w:szCs w:val="24"/>
                <w:lang w:eastAsia="zh-CN"/>
              </w:rPr>
            </w:pPr>
            <w:r>
              <w:rPr>
                <w:rFonts w:hint="eastAsia"/>
                <w:bCs/>
                <w:sz w:val="24"/>
                <w:szCs w:val="24"/>
                <w:lang w:eastAsia="zh-CN"/>
              </w:rPr>
              <w:t>10X单细胞转录组测序服务</w:t>
            </w:r>
          </w:p>
        </w:tc>
        <w:tc>
          <w:tcPr>
            <w:tcW w:w="3759" w:type="dxa"/>
          </w:tcPr>
          <w:p w14:paraId="2E3B6A2A">
            <w:pPr>
              <w:rPr>
                <w:rFonts w:hint="eastAsia"/>
                <w:bCs/>
                <w:sz w:val="24"/>
                <w:szCs w:val="24"/>
                <w:lang w:eastAsia="zh-CN"/>
              </w:rPr>
            </w:pPr>
            <w:r>
              <w:rPr>
                <w:rFonts w:hint="eastAsia"/>
                <w:bCs/>
                <w:sz w:val="24"/>
                <w:szCs w:val="24"/>
                <w:lang w:eastAsia="zh-CN"/>
              </w:rPr>
              <w:t>1、使用10xGenomics Chromium 构建单细胞转录组测序文库</w:t>
            </w:r>
          </w:p>
          <w:p w14:paraId="3864A7FF">
            <w:pPr>
              <w:rPr>
                <w:rFonts w:hint="eastAsia"/>
                <w:bCs/>
                <w:sz w:val="24"/>
                <w:szCs w:val="24"/>
                <w:lang w:eastAsia="zh-CN"/>
              </w:rPr>
            </w:pPr>
            <w:r>
              <w:rPr>
                <w:rFonts w:hint="eastAsia"/>
                <w:bCs/>
                <w:sz w:val="24"/>
                <w:szCs w:val="24"/>
                <w:lang w:eastAsia="zh-CN"/>
              </w:rPr>
              <w:t>2、预设捕获细胞数量20000</w:t>
            </w:r>
          </w:p>
          <w:p w14:paraId="088DBA35">
            <w:pPr>
              <w:rPr>
                <w:rFonts w:hint="eastAsia"/>
                <w:bCs/>
                <w:sz w:val="24"/>
                <w:szCs w:val="24"/>
                <w:lang w:eastAsia="zh-CN"/>
              </w:rPr>
            </w:pPr>
            <w:r>
              <w:rPr>
                <w:rFonts w:hint="eastAsia"/>
                <w:bCs/>
                <w:sz w:val="24"/>
                <w:szCs w:val="24"/>
                <w:lang w:eastAsia="zh-CN"/>
              </w:rPr>
              <w:t>3、对每个样本构建1个文库，对文库进行illumina 高通量测序</w:t>
            </w:r>
          </w:p>
          <w:p w14:paraId="402D2B31">
            <w:pPr>
              <w:rPr>
                <w:rFonts w:hint="eastAsia"/>
                <w:bCs/>
                <w:sz w:val="24"/>
                <w:szCs w:val="24"/>
                <w:lang w:eastAsia="zh-CN"/>
              </w:rPr>
            </w:pPr>
            <w:r>
              <w:rPr>
                <w:rFonts w:hint="eastAsia"/>
                <w:bCs/>
                <w:sz w:val="24"/>
                <w:szCs w:val="24"/>
                <w:lang w:eastAsia="zh-CN"/>
              </w:rPr>
              <w:t>4、测序策略为PE150，测序数据量200G</w:t>
            </w:r>
          </w:p>
          <w:p w14:paraId="1FDEC986">
            <w:pPr>
              <w:rPr>
                <w:rFonts w:hint="eastAsia"/>
                <w:bCs/>
                <w:sz w:val="24"/>
                <w:szCs w:val="24"/>
                <w:lang w:eastAsia="zh-CN"/>
              </w:rPr>
            </w:pPr>
            <w:r>
              <w:rPr>
                <w:rFonts w:hint="eastAsia"/>
                <w:bCs/>
                <w:sz w:val="24"/>
                <w:szCs w:val="24"/>
                <w:lang w:eastAsia="zh-CN"/>
              </w:rPr>
              <w:t>5、提供测序原始数据及数据分析。</w:t>
            </w:r>
          </w:p>
        </w:tc>
        <w:tc>
          <w:tcPr>
            <w:tcW w:w="1586" w:type="dxa"/>
            <w:vAlign w:val="center"/>
          </w:tcPr>
          <w:p w14:paraId="40E5E189">
            <w:pPr>
              <w:spacing w:before="156" w:beforeLines="50"/>
              <w:jc w:val="center"/>
              <w:rPr>
                <w:rFonts w:hint="eastAsia"/>
                <w:bCs/>
                <w:sz w:val="24"/>
                <w:szCs w:val="24"/>
              </w:rPr>
            </w:pPr>
            <w:r>
              <w:rPr>
                <w:rFonts w:hint="eastAsia"/>
                <w:bCs/>
                <w:sz w:val="24"/>
                <w:szCs w:val="24"/>
              </w:rPr>
              <w:t>1</w:t>
            </w:r>
            <w:r>
              <w:rPr>
                <w:rFonts w:hint="eastAsia"/>
                <w:bCs/>
                <w:sz w:val="24"/>
                <w:szCs w:val="24"/>
                <w:lang w:eastAsia="zh-CN"/>
              </w:rPr>
              <w:t>7</w:t>
            </w:r>
            <w:r>
              <w:rPr>
                <w:rFonts w:hint="eastAsia"/>
                <w:bCs/>
                <w:sz w:val="24"/>
                <w:szCs w:val="24"/>
              </w:rPr>
              <w:t>例</w:t>
            </w:r>
          </w:p>
        </w:tc>
        <w:tc>
          <w:tcPr>
            <w:tcW w:w="2559" w:type="dxa"/>
          </w:tcPr>
          <w:p w14:paraId="4E0A2607">
            <w:pPr>
              <w:spacing w:before="156" w:beforeLines="50"/>
              <w:jc w:val="center"/>
              <w:rPr>
                <w:rFonts w:hint="eastAsia"/>
                <w:bCs/>
                <w:sz w:val="24"/>
                <w:szCs w:val="24"/>
                <w:lang w:eastAsia="zh-CN"/>
              </w:rPr>
            </w:pPr>
            <w:r>
              <w:rPr>
                <w:rFonts w:hint="eastAsia"/>
                <w:bCs/>
                <w:sz w:val="24"/>
                <w:szCs w:val="24"/>
                <w:lang w:eastAsia="zh-CN"/>
              </w:rPr>
              <w:t>本采购项目实验周期30个工作日，服务周期1年，包括数据沟通与调整等，交付周期30个工作日。</w:t>
            </w:r>
          </w:p>
        </w:tc>
      </w:tr>
      <w:tr w14:paraId="3F74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965" w:type="dxa"/>
            <w:vAlign w:val="center"/>
          </w:tcPr>
          <w:p w14:paraId="1BFEB489">
            <w:pPr>
              <w:spacing w:before="156" w:beforeLines="50"/>
              <w:jc w:val="center"/>
              <w:rPr>
                <w:rFonts w:hint="eastAsia"/>
                <w:bCs/>
                <w:sz w:val="24"/>
                <w:szCs w:val="24"/>
              </w:rPr>
            </w:pPr>
            <w:r>
              <w:rPr>
                <w:rFonts w:hint="eastAsia"/>
                <w:bCs/>
                <w:sz w:val="24"/>
                <w:szCs w:val="24"/>
              </w:rPr>
              <w:t>2-2</w:t>
            </w:r>
          </w:p>
        </w:tc>
        <w:tc>
          <w:tcPr>
            <w:tcW w:w="1384" w:type="dxa"/>
            <w:vAlign w:val="center"/>
          </w:tcPr>
          <w:p w14:paraId="1560B8B9">
            <w:pPr>
              <w:spacing w:before="156" w:beforeLines="50"/>
              <w:jc w:val="center"/>
              <w:rPr>
                <w:rFonts w:hint="eastAsia"/>
                <w:bCs/>
                <w:sz w:val="24"/>
                <w:szCs w:val="24"/>
                <w:lang w:eastAsia="zh-CN"/>
              </w:rPr>
            </w:pPr>
            <w:r>
              <w:rPr>
                <w:rFonts w:hint="eastAsia"/>
                <w:bCs/>
                <w:sz w:val="24"/>
                <w:szCs w:val="24"/>
                <w:lang w:eastAsia="zh-CN"/>
              </w:rPr>
              <w:t>BD单细胞转录组测序服务</w:t>
            </w:r>
          </w:p>
        </w:tc>
        <w:tc>
          <w:tcPr>
            <w:tcW w:w="3759" w:type="dxa"/>
          </w:tcPr>
          <w:p w14:paraId="3A9B5997">
            <w:pPr>
              <w:numPr>
                <w:ilvl w:val="0"/>
                <w:numId w:val="4"/>
              </w:numPr>
              <w:rPr>
                <w:rFonts w:hint="eastAsia"/>
                <w:bCs/>
                <w:sz w:val="24"/>
                <w:szCs w:val="24"/>
                <w:lang w:eastAsia="zh-CN"/>
              </w:rPr>
            </w:pPr>
            <w:r>
              <w:rPr>
                <w:rFonts w:hint="eastAsia"/>
                <w:bCs/>
                <w:sz w:val="24"/>
                <w:szCs w:val="24"/>
                <w:lang w:eastAsia="zh-CN"/>
              </w:rPr>
              <w:t>对每个样本构建1个文库，</w:t>
            </w:r>
          </w:p>
          <w:p w14:paraId="74C8BB29">
            <w:pPr>
              <w:numPr>
                <w:ilvl w:val="0"/>
                <w:numId w:val="4"/>
              </w:numPr>
              <w:rPr>
                <w:rFonts w:hint="eastAsia"/>
                <w:bCs/>
                <w:sz w:val="24"/>
                <w:szCs w:val="24"/>
                <w:lang w:eastAsia="zh-CN"/>
              </w:rPr>
            </w:pPr>
            <w:r>
              <w:rPr>
                <w:rFonts w:hint="eastAsia"/>
                <w:bCs/>
                <w:sz w:val="24"/>
                <w:szCs w:val="24"/>
                <w:lang w:eastAsia="zh-CN"/>
              </w:rPr>
              <w:t>对BD WTA单细胞文库进行测序，</w:t>
            </w:r>
          </w:p>
          <w:p w14:paraId="53C114C5">
            <w:pPr>
              <w:numPr>
                <w:ilvl w:val="0"/>
                <w:numId w:val="4"/>
              </w:numPr>
              <w:rPr>
                <w:rFonts w:hint="eastAsia"/>
                <w:bCs/>
                <w:sz w:val="24"/>
                <w:szCs w:val="24"/>
              </w:rPr>
            </w:pPr>
            <w:r>
              <w:rPr>
                <w:rFonts w:hint="eastAsia"/>
                <w:bCs/>
                <w:sz w:val="24"/>
                <w:szCs w:val="24"/>
              </w:rPr>
              <w:t>对文库进行illumina 高通量测序，</w:t>
            </w:r>
          </w:p>
          <w:p w14:paraId="3146B397">
            <w:pPr>
              <w:numPr>
                <w:ilvl w:val="0"/>
                <w:numId w:val="4"/>
              </w:numPr>
              <w:rPr>
                <w:rFonts w:hint="eastAsia"/>
                <w:bCs/>
                <w:sz w:val="24"/>
                <w:szCs w:val="24"/>
                <w:lang w:eastAsia="zh-CN"/>
              </w:rPr>
            </w:pPr>
            <w:r>
              <w:rPr>
                <w:rFonts w:hint="eastAsia"/>
                <w:bCs/>
                <w:sz w:val="24"/>
                <w:szCs w:val="24"/>
                <w:lang w:eastAsia="zh-CN"/>
              </w:rPr>
              <w:t>测序策略为PE150，测序数据量200G，</w:t>
            </w:r>
          </w:p>
          <w:p w14:paraId="00648286">
            <w:pPr>
              <w:numPr>
                <w:ilvl w:val="0"/>
                <w:numId w:val="4"/>
              </w:numPr>
              <w:rPr>
                <w:rFonts w:hint="eastAsia"/>
                <w:bCs/>
                <w:sz w:val="24"/>
                <w:szCs w:val="24"/>
                <w:lang w:eastAsia="zh-CN"/>
              </w:rPr>
            </w:pPr>
            <w:r>
              <w:rPr>
                <w:rFonts w:hint="eastAsia"/>
                <w:bCs/>
                <w:sz w:val="24"/>
                <w:szCs w:val="24"/>
                <w:lang w:eastAsia="zh-CN"/>
              </w:rPr>
              <w:t>提供测序原始数据及数据分析</w:t>
            </w:r>
          </w:p>
        </w:tc>
        <w:tc>
          <w:tcPr>
            <w:tcW w:w="1586" w:type="dxa"/>
            <w:vAlign w:val="center"/>
          </w:tcPr>
          <w:p w14:paraId="2AEFF9EA">
            <w:pPr>
              <w:spacing w:before="156" w:beforeLines="50"/>
              <w:jc w:val="center"/>
              <w:rPr>
                <w:rFonts w:hint="eastAsia"/>
                <w:bCs/>
                <w:sz w:val="24"/>
                <w:szCs w:val="24"/>
              </w:rPr>
            </w:pPr>
            <w:r>
              <w:rPr>
                <w:rFonts w:hint="eastAsia"/>
                <w:bCs/>
                <w:sz w:val="24"/>
                <w:szCs w:val="24"/>
              </w:rPr>
              <w:t>24例</w:t>
            </w:r>
          </w:p>
        </w:tc>
        <w:tc>
          <w:tcPr>
            <w:tcW w:w="2559" w:type="dxa"/>
          </w:tcPr>
          <w:p w14:paraId="5353586E">
            <w:pPr>
              <w:spacing w:before="156" w:beforeLines="50"/>
              <w:jc w:val="center"/>
              <w:rPr>
                <w:rFonts w:hint="eastAsia"/>
                <w:bCs/>
                <w:sz w:val="24"/>
                <w:szCs w:val="24"/>
                <w:lang w:eastAsia="zh-CN"/>
              </w:rPr>
            </w:pPr>
            <w:r>
              <w:rPr>
                <w:rFonts w:hint="eastAsia"/>
                <w:bCs/>
                <w:sz w:val="24"/>
                <w:szCs w:val="24"/>
                <w:lang w:eastAsia="zh-CN"/>
              </w:rPr>
              <w:t>本采购项目实验周期30个工作日，服务周期1年，包括数据沟通与调整等，交付周期30个工作日。</w:t>
            </w:r>
          </w:p>
        </w:tc>
      </w:tr>
    </w:tbl>
    <w:p w14:paraId="6CE1F73E">
      <w:pPr>
        <w:widowControl/>
        <w:spacing w:line="360" w:lineRule="auto"/>
        <w:ind w:firstLine="482" w:firstLineChars="200"/>
        <w:contextualSpacing/>
        <w:rPr>
          <w:rFonts w:ascii="Times New Roman" w:hAnsi="Times New Roman" w:cs="Times New Roman"/>
          <w:b/>
          <w:bCs/>
          <w:sz w:val="24"/>
          <w:lang w:eastAsia="zh-CN"/>
        </w:rPr>
      </w:pPr>
      <w:r>
        <w:rPr>
          <w:rFonts w:hint="eastAsia" w:ascii="Times New Roman" w:hAnsi="Times New Roman" w:cs="Times New Roman"/>
          <w:b/>
          <w:bCs/>
          <w:sz w:val="24"/>
          <w:lang w:eastAsia="zh-CN"/>
        </w:rPr>
        <w:t>（二）样本要求</w:t>
      </w:r>
    </w:p>
    <w:p w14:paraId="33D709C6">
      <w:pPr>
        <w:widowControl/>
        <w:spacing w:line="360" w:lineRule="auto"/>
        <w:ind w:firstLine="480" w:firstLineChars="200"/>
        <w:contextualSpacing/>
        <w:rPr>
          <w:rFonts w:hint="eastAsia"/>
          <w:sz w:val="24"/>
          <w:szCs w:val="24"/>
          <w:lang w:eastAsia="zh-CN"/>
        </w:rPr>
      </w:pPr>
      <w:r>
        <w:rPr>
          <w:rFonts w:hint="eastAsia"/>
          <w:sz w:val="24"/>
          <w:szCs w:val="24"/>
          <w:lang w:eastAsia="zh-CN"/>
        </w:rPr>
        <w:t>单细胞悬浮液质检要求：</w:t>
      </w:r>
    </w:p>
    <w:p w14:paraId="5B9EBB55">
      <w:pPr>
        <w:widowControl/>
        <w:spacing w:line="360" w:lineRule="auto"/>
        <w:ind w:firstLine="480" w:firstLineChars="200"/>
        <w:contextualSpacing/>
        <w:rPr>
          <w:rFonts w:hint="eastAsia"/>
          <w:sz w:val="24"/>
          <w:szCs w:val="24"/>
          <w:lang w:eastAsia="zh-CN"/>
        </w:rPr>
      </w:pPr>
      <w:r>
        <w:rPr>
          <w:rFonts w:hint="eastAsia"/>
          <w:sz w:val="24"/>
          <w:szCs w:val="24"/>
          <w:lang w:eastAsia="zh-CN"/>
        </w:rPr>
        <w:t>a.细胞悬液要求：细胞活性≥85%，细胞浓度为700-1200cells/ul，结团率＜10%，有核率＞70%，细胞数大于50000；</w:t>
      </w:r>
    </w:p>
    <w:p w14:paraId="738593E0">
      <w:pPr>
        <w:widowControl/>
        <w:spacing w:line="360" w:lineRule="auto"/>
        <w:ind w:firstLine="480" w:firstLineChars="200"/>
        <w:contextualSpacing/>
        <w:rPr>
          <w:rFonts w:hint="eastAsia"/>
          <w:sz w:val="24"/>
          <w:szCs w:val="24"/>
          <w:lang w:eastAsia="zh-CN"/>
        </w:rPr>
      </w:pPr>
      <w:r>
        <w:rPr>
          <w:rFonts w:hint="eastAsia"/>
          <w:sz w:val="24"/>
          <w:szCs w:val="24"/>
          <w:lang w:eastAsia="zh-CN"/>
        </w:rPr>
        <w:t>b.平台要求：利用CountStar荧光计数法进行细胞计数；利用采购需求平台及官方配套试剂完成样本捕获并构建对应文库；</w:t>
      </w:r>
    </w:p>
    <w:p w14:paraId="6686FD12">
      <w:pPr>
        <w:widowControl/>
        <w:spacing w:line="360" w:lineRule="auto"/>
        <w:ind w:firstLine="480" w:firstLineChars="200"/>
        <w:contextualSpacing/>
        <w:rPr>
          <w:rFonts w:hint="eastAsia"/>
          <w:sz w:val="24"/>
          <w:szCs w:val="24"/>
          <w:lang w:eastAsia="zh-CN"/>
        </w:rPr>
      </w:pPr>
      <w:r>
        <w:rPr>
          <w:rFonts w:hint="eastAsia"/>
          <w:sz w:val="24"/>
          <w:szCs w:val="24"/>
          <w:lang w:eastAsia="zh-CN"/>
        </w:rPr>
        <w:t>c.测序需求：要求使用Illumina NovaSeq 6000高通量测序平台进行PE150测序；测序质量要求：文库质检合格后，每个转录组文库测序数据量≥200G，测序Q30＞85%，无GC分离；</w:t>
      </w:r>
    </w:p>
    <w:p w14:paraId="63A78FC0">
      <w:pPr>
        <w:widowControl/>
        <w:spacing w:line="360" w:lineRule="auto"/>
        <w:ind w:firstLine="480" w:firstLineChars="200"/>
        <w:contextualSpacing/>
        <w:rPr>
          <w:rFonts w:hint="eastAsia"/>
          <w:sz w:val="24"/>
          <w:szCs w:val="24"/>
          <w:lang w:eastAsia="zh-CN"/>
        </w:rPr>
      </w:pPr>
      <w:r>
        <w:rPr>
          <w:rFonts w:hint="eastAsia"/>
          <w:sz w:val="24"/>
          <w:szCs w:val="24"/>
          <w:lang w:eastAsia="zh-CN"/>
        </w:rPr>
        <w:t>d.测序数据基因组比对率≥85%，目标捕获细胞数浮动范围在20%以内，细胞平均reads&gt;20k，细胞基因中位数≥1000；</w:t>
      </w:r>
    </w:p>
    <w:p w14:paraId="2E42AE64">
      <w:pPr>
        <w:widowControl/>
        <w:spacing w:line="360" w:lineRule="auto"/>
        <w:ind w:firstLine="480" w:firstLineChars="200"/>
        <w:contextualSpacing/>
        <w:rPr>
          <w:rFonts w:hint="eastAsia"/>
          <w:sz w:val="24"/>
          <w:szCs w:val="24"/>
          <w:lang w:eastAsia="zh-CN"/>
        </w:rPr>
      </w:pPr>
      <w:r>
        <w:rPr>
          <w:rFonts w:hint="eastAsia"/>
          <w:sz w:val="24"/>
          <w:szCs w:val="24"/>
          <w:lang w:eastAsia="zh-CN"/>
        </w:rPr>
        <w:t>2.实验流程要求</w:t>
      </w:r>
    </w:p>
    <w:p w14:paraId="4F28EC8C">
      <w:pPr>
        <w:widowControl/>
        <w:spacing w:line="360" w:lineRule="auto"/>
        <w:ind w:firstLine="480" w:firstLineChars="200"/>
        <w:contextualSpacing/>
        <w:rPr>
          <w:rFonts w:hint="eastAsia"/>
          <w:sz w:val="24"/>
          <w:szCs w:val="24"/>
          <w:lang w:eastAsia="zh-CN"/>
        </w:rPr>
      </w:pPr>
      <w:r>
        <w:rPr>
          <w:rFonts w:hint="eastAsia"/>
          <w:sz w:val="24"/>
          <w:szCs w:val="24"/>
          <w:lang w:eastAsia="zh-CN"/>
        </w:rPr>
        <w:t>1)对组织进行单细胞悬液制备</w:t>
      </w:r>
    </w:p>
    <w:p w14:paraId="700795DE">
      <w:pPr>
        <w:widowControl/>
        <w:spacing w:line="360" w:lineRule="auto"/>
        <w:ind w:firstLine="480" w:firstLineChars="200"/>
        <w:contextualSpacing/>
        <w:rPr>
          <w:rFonts w:hint="eastAsia"/>
          <w:sz w:val="24"/>
          <w:szCs w:val="24"/>
          <w:lang w:eastAsia="zh-CN"/>
        </w:rPr>
      </w:pPr>
      <w:r>
        <w:rPr>
          <w:rFonts w:hint="eastAsia"/>
          <w:sz w:val="24"/>
          <w:szCs w:val="24"/>
          <w:lang w:eastAsia="zh-CN"/>
        </w:rPr>
        <w:t>2)符合质检标准之后利用采购要求平台进行标记建库</w:t>
      </w:r>
    </w:p>
    <w:p w14:paraId="6E0D4BC6">
      <w:pPr>
        <w:widowControl/>
        <w:spacing w:line="360" w:lineRule="auto"/>
        <w:ind w:firstLine="480" w:firstLineChars="200"/>
        <w:contextualSpacing/>
        <w:rPr>
          <w:rFonts w:hint="eastAsia"/>
          <w:sz w:val="24"/>
          <w:szCs w:val="24"/>
          <w:lang w:eastAsia="zh-CN"/>
        </w:rPr>
      </w:pPr>
      <w:r>
        <w:rPr>
          <w:rFonts w:hint="eastAsia"/>
          <w:sz w:val="24"/>
          <w:szCs w:val="24"/>
          <w:lang w:eastAsia="zh-CN"/>
        </w:rPr>
        <w:t>3)对文库样本进行二代测序</w:t>
      </w:r>
    </w:p>
    <w:p w14:paraId="0F20DAF3">
      <w:pPr>
        <w:widowControl/>
        <w:spacing w:line="360" w:lineRule="auto"/>
        <w:ind w:firstLine="480" w:firstLineChars="200"/>
        <w:contextualSpacing/>
        <w:rPr>
          <w:rFonts w:hint="eastAsia"/>
          <w:sz w:val="24"/>
          <w:szCs w:val="24"/>
          <w:lang w:eastAsia="zh-CN"/>
        </w:rPr>
      </w:pPr>
      <w:r>
        <w:rPr>
          <w:rFonts w:hint="eastAsia"/>
          <w:sz w:val="24"/>
          <w:szCs w:val="24"/>
          <w:lang w:eastAsia="zh-CN"/>
        </w:rPr>
        <w:t>4)对下机数据进行数据分析</w:t>
      </w:r>
    </w:p>
    <w:p w14:paraId="7A7C6508">
      <w:pPr>
        <w:widowControl/>
        <w:spacing w:line="360" w:lineRule="auto"/>
        <w:ind w:firstLine="480" w:firstLineChars="200"/>
        <w:contextualSpacing/>
        <w:rPr>
          <w:rFonts w:hint="eastAsia"/>
          <w:sz w:val="24"/>
          <w:szCs w:val="24"/>
          <w:lang w:eastAsia="zh-CN"/>
        </w:rPr>
      </w:pPr>
      <w:r>
        <w:rPr>
          <w:rFonts w:hint="eastAsia"/>
          <w:sz w:val="24"/>
          <w:szCs w:val="24"/>
          <w:lang w:eastAsia="zh-CN"/>
        </w:rPr>
        <w:t>（三）服务标准、期限、效率等要求；</w:t>
      </w:r>
    </w:p>
    <w:p w14:paraId="113CCC0F">
      <w:pPr>
        <w:widowControl/>
        <w:spacing w:line="360" w:lineRule="auto"/>
        <w:ind w:firstLine="480" w:firstLineChars="200"/>
        <w:contextualSpacing/>
        <w:rPr>
          <w:rFonts w:hint="eastAsia"/>
          <w:sz w:val="24"/>
          <w:szCs w:val="24"/>
          <w:lang w:eastAsia="zh-CN"/>
        </w:rPr>
      </w:pPr>
      <w:r>
        <w:rPr>
          <w:rFonts w:hint="eastAsia"/>
          <w:sz w:val="24"/>
          <w:szCs w:val="24"/>
          <w:lang w:eastAsia="zh-CN"/>
        </w:rPr>
        <w:t>样本消化及质检：1个工作日</w:t>
      </w:r>
    </w:p>
    <w:p w14:paraId="646D2181">
      <w:pPr>
        <w:widowControl/>
        <w:spacing w:line="360" w:lineRule="auto"/>
        <w:ind w:firstLine="480" w:firstLineChars="200"/>
        <w:contextualSpacing/>
        <w:rPr>
          <w:rFonts w:hint="eastAsia"/>
          <w:sz w:val="24"/>
          <w:szCs w:val="24"/>
          <w:lang w:eastAsia="zh-CN"/>
        </w:rPr>
      </w:pPr>
      <w:r>
        <w:rPr>
          <w:rFonts w:hint="eastAsia"/>
          <w:sz w:val="24"/>
          <w:szCs w:val="24"/>
          <w:lang w:eastAsia="zh-CN"/>
        </w:rPr>
        <w:t>测序分析周期：30个工作日</w:t>
      </w:r>
    </w:p>
    <w:p w14:paraId="49AB4BB2">
      <w:pPr>
        <w:widowControl/>
        <w:spacing w:line="360" w:lineRule="auto"/>
        <w:ind w:firstLine="480" w:firstLineChars="200"/>
        <w:contextualSpacing/>
        <w:rPr>
          <w:rFonts w:hint="eastAsia"/>
          <w:sz w:val="24"/>
          <w:szCs w:val="24"/>
          <w:lang w:eastAsia="zh-CN"/>
        </w:rPr>
      </w:pPr>
      <w:r>
        <w:rPr>
          <w:rFonts w:hint="eastAsia"/>
          <w:sz w:val="24"/>
          <w:szCs w:val="24"/>
          <w:lang w:eastAsia="zh-CN"/>
        </w:rPr>
        <w:t>售后服务周期：一年</w:t>
      </w:r>
    </w:p>
    <w:p w14:paraId="4B83D2D7">
      <w:pPr>
        <w:widowControl/>
        <w:spacing w:line="360" w:lineRule="auto"/>
        <w:ind w:firstLine="480" w:firstLineChars="200"/>
        <w:contextualSpacing/>
        <w:rPr>
          <w:rFonts w:hint="eastAsia"/>
          <w:sz w:val="24"/>
          <w:szCs w:val="24"/>
          <w:lang w:eastAsia="zh-CN"/>
        </w:rPr>
      </w:pPr>
      <w:r>
        <w:rPr>
          <w:rFonts w:hint="eastAsia"/>
          <w:sz w:val="24"/>
          <w:szCs w:val="24"/>
          <w:lang w:eastAsia="zh-CN"/>
        </w:rPr>
        <w:t>数据交付方式：硬盘交付</w:t>
      </w:r>
    </w:p>
    <w:p w14:paraId="1B3C6085">
      <w:pPr>
        <w:widowControl/>
        <w:spacing w:line="360" w:lineRule="auto"/>
        <w:ind w:firstLine="480" w:firstLineChars="200"/>
        <w:contextualSpacing/>
        <w:rPr>
          <w:rFonts w:hint="eastAsia"/>
          <w:sz w:val="24"/>
          <w:szCs w:val="24"/>
          <w:lang w:eastAsia="zh-CN"/>
        </w:rPr>
      </w:pPr>
      <w:r>
        <w:rPr>
          <w:rFonts w:hint="eastAsia"/>
          <w:sz w:val="24"/>
          <w:szCs w:val="24"/>
          <w:lang w:eastAsia="zh-CN"/>
        </w:rPr>
        <w:t>（四）其他技术、服务等要求；</w:t>
      </w:r>
    </w:p>
    <w:p w14:paraId="764F7CB2">
      <w:pPr>
        <w:widowControl/>
        <w:spacing w:line="360" w:lineRule="auto"/>
        <w:ind w:firstLine="480" w:firstLineChars="200"/>
        <w:contextualSpacing/>
        <w:rPr>
          <w:rFonts w:hint="eastAsia"/>
          <w:sz w:val="24"/>
          <w:szCs w:val="24"/>
          <w:lang w:eastAsia="zh-CN"/>
        </w:rPr>
      </w:pPr>
      <w:r>
        <w:rPr>
          <w:rFonts w:hint="eastAsia"/>
          <w:sz w:val="24"/>
          <w:szCs w:val="24"/>
          <w:lang w:eastAsia="zh-CN"/>
        </w:rPr>
        <w:t>（2）针对本项目服务团队人数大于5人；</w:t>
      </w:r>
    </w:p>
    <w:p w14:paraId="626FA336">
      <w:pPr>
        <w:widowControl/>
        <w:spacing w:line="360" w:lineRule="auto"/>
        <w:ind w:firstLine="480" w:firstLineChars="200"/>
        <w:contextualSpacing/>
        <w:rPr>
          <w:rFonts w:hint="eastAsia"/>
          <w:sz w:val="24"/>
          <w:szCs w:val="24"/>
          <w:lang w:eastAsia="zh-CN"/>
        </w:rPr>
      </w:pPr>
      <w:r>
        <w:rPr>
          <w:rFonts w:hint="eastAsia"/>
          <w:sz w:val="24"/>
          <w:szCs w:val="24"/>
          <w:lang w:eastAsia="zh-CN"/>
        </w:rPr>
        <w:t>（3）自主拥有测序所需的仪器及独立分析团队；</w:t>
      </w:r>
    </w:p>
    <w:p w14:paraId="6FD533D8">
      <w:pPr>
        <w:widowControl/>
        <w:spacing w:line="360" w:lineRule="auto"/>
        <w:ind w:firstLine="480" w:firstLineChars="200"/>
        <w:contextualSpacing/>
        <w:rPr>
          <w:rFonts w:hint="eastAsia"/>
          <w:sz w:val="24"/>
          <w:szCs w:val="24"/>
          <w:lang w:eastAsia="zh-CN"/>
        </w:rPr>
      </w:pPr>
      <w:r>
        <w:rPr>
          <w:rFonts w:hint="eastAsia"/>
          <w:sz w:val="24"/>
          <w:szCs w:val="24"/>
          <w:lang w:eastAsia="zh-CN"/>
        </w:rPr>
        <w:t>（4）投标人需自购所使用单细胞平台的仪器设备，并需使用其原装配套试剂进行单细胞文库的构建；</w:t>
      </w:r>
    </w:p>
    <w:p w14:paraId="6132CE84">
      <w:pPr>
        <w:widowControl/>
        <w:spacing w:line="360" w:lineRule="auto"/>
        <w:ind w:firstLine="480" w:firstLineChars="200"/>
        <w:contextualSpacing/>
        <w:rPr>
          <w:rFonts w:hint="eastAsia"/>
          <w:sz w:val="24"/>
          <w:szCs w:val="24"/>
          <w:lang w:eastAsia="zh-CN"/>
        </w:rPr>
      </w:pPr>
      <w:r>
        <w:rPr>
          <w:rFonts w:hint="eastAsia"/>
          <w:sz w:val="24"/>
          <w:szCs w:val="24"/>
          <w:lang w:eastAsia="zh-CN"/>
        </w:rPr>
        <w:t>（5）正式实验前10个工作日提供一次组织样本预实验，并提供解离和细胞活性报告。</w:t>
      </w:r>
    </w:p>
    <w:p w14:paraId="75299144">
      <w:pPr>
        <w:widowControl/>
        <w:spacing w:line="360" w:lineRule="auto"/>
        <w:ind w:firstLine="480" w:firstLineChars="200"/>
        <w:contextualSpacing/>
        <w:rPr>
          <w:rFonts w:hint="eastAsia"/>
          <w:sz w:val="24"/>
          <w:szCs w:val="24"/>
          <w:lang w:eastAsia="zh-CN"/>
        </w:rPr>
      </w:pPr>
      <w:r>
        <w:rPr>
          <w:rFonts w:hint="eastAsia"/>
          <w:sz w:val="24"/>
          <w:szCs w:val="24"/>
          <w:lang w:eastAsia="zh-CN"/>
        </w:rPr>
        <w:t>（五）售后服务（质保期）：</w:t>
      </w:r>
    </w:p>
    <w:p w14:paraId="56B6CC72">
      <w:pPr>
        <w:widowControl/>
        <w:spacing w:line="360" w:lineRule="auto"/>
        <w:ind w:firstLine="480" w:firstLineChars="200"/>
        <w:contextualSpacing/>
        <w:rPr>
          <w:rFonts w:hint="eastAsia"/>
          <w:sz w:val="24"/>
          <w:szCs w:val="24"/>
          <w:lang w:eastAsia="zh-CN"/>
        </w:rPr>
      </w:pPr>
      <w:r>
        <w:rPr>
          <w:rFonts w:hint="eastAsia"/>
          <w:sz w:val="24"/>
          <w:szCs w:val="24"/>
          <w:lang w:eastAsia="zh-CN"/>
        </w:rPr>
        <w:t>自合同签订之后一年</w:t>
      </w:r>
    </w:p>
    <w:p w14:paraId="3DCE1D3D">
      <w:pPr>
        <w:widowControl/>
        <w:spacing w:line="360" w:lineRule="auto"/>
        <w:ind w:firstLine="480" w:firstLineChars="200"/>
        <w:contextualSpacing/>
        <w:rPr>
          <w:rFonts w:hint="eastAsia"/>
          <w:sz w:val="24"/>
          <w:szCs w:val="24"/>
          <w:lang w:eastAsia="zh-CN"/>
        </w:rPr>
      </w:pPr>
      <w:r>
        <w:rPr>
          <w:rFonts w:hint="eastAsia"/>
          <w:sz w:val="24"/>
          <w:szCs w:val="24"/>
          <w:lang w:eastAsia="zh-CN"/>
        </w:rPr>
        <w:t>（六）样本收取及流转</w:t>
      </w:r>
    </w:p>
    <w:p w14:paraId="27446F40">
      <w:pPr>
        <w:widowControl/>
        <w:spacing w:line="360" w:lineRule="auto"/>
        <w:ind w:firstLine="480" w:firstLineChars="200"/>
        <w:rPr>
          <w:rFonts w:hint="eastAsia"/>
          <w:sz w:val="24"/>
          <w:szCs w:val="24"/>
          <w:lang w:eastAsia="zh-CN"/>
        </w:rPr>
      </w:pPr>
      <w:r>
        <w:rPr>
          <w:rFonts w:hint="eastAsia"/>
          <w:sz w:val="24"/>
          <w:szCs w:val="24"/>
          <w:lang w:eastAsia="zh-CN"/>
        </w:rPr>
        <w:t>（1）样本接收：</w:t>
      </w:r>
    </w:p>
    <w:p w14:paraId="076CA5AC">
      <w:pPr>
        <w:widowControl/>
        <w:spacing w:line="360" w:lineRule="auto"/>
        <w:ind w:firstLine="480" w:firstLineChars="200"/>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6E1C6C88">
      <w:pPr>
        <w:widowControl/>
        <w:spacing w:line="360" w:lineRule="auto"/>
        <w:ind w:firstLine="480" w:firstLineChars="200"/>
        <w:rPr>
          <w:rFonts w:hint="eastAsia"/>
          <w:sz w:val="24"/>
          <w:szCs w:val="24"/>
          <w:lang w:eastAsia="zh-CN"/>
        </w:rPr>
      </w:pPr>
      <w:r>
        <w:rPr>
          <w:rFonts w:hint="eastAsia"/>
          <w:sz w:val="24"/>
          <w:szCs w:val="24"/>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537C8E53">
      <w:pPr>
        <w:widowControl/>
        <w:spacing w:line="360" w:lineRule="auto"/>
        <w:ind w:firstLine="480" w:firstLineChars="200"/>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6C6CD5CC">
      <w:pPr>
        <w:widowControl/>
        <w:spacing w:line="360" w:lineRule="auto"/>
        <w:ind w:firstLine="480" w:firstLineChars="200"/>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2652F689">
      <w:pPr>
        <w:widowControl/>
        <w:spacing w:line="360" w:lineRule="auto"/>
        <w:ind w:firstLine="480" w:firstLineChars="200"/>
        <w:rPr>
          <w:rFonts w:hint="eastAsia"/>
          <w:sz w:val="24"/>
          <w:szCs w:val="24"/>
          <w:lang w:eastAsia="zh-CN"/>
        </w:rPr>
      </w:pPr>
      <w:r>
        <w:rPr>
          <w:rFonts w:hint="eastAsia"/>
          <w:sz w:val="24"/>
          <w:szCs w:val="24"/>
          <w:lang w:eastAsia="zh-CN"/>
        </w:rPr>
        <w:t>（2）样本运输：</w:t>
      </w:r>
    </w:p>
    <w:p w14:paraId="57C8B052">
      <w:pPr>
        <w:widowControl/>
        <w:spacing w:line="360" w:lineRule="auto"/>
        <w:ind w:firstLine="480" w:firstLineChars="200"/>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①指派的物流人员需是专职从事样本接收工作的人员，保证根据样本转运及存储要求，进行冷链和常温物流运输，确保运输过程的样品质量和环境安全。</w:t>
      </w:r>
    </w:p>
    <w:p w14:paraId="49212FBA">
      <w:pPr>
        <w:widowControl/>
        <w:spacing w:line="360" w:lineRule="auto"/>
        <w:ind w:firstLine="480" w:firstLineChars="200"/>
        <w:rPr>
          <w:rFonts w:hint="eastAsia"/>
          <w:sz w:val="24"/>
          <w:szCs w:val="24"/>
          <w:lang w:eastAsia="zh-CN"/>
        </w:rPr>
      </w:pPr>
      <w:r>
        <w:rPr>
          <w:rFonts w:hint="eastAsia"/>
          <w:sz w:val="24"/>
          <w:szCs w:val="24"/>
          <w:lang w:eastAsia="zh-CN"/>
        </w:rPr>
        <w:t>②接收样本后48小时内转运至检测实验室，以保障检测时效性。</w:t>
      </w:r>
    </w:p>
    <w:p w14:paraId="1930C8AA">
      <w:pPr>
        <w:widowControl/>
        <w:spacing w:line="360" w:lineRule="auto"/>
        <w:ind w:firstLine="480" w:firstLineChars="200"/>
        <w:contextualSpacing/>
        <w:rPr>
          <w:rFonts w:hint="eastAsia"/>
          <w:sz w:val="24"/>
          <w:lang w:eastAsia="zh-CN"/>
        </w:rPr>
      </w:pPr>
      <w:r>
        <w:rPr>
          <w:rFonts w:hint="eastAsia"/>
          <w:sz w:val="24"/>
          <w:szCs w:val="24"/>
          <w:lang w:eastAsia="zh-CN"/>
        </w:rPr>
        <w:t>（七）保密要求：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7F8EF047">
      <w:pPr>
        <w:widowControl/>
        <w:spacing w:line="360" w:lineRule="auto"/>
        <w:ind w:firstLine="480" w:firstLineChars="200"/>
        <w:contextualSpacing/>
        <w:rPr>
          <w:rFonts w:hint="eastAsia"/>
          <w:sz w:val="24"/>
          <w:lang w:eastAsia="zh-CN"/>
        </w:rPr>
      </w:pPr>
      <w:r>
        <w:rPr>
          <w:rFonts w:hint="eastAsia"/>
          <w:sz w:val="24"/>
          <w:lang w:eastAsia="zh-CN"/>
        </w:rPr>
        <w:t>（八）其他要求</w:t>
      </w:r>
    </w:p>
    <w:p w14:paraId="29A4E1C9">
      <w:pPr>
        <w:widowControl/>
        <w:spacing w:line="360" w:lineRule="auto"/>
        <w:ind w:firstLine="480" w:firstLineChars="200"/>
        <w:contextualSpacing/>
        <w:rPr>
          <w:rFonts w:hint="eastAsia"/>
          <w:sz w:val="24"/>
          <w:lang w:eastAsia="zh-CN"/>
        </w:rPr>
      </w:pPr>
      <w:r>
        <w:rPr>
          <w:rFonts w:hint="eastAsia"/>
          <w:sz w:val="24"/>
          <w:lang w:eastAsia="zh-CN"/>
        </w:rPr>
        <w:t>（1）剩余样本保存：实验完成后，中标人提供</w:t>
      </w:r>
      <w:r>
        <w:rPr>
          <w:rFonts w:hint="eastAsia"/>
          <w:color w:val="000000" w:themeColor="text1"/>
          <w:sz w:val="24"/>
          <w:lang w:eastAsia="zh-CN"/>
          <w14:textFill>
            <w14:solidFill>
              <w14:schemeClr w14:val="tx1"/>
            </w14:solidFill>
          </w14:textFill>
        </w:rPr>
        <w:t>3个月</w:t>
      </w:r>
      <w:r>
        <w:rPr>
          <w:rFonts w:hint="eastAsia"/>
          <w:sz w:val="24"/>
          <w:lang w:eastAsia="zh-CN"/>
        </w:rPr>
        <w:t>的样本（包括剩余原始样本以及检测后剩余的文库样本）保存服务。在保存样本时，对样本进行一一对应标记，用专用样本存储设备进行低温（-80℃）保存，标记需清晰，以便采购人有需要可随时进行调档。</w:t>
      </w:r>
    </w:p>
    <w:p w14:paraId="35769797">
      <w:pPr>
        <w:widowControl/>
        <w:spacing w:line="360" w:lineRule="auto"/>
        <w:ind w:firstLine="480" w:firstLineChars="200"/>
        <w:contextualSpacing/>
        <w:rPr>
          <w:rFonts w:hint="eastAsia"/>
          <w:sz w:val="24"/>
          <w:lang w:eastAsia="zh-CN"/>
        </w:rPr>
      </w:pPr>
      <w:r>
        <w:rPr>
          <w:rFonts w:hint="eastAsia"/>
          <w:sz w:val="24"/>
          <w:lang w:eastAsia="zh-CN"/>
        </w:rPr>
        <w:t>（2）数据存储：数据交付后，中标人提供</w:t>
      </w:r>
      <w:r>
        <w:rPr>
          <w:rFonts w:hint="eastAsia"/>
          <w:color w:val="000000" w:themeColor="text1"/>
          <w:sz w:val="24"/>
          <w:lang w:eastAsia="zh-CN"/>
          <w14:textFill>
            <w14:solidFill>
              <w14:schemeClr w14:val="tx1"/>
            </w14:solidFill>
          </w14:textFill>
        </w:rPr>
        <w:t>3个月</w:t>
      </w:r>
      <w:r>
        <w:rPr>
          <w:rFonts w:hint="eastAsia"/>
          <w:sz w:val="24"/>
          <w:lang w:eastAsia="zh-CN"/>
        </w:rPr>
        <w:t>的数据存储服务。</w:t>
      </w:r>
    </w:p>
    <w:p w14:paraId="21A23ED8">
      <w:pPr>
        <w:rPr>
          <w:rFonts w:hint="eastAsia"/>
          <w:sz w:val="24"/>
          <w:lang w:eastAsia="zh-CN"/>
        </w:rPr>
        <w:sectPr>
          <w:pgSz w:w="11906" w:h="16838"/>
          <w:pgMar w:top="1440" w:right="1800" w:bottom="1440" w:left="1800" w:header="851" w:footer="992" w:gutter="0"/>
          <w:cols w:space="425" w:num="1"/>
          <w:docGrid w:type="lines" w:linePitch="312" w:charSpace="0"/>
        </w:sectPr>
      </w:pPr>
    </w:p>
    <w:p w14:paraId="6851A6C7">
      <w:pPr>
        <w:pStyle w:val="2"/>
        <w:jc w:val="center"/>
        <w:rPr>
          <w:rFonts w:hint="eastAsia"/>
          <w:b/>
          <w:bCs/>
          <w:sz w:val="32"/>
          <w:szCs w:val="32"/>
          <w:lang w:eastAsia="zh-CN"/>
        </w:rPr>
      </w:pPr>
      <w:r>
        <w:rPr>
          <w:rFonts w:hint="eastAsia"/>
          <w:b/>
          <w:bCs/>
          <w:sz w:val="32"/>
          <w:szCs w:val="32"/>
          <w:lang w:eastAsia="zh-CN"/>
        </w:rPr>
        <w:t>03包：</w:t>
      </w:r>
    </w:p>
    <w:p w14:paraId="1F7816FB">
      <w:pPr>
        <w:pStyle w:val="2"/>
        <w:rPr>
          <w:rFonts w:hint="eastAsia"/>
          <w:b/>
          <w:bCs/>
          <w:sz w:val="32"/>
          <w:szCs w:val="32"/>
          <w:lang w:eastAsia="zh-CN"/>
        </w:rPr>
      </w:pPr>
      <w:r>
        <w:rPr>
          <w:rFonts w:hint="eastAsia"/>
          <w:b/>
          <w:bCs/>
          <w:lang w:eastAsia="zh-CN"/>
        </w:rPr>
        <w:t>（一）技术要求</w:t>
      </w:r>
    </w:p>
    <w:tbl>
      <w:tblPr>
        <w:tblStyle w:val="4"/>
        <w:tblW w:w="10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138"/>
        <w:gridCol w:w="4155"/>
        <w:gridCol w:w="1802"/>
        <w:gridCol w:w="2284"/>
      </w:tblGrid>
      <w:tr w14:paraId="5A8B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965" w:type="dxa"/>
            <w:vAlign w:val="center"/>
          </w:tcPr>
          <w:p w14:paraId="5D166A3B">
            <w:pPr>
              <w:spacing w:before="156" w:beforeLines="50"/>
              <w:jc w:val="center"/>
              <w:rPr>
                <w:rFonts w:hint="eastAsia"/>
                <w:b/>
                <w:bCs/>
                <w:sz w:val="24"/>
              </w:rPr>
            </w:pPr>
            <w:r>
              <w:rPr>
                <w:rFonts w:hint="eastAsia"/>
                <w:b/>
                <w:bCs/>
                <w:sz w:val="24"/>
              </w:rPr>
              <w:t>品目号</w:t>
            </w:r>
          </w:p>
        </w:tc>
        <w:tc>
          <w:tcPr>
            <w:tcW w:w="1138" w:type="dxa"/>
            <w:vAlign w:val="center"/>
          </w:tcPr>
          <w:p w14:paraId="3FF64B7A">
            <w:pPr>
              <w:spacing w:before="156" w:beforeLines="50"/>
              <w:jc w:val="center"/>
              <w:rPr>
                <w:rFonts w:hint="eastAsia"/>
                <w:b/>
                <w:bCs/>
                <w:sz w:val="24"/>
              </w:rPr>
            </w:pPr>
            <w:r>
              <w:rPr>
                <w:rFonts w:hint="eastAsia"/>
                <w:b/>
                <w:bCs/>
                <w:sz w:val="24"/>
              </w:rPr>
              <w:t>名称</w:t>
            </w:r>
          </w:p>
        </w:tc>
        <w:tc>
          <w:tcPr>
            <w:tcW w:w="4155" w:type="dxa"/>
          </w:tcPr>
          <w:p w14:paraId="66BA4C54">
            <w:pPr>
              <w:spacing w:before="156" w:beforeLines="50"/>
              <w:jc w:val="center"/>
              <w:rPr>
                <w:rFonts w:hint="eastAsia"/>
                <w:b/>
                <w:bCs/>
                <w:sz w:val="24"/>
              </w:rPr>
            </w:pPr>
            <w:r>
              <w:rPr>
                <w:rFonts w:hint="eastAsia"/>
                <w:b/>
                <w:bCs/>
                <w:sz w:val="24"/>
              </w:rPr>
              <w:t>具体要求</w:t>
            </w:r>
          </w:p>
        </w:tc>
        <w:tc>
          <w:tcPr>
            <w:tcW w:w="1802" w:type="dxa"/>
            <w:vAlign w:val="center"/>
          </w:tcPr>
          <w:p w14:paraId="140F1786">
            <w:pPr>
              <w:jc w:val="center"/>
              <w:rPr>
                <w:rFonts w:hint="eastAsia"/>
                <w:b/>
                <w:bCs/>
                <w:sz w:val="24"/>
              </w:rPr>
            </w:pPr>
            <w:r>
              <w:rPr>
                <w:rFonts w:hint="eastAsia"/>
                <w:b/>
                <w:bCs/>
                <w:sz w:val="24"/>
              </w:rPr>
              <w:t>数量</w:t>
            </w:r>
          </w:p>
          <w:p w14:paraId="22061D77">
            <w:pPr>
              <w:jc w:val="center"/>
              <w:rPr>
                <w:rFonts w:hint="eastAsia"/>
                <w:b/>
                <w:bCs/>
                <w:sz w:val="24"/>
              </w:rPr>
            </w:pPr>
            <w:r>
              <w:rPr>
                <w:rFonts w:hint="eastAsia"/>
                <w:b/>
                <w:bCs/>
                <w:sz w:val="24"/>
              </w:rPr>
              <w:t>（单位）</w:t>
            </w:r>
          </w:p>
        </w:tc>
        <w:tc>
          <w:tcPr>
            <w:tcW w:w="2284" w:type="dxa"/>
          </w:tcPr>
          <w:p w14:paraId="5FA51108">
            <w:pPr>
              <w:spacing w:before="156" w:beforeLines="50"/>
              <w:jc w:val="center"/>
              <w:rPr>
                <w:rFonts w:hint="eastAsia"/>
                <w:b/>
                <w:bCs/>
                <w:sz w:val="24"/>
              </w:rPr>
            </w:pPr>
            <w:r>
              <w:rPr>
                <w:rFonts w:hint="eastAsia"/>
                <w:b/>
                <w:bCs/>
                <w:sz w:val="24"/>
              </w:rPr>
              <w:t>服务周期</w:t>
            </w:r>
          </w:p>
        </w:tc>
      </w:tr>
      <w:tr w14:paraId="01B3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14:paraId="2B135BF9">
            <w:pPr>
              <w:spacing w:before="156" w:beforeLines="50"/>
              <w:jc w:val="center"/>
              <w:rPr>
                <w:rFonts w:hint="eastAsia"/>
                <w:bCs/>
                <w:sz w:val="24"/>
              </w:rPr>
            </w:pPr>
            <w:r>
              <w:rPr>
                <w:rFonts w:hint="eastAsia"/>
                <w:bCs/>
                <w:sz w:val="24"/>
              </w:rPr>
              <w:t>3-1</w:t>
            </w:r>
          </w:p>
        </w:tc>
        <w:tc>
          <w:tcPr>
            <w:tcW w:w="1138" w:type="dxa"/>
            <w:vAlign w:val="center"/>
          </w:tcPr>
          <w:p w14:paraId="20BC2A50">
            <w:pPr>
              <w:jc w:val="center"/>
              <w:rPr>
                <w:rFonts w:hint="eastAsia"/>
                <w:bCs/>
                <w:sz w:val="24"/>
                <w:lang w:eastAsia="zh-CN"/>
              </w:rPr>
            </w:pPr>
            <w:r>
              <w:rPr>
                <w:rFonts w:hint="eastAsia"/>
                <w:bCs/>
                <w:sz w:val="24"/>
                <w:lang w:eastAsia="zh-CN"/>
              </w:rPr>
              <w:t>10x Genomics 3端单细胞转录组测序分析</w:t>
            </w:r>
          </w:p>
        </w:tc>
        <w:tc>
          <w:tcPr>
            <w:tcW w:w="4155" w:type="dxa"/>
          </w:tcPr>
          <w:p w14:paraId="6DB00425">
            <w:pPr>
              <w:rPr>
                <w:rFonts w:hint="eastAsia"/>
                <w:bCs/>
                <w:sz w:val="24"/>
                <w:lang w:eastAsia="zh-CN"/>
              </w:rPr>
            </w:pPr>
            <w:r>
              <w:rPr>
                <w:rFonts w:hint="eastAsia"/>
                <w:bCs/>
                <w:sz w:val="24"/>
                <w:lang w:eastAsia="zh-CN"/>
              </w:rPr>
              <w:t>1、10x Genomics GEM-X平台单细胞悬液制备（包括血液及各类组织样本），具有全面的单细胞活性检测指标，保证单细胞的质量，细胞活性≥80%，细胞数量≥5</w:t>
            </w:r>
            <w:r>
              <w:rPr>
                <w:bCs/>
                <w:sz w:val="24"/>
                <w:lang w:eastAsia="zh-CN"/>
              </w:rPr>
              <w:t>w</w:t>
            </w:r>
            <w:r>
              <w:rPr>
                <w:rFonts w:hint="eastAsia"/>
                <w:bCs/>
                <w:sz w:val="24"/>
                <w:lang w:eastAsia="zh-CN"/>
              </w:rPr>
              <w:t>个，有核率≥7</w:t>
            </w:r>
            <w:r>
              <w:rPr>
                <w:bCs/>
                <w:sz w:val="24"/>
                <w:lang w:eastAsia="zh-CN"/>
              </w:rPr>
              <w:t>0%</w:t>
            </w:r>
            <w:r>
              <w:rPr>
                <w:rFonts w:hint="eastAsia"/>
                <w:bCs/>
                <w:sz w:val="24"/>
                <w:lang w:eastAsia="zh-CN"/>
              </w:rPr>
              <w:t>，结团率≥</w:t>
            </w:r>
            <w:r>
              <w:rPr>
                <w:bCs/>
                <w:sz w:val="24"/>
                <w:lang w:eastAsia="zh-CN"/>
              </w:rPr>
              <w:t>15%</w:t>
            </w:r>
          </w:p>
          <w:p w14:paraId="149BEB6B">
            <w:pPr>
              <w:rPr>
                <w:rFonts w:hint="eastAsia"/>
                <w:bCs/>
                <w:sz w:val="24"/>
                <w:lang w:eastAsia="zh-CN"/>
              </w:rPr>
            </w:pPr>
            <w:r>
              <w:rPr>
                <w:bCs/>
                <w:sz w:val="24"/>
                <w:lang w:eastAsia="zh-CN"/>
              </w:rPr>
              <w:t>2</w:t>
            </w:r>
            <w:r>
              <w:rPr>
                <w:rFonts w:hint="eastAsia"/>
                <w:bCs/>
                <w:sz w:val="24"/>
                <w:lang w:eastAsia="zh-CN"/>
              </w:rPr>
              <w:t>、采用10x Genomics GEM-X平台进行细胞捕获，采用10X Genomics的单细胞建库仪器及原装配套试剂进行单细胞文库的构建。</w:t>
            </w:r>
          </w:p>
          <w:p w14:paraId="3CA3119B">
            <w:pPr>
              <w:tabs>
                <w:tab w:val="left" w:pos="0"/>
              </w:tabs>
              <w:rPr>
                <w:rFonts w:hint="eastAsia"/>
                <w:bCs/>
                <w:sz w:val="24"/>
              </w:rPr>
            </w:pPr>
            <w:r>
              <w:rPr>
                <w:rFonts w:hint="eastAsia"/>
                <w:bCs/>
                <w:sz w:val="24"/>
              </w:rPr>
              <w:t>3、通过illumina</w:t>
            </w:r>
            <w:r>
              <w:rPr>
                <w:bCs/>
                <w:sz w:val="24"/>
              </w:rPr>
              <w:t xml:space="preserve"> Novaseq x plus</w:t>
            </w:r>
            <w:r>
              <w:rPr>
                <w:rFonts w:hint="eastAsia"/>
                <w:bCs/>
                <w:sz w:val="24"/>
              </w:rPr>
              <w:t>测序平台进行高通量测序数据量≥1</w:t>
            </w:r>
            <w:r>
              <w:rPr>
                <w:bCs/>
                <w:sz w:val="24"/>
              </w:rPr>
              <w:t>0</w:t>
            </w:r>
            <w:r>
              <w:rPr>
                <w:rFonts w:hint="eastAsia"/>
                <w:bCs/>
                <w:sz w:val="24"/>
              </w:rPr>
              <w:t xml:space="preserve">0G </w:t>
            </w:r>
            <w:r>
              <w:rPr>
                <w:bCs/>
                <w:sz w:val="24"/>
              </w:rPr>
              <w:t>raw</w:t>
            </w:r>
            <w:r>
              <w:rPr>
                <w:rFonts w:hint="eastAsia"/>
                <w:bCs/>
                <w:sz w:val="24"/>
              </w:rPr>
              <w:t xml:space="preserve"> data/sample，</w:t>
            </w:r>
            <w:r>
              <w:rPr>
                <w:rFonts w:cs="Times New Roman" w:asciiTheme="minorEastAsia" w:hAnsiTheme="minorEastAsia"/>
                <w:sz w:val="24"/>
              </w:rPr>
              <w:t>测序质量：raw  data Q20</w:t>
            </w:r>
            <w:r>
              <w:rPr>
                <w:rFonts w:hint="eastAsia" w:cs="Times New Roman" w:asciiTheme="minorEastAsia" w:hAnsiTheme="minorEastAsia"/>
                <w:sz w:val="24"/>
              </w:rPr>
              <w:t>≥</w:t>
            </w:r>
            <w:r>
              <w:rPr>
                <w:rFonts w:cs="Times New Roman" w:asciiTheme="minorEastAsia" w:hAnsiTheme="minorEastAsia"/>
                <w:sz w:val="24"/>
              </w:rPr>
              <w:t>90%，Q30</w:t>
            </w:r>
            <w:r>
              <w:rPr>
                <w:rFonts w:hint="eastAsia" w:cs="Times New Roman" w:asciiTheme="minorEastAsia" w:hAnsiTheme="minorEastAsia"/>
                <w:sz w:val="24"/>
              </w:rPr>
              <w:t>≥</w:t>
            </w:r>
            <w:r>
              <w:rPr>
                <w:rFonts w:cs="Times New Roman" w:asciiTheme="minorEastAsia" w:hAnsiTheme="minorEastAsia"/>
                <w:sz w:val="24"/>
              </w:rPr>
              <w:t>85%</w:t>
            </w:r>
            <w:r>
              <w:rPr>
                <w:rFonts w:hint="eastAsia" w:cs="Times New Roman" w:asciiTheme="minorEastAsia" w:hAnsiTheme="minorEastAsia"/>
                <w:sz w:val="24"/>
              </w:rPr>
              <w:t>，</w:t>
            </w:r>
            <w:r>
              <w:rPr>
                <w:rFonts w:hint="eastAsia"/>
                <w:bCs/>
                <w:sz w:val="24"/>
              </w:rPr>
              <w:t>获取数据后进行标准化生物信息学分析。</w:t>
            </w:r>
          </w:p>
          <w:p w14:paraId="56E747D1">
            <w:pPr>
              <w:rPr>
                <w:rFonts w:hint="eastAsia" w:cs="Times New Roman" w:asciiTheme="minorEastAsia" w:hAnsiTheme="minorEastAsia"/>
                <w:sz w:val="24"/>
                <w:lang w:eastAsia="zh-CN"/>
              </w:rPr>
            </w:pPr>
            <w:r>
              <w:rPr>
                <w:rFonts w:hint="eastAsia" w:cs="Times New Roman" w:asciiTheme="minorEastAsia" w:hAnsiTheme="minorEastAsia"/>
                <w:sz w:val="24"/>
                <w:lang w:eastAsia="zh-CN"/>
              </w:rPr>
              <w:t>包括：</w:t>
            </w:r>
          </w:p>
          <w:p w14:paraId="01BAF4F8">
            <w:pPr>
              <w:rPr>
                <w:rFonts w:hint="eastAsia" w:cs="Times New Roman" w:asciiTheme="minorEastAsia" w:hAnsiTheme="minorEastAsia"/>
                <w:sz w:val="24"/>
                <w:lang w:eastAsia="zh-CN"/>
              </w:rPr>
            </w:pPr>
            <w:r>
              <w:rPr>
                <w:rFonts w:cs="Times New Roman" w:asciiTheme="minorEastAsia" w:hAnsiTheme="minorEastAsia"/>
                <w:sz w:val="24"/>
                <w:lang w:eastAsia="zh-CN"/>
              </w:rPr>
              <w:t>1</w:t>
            </w:r>
            <w:r>
              <w:rPr>
                <w:rFonts w:hint="eastAsia" w:cs="Times New Roman" w:asciiTheme="minorEastAsia" w:hAnsiTheme="minorEastAsia"/>
                <w:sz w:val="24"/>
                <w:lang w:eastAsia="zh-CN"/>
              </w:rPr>
              <w:t>）</w:t>
            </w:r>
            <w:r>
              <w:rPr>
                <w:rFonts w:cs="Times New Roman" w:asciiTheme="minorEastAsia" w:hAnsiTheme="minorEastAsia"/>
                <w:sz w:val="24"/>
                <w:lang w:eastAsia="zh-CN"/>
              </w:rPr>
              <w:t>有效Barcode统计，测序饱和度统计；</w:t>
            </w:r>
          </w:p>
          <w:p w14:paraId="7C5491FA">
            <w:pPr>
              <w:rPr>
                <w:rFonts w:hint="eastAsia" w:cs="Times New Roman" w:asciiTheme="minorEastAsia" w:hAnsiTheme="minorEastAsia"/>
                <w:sz w:val="24"/>
                <w:lang w:eastAsia="zh-CN"/>
              </w:rPr>
            </w:pPr>
            <w:r>
              <w:rPr>
                <w:rFonts w:cs="Times New Roman" w:asciiTheme="minorEastAsia" w:hAnsiTheme="minorEastAsia"/>
                <w:sz w:val="24"/>
                <w:lang w:eastAsia="zh-CN"/>
              </w:rPr>
              <w:t>2</w:t>
            </w:r>
            <w:r>
              <w:rPr>
                <w:rFonts w:hint="eastAsia" w:cs="Times New Roman" w:asciiTheme="minorEastAsia" w:hAnsiTheme="minorEastAsia"/>
                <w:sz w:val="24"/>
                <w:lang w:eastAsia="zh-CN"/>
              </w:rPr>
              <w:t>）</w:t>
            </w:r>
            <w:r>
              <w:rPr>
                <w:rFonts w:cs="Times New Roman" w:asciiTheme="minorEastAsia" w:hAnsiTheme="minorEastAsia"/>
                <w:sz w:val="24"/>
                <w:lang w:eastAsia="zh-CN"/>
              </w:rPr>
              <w:t>基本数据分析，细胞数目统计，单个细胞reads数目统计等；</w:t>
            </w:r>
          </w:p>
          <w:p w14:paraId="53711364">
            <w:pPr>
              <w:rPr>
                <w:rFonts w:hint="eastAsia" w:cs="Times New Roman" w:asciiTheme="minorEastAsia" w:hAnsiTheme="minorEastAsia"/>
                <w:sz w:val="24"/>
                <w:lang w:eastAsia="zh-CN"/>
              </w:rPr>
            </w:pPr>
            <w:r>
              <w:rPr>
                <w:rFonts w:cs="Times New Roman" w:asciiTheme="minorEastAsia" w:hAnsiTheme="minorEastAsia"/>
                <w:sz w:val="24"/>
                <w:lang w:eastAsia="zh-CN"/>
              </w:rPr>
              <w:t>3</w:t>
            </w:r>
            <w:r>
              <w:rPr>
                <w:rFonts w:hint="eastAsia" w:cs="Times New Roman" w:asciiTheme="minorEastAsia" w:hAnsiTheme="minorEastAsia"/>
                <w:sz w:val="24"/>
                <w:lang w:eastAsia="zh-CN"/>
              </w:rPr>
              <w:t>）</w:t>
            </w:r>
            <w:r>
              <w:rPr>
                <w:rFonts w:cs="Times New Roman" w:asciiTheme="minorEastAsia" w:hAnsiTheme="minorEastAsia"/>
                <w:sz w:val="24"/>
                <w:lang w:eastAsia="zh-CN"/>
              </w:rPr>
              <w:t>基因表达定量，获得表达基因及其表达量数据；</w:t>
            </w:r>
          </w:p>
          <w:p w14:paraId="3401BF91">
            <w:pPr>
              <w:rPr>
                <w:rFonts w:hint="eastAsia" w:cs="Times New Roman" w:asciiTheme="minorEastAsia" w:hAnsiTheme="minorEastAsia"/>
                <w:sz w:val="24"/>
                <w:lang w:eastAsia="zh-CN"/>
              </w:rPr>
            </w:pPr>
            <w:r>
              <w:rPr>
                <w:rFonts w:cs="Times New Roman" w:asciiTheme="minorEastAsia" w:hAnsiTheme="minorEastAsia"/>
                <w:sz w:val="24"/>
                <w:lang w:eastAsia="zh-CN"/>
              </w:rPr>
              <w:t>4</w:t>
            </w:r>
            <w:r>
              <w:rPr>
                <w:rFonts w:hint="eastAsia" w:cs="Times New Roman" w:asciiTheme="minorEastAsia" w:hAnsiTheme="minorEastAsia"/>
                <w:sz w:val="24"/>
                <w:lang w:eastAsia="zh-CN"/>
              </w:rPr>
              <w:t>）</w:t>
            </w:r>
            <w:r>
              <w:rPr>
                <w:rFonts w:cs="Times New Roman" w:asciiTheme="minorEastAsia" w:hAnsiTheme="minorEastAsia"/>
                <w:sz w:val="24"/>
                <w:lang w:eastAsia="zh-CN"/>
              </w:rPr>
              <w:t>聚类分析，提供tSNE聚类分析结果；</w:t>
            </w:r>
          </w:p>
          <w:p w14:paraId="421EE828">
            <w:pPr>
              <w:rPr>
                <w:rFonts w:hint="eastAsia" w:cs="Times New Roman" w:asciiTheme="minorEastAsia" w:hAnsiTheme="minorEastAsia"/>
                <w:sz w:val="24"/>
              </w:rPr>
            </w:pPr>
            <w:r>
              <w:rPr>
                <w:rFonts w:cs="Times New Roman" w:asciiTheme="minorEastAsia" w:hAnsiTheme="minorEastAsia"/>
                <w:sz w:val="24"/>
              </w:rPr>
              <w:t>5</w:t>
            </w:r>
            <w:r>
              <w:rPr>
                <w:rFonts w:hint="eastAsia" w:cs="Times New Roman" w:asciiTheme="minorEastAsia" w:hAnsiTheme="minorEastAsia"/>
                <w:sz w:val="24"/>
              </w:rPr>
              <w:t>）</w:t>
            </w:r>
            <w:r>
              <w:rPr>
                <w:rFonts w:cs="Times New Roman" w:asciiTheme="minorEastAsia" w:hAnsiTheme="minorEastAsia"/>
                <w:sz w:val="24"/>
              </w:rPr>
              <w:t>差异基因分析，针对不同cluster 中的基因进行差异分析。</w:t>
            </w:r>
          </w:p>
          <w:p w14:paraId="36BD0F23">
            <w:pPr>
              <w:rPr>
                <w:rFonts w:hint="eastAsia" w:cs="Times New Roman" w:asciiTheme="minorEastAsia" w:hAnsiTheme="minorEastAsia"/>
                <w:sz w:val="24"/>
              </w:rPr>
            </w:pPr>
            <w:r>
              <w:rPr>
                <w:rFonts w:cs="Times New Roman" w:asciiTheme="minorEastAsia" w:hAnsiTheme="minorEastAsia"/>
                <w:sz w:val="24"/>
              </w:rPr>
              <w:t>6</w:t>
            </w:r>
            <w:r>
              <w:rPr>
                <w:rFonts w:hint="eastAsia" w:cs="Times New Roman" w:asciiTheme="minorEastAsia" w:hAnsiTheme="minorEastAsia"/>
                <w:sz w:val="24"/>
              </w:rPr>
              <w:t>）</w:t>
            </w:r>
            <w:r>
              <w:rPr>
                <w:rFonts w:cs="Times New Roman" w:asciiTheme="minorEastAsia" w:hAnsiTheme="minorEastAsia"/>
                <w:sz w:val="24"/>
              </w:rPr>
              <w:t>差异基因功能富集，包括GO和KEGG；Reactome（仅限于人和小鼠）</w:t>
            </w:r>
          </w:p>
          <w:p w14:paraId="0DFA8BEF">
            <w:pPr>
              <w:rPr>
                <w:rFonts w:hint="eastAsia" w:cs="Times New Roman" w:asciiTheme="minorEastAsia" w:hAnsiTheme="minorEastAsia"/>
                <w:sz w:val="24"/>
              </w:rPr>
            </w:pPr>
            <w:r>
              <w:rPr>
                <w:rFonts w:hint="eastAsia" w:cs="Times New Roman" w:asciiTheme="minorEastAsia" w:hAnsiTheme="minorEastAsia"/>
                <w:sz w:val="24"/>
              </w:rPr>
              <w:t>7）</w:t>
            </w:r>
            <w:r>
              <w:rPr>
                <w:rFonts w:cs="Times New Roman" w:asciiTheme="minorEastAsia" w:hAnsiTheme="minorEastAsia"/>
                <w:sz w:val="24"/>
              </w:rPr>
              <w:t>差异基因 TF 注释</w:t>
            </w:r>
          </w:p>
          <w:p w14:paraId="5FD6F79C">
            <w:pPr>
              <w:rPr>
                <w:rFonts w:hint="eastAsia" w:cs="Times New Roman" w:asciiTheme="minorEastAsia" w:hAnsiTheme="minorEastAsia"/>
                <w:sz w:val="24"/>
                <w:lang w:eastAsia="zh-CN"/>
              </w:rPr>
            </w:pPr>
            <w:r>
              <w:rPr>
                <w:rFonts w:hint="eastAsia" w:cs="Times New Roman" w:asciiTheme="minorEastAsia" w:hAnsiTheme="minorEastAsia"/>
                <w:sz w:val="24"/>
                <w:lang w:eastAsia="zh-CN"/>
              </w:rPr>
              <w:t>4、</w:t>
            </w:r>
            <w:r>
              <w:rPr>
                <w:rFonts w:cs="Times New Roman" w:asciiTheme="minorEastAsia" w:hAnsiTheme="minorEastAsia"/>
                <w:sz w:val="24"/>
                <w:lang w:eastAsia="zh-CN"/>
              </w:rPr>
              <w:t>供应商应具备但不限于以下</w:t>
            </w:r>
            <w:r>
              <w:rPr>
                <w:rFonts w:hint="eastAsia" w:cs="Times New Roman" w:asciiTheme="minorEastAsia" w:hAnsiTheme="minorEastAsia"/>
                <w:sz w:val="24"/>
                <w:lang w:eastAsia="zh-CN"/>
              </w:rPr>
              <w:t>个性化</w:t>
            </w:r>
            <w:r>
              <w:rPr>
                <w:rFonts w:cs="Times New Roman" w:asciiTheme="minorEastAsia" w:hAnsiTheme="minorEastAsia"/>
                <w:sz w:val="24"/>
                <w:lang w:eastAsia="zh-CN"/>
              </w:rPr>
              <w:t>分析能力</w:t>
            </w:r>
            <w:r>
              <w:rPr>
                <w:rFonts w:hint="eastAsia" w:cs="Times New Roman" w:asciiTheme="minorEastAsia" w:hAnsiTheme="minorEastAsia"/>
                <w:sz w:val="24"/>
                <w:lang w:eastAsia="zh-CN"/>
              </w:rPr>
              <w:t>：</w:t>
            </w:r>
          </w:p>
          <w:p w14:paraId="54E606D2">
            <w:pPr>
              <w:rPr>
                <w:rFonts w:hint="eastAsia" w:cs="Times New Roman" w:asciiTheme="minorEastAsia" w:hAnsiTheme="minorEastAsia"/>
                <w:sz w:val="24"/>
                <w:lang w:eastAsia="zh-CN"/>
              </w:rPr>
            </w:pPr>
            <w:r>
              <w:rPr>
                <w:rFonts w:cs="Times New Roman" w:asciiTheme="minorEastAsia" w:hAnsiTheme="minorEastAsia"/>
                <w:sz w:val="24"/>
                <w:lang w:eastAsia="zh-CN"/>
              </w:rPr>
              <w:t>1）细胞分群注释</w:t>
            </w:r>
            <w:r>
              <w:rPr>
                <w:rFonts w:hint="eastAsia" w:cs="Times New Roman" w:asciiTheme="minorEastAsia" w:hAnsiTheme="minorEastAsia"/>
                <w:sz w:val="24"/>
                <w:lang w:eastAsia="zh-CN"/>
              </w:rPr>
              <w:t>，</w:t>
            </w:r>
            <w:r>
              <w:rPr>
                <w:rFonts w:cs="Times New Roman" w:asciiTheme="minorEastAsia" w:hAnsiTheme="minorEastAsia"/>
                <w:sz w:val="24"/>
                <w:lang w:eastAsia="zh-CN"/>
              </w:rPr>
              <w:t>对不同细胞亚群进行辅助定义</w:t>
            </w:r>
            <w:r>
              <w:rPr>
                <w:rFonts w:hint="eastAsia" w:cs="Times New Roman" w:asciiTheme="minorEastAsia" w:hAnsiTheme="minorEastAsia"/>
                <w:sz w:val="24"/>
                <w:lang w:eastAsia="zh-CN"/>
              </w:rPr>
              <w:t>；</w:t>
            </w:r>
          </w:p>
          <w:p w14:paraId="17A07664">
            <w:pPr>
              <w:rPr>
                <w:rFonts w:hint="eastAsia" w:cs="Times New Roman" w:asciiTheme="minorEastAsia" w:hAnsiTheme="minorEastAsia"/>
                <w:sz w:val="24"/>
                <w:lang w:eastAsia="zh-CN"/>
              </w:rPr>
            </w:pPr>
            <w:r>
              <w:rPr>
                <w:rFonts w:cs="Times New Roman" w:asciiTheme="minorEastAsia" w:hAnsiTheme="minorEastAsia"/>
                <w:sz w:val="24"/>
                <w:lang w:eastAsia="zh-CN"/>
              </w:rPr>
              <w:t>2）拟时分析，预测细胞演化/分化过程；</w:t>
            </w:r>
          </w:p>
          <w:p w14:paraId="01EA947A">
            <w:pPr>
              <w:rPr>
                <w:rFonts w:hint="eastAsia" w:cs="Times New Roman" w:asciiTheme="minorEastAsia" w:hAnsiTheme="minorEastAsia"/>
                <w:sz w:val="24"/>
                <w:lang w:eastAsia="zh-CN"/>
              </w:rPr>
            </w:pPr>
            <w:r>
              <w:rPr>
                <w:rFonts w:cs="Times New Roman" w:asciiTheme="minorEastAsia" w:hAnsiTheme="minorEastAsia"/>
                <w:sz w:val="24"/>
                <w:lang w:eastAsia="zh-CN"/>
              </w:rPr>
              <w:t>3）受配体分析，分析细胞之间的相互作用；</w:t>
            </w:r>
          </w:p>
          <w:p w14:paraId="1F4EBE00">
            <w:pPr>
              <w:rPr>
                <w:rFonts w:hint="eastAsia" w:cs="Times New Roman" w:asciiTheme="minorEastAsia" w:hAnsiTheme="minorEastAsia"/>
                <w:sz w:val="24"/>
                <w:lang w:eastAsia="zh-CN"/>
              </w:rPr>
            </w:pPr>
            <w:r>
              <w:rPr>
                <w:rFonts w:hint="eastAsia" w:cs="Times New Roman" w:asciiTheme="minorEastAsia" w:hAnsiTheme="minorEastAsia"/>
                <w:sz w:val="24"/>
                <w:lang w:eastAsia="zh-CN"/>
              </w:rPr>
              <w:t>4）</w:t>
            </w:r>
            <w:r>
              <w:rPr>
                <w:rFonts w:cs="Times New Roman" w:asciiTheme="minorEastAsia" w:hAnsiTheme="minorEastAsia"/>
                <w:sz w:val="24"/>
                <w:lang w:eastAsia="zh-CN"/>
              </w:rPr>
              <w:t>目标亚群进一步分析</w:t>
            </w:r>
            <w:r>
              <w:rPr>
                <w:rFonts w:hint="eastAsia" w:cs="Times New Roman" w:asciiTheme="minorEastAsia" w:hAnsiTheme="minorEastAsia"/>
                <w:sz w:val="24"/>
                <w:lang w:eastAsia="zh-CN"/>
              </w:rPr>
              <w:t>，</w:t>
            </w:r>
            <w:r>
              <w:rPr>
                <w:rFonts w:cs="Times New Roman" w:asciiTheme="minorEastAsia" w:hAnsiTheme="minorEastAsia"/>
                <w:sz w:val="24"/>
                <w:lang w:eastAsia="zh-CN"/>
              </w:rPr>
              <w:t>针对关注细胞亚群进一步分析</w:t>
            </w:r>
            <w:r>
              <w:rPr>
                <w:rFonts w:hint="eastAsia" w:cs="Times New Roman" w:asciiTheme="minorEastAsia" w:hAnsiTheme="minorEastAsia"/>
                <w:sz w:val="24"/>
                <w:lang w:eastAsia="zh-CN"/>
              </w:rPr>
              <w:t>；</w:t>
            </w:r>
          </w:p>
          <w:p w14:paraId="2ADBC9E4">
            <w:pPr>
              <w:rPr>
                <w:rFonts w:hint="eastAsia" w:cs="Times New Roman" w:asciiTheme="minorEastAsia" w:hAnsiTheme="minorEastAsia"/>
                <w:sz w:val="24"/>
              </w:rPr>
            </w:pPr>
            <w:r>
              <w:rPr>
                <w:rFonts w:cs="Times New Roman" w:asciiTheme="minorEastAsia" w:hAnsiTheme="minorEastAsia"/>
                <w:sz w:val="24"/>
              </w:rPr>
              <w:t>5）多组学整合关联分析</w:t>
            </w:r>
          </w:p>
          <w:p w14:paraId="4CDCE9AC">
            <w:pPr>
              <w:tabs>
                <w:tab w:val="left" w:pos="0"/>
              </w:tabs>
              <w:rPr>
                <w:rFonts w:hint="eastAsia"/>
                <w:bCs/>
                <w:sz w:val="24"/>
              </w:rPr>
            </w:pPr>
          </w:p>
        </w:tc>
        <w:tc>
          <w:tcPr>
            <w:tcW w:w="1802" w:type="dxa"/>
            <w:vAlign w:val="center"/>
          </w:tcPr>
          <w:p w14:paraId="51FD4E04">
            <w:pPr>
              <w:spacing w:before="156" w:beforeLines="50"/>
              <w:jc w:val="center"/>
              <w:rPr>
                <w:rFonts w:hint="eastAsia"/>
                <w:bCs/>
                <w:sz w:val="24"/>
              </w:rPr>
            </w:pPr>
            <w:r>
              <w:rPr>
                <w:rFonts w:hint="eastAsia"/>
                <w:bCs/>
                <w:sz w:val="24"/>
              </w:rPr>
              <w:t>16（例）</w:t>
            </w:r>
          </w:p>
        </w:tc>
        <w:tc>
          <w:tcPr>
            <w:tcW w:w="2284" w:type="dxa"/>
          </w:tcPr>
          <w:p w14:paraId="7DA6C3D2">
            <w:pPr>
              <w:spacing w:before="156" w:beforeLines="50"/>
              <w:jc w:val="center"/>
              <w:rPr>
                <w:rFonts w:hint="eastAsia"/>
                <w:bCs/>
                <w:sz w:val="24"/>
              </w:rPr>
            </w:pPr>
            <w:r>
              <w:rPr>
                <w:rFonts w:hint="eastAsia"/>
                <w:bCs/>
                <w:sz w:val="24"/>
                <w:lang w:eastAsia="zh-CN"/>
              </w:rPr>
              <w:t>单次送样8个样本以下40个自然日，法定假期顺延。</w:t>
            </w:r>
            <w:r>
              <w:rPr>
                <w:rFonts w:hint="eastAsia"/>
                <w:bCs/>
                <w:sz w:val="24"/>
              </w:rPr>
              <w:t>服务周期2年。</w:t>
            </w:r>
          </w:p>
        </w:tc>
      </w:tr>
      <w:tr w14:paraId="0103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65" w:type="dxa"/>
            <w:vAlign w:val="center"/>
          </w:tcPr>
          <w:p w14:paraId="5445C5D1">
            <w:pPr>
              <w:spacing w:before="156" w:beforeLines="50"/>
              <w:jc w:val="center"/>
              <w:rPr>
                <w:rFonts w:hint="eastAsia"/>
                <w:bCs/>
                <w:sz w:val="24"/>
              </w:rPr>
            </w:pPr>
            <w:r>
              <w:rPr>
                <w:rFonts w:hint="eastAsia"/>
                <w:bCs/>
                <w:sz w:val="24"/>
              </w:rPr>
              <w:t>3-2</w:t>
            </w:r>
          </w:p>
        </w:tc>
        <w:tc>
          <w:tcPr>
            <w:tcW w:w="1138" w:type="dxa"/>
            <w:vAlign w:val="center"/>
          </w:tcPr>
          <w:p w14:paraId="13C2C324">
            <w:pPr>
              <w:spacing w:before="156" w:beforeLines="50"/>
              <w:jc w:val="center"/>
              <w:rPr>
                <w:rFonts w:hint="eastAsia"/>
                <w:bCs/>
                <w:sz w:val="24"/>
              </w:rPr>
            </w:pPr>
            <w:r>
              <w:rPr>
                <w:rFonts w:hint="eastAsia"/>
                <w:bCs/>
                <w:sz w:val="24"/>
              </w:rPr>
              <w:t>转录组测序分析</w:t>
            </w:r>
          </w:p>
        </w:tc>
        <w:tc>
          <w:tcPr>
            <w:tcW w:w="4155" w:type="dxa"/>
          </w:tcPr>
          <w:p w14:paraId="31C4E8E3">
            <w:pPr>
              <w:rPr>
                <w:rFonts w:hint="eastAsia"/>
                <w:bCs/>
                <w:sz w:val="24"/>
                <w:lang w:eastAsia="zh-CN"/>
              </w:rPr>
            </w:pPr>
            <w:r>
              <w:rPr>
                <w:rFonts w:hint="eastAsia"/>
                <w:bCs/>
                <w:sz w:val="24"/>
                <w:lang w:eastAsia="zh-CN"/>
              </w:rPr>
              <w:t>1、包括样本RNA提取与质控，合格样本通过Oligo(dT)磁珠富集带有polyA尾的mRNA，采用原装建库试剂盒进行文库构建。</w:t>
            </w:r>
          </w:p>
          <w:p w14:paraId="6A2717C4">
            <w:pPr>
              <w:rPr>
                <w:rFonts w:hint="eastAsia"/>
                <w:bCs/>
                <w:sz w:val="24"/>
              </w:rPr>
            </w:pPr>
            <w:r>
              <w:rPr>
                <w:rFonts w:hint="eastAsia"/>
                <w:bCs/>
                <w:sz w:val="24"/>
              </w:rPr>
              <w:t>2、通过illumina测序平台进行高通量测序数据量≥10G raw data/sample，测序质量：raw data Q20≥90%，Q30≥85%，</w:t>
            </w:r>
          </w:p>
          <w:p w14:paraId="78C7A918">
            <w:pPr>
              <w:rPr>
                <w:rFonts w:hint="eastAsia"/>
                <w:bCs/>
                <w:sz w:val="24"/>
              </w:rPr>
            </w:pPr>
            <w:r>
              <w:rPr>
                <w:rFonts w:hint="eastAsia"/>
                <w:bCs/>
                <w:sz w:val="24"/>
              </w:rPr>
              <w:t>3、开展标准化生物信息学分析，包括</w:t>
            </w:r>
          </w:p>
          <w:p w14:paraId="1EAEF754">
            <w:pPr>
              <w:widowControl/>
              <w:snapToGrid w:val="0"/>
              <w:ind w:right="-46" w:rightChars="-21"/>
              <w:rPr>
                <w:rFonts w:hint="eastAsia"/>
                <w:sz w:val="24"/>
                <w:lang w:eastAsia="zh-CN"/>
              </w:rPr>
            </w:pPr>
            <w:r>
              <w:rPr>
                <w:rFonts w:hint="eastAsia"/>
                <w:sz w:val="24"/>
                <w:lang w:eastAsia="zh-CN"/>
              </w:rPr>
              <w:t>1）对原始数据进行去除接头、污染序列及低质量 reads 的处理</w:t>
            </w:r>
          </w:p>
          <w:p w14:paraId="395323DD">
            <w:pPr>
              <w:widowControl/>
              <w:snapToGrid w:val="0"/>
              <w:ind w:right="-46" w:rightChars="-21"/>
              <w:rPr>
                <w:rFonts w:hint="eastAsia"/>
                <w:sz w:val="24"/>
                <w:lang w:eastAsia="zh-CN"/>
              </w:rPr>
            </w:pPr>
            <w:r>
              <w:rPr>
                <w:rFonts w:hint="eastAsia"/>
                <w:sz w:val="24"/>
                <w:lang w:eastAsia="zh-CN"/>
              </w:rPr>
              <w:t>2）数据产出统计及测序数据的成分和质量评估</w:t>
            </w:r>
          </w:p>
          <w:p w14:paraId="4593A0AA">
            <w:pPr>
              <w:widowControl/>
              <w:snapToGrid w:val="0"/>
              <w:ind w:right="-46" w:rightChars="-21"/>
              <w:rPr>
                <w:rFonts w:hint="eastAsia"/>
                <w:sz w:val="24"/>
                <w:lang w:eastAsia="zh-CN"/>
              </w:rPr>
            </w:pPr>
            <w:r>
              <w:rPr>
                <w:rFonts w:hint="eastAsia"/>
                <w:sz w:val="24"/>
                <w:lang w:eastAsia="zh-CN"/>
              </w:rPr>
              <w:t>3）参考序列比对分析</w:t>
            </w:r>
          </w:p>
          <w:p w14:paraId="4B876942">
            <w:pPr>
              <w:widowControl/>
              <w:snapToGrid w:val="0"/>
              <w:ind w:right="-46" w:rightChars="-21"/>
              <w:rPr>
                <w:rFonts w:hint="eastAsia"/>
                <w:sz w:val="24"/>
                <w:lang w:eastAsia="zh-CN"/>
              </w:rPr>
            </w:pPr>
            <w:r>
              <w:rPr>
                <w:rFonts w:hint="eastAsia"/>
                <w:sz w:val="24"/>
                <w:lang w:eastAsia="zh-CN"/>
              </w:rPr>
              <w:t>4）可变剪切分析</w:t>
            </w:r>
          </w:p>
          <w:p w14:paraId="24DDD81A">
            <w:pPr>
              <w:widowControl/>
              <w:snapToGrid w:val="0"/>
              <w:ind w:right="-46" w:rightChars="-21"/>
              <w:rPr>
                <w:rFonts w:hint="eastAsia"/>
                <w:sz w:val="24"/>
              </w:rPr>
            </w:pPr>
            <w:r>
              <w:rPr>
                <w:rFonts w:hint="eastAsia"/>
                <w:sz w:val="24"/>
              </w:rPr>
              <w:t>5）融合基因分析</w:t>
            </w:r>
          </w:p>
          <w:p w14:paraId="6DB83017">
            <w:pPr>
              <w:widowControl/>
              <w:snapToGrid w:val="0"/>
              <w:ind w:right="-46" w:rightChars="-21"/>
              <w:rPr>
                <w:rFonts w:hint="eastAsia"/>
                <w:sz w:val="24"/>
              </w:rPr>
            </w:pPr>
            <w:r>
              <w:rPr>
                <w:rFonts w:hint="eastAsia"/>
                <w:sz w:val="24"/>
              </w:rPr>
              <w:t>6）SNP/InDel分析</w:t>
            </w:r>
          </w:p>
          <w:p w14:paraId="4E19C99B">
            <w:pPr>
              <w:widowControl/>
              <w:snapToGrid w:val="0"/>
              <w:ind w:right="-46" w:rightChars="-21"/>
              <w:rPr>
                <w:rFonts w:hint="eastAsia"/>
                <w:sz w:val="24"/>
                <w:lang w:eastAsia="zh-CN"/>
              </w:rPr>
            </w:pPr>
            <w:r>
              <w:rPr>
                <w:rFonts w:hint="eastAsia"/>
                <w:sz w:val="24"/>
                <w:lang w:eastAsia="zh-CN"/>
              </w:rPr>
              <w:t>7）基因表达水平分析</w:t>
            </w:r>
          </w:p>
          <w:p w14:paraId="4E5824D6">
            <w:pPr>
              <w:widowControl/>
              <w:snapToGrid w:val="0"/>
              <w:ind w:right="-46" w:rightChars="-21"/>
              <w:rPr>
                <w:rFonts w:hint="eastAsia"/>
                <w:sz w:val="24"/>
                <w:lang w:eastAsia="zh-CN"/>
              </w:rPr>
            </w:pPr>
            <w:r>
              <w:rPr>
                <w:rFonts w:hint="eastAsia"/>
                <w:sz w:val="24"/>
                <w:lang w:eastAsia="zh-CN"/>
              </w:rPr>
              <w:t>8）样本间基因表达水平的相关性分析（≥2个样本）</w:t>
            </w:r>
          </w:p>
          <w:p w14:paraId="268A044E">
            <w:pPr>
              <w:widowControl/>
              <w:snapToGrid w:val="0"/>
              <w:ind w:right="-46" w:rightChars="-21"/>
              <w:rPr>
                <w:rFonts w:hint="eastAsia"/>
                <w:sz w:val="24"/>
                <w:lang w:eastAsia="zh-CN"/>
              </w:rPr>
            </w:pPr>
            <w:r>
              <w:rPr>
                <w:rFonts w:hint="eastAsia"/>
                <w:sz w:val="24"/>
                <w:lang w:eastAsia="zh-CN"/>
              </w:rPr>
              <w:t>9）主成分分析</w:t>
            </w:r>
          </w:p>
          <w:p w14:paraId="17D3E0A8">
            <w:pPr>
              <w:widowControl/>
              <w:snapToGrid w:val="0"/>
              <w:ind w:right="-46" w:rightChars="-21"/>
              <w:rPr>
                <w:rFonts w:hint="eastAsia"/>
                <w:sz w:val="24"/>
                <w:lang w:eastAsia="zh-CN"/>
              </w:rPr>
            </w:pPr>
            <w:r>
              <w:rPr>
                <w:rFonts w:hint="eastAsia"/>
                <w:sz w:val="24"/>
                <w:lang w:eastAsia="zh-CN"/>
              </w:rPr>
              <w:t>10）基因差异表达分析（≥2个样本）</w:t>
            </w:r>
          </w:p>
          <w:p w14:paraId="365E48FA">
            <w:pPr>
              <w:widowControl/>
              <w:snapToGrid w:val="0"/>
              <w:ind w:right="-46" w:rightChars="-21"/>
              <w:rPr>
                <w:rFonts w:hint="eastAsia"/>
                <w:sz w:val="24"/>
                <w:lang w:eastAsia="zh-CN"/>
              </w:rPr>
            </w:pPr>
            <w:r>
              <w:rPr>
                <w:rFonts w:hint="eastAsia"/>
                <w:sz w:val="24"/>
                <w:lang w:eastAsia="zh-CN"/>
              </w:rPr>
              <w:t>11）差异表达基因的GO富集分析（≥2个样本）</w:t>
            </w:r>
          </w:p>
          <w:p w14:paraId="5A225E49">
            <w:pPr>
              <w:widowControl/>
              <w:snapToGrid w:val="0"/>
              <w:ind w:right="-46" w:rightChars="-21"/>
              <w:rPr>
                <w:rFonts w:hint="eastAsia"/>
                <w:sz w:val="24"/>
                <w:lang w:eastAsia="zh-CN"/>
              </w:rPr>
            </w:pPr>
            <w:r>
              <w:rPr>
                <w:rFonts w:hint="eastAsia"/>
                <w:sz w:val="24"/>
                <w:lang w:eastAsia="zh-CN"/>
              </w:rPr>
              <w:t>12）差异表达基因的KEGG富集分析（≥2个样本）</w:t>
            </w:r>
          </w:p>
          <w:p w14:paraId="7387EA96">
            <w:pPr>
              <w:widowControl/>
              <w:snapToGrid w:val="0"/>
              <w:ind w:right="-46" w:rightChars="-21"/>
              <w:rPr>
                <w:rFonts w:hint="eastAsia"/>
                <w:sz w:val="24"/>
                <w:lang w:eastAsia="zh-CN"/>
              </w:rPr>
            </w:pPr>
            <w:r>
              <w:rPr>
                <w:rFonts w:hint="eastAsia"/>
                <w:sz w:val="24"/>
                <w:lang w:eastAsia="zh-CN"/>
              </w:rPr>
              <w:t>13）差异表达基因的蛋白质互作网络分析（≥2个样本）</w:t>
            </w:r>
          </w:p>
          <w:p w14:paraId="403F750D">
            <w:pPr>
              <w:widowControl/>
              <w:snapToGrid w:val="0"/>
              <w:ind w:right="-46" w:rightChars="-21"/>
              <w:rPr>
                <w:rFonts w:hint="eastAsia"/>
                <w:sz w:val="24"/>
                <w:lang w:eastAsia="zh-CN"/>
              </w:rPr>
            </w:pPr>
            <w:r>
              <w:rPr>
                <w:rFonts w:hint="eastAsia"/>
                <w:sz w:val="24"/>
                <w:lang w:eastAsia="zh-CN"/>
              </w:rPr>
              <w:t>14）WGCNA（≥15个样本）</w:t>
            </w:r>
          </w:p>
          <w:p w14:paraId="5D7A579A">
            <w:pPr>
              <w:widowControl/>
              <w:snapToGrid w:val="0"/>
              <w:ind w:right="-46" w:rightChars="-21"/>
              <w:rPr>
                <w:rFonts w:hint="eastAsia"/>
                <w:sz w:val="24"/>
                <w:lang w:eastAsia="zh-CN"/>
              </w:rPr>
            </w:pPr>
            <w:r>
              <w:rPr>
                <w:rFonts w:hint="eastAsia"/>
                <w:sz w:val="24"/>
                <w:lang w:eastAsia="zh-CN"/>
              </w:rPr>
              <w:t>15）GSEA（≥2个样本）</w:t>
            </w:r>
          </w:p>
          <w:p w14:paraId="397F8DA8">
            <w:pPr>
              <w:widowControl/>
              <w:snapToGrid w:val="0"/>
              <w:ind w:right="-46" w:rightChars="-21"/>
              <w:rPr>
                <w:rFonts w:hint="eastAsia"/>
                <w:sz w:val="24"/>
                <w:lang w:eastAsia="zh-CN"/>
              </w:rPr>
            </w:pPr>
            <w:r>
              <w:rPr>
                <w:rFonts w:hint="eastAsia"/>
                <w:sz w:val="24"/>
                <w:lang w:eastAsia="zh-CN"/>
              </w:rPr>
              <w:t>16）差异表达基因的DO富集分析（≥2个样本）</w:t>
            </w:r>
          </w:p>
          <w:p w14:paraId="6D6A3048">
            <w:pPr>
              <w:widowControl/>
              <w:snapToGrid w:val="0"/>
              <w:ind w:right="-46" w:rightChars="-21"/>
              <w:rPr>
                <w:rFonts w:hint="eastAsia"/>
                <w:sz w:val="24"/>
                <w:lang w:eastAsia="zh-CN"/>
              </w:rPr>
            </w:pPr>
            <w:r>
              <w:rPr>
                <w:rFonts w:hint="eastAsia"/>
                <w:sz w:val="24"/>
                <w:lang w:eastAsia="zh-CN"/>
              </w:rPr>
              <w:t>17）差异表达基因的DisGeNET富集分析（≥2个样本）</w:t>
            </w:r>
          </w:p>
          <w:p w14:paraId="1DCB3A96">
            <w:pPr>
              <w:widowControl/>
              <w:snapToGrid w:val="0"/>
              <w:ind w:right="-46" w:rightChars="-21"/>
              <w:rPr>
                <w:rFonts w:hint="eastAsia"/>
                <w:sz w:val="24"/>
              </w:rPr>
            </w:pPr>
            <w:r>
              <w:rPr>
                <w:rFonts w:hint="eastAsia"/>
                <w:sz w:val="24"/>
              </w:rPr>
              <w:t>18）差异表达基因的Reactome富集分析（</w:t>
            </w:r>
            <w:r>
              <w:rPr>
                <w:rFonts w:hint="eastAsia"/>
                <w:sz w:val="24"/>
                <w:lang w:eastAsia="zh-CN"/>
              </w:rPr>
              <w:t>≥</w:t>
            </w:r>
            <w:r>
              <w:rPr>
                <w:rFonts w:hint="eastAsia"/>
                <w:sz w:val="24"/>
              </w:rPr>
              <w:t>2个样本）</w:t>
            </w:r>
          </w:p>
        </w:tc>
        <w:tc>
          <w:tcPr>
            <w:tcW w:w="1802" w:type="dxa"/>
            <w:vAlign w:val="center"/>
          </w:tcPr>
          <w:p w14:paraId="18934CDC">
            <w:pPr>
              <w:spacing w:before="156" w:beforeLines="50"/>
              <w:jc w:val="center"/>
              <w:rPr>
                <w:rFonts w:hint="eastAsia"/>
                <w:bCs/>
                <w:sz w:val="24"/>
              </w:rPr>
            </w:pPr>
            <w:r>
              <w:rPr>
                <w:rFonts w:hint="eastAsia"/>
                <w:bCs/>
                <w:sz w:val="24"/>
              </w:rPr>
              <w:t>160（例）</w:t>
            </w:r>
          </w:p>
        </w:tc>
        <w:tc>
          <w:tcPr>
            <w:tcW w:w="2284" w:type="dxa"/>
          </w:tcPr>
          <w:p w14:paraId="65F84885">
            <w:pPr>
              <w:spacing w:before="156" w:beforeLines="50"/>
              <w:jc w:val="center"/>
              <w:rPr>
                <w:rFonts w:hint="eastAsia"/>
                <w:bCs/>
                <w:sz w:val="24"/>
              </w:rPr>
            </w:pPr>
            <w:r>
              <w:rPr>
                <w:rFonts w:hint="eastAsia"/>
                <w:bCs/>
                <w:sz w:val="24"/>
                <w:lang w:eastAsia="zh-CN"/>
              </w:rPr>
              <w:t>样本质检合格确认建库开始，单次送样30个样本以下，21个自然日，法定假期顺延。</w:t>
            </w:r>
            <w:r>
              <w:rPr>
                <w:rFonts w:hint="eastAsia"/>
                <w:bCs/>
                <w:sz w:val="24"/>
              </w:rPr>
              <w:t>服务周期2年。</w:t>
            </w:r>
          </w:p>
        </w:tc>
      </w:tr>
    </w:tbl>
    <w:p w14:paraId="6BB51E51">
      <w:pPr>
        <w:spacing w:line="360" w:lineRule="auto"/>
        <w:rPr>
          <w:rFonts w:hint="eastAsia"/>
          <w:b/>
          <w:bCs/>
          <w:sz w:val="24"/>
          <w:szCs w:val="24"/>
          <w:lang w:eastAsia="zh-CN"/>
        </w:rPr>
      </w:pPr>
      <w:r>
        <w:rPr>
          <w:rFonts w:hint="eastAsia"/>
          <w:b/>
          <w:bCs/>
          <w:sz w:val="24"/>
          <w:szCs w:val="24"/>
          <w:lang w:eastAsia="zh-CN"/>
        </w:rPr>
        <w:t>（二）其他要求</w:t>
      </w:r>
    </w:p>
    <w:p w14:paraId="1E5903A3">
      <w:pPr>
        <w:spacing w:line="360" w:lineRule="auto"/>
        <w:rPr>
          <w:rFonts w:hint="eastAsia"/>
          <w:sz w:val="24"/>
          <w:szCs w:val="24"/>
          <w:lang w:eastAsia="zh-CN"/>
        </w:rPr>
      </w:pPr>
      <w:r>
        <w:rPr>
          <w:rFonts w:hint="eastAsia"/>
          <w:sz w:val="24"/>
          <w:szCs w:val="24"/>
          <w:lang w:eastAsia="zh-CN"/>
        </w:rPr>
        <w:t>1、人员资质：项目管理人员1人，需具有博士学历及高级技术职务职称，5年以上同类项目工作经验，负责项目跟进及整体项目质量及进度把控；项目实施团队人员至少8人，需具有硕士及以上学历，有5年以上的项目经验，针对本项目分工明确合理，提供项目人员名单，项目人员学历学位证书、职称证书、投标人出具的工作经验证明函。</w:t>
      </w:r>
    </w:p>
    <w:p w14:paraId="57ED4D1E">
      <w:pPr>
        <w:spacing w:line="360" w:lineRule="auto"/>
        <w:rPr>
          <w:rFonts w:hint="eastAsia"/>
          <w:sz w:val="24"/>
          <w:szCs w:val="24"/>
          <w:lang w:eastAsia="zh-CN"/>
        </w:rPr>
      </w:pPr>
      <w:r>
        <w:rPr>
          <w:rFonts w:hint="eastAsia"/>
          <w:sz w:val="24"/>
          <w:szCs w:val="24"/>
          <w:lang w:eastAsia="zh-CN"/>
        </w:rPr>
        <w:t>2、投标人具备10台或以上Illumina Novaseq x plus检测平台，具备10台或以上10X Genomics单细胞仪器，需提供设备序列号，设备铭牌照片及设备最新状况照片。</w:t>
      </w:r>
    </w:p>
    <w:p w14:paraId="45B46DFC">
      <w:pPr>
        <w:spacing w:line="360" w:lineRule="auto"/>
        <w:rPr>
          <w:rFonts w:hint="eastAsia"/>
          <w:sz w:val="24"/>
          <w:szCs w:val="24"/>
          <w:lang w:eastAsia="zh-CN"/>
        </w:rPr>
      </w:pPr>
      <w:r>
        <w:rPr>
          <w:rFonts w:hint="eastAsia"/>
          <w:sz w:val="24"/>
          <w:szCs w:val="24"/>
          <w:lang w:eastAsia="zh-CN"/>
        </w:rPr>
        <w:t>3、投标人需具备高性能计算平台。</w:t>
      </w:r>
    </w:p>
    <w:p w14:paraId="35EC4094">
      <w:pPr>
        <w:spacing w:line="360" w:lineRule="auto"/>
        <w:rPr>
          <w:rFonts w:hint="eastAsia"/>
          <w:sz w:val="24"/>
          <w:szCs w:val="24"/>
          <w:lang w:eastAsia="zh-CN"/>
        </w:rPr>
      </w:pPr>
      <w:r>
        <w:rPr>
          <w:rFonts w:hint="eastAsia"/>
          <w:sz w:val="24"/>
          <w:szCs w:val="24"/>
          <w:lang w:eastAsia="zh-CN"/>
        </w:rPr>
        <w:t>4、投标人需拥有智能化交付系统，并搭载自动化样本库，以保证项目在规定或加急周期内得到响应。</w:t>
      </w:r>
    </w:p>
    <w:p w14:paraId="4376340C">
      <w:pPr>
        <w:spacing w:line="360" w:lineRule="auto"/>
        <w:rPr>
          <w:rFonts w:hint="eastAsia"/>
          <w:sz w:val="24"/>
          <w:szCs w:val="24"/>
          <w:lang w:eastAsia="zh-CN"/>
        </w:rPr>
      </w:pPr>
      <w:r>
        <w:rPr>
          <w:rFonts w:hint="eastAsia"/>
          <w:sz w:val="24"/>
          <w:szCs w:val="24"/>
          <w:lang w:eastAsia="zh-CN"/>
        </w:rPr>
        <w:t>5、保密要求：签订保密协议，确保样本信息及实验数据不外泄，项目结束后按要求销毁原始样本</w:t>
      </w:r>
    </w:p>
    <w:p w14:paraId="28B798BC">
      <w:pPr>
        <w:spacing w:line="360" w:lineRule="auto"/>
        <w:rPr>
          <w:rFonts w:hint="eastAsia"/>
          <w:sz w:val="24"/>
          <w:szCs w:val="24"/>
          <w:lang w:eastAsia="zh-CN"/>
        </w:rPr>
      </w:pPr>
      <w:r>
        <w:rPr>
          <w:rFonts w:hint="eastAsia"/>
          <w:sz w:val="24"/>
          <w:szCs w:val="24"/>
          <w:lang w:eastAsia="zh-CN"/>
        </w:rPr>
        <w:t>6、售后及培训服务要求：投标人需具有充足的项目经验和专业技术人员，有能力保证本项目的顺利开展，提供7×24小时免费电话咨询服务，当样品选择、数据解读等方面出现存疑，在收到相关邮件或电话后于24小时以内予以回应，遇到复杂的问题，3天内提出解决方案（特殊情况和不可抗拒因素除外）。</w:t>
      </w:r>
    </w:p>
    <w:p w14:paraId="266B3F1D">
      <w:pPr>
        <w:pStyle w:val="2"/>
        <w:spacing w:line="360" w:lineRule="auto"/>
        <w:jc w:val="center"/>
        <w:rPr>
          <w:rFonts w:hint="eastAsia"/>
          <w:b/>
          <w:bCs/>
          <w:lang w:eastAsia="zh-CN"/>
        </w:rPr>
        <w:sectPr>
          <w:pgSz w:w="11906" w:h="16838"/>
          <w:pgMar w:top="1440" w:right="1800" w:bottom="1440" w:left="1800" w:header="851" w:footer="992" w:gutter="0"/>
          <w:cols w:space="425" w:num="1"/>
          <w:docGrid w:type="lines" w:linePitch="312" w:charSpace="0"/>
        </w:sectPr>
      </w:pPr>
    </w:p>
    <w:p w14:paraId="7B60F4B4">
      <w:pPr>
        <w:pStyle w:val="2"/>
        <w:jc w:val="center"/>
        <w:rPr>
          <w:rFonts w:hint="eastAsia"/>
          <w:b/>
          <w:bCs/>
          <w:sz w:val="32"/>
          <w:szCs w:val="32"/>
          <w:lang w:eastAsia="zh-CN"/>
        </w:rPr>
      </w:pPr>
      <w:r>
        <w:rPr>
          <w:rFonts w:hint="eastAsia"/>
          <w:b/>
          <w:bCs/>
          <w:sz w:val="32"/>
          <w:szCs w:val="32"/>
          <w:lang w:eastAsia="zh-CN"/>
        </w:rPr>
        <w:t>04包：</w:t>
      </w:r>
    </w:p>
    <w:p w14:paraId="3E81D335">
      <w:pPr>
        <w:pStyle w:val="2"/>
        <w:jc w:val="both"/>
        <w:rPr>
          <w:rFonts w:hint="default"/>
          <w:b/>
          <w:bCs/>
          <w:sz w:val="24"/>
          <w:szCs w:val="24"/>
          <w:lang w:val="en-US" w:eastAsia="zh-CN"/>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lang w:val="en-US" w:eastAsia="zh-CN"/>
        </w:rPr>
        <w:t>技术要求</w:t>
      </w:r>
    </w:p>
    <w:tbl>
      <w:tblPr>
        <w:tblStyle w:val="4"/>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963"/>
        <w:gridCol w:w="3955"/>
        <w:gridCol w:w="1549"/>
        <w:gridCol w:w="2821"/>
      </w:tblGrid>
      <w:tr w14:paraId="1884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963" w:type="dxa"/>
            <w:vAlign w:val="center"/>
          </w:tcPr>
          <w:p w14:paraId="1465844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z w:val="24"/>
              </w:rPr>
            </w:pPr>
            <w:r>
              <w:rPr>
                <w:rFonts w:hint="eastAsia"/>
                <w:b/>
                <w:bCs/>
                <w:sz w:val="24"/>
              </w:rPr>
              <w:t>品目号</w:t>
            </w:r>
          </w:p>
        </w:tc>
        <w:tc>
          <w:tcPr>
            <w:tcW w:w="963" w:type="dxa"/>
            <w:vAlign w:val="center"/>
          </w:tcPr>
          <w:p w14:paraId="1590ABA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z w:val="24"/>
              </w:rPr>
            </w:pPr>
            <w:r>
              <w:rPr>
                <w:rFonts w:hint="eastAsia"/>
                <w:b/>
                <w:bCs/>
                <w:sz w:val="24"/>
              </w:rPr>
              <w:t>产品</w:t>
            </w:r>
          </w:p>
        </w:tc>
        <w:tc>
          <w:tcPr>
            <w:tcW w:w="3955" w:type="dxa"/>
          </w:tcPr>
          <w:p w14:paraId="6A15016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z w:val="24"/>
              </w:rPr>
            </w:pPr>
            <w:r>
              <w:rPr>
                <w:rFonts w:hint="eastAsia"/>
                <w:b/>
                <w:bCs/>
                <w:sz w:val="24"/>
              </w:rPr>
              <w:t>具体要求</w:t>
            </w:r>
          </w:p>
        </w:tc>
        <w:tc>
          <w:tcPr>
            <w:tcW w:w="1549" w:type="dxa"/>
            <w:vAlign w:val="center"/>
          </w:tcPr>
          <w:p w14:paraId="2224673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z w:val="24"/>
              </w:rPr>
            </w:pPr>
            <w:r>
              <w:rPr>
                <w:rFonts w:hint="eastAsia"/>
                <w:b/>
                <w:bCs/>
                <w:sz w:val="24"/>
              </w:rPr>
              <w:t>数量</w:t>
            </w:r>
          </w:p>
          <w:p w14:paraId="42E4867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z w:val="24"/>
              </w:rPr>
            </w:pPr>
            <w:r>
              <w:rPr>
                <w:rFonts w:hint="eastAsia"/>
                <w:b/>
                <w:bCs/>
                <w:sz w:val="24"/>
              </w:rPr>
              <w:t>（单位）</w:t>
            </w:r>
          </w:p>
        </w:tc>
        <w:tc>
          <w:tcPr>
            <w:tcW w:w="2821" w:type="dxa"/>
          </w:tcPr>
          <w:p w14:paraId="540680B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z w:val="24"/>
              </w:rPr>
            </w:pPr>
            <w:r>
              <w:rPr>
                <w:rFonts w:hint="eastAsia"/>
                <w:b/>
                <w:bCs/>
                <w:sz w:val="24"/>
              </w:rPr>
              <w:t>服务周期</w:t>
            </w:r>
          </w:p>
        </w:tc>
      </w:tr>
      <w:tr w14:paraId="1BCA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63" w:type="dxa"/>
            <w:vAlign w:val="center"/>
          </w:tcPr>
          <w:p w14:paraId="2AD26991">
            <w:pPr>
              <w:spacing w:before="156" w:beforeLines="50" w:line="240" w:lineRule="auto"/>
              <w:jc w:val="center"/>
              <w:rPr>
                <w:rFonts w:hint="eastAsia"/>
                <w:bCs/>
                <w:sz w:val="24"/>
              </w:rPr>
            </w:pPr>
            <w:r>
              <w:rPr>
                <w:rFonts w:hint="eastAsia"/>
                <w:bCs/>
                <w:sz w:val="24"/>
              </w:rPr>
              <w:t>4-1</w:t>
            </w:r>
          </w:p>
        </w:tc>
        <w:tc>
          <w:tcPr>
            <w:tcW w:w="963" w:type="dxa"/>
            <w:vAlign w:val="center"/>
          </w:tcPr>
          <w:p w14:paraId="6528B89D">
            <w:pPr>
              <w:spacing w:before="156" w:beforeLines="50" w:line="240" w:lineRule="auto"/>
              <w:jc w:val="center"/>
              <w:rPr>
                <w:rFonts w:hint="eastAsia"/>
                <w:bCs/>
                <w:sz w:val="24"/>
              </w:rPr>
            </w:pPr>
            <w:r>
              <w:rPr>
                <w:rFonts w:hint="eastAsia"/>
                <w:bCs/>
                <w:sz w:val="24"/>
              </w:rPr>
              <w:t>单细胞转录组</w:t>
            </w:r>
          </w:p>
        </w:tc>
        <w:tc>
          <w:tcPr>
            <w:tcW w:w="3955" w:type="dxa"/>
          </w:tcPr>
          <w:p w14:paraId="663F502D">
            <w:pPr>
              <w:spacing w:line="240" w:lineRule="auto"/>
              <w:rPr>
                <w:rFonts w:hint="eastAsia"/>
                <w:bCs/>
                <w:sz w:val="24"/>
                <w:lang w:eastAsia="zh-CN"/>
              </w:rPr>
            </w:pPr>
            <w:r>
              <w:rPr>
                <w:rFonts w:hint="eastAsia"/>
                <w:bCs/>
                <w:sz w:val="24"/>
                <w:lang w:eastAsia="zh-CN"/>
              </w:rPr>
              <w:t>1、依托10x Genomics微流控系统，对多种样本类型（包括鼻黏膜组织，血液等）使用v3.1版本试剂进行捕获并且使用原装配套试剂进行单细胞文库的构建。</w:t>
            </w:r>
          </w:p>
          <w:p w14:paraId="25F3B2D4">
            <w:pPr>
              <w:spacing w:line="240" w:lineRule="auto"/>
              <w:rPr>
                <w:rFonts w:hint="eastAsia"/>
                <w:bCs/>
                <w:sz w:val="24"/>
                <w:lang w:eastAsia="zh-CN"/>
              </w:rPr>
            </w:pPr>
            <w:r>
              <w:rPr>
                <w:rFonts w:hint="eastAsia"/>
                <w:bCs/>
                <w:sz w:val="24"/>
                <w:lang w:eastAsia="zh-CN"/>
              </w:rPr>
              <w:t>2、要求样本制备活细胞数≥5万，细胞活性≥70%，有核率≥7</w:t>
            </w:r>
            <w:r>
              <w:rPr>
                <w:bCs/>
                <w:sz w:val="24"/>
                <w:lang w:eastAsia="zh-CN"/>
              </w:rPr>
              <w:t>0%</w:t>
            </w:r>
            <w:r>
              <w:rPr>
                <w:rFonts w:hint="eastAsia"/>
                <w:bCs/>
                <w:sz w:val="24"/>
                <w:lang w:eastAsia="zh-CN"/>
              </w:rPr>
              <w:t>，结团率≤30</w:t>
            </w:r>
            <w:r>
              <w:rPr>
                <w:bCs/>
                <w:sz w:val="24"/>
                <w:lang w:eastAsia="zh-CN"/>
              </w:rPr>
              <w:t>%</w:t>
            </w:r>
          </w:p>
          <w:p w14:paraId="112038C0">
            <w:pPr>
              <w:spacing w:line="240" w:lineRule="auto"/>
              <w:rPr>
                <w:rFonts w:hint="eastAsia"/>
                <w:bCs/>
                <w:sz w:val="24"/>
              </w:rPr>
            </w:pPr>
            <w:r>
              <w:rPr>
                <w:rFonts w:hint="eastAsia"/>
                <w:bCs/>
                <w:sz w:val="24"/>
              </w:rPr>
              <w:t>3、测序使用Illumina NovaSeq X plus高通量测序平台进行PE150测序，</w:t>
            </w:r>
          </w:p>
          <w:p w14:paraId="1C2DC70A">
            <w:pPr>
              <w:spacing w:line="240" w:lineRule="auto"/>
              <w:rPr>
                <w:rFonts w:hint="eastAsia"/>
                <w:bCs/>
                <w:sz w:val="24"/>
              </w:rPr>
            </w:pPr>
            <w:r>
              <w:rPr>
                <w:rFonts w:hint="eastAsia"/>
                <w:bCs/>
                <w:sz w:val="24"/>
              </w:rPr>
              <w:t>4、每个转录组文库测序数据量≥100G raw</w:t>
            </w:r>
            <w:r>
              <w:rPr>
                <w:bCs/>
                <w:sz w:val="24"/>
              </w:rPr>
              <w:t xml:space="preserve"> data/</w:t>
            </w:r>
            <w:r>
              <w:rPr>
                <w:rFonts w:hint="eastAsia"/>
                <w:bCs/>
                <w:sz w:val="24"/>
              </w:rPr>
              <w:t>样本，测序</w:t>
            </w:r>
            <w:r>
              <w:rPr>
                <w:bCs/>
                <w:sz w:val="24"/>
              </w:rPr>
              <w:t>raw  data Q20</w:t>
            </w:r>
            <w:r>
              <w:rPr>
                <w:rFonts w:hint="eastAsia"/>
                <w:bCs/>
                <w:sz w:val="24"/>
              </w:rPr>
              <w:t>≥</w:t>
            </w:r>
            <w:r>
              <w:rPr>
                <w:bCs/>
                <w:sz w:val="24"/>
              </w:rPr>
              <w:t>90%，Q30</w:t>
            </w:r>
            <w:r>
              <w:rPr>
                <w:rFonts w:hint="eastAsia"/>
                <w:bCs/>
                <w:sz w:val="24"/>
              </w:rPr>
              <w:t>≥</w:t>
            </w:r>
            <w:r>
              <w:rPr>
                <w:bCs/>
                <w:sz w:val="24"/>
              </w:rPr>
              <w:t>85%</w:t>
            </w:r>
            <w:r>
              <w:rPr>
                <w:rFonts w:hint="eastAsia"/>
                <w:bCs/>
                <w:sz w:val="24"/>
              </w:rPr>
              <w:t>，，实际捕获细胞数不低于1万，基因数不低于1000。</w:t>
            </w:r>
          </w:p>
          <w:p w14:paraId="23398155">
            <w:pPr>
              <w:spacing w:line="240" w:lineRule="auto"/>
              <w:rPr>
                <w:rFonts w:hint="eastAsia"/>
                <w:bCs/>
                <w:sz w:val="24"/>
                <w:lang w:eastAsia="zh-CN"/>
              </w:rPr>
            </w:pPr>
            <w:r>
              <w:rPr>
                <w:rFonts w:hint="eastAsia"/>
                <w:bCs/>
                <w:sz w:val="24"/>
                <w:lang w:eastAsia="zh-CN"/>
              </w:rPr>
              <w:t>5、具备独立分析团队</w:t>
            </w:r>
          </w:p>
          <w:p w14:paraId="70236448">
            <w:pPr>
              <w:spacing w:line="240" w:lineRule="auto"/>
              <w:rPr>
                <w:rFonts w:hint="eastAsia"/>
                <w:bCs/>
                <w:sz w:val="24"/>
                <w:lang w:eastAsia="zh-CN"/>
              </w:rPr>
            </w:pPr>
            <w:r>
              <w:rPr>
                <w:rFonts w:hint="eastAsia"/>
                <w:bCs/>
                <w:sz w:val="24"/>
                <w:lang w:eastAsia="zh-CN"/>
              </w:rPr>
              <w:t>6、须提供标准生信分析内容，主要包括：</w:t>
            </w:r>
          </w:p>
          <w:p w14:paraId="18CB0629">
            <w:pPr>
              <w:adjustRightInd w:val="0"/>
              <w:spacing w:line="240" w:lineRule="auto"/>
              <w:ind w:firstLine="480" w:firstLineChars="200"/>
              <w:outlineLvl w:val="0"/>
              <w:rPr>
                <w:rFonts w:hint="eastAsia"/>
                <w:color w:val="000000"/>
                <w:sz w:val="24"/>
                <w:lang w:eastAsia="zh-CN"/>
              </w:rPr>
            </w:pPr>
            <w:bookmarkStart w:id="3" w:name="_Toc693"/>
            <w:r>
              <w:rPr>
                <w:rFonts w:hint="eastAsia"/>
                <w:color w:val="000000"/>
                <w:sz w:val="24"/>
                <w:lang w:eastAsia="zh-CN"/>
              </w:rPr>
              <w:t>（1）标准分析；</w:t>
            </w:r>
            <w:bookmarkEnd w:id="3"/>
          </w:p>
          <w:p w14:paraId="3FB80ADE">
            <w:pPr>
              <w:widowControl/>
              <w:adjustRightInd w:val="0"/>
              <w:snapToGrid w:val="0"/>
              <w:spacing w:line="240" w:lineRule="auto"/>
              <w:ind w:firstLine="480" w:firstLineChars="200"/>
              <w:rPr>
                <w:rFonts w:hint="eastAsia"/>
                <w:color w:val="000000"/>
                <w:sz w:val="24"/>
                <w:lang w:eastAsia="zh-CN"/>
              </w:rPr>
            </w:pPr>
            <w:r>
              <w:rPr>
                <w:color w:val="000000"/>
                <w:sz w:val="24"/>
                <w:lang w:eastAsia="zh-CN"/>
              </w:rPr>
              <w:t>1</w:t>
            </w:r>
            <w:r>
              <w:rPr>
                <w:rFonts w:hint="eastAsia"/>
                <w:color w:val="000000"/>
                <w:sz w:val="24"/>
                <w:lang w:eastAsia="zh-CN"/>
              </w:rPr>
              <w:t>．RawData数据质量评估</w:t>
            </w:r>
          </w:p>
          <w:p w14:paraId="1285B46D">
            <w:pPr>
              <w:widowControl/>
              <w:adjustRightInd w:val="0"/>
              <w:snapToGrid w:val="0"/>
              <w:spacing w:line="240" w:lineRule="auto"/>
              <w:ind w:firstLine="480" w:firstLineChars="200"/>
              <w:rPr>
                <w:rFonts w:hint="eastAsia"/>
                <w:color w:val="000000"/>
                <w:sz w:val="24"/>
                <w:lang w:eastAsia="zh-CN"/>
              </w:rPr>
            </w:pPr>
            <w:r>
              <w:rPr>
                <w:rFonts w:hint="eastAsia"/>
                <w:color w:val="000000"/>
                <w:sz w:val="24"/>
                <w:lang w:eastAsia="zh-CN"/>
              </w:rPr>
              <w:t>2</w:t>
            </w:r>
            <w:r>
              <w:rPr>
                <w:color w:val="000000"/>
                <w:sz w:val="24"/>
                <w:lang w:eastAsia="zh-CN"/>
              </w:rPr>
              <w:t>.</w:t>
            </w:r>
            <w:r>
              <w:rPr>
                <w:rFonts w:hint="eastAsia"/>
                <w:color w:val="000000"/>
                <w:sz w:val="24"/>
                <w:lang w:eastAsia="zh-CN"/>
              </w:rPr>
              <w:t xml:space="preserve"> Cell Ranger表达矩阵统计</w:t>
            </w:r>
          </w:p>
          <w:p w14:paraId="2E6781E8">
            <w:pPr>
              <w:widowControl/>
              <w:adjustRightInd w:val="0"/>
              <w:snapToGrid w:val="0"/>
              <w:spacing w:line="240" w:lineRule="auto"/>
              <w:ind w:firstLine="480" w:firstLineChars="200"/>
              <w:rPr>
                <w:rFonts w:hint="eastAsia"/>
                <w:color w:val="000000"/>
                <w:sz w:val="24"/>
                <w:lang w:eastAsia="zh-CN"/>
              </w:rPr>
            </w:pPr>
            <w:r>
              <w:rPr>
                <w:color w:val="000000"/>
                <w:sz w:val="24"/>
                <w:lang w:eastAsia="zh-CN"/>
              </w:rPr>
              <w:t>3.</w:t>
            </w:r>
            <w:r>
              <w:rPr>
                <w:rFonts w:hint="eastAsia"/>
                <w:color w:val="000000"/>
                <w:sz w:val="24"/>
                <w:lang w:eastAsia="zh-CN"/>
              </w:rPr>
              <w:t xml:space="preserve"> 细胞过滤质控分析</w:t>
            </w:r>
          </w:p>
          <w:p w14:paraId="53EF5F9F">
            <w:pPr>
              <w:widowControl/>
              <w:adjustRightInd w:val="0"/>
              <w:snapToGrid w:val="0"/>
              <w:spacing w:line="240" w:lineRule="auto"/>
              <w:ind w:firstLine="480" w:firstLineChars="200"/>
              <w:rPr>
                <w:rFonts w:hint="eastAsia"/>
                <w:color w:val="000000"/>
                <w:sz w:val="24"/>
                <w:lang w:eastAsia="zh-CN"/>
              </w:rPr>
            </w:pPr>
            <w:r>
              <w:rPr>
                <w:color w:val="000000"/>
                <w:sz w:val="24"/>
                <w:lang w:eastAsia="zh-CN"/>
              </w:rPr>
              <w:t>4.</w:t>
            </w:r>
            <w:r>
              <w:rPr>
                <w:rFonts w:hint="eastAsia"/>
                <w:color w:val="000000"/>
                <w:sz w:val="24"/>
                <w:lang w:eastAsia="zh-CN"/>
              </w:rPr>
              <w:t xml:space="preserve"> 降维和聚类分析</w:t>
            </w:r>
          </w:p>
          <w:p w14:paraId="21343566">
            <w:pPr>
              <w:adjustRightInd w:val="0"/>
              <w:snapToGrid w:val="0"/>
              <w:spacing w:line="240" w:lineRule="auto"/>
              <w:ind w:firstLine="480" w:firstLineChars="200"/>
              <w:rPr>
                <w:rFonts w:hint="eastAsia"/>
                <w:color w:val="000000"/>
                <w:sz w:val="24"/>
                <w:lang w:eastAsia="zh-CN"/>
              </w:rPr>
            </w:pPr>
            <w:bookmarkStart w:id="4" w:name="_Toc132104631"/>
            <w:bookmarkStart w:id="5" w:name="_Toc16278"/>
            <w:r>
              <w:rPr>
                <w:color w:val="000000"/>
                <w:sz w:val="24"/>
                <w:lang w:eastAsia="zh-CN"/>
              </w:rPr>
              <w:t>5</w:t>
            </w:r>
            <w:r>
              <w:rPr>
                <w:rFonts w:hint="eastAsia"/>
                <w:color w:val="000000"/>
                <w:sz w:val="24"/>
                <w:lang w:eastAsia="zh-CN"/>
              </w:rPr>
              <w:t>、</w:t>
            </w:r>
            <w:r>
              <w:rPr>
                <w:color w:val="000000"/>
                <w:sz w:val="24"/>
                <w:lang w:eastAsia="zh-CN"/>
              </w:rPr>
              <w:t>差异基因分析</w:t>
            </w:r>
            <w:bookmarkEnd w:id="4"/>
            <w:bookmarkEnd w:id="5"/>
          </w:p>
          <w:p w14:paraId="6AF14D57">
            <w:pPr>
              <w:adjustRightInd w:val="0"/>
              <w:snapToGrid w:val="0"/>
              <w:spacing w:line="240" w:lineRule="auto"/>
              <w:ind w:firstLine="480" w:firstLineChars="200"/>
              <w:rPr>
                <w:rFonts w:hint="eastAsia"/>
                <w:color w:val="000000"/>
                <w:sz w:val="24"/>
                <w:lang w:eastAsia="zh-CN"/>
              </w:rPr>
            </w:pPr>
            <w:bookmarkStart w:id="6" w:name="_Toc24957"/>
            <w:bookmarkStart w:id="7" w:name="_Toc132104635"/>
            <w:r>
              <w:rPr>
                <w:color w:val="000000"/>
                <w:sz w:val="24"/>
                <w:lang w:eastAsia="zh-CN"/>
              </w:rPr>
              <w:t>6</w:t>
            </w:r>
            <w:r>
              <w:rPr>
                <w:rFonts w:hint="eastAsia"/>
                <w:color w:val="000000"/>
                <w:sz w:val="24"/>
                <w:lang w:eastAsia="zh-CN"/>
              </w:rPr>
              <w:t>、</w:t>
            </w:r>
            <w:r>
              <w:rPr>
                <w:color w:val="000000"/>
                <w:sz w:val="24"/>
                <w:lang w:eastAsia="zh-CN"/>
              </w:rPr>
              <w:t>功能、代谢和信号通路富集分析</w:t>
            </w:r>
            <w:bookmarkEnd w:id="6"/>
            <w:bookmarkEnd w:id="7"/>
          </w:p>
          <w:p w14:paraId="4630E0CA">
            <w:pPr>
              <w:adjustRightInd w:val="0"/>
              <w:spacing w:line="240" w:lineRule="auto"/>
              <w:ind w:firstLine="480" w:firstLineChars="200"/>
              <w:outlineLvl w:val="0"/>
              <w:rPr>
                <w:rFonts w:hint="eastAsia"/>
                <w:color w:val="000000"/>
                <w:sz w:val="24"/>
                <w:lang w:eastAsia="zh-CN"/>
              </w:rPr>
            </w:pPr>
            <w:bookmarkStart w:id="8" w:name="_Toc16467"/>
            <w:r>
              <w:rPr>
                <w:rFonts w:hint="eastAsia"/>
                <w:color w:val="000000"/>
                <w:sz w:val="24"/>
                <w:lang w:eastAsia="zh-CN"/>
              </w:rPr>
              <w:t>（2）高级分析；</w:t>
            </w:r>
            <w:bookmarkEnd w:id="8"/>
          </w:p>
          <w:p w14:paraId="5C2C8BA9">
            <w:pPr>
              <w:widowControl/>
              <w:adjustRightInd w:val="0"/>
              <w:snapToGrid w:val="0"/>
              <w:spacing w:line="240" w:lineRule="auto"/>
              <w:ind w:firstLine="480" w:firstLineChars="200"/>
              <w:rPr>
                <w:rFonts w:hint="eastAsia"/>
                <w:color w:val="000000"/>
                <w:sz w:val="24"/>
                <w:lang w:eastAsia="zh-CN"/>
              </w:rPr>
            </w:pPr>
            <w:r>
              <w:rPr>
                <w:rFonts w:hint="eastAsia"/>
                <w:color w:val="000000"/>
                <w:sz w:val="24"/>
                <w:lang w:eastAsia="zh-CN"/>
              </w:rPr>
              <w:t>1、细胞注释</w:t>
            </w:r>
          </w:p>
          <w:p w14:paraId="33F6A9E9">
            <w:pPr>
              <w:widowControl/>
              <w:adjustRightInd w:val="0"/>
              <w:snapToGrid w:val="0"/>
              <w:spacing w:line="240" w:lineRule="auto"/>
              <w:ind w:firstLine="480" w:firstLineChars="200"/>
              <w:rPr>
                <w:rFonts w:hint="eastAsia"/>
                <w:color w:val="000000"/>
                <w:sz w:val="24"/>
                <w:lang w:eastAsia="zh-CN"/>
              </w:rPr>
            </w:pPr>
            <w:r>
              <w:rPr>
                <w:rFonts w:hint="eastAsia"/>
                <w:color w:val="000000"/>
                <w:sz w:val="24"/>
                <w:lang w:eastAsia="zh-CN"/>
              </w:rPr>
              <w:t>2、细胞亚群占比分析</w:t>
            </w:r>
          </w:p>
          <w:p w14:paraId="18E12F7B">
            <w:pPr>
              <w:widowControl/>
              <w:adjustRightInd w:val="0"/>
              <w:snapToGrid w:val="0"/>
              <w:spacing w:line="240" w:lineRule="auto"/>
              <w:ind w:firstLine="480" w:firstLineChars="200"/>
              <w:rPr>
                <w:rFonts w:hint="eastAsia"/>
                <w:color w:val="000000"/>
                <w:sz w:val="24"/>
                <w:lang w:eastAsia="zh-CN"/>
              </w:rPr>
            </w:pPr>
            <w:r>
              <w:rPr>
                <w:rFonts w:hint="eastAsia"/>
                <w:color w:val="000000"/>
                <w:sz w:val="24"/>
                <w:lang w:eastAsia="zh-CN"/>
              </w:rPr>
              <w:t>3、差异基因TF注释</w:t>
            </w:r>
          </w:p>
          <w:p w14:paraId="11E74160">
            <w:pPr>
              <w:widowControl/>
              <w:adjustRightInd w:val="0"/>
              <w:snapToGrid w:val="0"/>
              <w:spacing w:line="240" w:lineRule="auto"/>
              <w:ind w:firstLine="480" w:firstLineChars="200"/>
              <w:rPr>
                <w:rFonts w:hint="eastAsia"/>
                <w:color w:val="000000"/>
                <w:sz w:val="24"/>
                <w:lang w:eastAsia="zh-CN"/>
              </w:rPr>
            </w:pPr>
            <w:r>
              <w:rPr>
                <w:rFonts w:hint="eastAsia"/>
                <w:color w:val="000000"/>
                <w:sz w:val="24"/>
                <w:lang w:eastAsia="zh-CN"/>
              </w:rPr>
              <w:t>3、蛋白互作分析</w:t>
            </w:r>
          </w:p>
          <w:p w14:paraId="6FC3C27C">
            <w:pPr>
              <w:widowControl/>
              <w:adjustRightInd w:val="0"/>
              <w:snapToGrid w:val="0"/>
              <w:spacing w:line="240" w:lineRule="auto"/>
              <w:ind w:firstLine="480" w:firstLineChars="200"/>
              <w:rPr>
                <w:rFonts w:hint="eastAsia"/>
                <w:color w:val="000000"/>
                <w:sz w:val="24"/>
                <w:lang w:eastAsia="zh-CN"/>
              </w:rPr>
            </w:pPr>
            <w:r>
              <w:rPr>
                <w:rFonts w:hint="eastAsia"/>
                <w:color w:val="000000"/>
                <w:sz w:val="24"/>
                <w:lang w:eastAsia="zh-CN"/>
              </w:rPr>
              <w:t>4、多样本整合分析</w:t>
            </w:r>
          </w:p>
          <w:p w14:paraId="4408FB3E">
            <w:pPr>
              <w:widowControl/>
              <w:adjustRightInd w:val="0"/>
              <w:snapToGrid w:val="0"/>
              <w:spacing w:line="240" w:lineRule="auto"/>
              <w:ind w:firstLine="480" w:firstLineChars="200"/>
              <w:rPr>
                <w:rFonts w:hint="eastAsia"/>
                <w:color w:val="000000"/>
                <w:sz w:val="24"/>
                <w:lang w:eastAsia="zh-CN"/>
              </w:rPr>
            </w:pPr>
            <w:r>
              <w:rPr>
                <w:rFonts w:hint="eastAsia"/>
                <w:color w:val="000000"/>
                <w:sz w:val="24"/>
                <w:lang w:eastAsia="zh-CN"/>
              </w:rPr>
              <w:t>5、拟时分析</w:t>
            </w:r>
          </w:p>
          <w:p w14:paraId="279B5E74">
            <w:pPr>
              <w:widowControl/>
              <w:adjustRightInd w:val="0"/>
              <w:snapToGrid w:val="0"/>
              <w:spacing w:line="240" w:lineRule="auto"/>
              <w:ind w:firstLine="480" w:firstLineChars="200"/>
              <w:rPr>
                <w:rFonts w:hint="eastAsia"/>
                <w:color w:val="000000"/>
                <w:sz w:val="24"/>
                <w:lang w:eastAsia="zh-CN"/>
              </w:rPr>
            </w:pPr>
            <w:r>
              <w:rPr>
                <w:rFonts w:hint="eastAsia"/>
                <w:color w:val="000000"/>
                <w:sz w:val="24"/>
                <w:lang w:eastAsia="zh-CN"/>
              </w:rPr>
              <w:t>6、细胞通讯分析</w:t>
            </w:r>
          </w:p>
          <w:p w14:paraId="0E835552">
            <w:pPr>
              <w:widowControl/>
              <w:adjustRightInd w:val="0"/>
              <w:snapToGrid w:val="0"/>
              <w:spacing w:line="240" w:lineRule="auto"/>
              <w:ind w:firstLine="480" w:firstLineChars="200"/>
              <w:rPr>
                <w:rFonts w:hint="eastAsia"/>
                <w:color w:val="000000"/>
                <w:sz w:val="24"/>
                <w:lang w:eastAsia="zh-CN"/>
              </w:rPr>
            </w:pPr>
            <w:r>
              <w:rPr>
                <w:color w:val="000000"/>
                <w:sz w:val="24"/>
                <w:lang w:eastAsia="zh-CN"/>
              </w:rPr>
              <w:t>7</w:t>
            </w:r>
            <w:r>
              <w:rPr>
                <w:rFonts w:hint="eastAsia"/>
                <w:color w:val="000000"/>
                <w:sz w:val="24"/>
                <w:lang w:eastAsia="zh-CN"/>
              </w:rPr>
              <w:t>、</w:t>
            </w:r>
            <w:r>
              <w:rPr>
                <w:color w:val="000000"/>
                <w:sz w:val="24"/>
                <w:lang w:eastAsia="zh-CN"/>
              </w:rPr>
              <w:t>SCENIC</w:t>
            </w:r>
            <w:r>
              <w:rPr>
                <w:rFonts w:hint="eastAsia"/>
                <w:color w:val="000000"/>
                <w:sz w:val="24"/>
                <w:lang w:eastAsia="zh-CN"/>
              </w:rPr>
              <w:t>转录因</w:t>
            </w:r>
            <w:r>
              <w:rPr>
                <w:rFonts w:hint="eastAsia" w:ascii="微软雅黑" w:hAnsi="微软雅黑" w:eastAsia="微软雅黑" w:cs="微软雅黑"/>
                <w:color w:val="000000"/>
                <w:sz w:val="24"/>
                <w:lang w:eastAsia="zh-CN"/>
              </w:rPr>
              <w:t>⼦</w:t>
            </w:r>
            <w:r>
              <w:rPr>
                <w:rFonts w:hint="eastAsia"/>
                <w:color w:val="000000"/>
                <w:sz w:val="24"/>
                <w:lang w:eastAsia="zh-CN"/>
              </w:rPr>
              <w:t>调控</w:t>
            </w:r>
            <w:r>
              <w:rPr>
                <w:rFonts w:hint="eastAsia" w:ascii="微软雅黑" w:hAnsi="微软雅黑" w:eastAsia="微软雅黑" w:cs="微软雅黑"/>
                <w:color w:val="000000"/>
                <w:sz w:val="24"/>
                <w:lang w:eastAsia="zh-CN"/>
              </w:rPr>
              <w:t>⽹</w:t>
            </w:r>
            <w:r>
              <w:rPr>
                <w:rFonts w:hint="eastAsia"/>
                <w:color w:val="000000"/>
                <w:sz w:val="24"/>
                <w:lang w:eastAsia="zh-CN"/>
              </w:rPr>
              <w:t>络</w:t>
            </w:r>
          </w:p>
        </w:tc>
        <w:tc>
          <w:tcPr>
            <w:tcW w:w="1549" w:type="dxa"/>
            <w:vAlign w:val="center"/>
          </w:tcPr>
          <w:p w14:paraId="5F6CE1B6">
            <w:pPr>
              <w:spacing w:before="156" w:beforeLines="50" w:line="240" w:lineRule="auto"/>
              <w:jc w:val="center"/>
              <w:rPr>
                <w:rFonts w:hint="eastAsia"/>
                <w:bCs/>
                <w:sz w:val="24"/>
              </w:rPr>
            </w:pPr>
            <w:r>
              <w:rPr>
                <w:rFonts w:hint="eastAsia"/>
                <w:bCs/>
                <w:sz w:val="24"/>
              </w:rPr>
              <w:t>24（例）</w:t>
            </w:r>
          </w:p>
        </w:tc>
        <w:tc>
          <w:tcPr>
            <w:tcW w:w="2821" w:type="dxa"/>
          </w:tcPr>
          <w:p w14:paraId="6F1BE26C">
            <w:pPr>
              <w:spacing w:before="156" w:beforeLines="50" w:line="240" w:lineRule="auto"/>
              <w:jc w:val="center"/>
              <w:rPr>
                <w:rFonts w:hint="eastAsia"/>
                <w:bCs/>
                <w:sz w:val="24"/>
                <w:lang w:eastAsia="zh-CN"/>
              </w:rPr>
            </w:pPr>
            <w:r>
              <w:rPr>
                <w:rFonts w:hint="eastAsia"/>
                <w:bCs/>
                <w:sz w:val="24"/>
                <w:lang w:eastAsia="zh-CN"/>
              </w:rPr>
              <w:t>本采购项目实验周期20个工作日，服务周期2年，包括数据沟通与调整等，交付周期20个工作日。</w:t>
            </w:r>
          </w:p>
        </w:tc>
      </w:tr>
      <w:tr w14:paraId="5165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63" w:type="dxa"/>
            <w:vAlign w:val="center"/>
          </w:tcPr>
          <w:p w14:paraId="3AB51C55">
            <w:pPr>
              <w:spacing w:before="156" w:beforeLines="50" w:line="240" w:lineRule="auto"/>
              <w:jc w:val="center"/>
              <w:rPr>
                <w:rFonts w:hint="eastAsia"/>
                <w:bCs/>
                <w:sz w:val="24"/>
              </w:rPr>
            </w:pPr>
            <w:r>
              <w:rPr>
                <w:rFonts w:hint="eastAsia"/>
                <w:bCs/>
                <w:sz w:val="24"/>
              </w:rPr>
              <w:t>4-2</w:t>
            </w:r>
          </w:p>
        </w:tc>
        <w:tc>
          <w:tcPr>
            <w:tcW w:w="963" w:type="dxa"/>
            <w:vAlign w:val="center"/>
          </w:tcPr>
          <w:p w14:paraId="510CB30F">
            <w:pPr>
              <w:spacing w:before="156" w:beforeLines="50" w:line="240" w:lineRule="auto"/>
              <w:jc w:val="center"/>
              <w:rPr>
                <w:rFonts w:hint="eastAsia"/>
                <w:bCs/>
                <w:sz w:val="24"/>
              </w:rPr>
            </w:pPr>
            <w:r>
              <w:rPr>
                <w:rFonts w:hint="eastAsia"/>
                <w:bCs/>
                <w:sz w:val="24"/>
              </w:rPr>
              <w:t>普通转录组测序</w:t>
            </w:r>
          </w:p>
          <w:p w14:paraId="6F3E198B">
            <w:pPr>
              <w:spacing w:before="156" w:beforeLines="50" w:line="240" w:lineRule="auto"/>
              <w:jc w:val="center"/>
              <w:rPr>
                <w:rFonts w:hint="eastAsia"/>
                <w:bCs/>
                <w:sz w:val="24"/>
              </w:rPr>
            </w:pPr>
          </w:p>
        </w:tc>
        <w:tc>
          <w:tcPr>
            <w:tcW w:w="3955" w:type="dxa"/>
          </w:tcPr>
          <w:p w14:paraId="3C66D432">
            <w:pPr>
              <w:spacing w:line="240" w:lineRule="auto"/>
              <w:rPr>
                <w:rFonts w:hint="eastAsia" w:asciiTheme="minorEastAsia" w:hAnsiTheme="minorEastAsia" w:cstheme="minorEastAsia"/>
                <w:sz w:val="24"/>
                <w:lang w:eastAsia="zh-CN"/>
              </w:rPr>
            </w:pPr>
            <w:r>
              <w:rPr>
                <w:rFonts w:hint="eastAsia" w:ascii="Times New Roman" w:hAnsi="Times New Roman"/>
                <w:color w:val="000000"/>
                <w:sz w:val="24"/>
                <w:lang w:eastAsia="zh-CN"/>
              </w:rPr>
              <w:t>1.</w:t>
            </w:r>
            <w:r>
              <w:rPr>
                <w:rFonts w:ascii="Times New Roman" w:hAnsi="Times New Roman"/>
                <w:color w:val="000000"/>
                <w:sz w:val="24"/>
                <w:lang w:eastAsia="zh-CN"/>
              </w:rPr>
              <w:t>提供Total RNA提取并进行RNA样本检测</w:t>
            </w:r>
            <w:r>
              <w:rPr>
                <w:rFonts w:hint="eastAsia" w:ascii="Times New Roman" w:hAnsi="Times New Roman"/>
                <w:color w:val="000000"/>
                <w:sz w:val="24"/>
                <w:lang w:eastAsia="zh-CN"/>
              </w:rPr>
              <w:t>，</w:t>
            </w:r>
            <w:r>
              <w:rPr>
                <w:rFonts w:hint="eastAsia" w:asciiTheme="minorEastAsia" w:hAnsiTheme="minorEastAsia" w:cstheme="minorEastAsia"/>
                <w:sz w:val="24"/>
                <w:lang w:eastAsia="zh-CN"/>
              </w:rPr>
              <w:t>包括</w:t>
            </w:r>
            <w:r>
              <w:rPr>
                <w:rFonts w:hint="eastAsia" w:asciiTheme="minorEastAsia" w:hAnsiTheme="minorEastAsia" w:cstheme="minorEastAsia"/>
                <w:sz w:val="24"/>
                <w:lang w:eastAsia="zh-CN" w:bidi="ar"/>
              </w:rPr>
              <w:t>RNA的纯度、浓度及完整性检测</w:t>
            </w:r>
          </w:p>
          <w:p w14:paraId="4FE74ED1">
            <w:pPr>
              <w:spacing w:line="240" w:lineRule="auto"/>
              <w:rPr>
                <w:rFonts w:hint="eastAsia" w:asciiTheme="minorEastAsia" w:hAnsiTheme="minorEastAsia" w:cstheme="minorEastAsia"/>
                <w:sz w:val="24"/>
                <w:lang w:eastAsia="zh-CN"/>
              </w:rPr>
            </w:pPr>
            <w:r>
              <w:rPr>
                <w:rFonts w:hint="eastAsia" w:asciiTheme="minorEastAsia" w:hAnsiTheme="minorEastAsia" w:cstheme="minorEastAsia"/>
                <w:sz w:val="24"/>
                <w:lang w:eastAsia="zh-CN" w:bidi="ar"/>
              </w:rPr>
              <w:t>2.采用Oligo(dT)捕获具有polyA尾的mRNA的方法构建真核普通转录组文库；并对文库进行浓度和片段大小检测</w:t>
            </w:r>
          </w:p>
          <w:p w14:paraId="77C77ACB">
            <w:pPr>
              <w:spacing w:line="240" w:lineRule="auto"/>
              <w:rPr>
                <w:rFonts w:hint="eastAsia" w:asciiTheme="minorEastAsia" w:hAnsiTheme="minorEastAsia" w:cstheme="minorEastAsia"/>
                <w:sz w:val="24"/>
                <w:lang w:bidi="ar"/>
              </w:rPr>
            </w:pPr>
            <w:r>
              <w:rPr>
                <w:rFonts w:hint="eastAsia" w:asciiTheme="minorEastAsia" w:hAnsiTheme="minorEastAsia" w:cstheme="minorEastAsia"/>
                <w:sz w:val="24"/>
                <w:lang w:bidi="ar"/>
              </w:rPr>
              <w:t>3.测序平台及数据量</w:t>
            </w:r>
          </w:p>
          <w:p w14:paraId="3ABEB9E7">
            <w:pPr>
              <w:snapToGrid w:val="0"/>
              <w:spacing w:line="240" w:lineRule="auto"/>
              <w:contextualSpacing/>
              <w:rPr>
                <w:rFonts w:hint="eastAsia" w:asciiTheme="minorEastAsia" w:hAnsiTheme="minorEastAsia" w:cstheme="minorEastAsia"/>
                <w:sz w:val="24"/>
              </w:rPr>
            </w:pPr>
            <w:r>
              <w:rPr>
                <w:rFonts w:hint="eastAsia" w:asciiTheme="minorEastAsia" w:hAnsiTheme="minorEastAsia" w:cstheme="minorEastAsia"/>
                <w:sz w:val="24"/>
              </w:rPr>
              <w:t xml:space="preserve">测序平台：Illumina Novaseq </w:t>
            </w:r>
            <w:r>
              <w:rPr>
                <w:rFonts w:asciiTheme="minorEastAsia" w:hAnsiTheme="minorEastAsia" w:cstheme="minorEastAsia"/>
                <w:sz w:val="24"/>
              </w:rPr>
              <w:t>X Plus,</w:t>
            </w:r>
            <w:r>
              <w:rPr>
                <w:rFonts w:hint="eastAsia" w:asciiTheme="minorEastAsia" w:hAnsiTheme="minorEastAsia" w:cstheme="minorEastAsia"/>
                <w:sz w:val="24"/>
              </w:rPr>
              <w:t>数据量：平均每个样品测序产生的原始下机数据量≥6G raw data</w:t>
            </w:r>
            <w:r>
              <w:rPr>
                <w:rFonts w:asciiTheme="minorEastAsia" w:hAnsiTheme="minorEastAsia" w:cstheme="minorEastAsia"/>
                <w:sz w:val="24"/>
              </w:rPr>
              <w:t>/</w:t>
            </w:r>
            <w:r>
              <w:rPr>
                <w:rFonts w:hint="eastAsia" w:asciiTheme="minorEastAsia" w:hAnsiTheme="minorEastAsia" w:cstheme="minorEastAsia"/>
                <w:sz w:val="24"/>
              </w:rPr>
              <w:t>样本，</w:t>
            </w:r>
            <w:r>
              <w:rPr>
                <w:rFonts w:hint="eastAsia"/>
                <w:szCs w:val="21"/>
              </w:rPr>
              <w:t>基本满足过滤后的有效数据量≥6G，</w:t>
            </w:r>
            <w:r>
              <w:rPr>
                <w:rFonts w:hint="eastAsia" w:asciiTheme="minorEastAsia" w:hAnsiTheme="minorEastAsia" w:cstheme="minorEastAsia"/>
                <w:sz w:val="24"/>
              </w:rPr>
              <w:t>测序读长：2X150bp，Clean reads占原始数据比例＞95%；</w:t>
            </w:r>
          </w:p>
          <w:p w14:paraId="41EEAC02">
            <w:pPr>
              <w:tabs>
                <w:tab w:val="left" w:pos="312"/>
              </w:tabs>
              <w:spacing w:line="240" w:lineRule="auto"/>
              <w:rPr>
                <w:rFonts w:hint="eastAsia" w:asciiTheme="minorEastAsia" w:hAnsiTheme="minorEastAsia" w:cstheme="minorEastAsia"/>
                <w:sz w:val="24"/>
                <w:lang w:eastAsia="zh-CN" w:bidi="ar"/>
              </w:rPr>
            </w:pPr>
            <w:r>
              <w:rPr>
                <w:rFonts w:hint="eastAsia" w:asciiTheme="minorEastAsia" w:hAnsiTheme="minorEastAsia" w:cstheme="minorEastAsia"/>
                <w:sz w:val="24"/>
                <w:lang w:eastAsia="zh-CN" w:bidi="ar"/>
              </w:rPr>
              <w:t>4.测序质量要求：</w:t>
            </w:r>
          </w:p>
          <w:p w14:paraId="7C49A170">
            <w:pPr>
              <w:spacing w:line="240" w:lineRule="auto"/>
              <w:ind w:firstLine="480" w:firstLineChars="200"/>
              <w:rPr>
                <w:rFonts w:hint="eastAsia" w:asciiTheme="minorEastAsia" w:hAnsiTheme="minorEastAsia" w:cstheme="minorEastAsia"/>
                <w:sz w:val="24"/>
                <w:lang w:eastAsia="zh-CN"/>
              </w:rPr>
            </w:pPr>
            <w:r>
              <w:rPr>
                <w:rFonts w:hint="eastAsia" w:asciiTheme="minorEastAsia" w:hAnsiTheme="minorEastAsia" w:cstheme="minorEastAsia"/>
                <w:sz w:val="24"/>
                <w:lang w:eastAsia="zh-CN"/>
              </w:rPr>
              <w:t>过滤后获得的有效数据在Q30水平≥85%；在Q20水平≥90%。</w:t>
            </w:r>
          </w:p>
          <w:p w14:paraId="2FC3484A">
            <w:pPr>
              <w:spacing w:line="240" w:lineRule="auto"/>
              <w:rPr>
                <w:rFonts w:hint="eastAsia" w:asciiTheme="minorEastAsia" w:hAnsiTheme="minorEastAsia" w:cstheme="minorEastAsia"/>
                <w:sz w:val="24"/>
                <w:lang w:eastAsia="zh-CN"/>
              </w:rPr>
            </w:pPr>
            <w:r>
              <w:rPr>
                <w:rFonts w:hint="eastAsia" w:asciiTheme="minorEastAsia" w:hAnsiTheme="minorEastAsia" w:cstheme="minorEastAsia"/>
                <w:sz w:val="24"/>
                <w:lang w:eastAsia="zh-CN"/>
              </w:rPr>
              <w:t>5.分析内容：</w:t>
            </w:r>
          </w:p>
          <w:p w14:paraId="62ABDD42">
            <w:pPr>
              <w:spacing w:line="240" w:lineRule="auto"/>
              <w:ind w:firstLine="480" w:firstLineChars="200"/>
              <w:rPr>
                <w:rFonts w:hint="eastAsia"/>
                <w:bCs/>
                <w:sz w:val="24"/>
                <w:lang w:eastAsia="zh-CN"/>
              </w:rPr>
            </w:pPr>
            <w:r>
              <w:rPr>
                <w:rFonts w:hint="eastAsia" w:asciiTheme="minorEastAsia" w:hAnsiTheme="minorEastAsia" w:cstheme="minorEastAsia"/>
                <w:color w:val="000000"/>
                <w:sz w:val="24"/>
                <w:lang w:eastAsia="zh-CN"/>
              </w:rPr>
              <w:t>结果评估及信息分析：整体质量评估、</w:t>
            </w:r>
            <w:r>
              <w:rPr>
                <w:rFonts w:hint="eastAsia" w:asciiTheme="minorEastAsia" w:hAnsiTheme="minorEastAsia" w:cstheme="minorEastAsia"/>
                <w:sz w:val="24"/>
                <w:lang w:eastAsia="zh-CN" w:bidi="ar"/>
              </w:rPr>
              <w:t>参考基因组比对、</w:t>
            </w:r>
            <w:r>
              <w:rPr>
                <w:rFonts w:hint="eastAsia" w:asciiTheme="minorEastAsia" w:hAnsiTheme="minorEastAsia" w:cstheme="minorEastAsia"/>
                <w:color w:val="000000"/>
                <w:sz w:val="24"/>
                <w:lang w:eastAsia="zh-CN"/>
              </w:rPr>
              <w:t>基因表达水平分析、</w:t>
            </w:r>
            <w:r>
              <w:rPr>
                <w:rFonts w:hint="eastAsia" w:asciiTheme="minorEastAsia" w:hAnsiTheme="minorEastAsia" w:cstheme="minorEastAsia"/>
                <w:sz w:val="24"/>
                <w:lang w:eastAsia="zh-CN" w:bidi="ar"/>
              </w:rPr>
              <w:t>定量分析、</w:t>
            </w:r>
            <w:r>
              <w:rPr>
                <w:rFonts w:hint="eastAsia" w:asciiTheme="minorEastAsia" w:hAnsiTheme="minorEastAsia" w:cstheme="minorEastAsia"/>
                <w:color w:val="000000"/>
                <w:sz w:val="24"/>
                <w:lang w:eastAsia="zh-CN"/>
              </w:rPr>
              <w:t>差异基因筛选、差异基因富集分析（GO/KEGG富集和Reactome数据库分析），</w:t>
            </w:r>
            <w:r>
              <w:rPr>
                <w:rFonts w:hint="eastAsia" w:asciiTheme="minorEastAsia" w:hAnsiTheme="minorEastAsia" w:cstheme="minorEastAsia"/>
                <w:sz w:val="24"/>
                <w:lang w:eastAsia="zh-CN" w:bidi="ar"/>
              </w:rPr>
              <w:t>可变剪切分析，变异位点分析，融合基因分析，基因共表达网络分析。</w:t>
            </w:r>
          </w:p>
        </w:tc>
        <w:tc>
          <w:tcPr>
            <w:tcW w:w="1549" w:type="dxa"/>
            <w:vAlign w:val="center"/>
          </w:tcPr>
          <w:p w14:paraId="76542994">
            <w:pPr>
              <w:spacing w:before="156" w:beforeLines="50" w:line="240" w:lineRule="auto"/>
              <w:jc w:val="center"/>
              <w:rPr>
                <w:rFonts w:hint="eastAsia"/>
                <w:bCs/>
                <w:sz w:val="24"/>
              </w:rPr>
            </w:pPr>
            <w:r>
              <w:rPr>
                <w:rFonts w:hint="eastAsia"/>
                <w:bCs/>
                <w:sz w:val="24"/>
              </w:rPr>
              <w:t>100（例）</w:t>
            </w:r>
          </w:p>
        </w:tc>
        <w:tc>
          <w:tcPr>
            <w:tcW w:w="2821" w:type="dxa"/>
          </w:tcPr>
          <w:p w14:paraId="15CC1598">
            <w:pPr>
              <w:spacing w:before="156" w:beforeLines="50" w:line="240" w:lineRule="auto"/>
              <w:jc w:val="center"/>
              <w:rPr>
                <w:rFonts w:hint="eastAsia"/>
                <w:bCs/>
                <w:sz w:val="24"/>
                <w:lang w:eastAsia="zh-CN"/>
              </w:rPr>
            </w:pPr>
            <w:r>
              <w:rPr>
                <w:rFonts w:hint="eastAsia"/>
                <w:bCs/>
                <w:sz w:val="24"/>
                <w:lang w:eastAsia="zh-CN"/>
              </w:rPr>
              <w:t>本采购项目实验周期20个工作日，服务周期2年，包括数据沟通与调整等，交付周期20个工作日。</w:t>
            </w:r>
          </w:p>
        </w:tc>
      </w:tr>
    </w:tbl>
    <w:p w14:paraId="7367CF6D">
      <w:pPr>
        <w:spacing w:line="360" w:lineRule="auto"/>
        <w:rPr>
          <w:rFonts w:hint="eastAsia"/>
          <w:b/>
          <w:bCs/>
          <w:sz w:val="24"/>
          <w:lang w:eastAsia="zh-CN"/>
        </w:rPr>
      </w:pPr>
      <w:r>
        <w:rPr>
          <w:rFonts w:hint="eastAsia"/>
          <w:b/>
          <w:bCs/>
          <w:sz w:val="24"/>
          <w:lang w:eastAsia="zh-CN"/>
        </w:rPr>
        <w:t>（</w:t>
      </w:r>
      <w:r>
        <w:rPr>
          <w:rFonts w:hint="eastAsia"/>
          <w:b/>
          <w:bCs/>
          <w:sz w:val="24"/>
          <w:lang w:val="en-US" w:eastAsia="zh-CN"/>
        </w:rPr>
        <w:t>二</w:t>
      </w:r>
      <w:r>
        <w:rPr>
          <w:rFonts w:hint="eastAsia"/>
          <w:b/>
          <w:bCs/>
          <w:sz w:val="24"/>
          <w:lang w:eastAsia="zh-CN"/>
        </w:rPr>
        <w:t>）其他要求：</w:t>
      </w:r>
    </w:p>
    <w:p w14:paraId="708D74CB">
      <w:pPr>
        <w:spacing w:line="360" w:lineRule="auto"/>
        <w:rPr>
          <w:rFonts w:hint="eastAsia" w:ascii="宋体" w:hAnsi="宋体" w:eastAsia="宋体" w:cs="宋体"/>
          <w:sz w:val="24"/>
          <w:szCs w:val="24"/>
          <w:lang w:eastAsia="zh-CN"/>
        </w:rPr>
      </w:pPr>
      <w:r>
        <w:rPr>
          <w:rFonts w:hint="eastAsia"/>
          <w:sz w:val="24"/>
          <w:szCs w:val="24"/>
          <w:lang w:eastAsia="zh-CN"/>
        </w:rPr>
        <w:t>1、人员资质：项目管理人员1人，需具有博士学历及高级技术职务职称，5年以上同类项目工作经验，负责项目跟进及整体项目质量及进度把控；项目实施团队人员至少8人，需具有硕士及以上学历，有5年以上的项目经验，针对本项目分工明确合理，提供项目人员名单，项目人员学历学位证书、职称证书</w:t>
      </w:r>
      <w:r>
        <w:rPr>
          <w:rFonts w:hint="eastAsia" w:ascii="宋体" w:hAnsi="宋体" w:eastAsia="宋体" w:cs="宋体"/>
          <w:sz w:val="24"/>
          <w:szCs w:val="24"/>
          <w:lang w:eastAsia="zh-CN"/>
        </w:rPr>
        <w:t>、投标人出具的工作经验证明函。</w:t>
      </w:r>
    </w:p>
    <w:p w14:paraId="7DC674A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2、投标人具备10台或以上Illumina Novaseq x plus检测平台，具备10台或以上10X Genomics单细胞仪器，需提供设备序列号，设备铭牌照片及设备最新状况照片。</w:t>
      </w:r>
    </w:p>
    <w:p w14:paraId="4176DE1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3、投标人需具备高性能计算平台。</w:t>
      </w:r>
    </w:p>
    <w:p w14:paraId="0833496A">
      <w:pPr>
        <w:spacing w:line="360" w:lineRule="auto"/>
        <w:rPr>
          <w:sz w:val="24"/>
          <w:szCs w:val="24"/>
          <w:lang w:eastAsia="zh-CN"/>
        </w:rPr>
      </w:pPr>
      <w:r>
        <w:rPr>
          <w:rFonts w:hint="eastAsia" w:ascii="宋体" w:hAnsi="宋体" w:eastAsia="宋体" w:cs="宋体"/>
          <w:sz w:val="24"/>
          <w:szCs w:val="24"/>
          <w:lang w:eastAsia="zh-CN"/>
        </w:rPr>
        <w:t>4、投标人需拥有智能化交付系统，并搭载自动化样本库，以保证项目在规定或加急周</w:t>
      </w:r>
      <w:r>
        <w:rPr>
          <w:rFonts w:hint="eastAsia"/>
          <w:sz w:val="24"/>
          <w:szCs w:val="24"/>
          <w:lang w:eastAsia="zh-CN"/>
        </w:rPr>
        <w:t>期内得到响应。</w:t>
      </w:r>
    </w:p>
    <w:p w14:paraId="3294234D">
      <w:pPr>
        <w:spacing w:line="360" w:lineRule="auto"/>
        <w:rPr>
          <w:sz w:val="24"/>
          <w:szCs w:val="24"/>
          <w:lang w:eastAsia="zh-CN"/>
        </w:rPr>
      </w:pPr>
      <w:r>
        <w:rPr>
          <w:rFonts w:hint="eastAsia"/>
          <w:sz w:val="24"/>
          <w:szCs w:val="24"/>
          <w:lang w:eastAsia="zh-CN"/>
        </w:rPr>
        <w:t>5、保密要求：签订保密协议，确保样本信息及实验数据不外泄，项目结束后按要求销毁原始样本</w:t>
      </w:r>
    </w:p>
    <w:p w14:paraId="781B18DC">
      <w:pPr>
        <w:spacing w:line="360" w:lineRule="auto"/>
        <w:rPr>
          <w:rFonts w:hint="eastAsia"/>
          <w:sz w:val="24"/>
          <w:szCs w:val="24"/>
          <w:lang w:eastAsia="zh-CN"/>
        </w:rPr>
      </w:pPr>
      <w:r>
        <w:rPr>
          <w:rFonts w:hint="eastAsia"/>
          <w:sz w:val="24"/>
          <w:szCs w:val="24"/>
          <w:lang w:eastAsia="zh-CN"/>
        </w:rPr>
        <w:t>6、售后及培训服务要求：投标人需具有充足的项目经验和专业技术人员，有能力保证本项目的顺利开展，提供7×24小时免费电话咨询服务，当样品选择、数据解读等方面出现存疑，在收到相关邮件或电话后于24小时以内予以回应，遇到复杂的问题，3天内提出解决方案（特殊情况和不可抗拒因素除外）。</w:t>
      </w:r>
    </w:p>
    <w:p w14:paraId="392F7710">
      <w:pPr>
        <w:pStyle w:val="9"/>
      </w:pPr>
    </w:p>
    <w:p w14:paraId="24AC465E">
      <w:pPr>
        <w:pStyle w:val="9"/>
        <w:rPr>
          <w:rFonts w:hint="eastAsia"/>
        </w:rPr>
      </w:pPr>
    </w:p>
    <w:p w14:paraId="5277CE81">
      <w:pPr>
        <w:spacing w:line="360" w:lineRule="auto"/>
        <w:rPr>
          <w:rFonts w:hint="eastAsia"/>
          <w:sz w:val="24"/>
          <w:szCs w:val="24"/>
          <w:lang w:eastAsia="zh-CN"/>
        </w:rPr>
        <w:sectPr>
          <w:pgSz w:w="11906" w:h="16838"/>
          <w:pgMar w:top="1440" w:right="1800" w:bottom="1440" w:left="1800" w:header="851" w:footer="992" w:gutter="0"/>
          <w:cols w:space="425" w:num="1"/>
          <w:docGrid w:type="lines" w:linePitch="312" w:charSpace="0"/>
        </w:sectPr>
      </w:pPr>
    </w:p>
    <w:p w14:paraId="593A13B0">
      <w:pPr>
        <w:widowControl/>
        <w:spacing w:line="360" w:lineRule="auto"/>
        <w:ind w:firstLine="241" w:firstLineChars="100"/>
        <w:contextualSpacing/>
        <w:rPr>
          <w:rFonts w:hint="eastAsia"/>
          <w:b/>
          <w:bCs/>
          <w:sz w:val="24"/>
          <w:szCs w:val="24"/>
          <w:lang w:eastAsia="zh-CN"/>
        </w:rPr>
      </w:pPr>
      <w:r>
        <w:rPr>
          <w:rFonts w:hint="eastAsia"/>
          <w:b/>
          <w:bCs/>
          <w:sz w:val="24"/>
          <w:szCs w:val="24"/>
          <w:lang w:eastAsia="zh-CN"/>
        </w:rPr>
        <w:t>2.2 采购标的需满足的服务标准、期限、效率等要求；</w:t>
      </w:r>
    </w:p>
    <w:p w14:paraId="24122533">
      <w:pPr>
        <w:tabs>
          <w:tab w:val="left" w:pos="900"/>
        </w:tabs>
        <w:spacing w:line="360" w:lineRule="auto"/>
        <w:ind w:firstLine="480" w:firstLineChars="200"/>
        <w:rPr>
          <w:rFonts w:hint="eastAsia"/>
          <w:sz w:val="24"/>
          <w:szCs w:val="24"/>
          <w:lang w:eastAsia="zh-CN"/>
        </w:rPr>
      </w:pPr>
      <w:r>
        <w:rPr>
          <w:rFonts w:hint="eastAsia"/>
          <w:sz w:val="24"/>
          <w:szCs w:val="24"/>
          <w:lang w:eastAsia="zh-CN"/>
        </w:rPr>
        <w:t>详见“采购标的需满足的、质量、安全、技术规格、物理特性等要求”。</w:t>
      </w:r>
    </w:p>
    <w:p w14:paraId="6729DC55">
      <w:pPr>
        <w:tabs>
          <w:tab w:val="left" w:pos="900"/>
        </w:tabs>
        <w:spacing w:line="360" w:lineRule="auto"/>
        <w:ind w:firstLine="482" w:firstLineChars="200"/>
        <w:rPr>
          <w:rFonts w:hint="eastAsia"/>
          <w:b/>
          <w:bCs/>
          <w:sz w:val="24"/>
          <w:szCs w:val="24"/>
          <w:lang w:eastAsia="zh-CN"/>
        </w:rPr>
      </w:pPr>
      <w:r>
        <w:rPr>
          <w:rFonts w:hint="eastAsia"/>
          <w:b/>
          <w:bCs/>
          <w:sz w:val="24"/>
          <w:szCs w:val="24"/>
          <w:lang w:eastAsia="zh-CN"/>
        </w:rPr>
        <w:t>2.3为落实政府采购政策需满足的要求；</w:t>
      </w:r>
    </w:p>
    <w:p w14:paraId="4BF69BAB">
      <w:pPr>
        <w:tabs>
          <w:tab w:val="left" w:pos="900"/>
        </w:tabs>
        <w:spacing w:line="486" w:lineRule="exact"/>
        <w:ind w:firstLine="480" w:firstLineChars="200"/>
        <w:rPr>
          <w:rFonts w:hint="eastAsia"/>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EBED373">
      <w:pPr>
        <w:tabs>
          <w:tab w:val="left" w:pos="900"/>
        </w:tabs>
        <w:spacing w:line="486" w:lineRule="exact"/>
        <w:ind w:firstLine="480" w:firstLineChars="200"/>
        <w:rPr>
          <w:rFonts w:hint="eastAsia"/>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09C2C4F0">
      <w:pPr>
        <w:tabs>
          <w:tab w:val="left" w:pos="900"/>
        </w:tabs>
        <w:spacing w:line="486" w:lineRule="exact"/>
        <w:ind w:firstLine="480" w:firstLineChars="200"/>
        <w:rPr>
          <w:rFonts w:hint="eastAsia"/>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1009DCB8">
      <w:pPr>
        <w:autoSpaceDE/>
        <w:autoSpaceDN/>
        <w:spacing w:line="486" w:lineRule="exact"/>
        <w:ind w:firstLine="480" w:firstLineChars="200"/>
        <w:rPr>
          <w:rFonts w:hint="eastAsia"/>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656534CA">
      <w:pPr>
        <w:autoSpaceDE/>
        <w:autoSpaceDN/>
        <w:spacing w:line="486" w:lineRule="exact"/>
        <w:ind w:firstLine="482" w:firstLineChars="200"/>
        <w:rPr>
          <w:rFonts w:hint="eastAsia"/>
          <w:b/>
          <w:bCs/>
          <w:sz w:val="24"/>
          <w:szCs w:val="24"/>
          <w:highlight w:val="yellow"/>
          <w:lang w:eastAsia="zh-CN"/>
        </w:rPr>
      </w:pPr>
      <w:r>
        <w:rPr>
          <w:rFonts w:hint="eastAsia"/>
          <w:b/>
          <w:bCs/>
          <w:sz w:val="24"/>
          <w:szCs w:val="24"/>
          <w:lang w:eastAsia="zh-CN"/>
        </w:rPr>
        <w:t>2.4采购标的的其他技术、服务等要求；</w:t>
      </w:r>
    </w:p>
    <w:bookmarkEnd w:id="2"/>
    <w:p w14:paraId="76A72131">
      <w:pPr>
        <w:tabs>
          <w:tab w:val="left" w:pos="900"/>
        </w:tabs>
        <w:spacing w:line="486" w:lineRule="exact"/>
        <w:ind w:firstLine="480" w:firstLineChars="200"/>
        <w:rPr>
          <w:rFonts w:hint="eastAsia"/>
          <w:sz w:val="24"/>
          <w:szCs w:val="24"/>
          <w:lang w:eastAsia="zh-CN"/>
        </w:rPr>
      </w:pPr>
      <w:bookmarkStart w:id="9" w:name="_Toc7340"/>
      <w:r>
        <w:rPr>
          <w:rFonts w:hint="eastAsia"/>
          <w:sz w:val="24"/>
          <w:szCs w:val="24"/>
          <w:lang w:eastAsia="zh-CN"/>
        </w:rPr>
        <w:t>（1）</w:t>
      </w:r>
      <w:bookmarkEnd w:id="9"/>
      <w:r>
        <w:rPr>
          <w:rFonts w:hint="eastAsia"/>
          <w:sz w:val="24"/>
          <w:szCs w:val="24"/>
          <w:lang w:eastAsia="zh-CN"/>
        </w:rPr>
        <w:t>投标人须提供本项目整体服务方案、售后服务方案、培训方案、应急预案及措施等。</w:t>
      </w:r>
    </w:p>
    <w:p w14:paraId="04B13FA7">
      <w:pPr>
        <w:tabs>
          <w:tab w:val="left" w:pos="900"/>
        </w:tabs>
        <w:spacing w:line="486" w:lineRule="exact"/>
        <w:ind w:firstLine="482" w:firstLineChars="200"/>
        <w:rPr>
          <w:rFonts w:hint="eastAsia"/>
          <w:b/>
          <w:sz w:val="24"/>
          <w:szCs w:val="24"/>
          <w:lang w:eastAsia="zh-CN"/>
        </w:rPr>
      </w:pPr>
      <w:r>
        <w:rPr>
          <w:rFonts w:hint="eastAsia"/>
          <w:b/>
          <w:sz w:val="24"/>
          <w:szCs w:val="24"/>
          <w:lang w:eastAsia="zh-CN"/>
        </w:rPr>
        <w:t>3.采购标的的验收标准</w:t>
      </w:r>
    </w:p>
    <w:p w14:paraId="1EE39E0C">
      <w:pPr>
        <w:tabs>
          <w:tab w:val="left" w:pos="900"/>
        </w:tabs>
        <w:spacing w:line="486" w:lineRule="exact"/>
        <w:ind w:firstLine="480" w:firstLineChars="200"/>
        <w:rPr>
          <w:rFonts w:hint="eastAsia"/>
          <w:sz w:val="24"/>
          <w:szCs w:val="24"/>
          <w:lang w:eastAsia="zh-CN"/>
        </w:rPr>
      </w:pPr>
      <w:r>
        <w:rPr>
          <w:rFonts w:hint="eastAsia"/>
          <w:sz w:val="24"/>
          <w:szCs w:val="24"/>
          <w:lang w:eastAsia="zh-CN"/>
        </w:rPr>
        <w:t>（1）完成采购人要求的工作内容。</w:t>
      </w:r>
    </w:p>
    <w:p w14:paraId="54383E21">
      <w:r>
        <w:rPr>
          <w:rFonts w:hint="eastAsia"/>
          <w:sz w:val="24"/>
          <w:szCs w:val="24"/>
          <w:lang w:eastAsia="zh-CN"/>
        </w:rPr>
        <w:t>（2）达到采购人要求的服务和质量标准。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suff w:val="nothing"/>
      <w:lvlText w:val="%1、"/>
      <w:lvlJc w:val="left"/>
      <w:pPr>
        <w:tabs>
          <w:tab w:val="left" w:pos="0"/>
        </w:tabs>
        <w:ind w:left="0" w:firstLine="0"/>
      </w:pPr>
    </w:lvl>
  </w:abstractNum>
  <w:abstractNum w:abstractNumId="1">
    <w:nsid w:val="0053208E"/>
    <w:multiLevelType w:val="singleLevel"/>
    <w:tmpl w:val="0053208E"/>
    <w:lvl w:ilvl="0" w:tentative="0">
      <w:start w:val="2"/>
      <w:numFmt w:val="decimal"/>
      <w:suff w:val="nothing"/>
      <w:lvlText w:val="%1、"/>
      <w:lvlJc w:val="left"/>
      <w:pPr>
        <w:tabs>
          <w:tab w:val="left" w:pos="0"/>
        </w:tabs>
        <w:ind w:left="0" w:firstLine="0"/>
      </w:pPr>
    </w:lvl>
  </w:abstractNum>
  <w:abstractNum w:abstractNumId="2">
    <w:nsid w:val="03D62ECE"/>
    <w:multiLevelType w:val="singleLevel"/>
    <w:tmpl w:val="03D62ECE"/>
    <w:lvl w:ilvl="0" w:tentative="0">
      <w:start w:val="1"/>
      <w:numFmt w:val="decimal"/>
      <w:suff w:val="nothing"/>
      <w:lvlText w:val="%1、"/>
      <w:lvlJc w:val="left"/>
      <w:pPr>
        <w:tabs>
          <w:tab w:val="left" w:pos="0"/>
        </w:tabs>
        <w:ind w:left="0" w:firstLine="0"/>
      </w:pPr>
    </w:lvl>
  </w:abstractNum>
  <w:abstractNum w:abstractNumId="3">
    <w:nsid w:val="5A98C439"/>
    <w:multiLevelType w:val="singleLevel"/>
    <w:tmpl w:val="5A98C439"/>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F5EBF"/>
    <w:rsid w:val="2B0F5E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customStyle="1" w:styleId="6">
    <w:name w:val="列表段落11"/>
    <w:basedOn w:val="1"/>
    <w:qFormat/>
    <w:uiPriority w:val="1"/>
    <w:pPr>
      <w:spacing w:before="134"/>
      <w:ind w:left="1196" w:hanging="720"/>
    </w:pPr>
    <w:rPr>
      <w:sz w:val="20"/>
    </w:rPr>
  </w:style>
  <w:style w:type="paragraph" w:customStyle="1" w:styleId="7">
    <w:name w:val="Table Paragraph"/>
    <w:basedOn w:val="1"/>
    <w:qFormat/>
    <w:uiPriority w:val="1"/>
  </w:style>
  <w:style w:type="paragraph" w:customStyle="1" w:styleId="8">
    <w:name w:val="列出段落1"/>
    <w:basedOn w:val="1"/>
    <w:qFormat/>
    <w:uiPriority w:val="1"/>
    <w:pPr>
      <w:spacing w:before="134"/>
      <w:ind w:left="1196" w:hanging="720"/>
    </w:pPr>
    <w:rPr>
      <w:sz w:val="20"/>
    </w:rPr>
  </w:style>
  <w:style w:type="paragraph" w:customStyle="1" w:styleId="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2025-10-31T05:13:00Z</dcterms:created>
  <dc:creator>王崴</dc:creator>
  <cp:lastModifiedBy>王崴</cp:lastModifiedBy>
  <dcterms:modified xsi:type="dcterms:W3CDTF">2025-10-31T05:15:08Z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BCE4A908041640AFB5CCCDDF6BBD1FB5_11</vt:lpwstr>
  </property>
  <property fmtid="{D5CDD505-2E9C-101B-9397-08002B2CF9AE}" pid="4" name="KSOTemplateDocerSaveRecord">
    <vt:lpwstr>eyJoZGlkIjoiMDcyMmFjNmZjM2U5ODcyZjQ5NTE0NjNjMjU2OTE5OTIiLCJ1c2VySWQiOiI4NDYxOTIwMTUifQ==</vt:lpwstr>
  </property>
</Properties>
</file>