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5801">
      <w:pPr>
        <w:pStyle w:val="6"/>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b/>
          <w:sz w:val="24"/>
          <w:szCs w:val="24"/>
        </w:rPr>
        <w:t>采购标的</w:t>
      </w:r>
    </w:p>
    <w:p w14:paraId="398CE28C">
      <w:pPr>
        <w:spacing w:line="360" w:lineRule="auto"/>
        <w:contextualSpacing/>
        <w:rPr>
          <w:bCs/>
          <w:sz w:val="24"/>
        </w:rPr>
      </w:pPr>
      <w:r>
        <w:rPr>
          <w:rFonts w:hint="eastAsia" w:ascii="Segoe UI Symbol" w:hAnsi="Segoe UI Symbol" w:cs="Segoe UI Symbol"/>
          <w:color w:val="000000"/>
          <w:kern w:val="0"/>
          <w:sz w:val="24"/>
        </w:rPr>
        <w:t>★</w:t>
      </w:r>
      <w:r>
        <w:rPr>
          <w:bCs/>
          <w:sz w:val="24"/>
        </w:rPr>
        <w:t>1.采购标的</w:t>
      </w:r>
    </w:p>
    <w:tbl>
      <w:tblPr>
        <w:tblStyle w:val="4"/>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075"/>
        <w:gridCol w:w="1461"/>
        <w:gridCol w:w="2703"/>
        <w:gridCol w:w="1025"/>
        <w:gridCol w:w="1025"/>
      </w:tblGrid>
      <w:tr w14:paraId="2653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13" w:type="dxa"/>
            <w:vAlign w:val="center"/>
          </w:tcPr>
          <w:p w14:paraId="6CDBF9EF">
            <w:pPr>
              <w:jc w:val="center"/>
              <w:rPr>
                <w:rFonts w:ascii="宋体" w:hAnsi="宋体" w:cs="宋体"/>
                <w:b/>
                <w:sz w:val="24"/>
              </w:rPr>
            </w:pPr>
            <w:r>
              <w:rPr>
                <w:rFonts w:hint="eastAsia" w:ascii="宋体" w:hAnsi="宋体" w:cs="宋体"/>
                <w:b/>
                <w:sz w:val="24"/>
              </w:rPr>
              <w:t>包号</w:t>
            </w:r>
          </w:p>
        </w:tc>
        <w:tc>
          <w:tcPr>
            <w:tcW w:w="3075" w:type="dxa"/>
            <w:vAlign w:val="center"/>
          </w:tcPr>
          <w:p w14:paraId="4E10474D">
            <w:pPr>
              <w:jc w:val="center"/>
              <w:rPr>
                <w:rFonts w:ascii="宋体" w:hAnsi="宋体" w:cs="宋体"/>
                <w:b/>
                <w:sz w:val="24"/>
              </w:rPr>
            </w:pPr>
            <w:r>
              <w:rPr>
                <w:rFonts w:hint="eastAsia" w:ascii="宋体" w:hAnsi="宋体" w:cs="宋体"/>
                <w:b/>
                <w:sz w:val="24"/>
              </w:rPr>
              <w:t>标的名称</w:t>
            </w:r>
          </w:p>
        </w:tc>
        <w:tc>
          <w:tcPr>
            <w:tcW w:w="1461" w:type="dxa"/>
            <w:vAlign w:val="center"/>
          </w:tcPr>
          <w:p w14:paraId="618C2A04">
            <w:pPr>
              <w:jc w:val="center"/>
              <w:rPr>
                <w:rFonts w:ascii="宋体" w:hAnsi="宋体" w:cs="宋体"/>
                <w:b/>
                <w:sz w:val="24"/>
              </w:rPr>
            </w:pPr>
            <w:r>
              <w:rPr>
                <w:rFonts w:hint="eastAsia" w:ascii="宋体" w:hAnsi="宋体" w:cs="宋体"/>
                <w:b/>
                <w:sz w:val="24"/>
              </w:rPr>
              <w:t>数量</w:t>
            </w:r>
          </w:p>
          <w:p w14:paraId="5934BB83">
            <w:pPr>
              <w:jc w:val="center"/>
              <w:rPr>
                <w:rFonts w:ascii="宋体" w:hAnsi="宋体" w:cs="宋体"/>
                <w:b/>
                <w:sz w:val="24"/>
              </w:rPr>
            </w:pPr>
            <w:r>
              <w:rPr>
                <w:rFonts w:hint="eastAsia" w:ascii="宋体" w:hAnsi="宋体" w:cs="宋体"/>
                <w:b/>
                <w:sz w:val="24"/>
              </w:rPr>
              <w:t>（台/套）</w:t>
            </w:r>
          </w:p>
        </w:tc>
        <w:tc>
          <w:tcPr>
            <w:tcW w:w="2703" w:type="dxa"/>
            <w:vAlign w:val="center"/>
          </w:tcPr>
          <w:p w14:paraId="570A652F">
            <w:pPr>
              <w:jc w:val="center"/>
              <w:rPr>
                <w:rFonts w:ascii="宋体" w:hAnsi="宋体" w:cs="宋体"/>
                <w:b/>
                <w:sz w:val="24"/>
              </w:rPr>
            </w:pPr>
            <w:r>
              <w:rPr>
                <w:rFonts w:hint="eastAsia" w:ascii="宋体" w:hAnsi="宋体" w:cs="宋体"/>
                <w:b/>
                <w:sz w:val="24"/>
              </w:rPr>
              <w:t>是否允许进口产品</w:t>
            </w:r>
          </w:p>
        </w:tc>
        <w:tc>
          <w:tcPr>
            <w:tcW w:w="1025" w:type="dxa"/>
            <w:vAlign w:val="center"/>
          </w:tcPr>
          <w:p w14:paraId="44D898B0">
            <w:pPr>
              <w:jc w:val="center"/>
              <w:rPr>
                <w:rFonts w:ascii="宋体" w:hAnsi="宋体" w:cs="宋体"/>
                <w:b/>
                <w:sz w:val="24"/>
              </w:rPr>
            </w:pPr>
            <w:r>
              <w:rPr>
                <w:rFonts w:hint="eastAsia" w:ascii="宋体" w:hAnsi="宋体" w:cs="宋体"/>
                <w:b/>
                <w:sz w:val="24"/>
              </w:rPr>
              <w:t>质保期</w:t>
            </w:r>
          </w:p>
        </w:tc>
        <w:tc>
          <w:tcPr>
            <w:tcW w:w="1025" w:type="dxa"/>
            <w:vAlign w:val="center"/>
          </w:tcPr>
          <w:p w14:paraId="44665EE5">
            <w:pPr>
              <w:jc w:val="center"/>
              <w:rPr>
                <w:rFonts w:ascii="宋体" w:hAnsi="宋体" w:cs="宋体"/>
                <w:b/>
                <w:sz w:val="24"/>
              </w:rPr>
            </w:pPr>
            <w:r>
              <w:rPr>
                <w:rFonts w:hint="eastAsia" w:ascii="宋体" w:hAnsi="宋体" w:cs="宋体"/>
                <w:b/>
                <w:sz w:val="24"/>
              </w:rPr>
              <w:t>备注</w:t>
            </w:r>
          </w:p>
        </w:tc>
      </w:tr>
      <w:tr w14:paraId="6AC1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Align w:val="center"/>
          </w:tcPr>
          <w:p w14:paraId="656C90AC">
            <w:pPr>
              <w:widowControl/>
              <w:jc w:val="center"/>
              <w:rPr>
                <w:rFonts w:ascii="宋体" w:hAnsi="宋体" w:cs="宋体"/>
                <w:kern w:val="0"/>
                <w:sz w:val="24"/>
              </w:rPr>
            </w:pPr>
            <w:r>
              <w:rPr>
                <w:rFonts w:hint="eastAsia" w:ascii="宋体" w:hAnsi="宋体" w:cs="宋体"/>
                <w:kern w:val="0"/>
                <w:sz w:val="24"/>
              </w:rPr>
              <w:t>01</w:t>
            </w:r>
          </w:p>
        </w:tc>
        <w:tc>
          <w:tcPr>
            <w:tcW w:w="3075" w:type="dxa"/>
            <w:vAlign w:val="center"/>
          </w:tcPr>
          <w:p w14:paraId="10F6F965">
            <w:pPr>
              <w:widowControl/>
              <w:jc w:val="center"/>
              <w:rPr>
                <w:rFonts w:ascii="宋体" w:hAnsi="宋体" w:cs="宋体"/>
                <w:kern w:val="0"/>
                <w:sz w:val="24"/>
              </w:rPr>
            </w:pPr>
            <w:r>
              <w:rPr>
                <w:rFonts w:hint="eastAsia" w:ascii="宋体" w:hAnsi="宋体" w:cs="宋体"/>
                <w:kern w:val="0"/>
                <w:sz w:val="24"/>
              </w:rPr>
              <w:t>疼痛知觉评估系统设备（常规）</w:t>
            </w:r>
          </w:p>
        </w:tc>
        <w:tc>
          <w:tcPr>
            <w:tcW w:w="1461" w:type="dxa"/>
            <w:vAlign w:val="center"/>
          </w:tcPr>
          <w:p w14:paraId="6DCA422C">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35991D1">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1E3BADE9">
            <w:pPr>
              <w:widowControl/>
              <w:jc w:val="center"/>
              <w:rPr>
                <w:rFonts w:ascii="宋体" w:hAnsi="宋体" w:cs="宋体"/>
                <w:kern w:val="0"/>
                <w:sz w:val="24"/>
              </w:rPr>
            </w:pPr>
            <w:r>
              <w:rPr>
                <w:rFonts w:hint="eastAsia"/>
                <w:sz w:val="24"/>
              </w:rPr>
              <w:t>5年</w:t>
            </w:r>
          </w:p>
        </w:tc>
        <w:tc>
          <w:tcPr>
            <w:tcW w:w="1025" w:type="dxa"/>
            <w:vAlign w:val="center"/>
          </w:tcPr>
          <w:p w14:paraId="728B72D9">
            <w:pPr>
              <w:widowControl/>
              <w:jc w:val="center"/>
              <w:rPr>
                <w:rFonts w:ascii="宋体" w:hAnsi="宋体" w:cs="宋体"/>
                <w:kern w:val="0"/>
                <w:sz w:val="24"/>
              </w:rPr>
            </w:pPr>
          </w:p>
        </w:tc>
      </w:tr>
      <w:tr w14:paraId="60BB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Align w:val="center"/>
          </w:tcPr>
          <w:p w14:paraId="29BA6386">
            <w:pPr>
              <w:widowControl/>
              <w:jc w:val="center"/>
              <w:rPr>
                <w:rFonts w:ascii="宋体" w:hAnsi="宋体" w:cs="宋体"/>
                <w:kern w:val="0"/>
                <w:sz w:val="24"/>
              </w:rPr>
            </w:pPr>
            <w:r>
              <w:rPr>
                <w:rFonts w:hint="eastAsia" w:ascii="宋体" w:hAnsi="宋体" w:cs="宋体"/>
                <w:kern w:val="0"/>
                <w:sz w:val="24"/>
              </w:rPr>
              <w:t>02</w:t>
            </w:r>
          </w:p>
        </w:tc>
        <w:tc>
          <w:tcPr>
            <w:tcW w:w="3075" w:type="dxa"/>
            <w:vAlign w:val="center"/>
          </w:tcPr>
          <w:p w14:paraId="6E88CB84">
            <w:pPr>
              <w:widowControl/>
              <w:jc w:val="center"/>
              <w:rPr>
                <w:rFonts w:ascii="宋体" w:hAnsi="宋体" w:cs="宋体"/>
                <w:kern w:val="0"/>
                <w:sz w:val="24"/>
              </w:rPr>
            </w:pPr>
            <w:r>
              <w:rPr>
                <w:rFonts w:hint="eastAsia" w:ascii="宋体" w:hAnsi="宋体" w:cs="宋体"/>
                <w:kern w:val="0"/>
                <w:sz w:val="24"/>
              </w:rPr>
              <w:t>疼痛知觉评估系统设备</w:t>
            </w:r>
            <w:r>
              <w:rPr>
                <w:rFonts w:hint="eastAsia"/>
                <w:sz w:val="24"/>
              </w:rPr>
              <w:t>（核磁兼容）</w:t>
            </w:r>
          </w:p>
        </w:tc>
        <w:tc>
          <w:tcPr>
            <w:tcW w:w="1461" w:type="dxa"/>
            <w:vAlign w:val="center"/>
          </w:tcPr>
          <w:p w14:paraId="10F47DDE">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E8D6B51">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625AC8B5">
            <w:pPr>
              <w:widowControl/>
              <w:jc w:val="center"/>
              <w:rPr>
                <w:rFonts w:ascii="宋体" w:hAnsi="宋体" w:cs="宋体"/>
                <w:kern w:val="0"/>
                <w:sz w:val="24"/>
              </w:rPr>
            </w:pPr>
            <w:r>
              <w:rPr>
                <w:rFonts w:hint="eastAsia"/>
                <w:sz w:val="24"/>
              </w:rPr>
              <w:t>5年</w:t>
            </w:r>
          </w:p>
        </w:tc>
        <w:tc>
          <w:tcPr>
            <w:tcW w:w="1025" w:type="dxa"/>
            <w:vAlign w:val="center"/>
          </w:tcPr>
          <w:p w14:paraId="4FD2B021">
            <w:pPr>
              <w:widowControl/>
              <w:jc w:val="center"/>
              <w:rPr>
                <w:rFonts w:ascii="宋体" w:hAnsi="宋体" w:cs="宋体"/>
                <w:kern w:val="0"/>
                <w:sz w:val="24"/>
              </w:rPr>
            </w:pPr>
          </w:p>
        </w:tc>
      </w:tr>
      <w:tr w14:paraId="6618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Merge w:val="restart"/>
            <w:vAlign w:val="center"/>
          </w:tcPr>
          <w:p w14:paraId="1D46E402">
            <w:pPr>
              <w:widowControl/>
              <w:jc w:val="center"/>
              <w:rPr>
                <w:rFonts w:ascii="宋体" w:hAnsi="宋体" w:cs="宋体"/>
                <w:kern w:val="0"/>
                <w:sz w:val="24"/>
              </w:rPr>
            </w:pPr>
            <w:r>
              <w:rPr>
                <w:rFonts w:hint="eastAsia" w:ascii="宋体" w:hAnsi="宋体" w:cs="宋体"/>
                <w:kern w:val="0"/>
                <w:sz w:val="24"/>
              </w:rPr>
              <w:t>03</w:t>
            </w:r>
          </w:p>
        </w:tc>
        <w:tc>
          <w:tcPr>
            <w:tcW w:w="3075" w:type="dxa"/>
            <w:vAlign w:val="center"/>
          </w:tcPr>
          <w:p w14:paraId="43A5EAE8">
            <w:pPr>
              <w:widowControl/>
              <w:jc w:val="center"/>
              <w:rPr>
                <w:rFonts w:ascii="宋体" w:hAnsi="宋体" w:cs="宋体"/>
                <w:kern w:val="0"/>
                <w:sz w:val="24"/>
              </w:rPr>
            </w:pPr>
            <w:r>
              <w:rPr>
                <w:rFonts w:hint="eastAsia" w:ascii="宋体" w:hAnsi="宋体" w:cs="宋体"/>
                <w:kern w:val="0"/>
                <w:sz w:val="24"/>
              </w:rPr>
              <w:t>细胞能量代谢分析仪</w:t>
            </w:r>
          </w:p>
        </w:tc>
        <w:tc>
          <w:tcPr>
            <w:tcW w:w="1461" w:type="dxa"/>
            <w:vAlign w:val="center"/>
          </w:tcPr>
          <w:p w14:paraId="4F319960">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3CD5E293">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7461EE0D">
            <w:pPr>
              <w:widowControl/>
              <w:jc w:val="center"/>
              <w:rPr>
                <w:rFonts w:ascii="宋体" w:hAnsi="宋体" w:cs="宋体"/>
                <w:kern w:val="0"/>
                <w:sz w:val="24"/>
              </w:rPr>
            </w:pPr>
            <w:r>
              <w:rPr>
                <w:rFonts w:hint="eastAsia" w:ascii="宋体" w:hAnsi="宋体" w:cs="宋体"/>
                <w:kern w:val="0"/>
                <w:sz w:val="24"/>
              </w:rPr>
              <w:t>3年</w:t>
            </w:r>
          </w:p>
        </w:tc>
        <w:tc>
          <w:tcPr>
            <w:tcW w:w="1025" w:type="dxa"/>
            <w:vAlign w:val="center"/>
          </w:tcPr>
          <w:p w14:paraId="6BF661F4">
            <w:pPr>
              <w:widowControl/>
              <w:jc w:val="center"/>
              <w:rPr>
                <w:rFonts w:ascii="宋体" w:hAnsi="宋体" w:cs="宋体"/>
                <w:kern w:val="0"/>
                <w:sz w:val="24"/>
              </w:rPr>
            </w:pPr>
          </w:p>
        </w:tc>
      </w:tr>
      <w:tr w14:paraId="2164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Merge w:val="continue"/>
            <w:vAlign w:val="center"/>
          </w:tcPr>
          <w:p w14:paraId="60082FF0">
            <w:pPr>
              <w:widowControl/>
              <w:jc w:val="center"/>
              <w:rPr>
                <w:rFonts w:ascii="宋体" w:hAnsi="宋体" w:cs="宋体"/>
                <w:kern w:val="0"/>
                <w:sz w:val="24"/>
              </w:rPr>
            </w:pPr>
          </w:p>
        </w:tc>
        <w:tc>
          <w:tcPr>
            <w:tcW w:w="3075" w:type="dxa"/>
            <w:vAlign w:val="center"/>
          </w:tcPr>
          <w:p w14:paraId="35240106">
            <w:pPr>
              <w:widowControl/>
              <w:jc w:val="center"/>
              <w:rPr>
                <w:rFonts w:ascii="宋体" w:hAnsi="宋体" w:cs="宋体"/>
                <w:kern w:val="0"/>
                <w:sz w:val="24"/>
              </w:rPr>
            </w:pPr>
            <w:r>
              <w:rPr>
                <w:rFonts w:hint="eastAsia" w:ascii="宋体" w:hAnsi="宋体" w:cs="宋体"/>
                <w:kern w:val="0"/>
                <w:sz w:val="24"/>
              </w:rPr>
              <w:t>单细胞自动制备与测序分析仪</w:t>
            </w:r>
          </w:p>
        </w:tc>
        <w:tc>
          <w:tcPr>
            <w:tcW w:w="1461" w:type="dxa"/>
            <w:vAlign w:val="center"/>
          </w:tcPr>
          <w:p w14:paraId="4148202A">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706D50F">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2C286636">
            <w:pPr>
              <w:widowControl/>
              <w:jc w:val="center"/>
              <w:rPr>
                <w:rFonts w:ascii="宋体" w:hAnsi="宋体" w:cs="宋体"/>
                <w:kern w:val="0"/>
                <w:sz w:val="24"/>
              </w:rPr>
            </w:pPr>
            <w:r>
              <w:rPr>
                <w:rFonts w:hint="eastAsia" w:ascii="宋体" w:hAnsi="宋体" w:cs="宋体"/>
                <w:kern w:val="0"/>
                <w:sz w:val="24"/>
              </w:rPr>
              <w:t>3年</w:t>
            </w:r>
          </w:p>
        </w:tc>
        <w:tc>
          <w:tcPr>
            <w:tcW w:w="1025" w:type="dxa"/>
            <w:vAlign w:val="center"/>
          </w:tcPr>
          <w:p w14:paraId="24E5DD37">
            <w:pPr>
              <w:widowControl/>
              <w:jc w:val="center"/>
              <w:rPr>
                <w:rFonts w:ascii="宋体" w:hAnsi="宋体" w:cs="宋体"/>
                <w:kern w:val="0"/>
                <w:sz w:val="24"/>
              </w:rPr>
            </w:pPr>
            <w:r>
              <w:rPr>
                <w:rFonts w:hint="eastAsia" w:ascii="宋体" w:hAnsi="宋体" w:cs="宋体"/>
                <w:kern w:val="0"/>
                <w:sz w:val="24"/>
              </w:rPr>
              <w:t>核心产品</w:t>
            </w:r>
          </w:p>
        </w:tc>
      </w:tr>
      <w:tr w14:paraId="2F11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Align w:val="center"/>
          </w:tcPr>
          <w:p w14:paraId="219B78B5">
            <w:pPr>
              <w:widowControl/>
              <w:jc w:val="center"/>
              <w:rPr>
                <w:rFonts w:ascii="宋体" w:hAnsi="宋体" w:cs="宋体"/>
                <w:kern w:val="0"/>
                <w:sz w:val="24"/>
              </w:rPr>
            </w:pPr>
            <w:r>
              <w:rPr>
                <w:rFonts w:hint="eastAsia" w:ascii="宋体" w:hAnsi="宋体" w:cs="宋体"/>
                <w:kern w:val="0"/>
                <w:sz w:val="24"/>
              </w:rPr>
              <w:t>04</w:t>
            </w:r>
          </w:p>
        </w:tc>
        <w:tc>
          <w:tcPr>
            <w:tcW w:w="3075" w:type="dxa"/>
            <w:vAlign w:val="center"/>
          </w:tcPr>
          <w:p w14:paraId="64727438">
            <w:pPr>
              <w:widowControl/>
              <w:jc w:val="center"/>
              <w:rPr>
                <w:rFonts w:ascii="宋体" w:hAnsi="宋体" w:cs="宋体"/>
                <w:kern w:val="0"/>
                <w:sz w:val="24"/>
              </w:rPr>
            </w:pPr>
            <w:r>
              <w:rPr>
                <w:rFonts w:hint="eastAsia" w:ascii="宋体" w:hAnsi="宋体" w:cs="宋体"/>
                <w:kern w:val="0"/>
                <w:sz w:val="24"/>
              </w:rPr>
              <w:t>高分辨液质联用仪</w:t>
            </w:r>
          </w:p>
        </w:tc>
        <w:tc>
          <w:tcPr>
            <w:tcW w:w="1461" w:type="dxa"/>
            <w:vAlign w:val="center"/>
          </w:tcPr>
          <w:p w14:paraId="15E17897">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5DBF015">
            <w:pPr>
              <w:widowControl/>
              <w:jc w:val="center"/>
              <w:rPr>
                <w:rFonts w:ascii="宋体" w:hAnsi="宋体" w:cs="宋体"/>
                <w:kern w:val="0"/>
                <w:sz w:val="24"/>
              </w:rPr>
            </w:pPr>
            <w:r>
              <w:rPr>
                <w:rFonts w:hint="eastAsia" w:ascii="宋体" w:hAnsi="宋体" w:cs="宋体"/>
                <w:kern w:val="0"/>
                <w:sz w:val="24"/>
              </w:rPr>
              <w:t>否</w:t>
            </w:r>
          </w:p>
        </w:tc>
        <w:tc>
          <w:tcPr>
            <w:tcW w:w="1025" w:type="dxa"/>
            <w:vAlign w:val="center"/>
          </w:tcPr>
          <w:p w14:paraId="61960415">
            <w:pPr>
              <w:widowControl/>
              <w:jc w:val="center"/>
              <w:rPr>
                <w:rFonts w:ascii="宋体" w:hAnsi="宋体" w:cs="宋体"/>
                <w:kern w:val="0"/>
                <w:sz w:val="24"/>
              </w:rPr>
            </w:pPr>
            <w:r>
              <w:rPr>
                <w:rFonts w:hint="eastAsia"/>
                <w:sz w:val="24"/>
              </w:rPr>
              <w:t>5年</w:t>
            </w:r>
          </w:p>
        </w:tc>
        <w:tc>
          <w:tcPr>
            <w:tcW w:w="1025" w:type="dxa"/>
            <w:vAlign w:val="center"/>
          </w:tcPr>
          <w:p w14:paraId="53278B25">
            <w:pPr>
              <w:widowControl/>
              <w:jc w:val="center"/>
              <w:rPr>
                <w:rFonts w:ascii="宋体" w:hAnsi="宋体" w:cs="宋体"/>
                <w:kern w:val="0"/>
                <w:sz w:val="24"/>
              </w:rPr>
            </w:pPr>
          </w:p>
        </w:tc>
      </w:tr>
    </w:tbl>
    <w:p w14:paraId="5D80838A">
      <w:pPr>
        <w:pStyle w:val="2"/>
      </w:pPr>
    </w:p>
    <w:p w14:paraId="26433D05">
      <w:pPr>
        <w:pStyle w:val="6"/>
        <w:numPr>
          <w:ilvl w:val="0"/>
          <w:numId w:val="0"/>
        </w:numPr>
        <w:spacing w:line="360" w:lineRule="auto"/>
        <w:ind w:left="499" w:leftChars="0" w:hanging="499"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二、</w:t>
      </w:r>
      <w:r>
        <w:rPr>
          <w:rFonts w:ascii="Times New Roman" w:hAnsi="Times New Roman"/>
          <w:b/>
          <w:sz w:val="24"/>
          <w:szCs w:val="24"/>
        </w:rPr>
        <w:t>商务要求</w:t>
      </w:r>
    </w:p>
    <w:p w14:paraId="7C88B444">
      <w:pPr>
        <w:spacing w:line="360" w:lineRule="auto"/>
        <w:contextualSpacing/>
        <w:rPr>
          <w:i/>
          <w:sz w:val="24"/>
        </w:rPr>
      </w:pPr>
      <w:r>
        <w:rPr>
          <w:sz w:val="24"/>
        </w:rPr>
        <w:t>1.实施的期限和地点</w:t>
      </w:r>
    </w:p>
    <w:p w14:paraId="23789189">
      <w:pPr>
        <w:pStyle w:val="3"/>
        <w:spacing w:line="360" w:lineRule="auto"/>
        <w:jc w:val="both"/>
        <w:outlineLvl w:val="9"/>
        <w:rPr>
          <w:rFonts w:ascii="宋体" w:hAnsi="宋体" w:cs="宋体"/>
          <w:b w:val="0"/>
          <w:sz w:val="24"/>
          <w:szCs w:val="24"/>
          <w:highlight w:val="yellow"/>
        </w:rPr>
      </w:pPr>
      <w:bookmarkStart w:id="0" w:name="_Toc21887"/>
      <w:r>
        <w:rPr>
          <w:rFonts w:ascii="宋体" w:hAnsi="宋体" w:cs="宋体"/>
          <w:b w:val="0"/>
          <w:sz w:val="24"/>
          <w:szCs w:val="24"/>
        </w:rPr>
        <w:t>1.</w:t>
      </w:r>
      <w:r>
        <w:rPr>
          <w:rFonts w:hint="eastAsia" w:ascii="宋体" w:hAnsi="宋体" w:cs="宋体"/>
          <w:b w:val="0"/>
          <w:sz w:val="24"/>
          <w:szCs w:val="24"/>
        </w:rPr>
        <w:t>1采购项目（标的）实施的时间：</w:t>
      </w:r>
      <w:bookmarkEnd w:id="0"/>
      <w:r>
        <w:rPr>
          <w:rFonts w:hint="eastAsia" w:ascii="宋体" w:hAnsi="宋体" w:cs="宋体"/>
          <w:b w:val="0"/>
          <w:sz w:val="24"/>
          <w:szCs w:val="24"/>
        </w:rPr>
        <w:t>自采购人下达订单之日起90个工作日内将货物送至采购人指定地点</w:t>
      </w:r>
    </w:p>
    <w:p w14:paraId="6373FFEC">
      <w:pPr>
        <w:pStyle w:val="3"/>
        <w:tabs>
          <w:tab w:val="left" w:pos="0"/>
        </w:tabs>
        <w:spacing w:line="360" w:lineRule="auto"/>
        <w:jc w:val="both"/>
        <w:outlineLvl w:val="9"/>
        <w:rPr>
          <w:i/>
          <w:sz w:val="24"/>
        </w:rPr>
      </w:pPr>
      <w:bookmarkStart w:id="1" w:name="_Toc4342"/>
      <w:r>
        <w:rPr>
          <w:rFonts w:hint="eastAsia" w:ascii="宋体" w:hAnsi="宋体" w:cs="宋体"/>
          <w:b w:val="0"/>
          <w:sz w:val="24"/>
          <w:szCs w:val="24"/>
        </w:rPr>
        <w:t>1.</w:t>
      </w:r>
      <w:r>
        <w:rPr>
          <w:rFonts w:ascii="宋体" w:hAnsi="宋体" w:cs="宋体"/>
          <w:b w:val="0"/>
          <w:sz w:val="24"/>
          <w:szCs w:val="24"/>
        </w:rPr>
        <w:t>2</w:t>
      </w:r>
      <w:r>
        <w:rPr>
          <w:rFonts w:hint="eastAsia" w:ascii="宋体" w:hAnsi="宋体" w:cs="宋体"/>
          <w:b w:val="0"/>
          <w:sz w:val="24"/>
          <w:szCs w:val="24"/>
        </w:rPr>
        <w:t>采购项目（标的）实施的地点：北京回龙观医院指定地点</w:t>
      </w:r>
      <w:bookmarkEnd w:id="1"/>
    </w:p>
    <w:p w14:paraId="742DE1B0">
      <w:pPr>
        <w:spacing w:line="360" w:lineRule="auto"/>
        <w:contextualSpacing/>
        <w:rPr>
          <w:sz w:val="24"/>
        </w:rPr>
      </w:pPr>
      <w:r>
        <w:rPr>
          <w:sz w:val="24"/>
        </w:rPr>
        <w:t>2.付款条件（进度和方式）</w:t>
      </w:r>
    </w:p>
    <w:p w14:paraId="1F381ECA">
      <w:pPr>
        <w:spacing w:line="360" w:lineRule="auto"/>
        <w:ind w:firstLine="240" w:firstLineChars="100"/>
        <w:contextualSpacing/>
        <w:rPr>
          <w:bCs/>
          <w:iCs/>
          <w:sz w:val="24"/>
        </w:rPr>
      </w:pPr>
      <w:r>
        <w:rPr>
          <w:rFonts w:hint="eastAsia" w:ascii="宋体" w:hAnsi="宋体" w:cs="宋体"/>
          <w:sz w:val="24"/>
        </w:rPr>
        <w:t>以最终合同签订为准。</w:t>
      </w:r>
    </w:p>
    <w:p w14:paraId="4701FCFB">
      <w:pPr>
        <w:spacing w:line="360" w:lineRule="auto"/>
        <w:contextualSpacing/>
        <w:rPr>
          <w:sz w:val="24"/>
        </w:rPr>
      </w:pPr>
      <w:r>
        <w:rPr>
          <w:sz w:val="24"/>
        </w:rPr>
        <w:t>3.包装和运输（如适用，须满足《关于印发〈商品包装政府采购需求标准（试行）〉、〈快递包装政府采购需求标准（试行）〉的通知》（财办库﹝2020﹞123号））</w:t>
      </w:r>
    </w:p>
    <w:p w14:paraId="3252FB9B">
      <w:pPr>
        <w:pStyle w:val="6"/>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三、</w:t>
      </w:r>
      <w:r>
        <w:rPr>
          <w:rFonts w:ascii="Times New Roman" w:hAnsi="Times New Roman"/>
          <w:b/>
          <w:sz w:val="24"/>
          <w:szCs w:val="24"/>
        </w:rPr>
        <w:t>技术要求</w:t>
      </w:r>
    </w:p>
    <w:p w14:paraId="348B3BA8">
      <w:pPr>
        <w:spacing w:line="360" w:lineRule="auto"/>
        <w:contextualSpacing/>
        <w:rPr>
          <w:sz w:val="24"/>
        </w:rPr>
      </w:pPr>
      <w:r>
        <w:rPr>
          <w:sz w:val="24"/>
        </w:rPr>
        <w:t>1.基本要求</w:t>
      </w:r>
    </w:p>
    <w:p w14:paraId="5C7C6768">
      <w:pPr>
        <w:spacing w:line="360" w:lineRule="auto"/>
        <w:contextualSpacing/>
        <w:rPr>
          <w:sz w:val="24"/>
        </w:rPr>
      </w:pPr>
      <w:r>
        <w:rPr>
          <w:sz w:val="24"/>
        </w:rPr>
        <w:t>1.1采购标的需实现的功能或者目标</w:t>
      </w:r>
    </w:p>
    <w:p w14:paraId="2B97F6A5">
      <w:pPr>
        <w:spacing w:line="360" w:lineRule="auto"/>
        <w:ind w:firstLine="480" w:firstLineChars="200"/>
        <w:jc w:val="left"/>
        <w:rPr>
          <w:rFonts w:ascii="宋体"/>
          <w:sz w:val="24"/>
        </w:rPr>
      </w:pPr>
      <w:r>
        <w:rPr>
          <w:rFonts w:hint="eastAsia"/>
          <w:bCs/>
          <w:sz w:val="24"/>
        </w:rPr>
        <w:t>本次招标采购是为</w:t>
      </w:r>
      <w:r>
        <w:rPr>
          <w:rFonts w:hint="eastAsia" w:ascii="宋体" w:hAnsi="宋体" w:cs="宋体"/>
          <w:sz w:val="24"/>
        </w:rPr>
        <w:t>北京回龙观医院</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7FDDE710">
      <w:pPr>
        <w:spacing w:line="360" w:lineRule="auto"/>
        <w:contextualSpacing/>
        <w:rPr>
          <w:sz w:val="24"/>
        </w:rPr>
      </w:pPr>
      <w:r>
        <w:rPr>
          <w:sz w:val="24"/>
        </w:rPr>
        <w:t>1.2需执行的国家相关标准、行业标准、地方标准或者其他标准、规范</w:t>
      </w:r>
    </w:p>
    <w:p w14:paraId="7EF649D1">
      <w:pPr>
        <w:widowControl/>
        <w:kinsoku w:val="0"/>
        <w:autoSpaceDE w:val="0"/>
        <w:autoSpaceDN w:val="0"/>
        <w:adjustRightInd w:val="0"/>
        <w:snapToGrid w:val="0"/>
        <w:spacing w:line="360" w:lineRule="auto"/>
        <w:ind w:left="240" w:hanging="240" w:hangingChars="100"/>
        <w:textAlignment w:val="baseline"/>
        <w:rPr>
          <w:rFonts w:ascii="宋体" w:hAnsi="宋体" w:cs="宋体"/>
          <w:color w:val="000000"/>
          <w:kern w:val="0"/>
          <w:sz w:val="24"/>
        </w:rPr>
      </w:pPr>
      <w:r>
        <w:rPr>
          <w:rFonts w:hint="eastAsia" w:ascii="Segoe UI Symbol" w:hAnsi="Segoe UI Symbol" w:cs="Segoe UI Symbol"/>
          <w:color w:val="000000"/>
          <w:kern w:val="0"/>
          <w:sz w:val="24"/>
        </w:rPr>
        <w:t>★</w:t>
      </w:r>
      <w:r>
        <w:rPr>
          <w:rFonts w:hint="eastAsia" w:ascii="宋体" w:hAnsi="宋体" w:cs="宋体"/>
          <w:color w:val="000000"/>
          <w:kern w:val="0"/>
          <w:sz w:val="24"/>
        </w:rPr>
        <w:t>（1）投标产品属于医疗器械的，应按国家市场监督管理总局颁发的《医疗器械注册与备案管理办法》，办理医疗器械注册证或者办理备案，供应商须提供有效的医疗器械注册证复印件或备案凭证并加盖公章。</w:t>
      </w:r>
    </w:p>
    <w:p w14:paraId="497AE49D">
      <w:pPr>
        <w:widowControl/>
        <w:kinsoku w:val="0"/>
        <w:autoSpaceDE w:val="0"/>
        <w:autoSpaceDN w:val="0"/>
        <w:adjustRightInd w:val="0"/>
        <w:snapToGrid w:val="0"/>
        <w:spacing w:line="360" w:lineRule="auto"/>
        <w:ind w:left="240" w:hanging="240" w:hangingChars="100"/>
        <w:textAlignment w:val="baseline"/>
        <w:rPr>
          <w:rFonts w:ascii="宋体" w:hAnsi="宋体" w:cs="宋体"/>
          <w:color w:val="000000"/>
          <w:kern w:val="0"/>
          <w:sz w:val="24"/>
        </w:rPr>
      </w:pPr>
      <w:r>
        <w:rPr>
          <w:rFonts w:hint="eastAsia" w:ascii="宋体" w:hAnsi="宋体" w:cs="宋体"/>
          <w:color w:val="000000"/>
          <w:kern w:val="0"/>
          <w:sz w:val="24"/>
        </w:rPr>
        <w:t>★（2）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0AA14776">
      <w:pPr>
        <w:widowControl/>
        <w:kinsoku w:val="0"/>
        <w:autoSpaceDE w:val="0"/>
        <w:autoSpaceDN w:val="0"/>
        <w:adjustRightInd w:val="0"/>
        <w:snapToGrid w:val="0"/>
        <w:spacing w:line="360" w:lineRule="auto"/>
        <w:ind w:left="240" w:hanging="240" w:hangingChars="100"/>
        <w:textAlignment w:val="baseline"/>
        <w:rPr>
          <w:rFonts w:ascii="宋体" w:hAnsi="宋体" w:cs="宋体"/>
          <w:color w:val="000000"/>
          <w:kern w:val="0"/>
          <w:sz w:val="24"/>
        </w:rPr>
      </w:pPr>
      <w:r>
        <w:rPr>
          <w:rFonts w:hint="eastAsia" w:ascii="宋体" w:hAnsi="宋体" w:cs="宋体"/>
          <w:color w:val="000000"/>
          <w:kern w:val="0"/>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683F26F9">
      <w:pPr>
        <w:widowControl/>
        <w:kinsoku w:val="0"/>
        <w:autoSpaceDE w:val="0"/>
        <w:autoSpaceDN w:val="0"/>
        <w:adjustRightInd w:val="0"/>
        <w:snapToGrid w:val="0"/>
        <w:spacing w:line="360" w:lineRule="auto"/>
        <w:ind w:left="240" w:hanging="240" w:hangingChars="100"/>
        <w:textAlignment w:val="baseline"/>
        <w:rPr>
          <w:sz w:val="24"/>
        </w:rPr>
      </w:pPr>
      <w:r>
        <w:rPr>
          <w:rFonts w:hint="eastAsia" w:ascii="宋体" w:hAnsi="宋体" w:cs="宋体"/>
          <w:color w:val="000000"/>
          <w:kern w:val="0"/>
          <w:sz w:val="24"/>
        </w:rPr>
        <w:t>★（4）投标</w:t>
      </w:r>
      <w:r>
        <w:rPr>
          <w:rFonts w:hint="eastAsia" w:ascii="Segoe UI Symbol" w:hAnsi="Segoe UI Symbol" w:cs="Segoe UI Symbol"/>
          <w:color w:val="000000"/>
          <w:kern w:val="0"/>
          <w:sz w:val="24"/>
        </w:rPr>
        <w:t>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59C705A2">
      <w:pPr>
        <w:spacing w:line="360" w:lineRule="auto"/>
        <w:contextualSpacing/>
        <w:rPr>
          <w:i/>
          <w:iCs/>
          <w:sz w:val="24"/>
        </w:rPr>
      </w:pPr>
      <w:r>
        <w:rPr>
          <w:rFonts w:hint="eastAsia"/>
          <w:sz w:val="24"/>
        </w:rPr>
        <w:t>2</w:t>
      </w:r>
      <w:r>
        <w:rPr>
          <w:sz w:val="24"/>
        </w:rPr>
        <w:t>验收标准</w:t>
      </w:r>
    </w:p>
    <w:p w14:paraId="432FF643">
      <w:pPr>
        <w:pStyle w:val="3"/>
        <w:spacing w:line="360" w:lineRule="auto"/>
        <w:jc w:val="both"/>
        <w:outlineLvl w:val="9"/>
        <w:rPr>
          <w:rFonts w:ascii="宋体"/>
          <w:b w:val="0"/>
          <w:sz w:val="24"/>
          <w:szCs w:val="24"/>
        </w:rPr>
      </w:pPr>
      <w:bookmarkStart w:id="2" w:name="_Toc28608"/>
      <w:r>
        <w:rPr>
          <w:rFonts w:hint="eastAsia" w:ascii="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2"/>
    </w:p>
    <w:p w14:paraId="22073D16">
      <w:pPr>
        <w:pStyle w:val="3"/>
        <w:spacing w:line="360" w:lineRule="auto"/>
        <w:jc w:val="both"/>
        <w:outlineLvl w:val="9"/>
        <w:rPr>
          <w:rFonts w:ascii="宋体"/>
          <w:b w:val="0"/>
          <w:sz w:val="24"/>
          <w:szCs w:val="24"/>
        </w:rPr>
      </w:pPr>
      <w:bookmarkStart w:id="3" w:name="_Toc27203"/>
      <w:r>
        <w:rPr>
          <w:rFonts w:hint="eastAsia" w:ascii="宋体"/>
          <w:b w:val="0"/>
          <w:sz w:val="24"/>
          <w:szCs w:val="24"/>
        </w:rPr>
        <w:t>（2）货物运抵采购项目（标的）交付的地点后，供货方和最终用户按投标技术参数和性能描述进行验收。</w:t>
      </w:r>
      <w:bookmarkEnd w:id="3"/>
    </w:p>
    <w:p w14:paraId="0ABF392E">
      <w:pPr>
        <w:pStyle w:val="3"/>
        <w:spacing w:line="360" w:lineRule="auto"/>
        <w:jc w:val="both"/>
        <w:outlineLvl w:val="9"/>
        <w:rPr>
          <w:rFonts w:ascii="宋体"/>
          <w:b w:val="0"/>
          <w:sz w:val="24"/>
          <w:szCs w:val="24"/>
        </w:rPr>
      </w:pPr>
      <w:bookmarkStart w:id="4" w:name="_Toc5831"/>
      <w:r>
        <w:rPr>
          <w:rFonts w:hint="eastAsia" w:ascii="宋体"/>
          <w:b w:val="0"/>
          <w:sz w:val="24"/>
          <w:szCs w:val="24"/>
        </w:rPr>
        <w:t>（3）供应商应负责使所供计量仪器通过计量部门的验收，并承担相关费用（包括运费）。若需要，应在检测期间提供备用仪器，以便不影响采购人的使用。</w:t>
      </w:r>
      <w:bookmarkEnd w:id="4"/>
    </w:p>
    <w:p w14:paraId="6501586D">
      <w:pPr>
        <w:spacing w:line="360" w:lineRule="auto"/>
        <w:contextualSpacing/>
        <w:rPr>
          <w:sz w:val="24"/>
        </w:rPr>
      </w:pPr>
      <w:r>
        <w:rPr>
          <w:rFonts w:hint="eastAsia"/>
          <w:sz w:val="24"/>
        </w:rPr>
        <w:t>3</w:t>
      </w:r>
      <w:r>
        <w:rPr>
          <w:sz w:val="24"/>
        </w:rPr>
        <w:t>.货物技术要求</w:t>
      </w:r>
    </w:p>
    <w:p w14:paraId="7FAA28B5">
      <w:pPr>
        <w:widowControl/>
        <w:spacing w:line="360" w:lineRule="auto"/>
        <w:contextualSpacing/>
        <w:rPr>
          <w:sz w:val="24"/>
        </w:rPr>
      </w:pPr>
      <w:r>
        <w:rPr>
          <w:rFonts w:hint="eastAsia"/>
          <w:sz w:val="24"/>
        </w:rPr>
        <w:t>3</w:t>
      </w:r>
      <w:r>
        <w:rPr>
          <w:sz w:val="24"/>
        </w:rPr>
        <w:t>.1采购标的需满足的性能、材料、结构、外观、质量、安全、技术规格、物理特性等要求；</w:t>
      </w:r>
    </w:p>
    <w:p w14:paraId="3DE8A329">
      <w:pPr>
        <w:widowControl/>
        <w:spacing w:line="360" w:lineRule="auto"/>
        <w:ind w:firstLine="480" w:firstLineChars="200"/>
        <w:contextualSpacing/>
        <w:rPr>
          <w:sz w:val="24"/>
        </w:rPr>
      </w:pPr>
      <w:r>
        <w:rPr>
          <w:rFonts w:hint="eastAsia"/>
          <w:sz w:val="24"/>
        </w:rPr>
        <w:t>详见</w:t>
      </w:r>
      <w:r>
        <w:rPr>
          <w:sz w:val="24"/>
        </w:rPr>
        <w:t>其他技术、服务等要求</w:t>
      </w:r>
    </w:p>
    <w:p w14:paraId="20C83C08">
      <w:pPr>
        <w:widowControl/>
        <w:spacing w:line="360" w:lineRule="auto"/>
        <w:contextualSpacing/>
        <w:rPr>
          <w:sz w:val="24"/>
        </w:rPr>
      </w:pPr>
      <w:r>
        <w:rPr>
          <w:rFonts w:hint="eastAsia"/>
          <w:sz w:val="24"/>
        </w:rPr>
        <w:t>3</w:t>
      </w:r>
      <w:r>
        <w:rPr>
          <w:sz w:val="24"/>
        </w:rPr>
        <w:t>.2采购标的需满足的服务标准、期限、效率等要求；</w:t>
      </w:r>
    </w:p>
    <w:p w14:paraId="3CB3B41B">
      <w:pPr>
        <w:tabs>
          <w:tab w:val="left" w:pos="900"/>
        </w:tabs>
        <w:spacing w:line="360" w:lineRule="auto"/>
        <w:rPr>
          <w:rFonts w:ascii="宋体" w:hAnsi="宋体" w:cs="宋体"/>
          <w:sz w:val="24"/>
        </w:rPr>
      </w:pPr>
      <w:r>
        <w:rPr>
          <w:rFonts w:hint="eastAsia" w:ascii="宋体" w:hAnsi="宋体" w:cs="宋体"/>
          <w:sz w:val="24"/>
        </w:rPr>
        <w:t>（1）采购标的需满足的服务标准、效率要求</w:t>
      </w:r>
    </w:p>
    <w:p w14:paraId="5511484C">
      <w:pPr>
        <w:numPr>
          <w:ilvl w:val="0"/>
          <w:numId w:val="1"/>
        </w:numPr>
        <w:spacing w:before="50" w:line="360" w:lineRule="auto"/>
        <w:rPr>
          <w:rFonts w:ascii="宋体" w:hAnsi="宋体" w:cs="宋体"/>
          <w:sz w:val="24"/>
        </w:rPr>
      </w:pPr>
      <w:r>
        <w:rPr>
          <w:rFonts w:hint="eastAsia" w:ascii="宋体" w:hAnsi="宋体" w:cs="宋体"/>
          <w:sz w:val="24"/>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宋体" w:hAnsi="宋体" w:cs="宋体"/>
          <w:sz w:val="24"/>
          <w:u w:val="single"/>
        </w:rPr>
        <w:t>10</w:t>
      </w:r>
      <w:r>
        <w:rPr>
          <w:rFonts w:hint="eastAsia" w:ascii="宋体" w:hAnsi="宋体" w:cs="宋体"/>
          <w:sz w:val="24"/>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130F794F">
      <w:pPr>
        <w:numPr>
          <w:ilvl w:val="0"/>
          <w:numId w:val="1"/>
        </w:numPr>
        <w:spacing w:before="50" w:line="360" w:lineRule="auto"/>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53AD7C2D">
      <w:pPr>
        <w:numPr>
          <w:ilvl w:val="0"/>
          <w:numId w:val="1"/>
        </w:numPr>
        <w:spacing w:before="50" w:line="360" w:lineRule="auto"/>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181B831">
      <w:pPr>
        <w:numPr>
          <w:ilvl w:val="0"/>
          <w:numId w:val="1"/>
        </w:numPr>
        <w:spacing w:before="50" w:line="360" w:lineRule="auto"/>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28841495">
      <w:pPr>
        <w:numPr>
          <w:ilvl w:val="0"/>
          <w:numId w:val="1"/>
        </w:numPr>
        <w:spacing w:before="50" w:line="360" w:lineRule="auto"/>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6E16575E">
      <w:pPr>
        <w:numPr>
          <w:ilvl w:val="0"/>
          <w:numId w:val="1"/>
        </w:numPr>
        <w:spacing w:before="50" w:line="360" w:lineRule="auto"/>
        <w:rPr>
          <w:rFonts w:ascii="宋体" w:hAnsi="宋体" w:cs="宋体"/>
          <w:sz w:val="24"/>
        </w:rPr>
      </w:pPr>
      <w:r>
        <w:rPr>
          <w:rFonts w:hint="eastAsia" w:ascii="宋体" w:hAnsi="宋体" w:cs="宋体"/>
          <w:sz w:val="24"/>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14:paraId="6A2296AD">
      <w:pPr>
        <w:numPr>
          <w:ilvl w:val="0"/>
          <w:numId w:val="1"/>
        </w:numPr>
        <w:spacing w:before="50" w:line="360" w:lineRule="auto"/>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4BFB497B">
      <w:pPr>
        <w:tabs>
          <w:tab w:val="left" w:pos="900"/>
        </w:tabs>
        <w:spacing w:before="120" w:beforeLines="50" w:line="360" w:lineRule="auto"/>
        <w:rPr>
          <w:rFonts w:ascii="宋体" w:hAnsi="宋体" w:cs="宋体"/>
          <w:sz w:val="24"/>
        </w:rPr>
      </w:pPr>
      <w:r>
        <w:rPr>
          <w:rFonts w:hint="eastAsia" w:ascii="宋体" w:hAnsi="宋体" w:cs="宋体"/>
          <w:sz w:val="24"/>
        </w:rPr>
        <w:t>（2）采购标的需满足的服务期限要求</w:t>
      </w:r>
    </w:p>
    <w:p w14:paraId="023EDD56">
      <w:pPr>
        <w:spacing w:before="50" w:line="360" w:lineRule="auto"/>
        <w:ind w:left="480" w:hanging="480" w:hangingChars="200"/>
        <w:rPr>
          <w:rFonts w:ascii="宋体" w:hAnsi="宋体"/>
          <w:sz w:val="24"/>
        </w:rPr>
      </w:pPr>
      <w:r>
        <w:rPr>
          <w:rFonts w:hint="eastAsia" w:ascii="宋体" w:hAnsi="宋体" w:cs="宋体"/>
          <w:sz w:val="24"/>
        </w:rPr>
        <w:t>1.</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40BDE410">
      <w:pPr>
        <w:spacing w:before="50" w:line="360" w:lineRule="auto"/>
        <w:ind w:left="479" w:leftChars="228"/>
        <w:rPr>
          <w:rFonts w:ascii="宋体" w:hAnsi="宋体" w:cs="宋体"/>
          <w:sz w:val="24"/>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4FE32004">
      <w:pPr>
        <w:numPr>
          <w:ilvl w:val="0"/>
          <w:numId w:val="2"/>
        </w:numPr>
        <w:tabs>
          <w:tab w:val="left" w:pos="900"/>
        </w:tabs>
        <w:spacing w:line="360" w:lineRule="auto"/>
        <w:ind w:left="480" w:hanging="480" w:hangingChars="200"/>
        <w:rPr>
          <w:rFonts w:ascii="宋体" w:hAnsi="宋体" w:cs="宋体"/>
          <w:sz w:val="24"/>
        </w:rPr>
      </w:pPr>
      <w:r>
        <w:rPr>
          <w:rFonts w:hint="eastAsia" w:ascii="宋体" w:hAnsi="宋体" w:cs="宋体"/>
          <w:sz w:val="24"/>
        </w:rPr>
        <w:t>质保期限须提供质量保证期（保修期）结束后，年度维保费用最高不超过合同金额</w:t>
      </w:r>
      <w:r>
        <w:rPr>
          <w:rFonts w:hint="eastAsia" w:ascii="宋体" w:hAnsi="宋体" w:cs="宋体"/>
          <w:sz w:val="24"/>
          <w:u w:val="single"/>
        </w:rPr>
        <w:t>5</w:t>
      </w:r>
      <w:r>
        <w:rPr>
          <w:rFonts w:hint="eastAsia" w:ascii="宋体" w:hAnsi="宋体" w:cs="宋体"/>
          <w:sz w:val="24"/>
        </w:rPr>
        <w:t>%的承诺函。并保证质量保证期结束后</w:t>
      </w:r>
      <w:r>
        <w:rPr>
          <w:rFonts w:hint="eastAsia" w:ascii="宋体" w:hAnsi="宋体" w:cs="宋体"/>
          <w:sz w:val="24"/>
          <w:u w:val="single"/>
        </w:rPr>
        <w:t>10</w:t>
      </w:r>
      <w:r>
        <w:rPr>
          <w:rFonts w:hint="eastAsia" w:ascii="宋体" w:hAnsi="宋体" w:cs="宋体"/>
          <w:sz w:val="24"/>
        </w:rPr>
        <w:t>年内所提供的备件不得涨价。保修费用应含维保工时费、零配件费用和软件维护、升级费用，服务内容和细则与免费维保期相同。</w:t>
      </w:r>
    </w:p>
    <w:p w14:paraId="57502101">
      <w:pPr>
        <w:tabs>
          <w:tab w:val="left" w:pos="900"/>
        </w:tabs>
        <w:spacing w:line="360" w:lineRule="auto"/>
        <w:ind w:left="480" w:hanging="480" w:hangingChars="200"/>
        <w:rPr>
          <w:sz w:val="24"/>
        </w:rPr>
      </w:pPr>
    </w:p>
    <w:p w14:paraId="380EFE41">
      <w:pPr>
        <w:tabs>
          <w:tab w:val="left" w:pos="900"/>
        </w:tabs>
        <w:spacing w:line="360" w:lineRule="auto"/>
        <w:ind w:left="480" w:hanging="480" w:hangingChars="200"/>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323CC3C1">
      <w:pPr>
        <w:tabs>
          <w:tab w:val="left" w:pos="900"/>
        </w:tabs>
        <w:spacing w:line="360" w:lineRule="auto"/>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602E892B">
      <w:pPr>
        <w:tabs>
          <w:tab w:val="left" w:pos="900"/>
        </w:tabs>
        <w:spacing w:line="360" w:lineRule="auto"/>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4513074">
      <w:pPr>
        <w:tabs>
          <w:tab w:val="left" w:pos="900"/>
        </w:tabs>
        <w:spacing w:line="360" w:lineRule="auto"/>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69BCB951">
      <w:pPr>
        <w:tabs>
          <w:tab w:val="left" w:pos="900"/>
        </w:tabs>
        <w:spacing w:line="360" w:lineRule="auto"/>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081E36EA">
      <w:pPr>
        <w:widowControl/>
        <w:spacing w:line="360" w:lineRule="auto"/>
        <w:contextualSpacing/>
        <w:rPr>
          <w:sz w:val="24"/>
        </w:rPr>
      </w:pPr>
      <w:r>
        <w:rPr>
          <w:rFonts w:hint="eastAsia"/>
          <w:sz w:val="24"/>
        </w:rPr>
        <w:t>3</w:t>
      </w:r>
      <w:r>
        <w:rPr>
          <w:sz w:val="24"/>
        </w:rPr>
        <w:t>.4采购标的的其他技术、服务等要求；</w:t>
      </w:r>
    </w:p>
    <w:p w14:paraId="0A2D645C">
      <w:pPr>
        <w:widowControl/>
        <w:spacing w:line="360" w:lineRule="auto"/>
        <w:contextualSpacing/>
        <w:rPr>
          <w:sz w:val="24"/>
        </w:rPr>
      </w:pPr>
    </w:p>
    <w:p w14:paraId="0A6FDD7D">
      <w:pPr>
        <w:rPr>
          <w:sz w:val="24"/>
        </w:rPr>
      </w:pPr>
      <w:r>
        <w:rPr>
          <w:rFonts w:hint="eastAsia"/>
          <w:sz w:val="24"/>
        </w:rPr>
        <w:br w:type="page"/>
      </w:r>
    </w:p>
    <w:p w14:paraId="0090C381">
      <w:pPr>
        <w:widowControl/>
        <w:spacing w:line="360" w:lineRule="auto"/>
        <w:contextualSpacing/>
        <w:rPr>
          <w:sz w:val="24"/>
        </w:rPr>
      </w:pPr>
      <w:r>
        <w:rPr>
          <w:rFonts w:hint="eastAsia"/>
          <w:sz w:val="24"/>
        </w:rPr>
        <w:t>01包：疼痛知觉评估系统设备（常规）</w:t>
      </w:r>
    </w:p>
    <w:p w14:paraId="4CA8DD1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1、冷热痛觉刺激</w:t>
      </w:r>
    </w:p>
    <w:p w14:paraId="0536A22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1.1利用接触式温度变化刺激皮肤，并通过神经纤维传导至中枢系统，可以配合脑电、事件相关脑电位或诱发电位设备完成痛觉诱发电位研究；</w:t>
      </w:r>
    </w:p>
    <w:p w14:paraId="1BF7C5E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1.2轻巧一体机（包含一个探头的情况下）总重量≤4公斤；</w:t>
      </w:r>
    </w:p>
    <w:p w14:paraId="0B70F66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刺激探头：</w:t>
      </w:r>
    </w:p>
    <w:p w14:paraId="07AAB1E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▲1.3.1可选择探头规格≥10种，用户可自行选择规格（列出每种探头的尺寸、刺激面积）；</w:t>
      </w:r>
    </w:p>
    <w:p w14:paraId="3A78B46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▲1.3.2每一种规格探头均可提供常规环境或核磁兼容两种不同版本供选择；</w:t>
      </w:r>
    </w:p>
    <w:p w14:paraId="43ACBA9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1.3.3随机标配探头尺寸：＜6.6*5.2*4.7厘米；</w:t>
      </w:r>
    </w:p>
    <w:p w14:paraId="547E118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1.3.3.1探头总刺激面积：≥9cm²；</w:t>
      </w:r>
    </w:p>
    <w:p w14:paraId="03738BD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1.3.3.2探头上具备五个独立的刺激区，每个区域可设置不同温度；</w:t>
      </w:r>
    </w:p>
    <w:p w14:paraId="02C86D2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1.4温度调节：</w:t>
      </w:r>
    </w:p>
    <w:p w14:paraId="5E0F636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1.4.1最低刺激温度：≤0℃（0.1℃增量）；</w:t>
      </w:r>
    </w:p>
    <w:p w14:paraId="0F654D2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最高刺激温度≥58℃（0.1℃增量）；</w:t>
      </w:r>
    </w:p>
    <w:p w14:paraId="3C4D766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1.4.3最大温度变化速度可达≥300℃/秒可调节（基于具体探头规格）；</w:t>
      </w:r>
    </w:p>
    <w:p w14:paraId="02C4583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1.5自动校准；</w:t>
      </w:r>
    </w:p>
    <w:p w14:paraId="4177EC3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1.6可使用电池供电，在纯电池供电供电模式下，可连续工作时长≥9小时；</w:t>
      </w:r>
    </w:p>
    <w:p w14:paraId="30AD344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1.7无需要冷却液，免维护；</w:t>
      </w:r>
    </w:p>
    <w:p w14:paraId="7FBC3B4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1.8具备通讯接口，可由外部计算机编程控制；</w:t>
      </w:r>
    </w:p>
    <w:p w14:paraId="733BBDD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1.9可与外部设备包括但不限于：脑电图、肌电图、经颅磁刺激、心电图、MRI等同步触发；</w:t>
      </w:r>
    </w:p>
    <w:p w14:paraId="55EE6B8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2、袖带式压力刺激</w:t>
      </w:r>
    </w:p>
    <w:p w14:paraId="369FB0B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自动化和计算机化的压力计算；</w:t>
      </w:r>
    </w:p>
    <w:p w14:paraId="274C6AA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通过袖带施加压力疼痛检测和耐受性阈值；</w:t>
      </w:r>
    </w:p>
    <w:p w14:paraId="39A4454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计算刺激时间总和；</w:t>
      </w:r>
    </w:p>
    <w:p w14:paraId="6E02D95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计算压力空间总和；</w:t>
      </w:r>
    </w:p>
    <w:p w14:paraId="7E588D9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条件化疼痛调节；</w:t>
      </w:r>
    </w:p>
    <w:p w14:paraId="263C892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与外部设备同步，如脑电设备；</w:t>
      </w:r>
    </w:p>
    <w:p w14:paraId="7B65CED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独立袖带压力通道数≥2个；</w:t>
      </w:r>
    </w:p>
    <w:p w14:paraId="0BBDFB9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有两个独立控制的压力出口；</w:t>
      </w:r>
    </w:p>
    <w:p w14:paraId="126A44F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收集心理生理评分；</w:t>
      </w:r>
    </w:p>
    <w:p w14:paraId="11E3D76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 心理物理学阈值的确定；</w:t>
      </w:r>
    </w:p>
    <w:p w14:paraId="6CCA411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为外部信号记录或刺激器的同步产生触发输出；</w:t>
      </w:r>
    </w:p>
    <w:p w14:paraId="262FC03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使用数字输入触发器与外部设备同步；</w:t>
      </w:r>
    </w:p>
    <w:p w14:paraId="10ED9B9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通用响应输入的数量：1；</w:t>
      </w:r>
    </w:p>
    <w:p w14:paraId="06764CF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 生成由分段线性段组成的任意压力波形；</w:t>
      </w:r>
    </w:p>
    <w:p w14:paraId="03727AA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2.15重量≤3公斤，可装入随身行李；</w:t>
      </w:r>
    </w:p>
    <w:p w14:paraId="59D89FA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2.16 实际压力由设备的模拟输出提供；</w:t>
      </w:r>
    </w:p>
    <w:p w14:paraId="66729A7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3、足底压力刺激</w:t>
      </w:r>
    </w:p>
    <w:p w14:paraId="559CD9A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刺激方式：脚托式单点刺激；</w:t>
      </w:r>
    </w:p>
    <w:p w14:paraId="7D563F9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刺激强度：0-400N(牛顿)；</w:t>
      </w:r>
    </w:p>
    <w:p w14:paraId="70D1997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外部触发同步端口：串口数字化触发方式；</w:t>
      </w:r>
    </w:p>
    <w:p w14:paraId="33F8FA0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3.4手动调节压力强度：90-300N（牛顿）；</w:t>
      </w:r>
    </w:p>
    <w:p w14:paraId="719D380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 实时显示当前压力强度数值；</w:t>
      </w:r>
    </w:p>
    <w:p w14:paraId="377C7CE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4、多通道电刺激</w:t>
      </w:r>
    </w:p>
    <w:p w14:paraId="3DD081A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工作电压：交流 220V/50Hz；</w:t>
      </w:r>
    </w:p>
    <w:p w14:paraId="030AFEC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 最大功率：35VA；</w:t>
      </w:r>
    </w:p>
    <w:p w14:paraId="57DCA541">
      <w:pPr>
        <w:rPr>
          <w:rFonts w:ascii="等线" w:hAnsi="等线" w:eastAsia="等线"/>
          <w:sz w:val="24"/>
          <w14:ligatures w14:val="standardContextual"/>
        </w:rPr>
      </w:pPr>
      <w:r>
        <w:rPr>
          <w:rFonts w:hint="eastAsia" w:asciiTheme="minorEastAsia" w:hAnsiTheme="minorEastAsia" w:eastAsiaTheme="minorEastAsia" w:cstheme="minorEastAsia"/>
          <w:sz w:val="24"/>
        </w:rPr>
        <w:t>▲4.3 刺激通道：四通道，全隔离；</w:t>
      </w:r>
    </w:p>
    <w:p w14:paraId="46BC98B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刺激波形：方波；</w:t>
      </w:r>
    </w:p>
    <w:p w14:paraId="4C3B76C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 输出强度：0.1mA - 80mA，步进0.1mA，误差＜±1%；</w:t>
      </w:r>
    </w:p>
    <w:p w14:paraId="20478E8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4.6 输出脉宽：50μs - 5000μS，步进 5μs； </w:t>
      </w:r>
    </w:p>
    <w:p w14:paraId="74337E4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4.7 输出频率：2Hz - 1000Hz，步进 0.1Hz； </w:t>
      </w:r>
    </w:p>
    <w:p w14:paraId="76811EB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 输出时间：1s -100min，步进1s；</w:t>
      </w:r>
    </w:p>
    <w:p w14:paraId="5284757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4.9 脉冲次数：1-6000000次，步进1次；</w:t>
      </w:r>
    </w:p>
    <w:p w14:paraId="3E9A995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4.10 控制方式：面板控制和USB外部程序控制；</w:t>
      </w:r>
    </w:p>
    <w:p w14:paraId="4BF8786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 调制模式：半波正弦调制、指数调制、三角调制、频率调制；</w:t>
      </w:r>
    </w:p>
    <w:p w14:paraId="163058F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5、工作站</w:t>
      </w:r>
    </w:p>
    <w:p w14:paraId="57D2E3F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5.1 系统控制工作站1套，搭载≥16核24线程的处理器，最大睿频≥5.0GHz，并集成显卡。存储系统采用双存储方案，包含≥1TB PCIe 4.0 NVMe固态硬盘和≥2TB，7200转机械硬盘。主机配备≥16GB DDR4-3600四通道内存，并附带≥27寸显示器；  </w:t>
      </w:r>
    </w:p>
    <w:p w14:paraId="508120F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刺激呈现数据分析工作站1套：≥16G内存，≥2T硬盘的笔记本电脑；</w:t>
      </w:r>
    </w:p>
    <w:p w14:paraId="04DAD5E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要求工作站为OEM正版操作系统，应用软件也须为正版；</w:t>
      </w:r>
    </w:p>
    <w:p w14:paraId="5A4D233C">
      <w:pPr>
        <w:spacing w:line="360" w:lineRule="auto"/>
        <w:rPr>
          <w:sz w:val="24"/>
        </w:rPr>
      </w:pPr>
      <w:r>
        <w:rPr>
          <w:rFonts w:hint="eastAsia" w:asciiTheme="minorEastAsia" w:hAnsiTheme="minorEastAsia" w:eastAsiaTheme="minorEastAsia" w:cstheme="minorEastAsia"/>
          <w:sz w:val="24"/>
        </w:rPr>
        <w:t>6、提供机器操作及科研培训不少于4人次，提供2家以上科学研究机构培训，保证与核磁兼容机器的顺利运行。</w:t>
      </w:r>
      <w:r>
        <w:rPr>
          <w:rFonts w:hint="eastAsia"/>
          <w:sz w:val="24"/>
        </w:rPr>
        <w:br w:type="page"/>
      </w:r>
    </w:p>
    <w:p w14:paraId="5C4D9B99">
      <w:pPr>
        <w:widowControl/>
        <w:spacing w:line="360" w:lineRule="auto"/>
        <w:contextualSpacing/>
        <w:rPr>
          <w:sz w:val="24"/>
        </w:rPr>
      </w:pPr>
      <w:r>
        <w:rPr>
          <w:rFonts w:hint="eastAsia"/>
          <w:sz w:val="24"/>
        </w:rPr>
        <w:t>02包：疼痛知觉评估系统设备（核磁兼容）</w:t>
      </w:r>
    </w:p>
    <w:p w14:paraId="28571E8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1、一体化主机系统一套。检测类型：冷觉/热觉/冷痛/热痛阈值测定；痛觉时间总和评价；可与肌电图相连完成痛觉诱发电位刺激功能；</w:t>
      </w:r>
    </w:p>
    <w:p w14:paraId="313A70F1">
      <w:pPr>
        <w:spacing w:line="360" w:lineRule="auto"/>
        <w:rPr>
          <w:rFonts w:asciiTheme="minorEastAsia" w:hAnsiTheme="minorEastAsia" w:eastAsiaTheme="minorEastAsia" w:cstheme="minorEastAsia"/>
          <w:color w:val="FF0000"/>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2、探头：ATS延长型核磁探头一套；CHEPS延长型核磁兼容探头</w:t>
      </w:r>
      <w:r>
        <w:rPr>
          <w:rFonts w:hint="eastAsia" w:asciiTheme="minorEastAsia" w:hAnsiTheme="minorEastAsia" w:eastAsiaTheme="minorEastAsia" w:cstheme="minorEastAsia"/>
          <w:color w:val="000000"/>
          <w:sz w:val="24"/>
        </w:rPr>
        <w:t>一套；</w:t>
      </w:r>
    </w:p>
    <w:p w14:paraId="2A0B8FD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3、探头冷却系统：</w:t>
      </w:r>
      <w:r>
        <w:rPr>
          <w:rFonts w:hint="eastAsia" w:ascii="Arial" w:hAnsi="楷体" w:eastAsia="楷体" w:cs="Arial"/>
          <w:sz w:val="28"/>
          <w:szCs w:val="28"/>
        </w:rPr>
        <w:t>液冷（</w:t>
      </w:r>
      <w:r>
        <w:rPr>
          <w:rFonts w:hint="eastAsia" w:ascii="Arial" w:hAnsi="Arial" w:eastAsia="楷体" w:cs="Arial"/>
          <w:sz w:val="28"/>
          <w:szCs w:val="28"/>
        </w:rPr>
        <w:t>需提供证明文件）</w:t>
      </w:r>
      <w:r>
        <w:rPr>
          <w:rFonts w:hint="eastAsia" w:asciiTheme="minorEastAsia" w:hAnsiTheme="minorEastAsia" w:eastAsiaTheme="minorEastAsia" w:cstheme="minorEastAsia"/>
          <w:sz w:val="24"/>
        </w:rPr>
        <w:t>；</w:t>
      </w:r>
    </w:p>
    <w:p w14:paraId="189AE19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4、测试温度：ATS：0℃ - 53℃，Cheps：0℃ - 55℃；</w:t>
      </w:r>
    </w:p>
    <w:p w14:paraId="08CDECBA">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5、降温速率：ATS：0.1-13℃/s，Cheps：0.1-40℃/s；</w:t>
      </w:r>
    </w:p>
    <w:p w14:paraId="5EFF40E2">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6、升温速率：ATS：0.1-13℃/s，Cheps：0.1-70℃/s；</w:t>
      </w:r>
    </w:p>
    <w:p w14:paraId="0169097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7、温度调节精度：0.1℃；</w:t>
      </w:r>
    </w:p>
    <w:p w14:paraId="359D4BF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8、操作系统：Windows 11 OEM正版操作系统；</w:t>
      </w:r>
    </w:p>
    <w:p w14:paraId="6E77F083">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9、中文检测软件：包括冷觉/热觉/冷痛/热痛阈值检测软件；痛觉刺激控制软件；</w:t>
      </w:r>
    </w:p>
    <w:p w14:paraId="0A52B639">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10、检测模式（至少包含）：极限法（Limits）、水平法（Levels）、温度觉阈法（TSL）、上升和保持法（R&amp;H）、上升和保持法（R&amp;H）、搜索法（Search）、链式法（Chain）、脉冲（仅Cheps模式）；</w:t>
      </w:r>
    </w:p>
    <w:p w14:paraId="22255A1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11、数据库1套：包括正常参考值/统计分析，自动图文报告生成，病历管理；</w:t>
      </w:r>
    </w:p>
    <w:p w14:paraId="0DFDCC5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12、具备外触发接口，能够与科室肌电图联机完成痛觉诱发电位检测功能；</w:t>
      </w:r>
    </w:p>
    <w:p w14:paraId="5C960BD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13、系统控制工作站1套，搭载≥16核24线程的处理器，最大睿频≥5.0GHz，并集成显卡。存储系统采用双存储方案，包含≥1TB PCIe 4.0 NVMe固态硬盘和≥2TB，7200转机械硬盘。主机配备≥16GB DDR4-3600四通道内存，并附带≥27寸显示器；  </w:t>
      </w:r>
    </w:p>
    <w:p w14:paraId="0350FAD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14、刺激呈现数据分析工作站1套：≥16G内存，≥2T硬盘的笔记本电脑；刺激呈现工作站上安装心理学范式呈现软件EPRIME1套；</w:t>
      </w:r>
    </w:p>
    <w:p w14:paraId="54B3EBB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15、工作站为OEM正版操作系统，应用软件为正版；</w:t>
      </w:r>
    </w:p>
    <w:p w14:paraId="15677F2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16、彩色激光打印机一套；</w:t>
      </w:r>
    </w:p>
    <w:p w14:paraId="3E854B84">
      <w:pPr>
        <w:spacing w:line="360" w:lineRule="auto"/>
        <w:rPr>
          <w:sz w:val="24"/>
        </w:rPr>
      </w:pPr>
      <w:r>
        <w:rPr>
          <w:rFonts w:hint="eastAsia" w:asciiTheme="minorEastAsia" w:hAnsiTheme="minorEastAsia" w:eastAsiaTheme="minorEastAsia" w:cstheme="minorEastAsia"/>
          <w:sz w:val="24"/>
        </w:rPr>
        <w:t>17、提供机器操作及临床报告撰写培训不少于4人次，提供2家以上三甲医院临床培训及2家以上科学研究机构培训。</w:t>
      </w:r>
      <w:r>
        <w:rPr>
          <w:rFonts w:hint="eastAsia"/>
          <w:sz w:val="24"/>
        </w:rPr>
        <w:br w:type="page"/>
      </w:r>
    </w:p>
    <w:p w14:paraId="1AAECCB7">
      <w:pPr>
        <w:widowControl/>
        <w:spacing w:line="360" w:lineRule="auto"/>
        <w:contextualSpacing/>
        <w:rPr>
          <w:sz w:val="24"/>
        </w:rPr>
      </w:pPr>
      <w:r>
        <w:rPr>
          <w:rFonts w:hint="eastAsia"/>
          <w:sz w:val="24"/>
        </w:rPr>
        <w:t>03包：细胞能量代谢分析仪等</w:t>
      </w:r>
    </w:p>
    <w:p w14:paraId="3EF04014">
      <w:pPr>
        <w:widowControl/>
        <w:spacing w:line="360" w:lineRule="auto"/>
        <w:contextualSpacing/>
        <w:rPr>
          <w:sz w:val="24"/>
        </w:rPr>
      </w:pPr>
      <w:r>
        <w:rPr>
          <w:rFonts w:hint="eastAsia"/>
          <w:sz w:val="24"/>
        </w:rPr>
        <w:t>品目3-1 细胞能量代谢分析仪</w:t>
      </w:r>
    </w:p>
    <w:p w14:paraId="327AEA42">
      <w:pPr>
        <w:spacing w:line="360" w:lineRule="auto"/>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1.主机</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1.1平行检测样品量≥90个；</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1.2数据采集：能同时进行活细胞内线粒体耗氧速率和糖酵解产酸速率的实时、定量、全自动测定和分析, 即在同一孔中同时得到耗氧速率OCR与产酸速率ECAR值，无需分两次进行试验；</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1.3实时多参数检测：可检测基础呼吸、ATP关联呼吸、最大呼吸、备用呼吸能力、质子渗漏以及非线粒体呼吸耗氧，基础糖酵解和ATP产生速率等参数；</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1.4探针类型：检测探针为固态荧光探针，可同时实时测量O</w:t>
      </w:r>
      <w:r>
        <w:rPr>
          <w:rFonts w:asciiTheme="minorEastAsia" w:hAnsiTheme="minorEastAsia" w:eastAsiaTheme="minorEastAsia" w:cstheme="minorEastAsia"/>
          <w:color w:val="000000"/>
          <w:kern w:val="0"/>
          <w:sz w:val="24"/>
          <w:vertAlign w:val="subscript"/>
          <w:lang w:bidi="ar"/>
        </w:rPr>
        <w:t>2</w:t>
      </w:r>
      <w:r>
        <w:rPr>
          <w:rFonts w:hint="eastAsia" w:asciiTheme="minorEastAsia" w:hAnsiTheme="minorEastAsia" w:eastAsiaTheme="minorEastAsia" w:cstheme="minorEastAsia"/>
          <w:color w:val="000000"/>
          <w:kern w:val="0"/>
          <w:sz w:val="24"/>
          <w:lang w:bidi="ar"/>
        </w:rPr>
        <w:t>和pH，用于氧消耗速率和产酸速率的实时检测；</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1.5检测器：配有≥90个独立的检测器，可同时对样品孔进行数据采集；</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1.6 光源：配有≥90个独立的LED光源；</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1.7每个样品孔整合≥4通道加药槽，具有自动混匀功能, 可在检测过程中依次自动添加≥4种不同的研究介质，按需设置不同的加药时间依次加入，实时观察细胞动态变化；</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1.8 加药体积：可加入≤</w:t>
      </w:r>
      <w:r>
        <w:rPr>
          <w:rFonts w:asciiTheme="minorEastAsia" w:hAnsiTheme="minorEastAsia" w:eastAsiaTheme="minorEastAsia" w:cstheme="minorEastAsia"/>
          <w:color w:val="000000"/>
          <w:kern w:val="0"/>
          <w:sz w:val="24"/>
          <w:lang w:bidi="ar"/>
        </w:rPr>
        <w:t>75</w:t>
      </w:r>
      <w:r>
        <w:rPr>
          <w:rFonts w:hint="eastAsia" w:asciiTheme="minorEastAsia" w:hAnsiTheme="minorEastAsia" w:eastAsiaTheme="minorEastAsia" w:cstheme="minorEastAsia"/>
          <w:color w:val="000000"/>
          <w:kern w:val="0"/>
          <w:sz w:val="24"/>
          <w:lang w:bidi="ar"/>
        </w:rPr>
        <w:t>微升实验试剂，每孔最多能执行4次独立加药；</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1.9可检测样品类型：悬浮细胞、贴壁细胞及分离的线粒体和3D培养的细胞球体等，支持低氧环境检测；</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0</w:t>
      </w:r>
      <w:r>
        <w:rPr>
          <w:rFonts w:hint="eastAsia" w:asciiTheme="minorEastAsia" w:hAnsiTheme="minorEastAsia" w:eastAsiaTheme="minorEastAsia" w:cstheme="minorEastAsia"/>
          <w:color w:val="000000"/>
          <w:kern w:val="0"/>
          <w:sz w:val="24"/>
          <w:lang w:bidi="ar"/>
        </w:rPr>
        <w:t>边缘效应小；</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1</w:t>
      </w:r>
      <w:r>
        <w:rPr>
          <w:rFonts w:hint="eastAsia" w:asciiTheme="minorEastAsia" w:hAnsiTheme="minorEastAsia" w:eastAsiaTheme="minorEastAsia" w:cstheme="minorEastAsia"/>
          <w:color w:val="000000"/>
          <w:kern w:val="0"/>
          <w:sz w:val="24"/>
          <w:lang w:bidi="ar"/>
        </w:rPr>
        <w:t xml:space="preserve"> 具有糖酵解定量分析功能：通过检测总质子流出速率、线粒体质子流出速率和糖酵解质子流出速率，可进行精确的糖酵解定量分析；</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bidi="ar"/>
        </w:rPr>
        <w:t xml:space="preserve"> 能同时测定活细胞中线粒体呼吸和糖酵解ATP产生速率；</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bidi="ar"/>
        </w:rPr>
        <w:t>具有T细胞激活检测功能；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 xml:space="preserve"> 线粒体毒性检测：可通过线粒体耗氧率（OCR）的直接功能测量来鉴定药物诱导的线粒体毒性；</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 xml:space="preserve"> 可提供原厂商品化试剂盒：如细胞线粒体压力测试试剂盒、糖酵解速率测定试剂盒、实时ATP速率测定试剂盒等；</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2.全自动归一化分析系统</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2.1光路稳定，无需校准，随搬随用；</w:t>
      </w:r>
    </w:p>
    <w:p w14:paraId="3B80D80C">
      <w:pPr>
        <w:spacing w:line="360" w:lineRule="auto"/>
        <w:rPr>
          <w:rFonts w:asciiTheme="minorEastAsia" w:hAnsiTheme="minorEastAsia" w:eastAsiaTheme="minorEastAsia" w:cstheme="minorEastAsia"/>
          <w:color w:val="000000"/>
          <w:kern w:val="0"/>
          <w:sz w:val="24"/>
          <w:lang w:bidi="ar"/>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相差光源：波长≤</w:t>
      </w:r>
      <w:r>
        <w:rPr>
          <w:rFonts w:ascii="宋体" w:hAnsi="宋体"/>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0nm；</w:t>
      </w:r>
    </w:p>
    <w:p w14:paraId="13A596BA">
      <w:pPr>
        <w:spacing w:line="360" w:lineRule="auto"/>
        <w:rPr>
          <w:rFonts w:asciiTheme="minorEastAsia" w:hAnsiTheme="minorEastAsia" w:eastAsiaTheme="minorEastAsia" w:cstheme="minorEastAsia"/>
          <w:color w:val="000000"/>
          <w:kern w:val="0"/>
          <w:sz w:val="24"/>
          <w:lang w:bidi="ar"/>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荧光通道： 蓝色荧光，ex/em380nm/460nm（eg.Hoechst,DAPI）；绿色荧光，ex/em：480nm/530nm（eg.FITC,Calcein,GFP,AO）；支持相差以及各荧光通道图像Merge；</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采用超大视野、高分辨率CMOS成像：10X物镜单张图像尺寸≥2.2×1.3mm，针对常规96孔板全孔拼接图片数量≤16张；</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；全孔原位成像、图像自动无缝拼接，自带背景校正：无需消化，可对全孔细胞进行成像扫描、图像拼接、计数和分析，成像扫描、图像拼接和数据分析须实现同步进行。</w:t>
      </w:r>
    </w:p>
    <w:p w14:paraId="21D71091">
      <w:pPr>
        <w:spacing w:line="360" w:lineRule="auto"/>
        <w:rPr>
          <w:rFonts w:asciiTheme="minorEastAsia" w:hAnsiTheme="minorEastAsia" w:eastAsiaTheme="minorEastAsia" w:cstheme="minorEastAsia"/>
          <w:color w:val="000000"/>
          <w:kern w:val="0"/>
          <w:sz w:val="24"/>
          <w:lang w:bidi="ar"/>
        </w:rPr>
      </w:pPr>
      <w:r>
        <w:rPr>
          <w:rFonts w:asciiTheme="minorEastAsia" w:hAnsiTheme="minorEastAsia" w:eastAsiaTheme="minorEastAsia" w:cstheme="minorEastAsia"/>
          <w:color w:val="000000"/>
          <w:kern w:val="0"/>
          <w:sz w:val="24"/>
          <w:lang w:bidi="ar"/>
        </w:rPr>
        <w:t>2.6</w:t>
      </w:r>
      <w:r>
        <w:rPr>
          <w:rFonts w:hint="eastAsia" w:asciiTheme="minorEastAsia" w:hAnsiTheme="minorEastAsia" w:eastAsiaTheme="minorEastAsia" w:cstheme="minorEastAsia"/>
          <w:color w:val="000000"/>
          <w:kern w:val="0"/>
          <w:sz w:val="24"/>
          <w:lang w:bidi="ar"/>
        </w:rPr>
        <w:t>成像扫描和分析同步进行</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7</w:t>
      </w:r>
      <w:r>
        <w:rPr>
          <w:rFonts w:hint="eastAsia" w:asciiTheme="minorEastAsia" w:hAnsiTheme="minorEastAsia" w:eastAsiaTheme="minorEastAsia" w:cstheme="minorEastAsia"/>
          <w:color w:val="000000"/>
          <w:kern w:val="0"/>
          <w:sz w:val="24"/>
          <w:lang w:bidi="ar"/>
        </w:rPr>
        <w:t>配备多种适配器，兼容通用耗材，兼容8/24/96孔板进行原位全孔成像计数分析，进行结果归一化。</w:t>
      </w:r>
    </w:p>
    <w:p w14:paraId="328F49C7">
      <w:pPr>
        <w:spacing w:line="360" w:lineRule="auto"/>
        <w:rPr>
          <w:rFonts w:hint="eastAsia" w:eastAsiaTheme="minorEastAsia"/>
          <w:sz w:val="24"/>
        </w:rPr>
      </w:pP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.8</w:t>
      </w:r>
      <w:r>
        <w:rPr>
          <w:rFonts w:hint="eastAsia" w:asciiTheme="minorEastAsia" w:hAnsiTheme="minorEastAsia" w:eastAsiaTheme="minorEastAsia" w:cstheme="minorEastAsia"/>
          <w:color w:val="000000"/>
          <w:kern w:val="0"/>
          <w:sz w:val="24"/>
          <w:lang w:bidi="ar"/>
        </w:rPr>
        <w:t>软件界面简洁直观，预置多种实验模块：引导式操作流程，智能化数据分析，</w:t>
      </w:r>
    </w:p>
    <w:p w14:paraId="52A34139">
      <w:pPr>
        <w:widowControl/>
        <w:spacing w:line="360" w:lineRule="auto"/>
        <w:contextualSpacing/>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.9</w:t>
      </w:r>
      <w:r>
        <w:rPr>
          <w:rFonts w:hint="eastAsia" w:asciiTheme="minorEastAsia" w:hAnsiTheme="minorEastAsia" w:eastAsiaTheme="minorEastAsia" w:cstheme="minorEastAsia"/>
          <w:color w:val="000000"/>
          <w:kern w:val="0"/>
          <w:sz w:val="24"/>
          <w:lang w:bidi="ar"/>
        </w:rPr>
        <w:t>主机尺寸：≤400mm×460mm×320mm（高H × 宽W ×深D）。</w:t>
      </w:r>
    </w:p>
    <w:p w14:paraId="7E509164">
      <w:pPr>
        <w:widowControl/>
        <w:spacing w:line="360" w:lineRule="auto"/>
        <w:contextualSpacing/>
        <w:rPr>
          <w:sz w:val="24"/>
        </w:rPr>
      </w:pPr>
    </w:p>
    <w:p w14:paraId="1DD9DB30">
      <w:pPr>
        <w:widowControl/>
        <w:spacing w:line="360" w:lineRule="auto"/>
        <w:contextualSpacing/>
        <w:rPr>
          <w:rFonts w:hint="eastAsia"/>
          <w:sz w:val="24"/>
        </w:rPr>
      </w:pPr>
    </w:p>
    <w:p w14:paraId="5C0A0A89">
      <w:pPr>
        <w:widowControl/>
        <w:spacing w:line="360" w:lineRule="auto"/>
        <w:contextualSpacing/>
        <w:rPr>
          <w:sz w:val="24"/>
        </w:rPr>
      </w:pPr>
      <w:r>
        <w:rPr>
          <w:rFonts w:hint="eastAsia"/>
          <w:sz w:val="24"/>
        </w:rPr>
        <w:t>品目3-2 单细胞自动制备与测序分析仪</w:t>
      </w:r>
    </w:p>
    <w:p w14:paraId="08431A04">
      <w:pPr>
        <w:spacing w:line="360" w:lineRule="auto"/>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 工作条件：</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 电压要求：100-240 Vac, 50/60 Hz, 250 W；</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1.2 温度要求：18-28</w:t>
      </w:r>
      <w:r>
        <w:rPr>
          <w:rFonts w:hint="eastAsia" w:ascii="仿宋" w:hAnsi="仿宋" w:eastAsia="仿宋" w:cs="仿宋"/>
          <w:color w:val="000000"/>
          <w:kern w:val="0"/>
          <w:sz w:val="24"/>
          <w:lang w:bidi="ar"/>
        </w:rPr>
        <w:t>℃</w:t>
      </w:r>
      <w:r>
        <w:rPr>
          <w:rFonts w:hint="eastAsia" w:asciiTheme="minorEastAsia" w:hAnsiTheme="minorEastAsia" w:eastAsia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1.3 湿度要求：30%-80%；</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 设备用途：系统兼容单细胞3’表达谱测序，单细胞5’表达谱测序，单细胞VDJ全长测序，单细胞表面抗原、3’单细胞CRISPR、5’单细胞CRISPR、单细胞多重抗原特异性检测，单细胞ATAC测序，单细胞多组学测序；</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3.设备参数</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3.1 系统采用最新的微流控捕获技术，对样本形成数万个纳升级的油包水反应单元；</w:t>
      </w:r>
    </w:p>
    <w:p w14:paraId="1149C2AE">
      <w:pPr>
        <w:spacing w:line="360" w:lineRule="auto"/>
        <w:rPr>
          <w:sz w:val="24"/>
        </w:rPr>
      </w:pPr>
      <w:r>
        <w:rPr>
          <w:rFonts w:hint="eastAsia" w:asciiTheme="minorEastAsia" w:hAnsiTheme="minorEastAsia" w:cstheme="minorEastAsia"/>
          <w:color w:val="000000"/>
          <w:kern w:val="0"/>
          <w:sz w:val="24"/>
          <w:lang w:bidi="ar"/>
        </w:rPr>
        <w:t>▲</w:t>
      </w:r>
      <w:r>
        <w:rPr>
          <w:rFonts w:asciiTheme="minorEastAsia" w:hAnsiTheme="minorEastAsia" w:eastAsiaTheme="minorEastAsia" w:cstheme="minorEastAsia"/>
          <w:color w:val="000000"/>
          <w:kern w:val="0"/>
          <w:sz w:val="24"/>
          <w:lang w:bidi="ar"/>
        </w:rPr>
        <w:t xml:space="preserve">3.2 </w:t>
      </w:r>
      <w:r>
        <w:rPr>
          <w:rFonts w:hint="eastAsia" w:asciiTheme="minorEastAsia" w:hAnsiTheme="minorEastAsia" w:eastAsiaTheme="minorEastAsia" w:cstheme="minorEastAsia"/>
          <w:color w:val="000000"/>
          <w:kern w:val="0"/>
          <w:sz w:val="24"/>
          <w:lang w:bidi="ar"/>
        </w:rPr>
        <w:t>细胞捕获、裂解及mRNA 捕获时间总时长≤7min；</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bidi="ar"/>
        </w:rPr>
        <w:t>单通道细胞捕获量≥32万时，保证单样本细胞捕获≥2万，且双细胞胞率小于9%；</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采用8通道捕获芯片，单次检测反应数≥7、检测样本数≥127，且双胞率小于9%；</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单张芯片单次反应可检测≥2500000个细胞；</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6</w:t>
      </w:r>
      <w:r>
        <w:rPr>
          <w:rFonts w:hint="eastAsia" w:asciiTheme="minorEastAsia" w:hAnsiTheme="minorEastAsia" w:eastAsiaTheme="minorEastAsia" w:cstheme="minorEastAsia"/>
          <w:color w:val="000000"/>
          <w:kern w:val="0"/>
          <w:sz w:val="24"/>
          <w:lang w:bidi="ar"/>
        </w:rPr>
        <w:t>细胞捕获效率≥80%；</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7</w:t>
      </w:r>
      <w:r>
        <w:rPr>
          <w:rFonts w:hint="eastAsia" w:asciiTheme="minorEastAsia" w:hAnsiTheme="minorEastAsia" w:eastAsiaTheme="minorEastAsia" w:cstheme="minorEastAsia"/>
          <w:color w:val="000000"/>
          <w:kern w:val="0"/>
          <w:sz w:val="24"/>
          <w:lang w:bidi="ar"/>
        </w:rPr>
        <w:t>兼容通过以Poly A捕获方式及双探针杂交方式捕获单细胞全转录组基因表达；</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8</w:t>
      </w:r>
      <w:r>
        <w:rPr>
          <w:rFonts w:hint="eastAsia" w:asciiTheme="minorEastAsia" w:hAnsiTheme="minorEastAsia" w:eastAsiaTheme="minorEastAsia" w:cstheme="minorEastAsia"/>
          <w:color w:val="000000"/>
          <w:kern w:val="0"/>
          <w:sz w:val="24"/>
          <w:lang w:bidi="ar"/>
        </w:rPr>
        <w:t>兼容样本类型至少包括甲醛全血固定、外周血细胞、组织解离细胞、培养细胞、细胞核、原生质体、FFPE样本、新鲜固定样本、新鲜冷冻组织样本等；</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9</w:t>
      </w:r>
      <w:r>
        <w:rPr>
          <w:rFonts w:hint="eastAsia" w:asciiTheme="minorEastAsia" w:hAnsiTheme="minorEastAsia" w:eastAsiaTheme="minorEastAsia" w:cstheme="minorEastAsia"/>
          <w:color w:val="000000"/>
          <w:kern w:val="0"/>
          <w:sz w:val="24"/>
          <w:lang w:bidi="ar"/>
        </w:rPr>
        <w:t>兼容细胞大小1μm～30μm；</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10</w:t>
      </w:r>
      <w:r>
        <w:rPr>
          <w:rFonts w:hint="eastAsia" w:asciiTheme="minorEastAsia" w:hAnsiTheme="minorEastAsia" w:eastAsiaTheme="minorEastAsia" w:cstheme="minorEastAsia"/>
          <w:color w:val="000000"/>
          <w:kern w:val="0"/>
          <w:sz w:val="24"/>
          <w:lang w:bidi="ar"/>
        </w:rPr>
        <w:t>单细胞文库构建种类≥7，至少包括3’表达谱文库、5’表达谱文库、ATAC文库、CRISPR文库、细胞表面蛋白文库、抗原特异性筛选文库、T/B细胞VDJ全长序列测序文库；</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1</w:t>
      </w:r>
      <w:r>
        <w:rPr>
          <w:rFonts w:hint="eastAsia" w:asciiTheme="minorEastAsia" w:hAnsiTheme="minorEastAsia" w:eastAsiaTheme="minorEastAsia" w:cstheme="minorEastAsia"/>
          <w:color w:val="000000"/>
          <w:kern w:val="0"/>
          <w:sz w:val="24"/>
          <w:lang w:bidi="ar"/>
        </w:rPr>
        <w:t>可同时实现同一单细胞的四重实验，包括T细胞抗原特异筛选、表面蛋白、5’全转录组和VDJ全长序列；</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bidi="ar"/>
        </w:rPr>
        <w:t>可分析单细胞表达谱数据、单细胞VDJ数据、单细胞ATAC数据、单细胞CRISPR、单细胞多重抗原筛选（BEAM）及多组学联合数据；</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bidi="ar"/>
        </w:rPr>
        <w:t>可将BCL文件转化为fastq文件；</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可对测序数据进行质控及分析，得到细胞基因表达矩阵；</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具有筛选可信细胞的功能；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6</w:t>
      </w:r>
      <w:r>
        <w:rPr>
          <w:rFonts w:hint="eastAsia" w:asciiTheme="minorEastAsia" w:hAnsiTheme="minorEastAsia" w:eastAsiaTheme="minorEastAsia" w:cstheme="minorEastAsia"/>
          <w:color w:val="000000"/>
          <w:kern w:val="0"/>
          <w:sz w:val="24"/>
          <w:lang w:bidi="ar"/>
        </w:rPr>
        <w:t>具有数据过滤、归一化、标准化、数据降维、数据聚类功能；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7</w:t>
      </w:r>
      <w:r>
        <w:rPr>
          <w:rFonts w:hint="eastAsia" w:asciiTheme="minorEastAsia" w:hAnsiTheme="minorEastAsia" w:eastAsiaTheme="minorEastAsia" w:cstheme="minorEastAsia"/>
          <w:color w:val="000000"/>
          <w:kern w:val="0"/>
          <w:sz w:val="24"/>
          <w:lang w:bidi="ar"/>
        </w:rPr>
        <w:t>具有细胞类型注释功能；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8</w:t>
      </w:r>
      <w:r>
        <w:rPr>
          <w:rFonts w:hint="eastAsia" w:asciiTheme="minorEastAsia" w:hAnsiTheme="minorEastAsia" w:eastAsiaTheme="minorEastAsia" w:cstheme="minorEastAsia"/>
          <w:color w:val="000000"/>
          <w:kern w:val="0"/>
          <w:sz w:val="24"/>
          <w:lang w:bidi="ar"/>
        </w:rPr>
        <w:t>可分析组装T/B细胞的VDJ全长序列；</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9</w:t>
      </w:r>
      <w:r>
        <w:rPr>
          <w:rFonts w:hint="eastAsia" w:asciiTheme="minorEastAsia" w:hAnsiTheme="minorEastAsia" w:eastAsiaTheme="minorEastAsia" w:cstheme="minorEastAsia"/>
          <w:color w:val="000000"/>
          <w:kern w:val="0"/>
          <w:sz w:val="24"/>
          <w:lang w:bidi="ar"/>
        </w:rPr>
        <w:t>可得到细胞染色质开放区的表达矩阵及转录因子表达矩阵；</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20</w:t>
      </w:r>
      <w:r>
        <w:rPr>
          <w:rFonts w:hint="eastAsia" w:asciiTheme="minorEastAsia" w:hAnsiTheme="minorEastAsia" w:eastAsiaTheme="minorEastAsia" w:cstheme="minorEastAsia"/>
          <w:color w:val="000000"/>
          <w:kern w:val="0"/>
          <w:sz w:val="24"/>
          <w:lang w:bidi="ar"/>
        </w:rPr>
        <w:t>可进行同一细胞核ATAC数据与GEX数据联合，并进行相互调控分析；</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3.2</w:t>
      </w:r>
      <w:r>
        <w:rPr>
          <w:rFonts w:asciiTheme="minorEastAsia" w:hAnsiTheme="minorEastAsia" w:eastAsiaTheme="minorEastAsia" w:cstheme="minorEastAsia"/>
          <w:color w:val="000000"/>
          <w:kern w:val="0"/>
          <w:sz w:val="24"/>
          <w:lang w:bidi="ar"/>
        </w:rPr>
        <w:t>1</w:t>
      </w:r>
      <w:r>
        <w:rPr>
          <w:rFonts w:hint="eastAsia" w:asciiTheme="minorEastAsia" w:hAnsiTheme="minorEastAsia" w:eastAsiaTheme="minorEastAsia" w:cstheme="minorEastAsia"/>
          <w:color w:val="000000"/>
          <w:kern w:val="0"/>
          <w:sz w:val="24"/>
          <w:lang w:bidi="ar"/>
        </w:rPr>
        <w:t xml:space="preserve"> 支持≥3对探针捕获石蜡样本中的同一条转录本信息；</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3.2</w:t>
      </w:r>
      <w:r>
        <w:rPr>
          <w:rFonts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bidi="ar"/>
        </w:rPr>
        <w:t xml:space="preserve"> 支持同品牌单细胞测序与空间转录组测序及空间原位成像技术平台联合应用；</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4.配置要求</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4.1  高通量单细胞建库与分析系统：1套；</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4.2  数据分析与可视化软件、硬件：各1套。</w:t>
      </w:r>
      <w:r>
        <w:rPr>
          <w:rFonts w:hint="eastAsia"/>
          <w:sz w:val="24"/>
        </w:rPr>
        <w:br w:type="page"/>
      </w:r>
    </w:p>
    <w:p w14:paraId="55BE3BAA">
      <w:pPr>
        <w:widowControl/>
        <w:spacing w:line="360" w:lineRule="auto"/>
        <w:contextualSpacing/>
        <w:rPr>
          <w:sz w:val="24"/>
        </w:rPr>
      </w:pPr>
      <w:r>
        <w:rPr>
          <w:sz w:val="24"/>
        </w:rPr>
        <w:t>04</w:t>
      </w:r>
      <w:r>
        <w:rPr>
          <w:rFonts w:hint="eastAsia"/>
          <w:sz w:val="24"/>
        </w:rPr>
        <w:t>包：高分辨液质联用仪</w:t>
      </w:r>
    </w:p>
    <w:p w14:paraId="7E03DA45">
      <w:pPr>
        <w:pStyle w:val="7"/>
        <w:spacing w:line="360" w:lineRule="auto"/>
        <w:rPr>
          <w:rFonts w:ascii="宋体" w:hAnsi="宋体" w:cs="宋体"/>
          <w:b/>
          <w:bCs/>
          <w:sz w:val="24"/>
        </w:rPr>
      </w:pPr>
      <w:r>
        <w:rPr>
          <w:rFonts w:hint="eastAsia" w:ascii="宋体" w:hAnsi="宋体" w:cs="宋体"/>
          <w:b/>
          <w:bCs/>
          <w:sz w:val="24"/>
        </w:rPr>
        <w:t>一、技术参数：</w:t>
      </w:r>
    </w:p>
    <w:p w14:paraId="74D99062">
      <w:pPr>
        <w:pStyle w:val="7"/>
        <w:spacing w:line="360" w:lineRule="auto"/>
        <w:rPr>
          <w:rFonts w:ascii="宋体" w:hAnsi="宋体" w:cs="宋体"/>
          <w:sz w:val="24"/>
        </w:rPr>
      </w:pPr>
      <w:r>
        <w:rPr>
          <w:rFonts w:hint="eastAsia" w:ascii="宋体" w:hAnsi="宋体" w:cs="宋体"/>
          <w:sz w:val="24"/>
        </w:rPr>
        <w:t>1.工作条件</w:t>
      </w:r>
    </w:p>
    <w:p w14:paraId="5985019A">
      <w:pPr>
        <w:pStyle w:val="7"/>
        <w:spacing w:line="360" w:lineRule="auto"/>
        <w:rPr>
          <w:rFonts w:ascii="宋体" w:hAnsi="宋体" w:cs="宋体"/>
          <w:sz w:val="24"/>
        </w:rPr>
      </w:pPr>
      <w:r>
        <w:rPr>
          <w:rFonts w:hint="eastAsia" w:ascii="宋体" w:hAnsi="宋体" w:cs="宋体"/>
          <w:sz w:val="24"/>
        </w:rPr>
        <w:t>1.1电源：230V±10%，AC(交流)，50/60Hz</w:t>
      </w:r>
    </w:p>
    <w:p w14:paraId="5E9B507A">
      <w:pPr>
        <w:pStyle w:val="7"/>
        <w:spacing w:line="360" w:lineRule="auto"/>
        <w:rPr>
          <w:rFonts w:ascii="宋体" w:hAnsi="宋体" w:cs="宋体"/>
          <w:sz w:val="24"/>
        </w:rPr>
      </w:pPr>
      <w:r>
        <w:rPr>
          <w:rFonts w:hint="eastAsia" w:ascii="宋体" w:hAnsi="宋体" w:cs="宋体"/>
          <w:sz w:val="24"/>
        </w:rPr>
        <w:t>1.2环境温度：18-27℃（最优：18</w:t>
      </w:r>
      <w:r>
        <w:rPr>
          <w:rFonts w:hint="eastAsia" w:ascii="仿宋" w:hAnsi="仿宋" w:eastAsia="仿宋" w:cs="仿宋"/>
          <w:sz w:val="24"/>
        </w:rPr>
        <w:t>-</w:t>
      </w:r>
      <w:r>
        <w:rPr>
          <w:rFonts w:hint="eastAsia" w:ascii="宋体" w:hAnsi="宋体" w:cs="宋体"/>
          <w:sz w:val="24"/>
        </w:rPr>
        <w:t>21℃）</w:t>
      </w:r>
    </w:p>
    <w:p w14:paraId="076B48DE">
      <w:pPr>
        <w:pStyle w:val="7"/>
        <w:spacing w:line="360" w:lineRule="auto"/>
        <w:rPr>
          <w:rFonts w:ascii="宋体" w:hAnsi="宋体" w:cs="宋体"/>
          <w:sz w:val="24"/>
        </w:rPr>
      </w:pPr>
      <w:r>
        <w:rPr>
          <w:rFonts w:hint="eastAsia" w:ascii="宋体" w:hAnsi="宋体" w:cs="宋体"/>
          <w:sz w:val="24"/>
        </w:rPr>
        <w:t>1.3相对湿度：20-80%</w:t>
      </w:r>
    </w:p>
    <w:p w14:paraId="39D71962">
      <w:pPr>
        <w:pStyle w:val="7"/>
        <w:spacing w:line="360" w:lineRule="auto"/>
        <w:rPr>
          <w:rFonts w:ascii="宋体" w:hAnsi="宋体" w:cs="宋体"/>
          <w:sz w:val="24"/>
        </w:rPr>
      </w:pPr>
      <w:r>
        <w:rPr>
          <w:rFonts w:hint="eastAsia" w:ascii="宋体" w:hAnsi="宋体" w:cs="宋体"/>
          <w:sz w:val="24"/>
        </w:rPr>
        <w:t>1.4气体需求：源区氮气（≥99%），最大消耗量≤20 L/min；高纯氮（≥99.999%），用于二级质谱碰撞气和内标校正</w:t>
      </w:r>
    </w:p>
    <w:p w14:paraId="0BF588F1">
      <w:pPr>
        <w:pStyle w:val="7"/>
        <w:spacing w:line="360" w:lineRule="auto"/>
        <w:rPr>
          <w:rFonts w:ascii="宋体" w:hAnsi="宋体" w:cs="宋体"/>
          <w:sz w:val="24"/>
        </w:rPr>
      </w:pPr>
      <w:r>
        <w:rPr>
          <w:rFonts w:hint="eastAsia" w:ascii="宋体" w:hAnsi="宋体" w:cs="宋体"/>
          <w:sz w:val="24"/>
        </w:rPr>
        <w:t>2.质谱部分</w:t>
      </w:r>
    </w:p>
    <w:p w14:paraId="65932BD6">
      <w:pPr>
        <w:pStyle w:val="7"/>
        <w:spacing w:line="360" w:lineRule="auto"/>
        <w:rPr>
          <w:rFonts w:ascii="宋体" w:hAnsi="宋体" w:cs="宋体"/>
          <w:sz w:val="24"/>
        </w:rPr>
      </w:pPr>
      <w:r>
        <w:rPr>
          <w:rFonts w:hint="eastAsia" w:ascii="宋体" w:hAnsi="宋体" w:cs="宋体"/>
          <w:sz w:val="24"/>
        </w:rPr>
        <w:t>2.1 离子源</w:t>
      </w:r>
    </w:p>
    <w:p w14:paraId="5A05A9FA">
      <w:pPr>
        <w:pStyle w:val="7"/>
        <w:spacing w:line="360" w:lineRule="auto"/>
        <w:rPr>
          <w:rFonts w:ascii="宋体" w:hAnsi="宋体" w:cs="宋体"/>
          <w:sz w:val="24"/>
        </w:rPr>
      </w:pPr>
      <w:r>
        <w:rPr>
          <w:rFonts w:hint="eastAsia" w:ascii="宋体" w:hAnsi="宋体" w:cs="宋体"/>
          <w:sz w:val="24"/>
        </w:rPr>
        <w:t>2.1.1 独立的可加热电喷雾离子源和纳喷离子源</w:t>
      </w:r>
    </w:p>
    <w:p w14:paraId="2656B19D">
      <w:pPr>
        <w:pStyle w:val="7"/>
        <w:spacing w:line="360" w:lineRule="auto"/>
        <w:rPr>
          <w:rFonts w:ascii="宋体" w:hAnsi="宋体" w:cs="宋体"/>
          <w:color w:val="FF0000"/>
          <w:sz w:val="24"/>
        </w:rPr>
      </w:pPr>
      <w:r>
        <w:rPr>
          <w:rFonts w:hint="eastAsia" w:ascii="宋体" w:hAnsi="宋体" w:cs="宋体"/>
          <w:sz w:val="24"/>
        </w:rPr>
        <w:t>2.1.2喷针采用</w:t>
      </w:r>
      <w:r>
        <w:rPr>
          <w:rFonts w:hint="eastAsia" w:asciiTheme="minorEastAsia" w:hAnsiTheme="minorEastAsia" w:eastAsiaTheme="minorEastAsia" w:cstheme="minorEastAsia"/>
          <w:sz w:val="24"/>
        </w:rPr>
        <w:t>≥</w:t>
      </w:r>
      <w:r>
        <w:rPr>
          <w:rFonts w:hint="eastAsia" w:ascii="宋体" w:hAnsi="宋体" w:cs="宋体"/>
          <w:sz w:val="24"/>
        </w:rPr>
        <w:t>60度喷雾设计，前后左右上下</w:t>
      </w:r>
      <w:r>
        <w:rPr>
          <w:rFonts w:hint="eastAsia" w:asciiTheme="minorEastAsia" w:hAnsiTheme="minorEastAsia" w:eastAsiaTheme="minorEastAsia" w:cstheme="minorEastAsia"/>
          <w:sz w:val="24"/>
        </w:rPr>
        <w:t>≥</w:t>
      </w:r>
      <w:r>
        <w:rPr>
          <w:rFonts w:hint="eastAsia" w:ascii="宋体" w:hAnsi="宋体" w:cs="宋体"/>
          <w:sz w:val="24"/>
        </w:rPr>
        <w:t>3位可调。底部设计有废液出口，雾化后废产物直接进入废液出口</w:t>
      </w:r>
    </w:p>
    <w:p w14:paraId="66E8AD0C">
      <w:pPr>
        <w:pStyle w:val="7"/>
        <w:spacing w:line="360" w:lineRule="auto"/>
        <w:rPr>
          <w:rFonts w:ascii="宋体" w:hAnsi="宋体" w:cs="宋体"/>
          <w:sz w:val="24"/>
        </w:rPr>
      </w:pPr>
      <w:r>
        <w:rPr>
          <w:rFonts w:hint="eastAsia" w:ascii="宋体" w:hAnsi="宋体" w:cs="宋体"/>
          <w:sz w:val="24"/>
        </w:rPr>
        <w:t>2.1.3 具有雾化气、辅助雾化气和吹扫气设计</w:t>
      </w:r>
    </w:p>
    <w:p w14:paraId="07439D79">
      <w:pPr>
        <w:pStyle w:val="7"/>
        <w:spacing w:line="360" w:lineRule="auto"/>
        <w:rPr>
          <w:rFonts w:ascii="宋体" w:hAnsi="宋体" w:cs="宋体"/>
          <w:sz w:val="24"/>
        </w:rPr>
      </w:pPr>
      <w:r>
        <w:rPr>
          <w:rFonts w:hint="eastAsia" w:ascii="宋体" w:hAnsi="宋体" w:cs="宋体"/>
          <w:sz w:val="24"/>
        </w:rPr>
        <w:t>2.1.4可加热ESI源，离子源加热温度最高</w:t>
      </w:r>
      <w:r>
        <w:rPr>
          <w:rFonts w:hint="eastAsia" w:asciiTheme="minorEastAsia" w:hAnsiTheme="minorEastAsia" w:eastAsiaTheme="minorEastAsia" w:cstheme="minorEastAsia"/>
          <w:sz w:val="24"/>
        </w:rPr>
        <w:t>≥</w:t>
      </w:r>
      <w:r>
        <w:rPr>
          <w:rFonts w:hint="eastAsia" w:ascii="宋体" w:hAnsi="宋体" w:cs="宋体"/>
          <w:sz w:val="24"/>
        </w:rPr>
        <w:t>550℃，不分流的情况下采用纯水作为溶剂，流速为1ul-1000ul/min</w:t>
      </w:r>
    </w:p>
    <w:p w14:paraId="47FCE4F4">
      <w:pPr>
        <w:pStyle w:val="7"/>
        <w:spacing w:line="360" w:lineRule="auto"/>
        <w:rPr>
          <w:rFonts w:ascii="宋体" w:hAnsi="宋体" w:cs="宋体"/>
          <w:sz w:val="24"/>
        </w:rPr>
      </w:pPr>
      <w:r>
        <w:rPr>
          <w:rFonts w:hint="eastAsia" w:ascii="宋体" w:hAnsi="宋体" w:cs="宋体"/>
          <w:sz w:val="24"/>
        </w:rPr>
        <w:t>2.1.5 全自动蠕动泵实现质谱直接进样，自动调谐和校正</w:t>
      </w:r>
    </w:p>
    <w:p w14:paraId="4BE82EBF">
      <w:pPr>
        <w:pStyle w:val="7"/>
        <w:spacing w:line="360" w:lineRule="auto"/>
        <w:rPr>
          <w:rFonts w:ascii="宋体" w:hAnsi="宋体" w:cs="宋体"/>
          <w:sz w:val="24"/>
        </w:rPr>
      </w:pPr>
      <w:r>
        <w:rPr>
          <w:rFonts w:hint="eastAsia" w:ascii="宋体" w:hAnsi="宋体" w:cs="宋体"/>
          <w:sz w:val="24"/>
        </w:rPr>
        <w:t>2.1.6 质谱配置软件具备实时监控并反馈喷雾稳定性功能</w:t>
      </w:r>
    </w:p>
    <w:p w14:paraId="25562184">
      <w:pPr>
        <w:pStyle w:val="7"/>
        <w:spacing w:line="360" w:lineRule="auto"/>
        <w:rPr>
          <w:rFonts w:ascii="宋体" w:hAnsi="宋体" w:cs="宋体"/>
          <w:sz w:val="24"/>
        </w:rPr>
      </w:pPr>
      <w:r>
        <w:rPr>
          <w:rFonts w:hint="eastAsia" w:ascii="宋体" w:hAnsi="宋体" w:cs="宋体"/>
          <w:sz w:val="24"/>
        </w:rPr>
        <w:t>2.1.7离子源腔体具有观察窗口，可以直接观察喷雾效果以及离子源腔体洁净程度</w:t>
      </w:r>
    </w:p>
    <w:p w14:paraId="74508D68">
      <w:pPr>
        <w:pStyle w:val="7"/>
        <w:spacing w:line="360" w:lineRule="auto"/>
        <w:rPr>
          <w:rFonts w:ascii="宋体" w:hAnsi="宋体" w:cs="宋体"/>
          <w:sz w:val="24"/>
        </w:rPr>
      </w:pPr>
      <w:r>
        <w:rPr>
          <w:rFonts w:hint="eastAsia" w:ascii="宋体" w:hAnsi="宋体" w:cs="宋体"/>
          <w:sz w:val="24"/>
        </w:rPr>
        <w:t>▲2.1.8 具有自动内标校正源，无需外接校正液可实现自动实时校正质量轴</w:t>
      </w:r>
    </w:p>
    <w:p w14:paraId="514DC16C">
      <w:pPr>
        <w:pStyle w:val="7"/>
        <w:spacing w:line="360" w:lineRule="auto"/>
        <w:rPr>
          <w:rFonts w:ascii="宋体" w:hAnsi="宋体" w:cs="宋体"/>
          <w:sz w:val="24"/>
        </w:rPr>
      </w:pPr>
      <w:r>
        <w:rPr>
          <w:rFonts w:hint="eastAsia" w:ascii="宋体" w:hAnsi="宋体" w:cs="宋体"/>
          <w:sz w:val="24"/>
        </w:rPr>
        <w:t>2.2 离子传输系统</w:t>
      </w:r>
    </w:p>
    <w:p w14:paraId="2F0222C7">
      <w:pPr>
        <w:pStyle w:val="7"/>
        <w:spacing w:line="360" w:lineRule="auto"/>
        <w:rPr>
          <w:rFonts w:ascii="宋体" w:hAnsi="宋体" w:cs="宋体"/>
          <w:color w:val="FF0000"/>
          <w:sz w:val="24"/>
        </w:rPr>
      </w:pPr>
      <w:r>
        <w:rPr>
          <w:rFonts w:hint="eastAsia" w:ascii="宋体" w:hAnsi="宋体" w:cs="宋体"/>
          <w:sz w:val="24"/>
        </w:rPr>
        <w:t>▲2.2.1 应配有离子传输管设计，保护分子涡轮泵，减少真空负担（需提供可显示离子传输系统为离子传输管的离子源结构示意图或实物图并加盖制造商盖章）</w:t>
      </w:r>
    </w:p>
    <w:p w14:paraId="7FFCFE43">
      <w:pPr>
        <w:pStyle w:val="7"/>
        <w:spacing w:line="360" w:lineRule="auto"/>
        <w:rPr>
          <w:rFonts w:ascii="宋体" w:hAnsi="宋体" w:cs="宋体"/>
          <w:color w:val="FF0000"/>
          <w:sz w:val="24"/>
        </w:rPr>
      </w:pPr>
      <w:r>
        <w:rPr>
          <w:rFonts w:hint="eastAsia" w:ascii="宋体" w:hAnsi="宋体" w:cs="宋体"/>
          <w:sz w:val="24"/>
        </w:rPr>
        <w:t>2.2.2 大口径高容量离子传输管，确保更多离子进入质谱系统，得到更好的信号响应</w:t>
      </w:r>
    </w:p>
    <w:p w14:paraId="27B3459B">
      <w:pPr>
        <w:pStyle w:val="7"/>
        <w:spacing w:line="360" w:lineRule="auto"/>
        <w:rPr>
          <w:rFonts w:ascii="宋体" w:hAnsi="宋体" w:cs="宋体"/>
          <w:color w:val="FF0000"/>
          <w:sz w:val="24"/>
        </w:rPr>
      </w:pPr>
      <w:r>
        <w:rPr>
          <w:rFonts w:hint="eastAsia" w:ascii="宋体" w:hAnsi="宋体" w:cs="宋体"/>
          <w:sz w:val="24"/>
        </w:rPr>
        <w:t>2.2.3 离子传输管独立加热，最高温度≥300℃</w:t>
      </w:r>
    </w:p>
    <w:p w14:paraId="23820920">
      <w:pPr>
        <w:pStyle w:val="7"/>
        <w:spacing w:line="360" w:lineRule="auto"/>
        <w:rPr>
          <w:rFonts w:ascii="宋体" w:hAnsi="宋体" w:cs="宋体"/>
          <w:sz w:val="24"/>
        </w:rPr>
      </w:pPr>
      <w:r>
        <w:rPr>
          <w:rFonts w:hint="eastAsia" w:ascii="宋体" w:hAnsi="宋体" w:cs="宋体"/>
          <w:sz w:val="24"/>
        </w:rPr>
        <w:t>▲2.2.4 具有真空隔断阀设计，在移去、清洗离子传输部件时，不需破坏真空, 待机时不需要消耗氮气</w:t>
      </w:r>
    </w:p>
    <w:p w14:paraId="4EA4E4D8">
      <w:pPr>
        <w:pStyle w:val="7"/>
        <w:spacing w:line="360" w:lineRule="auto"/>
        <w:rPr>
          <w:rFonts w:ascii="宋体" w:hAnsi="宋体" w:cs="宋体"/>
          <w:color w:val="FF0000"/>
          <w:sz w:val="24"/>
        </w:rPr>
      </w:pPr>
      <w:r>
        <w:rPr>
          <w:rFonts w:hint="eastAsia" w:ascii="宋体" w:hAnsi="宋体" w:cs="宋体"/>
          <w:sz w:val="24"/>
        </w:rPr>
        <w:t>2.2.5电动离子漏斗，采用不锈钢材质，拆卸清洗方便</w:t>
      </w:r>
    </w:p>
    <w:p w14:paraId="26EC129B">
      <w:pPr>
        <w:pStyle w:val="7"/>
        <w:spacing w:line="360" w:lineRule="auto"/>
        <w:rPr>
          <w:rFonts w:ascii="宋体" w:hAnsi="宋体" w:cs="宋体"/>
          <w:color w:val="FF0000"/>
          <w:sz w:val="24"/>
        </w:rPr>
      </w:pPr>
      <w:r>
        <w:rPr>
          <w:rFonts w:hint="eastAsia" w:ascii="宋体" w:hAnsi="宋体" w:cs="宋体"/>
          <w:sz w:val="24"/>
        </w:rPr>
        <w:t>2.2.6 带轴向场和过滤作用的双弯曲几何设计的主动离子束传输组件</w:t>
      </w:r>
    </w:p>
    <w:p w14:paraId="49927982">
      <w:pPr>
        <w:pStyle w:val="7"/>
        <w:spacing w:line="360" w:lineRule="auto"/>
        <w:rPr>
          <w:rFonts w:ascii="宋体" w:hAnsi="宋体" w:cs="宋体"/>
          <w:sz w:val="24"/>
        </w:rPr>
      </w:pPr>
      <w:r>
        <w:rPr>
          <w:rFonts w:hint="eastAsia" w:ascii="宋体" w:hAnsi="宋体" w:cs="宋体"/>
          <w:sz w:val="24"/>
        </w:rPr>
        <w:t>2.3 质量分析器部分</w:t>
      </w:r>
    </w:p>
    <w:p w14:paraId="134C48B8">
      <w:pPr>
        <w:pStyle w:val="7"/>
        <w:spacing w:line="360" w:lineRule="auto"/>
        <w:rPr>
          <w:rFonts w:ascii="宋体" w:hAnsi="宋体" w:cs="宋体"/>
          <w:sz w:val="24"/>
        </w:rPr>
      </w:pPr>
      <w:r>
        <w:rPr>
          <w:rFonts w:hint="eastAsia" w:ascii="宋体" w:hAnsi="宋体" w:cs="宋体"/>
          <w:sz w:val="24"/>
        </w:rPr>
        <w:t>▲2.3.1仪器分辨率：≥2</w:t>
      </w:r>
      <w:r>
        <w:rPr>
          <w:rFonts w:ascii="宋体" w:hAnsi="宋体" w:cs="宋体"/>
          <w:sz w:val="24"/>
        </w:rPr>
        <w:t>5</w:t>
      </w:r>
      <w:r>
        <w:rPr>
          <w:rFonts w:hint="eastAsia" w:ascii="宋体" w:hAnsi="宋体" w:cs="宋体"/>
          <w:sz w:val="24"/>
        </w:rPr>
        <w:t>0,000 FWHM( m/z≤200)或仪器采集速度≥200Hz/秒</w:t>
      </w:r>
    </w:p>
    <w:p w14:paraId="708E822C">
      <w:pPr>
        <w:pStyle w:val="7"/>
        <w:spacing w:line="360" w:lineRule="auto"/>
        <w:rPr>
          <w:rFonts w:ascii="宋体" w:hAnsi="宋体" w:cs="宋体"/>
          <w:sz w:val="24"/>
        </w:rPr>
      </w:pPr>
      <w:r>
        <w:rPr>
          <w:rFonts w:hint="eastAsia" w:ascii="宋体" w:hAnsi="宋体" w:cs="宋体"/>
          <w:sz w:val="24"/>
        </w:rPr>
        <w:t>2.3.2质量范围40-6,000 m/z</w:t>
      </w:r>
    </w:p>
    <w:p w14:paraId="2624CF31">
      <w:pPr>
        <w:pStyle w:val="7"/>
        <w:spacing w:line="360" w:lineRule="auto"/>
        <w:rPr>
          <w:rFonts w:ascii="宋体" w:hAnsi="宋体" w:cs="宋体"/>
          <w:sz w:val="24"/>
        </w:rPr>
      </w:pPr>
      <w:r>
        <w:rPr>
          <w:rFonts w:hint="eastAsia" w:ascii="宋体" w:hAnsi="宋体" w:cs="宋体"/>
          <w:sz w:val="24"/>
        </w:rPr>
        <w:t>2.3.3质谱采集速率：≥25 Hz</w:t>
      </w:r>
    </w:p>
    <w:p w14:paraId="6D2D525B">
      <w:pPr>
        <w:pStyle w:val="7"/>
        <w:spacing w:line="360" w:lineRule="auto"/>
        <w:rPr>
          <w:rFonts w:ascii="宋体" w:hAnsi="宋体" w:cs="宋体"/>
          <w:sz w:val="24"/>
        </w:rPr>
      </w:pPr>
      <w:r>
        <w:rPr>
          <w:rFonts w:hint="eastAsia" w:ascii="宋体" w:hAnsi="宋体" w:cs="宋体"/>
          <w:sz w:val="24"/>
        </w:rPr>
        <w:t>▲2.3.4正负极性同时切换扫描速度：分辨率50,000 FWHM条件下，全扫描模式正负切换时间≤1.5s；tSIM模式下正负切换时间≤1.5s</w:t>
      </w:r>
    </w:p>
    <w:p w14:paraId="7EBD58CD">
      <w:pPr>
        <w:pStyle w:val="7"/>
        <w:spacing w:line="360" w:lineRule="auto"/>
        <w:rPr>
          <w:rFonts w:ascii="宋体" w:hAnsi="宋体" w:cs="宋体"/>
          <w:sz w:val="24"/>
        </w:rPr>
      </w:pPr>
      <w:r>
        <w:rPr>
          <w:rFonts w:hint="eastAsia" w:ascii="宋体" w:hAnsi="宋体" w:cs="宋体"/>
          <w:sz w:val="24"/>
        </w:rPr>
        <w:t>2.3.5 质量轴稳定性</w:t>
      </w:r>
    </w:p>
    <w:p w14:paraId="4104B878">
      <w:pPr>
        <w:pStyle w:val="7"/>
        <w:spacing w:line="360" w:lineRule="auto"/>
        <w:rPr>
          <w:rFonts w:ascii="宋体" w:hAnsi="宋体" w:cs="宋体"/>
          <w:sz w:val="24"/>
        </w:rPr>
      </w:pPr>
      <w:r>
        <w:rPr>
          <w:rFonts w:hint="eastAsia" w:ascii="宋体" w:hAnsi="宋体" w:cs="宋体"/>
          <w:sz w:val="24"/>
        </w:rPr>
        <w:t>2.3.5.1 设备外标校正一次后，连续24小时内不再校正质量轴，重复进样</w:t>
      </w:r>
      <w:r>
        <w:rPr>
          <w:rFonts w:hint="eastAsia" w:asciiTheme="minorEastAsia" w:hAnsiTheme="minorEastAsia" w:eastAsiaTheme="minorEastAsia" w:cstheme="minorEastAsia"/>
          <w:sz w:val="24"/>
        </w:rPr>
        <w:t>≥</w:t>
      </w:r>
      <w:r>
        <w:rPr>
          <w:rFonts w:hint="eastAsia" w:ascii="宋体" w:hAnsi="宋体" w:cs="宋体"/>
          <w:sz w:val="24"/>
        </w:rPr>
        <w:t>100 fg利血平，母离子609质量精确度≤3ppm；</w:t>
      </w:r>
    </w:p>
    <w:p w14:paraId="6D25A124">
      <w:pPr>
        <w:pStyle w:val="7"/>
        <w:spacing w:line="360" w:lineRule="auto"/>
        <w:rPr>
          <w:rFonts w:ascii="宋体" w:hAnsi="宋体" w:cs="宋体"/>
          <w:sz w:val="24"/>
        </w:rPr>
      </w:pPr>
      <w:r>
        <w:rPr>
          <w:rFonts w:hint="eastAsia" w:ascii="宋体" w:hAnsi="宋体" w:cs="宋体"/>
          <w:sz w:val="24"/>
        </w:rPr>
        <w:t>2.3.5.2 通过实时内标校正离子源，可自动实时校正一级质谱和二级质谱，实现至少连续3天≤1 ppm的质量偏差</w:t>
      </w:r>
    </w:p>
    <w:p w14:paraId="57A3E234">
      <w:pPr>
        <w:pStyle w:val="7"/>
        <w:spacing w:line="360" w:lineRule="auto"/>
        <w:rPr>
          <w:rFonts w:ascii="宋体" w:hAnsi="宋体" w:cs="宋体"/>
          <w:sz w:val="24"/>
        </w:rPr>
      </w:pPr>
      <w:r>
        <w:rPr>
          <w:rFonts w:hint="eastAsia" w:ascii="宋体" w:hAnsi="宋体" w:cs="宋体"/>
          <w:sz w:val="24"/>
        </w:rPr>
        <w:t>2.3.6 灵敏度</w:t>
      </w:r>
    </w:p>
    <w:p w14:paraId="4529D61B">
      <w:pPr>
        <w:pStyle w:val="7"/>
        <w:spacing w:line="360" w:lineRule="auto"/>
        <w:rPr>
          <w:rFonts w:ascii="宋体" w:hAnsi="宋体" w:cs="宋体"/>
          <w:sz w:val="24"/>
        </w:rPr>
      </w:pPr>
      <w:r>
        <w:rPr>
          <w:rFonts w:hint="eastAsia" w:ascii="宋体" w:hAnsi="宋体" w:cs="宋体"/>
          <w:sz w:val="24"/>
        </w:rPr>
        <w:t>2.3.6.1 MS/MS灵敏度：</w:t>
      </w:r>
      <w:r>
        <w:rPr>
          <w:rFonts w:hint="eastAsia" w:asciiTheme="minorEastAsia" w:hAnsiTheme="minorEastAsia" w:eastAsiaTheme="minorEastAsia" w:cstheme="minorEastAsia"/>
          <w:sz w:val="24"/>
        </w:rPr>
        <w:t>≥</w:t>
      </w:r>
      <w:r>
        <w:rPr>
          <w:rFonts w:hint="eastAsia" w:ascii="宋体" w:hAnsi="宋体" w:cs="宋体"/>
          <w:sz w:val="24"/>
        </w:rPr>
        <w:t>200 fg利血平进样，S/N 100:1</w:t>
      </w:r>
    </w:p>
    <w:p w14:paraId="7107B541">
      <w:pPr>
        <w:pStyle w:val="7"/>
        <w:spacing w:line="360" w:lineRule="auto"/>
        <w:rPr>
          <w:rFonts w:ascii="宋体" w:hAnsi="宋体" w:cs="宋体"/>
          <w:sz w:val="24"/>
        </w:rPr>
      </w:pPr>
      <w:r>
        <w:rPr>
          <w:rFonts w:hint="eastAsia" w:ascii="宋体" w:hAnsi="宋体" w:cs="宋体"/>
          <w:sz w:val="24"/>
        </w:rPr>
        <w:t>2.3.6.2选择离子扫描tSIM灵敏度：</w:t>
      </w:r>
      <w:r>
        <w:rPr>
          <w:rFonts w:hint="eastAsia" w:asciiTheme="minorEastAsia" w:hAnsiTheme="minorEastAsia" w:eastAsiaTheme="minorEastAsia" w:cstheme="minorEastAsia"/>
          <w:sz w:val="24"/>
        </w:rPr>
        <w:t>≥</w:t>
      </w:r>
      <w:r>
        <w:rPr>
          <w:rFonts w:hint="eastAsia" w:ascii="宋体" w:hAnsi="宋体" w:cs="宋体"/>
          <w:sz w:val="24"/>
        </w:rPr>
        <w:t>200 fg 利血平进样，S/N 250:1</w:t>
      </w:r>
    </w:p>
    <w:p w14:paraId="4FC16A96">
      <w:pPr>
        <w:pStyle w:val="7"/>
        <w:spacing w:line="360" w:lineRule="auto"/>
        <w:rPr>
          <w:rFonts w:ascii="宋体" w:hAnsi="宋体" w:cs="宋体"/>
          <w:sz w:val="24"/>
        </w:rPr>
      </w:pPr>
      <w:r>
        <w:rPr>
          <w:rFonts w:hint="eastAsia" w:ascii="宋体" w:hAnsi="宋体" w:cs="宋体"/>
          <w:sz w:val="24"/>
        </w:rPr>
        <w:t>2.3.7 扫描模式</w:t>
      </w:r>
    </w:p>
    <w:p w14:paraId="4A22CC97">
      <w:pPr>
        <w:pStyle w:val="7"/>
        <w:spacing w:line="360" w:lineRule="auto"/>
        <w:rPr>
          <w:rFonts w:ascii="宋体" w:hAnsi="宋体" w:cs="宋体"/>
          <w:sz w:val="24"/>
        </w:rPr>
      </w:pPr>
      <w:r>
        <w:rPr>
          <w:rFonts w:hint="eastAsia" w:ascii="宋体" w:hAnsi="宋体" w:cs="宋体"/>
          <w:sz w:val="24"/>
        </w:rPr>
        <w:t xml:space="preserve">2.3.7.1高分辨全扫描MS和MS/MS </w:t>
      </w:r>
    </w:p>
    <w:p w14:paraId="340F9D5D">
      <w:pPr>
        <w:pStyle w:val="7"/>
        <w:spacing w:line="360" w:lineRule="auto"/>
        <w:rPr>
          <w:rFonts w:ascii="宋体" w:hAnsi="宋体" w:cs="宋体"/>
          <w:sz w:val="24"/>
        </w:rPr>
      </w:pPr>
      <w:r>
        <w:rPr>
          <w:rFonts w:hint="eastAsia" w:ascii="宋体" w:hAnsi="宋体" w:cs="宋体"/>
          <w:sz w:val="24"/>
        </w:rPr>
        <w:t xml:space="preserve">2.3.7.2高分辨选择离子扫描tSIM </w:t>
      </w:r>
    </w:p>
    <w:p w14:paraId="5614D0D3">
      <w:pPr>
        <w:pStyle w:val="7"/>
        <w:spacing w:line="360" w:lineRule="auto"/>
        <w:rPr>
          <w:rFonts w:ascii="宋体" w:hAnsi="宋体" w:cs="宋体"/>
          <w:sz w:val="24"/>
        </w:rPr>
      </w:pPr>
      <w:r>
        <w:rPr>
          <w:rFonts w:hint="eastAsia" w:ascii="宋体" w:hAnsi="宋体" w:cs="宋体"/>
          <w:sz w:val="24"/>
        </w:rPr>
        <w:t>2.3.7.3高分辨全子离子碰撞碎裂扫描AIF</w:t>
      </w:r>
    </w:p>
    <w:p w14:paraId="779C18E6">
      <w:pPr>
        <w:pStyle w:val="7"/>
        <w:spacing w:line="360" w:lineRule="auto"/>
        <w:rPr>
          <w:rFonts w:ascii="宋体" w:hAnsi="宋体" w:cs="宋体"/>
          <w:sz w:val="24"/>
        </w:rPr>
      </w:pPr>
      <w:r>
        <w:rPr>
          <w:rFonts w:hint="eastAsia" w:ascii="宋体" w:hAnsi="宋体" w:cs="宋体"/>
          <w:sz w:val="24"/>
        </w:rPr>
        <w:t>2.3.7.4高分辨正负离子切换扫描</w:t>
      </w:r>
    </w:p>
    <w:p w14:paraId="3A741F20">
      <w:pPr>
        <w:pStyle w:val="7"/>
        <w:spacing w:line="360" w:lineRule="auto"/>
        <w:rPr>
          <w:rFonts w:ascii="宋体" w:hAnsi="宋体" w:cs="宋体"/>
          <w:sz w:val="24"/>
        </w:rPr>
      </w:pPr>
      <w:r>
        <w:rPr>
          <w:rFonts w:hint="eastAsia" w:ascii="宋体" w:hAnsi="宋体" w:cs="宋体"/>
          <w:sz w:val="24"/>
        </w:rPr>
        <w:t>2.3.7.5高分辨数据依赖子离子扫描Full MS-ddMS2</w:t>
      </w:r>
    </w:p>
    <w:p w14:paraId="13DAD3F0">
      <w:pPr>
        <w:pStyle w:val="7"/>
        <w:spacing w:line="360" w:lineRule="auto"/>
        <w:rPr>
          <w:rFonts w:ascii="宋体" w:hAnsi="宋体" w:cs="宋体"/>
          <w:sz w:val="24"/>
        </w:rPr>
      </w:pPr>
      <w:r>
        <w:rPr>
          <w:rFonts w:hint="eastAsia" w:ascii="宋体" w:hAnsi="宋体" w:cs="宋体"/>
          <w:sz w:val="24"/>
        </w:rPr>
        <w:t>2.3.7.6 高分辨数据非依赖扫描DIA</w:t>
      </w:r>
    </w:p>
    <w:p w14:paraId="4D015256">
      <w:pPr>
        <w:pStyle w:val="7"/>
        <w:spacing w:line="360" w:lineRule="auto"/>
        <w:rPr>
          <w:rFonts w:ascii="宋体" w:hAnsi="宋体" w:cs="宋体"/>
          <w:sz w:val="24"/>
        </w:rPr>
      </w:pPr>
      <w:r>
        <w:rPr>
          <w:rFonts w:hint="eastAsia" w:ascii="宋体" w:hAnsi="宋体" w:cs="宋体"/>
          <w:sz w:val="24"/>
        </w:rPr>
        <w:t>2.3.7.7数据采集流程，可自动更新一级和二级扫描的目标物列表和排除列表</w:t>
      </w:r>
    </w:p>
    <w:p w14:paraId="46C09744">
      <w:pPr>
        <w:pStyle w:val="7"/>
        <w:spacing w:line="360" w:lineRule="auto"/>
        <w:rPr>
          <w:rFonts w:ascii="宋体" w:hAnsi="宋体" w:cs="宋体"/>
          <w:sz w:val="24"/>
        </w:rPr>
      </w:pPr>
      <w:r>
        <w:rPr>
          <w:rFonts w:hint="eastAsia" w:ascii="宋体" w:hAnsi="宋体" w:cs="宋体"/>
          <w:sz w:val="24"/>
        </w:rPr>
        <w:t>▲2.3.8检测器: FT无损检测或TOF管质谱仪的有损检测器，若为TOF质谱仪的有损检测器，需额外配置5套检测器作为备件</w:t>
      </w:r>
    </w:p>
    <w:p w14:paraId="6577E65D">
      <w:pPr>
        <w:pStyle w:val="7"/>
        <w:spacing w:line="360" w:lineRule="auto"/>
        <w:rPr>
          <w:rFonts w:ascii="宋体" w:hAnsi="宋体" w:cs="宋体"/>
          <w:sz w:val="24"/>
        </w:rPr>
      </w:pPr>
      <w:r>
        <w:rPr>
          <w:rFonts w:hint="eastAsia" w:ascii="宋体" w:hAnsi="宋体" w:cs="宋体"/>
          <w:sz w:val="24"/>
        </w:rPr>
        <w:t>▲3. 色谱系统：为保障售后服务质量，液相色谱和质谱主机需为同一厂家</w:t>
      </w:r>
    </w:p>
    <w:p w14:paraId="43CD75BF">
      <w:pPr>
        <w:pStyle w:val="7"/>
        <w:spacing w:line="360" w:lineRule="auto"/>
        <w:rPr>
          <w:rFonts w:ascii="宋体" w:hAnsi="宋体" w:cs="宋体"/>
          <w:sz w:val="24"/>
        </w:rPr>
      </w:pPr>
      <w:r>
        <w:rPr>
          <w:rFonts w:hint="eastAsia" w:ascii="宋体" w:hAnsi="宋体" w:cs="宋体"/>
          <w:sz w:val="24"/>
        </w:rPr>
        <w:t xml:space="preserve">3.1泵 </w:t>
      </w:r>
    </w:p>
    <w:p w14:paraId="3C2AF2CF">
      <w:pPr>
        <w:pStyle w:val="7"/>
        <w:spacing w:line="360" w:lineRule="auto"/>
        <w:rPr>
          <w:rFonts w:ascii="宋体" w:hAnsi="宋体" w:cs="宋体"/>
          <w:sz w:val="24"/>
        </w:rPr>
      </w:pPr>
      <w:r>
        <w:rPr>
          <w:rFonts w:hint="eastAsia" w:ascii="宋体" w:hAnsi="宋体" w:cs="宋体"/>
          <w:sz w:val="24"/>
        </w:rPr>
        <w:t>3.1.1 泵型及工作原理：泵带主动流量控制的高压二元梯度泵</w:t>
      </w:r>
    </w:p>
    <w:p w14:paraId="56B1C18B">
      <w:pPr>
        <w:pStyle w:val="7"/>
        <w:spacing w:line="360" w:lineRule="auto"/>
        <w:rPr>
          <w:rFonts w:ascii="宋体" w:hAnsi="宋体" w:cs="宋体"/>
          <w:sz w:val="24"/>
        </w:rPr>
      </w:pPr>
      <w:r>
        <w:rPr>
          <w:rFonts w:hint="eastAsia" w:ascii="宋体" w:hAnsi="宋体" w:cs="宋体"/>
          <w:sz w:val="24"/>
        </w:rPr>
        <w:t xml:space="preserve">▲3.1.2 压力范围：0-130 MPa </w:t>
      </w:r>
    </w:p>
    <w:p w14:paraId="7C5AE33C">
      <w:pPr>
        <w:pStyle w:val="7"/>
        <w:spacing w:line="360" w:lineRule="auto"/>
        <w:rPr>
          <w:rFonts w:ascii="宋体" w:hAnsi="宋体" w:cs="宋体"/>
          <w:sz w:val="24"/>
        </w:rPr>
      </w:pPr>
      <w:r>
        <w:rPr>
          <w:rFonts w:hint="eastAsia" w:ascii="宋体" w:hAnsi="宋体" w:cs="宋体"/>
          <w:sz w:val="24"/>
        </w:rPr>
        <w:t>▲3.1.3 可设定流速范围：1nL/min–100uL/min, 1nL 增量</w:t>
      </w:r>
    </w:p>
    <w:p w14:paraId="45CC6AA9">
      <w:pPr>
        <w:pStyle w:val="7"/>
        <w:spacing w:line="360" w:lineRule="auto"/>
        <w:rPr>
          <w:rFonts w:ascii="宋体" w:hAnsi="宋体" w:cs="宋体"/>
          <w:sz w:val="24"/>
        </w:rPr>
      </w:pPr>
      <w:r>
        <w:rPr>
          <w:rFonts w:hint="eastAsia" w:ascii="宋体" w:hAnsi="宋体" w:cs="宋体"/>
          <w:sz w:val="24"/>
        </w:rPr>
        <w:t>3.1.4 建议流速范围：100nL/min–100uL/min</w:t>
      </w:r>
    </w:p>
    <w:p w14:paraId="4E24A498">
      <w:pPr>
        <w:pStyle w:val="7"/>
        <w:spacing w:line="360" w:lineRule="auto"/>
        <w:rPr>
          <w:rFonts w:ascii="宋体" w:hAnsi="宋体" w:cs="宋体"/>
          <w:sz w:val="24"/>
        </w:rPr>
      </w:pPr>
      <w:r>
        <w:rPr>
          <w:rFonts w:hint="eastAsia" w:ascii="宋体" w:hAnsi="宋体" w:cs="宋体"/>
          <w:sz w:val="24"/>
        </w:rPr>
        <w:t>3.1.5 泵溶剂通道：≥2 个</w:t>
      </w:r>
    </w:p>
    <w:p w14:paraId="6ECB34D5">
      <w:pPr>
        <w:pStyle w:val="7"/>
        <w:spacing w:line="360" w:lineRule="auto"/>
        <w:rPr>
          <w:rFonts w:ascii="宋体" w:hAnsi="宋体" w:cs="宋体"/>
          <w:sz w:val="24"/>
        </w:rPr>
      </w:pPr>
      <w:r>
        <w:rPr>
          <w:rFonts w:hint="eastAsia" w:ascii="宋体" w:hAnsi="宋体" w:cs="宋体"/>
          <w:sz w:val="24"/>
        </w:rPr>
        <w:t>3.1.6 泵对系统梯度的延迟体积：≤25 nL</w:t>
      </w:r>
    </w:p>
    <w:p w14:paraId="04B6B283">
      <w:pPr>
        <w:pStyle w:val="7"/>
        <w:spacing w:line="360" w:lineRule="auto"/>
        <w:rPr>
          <w:rFonts w:ascii="宋体" w:hAnsi="宋体" w:cs="宋体"/>
          <w:sz w:val="24"/>
        </w:rPr>
      </w:pPr>
      <w:r>
        <w:rPr>
          <w:rFonts w:hint="eastAsia" w:ascii="宋体" w:hAnsi="宋体" w:cs="宋体"/>
          <w:sz w:val="24"/>
        </w:rPr>
        <w:t>3.1.7生物兼容性：兼容</w:t>
      </w:r>
    </w:p>
    <w:p w14:paraId="6FEB0B0D">
      <w:pPr>
        <w:pStyle w:val="7"/>
        <w:spacing w:line="360" w:lineRule="auto"/>
        <w:rPr>
          <w:rFonts w:ascii="宋体" w:hAnsi="宋体" w:cs="宋体"/>
          <w:sz w:val="24"/>
        </w:rPr>
      </w:pPr>
      <w:r>
        <w:rPr>
          <w:rFonts w:hint="eastAsia" w:ascii="宋体" w:hAnsi="宋体" w:cs="宋体"/>
          <w:sz w:val="24"/>
        </w:rPr>
        <w:t>3.1.8 梯度延迟体积：≤0.5 uL</w:t>
      </w:r>
    </w:p>
    <w:p w14:paraId="2713EC28">
      <w:pPr>
        <w:pStyle w:val="7"/>
        <w:spacing w:line="360" w:lineRule="auto"/>
        <w:rPr>
          <w:rFonts w:ascii="宋体" w:hAnsi="宋体" w:cs="宋体"/>
          <w:sz w:val="24"/>
        </w:rPr>
      </w:pPr>
      <w:r>
        <w:rPr>
          <w:rFonts w:hint="eastAsia" w:ascii="宋体" w:hAnsi="宋体" w:cs="宋体"/>
          <w:sz w:val="24"/>
        </w:rPr>
        <w:t>3.1.9 pH 范围：2-10</w:t>
      </w:r>
    </w:p>
    <w:p w14:paraId="42578CE1">
      <w:pPr>
        <w:pStyle w:val="7"/>
        <w:spacing w:line="360" w:lineRule="auto"/>
        <w:rPr>
          <w:rFonts w:ascii="宋体" w:hAnsi="宋体" w:cs="宋体"/>
          <w:sz w:val="24"/>
        </w:rPr>
      </w:pPr>
      <w:r>
        <w:rPr>
          <w:rFonts w:hint="eastAsia" w:ascii="宋体" w:hAnsi="宋体" w:cs="宋体"/>
          <w:sz w:val="24"/>
        </w:rPr>
        <w:t>3.1.10 安全特性：内置泄漏检测和安全泄漏处理：超压监测、温度监测</w:t>
      </w:r>
    </w:p>
    <w:p w14:paraId="33C45F1E">
      <w:pPr>
        <w:pStyle w:val="7"/>
        <w:spacing w:line="360" w:lineRule="auto"/>
        <w:rPr>
          <w:rFonts w:ascii="宋体" w:hAnsi="宋体" w:cs="宋体"/>
          <w:sz w:val="24"/>
        </w:rPr>
      </w:pPr>
      <w:r>
        <w:rPr>
          <w:rFonts w:hint="eastAsia" w:ascii="宋体" w:hAnsi="宋体" w:cs="宋体"/>
          <w:sz w:val="24"/>
        </w:rPr>
        <w:t xml:space="preserve">3.2自动进样器 </w:t>
      </w:r>
    </w:p>
    <w:p w14:paraId="0F81D167">
      <w:pPr>
        <w:pStyle w:val="7"/>
        <w:spacing w:line="360" w:lineRule="auto"/>
        <w:rPr>
          <w:rFonts w:ascii="宋体" w:hAnsi="宋体" w:cs="宋体"/>
          <w:sz w:val="24"/>
        </w:rPr>
      </w:pPr>
      <w:r>
        <w:rPr>
          <w:rFonts w:hint="eastAsia" w:ascii="宋体" w:hAnsi="宋体" w:cs="宋体"/>
          <w:sz w:val="24"/>
        </w:rPr>
        <w:t xml:space="preserve">3.2.1进样体积范围：标配 0.01–25 uL, min 步长 0.01 uL </w:t>
      </w:r>
    </w:p>
    <w:p w14:paraId="024B052F">
      <w:pPr>
        <w:pStyle w:val="7"/>
        <w:spacing w:line="360" w:lineRule="auto"/>
        <w:rPr>
          <w:rFonts w:ascii="宋体" w:hAnsi="宋体" w:cs="宋体"/>
          <w:sz w:val="24"/>
        </w:rPr>
      </w:pPr>
      <w:r>
        <w:rPr>
          <w:rFonts w:hint="eastAsia" w:ascii="宋体" w:hAnsi="宋体" w:cs="宋体"/>
          <w:sz w:val="24"/>
        </w:rPr>
        <w:t>3.2.2自动进样器控温：4–40 ℃</w:t>
      </w:r>
    </w:p>
    <w:p w14:paraId="1312885C">
      <w:pPr>
        <w:pStyle w:val="7"/>
        <w:spacing w:line="360" w:lineRule="auto"/>
        <w:rPr>
          <w:rFonts w:ascii="宋体" w:hAnsi="宋体" w:cs="宋体"/>
          <w:sz w:val="24"/>
        </w:rPr>
      </w:pPr>
      <w:r>
        <w:rPr>
          <w:rFonts w:hint="eastAsia" w:ascii="宋体" w:hAnsi="宋体" w:cs="宋体"/>
          <w:sz w:val="24"/>
        </w:rPr>
        <w:t>3.2.3样品盘温度稳定性：±1 ℃</w:t>
      </w:r>
    </w:p>
    <w:p w14:paraId="4905F250">
      <w:pPr>
        <w:pStyle w:val="7"/>
        <w:spacing w:line="360" w:lineRule="auto"/>
        <w:rPr>
          <w:rFonts w:ascii="宋体" w:hAnsi="宋体" w:cs="宋体"/>
          <w:sz w:val="24"/>
        </w:rPr>
      </w:pPr>
      <w:r>
        <w:rPr>
          <w:rFonts w:hint="eastAsia" w:ascii="宋体" w:hAnsi="宋体" w:cs="宋体"/>
          <w:sz w:val="24"/>
        </w:rPr>
        <w:t>▲3.2.4 样品盘和容量：≥200个1.5ml样品瓶；可支持96孔板和384孔板</w:t>
      </w:r>
    </w:p>
    <w:p w14:paraId="042DBD16">
      <w:pPr>
        <w:pStyle w:val="7"/>
        <w:spacing w:line="360" w:lineRule="auto"/>
        <w:rPr>
          <w:rFonts w:ascii="宋体" w:hAnsi="宋体" w:cs="宋体"/>
          <w:sz w:val="24"/>
        </w:rPr>
      </w:pPr>
      <w:r>
        <w:rPr>
          <w:rFonts w:hint="eastAsia" w:ascii="宋体" w:hAnsi="宋体" w:cs="宋体"/>
          <w:sz w:val="24"/>
        </w:rPr>
        <w:t>3.2.5 自动进样器溶液：4 个洗针液：内外针洗，强弱各一</w:t>
      </w:r>
    </w:p>
    <w:p w14:paraId="69BB962F">
      <w:pPr>
        <w:pStyle w:val="7"/>
        <w:spacing w:line="360" w:lineRule="auto"/>
        <w:rPr>
          <w:rFonts w:ascii="宋体" w:hAnsi="宋体" w:cs="宋体"/>
          <w:sz w:val="24"/>
        </w:rPr>
      </w:pPr>
      <w:r>
        <w:rPr>
          <w:rFonts w:hint="eastAsia" w:ascii="宋体" w:hAnsi="宋体" w:cs="宋体"/>
          <w:sz w:val="24"/>
        </w:rPr>
        <w:t>3.2.6 瓶底检测技术：带有样品瓶底部检测和推荐样品瓶，可以吸取3uL中的2.5uL</w:t>
      </w:r>
    </w:p>
    <w:p w14:paraId="5C7D74D2">
      <w:pPr>
        <w:pStyle w:val="7"/>
        <w:spacing w:line="360" w:lineRule="auto"/>
        <w:rPr>
          <w:rFonts w:ascii="宋体" w:hAnsi="宋体" w:cs="宋体"/>
          <w:sz w:val="24"/>
        </w:rPr>
      </w:pPr>
      <w:r>
        <w:rPr>
          <w:rFonts w:hint="eastAsia" w:ascii="宋体" w:hAnsi="宋体" w:cs="宋体"/>
          <w:sz w:val="24"/>
        </w:rPr>
        <w:t>3.2.7进样方式：带loop环内的直接进样；带有离线loop环的直接进样</w:t>
      </w:r>
    </w:p>
    <w:p w14:paraId="53F77DC5">
      <w:pPr>
        <w:pStyle w:val="7"/>
        <w:spacing w:line="360" w:lineRule="auto"/>
        <w:rPr>
          <w:rFonts w:ascii="宋体" w:hAnsi="宋体" w:cs="宋体"/>
          <w:sz w:val="24"/>
        </w:rPr>
      </w:pPr>
      <w:r>
        <w:rPr>
          <w:rFonts w:hint="eastAsia" w:ascii="宋体" w:hAnsi="宋体" w:cs="宋体"/>
          <w:sz w:val="24"/>
        </w:rPr>
        <w:t>4. 超高效液相色谱：为保障售后服务质量，液相色谱和质谱主机需为同一厂家</w:t>
      </w:r>
    </w:p>
    <w:p w14:paraId="58A0D478">
      <w:pPr>
        <w:pStyle w:val="7"/>
        <w:spacing w:line="360" w:lineRule="auto"/>
        <w:rPr>
          <w:rFonts w:ascii="宋体" w:hAnsi="宋体" w:cs="宋体"/>
          <w:sz w:val="24"/>
        </w:rPr>
      </w:pPr>
      <w:r>
        <w:rPr>
          <w:rFonts w:hint="eastAsia" w:ascii="宋体" w:hAnsi="宋体" w:cs="宋体"/>
          <w:sz w:val="24"/>
        </w:rPr>
        <w:t>4.1流量范围：0-6 mL/min，步进0.001 mL/min</w:t>
      </w:r>
    </w:p>
    <w:p w14:paraId="2D03DAA2">
      <w:pPr>
        <w:pStyle w:val="7"/>
        <w:spacing w:line="360" w:lineRule="auto"/>
        <w:rPr>
          <w:rFonts w:ascii="宋体" w:hAnsi="宋体" w:cs="宋体"/>
          <w:sz w:val="24"/>
        </w:rPr>
      </w:pPr>
      <w:r>
        <w:rPr>
          <w:rFonts w:hint="eastAsia" w:ascii="宋体" w:hAnsi="宋体" w:cs="宋体"/>
          <w:sz w:val="24"/>
        </w:rPr>
        <w:t>4.2最大压力：≥100Mpa</w:t>
      </w:r>
    </w:p>
    <w:p w14:paraId="07E746EE">
      <w:pPr>
        <w:pStyle w:val="7"/>
        <w:spacing w:line="360" w:lineRule="auto"/>
        <w:rPr>
          <w:rFonts w:ascii="宋体" w:hAnsi="宋体" w:cs="宋体"/>
          <w:sz w:val="24"/>
        </w:rPr>
      </w:pPr>
      <w:r>
        <w:rPr>
          <w:rFonts w:hint="eastAsia" w:ascii="宋体" w:hAnsi="宋体" w:cs="宋体"/>
          <w:sz w:val="24"/>
        </w:rPr>
        <w:t>4.3流量准确度：≤0.1%</w:t>
      </w:r>
    </w:p>
    <w:p w14:paraId="4E98D647">
      <w:pPr>
        <w:pStyle w:val="7"/>
        <w:spacing w:line="360" w:lineRule="auto"/>
        <w:rPr>
          <w:rFonts w:ascii="宋体" w:hAnsi="宋体" w:cs="宋体"/>
          <w:sz w:val="24"/>
        </w:rPr>
      </w:pPr>
      <w:r>
        <w:rPr>
          <w:rFonts w:hint="eastAsia" w:ascii="宋体" w:hAnsi="宋体" w:cs="宋体"/>
          <w:sz w:val="24"/>
        </w:rPr>
        <w:t>4.4流量精密度：≤0.05%</w:t>
      </w:r>
    </w:p>
    <w:p w14:paraId="58613603">
      <w:pPr>
        <w:pStyle w:val="7"/>
        <w:spacing w:line="360" w:lineRule="auto"/>
        <w:rPr>
          <w:rFonts w:ascii="宋体" w:hAnsi="宋体" w:cs="宋体"/>
          <w:sz w:val="24"/>
        </w:rPr>
      </w:pPr>
      <w:r>
        <w:rPr>
          <w:rFonts w:hint="eastAsia" w:ascii="宋体" w:hAnsi="宋体" w:cs="宋体"/>
          <w:sz w:val="24"/>
        </w:rPr>
        <w:t>4.5 梯度混合精确度：≤0.15%</w:t>
      </w:r>
    </w:p>
    <w:p w14:paraId="2461F13A">
      <w:pPr>
        <w:pStyle w:val="7"/>
        <w:spacing w:line="360" w:lineRule="auto"/>
        <w:rPr>
          <w:rFonts w:ascii="宋体" w:hAnsi="宋体" w:cs="宋体"/>
          <w:sz w:val="24"/>
        </w:rPr>
      </w:pPr>
      <w:r>
        <w:rPr>
          <w:rFonts w:hint="eastAsia" w:ascii="宋体" w:hAnsi="宋体" w:cs="宋体"/>
          <w:sz w:val="24"/>
        </w:rPr>
        <w:t>4.6梯度混合类型：二元混合，四种溶剂选择</w:t>
      </w:r>
    </w:p>
    <w:p w14:paraId="5C6FF345">
      <w:pPr>
        <w:pStyle w:val="7"/>
        <w:spacing w:line="360" w:lineRule="auto"/>
        <w:rPr>
          <w:rFonts w:ascii="宋体" w:hAnsi="宋体" w:cs="宋体"/>
          <w:sz w:val="24"/>
        </w:rPr>
      </w:pPr>
      <w:r>
        <w:rPr>
          <w:rFonts w:hint="eastAsia" w:ascii="宋体" w:hAnsi="宋体" w:cs="宋体"/>
          <w:sz w:val="24"/>
        </w:rPr>
        <w:t>4.7多种样品盘选择，进样位数≥200位2ml进样瓶</w:t>
      </w:r>
    </w:p>
    <w:p w14:paraId="4DD4768E">
      <w:pPr>
        <w:pStyle w:val="7"/>
        <w:spacing w:line="360" w:lineRule="auto"/>
        <w:rPr>
          <w:rFonts w:ascii="宋体" w:hAnsi="宋体" w:cs="宋体"/>
          <w:sz w:val="24"/>
        </w:rPr>
      </w:pPr>
      <w:r>
        <w:rPr>
          <w:rFonts w:hint="eastAsia" w:ascii="宋体" w:hAnsi="宋体" w:cs="宋体"/>
          <w:sz w:val="24"/>
        </w:rPr>
        <w:t>4.8 进样体积：0.01-80μL</w:t>
      </w:r>
    </w:p>
    <w:p w14:paraId="6AD51347">
      <w:pPr>
        <w:pStyle w:val="7"/>
        <w:spacing w:line="360" w:lineRule="auto"/>
        <w:rPr>
          <w:rFonts w:ascii="宋体" w:hAnsi="宋体" w:cs="宋体"/>
          <w:sz w:val="24"/>
        </w:rPr>
      </w:pPr>
      <w:r>
        <w:rPr>
          <w:rFonts w:hint="eastAsia" w:ascii="宋体" w:hAnsi="宋体" w:cs="宋体"/>
          <w:sz w:val="24"/>
        </w:rPr>
        <w:t>4.9 交叉污染：0.005%</w:t>
      </w:r>
    </w:p>
    <w:p w14:paraId="0B518800">
      <w:pPr>
        <w:pStyle w:val="7"/>
        <w:spacing w:line="360" w:lineRule="auto"/>
        <w:rPr>
          <w:rFonts w:ascii="宋体" w:hAnsi="宋体" w:cs="宋体"/>
          <w:sz w:val="24"/>
        </w:rPr>
      </w:pPr>
      <w:r>
        <w:rPr>
          <w:rFonts w:hint="eastAsia" w:ascii="宋体" w:hAnsi="宋体" w:cs="宋体"/>
          <w:sz w:val="24"/>
        </w:rPr>
        <w:t>4.10样品盘温度范围：4-40℃</w:t>
      </w:r>
    </w:p>
    <w:p w14:paraId="51DB2F8E">
      <w:pPr>
        <w:pStyle w:val="7"/>
        <w:spacing w:line="360" w:lineRule="auto"/>
        <w:rPr>
          <w:rFonts w:ascii="宋体" w:hAnsi="宋体" w:cs="宋体"/>
          <w:sz w:val="24"/>
        </w:rPr>
      </w:pPr>
      <w:r>
        <w:rPr>
          <w:rFonts w:hint="eastAsia" w:ascii="宋体" w:hAnsi="宋体" w:cs="宋体"/>
          <w:sz w:val="24"/>
        </w:rPr>
        <w:t>4.11 柱温箱温控范围：5-85℃</w:t>
      </w:r>
    </w:p>
    <w:p w14:paraId="60BC4655">
      <w:pPr>
        <w:pStyle w:val="7"/>
        <w:spacing w:line="360" w:lineRule="auto"/>
        <w:rPr>
          <w:rFonts w:ascii="宋体" w:hAnsi="宋体" w:cs="宋体"/>
          <w:sz w:val="24"/>
        </w:rPr>
      </w:pPr>
      <w:r>
        <w:rPr>
          <w:rFonts w:hint="eastAsia" w:ascii="宋体" w:hAnsi="宋体" w:cs="宋体"/>
          <w:sz w:val="24"/>
        </w:rPr>
        <w:t>4.12温度稳定性：±0.1℃</w:t>
      </w:r>
    </w:p>
    <w:p w14:paraId="31E30C5D">
      <w:pPr>
        <w:pStyle w:val="7"/>
        <w:spacing w:line="360" w:lineRule="auto"/>
        <w:rPr>
          <w:rFonts w:ascii="宋体" w:hAnsi="宋体" w:cs="宋体"/>
          <w:sz w:val="24"/>
        </w:rPr>
      </w:pPr>
      <w:r>
        <w:rPr>
          <w:rFonts w:hint="eastAsia" w:ascii="宋体" w:hAnsi="宋体" w:cs="宋体"/>
          <w:sz w:val="24"/>
        </w:rPr>
        <w:t>4.13温度精度：±0.1℃</w:t>
      </w:r>
    </w:p>
    <w:p w14:paraId="6E5E0B52">
      <w:pPr>
        <w:pStyle w:val="7"/>
        <w:spacing w:line="360" w:lineRule="auto"/>
        <w:rPr>
          <w:rFonts w:ascii="宋体" w:hAnsi="宋体" w:cs="宋体"/>
          <w:sz w:val="24"/>
        </w:rPr>
      </w:pPr>
      <w:r>
        <w:rPr>
          <w:rFonts w:hint="eastAsia" w:ascii="宋体" w:hAnsi="宋体" w:cs="宋体"/>
          <w:sz w:val="24"/>
        </w:rPr>
        <w:t>4.14容量：2根30cm色谱柱</w:t>
      </w:r>
    </w:p>
    <w:p w14:paraId="28E54A31">
      <w:pPr>
        <w:pStyle w:val="7"/>
        <w:spacing w:line="360" w:lineRule="auto"/>
        <w:rPr>
          <w:rFonts w:ascii="宋体" w:hAnsi="宋体" w:cs="宋体"/>
          <w:b/>
          <w:bCs/>
          <w:sz w:val="24"/>
        </w:rPr>
      </w:pPr>
      <w:r>
        <w:rPr>
          <w:rFonts w:hint="eastAsia" w:ascii="宋体" w:hAnsi="宋体" w:cs="宋体"/>
          <w:b/>
          <w:bCs/>
          <w:sz w:val="24"/>
        </w:rPr>
        <w:t>二、主要配置</w:t>
      </w:r>
    </w:p>
    <w:p w14:paraId="7F5C07F3">
      <w:pPr>
        <w:pStyle w:val="7"/>
        <w:spacing w:line="360" w:lineRule="auto"/>
        <w:rPr>
          <w:rFonts w:ascii="宋体" w:hAnsi="宋体" w:cs="宋体"/>
          <w:sz w:val="24"/>
        </w:rPr>
      </w:pPr>
      <w:r>
        <w:rPr>
          <w:rFonts w:hint="eastAsia" w:ascii="宋体" w:hAnsi="宋体" w:cs="宋体"/>
          <w:sz w:val="24"/>
        </w:rPr>
        <w:t>1.超高分辨质谱主机1台</w:t>
      </w:r>
    </w:p>
    <w:p w14:paraId="08A9E06E">
      <w:pPr>
        <w:pStyle w:val="7"/>
        <w:spacing w:line="360" w:lineRule="auto"/>
        <w:rPr>
          <w:rFonts w:ascii="宋体" w:hAnsi="宋体" w:cs="宋体"/>
          <w:sz w:val="24"/>
        </w:rPr>
      </w:pPr>
      <w:r>
        <w:rPr>
          <w:rFonts w:hint="eastAsia" w:ascii="宋体" w:hAnsi="宋体" w:cs="宋体"/>
          <w:sz w:val="24"/>
        </w:rPr>
        <w:t>2.电喷雾离子源（ESI源）1个、纳喷离子源1个</w:t>
      </w:r>
    </w:p>
    <w:p w14:paraId="781385D8">
      <w:pPr>
        <w:pStyle w:val="7"/>
        <w:spacing w:line="360" w:lineRule="auto"/>
        <w:rPr>
          <w:rFonts w:ascii="宋体" w:hAnsi="宋体" w:cs="宋体"/>
          <w:sz w:val="24"/>
        </w:rPr>
      </w:pPr>
      <w:r>
        <w:rPr>
          <w:rFonts w:hint="eastAsia" w:ascii="宋体" w:hAnsi="宋体" w:cs="宋体"/>
          <w:sz w:val="24"/>
        </w:rPr>
        <w:t>3.超高效纳升分析色谱系统1套</w:t>
      </w:r>
    </w:p>
    <w:p w14:paraId="20029DEA">
      <w:pPr>
        <w:pStyle w:val="7"/>
        <w:spacing w:line="360" w:lineRule="auto"/>
        <w:rPr>
          <w:rFonts w:ascii="宋体" w:hAnsi="宋体" w:cs="宋体"/>
          <w:sz w:val="24"/>
        </w:rPr>
      </w:pPr>
      <w:r>
        <w:rPr>
          <w:rFonts w:hint="eastAsia" w:ascii="宋体" w:hAnsi="宋体" w:cs="宋体"/>
          <w:sz w:val="24"/>
        </w:rPr>
        <w:t>4.超高效液相色谱系统1套</w:t>
      </w:r>
    </w:p>
    <w:p w14:paraId="1F70E9F5">
      <w:pPr>
        <w:pStyle w:val="7"/>
        <w:spacing w:line="360" w:lineRule="auto"/>
        <w:rPr>
          <w:rFonts w:ascii="宋体" w:hAnsi="宋体" w:cs="宋体"/>
          <w:sz w:val="24"/>
        </w:rPr>
      </w:pPr>
      <w:r>
        <w:rPr>
          <w:rFonts w:hint="eastAsia" w:ascii="宋体" w:hAnsi="宋体" w:cs="宋体"/>
          <w:sz w:val="24"/>
        </w:rPr>
        <w:t>5.仪器控制和数据处理系统软件（包含计算机）1套</w:t>
      </w:r>
    </w:p>
    <w:p w14:paraId="49CC2E93">
      <w:pPr>
        <w:pStyle w:val="7"/>
        <w:spacing w:line="360" w:lineRule="auto"/>
        <w:rPr>
          <w:rFonts w:ascii="宋体" w:hAnsi="宋体" w:cs="宋体"/>
          <w:sz w:val="24"/>
        </w:rPr>
      </w:pPr>
      <w:r>
        <w:rPr>
          <w:rFonts w:hint="eastAsia" w:ascii="宋体" w:hAnsi="宋体" w:cs="宋体"/>
          <w:sz w:val="24"/>
        </w:rPr>
        <w:t>6.蛋白组学分析软件1套</w:t>
      </w:r>
    </w:p>
    <w:p w14:paraId="39239DB0">
      <w:pPr>
        <w:pStyle w:val="7"/>
        <w:spacing w:line="360" w:lineRule="auto"/>
        <w:rPr>
          <w:rFonts w:ascii="宋体" w:hAnsi="宋体" w:cs="宋体"/>
          <w:sz w:val="24"/>
        </w:rPr>
      </w:pPr>
      <w:r>
        <w:rPr>
          <w:rFonts w:hint="eastAsia" w:ascii="宋体" w:hAnsi="宋体" w:cs="宋体"/>
          <w:sz w:val="24"/>
        </w:rPr>
        <w:t>7.代谢组学分析软件1套</w:t>
      </w:r>
    </w:p>
    <w:p w14:paraId="26652C13">
      <w:pPr>
        <w:pStyle w:val="7"/>
        <w:spacing w:line="360" w:lineRule="auto"/>
        <w:rPr>
          <w:rFonts w:ascii="宋体" w:hAnsi="宋体" w:cs="宋体"/>
          <w:sz w:val="24"/>
        </w:rPr>
      </w:pPr>
      <w:r>
        <w:rPr>
          <w:rFonts w:hint="eastAsia" w:ascii="宋体" w:hAnsi="宋体" w:cs="宋体"/>
          <w:sz w:val="24"/>
        </w:rPr>
        <w:t>8.脂质组学软件1套</w:t>
      </w:r>
    </w:p>
    <w:p w14:paraId="1258A527">
      <w:pPr>
        <w:pStyle w:val="7"/>
        <w:spacing w:line="360" w:lineRule="auto"/>
        <w:rPr>
          <w:rFonts w:ascii="宋体" w:hAnsi="宋体" w:cs="宋体"/>
          <w:sz w:val="24"/>
        </w:rPr>
      </w:pPr>
      <w:r>
        <w:rPr>
          <w:rFonts w:hint="eastAsia" w:ascii="宋体" w:hAnsi="宋体" w:cs="宋体"/>
          <w:sz w:val="24"/>
        </w:rPr>
        <w:t>9.稳压电源1套，10KV,延迟1小时</w:t>
      </w:r>
    </w:p>
    <w:p w14:paraId="6DC4913F">
      <w:pPr>
        <w:pStyle w:val="7"/>
        <w:spacing w:line="360" w:lineRule="auto"/>
        <w:rPr>
          <w:rFonts w:ascii="宋体" w:hAnsi="宋体" w:cs="宋体"/>
          <w:sz w:val="24"/>
        </w:rPr>
      </w:pPr>
      <w:r>
        <w:rPr>
          <w:rFonts w:hint="eastAsia" w:ascii="宋体" w:hAnsi="宋体" w:cs="宋体"/>
          <w:sz w:val="24"/>
        </w:rPr>
        <w:t>10.氮气发生器1套</w:t>
      </w:r>
    </w:p>
    <w:p w14:paraId="2905140D">
      <w:pPr>
        <w:pStyle w:val="7"/>
        <w:spacing w:line="360" w:lineRule="auto"/>
        <w:rPr>
          <w:rFonts w:ascii="宋体" w:hAnsi="宋体" w:cs="宋体"/>
          <w:sz w:val="24"/>
        </w:rPr>
      </w:pPr>
      <w:r>
        <w:rPr>
          <w:rFonts w:hint="eastAsia" w:ascii="宋体" w:hAnsi="宋体" w:cs="宋体"/>
          <w:sz w:val="24"/>
        </w:rPr>
        <w:t>11.工作站1套</w:t>
      </w:r>
    </w:p>
    <w:p w14:paraId="42DEFB6F">
      <w:pPr>
        <w:pStyle w:val="7"/>
        <w:spacing w:line="360" w:lineRule="auto"/>
        <w:rPr>
          <w:rFonts w:ascii="宋体" w:hAnsi="宋体" w:cs="宋体"/>
          <w:sz w:val="24"/>
        </w:rPr>
      </w:pPr>
      <w:r>
        <w:rPr>
          <w:rFonts w:hint="eastAsia" w:ascii="宋体" w:hAnsi="宋体" w:cs="宋体"/>
          <w:sz w:val="24"/>
        </w:rPr>
        <w:t>12.高阶培训名额 4个</w:t>
      </w:r>
    </w:p>
    <w:p w14:paraId="7F609A73">
      <w:pPr>
        <w:pStyle w:val="7"/>
        <w:spacing w:line="360" w:lineRule="auto"/>
        <w:rPr>
          <w:rFonts w:ascii="宋体" w:hAnsi="宋体" w:cs="宋体"/>
          <w:sz w:val="24"/>
        </w:rPr>
      </w:pPr>
      <w:r>
        <w:rPr>
          <w:rFonts w:hint="eastAsia" w:ascii="宋体" w:hAnsi="宋体" w:cs="宋体"/>
          <w:sz w:val="24"/>
        </w:rPr>
        <w:t>13 配套色谱柱4根</w:t>
      </w:r>
    </w:p>
    <w:p w14:paraId="2F04B0EA">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roman"/>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9EB9"/>
    <w:multiLevelType w:val="singleLevel"/>
    <w:tmpl w:val="E6629EB9"/>
    <w:lvl w:ilvl="0" w:tentative="0">
      <w:start w:val="2"/>
      <w:numFmt w:val="decimal"/>
      <w:suff w:val="space"/>
      <w:lvlText w:val="%1."/>
      <w:lvlJc w:val="left"/>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A131E"/>
    <w:rsid w:val="01EA131E"/>
    <w:rsid w:val="15E9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Title"/>
    <w:basedOn w:val="1"/>
    <w:qFormat/>
    <w:uiPriority w:val="0"/>
    <w:pPr>
      <w:jc w:val="center"/>
      <w:outlineLvl w:val="0"/>
    </w:pPr>
    <w:rPr>
      <w:b/>
      <w:sz w:val="32"/>
      <w:szCs w:val="20"/>
    </w:rPr>
  </w:style>
  <w:style w:type="paragraph" w:customStyle="1" w:styleId="6">
    <w:name w:val="列表段落1"/>
    <w:basedOn w:val="1"/>
    <w:qFormat/>
    <w:uiPriority w:val="34"/>
    <w:pPr>
      <w:ind w:firstLine="420" w:firstLineChars="200"/>
    </w:pPr>
    <w:rPr>
      <w:rFonts w:ascii="Calibri" w:hAnsi="Calibri"/>
      <w:szCs w:val="22"/>
    </w:rPr>
  </w:style>
  <w:style w:type="paragraph" w:customStyle="1" w:styleId="7">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8075</Words>
  <Characters>9422</Characters>
  <Lines>0</Lines>
  <Paragraphs>0</Paragraphs>
  <TotalTime>0</TotalTime>
  <ScaleCrop>false</ScaleCrop>
  <LinksUpToDate>false</LinksUpToDate>
  <CharactersWithSpaces>9597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2025-10-24T05:14:00Z</dcterms:created>
  <dc:creator>Desperado</dc:creator>
  <cp:lastModifiedBy>Desperado</cp:lastModifiedBy>
  <dcterms:modified xsi:type="dcterms:W3CDTF">2025-10-24T13:49:34Z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397F4EA126984427ABA34756041F14A3_11</vt:lpwstr>
  </property>
  <property fmtid="{D5CDD505-2E9C-101B-9397-08002B2CF9AE}" pid="4" name="KSOTemplateDocerSaveRecord">
    <vt:lpwstr>eyJoZGlkIjoiNWUwNDMxMDQ0MjdkNzdhZTdiMGE0MzIxNjY0ZTVhZWYiLCJ1c2VySWQiOiIyNzA1NTg4NTgifQ==</vt:lpwstr>
  </property>
</Properties>
</file>